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sz w:val="22"/>
        </w:rPr>
      </w:pPr>
      <w:r>
        <w:rPr/>
        <w:pict>
          <v:line style="position:absolute;mso-position-horizontal-relative:page;mso-position-vertical-relative:page;z-index:0" from="318.897614pt,49.849121pt" to="318.897614pt,748.951121pt" stroked="true" strokeweight=".6pt" strokecolor="#231f20">
            <v:stroke dashstyle="solid"/>
            <w10:wrap type="none"/>
          </v:line>
        </w:pict>
      </w: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pStyle w:val="BodyText"/>
        <w:ind w:left="0"/>
        <w:jc w:val="left"/>
        <w:rPr>
          <w:sz w:val="22"/>
        </w:rPr>
      </w:pPr>
    </w:p>
    <w:p>
      <w:pPr>
        <w:spacing w:before="180"/>
        <w:ind w:left="697" w:right="248" w:firstLine="0"/>
        <w:jc w:val="center"/>
        <w:rPr>
          <w:b/>
          <w:sz w:val="20"/>
        </w:rPr>
      </w:pPr>
      <w:bookmarkStart w:name="ВЛАДА" w:id="1"/>
      <w:bookmarkEnd w:id="1"/>
      <w:r>
        <w:rPr/>
      </w:r>
      <w:bookmarkStart w:name="1 Уредба о утврђивању Просторног плана п" w:id="2"/>
      <w:bookmarkEnd w:id="2"/>
      <w:r>
        <w:rPr/>
      </w:r>
      <w:r>
        <w:rPr>
          <w:b/>
          <w:color w:val="231F20"/>
          <w:sz w:val="20"/>
        </w:rPr>
        <w:t>У Р Е Д БУ</w:t>
      </w:r>
    </w:p>
    <w:p>
      <w:pPr>
        <w:spacing w:line="252" w:lineRule="auto" w:before="182"/>
        <w:ind w:left="699" w:right="248" w:firstLine="0"/>
        <w:jc w:val="center"/>
        <w:rPr>
          <w:b/>
          <w:sz w:val="20"/>
        </w:rPr>
      </w:pPr>
      <w:r>
        <w:rPr>
          <w:b/>
          <w:color w:val="231F20"/>
          <w:sz w:val="20"/>
        </w:rPr>
        <w:t>o утврђивању Просторног плана подручја посебне намене Костолачког угљеног басена</w:t>
      </w:r>
    </w:p>
    <w:p>
      <w:pPr>
        <w:pStyle w:val="BodyText"/>
        <w:ind w:left="0"/>
        <w:jc w:val="left"/>
        <w:rPr>
          <w:b/>
          <w:sz w:val="23"/>
        </w:rPr>
      </w:pPr>
    </w:p>
    <w:p>
      <w:pPr>
        <w:pStyle w:val="BodyText"/>
        <w:spacing w:line="205" w:lineRule="exact"/>
        <w:ind w:left="697" w:right="248"/>
        <w:jc w:val="center"/>
      </w:pPr>
      <w:r>
        <w:rPr>
          <w:color w:val="231F20"/>
        </w:rPr>
        <w:t>Члан 1.</w:t>
      </w:r>
    </w:p>
    <w:p>
      <w:pPr>
        <w:pStyle w:val="BodyText"/>
        <w:spacing w:line="235" w:lineRule="auto" w:before="1"/>
        <w:ind w:left="454" w:right="1" w:firstLine="396"/>
      </w:pPr>
      <w:r>
        <w:rPr>
          <w:color w:val="231F20"/>
        </w:rPr>
        <w:t>Утврђује</w:t>
      </w:r>
      <w:r>
        <w:rPr>
          <w:color w:val="231F20"/>
          <w:spacing w:val="-6"/>
        </w:rPr>
        <w:t> </w:t>
      </w:r>
      <w:r>
        <w:rPr>
          <w:color w:val="231F20"/>
        </w:rPr>
        <w:t>се</w:t>
      </w:r>
      <w:r>
        <w:rPr>
          <w:color w:val="231F20"/>
          <w:spacing w:val="-6"/>
        </w:rPr>
        <w:t> </w:t>
      </w:r>
      <w:r>
        <w:rPr>
          <w:color w:val="231F20"/>
        </w:rPr>
        <w:t>Просторни</w:t>
      </w:r>
      <w:r>
        <w:rPr>
          <w:color w:val="231F20"/>
          <w:spacing w:val="-6"/>
        </w:rPr>
        <w:t> </w:t>
      </w:r>
      <w:r>
        <w:rPr>
          <w:color w:val="231F20"/>
        </w:rPr>
        <w:t>план</w:t>
      </w:r>
      <w:r>
        <w:rPr>
          <w:color w:val="231F20"/>
          <w:spacing w:val="-6"/>
        </w:rPr>
        <w:t> </w:t>
      </w:r>
      <w:r>
        <w:rPr>
          <w:color w:val="231F20"/>
        </w:rPr>
        <w:t>подручја</w:t>
      </w:r>
      <w:r>
        <w:rPr>
          <w:color w:val="231F20"/>
          <w:spacing w:val="-6"/>
        </w:rPr>
        <w:t> </w:t>
      </w:r>
      <w:r>
        <w:rPr>
          <w:color w:val="231F20"/>
        </w:rPr>
        <w:t>посебне</w:t>
      </w:r>
      <w:r>
        <w:rPr>
          <w:color w:val="231F20"/>
          <w:spacing w:val="-6"/>
        </w:rPr>
        <w:t> </w:t>
      </w:r>
      <w:r>
        <w:rPr>
          <w:color w:val="231F20"/>
        </w:rPr>
        <w:t>намене</w:t>
      </w:r>
      <w:r>
        <w:rPr>
          <w:color w:val="231F20"/>
          <w:spacing w:val="-6"/>
        </w:rPr>
        <w:t> </w:t>
      </w:r>
      <w:r>
        <w:rPr>
          <w:color w:val="231F20"/>
        </w:rPr>
        <w:t>Косто- </w:t>
      </w:r>
      <w:r>
        <w:rPr>
          <w:color w:val="231F20"/>
          <w:spacing w:val="-4"/>
        </w:rPr>
        <w:t>лачког </w:t>
      </w:r>
      <w:r>
        <w:rPr>
          <w:color w:val="231F20"/>
        </w:rPr>
        <w:t>угљеног басена (у даљем тексту: Просторни план), </w:t>
      </w:r>
      <w:r>
        <w:rPr>
          <w:color w:val="231F20"/>
          <w:spacing w:val="-3"/>
        </w:rPr>
        <w:t>који </w:t>
      </w:r>
      <w:r>
        <w:rPr>
          <w:color w:val="231F20"/>
        </w:rPr>
        <w:t>је одштампан уз </w:t>
      </w:r>
      <w:r>
        <w:rPr>
          <w:color w:val="231F20"/>
          <w:spacing w:val="-3"/>
        </w:rPr>
        <w:t>ову </w:t>
      </w:r>
      <w:r>
        <w:rPr>
          <w:color w:val="231F20"/>
        </w:rPr>
        <w:t>уредбу и чини њен саставни</w:t>
      </w:r>
      <w:r>
        <w:rPr>
          <w:color w:val="231F20"/>
          <w:spacing w:val="-6"/>
        </w:rPr>
        <w:t> </w:t>
      </w:r>
      <w:r>
        <w:rPr>
          <w:color w:val="231F20"/>
        </w:rPr>
        <w:t>део.</w:t>
      </w:r>
    </w:p>
    <w:p>
      <w:pPr>
        <w:pStyle w:val="BodyText"/>
        <w:spacing w:line="205" w:lineRule="exact" w:before="165"/>
        <w:ind w:left="698" w:right="248"/>
        <w:jc w:val="center"/>
      </w:pPr>
      <w:r>
        <w:rPr>
          <w:color w:val="231F20"/>
        </w:rPr>
        <w:t>Члан 2.</w:t>
      </w:r>
    </w:p>
    <w:p>
      <w:pPr>
        <w:pStyle w:val="BodyText"/>
        <w:spacing w:line="235" w:lineRule="auto" w:before="1"/>
        <w:ind w:left="454" w:right="1" w:firstLine="396"/>
      </w:pPr>
      <w:r>
        <w:rPr>
          <w:color w:val="231F20"/>
        </w:rPr>
        <w:t>Просторним планом утврђују се основе организације, кори- шћења, уређења и заштите подручја посебне намене Костолачког угљеног басена на деловима територијe града Пожаревца и оп- штине Велико Градиште.</w:t>
      </w:r>
    </w:p>
    <w:p>
      <w:pPr>
        <w:pStyle w:val="BodyText"/>
        <w:spacing w:line="205" w:lineRule="exact" w:before="165"/>
        <w:ind w:left="699" w:right="248"/>
        <w:jc w:val="center"/>
      </w:pPr>
      <w:r>
        <w:rPr>
          <w:color w:val="231F20"/>
        </w:rPr>
        <w:t>Члан 3.</w:t>
      </w:r>
    </w:p>
    <w:p>
      <w:pPr>
        <w:pStyle w:val="BodyText"/>
        <w:spacing w:line="235" w:lineRule="auto" w:before="1"/>
        <w:ind w:left="454" w:right="1" w:firstLine="396"/>
      </w:pPr>
      <w:r>
        <w:rPr>
          <w:color w:val="231F20"/>
        </w:rPr>
        <w:t>Просторни план састоји се из текстуалног дела и графичких приказа.</w:t>
      </w:r>
    </w:p>
    <w:p>
      <w:pPr>
        <w:pStyle w:val="BodyText"/>
        <w:spacing w:line="235" w:lineRule="auto"/>
        <w:ind w:left="454" w:right="1" w:firstLine="396"/>
      </w:pPr>
      <w:r>
        <w:rPr>
          <w:color w:val="231F20"/>
        </w:rPr>
        <w:t>Текстуални део Просторног плана објављује се у „Службе- ном гласнику Републике Србије”.</w:t>
      </w:r>
    </w:p>
    <w:p>
      <w:pPr>
        <w:pStyle w:val="BodyText"/>
        <w:spacing w:line="235" w:lineRule="auto"/>
        <w:ind w:left="455" w:right="1" w:firstLine="396"/>
      </w:pPr>
      <w:r>
        <w:rPr>
          <w:color w:val="231F20"/>
        </w:rPr>
        <w:t>Графички прикази (рефералне карте) израђени су у размери 1: 50.000, и то: реферална карта 1 – Намена простора 2015. </w:t>
      </w:r>
      <w:r>
        <w:rPr>
          <w:color w:val="231F20"/>
          <w:spacing w:val="-3"/>
        </w:rPr>
        <w:t>годи- </w:t>
      </w:r>
      <w:r>
        <w:rPr>
          <w:color w:val="231F20"/>
        </w:rPr>
        <w:t>не; реферална карта бр. 2 – Намена простора 2022. године; рефе- рална карта бр. 3 – Мрежа насеља и инфраструктурни системи 2022.</w:t>
      </w:r>
      <w:r>
        <w:rPr>
          <w:color w:val="231F20"/>
          <w:spacing w:val="-11"/>
        </w:rPr>
        <w:t> </w:t>
      </w:r>
      <w:r>
        <w:rPr>
          <w:color w:val="231F20"/>
        </w:rPr>
        <w:t>године;</w:t>
      </w:r>
      <w:r>
        <w:rPr>
          <w:color w:val="231F20"/>
          <w:spacing w:val="-11"/>
        </w:rPr>
        <w:t> </w:t>
      </w:r>
      <w:r>
        <w:rPr>
          <w:color w:val="231F20"/>
        </w:rPr>
        <w:t>реферална</w:t>
      </w:r>
      <w:r>
        <w:rPr>
          <w:color w:val="231F20"/>
          <w:spacing w:val="-11"/>
        </w:rPr>
        <w:t> </w:t>
      </w:r>
      <w:r>
        <w:rPr>
          <w:color w:val="231F20"/>
        </w:rPr>
        <w:t>карта</w:t>
      </w:r>
      <w:r>
        <w:rPr>
          <w:color w:val="231F20"/>
          <w:spacing w:val="-11"/>
        </w:rPr>
        <w:t> </w:t>
      </w:r>
      <w:r>
        <w:rPr>
          <w:color w:val="231F20"/>
        </w:rPr>
        <w:t>бр.</w:t>
      </w:r>
      <w:r>
        <w:rPr>
          <w:color w:val="231F20"/>
          <w:spacing w:val="-11"/>
        </w:rPr>
        <w:t> </w:t>
      </w:r>
      <w:r>
        <w:rPr>
          <w:color w:val="231F20"/>
        </w:rPr>
        <w:t>4</w:t>
      </w:r>
      <w:r>
        <w:rPr>
          <w:color w:val="231F20"/>
          <w:spacing w:val="13"/>
        </w:rPr>
        <w:t> </w:t>
      </w:r>
      <w:r>
        <w:rPr>
          <w:color w:val="231F20"/>
        </w:rPr>
        <w:t>–</w:t>
      </w:r>
      <w:r>
        <w:rPr>
          <w:color w:val="231F20"/>
          <w:spacing w:val="-11"/>
        </w:rPr>
        <w:t> </w:t>
      </w:r>
      <w:r>
        <w:rPr>
          <w:color w:val="231F20"/>
        </w:rPr>
        <w:t>Заштита</w:t>
      </w:r>
      <w:r>
        <w:rPr>
          <w:color w:val="231F20"/>
          <w:spacing w:val="-11"/>
        </w:rPr>
        <w:t> </w:t>
      </w:r>
      <w:r>
        <w:rPr>
          <w:color w:val="231F20"/>
        </w:rPr>
        <w:t>простора</w:t>
      </w:r>
      <w:r>
        <w:rPr>
          <w:color w:val="231F20"/>
          <w:spacing w:val="13"/>
        </w:rPr>
        <w:t> </w:t>
      </w:r>
      <w:r>
        <w:rPr>
          <w:color w:val="231F20"/>
        </w:rPr>
        <w:t>–</w:t>
      </w:r>
      <w:r>
        <w:rPr>
          <w:color w:val="231F20"/>
          <w:spacing w:val="-11"/>
        </w:rPr>
        <w:t> </w:t>
      </w:r>
      <w:r>
        <w:rPr>
          <w:color w:val="231F20"/>
        </w:rPr>
        <w:t>животна средина, природна и </w:t>
      </w:r>
      <w:r>
        <w:rPr>
          <w:color w:val="231F20"/>
          <w:spacing w:val="-2"/>
        </w:rPr>
        <w:t>културна </w:t>
      </w:r>
      <w:r>
        <w:rPr>
          <w:color w:val="231F20"/>
        </w:rPr>
        <w:t>добра; реферална карта бр. 5 – Им- плементација плана (израда и доношење планских докумената) и реферална карта бр. 6.0 – Рударско-енергетски </w:t>
      </w:r>
      <w:r>
        <w:rPr>
          <w:color w:val="231F20"/>
          <w:spacing w:val="-3"/>
        </w:rPr>
        <w:t>комплекс </w:t>
      </w:r>
      <w:r>
        <w:rPr>
          <w:color w:val="231F20"/>
        </w:rPr>
        <w:t>– намена простора 2022. </w:t>
      </w:r>
      <w:r>
        <w:rPr>
          <w:color w:val="231F20"/>
          <w:spacing w:val="-3"/>
        </w:rPr>
        <w:t>године </w:t>
      </w:r>
      <w:r>
        <w:rPr>
          <w:color w:val="231F20"/>
        </w:rPr>
        <w:t>у размери 1:10</w:t>
      </w:r>
      <w:r>
        <w:rPr>
          <w:color w:val="231F20"/>
          <w:spacing w:val="1"/>
        </w:rPr>
        <w:t> </w:t>
      </w:r>
      <w:r>
        <w:rPr>
          <w:color w:val="231F20"/>
        </w:rPr>
        <w:t>000.</w:t>
      </w:r>
    </w:p>
    <w:p>
      <w:pPr>
        <w:pStyle w:val="BodyText"/>
        <w:spacing w:line="235" w:lineRule="auto"/>
        <w:ind w:left="456" w:firstLine="396"/>
      </w:pPr>
      <w:r>
        <w:rPr>
          <w:color w:val="231F20"/>
        </w:rPr>
        <w:t>Графички</w:t>
      </w:r>
      <w:r>
        <w:rPr>
          <w:color w:val="231F20"/>
          <w:spacing w:val="-8"/>
        </w:rPr>
        <w:t> </w:t>
      </w:r>
      <w:r>
        <w:rPr>
          <w:color w:val="231F20"/>
        </w:rPr>
        <w:t>прикази</w:t>
      </w:r>
      <w:r>
        <w:rPr>
          <w:color w:val="231F20"/>
          <w:spacing w:val="-8"/>
        </w:rPr>
        <w:t> </w:t>
      </w:r>
      <w:r>
        <w:rPr>
          <w:color w:val="231F20"/>
        </w:rPr>
        <w:t>(детаљне</w:t>
      </w:r>
      <w:r>
        <w:rPr>
          <w:color w:val="231F20"/>
          <w:spacing w:val="-8"/>
        </w:rPr>
        <w:t> </w:t>
      </w:r>
      <w:r>
        <w:rPr>
          <w:color w:val="231F20"/>
        </w:rPr>
        <w:t>рефералне</w:t>
      </w:r>
      <w:r>
        <w:rPr>
          <w:color w:val="231F20"/>
          <w:spacing w:val="-8"/>
        </w:rPr>
        <w:t> </w:t>
      </w:r>
      <w:r>
        <w:rPr>
          <w:color w:val="231F20"/>
        </w:rPr>
        <w:t>карте)</w:t>
      </w:r>
      <w:r>
        <w:rPr>
          <w:color w:val="231F20"/>
          <w:spacing w:val="-8"/>
        </w:rPr>
        <w:t> </w:t>
      </w:r>
      <w:r>
        <w:rPr>
          <w:color w:val="231F20"/>
        </w:rPr>
        <w:t>израђене</w:t>
      </w:r>
      <w:r>
        <w:rPr>
          <w:color w:val="231F20"/>
          <w:spacing w:val="-8"/>
        </w:rPr>
        <w:t> </w:t>
      </w:r>
      <w:r>
        <w:rPr>
          <w:color w:val="231F20"/>
        </w:rPr>
        <w:t>у</w:t>
      </w:r>
      <w:r>
        <w:rPr>
          <w:color w:val="231F20"/>
          <w:spacing w:val="-8"/>
        </w:rPr>
        <w:t> </w:t>
      </w:r>
      <w:r>
        <w:rPr>
          <w:color w:val="231F20"/>
        </w:rPr>
        <w:t>раз- мери 1: 2.500, и то: реферална карта бр. 6.1.1. – </w:t>
      </w:r>
      <w:r>
        <w:rPr>
          <w:color w:val="231F20"/>
          <w:spacing w:val="-3"/>
        </w:rPr>
        <w:t>Комплекс </w:t>
      </w:r>
      <w:r>
        <w:rPr>
          <w:color w:val="231F20"/>
        </w:rPr>
        <w:t>повр- шинског</w:t>
      </w:r>
      <w:r>
        <w:rPr>
          <w:color w:val="231F20"/>
          <w:spacing w:val="-9"/>
        </w:rPr>
        <w:t> </w:t>
      </w:r>
      <w:r>
        <w:rPr>
          <w:color w:val="231F20"/>
          <w:spacing w:val="-3"/>
        </w:rPr>
        <w:t>копа</w:t>
      </w:r>
      <w:r>
        <w:rPr>
          <w:color w:val="231F20"/>
          <w:spacing w:val="-9"/>
        </w:rPr>
        <w:t> </w:t>
      </w:r>
      <w:r>
        <w:rPr>
          <w:color w:val="231F20"/>
        </w:rPr>
        <w:t>„Дрмно”,</w:t>
      </w:r>
      <w:r>
        <w:rPr>
          <w:color w:val="231F20"/>
          <w:spacing w:val="-9"/>
        </w:rPr>
        <w:t> </w:t>
      </w:r>
      <w:r>
        <w:rPr>
          <w:color w:val="231F20"/>
        </w:rPr>
        <w:t>Намена</w:t>
      </w:r>
      <w:r>
        <w:rPr>
          <w:color w:val="231F20"/>
          <w:spacing w:val="-9"/>
        </w:rPr>
        <w:t> </w:t>
      </w:r>
      <w:r>
        <w:rPr>
          <w:color w:val="231F20"/>
        </w:rPr>
        <w:t>простора</w:t>
      </w:r>
      <w:r>
        <w:rPr>
          <w:color w:val="231F20"/>
          <w:spacing w:val="-9"/>
        </w:rPr>
        <w:t> </w:t>
      </w:r>
      <w:r>
        <w:rPr>
          <w:color w:val="231F20"/>
        </w:rPr>
        <w:t>2022.</w:t>
      </w:r>
      <w:r>
        <w:rPr>
          <w:color w:val="231F20"/>
          <w:spacing w:val="-9"/>
        </w:rPr>
        <w:t> </w:t>
      </w:r>
      <w:r>
        <w:rPr>
          <w:color w:val="231F20"/>
        </w:rPr>
        <w:t>године,</w:t>
      </w:r>
      <w:r>
        <w:rPr>
          <w:color w:val="231F20"/>
          <w:spacing w:val="-9"/>
        </w:rPr>
        <w:t> </w:t>
      </w:r>
      <w:r>
        <w:rPr>
          <w:color w:val="231F20"/>
        </w:rPr>
        <w:t>нивелација и регулација; реферална карта бр. 6.1.2. – </w:t>
      </w:r>
      <w:r>
        <w:rPr>
          <w:color w:val="231F20"/>
          <w:spacing w:val="-3"/>
        </w:rPr>
        <w:t>Комплекс </w:t>
      </w:r>
      <w:r>
        <w:rPr>
          <w:color w:val="231F20"/>
        </w:rPr>
        <w:t>површинског </w:t>
      </w:r>
      <w:r>
        <w:rPr>
          <w:color w:val="231F20"/>
          <w:spacing w:val="-3"/>
        </w:rPr>
        <w:t>копа </w:t>
      </w:r>
      <w:r>
        <w:rPr>
          <w:color w:val="231F20"/>
        </w:rPr>
        <w:t>„Дрмно”, Основе за парцелацију и решавање имовинско- правних односа; реферална карта бр. 6.2.1. – Коридор трачног транспорта за угаљ ПК „Дрмно” – </w:t>
      </w:r>
      <w:r>
        <w:rPr>
          <w:color w:val="231F20"/>
          <w:spacing w:val="-6"/>
        </w:rPr>
        <w:t>„ТЕ </w:t>
      </w:r>
      <w:r>
        <w:rPr>
          <w:color w:val="231F20"/>
        </w:rPr>
        <w:t>Костолац А”, Намена</w:t>
      </w:r>
      <w:r>
        <w:rPr>
          <w:color w:val="231F20"/>
          <w:spacing w:val="-17"/>
        </w:rPr>
        <w:t> </w:t>
      </w:r>
      <w:r>
        <w:rPr>
          <w:color w:val="231F20"/>
        </w:rPr>
        <w:t>повр- шина</w:t>
      </w:r>
      <w:r>
        <w:rPr>
          <w:color w:val="231F20"/>
          <w:spacing w:val="6"/>
        </w:rPr>
        <w:t> </w:t>
      </w:r>
      <w:r>
        <w:rPr>
          <w:color w:val="231F20"/>
        </w:rPr>
        <w:t>2022.</w:t>
      </w:r>
      <w:r>
        <w:rPr>
          <w:color w:val="231F20"/>
          <w:spacing w:val="6"/>
        </w:rPr>
        <w:t> </w:t>
      </w:r>
      <w:r>
        <w:rPr>
          <w:color w:val="231F20"/>
        </w:rPr>
        <w:t>године,</w:t>
      </w:r>
      <w:r>
        <w:rPr>
          <w:color w:val="231F20"/>
          <w:spacing w:val="6"/>
        </w:rPr>
        <w:t> </w:t>
      </w:r>
      <w:r>
        <w:rPr>
          <w:color w:val="231F20"/>
        </w:rPr>
        <w:t>нивелација</w:t>
      </w:r>
      <w:r>
        <w:rPr>
          <w:color w:val="231F20"/>
          <w:spacing w:val="7"/>
        </w:rPr>
        <w:t> </w:t>
      </w:r>
      <w:r>
        <w:rPr>
          <w:color w:val="231F20"/>
        </w:rPr>
        <w:t>и</w:t>
      </w:r>
      <w:r>
        <w:rPr>
          <w:color w:val="231F20"/>
          <w:spacing w:val="6"/>
        </w:rPr>
        <w:t> </w:t>
      </w:r>
      <w:r>
        <w:rPr>
          <w:color w:val="231F20"/>
        </w:rPr>
        <w:t>регулација;</w:t>
      </w:r>
      <w:r>
        <w:rPr>
          <w:color w:val="231F20"/>
          <w:spacing w:val="7"/>
        </w:rPr>
        <w:t> </w:t>
      </w:r>
      <w:r>
        <w:rPr>
          <w:color w:val="231F20"/>
        </w:rPr>
        <w:t>реферална</w:t>
      </w:r>
      <w:r>
        <w:rPr>
          <w:color w:val="231F20"/>
          <w:spacing w:val="6"/>
        </w:rPr>
        <w:t> </w:t>
      </w:r>
      <w:r>
        <w:rPr>
          <w:color w:val="231F20"/>
        </w:rPr>
        <w:t>карта</w:t>
      </w:r>
      <w:r>
        <w:rPr>
          <w:color w:val="231F20"/>
          <w:spacing w:val="7"/>
        </w:rPr>
        <w:t> </w:t>
      </w:r>
      <w:r>
        <w:rPr>
          <w:color w:val="231F20"/>
        </w:rPr>
        <w:t>бр.</w:t>
      </w:r>
    </w:p>
    <w:p>
      <w:pPr>
        <w:pStyle w:val="ListParagraph"/>
        <w:numPr>
          <w:ilvl w:val="2"/>
          <w:numId w:val="1"/>
        </w:numPr>
        <w:tabs>
          <w:tab w:pos="931" w:val="left" w:leader="none"/>
        </w:tabs>
        <w:spacing w:line="235" w:lineRule="auto" w:before="0" w:after="0"/>
        <w:ind w:left="457" w:right="0" w:firstLine="0"/>
        <w:jc w:val="both"/>
        <w:rPr>
          <w:sz w:val="18"/>
        </w:rPr>
      </w:pPr>
      <w:r>
        <w:rPr>
          <w:color w:val="231F20"/>
          <w:sz w:val="18"/>
        </w:rPr>
        <w:t>– Коридор трачног транспорта за угаљ ПК „Дрмно” – </w:t>
      </w:r>
      <w:r>
        <w:rPr>
          <w:color w:val="231F20"/>
          <w:spacing w:val="-6"/>
          <w:sz w:val="18"/>
        </w:rPr>
        <w:t>„ТЕ </w:t>
      </w:r>
      <w:r>
        <w:rPr>
          <w:color w:val="231F20"/>
          <w:sz w:val="18"/>
        </w:rPr>
        <w:t>Костолац</w:t>
      </w:r>
      <w:r>
        <w:rPr>
          <w:color w:val="231F20"/>
          <w:spacing w:val="-7"/>
          <w:sz w:val="18"/>
        </w:rPr>
        <w:t> </w:t>
      </w:r>
      <w:r>
        <w:rPr>
          <w:color w:val="231F20"/>
          <w:sz w:val="18"/>
        </w:rPr>
        <w:t>А”,</w:t>
      </w:r>
      <w:r>
        <w:rPr>
          <w:color w:val="231F20"/>
          <w:spacing w:val="-7"/>
          <w:sz w:val="18"/>
        </w:rPr>
        <w:t> </w:t>
      </w:r>
      <w:r>
        <w:rPr>
          <w:color w:val="231F20"/>
          <w:sz w:val="18"/>
        </w:rPr>
        <w:t>Основе</w:t>
      </w:r>
      <w:r>
        <w:rPr>
          <w:color w:val="231F20"/>
          <w:spacing w:val="-7"/>
          <w:sz w:val="18"/>
        </w:rPr>
        <w:t> </w:t>
      </w:r>
      <w:r>
        <w:rPr>
          <w:color w:val="231F20"/>
          <w:sz w:val="18"/>
        </w:rPr>
        <w:t>за</w:t>
      </w:r>
      <w:r>
        <w:rPr>
          <w:color w:val="231F20"/>
          <w:spacing w:val="-7"/>
          <w:sz w:val="18"/>
        </w:rPr>
        <w:t> </w:t>
      </w:r>
      <w:r>
        <w:rPr>
          <w:color w:val="231F20"/>
          <w:sz w:val="18"/>
        </w:rPr>
        <w:t>парцелацију</w:t>
      </w:r>
      <w:r>
        <w:rPr>
          <w:color w:val="231F20"/>
          <w:spacing w:val="-7"/>
          <w:sz w:val="18"/>
        </w:rPr>
        <w:t> </w:t>
      </w:r>
      <w:r>
        <w:rPr>
          <w:color w:val="231F20"/>
          <w:sz w:val="18"/>
        </w:rPr>
        <w:t>и</w:t>
      </w:r>
      <w:r>
        <w:rPr>
          <w:color w:val="231F20"/>
          <w:spacing w:val="-7"/>
          <w:sz w:val="18"/>
        </w:rPr>
        <w:t> </w:t>
      </w:r>
      <w:r>
        <w:rPr>
          <w:color w:val="231F20"/>
          <w:sz w:val="18"/>
        </w:rPr>
        <w:t>решавање</w:t>
      </w:r>
      <w:r>
        <w:rPr>
          <w:color w:val="231F20"/>
          <w:spacing w:val="-7"/>
          <w:sz w:val="18"/>
        </w:rPr>
        <w:t> </w:t>
      </w:r>
      <w:r>
        <w:rPr>
          <w:color w:val="231F20"/>
          <w:sz w:val="18"/>
        </w:rPr>
        <w:t>имовинско-прав- них односа; реферална карта бр. 6.3.1. – Коридор за транспорт </w:t>
      </w:r>
      <w:r>
        <w:rPr>
          <w:color w:val="231F20"/>
          <w:spacing w:val="-3"/>
          <w:sz w:val="18"/>
        </w:rPr>
        <w:t>рударске </w:t>
      </w:r>
      <w:r>
        <w:rPr>
          <w:color w:val="231F20"/>
          <w:sz w:val="18"/>
        </w:rPr>
        <w:t>механизације </w:t>
      </w:r>
      <w:r>
        <w:rPr>
          <w:color w:val="231F20"/>
          <w:spacing w:val="-3"/>
          <w:sz w:val="18"/>
        </w:rPr>
        <w:t>од </w:t>
      </w:r>
      <w:r>
        <w:rPr>
          <w:color w:val="231F20"/>
          <w:sz w:val="18"/>
        </w:rPr>
        <w:t>ПК </w:t>
      </w:r>
      <w:r>
        <w:rPr>
          <w:color w:val="231F20"/>
          <w:spacing w:val="-4"/>
          <w:sz w:val="18"/>
        </w:rPr>
        <w:t>„Ћириковац” </w:t>
      </w:r>
      <w:r>
        <w:rPr>
          <w:color w:val="231F20"/>
          <w:sz w:val="18"/>
        </w:rPr>
        <w:t>до ПК „Дрмно”, На- мена површина 2022. године, нивелација и регулација; реферал- на карта бр. 6.3.2. – Коридор за транспорт </w:t>
      </w:r>
      <w:r>
        <w:rPr>
          <w:color w:val="231F20"/>
          <w:spacing w:val="-3"/>
          <w:sz w:val="18"/>
        </w:rPr>
        <w:t>рударске </w:t>
      </w:r>
      <w:r>
        <w:rPr>
          <w:color w:val="231F20"/>
          <w:sz w:val="18"/>
        </w:rPr>
        <w:t>механизаци- је </w:t>
      </w:r>
      <w:r>
        <w:rPr>
          <w:color w:val="231F20"/>
          <w:spacing w:val="-3"/>
          <w:sz w:val="18"/>
        </w:rPr>
        <w:t>од </w:t>
      </w:r>
      <w:r>
        <w:rPr>
          <w:color w:val="231F20"/>
          <w:sz w:val="18"/>
        </w:rPr>
        <w:t>ПК </w:t>
      </w:r>
      <w:r>
        <w:rPr>
          <w:color w:val="231F20"/>
          <w:spacing w:val="-4"/>
          <w:sz w:val="18"/>
        </w:rPr>
        <w:t>„Ћириковац” </w:t>
      </w:r>
      <w:r>
        <w:rPr>
          <w:color w:val="231F20"/>
          <w:sz w:val="18"/>
        </w:rPr>
        <w:t>до ПК „Дрмно”, Основе за парцелацију и решавање</w:t>
      </w:r>
      <w:r>
        <w:rPr>
          <w:color w:val="231F20"/>
          <w:spacing w:val="15"/>
          <w:sz w:val="18"/>
        </w:rPr>
        <w:t> </w:t>
      </w:r>
      <w:r>
        <w:rPr>
          <w:color w:val="231F20"/>
          <w:sz w:val="18"/>
        </w:rPr>
        <w:t>имовинско-правних</w:t>
      </w:r>
      <w:r>
        <w:rPr>
          <w:color w:val="231F20"/>
          <w:spacing w:val="15"/>
          <w:sz w:val="18"/>
        </w:rPr>
        <w:t> </w:t>
      </w:r>
      <w:r>
        <w:rPr>
          <w:color w:val="231F20"/>
          <w:sz w:val="18"/>
        </w:rPr>
        <w:t>односа;</w:t>
      </w:r>
      <w:r>
        <w:rPr>
          <w:color w:val="231F20"/>
          <w:spacing w:val="15"/>
          <w:sz w:val="18"/>
        </w:rPr>
        <w:t> </w:t>
      </w:r>
      <w:r>
        <w:rPr>
          <w:color w:val="231F20"/>
          <w:sz w:val="18"/>
        </w:rPr>
        <w:t>реферална</w:t>
      </w:r>
      <w:r>
        <w:rPr>
          <w:color w:val="231F20"/>
          <w:spacing w:val="15"/>
          <w:sz w:val="18"/>
        </w:rPr>
        <w:t> </w:t>
      </w:r>
      <w:r>
        <w:rPr>
          <w:color w:val="231F20"/>
          <w:sz w:val="18"/>
        </w:rPr>
        <w:t>карта</w:t>
      </w:r>
      <w:r>
        <w:rPr>
          <w:color w:val="231F20"/>
          <w:spacing w:val="15"/>
          <w:sz w:val="18"/>
        </w:rPr>
        <w:t> </w:t>
      </w:r>
      <w:r>
        <w:rPr>
          <w:color w:val="231F20"/>
          <w:sz w:val="18"/>
        </w:rPr>
        <w:t>бр.</w:t>
      </w:r>
      <w:r>
        <w:rPr>
          <w:color w:val="231F20"/>
          <w:spacing w:val="15"/>
          <w:sz w:val="18"/>
        </w:rPr>
        <w:t> </w:t>
      </w:r>
      <w:r>
        <w:rPr>
          <w:color w:val="231F20"/>
          <w:sz w:val="18"/>
        </w:rPr>
        <w:t>6.4.1.</w:t>
      </w:r>
    </w:p>
    <w:p>
      <w:pPr>
        <w:pStyle w:val="BodyText"/>
        <w:spacing w:line="235" w:lineRule="auto"/>
        <w:ind w:left="457"/>
      </w:pPr>
      <w:r>
        <w:rPr>
          <w:color w:val="231F20"/>
          <w:w w:val="66"/>
        </w:rPr>
        <w:t> </w:t>
      </w:r>
      <w:r>
        <w:rPr>
          <w:color w:val="231F20"/>
        </w:rPr>
        <w:t>– </w:t>
      </w:r>
      <w:r>
        <w:rPr>
          <w:color w:val="231F20"/>
          <w:spacing w:val="-3"/>
        </w:rPr>
        <w:t>Комплекс </w:t>
      </w:r>
      <w:r>
        <w:rPr>
          <w:color w:val="231F20"/>
          <w:spacing w:val="-6"/>
        </w:rPr>
        <w:t>„ТЕ </w:t>
      </w:r>
      <w:r>
        <w:rPr>
          <w:color w:val="231F20"/>
        </w:rPr>
        <w:t>Костолац А” са робним пристаништем, Намена површина 2022. године, нивелација и регулација; реферална</w:t>
      </w:r>
      <w:r>
        <w:rPr>
          <w:color w:val="231F20"/>
          <w:spacing w:val="-27"/>
        </w:rPr>
        <w:t> </w:t>
      </w:r>
      <w:r>
        <w:rPr>
          <w:color w:val="231F20"/>
        </w:rPr>
        <w:t>карта бр. 6.4.2. – </w:t>
      </w:r>
      <w:r>
        <w:rPr>
          <w:color w:val="231F20"/>
          <w:spacing w:val="-3"/>
        </w:rPr>
        <w:t>Комплекс </w:t>
      </w:r>
      <w:r>
        <w:rPr>
          <w:color w:val="231F20"/>
          <w:spacing w:val="-6"/>
        </w:rPr>
        <w:t>„ТЕ </w:t>
      </w:r>
      <w:r>
        <w:rPr>
          <w:color w:val="231F20"/>
        </w:rPr>
        <w:t>Костолац А” са робним пристаништем, Основе за парцелацију и решавање имовинско-правних односа; реферална карта бр. 6.5.2. – </w:t>
      </w:r>
      <w:r>
        <w:rPr>
          <w:color w:val="231F20"/>
          <w:spacing w:val="-3"/>
        </w:rPr>
        <w:t>Комплекс </w:t>
      </w:r>
      <w:r>
        <w:rPr>
          <w:color w:val="231F20"/>
          <w:spacing w:val="-6"/>
        </w:rPr>
        <w:t>„ТЕ </w:t>
      </w:r>
      <w:r>
        <w:rPr>
          <w:color w:val="231F20"/>
        </w:rPr>
        <w:t>Костолац Б”, Основе  за парцелацију и решавање имовинско-правних односа; реферал- на карта бр. 6.6.1. – Коридор пепелвода </w:t>
      </w:r>
      <w:r>
        <w:rPr>
          <w:color w:val="231F20"/>
          <w:spacing w:val="-3"/>
        </w:rPr>
        <w:t>од </w:t>
      </w:r>
      <w:r>
        <w:rPr>
          <w:color w:val="231F20"/>
          <w:spacing w:val="-6"/>
        </w:rPr>
        <w:t>„ТЕ </w:t>
      </w:r>
      <w:r>
        <w:rPr>
          <w:color w:val="231F20"/>
        </w:rPr>
        <w:t>Костолац А” до депоније „Средње </w:t>
      </w:r>
      <w:r>
        <w:rPr>
          <w:color w:val="231F20"/>
          <w:spacing w:val="-4"/>
        </w:rPr>
        <w:t>Костолачко </w:t>
      </w:r>
      <w:r>
        <w:rPr>
          <w:color w:val="231F20"/>
        </w:rPr>
        <w:t>острво” и </w:t>
      </w:r>
      <w:r>
        <w:rPr>
          <w:color w:val="231F20"/>
          <w:spacing w:val="-3"/>
        </w:rPr>
        <w:t>од </w:t>
      </w:r>
      <w:r>
        <w:rPr>
          <w:color w:val="231F20"/>
          <w:spacing w:val="-6"/>
        </w:rPr>
        <w:t>„ТЕ </w:t>
      </w:r>
      <w:r>
        <w:rPr>
          <w:color w:val="231F20"/>
        </w:rPr>
        <w:t>Костолац А” до депоније у површинском </w:t>
      </w:r>
      <w:r>
        <w:rPr>
          <w:color w:val="231F20"/>
          <w:spacing w:val="-3"/>
        </w:rPr>
        <w:t>копу „Ћириковац”, </w:t>
      </w:r>
      <w:r>
        <w:rPr>
          <w:color w:val="231F20"/>
        </w:rPr>
        <w:t>Намена површина 2022.</w:t>
      </w:r>
      <w:r>
        <w:rPr>
          <w:color w:val="231F20"/>
          <w:spacing w:val="7"/>
        </w:rPr>
        <w:t> </w:t>
      </w:r>
      <w:r>
        <w:rPr>
          <w:color w:val="231F20"/>
        </w:rPr>
        <w:t>године,</w:t>
      </w:r>
      <w:r>
        <w:rPr>
          <w:color w:val="231F20"/>
          <w:spacing w:val="7"/>
        </w:rPr>
        <w:t> </w:t>
      </w:r>
      <w:r>
        <w:rPr>
          <w:color w:val="231F20"/>
        </w:rPr>
        <w:t>нивелација</w:t>
      </w:r>
      <w:r>
        <w:rPr>
          <w:color w:val="231F20"/>
          <w:spacing w:val="7"/>
        </w:rPr>
        <w:t> </w:t>
      </w:r>
      <w:r>
        <w:rPr>
          <w:color w:val="231F20"/>
        </w:rPr>
        <w:t>и</w:t>
      </w:r>
      <w:r>
        <w:rPr>
          <w:color w:val="231F20"/>
          <w:spacing w:val="7"/>
        </w:rPr>
        <w:t> </w:t>
      </w:r>
      <w:r>
        <w:rPr>
          <w:color w:val="231F20"/>
        </w:rPr>
        <w:t>регулација;</w:t>
      </w:r>
      <w:r>
        <w:rPr>
          <w:color w:val="231F20"/>
          <w:spacing w:val="7"/>
        </w:rPr>
        <w:t> </w:t>
      </w:r>
      <w:r>
        <w:rPr>
          <w:color w:val="231F20"/>
        </w:rPr>
        <w:t>реферална</w:t>
      </w:r>
      <w:r>
        <w:rPr>
          <w:color w:val="231F20"/>
          <w:spacing w:val="7"/>
        </w:rPr>
        <w:t> </w:t>
      </w:r>
      <w:r>
        <w:rPr>
          <w:color w:val="231F20"/>
        </w:rPr>
        <w:t>карта</w:t>
      </w:r>
      <w:r>
        <w:rPr>
          <w:color w:val="231F20"/>
          <w:spacing w:val="7"/>
        </w:rPr>
        <w:t> </w:t>
      </w:r>
      <w:r>
        <w:rPr>
          <w:color w:val="231F20"/>
        </w:rPr>
        <w:t>бр.</w:t>
      </w:r>
      <w:r>
        <w:rPr>
          <w:color w:val="231F20"/>
          <w:spacing w:val="7"/>
        </w:rPr>
        <w:t> </w:t>
      </w:r>
      <w:r>
        <w:rPr>
          <w:color w:val="231F20"/>
        </w:rPr>
        <w:t>6.6.2.</w:t>
      </w:r>
    </w:p>
    <w:p>
      <w:pPr>
        <w:pStyle w:val="BodyText"/>
        <w:spacing w:line="235" w:lineRule="auto"/>
        <w:ind w:left="456" w:right="1"/>
      </w:pPr>
      <w:r>
        <w:rPr>
          <w:color w:val="231F20"/>
          <w:w w:val="66"/>
        </w:rPr>
        <w:t> </w:t>
      </w:r>
      <w:r>
        <w:rPr>
          <w:color w:val="231F20"/>
        </w:rPr>
        <w:t>– Коридор пепелвода </w:t>
      </w:r>
      <w:r>
        <w:rPr>
          <w:color w:val="231F20"/>
          <w:spacing w:val="-3"/>
        </w:rPr>
        <w:t>од </w:t>
      </w:r>
      <w:r>
        <w:rPr>
          <w:color w:val="231F20"/>
          <w:spacing w:val="-6"/>
        </w:rPr>
        <w:t>„ТЕ </w:t>
      </w:r>
      <w:r>
        <w:rPr>
          <w:color w:val="231F20"/>
        </w:rPr>
        <w:t>Костолац А” до депоније „Средње </w:t>
      </w:r>
      <w:r>
        <w:rPr>
          <w:color w:val="231F20"/>
          <w:spacing w:val="-4"/>
        </w:rPr>
        <w:t>Костолачко </w:t>
      </w:r>
      <w:r>
        <w:rPr>
          <w:color w:val="231F20"/>
        </w:rPr>
        <w:t>острво” и </w:t>
      </w:r>
      <w:r>
        <w:rPr>
          <w:color w:val="231F20"/>
          <w:spacing w:val="-3"/>
        </w:rPr>
        <w:t>од </w:t>
      </w:r>
      <w:r>
        <w:rPr>
          <w:color w:val="231F20"/>
          <w:spacing w:val="-6"/>
        </w:rPr>
        <w:t>„ТЕ </w:t>
      </w:r>
      <w:r>
        <w:rPr>
          <w:color w:val="231F20"/>
        </w:rPr>
        <w:t>Костолац А” до депоније у повр- </w:t>
      </w:r>
      <w:r>
        <w:rPr>
          <w:color w:val="231F20"/>
          <w:spacing w:val="-3"/>
        </w:rPr>
        <w:t>шинском копу „Ћириковац”, </w:t>
      </w:r>
      <w:r>
        <w:rPr>
          <w:color w:val="231F20"/>
        </w:rPr>
        <w:t>Основе за парцелацију и решавање имовинско-правних односа; реферална карта бр. 6.7.1. – Коридор за транспорт емулзије гипса </w:t>
      </w:r>
      <w:r>
        <w:rPr>
          <w:color w:val="231F20"/>
          <w:spacing w:val="-3"/>
        </w:rPr>
        <w:t>од  </w:t>
      </w:r>
      <w:r>
        <w:rPr>
          <w:color w:val="231F20"/>
          <w:spacing w:val="-6"/>
        </w:rPr>
        <w:t>„ТЕ  </w:t>
      </w:r>
      <w:r>
        <w:rPr>
          <w:color w:val="231F20"/>
        </w:rPr>
        <w:t>Костолац Б” до депоније  ПК</w:t>
      </w:r>
    </w:p>
    <w:p>
      <w:pPr>
        <w:pStyle w:val="BodyText"/>
        <w:spacing w:line="235" w:lineRule="auto" w:before="66"/>
        <w:ind w:left="239" w:right="125" w:firstLine="2"/>
      </w:pPr>
      <w:r>
        <w:rPr/>
        <w:br w:type="column"/>
      </w:r>
      <w:r>
        <w:rPr>
          <w:color w:val="231F20"/>
        </w:rPr>
        <w:t>„Дрмно”, Намена површина 2022. године, нивелација и регула- ција; реферална карта бр. 6.7.2. – Коридор за транспорт емулзије гипса</w:t>
      </w:r>
      <w:r>
        <w:rPr>
          <w:color w:val="231F20"/>
          <w:spacing w:val="-7"/>
        </w:rPr>
        <w:t> </w:t>
      </w:r>
      <w:r>
        <w:rPr>
          <w:color w:val="231F20"/>
          <w:spacing w:val="-3"/>
        </w:rPr>
        <w:t>од</w:t>
      </w:r>
      <w:r>
        <w:rPr>
          <w:color w:val="231F20"/>
          <w:spacing w:val="-7"/>
        </w:rPr>
        <w:t> </w:t>
      </w:r>
      <w:r>
        <w:rPr>
          <w:color w:val="231F20"/>
          <w:spacing w:val="-6"/>
        </w:rPr>
        <w:t>„ТЕ</w:t>
      </w:r>
      <w:r>
        <w:rPr>
          <w:color w:val="231F20"/>
          <w:spacing w:val="-7"/>
        </w:rPr>
        <w:t> </w:t>
      </w:r>
      <w:r>
        <w:rPr>
          <w:color w:val="231F20"/>
        </w:rPr>
        <w:t>Костолац</w:t>
      </w:r>
      <w:r>
        <w:rPr>
          <w:color w:val="231F20"/>
          <w:spacing w:val="-7"/>
        </w:rPr>
        <w:t> </w:t>
      </w:r>
      <w:r>
        <w:rPr>
          <w:color w:val="231F20"/>
        </w:rPr>
        <w:t>Б”</w:t>
      </w:r>
      <w:r>
        <w:rPr>
          <w:color w:val="231F20"/>
          <w:spacing w:val="-7"/>
        </w:rPr>
        <w:t> </w:t>
      </w:r>
      <w:r>
        <w:rPr>
          <w:color w:val="231F20"/>
        </w:rPr>
        <w:t>до</w:t>
      </w:r>
      <w:r>
        <w:rPr>
          <w:color w:val="231F20"/>
          <w:spacing w:val="-7"/>
        </w:rPr>
        <w:t> </w:t>
      </w:r>
      <w:r>
        <w:rPr>
          <w:color w:val="231F20"/>
        </w:rPr>
        <w:t>депоније</w:t>
      </w:r>
      <w:r>
        <w:rPr>
          <w:color w:val="231F20"/>
          <w:spacing w:val="-7"/>
        </w:rPr>
        <w:t> </w:t>
      </w:r>
      <w:r>
        <w:rPr>
          <w:color w:val="231F20"/>
        </w:rPr>
        <w:t>ПК</w:t>
      </w:r>
      <w:r>
        <w:rPr>
          <w:color w:val="231F20"/>
          <w:spacing w:val="-7"/>
        </w:rPr>
        <w:t> </w:t>
      </w:r>
      <w:r>
        <w:rPr>
          <w:color w:val="231F20"/>
        </w:rPr>
        <w:t>„Дрмно”,</w:t>
      </w:r>
      <w:r>
        <w:rPr>
          <w:color w:val="231F20"/>
          <w:spacing w:val="-7"/>
        </w:rPr>
        <w:t> </w:t>
      </w:r>
      <w:r>
        <w:rPr>
          <w:color w:val="231F20"/>
        </w:rPr>
        <w:t>Основе</w:t>
      </w:r>
      <w:r>
        <w:rPr>
          <w:color w:val="231F20"/>
          <w:spacing w:val="-7"/>
        </w:rPr>
        <w:t> </w:t>
      </w:r>
      <w:r>
        <w:rPr>
          <w:color w:val="231F20"/>
        </w:rPr>
        <w:t>за</w:t>
      </w:r>
      <w:r>
        <w:rPr>
          <w:color w:val="231F20"/>
          <w:spacing w:val="-7"/>
        </w:rPr>
        <w:t> </w:t>
      </w:r>
      <w:r>
        <w:rPr>
          <w:color w:val="231F20"/>
        </w:rPr>
        <w:t>пар- целацију</w:t>
      </w:r>
      <w:r>
        <w:rPr>
          <w:color w:val="231F20"/>
          <w:spacing w:val="-9"/>
        </w:rPr>
        <w:t> </w:t>
      </w:r>
      <w:r>
        <w:rPr>
          <w:color w:val="231F20"/>
        </w:rPr>
        <w:t>и</w:t>
      </w:r>
      <w:r>
        <w:rPr>
          <w:color w:val="231F20"/>
          <w:spacing w:val="-9"/>
        </w:rPr>
        <w:t> </w:t>
      </w:r>
      <w:r>
        <w:rPr>
          <w:color w:val="231F20"/>
        </w:rPr>
        <w:t>решавање</w:t>
      </w:r>
      <w:r>
        <w:rPr>
          <w:color w:val="231F20"/>
          <w:spacing w:val="-9"/>
        </w:rPr>
        <w:t> </w:t>
      </w:r>
      <w:r>
        <w:rPr>
          <w:color w:val="231F20"/>
        </w:rPr>
        <w:t>имовинско-правних</w:t>
      </w:r>
      <w:r>
        <w:rPr>
          <w:color w:val="231F20"/>
          <w:spacing w:val="-9"/>
        </w:rPr>
        <w:t> </w:t>
      </w:r>
      <w:r>
        <w:rPr>
          <w:color w:val="231F20"/>
        </w:rPr>
        <w:t>односа;</w:t>
      </w:r>
      <w:r>
        <w:rPr>
          <w:color w:val="231F20"/>
          <w:spacing w:val="-9"/>
        </w:rPr>
        <w:t> </w:t>
      </w:r>
      <w:r>
        <w:rPr>
          <w:color w:val="231F20"/>
        </w:rPr>
        <w:t>реферална</w:t>
      </w:r>
      <w:r>
        <w:rPr>
          <w:color w:val="231F20"/>
          <w:spacing w:val="-9"/>
        </w:rPr>
        <w:t> </w:t>
      </w:r>
      <w:r>
        <w:rPr>
          <w:color w:val="231F20"/>
        </w:rPr>
        <w:t>карта бр. 6.8.1. – Депонија пепела и шљаке у површинском </w:t>
      </w:r>
      <w:r>
        <w:rPr>
          <w:color w:val="231F20"/>
          <w:spacing w:val="-3"/>
        </w:rPr>
        <w:t>копу </w:t>
      </w:r>
      <w:r>
        <w:rPr>
          <w:color w:val="231F20"/>
          <w:spacing w:val="-4"/>
        </w:rPr>
        <w:t>„Ћири- </w:t>
      </w:r>
      <w:r>
        <w:rPr>
          <w:color w:val="231F20"/>
          <w:spacing w:val="-3"/>
        </w:rPr>
        <w:t>ковац” </w:t>
      </w:r>
      <w:r>
        <w:rPr>
          <w:color w:val="231F20"/>
        </w:rPr>
        <w:t>коридор пепелвода </w:t>
      </w:r>
      <w:r>
        <w:rPr>
          <w:color w:val="231F20"/>
          <w:spacing w:val="-6"/>
        </w:rPr>
        <w:t>„ТЕ </w:t>
      </w:r>
      <w:r>
        <w:rPr>
          <w:color w:val="231F20"/>
        </w:rPr>
        <w:t>Костолац Б”, до депоније, Намена површина 2022. године, нивелација и регулација; реферална карта бр. 6.8.2. – Депонија пепела и шљаке у површинском </w:t>
      </w:r>
      <w:r>
        <w:rPr>
          <w:color w:val="231F20"/>
          <w:spacing w:val="-3"/>
        </w:rPr>
        <w:t>копу </w:t>
      </w:r>
      <w:r>
        <w:rPr>
          <w:color w:val="231F20"/>
          <w:spacing w:val="-4"/>
        </w:rPr>
        <w:t>„Ћири- </w:t>
      </w:r>
      <w:r>
        <w:rPr>
          <w:color w:val="231F20"/>
          <w:spacing w:val="-3"/>
        </w:rPr>
        <w:t>ковац” </w:t>
      </w:r>
      <w:r>
        <w:rPr>
          <w:color w:val="231F20"/>
        </w:rPr>
        <w:t>коридор пепелвода </w:t>
      </w:r>
      <w:r>
        <w:rPr>
          <w:color w:val="231F20"/>
          <w:spacing w:val="-6"/>
        </w:rPr>
        <w:t>„ТЕ </w:t>
      </w:r>
      <w:r>
        <w:rPr>
          <w:color w:val="231F20"/>
        </w:rPr>
        <w:t>Костолац Б”, до депоније, Основе за</w:t>
      </w:r>
      <w:r>
        <w:rPr>
          <w:color w:val="231F20"/>
          <w:spacing w:val="-10"/>
        </w:rPr>
        <w:t> </w:t>
      </w:r>
      <w:r>
        <w:rPr>
          <w:color w:val="231F20"/>
        </w:rPr>
        <w:t>парцелацију</w:t>
      </w:r>
      <w:r>
        <w:rPr>
          <w:color w:val="231F20"/>
          <w:spacing w:val="-10"/>
        </w:rPr>
        <w:t> </w:t>
      </w:r>
      <w:r>
        <w:rPr>
          <w:color w:val="231F20"/>
        </w:rPr>
        <w:t>и</w:t>
      </w:r>
      <w:r>
        <w:rPr>
          <w:color w:val="231F20"/>
          <w:spacing w:val="-10"/>
        </w:rPr>
        <w:t> </w:t>
      </w:r>
      <w:r>
        <w:rPr>
          <w:color w:val="231F20"/>
        </w:rPr>
        <w:t>решавање</w:t>
      </w:r>
      <w:r>
        <w:rPr>
          <w:color w:val="231F20"/>
          <w:spacing w:val="-10"/>
        </w:rPr>
        <w:t> </w:t>
      </w:r>
      <w:r>
        <w:rPr>
          <w:color w:val="231F20"/>
        </w:rPr>
        <w:t>имовинско-правних</w:t>
      </w:r>
      <w:r>
        <w:rPr>
          <w:color w:val="231F20"/>
          <w:spacing w:val="-10"/>
        </w:rPr>
        <w:t> </w:t>
      </w:r>
      <w:r>
        <w:rPr>
          <w:color w:val="231F20"/>
        </w:rPr>
        <w:t>односа;</w:t>
      </w:r>
      <w:r>
        <w:rPr>
          <w:color w:val="231F20"/>
          <w:spacing w:val="-10"/>
        </w:rPr>
        <w:t> </w:t>
      </w:r>
      <w:r>
        <w:rPr>
          <w:color w:val="231F20"/>
        </w:rPr>
        <w:t>реферална карта бр. 6.9.1. лист 1 – Коридор индустријског колосека </w:t>
      </w:r>
      <w:r>
        <w:rPr>
          <w:color w:val="231F20"/>
          <w:spacing w:val="-3"/>
        </w:rPr>
        <w:t>од </w:t>
      </w:r>
      <w:r>
        <w:rPr>
          <w:color w:val="231F20"/>
        </w:rPr>
        <w:t>желе- зничке станице Стиг до ТЕ „Костолац Б”, Намена површина 2022. године, нивелација и регулација; реферална карта бр. 6.9.2. лист  1 – Коридор индустријског колосека </w:t>
      </w:r>
      <w:r>
        <w:rPr>
          <w:color w:val="231F20"/>
          <w:spacing w:val="-3"/>
        </w:rPr>
        <w:t>од </w:t>
      </w:r>
      <w:r>
        <w:rPr>
          <w:color w:val="231F20"/>
        </w:rPr>
        <w:t>железничке станице Стиг до ТЕ „Костолац Б”, Основе за парцелацију и решавање имовин- ско-правних односа; реферална карта бр. 6.9.1. лист 2 – Коридор индустријског колосека </w:t>
      </w:r>
      <w:r>
        <w:rPr>
          <w:color w:val="231F20"/>
          <w:spacing w:val="-3"/>
        </w:rPr>
        <w:t>од </w:t>
      </w:r>
      <w:r>
        <w:rPr>
          <w:color w:val="231F20"/>
        </w:rPr>
        <w:t>железничке станице Стиг до ТЕ </w:t>
      </w:r>
      <w:r>
        <w:rPr>
          <w:color w:val="231F20"/>
          <w:spacing w:val="-3"/>
        </w:rPr>
        <w:t>„Ко- </w:t>
      </w:r>
      <w:r>
        <w:rPr>
          <w:color w:val="231F20"/>
        </w:rPr>
        <w:t>столац Б”, Намена површина 2022. године, нивелација и регула- ција; реферална карта бр. 6.9.2. лист 2 – Коридор индустријског колосека</w:t>
      </w:r>
      <w:r>
        <w:rPr>
          <w:color w:val="231F20"/>
          <w:spacing w:val="-7"/>
        </w:rPr>
        <w:t> </w:t>
      </w:r>
      <w:r>
        <w:rPr>
          <w:color w:val="231F20"/>
          <w:spacing w:val="-3"/>
        </w:rPr>
        <w:t>од</w:t>
      </w:r>
      <w:r>
        <w:rPr>
          <w:color w:val="231F20"/>
          <w:spacing w:val="-7"/>
        </w:rPr>
        <w:t> </w:t>
      </w:r>
      <w:r>
        <w:rPr>
          <w:color w:val="231F20"/>
        </w:rPr>
        <w:t>железничке</w:t>
      </w:r>
      <w:r>
        <w:rPr>
          <w:color w:val="231F20"/>
          <w:spacing w:val="-7"/>
        </w:rPr>
        <w:t> </w:t>
      </w:r>
      <w:r>
        <w:rPr>
          <w:color w:val="231F20"/>
        </w:rPr>
        <w:t>станице</w:t>
      </w:r>
      <w:r>
        <w:rPr>
          <w:color w:val="231F20"/>
          <w:spacing w:val="-7"/>
        </w:rPr>
        <w:t> </w:t>
      </w:r>
      <w:r>
        <w:rPr>
          <w:color w:val="231F20"/>
        </w:rPr>
        <w:t>Стиг</w:t>
      </w:r>
      <w:r>
        <w:rPr>
          <w:color w:val="231F20"/>
          <w:spacing w:val="-7"/>
        </w:rPr>
        <w:t> </w:t>
      </w:r>
      <w:r>
        <w:rPr>
          <w:color w:val="231F20"/>
        </w:rPr>
        <w:t>до</w:t>
      </w:r>
      <w:r>
        <w:rPr>
          <w:color w:val="231F20"/>
          <w:spacing w:val="-7"/>
        </w:rPr>
        <w:t> </w:t>
      </w:r>
      <w:r>
        <w:rPr>
          <w:color w:val="231F20"/>
        </w:rPr>
        <w:t>ТЕ</w:t>
      </w:r>
      <w:r>
        <w:rPr>
          <w:color w:val="231F20"/>
          <w:spacing w:val="-7"/>
        </w:rPr>
        <w:t> </w:t>
      </w:r>
      <w:r>
        <w:rPr>
          <w:color w:val="231F20"/>
        </w:rPr>
        <w:t>„Костолац</w:t>
      </w:r>
      <w:r>
        <w:rPr>
          <w:color w:val="231F20"/>
          <w:spacing w:val="-7"/>
        </w:rPr>
        <w:t> </w:t>
      </w:r>
      <w:r>
        <w:rPr>
          <w:color w:val="231F20"/>
        </w:rPr>
        <w:t>Б”,</w:t>
      </w:r>
      <w:r>
        <w:rPr>
          <w:color w:val="231F20"/>
          <w:spacing w:val="-7"/>
        </w:rPr>
        <w:t> </w:t>
      </w:r>
      <w:r>
        <w:rPr>
          <w:color w:val="231F20"/>
        </w:rPr>
        <w:t>Основе за</w:t>
      </w:r>
      <w:r>
        <w:rPr>
          <w:color w:val="231F20"/>
          <w:spacing w:val="-10"/>
        </w:rPr>
        <w:t> </w:t>
      </w:r>
      <w:r>
        <w:rPr>
          <w:color w:val="231F20"/>
        </w:rPr>
        <w:t>парцелацију</w:t>
      </w:r>
      <w:r>
        <w:rPr>
          <w:color w:val="231F20"/>
          <w:spacing w:val="-10"/>
        </w:rPr>
        <w:t> </w:t>
      </w:r>
      <w:r>
        <w:rPr>
          <w:color w:val="231F20"/>
        </w:rPr>
        <w:t>и</w:t>
      </w:r>
      <w:r>
        <w:rPr>
          <w:color w:val="231F20"/>
          <w:spacing w:val="-10"/>
        </w:rPr>
        <w:t> </w:t>
      </w:r>
      <w:r>
        <w:rPr>
          <w:color w:val="231F20"/>
        </w:rPr>
        <w:t>решавање</w:t>
      </w:r>
      <w:r>
        <w:rPr>
          <w:color w:val="231F20"/>
          <w:spacing w:val="-10"/>
        </w:rPr>
        <w:t> </w:t>
      </w:r>
      <w:r>
        <w:rPr>
          <w:color w:val="231F20"/>
        </w:rPr>
        <w:t>имовинско-правних</w:t>
      </w:r>
      <w:r>
        <w:rPr>
          <w:color w:val="231F20"/>
          <w:spacing w:val="-10"/>
        </w:rPr>
        <w:t> </w:t>
      </w:r>
      <w:r>
        <w:rPr>
          <w:color w:val="231F20"/>
        </w:rPr>
        <w:t>односа;</w:t>
      </w:r>
      <w:r>
        <w:rPr>
          <w:color w:val="231F20"/>
          <w:spacing w:val="-10"/>
        </w:rPr>
        <w:t> </w:t>
      </w:r>
      <w:r>
        <w:rPr>
          <w:color w:val="231F20"/>
        </w:rPr>
        <w:t>реферална карта бр. 6.9.1. лист 3 – Коридор индустријског колосека </w:t>
      </w:r>
      <w:r>
        <w:rPr>
          <w:color w:val="231F20"/>
          <w:spacing w:val="-3"/>
        </w:rPr>
        <w:t>од </w:t>
      </w:r>
      <w:r>
        <w:rPr>
          <w:color w:val="231F20"/>
        </w:rPr>
        <w:t>желе- зничке станице Стиг до ТЕ „Костолац Б”, Намена површина 2022. године, нивелација и регулација; реферална карта бр. 6.9.2. лист</w:t>
      </w:r>
      <w:r>
        <w:rPr>
          <w:color w:val="231F20"/>
          <w:spacing w:val="-9"/>
        </w:rPr>
        <w:t> </w:t>
      </w:r>
      <w:r>
        <w:rPr>
          <w:color w:val="231F20"/>
        </w:rPr>
        <w:t>3</w:t>
      </w:r>
    </w:p>
    <w:p>
      <w:pPr>
        <w:pStyle w:val="BodyText"/>
        <w:spacing w:line="184" w:lineRule="exact"/>
        <w:ind w:left="239"/>
        <w:jc w:val="left"/>
      </w:pPr>
      <w:r>
        <w:rPr>
          <w:color w:val="231F20"/>
          <w:w w:val="66"/>
        </w:rPr>
        <w:t> </w:t>
      </w:r>
      <w:r>
        <w:rPr>
          <w:color w:val="231F20"/>
        </w:rPr>
        <w:t>– Коридор индустријског колосека од железничке станице Стиг до</w:t>
      </w:r>
    </w:p>
    <w:p>
      <w:pPr>
        <w:pStyle w:val="BodyText"/>
        <w:spacing w:line="235" w:lineRule="auto" w:before="1"/>
        <w:ind w:left="238" w:right="128"/>
      </w:pPr>
      <w:r>
        <w:rPr>
          <w:color w:val="231F20"/>
        </w:rPr>
        <w:t>ТЕ „Костолац Б”, Основе за парцелацију и решавање имовинско- правних</w:t>
      </w:r>
      <w:r>
        <w:rPr>
          <w:color w:val="231F20"/>
          <w:spacing w:val="-8"/>
        </w:rPr>
        <w:t> </w:t>
      </w:r>
      <w:r>
        <w:rPr>
          <w:color w:val="231F20"/>
        </w:rPr>
        <w:t>односа;</w:t>
      </w:r>
      <w:r>
        <w:rPr>
          <w:color w:val="231F20"/>
          <w:spacing w:val="-9"/>
        </w:rPr>
        <w:t> </w:t>
      </w:r>
      <w:r>
        <w:rPr>
          <w:color w:val="231F20"/>
        </w:rPr>
        <w:t>реферална</w:t>
      </w:r>
      <w:r>
        <w:rPr>
          <w:color w:val="231F20"/>
          <w:spacing w:val="-8"/>
        </w:rPr>
        <w:t> </w:t>
      </w:r>
      <w:r>
        <w:rPr>
          <w:color w:val="231F20"/>
        </w:rPr>
        <w:t>карта</w:t>
      </w:r>
      <w:r>
        <w:rPr>
          <w:color w:val="231F20"/>
          <w:spacing w:val="-8"/>
        </w:rPr>
        <w:t> </w:t>
      </w:r>
      <w:r>
        <w:rPr>
          <w:color w:val="231F20"/>
        </w:rPr>
        <w:t>бр.</w:t>
      </w:r>
      <w:r>
        <w:rPr>
          <w:color w:val="231F20"/>
          <w:spacing w:val="-8"/>
        </w:rPr>
        <w:t> </w:t>
      </w:r>
      <w:r>
        <w:rPr>
          <w:color w:val="231F20"/>
        </w:rPr>
        <w:t>6.9.1.</w:t>
      </w:r>
      <w:r>
        <w:rPr>
          <w:color w:val="231F20"/>
          <w:spacing w:val="-8"/>
        </w:rPr>
        <w:t> </w:t>
      </w:r>
      <w:r>
        <w:rPr>
          <w:color w:val="231F20"/>
        </w:rPr>
        <w:t>лист</w:t>
      </w:r>
      <w:r>
        <w:rPr>
          <w:color w:val="231F20"/>
          <w:spacing w:val="-8"/>
        </w:rPr>
        <w:t> </w:t>
      </w:r>
      <w:r>
        <w:rPr>
          <w:color w:val="231F20"/>
        </w:rPr>
        <w:t>4</w:t>
      </w:r>
      <w:r>
        <w:rPr>
          <w:color w:val="231F20"/>
          <w:spacing w:val="17"/>
        </w:rPr>
        <w:t> </w:t>
      </w:r>
      <w:r>
        <w:rPr>
          <w:color w:val="231F20"/>
        </w:rPr>
        <w:t>–</w:t>
      </w:r>
      <w:r>
        <w:rPr>
          <w:color w:val="231F20"/>
          <w:spacing w:val="-8"/>
        </w:rPr>
        <w:t> </w:t>
      </w:r>
      <w:r>
        <w:rPr>
          <w:color w:val="231F20"/>
        </w:rPr>
        <w:t>Коридор</w:t>
      </w:r>
      <w:r>
        <w:rPr>
          <w:color w:val="231F20"/>
          <w:spacing w:val="-8"/>
        </w:rPr>
        <w:t> </w:t>
      </w:r>
      <w:r>
        <w:rPr>
          <w:color w:val="231F20"/>
        </w:rPr>
        <w:t>инду- стријског колосека </w:t>
      </w:r>
      <w:r>
        <w:rPr>
          <w:color w:val="231F20"/>
          <w:spacing w:val="-3"/>
        </w:rPr>
        <w:t>од </w:t>
      </w:r>
      <w:r>
        <w:rPr>
          <w:color w:val="231F20"/>
        </w:rPr>
        <w:t>железничке станице Стиг до ТЕ „Костолац Б”, Намена површина 2022. године, нивелација и регулација; ре- ферална карта бр. 6.9.2. лист 4 – Коридор индустријског колосека </w:t>
      </w:r>
      <w:r>
        <w:rPr>
          <w:color w:val="231F20"/>
          <w:spacing w:val="-3"/>
        </w:rPr>
        <w:t>од </w:t>
      </w:r>
      <w:r>
        <w:rPr>
          <w:color w:val="231F20"/>
        </w:rPr>
        <w:t>железничке станице Стиг до ТЕ „Костолац Б”, Основе за пар- целацију</w:t>
      </w:r>
      <w:r>
        <w:rPr>
          <w:color w:val="231F20"/>
          <w:spacing w:val="-9"/>
        </w:rPr>
        <w:t> </w:t>
      </w:r>
      <w:r>
        <w:rPr>
          <w:color w:val="231F20"/>
        </w:rPr>
        <w:t>и</w:t>
      </w:r>
      <w:r>
        <w:rPr>
          <w:color w:val="231F20"/>
          <w:spacing w:val="-9"/>
        </w:rPr>
        <w:t> </w:t>
      </w:r>
      <w:r>
        <w:rPr>
          <w:color w:val="231F20"/>
        </w:rPr>
        <w:t>решавање</w:t>
      </w:r>
      <w:r>
        <w:rPr>
          <w:color w:val="231F20"/>
          <w:spacing w:val="-9"/>
        </w:rPr>
        <w:t> </w:t>
      </w:r>
      <w:r>
        <w:rPr>
          <w:color w:val="231F20"/>
        </w:rPr>
        <w:t>имовинско-правних</w:t>
      </w:r>
      <w:r>
        <w:rPr>
          <w:color w:val="231F20"/>
          <w:spacing w:val="-9"/>
        </w:rPr>
        <w:t> </w:t>
      </w:r>
      <w:r>
        <w:rPr>
          <w:color w:val="231F20"/>
        </w:rPr>
        <w:t>односа;</w:t>
      </w:r>
      <w:r>
        <w:rPr>
          <w:color w:val="231F20"/>
          <w:spacing w:val="-9"/>
        </w:rPr>
        <w:t> </w:t>
      </w:r>
      <w:r>
        <w:rPr>
          <w:color w:val="231F20"/>
        </w:rPr>
        <w:t>реферална</w:t>
      </w:r>
      <w:r>
        <w:rPr>
          <w:color w:val="231F20"/>
          <w:spacing w:val="-9"/>
        </w:rPr>
        <w:t> </w:t>
      </w:r>
      <w:r>
        <w:rPr>
          <w:color w:val="231F20"/>
        </w:rPr>
        <w:t>карта бр. 6.9.1. лист 5 – Коридор индустријског колосека </w:t>
      </w:r>
      <w:r>
        <w:rPr>
          <w:color w:val="231F20"/>
          <w:spacing w:val="-3"/>
        </w:rPr>
        <w:t>од </w:t>
      </w:r>
      <w:r>
        <w:rPr>
          <w:color w:val="231F20"/>
        </w:rPr>
        <w:t>железничке станице</w:t>
      </w:r>
      <w:r>
        <w:rPr>
          <w:color w:val="231F20"/>
          <w:spacing w:val="-6"/>
        </w:rPr>
        <w:t> </w:t>
      </w:r>
      <w:r>
        <w:rPr>
          <w:color w:val="231F20"/>
        </w:rPr>
        <w:t>Стиг</w:t>
      </w:r>
      <w:r>
        <w:rPr>
          <w:color w:val="231F20"/>
          <w:spacing w:val="-6"/>
        </w:rPr>
        <w:t> </w:t>
      </w:r>
      <w:r>
        <w:rPr>
          <w:color w:val="231F20"/>
        </w:rPr>
        <w:t>до</w:t>
      </w:r>
      <w:r>
        <w:rPr>
          <w:color w:val="231F20"/>
          <w:spacing w:val="-6"/>
        </w:rPr>
        <w:t> „ТЕ </w:t>
      </w:r>
      <w:r>
        <w:rPr>
          <w:color w:val="231F20"/>
        </w:rPr>
        <w:t>Костолац</w:t>
      </w:r>
      <w:r>
        <w:rPr>
          <w:color w:val="231F20"/>
          <w:spacing w:val="-6"/>
        </w:rPr>
        <w:t> </w:t>
      </w:r>
      <w:r>
        <w:rPr>
          <w:color w:val="231F20"/>
        </w:rPr>
        <w:t>Б”,</w:t>
      </w:r>
      <w:r>
        <w:rPr>
          <w:color w:val="231F20"/>
          <w:spacing w:val="-6"/>
        </w:rPr>
        <w:t> </w:t>
      </w:r>
      <w:r>
        <w:rPr>
          <w:color w:val="231F20"/>
        </w:rPr>
        <w:t>Намена</w:t>
      </w:r>
      <w:r>
        <w:rPr>
          <w:color w:val="231F20"/>
          <w:spacing w:val="-6"/>
        </w:rPr>
        <w:t> </w:t>
      </w:r>
      <w:r>
        <w:rPr>
          <w:color w:val="231F20"/>
        </w:rPr>
        <w:t>површина</w:t>
      </w:r>
      <w:r>
        <w:rPr>
          <w:color w:val="231F20"/>
          <w:spacing w:val="-6"/>
        </w:rPr>
        <w:t> </w:t>
      </w:r>
      <w:r>
        <w:rPr>
          <w:color w:val="231F20"/>
        </w:rPr>
        <w:t>2022.</w:t>
      </w:r>
      <w:r>
        <w:rPr>
          <w:color w:val="231F20"/>
          <w:spacing w:val="-6"/>
        </w:rPr>
        <w:t> </w:t>
      </w:r>
      <w:r>
        <w:rPr>
          <w:color w:val="231F20"/>
        </w:rPr>
        <w:t>године, нивелација и регулација; реферална карта 6.9.2. лист 5 – Коридор индустријског колосека </w:t>
      </w:r>
      <w:r>
        <w:rPr>
          <w:color w:val="231F20"/>
          <w:spacing w:val="-3"/>
        </w:rPr>
        <w:t>од </w:t>
      </w:r>
      <w:r>
        <w:rPr>
          <w:color w:val="231F20"/>
        </w:rPr>
        <w:t>железничке станице Стиг до </w:t>
      </w:r>
      <w:r>
        <w:rPr>
          <w:color w:val="231F20"/>
          <w:spacing w:val="-6"/>
        </w:rPr>
        <w:t>„ТЕ </w:t>
      </w:r>
      <w:r>
        <w:rPr>
          <w:color w:val="231F20"/>
          <w:spacing w:val="-4"/>
        </w:rPr>
        <w:t>Ко- </w:t>
      </w:r>
      <w:r>
        <w:rPr>
          <w:color w:val="231F20"/>
        </w:rPr>
        <w:t>столац Б”, Основе за парцелацију и решавање имовинско-правних односа; реферална карта 6.10.1. – </w:t>
      </w:r>
      <w:r>
        <w:rPr>
          <w:color w:val="231F20"/>
          <w:spacing w:val="-3"/>
        </w:rPr>
        <w:t>Комплекс </w:t>
      </w:r>
      <w:r>
        <w:rPr>
          <w:color w:val="231F20"/>
        </w:rPr>
        <w:t>„Долина реке Млаве”, Намена површина 2022. године, нивелација и регулација, и рефе- рална карта 6.10.2. – </w:t>
      </w:r>
      <w:r>
        <w:rPr>
          <w:color w:val="231F20"/>
          <w:spacing w:val="-3"/>
        </w:rPr>
        <w:t>Комплекс </w:t>
      </w:r>
      <w:r>
        <w:rPr>
          <w:color w:val="231F20"/>
        </w:rPr>
        <w:t>„Долина реке Млаве”, Основе за парцелацију и решавање имовинско-правних</w:t>
      </w:r>
      <w:r>
        <w:rPr>
          <w:color w:val="231F20"/>
          <w:spacing w:val="-8"/>
        </w:rPr>
        <w:t> </w:t>
      </w:r>
      <w:r>
        <w:rPr>
          <w:color w:val="231F20"/>
        </w:rPr>
        <w:t>односа.</w:t>
      </w:r>
    </w:p>
    <w:p>
      <w:pPr>
        <w:pStyle w:val="BodyText"/>
        <w:spacing w:line="190" w:lineRule="exact"/>
        <w:ind w:left="635"/>
        <w:jc w:val="left"/>
      </w:pPr>
      <w:r>
        <w:rPr>
          <w:color w:val="231F20"/>
        </w:rPr>
        <w:t>Графичке приказе из ст. 3. и 4. овог члана, израђене у четр-</w:t>
      </w:r>
    </w:p>
    <w:p>
      <w:pPr>
        <w:pStyle w:val="BodyText"/>
        <w:spacing w:line="235" w:lineRule="auto" w:before="1"/>
        <w:ind w:left="238" w:right="128"/>
      </w:pPr>
      <w:r>
        <w:rPr>
          <w:color w:val="231F20"/>
        </w:rPr>
        <w:t>наест примерака, оверава својим потписом министар надлежан за послове просторног планирања.</w:t>
      </w:r>
    </w:p>
    <w:p>
      <w:pPr>
        <w:pStyle w:val="BodyText"/>
        <w:spacing w:line="205" w:lineRule="exact" w:before="166"/>
        <w:ind w:left="1924" w:right="1816"/>
        <w:jc w:val="center"/>
      </w:pPr>
      <w:r>
        <w:rPr>
          <w:color w:val="231F20"/>
        </w:rPr>
        <w:t>Члан 4.</w:t>
      </w:r>
    </w:p>
    <w:p>
      <w:pPr>
        <w:pStyle w:val="BodyText"/>
        <w:spacing w:line="235" w:lineRule="auto" w:before="1"/>
        <w:ind w:left="238" w:right="128" w:firstLine="396"/>
      </w:pPr>
      <w:r>
        <w:rPr>
          <w:color w:val="231F20"/>
        </w:rPr>
        <w:t>Просторни план се спроводи непосредно локацијском до- зволом, и по потреби урбанистичким плановима, као и развојним плановима и програмима, програмима уређења грађевинског зе- мљишта и програмима заштите животне средине и природе.</w:t>
      </w:r>
    </w:p>
    <w:p>
      <w:pPr>
        <w:pStyle w:val="BodyText"/>
        <w:spacing w:line="205" w:lineRule="exact" w:before="164"/>
        <w:ind w:left="1923" w:right="1816"/>
        <w:jc w:val="center"/>
      </w:pPr>
      <w:r>
        <w:rPr>
          <w:color w:val="231F20"/>
        </w:rPr>
        <w:t>Члан 5.</w:t>
      </w:r>
    </w:p>
    <w:p>
      <w:pPr>
        <w:pStyle w:val="BodyText"/>
        <w:spacing w:line="235" w:lineRule="auto" w:before="1"/>
        <w:ind w:left="238" w:right="128" w:firstLine="397"/>
      </w:pPr>
      <w:r>
        <w:rPr>
          <w:color w:val="231F20"/>
        </w:rPr>
        <w:t>Графички прикази из члана 3. </w:t>
      </w:r>
      <w:r>
        <w:rPr>
          <w:color w:val="231F20"/>
          <w:spacing w:val="-5"/>
        </w:rPr>
        <w:t>ст. </w:t>
      </w:r>
      <w:r>
        <w:rPr>
          <w:color w:val="231F20"/>
        </w:rPr>
        <w:t>3. и 4. ове уредбе, чувају се трајно у Влади (један </w:t>
      </w:r>
      <w:r>
        <w:rPr>
          <w:color w:val="231F20"/>
          <w:spacing w:val="-3"/>
        </w:rPr>
        <w:t>комплет), </w:t>
      </w:r>
      <w:r>
        <w:rPr>
          <w:color w:val="231F20"/>
        </w:rPr>
        <w:t>Министарству природних ресур- са, </w:t>
      </w:r>
      <w:r>
        <w:rPr>
          <w:color w:val="231F20"/>
          <w:spacing w:val="-3"/>
        </w:rPr>
        <w:t>рударства </w:t>
      </w:r>
      <w:r>
        <w:rPr>
          <w:color w:val="231F20"/>
        </w:rPr>
        <w:t>и просторног планирања (три комплета), Министар- ству енергетике, развоја и заштите животне средине (два </w:t>
      </w:r>
      <w:r>
        <w:rPr>
          <w:color w:val="231F20"/>
          <w:spacing w:val="-3"/>
        </w:rPr>
        <w:t>компле- </w:t>
      </w:r>
      <w:r>
        <w:rPr>
          <w:color w:val="231F20"/>
        </w:rPr>
        <w:t>та), Министарству грађевинарства и урбанизма (један </w:t>
      </w:r>
      <w:r>
        <w:rPr>
          <w:color w:val="231F20"/>
          <w:spacing w:val="-3"/>
        </w:rPr>
        <w:t>комплет), </w:t>
      </w:r>
      <w:r>
        <w:rPr>
          <w:color w:val="231F20"/>
        </w:rPr>
        <w:t>Министарству пољопривреде, шумарства и водопривреде (један </w:t>
      </w:r>
      <w:r>
        <w:rPr>
          <w:color w:val="231F20"/>
          <w:spacing w:val="-3"/>
        </w:rPr>
        <w:t>комплет), </w:t>
      </w:r>
      <w:r>
        <w:rPr>
          <w:color w:val="231F20"/>
        </w:rPr>
        <w:t>граду Пожаревцу (један </w:t>
      </w:r>
      <w:r>
        <w:rPr>
          <w:color w:val="231F20"/>
          <w:spacing w:val="-3"/>
        </w:rPr>
        <w:t>комплет), </w:t>
      </w:r>
      <w:r>
        <w:rPr>
          <w:color w:val="231F20"/>
        </w:rPr>
        <w:t>општини Велико </w:t>
      </w:r>
      <w:r>
        <w:rPr>
          <w:color w:val="231F20"/>
          <w:spacing w:val="-3"/>
        </w:rPr>
        <w:t>Гра- </w:t>
      </w:r>
      <w:r>
        <w:rPr>
          <w:color w:val="231F20"/>
        </w:rPr>
        <w:t>диште (један </w:t>
      </w:r>
      <w:r>
        <w:rPr>
          <w:color w:val="231F20"/>
          <w:spacing w:val="-3"/>
        </w:rPr>
        <w:t>комплет), </w:t>
      </w:r>
      <w:r>
        <w:rPr>
          <w:color w:val="231F20"/>
        </w:rPr>
        <w:t>ЈП „Електропривреда Србије” (један </w:t>
      </w:r>
      <w:r>
        <w:rPr>
          <w:color w:val="231F20"/>
          <w:spacing w:val="-4"/>
        </w:rPr>
        <w:t>ком- </w:t>
      </w:r>
      <w:r>
        <w:rPr>
          <w:color w:val="231F20"/>
        </w:rPr>
        <w:t>плет), Привредном друштву ТЕ-КО „Костолац” (један </w:t>
      </w:r>
      <w:r>
        <w:rPr>
          <w:color w:val="231F20"/>
          <w:spacing w:val="-3"/>
        </w:rPr>
        <w:t>комплет) </w:t>
      </w:r>
      <w:r>
        <w:rPr>
          <w:color w:val="231F20"/>
        </w:rPr>
        <w:t>и </w:t>
      </w:r>
      <w:r>
        <w:rPr>
          <w:color w:val="231F20"/>
          <w:spacing w:val="-3"/>
        </w:rPr>
        <w:t>Републичкој </w:t>
      </w:r>
      <w:r>
        <w:rPr>
          <w:color w:val="231F20"/>
        </w:rPr>
        <w:t>агенцији за просторно планирање (два комплетa).</w:t>
      </w:r>
    </w:p>
    <w:p>
      <w:pPr>
        <w:pStyle w:val="BodyText"/>
        <w:spacing w:line="235" w:lineRule="auto"/>
        <w:ind w:left="238" w:right="129" w:firstLine="396"/>
      </w:pPr>
      <w:r>
        <w:rPr>
          <w:color w:val="231F20"/>
        </w:rPr>
        <w:t>Документациона основа на којој се заснива Просторни план чува се у Републичкој агенцији за просторно планирање.</w:t>
      </w:r>
    </w:p>
    <w:p>
      <w:pPr>
        <w:pStyle w:val="BodyText"/>
        <w:spacing w:line="205" w:lineRule="exact" w:before="158"/>
        <w:ind w:left="1923" w:right="1816"/>
        <w:jc w:val="center"/>
      </w:pPr>
      <w:r>
        <w:rPr>
          <w:color w:val="231F20"/>
        </w:rPr>
        <w:t>Члан 6.</w:t>
      </w:r>
    </w:p>
    <w:p>
      <w:pPr>
        <w:pStyle w:val="BodyText"/>
        <w:spacing w:line="235" w:lineRule="auto" w:before="1"/>
        <w:ind w:left="238" w:right="128" w:firstLine="396"/>
      </w:pPr>
      <w:r>
        <w:rPr>
          <w:color w:val="231F20"/>
        </w:rPr>
        <w:t>Право</w:t>
      </w:r>
      <w:r>
        <w:rPr>
          <w:color w:val="231F20"/>
          <w:spacing w:val="-16"/>
        </w:rPr>
        <w:t> </w:t>
      </w:r>
      <w:r>
        <w:rPr>
          <w:color w:val="231F20"/>
        </w:rPr>
        <w:t>на</w:t>
      </w:r>
      <w:r>
        <w:rPr>
          <w:color w:val="231F20"/>
          <w:spacing w:val="-16"/>
        </w:rPr>
        <w:t> </w:t>
      </w:r>
      <w:r>
        <w:rPr>
          <w:color w:val="231F20"/>
        </w:rPr>
        <w:t>непосредан</w:t>
      </w:r>
      <w:r>
        <w:rPr>
          <w:color w:val="231F20"/>
          <w:spacing w:val="-16"/>
        </w:rPr>
        <w:t> </w:t>
      </w:r>
      <w:r>
        <w:rPr>
          <w:color w:val="231F20"/>
        </w:rPr>
        <w:t>увид</w:t>
      </w:r>
      <w:r>
        <w:rPr>
          <w:color w:val="231F20"/>
          <w:spacing w:val="-16"/>
        </w:rPr>
        <w:t> </w:t>
      </w:r>
      <w:r>
        <w:rPr>
          <w:color w:val="231F20"/>
        </w:rPr>
        <w:t>у</w:t>
      </w:r>
      <w:r>
        <w:rPr>
          <w:color w:val="231F20"/>
          <w:spacing w:val="-16"/>
        </w:rPr>
        <w:t> </w:t>
      </w:r>
      <w:r>
        <w:rPr>
          <w:color w:val="231F20"/>
        </w:rPr>
        <w:t>графичке</w:t>
      </w:r>
      <w:r>
        <w:rPr>
          <w:color w:val="231F20"/>
          <w:spacing w:val="-16"/>
        </w:rPr>
        <w:t> </w:t>
      </w:r>
      <w:r>
        <w:rPr>
          <w:color w:val="231F20"/>
        </w:rPr>
        <w:t>приказе</w:t>
      </w:r>
      <w:r>
        <w:rPr>
          <w:color w:val="231F20"/>
          <w:spacing w:val="-16"/>
        </w:rPr>
        <w:t> </w:t>
      </w:r>
      <w:r>
        <w:rPr>
          <w:color w:val="231F20"/>
        </w:rPr>
        <w:t>из</w:t>
      </w:r>
      <w:r>
        <w:rPr>
          <w:color w:val="231F20"/>
          <w:spacing w:val="-16"/>
        </w:rPr>
        <w:t> </w:t>
      </w:r>
      <w:r>
        <w:rPr>
          <w:color w:val="231F20"/>
        </w:rPr>
        <w:t>члана</w:t>
      </w:r>
      <w:r>
        <w:rPr>
          <w:color w:val="231F20"/>
          <w:spacing w:val="-16"/>
        </w:rPr>
        <w:t> </w:t>
      </w:r>
      <w:r>
        <w:rPr>
          <w:color w:val="231F20"/>
        </w:rPr>
        <w:t>3.</w:t>
      </w:r>
      <w:r>
        <w:rPr>
          <w:color w:val="231F20"/>
          <w:spacing w:val="-16"/>
        </w:rPr>
        <w:t> </w:t>
      </w:r>
      <w:r>
        <w:rPr>
          <w:color w:val="231F20"/>
          <w:spacing w:val="-5"/>
        </w:rPr>
        <w:t>ст.</w:t>
      </w:r>
      <w:r>
        <w:rPr>
          <w:color w:val="231F20"/>
          <w:spacing w:val="-16"/>
        </w:rPr>
        <w:t> </w:t>
      </w:r>
      <w:r>
        <w:rPr>
          <w:color w:val="231F20"/>
        </w:rPr>
        <w:t>3. и 4. ове уредбе имају правна и физичка лица, </w:t>
      </w:r>
      <w:r>
        <w:rPr>
          <w:color w:val="231F20"/>
          <w:spacing w:val="-3"/>
        </w:rPr>
        <w:t>под </w:t>
      </w:r>
      <w:r>
        <w:rPr>
          <w:color w:val="231F20"/>
        </w:rPr>
        <w:t>условима и на начин </w:t>
      </w:r>
      <w:r>
        <w:rPr>
          <w:color w:val="231F20"/>
          <w:spacing w:val="-3"/>
        </w:rPr>
        <w:t>које </w:t>
      </w:r>
      <w:r>
        <w:rPr>
          <w:color w:val="231F20"/>
        </w:rPr>
        <w:t>ближе прописује министар надлежан за послове про- сторног</w:t>
      </w:r>
      <w:r>
        <w:rPr>
          <w:color w:val="231F20"/>
          <w:spacing w:val="-2"/>
        </w:rPr>
        <w:t> </w:t>
      </w:r>
      <w:r>
        <w:rPr>
          <w:color w:val="231F20"/>
        </w:rPr>
        <w:t>планирања.</w:t>
      </w:r>
    </w:p>
    <w:p>
      <w:pPr>
        <w:spacing w:after="0" w:line="235" w:lineRule="auto"/>
        <w:sectPr>
          <w:type w:val="continuous"/>
          <w:pgSz w:w="12480" w:h="15690"/>
          <w:pgMar w:top="880" w:bottom="280" w:left="680" w:right="720"/>
          <w:cols w:num="2" w:equalWidth="0">
            <w:col w:w="5561" w:space="40"/>
            <w:col w:w="5479"/>
          </w:cols>
        </w:sectPr>
      </w:pPr>
    </w:p>
    <w:p>
      <w:pPr>
        <w:pStyle w:val="BodyText"/>
        <w:spacing w:line="204" w:lineRule="exact" w:before="68"/>
        <w:ind w:left="391" w:right="262"/>
        <w:jc w:val="center"/>
      </w:pPr>
      <w:r>
        <w:rPr/>
        <w:pict>
          <v:line style="position:absolute;mso-position-horizontal-relative:page;mso-position-vertical-relative:page;z-index:1048" from="304.724396pt,11.94295pt" to="304.724396pt,748.95095pt" stroked="true" strokeweight=".6pt" strokecolor="#231f20">
            <v:stroke dashstyle="solid"/>
            <w10:wrap type="none"/>
          </v:line>
        </w:pict>
      </w:r>
      <w:r>
        <w:rPr>
          <w:color w:val="231F20"/>
        </w:rPr>
        <w:t>Члан 7.</w:t>
      </w:r>
    </w:p>
    <w:p>
      <w:pPr>
        <w:pStyle w:val="BodyText"/>
        <w:spacing w:line="232" w:lineRule="auto" w:before="2"/>
        <w:ind w:right="38" w:firstLine="396"/>
      </w:pPr>
      <w:r>
        <w:rPr>
          <w:color w:val="231F20"/>
        </w:rPr>
        <w:t>Просторни планови јединица локалне самоуправе, урбани- стички планови и пројекти ускладиће се са одредбама ове уредбе на начин утврђен Просторним планом.</w:t>
      </w:r>
    </w:p>
    <w:p>
      <w:pPr>
        <w:pStyle w:val="BodyText"/>
        <w:spacing w:line="230" w:lineRule="auto" w:before="1"/>
        <w:ind w:right="38" w:firstLine="396"/>
        <w:jc w:val="right"/>
      </w:pPr>
      <w:r>
        <w:rPr>
          <w:color w:val="231F20"/>
        </w:rPr>
        <w:t>Планови и програми развоја </w:t>
      </w:r>
      <w:r>
        <w:rPr>
          <w:color w:val="231F20"/>
          <w:spacing w:val="-3"/>
        </w:rPr>
        <w:t>који </w:t>
      </w:r>
      <w:r>
        <w:rPr>
          <w:color w:val="231F20"/>
        </w:rPr>
        <w:t>се доносе по</w:t>
      </w:r>
      <w:r>
        <w:rPr>
          <w:color w:val="231F20"/>
          <w:spacing w:val="-25"/>
        </w:rPr>
        <w:t> </w:t>
      </w:r>
      <w:r>
        <w:rPr>
          <w:color w:val="231F20"/>
        </w:rPr>
        <w:t>посебним</w:t>
      </w:r>
      <w:r>
        <w:rPr>
          <w:color w:val="231F20"/>
          <w:spacing w:val="-4"/>
        </w:rPr>
        <w:t> </w:t>
      </w:r>
      <w:r>
        <w:rPr>
          <w:color w:val="231F20"/>
        </w:rPr>
        <w:t>про- писима,</w:t>
      </w:r>
      <w:r>
        <w:rPr>
          <w:color w:val="231F20"/>
          <w:spacing w:val="13"/>
        </w:rPr>
        <w:t> </w:t>
      </w:r>
      <w:r>
        <w:rPr>
          <w:color w:val="231F20"/>
        </w:rPr>
        <w:t>прописи</w:t>
      </w:r>
      <w:r>
        <w:rPr>
          <w:color w:val="231F20"/>
          <w:spacing w:val="13"/>
        </w:rPr>
        <w:t> </w:t>
      </w:r>
      <w:r>
        <w:rPr>
          <w:color w:val="231F20"/>
        </w:rPr>
        <w:t>и</w:t>
      </w:r>
      <w:r>
        <w:rPr>
          <w:color w:val="231F20"/>
          <w:spacing w:val="12"/>
        </w:rPr>
        <w:t> </w:t>
      </w:r>
      <w:r>
        <w:rPr>
          <w:color w:val="231F20"/>
        </w:rPr>
        <w:t>други</w:t>
      </w:r>
      <w:r>
        <w:rPr>
          <w:color w:val="231F20"/>
          <w:spacing w:val="12"/>
        </w:rPr>
        <w:t> </w:t>
      </w:r>
      <w:r>
        <w:rPr>
          <w:color w:val="231F20"/>
        </w:rPr>
        <w:t>општи</w:t>
      </w:r>
      <w:r>
        <w:rPr>
          <w:color w:val="231F20"/>
          <w:spacing w:val="12"/>
        </w:rPr>
        <w:t> </w:t>
      </w:r>
      <w:r>
        <w:rPr>
          <w:color w:val="231F20"/>
        </w:rPr>
        <w:t>акти</w:t>
      </w:r>
      <w:r>
        <w:rPr>
          <w:color w:val="231F20"/>
          <w:spacing w:val="12"/>
        </w:rPr>
        <w:t> </w:t>
      </w:r>
      <w:r>
        <w:rPr>
          <w:color w:val="231F20"/>
        </w:rPr>
        <w:t>ускладиће</w:t>
      </w:r>
      <w:r>
        <w:rPr>
          <w:color w:val="231F20"/>
          <w:spacing w:val="13"/>
        </w:rPr>
        <w:t> </w:t>
      </w:r>
      <w:r>
        <w:rPr>
          <w:color w:val="231F20"/>
        </w:rPr>
        <w:t>се</w:t>
      </w:r>
      <w:r>
        <w:rPr>
          <w:color w:val="231F20"/>
          <w:spacing w:val="13"/>
        </w:rPr>
        <w:t> </w:t>
      </w:r>
      <w:r>
        <w:rPr>
          <w:color w:val="231F20"/>
        </w:rPr>
        <w:t>са</w:t>
      </w:r>
      <w:r>
        <w:rPr>
          <w:color w:val="231F20"/>
          <w:spacing w:val="13"/>
        </w:rPr>
        <w:t> </w:t>
      </w:r>
      <w:r>
        <w:rPr>
          <w:color w:val="231F20"/>
        </w:rPr>
        <w:t>одредбама ове уредбе у року </w:t>
      </w:r>
      <w:r>
        <w:rPr>
          <w:color w:val="231F20"/>
          <w:spacing w:val="-3"/>
        </w:rPr>
        <w:t>од годину </w:t>
      </w:r>
      <w:r>
        <w:rPr>
          <w:color w:val="231F20"/>
        </w:rPr>
        <w:t>дана </w:t>
      </w:r>
      <w:r>
        <w:rPr>
          <w:color w:val="231F20"/>
          <w:spacing w:val="-3"/>
        </w:rPr>
        <w:t>од </w:t>
      </w:r>
      <w:r>
        <w:rPr>
          <w:color w:val="231F20"/>
        </w:rPr>
        <w:t>дана њеног ступања</w:t>
      </w:r>
      <w:r>
        <w:rPr>
          <w:color w:val="231F20"/>
          <w:spacing w:val="-9"/>
        </w:rPr>
        <w:t> </w:t>
      </w:r>
      <w:r>
        <w:rPr>
          <w:color w:val="231F20"/>
        </w:rPr>
        <w:t>на</w:t>
      </w:r>
      <w:r>
        <w:rPr>
          <w:color w:val="231F20"/>
          <w:spacing w:val="-3"/>
        </w:rPr>
        <w:t> </w:t>
      </w:r>
      <w:r>
        <w:rPr>
          <w:color w:val="231F20"/>
          <w:spacing w:val="-4"/>
        </w:rPr>
        <w:t>снагу.</w:t>
      </w:r>
      <w:r>
        <w:rPr>
          <w:color w:val="231F20"/>
        </w:rPr>
        <w:t> Просторни планови јединица локалне</w:t>
      </w:r>
      <w:r>
        <w:rPr>
          <w:color w:val="231F20"/>
          <w:spacing w:val="-20"/>
        </w:rPr>
        <w:t> </w:t>
      </w:r>
      <w:r>
        <w:rPr>
          <w:color w:val="231F20"/>
        </w:rPr>
        <w:t>самоуправе,</w:t>
      </w:r>
      <w:r>
        <w:rPr>
          <w:color w:val="231F20"/>
          <w:spacing w:val="27"/>
        </w:rPr>
        <w:t> </w:t>
      </w:r>
      <w:r>
        <w:rPr>
          <w:color w:val="231F20"/>
        </w:rPr>
        <w:t>урбани- стички</w:t>
      </w:r>
      <w:r>
        <w:rPr>
          <w:color w:val="231F20"/>
          <w:spacing w:val="-5"/>
        </w:rPr>
        <w:t> </w:t>
      </w:r>
      <w:r>
        <w:rPr>
          <w:color w:val="231F20"/>
        </w:rPr>
        <w:t>планови</w:t>
      </w:r>
      <w:r>
        <w:rPr>
          <w:color w:val="231F20"/>
          <w:spacing w:val="-5"/>
        </w:rPr>
        <w:t> </w:t>
      </w:r>
      <w:r>
        <w:rPr>
          <w:color w:val="231F20"/>
        </w:rPr>
        <w:t>и</w:t>
      </w:r>
      <w:r>
        <w:rPr>
          <w:color w:val="231F20"/>
          <w:spacing w:val="-5"/>
        </w:rPr>
        <w:t> </w:t>
      </w:r>
      <w:r>
        <w:rPr>
          <w:color w:val="231F20"/>
        </w:rPr>
        <w:t>урбанистички</w:t>
      </w:r>
      <w:r>
        <w:rPr>
          <w:color w:val="231F20"/>
          <w:spacing w:val="-5"/>
        </w:rPr>
        <w:t> </w:t>
      </w:r>
      <w:r>
        <w:rPr>
          <w:color w:val="231F20"/>
        </w:rPr>
        <w:t>пројекти,</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планови</w:t>
      </w:r>
      <w:r>
        <w:rPr>
          <w:color w:val="231F20"/>
          <w:spacing w:val="-5"/>
        </w:rPr>
        <w:t> </w:t>
      </w:r>
      <w:r>
        <w:rPr>
          <w:color w:val="231F20"/>
        </w:rPr>
        <w:t>и</w:t>
      </w:r>
      <w:r>
        <w:rPr>
          <w:color w:val="231F20"/>
          <w:spacing w:val="-5"/>
        </w:rPr>
        <w:t> </w:t>
      </w:r>
      <w:r>
        <w:rPr>
          <w:color w:val="231F20"/>
        </w:rPr>
        <w:t>програ- ми развоја донети до дана ступања на снагу ове уредбе,</w:t>
      </w:r>
      <w:r>
        <w:rPr>
          <w:color w:val="231F20"/>
          <w:spacing w:val="1"/>
        </w:rPr>
        <w:t> </w:t>
      </w:r>
      <w:r>
        <w:rPr>
          <w:color w:val="231F20"/>
        </w:rPr>
        <w:t>примењу-</w:t>
      </w:r>
    </w:p>
    <w:p>
      <w:pPr>
        <w:pStyle w:val="BodyText"/>
        <w:spacing w:line="204" w:lineRule="exact"/>
      </w:pPr>
      <w:r>
        <w:rPr>
          <w:color w:val="231F20"/>
        </w:rPr>
        <w:t>ју се у деловима који нису у супротности са овом уредбом.</w:t>
      </w:r>
    </w:p>
    <w:p>
      <w:pPr>
        <w:pStyle w:val="BodyText"/>
        <w:spacing w:line="203" w:lineRule="exact" w:before="162"/>
        <w:ind w:left="391" w:right="262"/>
        <w:jc w:val="center"/>
      </w:pPr>
      <w:r>
        <w:rPr>
          <w:color w:val="231F20"/>
        </w:rPr>
        <w:t>Члан 8.</w:t>
      </w:r>
    </w:p>
    <w:p>
      <w:pPr>
        <w:pStyle w:val="BodyText"/>
        <w:spacing w:line="199" w:lineRule="exact"/>
        <w:ind w:left="0" w:right="39"/>
        <w:jc w:val="right"/>
      </w:pPr>
      <w:r>
        <w:rPr>
          <w:color w:val="231F20"/>
        </w:rPr>
        <w:t>Ова уредба ступа на снагу осмог дана од дана објављивања у</w:t>
      </w:r>
    </w:p>
    <w:p>
      <w:pPr>
        <w:pStyle w:val="BodyText"/>
        <w:spacing w:line="203" w:lineRule="exact"/>
        <w:ind w:left="169"/>
      </w:pPr>
      <w:r>
        <w:rPr>
          <w:color w:val="231F20"/>
        </w:rPr>
        <w:t>„Службеном гласнику Републике Србије”.</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28"/>
        </w:rPr>
      </w:pPr>
    </w:p>
    <w:p>
      <w:pPr>
        <w:pStyle w:val="Heading1"/>
        <w:spacing w:line="230" w:lineRule="auto" w:before="0"/>
        <w:ind w:left="393" w:right="262" w:firstLine="0"/>
        <w:jc w:val="center"/>
      </w:pPr>
      <w:r>
        <w:rPr>
          <w:color w:val="231F20"/>
        </w:rPr>
        <w:t>ПРОСТОРНИ ПЛАН ПОДРУЧЈА ПОСЕБНЕ НАМЕНЕ КОСТОЛАЧКОГ УГЉЕНОГ БАСЕНА</w:t>
      </w:r>
    </w:p>
    <w:p>
      <w:pPr>
        <w:pStyle w:val="ListParagraph"/>
        <w:numPr>
          <w:ilvl w:val="3"/>
          <w:numId w:val="1"/>
        </w:numPr>
        <w:tabs>
          <w:tab w:pos="2174" w:val="left" w:leader="none"/>
        </w:tabs>
        <w:spacing w:line="240" w:lineRule="auto" w:before="107" w:after="0"/>
        <w:ind w:left="2173" w:right="0" w:hanging="160"/>
        <w:jc w:val="left"/>
        <w:rPr>
          <w:b/>
          <w:sz w:val="18"/>
        </w:rPr>
      </w:pPr>
      <w:r>
        <w:rPr>
          <w:b/>
          <w:color w:val="231F20"/>
          <w:sz w:val="18"/>
        </w:rPr>
        <w:t>Полазне</w:t>
      </w:r>
      <w:r>
        <w:rPr>
          <w:b/>
          <w:color w:val="231F20"/>
          <w:spacing w:val="-1"/>
          <w:sz w:val="18"/>
        </w:rPr>
        <w:t> </w:t>
      </w:r>
      <w:r>
        <w:rPr>
          <w:b/>
          <w:color w:val="231F20"/>
          <w:sz w:val="18"/>
        </w:rPr>
        <w:t>основе</w:t>
      </w:r>
    </w:p>
    <w:p>
      <w:pPr>
        <w:pStyle w:val="ListParagraph"/>
        <w:numPr>
          <w:ilvl w:val="4"/>
          <w:numId w:val="1"/>
        </w:numPr>
        <w:tabs>
          <w:tab w:pos="2119" w:val="left" w:leader="none"/>
        </w:tabs>
        <w:spacing w:line="240" w:lineRule="auto" w:before="105" w:after="0"/>
        <w:ind w:left="2118" w:right="0" w:hanging="180"/>
        <w:jc w:val="left"/>
        <w:rPr>
          <w:b/>
          <w:sz w:val="18"/>
        </w:rPr>
      </w:pPr>
      <w:r>
        <w:rPr>
          <w:b/>
          <w:color w:val="231F20"/>
          <w:spacing w:val="-4"/>
          <w:sz w:val="18"/>
        </w:rPr>
        <w:t>Уводне</w:t>
      </w:r>
      <w:r>
        <w:rPr>
          <w:b/>
          <w:color w:val="231F20"/>
          <w:spacing w:val="-2"/>
          <w:sz w:val="18"/>
        </w:rPr>
        <w:t> </w:t>
      </w:r>
      <w:r>
        <w:rPr>
          <w:b/>
          <w:color w:val="231F20"/>
          <w:sz w:val="18"/>
        </w:rPr>
        <w:t>напомене</w:t>
      </w:r>
    </w:p>
    <w:p>
      <w:pPr>
        <w:pStyle w:val="BodyText"/>
        <w:spacing w:before="2"/>
        <w:ind w:left="0"/>
        <w:jc w:val="left"/>
        <w:rPr>
          <w:b/>
          <w:sz w:val="17"/>
        </w:rPr>
      </w:pPr>
    </w:p>
    <w:p>
      <w:pPr>
        <w:pStyle w:val="BodyText"/>
        <w:spacing w:line="230" w:lineRule="auto"/>
        <w:ind w:right="38" w:firstLine="396"/>
      </w:pPr>
      <w:r>
        <w:rPr>
          <w:color w:val="231F20"/>
        </w:rPr>
        <w:t>Просторни план подручја посебне намене </w:t>
      </w:r>
      <w:r>
        <w:rPr>
          <w:color w:val="231F20"/>
          <w:spacing w:val="-3"/>
        </w:rPr>
        <w:t>Костолачког </w:t>
      </w:r>
      <w:r>
        <w:rPr>
          <w:color w:val="231F20"/>
        </w:rPr>
        <w:t>угље- ног басена (у даљем тексту: Просторни план) урађен је у Инсти- туту за архитектуру и урбанизам Србије у складу са </w:t>
      </w:r>
      <w:r>
        <w:rPr>
          <w:color w:val="231F20"/>
          <w:spacing w:val="-3"/>
        </w:rPr>
        <w:t>Одлуком </w:t>
      </w:r>
      <w:r>
        <w:rPr>
          <w:color w:val="231F20"/>
        </w:rPr>
        <w:t>о изради Просторног плана подручја посебне намене </w:t>
      </w:r>
      <w:r>
        <w:rPr>
          <w:color w:val="231F20"/>
          <w:spacing w:val="-3"/>
        </w:rPr>
        <w:t>Костолачког </w:t>
      </w:r>
      <w:r>
        <w:rPr>
          <w:color w:val="231F20"/>
        </w:rPr>
        <w:t>угљеног</w:t>
      </w:r>
      <w:r>
        <w:rPr>
          <w:color w:val="231F20"/>
          <w:spacing w:val="-7"/>
        </w:rPr>
        <w:t> </w:t>
      </w:r>
      <w:r>
        <w:rPr>
          <w:color w:val="231F20"/>
        </w:rPr>
        <w:t>басена</w:t>
      </w:r>
      <w:r>
        <w:rPr>
          <w:color w:val="231F20"/>
          <w:spacing w:val="-7"/>
        </w:rPr>
        <w:t> </w:t>
      </w:r>
      <w:r>
        <w:rPr>
          <w:color w:val="231F20"/>
        </w:rPr>
        <w:t>(„Службени</w:t>
      </w:r>
      <w:r>
        <w:rPr>
          <w:color w:val="231F20"/>
          <w:spacing w:val="-7"/>
        </w:rPr>
        <w:t> </w:t>
      </w:r>
      <w:r>
        <w:rPr>
          <w:color w:val="231F20"/>
        </w:rPr>
        <w:t>гласник</w:t>
      </w:r>
      <w:r>
        <w:rPr>
          <w:color w:val="231F20"/>
          <w:spacing w:val="-7"/>
        </w:rPr>
        <w:t> </w:t>
      </w:r>
      <w:r>
        <w:rPr>
          <w:color w:val="231F20"/>
        </w:rPr>
        <w:t>РС”,</w:t>
      </w:r>
      <w:r>
        <w:rPr>
          <w:color w:val="231F20"/>
          <w:spacing w:val="-7"/>
        </w:rPr>
        <w:t> </w:t>
      </w:r>
      <w:r>
        <w:rPr>
          <w:color w:val="231F20"/>
        </w:rPr>
        <w:t>број</w:t>
      </w:r>
      <w:r>
        <w:rPr>
          <w:color w:val="231F20"/>
          <w:spacing w:val="-7"/>
        </w:rPr>
        <w:t> </w:t>
      </w:r>
      <w:r>
        <w:rPr>
          <w:color w:val="231F20"/>
        </w:rPr>
        <w:t>78/09)</w:t>
      </w:r>
      <w:r>
        <w:rPr>
          <w:color w:val="231F20"/>
          <w:spacing w:val="-7"/>
        </w:rPr>
        <w:t> </w:t>
      </w:r>
      <w:r>
        <w:rPr>
          <w:color w:val="231F20"/>
        </w:rPr>
        <w:t>и</w:t>
      </w:r>
      <w:r>
        <w:rPr>
          <w:color w:val="231F20"/>
          <w:spacing w:val="-7"/>
        </w:rPr>
        <w:t> </w:t>
      </w:r>
      <w:r>
        <w:rPr>
          <w:color w:val="231F20"/>
        </w:rPr>
        <w:t>Програмом за израду Просторног плана подручја посебне намене </w:t>
      </w:r>
      <w:r>
        <w:rPr>
          <w:color w:val="231F20"/>
          <w:spacing w:val="-3"/>
        </w:rPr>
        <w:t>Костолач- </w:t>
      </w:r>
      <w:r>
        <w:rPr>
          <w:color w:val="231F20"/>
          <w:spacing w:val="-4"/>
        </w:rPr>
        <w:t>ког</w:t>
      </w:r>
      <w:r>
        <w:rPr>
          <w:color w:val="231F20"/>
          <w:spacing w:val="-5"/>
        </w:rPr>
        <w:t> </w:t>
      </w:r>
      <w:r>
        <w:rPr>
          <w:color w:val="231F20"/>
        </w:rPr>
        <w:t>угљеног</w:t>
      </w:r>
      <w:r>
        <w:rPr>
          <w:color w:val="231F20"/>
          <w:spacing w:val="-5"/>
        </w:rPr>
        <w:t> </w:t>
      </w:r>
      <w:r>
        <w:rPr>
          <w:color w:val="231F20"/>
        </w:rPr>
        <w:t>басена</w:t>
      </w:r>
      <w:r>
        <w:rPr>
          <w:color w:val="231F20"/>
          <w:spacing w:val="-5"/>
        </w:rPr>
        <w:t> </w:t>
      </w:r>
      <w:r>
        <w:rPr>
          <w:color w:val="231F20"/>
        </w:rPr>
        <w:t>(у</w:t>
      </w:r>
      <w:r>
        <w:rPr>
          <w:color w:val="231F20"/>
          <w:spacing w:val="-5"/>
        </w:rPr>
        <w:t> </w:t>
      </w:r>
      <w:r>
        <w:rPr>
          <w:color w:val="231F20"/>
        </w:rPr>
        <w:t>даљем</w:t>
      </w:r>
      <w:r>
        <w:rPr>
          <w:color w:val="231F20"/>
          <w:spacing w:val="-5"/>
        </w:rPr>
        <w:t> </w:t>
      </w:r>
      <w:r>
        <w:rPr>
          <w:color w:val="231F20"/>
        </w:rPr>
        <w:t>тексту:</w:t>
      </w:r>
      <w:r>
        <w:rPr>
          <w:color w:val="231F20"/>
          <w:spacing w:val="-5"/>
        </w:rPr>
        <w:t> </w:t>
      </w:r>
      <w:r>
        <w:rPr>
          <w:color w:val="231F20"/>
        </w:rPr>
        <w:t>Програм),</w:t>
      </w:r>
      <w:r>
        <w:rPr>
          <w:color w:val="231F20"/>
          <w:spacing w:val="-5"/>
        </w:rPr>
        <w:t> </w:t>
      </w:r>
      <w:r>
        <w:rPr>
          <w:color w:val="231F20"/>
        </w:rPr>
        <w:t>у</w:t>
      </w:r>
      <w:r>
        <w:rPr>
          <w:color w:val="231F20"/>
          <w:spacing w:val="-5"/>
        </w:rPr>
        <w:t> </w:t>
      </w:r>
      <w:r>
        <w:rPr>
          <w:color w:val="231F20"/>
        </w:rPr>
        <w:t>сарадњи</w:t>
      </w:r>
      <w:r>
        <w:rPr>
          <w:color w:val="231F20"/>
          <w:spacing w:val="-5"/>
        </w:rPr>
        <w:t> </w:t>
      </w:r>
      <w:r>
        <w:rPr>
          <w:color w:val="231F20"/>
        </w:rPr>
        <w:t>са</w:t>
      </w:r>
      <w:r>
        <w:rPr>
          <w:color w:val="231F20"/>
          <w:spacing w:val="-5"/>
        </w:rPr>
        <w:t> </w:t>
      </w:r>
      <w:r>
        <w:rPr>
          <w:color w:val="231F20"/>
        </w:rPr>
        <w:t>Репу- </w:t>
      </w:r>
      <w:r>
        <w:rPr>
          <w:color w:val="231F20"/>
          <w:spacing w:val="-4"/>
        </w:rPr>
        <w:t>бличком </w:t>
      </w:r>
      <w:r>
        <w:rPr>
          <w:color w:val="231F20"/>
        </w:rPr>
        <w:t>агенцијом за просторно планирање (носилац израде Про- сторног</w:t>
      </w:r>
      <w:r>
        <w:rPr>
          <w:color w:val="231F20"/>
          <w:spacing w:val="-6"/>
        </w:rPr>
        <w:t> </w:t>
      </w:r>
      <w:r>
        <w:rPr>
          <w:color w:val="231F20"/>
        </w:rPr>
        <w:t>плана),</w:t>
      </w:r>
      <w:r>
        <w:rPr>
          <w:color w:val="231F20"/>
          <w:spacing w:val="-6"/>
        </w:rPr>
        <w:t> </w:t>
      </w:r>
      <w:r>
        <w:rPr>
          <w:color w:val="231F20"/>
        </w:rPr>
        <w:t>ЈП</w:t>
      </w:r>
      <w:r>
        <w:rPr>
          <w:color w:val="231F20"/>
          <w:spacing w:val="-6"/>
        </w:rPr>
        <w:t> </w:t>
      </w:r>
      <w:r>
        <w:rPr>
          <w:color w:val="231F20"/>
        </w:rPr>
        <w:t>„Електропривреда</w:t>
      </w:r>
      <w:r>
        <w:rPr>
          <w:color w:val="231F20"/>
          <w:spacing w:val="-6"/>
        </w:rPr>
        <w:t> </w:t>
      </w:r>
      <w:r>
        <w:rPr>
          <w:color w:val="231F20"/>
        </w:rPr>
        <w:t>Србије”</w:t>
      </w:r>
      <w:r>
        <w:rPr>
          <w:color w:val="231F20"/>
          <w:spacing w:val="-6"/>
        </w:rPr>
        <w:t> </w:t>
      </w:r>
      <w:r>
        <w:rPr>
          <w:color w:val="231F20"/>
        </w:rPr>
        <w:t>(у</w:t>
      </w:r>
      <w:r>
        <w:rPr>
          <w:color w:val="231F20"/>
          <w:spacing w:val="-6"/>
        </w:rPr>
        <w:t> </w:t>
      </w:r>
      <w:r>
        <w:rPr>
          <w:color w:val="231F20"/>
        </w:rPr>
        <w:t>даљем</w:t>
      </w:r>
      <w:r>
        <w:rPr>
          <w:color w:val="231F20"/>
          <w:spacing w:val="-6"/>
        </w:rPr>
        <w:t> </w:t>
      </w:r>
      <w:r>
        <w:rPr>
          <w:color w:val="231F20"/>
        </w:rPr>
        <w:t>тексту:</w:t>
      </w:r>
      <w:r>
        <w:rPr>
          <w:color w:val="231F20"/>
          <w:spacing w:val="-6"/>
        </w:rPr>
        <w:t> </w:t>
      </w:r>
      <w:r>
        <w:rPr>
          <w:color w:val="231F20"/>
        </w:rPr>
        <w:t>ЈП</w:t>
      </w:r>
    </w:p>
    <w:p>
      <w:pPr>
        <w:pStyle w:val="BodyText"/>
        <w:spacing w:line="230" w:lineRule="auto"/>
        <w:ind w:right="38"/>
      </w:pPr>
      <w:r>
        <w:rPr>
          <w:color w:val="231F20"/>
        </w:rPr>
        <w:t>„ЕПС”), Привредним друштвом ТЕ-КО „Костолац”, управом гра- да Пожаревца, управом општине Велико Градиште и другим над- лежним републичким и локалним органима и организацијама.</w:t>
      </w:r>
    </w:p>
    <w:p>
      <w:pPr>
        <w:pStyle w:val="BodyText"/>
        <w:spacing w:line="230" w:lineRule="auto"/>
        <w:ind w:right="38" w:firstLine="397"/>
      </w:pPr>
      <w:r>
        <w:rPr>
          <w:color w:val="231F20"/>
        </w:rPr>
        <w:t>Концепт просторног плана је разматран и усвојен на Струч- ном</w:t>
      </w:r>
      <w:r>
        <w:rPr>
          <w:color w:val="231F20"/>
          <w:spacing w:val="-7"/>
        </w:rPr>
        <w:t> </w:t>
      </w:r>
      <w:r>
        <w:rPr>
          <w:color w:val="231F20"/>
        </w:rPr>
        <w:t>савету</w:t>
      </w:r>
      <w:r>
        <w:rPr>
          <w:color w:val="231F20"/>
          <w:spacing w:val="-7"/>
        </w:rPr>
        <w:t> </w:t>
      </w:r>
      <w:r>
        <w:rPr>
          <w:color w:val="231F20"/>
        </w:rPr>
        <w:t>ЈП</w:t>
      </w:r>
      <w:r>
        <w:rPr>
          <w:color w:val="231F20"/>
          <w:spacing w:val="-7"/>
        </w:rPr>
        <w:t> </w:t>
      </w:r>
      <w:r>
        <w:rPr>
          <w:color w:val="231F20"/>
        </w:rPr>
        <w:t>„ЕПС”-а</w:t>
      </w:r>
      <w:r>
        <w:rPr>
          <w:color w:val="231F20"/>
          <w:spacing w:val="-7"/>
        </w:rPr>
        <w:t> </w:t>
      </w:r>
      <w:r>
        <w:rPr>
          <w:color w:val="231F20"/>
        </w:rPr>
        <w:t>(Записник</w:t>
      </w:r>
      <w:r>
        <w:rPr>
          <w:color w:val="231F20"/>
          <w:spacing w:val="-7"/>
        </w:rPr>
        <w:t> </w:t>
      </w:r>
      <w:r>
        <w:rPr>
          <w:color w:val="231F20"/>
        </w:rPr>
        <w:t>бр.</w:t>
      </w:r>
      <w:r>
        <w:rPr>
          <w:color w:val="231F20"/>
          <w:spacing w:val="-7"/>
        </w:rPr>
        <w:t> </w:t>
      </w:r>
      <w:r>
        <w:rPr>
          <w:color w:val="231F20"/>
        </w:rPr>
        <w:t>201/8-11</w:t>
      </w:r>
      <w:r>
        <w:rPr>
          <w:color w:val="231F20"/>
          <w:spacing w:val="-7"/>
        </w:rPr>
        <w:t> </w:t>
      </w:r>
      <w:r>
        <w:rPr>
          <w:color w:val="231F20"/>
          <w:spacing w:val="-3"/>
        </w:rPr>
        <w:t>од</w:t>
      </w:r>
      <w:r>
        <w:rPr>
          <w:color w:val="231F20"/>
          <w:spacing w:val="-7"/>
        </w:rPr>
        <w:t> </w:t>
      </w:r>
      <w:r>
        <w:rPr>
          <w:color w:val="231F20"/>
        </w:rPr>
        <w:t>13.</w:t>
      </w:r>
      <w:r>
        <w:rPr>
          <w:color w:val="231F20"/>
          <w:spacing w:val="-7"/>
        </w:rPr>
        <w:t> </w:t>
      </w:r>
      <w:r>
        <w:rPr>
          <w:color w:val="231F20"/>
        </w:rPr>
        <w:t>јуна</w:t>
      </w:r>
      <w:r>
        <w:rPr>
          <w:color w:val="231F20"/>
          <w:spacing w:val="-7"/>
        </w:rPr>
        <w:t> </w:t>
      </w:r>
      <w:r>
        <w:rPr>
          <w:color w:val="231F20"/>
        </w:rPr>
        <w:t>2011.</w:t>
      </w:r>
      <w:r>
        <w:rPr>
          <w:color w:val="231F20"/>
          <w:spacing w:val="-7"/>
        </w:rPr>
        <w:t> </w:t>
      </w:r>
      <w:r>
        <w:rPr>
          <w:color w:val="231F20"/>
        </w:rPr>
        <w:t>го- дине) и на Комисији за стручну контролу регионалног</w:t>
      </w:r>
      <w:r>
        <w:rPr>
          <w:color w:val="231F20"/>
          <w:spacing w:val="-33"/>
        </w:rPr>
        <w:t> </w:t>
      </w:r>
      <w:r>
        <w:rPr>
          <w:color w:val="231F20"/>
        </w:rPr>
        <w:t>просторног плана, програма имплементације регионалног просторног плана, просторног плана подручја посебне намене и програма</w:t>
      </w:r>
      <w:r>
        <w:rPr>
          <w:color w:val="231F20"/>
          <w:spacing w:val="-30"/>
        </w:rPr>
        <w:t> </w:t>
      </w:r>
      <w:r>
        <w:rPr>
          <w:color w:val="231F20"/>
        </w:rPr>
        <w:t>имплемен- тације просторног плана подручја посебне намене (извештај </w:t>
      </w:r>
      <w:r>
        <w:rPr>
          <w:color w:val="231F20"/>
          <w:spacing w:val="-4"/>
        </w:rPr>
        <w:t>Ко- </w:t>
      </w:r>
      <w:r>
        <w:rPr>
          <w:color w:val="231F20"/>
        </w:rPr>
        <w:t>мисије бр. 350-01-00346/2011-07 </w:t>
      </w:r>
      <w:r>
        <w:rPr>
          <w:color w:val="231F20"/>
          <w:spacing w:val="-3"/>
        </w:rPr>
        <w:t>од </w:t>
      </w:r>
      <w:r>
        <w:rPr>
          <w:color w:val="231F20"/>
        </w:rPr>
        <w:t>22. августа 2011.</w:t>
      </w:r>
      <w:r>
        <w:rPr>
          <w:color w:val="231F20"/>
          <w:spacing w:val="-11"/>
        </w:rPr>
        <w:t> </w:t>
      </w:r>
      <w:r>
        <w:rPr>
          <w:color w:val="231F20"/>
        </w:rPr>
        <w:t>године).</w:t>
      </w:r>
    </w:p>
    <w:p>
      <w:pPr>
        <w:pStyle w:val="BodyText"/>
        <w:spacing w:line="230" w:lineRule="auto"/>
        <w:ind w:right="38" w:firstLine="396"/>
      </w:pPr>
      <w:r>
        <w:rPr>
          <w:color w:val="231F20"/>
        </w:rPr>
        <w:t>Нацрт просторног плана разматран је на Комисији за струч- ну контролу регионалног просторног плана, програма имплемен- тације регионалног просторног плана, просторног плана подруч- ја посебне намене и програма имплементације просторног плана подручја посебне намене на седници </w:t>
      </w:r>
      <w:r>
        <w:rPr>
          <w:color w:val="231F20"/>
          <w:spacing w:val="-3"/>
        </w:rPr>
        <w:t>од </w:t>
      </w:r>
      <w:r>
        <w:rPr>
          <w:color w:val="231F20"/>
        </w:rPr>
        <w:t>18. новембра 2011. </w:t>
      </w:r>
      <w:r>
        <w:rPr>
          <w:color w:val="231F20"/>
          <w:spacing w:val="-3"/>
        </w:rPr>
        <w:t>годи- </w:t>
      </w:r>
      <w:r>
        <w:rPr>
          <w:color w:val="231F20"/>
        </w:rPr>
        <w:t>не (Извештај Комисије бр. 350-01-00346/2011-07 </w:t>
      </w:r>
      <w:r>
        <w:rPr>
          <w:color w:val="231F20"/>
          <w:spacing w:val="-3"/>
        </w:rPr>
        <w:t>од </w:t>
      </w:r>
      <w:r>
        <w:rPr>
          <w:color w:val="231F20"/>
        </w:rPr>
        <w:t>22. новембра 2011. године) и на седници </w:t>
      </w:r>
      <w:r>
        <w:rPr>
          <w:color w:val="231F20"/>
          <w:spacing w:val="-3"/>
        </w:rPr>
        <w:t>од </w:t>
      </w:r>
      <w:r>
        <w:rPr>
          <w:color w:val="231F20"/>
        </w:rPr>
        <w:t>26. јануара 2012. </w:t>
      </w:r>
      <w:r>
        <w:rPr>
          <w:color w:val="231F20"/>
          <w:spacing w:val="-3"/>
        </w:rPr>
        <w:t>године </w:t>
      </w:r>
      <w:r>
        <w:rPr>
          <w:color w:val="231F20"/>
        </w:rPr>
        <w:t>(Извештај Комисије бр. 350-01-00346/2011-07 </w:t>
      </w:r>
      <w:r>
        <w:rPr>
          <w:color w:val="231F20"/>
          <w:spacing w:val="-3"/>
        </w:rPr>
        <w:t>од </w:t>
      </w:r>
      <w:r>
        <w:rPr>
          <w:color w:val="231F20"/>
        </w:rPr>
        <w:t>27. јануара 2012. године), као</w:t>
      </w:r>
      <w:r>
        <w:rPr>
          <w:color w:val="231F20"/>
          <w:spacing w:val="-5"/>
        </w:rPr>
        <w:t> </w:t>
      </w:r>
      <w:r>
        <w:rPr>
          <w:color w:val="231F20"/>
        </w:rPr>
        <w:t>и</w:t>
      </w:r>
      <w:r>
        <w:rPr>
          <w:color w:val="231F20"/>
          <w:spacing w:val="-5"/>
        </w:rPr>
        <w:t> </w:t>
      </w:r>
      <w:r>
        <w:rPr>
          <w:color w:val="231F20"/>
        </w:rPr>
        <w:t>на</w:t>
      </w:r>
      <w:r>
        <w:rPr>
          <w:color w:val="231F20"/>
          <w:spacing w:val="-5"/>
        </w:rPr>
        <w:t> </w:t>
      </w:r>
      <w:r>
        <w:rPr>
          <w:color w:val="231F20"/>
        </w:rPr>
        <w:t>седници</w:t>
      </w:r>
      <w:r>
        <w:rPr>
          <w:color w:val="231F20"/>
          <w:spacing w:val="-5"/>
        </w:rPr>
        <w:t> </w:t>
      </w:r>
      <w:r>
        <w:rPr>
          <w:color w:val="231F20"/>
        </w:rPr>
        <w:t>Стручног</w:t>
      </w:r>
      <w:r>
        <w:rPr>
          <w:color w:val="231F20"/>
          <w:spacing w:val="-5"/>
        </w:rPr>
        <w:t> </w:t>
      </w:r>
      <w:r>
        <w:rPr>
          <w:color w:val="231F20"/>
        </w:rPr>
        <w:t>савета</w:t>
      </w:r>
      <w:r>
        <w:rPr>
          <w:color w:val="231F20"/>
          <w:spacing w:val="-5"/>
        </w:rPr>
        <w:t> </w:t>
      </w:r>
      <w:r>
        <w:rPr>
          <w:color w:val="231F20"/>
        </w:rPr>
        <w:t>ЈП</w:t>
      </w:r>
      <w:r>
        <w:rPr>
          <w:color w:val="231F20"/>
          <w:spacing w:val="-5"/>
        </w:rPr>
        <w:t> </w:t>
      </w:r>
      <w:r>
        <w:rPr>
          <w:color w:val="231F20"/>
        </w:rPr>
        <w:t>„ЕПС”</w:t>
      </w:r>
      <w:r>
        <w:rPr>
          <w:color w:val="231F20"/>
          <w:spacing w:val="-5"/>
        </w:rPr>
        <w:t> </w:t>
      </w:r>
      <w:r>
        <w:rPr>
          <w:color w:val="231F20"/>
          <w:spacing w:val="-3"/>
        </w:rPr>
        <w:t>од</w:t>
      </w:r>
      <w:r>
        <w:rPr>
          <w:color w:val="231F20"/>
          <w:spacing w:val="-5"/>
        </w:rPr>
        <w:t> </w:t>
      </w:r>
      <w:r>
        <w:rPr>
          <w:color w:val="231F20"/>
        </w:rPr>
        <w:t>16.</w:t>
      </w:r>
      <w:r>
        <w:rPr>
          <w:color w:val="231F20"/>
          <w:spacing w:val="-5"/>
        </w:rPr>
        <w:t> </w:t>
      </w:r>
      <w:r>
        <w:rPr>
          <w:color w:val="231F20"/>
        </w:rPr>
        <w:t>децембра</w:t>
      </w:r>
      <w:r>
        <w:rPr>
          <w:color w:val="231F20"/>
          <w:spacing w:val="-5"/>
        </w:rPr>
        <w:t> </w:t>
      </w:r>
      <w:r>
        <w:rPr>
          <w:color w:val="231F20"/>
        </w:rPr>
        <w:t>2011. </w:t>
      </w:r>
      <w:r>
        <w:rPr>
          <w:color w:val="231F20"/>
          <w:spacing w:val="-3"/>
        </w:rPr>
        <w:t>године </w:t>
      </w:r>
      <w:r>
        <w:rPr>
          <w:color w:val="231F20"/>
        </w:rPr>
        <w:t>(Записник бр. 201/13-11 </w:t>
      </w:r>
      <w:r>
        <w:rPr>
          <w:color w:val="231F20"/>
          <w:spacing w:val="-3"/>
        </w:rPr>
        <w:t>од </w:t>
      </w:r>
      <w:r>
        <w:rPr>
          <w:color w:val="231F20"/>
        </w:rPr>
        <w:t>20. децембра 2011.</w:t>
      </w:r>
      <w:r>
        <w:rPr>
          <w:color w:val="231F20"/>
          <w:spacing w:val="-12"/>
        </w:rPr>
        <w:t> </w:t>
      </w:r>
      <w:r>
        <w:rPr>
          <w:color w:val="231F20"/>
        </w:rPr>
        <w:t>године).</w:t>
      </w:r>
    </w:p>
    <w:p>
      <w:pPr>
        <w:pStyle w:val="BodyText"/>
        <w:spacing w:line="230" w:lineRule="auto"/>
        <w:ind w:right="38" w:firstLine="396"/>
      </w:pPr>
      <w:r>
        <w:rPr>
          <w:color w:val="231F20"/>
        </w:rPr>
        <w:t>Након спровођења ЈАВНОГ УВИДА поступљено је по при- медбама из Извештаја Комисије за спровођење поступка јавног увида бр. 350.412-32/2010-01 од 27. марта 2012. године.</w:t>
      </w:r>
    </w:p>
    <w:p>
      <w:pPr>
        <w:pStyle w:val="BodyText"/>
        <w:spacing w:line="230" w:lineRule="auto"/>
        <w:ind w:right="38" w:firstLine="397"/>
      </w:pPr>
      <w:r>
        <w:rPr>
          <w:color w:val="231F20"/>
        </w:rPr>
        <w:t>Просторни план је урађен у складу са одредбама Закона о планирању и изградњи („Службени гласник РС”, бр. 72/09, 81/09 и 24/11) и Правилника о садржини, начину и поступку израде планских докумената („Службени гласник РС”, бр. 31/10, 69/10 и 18/11) као и одредбама других законских и подзаконских аката из области локалне самоуправе, рударства, енергетике, водопривре- де, пољопривреде, саобраћаја, животне средине, заштите </w:t>
      </w:r>
      <w:r>
        <w:rPr>
          <w:color w:val="231F20"/>
          <w:spacing w:val="-3"/>
        </w:rPr>
        <w:t>култур- </w:t>
      </w:r>
      <w:r>
        <w:rPr>
          <w:color w:val="231F20"/>
        </w:rPr>
        <w:t>ног наслеђа и</w:t>
      </w:r>
      <w:r>
        <w:rPr>
          <w:color w:val="231F20"/>
          <w:spacing w:val="-3"/>
        </w:rPr>
        <w:t> </w:t>
      </w:r>
      <w:r>
        <w:rPr>
          <w:color w:val="231F20"/>
        </w:rPr>
        <w:t>других.</w:t>
      </w:r>
    </w:p>
    <w:p>
      <w:pPr>
        <w:pStyle w:val="BodyText"/>
        <w:spacing w:line="232" w:lineRule="auto" w:before="1"/>
        <w:ind w:right="38" w:firstLine="396"/>
      </w:pPr>
      <w:r>
        <w:rPr>
          <w:color w:val="231F20"/>
          <w:spacing w:val="-3"/>
        </w:rPr>
        <w:t>Стратешка</w:t>
      </w:r>
      <w:r>
        <w:rPr>
          <w:color w:val="231F20"/>
          <w:spacing w:val="-15"/>
        </w:rPr>
        <w:t> </w:t>
      </w:r>
      <w:r>
        <w:rPr>
          <w:color w:val="231F20"/>
        </w:rPr>
        <w:t>процена</w:t>
      </w:r>
      <w:r>
        <w:rPr>
          <w:color w:val="231F20"/>
          <w:spacing w:val="-15"/>
        </w:rPr>
        <w:t> </w:t>
      </w:r>
      <w:r>
        <w:rPr>
          <w:color w:val="231F20"/>
        </w:rPr>
        <w:t>утицаја</w:t>
      </w:r>
      <w:r>
        <w:rPr>
          <w:color w:val="231F20"/>
          <w:spacing w:val="-15"/>
        </w:rPr>
        <w:t> </w:t>
      </w:r>
      <w:r>
        <w:rPr>
          <w:color w:val="231F20"/>
        </w:rPr>
        <w:t>Просторног</w:t>
      </w:r>
      <w:r>
        <w:rPr>
          <w:color w:val="231F20"/>
          <w:spacing w:val="-15"/>
        </w:rPr>
        <w:t> </w:t>
      </w:r>
      <w:r>
        <w:rPr>
          <w:color w:val="231F20"/>
        </w:rPr>
        <w:t>плана</w:t>
      </w:r>
      <w:r>
        <w:rPr>
          <w:color w:val="231F20"/>
          <w:spacing w:val="-15"/>
        </w:rPr>
        <w:t> </w:t>
      </w:r>
      <w:r>
        <w:rPr>
          <w:color w:val="231F20"/>
        </w:rPr>
        <w:t>на</w:t>
      </w:r>
      <w:r>
        <w:rPr>
          <w:color w:val="231F20"/>
          <w:spacing w:val="-15"/>
        </w:rPr>
        <w:t> </w:t>
      </w:r>
      <w:r>
        <w:rPr>
          <w:color w:val="231F20"/>
          <w:spacing w:val="-3"/>
        </w:rPr>
        <w:t>животну</w:t>
      </w:r>
      <w:r>
        <w:rPr>
          <w:color w:val="231F20"/>
          <w:spacing w:val="-15"/>
        </w:rPr>
        <w:t> </w:t>
      </w:r>
      <w:r>
        <w:rPr>
          <w:color w:val="231F20"/>
        </w:rPr>
        <w:t>сре- дину (у даљем </w:t>
      </w:r>
      <w:r>
        <w:rPr>
          <w:color w:val="231F20"/>
          <w:spacing w:val="-4"/>
        </w:rPr>
        <w:t>тексту: </w:t>
      </w:r>
      <w:r>
        <w:rPr>
          <w:color w:val="231F20"/>
          <w:spacing w:val="-3"/>
        </w:rPr>
        <w:t>Стратешка </w:t>
      </w:r>
      <w:r>
        <w:rPr>
          <w:color w:val="231F20"/>
        </w:rPr>
        <w:t>процена), </w:t>
      </w:r>
      <w:r>
        <w:rPr>
          <w:color w:val="231F20"/>
          <w:spacing w:val="-3"/>
        </w:rPr>
        <w:t>као </w:t>
      </w:r>
      <w:r>
        <w:rPr>
          <w:color w:val="231F20"/>
        </w:rPr>
        <w:t>саставни део Про- </w:t>
      </w:r>
      <w:r>
        <w:rPr>
          <w:color w:val="231F20"/>
          <w:spacing w:val="-3"/>
        </w:rPr>
        <w:t>сторног </w:t>
      </w:r>
      <w:r>
        <w:rPr>
          <w:color w:val="231F20"/>
        </w:rPr>
        <w:t>плана, урађена је у складу са </w:t>
      </w:r>
      <w:r>
        <w:rPr>
          <w:color w:val="231F20"/>
          <w:spacing w:val="-4"/>
        </w:rPr>
        <w:t>Одлуком </w:t>
      </w:r>
      <w:r>
        <w:rPr>
          <w:color w:val="231F20"/>
        </w:rPr>
        <w:t>о изради </w:t>
      </w:r>
      <w:r>
        <w:rPr>
          <w:color w:val="231F20"/>
          <w:spacing w:val="-3"/>
        </w:rPr>
        <w:t>Стратешке </w:t>
      </w:r>
      <w:r>
        <w:rPr>
          <w:color w:val="231F20"/>
        </w:rPr>
        <w:t>процене утицаја Просторног плана посебне намене </w:t>
      </w:r>
      <w:r>
        <w:rPr>
          <w:color w:val="231F20"/>
          <w:spacing w:val="-5"/>
        </w:rPr>
        <w:t>Костолачког </w:t>
      </w:r>
      <w:r>
        <w:rPr>
          <w:color w:val="231F20"/>
        </w:rPr>
        <w:t>угљеног басена на </w:t>
      </w:r>
      <w:r>
        <w:rPr>
          <w:color w:val="231F20"/>
          <w:spacing w:val="-3"/>
        </w:rPr>
        <w:t>животну средину („Службени </w:t>
      </w:r>
      <w:r>
        <w:rPr>
          <w:color w:val="231F20"/>
          <w:spacing w:val="-4"/>
        </w:rPr>
        <w:t>гласник </w:t>
      </w:r>
      <w:r>
        <w:rPr>
          <w:color w:val="231F20"/>
        </w:rPr>
        <w:t>РС”, број 57/08) на </w:t>
      </w:r>
      <w:r>
        <w:rPr>
          <w:color w:val="231F20"/>
          <w:spacing w:val="-3"/>
        </w:rPr>
        <w:t>основу одговарајуће </w:t>
      </w:r>
      <w:r>
        <w:rPr>
          <w:color w:val="231F20"/>
          <w:spacing w:val="-4"/>
        </w:rPr>
        <w:t>студијске </w:t>
      </w:r>
      <w:r>
        <w:rPr>
          <w:color w:val="231F20"/>
        </w:rPr>
        <w:t>основе </w:t>
      </w:r>
      <w:r>
        <w:rPr>
          <w:color w:val="231F20"/>
          <w:spacing w:val="-4"/>
        </w:rPr>
        <w:t>(студија</w:t>
      </w:r>
      <w:r>
        <w:rPr>
          <w:color w:val="231F20"/>
          <w:spacing w:val="22"/>
        </w:rPr>
        <w:t> </w:t>
      </w:r>
      <w:r>
        <w:rPr>
          <w:color w:val="231F20"/>
        </w:rPr>
        <w:t>утицаја</w:t>
      </w:r>
    </w:p>
    <w:p>
      <w:pPr>
        <w:pStyle w:val="BodyText"/>
        <w:spacing w:line="232" w:lineRule="auto" w:before="72"/>
        <w:ind w:right="411"/>
      </w:pPr>
      <w:r>
        <w:rPr/>
        <w:br w:type="column"/>
      </w:r>
      <w:r>
        <w:rPr>
          <w:color w:val="231F20"/>
          <w:spacing w:val="-3"/>
        </w:rPr>
        <w:t>ТЕ-КО „Костолац” </w:t>
      </w:r>
      <w:r>
        <w:rPr>
          <w:color w:val="231F20"/>
        </w:rPr>
        <w:t>на квалитет и режим </w:t>
      </w:r>
      <w:r>
        <w:rPr>
          <w:color w:val="231F20"/>
          <w:spacing w:val="-4"/>
        </w:rPr>
        <w:t>вода </w:t>
      </w:r>
      <w:r>
        <w:rPr>
          <w:color w:val="231F20"/>
        </w:rPr>
        <w:t>и </w:t>
      </w:r>
      <w:r>
        <w:rPr>
          <w:color w:val="231F20"/>
          <w:spacing w:val="-4"/>
        </w:rPr>
        <w:t>студија </w:t>
      </w:r>
      <w:r>
        <w:rPr>
          <w:color w:val="231F20"/>
        </w:rPr>
        <w:t>утицаја ТЕ- </w:t>
      </w:r>
      <w:r>
        <w:rPr>
          <w:color w:val="231F20"/>
          <w:spacing w:val="-4"/>
        </w:rPr>
        <w:t>КО </w:t>
      </w:r>
      <w:r>
        <w:rPr>
          <w:color w:val="231F20"/>
          <w:spacing w:val="-3"/>
        </w:rPr>
        <w:t>„Костолац” </w:t>
      </w:r>
      <w:r>
        <w:rPr>
          <w:color w:val="231F20"/>
        </w:rPr>
        <w:t>на квалитет </w:t>
      </w:r>
      <w:r>
        <w:rPr>
          <w:color w:val="231F20"/>
          <w:spacing w:val="-3"/>
        </w:rPr>
        <w:t>ваздуха) синхронизовано </w:t>
      </w:r>
      <w:r>
        <w:rPr>
          <w:color w:val="231F20"/>
        </w:rPr>
        <w:t>са истражи- </w:t>
      </w:r>
      <w:r>
        <w:rPr>
          <w:color w:val="231F20"/>
          <w:spacing w:val="-4"/>
        </w:rPr>
        <w:t>вачким </w:t>
      </w:r>
      <w:r>
        <w:rPr>
          <w:color w:val="231F20"/>
          <w:spacing w:val="-3"/>
        </w:rPr>
        <w:t>пројектом </w:t>
      </w:r>
      <w:r>
        <w:rPr>
          <w:color w:val="231F20"/>
        </w:rPr>
        <w:t>„Просторни, социјални и </w:t>
      </w:r>
      <w:r>
        <w:rPr>
          <w:color w:val="231F20"/>
          <w:spacing w:val="-4"/>
        </w:rPr>
        <w:t>еколошки </w:t>
      </w:r>
      <w:r>
        <w:rPr>
          <w:color w:val="231F20"/>
          <w:spacing w:val="-3"/>
        </w:rPr>
        <w:t>аспекти </w:t>
      </w:r>
      <w:r>
        <w:rPr>
          <w:color w:val="231F20"/>
        </w:rPr>
        <w:t>раз- воја у великим </w:t>
      </w:r>
      <w:r>
        <w:rPr>
          <w:color w:val="231F20"/>
          <w:spacing w:val="-4"/>
        </w:rPr>
        <w:t>рударским </w:t>
      </w:r>
      <w:r>
        <w:rPr>
          <w:color w:val="231F20"/>
        </w:rPr>
        <w:t>басенима”, </w:t>
      </w:r>
      <w:r>
        <w:rPr>
          <w:color w:val="231F20"/>
          <w:spacing w:val="-7"/>
        </w:rPr>
        <w:t>МНТР, </w:t>
      </w:r>
      <w:r>
        <w:rPr>
          <w:color w:val="231F20"/>
        </w:rPr>
        <w:t>ев. бр. ТП 16008А.</w:t>
      </w:r>
    </w:p>
    <w:p>
      <w:pPr>
        <w:pStyle w:val="BodyText"/>
        <w:spacing w:line="232" w:lineRule="auto"/>
        <w:ind w:left="146" w:right="411" w:firstLine="397"/>
        <w:jc w:val="right"/>
      </w:pPr>
      <w:r>
        <w:rPr>
          <w:color w:val="231F20"/>
        </w:rPr>
        <w:t>Основни циљ Просторног плана је обезбеђење просторних услова за одрживи просторни развој Планског подручја, рацио- налну експлоатацију лежишта лигнита, нафте и гаса као и других ресурса у Костолачком басену, као и за неутралисање или убла- жавање негативних развојних, еколошких и социоекономских по- следица те експлоатације и прераде енергетских и других ресурса. Један од непосредних задатака Просторног плана је и за- штита лигнитског лежишта од непланске изградње утврђивањем одговарајућег (рестриктивног) режима изградње изнад лежишта лигнита и нафте у границама будућих експлоатационих поља, а у складу са динамиком развоја (површинске) експлоатације. Овај проблем се решава диференцирано, у зависности од динамике ру-</w:t>
      </w:r>
    </w:p>
    <w:p>
      <w:pPr>
        <w:pStyle w:val="BodyText"/>
        <w:spacing w:line="232" w:lineRule="auto" w:before="2"/>
        <w:ind w:left="567" w:right="2482" w:hanging="398"/>
        <w:jc w:val="left"/>
      </w:pPr>
      <w:r>
        <w:rPr>
          <w:color w:val="231F20"/>
        </w:rPr>
        <w:t>дарских радова и пратећих активности. Просторним планом се утврђују:</w:t>
      </w:r>
    </w:p>
    <w:p>
      <w:pPr>
        <w:pStyle w:val="ListParagraph"/>
        <w:numPr>
          <w:ilvl w:val="0"/>
          <w:numId w:val="2"/>
        </w:numPr>
        <w:tabs>
          <w:tab w:pos="810" w:val="left" w:leader="none"/>
        </w:tabs>
        <w:spacing w:line="232" w:lineRule="auto" w:before="0" w:after="0"/>
        <w:ind w:left="170" w:right="411" w:firstLine="397"/>
        <w:jc w:val="left"/>
        <w:rPr>
          <w:sz w:val="18"/>
        </w:rPr>
      </w:pPr>
      <w:r>
        <w:rPr>
          <w:color w:val="231F20"/>
          <w:sz w:val="18"/>
        </w:rPr>
        <w:t>основне концепције развоја, коришћења, организације, уређивања и обнављања простора за хоризонт до 2022.</w:t>
      </w:r>
      <w:r>
        <w:rPr>
          <w:color w:val="231F20"/>
          <w:spacing w:val="-13"/>
          <w:sz w:val="18"/>
        </w:rPr>
        <w:t> </w:t>
      </w:r>
      <w:r>
        <w:rPr>
          <w:color w:val="231F20"/>
          <w:spacing w:val="-3"/>
          <w:sz w:val="18"/>
        </w:rPr>
        <w:t>године;</w:t>
      </w:r>
    </w:p>
    <w:p>
      <w:pPr>
        <w:pStyle w:val="ListParagraph"/>
        <w:numPr>
          <w:ilvl w:val="0"/>
          <w:numId w:val="2"/>
        </w:numPr>
        <w:tabs>
          <w:tab w:pos="750" w:val="left" w:leader="none"/>
        </w:tabs>
        <w:spacing w:line="232" w:lineRule="auto" w:before="0" w:after="0"/>
        <w:ind w:left="170" w:right="411" w:firstLine="397"/>
        <w:jc w:val="left"/>
        <w:rPr>
          <w:sz w:val="18"/>
        </w:rPr>
      </w:pPr>
      <w:r>
        <w:rPr>
          <w:color w:val="231F20"/>
          <w:sz w:val="18"/>
        </w:rPr>
        <w:t>прва етапа реализације (до 2015. године) за операционали- зацију дугорочних концепција и планских решења</w:t>
      </w:r>
      <w:r>
        <w:rPr>
          <w:color w:val="231F20"/>
          <w:spacing w:val="-10"/>
          <w:sz w:val="18"/>
        </w:rPr>
        <w:t> </w:t>
      </w:r>
      <w:r>
        <w:rPr>
          <w:color w:val="231F20"/>
          <w:sz w:val="18"/>
        </w:rPr>
        <w:t>и</w:t>
      </w:r>
    </w:p>
    <w:p>
      <w:pPr>
        <w:pStyle w:val="ListParagraph"/>
        <w:numPr>
          <w:ilvl w:val="0"/>
          <w:numId w:val="2"/>
        </w:numPr>
        <w:tabs>
          <w:tab w:pos="756" w:val="left" w:leader="none"/>
        </w:tabs>
        <w:spacing w:line="232" w:lineRule="auto" w:before="0" w:after="0"/>
        <w:ind w:left="170" w:right="411" w:firstLine="397"/>
        <w:jc w:val="left"/>
        <w:rPr>
          <w:sz w:val="18"/>
        </w:rPr>
      </w:pPr>
      <w:r>
        <w:rPr>
          <w:color w:val="231F20"/>
          <w:sz w:val="18"/>
        </w:rPr>
        <w:t>визија дугорочног развоја и уређења простора за перспек- </w:t>
      </w:r>
      <w:r>
        <w:rPr>
          <w:color w:val="231F20"/>
          <w:spacing w:val="-3"/>
          <w:sz w:val="18"/>
        </w:rPr>
        <w:t>тиву </w:t>
      </w:r>
      <w:r>
        <w:rPr>
          <w:color w:val="231F20"/>
          <w:sz w:val="18"/>
        </w:rPr>
        <w:t>потпуног искоришћења лигнитског</w:t>
      </w:r>
      <w:r>
        <w:rPr>
          <w:color w:val="231F20"/>
          <w:spacing w:val="-3"/>
          <w:sz w:val="18"/>
        </w:rPr>
        <w:t> </w:t>
      </w:r>
      <w:r>
        <w:rPr>
          <w:color w:val="231F20"/>
          <w:sz w:val="18"/>
        </w:rPr>
        <w:t>лежишта.</w:t>
      </w:r>
    </w:p>
    <w:p>
      <w:pPr>
        <w:pStyle w:val="BodyText"/>
        <w:spacing w:line="232" w:lineRule="auto" w:before="1"/>
        <w:ind w:left="169" w:right="343" w:firstLine="397"/>
        <w:jc w:val="left"/>
      </w:pPr>
      <w:r>
        <w:rPr>
          <w:color w:val="231F20"/>
        </w:rPr>
        <w:t>Просторни план, односно, планска документација за Косто- лачки угљени басен има следећу структуру:</w:t>
      </w:r>
    </w:p>
    <w:p>
      <w:pPr>
        <w:pStyle w:val="BodyText"/>
        <w:spacing w:line="232" w:lineRule="auto"/>
        <w:ind w:left="1217" w:right="343" w:hanging="651"/>
        <w:jc w:val="left"/>
      </w:pPr>
      <w:r>
        <w:rPr>
          <w:color w:val="231F20"/>
        </w:rPr>
        <w:t>Књига I Просторни план подручја посебне намене (страте- шки документ);</w:t>
      </w:r>
    </w:p>
    <w:p>
      <w:pPr>
        <w:pStyle w:val="BodyText"/>
        <w:spacing w:line="199" w:lineRule="exact"/>
        <w:ind w:left="566"/>
        <w:jc w:val="left"/>
      </w:pPr>
      <w:r>
        <w:rPr>
          <w:color w:val="231F20"/>
        </w:rPr>
        <w:t>Књига II Правила изградње и правила уређења простора;</w:t>
      </w:r>
    </w:p>
    <w:p>
      <w:pPr>
        <w:pStyle w:val="BodyText"/>
        <w:spacing w:line="232" w:lineRule="auto" w:before="2"/>
        <w:ind w:left="1337" w:right="343" w:hanging="771"/>
        <w:jc w:val="left"/>
      </w:pPr>
      <w:r>
        <w:rPr>
          <w:color w:val="231F20"/>
        </w:rPr>
        <w:t>Књига III Стратешка процена утицаја Просторног плана на животну средину (у даљем тексту: СПУ):</w:t>
      </w:r>
    </w:p>
    <w:p>
      <w:pPr>
        <w:pStyle w:val="ListParagraph"/>
        <w:numPr>
          <w:ilvl w:val="0"/>
          <w:numId w:val="3"/>
        </w:numPr>
        <w:tabs>
          <w:tab w:pos="763" w:val="left" w:leader="none"/>
        </w:tabs>
        <w:spacing w:line="199" w:lineRule="exact" w:before="0" w:after="0"/>
        <w:ind w:left="762" w:right="0" w:hanging="195"/>
        <w:jc w:val="left"/>
        <w:rPr>
          <w:sz w:val="18"/>
        </w:rPr>
      </w:pPr>
      <w:r>
        <w:rPr>
          <w:color w:val="231F20"/>
          <w:sz w:val="18"/>
        </w:rPr>
        <w:t>Претходни извештај</w:t>
      </w:r>
      <w:r>
        <w:rPr>
          <w:color w:val="231F20"/>
          <w:spacing w:val="-2"/>
          <w:sz w:val="18"/>
        </w:rPr>
        <w:t> </w:t>
      </w:r>
      <w:r>
        <w:rPr>
          <w:color w:val="231F20"/>
          <w:spacing w:val="-8"/>
          <w:sz w:val="18"/>
        </w:rPr>
        <w:t>СПУ,</w:t>
      </w:r>
    </w:p>
    <w:p>
      <w:pPr>
        <w:pStyle w:val="ListParagraph"/>
        <w:numPr>
          <w:ilvl w:val="0"/>
          <w:numId w:val="3"/>
        </w:numPr>
        <w:tabs>
          <w:tab w:pos="763" w:val="left" w:leader="none"/>
        </w:tabs>
        <w:spacing w:line="201" w:lineRule="exact" w:before="0" w:after="0"/>
        <w:ind w:left="762" w:right="0" w:hanging="195"/>
        <w:jc w:val="left"/>
        <w:rPr>
          <w:sz w:val="18"/>
        </w:rPr>
      </w:pPr>
      <w:r>
        <w:rPr>
          <w:color w:val="231F20"/>
          <w:sz w:val="18"/>
        </w:rPr>
        <w:t>Финални извештај</w:t>
      </w:r>
      <w:r>
        <w:rPr>
          <w:color w:val="231F20"/>
          <w:spacing w:val="-2"/>
          <w:sz w:val="18"/>
        </w:rPr>
        <w:t> </w:t>
      </w:r>
      <w:r>
        <w:rPr>
          <w:color w:val="231F20"/>
          <w:spacing w:val="-8"/>
          <w:sz w:val="18"/>
        </w:rPr>
        <w:t>СПУ,</w:t>
      </w:r>
    </w:p>
    <w:p>
      <w:pPr>
        <w:pStyle w:val="ListParagraph"/>
        <w:numPr>
          <w:ilvl w:val="0"/>
          <w:numId w:val="3"/>
        </w:numPr>
        <w:tabs>
          <w:tab w:pos="762" w:val="left" w:leader="none"/>
        </w:tabs>
        <w:spacing w:line="201" w:lineRule="exact" w:before="0" w:after="0"/>
        <w:ind w:left="761" w:right="0" w:hanging="195"/>
        <w:jc w:val="left"/>
        <w:rPr>
          <w:sz w:val="18"/>
        </w:rPr>
      </w:pPr>
      <w:r>
        <w:rPr>
          <w:color w:val="231F20"/>
          <w:spacing w:val="-3"/>
          <w:sz w:val="18"/>
        </w:rPr>
        <w:t>Студијска </w:t>
      </w:r>
      <w:r>
        <w:rPr>
          <w:color w:val="231F20"/>
          <w:sz w:val="18"/>
        </w:rPr>
        <w:t>основа</w:t>
      </w:r>
      <w:r>
        <w:rPr>
          <w:color w:val="231F20"/>
          <w:spacing w:val="1"/>
          <w:sz w:val="18"/>
        </w:rPr>
        <w:t> </w:t>
      </w:r>
      <w:r>
        <w:rPr>
          <w:color w:val="231F20"/>
          <w:sz w:val="18"/>
        </w:rPr>
        <w:t>СПУ:</w:t>
      </w:r>
    </w:p>
    <w:p>
      <w:pPr>
        <w:pStyle w:val="BodyText"/>
        <w:spacing w:line="232" w:lineRule="auto" w:before="2"/>
        <w:ind w:right="343" w:firstLine="396"/>
        <w:jc w:val="left"/>
      </w:pPr>
      <w:r>
        <w:rPr>
          <w:color w:val="231F20"/>
          <w:w w:val="66"/>
        </w:rPr>
        <w:t> </w:t>
      </w:r>
      <w:r>
        <w:rPr>
          <w:color w:val="231F20"/>
        </w:rPr>
        <w:t>– Утицај рударско-енергетског система на режим и квалитет вода и</w:t>
      </w:r>
    </w:p>
    <w:p>
      <w:pPr>
        <w:pStyle w:val="BodyText"/>
        <w:spacing w:line="232" w:lineRule="auto"/>
        <w:ind w:left="567" w:right="423" w:hanging="1"/>
        <w:jc w:val="left"/>
      </w:pPr>
      <w:r>
        <w:rPr>
          <w:color w:val="231F20"/>
          <w:w w:val="66"/>
        </w:rPr>
        <w:t> </w:t>
      </w:r>
      <w:r>
        <w:rPr>
          <w:color w:val="231F20"/>
        </w:rPr>
        <w:t>– Утицај рударско-енергетског система на квалитет ваздуха; Књига IV Документациона основа Просторног плана:</w:t>
      </w:r>
    </w:p>
    <w:p>
      <w:pPr>
        <w:pStyle w:val="ListParagraph"/>
        <w:numPr>
          <w:ilvl w:val="0"/>
          <w:numId w:val="4"/>
        </w:numPr>
        <w:tabs>
          <w:tab w:pos="763" w:val="left" w:leader="none"/>
        </w:tabs>
        <w:spacing w:line="199" w:lineRule="exact" w:before="0" w:after="0"/>
        <w:ind w:left="762" w:right="0" w:hanging="195"/>
        <w:jc w:val="left"/>
        <w:rPr>
          <w:sz w:val="18"/>
        </w:rPr>
      </w:pPr>
      <w:r>
        <w:rPr>
          <w:color w:val="231F20"/>
          <w:sz w:val="18"/>
        </w:rPr>
        <w:t>Концепт просторног</w:t>
      </w:r>
      <w:r>
        <w:rPr>
          <w:color w:val="231F20"/>
          <w:spacing w:val="-3"/>
          <w:sz w:val="18"/>
        </w:rPr>
        <w:t> </w:t>
      </w:r>
      <w:r>
        <w:rPr>
          <w:color w:val="231F20"/>
          <w:sz w:val="18"/>
        </w:rPr>
        <w:t>плана,</w:t>
      </w:r>
    </w:p>
    <w:p>
      <w:pPr>
        <w:pStyle w:val="ListParagraph"/>
        <w:numPr>
          <w:ilvl w:val="0"/>
          <w:numId w:val="4"/>
        </w:numPr>
        <w:tabs>
          <w:tab w:pos="762" w:val="left" w:leader="none"/>
        </w:tabs>
        <w:spacing w:line="201" w:lineRule="exact" w:before="0" w:after="0"/>
        <w:ind w:left="761" w:right="0" w:hanging="195"/>
        <w:jc w:val="left"/>
        <w:rPr>
          <w:sz w:val="18"/>
        </w:rPr>
      </w:pPr>
      <w:r>
        <w:rPr>
          <w:color w:val="231F20"/>
          <w:spacing w:val="-3"/>
          <w:sz w:val="18"/>
        </w:rPr>
        <w:t>Студијска </w:t>
      </w:r>
      <w:r>
        <w:rPr>
          <w:color w:val="231F20"/>
          <w:sz w:val="18"/>
        </w:rPr>
        <w:t>основа Просторног плана, и</w:t>
      </w:r>
    </w:p>
    <w:p>
      <w:pPr>
        <w:pStyle w:val="ListParagraph"/>
        <w:numPr>
          <w:ilvl w:val="0"/>
          <w:numId w:val="4"/>
        </w:numPr>
        <w:tabs>
          <w:tab w:pos="762" w:val="left" w:leader="none"/>
        </w:tabs>
        <w:spacing w:line="201" w:lineRule="exact" w:before="0" w:after="0"/>
        <w:ind w:left="761" w:right="0" w:hanging="195"/>
        <w:jc w:val="left"/>
        <w:rPr>
          <w:sz w:val="18"/>
        </w:rPr>
      </w:pPr>
      <w:r>
        <w:rPr>
          <w:color w:val="231F20"/>
          <w:sz w:val="18"/>
        </w:rPr>
        <w:t>документи везани за припрему Просторног</w:t>
      </w:r>
      <w:r>
        <w:rPr>
          <w:color w:val="231F20"/>
          <w:spacing w:val="-7"/>
          <w:sz w:val="18"/>
        </w:rPr>
        <w:t> </w:t>
      </w:r>
      <w:r>
        <w:rPr>
          <w:color w:val="231F20"/>
          <w:sz w:val="18"/>
        </w:rPr>
        <w:t>плана.</w:t>
      </w:r>
    </w:p>
    <w:p>
      <w:pPr>
        <w:pStyle w:val="BodyText"/>
        <w:spacing w:line="232" w:lineRule="auto" w:before="2"/>
        <w:ind w:right="411" w:firstLine="396"/>
      </w:pPr>
      <w:r>
        <w:rPr>
          <w:color w:val="231F20"/>
        </w:rPr>
        <w:t>Графички прилози – карте Просторног плана урађене су на топографским, ортофото и катастарским плановима у размерама  1 : 50 000, 1 : 25 000, 1 : 10 000 и 1 : 2</w:t>
      </w:r>
      <w:r>
        <w:rPr>
          <w:color w:val="231F20"/>
          <w:spacing w:val="-1"/>
        </w:rPr>
        <w:t> </w:t>
      </w:r>
      <w:r>
        <w:rPr>
          <w:color w:val="231F20"/>
        </w:rPr>
        <w:t>500.</w:t>
      </w:r>
    </w:p>
    <w:p>
      <w:pPr>
        <w:pStyle w:val="BodyText"/>
        <w:spacing w:line="202" w:lineRule="exact"/>
        <w:ind w:left="567"/>
        <w:jc w:val="left"/>
      </w:pPr>
      <w:r>
        <w:rPr>
          <w:color w:val="231F20"/>
        </w:rPr>
        <w:t>Рефералне карте</w:t>
      </w:r>
    </w:p>
    <w:p>
      <w:pPr>
        <w:tabs>
          <w:tab w:pos="1179" w:val="left" w:leader="none"/>
        </w:tabs>
        <w:spacing w:before="90"/>
        <w:ind w:left="170" w:right="0" w:firstLine="0"/>
        <w:jc w:val="left"/>
        <w:rPr>
          <w:sz w:val="14"/>
        </w:rPr>
      </w:pPr>
      <w:r>
        <w:rPr>
          <w:color w:val="231F20"/>
          <w:sz w:val="14"/>
        </w:rPr>
        <w:t>Карта</w:t>
      </w:r>
      <w:r>
        <w:rPr>
          <w:color w:val="231F20"/>
          <w:spacing w:val="-1"/>
          <w:sz w:val="14"/>
        </w:rPr>
        <w:t> </w:t>
      </w:r>
      <w:r>
        <w:rPr>
          <w:color w:val="231F20"/>
          <w:sz w:val="14"/>
        </w:rPr>
        <w:t>1:</w:t>
        <w:tab/>
        <w:t>Намена простора 2015. године, R – 1: 50</w:t>
      </w:r>
      <w:r>
        <w:rPr>
          <w:color w:val="231F20"/>
          <w:spacing w:val="-18"/>
          <w:sz w:val="14"/>
        </w:rPr>
        <w:t> </w:t>
      </w:r>
      <w:r>
        <w:rPr>
          <w:color w:val="231F20"/>
          <w:sz w:val="14"/>
        </w:rPr>
        <w:t>000,</w:t>
      </w:r>
    </w:p>
    <w:p>
      <w:pPr>
        <w:tabs>
          <w:tab w:pos="1179" w:val="left" w:leader="none"/>
        </w:tabs>
        <w:spacing w:before="96"/>
        <w:ind w:left="170" w:right="0" w:firstLine="0"/>
        <w:jc w:val="left"/>
        <w:rPr>
          <w:sz w:val="14"/>
        </w:rPr>
      </w:pPr>
      <w:r>
        <w:rPr>
          <w:color w:val="231F20"/>
          <w:sz w:val="14"/>
        </w:rPr>
        <w:t>Карта</w:t>
      </w:r>
      <w:r>
        <w:rPr>
          <w:color w:val="231F20"/>
          <w:spacing w:val="-1"/>
          <w:sz w:val="14"/>
        </w:rPr>
        <w:t> </w:t>
      </w:r>
      <w:r>
        <w:rPr>
          <w:color w:val="231F20"/>
          <w:sz w:val="14"/>
        </w:rPr>
        <w:t>2:</w:t>
        <w:tab/>
        <w:t>Намена простора 2022. године, R – 1: 50</w:t>
      </w:r>
      <w:r>
        <w:rPr>
          <w:color w:val="231F20"/>
          <w:spacing w:val="-18"/>
          <w:sz w:val="14"/>
        </w:rPr>
        <w:t> </w:t>
      </w:r>
      <w:r>
        <w:rPr>
          <w:color w:val="231F20"/>
          <w:sz w:val="14"/>
        </w:rPr>
        <w:t>000,</w:t>
      </w:r>
    </w:p>
    <w:p>
      <w:pPr>
        <w:tabs>
          <w:tab w:pos="1179" w:val="left" w:leader="none"/>
        </w:tabs>
        <w:spacing w:line="250" w:lineRule="atLeast" w:before="7"/>
        <w:ind w:left="170" w:right="411" w:firstLine="0"/>
        <w:jc w:val="left"/>
        <w:rPr>
          <w:sz w:val="14"/>
        </w:rPr>
      </w:pPr>
      <w:r>
        <w:rPr>
          <w:color w:val="231F20"/>
          <w:sz w:val="14"/>
        </w:rPr>
        <w:t>Карта</w:t>
      </w:r>
      <w:r>
        <w:rPr>
          <w:color w:val="231F20"/>
          <w:spacing w:val="-1"/>
          <w:sz w:val="14"/>
        </w:rPr>
        <w:t> </w:t>
      </w:r>
      <w:r>
        <w:rPr>
          <w:color w:val="231F20"/>
          <w:sz w:val="14"/>
        </w:rPr>
        <w:t>3:</w:t>
        <w:tab/>
      </w:r>
      <w:r>
        <w:rPr>
          <w:color w:val="231F20"/>
          <w:spacing w:val="-3"/>
          <w:sz w:val="14"/>
        </w:rPr>
        <w:t>Мрежа насеља </w:t>
      </w:r>
      <w:r>
        <w:rPr>
          <w:color w:val="231F20"/>
          <w:sz w:val="14"/>
        </w:rPr>
        <w:t>и </w:t>
      </w:r>
      <w:r>
        <w:rPr>
          <w:color w:val="231F20"/>
          <w:spacing w:val="-4"/>
          <w:sz w:val="14"/>
        </w:rPr>
        <w:t>инфраструктурни </w:t>
      </w:r>
      <w:r>
        <w:rPr>
          <w:color w:val="231F20"/>
          <w:spacing w:val="-3"/>
          <w:sz w:val="14"/>
        </w:rPr>
        <w:t>системи 2022. </w:t>
      </w:r>
      <w:r>
        <w:rPr>
          <w:color w:val="231F20"/>
          <w:spacing w:val="-4"/>
          <w:sz w:val="14"/>
        </w:rPr>
        <w:t>године, </w:t>
      </w:r>
      <w:r>
        <w:rPr>
          <w:color w:val="231F20"/>
          <w:sz w:val="14"/>
        </w:rPr>
        <w:t>R – 1: 50 </w:t>
      </w:r>
      <w:r>
        <w:rPr>
          <w:color w:val="231F20"/>
          <w:spacing w:val="-3"/>
          <w:sz w:val="14"/>
        </w:rPr>
        <w:t>000, </w:t>
      </w:r>
      <w:r>
        <w:rPr>
          <w:color w:val="231F20"/>
          <w:sz w:val="14"/>
        </w:rPr>
        <w:t>Карта</w:t>
      </w:r>
      <w:r>
        <w:rPr>
          <w:color w:val="231F20"/>
          <w:spacing w:val="-1"/>
          <w:sz w:val="14"/>
        </w:rPr>
        <w:t> </w:t>
      </w:r>
      <w:r>
        <w:rPr>
          <w:color w:val="231F20"/>
          <w:sz w:val="14"/>
        </w:rPr>
        <w:t>4:</w:t>
        <w:tab/>
        <w:t>Заштита</w:t>
      </w:r>
      <w:r>
        <w:rPr>
          <w:color w:val="231F20"/>
          <w:spacing w:val="8"/>
          <w:sz w:val="14"/>
        </w:rPr>
        <w:t> </w:t>
      </w:r>
      <w:r>
        <w:rPr>
          <w:color w:val="231F20"/>
          <w:sz w:val="14"/>
        </w:rPr>
        <w:t>простора</w:t>
      </w:r>
      <w:r>
        <w:rPr>
          <w:color w:val="231F20"/>
          <w:spacing w:val="30"/>
          <w:sz w:val="14"/>
        </w:rPr>
        <w:t> </w:t>
      </w:r>
      <w:r>
        <w:rPr>
          <w:color w:val="231F20"/>
          <w:sz w:val="14"/>
        </w:rPr>
        <w:t>–</w:t>
      </w:r>
      <w:r>
        <w:rPr>
          <w:color w:val="231F20"/>
          <w:spacing w:val="8"/>
          <w:sz w:val="14"/>
        </w:rPr>
        <w:t> </w:t>
      </w:r>
      <w:r>
        <w:rPr>
          <w:color w:val="231F20"/>
          <w:sz w:val="14"/>
        </w:rPr>
        <w:t>животна</w:t>
      </w:r>
      <w:r>
        <w:rPr>
          <w:color w:val="231F20"/>
          <w:spacing w:val="8"/>
          <w:sz w:val="14"/>
        </w:rPr>
        <w:t> </w:t>
      </w:r>
      <w:r>
        <w:rPr>
          <w:color w:val="231F20"/>
          <w:sz w:val="14"/>
        </w:rPr>
        <w:t>средина,</w:t>
      </w:r>
      <w:r>
        <w:rPr>
          <w:color w:val="231F20"/>
          <w:spacing w:val="8"/>
          <w:sz w:val="14"/>
        </w:rPr>
        <w:t> </w:t>
      </w:r>
      <w:r>
        <w:rPr>
          <w:color w:val="231F20"/>
          <w:sz w:val="14"/>
        </w:rPr>
        <w:t>природна</w:t>
      </w:r>
      <w:r>
        <w:rPr>
          <w:color w:val="231F20"/>
          <w:spacing w:val="8"/>
          <w:sz w:val="14"/>
        </w:rPr>
        <w:t> </w:t>
      </w:r>
      <w:r>
        <w:rPr>
          <w:color w:val="231F20"/>
          <w:sz w:val="14"/>
        </w:rPr>
        <w:t>и</w:t>
      </w:r>
      <w:r>
        <w:rPr>
          <w:color w:val="231F20"/>
          <w:spacing w:val="8"/>
          <w:sz w:val="14"/>
        </w:rPr>
        <w:t> </w:t>
      </w:r>
      <w:r>
        <w:rPr>
          <w:color w:val="231F20"/>
          <w:sz w:val="14"/>
        </w:rPr>
        <w:t>културна</w:t>
      </w:r>
      <w:r>
        <w:rPr>
          <w:color w:val="231F20"/>
          <w:spacing w:val="8"/>
          <w:sz w:val="14"/>
        </w:rPr>
        <w:t> </w:t>
      </w:r>
      <w:r>
        <w:rPr>
          <w:color w:val="231F20"/>
          <w:sz w:val="14"/>
        </w:rPr>
        <w:t>добра,</w:t>
      </w:r>
    </w:p>
    <w:p>
      <w:pPr>
        <w:spacing w:before="6"/>
        <w:ind w:left="1179" w:right="0" w:firstLine="0"/>
        <w:jc w:val="left"/>
        <w:rPr>
          <w:sz w:val="14"/>
        </w:rPr>
      </w:pPr>
      <w:r>
        <w:rPr>
          <w:color w:val="231F20"/>
          <w:sz w:val="14"/>
        </w:rPr>
        <w:t>R – 1: 50 000,</w:t>
      </w:r>
    </w:p>
    <w:p>
      <w:pPr>
        <w:tabs>
          <w:tab w:pos="1179" w:val="left" w:leader="none"/>
        </w:tabs>
        <w:spacing w:before="96"/>
        <w:ind w:left="1179" w:right="423" w:hanging="1010"/>
        <w:jc w:val="left"/>
        <w:rPr>
          <w:sz w:val="14"/>
        </w:rPr>
      </w:pPr>
      <w:r>
        <w:rPr>
          <w:color w:val="231F20"/>
          <w:sz w:val="14"/>
        </w:rPr>
        <w:t>Карта</w:t>
      </w:r>
      <w:r>
        <w:rPr>
          <w:color w:val="231F20"/>
          <w:spacing w:val="-1"/>
          <w:sz w:val="14"/>
        </w:rPr>
        <w:t> </w:t>
      </w:r>
      <w:r>
        <w:rPr>
          <w:color w:val="231F20"/>
          <w:sz w:val="14"/>
        </w:rPr>
        <w:t>5:</w:t>
        <w:tab/>
        <w:t>Имплементација плана (израда и доношење планских докумената), R – 1: 50</w:t>
      </w:r>
      <w:r>
        <w:rPr>
          <w:color w:val="231F20"/>
          <w:spacing w:val="-13"/>
          <w:sz w:val="14"/>
        </w:rPr>
        <w:t> </w:t>
      </w:r>
      <w:r>
        <w:rPr>
          <w:color w:val="231F20"/>
          <w:sz w:val="14"/>
        </w:rPr>
        <w:t>000,</w:t>
      </w:r>
    </w:p>
    <w:p>
      <w:pPr>
        <w:tabs>
          <w:tab w:pos="1179" w:val="left" w:leader="none"/>
        </w:tabs>
        <w:spacing w:before="95"/>
        <w:ind w:left="170" w:right="0" w:firstLine="0"/>
        <w:jc w:val="left"/>
        <w:rPr>
          <w:sz w:val="14"/>
        </w:rPr>
      </w:pPr>
      <w:r>
        <w:rPr>
          <w:color w:val="231F20"/>
          <w:sz w:val="14"/>
        </w:rPr>
        <w:t>Карта</w:t>
      </w:r>
      <w:r>
        <w:rPr>
          <w:color w:val="231F20"/>
          <w:spacing w:val="-1"/>
          <w:sz w:val="14"/>
        </w:rPr>
        <w:t> </w:t>
      </w:r>
      <w:r>
        <w:rPr>
          <w:color w:val="231F20"/>
          <w:sz w:val="14"/>
        </w:rPr>
        <w:t>6.0</w:t>
        <w:tab/>
      </w:r>
      <w:r>
        <w:rPr>
          <w:color w:val="231F20"/>
          <w:spacing w:val="-3"/>
          <w:sz w:val="14"/>
        </w:rPr>
        <w:t>Рударско-енергетски</w:t>
      </w:r>
      <w:r>
        <w:rPr>
          <w:color w:val="231F20"/>
          <w:spacing w:val="-9"/>
          <w:sz w:val="14"/>
        </w:rPr>
        <w:t> </w:t>
      </w:r>
      <w:r>
        <w:rPr>
          <w:color w:val="231F20"/>
          <w:spacing w:val="-4"/>
          <w:sz w:val="14"/>
        </w:rPr>
        <w:t>комплекс</w:t>
      </w:r>
      <w:r>
        <w:rPr>
          <w:color w:val="231F20"/>
          <w:spacing w:val="11"/>
          <w:sz w:val="14"/>
        </w:rPr>
        <w:t> </w:t>
      </w:r>
      <w:r>
        <w:rPr>
          <w:color w:val="231F20"/>
          <w:sz w:val="14"/>
        </w:rPr>
        <w:t>–</w:t>
      </w:r>
      <w:r>
        <w:rPr>
          <w:color w:val="231F20"/>
          <w:spacing w:val="-9"/>
          <w:sz w:val="14"/>
        </w:rPr>
        <w:t> </w:t>
      </w:r>
      <w:r>
        <w:rPr>
          <w:color w:val="231F20"/>
          <w:sz w:val="14"/>
        </w:rPr>
        <w:t>намена</w:t>
      </w:r>
      <w:r>
        <w:rPr>
          <w:color w:val="231F20"/>
          <w:spacing w:val="-9"/>
          <w:sz w:val="14"/>
        </w:rPr>
        <w:t> </w:t>
      </w:r>
      <w:r>
        <w:rPr>
          <w:color w:val="231F20"/>
          <w:sz w:val="14"/>
        </w:rPr>
        <w:t>простора</w:t>
      </w:r>
      <w:r>
        <w:rPr>
          <w:color w:val="231F20"/>
          <w:spacing w:val="-9"/>
          <w:sz w:val="14"/>
        </w:rPr>
        <w:t> </w:t>
      </w:r>
      <w:r>
        <w:rPr>
          <w:color w:val="231F20"/>
          <w:sz w:val="14"/>
        </w:rPr>
        <w:t>2022.,</w:t>
      </w:r>
      <w:r>
        <w:rPr>
          <w:color w:val="231F20"/>
          <w:spacing w:val="-9"/>
          <w:sz w:val="14"/>
        </w:rPr>
        <w:t> </w:t>
      </w:r>
      <w:r>
        <w:rPr>
          <w:color w:val="231F20"/>
          <w:sz w:val="14"/>
        </w:rPr>
        <w:t>R</w:t>
      </w:r>
      <w:r>
        <w:rPr>
          <w:color w:val="231F20"/>
          <w:spacing w:val="11"/>
          <w:sz w:val="14"/>
        </w:rPr>
        <w:t> </w:t>
      </w:r>
      <w:r>
        <w:rPr>
          <w:color w:val="231F20"/>
          <w:sz w:val="14"/>
        </w:rPr>
        <w:t>–</w:t>
      </w:r>
      <w:r>
        <w:rPr>
          <w:color w:val="231F20"/>
          <w:spacing w:val="-9"/>
          <w:sz w:val="14"/>
        </w:rPr>
        <w:t> </w:t>
      </w:r>
      <w:r>
        <w:rPr>
          <w:color w:val="231F20"/>
          <w:sz w:val="14"/>
        </w:rPr>
        <w:t>1</w:t>
      </w:r>
      <w:r>
        <w:rPr>
          <w:color w:val="231F20"/>
          <w:spacing w:val="-9"/>
          <w:sz w:val="14"/>
        </w:rPr>
        <w:t> </w:t>
      </w:r>
      <w:r>
        <w:rPr>
          <w:color w:val="231F20"/>
          <w:sz w:val="14"/>
        </w:rPr>
        <w:t>:</w:t>
      </w:r>
      <w:r>
        <w:rPr>
          <w:color w:val="231F20"/>
          <w:spacing w:val="-9"/>
          <w:sz w:val="14"/>
        </w:rPr>
        <w:t> </w:t>
      </w:r>
      <w:r>
        <w:rPr>
          <w:color w:val="231F20"/>
          <w:sz w:val="14"/>
        </w:rPr>
        <w:t>10</w:t>
      </w:r>
      <w:r>
        <w:rPr>
          <w:color w:val="231F20"/>
          <w:spacing w:val="-9"/>
          <w:sz w:val="14"/>
        </w:rPr>
        <w:t> </w:t>
      </w:r>
      <w:r>
        <w:rPr>
          <w:color w:val="231F20"/>
          <w:sz w:val="14"/>
        </w:rPr>
        <w:t>000,</w:t>
      </w:r>
    </w:p>
    <w:p>
      <w:pPr>
        <w:spacing w:before="96"/>
        <w:ind w:left="1180" w:right="343" w:hanging="1010"/>
        <w:jc w:val="left"/>
        <w:rPr>
          <w:sz w:val="14"/>
        </w:rPr>
      </w:pPr>
      <w:r>
        <w:rPr>
          <w:color w:val="231F20"/>
          <w:sz w:val="14"/>
        </w:rPr>
        <w:t>Карте 6.1 – 6.10. Рефералне карте на нивоу просторних целина и коридора посебне намене, R – 1 : 2 500</w:t>
      </w:r>
    </w:p>
    <w:p>
      <w:pPr>
        <w:pStyle w:val="BodyText"/>
        <w:spacing w:line="232" w:lineRule="auto" w:before="87"/>
        <w:ind w:right="411" w:firstLine="396"/>
      </w:pPr>
      <w:r>
        <w:rPr>
          <w:color w:val="231F20"/>
        </w:rPr>
        <w:t>Књига I: Просторни план подручја посебне намене (страте- шки документ) садржи: полазне основе, принципе, циљеве и оп- шту</w:t>
      </w:r>
      <w:r>
        <w:rPr>
          <w:color w:val="231F20"/>
          <w:spacing w:val="-7"/>
        </w:rPr>
        <w:t> </w:t>
      </w:r>
      <w:r>
        <w:rPr>
          <w:color w:val="231F20"/>
        </w:rPr>
        <w:t>концепцију</w:t>
      </w:r>
      <w:r>
        <w:rPr>
          <w:color w:val="231F20"/>
          <w:spacing w:val="-7"/>
        </w:rPr>
        <w:t> </w:t>
      </w:r>
      <w:r>
        <w:rPr>
          <w:color w:val="231F20"/>
        </w:rPr>
        <w:t>просторног</w:t>
      </w:r>
      <w:r>
        <w:rPr>
          <w:color w:val="231F20"/>
          <w:spacing w:val="-7"/>
        </w:rPr>
        <w:t> </w:t>
      </w:r>
      <w:r>
        <w:rPr>
          <w:color w:val="231F20"/>
        </w:rPr>
        <w:t>развоја;</w:t>
      </w:r>
      <w:r>
        <w:rPr>
          <w:color w:val="231F20"/>
          <w:spacing w:val="-7"/>
        </w:rPr>
        <w:t> </w:t>
      </w:r>
      <w:r>
        <w:rPr>
          <w:color w:val="231F20"/>
        </w:rPr>
        <w:t>планска</w:t>
      </w:r>
      <w:r>
        <w:rPr>
          <w:color w:val="231F20"/>
          <w:spacing w:val="-7"/>
        </w:rPr>
        <w:t> </w:t>
      </w:r>
      <w:r>
        <w:rPr>
          <w:color w:val="231F20"/>
        </w:rPr>
        <w:t>решења;</w:t>
      </w:r>
      <w:r>
        <w:rPr>
          <w:color w:val="231F20"/>
          <w:spacing w:val="-8"/>
        </w:rPr>
        <w:t> </w:t>
      </w:r>
      <w:r>
        <w:rPr>
          <w:color w:val="231F20"/>
        </w:rPr>
        <w:t>и</w:t>
      </w:r>
      <w:r>
        <w:rPr>
          <w:color w:val="231F20"/>
          <w:spacing w:val="-7"/>
        </w:rPr>
        <w:t> </w:t>
      </w:r>
      <w:r>
        <w:rPr>
          <w:color w:val="231F20"/>
        </w:rPr>
        <w:t>примену</w:t>
      </w:r>
      <w:r>
        <w:rPr>
          <w:color w:val="231F20"/>
          <w:spacing w:val="-7"/>
        </w:rPr>
        <w:t> </w:t>
      </w:r>
      <w:r>
        <w:rPr>
          <w:color w:val="231F20"/>
        </w:rPr>
        <w:t>и остваривање Просторног</w:t>
      </w:r>
      <w:r>
        <w:rPr>
          <w:color w:val="231F20"/>
          <w:spacing w:val="-3"/>
        </w:rPr>
        <w:t> </w:t>
      </w:r>
      <w:r>
        <w:rPr>
          <w:color w:val="231F20"/>
        </w:rPr>
        <w:t>плана.</w:t>
      </w:r>
    </w:p>
    <w:p>
      <w:pPr>
        <w:pStyle w:val="BodyText"/>
        <w:spacing w:line="232" w:lineRule="auto"/>
        <w:ind w:right="343" w:firstLine="396"/>
        <w:jc w:val="left"/>
      </w:pPr>
      <w:r>
        <w:rPr>
          <w:color w:val="231F20"/>
        </w:rPr>
        <w:t>На реферaлним картама дата је графичка интерпретација планских решења и пропозиција Просторног плана.</w:t>
      </w:r>
    </w:p>
    <w:p>
      <w:pPr>
        <w:pStyle w:val="BodyText"/>
        <w:spacing w:line="232" w:lineRule="auto" w:before="1"/>
        <w:ind w:right="411" w:firstLine="396"/>
      </w:pPr>
      <w:r>
        <w:rPr>
          <w:color w:val="231F20"/>
        </w:rPr>
        <w:t>Књига II: Правила изградње и правила уређења простора са- држи: општа правила изградње и уређења простора; правила из- градње и правила уређења простора за десет просторних целина  и коридора (планска решења и пропозиције – намена простора, нивелација и регулација, правила изградње, уређења и коришће- ња простора и друго на нивоу плана генералне или плана детаљне регулације).</w:t>
      </w:r>
    </w:p>
    <w:p>
      <w:pPr>
        <w:pStyle w:val="BodyText"/>
        <w:spacing w:line="232" w:lineRule="auto"/>
        <w:ind w:right="411" w:firstLine="396"/>
      </w:pPr>
      <w:r>
        <w:rPr>
          <w:color w:val="231F20"/>
        </w:rPr>
        <w:t>Рефералне карте (2 x 10 карата) садрже намену простора и графичку интерпретацију правила изградње и уређења простора, као и плански основ за утврђивање јавног интереса, односно, за спровођење парцелације и препарцелације.</w:t>
      </w:r>
    </w:p>
    <w:p>
      <w:pPr>
        <w:spacing w:after="0" w:line="232" w:lineRule="auto"/>
        <w:sectPr>
          <w:pgSz w:w="12480" w:h="15690"/>
          <w:pgMar w:top="120" w:bottom="280" w:left="680" w:right="720"/>
          <w:cols w:num="2" w:equalWidth="0">
            <w:col w:w="5314" w:space="72"/>
            <w:col w:w="5694"/>
          </w:cols>
        </w:sectPr>
      </w:pPr>
    </w:p>
    <w:p>
      <w:pPr>
        <w:pStyle w:val="BodyText"/>
        <w:spacing w:line="232" w:lineRule="auto" w:before="73"/>
        <w:ind w:left="453" w:right="1" w:firstLine="396"/>
      </w:pPr>
      <w:r>
        <w:rPr/>
        <w:pict>
          <v:line style="position:absolute;mso-position-horizontal-relative:page;mso-position-vertical-relative:page;z-index:1072" from="318.897614pt,11.94295pt" to="318.897614pt,748.95095pt" stroked="true" strokeweight=".6pt" strokecolor="#231f20">
            <v:stroke dashstyle="solid"/>
            <w10:wrap type="none"/>
          </v:line>
        </w:pict>
      </w:r>
      <w:r>
        <w:rPr>
          <w:color w:val="231F20"/>
        </w:rPr>
        <w:t>Књига III: Стратешка процена утицаја Просторног плана на животну средину садржи претходни и финални извештај СПУ и студијску основу СПУ.</w:t>
      </w:r>
    </w:p>
    <w:p>
      <w:pPr>
        <w:pStyle w:val="BodyText"/>
        <w:spacing w:line="198" w:lineRule="exact"/>
        <w:ind w:left="850"/>
        <w:jc w:val="left"/>
      </w:pPr>
      <w:r>
        <w:rPr>
          <w:color w:val="231F20"/>
        </w:rPr>
        <w:t>Извештај о стратешкој процени утицаја садржи:</w:t>
      </w:r>
    </w:p>
    <w:p>
      <w:pPr>
        <w:pStyle w:val="BodyText"/>
        <w:spacing w:line="197" w:lineRule="exact"/>
        <w:ind w:left="850"/>
        <w:jc w:val="left"/>
      </w:pPr>
      <w:r>
        <w:rPr>
          <w:color w:val="231F20"/>
          <w:w w:val="66"/>
        </w:rPr>
        <w:t> </w:t>
      </w:r>
      <w:r>
        <w:rPr>
          <w:color w:val="231F20"/>
        </w:rPr>
        <w:t>– полазне основе стратешке процене;</w:t>
      </w:r>
    </w:p>
    <w:p>
      <w:pPr>
        <w:pStyle w:val="BodyText"/>
        <w:spacing w:line="197" w:lineRule="exact"/>
        <w:ind w:left="850"/>
        <w:jc w:val="left"/>
      </w:pPr>
      <w:r>
        <w:rPr>
          <w:color w:val="231F20"/>
          <w:w w:val="66"/>
        </w:rPr>
        <w:t> </w:t>
      </w:r>
      <w:r>
        <w:rPr>
          <w:color w:val="231F20"/>
        </w:rPr>
        <w:t>– циљеве, индикаторе и процену утицаја;</w:t>
      </w:r>
    </w:p>
    <w:p>
      <w:pPr>
        <w:pStyle w:val="BodyText"/>
        <w:spacing w:line="197" w:lineRule="exact"/>
        <w:ind w:left="850"/>
        <w:jc w:val="left"/>
      </w:pPr>
      <w:r>
        <w:rPr>
          <w:color w:val="231F20"/>
          <w:w w:val="66"/>
        </w:rPr>
        <w:t> </w:t>
      </w:r>
      <w:r>
        <w:rPr>
          <w:color w:val="231F20"/>
        </w:rPr>
        <w:t>– имплементацију и мониторинг и</w:t>
      </w:r>
    </w:p>
    <w:p>
      <w:pPr>
        <w:pStyle w:val="BodyText"/>
        <w:spacing w:line="197" w:lineRule="exact"/>
        <w:ind w:left="850"/>
        <w:jc w:val="left"/>
      </w:pPr>
      <w:r>
        <w:rPr>
          <w:color w:val="231F20"/>
          <w:w w:val="66"/>
        </w:rPr>
        <w:t> </w:t>
      </w:r>
      <w:r>
        <w:rPr>
          <w:color w:val="231F20"/>
        </w:rPr>
        <w:t>– извод из стратешке процене (закључак).</w:t>
      </w:r>
    </w:p>
    <w:p>
      <w:pPr>
        <w:pStyle w:val="BodyText"/>
        <w:spacing w:line="228" w:lineRule="auto" w:before="3"/>
        <w:ind w:left="454" w:right="1" w:firstLine="396"/>
      </w:pPr>
      <w:r>
        <w:rPr>
          <w:color w:val="231F20"/>
        </w:rPr>
        <w:t>Студија „Утицај рударско-енергетског система на режим и квалитет вода” садржи:</w:t>
      </w:r>
    </w:p>
    <w:p>
      <w:pPr>
        <w:pStyle w:val="BodyText"/>
        <w:spacing w:line="195" w:lineRule="exact"/>
        <w:ind w:left="851"/>
        <w:jc w:val="left"/>
      </w:pPr>
      <w:r>
        <w:rPr>
          <w:color w:val="231F20"/>
          <w:w w:val="66"/>
        </w:rPr>
        <w:t> </w:t>
      </w:r>
      <w:r>
        <w:rPr>
          <w:color w:val="231F20"/>
        </w:rPr>
        <w:t>– природне ресурсе Костолачког угљеног басена;</w:t>
      </w:r>
    </w:p>
    <w:p>
      <w:pPr>
        <w:pStyle w:val="BodyText"/>
        <w:spacing w:line="228" w:lineRule="auto" w:before="4"/>
        <w:ind w:left="454" w:right="1" w:firstLine="396"/>
      </w:pPr>
      <w:r>
        <w:rPr>
          <w:color w:val="231F20"/>
          <w:w w:val="66"/>
        </w:rPr>
        <w:t> </w:t>
      </w:r>
      <w:r>
        <w:rPr>
          <w:color w:val="231F20"/>
        </w:rPr>
        <w:t>– режим вода и уређење </w:t>
      </w:r>
      <w:r>
        <w:rPr>
          <w:color w:val="231F20"/>
          <w:spacing w:val="-3"/>
        </w:rPr>
        <w:t>водотокова </w:t>
      </w:r>
      <w:r>
        <w:rPr>
          <w:color w:val="231F20"/>
        </w:rPr>
        <w:t>у зони утицаја</w:t>
      </w:r>
      <w:r>
        <w:rPr>
          <w:color w:val="231F20"/>
          <w:spacing w:val="-21"/>
        </w:rPr>
        <w:t> </w:t>
      </w:r>
      <w:r>
        <w:rPr>
          <w:color w:val="231F20"/>
          <w:spacing w:val="-3"/>
        </w:rPr>
        <w:t>Костолач- </w:t>
      </w:r>
      <w:r>
        <w:rPr>
          <w:color w:val="231F20"/>
          <w:spacing w:val="-4"/>
        </w:rPr>
        <w:t>ког </w:t>
      </w:r>
      <w:r>
        <w:rPr>
          <w:color w:val="231F20"/>
        </w:rPr>
        <w:t>угљеног</w:t>
      </w:r>
      <w:r>
        <w:rPr>
          <w:color w:val="231F20"/>
          <w:spacing w:val="1"/>
        </w:rPr>
        <w:t> </w:t>
      </w:r>
      <w:r>
        <w:rPr>
          <w:color w:val="231F20"/>
        </w:rPr>
        <w:t>басена;</w:t>
      </w:r>
    </w:p>
    <w:p>
      <w:pPr>
        <w:pStyle w:val="BodyText"/>
        <w:spacing w:line="228" w:lineRule="auto" w:before="1"/>
        <w:ind w:left="454" w:right="1" w:firstLine="396"/>
      </w:pPr>
      <w:r>
        <w:rPr>
          <w:color w:val="231F20"/>
          <w:w w:val="66"/>
        </w:rPr>
        <w:t> </w:t>
      </w:r>
      <w:r>
        <w:rPr>
          <w:color w:val="231F20"/>
        </w:rPr>
        <w:t>– утицај рударских радова у </w:t>
      </w:r>
      <w:r>
        <w:rPr>
          <w:color w:val="231F20"/>
          <w:spacing w:val="-4"/>
        </w:rPr>
        <w:t>Костолачком </w:t>
      </w:r>
      <w:r>
        <w:rPr>
          <w:color w:val="231F20"/>
        </w:rPr>
        <w:t>угљеном басену на режим и квалитет подземних вода;</w:t>
      </w:r>
    </w:p>
    <w:p>
      <w:pPr>
        <w:pStyle w:val="BodyText"/>
        <w:spacing w:line="228" w:lineRule="auto"/>
        <w:ind w:left="454" w:firstLine="396"/>
      </w:pPr>
      <w:r>
        <w:rPr>
          <w:color w:val="231F20"/>
          <w:w w:val="66"/>
        </w:rPr>
        <w:t> </w:t>
      </w:r>
      <w:r>
        <w:rPr>
          <w:color w:val="231F20"/>
        </w:rPr>
        <w:t>– утицај термоелектрана </w:t>
      </w:r>
      <w:r>
        <w:rPr>
          <w:color w:val="231F20"/>
          <w:spacing w:val="-3"/>
        </w:rPr>
        <w:t>Костолачког </w:t>
      </w:r>
      <w:r>
        <w:rPr>
          <w:color w:val="231F20"/>
        </w:rPr>
        <w:t>басена на загађење по- вршинских и подземних вода и</w:t>
      </w:r>
    </w:p>
    <w:p>
      <w:pPr>
        <w:pStyle w:val="BodyText"/>
        <w:spacing w:line="195" w:lineRule="exact"/>
        <w:ind w:left="851"/>
        <w:jc w:val="left"/>
      </w:pPr>
      <w:r>
        <w:rPr>
          <w:color w:val="231F20"/>
          <w:w w:val="66"/>
        </w:rPr>
        <w:t> </w:t>
      </w:r>
      <w:r>
        <w:rPr>
          <w:color w:val="231F20"/>
        </w:rPr>
        <w:t>– резиме – закључна разматрања.</w:t>
      </w:r>
    </w:p>
    <w:p>
      <w:pPr>
        <w:pStyle w:val="BodyText"/>
        <w:spacing w:line="228" w:lineRule="auto" w:before="4"/>
        <w:ind w:left="455" w:firstLine="396"/>
      </w:pPr>
      <w:r>
        <w:rPr>
          <w:color w:val="231F20"/>
        </w:rPr>
        <w:t>Студија „Утицај рударско-енергетског система на квалитет ваздуха” садржи:</w:t>
      </w:r>
    </w:p>
    <w:p>
      <w:pPr>
        <w:pStyle w:val="BodyText"/>
        <w:spacing w:line="228" w:lineRule="auto" w:before="1"/>
        <w:ind w:left="455" w:firstLine="396"/>
      </w:pPr>
      <w:r>
        <w:rPr>
          <w:color w:val="231F20"/>
          <w:w w:val="66"/>
        </w:rPr>
        <w:t> </w:t>
      </w:r>
      <w:r>
        <w:rPr>
          <w:color w:val="231F20"/>
        </w:rPr>
        <w:t>–</w:t>
      </w:r>
      <w:r>
        <w:rPr>
          <w:color w:val="231F20"/>
          <w:spacing w:val="-10"/>
        </w:rPr>
        <w:t> </w:t>
      </w:r>
      <w:r>
        <w:rPr>
          <w:color w:val="231F20"/>
        </w:rPr>
        <w:t>стање</w:t>
      </w:r>
      <w:r>
        <w:rPr>
          <w:color w:val="231F20"/>
          <w:spacing w:val="-10"/>
        </w:rPr>
        <w:t> </w:t>
      </w:r>
      <w:r>
        <w:rPr>
          <w:color w:val="231F20"/>
        </w:rPr>
        <w:t>и</w:t>
      </w:r>
      <w:r>
        <w:rPr>
          <w:color w:val="231F20"/>
          <w:spacing w:val="-10"/>
        </w:rPr>
        <w:t> </w:t>
      </w:r>
      <w:r>
        <w:rPr>
          <w:color w:val="231F20"/>
        </w:rPr>
        <w:t>перспективе</w:t>
      </w:r>
      <w:r>
        <w:rPr>
          <w:color w:val="231F20"/>
          <w:spacing w:val="-10"/>
        </w:rPr>
        <w:t> </w:t>
      </w:r>
      <w:r>
        <w:rPr>
          <w:color w:val="231F20"/>
        </w:rPr>
        <w:t>просторног</w:t>
      </w:r>
      <w:r>
        <w:rPr>
          <w:color w:val="231F20"/>
          <w:spacing w:val="-10"/>
        </w:rPr>
        <w:t> </w:t>
      </w:r>
      <w:r>
        <w:rPr>
          <w:color w:val="231F20"/>
        </w:rPr>
        <w:t>развоја</w:t>
      </w:r>
      <w:r>
        <w:rPr>
          <w:color w:val="231F20"/>
          <w:spacing w:val="-10"/>
        </w:rPr>
        <w:t> </w:t>
      </w:r>
      <w:r>
        <w:rPr>
          <w:color w:val="231F20"/>
        </w:rPr>
        <w:t>Планског</w:t>
      </w:r>
      <w:r>
        <w:rPr>
          <w:color w:val="231F20"/>
          <w:spacing w:val="-10"/>
        </w:rPr>
        <w:t> </w:t>
      </w:r>
      <w:r>
        <w:rPr>
          <w:color w:val="231F20"/>
        </w:rPr>
        <w:t>подручја из аспекта квалитета</w:t>
      </w:r>
      <w:r>
        <w:rPr>
          <w:color w:val="231F20"/>
          <w:spacing w:val="-2"/>
        </w:rPr>
        <w:t> </w:t>
      </w:r>
      <w:r>
        <w:rPr>
          <w:color w:val="231F20"/>
        </w:rPr>
        <w:t>ваздуха;</w:t>
      </w:r>
    </w:p>
    <w:p>
      <w:pPr>
        <w:pStyle w:val="BodyText"/>
        <w:spacing w:line="228" w:lineRule="auto" w:before="1"/>
        <w:ind w:left="455" w:firstLine="396"/>
      </w:pPr>
      <w:r>
        <w:rPr>
          <w:color w:val="231F20"/>
          <w:w w:val="66"/>
        </w:rPr>
        <w:t> </w:t>
      </w:r>
      <w:r>
        <w:rPr>
          <w:color w:val="231F20"/>
        </w:rPr>
        <w:t>–</w:t>
      </w:r>
      <w:r>
        <w:rPr>
          <w:color w:val="231F20"/>
          <w:spacing w:val="-14"/>
        </w:rPr>
        <w:t> </w:t>
      </w:r>
      <w:r>
        <w:rPr>
          <w:color w:val="231F20"/>
        </w:rPr>
        <w:t>прорачун</w:t>
      </w:r>
      <w:r>
        <w:rPr>
          <w:color w:val="231F20"/>
          <w:spacing w:val="-14"/>
        </w:rPr>
        <w:t> </w:t>
      </w:r>
      <w:r>
        <w:rPr>
          <w:color w:val="231F20"/>
        </w:rPr>
        <w:t>распростирања</w:t>
      </w:r>
      <w:r>
        <w:rPr>
          <w:color w:val="231F20"/>
          <w:spacing w:val="-14"/>
        </w:rPr>
        <w:t> </w:t>
      </w:r>
      <w:r>
        <w:rPr>
          <w:color w:val="231F20"/>
        </w:rPr>
        <w:t>релевантних</w:t>
      </w:r>
      <w:r>
        <w:rPr>
          <w:color w:val="231F20"/>
          <w:spacing w:val="-14"/>
        </w:rPr>
        <w:t> </w:t>
      </w:r>
      <w:r>
        <w:rPr>
          <w:color w:val="231F20"/>
        </w:rPr>
        <w:t>загађујућих</w:t>
      </w:r>
      <w:r>
        <w:rPr>
          <w:color w:val="231F20"/>
          <w:spacing w:val="-14"/>
        </w:rPr>
        <w:t> </w:t>
      </w:r>
      <w:r>
        <w:rPr>
          <w:color w:val="231F20"/>
        </w:rPr>
        <w:t>материја из ТЕ-КО</w:t>
      </w:r>
      <w:r>
        <w:rPr>
          <w:color w:val="231F20"/>
          <w:spacing w:val="-3"/>
        </w:rPr>
        <w:t> </w:t>
      </w:r>
      <w:r>
        <w:rPr>
          <w:color w:val="231F20"/>
        </w:rPr>
        <w:t>„Костолац”;</w:t>
      </w:r>
    </w:p>
    <w:p>
      <w:pPr>
        <w:pStyle w:val="BodyText"/>
        <w:spacing w:line="195" w:lineRule="exact"/>
        <w:ind w:left="852"/>
        <w:jc w:val="left"/>
      </w:pPr>
      <w:r>
        <w:rPr>
          <w:color w:val="231F20"/>
          <w:w w:val="66"/>
        </w:rPr>
        <w:t> </w:t>
      </w:r>
      <w:r>
        <w:rPr>
          <w:color w:val="231F20"/>
        </w:rPr>
        <w:t>– прогнозе, приоритете и мере за имплементацију и</w:t>
      </w:r>
    </w:p>
    <w:p>
      <w:pPr>
        <w:pStyle w:val="BodyText"/>
        <w:spacing w:line="197" w:lineRule="exact"/>
        <w:ind w:left="852"/>
        <w:jc w:val="left"/>
      </w:pPr>
      <w:r>
        <w:rPr>
          <w:color w:val="231F20"/>
          <w:w w:val="66"/>
        </w:rPr>
        <w:t> </w:t>
      </w:r>
      <w:r>
        <w:rPr>
          <w:color w:val="231F20"/>
        </w:rPr>
        <w:t>– закључке и препоруке.</w:t>
      </w:r>
    </w:p>
    <w:p>
      <w:pPr>
        <w:pStyle w:val="BodyText"/>
        <w:spacing w:line="228" w:lineRule="auto" w:before="3"/>
        <w:ind w:left="455" w:firstLine="396"/>
      </w:pPr>
      <w:r>
        <w:rPr>
          <w:color w:val="231F20"/>
        </w:rPr>
        <w:t>Књига IV: Документациона основа Просторног плана има три свеске:</w:t>
      </w:r>
    </w:p>
    <w:p>
      <w:pPr>
        <w:pStyle w:val="BodyText"/>
        <w:spacing w:line="195" w:lineRule="exact"/>
        <w:ind w:left="852"/>
        <w:jc w:val="left"/>
      </w:pPr>
      <w:r>
        <w:rPr>
          <w:color w:val="231F20"/>
        </w:rPr>
        <w:t>Свеска 1: Концепт просторног плана садржи:</w:t>
      </w:r>
    </w:p>
    <w:p>
      <w:pPr>
        <w:pStyle w:val="BodyText"/>
        <w:spacing w:line="197" w:lineRule="exact"/>
        <w:ind w:left="852"/>
        <w:jc w:val="left"/>
      </w:pPr>
      <w:r>
        <w:rPr>
          <w:color w:val="231F20"/>
          <w:w w:val="66"/>
        </w:rPr>
        <w:t> </w:t>
      </w:r>
      <w:r>
        <w:rPr>
          <w:color w:val="231F20"/>
        </w:rPr>
        <w:t>– полазне основе;</w:t>
      </w:r>
    </w:p>
    <w:p>
      <w:pPr>
        <w:pStyle w:val="BodyText"/>
        <w:spacing w:line="228" w:lineRule="auto" w:before="4"/>
        <w:ind w:left="454" w:firstLine="397"/>
      </w:pPr>
      <w:r>
        <w:rPr>
          <w:color w:val="231F20"/>
          <w:w w:val="66"/>
        </w:rPr>
        <w:t> </w:t>
      </w:r>
      <w:r>
        <w:rPr>
          <w:color w:val="231F20"/>
        </w:rPr>
        <w:t>– приказ и оцену стања, ограничења и потенцијала простор- ног развоја;</w:t>
      </w:r>
    </w:p>
    <w:p>
      <w:pPr>
        <w:pStyle w:val="BodyText"/>
        <w:spacing w:line="195" w:lineRule="exact"/>
        <w:ind w:left="851"/>
        <w:jc w:val="left"/>
      </w:pPr>
      <w:r>
        <w:rPr>
          <w:color w:val="231F20"/>
          <w:w w:val="66"/>
        </w:rPr>
        <w:t> </w:t>
      </w:r>
      <w:r>
        <w:rPr>
          <w:color w:val="231F20"/>
        </w:rPr>
        <w:t>–</w:t>
      </w:r>
      <w:r>
        <w:rPr>
          <w:color w:val="231F20"/>
          <w:spacing w:val="-9"/>
        </w:rPr>
        <w:t> </w:t>
      </w:r>
      <w:r>
        <w:rPr>
          <w:color w:val="231F20"/>
        </w:rPr>
        <w:t>принципе</w:t>
      </w:r>
      <w:r>
        <w:rPr>
          <w:color w:val="231F20"/>
          <w:spacing w:val="-10"/>
        </w:rPr>
        <w:t> </w:t>
      </w:r>
      <w:r>
        <w:rPr>
          <w:color w:val="231F20"/>
        </w:rPr>
        <w:t>и</w:t>
      </w:r>
      <w:r>
        <w:rPr>
          <w:color w:val="231F20"/>
          <w:spacing w:val="-10"/>
        </w:rPr>
        <w:t> </w:t>
      </w:r>
      <w:r>
        <w:rPr>
          <w:color w:val="231F20"/>
        </w:rPr>
        <w:t>циљеве</w:t>
      </w:r>
      <w:r>
        <w:rPr>
          <w:color w:val="231F20"/>
          <w:spacing w:val="-9"/>
        </w:rPr>
        <w:t> </w:t>
      </w:r>
      <w:r>
        <w:rPr>
          <w:color w:val="231F20"/>
        </w:rPr>
        <w:t>просторног</w:t>
      </w:r>
      <w:r>
        <w:rPr>
          <w:color w:val="231F20"/>
          <w:spacing w:val="-10"/>
        </w:rPr>
        <w:t> </w:t>
      </w:r>
      <w:r>
        <w:rPr>
          <w:color w:val="231F20"/>
        </w:rPr>
        <w:t>развоја</w:t>
      </w:r>
      <w:r>
        <w:rPr>
          <w:color w:val="231F20"/>
          <w:spacing w:val="-9"/>
        </w:rPr>
        <w:t> </w:t>
      </w:r>
      <w:r>
        <w:rPr>
          <w:color w:val="231F20"/>
        </w:rPr>
        <w:t>Планског</w:t>
      </w:r>
      <w:r>
        <w:rPr>
          <w:color w:val="231F20"/>
          <w:spacing w:val="-9"/>
        </w:rPr>
        <w:t> </w:t>
      </w:r>
      <w:r>
        <w:rPr>
          <w:color w:val="231F20"/>
        </w:rPr>
        <w:t>подручја;</w:t>
      </w:r>
    </w:p>
    <w:p>
      <w:pPr>
        <w:pStyle w:val="BodyText"/>
        <w:spacing w:line="228" w:lineRule="auto" w:before="3"/>
        <w:ind w:left="454" w:right="1" w:firstLine="396"/>
      </w:pPr>
      <w:r>
        <w:rPr>
          <w:color w:val="231F20"/>
          <w:w w:val="66"/>
        </w:rPr>
        <w:t> </w:t>
      </w:r>
      <w:r>
        <w:rPr>
          <w:color w:val="231F20"/>
        </w:rPr>
        <w:t>–</w:t>
      </w:r>
      <w:r>
        <w:rPr>
          <w:color w:val="231F20"/>
          <w:spacing w:val="-11"/>
        </w:rPr>
        <w:t> </w:t>
      </w:r>
      <w:r>
        <w:rPr>
          <w:color w:val="231F20"/>
        </w:rPr>
        <w:t>општи</w:t>
      </w:r>
      <w:r>
        <w:rPr>
          <w:color w:val="231F20"/>
          <w:spacing w:val="-11"/>
        </w:rPr>
        <w:t> </w:t>
      </w:r>
      <w:r>
        <w:rPr>
          <w:color w:val="231F20"/>
        </w:rPr>
        <w:t>концепт</w:t>
      </w:r>
      <w:r>
        <w:rPr>
          <w:color w:val="231F20"/>
          <w:spacing w:val="-11"/>
        </w:rPr>
        <w:t> </w:t>
      </w:r>
      <w:r>
        <w:rPr>
          <w:color w:val="231F20"/>
        </w:rPr>
        <w:t>и</w:t>
      </w:r>
      <w:r>
        <w:rPr>
          <w:color w:val="231F20"/>
          <w:spacing w:val="-11"/>
        </w:rPr>
        <w:t> </w:t>
      </w:r>
      <w:r>
        <w:rPr>
          <w:color w:val="231F20"/>
        </w:rPr>
        <w:t>пропозиције</w:t>
      </w:r>
      <w:r>
        <w:rPr>
          <w:color w:val="231F20"/>
          <w:spacing w:val="-11"/>
        </w:rPr>
        <w:t> </w:t>
      </w:r>
      <w:r>
        <w:rPr>
          <w:color w:val="231F20"/>
        </w:rPr>
        <w:t>просторног</w:t>
      </w:r>
      <w:r>
        <w:rPr>
          <w:color w:val="231F20"/>
          <w:spacing w:val="-11"/>
        </w:rPr>
        <w:t> </w:t>
      </w:r>
      <w:r>
        <w:rPr>
          <w:color w:val="231F20"/>
        </w:rPr>
        <w:t>развоја</w:t>
      </w:r>
      <w:r>
        <w:rPr>
          <w:color w:val="231F20"/>
          <w:spacing w:val="-11"/>
        </w:rPr>
        <w:t> </w:t>
      </w:r>
      <w:r>
        <w:rPr>
          <w:color w:val="231F20"/>
        </w:rPr>
        <w:t>Планског подручја;</w:t>
      </w:r>
    </w:p>
    <w:p>
      <w:pPr>
        <w:pStyle w:val="BodyText"/>
        <w:spacing w:line="228" w:lineRule="auto" w:before="1"/>
        <w:ind w:left="454" w:right="1" w:firstLine="397"/>
      </w:pPr>
      <w:r>
        <w:rPr>
          <w:color w:val="231F20"/>
          <w:w w:val="66"/>
        </w:rPr>
        <w:t> </w:t>
      </w:r>
      <w:r>
        <w:rPr>
          <w:color w:val="231F20"/>
        </w:rPr>
        <w:t>– концепт намене површина и општа правила уређења про- стора;</w:t>
      </w:r>
    </w:p>
    <w:p>
      <w:pPr>
        <w:pStyle w:val="BodyText"/>
        <w:spacing w:line="228" w:lineRule="auto" w:before="1"/>
        <w:ind w:left="454" w:right="1" w:firstLine="397"/>
      </w:pPr>
      <w:r>
        <w:rPr>
          <w:color w:val="231F20"/>
          <w:w w:val="66"/>
        </w:rPr>
        <w:t> </w:t>
      </w:r>
      <w:r>
        <w:rPr>
          <w:color w:val="231F20"/>
        </w:rPr>
        <w:t>–</w:t>
      </w:r>
      <w:r>
        <w:rPr>
          <w:color w:val="231F20"/>
          <w:spacing w:val="-10"/>
        </w:rPr>
        <w:t> </w:t>
      </w:r>
      <w:r>
        <w:rPr>
          <w:color w:val="231F20"/>
        </w:rPr>
        <w:t>организацију</w:t>
      </w:r>
      <w:r>
        <w:rPr>
          <w:color w:val="231F20"/>
          <w:spacing w:val="-10"/>
        </w:rPr>
        <w:t> </w:t>
      </w:r>
      <w:r>
        <w:rPr>
          <w:color w:val="231F20"/>
        </w:rPr>
        <w:t>и</w:t>
      </w:r>
      <w:r>
        <w:rPr>
          <w:color w:val="231F20"/>
          <w:spacing w:val="-10"/>
        </w:rPr>
        <w:t> </w:t>
      </w:r>
      <w:r>
        <w:rPr>
          <w:color w:val="231F20"/>
        </w:rPr>
        <w:t>уређење</w:t>
      </w:r>
      <w:r>
        <w:rPr>
          <w:color w:val="231F20"/>
          <w:spacing w:val="-10"/>
        </w:rPr>
        <w:t> </w:t>
      </w:r>
      <w:r>
        <w:rPr>
          <w:color w:val="231F20"/>
        </w:rPr>
        <w:t>простора</w:t>
      </w:r>
      <w:r>
        <w:rPr>
          <w:color w:val="231F20"/>
          <w:spacing w:val="-10"/>
        </w:rPr>
        <w:t> </w:t>
      </w:r>
      <w:r>
        <w:rPr>
          <w:color w:val="231F20"/>
        </w:rPr>
        <w:t>у</w:t>
      </w:r>
      <w:r>
        <w:rPr>
          <w:color w:val="231F20"/>
          <w:spacing w:val="-10"/>
        </w:rPr>
        <w:t> </w:t>
      </w:r>
      <w:r>
        <w:rPr>
          <w:color w:val="231F20"/>
        </w:rPr>
        <w:t>просторним</w:t>
      </w:r>
      <w:r>
        <w:rPr>
          <w:color w:val="231F20"/>
          <w:spacing w:val="-10"/>
        </w:rPr>
        <w:t> </w:t>
      </w:r>
      <w:r>
        <w:rPr>
          <w:color w:val="231F20"/>
        </w:rPr>
        <w:t>целинама</w:t>
      </w:r>
      <w:r>
        <w:rPr>
          <w:color w:val="231F20"/>
          <w:spacing w:val="-10"/>
        </w:rPr>
        <w:t> </w:t>
      </w:r>
      <w:r>
        <w:rPr>
          <w:color w:val="231F20"/>
        </w:rPr>
        <w:t>и коридорима посебне намене</w:t>
      </w:r>
      <w:r>
        <w:rPr>
          <w:color w:val="231F20"/>
          <w:spacing w:val="-3"/>
        </w:rPr>
        <w:t> </w:t>
      </w:r>
      <w:r>
        <w:rPr>
          <w:color w:val="231F20"/>
        </w:rPr>
        <w:t>и</w:t>
      </w:r>
    </w:p>
    <w:p>
      <w:pPr>
        <w:pStyle w:val="BodyText"/>
        <w:spacing w:line="195" w:lineRule="exact"/>
        <w:ind w:left="851"/>
        <w:jc w:val="left"/>
      </w:pPr>
      <w:r>
        <w:rPr>
          <w:color w:val="231F20"/>
          <w:w w:val="66"/>
        </w:rPr>
        <w:t> </w:t>
      </w:r>
      <w:r>
        <w:rPr>
          <w:color w:val="231F20"/>
        </w:rPr>
        <w:t>– полазишта за примену и остваривање Просторног плана.</w:t>
      </w:r>
    </w:p>
    <w:p>
      <w:pPr>
        <w:pStyle w:val="BodyText"/>
        <w:spacing w:line="228" w:lineRule="auto" w:before="4"/>
        <w:ind w:left="454" w:right="1" w:firstLine="396"/>
      </w:pPr>
      <w:r>
        <w:rPr>
          <w:color w:val="231F20"/>
        </w:rPr>
        <w:t>Свеска 2. Студијска основа Просторног плана садржи по областима:</w:t>
      </w:r>
    </w:p>
    <w:p>
      <w:pPr>
        <w:pStyle w:val="BodyText"/>
        <w:spacing w:line="228" w:lineRule="auto"/>
        <w:ind w:left="454" w:right="1" w:firstLine="397"/>
      </w:pPr>
      <w:r>
        <w:rPr>
          <w:color w:val="231F20"/>
          <w:w w:val="66"/>
        </w:rPr>
        <w:t> </w:t>
      </w:r>
      <w:r>
        <w:rPr>
          <w:color w:val="231F20"/>
        </w:rPr>
        <w:t>– регионални развој (перспективе развоја и стратешки фак- тори ризика у сектору угља у Европи и свету; регионални аспекти развоја Планског подручја, извод из стратешки развојних докуме- ната Републике Србије);</w:t>
      </w:r>
    </w:p>
    <w:p>
      <w:pPr>
        <w:pStyle w:val="BodyText"/>
        <w:spacing w:line="228" w:lineRule="auto" w:before="2"/>
        <w:ind w:left="454" w:right="1" w:firstLine="396"/>
      </w:pPr>
      <w:r>
        <w:rPr>
          <w:color w:val="231F20"/>
          <w:w w:val="66"/>
        </w:rPr>
        <w:t> </w:t>
      </w:r>
      <w:r>
        <w:rPr>
          <w:color w:val="231F20"/>
        </w:rPr>
        <w:t>– рударство и енергетику (коришћење енергетских и других минералних сировина, развој енергетско-индустријског система, енергетска ефикасност и обновљиви извори енергије);</w:t>
      </w:r>
    </w:p>
    <w:p>
      <w:pPr>
        <w:pStyle w:val="BodyText"/>
        <w:spacing w:line="228" w:lineRule="auto" w:before="2"/>
        <w:ind w:left="454" w:firstLine="396"/>
      </w:pPr>
      <w:r>
        <w:rPr>
          <w:color w:val="231F20"/>
          <w:w w:val="66"/>
        </w:rPr>
        <w:t> </w:t>
      </w:r>
      <w:r>
        <w:rPr>
          <w:color w:val="231F20"/>
        </w:rPr>
        <w:t>– инфраструктурне системе (коришћење, уређење и заштита вода, саобраћај, енергетска инфраструктура, телекомуникације и пошта);</w:t>
      </w:r>
    </w:p>
    <w:p>
      <w:pPr>
        <w:pStyle w:val="BodyText"/>
        <w:spacing w:line="228" w:lineRule="auto" w:before="1"/>
        <w:ind w:left="454" w:right="1" w:firstLine="397"/>
      </w:pPr>
      <w:r>
        <w:rPr>
          <w:color w:val="231F20"/>
          <w:w w:val="66"/>
        </w:rPr>
        <w:t> </w:t>
      </w:r>
      <w:r>
        <w:rPr>
          <w:color w:val="231F20"/>
        </w:rPr>
        <w:t>–</w:t>
      </w:r>
      <w:r>
        <w:rPr>
          <w:color w:val="231F20"/>
          <w:spacing w:val="-11"/>
        </w:rPr>
        <w:t> </w:t>
      </w:r>
      <w:r>
        <w:rPr>
          <w:color w:val="231F20"/>
        </w:rPr>
        <w:t>становништво,</w:t>
      </w:r>
      <w:r>
        <w:rPr>
          <w:color w:val="231F20"/>
          <w:spacing w:val="-11"/>
        </w:rPr>
        <w:t> </w:t>
      </w:r>
      <w:r>
        <w:rPr>
          <w:color w:val="231F20"/>
        </w:rPr>
        <w:t>социјални</w:t>
      </w:r>
      <w:r>
        <w:rPr>
          <w:color w:val="231F20"/>
          <w:spacing w:val="-11"/>
        </w:rPr>
        <w:t> </w:t>
      </w:r>
      <w:r>
        <w:rPr>
          <w:color w:val="231F20"/>
        </w:rPr>
        <w:t>развој</w:t>
      </w:r>
      <w:r>
        <w:rPr>
          <w:color w:val="231F20"/>
          <w:spacing w:val="-11"/>
        </w:rPr>
        <w:t> </w:t>
      </w:r>
      <w:r>
        <w:rPr>
          <w:color w:val="231F20"/>
        </w:rPr>
        <w:t>и</w:t>
      </w:r>
      <w:r>
        <w:rPr>
          <w:color w:val="231F20"/>
          <w:spacing w:val="-11"/>
        </w:rPr>
        <w:t> </w:t>
      </w:r>
      <w:r>
        <w:rPr>
          <w:color w:val="231F20"/>
        </w:rPr>
        <w:t>мрежа</w:t>
      </w:r>
      <w:r>
        <w:rPr>
          <w:color w:val="231F20"/>
          <w:spacing w:val="-11"/>
        </w:rPr>
        <w:t> </w:t>
      </w:r>
      <w:r>
        <w:rPr>
          <w:color w:val="231F20"/>
        </w:rPr>
        <w:t>насеља</w:t>
      </w:r>
      <w:r>
        <w:rPr>
          <w:color w:val="231F20"/>
          <w:spacing w:val="-11"/>
        </w:rPr>
        <w:t> </w:t>
      </w:r>
      <w:r>
        <w:rPr>
          <w:color w:val="231F20"/>
        </w:rPr>
        <w:t>(становни- штво,</w:t>
      </w:r>
      <w:r>
        <w:rPr>
          <w:color w:val="231F20"/>
          <w:spacing w:val="-5"/>
        </w:rPr>
        <w:t> </w:t>
      </w:r>
      <w:r>
        <w:rPr>
          <w:color w:val="231F20"/>
        </w:rPr>
        <w:t>социјални</w:t>
      </w:r>
      <w:r>
        <w:rPr>
          <w:color w:val="231F20"/>
          <w:spacing w:val="-5"/>
        </w:rPr>
        <w:t> </w:t>
      </w:r>
      <w:r>
        <w:rPr>
          <w:color w:val="231F20"/>
        </w:rPr>
        <w:t>развој</w:t>
      </w:r>
      <w:r>
        <w:rPr>
          <w:color w:val="231F20"/>
          <w:spacing w:val="-5"/>
        </w:rPr>
        <w:t> </w:t>
      </w:r>
      <w:r>
        <w:rPr>
          <w:color w:val="231F20"/>
        </w:rPr>
        <w:t>и</w:t>
      </w:r>
      <w:r>
        <w:rPr>
          <w:color w:val="231F20"/>
          <w:spacing w:val="-5"/>
        </w:rPr>
        <w:t> </w:t>
      </w:r>
      <w:r>
        <w:rPr>
          <w:color w:val="231F20"/>
        </w:rPr>
        <w:t>јавне</w:t>
      </w:r>
      <w:r>
        <w:rPr>
          <w:color w:val="231F20"/>
          <w:spacing w:val="-5"/>
        </w:rPr>
        <w:t> </w:t>
      </w:r>
      <w:r>
        <w:rPr>
          <w:color w:val="231F20"/>
          <w:spacing w:val="-3"/>
        </w:rPr>
        <w:t>службе,</w:t>
      </w:r>
      <w:r>
        <w:rPr>
          <w:color w:val="231F20"/>
          <w:spacing w:val="-5"/>
        </w:rPr>
        <w:t> </w:t>
      </w:r>
      <w:r>
        <w:rPr>
          <w:color w:val="231F20"/>
        </w:rPr>
        <w:t>мрежа</w:t>
      </w:r>
      <w:r>
        <w:rPr>
          <w:color w:val="231F20"/>
          <w:spacing w:val="-5"/>
        </w:rPr>
        <w:t> </w:t>
      </w:r>
      <w:r>
        <w:rPr>
          <w:color w:val="231F20"/>
        </w:rPr>
        <w:t>насеља</w:t>
      </w:r>
      <w:r>
        <w:rPr>
          <w:color w:val="231F20"/>
          <w:spacing w:val="-5"/>
        </w:rPr>
        <w:t> </w:t>
      </w:r>
      <w:r>
        <w:rPr>
          <w:color w:val="231F20"/>
        </w:rPr>
        <w:t>и</w:t>
      </w:r>
      <w:r>
        <w:rPr>
          <w:color w:val="231F20"/>
          <w:spacing w:val="-5"/>
        </w:rPr>
        <w:t> </w:t>
      </w:r>
      <w:r>
        <w:rPr>
          <w:color w:val="231F20"/>
        </w:rPr>
        <w:t>центара)</w:t>
      </w:r>
      <w:r>
        <w:rPr>
          <w:color w:val="231F20"/>
          <w:spacing w:val="-5"/>
        </w:rPr>
        <w:t> </w:t>
      </w:r>
      <w:r>
        <w:rPr>
          <w:color w:val="231F20"/>
        </w:rPr>
        <w:t>и</w:t>
      </w:r>
    </w:p>
    <w:p>
      <w:pPr>
        <w:pStyle w:val="BodyText"/>
        <w:spacing w:line="228" w:lineRule="auto" w:before="1"/>
        <w:ind w:left="454" w:right="1" w:firstLine="396"/>
      </w:pPr>
      <w:r>
        <w:rPr>
          <w:color w:val="231F20"/>
          <w:w w:val="66"/>
        </w:rPr>
        <w:t> </w:t>
      </w:r>
      <w:r>
        <w:rPr>
          <w:color w:val="231F20"/>
        </w:rPr>
        <w:t>– уређење и заштиту простора (природне и створене погод- ности и ограничења, утицај експлоатације угља на режим вода, животна</w:t>
      </w:r>
      <w:r>
        <w:rPr>
          <w:color w:val="231F20"/>
          <w:spacing w:val="-9"/>
        </w:rPr>
        <w:t> </w:t>
      </w:r>
      <w:r>
        <w:rPr>
          <w:color w:val="231F20"/>
        </w:rPr>
        <w:t>средина,</w:t>
      </w:r>
      <w:r>
        <w:rPr>
          <w:color w:val="231F20"/>
          <w:spacing w:val="-9"/>
        </w:rPr>
        <w:t> </w:t>
      </w:r>
      <w:r>
        <w:rPr>
          <w:color w:val="231F20"/>
        </w:rPr>
        <w:t>рекултивација</w:t>
      </w:r>
      <w:r>
        <w:rPr>
          <w:color w:val="231F20"/>
          <w:spacing w:val="-9"/>
        </w:rPr>
        <w:t> </w:t>
      </w:r>
      <w:r>
        <w:rPr>
          <w:color w:val="231F20"/>
        </w:rPr>
        <w:t>простора,</w:t>
      </w:r>
      <w:r>
        <w:rPr>
          <w:color w:val="231F20"/>
          <w:spacing w:val="-9"/>
        </w:rPr>
        <w:t> </w:t>
      </w:r>
      <w:r>
        <w:rPr>
          <w:color w:val="231F20"/>
        </w:rPr>
        <w:t>заштита</w:t>
      </w:r>
      <w:r>
        <w:rPr>
          <w:color w:val="231F20"/>
          <w:spacing w:val="-9"/>
        </w:rPr>
        <w:t> </w:t>
      </w:r>
      <w:r>
        <w:rPr>
          <w:color w:val="231F20"/>
        </w:rPr>
        <w:t>природе</w:t>
      </w:r>
      <w:r>
        <w:rPr>
          <w:color w:val="231F20"/>
          <w:spacing w:val="-9"/>
        </w:rPr>
        <w:t> </w:t>
      </w:r>
      <w:r>
        <w:rPr>
          <w:color w:val="231F20"/>
        </w:rPr>
        <w:t>и</w:t>
      </w:r>
      <w:r>
        <w:rPr>
          <w:color w:val="231F20"/>
          <w:spacing w:val="-9"/>
        </w:rPr>
        <w:t> </w:t>
      </w:r>
      <w:r>
        <w:rPr>
          <w:color w:val="231F20"/>
        </w:rPr>
        <w:t>уре- ђење предела, културно наслеђе, комунални</w:t>
      </w:r>
      <w:r>
        <w:rPr>
          <w:color w:val="231F20"/>
          <w:spacing w:val="-13"/>
        </w:rPr>
        <w:t> </w:t>
      </w:r>
      <w:r>
        <w:rPr>
          <w:color w:val="231F20"/>
        </w:rPr>
        <w:t>објекти).</w:t>
      </w:r>
    </w:p>
    <w:p>
      <w:pPr>
        <w:pStyle w:val="BodyText"/>
        <w:spacing w:line="228" w:lineRule="auto" w:before="2"/>
        <w:ind w:left="454" w:right="1" w:firstLine="396"/>
      </w:pPr>
      <w:r>
        <w:rPr>
          <w:color w:val="231F20"/>
        </w:rPr>
        <w:t>Свеска 3: документи везани за припрему Просторног плана садржи:</w:t>
      </w:r>
    </w:p>
    <w:p>
      <w:pPr>
        <w:pStyle w:val="BodyText"/>
        <w:spacing w:line="228" w:lineRule="auto" w:before="1"/>
        <w:ind w:left="455" w:firstLine="396"/>
      </w:pPr>
      <w:r>
        <w:rPr>
          <w:color w:val="231F20"/>
          <w:w w:val="66"/>
        </w:rPr>
        <w:t> </w:t>
      </w:r>
      <w:r>
        <w:rPr>
          <w:color w:val="231F20"/>
        </w:rPr>
        <w:t>–</w:t>
      </w:r>
      <w:r>
        <w:rPr>
          <w:color w:val="231F20"/>
          <w:spacing w:val="-8"/>
        </w:rPr>
        <w:t> </w:t>
      </w:r>
      <w:r>
        <w:rPr>
          <w:color w:val="231F20"/>
        </w:rPr>
        <w:t>Одлуку</w:t>
      </w:r>
      <w:r>
        <w:rPr>
          <w:color w:val="231F20"/>
          <w:spacing w:val="-8"/>
        </w:rPr>
        <w:t> </w:t>
      </w:r>
      <w:r>
        <w:rPr>
          <w:color w:val="231F20"/>
        </w:rPr>
        <w:t>о</w:t>
      </w:r>
      <w:r>
        <w:rPr>
          <w:color w:val="231F20"/>
          <w:spacing w:val="-8"/>
        </w:rPr>
        <w:t> </w:t>
      </w:r>
      <w:r>
        <w:rPr>
          <w:color w:val="231F20"/>
        </w:rPr>
        <w:t>изради</w:t>
      </w:r>
      <w:r>
        <w:rPr>
          <w:color w:val="231F20"/>
          <w:spacing w:val="-8"/>
        </w:rPr>
        <w:t> </w:t>
      </w:r>
      <w:r>
        <w:rPr>
          <w:color w:val="231F20"/>
        </w:rPr>
        <w:t>Просторног</w:t>
      </w:r>
      <w:r>
        <w:rPr>
          <w:color w:val="231F20"/>
          <w:spacing w:val="-8"/>
        </w:rPr>
        <w:t> </w:t>
      </w:r>
      <w:r>
        <w:rPr>
          <w:color w:val="231F20"/>
        </w:rPr>
        <w:t>плана</w:t>
      </w:r>
      <w:r>
        <w:rPr>
          <w:color w:val="231F20"/>
          <w:spacing w:val="-8"/>
        </w:rPr>
        <w:t> </w:t>
      </w:r>
      <w:r>
        <w:rPr>
          <w:color w:val="231F20"/>
        </w:rPr>
        <w:t>подручја</w:t>
      </w:r>
      <w:r>
        <w:rPr>
          <w:color w:val="231F20"/>
          <w:spacing w:val="-8"/>
        </w:rPr>
        <w:t> </w:t>
      </w:r>
      <w:r>
        <w:rPr>
          <w:color w:val="231F20"/>
        </w:rPr>
        <w:t>посебне</w:t>
      </w:r>
      <w:r>
        <w:rPr>
          <w:color w:val="231F20"/>
          <w:spacing w:val="-8"/>
        </w:rPr>
        <w:t> </w:t>
      </w:r>
      <w:r>
        <w:rPr>
          <w:color w:val="231F20"/>
        </w:rPr>
        <w:t>наме- не </w:t>
      </w:r>
      <w:r>
        <w:rPr>
          <w:color w:val="231F20"/>
          <w:spacing w:val="-3"/>
        </w:rPr>
        <w:t>Костолачког </w:t>
      </w:r>
      <w:r>
        <w:rPr>
          <w:color w:val="231F20"/>
        </w:rPr>
        <w:t>угљеног басена и Програм за израду Просторног плана подручја посебне намене </w:t>
      </w:r>
      <w:r>
        <w:rPr>
          <w:color w:val="231F20"/>
          <w:spacing w:val="-3"/>
        </w:rPr>
        <w:t>Костолачког </w:t>
      </w:r>
      <w:r>
        <w:rPr>
          <w:color w:val="231F20"/>
        </w:rPr>
        <w:t>лигнитског</w:t>
      </w:r>
      <w:r>
        <w:rPr>
          <w:color w:val="231F20"/>
          <w:spacing w:val="-12"/>
        </w:rPr>
        <w:t> </w:t>
      </w:r>
      <w:r>
        <w:rPr>
          <w:color w:val="231F20"/>
        </w:rPr>
        <w:t>басена;</w:t>
      </w:r>
    </w:p>
    <w:p>
      <w:pPr>
        <w:pStyle w:val="BodyText"/>
        <w:spacing w:line="195" w:lineRule="exact"/>
        <w:ind w:left="852"/>
        <w:jc w:val="left"/>
      </w:pPr>
      <w:r>
        <w:rPr>
          <w:color w:val="231F20"/>
          <w:w w:val="66"/>
        </w:rPr>
        <w:t> </w:t>
      </w:r>
      <w:r>
        <w:rPr>
          <w:color w:val="231F20"/>
        </w:rPr>
        <w:t>– услове, мишљења и сагласности надлежних органа;</w:t>
      </w:r>
    </w:p>
    <w:p>
      <w:pPr>
        <w:pStyle w:val="BodyText"/>
        <w:spacing w:line="228" w:lineRule="auto" w:before="3"/>
        <w:ind w:left="455" w:firstLine="396"/>
      </w:pPr>
      <w:r>
        <w:rPr>
          <w:color w:val="231F20"/>
          <w:w w:val="66"/>
        </w:rPr>
        <w:t> </w:t>
      </w:r>
      <w:r>
        <w:rPr>
          <w:color w:val="231F20"/>
        </w:rPr>
        <w:t>–</w:t>
      </w:r>
      <w:r>
        <w:rPr>
          <w:color w:val="231F20"/>
          <w:spacing w:val="-10"/>
        </w:rPr>
        <w:t> </w:t>
      </w:r>
      <w:r>
        <w:rPr>
          <w:color w:val="231F20"/>
        </w:rPr>
        <w:t>допуну</w:t>
      </w:r>
      <w:r>
        <w:rPr>
          <w:color w:val="231F20"/>
          <w:spacing w:val="-10"/>
        </w:rPr>
        <w:t> </w:t>
      </w:r>
      <w:r>
        <w:rPr>
          <w:color w:val="231F20"/>
        </w:rPr>
        <w:t>услова</w:t>
      </w:r>
      <w:r>
        <w:rPr>
          <w:color w:val="231F20"/>
          <w:spacing w:val="-10"/>
        </w:rPr>
        <w:t> </w:t>
      </w:r>
      <w:r>
        <w:rPr>
          <w:color w:val="231F20"/>
        </w:rPr>
        <w:t>и</w:t>
      </w:r>
      <w:r>
        <w:rPr>
          <w:color w:val="231F20"/>
          <w:spacing w:val="-10"/>
        </w:rPr>
        <w:t> </w:t>
      </w:r>
      <w:r>
        <w:rPr>
          <w:color w:val="231F20"/>
        </w:rPr>
        <w:t>мишљења</w:t>
      </w:r>
      <w:r>
        <w:rPr>
          <w:color w:val="231F20"/>
          <w:spacing w:val="-10"/>
        </w:rPr>
        <w:t> </w:t>
      </w:r>
      <w:r>
        <w:rPr>
          <w:color w:val="231F20"/>
        </w:rPr>
        <w:t>надлежних</w:t>
      </w:r>
      <w:r>
        <w:rPr>
          <w:color w:val="231F20"/>
          <w:spacing w:val="-10"/>
        </w:rPr>
        <w:t> </w:t>
      </w:r>
      <w:r>
        <w:rPr>
          <w:color w:val="231F20"/>
        </w:rPr>
        <w:t>органа</w:t>
      </w:r>
      <w:r>
        <w:rPr>
          <w:color w:val="231F20"/>
          <w:spacing w:val="-10"/>
        </w:rPr>
        <w:t> </w:t>
      </w:r>
      <w:r>
        <w:rPr>
          <w:color w:val="231F20"/>
        </w:rPr>
        <w:t>за</w:t>
      </w:r>
      <w:r>
        <w:rPr>
          <w:color w:val="231F20"/>
          <w:spacing w:val="-10"/>
        </w:rPr>
        <w:t> </w:t>
      </w:r>
      <w:r>
        <w:rPr>
          <w:color w:val="231F20"/>
        </w:rPr>
        <w:t>Просторни план града Пожаревца, документе са стручног савета „ЕПС”-а</w:t>
      </w:r>
      <w:r>
        <w:rPr>
          <w:color w:val="231F20"/>
          <w:spacing w:val="-18"/>
        </w:rPr>
        <w:t> </w:t>
      </w:r>
      <w:r>
        <w:rPr>
          <w:color w:val="231F20"/>
        </w:rPr>
        <w:t>и</w:t>
      </w:r>
    </w:p>
    <w:p>
      <w:pPr>
        <w:pStyle w:val="BodyText"/>
        <w:spacing w:line="195" w:lineRule="exact"/>
        <w:ind w:left="852"/>
        <w:jc w:val="left"/>
      </w:pPr>
      <w:r>
        <w:rPr>
          <w:color w:val="231F20"/>
          <w:w w:val="66"/>
        </w:rPr>
        <w:t> </w:t>
      </w:r>
      <w:r>
        <w:rPr>
          <w:color w:val="231F20"/>
        </w:rPr>
        <w:t>– друге документе.</w:t>
      </w:r>
    </w:p>
    <w:p>
      <w:pPr>
        <w:pStyle w:val="BodyText"/>
        <w:spacing w:line="228" w:lineRule="auto" w:before="4"/>
        <w:ind w:left="455" w:firstLine="396"/>
      </w:pPr>
      <w:r>
        <w:rPr>
          <w:color w:val="231F20"/>
          <w:spacing w:val="-3"/>
        </w:rPr>
        <w:t>Приликом </w:t>
      </w:r>
      <w:r>
        <w:rPr>
          <w:color w:val="231F20"/>
        </w:rPr>
        <w:t>израде Просторног плана </w:t>
      </w:r>
      <w:r>
        <w:rPr>
          <w:color w:val="231F20"/>
          <w:spacing w:val="-3"/>
        </w:rPr>
        <w:t>консултована </w:t>
      </w:r>
      <w:r>
        <w:rPr>
          <w:color w:val="231F20"/>
        </w:rPr>
        <w:t>је обимна нормативна,</w:t>
      </w:r>
      <w:r>
        <w:rPr>
          <w:color w:val="231F20"/>
          <w:spacing w:val="-13"/>
        </w:rPr>
        <w:t> </w:t>
      </w:r>
      <w:r>
        <w:rPr>
          <w:color w:val="231F20"/>
        </w:rPr>
        <w:t>студијска,</w:t>
      </w:r>
      <w:r>
        <w:rPr>
          <w:color w:val="231F20"/>
          <w:spacing w:val="-13"/>
        </w:rPr>
        <w:t> </w:t>
      </w:r>
      <w:r>
        <w:rPr>
          <w:color w:val="231F20"/>
        </w:rPr>
        <w:t>планска,</w:t>
      </w:r>
      <w:r>
        <w:rPr>
          <w:color w:val="231F20"/>
          <w:spacing w:val="-13"/>
        </w:rPr>
        <w:t> </w:t>
      </w:r>
      <w:r>
        <w:rPr>
          <w:color w:val="231F20"/>
        </w:rPr>
        <w:t>развојна</w:t>
      </w:r>
      <w:r>
        <w:rPr>
          <w:color w:val="231F20"/>
          <w:spacing w:val="-13"/>
        </w:rPr>
        <w:t> </w:t>
      </w:r>
      <w:r>
        <w:rPr>
          <w:color w:val="231F20"/>
        </w:rPr>
        <w:t>и</w:t>
      </w:r>
      <w:r>
        <w:rPr>
          <w:color w:val="231F20"/>
          <w:spacing w:val="-13"/>
        </w:rPr>
        <w:t> </w:t>
      </w:r>
      <w:r>
        <w:rPr>
          <w:color w:val="231F20"/>
        </w:rPr>
        <w:t>техничка</w:t>
      </w:r>
      <w:r>
        <w:rPr>
          <w:color w:val="231F20"/>
          <w:spacing w:val="-13"/>
        </w:rPr>
        <w:t> </w:t>
      </w:r>
      <w:r>
        <w:rPr>
          <w:color w:val="231F20"/>
        </w:rPr>
        <w:t>документаци- ја </w:t>
      </w:r>
      <w:r>
        <w:rPr>
          <w:color w:val="231F20"/>
          <w:spacing w:val="-3"/>
        </w:rPr>
        <w:t>која </w:t>
      </w:r>
      <w:r>
        <w:rPr>
          <w:color w:val="231F20"/>
        </w:rPr>
        <w:t>се директно или индиректно односи на просторни развој </w:t>
      </w:r>
      <w:r>
        <w:rPr>
          <w:color w:val="231F20"/>
          <w:spacing w:val="-3"/>
        </w:rPr>
        <w:t>Костолачког </w:t>
      </w:r>
      <w:r>
        <w:rPr>
          <w:color w:val="231F20"/>
        </w:rPr>
        <w:t>угљеног</w:t>
      </w:r>
      <w:r>
        <w:rPr>
          <w:color w:val="231F20"/>
          <w:spacing w:val="0"/>
        </w:rPr>
        <w:t> </w:t>
      </w:r>
      <w:r>
        <w:rPr>
          <w:color w:val="231F20"/>
        </w:rPr>
        <w:t>басена.</w:t>
      </w:r>
    </w:p>
    <w:p>
      <w:pPr>
        <w:pStyle w:val="BodyText"/>
        <w:spacing w:line="232" w:lineRule="auto" w:before="2"/>
        <w:ind w:left="455" w:firstLine="396"/>
      </w:pPr>
      <w:r>
        <w:rPr>
          <w:color w:val="231F20"/>
        </w:rPr>
        <w:t>У току израде Просторног плана остварена је сарадња са надлежним републичким, регионалним и локалним органима и организацијама надлежним за постављање захтева (услова) и да- вања мишљења и сагласности.</w:t>
      </w:r>
    </w:p>
    <w:p>
      <w:pPr>
        <w:pStyle w:val="Heading1"/>
        <w:numPr>
          <w:ilvl w:val="1"/>
          <w:numId w:val="2"/>
        </w:numPr>
        <w:tabs>
          <w:tab w:pos="888" w:val="left" w:leader="none"/>
        </w:tabs>
        <w:spacing w:line="232" w:lineRule="auto" w:before="67" w:after="0"/>
        <w:ind w:left="2065" w:right="590" w:hanging="1358"/>
        <w:jc w:val="left"/>
      </w:pPr>
      <w:r>
        <w:rPr>
          <w:color w:val="231F20"/>
        </w:rPr>
        <w:br w:type="column"/>
        <w:t>Законски (правни) и плански основ за доношење просторног</w:t>
      </w:r>
      <w:r>
        <w:rPr>
          <w:color w:val="231F20"/>
          <w:spacing w:val="-2"/>
        </w:rPr>
        <w:t> </w:t>
      </w:r>
      <w:r>
        <w:rPr>
          <w:color w:val="231F20"/>
        </w:rPr>
        <w:t>плана</w:t>
      </w:r>
    </w:p>
    <w:p>
      <w:pPr>
        <w:pStyle w:val="ListParagraph"/>
        <w:numPr>
          <w:ilvl w:val="2"/>
          <w:numId w:val="2"/>
        </w:numPr>
        <w:tabs>
          <w:tab w:pos="2018" w:val="left" w:leader="none"/>
        </w:tabs>
        <w:spacing w:line="240" w:lineRule="auto" w:before="109" w:after="0"/>
        <w:ind w:left="2017" w:right="0" w:hanging="315"/>
        <w:jc w:val="left"/>
        <w:rPr>
          <w:i/>
          <w:sz w:val="18"/>
        </w:rPr>
      </w:pPr>
      <w:r>
        <w:rPr>
          <w:i/>
          <w:color w:val="231F20"/>
          <w:sz w:val="18"/>
        </w:rPr>
        <w:t>Законски – правни</w:t>
      </w:r>
      <w:r>
        <w:rPr>
          <w:i/>
          <w:color w:val="231F20"/>
          <w:spacing w:val="-2"/>
          <w:sz w:val="18"/>
        </w:rPr>
        <w:t> </w:t>
      </w:r>
      <w:r>
        <w:rPr>
          <w:i/>
          <w:color w:val="231F20"/>
          <w:sz w:val="18"/>
        </w:rPr>
        <w:t>основ</w:t>
      </w:r>
    </w:p>
    <w:p>
      <w:pPr>
        <w:pStyle w:val="BodyText"/>
        <w:spacing w:line="220" w:lineRule="auto" w:before="55"/>
        <w:ind w:left="243" w:right="126" w:firstLine="396"/>
      </w:pPr>
      <w:r>
        <w:rPr>
          <w:color w:val="231F20"/>
        </w:rPr>
        <w:t>Законски – правни основ за израду и доношење Просторног плана садржан је у одредбама:</w:t>
      </w:r>
    </w:p>
    <w:p>
      <w:pPr>
        <w:pStyle w:val="ListParagraph"/>
        <w:numPr>
          <w:ilvl w:val="0"/>
          <w:numId w:val="5"/>
        </w:numPr>
        <w:tabs>
          <w:tab w:pos="829" w:val="left" w:leader="none"/>
        </w:tabs>
        <w:spacing w:line="220" w:lineRule="auto" w:before="1" w:after="0"/>
        <w:ind w:left="243" w:right="126" w:firstLine="397"/>
        <w:jc w:val="both"/>
        <w:rPr>
          <w:sz w:val="18"/>
        </w:rPr>
      </w:pPr>
      <w:r>
        <w:rPr>
          <w:color w:val="231F20"/>
          <w:sz w:val="18"/>
        </w:rPr>
        <w:t>Закона о планирању и изградњи („Службени гласник РС”, бр. 72/09, 81/09 и 24/11) </w:t>
      </w:r>
      <w:r>
        <w:rPr>
          <w:color w:val="231F20"/>
          <w:spacing w:val="-3"/>
          <w:sz w:val="18"/>
        </w:rPr>
        <w:t>којим </w:t>
      </w:r>
      <w:r>
        <w:rPr>
          <w:color w:val="231F20"/>
          <w:sz w:val="18"/>
        </w:rPr>
        <w:t>је прописано да се просторни план подручја посебне намене доноси за подручје </w:t>
      </w:r>
      <w:r>
        <w:rPr>
          <w:color w:val="231F20"/>
          <w:spacing w:val="-3"/>
          <w:sz w:val="18"/>
        </w:rPr>
        <w:t>које </w:t>
      </w:r>
      <w:r>
        <w:rPr>
          <w:color w:val="231F20"/>
          <w:sz w:val="18"/>
        </w:rPr>
        <w:t>због својих ка- рактеристика, има посебну намену </w:t>
      </w:r>
      <w:r>
        <w:rPr>
          <w:color w:val="231F20"/>
          <w:spacing w:val="-3"/>
          <w:sz w:val="18"/>
        </w:rPr>
        <w:t>која </w:t>
      </w:r>
      <w:r>
        <w:rPr>
          <w:color w:val="231F20"/>
          <w:sz w:val="18"/>
        </w:rPr>
        <w:t>захтева посебан режим организације, уређења, коришћења и заштите простора (подручје обимне експлоатације минералних</w:t>
      </w:r>
      <w:r>
        <w:rPr>
          <w:color w:val="231F20"/>
          <w:spacing w:val="-4"/>
          <w:sz w:val="18"/>
        </w:rPr>
        <w:t> </w:t>
      </w:r>
      <w:r>
        <w:rPr>
          <w:color w:val="231F20"/>
          <w:sz w:val="18"/>
        </w:rPr>
        <w:t>сировина);</w:t>
      </w:r>
    </w:p>
    <w:p>
      <w:pPr>
        <w:pStyle w:val="ListParagraph"/>
        <w:numPr>
          <w:ilvl w:val="0"/>
          <w:numId w:val="5"/>
        </w:numPr>
        <w:tabs>
          <w:tab w:pos="865" w:val="left" w:leader="none"/>
        </w:tabs>
        <w:spacing w:line="220" w:lineRule="auto" w:before="3" w:after="0"/>
        <w:ind w:left="243" w:right="126" w:firstLine="397"/>
        <w:jc w:val="both"/>
        <w:rPr>
          <w:sz w:val="18"/>
        </w:rPr>
      </w:pPr>
      <w:r>
        <w:rPr>
          <w:color w:val="231F20"/>
          <w:sz w:val="18"/>
        </w:rPr>
        <w:t>Члана 3. </w:t>
      </w:r>
      <w:r>
        <w:rPr>
          <w:color w:val="231F20"/>
          <w:spacing w:val="-2"/>
          <w:sz w:val="18"/>
        </w:rPr>
        <w:t>Закона </w:t>
      </w:r>
      <w:r>
        <w:rPr>
          <w:color w:val="231F20"/>
          <w:sz w:val="18"/>
        </w:rPr>
        <w:t>о  Просторном  плану  </w:t>
      </w:r>
      <w:r>
        <w:rPr>
          <w:color w:val="231F20"/>
          <w:spacing w:val="-3"/>
          <w:sz w:val="18"/>
        </w:rPr>
        <w:t>Републике  </w:t>
      </w:r>
      <w:r>
        <w:rPr>
          <w:color w:val="231F20"/>
          <w:sz w:val="18"/>
        </w:rPr>
        <w:t>Срби- је („Службени гласник РС”, број 88/10), </w:t>
      </w:r>
      <w:r>
        <w:rPr>
          <w:color w:val="231F20"/>
          <w:spacing w:val="-3"/>
          <w:sz w:val="18"/>
        </w:rPr>
        <w:t>којим </w:t>
      </w:r>
      <w:r>
        <w:rPr>
          <w:color w:val="231F20"/>
          <w:sz w:val="18"/>
        </w:rPr>
        <w:t>је прописано да се Просторни план </w:t>
      </w:r>
      <w:r>
        <w:rPr>
          <w:color w:val="231F20"/>
          <w:spacing w:val="-3"/>
          <w:sz w:val="18"/>
        </w:rPr>
        <w:t>Републике </w:t>
      </w:r>
      <w:r>
        <w:rPr>
          <w:color w:val="231F20"/>
          <w:sz w:val="18"/>
        </w:rPr>
        <w:t>Србије (у даљем тексту: ППРС) спро- води просторним плановима подручја посебне</w:t>
      </w:r>
      <w:r>
        <w:rPr>
          <w:color w:val="231F20"/>
          <w:spacing w:val="-8"/>
          <w:sz w:val="18"/>
        </w:rPr>
        <w:t> </w:t>
      </w:r>
      <w:r>
        <w:rPr>
          <w:color w:val="231F20"/>
          <w:sz w:val="18"/>
        </w:rPr>
        <w:t>намене;</w:t>
      </w:r>
    </w:p>
    <w:p>
      <w:pPr>
        <w:pStyle w:val="ListParagraph"/>
        <w:numPr>
          <w:ilvl w:val="0"/>
          <w:numId w:val="5"/>
        </w:numPr>
        <w:tabs>
          <w:tab w:pos="817" w:val="left" w:leader="none"/>
        </w:tabs>
        <w:spacing w:line="220" w:lineRule="auto" w:before="2" w:after="0"/>
        <w:ind w:left="243" w:right="126" w:firstLine="397"/>
        <w:jc w:val="both"/>
        <w:rPr>
          <w:sz w:val="18"/>
        </w:rPr>
      </w:pPr>
      <w:r>
        <w:rPr>
          <w:color w:val="231F20"/>
          <w:sz w:val="18"/>
        </w:rPr>
        <w:t>Чланова</w:t>
      </w:r>
      <w:r>
        <w:rPr>
          <w:color w:val="231F20"/>
          <w:spacing w:val="-12"/>
          <w:sz w:val="18"/>
        </w:rPr>
        <w:t> </w:t>
      </w:r>
      <w:r>
        <w:rPr>
          <w:color w:val="231F20"/>
          <w:spacing w:val="-4"/>
          <w:sz w:val="18"/>
        </w:rPr>
        <w:t>11</w:t>
      </w:r>
      <w:r>
        <w:rPr>
          <w:color w:val="231F20"/>
          <w:spacing w:val="-21"/>
          <w:sz w:val="18"/>
        </w:rPr>
        <w:t> </w:t>
      </w:r>
      <w:r>
        <w:rPr>
          <w:color w:val="231F20"/>
          <w:sz w:val="18"/>
        </w:rPr>
        <w:t>–18.</w:t>
      </w:r>
      <w:r>
        <w:rPr>
          <w:color w:val="231F20"/>
          <w:spacing w:val="-12"/>
          <w:sz w:val="18"/>
        </w:rPr>
        <w:t> </w:t>
      </w:r>
      <w:r>
        <w:rPr>
          <w:color w:val="231F20"/>
          <w:sz w:val="18"/>
        </w:rPr>
        <w:t>Правилника</w:t>
      </w:r>
      <w:r>
        <w:rPr>
          <w:color w:val="231F20"/>
          <w:spacing w:val="-12"/>
          <w:sz w:val="18"/>
        </w:rPr>
        <w:t> </w:t>
      </w:r>
      <w:r>
        <w:rPr>
          <w:color w:val="231F20"/>
          <w:sz w:val="18"/>
        </w:rPr>
        <w:t>о</w:t>
      </w:r>
      <w:r>
        <w:rPr>
          <w:color w:val="231F20"/>
          <w:spacing w:val="-12"/>
          <w:sz w:val="18"/>
        </w:rPr>
        <w:t> </w:t>
      </w:r>
      <w:r>
        <w:rPr>
          <w:color w:val="231F20"/>
          <w:sz w:val="18"/>
        </w:rPr>
        <w:t>садржини</w:t>
      </w:r>
      <w:r>
        <w:rPr>
          <w:color w:val="231F20"/>
          <w:spacing w:val="-12"/>
          <w:sz w:val="18"/>
        </w:rPr>
        <w:t> </w:t>
      </w:r>
      <w:r>
        <w:rPr>
          <w:color w:val="231F20"/>
          <w:sz w:val="18"/>
        </w:rPr>
        <w:t>начину</w:t>
      </w:r>
      <w:r>
        <w:rPr>
          <w:color w:val="231F20"/>
          <w:spacing w:val="-12"/>
          <w:sz w:val="18"/>
        </w:rPr>
        <w:t> </w:t>
      </w:r>
      <w:r>
        <w:rPr>
          <w:color w:val="231F20"/>
          <w:sz w:val="18"/>
        </w:rPr>
        <w:t>и</w:t>
      </w:r>
      <w:r>
        <w:rPr>
          <w:color w:val="231F20"/>
          <w:spacing w:val="-12"/>
          <w:sz w:val="18"/>
        </w:rPr>
        <w:t> </w:t>
      </w:r>
      <w:r>
        <w:rPr>
          <w:color w:val="231F20"/>
          <w:sz w:val="18"/>
        </w:rPr>
        <w:t>поступку израде планских докумената („Службени гласник РС”, бр. 31/10, 69/10 и 16/11) </w:t>
      </w:r>
      <w:r>
        <w:rPr>
          <w:color w:val="231F20"/>
          <w:spacing w:val="-3"/>
          <w:sz w:val="18"/>
        </w:rPr>
        <w:t>којима </w:t>
      </w:r>
      <w:r>
        <w:rPr>
          <w:color w:val="231F20"/>
          <w:sz w:val="18"/>
        </w:rPr>
        <w:t>је прописана садржина просторног плана подручја посебне намене</w:t>
      </w:r>
      <w:r>
        <w:rPr>
          <w:color w:val="231F20"/>
          <w:spacing w:val="-3"/>
          <w:sz w:val="18"/>
        </w:rPr>
        <w:t> </w:t>
      </w:r>
      <w:r>
        <w:rPr>
          <w:color w:val="231F20"/>
          <w:sz w:val="18"/>
        </w:rPr>
        <w:t>и</w:t>
      </w:r>
    </w:p>
    <w:p>
      <w:pPr>
        <w:pStyle w:val="ListParagraph"/>
        <w:numPr>
          <w:ilvl w:val="0"/>
          <w:numId w:val="5"/>
        </w:numPr>
        <w:tabs>
          <w:tab w:pos="813" w:val="left" w:leader="none"/>
        </w:tabs>
        <w:spacing w:line="220" w:lineRule="auto" w:before="2" w:after="0"/>
        <w:ind w:left="244" w:right="125" w:firstLine="396"/>
        <w:jc w:val="both"/>
        <w:rPr>
          <w:sz w:val="18"/>
        </w:rPr>
      </w:pPr>
      <w:r>
        <w:rPr>
          <w:color w:val="231F20"/>
          <w:spacing w:val="-4"/>
          <w:sz w:val="18"/>
        </w:rPr>
        <w:t>Одлуке </w:t>
      </w:r>
      <w:r>
        <w:rPr>
          <w:color w:val="231F20"/>
          <w:sz w:val="18"/>
        </w:rPr>
        <w:t>о </w:t>
      </w:r>
      <w:r>
        <w:rPr>
          <w:color w:val="231F20"/>
          <w:spacing w:val="-3"/>
          <w:sz w:val="18"/>
        </w:rPr>
        <w:t>изради Просторног плана </w:t>
      </w:r>
      <w:r>
        <w:rPr>
          <w:color w:val="231F20"/>
          <w:spacing w:val="-4"/>
          <w:sz w:val="18"/>
        </w:rPr>
        <w:t>подручја </w:t>
      </w:r>
      <w:r>
        <w:rPr>
          <w:color w:val="231F20"/>
          <w:sz w:val="18"/>
        </w:rPr>
        <w:t>посебне </w:t>
      </w:r>
      <w:r>
        <w:rPr>
          <w:color w:val="231F20"/>
          <w:spacing w:val="-3"/>
          <w:sz w:val="18"/>
        </w:rPr>
        <w:t>намене </w:t>
      </w:r>
      <w:r>
        <w:rPr>
          <w:color w:val="231F20"/>
          <w:spacing w:val="-6"/>
          <w:sz w:val="18"/>
        </w:rPr>
        <w:t>Костолачког </w:t>
      </w:r>
      <w:r>
        <w:rPr>
          <w:color w:val="231F20"/>
          <w:spacing w:val="-3"/>
          <w:sz w:val="18"/>
        </w:rPr>
        <w:t>угљеног басена </w:t>
      </w:r>
      <w:r>
        <w:rPr>
          <w:color w:val="231F20"/>
          <w:spacing w:val="-4"/>
          <w:sz w:val="18"/>
        </w:rPr>
        <w:t>(„Службени гласник </w:t>
      </w:r>
      <w:r>
        <w:rPr>
          <w:color w:val="231F20"/>
          <w:sz w:val="18"/>
        </w:rPr>
        <w:t>РС”, </w:t>
      </w:r>
      <w:r>
        <w:rPr>
          <w:color w:val="231F20"/>
          <w:spacing w:val="-3"/>
          <w:sz w:val="18"/>
        </w:rPr>
        <w:t>број</w:t>
      </w:r>
      <w:r>
        <w:rPr>
          <w:color w:val="231F20"/>
          <w:spacing w:val="-10"/>
          <w:sz w:val="18"/>
        </w:rPr>
        <w:t> </w:t>
      </w:r>
      <w:r>
        <w:rPr>
          <w:color w:val="231F20"/>
          <w:spacing w:val="-3"/>
          <w:sz w:val="18"/>
        </w:rPr>
        <w:t>78/09).</w:t>
      </w:r>
    </w:p>
    <w:p>
      <w:pPr>
        <w:pStyle w:val="BodyText"/>
        <w:spacing w:line="220" w:lineRule="auto" w:before="2"/>
        <w:ind w:left="244" w:right="124" w:firstLine="396"/>
      </w:pPr>
      <w:r>
        <w:rPr>
          <w:color w:val="231F20"/>
          <w:spacing w:val="-3"/>
        </w:rPr>
        <w:t>Приликом </w:t>
      </w:r>
      <w:r>
        <w:rPr>
          <w:color w:val="231F20"/>
        </w:rPr>
        <w:t>израде Просторног плана узете су у обзир одредбе и други прописи </w:t>
      </w:r>
      <w:r>
        <w:rPr>
          <w:color w:val="231F20"/>
          <w:spacing w:val="-3"/>
        </w:rPr>
        <w:t>који </w:t>
      </w:r>
      <w:r>
        <w:rPr>
          <w:color w:val="231F20"/>
        </w:rPr>
        <w:t>уређују области: рударства; енергетике; гео- лошких истраживања; водопривреде; начина утврђивања, евиден- тирања и прикупљања података о резервама минералних сирови- на и подземних вода и о билансу тих резерви; заштите </w:t>
      </w:r>
      <w:r>
        <w:rPr>
          <w:color w:val="231F20"/>
          <w:spacing w:val="-2"/>
        </w:rPr>
        <w:t>културних </w:t>
      </w:r>
      <w:r>
        <w:rPr>
          <w:color w:val="231F20"/>
        </w:rPr>
        <w:t>добара, права, одговорности и надлежности локалне самоуправе; коришћења, уређења и заштите пољопривредног земљишта; упра- вљања јавним путевима; железничког саобраћаја и железници; те- лекомуникација; коришћења, уређења и заштите шума; заштите животне</w:t>
      </w:r>
      <w:r>
        <w:rPr>
          <w:color w:val="231F20"/>
          <w:spacing w:val="-8"/>
        </w:rPr>
        <w:t> </w:t>
      </w:r>
      <w:r>
        <w:rPr>
          <w:color w:val="231F20"/>
        </w:rPr>
        <w:t>средине;</w:t>
      </w:r>
      <w:r>
        <w:rPr>
          <w:color w:val="231F20"/>
          <w:spacing w:val="-8"/>
        </w:rPr>
        <w:t> </w:t>
      </w:r>
      <w:r>
        <w:rPr>
          <w:color w:val="231F20"/>
        </w:rPr>
        <w:t>стратешке</w:t>
      </w:r>
      <w:r>
        <w:rPr>
          <w:color w:val="231F20"/>
          <w:spacing w:val="-8"/>
        </w:rPr>
        <w:t> </w:t>
      </w:r>
      <w:r>
        <w:rPr>
          <w:color w:val="231F20"/>
        </w:rPr>
        <w:t>процене</w:t>
      </w:r>
      <w:r>
        <w:rPr>
          <w:color w:val="231F20"/>
          <w:spacing w:val="-8"/>
        </w:rPr>
        <w:t> </w:t>
      </w:r>
      <w:r>
        <w:rPr>
          <w:color w:val="231F20"/>
        </w:rPr>
        <w:t>утицаја</w:t>
      </w:r>
      <w:r>
        <w:rPr>
          <w:color w:val="231F20"/>
          <w:spacing w:val="-8"/>
        </w:rPr>
        <w:t> </w:t>
      </w:r>
      <w:r>
        <w:rPr>
          <w:color w:val="231F20"/>
        </w:rPr>
        <w:t>на</w:t>
      </w:r>
      <w:r>
        <w:rPr>
          <w:color w:val="231F20"/>
          <w:spacing w:val="-8"/>
        </w:rPr>
        <w:t> </w:t>
      </w:r>
      <w:r>
        <w:rPr>
          <w:color w:val="231F20"/>
        </w:rPr>
        <w:t>животну</w:t>
      </w:r>
      <w:r>
        <w:rPr>
          <w:color w:val="231F20"/>
          <w:spacing w:val="-8"/>
        </w:rPr>
        <w:t> </w:t>
      </w:r>
      <w:r>
        <w:rPr>
          <w:color w:val="231F20"/>
        </w:rPr>
        <w:t>средину; интегрисаног спречавања и контроле загађивања животне среди- не;</w:t>
      </w:r>
      <w:r>
        <w:rPr>
          <w:color w:val="231F20"/>
          <w:spacing w:val="-10"/>
        </w:rPr>
        <w:t> </w:t>
      </w:r>
      <w:r>
        <w:rPr>
          <w:color w:val="231F20"/>
        </w:rPr>
        <w:t>туризма;</w:t>
      </w:r>
      <w:r>
        <w:rPr>
          <w:color w:val="231F20"/>
          <w:spacing w:val="-10"/>
        </w:rPr>
        <w:t> </w:t>
      </w:r>
      <w:r>
        <w:rPr>
          <w:color w:val="231F20"/>
        </w:rPr>
        <w:t>експропријације;</w:t>
      </w:r>
      <w:r>
        <w:rPr>
          <w:color w:val="231F20"/>
          <w:spacing w:val="-10"/>
        </w:rPr>
        <w:t> </w:t>
      </w:r>
      <w:r>
        <w:rPr>
          <w:color w:val="231F20"/>
        </w:rPr>
        <w:t>израде</w:t>
      </w:r>
      <w:r>
        <w:rPr>
          <w:color w:val="231F20"/>
          <w:spacing w:val="-10"/>
        </w:rPr>
        <w:t> </w:t>
      </w:r>
      <w:r>
        <w:rPr>
          <w:color w:val="231F20"/>
        </w:rPr>
        <w:t>и</w:t>
      </w:r>
      <w:r>
        <w:rPr>
          <w:color w:val="231F20"/>
          <w:spacing w:val="-10"/>
        </w:rPr>
        <w:t> </w:t>
      </w:r>
      <w:r>
        <w:rPr>
          <w:color w:val="231F20"/>
        </w:rPr>
        <w:t>одржавања</w:t>
      </w:r>
      <w:r>
        <w:rPr>
          <w:color w:val="231F20"/>
          <w:spacing w:val="-10"/>
        </w:rPr>
        <w:t> </w:t>
      </w:r>
      <w:r>
        <w:rPr>
          <w:color w:val="231F20"/>
        </w:rPr>
        <w:t>катастра</w:t>
      </w:r>
      <w:r>
        <w:rPr>
          <w:color w:val="231F20"/>
          <w:spacing w:val="-10"/>
        </w:rPr>
        <w:t> </w:t>
      </w:r>
      <w:r>
        <w:rPr>
          <w:color w:val="231F20"/>
        </w:rPr>
        <w:t>водова и подземних објеката; коришћења, класификације и категориза- ције чврстих минералних сировина и вођења евиденције о њима; категоризације заштићених природних добара; уређења депонија отпадних</w:t>
      </w:r>
      <w:r>
        <w:rPr>
          <w:color w:val="231F20"/>
          <w:spacing w:val="-6"/>
        </w:rPr>
        <w:t> </w:t>
      </w:r>
      <w:r>
        <w:rPr>
          <w:color w:val="231F20"/>
        </w:rPr>
        <w:t>материја;</w:t>
      </w:r>
      <w:r>
        <w:rPr>
          <w:color w:val="231F20"/>
          <w:spacing w:val="-6"/>
        </w:rPr>
        <w:t> </w:t>
      </w:r>
      <w:r>
        <w:rPr>
          <w:color w:val="231F20"/>
        </w:rPr>
        <w:t>процене</w:t>
      </w:r>
      <w:r>
        <w:rPr>
          <w:color w:val="231F20"/>
          <w:spacing w:val="-6"/>
        </w:rPr>
        <w:t> </w:t>
      </w:r>
      <w:r>
        <w:rPr>
          <w:color w:val="231F20"/>
        </w:rPr>
        <w:t>опасности</w:t>
      </w:r>
      <w:r>
        <w:rPr>
          <w:color w:val="231F20"/>
          <w:spacing w:val="-6"/>
        </w:rPr>
        <w:t> </w:t>
      </w:r>
      <w:r>
        <w:rPr>
          <w:color w:val="231F20"/>
          <w:spacing w:val="-3"/>
        </w:rPr>
        <w:t>од</w:t>
      </w:r>
      <w:r>
        <w:rPr>
          <w:color w:val="231F20"/>
          <w:spacing w:val="-6"/>
        </w:rPr>
        <w:t> </w:t>
      </w:r>
      <w:r>
        <w:rPr>
          <w:color w:val="231F20"/>
        </w:rPr>
        <w:t>хемијског</w:t>
      </w:r>
      <w:r>
        <w:rPr>
          <w:color w:val="231F20"/>
          <w:spacing w:val="-6"/>
        </w:rPr>
        <w:t> </w:t>
      </w:r>
      <w:r>
        <w:rPr>
          <w:color w:val="231F20"/>
        </w:rPr>
        <w:t>удеса,</w:t>
      </w:r>
      <w:r>
        <w:rPr>
          <w:color w:val="231F20"/>
          <w:spacing w:val="-6"/>
        </w:rPr>
        <w:t> </w:t>
      </w:r>
      <w:r>
        <w:rPr>
          <w:color w:val="231F20"/>
        </w:rPr>
        <w:t>загађи- вања животне средине, управљање опасним материјама; заштита непокретних културних добара и</w:t>
      </w:r>
      <w:r>
        <w:rPr>
          <w:color w:val="231F20"/>
          <w:spacing w:val="-6"/>
        </w:rPr>
        <w:t> </w:t>
      </w:r>
      <w:r>
        <w:rPr>
          <w:color w:val="231F20"/>
        </w:rPr>
        <w:t>друго.</w:t>
      </w:r>
    </w:p>
    <w:p>
      <w:pPr>
        <w:pStyle w:val="ListParagraph"/>
        <w:numPr>
          <w:ilvl w:val="2"/>
          <w:numId w:val="2"/>
        </w:numPr>
        <w:tabs>
          <w:tab w:pos="2396" w:val="left" w:leader="none"/>
        </w:tabs>
        <w:spacing w:line="240" w:lineRule="auto" w:before="110" w:after="0"/>
        <w:ind w:left="2395" w:right="0" w:hanging="315"/>
        <w:jc w:val="left"/>
        <w:rPr>
          <w:i/>
          <w:sz w:val="18"/>
        </w:rPr>
      </w:pPr>
      <w:r>
        <w:rPr>
          <w:i/>
          <w:color w:val="231F20"/>
          <w:sz w:val="18"/>
        </w:rPr>
        <w:t>Плански основ</w:t>
      </w:r>
    </w:p>
    <w:p>
      <w:pPr>
        <w:pStyle w:val="BodyText"/>
        <w:spacing w:line="220" w:lineRule="auto" w:before="54"/>
        <w:ind w:left="245" w:right="124" w:firstLine="396"/>
      </w:pPr>
      <w:r>
        <w:rPr>
          <w:color w:val="231F20"/>
        </w:rPr>
        <w:t>Плански основ за израду и доношење Просторног плана са- држан је у решењима Просторног плана Републике Србије („Слу- жбени гласник РС”, број 88/10) и то у:</w:t>
      </w:r>
    </w:p>
    <w:p>
      <w:pPr>
        <w:pStyle w:val="ListParagraph"/>
        <w:numPr>
          <w:ilvl w:val="0"/>
          <w:numId w:val="6"/>
        </w:numPr>
        <w:tabs>
          <w:tab w:pos="840" w:val="left" w:leader="none"/>
        </w:tabs>
        <w:spacing w:line="220" w:lineRule="auto" w:before="1" w:after="0"/>
        <w:ind w:left="245" w:right="124" w:firstLine="397"/>
        <w:jc w:val="both"/>
        <w:rPr>
          <w:sz w:val="18"/>
        </w:rPr>
      </w:pPr>
      <w:r>
        <w:rPr>
          <w:color w:val="231F20"/>
          <w:sz w:val="18"/>
        </w:rPr>
        <w:t>поглављу VII.1 „Мере и инструменти за спровођење пла- на”, којим је у приоритете за припрему и доношење просторних планова подручја посебне намене сврстан </w:t>
      </w:r>
      <w:r>
        <w:rPr>
          <w:color w:val="231F20"/>
          <w:spacing w:val="-3"/>
          <w:sz w:val="18"/>
        </w:rPr>
        <w:t>Костолачки </w:t>
      </w:r>
      <w:r>
        <w:rPr>
          <w:color w:val="231F20"/>
          <w:sz w:val="18"/>
        </w:rPr>
        <w:t>угљени ба- сен (рок</w:t>
      </w:r>
      <w:r>
        <w:rPr>
          <w:color w:val="231F20"/>
          <w:spacing w:val="-1"/>
          <w:sz w:val="18"/>
        </w:rPr>
        <w:t> </w:t>
      </w:r>
      <w:r>
        <w:rPr>
          <w:color w:val="231F20"/>
          <w:sz w:val="18"/>
        </w:rPr>
        <w:t>2010/11);</w:t>
      </w:r>
    </w:p>
    <w:p>
      <w:pPr>
        <w:pStyle w:val="ListParagraph"/>
        <w:numPr>
          <w:ilvl w:val="0"/>
          <w:numId w:val="6"/>
        </w:numPr>
        <w:tabs>
          <w:tab w:pos="837" w:val="left" w:leader="none"/>
        </w:tabs>
        <w:spacing w:line="220" w:lineRule="auto" w:before="3" w:after="0"/>
        <w:ind w:left="245" w:right="123" w:firstLine="397"/>
        <w:jc w:val="both"/>
        <w:rPr>
          <w:sz w:val="18"/>
        </w:rPr>
      </w:pPr>
      <w:r>
        <w:rPr>
          <w:color w:val="231F20"/>
          <w:spacing w:val="-6"/>
          <w:sz w:val="18"/>
        </w:rPr>
        <w:t>поглављу </w:t>
      </w:r>
      <w:r>
        <w:rPr>
          <w:color w:val="231F20"/>
          <w:spacing w:val="-11"/>
          <w:sz w:val="18"/>
        </w:rPr>
        <w:t>V.3 </w:t>
      </w:r>
      <w:r>
        <w:rPr>
          <w:color w:val="231F20"/>
          <w:spacing w:val="-5"/>
          <w:sz w:val="18"/>
        </w:rPr>
        <w:t>„Одрживи развој </w:t>
      </w:r>
      <w:r>
        <w:rPr>
          <w:color w:val="231F20"/>
          <w:spacing w:val="-6"/>
          <w:sz w:val="18"/>
        </w:rPr>
        <w:t>економије, </w:t>
      </w:r>
      <w:r>
        <w:rPr>
          <w:color w:val="231F20"/>
          <w:spacing w:val="-5"/>
          <w:sz w:val="18"/>
        </w:rPr>
        <w:t>транспорта </w:t>
      </w:r>
      <w:r>
        <w:rPr>
          <w:color w:val="231F20"/>
          <w:sz w:val="18"/>
        </w:rPr>
        <w:t>и </w:t>
      </w:r>
      <w:r>
        <w:rPr>
          <w:color w:val="231F20"/>
          <w:spacing w:val="-4"/>
          <w:sz w:val="18"/>
        </w:rPr>
        <w:t>ин- </w:t>
      </w:r>
      <w:r>
        <w:rPr>
          <w:color w:val="231F20"/>
          <w:spacing w:val="-5"/>
          <w:sz w:val="18"/>
        </w:rPr>
        <w:t>фраструктуре”, </w:t>
      </w:r>
      <w:r>
        <w:rPr>
          <w:color w:val="231F20"/>
          <w:sz w:val="18"/>
        </w:rPr>
        <w:t>у </w:t>
      </w:r>
      <w:r>
        <w:rPr>
          <w:color w:val="231F20"/>
          <w:spacing w:val="-5"/>
          <w:sz w:val="18"/>
        </w:rPr>
        <w:t>оквиру просторног развоја </w:t>
      </w:r>
      <w:r>
        <w:rPr>
          <w:color w:val="231F20"/>
          <w:spacing w:val="-7"/>
          <w:sz w:val="18"/>
        </w:rPr>
        <w:t>рударства </w:t>
      </w:r>
      <w:r>
        <w:rPr>
          <w:color w:val="231F20"/>
          <w:sz w:val="18"/>
        </w:rPr>
        <w:t>у </w:t>
      </w:r>
      <w:r>
        <w:rPr>
          <w:color w:val="231F20"/>
          <w:spacing w:val="-5"/>
          <w:sz w:val="18"/>
        </w:rPr>
        <w:t>сектору </w:t>
      </w:r>
      <w:r>
        <w:rPr>
          <w:color w:val="231F20"/>
          <w:spacing w:val="-4"/>
          <w:sz w:val="18"/>
        </w:rPr>
        <w:t>угља </w:t>
      </w:r>
      <w:r>
        <w:rPr>
          <w:color w:val="231F20"/>
          <w:sz w:val="18"/>
        </w:rPr>
        <w:t>и </w:t>
      </w:r>
      <w:r>
        <w:rPr>
          <w:color w:val="231F20"/>
          <w:spacing w:val="-5"/>
          <w:sz w:val="18"/>
        </w:rPr>
        <w:t>енергетске инфраструктуре </w:t>
      </w:r>
      <w:r>
        <w:rPr>
          <w:color w:val="231F20"/>
          <w:spacing w:val="-6"/>
          <w:sz w:val="18"/>
        </w:rPr>
        <w:t>(поглавље </w:t>
      </w:r>
      <w:r>
        <w:rPr>
          <w:color w:val="231F20"/>
          <w:spacing w:val="-4"/>
          <w:sz w:val="18"/>
        </w:rPr>
        <w:t>3.1.3 </w:t>
      </w:r>
      <w:r>
        <w:rPr>
          <w:color w:val="231F20"/>
          <w:spacing w:val="-5"/>
          <w:sz w:val="18"/>
        </w:rPr>
        <w:t>„Просторни развој </w:t>
      </w:r>
      <w:r>
        <w:rPr>
          <w:color w:val="231F20"/>
          <w:spacing w:val="-4"/>
          <w:sz w:val="18"/>
        </w:rPr>
        <w:t>ру- </w:t>
      </w:r>
      <w:r>
        <w:rPr>
          <w:color w:val="231F20"/>
          <w:spacing w:val="-5"/>
          <w:sz w:val="18"/>
        </w:rPr>
        <w:t>дарства”, 3.3.2. „Енергетска инфраструктура”), </w:t>
      </w:r>
      <w:r>
        <w:rPr>
          <w:color w:val="231F20"/>
          <w:spacing w:val="-6"/>
          <w:sz w:val="18"/>
        </w:rPr>
        <w:t>којим </w:t>
      </w:r>
      <w:r>
        <w:rPr>
          <w:color w:val="231F20"/>
          <w:spacing w:val="-3"/>
          <w:sz w:val="18"/>
        </w:rPr>
        <w:t>је </w:t>
      </w:r>
      <w:r>
        <w:rPr>
          <w:color w:val="231F20"/>
          <w:spacing w:val="-5"/>
          <w:sz w:val="18"/>
        </w:rPr>
        <w:t>предвиђено </w:t>
      </w:r>
      <w:r>
        <w:rPr>
          <w:color w:val="231F20"/>
          <w:spacing w:val="-3"/>
          <w:sz w:val="18"/>
        </w:rPr>
        <w:t>да </w:t>
      </w:r>
      <w:r>
        <w:rPr>
          <w:color w:val="231F20"/>
          <w:sz w:val="18"/>
        </w:rPr>
        <w:t>се </w:t>
      </w:r>
      <w:r>
        <w:rPr>
          <w:color w:val="231F20"/>
          <w:spacing w:val="-6"/>
          <w:sz w:val="18"/>
        </w:rPr>
        <w:t>експлоатација </w:t>
      </w:r>
      <w:r>
        <w:rPr>
          <w:color w:val="231F20"/>
          <w:spacing w:val="-4"/>
          <w:sz w:val="18"/>
        </w:rPr>
        <w:t>лигнита </w:t>
      </w:r>
      <w:r>
        <w:rPr>
          <w:color w:val="231F20"/>
          <w:spacing w:val="-5"/>
          <w:sz w:val="18"/>
        </w:rPr>
        <w:t>обавља </w:t>
      </w:r>
      <w:r>
        <w:rPr>
          <w:color w:val="231F20"/>
          <w:sz w:val="18"/>
        </w:rPr>
        <w:t>у </w:t>
      </w:r>
      <w:r>
        <w:rPr>
          <w:color w:val="231F20"/>
          <w:spacing w:val="-8"/>
          <w:sz w:val="18"/>
        </w:rPr>
        <w:t>костолачком </w:t>
      </w:r>
      <w:r>
        <w:rPr>
          <w:color w:val="231F20"/>
          <w:spacing w:val="-5"/>
          <w:sz w:val="18"/>
        </w:rPr>
        <w:t>угљеном </w:t>
      </w:r>
      <w:r>
        <w:rPr>
          <w:color w:val="231F20"/>
          <w:spacing w:val="-4"/>
          <w:sz w:val="18"/>
        </w:rPr>
        <w:t>басену</w:t>
      </w:r>
      <w:r>
        <w:rPr>
          <w:color w:val="231F20"/>
          <w:spacing w:val="-32"/>
          <w:sz w:val="18"/>
        </w:rPr>
        <w:t> </w:t>
      </w:r>
      <w:r>
        <w:rPr>
          <w:color w:val="231F20"/>
          <w:sz w:val="18"/>
        </w:rPr>
        <w:t>и</w:t>
      </w:r>
    </w:p>
    <w:p>
      <w:pPr>
        <w:pStyle w:val="ListParagraph"/>
        <w:numPr>
          <w:ilvl w:val="0"/>
          <w:numId w:val="6"/>
        </w:numPr>
        <w:tabs>
          <w:tab w:pos="846" w:val="left" w:leader="none"/>
        </w:tabs>
        <w:spacing w:line="220" w:lineRule="auto" w:before="2" w:after="0"/>
        <w:ind w:left="245" w:right="123" w:firstLine="397"/>
        <w:jc w:val="right"/>
        <w:rPr>
          <w:sz w:val="18"/>
        </w:rPr>
      </w:pPr>
      <w:r>
        <w:rPr>
          <w:color w:val="231F20"/>
          <w:spacing w:val="-3"/>
          <w:sz w:val="18"/>
        </w:rPr>
        <w:t>поглављу </w:t>
      </w:r>
      <w:r>
        <w:rPr>
          <w:color w:val="231F20"/>
          <w:spacing w:val="-5"/>
          <w:sz w:val="18"/>
        </w:rPr>
        <w:t>V.3.4.2 </w:t>
      </w:r>
      <w:r>
        <w:rPr>
          <w:color w:val="231F20"/>
          <w:sz w:val="18"/>
        </w:rPr>
        <w:t>„Биланси употребе земљишта”,</w:t>
      </w:r>
      <w:r>
        <w:rPr>
          <w:color w:val="231F20"/>
          <w:spacing w:val="22"/>
          <w:sz w:val="18"/>
        </w:rPr>
        <w:t> </w:t>
      </w:r>
      <w:r>
        <w:rPr>
          <w:color w:val="231F20"/>
          <w:spacing w:val="-3"/>
          <w:sz w:val="18"/>
        </w:rPr>
        <w:t>којим</w:t>
      </w:r>
      <w:r>
        <w:rPr>
          <w:color w:val="231F20"/>
          <w:spacing w:val="20"/>
          <w:sz w:val="18"/>
        </w:rPr>
        <w:t> </w:t>
      </w:r>
      <w:r>
        <w:rPr>
          <w:color w:val="231F20"/>
          <w:sz w:val="18"/>
        </w:rPr>
        <w:t>је процењено да је за потребе обимне експлоатације</w:t>
      </w:r>
      <w:r>
        <w:rPr>
          <w:color w:val="231F20"/>
          <w:spacing w:val="3"/>
          <w:sz w:val="18"/>
        </w:rPr>
        <w:t> </w:t>
      </w:r>
      <w:r>
        <w:rPr>
          <w:color w:val="231F20"/>
          <w:sz w:val="18"/>
        </w:rPr>
        <w:t>минералних си- ровина, грађевинског материјала, одлагалишта, јаловишта</w:t>
      </w:r>
      <w:r>
        <w:rPr>
          <w:color w:val="231F20"/>
          <w:spacing w:val="-2"/>
          <w:sz w:val="18"/>
        </w:rPr>
        <w:t> </w:t>
      </w:r>
      <w:r>
        <w:rPr>
          <w:color w:val="231F20"/>
          <w:sz w:val="18"/>
        </w:rPr>
        <w:t>и</w:t>
      </w:r>
      <w:r>
        <w:rPr>
          <w:color w:val="231F20"/>
          <w:spacing w:val="-1"/>
          <w:sz w:val="18"/>
        </w:rPr>
        <w:t> </w:t>
      </w:r>
      <w:r>
        <w:rPr>
          <w:color w:val="231F20"/>
          <w:sz w:val="18"/>
        </w:rPr>
        <w:t>депо- није</w:t>
      </w:r>
      <w:r>
        <w:rPr>
          <w:color w:val="231F20"/>
          <w:spacing w:val="20"/>
          <w:sz w:val="18"/>
        </w:rPr>
        <w:t> </w:t>
      </w:r>
      <w:r>
        <w:rPr>
          <w:color w:val="231F20"/>
          <w:sz w:val="18"/>
        </w:rPr>
        <w:t>потребно</w:t>
      </w:r>
      <w:r>
        <w:rPr>
          <w:color w:val="231F20"/>
          <w:spacing w:val="20"/>
          <w:sz w:val="18"/>
        </w:rPr>
        <w:t> </w:t>
      </w:r>
      <w:r>
        <w:rPr>
          <w:color w:val="231F20"/>
          <w:sz w:val="18"/>
        </w:rPr>
        <w:t>резервисати</w:t>
      </w:r>
      <w:r>
        <w:rPr>
          <w:color w:val="231F20"/>
          <w:spacing w:val="20"/>
          <w:sz w:val="18"/>
        </w:rPr>
        <w:t> </w:t>
      </w:r>
      <w:r>
        <w:rPr>
          <w:color w:val="231F20"/>
          <w:sz w:val="18"/>
        </w:rPr>
        <w:t>просторе</w:t>
      </w:r>
      <w:r>
        <w:rPr>
          <w:color w:val="231F20"/>
          <w:spacing w:val="20"/>
          <w:sz w:val="18"/>
        </w:rPr>
        <w:t> </w:t>
      </w:r>
      <w:r>
        <w:rPr>
          <w:color w:val="231F20"/>
          <w:sz w:val="18"/>
        </w:rPr>
        <w:t>укупне</w:t>
      </w:r>
      <w:r>
        <w:rPr>
          <w:color w:val="231F20"/>
          <w:spacing w:val="20"/>
          <w:sz w:val="18"/>
        </w:rPr>
        <w:t> </w:t>
      </w:r>
      <w:r>
        <w:rPr>
          <w:color w:val="231F20"/>
          <w:sz w:val="18"/>
        </w:rPr>
        <w:t>површине</w:t>
      </w:r>
      <w:r>
        <w:rPr>
          <w:color w:val="231F20"/>
          <w:spacing w:val="20"/>
          <w:sz w:val="18"/>
        </w:rPr>
        <w:t> </w:t>
      </w:r>
      <w:r>
        <w:rPr>
          <w:color w:val="231F20"/>
          <w:spacing w:val="-4"/>
          <w:sz w:val="18"/>
        </w:rPr>
        <w:t>око</w:t>
      </w:r>
      <w:r>
        <w:rPr>
          <w:color w:val="231F20"/>
          <w:spacing w:val="20"/>
          <w:sz w:val="18"/>
        </w:rPr>
        <w:t> </w:t>
      </w:r>
      <w:r>
        <w:rPr>
          <w:color w:val="231F20"/>
          <w:sz w:val="18"/>
        </w:rPr>
        <w:t>1.000 km²,</w:t>
      </w:r>
      <w:r>
        <w:rPr>
          <w:color w:val="231F20"/>
          <w:spacing w:val="-9"/>
          <w:sz w:val="18"/>
        </w:rPr>
        <w:t> </w:t>
      </w:r>
      <w:r>
        <w:rPr>
          <w:color w:val="231F20"/>
          <w:spacing w:val="-4"/>
          <w:sz w:val="18"/>
        </w:rPr>
        <w:t>који</w:t>
      </w:r>
      <w:r>
        <w:rPr>
          <w:color w:val="231F20"/>
          <w:spacing w:val="-9"/>
          <w:sz w:val="18"/>
        </w:rPr>
        <w:t> </w:t>
      </w:r>
      <w:r>
        <w:rPr>
          <w:color w:val="231F20"/>
          <w:sz w:val="18"/>
        </w:rPr>
        <w:t>ће</w:t>
      </w:r>
      <w:r>
        <w:rPr>
          <w:color w:val="231F20"/>
          <w:spacing w:val="-9"/>
          <w:sz w:val="18"/>
        </w:rPr>
        <w:t> </w:t>
      </w:r>
      <w:r>
        <w:rPr>
          <w:color w:val="231F20"/>
          <w:sz w:val="18"/>
        </w:rPr>
        <w:t>се</w:t>
      </w:r>
      <w:r>
        <w:rPr>
          <w:color w:val="231F20"/>
          <w:spacing w:val="-9"/>
          <w:sz w:val="18"/>
        </w:rPr>
        <w:t> </w:t>
      </w:r>
      <w:r>
        <w:rPr>
          <w:color w:val="231F20"/>
          <w:sz w:val="18"/>
        </w:rPr>
        <w:t>по</w:t>
      </w:r>
      <w:r>
        <w:rPr>
          <w:color w:val="231F20"/>
          <w:spacing w:val="-9"/>
          <w:sz w:val="18"/>
        </w:rPr>
        <w:t> </w:t>
      </w:r>
      <w:r>
        <w:rPr>
          <w:color w:val="231F20"/>
          <w:sz w:val="18"/>
        </w:rPr>
        <w:t>завршетку</w:t>
      </w:r>
      <w:r>
        <w:rPr>
          <w:color w:val="231F20"/>
          <w:spacing w:val="-9"/>
          <w:sz w:val="18"/>
        </w:rPr>
        <w:t> </w:t>
      </w:r>
      <w:r>
        <w:rPr>
          <w:color w:val="231F20"/>
          <w:sz w:val="18"/>
        </w:rPr>
        <w:t>експлоатације</w:t>
      </w:r>
      <w:r>
        <w:rPr>
          <w:color w:val="231F20"/>
          <w:spacing w:val="-9"/>
          <w:sz w:val="18"/>
        </w:rPr>
        <w:t> </w:t>
      </w:r>
      <w:r>
        <w:rPr>
          <w:color w:val="231F20"/>
          <w:sz w:val="18"/>
        </w:rPr>
        <w:t>плански</w:t>
      </w:r>
      <w:r>
        <w:rPr>
          <w:color w:val="231F20"/>
          <w:spacing w:val="-9"/>
          <w:sz w:val="18"/>
        </w:rPr>
        <w:t> </w:t>
      </w:r>
      <w:r>
        <w:rPr>
          <w:color w:val="231F20"/>
          <w:spacing w:val="-3"/>
          <w:sz w:val="18"/>
        </w:rPr>
        <w:t>рекултивисати.</w:t>
      </w:r>
      <w:r>
        <w:rPr>
          <w:color w:val="231F20"/>
          <w:sz w:val="18"/>
        </w:rPr>
        <w:t> Истовремено, стратешки оквир експлоатације лигнита</w:t>
      </w:r>
      <w:r>
        <w:rPr>
          <w:color w:val="231F20"/>
          <w:spacing w:val="41"/>
          <w:sz w:val="18"/>
        </w:rPr>
        <w:t> </w:t>
      </w:r>
      <w:r>
        <w:rPr>
          <w:color w:val="231F20"/>
          <w:sz w:val="18"/>
        </w:rPr>
        <w:t>садр-</w:t>
      </w:r>
    </w:p>
    <w:p>
      <w:pPr>
        <w:pStyle w:val="BodyText"/>
        <w:spacing w:line="189" w:lineRule="exact"/>
        <w:ind w:left="245"/>
        <w:jc w:val="left"/>
      </w:pPr>
      <w:r>
        <w:rPr>
          <w:color w:val="231F20"/>
        </w:rPr>
        <w:t>жан је у Стратегији развоја енергетике до 2015. године.</w:t>
      </w:r>
    </w:p>
    <w:p>
      <w:pPr>
        <w:pStyle w:val="BodyText"/>
        <w:spacing w:line="220" w:lineRule="auto" w:before="6"/>
        <w:ind w:left="245" w:right="123" w:firstLine="396"/>
      </w:pPr>
      <w:r>
        <w:rPr>
          <w:color w:val="231F20"/>
        </w:rPr>
        <w:t>Израда Просторног плана усклађује се са израдом Регио- налног просторног плана Подунавског и Браничевског управног округа, Просторног плана подручја посебне намене коридора VII</w:t>
      </w:r>
    </w:p>
    <w:p>
      <w:pPr>
        <w:pStyle w:val="BodyText"/>
        <w:spacing w:line="220" w:lineRule="auto" w:before="1"/>
        <w:ind w:left="246" w:right="122" w:hanging="1"/>
      </w:pPr>
      <w:r>
        <w:rPr>
          <w:color w:val="231F20"/>
          <w:w w:val="66"/>
        </w:rPr>
        <w:t> </w:t>
      </w:r>
      <w:r>
        <w:rPr>
          <w:color w:val="231F20"/>
        </w:rPr>
        <w:t>– Дунава, Просторног плана града Пожаревца, Просторног пла- на општине Велико Градиште, Генералног урбанистичког плана града Пожаревца, Плана генералне регулације Костолца и других планских</w:t>
      </w:r>
      <w:r>
        <w:rPr>
          <w:color w:val="231F20"/>
          <w:spacing w:val="-1"/>
        </w:rPr>
        <w:t> </w:t>
      </w:r>
      <w:r>
        <w:rPr>
          <w:color w:val="231F20"/>
        </w:rPr>
        <w:t>докумената.</w:t>
      </w:r>
    </w:p>
    <w:p>
      <w:pPr>
        <w:pStyle w:val="Heading1"/>
        <w:numPr>
          <w:ilvl w:val="1"/>
          <w:numId w:val="6"/>
        </w:numPr>
        <w:tabs>
          <w:tab w:pos="1378" w:val="left" w:leader="none"/>
        </w:tabs>
        <w:spacing w:line="240" w:lineRule="auto" w:before="107" w:after="0"/>
        <w:ind w:left="1377" w:right="0" w:hanging="180"/>
        <w:jc w:val="left"/>
      </w:pPr>
      <w:r>
        <w:rPr>
          <w:color w:val="231F20"/>
        </w:rPr>
        <w:t>Предмет и обухват просторног</w:t>
      </w:r>
      <w:r>
        <w:rPr>
          <w:color w:val="231F20"/>
          <w:spacing w:val="-8"/>
        </w:rPr>
        <w:t> </w:t>
      </w:r>
      <w:r>
        <w:rPr>
          <w:color w:val="231F20"/>
        </w:rPr>
        <w:t>плана</w:t>
      </w:r>
    </w:p>
    <w:p>
      <w:pPr>
        <w:pStyle w:val="ListParagraph"/>
        <w:numPr>
          <w:ilvl w:val="2"/>
          <w:numId w:val="6"/>
        </w:numPr>
        <w:tabs>
          <w:tab w:pos="1882" w:val="left" w:leader="none"/>
        </w:tabs>
        <w:spacing w:line="240" w:lineRule="auto" w:before="101" w:after="0"/>
        <w:ind w:left="1881" w:right="0" w:hanging="315"/>
        <w:jc w:val="left"/>
        <w:rPr>
          <w:i/>
          <w:sz w:val="18"/>
        </w:rPr>
      </w:pPr>
      <w:r>
        <w:rPr>
          <w:i/>
          <w:color w:val="231F20"/>
          <w:sz w:val="18"/>
        </w:rPr>
        <w:t>Предмет просторног</w:t>
      </w:r>
      <w:r>
        <w:rPr>
          <w:i/>
          <w:color w:val="231F20"/>
          <w:spacing w:val="-3"/>
          <w:sz w:val="18"/>
        </w:rPr>
        <w:t> </w:t>
      </w:r>
      <w:r>
        <w:rPr>
          <w:i/>
          <w:color w:val="231F20"/>
          <w:sz w:val="18"/>
        </w:rPr>
        <w:t>плана</w:t>
      </w:r>
    </w:p>
    <w:p>
      <w:pPr>
        <w:pStyle w:val="BodyText"/>
        <w:spacing w:line="225" w:lineRule="auto" w:before="55"/>
        <w:ind w:left="246" w:right="122" w:firstLine="397"/>
      </w:pPr>
      <w:r>
        <w:rPr>
          <w:color w:val="231F20"/>
        </w:rPr>
        <w:t>Развој обимне површинске експлоатације и погона за </w:t>
      </w:r>
      <w:r>
        <w:rPr>
          <w:color w:val="231F20"/>
          <w:spacing w:val="-5"/>
        </w:rPr>
        <w:t>ко- </w:t>
      </w:r>
      <w:r>
        <w:rPr>
          <w:color w:val="231F20"/>
        </w:rPr>
        <w:t>ришћење лигнита, експлоатација нафте и гаса, као и динамичне промене у простору и велики обим деградације природне и ство- рене средине даjу укупном </w:t>
      </w:r>
      <w:r>
        <w:rPr>
          <w:color w:val="231F20"/>
          <w:spacing w:val="-4"/>
        </w:rPr>
        <w:t>развоју, </w:t>
      </w:r>
      <w:r>
        <w:rPr>
          <w:color w:val="231F20"/>
        </w:rPr>
        <w:t>као и уређивању и обнављању простора у </w:t>
      </w:r>
      <w:r>
        <w:rPr>
          <w:color w:val="231F20"/>
          <w:spacing w:val="-4"/>
        </w:rPr>
        <w:t>Костолачком </w:t>
      </w:r>
      <w:r>
        <w:rPr>
          <w:color w:val="231F20"/>
        </w:rPr>
        <w:t>угљеном басену специфична обележја. </w:t>
      </w:r>
      <w:r>
        <w:rPr>
          <w:color w:val="231F20"/>
          <w:spacing w:val="-6"/>
        </w:rPr>
        <w:t>Услед </w:t>
      </w:r>
      <w:r>
        <w:rPr>
          <w:color w:val="231F20"/>
        </w:rPr>
        <w:t>тога, делатност планирања и усмеравања развоја, уређења и</w:t>
      </w:r>
    </w:p>
    <w:p>
      <w:pPr>
        <w:spacing w:after="0" w:line="225" w:lineRule="auto"/>
        <w:sectPr>
          <w:pgSz w:w="12480" w:h="15690"/>
          <w:pgMar w:top="120" w:bottom="280" w:left="680" w:right="720"/>
          <w:cols w:num="2" w:equalWidth="0">
            <w:col w:w="5559" w:space="40"/>
            <w:col w:w="5481"/>
          </w:cols>
        </w:sectPr>
      </w:pPr>
    </w:p>
    <w:p>
      <w:pPr>
        <w:pStyle w:val="BodyText"/>
        <w:spacing w:line="232" w:lineRule="auto" w:before="73"/>
        <w:ind w:right="40" w:hanging="1"/>
        <w:jc w:val="right"/>
      </w:pPr>
      <w:r>
        <w:rPr/>
        <w:pict>
          <v:line style="position:absolute;mso-position-horizontal-relative:page;mso-position-vertical-relative:page;z-index:1096" from="304.724396pt,11.94295pt" to="304.724396pt,748.95095pt" stroked="true" strokeweight=".6pt" strokecolor="#231f20">
            <v:stroke dashstyle="solid"/>
            <w10:wrap type="none"/>
          </v:line>
        </w:pict>
      </w:r>
      <w:r>
        <w:rPr>
          <w:color w:val="231F20"/>
        </w:rPr>
        <w:t>обнављања простора у </w:t>
      </w:r>
      <w:r>
        <w:rPr>
          <w:color w:val="231F20"/>
          <w:spacing w:val="-3"/>
        </w:rPr>
        <w:t>овом </w:t>
      </w:r>
      <w:r>
        <w:rPr>
          <w:color w:val="231F20"/>
        </w:rPr>
        <w:t>угљеном басену има</w:t>
      </w:r>
      <w:r>
        <w:rPr>
          <w:color w:val="231F20"/>
          <w:spacing w:val="-15"/>
        </w:rPr>
        <w:t> </w:t>
      </w:r>
      <w:r>
        <w:rPr>
          <w:color w:val="231F20"/>
        </w:rPr>
        <w:t>специфична</w:t>
      </w:r>
      <w:r>
        <w:rPr>
          <w:color w:val="231F20"/>
          <w:spacing w:val="-3"/>
        </w:rPr>
        <w:t> </w:t>
      </w:r>
      <w:r>
        <w:rPr>
          <w:color w:val="231F20"/>
        </w:rPr>
        <w:t>обе- лежја,</w:t>
      </w:r>
      <w:r>
        <w:rPr>
          <w:color w:val="231F20"/>
          <w:spacing w:val="-12"/>
        </w:rPr>
        <w:t> </w:t>
      </w:r>
      <w:r>
        <w:rPr>
          <w:color w:val="231F20"/>
          <w:spacing w:val="-4"/>
        </w:rPr>
        <w:t>која</w:t>
      </w:r>
      <w:r>
        <w:rPr>
          <w:color w:val="231F20"/>
          <w:spacing w:val="-12"/>
        </w:rPr>
        <w:t> </w:t>
      </w:r>
      <w:r>
        <w:rPr>
          <w:color w:val="231F20"/>
        </w:rPr>
        <w:t>захтевају</w:t>
      </w:r>
      <w:r>
        <w:rPr>
          <w:color w:val="231F20"/>
          <w:spacing w:val="-12"/>
        </w:rPr>
        <w:t> </w:t>
      </w:r>
      <w:r>
        <w:rPr>
          <w:color w:val="231F20"/>
          <w:spacing w:val="-3"/>
        </w:rPr>
        <w:t>одговарајућа</w:t>
      </w:r>
      <w:r>
        <w:rPr>
          <w:color w:val="231F20"/>
          <w:spacing w:val="-12"/>
        </w:rPr>
        <w:t> </w:t>
      </w:r>
      <w:r>
        <w:rPr>
          <w:color w:val="231F20"/>
        </w:rPr>
        <w:t>прилагођавања</w:t>
      </w:r>
      <w:r>
        <w:rPr>
          <w:color w:val="231F20"/>
          <w:spacing w:val="-12"/>
        </w:rPr>
        <w:t> </w:t>
      </w:r>
      <w:r>
        <w:rPr>
          <w:color w:val="231F20"/>
        </w:rPr>
        <w:t>у</w:t>
      </w:r>
      <w:r>
        <w:rPr>
          <w:color w:val="231F20"/>
          <w:spacing w:val="-12"/>
        </w:rPr>
        <w:t> </w:t>
      </w:r>
      <w:r>
        <w:rPr>
          <w:color w:val="231F20"/>
        </w:rPr>
        <w:t>институционал- ној организацији и нормативно-правној </w:t>
      </w:r>
      <w:r>
        <w:rPr>
          <w:color w:val="231F20"/>
          <w:spacing w:val="-3"/>
        </w:rPr>
        <w:t>регулативи, </w:t>
      </w:r>
      <w:r>
        <w:rPr>
          <w:color w:val="231F20"/>
        </w:rPr>
        <w:t>затим</w:t>
      </w:r>
      <w:r>
        <w:rPr>
          <w:color w:val="231F20"/>
          <w:spacing w:val="17"/>
        </w:rPr>
        <w:t> </w:t>
      </w:r>
      <w:r>
        <w:rPr>
          <w:color w:val="231F20"/>
        </w:rPr>
        <w:t>у</w:t>
      </w:r>
      <w:r>
        <w:rPr>
          <w:color w:val="231F20"/>
          <w:spacing w:val="16"/>
        </w:rPr>
        <w:t> </w:t>
      </w:r>
      <w:r>
        <w:rPr>
          <w:color w:val="231F20"/>
        </w:rPr>
        <w:t>при- </w:t>
      </w:r>
      <w:r>
        <w:rPr>
          <w:color w:val="231F20"/>
          <w:spacing w:val="-5"/>
        </w:rPr>
        <w:t>ступу, методу, </w:t>
      </w:r>
      <w:r>
        <w:rPr>
          <w:color w:val="231F20"/>
          <w:spacing w:val="-3"/>
        </w:rPr>
        <w:t>садржају, </w:t>
      </w:r>
      <w:r>
        <w:rPr>
          <w:color w:val="231F20"/>
        </w:rPr>
        <w:t>динамици и другим</w:t>
      </w:r>
      <w:r>
        <w:rPr>
          <w:color w:val="231F20"/>
          <w:spacing w:val="-23"/>
        </w:rPr>
        <w:t> </w:t>
      </w:r>
      <w:r>
        <w:rPr>
          <w:color w:val="231F20"/>
        </w:rPr>
        <w:t>аспектима</w:t>
      </w:r>
      <w:r>
        <w:rPr>
          <w:color w:val="231F20"/>
          <w:spacing w:val="-6"/>
        </w:rPr>
        <w:t> </w:t>
      </w:r>
      <w:r>
        <w:rPr>
          <w:color w:val="231F20"/>
        </w:rPr>
        <w:t>планирања. Заузимање великих површина земљишта,</w:t>
      </w:r>
      <w:r>
        <w:rPr>
          <w:color w:val="231F20"/>
          <w:spacing w:val="-10"/>
        </w:rPr>
        <w:t> </w:t>
      </w:r>
      <w:r>
        <w:rPr>
          <w:color w:val="231F20"/>
        </w:rPr>
        <w:t>деградација</w:t>
      </w:r>
      <w:r>
        <w:rPr>
          <w:color w:val="231F20"/>
          <w:spacing w:val="-3"/>
        </w:rPr>
        <w:t> </w:t>
      </w:r>
      <w:r>
        <w:rPr>
          <w:color w:val="231F20"/>
        </w:rPr>
        <w:t>екоси- стема</w:t>
      </w:r>
      <w:r>
        <w:rPr>
          <w:color w:val="231F20"/>
          <w:spacing w:val="11"/>
        </w:rPr>
        <w:t> </w:t>
      </w:r>
      <w:r>
        <w:rPr>
          <w:color w:val="231F20"/>
        </w:rPr>
        <w:t>и</w:t>
      </w:r>
      <w:r>
        <w:rPr>
          <w:color w:val="231F20"/>
          <w:spacing w:val="11"/>
        </w:rPr>
        <w:t> </w:t>
      </w:r>
      <w:r>
        <w:rPr>
          <w:color w:val="231F20"/>
        </w:rPr>
        <w:t>пресељење</w:t>
      </w:r>
      <w:r>
        <w:rPr>
          <w:color w:val="231F20"/>
          <w:spacing w:val="11"/>
        </w:rPr>
        <w:t> </w:t>
      </w:r>
      <w:r>
        <w:rPr>
          <w:color w:val="231F20"/>
        </w:rPr>
        <w:t>становништва,</w:t>
      </w:r>
      <w:r>
        <w:rPr>
          <w:color w:val="231F20"/>
          <w:spacing w:val="11"/>
        </w:rPr>
        <w:t> </w:t>
      </w:r>
      <w:r>
        <w:rPr>
          <w:color w:val="231F20"/>
        </w:rPr>
        <w:t>односно</w:t>
      </w:r>
      <w:r>
        <w:rPr>
          <w:color w:val="231F20"/>
          <w:spacing w:val="11"/>
        </w:rPr>
        <w:t> </w:t>
      </w:r>
      <w:r>
        <w:rPr>
          <w:color w:val="231F20"/>
        </w:rPr>
        <w:t>промене</w:t>
      </w:r>
      <w:r>
        <w:rPr>
          <w:color w:val="231F20"/>
          <w:spacing w:val="11"/>
        </w:rPr>
        <w:t> </w:t>
      </w:r>
      <w:r>
        <w:rPr>
          <w:color w:val="231F20"/>
        </w:rPr>
        <w:t>у</w:t>
      </w:r>
      <w:r>
        <w:rPr>
          <w:color w:val="231F20"/>
          <w:spacing w:val="11"/>
        </w:rPr>
        <w:t> </w:t>
      </w:r>
      <w:r>
        <w:rPr>
          <w:color w:val="231F20"/>
        </w:rPr>
        <w:t>мрежи</w:t>
      </w:r>
      <w:r>
        <w:rPr>
          <w:color w:val="231F20"/>
          <w:spacing w:val="11"/>
        </w:rPr>
        <w:t> </w:t>
      </w:r>
      <w:r>
        <w:rPr>
          <w:color w:val="231F20"/>
        </w:rPr>
        <w:t>на- сеља су међу најзначајнијим аспектима структурних</w:t>
      </w:r>
      <w:r>
        <w:rPr>
          <w:color w:val="231F20"/>
          <w:spacing w:val="-7"/>
        </w:rPr>
        <w:t> </w:t>
      </w:r>
      <w:r>
        <w:rPr>
          <w:color w:val="231F20"/>
        </w:rPr>
        <w:t>промена</w:t>
      </w:r>
      <w:r>
        <w:rPr>
          <w:color w:val="231F20"/>
          <w:spacing w:val="-1"/>
        </w:rPr>
        <w:t> </w:t>
      </w:r>
      <w:r>
        <w:rPr>
          <w:color w:val="231F20"/>
        </w:rPr>
        <w:t>иза- званих експлоатацијом лежишта. Овоме треба </w:t>
      </w:r>
      <w:r>
        <w:rPr>
          <w:color w:val="231F20"/>
          <w:spacing w:val="-2"/>
        </w:rPr>
        <w:t>додати</w:t>
      </w:r>
      <w:r>
        <w:rPr>
          <w:color w:val="231F20"/>
          <w:spacing w:val="-17"/>
        </w:rPr>
        <w:t> </w:t>
      </w:r>
      <w:r>
        <w:rPr>
          <w:color w:val="231F20"/>
        </w:rPr>
        <w:t>и</w:t>
      </w:r>
      <w:r>
        <w:rPr>
          <w:color w:val="231F20"/>
          <w:spacing w:val="-3"/>
        </w:rPr>
        <w:t> </w:t>
      </w:r>
      <w:r>
        <w:rPr>
          <w:color w:val="231F20"/>
        </w:rPr>
        <w:t>релативно</w:t>
      </w:r>
      <w:r>
        <w:rPr>
          <w:color w:val="231F20"/>
          <w:spacing w:val="-1"/>
        </w:rPr>
        <w:t> </w:t>
      </w:r>
      <w:r>
        <w:rPr>
          <w:color w:val="231F20"/>
        </w:rPr>
        <w:t>висок</w:t>
      </w:r>
      <w:r>
        <w:rPr>
          <w:color w:val="231F20"/>
          <w:spacing w:val="6"/>
        </w:rPr>
        <w:t> </w:t>
      </w:r>
      <w:r>
        <w:rPr>
          <w:color w:val="231F20"/>
        </w:rPr>
        <w:t>степен</w:t>
      </w:r>
      <w:r>
        <w:rPr>
          <w:color w:val="231F20"/>
          <w:spacing w:val="6"/>
        </w:rPr>
        <w:t> </w:t>
      </w:r>
      <w:r>
        <w:rPr>
          <w:color w:val="231F20"/>
        </w:rPr>
        <w:t>загађења</w:t>
      </w:r>
      <w:r>
        <w:rPr>
          <w:color w:val="231F20"/>
          <w:spacing w:val="6"/>
        </w:rPr>
        <w:t> </w:t>
      </w:r>
      <w:r>
        <w:rPr>
          <w:color w:val="231F20"/>
        </w:rPr>
        <w:t>средине</w:t>
      </w:r>
      <w:r>
        <w:rPr>
          <w:color w:val="231F20"/>
          <w:spacing w:val="6"/>
        </w:rPr>
        <w:t> </w:t>
      </w:r>
      <w:r>
        <w:rPr>
          <w:color w:val="231F20"/>
        </w:rPr>
        <w:t>(ваздуха,</w:t>
      </w:r>
      <w:r>
        <w:rPr>
          <w:color w:val="231F20"/>
          <w:spacing w:val="6"/>
        </w:rPr>
        <w:t> </w:t>
      </w:r>
      <w:r>
        <w:rPr>
          <w:color w:val="231F20"/>
        </w:rPr>
        <w:t>воде,</w:t>
      </w:r>
      <w:r>
        <w:rPr>
          <w:color w:val="231F20"/>
          <w:spacing w:val="6"/>
        </w:rPr>
        <w:t> </w:t>
      </w:r>
      <w:r>
        <w:rPr>
          <w:color w:val="231F20"/>
        </w:rPr>
        <w:t>тла</w:t>
      </w:r>
      <w:r>
        <w:rPr>
          <w:color w:val="231F20"/>
          <w:spacing w:val="6"/>
        </w:rPr>
        <w:t> </w:t>
      </w:r>
      <w:r>
        <w:rPr>
          <w:color w:val="231F20"/>
        </w:rPr>
        <w:t>и</w:t>
      </w:r>
      <w:r>
        <w:rPr>
          <w:color w:val="231F20"/>
          <w:spacing w:val="6"/>
        </w:rPr>
        <w:t> </w:t>
      </w:r>
      <w:r>
        <w:rPr>
          <w:color w:val="231F20"/>
        </w:rPr>
        <w:t>живог</w:t>
      </w:r>
      <w:r>
        <w:rPr>
          <w:color w:val="231F20"/>
          <w:spacing w:val="6"/>
        </w:rPr>
        <w:t> </w:t>
      </w:r>
      <w:r>
        <w:rPr>
          <w:color w:val="231F20"/>
        </w:rPr>
        <w:t>света)</w:t>
      </w:r>
    </w:p>
    <w:p>
      <w:pPr>
        <w:pStyle w:val="BodyText"/>
        <w:spacing w:line="199" w:lineRule="exact"/>
        <w:ind w:left="171"/>
        <w:jc w:val="left"/>
      </w:pPr>
      <w:r>
        <w:rPr>
          <w:color w:val="231F20"/>
        </w:rPr>
        <w:t>од штетних емисија из енергетског комплекса.</w:t>
      </w:r>
    </w:p>
    <w:p>
      <w:pPr>
        <w:pStyle w:val="BodyText"/>
        <w:spacing w:line="235" w:lineRule="auto" w:before="1"/>
        <w:ind w:left="171" w:right="39" w:firstLine="396"/>
        <w:jc w:val="right"/>
      </w:pPr>
      <w:r>
        <w:rPr>
          <w:color w:val="231F20"/>
          <w:spacing w:val="-3"/>
        </w:rPr>
        <w:t>Костолачки </w:t>
      </w:r>
      <w:r>
        <w:rPr>
          <w:color w:val="231F20"/>
        </w:rPr>
        <w:t>угљени басен налази се у северном</w:t>
      </w:r>
      <w:r>
        <w:rPr>
          <w:color w:val="231F20"/>
          <w:spacing w:val="13"/>
        </w:rPr>
        <w:t> </w:t>
      </w:r>
      <w:r>
        <w:rPr>
          <w:color w:val="231F20"/>
        </w:rPr>
        <w:t>делу</w:t>
      </w:r>
      <w:r>
        <w:rPr>
          <w:color w:val="231F20"/>
          <w:spacing w:val="7"/>
        </w:rPr>
        <w:t> </w:t>
      </w:r>
      <w:r>
        <w:rPr>
          <w:color w:val="231F20"/>
        </w:rPr>
        <w:t>терито- рије</w:t>
      </w:r>
      <w:r>
        <w:rPr>
          <w:color w:val="231F20"/>
          <w:spacing w:val="-8"/>
        </w:rPr>
        <w:t> </w:t>
      </w:r>
      <w:r>
        <w:rPr>
          <w:color w:val="231F20"/>
        </w:rPr>
        <w:t>града</w:t>
      </w:r>
      <w:r>
        <w:rPr>
          <w:color w:val="231F20"/>
          <w:spacing w:val="-8"/>
        </w:rPr>
        <w:t> </w:t>
      </w:r>
      <w:r>
        <w:rPr>
          <w:color w:val="231F20"/>
        </w:rPr>
        <w:t>Пожаревца.</w:t>
      </w:r>
      <w:r>
        <w:rPr>
          <w:color w:val="231F20"/>
          <w:spacing w:val="-8"/>
        </w:rPr>
        <w:t> </w:t>
      </w:r>
      <w:r>
        <w:rPr>
          <w:color w:val="231F20"/>
        </w:rPr>
        <w:t>Остала</w:t>
      </w:r>
      <w:r>
        <w:rPr>
          <w:color w:val="231F20"/>
          <w:spacing w:val="-8"/>
        </w:rPr>
        <w:t> </w:t>
      </w:r>
      <w:r>
        <w:rPr>
          <w:color w:val="231F20"/>
        </w:rPr>
        <w:t>потенцијална</w:t>
      </w:r>
      <w:r>
        <w:rPr>
          <w:color w:val="231F20"/>
          <w:spacing w:val="-8"/>
        </w:rPr>
        <w:t> </w:t>
      </w:r>
      <w:r>
        <w:rPr>
          <w:color w:val="231F20"/>
        </w:rPr>
        <w:t>енергетска</w:t>
      </w:r>
      <w:r>
        <w:rPr>
          <w:color w:val="231F20"/>
          <w:spacing w:val="-8"/>
        </w:rPr>
        <w:t> </w:t>
      </w:r>
      <w:r>
        <w:rPr>
          <w:color w:val="231F20"/>
        </w:rPr>
        <w:t>лежишта</w:t>
      </w:r>
      <w:r>
        <w:rPr>
          <w:color w:val="231F20"/>
          <w:spacing w:val="15"/>
        </w:rPr>
        <w:t> </w:t>
      </w:r>
      <w:r>
        <w:rPr>
          <w:color w:val="231F20"/>
        </w:rPr>
        <w:t>–</w:t>
      </w:r>
      <w:r>
        <w:rPr>
          <w:color w:val="231F20"/>
          <w:w w:val="66"/>
        </w:rPr>
        <w:t> </w:t>
      </w:r>
      <w:r>
        <w:rPr>
          <w:color w:val="231F20"/>
        </w:rPr>
        <w:t>зоне истраживања нафте и гаса, налазе се у западном</w:t>
      </w:r>
      <w:r>
        <w:rPr>
          <w:color w:val="231F20"/>
          <w:spacing w:val="2"/>
        </w:rPr>
        <w:t> </w:t>
      </w:r>
      <w:r>
        <w:rPr>
          <w:color w:val="231F20"/>
        </w:rPr>
        <w:t>делу општи- не</w:t>
      </w:r>
      <w:r>
        <w:rPr>
          <w:color w:val="231F20"/>
          <w:spacing w:val="-7"/>
        </w:rPr>
        <w:t> </w:t>
      </w:r>
      <w:r>
        <w:rPr>
          <w:color w:val="231F20"/>
          <w:spacing w:val="-3"/>
        </w:rPr>
        <w:t>Велико</w:t>
      </w:r>
      <w:r>
        <w:rPr>
          <w:color w:val="231F20"/>
          <w:spacing w:val="-7"/>
        </w:rPr>
        <w:t> </w:t>
      </w:r>
      <w:r>
        <w:rPr>
          <w:color w:val="231F20"/>
          <w:spacing w:val="-3"/>
        </w:rPr>
        <w:t>Градиште</w:t>
      </w:r>
      <w:r>
        <w:rPr>
          <w:color w:val="231F20"/>
          <w:spacing w:val="-7"/>
        </w:rPr>
        <w:t> </w:t>
      </w:r>
      <w:r>
        <w:rPr>
          <w:color w:val="231F20"/>
        </w:rPr>
        <w:t>и</w:t>
      </w:r>
      <w:r>
        <w:rPr>
          <w:color w:val="231F20"/>
          <w:spacing w:val="-7"/>
        </w:rPr>
        <w:t> </w:t>
      </w:r>
      <w:r>
        <w:rPr>
          <w:color w:val="231F20"/>
        </w:rPr>
        <w:t>северном</w:t>
      </w:r>
      <w:r>
        <w:rPr>
          <w:color w:val="231F20"/>
          <w:spacing w:val="-7"/>
        </w:rPr>
        <w:t> </w:t>
      </w:r>
      <w:r>
        <w:rPr>
          <w:color w:val="231F20"/>
        </w:rPr>
        <w:t>и</w:t>
      </w:r>
      <w:r>
        <w:rPr>
          <w:color w:val="231F20"/>
          <w:spacing w:val="-7"/>
        </w:rPr>
        <w:t> </w:t>
      </w:r>
      <w:r>
        <w:rPr>
          <w:color w:val="231F20"/>
          <w:spacing w:val="-3"/>
        </w:rPr>
        <w:t>источном</w:t>
      </w:r>
      <w:r>
        <w:rPr>
          <w:color w:val="231F20"/>
          <w:spacing w:val="-7"/>
        </w:rPr>
        <w:t> </w:t>
      </w:r>
      <w:r>
        <w:rPr>
          <w:color w:val="231F20"/>
        </w:rPr>
        <w:t>делу</w:t>
      </w:r>
      <w:r>
        <w:rPr>
          <w:color w:val="231F20"/>
          <w:spacing w:val="-7"/>
        </w:rPr>
        <w:t> </w:t>
      </w:r>
      <w:r>
        <w:rPr>
          <w:color w:val="231F20"/>
        </w:rPr>
        <w:t>града</w:t>
      </w:r>
      <w:r>
        <w:rPr>
          <w:color w:val="231F20"/>
          <w:spacing w:val="-7"/>
        </w:rPr>
        <w:t> </w:t>
      </w:r>
      <w:r>
        <w:rPr>
          <w:color w:val="231F20"/>
        </w:rPr>
        <w:t>Пожаревца. </w:t>
      </w:r>
      <w:r>
        <w:rPr>
          <w:color w:val="231F20"/>
          <w:spacing w:val="-4"/>
        </w:rPr>
        <w:t>Билансне резерве </w:t>
      </w:r>
      <w:r>
        <w:rPr>
          <w:color w:val="231F20"/>
          <w:spacing w:val="-3"/>
        </w:rPr>
        <w:t>угља </w:t>
      </w:r>
      <w:r>
        <w:rPr>
          <w:color w:val="231F20"/>
        </w:rPr>
        <w:t>у </w:t>
      </w:r>
      <w:r>
        <w:rPr>
          <w:color w:val="231F20"/>
          <w:spacing w:val="-7"/>
        </w:rPr>
        <w:t>Костолачком </w:t>
      </w:r>
      <w:r>
        <w:rPr>
          <w:color w:val="231F20"/>
          <w:spacing w:val="-3"/>
        </w:rPr>
        <w:t>басену износе</w:t>
      </w:r>
      <w:r>
        <w:rPr>
          <w:color w:val="231F20"/>
          <w:spacing w:val="-10"/>
        </w:rPr>
        <w:t> </w:t>
      </w:r>
      <w:r>
        <w:rPr>
          <w:color w:val="231F20"/>
          <w:spacing w:val="-6"/>
        </w:rPr>
        <w:t>око</w:t>
      </w:r>
      <w:r>
        <w:rPr>
          <w:color w:val="231F20"/>
          <w:spacing w:val="23"/>
        </w:rPr>
        <w:t> </w:t>
      </w:r>
      <w:r>
        <w:rPr>
          <w:color w:val="231F20"/>
          <w:spacing w:val="-3"/>
        </w:rPr>
        <w:t>570</w:t>
      </w:r>
      <w:r>
        <w:rPr>
          <w:color w:val="231F20"/>
        </w:rPr>
        <w:t> </w:t>
      </w:r>
      <w:r>
        <w:rPr>
          <w:color w:val="231F20"/>
          <w:spacing w:val="-4"/>
        </w:rPr>
        <w:t>милиона </w:t>
      </w:r>
      <w:r>
        <w:rPr>
          <w:color w:val="231F20"/>
        </w:rPr>
        <w:t>t. </w:t>
      </w:r>
      <w:r>
        <w:rPr>
          <w:color w:val="231F20"/>
          <w:spacing w:val="-5"/>
        </w:rPr>
        <w:t>Производња </w:t>
      </w:r>
      <w:r>
        <w:rPr>
          <w:color w:val="231F20"/>
          <w:spacing w:val="-3"/>
        </w:rPr>
        <w:t>угља </w:t>
      </w:r>
      <w:r>
        <w:rPr>
          <w:color w:val="231F20"/>
          <w:spacing w:val="-4"/>
        </w:rPr>
        <w:t>организована </w:t>
      </w:r>
      <w:r>
        <w:rPr>
          <w:color w:val="231F20"/>
        </w:rPr>
        <w:t>је у</w:t>
      </w:r>
      <w:r>
        <w:rPr>
          <w:color w:val="231F20"/>
          <w:spacing w:val="2"/>
        </w:rPr>
        <w:t> </w:t>
      </w:r>
      <w:r>
        <w:rPr>
          <w:color w:val="231F20"/>
          <w:spacing w:val="-4"/>
        </w:rPr>
        <w:t>оквиру</w:t>
      </w:r>
      <w:r>
        <w:rPr>
          <w:color w:val="231F20"/>
          <w:spacing w:val="3"/>
        </w:rPr>
        <w:t> </w:t>
      </w:r>
      <w:r>
        <w:rPr>
          <w:color w:val="231F20"/>
          <w:spacing w:val="-5"/>
        </w:rPr>
        <w:t>површинског</w:t>
      </w:r>
      <w:r>
        <w:rPr>
          <w:color w:val="231F20"/>
        </w:rPr>
        <w:t> </w:t>
      </w:r>
      <w:r>
        <w:rPr>
          <w:color w:val="231F20"/>
          <w:spacing w:val="-6"/>
        </w:rPr>
        <w:t>копа</w:t>
      </w:r>
      <w:r>
        <w:rPr>
          <w:color w:val="231F20"/>
          <w:spacing w:val="-8"/>
        </w:rPr>
        <w:t> </w:t>
      </w:r>
      <w:r>
        <w:rPr>
          <w:color w:val="231F20"/>
          <w:spacing w:val="-4"/>
        </w:rPr>
        <w:t>„Дрмно”</w:t>
      </w:r>
      <w:r>
        <w:rPr>
          <w:color w:val="231F20"/>
          <w:spacing w:val="-8"/>
        </w:rPr>
        <w:t> </w:t>
      </w:r>
      <w:r>
        <w:rPr>
          <w:color w:val="231F20"/>
        </w:rPr>
        <w:t>у</w:t>
      </w:r>
      <w:r>
        <w:rPr>
          <w:color w:val="231F20"/>
          <w:spacing w:val="-8"/>
        </w:rPr>
        <w:t> </w:t>
      </w:r>
      <w:r>
        <w:rPr>
          <w:color w:val="231F20"/>
          <w:spacing w:val="-6"/>
        </w:rPr>
        <w:t>коме</w:t>
      </w:r>
      <w:r>
        <w:rPr>
          <w:color w:val="231F20"/>
          <w:spacing w:val="-8"/>
        </w:rPr>
        <w:t> </w:t>
      </w:r>
      <w:r>
        <w:rPr>
          <w:color w:val="231F20"/>
        </w:rPr>
        <w:t>се</w:t>
      </w:r>
      <w:r>
        <w:rPr>
          <w:color w:val="231F20"/>
          <w:spacing w:val="-8"/>
        </w:rPr>
        <w:t> </w:t>
      </w:r>
      <w:r>
        <w:rPr>
          <w:color w:val="231F20"/>
          <w:spacing w:val="-5"/>
        </w:rPr>
        <w:t>експлоатација</w:t>
      </w:r>
      <w:r>
        <w:rPr>
          <w:color w:val="231F20"/>
          <w:spacing w:val="-8"/>
        </w:rPr>
        <w:t> </w:t>
      </w:r>
      <w:r>
        <w:rPr>
          <w:color w:val="231F20"/>
          <w:spacing w:val="-4"/>
        </w:rPr>
        <w:t>наставља</w:t>
      </w:r>
      <w:r>
        <w:rPr>
          <w:color w:val="231F20"/>
          <w:spacing w:val="-8"/>
        </w:rPr>
        <w:t> </w:t>
      </w:r>
      <w:r>
        <w:rPr>
          <w:color w:val="231F20"/>
        </w:rPr>
        <w:t>до</w:t>
      </w:r>
      <w:r>
        <w:rPr>
          <w:color w:val="231F20"/>
          <w:spacing w:val="-8"/>
        </w:rPr>
        <w:t> </w:t>
      </w:r>
      <w:r>
        <w:rPr>
          <w:color w:val="231F20"/>
          <w:spacing w:val="-4"/>
        </w:rPr>
        <w:t>средине</w:t>
      </w:r>
      <w:r>
        <w:rPr>
          <w:color w:val="231F20"/>
          <w:spacing w:val="-8"/>
        </w:rPr>
        <w:t> </w:t>
      </w:r>
      <w:r>
        <w:rPr>
          <w:color w:val="231F20"/>
          <w:spacing w:val="-3"/>
        </w:rPr>
        <w:t>XXI</w:t>
      </w:r>
      <w:r>
        <w:rPr>
          <w:color w:val="231F20"/>
          <w:spacing w:val="-8"/>
        </w:rPr>
        <w:t> </w:t>
      </w:r>
      <w:r>
        <w:rPr>
          <w:color w:val="231F20"/>
          <w:spacing w:val="-4"/>
        </w:rPr>
        <w:t>века.</w:t>
      </w:r>
      <w:r>
        <w:rPr>
          <w:color w:val="231F20"/>
        </w:rPr>
        <w:t> У</w:t>
      </w:r>
      <w:r>
        <w:rPr>
          <w:color w:val="231F20"/>
          <w:spacing w:val="-14"/>
        </w:rPr>
        <w:t> </w:t>
      </w:r>
      <w:r>
        <w:rPr>
          <w:color w:val="231F20"/>
        </w:rPr>
        <w:t>досадашњем</w:t>
      </w:r>
      <w:r>
        <w:rPr>
          <w:color w:val="231F20"/>
          <w:spacing w:val="-14"/>
        </w:rPr>
        <w:t> </w:t>
      </w:r>
      <w:r>
        <w:rPr>
          <w:color w:val="231F20"/>
        </w:rPr>
        <w:t>развоју</w:t>
      </w:r>
      <w:r>
        <w:rPr>
          <w:color w:val="231F20"/>
          <w:spacing w:val="-14"/>
        </w:rPr>
        <w:t> </w:t>
      </w:r>
      <w:r>
        <w:rPr>
          <w:color w:val="231F20"/>
          <w:spacing w:val="-3"/>
        </w:rPr>
        <w:t>Планског</w:t>
      </w:r>
      <w:r>
        <w:rPr>
          <w:color w:val="231F20"/>
          <w:spacing w:val="-14"/>
        </w:rPr>
        <w:t> </w:t>
      </w:r>
      <w:r>
        <w:rPr>
          <w:color w:val="231F20"/>
        </w:rPr>
        <w:t>подручја</w:t>
      </w:r>
      <w:r>
        <w:rPr>
          <w:color w:val="231F20"/>
          <w:spacing w:val="-14"/>
        </w:rPr>
        <w:t> </w:t>
      </w:r>
      <w:r>
        <w:rPr>
          <w:color w:val="231F20"/>
        </w:rPr>
        <w:t>недовољно</w:t>
      </w:r>
      <w:r>
        <w:rPr>
          <w:color w:val="231F20"/>
          <w:spacing w:val="-14"/>
        </w:rPr>
        <w:t> </w:t>
      </w:r>
      <w:r>
        <w:rPr>
          <w:color w:val="231F20"/>
        </w:rPr>
        <w:t>су</w:t>
      </w:r>
      <w:r>
        <w:rPr>
          <w:color w:val="231F20"/>
          <w:spacing w:val="-14"/>
        </w:rPr>
        <w:t> </w:t>
      </w:r>
      <w:r>
        <w:rPr>
          <w:color w:val="231F20"/>
        </w:rPr>
        <w:t>вало-</w:t>
      </w:r>
    </w:p>
    <w:p>
      <w:pPr>
        <w:pStyle w:val="BodyText"/>
        <w:spacing w:line="205" w:lineRule="exact" w:before="1"/>
        <w:ind w:left="171"/>
        <w:jc w:val="left"/>
      </w:pPr>
      <w:r>
        <w:rPr>
          <w:color w:val="231F20"/>
        </w:rPr>
        <w:t>ризоване регионалне положајне погодности и ресурси а нарочито:</w:t>
      </w:r>
    </w:p>
    <w:p>
      <w:pPr>
        <w:pStyle w:val="ListParagraph"/>
        <w:numPr>
          <w:ilvl w:val="0"/>
          <w:numId w:val="7"/>
        </w:numPr>
        <w:tabs>
          <w:tab w:pos="740" w:val="left" w:leader="none"/>
        </w:tabs>
        <w:spacing w:line="235" w:lineRule="auto" w:before="2" w:after="0"/>
        <w:ind w:left="172" w:right="39" w:firstLine="396"/>
        <w:jc w:val="both"/>
        <w:rPr>
          <w:sz w:val="18"/>
        </w:rPr>
      </w:pPr>
      <w:r>
        <w:rPr>
          <w:color w:val="231F20"/>
          <w:spacing w:val="-4"/>
          <w:sz w:val="18"/>
        </w:rPr>
        <w:t>изузетно повољан саобраћајни </w:t>
      </w:r>
      <w:r>
        <w:rPr>
          <w:color w:val="231F20"/>
          <w:sz w:val="18"/>
        </w:rPr>
        <w:t>и </w:t>
      </w:r>
      <w:r>
        <w:rPr>
          <w:color w:val="231F20"/>
          <w:spacing w:val="-5"/>
          <w:sz w:val="18"/>
        </w:rPr>
        <w:t>економско-географски </w:t>
      </w:r>
      <w:r>
        <w:rPr>
          <w:color w:val="231F20"/>
          <w:spacing w:val="-4"/>
          <w:sz w:val="18"/>
        </w:rPr>
        <w:t>поло- </w:t>
      </w:r>
      <w:r>
        <w:rPr>
          <w:color w:val="231F20"/>
          <w:spacing w:val="-3"/>
          <w:sz w:val="18"/>
        </w:rPr>
        <w:t>жај </w:t>
      </w:r>
      <w:r>
        <w:rPr>
          <w:color w:val="231F20"/>
          <w:sz w:val="18"/>
        </w:rPr>
        <w:t>на </w:t>
      </w:r>
      <w:r>
        <w:rPr>
          <w:color w:val="231F20"/>
          <w:spacing w:val="-5"/>
          <w:sz w:val="18"/>
        </w:rPr>
        <w:t>коридору </w:t>
      </w:r>
      <w:r>
        <w:rPr>
          <w:color w:val="231F20"/>
          <w:sz w:val="18"/>
        </w:rPr>
        <w:t>X и </w:t>
      </w:r>
      <w:r>
        <w:rPr>
          <w:color w:val="231F20"/>
          <w:spacing w:val="-3"/>
          <w:sz w:val="18"/>
        </w:rPr>
        <w:t>VII </w:t>
      </w:r>
      <w:r>
        <w:rPr>
          <w:color w:val="231F20"/>
          <w:sz w:val="18"/>
        </w:rPr>
        <w:t>са </w:t>
      </w:r>
      <w:r>
        <w:rPr>
          <w:color w:val="231F20"/>
          <w:spacing w:val="-5"/>
          <w:sz w:val="18"/>
        </w:rPr>
        <w:t>релативно </w:t>
      </w:r>
      <w:r>
        <w:rPr>
          <w:color w:val="231F20"/>
          <w:spacing w:val="-4"/>
          <w:sz w:val="18"/>
        </w:rPr>
        <w:t>развијеним инфраструктурним везама </w:t>
      </w:r>
      <w:r>
        <w:rPr>
          <w:color w:val="231F20"/>
          <w:sz w:val="18"/>
        </w:rPr>
        <w:t>са </w:t>
      </w:r>
      <w:r>
        <w:rPr>
          <w:color w:val="231F20"/>
          <w:spacing w:val="-4"/>
          <w:sz w:val="18"/>
        </w:rPr>
        <w:t>београдским </w:t>
      </w:r>
      <w:r>
        <w:rPr>
          <w:color w:val="231F20"/>
          <w:spacing w:val="-5"/>
          <w:sz w:val="18"/>
        </w:rPr>
        <w:t>подручјем, </w:t>
      </w:r>
      <w:r>
        <w:rPr>
          <w:color w:val="231F20"/>
          <w:spacing w:val="-4"/>
          <w:sz w:val="18"/>
        </w:rPr>
        <w:t>централном </w:t>
      </w:r>
      <w:r>
        <w:rPr>
          <w:color w:val="231F20"/>
          <w:sz w:val="18"/>
        </w:rPr>
        <w:t>и </w:t>
      </w:r>
      <w:r>
        <w:rPr>
          <w:color w:val="231F20"/>
          <w:spacing w:val="-5"/>
          <w:sz w:val="18"/>
        </w:rPr>
        <w:t>источном</w:t>
      </w:r>
      <w:r>
        <w:rPr>
          <w:color w:val="231F20"/>
          <w:spacing w:val="-28"/>
          <w:sz w:val="18"/>
        </w:rPr>
        <w:t> </w:t>
      </w:r>
      <w:r>
        <w:rPr>
          <w:color w:val="231F20"/>
          <w:spacing w:val="-4"/>
          <w:sz w:val="18"/>
        </w:rPr>
        <w:t>Србијом;</w:t>
      </w:r>
    </w:p>
    <w:p>
      <w:pPr>
        <w:pStyle w:val="ListParagraph"/>
        <w:numPr>
          <w:ilvl w:val="0"/>
          <w:numId w:val="7"/>
        </w:numPr>
        <w:tabs>
          <w:tab w:pos="755" w:val="left" w:leader="none"/>
        </w:tabs>
        <w:spacing w:line="235" w:lineRule="auto" w:before="2" w:after="0"/>
        <w:ind w:left="172" w:right="39" w:firstLine="397"/>
        <w:jc w:val="both"/>
        <w:rPr>
          <w:sz w:val="18"/>
        </w:rPr>
      </w:pPr>
      <w:r>
        <w:rPr>
          <w:color w:val="231F20"/>
          <w:sz w:val="18"/>
        </w:rPr>
        <w:t>расположиви природни ресурси: резерве угља, гаса и наф- те, пољопривредно земљиште високе бонитетне класе, површин- ске и подземне воде, песак и</w:t>
      </w:r>
      <w:r>
        <w:rPr>
          <w:color w:val="231F20"/>
          <w:spacing w:val="-6"/>
          <w:sz w:val="18"/>
        </w:rPr>
        <w:t> </w:t>
      </w:r>
      <w:r>
        <w:rPr>
          <w:color w:val="231F20"/>
          <w:sz w:val="18"/>
        </w:rPr>
        <w:t>шљунак;</w:t>
      </w:r>
    </w:p>
    <w:p>
      <w:pPr>
        <w:pStyle w:val="ListParagraph"/>
        <w:numPr>
          <w:ilvl w:val="0"/>
          <w:numId w:val="7"/>
        </w:numPr>
        <w:tabs>
          <w:tab w:pos="803" w:val="left" w:leader="none"/>
        </w:tabs>
        <w:spacing w:line="235" w:lineRule="auto" w:before="1" w:after="0"/>
        <w:ind w:left="172" w:right="38" w:firstLine="397"/>
        <w:jc w:val="both"/>
        <w:rPr>
          <w:sz w:val="18"/>
        </w:rPr>
      </w:pPr>
      <w:r>
        <w:rPr>
          <w:color w:val="231F20"/>
          <w:sz w:val="18"/>
        </w:rPr>
        <w:t>створени ресурси: изграђена енергетска, саобраћајна и водна</w:t>
      </w:r>
      <w:r>
        <w:rPr>
          <w:color w:val="231F20"/>
          <w:spacing w:val="-10"/>
          <w:sz w:val="18"/>
        </w:rPr>
        <w:t> </w:t>
      </w:r>
      <w:r>
        <w:rPr>
          <w:color w:val="231F20"/>
          <w:sz w:val="18"/>
        </w:rPr>
        <w:t>инфраструктура;</w:t>
      </w:r>
      <w:r>
        <w:rPr>
          <w:color w:val="231F20"/>
          <w:spacing w:val="-10"/>
          <w:sz w:val="18"/>
        </w:rPr>
        <w:t> </w:t>
      </w:r>
      <w:r>
        <w:rPr>
          <w:color w:val="231F20"/>
          <w:sz w:val="18"/>
        </w:rPr>
        <w:t>изграђена</w:t>
      </w:r>
      <w:r>
        <w:rPr>
          <w:color w:val="231F20"/>
          <w:spacing w:val="-10"/>
          <w:sz w:val="18"/>
        </w:rPr>
        <w:t> </w:t>
      </w:r>
      <w:r>
        <w:rPr>
          <w:color w:val="231F20"/>
          <w:sz w:val="18"/>
        </w:rPr>
        <w:t>насеља,</w:t>
      </w:r>
      <w:r>
        <w:rPr>
          <w:color w:val="231F20"/>
          <w:spacing w:val="-10"/>
          <w:sz w:val="18"/>
        </w:rPr>
        <w:t> </w:t>
      </w:r>
      <w:r>
        <w:rPr>
          <w:color w:val="231F20"/>
          <w:sz w:val="18"/>
        </w:rPr>
        <w:t>привредни</w:t>
      </w:r>
      <w:r>
        <w:rPr>
          <w:color w:val="231F20"/>
          <w:spacing w:val="-10"/>
          <w:sz w:val="18"/>
        </w:rPr>
        <w:t> </w:t>
      </w:r>
      <w:r>
        <w:rPr>
          <w:color w:val="231F20"/>
          <w:sz w:val="18"/>
        </w:rPr>
        <w:t>и</w:t>
      </w:r>
      <w:r>
        <w:rPr>
          <w:color w:val="231F20"/>
          <w:spacing w:val="-10"/>
          <w:sz w:val="18"/>
        </w:rPr>
        <w:t> </w:t>
      </w:r>
      <w:r>
        <w:rPr>
          <w:color w:val="231F20"/>
          <w:sz w:val="18"/>
        </w:rPr>
        <w:t>непривред- ни</w:t>
      </w:r>
      <w:r>
        <w:rPr>
          <w:color w:val="231F20"/>
          <w:spacing w:val="-2"/>
          <w:sz w:val="18"/>
        </w:rPr>
        <w:t> </w:t>
      </w:r>
      <w:r>
        <w:rPr>
          <w:color w:val="231F20"/>
          <w:sz w:val="18"/>
        </w:rPr>
        <w:t>објекти;</w:t>
      </w:r>
    </w:p>
    <w:p>
      <w:pPr>
        <w:pStyle w:val="ListParagraph"/>
        <w:numPr>
          <w:ilvl w:val="0"/>
          <w:numId w:val="7"/>
        </w:numPr>
        <w:tabs>
          <w:tab w:pos="760" w:val="left" w:leader="none"/>
        </w:tabs>
        <w:spacing w:line="235" w:lineRule="auto" w:before="2" w:after="0"/>
        <w:ind w:left="173" w:right="38" w:firstLine="396"/>
        <w:jc w:val="both"/>
        <w:rPr>
          <w:sz w:val="18"/>
        </w:rPr>
      </w:pPr>
      <w:r>
        <w:rPr>
          <w:color w:val="231F20"/>
          <w:sz w:val="18"/>
        </w:rPr>
        <w:t>развијене регионалне функције Пожаревца за интеграцију овог дела дунавског појаса са залеђем </w:t>
      </w:r>
      <w:r>
        <w:rPr>
          <w:color w:val="231F20"/>
          <w:spacing w:val="-3"/>
          <w:sz w:val="18"/>
        </w:rPr>
        <w:t>које </w:t>
      </w:r>
      <w:r>
        <w:rPr>
          <w:color w:val="231F20"/>
          <w:sz w:val="18"/>
        </w:rPr>
        <w:t>је заостало у развоју и захваћено процесом депопулације и старења</w:t>
      </w:r>
      <w:r>
        <w:rPr>
          <w:color w:val="231F20"/>
          <w:spacing w:val="-12"/>
          <w:sz w:val="18"/>
        </w:rPr>
        <w:t> </w:t>
      </w:r>
      <w:r>
        <w:rPr>
          <w:color w:val="231F20"/>
          <w:sz w:val="18"/>
        </w:rPr>
        <w:t>становништва;</w:t>
      </w:r>
    </w:p>
    <w:p>
      <w:pPr>
        <w:pStyle w:val="ListParagraph"/>
        <w:numPr>
          <w:ilvl w:val="0"/>
          <w:numId w:val="7"/>
        </w:numPr>
        <w:tabs>
          <w:tab w:pos="753" w:val="left" w:leader="none"/>
        </w:tabs>
        <w:spacing w:line="235" w:lineRule="auto" w:before="2" w:after="0"/>
        <w:ind w:left="172" w:right="39" w:firstLine="397"/>
        <w:jc w:val="both"/>
        <w:rPr>
          <w:sz w:val="18"/>
        </w:rPr>
      </w:pPr>
      <w:r>
        <w:rPr>
          <w:color w:val="231F20"/>
          <w:sz w:val="18"/>
        </w:rPr>
        <w:t>археолошко налазиште „Виминацијум” и друга </w:t>
      </w:r>
      <w:r>
        <w:rPr>
          <w:color w:val="231F20"/>
          <w:spacing w:val="-2"/>
          <w:sz w:val="18"/>
        </w:rPr>
        <w:t>културна </w:t>
      </w:r>
      <w:r>
        <w:rPr>
          <w:color w:val="231F20"/>
          <w:sz w:val="18"/>
        </w:rPr>
        <w:t>и природна добра као потенцијалне туристичке атракције</w:t>
      </w:r>
      <w:r>
        <w:rPr>
          <w:color w:val="231F20"/>
          <w:spacing w:val="-13"/>
          <w:sz w:val="18"/>
        </w:rPr>
        <w:t> </w:t>
      </w:r>
      <w:r>
        <w:rPr>
          <w:color w:val="231F20"/>
          <w:sz w:val="18"/>
        </w:rPr>
        <w:t>и</w:t>
      </w:r>
    </w:p>
    <w:p>
      <w:pPr>
        <w:pStyle w:val="ListParagraph"/>
        <w:numPr>
          <w:ilvl w:val="0"/>
          <w:numId w:val="7"/>
        </w:numPr>
        <w:tabs>
          <w:tab w:pos="752" w:val="left" w:leader="none"/>
        </w:tabs>
        <w:spacing w:line="235" w:lineRule="auto" w:before="1" w:after="0"/>
        <w:ind w:left="172" w:right="39" w:firstLine="397"/>
        <w:jc w:val="both"/>
        <w:rPr>
          <w:sz w:val="18"/>
        </w:rPr>
      </w:pPr>
      <w:r>
        <w:rPr>
          <w:color w:val="231F20"/>
          <w:spacing w:val="-3"/>
          <w:sz w:val="18"/>
        </w:rPr>
        <w:t>комплекс </w:t>
      </w:r>
      <w:r>
        <w:rPr>
          <w:color w:val="231F20"/>
          <w:sz w:val="18"/>
        </w:rPr>
        <w:t>креативних ресурса: 1) способност за имплемен- тацију иновација, улагања у истраживања и развој и коришћења ових резултата (истраживачко-развојне институције, друге раз- војне организације), 2) предузетничке активности и садржаји (по- словни инкубатори, индустријске зоне, предузетничка мрежа), 3) систем инвестирања (охрабривање капитала, интеграција, регио- нални фондови) и 4) таленат и</w:t>
      </w:r>
      <w:r>
        <w:rPr>
          <w:color w:val="231F20"/>
          <w:spacing w:val="-6"/>
          <w:sz w:val="18"/>
        </w:rPr>
        <w:t> </w:t>
      </w:r>
      <w:r>
        <w:rPr>
          <w:color w:val="231F20"/>
          <w:sz w:val="18"/>
        </w:rPr>
        <w:t>знања.</w:t>
      </w:r>
    </w:p>
    <w:p>
      <w:pPr>
        <w:pStyle w:val="ListParagraph"/>
        <w:numPr>
          <w:ilvl w:val="2"/>
          <w:numId w:val="6"/>
        </w:numPr>
        <w:tabs>
          <w:tab w:pos="1826" w:val="left" w:leader="none"/>
        </w:tabs>
        <w:spacing w:line="240" w:lineRule="auto" w:before="170" w:after="0"/>
        <w:ind w:left="1825" w:right="0" w:hanging="315"/>
        <w:jc w:val="left"/>
        <w:rPr>
          <w:i/>
          <w:sz w:val="18"/>
        </w:rPr>
      </w:pPr>
      <w:r>
        <w:rPr>
          <w:i/>
          <w:color w:val="231F20"/>
          <w:sz w:val="18"/>
        </w:rPr>
        <w:t>Обухват просторног</w:t>
      </w:r>
      <w:r>
        <w:rPr>
          <w:i/>
          <w:color w:val="231F20"/>
          <w:spacing w:val="-2"/>
          <w:sz w:val="18"/>
        </w:rPr>
        <w:t> </w:t>
      </w:r>
      <w:r>
        <w:rPr>
          <w:i/>
          <w:color w:val="231F20"/>
          <w:sz w:val="18"/>
        </w:rPr>
        <w:t>плана</w:t>
      </w:r>
    </w:p>
    <w:p>
      <w:pPr>
        <w:pStyle w:val="BodyText"/>
        <w:spacing w:before="8"/>
        <w:ind w:left="0"/>
        <w:jc w:val="left"/>
        <w:rPr>
          <w:i/>
          <w:sz w:val="17"/>
        </w:rPr>
      </w:pPr>
    </w:p>
    <w:p>
      <w:pPr>
        <w:pStyle w:val="BodyText"/>
        <w:spacing w:line="235" w:lineRule="auto"/>
        <w:ind w:left="172" w:right="39" w:firstLine="396"/>
      </w:pPr>
      <w:r>
        <w:rPr>
          <w:color w:val="231F20"/>
        </w:rPr>
        <w:t>Подручје</w:t>
      </w:r>
      <w:r>
        <w:rPr>
          <w:color w:val="231F20"/>
          <w:spacing w:val="-8"/>
        </w:rPr>
        <w:t> </w:t>
      </w:r>
      <w:r>
        <w:rPr>
          <w:color w:val="231F20"/>
        </w:rPr>
        <w:t>Просторног</w:t>
      </w:r>
      <w:r>
        <w:rPr>
          <w:color w:val="231F20"/>
          <w:spacing w:val="-8"/>
        </w:rPr>
        <w:t> </w:t>
      </w:r>
      <w:r>
        <w:rPr>
          <w:color w:val="231F20"/>
        </w:rPr>
        <w:t>плана</w:t>
      </w:r>
      <w:r>
        <w:rPr>
          <w:color w:val="231F20"/>
          <w:spacing w:val="-8"/>
        </w:rPr>
        <w:t> </w:t>
      </w:r>
      <w:r>
        <w:rPr>
          <w:color w:val="231F20"/>
        </w:rPr>
        <w:t>се</w:t>
      </w:r>
      <w:r>
        <w:rPr>
          <w:color w:val="231F20"/>
          <w:spacing w:val="-8"/>
        </w:rPr>
        <w:t> </w:t>
      </w:r>
      <w:r>
        <w:rPr>
          <w:color w:val="231F20"/>
        </w:rPr>
        <w:t>налази</w:t>
      </w:r>
      <w:r>
        <w:rPr>
          <w:color w:val="231F20"/>
          <w:spacing w:val="-8"/>
        </w:rPr>
        <w:t> </w:t>
      </w:r>
      <w:r>
        <w:rPr>
          <w:color w:val="231F20"/>
        </w:rPr>
        <w:t>у</w:t>
      </w:r>
      <w:r>
        <w:rPr>
          <w:color w:val="231F20"/>
          <w:spacing w:val="-8"/>
        </w:rPr>
        <w:t> </w:t>
      </w:r>
      <w:r>
        <w:rPr>
          <w:color w:val="231F20"/>
        </w:rPr>
        <w:t>североисточном</w:t>
      </w:r>
      <w:r>
        <w:rPr>
          <w:color w:val="231F20"/>
          <w:spacing w:val="-8"/>
        </w:rPr>
        <w:t> </w:t>
      </w:r>
      <w:r>
        <w:rPr>
          <w:color w:val="231F20"/>
        </w:rPr>
        <w:t>делу </w:t>
      </w:r>
      <w:r>
        <w:rPr>
          <w:color w:val="231F20"/>
          <w:spacing w:val="-3"/>
        </w:rPr>
        <w:t>Републике </w:t>
      </w:r>
      <w:r>
        <w:rPr>
          <w:color w:val="231F20"/>
        </w:rPr>
        <w:t>Србије, претежно на подручју Стига и Браничева. Се- верну границу чини река Дунав, западну граница града Пожарев- ца, </w:t>
      </w:r>
      <w:r>
        <w:rPr>
          <w:color w:val="231F20"/>
          <w:spacing w:val="-3"/>
        </w:rPr>
        <w:t>углавном </w:t>
      </w:r>
      <w:r>
        <w:rPr>
          <w:color w:val="231F20"/>
        </w:rPr>
        <w:t>уз Велику </w:t>
      </w:r>
      <w:r>
        <w:rPr>
          <w:color w:val="231F20"/>
          <w:spacing w:val="-5"/>
        </w:rPr>
        <w:t>Мораву,  </w:t>
      </w:r>
      <w:r>
        <w:rPr>
          <w:color w:val="231F20"/>
        </w:rPr>
        <w:t>јужну граница града Пожаревца, а источну границе </w:t>
      </w:r>
      <w:r>
        <w:rPr>
          <w:color w:val="231F20"/>
          <w:spacing w:val="-3"/>
        </w:rPr>
        <w:t>КО Курјаче, КО </w:t>
      </w:r>
      <w:r>
        <w:rPr>
          <w:color w:val="231F20"/>
        </w:rPr>
        <w:t>Мајиловац и </w:t>
      </w:r>
      <w:r>
        <w:rPr>
          <w:color w:val="231F20"/>
          <w:spacing w:val="-3"/>
        </w:rPr>
        <w:t>КО </w:t>
      </w:r>
      <w:r>
        <w:rPr>
          <w:color w:val="231F20"/>
        </w:rPr>
        <w:t>Сираково на територији општине Велико</w:t>
      </w:r>
      <w:r>
        <w:rPr>
          <w:color w:val="231F20"/>
          <w:spacing w:val="-4"/>
        </w:rPr>
        <w:t> </w:t>
      </w:r>
      <w:r>
        <w:rPr>
          <w:color w:val="231F20"/>
        </w:rPr>
        <w:t>Градиште.</w:t>
      </w:r>
    </w:p>
    <w:p>
      <w:pPr>
        <w:pStyle w:val="BodyText"/>
        <w:spacing w:line="235" w:lineRule="auto" w:before="3"/>
        <w:ind w:left="173" w:right="38" w:firstLine="396"/>
      </w:pPr>
      <w:r>
        <w:rPr>
          <w:color w:val="231F20"/>
          <w:spacing w:val="-3"/>
        </w:rPr>
        <w:t>Просторни план </w:t>
      </w:r>
      <w:r>
        <w:rPr>
          <w:color w:val="231F20"/>
          <w:spacing w:val="-5"/>
        </w:rPr>
        <w:t>обухвата </w:t>
      </w:r>
      <w:r>
        <w:rPr>
          <w:color w:val="231F20"/>
          <w:spacing w:val="-3"/>
        </w:rPr>
        <w:t>целу територију града </w:t>
      </w:r>
      <w:r>
        <w:rPr>
          <w:color w:val="231F20"/>
          <w:spacing w:val="-4"/>
        </w:rPr>
        <w:t>Пожаревца </w:t>
      </w:r>
      <w:r>
        <w:rPr>
          <w:color w:val="231F20"/>
        </w:rPr>
        <w:t>и део </w:t>
      </w:r>
      <w:r>
        <w:rPr>
          <w:color w:val="231F20"/>
          <w:spacing w:val="-3"/>
        </w:rPr>
        <w:t>територије општине </w:t>
      </w:r>
      <w:r>
        <w:rPr>
          <w:color w:val="231F20"/>
          <w:spacing w:val="-4"/>
        </w:rPr>
        <w:t>Велико </w:t>
      </w:r>
      <w:r>
        <w:rPr>
          <w:color w:val="231F20"/>
          <w:spacing w:val="-5"/>
        </w:rPr>
        <w:t>Градиште </w:t>
      </w:r>
      <w:r>
        <w:rPr>
          <w:color w:val="231F20"/>
        </w:rPr>
        <w:t>(у </w:t>
      </w:r>
      <w:r>
        <w:rPr>
          <w:color w:val="231F20"/>
          <w:spacing w:val="-3"/>
        </w:rPr>
        <w:t>даљем </w:t>
      </w:r>
      <w:r>
        <w:rPr>
          <w:color w:val="231F20"/>
          <w:spacing w:val="-5"/>
        </w:rPr>
        <w:t>тексту: </w:t>
      </w:r>
      <w:r>
        <w:rPr>
          <w:color w:val="231F20"/>
          <w:spacing w:val="-4"/>
        </w:rPr>
        <w:t>Планско подручје). </w:t>
      </w:r>
      <w:r>
        <w:rPr>
          <w:color w:val="231F20"/>
          <w:spacing w:val="-6"/>
        </w:rPr>
        <w:t>Укупна </w:t>
      </w:r>
      <w:r>
        <w:rPr>
          <w:color w:val="231F20"/>
          <w:spacing w:val="-3"/>
        </w:rPr>
        <w:t>површина </w:t>
      </w:r>
      <w:r>
        <w:rPr>
          <w:color w:val="231F20"/>
          <w:spacing w:val="-4"/>
        </w:rPr>
        <w:t>Планског подручја </w:t>
      </w:r>
      <w:r>
        <w:rPr>
          <w:color w:val="231F20"/>
        </w:rPr>
        <w:t>износи </w:t>
      </w:r>
      <w:r>
        <w:rPr>
          <w:color w:val="231F20"/>
          <w:spacing w:val="-3"/>
        </w:rPr>
        <w:t>543,46 km².</w:t>
      </w:r>
    </w:p>
    <w:p>
      <w:pPr>
        <w:pStyle w:val="BodyText"/>
        <w:spacing w:line="235" w:lineRule="auto" w:before="2"/>
        <w:ind w:left="171" w:right="38" w:firstLine="398"/>
      </w:pPr>
      <w:r>
        <w:rPr>
          <w:color w:val="231F20"/>
        </w:rPr>
        <w:t>На </w:t>
      </w:r>
      <w:r>
        <w:rPr>
          <w:color w:val="231F20"/>
          <w:spacing w:val="-3"/>
        </w:rPr>
        <w:t>територији општине </w:t>
      </w:r>
      <w:r>
        <w:rPr>
          <w:color w:val="231F20"/>
          <w:spacing w:val="-4"/>
        </w:rPr>
        <w:t>Велико </w:t>
      </w:r>
      <w:r>
        <w:rPr>
          <w:color w:val="231F20"/>
          <w:spacing w:val="-5"/>
        </w:rPr>
        <w:t>Градиште </w:t>
      </w:r>
      <w:r>
        <w:rPr>
          <w:color w:val="231F20"/>
          <w:spacing w:val="-4"/>
        </w:rPr>
        <w:t>Планско подручје захвата </w:t>
      </w:r>
      <w:r>
        <w:rPr>
          <w:color w:val="231F20"/>
          <w:spacing w:val="-3"/>
        </w:rPr>
        <w:t>целе </w:t>
      </w:r>
      <w:r>
        <w:rPr>
          <w:color w:val="231F20"/>
          <w:spacing w:val="-4"/>
        </w:rPr>
        <w:t>катастарске </w:t>
      </w:r>
      <w:r>
        <w:rPr>
          <w:color w:val="231F20"/>
          <w:spacing w:val="-3"/>
        </w:rPr>
        <w:t>општине </w:t>
      </w:r>
      <w:r>
        <w:rPr>
          <w:color w:val="231F20"/>
          <w:spacing w:val="-6"/>
        </w:rPr>
        <w:t>Курјаче, </w:t>
      </w:r>
      <w:r>
        <w:rPr>
          <w:color w:val="231F20"/>
          <w:spacing w:val="-3"/>
        </w:rPr>
        <w:t>Мајиловац </w:t>
      </w:r>
      <w:r>
        <w:rPr>
          <w:color w:val="231F20"/>
        </w:rPr>
        <w:t>и </w:t>
      </w:r>
      <w:r>
        <w:rPr>
          <w:color w:val="231F20"/>
          <w:spacing w:val="-4"/>
        </w:rPr>
        <w:t>Сираково, </w:t>
      </w:r>
      <w:r>
        <w:rPr>
          <w:color w:val="231F20"/>
          <w:spacing w:val="-3"/>
        </w:rPr>
        <w:t>укупне површине 55,69 km². </w:t>
      </w:r>
      <w:r>
        <w:rPr>
          <w:color w:val="231F20"/>
          <w:spacing w:val="-4"/>
        </w:rPr>
        <w:t>Територија </w:t>
      </w:r>
      <w:r>
        <w:rPr>
          <w:color w:val="231F20"/>
          <w:spacing w:val="-3"/>
        </w:rPr>
        <w:t>града </w:t>
      </w:r>
      <w:r>
        <w:rPr>
          <w:color w:val="231F20"/>
          <w:spacing w:val="-4"/>
        </w:rPr>
        <w:t>Пожаревца </w:t>
      </w:r>
      <w:r>
        <w:rPr>
          <w:color w:val="231F20"/>
          <w:spacing w:val="-5"/>
        </w:rPr>
        <w:t>обухвата </w:t>
      </w:r>
      <w:r>
        <w:rPr>
          <w:color w:val="231F20"/>
          <w:spacing w:val="-3"/>
        </w:rPr>
        <w:t>две </w:t>
      </w:r>
      <w:r>
        <w:rPr>
          <w:color w:val="231F20"/>
          <w:spacing w:val="-4"/>
        </w:rPr>
        <w:t>градске </w:t>
      </w:r>
      <w:r>
        <w:rPr>
          <w:color w:val="231F20"/>
          <w:spacing w:val="-3"/>
        </w:rPr>
        <w:t>општине </w:t>
      </w:r>
      <w:r>
        <w:rPr>
          <w:color w:val="231F20"/>
          <w:spacing w:val="-4"/>
        </w:rPr>
        <w:t>(Пожаревац </w:t>
      </w:r>
      <w:r>
        <w:rPr>
          <w:color w:val="231F20"/>
        </w:rPr>
        <w:t>и </w:t>
      </w:r>
      <w:r>
        <w:rPr>
          <w:color w:val="231F20"/>
          <w:spacing w:val="-4"/>
        </w:rPr>
        <w:t>Костолац) </w:t>
      </w:r>
      <w:r>
        <w:rPr>
          <w:color w:val="231F20"/>
        </w:rPr>
        <w:t>и </w:t>
      </w:r>
      <w:r>
        <w:rPr>
          <w:color w:val="231F20"/>
          <w:spacing w:val="-3"/>
        </w:rPr>
        <w:t>укупно </w:t>
      </w:r>
      <w:r>
        <w:rPr>
          <w:color w:val="231F20"/>
        </w:rPr>
        <w:t>28 </w:t>
      </w:r>
      <w:r>
        <w:rPr>
          <w:color w:val="231F20"/>
          <w:spacing w:val="-4"/>
        </w:rPr>
        <w:t>катастар- </w:t>
      </w:r>
      <w:r>
        <w:rPr>
          <w:color w:val="231F20"/>
          <w:spacing w:val="-3"/>
        </w:rPr>
        <w:t>ских </w:t>
      </w:r>
      <w:r>
        <w:rPr>
          <w:color w:val="231F20"/>
          <w:spacing w:val="-4"/>
        </w:rPr>
        <w:t>општина</w:t>
      </w:r>
      <w:r>
        <w:rPr>
          <w:color w:val="231F20"/>
          <w:spacing w:val="-4"/>
          <w:position w:val="6"/>
          <w:sz w:val="10"/>
        </w:rPr>
        <w:t>1 </w:t>
      </w:r>
      <w:r>
        <w:rPr>
          <w:color w:val="231F20"/>
        </w:rPr>
        <w:t>са 27 </w:t>
      </w:r>
      <w:r>
        <w:rPr>
          <w:color w:val="231F20"/>
          <w:spacing w:val="-3"/>
        </w:rPr>
        <w:t>насеља (Баре, </w:t>
      </w:r>
      <w:r>
        <w:rPr>
          <w:color w:val="231F20"/>
          <w:spacing w:val="-4"/>
        </w:rPr>
        <w:t>Батовац, </w:t>
      </w:r>
      <w:r>
        <w:rPr>
          <w:color w:val="231F20"/>
          <w:spacing w:val="-3"/>
        </w:rPr>
        <w:t>Берање, Брадарац, Бра- тинац, Брежане, </w:t>
      </w:r>
      <w:r>
        <w:rPr>
          <w:color w:val="231F20"/>
          <w:spacing w:val="-5"/>
        </w:rPr>
        <w:t>Бубушинац, </w:t>
      </w:r>
      <w:r>
        <w:rPr>
          <w:color w:val="231F20"/>
          <w:spacing w:val="-4"/>
        </w:rPr>
        <w:t>Драговац, </w:t>
      </w:r>
      <w:r>
        <w:rPr>
          <w:color w:val="231F20"/>
          <w:spacing w:val="-3"/>
        </w:rPr>
        <w:t>Дрмно, Дубравица, Живица, </w:t>
      </w:r>
      <w:r>
        <w:rPr>
          <w:color w:val="231F20"/>
          <w:spacing w:val="-4"/>
        </w:rPr>
        <w:t>Касидол,</w:t>
      </w:r>
      <w:r>
        <w:rPr>
          <w:color w:val="231F20"/>
          <w:spacing w:val="-12"/>
        </w:rPr>
        <w:t> </w:t>
      </w:r>
      <w:r>
        <w:rPr>
          <w:color w:val="231F20"/>
          <w:spacing w:val="-3"/>
        </w:rPr>
        <w:t>Кленовник,</w:t>
      </w:r>
      <w:r>
        <w:rPr>
          <w:color w:val="231F20"/>
          <w:spacing w:val="-12"/>
        </w:rPr>
        <w:t> </w:t>
      </w:r>
      <w:r>
        <w:rPr>
          <w:color w:val="231F20"/>
          <w:spacing w:val="-3"/>
        </w:rPr>
        <w:t>Кличевац,</w:t>
      </w:r>
      <w:r>
        <w:rPr>
          <w:color w:val="231F20"/>
          <w:spacing w:val="-12"/>
        </w:rPr>
        <w:t> </w:t>
      </w:r>
      <w:r>
        <w:rPr>
          <w:color w:val="231F20"/>
          <w:spacing w:val="-5"/>
        </w:rPr>
        <w:t>Костолац</w:t>
      </w:r>
      <w:r>
        <w:rPr>
          <w:color w:val="231F20"/>
          <w:spacing w:val="16"/>
        </w:rPr>
        <w:t> </w:t>
      </w:r>
      <w:r>
        <w:rPr>
          <w:color w:val="231F20"/>
        </w:rPr>
        <w:t>–</w:t>
      </w:r>
      <w:r>
        <w:rPr>
          <w:color w:val="231F20"/>
          <w:spacing w:val="-12"/>
        </w:rPr>
        <w:t> </w:t>
      </w:r>
      <w:r>
        <w:rPr>
          <w:color w:val="231F20"/>
          <w:spacing w:val="-3"/>
        </w:rPr>
        <w:t>град,</w:t>
      </w:r>
      <w:r>
        <w:rPr>
          <w:color w:val="231F20"/>
          <w:spacing w:val="-12"/>
        </w:rPr>
        <w:t> </w:t>
      </w:r>
      <w:r>
        <w:rPr>
          <w:color w:val="231F20"/>
        </w:rPr>
        <w:t>Село</w:t>
      </w:r>
      <w:r>
        <w:rPr>
          <w:color w:val="231F20"/>
          <w:spacing w:val="-12"/>
        </w:rPr>
        <w:t> </w:t>
      </w:r>
      <w:r>
        <w:rPr>
          <w:color w:val="231F20"/>
          <w:spacing w:val="-4"/>
        </w:rPr>
        <w:t>Костолац,</w:t>
      </w:r>
      <w:r>
        <w:rPr>
          <w:color w:val="231F20"/>
          <w:spacing w:val="-12"/>
        </w:rPr>
        <w:t> </w:t>
      </w:r>
      <w:r>
        <w:rPr>
          <w:color w:val="231F20"/>
          <w:spacing w:val="-4"/>
        </w:rPr>
        <w:t>Лу- </w:t>
      </w:r>
      <w:r>
        <w:rPr>
          <w:color w:val="231F20"/>
          <w:spacing w:val="-3"/>
        </w:rPr>
        <w:t>чица, Маљуревац, Набрђе, Острво, Петка, </w:t>
      </w:r>
      <w:r>
        <w:rPr>
          <w:color w:val="231F20"/>
          <w:spacing w:val="-4"/>
        </w:rPr>
        <w:t>Пожаревац, </w:t>
      </w:r>
      <w:r>
        <w:rPr>
          <w:color w:val="231F20"/>
          <w:spacing w:val="-3"/>
        </w:rPr>
        <w:t>Пољана, Пру- </w:t>
      </w:r>
      <w:r>
        <w:rPr>
          <w:color w:val="231F20"/>
          <w:spacing w:val="-4"/>
        </w:rPr>
        <w:t>говац, Речица, Трњане, Ћириковац) </w:t>
      </w:r>
      <w:r>
        <w:rPr>
          <w:color w:val="231F20"/>
          <w:spacing w:val="-3"/>
        </w:rPr>
        <w:t>укупне површине 487,77</w:t>
      </w:r>
      <w:r>
        <w:rPr>
          <w:color w:val="231F20"/>
          <w:spacing w:val="-12"/>
        </w:rPr>
        <w:t> </w:t>
      </w:r>
      <w:r>
        <w:rPr>
          <w:color w:val="231F20"/>
          <w:spacing w:val="-3"/>
        </w:rPr>
        <w:t>km².</w:t>
      </w:r>
    </w:p>
    <w:p>
      <w:pPr>
        <w:pStyle w:val="BodyText"/>
        <w:spacing w:line="235" w:lineRule="auto" w:before="4"/>
        <w:ind w:left="171" w:right="40" w:firstLine="396"/>
      </w:pPr>
      <w:r>
        <w:rPr>
          <w:color w:val="231F20"/>
        </w:rPr>
        <w:t>Напомена: постоје нелогичности </w:t>
      </w:r>
      <w:r>
        <w:rPr>
          <w:color w:val="231F20"/>
          <w:spacing w:val="-6"/>
        </w:rPr>
        <w:t>код </w:t>
      </w:r>
      <w:r>
        <w:rPr>
          <w:color w:val="231F20"/>
        </w:rPr>
        <w:t>граница између</w:t>
      </w:r>
      <w:r>
        <w:rPr>
          <w:color w:val="231F20"/>
          <w:spacing w:val="-32"/>
        </w:rPr>
        <w:t> </w:t>
      </w:r>
      <w:r>
        <w:rPr>
          <w:color w:val="231F20"/>
        </w:rPr>
        <w:t>подруч- ја града Пожаревца и суседних јединица локалне самоуправе на рекама Дунав и Велика Морава, па их треба исправити кроз про- цедуру прописану</w:t>
      </w:r>
      <w:r>
        <w:rPr>
          <w:color w:val="231F20"/>
          <w:spacing w:val="-2"/>
        </w:rPr>
        <w:t> </w:t>
      </w:r>
      <w:r>
        <w:rPr>
          <w:color w:val="231F20"/>
        </w:rPr>
        <w:t>Законом.</w:t>
      </w:r>
    </w:p>
    <w:p>
      <w:pPr>
        <w:pStyle w:val="BodyText"/>
        <w:spacing w:line="225" w:lineRule="auto" w:before="1"/>
        <w:ind w:left="171" w:right="40" w:firstLine="396"/>
      </w:pPr>
      <w:r>
        <w:rPr>
          <w:color w:val="231F20"/>
        </w:rPr>
        <w:t>Планско подручје обухвата неколико зона – просторних ма- кроцелина посебне намене:</w:t>
      </w:r>
    </w:p>
    <w:p>
      <w:pPr>
        <w:pStyle w:val="ListParagraph"/>
        <w:numPr>
          <w:ilvl w:val="0"/>
          <w:numId w:val="8"/>
        </w:numPr>
        <w:tabs>
          <w:tab w:pos="790" w:val="left" w:leader="none"/>
        </w:tabs>
        <w:spacing w:line="225" w:lineRule="auto" w:before="2" w:after="0"/>
        <w:ind w:left="172" w:right="39" w:firstLine="396"/>
        <w:jc w:val="both"/>
        <w:rPr>
          <w:sz w:val="18"/>
        </w:rPr>
      </w:pPr>
      <w:r>
        <w:rPr>
          <w:i/>
          <w:color w:val="231F20"/>
          <w:sz w:val="18"/>
        </w:rPr>
        <w:t>лигнитска лежишта </w:t>
      </w:r>
      <w:r>
        <w:rPr>
          <w:color w:val="231F20"/>
          <w:sz w:val="18"/>
        </w:rPr>
        <w:t>– зона садашњих и </w:t>
      </w:r>
      <w:r>
        <w:rPr>
          <w:color w:val="231F20"/>
          <w:spacing w:val="-3"/>
          <w:sz w:val="18"/>
        </w:rPr>
        <w:t>будућих рудар- </w:t>
      </w:r>
      <w:r>
        <w:rPr>
          <w:color w:val="231F20"/>
          <w:sz w:val="18"/>
        </w:rPr>
        <w:t>ских активности и енергетских објеката чине три</w:t>
      </w:r>
      <w:r>
        <w:rPr>
          <w:color w:val="231F20"/>
          <w:spacing w:val="-8"/>
          <w:sz w:val="18"/>
        </w:rPr>
        <w:t> </w:t>
      </w:r>
      <w:r>
        <w:rPr>
          <w:color w:val="231F20"/>
          <w:sz w:val="18"/>
        </w:rPr>
        <w:t>целине:</w:t>
      </w:r>
    </w:p>
    <w:p>
      <w:pPr>
        <w:pStyle w:val="ListParagraph"/>
        <w:numPr>
          <w:ilvl w:val="0"/>
          <w:numId w:val="9"/>
        </w:numPr>
        <w:tabs>
          <w:tab w:pos="812" w:val="left" w:leader="none"/>
        </w:tabs>
        <w:spacing w:line="225" w:lineRule="auto" w:before="1" w:after="0"/>
        <w:ind w:left="171" w:right="40" w:firstLine="397"/>
        <w:jc w:val="both"/>
        <w:rPr>
          <w:sz w:val="18"/>
        </w:rPr>
      </w:pPr>
      <w:r>
        <w:rPr>
          <w:color w:val="231F20"/>
          <w:sz w:val="18"/>
        </w:rPr>
        <w:t>источно и централно лигнитско лежиште </w:t>
      </w:r>
      <w:r>
        <w:rPr>
          <w:color w:val="231F20"/>
          <w:spacing w:val="-3"/>
          <w:sz w:val="18"/>
        </w:rPr>
        <w:t>Костолачког </w:t>
      </w:r>
      <w:r>
        <w:rPr>
          <w:color w:val="231F20"/>
          <w:sz w:val="18"/>
        </w:rPr>
        <w:t>басена</w:t>
      </w:r>
      <w:r>
        <w:rPr>
          <w:color w:val="231F20"/>
          <w:spacing w:val="30"/>
          <w:sz w:val="18"/>
        </w:rPr>
        <w:t> </w:t>
      </w:r>
      <w:r>
        <w:rPr>
          <w:color w:val="231F20"/>
          <w:sz w:val="18"/>
        </w:rPr>
        <w:t>површине</w:t>
      </w:r>
      <w:r>
        <w:rPr>
          <w:color w:val="231F20"/>
          <w:spacing w:val="30"/>
          <w:sz w:val="18"/>
        </w:rPr>
        <w:t> </w:t>
      </w:r>
      <w:r>
        <w:rPr>
          <w:color w:val="231F20"/>
          <w:spacing w:val="-4"/>
          <w:sz w:val="18"/>
        </w:rPr>
        <w:t>око</w:t>
      </w:r>
      <w:r>
        <w:rPr>
          <w:color w:val="231F20"/>
          <w:spacing w:val="30"/>
          <w:sz w:val="18"/>
        </w:rPr>
        <w:t> </w:t>
      </w:r>
      <w:r>
        <w:rPr>
          <w:color w:val="231F20"/>
          <w:sz w:val="18"/>
        </w:rPr>
        <w:t>97,80</w:t>
      </w:r>
      <w:r>
        <w:rPr>
          <w:color w:val="231F20"/>
          <w:spacing w:val="30"/>
          <w:sz w:val="18"/>
        </w:rPr>
        <w:t> </w:t>
      </w:r>
      <w:r>
        <w:rPr>
          <w:color w:val="231F20"/>
          <w:sz w:val="18"/>
        </w:rPr>
        <w:t>km²</w:t>
      </w:r>
      <w:r>
        <w:rPr>
          <w:color w:val="231F20"/>
          <w:spacing w:val="30"/>
          <w:sz w:val="18"/>
        </w:rPr>
        <w:t> </w:t>
      </w:r>
      <w:r>
        <w:rPr>
          <w:color w:val="231F20"/>
          <w:spacing w:val="-3"/>
          <w:sz w:val="18"/>
        </w:rPr>
        <w:t>које</w:t>
      </w:r>
      <w:r>
        <w:rPr>
          <w:color w:val="231F20"/>
          <w:spacing w:val="30"/>
          <w:sz w:val="18"/>
        </w:rPr>
        <w:t> </w:t>
      </w:r>
      <w:r>
        <w:rPr>
          <w:color w:val="231F20"/>
          <w:sz w:val="18"/>
        </w:rPr>
        <w:t>обухвата:</w:t>
      </w:r>
      <w:r>
        <w:rPr>
          <w:color w:val="231F20"/>
          <w:spacing w:val="30"/>
          <w:sz w:val="18"/>
        </w:rPr>
        <w:t> </w:t>
      </w:r>
      <w:r>
        <w:rPr>
          <w:color w:val="231F20"/>
          <w:sz w:val="18"/>
        </w:rPr>
        <w:t>површински</w:t>
      </w:r>
      <w:r>
        <w:rPr>
          <w:color w:val="231F20"/>
          <w:spacing w:val="30"/>
          <w:sz w:val="18"/>
        </w:rPr>
        <w:t> </w:t>
      </w:r>
      <w:r>
        <w:rPr>
          <w:color w:val="231F20"/>
          <w:spacing w:val="-4"/>
          <w:sz w:val="18"/>
        </w:rPr>
        <w:t>коп</w:t>
      </w:r>
    </w:p>
    <w:p>
      <w:pPr>
        <w:spacing w:line="156"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453" w:val="left" w:leader="none"/>
          <w:tab w:pos="454" w:val="left" w:leader="none"/>
        </w:tabs>
        <w:spacing w:line="240" w:lineRule="auto" w:before="0" w:after="0"/>
        <w:ind w:left="453" w:right="41" w:hanging="283"/>
        <w:jc w:val="left"/>
        <w:rPr>
          <w:sz w:val="14"/>
        </w:rPr>
      </w:pPr>
      <w:r>
        <w:rPr>
          <w:color w:val="231F20"/>
          <w:sz w:val="14"/>
        </w:rPr>
        <w:t>Према подацима Републичког геодетског завода - Катастар непокретности - Вр- сте земљишта - Стање</w:t>
      </w:r>
      <w:r>
        <w:rPr>
          <w:color w:val="231F20"/>
          <w:spacing w:val="-2"/>
          <w:sz w:val="14"/>
        </w:rPr>
        <w:t> </w:t>
      </w:r>
      <w:r>
        <w:rPr>
          <w:color w:val="231F20"/>
          <w:sz w:val="14"/>
        </w:rPr>
        <w:t>2011.</w:t>
      </w:r>
    </w:p>
    <w:p>
      <w:pPr>
        <w:pStyle w:val="BodyText"/>
        <w:spacing w:line="232" w:lineRule="auto" w:before="73"/>
        <w:ind w:right="411"/>
      </w:pPr>
      <w:r>
        <w:rPr/>
        <w:br w:type="column"/>
      </w:r>
      <w:r>
        <w:rPr>
          <w:color w:val="231F20"/>
        </w:rPr>
        <w:t>„Дрмно”, спољна и унутрашња одлагалишта јаловине, пепела, шљаке и гипса, ТЕ „Костолац А” и ТЕ „Костолац Б”, инфраструк- турне</w:t>
      </w:r>
      <w:r>
        <w:rPr>
          <w:color w:val="231F20"/>
          <w:spacing w:val="-9"/>
        </w:rPr>
        <w:t> </w:t>
      </w:r>
      <w:r>
        <w:rPr>
          <w:color w:val="231F20"/>
        </w:rPr>
        <w:t>и</w:t>
      </w:r>
      <w:r>
        <w:rPr>
          <w:color w:val="231F20"/>
          <w:spacing w:val="-9"/>
        </w:rPr>
        <w:t> </w:t>
      </w:r>
      <w:r>
        <w:rPr>
          <w:color w:val="231F20"/>
        </w:rPr>
        <w:t>транспортне</w:t>
      </w:r>
      <w:r>
        <w:rPr>
          <w:color w:val="231F20"/>
          <w:spacing w:val="-9"/>
        </w:rPr>
        <w:t> </w:t>
      </w:r>
      <w:r>
        <w:rPr>
          <w:color w:val="231F20"/>
        </w:rPr>
        <w:t>коридоре,</w:t>
      </w:r>
      <w:r>
        <w:rPr>
          <w:color w:val="231F20"/>
          <w:spacing w:val="-9"/>
        </w:rPr>
        <w:t> </w:t>
      </w:r>
      <w:r>
        <w:rPr>
          <w:color w:val="231F20"/>
        </w:rPr>
        <w:t>пратеће</w:t>
      </w:r>
      <w:r>
        <w:rPr>
          <w:color w:val="231F20"/>
          <w:spacing w:val="-9"/>
        </w:rPr>
        <w:t> </w:t>
      </w:r>
      <w:r>
        <w:rPr>
          <w:color w:val="231F20"/>
        </w:rPr>
        <w:t>садржаје</w:t>
      </w:r>
      <w:r>
        <w:rPr>
          <w:color w:val="231F20"/>
          <w:spacing w:val="-9"/>
        </w:rPr>
        <w:t> </w:t>
      </w:r>
      <w:r>
        <w:rPr>
          <w:color w:val="231F20"/>
        </w:rPr>
        <w:t>и</w:t>
      </w:r>
      <w:r>
        <w:rPr>
          <w:color w:val="231F20"/>
          <w:spacing w:val="-9"/>
        </w:rPr>
        <w:t> </w:t>
      </w:r>
      <w:r>
        <w:rPr>
          <w:color w:val="231F20"/>
        </w:rPr>
        <w:t>зоне</w:t>
      </w:r>
      <w:r>
        <w:rPr>
          <w:color w:val="231F20"/>
          <w:spacing w:val="-9"/>
        </w:rPr>
        <w:t> </w:t>
      </w:r>
      <w:r>
        <w:rPr>
          <w:color w:val="231F20"/>
        </w:rPr>
        <w:t>рекултива- ције; у границама овог лежишта (ван експлоатационог подручја) налази се </w:t>
      </w:r>
      <w:r>
        <w:rPr>
          <w:color w:val="231F20"/>
          <w:spacing w:val="-4"/>
        </w:rPr>
        <w:t>неколико </w:t>
      </w:r>
      <w:r>
        <w:rPr>
          <w:color w:val="231F20"/>
        </w:rPr>
        <w:t>насеља – Костолац, Костолац – село, Дрмно, Кличевац – део, Ћириковац, Кленовник, Брадарац и</w:t>
      </w:r>
      <w:r>
        <w:rPr>
          <w:color w:val="231F20"/>
          <w:spacing w:val="-16"/>
        </w:rPr>
        <w:t> </w:t>
      </w:r>
      <w:r>
        <w:rPr>
          <w:color w:val="231F20"/>
        </w:rPr>
        <w:t>Маљуревац;</w:t>
      </w:r>
    </w:p>
    <w:p>
      <w:pPr>
        <w:pStyle w:val="ListParagraph"/>
        <w:numPr>
          <w:ilvl w:val="0"/>
          <w:numId w:val="9"/>
        </w:numPr>
        <w:tabs>
          <w:tab w:pos="751" w:val="left" w:leader="none"/>
        </w:tabs>
        <w:spacing w:line="232" w:lineRule="auto" w:before="0" w:after="0"/>
        <w:ind w:left="170" w:right="412" w:firstLine="397"/>
        <w:jc w:val="both"/>
        <w:rPr>
          <w:sz w:val="18"/>
        </w:rPr>
      </w:pPr>
      <w:r>
        <w:rPr>
          <w:color w:val="231F20"/>
          <w:sz w:val="18"/>
        </w:rPr>
        <w:t>северозападно лежиште </w:t>
      </w:r>
      <w:r>
        <w:rPr>
          <w:color w:val="231F20"/>
          <w:spacing w:val="-3"/>
          <w:sz w:val="18"/>
        </w:rPr>
        <w:t>Костолачког </w:t>
      </w:r>
      <w:r>
        <w:rPr>
          <w:color w:val="231F20"/>
          <w:sz w:val="18"/>
        </w:rPr>
        <w:t>басена површине </w:t>
      </w:r>
      <w:r>
        <w:rPr>
          <w:color w:val="231F20"/>
          <w:spacing w:val="-4"/>
          <w:sz w:val="18"/>
        </w:rPr>
        <w:t>око </w:t>
      </w:r>
      <w:r>
        <w:rPr>
          <w:color w:val="231F20"/>
          <w:sz w:val="18"/>
        </w:rPr>
        <w:t>33,80</w:t>
      </w:r>
      <w:r>
        <w:rPr>
          <w:color w:val="231F20"/>
          <w:spacing w:val="-4"/>
          <w:sz w:val="18"/>
        </w:rPr>
        <w:t> </w:t>
      </w:r>
      <w:r>
        <w:rPr>
          <w:color w:val="231F20"/>
          <w:sz w:val="18"/>
        </w:rPr>
        <w:t>km²</w:t>
      </w:r>
      <w:r>
        <w:rPr>
          <w:color w:val="231F20"/>
          <w:spacing w:val="-4"/>
          <w:sz w:val="18"/>
        </w:rPr>
        <w:t> </w:t>
      </w:r>
      <w:r>
        <w:rPr>
          <w:color w:val="231F20"/>
          <w:sz w:val="18"/>
        </w:rPr>
        <w:t>налази</w:t>
      </w:r>
      <w:r>
        <w:rPr>
          <w:color w:val="231F20"/>
          <w:spacing w:val="-4"/>
          <w:sz w:val="18"/>
        </w:rPr>
        <w:t> </w:t>
      </w:r>
      <w:r>
        <w:rPr>
          <w:color w:val="231F20"/>
          <w:sz w:val="18"/>
        </w:rPr>
        <w:t>се</w:t>
      </w:r>
      <w:r>
        <w:rPr>
          <w:color w:val="231F20"/>
          <w:spacing w:val="-4"/>
          <w:sz w:val="18"/>
        </w:rPr>
        <w:t> </w:t>
      </w:r>
      <w:r>
        <w:rPr>
          <w:color w:val="231F20"/>
          <w:sz w:val="18"/>
        </w:rPr>
        <w:t>на</w:t>
      </w:r>
      <w:r>
        <w:rPr>
          <w:color w:val="231F20"/>
          <w:spacing w:val="-4"/>
          <w:sz w:val="18"/>
        </w:rPr>
        <w:t> </w:t>
      </w:r>
      <w:r>
        <w:rPr>
          <w:color w:val="231F20"/>
          <w:sz w:val="18"/>
        </w:rPr>
        <w:t>ушћу</w:t>
      </w:r>
      <w:r>
        <w:rPr>
          <w:color w:val="231F20"/>
          <w:spacing w:val="-4"/>
          <w:sz w:val="18"/>
        </w:rPr>
        <w:t> </w:t>
      </w:r>
      <w:r>
        <w:rPr>
          <w:color w:val="231F20"/>
          <w:sz w:val="18"/>
        </w:rPr>
        <w:t>Велике</w:t>
      </w:r>
      <w:r>
        <w:rPr>
          <w:color w:val="231F20"/>
          <w:spacing w:val="-4"/>
          <w:sz w:val="18"/>
        </w:rPr>
        <w:t> </w:t>
      </w:r>
      <w:r>
        <w:rPr>
          <w:color w:val="231F20"/>
          <w:sz w:val="18"/>
        </w:rPr>
        <w:t>Мораве</w:t>
      </w:r>
      <w:r>
        <w:rPr>
          <w:color w:val="231F20"/>
          <w:spacing w:val="-4"/>
          <w:sz w:val="18"/>
        </w:rPr>
        <w:t> </w:t>
      </w:r>
      <w:r>
        <w:rPr>
          <w:color w:val="231F20"/>
          <w:sz w:val="18"/>
        </w:rPr>
        <w:t>у</w:t>
      </w:r>
      <w:r>
        <w:rPr>
          <w:color w:val="231F20"/>
          <w:spacing w:val="-4"/>
          <w:sz w:val="18"/>
        </w:rPr>
        <w:t> </w:t>
      </w:r>
      <w:r>
        <w:rPr>
          <w:color w:val="231F20"/>
          <w:sz w:val="18"/>
        </w:rPr>
        <w:t>Дунав;</w:t>
      </w:r>
      <w:r>
        <w:rPr>
          <w:color w:val="231F20"/>
          <w:spacing w:val="-4"/>
          <w:sz w:val="18"/>
        </w:rPr>
        <w:t> </w:t>
      </w:r>
      <w:r>
        <w:rPr>
          <w:color w:val="231F20"/>
          <w:sz w:val="18"/>
        </w:rPr>
        <w:t>извршени</w:t>
      </w:r>
      <w:r>
        <w:rPr>
          <w:color w:val="231F20"/>
          <w:spacing w:val="-4"/>
          <w:sz w:val="18"/>
        </w:rPr>
        <w:t> </w:t>
      </w:r>
      <w:r>
        <w:rPr>
          <w:color w:val="231F20"/>
          <w:sz w:val="18"/>
        </w:rPr>
        <w:t>су претходни истражни радови; процена је да би експлоатација овог лежишта </w:t>
      </w:r>
      <w:r>
        <w:rPr>
          <w:color w:val="231F20"/>
          <w:spacing w:val="-3"/>
          <w:sz w:val="18"/>
        </w:rPr>
        <w:t>могла </w:t>
      </w:r>
      <w:r>
        <w:rPr>
          <w:color w:val="231F20"/>
          <w:sz w:val="18"/>
        </w:rPr>
        <w:t>да почне </w:t>
      </w:r>
      <w:r>
        <w:rPr>
          <w:color w:val="231F20"/>
          <w:spacing w:val="-4"/>
          <w:sz w:val="18"/>
        </w:rPr>
        <w:t>око </w:t>
      </w:r>
      <w:r>
        <w:rPr>
          <w:color w:val="231F20"/>
          <w:sz w:val="18"/>
        </w:rPr>
        <w:t>2022. године; у зони лежишта налазе се насеља Дубравица, Острово и Батовац</w:t>
      </w:r>
      <w:r>
        <w:rPr>
          <w:color w:val="231F20"/>
          <w:spacing w:val="-6"/>
          <w:sz w:val="18"/>
        </w:rPr>
        <w:t> </w:t>
      </w:r>
      <w:r>
        <w:rPr>
          <w:color w:val="231F20"/>
          <w:sz w:val="18"/>
        </w:rPr>
        <w:t>и</w:t>
      </w:r>
    </w:p>
    <w:p>
      <w:pPr>
        <w:pStyle w:val="ListParagraph"/>
        <w:numPr>
          <w:ilvl w:val="0"/>
          <w:numId w:val="9"/>
        </w:numPr>
        <w:tabs>
          <w:tab w:pos="746" w:val="left" w:leader="none"/>
        </w:tabs>
        <w:spacing w:line="232" w:lineRule="auto" w:before="0" w:after="0"/>
        <w:ind w:left="170" w:right="412" w:firstLine="397"/>
        <w:jc w:val="both"/>
        <w:rPr>
          <w:sz w:val="18"/>
        </w:rPr>
      </w:pPr>
      <w:r>
        <w:rPr>
          <w:color w:val="231F20"/>
          <w:spacing w:val="-3"/>
          <w:sz w:val="18"/>
        </w:rPr>
        <w:t>мрко-лигнитско </w:t>
      </w:r>
      <w:r>
        <w:rPr>
          <w:color w:val="231F20"/>
          <w:sz w:val="18"/>
        </w:rPr>
        <w:t>лежиште „Пољана” површине </w:t>
      </w:r>
      <w:r>
        <w:rPr>
          <w:color w:val="231F20"/>
          <w:spacing w:val="-4"/>
          <w:sz w:val="18"/>
        </w:rPr>
        <w:t>око </w:t>
      </w:r>
      <w:r>
        <w:rPr>
          <w:color w:val="231F20"/>
          <w:sz w:val="18"/>
        </w:rPr>
        <w:t>22,5 km² налази се јужно </w:t>
      </w:r>
      <w:r>
        <w:rPr>
          <w:color w:val="231F20"/>
          <w:spacing w:val="-4"/>
          <w:sz w:val="18"/>
        </w:rPr>
        <w:t>од </w:t>
      </w:r>
      <w:r>
        <w:rPr>
          <w:color w:val="231F20"/>
          <w:spacing w:val="-3"/>
          <w:sz w:val="18"/>
        </w:rPr>
        <w:t>градског </w:t>
      </w:r>
      <w:r>
        <w:rPr>
          <w:color w:val="231F20"/>
          <w:sz w:val="18"/>
        </w:rPr>
        <w:t>насеља Пожаревац; према садашњим проценама</w:t>
      </w:r>
      <w:r>
        <w:rPr>
          <w:color w:val="231F20"/>
          <w:spacing w:val="-12"/>
          <w:sz w:val="18"/>
        </w:rPr>
        <w:t> </w:t>
      </w:r>
      <w:r>
        <w:rPr>
          <w:color w:val="231F20"/>
          <w:sz w:val="18"/>
        </w:rPr>
        <w:t>ово</w:t>
      </w:r>
      <w:r>
        <w:rPr>
          <w:color w:val="231F20"/>
          <w:spacing w:val="-12"/>
          <w:sz w:val="18"/>
        </w:rPr>
        <w:t> </w:t>
      </w:r>
      <w:r>
        <w:rPr>
          <w:color w:val="231F20"/>
          <w:sz w:val="18"/>
        </w:rPr>
        <w:t>лежиште</w:t>
      </w:r>
      <w:r>
        <w:rPr>
          <w:color w:val="231F20"/>
          <w:spacing w:val="-12"/>
          <w:sz w:val="18"/>
        </w:rPr>
        <w:t> </w:t>
      </w:r>
      <w:r>
        <w:rPr>
          <w:color w:val="231F20"/>
          <w:sz w:val="18"/>
        </w:rPr>
        <w:t>није</w:t>
      </w:r>
      <w:r>
        <w:rPr>
          <w:color w:val="231F20"/>
          <w:spacing w:val="-12"/>
          <w:sz w:val="18"/>
        </w:rPr>
        <w:t> </w:t>
      </w:r>
      <w:r>
        <w:rPr>
          <w:color w:val="231F20"/>
          <w:sz w:val="18"/>
        </w:rPr>
        <w:t>предвиђено</w:t>
      </w:r>
      <w:r>
        <w:rPr>
          <w:color w:val="231F20"/>
          <w:spacing w:val="-12"/>
          <w:sz w:val="18"/>
        </w:rPr>
        <w:t> </w:t>
      </w:r>
      <w:r>
        <w:rPr>
          <w:color w:val="231F20"/>
          <w:sz w:val="18"/>
        </w:rPr>
        <w:t>за</w:t>
      </w:r>
      <w:r>
        <w:rPr>
          <w:color w:val="231F20"/>
          <w:spacing w:val="-12"/>
          <w:sz w:val="18"/>
        </w:rPr>
        <w:t> </w:t>
      </w:r>
      <w:r>
        <w:rPr>
          <w:color w:val="231F20"/>
          <w:sz w:val="18"/>
        </w:rPr>
        <w:t>експлоатацију</w:t>
      </w:r>
      <w:r>
        <w:rPr>
          <w:color w:val="231F20"/>
          <w:spacing w:val="-12"/>
          <w:sz w:val="18"/>
        </w:rPr>
        <w:t> </w:t>
      </w:r>
      <w:r>
        <w:rPr>
          <w:color w:val="231F20"/>
          <w:sz w:val="18"/>
        </w:rPr>
        <w:t>до</w:t>
      </w:r>
      <w:r>
        <w:rPr>
          <w:color w:val="231F20"/>
          <w:spacing w:val="-12"/>
          <w:sz w:val="18"/>
        </w:rPr>
        <w:t> </w:t>
      </w:r>
      <w:r>
        <w:rPr>
          <w:color w:val="231F20"/>
          <w:sz w:val="18"/>
        </w:rPr>
        <w:t>2022. </w:t>
      </w:r>
      <w:r>
        <w:rPr>
          <w:color w:val="231F20"/>
          <w:spacing w:val="-3"/>
          <w:sz w:val="18"/>
        </w:rPr>
        <w:t>године;</w:t>
      </w:r>
    </w:p>
    <w:p>
      <w:pPr>
        <w:pStyle w:val="ListParagraph"/>
        <w:numPr>
          <w:ilvl w:val="0"/>
          <w:numId w:val="8"/>
        </w:numPr>
        <w:tabs>
          <w:tab w:pos="778" w:val="left" w:leader="none"/>
        </w:tabs>
        <w:spacing w:line="232" w:lineRule="auto" w:before="0" w:after="0"/>
        <w:ind w:left="170" w:right="412" w:firstLine="397"/>
        <w:jc w:val="both"/>
        <w:rPr>
          <w:sz w:val="18"/>
        </w:rPr>
      </w:pPr>
      <w:r>
        <w:rPr>
          <w:i/>
          <w:color w:val="231F20"/>
          <w:sz w:val="18"/>
        </w:rPr>
        <w:t>зона истражних поља и експлоатације нафте и гаса </w:t>
      </w:r>
      <w:r>
        <w:rPr>
          <w:color w:val="231F20"/>
          <w:sz w:val="18"/>
        </w:rPr>
        <w:t>на- лази се у северном делу територије града Пожаревца и западном делу територије општине Велико Градиште и делимично се пре- клапа са зоном рударских</w:t>
      </w:r>
      <w:r>
        <w:rPr>
          <w:color w:val="231F20"/>
          <w:spacing w:val="-4"/>
          <w:sz w:val="18"/>
        </w:rPr>
        <w:t> </w:t>
      </w:r>
      <w:r>
        <w:rPr>
          <w:color w:val="231F20"/>
          <w:sz w:val="18"/>
        </w:rPr>
        <w:t>активности;</w:t>
      </w:r>
    </w:p>
    <w:p>
      <w:pPr>
        <w:pStyle w:val="ListParagraph"/>
        <w:numPr>
          <w:ilvl w:val="0"/>
          <w:numId w:val="8"/>
        </w:numPr>
        <w:tabs>
          <w:tab w:pos="795" w:val="left" w:leader="none"/>
        </w:tabs>
        <w:spacing w:line="232" w:lineRule="auto" w:before="0" w:after="0"/>
        <w:ind w:left="170" w:right="411" w:firstLine="397"/>
        <w:jc w:val="both"/>
        <w:rPr>
          <w:sz w:val="18"/>
        </w:rPr>
      </w:pPr>
      <w:r>
        <w:rPr>
          <w:i/>
          <w:color w:val="231F20"/>
          <w:sz w:val="18"/>
        </w:rPr>
        <w:t>дунавски саобраћајни, привредни и туристички коридор </w:t>
      </w:r>
      <w:r>
        <w:rPr>
          <w:color w:val="231F20"/>
          <w:sz w:val="18"/>
        </w:rPr>
        <w:t>обухвата акваторијум и приобални појас Дунава у северном делу Планског подручја и делимично се преклапа са зоном рударских активности и зоном истражних поља нафте и гаса</w:t>
      </w:r>
      <w:r>
        <w:rPr>
          <w:color w:val="231F20"/>
          <w:spacing w:val="-7"/>
          <w:sz w:val="18"/>
        </w:rPr>
        <w:t> </w:t>
      </w:r>
      <w:r>
        <w:rPr>
          <w:color w:val="231F20"/>
          <w:sz w:val="18"/>
        </w:rPr>
        <w:t>и</w:t>
      </w:r>
    </w:p>
    <w:p>
      <w:pPr>
        <w:pStyle w:val="ListParagraph"/>
        <w:numPr>
          <w:ilvl w:val="0"/>
          <w:numId w:val="8"/>
        </w:numPr>
        <w:tabs>
          <w:tab w:pos="788" w:val="left" w:leader="none"/>
        </w:tabs>
        <w:spacing w:line="232" w:lineRule="auto" w:before="0" w:after="0"/>
        <w:ind w:left="170" w:right="412" w:firstLine="397"/>
        <w:jc w:val="right"/>
        <w:rPr>
          <w:sz w:val="18"/>
        </w:rPr>
      </w:pPr>
      <w:r>
        <w:rPr>
          <w:i/>
          <w:color w:val="231F20"/>
          <w:spacing w:val="-6"/>
          <w:sz w:val="18"/>
        </w:rPr>
        <w:t>археолошко </w:t>
      </w:r>
      <w:r>
        <w:rPr>
          <w:i/>
          <w:color w:val="231F20"/>
          <w:spacing w:val="-5"/>
          <w:sz w:val="18"/>
        </w:rPr>
        <w:t>налазиште „Виминацијум” </w:t>
      </w:r>
      <w:r>
        <w:rPr>
          <w:color w:val="231F20"/>
          <w:spacing w:val="-5"/>
          <w:sz w:val="18"/>
        </w:rPr>
        <w:t>површине</w:t>
      </w:r>
      <w:r>
        <w:rPr>
          <w:color w:val="231F20"/>
          <w:spacing w:val="25"/>
          <w:sz w:val="18"/>
        </w:rPr>
        <w:t> </w:t>
      </w:r>
      <w:r>
        <w:rPr>
          <w:color w:val="231F20"/>
          <w:spacing w:val="-7"/>
          <w:sz w:val="18"/>
        </w:rPr>
        <w:t>око</w:t>
      </w:r>
      <w:r>
        <w:rPr>
          <w:color w:val="231F20"/>
          <w:spacing w:val="-6"/>
          <w:sz w:val="18"/>
        </w:rPr>
        <w:t> </w:t>
      </w:r>
      <w:r>
        <w:rPr>
          <w:color w:val="231F20"/>
          <w:spacing w:val="-4"/>
          <w:sz w:val="18"/>
        </w:rPr>
        <w:t>3.55</w:t>
      </w:r>
      <w:r>
        <w:rPr>
          <w:color w:val="231F20"/>
          <w:sz w:val="18"/>
        </w:rPr>
        <w:t> </w:t>
      </w:r>
      <w:r>
        <w:rPr>
          <w:color w:val="231F20"/>
          <w:spacing w:val="-4"/>
          <w:sz w:val="18"/>
        </w:rPr>
        <w:t>km² налази </w:t>
      </w:r>
      <w:r>
        <w:rPr>
          <w:color w:val="231F20"/>
          <w:sz w:val="18"/>
        </w:rPr>
        <w:t>се у </w:t>
      </w:r>
      <w:r>
        <w:rPr>
          <w:color w:val="231F20"/>
          <w:spacing w:val="-5"/>
          <w:sz w:val="18"/>
        </w:rPr>
        <w:t>средишњем </w:t>
      </w:r>
      <w:r>
        <w:rPr>
          <w:color w:val="231F20"/>
          <w:spacing w:val="-4"/>
          <w:sz w:val="18"/>
        </w:rPr>
        <w:t>делу </w:t>
      </w:r>
      <w:r>
        <w:rPr>
          <w:color w:val="231F20"/>
          <w:spacing w:val="-5"/>
          <w:sz w:val="18"/>
        </w:rPr>
        <w:t>централног</w:t>
      </w:r>
      <w:r>
        <w:rPr>
          <w:color w:val="231F20"/>
          <w:spacing w:val="17"/>
          <w:sz w:val="18"/>
        </w:rPr>
        <w:t> </w:t>
      </w:r>
      <w:r>
        <w:rPr>
          <w:color w:val="231F20"/>
          <w:spacing w:val="-6"/>
          <w:sz w:val="18"/>
        </w:rPr>
        <w:t>лигнитског</w:t>
      </w:r>
      <w:r>
        <w:rPr>
          <w:color w:val="231F20"/>
          <w:spacing w:val="27"/>
          <w:sz w:val="18"/>
        </w:rPr>
        <w:t> </w:t>
      </w:r>
      <w:r>
        <w:rPr>
          <w:color w:val="231F20"/>
          <w:spacing w:val="-4"/>
          <w:sz w:val="18"/>
        </w:rPr>
        <w:t>лежишта</w:t>
      </w:r>
      <w:r>
        <w:rPr>
          <w:color w:val="231F20"/>
          <w:sz w:val="18"/>
        </w:rPr>
        <w:t> </w:t>
      </w:r>
      <w:r>
        <w:rPr>
          <w:color w:val="231F20"/>
          <w:spacing w:val="-6"/>
          <w:sz w:val="18"/>
        </w:rPr>
        <w:t>окружено </w:t>
      </w:r>
      <w:r>
        <w:rPr>
          <w:color w:val="231F20"/>
          <w:spacing w:val="-5"/>
          <w:sz w:val="18"/>
        </w:rPr>
        <w:t>површинским </w:t>
      </w:r>
      <w:r>
        <w:rPr>
          <w:color w:val="231F20"/>
          <w:spacing w:val="-7"/>
          <w:sz w:val="18"/>
        </w:rPr>
        <w:t>копом </w:t>
      </w:r>
      <w:r>
        <w:rPr>
          <w:color w:val="231F20"/>
          <w:spacing w:val="-5"/>
          <w:sz w:val="18"/>
        </w:rPr>
        <w:t>„Дрмно”, </w:t>
      </w:r>
      <w:r>
        <w:rPr>
          <w:color w:val="231F20"/>
          <w:spacing w:val="-4"/>
          <w:sz w:val="18"/>
        </w:rPr>
        <w:t>насељем </w:t>
      </w:r>
      <w:r>
        <w:rPr>
          <w:color w:val="231F20"/>
          <w:spacing w:val="-6"/>
          <w:sz w:val="18"/>
        </w:rPr>
        <w:t>Дрмном</w:t>
      </w:r>
      <w:r>
        <w:rPr>
          <w:color w:val="231F20"/>
          <w:spacing w:val="-15"/>
          <w:sz w:val="18"/>
        </w:rPr>
        <w:t> </w:t>
      </w:r>
      <w:r>
        <w:rPr>
          <w:color w:val="231F20"/>
          <w:sz w:val="18"/>
        </w:rPr>
        <w:t>и</w:t>
      </w:r>
      <w:r>
        <w:rPr>
          <w:color w:val="231F20"/>
          <w:spacing w:val="-7"/>
          <w:sz w:val="18"/>
        </w:rPr>
        <w:t> </w:t>
      </w:r>
      <w:r>
        <w:rPr>
          <w:color w:val="231F20"/>
          <w:spacing w:val="-6"/>
          <w:sz w:val="18"/>
        </w:rPr>
        <w:t>комплек-</w:t>
      </w:r>
      <w:r>
        <w:rPr>
          <w:color w:val="231F20"/>
          <w:sz w:val="18"/>
        </w:rPr>
        <w:t> </w:t>
      </w:r>
      <w:r>
        <w:rPr>
          <w:color w:val="231F20"/>
          <w:spacing w:val="-5"/>
          <w:sz w:val="18"/>
        </w:rPr>
        <w:t>сом </w:t>
      </w:r>
      <w:r>
        <w:rPr>
          <w:color w:val="231F20"/>
          <w:spacing w:val="-3"/>
          <w:sz w:val="18"/>
        </w:rPr>
        <w:t>ТЕ </w:t>
      </w:r>
      <w:r>
        <w:rPr>
          <w:color w:val="231F20"/>
          <w:spacing w:val="-6"/>
          <w:sz w:val="18"/>
        </w:rPr>
        <w:t>„Костолац </w:t>
      </w:r>
      <w:r>
        <w:rPr>
          <w:color w:val="231F20"/>
          <w:spacing w:val="-4"/>
          <w:sz w:val="18"/>
        </w:rPr>
        <w:t>Б”; </w:t>
      </w:r>
      <w:r>
        <w:rPr>
          <w:color w:val="231F20"/>
          <w:spacing w:val="-5"/>
          <w:sz w:val="18"/>
        </w:rPr>
        <w:t>границе </w:t>
      </w:r>
      <w:r>
        <w:rPr>
          <w:color w:val="231F20"/>
          <w:sz w:val="18"/>
        </w:rPr>
        <w:t>и </w:t>
      </w:r>
      <w:r>
        <w:rPr>
          <w:color w:val="231F20"/>
          <w:spacing w:val="-4"/>
          <w:sz w:val="18"/>
        </w:rPr>
        <w:t>режим </w:t>
      </w:r>
      <w:r>
        <w:rPr>
          <w:color w:val="231F20"/>
          <w:spacing w:val="-5"/>
          <w:sz w:val="18"/>
        </w:rPr>
        <w:t>заштите</w:t>
      </w:r>
      <w:r>
        <w:rPr>
          <w:color w:val="231F20"/>
          <w:spacing w:val="27"/>
          <w:sz w:val="18"/>
        </w:rPr>
        <w:t> </w:t>
      </w:r>
      <w:r>
        <w:rPr>
          <w:color w:val="231F20"/>
          <w:spacing w:val="-5"/>
          <w:sz w:val="18"/>
        </w:rPr>
        <w:t>локалитета</w:t>
      </w:r>
      <w:r>
        <w:rPr>
          <w:color w:val="231F20"/>
          <w:sz w:val="18"/>
        </w:rPr>
        <w:t> </w:t>
      </w:r>
      <w:r>
        <w:rPr>
          <w:color w:val="231F20"/>
          <w:spacing w:val="-5"/>
          <w:sz w:val="18"/>
        </w:rPr>
        <w:t>утврђени</w:t>
      </w:r>
      <w:r>
        <w:rPr>
          <w:color w:val="231F20"/>
          <w:sz w:val="18"/>
        </w:rPr>
        <w:t> </w:t>
      </w:r>
      <w:r>
        <w:rPr>
          <w:color w:val="231F20"/>
          <w:spacing w:val="-4"/>
          <w:sz w:val="18"/>
        </w:rPr>
        <w:t>су </w:t>
      </w:r>
      <w:r>
        <w:rPr>
          <w:color w:val="231F20"/>
          <w:spacing w:val="-7"/>
          <w:sz w:val="18"/>
        </w:rPr>
        <w:t>Одлуком </w:t>
      </w:r>
      <w:r>
        <w:rPr>
          <w:color w:val="231F20"/>
          <w:sz w:val="18"/>
        </w:rPr>
        <w:t>о </w:t>
      </w:r>
      <w:r>
        <w:rPr>
          <w:color w:val="231F20"/>
          <w:spacing w:val="-5"/>
          <w:sz w:val="18"/>
        </w:rPr>
        <w:t>утврђивању локалитета Виминацијм </w:t>
      </w:r>
      <w:r>
        <w:rPr>
          <w:color w:val="231F20"/>
          <w:spacing w:val="-3"/>
          <w:sz w:val="18"/>
        </w:rPr>
        <w:t>на</w:t>
      </w:r>
      <w:r>
        <w:rPr>
          <w:color w:val="231F20"/>
          <w:spacing w:val="32"/>
          <w:sz w:val="18"/>
        </w:rPr>
        <w:t> </w:t>
      </w:r>
      <w:r>
        <w:rPr>
          <w:color w:val="231F20"/>
          <w:spacing w:val="-5"/>
          <w:sz w:val="18"/>
        </w:rPr>
        <w:t>атару</w:t>
      </w:r>
      <w:r>
        <w:rPr>
          <w:color w:val="231F20"/>
          <w:spacing w:val="0"/>
          <w:sz w:val="18"/>
        </w:rPr>
        <w:t> </w:t>
      </w:r>
      <w:r>
        <w:rPr>
          <w:color w:val="231F20"/>
          <w:spacing w:val="-6"/>
          <w:sz w:val="18"/>
        </w:rPr>
        <w:t>Костолац</w:t>
      </w:r>
      <w:r>
        <w:rPr>
          <w:color w:val="231F20"/>
          <w:sz w:val="18"/>
        </w:rPr>
        <w:t> </w:t>
      </w:r>
      <w:r>
        <w:rPr>
          <w:color w:val="231F20"/>
          <w:spacing w:val="-4"/>
          <w:sz w:val="18"/>
        </w:rPr>
        <w:t>Село </w:t>
      </w:r>
      <w:r>
        <w:rPr>
          <w:color w:val="231F20"/>
          <w:spacing w:val="-3"/>
          <w:sz w:val="18"/>
        </w:rPr>
        <w:t>за </w:t>
      </w:r>
      <w:r>
        <w:rPr>
          <w:color w:val="231F20"/>
          <w:spacing w:val="-6"/>
          <w:sz w:val="18"/>
        </w:rPr>
        <w:t>археолошко </w:t>
      </w:r>
      <w:r>
        <w:rPr>
          <w:color w:val="231F20"/>
          <w:spacing w:val="-5"/>
          <w:sz w:val="18"/>
        </w:rPr>
        <w:t>налазиште </w:t>
      </w:r>
      <w:r>
        <w:rPr>
          <w:color w:val="231F20"/>
          <w:spacing w:val="-6"/>
          <w:sz w:val="18"/>
        </w:rPr>
        <w:t>(„Службени гласник </w:t>
      </w:r>
      <w:r>
        <w:rPr>
          <w:color w:val="231F20"/>
          <w:spacing w:val="-4"/>
          <w:sz w:val="18"/>
        </w:rPr>
        <w:t>РС”,</w:t>
      </w:r>
      <w:r>
        <w:rPr>
          <w:color w:val="231F20"/>
          <w:spacing w:val="-20"/>
          <w:sz w:val="18"/>
        </w:rPr>
        <w:t> </w:t>
      </w:r>
      <w:r>
        <w:rPr>
          <w:color w:val="231F20"/>
          <w:spacing w:val="-4"/>
          <w:sz w:val="18"/>
        </w:rPr>
        <w:t>брoj</w:t>
      </w:r>
      <w:r>
        <w:rPr>
          <w:color w:val="231F20"/>
          <w:spacing w:val="-8"/>
          <w:sz w:val="18"/>
        </w:rPr>
        <w:t> </w:t>
      </w:r>
      <w:r>
        <w:rPr>
          <w:color w:val="231F20"/>
          <w:spacing w:val="-5"/>
          <w:sz w:val="18"/>
        </w:rPr>
        <w:t>102/09).</w:t>
      </w:r>
      <w:r>
        <w:rPr>
          <w:color w:val="231F20"/>
          <w:sz w:val="18"/>
        </w:rPr>
        <w:t> Планским подручјем обухваћене су још насеља,</w:t>
      </w:r>
      <w:r>
        <w:rPr>
          <w:color w:val="231F20"/>
          <w:spacing w:val="-26"/>
          <w:sz w:val="18"/>
        </w:rPr>
        <w:t> </w:t>
      </w:r>
      <w:r>
        <w:rPr>
          <w:color w:val="231F20"/>
          <w:sz w:val="18"/>
        </w:rPr>
        <w:t>инфраструк-</w:t>
      </w:r>
    </w:p>
    <w:p>
      <w:pPr>
        <w:pStyle w:val="BodyText"/>
        <w:spacing w:line="193" w:lineRule="exact"/>
        <w:jc w:val="left"/>
      </w:pPr>
      <w:r>
        <w:rPr>
          <w:color w:val="231F20"/>
        </w:rPr>
        <w:t>турни коридори и друге намене:</w:t>
      </w:r>
    </w:p>
    <w:p>
      <w:pPr>
        <w:pStyle w:val="ListParagraph"/>
        <w:numPr>
          <w:ilvl w:val="0"/>
          <w:numId w:val="11"/>
        </w:numPr>
        <w:tabs>
          <w:tab w:pos="772" w:val="left" w:leader="none"/>
        </w:tabs>
        <w:spacing w:line="232" w:lineRule="auto" w:before="0" w:after="0"/>
        <w:ind w:left="170" w:right="412" w:firstLine="397"/>
        <w:jc w:val="both"/>
        <w:rPr>
          <w:sz w:val="18"/>
        </w:rPr>
      </w:pPr>
      <w:r>
        <w:rPr>
          <w:color w:val="231F20"/>
          <w:sz w:val="18"/>
        </w:rPr>
        <w:t>градска и сеоска насеља на подручју града Пожаревца и (дела) општине Велико</w:t>
      </w:r>
      <w:r>
        <w:rPr>
          <w:color w:val="231F20"/>
          <w:spacing w:val="-4"/>
          <w:sz w:val="18"/>
        </w:rPr>
        <w:t> </w:t>
      </w:r>
      <w:r>
        <w:rPr>
          <w:color w:val="231F20"/>
          <w:sz w:val="18"/>
        </w:rPr>
        <w:t>Градиште.</w:t>
      </w:r>
    </w:p>
    <w:p>
      <w:pPr>
        <w:pStyle w:val="ListParagraph"/>
        <w:numPr>
          <w:ilvl w:val="0"/>
          <w:numId w:val="11"/>
        </w:numPr>
        <w:tabs>
          <w:tab w:pos="779" w:val="left" w:leader="none"/>
        </w:tabs>
        <w:spacing w:line="232" w:lineRule="auto" w:before="0" w:after="0"/>
        <w:ind w:left="171" w:right="411" w:firstLine="396"/>
        <w:jc w:val="both"/>
        <w:rPr>
          <w:sz w:val="18"/>
        </w:rPr>
      </w:pPr>
      <w:r>
        <w:rPr>
          <w:color w:val="231F20"/>
          <w:sz w:val="18"/>
        </w:rPr>
        <w:t>пољопривредно и </w:t>
      </w:r>
      <w:r>
        <w:rPr>
          <w:color w:val="231F20"/>
          <w:spacing w:val="-3"/>
          <w:sz w:val="18"/>
        </w:rPr>
        <w:t>шумско </w:t>
      </w:r>
      <w:r>
        <w:rPr>
          <w:color w:val="231F20"/>
          <w:sz w:val="18"/>
        </w:rPr>
        <w:t>земљиште, </w:t>
      </w:r>
      <w:r>
        <w:rPr>
          <w:color w:val="231F20"/>
          <w:spacing w:val="-3"/>
          <w:sz w:val="18"/>
        </w:rPr>
        <w:t>које </w:t>
      </w:r>
      <w:r>
        <w:rPr>
          <w:color w:val="231F20"/>
          <w:sz w:val="18"/>
        </w:rPr>
        <w:t>се делимично налази у зонама рударских активности и истражних поља нафте и гаса, као и у приобалном појасу</w:t>
      </w:r>
      <w:r>
        <w:rPr>
          <w:color w:val="231F20"/>
          <w:spacing w:val="-4"/>
          <w:sz w:val="18"/>
        </w:rPr>
        <w:t> </w:t>
      </w:r>
      <w:r>
        <w:rPr>
          <w:color w:val="231F20"/>
          <w:sz w:val="18"/>
        </w:rPr>
        <w:t>Дунава;</w:t>
      </w:r>
    </w:p>
    <w:p>
      <w:pPr>
        <w:pStyle w:val="ListParagraph"/>
        <w:numPr>
          <w:ilvl w:val="0"/>
          <w:numId w:val="11"/>
        </w:numPr>
        <w:tabs>
          <w:tab w:pos="776" w:val="left" w:leader="none"/>
        </w:tabs>
        <w:spacing w:line="232" w:lineRule="auto" w:before="0" w:after="0"/>
        <w:ind w:left="171" w:right="411" w:firstLine="397"/>
        <w:jc w:val="both"/>
        <w:rPr>
          <w:sz w:val="18"/>
        </w:rPr>
      </w:pPr>
      <w:r>
        <w:rPr>
          <w:color w:val="231F20"/>
          <w:sz w:val="18"/>
        </w:rPr>
        <w:t>инфраструктурни коридори: саобраћајнице, енергетски и телекомуникациони водови и водотоци</w:t>
      </w:r>
      <w:r>
        <w:rPr>
          <w:color w:val="231F20"/>
          <w:spacing w:val="-8"/>
          <w:sz w:val="18"/>
        </w:rPr>
        <w:t> </w:t>
      </w:r>
      <w:r>
        <w:rPr>
          <w:color w:val="231F20"/>
          <w:sz w:val="18"/>
        </w:rPr>
        <w:t>и</w:t>
      </w:r>
    </w:p>
    <w:p>
      <w:pPr>
        <w:pStyle w:val="ListParagraph"/>
        <w:numPr>
          <w:ilvl w:val="0"/>
          <w:numId w:val="11"/>
        </w:numPr>
        <w:tabs>
          <w:tab w:pos="749" w:val="left" w:leader="none"/>
        </w:tabs>
        <w:spacing w:line="200" w:lineRule="exact" w:before="0" w:after="0"/>
        <w:ind w:left="748" w:right="0" w:hanging="180"/>
        <w:jc w:val="left"/>
        <w:rPr>
          <w:sz w:val="18"/>
        </w:rPr>
      </w:pPr>
      <w:r>
        <w:rPr>
          <w:color w:val="231F20"/>
          <w:sz w:val="18"/>
        </w:rPr>
        <w:t>друге</w:t>
      </w:r>
      <w:r>
        <w:rPr>
          <w:color w:val="231F20"/>
          <w:spacing w:val="-1"/>
          <w:sz w:val="18"/>
        </w:rPr>
        <w:t> </w:t>
      </w:r>
      <w:r>
        <w:rPr>
          <w:color w:val="231F20"/>
          <w:sz w:val="18"/>
        </w:rPr>
        <w:t>намене.</w:t>
      </w:r>
    </w:p>
    <w:p>
      <w:pPr>
        <w:pStyle w:val="BodyText"/>
        <w:spacing w:before="1"/>
        <w:ind w:left="0"/>
        <w:jc w:val="left"/>
        <w:rPr>
          <w:sz w:val="3"/>
        </w:rPr>
      </w:pPr>
    </w:p>
    <w:p>
      <w:pPr>
        <w:pStyle w:val="BodyText"/>
        <w:ind w:left="171"/>
        <w:jc w:val="left"/>
        <w:rPr>
          <w:sz w:val="20"/>
        </w:rPr>
      </w:pPr>
      <w:r>
        <w:rPr>
          <w:sz w:val="20"/>
        </w:rPr>
        <w:drawing>
          <wp:inline distT="0" distB="0" distL="0" distR="0">
            <wp:extent cx="3200223" cy="429920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200223" cy="4299204"/>
                    </a:xfrm>
                    <a:prstGeom prst="rect">
                      <a:avLst/>
                    </a:prstGeom>
                  </pic:spPr>
                </pic:pic>
              </a:graphicData>
            </a:graphic>
          </wp:inline>
        </w:drawing>
      </w:r>
      <w:r>
        <w:rPr>
          <w:sz w:val="20"/>
        </w:rPr>
      </w:r>
    </w:p>
    <w:p>
      <w:pPr>
        <w:spacing w:after="0"/>
        <w:jc w:val="left"/>
        <w:rPr>
          <w:sz w:val="20"/>
        </w:rPr>
        <w:sectPr>
          <w:pgSz w:w="12480" w:h="15690"/>
          <w:pgMar w:top="120" w:bottom="280" w:left="680" w:right="720"/>
          <w:cols w:num="2" w:equalWidth="0">
            <w:col w:w="5317" w:space="68"/>
            <w:col w:w="5695"/>
          </w:cols>
        </w:sectPr>
      </w:pPr>
    </w:p>
    <w:p>
      <w:pPr>
        <w:pStyle w:val="BodyText"/>
        <w:spacing w:line="232" w:lineRule="auto" w:before="73"/>
        <w:ind w:left="453" w:firstLine="396"/>
      </w:pPr>
      <w:r>
        <w:rPr/>
        <w:pict>
          <v:line style="position:absolute;mso-position-horizontal-relative:page;mso-position-vertical-relative:page;z-index:1120" from="318.897614pt,11.94295pt" to="318.897614pt,748.95095pt" stroked="true" strokeweight=".6pt" strokecolor="#231f20">
            <v:stroke dashstyle="solid"/>
            <w10:wrap type="none"/>
          </v:line>
        </w:pict>
      </w:r>
      <w:r>
        <w:rPr>
          <w:color w:val="231F20"/>
        </w:rPr>
        <w:t>Посебну</w:t>
      </w:r>
      <w:r>
        <w:rPr>
          <w:color w:val="231F20"/>
          <w:spacing w:val="-7"/>
        </w:rPr>
        <w:t> </w:t>
      </w:r>
      <w:r>
        <w:rPr>
          <w:color w:val="231F20"/>
        </w:rPr>
        <w:t>просторну</w:t>
      </w:r>
      <w:r>
        <w:rPr>
          <w:color w:val="231F20"/>
          <w:spacing w:val="-7"/>
        </w:rPr>
        <w:t> </w:t>
      </w:r>
      <w:r>
        <w:rPr>
          <w:color w:val="231F20"/>
        </w:rPr>
        <w:t>целину</w:t>
      </w:r>
      <w:r>
        <w:rPr>
          <w:color w:val="231F20"/>
          <w:spacing w:val="-7"/>
        </w:rPr>
        <w:t> </w:t>
      </w:r>
      <w:r>
        <w:rPr>
          <w:color w:val="231F20"/>
        </w:rPr>
        <w:t>представља</w:t>
      </w:r>
      <w:r>
        <w:rPr>
          <w:color w:val="231F20"/>
          <w:spacing w:val="-7"/>
        </w:rPr>
        <w:t> </w:t>
      </w:r>
      <w:r>
        <w:rPr>
          <w:color w:val="231F20"/>
        </w:rPr>
        <w:t>градско</w:t>
      </w:r>
      <w:r>
        <w:rPr>
          <w:color w:val="231F20"/>
          <w:spacing w:val="-7"/>
        </w:rPr>
        <w:t> </w:t>
      </w:r>
      <w:r>
        <w:rPr>
          <w:color w:val="231F20"/>
        </w:rPr>
        <w:t>подручје</w:t>
      </w:r>
      <w:r>
        <w:rPr>
          <w:color w:val="231F20"/>
          <w:spacing w:val="-7"/>
        </w:rPr>
        <w:t> </w:t>
      </w:r>
      <w:r>
        <w:rPr>
          <w:color w:val="231F20"/>
        </w:rPr>
        <w:t>По- жаревца због пространости, броја становника, функционалног и привредног капацитета, културног наслеђа и</w:t>
      </w:r>
      <w:r>
        <w:rPr>
          <w:color w:val="231F20"/>
          <w:spacing w:val="-10"/>
        </w:rPr>
        <w:t> </w:t>
      </w:r>
      <w:r>
        <w:rPr>
          <w:color w:val="231F20"/>
        </w:rPr>
        <w:t>друго.</w:t>
      </w:r>
    </w:p>
    <w:p>
      <w:pPr>
        <w:pStyle w:val="BodyText"/>
        <w:spacing w:line="232" w:lineRule="auto"/>
        <w:ind w:left="454" w:firstLine="396"/>
      </w:pPr>
      <w:r>
        <w:rPr>
          <w:color w:val="231F20"/>
        </w:rPr>
        <w:t>Планско подручје обухвата и просторне целине и инфра- структурне коридоре посебне намене за </w:t>
      </w:r>
      <w:r>
        <w:rPr>
          <w:color w:val="231F20"/>
          <w:spacing w:val="-3"/>
        </w:rPr>
        <w:t>које </w:t>
      </w:r>
      <w:r>
        <w:rPr>
          <w:color w:val="231F20"/>
        </w:rPr>
        <w:t>се у Просторном</w:t>
      </w:r>
      <w:r>
        <w:rPr>
          <w:color w:val="231F20"/>
          <w:spacing w:val="-29"/>
        </w:rPr>
        <w:t> </w:t>
      </w:r>
      <w:r>
        <w:rPr>
          <w:color w:val="231F20"/>
        </w:rPr>
        <w:t>пла- ну утврђују правила изградње и правила уређења простора, одно- сно, регулациона</w:t>
      </w:r>
      <w:r>
        <w:rPr>
          <w:color w:val="231F20"/>
          <w:spacing w:val="-2"/>
        </w:rPr>
        <w:t> </w:t>
      </w:r>
      <w:r>
        <w:rPr>
          <w:color w:val="231F20"/>
        </w:rPr>
        <w:t>решења:</w:t>
      </w:r>
    </w:p>
    <w:p>
      <w:pPr>
        <w:pStyle w:val="ListParagraph"/>
        <w:numPr>
          <w:ilvl w:val="1"/>
          <w:numId w:val="11"/>
        </w:numPr>
        <w:tabs>
          <w:tab w:pos="1047" w:val="left" w:leader="none"/>
        </w:tabs>
        <w:spacing w:line="199" w:lineRule="exact" w:before="0" w:after="0"/>
        <w:ind w:left="454" w:right="0" w:firstLine="397"/>
        <w:jc w:val="left"/>
        <w:rPr>
          <w:sz w:val="18"/>
        </w:rPr>
      </w:pPr>
      <w:r>
        <w:rPr>
          <w:color w:val="231F20"/>
          <w:spacing w:val="-3"/>
          <w:sz w:val="18"/>
        </w:rPr>
        <w:t>комплекс </w:t>
      </w:r>
      <w:r>
        <w:rPr>
          <w:color w:val="231F20"/>
          <w:sz w:val="18"/>
        </w:rPr>
        <w:t>Површински </w:t>
      </w:r>
      <w:r>
        <w:rPr>
          <w:color w:val="231F20"/>
          <w:spacing w:val="-4"/>
          <w:sz w:val="18"/>
        </w:rPr>
        <w:t>коп</w:t>
      </w:r>
      <w:r>
        <w:rPr>
          <w:color w:val="231F20"/>
          <w:spacing w:val="1"/>
          <w:sz w:val="18"/>
        </w:rPr>
        <w:t> </w:t>
      </w:r>
      <w:r>
        <w:rPr>
          <w:color w:val="231F20"/>
          <w:sz w:val="18"/>
        </w:rPr>
        <w:t>„Дрмно”;</w:t>
      </w:r>
    </w:p>
    <w:p>
      <w:pPr>
        <w:pStyle w:val="ListParagraph"/>
        <w:numPr>
          <w:ilvl w:val="1"/>
          <w:numId w:val="11"/>
        </w:numPr>
        <w:tabs>
          <w:tab w:pos="1082" w:val="left" w:leader="none"/>
        </w:tabs>
        <w:spacing w:line="201" w:lineRule="exact" w:before="0" w:after="0"/>
        <w:ind w:left="1081" w:right="0" w:hanging="230"/>
        <w:jc w:val="left"/>
        <w:rPr>
          <w:sz w:val="18"/>
        </w:rPr>
      </w:pPr>
      <w:r>
        <w:rPr>
          <w:color w:val="231F20"/>
          <w:sz w:val="18"/>
        </w:rPr>
        <w:t>коридор</w:t>
      </w:r>
      <w:r>
        <w:rPr>
          <w:color w:val="231F20"/>
          <w:spacing w:val="26"/>
          <w:sz w:val="18"/>
        </w:rPr>
        <w:t> </w:t>
      </w:r>
      <w:r>
        <w:rPr>
          <w:color w:val="231F20"/>
          <w:sz w:val="18"/>
        </w:rPr>
        <w:t>трачног</w:t>
      </w:r>
      <w:r>
        <w:rPr>
          <w:color w:val="231F20"/>
          <w:spacing w:val="26"/>
          <w:sz w:val="18"/>
        </w:rPr>
        <w:t> </w:t>
      </w:r>
      <w:r>
        <w:rPr>
          <w:color w:val="231F20"/>
          <w:sz w:val="18"/>
        </w:rPr>
        <w:t>транспорта</w:t>
      </w:r>
      <w:r>
        <w:rPr>
          <w:color w:val="231F20"/>
          <w:spacing w:val="26"/>
          <w:sz w:val="18"/>
        </w:rPr>
        <w:t> </w:t>
      </w:r>
      <w:r>
        <w:rPr>
          <w:color w:val="231F20"/>
          <w:sz w:val="18"/>
        </w:rPr>
        <w:t>за</w:t>
      </w:r>
      <w:r>
        <w:rPr>
          <w:color w:val="231F20"/>
          <w:spacing w:val="26"/>
          <w:sz w:val="18"/>
        </w:rPr>
        <w:t> </w:t>
      </w:r>
      <w:r>
        <w:rPr>
          <w:color w:val="231F20"/>
          <w:sz w:val="18"/>
        </w:rPr>
        <w:t>угаљ</w:t>
      </w:r>
      <w:r>
        <w:rPr>
          <w:color w:val="231F20"/>
          <w:spacing w:val="26"/>
          <w:sz w:val="18"/>
        </w:rPr>
        <w:t> </w:t>
      </w:r>
      <w:r>
        <w:rPr>
          <w:color w:val="231F20"/>
          <w:sz w:val="18"/>
        </w:rPr>
        <w:t>ПК</w:t>
      </w:r>
      <w:r>
        <w:rPr>
          <w:color w:val="231F20"/>
          <w:spacing w:val="26"/>
          <w:sz w:val="18"/>
        </w:rPr>
        <w:t> </w:t>
      </w:r>
      <w:r>
        <w:rPr>
          <w:color w:val="231F20"/>
          <w:sz w:val="18"/>
        </w:rPr>
        <w:t>„Дрмно”</w:t>
      </w:r>
      <w:r>
        <w:rPr>
          <w:color w:val="231F20"/>
          <w:spacing w:val="10"/>
          <w:sz w:val="18"/>
        </w:rPr>
        <w:t> </w:t>
      </w:r>
      <w:r>
        <w:rPr>
          <w:color w:val="231F20"/>
          <w:sz w:val="18"/>
        </w:rPr>
        <w:t>–</w:t>
      </w:r>
      <w:r>
        <w:rPr>
          <w:color w:val="231F20"/>
          <w:spacing w:val="26"/>
          <w:sz w:val="18"/>
        </w:rPr>
        <w:t> </w:t>
      </w:r>
      <w:r>
        <w:rPr>
          <w:color w:val="231F20"/>
          <w:sz w:val="18"/>
        </w:rPr>
        <w:t>ТЕ</w:t>
      </w:r>
    </w:p>
    <w:p>
      <w:pPr>
        <w:pStyle w:val="BodyText"/>
        <w:spacing w:line="201" w:lineRule="exact"/>
        <w:ind w:left="454"/>
        <w:jc w:val="left"/>
      </w:pPr>
      <w:r>
        <w:rPr>
          <w:color w:val="231F20"/>
        </w:rPr>
        <w:t>„Костолац А”;</w:t>
      </w:r>
    </w:p>
    <w:p>
      <w:pPr>
        <w:pStyle w:val="ListParagraph"/>
        <w:numPr>
          <w:ilvl w:val="1"/>
          <w:numId w:val="11"/>
        </w:numPr>
        <w:tabs>
          <w:tab w:pos="1056" w:val="left" w:leader="none"/>
        </w:tabs>
        <w:spacing w:line="232" w:lineRule="auto" w:before="1" w:after="0"/>
        <w:ind w:left="454" w:right="0" w:firstLine="397"/>
        <w:jc w:val="both"/>
        <w:rPr>
          <w:sz w:val="18"/>
        </w:rPr>
      </w:pPr>
      <w:r>
        <w:rPr>
          <w:color w:val="231F20"/>
          <w:sz w:val="18"/>
        </w:rPr>
        <w:t>коридор за транспорт </w:t>
      </w:r>
      <w:r>
        <w:rPr>
          <w:color w:val="231F20"/>
          <w:spacing w:val="-3"/>
          <w:sz w:val="18"/>
        </w:rPr>
        <w:t>рударске </w:t>
      </w:r>
      <w:r>
        <w:rPr>
          <w:color w:val="231F20"/>
          <w:sz w:val="18"/>
        </w:rPr>
        <w:t>механизације </w:t>
      </w:r>
      <w:r>
        <w:rPr>
          <w:color w:val="231F20"/>
          <w:spacing w:val="-3"/>
          <w:sz w:val="18"/>
        </w:rPr>
        <w:t>од </w:t>
      </w:r>
      <w:r>
        <w:rPr>
          <w:color w:val="231F20"/>
          <w:sz w:val="18"/>
        </w:rPr>
        <w:t>ПК </w:t>
      </w:r>
      <w:r>
        <w:rPr>
          <w:color w:val="231F20"/>
          <w:spacing w:val="-5"/>
          <w:sz w:val="18"/>
        </w:rPr>
        <w:t>„Ћир- </w:t>
      </w:r>
      <w:r>
        <w:rPr>
          <w:color w:val="231F20"/>
          <w:spacing w:val="-3"/>
          <w:sz w:val="18"/>
        </w:rPr>
        <w:t>ковац” </w:t>
      </w:r>
      <w:r>
        <w:rPr>
          <w:color w:val="231F20"/>
          <w:sz w:val="18"/>
        </w:rPr>
        <w:t>до ПК</w:t>
      </w:r>
      <w:r>
        <w:rPr>
          <w:color w:val="231F20"/>
          <w:spacing w:val="0"/>
          <w:sz w:val="18"/>
        </w:rPr>
        <w:t> </w:t>
      </w:r>
      <w:r>
        <w:rPr>
          <w:color w:val="231F20"/>
          <w:sz w:val="18"/>
        </w:rPr>
        <w:t>„Дрмно”;</w:t>
      </w:r>
    </w:p>
    <w:p>
      <w:pPr>
        <w:pStyle w:val="ListParagraph"/>
        <w:numPr>
          <w:ilvl w:val="1"/>
          <w:numId w:val="11"/>
        </w:numPr>
        <w:tabs>
          <w:tab w:pos="1047" w:val="left" w:leader="none"/>
        </w:tabs>
        <w:spacing w:line="199" w:lineRule="exact" w:before="0" w:after="0"/>
        <w:ind w:left="1046" w:right="0" w:hanging="195"/>
        <w:jc w:val="left"/>
        <w:rPr>
          <w:sz w:val="18"/>
        </w:rPr>
      </w:pPr>
      <w:r>
        <w:rPr>
          <w:color w:val="231F20"/>
          <w:spacing w:val="-3"/>
          <w:sz w:val="18"/>
        </w:rPr>
        <w:t>комплекс </w:t>
      </w:r>
      <w:r>
        <w:rPr>
          <w:color w:val="231F20"/>
          <w:sz w:val="18"/>
        </w:rPr>
        <w:t>ТЕ „Костолац А” са робним</w:t>
      </w:r>
      <w:r>
        <w:rPr>
          <w:color w:val="231F20"/>
          <w:spacing w:val="-9"/>
          <w:sz w:val="18"/>
        </w:rPr>
        <w:t> </w:t>
      </w:r>
      <w:r>
        <w:rPr>
          <w:color w:val="231F20"/>
          <w:sz w:val="18"/>
        </w:rPr>
        <w:t>пристаништем;</w:t>
      </w:r>
    </w:p>
    <w:p>
      <w:pPr>
        <w:pStyle w:val="ListParagraph"/>
        <w:numPr>
          <w:ilvl w:val="1"/>
          <w:numId w:val="11"/>
        </w:numPr>
        <w:tabs>
          <w:tab w:pos="1046" w:val="left" w:leader="none"/>
        </w:tabs>
        <w:spacing w:line="201" w:lineRule="exact" w:before="0" w:after="0"/>
        <w:ind w:left="1045" w:right="0" w:hanging="195"/>
        <w:jc w:val="left"/>
        <w:rPr>
          <w:sz w:val="18"/>
        </w:rPr>
      </w:pPr>
      <w:r>
        <w:rPr>
          <w:color w:val="231F20"/>
          <w:spacing w:val="-3"/>
          <w:sz w:val="18"/>
        </w:rPr>
        <w:t>комплекс </w:t>
      </w:r>
      <w:r>
        <w:rPr>
          <w:color w:val="231F20"/>
          <w:sz w:val="18"/>
        </w:rPr>
        <w:t>ТЕ „Костолац</w:t>
      </w:r>
      <w:r>
        <w:rPr>
          <w:color w:val="231F20"/>
          <w:spacing w:val="0"/>
          <w:sz w:val="18"/>
        </w:rPr>
        <w:t> </w:t>
      </w:r>
      <w:r>
        <w:rPr>
          <w:color w:val="231F20"/>
          <w:sz w:val="18"/>
        </w:rPr>
        <w:t>Б”;</w:t>
      </w:r>
    </w:p>
    <w:p>
      <w:pPr>
        <w:pStyle w:val="ListParagraph"/>
        <w:numPr>
          <w:ilvl w:val="1"/>
          <w:numId w:val="11"/>
        </w:numPr>
        <w:tabs>
          <w:tab w:pos="1103" w:val="left" w:leader="none"/>
        </w:tabs>
        <w:spacing w:line="201" w:lineRule="exact" w:before="0" w:after="0"/>
        <w:ind w:left="1102" w:right="0" w:hanging="252"/>
        <w:jc w:val="left"/>
        <w:rPr>
          <w:sz w:val="18"/>
        </w:rPr>
      </w:pPr>
      <w:r>
        <w:rPr>
          <w:color w:val="231F20"/>
          <w:sz w:val="18"/>
        </w:rPr>
        <w:t>коридор  пепеловода  </w:t>
      </w:r>
      <w:r>
        <w:rPr>
          <w:color w:val="231F20"/>
          <w:spacing w:val="-3"/>
          <w:sz w:val="18"/>
        </w:rPr>
        <w:t>од  </w:t>
      </w:r>
      <w:r>
        <w:rPr>
          <w:color w:val="231F20"/>
          <w:spacing w:val="-6"/>
          <w:sz w:val="18"/>
        </w:rPr>
        <w:t>„ТЕ   </w:t>
      </w:r>
      <w:r>
        <w:rPr>
          <w:color w:val="231F20"/>
          <w:sz w:val="18"/>
        </w:rPr>
        <w:t>Костолац  А”  до </w:t>
      </w:r>
      <w:r>
        <w:rPr>
          <w:color w:val="231F20"/>
          <w:spacing w:val="15"/>
          <w:sz w:val="18"/>
        </w:rPr>
        <w:t> </w:t>
      </w:r>
      <w:r>
        <w:rPr>
          <w:color w:val="231F20"/>
          <w:sz w:val="18"/>
        </w:rPr>
        <w:t>депоније</w:t>
      </w:r>
    </w:p>
    <w:p>
      <w:pPr>
        <w:pStyle w:val="BodyText"/>
        <w:spacing w:line="232" w:lineRule="auto" w:before="2"/>
        <w:ind w:left="453"/>
        <w:jc w:val="left"/>
      </w:pPr>
      <w:r>
        <w:rPr>
          <w:color w:val="231F20"/>
        </w:rPr>
        <w:t>„Средње костолачко острво” и од ТЕ „Костолац А” до депонија у ПК „Ћириковац”;</w:t>
      </w:r>
    </w:p>
    <w:p>
      <w:pPr>
        <w:pStyle w:val="ListParagraph"/>
        <w:numPr>
          <w:ilvl w:val="1"/>
          <w:numId w:val="11"/>
        </w:numPr>
        <w:tabs>
          <w:tab w:pos="1060" w:val="left" w:leader="none"/>
        </w:tabs>
        <w:spacing w:line="232" w:lineRule="auto" w:before="0" w:after="0"/>
        <w:ind w:left="453" w:right="1" w:firstLine="397"/>
        <w:jc w:val="both"/>
        <w:rPr>
          <w:sz w:val="18"/>
        </w:rPr>
      </w:pPr>
      <w:r>
        <w:rPr>
          <w:color w:val="231F20"/>
          <w:sz w:val="18"/>
        </w:rPr>
        <w:t>коридор за транспорт емулзије гипса </w:t>
      </w:r>
      <w:r>
        <w:rPr>
          <w:color w:val="231F20"/>
          <w:spacing w:val="-3"/>
          <w:sz w:val="18"/>
        </w:rPr>
        <w:t>од </w:t>
      </w:r>
      <w:r>
        <w:rPr>
          <w:color w:val="231F20"/>
          <w:sz w:val="18"/>
        </w:rPr>
        <w:t>ТЕ „Костолац Б” до депоније у ПК</w:t>
      </w:r>
      <w:r>
        <w:rPr>
          <w:color w:val="231F20"/>
          <w:spacing w:val="-2"/>
          <w:sz w:val="18"/>
        </w:rPr>
        <w:t> </w:t>
      </w:r>
      <w:r>
        <w:rPr>
          <w:color w:val="231F20"/>
          <w:sz w:val="18"/>
        </w:rPr>
        <w:t>„Дрмно”;</w:t>
      </w:r>
    </w:p>
    <w:p>
      <w:pPr>
        <w:pStyle w:val="ListParagraph"/>
        <w:numPr>
          <w:ilvl w:val="1"/>
          <w:numId w:val="11"/>
        </w:numPr>
        <w:tabs>
          <w:tab w:pos="1068" w:val="left" w:leader="none"/>
        </w:tabs>
        <w:spacing w:line="232" w:lineRule="auto" w:before="0" w:after="0"/>
        <w:ind w:left="452" w:right="0" w:firstLine="397"/>
        <w:jc w:val="both"/>
        <w:rPr>
          <w:sz w:val="18"/>
        </w:rPr>
      </w:pPr>
      <w:r>
        <w:rPr>
          <w:color w:val="231F20"/>
          <w:sz w:val="18"/>
        </w:rPr>
        <w:t>депонија пепела и шљаке у површинском </w:t>
      </w:r>
      <w:r>
        <w:rPr>
          <w:color w:val="231F20"/>
          <w:spacing w:val="-3"/>
          <w:sz w:val="18"/>
        </w:rPr>
        <w:t>копу </w:t>
      </w:r>
      <w:r>
        <w:rPr>
          <w:color w:val="231F20"/>
          <w:spacing w:val="-4"/>
          <w:sz w:val="18"/>
        </w:rPr>
        <w:t>„Ћирико- </w:t>
      </w:r>
      <w:r>
        <w:rPr>
          <w:color w:val="231F20"/>
          <w:sz w:val="18"/>
        </w:rPr>
        <w:t>вац” и коридор пепеловода </w:t>
      </w:r>
      <w:r>
        <w:rPr>
          <w:color w:val="231F20"/>
          <w:spacing w:val="-3"/>
          <w:sz w:val="18"/>
        </w:rPr>
        <w:t>од </w:t>
      </w:r>
      <w:r>
        <w:rPr>
          <w:color w:val="231F20"/>
          <w:sz w:val="18"/>
        </w:rPr>
        <w:t>ТЕ „Костолац Б” до</w:t>
      </w:r>
      <w:r>
        <w:rPr>
          <w:color w:val="231F20"/>
          <w:spacing w:val="-20"/>
          <w:sz w:val="18"/>
        </w:rPr>
        <w:t> </w:t>
      </w:r>
      <w:r>
        <w:rPr>
          <w:color w:val="231F20"/>
          <w:sz w:val="18"/>
        </w:rPr>
        <w:t>депоније;</w:t>
      </w:r>
    </w:p>
    <w:p>
      <w:pPr>
        <w:pStyle w:val="ListParagraph"/>
        <w:numPr>
          <w:ilvl w:val="1"/>
          <w:numId w:val="11"/>
        </w:numPr>
        <w:tabs>
          <w:tab w:pos="1080" w:val="left" w:leader="none"/>
        </w:tabs>
        <w:spacing w:line="232" w:lineRule="auto" w:before="0" w:after="0"/>
        <w:ind w:left="452" w:right="0" w:firstLine="397"/>
        <w:jc w:val="both"/>
        <w:rPr>
          <w:sz w:val="18"/>
        </w:rPr>
      </w:pPr>
      <w:r>
        <w:rPr>
          <w:color w:val="231F20"/>
          <w:sz w:val="18"/>
        </w:rPr>
        <w:t>коридор индустријског колосека </w:t>
      </w:r>
      <w:r>
        <w:rPr>
          <w:color w:val="231F20"/>
          <w:spacing w:val="-3"/>
          <w:sz w:val="18"/>
        </w:rPr>
        <w:t>од </w:t>
      </w:r>
      <w:r>
        <w:rPr>
          <w:color w:val="231F20"/>
          <w:sz w:val="18"/>
        </w:rPr>
        <w:t>железничке станице Стиг до ТЕ „Костолац Б”</w:t>
      </w:r>
      <w:r>
        <w:rPr>
          <w:color w:val="231F20"/>
          <w:spacing w:val="-4"/>
          <w:sz w:val="18"/>
        </w:rPr>
        <w:t> </w:t>
      </w:r>
      <w:r>
        <w:rPr>
          <w:color w:val="231F20"/>
          <w:sz w:val="18"/>
        </w:rPr>
        <w:t>и</w:t>
      </w:r>
    </w:p>
    <w:p>
      <w:pPr>
        <w:pStyle w:val="ListParagraph"/>
        <w:numPr>
          <w:ilvl w:val="1"/>
          <w:numId w:val="11"/>
        </w:numPr>
        <w:tabs>
          <w:tab w:pos="1135" w:val="left" w:leader="none"/>
        </w:tabs>
        <w:spacing w:line="199" w:lineRule="exact" w:before="0" w:after="0"/>
        <w:ind w:left="1134" w:right="0" w:hanging="285"/>
        <w:jc w:val="left"/>
        <w:rPr>
          <w:sz w:val="18"/>
        </w:rPr>
      </w:pPr>
      <w:r>
        <w:rPr>
          <w:color w:val="231F20"/>
          <w:spacing w:val="-3"/>
          <w:sz w:val="18"/>
        </w:rPr>
        <w:t>комплекс </w:t>
      </w:r>
      <w:r>
        <w:rPr>
          <w:color w:val="231F20"/>
          <w:sz w:val="18"/>
        </w:rPr>
        <w:t>„Долина реке</w:t>
      </w:r>
      <w:r>
        <w:rPr>
          <w:color w:val="231F20"/>
          <w:spacing w:val="0"/>
          <w:sz w:val="18"/>
        </w:rPr>
        <w:t> </w:t>
      </w:r>
      <w:r>
        <w:rPr>
          <w:color w:val="231F20"/>
          <w:sz w:val="18"/>
        </w:rPr>
        <w:t>Млаве”.</w:t>
      </w:r>
    </w:p>
    <w:p>
      <w:pPr>
        <w:pStyle w:val="BodyText"/>
        <w:spacing w:line="232" w:lineRule="auto" w:before="2"/>
        <w:ind w:left="452" w:right="1" w:firstLine="396"/>
        <w:jc w:val="right"/>
      </w:pPr>
      <w:r>
        <w:rPr>
          <w:color w:val="231F20"/>
        </w:rPr>
        <w:t>На </w:t>
      </w:r>
      <w:r>
        <w:rPr>
          <w:color w:val="231F20"/>
          <w:spacing w:val="-4"/>
        </w:rPr>
        <w:t>Планском </w:t>
      </w:r>
      <w:r>
        <w:rPr>
          <w:color w:val="231F20"/>
          <w:spacing w:val="-3"/>
        </w:rPr>
        <w:t>подручју </w:t>
      </w:r>
      <w:r>
        <w:rPr>
          <w:color w:val="231F20"/>
        </w:rPr>
        <w:t>се налазе </w:t>
      </w:r>
      <w:r>
        <w:rPr>
          <w:color w:val="231F20"/>
          <w:spacing w:val="-3"/>
        </w:rPr>
        <w:t>вредни природни</w:t>
      </w:r>
      <w:r>
        <w:rPr>
          <w:color w:val="231F20"/>
          <w:spacing w:val="-2"/>
        </w:rPr>
        <w:t> </w:t>
      </w:r>
      <w:r>
        <w:rPr>
          <w:color w:val="231F20"/>
        </w:rPr>
        <w:t>ресурси</w:t>
      </w:r>
      <w:r>
        <w:rPr>
          <w:color w:val="231F20"/>
          <w:spacing w:val="-2"/>
        </w:rPr>
        <w:t> </w:t>
      </w:r>
      <w:r>
        <w:rPr>
          <w:color w:val="231F20"/>
          <w:spacing w:val="-5"/>
        </w:rPr>
        <w:t>ко-</w:t>
      </w:r>
      <w:r>
        <w:rPr>
          <w:color w:val="231F20"/>
        </w:rPr>
        <w:t> ји </w:t>
      </w:r>
      <w:r>
        <w:rPr>
          <w:color w:val="231F20"/>
          <w:spacing w:val="-3"/>
        </w:rPr>
        <w:t>су омогућили формирање крупних </w:t>
      </w:r>
      <w:r>
        <w:rPr>
          <w:color w:val="231F20"/>
          <w:spacing w:val="-4"/>
        </w:rPr>
        <w:t>рударско-енергетских </w:t>
      </w:r>
      <w:r>
        <w:rPr>
          <w:color w:val="231F20"/>
        </w:rPr>
        <w:t>и</w:t>
      </w:r>
      <w:r>
        <w:rPr>
          <w:color w:val="231F20"/>
          <w:spacing w:val="3"/>
        </w:rPr>
        <w:t> </w:t>
      </w:r>
      <w:r>
        <w:rPr>
          <w:color w:val="231F20"/>
        </w:rPr>
        <w:t>инду- стријских система. </w:t>
      </w:r>
      <w:r>
        <w:rPr>
          <w:color w:val="231F20"/>
          <w:spacing w:val="-3"/>
        </w:rPr>
        <w:t>Подручје </w:t>
      </w:r>
      <w:r>
        <w:rPr>
          <w:color w:val="231F20"/>
          <w:spacing w:val="-2"/>
        </w:rPr>
        <w:t>има</w:t>
      </w:r>
      <w:r>
        <w:rPr>
          <w:color w:val="231F20"/>
          <w:spacing w:val="-18"/>
        </w:rPr>
        <w:t> </w:t>
      </w:r>
      <w:r>
        <w:rPr>
          <w:color w:val="231F20"/>
        </w:rPr>
        <w:t>повољан</w:t>
      </w:r>
      <w:r>
        <w:rPr>
          <w:color w:val="231F20"/>
          <w:spacing w:val="-6"/>
        </w:rPr>
        <w:t> </w:t>
      </w:r>
      <w:r>
        <w:rPr>
          <w:color w:val="231F20"/>
        </w:rPr>
        <w:t>саобраћајно-географски </w:t>
      </w:r>
      <w:r>
        <w:rPr>
          <w:color w:val="231F20"/>
          <w:spacing w:val="-3"/>
        </w:rPr>
        <w:t>положај</w:t>
      </w:r>
      <w:r>
        <w:rPr>
          <w:color w:val="231F20"/>
          <w:spacing w:val="-11"/>
        </w:rPr>
        <w:t> </w:t>
      </w:r>
      <w:r>
        <w:rPr>
          <w:color w:val="231F20"/>
        </w:rPr>
        <w:t>и</w:t>
      </w:r>
      <w:r>
        <w:rPr>
          <w:color w:val="231F20"/>
          <w:spacing w:val="-11"/>
        </w:rPr>
        <w:t> </w:t>
      </w:r>
      <w:r>
        <w:rPr>
          <w:color w:val="231F20"/>
          <w:spacing w:val="-3"/>
        </w:rPr>
        <w:t>друге</w:t>
      </w:r>
      <w:r>
        <w:rPr>
          <w:color w:val="231F20"/>
          <w:spacing w:val="-11"/>
        </w:rPr>
        <w:t> </w:t>
      </w:r>
      <w:r>
        <w:rPr>
          <w:color w:val="231F20"/>
          <w:spacing w:val="-3"/>
        </w:rPr>
        <w:t>значајне</w:t>
      </w:r>
      <w:r>
        <w:rPr>
          <w:color w:val="231F20"/>
          <w:spacing w:val="-11"/>
        </w:rPr>
        <w:t> </w:t>
      </w:r>
      <w:r>
        <w:rPr>
          <w:color w:val="231F20"/>
        </w:rPr>
        <w:t>развојне</w:t>
      </w:r>
      <w:r>
        <w:rPr>
          <w:color w:val="231F20"/>
          <w:spacing w:val="-11"/>
        </w:rPr>
        <w:t> </w:t>
      </w:r>
      <w:r>
        <w:rPr>
          <w:color w:val="231F20"/>
        </w:rPr>
        <w:t>потенцијале</w:t>
      </w:r>
      <w:r>
        <w:rPr>
          <w:color w:val="231F20"/>
          <w:spacing w:val="-11"/>
        </w:rPr>
        <w:t> </w:t>
      </w:r>
      <w:r>
        <w:rPr>
          <w:color w:val="231F20"/>
        </w:rPr>
        <w:t>регионалног</w:t>
      </w:r>
      <w:r>
        <w:rPr>
          <w:color w:val="231F20"/>
          <w:spacing w:val="-11"/>
        </w:rPr>
        <w:t> </w:t>
      </w:r>
      <w:r>
        <w:rPr>
          <w:color w:val="231F20"/>
          <w:spacing w:val="-3"/>
        </w:rPr>
        <w:t>значаја.</w:t>
      </w:r>
      <w:r>
        <w:rPr>
          <w:color w:val="231F20"/>
        </w:rPr>
        <w:t> </w:t>
      </w:r>
      <w:r>
        <w:rPr>
          <w:color w:val="231F20"/>
          <w:spacing w:val="-3"/>
        </w:rPr>
        <w:t>Археолошко </w:t>
      </w:r>
      <w:r>
        <w:rPr>
          <w:color w:val="231F20"/>
        </w:rPr>
        <w:t>налазиште „Виминацијум” се због</w:t>
      </w:r>
      <w:r>
        <w:rPr>
          <w:color w:val="231F20"/>
          <w:spacing w:val="18"/>
        </w:rPr>
        <w:t> </w:t>
      </w:r>
      <w:r>
        <w:rPr>
          <w:color w:val="231F20"/>
        </w:rPr>
        <w:t>својих</w:t>
      </w:r>
      <w:r>
        <w:rPr>
          <w:color w:val="231F20"/>
          <w:spacing w:val="20"/>
        </w:rPr>
        <w:t> </w:t>
      </w:r>
      <w:r>
        <w:rPr>
          <w:color w:val="231F20"/>
        </w:rPr>
        <w:t>уни- катних вредности налази на прелиминарној листи</w:t>
      </w:r>
      <w:r>
        <w:rPr>
          <w:color w:val="231F20"/>
          <w:spacing w:val="1"/>
        </w:rPr>
        <w:t> </w:t>
      </w:r>
      <w:r>
        <w:rPr>
          <w:color w:val="231F20"/>
          <w:spacing w:val="-3"/>
        </w:rPr>
        <w:t>Републике </w:t>
      </w:r>
      <w:r>
        <w:rPr>
          <w:color w:val="231F20"/>
        </w:rPr>
        <w:t>Ср-</w:t>
      </w:r>
    </w:p>
    <w:p>
      <w:pPr>
        <w:pStyle w:val="BodyText"/>
        <w:spacing w:line="198" w:lineRule="exact"/>
        <w:ind w:left="453"/>
        <w:jc w:val="left"/>
      </w:pPr>
      <w:r>
        <w:rPr>
          <w:color w:val="231F20"/>
        </w:rPr>
        <w:t>бије за светску културну и природну баштину (UNESCO).</w:t>
      </w:r>
    </w:p>
    <w:p>
      <w:pPr>
        <w:pStyle w:val="BodyText"/>
        <w:spacing w:line="232" w:lineRule="auto" w:before="2"/>
        <w:ind w:left="452" w:right="1" w:firstLine="397"/>
      </w:pPr>
      <w:r>
        <w:rPr>
          <w:color w:val="231F20"/>
        </w:rPr>
        <w:t>Северну границу Планског подручја обухвата европски </w:t>
      </w:r>
      <w:r>
        <w:rPr>
          <w:color w:val="231F20"/>
          <w:spacing w:val="-3"/>
        </w:rPr>
        <w:t>Ко- </w:t>
      </w:r>
      <w:r>
        <w:rPr>
          <w:color w:val="231F20"/>
        </w:rPr>
        <w:t>ридор VII, </w:t>
      </w:r>
      <w:r>
        <w:rPr>
          <w:color w:val="231F20"/>
          <w:spacing w:val="-3"/>
        </w:rPr>
        <w:t>који  </w:t>
      </w:r>
      <w:r>
        <w:rPr>
          <w:color w:val="231F20"/>
        </w:rPr>
        <w:t>захвата реку Дунав са приобаљем, простор </w:t>
      </w:r>
      <w:r>
        <w:rPr>
          <w:color w:val="231F20"/>
          <w:spacing w:val="-3"/>
        </w:rPr>
        <w:t>који  </w:t>
      </w:r>
      <w:r>
        <w:rPr>
          <w:color w:val="231F20"/>
        </w:rPr>
        <w:t>је </w:t>
      </w:r>
      <w:r>
        <w:rPr>
          <w:color w:val="231F20"/>
          <w:spacing w:val="-3"/>
        </w:rPr>
        <w:t>од </w:t>
      </w:r>
      <w:r>
        <w:rPr>
          <w:color w:val="231F20"/>
        </w:rPr>
        <w:t>најранијег периода развоја цивилизације био привлачан за насељавање и привређивање и представљао поприште </w:t>
      </w:r>
      <w:r>
        <w:rPr>
          <w:color w:val="231F20"/>
          <w:spacing w:val="-3"/>
        </w:rPr>
        <w:t>сукоба </w:t>
      </w:r>
      <w:r>
        <w:rPr>
          <w:color w:val="231F20"/>
        </w:rPr>
        <w:t>ин- тереса великих империја. О томе сведоче бројна историјско-кул- турна добра, </w:t>
      </w:r>
      <w:r>
        <w:rPr>
          <w:color w:val="231F20"/>
          <w:spacing w:val="-3"/>
        </w:rPr>
        <w:t>која </w:t>
      </w:r>
      <w:r>
        <w:rPr>
          <w:color w:val="231F20"/>
        </w:rPr>
        <w:t>говоре о постојању развијене културе још </w:t>
      </w:r>
      <w:r>
        <w:rPr>
          <w:color w:val="231F20"/>
          <w:spacing w:val="-3"/>
        </w:rPr>
        <w:t>од </w:t>
      </w:r>
      <w:r>
        <w:rPr>
          <w:color w:val="231F20"/>
        </w:rPr>
        <w:t>бронзаног и гвозденог</w:t>
      </w:r>
      <w:r>
        <w:rPr>
          <w:color w:val="231F20"/>
          <w:spacing w:val="-4"/>
        </w:rPr>
        <w:t> </w:t>
      </w:r>
      <w:r>
        <w:rPr>
          <w:color w:val="231F20"/>
        </w:rPr>
        <w:t>доба.</w:t>
      </w:r>
    </w:p>
    <w:p>
      <w:pPr>
        <w:pStyle w:val="BodyText"/>
        <w:spacing w:line="232" w:lineRule="auto"/>
        <w:ind w:left="453" w:right="1" w:firstLine="397"/>
      </w:pPr>
      <w:r>
        <w:rPr>
          <w:color w:val="231F20"/>
        </w:rPr>
        <w:t>Дунав је половином XIX века, када су започели велики радо- ви на његовој регулацији као пловидбеног пута, проглашен међу- народном реком. Безбедност пловидбе целим током обезбеђена је тек изградњом хидроенергетског и пловидбеног система на Дуна- ву – ХЕПС „Ђердап I” и „Ђердап II” као и изградњом преводница за бродове.</w:t>
      </w:r>
    </w:p>
    <w:p>
      <w:pPr>
        <w:pStyle w:val="BodyText"/>
        <w:spacing w:line="232" w:lineRule="auto"/>
        <w:ind w:left="452" w:right="1" w:firstLine="397"/>
      </w:pPr>
      <w:r>
        <w:rPr>
          <w:color w:val="231F20"/>
        </w:rPr>
        <w:t>Костолачки басен, односно, ПД ТЕ-КО „Костолац” предста- вља данас веома значајан део електроенергетског система Репу- блике Србије.</w:t>
      </w:r>
    </w:p>
    <w:p>
      <w:pPr>
        <w:pStyle w:val="BodyText"/>
        <w:spacing w:line="232" w:lineRule="auto"/>
        <w:ind w:left="452" w:right="1" w:firstLine="397"/>
      </w:pPr>
      <w:r>
        <w:rPr>
          <w:color w:val="231F20"/>
        </w:rPr>
        <w:t>Поред несумњивог енергетског потенцијала,</w:t>
      </w:r>
      <w:r>
        <w:rPr>
          <w:color w:val="231F20"/>
          <w:spacing w:val="-33"/>
        </w:rPr>
        <w:t> </w:t>
      </w:r>
      <w:r>
        <w:rPr>
          <w:color w:val="231F20"/>
          <w:spacing w:val="-3"/>
        </w:rPr>
        <w:t>који </w:t>
      </w:r>
      <w:r>
        <w:rPr>
          <w:color w:val="231F20"/>
        </w:rPr>
        <w:t>опредељује ово подручје и даје му статус посебне намене у регионалном сми- </w:t>
      </w:r>
      <w:r>
        <w:rPr>
          <w:color w:val="231F20"/>
          <w:spacing w:val="-5"/>
        </w:rPr>
        <w:t>слу, </w:t>
      </w:r>
      <w:r>
        <w:rPr>
          <w:color w:val="231F20"/>
        </w:rPr>
        <w:t>у оквиру дунавских региона постоји заједнички став и инте- рес да Дунав пружа могућност координације на кључним темама: привлачење инвестиција у развој, формирање финансијског тржи- шта, развој транспорта и инфраструктуре, посебно речног тран- спорта, лука и марина у циљу јачања регионалних веза; развој ту- ризма, посебно </w:t>
      </w:r>
      <w:r>
        <w:rPr>
          <w:color w:val="231F20"/>
          <w:spacing w:val="-3"/>
        </w:rPr>
        <w:t>наутичког </w:t>
      </w:r>
      <w:r>
        <w:rPr>
          <w:color w:val="231F20"/>
        </w:rPr>
        <w:t>и бициклистичког дуж Дунава; очување заједничке </w:t>
      </w:r>
      <w:r>
        <w:rPr>
          <w:color w:val="231F20"/>
          <w:spacing w:val="-2"/>
        </w:rPr>
        <w:t>културне </w:t>
      </w:r>
      <w:r>
        <w:rPr>
          <w:color w:val="231F20"/>
        </w:rPr>
        <w:t>ризнице; заштита животне средине;</w:t>
      </w:r>
      <w:r>
        <w:rPr>
          <w:color w:val="231F20"/>
          <w:spacing w:val="-29"/>
        </w:rPr>
        <w:t> </w:t>
      </w:r>
      <w:r>
        <w:rPr>
          <w:color w:val="231F20"/>
        </w:rPr>
        <w:t>управља- ње водама, посебно унапређење заштите воде Дунава и заштита приобаља </w:t>
      </w:r>
      <w:r>
        <w:rPr>
          <w:color w:val="231F20"/>
          <w:spacing w:val="-3"/>
        </w:rPr>
        <w:t>од </w:t>
      </w:r>
      <w:r>
        <w:rPr>
          <w:color w:val="231F20"/>
        </w:rPr>
        <w:t>вода Дунава, и сарадње </w:t>
      </w:r>
      <w:r>
        <w:rPr>
          <w:color w:val="231F20"/>
          <w:spacing w:val="-4"/>
        </w:rPr>
        <w:t>науке </w:t>
      </w:r>
      <w:r>
        <w:rPr>
          <w:color w:val="231F20"/>
        </w:rPr>
        <w:t>и</w:t>
      </w:r>
      <w:r>
        <w:rPr>
          <w:color w:val="231F20"/>
          <w:spacing w:val="-3"/>
        </w:rPr>
        <w:t> </w:t>
      </w:r>
      <w:r>
        <w:rPr>
          <w:color w:val="231F20"/>
        </w:rPr>
        <w:t>привреде.</w:t>
      </w:r>
    </w:p>
    <w:p>
      <w:pPr>
        <w:pStyle w:val="Heading1"/>
        <w:numPr>
          <w:ilvl w:val="0"/>
          <w:numId w:val="12"/>
        </w:numPr>
        <w:tabs>
          <w:tab w:pos="980" w:val="left" w:leader="none"/>
        </w:tabs>
        <w:spacing w:line="232" w:lineRule="auto" w:before="168" w:after="0"/>
        <w:ind w:left="1983" w:right="346" w:hanging="1184"/>
        <w:jc w:val="left"/>
      </w:pPr>
      <w:r>
        <w:rPr>
          <w:color w:val="231F20"/>
        </w:rPr>
        <w:t>Оцена стања просторног развоја планског</w:t>
      </w:r>
      <w:r>
        <w:rPr>
          <w:color w:val="231F20"/>
          <w:spacing w:val="-32"/>
        </w:rPr>
        <w:t> </w:t>
      </w:r>
      <w:r>
        <w:rPr>
          <w:color w:val="231F20"/>
        </w:rPr>
        <w:t>подручја и регионалног</w:t>
      </w:r>
      <w:r>
        <w:rPr>
          <w:color w:val="231F20"/>
          <w:spacing w:val="-3"/>
        </w:rPr>
        <w:t> </w:t>
      </w:r>
      <w:r>
        <w:rPr>
          <w:color w:val="231F20"/>
        </w:rPr>
        <w:t>окружења</w:t>
      </w:r>
    </w:p>
    <w:p>
      <w:pPr>
        <w:pStyle w:val="BodyText"/>
        <w:spacing w:before="4"/>
        <w:ind w:left="0"/>
        <w:jc w:val="left"/>
        <w:rPr>
          <w:b/>
          <w:sz w:val="17"/>
        </w:rPr>
      </w:pPr>
    </w:p>
    <w:p>
      <w:pPr>
        <w:pStyle w:val="BodyText"/>
        <w:spacing w:line="232" w:lineRule="auto"/>
        <w:ind w:left="452" w:firstLine="397"/>
      </w:pPr>
      <w:r>
        <w:rPr>
          <w:color w:val="231F20"/>
          <w:spacing w:val="-3"/>
        </w:rPr>
        <w:t>Након </w:t>
      </w:r>
      <w:r>
        <w:rPr>
          <w:color w:val="231F20"/>
        </w:rPr>
        <w:t>периода интензивног инвестирања и раста, </w:t>
      </w:r>
      <w:r>
        <w:rPr>
          <w:color w:val="231F20"/>
          <w:spacing w:val="-3"/>
        </w:rPr>
        <w:t>од </w:t>
      </w:r>
      <w:r>
        <w:rPr>
          <w:color w:val="231F20"/>
        </w:rPr>
        <w:t>почетка 1960-их година, до краја 1970-их година, </w:t>
      </w:r>
      <w:r>
        <w:rPr>
          <w:color w:val="231F20"/>
          <w:spacing w:val="-4"/>
        </w:rPr>
        <w:t>током </w:t>
      </w:r>
      <w:r>
        <w:rPr>
          <w:color w:val="231F20"/>
          <w:spacing w:val="-3"/>
        </w:rPr>
        <w:t>којих </w:t>
      </w:r>
      <w:r>
        <w:rPr>
          <w:color w:val="231F20"/>
        </w:rPr>
        <w:t>је Планско подручје имало веома интензиван и свестран економски, социјал- ни</w:t>
      </w:r>
      <w:r>
        <w:rPr>
          <w:color w:val="231F20"/>
          <w:spacing w:val="-8"/>
        </w:rPr>
        <w:t> </w:t>
      </w:r>
      <w:r>
        <w:rPr>
          <w:color w:val="231F20"/>
        </w:rPr>
        <w:t>и</w:t>
      </w:r>
      <w:r>
        <w:rPr>
          <w:color w:val="231F20"/>
          <w:spacing w:val="-8"/>
        </w:rPr>
        <w:t> </w:t>
      </w:r>
      <w:r>
        <w:rPr>
          <w:color w:val="231F20"/>
        </w:rPr>
        <w:t>културни</w:t>
      </w:r>
      <w:r>
        <w:rPr>
          <w:color w:val="231F20"/>
          <w:spacing w:val="-8"/>
        </w:rPr>
        <w:t> </w:t>
      </w:r>
      <w:r>
        <w:rPr>
          <w:color w:val="231F20"/>
        </w:rPr>
        <w:t>развој,</w:t>
      </w:r>
      <w:r>
        <w:rPr>
          <w:color w:val="231F20"/>
          <w:spacing w:val="-8"/>
        </w:rPr>
        <w:t> </w:t>
      </w:r>
      <w:r>
        <w:rPr>
          <w:color w:val="231F20"/>
        </w:rPr>
        <w:t>као</w:t>
      </w:r>
      <w:r>
        <w:rPr>
          <w:color w:val="231F20"/>
          <w:spacing w:val="-8"/>
        </w:rPr>
        <w:t> </w:t>
      </w:r>
      <w:r>
        <w:rPr>
          <w:color w:val="231F20"/>
        </w:rPr>
        <w:t>последица</w:t>
      </w:r>
      <w:r>
        <w:rPr>
          <w:color w:val="231F20"/>
          <w:spacing w:val="-8"/>
        </w:rPr>
        <w:t> </w:t>
      </w:r>
      <w:r>
        <w:rPr>
          <w:color w:val="231F20"/>
        </w:rPr>
        <w:t>развојне</w:t>
      </w:r>
      <w:r>
        <w:rPr>
          <w:color w:val="231F20"/>
          <w:spacing w:val="-8"/>
        </w:rPr>
        <w:t> </w:t>
      </w:r>
      <w:r>
        <w:rPr>
          <w:color w:val="231F20"/>
        </w:rPr>
        <w:t>стагнације</w:t>
      </w:r>
      <w:r>
        <w:rPr>
          <w:color w:val="231F20"/>
          <w:spacing w:val="-8"/>
        </w:rPr>
        <w:t> </w:t>
      </w:r>
      <w:r>
        <w:rPr>
          <w:color w:val="231F20"/>
        </w:rPr>
        <w:t>у</w:t>
      </w:r>
      <w:r>
        <w:rPr>
          <w:color w:val="231F20"/>
          <w:spacing w:val="-8"/>
        </w:rPr>
        <w:t> </w:t>
      </w:r>
      <w:r>
        <w:rPr>
          <w:color w:val="231F20"/>
        </w:rPr>
        <w:t>1980-им годинама, привредног и другог </w:t>
      </w:r>
      <w:r>
        <w:rPr>
          <w:color w:val="231F20"/>
          <w:spacing w:val="-3"/>
        </w:rPr>
        <w:t>колапса </w:t>
      </w:r>
      <w:r>
        <w:rPr>
          <w:color w:val="231F20"/>
        </w:rPr>
        <w:t>у 1990-им годинама, сада- шње развојно стање Планског подручја је субоптимално у односу на развојне потенцијале. Ово се може илустровати двема крајно- стима: на једном крају је град Пожаревац, </w:t>
      </w:r>
      <w:r>
        <w:rPr>
          <w:color w:val="231F20"/>
          <w:spacing w:val="-3"/>
        </w:rPr>
        <w:t>који </w:t>
      </w:r>
      <w:r>
        <w:rPr>
          <w:color w:val="231F20"/>
        </w:rPr>
        <w:t>је најразвијенији у </w:t>
      </w:r>
      <w:r>
        <w:rPr>
          <w:color w:val="231F20"/>
          <w:spacing w:val="-3"/>
        </w:rPr>
        <w:t>региону, </w:t>
      </w:r>
      <w:r>
        <w:rPr>
          <w:color w:val="231F20"/>
        </w:rPr>
        <w:t>као и на </w:t>
      </w:r>
      <w:r>
        <w:rPr>
          <w:color w:val="231F20"/>
          <w:spacing w:val="-3"/>
        </w:rPr>
        <w:t>Планском </w:t>
      </w:r>
      <w:r>
        <w:rPr>
          <w:color w:val="231F20"/>
          <w:spacing w:val="-4"/>
        </w:rPr>
        <w:t>подручју, </w:t>
      </w:r>
      <w:r>
        <w:rPr>
          <w:color w:val="231F20"/>
        </w:rPr>
        <w:t>а у много мањој мери и град Смедерево,</w:t>
      </w:r>
      <w:r>
        <w:rPr>
          <w:color w:val="231F20"/>
          <w:spacing w:val="-9"/>
        </w:rPr>
        <w:t> </w:t>
      </w:r>
      <w:r>
        <w:rPr>
          <w:color w:val="231F20"/>
        </w:rPr>
        <w:t>али</w:t>
      </w:r>
      <w:r>
        <w:rPr>
          <w:color w:val="231F20"/>
          <w:spacing w:val="-9"/>
        </w:rPr>
        <w:t> </w:t>
      </w:r>
      <w:r>
        <w:rPr>
          <w:color w:val="231F20"/>
        </w:rPr>
        <w:t>још</w:t>
      </w:r>
      <w:r>
        <w:rPr>
          <w:color w:val="231F20"/>
          <w:spacing w:val="-9"/>
        </w:rPr>
        <w:t> </w:t>
      </w:r>
      <w:r>
        <w:rPr>
          <w:color w:val="231F20"/>
        </w:rPr>
        <w:t>увек</w:t>
      </w:r>
      <w:r>
        <w:rPr>
          <w:color w:val="231F20"/>
          <w:spacing w:val="-9"/>
        </w:rPr>
        <w:t> </w:t>
      </w:r>
      <w:r>
        <w:rPr>
          <w:color w:val="231F20"/>
        </w:rPr>
        <w:t>представљају</w:t>
      </w:r>
      <w:r>
        <w:rPr>
          <w:color w:val="231F20"/>
          <w:spacing w:val="-9"/>
        </w:rPr>
        <w:t> </w:t>
      </w:r>
      <w:r>
        <w:rPr>
          <w:color w:val="231F20"/>
        </w:rPr>
        <w:t>бледу</w:t>
      </w:r>
      <w:r>
        <w:rPr>
          <w:color w:val="231F20"/>
          <w:spacing w:val="-9"/>
        </w:rPr>
        <w:t> </w:t>
      </w:r>
      <w:r>
        <w:rPr>
          <w:color w:val="231F20"/>
        </w:rPr>
        <w:t>слику</w:t>
      </w:r>
      <w:r>
        <w:rPr>
          <w:color w:val="231F20"/>
          <w:spacing w:val="-9"/>
        </w:rPr>
        <w:t> </w:t>
      </w:r>
      <w:r>
        <w:rPr>
          <w:color w:val="231F20"/>
        </w:rPr>
        <w:t>у</w:t>
      </w:r>
      <w:r>
        <w:rPr>
          <w:color w:val="231F20"/>
          <w:spacing w:val="-9"/>
        </w:rPr>
        <w:t> </w:t>
      </w:r>
      <w:r>
        <w:rPr>
          <w:color w:val="231F20"/>
        </w:rPr>
        <w:t>односу</w:t>
      </w:r>
      <w:r>
        <w:rPr>
          <w:color w:val="231F20"/>
          <w:spacing w:val="-9"/>
        </w:rPr>
        <w:t> </w:t>
      </w:r>
      <w:r>
        <w:rPr>
          <w:color w:val="231F20"/>
        </w:rPr>
        <w:t>на</w:t>
      </w:r>
      <w:r>
        <w:rPr>
          <w:color w:val="231F20"/>
          <w:spacing w:val="-9"/>
        </w:rPr>
        <w:t> </w:t>
      </w:r>
      <w:r>
        <w:rPr>
          <w:color w:val="231F20"/>
        </w:rPr>
        <w:t>ра- није периоде процвата. Сада </w:t>
      </w:r>
      <w:r>
        <w:rPr>
          <w:color w:val="231F20"/>
          <w:spacing w:val="-7"/>
        </w:rPr>
        <w:t>су, </w:t>
      </w:r>
      <w:r>
        <w:rPr>
          <w:color w:val="231F20"/>
        </w:rPr>
        <w:t>осим енергетског сектора, произ- водње челика и делова металне и агро-индустријске</w:t>
      </w:r>
      <w:r>
        <w:rPr>
          <w:color w:val="231F20"/>
          <w:spacing w:val="15"/>
        </w:rPr>
        <w:t> </w:t>
      </w:r>
      <w:r>
        <w:rPr>
          <w:color w:val="231F20"/>
        </w:rPr>
        <w:t>производње,</w:t>
      </w:r>
    </w:p>
    <w:p>
      <w:pPr>
        <w:pStyle w:val="BodyText"/>
        <w:spacing w:line="232" w:lineRule="auto" w:before="78"/>
        <w:ind w:left="241" w:right="129"/>
      </w:pPr>
      <w:r>
        <w:rPr/>
        <w:br w:type="column"/>
      </w:r>
      <w:r>
        <w:rPr>
          <w:color w:val="231F20"/>
        </w:rPr>
        <w:t>скоро сви његови велики привредни системи урушени, а произ- водња, запосленост, инвестиције и сви други економски агрегати знатно смањени односно погоршани. На </w:t>
      </w:r>
      <w:r>
        <w:rPr>
          <w:color w:val="231F20"/>
          <w:spacing w:val="-2"/>
        </w:rPr>
        <w:t>другом </w:t>
      </w:r>
      <w:r>
        <w:rPr>
          <w:color w:val="231F20"/>
        </w:rPr>
        <w:t>крају су неразви- јене општине ширег регионалног подручја, </w:t>
      </w:r>
      <w:r>
        <w:rPr>
          <w:color w:val="231F20"/>
          <w:spacing w:val="-3"/>
        </w:rPr>
        <w:t>од којих </w:t>
      </w:r>
      <w:r>
        <w:rPr>
          <w:color w:val="231F20"/>
        </w:rPr>
        <w:t>већи број спа- да у мање развијене општине </w:t>
      </w:r>
      <w:r>
        <w:rPr>
          <w:color w:val="231F20"/>
          <w:spacing w:val="-3"/>
        </w:rPr>
        <w:t>Републике </w:t>
      </w:r>
      <w:r>
        <w:rPr>
          <w:color w:val="231F20"/>
        </w:rPr>
        <w:t>Србије.</w:t>
      </w:r>
    </w:p>
    <w:p>
      <w:pPr>
        <w:pStyle w:val="BodyText"/>
        <w:spacing w:line="232" w:lineRule="auto"/>
        <w:ind w:left="240" w:right="130" w:firstLine="397"/>
      </w:pPr>
      <w:r>
        <w:rPr>
          <w:color w:val="231F20"/>
        </w:rPr>
        <w:t>Браничевско-подунавски развојни регион (у даљем тексту: БПРР) се налази у централно-источној Србији. </w:t>
      </w:r>
      <w:r>
        <w:rPr>
          <w:color w:val="231F20"/>
          <w:spacing w:val="-4"/>
        </w:rPr>
        <w:t>Укупна </w:t>
      </w:r>
      <w:r>
        <w:rPr>
          <w:color w:val="231F20"/>
        </w:rPr>
        <w:t>површина износи 5.113 km², што је 5,8 % територије </w:t>
      </w:r>
      <w:r>
        <w:rPr>
          <w:color w:val="231F20"/>
          <w:spacing w:val="-3"/>
        </w:rPr>
        <w:t>Републике </w:t>
      </w:r>
      <w:r>
        <w:rPr>
          <w:color w:val="231F20"/>
        </w:rPr>
        <w:t>Србије. Ре- гион се састоји из два управна округа: Браничево и Подунавље. </w:t>
      </w:r>
      <w:r>
        <w:rPr>
          <w:color w:val="231F20"/>
          <w:spacing w:val="-3"/>
        </w:rPr>
        <w:t>Иако </w:t>
      </w:r>
      <w:r>
        <w:rPr>
          <w:color w:val="231F20"/>
        </w:rPr>
        <w:t>је регион </w:t>
      </w:r>
      <w:r>
        <w:rPr>
          <w:color w:val="231F20"/>
          <w:spacing w:val="-3"/>
        </w:rPr>
        <w:t>лако </w:t>
      </w:r>
      <w:r>
        <w:rPr>
          <w:color w:val="231F20"/>
        </w:rPr>
        <w:t>доступан, тренд смањења броја становника се наставља. Могућности запослења су мале и недовољне, нарочито за млади и квалификован </w:t>
      </w:r>
      <w:r>
        <w:rPr>
          <w:color w:val="231F20"/>
          <w:spacing w:val="-4"/>
        </w:rPr>
        <w:t>свет. </w:t>
      </w:r>
      <w:r>
        <w:rPr>
          <w:color w:val="231F20"/>
        </w:rPr>
        <w:t>Регионална привреда захтева нови подстицај и квалификовану радну </w:t>
      </w:r>
      <w:r>
        <w:rPr>
          <w:color w:val="231F20"/>
          <w:spacing w:val="-4"/>
        </w:rPr>
        <w:t>снагу, </w:t>
      </w:r>
      <w:r>
        <w:rPr>
          <w:color w:val="231F20"/>
        </w:rPr>
        <w:t>сектор пољопривреде те- жи постизању веће конкурентности и приступању међународним тржиштима</w:t>
      </w:r>
      <w:r>
        <w:rPr>
          <w:color w:val="231F20"/>
          <w:spacing w:val="-9"/>
        </w:rPr>
        <w:t> </w:t>
      </w:r>
      <w:r>
        <w:rPr>
          <w:color w:val="231F20"/>
        </w:rPr>
        <w:t>и</w:t>
      </w:r>
      <w:r>
        <w:rPr>
          <w:color w:val="231F20"/>
          <w:spacing w:val="-8"/>
        </w:rPr>
        <w:t> </w:t>
      </w:r>
      <w:r>
        <w:rPr>
          <w:color w:val="231F20"/>
        </w:rPr>
        <w:t>брендирању,</w:t>
      </w:r>
      <w:r>
        <w:rPr>
          <w:color w:val="231F20"/>
          <w:spacing w:val="-8"/>
        </w:rPr>
        <w:t> </w:t>
      </w:r>
      <w:r>
        <w:rPr>
          <w:color w:val="231F20"/>
        </w:rPr>
        <w:t>док</w:t>
      </w:r>
      <w:r>
        <w:rPr>
          <w:color w:val="231F20"/>
          <w:spacing w:val="-8"/>
        </w:rPr>
        <w:t> </w:t>
      </w:r>
      <w:r>
        <w:rPr>
          <w:color w:val="231F20"/>
        </w:rPr>
        <w:t>животна</w:t>
      </w:r>
      <w:r>
        <w:rPr>
          <w:color w:val="231F20"/>
          <w:spacing w:val="-8"/>
        </w:rPr>
        <w:t> </w:t>
      </w:r>
      <w:r>
        <w:rPr>
          <w:color w:val="231F20"/>
        </w:rPr>
        <w:t>средина</w:t>
      </w:r>
      <w:r>
        <w:rPr>
          <w:color w:val="231F20"/>
          <w:spacing w:val="-8"/>
        </w:rPr>
        <w:t> </w:t>
      </w:r>
      <w:r>
        <w:rPr>
          <w:color w:val="231F20"/>
        </w:rPr>
        <w:t>и</w:t>
      </w:r>
      <w:r>
        <w:rPr>
          <w:color w:val="231F20"/>
          <w:spacing w:val="-8"/>
        </w:rPr>
        <w:t> </w:t>
      </w:r>
      <w:r>
        <w:rPr>
          <w:color w:val="231F20"/>
          <w:spacing w:val="-2"/>
        </w:rPr>
        <w:t>културно</w:t>
      </w:r>
      <w:r>
        <w:rPr>
          <w:color w:val="231F20"/>
          <w:spacing w:val="-8"/>
        </w:rPr>
        <w:t> </w:t>
      </w:r>
      <w:r>
        <w:rPr>
          <w:color w:val="231F20"/>
        </w:rPr>
        <w:t>насле- ђе </w:t>
      </w:r>
      <w:r>
        <w:rPr>
          <w:color w:val="231F20"/>
          <w:spacing w:val="-4"/>
        </w:rPr>
        <w:t>нуде </w:t>
      </w:r>
      <w:r>
        <w:rPr>
          <w:color w:val="231F20"/>
        </w:rPr>
        <w:t>велики потенцијал за одрживи развој</w:t>
      </w:r>
      <w:r>
        <w:rPr>
          <w:color w:val="231F20"/>
          <w:spacing w:val="-5"/>
        </w:rPr>
        <w:t> </w:t>
      </w:r>
      <w:r>
        <w:rPr>
          <w:color w:val="231F20"/>
        </w:rPr>
        <w:t>региона.</w:t>
      </w:r>
    </w:p>
    <w:p>
      <w:pPr>
        <w:pStyle w:val="BodyText"/>
        <w:spacing w:line="232" w:lineRule="auto"/>
        <w:ind w:left="240" w:right="130" w:firstLine="397"/>
      </w:pPr>
      <w:r>
        <w:rPr>
          <w:color w:val="231F20"/>
        </w:rPr>
        <w:t>Географски,</w:t>
      </w:r>
      <w:r>
        <w:rPr>
          <w:color w:val="231F20"/>
          <w:spacing w:val="-10"/>
        </w:rPr>
        <w:t> </w:t>
      </w:r>
      <w:r>
        <w:rPr>
          <w:color w:val="231F20"/>
        </w:rPr>
        <w:t>регион</w:t>
      </w:r>
      <w:r>
        <w:rPr>
          <w:color w:val="231F20"/>
          <w:spacing w:val="-10"/>
        </w:rPr>
        <w:t> </w:t>
      </w:r>
      <w:r>
        <w:rPr>
          <w:color w:val="231F20"/>
        </w:rPr>
        <w:t>је</w:t>
      </w:r>
      <w:r>
        <w:rPr>
          <w:color w:val="231F20"/>
          <w:spacing w:val="-10"/>
        </w:rPr>
        <w:t> </w:t>
      </w:r>
      <w:r>
        <w:rPr>
          <w:color w:val="231F20"/>
        </w:rPr>
        <w:t>подељен</w:t>
      </w:r>
      <w:r>
        <w:rPr>
          <w:color w:val="231F20"/>
          <w:spacing w:val="-10"/>
        </w:rPr>
        <w:t> </w:t>
      </w:r>
      <w:r>
        <w:rPr>
          <w:color w:val="231F20"/>
        </w:rPr>
        <w:t>на</w:t>
      </w:r>
      <w:r>
        <w:rPr>
          <w:color w:val="231F20"/>
          <w:spacing w:val="-10"/>
        </w:rPr>
        <w:t> </w:t>
      </w:r>
      <w:r>
        <w:rPr>
          <w:color w:val="231F20"/>
        </w:rPr>
        <w:t>источни</w:t>
      </w:r>
      <w:r>
        <w:rPr>
          <w:color w:val="231F20"/>
          <w:spacing w:val="-10"/>
        </w:rPr>
        <w:t> </w:t>
      </w:r>
      <w:r>
        <w:rPr>
          <w:color w:val="231F20"/>
        </w:rPr>
        <w:t>брдско-планински део и централно-западни део, окружен рекама: Дунавом на северу и</w:t>
      </w:r>
      <w:r>
        <w:rPr>
          <w:color w:val="231F20"/>
          <w:spacing w:val="-7"/>
        </w:rPr>
        <w:t> </w:t>
      </w:r>
      <w:r>
        <w:rPr>
          <w:color w:val="231F20"/>
        </w:rPr>
        <w:t>његовим</w:t>
      </w:r>
      <w:r>
        <w:rPr>
          <w:color w:val="231F20"/>
          <w:spacing w:val="-7"/>
        </w:rPr>
        <w:t> </w:t>
      </w:r>
      <w:r>
        <w:rPr>
          <w:color w:val="231F20"/>
        </w:rPr>
        <w:t>притокама</w:t>
      </w:r>
      <w:r>
        <w:rPr>
          <w:color w:val="231F20"/>
          <w:spacing w:val="-7"/>
        </w:rPr>
        <w:t> </w:t>
      </w:r>
      <w:r>
        <w:rPr>
          <w:color w:val="231F20"/>
          <w:spacing w:val="-3"/>
        </w:rPr>
        <w:t>Великом</w:t>
      </w:r>
      <w:r>
        <w:rPr>
          <w:color w:val="231F20"/>
          <w:spacing w:val="-7"/>
        </w:rPr>
        <w:t> </w:t>
      </w:r>
      <w:r>
        <w:rPr>
          <w:color w:val="231F20"/>
        </w:rPr>
        <w:t>Моравом,</w:t>
      </w:r>
      <w:r>
        <w:rPr>
          <w:color w:val="231F20"/>
          <w:spacing w:val="-7"/>
        </w:rPr>
        <w:t> </w:t>
      </w:r>
      <w:r>
        <w:rPr>
          <w:color w:val="231F20"/>
          <w:spacing w:val="-4"/>
        </w:rPr>
        <w:t>Пеком</w:t>
      </w:r>
      <w:r>
        <w:rPr>
          <w:color w:val="231F20"/>
          <w:spacing w:val="-7"/>
        </w:rPr>
        <w:t> </w:t>
      </w:r>
      <w:r>
        <w:rPr>
          <w:color w:val="231F20"/>
        </w:rPr>
        <w:t>и</w:t>
      </w:r>
      <w:r>
        <w:rPr>
          <w:color w:val="231F20"/>
          <w:spacing w:val="-7"/>
        </w:rPr>
        <w:t> </w:t>
      </w:r>
      <w:r>
        <w:rPr>
          <w:color w:val="231F20"/>
        </w:rPr>
        <w:t>Млавом,</w:t>
      </w:r>
      <w:r>
        <w:rPr>
          <w:color w:val="231F20"/>
          <w:spacing w:val="-7"/>
        </w:rPr>
        <w:t> </w:t>
      </w:r>
      <w:r>
        <w:rPr>
          <w:color w:val="231F20"/>
        </w:rPr>
        <w:t>са</w:t>
      </w:r>
      <w:r>
        <w:rPr>
          <w:color w:val="231F20"/>
          <w:spacing w:val="-7"/>
        </w:rPr>
        <w:t> </w:t>
      </w:r>
      <w:r>
        <w:rPr>
          <w:color w:val="231F20"/>
        </w:rPr>
        <w:t>југа. Највећа равница је</w:t>
      </w:r>
      <w:r>
        <w:rPr>
          <w:color w:val="231F20"/>
          <w:spacing w:val="-2"/>
        </w:rPr>
        <w:t> </w:t>
      </w:r>
      <w:r>
        <w:rPr>
          <w:color w:val="231F20"/>
          <w:spacing w:val="-6"/>
        </w:rPr>
        <w:t>Стиг.</w:t>
      </w:r>
    </w:p>
    <w:p>
      <w:pPr>
        <w:pStyle w:val="BodyText"/>
        <w:spacing w:line="232" w:lineRule="auto"/>
        <w:ind w:left="239" w:right="130" w:firstLine="397"/>
      </w:pPr>
      <w:r>
        <w:rPr>
          <w:color w:val="231F20"/>
        </w:rPr>
        <w:t>У </w:t>
      </w:r>
      <w:r>
        <w:rPr>
          <w:color w:val="231F20"/>
          <w:spacing w:val="-3"/>
        </w:rPr>
        <w:t>демографском </w:t>
      </w:r>
      <w:r>
        <w:rPr>
          <w:color w:val="231F20"/>
          <w:spacing w:val="-5"/>
        </w:rPr>
        <w:t>погледу, </w:t>
      </w:r>
      <w:r>
        <w:rPr>
          <w:color w:val="231F20"/>
        </w:rPr>
        <w:t>БПРР доживљава демографску ре- </w:t>
      </w:r>
      <w:r>
        <w:rPr>
          <w:color w:val="231F20"/>
          <w:spacing w:val="-3"/>
        </w:rPr>
        <w:t>цесију, </w:t>
      </w:r>
      <w:r>
        <w:rPr>
          <w:color w:val="231F20"/>
        </w:rPr>
        <w:t>у првом реду као последица релативно високе</w:t>
      </w:r>
      <w:r>
        <w:rPr>
          <w:color w:val="231F20"/>
          <w:spacing w:val="-29"/>
        </w:rPr>
        <w:t> </w:t>
      </w:r>
      <w:r>
        <w:rPr>
          <w:color w:val="231F20"/>
        </w:rPr>
        <w:t>депопулаци- је.</w:t>
      </w:r>
      <w:r>
        <w:rPr>
          <w:color w:val="231F20"/>
          <w:spacing w:val="-4"/>
        </w:rPr>
        <w:t> </w:t>
      </w:r>
      <w:r>
        <w:rPr>
          <w:color w:val="231F20"/>
        </w:rPr>
        <w:t>Број</w:t>
      </w:r>
      <w:r>
        <w:rPr>
          <w:color w:val="231F20"/>
          <w:spacing w:val="-4"/>
        </w:rPr>
        <w:t> </w:t>
      </w:r>
      <w:r>
        <w:rPr>
          <w:color w:val="231F20"/>
        </w:rPr>
        <w:t>становника</w:t>
      </w:r>
      <w:r>
        <w:rPr>
          <w:color w:val="231F20"/>
          <w:spacing w:val="-4"/>
        </w:rPr>
        <w:t> </w:t>
      </w:r>
      <w:r>
        <w:rPr>
          <w:color w:val="231F20"/>
        </w:rPr>
        <w:t>се</w:t>
      </w:r>
      <w:r>
        <w:rPr>
          <w:color w:val="231F20"/>
          <w:spacing w:val="-4"/>
        </w:rPr>
        <w:t> </w:t>
      </w:r>
      <w:r>
        <w:rPr>
          <w:color w:val="231F20"/>
        </w:rPr>
        <w:t>постојано</w:t>
      </w:r>
      <w:r>
        <w:rPr>
          <w:color w:val="231F20"/>
          <w:spacing w:val="-4"/>
        </w:rPr>
        <w:t> </w:t>
      </w:r>
      <w:r>
        <w:rPr>
          <w:color w:val="231F20"/>
        </w:rPr>
        <w:t>смањује</w:t>
      </w:r>
      <w:r>
        <w:rPr>
          <w:color w:val="231F20"/>
          <w:spacing w:val="-4"/>
        </w:rPr>
        <w:t> </w:t>
      </w:r>
      <w:r>
        <w:rPr>
          <w:color w:val="231F20"/>
        </w:rPr>
        <w:t>у</w:t>
      </w:r>
      <w:r>
        <w:rPr>
          <w:color w:val="231F20"/>
          <w:spacing w:val="-4"/>
        </w:rPr>
        <w:t> </w:t>
      </w:r>
      <w:r>
        <w:rPr>
          <w:color w:val="231F20"/>
        </w:rPr>
        <w:t>целом</w:t>
      </w:r>
      <w:r>
        <w:rPr>
          <w:color w:val="231F20"/>
          <w:spacing w:val="-4"/>
        </w:rPr>
        <w:t> региону, </w:t>
      </w:r>
      <w:r>
        <w:rPr>
          <w:color w:val="231F20"/>
        </w:rPr>
        <w:t>а</w:t>
      </w:r>
      <w:r>
        <w:rPr>
          <w:color w:val="231F20"/>
          <w:spacing w:val="-4"/>
        </w:rPr>
        <w:t> </w:t>
      </w:r>
      <w:r>
        <w:rPr>
          <w:color w:val="231F20"/>
        </w:rPr>
        <w:t>посеб- но у </w:t>
      </w:r>
      <w:r>
        <w:rPr>
          <w:color w:val="231F20"/>
          <w:spacing w:val="-3"/>
        </w:rPr>
        <w:t>Браничевском </w:t>
      </w:r>
      <w:r>
        <w:rPr>
          <w:color w:val="231F20"/>
        </w:rPr>
        <w:t>управном </w:t>
      </w:r>
      <w:r>
        <w:rPr>
          <w:color w:val="231F20"/>
          <w:spacing w:val="-4"/>
        </w:rPr>
        <w:t>округу, </w:t>
      </w:r>
      <w:r>
        <w:rPr>
          <w:color w:val="231F20"/>
        </w:rPr>
        <w:t>што је сталан тренд </w:t>
      </w:r>
      <w:r>
        <w:rPr>
          <w:color w:val="231F20"/>
          <w:spacing w:val="-4"/>
        </w:rPr>
        <w:t>од </w:t>
      </w:r>
      <w:r>
        <w:rPr>
          <w:color w:val="231F20"/>
        </w:rPr>
        <w:t>1991. </w:t>
      </w:r>
      <w:r>
        <w:rPr>
          <w:color w:val="231F20"/>
          <w:spacing w:val="-3"/>
        </w:rPr>
        <w:t>године </w:t>
      </w:r>
      <w:r>
        <w:rPr>
          <w:color w:val="231F20"/>
        </w:rPr>
        <w:t>наовамо. У периоду између 1991. и 2006. </w:t>
      </w:r>
      <w:r>
        <w:rPr>
          <w:color w:val="231F20"/>
          <w:spacing w:val="-3"/>
        </w:rPr>
        <w:t>године </w:t>
      </w:r>
      <w:r>
        <w:rPr>
          <w:color w:val="231F20"/>
        </w:rPr>
        <w:t>укупан број становника смањио се за 77.294 становника, што износи 18% </w:t>
      </w:r>
      <w:r>
        <w:rPr>
          <w:color w:val="231F20"/>
          <w:spacing w:val="-4"/>
        </w:rPr>
        <w:t>од </w:t>
      </w:r>
      <w:r>
        <w:rPr>
          <w:color w:val="231F20"/>
        </w:rPr>
        <w:t>укупног смањења становништва у </w:t>
      </w:r>
      <w:r>
        <w:rPr>
          <w:color w:val="231F20"/>
          <w:spacing w:val="-3"/>
        </w:rPr>
        <w:t>Републици </w:t>
      </w:r>
      <w:r>
        <w:rPr>
          <w:color w:val="231F20"/>
        </w:rPr>
        <w:t>Србији. Највеће исељавање</w:t>
      </w:r>
      <w:r>
        <w:rPr>
          <w:color w:val="231F20"/>
          <w:spacing w:val="-11"/>
        </w:rPr>
        <w:t> </w:t>
      </w:r>
      <w:r>
        <w:rPr>
          <w:color w:val="231F20"/>
        </w:rPr>
        <w:t>је</w:t>
      </w:r>
      <w:r>
        <w:rPr>
          <w:color w:val="231F20"/>
          <w:spacing w:val="-11"/>
        </w:rPr>
        <w:t> </w:t>
      </w:r>
      <w:r>
        <w:rPr>
          <w:color w:val="231F20"/>
        </w:rPr>
        <w:t>у</w:t>
      </w:r>
      <w:r>
        <w:rPr>
          <w:color w:val="231F20"/>
          <w:spacing w:val="-11"/>
        </w:rPr>
        <w:t> </w:t>
      </w:r>
      <w:r>
        <w:rPr>
          <w:color w:val="231F20"/>
        </w:rPr>
        <w:t>источним</w:t>
      </w:r>
      <w:r>
        <w:rPr>
          <w:color w:val="231F20"/>
          <w:spacing w:val="-11"/>
        </w:rPr>
        <w:t> </w:t>
      </w:r>
      <w:r>
        <w:rPr>
          <w:color w:val="231F20"/>
        </w:rPr>
        <w:t>сеоским</w:t>
      </w:r>
      <w:r>
        <w:rPr>
          <w:color w:val="231F20"/>
          <w:spacing w:val="-11"/>
        </w:rPr>
        <w:t> </w:t>
      </w:r>
      <w:r>
        <w:rPr>
          <w:color w:val="231F20"/>
        </w:rPr>
        <w:t>општинама</w:t>
      </w:r>
      <w:r>
        <w:rPr>
          <w:color w:val="231F20"/>
          <w:spacing w:val="-11"/>
        </w:rPr>
        <w:t> </w:t>
      </w:r>
      <w:r>
        <w:rPr>
          <w:color w:val="231F20"/>
        </w:rPr>
        <w:t>Браничевског</w:t>
      </w:r>
      <w:r>
        <w:rPr>
          <w:color w:val="231F20"/>
          <w:spacing w:val="-12"/>
        </w:rPr>
        <w:t> </w:t>
      </w:r>
      <w:r>
        <w:rPr>
          <w:color w:val="231F20"/>
        </w:rPr>
        <w:t>управ- ног округа, </w:t>
      </w:r>
      <w:r>
        <w:rPr>
          <w:color w:val="231F20"/>
          <w:spacing w:val="-3"/>
        </w:rPr>
        <w:t>превасходно </w:t>
      </w:r>
      <w:r>
        <w:rPr>
          <w:color w:val="231F20"/>
        </w:rPr>
        <w:t>као </w:t>
      </w:r>
      <w:r>
        <w:rPr>
          <w:color w:val="231F20"/>
          <w:spacing w:val="-3"/>
        </w:rPr>
        <w:t>резултат </w:t>
      </w:r>
      <w:r>
        <w:rPr>
          <w:color w:val="231F20"/>
        </w:rPr>
        <w:t>трајне миграције, унутар Ре- </w:t>
      </w:r>
      <w:r>
        <w:rPr>
          <w:color w:val="231F20"/>
          <w:spacing w:val="-3"/>
        </w:rPr>
        <w:t>публике</w:t>
      </w:r>
      <w:r>
        <w:rPr>
          <w:color w:val="231F20"/>
          <w:spacing w:val="-6"/>
        </w:rPr>
        <w:t> </w:t>
      </w:r>
      <w:r>
        <w:rPr>
          <w:color w:val="231F20"/>
        </w:rPr>
        <w:t>Србије</w:t>
      </w:r>
      <w:r>
        <w:rPr>
          <w:color w:val="231F20"/>
          <w:spacing w:val="-6"/>
        </w:rPr>
        <w:t> </w:t>
      </w:r>
      <w:r>
        <w:rPr>
          <w:color w:val="231F20"/>
        </w:rPr>
        <w:t>и</w:t>
      </w:r>
      <w:r>
        <w:rPr>
          <w:color w:val="231F20"/>
          <w:spacing w:val="-6"/>
        </w:rPr>
        <w:t> </w:t>
      </w:r>
      <w:r>
        <w:rPr>
          <w:color w:val="231F20"/>
        </w:rPr>
        <w:t>ван</w:t>
      </w:r>
      <w:r>
        <w:rPr>
          <w:color w:val="231F20"/>
          <w:spacing w:val="-6"/>
        </w:rPr>
        <w:t> </w:t>
      </w:r>
      <w:r>
        <w:rPr>
          <w:color w:val="231F20"/>
        </w:rPr>
        <w:t>земље.</w:t>
      </w:r>
      <w:r>
        <w:rPr>
          <w:color w:val="231F20"/>
          <w:spacing w:val="-6"/>
        </w:rPr>
        <w:t> </w:t>
      </w:r>
      <w:r>
        <w:rPr>
          <w:color w:val="231F20"/>
          <w:spacing w:val="-3"/>
        </w:rPr>
        <w:t>Стопа</w:t>
      </w:r>
      <w:r>
        <w:rPr>
          <w:color w:val="231F20"/>
          <w:spacing w:val="-6"/>
        </w:rPr>
        <w:t> </w:t>
      </w:r>
      <w:r>
        <w:rPr>
          <w:color w:val="231F20"/>
        </w:rPr>
        <w:t>смањења</w:t>
      </w:r>
      <w:r>
        <w:rPr>
          <w:color w:val="231F20"/>
          <w:spacing w:val="-6"/>
        </w:rPr>
        <w:t> </w:t>
      </w:r>
      <w:r>
        <w:rPr>
          <w:color w:val="231F20"/>
        </w:rPr>
        <w:t>становништва</w:t>
      </w:r>
      <w:r>
        <w:rPr>
          <w:color w:val="231F20"/>
          <w:spacing w:val="-6"/>
        </w:rPr>
        <w:t> </w:t>
      </w:r>
      <w:r>
        <w:rPr>
          <w:color w:val="231F20"/>
        </w:rPr>
        <w:t>у</w:t>
      </w:r>
      <w:r>
        <w:rPr>
          <w:color w:val="231F20"/>
          <w:spacing w:val="-6"/>
        </w:rPr>
        <w:t> </w:t>
      </w:r>
      <w:r>
        <w:rPr>
          <w:color w:val="231F20"/>
        </w:rPr>
        <w:t>реги- ону </w:t>
      </w:r>
      <w:r>
        <w:rPr>
          <w:color w:val="231F20"/>
          <w:spacing w:val="-5"/>
        </w:rPr>
        <w:t>током </w:t>
      </w:r>
      <w:r>
        <w:rPr>
          <w:color w:val="231F20"/>
        </w:rPr>
        <w:t>периода 1991 –2006. </w:t>
      </w:r>
      <w:r>
        <w:rPr>
          <w:color w:val="231F20"/>
          <w:spacing w:val="-3"/>
        </w:rPr>
        <w:t>године </w:t>
      </w:r>
      <w:r>
        <w:rPr>
          <w:color w:val="231F20"/>
        </w:rPr>
        <w:t>износила је </w:t>
      </w:r>
      <w:r>
        <w:rPr>
          <w:color w:val="231F20"/>
          <w:spacing w:val="-3"/>
        </w:rPr>
        <w:t>преко </w:t>
      </w:r>
      <w:r>
        <w:rPr>
          <w:color w:val="231F20"/>
        </w:rPr>
        <w:t>16%, што је</w:t>
      </w:r>
      <w:r>
        <w:rPr>
          <w:color w:val="231F20"/>
          <w:spacing w:val="-8"/>
        </w:rPr>
        <w:t> </w:t>
      </w:r>
      <w:r>
        <w:rPr>
          <w:color w:val="231F20"/>
        </w:rPr>
        <w:t>три</w:t>
      </w:r>
      <w:r>
        <w:rPr>
          <w:color w:val="231F20"/>
          <w:spacing w:val="-8"/>
        </w:rPr>
        <w:t> </w:t>
      </w:r>
      <w:r>
        <w:rPr>
          <w:color w:val="231F20"/>
        </w:rPr>
        <w:t>пута</w:t>
      </w:r>
      <w:r>
        <w:rPr>
          <w:color w:val="231F20"/>
          <w:spacing w:val="-8"/>
        </w:rPr>
        <w:t> </w:t>
      </w:r>
      <w:r>
        <w:rPr>
          <w:color w:val="231F20"/>
        </w:rPr>
        <w:t>више</w:t>
      </w:r>
      <w:r>
        <w:rPr>
          <w:color w:val="231F20"/>
          <w:spacing w:val="-8"/>
        </w:rPr>
        <w:t> </w:t>
      </w:r>
      <w:r>
        <w:rPr>
          <w:color w:val="231F20"/>
          <w:spacing w:val="-4"/>
        </w:rPr>
        <w:t>од</w:t>
      </w:r>
      <w:r>
        <w:rPr>
          <w:color w:val="231F20"/>
          <w:spacing w:val="-8"/>
        </w:rPr>
        <w:t> </w:t>
      </w:r>
      <w:r>
        <w:rPr>
          <w:color w:val="231F20"/>
        </w:rPr>
        <w:t>стопе</w:t>
      </w:r>
      <w:r>
        <w:rPr>
          <w:color w:val="231F20"/>
          <w:spacing w:val="-8"/>
        </w:rPr>
        <w:t> </w:t>
      </w:r>
      <w:r>
        <w:rPr>
          <w:color w:val="231F20"/>
        </w:rPr>
        <w:t>смањења</w:t>
      </w:r>
      <w:r>
        <w:rPr>
          <w:color w:val="231F20"/>
          <w:spacing w:val="-8"/>
        </w:rPr>
        <w:t> </w:t>
      </w:r>
      <w:r>
        <w:rPr>
          <w:color w:val="231F20"/>
        </w:rPr>
        <w:t>на</w:t>
      </w:r>
      <w:r>
        <w:rPr>
          <w:color w:val="231F20"/>
          <w:spacing w:val="-8"/>
        </w:rPr>
        <w:t> </w:t>
      </w:r>
      <w:r>
        <w:rPr>
          <w:color w:val="231F20"/>
        </w:rPr>
        <w:t>националном</w:t>
      </w:r>
      <w:r>
        <w:rPr>
          <w:color w:val="231F20"/>
          <w:spacing w:val="-8"/>
        </w:rPr>
        <w:t> </w:t>
      </w:r>
      <w:r>
        <w:rPr>
          <w:color w:val="231F20"/>
          <w:spacing w:val="-6"/>
        </w:rPr>
        <w:t>нивоу.</w:t>
      </w:r>
      <w:r>
        <w:rPr>
          <w:color w:val="231F20"/>
          <w:spacing w:val="-8"/>
        </w:rPr>
        <w:t> </w:t>
      </w:r>
      <w:r>
        <w:rPr>
          <w:color w:val="231F20"/>
        </w:rPr>
        <w:t>Станов- ништво</w:t>
      </w:r>
      <w:r>
        <w:rPr>
          <w:color w:val="231F20"/>
          <w:spacing w:val="-11"/>
        </w:rPr>
        <w:t> </w:t>
      </w:r>
      <w:r>
        <w:rPr>
          <w:color w:val="231F20"/>
        </w:rPr>
        <w:t>стари,</w:t>
      </w:r>
      <w:r>
        <w:rPr>
          <w:color w:val="231F20"/>
          <w:spacing w:val="-11"/>
        </w:rPr>
        <w:t> </w:t>
      </w:r>
      <w:r>
        <w:rPr>
          <w:color w:val="231F20"/>
        </w:rPr>
        <w:t>пошто</w:t>
      </w:r>
      <w:r>
        <w:rPr>
          <w:color w:val="231F20"/>
          <w:spacing w:val="-11"/>
        </w:rPr>
        <w:t> </w:t>
      </w:r>
      <w:r>
        <w:rPr>
          <w:color w:val="231F20"/>
        </w:rPr>
        <w:t>је</w:t>
      </w:r>
      <w:r>
        <w:rPr>
          <w:color w:val="231F20"/>
          <w:spacing w:val="-11"/>
        </w:rPr>
        <w:t> </w:t>
      </w:r>
      <w:r>
        <w:rPr>
          <w:color w:val="231F20"/>
        </w:rPr>
        <w:t>заступљеност</w:t>
      </w:r>
      <w:r>
        <w:rPr>
          <w:color w:val="231F20"/>
          <w:spacing w:val="-11"/>
        </w:rPr>
        <w:t> </w:t>
      </w:r>
      <w:r>
        <w:rPr>
          <w:color w:val="231F20"/>
        </w:rPr>
        <w:t>старијих</w:t>
      </w:r>
      <w:r>
        <w:rPr>
          <w:color w:val="231F20"/>
          <w:spacing w:val="-11"/>
        </w:rPr>
        <w:t> </w:t>
      </w:r>
      <w:r>
        <w:rPr>
          <w:color w:val="231F20"/>
          <w:spacing w:val="-4"/>
        </w:rPr>
        <w:t>од</w:t>
      </w:r>
      <w:r>
        <w:rPr>
          <w:color w:val="231F20"/>
          <w:spacing w:val="-11"/>
        </w:rPr>
        <w:t> </w:t>
      </w:r>
      <w:r>
        <w:rPr>
          <w:color w:val="231F20"/>
        </w:rPr>
        <w:t>65</w:t>
      </w:r>
      <w:r>
        <w:rPr>
          <w:color w:val="231F20"/>
          <w:spacing w:val="-11"/>
        </w:rPr>
        <w:t> </w:t>
      </w:r>
      <w:r>
        <w:rPr>
          <w:color w:val="231F20"/>
          <w:spacing w:val="-3"/>
        </w:rPr>
        <w:t>година</w:t>
      </w:r>
      <w:r>
        <w:rPr>
          <w:color w:val="231F20"/>
          <w:spacing w:val="-11"/>
        </w:rPr>
        <w:t> </w:t>
      </w:r>
      <w:r>
        <w:rPr>
          <w:color w:val="231F20"/>
        </w:rPr>
        <w:t>велика у поређењу са </w:t>
      </w:r>
      <w:r>
        <w:rPr>
          <w:color w:val="231F20"/>
          <w:spacing w:val="-4"/>
        </w:rPr>
        <w:t>Републиком </w:t>
      </w:r>
      <w:r>
        <w:rPr>
          <w:color w:val="231F20"/>
        </w:rPr>
        <w:t>Србијом. Постоји и недовољна засту- пљеност радно активног становништва старости </w:t>
      </w:r>
      <w:r>
        <w:rPr>
          <w:color w:val="231F20"/>
          <w:spacing w:val="-4"/>
        </w:rPr>
        <w:t>од </w:t>
      </w:r>
      <w:r>
        <w:rPr>
          <w:color w:val="231F20"/>
        </w:rPr>
        <w:t>15 –64 </w:t>
      </w:r>
      <w:r>
        <w:rPr>
          <w:color w:val="231F20"/>
          <w:spacing w:val="-3"/>
        </w:rPr>
        <w:t>година </w:t>
      </w:r>
      <w:r>
        <w:rPr>
          <w:color w:val="231F20"/>
        </w:rPr>
        <w:t>(64,2 % у региону у поређењу са 67,1 % у </w:t>
      </w:r>
      <w:r>
        <w:rPr>
          <w:color w:val="231F20"/>
          <w:spacing w:val="-3"/>
        </w:rPr>
        <w:t>Републици</w:t>
      </w:r>
      <w:r>
        <w:rPr>
          <w:color w:val="231F20"/>
          <w:spacing w:val="-32"/>
        </w:rPr>
        <w:t> </w:t>
      </w:r>
      <w:r>
        <w:rPr>
          <w:color w:val="231F20"/>
        </w:rPr>
        <w:t>Србији).</w:t>
      </w:r>
    </w:p>
    <w:p>
      <w:pPr>
        <w:pStyle w:val="BodyText"/>
        <w:spacing w:line="232" w:lineRule="auto"/>
        <w:ind w:left="239" w:right="130" w:firstLine="396"/>
      </w:pPr>
      <w:r>
        <w:rPr>
          <w:color w:val="231F20"/>
          <w:spacing w:val="-3"/>
        </w:rPr>
        <w:t>Све </w:t>
      </w:r>
      <w:r>
        <w:rPr>
          <w:color w:val="231F20"/>
          <w:spacing w:val="-4"/>
        </w:rPr>
        <w:t>општине, укључујући градове Смедерево </w:t>
      </w:r>
      <w:r>
        <w:rPr>
          <w:color w:val="231F20"/>
        </w:rPr>
        <w:t>и </w:t>
      </w:r>
      <w:r>
        <w:rPr>
          <w:color w:val="231F20"/>
          <w:spacing w:val="-5"/>
        </w:rPr>
        <w:t>Пожаревац, </w:t>
      </w:r>
      <w:r>
        <w:rPr>
          <w:color w:val="231F20"/>
          <w:spacing w:val="-4"/>
        </w:rPr>
        <w:t>бе- леже </w:t>
      </w:r>
      <w:r>
        <w:rPr>
          <w:color w:val="231F20"/>
          <w:spacing w:val="-5"/>
        </w:rPr>
        <w:t>негативан природни </w:t>
      </w:r>
      <w:r>
        <w:rPr>
          <w:color w:val="231F20"/>
          <w:spacing w:val="-4"/>
        </w:rPr>
        <w:t>прираштај. </w:t>
      </w:r>
      <w:r>
        <w:rPr>
          <w:color w:val="231F20"/>
          <w:spacing w:val="-5"/>
        </w:rPr>
        <w:t>Далеко испод </w:t>
      </w:r>
      <w:r>
        <w:rPr>
          <w:color w:val="231F20"/>
          <w:spacing w:val="-3"/>
        </w:rPr>
        <w:t>просека </w:t>
      </w:r>
      <w:r>
        <w:rPr>
          <w:color w:val="231F20"/>
          <w:spacing w:val="-5"/>
        </w:rPr>
        <w:t>Републи- ке </w:t>
      </w:r>
      <w:r>
        <w:rPr>
          <w:color w:val="231F20"/>
          <w:spacing w:val="-4"/>
        </w:rPr>
        <w:t>Србије </w:t>
      </w:r>
      <w:r>
        <w:rPr>
          <w:color w:val="231F20"/>
          <w:spacing w:val="-3"/>
        </w:rPr>
        <w:t>су Мало </w:t>
      </w:r>
      <w:r>
        <w:rPr>
          <w:color w:val="231F20"/>
          <w:spacing w:val="-4"/>
        </w:rPr>
        <w:t>Црниће, Петровац </w:t>
      </w:r>
      <w:r>
        <w:rPr>
          <w:color w:val="231F20"/>
        </w:rPr>
        <w:t>на </w:t>
      </w:r>
      <w:r>
        <w:rPr>
          <w:color w:val="231F20"/>
          <w:spacing w:val="-4"/>
        </w:rPr>
        <w:t>Млави, </w:t>
      </w:r>
      <w:r>
        <w:rPr>
          <w:color w:val="231F20"/>
          <w:spacing w:val="-5"/>
        </w:rPr>
        <w:t>Велико Градиште </w:t>
      </w:r>
      <w:r>
        <w:rPr>
          <w:color w:val="231F20"/>
        </w:rPr>
        <w:t>и </w:t>
      </w:r>
      <w:r>
        <w:rPr>
          <w:color w:val="231F20"/>
          <w:spacing w:val="-5"/>
        </w:rPr>
        <w:t>Жабари, </w:t>
      </w:r>
      <w:r>
        <w:rPr>
          <w:color w:val="231F20"/>
          <w:spacing w:val="-6"/>
        </w:rPr>
        <w:t>које </w:t>
      </w:r>
      <w:r>
        <w:rPr>
          <w:color w:val="231F20"/>
          <w:spacing w:val="-4"/>
        </w:rPr>
        <w:t>имају највећу миграцију </w:t>
      </w:r>
      <w:r>
        <w:rPr>
          <w:color w:val="231F20"/>
        </w:rPr>
        <w:t>и </w:t>
      </w:r>
      <w:r>
        <w:rPr>
          <w:color w:val="231F20"/>
          <w:spacing w:val="-4"/>
        </w:rPr>
        <w:t>демографски </w:t>
      </w:r>
      <w:r>
        <w:rPr>
          <w:color w:val="231F20"/>
          <w:spacing w:val="-3"/>
        </w:rPr>
        <w:t>су </w:t>
      </w:r>
      <w:r>
        <w:rPr>
          <w:color w:val="231F20"/>
          <w:spacing w:val="-5"/>
        </w:rPr>
        <w:t>најугроже- </w:t>
      </w:r>
      <w:r>
        <w:rPr>
          <w:color w:val="231F20"/>
          <w:spacing w:val="-3"/>
        </w:rPr>
        <w:t>није </w:t>
      </w:r>
      <w:r>
        <w:rPr>
          <w:color w:val="231F20"/>
          <w:spacing w:val="-4"/>
        </w:rPr>
        <w:t>општине. </w:t>
      </w:r>
      <w:r>
        <w:rPr>
          <w:color w:val="231F20"/>
        </w:rPr>
        <w:t>У </w:t>
      </w:r>
      <w:r>
        <w:rPr>
          <w:color w:val="231F20"/>
          <w:spacing w:val="-5"/>
        </w:rPr>
        <w:t>Подунављу </w:t>
      </w:r>
      <w:r>
        <w:rPr>
          <w:color w:val="231F20"/>
        </w:rPr>
        <w:t>53 % </w:t>
      </w:r>
      <w:r>
        <w:rPr>
          <w:color w:val="231F20"/>
          <w:spacing w:val="-4"/>
        </w:rPr>
        <w:t>становника </w:t>
      </w:r>
      <w:r>
        <w:rPr>
          <w:color w:val="231F20"/>
          <w:spacing w:val="-3"/>
        </w:rPr>
        <w:t>живи </w:t>
      </w:r>
      <w:r>
        <w:rPr>
          <w:color w:val="231F20"/>
        </w:rPr>
        <w:t>у </w:t>
      </w:r>
      <w:r>
        <w:rPr>
          <w:color w:val="231F20"/>
          <w:spacing w:val="-4"/>
        </w:rPr>
        <w:t>градским </w:t>
      </w:r>
      <w:r>
        <w:rPr>
          <w:color w:val="231F20"/>
          <w:spacing w:val="-3"/>
        </w:rPr>
        <w:t>оп- </w:t>
      </w:r>
      <w:r>
        <w:rPr>
          <w:color w:val="231F20"/>
          <w:spacing w:val="-4"/>
        </w:rPr>
        <w:t>штинама, </w:t>
      </w:r>
      <w:r>
        <w:rPr>
          <w:color w:val="231F20"/>
          <w:spacing w:val="-3"/>
        </w:rPr>
        <w:t>док </w:t>
      </w:r>
      <w:r>
        <w:rPr>
          <w:color w:val="231F20"/>
        </w:rPr>
        <w:t>у </w:t>
      </w:r>
      <w:r>
        <w:rPr>
          <w:color w:val="231F20"/>
          <w:spacing w:val="-5"/>
        </w:rPr>
        <w:t>Браничеву </w:t>
      </w:r>
      <w:r>
        <w:rPr>
          <w:color w:val="231F20"/>
          <w:spacing w:val="-4"/>
        </w:rPr>
        <w:t>преовлађује сеоско становништво </w:t>
      </w:r>
      <w:r>
        <w:rPr>
          <w:color w:val="231F20"/>
          <w:spacing w:val="-3"/>
        </w:rPr>
        <w:t>(63 %).</w:t>
      </w:r>
    </w:p>
    <w:p>
      <w:pPr>
        <w:pStyle w:val="BodyText"/>
        <w:spacing w:line="232" w:lineRule="auto"/>
        <w:ind w:left="239" w:right="130" w:firstLine="397"/>
      </w:pPr>
      <w:r>
        <w:rPr>
          <w:color w:val="231F20"/>
        </w:rPr>
        <w:t>Нема довољно поузданих података у </w:t>
      </w:r>
      <w:r>
        <w:rPr>
          <w:color w:val="231F20"/>
          <w:spacing w:val="-3"/>
        </w:rPr>
        <w:t>погледу </w:t>
      </w:r>
      <w:r>
        <w:rPr>
          <w:color w:val="231F20"/>
        </w:rPr>
        <w:t>сиромаштва, депривације и социјалне укључености – искључености на под- ручју </w:t>
      </w:r>
      <w:r>
        <w:rPr>
          <w:color w:val="231F20"/>
          <w:spacing w:val="-6"/>
        </w:rPr>
        <w:t>БПРР, </w:t>
      </w:r>
      <w:r>
        <w:rPr>
          <w:color w:val="231F20"/>
        </w:rPr>
        <w:t>док је индикативно да је последњих година </w:t>
      </w:r>
      <w:r>
        <w:rPr>
          <w:color w:val="231F20"/>
          <w:spacing w:val="-3"/>
        </w:rPr>
        <w:t>нагло </w:t>
      </w:r>
      <w:r>
        <w:rPr>
          <w:color w:val="231F20"/>
        </w:rPr>
        <w:t>и знатно порастао број корисника појединих врста социјалне помо- ћи (укупно 4% становника, што је на </w:t>
      </w:r>
      <w:r>
        <w:rPr>
          <w:color w:val="231F20"/>
          <w:spacing w:val="-3"/>
        </w:rPr>
        <w:t>нивоу </w:t>
      </w:r>
      <w:r>
        <w:rPr>
          <w:color w:val="231F20"/>
        </w:rPr>
        <w:t>националног просека). </w:t>
      </w:r>
      <w:r>
        <w:rPr>
          <w:color w:val="231F20"/>
          <w:spacing w:val="-3"/>
        </w:rPr>
        <w:t>Главне </w:t>
      </w:r>
      <w:r>
        <w:rPr>
          <w:color w:val="231F20"/>
        </w:rPr>
        <w:t>маргинализоване групе чине Роми, институционализована деца, особе са инвалидитетом, жртве кућног насиља, избеглице, стара сеоска популација и слично.</w:t>
      </w:r>
    </w:p>
    <w:p>
      <w:pPr>
        <w:pStyle w:val="BodyText"/>
        <w:spacing w:line="232" w:lineRule="auto"/>
        <w:ind w:left="239" w:right="130" w:firstLine="396"/>
      </w:pPr>
      <w:r>
        <w:rPr>
          <w:color w:val="231F20"/>
        </w:rPr>
        <w:t>У </w:t>
      </w:r>
      <w:r>
        <w:rPr>
          <w:color w:val="231F20"/>
          <w:spacing w:val="-3"/>
        </w:rPr>
        <w:t>погледу </w:t>
      </w:r>
      <w:r>
        <w:rPr>
          <w:color w:val="231F20"/>
        </w:rPr>
        <w:t>запослености – незапослености, ситуација је, уоп- ште узевши, неповољна, премда различито у разним деловима </w:t>
      </w:r>
      <w:r>
        <w:rPr>
          <w:color w:val="231F20"/>
          <w:spacing w:val="-6"/>
        </w:rPr>
        <w:t>БПРР. </w:t>
      </w:r>
      <w:r>
        <w:rPr>
          <w:color w:val="231F20"/>
        </w:rPr>
        <w:t>Крајем септембра 2008. </w:t>
      </w:r>
      <w:r>
        <w:rPr>
          <w:color w:val="231F20"/>
          <w:spacing w:val="-3"/>
        </w:rPr>
        <w:t>године </w:t>
      </w:r>
      <w:r>
        <w:rPr>
          <w:color w:val="231F20"/>
        </w:rPr>
        <w:t>било је регистровано 26.259 незапослених или 3,6 % свих незапослених лица у Србији. Поду- навски управни округ има много вишу стопу незапослености, </w:t>
      </w:r>
      <w:r>
        <w:rPr>
          <w:color w:val="231F20"/>
          <w:spacing w:val="-3"/>
        </w:rPr>
        <w:t>од </w:t>
      </w:r>
      <w:r>
        <w:rPr>
          <w:color w:val="231F20"/>
        </w:rPr>
        <w:t>25</w:t>
      </w:r>
      <w:r>
        <w:rPr>
          <w:color w:val="231F20"/>
          <w:spacing w:val="-8"/>
        </w:rPr>
        <w:t> </w:t>
      </w:r>
      <w:r>
        <w:rPr>
          <w:color w:val="231F20"/>
        </w:rPr>
        <w:t>%</w:t>
      </w:r>
      <w:r>
        <w:rPr>
          <w:color w:val="231F20"/>
          <w:spacing w:val="-8"/>
        </w:rPr>
        <w:t> </w:t>
      </w:r>
      <w:r>
        <w:rPr>
          <w:color w:val="231F20"/>
        </w:rPr>
        <w:t>у</w:t>
      </w:r>
      <w:r>
        <w:rPr>
          <w:color w:val="231F20"/>
          <w:spacing w:val="-8"/>
        </w:rPr>
        <w:t> </w:t>
      </w:r>
      <w:r>
        <w:rPr>
          <w:color w:val="231F20"/>
        </w:rPr>
        <w:t>Смедереву</w:t>
      </w:r>
      <w:r>
        <w:rPr>
          <w:color w:val="231F20"/>
          <w:spacing w:val="-8"/>
        </w:rPr>
        <w:t> </w:t>
      </w:r>
      <w:r>
        <w:rPr>
          <w:color w:val="231F20"/>
        </w:rPr>
        <w:t>и</w:t>
      </w:r>
      <w:r>
        <w:rPr>
          <w:color w:val="231F20"/>
          <w:spacing w:val="-8"/>
        </w:rPr>
        <w:t> </w:t>
      </w:r>
      <w:r>
        <w:rPr>
          <w:color w:val="231F20"/>
        </w:rPr>
        <w:t>Смедеревској</w:t>
      </w:r>
      <w:r>
        <w:rPr>
          <w:color w:val="231F20"/>
          <w:spacing w:val="-8"/>
        </w:rPr>
        <w:t> </w:t>
      </w:r>
      <w:r>
        <w:rPr>
          <w:color w:val="231F20"/>
        </w:rPr>
        <w:t>Паланци</w:t>
      </w:r>
      <w:r>
        <w:rPr>
          <w:color w:val="231F20"/>
          <w:spacing w:val="-8"/>
        </w:rPr>
        <w:t> </w:t>
      </w:r>
      <w:r>
        <w:rPr>
          <w:color w:val="231F20"/>
        </w:rPr>
        <w:t>до</w:t>
      </w:r>
      <w:r>
        <w:rPr>
          <w:color w:val="231F20"/>
          <w:spacing w:val="-8"/>
        </w:rPr>
        <w:t> </w:t>
      </w:r>
      <w:r>
        <w:rPr>
          <w:color w:val="231F20"/>
        </w:rPr>
        <w:t>30</w:t>
      </w:r>
      <w:r>
        <w:rPr>
          <w:color w:val="231F20"/>
          <w:spacing w:val="-8"/>
        </w:rPr>
        <w:t> </w:t>
      </w:r>
      <w:r>
        <w:rPr>
          <w:color w:val="231F20"/>
        </w:rPr>
        <w:t>%</w:t>
      </w:r>
      <w:r>
        <w:rPr>
          <w:color w:val="231F20"/>
          <w:spacing w:val="-8"/>
        </w:rPr>
        <w:t> </w:t>
      </w:r>
      <w:r>
        <w:rPr>
          <w:color w:val="231F20"/>
        </w:rPr>
        <w:t>у</w:t>
      </w:r>
      <w:r>
        <w:rPr>
          <w:color w:val="231F20"/>
          <w:spacing w:val="-8"/>
        </w:rPr>
        <w:t> </w:t>
      </w:r>
      <w:r>
        <w:rPr>
          <w:color w:val="231F20"/>
        </w:rPr>
        <w:t>Великој</w:t>
      </w:r>
      <w:r>
        <w:rPr>
          <w:color w:val="231F20"/>
          <w:spacing w:val="-8"/>
        </w:rPr>
        <w:t> </w:t>
      </w:r>
      <w:r>
        <w:rPr>
          <w:color w:val="231F20"/>
        </w:rPr>
        <w:t>Пла- ни, </w:t>
      </w:r>
      <w:r>
        <w:rPr>
          <w:color w:val="231F20"/>
          <w:spacing w:val="-3"/>
        </w:rPr>
        <w:t>од </w:t>
      </w:r>
      <w:r>
        <w:rPr>
          <w:color w:val="231F20"/>
        </w:rPr>
        <w:t>општина у </w:t>
      </w:r>
      <w:r>
        <w:rPr>
          <w:color w:val="231F20"/>
          <w:spacing w:val="-3"/>
        </w:rPr>
        <w:t>Браничеву, од </w:t>
      </w:r>
      <w:r>
        <w:rPr>
          <w:color w:val="231F20"/>
        </w:rPr>
        <w:t>8% у сеоским општинама до 17 % у </w:t>
      </w:r>
      <w:r>
        <w:rPr>
          <w:color w:val="231F20"/>
          <w:spacing w:val="-3"/>
        </w:rPr>
        <w:t>Пожаревцу. </w:t>
      </w:r>
      <w:r>
        <w:rPr>
          <w:color w:val="231F20"/>
        </w:rPr>
        <w:t>У поређењу са националним просеком, релативно веће је учешће жена у укупном броју незапослених особа, као и младих и особа без</w:t>
      </w:r>
      <w:r>
        <w:rPr>
          <w:color w:val="231F20"/>
          <w:spacing w:val="-3"/>
        </w:rPr>
        <w:t> </w:t>
      </w:r>
      <w:r>
        <w:rPr>
          <w:color w:val="231F20"/>
        </w:rPr>
        <w:t>квалификација.</w:t>
      </w:r>
    </w:p>
    <w:p>
      <w:pPr>
        <w:pStyle w:val="BodyText"/>
        <w:spacing w:line="232" w:lineRule="auto"/>
        <w:ind w:left="239" w:right="130" w:firstLine="396"/>
      </w:pPr>
      <w:r>
        <w:rPr>
          <w:color w:val="231F20"/>
        </w:rPr>
        <w:t>Укупне просечне зараде су у границама просека за Србију, међутим, постоје знатне унутаррегионалне варијације, у распону од 20 % изнад националног просека, у градским срединама, до 33% испод националног просека, у удаљенијим сеоским области- ма (2006. година).</w:t>
      </w:r>
    </w:p>
    <w:p>
      <w:pPr>
        <w:pStyle w:val="BodyText"/>
        <w:spacing w:line="232" w:lineRule="auto"/>
        <w:ind w:left="240" w:right="130" w:firstLine="396"/>
      </w:pPr>
      <w:r>
        <w:rPr>
          <w:color w:val="231F20"/>
        </w:rPr>
        <w:t>Мрежа образовних установа је добро развијена али не по- стоји довољан број вртића, програма вишег образовања и нијед- на институција за доживотно образовање. </w:t>
      </w:r>
      <w:r>
        <w:rPr>
          <w:color w:val="231F20"/>
          <w:spacing w:val="-4"/>
        </w:rPr>
        <w:t>Око </w:t>
      </w:r>
      <w:r>
        <w:rPr>
          <w:color w:val="231F20"/>
        </w:rPr>
        <w:t>30 % становништва (36 % жена) изнад 15 </w:t>
      </w:r>
      <w:r>
        <w:rPr>
          <w:color w:val="231F20"/>
          <w:spacing w:val="-3"/>
        </w:rPr>
        <w:t>година </w:t>
      </w:r>
      <w:r>
        <w:rPr>
          <w:color w:val="231F20"/>
        </w:rPr>
        <w:t>није завршило основно образовање, док је овај </w:t>
      </w:r>
      <w:r>
        <w:rPr>
          <w:color w:val="231F20"/>
          <w:spacing w:val="-3"/>
        </w:rPr>
        <w:t>удео </w:t>
      </w:r>
      <w:r>
        <w:rPr>
          <w:color w:val="231F20"/>
        </w:rPr>
        <w:t>у Србији 21 % (27 % жена). Ситуација је изузетно тешка у сеоским срединама, нарочито у Браничевском управном </w:t>
      </w:r>
      <w:r>
        <w:rPr>
          <w:color w:val="231F20"/>
          <w:spacing w:val="-4"/>
        </w:rPr>
        <w:t>округу, где </w:t>
      </w:r>
      <w:r>
        <w:rPr>
          <w:color w:val="231F20"/>
        </w:rPr>
        <w:t>у неким општинама има и више </w:t>
      </w:r>
      <w:r>
        <w:rPr>
          <w:color w:val="231F20"/>
          <w:spacing w:val="-3"/>
        </w:rPr>
        <w:t>од </w:t>
      </w:r>
      <w:r>
        <w:rPr>
          <w:color w:val="231F20"/>
        </w:rPr>
        <w:t>40% особа без обра- зовања или завршеног основног образовања (Жагубица – 52 %, Жабари – 47%, Мало Црниће – 43%, </w:t>
      </w:r>
      <w:r>
        <w:rPr>
          <w:color w:val="231F20"/>
          <w:spacing w:val="-3"/>
        </w:rPr>
        <w:t>Кучево </w:t>
      </w:r>
      <w:r>
        <w:rPr>
          <w:color w:val="231F20"/>
        </w:rPr>
        <w:t>– 42 %).</w:t>
      </w:r>
    </w:p>
    <w:p>
      <w:pPr>
        <w:spacing w:after="0" w:line="232" w:lineRule="auto"/>
        <w:sectPr>
          <w:pgSz w:w="12480" w:h="15690"/>
          <w:pgMar w:top="120" w:bottom="280" w:left="680" w:right="720"/>
          <w:cols w:num="2" w:equalWidth="0">
            <w:col w:w="5558" w:space="40"/>
            <w:col w:w="5482"/>
          </w:cols>
        </w:sectPr>
      </w:pPr>
    </w:p>
    <w:p>
      <w:pPr>
        <w:pStyle w:val="BodyText"/>
        <w:spacing w:line="225" w:lineRule="auto" w:before="78"/>
        <w:ind w:left="169" w:right="38" w:firstLine="397"/>
      </w:pPr>
      <w:r>
        <w:rPr/>
        <w:pict>
          <v:line style="position:absolute;mso-position-horizontal-relative:page;mso-position-vertical-relative:page;z-index:1144" from="304.724396pt,11.94295pt" to="304.724396pt,748.95095pt" stroked="true" strokeweight=".6pt" strokecolor="#231f20">
            <v:stroke dashstyle="solid"/>
            <w10:wrap type="none"/>
          </v:line>
        </w:pict>
      </w:r>
      <w:r>
        <w:rPr>
          <w:color w:val="231F20"/>
        </w:rPr>
        <w:t>Бруто</w:t>
      </w:r>
      <w:r>
        <w:rPr>
          <w:color w:val="231F20"/>
          <w:spacing w:val="-6"/>
        </w:rPr>
        <w:t> </w:t>
      </w:r>
      <w:r>
        <w:rPr>
          <w:color w:val="231F20"/>
        </w:rPr>
        <w:t>друштвени</w:t>
      </w:r>
      <w:r>
        <w:rPr>
          <w:color w:val="231F20"/>
          <w:spacing w:val="-6"/>
        </w:rPr>
        <w:t> </w:t>
      </w:r>
      <w:r>
        <w:rPr>
          <w:color w:val="231F20"/>
        </w:rPr>
        <w:t>производ</w:t>
      </w:r>
      <w:r>
        <w:rPr>
          <w:color w:val="231F20"/>
          <w:spacing w:val="-6"/>
        </w:rPr>
        <w:t> </w:t>
      </w:r>
      <w:r>
        <w:rPr>
          <w:color w:val="231F20"/>
        </w:rPr>
        <w:t>(у</w:t>
      </w:r>
      <w:r>
        <w:rPr>
          <w:color w:val="231F20"/>
          <w:spacing w:val="-6"/>
        </w:rPr>
        <w:t> </w:t>
      </w:r>
      <w:r>
        <w:rPr>
          <w:color w:val="231F20"/>
        </w:rPr>
        <w:t>даљем</w:t>
      </w:r>
      <w:r>
        <w:rPr>
          <w:color w:val="231F20"/>
          <w:spacing w:val="-6"/>
        </w:rPr>
        <w:t> </w:t>
      </w:r>
      <w:r>
        <w:rPr>
          <w:color w:val="231F20"/>
        </w:rPr>
        <w:t>тексту:</w:t>
      </w:r>
      <w:r>
        <w:rPr>
          <w:color w:val="231F20"/>
          <w:spacing w:val="-6"/>
        </w:rPr>
        <w:t> </w:t>
      </w:r>
      <w:r>
        <w:rPr>
          <w:color w:val="231F20"/>
          <w:spacing w:val="-3"/>
        </w:rPr>
        <w:t>БДП)</w:t>
      </w:r>
      <w:r>
        <w:rPr>
          <w:color w:val="231F20"/>
          <w:spacing w:val="-6"/>
        </w:rPr>
        <w:t> </w:t>
      </w:r>
      <w:r>
        <w:rPr>
          <w:color w:val="231F20"/>
        </w:rPr>
        <w:t>по</w:t>
      </w:r>
      <w:r>
        <w:rPr>
          <w:color w:val="231F20"/>
          <w:spacing w:val="-6"/>
        </w:rPr>
        <w:t> </w:t>
      </w:r>
      <w:r>
        <w:rPr>
          <w:color w:val="231F20"/>
        </w:rPr>
        <w:t>станов- нику</w:t>
      </w:r>
      <w:r>
        <w:rPr>
          <w:color w:val="231F20"/>
          <w:spacing w:val="-6"/>
        </w:rPr>
        <w:t> </w:t>
      </w:r>
      <w:r>
        <w:rPr>
          <w:color w:val="231F20"/>
        </w:rPr>
        <w:t>у</w:t>
      </w:r>
      <w:r>
        <w:rPr>
          <w:color w:val="231F20"/>
          <w:spacing w:val="-6"/>
        </w:rPr>
        <w:t> </w:t>
      </w:r>
      <w:r>
        <w:rPr>
          <w:color w:val="231F20"/>
        </w:rPr>
        <w:t>БПРР</w:t>
      </w:r>
      <w:r>
        <w:rPr>
          <w:color w:val="231F20"/>
          <w:spacing w:val="-6"/>
        </w:rPr>
        <w:t> </w:t>
      </w:r>
      <w:r>
        <w:rPr>
          <w:color w:val="231F20"/>
        </w:rPr>
        <w:t>је</w:t>
      </w:r>
      <w:r>
        <w:rPr>
          <w:color w:val="231F20"/>
          <w:spacing w:val="-6"/>
        </w:rPr>
        <w:t> </w:t>
      </w:r>
      <w:r>
        <w:rPr>
          <w:color w:val="231F20"/>
        </w:rPr>
        <w:t>знатно</w:t>
      </w:r>
      <w:r>
        <w:rPr>
          <w:color w:val="231F20"/>
          <w:spacing w:val="-6"/>
        </w:rPr>
        <w:t> </w:t>
      </w:r>
      <w:r>
        <w:rPr>
          <w:color w:val="231F20"/>
        </w:rPr>
        <w:t>испод</w:t>
      </w:r>
      <w:r>
        <w:rPr>
          <w:color w:val="231F20"/>
          <w:spacing w:val="-6"/>
        </w:rPr>
        <w:t> </w:t>
      </w:r>
      <w:r>
        <w:rPr>
          <w:color w:val="231F20"/>
        </w:rPr>
        <w:t>просека</w:t>
      </w:r>
      <w:r>
        <w:rPr>
          <w:color w:val="231F20"/>
          <w:spacing w:val="-6"/>
        </w:rPr>
        <w:t> </w:t>
      </w:r>
      <w:r>
        <w:rPr>
          <w:color w:val="231F20"/>
        </w:rPr>
        <w:t>за</w:t>
      </w:r>
      <w:r>
        <w:rPr>
          <w:color w:val="231F20"/>
          <w:spacing w:val="-6"/>
        </w:rPr>
        <w:t> </w:t>
      </w:r>
      <w:r>
        <w:rPr>
          <w:color w:val="231F20"/>
          <w:spacing w:val="-3"/>
        </w:rPr>
        <w:t>Србију,</w:t>
      </w:r>
      <w:r>
        <w:rPr>
          <w:color w:val="231F20"/>
          <w:spacing w:val="-6"/>
        </w:rPr>
        <w:t> </w:t>
      </w:r>
      <w:r>
        <w:rPr>
          <w:color w:val="231F20"/>
        </w:rPr>
        <w:t>у</w:t>
      </w:r>
      <w:r>
        <w:rPr>
          <w:color w:val="231F20"/>
          <w:spacing w:val="-6"/>
        </w:rPr>
        <w:t> </w:t>
      </w:r>
      <w:r>
        <w:rPr>
          <w:color w:val="231F20"/>
        </w:rPr>
        <w:t>свим</w:t>
      </w:r>
      <w:r>
        <w:rPr>
          <w:color w:val="231F20"/>
          <w:spacing w:val="-6"/>
        </w:rPr>
        <w:t> </w:t>
      </w:r>
      <w:r>
        <w:rPr>
          <w:color w:val="231F20"/>
        </w:rPr>
        <w:t>општинама сем у граду </w:t>
      </w:r>
      <w:r>
        <w:rPr>
          <w:color w:val="231F20"/>
          <w:spacing w:val="-3"/>
        </w:rPr>
        <w:t>Пожаревцу, </w:t>
      </w:r>
      <w:r>
        <w:rPr>
          <w:color w:val="231F20"/>
        </w:rPr>
        <w:t>при чему је изузетно низак у општинама Жагубица, </w:t>
      </w:r>
      <w:r>
        <w:rPr>
          <w:color w:val="231F20"/>
          <w:spacing w:val="-3"/>
        </w:rPr>
        <w:t>Кучево </w:t>
      </w:r>
      <w:r>
        <w:rPr>
          <w:color w:val="231F20"/>
        </w:rPr>
        <w:t>и Мало Црниће, </w:t>
      </w:r>
      <w:r>
        <w:rPr>
          <w:color w:val="231F20"/>
          <w:spacing w:val="-4"/>
        </w:rPr>
        <w:t>где </w:t>
      </w:r>
      <w:r>
        <w:rPr>
          <w:color w:val="231F20"/>
        </w:rPr>
        <w:t>износи мање </w:t>
      </w:r>
      <w:r>
        <w:rPr>
          <w:color w:val="231F20"/>
          <w:spacing w:val="-3"/>
        </w:rPr>
        <w:t>од </w:t>
      </w:r>
      <w:r>
        <w:rPr>
          <w:color w:val="231F20"/>
        </w:rPr>
        <w:t>40 % наци- оналног просека. Индикативно је и да Смедерево има низак </w:t>
      </w:r>
      <w:r>
        <w:rPr>
          <w:color w:val="231F20"/>
          <w:spacing w:val="-3"/>
        </w:rPr>
        <w:t>БДП </w:t>
      </w:r>
      <w:r>
        <w:rPr>
          <w:color w:val="231F20"/>
        </w:rPr>
        <w:t>(35 % нижи </w:t>
      </w:r>
      <w:r>
        <w:rPr>
          <w:color w:val="231F20"/>
          <w:spacing w:val="-3"/>
        </w:rPr>
        <w:t>од </w:t>
      </w:r>
      <w:r>
        <w:rPr>
          <w:color w:val="231F20"/>
        </w:rPr>
        <w:t>просека за Србију), као и високу незапосленост, али и плате </w:t>
      </w:r>
      <w:r>
        <w:rPr>
          <w:color w:val="231F20"/>
          <w:spacing w:val="-3"/>
        </w:rPr>
        <w:t>које </w:t>
      </w:r>
      <w:r>
        <w:rPr>
          <w:color w:val="231F20"/>
        </w:rPr>
        <w:t>су изнад просека </w:t>
      </w:r>
      <w:r>
        <w:rPr>
          <w:color w:val="231F20"/>
          <w:spacing w:val="-3"/>
        </w:rPr>
        <w:t>Републике</w:t>
      </w:r>
      <w:r>
        <w:rPr>
          <w:color w:val="231F20"/>
          <w:spacing w:val="-2"/>
        </w:rPr>
        <w:t> </w:t>
      </w:r>
      <w:r>
        <w:rPr>
          <w:color w:val="231F20"/>
        </w:rPr>
        <w:t>Србије.</w:t>
      </w:r>
    </w:p>
    <w:p>
      <w:pPr>
        <w:pStyle w:val="BodyText"/>
        <w:spacing w:line="225" w:lineRule="auto" w:before="2"/>
        <w:ind w:right="38" w:firstLine="396"/>
      </w:pPr>
      <w:r>
        <w:rPr>
          <w:color w:val="231F20"/>
        </w:rPr>
        <w:t>Аналогно, ниво просечног националног дохотка у већини градова и општина БПРР је испод националног просека, а једино подручје са надпросечним дохотком у 2005. години је град Пожа- ревац. У структури националног дохотка доминира пољопривред- ни сектор (38 % у 2005. години), а следе индустрија (18%) и трго- вина на велико и мало (18 %)</w:t>
      </w:r>
    </w:p>
    <w:p>
      <w:pPr>
        <w:pStyle w:val="BodyText"/>
        <w:spacing w:line="225" w:lineRule="auto" w:before="3"/>
        <w:ind w:right="38" w:firstLine="397"/>
      </w:pPr>
      <w:r>
        <w:rPr>
          <w:color w:val="231F20"/>
        </w:rPr>
        <w:t>У </w:t>
      </w:r>
      <w:r>
        <w:rPr>
          <w:color w:val="231F20"/>
          <w:spacing w:val="-4"/>
        </w:rPr>
        <w:t>првом </w:t>
      </w:r>
      <w:r>
        <w:rPr>
          <w:color w:val="231F20"/>
          <w:spacing w:val="-3"/>
        </w:rPr>
        <w:t>кварталу 2007. </w:t>
      </w:r>
      <w:r>
        <w:rPr>
          <w:color w:val="231F20"/>
          <w:spacing w:val="-5"/>
        </w:rPr>
        <w:t>године </w:t>
      </w:r>
      <w:r>
        <w:rPr>
          <w:color w:val="231F20"/>
        </w:rPr>
        <w:t>у </w:t>
      </w:r>
      <w:r>
        <w:rPr>
          <w:color w:val="231F20"/>
          <w:spacing w:val="-3"/>
        </w:rPr>
        <w:t>БПРР било </w:t>
      </w:r>
      <w:r>
        <w:rPr>
          <w:color w:val="231F20"/>
        </w:rPr>
        <w:t>је </w:t>
      </w:r>
      <w:r>
        <w:rPr>
          <w:color w:val="231F20"/>
          <w:spacing w:val="-3"/>
        </w:rPr>
        <w:t>86.557 запосле- </w:t>
      </w:r>
      <w:r>
        <w:rPr>
          <w:color w:val="231F20"/>
        </w:rPr>
        <w:t>них особа, </w:t>
      </w:r>
      <w:r>
        <w:rPr>
          <w:color w:val="231F20"/>
          <w:spacing w:val="-4"/>
        </w:rPr>
        <w:t>од </w:t>
      </w:r>
      <w:r>
        <w:rPr>
          <w:color w:val="231F20"/>
          <w:spacing w:val="-5"/>
        </w:rPr>
        <w:t>којих </w:t>
      </w:r>
      <w:r>
        <w:rPr>
          <w:color w:val="231F20"/>
          <w:spacing w:val="-3"/>
        </w:rPr>
        <w:t>45.799 </w:t>
      </w:r>
      <w:r>
        <w:rPr>
          <w:color w:val="231F20"/>
        </w:rPr>
        <w:t>у </w:t>
      </w:r>
      <w:r>
        <w:rPr>
          <w:color w:val="231F20"/>
          <w:spacing w:val="-5"/>
        </w:rPr>
        <w:t>Подунавском </w:t>
      </w:r>
      <w:r>
        <w:rPr>
          <w:color w:val="231F20"/>
        </w:rPr>
        <w:t>и </w:t>
      </w:r>
      <w:r>
        <w:rPr>
          <w:color w:val="231F20"/>
          <w:spacing w:val="-3"/>
        </w:rPr>
        <w:t>40.758 </w:t>
      </w:r>
      <w:r>
        <w:rPr>
          <w:color w:val="231F20"/>
        </w:rPr>
        <w:t>у </w:t>
      </w:r>
      <w:r>
        <w:rPr>
          <w:color w:val="231F20"/>
          <w:spacing w:val="-4"/>
        </w:rPr>
        <w:t>Браничевском управном </w:t>
      </w:r>
      <w:r>
        <w:rPr>
          <w:color w:val="231F20"/>
          <w:spacing w:val="-6"/>
        </w:rPr>
        <w:t>округу, </w:t>
      </w:r>
      <w:r>
        <w:rPr>
          <w:color w:val="231F20"/>
          <w:spacing w:val="-3"/>
        </w:rPr>
        <w:t>што </w:t>
      </w:r>
      <w:r>
        <w:rPr>
          <w:color w:val="231F20"/>
        </w:rPr>
        <w:t>је само 33% </w:t>
      </w:r>
      <w:r>
        <w:rPr>
          <w:color w:val="231F20"/>
          <w:spacing w:val="-3"/>
        </w:rPr>
        <w:t>радно активног становништва према попису </w:t>
      </w:r>
      <w:r>
        <w:rPr>
          <w:color w:val="231F20"/>
        </w:rPr>
        <w:t>из </w:t>
      </w:r>
      <w:r>
        <w:rPr>
          <w:color w:val="231F20"/>
          <w:spacing w:val="-3"/>
        </w:rPr>
        <w:t>2002. </w:t>
      </w:r>
      <w:r>
        <w:rPr>
          <w:color w:val="231F20"/>
          <w:spacing w:val="-4"/>
        </w:rPr>
        <w:t>године. </w:t>
      </w:r>
      <w:r>
        <w:rPr>
          <w:color w:val="231F20"/>
          <w:spacing w:val="-3"/>
        </w:rPr>
        <w:t>Највеће смањење запослености </w:t>
      </w:r>
      <w:r>
        <w:rPr>
          <w:color w:val="231F20"/>
        </w:rPr>
        <w:t>је у </w:t>
      </w:r>
      <w:r>
        <w:rPr>
          <w:color w:val="231F20"/>
          <w:spacing w:val="-6"/>
        </w:rPr>
        <w:t>Смедереву,</w:t>
      </w:r>
      <w:r>
        <w:rPr>
          <w:color w:val="231F20"/>
          <w:spacing w:val="-9"/>
        </w:rPr>
        <w:t> </w:t>
      </w:r>
      <w:r>
        <w:rPr>
          <w:color w:val="231F20"/>
        </w:rPr>
        <w:t>док</w:t>
      </w:r>
      <w:r>
        <w:rPr>
          <w:color w:val="231F20"/>
          <w:spacing w:val="-9"/>
        </w:rPr>
        <w:t> </w:t>
      </w:r>
      <w:r>
        <w:rPr>
          <w:color w:val="231F20"/>
        </w:rPr>
        <w:t>је</w:t>
      </w:r>
      <w:r>
        <w:rPr>
          <w:color w:val="231F20"/>
          <w:spacing w:val="-9"/>
        </w:rPr>
        <w:t> </w:t>
      </w:r>
      <w:r>
        <w:rPr>
          <w:color w:val="231F20"/>
          <w:spacing w:val="-3"/>
        </w:rPr>
        <w:t>број</w:t>
      </w:r>
      <w:r>
        <w:rPr>
          <w:color w:val="231F20"/>
          <w:spacing w:val="-9"/>
        </w:rPr>
        <w:t> </w:t>
      </w:r>
      <w:r>
        <w:rPr>
          <w:color w:val="231F20"/>
          <w:spacing w:val="-3"/>
        </w:rPr>
        <w:t>запослених</w:t>
      </w:r>
      <w:r>
        <w:rPr>
          <w:color w:val="231F20"/>
          <w:spacing w:val="-9"/>
        </w:rPr>
        <w:t> </w:t>
      </w:r>
      <w:r>
        <w:rPr>
          <w:color w:val="231F20"/>
          <w:spacing w:val="-3"/>
        </w:rPr>
        <w:t>порастао</w:t>
      </w:r>
      <w:r>
        <w:rPr>
          <w:color w:val="231F20"/>
          <w:spacing w:val="-9"/>
        </w:rPr>
        <w:t> </w:t>
      </w:r>
      <w:r>
        <w:rPr>
          <w:color w:val="231F20"/>
        </w:rPr>
        <w:t>само</w:t>
      </w:r>
      <w:r>
        <w:rPr>
          <w:color w:val="231F20"/>
          <w:spacing w:val="-9"/>
        </w:rPr>
        <w:t> </w:t>
      </w:r>
      <w:r>
        <w:rPr>
          <w:color w:val="231F20"/>
        </w:rPr>
        <w:t>у</w:t>
      </w:r>
      <w:r>
        <w:rPr>
          <w:color w:val="231F20"/>
          <w:spacing w:val="-9"/>
        </w:rPr>
        <w:t> </w:t>
      </w:r>
      <w:r>
        <w:rPr>
          <w:color w:val="231F20"/>
          <w:spacing w:val="-3"/>
        </w:rPr>
        <w:t>граду</w:t>
      </w:r>
      <w:r>
        <w:rPr>
          <w:color w:val="231F20"/>
          <w:spacing w:val="-9"/>
        </w:rPr>
        <w:t> </w:t>
      </w:r>
      <w:r>
        <w:rPr>
          <w:color w:val="231F20"/>
          <w:spacing w:val="-5"/>
        </w:rPr>
        <w:t>Пожаревцу. Око </w:t>
      </w:r>
      <w:r>
        <w:rPr>
          <w:color w:val="231F20"/>
        </w:rPr>
        <w:t>65% </w:t>
      </w:r>
      <w:r>
        <w:rPr>
          <w:color w:val="231F20"/>
          <w:spacing w:val="-3"/>
        </w:rPr>
        <w:t>свих запослених ради </w:t>
      </w:r>
      <w:r>
        <w:rPr>
          <w:color w:val="231F20"/>
        </w:rPr>
        <w:t>у </w:t>
      </w:r>
      <w:r>
        <w:rPr>
          <w:color w:val="231F20"/>
          <w:spacing w:val="-4"/>
        </w:rPr>
        <w:t>предузећима, </w:t>
      </w:r>
      <w:r>
        <w:rPr>
          <w:color w:val="231F20"/>
          <w:spacing w:val="-3"/>
        </w:rPr>
        <w:t>организацијама </w:t>
      </w:r>
      <w:r>
        <w:rPr>
          <w:color w:val="231F20"/>
        </w:rPr>
        <w:t>или </w:t>
      </w:r>
      <w:r>
        <w:rPr>
          <w:color w:val="231F20"/>
          <w:spacing w:val="-3"/>
        </w:rPr>
        <w:t>јавним </w:t>
      </w:r>
      <w:r>
        <w:rPr>
          <w:color w:val="231F20"/>
          <w:spacing w:val="-4"/>
        </w:rPr>
        <w:t>институцијама, </w:t>
      </w:r>
      <w:r>
        <w:rPr>
          <w:color w:val="231F20"/>
          <w:spacing w:val="-3"/>
        </w:rPr>
        <w:t>што </w:t>
      </w:r>
      <w:r>
        <w:rPr>
          <w:color w:val="231F20"/>
        </w:rPr>
        <w:t>је </w:t>
      </w:r>
      <w:r>
        <w:rPr>
          <w:color w:val="231F20"/>
          <w:spacing w:val="-3"/>
        </w:rPr>
        <w:t>мање </w:t>
      </w:r>
      <w:r>
        <w:rPr>
          <w:color w:val="231F20"/>
          <w:spacing w:val="-4"/>
        </w:rPr>
        <w:t>од </w:t>
      </w:r>
      <w:r>
        <w:rPr>
          <w:color w:val="231F20"/>
          <w:spacing w:val="-3"/>
        </w:rPr>
        <w:t>националног нивоа </w:t>
      </w:r>
      <w:r>
        <w:rPr>
          <w:color w:val="231F20"/>
        </w:rPr>
        <w:t>(71</w:t>
      </w:r>
      <w:r>
        <w:rPr>
          <w:color w:val="231F20"/>
          <w:spacing w:val="-26"/>
        </w:rPr>
        <w:t> </w:t>
      </w:r>
      <w:r>
        <w:rPr>
          <w:color w:val="231F20"/>
        </w:rPr>
        <w:t>%).</w:t>
      </w:r>
    </w:p>
    <w:p>
      <w:pPr>
        <w:pStyle w:val="BodyText"/>
        <w:spacing w:line="225" w:lineRule="auto" w:before="2"/>
        <w:ind w:right="38" w:firstLine="396"/>
      </w:pPr>
      <w:r>
        <w:rPr>
          <w:color w:val="231F20"/>
        </w:rPr>
        <w:t>Секторска структура запослености још увек рефлектује на- слеђену привредну структуру из социјалистичког периода, у</w:t>
      </w:r>
      <w:r>
        <w:rPr>
          <w:color w:val="231F20"/>
          <w:spacing w:val="-27"/>
        </w:rPr>
        <w:t> </w:t>
      </w:r>
      <w:r>
        <w:rPr>
          <w:color w:val="231F20"/>
        </w:rPr>
        <w:t>скла- ду са моделом претежне такозване „моно-структурне привреде”, што је само потенцирано приватизацијом и реструктурирањем предузећа. Регион у поређењу са Србијом има релативно вишу концентрацију запослености у производњи, </w:t>
      </w:r>
      <w:r>
        <w:rPr>
          <w:color w:val="231F20"/>
          <w:spacing w:val="-3"/>
        </w:rPr>
        <w:t>рударству </w:t>
      </w:r>
      <w:r>
        <w:rPr>
          <w:color w:val="231F20"/>
        </w:rPr>
        <w:t>и сектору енергетике, па су </w:t>
      </w:r>
      <w:r>
        <w:rPr>
          <w:color w:val="231F20"/>
          <w:spacing w:val="-3"/>
        </w:rPr>
        <w:t>главни </w:t>
      </w:r>
      <w:r>
        <w:rPr>
          <w:color w:val="231F20"/>
        </w:rPr>
        <w:t>сектори запослења у БПРР</w:t>
      </w:r>
      <w:r>
        <w:rPr>
          <w:color w:val="231F20"/>
          <w:spacing w:val="-12"/>
        </w:rPr>
        <w:t> </w:t>
      </w:r>
      <w:r>
        <w:rPr>
          <w:color w:val="231F20"/>
        </w:rPr>
        <w:t>следећи:</w:t>
      </w:r>
    </w:p>
    <w:p>
      <w:pPr>
        <w:pStyle w:val="BodyText"/>
        <w:spacing w:line="225" w:lineRule="auto" w:before="3"/>
        <w:ind w:right="38" w:firstLine="396"/>
      </w:pPr>
      <w:r>
        <w:rPr>
          <w:color w:val="231F20"/>
          <w:w w:val="66"/>
        </w:rPr>
        <w:t> </w:t>
      </w:r>
      <w:r>
        <w:rPr>
          <w:color w:val="231F20"/>
        </w:rPr>
        <w:t>–</w:t>
      </w:r>
      <w:r>
        <w:rPr>
          <w:color w:val="231F20"/>
          <w:spacing w:val="-13"/>
        </w:rPr>
        <w:t> </w:t>
      </w:r>
      <w:r>
        <w:rPr>
          <w:color w:val="231F20"/>
        </w:rPr>
        <w:t>рударство</w:t>
      </w:r>
      <w:r>
        <w:rPr>
          <w:color w:val="231F20"/>
          <w:spacing w:val="-13"/>
        </w:rPr>
        <w:t> </w:t>
      </w:r>
      <w:r>
        <w:rPr>
          <w:color w:val="231F20"/>
        </w:rPr>
        <w:t>и</w:t>
      </w:r>
      <w:r>
        <w:rPr>
          <w:color w:val="231F20"/>
          <w:spacing w:val="-13"/>
        </w:rPr>
        <w:t> </w:t>
      </w:r>
      <w:r>
        <w:rPr>
          <w:color w:val="231F20"/>
        </w:rPr>
        <w:t>сектор</w:t>
      </w:r>
      <w:r>
        <w:rPr>
          <w:color w:val="231F20"/>
          <w:spacing w:val="-13"/>
        </w:rPr>
        <w:t> </w:t>
      </w:r>
      <w:r>
        <w:rPr>
          <w:color w:val="231F20"/>
        </w:rPr>
        <w:t>енергетике</w:t>
      </w:r>
      <w:r>
        <w:rPr>
          <w:color w:val="231F20"/>
          <w:spacing w:val="-13"/>
        </w:rPr>
        <w:t> </w:t>
      </w:r>
      <w:r>
        <w:rPr>
          <w:color w:val="231F20"/>
        </w:rPr>
        <w:t>у</w:t>
      </w:r>
      <w:r>
        <w:rPr>
          <w:color w:val="231F20"/>
          <w:spacing w:val="-13"/>
        </w:rPr>
        <w:t> </w:t>
      </w:r>
      <w:r>
        <w:rPr>
          <w:color w:val="231F20"/>
        </w:rPr>
        <w:t>Костолцу</w:t>
      </w:r>
      <w:r>
        <w:rPr>
          <w:color w:val="231F20"/>
          <w:spacing w:val="8"/>
        </w:rPr>
        <w:t> </w:t>
      </w:r>
      <w:r>
        <w:rPr>
          <w:color w:val="231F20"/>
        </w:rPr>
        <w:t>–</w:t>
      </w:r>
      <w:r>
        <w:rPr>
          <w:color w:val="231F20"/>
          <w:spacing w:val="-13"/>
        </w:rPr>
        <w:t> </w:t>
      </w:r>
      <w:r>
        <w:rPr>
          <w:color w:val="231F20"/>
        </w:rPr>
        <w:t>ТЕ-КО</w:t>
      </w:r>
      <w:r>
        <w:rPr>
          <w:color w:val="231F20"/>
          <w:spacing w:val="-13"/>
        </w:rPr>
        <w:t> </w:t>
      </w:r>
      <w:r>
        <w:rPr>
          <w:color w:val="231F20"/>
        </w:rPr>
        <w:t>„Косто- лац”</w:t>
      </w:r>
      <w:r>
        <w:rPr>
          <w:color w:val="231F20"/>
          <w:spacing w:val="-2"/>
        </w:rPr>
        <w:t> </w:t>
      </w:r>
      <w:r>
        <w:rPr>
          <w:color w:val="231F20"/>
        </w:rPr>
        <w:t>(Пожаревац);</w:t>
      </w:r>
    </w:p>
    <w:p>
      <w:pPr>
        <w:pStyle w:val="BodyText"/>
        <w:spacing w:line="192" w:lineRule="exact"/>
        <w:ind w:left="567"/>
        <w:jc w:val="left"/>
      </w:pPr>
      <w:r>
        <w:rPr>
          <w:color w:val="231F20"/>
          <w:w w:val="66"/>
        </w:rPr>
        <w:t> </w:t>
      </w:r>
      <w:r>
        <w:rPr>
          <w:color w:val="231F20"/>
        </w:rPr>
        <w:t>– метало-прерађивачка индустрија у Смедереву („US Steel”);</w:t>
      </w:r>
    </w:p>
    <w:p>
      <w:pPr>
        <w:pStyle w:val="BodyText"/>
        <w:spacing w:line="225" w:lineRule="auto" w:before="4"/>
        <w:ind w:left="171" w:right="38" w:firstLine="396"/>
      </w:pPr>
      <w:r>
        <w:rPr>
          <w:color w:val="231F20"/>
          <w:w w:val="66"/>
        </w:rPr>
        <w:t> </w:t>
      </w:r>
      <w:r>
        <w:rPr>
          <w:color w:val="231F20"/>
        </w:rPr>
        <w:t>– у пољопривреди је 3,3% укупне регионалне запослености, што је мање него у Србији (4 %);</w:t>
      </w:r>
    </w:p>
    <w:p>
      <w:pPr>
        <w:pStyle w:val="BodyText"/>
        <w:spacing w:line="225" w:lineRule="auto" w:before="1"/>
        <w:ind w:left="171" w:right="38" w:firstLine="396"/>
      </w:pPr>
      <w:r>
        <w:rPr>
          <w:color w:val="231F20"/>
          <w:w w:val="66"/>
        </w:rPr>
        <w:t> </w:t>
      </w:r>
      <w:r>
        <w:rPr>
          <w:color w:val="231F20"/>
        </w:rPr>
        <w:t>–</w:t>
      </w:r>
      <w:r>
        <w:rPr>
          <w:color w:val="231F20"/>
          <w:spacing w:val="-11"/>
        </w:rPr>
        <w:t> </w:t>
      </w:r>
      <w:r>
        <w:rPr>
          <w:color w:val="231F20"/>
        </w:rPr>
        <w:t>услуге</w:t>
      </w:r>
      <w:r>
        <w:rPr>
          <w:color w:val="231F20"/>
          <w:spacing w:val="-11"/>
        </w:rPr>
        <w:t> </w:t>
      </w:r>
      <w:r>
        <w:rPr>
          <w:color w:val="231F20"/>
        </w:rPr>
        <w:t>су</w:t>
      </w:r>
      <w:r>
        <w:rPr>
          <w:color w:val="231F20"/>
          <w:spacing w:val="-11"/>
        </w:rPr>
        <w:t> </w:t>
      </w:r>
      <w:r>
        <w:rPr>
          <w:color w:val="231F20"/>
        </w:rPr>
        <w:t>недовољно</w:t>
      </w:r>
      <w:r>
        <w:rPr>
          <w:color w:val="231F20"/>
          <w:spacing w:val="-11"/>
        </w:rPr>
        <w:t> </w:t>
      </w:r>
      <w:r>
        <w:rPr>
          <w:color w:val="231F20"/>
        </w:rPr>
        <w:t>развијене</w:t>
      </w:r>
      <w:r>
        <w:rPr>
          <w:color w:val="231F20"/>
          <w:spacing w:val="-11"/>
        </w:rPr>
        <w:t> </w:t>
      </w:r>
      <w:r>
        <w:rPr>
          <w:color w:val="231F20"/>
        </w:rPr>
        <w:t>(48</w:t>
      </w:r>
      <w:r>
        <w:rPr>
          <w:color w:val="231F20"/>
          <w:spacing w:val="-11"/>
        </w:rPr>
        <w:t> </w:t>
      </w:r>
      <w:r>
        <w:rPr>
          <w:color w:val="231F20"/>
        </w:rPr>
        <w:t>%)</w:t>
      </w:r>
      <w:r>
        <w:rPr>
          <w:color w:val="231F20"/>
          <w:spacing w:val="-11"/>
        </w:rPr>
        <w:t> </w:t>
      </w:r>
      <w:r>
        <w:rPr>
          <w:color w:val="231F20"/>
        </w:rPr>
        <w:t>у</w:t>
      </w:r>
      <w:r>
        <w:rPr>
          <w:color w:val="231F20"/>
          <w:spacing w:val="-11"/>
        </w:rPr>
        <w:t> </w:t>
      </w:r>
      <w:r>
        <w:rPr>
          <w:color w:val="231F20"/>
        </w:rPr>
        <w:t>поређењу</w:t>
      </w:r>
      <w:r>
        <w:rPr>
          <w:color w:val="231F20"/>
          <w:spacing w:val="-11"/>
        </w:rPr>
        <w:t> </w:t>
      </w:r>
      <w:r>
        <w:rPr>
          <w:color w:val="231F20"/>
        </w:rPr>
        <w:t>са</w:t>
      </w:r>
      <w:r>
        <w:rPr>
          <w:color w:val="231F20"/>
          <w:spacing w:val="-11"/>
        </w:rPr>
        <w:t> </w:t>
      </w:r>
      <w:r>
        <w:rPr>
          <w:color w:val="231F20"/>
        </w:rPr>
        <w:t>нацио- налним просеком (56 %)</w:t>
      </w:r>
      <w:r>
        <w:rPr>
          <w:color w:val="231F20"/>
          <w:spacing w:val="-2"/>
        </w:rPr>
        <w:t> </w:t>
      </w:r>
      <w:r>
        <w:rPr>
          <w:color w:val="231F20"/>
        </w:rPr>
        <w:t>и</w:t>
      </w:r>
    </w:p>
    <w:p>
      <w:pPr>
        <w:pStyle w:val="BodyText"/>
        <w:spacing w:line="225" w:lineRule="auto"/>
        <w:ind w:left="568" w:right="8"/>
        <w:jc w:val="left"/>
      </w:pPr>
      <w:r>
        <w:rPr>
          <w:color w:val="231F20"/>
          <w:w w:val="66"/>
        </w:rPr>
        <w:t> </w:t>
      </w:r>
      <w:r>
        <w:rPr>
          <w:color w:val="231F20"/>
        </w:rPr>
        <w:t>– јавна администрација и службе су важне за запошљавање. У формирању </w:t>
      </w:r>
      <w:r>
        <w:rPr>
          <w:color w:val="231F20"/>
          <w:spacing w:val="-3"/>
        </w:rPr>
        <w:t>БДП </w:t>
      </w:r>
      <w:r>
        <w:rPr>
          <w:color w:val="231F20"/>
        </w:rPr>
        <w:t>и НД </w:t>
      </w:r>
      <w:r>
        <w:rPr>
          <w:color w:val="231F20"/>
          <w:spacing w:val="-3"/>
        </w:rPr>
        <w:t>велико </w:t>
      </w:r>
      <w:r>
        <w:rPr>
          <w:color w:val="231F20"/>
        </w:rPr>
        <w:t>учешће имају стране директ-</w:t>
      </w:r>
    </w:p>
    <w:p>
      <w:pPr>
        <w:pStyle w:val="BodyText"/>
        <w:spacing w:line="225" w:lineRule="auto" w:before="1"/>
        <w:ind w:right="38"/>
      </w:pPr>
      <w:r>
        <w:rPr>
          <w:color w:val="231F20"/>
        </w:rPr>
        <w:t>не инвестиције, јер су неке </w:t>
      </w:r>
      <w:r>
        <w:rPr>
          <w:color w:val="231F20"/>
          <w:spacing w:val="-3"/>
        </w:rPr>
        <w:t>од </w:t>
      </w:r>
      <w:r>
        <w:rPr>
          <w:color w:val="231F20"/>
        </w:rPr>
        <w:t>највећих страних директних инве- стиција у Србији остварене управо у </w:t>
      </w:r>
      <w:r>
        <w:rPr>
          <w:color w:val="231F20"/>
          <w:spacing w:val="-6"/>
        </w:rPr>
        <w:t>БПРР, </w:t>
      </w:r>
      <w:r>
        <w:rPr>
          <w:color w:val="231F20"/>
          <w:spacing w:val="-3"/>
        </w:rPr>
        <w:t>које </w:t>
      </w:r>
      <w:r>
        <w:rPr>
          <w:color w:val="231F20"/>
        </w:rPr>
        <w:t>такође генеришу релативно </w:t>
      </w:r>
      <w:r>
        <w:rPr>
          <w:color w:val="231F20"/>
          <w:spacing w:val="-3"/>
        </w:rPr>
        <w:t>велико </w:t>
      </w:r>
      <w:r>
        <w:rPr>
          <w:color w:val="231F20"/>
        </w:rPr>
        <w:t>учешће региона у укупном извозу Србије (5 % у 2007. години). </w:t>
      </w:r>
      <w:r>
        <w:rPr>
          <w:color w:val="231F20"/>
          <w:spacing w:val="-4"/>
        </w:rPr>
        <w:t>Око </w:t>
      </w:r>
      <w:r>
        <w:rPr>
          <w:color w:val="231F20"/>
        </w:rPr>
        <w:t>78% извоза усмерено је ка земљама Европске уније. Поред „US Steel-a”, највећи извозници у региону су ТЕ-КО</w:t>
      </w:r>
    </w:p>
    <w:p>
      <w:pPr>
        <w:pStyle w:val="BodyText"/>
        <w:spacing w:line="225" w:lineRule="auto" w:before="2"/>
        <w:ind w:left="169" w:right="39"/>
      </w:pPr>
      <w:r>
        <w:rPr>
          <w:color w:val="231F20"/>
        </w:rPr>
        <w:t>„Костолац”</w:t>
      </w:r>
      <w:r>
        <w:rPr>
          <w:color w:val="231F20"/>
          <w:spacing w:val="-8"/>
        </w:rPr>
        <w:t> </w:t>
      </w:r>
      <w:r>
        <w:rPr>
          <w:color w:val="231F20"/>
        </w:rPr>
        <w:t>и</w:t>
      </w:r>
      <w:r>
        <w:rPr>
          <w:color w:val="231F20"/>
          <w:spacing w:val="-8"/>
        </w:rPr>
        <w:t> </w:t>
      </w:r>
      <w:r>
        <w:rPr>
          <w:color w:val="231F20"/>
        </w:rPr>
        <w:t>„ГОША”.</w:t>
      </w:r>
      <w:r>
        <w:rPr>
          <w:color w:val="231F20"/>
          <w:spacing w:val="-8"/>
        </w:rPr>
        <w:t> </w:t>
      </w:r>
      <w:r>
        <w:rPr>
          <w:color w:val="231F20"/>
        </w:rPr>
        <w:t>БПРР</w:t>
      </w:r>
      <w:r>
        <w:rPr>
          <w:color w:val="231F20"/>
          <w:spacing w:val="-8"/>
        </w:rPr>
        <w:t> </w:t>
      </w:r>
      <w:r>
        <w:rPr>
          <w:color w:val="231F20"/>
        </w:rPr>
        <w:t>је</w:t>
      </w:r>
      <w:r>
        <w:rPr>
          <w:color w:val="231F20"/>
          <w:spacing w:val="-8"/>
        </w:rPr>
        <w:t> </w:t>
      </w:r>
      <w:r>
        <w:rPr>
          <w:color w:val="231F20"/>
        </w:rPr>
        <w:t>нето</w:t>
      </w:r>
      <w:r>
        <w:rPr>
          <w:color w:val="231F20"/>
          <w:spacing w:val="-8"/>
        </w:rPr>
        <w:t> </w:t>
      </w:r>
      <w:r>
        <w:rPr>
          <w:color w:val="231F20"/>
        </w:rPr>
        <w:t>извозник</w:t>
      </w:r>
      <w:r>
        <w:rPr>
          <w:color w:val="231F20"/>
          <w:spacing w:val="-8"/>
        </w:rPr>
        <w:t> </w:t>
      </w:r>
      <w:r>
        <w:rPr>
          <w:color w:val="231F20"/>
        </w:rPr>
        <w:t>електричне</w:t>
      </w:r>
      <w:r>
        <w:rPr>
          <w:color w:val="231F20"/>
          <w:spacing w:val="-8"/>
        </w:rPr>
        <w:t> </w:t>
      </w:r>
      <w:r>
        <w:rPr>
          <w:color w:val="231F20"/>
        </w:rPr>
        <w:t>енерги- је, захваљујући управо термоелектранама „Костолац А” и „Косто- лац Б” </w:t>
      </w:r>
      <w:r>
        <w:rPr>
          <w:color w:val="231F20"/>
          <w:spacing w:val="-3"/>
        </w:rPr>
        <w:t>које </w:t>
      </w:r>
      <w:r>
        <w:rPr>
          <w:color w:val="231F20"/>
        </w:rPr>
        <w:t>производе </w:t>
      </w:r>
      <w:r>
        <w:rPr>
          <w:color w:val="231F20"/>
          <w:spacing w:val="-4"/>
        </w:rPr>
        <w:t>око </w:t>
      </w:r>
      <w:r>
        <w:rPr>
          <w:color w:val="231F20"/>
        </w:rPr>
        <w:t>4,5 милијарде kwh електричне енергије. ТЕ-КО „Костолац” је важан локални послодавац али и највећи ре- гионални загађивач животне</w:t>
      </w:r>
      <w:r>
        <w:rPr>
          <w:color w:val="231F20"/>
          <w:spacing w:val="-4"/>
        </w:rPr>
        <w:t> </w:t>
      </w:r>
      <w:r>
        <w:rPr>
          <w:color w:val="231F20"/>
        </w:rPr>
        <w:t>средине.</w:t>
      </w:r>
    </w:p>
    <w:p>
      <w:pPr>
        <w:pStyle w:val="BodyText"/>
        <w:spacing w:line="225" w:lineRule="auto" w:before="2"/>
        <w:ind w:right="38" w:firstLine="396"/>
      </w:pPr>
      <w:r>
        <w:rPr>
          <w:color w:val="231F20"/>
        </w:rPr>
        <w:t>У </w:t>
      </w:r>
      <w:r>
        <w:rPr>
          <w:color w:val="231F20"/>
          <w:spacing w:val="-7"/>
        </w:rPr>
        <w:t>погледу конверзије такозване </w:t>
      </w:r>
      <w:r>
        <w:rPr>
          <w:color w:val="231F20"/>
          <w:spacing w:val="-6"/>
        </w:rPr>
        <w:t>„brownfields” </w:t>
      </w:r>
      <w:r>
        <w:rPr>
          <w:color w:val="231F20"/>
          <w:spacing w:val="-3"/>
        </w:rPr>
        <w:t>за </w:t>
      </w:r>
      <w:r>
        <w:rPr>
          <w:color w:val="231F20"/>
          <w:spacing w:val="-5"/>
        </w:rPr>
        <w:t>нове </w:t>
      </w:r>
      <w:r>
        <w:rPr>
          <w:color w:val="231F20"/>
          <w:spacing w:val="-6"/>
        </w:rPr>
        <w:t>намене, </w:t>
      </w:r>
      <w:r>
        <w:rPr>
          <w:color w:val="231F20"/>
        </w:rPr>
        <w:t>у </w:t>
      </w:r>
      <w:r>
        <w:rPr>
          <w:color w:val="231F20"/>
          <w:spacing w:val="-5"/>
        </w:rPr>
        <w:t>БПРР нема </w:t>
      </w:r>
      <w:r>
        <w:rPr>
          <w:color w:val="231F20"/>
          <w:spacing w:val="-6"/>
        </w:rPr>
        <w:t>евиденција </w:t>
      </w:r>
      <w:r>
        <w:rPr>
          <w:color w:val="231F20"/>
        </w:rPr>
        <w:t>о </w:t>
      </w:r>
      <w:r>
        <w:rPr>
          <w:color w:val="231F20"/>
          <w:spacing w:val="-6"/>
        </w:rPr>
        <w:t>постојећим </w:t>
      </w:r>
      <w:r>
        <w:rPr>
          <w:color w:val="231F20"/>
        </w:rPr>
        <w:t>и </w:t>
      </w:r>
      <w:r>
        <w:rPr>
          <w:color w:val="231F20"/>
          <w:spacing w:val="-6"/>
        </w:rPr>
        <w:t>планираним индустријским </w:t>
      </w:r>
      <w:r>
        <w:rPr>
          <w:color w:val="231F20"/>
        </w:rPr>
        <w:t>и </w:t>
      </w:r>
      <w:r>
        <w:rPr>
          <w:color w:val="231F20"/>
          <w:spacing w:val="-7"/>
        </w:rPr>
        <w:t>комерцијалним </w:t>
      </w:r>
      <w:r>
        <w:rPr>
          <w:color w:val="231F20"/>
          <w:spacing w:val="-6"/>
        </w:rPr>
        <w:t>локацијама </w:t>
      </w:r>
      <w:r>
        <w:rPr>
          <w:color w:val="231F20"/>
        </w:rPr>
        <w:t>и </w:t>
      </w:r>
      <w:r>
        <w:rPr>
          <w:color w:val="231F20"/>
          <w:spacing w:val="-6"/>
        </w:rPr>
        <w:t>просторима, </w:t>
      </w:r>
      <w:r>
        <w:rPr>
          <w:color w:val="231F20"/>
          <w:spacing w:val="-8"/>
        </w:rPr>
        <w:t>како </w:t>
      </w:r>
      <w:r>
        <w:rPr>
          <w:color w:val="231F20"/>
          <w:spacing w:val="-3"/>
        </w:rPr>
        <w:t>на </w:t>
      </w:r>
      <w:r>
        <w:rPr>
          <w:color w:val="231F20"/>
          <w:spacing w:val="-7"/>
        </w:rPr>
        <w:t>општинском тако </w:t>
      </w:r>
      <w:r>
        <w:rPr>
          <w:color w:val="231F20"/>
        </w:rPr>
        <w:t>и </w:t>
      </w:r>
      <w:r>
        <w:rPr>
          <w:color w:val="231F20"/>
          <w:spacing w:val="-3"/>
        </w:rPr>
        <w:t>на </w:t>
      </w:r>
      <w:r>
        <w:rPr>
          <w:color w:val="231F20"/>
          <w:spacing w:val="-6"/>
        </w:rPr>
        <w:t>регионалном </w:t>
      </w:r>
      <w:r>
        <w:rPr>
          <w:color w:val="231F20"/>
          <w:spacing w:val="-10"/>
        </w:rPr>
        <w:t>нивоу. </w:t>
      </w:r>
      <w:r>
        <w:rPr>
          <w:color w:val="231F20"/>
          <w:spacing w:val="-4"/>
        </w:rPr>
        <w:t>Још </w:t>
      </w:r>
      <w:r>
        <w:rPr>
          <w:color w:val="231F20"/>
          <w:spacing w:val="-8"/>
        </w:rPr>
        <w:t>током </w:t>
      </w:r>
      <w:r>
        <w:rPr>
          <w:color w:val="231F20"/>
          <w:spacing w:val="-5"/>
        </w:rPr>
        <w:t>2008. </w:t>
      </w:r>
      <w:r>
        <w:rPr>
          <w:color w:val="231F20"/>
          <w:spacing w:val="-7"/>
        </w:rPr>
        <w:t>године </w:t>
      </w:r>
      <w:r>
        <w:rPr>
          <w:color w:val="231F20"/>
          <w:spacing w:val="-5"/>
        </w:rPr>
        <w:t>већи број </w:t>
      </w:r>
      <w:r>
        <w:rPr>
          <w:color w:val="231F20"/>
          <w:spacing w:val="-6"/>
        </w:rPr>
        <w:t>општина </w:t>
      </w:r>
      <w:r>
        <w:rPr>
          <w:color w:val="231F20"/>
          <w:spacing w:val="-5"/>
        </w:rPr>
        <w:t>при- јавио </w:t>
      </w:r>
      <w:r>
        <w:rPr>
          <w:color w:val="231F20"/>
        </w:rPr>
        <w:t>се </w:t>
      </w:r>
      <w:r>
        <w:rPr>
          <w:color w:val="231F20"/>
          <w:spacing w:val="-3"/>
        </w:rPr>
        <w:t>за </w:t>
      </w:r>
      <w:r>
        <w:rPr>
          <w:color w:val="231F20"/>
          <w:spacing w:val="-6"/>
        </w:rPr>
        <w:t>добијање средстава </w:t>
      </w:r>
      <w:r>
        <w:rPr>
          <w:color w:val="231F20"/>
          <w:spacing w:val="-3"/>
        </w:rPr>
        <w:t>из </w:t>
      </w:r>
      <w:r>
        <w:rPr>
          <w:color w:val="231F20"/>
          <w:spacing w:val="-6"/>
        </w:rPr>
        <w:t>Националног инвестиционог </w:t>
      </w:r>
      <w:r>
        <w:rPr>
          <w:color w:val="231F20"/>
          <w:spacing w:val="-5"/>
        </w:rPr>
        <w:t>плана </w:t>
      </w:r>
      <w:r>
        <w:rPr>
          <w:color w:val="231F20"/>
          <w:spacing w:val="-3"/>
        </w:rPr>
        <w:t>(у</w:t>
      </w:r>
      <w:r>
        <w:rPr>
          <w:color w:val="231F20"/>
          <w:spacing w:val="-11"/>
        </w:rPr>
        <w:t> </w:t>
      </w:r>
      <w:r>
        <w:rPr>
          <w:color w:val="231F20"/>
          <w:spacing w:val="-5"/>
        </w:rPr>
        <w:t>даљем</w:t>
      </w:r>
      <w:r>
        <w:rPr>
          <w:color w:val="231F20"/>
          <w:spacing w:val="-11"/>
        </w:rPr>
        <w:t> </w:t>
      </w:r>
      <w:r>
        <w:rPr>
          <w:color w:val="231F20"/>
          <w:spacing w:val="-7"/>
        </w:rPr>
        <w:t>тексту:</w:t>
      </w:r>
      <w:r>
        <w:rPr>
          <w:color w:val="231F20"/>
          <w:spacing w:val="-11"/>
        </w:rPr>
        <w:t> </w:t>
      </w:r>
      <w:r>
        <w:rPr>
          <w:color w:val="231F20"/>
          <w:spacing w:val="-5"/>
        </w:rPr>
        <w:t>НИП),</w:t>
      </w:r>
      <w:r>
        <w:rPr>
          <w:color w:val="231F20"/>
          <w:spacing w:val="-11"/>
        </w:rPr>
        <w:t> </w:t>
      </w:r>
      <w:r>
        <w:rPr>
          <w:color w:val="231F20"/>
        </w:rPr>
        <w:t>са</w:t>
      </w:r>
      <w:r>
        <w:rPr>
          <w:color w:val="231F20"/>
          <w:spacing w:val="-11"/>
        </w:rPr>
        <w:t> </w:t>
      </w:r>
      <w:r>
        <w:rPr>
          <w:color w:val="231F20"/>
          <w:spacing w:val="-5"/>
        </w:rPr>
        <w:t>циљем</w:t>
      </w:r>
      <w:r>
        <w:rPr>
          <w:color w:val="231F20"/>
          <w:spacing w:val="-11"/>
        </w:rPr>
        <w:t> </w:t>
      </w:r>
      <w:r>
        <w:rPr>
          <w:color w:val="231F20"/>
          <w:spacing w:val="-3"/>
        </w:rPr>
        <w:t>да</w:t>
      </w:r>
      <w:r>
        <w:rPr>
          <w:color w:val="231F20"/>
          <w:spacing w:val="-11"/>
        </w:rPr>
        <w:t> </w:t>
      </w:r>
      <w:r>
        <w:rPr>
          <w:color w:val="231F20"/>
          <w:spacing w:val="-6"/>
        </w:rPr>
        <w:t>формирају</w:t>
      </w:r>
      <w:r>
        <w:rPr>
          <w:color w:val="231F20"/>
          <w:spacing w:val="-11"/>
        </w:rPr>
        <w:t> </w:t>
      </w:r>
      <w:r>
        <w:rPr>
          <w:color w:val="231F20"/>
        </w:rPr>
        <w:t>и</w:t>
      </w:r>
      <w:r>
        <w:rPr>
          <w:color w:val="231F20"/>
          <w:spacing w:val="-11"/>
        </w:rPr>
        <w:t> </w:t>
      </w:r>
      <w:r>
        <w:rPr>
          <w:color w:val="231F20"/>
          <w:spacing w:val="-5"/>
        </w:rPr>
        <w:t>опреме</w:t>
      </w:r>
      <w:r>
        <w:rPr>
          <w:color w:val="231F20"/>
          <w:spacing w:val="-11"/>
        </w:rPr>
        <w:t> </w:t>
      </w:r>
      <w:r>
        <w:rPr>
          <w:color w:val="231F20"/>
          <w:spacing w:val="-6"/>
        </w:rPr>
        <w:t>индустријске </w:t>
      </w:r>
      <w:r>
        <w:rPr>
          <w:color w:val="231F20"/>
          <w:spacing w:val="-5"/>
        </w:rPr>
        <w:t>зоне основном </w:t>
      </w:r>
      <w:r>
        <w:rPr>
          <w:color w:val="231F20"/>
          <w:spacing w:val="-7"/>
        </w:rPr>
        <w:t>инфраструктуром, </w:t>
      </w:r>
      <w:r>
        <w:rPr>
          <w:color w:val="231F20"/>
          <w:spacing w:val="-3"/>
        </w:rPr>
        <w:t>на </w:t>
      </w:r>
      <w:r>
        <w:rPr>
          <w:color w:val="231F20"/>
          <w:spacing w:val="-6"/>
        </w:rPr>
        <w:t>пример, </w:t>
      </w:r>
      <w:r>
        <w:rPr>
          <w:color w:val="231F20"/>
          <w:spacing w:val="-7"/>
        </w:rPr>
        <w:t>Велико Градиште, </w:t>
      </w:r>
      <w:r>
        <w:rPr>
          <w:color w:val="231F20"/>
          <w:spacing w:val="-9"/>
        </w:rPr>
        <w:t>Голу- </w:t>
      </w:r>
      <w:r>
        <w:rPr>
          <w:color w:val="231F20"/>
          <w:spacing w:val="-5"/>
        </w:rPr>
        <w:t>бац,</w:t>
      </w:r>
      <w:r>
        <w:rPr>
          <w:color w:val="231F20"/>
          <w:spacing w:val="-10"/>
        </w:rPr>
        <w:t> </w:t>
      </w:r>
      <w:r>
        <w:rPr>
          <w:color w:val="231F20"/>
          <w:spacing w:val="-6"/>
        </w:rPr>
        <w:t>Жабари,</w:t>
      </w:r>
      <w:r>
        <w:rPr>
          <w:color w:val="231F20"/>
          <w:spacing w:val="-10"/>
        </w:rPr>
        <w:t> </w:t>
      </w:r>
      <w:r>
        <w:rPr>
          <w:color w:val="231F20"/>
          <w:spacing w:val="-4"/>
        </w:rPr>
        <w:t>Мало</w:t>
      </w:r>
      <w:r>
        <w:rPr>
          <w:color w:val="231F20"/>
          <w:spacing w:val="-10"/>
        </w:rPr>
        <w:t> </w:t>
      </w:r>
      <w:r>
        <w:rPr>
          <w:color w:val="231F20"/>
          <w:spacing w:val="-6"/>
        </w:rPr>
        <w:t>Црниће,</w:t>
      </w:r>
      <w:r>
        <w:rPr>
          <w:color w:val="231F20"/>
          <w:spacing w:val="-10"/>
        </w:rPr>
        <w:t> </w:t>
      </w:r>
      <w:r>
        <w:rPr>
          <w:color w:val="231F20"/>
          <w:spacing w:val="-6"/>
        </w:rPr>
        <w:t>Пожаревац,</w:t>
      </w:r>
      <w:r>
        <w:rPr>
          <w:color w:val="231F20"/>
          <w:spacing w:val="-10"/>
        </w:rPr>
        <w:t> </w:t>
      </w:r>
      <w:r>
        <w:rPr>
          <w:color w:val="231F20"/>
          <w:spacing w:val="-6"/>
        </w:rPr>
        <w:t>Велика</w:t>
      </w:r>
      <w:r>
        <w:rPr>
          <w:color w:val="231F20"/>
          <w:spacing w:val="-10"/>
        </w:rPr>
        <w:t> </w:t>
      </w:r>
      <w:r>
        <w:rPr>
          <w:color w:val="231F20"/>
          <w:spacing w:val="-5"/>
        </w:rPr>
        <w:t>Плана</w:t>
      </w:r>
      <w:r>
        <w:rPr>
          <w:color w:val="231F20"/>
          <w:spacing w:val="-10"/>
        </w:rPr>
        <w:t> </w:t>
      </w:r>
      <w:r>
        <w:rPr>
          <w:color w:val="231F20"/>
        </w:rPr>
        <w:t>и</w:t>
      </w:r>
      <w:r>
        <w:rPr>
          <w:color w:val="231F20"/>
          <w:spacing w:val="-10"/>
        </w:rPr>
        <w:t> </w:t>
      </w:r>
      <w:r>
        <w:rPr>
          <w:color w:val="231F20"/>
          <w:spacing w:val="-6"/>
        </w:rPr>
        <w:t>Смедерево.</w:t>
      </w:r>
    </w:p>
    <w:p>
      <w:pPr>
        <w:pStyle w:val="BodyText"/>
        <w:spacing w:line="225" w:lineRule="auto" w:before="3"/>
        <w:ind w:right="38" w:firstLine="396"/>
      </w:pPr>
      <w:r>
        <w:rPr>
          <w:color w:val="231F20"/>
        </w:rPr>
        <w:t>Нема систематских података о примени ИКТ. Око 35 % ста- новника у Браничеву и око 35 % у Подунављу је прикључено на мрежу фиксне телефоније.</w:t>
      </w:r>
    </w:p>
    <w:p>
      <w:pPr>
        <w:pStyle w:val="BodyText"/>
        <w:spacing w:line="225" w:lineRule="auto" w:before="1"/>
        <w:ind w:right="38" w:firstLine="396"/>
      </w:pPr>
      <w:r>
        <w:rPr>
          <w:color w:val="231F20"/>
        </w:rPr>
        <w:t>У погледу такозваног индекса развојне угрожености (у да- љем тексту: ИРУ), Браничевски управни округ је 2006. године припадао средњој групи са индексима од 4-4,4 %, као и Подунав- ски регион са вредношћу ИРУ 4,0.</w:t>
      </w:r>
    </w:p>
    <w:p>
      <w:pPr>
        <w:pStyle w:val="BodyText"/>
        <w:spacing w:line="225" w:lineRule="auto" w:before="2"/>
        <w:ind w:left="171" w:right="38" w:firstLine="396"/>
      </w:pPr>
      <w:r>
        <w:rPr>
          <w:color w:val="231F20"/>
        </w:rPr>
        <w:t>У погледу еколошко-просторног реда, неуређеност простора и степен загађености животне средине од ранијег раста и развоја су толики да тек чекају просторно-еколошку санацију.</w:t>
      </w:r>
    </w:p>
    <w:p>
      <w:pPr>
        <w:pStyle w:val="BodyText"/>
        <w:spacing w:line="225" w:lineRule="auto" w:before="1"/>
        <w:ind w:right="38" w:firstLine="397"/>
      </w:pPr>
      <w:r>
        <w:rPr>
          <w:color w:val="231F20"/>
        </w:rPr>
        <w:t>У наведеним регионалним оквирима, </w:t>
      </w:r>
      <w:r>
        <w:rPr>
          <w:color w:val="231F20"/>
          <w:spacing w:val="-3"/>
        </w:rPr>
        <w:t>Град </w:t>
      </w:r>
      <w:r>
        <w:rPr>
          <w:color w:val="231F20"/>
        </w:rPr>
        <w:t>Пожаревац се</w:t>
      </w:r>
      <w:r>
        <w:rPr>
          <w:color w:val="231F20"/>
          <w:spacing w:val="-28"/>
        </w:rPr>
        <w:t> </w:t>
      </w:r>
      <w:r>
        <w:rPr>
          <w:color w:val="231F20"/>
        </w:rPr>
        <w:t>раз- вија брже </w:t>
      </w:r>
      <w:r>
        <w:rPr>
          <w:color w:val="231F20"/>
          <w:spacing w:val="-3"/>
        </w:rPr>
        <w:t>од </w:t>
      </w:r>
      <w:r>
        <w:rPr>
          <w:color w:val="231F20"/>
        </w:rPr>
        <w:t>ширег планског региона и, </w:t>
      </w:r>
      <w:r>
        <w:rPr>
          <w:color w:val="231F20"/>
          <w:spacing w:val="-3"/>
        </w:rPr>
        <w:t>утолико, </w:t>
      </w:r>
      <w:r>
        <w:rPr>
          <w:color w:val="231F20"/>
        </w:rPr>
        <w:t>има великих </w:t>
      </w:r>
      <w:r>
        <w:rPr>
          <w:color w:val="231F20"/>
          <w:spacing w:val="-4"/>
        </w:rPr>
        <w:t>ко- </w:t>
      </w:r>
      <w:r>
        <w:rPr>
          <w:color w:val="231F20"/>
        </w:rPr>
        <w:t>ристи </w:t>
      </w:r>
      <w:r>
        <w:rPr>
          <w:color w:val="231F20"/>
          <w:spacing w:val="-3"/>
        </w:rPr>
        <w:t>од </w:t>
      </w:r>
      <w:r>
        <w:rPr>
          <w:color w:val="231F20"/>
        </w:rPr>
        <w:t>развоја основне делатности, а то је енергетско коришће- ње угља. На другој страни, нарочито у последњих десетак </w:t>
      </w:r>
      <w:r>
        <w:rPr>
          <w:color w:val="231F20"/>
          <w:spacing w:val="-3"/>
        </w:rPr>
        <w:t>година, </w:t>
      </w:r>
      <w:r>
        <w:rPr>
          <w:color w:val="231F20"/>
        </w:rPr>
        <w:t>показало се да Пожаревац трпи и већи број негативних последи- ца, у првом реду </w:t>
      </w:r>
      <w:r>
        <w:rPr>
          <w:color w:val="231F20"/>
          <w:spacing w:val="-3"/>
        </w:rPr>
        <w:t>од </w:t>
      </w:r>
      <w:r>
        <w:rPr>
          <w:color w:val="231F20"/>
        </w:rPr>
        <w:t>еколошки-просторно недовољно контролиса- ног загађења услед откопавања угља на површинским коповима  и производње енергије. Друго, једнако по важности, јесте то што развојни приоритети Пожаревца не морају у свему бити </w:t>
      </w:r>
      <w:r>
        <w:rPr>
          <w:color w:val="231F20"/>
          <w:spacing w:val="-3"/>
        </w:rPr>
        <w:t>подудар- </w:t>
      </w:r>
      <w:r>
        <w:rPr>
          <w:color w:val="231F20"/>
        </w:rPr>
        <w:t>ни са приоритетима развоја рударско-енергетског система. Наи- ме, и Пожаревац спада у оне градове </w:t>
      </w:r>
      <w:r>
        <w:rPr>
          <w:color w:val="231F20"/>
          <w:spacing w:val="-3"/>
        </w:rPr>
        <w:t>који </w:t>
      </w:r>
      <w:r>
        <w:rPr>
          <w:color w:val="231F20"/>
        </w:rPr>
        <w:t>су забележили знатну деиндустријализацију </w:t>
      </w:r>
      <w:r>
        <w:rPr>
          <w:color w:val="231F20"/>
          <w:spacing w:val="-3"/>
        </w:rPr>
        <w:t>од </w:t>
      </w:r>
      <w:r>
        <w:rPr>
          <w:color w:val="231F20"/>
        </w:rPr>
        <w:t>почетка 1990-тих година, </w:t>
      </w:r>
      <w:r>
        <w:rPr>
          <w:color w:val="231F20"/>
          <w:spacing w:val="-3"/>
        </w:rPr>
        <w:t>иако </w:t>
      </w:r>
      <w:r>
        <w:rPr>
          <w:color w:val="231F20"/>
        </w:rPr>
        <w:t>у</w:t>
      </w:r>
      <w:r>
        <w:rPr>
          <w:color w:val="231F20"/>
          <w:spacing w:val="10"/>
        </w:rPr>
        <w:t> </w:t>
      </w:r>
      <w:r>
        <w:rPr>
          <w:color w:val="231F20"/>
        </w:rPr>
        <w:t>мањем</w:t>
      </w:r>
    </w:p>
    <w:p>
      <w:pPr>
        <w:pStyle w:val="BodyText"/>
        <w:spacing w:line="228" w:lineRule="auto" w:before="81"/>
        <w:ind w:right="409" w:hanging="1"/>
      </w:pPr>
      <w:r>
        <w:rPr/>
        <w:br w:type="column"/>
      </w:r>
      <w:r>
        <w:rPr>
          <w:color w:val="231F20"/>
        </w:rPr>
        <w:t>степену него многи други градови, односно, општине. У складу с тим,</w:t>
      </w:r>
      <w:r>
        <w:rPr>
          <w:color w:val="231F20"/>
          <w:spacing w:val="-8"/>
        </w:rPr>
        <w:t> </w:t>
      </w:r>
      <w:r>
        <w:rPr>
          <w:color w:val="231F20"/>
        </w:rPr>
        <w:t>један</w:t>
      </w:r>
      <w:r>
        <w:rPr>
          <w:color w:val="231F20"/>
          <w:spacing w:val="-8"/>
        </w:rPr>
        <w:t> </w:t>
      </w:r>
      <w:r>
        <w:rPr>
          <w:color w:val="231F20"/>
          <w:spacing w:val="-3"/>
        </w:rPr>
        <w:t>од</w:t>
      </w:r>
      <w:r>
        <w:rPr>
          <w:color w:val="231F20"/>
          <w:spacing w:val="-8"/>
        </w:rPr>
        <w:t> </w:t>
      </w:r>
      <w:r>
        <w:rPr>
          <w:color w:val="231F20"/>
        </w:rPr>
        <w:t>кључних</w:t>
      </w:r>
      <w:r>
        <w:rPr>
          <w:color w:val="231F20"/>
          <w:spacing w:val="-8"/>
        </w:rPr>
        <w:t> </w:t>
      </w:r>
      <w:r>
        <w:rPr>
          <w:color w:val="231F20"/>
        </w:rPr>
        <w:t>приоритета</w:t>
      </w:r>
      <w:r>
        <w:rPr>
          <w:color w:val="231F20"/>
          <w:spacing w:val="-8"/>
        </w:rPr>
        <w:t> </w:t>
      </w:r>
      <w:r>
        <w:rPr>
          <w:color w:val="231F20"/>
        </w:rPr>
        <w:t>тиче</w:t>
      </w:r>
      <w:r>
        <w:rPr>
          <w:color w:val="231F20"/>
          <w:spacing w:val="-8"/>
        </w:rPr>
        <w:t> </w:t>
      </w:r>
      <w:r>
        <w:rPr>
          <w:color w:val="231F20"/>
        </w:rPr>
        <w:t>се</w:t>
      </w:r>
      <w:r>
        <w:rPr>
          <w:color w:val="231F20"/>
          <w:spacing w:val="-8"/>
        </w:rPr>
        <w:t> </w:t>
      </w:r>
      <w:r>
        <w:rPr>
          <w:color w:val="231F20"/>
        </w:rPr>
        <w:t>селективне</w:t>
      </w:r>
      <w:r>
        <w:rPr>
          <w:color w:val="231F20"/>
          <w:spacing w:val="-8"/>
        </w:rPr>
        <w:t> </w:t>
      </w:r>
      <w:r>
        <w:rPr>
          <w:color w:val="231F20"/>
        </w:rPr>
        <w:t>реиндустри- јализације ширег </w:t>
      </w:r>
      <w:r>
        <w:rPr>
          <w:color w:val="231F20"/>
          <w:spacing w:val="-3"/>
        </w:rPr>
        <w:t>пожаревачког </w:t>
      </w:r>
      <w:r>
        <w:rPr>
          <w:color w:val="231F20"/>
        </w:rPr>
        <w:t>подручја, у оквиру новог модела </w:t>
      </w:r>
      <w:r>
        <w:rPr>
          <w:color w:val="231F20"/>
          <w:spacing w:val="-3"/>
        </w:rPr>
        <w:t>економског </w:t>
      </w:r>
      <w:r>
        <w:rPr>
          <w:color w:val="231F20"/>
        </w:rPr>
        <w:t>раста за </w:t>
      </w:r>
      <w:r>
        <w:rPr>
          <w:color w:val="231F20"/>
          <w:spacing w:val="-3"/>
        </w:rPr>
        <w:t>Србију, </w:t>
      </w:r>
      <w:r>
        <w:rPr>
          <w:color w:val="231F20"/>
        </w:rPr>
        <w:t>а </w:t>
      </w:r>
      <w:r>
        <w:rPr>
          <w:color w:val="231F20"/>
          <w:spacing w:val="-3"/>
        </w:rPr>
        <w:t>свакако </w:t>
      </w:r>
      <w:r>
        <w:rPr>
          <w:color w:val="231F20"/>
        </w:rPr>
        <w:t>ширење и продубљивање индустријске и укупне привредне матрице, </w:t>
      </w:r>
      <w:r>
        <w:rPr>
          <w:color w:val="231F20"/>
          <w:spacing w:val="-3"/>
        </w:rPr>
        <w:t>која </w:t>
      </w:r>
      <w:r>
        <w:rPr>
          <w:color w:val="231F20"/>
        </w:rPr>
        <w:t>је у периоду до краја 1980-тих </w:t>
      </w:r>
      <w:r>
        <w:rPr>
          <w:color w:val="231F20"/>
          <w:spacing w:val="-3"/>
        </w:rPr>
        <w:t>година </w:t>
      </w:r>
      <w:r>
        <w:rPr>
          <w:color w:val="231F20"/>
        </w:rPr>
        <w:t>била знатно развијенија него што је данас. </w:t>
      </w:r>
      <w:r>
        <w:rPr>
          <w:color w:val="231F20"/>
          <w:spacing w:val="-3"/>
        </w:rPr>
        <w:t>Реч </w:t>
      </w:r>
      <w:r>
        <w:rPr>
          <w:color w:val="231F20"/>
        </w:rPr>
        <w:t>је о начелима и принципима </w:t>
      </w:r>
      <w:r>
        <w:rPr>
          <w:color w:val="231F20"/>
          <w:spacing w:val="-5"/>
        </w:rPr>
        <w:t>новог, </w:t>
      </w:r>
      <w:r>
        <w:rPr>
          <w:color w:val="231F20"/>
        </w:rPr>
        <w:t>одрживог привредног раз- воја. Саставни део нове концепције одрживости јесте: прво, што шира санација еколошких штета </w:t>
      </w:r>
      <w:r>
        <w:rPr>
          <w:color w:val="231F20"/>
          <w:spacing w:val="-3"/>
        </w:rPr>
        <w:t>која </w:t>
      </w:r>
      <w:r>
        <w:rPr>
          <w:color w:val="231F20"/>
        </w:rPr>
        <w:t>су досад почињене а још увек остале несаниране; и друго, мање загађивање </w:t>
      </w:r>
      <w:r>
        <w:rPr>
          <w:color w:val="231F20"/>
          <w:spacing w:val="-3"/>
        </w:rPr>
        <w:t>од </w:t>
      </w:r>
      <w:r>
        <w:rPr>
          <w:color w:val="231F20"/>
        </w:rPr>
        <w:t>стране </w:t>
      </w:r>
      <w:r>
        <w:rPr>
          <w:color w:val="231F20"/>
          <w:spacing w:val="-4"/>
        </w:rPr>
        <w:t>буду- </w:t>
      </w:r>
      <w:r>
        <w:rPr>
          <w:color w:val="231F20"/>
        </w:rPr>
        <w:t>ћих активности и генерално боља контрола</w:t>
      </w:r>
      <w:r>
        <w:rPr>
          <w:color w:val="231F20"/>
          <w:spacing w:val="-12"/>
        </w:rPr>
        <w:t> </w:t>
      </w:r>
      <w:r>
        <w:rPr>
          <w:color w:val="231F20"/>
        </w:rPr>
        <w:t>загађивања.</w:t>
      </w:r>
    </w:p>
    <w:p>
      <w:pPr>
        <w:pStyle w:val="BodyText"/>
        <w:spacing w:line="235" w:lineRule="auto"/>
        <w:ind w:right="409" w:firstLine="396"/>
      </w:pPr>
      <w:r>
        <w:rPr>
          <w:color w:val="231F20"/>
        </w:rPr>
        <w:t>У БПРР је основана Регионална развојна агенција „Брани- чево – Подунавље”, као нови облик комуникације и наступа Ре- </w:t>
      </w:r>
      <w:r>
        <w:rPr>
          <w:color w:val="231F20"/>
          <w:spacing w:val="-3"/>
        </w:rPr>
        <w:t>публичке </w:t>
      </w:r>
      <w:r>
        <w:rPr>
          <w:color w:val="231F20"/>
        </w:rPr>
        <w:t>управе у јавности са детаљним описом начина рада и одговорности појединачних тела, </w:t>
      </w:r>
      <w:r>
        <w:rPr>
          <w:color w:val="231F20"/>
          <w:spacing w:val="-3"/>
        </w:rPr>
        <w:t>која </w:t>
      </w:r>
      <w:r>
        <w:rPr>
          <w:color w:val="231F20"/>
        </w:rPr>
        <w:t>обухватају: Скупштину Регионалне развојне агенције, Регионални развојни </w:t>
      </w:r>
      <w:r>
        <w:rPr>
          <w:color w:val="231F20"/>
          <w:spacing w:val="-3"/>
        </w:rPr>
        <w:t>савет, </w:t>
      </w:r>
      <w:r>
        <w:rPr>
          <w:color w:val="231F20"/>
        </w:rPr>
        <w:t>радне групе (за пет појединачних сектора – инфраструктуру и заштиту животне средине, туризам, пољопривреду и рурални развој, </w:t>
      </w:r>
      <w:r>
        <w:rPr>
          <w:color w:val="231F20"/>
          <w:spacing w:val="-3"/>
        </w:rPr>
        <w:t>еко- </w:t>
      </w:r>
      <w:r>
        <w:rPr>
          <w:color w:val="231F20"/>
        </w:rPr>
        <w:t>номски</w:t>
      </w:r>
      <w:r>
        <w:rPr>
          <w:color w:val="231F20"/>
          <w:spacing w:val="-7"/>
        </w:rPr>
        <w:t> </w:t>
      </w:r>
      <w:r>
        <w:rPr>
          <w:color w:val="231F20"/>
        </w:rPr>
        <w:t>развој</w:t>
      </w:r>
      <w:r>
        <w:rPr>
          <w:color w:val="231F20"/>
          <w:spacing w:val="-7"/>
        </w:rPr>
        <w:t> </w:t>
      </w:r>
      <w:r>
        <w:rPr>
          <w:color w:val="231F20"/>
        </w:rPr>
        <w:t>и</w:t>
      </w:r>
      <w:r>
        <w:rPr>
          <w:color w:val="231F20"/>
          <w:spacing w:val="-7"/>
        </w:rPr>
        <w:t> </w:t>
      </w:r>
      <w:r>
        <w:rPr>
          <w:color w:val="231F20"/>
        </w:rPr>
        <w:t>МСП</w:t>
      </w:r>
      <w:r>
        <w:rPr>
          <w:color w:val="231F20"/>
          <w:spacing w:val="-7"/>
        </w:rPr>
        <w:t> </w:t>
      </w:r>
      <w:r>
        <w:rPr>
          <w:color w:val="231F20"/>
        </w:rPr>
        <w:t>и</w:t>
      </w:r>
      <w:r>
        <w:rPr>
          <w:color w:val="231F20"/>
          <w:spacing w:val="-7"/>
        </w:rPr>
        <w:t> </w:t>
      </w:r>
      <w:r>
        <w:rPr>
          <w:color w:val="231F20"/>
          <w:spacing w:val="-3"/>
        </w:rPr>
        <w:t>људске</w:t>
      </w:r>
      <w:r>
        <w:rPr>
          <w:color w:val="231F20"/>
          <w:spacing w:val="-7"/>
        </w:rPr>
        <w:t> </w:t>
      </w:r>
      <w:r>
        <w:rPr>
          <w:color w:val="231F20"/>
        </w:rPr>
        <w:t>ресурсе),</w:t>
      </w:r>
      <w:r>
        <w:rPr>
          <w:color w:val="231F20"/>
          <w:spacing w:val="-7"/>
        </w:rPr>
        <w:t> </w:t>
      </w:r>
      <w:r>
        <w:rPr>
          <w:color w:val="231F20"/>
        </w:rPr>
        <w:t>и</w:t>
      </w:r>
      <w:r>
        <w:rPr>
          <w:color w:val="231F20"/>
          <w:spacing w:val="-7"/>
        </w:rPr>
        <w:t> </w:t>
      </w:r>
      <w:r>
        <w:rPr>
          <w:color w:val="231F20"/>
        </w:rPr>
        <w:t>пројектне</w:t>
      </w:r>
      <w:r>
        <w:rPr>
          <w:color w:val="231F20"/>
          <w:spacing w:val="-7"/>
        </w:rPr>
        <w:t> </w:t>
      </w:r>
      <w:r>
        <w:rPr>
          <w:color w:val="231F20"/>
        </w:rPr>
        <w:t>тимове</w:t>
      </w:r>
      <w:r>
        <w:rPr>
          <w:color w:val="231F20"/>
          <w:spacing w:val="-7"/>
        </w:rPr>
        <w:t> </w:t>
      </w:r>
      <w:r>
        <w:rPr>
          <w:color w:val="231F20"/>
        </w:rPr>
        <w:t>(„task forces”),</w:t>
      </w:r>
      <w:r>
        <w:rPr>
          <w:color w:val="231F20"/>
          <w:spacing w:val="-8"/>
        </w:rPr>
        <w:t> </w:t>
      </w:r>
      <w:r>
        <w:rPr>
          <w:color w:val="231F20"/>
        </w:rPr>
        <w:t>за</w:t>
      </w:r>
      <w:r>
        <w:rPr>
          <w:color w:val="231F20"/>
          <w:spacing w:val="-8"/>
        </w:rPr>
        <w:t> </w:t>
      </w:r>
      <w:r>
        <w:rPr>
          <w:color w:val="231F20"/>
        </w:rPr>
        <w:t>појединачне</w:t>
      </w:r>
      <w:r>
        <w:rPr>
          <w:color w:val="231F20"/>
          <w:spacing w:val="-8"/>
        </w:rPr>
        <w:t> </w:t>
      </w:r>
      <w:r>
        <w:rPr>
          <w:color w:val="231F20"/>
        </w:rPr>
        <w:t>приоритетне</w:t>
      </w:r>
      <w:r>
        <w:rPr>
          <w:color w:val="231F20"/>
          <w:spacing w:val="-8"/>
        </w:rPr>
        <w:t> </w:t>
      </w:r>
      <w:r>
        <w:rPr>
          <w:color w:val="231F20"/>
        </w:rPr>
        <w:t>пројекте.</w:t>
      </w:r>
      <w:r>
        <w:rPr>
          <w:color w:val="231F20"/>
          <w:spacing w:val="-8"/>
        </w:rPr>
        <w:t> </w:t>
      </w:r>
      <w:r>
        <w:rPr>
          <w:color w:val="231F20"/>
        </w:rPr>
        <w:t>Детаљно</w:t>
      </w:r>
      <w:r>
        <w:rPr>
          <w:color w:val="231F20"/>
          <w:spacing w:val="-8"/>
        </w:rPr>
        <w:t> </w:t>
      </w:r>
      <w:r>
        <w:rPr>
          <w:color w:val="231F20"/>
        </w:rPr>
        <w:t>су</w:t>
      </w:r>
      <w:r>
        <w:rPr>
          <w:color w:val="231F20"/>
          <w:spacing w:val="-8"/>
        </w:rPr>
        <w:t> </w:t>
      </w:r>
      <w:r>
        <w:rPr>
          <w:color w:val="231F20"/>
        </w:rPr>
        <w:t>одређе- не</w:t>
      </w:r>
      <w:r>
        <w:rPr>
          <w:color w:val="231F20"/>
          <w:spacing w:val="-9"/>
        </w:rPr>
        <w:t> </w:t>
      </w:r>
      <w:r>
        <w:rPr>
          <w:color w:val="231F20"/>
        </w:rPr>
        <w:t>њихове</w:t>
      </w:r>
      <w:r>
        <w:rPr>
          <w:color w:val="231F20"/>
          <w:spacing w:val="-9"/>
        </w:rPr>
        <w:t> </w:t>
      </w:r>
      <w:r>
        <w:rPr>
          <w:color w:val="231F20"/>
        </w:rPr>
        <w:t>појединачне</w:t>
      </w:r>
      <w:r>
        <w:rPr>
          <w:color w:val="231F20"/>
          <w:spacing w:val="-9"/>
        </w:rPr>
        <w:t> </w:t>
      </w:r>
      <w:r>
        <w:rPr>
          <w:color w:val="231F20"/>
        </w:rPr>
        <w:t>надлежности,</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механизам</w:t>
      </w:r>
      <w:r>
        <w:rPr>
          <w:color w:val="231F20"/>
          <w:spacing w:val="-9"/>
        </w:rPr>
        <w:t> </w:t>
      </w:r>
      <w:r>
        <w:rPr>
          <w:color w:val="231F20"/>
        </w:rPr>
        <w:t>мониторин- га и евалуације (са индикаторима, према приоритетима и мерама, укључујући и прикупљање и обраду</w:t>
      </w:r>
      <w:r>
        <w:rPr>
          <w:color w:val="231F20"/>
          <w:spacing w:val="-6"/>
        </w:rPr>
        <w:t> </w:t>
      </w:r>
      <w:r>
        <w:rPr>
          <w:color w:val="231F20"/>
        </w:rPr>
        <w:t>података).</w:t>
      </w:r>
    </w:p>
    <w:p>
      <w:pPr>
        <w:pStyle w:val="Heading1"/>
        <w:numPr>
          <w:ilvl w:val="0"/>
          <w:numId w:val="12"/>
        </w:numPr>
        <w:tabs>
          <w:tab w:pos="911" w:val="left" w:leader="none"/>
        </w:tabs>
        <w:spacing w:line="240" w:lineRule="auto" w:before="159" w:after="0"/>
        <w:ind w:left="910" w:right="0" w:hanging="180"/>
        <w:jc w:val="left"/>
      </w:pPr>
      <w:r>
        <w:rPr>
          <w:color w:val="231F20"/>
        </w:rPr>
        <w:t>Оцена стања просторног развоја по</w:t>
      </w:r>
      <w:r>
        <w:rPr>
          <w:color w:val="231F20"/>
          <w:spacing w:val="-8"/>
        </w:rPr>
        <w:t> </w:t>
      </w:r>
      <w:r>
        <w:rPr>
          <w:color w:val="231F20"/>
        </w:rPr>
        <w:t>областима</w:t>
      </w:r>
    </w:p>
    <w:p>
      <w:pPr>
        <w:pStyle w:val="ListParagraph"/>
        <w:numPr>
          <w:ilvl w:val="1"/>
          <w:numId w:val="12"/>
        </w:numPr>
        <w:tabs>
          <w:tab w:pos="1934" w:val="left" w:leader="none"/>
        </w:tabs>
        <w:spacing w:line="240" w:lineRule="auto" w:before="165" w:after="0"/>
        <w:ind w:left="1933" w:right="0" w:hanging="315"/>
        <w:jc w:val="left"/>
        <w:rPr>
          <w:i/>
          <w:sz w:val="18"/>
        </w:rPr>
      </w:pPr>
      <w:r>
        <w:rPr>
          <w:i/>
          <w:color w:val="231F20"/>
          <w:sz w:val="18"/>
        </w:rPr>
        <w:t>Рударство и</w:t>
      </w:r>
      <w:r>
        <w:rPr>
          <w:i/>
          <w:color w:val="231F20"/>
          <w:spacing w:val="-1"/>
          <w:sz w:val="18"/>
        </w:rPr>
        <w:t> </w:t>
      </w:r>
      <w:r>
        <w:rPr>
          <w:i/>
          <w:color w:val="231F20"/>
          <w:sz w:val="18"/>
        </w:rPr>
        <w:t>енергетика</w:t>
      </w:r>
    </w:p>
    <w:p>
      <w:pPr>
        <w:pStyle w:val="ListParagraph"/>
        <w:numPr>
          <w:ilvl w:val="2"/>
          <w:numId w:val="13"/>
        </w:numPr>
        <w:tabs>
          <w:tab w:pos="754" w:val="left" w:leader="none"/>
        </w:tabs>
        <w:spacing w:line="235" w:lineRule="auto" w:before="169" w:after="0"/>
        <w:ind w:left="1836" w:right="542" w:hanging="1533"/>
        <w:jc w:val="left"/>
        <w:rPr>
          <w:sz w:val="18"/>
        </w:rPr>
      </w:pPr>
      <w:r>
        <w:rPr>
          <w:color w:val="231F20"/>
          <w:spacing w:val="15"/>
          <w:sz w:val="18"/>
        </w:rPr>
        <w:t>Рударство </w:t>
      </w:r>
      <w:r>
        <w:rPr>
          <w:color w:val="231F20"/>
          <w:sz w:val="18"/>
        </w:rPr>
        <w:t>– </w:t>
      </w:r>
      <w:r>
        <w:rPr>
          <w:color w:val="231F20"/>
          <w:spacing w:val="10"/>
          <w:sz w:val="18"/>
        </w:rPr>
        <w:t>ст </w:t>
      </w:r>
      <w:r>
        <w:rPr>
          <w:color w:val="231F20"/>
          <w:spacing w:val="12"/>
          <w:sz w:val="18"/>
        </w:rPr>
        <w:t>ање </w:t>
      </w:r>
      <w:r>
        <w:rPr>
          <w:color w:val="231F20"/>
          <w:spacing w:val="15"/>
          <w:sz w:val="18"/>
        </w:rPr>
        <w:t>експлоат ације минера</w:t>
      </w:r>
      <w:r>
        <w:rPr>
          <w:color w:val="231F20"/>
          <w:spacing w:val="-30"/>
          <w:sz w:val="18"/>
        </w:rPr>
        <w:t> </w:t>
      </w:r>
      <w:r>
        <w:rPr>
          <w:color w:val="231F20"/>
          <w:spacing w:val="15"/>
          <w:sz w:val="18"/>
        </w:rPr>
        <w:t>лних </w:t>
      </w:r>
      <w:r>
        <w:rPr>
          <w:color w:val="231F20"/>
          <w:spacing w:val="16"/>
          <w:sz w:val="18"/>
        </w:rPr>
        <w:t>сировина </w:t>
      </w:r>
      <w:r>
        <w:rPr>
          <w:color w:val="231F20"/>
          <w:sz w:val="18"/>
        </w:rPr>
        <w:t>у </w:t>
      </w:r>
      <w:r>
        <w:rPr>
          <w:color w:val="231F20"/>
          <w:spacing w:val="12"/>
          <w:sz w:val="18"/>
        </w:rPr>
        <w:t>Бас</w:t>
      </w:r>
      <w:r>
        <w:rPr>
          <w:color w:val="231F20"/>
          <w:spacing w:val="2"/>
          <w:sz w:val="18"/>
        </w:rPr>
        <w:t> </w:t>
      </w:r>
      <w:r>
        <w:rPr>
          <w:color w:val="231F20"/>
          <w:spacing w:val="12"/>
          <w:sz w:val="18"/>
        </w:rPr>
        <w:t>ену</w:t>
      </w:r>
    </w:p>
    <w:p>
      <w:pPr>
        <w:pStyle w:val="BodyText"/>
        <w:spacing w:before="6"/>
        <w:ind w:left="0"/>
        <w:jc w:val="left"/>
        <w:rPr>
          <w:sz w:val="17"/>
        </w:rPr>
      </w:pPr>
    </w:p>
    <w:p>
      <w:pPr>
        <w:pStyle w:val="BodyText"/>
        <w:spacing w:line="235" w:lineRule="auto"/>
        <w:ind w:right="409" w:firstLine="397"/>
      </w:pPr>
      <w:r>
        <w:rPr>
          <w:color w:val="231F20"/>
          <w:spacing w:val="-3"/>
        </w:rPr>
        <w:t>Костолачки </w:t>
      </w:r>
      <w:r>
        <w:rPr>
          <w:color w:val="231F20"/>
        </w:rPr>
        <w:t>угљени басен се налази на </w:t>
      </w:r>
      <w:r>
        <w:rPr>
          <w:color w:val="231F20"/>
          <w:spacing w:val="-4"/>
        </w:rPr>
        <w:t>око </w:t>
      </w:r>
      <w:r>
        <w:rPr>
          <w:color w:val="231F20"/>
        </w:rPr>
        <w:t>90 km источно </w:t>
      </w:r>
      <w:r>
        <w:rPr>
          <w:color w:val="231F20"/>
          <w:spacing w:val="-3"/>
        </w:rPr>
        <w:t>од </w:t>
      </w:r>
      <w:r>
        <w:rPr>
          <w:color w:val="231F20"/>
        </w:rPr>
        <w:t>Београда, односно, 5 km северно </w:t>
      </w:r>
      <w:r>
        <w:rPr>
          <w:color w:val="231F20"/>
          <w:spacing w:val="-3"/>
        </w:rPr>
        <w:t>од </w:t>
      </w:r>
      <w:r>
        <w:rPr>
          <w:color w:val="231F20"/>
        </w:rPr>
        <w:t>Пожаревца и захвата среди- шњи део Подунавског региона. Са запада басен је ограничен ре- </w:t>
      </w:r>
      <w:r>
        <w:rPr>
          <w:color w:val="231F20"/>
          <w:spacing w:val="-5"/>
        </w:rPr>
        <w:t>ком </w:t>
      </w:r>
      <w:r>
        <w:rPr>
          <w:color w:val="231F20"/>
          <w:spacing w:val="-3"/>
        </w:rPr>
        <w:t>Великом </w:t>
      </w:r>
      <w:r>
        <w:rPr>
          <w:color w:val="231F20"/>
        </w:rPr>
        <w:t>Моравом, а са севера </w:t>
      </w:r>
      <w:r>
        <w:rPr>
          <w:color w:val="231F20"/>
          <w:spacing w:val="-3"/>
        </w:rPr>
        <w:t>реком </w:t>
      </w:r>
      <w:r>
        <w:rPr>
          <w:color w:val="231F20"/>
        </w:rPr>
        <w:t>Дунав. Источна граница иде </w:t>
      </w:r>
      <w:r>
        <w:rPr>
          <w:color w:val="231F20"/>
          <w:spacing w:val="-3"/>
        </w:rPr>
        <w:t>од </w:t>
      </w:r>
      <w:r>
        <w:rPr>
          <w:color w:val="231F20"/>
        </w:rPr>
        <w:t>села Рама дуж западног обода Пожаревачке греде, док ју- жна граница пролази на </w:t>
      </w:r>
      <w:r>
        <w:rPr>
          <w:color w:val="231F20"/>
          <w:spacing w:val="-4"/>
        </w:rPr>
        <w:t>око </w:t>
      </w:r>
      <w:r>
        <w:rPr>
          <w:color w:val="231F20"/>
        </w:rPr>
        <w:t>5 km северно </w:t>
      </w:r>
      <w:r>
        <w:rPr>
          <w:color w:val="231F20"/>
          <w:spacing w:val="-3"/>
        </w:rPr>
        <w:t>од </w:t>
      </w:r>
      <w:r>
        <w:rPr>
          <w:color w:val="231F20"/>
        </w:rPr>
        <w:t>Пожаревца. </w:t>
      </w:r>
      <w:r>
        <w:rPr>
          <w:color w:val="231F20"/>
          <w:spacing w:val="-3"/>
        </w:rPr>
        <w:t>Овако </w:t>
      </w:r>
      <w:r>
        <w:rPr>
          <w:color w:val="231F20"/>
        </w:rPr>
        <w:t>ограничен басен захвата површину </w:t>
      </w:r>
      <w:r>
        <w:rPr>
          <w:color w:val="231F20"/>
          <w:spacing w:val="-3"/>
        </w:rPr>
        <w:t>од </w:t>
      </w:r>
      <w:r>
        <w:rPr>
          <w:color w:val="231F20"/>
          <w:spacing w:val="-4"/>
        </w:rPr>
        <w:t>око </w:t>
      </w:r>
      <w:r>
        <w:rPr>
          <w:color w:val="231F20"/>
        </w:rPr>
        <w:t>145 km² са </w:t>
      </w:r>
      <w:r>
        <w:rPr>
          <w:color w:val="231F20"/>
          <w:spacing w:val="-3"/>
        </w:rPr>
        <w:t>дужом </w:t>
      </w:r>
      <w:r>
        <w:rPr>
          <w:color w:val="231F20"/>
        </w:rPr>
        <w:t>осом </w:t>
      </w:r>
      <w:r>
        <w:rPr>
          <w:color w:val="231F20"/>
          <w:spacing w:val="-3"/>
        </w:rPr>
        <w:t>од </w:t>
      </w:r>
      <w:r>
        <w:rPr>
          <w:color w:val="231F20"/>
          <w:spacing w:val="-4"/>
        </w:rPr>
        <w:t>око </w:t>
      </w:r>
      <w:r>
        <w:rPr>
          <w:color w:val="231F20"/>
        </w:rPr>
        <w:t>23 km у правцу СИ-ЈЗ и краћом осом </w:t>
      </w:r>
      <w:r>
        <w:rPr>
          <w:color w:val="231F20"/>
          <w:spacing w:val="-4"/>
        </w:rPr>
        <w:t>око </w:t>
      </w:r>
      <w:r>
        <w:rPr>
          <w:color w:val="231F20"/>
        </w:rPr>
        <w:t>9 km у правцу СЗ- ЈИ. Подељен је на четири лежишта: „Дрмно”, </w:t>
      </w:r>
      <w:r>
        <w:rPr>
          <w:color w:val="231F20"/>
          <w:spacing w:val="-3"/>
        </w:rPr>
        <w:t>„Ћириковац”, </w:t>
      </w:r>
      <w:r>
        <w:rPr>
          <w:color w:val="231F20"/>
        </w:rPr>
        <w:t>„Кле- новник” и западни део </w:t>
      </w:r>
      <w:r>
        <w:rPr>
          <w:color w:val="231F20"/>
          <w:spacing w:val="-3"/>
        </w:rPr>
        <w:t>Костолачког </w:t>
      </w:r>
      <w:r>
        <w:rPr>
          <w:color w:val="231F20"/>
        </w:rPr>
        <w:t>басена.</w:t>
      </w:r>
    </w:p>
    <w:p>
      <w:pPr>
        <w:pStyle w:val="BodyText"/>
        <w:spacing w:line="235" w:lineRule="auto"/>
        <w:ind w:right="410" w:firstLine="397"/>
      </w:pPr>
      <w:r>
        <w:rPr>
          <w:color w:val="231F20"/>
        </w:rPr>
        <w:t>У </w:t>
      </w:r>
      <w:r>
        <w:rPr>
          <w:color w:val="231F20"/>
          <w:spacing w:val="-4"/>
        </w:rPr>
        <w:t>Костолачком </w:t>
      </w:r>
      <w:r>
        <w:rPr>
          <w:color w:val="231F20"/>
          <w:spacing w:val="-3"/>
        </w:rPr>
        <w:t>басену, </w:t>
      </w:r>
      <w:r>
        <w:rPr>
          <w:color w:val="231F20"/>
        </w:rPr>
        <w:t>у оквиру понтске угљоносне серије, развијена</w:t>
      </w:r>
      <w:r>
        <w:rPr>
          <w:color w:val="231F20"/>
          <w:spacing w:val="-6"/>
        </w:rPr>
        <w:t> </w:t>
      </w:r>
      <w:r>
        <w:rPr>
          <w:color w:val="231F20"/>
        </w:rPr>
        <w:t>су</w:t>
      </w:r>
      <w:r>
        <w:rPr>
          <w:color w:val="231F20"/>
          <w:spacing w:val="-6"/>
        </w:rPr>
        <w:t> </w:t>
      </w:r>
      <w:r>
        <w:rPr>
          <w:color w:val="231F20"/>
        </w:rPr>
        <w:t>три</w:t>
      </w:r>
      <w:r>
        <w:rPr>
          <w:color w:val="231F20"/>
          <w:spacing w:val="-6"/>
        </w:rPr>
        <w:t> </w:t>
      </w:r>
      <w:r>
        <w:rPr>
          <w:color w:val="231F20"/>
        </w:rPr>
        <w:t>угљена</w:t>
      </w:r>
      <w:r>
        <w:rPr>
          <w:color w:val="231F20"/>
          <w:spacing w:val="-6"/>
        </w:rPr>
        <w:t> </w:t>
      </w:r>
      <w:r>
        <w:rPr>
          <w:color w:val="231F20"/>
        </w:rPr>
        <w:t>слоја:</w:t>
      </w:r>
      <w:r>
        <w:rPr>
          <w:color w:val="231F20"/>
          <w:spacing w:val="-6"/>
        </w:rPr>
        <w:t> </w:t>
      </w:r>
      <w:r>
        <w:rPr>
          <w:color w:val="231F20"/>
        </w:rPr>
        <w:t>први,</w:t>
      </w:r>
      <w:r>
        <w:rPr>
          <w:color w:val="231F20"/>
          <w:spacing w:val="-6"/>
        </w:rPr>
        <w:t> </w:t>
      </w:r>
      <w:r>
        <w:rPr>
          <w:color w:val="231F20"/>
        </w:rPr>
        <w:t>други</w:t>
      </w:r>
      <w:r>
        <w:rPr>
          <w:color w:val="231F20"/>
          <w:spacing w:val="-6"/>
        </w:rPr>
        <w:t> </w:t>
      </w:r>
      <w:r>
        <w:rPr>
          <w:color w:val="231F20"/>
        </w:rPr>
        <w:t>и</w:t>
      </w:r>
      <w:r>
        <w:rPr>
          <w:color w:val="231F20"/>
          <w:spacing w:val="-6"/>
        </w:rPr>
        <w:t> </w:t>
      </w:r>
      <w:r>
        <w:rPr>
          <w:color w:val="231F20"/>
        </w:rPr>
        <w:t>трећи</w:t>
      </w:r>
      <w:r>
        <w:rPr>
          <w:color w:val="231F20"/>
          <w:spacing w:val="-6"/>
        </w:rPr>
        <w:t> </w:t>
      </w:r>
      <w:r>
        <w:rPr>
          <w:color w:val="231F20"/>
        </w:rPr>
        <w:t>(главни</w:t>
      </w:r>
      <w:r>
        <w:rPr>
          <w:color w:val="231F20"/>
          <w:spacing w:val="-6"/>
        </w:rPr>
        <w:t> </w:t>
      </w:r>
      <w:r>
        <w:rPr>
          <w:color w:val="231F20"/>
        </w:rPr>
        <w:t>угљени слој). У источном делу басена (лежиште „Дрмно”) развијен је тре- ћи</w:t>
      </w:r>
      <w:r>
        <w:rPr>
          <w:color w:val="231F20"/>
          <w:spacing w:val="-5"/>
        </w:rPr>
        <w:t> </w:t>
      </w:r>
      <w:r>
        <w:rPr>
          <w:color w:val="231F20"/>
        </w:rPr>
        <w:t>и</w:t>
      </w:r>
      <w:r>
        <w:rPr>
          <w:color w:val="231F20"/>
          <w:spacing w:val="-5"/>
        </w:rPr>
        <w:t> </w:t>
      </w:r>
      <w:r>
        <w:rPr>
          <w:color w:val="231F20"/>
        </w:rPr>
        <w:t>на</w:t>
      </w:r>
      <w:r>
        <w:rPr>
          <w:color w:val="231F20"/>
          <w:spacing w:val="-5"/>
        </w:rPr>
        <w:t> </w:t>
      </w:r>
      <w:r>
        <w:rPr>
          <w:color w:val="231F20"/>
        </w:rPr>
        <w:t>мањем</w:t>
      </w:r>
      <w:r>
        <w:rPr>
          <w:color w:val="231F20"/>
          <w:spacing w:val="-5"/>
        </w:rPr>
        <w:t> </w:t>
      </w:r>
      <w:r>
        <w:rPr>
          <w:color w:val="231F20"/>
        </w:rPr>
        <w:t>делу</w:t>
      </w:r>
      <w:r>
        <w:rPr>
          <w:color w:val="231F20"/>
          <w:spacing w:val="-5"/>
        </w:rPr>
        <w:t> </w:t>
      </w:r>
      <w:r>
        <w:rPr>
          <w:color w:val="231F20"/>
        </w:rPr>
        <w:t>други</w:t>
      </w:r>
      <w:r>
        <w:rPr>
          <w:color w:val="231F20"/>
          <w:spacing w:val="-5"/>
        </w:rPr>
        <w:t> </w:t>
      </w:r>
      <w:r>
        <w:rPr>
          <w:color w:val="231F20"/>
        </w:rPr>
        <w:t>угљени</w:t>
      </w:r>
      <w:r>
        <w:rPr>
          <w:color w:val="231F20"/>
          <w:spacing w:val="-5"/>
        </w:rPr>
        <w:t> </w:t>
      </w:r>
      <w:r>
        <w:rPr>
          <w:color w:val="231F20"/>
        </w:rPr>
        <w:t>слој.</w:t>
      </w:r>
      <w:r>
        <w:rPr>
          <w:color w:val="231F20"/>
          <w:spacing w:val="-5"/>
        </w:rPr>
        <w:t> </w:t>
      </w:r>
      <w:r>
        <w:rPr>
          <w:color w:val="231F20"/>
        </w:rPr>
        <w:t>Носилац</w:t>
      </w:r>
      <w:r>
        <w:rPr>
          <w:color w:val="231F20"/>
          <w:spacing w:val="-5"/>
        </w:rPr>
        <w:t> </w:t>
      </w:r>
      <w:r>
        <w:rPr>
          <w:color w:val="231F20"/>
        </w:rPr>
        <w:t>до</w:t>
      </w:r>
      <w:r>
        <w:rPr>
          <w:color w:val="231F20"/>
          <w:spacing w:val="-5"/>
        </w:rPr>
        <w:t> </w:t>
      </w:r>
      <w:r>
        <w:rPr>
          <w:color w:val="231F20"/>
        </w:rPr>
        <w:t>сада</w:t>
      </w:r>
      <w:r>
        <w:rPr>
          <w:color w:val="231F20"/>
          <w:spacing w:val="-5"/>
        </w:rPr>
        <w:t> </w:t>
      </w:r>
      <w:r>
        <w:rPr>
          <w:color w:val="231F20"/>
        </w:rPr>
        <w:t>оконтуре- них билансних резерви угља (А+B+C1 категорије) је трећи угље- ни</w:t>
      </w:r>
      <w:r>
        <w:rPr>
          <w:color w:val="231F20"/>
          <w:spacing w:val="-6"/>
        </w:rPr>
        <w:t> </w:t>
      </w:r>
      <w:r>
        <w:rPr>
          <w:color w:val="231F20"/>
        </w:rPr>
        <w:t>слој</w:t>
      </w:r>
      <w:r>
        <w:rPr>
          <w:color w:val="231F20"/>
          <w:spacing w:val="-6"/>
        </w:rPr>
        <w:t> </w:t>
      </w:r>
      <w:r>
        <w:rPr>
          <w:color w:val="231F20"/>
          <w:spacing w:val="-3"/>
        </w:rPr>
        <w:t>који</w:t>
      </w:r>
      <w:r>
        <w:rPr>
          <w:color w:val="231F20"/>
          <w:spacing w:val="-6"/>
        </w:rPr>
        <w:t> </w:t>
      </w:r>
      <w:r>
        <w:rPr>
          <w:color w:val="231F20"/>
        </w:rPr>
        <w:t>је</w:t>
      </w:r>
      <w:r>
        <w:rPr>
          <w:color w:val="231F20"/>
          <w:spacing w:val="-6"/>
        </w:rPr>
        <w:t> </w:t>
      </w:r>
      <w:r>
        <w:rPr>
          <w:color w:val="231F20"/>
          <w:spacing w:val="-3"/>
        </w:rPr>
        <w:t>углавном</w:t>
      </w:r>
      <w:r>
        <w:rPr>
          <w:color w:val="231F20"/>
          <w:spacing w:val="-6"/>
        </w:rPr>
        <w:t> </w:t>
      </w:r>
      <w:r>
        <w:rPr>
          <w:color w:val="231F20"/>
        </w:rPr>
        <w:t>јединствен</w:t>
      </w:r>
      <w:r>
        <w:rPr>
          <w:color w:val="231F20"/>
          <w:spacing w:val="-6"/>
        </w:rPr>
        <w:t> </w:t>
      </w:r>
      <w:r>
        <w:rPr>
          <w:color w:val="231F20"/>
        </w:rPr>
        <w:t>и</w:t>
      </w:r>
      <w:r>
        <w:rPr>
          <w:color w:val="231F20"/>
          <w:spacing w:val="-6"/>
        </w:rPr>
        <w:t> </w:t>
      </w:r>
      <w:r>
        <w:rPr>
          <w:color w:val="231F20"/>
        </w:rPr>
        <w:t>компактан,</w:t>
      </w:r>
      <w:r>
        <w:rPr>
          <w:color w:val="231F20"/>
          <w:spacing w:val="-6"/>
        </w:rPr>
        <w:t> </w:t>
      </w:r>
      <w:r>
        <w:rPr>
          <w:color w:val="231F20"/>
        </w:rPr>
        <w:t>само</w:t>
      </w:r>
      <w:r>
        <w:rPr>
          <w:color w:val="231F20"/>
          <w:spacing w:val="-6"/>
        </w:rPr>
        <w:t> </w:t>
      </w:r>
      <w:r>
        <w:rPr>
          <w:color w:val="231F20"/>
        </w:rPr>
        <w:t>местимично садржи прослојке угљевитих </w:t>
      </w:r>
      <w:r>
        <w:rPr>
          <w:color w:val="231F20"/>
          <w:spacing w:val="-3"/>
        </w:rPr>
        <w:t>глина  </w:t>
      </w:r>
      <w:r>
        <w:rPr>
          <w:color w:val="231F20"/>
        </w:rPr>
        <w:t>најчешће дебљине 0,5 m до    2 m. Дебљина трећег слоја варира </w:t>
      </w:r>
      <w:r>
        <w:rPr>
          <w:color w:val="231F20"/>
          <w:spacing w:val="-3"/>
        </w:rPr>
        <w:t>од </w:t>
      </w:r>
      <w:r>
        <w:rPr>
          <w:color w:val="231F20"/>
        </w:rPr>
        <w:t>10 до 25 m (просек 16,3 m). Однос дебљине угљеног слоја и откривке у контурама</w:t>
      </w:r>
      <w:r>
        <w:rPr>
          <w:color w:val="231F20"/>
          <w:spacing w:val="-31"/>
        </w:rPr>
        <w:t> </w:t>
      </w:r>
      <w:r>
        <w:rPr>
          <w:color w:val="231F20"/>
        </w:rPr>
        <w:t>пројектова- ног</w:t>
      </w:r>
      <w:r>
        <w:rPr>
          <w:color w:val="231F20"/>
          <w:spacing w:val="-11"/>
        </w:rPr>
        <w:t> </w:t>
      </w:r>
      <w:r>
        <w:rPr>
          <w:color w:val="231F20"/>
        </w:rPr>
        <w:t>површинског</w:t>
      </w:r>
      <w:r>
        <w:rPr>
          <w:color w:val="231F20"/>
          <w:spacing w:val="-11"/>
        </w:rPr>
        <w:t> </w:t>
      </w:r>
      <w:r>
        <w:rPr>
          <w:color w:val="231F20"/>
          <w:spacing w:val="-3"/>
        </w:rPr>
        <w:t>копа</w:t>
      </w:r>
      <w:r>
        <w:rPr>
          <w:color w:val="231F20"/>
          <w:spacing w:val="-11"/>
        </w:rPr>
        <w:t> </w:t>
      </w:r>
      <w:r>
        <w:rPr>
          <w:color w:val="231F20"/>
        </w:rPr>
        <w:t>износи</w:t>
      </w:r>
      <w:r>
        <w:rPr>
          <w:color w:val="231F20"/>
          <w:spacing w:val="-11"/>
        </w:rPr>
        <w:t> </w:t>
      </w:r>
      <w:r>
        <w:rPr>
          <w:color w:val="231F20"/>
        </w:rPr>
        <w:t>1</w:t>
      </w:r>
      <w:r>
        <w:rPr>
          <w:color w:val="231F20"/>
          <w:spacing w:val="-11"/>
        </w:rPr>
        <w:t> </w:t>
      </w:r>
      <w:r>
        <w:rPr>
          <w:color w:val="231F20"/>
        </w:rPr>
        <w:t>:</w:t>
      </w:r>
      <w:r>
        <w:rPr>
          <w:color w:val="231F20"/>
          <w:spacing w:val="-11"/>
        </w:rPr>
        <w:t> </w:t>
      </w:r>
      <w:r>
        <w:rPr>
          <w:color w:val="231F20"/>
        </w:rPr>
        <w:t>4,3</w:t>
      </w:r>
      <w:r>
        <w:rPr>
          <w:color w:val="231F20"/>
          <w:spacing w:val="-11"/>
        </w:rPr>
        <w:t> </w:t>
      </w:r>
      <w:r>
        <w:rPr>
          <w:color w:val="231F20"/>
        </w:rPr>
        <w:t>са</w:t>
      </w:r>
      <w:r>
        <w:rPr>
          <w:color w:val="231F20"/>
          <w:spacing w:val="-11"/>
        </w:rPr>
        <w:t> </w:t>
      </w:r>
      <w:r>
        <w:rPr>
          <w:color w:val="231F20"/>
        </w:rPr>
        <w:t>тенденцијом</w:t>
      </w:r>
      <w:r>
        <w:rPr>
          <w:color w:val="231F20"/>
          <w:spacing w:val="-11"/>
        </w:rPr>
        <w:t> </w:t>
      </w:r>
      <w:r>
        <w:rPr>
          <w:color w:val="231F20"/>
          <w:spacing w:val="-3"/>
        </w:rPr>
        <w:t>наглог</w:t>
      </w:r>
      <w:r>
        <w:rPr>
          <w:color w:val="231F20"/>
          <w:spacing w:val="-11"/>
        </w:rPr>
        <w:t> </w:t>
      </w:r>
      <w:r>
        <w:rPr>
          <w:color w:val="231F20"/>
        </w:rPr>
        <w:t>пораста у северозападном и западном делу лежишта (локално чак и </w:t>
      </w:r>
      <w:r>
        <w:rPr>
          <w:color w:val="231F20"/>
          <w:spacing w:val="-3"/>
        </w:rPr>
        <w:t>преко </w:t>
      </w:r>
      <w:r>
        <w:rPr>
          <w:color w:val="231F20"/>
        </w:rPr>
        <w:t>1 : 10), </w:t>
      </w:r>
      <w:r>
        <w:rPr>
          <w:color w:val="231F20"/>
          <w:spacing w:val="-4"/>
        </w:rPr>
        <w:t>где </w:t>
      </w:r>
      <w:r>
        <w:rPr>
          <w:color w:val="231F20"/>
        </w:rPr>
        <w:t>трећи угљени слој тоне испод</w:t>
      </w:r>
      <w:r>
        <w:rPr>
          <w:color w:val="231F20"/>
          <w:spacing w:val="-2"/>
        </w:rPr>
        <w:t> </w:t>
      </w:r>
      <w:r>
        <w:rPr>
          <w:color w:val="231F20"/>
        </w:rPr>
        <w:t>Дунава.</w:t>
      </w:r>
    </w:p>
    <w:p>
      <w:pPr>
        <w:pStyle w:val="BodyText"/>
        <w:spacing w:line="235" w:lineRule="auto"/>
        <w:ind w:right="410" w:firstLine="396"/>
      </w:pPr>
      <w:r>
        <w:rPr>
          <w:color w:val="231F20"/>
        </w:rPr>
        <w:t>У</w:t>
      </w:r>
      <w:r>
        <w:rPr>
          <w:color w:val="231F20"/>
          <w:spacing w:val="-13"/>
        </w:rPr>
        <w:t> </w:t>
      </w:r>
      <w:r>
        <w:rPr>
          <w:color w:val="231F20"/>
        </w:rPr>
        <w:t>централном</w:t>
      </w:r>
      <w:r>
        <w:rPr>
          <w:color w:val="231F20"/>
          <w:spacing w:val="-13"/>
        </w:rPr>
        <w:t> </w:t>
      </w:r>
      <w:r>
        <w:rPr>
          <w:color w:val="231F20"/>
        </w:rPr>
        <w:t>делу</w:t>
      </w:r>
      <w:r>
        <w:rPr>
          <w:color w:val="231F20"/>
          <w:spacing w:val="-13"/>
        </w:rPr>
        <w:t> </w:t>
      </w:r>
      <w:r>
        <w:rPr>
          <w:color w:val="231F20"/>
        </w:rPr>
        <w:t>басена</w:t>
      </w:r>
      <w:r>
        <w:rPr>
          <w:color w:val="231F20"/>
          <w:spacing w:val="-13"/>
        </w:rPr>
        <w:t> </w:t>
      </w:r>
      <w:r>
        <w:rPr>
          <w:color w:val="231F20"/>
          <w:spacing w:val="-3"/>
        </w:rPr>
        <w:t>доказано</w:t>
      </w:r>
      <w:r>
        <w:rPr>
          <w:color w:val="231F20"/>
          <w:spacing w:val="-13"/>
        </w:rPr>
        <w:t> </w:t>
      </w:r>
      <w:r>
        <w:rPr>
          <w:color w:val="231F20"/>
        </w:rPr>
        <w:t>је</w:t>
      </w:r>
      <w:r>
        <w:rPr>
          <w:color w:val="231F20"/>
          <w:spacing w:val="-13"/>
        </w:rPr>
        <w:t> </w:t>
      </w:r>
      <w:r>
        <w:rPr>
          <w:color w:val="231F20"/>
        </w:rPr>
        <w:t>постојање</w:t>
      </w:r>
      <w:r>
        <w:rPr>
          <w:color w:val="231F20"/>
          <w:spacing w:val="-13"/>
        </w:rPr>
        <w:t> </w:t>
      </w:r>
      <w:r>
        <w:rPr>
          <w:color w:val="231F20"/>
          <w:spacing w:val="-3"/>
        </w:rPr>
        <w:t>сва</w:t>
      </w:r>
      <w:r>
        <w:rPr>
          <w:color w:val="231F20"/>
          <w:spacing w:val="-13"/>
        </w:rPr>
        <w:t> </w:t>
      </w:r>
      <w:r>
        <w:rPr>
          <w:color w:val="231F20"/>
        </w:rPr>
        <w:t>три</w:t>
      </w:r>
      <w:r>
        <w:rPr>
          <w:color w:val="231F20"/>
          <w:spacing w:val="-13"/>
        </w:rPr>
        <w:t> </w:t>
      </w:r>
      <w:r>
        <w:rPr>
          <w:color w:val="231F20"/>
        </w:rPr>
        <w:t>угље- на слоја. Први угљени слој је </w:t>
      </w:r>
      <w:r>
        <w:rPr>
          <w:color w:val="231F20"/>
          <w:spacing w:val="-4"/>
        </w:rPr>
        <w:t>откопан, </w:t>
      </w:r>
      <w:r>
        <w:rPr>
          <w:color w:val="231F20"/>
        </w:rPr>
        <w:t>док </w:t>
      </w:r>
      <w:r>
        <w:rPr>
          <w:color w:val="231F20"/>
          <w:spacing w:val="-4"/>
        </w:rPr>
        <w:t>од </w:t>
      </w:r>
      <w:r>
        <w:rPr>
          <w:color w:val="231F20"/>
        </w:rPr>
        <w:t>преостала </w:t>
      </w:r>
      <w:r>
        <w:rPr>
          <w:color w:val="231F20"/>
          <w:spacing w:val="-3"/>
        </w:rPr>
        <w:t>два </w:t>
      </w:r>
      <w:r>
        <w:rPr>
          <w:color w:val="231F20"/>
        </w:rPr>
        <w:t>слоја, трећи</w:t>
      </w:r>
      <w:r>
        <w:rPr>
          <w:color w:val="231F20"/>
          <w:spacing w:val="-16"/>
        </w:rPr>
        <w:t> </w:t>
      </w:r>
      <w:r>
        <w:rPr>
          <w:color w:val="231F20"/>
          <w:spacing w:val="-2"/>
        </w:rPr>
        <w:t>има</w:t>
      </w:r>
      <w:r>
        <w:rPr>
          <w:color w:val="231F20"/>
          <w:spacing w:val="-16"/>
        </w:rPr>
        <w:t> </w:t>
      </w:r>
      <w:r>
        <w:rPr>
          <w:color w:val="231F20"/>
        </w:rPr>
        <w:t>најшире</w:t>
      </w:r>
      <w:r>
        <w:rPr>
          <w:color w:val="231F20"/>
          <w:spacing w:val="-16"/>
        </w:rPr>
        <w:t> </w:t>
      </w:r>
      <w:r>
        <w:rPr>
          <w:color w:val="231F20"/>
        </w:rPr>
        <w:t>распрострањење</w:t>
      </w:r>
      <w:r>
        <w:rPr>
          <w:color w:val="231F20"/>
          <w:spacing w:val="-16"/>
        </w:rPr>
        <w:t> </w:t>
      </w:r>
      <w:r>
        <w:rPr>
          <w:color w:val="231F20"/>
        </w:rPr>
        <w:t>и</w:t>
      </w:r>
      <w:r>
        <w:rPr>
          <w:color w:val="231F20"/>
          <w:spacing w:val="-16"/>
        </w:rPr>
        <w:t> </w:t>
      </w:r>
      <w:r>
        <w:rPr>
          <w:color w:val="231F20"/>
        </w:rPr>
        <w:t>највећим</w:t>
      </w:r>
      <w:r>
        <w:rPr>
          <w:color w:val="231F20"/>
          <w:spacing w:val="-16"/>
        </w:rPr>
        <w:t> </w:t>
      </w:r>
      <w:r>
        <w:rPr>
          <w:color w:val="231F20"/>
          <w:spacing w:val="-3"/>
        </w:rPr>
        <w:t>делом</w:t>
      </w:r>
      <w:r>
        <w:rPr>
          <w:color w:val="231F20"/>
          <w:spacing w:val="-16"/>
        </w:rPr>
        <w:t> </w:t>
      </w:r>
      <w:r>
        <w:rPr>
          <w:color w:val="231F20"/>
        </w:rPr>
        <w:t>је</w:t>
      </w:r>
      <w:r>
        <w:rPr>
          <w:color w:val="231F20"/>
          <w:spacing w:val="-16"/>
        </w:rPr>
        <w:t> </w:t>
      </w:r>
      <w:r>
        <w:rPr>
          <w:color w:val="231F20"/>
        </w:rPr>
        <w:t>раслојен</w:t>
      </w:r>
      <w:r>
        <w:rPr>
          <w:color w:val="231F20"/>
          <w:spacing w:val="-16"/>
        </w:rPr>
        <w:t> </w:t>
      </w:r>
      <w:r>
        <w:rPr>
          <w:color w:val="231F20"/>
        </w:rPr>
        <w:t>на три </w:t>
      </w:r>
      <w:r>
        <w:rPr>
          <w:color w:val="231F20"/>
          <w:spacing w:val="-3"/>
        </w:rPr>
        <w:t>банка. </w:t>
      </w:r>
      <w:r>
        <w:rPr>
          <w:color w:val="231F20"/>
        </w:rPr>
        <w:t>Дебљина првог </w:t>
      </w:r>
      <w:r>
        <w:rPr>
          <w:color w:val="231F20"/>
          <w:spacing w:val="-3"/>
        </w:rPr>
        <w:t>банка </w:t>
      </w:r>
      <w:r>
        <w:rPr>
          <w:color w:val="231F20"/>
        </w:rPr>
        <w:t>креће се у </w:t>
      </w:r>
      <w:r>
        <w:rPr>
          <w:color w:val="231F20"/>
          <w:spacing w:val="-2"/>
        </w:rPr>
        <w:t>границама </w:t>
      </w:r>
      <w:r>
        <w:rPr>
          <w:color w:val="231F20"/>
          <w:spacing w:val="-4"/>
        </w:rPr>
        <w:t>од </w:t>
      </w:r>
      <w:r>
        <w:rPr>
          <w:color w:val="231F20"/>
        </w:rPr>
        <w:t>5 до 8 m, </w:t>
      </w:r>
      <w:r>
        <w:rPr>
          <w:color w:val="231F20"/>
          <w:spacing w:val="-3"/>
        </w:rPr>
        <w:t>другог </w:t>
      </w:r>
      <w:r>
        <w:rPr>
          <w:color w:val="231F20"/>
          <w:spacing w:val="-4"/>
        </w:rPr>
        <w:t>од </w:t>
      </w:r>
      <w:r>
        <w:rPr>
          <w:color w:val="231F20"/>
        </w:rPr>
        <w:t>7 до 10 m и трећег </w:t>
      </w:r>
      <w:r>
        <w:rPr>
          <w:color w:val="231F20"/>
          <w:spacing w:val="-3"/>
        </w:rPr>
        <w:t>банка </w:t>
      </w:r>
      <w:r>
        <w:rPr>
          <w:color w:val="231F20"/>
          <w:spacing w:val="-4"/>
        </w:rPr>
        <w:t>од </w:t>
      </w:r>
      <w:r>
        <w:rPr>
          <w:color w:val="231F20"/>
        </w:rPr>
        <w:t>3 до 5 m. Распрострањење </w:t>
      </w:r>
      <w:r>
        <w:rPr>
          <w:color w:val="231F20"/>
          <w:spacing w:val="-3"/>
        </w:rPr>
        <w:t>другог </w:t>
      </w:r>
      <w:r>
        <w:rPr>
          <w:color w:val="231F20"/>
        </w:rPr>
        <w:t>угљеног слоја у басену је </w:t>
      </w:r>
      <w:r>
        <w:rPr>
          <w:color w:val="231F20"/>
          <w:spacing w:val="-3"/>
        </w:rPr>
        <w:t>далеко </w:t>
      </w:r>
      <w:r>
        <w:rPr>
          <w:color w:val="231F20"/>
        </w:rPr>
        <w:t>мање у </w:t>
      </w:r>
      <w:r>
        <w:rPr>
          <w:color w:val="231F20"/>
          <w:spacing w:val="-3"/>
        </w:rPr>
        <w:t>односу </w:t>
      </w:r>
      <w:r>
        <w:rPr>
          <w:color w:val="231F20"/>
        </w:rPr>
        <w:t>на трећи угљени</w:t>
      </w:r>
      <w:r>
        <w:rPr>
          <w:color w:val="231F20"/>
          <w:spacing w:val="-6"/>
        </w:rPr>
        <w:t> </w:t>
      </w:r>
      <w:r>
        <w:rPr>
          <w:color w:val="231F20"/>
        </w:rPr>
        <w:t>слој.</w:t>
      </w:r>
      <w:r>
        <w:rPr>
          <w:color w:val="231F20"/>
          <w:spacing w:val="-6"/>
        </w:rPr>
        <w:t> </w:t>
      </w:r>
      <w:r>
        <w:rPr>
          <w:color w:val="231F20"/>
        </w:rPr>
        <w:t>Дебљина</w:t>
      </w:r>
      <w:r>
        <w:rPr>
          <w:color w:val="231F20"/>
          <w:spacing w:val="-6"/>
        </w:rPr>
        <w:t> </w:t>
      </w:r>
      <w:r>
        <w:rPr>
          <w:color w:val="231F20"/>
        </w:rPr>
        <w:t>му</w:t>
      </w:r>
      <w:r>
        <w:rPr>
          <w:color w:val="231F20"/>
          <w:spacing w:val="-6"/>
        </w:rPr>
        <w:t> </w:t>
      </w:r>
      <w:r>
        <w:rPr>
          <w:color w:val="231F20"/>
          <w:spacing w:val="-3"/>
        </w:rPr>
        <w:t>варира</w:t>
      </w:r>
      <w:r>
        <w:rPr>
          <w:color w:val="231F20"/>
          <w:spacing w:val="-6"/>
        </w:rPr>
        <w:t> </w:t>
      </w:r>
      <w:r>
        <w:rPr>
          <w:color w:val="231F20"/>
          <w:spacing w:val="-4"/>
        </w:rPr>
        <w:t>од</w:t>
      </w:r>
      <w:r>
        <w:rPr>
          <w:color w:val="231F20"/>
          <w:spacing w:val="-6"/>
        </w:rPr>
        <w:t> </w:t>
      </w:r>
      <w:r>
        <w:rPr>
          <w:color w:val="231F20"/>
        </w:rPr>
        <w:t>0,5</w:t>
      </w:r>
      <w:r>
        <w:rPr>
          <w:color w:val="231F20"/>
          <w:spacing w:val="-6"/>
        </w:rPr>
        <w:t> </w:t>
      </w:r>
      <w:r>
        <w:rPr>
          <w:color w:val="231F20"/>
        </w:rPr>
        <w:t>до</w:t>
      </w:r>
      <w:r>
        <w:rPr>
          <w:color w:val="231F20"/>
          <w:spacing w:val="-6"/>
        </w:rPr>
        <w:t> </w:t>
      </w:r>
      <w:r>
        <w:rPr>
          <w:color w:val="231F20"/>
        </w:rPr>
        <w:t>9</w:t>
      </w:r>
      <w:r>
        <w:rPr>
          <w:color w:val="231F20"/>
          <w:spacing w:val="-6"/>
        </w:rPr>
        <w:t> </w:t>
      </w:r>
      <w:r>
        <w:rPr>
          <w:color w:val="231F20"/>
        </w:rPr>
        <w:t>m</w:t>
      </w:r>
      <w:r>
        <w:rPr>
          <w:color w:val="231F20"/>
          <w:spacing w:val="-6"/>
        </w:rPr>
        <w:t> </w:t>
      </w:r>
      <w:r>
        <w:rPr>
          <w:color w:val="231F20"/>
        </w:rPr>
        <w:t>(просек</w:t>
      </w:r>
      <w:r>
        <w:rPr>
          <w:color w:val="231F20"/>
          <w:spacing w:val="-6"/>
        </w:rPr>
        <w:t> </w:t>
      </w:r>
      <w:r>
        <w:rPr>
          <w:color w:val="231F20"/>
        </w:rPr>
        <w:t>6</w:t>
      </w:r>
      <w:r>
        <w:rPr>
          <w:color w:val="231F20"/>
          <w:spacing w:val="-6"/>
        </w:rPr>
        <w:t> </w:t>
      </w:r>
      <w:r>
        <w:rPr>
          <w:color w:val="231F20"/>
        </w:rPr>
        <w:t>m).</w:t>
      </w:r>
    </w:p>
    <w:p>
      <w:pPr>
        <w:pStyle w:val="BodyText"/>
        <w:spacing w:line="235" w:lineRule="auto"/>
        <w:ind w:right="409" w:firstLine="396"/>
      </w:pPr>
      <w:r>
        <w:rPr>
          <w:color w:val="231F20"/>
        </w:rPr>
        <w:t>Велика оводњеност источног дела басена (за сада јединог активног дела басена) несумњиво представља важан сегмент у технолошком процесу откопавања угља и има одређен утицај на повећање трошкова експлоатације. Ова карактеристика басена је директна последица неповољних хидрогеолошких особина и по- стојање великих површинских речних токова у овом делу басена.</w:t>
      </w:r>
    </w:p>
    <w:p>
      <w:pPr>
        <w:pStyle w:val="BodyText"/>
        <w:spacing w:line="235" w:lineRule="auto"/>
        <w:ind w:left="171" w:right="409" w:firstLine="397"/>
        <w:jc w:val="right"/>
      </w:pPr>
      <w:r>
        <w:rPr>
          <w:color w:val="231F20"/>
          <w:spacing w:val="-7"/>
        </w:rPr>
        <w:t>Количина </w:t>
      </w:r>
      <w:r>
        <w:rPr>
          <w:color w:val="231F20"/>
        </w:rPr>
        <w:t>и </w:t>
      </w:r>
      <w:r>
        <w:rPr>
          <w:color w:val="231F20"/>
          <w:spacing w:val="-6"/>
        </w:rPr>
        <w:t>структура </w:t>
      </w:r>
      <w:r>
        <w:rPr>
          <w:color w:val="231F20"/>
          <w:spacing w:val="-7"/>
        </w:rPr>
        <w:t>(категорије </w:t>
      </w:r>
      <w:r>
        <w:rPr>
          <w:color w:val="231F20"/>
        </w:rPr>
        <w:t>и </w:t>
      </w:r>
      <w:r>
        <w:rPr>
          <w:color w:val="231F20"/>
          <w:spacing w:val="-5"/>
        </w:rPr>
        <w:t>класе) резерви угља </w:t>
      </w:r>
      <w:r>
        <w:rPr>
          <w:color w:val="231F20"/>
        </w:rPr>
        <w:t>у </w:t>
      </w:r>
      <w:r>
        <w:rPr>
          <w:color w:val="231F20"/>
          <w:spacing w:val="-6"/>
        </w:rPr>
        <w:t>Косто-</w:t>
      </w:r>
      <w:r>
        <w:rPr>
          <w:color w:val="231F20"/>
        </w:rPr>
        <w:t> </w:t>
      </w:r>
      <w:r>
        <w:rPr>
          <w:color w:val="231F20"/>
          <w:spacing w:val="-9"/>
        </w:rPr>
        <w:t>лачком </w:t>
      </w:r>
      <w:r>
        <w:rPr>
          <w:color w:val="231F20"/>
          <w:spacing w:val="-6"/>
        </w:rPr>
        <w:t>угљеном </w:t>
      </w:r>
      <w:r>
        <w:rPr>
          <w:color w:val="231F20"/>
          <w:spacing w:val="-5"/>
        </w:rPr>
        <w:t>басену према „Књизи резерви </w:t>
      </w:r>
      <w:r>
        <w:rPr>
          <w:color w:val="231F20"/>
          <w:spacing w:val="-8"/>
        </w:rPr>
        <w:t>Костолачког </w:t>
      </w:r>
      <w:r>
        <w:rPr>
          <w:color w:val="231F20"/>
          <w:spacing w:val="-5"/>
        </w:rPr>
        <w:t>басена”,</w:t>
      </w:r>
      <w:r>
        <w:rPr>
          <w:color w:val="231F20"/>
        </w:rPr>
        <w:t> </w:t>
      </w:r>
      <w:r>
        <w:rPr>
          <w:color w:val="231F20"/>
          <w:spacing w:val="-3"/>
        </w:rPr>
        <w:t>на </w:t>
      </w:r>
      <w:r>
        <w:rPr>
          <w:color w:val="231F20"/>
          <w:spacing w:val="-4"/>
        </w:rPr>
        <w:t>дан 31. </w:t>
      </w:r>
      <w:r>
        <w:rPr>
          <w:color w:val="231F20"/>
          <w:spacing w:val="-6"/>
        </w:rPr>
        <w:t>децембра </w:t>
      </w:r>
      <w:r>
        <w:rPr>
          <w:color w:val="231F20"/>
          <w:spacing w:val="-5"/>
        </w:rPr>
        <w:t>2009. </w:t>
      </w:r>
      <w:r>
        <w:rPr>
          <w:color w:val="231F20"/>
          <w:spacing w:val="-7"/>
        </w:rPr>
        <w:t>године, </w:t>
      </w:r>
      <w:r>
        <w:rPr>
          <w:color w:val="231F20"/>
          <w:spacing w:val="-6"/>
        </w:rPr>
        <w:t>приказана </w:t>
      </w:r>
      <w:r>
        <w:rPr>
          <w:color w:val="231F20"/>
          <w:spacing w:val="-3"/>
        </w:rPr>
        <w:t>је </w:t>
      </w:r>
      <w:r>
        <w:rPr>
          <w:color w:val="231F20"/>
        </w:rPr>
        <w:t>у </w:t>
      </w:r>
      <w:r>
        <w:rPr>
          <w:color w:val="231F20"/>
          <w:spacing w:val="-6"/>
        </w:rPr>
        <w:t>Табели </w:t>
      </w:r>
      <w:r>
        <w:rPr>
          <w:color w:val="231F20"/>
          <w:spacing w:val="-3"/>
        </w:rPr>
        <w:t>1, </w:t>
      </w:r>
      <w:r>
        <w:rPr>
          <w:color w:val="231F20"/>
        </w:rPr>
        <w:t>а </w:t>
      </w:r>
      <w:r>
        <w:rPr>
          <w:color w:val="231F20"/>
          <w:spacing w:val="-6"/>
        </w:rPr>
        <w:t>средње</w:t>
      </w:r>
      <w:r>
        <w:rPr>
          <w:color w:val="231F20"/>
        </w:rPr>
        <w:t> </w:t>
      </w:r>
      <w:r>
        <w:rPr>
          <w:color w:val="231F20"/>
          <w:spacing w:val="-5"/>
        </w:rPr>
        <w:t>вредности </w:t>
      </w:r>
      <w:r>
        <w:rPr>
          <w:color w:val="231F20"/>
          <w:spacing w:val="-7"/>
        </w:rPr>
        <w:t>показатеља </w:t>
      </w:r>
      <w:r>
        <w:rPr>
          <w:color w:val="231F20"/>
          <w:spacing w:val="-6"/>
        </w:rPr>
        <w:t>квалитета </w:t>
      </w:r>
      <w:r>
        <w:rPr>
          <w:color w:val="231F20"/>
          <w:spacing w:val="-5"/>
        </w:rPr>
        <w:t>угља, према </w:t>
      </w:r>
      <w:r>
        <w:rPr>
          <w:color w:val="231F20"/>
          <w:spacing w:val="-6"/>
        </w:rPr>
        <w:t>истом </w:t>
      </w:r>
      <w:r>
        <w:rPr>
          <w:color w:val="231F20"/>
          <w:spacing w:val="-9"/>
        </w:rPr>
        <w:t>извору, </w:t>
      </w:r>
      <w:r>
        <w:rPr>
          <w:color w:val="231F20"/>
        </w:rPr>
        <w:t>у </w:t>
      </w:r>
      <w:r>
        <w:rPr>
          <w:color w:val="231F20"/>
          <w:spacing w:val="-6"/>
        </w:rPr>
        <w:t>Табели </w:t>
      </w:r>
      <w:r>
        <w:rPr>
          <w:color w:val="231F20"/>
          <w:spacing w:val="-3"/>
        </w:rPr>
        <w:t>2.</w:t>
      </w:r>
      <w:r>
        <w:rPr>
          <w:color w:val="231F20"/>
        </w:rPr>
        <w:t> У енергетском систему </w:t>
      </w:r>
      <w:r>
        <w:rPr>
          <w:color w:val="231F20"/>
          <w:spacing w:val="-3"/>
        </w:rPr>
        <w:t>Костолачког </w:t>
      </w:r>
      <w:r>
        <w:rPr>
          <w:color w:val="231F20"/>
        </w:rPr>
        <w:t>басена заступљена је производња лигнита, трансформација лигнита у електричну и то- плотну </w:t>
      </w:r>
      <w:r>
        <w:rPr>
          <w:color w:val="231F20"/>
          <w:spacing w:val="-3"/>
        </w:rPr>
        <w:t>енергију, </w:t>
      </w:r>
      <w:r>
        <w:rPr>
          <w:color w:val="231F20"/>
        </w:rPr>
        <w:t>као и истраживање и производња нафте и при-</w:t>
      </w:r>
    </w:p>
    <w:p>
      <w:pPr>
        <w:pStyle w:val="BodyText"/>
        <w:spacing w:line="200" w:lineRule="exact"/>
        <w:ind w:left="171"/>
      </w:pPr>
      <w:r>
        <w:rPr>
          <w:color w:val="231F20"/>
        </w:rPr>
        <w:t>родног гаса.</w:t>
      </w:r>
    </w:p>
    <w:p>
      <w:pPr>
        <w:spacing w:after="0" w:line="200" w:lineRule="exact"/>
        <w:sectPr>
          <w:pgSz w:w="12480" w:h="15690"/>
          <w:pgMar w:top="120" w:bottom="280" w:left="680" w:right="720"/>
          <w:cols w:num="2" w:equalWidth="0">
            <w:col w:w="5314" w:space="73"/>
            <w:col w:w="5693"/>
          </w:cols>
        </w:sectPr>
      </w:pPr>
    </w:p>
    <w:p>
      <w:pPr>
        <w:pStyle w:val="BodyText"/>
        <w:spacing w:before="68"/>
        <w:ind w:left="453"/>
        <w:jc w:val="left"/>
      </w:pPr>
      <w:r>
        <w:rPr/>
        <w:pict>
          <v:line style="position:absolute;mso-position-horizontal-relative:page;mso-position-vertical-relative:page;z-index:1168" from="318.897614pt,11.94295pt" to="318.897614pt,748.95095pt" stroked="true" strokeweight=".6pt" strokecolor="#231f20">
            <v:stroke dashstyle="solid"/>
            <w10:wrap type="none"/>
          </v:line>
        </w:pict>
      </w:r>
      <w:r>
        <w:rPr>
          <w:color w:val="231F20"/>
          <w:spacing w:val="-3"/>
        </w:rPr>
        <w:t>Табела</w:t>
      </w:r>
      <w:r>
        <w:rPr>
          <w:color w:val="231F20"/>
          <w:spacing w:val="-15"/>
        </w:rPr>
        <w:t> </w:t>
      </w:r>
      <w:r>
        <w:rPr>
          <w:color w:val="231F20"/>
        </w:rPr>
        <w:t>1.</w:t>
      </w:r>
      <w:r>
        <w:rPr>
          <w:color w:val="231F20"/>
          <w:spacing w:val="-15"/>
        </w:rPr>
        <w:t> </w:t>
      </w:r>
      <w:r>
        <w:rPr>
          <w:color w:val="231F20"/>
        </w:rPr>
        <w:t>Резерве</w:t>
      </w:r>
      <w:r>
        <w:rPr>
          <w:color w:val="231F20"/>
          <w:spacing w:val="-15"/>
        </w:rPr>
        <w:t> </w:t>
      </w:r>
      <w:r>
        <w:rPr>
          <w:color w:val="231F20"/>
        </w:rPr>
        <w:t>угља</w:t>
      </w:r>
      <w:r>
        <w:rPr>
          <w:color w:val="231F20"/>
          <w:spacing w:val="-15"/>
        </w:rPr>
        <w:t> </w:t>
      </w:r>
      <w:r>
        <w:rPr>
          <w:color w:val="231F20"/>
        </w:rPr>
        <w:t>у</w:t>
      </w:r>
      <w:r>
        <w:rPr>
          <w:color w:val="231F20"/>
          <w:spacing w:val="-15"/>
        </w:rPr>
        <w:t> </w:t>
      </w:r>
      <w:r>
        <w:rPr>
          <w:color w:val="231F20"/>
          <w:spacing w:val="-5"/>
        </w:rPr>
        <w:t>Костолачком</w:t>
      </w:r>
      <w:r>
        <w:rPr>
          <w:color w:val="231F20"/>
          <w:spacing w:val="-15"/>
        </w:rPr>
        <w:t> </w:t>
      </w:r>
      <w:r>
        <w:rPr>
          <w:color w:val="231F20"/>
        </w:rPr>
        <w:t>басену</w:t>
      </w:r>
      <w:r>
        <w:rPr>
          <w:color w:val="231F20"/>
          <w:spacing w:val="-15"/>
        </w:rPr>
        <w:t> </w:t>
      </w:r>
      <w:r>
        <w:rPr>
          <w:color w:val="231F20"/>
        </w:rPr>
        <w:t>(билансиране</w:t>
      </w:r>
      <w:r>
        <w:rPr>
          <w:color w:val="231F20"/>
          <w:spacing w:val="-15"/>
        </w:rPr>
        <w:t> </w:t>
      </w:r>
      <w:r>
        <w:rPr>
          <w:color w:val="231F20"/>
        </w:rPr>
        <w:t>резерве)</w:t>
      </w:r>
    </w:p>
    <w:p>
      <w:pPr>
        <w:pStyle w:val="BodyText"/>
        <w:spacing w:before="6"/>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37"/>
        <w:gridCol w:w="910"/>
        <w:gridCol w:w="681"/>
        <w:gridCol w:w="823"/>
        <w:gridCol w:w="823"/>
        <w:gridCol w:w="823"/>
      </w:tblGrid>
      <w:tr>
        <w:trPr>
          <w:trHeight w:val="200" w:hRule="atLeast"/>
        </w:trPr>
        <w:tc>
          <w:tcPr>
            <w:tcW w:w="1037" w:type="dxa"/>
            <w:vMerge w:val="restart"/>
          </w:tcPr>
          <w:p>
            <w:pPr>
              <w:pStyle w:val="TableParagraph"/>
              <w:ind w:left="337" w:right="328"/>
              <w:jc w:val="center"/>
              <w:rPr>
                <w:sz w:val="14"/>
              </w:rPr>
            </w:pPr>
            <w:r>
              <w:rPr>
                <w:color w:val="231F20"/>
                <w:sz w:val="14"/>
              </w:rPr>
              <w:t>Угаљ</w:t>
            </w:r>
          </w:p>
        </w:tc>
        <w:tc>
          <w:tcPr>
            <w:tcW w:w="910" w:type="dxa"/>
            <w:vMerge w:val="restart"/>
          </w:tcPr>
          <w:p>
            <w:pPr>
              <w:pStyle w:val="TableParagraph"/>
              <w:ind w:left="278"/>
              <w:jc w:val="left"/>
              <w:rPr>
                <w:sz w:val="14"/>
              </w:rPr>
            </w:pPr>
            <w:r>
              <w:rPr>
                <w:color w:val="231F20"/>
                <w:sz w:val="14"/>
              </w:rPr>
              <w:t>Класа</w:t>
            </w:r>
          </w:p>
        </w:tc>
        <w:tc>
          <w:tcPr>
            <w:tcW w:w="3150" w:type="dxa"/>
            <w:gridSpan w:val="4"/>
          </w:tcPr>
          <w:p>
            <w:pPr>
              <w:pStyle w:val="TableParagraph"/>
              <w:ind w:left="1225" w:right="1221"/>
              <w:jc w:val="center"/>
              <w:rPr>
                <w:sz w:val="14"/>
              </w:rPr>
            </w:pPr>
            <w:r>
              <w:rPr>
                <w:color w:val="231F20"/>
                <w:sz w:val="14"/>
              </w:rPr>
              <w:t>Категорија</w:t>
            </w:r>
          </w:p>
        </w:tc>
      </w:tr>
      <w:tr>
        <w:trPr>
          <w:trHeight w:val="200" w:hRule="atLeast"/>
        </w:trPr>
        <w:tc>
          <w:tcPr>
            <w:tcW w:w="1037" w:type="dxa"/>
            <w:vMerge/>
            <w:tcBorders>
              <w:top w:val="nil"/>
            </w:tcBorders>
          </w:tcPr>
          <w:p>
            <w:pPr>
              <w:rPr>
                <w:sz w:val="2"/>
                <w:szCs w:val="2"/>
              </w:rPr>
            </w:pPr>
          </w:p>
        </w:tc>
        <w:tc>
          <w:tcPr>
            <w:tcW w:w="910" w:type="dxa"/>
            <w:vMerge/>
            <w:tcBorders>
              <w:top w:val="nil"/>
            </w:tcBorders>
          </w:tcPr>
          <w:p>
            <w:pPr>
              <w:rPr>
                <w:sz w:val="2"/>
                <w:szCs w:val="2"/>
              </w:rPr>
            </w:pPr>
          </w:p>
        </w:tc>
        <w:tc>
          <w:tcPr>
            <w:tcW w:w="681" w:type="dxa"/>
          </w:tcPr>
          <w:p>
            <w:pPr>
              <w:pStyle w:val="TableParagraph"/>
              <w:ind w:left="7"/>
              <w:jc w:val="center"/>
              <w:rPr>
                <w:sz w:val="14"/>
              </w:rPr>
            </w:pPr>
            <w:r>
              <w:rPr>
                <w:color w:val="231F20"/>
                <w:sz w:val="14"/>
              </w:rPr>
              <w:t>А</w:t>
            </w:r>
          </w:p>
        </w:tc>
        <w:tc>
          <w:tcPr>
            <w:tcW w:w="823" w:type="dxa"/>
          </w:tcPr>
          <w:p>
            <w:pPr>
              <w:pStyle w:val="TableParagraph"/>
              <w:ind w:left="5"/>
              <w:jc w:val="center"/>
              <w:rPr>
                <w:sz w:val="14"/>
              </w:rPr>
            </w:pPr>
            <w:r>
              <w:rPr>
                <w:color w:val="231F20"/>
                <w:sz w:val="14"/>
              </w:rPr>
              <w:t>B</w:t>
            </w:r>
          </w:p>
        </w:tc>
        <w:tc>
          <w:tcPr>
            <w:tcW w:w="823" w:type="dxa"/>
          </w:tcPr>
          <w:p>
            <w:pPr>
              <w:pStyle w:val="TableParagraph"/>
              <w:spacing w:line="162" w:lineRule="exact"/>
              <w:ind w:left="31" w:right="28"/>
              <w:jc w:val="center"/>
              <w:rPr>
                <w:sz w:val="8"/>
              </w:rPr>
            </w:pPr>
            <w:r>
              <w:rPr>
                <w:color w:val="231F20"/>
                <w:sz w:val="14"/>
              </w:rPr>
              <w:t>C</w:t>
            </w:r>
            <w:r>
              <w:rPr>
                <w:color w:val="231F20"/>
                <w:position w:val="-4"/>
                <w:sz w:val="8"/>
              </w:rPr>
              <w:t>1</w:t>
            </w:r>
          </w:p>
        </w:tc>
        <w:tc>
          <w:tcPr>
            <w:tcW w:w="823" w:type="dxa"/>
          </w:tcPr>
          <w:p>
            <w:pPr>
              <w:pStyle w:val="TableParagraph"/>
              <w:spacing w:line="162" w:lineRule="exact"/>
              <w:ind w:left="29" w:right="28"/>
              <w:jc w:val="center"/>
              <w:rPr>
                <w:sz w:val="8"/>
              </w:rPr>
            </w:pPr>
            <w:r>
              <w:rPr>
                <w:color w:val="231F20"/>
                <w:sz w:val="14"/>
              </w:rPr>
              <w:t>А+B+C</w:t>
            </w:r>
            <w:r>
              <w:rPr>
                <w:color w:val="231F20"/>
                <w:position w:val="-4"/>
                <w:sz w:val="8"/>
              </w:rPr>
              <w:t>1</w:t>
            </w:r>
          </w:p>
        </w:tc>
      </w:tr>
      <w:tr>
        <w:trPr>
          <w:trHeight w:val="176" w:hRule="atLeast"/>
        </w:trPr>
        <w:tc>
          <w:tcPr>
            <w:tcW w:w="1037" w:type="dxa"/>
            <w:tcBorders>
              <w:bottom w:val="nil"/>
            </w:tcBorders>
          </w:tcPr>
          <w:p>
            <w:pPr>
              <w:pStyle w:val="TableParagraph"/>
              <w:spacing w:line="138" w:lineRule="exact"/>
              <w:ind w:left="56"/>
              <w:jc w:val="left"/>
              <w:rPr>
                <w:sz w:val="14"/>
              </w:rPr>
            </w:pPr>
            <w:r>
              <w:rPr>
                <w:color w:val="231F20"/>
                <w:sz w:val="14"/>
              </w:rPr>
              <w:t>Лежишта/</w:t>
            </w:r>
          </w:p>
        </w:tc>
        <w:tc>
          <w:tcPr>
            <w:tcW w:w="910" w:type="dxa"/>
            <w:vMerge w:val="restart"/>
          </w:tcPr>
          <w:p>
            <w:pPr>
              <w:pStyle w:val="TableParagraph"/>
              <w:ind w:left="56"/>
              <w:jc w:val="left"/>
              <w:rPr>
                <w:sz w:val="14"/>
              </w:rPr>
            </w:pPr>
            <w:r>
              <w:rPr>
                <w:color w:val="231F20"/>
                <w:sz w:val="14"/>
              </w:rPr>
              <w:t>Билансне</w:t>
            </w:r>
          </w:p>
        </w:tc>
        <w:tc>
          <w:tcPr>
            <w:tcW w:w="681" w:type="dxa"/>
            <w:vMerge w:val="restart"/>
          </w:tcPr>
          <w:p>
            <w:pPr>
              <w:pStyle w:val="TableParagraph"/>
              <w:spacing w:before="0"/>
              <w:jc w:val="left"/>
              <w:rPr>
                <w:sz w:val="12"/>
              </w:rPr>
            </w:pPr>
          </w:p>
        </w:tc>
        <w:tc>
          <w:tcPr>
            <w:tcW w:w="823" w:type="dxa"/>
            <w:vMerge w:val="restart"/>
          </w:tcPr>
          <w:p>
            <w:pPr>
              <w:pStyle w:val="TableParagraph"/>
              <w:ind w:left="63"/>
              <w:jc w:val="left"/>
              <w:rPr>
                <w:sz w:val="14"/>
              </w:rPr>
            </w:pPr>
            <w:r>
              <w:rPr>
                <w:color w:val="231F20"/>
                <w:sz w:val="14"/>
              </w:rPr>
              <w:t>171.863.358</w:t>
            </w:r>
          </w:p>
        </w:tc>
        <w:tc>
          <w:tcPr>
            <w:tcW w:w="823" w:type="dxa"/>
            <w:vMerge w:val="restart"/>
          </w:tcPr>
          <w:p>
            <w:pPr>
              <w:pStyle w:val="TableParagraph"/>
              <w:ind w:left="62"/>
              <w:jc w:val="left"/>
              <w:rPr>
                <w:sz w:val="14"/>
              </w:rPr>
            </w:pPr>
            <w:r>
              <w:rPr>
                <w:color w:val="231F20"/>
                <w:sz w:val="14"/>
              </w:rPr>
              <w:t>216.416.957</w:t>
            </w:r>
          </w:p>
        </w:tc>
        <w:tc>
          <w:tcPr>
            <w:tcW w:w="823" w:type="dxa"/>
            <w:vMerge w:val="restart"/>
          </w:tcPr>
          <w:p>
            <w:pPr>
              <w:pStyle w:val="TableParagraph"/>
              <w:ind w:left="61"/>
              <w:jc w:val="left"/>
              <w:rPr>
                <w:sz w:val="14"/>
              </w:rPr>
            </w:pPr>
            <w:r>
              <w:rPr>
                <w:color w:val="231F20"/>
                <w:sz w:val="14"/>
              </w:rPr>
              <w:t>388.280.315</w:t>
            </w:r>
          </w:p>
        </w:tc>
      </w:tr>
      <w:tr>
        <w:trPr>
          <w:trHeight w:val="13" w:hRule="atLeast"/>
        </w:trPr>
        <w:tc>
          <w:tcPr>
            <w:tcW w:w="1037" w:type="dxa"/>
            <w:vMerge w:val="restart"/>
            <w:tcBorders>
              <w:top w:val="nil"/>
              <w:bottom w:val="nil"/>
            </w:tcBorders>
          </w:tcPr>
          <w:p>
            <w:pPr>
              <w:pStyle w:val="TableParagraph"/>
              <w:spacing w:line="130" w:lineRule="exact" w:before="0"/>
              <w:ind w:left="56"/>
              <w:jc w:val="left"/>
              <w:rPr>
                <w:sz w:val="14"/>
              </w:rPr>
            </w:pPr>
            <w:r>
              <w:rPr>
                <w:color w:val="231F20"/>
                <w:sz w:val="14"/>
              </w:rPr>
              <w:t>копови у</w:t>
            </w:r>
          </w:p>
        </w:tc>
        <w:tc>
          <w:tcPr>
            <w:tcW w:w="910" w:type="dxa"/>
            <w:vMerge/>
            <w:tcBorders>
              <w:top w:val="nil"/>
            </w:tcBorders>
          </w:tcPr>
          <w:p>
            <w:pPr>
              <w:rPr>
                <w:sz w:val="2"/>
                <w:szCs w:val="2"/>
              </w:rPr>
            </w:pPr>
          </w:p>
        </w:tc>
        <w:tc>
          <w:tcPr>
            <w:tcW w:w="681"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r>
      <w:tr>
        <w:trPr>
          <w:trHeight w:val="126" w:hRule="atLeast"/>
        </w:trPr>
        <w:tc>
          <w:tcPr>
            <w:tcW w:w="1037" w:type="dxa"/>
            <w:vMerge/>
            <w:tcBorders>
              <w:top w:val="nil"/>
              <w:bottom w:val="nil"/>
            </w:tcBorders>
          </w:tcPr>
          <w:p>
            <w:pPr>
              <w:rPr>
                <w:sz w:val="2"/>
                <w:szCs w:val="2"/>
              </w:rPr>
            </w:pPr>
          </w:p>
        </w:tc>
        <w:tc>
          <w:tcPr>
            <w:tcW w:w="910" w:type="dxa"/>
            <w:vMerge w:val="restart"/>
          </w:tcPr>
          <w:p>
            <w:pPr>
              <w:pStyle w:val="TableParagraph"/>
              <w:ind w:left="56"/>
              <w:jc w:val="left"/>
              <w:rPr>
                <w:sz w:val="14"/>
              </w:rPr>
            </w:pPr>
            <w:r>
              <w:rPr>
                <w:color w:val="231F20"/>
                <w:sz w:val="14"/>
              </w:rPr>
              <w:t>Ванбилансне</w:t>
            </w:r>
          </w:p>
        </w:tc>
        <w:tc>
          <w:tcPr>
            <w:tcW w:w="681" w:type="dxa"/>
            <w:vMerge w:val="restart"/>
          </w:tcPr>
          <w:p>
            <w:pPr>
              <w:pStyle w:val="TableParagraph"/>
              <w:spacing w:before="0"/>
              <w:jc w:val="left"/>
              <w:rPr>
                <w:sz w:val="12"/>
              </w:rPr>
            </w:pPr>
          </w:p>
        </w:tc>
        <w:tc>
          <w:tcPr>
            <w:tcW w:w="823" w:type="dxa"/>
            <w:vMerge w:val="restart"/>
          </w:tcPr>
          <w:p>
            <w:pPr>
              <w:pStyle w:val="TableParagraph"/>
              <w:ind w:left="63"/>
              <w:jc w:val="left"/>
              <w:rPr>
                <w:sz w:val="14"/>
              </w:rPr>
            </w:pPr>
            <w:r>
              <w:rPr>
                <w:color w:val="231F20"/>
                <w:sz w:val="14"/>
              </w:rPr>
              <w:t>107.639.929</w:t>
            </w:r>
          </w:p>
        </w:tc>
        <w:tc>
          <w:tcPr>
            <w:tcW w:w="823" w:type="dxa"/>
            <w:vMerge w:val="restart"/>
          </w:tcPr>
          <w:p>
            <w:pPr>
              <w:pStyle w:val="TableParagraph"/>
              <w:ind w:left="62"/>
              <w:jc w:val="left"/>
              <w:rPr>
                <w:sz w:val="14"/>
              </w:rPr>
            </w:pPr>
            <w:r>
              <w:rPr>
                <w:color w:val="231F20"/>
                <w:sz w:val="14"/>
              </w:rPr>
              <w:t>107.667.196</w:t>
            </w:r>
          </w:p>
        </w:tc>
        <w:tc>
          <w:tcPr>
            <w:tcW w:w="823" w:type="dxa"/>
            <w:vMerge w:val="restart"/>
          </w:tcPr>
          <w:p>
            <w:pPr>
              <w:pStyle w:val="TableParagraph"/>
              <w:ind w:left="61"/>
              <w:jc w:val="left"/>
              <w:rPr>
                <w:sz w:val="14"/>
              </w:rPr>
            </w:pPr>
            <w:r>
              <w:rPr>
                <w:color w:val="231F20"/>
                <w:sz w:val="14"/>
              </w:rPr>
              <w:t>215.307.125</w:t>
            </w:r>
          </w:p>
        </w:tc>
      </w:tr>
      <w:tr>
        <w:trPr>
          <w:trHeight w:val="64" w:hRule="atLeast"/>
        </w:trPr>
        <w:tc>
          <w:tcPr>
            <w:tcW w:w="1037" w:type="dxa"/>
            <w:vMerge w:val="restart"/>
            <w:tcBorders>
              <w:top w:val="nil"/>
              <w:bottom w:val="nil"/>
            </w:tcBorders>
          </w:tcPr>
          <w:p>
            <w:pPr>
              <w:pStyle w:val="TableParagraph"/>
              <w:spacing w:line="130" w:lineRule="exact" w:before="0"/>
              <w:ind w:left="56"/>
              <w:jc w:val="left"/>
              <w:rPr>
                <w:sz w:val="14"/>
              </w:rPr>
            </w:pPr>
            <w:r>
              <w:rPr>
                <w:color w:val="231F20"/>
                <w:sz w:val="14"/>
              </w:rPr>
              <w:t>експлоатацији</w:t>
            </w:r>
          </w:p>
        </w:tc>
        <w:tc>
          <w:tcPr>
            <w:tcW w:w="910" w:type="dxa"/>
            <w:vMerge/>
            <w:tcBorders>
              <w:top w:val="nil"/>
            </w:tcBorders>
          </w:tcPr>
          <w:p>
            <w:pPr>
              <w:rPr>
                <w:sz w:val="2"/>
                <w:szCs w:val="2"/>
              </w:rPr>
            </w:pPr>
          </w:p>
        </w:tc>
        <w:tc>
          <w:tcPr>
            <w:tcW w:w="681"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r>
      <w:tr>
        <w:trPr>
          <w:trHeight w:val="75" w:hRule="atLeast"/>
        </w:trPr>
        <w:tc>
          <w:tcPr>
            <w:tcW w:w="1037" w:type="dxa"/>
            <w:vMerge/>
            <w:tcBorders>
              <w:top w:val="nil"/>
              <w:bottom w:val="nil"/>
            </w:tcBorders>
          </w:tcPr>
          <w:p>
            <w:pPr>
              <w:rPr>
                <w:sz w:val="2"/>
                <w:szCs w:val="2"/>
              </w:rPr>
            </w:pPr>
          </w:p>
        </w:tc>
        <w:tc>
          <w:tcPr>
            <w:tcW w:w="910" w:type="dxa"/>
            <w:vMerge w:val="restart"/>
          </w:tcPr>
          <w:p>
            <w:pPr>
              <w:pStyle w:val="TableParagraph"/>
              <w:ind w:left="56"/>
              <w:jc w:val="left"/>
              <w:rPr>
                <w:sz w:val="14"/>
              </w:rPr>
            </w:pPr>
            <w:r>
              <w:rPr>
                <w:color w:val="231F20"/>
                <w:sz w:val="14"/>
              </w:rPr>
              <w:t>Укупно</w:t>
            </w:r>
          </w:p>
        </w:tc>
        <w:tc>
          <w:tcPr>
            <w:tcW w:w="681" w:type="dxa"/>
            <w:vMerge w:val="restart"/>
          </w:tcPr>
          <w:p>
            <w:pPr>
              <w:pStyle w:val="TableParagraph"/>
              <w:spacing w:before="0"/>
              <w:jc w:val="left"/>
              <w:rPr>
                <w:sz w:val="16"/>
              </w:rPr>
            </w:pPr>
          </w:p>
        </w:tc>
        <w:tc>
          <w:tcPr>
            <w:tcW w:w="823" w:type="dxa"/>
            <w:vMerge w:val="restart"/>
          </w:tcPr>
          <w:p>
            <w:pPr>
              <w:pStyle w:val="TableParagraph"/>
              <w:ind w:left="63"/>
              <w:jc w:val="left"/>
              <w:rPr>
                <w:sz w:val="14"/>
              </w:rPr>
            </w:pPr>
            <w:r>
              <w:rPr>
                <w:color w:val="231F20"/>
                <w:sz w:val="14"/>
              </w:rPr>
              <w:t>279.503.287</w:t>
            </w:r>
          </w:p>
        </w:tc>
        <w:tc>
          <w:tcPr>
            <w:tcW w:w="823" w:type="dxa"/>
            <w:vMerge w:val="restart"/>
          </w:tcPr>
          <w:p>
            <w:pPr>
              <w:pStyle w:val="TableParagraph"/>
              <w:ind w:left="62"/>
              <w:jc w:val="left"/>
              <w:rPr>
                <w:sz w:val="14"/>
              </w:rPr>
            </w:pPr>
            <w:r>
              <w:rPr>
                <w:color w:val="231F20"/>
                <w:sz w:val="14"/>
              </w:rPr>
              <w:t>324.084.153</w:t>
            </w:r>
          </w:p>
        </w:tc>
        <w:tc>
          <w:tcPr>
            <w:tcW w:w="823" w:type="dxa"/>
            <w:vMerge w:val="restart"/>
          </w:tcPr>
          <w:p>
            <w:pPr>
              <w:pStyle w:val="TableParagraph"/>
              <w:ind w:left="62"/>
              <w:jc w:val="left"/>
              <w:rPr>
                <w:sz w:val="14"/>
              </w:rPr>
            </w:pPr>
            <w:r>
              <w:rPr>
                <w:color w:val="231F20"/>
                <w:sz w:val="14"/>
              </w:rPr>
              <w:t>603.587.440</w:t>
            </w:r>
          </w:p>
        </w:tc>
      </w:tr>
      <w:tr>
        <w:trPr>
          <w:trHeight w:val="173" w:hRule="atLeast"/>
        </w:trPr>
        <w:tc>
          <w:tcPr>
            <w:tcW w:w="1037" w:type="dxa"/>
            <w:tcBorders>
              <w:top w:val="nil"/>
            </w:tcBorders>
          </w:tcPr>
          <w:p>
            <w:pPr>
              <w:pStyle w:val="TableParagraph"/>
              <w:spacing w:line="153" w:lineRule="exact" w:before="0"/>
              <w:ind w:left="56"/>
              <w:jc w:val="left"/>
              <w:rPr>
                <w:sz w:val="14"/>
              </w:rPr>
            </w:pPr>
            <w:r>
              <w:rPr>
                <w:color w:val="231F20"/>
                <w:sz w:val="14"/>
              </w:rPr>
              <w:t>„Дрмно”</w:t>
            </w:r>
          </w:p>
        </w:tc>
        <w:tc>
          <w:tcPr>
            <w:tcW w:w="910" w:type="dxa"/>
            <w:vMerge/>
            <w:tcBorders>
              <w:top w:val="nil"/>
            </w:tcBorders>
          </w:tcPr>
          <w:p>
            <w:pPr>
              <w:rPr>
                <w:sz w:val="2"/>
                <w:szCs w:val="2"/>
              </w:rPr>
            </w:pPr>
          </w:p>
        </w:tc>
        <w:tc>
          <w:tcPr>
            <w:tcW w:w="681"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r>
      <w:tr>
        <w:trPr>
          <w:trHeight w:val="176" w:hRule="atLeast"/>
        </w:trPr>
        <w:tc>
          <w:tcPr>
            <w:tcW w:w="1037" w:type="dxa"/>
            <w:tcBorders>
              <w:bottom w:val="nil"/>
            </w:tcBorders>
          </w:tcPr>
          <w:p>
            <w:pPr>
              <w:pStyle w:val="TableParagraph"/>
              <w:spacing w:line="138" w:lineRule="exact"/>
              <w:ind w:left="57"/>
              <w:jc w:val="left"/>
              <w:rPr>
                <w:sz w:val="14"/>
              </w:rPr>
            </w:pPr>
            <w:r>
              <w:rPr>
                <w:color w:val="231F20"/>
                <w:sz w:val="14"/>
              </w:rPr>
              <w:t>Лежишта/ко-</w:t>
            </w:r>
          </w:p>
        </w:tc>
        <w:tc>
          <w:tcPr>
            <w:tcW w:w="910" w:type="dxa"/>
            <w:vMerge w:val="restart"/>
          </w:tcPr>
          <w:p>
            <w:pPr>
              <w:pStyle w:val="TableParagraph"/>
              <w:ind w:left="56"/>
              <w:jc w:val="left"/>
              <w:rPr>
                <w:sz w:val="14"/>
              </w:rPr>
            </w:pPr>
            <w:r>
              <w:rPr>
                <w:color w:val="231F20"/>
                <w:sz w:val="14"/>
              </w:rPr>
              <w:t>Билансне</w:t>
            </w:r>
          </w:p>
        </w:tc>
        <w:tc>
          <w:tcPr>
            <w:tcW w:w="681" w:type="dxa"/>
            <w:vMerge w:val="restart"/>
          </w:tcPr>
          <w:p>
            <w:pPr>
              <w:pStyle w:val="TableParagraph"/>
              <w:ind w:left="62"/>
              <w:jc w:val="left"/>
              <w:rPr>
                <w:sz w:val="14"/>
              </w:rPr>
            </w:pPr>
            <w:r>
              <w:rPr>
                <w:color w:val="231F20"/>
                <w:sz w:val="14"/>
              </w:rPr>
              <w:t>2.398.067</w:t>
            </w:r>
          </w:p>
        </w:tc>
        <w:tc>
          <w:tcPr>
            <w:tcW w:w="823" w:type="dxa"/>
            <w:vMerge w:val="restart"/>
          </w:tcPr>
          <w:p>
            <w:pPr>
              <w:pStyle w:val="TableParagraph"/>
              <w:ind w:left="134"/>
              <w:jc w:val="left"/>
              <w:rPr>
                <w:sz w:val="14"/>
              </w:rPr>
            </w:pPr>
            <w:r>
              <w:rPr>
                <w:color w:val="231F20"/>
                <w:sz w:val="14"/>
              </w:rPr>
              <w:t>80.232.262</w:t>
            </w:r>
          </w:p>
        </w:tc>
        <w:tc>
          <w:tcPr>
            <w:tcW w:w="823" w:type="dxa"/>
            <w:vMerge w:val="restart"/>
          </w:tcPr>
          <w:p>
            <w:pPr>
              <w:pStyle w:val="TableParagraph"/>
              <w:ind w:left="133"/>
              <w:jc w:val="left"/>
              <w:rPr>
                <w:sz w:val="14"/>
              </w:rPr>
            </w:pPr>
            <w:r>
              <w:rPr>
                <w:color w:val="231F20"/>
                <w:sz w:val="14"/>
              </w:rPr>
              <w:t>33.537.000</w:t>
            </w:r>
          </w:p>
        </w:tc>
        <w:tc>
          <w:tcPr>
            <w:tcW w:w="823" w:type="dxa"/>
            <w:vMerge w:val="restart"/>
          </w:tcPr>
          <w:p>
            <w:pPr>
              <w:pStyle w:val="TableParagraph"/>
              <w:ind w:left="67"/>
              <w:jc w:val="left"/>
              <w:rPr>
                <w:sz w:val="14"/>
              </w:rPr>
            </w:pPr>
            <w:r>
              <w:rPr>
                <w:color w:val="231F20"/>
                <w:sz w:val="14"/>
              </w:rPr>
              <w:t>116.167.329</w:t>
            </w:r>
          </w:p>
        </w:tc>
      </w:tr>
      <w:tr>
        <w:trPr>
          <w:trHeight w:val="14" w:hRule="atLeast"/>
        </w:trPr>
        <w:tc>
          <w:tcPr>
            <w:tcW w:w="1037" w:type="dxa"/>
            <w:vMerge w:val="restart"/>
            <w:tcBorders>
              <w:top w:val="nil"/>
              <w:bottom w:val="nil"/>
            </w:tcBorders>
          </w:tcPr>
          <w:p>
            <w:pPr>
              <w:pStyle w:val="TableParagraph"/>
              <w:spacing w:line="130" w:lineRule="exact" w:before="0"/>
              <w:ind w:left="57"/>
              <w:jc w:val="left"/>
              <w:rPr>
                <w:sz w:val="14"/>
              </w:rPr>
            </w:pPr>
            <w:r>
              <w:rPr>
                <w:color w:val="231F20"/>
                <w:sz w:val="14"/>
              </w:rPr>
              <w:t>пови у којима</w:t>
            </w:r>
          </w:p>
        </w:tc>
        <w:tc>
          <w:tcPr>
            <w:tcW w:w="910" w:type="dxa"/>
            <w:vMerge/>
            <w:tcBorders>
              <w:top w:val="nil"/>
            </w:tcBorders>
          </w:tcPr>
          <w:p>
            <w:pPr>
              <w:rPr>
                <w:sz w:val="2"/>
                <w:szCs w:val="2"/>
              </w:rPr>
            </w:pPr>
          </w:p>
        </w:tc>
        <w:tc>
          <w:tcPr>
            <w:tcW w:w="681"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r>
      <w:tr>
        <w:trPr>
          <w:trHeight w:val="125" w:hRule="atLeast"/>
        </w:trPr>
        <w:tc>
          <w:tcPr>
            <w:tcW w:w="1037" w:type="dxa"/>
            <w:vMerge/>
            <w:tcBorders>
              <w:top w:val="nil"/>
              <w:bottom w:val="nil"/>
            </w:tcBorders>
          </w:tcPr>
          <w:p>
            <w:pPr>
              <w:rPr>
                <w:sz w:val="2"/>
                <w:szCs w:val="2"/>
              </w:rPr>
            </w:pPr>
          </w:p>
        </w:tc>
        <w:tc>
          <w:tcPr>
            <w:tcW w:w="910" w:type="dxa"/>
            <w:vMerge w:val="restart"/>
          </w:tcPr>
          <w:p>
            <w:pPr>
              <w:pStyle w:val="TableParagraph"/>
              <w:ind w:left="56"/>
              <w:jc w:val="left"/>
              <w:rPr>
                <w:sz w:val="14"/>
              </w:rPr>
            </w:pPr>
            <w:r>
              <w:rPr>
                <w:color w:val="231F20"/>
                <w:sz w:val="14"/>
              </w:rPr>
              <w:t>Ванбилансне</w:t>
            </w:r>
          </w:p>
        </w:tc>
        <w:tc>
          <w:tcPr>
            <w:tcW w:w="681" w:type="dxa"/>
            <w:vMerge w:val="restart"/>
          </w:tcPr>
          <w:p>
            <w:pPr>
              <w:pStyle w:val="TableParagraph"/>
              <w:ind w:left="63"/>
              <w:jc w:val="left"/>
              <w:rPr>
                <w:sz w:val="14"/>
              </w:rPr>
            </w:pPr>
            <w:r>
              <w:rPr>
                <w:color w:val="231F20"/>
                <w:sz w:val="14"/>
              </w:rPr>
              <w:t>5.864.902</w:t>
            </w:r>
          </w:p>
        </w:tc>
        <w:tc>
          <w:tcPr>
            <w:tcW w:w="823" w:type="dxa"/>
            <w:vMerge w:val="restart"/>
          </w:tcPr>
          <w:p>
            <w:pPr>
              <w:pStyle w:val="TableParagraph"/>
              <w:ind w:left="134"/>
              <w:jc w:val="left"/>
              <w:rPr>
                <w:sz w:val="14"/>
              </w:rPr>
            </w:pPr>
            <w:r>
              <w:rPr>
                <w:color w:val="231F20"/>
                <w:sz w:val="14"/>
              </w:rPr>
              <w:t>44.319.000</w:t>
            </w:r>
          </w:p>
        </w:tc>
        <w:tc>
          <w:tcPr>
            <w:tcW w:w="823" w:type="dxa"/>
            <w:vMerge w:val="restart"/>
          </w:tcPr>
          <w:p>
            <w:pPr>
              <w:pStyle w:val="TableParagraph"/>
              <w:ind w:left="133"/>
              <w:jc w:val="left"/>
              <w:rPr>
                <w:sz w:val="14"/>
              </w:rPr>
            </w:pPr>
            <w:r>
              <w:rPr>
                <w:color w:val="231F20"/>
                <w:sz w:val="14"/>
              </w:rPr>
              <w:t>42.710.000</w:t>
            </w:r>
          </w:p>
        </w:tc>
        <w:tc>
          <w:tcPr>
            <w:tcW w:w="823" w:type="dxa"/>
            <w:vMerge w:val="restart"/>
          </w:tcPr>
          <w:p>
            <w:pPr>
              <w:pStyle w:val="TableParagraph"/>
              <w:ind w:left="132"/>
              <w:jc w:val="left"/>
              <w:rPr>
                <w:sz w:val="14"/>
              </w:rPr>
            </w:pPr>
            <w:r>
              <w:rPr>
                <w:color w:val="231F20"/>
                <w:sz w:val="14"/>
              </w:rPr>
              <w:t>92.893.902</w:t>
            </w:r>
          </w:p>
        </w:tc>
      </w:tr>
      <w:tr>
        <w:trPr>
          <w:trHeight w:val="64" w:hRule="atLeast"/>
        </w:trPr>
        <w:tc>
          <w:tcPr>
            <w:tcW w:w="1037" w:type="dxa"/>
            <w:vMerge w:val="restart"/>
            <w:tcBorders>
              <w:top w:val="nil"/>
              <w:bottom w:val="nil"/>
            </w:tcBorders>
          </w:tcPr>
          <w:p>
            <w:pPr>
              <w:pStyle w:val="TableParagraph"/>
              <w:spacing w:line="152" w:lineRule="exact" w:before="0"/>
              <w:ind w:left="57"/>
              <w:jc w:val="left"/>
              <w:rPr>
                <w:sz w:val="14"/>
              </w:rPr>
            </w:pPr>
            <w:r>
              <w:rPr>
                <w:color w:val="231F20"/>
                <w:sz w:val="14"/>
              </w:rPr>
              <w:t>је завршена</w:t>
            </w:r>
          </w:p>
          <w:p>
            <w:pPr>
              <w:pStyle w:val="TableParagraph"/>
              <w:spacing w:line="143" w:lineRule="exact" w:before="0"/>
              <w:ind w:left="57"/>
              <w:jc w:val="left"/>
              <w:rPr>
                <w:sz w:val="14"/>
              </w:rPr>
            </w:pPr>
            <w:r>
              <w:rPr>
                <w:color w:val="231F20"/>
                <w:sz w:val="14"/>
              </w:rPr>
              <w:t>експлоатација</w:t>
            </w:r>
          </w:p>
        </w:tc>
        <w:tc>
          <w:tcPr>
            <w:tcW w:w="910" w:type="dxa"/>
            <w:vMerge/>
            <w:tcBorders>
              <w:top w:val="nil"/>
            </w:tcBorders>
          </w:tcPr>
          <w:p>
            <w:pPr>
              <w:rPr>
                <w:sz w:val="2"/>
                <w:szCs w:val="2"/>
              </w:rPr>
            </w:pPr>
          </w:p>
        </w:tc>
        <w:tc>
          <w:tcPr>
            <w:tcW w:w="681"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c>
          <w:tcPr>
            <w:tcW w:w="823" w:type="dxa"/>
            <w:vMerge/>
            <w:tcBorders>
              <w:top w:val="nil"/>
            </w:tcBorders>
          </w:tcPr>
          <w:p>
            <w:pPr>
              <w:rPr>
                <w:sz w:val="2"/>
                <w:szCs w:val="2"/>
              </w:rPr>
            </w:pPr>
          </w:p>
        </w:tc>
      </w:tr>
      <w:tr>
        <w:trPr>
          <w:trHeight w:val="240" w:hRule="atLeast"/>
        </w:trPr>
        <w:tc>
          <w:tcPr>
            <w:tcW w:w="1037" w:type="dxa"/>
            <w:vMerge/>
            <w:tcBorders>
              <w:top w:val="nil"/>
              <w:bottom w:val="nil"/>
            </w:tcBorders>
          </w:tcPr>
          <w:p>
            <w:pPr>
              <w:rPr>
                <w:sz w:val="2"/>
                <w:szCs w:val="2"/>
              </w:rPr>
            </w:pPr>
          </w:p>
        </w:tc>
        <w:tc>
          <w:tcPr>
            <w:tcW w:w="910" w:type="dxa"/>
            <w:tcBorders>
              <w:bottom w:val="nil"/>
            </w:tcBorders>
          </w:tcPr>
          <w:p>
            <w:pPr>
              <w:pStyle w:val="TableParagraph"/>
              <w:ind w:left="57"/>
              <w:jc w:val="left"/>
              <w:rPr>
                <w:sz w:val="14"/>
              </w:rPr>
            </w:pPr>
            <w:r>
              <w:rPr>
                <w:color w:val="231F20"/>
                <w:sz w:val="14"/>
              </w:rPr>
              <w:t>Укупно</w:t>
            </w:r>
          </w:p>
        </w:tc>
        <w:tc>
          <w:tcPr>
            <w:tcW w:w="681" w:type="dxa"/>
            <w:tcBorders>
              <w:bottom w:val="nil"/>
            </w:tcBorders>
          </w:tcPr>
          <w:p>
            <w:pPr>
              <w:pStyle w:val="TableParagraph"/>
              <w:ind w:left="42" w:right="27"/>
              <w:jc w:val="center"/>
              <w:rPr>
                <w:sz w:val="14"/>
              </w:rPr>
            </w:pPr>
            <w:r>
              <w:rPr>
                <w:color w:val="231F20"/>
                <w:sz w:val="14"/>
              </w:rPr>
              <w:t>8.262.969</w:t>
            </w:r>
          </w:p>
        </w:tc>
        <w:tc>
          <w:tcPr>
            <w:tcW w:w="823" w:type="dxa"/>
            <w:tcBorders>
              <w:bottom w:val="nil"/>
            </w:tcBorders>
          </w:tcPr>
          <w:p>
            <w:pPr>
              <w:pStyle w:val="TableParagraph"/>
              <w:ind w:left="42" w:right="27"/>
              <w:jc w:val="center"/>
              <w:rPr>
                <w:sz w:val="14"/>
              </w:rPr>
            </w:pPr>
            <w:r>
              <w:rPr>
                <w:color w:val="231F20"/>
                <w:sz w:val="14"/>
              </w:rPr>
              <w:t>124.551.262</w:t>
            </w:r>
          </w:p>
        </w:tc>
        <w:tc>
          <w:tcPr>
            <w:tcW w:w="823" w:type="dxa"/>
            <w:tcBorders>
              <w:bottom w:val="nil"/>
            </w:tcBorders>
          </w:tcPr>
          <w:p>
            <w:pPr>
              <w:pStyle w:val="TableParagraph"/>
              <w:ind w:left="111" w:right="28"/>
              <w:jc w:val="center"/>
              <w:rPr>
                <w:sz w:val="14"/>
              </w:rPr>
            </w:pPr>
            <w:r>
              <w:rPr>
                <w:color w:val="231F20"/>
                <w:sz w:val="14"/>
              </w:rPr>
              <w:t>76.247.000</w:t>
            </w:r>
          </w:p>
        </w:tc>
        <w:tc>
          <w:tcPr>
            <w:tcW w:w="823" w:type="dxa"/>
            <w:tcBorders>
              <w:bottom w:val="nil"/>
            </w:tcBorders>
          </w:tcPr>
          <w:p>
            <w:pPr>
              <w:pStyle w:val="TableParagraph"/>
              <w:ind w:left="39" w:right="28"/>
              <w:jc w:val="center"/>
              <w:rPr>
                <w:sz w:val="14"/>
              </w:rPr>
            </w:pPr>
            <w:r>
              <w:rPr>
                <w:color w:val="231F20"/>
                <w:sz w:val="14"/>
              </w:rPr>
              <w:t>209.061.231</w:t>
            </w:r>
          </w:p>
        </w:tc>
      </w:tr>
      <w:tr>
        <w:trPr>
          <w:trHeight w:val="160" w:hRule="atLeast"/>
        </w:trPr>
        <w:tc>
          <w:tcPr>
            <w:tcW w:w="1037" w:type="dxa"/>
            <w:tcBorders>
              <w:top w:val="nil"/>
              <w:bottom w:val="nil"/>
            </w:tcBorders>
          </w:tcPr>
          <w:p>
            <w:pPr>
              <w:pStyle w:val="TableParagraph"/>
              <w:spacing w:line="140" w:lineRule="exact" w:before="0"/>
              <w:ind w:left="57"/>
              <w:jc w:val="left"/>
              <w:rPr>
                <w:sz w:val="14"/>
              </w:rPr>
            </w:pPr>
            <w:r>
              <w:rPr>
                <w:color w:val="231F20"/>
                <w:sz w:val="14"/>
              </w:rPr>
              <w:t>„Кленовник” и</w:t>
            </w:r>
          </w:p>
        </w:tc>
        <w:tc>
          <w:tcPr>
            <w:tcW w:w="910" w:type="dxa"/>
            <w:tcBorders>
              <w:top w:val="nil"/>
              <w:bottom w:val="nil"/>
            </w:tcBorders>
          </w:tcPr>
          <w:p>
            <w:pPr>
              <w:pStyle w:val="TableParagraph"/>
              <w:spacing w:before="0"/>
              <w:jc w:val="left"/>
              <w:rPr>
                <w:sz w:val="10"/>
              </w:rPr>
            </w:pPr>
          </w:p>
        </w:tc>
        <w:tc>
          <w:tcPr>
            <w:tcW w:w="681" w:type="dxa"/>
            <w:tcBorders>
              <w:top w:val="nil"/>
              <w:bottom w:val="nil"/>
            </w:tcBorders>
          </w:tcPr>
          <w:p>
            <w:pPr>
              <w:pStyle w:val="TableParagraph"/>
              <w:spacing w:before="0"/>
              <w:jc w:val="left"/>
              <w:rPr>
                <w:sz w:val="10"/>
              </w:rPr>
            </w:pPr>
          </w:p>
        </w:tc>
        <w:tc>
          <w:tcPr>
            <w:tcW w:w="823" w:type="dxa"/>
            <w:tcBorders>
              <w:top w:val="nil"/>
              <w:bottom w:val="nil"/>
            </w:tcBorders>
          </w:tcPr>
          <w:p>
            <w:pPr>
              <w:pStyle w:val="TableParagraph"/>
              <w:spacing w:before="0"/>
              <w:jc w:val="left"/>
              <w:rPr>
                <w:sz w:val="10"/>
              </w:rPr>
            </w:pPr>
          </w:p>
        </w:tc>
        <w:tc>
          <w:tcPr>
            <w:tcW w:w="823" w:type="dxa"/>
            <w:tcBorders>
              <w:top w:val="nil"/>
              <w:bottom w:val="nil"/>
            </w:tcBorders>
          </w:tcPr>
          <w:p>
            <w:pPr>
              <w:pStyle w:val="TableParagraph"/>
              <w:spacing w:before="0"/>
              <w:jc w:val="left"/>
              <w:rPr>
                <w:sz w:val="10"/>
              </w:rPr>
            </w:pPr>
          </w:p>
        </w:tc>
        <w:tc>
          <w:tcPr>
            <w:tcW w:w="823" w:type="dxa"/>
            <w:tcBorders>
              <w:top w:val="nil"/>
              <w:bottom w:val="nil"/>
            </w:tcBorders>
          </w:tcPr>
          <w:p>
            <w:pPr>
              <w:pStyle w:val="TableParagraph"/>
              <w:spacing w:before="0"/>
              <w:jc w:val="left"/>
              <w:rPr>
                <w:sz w:val="10"/>
              </w:rPr>
            </w:pPr>
          </w:p>
        </w:tc>
      </w:tr>
      <w:tr>
        <w:trPr>
          <w:trHeight w:val="178" w:hRule="atLeast"/>
        </w:trPr>
        <w:tc>
          <w:tcPr>
            <w:tcW w:w="1037" w:type="dxa"/>
            <w:tcBorders>
              <w:top w:val="nil"/>
            </w:tcBorders>
          </w:tcPr>
          <w:p>
            <w:pPr>
              <w:pStyle w:val="TableParagraph"/>
              <w:spacing w:line="158" w:lineRule="exact" w:before="0"/>
              <w:ind w:left="57"/>
              <w:jc w:val="left"/>
              <w:rPr>
                <w:sz w:val="14"/>
              </w:rPr>
            </w:pPr>
            <w:r>
              <w:rPr>
                <w:color w:val="231F20"/>
                <w:sz w:val="14"/>
              </w:rPr>
              <w:t>„Ћириковац”</w:t>
            </w:r>
          </w:p>
        </w:tc>
        <w:tc>
          <w:tcPr>
            <w:tcW w:w="910" w:type="dxa"/>
            <w:tcBorders>
              <w:top w:val="nil"/>
            </w:tcBorders>
          </w:tcPr>
          <w:p>
            <w:pPr>
              <w:pStyle w:val="TableParagraph"/>
              <w:spacing w:before="0"/>
              <w:jc w:val="left"/>
              <w:rPr>
                <w:sz w:val="12"/>
              </w:rPr>
            </w:pPr>
          </w:p>
        </w:tc>
        <w:tc>
          <w:tcPr>
            <w:tcW w:w="681" w:type="dxa"/>
            <w:tcBorders>
              <w:top w:val="nil"/>
            </w:tcBorders>
          </w:tcPr>
          <w:p>
            <w:pPr>
              <w:pStyle w:val="TableParagraph"/>
              <w:spacing w:before="0"/>
              <w:jc w:val="left"/>
              <w:rPr>
                <w:sz w:val="12"/>
              </w:rPr>
            </w:pPr>
          </w:p>
        </w:tc>
        <w:tc>
          <w:tcPr>
            <w:tcW w:w="823" w:type="dxa"/>
            <w:tcBorders>
              <w:top w:val="nil"/>
            </w:tcBorders>
          </w:tcPr>
          <w:p>
            <w:pPr>
              <w:pStyle w:val="TableParagraph"/>
              <w:spacing w:before="0"/>
              <w:jc w:val="left"/>
              <w:rPr>
                <w:sz w:val="12"/>
              </w:rPr>
            </w:pPr>
          </w:p>
        </w:tc>
        <w:tc>
          <w:tcPr>
            <w:tcW w:w="823" w:type="dxa"/>
            <w:tcBorders>
              <w:top w:val="nil"/>
            </w:tcBorders>
          </w:tcPr>
          <w:p>
            <w:pPr>
              <w:pStyle w:val="TableParagraph"/>
              <w:spacing w:before="0"/>
              <w:jc w:val="left"/>
              <w:rPr>
                <w:sz w:val="12"/>
              </w:rPr>
            </w:pPr>
          </w:p>
        </w:tc>
        <w:tc>
          <w:tcPr>
            <w:tcW w:w="823" w:type="dxa"/>
            <w:tcBorders>
              <w:top w:val="nil"/>
            </w:tcBorders>
          </w:tcPr>
          <w:p>
            <w:pPr>
              <w:pStyle w:val="TableParagraph"/>
              <w:spacing w:before="0"/>
              <w:jc w:val="left"/>
              <w:rPr>
                <w:sz w:val="12"/>
              </w:rPr>
            </w:pPr>
          </w:p>
        </w:tc>
      </w:tr>
      <w:tr>
        <w:trPr>
          <w:trHeight w:val="200" w:hRule="atLeast"/>
        </w:trPr>
        <w:tc>
          <w:tcPr>
            <w:tcW w:w="1037" w:type="dxa"/>
            <w:vMerge w:val="restart"/>
          </w:tcPr>
          <w:p>
            <w:pPr>
              <w:pStyle w:val="TableParagraph"/>
              <w:ind w:left="57"/>
              <w:jc w:val="left"/>
              <w:rPr>
                <w:sz w:val="14"/>
              </w:rPr>
            </w:pPr>
            <w:r>
              <w:rPr>
                <w:color w:val="231F20"/>
                <w:sz w:val="14"/>
              </w:rPr>
              <w:t>УКУПНО</w:t>
            </w:r>
          </w:p>
        </w:tc>
        <w:tc>
          <w:tcPr>
            <w:tcW w:w="910" w:type="dxa"/>
          </w:tcPr>
          <w:p>
            <w:pPr>
              <w:pStyle w:val="TableParagraph"/>
              <w:ind w:left="57"/>
              <w:jc w:val="left"/>
              <w:rPr>
                <w:sz w:val="14"/>
              </w:rPr>
            </w:pPr>
            <w:r>
              <w:rPr>
                <w:color w:val="231F20"/>
                <w:sz w:val="14"/>
              </w:rPr>
              <w:t>Билансне</w:t>
            </w:r>
          </w:p>
        </w:tc>
        <w:tc>
          <w:tcPr>
            <w:tcW w:w="681" w:type="dxa"/>
          </w:tcPr>
          <w:p>
            <w:pPr>
              <w:pStyle w:val="TableParagraph"/>
              <w:ind w:left="42" w:right="27"/>
              <w:jc w:val="center"/>
              <w:rPr>
                <w:sz w:val="14"/>
              </w:rPr>
            </w:pPr>
            <w:r>
              <w:rPr>
                <w:color w:val="231F20"/>
                <w:sz w:val="14"/>
              </w:rPr>
              <w:t>2.398.067</w:t>
            </w:r>
          </w:p>
        </w:tc>
        <w:tc>
          <w:tcPr>
            <w:tcW w:w="823" w:type="dxa"/>
          </w:tcPr>
          <w:p>
            <w:pPr>
              <w:pStyle w:val="TableParagraph"/>
              <w:ind w:left="42" w:right="27"/>
              <w:jc w:val="center"/>
              <w:rPr>
                <w:sz w:val="14"/>
              </w:rPr>
            </w:pPr>
            <w:r>
              <w:rPr>
                <w:color w:val="231F20"/>
                <w:sz w:val="14"/>
              </w:rPr>
              <w:t>252.095.620</w:t>
            </w:r>
          </w:p>
        </w:tc>
        <w:tc>
          <w:tcPr>
            <w:tcW w:w="823" w:type="dxa"/>
          </w:tcPr>
          <w:p>
            <w:pPr>
              <w:pStyle w:val="TableParagraph"/>
              <w:ind w:left="42" w:right="28"/>
              <w:jc w:val="center"/>
              <w:rPr>
                <w:sz w:val="14"/>
              </w:rPr>
            </w:pPr>
            <w:r>
              <w:rPr>
                <w:color w:val="231F20"/>
                <w:sz w:val="14"/>
              </w:rPr>
              <w:t>249.953.957</w:t>
            </w:r>
          </w:p>
        </w:tc>
        <w:tc>
          <w:tcPr>
            <w:tcW w:w="823" w:type="dxa"/>
          </w:tcPr>
          <w:p>
            <w:pPr>
              <w:pStyle w:val="TableParagraph"/>
              <w:ind w:left="40" w:right="28"/>
              <w:jc w:val="center"/>
              <w:rPr>
                <w:sz w:val="14"/>
              </w:rPr>
            </w:pPr>
            <w:r>
              <w:rPr>
                <w:color w:val="231F20"/>
                <w:sz w:val="14"/>
              </w:rPr>
              <w:t>504.447.644</w:t>
            </w:r>
          </w:p>
        </w:tc>
      </w:tr>
      <w:tr>
        <w:trPr>
          <w:trHeight w:val="200" w:hRule="atLeast"/>
        </w:trPr>
        <w:tc>
          <w:tcPr>
            <w:tcW w:w="1037" w:type="dxa"/>
            <w:vMerge/>
            <w:tcBorders>
              <w:top w:val="nil"/>
            </w:tcBorders>
          </w:tcPr>
          <w:p>
            <w:pPr>
              <w:rPr>
                <w:sz w:val="2"/>
                <w:szCs w:val="2"/>
              </w:rPr>
            </w:pPr>
          </w:p>
        </w:tc>
        <w:tc>
          <w:tcPr>
            <w:tcW w:w="910" w:type="dxa"/>
          </w:tcPr>
          <w:p>
            <w:pPr>
              <w:pStyle w:val="TableParagraph"/>
              <w:ind w:left="57"/>
              <w:jc w:val="left"/>
              <w:rPr>
                <w:sz w:val="14"/>
              </w:rPr>
            </w:pPr>
            <w:r>
              <w:rPr>
                <w:color w:val="231F20"/>
                <w:sz w:val="14"/>
              </w:rPr>
              <w:t>Ванбилансне</w:t>
            </w:r>
          </w:p>
        </w:tc>
        <w:tc>
          <w:tcPr>
            <w:tcW w:w="681" w:type="dxa"/>
          </w:tcPr>
          <w:p>
            <w:pPr>
              <w:pStyle w:val="TableParagraph"/>
              <w:ind w:left="43" w:right="27"/>
              <w:jc w:val="center"/>
              <w:rPr>
                <w:sz w:val="14"/>
              </w:rPr>
            </w:pPr>
            <w:r>
              <w:rPr>
                <w:color w:val="231F20"/>
                <w:sz w:val="14"/>
              </w:rPr>
              <w:t>5.864.902</w:t>
            </w:r>
          </w:p>
        </w:tc>
        <w:tc>
          <w:tcPr>
            <w:tcW w:w="823" w:type="dxa"/>
          </w:tcPr>
          <w:p>
            <w:pPr>
              <w:pStyle w:val="TableParagraph"/>
              <w:ind w:left="42" w:right="26"/>
              <w:jc w:val="center"/>
              <w:rPr>
                <w:sz w:val="14"/>
              </w:rPr>
            </w:pPr>
            <w:r>
              <w:rPr>
                <w:color w:val="231F20"/>
                <w:sz w:val="14"/>
              </w:rPr>
              <w:t>151.958.929</w:t>
            </w:r>
          </w:p>
        </w:tc>
        <w:tc>
          <w:tcPr>
            <w:tcW w:w="823" w:type="dxa"/>
          </w:tcPr>
          <w:p>
            <w:pPr>
              <w:pStyle w:val="TableParagraph"/>
              <w:ind w:left="42" w:right="28"/>
              <w:jc w:val="center"/>
              <w:rPr>
                <w:sz w:val="14"/>
              </w:rPr>
            </w:pPr>
            <w:r>
              <w:rPr>
                <w:color w:val="231F20"/>
                <w:sz w:val="14"/>
              </w:rPr>
              <w:t>150.377.196</w:t>
            </w:r>
          </w:p>
        </w:tc>
        <w:tc>
          <w:tcPr>
            <w:tcW w:w="823" w:type="dxa"/>
          </w:tcPr>
          <w:p>
            <w:pPr>
              <w:pStyle w:val="TableParagraph"/>
              <w:ind w:left="40" w:right="28"/>
              <w:jc w:val="center"/>
              <w:rPr>
                <w:sz w:val="14"/>
              </w:rPr>
            </w:pPr>
            <w:r>
              <w:rPr>
                <w:color w:val="231F20"/>
                <w:sz w:val="14"/>
              </w:rPr>
              <w:t>308.201.127</w:t>
            </w:r>
          </w:p>
        </w:tc>
      </w:tr>
      <w:tr>
        <w:trPr>
          <w:trHeight w:val="200" w:hRule="atLeast"/>
        </w:trPr>
        <w:tc>
          <w:tcPr>
            <w:tcW w:w="1037" w:type="dxa"/>
            <w:vMerge/>
            <w:tcBorders>
              <w:top w:val="nil"/>
            </w:tcBorders>
          </w:tcPr>
          <w:p>
            <w:pPr>
              <w:rPr>
                <w:sz w:val="2"/>
                <w:szCs w:val="2"/>
              </w:rPr>
            </w:pPr>
          </w:p>
        </w:tc>
        <w:tc>
          <w:tcPr>
            <w:tcW w:w="910" w:type="dxa"/>
          </w:tcPr>
          <w:p>
            <w:pPr>
              <w:pStyle w:val="TableParagraph"/>
              <w:ind w:left="57"/>
              <w:jc w:val="left"/>
              <w:rPr>
                <w:sz w:val="14"/>
              </w:rPr>
            </w:pPr>
            <w:r>
              <w:rPr>
                <w:color w:val="231F20"/>
                <w:sz w:val="14"/>
              </w:rPr>
              <w:t>Укупно</w:t>
            </w:r>
          </w:p>
        </w:tc>
        <w:tc>
          <w:tcPr>
            <w:tcW w:w="681" w:type="dxa"/>
          </w:tcPr>
          <w:p>
            <w:pPr>
              <w:pStyle w:val="TableParagraph"/>
              <w:ind w:left="43" w:right="27"/>
              <w:jc w:val="center"/>
              <w:rPr>
                <w:sz w:val="14"/>
              </w:rPr>
            </w:pPr>
            <w:r>
              <w:rPr>
                <w:color w:val="231F20"/>
                <w:sz w:val="14"/>
              </w:rPr>
              <w:t>8.262.969</w:t>
            </w:r>
          </w:p>
        </w:tc>
        <w:tc>
          <w:tcPr>
            <w:tcW w:w="823" w:type="dxa"/>
          </w:tcPr>
          <w:p>
            <w:pPr>
              <w:pStyle w:val="TableParagraph"/>
              <w:ind w:left="42" w:right="26"/>
              <w:jc w:val="center"/>
              <w:rPr>
                <w:sz w:val="14"/>
              </w:rPr>
            </w:pPr>
            <w:r>
              <w:rPr>
                <w:color w:val="231F20"/>
                <w:sz w:val="14"/>
              </w:rPr>
              <w:t>404.054.549</w:t>
            </w:r>
          </w:p>
        </w:tc>
        <w:tc>
          <w:tcPr>
            <w:tcW w:w="823" w:type="dxa"/>
          </w:tcPr>
          <w:p>
            <w:pPr>
              <w:pStyle w:val="TableParagraph"/>
              <w:ind w:left="42" w:right="28"/>
              <w:jc w:val="center"/>
              <w:rPr>
                <w:sz w:val="14"/>
              </w:rPr>
            </w:pPr>
            <w:r>
              <w:rPr>
                <w:color w:val="231F20"/>
                <w:sz w:val="14"/>
              </w:rPr>
              <w:t>400.331.153</w:t>
            </w:r>
          </w:p>
        </w:tc>
        <w:tc>
          <w:tcPr>
            <w:tcW w:w="823" w:type="dxa"/>
          </w:tcPr>
          <w:p>
            <w:pPr>
              <w:pStyle w:val="TableParagraph"/>
              <w:ind w:left="40" w:right="28"/>
              <w:jc w:val="center"/>
              <w:rPr>
                <w:sz w:val="14"/>
              </w:rPr>
            </w:pPr>
            <w:r>
              <w:rPr>
                <w:color w:val="231F20"/>
                <w:sz w:val="14"/>
              </w:rPr>
              <w:t>812.648.671</w:t>
            </w:r>
          </w:p>
        </w:tc>
      </w:tr>
    </w:tbl>
    <w:p>
      <w:pPr>
        <w:pStyle w:val="BodyText"/>
        <w:spacing w:before="2"/>
        <w:ind w:left="0"/>
        <w:jc w:val="left"/>
        <w:rPr>
          <w:sz w:val="20"/>
        </w:rPr>
      </w:pPr>
    </w:p>
    <w:p>
      <w:pPr>
        <w:pStyle w:val="BodyText"/>
        <w:ind w:left="453"/>
        <w:jc w:val="left"/>
      </w:pPr>
      <w:r>
        <w:rPr>
          <w:color w:val="231F20"/>
        </w:rPr>
        <w:t>Табела 2. Параметри квалитета угља Костолачког басена</w:t>
      </w:r>
    </w:p>
    <w:p>
      <w:pPr>
        <w:pStyle w:val="BodyText"/>
        <w:spacing w:before="7"/>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Параметар</w:t>
            </w:r>
          </w:p>
        </w:tc>
        <w:tc>
          <w:tcPr>
            <w:tcW w:w="2551" w:type="dxa"/>
          </w:tcPr>
          <w:p>
            <w:pPr>
              <w:pStyle w:val="TableParagraph"/>
              <w:ind w:left="722" w:right="712"/>
              <w:jc w:val="center"/>
              <w:rPr>
                <w:sz w:val="14"/>
              </w:rPr>
            </w:pPr>
            <w:r>
              <w:rPr>
                <w:color w:val="231F20"/>
                <w:sz w:val="14"/>
              </w:rPr>
              <w:t>Вредност</w:t>
            </w:r>
          </w:p>
        </w:tc>
      </w:tr>
      <w:tr>
        <w:trPr>
          <w:trHeight w:val="200" w:hRule="atLeast"/>
        </w:trPr>
        <w:tc>
          <w:tcPr>
            <w:tcW w:w="2551" w:type="dxa"/>
          </w:tcPr>
          <w:p>
            <w:pPr>
              <w:pStyle w:val="TableParagraph"/>
              <w:ind w:left="722" w:right="712"/>
              <w:jc w:val="center"/>
              <w:rPr>
                <w:sz w:val="14"/>
              </w:rPr>
            </w:pPr>
            <w:r>
              <w:rPr>
                <w:color w:val="231F20"/>
                <w:sz w:val="14"/>
              </w:rPr>
              <w:t>Влага</w:t>
            </w:r>
          </w:p>
        </w:tc>
        <w:tc>
          <w:tcPr>
            <w:tcW w:w="2551" w:type="dxa"/>
          </w:tcPr>
          <w:p>
            <w:pPr>
              <w:pStyle w:val="TableParagraph"/>
              <w:ind w:right="44"/>
              <w:rPr>
                <w:sz w:val="14"/>
              </w:rPr>
            </w:pPr>
            <w:r>
              <w:rPr>
                <w:color w:val="231F20"/>
                <w:sz w:val="14"/>
              </w:rPr>
              <w:t>38,35-39,6%</w:t>
            </w:r>
          </w:p>
        </w:tc>
      </w:tr>
      <w:tr>
        <w:trPr>
          <w:trHeight w:val="200" w:hRule="atLeast"/>
        </w:trPr>
        <w:tc>
          <w:tcPr>
            <w:tcW w:w="2551" w:type="dxa"/>
          </w:tcPr>
          <w:p>
            <w:pPr>
              <w:pStyle w:val="TableParagraph"/>
              <w:ind w:left="721" w:right="712"/>
              <w:jc w:val="center"/>
              <w:rPr>
                <w:sz w:val="14"/>
              </w:rPr>
            </w:pPr>
            <w:r>
              <w:rPr>
                <w:color w:val="231F20"/>
                <w:sz w:val="14"/>
              </w:rPr>
              <w:t>Пепео</w:t>
            </w:r>
          </w:p>
        </w:tc>
        <w:tc>
          <w:tcPr>
            <w:tcW w:w="2551" w:type="dxa"/>
          </w:tcPr>
          <w:p>
            <w:pPr>
              <w:pStyle w:val="TableParagraph"/>
              <w:ind w:right="44"/>
              <w:rPr>
                <w:sz w:val="14"/>
              </w:rPr>
            </w:pPr>
            <w:r>
              <w:rPr>
                <w:color w:val="231F20"/>
                <w:sz w:val="14"/>
              </w:rPr>
              <w:t>17,6-21,51%</w:t>
            </w:r>
          </w:p>
        </w:tc>
      </w:tr>
      <w:tr>
        <w:trPr>
          <w:trHeight w:val="200" w:hRule="atLeast"/>
        </w:trPr>
        <w:tc>
          <w:tcPr>
            <w:tcW w:w="2551" w:type="dxa"/>
          </w:tcPr>
          <w:p>
            <w:pPr>
              <w:pStyle w:val="TableParagraph"/>
              <w:ind w:left="722" w:right="712"/>
              <w:jc w:val="center"/>
              <w:rPr>
                <w:sz w:val="14"/>
              </w:rPr>
            </w:pPr>
            <w:r>
              <w:rPr>
                <w:color w:val="231F20"/>
                <w:sz w:val="14"/>
              </w:rPr>
              <w:t>Сумпор-укупни</w:t>
            </w:r>
          </w:p>
        </w:tc>
        <w:tc>
          <w:tcPr>
            <w:tcW w:w="2551" w:type="dxa"/>
          </w:tcPr>
          <w:p>
            <w:pPr>
              <w:pStyle w:val="TableParagraph"/>
              <w:ind w:right="44"/>
              <w:rPr>
                <w:sz w:val="14"/>
              </w:rPr>
            </w:pPr>
            <w:r>
              <w:rPr>
                <w:color w:val="231F20"/>
                <w:sz w:val="14"/>
              </w:rPr>
              <w:t>1,18-1,26%</w:t>
            </w:r>
          </w:p>
        </w:tc>
      </w:tr>
      <w:tr>
        <w:trPr>
          <w:trHeight w:val="200" w:hRule="atLeast"/>
        </w:trPr>
        <w:tc>
          <w:tcPr>
            <w:tcW w:w="2551" w:type="dxa"/>
          </w:tcPr>
          <w:p>
            <w:pPr>
              <w:pStyle w:val="TableParagraph"/>
              <w:ind w:left="722" w:right="712"/>
              <w:jc w:val="center"/>
              <w:rPr>
                <w:sz w:val="14"/>
              </w:rPr>
            </w:pPr>
            <w:r>
              <w:rPr>
                <w:color w:val="231F20"/>
                <w:sz w:val="14"/>
              </w:rPr>
              <w:t>Сумпор у пепелу</w:t>
            </w:r>
          </w:p>
        </w:tc>
        <w:tc>
          <w:tcPr>
            <w:tcW w:w="2551" w:type="dxa"/>
          </w:tcPr>
          <w:p>
            <w:pPr>
              <w:pStyle w:val="TableParagraph"/>
              <w:ind w:right="44"/>
              <w:rPr>
                <w:sz w:val="14"/>
              </w:rPr>
            </w:pPr>
            <w:r>
              <w:rPr>
                <w:color w:val="231F20"/>
                <w:sz w:val="14"/>
              </w:rPr>
              <w:t>0,60-0,61%</w:t>
            </w:r>
          </w:p>
        </w:tc>
      </w:tr>
      <w:tr>
        <w:trPr>
          <w:trHeight w:val="200" w:hRule="atLeast"/>
        </w:trPr>
        <w:tc>
          <w:tcPr>
            <w:tcW w:w="2551" w:type="dxa"/>
          </w:tcPr>
          <w:p>
            <w:pPr>
              <w:pStyle w:val="TableParagraph"/>
              <w:ind w:left="722" w:right="712"/>
              <w:jc w:val="center"/>
              <w:rPr>
                <w:sz w:val="14"/>
              </w:rPr>
            </w:pPr>
            <w:r>
              <w:rPr>
                <w:color w:val="231F20"/>
                <w:sz w:val="14"/>
              </w:rPr>
              <w:t>Сумпор сагорљив</w:t>
            </w:r>
          </w:p>
        </w:tc>
        <w:tc>
          <w:tcPr>
            <w:tcW w:w="2551" w:type="dxa"/>
          </w:tcPr>
          <w:p>
            <w:pPr>
              <w:pStyle w:val="TableParagraph"/>
              <w:ind w:right="44"/>
              <w:rPr>
                <w:sz w:val="14"/>
              </w:rPr>
            </w:pPr>
            <w:r>
              <w:rPr>
                <w:color w:val="231F20"/>
                <w:sz w:val="14"/>
              </w:rPr>
              <w:t>0,56-0,65%</w:t>
            </w:r>
          </w:p>
        </w:tc>
      </w:tr>
      <w:tr>
        <w:trPr>
          <w:trHeight w:val="200" w:hRule="atLeast"/>
        </w:trPr>
        <w:tc>
          <w:tcPr>
            <w:tcW w:w="2551" w:type="dxa"/>
          </w:tcPr>
          <w:p>
            <w:pPr>
              <w:pStyle w:val="TableParagraph"/>
              <w:ind w:left="722" w:right="712"/>
              <w:jc w:val="center"/>
              <w:rPr>
                <w:sz w:val="14"/>
              </w:rPr>
            </w:pPr>
            <w:r>
              <w:rPr>
                <w:color w:val="231F20"/>
                <w:sz w:val="14"/>
              </w:rPr>
              <w:t>Кокс</w:t>
            </w:r>
          </w:p>
        </w:tc>
        <w:tc>
          <w:tcPr>
            <w:tcW w:w="2551" w:type="dxa"/>
          </w:tcPr>
          <w:p>
            <w:pPr>
              <w:pStyle w:val="TableParagraph"/>
              <w:ind w:right="44"/>
              <w:rPr>
                <w:sz w:val="14"/>
              </w:rPr>
            </w:pPr>
            <w:r>
              <w:rPr>
                <w:color w:val="231F20"/>
                <w:sz w:val="14"/>
              </w:rPr>
              <w:t>34,98-36,70%</w:t>
            </w:r>
          </w:p>
        </w:tc>
      </w:tr>
      <w:tr>
        <w:trPr>
          <w:trHeight w:val="200" w:hRule="atLeast"/>
        </w:trPr>
        <w:tc>
          <w:tcPr>
            <w:tcW w:w="2551" w:type="dxa"/>
          </w:tcPr>
          <w:p>
            <w:pPr>
              <w:pStyle w:val="TableParagraph"/>
              <w:ind w:left="722" w:right="712"/>
              <w:jc w:val="center"/>
              <w:rPr>
                <w:sz w:val="14"/>
              </w:rPr>
            </w:pPr>
            <w:r>
              <w:rPr>
                <w:color w:val="231F20"/>
                <w:sz w:val="14"/>
              </w:rPr>
              <w:t>Ц-фиx</w:t>
            </w:r>
          </w:p>
        </w:tc>
        <w:tc>
          <w:tcPr>
            <w:tcW w:w="2551" w:type="dxa"/>
          </w:tcPr>
          <w:p>
            <w:pPr>
              <w:pStyle w:val="TableParagraph"/>
              <w:ind w:right="44"/>
              <w:rPr>
                <w:sz w:val="14"/>
              </w:rPr>
            </w:pPr>
            <w:r>
              <w:rPr>
                <w:color w:val="231F20"/>
                <w:sz w:val="14"/>
              </w:rPr>
              <w:t>15,11-18,26%</w:t>
            </w:r>
          </w:p>
        </w:tc>
      </w:tr>
      <w:tr>
        <w:trPr>
          <w:trHeight w:val="200" w:hRule="atLeast"/>
        </w:trPr>
        <w:tc>
          <w:tcPr>
            <w:tcW w:w="2551" w:type="dxa"/>
          </w:tcPr>
          <w:p>
            <w:pPr>
              <w:pStyle w:val="TableParagraph"/>
              <w:spacing w:before="17"/>
              <w:ind w:left="722" w:right="712"/>
              <w:jc w:val="center"/>
              <w:rPr>
                <w:sz w:val="14"/>
              </w:rPr>
            </w:pPr>
            <w:r>
              <w:rPr>
                <w:color w:val="231F20"/>
                <w:sz w:val="14"/>
              </w:rPr>
              <w:t>Испарљиво</w:t>
            </w:r>
          </w:p>
        </w:tc>
        <w:tc>
          <w:tcPr>
            <w:tcW w:w="2551" w:type="dxa"/>
          </w:tcPr>
          <w:p>
            <w:pPr>
              <w:pStyle w:val="TableParagraph"/>
              <w:spacing w:before="17"/>
              <w:ind w:right="44"/>
              <w:rPr>
                <w:sz w:val="14"/>
              </w:rPr>
            </w:pPr>
            <w:r>
              <w:rPr>
                <w:color w:val="231F20"/>
                <w:sz w:val="14"/>
              </w:rPr>
              <w:t>24,96-26,30%</w:t>
            </w:r>
          </w:p>
        </w:tc>
      </w:tr>
      <w:tr>
        <w:trPr>
          <w:trHeight w:val="200" w:hRule="atLeast"/>
        </w:trPr>
        <w:tc>
          <w:tcPr>
            <w:tcW w:w="2551" w:type="dxa"/>
          </w:tcPr>
          <w:p>
            <w:pPr>
              <w:pStyle w:val="TableParagraph"/>
              <w:spacing w:before="17"/>
              <w:ind w:left="722" w:right="712"/>
              <w:jc w:val="center"/>
              <w:rPr>
                <w:sz w:val="14"/>
              </w:rPr>
            </w:pPr>
            <w:r>
              <w:rPr>
                <w:color w:val="231F20"/>
                <w:sz w:val="14"/>
              </w:rPr>
              <w:t>Сагорљиво</w:t>
            </w:r>
          </w:p>
        </w:tc>
        <w:tc>
          <w:tcPr>
            <w:tcW w:w="2551" w:type="dxa"/>
          </w:tcPr>
          <w:p>
            <w:pPr>
              <w:pStyle w:val="TableParagraph"/>
              <w:spacing w:before="17"/>
              <w:ind w:right="44"/>
              <w:rPr>
                <w:sz w:val="14"/>
              </w:rPr>
            </w:pPr>
            <w:r>
              <w:rPr>
                <w:color w:val="231F20"/>
                <w:sz w:val="14"/>
              </w:rPr>
              <w:t>40,15-43,14%</w:t>
            </w:r>
          </w:p>
        </w:tc>
      </w:tr>
      <w:tr>
        <w:trPr>
          <w:trHeight w:val="200" w:hRule="atLeast"/>
        </w:trPr>
        <w:tc>
          <w:tcPr>
            <w:tcW w:w="2551" w:type="dxa"/>
          </w:tcPr>
          <w:p>
            <w:pPr>
              <w:pStyle w:val="TableParagraph"/>
              <w:spacing w:before="17"/>
              <w:ind w:left="722" w:right="712"/>
              <w:jc w:val="center"/>
              <w:rPr>
                <w:sz w:val="14"/>
              </w:rPr>
            </w:pPr>
            <w:r>
              <w:rPr>
                <w:color w:val="231F20"/>
                <w:sz w:val="14"/>
              </w:rPr>
              <w:t>ДТЕ</w:t>
            </w:r>
          </w:p>
        </w:tc>
        <w:tc>
          <w:tcPr>
            <w:tcW w:w="2551" w:type="dxa"/>
          </w:tcPr>
          <w:p>
            <w:pPr>
              <w:pStyle w:val="TableParagraph"/>
              <w:spacing w:before="17"/>
              <w:ind w:right="44"/>
              <w:rPr>
                <w:sz w:val="14"/>
              </w:rPr>
            </w:pPr>
            <w:r>
              <w:rPr>
                <w:color w:val="231F20"/>
                <w:sz w:val="14"/>
              </w:rPr>
              <w:t>8.760-10.020 kЈ/kg</w:t>
            </w:r>
          </w:p>
        </w:tc>
      </w:tr>
      <w:tr>
        <w:trPr>
          <w:trHeight w:val="200" w:hRule="atLeast"/>
        </w:trPr>
        <w:tc>
          <w:tcPr>
            <w:tcW w:w="2551" w:type="dxa"/>
          </w:tcPr>
          <w:p>
            <w:pPr>
              <w:pStyle w:val="TableParagraph"/>
              <w:spacing w:before="17"/>
              <w:ind w:left="722" w:right="712"/>
              <w:jc w:val="center"/>
              <w:rPr>
                <w:sz w:val="14"/>
              </w:rPr>
            </w:pPr>
            <w:r>
              <w:rPr>
                <w:color w:val="231F20"/>
                <w:sz w:val="14"/>
              </w:rPr>
              <w:t>ГТЕ</w:t>
            </w:r>
          </w:p>
        </w:tc>
        <w:tc>
          <w:tcPr>
            <w:tcW w:w="2551" w:type="dxa"/>
          </w:tcPr>
          <w:p>
            <w:pPr>
              <w:pStyle w:val="TableParagraph"/>
              <w:spacing w:before="17"/>
              <w:ind w:right="44"/>
              <w:rPr>
                <w:sz w:val="14"/>
              </w:rPr>
            </w:pPr>
            <w:r>
              <w:rPr>
                <w:color w:val="231F20"/>
                <w:sz w:val="14"/>
              </w:rPr>
              <w:t>10.270-11.490 kJ/kg</w:t>
            </w:r>
          </w:p>
        </w:tc>
      </w:tr>
    </w:tbl>
    <w:p>
      <w:pPr>
        <w:pStyle w:val="BodyText"/>
        <w:spacing w:line="232" w:lineRule="auto" w:before="37"/>
        <w:ind w:left="387" w:right="2" w:firstLine="397"/>
        <w:jc w:val="right"/>
      </w:pPr>
      <w:r>
        <w:rPr>
          <w:color w:val="231F20"/>
        </w:rPr>
        <w:t>Производња лигнита се од 2009. године остварује само на по- вршинском копу „Дрмно”, пошто су површински копови „Кленов- ник” и „Ћириковац” престали са радом. У току је процес подизања годишњег капацитета површинског копа „Дрмно” на 9 милиона t угља, тако да је 2009. године производња повећана са 6,5 х 10</w:t>
      </w:r>
      <w:r>
        <w:rPr>
          <w:color w:val="231F20"/>
          <w:position w:val="6"/>
          <w:sz w:val="10"/>
        </w:rPr>
        <w:t>6 </w:t>
      </w:r>
      <w:r>
        <w:rPr>
          <w:color w:val="231F20"/>
        </w:rPr>
        <w:t>t на око 8,4 х 10</w:t>
      </w:r>
      <w:r>
        <w:rPr>
          <w:color w:val="231F20"/>
          <w:position w:val="6"/>
          <w:sz w:val="10"/>
        </w:rPr>
        <w:t>6 </w:t>
      </w:r>
      <w:r>
        <w:rPr>
          <w:color w:val="231F20"/>
        </w:rPr>
        <w:t>t угља годишње. Повећање производње на површин- ском копу „Дрмно” неодвојиво је од интензивирања производње откривке, која је у заостатку. Превазилажење ове неусклађености решено је укључењем новог БТО система на откривци. Угаљ се са више од 95% пласира у термоенергетске објекте Костолца, а за остатак од 5% постоји тржиште индустријске и широке потрошње. Термоелектране „Костолац А и Б” снабдевају се потребним количинама угља са површинског копа „Дрмно”. Угаљ са повр- шинског копа „Дрмно” се транспортује, као ровни угаљ, системом транспортера са траком до дробиличног пострoјења „Дрмно” на</w:t>
      </w:r>
    </w:p>
    <w:p>
      <w:pPr>
        <w:pStyle w:val="BodyText"/>
        <w:spacing w:line="187" w:lineRule="exact"/>
        <w:ind w:left="454"/>
        <w:jc w:val="left"/>
      </w:pPr>
      <w:r>
        <w:rPr>
          <w:color w:val="231F20"/>
        </w:rPr>
        <w:t>даљу припрему.</w:t>
      </w:r>
    </w:p>
    <w:p>
      <w:pPr>
        <w:pStyle w:val="BodyText"/>
        <w:spacing w:line="232" w:lineRule="auto" w:before="1"/>
        <w:ind w:left="453" w:right="2" w:firstLine="397"/>
      </w:pPr>
      <w:r>
        <w:rPr>
          <w:color w:val="231F20"/>
        </w:rPr>
        <w:t>Приоритет на површинском </w:t>
      </w:r>
      <w:r>
        <w:rPr>
          <w:color w:val="231F20"/>
          <w:spacing w:val="-3"/>
        </w:rPr>
        <w:t>копу </w:t>
      </w:r>
      <w:r>
        <w:rPr>
          <w:color w:val="231F20"/>
        </w:rPr>
        <w:t>„Дрмно” је одржавање услова</w:t>
      </w:r>
      <w:r>
        <w:rPr>
          <w:color w:val="231F20"/>
          <w:spacing w:val="-8"/>
        </w:rPr>
        <w:t> </w:t>
      </w:r>
      <w:r>
        <w:rPr>
          <w:color w:val="231F20"/>
        </w:rPr>
        <w:t>за</w:t>
      </w:r>
      <w:r>
        <w:rPr>
          <w:color w:val="231F20"/>
          <w:spacing w:val="-8"/>
        </w:rPr>
        <w:t> </w:t>
      </w:r>
      <w:r>
        <w:rPr>
          <w:color w:val="231F20"/>
        </w:rPr>
        <w:t>производњу</w:t>
      </w:r>
      <w:r>
        <w:rPr>
          <w:color w:val="231F20"/>
          <w:spacing w:val="-8"/>
        </w:rPr>
        <w:t> </w:t>
      </w:r>
      <w:r>
        <w:rPr>
          <w:color w:val="231F20"/>
        </w:rPr>
        <w:t>9</w:t>
      </w:r>
      <w:r>
        <w:rPr>
          <w:color w:val="231F20"/>
          <w:spacing w:val="-8"/>
        </w:rPr>
        <w:t> </w:t>
      </w:r>
      <w:r>
        <w:rPr>
          <w:color w:val="231F20"/>
        </w:rPr>
        <w:t>x</w:t>
      </w:r>
      <w:r>
        <w:rPr>
          <w:color w:val="231F20"/>
          <w:spacing w:val="-8"/>
        </w:rPr>
        <w:t> </w:t>
      </w:r>
      <w:r>
        <w:rPr>
          <w:color w:val="231F20"/>
        </w:rPr>
        <w:t>10</w:t>
      </w:r>
      <w:r>
        <w:rPr>
          <w:color w:val="231F20"/>
          <w:position w:val="6"/>
          <w:sz w:val="10"/>
        </w:rPr>
        <w:t>6</w:t>
      </w:r>
      <w:r>
        <w:rPr>
          <w:color w:val="231F20"/>
          <w:spacing w:val="-4"/>
          <w:position w:val="6"/>
          <w:sz w:val="10"/>
        </w:rPr>
        <w:t> </w:t>
      </w:r>
      <w:r>
        <w:rPr>
          <w:color w:val="231F20"/>
        </w:rPr>
        <w:t>t</w:t>
      </w:r>
      <w:r>
        <w:rPr>
          <w:color w:val="231F20"/>
          <w:spacing w:val="-8"/>
        </w:rPr>
        <w:t> </w:t>
      </w:r>
      <w:r>
        <w:rPr>
          <w:color w:val="231F20"/>
        </w:rPr>
        <w:t>угља</w:t>
      </w:r>
      <w:r>
        <w:rPr>
          <w:color w:val="231F20"/>
          <w:spacing w:val="-8"/>
        </w:rPr>
        <w:t> </w:t>
      </w:r>
      <w:r>
        <w:rPr>
          <w:color w:val="231F20"/>
        </w:rPr>
        <w:t>годишње</w:t>
      </w:r>
      <w:r>
        <w:rPr>
          <w:color w:val="231F20"/>
          <w:spacing w:val="-8"/>
        </w:rPr>
        <w:t> </w:t>
      </w:r>
      <w:r>
        <w:rPr>
          <w:color w:val="231F20"/>
        </w:rPr>
        <w:t>за</w:t>
      </w:r>
      <w:r>
        <w:rPr>
          <w:color w:val="231F20"/>
          <w:spacing w:val="-8"/>
        </w:rPr>
        <w:t> </w:t>
      </w:r>
      <w:r>
        <w:rPr>
          <w:color w:val="231F20"/>
        </w:rPr>
        <w:t>снабдевање</w:t>
      </w:r>
      <w:r>
        <w:rPr>
          <w:color w:val="231F20"/>
          <w:spacing w:val="-8"/>
        </w:rPr>
        <w:t> </w:t>
      </w:r>
      <w:r>
        <w:rPr>
          <w:color w:val="231F20"/>
        </w:rPr>
        <w:t>косто- лачких</w:t>
      </w:r>
      <w:r>
        <w:rPr>
          <w:color w:val="231F20"/>
          <w:spacing w:val="-1"/>
        </w:rPr>
        <w:t> </w:t>
      </w:r>
      <w:r>
        <w:rPr>
          <w:color w:val="231F20"/>
        </w:rPr>
        <w:t>термоелектрана.</w:t>
      </w:r>
    </w:p>
    <w:p>
      <w:pPr>
        <w:pStyle w:val="BodyText"/>
        <w:spacing w:line="232" w:lineRule="auto"/>
        <w:ind w:left="453" w:right="2" w:firstLine="397"/>
      </w:pPr>
      <w:r>
        <w:rPr>
          <w:color w:val="231F20"/>
        </w:rPr>
        <w:t>Производња угља у 2009. </w:t>
      </w:r>
      <w:r>
        <w:rPr>
          <w:color w:val="231F20"/>
          <w:spacing w:val="-3"/>
        </w:rPr>
        <w:t>години </w:t>
      </w:r>
      <w:r>
        <w:rPr>
          <w:color w:val="231F20"/>
        </w:rPr>
        <w:t>је износила 8,5 x 10</w:t>
      </w:r>
      <w:r>
        <w:rPr>
          <w:color w:val="231F20"/>
          <w:position w:val="6"/>
          <w:sz w:val="10"/>
        </w:rPr>
        <w:t>6 </w:t>
      </w:r>
      <w:r>
        <w:rPr>
          <w:color w:val="231F20"/>
        </w:rPr>
        <w:t>t угља, док је у 2010. </w:t>
      </w:r>
      <w:r>
        <w:rPr>
          <w:color w:val="231F20"/>
          <w:spacing w:val="-3"/>
        </w:rPr>
        <w:t>години </w:t>
      </w:r>
      <w:r>
        <w:rPr>
          <w:color w:val="231F20"/>
        </w:rPr>
        <w:t>остварена производња </w:t>
      </w:r>
      <w:r>
        <w:rPr>
          <w:color w:val="231F20"/>
          <w:spacing w:val="-3"/>
        </w:rPr>
        <w:t>од </w:t>
      </w:r>
      <w:r>
        <w:rPr>
          <w:color w:val="231F20"/>
          <w:spacing w:val="-4"/>
        </w:rPr>
        <w:t>око </w:t>
      </w:r>
      <w:r>
        <w:rPr>
          <w:color w:val="231F20"/>
        </w:rPr>
        <w:t>7,5 x 10</w:t>
      </w:r>
      <w:r>
        <w:rPr>
          <w:color w:val="231F20"/>
          <w:position w:val="6"/>
          <w:sz w:val="10"/>
        </w:rPr>
        <w:t>6 </w:t>
      </w:r>
      <w:r>
        <w:rPr>
          <w:color w:val="231F20"/>
        </w:rPr>
        <w:t>t (због ремонта термоблокова). Пројектована производња </w:t>
      </w:r>
      <w:r>
        <w:rPr>
          <w:color w:val="231F20"/>
          <w:spacing w:val="-3"/>
        </w:rPr>
        <w:t>од </w:t>
      </w:r>
      <w:r>
        <w:rPr>
          <w:color w:val="231F20"/>
        </w:rPr>
        <w:t>9 милиона t реализоваће се </w:t>
      </w:r>
      <w:r>
        <w:rPr>
          <w:color w:val="231F20"/>
          <w:spacing w:val="-3"/>
        </w:rPr>
        <w:t>од </w:t>
      </w:r>
      <w:r>
        <w:rPr>
          <w:color w:val="231F20"/>
        </w:rPr>
        <w:t>2011. </w:t>
      </w:r>
      <w:r>
        <w:rPr>
          <w:color w:val="231F20"/>
          <w:spacing w:val="-3"/>
        </w:rPr>
        <w:t>године.</w:t>
      </w:r>
    </w:p>
    <w:p>
      <w:pPr>
        <w:pStyle w:val="BodyText"/>
        <w:spacing w:line="232" w:lineRule="auto"/>
        <w:ind w:left="453" w:right="2" w:firstLine="397"/>
      </w:pPr>
      <w:r>
        <w:rPr/>
        <w:drawing>
          <wp:anchor distT="0" distB="0" distL="0" distR="0" allowOverlap="1" layoutInCell="1" locked="0" behindDoc="0" simplePos="0" relativeHeight="1192">
            <wp:simplePos x="0" y="0"/>
            <wp:positionH relativeFrom="page">
              <wp:posOffset>720000</wp:posOffset>
            </wp:positionH>
            <wp:positionV relativeFrom="paragraph">
              <wp:posOffset>796648</wp:posOffset>
            </wp:positionV>
            <wp:extent cx="3223880" cy="184282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223880" cy="1842828"/>
                    </a:xfrm>
                    <a:prstGeom prst="rect">
                      <a:avLst/>
                    </a:prstGeom>
                  </pic:spPr>
                </pic:pic>
              </a:graphicData>
            </a:graphic>
          </wp:anchor>
        </w:drawing>
      </w:r>
      <w:r>
        <w:rPr>
          <w:color w:val="231F20"/>
          <w:spacing w:val="-4"/>
        </w:rPr>
        <w:t>Годишњи</w:t>
      </w:r>
      <w:r>
        <w:rPr>
          <w:color w:val="231F20"/>
          <w:spacing w:val="-12"/>
        </w:rPr>
        <w:t> </w:t>
      </w:r>
      <w:r>
        <w:rPr>
          <w:color w:val="231F20"/>
        </w:rPr>
        <w:t>капацитет</w:t>
      </w:r>
      <w:r>
        <w:rPr>
          <w:color w:val="231F20"/>
          <w:spacing w:val="-12"/>
        </w:rPr>
        <w:t> </w:t>
      </w:r>
      <w:r>
        <w:rPr>
          <w:color w:val="231F20"/>
        </w:rPr>
        <w:t>на</w:t>
      </w:r>
      <w:r>
        <w:rPr>
          <w:color w:val="231F20"/>
          <w:spacing w:val="-12"/>
        </w:rPr>
        <w:t> </w:t>
      </w:r>
      <w:r>
        <w:rPr>
          <w:color w:val="231F20"/>
        </w:rPr>
        <w:t>откривци</w:t>
      </w:r>
      <w:r>
        <w:rPr>
          <w:color w:val="231F20"/>
          <w:spacing w:val="-12"/>
        </w:rPr>
        <w:t> </w:t>
      </w:r>
      <w:r>
        <w:rPr>
          <w:color w:val="231F20"/>
        </w:rPr>
        <w:t>и</w:t>
      </w:r>
      <w:r>
        <w:rPr>
          <w:color w:val="231F20"/>
          <w:spacing w:val="-12"/>
        </w:rPr>
        <w:t> </w:t>
      </w:r>
      <w:r>
        <w:rPr>
          <w:color w:val="231F20"/>
        </w:rPr>
        <w:t>брзина</w:t>
      </w:r>
      <w:r>
        <w:rPr>
          <w:color w:val="231F20"/>
          <w:spacing w:val="-12"/>
        </w:rPr>
        <w:t> </w:t>
      </w:r>
      <w:r>
        <w:rPr>
          <w:color w:val="231F20"/>
        </w:rPr>
        <w:t>напредовања</w:t>
      </w:r>
      <w:r>
        <w:rPr>
          <w:color w:val="231F20"/>
          <w:spacing w:val="-12"/>
        </w:rPr>
        <w:t> </w:t>
      </w:r>
      <w:r>
        <w:rPr>
          <w:color w:val="231F20"/>
        </w:rPr>
        <w:t>фрон- та</w:t>
      </w:r>
      <w:r>
        <w:rPr>
          <w:color w:val="231F20"/>
          <w:spacing w:val="-13"/>
        </w:rPr>
        <w:t> </w:t>
      </w:r>
      <w:r>
        <w:rPr>
          <w:color w:val="231F20"/>
          <w:spacing w:val="-3"/>
        </w:rPr>
        <w:t>рударских</w:t>
      </w:r>
      <w:r>
        <w:rPr>
          <w:color w:val="231F20"/>
          <w:spacing w:val="-13"/>
        </w:rPr>
        <w:t> </w:t>
      </w:r>
      <w:r>
        <w:rPr>
          <w:color w:val="231F20"/>
        </w:rPr>
        <w:t>радова</w:t>
      </w:r>
      <w:r>
        <w:rPr>
          <w:color w:val="231F20"/>
          <w:spacing w:val="-13"/>
        </w:rPr>
        <w:t> </w:t>
      </w:r>
      <w:r>
        <w:rPr>
          <w:color w:val="231F20"/>
        </w:rPr>
        <w:t>условили</w:t>
      </w:r>
      <w:r>
        <w:rPr>
          <w:color w:val="231F20"/>
          <w:spacing w:val="-13"/>
        </w:rPr>
        <w:t> </w:t>
      </w:r>
      <w:r>
        <w:rPr>
          <w:color w:val="231F20"/>
        </w:rPr>
        <w:t>су</w:t>
      </w:r>
      <w:r>
        <w:rPr>
          <w:color w:val="231F20"/>
          <w:spacing w:val="-13"/>
        </w:rPr>
        <w:t> </w:t>
      </w:r>
      <w:r>
        <w:rPr>
          <w:color w:val="231F20"/>
        </w:rPr>
        <w:t>пројектовање</w:t>
      </w:r>
      <w:r>
        <w:rPr>
          <w:color w:val="231F20"/>
          <w:spacing w:val="-13"/>
        </w:rPr>
        <w:t> </w:t>
      </w:r>
      <w:r>
        <w:rPr>
          <w:color w:val="231F20"/>
        </w:rPr>
        <w:t>запремине</w:t>
      </w:r>
      <w:r>
        <w:rPr>
          <w:color w:val="231F20"/>
          <w:spacing w:val="-13"/>
        </w:rPr>
        <w:t> </w:t>
      </w:r>
      <w:r>
        <w:rPr>
          <w:color w:val="231F20"/>
        </w:rPr>
        <w:t>простора </w:t>
      </w:r>
      <w:r>
        <w:rPr>
          <w:color w:val="231F20"/>
          <w:spacing w:val="-4"/>
        </w:rPr>
        <w:t>који</w:t>
      </w:r>
      <w:r>
        <w:rPr>
          <w:color w:val="231F20"/>
          <w:spacing w:val="-9"/>
        </w:rPr>
        <w:t> </w:t>
      </w:r>
      <w:r>
        <w:rPr>
          <w:color w:val="231F20"/>
        </w:rPr>
        <w:t>је</w:t>
      </w:r>
      <w:r>
        <w:rPr>
          <w:color w:val="231F20"/>
          <w:spacing w:val="-9"/>
        </w:rPr>
        <w:t> </w:t>
      </w:r>
      <w:r>
        <w:rPr>
          <w:color w:val="231F20"/>
        </w:rPr>
        <w:t>потребан</w:t>
      </w:r>
      <w:r>
        <w:rPr>
          <w:color w:val="231F20"/>
          <w:spacing w:val="-9"/>
        </w:rPr>
        <w:t> </w:t>
      </w:r>
      <w:r>
        <w:rPr>
          <w:color w:val="231F20"/>
        </w:rPr>
        <w:t>за</w:t>
      </w:r>
      <w:r>
        <w:rPr>
          <w:color w:val="231F20"/>
          <w:spacing w:val="-9"/>
        </w:rPr>
        <w:t> </w:t>
      </w:r>
      <w:r>
        <w:rPr>
          <w:color w:val="231F20"/>
        </w:rPr>
        <w:t>смештај</w:t>
      </w:r>
      <w:r>
        <w:rPr>
          <w:color w:val="231F20"/>
          <w:spacing w:val="-9"/>
        </w:rPr>
        <w:t> </w:t>
      </w:r>
      <w:r>
        <w:rPr>
          <w:color w:val="231F20"/>
          <w:spacing w:val="-3"/>
        </w:rPr>
        <w:t>откопаних</w:t>
      </w:r>
      <w:r>
        <w:rPr>
          <w:color w:val="231F20"/>
          <w:spacing w:val="-9"/>
        </w:rPr>
        <w:t> </w:t>
      </w:r>
      <w:r>
        <w:rPr>
          <w:color w:val="231F20"/>
          <w:spacing w:val="-3"/>
        </w:rPr>
        <w:t>количина</w:t>
      </w:r>
      <w:r>
        <w:rPr>
          <w:color w:val="231F20"/>
          <w:spacing w:val="-9"/>
        </w:rPr>
        <w:t> </w:t>
      </w:r>
      <w:r>
        <w:rPr>
          <w:color w:val="231F20"/>
        </w:rPr>
        <w:t>откривке</w:t>
      </w:r>
      <w:r>
        <w:rPr>
          <w:color w:val="231F20"/>
          <w:spacing w:val="-9"/>
        </w:rPr>
        <w:t> </w:t>
      </w:r>
      <w:r>
        <w:rPr>
          <w:color w:val="231F20"/>
        </w:rPr>
        <w:t>увећаних за</w:t>
      </w:r>
      <w:r>
        <w:rPr>
          <w:color w:val="231F20"/>
          <w:spacing w:val="-10"/>
        </w:rPr>
        <w:t> </w:t>
      </w:r>
      <w:r>
        <w:rPr>
          <w:color w:val="231F20"/>
        </w:rPr>
        <w:t>коефицијент</w:t>
      </w:r>
      <w:r>
        <w:rPr>
          <w:color w:val="231F20"/>
          <w:spacing w:val="-10"/>
        </w:rPr>
        <w:t> </w:t>
      </w:r>
      <w:r>
        <w:rPr>
          <w:color w:val="231F20"/>
        </w:rPr>
        <w:t>растреситости</w:t>
      </w:r>
      <w:r>
        <w:rPr>
          <w:color w:val="231F20"/>
          <w:spacing w:val="-10"/>
        </w:rPr>
        <w:t> </w:t>
      </w:r>
      <w:r>
        <w:rPr>
          <w:color w:val="231F20"/>
          <w:spacing w:val="-4"/>
        </w:rPr>
        <w:t>од</w:t>
      </w:r>
      <w:r>
        <w:rPr>
          <w:color w:val="231F20"/>
          <w:spacing w:val="-10"/>
        </w:rPr>
        <w:t> </w:t>
      </w:r>
      <w:r>
        <w:rPr>
          <w:color w:val="231F20"/>
        </w:rPr>
        <w:t>кр</w:t>
      </w:r>
      <w:r>
        <w:rPr>
          <w:color w:val="231F20"/>
          <w:spacing w:val="-10"/>
        </w:rPr>
        <w:t> </w:t>
      </w:r>
      <w:r>
        <w:rPr>
          <w:color w:val="231F20"/>
        </w:rPr>
        <w:t>=</w:t>
      </w:r>
      <w:r>
        <w:rPr>
          <w:color w:val="231F20"/>
          <w:spacing w:val="-10"/>
        </w:rPr>
        <w:t> </w:t>
      </w:r>
      <w:r>
        <w:rPr>
          <w:color w:val="231F20"/>
        </w:rPr>
        <w:t>1,2</w:t>
      </w:r>
      <w:r>
        <w:rPr>
          <w:color w:val="231F20"/>
          <w:spacing w:val="-10"/>
        </w:rPr>
        <w:t> </w:t>
      </w:r>
      <w:r>
        <w:rPr>
          <w:color w:val="231F20"/>
          <w:spacing w:val="-3"/>
        </w:rPr>
        <w:t>након</w:t>
      </w:r>
      <w:r>
        <w:rPr>
          <w:color w:val="231F20"/>
          <w:spacing w:val="-10"/>
        </w:rPr>
        <w:t> </w:t>
      </w:r>
      <w:r>
        <w:rPr>
          <w:color w:val="231F20"/>
        </w:rPr>
        <w:t>примарног</w:t>
      </w:r>
      <w:r>
        <w:rPr>
          <w:color w:val="231F20"/>
          <w:spacing w:val="-10"/>
        </w:rPr>
        <w:t> </w:t>
      </w:r>
      <w:r>
        <w:rPr>
          <w:color w:val="231F20"/>
        </w:rPr>
        <w:t>слегања </w:t>
      </w:r>
      <w:r>
        <w:rPr>
          <w:color w:val="231F20"/>
          <w:spacing w:val="-3"/>
        </w:rPr>
        <w:t>одложених</w:t>
      </w:r>
      <w:r>
        <w:rPr>
          <w:color w:val="231F20"/>
          <w:spacing w:val="-11"/>
        </w:rPr>
        <w:t> </w:t>
      </w:r>
      <w:r>
        <w:rPr>
          <w:color w:val="231F20"/>
          <w:spacing w:val="-3"/>
        </w:rPr>
        <w:t>количина</w:t>
      </w:r>
      <w:r>
        <w:rPr>
          <w:color w:val="231F20"/>
          <w:spacing w:val="-11"/>
        </w:rPr>
        <w:t> </w:t>
      </w:r>
      <w:r>
        <w:rPr>
          <w:color w:val="231F20"/>
        </w:rPr>
        <w:t>откривке.</w:t>
      </w:r>
      <w:r>
        <w:rPr>
          <w:color w:val="231F20"/>
          <w:spacing w:val="-11"/>
        </w:rPr>
        <w:t> </w:t>
      </w:r>
      <w:r>
        <w:rPr>
          <w:color w:val="231F20"/>
        </w:rPr>
        <w:t>Пројектовано</w:t>
      </w:r>
      <w:r>
        <w:rPr>
          <w:color w:val="231F20"/>
          <w:spacing w:val="-11"/>
        </w:rPr>
        <w:t> </w:t>
      </w:r>
      <w:r>
        <w:rPr>
          <w:color w:val="231F20"/>
        </w:rPr>
        <w:t>је</w:t>
      </w:r>
      <w:r>
        <w:rPr>
          <w:color w:val="231F20"/>
          <w:spacing w:val="-11"/>
        </w:rPr>
        <w:t> </w:t>
      </w:r>
      <w:r>
        <w:rPr>
          <w:color w:val="231F20"/>
        </w:rPr>
        <w:t>унутрашње</w:t>
      </w:r>
      <w:r>
        <w:rPr>
          <w:color w:val="231F20"/>
          <w:spacing w:val="-11"/>
        </w:rPr>
        <w:t> </w:t>
      </w:r>
      <w:r>
        <w:rPr>
          <w:color w:val="231F20"/>
        </w:rPr>
        <w:t>одлага- лиште у границама </w:t>
      </w:r>
      <w:r>
        <w:rPr>
          <w:color w:val="231F20"/>
          <w:spacing w:val="-4"/>
        </w:rPr>
        <w:t>копа </w:t>
      </w:r>
      <w:r>
        <w:rPr>
          <w:color w:val="231F20"/>
        </w:rPr>
        <w:t>запремине </w:t>
      </w:r>
      <w:r>
        <w:rPr>
          <w:color w:val="231F20"/>
          <w:spacing w:val="-4"/>
        </w:rPr>
        <w:t>од </w:t>
      </w:r>
      <w:r>
        <w:rPr>
          <w:color w:val="231F20"/>
        </w:rPr>
        <w:t>2.862.589.000</w:t>
      </w:r>
      <w:r>
        <w:rPr>
          <w:color w:val="231F20"/>
          <w:spacing w:val="-15"/>
        </w:rPr>
        <w:t> </w:t>
      </w:r>
      <w:r>
        <w:rPr>
          <w:color w:val="231F20"/>
        </w:rPr>
        <w:t>m</w:t>
      </w:r>
      <w:r>
        <w:rPr>
          <w:color w:val="231F20"/>
          <w:position w:val="6"/>
          <w:sz w:val="10"/>
        </w:rPr>
        <w:t>³</w:t>
      </w:r>
      <w:r>
        <w:rPr>
          <w:color w:val="231F20"/>
        </w:rPr>
        <w:t>.</w:t>
      </w:r>
    </w:p>
    <w:p>
      <w:pPr>
        <w:pStyle w:val="BodyText"/>
        <w:spacing w:before="7"/>
        <w:ind w:left="0"/>
        <w:jc w:val="left"/>
        <w:rPr>
          <w:sz w:val="9"/>
        </w:rPr>
      </w:pPr>
      <w:r>
        <w:rPr/>
        <w:br w:type="column"/>
      </w:r>
      <w:r>
        <w:rPr>
          <w:sz w:val="9"/>
        </w:rPr>
      </w:r>
    </w:p>
    <w:p>
      <w:pPr>
        <w:pStyle w:val="BodyText"/>
        <w:ind w:left="238"/>
        <w:jc w:val="left"/>
        <w:rPr>
          <w:sz w:val="20"/>
        </w:rPr>
      </w:pPr>
      <w:r>
        <w:rPr>
          <w:sz w:val="20"/>
        </w:rPr>
        <w:drawing>
          <wp:inline distT="0" distB="0" distL="0" distR="0">
            <wp:extent cx="3228757" cy="98145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228757" cy="981455"/>
                    </a:xfrm>
                    <a:prstGeom prst="rect">
                      <a:avLst/>
                    </a:prstGeom>
                  </pic:spPr>
                </pic:pic>
              </a:graphicData>
            </a:graphic>
          </wp:inline>
        </w:drawing>
      </w:r>
      <w:r>
        <w:rPr>
          <w:sz w:val="20"/>
        </w:rPr>
      </w:r>
    </w:p>
    <w:p>
      <w:pPr>
        <w:pStyle w:val="BodyText"/>
        <w:spacing w:before="9"/>
        <w:ind w:left="0"/>
        <w:jc w:val="left"/>
      </w:pPr>
    </w:p>
    <w:p>
      <w:pPr>
        <w:pStyle w:val="BodyText"/>
        <w:spacing w:line="232" w:lineRule="auto"/>
        <w:ind w:left="238" w:right="128" w:firstLine="396"/>
      </w:pPr>
      <w:r>
        <w:rPr>
          <w:color w:val="231F20"/>
        </w:rPr>
        <w:t>Унутрашње одлагалиште подељено је на пет основних ета- жа, а свака етажа се формира са по две подетаже – дубинском и висинском.</w:t>
      </w:r>
    </w:p>
    <w:p>
      <w:pPr>
        <w:pStyle w:val="BodyText"/>
        <w:spacing w:line="232" w:lineRule="auto"/>
        <w:ind w:left="238" w:right="128" w:firstLine="396"/>
      </w:pPr>
      <w:r>
        <w:rPr>
          <w:color w:val="231F20"/>
        </w:rPr>
        <w:t>Припрема угља одвија се кроз процесе класирања (просеја- вањем) и уситњавања (дробљењем).</w:t>
      </w:r>
    </w:p>
    <w:p>
      <w:pPr>
        <w:pStyle w:val="BodyText"/>
        <w:spacing w:line="232" w:lineRule="auto"/>
        <w:ind w:left="237" w:right="128" w:firstLine="397"/>
      </w:pPr>
      <w:r>
        <w:rPr>
          <w:color w:val="231F20"/>
        </w:rPr>
        <w:t>Депонија угља представља место на којем се прекида конти- нуитет манипулације угљем (од багера до депоније). Са депоније угаљ се усмерава ка термоелектранама.</w:t>
      </w:r>
    </w:p>
    <w:p>
      <w:pPr>
        <w:pStyle w:val="BodyText"/>
        <w:spacing w:line="232" w:lineRule="auto"/>
        <w:ind w:left="237" w:right="129" w:firstLine="397"/>
      </w:pPr>
      <w:r>
        <w:rPr>
          <w:color w:val="231F20"/>
        </w:rPr>
        <w:t>Даља експлоатација угља на површинском </w:t>
      </w:r>
      <w:r>
        <w:rPr>
          <w:color w:val="231F20"/>
          <w:spacing w:val="-3"/>
        </w:rPr>
        <w:t>копу </w:t>
      </w:r>
      <w:r>
        <w:rPr>
          <w:color w:val="231F20"/>
        </w:rPr>
        <w:t>„Дрмно” и повећање капацитета експлоатације угља и откривке генерално се може</w:t>
      </w:r>
      <w:r>
        <w:rPr>
          <w:color w:val="231F20"/>
          <w:spacing w:val="-10"/>
        </w:rPr>
        <w:t> </w:t>
      </w:r>
      <w:r>
        <w:rPr>
          <w:color w:val="231F20"/>
        </w:rPr>
        <w:t>оценити</w:t>
      </w:r>
      <w:r>
        <w:rPr>
          <w:color w:val="231F20"/>
          <w:spacing w:val="-10"/>
        </w:rPr>
        <w:t> </w:t>
      </w:r>
      <w:r>
        <w:rPr>
          <w:color w:val="231F20"/>
        </w:rPr>
        <w:t>као</w:t>
      </w:r>
      <w:r>
        <w:rPr>
          <w:color w:val="231F20"/>
          <w:spacing w:val="-10"/>
        </w:rPr>
        <w:t> </w:t>
      </w:r>
      <w:r>
        <w:rPr>
          <w:color w:val="231F20"/>
        </w:rPr>
        <w:t>сложена.</w:t>
      </w:r>
      <w:r>
        <w:rPr>
          <w:color w:val="231F20"/>
          <w:spacing w:val="-10"/>
        </w:rPr>
        <w:t> </w:t>
      </w:r>
      <w:r>
        <w:rPr>
          <w:color w:val="231F20"/>
        </w:rPr>
        <w:t>За</w:t>
      </w:r>
      <w:r>
        <w:rPr>
          <w:color w:val="231F20"/>
          <w:spacing w:val="-10"/>
        </w:rPr>
        <w:t> </w:t>
      </w:r>
      <w:r>
        <w:rPr>
          <w:color w:val="231F20"/>
        </w:rPr>
        <w:t>остварење</w:t>
      </w:r>
      <w:r>
        <w:rPr>
          <w:color w:val="231F20"/>
          <w:spacing w:val="-10"/>
        </w:rPr>
        <w:t> </w:t>
      </w:r>
      <w:r>
        <w:rPr>
          <w:color w:val="231F20"/>
        </w:rPr>
        <w:t>планиране</w:t>
      </w:r>
      <w:r>
        <w:rPr>
          <w:color w:val="231F20"/>
          <w:spacing w:val="-10"/>
        </w:rPr>
        <w:t> </w:t>
      </w:r>
      <w:r>
        <w:rPr>
          <w:color w:val="231F20"/>
        </w:rPr>
        <w:t>динамике</w:t>
      </w:r>
      <w:r>
        <w:rPr>
          <w:color w:val="231F20"/>
          <w:spacing w:val="-10"/>
        </w:rPr>
        <w:t> </w:t>
      </w:r>
      <w:r>
        <w:rPr>
          <w:color w:val="231F20"/>
        </w:rPr>
        <w:t>раз- воја </w:t>
      </w:r>
      <w:r>
        <w:rPr>
          <w:color w:val="231F20"/>
          <w:spacing w:val="-2"/>
        </w:rPr>
        <w:t>неопходно </w:t>
      </w:r>
      <w:r>
        <w:rPr>
          <w:color w:val="231F20"/>
        </w:rPr>
        <w:t>је реализовати:</w:t>
      </w:r>
    </w:p>
    <w:p>
      <w:pPr>
        <w:pStyle w:val="BodyText"/>
        <w:spacing w:line="232" w:lineRule="auto"/>
        <w:ind w:left="237" w:right="129" w:firstLine="397"/>
      </w:pPr>
      <w:r>
        <w:rPr>
          <w:color w:val="231F20"/>
          <w:w w:val="66"/>
        </w:rPr>
        <w:t> </w:t>
      </w:r>
      <w:r>
        <w:rPr>
          <w:color w:val="231F20"/>
        </w:rPr>
        <w:t>– благовремену изградњу и увођење у рад пројектованих ли- нија бунара и осталих објеката заштите површинског копа и од- лагалишта од вода како би се извршило предодводњавање копа; извођење ових радова је у заостатку у односу на планирано и про- јектовано стање;</w:t>
      </w:r>
    </w:p>
    <w:p>
      <w:pPr>
        <w:pStyle w:val="BodyText"/>
        <w:spacing w:line="232" w:lineRule="auto"/>
        <w:ind w:left="237" w:right="129" w:firstLine="396"/>
      </w:pPr>
      <w:r>
        <w:rPr>
          <w:color w:val="231F20"/>
          <w:w w:val="66"/>
        </w:rPr>
        <w:t> </w:t>
      </w:r>
      <w:r>
        <w:rPr>
          <w:color w:val="231F20"/>
        </w:rPr>
        <w:t>– послове на изради водонепропусног екрана по завршној контури површинског копа „Дрмно”;</w:t>
      </w:r>
    </w:p>
    <w:p>
      <w:pPr>
        <w:pStyle w:val="BodyText"/>
        <w:spacing w:line="232" w:lineRule="auto"/>
        <w:ind w:left="237" w:right="129" w:firstLine="396"/>
      </w:pPr>
      <w:r>
        <w:rPr>
          <w:color w:val="231F20"/>
          <w:w w:val="66"/>
        </w:rPr>
        <w:t> </w:t>
      </w:r>
      <w:r>
        <w:rPr>
          <w:color w:val="231F20"/>
        </w:rPr>
        <w:t>– пројектовану динамику откопавања откривке и угља у ци- љу достизања завршне контуре површинског копа, пуне ширине фронта радова и обезбеђења потребних количина угља за термо- лектране „Костолац А и Б”;</w:t>
      </w:r>
    </w:p>
    <w:p>
      <w:pPr>
        <w:pStyle w:val="BodyText"/>
        <w:spacing w:line="232" w:lineRule="auto"/>
        <w:ind w:left="238" w:right="128" w:firstLine="396"/>
      </w:pPr>
      <w:r>
        <w:rPr>
          <w:color w:val="231F20"/>
          <w:w w:val="66"/>
        </w:rPr>
        <w:t> </w:t>
      </w:r>
      <w:r>
        <w:rPr>
          <w:color w:val="231F20"/>
        </w:rPr>
        <w:t>–</w:t>
      </w:r>
      <w:r>
        <w:rPr>
          <w:color w:val="231F20"/>
          <w:spacing w:val="-14"/>
        </w:rPr>
        <w:t> </w:t>
      </w:r>
      <w:r>
        <w:rPr>
          <w:color w:val="231F20"/>
        </w:rPr>
        <w:t>изградњу</w:t>
      </w:r>
      <w:r>
        <w:rPr>
          <w:color w:val="231F20"/>
          <w:spacing w:val="-14"/>
        </w:rPr>
        <w:t> </w:t>
      </w:r>
      <w:r>
        <w:rPr>
          <w:color w:val="231F20"/>
        </w:rPr>
        <w:t>путева,</w:t>
      </w:r>
      <w:r>
        <w:rPr>
          <w:color w:val="231F20"/>
          <w:spacing w:val="-14"/>
        </w:rPr>
        <w:t> </w:t>
      </w:r>
      <w:r>
        <w:rPr>
          <w:color w:val="231F20"/>
        </w:rPr>
        <w:t>контејнерских</w:t>
      </w:r>
      <w:r>
        <w:rPr>
          <w:color w:val="231F20"/>
          <w:spacing w:val="-14"/>
        </w:rPr>
        <w:t> </w:t>
      </w:r>
      <w:r>
        <w:rPr>
          <w:color w:val="231F20"/>
        </w:rPr>
        <w:t>насеља,</w:t>
      </w:r>
      <w:r>
        <w:rPr>
          <w:color w:val="231F20"/>
          <w:spacing w:val="-14"/>
        </w:rPr>
        <w:t> </w:t>
      </w:r>
      <w:r>
        <w:rPr>
          <w:color w:val="231F20"/>
        </w:rPr>
        <w:t>радионичког</w:t>
      </w:r>
      <w:r>
        <w:rPr>
          <w:color w:val="231F20"/>
          <w:spacing w:val="-14"/>
        </w:rPr>
        <w:t> </w:t>
      </w:r>
      <w:r>
        <w:rPr>
          <w:color w:val="231F20"/>
        </w:rPr>
        <w:t>круга и хидрограђевинске</w:t>
      </w:r>
      <w:r>
        <w:rPr>
          <w:color w:val="231F20"/>
          <w:spacing w:val="-2"/>
        </w:rPr>
        <w:t> </w:t>
      </w:r>
      <w:r>
        <w:rPr>
          <w:color w:val="231F20"/>
        </w:rPr>
        <w:t>радове;</w:t>
      </w:r>
    </w:p>
    <w:p>
      <w:pPr>
        <w:pStyle w:val="BodyText"/>
        <w:spacing w:line="232" w:lineRule="auto"/>
        <w:ind w:left="238" w:right="128" w:firstLine="396"/>
      </w:pPr>
      <w:r>
        <w:rPr>
          <w:color w:val="231F20"/>
          <w:w w:val="66"/>
        </w:rPr>
        <w:t> </w:t>
      </w:r>
      <w:r>
        <w:rPr>
          <w:color w:val="231F20"/>
        </w:rPr>
        <w:t>– увођење далековода напона 35 </w:t>
      </w:r>
      <w:r>
        <w:rPr>
          <w:color w:val="231F20"/>
          <w:spacing w:val="-8"/>
        </w:rPr>
        <w:t>kV, </w:t>
      </w:r>
      <w:r>
        <w:rPr>
          <w:color w:val="231F20"/>
        </w:rPr>
        <w:t>као и набавку мобилних трафостаница, телекомуникација и информационог система;</w:t>
      </w:r>
    </w:p>
    <w:p>
      <w:pPr>
        <w:pStyle w:val="BodyText"/>
        <w:spacing w:line="197" w:lineRule="exact"/>
        <w:ind w:left="635"/>
        <w:jc w:val="left"/>
      </w:pPr>
      <w:r>
        <w:rPr>
          <w:color w:val="231F20"/>
          <w:w w:val="66"/>
        </w:rPr>
        <w:t> </w:t>
      </w:r>
      <w:r>
        <w:rPr>
          <w:color w:val="231F20"/>
        </w:rPr>
        <w:t>– благовремено спровођење експропријације непокретности и</w:t>
      </w:r>
    </w:p>
    <w:p>
      <w:pPr>
        <w:pStyle w:val="BodyText"/>
        <w:spacing w:line="232" w:lineRule="auto"/>
        <w:ind w:left="634"/>
        <w:jc w:val="left"/>
      </w:pPr>
      <w:r>
        <w:rPr>
          <w:color w:val="231F20"/>
          <w:w w:val="66"/>
        </w:rPr>
        <w:t> </w:t>
      </w:r>
      <w:r>
        <w:rPr>
          <w:color w:val="231F20"/>
        </w:rPr>
        <w:t>– интензивирање археолошких истраживања и слично. Гледано дугорочно, поред развоја рударских радова у копу</w:t>
      </w:r>
    </w:p>
    <w:p>
      <w:pPr>
        <w:pStyle w:val="BodyText"/>
        <w:spacing w:line="232" w:lineRule="auto"/>
        <w:ind w:left="238" w:right="128"/>
      </w:pPr>
      <w:r>
        <w:rPr>
          <w:color w:val="231F20"/>
        </w:rPr>
        <w:t>„Дрмно” постоји могућност експлоатације угља у зони између </w:t>
      </w:r>
      <w:r>
        <w:rPr>
          <w:color w:val="231F20"/>
          <w:spacing w:val="-4"/>
        </w:rPr>
        <w:t>ко- </w:t>
      </w:r>
      <w:r>
        <w:rPr>
          <w:color w:val="231F20"/>
        </w:rPr>
        <w:t>пова „Кленовник” и </w:t>
      </w:r>
      <w:r>
        <w:rPr>
          <w:color w:val="231F20"/>
          <w:spacing w:val="-3"/>
        </w:rPr>
        <w:t>„Ћириковац” </w:t>
      </w:r>
      <w:r>
        <w:rPr>
          <w:color w:val="231F20"/>
        </w:rPr>
        <w:t>и западно </w:t>
      </w:r>
      <w:r>
        <w:rPr>
          <w:color w:val="231F20"/>
          <w:spacing w:val="-3"/>
        </w:rPr>
        <w:t>од </w:t>
      </w:r>
      <w:r>
        <w:rPr>
          <w:color w:val="231F20"/>
        </w:rPr>
        <w:t>спољног одлагали- шта „Петка” површинског </w:t>
      </w:r>
      <w:r>
        <w:rPr>
          <w:color w:val="231F20"/>
          <w:spacing w:val="-3"/>
        </w:rPr>
        <w:t>копа „Ћириковац”. </w:t>
      </w:r>
      <w:r>
        <w:rPr>
          <w:color w:val="231F20"/>
        </w:rPr>
        <w:t>Први резултати ис- тражних</w:t>
      </w:r>
      <w:r>
        <w:rPr>
          <w:color w:val="231F20"/>
          <w:spacing w:val="-6"/>
        </w:rPr>
        <w:t> </w:t>
      </w:r>
      <w:r>
        <w:rPr>
          <w:color w:val="231F20"/>
        </w:rPr>
        <w:t>радова</w:t>
      </w:r>
      <w:r>
        <w:rPr>
          <w:color w:val="231F20"/>
          <w:spacing w:val="-6"/>
        </w:rPr>
        <w:t> </w:t>
      </w:r>
      <w:r>
        <w:rPr>
          <w:color w:val="231F20"/>
        </w:rPr>
        <w:t>у</w:t>
      </w:r>
      <w:r>
        <w:rPr>
          <w:color w:val="231F20"/>
          <w:spacing w:val="-6"/>
        </w:rPr>
        <w:t> </w:t>
      </w:r>
      <w:r>
        <w:rPr>
          <w:color w:val="231F20"/>
        </w:rPr>
        <w:t>западном</w:t>
      </w:r>
      <w:r>
        <w:rPr>
          <w:color w:val="231F20"/>
          <w:spacing w:val="-6"/>
        </w:rPr>
        <w:t> </w:t>
      </w:r>
      <w:r>
        <w:rPr>
          <w:color w:val="231F20"/>
        </w:rPr>
        <w:t>лигнитском</w:t>
      </w:r>
      <w:r>
        <w:rPr>
          <w:color w:val="231F20"/>
          <w:spacing w:val="-6"/>
        </w:rPr>
        <w:t> </w:t>
      </w:r>
      <w:r>
        <w:rPr>
          <w:color w:val="231F20"/>
        </w:rPr>
        <w:t>лежишту</w:t>
      </w:r>
      <w:r>
        <w:rPr>
          <w:color w:val="231F20"/>
          <w:spacing w:val="-6"/>
        </w:rPr>
        <w:t> </w:t>
      </w:r>
      <w:r>
        <w:rPr>
          <w:color w:val="231F20"/>
        </w:rPr>
        <w:t>указују</w:t>
      </w:r>
      <w:r>
        <w:rPr>
          <w:color w:val="231F20"/>
          <w:spacing w:val="-6"/>
        </w:rPr>
        <w:t> </w:t>
      </w:r>
      <w:r>
        <w:rPr>
          <w:color w:val="231F20"/>
        </w:rPr>
        <w:t>на</w:t>
      </w:r>
      <w:r>
        <w:rPr>
          <w:color w:val="231F20"/>
          <w:spacing w:val="-6"/>
        </w:rPr>
        <w:t> </w:t>
      </w:r>
      <w:r>
        <w:rPr>
          <w:color w:val="231F20"/>
        </w:rPr>
        <w:t>добру перспективност овог</w:t>
      </w:r>
      <w:r>
        <w:rPr>
          <w:color w:val="231F20"/>
          <w:spacing w:val="-1"/>
        </w:rPr>
        <w:t> </w:t>
      </w:r>
      <w:r>
        <w:rPr>
          <w:color w:val="231F20"/>
        </w:rPr>
        <w:t>лежишта.</w:t>
      </w:r>
    </w:p>
    <w:p>
      <w:pPr>
        <w:pStyle w:val="BodyText"/>
        <w:spacing w:line="232" w:lineRule="auto"/>
        <w:ind w:left="238" w:right="128" w:firstLine="396"/>
      </w:pPr>
      <w:r>
        <w:rPr>
          <w:color w:val="231F20"/>
        </w:rPr>
        <w:t>Извршена је делимична рекултивација спољашњег одлагали- шта површинског </w:t>
      </w:r>
      <w:r>
        <w:rPr>
          <w:color w:val="231F20"/>
          <w:spacing w:val="-3"/>
        </w:rPr>
        <w:t>копа </w:t>
      </w:r>
      <w:r>
        <w:rPr>
          <w:color w:val="231F20"/>
        </w:rPr>
        <w:t>„Кленовник” </w:t>
      </w:r>
      <w:r>
        <w:rPr>
          <w:color w:val="231F20"/>
          <w:spacing w:val="-3"/>
        </w:rPr>
        <w:t>Коначна </w:t>
      </w:r>
      <w:r>
        <w:rPr>
          <w:color w:val="231F20"/>
        </w:rPr>
        <w:t>рекултивација </w:t>
      </w:r>
      <w:r>
        <w:rPr>
          <w:color w:val="231F20"/>
          <w:spacing w:val="-3"/>
        </w:rPr>
        <w:t>отко- </w:t>
      </w:r>
      <w:r>
        <w:rPr>
          <w:color w:val="231F20"/>
        </w:rPr>
        <w:t>паног простора </w:t>
      </w:r>
      <w:r>
        <w:rPr>
          <w:color w:val="231F20"/>
          <w:spacing w:val="-3"/>
        </w:rPr>
        <w:t>копа </w:t>
      </w:r>
      <w:r>
        <w:rPr>
          <w:color w:val="231F20"/>
        </w:rPr>
        <w:t>и унутрашњег одлагалишта биће извршена по формалном затварању</w:t>
      </w:r>
      <w:r>
        <w:rPr>
          <w:color w:val="231F20"/>
          <w:spacing w:val="-3"/>
        </w:rPr>
        <w:t> копа.</w:t>
      </w:r>
    </w:p>
    <w:p>
      <w:pPr>
        <w:pStyle w:val="BodyText"/>
        <w:spacing w:line="232" w:lineRule="auto"/>
        <w:ind w:left="238" w:right="128" w:firstLine="397"/>
      </w:pPr>
      <w:r>
        <w:rPr>
          <w:color w:val="231F20"/>
        </w:rPr>
        <w:t>Део откопаног простора површинског копа „Ћириковац” ко- ристи се за депоновање пепела. Нови систем транспорта и депо- новања пепела густом хидромешавином изграђен је за потребе ТЕ</w:t>
      </w:r>
    </w:p>
    <w:p>
      <w:pPr>
        <w:pStyle w:val="BodyText"/>
        <w:spacing w:line="200" w:lineRule="exact"/>
        <w:ind w:left="238"/>
        <w:jc w:val="left"/>
      </w:pPr>
      <w:r>
        <w:rPr>
          <w:color w:val="231F20"/>
        </w:rPr>
        <w:t>„Костолац Б”.</w:t>
      </w:r>
    </w:p>
    <w:p>
      <w:pPr>
        <w:pStyle w:val="BodyText"/>
        <w:spacing w:before="2"/>
        <w:ind w:left="0"/>
        <w:jc w:val="left"/>
        <w:rPr>
          <w:sz w:val="8"/>
        </w:rPr>
      </w:pPr>
    </w:p>
    <w:p>
      <w:pPr>
        <w:pStyle w:val="BodyText"/>
        <w:ind w:left="238"/>
        <w:jc w:val="left"/>
        <w:rPr>
          <w:sz w:val="20"/>
        </w:rPr>
      </w:pPr>
      <w:r>
        <w:rPr>
          <w:sz w:val="20"/>
        </w:rPr>
        <w:drawing>
          <wp:inline distT="0" distB="0" distL="0" distR="0">
            <wp:extent cx="3200415" cy="1536192"/>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3200415" cy="1536192"/>
                    </a:xfrm>
                    <a:prstGeom prst="rect">
                      <a:avLst/>
                    </a:prstGeom>
                  </pic:spPr>
                </pic:pic>
              </a:graphicData>
            </a:graphic>
          </wp:inline>
        </w:drawing>
      </w:r>
      <w:r>
        <w:rPr>
          <w:sz w:val="20"/>
        </w:rPr>
      </w:r>
    </w:p>
    <w:p>
      <w:pPr>
        <w:pStyle w:val="BodyText"/>
        <w:spacing w:line="232" w:lineRule="auto" w:before="172"/>
        <w:ind w:left="185" w:right="127" w:firstLine="396"/>
        <w:jc w:val="right"/>
      </w:pPr>
      <w:r>
        <w:rPr>
          <w:color w:val="231F20"/>
        </w:rPr>
        <w:t>Предвиђено је да се пепео и шљака на овом систему тран- спортују у виду густе хидромешавине (42 –48 % чврсте масе) це- воводом дужине 6 km на депонију која је обложена водоотпорним фолијама. Исти систем биће урађен и за потребе ТЕ „Костолац А”. Мрко-лигнитско лежиште „Пољана” налази се јужно од По- жаревца, на подручју КО Лучица, КО Пругово и КО Пољана. Пре- ма Инвестиционом програму из 1987. године резерве лежишта</w:t>
      </w:r>
    </w:p>
    <w:p>
      <w:pPr>
        <w:pStyle w:val="BodyText"/>
        <w:spacing w:line="196" w:lineRule="exact"/>
        <w:ind w:left="239"/>
      </w:pPr>
      <w:r>
        <w:rPr>
          <w:color w:val="231F20"/>
        </w:rPr>
        <w:t>„Пољана” су процењене на 70 милиона t, што ово лежиште према</w:t>
      </w:r>
    </w:p>
    <w:p>
      <w:pPr>
        <w:spacing w:after="0" w:line="196" w:lineRule="exact"/>
        <w:sectPr>
          <w:pgSz w:w="12480" w:h="15690"/>
          <w:pgMar w:top="120" w:bottom="280" w:left="680" w:right="720"/>
          <w:cols w:num="2" w:equalWidth="0">
            <w:col w:w="5562" w:space="40"/>
            <w:col w:w="5478"/>
          </w:cols>
        </w:sectPr>
      </w:pPr>
    </w:p>
    <w:p>
      <w:pPr>
        <w:pStyle w:val="BodyText"/>
        <w:spacing w:line="232" w:lineRule="auto" w:before="73"/>
        <w:ind w:right="39"/>
      </w:pPr>
      <w:r>
        <w:rPr/>
        <w:pict>
          <v:line style="position:absolute;mso-position-horizontal-relative:page;mso-position-vertical-relative:page;z-index:1216" from="304.724396pt,11.94295pt" to="304.724396pt,748.95095pt" stroked="true" strokeweight=".6pt" strokecolor="#231f20">
            <v:stroke dashstyle="solid"/>
            <w10:wrap type="none"/>
          </v:line>
        </w:pict>
      </w:r>
      <w:r>
        <w:rPr>
          <w:color w:val="231F20"/>
        </w:rPr>
        <w:t>природним карактеристикама, тектонским склоповима и квалите- ту угља квалификује као перспективно за </w:t>
      </w:r>
      <w:r>
        <w:rPr>
          <w:color w:val="231F20"/>
          <w:spacing w:val="-3"/>
        </w:rPr>
        <w:t>експлоатацију. </w:t>
      </w:r>
      <w:r>
        <w:rPr>
          <w:color w:val="231F20"/>
        </w:rPr>
        <w:t>Залегање угљених слојева и постојање насеља изнад лежишта упућују на могућност јамске експлоатације.</w:t>
      </w:r>
    </w:p>
    <w:p>
      <w:pPr>
        <w:pStyle w:val="BodyText"/>
        <w:spacing w:before="164"/>
        <w:ind w:left="1063"/>
        <w:jc w:val="left"/>
      </w:pPr>
      <w:r>
        <w:rPr>
          <w:color w:val="231F20"/>
        </w:rPr>
        <w:t>Истраживање и експлоатација нафте и гаса</w:t>
      </w:r>
    </w:p>
    <w:p>
      <w:pPr>
        <w:pStyle w:val="BodyText"/>
        <w:spacing w:before="3"/>
        <w:ind w:left="0"/>
        <w:jc w:val="left"/>
        <w:rPr>
          <w:sz w:val="17"/>
        </w:rPr>
      </w:pPr>
    </w:p>
    <w:p>
      <w:pPr>
        <w:pStyle w:val="BodyText"/>
        <w:spacing w:line="230" w:lineRule="auto"/>
        <w:ind w:right="39" w:firstLine="396"/>
      </w:pPr>
      <w:r>
        <w:rPr>
          <w:color w:val="231F20"/>
        </w:rPr>
        <w:t>Ресурси нафте и гаса на Планском подручју делом се про- сторно поклапају са простирањем Костолачког лигнитског лежи- шта. Нафтно гасно поље „Острово” налази се у атару села Остро- во, нафтно-гасна поља „Брадарац – Маљуревац” и „Маљуревац</w:t>
      </w:r>
    </w:p>
    <w:p>
      <w:pPr>
        <w:pStyle w:val="BodyText"/>
        <w:spacing w:line="230" w:lineRule="auto"/>
        <w:ind w:right="39" w:hanging="1"/>
      </w:pPr>
      <w:r>
        <w:rPr>
          <w:color w:val="231F20"/>
          <w:w w:val="66"/>
        </w:rPr>
        <w:t> </w:t>
      </w:r>
      <w:r>
        <w:rPr>
          <w:color w:val="231F20"/>
        </w:rPr>
        <w:t>– Бубушинац” у атарима тих села (град Пожаревац), а нафтно-га- сна открића „Сираково”, „Курјаче” и „Курјаче село” у атарима се- ла Сираково, Маиловац и Курјаче (општина Велико Градиште).</w:t>
      </w:r>
    </w:p>
    <w:p>
      <w:pPr>
        <w:pStyle w:val="BodyText"/>
        <w:spacing w:line="230" w:lineRule="auto"/>
        <w:ind w:right="39" w:firstLine="396"/>
      </w:pPr>
      <w:r>
        <w:rPr>
          <w:color w:val="231F20"/>
        </w:rPr>
        <w:t>Производни систем на нафтно-гасном пољу „Сираково” се састоји</w:t>
      </w:r>
      <w:r>
        <w:rPr>
          <w:color w:val="231F20"/>
          <w:spacing w:val="-7"/>
        </w:rPr>
        <w:t> </w:t>
      </w:r>
      <w:r>
        <w:rPr>
          <w:color w:val="231F20"/>
        </w:rPr>
        <w:t>од:</w:t>
      </w:r>
      <w:r>
        <w:rPr>
          <w:color w:val="231F20"/>
          <w:spacing w:val="-7"/>
        </w:rPr>
        <w:t> </w:t>
      </w:r>
      <w:r>
        <w:rPr>
          <w:color w:val="231F20"/>
        </w:rPr>
        <w:t>бушотинских</w:t>
      </w:r>
      <w:r>
        <w:rPr>
          <w:color w:val="231F20"/>
          <w:spacing w:val="-7"/>
        </w:rPr>
        <w:t> </w:t>
      </w:r>
      <w:r>
        <w:rPr>
          <w:color w:val="231F20"/>
        </w:rPr>
        <w:t>нафтовода</w:t>
      </w:r>
      <w:r>
        <w:rPr>
          <w:color w:val="231F20"/>
          <w:spacing w:val="-7"/>
        </w:rPr>
        <w:t> </w:t>
      </w:r>
      <w:r>
        <w:rPr>
          <w:color w:val="231F20"/>
        </w:rPr>
        <w:t>помоћу</w:t>
      </w:r>
      <w:r>
        <w:rPr>
          <w:color w:val="231F20"/>
          <w:spacing w:val="-7"/>
        </w:rPr>
        <w:t> </w:t>
      </w:r>
      <w:r>
        <w:rPr>
          <w:color w:val="231F20"/>
        </w:rPr>
        <w:t>којих</w:t>
      </w:r>
      <w:r>
        <w:rPr>
          <w:color w:val="231F20"/>
          <w:spacing w:val="-7"/>
        </w:rPr>
        <w:t> </w:t>
      </w:r>
      <w:r>
        <w:rPr>
          <w:color w:val="231F20"/>
        </w:rPr>
        <w:t>се</w:t>
      </w:r>
      <w:r>
        <w:rPr>
          <w:color w:val="231F20"/>
          <w:spacing w:val="-7"/>
        </w:rPr>
        <w:t> </w:t>
      </w:r>
      <w:r>
        <w:rPr>
          <w:color w:val="231F20"/>
        </w:rPr>
        <w:t>сакупља</w:t>
      </w:r>
      <w:r>
        <w:rPr>
          <w:color w:val="231F20"/>
          <w:spacing w:val="-7"/>
        </w:rPr>
        <w:t> </w:t>
      </w:r>
      <w:r>
        <w:rPr>
          <w:color w:val="231F20"/>
        </w:rPr>
        <w:t>наф- та и гас са 10 бушотина и сабирно отпремне станице-система за </w:t>
      </w:r>
      <w:r>
        <w:rPr>
          <w:color w:val="231F20"/>
          <w:spacing w:val="-3"/>
        </w:rPr>
        <w:t>припрему, </w:t>
      </w:r>
      <w:r>
        <w:rPr>
          <w:color w:val="231F20"/>
        </w:rPr>
        <w:t>складиштење и отпрему</w:t>
      </w:r>
      <w:r>
        <w:rPr>
          <w:color w:val="231F20"/>
          <w:spacing w:val="-1"/>
        </w:rPr>
        <w:t> </w:t>
      </w:r>
      <w:r>
        <w:rPr>
          <w:color w:val="231F20"/>
        </w:rPr>
        <w:t>нафте.</w:t>
      </w:r>
    </w:p>
    <w:p>
      <w:pPr>
        <w:pStyle w:val="BodyText"/>
        <w:spacing w:line="230" w:lineRule="auto"/>
        <w:ind w:right="38" w:firstLine="396"/>
      </w:pPr>
      <w:r>
        <w:rPr>
          <w:color w:val="231F20"/>
        </w:rPr>
        <w:t>При експлоатацији нафте производе се и одређене </w:t>
      </w:r>
      <w:r>
        <w:rPr>
          <w:color w:val="231F20"/>
          <w:spacing w:val="-3"/>
        </w:rPr>
        <w:t>количи- </w:t>
      </w:r>
      <w:r>
        <w:rPr>
          <w:color w:val="231F20"/>
        </w:rPr>
        <w:t>не природног гаса, </w:t>
      </w:r>
      <w:r>
        <w:rPr>
          <w:color w:val="231F20"/>
          <w:spacing w:val="-3"/>
        </w:rPr>
        <w:t>који </w:t>
      </w:r>
      <w:r>
        <w:rPr>
          <w:color w:val="231F20"/>
        </w:rPr>
        <w:t>је био растворен у нафти (тзв. каптажни гас). Овај гас карактерише висока топлотна моћ, јер је богат теч- ним угљоводоницима. Он се налази </w:t>
      </w:r>
      <w:r>
        <w:rPr>
          <w:color w:val="231F20"/>
          <w:spacing w:val="-3"/>
        </w:rPr>
        <w:t>под </w:t>
      </w:r>
      <w:r>
        <w:rPr>
          <w:color w:val="231F20"/>
        </w:rPr>
        <w:t>малим притиском, </w:t>
      </w:r>
      <w:r>
        <w:rPr>
          <w:color w:val="231F20"/>
          <w:spacing w:val="-3"/>
        </w:rPr>
        <w:t>од </w:t>
      </w:r>
      <w:r>
        <w:rPr>
          <w:color w:val="231F20"/>
          <w:spacing w:val="-4"/>
        </w:rPr>
        <w:t>око </w:t>
      </w:r>
      <w:r>
        <w:rPr>
          <w:color w:val="231F20"/>
        </w:rPr>
        <w:t>3 бара и као такав нема довољну потисну енергију за пласман на веће</w:t>
      </w:r>
      <w:r>
        <w:rPr>
          <w:color w:val="231F20"/>
          <w:spacing w:val="-1"/>
        </w:rPr>
        <w:t> </w:t>
      </w:r>
      <w:r>
        <w:rPr>
          <w:color w:val="231F20"/>
        </w:rPr>
        <w:t>дистанце.</w:t>
      </w:r>
    </w:p>
    <w:p>
      <w:pPr>
        <w:pStyle w:val="BodyText"/>
        <w:spacing w:line="230" w:lineRule="auto"/>
        <w:ind w:right="39" w:firstLine="397"/>
      </w:pPr>
      <w:r>
        <w:rPr>
          <w:color w:val="231F20"/>
        </w:rPr>
        <w:t>Производни систем на нафтно-гасном пољу „Брадарац – Ма- љуревац” чини 9 бушотина са бушотинским нафтоводима, </w:t>
      </w:r>
      <w:r>
        <w:rPr>
          <w:color w:val="231F20"/>
          <w:spacing w:val="-3"/>
        </w:rPr>
        <w:t>којима </w:t>
      </w:r>
      <w:r>
        <w:rPr>
          <w:color w:val="231F20"/>
        </w:rPr>
        <w:t>се допремају произведени флуиди до сабирно-мерне станице си- стема за </w:t>
      </w:r>
      <w:r>
        <w:rPr>
          <w:color w:val="231F20"/>
          <w:spacing w:val="-3"/>
        </w:rPr>
        <w:t>припрему, </w:t>
      </w:r>
      <w:r>
        <w:rPr>
          <w:color w:val="231F20"/>
        </w:rPr>
        <w:t>складиштење и отпрему нафте. На овом пољу се остварује мања производња каптажног гаса и креће се</w:t>
      </w:r>
      <w:r>
        <w:rPr>
          <w:color w:val="231F20"/>
          <w:spacing w:val="-33"/>
        </w:rPr>
        <w:t> </w:t>
      </w:r>
      <w:r>
        <w:rPr>
          <w:color w:val="231F20"/>
          <w:spacing w:val="-4"/>
        </w:rPr>
        <w:t>око </w:t>
      </w:r>
      <w:r>
        <w:rPr>
          <w:color w:val="231F20"/>
        </w:rPr>
        <w:t>3.000</w:t>
      </w:r>
    </w:p>
    <w:p>
      <w:pPr>
        <w:pStyle w:val="BodyText"/>
        <w:spacing w:line="230" w:lineRule="auto"/>
        <w:ind w:left="171" w:right="38" w:hanging="1"/>
      </w:pPr>
      <w:r>
        <w:rPr>
          <w:color w:val="231F20"/>
          <w:w w:val="66"/>
        </w:rPr>
        <w:t> </w:t>
      </w:r>
      <w:r>
        <w:rPr>
          <w:color w:val="231F20"/>
        </w:rPr>
        <w:t>– 4.000 Нm³/дан и углавном покрива сопствене потребе. На нафт- но-гасном пољу „Острово” још није почела експлоатација.</w:t>
      </w:r>
    </w:p>
    <w:p>
      <w:pPr>
        <w:pStyle w:val="BodyText"/>
        <w:spacing w:before="160"/>
        <w:ind w:left="770"/>
        <w:jc w:val="left"/>
      </w:pPr>
      <w:r>
        <w:rPr>
          <w:color w:val="231F20"/>
        </w:rPr>
        <w:t>Коришћење металичних и неметаличних сировина</w:t>
      </w:r>
    </w:p>
    <w:p>
      <w:pPr>
        <w:pStyle w:val="BodyText"/>
        <w:spacing w:before="1"/>
        <w:ind w:left="0"/>
        <w:jc w:val="left"/>
        <w:rPr>
          <w:sz w:val="17"/>
        </w:rPr>
      </w:pPr>
    </w:p>
    <w:p>
      <w:pPr>
        <w:pStyle w:val="BodyText"/>
        <w:spacing w:line="230" w:lineRule="auto"/>
        <w:ind w:left="171" w:right="38" w:firstLine="396"/>
      </w:pPr>
      <w:r>
        <w:rPr>
          <w:color w:val="231F20"/>
        </w:rPr>
        <w:t>На Планском подручју у досадашњем периоду регистровано је присуство одређених минералних сировина (магнетит, рутилит, гранит, циркон, епидет, турмалин и друго). Међутим, досад нису регистроване значајније појаве металичних сировина.</w:t>
      </w:r>
    </w:p>
    <w:p>
      <w:pPr>
        <w:pStyle w:val="BodyText"/>
        <w:spacing w:line="230" w:lineRule="auto"/>
        <w:ind w:left="171" w:right="38" w:firstLine="396"/>
      </w:pPr>
      <w:r>
        <w:rPr>
          <w:color w:val="231F20"/>
        </w:rPr>
        <w:t>На овом подручју постоји више лежишта неметаличних си- ровина, то су пре свега шљунак, песак, технички грађевински ка- мен и опекарска глина.</w:t>
      </w:r>
    </w:p>
    <w:p>
      <w:pPr>
        <w:pStyle w:val="BodyText"/>
        <w:spacing w:line="230" w:lineRule="auto"/>
        <w:ind w:left="171" w:right="38" w:firstLine="396"/>
      </w:pPr>
      <w:r>
        <w:rPr>
          <w:color w:val="231F20"/>
        </w:rPr>
        <w:t>У широј околини Костолца налазе се појаве и лежишта шљунка, песка, опекарских сировина и техничког грађевинског камена. При геолошко-економским анализама треба узети у обзир и техногене сировине, како оне на депонијама, тако и количине техногених нуспродуката минералног порекла које се у савреме- ним производним процесима и при урбаном начину живота пер- манентно стварају (пепео и шљака из ТЕ, и друге сировине, укљу- чујући комунални отпад).</w:t>
      </w:r>
    </w:p>
    <w:p>
      <w:pPr>
        <w:pStyle w:val="BodyText"/>
        <w:spacing w:line="230" w:lineRule="auto"/>
        <w:ind w:left="171" w:right="38" w:firstLine="397"/>
      </w:pPr>
      <w:r>
        <w:rPr>
          <w:color w:val="231F20"/>
        </w:rPr>
        <w:t>Лежишта песка и шљунка лоцирана су у алувионима Велике Мораве, Дунава и Млаве. Лежишта се третирају као обновљива, па је њихова експлоатација </w:t>
      </w:r>
      <w:r>
        <w:rPr>
          <w:color w:val="231F20"/>
          <w:spacing w:val="-3"/>
        </w:rPr>
        <w:t>под </w:t>
      </w:r>
      <w:r>
        <w:rPr>
          <w:color w:val="231F20"/>
        </w:rPr>
        <w:t>јурисдикцијом водопривреде. </w:t>
      </w:r>
      <w:r>
        <w:rPr>
          <w:color w:val="231F20"/>
          <w:spacing w:val="-7"/>
        </w:rPr>
        <w:t>То </w:t>
      </w:r>
      <w:r>
        <w:rPr>
          <w:color w:val="231F20"/>
        </w:rPr>
        <w:t>се не односи на лежишта у алувиону изван регулисаног корита. Последњих </w:t>
      </w:r>
      <w:r>
        <w:rPr>
          <w:color w:val="231F20"/>
          <w:spacing w:val="-3"/>
        </w:rPr>
        <w:t>година </w:t>
      </w:r>
      <w:r>
        <w:rPr>
          <w:color w:val="231F20"/>
        </w:rPr>
        <w:t>отварају се и приватне шљункаре у </w:t>
      </w:r>
      <w:r>
        <w:rPr>
          <w:color w:val="231F20"/>
          <w:spacing w:val="-3"/>
        </w:rPr>
        <w:t>кориту </w:t>
      </w:r>
      <w:r>
        <w:rPr>
          <w:color w:val="231F20"/>
        </w:rPr>
        <w:t>Ве- лике</w:t>
      </w:r>
      <w:r>
        <w:rPr>
          <w:color w:val="231F20"/>
          <w:spacing w:val="-4"/>
        </w:rPr>
        <w:t> </w:t>
      </w:r>
      <w:r>
        <w:rPr>
          <w:color w:val="231F20"/>
        </w:rPr>
        <w:t>Мораве,</w:t>
      </w:r>
      <w:r>
        <w:rPr>
          <w:color w:val="231F20"/>
          <w:spacing w:val="-4"/>
        </w:rPr>
        <w:t> </w:t>
      </w:r>
      <w:r>
        <w:rPr>
          <w:color w:val="231F20"/>
        </w:rPr>
        <w:t>али</w:t>
      </w:r>
      <w:r>
        <w:rPr>
          <w:color w:val="231F20"/>
          <w:spacing w:val="-4"/>
        </w:rPr>
        <w:t> </w:t>
      </w:r>
      <w:r>
        <w:rPr>
          <w:color w:val="231F20"/>
        </w:rPr>
        <w:t>и</w:t>
      </w:r>
      <w:r>
        <w:rPr>
          <w:color w:val="231F20"/>
          <w:spacing w:val="-4"/>
        </w:rPr>
        <w:t> </w:t>
      </w:r>
      <w:r>
        <w:rPr>
          <w:color w:val="231F20"/>
        </w:rPr>
        <w:t>површински</w:t>
      </w:r>
      <w:r>
        <w:rPr>
          <w:color w:val="231F20"/>
          <w:spacing w:val="-4"/>
        </w:rPr>
        <w:t> </w:t>
      </w:r>
      <w:r>
        <w:rPr>
          <w:color w:val="231F20"/>
          <w:spacing w:val="-2"/>
        </w:rPr>
        <w:t>копови</w:t>
      </w:r>
      <w:r>
        <w:rPr>
          <w:color w:val="231F20"/>
          <w:spacing w:val="-4"/>
        </w:rPr>
        <w:t> </w:t>
      </w:r>
      <w:r>
        <w:rPr>
          <w:color w:val="231F20"/>
        </w:rPr>
        <w:t>шљунка</w:t>
      </w:r>
      <w:r>
        <w:rPr>
          <w:color w:val="231F20"/>
          <w:spacing w:val="-4"/>
        </w:rPr>
        <w:t> </w:t>
      </w:r>
      <w:r>
        <w:rPr>
          <w:color w:val="231F20"/>
        </w:rPr>
        <w:t>и</w:t>
      </w:r>
      <w:r>
        <w:rPr>
          <w:color w:val="231F20"/>
          <w:spacing w:val="-4"/>
        </w:rPr>
        <w:t> </w:t>
      </w:r>
      <w:r>
        <w:rPr>
          <w:color w:val="231F20"/>
        </w:rPr>
        <w:t>песка</w:t>
      </w:r>
      <w:r>
        <w:rPr>
          <w:color w:val="231F20"/>
          <w:spacing w:val="-4"/>
        </w:rPr>
        <w:t> </w:t>
      </w:r>
      <w:r>
        <w:rPr>
          <w:color w:val="231F20"/>
        </w:rPr>
        <w:t>у</w:t>
      </w:r>
      <w:r>
        <w:rPr>
          <w:color w:val="231F20"/>
          <w:spacing w:val="-4"/>
        </w:rPr>
        <w:t> </w:t>
      </w:r>
      <w:r>
        <w:rPr>
          <w:color w:val="231F20"/>
        </w:rPr>
        <w:t>алувио- нима, даље </w:t>
      </w:r>
      <w:r>
        <w:rPr>
          <w:color w:val="231F20"/>
          <w:spacing w:val="-3"/>
        </w:rPr>
        <w:t>од </w:t>
      </w:r>
      <w:r>
        <w:rPr>
          <w:color w:val="231F20"/>
        </w:rPr>
        <w:t>речних</w:t>
      </w:r>
      <w:r>
        <w:rPr>
          <w:color w:val="231F20"/>
          <w:spacing w:val="-1"/>
        </w:rPr>
        <w:t> </w:t>
      </w:r>
      <w:r>
        <w:rPr>
          <w:color w:val="231F20"/>
        </w:rPr>
        <w:t>корита.</w:t>
      </w:r>
    </w:p>
    <w:p>
      <w:pPr>
        <w:pStyle w:val="BodyText"/>
        <w:spacing w:line="230" w:lineRule="auto"/>
        <w:ind w:left="171" w:right="38" w:firstLine="397"/>
      </w:pPr>
      <w:r>
        <w:rPr>
          <w:color w:val="231F20"/>
        </w:rPr>
        <w:t>Технички грађевински камен експлоатисан је на </w:t>
      </w:r>
      <w:r>
        <w:rPr>
          <w:color w:val="231F20"/>
          <w:spacing w:val="-4"/>
        </w:rPr>
        <w:t>неколико </w:t>
      </w:r>
      <w:r>
        <w:rPr>
          <w:color w:val="231F20"/>
        </w:rPr>
        <w:t>микролокалитета </w:t>
      </w:r>
      <w:r>
        <w:rPr>
          <w:color w:val="231F20"/>
          <w:spacing w:val="-6"/>
        </w:rPr>
        <w:t>код </w:t>
      </w:r>
      <w:r>
        <w:rPr>
          <w:color w:val="231F20"/>
        </w:rPr>
        <w:t>Рама и у Старом </w:t>
      </w:r>
      <w:r>
        <w:rPr>
          <w:color w:val="231F20"/>
          <w:spacing w:val="-4"/>
        </w:rPr>
        <w:t>Костолцу. </w:t>
      </w:r>
      <w:r>
        <w:rPr>
          <w:color w:val="231F20"/>
          <w:spacing w:val="-5"/>
        </w:rPr>
        <w:t>Код </w:t>
      </w:r>
      <w:r>
        <w:rPr>
          <w:color w:val="231F20"/>
        </w:rPr>
        <w:t>Рама су екс- плоатисани кристаласти шкриљци. У Старом </w:t>
      </w:r>
      <w:r>
        <w:rPr>
          <w:color w:val="231F20"/>
          <w:spacing w:val="-4"/>
        </w:rPr>
        <w:t>Костолцу, </w:t>
      </w:r>
      <w:r>
        <w:rPr>
          <w:color w:val="231F20"/>
        </w:rPr>
        <w:t>на севе- розападној падини Пожаревачке греде, експлоатисано је лежиште бранда, чији је локални назив „црвенка”.</w:t>
      </w:r>
    </w:p>
    <w:p>
      <w:pPr>
        <w:pStyle w:val="ListParagraph"/>
        <w:numPr>
          <w:ilvl w:val="2"/>
          <w:numId w:val="13"/>
        </w:numPr>
        <w:tabs>
          <w:tab w:pos="1529" w:val="left" w:leader="none"/>
        </w:tabs>
        <w:spacing w:line="398" w:lineRule="exact" w:before="8" w:after="0"/>
        <w:ind w:left="568" w:right="39" w:firstLine="510"/>
        <w:jc w:val="left"/>
        <w:rPr>
          <w:sz w:val="18"/>
        </w:rPr>
      </w:pPr>
      <w:r>
        <w:rPr>
          <w:color w:val="231F20"/>
          <w:spacing w:val="15"/>
          <w:sz w:val="18"/>
        </w:rPr>
        <w:t>Развој енергет </w:t>
      </w:r>
      <w:r>
        <w:rPr>
          <w:color w:val="231F20"/>
          <w:spacing w:val="11"/>
          <w:sz w:val="18"/>
        </w:rPr>
        <w:t>ског </w:t>
      </w:r>
      <w:r>
        <w:rPr>
          <w:color w:val="231F20"/>
          <w:spacing w:val="15"/>
          <w:sz w:val="18"/>
        </w:rPr>
        <w:t>комплекс </w:t>
      </w:r>
      <w:r>
        <w:rPr>
          <w:color w:val="231F20"/>
          <w:sz w:val="18"/>
        </w:rPr>
        <w:t>а Производња</w:t>
      </w:r>
      <w:r>
        <w:rPr>
          <w:color w:val="231F20"/>
          <w:spacing w:val="20"/>
          <w:sz w:val="18"/>
        </w:rPr>
        <w:t> </w:t>
      </w:r>
      <w:r>
        <w:rPr>
          <w:color w:val="231F20"/>
          <w:sz w:val="18"/>
        </w:rPr>
        <w:t>електричне</w:t>
      </w:r>
      <w:r>
        <w:rPr>
          <w:color w:val="231F20"/>
          <w:spacing w:val="20"/>
          <w:sz w:val="18"/>
        </w:rPr>
        <w:t> </w:t>
      </w:r>
      <w:r>
        <w:rPr>
          <w:color w:val="231F20"/>
          <w:sz w:val="18"/>
        </w:rPr>
        <w:t>енергије</w:t>
      </w:r>
      <w:r>
        <w:rPr>
          <w:color w:val="231F20"/>
          <w:spacing w:val="20"/>
          <w:sz w:val="18"/>
        </w:rPr>
        <w:t> </w:t>
      </w:r>
      <w:r>
        <w:rPr>
          <w:color w:val="231F20"/>
          <w:sz w:val="18"/>
        </w:rPr>
        <w:t>се</w:t>
      </w:r>
      <w:r>
        <w:rPr>
          <w:color w:val="231F20"/>
          <w:spacing w:val="20"/>
          <w:sz w:val="18"/>
        </w:rPr>
        <w:t> </w:t>
      </w:r>
      <w:r>
        <w:rPr>
          <w:color w:val="231F20"/>
          <w:sz w:val="18"/>
        </w:rPr>
        <w:t>остварује</w:t>
      </w:r>
      <w:r>
        <w:rPr>
          <w:color w:val="231F20"/>
          <w:spacing w:val="20"/>
          <w:sz w:val="18"/>
        </w:rPr>
        <w:t> </w:t>
      </w:r>
      <w:r>
        <w:rPr>
          <w:color w:val="231F20"/>
          <w:sz w:val="18"/>
        </w:rPr>
        <w:t>у</w:t>
      </w:r>
      <w:r>
        <w:rPr>
          <w:color w:val="231F20"/>
          <w:spacing w:val="20"/>
          <w:sz w:val="18"/>
        </w:rPr>
        <w:t> </w:t>
      </w:r>
      <w:r>
        <w:rPr>
          <w:color w:val="231F20"/>
          <w:sz w:val="18"/>
        </w:rPr>
        <w:t>термоелек-</w:t>
      </w:r>
    </w:p>
    <w:p>
      <w:pPr>
        <w:pStyle w:val="BodyText"/>
        <w:spacing w:line="153" w:lineRule="exact"/>
        <w:jc w:val="left"/>
      </w:pPr>
      <w:r>
        <w:rPr>
          <w:color w:val="231F20"/>
        </w:rPr>
        <w:t>транама „Костолац А и Б”. Термоелектрана „Костолац А”, </w:t>
      </w:r>
      <w:r>
        <w:rPr>
          <w:color w:val="231F20"/>
          <w:spacing w:val="-3"/>
        </w:rPr>
        <w:t>коју </w:t>
      </w:r>
      <w:r>
        <w:rPr>
          <w:color w:val="231F20"/>
        </w:rPr>
        <w:t>чи-</w:t>
      </w:r>
    </w:p>
    <w:p>
      <w:pPr>
        <w:pStyle w:val="BodyText"/>
        <w:spacing w:line="230" w:lineRule="auto" w:before="3"/>
        <w:ind w:right="39"/>
      </w:pPr>
      <w:r>
        <w:rPr>
          <w:color w:val="231F20"/>
        </w:rPr>
        <w:t>не </w:t>
      </w:r>
      <w:r>
        <w:rPr>
          <w:color w:val="231F20"/>
          <w:spacing w:val="-3"/>
        </w:rPr>
        <w:t>блокови </w:t>
      </w:r>
      <w:r>
        <w:rPr>
          <w:color w:val="231F20"/>
        </w:rPr>
        <w:t>А1 и А2, лоцирана је на обалама некадашњег Дунавца, на</w:t>
      </w:r>
      <w:r>
        <w:rPr>
          <w:color w:val="231F20"/>
          <w:spacing w:val="-7"/>
        </w:rPr>
        <w:t> </w:t>
      </w:r>
      <w:r>
        <w:rPr>
          <w:color w:val="231F20"/>
        </w:rPr>
        <w:t>местима</w:t>
      </w:r>
      <w:r>
        <w:rPr>
          <w:color w:val="231F20"/>
          <w:spacing w:val="-7"/>
        </w:rPr>
        <w:t> </w:t>
      </w:r>
      <w:r>
        <w:rPr>
          <w:color w:val="231F20"/>
        </w:rPr>
        <w:t>старих</w:t>
      </w:r>
      <w:r>
        <w:rPr>
          <w:color w:val="231F20"/>
          <w:spacing w:val="-7"/>
        </w:rPr>
        <w:t> </w:t>
      </w:r>
      <w:r>
        <w:rPr>
          <w:color w:val="231F20"/>
        </w:rPr>
        <w:t>термоелектрана</w:t>
      </w:r>
      <w:r>
        <w:rPr>
          <w:color w:val="231F20"/>
          <w:spacing w:val="-7"/>
        </w:rPr>
        <w:t> </w:t>
      </w:r>
      <w:r>
        <w:rPr>
          <w:color w:val="231F20"/>
        </w:rPr>
        <w:t>„Мали</w:t>
      </w:r>
      <w:r>
        <w:rPr>
          <w:color w:val="231F20"/>
          <w:spacing w:val="-7"/>
        </w:rPr>
        <w:t> </w:t>
      </w:r>
      <w:r>
        <w:rPr>
          <w:color w:val="231F20"/>
        </w:rPr>
        <w:t>и</w:t>
      </w:r>
      <w:r>
        <w:rPr>
          <w:color w:val="231F20"/>
          <w:spacing w:val="-7"/>
        </w:rPr>
        <w:t> </w:t>
      </w:r>
      <w:r>
        <w:rPr>
          <w:color w:val="231F20"/>
        </w:rPr>
        <w:t>Велики</w:t>
      </w:r>
      <w:r>
        <w:rPr>
          <w:color w:val="231F20"/>
          <w:spacing w:val="-7"/>
        </w:rPr>
        <w:t> </w:t>
      </w:r>
      <w:r>
        <w:rPr>
          <w:color w:val="231F20"/>
        </w:rPr>
        <w:t>Костолац”.</w:t>
      </w:r>
      <w:r>
        <w:rPr>
          <w:color w:val="231F20"/>
          <w:spacing w:val="-7"/>
        </w:rPr>
        <w:t> </w:t>
      </w:r>
      <w:r>
        <w:rPr>
          <w:color w:val="231F20"/>
        </w:rPr>
        <w:t>Са Дунавом су повезане пловним каналом дужине 1,7 km, чија вода служи за њихово нaпајање и за остале потребе. </w:t>
      </w:r>
      <w:r>
        <w:rPr>
          <w:color w:val="231F20"/>
          <w:spacing w:val="-3"/>
        </w:rPr>
        <w:t>Блокови </w:t>
      </w:r>
      <w:r>
        <w:rPr>
          <w:color w:val="231F20"/>
        </w:rPr>
        <w:t>Костолац А1 и А2 технолошки су везане и </w:t>
      </w:r>
      <w:r>
        <w:rPr>
          <w:color w:val="231F20"/>
          <w:spacing w:val="-3"/>
        </w:rPr>
        <w:t>преко </w:t>
      </w:r>
      <w:r>
        <w:rPr>
          <w:color w:val="231F20"/>
        </w:rPr>
        <w:t>низа заједничких објеката (допрема угља, црпна станица расхладне воде, хемијска припрема воде,</w:t>
      </w:r>
      <w:r>
        <w:rPr>
          <w:color w:val="231F20"/>
          <w:spacing w:val="-8"/>
        </w:rPr>
        <w:t> </w:t>
      </w:r>
      <w:r>
        <w:rPr>
          <w:color w:val="231F20"/>
          <w:spacing w:val="-3"/>
        </w:rPr>
        <w:t>одводни</w:t>
      </w:r>
      <w:r>
        <w:rPr>
          <w:color w:val="231F20"/>
          <w:spacing w:val="-8"/>
        </w:rPr>
        <w:t> </w:t>
      </w:r>
      <w:r>
        <w:rPr>
          <w:color w:val="231F20"/>
        </w:rPr>
        <w:t>канал</w:t>
      </w:r>
      <w:r>
        <w:rPr>
          <w:color w:val="231F20"/>
          <w:spacing w:val="-8"/>
        </w:rPr>
        <w:t> </w:t>
      </w:r>
      <w:r>
        <w:rPr>
          <w:color w:val="231F20"/>
        </w:rPr>
        <w:t>топле</w:t>
      </w:r>
      <w:r>
        <w:rPr>
          <w:color w:val="231F20"/>
          <w:spacing w:val="-8"/>
        </w:rPr>
        <w:t> </w:t>
      </w:r>
      <w:r>
        <w:rPr>
          <w:color w:val="231F20"/>
        </w:rPr>
        <w:t>расхладне</w:t>
      </w:r>
      <w:r>
        <w:rPr>
          <w:color w:val="231F20"/>
          <w:spacing w:val="-8"/>
        </w:rPr>
        <w:t> </w:t>
      </w:r>
      <w:r>
        <w:rPr>
          <w:color w:val="231F20"/>
        </w:rPr>
        <w:t>воде,</w:t>
      </w:r>
      <w:r>
        <w:rPr>
          <w:color w:val="231F20"/>
          <w:spacing w:val="-8"/>
        </w:rPr>
        <w:t> </w:t>
      </w:r>
      <w:r>
        <w:rPr>
          <w:color w:val="231F20"/>
        </w:rPr>
        <w:t>електрокоманда,</w:t>
      </w:r>
      <w:r>
        <w:rPr>
          <w:color w:val="231F20"/>
          <w:spacing w:val="-8"/>
        </w:rPr>
        <w:t> </w:t>
      </w:r>
      <w:r>
        <w:rPr>
          <w:color w:val="231F20"/>
        </w:rPr>
        <w:t>стани- ца течног горива, разводно постројење </w:t>
      </w:r>
      <w:r>
        <w:rPr>
          <w:color w:val="231F20"/>
          <w:spacing w:val="-3"/>
        </w:rPr>
        <w:t>110 </w:t>
      </w:r>
      <w:r>
        <w:rPr>
          <w:color w:val="231F20"/>
        </w:rPr>
        <w:t>kV и 35 kV и међубло- </w:t>
      </w:r>
      <w:r>
        <w:rPr>
          <w:color w:val="231F20"/>
          <w:spacing w:val="-3"/>
        </w:rPr>
        <w:t>ковска</w:t>
      </w:r>
      <w:r>
        <w:rPr>
          <w:color w:val="231F20"/>
          <w:spacing w:val="-7"/>
        </w:rPr>
        <w:t> </w:t>
      </w:r>
      <w:r>
        <w:rPr>
          <w:color w:val="231F20"/>
        </w:rPr>
        <w:t>веза</w:t>
      </w:r>
      <w:r>
        <w:rPr>
          <w:color w:val="231F20"/>
          <w:spacing w:val="-7"/>
        </w:rPr>
        <w:t> </w:t>
      </w:r>
      <w:r>
        <w:rPr>
          <w:color w:val="231F20"/>
        </w:rPr>
        <w:t>за</w:t>
      </w:r>
      <w:r>
        <w:rPr>
          <w:color w:val="231F20"/>
          <w:spacing w:val="-7"/>
        </w:rPr>
        <w:t> </w:t>
      </w:r>
      <w:r>
        <w:rPr>
          <w:color w:val="231F20"/>
        </w:rPr>
        <w:t>међусобну</w:t>
      </w:r>
      <w:r>
        <w:rPr>
          <w:color w:val="231F20"/>
          <w:spacing w:val="-7"/>
        </w:rPr>
        <w:t> </w:t>
      </w:r>
      <w:r>
        <w:rPr>
          <w:color w:val="231F20"/>
        </w:rPr>
        <w:t>испоруку</w:t>
      </w:r>
      <w:r>
        <w:rPr>
          <w:color w:val="231F20"/>
          <w:spacing w:val="-7"/>
        </w:rPr>
        <w:t> </w:t>
      </w:r>
      <w:r>
        <w:rPr>
          <w:color w:val="231F20"/>
        </w:rPr>
        <w:t>паре</w:t>
      </w:r>
      <w:r>
        <w:rPr>
          <w:color w:val="231F20"/>
          <w:spacing w:val="-7"/>
        </w:rPr>
        <w:t> </w:t>
      </w:r>
      <w:r>
        <w:rPr>
          <w:color w:val="231F20"/>
        </w:rPr>
        <w:t>у</w:t>
      </w:r>
      <w:r>
        <w:rPr>
          <w:color w:val="231F20"/>
          <w:spacing w:val="-7"/>
        </w:rPr>
        <w:t> </w:t>
      </w:r>
      <w:r>
        <w:rPr>
          <w:color w:val="231F20"/>
        </w:rPr>
        <w:t>случају</w:t>
      </w:r>
      <w:r>
        <w:rPr>
          <w:color w:val="231F20"/>
          <w:spacing w:val="-7"/>
        </w:rPr>
        <w:t> </w:t>
      </w:r>
      <w:r>
        <w:rPr>
          <w:color w:val="231F20"/>
        </w:rPr>
        <w:t>потреба).</w:t>
      </w:r>
      <w:r>
        <w:rPr>
          <w:color w:val="231F20"/>
          <w:spacing w:val="-8"/>
        </w:rPr>
        <w:t> </w:t>
      </w:r>
      <w:r>
        <w:rPr>
          <w:color w:val="231F20"/>
        </w:rPr>
        <w:t>Димни</w:t>
      </w:r>
    </w:p>
    <w:p>
      <w:pPr>
        <w:pStyle w:val="BodyText"/>
        <w:spacing w:line="230" w:lineRule="auto" w:before="76"/>
        <w:ind w:left="171" w:right="411"/>
      </w:pPr>
      <w:r>
        <w:rPr/>
        <w:br w:type="column"/>
      </w:r>
      <w:r>
        <w:rPr>
          <w:color w:val="231F20"/>
        </w:rPr>
        <w:t>гасови</w:t>
      </w:r>
      <w:r>
        <w:rPr>
          <w:color w:val="231F20"/>
          <w:spacing w:val="-6"/>
        </w:rPr>
        <w:t> </w:t>
      </w:r>
      <w:r>
        <w:rPr>
          <w:color w:val="231F20"/>
        </w:rPr>
        <w:t>из</w:t>
      </w:r>
      <w:r>
        <w:rPr>
          <w:color w:val="231F20"/>
          <w:spacing w:val="-6"/>
        </w:rPr>
        <w:t> </w:t>
      </w:r>
      <w:r>
        <w:rPr>
          <w:color w:val="231F20"/>
        </w:rPr>
        <w:t>блока</w:t>
      </w:r>
      <w:r>
        <w:rPr>
          <w:color w:val="231F20"/>
          <w:spacing w:val="-6"/>
        </w:rPr>
        <w:t> </w:t>
      </w:r>
      <w:r>
        <w:rPr>
          <w:color w:val="231F20"/>
        </w:rPr>
        <w:t>А1</w:t>
      </w:r>
      <w:r>
        <w:rPr>
          <w:color w:val="231F20"/>
          <w:spacing w:val="-6"/>
        </w:rPr>
        <w:t> </w:t>
      </w:r>
      <w:r>
        <w:rPr>
          <w:color w:val="231F20"/>
        </w:rPr>
        <w:t>се</w:t>
      </w:r>
      <w:r>
        <w:rPr>
          <w:color w:val="231F20"/>
          <w:spacing w:val="-6"/>
        </w:rPr>
        <w:t> </w:t>
      </w:r>
      <w:r>
        <w:rPr>
          <w:color w:val="231F20"/>
        </w:rPr>
        <w:t>емитују</w:t>
      </w:r>
      <w:r>
        <w:rPr>
          <w:color w:val="231F20"/>
          <w:spacing w:val="-6"/>
        </w:rPr>
        <w:t> </w:t>
      </w:r>
      <w:r>
        <w:rPr>
          <w:color w:val="231F20"/>
        </w:rPr>
        <w:t>у</w:t>
      </w:r>
      <w:r>
        <w:rPr>
          <w:color w:val="231F20"/>
          <w:spacing w:val="-6"/>
        </w:rPr>
        <w:t> </w:t>
      </w:r>
      <w:r>
        <w:rPr>
          <w:color w:val="231F20"/>
        </w:rPr>
        <w:t>атмосферу</w:t>
      </w:r>
      <w:r>
        <w:rPr>
          <w:color w:val="231F20"/>
          <w:spacing w:val="-6"/>
        </w:rPr>
        <w:t> </w:t>
      </w:r>
      <w:r>
        <w:rPr>
          <w:color w:val="231F20"/>
        </w:rPr>
        <w:t>из</w:t>
      </w:r>
      <w:r>
        <w:rPr>
          <w:color w:val="231F20"/>
          <w:spacing w:val="-6"/>
        </w:rPr>
        <w:t> </w:t>
      </w:r>
      <w:r>
        <w:rPr>
          <w:color w:val="231F20"/>
        </w:rPr>
        <w:t>димњака</w:t>
      </w:r>
      <w:r>
        <w:rPr>
          <w:color w:val="231F20"/>
          <w:spacing w:val="-6"/>
        </w:rPr>
        <w:t> </w:t>
      </w:r>
      <w:r>
        <w:rPr>
          <w:color w:val="231F20"/>
        </w:rPr>
        <w:t>висине</w:t>
      </w:r>
      <w:r>
        <w:rPr>
          <w:color w:val="231F20"/>
          <w:spacing w:val="-6"/>
        </w:rPr>
        <w:t> </w:t>
      </w:r>
      <w:r>
        <w:rPr>
          <w:color w:val="231F20"/>
        </w:rPr>
        <w:t>105 m и пречника на излазу 5 m, а из блока А2 из димњака висине </w:t>
      </w:r>
      <w:r>
        <w:rPr>
          <w:color w:val="231F20"/>
          <w:spacing w:val="-3"/>
        </w:rPr>
        <w:t>110 </w:t>
      </w:r>
      <w:r>
        <w:rPr>
          <w:color w:val="231F20"/>
        </w:rPr>
        <w:t>и пречника на излазу 5,7</w:t>
      </w:r>
      <w:r>
        <w:rPr>
          <w:color w:val="231F20"/>
          <w:spacing w:val="-4"/>
        </w:rPr>
        <w:t> </w:t>
      </w:r>
      <w:r>
        <w:rPr>
          <w:color w:val="231F20"/>
        </w:rPr>
        <w:t>m.</w:t>
      </w:r>
    </w:p>
    <w:p>
      <w:pPr>
        <w:pStyle w:val="BodyText"/>
        <w:spacing w:line="232" w:lineRule="auto"/>
        <w:ind w:right="411" w:firstLine="397"/>
      </w:pPr>
      <w:r>
        <w:rPr>
          <w:color w:val="231F20"/>
        </w:rPr>
        <w:t>Термоелектрана „Костолац Б”, </w:t>
      </w:r>
      <w:r>
        <w:rPr>
          <w:color w:val="231F20"/>
          <w:spacing w:val="-3"/>
        </w:rPr>
        <w:t>коју </w:t>
      </w:r>
      <w:r>
        <w:rPr>
          <w:color w:val="231F20"/>
        </w:rPr>
        <w:t>чине </w:t>
      </w:r>
      <w:r>
        <w:rPr>
          <w:color w:val="231F20"/>
          <w:spacing w:val="-3"/>
        </w:rPr>
        <w:t>блокови </w:t>
      </w:r>
      <w:r>
        <w:rPr>
          <w:color w:val="231F20"/>
        </w:rPr>
        <w:t>Б1 и Б2, налази се поред површинског </w:t>
      </w:r>
      <w:r>
        <w:rPr>
          <w:color w:val="231F20"/>
          <w:spacing w:val="-3"/>
        </w:rPr>
        <w:t>копа </w:t>
      </w:r>
      <w:r>
        <w:rPr>
          <w:color w:val="231F20"/>
        </w:rPr>
        <w:t>„Дрмно” на удаљености </w:t>
      </w:r>
      <w:r>
        <w:rPr>
          <w:color w:val="231F20"/>
          <w:spacing w:val="-4"/>
        </w:rPr>
        <w:t>око </w:t>
      </w:r>
      <w:r>
        <w:rPr>
          <w:color w:val="231F20"/>
        </w:rPr>
        <w:t>1 km. На термоелектрани је предвиђена депонија угља </w:t>
      </w:r>
      <w:r>
        <w:rPr>
          <w:color w:val="231F20"/>
          <w:spacing w:val="-3"/>
        </w:rPr>
        <w:t>од </w:t>
      </w:r>
      <w:r>
        <w:rPr>
          <w:color w:val="231F20"/>
        </w:rPr>
        <w:t>700.000 t са одговарајућом механизацијом. Снабдевање </w:t>
      </w:r>
      <w:r>
        <w:rPr>
          <w:color w:val="231F20"/>
          <w:spacing w:val="-3"/>
        </w:rPr>
        <w:t>блокова </w:t>
      </w:r>
      <w:r>
        <w:rPr>
          <w:color w:val="231F20"/>
        </w:rPr>
        <w:t>се обавља </w:t>
      </w:r>
      <w:r>
        <w:rPr>
          <w:color w:val="231F20"/>
          <w:spacing w:val="-3"/>
        </w:rPr>
        <w:t>преко </w:t>
      </w:r>
      <w:r>
        <w:rPr>
          <w:color w:val="231F20"/>
        </w:rPr>
        <w:t>командно-пресипне зграде. Технолошки систем за прику- пљање</w:t>
      </w:r>
      <w:r>
        <w:rPr>
          <w:color w:val="231F20"/>
          <w:spacing w:val="-8"/>
        </w:rPr>
        <w:t> </w:t>
      </w:r>
      <w:r>
        <w:rPr>
          <w:color w:val="231F20"/>
        </w:rPr>
        <w:t>и</w:t>
      </w:r>
      <w:r>
        <w:rPr>
          <w:color w:val="231F20"/>
          <w:spacing w:val="-9"/>
        </w:rPr>
        <w:t> </w:t>
      </w:r>
      <w:r>
        <w:rPr>
          <w:color w:val="231F20"/>
        </w:rPr>
        <w:t>отпрему</w:t>
      </w:r>
      <w:r>
        <w:rPr>
          <w:color w:val="231F20"/>
          <w:spacing w:val="-9"/>
        </w:rPr>
        <w:t> </w:t>
      </w:r>
      <w:r>
        <w:rPr>
          <w:color w:val="231F20"/>
        </w:rPr>
        <w:t>пепела</w:t>
      </w:r>
      <w:r>
        <w:rPr>
          <w:color w:val="231F20"/>
          <w:spacing w:val="-8"/>
        </w:rPr>
        <w:t> </w:t>
      </w:r>
      <w:r>
        <w:rPr>
          <w:color w:val="231F20"/>
        </w:rPr>
        <w:t>и</w:t>
      </w:r>
      <w:r>
        <w:rPr>
          <w:color w:val="231F20"/>
          <w:spacing w:val="-9"/>
        </w:rPr>
        <w:t> </w:t>
      </w:r>
      <w:r>
        <w:rPr>
          <w:color w:val="231F20"/>
        </w:rPr>
        <w:t>шљаке</w:t>
      </w:r>
      <w:r>
        <w:rPr>
          <w:color w:val="231F20"/>
          <w:spacing w:val="-8"/>
        </w:rPr>
        <w:t> </w:t>
      </w:r>
      <w:r>
        <w:rPr>
          <w:color w:val="231F20"/>
        </w:rPr>
        <w:t>подразумева</w:t>
      </w:r>
      <w:r>
        <w:rPr>
          <w:color w:val="231F20"/>
          <w:spacing w:val="-8"/>
        </w:rPr>
        <w:t> </w:t>
      </w:r>
      <w:r>
        <w:rPr>
          <w:color w:val="231F20"/>
        </w:rPr>
        <w:t>прихватање</w:t>
      </w:r>
      <w:r>
        <w:rPr>
          <w:color w:val="231F20"/>
          <w:spacing w:val="-8"/>
        </w:rPr>
        <w:t> </w:t>
      </w:r>
      <w:r>
        <w:rPr>
          <w:color w:val="231F20"/>
        </w:rPr>
        <w:t>пепела и </w:t>
      </w:r>
      <w:r>
        <w:rPr>
          <w:color w:val="231F20"/>
          <w:spacing w:val="-3"/>
        </w:rPr>
        <w:t>пнеуматско-хидраулични </w:t>
      </w:r>
      <w:r>
        <w:rPr>
          <w:color w:val="231F20"/>
        </w:rPr>
        <w:t>транспорт до прихватног резервоара у багер станици. Транспорт шљаке </w:t>
      </w:r>
      <w:r>
        <w:rPr>
          <w:color w:val="231F20"/>
          <w:spacing w:val="-3"/>
        </w:rPr>
        <w:t>од </w:t>
      </w:r>
      <w:r>
        <w:rPr>
          <w:color w:val="231F20"/>
        </w:rPr>
        <w:t>отшљакивача обавља се тра- кастим транспортером до дробилице, односно каналом </w:t>
      </w:r>
      <w:r>
        <w:rPr>
          <w:color w:val="231F20"/>
          <w:spacing w:val="-3"/>
        </w:rPr>
        <w:t>којим </w:t>
      </w:r>
      <w:r>
        <w:rPr>
          <w:color w:val="231F20"/>
        </w:rPr>
        <w:t>се помоћу спирне воде односи у базен хидросмеше. Предвиђене су две багер пумпе </w:t>
      </w:r>
      <w:r>
        <w:rPr>
          <w:color w:val="231F20"/>
          <w:spacing w:val="-3"/>
        </w:rPr>
        <w:t>од </w:t>
      </w:r>
      <w:r>
        <w:rPr>
          <w:color w:val="231F20"/>
        </w:rPr>
        <w:t>1.250 m³/час по </w:t>
      </w:r>
      <w:r>
        <w:rPr>
          <w:color w:val="231F20"/>
          <w:spacing w:val="-5"/>
        </w:rPr>
        <w:t>блоку. </w:t>
      </w:r>
      <w:r>
        <w:rPr>
          <w:color w:val="231F20"/>
        </w:rPr>
        <w:t>У прво време коришће- на је депонија пепела поред реке Дунав </w:t>
      </w:r>
      <w:r>
        <w:rPr>
          <w:color w:val="231F20"/>
          <w:spacing w:val="-3"/>
        </w:rPr>
        <w:t>која заузима </w:t>
      </w:r>
      <w:r>
        <w:rPr>
          <w:color w:val="231F20"/>
        </w:rPr>
        <w:t>површини </w:t>
      </w:r>
      <w:r>
        <w:rPr>
          <w:color w:val="231F20"/>
          <w:spacing w:val="-3"/>
        </w:rPr>
        <w:t>од </w:t>
      </w:r>
      <w:r>
        <w:rPr>
          <w:color w:val="231F20"/>
          <w:spacing w:val="-4"/>
        </w:rPr>
        <w:t>око </w:t>
      </w:r>
      <w:r>
        <w:rPr>
          <w:color w:val="231F20"/>
        </w:rPr>
        <w:t>250 ha. Од 2007. </w:t>
      </w:r>
      <w:r>
        <w:rPr>
          <w:color w:val="231F20"/>
          <w:spacing w:val="-3"/>
        </w:rPr>
        <w:t>године </w:t>
      </w:r>
      <w:r>
        <w:rPr>
          <w:color w:val="231F20"/>
        </w:rPr>
        <w:t>почела је реконструкција система уво- ђењем транспорта са густом мешавином и депоновањем у унутра- шње одлагалиште </w:t>
      </w:r>
      <w:r>
        <w:rPr>
          <w:color w:val="231F20"/>
          <w:spacing w:val="-3"/>
        </w:rPr>
        <w:t>копа „Ћириковац”. </w:t>
      </w:r>
      <w:r>
        <w:rPr>
          <w:color w:val="231F20"/>
        </w:rPr>
        <w:t>За емитовање димних гасова из </w:t>
      </w:r>
      <w:r>
        <w:rPr>
          <w:color w:val="231F20"/>
          <w:spacing w:val="-3"/>
        </w:rPr>
        <w:t>блокова </w:t>
      </w:r>
      <w:r>
        <w:rPr>
          <w:color w:val="231F20"/>
        </w:rPr>
        <w:t>Б1 и Б2 димензионисан је заједнички димњак висине 250 m и пречника на излазу из димњака 9,8</w:t>
      </w:r>
      <w:r>
        <w:rPr>
          <w:color w:val="231F20"/>
          <w:spacing w:val="-8"/>
        </w:rPr>
        <w:t> </w:t>
      </w:r>
      <w:r>
        <w:rPr>
          <w:color w:val="231F20"/>
        </w:rPr>
        <w:t>m.</w:t>
      </w:r>
    </w:p>
    <w:p>
      <w:pPr>
        <w:pStyle w:val="BodyText"/>
        <w:spacing w:line="185" w:lineRule="exact"/>
        <w:ind w:left="567"/>
        <w:jc w:val="left"/>
      </w:pPr>
      <w:r>
        <w:rPr>
          <w:color w:val="231F20"/>
        </w:rPr>
        <w:t>У термоелектранама су активна четири блока укупне снаге</w:t>
      </w:r>
    </w:p>
    <w:p>
      <w:pPr>
        <w:pStyle w:val="BodyText"/>
        <w:spacing w:line="232" w:lineRule="auto"/>
        <w:ind w:right="412"/>
      </w:pPr>
      <w:r>
        <w:rPr>
          <w:color w:val="231F20"/>
          <w:spacing w:val="-3"/>
        </w:rPr>
        <w:t>преко </w:t>
      </w:r>
      <w:r>
        <w:rPr>
          <w:color w:val="231F20"/>
        </w:rPr>
        <w:t>1.000 </w:t>
      </w:r>
      <w:r>
        <w:rPr>
          <w:color w:val="231F20"/>
          <w:spacing w:val="-7"/>
        </w:rPr>
        <w:t>МW, </w:t>
      </w:r>
      <w:r>
        <w:rPr>
          <w:color w:val="231F20"/>
        </w:rPr>
        <w:t>а инсталисане снаге и потребне </w:t>
      </w:r>
      <w:r>
        <w:rPr>
          <w:color w:val="231F20"/>
          <w:spacing w:val="-3"/>
        </w:rPr>
        <w:t>количине </w:t>
      </w:r>
      <w:r>
        <w:rPr>
          <w:color w:val="231F20"/>
        </w:rPr>
        <w:t>угља по</w:t>
      </w:r>
      <w:r>
        <w:rPr>
          <w:color w:val="231F20"/>
          <w:spacing w:val="-5"/>
        </w:rPr>
        <w:t> </w:t>
      </w:r>
      <w:r>
        <w:rPr>
          <w:color w:val="231F20"/>
          <w:spacing w:val="-3"/>
        </w:rPr>
        <w:t>блоковима</w:t>
      </w:r>
      <w:r>
        <w:rPr>
          <w:color w:val="231F20"/>
          <w:spacing w:val="-5"/>
        </w:rPr>
        <w:t> </w:t>
      </w:r>
      <w:r>
        <w:rPr>
          <w:color w:val="231F20"/>
        </w:rPr>
        <w:t>дати</w:t>
      </w:r>
      <w:r>
        <w:rPr>
          <w:color w:val="231F20"/>
          <w:spacing w:val="-5"/>
        </w:rPr>
        <w:t> </w:t>
      </w:r>
      <w:r>
        <w:rPr>
          <w:color w:val="231F20"/>
        </w:rPr>
        <w:t>су</w:t>
      </w:r>
      <w:r>
        <w:rPr>
          <w:color w:val="231F20"/>
          <w:spacing w:val="-5"/>
        </w:rPr>
        <w:t> </w:t>
      </w:r>
      <w:r>
        <w:rPr>
          <w:color w:val="231F20"/>
        </w:rPr>
        <w:t>у</w:t>
      </w:r>
      <w:r>
        <w:rPr>
          <w:color w:val="231F20"/>
          <w:spacing w:val="-5"/>
        </w:rPr>
        <w:t> </w:t>
      </w:r>
      <w:r>
        <w:rPr>
          <w:color w:val="231F20"/>
          <w:spacing w:val="-3"/>
        </w:rPr>
        <w:t>Табели</w:t>
      </w:r>
      <w:r>
        <w:rPr>
          <w:color w:val="231F20"/>
          <w:spacing w:val="-5"/>
        </w:rPr>
        <w:t> </w:t>
      </w:r>
      <w:r>
        <w:rPr>
          <w:color w:val="231F20"/>
        </w:rPr>
        <w:t>3.</w:t>
      </w:r>
      <w:r>
        <w:rPr>
          <w:color w:val="231F20"/>
          <w:spacing w:val="-5"/>
        </w:rPr>
        <w:t> </w:t>
      </w:r>
      <w:r>
        <w:rPr>
          <w:color w:val="231F20"/>
        </w:rPr>
        <w:t>Производња</w:t>
      </w:r>
      <w:r>
        <w:rPr>
          <w:color w:val="231F20"/>
          <w:spacing w:val="-5"/>
        </w:rPr>
        <w:t> </w:t>
      </w:r>
      <w:r>
        <w:rPr>
          <w:color w:val="231F20"/>
        </w:rPr>
        <w:t>електричне</w:t>
      </w:r>
      <w:r>
        <w:rPr>
          <w:color w:val="231F20"/>
          <w:spacing w:val="-5"/>
        </w:rPr>
        <w:t> </w:t>
      </w:r>
      <w:r>
        <w:rPr>
          <w:color w:val="231F20"/>
        </w:rPr>
        <w:t>енергије се</w:t>
      </w:r>
      <w:r>
        <w:rPr>
          <w:color w:val="231F20"/>
          <w:spacing w:val="-7"/>
        </w:rPr>
        <w:t> </w:t>
      </w:r>
      <w:r>
        <w:rPr>
          <w:color w:val="231F20"/>
        </w:rPr>
        <w:t>задњих</w:t>
      </w:r>
      <w:r>
        <w:rPr>
          <w:color w:val="231F20"/>
          <w:spacing w:val="-7"/>
        </w:rPr>
        <w:t> </w:t>
      </w:r>
      <w:r>
        <w:rPr>
          <w:color w:val="231F20"/>
          <w:spacing w:val="-3"/>
        </w:rPr>
        <w:t>година</w:t>
      </w:r>
      <w:r>
        <w:rPr>
          <w:color w:val="231F20"/>
          <w:spacing w:val="-7"/>
        </w:rPr>
        <w:t> </w:t>
      </w:r>
      <w:r>
        <w:rPr>
          <w:color w:val="231F20"/>
        </w:rPr>
        <w:t>креће</w:t>
      </w:r>
      <w:r>
        <w:rPr>
          <w:color w:val="231F20"/>
          <w:spacing w:val="-7"/>
        </w:rPr>
        <w:t> </w:t>
      </w:r>
      <w:r>
        <w:rPr>
          <w:color w:val="231F20"/>
        </w:rPr>
        <w:t>на</w:t>
      </w:r>
      <w:r>
        <w:rPr>
          <w:color w:val="231F20"/>
          <w:spacing w:val="-7"/>
        </w:rPr>
        <w:t> </w:t>
      </w:r>
      <w:r>
        <w:rPr>
          <w:color w:val="231F20"/>
          <w:spacing w:val="-3"/>
        </w:rPr>
        <w:t>нивоу</w:t>
      </w:r>
      <w:r>
        <w:rPr>
          <w:color w:val="231F20"/>
          <w:spacing w:val="-7"/>
        </w:rPr>
        <w:t> </w:t>
      </w:r>
      <w:r>
        <w:rPr>
          <w:color w:val="231F20"/>
          <w:spacing w:val="-4"/>
        </w:rPr>
        <w:t>од</w:t>
      </w:r>
      <w:r>
        <w:rPr>
          <w:color w:val="231F20"/>
          <w:spacing w:val="-7"/>
        </w:rPr>
        <w:t> </w:t>
      </w:r>
      <w:r>
        <w:rPr>
          <w:color w:val="231F20"/>
          <w:spacing w:val="-3"/>
        </w:rPr>
        <w:t>преко</w:t>
      </w:r>
      <w:r>
        <w:rPr>
          <w:color w:val="231F20"/>
          <w:spacing w:val="-7"/>
        </w:rPr>
        <w:t> </w:t>
      </w:r>
      <w:r>
        <w:rPr>
          <w:color w:val="231F20"/>
        </w:rPr>
        <w:t>5.800</w:t>
      </w:r>
      <w:r>
        <w:rPr>
          <w:color w:val="231F20"/>
          <w:spacing w:val="-7"/>
        </w:rPr>
        <w:t> </w:t>
      </w:r>
      <w:r>
        <w:rPr>
          <w:color w:val="231F20"/>
        </w:rPr>
        <w:t>GWh/годишње,</w:t>
      </w:r>
      <w:r>
        <w:rPr>
          <w:color w:val="231F20"/>
          <w:spacing w:val="-7"/>
        </w:rPr>
        <w:t> </w:t>
      </w:r>
      <w:r>
        <w:rPr>
          <w:color w:val="231F20"/>
          <w:spacing w:val="-3"/>
        </w:rPr>
        <w:t>од- </w:t>
      </w:r>
      <w:r>
        <w:rPr>
          <w:color w:val="231F20"/>
        </w:rPr>
        <w:t>носно </w:t>
      </w:r>
      <w:r>
        <w:rPr>
          <w:color w:val="231F20"/>
          <w:spacing w:val="-3"/>
        </w:rPr>
        <w:t>преко </w:t>
      </w:r>
      <w:r>
        <w:rPr>
          <w:color w:val="231F20"/>
        </w:rPr>
        <w:t>15 % укупне производње електричне енергије Јавног предузећа</w:t>
      </w:r>
      <w:r>
        <w:rPr>
          <w:color w:val="231F20"/>
          <w:spacing w:val="-8"/>
        </w:rPr>
        <w:t> </w:t>
      </w:r>
      <w:r>
        <w:rPr>
          <w:color w:val="231F20"/>
        </w:rPr>
        <w:t>„Електропривреда</w:t>
      </w:r>
      <w:r>
        <w:rPr>
          <w:color w:val="231F20"/>
          <w:spacing w:val="-8"/>
        </w:rPr>
        <w:t> </w:t>
      </w:r>
      <w:r>
        <w:rPr>
          <w:color w:val="231F20"/>
        </w:rPr>
        <w:t>Србије”</w:t>
      </w:r>
      <w:r>
        <w:rPr>
          <w:color w:val="231F20"/>
          <w:spacing w:val="-8"/>
        </w:rPr>
        <w:t> </w:t>
      </w:r>
      <w:r>
        <w:rPr>
          <w:color w:val="231F20"/>
        </w:rPr>
        <w:t>(у</w:t>
      </w:r>
      <w:r>
        <w:rPr>
          <w:color w:val="231F20"/>
          <w:spacing w:val="-8"/>
        </w:rPr>
        <w:t> </w:t>
      </w:r>
      <w:r>
        <w:rPr>
          <w:color w:val="231F20"/>
        </w:rPr>
        <w:t>даљем</w:t>
      </w:r>
      <w:r>
        <w:rPr>
          <w:color w:val="231F20"/>
          <w:spacing w:val="-8"/>
        </w:rPr>
        <w:t> </w:t>
      </w:r>
      <w:r>
        <w:rPr>
          <w:color w:val="231F20"/>
          <w:spacing w:val="-3"/>
        </w:rPr>
        <w:t>тексту:</w:t>
      </w:r>
      <w:r>
        <w:rPr>
          <w:color w:val="231F20"/>
          <w:spacing w:val="-8"/>
        </w:rPr>
        <w:t> </w:t>
      </w:r>
      <w:r>
        <w:rPr>
          <w:color w:val="231F20"/>
        </w:rPr>
        <w:t>ЈП</w:t>
      </w:r>
      <w:r>
        <w:rPr>
          <w:color w:val="231F20"/>
          <w:spacing w:val="-8"/>
        </w:rPr>
        <w:t> </w:t>
      </w:r>
      <w:r>
        <w:rPr>
          <w:color w:val="231F20"/>
        </w:rPr>
        <w:t>„ЕПС”).</w:t>
      </w:r>
    </w:p>
    <w:p>
      <w:pPr>
        <w:pStyle w:val="BodyText"/>
        <w:spacing w:before="6"/>
        <w:ind w:left="0"/>
        <w:jc w:val="left"/>
        <w:rPr>
          <w:sz w:val="16"/>
        </w:rPr>
      </w:pPr>
    </w:p>
    <w:p>
      <w:pPr>
        <w:pStyle w:val="BodyText"/>
        <w:jc w:val="left"/>
      </w:pPr>
      <w:r>
        <w:rPr>
          <w:color w:val="231F20"/>
        </w:rPr>
        <w:t>Табела 3. Термоенергетски капацитети и потрошња угља</w:t>
      </w:r>
    </w:p>
    <w:p>
      <w:pPr>
        <w:pStyle w:val="BodyText"/>
        <w:spacing w:before="6"/>
        <w:ind w:left="0"/>
        <w:jc w:val="left"/>
        <w:rPr>
          <w:sz w:val="3"/>
        </w:rPr>
      </w:pPr>
    </w:p>
    <w:tbl>
      <w:tblPr>
        <w:tblW w:w="0" w:type="auto"/>
        <w:jc w:val="left"/>
        <w:tblInd w:w="1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1701"/>
        <w:gridCol w:w="1701"/>
      </w:tblGrid>
      <w:tr>
        <w:trPr>
          <w:trHeight w:val="360" w:hRule="atLeast"/>
        </w:trPr>
        <w:tc>
          <w:tcPr>
            <w:tcW w:w="1701" w:type="dxa"/>
          </w:tcPr>
          <w:p>
            <w:pPr>
              <w:pStyle w:val="TableParagraph"/>
              <w:ind w:left="368"/>
              <w:jc w:val="left"/>
              <w:rPr>
                <w:sz w:val="14"/>
              </w:rPr>
            </w:pPr>
            <w:r>
              <w:rPr>
                <w:color w:val="231F20"/>
                <w:sz w:val="14"/>
              </w:rPr>
              <w:t>Термоелектрана</w:t>
            </w:r>
          </w:p>
        </w:tc>
        <w:tc>
          <w:tcPr>
            <w:tcW w:w="1701" w:type="dxa"/>
          </w:tcPr>
          <w:p>
            <w:pPr>
              <w:pStyle w:val="TableParagraph"/>
              <w:ind w:right="83"/>
              <w:rPr>
                <w:sz w:val="14"/>
              </w:rPr>
            </w:pPr>
            <w:r>
              <w:rPr>
                <w:color w:val="231F20"/>
                <w:sz w:val="14"/>
              </w:rPr>
              <w:t>Инсталисана снага (МW)</w:t>
            </w:r>
          </w:p>
        </w:tc>
        <w:tc>
          <w:tcPr>
            <w:tcW w:w="1701" w:type="dxa"/>
          </w:tcPr>
          <w:p>
            <w:pPr>
              <w:pStyle w:val="TableParagraph"/>
              <w:ind w:left="495" w:hanging="392"/>
              <w:jc w:val="left"/>
              <w:rPr>
                <w:sz w:val="14"/>
              </w:rPr>
            </w:pPr>
            <w:r>
              <w:rPr>
                <w:color w:val="231F20"/>
                <w:sz w:val="14"/>
              </w:rPr>
              <w:t>Потребне количине угља (t/годишње)</w:t>
            </w:r>
          </w:p>
        </w:tc>
      </w:tr>
      <w:tr>
        <w:trPr>
          <w:trHeight w:val="200" w:hRule="atLeast"/>
        </w:trPr>
        <w:tc>
          <w:tcPr>
            <w:tcW w:w="1701" w:type="dxa"/>
          </w:tcPr>
          <w:p>
            <w:pPr>
              <w:pStyle w:val="TableParagraph"/>
              <w:ind w:left="56"/>
              <w:jc w:val="left"/>
              <w:rPr>
                <w:sz w:val="14"/>
              </w:rPr>
            </w:pPr>
            <w:r>
              <w:rPr>
                <w:color w:val="231F20"/>
                <w:sz w:val="14"/>
              </w:rPr>
              <w:t>Костолац А1</w:t>
            </w:r>
          </w:p>
        </w:tc>
        <w:tc>
          <w:tcPr>
            <w:tcW w:w="1701" w:type="dxa"/>
          </w:tcPr>
          <w:p>
            <w:pPr>
              <w:pStyle w:val="TableParagraph"/>
              <w:ind w:right="45"/>
              <w:rPr>
                <w:sz w:val="14"/>
              </w:rPr>
            </w:pPr>
            <w:r>
              <w:rPr>
                <w:color w:val="231F20"/>
                <w:sz w:val="14"/>
              </w:rPr>
              <w:t>100</w:t>
            </w:r>
          </w:p>
        </w:tc>
        <w:tc>
          <w:tcPr>
            <w:tcW w:w="1701" w:type="dxa"/>
          </w:tcPr>
          <w:p>
            <w:pPr>
              <w:pStyle w:val="TableParagraph"/>
              <w:ind w:right="45"/>
              <w:rPr>
                <w:sz w:val="14"/>
              </w:rPr>
            </w:pPr>
            <w:r>
              <w:rPr>
                <w:color w:val="231F20"/>
                <w:sz w:val="14"/>
              </w:rPr>
              <w:t>900.000</w:t>
            </w:r>
          </w:p>
        </w:tc>
      </w:tr>
      <w:tr>
        <w:trPr>
          <w:trHeight w:val="200" w:hRule="atLeast"/>
        </w:trPr>
        <w:tc>
          <w:tcPr>
            <w:tcW w:w="1701" w:type="dxa"/>
          </w:tcPr>
          <w:p>
            <w:pPr>
              <w:pStyle w:val="TableParagraph"/>
              <w:ind w:left="56"/>
              <w:jc w:val="left"/>
              <w:rPr>
                <w:sz w:val="14"/>
              </w:rPr>
            </w:pPr>
            <w:r>
              <w:rPr>
                <w:color w:val="231F20"/>
                <w:sz w:val="14"/>
              </w:rPr>
              <w:t>Костолац А2</w:t>
            </w:r>
          </w:p>
        </w:tc>
        <w:tc>
          <w:tcPr>
            <w:tcW w:w="1701" w:type="dxa"/>
          </w:tcPr>
          <w:p>
            <w:pPr>
              <w:pStyle w:val="TableParagraph"/>
              <w:ind w:right="45"/>
              <w:rPr>
                <w:sz w:val="14"/>
              </w:rPr>
            </w:pPr>
            <w:r>
              <w:rPr>
                <w:color w:val="231F20"/>
                <w:sz w:val="14"/>
              </w:rPr>
              <w:t>210</w:t>
            </w:r>
          </w:p>
        </w:tc>
        <w:tc>
          <w:tcPr>
            <w:tcW w:w="1701" w:type="dxa"/>
          </w:tcPr>
          <w:p>
            <w:pPr>
              <w:pStyle w:val="TableParagraph"/>
              <w:ind w:right="45"/>
              <w:rPr>
                <w:sz w:val="14"/>
              </w:rPr>
            </w:pPr>
            <w:r>
              <w:rPr>
                <w:color w:val="231F20"/>
                <w:sz w:val="14"/>
              </w:rPr>
              <w:t>1.600.000</w:t>
            </w:r>
          </w:p>
        </w:tc>
      </w:tr>
      <w:tr>
        <w:trPr>
          <w:trHeight w:val="200" w:hRule="atLeast"/>
        </w:trPr>
        <w:tc>
          <w:tcPr>
            <w:tcW w:w="1701" w:type="dxa"/>
          </w:tcPr>
          <w:p>
            <w:pPr>
              <w:pStyle w:val="TableParagraph"/>
              <w:ind w:left="56"/>
              <w:jc w:val="left"/>
              <w:rPr>
                <w:sz w:val="14"/>
              </w:rPr>
            </w:pPr>
            <w:r>
              <w:rPr>
                <w:color w:val="231F20"/>
                <w:sz w:val="14"/>
              </w:rPr>
              <w:t>Костолац Б1</w:t>
            </w:r>
          </w:p>
        </w:tc>
        <w:tc>
          <w:tcPr>
            <w:tcW w:w="1701" w:type="dxa"/>
          </w:tcPr>
          <w:p>
            <w:pPr>
              <w:pStyle w:val="TableParagraph"/>
              <w:ind w:right="45"/>
              <w:rPr>
                <w:sz w:val="14"/>
              </w:rPr>
            </w:pPr>
            <w:r>
              <w:rPr>
                <w:color w:val="231F20"/>
                <w:sz w:val="14"/>
              </w:rPr>
              <w:t>348,5</w:t>
            </w:r>
          </w:p>
        </w:tc>
        <w:tc>
          <w:tcPr>
            <w:tcW w:w="1701" w:type="dxa"/>
          </w:tcPr>
          <w:p>
            <w:pPr>
              <w:pStyle w:val="TableParagraph"/>
              <w:ind w:right="46"/>
              <w:rPr>
                <w:sz w:val="14"/>
              </w:rPr>
            </w:pPr>
            <w:r>
              <w:rPr>
                <w:color w:val="231F20"/>
                <w:sz w:val="14"/>
              </w:rPr>
              <w:t>3.000.000</w:t>
            </w:r>
          </w:p>
        </w:tc>
      </w:tr>
      <w:tr>
        <w:trPr>
          <w:trHeight w:val="200" w:hRule="atLeast"/>
        </w:trPr>
        <w:tc>
          <w:tcPr>
            <w:tcW w:w="1701" w:type="dxa"/>
          </w:tcPr>
          <w:p>
            <w:pPr>
              <w:pStyle w:val="TableParagraph"/>
              <w:ind w:left="55"/>
              <w:jc w:val="left"/>
              <w:rPr>
                <w:sz w:val="14"/>
              </w:rPr>
            </w:pPr>
            <w:r>
              <w:rPr>
                <w:color w:val="231F20"/>
                <w:sz w:val="14"/>
              </w:rPr>
              <w:t>Костолац Б2</w:t>
            </w:r>
          </w:p>
        </w:tc>
        <w:tc>
          <w:tcPr>
            <w:tcW w:w="1701" w:type="dxa"/>
          </w:tcPr>
          <w:p>
            <w:pPr>
              <w:pStyle w:val="TableParagraph"/>
              <w:ind w:right="46"/>
              <w:rPr>
                <w:sz w:val="14"/>
              </w:rPr>
            </w:pPr>
            <w:r>
              <w:rPr>
                <w:color w:val="231F20"/>
                <w:sz w:val="14"/>
              </w:rPr>
              <w:t>348,5</w:t>
            </w:r>
          </w:p>
        </w:tc>
        <w:tc>
          <w:tcPr>
            <w:tcW w:w="1701" w:type="dxa"/>
          </w:tcPr>
          <w:p>
            <w:pPr>
              <w:pStyle w:val="TableParagraph"/>
              <w:ind w:right="46"/>
              <w:rPr>
                <w:sz w:val="14"/>
              </w:rPr>
            </w:pPr>
            <w:r>
              <w:rPr>
                <w:color w:val="231F20"/>
                <w:sz w:val="14"/>
              </w:rPr>
              <w:t>3.000.000</w:t>
            </w:r>
          </w:p>
        </w:tc>
      </w:tr>
      <w:tr>
        <w:trPr>
          <w:trHeight w:val="200" w:hRule="atLeast"/>
        </w:trPr>
        <w:tc>
          <w:tcPr>
            <w:tcW w:w="1701" w:type="dxa"/>
          </w:tcPr>
          <w:p>
            <w:pPr>
              <w:pStyle w:val="TableParagraph"/>
              <w:ind w:left="55"/>
              <w:jc w:val="left"/>
              <w:rPr>
                <w:sz w:val="14"/>
              </w:rPr>
            </w:pPr>
            <w:r>
              <w:rPr>
                <w:color w:val="231F20"/>
                <w:sz w:val="14"/>
              </w:rPr>
              <w:t>Укупно ТЕ Костолац</w:t>
            </w:r>
          </w:p>
        </w:tc>
        <w:tc>
          <w:tcPr>
            <w:tcW w:w="1701" w:type="dxa"/>
          </w:tcPr>
          <w:p>
            <w:pPr>
              <w:pStyle w:val="TableParagraph"/>
              <w:ind w:right="46"/>
              <w:rPr>
                <w:sz w:val="14"/>
              </w:rPr>
            </w:pPr>
            <w:r>
              <w:rPr>
                <w:color w:val="231F20"/>
                <w:sz w:val="14"/>
              </w:rPr>
              <w:t>1007,0</w:t>
            </w:r>
          </w:p>
        </w:tc>
        <w:tc>
          <w:tcPr>
            <w:tcW w:w="1701" w:type="dxa"/>
          </w:tcPr>
          <w:p>
            <w:pPr>
              <w:pStyle w:val="TableParagraph"/>
              <w:ind w:right="46"/>
              <w:rPr>
                <w:sz w:val="14"/>
              </w:rPr>
            </w:pPr>
            <w:r>
              <w:rPr>
                <w:color w:val="231F20"/>
                <w:sz w:val="14"/>
              </w:rPr>
              <w:t>8.500.000</w:t>
            </w:r>
          </w:p>
        </w:tc>
      </w:tr>
      <w:tr>
        <w:trPr>
          <w:trHeight w:val="200" w:hRule="atLeast"/>
        </w:trPr>
        <w:tc>
          <w:tcPr>
            <w:tcW w:w="3402" w:type="dxa"/>
            <w:gridSpan w:val="2"/>
          </w:tcPr>
          <w:p>
            <w:pPr>
              <w:pStyle w:val="TableParagraph"/>
              <w:ind w:left="55"/>
              <w:jc w:val="left"/>
              <w:rPr>
                <w:sz w:val="14"/>
              </w:rPr>
            </w:pPr>
            <w:r>
              <w:rPr>
                <w:color w:val="231F20"/>
                <w:sz w:val="14"/>
              </w:rPr>
              <w:t>Широка потрошња</w:t>
            </w:r>
          </w:p>
        </w:tc>
        <w:tc>
          <w:tcPr>
            <w:tcW w:w="1701" w:type="dxa"/>
          </w:tcPr>
          <w:p>
            <w:pPr>
              <w:pStyle w:val="TableParagraph"/>
              <w:ind w:right="46"/>
              <w:rPr>
                <w:sz w:val="14"/>
              </w:rPr>
            </w:pPr>
            <w:r>
              <w:rPr>
                <w:color w:val="231F20"/>
                <w:sz w:val="14"/>
              </w:rPr>
              <w:t>500.000</w:t>
            </w:r>
          </w:p>
        </w:tc>
      </w:tr>
      <w:tr>
        <w:trPr>
          <w:trHeight w:val="200" w:hRule="atLeast"/>
        </w:trPr>
        <w:tc>
          <w:tcPr>
            <w:tcW w:w="3402" w:type="dxa"/>
            <w:gridSpan w:val="2"/>
          </w:tcPr>
          <w:p>
            <w:pPr>
              <w:pStyle w:val="TableParagraph"/>
              <w:ind w:left="55"/>
              <w:jc w:val="left"/>
              <w:rPr>
                <w:sz w:val="14"/>
              </w:rPr>
            </w:pPr>
            <w:r>
              <w:rPr>
                <w:color w:val="231F20"/>
                <w:sz w:val="14"/>
              </w:rPr>
              <w:t>Укупно површински коп Дрмно</w:t>
            </w:r>
          </w:p>
        </w:tc>
        <w:tc>
          <w:tcPr>
            <w:tcW w:w="1701" w:type="dxa"/>
          </w:tcPr>
          <w:p>
            <w:pPr>
              <w:pStyle w:val="TableParagraph"/>
              <w:ind w:right="46"/>
              <w:rPr>
                <w:sz w:val="14"/>
              </w:rPr>
            </w:pPr>
            <w:r>
              <w:rPr>
                <w:color w:val="231F20"/>
                <w:sz w:val="14"/>
              </w:rPr>
              <w:t>9.000.000</w:t>
            </w:r>
          </w:p>
        </w:tc>
      </w:tr>
    </w:tbl>
    <w:p>
      <w:pPr>
        <w:pStyle w:val="BodyText"/>
        <w:spacing w:before="8"/>
        <w:ind w:left="0"/>
        <w:jc w:val="left"/>
        <w:rPr>
          <w:sz w:val="8"/>
        </w:rPr>
      </w:pPr>
    </w:p>
    <w:p>
      <w:pPr>
        <w:pStyle w:val="BodyText"/>
        <w:ind w:left="171"/>
        <w:jc w:val="left"/>
        <w:rPr>
          <w:sz w:val="20"/>
        </w:rPr>
      </w:pPr>
      <w:r>
        <w:rPr>
          <w:sz w:val="20"/>
        </w:rPr>
        <w:drawing>
          <wp:inline distT="0" distB="0" distL="0" distR="0">
            <wp:extent cx="3219806" cy="1136141"/>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3219806" cy="1136141"/>
                    </a:xfrm>
                    <a:prstGeom prst="rect">
                      <a:avLst/>
                    </a:prstGeom>
                  </pic:spPr>
                </pic:pic>
              </a:graphicData>
            </a:graphic>
          </wp:inline>
        </w:drawing>
      </w:r>
      <w:r>
        <w:rPr>
          <w:sz w:val="20"/>
        </w:rPr>
      </w:r>
    </w:p>
    <w:p>
      <w:pPr>
        <w:pStyle w:val="BodyText"/>
        <w:spacing w:line="232" w:lineRule="auto" w:before="147"/>
        <w:ind w:left="171" w:right="411" w:firstLine="396"/>
      </w:pPr>
      <w:r>
        <w:rPr>
          <w:color w:val="231F20"/>
          <w:spacing w:val="-3"/>
        </w:rPr>
        <w:t>Топлотни </w:t>
      </w:r>
      <w:r>
        <w:rPr>
          <w:color w:val="231F20"/>
        </w:rPr>
        <w:t>извор за даљинско грејање градова Пожаревца и Костолца</w:t>
      </w:r>
      <w:r>
        <w:rPr>
          <w:color w:val="231F20"/>
          <w:spacing w:val="-9"/>
        </w:rPr>
        <w:t> </w:t>
      </w:r>
      <w:r>
        <w:rPr>
          <w:color w:val="231F20"/>
        </w:rPr>
        <w:t>је</w:t>
      </w:r>
      <w:r>
        <w:rPr>
          <w:color w:val="231F20"/>
          <w:spacing w:val="-9"/>
        </w:rPr>
        <w:t> </w:t>
      </w:r>
      <w:r>
        <w:rPr>
          <w:color w:val="231F20"/>
        </w:rPr>
        <w:t>термоелектрана</w:t>
      </w:r>
      <w:r>
        <w:rPr>
          <w:color w:val="231F20"/>
          <w:spacing w:val="-9"/>
        </w:rPr>
        <w:t> </w:t>
      </w:r>
      <w:r>
        <w:rPr>
          <w:color w:val="231F20"/>
        </w:rPr>
        <w:t>„Костолац</w:t>
      </w:r>
      <w:r>
        <w:rPr>
          <w:color w:val="231F20"/>
          <w:spacing w:val="-9"/>
        </w:rPr>
        <w:t> </w:t>
      </w:r>
      <w:r>
        <w:rPr>
          <w:color w:val="231F20"/>
        </w:rPr>
        <w:t>А”</w:t>
      </w:r>
      <w:r>
        <w:rPr>
          <w:color w:val="231F20"/>
          <w:spacing w:val="16"/>
        </w:rPr>
        <w:t> </w:t>
      </w:r>
      <w:r>
        <w:rPr>
          <w:color w:val="231F20"/>
        </w:rPr>
        <w:t>–</w:t>
      </w:r>
      <w:r>
        <w:rPr>
          <w:color w:val="231F20"/>
          <w:spacing w:val="-9"/>
        </w:rPr>
        <w:t> </w:t>
      </w:r>
      <w:r>
        <w:rPr>
          <w:color w:val="231F20"/>
          <w:spacing w:val="-3"/>
        </w:rPr>
        <w:t>блокови</w:t>
      </w:r>
      <w:r>
        <w:rPr>
          <w:color w:val="231F20"/>
          <w:spacing w:val="-9"/>
        </w:rPr>
        <w:t> </w:t>
      </w:r>
      <w:r>
        <w:rPr>
          <w:color w:val="231F20"/>
        </w:rPr>
        <w:t>А2</w:t>
      </w:r>
      <w:r>
        <w:rPr>
          <w:color w:val="231F20"/>
          <w:spacing w:val="-9"/>
        </w:rPr>
        <w:t> </w:t>
      </w:r>
      <w:r>
        <w:rPr>
          <w:color w:val="231F20"/>
        </w:rPr>
        <w:t>(базни</w:t>
      </w:r>
      <w:r>
        <w:rPr>
          <w:color w:val="231F20"/>
          <w:spacing w:val="-9"/>
        </w:rPr>
        <w:t> </w:t>
      </w:r>
      <w:r>
        <w:rPr>
          <w:color w:val="231F20"/>
        </w:rPr>
        <w:t>то- плотни</w:t>
      </w:r>
      <w:r>
        <w:rPr>
          <w:color w:val="231F20"/>
          <w:spacing w:val="17"/>
        </w:rPr>
        <w:t> </w:t>
      </w:r>
      <w:r>
        <w:rPr>
          <w:color w:val="231F20"/>
        </w:rPr>
        <w:t>извор)</w:t>
      </w:r>
      <w:r>
        <w:rPr>
          <w:color w:val="231F20"/>
          <w:spacing w:val="17"/>
        </w:rPr>
        <w:t> </w:t>
      </w:r>
      <w:r>
        <w:rPr>
          <w:color w:val="231F20"/>
        </w:rPr>
        <w:t>и</w:t>
      </w:r>
      <w:r>
        <w:rPr>
          <w:color w:val="231F20"/>
          <w:spacing w:val="17"/>
        </w:rPr>
        <w:t> </w:t>
      </w:r>
      <w:r>
        <w:rPr>
          <w:color w:val="231F20"/>
        </w:rPr>
        <w:t>А1</w:t>
      </w:r>
      <w:r>
        <w:rPr>
          <w:color w:val="231F20"/>
          <w:spacing w:val="17"/>
        </w:rPr>
        <w:t> </w:t>
      </w:r>
      <w:r>
        <w:rPr>
          <w:color w:val="231F20"/>
        </w:rPr>
        <w:t>(вршни</w:t>
      </w:r>
      <w:r>
        <w:rPr>
          <w:color w:val="231F20"/>
          <w:spacing w:val="17"/>
        </w:rPr>
        <w:t> </w:t>
      </w:r>
      <w:r>
        <w:rPr>
          <w:color w:val="231F20"/>
        </w:rPr>
        <w:t>топлотни</w:t>
      </w:r>
      <w:r>
        <w:rPr>
          <w:color w:val="231F20"/>
          <w:spacing w:val="17"/>
        </w:rPr>
        <w:t> </w:t>
      </w:r>
      <w:r>
        <w:rPr>
          <w:color w:val="231F20"/>
        </w:rPr>
        <w:t>извор)</w:t>
      </w:r>
      <w:r>
        <w:rPr>
          <w:color w:val="231F20"/>
          <w:spacing w:val="17"/>
        </w:rPr>
        <w:t> </w:t>
      </w:r>
      <w:r>
        <w:rPr>
          <w:color w:val="231F20"/>
        </w:rPr>
        <w:t>и</w:t>
      </w:r>
      <w:r>
        <w:rPr>
          <w:color w:val="231F20"/>
          <w:spacing w:val="17"/>
        </w:rPr>
        <w:t> </w:t>
      </w:r>
      <w:r>
        <w:rPr>
          <w:color w:val="231F20"/>
        </w:rPr>
        <w:t>ТЕ</w:t>
      </w:r>
      <w:r>
        <w:rPr>
          <w:color w:val="231F20"/>
          <w:spacing w:val="17"/>
        </w:rPr>
        <w:t> </w:t>
      </w:r>
      <w:r>
        <w:rPr>
          <w:color w:val="231F20"/>
        </w:rPr>
        <w:t>„Костолац</w:t>
      </w:r>
      <w:r>
        <w:rPr>
          <w:color w:val="231F20"/>
          <w:spacing w:val="17"/>
        </w:rPr>
        <w:t> </w:t>
      </w:r>
      <w:r>
        <w:rPr>
          <w:color w:val="231F20"/>
        </w:rPr>
        <w:t>Б”</w:t>
      </w:r>
    </w:p>
    <w:p>
      <w:pPr>
        <w:pStyle w:val="BodyText"/>
        <w:spacing w:line="232" w:lineRule="auto"/>
        <w:ind w:left="171" w:right="411"/>
      </w:pPr>
      <w:r>
        <w:rPr>
          <w:color w:val="231F20"/>
          <w:w w:val="66"/>
        </w:rPr>
        <w:t> </w:t>
      </w:r>
      <w:r>
        <w:rPr>
          <w:color w:val="231F20"/>
        </w:rPr>
        <w:t>– блокови Б1 и Б2. Измењивачко-пумпна станица (ИПС) смеште- на је у оквиру термоелектране „Костолац А”. Тренутни капацитет ИПС-а је 64 МW (измењивачи за хаварни рад) и 106 МW (базни), који могу да се истовремено користе у паралелном раду.</w:t>
      </w:r>
    </w:p>
    <w:p>
      <w:pPr>
        <w:pStyle w:val="BodyText"/>
        <w:spacing w:before="7"/>
        <w:ind w:left="0"/>
        <w:jc w:val="left"/>
        <w:rPr>
          <w:sz w:val="4"/>
        </w:rPr>
      </w:pPr>
    </w:p>
    <w:p>
      <w:pPr>
        <w:pStyle w:val="BodyText"/>
        <w:ind w:left="171"/>
        <w:jc w:val="left"/>
        <w:rPr>
          <w:sz w:val="20"/>
        </w:rPr>
      </w:pPr>
      <w:r>
        <w:rPr>
          <w:sz w:val="20"/>
        </w:rPr>
        <w:drawing>
          <wp:inline distT="0" distB="0" distL="0" distR="0">
            <wp:extent cx="3202381" cy="1109472"/>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202381" cy="1109472"/>
                    </a:xfrm>
                    <a:prstGeom prst="rect">
                      <a:avLst/>
                    </a:prstGeom>
                  </pic:spPr>
                </pic:pic>
              </a:graphicData>
            </a:graphic>
          </wp:inline>
        </w:drawing>
      </w:r>
      <w:r>
        <w:rPr>
          <w:sz w:val="20"/>
        </w:rPr>
      </w:r>
    </w:p>
    <w:p>
      <w:pPr>
        <w:pStyle w:val="BodyText"/>
        <w:spacing w:before="10"/>
        <w:ind w:left="0"/>
        <w:jc w:val="left"/>
        <w:rPr>
          <w:sz w:val="16"/>
        </w:rPr>
      </w:pPr>
    </w:p>
    <w:p>
      <w:pPr>
        <w:pStyle w:val="BodyText"/>
        <w:spacing w:line="232" w:lineRule="auto"/>
        <w:ind w:left="171" w:right="411" w:firstLine="396"/>
      </w:pPr>
      <w:r>
        <w:rPr>
          <w:color w:val="231F20"/>
        </w:rPr>
        <w:t>Последњих </w:t>
      </w:r>
      <w:r>
        <w:rPr>
          <w:color w:val="231F20"/>
          <w:spacing w:val="-3"/>
        </w:rPr>
        <w:t>година </w:t>
      </w:r>
      <w:r>
        <w:rPr>
          <w:color w:val="231F20"/>
        </w:rPr>
        <w:t>дошло је до застоја у даљем истраживању нафте и гаса у подручју дрмњанске депресије из економских раз- лога,</w:t>
      </w:r>
      <w:r>
        <w:rPr>
          <w:color w:val="231F20"/>
          <w:spacing w:val="-6"/>
        </w:rPr>
        <w:t> </w:t>
      </w:r>
      <w:r>
        <w:rPr>
          <w:color w:val="231F20"/>
        </w:rPr>
        <w:t>али</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ускоро</w:t>
      </w:r>
      <w:r>
        <w:rPr>
          <w:color w:val="231F20"/>
          <w:spacing w:val="-6"/>
        </w:rPr>
        <w:t> </w:t>
      </w:r>
      <w:r>
        <w:rPr>
          <w:color w:val="231F20"/>
        </w:rPr>
        <w:t>та</w:t>
      </w:r>
      <w:r>
        <w:rPr>
          <w:color w:val="231F20"/>
          <w:spacing w:val="-6"/>
        </w:rPr>
        <w:t> </w:t>
      </w:r>
      <w:r>
        <w:rPr>
          <w:color w:val="231F20"/>
        </w:rPr>
        <w:t>истраживања</w:t>
      </w:r>
      <w:r>
        <w:rPr>
          <w:color w:val="231F20"/>
          <w:spacing w:val="-6"/>
        </w:rPr>
        <w:t> </w:t>
      </w:r>
      <w:r>
        <w:rPr>
          <w:color w:val="231F20"/>
        </w:rPr>
        <w:t>наставити.</w:t>
      </w:r>
      <w:r>
        <w:rPr>
          <w:color w:val="231F20"/>
          <w:spacing w:val="-6"/>
        </w:rPr>
        <w:t> </w:t>
      </w:r>
      <w:r>
        <w:rPr>
          <w:color w:val="231F20"/>
        </w:rPr>
        <w:t>На</w:t>
      </w:r>
      <w:r>
        <w:rPr>
          <w:color w:val="231F20"/>
          <w:spacing w:val="-6"/>
        </w:rPr>
        <w:t> </w:t>
      </w:r>
      <w:r>
        <w:rPr>
          <w:color w:val="231F20"/>
        </w:rPr>
        <w:t>основу</w:t>
      </w:r>
      <w:r>
        <w:rPr>
          <w:color w:val="231F20"/>
          <w:spacing w:val="-6"/>
        </w:rPr>
        <w:t> </w:t>
      </w:r>
      <w:r>
        <w:rPr>
          <w:color w:val="231F20"/>
        </w:rPr>
        <w:t>„Про- јекта геолошких истраживања нафте и гаса на територији Србије јужно</w:t>
      </w:r>
      <w:r>
        <w:rPr>
          <w:color w:val="231F20"/>
          <w:spacing w:val="-5"/>
        </w:rPr>
        <w:t> </w:t>
      </w:r>
      <w:r>
        <w:rPr>
          <w:color w:val="231F20"/>
          <w:spacing w:val="-3"/>
        </w:rPr>
        <w:t>од</w:t>
      </w:r>
      <w:r>
        <w:rPr>
          <w:color w:val="231F20"/>
          <w:spacing w:val="-5"/>
        </w:rPr>
        <w:t> </w:t>
      </w:r>
      <w:r>
        <w:rPr>
          <w:color w:val="231F20"/>
        </w:rPr>
        <w:t>Саве</w:t>
      </w:r>
      <w:r>
        <w:rPr>
          <w:color w:val="231F20"/>
          <w:spacing w:val="-5"/>
        </w:rPr>
        <w:t> </w:t>
      </w:r>
      <w:r>
        <w:rPr>
          <w:color w:val="231F20"/>
        </w:rPr>
        <w:t>и</w:t>
      </w:r>
      <w:r>
        <w:rPr>
          <w:color w:val="231F20"/>
          <w:spacing w:val="-5"/>
        </w:rPr>
        <w:t> </w:t>
      </w:r>
      <w:r>
        <w:rPr>
          <w:color w:val="231F20"/>
        </w:rPr>
        <w:t>Дунава”</w:t>
      </w:r>
      <w:r>
        <w:rPr>
          <w:color w:val="231F20"/>
          <w:spacing w:val="-5"/>
        </w:rPr>
        <w:t> </w:t>
      </w:r>
      <w:r>
        <w:rPr>
          <w:color w:val="231F20"/>
        </w:rPr>
        <w:t>одобрена</w:t>
      </w:r>
      <w:r>
        <w:rPr>
          <w:color w:val="231F20"/>
          <w:spacing w:val="-5"/>
        </w:rPr>
        <w:t> </w:t>
      </w:r>
      <w:r>
        <w:rPr>
          <w:color w:val="231F20"/>
        </w:rPr>
        <w:t>су</w:t>
      </w:r>
      <w:r>
        <w:rPr>
          <w:color w:val="231F20"/>
          <w:spacing w:val="-5"/>
        </w:rPr>
        <w:t> </w:t>
      </w:r>
      <w:r>
        <w:rPr>
          <w:color w:val="231F20"/>
        </w:rPr>
        <w:t>НИС-у</w:t>
      </w:r>
      <w:r>
        <w:rPr>
          <w:color w:val="231F20"/>
          <w:spacing w:val="-5"/>
        </w:rPr>
        <w:t> </w:t>
      </w:r>
      <w:r>
        <w:rPr>
          <w:color w:val="231F20"/>
        </w:rPr>
        <w:t>нафтно-геолошка</w:t>
      </w:r>
      <w:r>
        <w:rPr>
          <w:color w:val="231F20"/>
          <w:spacing w:val="-5"/>
        </w:rPr>
        <w:t> </w:t>
      </w:r>
      <w:r>
        <w:rPr>
          <w:color w:val="231F20"/>
        </w:rPr>
        <w:t>ис- траживања (Решење бр. 310-02-059/2010 </w:t>
      </w:r>
      <w:r>
        <w:rPr>
          <w:color w:val="231F20"/>
          <w:spacing w:val="-3"/>
        </w:rPr>
        <w:t>од </w:t>
      </w:r>
      <w:r>
        <w:rPr>
          <w:color w:val="231F20"/>
        </w:rPr>
        <w:t>1. априла 2010. </w:t>
      </w:r>
      <w:r>
        <w:rPr>
          <w:color w:val="231F20"/>
          <w:spacing w:val="-3"/>
        </w:rPr>
        <w:t>годи- </w:t>
      </w:r>
      <w:r>
        <w:rPr>
          <w:color w:val="231F20"/>
        </w:rPr>
        <w:t>не) Пројектом су предвиђене две фазе истраживања – регионална и детаљна геолошка истраживања нафте и гаса </w:t>
      </w:r>
      <w:r>
        <w:rPr>
          <w:color w:val="231F20"/>
          <w:spacing w:val="-3"/>
        </w:rPr>
        <w:t>која </w:t>
      </w:r>
      <w:r>
        <w:rPr>
          <w:color w:val="231F20"/>
        </w:rPr>
        <w:t>се реализују у периоду </w:t>
      </w:r>
      <w:r>
        <w:rPr>
          <w:color w:val="231F20"/>
          <w:spacing w:val="-3"/>
        </w:rPr>
        <w:t>од </w:t>
      </w:r>
      <w:r>
        <w:rPr>
          <w:color w:val="231F20"/>
        </w:rPr>
        <w:t>2010 –2020.</w:t>
      </w:r>
      <w:r>
        <w:rPr>
          <w:color w:val="231F20"/>
          <w:spacing w:val="-14"/>
        </w:rPr>
        <w:t> </w:t>
      </w:r>
      <w:r>
        <w:rPr>
          <w:color w:val="231F20"/>
          <w:spacing w:val="-3"/>
        </w:rPr>
        <w:t>године.</w:t>
      </w:r>
    </w:p>
    <w:p>
      <w:pPr>
        <w:spacing w:after="0" w:line="232" w:lineRule="auto"/>
        <w:sectPr>
          <w:pgSz w:w="12480" w:h="15690"/>
          <w:pgMar w:top="120" w:bottom="280" w:left="680" w:right="720"/>
          <w:cols w:num="2" w:equalWidth="0">
            <w:col w:w="5315" w:space="70"/>
            <w:col w:w="5695"/>
          </w:cols>
        </w:sectPr>
      </w:pPr>
    </w:p>
    <w:p>
      <w:pPr>
        <w:pStyle w:val="BodyText"/>
        <w:spacing w:line="204" w:lineRule="exact" w:before="68"/>
        <w:ind w:left="850"/>
        <w:jc w:val="left"/>
      </w:pPr>
      <w:r>
        <w:rPr/>
        <w:pict>
          <v:line style="position:absolute;mso-position-horizontal-relative:page;mso-position-vertical-relative:page;z-index:1240" from="318.897614pt,11.94295pt" to="318.897614pt,748.95095pt" stroked="true" strokeweight=".6pt" strokecolor="#231f20">
            <v:stroke dashstyle="solid"/>
            <w10:wrap type="none"/>
          </v:line>
        </w:pict>
      </w:r>
      <w:r>
        <w:rPr>
          <w:color w:val="231F20"/>
        </w:rPr>
        <w:t>На раније откривеним нафтно гасним пољима „Сираково” и</w:t>
      </w:r>
    </w:p>
    <w:p>
      <w:pPr>
        <w:pStyle w:val="BodyText"/>
        <w:spacing w:line="232" w:lineRule="auto" w:before="2"/>
        <w:ind w:left="453"/>
      </w:pPr>
      <w:r>
        <w:rPr>
          <w:color w:val="231F20"/>
          <w:spacing w:val="-4"/>
        </w:rPr>
        <w:t>„Брадарац</w:t>
      </w:r>
      <w:r>
        <w:rPr>
          <w:color w:val="231F20"/>
          <w:spacing w:val="15"/>
        </w:rPr>
        <w:t> </w:t>
      </w:r>
      <w:r>
        <w:rPr>
          <w:color w:val="231F20"/>
        </w:rPr>
        <w:t>–</w:t>
      </w:r>
      <w:r>
        <w:rPr>
          <w:color w:val="231F20"/>
          <w:spacing w:val="-13"/>
        </w:rPr>
        <w:t> </w:t>
      </w:r>
      <w:r>
        <w:rPr>
          <w:color w:val="231F20"/>
          <w:spacing w:val="-4"/>
        </w:rPr>
        <w:t>Маљуревац”</w:t>
      </w:r>
      <w:r>
        <w:rPr>
          <w:color w:val="231F20"/>
          <w:spacing w:val="-13"/>
        </w:rPr>
        <w:t> </w:t>
      </w:r>
      <w:r>
        <w:rPr>
          <w:color w:val="231F20"/>
          <w:spacing w:val="-4"/>
        </w:rPr>
        <w:t>остварује</w:t>
      </w:r>
      <w:r>
        <w:rPr>
          <w:color w:val="231F20"/>
          <w:spacing w:val="-13"/>
        </w:rPr>
        <w:t> </w:t>
      </w:r>
      <w:r>
        <w:rPr>
          <w:color w:val="231F20"/>
        </w:rPr>
        <w:t>се</w:t>
      </w:r>
      <w:r>
        <w:rPr>
          <w:color w:val="231F20"/>
          <w:spacing w:val="-13"/>
        </w:rPr>
        <w:t> </w:t>
      </w:r>
      <w:r>
        <w:rPr>
          <w:color w:val="231F20"/>
          <w:spacing w:val="-5"/>
        </w:rPr>
        <w:t>производња</w:t>
      </w:r>
      <w:r>
        <w:rPr>
          <w:color w:val="231F20"/>
          <w:spacing w:val="-13"/>
        </w:rPr>
        <w:t> </w:t>
      </w:r>
      <w:r>
        <w:rPr>
          <w:color w:val="231F20"/>
          <w:spacing w:val="-4"/>
        </w:rPr>
        <w:t>нафте</w:t>
      </w:r>
      <w:r>
        <w:rPr>
          <w:color w:val="231F20"/>
          <w:spacing w:val="-13"/>
        </w:rPr>
        <w:t> </w:t>
      </w:r>
      <w:r>
        <w:rPr>
          <w:color w:val="231F20"/>
        </w:rPr>
        <w:t>и</w:t>
      </w:r>
      <w:r>
        <w:rPr>
          <w:color w:val="231F20"/>
          <w:spacing w:val="-13"/>
        </w:rPr>
        <w:t> </w:t>
      </w:r>
      <w:r>
        <w:rPr>
          <w:color w:val="231F20"/>
          <w:spacing w:val="-4"/>
        </w:rPr>
        <w:t>каптажног </w:t>
      </w:r>
      <w:r>
        <w:rPr>
          <w:color w:val="231F20"/>
          <w:spacing w:val="-3"/>
        </w:rPr>
        <w:t>гаса. </w:t>
      </w:r>
      <w:r>
        <w:rPr>
          <w:color w:val="231F20"/>
          <w:spacing w:val="-5"/>
        </w:rPr>
        <w:t>Производња </w:t>
      </w:r>
      <w:r>
        <w:rPr>
          <w:color w:val="231F20"/>
          <w:spacing w:val="-4"/>
        </w:rPr>
        <w:t>нафте </w:t>
      </w:r>
      <w:r>
        <w:rPr>
          <w:color w:val="231F20"/>
        </w:rPr>
        <w:t>се </w:t>
      </w:r>
      <w:r>
        <w:rPr>
          <w:color w:val="231F20"/>
          <w:spacing w:val="-4"/>
        </w:rPr>
        <w:t>креће </w:t>
      </w:r>
      <w:r>
        <w:rPr>
          <w:color w:val="231F20"/>
        </w:rPr>
        <w:t>на </w:t>
      </w:r>
      <w:r>
        <w:rPr>
          <w:color w:val="231F20"/>
          <w:spacing w:val="-5"/>
        </w:rPr>
        <w:t>нивоу </w:t>
      </w:r>
      <w:r>
        <w:rPr>
          <w:color w:val="231F20"/>
          <w:spacing w:val="-6"/>
        </w:rPr>
        <w:t>око </w:t>
      </w:r>
      <w:r>
        <w:rPr>
          <w:color w:val="231F20"/>
          <w:spacing w:val="-4"/>
        </w:rPr>
        <w:t>10.000 </w:t>
      </w:r>
      <w:r>
        <w:rPr>
          <w:color w:val="231F20"/>
          <w:spacing w:val="-5"/>
        </w:rPr>
        <w:t>t/годишње. </w:t>
      </w:r>
      <w:r>
        <w:rPr>
          <w:color w:val="231F20"/>
          <w:spacing w:val="-4"/>
        </w:rPr>
        <w:t>Произведене </w:t>
      </w:r>
      <w:r>
        <w:rPr>
          <w:color w:val="231F20"/>
          <w:spacing w:val="-5"/>
        </w:rPr>
        <w:t>количине </w:t>
      </w:r>
      <w:r>
        <w:rPr>
          <w:color w:val="231F20"/>
          <w:spacing w:val="-4"/>
        </w:rPr>
        <w:t>каптажног </w:t>
      </w:r>
      <w:r>
        <w:rPr>
          <w:color w:val="231F20"/>
          <w:spacing w:val="-3"/>
        </w:rPr>
        <w:t>гаса </w:t>
      </w:r>
      <w:r>
        <w:rPr>
          <w:color w:val="231F20"/>
          <w:spacing w:val="-5"/>
        </w:rPr>
        <w:t>(од </w:t>
      </w:r>
      <w:r>
        <w:rPr>
          <w:color w:val="231F20"/>
          <w:spacing w:val="-4"/>
        </w:rPr>
        <w:t>3.000 </w:t>
      </w:r>
      <w:r>
        <w:rPr>
          <w:color w:val="231F20"/>
        </w:rPr>
        <w:t>– </w:t>
      </w:r>
      <w:r>
        <w:rPr>
          <w:color w:val="231F20"/>
          <w:spacing w:val="-4"/>
        </w:rPr>
        <w:t>10.000 Нm³/дан)  </w:t>
      </w:r>
      <w:r>
        <w:rPr>
          <w:color w:val="231F20"/>
        </w:rPr>
        <w:t>се </w:t>
      </w:r>
      <w:r>
        <w:rPr>
          <w:color w:val="231F20"/>
          <w:spacing w:val="-5"/>
        </w:rPr>
        <w:t>користе </w:t>
      </w:r>
      <w:r>
        <w:rPr>
          <w:color w:val="231F20"/>
        </w:rPr>
        <w:t>за </w:t>
      </w:r>
      <w:r>
        <w:rPr>
          <w:color w:val="231F20"/>
          <w:spacing w:val="-5"/>
        </w:rPr>
        <w:t>подмиривање </w:t>
      </w:r>
      <w:r>
        <w:rPr>
          <w:color w:val="231F20"/>
          <w:spacing w:val="-4"/>
        </w:rPr>
        <w:t>сопствених потреба (потребе грејања </w:t>
      </w:r>
      <w:r>
        <w:rPr>
          <w:color w:val="231F20"/>
        </w:rPr>
        <w:t>и </w:t>
      </w:r>
      <w:r>
        <w:rPr>
          <w:color w:val="231F20"/>
          <w:spacing w:val="-5"/>
        </w:rPr>
        <w:t>технолошког </w:t>
      </w:r>
      <w:r>
        <w:rPr>
          <w:color w:val="231F20"/>
          <w:spacing w:val="-3"/>
        </w:rPr>
        <w:t>процеса). </w:t>
      </w:r>
      <w:r>
        <w:rPr>
          <w:color w:val="231F20"/>
        </w:rPr>
        <w:t>На </w:t>
      </w:r>
      <w:r>
        <w:rPr>
          <w:color w:val="231F20"/>
          <w:spacing w:val="-3"/>
        </w:rPr>
        <w:t>ГМРС </w:t>
      </w:r>
      <w:r>
        <w:rPr>
          <w:color w:val="231F20"/>
          <w:spacing w:val="-5"/>
        </w:rPr>
        <w:t>„Сираково” </w:t>
      </w:r>
      <w:r>
        <w:rPr>
          <w:color w:val="231F20"/>
          <w:spacing w:val="-4"/>
        </w:rPr>
        <w:t>каптажни </w:t>
      </w:r>
      <w:r>
        <w:rPr>
          <w:color w:val="231F20"/>
          <w:spacing w:val="-3"/>
        </w:rPr>
        <w:t>гас </w:t>
      </w:r>
      <w:r>
        <w:rPr>
          <w:color w:val="231F20"/>
        </w:rPr>
        <w:t>се </w:t>
      </w:r>
      <w:r>
        <w:rPr>
          <w:color w:val="231F20"/>
          <w:spacing w:val="-4"/>
        </w:rPr>
        <w:t>деве- </w:t>
      </w:r>
      <w:r>
        <w:rPr>
          <w:color w:val="231F20"/>
          <w:spacing w:val="-3"/>
        </w:rPr>
        <w:t>десетих</w:t>
      </w:r>
      <w:r>
        <w:rPr>
          <w:color w:val="231F20"/>
          <w:spacing w:val="-10"/>
        </w:rPr>
        <w:t> </w:t>
      </w:r>
      <w:r>
        <w:rPr>
          <w:color w:val="231F20"/>
          <w:spacing w:val="-5"/>
        </w:rPr>
        <w:t>година</w:t>
      </w:r>
      <w:r>
        <w:rPr>
          <w:color w:val="231F20"/>
          <w:spacing w:val="-10"/>
        </w:rPr>
        <w:t> </w:t>
      </w:r>
      <w:r>
        <w:rPr>
          <w:color w:val="231F20"/>
          <w:spacing w:val="-4"/>
        </w:rPr>
        <w:t>прошлог</w:t>
      </w:r>
      <w:r>
        <w:rPr>
          <w:color w:val="231F20"/>
          <w:spacing w:val="-10"/>
        </w:rPr>
        <w:t> </w:t>
      </w:r>
      <w:r>
        <w:rPr>
          <w:color w:val="231F20"/>
          <w:spacing w:val="-4"/>
        </w:rPr>
        <w:t>века</w:t>
      </w:r>
      <w:r>
        <w:rPr>
          <w:color w:val="231F20"/>
          <w:spacing w:val="-10"/>
        </w:rPr>
        <w:t> </w:t>
      </w:r>
      <w:r>
        <w:rPr>
          <w:color w:val="231F20"/>
          <w:spacing w:val="-5"/>
        </w:rPr>
        <w:t>користио</w:t>
      </w:r>
      <w:r>
        <w:rPr>
          <w:color w:val="231F20"/>
          <w:spacing w:val="-10"/>
        </w:rPr>
        <w:t> </w:t>
      </w:r>
      <w:r>
        <w:rPr>
          <w:color w:val="231F20"/>
        </w:rPr>
        <w:t>и</w:t>
      </w:r>
      <w:r>
        <w:rPr>
          <w:color w:val="231F20"/>
          <w:spacing w:val="-10"/>
        </w:rPr>
        <w:t> </w:t>
      </w:r>
      <w:r>
        <w:rPr>
          <w:color w:val="231F20"/>
        </w:rPr>
        <w:t>за</w:t>
      </w:r>
      <w:r>
        <w:rPr>
          <w:color w:val="231F20"/>
          <w:spacing w:val="-10"/>
        </w:rPr>
        <w:t> </w:t>
      </w:r>
      <w:r>
        <w:rPr>
          <w:color w:val="231F20"/>
          <w:spacing w:val="-5"/>
        </w:rPr>
        <w:t>производњу</w:t>
      </w:r>
      <w:r>
        <w:rPr>
          <w:color w:val="231F20"/>
          <w:spacing w:val="-10"/>
        </w:rPr>
        <w:t> </w:t>
      </w:r>
      <w:r>
        <w:rPr>
          <w:color w:val="231F20"/>
          <w:spacing w:val="-4"/>
        </w:rPr>
        <w:t>електричне</w:t>
      </w:r>
      <w:r>
        <w:rPr>
          <w:color w:val="231F20"/>
          <w:spacing w:val="-10"/>
        </w:rPr>
        <w:t> </w:t>
      </w:r>
      <w:r>
        <w:rPr>
          <w:color w:val="231F20"/>
        </w:rPr>
        <w:t>и </w:t>
      </w:r>
      <w:r>
        <w:rPr>
          <w:color w:val="231F20"/>
          <w:spacing w:val="-4"/>
        </w:rPr>
        <w:t>топлотне енергије путем </w:t>
      </w:r>
      <w:r>
        <w:rPr>
          <w:color w:val="231F20"/>
          <w:spacing w:val="-5"/>
        </w:rPr>
        <w:t>гасомотор генератора </w:t>
      </w:r>
      <w:r>
        <w:rPr>
          <w:color w:val="231F20"/>
          <w:spacing w:val="-4"/>
        </w:rPr>
        <w:t>снаге </w:t>
      </w:r>
      <w:r>
        <w:rPr>
          <w:color w:val="231F20"/>
          <w:spacing w:val="-3"/>
        </w:rPr>
        <w:t>650</w:t>
      </w:r>
      <w:r>
        <w:rPr>
          <w:color w:val="231F20"/>
          <w:spacing w:val="-24"/>
        </w:rPr>
        <w:t> </w:t>
      </w:r>
      <w:r>
        <w:rPr>
          <w:color w:val="231F20"/>
          <w:spacing w:val="-11"/>
        </w:rPr>
        <w:t>kV.</w:t>
      </w:r>
    </w:p>
    <w:p>
      <w:pPr>
        <w:pStyle w:val="BodyText"/>
        <w:spacing w:line="232" w:lineRule="auto"/>
        <w:ind w:left="453" w:firstLine="396"/>
      </w:pPr>
      <w:r>
        <w:rPr>
          <w:color w:val="231F20"/>
        </w:rPr>
        <w:t>И поред низа урађених </w:t>
      </w:r>
      <w:r>
        <w:rPr>
          <w:color w:val="231F20"/>
          <w:spacing w:val="-3"/>
        </w:rPr>
        <w:t>студија </w:t>
      </w:r>
      <w:r>
        <w:rPr>
          <w:color w:val="231F20"/>
        </w:rPr>
        <w:t>и пројеката у </w:t>
      </w:r>
      <w:r>
        <w:rPr>
          <w:color w:val="231F20"/>
          <w:spacing w:val="-3"/>
        </w:rPr>
        <w:t>претходном </w:t>
      </w:r>
      <w:r>
        <w:rPr>
          <w:color w:val="231F20"/>
        </w:rPr>
        <w:t>пе- </w:t>
      </w:r>
      <w:r>
        <w:rPr>
          <w:color w:val="231F20"/>
          <w:spacing w:val="-5"/>
        </w:rPr>
        <w:t>риоду,</w:t>
      </w:r>
      <w:r>
        <w:rPr>
          <w:color w:val="231F20"/>
          <w:spacing w:val="-6"/>
        </w:rPr>
        <w:t> </w:t>
      </w:r>
      <w:r>
        <w:rPr>
          <w:color w:val="231F20"/>
        </w:rPr>
        <w:t>до</w:t>
      </w:r>
      <w:r>
        <w:rPr>
          <w:color w:val="231F20"/>
          <w:spacing w:val="-6"/>
        </w:rPr>
        <w:t> </w:t>
      </w:r>
      <w:r>
        <w:rPr>
          <w:color w:val="231F20"/>
        </w:rPr>
        <w:t>изградње</w:t>
      </w:r>
      <w:r>
        <w:rPr>
          <w:color w:val="231F20"/>
          <w:spacing w:val="-6"/>
        </w:rPr>
        <w:t> </w:t>
      </w:r>
      <w:r>
        <w:rPr>
          <w:color w:val="231F20"/>
        </w:rPr>
        <w:t>гасоводне</w:t>
      </w:r>
      <w:r>
        <w:rPr>
          <w:color w:val="231F20"/>
          <w:spacing w:val="-6"/>
        </w:rPr>
        <w:t> </w:t>
      </w:r>
      <w:r>
        <w:rPr>
          <w:color w:val="231F20"/>
        </w:rPr>
        <w:t>мреже</w:t>
      </w:r>
      <w:r>
        <w:rPr>
          <w:color w:val="231F20"/>
          <w:spacing w:val="-6"/>
        </w:rPr>
        <w:t> </w:t>
      </w:r>
      <w:r>
        <w:rPr>
          <w:color w:val="231F20"/>
        </w:rPr>
        <w:t>и</w:t>
      </w:r>
      <w:r>
        <w:rPr>
          <w:color w:val="231F20"/>
          <w:spacing w:val="-6"/>
        </w:rPr>
        <w:t> </w:t>
      </w:r>
      <w:r>
        <w:rPr>
          <w:color w:val="231F20"/>
        </w:rPr>
        <w:t>самим</w:t>
      </w:r>
      <w:r>
        <w:rPr>
          <w:color w:val="231F20"/>
          <w:spacing w:val="-6"/>
        </w:rPr>
        <w:t> </w:t>
      </w:r>
      <w:r>
        <w:rPr>
          <w:color w:val="231F20"/>
        </w:rPr>
        <w:t>тим</w:t>
      </w:r>
      <w:r>
        <w:rPr>
          <w:color w:val="231F20"/>
          <w:spacing w:val="-6"/>
        </w:rPr>
        <w:t> </w:t>
      </w:r>
      <w:r>
        <w:rPr>
          <w:color w:val="231F20"/>
        </w:rPr>
        <w:t>коришћења</w:t>
      </w:r>
      <w:r>
        <w:rPr>
          <w:color w:val="231F20"/>
          <w:spacing w:val="-6"/>
        </w:rPr>
        <w:t> </w:t>
      </w:r>
      <w:r>
        <w:rPr>
          <w:color w:val="231F20"/>
        </w:rPr>
        <w:t>при- родног гаса на подручју </w:t>
      </w:r>
      <w:r>
        <w:rPr>
          <w:color w:val="231F20"/>
          <w:spacing w:val="-3"/>
        </w:rPr>
        <w:t>Костолачког </w:t>
      </w:r>
      <w:r>
        <w:rPr>
          <w:color w:val="231F20"/>
        </w:rPr>
        <w:t>басена још увек није</w:t>
      </w:r>
      <w:r>
        <w:rPr>
          <w:color w:val="231F20"/>
          <w:spacing w:val="-20"/>
        </w:rPr>
        <w:t> </w:t>
      </w:r>
      <w:r>
        <w:rPr>
          <w:color w:val="231F20"/>
        </w:rPr>
        <w:t>дошло.</w:t>
      </w:r>
    </w:p>
    <w:p>
      <w:pPr>
        <w:pStyle w:val="ListParagraph"/>
        <w:numPr>
          <w:ilvl w:val="2"/>
          <w:numId w:val="13"/>
        </w:numPr>
        <w:tabs>
          <w:tab w:pos="2121" w:val="left" w:leader="none"/>
        </w:tabs>
        <w:spacing w:line="240" w:lineRule="auto" w:before="164" w:after="0"/>
        <w:ind w:left="2120"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3"/>
        <w:ind w:left="0"/>
        <w:jc w:val="left"/>
        <w:rPr>
          <w:sz w:val="17"/>
        </w:rPr>
      </w:pPr>
    </w:p>
    <w:p>
      <w:pPr>
        <w:pStyle w:val="BodyText"/>
        <w:spacing w:line="232" w:lineRule="auto"/>
        <w:ind w:left="452" w:firstLine="397"/>
      </w:pPr>
      <w:r>
        <w:rPr>
          <w:color w:val="231F20"/>
        </w:rPr>
        <w:t>Нерационална потрошња енергије у Републици Србији је, у највећој мери, последица значајног коришћења енергије, посебно електричне, у домаћинствима и јавним и комерцијалним делат- ностима за потребе грејања. Интензивно коришћење електричне енергије у свим секторима потрошње, умногоме је резултат ни- ске цене електричне енергије, у односу на друге енергенте. Дуго- рочно, ниске цене електричне енергије, односно диспаритет цена између електричне енергије и других енергената успоравају зна- чајније унапређење енергетске ефикасности у Србији. Повећање енергетске ефикасности у производњи, </w:t>
      </w:r>
      <w:r>
        <w:rPr>
          <w:color w:val="231F20"/>
          <w:spacing w:val="-3"/>
        </w:rPr>
        <w:t>преносу, </w:t>
      </w:r>
      <w:r>
        <w:rPr>
          <w:color w:val="231F20"/>
        </w:rPr>
        <w:t>дистрибуцији и коришћењу енергије препознато је кao један </w:t>
      </w:r>
      <w:r>
        <w:rPr>
          <w:color w:val="231F20"/>
          <w:spacing w:val="-3"/>
        </w:rPr>
        <w:t>од </w:t>
      </w:r>
      <w:r>
        <w:rPr>
          <w:color w:val="231F20"/>
        </w:rPr>
        <w:t>пет основних при- оритета у Стратегији развоја енергетике Србије до 2015. </w:t>
      </w:r>
      <w:r>
        <w:rPr>
          <w:color w:val="231F20"/>
          <w:spacing w:val="-3"/>
        </w:rPr>
        <w:t>године, </w:t>
      </w:r>
      <w:r>
        <w:rPr>
          <w:color w:val="231F20"/>
        </w:rPr>
        <w:t>као и у Националном програму заштите животне средине. Овај приоритет је, пре свега, значајан због усклађивања производње енергије са реалним потребама сектора потрошње енергије, али и због смањења утицаја сектора енергетике на животну </w:t>
      </w:r>
      <w:r>
        <w:rPr>
          <w:color w:val="231F20"/>
          <w:spacing w:val="-3"/>
        </w:rPr>
        <w:t>средину,</w:t>
      </w:r>
      <w:r>
        <w:rPr>
          <w:color w:val="231F20"/>
          <w:spacing w:val="-32"/>
        </w:rPr>
        <w:t> </w:t>
      </w:r>
      <w:r>
        <w:rPr>
          <w:color w:val="231F20"/>
        </w:rPr>
        <w:t>по- вољног утицаја на ефикасност привреде, стандард грађана и сма- њење увозне</w:t>
      </w:r>
      <w:r>
        <w:rPr>
          <w:color w:val="231F20"/>
          <w:spacing w:val="-3"/>
        </w:rPr>
        <w:t> </w:t>
      </w:r>
      <w:r>
        <w:rPr>
          <w:color w:val="231F20"/>
        </w:rPr>
        <w:t>зависности.</w:t>
      </w:r>
    </w:p>
    <w:p>
      <w:pPr>
        <w:pStyle w:val="BodyText"/>
        <w:spacing w:line="232" w:lineRule="auto"/>
        <w:ind w:left="453" w:firstLine="396"/>
      </w:pPr>
      <w:r>
        <w:rPr>
          <w:color w:val="231F20"/>
        </w:rPr>
        <w:t>У Програму остваривања Стратегије развоја енергетике Ре- </w:t>
      </w:r>
      <w:r>
        <w:rPr>
          <w:color w:val="231F20"/>
          <w:spacing w:val="-3"/>
        </w:rPr>
        <w:t>публике </w:t>
      </w:r>
      <w:r>
        <w:rPr>
          <w:color w:val="231F20"/>
        </w:rPr>
        <w:t>Србије до 2015. </w:t>
      </w:r>
      <w:r>
        <w:rPr>
          <w:color w:val="231F20"/>
          <w:spacing w:val="-3"/>
        </w:rPr>
        <w:t>године </w:t>
      </w:r>
      <w:r>
        <w:rPr>
          <w:color w:val="231F20"/>
        </w:rPr>
        <w:t>и </w:t>
      </w:r>
      <w:r>
        <w:rPr>
          <w:color w:val="231F20"/>
          <w:spacing w:val="-4"/>
        </w:rPr>
        <w:t>Уредби </w:t>
      </w:r>
      <w:r>
        <w:rPr>
          <w:color w:val="231F20"/>
        </w:rPr>
        <w:t>о изменама и допуна-  ма уредбе о утврђивању програма остваривања Стратегије разво- ја енергетике </w:t>
      </w:r>
      <w:r>
        <w:rPr>
          <w:color w:val="231F20"/>
          <w:spacing w:val="-3"/>
        </w:rPr>
        <w:t>Републике </w:t>
      </w:r>
      <w:r>
        <w:rPr>
          <w:color w:val="231F20"/>
        </w:rPr>
        <w:t>Србије до 2015. </w:t>
      </w:r>
      <w:r>
        <w:rPr>
          <w:color w:val="231F20"/>
          <w:spacing w:val="-3"/>
        </w:rPr>
        <w:t>године </w:t>
      </w:r>
      <w:r>
        <w:rPr>
          <w:color w:val="231F20"/>
        </w:rPr>
        <w:t>истакнуто је да  се изузетно нерационално користе сви енергетски извори (угаљ, нафта, гас, водни потенцијал). И други стратешки документи Ре- </w:t>
      </w:r>
      <w:r>
        <w:rPr>
          <w:color w:val="231F20"/>
          <w:spacing w:val="-3"/>
        </w:rPr>
        <w:t>публике </w:t>
      </w:r>
      <w:r>
        <w:rPr>
          <w:color w:val="231F20"/>
        </w:rPr>
        <w:t>Србије придају велики значај енергетској ефикасности и нужности</w:t>
      </w:r>
      <w:r>
        <w:rPr>
          <w:color w:val="231F20"/>
          <w:spacing w:val="-6"/>
        </w:rPr>
        <w:t> </w:t>
      </w:r>
      <w:r>
        <w:rPr>
          <w:color w:val="231F20"/>
        </w:rPr>
        <w:t>спровођења</w:t>
      </w:r>
      <w:r>
        <w:rPr>
          <w:color w:val="231F20"/>
          <w:spacing w:val="-6"/>
        </w:rPr>
        <w:t> </w:t>
      </w:r>
      <w:r>
        <w:rPr>
          <w:color w:val="231F20"/>
        </w:rPr>
        <w:t>конкретних</w:t>
      </w:r>
      <w:r>
        <w:rPr>
          <w:color w:val="231F20"/>
          <w:spacing w:val="-6"/>
        </w:rPr>
        <w:t> </w:t>
      </w:r>
      <w:r>
        <w:rPr>
          <w:color w:val="231F20"/>
        </w:rPr>
        <w:t>активности</w:t>
      </w:r>
      <w:r>
        <w:rPr>
          <w:color w:val="231F20"/>
          <w:spacing w:val="-6"/>
        </w:rPr>
        <w:t> </w:t>
      </w:r>
      <w:r>
        <w:rPr>
          <w:color w:val="231F20"/>
        </w:rPr>
        <w:t>у</w:t>
      </w:r>
      <w:r>
        <w:rPr>
          <w:color w:val="231F20"/>
          <w:spacing w:val="-6"/>
        </w:rPr>
        <w:t> </w:t>
      </w:r>
      <w:r>
        <w:rPr>
          <w:color w:val="231F20"/>
        </w:rPr>
        <w:t>циљу</w:t>
      </w:r>
      <w:r>
        <w:rPr>
          <w:color w:val="231F20"/>
          <w:spacing w:val="-6"/>
        </w:rPr>
        <w:t> </w:t>
      </w:r>
      <w:r>
        <w:rPr>
          <w:color w:val="231F20"/>
        </w:rPr>
        <w:t>њеног</w:t>
      </w:r>
      <w:r>
        <w:rPr>
          <w:color w:val="231F20"/>
          <w:spacing w:val="-6"/>
        </w:rPr>
        <w:t> </w:t>
      </w:r>
      <w:r>
        <w:rPr>
          <w:color w:val="231F20"/>
        </w:rPr>
        <w:t>пове- ћања. Рационална употреба енергије и повећање енергетске ефи- касности данас представљају кључне елементе одрживог развоја, </w:t>
      </w:r>
      <w:r>
        <w:rPr>
          <w:color w:val="231F20"/>
          <w:spacing w:val="-4"/>
        </w:rPr>
        <w:t>како </w:t>
      </w:r>
      <w:r>
        <w:rPr>
          <w:color w:val="231F20"/>
        </w:rPr>
        <w:t>је утврђено Националном стратегијом одрживог развоја, а повећање енергетске ефикасности један је </w:t>
      </w:r>
      <w:r>
        <w:rPr>
          <w:color w:val="231F20"/>
          <w:spacing w:val="-3"/>
        </w:rPr>
        <w:t>од </w:t>
      </w:r>
      <w:r>
        <w:rPr>
          <w:color w:val="231F20"/>
        </w:rPr>
        <w:t>приоритета у Наци- оналној стратегији привредног развоја </w:t>
      </w:r>
      <w:r>
        <w:rPr>
          <w:color w:val="231F20"/>
          <w:spacing w:val="-3"/>
        </w:rPr>
        <w:t>Републике </w:t>
      </w:r>
      <w:r>
        <w:rPr>
          <w:color w:val="231F20"/>
        </w:rPr>
        <w:t>Србије </w:t>
      </w:r>
      <w:r>
        <w:rPr>
          <w:color w:val="231F20"/>
          <w:spacing w:val="-3"/>
        </w:rPr>
        <w:t>од</w:t>
      </w:r>
      <w:r>
        <w:rPr>
          <w:color w:val="231F20"/>
          <w:spacing w:val="1"/>
        </w:rPr>
        <w:t> </w:t>
      </w:r>
      <w:r>
        <w:rPr>
          <w:color w:val="231F20"/>
        </w:rPr>
        <w:t>2006</w:t>
      </w:r>
    </w:p>
    <w:p>
      <w:pPr>
        <w:pStyle w:val="BodyText"/>
        <w:spacing w:line="198" w:lineRule="exact"/>
        <w:ind w:left="453"/>
        <w:jc w:val="left"/>
      </w:pPr>
      <w:r>
        <w:rPr>
          <w:color w:val="231F20"/>
          <w:w w:val="66"/>
        </w:rPr>
        <w:t> </w:t>
      </w:r>
      <w:r>
        <w:rPr>
          <w:color w:val="231F20"/>
        </w:rPr>
        <w:t>– 2012. године.</w:t>
      </w:r>
    </w:p>
    <w:p>
      <w:pPr>
        <w:pStyle w:val="BodyText"/>
        <w:spacing w:line="232" w:lineRule="auto" w:before="1"/>
        <w:ind w:left="453" w:firstLine="396"/>
      </w:pPr>
      <w:r>
        <w:rPr>
          <w:color w:val="231F20"/>
        </w:rPr>
        <w:t>Eнергетска ефикасност у свим секторима потрошње (рудар- ству, енергетици, индустрији, саобраћају, зградарству, комунал- ним делатностима) врло је ниска на целом Планском подручју.</w:t>
      </w:r>
    </w:p>
    <w:p>
      <w:pPr>
        <w:pStyle w:val="BodyText"/>
        <w:spacing w:line="232" w:lineRule="auto"/>
        <w:ind w:left="452" w:firstLine="397"/>
      </w:pPr>
      <w:r>
        <w:rPr>
          <w:color w:val="231F20"/>
        </w:rPr>
        <w:t>Највећи потрошач топлотне енергије је индустријски сектор. Производњу и потрошњу топлотне енергије за индустријске по- требе карактерише недостатак модерне технологије, па је самим тим, и енергетска ефикасност мала.</w:t>
      </w:r>
    </w:p>
    <w:p>
      <w:pPr>
        <w:pStyle w:val="BodyText"/>
        <w:spacing w:line="232" w:lineRule="auto"/>
        <w:ind w:left="452" w:firstLine="397"/>
      </w:pPr>
      <w:r>
        <w:rPr>
          <w:color w:val="231F20"/>
          <w:spacing w:val="-6"/>
        </w:rPr>
        <w:t>Током</w:t>
      </w:r>
      <w:r>
        <w:rPr>
          <w:color w:val="231F20"/>
          <w:spacing w:val="-5"/>
        </w:rPr>
        <w:t> </w:t>
      </w:r>
      <w:r>
        <w:rPr>
          <w:color w:val="231F20"/>
        </w:rPr>
        <w:t>деведесетих</w:t>
      </w:r>
      <w:r>
        <w:rPr>
          <w:color w:val="231F20"/>
          <w:spacing w:val="-6"/>
        </w:rPr>
        <w:t> </w:t>
      </w:r>
      <w:r>
        <w:rPr>
          <w:color w:val="231F20"/>
          <w:spacing w:val="-3"/>
        </w:rPr>
        <w:t>година</w:t>
      </w:r>
      <w:r>
        <w:rPr>
          <w:color w:val="231F20"/>
          <w:spacing w:val="-6"/>
        </w:rPr>
        <w:t> </w:t>
      </w:r>
      <w:r>
        <w:rPr>
          <w:color w:val="231F20"/>
        </w:rPr>
        <w:t>прошлог</w:t>
      </w:r>
      <w:r>
        <w:rPr>
          <w:color w:val="231F20"/>
          <w:spacing w:val="-6"/>
        </w:rPr>
        <w:t> </w:t>
      </w:r>
      <w:r>
        <w:rPr>
          <w:color w:val="231F20"/>
        </w:rPr>
        <w:t>века</w:t>
      </w:r>
      <w:r>
        <w:rPr>
          <w:color w:val="231F20"/>
          <w:spacing w:val="-6"/>
        </w:rPr>
        <w:t> </w:t>
      </w:r>
      <w:r>
        <w:rPr>
          <w:color w:val="231F20"/>
        </w:rPr>
        <w:t>дошло</w:t>
      </w:r>
      <w:r>
        <w:rPr>
          <w:color w:val="231F20"/>
          <w:spacing w:val="-6"/>
        </w:rPr>
        <w:t> </w:t>
      </w:r>
      <w:r>
        <w:rPr>
          <w:color w:val="231F20"/>
        </w:rPr>
        <w:t>је</w:t>
      </w:r>
      <w:r>
        <w:rPr>
          <w:color w:val="231F20"/>
          <w:spacing w:val="-5"/>
        </w:rPr>
        <w:t> </w:t>
      </w:r>
      <w:r>
        <w:rPr>
          <w:color w:val="231F20"/>
        </w:rPr>
        <w:t>до</w:t>
      </w:r>
      <w:r>
        <w:rPr>
          <w:color w:val="231F20"/>
          <w:spacing w:val="-5"/>
        </w:rPr>
        <w:t> </w:t>
      </w:r>
      <w:r>
        <w:rPr>
          <w:color w:val="231F20"/>
        </w:rPr>
        <w:t>пада</w:t>
      </w:r>
      <w:r>
        <w:rPr>
          <w:color w:val="231F20"/>
          <w:spacing w:val="-5"/>
        </w:rPr>
        <w:t> </w:t>
      </w:r>
      <w:r>
        <w:rPr>
          <w:color w:val="231F20"/>
        </w:rPr>
        <w:t>ин- дустријских активности у Републици Србији. </w:t>
      </w:r>
      <w:r>
        <w:rPr>
          <w:color w:val="231F20"/>
          <w:spacing w:val="-3"/>
        </w:rPr>
        <w:t>Након </w:t>
      </w:r>
      <w:r>
        <w:rPr>
          <w:color w:val="231F20"/>
        </w:rPr>
        <w:t>2002. </w:t>
      </w:r>
      <w:r>
        <w:rPr>
          <w:color w:val="231F20"/>
          <w:spacing w:val="-3"/>
        </w:rPr>
        <w:t>године </w:t>
      </w:r>
      <w:r>
        <w:rPr>
          <w:color w:val="231F20"/>
        </w:rPr>
        <w:t>уследило је интензивирање производње, али она и даље није на задовољавајућем </w:t>
      </w:r>
      <w:r>
        <w:rPr>
          <w:color w:val="231F20"/>
          <w:spacing w:val="-5"/>
        </w:rPr>
        <w:t>нивоу, </w:t>
      </w:r>
      <w:r>
        <w:rPr>
          <w:color w:val="231F20"/>
        </w:rPr>
        <w:t>док ниске цене електричне енергије де- стимулативно утичу на рационално коришћење енергије у свим гранама индустрије. Поуздано утврђивање финалне потрошње енергије у индустрији по индустријским гранама и дефинисање енергетских индикатора на бази расположивих података тренут- но није могуће. Поред недостатка података о потрошњи финалне енергије у индустрији, не постоје ни целовите системске анализе, што додатно отежава утврђивање финалне потрошње енергије у овом </w:t>
      </w:r>
      <w:r>
        <w:rPr>
          <w:color w:val="231F20"/>
          <w:spacing w:val="-4"/>
        </w:rPr>
        <w:t>сектору. Како </w:t>
      </w:r>
      <w:r>
        <w:rPr>
          <w:color w:val="231F20"/>
        </w:rPr>
        <w:t>би се превазишли наведени недостаци, у на- редном периоду је неопходно спровести снимање стања кроз си- стематске студије, енергетске ревизије и увођења система газдо- вања енергијом (енергетског менаџмента) </w:t>
      </w:r>
      <w:r>
        <w:rPr>
          <w:color w:val="231F20"/>
          <w:spacing w:val="-6"/>
        </w:rPr>
        <w:t>код </w:t>
      </w:r>
      <w:r>
        <w:rPr>
          <w:color w:val="231F20"/>
        </w:rPr>
        <w:t>великих потрошача енергије. Ово је значајно и због постојања великих разлика у по- </w:t>
      </w:r>
      <w:r>
        <w:rPr>
          <w:color w:val="231F20"/>
          <w:spacing w:val="-3"/>
        </w:rPr>
        <w:t>гледу </w:t>
      </w:r>
      <w:r>
        <w:rPr>
          <w:color w:val="231F20"/>
        </w:rPr>
        <w:t>нивоа упослености капацитета, економских прилика и по- словања, </w:t>
      </w:r>
      <w:r>
        <w:rPr>
          <w:color w:val="231F20"/>
          <w:spacing w:val="-4"/>
        </w:rPr>
        <w:t>како </w:t>
      </w:r>
      <w:r>
        <w:rPr>
          <w:color w:val="231F20"/>
        </w:rPr>
        <w:t>између различитих грана индустрије, </w:t>
      </w:r>
      <w:r>
        <w:rPr>
          <w:color w:val="231F20"/>
          <w:spacing w:val="-3"/>
        </w:rPr>
        <w:t>тако </w:t>
      </w:r>
      <w:r>
        <w:rPr>
          <w:color w:val="231F20"/>
        </w:rPr>
        <w:t>и између појединачних</w:t>
      </w:r>
      <w:r>
        <w:rPr>
          <w:color w:val="231F20"/>
          <w:spacing w:val="-2"/>
        </w:rPr>
        <w:t> </w:t>
      </w:r>
      <w:r>
        <w:rPr>
          <w:color w:val="231F20"/>
        </w:rPr>
        <w:t>предузећа.</w:t>
      </w:r>
    </w:p>
    <w:p>
      <w:pPr>
        <w:pStyle w:val="BodyText"/>
        <w:spacing w:line="232" w:lineRule="auto"/>
        <w:ind w:left="453" w:firstLine="396"/>
      </w:pPr>
      <w:r>
        <w:rPr>
          <w:color w:val="231F20"/>
        </w:rPr>
        <w:t>На </w:t>
      </w:r>
      <w:r>
        <w:rPr>
          <w:color w:val="231F20"/>
          <w:spacing w:val="-3"/>
        </w:rPr>
        <w:t>Планском </w:t>
      </w:r>
      <w:r>
        <w:rPr>
          <w:color w:val="231F20"/>
          <w:spacing w:val="-4"/>
        </w:rPr>
        <w:t>подручју,  </w:t>
      </w:r>
      <w:r>
        <w:rPr>
          <w:color w:val="231F20"/>
        </w:rPr>
        <w:t>енергетска ефикасност у саобраћа-  ју</w:t>
      </w:r>
      <w:r>
        <w:rPr>
          <w:color w:val="231F20"/>
          <w:spacing w:val="20"/>
        </w:rPr>
        <w:t> </w:t>
      </w:r>
      <w:r>
        <w:rPr>
          <w:color w:val="231F20"/>
        </w:rPr>
        <w:t>слична</w:t>
      </w:r>
      <w:r>
        <w:rPr>
          <w:color w:val="231F20"/>
          <w:spacing w:val="20"/>
        </w:rPr>
        <w:t> </w:t>
      </w:r>
      <w:r>
        <w:rPr>
          <w:color w:val="231F20"/>
        </w:rPr>
        <w:t>је</w:t>
      </w:r>
      <w:r>
        <w:rPr>
          <w:color w:val="231F20"/>
          <w:spacing w:val="20"/>
        </w:rPr>
        <w:t> </w:t>
      </w:r>
      <w:r>
        <w:rPr>
          <w:color w:val="231F20"/>
        </w:rPr>
        <w:t>као</w:t>
      </w:r>
      <w:r>
        <w:rPr>
          <w:color w:val="231F20"/>
          <w:spacing w:val="20"/>
        </w:rPr>
        <w:t> </w:t>
      </w:r>
      <w:r>
        <w:rPr>
          <w:color w:val="231F20"/>
        </w:rPr>
        <w:t>и</w:t>
      </w:r>
      <w:r>
        <w:rPr>
          <w:color w:val="231F20"/>
          <w:spacing w:val="20"/>
        </w:rPr>
        <w:t> </w:t>
      </w:r>
      <w:r>
        <w:rPr>
          <w:color w:val="231F20"/>
        </w:rPr>
        <w:t>у</w:t>
      </w:r>
      <w:r>
        <w:rPr>
          <w:color w:val="231F20"/>
          <w:spacing w:val="20"/>
        </w:rPr>
        <w:t> </w:t>
      </w:r>
      <w:r>
        <w:rPr>
          <w:color w:val="231F20"/>
        </w:rPr>
        <w:t>Републици.</w:t>
      </w:r>
      <w:r>
        <w:rPr>
          <w:color w:val="231F20"/>
          <w:spacing w:val="20"/>
        </w:rPr>
        <w:t> </w:t>
      </w:r>
      <w:r>
        <w:rPr>
          <w:color w:val="231F20"/>
        </w:rPr>
        <w:t>У</w:t>
      </w:r>
      <w:r>
        <w:rPr>
          <w:color w:val="231F20"/>
          <w:spacing w:val="20"/>
        </w:rPr>
        <w:t> </w:t>
      </w:r>
      <w:r>
        <w:rPr>
          <w:color w:val="231F20"/>
        </w:rPr>
        <w:t>сектору</w:t>
      </w:r>
      <w:r>
        <w:rPr>
          <w:color w:val="231F20"/>
          <w:spacing w:val="20"/>
        </w:rPr>
        <w:t> </w:t>
      </w:r>
      <w:r>
        <w:rPr>
          <w:color w:val="231F20"/>
        </w:rPr>
        <w:t>саобраћаја</w:t>
      </w:r>
      <w:r>
        <w:rPr>
          <w:color w:val="231F20"/>
          <w:spacing w:val="20"/>
        </w:rPr>
        <w:t> </w:t>
      </w:r>
      <w:r>
        <w:rPr>
          <w:color w:val="231F20"/>
        </w:rPr>
        <w:t>доминира</w:t>
      </w:r>
    </w:p>
    <w:p>
      <w:pPr>
        <w:pStyle w:val="BodyText"/>
        <w:spacing w:line="232" w:lineRule="auto" w:before="78"/>
        <w:ind w:left="243" w:right="128" w:hanging="1"/>
      </w:pPr>
      <w:r>
        <w:rPr/>
        <w:br w:type="column"/>
      </w:r>
      <w:r>
        <w:rPr>
          <w:color w:val="231F20"/>
        </w:rPr>
        <w:t>друмски саобраћај. Kључни проблем у погледу енергетске ефика- сности, заштите животне средине, али и безбедности у саобраћају је старост возног парка.</w:t>
      </w:r>
    </w:p>
    <w:p>
      <w:pPr>
        <w:pStyle w:val="BodyText"/>
        <w:spacing w:line="228" w:lineRule="auto" w:before="1"/>
        <w:ind w:left="243" w:right="127" w:firstLine="396"/>
      </w:pPr>
      <w:r>
        <w:rPr>
          <w:color w:val="231F20"/>
        </w:rPr>
        <w:t>На </w:t>
      </w:r>
      <w:r>
        <w:rPr>
          <w:color w:val="231F20"/>
          <w:spacing w:val="-3"/>
        </w:rPr>
        <w:t>Планском </w:t>
      </w:r>
      <w:r>
        <w:rPr>
          <w:color w:val="231F20"/>
        </w:rPr>
        <w:t>подручју не постоји праћење енергетских би- ланса и потреба, па самим тим ни планови развоја енергетике у наредном </w:t>
      </w:r>
      <w:r>
        <w:rPr>
          <w:color w:val="231F20"/>
          <w:spacing w:val="-4"/>
        </w:rPr>
        <w:t>периоду. </w:t>
      </w:r>
      <w:r>
        <w:rPr>
          <w:color w:val="231F20"/>
        </w:rPr>
        <w:t>Природни услови подручја ослањају се на про- изводњу енергије пре свега из угља.</w:t>
      </w:r>
    </w:p>
    <w:p>
      <w:pPr>
        <w:pStyle w:val="BodyText"/>
        <w:spacing w:line="198" w:lineRule="exact"/>
        <w:ind w:left="640"/>
        <w:jc w:val="left"/>
      </w:pPr>
      <w:r>
        <w:rPr>
          <w:color w:val="231F20"/>
        </w:rPr>
        <w:t>Разлози за </w:t>
      </w:r>
      <w:r>
        <w:rPr>
          <w:color w:val="231F20"/>
          <w:spacing w:val="-3"/>
        </w:rPr>
        <w:t>велику </w:t>
      </w:r>
      <w:r>
        <w:rPr>
          <w:color w:val="231F20"/>
        </w:rPr>
        <w:t>потрошњу eнергије у </w:t>
      </w:r>
      <w:r>
        <w:rPr>
          <w:color w:val="231F20"/>
          <w:spacing w:val="-4"/>
        </w:rPr>
        <w:t>Планском </w:t>
      </w:r>
      <w:r>
        <w:rPr>
          <w:color w:val="231F20"/>
          <w:spacing w:val="-3"/>
        </w:rPr>
        <w:t>подручју </w:t>
      </w:r>
      <w:r>
        <w:rPr>
          <w:color w:val="231F20"/>
          <w:spacing w:val="-4"/>
        </w:rPr>
        <w:t>су:</w:t>
      </w:r>
    </w:p>
    <w:p>
      <w:pPr>
        <w:pStyle w:val="BodyText"/>
        <w:spacing w:line="228" w:lineRule="auto" w:before="4"/>
        <w:ind w:left="243" w:right="128" w:firstLine="396"/>
      </w:pPr>
      <w:r>
        <w:rPr>
          <w:color w:val="231F20"/>
          <w:w w:val="66"/>
        </w:rPr>
        <w:t> </w:t>
      </w:r>
      <w:r>
        <w:rPr>
          <w:color w:val="231F20"/>
        </w:rPr>
        <w:t>–</w:t>
      </w:r>
      <w:r>
        <w:rPr>
          <w:color w:val="231F20"/>
          <w:spacing w:val="-5"/>
        </w:rPr>
        <w:t> </w:t>
      </w:r>
      <w:r>
        <w:rPr>
          <w:color w:val="231F20"/>
        </w:rPr>
        <w:t>велики</w:t>
      </w:r>
      <w:r>
        <w:rPr>
          <w:color w:val="231F20"/>
          <w:spacing w:val="-5"/>
        </w:rPr>
        <w:t> </w:t>
      </w:r>
      <w:r>
        <w:rPr>
          <w:color w:val="231F20"/>
        </w:rPr>
        <w:t>губици</w:t>
      </w:r>
      <w:r>
        <w:rPr>
          <w:color w:val="231F20"/>
          <w:spacing w:val="-5"/>
        </w:rPr>
        <w:t> </w:t>
      </w:r>
      <w:r>
        <w:rPr>
          <w:color w:val="231F20"/>
          <w:spacing w:val="-3"/>
        </w:rPr>
        <w:t>који</w:t>
      </w:r>
      <w:r>
        <w:rPr>
          <w:color w:val="231F20"/>
          <w:spacing w:val="-5"/>
        </w:rPr>
        <w:t> </w:t>
      </w:r>
      <w:r>
        <w:rPr>
          <w:color w:val="231F20"/>
        </w:rPr>
        <w:t>настају</w:t>
      </w:r>
      <w:r>
        <w:rPr>
          <w:color w:val="231F20"/>
          <w:spacing w:val="-5"/>
        </w:rPr>
        <w:t> </w:t>
      </w:r>
      <w:r>
        <w:rPr>
          <w:color w:val="231F20"/>
        </w:rPr>
        <w:t>у</w:t>
      </w:r>
      <w:r>
        <w:rPr>
          <w:color w:val="231F20"/>
          <w:spacing w:val="-5"/>
        </w:rPr>
        <w:t> </w:t>
      </w:r>
      <w:r>
        <w:rPr>
          <w:color w:val="231F20"/>
        </w:rPr>
        <w:t>транспорту</w:t>
      </w:r>
      <w:r>
        <w:rPr>
          <w:color w:val="231F20"/>
          <w:spacing w:val="-5"/>
        </w:rPr>
        <w:t> </w:t>
      </w:r>
      <w:r>
        <w:rPr>
          <w:color w:val="231F20"/>
        </w:rPr>
        <w:t>кроз</w:t>
      </w:r>
      <w:r>
        <w:rPr>
          <w:color w:val="231F20"/>
          <w:spacing w:val="-5"/>
        </w:rPr>
        <w:t> </w:t>
      </w:r>
      <w:r>
        <w:rPr>
          <w:color w:val="231F20"/>
        </w:rPr>
        <w:t>систем</w:t>
      </w:r>
      <w:r>
        <w:rPr>
          <w:color w:val="231F20"/>
          <w:spacing w:val="-5"/>
        </w:rPr>
        <w:t> </w:t>
      </w:r>
      <w:r>
        <w:rPr>
          <w:color w:val="231F20"/>
        </w:rPr>
        <w:t>греја- ња због дотрајалих и неадекватно изолованих</w:t>
      </w:r>
      <w:r>
        <w:rPr>
          <w:color w:val="231F20"/>
          <w:spacing w:val="-12"/>
        </w:rPr>
        <w:t> </w:t>
      </w:r>
      <w:r>
        <w:rPr>
          <w:color w:val="231F20"/>
        </w:rPr>
        <w:t>цеви;</w:t>
      </w:r>
    </w:p>
    <w:p>
      <w:pPr>
        <w:pStyle w:val="BodyText"/>
        <w:spacing w:line="228" w:lineRule="auto" w:before="2"/>
        <w:ind w:left="243" w:right="128" w:firstLine="396"/>
      </w:pPr>
      <w:r>
        <w:rPr>
          <w:color w:val="231F20"/>
          <w:w w:val="66"/>
        </w:rPr>
        <w:t> </w:t>
      </w:r>
      <w:r>
        <w:rPr>
          <w:color w:val="231F20"/>
        </w:rPr>
        <w:t>– расипање енергије јер се даљинско грејање плаћа по ква- дратном</w:t>
      </w:r>
      <w:r>
        <w:rPr>
          <w:color w:val="231F20"/>
          <w:spacing w:val="-5"/>
        </w:rPr>
        <w:t> </w:t>
      </w:r>
      <w:r>
        <w:rPr>
          <w:color w:val="231F20"/>
          <w:spacing w:val="-4"/>
        </w:rPr>
        <w:t>метру,</w:t>
      </w:r>
      <w:r>
        <w:rPr>
          <w:color w:val="231F20"/>
          <w:spacing w:val="-5"/>
        </w:rPr>
        <w:t> </w:t>
      </w:r>
      <w:r>
        <w:rPr>
          <w:color w:val="231F20"/>
        </w:rPr>
        <w:t>а</w:t>
      </w:r>
      <w:r>
        <w:rPr>
          <w:color w:val="231F20"/>
          <w:spacing w:val="-5"/>
        </w:rPr>
        <w:t> </w:t>
      </w:r>
      <w:r>
        <w:rPr>
          <w:color w:val="231F20"/>
        </w:rPr>
        <w:t>не</w:t>
      </w:r>
      <w:r>
        <w:rPr>
          <w:color w:val="231F20"/>
          <w:spacing w:val="-5"/>
        </w:rPr>
        <w:t> </w:t>
      </w:r>
      <w:r>
        <w:rPr>
          <w:color w:val="231F20"/>
        </w:rPr>
        <w:t>по</w:t>
      </w:r>
      <w:r>
        <w:rPr>
          <w:color w:val="231F20"/>
          <w:spacing w:val="-5"/>
        </w:rPr>
        <w:t> </w:t>
      </w:r>
      <w:r>
        <w:rPr>
          <w:color w:val="231F20"/>
        </w:rPr>
        <w:t>стварној</w:t>
      </w:r>
      <w:r>
        <w:rPr>
          <w:color w:val="231F20"/>
          <w:spacing w:val="-5"/>
        </w:rPr>
        <w:t> </w:t>
      </w:r>
      <w:r>
        <w:rPr>
          <w:color w:val="231F20"/>
        </w:rPr>
        <w:t>потрошњи,</w:t>
      </w:r>
      <w:r>
        <w:rPr>
          <w:color w:val="231F20"/>
          <w:spacing w:val="-5"/>
        </w:rPr>
        <w:t> </w:t>
      </w:r>
      <w:r>
        <w:rPr>
          <w:color w:val="231F20"/>
        </w:rPr>
        <w:t>те</w:t>
      </w:r>
      <w:r>
        <w:rPr>
          <w:color w:val="231F20"/>
          <w:spacing w:val="-5"/>
        </w:rPr>
        <w:t> </w:t>
      </w:r>
      <w:r>
        <w:rPr>
          <w:color w:val="231F20"/>
        </w:rPr>
        <w:t>корисници</w:t>
      </w:r>
      <w:r>
        <w:rPr>
          <w:color w:val="231F20"/>
          <w:spacing w:val="-5"/>
        </w:rPr>
        <w:t> </w:t>
      </w:r>
      <w:r>
        <w:rPr>
          <w:color w:val="231F20"/>
        </w:rPr>
        <w:t>нису</w:t>
      </w:r>
      <w:r>
        <w:rPr>
          <w:color w:val="231F20"/>
          <w:spacing w:val="-5"/>
        </w:rPr>
        <w:t> </w:t>
      </w:r>
      <w:r>
        <w:rPr>
          <w:color w:val="231F20"/>
        </w:rPr>
        <w:t>мо- тивисани да је</w:t>
      </w:r>
      <w:r>
        <w:rPr>
          <w:color w:val="231F20"/>
          <w:spacing w:val="-2"/>
        </w:rPr>
        <w:t> </w:t>
      </w:r>
      <w:r>
        <w:rPr>
          <w:color w:val="231F20"/>
        </w:rPr>
        <w:t>штеде;</w:t>
      </w:r>
    </w:p>
    <w:p>
      <w:pPr>
        <w:pStyle w:val="BodyText"/>
        <w:spacing w:line="228" w:lineRule="auto" w:before="3"/>
        <w:ind w:left="243" w:right="128" w:firstLine="397"/>
      </w:pPr>
      <w:r>
        <w:rPr>
          <w:color w:val="231F20"/>
          <w:w w:val="66"/>
        </w:rPr>
        <w:t> </w:t>
      </w:r>
      <w:r>
        <w:rPr>
          <w:color w:val="231F20"/>
        </w:rPr>
        <w:t>– непостојање довољне свести грађана о томе да је енергија вредан ресурс који треба трошити рационално;</w:t>
      </w:r>
    </w:p>
    <w:p>
      <w:pPr>
        <w:pStyle w:val="BodyText"/>
        <w:spacing w:line="228" w:lineRule="auto" w:before="2"/>
        <w:ind w:left="243" w:right="128" w:firstLine="396"/>
      </w:pPr>
      <w:r>
        <w:rPr>
          <w:color w:val="231F20"/>
          <w:w w:val="66"/>
        </w:rPr>
        <w:t> </w:t>
      </w:r>
      <w:r>
        <w:rPr>
          <w:color w:val="231F20"/>
        </w:rPr>
        <w:t>– непостојање управљања енергијом – енергетског менаџ- мент и</w:t>
      </w:r>
    </w:p>
    <w:p>
      <w:pPr>
        <w:pStyle w:val="BodyText"/>
        <w:spacing w:line="228" w:lineRule="auto" w:before="2"/>
        <w:ind w:left="243" w:right="128" w:firstLine="396"/>
      </w:pPr>
      <w:r>
        <w:rPr>
          <w:color w:val="231F20"/>
          <w:w w:val="66"/>
        </w:rPr>
        <w:t> </w:t>
      </w:r>
      <w:r>
        <w:rPr>
          <w:color w:val="231F20"/>
        </w:rPr>
        <w:t>– непостојање адекватне спољне термоизолације, термостат- ских вентила за радијаторе који би регулисали потрошњу у скла- ду са температуром, као и коришћење неадекватних електричних уређаја у домаћинствима који троше више струје.</w:t>
      </w:r>
    </w:p>
    <w:p>
      <w:pPr>
        <w:pStyle w:val="BodyText"/>
        <w:spacing w:line="228" w:lineRule="auto" w:before="4"/>
        <w:ind w:left="242" w:right="128" w:firstLine="397"/>
      </w:pPr>
      <w:r>
        <w:rPr>
          <w:color w:val="231F20"/>
        </w:rPr>
        <w:t>У ТЕ-КО „Костолац” предузете су мере </w:t>
      </w:r>
      <w:r>
        <w:rPr>
          <w:color w:val="231F20"/>
          <w:spacing w:val="-3"/>
        </w:rPr>
        <w:t>које </w:t>
      </w:r>
      <w:r>
        <w:rPr>
          <w:color w:val="231F20"/>
        </w:rPr>
        <w:t>се односе на по- бољшање енергетске ефикасности (уштеда електричне енергије у сопственој потрошњи, побољшање енергетске ефикасности три трафостанице, замена старе дотрајале столарије на неким објекти- ма</w:t>
      </w:r>
      <w:r>
        <w:rPr>
          <w:color w:val="231F20"/>
          <w:spacing w:val="-8"/>
        </w:rPr>
        <w:t> </w:t>
      </w:r>
      <w:r>
        <w:rPr>
          <w:color w:val="231F20"/>
        </w:rPr>
        <w:t>PVC</w:t>
      </w:r>
      <w:r>
        <w:rPr>
          <w:color w:val="231F20"/>
          <w:spacing w:val="-8"/>
        </w:rPr>
        <w:t> </w:t>
      </w:r>
      <w:r>
        <w:rPr>
          <w:color w:val="231F20"/>
        </w:rPr>
        <w:t>столаријом,</w:t>
      </w:r>
      <w:r>
        <w:rPr>
          <w:color w:val="231F20"/>
          <w:spacing w:val="-8"/>
        </w:rPr>
        <w:t> </w:t>
      </w:r>
      <w:r>
        <w:rPr>
          <w:color w:val="231F20"/>
        </w:rPr>
        <w:t>постављање</w:t>
      </w:r>
      <w:r>
        <w:rPr>
          <w:color w:val="231F20"/>
          <w:spacing w:val="-8"/>
        </w:rPr>
        <w:t> </w:t>
      </w:r>
      <w:r>
        <w:rPr>
          <w:color w:val="231F20"/>
        </w:rPr>
        <w:t>термоизолације</w:t>
      </w:r>
      <w:r>
        <w:rPr>
          <w:color w:val="231F20"/>
          <w:spacing w:val="-8"/>
        </w:rPr>
        <w:t> </w:t>
      </w:r>
      <w:r>
        <w:rPr>
          <w:color w:val="231F20"/>
        </w:rPr>
        <w:t>на</w:t>
      </w:r>
      <w:r>
        <w:rPr>
          <w:color w:val="231F20"/>
          <w:spacing w:val="-8"/>
        </w:rPr>
        <w:t> </w:t>
      </w:r>
      <w:r>
        <w:rPr>
          <w:color w:val="231F20"/>
          <w:spacing w:val="-4"/>
        </w:rPr>
        <w:t>неколико</w:t>
      </w:r>
      <w:r>
        <w:rPr>
          <w:color w:val="231F20"/>
          <w:spacing w:val="-8"/>
        </w:rPr>
        <w:t> </w:t>
      </w:r>
      <w:r>
        <w:rPr>
          <w:color w:val="231F20"/>
        </w:rPr>
        <w:t>обје- ката). Међутим, не постоји интегрални план за побољшање енер- гетске ефикасности у целом систему (индустријске производње, саобраћаја, изградње и реконструкције објеката и</w:t>
      </w:r>
      <w:r>
        <w:rPr>
          <w:color w:val="231F20"/>
          <w:spacing w:val="-13"/>
        </w:rPr>
        <w:t> </w:t>
      </w:r>
      <w:r>
        <w:rPr>
          <w:color w:val="231F20"/>
        </w:rPr>
        <w:t>друго).</w:t>
      </w:r>
    </w:p>
    <w:p>
      <w:pPr>
        <w:pStyle w:val="BodyText"/>
        <w:spacing w:line="228" w:lineRule="auto" w:before="8"/>
        <w:ind w:left="243" w:right="128" w:firstLine="397"/>
      </w:pPr>
      <w:r>
        <w:rPr>
          <w:color w:val="231F20"/>
        </w:rPr>
        <w:t>Према</w:t>
      </w:r>
      <w:r>
        <w:rPr>
          <w:color w:val="231F20"/>
          <w:spacing w:val="-8"/>
        </w:rPr>
        <w:t> </w:t>
      </w:r>
      <w:r>
        <w:rPr>
          <w:color w:val="231F20"/>
        </w:rPr>
        <w:t>Програму</w:t>
      </w:r>
      <w:r>
        <w:rPr>
          <w:color w:val="231F20"/>
          <w:spacing w:val="-7"/>
        </w:rPr>
        <w:t> </w:t>
      </w:r>
      <w:r>
        <w:rPr>
          <w:color w:val="231F20"/>
        </w:rPr>
        <w:t>остварења</w:t>
      </w:r>
      <w:r>
        <w:rPr>
          <w:color w:val="231F20"/>
          <w:spacing w:val="-8"/>
        </w:rPr>
        <w:t> </w:t>
      </w:r>
      <w:r>
        <w:rPr>
          <w:color w:val="231F20"/>
        </w:rPr>
        <w:t>стратегије</w:t>
      </w:r>
      <w:r>
        <w:rPr>
          <w:color w:val="231F20"/>
          <w:spacing w:val="-8"/>
        </w:rPr>
        <w:t> </w:t>
      </w:r>
      <w:r>
        <w:rPr>
          <w:color w:val="231F20"/>
        </w:rPr>
        <w:t>развоја</w:t>
      </w:r>
      <w:r>
        <w:rPr>
          <w:color w:val="231F20"/>
          <w:spacing w:val="-8"/>
        </w:rPr>
        <w:t> </w:t>
      </w:r>
      <w:r>
        <w:rPr>
          <w:color w:val="231F20"/>
        </w:rPr>
        <w:t>енергетике</w:t>
      </w:r>
      <w:r>
        <w:rPr>
          <w:color w:val="231F20"/>
          <w:spacing w:val="-7"/>
        </w:rPr>
        <w:t> </w:t>
      </w:r>
      <w:r>
        <w:rPr>
          <w:color w:val="231F20"/>
        </w:rPr>
        <w:t>Ре- </w:t>
      </w:r>
      <w:r>
        <w:rPr>
          <w:color w:val="231F20"/>
          <w:spacing w:val="-3"/>
        </w:rPr>
        <w:t>публике </w:t>
      </w:r>
      <w:r>
        <w:rPr>
          <w:color w:val="231F20"/>
        </w:rPr>
        <w:t>Србије, просечна специфична финална потрошња енер- гије за грејање и припрему санитарне топле воде процењује се на </w:t>
      </w:r>
      <w:r>
        <w:rPr>
          <w:color w:val="231F20"/>
          <w:spacing w:val="-4"/>
        </w:rPr>
        <w:t>око </w:t>
      </w:r>
      <w:r>
        <w:rPr>
          <w:color w:val="231F20"/>
        </w:rPr>
        <w:t>220 kWh/m², што је много више </w:t>
      </w:r>
      <w:r>
        <w:rPr>
          <w:color w:val="231F20"/>
          <w:spacing w:val="-3"/>
        </w:rPr>
        <w:t>од </w:t>
      </w:r>
      <w:r>
        <w:rPr>
          <w:color w:val="231F20"/>
        </w:rPr>
        <w:t>просека Европске уније.</w:t>
      </w:r>
      <w:r>
        <w:rPr>
          <w:color w:val="231F20"/>
          <w:spacing w:val="-32"/>
        </w:rPr>
        <w:t> </w:t>
      </w:r>
      <w:r>
        <w:rPr>
          <w:color w:val="231F20"/>
        </w:rPr>
        <w:t>На </w:t>
      </w:r>
      <w:r>
        <w:rPr>
          <w:color w:val="231F20"/>
          <w:spacing w:val="-3"/>
        </w:rPr>
        <w:t>Планском </w:t>
      </w:r>
      <w:r>
        <w:rPr>
          <w:color w:val="231F20"/>
        </w:rPr>
        <w:t>подручју нису вршена истраживања </w:t>
      </w:r>
      <w:r>
        <w:rPr>
          <w:color w:val="231F20"/>
          <w:spacing w:val="-3"/>
        </w:rPr>
        <w:t>која </w:t>
      </w:r>
      <w:r>
        <w:rPr>
          <w:color w:val="231F20"/>
        </w:rPr>
        <w:t>би дала пре- цизније </w:t>
      </w:r>
      <w:r>
        <w:rPr>
          <w:color w:val="231F20"/>
          <w:spacing w:val="-3"/>
        </w:rPr>
        <w:t>податке </w:t>
      </w:r>
      <w:r>
        <w:rPr>
          <w:color w:val="231F20"/>
        </w:rPr>
        <w:t>о потрошњи енергије зависно </w:t>
      </w:r>
      <w:r>
        <w:rPr>
          <w:color w:val="231F20"/>
          <w:spacing w:val="-3"/>
        </w:rPr>
        <w:t>од </w:t>
      </w:r>
      <w:r>
        <w:rPr>
          <w:color w:val="231F20"/>
        </w:rPr>
        <w:t>типова и </w:t>
      </w:r>
      <w:r>
        <w:rPr>
          <w:color w:val="231F20"/>
          <w:spacing w:val="-3"/>
        </w:rPr>
        <w:t>године </w:t>
      </w:r>
      <w:r>
        <w:rPr>
          <w:color w:val="231F20"/>
        </w:rPr>
        <w:t>изградње</w:t>
      </w:r>
      <w:r>
        <w:rPr>
          <w:color w:val="231F20"/>
          <w:spacing w:val="-2"/>
        </w:rPr>
        <w:t> </w:t>
      </w:r>
      <w:r>
        <w:rPr>
          <w:color w:val="231F20"/>
        </w:rPr>
        <w:t>објеката.</w:t>
      </w:r>
    </w:p>
    <w:p>
      <w:pPr>
        <w:pStyle w:val="BodyText"/>
        <w:spacing w:line="228" w:lineRule="auto" w:before="6"/>
        <w:ind w:left="242" w:right="128" w:firstLine="397"/>
      </w:pPr>
      <w:r>
        <w:rPr>
          <w:color w:val="231F20"/>
        </w:rPr>
        <w:t>Ограничење за развој енергетски ефикасне производње и по- трошње на </w:t>
      </w:r>
      <w:r>
        <w:rPr>
          <w:color w:val="231F20"/>
          <w:spacing w:val="-3"/>
        </w:rPr>
        <w:t>Планском </w:t>
      </w:r>
      <w:r>
        <w:rPr>
          <w:color w:val="231F20"/>
        </w:rPr>
        <w:t>подручју представља: старост енергетских објеката, опреме и мреже, што уз ограничена средства за инве- стиције и одржавање енергетских капацитета, доводи до великих техничких губитака у транспорту и дистрибуцији електричне и топлотне енергије; нерационално коришћење енергије, посебно електроенергије за грејне потребе, као и велика специфична по- трошња енергије по јединици производа у индустрији. Проблем представљају и застарелост већине изграђених капацитета; недо- вољна заштита животне средине; непостојање реалних цена и па- ритета енергије; недостатак сопствених и иностраних средстава за развој; велики увоз енергије; нерационална организација енер- гетских предузећа; недостатак регулативе и стандарда у области енергетике,</w:t>
      </w:r>
      <w:r>
        <w:rPr>
          <w:color w:val="231F20"/>
          <w:spacing w:val="-1"/>
        </w:rPr>
        <w:t> </w:t>
      </w:r>
      <w:r>
        <w:rPr>
          <w:color w:val="231F20"/>
        </w:rPr>
        <w:t>итд.</w:t>
      </w:r>
    </w:p>
    <w:p>
      <w:pPr>
        <w:pStyle w:val="BodyText"/>
        <w:spacing w:line="228" w:lineRule="auto" w:before="14"/>
        <w:ind w:left="242" w:right="129" w:firstLine="396"/>
      </w:pPr>
      <w:r>
        <w:rPr>
          <w:color w:val="231F20"/>
        </w:rPr>
        <w:t>Да би се успоставиле мере за повећање енергетске</w:t>
      </w:r>
      <w:r>
        <w:rPr>
          <w:color w:val="231F20"/>
          <w:spacing w:val="-27"/>
        </w:rPr>
        <w:t> </w:t>
      </w:r>
      <w:r>
        <w:rPr>
          <w:color w:val="231F20"/>
        </w:rPr>
        <w:t>ефикасно- сти</w:t>
      </w:r>
      <w:r>
        <w:rPr>
          <w:color w:val="231F20"/>
          <w:spacing w:val="-9"/>
        </w:rPr>
        <w:t> </w:t>
      </w:r>
      <w:r>
        <w:rPr>
          <w:color w:val="231F20"/>
        </w:rPr>
        <w:t>најпре</w:t>
      </w:r>
      <w:r>
        <w:rPr>
          <w:color w:val="231F20"/>
          <w:spacing w:val="-9"/>
        </w:rPr>
        <w:t> </w:t>
      </w:r>
      <w:r>
        <w:rPr>
          <w:color w:val="231F20"/>
        </w:rPr>
        <w:t>је</w:t>
      </w:r>
      <w:r>
        <w:rPr>
          <w:color w:val="231F20"/>
          <w:spacing w:val="-9"/>
        </w:rPr>
        <w:t> </w:t>
      </w:r>
      <w:r>
        <w:rPr>
          <w:color w:val="231F20"/>
        </w:rPr>
        <w:t>неопходно</w:t>
      </w:r>
      <w:r>
        <w:rPr>
          <w:color w:val="231F20"/>
          <w:spacing w:val="-9"/>
        </w:rPr>
        <w:t> </w:t>
      </w:r>
      <w:r>
        <w:rPr>
          <w:color w:val="231F20"/>
        </w:rPr>
        <w:t>идентификовати</w:t>
      </w:r>
      <w:r>
        <w:rPr>
          <w:color w:val="231F20"/>
          <w:spacing w:val="-9"/>
        </w:rPr>
        <w:t> </w:t>
      </w:r>
      <w:r>
        <w:rPr>
          <w:color w:val="231F20"/>
        </w:rPr>
        <w:t>основне</w:t>
      </w:r>
      <w:r>
        <w:rPr>
          <w:color w:val="231F20"/>
          <w:spacing w:val="-9"/>
        </w:rPr>
        <w:t> </w:t>
      </w:r>
      <w:r>
        <w:rPr>
          <w:color w:val="231F20"/>
        </w:rPr>
        <w:t>баријере</w:t>
      </w:r>
      <w:r>
        <w:rPr>
          <w:color w:val="231F20"/>
          <w:spacing w:val="-9"/>
        </w:rPr>
        <w:t> </w:t>
      </w:r>
      <w:r>
        <w:rPr>
          <w:color w:val="231F20"/>
        </w:rPr>
        <w:t>за</w:t>
      </w:r>
      <w:r>
        <w:rPr>
          <w:color w:val="231F20"/>
          <w:spacing w:val="-9"/>
        </w:rPr>
        <w:t> </w:t>
      </w:r>
      <w:r>
        <w:rPr>
          <w:color w:val="231F20"/>
        </w:rPr>
        <w:t>њено повећање, </w:t>
      </w:r>
      <w:r>
        <w:rPr>
          <w:color w:val="231F20"/>
          <w:spacing w:val="-3"/>
        </w:rPr>
        <w:t>које </w:t>
      </w:r>
      <w:r>
        <w:rPr>
          <w:color w:val="231F20"/>
        </w:rPr>
        <w:t>се могу класификовати на финансијске, социјалне и</w:t>
      </w:r>
      <w:r>
        <w:rPr>
          <w:color w:val="231F20"/>
          <w:spacing w:val="-2"/>
        </w:rPr>
        <w:t> </w:t>
      </w:r>
      <w:r>
        <w:rPr>
          <w:color w:val="231F20"/>
        </w:rPr>
        <w:t>техничке.</w:t>
      </w:r>
    </w:p>
    <w:p>
      <w:pPr>
        <w:pStyle w:val="ListParagraph"/>
        <w:numPr>
          <w:ilvl w:val="2"/>
          <w:numId w:val="13"/>
        </w:numPr>
        <w:tabs>
          <w:tab w:pos="1677" w:val="left" w:leader="none"/>
        </w:tabs>
        <w:spacing w:line="240" w:lineRule="auto" w:before="166" w:after="0"/>
        <w:ind w:left="1676" w:right="0" w:hanging="450"/>
        <w:jc w:val="left"/>
        <w:rPr>
          <w:sz w:val="18"/>
        </w:rPr>
      </w:pPr>
      <w:r>
        <w:rPr>
          <w:color w:val="231F20"/>
          <w:spacing w:val="16"/>
          <w:sz w:val="18"/>
        </w:rPr>
        <w:t>Обновљиви </w:t>
      </w:r>
      <w:r>
        <w:rPr>
          <w:color w:val="231F20"/>
          <w:spacing w:val="15"/>
          <w:sz w:val="18"/>
        </w:rPr>
        <w:t>извори</w:t>
      </w:r>
      <w:r>
        <w:rPr>
          <w:color w:val="231F20"/>
          <w:spacing w:val="10"/>
          <w:sz w:val="18"/>
        </w:rPr>
        <w:t> </w:t>
      </w:r>
      <w:r>
        <w:rPr>
          <w:color w:val="231F20"/>
          <w:spacing w:val="16"/>
          <w:sz w:val="18"/>
        </w:rPr>
        <w:t>енергије</w:t>
      </w:r>
    </w:p>
    <w:p>
      <w:pPr>
        <w:pStyle w:val="BodyText"/>
        <w:spacing w:before="1"/>
        <w:ind w:left="0"/>
        <w:jc w:val="left"/>
        <w:rPr>
          <w:sz w:val="17"/>
        </w:rPr>
      </w:pPr>
    </w:p>
    <w:p>
      <w:pPr>
        <w:pStyle w:val="BodyText"/>
        <w:spacing w:line="228" w:lineRule="auto"/>
        <w:ind w:left="242" w:right="129" w:firstLine="396"/>
      </w:pPr>
      <w:r>
        <w:rPr>
          <w:color w:val="231F20"/>
        </w:rPr>
        <w:t>У Републици Србији и на Планском подручју постоји техно- лошко заостајање и неразвијена индустрија за производњу енер- гетске опреме за коришћење енергије из обновљивих извора.</w:t>
      </w:r>
    </w:p>
    <w:p>
      <w:pPr>
        <w:pStyle w:val="BodyText"/>
        <w:spacing w:line="228" w:lineRule="auto" w:before="2"/>
        <w:ind w:left="242" w:right="129" w:firstLine="396"/>
      </w:pPr>
      <w:r>
        <w:rPr>
          <w:color w:val="231F20"/>
        </w:rPr>
        <w:t>На Планском подручју не постоје програми за коришћење Обновљивих извора енергије (у даљем тексту: ОИЕ), као ни енер- гетски биланси коришћења ОИЕ. Од обновљивих извора енерги- је већи значај могу имати енергија из биомасе, енергија сунца и енергија ветра.</w:t>
      </w:r>
    </w:p>
    <w:p>
      <w:pPr>
        <w:pStyle w:val="BodyText"/>
        <w:spacing w:line="228" w:lineRule="auto" w:before="5"/>
        <w:ind w:left="242" w:right="129" w:firstLine="397"/>
      </w:pPr>
      <w:r>
        <w:rPr>
          <w:color w:val="231F20"/>
        </w:rPr>
        <w:t>Eнергија из биомасе. Биомаса је укупан биолошки материјал из шумарства, пољопривреде, животињски измет и остаци из сто- чарства, који могу бити претворени у гориво.</w:t>
      </w:r>
    </w:p>
    <w:p>
      <w:pPr>
        <w:pStyle w:val="BodyText"/>
        <w:spacing w:line="228" w:lineRule="auto" w:before="3"/>
        <w:ind w:left="242" w:right="129" w:firstLine="396"/>
      </w:pPr>
      <w:r>
        <w:rPr>
          <w:color w:val="231F20"/>
        </w:rPr>
        <w:t>Планско подручје није богато шумама. </w:t>
      </w:r>
      <w:r>
        <w:rPr>
          <w:color w:val="231F20"/>
          <w:spacing w:val="-3"/>
        </w:rPr>
        <w:t>Шумско </w:t>
      </w:r>
      <w:r>
        <w:rPr>
          <w:color w:val="231F20"/>
        </w:rPr>
        <w:t>земљиште је заступљено са 8,3% </w:t>
      </w:r>
      <w:r>
        <w:rPr>
          <w:color w:val="231F20"/>
          <w:spacing w:val="-3"/>
        </w:rPr>
        <w:t>(око </w:t>
      </w:r>
      <w:r>
        <w:rPr>
          <w:color w:val="231F20"/>
        </w:rPr>
        <w:t>4.482 ha), а пољопривредно са 71,9%</w:t>
      </w:r>
      <w:r>
        <w:rPr>
          <w:color w:val="231F20"/>
          <w:spacing w:val="-27"/>
        </w:rPr>
        <w:t> </w:t>
      </w:r>
      <w:r>
        <w:rPr>
          <w:color w:val="231F20"/>
          <w:spacing w:val="-3"/>
        </w:rPr>
        <w:t>(око </w:t>
      </w:r>
      <w:r>
        <w:rPr>
          <w:color w:val="231F20"/>
        </w:rPr>
        <w:t>38.728 ha). Рекултивисане површине износе 2,4 % (1176.4</w:t>
      </w:r>
      <w:r>
        <w:rPr>
          <w:color w:val="231F20"/>
          <w:spacing w:val="-15"/>
        </w:rPr>
        <w:t> </w:t>
      </w:r>
      <w:r>
        <w:rPr>
          <w:color w:val="231F20"/>
        </w:rPr>
        <w:t>ha).</w:t>
      </w:r>
    </w:p>
    <w:p>
      <w:pPr>
        <w:pStyle w:val="BodyText"/>
        <w:spacing w:line="232" w:lineRule="auto" w:before="4"/>
        <w:ind w:left="242" w:right="129" w:firstLine="397"/>
      </w:pPr>
      <w:r>
        <w:rPr>
          <w:color w:val="231F20"/>
        </w:rPr>
        <w:t>Биомаса или отпад биомасе из прераде дрвета и ратарске производње користи се за добијање топлотне енергије, пре свега, у домаћинствима. Постројења и објекти у </w:t>
      </w:r>
      <w:r>
        <w:rPr>
          <w:color w:val="231F20"/>
          <w:spacing w:val="-3"/>
        </w:rPr>
        <w:t>којима </w:t>
      </w:r>
      <w:r>
        <w:rPr>
          <w:color w:val="231F20"/>
        </w:rPr>
        <w:t>се дрво користи као </w:t>
      </w:r>
      <w:r>
        <w:rPr>
          <w:color w:val="231F20"/>
          <w:spacing w:val="-3"/>
        </w:rPr>
        <w:t>погонско </w:t>
      </w:r>
      <w:r>
        <w:rPr>
          <w:color w:val="231F20"/>
        </w:rPr>
        <w:t>гориво </w:t>
      </w:r>
      <w:r>
        <w:rPr>
          <w:color w:val="231F20"/>
          <w:spacing w:val="-3"/>
        </w:rPr>
        <w:t>углавном </w:t>
      </w:r>
      <w:r>
        <w:rPr>
          <w:color w:val="231F20"/>
        </w:rPr>
        <w:t>имају ниску енергетску</w:t>
      </w:r>
      <w:r>
        <w:rPr>
          <w:color w:val="231F20"/>
          <w:spacing w:val="-29"/>
        </w:rPr>
        <w:t> </w:t>
      </w:r>
      <w:r>
        <w:rPr>
          <w:color w:val="231F20"/>
        </w:rPr>
        <w:t>ефикасност.</w:t>
      </w:r>
    </w:p>
    <w:p>
      <w:pPr>
        <w:spacing w:after="0" w:line="232" w:lineRule="auto"/>
        <w:sectPr>
          <w:pgSz w:w="12480" w:h="15690"/>
          <w:pgMar w:top="120" w:bottom="280" w:left="680" w:right="720"/>
          <w:cols w:num="2" w:equalWidth="0">
            <w:col w:w="5557" w:space="40"/>
            <w:col w:w="5483"/>
          </w:cols>
        </w:sectPr>
      </w:pPr>
    </w:p>
    <w:p>
      <w:pPr>
        <w:pStyle w:val="BodyText"/>
        <w:spacing w:line="200" w:lineRule="exact" w:before="68"/>
        <w:ind w:left="567"/>
        <w:jc w:val="left"/>
      </w:pPr>
      <w:r>
        <w:rPr/>
        <w:pict>
          <v:line style="position:absolute;mso-position-horizontal-relative:page;mso-position-vertical-relative:page;z-index:1264" from="304.724396pt,11.94295pt" to="304.724396pt,748.95095pt" stroked="true" strokeweight=".6pt" strokecolor="#231f20">
            <v:stroke dashstyle="solid"/>
            <w10:wrap type="none"/>
          </v:line>
        </w:pict>
      </w:r>
      <w:r>
        <w:rPr>
          <w:color w:val="231F20"/>
        </w:rPr>
        <w:t>Тренутно стање је следеће:</w:t>
      </w:r>
    </w:p>
    <w:p>
      <w:pPr>
        <w:pStyle w:val="BodyText"/>
        <w:spacing w:line="225" w:lineRule="auto" w:before="3"/>
        <w:ind w:right="39" w:firstLine="396"/>
      </w:pPr>
      <w:r>
        <w:rPr>
          <w:color w:val="231F20"/>
          <w:w w:val="66"/>
        </w:rPr>
        <w:t> </w:t>
      </w:r>
      <w:r>
        <w:rPr>
          <w:color w:val="231F20"/>
        </w:rPr>
        <w:t>–</w:t>
      </w:r>
      <w:r>
        <w:rPr>
          <w:color w:val="231F20"/>
          <w:spacing w:val="-9"/>
        </w:rPr>
        <w:t> </w:t>
      </w:r>
      <w:r>
        <w:rPr>
          <w:color w:val="231F20"/>
        </w:rPr>
        <w:t>производња</w:t>
      </w:r>
      <w:r>
        <w:rPr>
          <w:color w:val="231F20"/>
          <w:spacing w:val="-9"/>
        </w:rPr>
        <w:t> </w:t>
      </w:r>
      <w:r>
        <w:rPr>
          <w:color w:val="231F20"/>
        </w:rPr>
        <w:t>енергије</w:t>
      </w:r>
      <w:r>
        <w:rPr>
          <w:color w:val="231F20"/>
          <w:spacing w:val="-9"/>
        </w:rPr>
        <w:t> </w:t>
      </w:r>
      <w:r>
        <w:rPr>
          <w:color w:val="231F20"/>
        </w:rPr>
        <w:t>из</w:t>
      </w:r>
      <w:r>
        <w:rPr>
          <w:color w:val="231F20"/>
          <w:spacing w:val="-9"/>
        </w:rPr>
        <w:t> </w:t>
      </w:r>
      <w:r>
        <w:rPr>
          <w:color w:val="231F20"/>
        </w:rPr>
        <w:t>биомасе</w:t>
      </w:r>
      <w:r>
        <w:rPr>
          <w:color w:val="231F20"/>
          <w:spacing w:val="-9"/>
        </w:rPr>
        <w:t> </w:t>
      </w:r>
      <w:r>
        <w:rPr>
          <w:color w:val="231F20"/>
        </w:rPr>
        <w:t>користи</w:t>
      </w:r>
      <w:r>
        <w:rPr>
          <w:color w:val="231F20"/>
          <w:spacing w:val="-9"/>
        </w:rPr>
        <w:t> </w:t>
      </w:r>
      <w:r>
        <w:rPr>
          <w:color w:val="231F20"/>
        </w:rPr>
        <w:t>се</w:t>
      </w:r>
      <w:r>
        <w:rPr>
          <w:color w:val="231F20"/>
          <w:spacing w:val="-9"/>
        </w:rPr>
        <w:t> </w:t>
      </w:r>
      <w:r>
        <w:rPr>
          <w:color w:val="231F20"/>
        </w:rPr>
        <w:t>за</w:t>
      </w:r>
      <w:r>
        <w:rPr>
          <w:color w:val="231F20"/>
          <w:spacing w:val="-9"/>
        </w:rPr>
        <w:t> </w:t>
      </w:r>
      <w:r>
        <w:rPr>
          <w:color w:val="231F20"/>
        </w:rPr>
        <w:t>индивидуал- но</w:t>
      </w:r>
      <w:r>
        <w:rPr>
          <w:color w:val="231F20"/>
          <w:spacing w:val="-2"/>
        </w:rPr>
        <w:t> </w:t>
      </w:r>
      <w:r>
        <w:rPr>
          <w:color w:val="231F20"/>
        </w:rPr>
        <w:t>загревање;</w:t>
      </w:r>
    </w:p>
    <w:p>
      <w:pPr>
        <w:pStyle w:val="BodyText"/>
        <w:spacing w:line="225" w:lineRule="auto"/>
        <w:ind w:right="39" w:firstLine="396"/>
      </w:pPr>
      <w:r>
        <w:rPr>
          <w:color w:val="231F20"/>
          <w:w w:val="66"/>
        </w:rPr>
        <w:t> </w:t>
      </w:r>
      <w:r>
        <w:rPr>
          <w:color w:val="231F20"/>
        </w:rPr>
        <w:t>– углавном је ниска искоришћеност постојећих извора био- масе;</w:t>
      </w:r>
    </w:p>
    <w:p>
      <w:pPr>
        <w:pStyle w:val="BodyText"/>
        <w:spacing w:line="225" w:lineRule="auto"/>
        <w:ind w:right="39" w:firstLine="396"/>
      </w:pPr>
      <w:r>
        <w:rPr>
          <w:color w:val="231F20"/>
          <w:w w:val="66"/>
        </w:rPr>
        <w:t> </w:t>
      </w:r>
      <w:r>
        <w:rPr>
          <w:color w:val="231F20"/>
        </w:rPr>
        <w:t>– прецизни статистички подаци о искоришћењу биомасе не постоје и</w:t>
      </w:r>
    </w:p>
    <w:p>
      <w:pPr>
        <w:pStyle w:val="BodyText"/>
        <w:spacing w:line="225" w:lineRule="auto"/>
        <w:ind w:left="567"/>
        <w:jc w:val="left"/>
      </w:pPr>
      <w:r>
        <w:rPr>
          <w:color w:val="231F20"/>
          <w:w w:val="66"/>
        </w:rPr>
        <w:t> </w:t>
      </w:r>
      <w:r>
        <w:rPr>
          <w:color w:val="231F20"/>
        </w:rPr>
        <w:t>–</w:t>
      </w:r>
      <w:r>
        <w:rPr>
          <w:color w:val="231F20"/>
          <w:spacing w:val="-11"/>
        </w:rPr>
        <w:t> </w:t>
      </w:r>
      <w:r>
        <w:rPr>
          <w:color w:val="231F20"/>
        </w:rPr>
        <w:t>већи</w:t>
      </w:r>
      <w:r>
        <w:rPr>
          <w:color w:val="231F20"/>
          <w:spacing w:val="-11"/>
        </w:rPr>
        <w:t> </w:t>
      </w:r>
      <w:r>
        <w:rPr>
          <w:color w:val="231F20"/>
        </w:rPr>
        <w:t>број</w:t>
      </w:r>
      <w:r>
        <w:rPr>
          <w:color w:val="231F20"/>
          <w:spacing w:val="-11"/>
        </w:rPr>
        <w:t> </w:t>
      </w:r>
      <w:r>
        <w:rPr>
          <w:color w:val="231F20"/>
        </w:rPr>
        <w:t>домаћинстава</w:t>
      </w:r>
      <w:r>
        <w:rPr>
          <w:color w:val="231F20"/>
          <w:spacing w:val="-11"/>
        </w:rPr>
        <w:t> </w:t>
      </w:r>
      <w:r>
        <w:rPr>
          <w:color w:val="231F20"/>
          <w:spacing w:val="-3"/>
        </w:rPr>
        <w:t>користи</w:t>
      </w:r>
      <w:r>
        <w:rPr>
          <w:color w:val="231F20"/>
          <w:spacing w:val="-11"/>
        </w:rPr>
        <w:t> </w:t>
      </w:r>
      <w:r>
        <w:rPr>
          <w:color w:val="231F20"/>
        </w:rPr>
        <w:t>дрво</w:t>
      </w:r>
      <w:r>
        <w:rPr>
          <w:color w:val="231F20"/>
          <w:spacing w:val="-11"/>
        </w:rPr>
        <w:t> </w:t>
      </w:r>
      <w:r>
        <w:rPr>
          <w:color w:val="231F20"/>
        </w:rPr>
        <w:t>као</w:t>
      </w:r>
      <w:r>
        <w:rPr>
          <w:color w:val="231F20"/>
          <w:spacing w:val="-11"/>
        </w:rPr>
        <w:t> </w:t>
      </w:r>
      <w:r>
        <w:rPr>
          <w:color w:val="231F20"/>
        </w:rPr>
        <w:t>гориво</w:t>
      </w:r>
      <w:r>
        <w:rPr>
          <w:color w:val="231F20"/>
          <w:spacing w:val="-11"/>
        </w:rPr>
        <w:t> </w:t>
      </w:r>
      <w:r>
        <w:rPr>
          <w:color w:val="231F20"/>
        </w:rPr>
        <w:t>за</w:t>
      </w:r>
      <w:r>
        <w:rPr>
          <w:color w:val="231F20"/>
          <w:spacing w:val="-11"/>
        </w:rPr>
        <w:t> </w:t>
      </w:r>
      <w:r>
        <w:rPr>
          <w:color w:val="231F20"/>
        </w:rPr>
        <w:t>грејање. Енергија</w:t>
      </w:r>
      <w:r>
        <w:rPr>
          <w:color w:val="231F20"/>
          <w:spacing w:val="-6"/>
        </w:rPr>
        <w:t> </w:t>
      </w:r>
      <w:r>
        <w:rPr>
          <w:color w:val="231F20"/>
        </w:rPr>
        <w:t>ветра.</w:t>
      </w:r>
      <w:r>
        <w:rPr>
          <w:color w:val="231F20"/>
          <w:spacing w:val="-6"/>
        </w:rPr>
        <w:t> </w:t>
      </w:r>
      <w:r>
        <w:rPr>
          <w:color w:val="231F20"/>
        </w:rPr>
        <w:t>Ветар</w:t>
      </w:r>
      <w:r>
        <w:rPr>
          <w:color w:val="231F20"/>
          <w:spacing w:val="-6"/>
        </w:rPr>
        <w:t> </w:t>
      </w:r>
      <w:r>
        <w:rPr>
          <w:color w:val="231F20"/>
        </w:rPr>
        <w:t>дува</w:t>
      </w:r>
      <w:r>
        <w:rPr>
          <w:color w:val="231F20"/>
          <w:spacing w:val="-6"/>
        </w:rPr>
        <w:t> </w:t>
      </w:r>
      <w:r>
        <w:rPr>
          <w:color w:val="231F20"/>
          <w:spacing w:val="-3"/>
        </w:rPr>
        <w:t>скоро</w:t>
      </w:r>
      <w:r>
        <w:rPr>
          <w:color w:val="231F20"/>
          <w:spacing w:val="-6"/>
        </w:rPr>
        <w:t> </w:t>
      </w:r>
      <w:r>
        <w:rPr>
          <w:color w:val="231F20"/>
          <w:spacing w:val="-3"/>
        </w:rPr>
        <w:t>преко</w:t>
      </w:r>
      <w:r>
        <w:rPr>
          <w:color w:val="231F20"/>
          <w:spacing w:val="-6"/>
        </w:rPr>
        <w:t> </w:t>
      </w:r>
      <w:r>
        <w:rPr>
          <w:color w:val="231F20"/>
        </w:rPr>
        <w:t>целе</w:t>
      </w:r>
      <w:r>
        <w:rPr>
          <w:color w:val="231F20"/>
          <w:spacing w:val="-6"/>
        </w:rPr>
        <w:t> </w:t>
      </w:r>
      <w:r>
        <w:rPr>
          <w:color w:val="231F20"/>
        </w:rPr>
        <w:t>године,</w:t>
      </w:r>
      <w:r>
        <w:rPr>
          <w:color w:val="231F20"/>
          <w:spacing w:val="-6"/>
        </w:rPr>
        <w:t> </w:t>
      </w:r>
      <w:r>
        <w:rPr>
          <w:color w:val="231F20"/>
        </w:rPr>
        <w:t>више</w:t>
      </w:r>
      <w:r>
        <w:rPr>
          <w:color w:val="231F20"/>
          <w:spacing w:val="-6"/>
        </w:rPr>
        <w:t> </w:t>
      </w:r>
      <w:r>
        <w:rPr>
          <w:color w:val="231F20"/>
        </w:rPr>
        <w:t>зи-</w:t>
      </w:r>
    </w:p>
    <w:p>
      <w:pPr>
        <w:pStyle w:val="BodyText"/>
        <w:spacing w:line="225" w:lineRule="auto"/>
        <w:ind w:left="171" w:hanging="1"/>
        <w:jc w:val="left"/>
      </w:pPr>
      <w:r>
        <w:rPr>
          <w:color w:val="231F20"/>
        </w:rPr>
        <w:t>ми, с јесени и пролећа, него лети. Тишине су заступљене са свега 170 – 200 ‰, а ветар умерене до веће брзине је честа појава.</w:t>
      </w:r>
    </w:p>
    <w:p>
      <w:pPr>
        <w:pStyle w:val="BodyText"/>
        <w:spacing w:line="225" w:lineRule="auto"/>
        <w:ind w:right="38" w:firstLine="397"/>
      </w:pPr>
      <w:r>
        <w:rPr>
          <w:color w:val="231F20"/>
        </w:rPr>
        <w:t>Процена енергетског потенцијала на </w:t>
      </w:r>
      <w:r>
        <w:rPr>
          <w:color w:val="231F20"/>
          <w:spacing w:val="-3"/>
        </w:rPr>
        <w:t>Планском </w:t>
      </w:r>
      <w:r>
        <w:rPr>
          <w:color w:val="231F20"/>
        </w:rPr>
        <w:t>подручју је обављена на основу података Хидрометеоролошког завода Срби- је, прикупљених мерењем на метеоролошким стубовима висине до 10 m. Агенција за енергетску ефикасност </w:t>
      </w:r>
      <w:r>
        <w:rPr>
          <w:color w:val="231F20"/>
          <w:spacing w:val="-3"/>
        </w:rPr>
        <w:t>Републике </w:t>
      </w:r>
      <w:r>
        <w:rPr>
          <w:color w:val="231F20"/>
        </w:rPr>
        <w:t>Србије је обавила мерења параметара ветра на висини </w:t>
      </w:r>
      <w:r>
        <w:rPr>
          <w:color w:val="231F20"/>
          <w:spacing w:val="-3"/>
        </w:rPr>
        <w:t>од </w:t>
      </w:r>
      <w:r>
        <w:rPr>
          <w:color w:val="231F20"/>
        </w:rPr>
        <w:t>50 m на територи- ји</w:t>
      </w:r>
      <w:r>
        <w:rPr>
          <w:color w:val="231F20"/>
          <w:spacing w:val="-12"/>
        </w:rPr>
        <w:t> </w:t>
      </w:r>
      <w:r>
        <w:rPr>
          <w:color w:val="231F20"/>
        </w:rPr>
        <w:t>општине</w:t>
      </w:r>
      <w:r>
        <w:rPr>
          <w:color w:val="231F20"/>
          <w:spacing w:val="-12"/>
        </w:rPr>
        <w:t> </w:t>
      </w:r>
      <w:r>
        <w:rPr>
          <w:color w:val="231F20"/>
        </w:rPr>
        <w:t>Велико</w:t>
      </w:r>
      <w:r>
        <w:rPr>
          <w:color w:val="231F20"/>
          <w:spacing w:val="-12"/>
        </w:rPr>
        <w:t> </w:t>
      </w:r>
      <w:r>
        <w:rPr>
          <w:color w:val="231F20"/>
        </w:rPr>
        <w:t>Градиште.</w:t>
      </w:r>
      <w:r>
        <w:rPr>
          <w:color w:val="231F20"/>
          <w:spacing w:val="-12"/>
        </w:rPr>
        <w:t> </w:t>
      </w:r>
      <w:r>
        <w:rPr>
          <w:color w:val="231F20"/>
        </w:rPr>
        <w:t>На</w:t>
      </w:r>
      <w:r>
        <w:rPr>
          <w:color w:val="231F20"/>
          <w:spacing w:val="-12"/>
        </w:rPr>
        <w:t> </w:t>
      </w:r>
      <w:r>
        <w:rPr>
          <w:color w:val="231F20"/>
        </w:rPr>
        <w:t>спoљном</w:t>
      </w:r>
      <w:r>
        <w:rPr>
          <w:color w:val="231F20"/>
          <w:spacing w:val="-12"/>
        </w:rPr>
        <w:t> </w:t>
      </w:r>
      <w:r>
        <w:rPr>
          <w:color w:val="231F20"/>
        </w:rPr>
        <w:t>одлагалишту</w:t>
      </w:r>
      <w:r>
        <w:rPr>
          <w:color w:val="231F20"/>
          <w:spacing w:val="-12"/>
        </w:rPr>
        <w:t> </w:t>
      </w:r>
      <w:r>
        <w:rPr>
          <w:color w:val="231F20"/>
        </w:rPr>
        <w:t>површин- </w:t>
      </w:r>
      <w:r>
        <w:rPr>
          <w:color w:val="231F20"/>
          <w:spacing w:val="-3"/>
        </w:rPr>
        <w:t>ског копа </w:t>
      </w:r>
      <w:r>
        <w:rPr>
          <w:color w:val="231F20"/>
        </w:rPr>
        <w:t>„Дрмно” (КО Брадарац) постављена је, такође, станица за мерење интензитета и учесталости ветра. Мерења су спроведе- на у периоду </w:t>
      </w:r>
      <w:r>
        <w:rPr>
          <w:color w:val="231F20"/>
          <w:spacing w:val="-3"/>
        </w:rPr>
        <w:t>од </w:t>
      </w:r>
      <w:r>
        <w:rPr>
          <w:color w:val="231F20"/>
        </w:rPr>
        <w:t>23. новембра 2007. до 23. новембра 2010.</w:t>
      </w:r>
      <w:r>
        <w:rPr>
          <w:color w:val="231F20"/>
          <w:spacing w:val="-8"/>
        </w:rPr>
        <w:t> </w:t>
      </w:r>
      <w:r>
        <w:rPr>
          <w:color w:val="231F20"/>
          <w:spacing w:val="-3"/>
        </w:rPr>
        <w:t>године.</w:t>
      </w:r>
    </w:p>
    <w:p>
      <w:pPr>
        <w:pStyle w:val="BodyText"/>
        <w:spacing w:before="167"/>
        <w:ind w:left="171"/>
        <w:jc w:val="left"/>
      </w:pPr>
      <w:r>
        <w:rPr>
          <w:color w:val="231F20"/>
        </w:rPr>
        <w:t>Табела 4: Резултати мерења брзине ветра на висини од 50 m</w:t>
      </w:r>
    </w:p>
    <w:p>
      <w:pPr>
        <w:pStyle w:val="BodyText"/>
        <w:spacing w:before="9"/>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41"/>
        <w:gridCol w:w="681"/>
        <w:gridCol w:w="738"/>
        <w:gridCol w:w="681"/>
        <w:gridCol w:w="738"/>
        <w:gridCol w:w="681"/>
        <w:gridCol w:w="738"/>
      </w:tblGrid>
      <w:tr>
        <w:trPr>
          <w:trHeight w:val="680" w:hRule="atLeast"/>
        </w:trPr>
        <w:tc>
          <w:tcPr>
            <w:tcW w:w="841" w:type="dxa"/>
            <w:vMerge w:val="restart"/>
          </w:tcPr>
          <w:p>
            <w:pPr>
              <w:pStyle w:val="TableParagraph"/>
              <w:ind w:left="56"/>
              <w:jc w:val="left"/>
              <w:rPr>
                <w:sz w:val="14"/>
              </w:rPr>
            </w:pPr>
            <w:r>
              <w:rPr>
                <w:color w:val="231F20"/>
                <w:sz w:val="14"/>
              </w:rPr>
              <w:t>Локација</w:t>
            </w:r>
          </w:p>
        </w:tc>
        <w:tc>
          <w:tcPr>
            <w:tcW w:w="1419" w:type="dxa"/>
            <w:gridSpan w:val="2"/>
          </w:tcPr>
          <w:p>
            <w:pPr>
              <w:pStyle w:val="TableParagraph"/>
              <w:ind w:left="198" w:right="188"/>
              <w:jc w:val="center"/>
              <w:rPr>
                <w:sz w:val="14"/>
              </w:rPr>
            </w:pPr>
            <w:r>
              <w:rPr>
                <w:color w:val="231F20"/>
                <w:sz w:val="14"/>
              </w:rPr>
              <w:t>Просечна брзина ветра на висини од 50 m (m/s)</w:t>
            </w:r>
          </w:p>
        </w:tc>
        <w:tc>
          <w:tcPr>
            <w:tcW w:w="1419" w:type="dxa"/>
            <w:gridSpan w:val="2"/>
          </w:tcPr>
          <w:p>
            <w:pPr>
              <w:pStyle w:val="TableParagraph"/>
              <w:ind w:left="105" w:right="99" w:hanging="1"/>
              <w:jc w:val="center"/>
              <w:rPr>
                <w:sz w:val="14"/>
              </w:rPr>
            </w:pPr>
            <w:r>
              <w:rPr>
                <w:color w:val="231F20"/>
                <w:sz w:val="14"/>
              </w:rPr>
              <w:t>Екстраполисана просечна брзина ве- тра на висини</w:t>
            </w:r>
          </w:p>
          <w:p>
            <w:pPr>
              <w:pStyle w:val="TableParagraph"/>
              <w:spacing w:line="158" w:lineRule="exact" w:before="0"/>
              <w:ind w:left="192" w:right="188"/>
              <w:jc w:val="center"/>
              <w:rPr>
                <w:sz w:val="14"/>
              </w:rPr>
            </w:pPr>
            <w:r>
              <w:rPr>
                <w:color w:val="231F20"/>
                <w:sz w:val="14"/>
              </w:rPr>
              <w:t>од 80 m (m/s)</w:t>
            </w:r>
          </w:p>
        </w:tc>
        <w:tc>
          <w:tcPr>
            <w:tcW w:w="1419" w:type="dxa"/>
            <w:gridSpan w:val="2"/>
          </w:tcPr>
          <w:p>
            <w:pPr>
              <w:pStyle w:val="TableParagraph"/>
              <w:ind w:left="443" w:hanging="196"/>
              <w:jc w:val="left"/>
              <w:rPr>
                <w:sz w:val="14"/>
              </w:rPr>
            </w:pPr>
            <w:r>
              <w:rPr>
                <w:color w:val="231F20"/>
                <w:sz w:val="14"/>
              </w:rPr>
              <w:t>Расположивост података</w:t>
            </w:r>
          </w:p>
        </w:tc>
      </w:tr>
      <w:tr>
        <w:trPr>
          <w:trHeight w:val="200" w:hRule="atLeast"/>
        </w:trPr>
        <w:tc>
          <w:tcPr>
            <w:tcW w:w="841" w:type="dxa"/>
            <w:vMerge/>
            <w:tcBorders>
              <w:top w:val="nil"/>
            </w:tcBorders>
          </w:tcPr>
          <w:p>
            <w:pPr>
              <w:rPr>
                <w:sz w:val="2"/>
                <w:szCs w:val="2"/>
              </w:rPr>
            </w:pPr>
          </w:p>
        </w:tc>
        <w:tc>
          <w:tcPr>
            <w:tcW w:w="681" w:type="dxa"/>
          </w:tcPr>
          <w:p>
            <w:pPr>
              <w:pStyle w:val="TableParagraph"/>
              <w:ind w:right="61"/>
              <w:rPr>
                <w:sz w:val="14"/>
              </w:rPr>
            </w:pPr>
            <w:r>
              <w:rPr>
                <w:color w:val="231F20"/>
                <w:sz w:val="14"/>
              </w:rPr>
              <w:t>6 месеци</w:t>
            </w:r>
          </w:p>
        </w:tc>
        <w:tc>
          <w:tcPr>
            <w:tcW w:w="738" w:type="dxa"/>
          </w:tcPr>
          <w:p>
            <w:pPr>
              <w:pStyle w:val="TableParagraph"/>
              <w:ind w:right="55"/>
              <w:rPr>
                <w:sz w:val="14"/>
              </w:rPr>
            </w:pPr>
            <w:r>
              <w:rPr>
                <w:color w:val="231F20"/>
                <w:sz w:val="14"/>
              </w:rPr>
              <w:t>12 месеци</w:t>
            </w:r>
          </w:p>
        </w:tc>
        <w:tc>
          <w:tcPr>
            <w:tcW w:w="681" w:type="dxa"/>
          </w:tcPr>
          <w:p>
            <w:pPr>
              <w:pStyle w:val="TableParagraph"/>
              <w:ind w:right="63"/>
              <w:rPr>
                <w:sz w:val="14"/>
              </w:rPr>
            </w:pPr>
            <w:r>
              <w:rPr>
                <w:color w:val="231F20"/>
                <w:sz w:val="14"/>
              </w:rPr>
              <w:t>6 месеци</w:t>
            </w:r>
          </w:p>
        </w:tc>
        <w:tc>
          <w:tcPr>
            <w:tcW w:w="738" w:type="dxa"/>
          </w:tcPr>
          <w:p>
            <w:pPr>
              <w:pStyle w:val="TableParagraph"/>
              <w:ind w:right="57"/>
              <w:rPr>
                <w:sz w:val="14"/>
              </w:rPr>
            </w:pPr>
            <w:r>
              <w:rPr>
                <w:color w:val="231F20"/>
                <w:sz w:val="14"/>
              </w:rPr>
              <w:t>12 месеци</w:t>
            </w:r>
          </w:p>
        </w:tc>
        <w:tc>
          <w:tcPr>
            <w:tcW w:w="681" w:type="dxa"/>
          </w:tcPr>
          <w:p>
            <w:pPr>
              <w:pStyle w:val="TableParagraph"/>
              <w:ind w:right="64"/>
              <w:rPr>
                <w:sz w:val="14"/>
              </w:rPr>
            </w:pPr>
            <w:r>
              <w:rPr>
                <w:color w:val="231F20"/>
                <w:sz w:val="14"/>
              </w:rPr>
              <w:t>6 месеци</w:t>
            </w:r>
          </w:p>
        </w:tc>
        <w:tc>
          <w:tcPr>
            <w:tcW w:w="738" w:type="dxa"/>
          </w:tcPr>
          <w:p>
            <w:pPr>
              <w:pStyle w:val="TableParagraph"/>
              <w:ind w:right="59"/>
              <w:rPr>
                <w:sz w:val="14"/>
              </w:rPr>
            </w:pPr>
            <w:r>
              <w:rPr>
                <w:color w:val="231F20"/>
                <w:sz w:val="14"/>
              </w:rPr>
              <w:t>12 месеци</w:t>
            </w:r>
          </w:p>
        </w:tc>
      </w:tr>
      <w:tr>
        <w:trPr>
          <w:trHeight w:val="360" w:hRule="atLeast"/>
        </w:trPr>
        <w:tc>
          <w:tcPr>
            <w:tcW w:w="841" w:type="dxa"/>
          </w:tcPr>
          <w:p>
            <w:pPr>
              <w:pStyle w:val="TableParagraph"/>
              <w:ind w:left="56"/>
              <w:jc w:val="left"/>
              <w:rPr>
                <w:sz w:val="14"/>
              </w:rPr>
            </w:pPr>
            <w:r>
              <w:rPr>
                <w:color w:val="231F20"/>
                <w:sz w:val="14"/>
              </w:rPr>
              <w:t>Велико Градиште</w:t>
            </w:r>
          </w:p>
        </w:tc>
        <w:tc>
          <w:tcPr>
            <w:tcW w:w="681" w:type="dxa"/>
          </w:tcPr>
          <w:p>
            <w:pPr>
              <w:pStyle w:val="TableParagraph"/>
              <w:ind w:right="45"/>
              <w:rPr>
                <w:sz w:val="14"/>
              </w:rPr>
            </w:pPr>
            <w:r>
              <w:rPr>
                <w:color w:val="231F20"/>
                <w:sz w:val="14"/>
              </w:rPr>
              <w:t>3,61</w:t>
            </w:r>
          </w:p>
        </w:tc>
        <w:tc>
          <w:tcPr>
            <w:tcW w:w="738" w:type="dxa"/>
          </w:tcPr>
          <w:p>
            <w:pPr>
              <w:pStyle w:val="TableParagraph"/>
              <w:ind w:right="46"/>
              <w:rPr>
                <w:sz w:val="14"/>
              </w:rPr>
            </w:pPr>
            <w:r>
              <w:rPr>
                <w:color w:val="231F20"/>
                <w:sz w:val="14"/>
              </w:rPr>
              <w:t>3,50</w:t>
            </w:r>
          </w:p>
        </w:tc>
        <w:tc>
          <w:tcPr>
            <w:tcW w:w="681" w:type="dxa"/>
          </w:tcPr>
          <w:p>
            <w:pPr>
              <w:pStyle w:val="TableParagraph"/>
              <w:ind w:right="47"/>
              <w:rPr>
                <w:sz w:val="14"/>
              </w:rPr>
            </w:pPr>
            <w:r>
              <w:rPr>
                <w:color w:val="231F20"/>
                <w:sz w:val="14"/>
              </w:rPr>
              <w:t>3,82</w:t>
            </w:r>
          </w:p>
        </w:tc>
        <w:tc>
          <w:tcPr>
            <w:tcW w:w="738" w:type="dxa"/>
          </w:tcPr>
          <w:p>
            <w:pPr>
              <w:pStyle w:val="TableParagraph"/>
              <w:ind w:right="48"/>
              <w:rPr>
                <w:sz w:val="14"/>
              </w:rPr>
            </w:pPr>
            <w:r>
              <w:rPr>
                <w:color w:val="231F20"/>
                <w:sz w:val="14"/>
              </w:rPr>
              <w:t>3,71</w:t>
            </w:r>
          </w:p>
        </w:tc>
        <w:tc>
          <w:tcPr>
            <w:tcW w:w="681" w:type="dxa"/>
          </w:tcPr>
          <w:p>
            <w:pPr>
              <w:pStyle w:val="TableParagraph"/>
              <w:ind w:right="49"/>
              <w:rPr>
                <w:sz w:val="14"/>
              </w:rPr>
            </w:pPr>
            <w:r>
              <w:rPr>
                <w:color w:val="231F20"/>
                <w:sz w:val="14"/>
              </w:rPr>
              <w:t>99,7%</w:t>
            </w:r>
          </w:p>
        </w:tc>
        <w:tc>
          <w:tcPr>
            <w:tcW w:w="738" w:type="dxa"/>
          </w:tcPr>
          <w:p>
            <w:pPr>
              <w:pStyle w:val="TableParagraph"/>
              <w:ind w:right="50"/>
              <w:rPr>
                <w:sz w:val="14"/>
              </w:rPr>
            </w:pPr>
            <w:r>
              <w:rPr>
                <w:color w:val="231F20"/>
                <w:sz w:val="14"/>
              </w:rPr>
              <w:t>99,0%</w:t>
            </w:r>
          </w:p>
        </w:tc>
      </w:tr>
      <w:tr>
        <w:trPr>
          <w:trHeight w:val="840" w:hRule="atLeast"/>
        </w:trPr>
        <w:tc>
          <w:tcPr>
            <w:tcW w:w="841" w:type="dxa"/>
          </w:tcPr>
          <w:p>
            <w:pPr>
              <w:pStyle w:val="TableParagraph"/>
              <w:ind w:left="56" w:right="3"/>
              <w:jc w:val="left"/>
              <w:rPr>
                <w:sz w:val="14"/>
              </w:rPr>
            </w:pPr>
            <w:r>
              <w:rPr>
                <w:color w:val="231F20"/>
                <w:sz w:val="14"/>
              </w:rPr>
              <w:t>Спољно одлагалиште површин- ског копа</w:t>
            </w:r>
          </w:p>
          <w:p>
            <w:pPr>
              <w:pStyle w:val="TableParagraph"/>
              <w:spacing w:line="157" w:lineRule="exact" w:before="0"/>
              <w:ind w:left="56"/>
              <w:jc w:val="left"/>
              <w:rPr>
                <w:sz w:val="14"/>
              </w:rPr>
            </w:pPr>
            <w:r>
              <w:rPr>
                <w:color w:val="231F20"/>
                <w:sz w:val="14"/>
              </w:rPr>
              <w:t>„Дрмно”</w:t>
            </w:r>
          </w:p>
        </w:tc>
        <w:tc>
          <w:tcPr>
            <w:tcW w:w="681" w:type="dxa"/>
          </w:tcPr>
          <w:p>
            <w:pPr>
              <w:pStyle w:val="TableParagraph"/>
              <w:ind w:right="45"/>
              <w:rPr>
                <w:sz w:val="14"/>
              </w:rPr>
            </w:pPr>
            <w:r>
              <w:rPr>
                <w:color w:val="231F20"/>
                <w:sz w:val="14"/>
              </w:rPr>
              <w:t>6,83</w:t>
            </w:r>
          </w:p>
        </w:tc>
        <w:tc>
          <w:tcPr>
            <w:tcW w:w="738" w:type="dxa"/>
          </w:tcPr>
          <w:p>
            <w:pPr>
              <w:pStyle w:val="TableParagraph"/>
              <w:ind w:right="46"/>
              <w:rPr>
                <w:sz w:val="14"/>
              </w:rPr>
            </w:pPr>
            <w:r>
              <w:rPr>
                <w:color w:val="231F20"/>
                <w:sz w:val="14"/>
              </w:rPr>
              <w:t>6,05</w:t>
            </w:r>
          </w:p>
        </w:tc>
        <w:tc>
          <w:tcPr>
            <w:tcW w:w="681" w:type="dxa"/>
          </w:tcPr>
          <w:p>
            <w:pPr>
              <w:pStyle w:val="TableParagraph"/>
              <w:ind w:right="47"/>
              <w:rPr>
                <w:sz w:val="14"/>
              </w:rPr>
            </w:pPr>
            <w:r>
              <w:rPr>
                <w:color w:val="231F20"/>
                <w:sz w:val="14"/>
              </w:rPr>
              <w:t>7,10</w:t>
            </w:r>
          </w:p>
        </w:tc>
        <w:tc>
          <w:tcPr>
            <w:tcW w:w="738" w:type="dxa"/>
          </w:tcPr>
          <w:p>
            <w:pPr>
              <w:pStyle w:val="TableParagraph"/>
              <w:ind w:right="48"/>
              <w:rPr>
                <w:sz w:val="14"/>
              </w:rPr>
            </w:pPr>
            <w:r>
              <w:rPr>
                <w:color w:val="231F20"/>
                <w:sz w:val="14"/>
              </w:rPr>
              <w:t>6,29</w:t>
            </w:r>
          </w:p>
        </w:tc>
        <w:tc>
          <w:tcPr>
            <w:tcW w:w="681" w:type="dxa"/>
          </w:tcPr>
          <w:p>
            <w:pPr>
              <w:pStyle w:val="TableParagraph"/>
              <w:ind w:right="49"/>
              <w:rPr>
                <w:sz w:val="14"/>
              </w:rPr>
            </w:pPr>
            <w:r>
              <w:rPr>
                <w:color w:val="231F20"/>
                <w:sz w:val="14"/>
              </w:rPr>
              <w:t>99,44</w:t>
            </w:r>
          </w:p>
        </w:tc>
        <w:tc>
          <w:tcPr>
            <w:tcW w:w="738" w:type="dxa"/>
          </w:tcPr>
          <w:p>
            <w:pPr>
              <w:pStyle w:val="TableParagraph"/>
              <w:ind w:right="50"/>
              <w:rPr>
                <w:sz w:val="14"/>
              </w:rPr>
            </w:pPr>
            <w:r>
              <w:rPr>
                <w:color w:val="231F20"/>
                <w:sz w:val="14"/>
              </w:rPr>
              <w:t>99,72</w:t>
            </w:r>
          </w:p>
        </w:tc>
      </w:tr>
    </w:tbl>
    <w:p>
      <w:pPr>
        <w:pStyle w:val="BodyText"/>
        <w:spacing w:line="225" w:lineRule="auto" w:before="36"/>
        <w:ind w:right="39" w:firstLine="397"/>
      </w:pPr>
      <w:r>
        <w:rPr>
          <w:color w:val="231F20"/>
        </w:rPr>
        <w:t>За тачну оцену оправданости изградње електране на ветар неопходно је спровести детаљна мерења брзине и правца ветра.  У наредном </w:t>
      </w:r>
      <w:r>
        <w:rPr>
          <w:color w:val="231F20"/>
          <w:spacing w:val="-4"/>
        </w:rPr>
        <w:t>периоду, </w:t>
      </w:r>
      <w:r>
        <w:rPr>
          <w:color w:val="231F20"/>
        </w:rPr>
        <w:t>потребно је наставити мерења ветра на ви- синама </w:t>
      </w:r>
      <w:r>
        <w:rPr>
          <w:color w:val="231F20"/>
          <w:spacing w:val="-3"/>
        </w:rPr>
        <w:t>од </w:t>
      </w:r>
      <w:r>
        <w:rPr>
          <w:color w:val="231F20"/>
        </w:rPr>
        <w:t>50 m у циљу израде атласа ветрова и стварања услова за инвестирање у капацитете за производњу електричне енергије </w:t>
      </w:r>
      <w:r>
        <w:rPr>
          <w:color w:val="231F20"/>
          <w:spacing w:val="-3"/>
        </w:rPr>
        <w:t>који </w:t>
      </w:r>
      <w:r>
        <w:rPr>
          <w:color w:val="231F20"/>
        </w:rPr>
        <w:t>користе енергију</w:t>
      </w:r>
      <w:r>
        <w:rPr>
          <w:color w:val="231F20"/>
          <w:spacing w:val="1"/>
        </w:rPr>
        <w:t> </w:t>
      </w:r>
      <w:r>
        <w:rPr>
          <w:color w:val="231F20"/>
        </w:rPr>
        <w:t>ветра.</w:t>
      </w:r>
    </w:p>
    <w:p>
      <w:pPr>
        <w:pStyle w:val="BodyText"/>
        <w:spacing w:line="225" w:lineRule="auto"/>
        <w:ind w:right="39" w:firstLine="396"/>
      </w:pPr>
      <w:r>
        <w:rPr>
          <w:color w:val="231F20"/>
        </w:rPr>
        <w:t>Соларна енергија. Расположив потенцијал сунчеве енергије је висок и погодан је за коришћење како активних тако и пасив- них соларних система. На годишњем нивоу, на Планском под- ручју, просечна вредност енергије глобалног зрачења износи око</w:t>
      </w:r>
    </w:p>
    <w:p>
      <w:pPr>
        <w:pStyle w:val="BodyText"/>
        <w:spacing w:line="187" w:lineRule="exact"/>
        <w:jc w:val="left"/>
      </w:pPr>
      <w:r>
        <w:rPr>
          <w:color w:val="231F20"/>
        </w:rPr>
        <w:t>1.400 kWh/m²/годишње.</w:t>
      </w:r>
    </w:p>
    <w:p>
      <w:pPr>
        <w:pStyle w:val="BodyText"/>
        <w:spacing w:line="225" w:lineRule="auto"/>
        <w:ind w:right="39" w:firstLine="397"/>
      </w:pPr>
      <w:r>
        <w:rPr>
          <w:color w:val="231F20"/>
        </w:rPr>
        <w:t>Према резултатима истраживања</w:t>
      </w:r>
      <w:r>
        <w:rPr>
          <w:color w:val="231F20"/>
          <w:position w:val="6"/>
          <w:sz w:val="10"/>
        </w:rPr>
        <w:t>2 </w:t>
      </w:r>
      <w:r>
        <w:rPr>
          <w:color w:val="231F20"/>
        </w:rPr>
        <w:t>процене расположивог енергетског ресурса сунчевог зрачења су:</w:t>
      </w:r>
    </w:p>
    <w:p>
      <w:pPr>
        <w:pStyle w:val="BodyText"/>
        <w:spacing w:line="225" w:lineRule="auto"/>
        <w:ind w:right="39" w:firstLine="397"/>
      </w:pPr>
      <w:r>
        <w:rPr>
          <w:color w:val="231F20"/>
          <w:w w:val="66"/>
        </w:rPr>
        <w:t> </w:t>
      </w:r>
      <w:r>
        <w:rPr>
          <w:color w:val="231F20"/>
        </w:rPr>
        <w:t>– </w:t>
      </w:r>
      <w:r>
        <w:rPr>
          <w:color w:val="231F20"/>
          <w:spacing w:val="-6"/>
        </w:rPr>
        <w:t>средња </w:t>
      </w:r>
      <w:r>
        <w:rPr>
          <w:color w:val="231F20"/>
          <w:spacing w:val="-7"/>
        </w:rPr>
        <w:t>годишња </w:t>
      </w:r>
      <w:r>
        <w:rPr>
          <w:color w:val="231F20"/>
          <w:spacing w:val="-6"/>
        </w:rPr>
        <w:t>енергија </w:t>
      </w:r>
      <w:r>
        <w:rPr>
          <w:color w:val="231F20"/>
          <w:spacing w:val="-3"/>
        </w:rPr>
        <w:t>по </w:t>
      </w:r>
      <w:r>
        <w:rPr>
          <w:color w:val="231F20"/>
          <w:spacing w:val="-6"/>
        </w:rPr>
        <w:t>јединици површине </w:t>
      </w:r>
      <w:r>
        <w:rPr>
          <w:color w:val="231F20"/>
          <w:spacing w:val="-7"/>
        </w:rPr>
        <w:t>(глобална </w:t>
      </w:r>
      <w:r>
        <w:rPr>
          <w:color w:val="231F20"/>
          <w:spacing w:val="-6"/>
        </w:rPr>
        <w:t>сунчева ирадијација </w:t>
      </w:r>
      <w:r>
        <w:rPr>
          <w:color w:val="231F20"/>
          <w:spacing w:val="-3"/>
        </w:rPr>
        <w:t>на </w:t>
      </w:r>
      <w:r>
        <w:rPr>
          <w:color w:val="231F20"/>
          <w:spacing w:val="-6"/>
        </w:rPr>
        <w:t>хоризонталну површину) </w:t>
      </w:r>
      <w:r>
        <w:rPr>
          <w:color w:val="231F20"/>
          <w:spacing w:val="-5"/>
        </w:rPr>
        <w:t>износи 1.387 </w:t>
      </w:r>
      <w:r>
        <w:rPr>
          <w:color w:val="231F20"/>
          <w:spacing w:val="-6"/>
        </w:rPr>
        <w:t>kWh/m², </w:t>
      </w:r>
      <w:r>
        <w:rPr>
          <w:color w:val="231F20"/>
          <w:spacing w:val="-5"/>
        </w:rPr>
        <w:t>према </w:t>
      </w:r>
      <w:r>
        <w:rPr>
          <w:color w:val="231F20"/>
          <w:spacing w:val="-6"/>
        </w:rPr>
        <w:t>томе, укупна </w:t>
      </w:r>
      <w:r>
        <w:rPr>
          <w:color w:val="231F20"/>
          <w:spacing w:val="-7"/>
        </w:rPr>
        <w:t>годишња </w:t>
      </w:r>
      <w:r>
        <w:rPr>
          <w:color w:val="231F20"/>
          <w:spacing w:val="-6"/>
        </w:rPr>
        <w:t>енергија </w:t>
      </w:r>
      <w:r>
        <w:rPr>
          <w:color w:val="231F20"/>
          <w:spacing w:val="-4"/>
        </w:rPr>
        <w:t>(на </w:t>
      </w:r>
      <w:r>
        <w:rPr>
          <w:color w:val="231F20"/>
          <w:spacing w:val="-6"/>
        </w:rPr>
        <w:t>хоризонталну површину) </w:t>
      </w:r>
      <w:r>
        <w:rPr>
          <w:color w:val="231F20"/>
          <w:spacing w:val="-4"/>
        </w:rPr>
        <w:t>из- носи </w:t>
      </w:r>
      <w:r>
        <w:rPr>
          <w:color w:val="231F20"/>
          <w:spacing w:val="-7"/>
        </w:rPr>
        <w:t>око </w:t>
      </w:r>
      <w:r>
        <w:rPr>
          <w:color w:val="231F20"/>
          <w:spacing w:val="-5"/>
        </w:rPr>
        <w:t>1,22 </w:t>
      </w:r>
      <w:r>
        <w:rPr>
          <w:color w:val="231F20"/>
        </w:rPr>
        <w:t>x </w:t>
      </w:r>
      <w:r>
        <w:rPr>
          <w:color w:val="231F20"/>
          <w:spacing w:val="-4"/>
        </w:rPr>
        <w:t>105 </w:t>
      </w:r>
      <w:r>
        <w:rPr>
          <w:color w:val="231F20"/>
          <w:spacing w:val="-5"/>
        </w:rPr>
        <w:t>TWh;</w:t>
      </w:r>
    </w:p>
    <w:p>
      <w:pPr>
        <w:pStyle w:val="BodyText"/>
        <w:spacing w:line="225" w:lineRule="auto"/>
        <w:ind w:left="169" w:right="40" w:firstLine="397"/>
      </w:pPr>
      <w:r>
        <w:rPr>
          <w:color w:val="231F20"/>
          <w:w w:val="66"/>
        </w:rPr>
        <w:t> </w:t>
      </w:r>
      <w:r>
        <w:rPr>
          <w:color w:val="231F20"/>
        </w:rPr>
        <w:t>–</w:t>
      </w:r>
      <w:r>
        <w:rPr>
          <w:color w:val="231F20"/>
          <w:spacing w:val="-6"/>
        </w:rPr>
        <w:t> </w:t>
      </w:r>
      <w:r>
        <w:rPr>
          <w:color w:val="231F20"/>
        </w:rPr>
        <w:t>просечне</w:t>
      </w:r>
      <w:r>
        <w:rPr>
          <w:color w:val="231F20"/>
          <w:spacing w:val="-6"/>
        </w:rPr>
        <w:t> </w:t>
      </w:r>
      <w:r>
        <w:rPr>
          <w:color w:val="231F20"/>
        </w:rPr>
        <w:t>дневне</w:t>
      </w:r>
      <w:r>
        <w:rPr>
          <w:color w:val="231F20"/>
          <w:spacing w:val="-6"/>
        </w:rPr>
        <w:t> </w:t>
      </w:r>
      <w:r>
        <w:rPr>
          <w:color w:val="231F20"/>
          <w:spacing w:val="-3"/>
        </w:rPr>
        <w:t>количине</w:t>
      </w:r>
      <w:r>
        <w:rPr>
          <w:color w:val="231F20"/>
          <w:spacing w:val="-6"/>
        </w:rPr>
        <w:t> </w:t>
      </w:r>
      <w:r>
        <w:rPr>
          <w:color w:val="231F20"/>
        </w:rPr>
        <w:t>сунчеве</w:t>
      </w:r>
      <w:r>
        <w:rPr>
          <w:color w:val="231F20"/>
          <w:spacing w:val="-6"/>
        </w:rPr>
        <w:t> </w:t>
      </w:r>
      <w:r>
        <w:rPr>
          <w:color w:val="231F20"/>
        </w:rPr>
        <w:t>енергије</w:t>
      </w:r>
      <w:r>
        <w:rPr>
          <w:color w:val="231F20"/>
          <w:spacing w:val="-6"/>
        </w:rPr>
        <w:t> </w:t>
      </w:r>
      <w:r>
        <w:rPr>
          <w:color w:val="231F20"/>
        </w:rPr>
        <w:t>на</w:t>
      </w:r>
      <w:r>
        <w:rPr>
          <w:color w:val="231F20"/>
          <w:spacing w:val="-6"/>
        </w:rPr>
        <w:t> </w:t>
      </w:r>
      <w:r>
        <w:rPr>
          <w:color w:val="231F20"/>
        </w:rPr>
        <w:t>хоризонтал- ну површину крећу се у распону </w:t>
      </w:r>
      <w:r>
        <w:rPr>
          <w:color w:val="231F20"/>
          <w:spacing w:val="-3"/>
        </w:rPr>
        <w:t>од </w:t>
      </w:r>
      <w:r>
        <w:rPr>
          <w:color w:val="231F20"/>
        </w:rPr>
        <w:t>3,4 дo 4,0 kWh/m²</w:t>
      </w:r>
      <w:r>
        <w:rPr>
          <w:color w:val="231F20"/>
          <w:spacing w:val="-3"/>
        </w:rPr>
        <w:t> </w:t>
      </w:r>
      <w:r>
        <w:rPr>
          <w:color w:val="231F20"/>
        </w:rPr>
        <w:t>и</w:t>
      </w:r>
    </w:p>
    <w:p>
      <w:pPr>
        <w:pStyle w:val="BodyText"/>
        <w:spacing w:line="225" w:lineRule="auto"/>
        <w:ind w:left="169" w:right="40" w:firstLine="396"/>
      </w:pPr>
      <w:r>
        <w:rPr>
          <w:color w:val="231F20"/>
          <w:w w:val="66"/>
        </w:rPr>
        <w:t> </w:t>
      </w:r>
      <w:r>
        <w:rPr>
          <w:color w:val="231F20"/>
        </w:rPr>
        <w:t>–</w:t>
      </w:r>
      <w:r>
        <w:rPr>
          <w:color w:val="231F20"/>
          <w:spacing w:val="-8"/>
        </w:rPr>
        <w:t> </w:t>
      </w:r>
      <w:r>
        <w:rPr>
          <w:color w:val="231F20"/>
        </w:rPr>
        <w:t>најповољнији</w:t>
      </w:r>
      <w:r>
        <w:rPr>
          <w:color w:val="231F20"/>
          <w:spacing w:val="-8"/>
        </w:rPr>
        <w:t> </w:t>
      </w:r>
      <w:r>
        <w:rPr>
          <w:color w:val="231F20"/>
        </w:rPr>
        <w:t>простор</w:t>
      </w:r>
      <w:r>
        <w:rPr>
          <w:color w:val="231F20"/>
          <w:spacing w:val="-8"/>
        </w:rPr>
        <w:t> </w:t>
      </w:r>
      <w:r>
        <w:rPr>
          <w:color w:val="231F20"/>
        </w:rPr>
        <w:t>за</w:t>
      </w:r>
      <w:r>
        <w:rPr>
          <w:color w:val="231F20"/>
          <w:spacing w:val="-8"/>
        </w:rPr>
        <w:t> </w:t>
      </w:r>
      <w:r>
        <w:rPr>
          <w:color w:val="231F20"/>
        </w:rPr>
        <w:t>коришћење</w:t>
      </w:r>
      <w:r>
        <w:rPr>
          <w:color w:val="231F20"/>
          <w:spacing w:val="-8"/>
        </w:rPr>
        <w:t> </w:t>
      </w:r>
      <w:r>
        <w:rPr>
          <w:color w:val="231F20"/>
        </w:rPr>
        <w:t>соларне</w:t>
      </w:r>
      <w:r>
        <w:rPr>
          <w:color w:val="231F20"/>
          <w:spacing w:val="-8"/>
        </w:rPr>
        <w:t> </w:t>
      </w:r>
      <w:r>
        <w:rPr>
          <w:color w:val="231F20"/>
        </w:rPr>
        <w:t>енергије</w:t>
      </w:r>
      <w:r>
        <w:rPr>
          <w:color w:val="231F20"/>
          <w:spacing w:val="-8"/>
        </w:rPr>
        <w:t> </w:t>
      </w:r>
      <w:r>
        <w:rPr>
          <w:color w:val="231F20"/>
        </w:rPr>
        <w:t>је</w:t>
      </w:r>
      <w:r>
        <w:rPr>
          <w:color w:val="231F20"/>
          <w:spacing w:val="-8"/>
        </w:rPr>
        <w:t> </w:t>
      </w:r>
      <w:r>
        <w:rPr>
          <w:color w:val="231F20"/>
        </w:rPr>
        <w:t>на потезу </w:t>
      </w:r>
      <w:r>
        <w:rPr>
          <w:color w:val="231F20"/>
          <w:spacing w:val="-3"/>
        </w:rPr>
        <w:t>од </w:t>
      </w:r>
      <w:r>
        <w:rPr>
          <w:color w:val="231F20"/>
        </w:rPr>
        <w:t>градског насеља Пожаревац према </w:t>
      </w:r>
      <w:r>
        <w:rPr>
          <w:color w:val="231F20"/>
          <w:spacing w:val="-4"/>
        </w:rPr>
        <w:t>истоку, </w:t>
      </w:r>
      <w:r>
        <w:rPr>
          <w:color w:val="231F20"/>
        </w:rPr>
        <w:t>са потенција- лом </w:t>
      </w:r>
      <w:r>
        <w:rPr>
          <w:color w:val="231F20"/>
          <w:spacing w:val="-3"/>
        </w:rPr>
        <w:t>од </w:t>
      </w:r>
      <w:r>
        <w:rPr>
          <w:color w:val="231F20"/>
        </w:rPr>
        <w:t>5,2 до 5,4</w:t>
      </w:r>
      <w:r>
        <w:rPr>
          <w:color w:val="231F20"/>
          <w:spacing w:val="1"/>
        </w:rPr>
        <w:t> </w:t>
      </w:r>
      <w:r>
        <w:rPr>
          <w:color w:val="231F20"/>
        </w:rPr>
        <w:t>kWh/m².</w:t>
      </w:r>
    </w:p>
    <w:p>
      <w:pPr>
        <w:pStyle w:val="BodyText"/>
        <w:spacing w:line="225" w:lineRule="auto"/>
        <w:ind w:left="169" w:right="40" w:firstLine="397"/>
      </w:pPr>
      <w:r>
        <w:rPr>
          <w:color w:val="231F20"/>
        </w:rPr>
        <w:t>Просечан годишњи број сати са инсолацијом („сунчани са- ти”) износи </w:t>
      </w:r>
      <w:r>
        <w:rPr>
          <w:color w:val="231F20"/>
          <w:spacing w:val="-4"/>
        </w:rPr>
        <w:t>око </w:t>
      </w:r>
      <w:r>
        <w:rPr>
          <w:color w:val="231F20"/>
        </w:rPr>
        <w:t>2.000, са просечном облачношћу 5 – 6, што пред- ставља добре услове за искоришћавање соларне енергије. Највећа </w:t>
      </w:r>
      <w:r>
        <w:rPr>
          <w:color w:val="231F20"/>
          <w:spacing w:val="-3"/>
        </w:rPr>
        <w:t>количина </w:t>
      </w:r>
      <w:r>
        <w:rPr>
          <w:color w:val="231F20"/>
        </w:rPr>
        <w:t>соларне енергије је на располагању у периоду </w:t>
      </w:r>
      <w:r>
        <w:rPr>
          <w:color w:val="231F20"/>
          <w:spacing w:val="-3"/>
        </w:rPr>
        <w:t>од </w:t>
      </w:r>
      <w:r>
        <w:rPr>
          <w:color w:val="231F20"/>
        </w:rPr>
        <w:t>априла до септембра, што се </w:t>
      </w:r>
      <w:r>
        <w:rPr>
          <w:color w:val="231F20"/>
          <w:spacing w:val="-3"/>
        </w:rPr>
        <w:t>подудара </w:t>
      </w:r>
      <w:r>
        <w:rPr>
          <w:color w:val="231F20"/>
        </w:rPr>
        <w:t>са вегетационим периодом. </w:t>
      </w:r>
      <w:r>
        <w:rPr>
          <w:color w:val="231F20"/>
          <w:spacing w:val="-4"/>
        </w:rPr>
        <w:t>Може </w:t>
      </w:r>
      <w:r>
        <w:rPr>
          <w:color w:val="231F20"/>
        </w:rPr>
        <w:t>се</w:t>
      </w:r>
      <w:r>
        <w:rPr>
          <w:color w:val="231F20"/>
          <w:spacing w:val="-5"/>
        </w:rPr>
        <w:t> </w:t>
      </w:r>
      <w:r>
        <w:rPr>
          <w:color w:val="231F20"/>
          <w:spacing w:val="-3"/>
        </w:rPr>
        <w:t>констатовати</w:t>
      </w:r>
      <w:r>
        <w:rPr>
          <w:color w:val="231F20"/>
          <w:spacing w:val="-5"/>
        </w:rPr>
        <w:t> </w:t>
      </w:r>
      <w:r>
        <w:rPr>
          <w:color w:val="231F20"/>
        </w:rPr>
        <w:t>да</w:t>
      </w:r>
      <w:r>
        <w:rPr>
          <w:color w:val="231F20"/>
          <w:spacing w:val="-5"/>
        </w:rPr>
        <w:t> </w:t>
      </w:r>
      <w:r>
        <w:rPr>
          <w:color w:val="231F20"/>
        </w:rPr>
        <w:t>ово</w:t>
      </w:r>
      <w:r>
        <w:rPr>
          <w:color w:val="231F20"/>
          <w:spacing w:val="-5"/>
        </w:rPr>
        <w:t> </w:t>
      </w:r>
      <w:r>
        <w:rPr>
          <w:color w:val="231F20"/>
        </w:rPr>
        <w:t>подручје</w:t>
      </w:r>
      <w:r>
        <w:rPr>
          <w:color w:val="231F20"/>
          <w:spacing w:val="-5"/>
        </w:rPr>
        <w:t> </w:t>
      </w:r>
      <w:r>
        <w:rPr>
          <w:color w:val="231F20"/>
        </w:rPr>
        <w:t>спада</w:t>
      </w:r>
      <w:r>
        <w:rPr>
          <w:color w:val="231F20"/>
          <w:spacing w:val="-5"/>
        </w:rPr>
        <w:t> </w:t>
      </w:r>
      <w:r>
        <w:rPr>
          <w:color w:val="231F20"/>
        </w:rPr>
        <w:t>у</w:t>
      </w:r>
      <w:r>
        <w:rPr>
          <w:color w:val="231F20"/>
          <w:spacing w:val="-5"/>
        </w:rPr>
        <w:t> </w:t>
      </w:r>
      <w:r>
        <w:rPr>
          <w:color w:val="231F20"/>
        </w:rPr>
        <w:t>повољне</w:t>
      </w:r>
      <w:r>
        <w:rPr>
          <w:color w:val="231F20"/>
          <w:spacing w:val="-5"/>
        </w:rPr>
        <w:t> </w:t>
      </w:r>
      <w:r>
        <w:rPr>
          <w:color w:val="231F20"/>
        </w:rPr>
        <w:t>зоне</w:t>
      </w:r>
      <w:r>
        <w:rPr>
          <w:color w:val="231F20"/>
          <w:spacing w:val="-5"/>
        </w:rPr>
        <w:t> </w:t>
      </w:r>
      <w:r>
        <w:rPr>
          <w:color w:val="231F20"/>
        </w:rPr>
        <w:t>за</w:t>
      </w:r>
      <w:r>
        <w:rPr>
          <w:color w:val="231F20"/>
          <w:spacing w:val="-5"/>
        </w:rPr>
        <w:t> </w:t>
      </w:r>
      <w:r>
        <w:rPr>
          <w:color w:val="231F20"/>
        </w:rPr>
        <w:t>коришће- ње соларне енергије применом пасивних и активних соларних си- стема, пре свега, за производњу топлотне енергије, као и примену принципа пасивне соларне</w:t>
      </w:r>
      <w:r>
        <w:rPr>
          <w:color w:val="231F20"/>
          <w:spacing w:val="-5"/>
        </w:rPr>
        <w:t> </w:t>
      </w:r>
      <w:r>
        <w:rPr>
          <w:color w:val="231F20"/>
        </w:rPr>
        <w:t>архитектуре.</w:t>
      </w:r>
    </w:p>
    <w:p>
      <w:pPr>
        <w:pStyle w:val="BodyText"/>
        <w:spacing w:line="225" w:lineRule="auto"/>
        <w:ind w:left="169" w:right="40" w:firstLine="397"/>
      </w:pPr>
      <w:r>
        <w:rPr>
          <w:color w:val="231F20"/>
        </w:rPr>
        <w:t>Према попису из 2002. године, на Планском подручју је жи- вело око 25.000 домаћинстава. Ако би у просеку свако пето дома- ћинство уградило соларни пријемник површине 4 m², произвело би се око 1,75 GWh/годишње топлотне енергије која би највећим делом заменила потрошњу електричне енергије, а делом фосилна горива која се користе за загревање санитарне воде, и омогућила смањење емисија угљен-диоксида за око 2.300 t годишње.</w:t>
      </w:r>
    </w:p>
    <w:p>
      <w:pPr>
        <w:spacing w:line="152"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453" w:val="left" w:leader="none"/>
          <w:tab w:pos="454" w:val="left" w:leader="none"/>
        </w:tabs>
        <w:spacing w:line="240" w:lineRule="auto" w:before="0" w:after="0"/>
        <w:ind w:left="453" w:right="0" w:hanging="283"/>
        <w:jc w:val="left"/>
        <w:rPr>
          <w:sz w:val="14"/>
        </w:rPr>
      </w:pPr>
      <w:r>
        <w:rPr>
          <w:color w:val="231F20"/>
          <w:sz w:val="14"/>
        </w:rPr>
        <w:t>Елаборат о реализацији пројекта (Финансијски извештај трогодишњег</w:t>
      </w:r>
      <w:r>
        <w:rPr>
          <w:color w:val="231F20"/>
          <w:spacing w:val="-13"/>
          <w:sz w:val="14"/>
        </w:rPr>
        <w:t> </w:t>
      </w:r>
      <w:r>
        <w:rPr>
          <w:color w:val="231F20"/>
          <w:sz w:val="14"/>
        </w:rPr>
        <w:t>пројекта)</w:t>
      </w:r>
    </w:p>
    <w:p>
      <w:pPr>
        <w:spacing w:before="0"/>
        <w:ind w:left="453" w:right="39" w:firstLine="0"/>
        <w:jc w:val="both"/>
        <w:rPr>
          <w:sz w:val="14"/>
        </w:rPr>
      </w:pPr>
      <w:r>
        <w:rPr>
          <w:color w:val="231F20"/>
          <w:sz w:val="14"/>
        </w:rPr>
        <w:t>„Атлас енергетског потенцијала сунца и ветра Србије”, евиденциони број про- јекта у Министарству науке Србије: ТД-7042Б, Институт за мултидисциплинар- на истраживања, Београд, Интерни Извештај за ИМСИ, Припремила: Верица Гбурчек, јул 2008.</w:t>
      </w:r>
    </w:p>
    <w:p>
      <w:pPr>
        <w:pStyle w:val="BodyText"/>
        <w:spacing w:line="232" w:lineRule="auto" w:before="73"/>
        <w:ind w:left="169" w:right="411" w:firstLine="396"/>
      </w:pPr>
      <w:r>
        <w:rPr/>
        <w:br w:type="column"/>
      </w:r>
      <w:r>
        <w:rPr>
          <w:color w:val="231F20"/>
        </w:rPr>
        <w:t>Степен искоришћења сунчеве енергије зависи и од квалитета пријемника.</w:t>
      </w:r>
    </w:p>
    <w:p>
      <w:pPr>
        <w:pStyle w:val="BodyText"/>
        <w:spacing w:line="237" w:lineRule="auto"/>
        <w:ind w:left="169" w:right="410" w:firstLine="396"/>
      </w:pPr>
      <w:r>
        <w:rPr>
          <w:color w:val="231F20"/>
          <w:spacing w:val="-3"/>
        </w:rPr>
        <w:t>Геотермална </w:t>
      </w:r>
      <w:r>
        <w:rPr>
          <w:color w:val="231F20"/>
        </w:rPr>
        <w:t>енергија. На </w:t>
      </w:r>
      <w:r>
        <w:rPr>
          <w:color w:val="231F20"/>
          <w:spacing w:val="-3"/>
        </w:rPr>
        <w:t>Планском </w:t>
      </w:r>
      <w:r>
        <w:rPr>
          <w:color w:val="231F20"/>
        </w:rPr>
        <w:t>подручју постоје потен- цијали</w:t>
      </w:r>
      <w:r>
        <w:rPr>
          <w:color w:val="231F20"/>
          <w:spacing w:val="-10"/>
        </w:rPr>
        <w:t> </w:t>
      </w:r>
      <w:r>
        <w:rPr>
          <w:color w:val="231F20"/>
        </w:rPr>
        <w:t>за</w:t>
      </w:r>
      <w:r>
        <w:rPr>
          <w:color w:val="231F20"/>
          <w:spacing w:val="-10"/>
        </w:rPr>
        <w:t> </w:t>
      </w:r>
      <w:r>
        <w:rPr>
          <w:color w:val="231F20"/>
        </w:rPr>
        <w:t>коришћење</w:t>
      </w:r>
      <w:r>
        <w:rPr>
          <w:color w:val="231F20"/>
          <w:spacing w:val="-10"/>
        </w:rPr>
        <w:t> </w:t>
      </w:r>
      <w:r>
        <w:rPr>
          <w:color w:val="231F20"/>
        </w:rPr>
        <w:t>геотермалне</w:t>
      </w:r>
      <w:r>
        <w:rPr>
          <w:color w:val="231F20"/>
          <w:spacing w:val="-10"/>
        </w:rPr>
        <w:t> </w:t>
      </w:r>
      <w:r>
        <w:rPr>
          <w:color w:val="231F20"/>
        </w:rPr>
        <w:t>енергије.</w:t>
      </w:r>
      <w:r>
        <w:rPr>
          <w:color w:val="231F20"/>
          <w:spacing w:val="-10"/>
        </w:rPr>
        <w:t> </w:t>
      </w:r>
      <w:r>
        <w:rPr>
          <w:color w:val="231F20"/>
        </w:rPr>
        <w:t>Према</w:t>
      </w:r>
      <w:r>
        <w:rPr>
          <w:color w:val="231F20"/>
          <w:spacing w:val="-10"/>
        </w:rPr>
        <w:t> </w:t>
      </w:r>
      <w:r>
        <w:rPr>
          <w:color w:val="231F20"/>
        </w:rPr>
        <w:t>температурним карактеристикама регистроване термалне и минералне вода у ба- сену</w:t>
      </w:r>
      <w:r>
        <w:rPr>
          <w:color w:val="231F20"/>
          <w:spacing w:val="-7"/>
        </w:rPr>
        <w:t> </w:t>
      </w:r>
      <w:r>
        <w:rPr>
          <w:color w:val="231F20"/>
        </w:rPr>
        <w:t>могу</w:t>
      </w:r>
      <w:r>
        <w:rPr>
          <w:color w:val="231F20"/>
          <w:spacing w:val="-7"/>
        </w:rPr>
        <w:t> </w:t>
      </w:r>
      <w:r>
        <w:rPr>
          <w:color w:val="231F20"/>
        </w:rPr>
        <w:t>се</w:t>
      </w:r>
      <w:r>
        <w:rPr>
          <w:color w:val="231F20"/>
          <w:spacing w:val="-7"/>
        </w:rPr>
        <w:t> </w:t>
      </w:r>
      <w:r>
        <w:rPr>
          <w:color w:val="231F20"/>
        </w:rPr>
        <w:t>сврстати</w:t>
      </w:r>
      <w:r>
        <w:rPr>
          <w:color w:val="231F20"/>
          <w:spacing w:val="-7"/>
        </w:rPr>
        <w:t> </w:t>
      </w:r>
      <w:r>
        <w:rPr>
          <w:color w:val="231F20"/>
        </w:rPr>
        <w:t>у</w:t>
      </w:r>
      <w:r>
        <w:rPr>
          <w:color w:val="231F20"/>
          <w:spacing w:val="-7"/>
        </w:rPr>
        <w:t> </w:t>
      </w:r>
      <w:r>
        <w:rPr>
          <w:color w:val="231F20"/>
        </w:rPr>
        <w:t>групу</w:t>
      </w:r>
      <w:r>
        <w:rPr>
          <w:color w:val="231F20"/>
          <w:spacing w:val="-7"/>
        </w:rPr>
        <w:t> </w:t>
      </w:r>
      <w:r>
        <w:rPr>
          <w:color w:val="231F20"/>
        </w:rPr>
        <w:t>хипотерма</w:t>
      </w:r>
      <w:r>
        <w:rPr>
          <w:color w:val="231F20"/>
          <w:spacing w:val="-7"/>
        </w:rPr>
        <w:t> </w:t>
      </w:r>
      <w:r>
        <w:rPr>
          <w:color w:val="231F20"/>
        </w:rPr>
        <w:t>(20</w:t>
      </w:r>
      <w:r>
        <w:rPr>
          <w:color w:val="231F20"/>
          <w:spacing w:val="18"/>
        </w:rPr>
        <w:t> </w:t>
      </w:r>
      <w:r>
        <w:rPr>
          <w:color w:val="231F20"/>
        </w:rPr>
        <w:t>–</w:t>
      </w:r>
      <w:r>
        <w:rPr>
          <w:color w:val="231F20"/>
          <w:spacing w:val="-7"/>
        </w:rPr>
        <w:t> </w:t>
      </w:r>
      <w:r>
        <w:rPr>
          <w:color w:val="231F20"/>
        </w:rPr>
        <w:t>34ºC),</w:t>
      </w:r>
      <w:r>
        <w:rPr>
          <w:color w:val="231F20"/>
          <w:spacing w:val="-7"/>
        </w:rPr>
        <w:t> </w:t>
      </w:r>
      <w:r>
        <w:rPr>
          <w:color w:val="231F20"/>
        </w:rPr>
        <w:t>хомоеотерма (34 – 38ºC) и хипертерма (преко</w:t>
      </w:r>
      <w:r>
        <w:rPr>
          <w:color w:val="231F20"/>
          <w:spacing w:val="-23"/>
        </w:rPr>
        <w:t> </w:t>
      </w:r>
      <w:r>
        <w:rPr>
          <w:color w:val="231F20"/>
        </w:rPr>
        <w:t>38ºC).</w:t>
      </w:r>
    </w:p>
    <w:p>
      <w:pPr>
        <w:pStyle w:val="BodyText"/>
        <w:spacing w:line="237" w:lineRule="auto"/>
        <w:ind w:right="410" w:firstLine="397"/>
      </w:pPr>
      <w:r>
        <w:rPr>
          <w:color w:val="231F20"/>
        </w:rPr>
        <w:t>С обзиром на хемијски састав оне се могу користити за спортско-рекреационе</w:t>
      </w:r>
      <w:r>
        <w:rPr>
          <w:color w:val="231F20"/>
          <w:spacing w:val="-6"/>
        </w:rPr>
        <w:t> </w:t>
      </w:r>
      <w:r>
        <w:rPr>
          <w:color w:val="231F20"/>
        </w:rPr>
        <w:t>сврхе</w:t>
      </w:r>
      <w:r>
        <w:rPr>
          <w:color w:val="231F20"/>
          <w:spacing w:val="-6"/>
        </w:rPr>
        <w:t> </w:t>
      </w:r>
      <w:r>
        <w:rPr>
          <w:color w:val="231F20"/>
        </w:rPr>
        <w:t>(спољна</w:t>
      </w:r>
      <w:r>
        <w:rPr>
          <w:color w:val="231F20"/>
          <w:spacing w:val="-6"/>
        </w:rPr>
        <w:t> </w:t>
      </w:r>
      <w:r>
        <w:rPr>
          <w:color w:val="231F20"/>
        </w:rPr>
        <w:t>употреба).</w:t>
      </w:r>
      <w:r>
        <w:rPr>
          <w:color w:val="231F20"/>
          <w:spacing w:val="-6"/>
        </w:rPr>
        <w:t> </w:t>
      </w:r>
      <w:r>
        <w:rPr>
          <w:color w:val="231F20"/>
        </w:rPr>
        <w:t>Минералне</w:t>
      </w:r>
      <w:r>
        <w:rPr>
          <w:color w:val="231F20"/>
          <w:spacing w:val="-6"/>
        </w:rPr>
        <w:t> </w:t>
      </w:r>
      <w:r>
        <w:rPr>
          <w:color w:val="231F20"/>
        </w:rPr>
        <w:t>и</w:t>
      </w:r>
      <w:r>
        <w:rPr>
          <w:color w:val="231F20"/>
          <w:spacing w:val="-6"/>
        </w:rPr>
        <w:t> </w:t>
      </w:r>
      <w:r>
        <w:rPr>
          <w:color w:val="231F20"/>
        </w:rPr>
        <w:t>тер- моминералне воде могу се користити као лековите (балнеотерапе- утске сврхе), за загревање стакленика и</w:t>
      </w:r>
      <w:r>
        <w:rPr>
          <w:color w:val="231F20"/>
          <w:spacing w:val="-7"/>
        </w:rPr>
        <w:t> </w:t>
      </w:r>
      <w:r>
        <w:rPr>
          <w:color w:val="231F20"/>
        </w:rPr>
        <w:t>слично.</w:t>
      </w:r>
    </w:p>
    <w:p>
      <w:pPr>
        <w:pStyle w:val="BodyText"/>
        <w:spacing w:line="237" w:lineRule="auto"/>
        <w:ind w:right="410" w:firstLine="396"/>
      </w:pPr>
      <w:r>
        <w:rPr>
          <w:color w:val="231F20"/>
        </w:rPr>
        <w:t>У централним деловима Дрмљанске депресије могу се оче- кивати максималне температуре које износе око 50ºC. Ове воде могу имати широку примену као минералне у ужем смислу, затим у спортско рекреационе, балнеолошке, енергетске и технолошке сврхе. Употреба ових вода не захтева посебне мере заштите у по- гледу испуштања у отворене реципијенте.</w:t>
      </w:r>
    </w:p>
    <w:p>
      <w:pPr>
        <w:pStyle w:val="BodyText"/>
        <w:spacing w:line="237" w:lineRule="auto"/>
        <w:ind w:right="410" w:firstLine="396"/>
      </w:pPr>
      <w:r>
        <w:rPr>
          <w:color w:val="231F20"/>
        </w:rPr>
        <w:t>У кругу КПД „Забела” (Pe-1) регистрована температура воде на излазу из бушотине износи 40ºC, али још увек нема довољно поузданих података о издашности бушотине.</w:t>
      </w:r>
    </w:p>
    <w:p>
      <w:pPr>
        <w:pStyle w:val="BodyText"/>
        <w:spacing w:line="237" w:lineRule="auto"/>
        <w:ind w:right="410" w:firstLine="396"/>
      </w:pPr>
      <w:r>
        <w:rPr>
          <w:color w:val="231F20"/>
        </w:rPr>
        <w:t>На локалитету </w:t>
      </w:r>
      <w:r>
        <w:rPr>
          <w:color w:val="231F20"/>
          <w:spacing w:val="-3"/>
        </w:rPr>
        <w:t>Горњег костолачког </w:t>
      </w:r>
      <w:r>
        <w:rPr>
          <w:color w:val="231F20"/>
        </w:rPr>
        <w:t>острва, процена је да се на веома малим дубинама могу добити </w:t>
      </w:r>
      <w:r>
        <w:rPr>
          <w:color w:val="231F20"/>
          <w:spacing w:val="-3"/>
        </w:rPr>
        <w:t>количине од </w:t>
      </w:r>
      <w:r>
        <w:rPr>
          <w:color w:val="231F20"/>
        </w:rPr>
        <w:t>10 – 15 l/s са температуром </w:t>
      </w:r>
      <w:r>
        <w:rPr>
          <w:color w:val="231F20"/>
          <w:spacing w:val="-3"/>
        </w:rPr>
        <w:t>од </w:t>
      </w:r>
      <w:r>
        <w:rPr>
          <w:color w:val="231F20"/>
          <w:spacing w:val="-4"/>
        </w:rPr>
        <w:t>око </w:t>
      </w:r>
      <w:r>
        <w:rPr>
          <w:color w:val="231F20"/>
        </w:rPr>
        <w:t>50ºC. Ради се о веома перспективној локаци- ји </w:t>
      </w:r>
      <w:r>
        <w:rPr>
          <w:color w:val="231F20"/>
          <w:spacing w:val="-3"/>
        </w:rPr>
        <w:t>која </w:t>
      </w:r>
      <w:r>
        <w:rPr>
          <w:color w:val="231F20"/>
        </w:rPr>
        <w:t>би </w:t>
      </w:r>
      <w:r>
        <w:rPr>
          <w:color w:val="231F20"/>
          <w:spacing w:val="-3"/>
        </w:rPr>
        <w:t>могла </w:t>
      </w:r>
      <w:r>
        <w:rPr>
          <w:color w:val="231F20"/>
        </w:rPr>
        <w:t>да се користи у енергетске сврхе.</w:t>
      </w:r>
    </w:p>
    <w:p>
      <w:pPr>
        <w:pStyle w:val="BodyText"/>
        <w:spacing w:line="237" w:lineRule="auto"/>
        <w:ind w:left="171" w:right="409" w:firstLine="396"/>
      </w:pPr>
      <w:r>
        <w:rPr>
          <w:color w:val="231F20"/>
        </w:rPr>
        <w:t>На</w:t>
      </w:r>
      <w:r>
        <w:rPr>
          <w:color w:val="231F20"/>
          <w:spacing w:val="-5"/>
        </w:rPr>
        <w:t> </w:t>
      </w:r>
      <w:r>
        <w:rPr>
          <w:color w:val="231F20"/>
        </w:rPr>
        <w:t>основу</w:t>
      </w:r>
      <w:r>
        <w:rPr>
          <w:color w:val="231F20"/>
          <w:spacing w:val="-5"/>
        </w:rPr>
        <w:t> </w:t>
      </w:r>
      <w:r>
        <w:rPr>
          <w:color w:val="231F20"/>
        </w:rPr>
        <w:t>геолошке</w:t>
      </w:r>
      <w:r>
        <w:rPr>
          <w:color w:val="231F20"/>
          <w:spacing w:val="-4"/>
        </w:rPr>
        <w:t> </w:t>
      </w:r>
      <w:r>
        <w:rPr>
          <w:color w:val="231F20"/>
        </w:rPr>
        <w:t>грађе</w:t>
      </w:r>
      <w:r>
        <w:rPr>
          <w:color w:val="231F20"/>
          <w:spacing w:val="-5"/>
        </w:rPr>
        <w:t> </w:t>
      </w:r>
      <w:r>
        <w:rPr>
          <w:color w:val="231F20"/>
        </w:rPr>
        <w:t>терена</w:t>
      </w:r>
      <w:r>
        <w:rPr>
          <w:color w:val="231F20"/>
          <w:spacing w:val="-5"/>
        </w:rPr>
        <w:t> </w:t>
      </w:r>
      <w:r>
        <w:rPr>
          <w:color w:val="231F20"/>
        </w:rPr>
        <w:t>може</w:t>
      </w:r>
      <w:r>
        <w:rPr>
          <w:color w:val="231F20"/>
          <w:spacing w:val="-4"/>
        </w:rPr>
        <w:t> </w:t>
      </w:r>
      <w:r>
        <w:rPr>
          <w:color w:val="231F20"/>
        </w:rPr>
        <w:t>се</w:t>
      </w:r>
      <w:r>
        <w:rPr>
          <w:color w:val="231F20"/>
          <w:spacing w:val="-4"/>
        </w:rPr>
        <w:t> </w:t>
      </w:r>
      <w:r>
        <w:rPr>
          <w:color w:val="231F20"/>
        </w:rPr>
        <w:t>очекивати</w:t>
      </w:r>
      <w:r>
        <w:rPr>
          <w:color w:val="231F20"/>
          <w:spacing w:val="-5"/>
        </w:rPr>
        <w:t> </w:t>
      </w:r>
      <w:r>
        <w:rPr>
          <w:color w:val="231F20"/>
        </w:rPr>
        <w:t>захвата- ње подземних вода мале минерализације (1 – 3 g/l) на ширем под- ручју Дрмљанске депресије, нарочито у микролокацијама као што су Петка, Острво, Виминацијум, Кличевац, Костолац, Пожаревац, Брадарац и друго. Висина минерализације и хемијског састава као и температурне карактеристике, указују на изузетну потенцијал- ност ових терена за захватање и искоришћавање квалитетних тер- моминералних</w:t>
      </w:r>
      <w:r>
        <w:rPr>
          <w:color w:val="231F20"/>
          <w:spacing w:val="-2"/>
        </w:rPr>
        <w:t> </w:t>
      </w:r>
      <w:r>
        <w:rPr>
          <w:color w:val="231F20"/>
        </w:rPr>
        <w:t>вода.</w:t>
      </w:r>
    </w:p>
    <w:p>
      <w:pPr>
        <w:pStyle w:val="BodyText"/>
        <w:spacing w:line="237" w:lineRule="auto"/>
        <w:ind w:left="171" w:right="409" w:firstLine="397"/>
      </w:pPr>
      <w:r>
        <w:rPr>
          <w:color w:val="231F20"/>
        </w:rPr>
        <w:t>У централном делу Басена, прогнозира се висина температу- ра од 60 – 70ºC, за усвојени градијент од 5ºC/100 m.</w:t>
      </w:r>
    </w:p>
    <w:p>
      <w:pPr>
        <w:pStyle w:val="BodyText"/>
        <w:spacing w:before="154"/>
        <w:ind w:left="1883"/>
        <w:jc w:val="left"/>
      </w:pPr>
      <w:r>
        <w:rPr>
          <w:color w:val="231F20"/>
        </w:rPr>
        <w:t>Мале хидроелектране</w:t>
      </w:r>
    </w:p>
    <w:p>
      <w:pPr>
        <w:pStyle w:val="BodyText"/>
        <w:spacing w:before="9"/>
        <w:ind w:left="0"/>
        <w:jc w:val="left"/>
        <w:rPr>
          <w:sz w:val="17"/>
        </w:rPr>
      </w:pPr>
    </w:p>
    <w:p>
      <w:pPr>
        <w:pStyle w:val="BodyText"/>
        <w:spacing w:line="237" w:lineRule="auto"/>
        <w:ind w:left="171" w:right="409" w:firstLine="396"/>
      </w:pPr>
      <w:r>
        <w:rPr>
          <w:color w:val="231F20"/>
        </w:rPr>
        <w:t>Према досадашњим истраживањима не постоје довољни по- тенцијали за коришћење енергије малих хидроелектрана.</w:t>
      </w:r>
    </w:p>
    <w:p>
      <w:pPr>
        <w:spacing w:before="167"/>
        <w:ind w:left="1897" w:right="0" w:firstLine="0"/>
        <w:jc w:val="left"/>
        <w:rPr>
          <w:i/>
          <w:sz w:val="18"/>
        </w:rPr>
      </w:pPr>
      <w:r>
        <w:rPr>
          <w:i/>
          <w:color w:val="231F20"/>
          <w:sz w:val="18"/>
        </w:rPr>
        <w:t>5.2. Привредни развој</w:t>
      </w:r>
    </w:p>
    <w:p>
      <w:pPr>
        <w:pStyle w:val="ListParagraph"/>
        <w:numPr>
          <w:ilvl w:val="2"/>
          <w:numId w:val="14"/>
        </w:numPr>
        <w:tabs>
          <w:tab w:pos="955" w:val="left" w:leader="none"/>
        </w:tabs>
        <w:spacing w:line="237" w:lineRule="auto" w:before="170" w:after="0"/>
        <w:ind w:left="919" w:right="743" w:hanging="414"/>
        <w:jc w:val="left"/>
        <w:rPr>
          <w:sz w:val="18"/>
        </w:rPr>
      </w:pPr>
      <w:r>
        <w:rPr>
          <w:color w:val="231F20"/>
          <w:spacing w:val="16"/>
          <w:sz w:val="18"/>
        </w:rPr>
        <w:t>Привредни </w:t>
      </w:r>
      <w:r>
        <w:rPr>
          <w:color w:val="231F20"/>
          <w:spacing w:val="15"/>
          <w:sz w:val="18"/>
        </w:rPr>
        <w:t>развој </w:t>
      </w:r>
      <w:r>
        <w:rPr>
          <w:color w:val="231F20"/>
          <w:sz w:val="18"/>
        </w:rPr>
        <w:t>и </w:t>
      </w:r>
      <w:r>
        <w:rPr>
          <w:color w:val="231F20"/>
          <w:spacing w:val="12"/>
          <w:sz w:val="18"/>
        </w:rPr>
        <w:t>про </w:t>
      </w:r>
      <w:r>
        <w:rPr>
          <w:color w:val="231F20"/>
          <w:spacing w:val="15"/>
          <w:sz w:val="18"/>
        </w:rPr>
        <w:t>сторни размешт </w:t>
      </w:r>
      <w:r>
        <w:rPr>
          <w:color w:val="231F20"/>
          <w:sz w:val="18"/>
        </w:rPr>
        <w:t>а ј </w:t>
      </w:r>
      <w:r>
        <w:rPr>
          <w:color w:val="231F20"/>
          <w:spacing w:val="16"/>
          <w:sz w:val="18"/>
        </w:rPr>
        <w:t>привредно-</w:t>
      </w:r>
      <w:r>
        <w:rPr>
          <w:color w:val="231F20"/>
          <w:spacing w:val="-23"/>
          <w:sz w:val="18"/>
        </w:rPr>
        <w:t> </w:t>
      </w:r>
      <w:r>
        <w:rPr>
          <w:color w:val="231F20"/>
          <w:spacing w:val="15"/>
          <w:sz w:val="18"/>
        </w:rPr>
        <w:t>индуст</w:t>
      </w:r>
      <w:r>
        <w:rPr>
          <w:color w:val="231F20"/>
          <w:spacing w:val="-21"/>
          <w:sz w:val="18"/>
        </w:rPr>
        <w:t> </w:t>
      </w:r>
      <w:r>
        <w:rPr>
          <w:color w:val="231F20"/>
          <w:spacing w:val="16"/>
          <w:sz w:val="18"/>
        </w:rPr>
        <w:t>ријских</w:t>
      </w:r>
      <w:r>
        <w:rPr>
          <w:color w:val="231F20"/>
          <w:spacing w:val="48"/>
          <w:sz w:val="18"/>
        </w:rPr>
        <w:t> </w:t>
      </w:r>
      <w:r>
        <w:rPr>
          <w:color w:val="231F20"/>
          <w:spacing w:val="16"/>
          <w:sz w:val="18"/>
        </w:rPr>
        <w:t>капацитет</w:t>
      </w:r>
      <w:r>
        <w:rPr>
          <w:color w:val="231F20"/>
          <w:spacing w:val="-21"/>
          <w:sz w:val="18"/>
        </w:rPr>
        <w:t> </w:t>
      </w:r>
      <w:r>
        <w:rPr>
          <w:color w:val="231F20"/>
          <w:sz w:val="18"/>
        </w:rPr>
        <w:t>а</w:t>
      </w:r>
    </w:p>
    <w:p>
      <w:pPr>
        <w:pStyle w:val="BodyText"/>
        <w:spacing w:line="410" w:lineRule="exact" w:before="7"/>
        <w:ind w:left="568" w:hanging="70"/>
        <w:jc w:val="left"/>
      </w:pPr>
      <w:r>
        <w:rPr>
          <w:color w:val="231F20"/>
        </w:rPr>
        <w:t>Досадашњи развој и структурне карактеристике привреде Привредну структуру Планског подручја карактерише доми-</w:t>
      </w:r>
    </w:p>
    <w:p>
      <w:pPr>
        <w:pStyle w:val="BodyText"/>
        <w:spacing w:line="159" w:lineRule="exact"/>
        <w:ind w:left="171"/>
        <w:jc w:val="left"/>
      </w:pPr>
      <w:r>
        <w:rPr>
          <w:color w:val="231F20"/>
        </w:rPr>
        <w:t>нација рударско-енергетско-индустријског комплекса и пољопри-</w:t>
      </w:r>
    </w:p>
    <w:p>
      <w:pPr>
        <w:pStyle w:val="BodyText"/>
        <w:spacing w:line="237" w:lineRule="auto" w:before="1"/>
        <w:ind w:left="171" w:right="408"/>
      </w:pPr>
      <w:r>
        <w:rPr>
          <w:color w:val="231F20"/>
        </w:rPr>
        <w:t>вреде, уз релативно развијене делатности терцијарног сектора. Динамичан развој рударско-енергетско-индустријског </w:t>
      </w:r>
      <w:r>
        <w:rPr>
          <w:color w:val="231F20"/>
          <w:spacing w:val="-3"/>
        </w:rPr>
        <w:t>комплек-  </w:t>
      </w:r>
      <w:r>
        <w:rPr>
          <w:color w:val="231F20"/>
        </w:rPr>
        <w:t>са „Костолац” имао је снажан утицај на укупан друштвено-еко- номски развој Планског подручја. </w:t>
      </w:r>
      <w:r>
        <w:rPr>
          <w:color w:val="231F20"/>
          <w:spacing w:val="-4"/>
        </w:rPr>
        <w:t>Условио </w:t>
      </w:r>
      <w:r>
        <w:rPr>
          <w:color w:val="231F20"/>
        </w:rPr>
        <w:t>је промене привредне структуре и социоекономских карактеристика домаћинстава, брзи раст укупне производње, друштвеног производа, запослености и </w:t>
      </w:r>
      <w:r>
        <w:rPr>
          <w:color w:val="231F20"/>
          <w:spacing w:val="-3"/>
        </w:rPr>
        <w:t>доходака </w:t>
      </w:r>
      <w:r>
        <w:rPr>
          <w:color w:val="231F20"/>
        </w:rPr>
        <w:t>становништва и друге позитивне утицаје, али и негатив- не промене у коришћењу пољопривредног земљишта, просторној организацији насељске мреже, инфраструктуре и стању животне средине. </w:t>
      </w:r>
      <w:r>
        <w:rPr>
          <w:color w:val="231F20"/>
          <w:spacing w:val="-3"/>
        </w:rPr>
        <w:t>Град </w:t>
      </w:r>
      <w:r>
        <w:rPr>
          <w:color w:val="231F20"/>
        </w:rPr>
        <w:t>Костолац је један </w:t>
      </w:r>
      <w:r>
        <w:rPr>
          <w:color w:val="231F20"/>
          <w:spacing w:val="-3"/>
        </w:rPr>
        <w:t>од </w:t>
      </w:r>
      <w:r>
        <w:rPr>
          <w:color w:val="231F20"/>
        </w:rPr>
        <w:t>рударско-енергетских центара у Србији, с позитивним утицајем на ниво </w:t>
      </w:r>
      <w:r>
        <w:rPr>
          <w:color w:val="231F20"/>
          <w:spacing w:val="-3"/>
        </w:rPr>
        <w:t>економске </w:t>
      </w:r>
      <w:r>
        <w:rPr>
          <w:color w:val="231F20"/>
        </w:rPr>
        <w:t>развијености града</w:t>
      </w:r>
      <w:r>
        <w:rPr>
          <w:color w:val="231F20"/>
          <w:spacing w:val="-1"/>
        </w:rPr>
        <w:t> </w:t>
      </w:r>
      <w:r>
        <w:rPr>
          <w:color w:val="231F20"/>
        </w:rPr>
        <w:t>Пожаревца.</w:t>
      </w:r>
    </w:p>
    <w:p>
      <w:pPr>
        <w:pStyle w:val="BodyText"/>
        <w:spacing w:line="237" w:lineRule="auto"/>
        <w:ind w:left="169" w:right="408" w:firstLine="400"/>
      </w:pPr>
      <w:r>
        <w:rPr>
          <w:color w:val="231F20"/>
        </w:rPr>
        <w:t>Транзицијска рецесија и светска </w:t>
      </w:r>
      <w:r>
        <w:rPr>
          <w:color w:val="231F20"/>
          <w:spacing w:val="-3"/>
        </w:rPr>
        <w:t>економска </w:t>
      </w:r>
      <w:r>
        <w:rPr>
          <w:color w:val="231F20"/>
        </w:rPr>
        <w:t>и финансијска криза проузроковале су нови пад привредне активности. </w:t>
      </w:r>
      <w:r>
        <w:rPr>
          <w:color w:val="231F20"/>
          <w:spacing w:val="-5"/>
        </w:rPr>
        <w:t>Упркос </w:t>
      </w:r>
      <w:r>
        <w:rPr>
          <w:color w:val="231F20"/>
        </w:rPr>
        <w:t>томе, град Пожаревац припада кругу развијених локалних самоу- права (14. место у Србији), чији је степен развијености изнад ре- </w:t>
      </w:r>
      <w:r>
        <w:rPr>
          <w:color w:val="231F20"/>
          <w:spacing w:val="-3"/>
        </w:rPr>
        <w:t>публичког </w:t>
      </w:r>
      <w:r>
        <w:rPr>
          <w:color w:val="231F20"/>
        </w:rPr>
        <w:t>просека</w:t>
      </w:r>
      <w:r>
        <w:rPr>
          <w:color w:val="231F20"/>
          <w:position w:val="6"/>
          <w:sz w:val="10"/>
        </w:rPr>
        <w:t>3</w:t>
      </w:r>
      <w:r>
        <w:rPr>
          <w:color w:val="231F20"/>
        </w:rPr>
        <w:t>. У формирању народног </w:t>
      </w:r>
      <w:r>
        <w:rPr>
          <w:color w:val="231F20"/>
          <w:spacing w:val="-3"/>
        </w:rPr>
        <w:t>дохотка </w:t>
      </w:r>
      <w:r>
        <w:rPr>
          <w:color w:val="231F20"/>
        </w:rPr>
        <w:t>преовлађује секундарни сектор (53,7%), затим терцијарни (30%), док примар- ни сектор учествује са 16,3%. У 2005. години, учешће индустри- је у </w:t>
      </w:r>
      <w:r>
        <w:rPr>
          <w:color w:val="231F20"/>
          <w:spacing w:val="-3"/>
        </w:rPr>
        <w:t>дохотку </w:t>
      </w:r>
      <w:r>
        <w:rPr>
          <w:color w:val="231F20"/>
        </w:rPr>
        <w:t>је износило 41,2%, пољопривреде 16,3%, трговине 17,4%, грађевинарства</w:t>
      </w:r>
      <w:r>
        <w:rPr>
          <w:color w:val="231F20"/>
          <w:spacing w:val="-1"/>
        </w:rPr>
        <w:t> </w:t>
      </w:r>
      <w:r>
        <w:rPr>
          <w:color w:val="231F20"/>
        </w:rPr>
        <w:t>12,5%.</w:t>
      </w:r>
    </w:p>
    <w:p>
      <w:pPr>
        <w:spacing w:line="154" w:lineRule="exact" w:before="0"/>
        <w:ind w:left="169"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453" w:val="left" w:leader="none"/>
        </w:tabs>
        <w:spacing w:line="240" w:lineRule="auto" w:before="0" w:after="0"/>
        <w:ind w:left="452" w:right="411" w:hanging="283"/>
        <w:jc w:val="both"/>
        <w:rPr>
          <w:sz w:val="14"/>
        </w:rPr>
      </w:pPr>
      <w:r>
        <w:rPr>
          <w:color w:val="231F20"/>
          <w:spacing w:val="-3"/>
          <w:sz w:val="14"/>
        </w:rPr>
        <w:t>Уредба </w:t>
      </w:r>
      <w:r>
        <w:rPr>
          <w:color w:val="231F20"/>
          <w:sz w:val="14"/>
        </w:rPr>
        <w:t>о утврђивању јединствене листе развијености региона и јединица локал- не самоуправе у 2011., Службени гласник РС, бр.69/2011 </w:t>
      </w:r>
      <w:r>
        <w:rPr>
          <w:color w:val="231F20"/>
          <w:spacing w:val="-3"/>
          <w:sz w:val="14"/>
        </w:rPr>
        <w:t>од </w:t>
      </w:r>
      <w:r>
        <w:rPr>
          <w:color w:val="231F20"/>
          <w:sz w:val="14"/>
        </w:rPr>
        <w:t>19. септембра 2011. </w:t>
      </w:r>
      <w:r>
        <w:rPr>
          <w:color w:val="231F20"/>
          <w:spacing w:val="-2"/>
          <w:sz w:val="14"/>
        </w:rPr>
        <w:t>године</w:t>
      </w:r>
    </w:p>
    <w:p>
      <w:pPr>
        <w:spacing w:after="0" w:line="240" w:lineRule="auto"/>
        <w:jc w:val="both"/>
        <w:rPr>
          <w:sz w:val="14"/>
        </w:rPr>
        <w:sectPr>
          <w:pgSz w:w="12480" w:h="15690"/>
          <w:pgMar w:top="120" w:bottom="280" w:left="680" w:right="720"/>
          <w:cols w:num="2" w:equalWidth="0">
            <w:col w:w="5315" w:space="72"/>
            <w:col w:w="5693"/>
          </w:cols>
        </w:sectPr>
      </w:pPr>
    </w:p>
    <w:p>
      <w:pPr>
        <w:pStyle w:val="BodyText"/>
        <w:spacing w:line="232" w:lineRule="auto" w:before="73"/>
        <w:ind w:left="454" w:firstLine="396"/>
      </w:pPr>
      <w:r>
        <w:rPr/>
        <w:pict>
          <v:line style="position:absolute;mso-position-horizontal-relative:page;mso-position-vertical-relative:page;z-index:1288" from="318.897614pt,11.94295pt" to="318.897614pt,748.95095pt" stroked="true" strokeweight=".6pt" strokecolor="#231f20">
            <v:stroke dashstyle="solid"/>
            <w10:wrap type="none"/>
          </v:line>
        </w:pict>
      </w:r>
      <w:r>
        <w:rPr>
          <w:color w:val="231F20"/>
        </w:rPr>
        <w:t>У </w:t>
      </w:r>
      <w:r>
        <w:rPr>
          <w:color w:val="231F20"/>
          <w:spacing w:val="-3"/>
        </w:rPr>
        <w:t>протеклој деценији </w:t>
      </w:r>
      <w:r>
        <w:rPr>
          <w:color w:val="231F20"/>
        </w:rPr>
        <w:t>на </w:t>
      </w:r>
      <w:r>
        <w:rPr>
          <w:color w:val="231F20"/>
          <w:spacing w:val="-5"/>
        </w:rPr>
        <w:t>Планском </w:t>
      </w:r>
      <w:r>
        <w:rPr>
          <w:color w:val="231F20"/>
          <w:spacing w:val="-4"/>
        </w:rPr>
        <w:t>подручју </w:t>
      </w:r>
      <w:r>
        <w:rPr>
          <w:color w:val="231F20"/>
          <w:spacing w:val="-3"/>
        </w:rPr>
        <w:t>евидентан </w:t>
      </w:r>
      <w:r>
        <w:rPr>
          <w:color w:val="231F20"/>
        </w:rPr>
        <w:t>је стаг- </w:t>
      </w:r>
      <w:r>
        <w:rPr>
          <w:color w:val="231F20"/>
          <w:spacing w:val="-3"/>
        </w:rPr>
        <w:t>нантан ниво укупне запослености. </w:t>
      </w:r>
      <w:r>
        <w:rPr>
          <w:color w:val="231F20"/>
        </w:rPr>
        <w:t>На </w:t>
      </w:r>
      <w:r>
        <w:rPr>
          <w:color w:val="231F20"/>
          <w:spacing w:val="-4"/>
        </w:rPr>
        <w:t>подручју </w:t>
      </w:r>
      <w:r>
        <w:rPr>
          <w:color w:val="231F20"/>
          <w:spacing w:val="-3"/>
        </w:rPr>
        <w:t>града </w:t>
      </w:r>
      <w:r>
        <w:rPr>
          <w:color w:val="231F20"/>
          <w:spacing w:val="-4"/>
        </w:rPr>
        <w:t>Пожаревца, </w:t>
      </w:r>
      <w:r>
        <w:rPr>
          <w:color w:val="231F20"/>
          <w:spacing w:val="-3"/>
        </w:rPr>
        <w:t>септембра 2010. </w:t>
      </w:r>
      <w:r>
        <w:rPr>
          <w:color w:val="231F20"/>
          <w:spacing w:val="-4"/>
        </w:rPr>
        <w:t>године, </w:t>
      </w:r>
      <w:r>
        <w:rPr>
          <w:color w:val="231F20"/>
          <w:spacing w:val="-3"/>
        </w:rPr>
        <w:t>било </w:t>
      </w:r>
      <w:r>
        <w:rPr>
          <w:color w:val="231F20"/>
        </w:rPr>
        <w:t>је </w:t>
      </w:r>
      <w:r>
        <w:rPr>
          <w:color w:val="231F20"/>
          <w:spacing w:val="-3"/>
        </w:rPr>
        <w:t>запослено 21.661 лица, </w:t>
      </w:r>
      <w:r>
        <w:rPr>
          <w:color w:val="231F20"/>
          <w:spacing w:val="-4"/>
        </w:rPr>
        <w:t>од </w:t>
      </w:r>
      <w:r>
        <w:rPr>
          <w:color w:val="231F20"/>
          <w:spacing w:val="-3"/>
        </w:rPr>
        <w:t>тога 5.166 </w:t>
      </w:r>
      <w:r>
        <w:rPr>
          <w:color w:val="231F20"/>
          <w:spacing w:val="-4"/>
        </w:rPr>
        <w:t>предузетника (Табела </w:t>
      </w:r>
      <w:r>
        <w:rPr>
          <w:color w:val="231F20"/>
        </w:rPr>
        <w:t>5). </w:t>
      </w:r>
      <w:r>
        <w:rPr>
          <w:color w:val="231F20"/>
          <w:spacing w:val="-8"/>
        </w:rPr>
        <w:t>Услед </w:t>
      </w:r>
      <w:r>
        <w:rPr>
          <w:color w:val="231F20"/>
          <w:spacing w:val="-3"/>
        </w:rPr>
        <w:t>снажне деиндустријализације </w:t>
      </w:r>
      <w:r>
        <w:rPr>
          <w:color w:val="231F20"/>
        </w:rPr>
        <w:t>у пе- </w:t>
      </w:r>
      <w:r>
        <w:rPr>
          <w:color w:val="231F20"/>
          <w:spacing w:val="-4"/>
        </w:rPr>
        <w:t>риоду </w:t>
      </w:r>
      <w:r>
        <w:rPr>
          <w:color w:val="231F20"/>
          <w:spacing w:val="-3"/>
        </w:rPr>
        <w:t>1999 </w:t>
      </w:r>
      <w:r>
        <w:rPr>
          <w:color w:val="231F20"/>
        </w:rPr>
        <w:t>– </w:t>
      </w:r>
      <w:r>
        <w:rPr>
          <w:color w:val="231F20"/>
          <w:spacing w:val="-3"/>
        </w:rPr>
        <w:t>2010. </w:t>
      </w:r>
      <w:r>
        <w:rPr>
          <w:color w:val="231F20"/>
          <w:spacing w:val="-5"/>
        </w:rPr>
        <w:t>године </w:t>
      </w:r>
      <w:r>
        <w:rPr>
          <w:color w:val="231F20"/>
          <w:spacing w:val="-3"/>
        </w:rPr>
        <w:t>број индустријских радника </w:t>
      </w:r>
      <w:r>
        <w:rPr>
          <w:color w:val="231F20"/>
        </w:rPr>
        <w:t>је </w:t>
      </w:r>
      <w:r>
        <w:rPr>
          <w:color w:val="231F20"/>
          <w:spacing w:val="-3"/>
        </w:rPr>
        <w:t>смањен </w:t>
      </w:r>
      <w:r>
        <w:rPr>
          <w:color w:val="231F20"/>
        </w:rPr>
        <w:t>5,4 пута, </w:t>
      </w:r>
      <w:r>
        <w:rPr>
          <w:color w:val="231F20"/>
          <w:spacing w:val="-3"/>
        </w:rPr>
        <w:t>односно </w:t>
      </w:r>
      <w:r>
        <w:rPr>
          <w:color w:val="231F20"/>
        </w:rPr>
        <w:t>са </w:t>
      </w:r>
      <w:r>
        <w:rPr>
          <w:color w:val="231F20"/>
          <w:spacing w:val="-3"/>
        </w:rPr>
        <w:t>10.008 </w:t>
      </w:r>
      <w:r>
        <w:rPr>
          <w:color w:val="231F20"/>
        </w:rPr>
        <w:t>на </w:t>
      </w:r>
      <w:r>
        <w:rPr>
          <w:color w:val="231F20"/>
          <w:spacing w:val="-3"/>
        </w:rPr>
        <w:t>1.852 лица </w:t>
      </w:r>
      <w:r>
        <w:rPr>
          <w:color w:val="231F20"/>
        </w:rPr>
        <w:t>или за </w:t>
      </w:r>
      <w:r>
        <w:rPr>
          <w:color w:val="231F20"/>
          <w:spacing w:val="-3"/>
        </w:rPr>
        <w:t>81,5%. </w:t>
      </w:r>
      <w:r>
        <w:rPr>
          <w:color w:val="231F20"/>
          <w:spacing w:val="-7"/>
        </w:rPr>
        <w:t>Упркос </w:t>
      </w:r>
      <w:r>
        <w:rPr>
          <w:color w:val="231F20"/>
          <w:spacing w:val="-4"/>
        </w:rPr>
        <w:t>томе, отварање </w:t>
      </w:r>
      <w:r>
        <w:rPr>
          <w:color w:val="231F20"/>
          <w:spacing w:val="-3"/>
        </w:rPr>
        <w:t>нових радних </w:t>
      </w:r>
      <w:r>
        <w:rPr>
          <w:color w:val="231F20"/>
        </w:rPr>
        <w:t>места у </w:t>
      </w:r>
      <w:r>
        <w:rPr>
          <w:color w:val="231F20"/>
          <w:spacing w:val="-4"/>
        </w:rPr>
        <w:t>сектору предузетништва </w:t>
      </w:r>
      <w:r>
        <w:rPr>
          <w:color w:val="231F20"/>
        </w:rPr>
        <w:t>и </w:t>
      </w:r>
      <w:r>
        <w:rPr>
          <w:color w:val="231F20"/>
          <w:spacing w:val="-3"/>
        </w:rPr>
        <w:t>запошља- вање</w:t>
      </w:r>
      <w:r>
        <w:rPr>
          <w:color w:val="231F20"/>
          <w:spacing w:val="-8"/>
        </w:rPr>
        <w:t> </w:t>
      </w:r>
      <w:r>
        <w:rPr>
          <w:color w:val="231F20"/>
        </w:rPr>
        <w:t>у</w:t>
      </w:r>
      <w:r>
        <w:rPr>
          <w:color w:val="231F20"/>
          <w:spacing w:val="-8"/>
        </w:rPr>
        <w:t> </w:t>
      </w:r>
      <w:r>
        <w:rPr>
          <w:color w:val="231F20"/>
          <w:spacing w:val="-4"/>
        </w:rPr>
        <w:t>јавном</w:t>
      </w:r>
      <w:r>
        <w:rPr>
          <w:color w:val="231F20"/>
          <w:spacing w:val="-8"/>
        </w:rPr>
        <w:t> </w:t>
      </w:r>
      <w:r>
        <w:rPr>
          <w:color w:val="231F20"/>
          <w:spacing w:val="-4"/>
        </w:rPr>
        <w:t>сектору</w:t>
      </w:r>
      <w:r>
        <w:rPr>
          <w:color w:val="231F20"/>
          <w:spacing w:val="-8"/>
        </w:rPr>
        <w:t> </w:t>
      </w:r>
      <w:r>
        <w:rPr>
          <w:color w:val="231F20"/>
          <w:spacing w:val="-3"/>
        </w:rPr>
        <w:t>допринело</w:t>
      </w:r>
      <w:r>
        <w:rPr>
          <w:color w:val="231F20"/>
          <w:spacing w:val="-8"/>
        </w:rPr>
        <w:t> </w:t>
      </w:r>
      <w:r>
        <w:rPr>
          <w:color w:val="231F20"/>
        </w:rPr>
        <w:t>је</w:t>
      </w:r>
      <w:r>
        <w:rPr>
          <w:color w:val="231F20"/>
          <w:spacing w:val="-8"/>
        </w:rPr>
        <w:t> </w:t>
      </w:r>
      <w:r>
        <w:rPr>
          <w:color w:val="231F20"/>
        </w:rPr>
        <w:t>да</w:t>
      </w:r>
      <w:r>
        <w:rPr>
          <w:color w:val="231F20"/>
          <w:spacing w:val="-8"/>
        </w:rPr>
        <w:t> </w:t>
      </w:r>
      <w:r>
        <w:rPr>
          <w:color w:val="231F20"/>
          <w:spacing w:val="-3"/>
        </w:rPr>
        <w:t>укупна</w:t>
      </w:r>
      <w:r>
        <w:rPr>
          <w:color w:val="231F20"/>
          <w:spacing w:val="-8"/>
        </w:rPr>
        <w:t> </w:t>
      </w:r>
      <w:r>
        <w:rPr>
          <w:color w:val="231F20"/>
          <w:spacing w:val="-3"/>
        </w:rPr>
        <w:t>запосленост</w:t>
      </w:r>
      <w:r>
        <w:rPr>
          <w:color w:val="231F20"/>
          <w:spacing w:val="-8"/>
        </w:rPr>
        <w:t> </w:t>
      </w:r>
      <w:r>
        <w:rPr>
          <w:color w:val="231F20"/>
        </w:rPr>
        <w:t>остане</w:t>
      </w:r>
      <w:r>
        <w:rPr>
          <w:color w:val="231F20"/>
          <w:spacing w:val="-8"/>
        </w:rPr>
        <w:t> </w:t>
      </w:r>
      <w:r>
        <w:rPr>
          <w:color w:val="231F20"/>
        </w:rPr>
        <w:t>на </w:t>
      </w:r>
      <w:r>
        <w:rPr>
          <w:color w:val="231F20"/>
          <w:spacing w:val="-3"/>
        </w:rPr>
        <w:t>стагнантном </w:t>
      </w:r>
      <w:r>
        <w:rPr>
          <w:color w:val="231F20"/>
          <w:spacing w:val="-4"/>
        </w:rPr>
        <w:t>нивоу </w:t>
      </w:r>
      <w:r>
        <w:rPr>
          <w:color w:val="231F20"/>
          <w:spacing w:val="-3"/>
        </w:rPr>
        <w:t>(22.167 лица </w:t>
      </w:r>
      <w:r>
        <w:rPr>
          <w:color w:val="231F20"/>
        </w:rPr>
        <w:t>и </w:t>
      </w:r>
      <w:r>
        <w:rPr>
          <w:color w:val="231F20"/>
          <w:spacing w:val="-3"/>
        </w:rPr>
        <w:t>21.669 лица,</w:t>
      </w:r>
      <w:r>
        <w:rPr>
          <w:color w:val="231F20"/>
          <w:spacing w:val="-21"/>
        </w:rPr>
        <w:t> </w:t>
      </w:r>
      <w:r>
        <w:rPr>
          <w:color w:val="231F20"/>
          <w:spacing w:val="-3"/>
        </w:rPr>
        <w:t>респективно).</w:t>
      </w:r>
    </w:p>
    <w:p>
      <w:pPr>
        <w:pStyle w:val="BodyText"/>
        <w:spacing w:before="6"/>
        <w:ind w:left="0"/>
        <w:jc w:val="left"/>
        <w:rPr>
          <w:sz w:val="17"/>
        </w:rPr>
      </w:pPr>
    </w:p>
    <w:p>
      <w:pPr>
        <w:pStyle w:val="BodyText"/>
        <w:spacing w:line="232" w:lineRule="auto"/>
        <w:ind w:left="1203" w:right="272" w:hanging="750"/>
        <w:jc w:val="left"/>
      </w:pPr>
      <w:r>
        <w:rPr>
          <w:color w:val="231F20"/>
        </w:rPr>
        <w:t>Табела 5. Кретање и структура укупне запослености, септембар 2010.</w:t>
      </w:r>
    </w:p>
    <w:p>
      <w:pPr>
        <w:pStyle w:val="BodyText"/>
        <w:spacing w:before="9"/>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81"/>
        <w:gridCol w:w="741"/>
        <w:gridCol w:w="601"/>
        <w:gridCol w:w="1066"/>
        <w:gridCol w:w="1100"/>
      </w:tblGrid>
      <w:tr>
        <w:trPr>
          <w:trHeight w:val="1160" w:hRule="atLeast"/>
        </w:trPr>
        <w:tc>
          <w:tcPr>
            <w:tcW w:w="1581" w:type="dxa"/>
          </w:tcPr>
          <w:p>
            <w:pPr>
              <w:pStyle w:val="TableParagraph"/>
              <w:ind w:left="236"/>
              <w:jc w:val="left"/>
              <w:rPr>
                <w:sz w:val="14"/>
              </w:rPr>
            </w:pPr>
            <w:r>
              <w:rPr>
                <w:color w:val="231F20"/>
                <w:sz w:val="14"/>
              </w:rPr>
              <w:t>Подручје општине</w:t>
            </w:r>
          </w:p>
        </w:tc>
        <w:tc>
          <w:tcPr>
            <w:tcW w:w="741" w:type="dxa"/>
          </w:tcPr>
          <w:p>
            <w:pPr>
              <w:pStyle w:val="TableParagraph"/>
              <w:ind w:left="66" w:right="38" w:firstLine="82"/>
              <w:jc w:val="left"/>
              <w:rPr>
                <w:sz w:val="14"/>
              </w:rPr>
            </w:pPr>
            <w:r>
              <w:rPr>
                <w:color w:val="231F20"/>
                <w:sz w:val="14"/>
              </w:rPr>
              <w:t>Укупно запослени</w:t>
            </w:r>
          </w:p>
        </w:tc>
        <w:tc>
          <w:tcPr>
            <w:tcW w:w="601" w:type="dxa"/>
          </w:tcPr>
          <w:p>
            <w:pPr>
              <w:pStyle w:val="TableParagraph"/>
              <w:ind w:left="153" w:right="52" w:hanging="89"/>
              <w:jc w:val="left"/>
              <w:rPr>
                <w:sz w:val="14"/>
              </w:rPr>
            </w:pPr>
            <w:r>
              <w:rPr>
                <w:color w:val="231F20"/>
                <w:sz w:val="14"/>
              </w:rPr>
              <w:t>Учешће жена у %</w:t>
            </w:r>
          </w:p>
        </w:tc>
        <w:tc>
          <w:tcPr>
            <w:tcW w:w="1066" w:type="dxa"/>
          </w:tcPr>
          <w:p>
            <w:pPr>
              <w:pStyle w:val="TableParagraph"/>
              <w:ind w:left="65" w:right="53"/>
              <w:jc w:val="center"/>
              <w:rPr>
                <w:sz w:val="14"/>
              </w:rPr>
            </w:pPr>
            <w:r>
              <w:rPr>
                <w:color w:val="231F20"/>
                <w:sz w:val="14"/>
              </w:rPr>
              <w:t>Приватни предузетници и лица запослена код њих и лица која самостал- но обављају делатност</w:t>
            </w:r>
          </w:p>
        </w:tc>
        <w:tc>
          <w:tcPr>
            <w:tcW w:w="1100" w:type="dxa"/>
          </w:tcPr>
          <w:p>
            <w:pPr>
              <w:pStyle w:val="TableParagraph"/>
              <w:ind w:left="70" w:right="58" w:hanging="1"/>
              <w:jc w:val="center"/>
              <w:rPr>
                <w:sz w:val="14"/>
              </w:rPr>
            </w:pPr>
            <w:r>
              <w:rPr>
                <w:color w:val="231F20"/>
                <w:sz w:val="14"/>
              </w:rPr>
              <w:t>Приватни предузетници и лица запослена код њих и лица која самостално обављају делатност у %</w:t>
            </w:r>
          </w:p>
        </w:tc>
      </w:tr>
      <w:tr>
        <w:trPr>
          <w:trHeight w:val="200" w:hRule="atLeast"/>
        </w:trPr>
        <w:tc>
          <w:tcPr>
            <w:tcW w:w="1581" w:type="dxa"/>
          </w:tcPr>
          <w:p>
            <w:pPr>
              <w:pStyle w:val="TableParagraph"/>
              <w:ind w:left="57"/>
              <w:jc w:val="left"/>
              <w:rPr>
                <w:sz w:val="14"/>
              </w:rPr>
            </w:pPr>
            <w:r>
              <w:rPr>
                <w:color w:val="231F20"/>
                <w:sz w:val="14"/>
              </w:rPr>
              <w:t>1. Град Пожаревац</w:t>
            </w:r>
          </w:p>
        </w:tc>
        <w:tc>
          <w:tcPr>
            <w:tcW w:w="741" w:type="dxa"/>
          </w:tcPr>
          <w:p>
            <w:pPr>
              <w:pStyle w:val="TableParagraph"/>
              <w:ind w:right="43"/>
              <w:rPr>
                <w:sz w:val="14"/>
              </w:rPr>
            </w:pPr>
            <w:r>
              <w:rPr>
                <w:color w:val="231F20"/>
                <w:sz w:val="14"/>
              </w:rPr>
              <w:t>22.661</w:t>
            </w:r>
          </w:p>
        </w:tc>
        <w:tc>
          <w:tcPr>
            <w:tcW w:w="601" w:type="dxa"/>
          </w:tcPr>
          <w:p>
            <w:pPr>
              <w:pStyle w:val="TableParagraph"/>
              <w:ind w:right="44"/>
              <w:rPr>
                <w:sz w:val="14"/>
              </w:rPr>
            </w:pPr>
            <w:r>
              <w:rPr>
                <w:color w:val="231F20"/>
                <w:sz w:val="14"/>
              </w:rPr>
              <w:t>30,2</w:t>
            </w:r>
          </w:p>
        </w:tc>
        <w:tc>
          <w:tcPr>
            <w:tcW w:w="1066" w:type="dxa"/>
          </w:tcPr>
          <w:p>
            <w:pPr>
              <w:pStyle w:val="TableParagraph"/>
              <w:ind w:right="44"/>
              <w:rPr>
                <w:sz w:val="14"/>
              </w:rPr>
            </w:pPr>
            <w:r>
              <w:rPr>
                <w:color w:val="231F20"/>
                <w:sz w:val="14"/>
              </w:rPr>
              <w:t>5.166</w:t>
            </w:r>
          </w:p>
        </w:tc>
        <w:tc>
          <w:tcPr>
            <w:tcW w:w="1100" w:type="dxa"/>
          </w:tcPr>
          <w:p>
            <w:pPr>
              <w:pStyle w:val="TableParagraph"/>
              <w:ind w:right="44"/>
              <w:rPr>
                <w:sz w:val="14"/>
              </w:rPr>
            </w:pPr>
            <w:r>
              <w:rPr>
                <w:color w:val="231F20"/>
                <w:sz w:val="14"/>
              </w:rPr>
              <w:t>23,8</w:t>
            </w:r>
          </w:p>
        </w:tc>
      </w:tr>
      <w:tr>
        <w:trPr>
          <w:trHeight w:val="360" w:hRule="atLeast"/>
        </w:trPr>
        <w:tc>
          <w:tcPr>
            <w:tcW w:w="1581" w:type="dxa"/>
          </w:tcPr>
          <w:p>
            <w:pPr>
              <w:pStyle w:val="TableParagraph"/>
              <w:ind w:left="57"/>
              <w:jc w:val="left"/>
              <w:rPr>
                <w:sz w:val="14"/>
              </w:rPr>
            </w:pPr>
            <w:r>
              <w:rPr>
                <w:color w:val="231F20"/>
                <w:sz w:val="14"/>
              </w:rPr>
              <w:t>2. Браничевски управни округ</w:t>
            </w:r>
          </w:p>
        </w:tc>
        <w:tc>
          <w:tcPr>
            <w:tcW w:w="741" w:type="dxa"/>
          </w:tcPr>
          <w:p>
            <w:pPr>
              <w:pStyle w:val="TableParagraph"/>
              <w:ind w:right="44"/>
              <w:rPr>
                <w:sz w:val="14"/>
              </w:rPr>
            </w:pPr>
            <w:r>
              <w:rPr>
                <w:color w:val="231F20"/>
                <w:sz w:val="14"/>
              </w:rPr>
              <w:t>35.708</w:t>
            </w:r>
          </w:p>
        </w:tc>
        <w:tc>
          <w:tcPr>
            <w:tcW w:w="601" w:type="dxa"/>
          </w:tcPr>
          <w:p>
            <w:pPr>
              <w:pStyle w:val="TableParagraph"/>
              <w:ind w:right="44"/>
              <w:rPr>
                <w:sz w:val="14"/>
              </w:rPr>
            </w:pPr>
            <w:r>
              <w:rPr>
                <w:color w:val="231F20"/>
                <w:sz w:val="14"/>
              </w:rPr>
              <w:t>28,9</w:t>
            </w:r>
          </w:p>
        </w:tc>
        <w:tc>
          <w:tcPr>
            <w:tcW w:w="1066" w:type="dxa"/>
          </w:tcPr>
          <w:p>
            <w:pPr>
              <w:pStyle w:val="TableParagraph"/>
              <w:ind w:right="44"/>
              <w:rPr>
                <w:sz w:val="14"/>
              </w:rPr>
            </w:pPr>
            <w:r>
              <w:rPr>
                <w:color w:val="231F20"/>
                <w:sz w:val="14"/>
              </w:rPr>
              <w:t>10.989</w:t>
            </w:r>
          </w:p>
        </w:tc>
        <w:tc>
          <w:tcPr>
            <w:tcW w:w="1100" w:type="dxa"/>
          </w:tcPr>
          <w:p>
            <w:pPr>
              <w:pStyle w:val="TableParagraph"/>
              <w:ind w:right="44"/>
              <w:rPr>
                <w:sz w:val="14"/>
              </w:rPr>
            </w:pPr>
            <w:r>
              <w:rPr>
                <w:color w:val="231F20"/>
                <w:sz w:val="14"/>
              </w:rPr>
              <w:t>30,8</w:t>
            </w:r>
          </w:p>
        </w:tc>
      </w:tr>
      <w:tr>
        <w:trPr>
          <w:trHeight w:val="213" w:hRule="atLeast"/>
        </w:trPr>
        <w:tc>
          <w:tcPr>
            <w:tcW w:w="1581" w:type="dxa"/>
          </w:tcPr>
          <w:p>
            <w:pPr>
              <w:pStyle w:val="TableParagraph"/>
              <w:ind w:left="56"/>
              <w:jc w:val="left"/>
              <w:rPr>
                <w:sz w:val="14"/>
              </w:rPr>
            </w:pPr>
            <w:r>
              <w:rPr>
                <w:color w:val="231F20"/>
                <w:sz w:val="14"/>
              </w:rPr>
              <w:t>Србија</w:t>
            </w:r>
          </w:p>
        </w:tc>
        <w:tc>
          <w:tcPr>
            <w:tcW w:w="741" w:type="dxa"/>
          </w:tcPr>
          <w:p>
            <w:pPr>
              <w:pStyle w:val="TableParagraph"/>
              <w:ind w:right="44"/>
              <w:rPr>
                <w:sz w:val="14"/>
              </w:rPr>
            </w:pPr>
            <w:r>
              <w:rPr>
                <w:color w:val="231F20"/>
                <w:sz w:val="14"/>
              </w:rPr>
              <w:t>1.774.589</w:t>
            </w:r>
          </w:p>
        </w:tc>
        <w:tc>
          <w:tcPr>
            <w:tcW w:w="601" w:type="dxa"/>
          </w:tcPr>
          <w:p>
            <w:pPr>
              <w:pStyle w:val="TableParagraph"/>
              <w:ind w:right="44"/>
              <w:rPr>
                <w:sz w:val="14"/>
              </w:rPr>
            </w:pPr>
            <w:r>
              <w:rPr>
                <w:color w:val="231F20"/>
                <w:sz w:val="14"/>
              </w:rPr>
              <w:t>34,6</w:t>
            </w:r>
          </w:p>
        </w:tc>
        <w:tc>
          <w:tcPr>
            <w:tcW w:w="1066" w:type="dxa"/>
          </w:tcPr>
          <w:p>
            <w:pPr>
              <w:pStyle w:val="TableParagraph"/>
              <w:ind w:right="44"/>
              <w:rPr>
                <w:sz w:val="14"/>
              </w:rPr>
            </w:pPr>
            <w:r>
              <w:rPr>
                <w:color w:val="231F20"/>
                <w:sz w:val="14"/>
              </w:rPr>
              <w:t>426.909</w:t>
            </w:r>
          </w:p>
        </w:tc>
        <w:tc>
          <w:tcPr>
            <w:tcW w:w="1100" w:type="dxa"/>
          </w:tcPr>
          <w:p>
            <w:pPr>
              <w:pStyle w:val="TableParagraph"/>
              <w:ind w:right="44"/>
              <w:rPr>
                <w:sz w:val="14"/>
              </w:rPr>
            </w:pPr>
            <w:r>
              <w:rPr>
                <w:color w:val="231F20"/>
                <w:sz w:val="14"/>
              </w:rPr>
              <w:t>24,1</w:t>
            </w:r>
          </w:p>
        </w:tc>
      </w:tr>
    </w:tbl>
    <w:p>
      <w:pPr>
        <w:spacing w:before="111"/>
        <w:ind w:left="889" w:right="0" w:hanging="436"/>
        <w:jc w:val="left"/>
        <w:rPr>
          <w:sz w:val="14"/>
        </w:rPr>
      </w:pPr>
      <w:r>
        <w:rPr>
          <w:color w:val="231F20"/>
          <w:sz w:val="14"/>
        </w:rPr>
        <w:t>Извор: САОПШTЕЊЕ ЗП21, СРБ018 ЗП21 300710, Статистика запослености, број 218 - године LXI, 28. Јануара 2011., Републички завод за статистику</w:t>
      </w:r>
    </w:p>
    <w:p>
      <w:pPr>
        <w:pStyle w:val="BodyText"/>
        <w:ind w:left="0"/>
        <w:jc w:val="left"/>
      </w:pPr>
    </w:p>
    <w:p>
      <w:pPr>
        <w:pStyle w:val="BodyText"/>
        <w:spacing w:line="228" w:lineRule="auto" w:before="1"/>
        <w:ind w:left="453" w:firstLine="396"/>
      </w:pPr>
      <w:r>
        <w:rPr>
          <w:color w:val="231F20"/>
        </w:rPr>
        <w:t>У структури запослености на подручју града Пожаревац се- кундарни</w:t>
      </w:r>
      <w:r>
        <w:rPr>
          <w:color w:val="231F20"/>
          <w:spacing w:val="-7"/>
        </w:rPr>
        <w:t> </w:t>
      </w:r>
      <w:r>
        <w:rPr>
          <w:color w:val="231F20"/>
        </w:rPr>
        <w:t>сектор</w:t>
      </w:r>
      <w:r>
        <w:rPr>
          <w:color w:val="231F20"/>
          <w:spacing w:val="-7"/>
        </w:rPr>
        <w:t> </w:t>
      </w:r>
      <w:r>
        <w:rPr>
          <w:color w:val="231F20"/>
        </w:rPr>
        <w:t>учествује</w:t>
      </w:r>
      <w:r>
        <w:rPr>
          <w:color w:val="231F20"/>
          <w:spacing w:val="-7"/>
        </w:rPr>
        <w:t> </w:t>
      </w:r>
      <w:r>
        <w:rPr>
          <w:color w:val="231F20"/>
        </w:rPr>
        <w:t>са</w:t>
      </w:r>
      <w:r>
        <w:rPr>
          <w:color w:val="231F20"/>
          <w:spacing w:val="-7"/>
        </w:rPr>
        <w:t> </w:t>
      </w:r>
      <w:r>
        <w:rPr>
          <w:color w:val="231F20"/>
        </w:rPr>
        <w:t>34,5%,</w:t>
      </w:r>
      <w:r>
        <w:rPr>
          <w:color w:val="231F20"/>
          <w:spacing w:val="-7"/>
        </w:rPr>
        <w:t> </w:t>
      </w:r>
      <w:r>
        <w:rPr>
          <w:color w:val="231F20"/>
        </w:rPr>
        <w:t>уз</w:t>
      </w:r>
      <w:r>
        <w:rPr>
          <w:color w:val="231F20"/>
          <w:spacing w:val="-7"/>
        </w:rPr>
        <w:t> </w:t>
      </w:r>
      <w:r>
        <w:rPr>
          <w:color w:val="231F20"/>
        </w:rPr>
        <w:t>доминацију</w:t>
      </w:r>
      <w:r>
        <w:rPr>
          <w:color w:val="231F20"/>
          <w:spacing w:val="-7"/>
        </w:rPr>
        <w:t> </w:t>
      </w:r>
      <w:r>
        <w:rPr>
          <w:color w:val="231F20"/>
        </w:rPr>
        <w:t>сектора</w:t>
      </w:r>
      <w:r>
        <w:rPr>
          <w:color w:val="231F20"/>
          <w:spacing w:val="-7"/>
        </w:rPr>
        <w:t> </w:t>
      </w:r>
      <w:r>
        <w:rPr>
          <w:color w:val="231F20"/>
        </w:rPr>
        <w:t>услуга (64,1%).</w:t>
      </w:r>
      <w:r>
        <w:rPr>
          <w:color w:val="231F20"/>
          <w:spacing w:val="-5"/>
        </w:rPr>
        <w:t> </w:t>
      </w:r>
      <w:r>
        <w:rPr>
          <w:color w:val="231F20"/>
        </w:rPr>
        <w:t>У</w:t>
      </w:r>
      <w:r>
        <w:rPr>
          <w:color w:val="231F20"/>
          <w:spacing w:val="-5"/>
        </w:rPr>
        <w:t> </w:t>
      </w:r>
      <w:r>
        <w:rPr>
          <w:color w:val="231F20"/>
        </w:rPr>
        <w:t>укупној</w:t>
      </w:r>
      <w:r>
        <w:rPr>
          <w:color w:val="231F20"/>
          <w:spacing w:val="-5"/>
        </w:rPr>
        <w:t> </w:t>
      </w:r>
      <w:r>
        <w:rPr>
          <w:color w:val="231F20"/>
        </w:rPr>
        <w:t>запослености</w:t>
      </w:r>
      <w:r>
        <w:rPr>
          <w:color w:val="231F20"/>
          <w:spacing w:val="-6"/>
        </w:rPr>
        <w:t> </w:t>
      </w:r>
      <w:r>
        <w:rPr>
          <w:color w:val="231F20"/>
        </w:rPr>
        <w:t>(септембра</w:t>
      </w:r>
      <w:r>
        <w:rPr>
          <w:color w:val="231F20"/>
          <w:spacing w:val="-6"/>
        </w:rPr>
        <w:t> </w:t>
      </w:r>
      <w:r>
        <w:rPr>
          <w:color w:val="231F20"/>
        </w:rPr>
        <w:t>2010.</w:t>
      </w:r>
      <w:r>
        <w:rPr>
          <w:color w:val="231F20"/>
          <w:spacing w:val="-5"/>
        </w:rPr>
        <w:t> </w:t>
      </w:r>
      <w:r>
        <w:rPr>
          <w:color w:val="231F20"/>
        </w:rPr>
        <w:t>године)</w:t>
      </w:r>
      <w:r>
        <w:rPr>
          <w:color w:val="231F20"/>
          <w:spacing w:val="-5"/>
        </w:rPr>
        <w:t> </w:t>
      </w:r>
      <w:r>
        <w:rPr>
          <w:color w:val="231F20"/>
        </w:rPr>
        <w:t>учешћа су</w:t>
      </w:r>
      <w:r>
        <w:rPr>
          <w:color w:val="231F20"/>
          <w:spacing w:val="-9"/>
        </w:rPr>
        <w:t> </w:t>
      </w:r>
      <w:r>
        <w:rPr>
          <w:color w:val="231F20"/>
        </w:rPr>
        <w:t>следећа:</w:t>
      </w:r>
      <w:r>
        <w:rPr>
          <w:color w:val="231F20"/>
          <w:spacing w:val="-9"/>
        </w:rPr>
        <w:t> </w:t>
      </w:r>
      <w:r>
        <w:rPr>
          <w:color w:val="231F20"/>
        </w:rPr>
        <w:t>производња</w:t>
      </w:r>
      <w:r>
        <w:rPr>
          <w:color w:val="231F20"/>
          <w:spacing w:val="-9"/>
        </w:rPr>
        <w:t> </w:t>
      </w:r>
      <w:r>
        <w:rPr>
          <w:color w:val="231F20"/>
        </w:rPr>
        <w:t>електричне</w:t>
      </w:r>
      <w:r>
        <w:rPr>
          <w:color w:val="231F20"/>
          <w:spacing w:val="-9"/>
        </w:rPr>
        <w:t> </w:t>
      </w:r>
      <w:r>
        <w:rPr>
          <w:color w:val="231F20"/>
        </w:rPr>
        <w:t>енергије</w:t>
      </w:r>
      <w:r>
        <w:rPr>
          <w:color w:val="231F20"/>
          <w:spacing w:val="-9"/>
        </w:rPr>
        <w:t> </w:t>
      </w:r>
      <w:r>
        <w:rPr>
          <w:color w:val="231F20"/>
        </w:rPr>
        <w:t>18,1%</w:t>
      </w:r>
      <w:r>
        <w:rPr>
          <w:color w:val="231F20"/>
          <w:spacing w:val="-9"/>
        </w:rPr>
        <w:t> </w:t>
      </w:r>
      <w:r>
        <w:rPr>
          <w:color w:val="231F20"/>
        </w:rPr>
        <w:t>(3.925</w:t>
      </w:r>
      <w:r>
        <w:rPr>
          <w:color w:val="231F20"/>
          <w:spacing w:val="-9"/>
        </w:rPr>
        <w:t> </w:t>
      </w:r>
      <w:r>
        <w:rPr>
          <w:color w:val="231F20"/>
        </w:rPr>
        <w:t>запосле- них), прерађивачка индустрија 12,2% (2.642 радника), здравство и социјални</w:t>
      </w:r>
      <w:r>
        <w:rPr>
          <w:color w:val="231F20"/>
          <w:spacing w:val="11"/>
        </w:rPr>
        <w:t> </w:t>
      </w:r>
      <w:r>
        <w:rPr>
          <w:color w:val="231F20"/>
        </w:rPr>
        <w:t>рад</w:t>
      </w:r>
      <w:r>
        <w:rPr>
          <w:color w:val="231F20"/>
          <w:spacing w:val="11"/>
        </w:rPr>
        <w:t> </w:t>
      </w:r>
      <w:r>
        <w:rPr>
          <w:color w:val="231F20"/>
        </w:rPr>
        <w:t>9,2%,</w:t>
      </w:r>
      <w:r>
        <w:rPr>
          <w:color w:val="231F20"/>
          <w:spacing w:val="11"/>
        </w:rPr>
        <w:t> </w:t>
      </w:r>
      <w:r>
        <w:rPr>
          <w:color w:val="231F20"/>
        </w:rPr>
        <w:t>трговина</w:t>
      </w:r>
      <w:r>
        <w:rPr>
          <w:color w:val="231F20"/>
          <w:spacing w:val="11"/>
        </w:rPr>
        <w:t> </w:t>
      </w:r>
      <w:r>
        <w:rPr>
          <w:color w:val="231F20"/>
        </w:rPr>
        <w:t>8,9%</w:t>
      </w:r>
      <w:r>
        <w:rPr>
          <w:color w:val="231F20"/>
          <w:spacing w:val="11"/>
        </w:rPr>
        <w:t> </w:t>
      </w:r>
      <w:r>
        <w:rPr>
          <w:color w:val="231F20"/>
        </w:rPr>
        <w:t>(1.923</w:t>
      </w:r>
      <w:r>
        <w:rPr>
          <w:color w:val="231F20"/>
          <w:spacing w:val="11"/>
        </w:rPr>
        <w:t> </w:t>
      </w:r>
      <w:r>
        <w:rPr>
          <w:color w:val="231F20"/>
        </w:rPr>
        <w:t>лица),</w:t>
      </w:r>
      <w:r>
        <w:rPr>
          <w:color w:val="231F20"/>
          <w:spacing w:val="11"/>
        </w:rPr>
        <w:t> </w:t>
      </w:r>
      <w:r>
        <w:rPr>
          <w:color w:val="231F20"/>
        </w:rPr>
        <w:t>државна</w:t>
      </w:r>
      <w:r>
        <w:rPr>
          <w:color w:val="231F20"/>
          <w:spacing w:val="11"/>
        </w:rPr>
        <w:t> </w:t>
      </w:r>
      <w:r>
        <w:rPr>
          <w:color w:val="231F20"/>
        </w:rPr>
        <w:t>управа</w:t>
      </w:r>
    </w:p>
    <w:p>
      <w:pPr>
        <w:pStyle w:val="BodyText"/>
        <w:spacing w:line="228" w:lineRule="auto" w:before="1"/>
        <w:ind w:left="453"/>
      </w:pPr>
      <w:r>
        <w:rPr>
          <w:color w:val="231F20"/>
        </w:rPr>
        <w:t>5,8%, образовање 5,6%, грађевинарство 3,9%, комуналне, личне и друге услуге 4,2%, саобраћај 3,3%, пољопривреда, рибарство, шу- марство, водопривреда 1,5%, </w:t>
      </w:r>
      <w:r>
        <w:rPr>
          <w:color w:val="231F20"/>
          <w:spacing w:val="-2"/>
        </w:rPr>
        <w:t>хотели </w:t>
      </w:r>
      <w:r>
        <w:rPr>
          <w:color w:val="231F20"/>
        </w:rPr>
        <w:t>и ресторани 1,2%, послови са некретнинама 1,3%.</w:t>
      </w:r>
    </w:p>
    <w:p>
      <w:pPr>
        <w:pStyle w:val="BodyText"/>
        <w:spacing w:line="228" w:lineRule="auto" w:before="1"/>
        <w:ind w:left="454" w:firstLine="396"/>
      </w:pPr>
      <w:r>
        <w:rPr>
          <w:color w:val="231F20"/>
        </w:rPr>
        <w:t>На</w:t>
      </w:r>
      <w:r>
        <w:rPr>
          <w:color w:val="231F20"/>
          <w:spacing w:val="-8"/>
        </w:rPr>
        <w:t> </w:t>
      </w:r>
      <w:r>
        <w:rPr>
          <w:color w:val="231F20"/>
        </w:rPr>
        <w:t>подручју</w:t>
      </w:r>
      <w:r>
        <w:rPr>
          <w:color w:val="231F20"/>
          <w:spacing w:val="-8"/>
        </w:rPr>
        <w:t> </w:t>
      </w:r>
      <w:r>
        <w:rPr>
          <w:color w:val="231F20"/>
        </w:rPr>
        <w:t>града</w:t>
      </w:r>
      <w:r>
        <w:rPr>
          <w:color w:val="231F20"/>
          <w:spacing w:val="-8"/>
        </w:rPr>
        <w:t> </w:t>
      </w:r>
      <w:r>
        <w:rPr>
          <w:color w:val="231F20"/>
        </w:rPr>
        <w:t>Пожаревац,</w:t>
      </w:r>
      <w:r>
        <w:rPr>
          <w:color w:val="231F20"/>
          <w:spacing w:val="-8"/>
        </w:rPr>
        <w:t> </w:t>
      </w:r>
      <w:r>
        <w:rPr>
          <w:color w:val="231F20"/>
        </w:rPr>
        <w:t>31.</w:t>
      </w:r>
      <w:r>
        <w:rPr>
          <w:color w:val="231F20"/>
          <w:spacing w:val="-8"/>
        </w:rPr>
        <w:t> </w:t>
      </w:r>
      <w:r>
        <w:rPr>
          <w:color w:val="231F20"/>
        </w:rPr>
        <w:t>децембра</w:t>
      </w:r>
      <w:r>
        <w:rPr>
          <w:color w:val="231F20"/>
          <w:spacing w:val="-8"/>
        </w:rPr>
        <w:t> </w:t>
      </w:r>
      <w:r>
        <w:rPr>
          <w:color w:val="231F20"/>
        </w:rPr>
        <w:t>2008.</w:t>
      </w:r>
      <w:r>
        <w:rPr>
          <w:color w:val="231F20"/>
          <w:spacing w:val="-8"/>
        </w:rPr>
        <w:t> </w:t>
      </w:r>
      <w:r>
        <w:rPr>
          <w:color w:val="231F20"/>
        </w:rPr>
        <w:t>године,</w:t>
      </w:r>
      <w:r>
        <w:rPr>
          <w:color w:val="231F20"/>
          <w:spacing w:val="-8"/>
        </w:rPr>
        <w:t> </w:t>
      </w:r>
      <w:r>
        <w:rPr>
          <w:color w:val="231F20"/>
        </w:rPr>
        <w:t>би- ло је 5.161 незапослених лица или 69 на 1.000 становника, што    је знатно ниже у односу на републички просек (99 незапосле- них/1000 становника). Квалификациона структура незапослених је врло неповољна, </w:t>
      </w:r>
      <w:r>
        <w:rPr>
          <w:color w:val="231F20"/>
          <w:spacing w:val="-3"/>
        </w:rPr>
        <w:t>око </w:t>
      </w:r>
      <w:r>
        <w:rPr>
          <w:color w:val="231F20"/>
        </w:rPr>
        <w:t>46 % лица је без</w:t>
      </w:r>
      <w:r>
        <w:rPr>
          <w:color w:val="231F20"/>
          <w:spacing w:val="-10"/>
        </w:rPr>
        <w:t> </w:t>
      </w:r>
      <w:r>
        <w:rPr>
          <w:color w:val="231F20"/>
        </w:rPr>
        <w:t>квалификација.</w:t>
      </w:r>
    </w:p>
    <w:p>
      <w:pPr>
        <w:pStyle w:val="BodyText"/>
        <w:spacing w:line="228" w:lineRule="auto" w:before="2"/>
        <w:ind w:left="454" w:firstLine="396"/>
      </w:pPr>
      <w:r>
        <w:rPr>
          <w:color w:val="231F20"/>
        </w:rPr>
        <w:t>Просечна нето зарада у јануару 2011. </w:t>
      </w:r>
      <w:r>
        <w:rPr>
          <w:color w:val="231F20"/>
          <w:spacing w:val="-3"/>
        </w:rPr>
        <w:t>године </w:t>
      </w:r>
      <w:r>
        <w:rPr>
          <w:color w:val="231F20"/>
        </w:rPr>
        <w:t>у граду Пожа- ревцу је 143,8% просека Србије, што ово подручје сврстава на 5. место у Републици Србији. </w:t>
      </w:r>
      <w:r>
        <w:rPr>
          <w:color w:val="231F20"/>
          <w:spacing w:val="-3"/>
        </w:rPr>
        <w:t>Градска </w:t>
      </w:r>
      <w:r>
        <w:rPr>
          <w:color w:val="231F20"/>
        </w:rPr>
        <w:t>општина Костолац има</w:t>
      </w:r>
      <w:r>
        <w:rPr>
          <w:color w:val="231F20"/>
          <w:spacing w:val="-26"/>
        </w:rPr>
        <w:t> </w:t>
      </w:r>
      <w:r>
        <w:rPr>
          <w:color w:val="231F20"/>
        </w:rPr>
        <w:t>лидер- ску позицију у Републици Србији јер има највеће нето зараде у земљи (2,17 пута веће </w:t>
      </w:r>
      <w:r>
        <w:rPr>
          <w:color w:val="231F20"/>
          <w:spacing w:val="-3"/>
        </w:rPr>
        <w:t>од </w:t>
      </w:r>
      <w:r>
        <w:rPr>
          <w:color w:val="231F20"/>
        </w:rPr>
        <w:t>просека </w:t>
      </w:r>
      <w:r>
        <w:rPr>
          <w:color w:val="231F20"/>
          <w:spacing w:val="-3"/>
        </w:rPr>
        <w:t>Републике </w:t>
      </w:r>
      <w:r>
        <w:rPr>
          <w:color w:val="231F20"/>
        </w:rPr>
        <w:t>Србије), док град По- жаревац има потпросечне нето личне зараде</w:t>
      </w:r>
      <w:r>
        <w:rPr>
          <w:color w:val="231F20"/>
          <w:spacing w:val="-7"/>
        </w:rPr>
        <w:t> </w:t>
      </w:r>
      <w:r>
        <w:rPr>
          <w:color w:val="231F20"/>
        </w:rPr>
        <w:t>(96,8%)</w:t>
      </w:r>
      <w:r>
        <w:rPr>
          <w:color w:val="231F20"/>
          <w:position w:val="6"/>
          <w:sz w:val="10"/>
        </w:rPr>
        <w:t>4</w:t>
      </w:r>
      <w:r>
        <w:rPr>
          <w:color w:val="231F20"/>
        </w:rPr>
        <w:t>.</w:t>
      </w:r>
    </w:p>
    <w:p>
      <w:pPr>
        <w:pStyle w:val="BodyText"/>
        <w:spacing w:line="228" w:lineRule="auto" w:before="1"/>
        <w:ind w:left="453" w:firstLine="397"/>
      </w:pPr>
      <w:r>
        <w:rPr>
          <w:color w:val="231F20"/>
        </w:rPr>
        <w:t>Привредна структура на подручју града Пожаревац је ре- лативно диверзификована, уз велики значај индустрије, агро- комплекса, трговине, грађевинарства и услуга. У индустријској делатности значајан удео имају капитално-интензивне гране про- изводње угља и електричне енергије, као и прехрамбена инду- стрија. Највећи капацитети у области енергетике су у саставу ПД ТЕ-КО „Костолац” и изграђени су у Костолцу.</w:t>
      </w:r>
    </w:p>
    <w:p>
      <w:pPr>
        <w:pStyle w:val="BodyText"/>
        <w:spacing w:line="228" w:lineRule="auto" w:before="2"/>
        <w:ind w:left="453" w:firstLine="396"/>
      </w:pPr>
      <w:r>
        <w:rPr>
          <w:color w:val="231F20"/>
        </w:rPr>
        <w:t>Eксплоатациjу и прeраду угља на подручjу Басeна обавља ПД ТЕ-КО „Костолац” д.о.о. као jeдно </w:t>
      </w:r>
      <w:r>
        <w:rPr>
          <w:color w:val="231F20"/>
          <w:spacing w:val="-3"/>
        </w:rPr>
        <w:t>од </w:t>
      </w:r>
      <w:r>
        <w:rPr>
          <w:color w:val="231F20"/>
          <w:spacing w:val="-4"/>
        </w:rPr>
        <w:t>11 </w:t>
      </w:r>
      <w:r>
        <w:rPr>
          <w:color w:val="231F20"/>
        </w:rPr>
        <w:t>привредних друшта- ва у саставу JП „Eлeктроприврeда Србиje”. У јуну 2004. </w:t>
      </w:r>
      <w:r>
        <w:rPr>
          <w:color w:val="231F20"/>
          <w:spacing w:val="-3"/>
        </w:rPr>
        <w:t>године, одлуком </w:t>
      </w:r>
      <w:r>
        <w:rPr>
          <w:color w:val="231F20"/>
        </w:rPr>
        <w:t>Владе Србије и </w:t>
      </w:r>
      <w:r>
        <w:rPr>
          <w:color w:val="231F20"/>
          <w:spacing w:val="-3"/>
        </w:rPr>
        <w:t>Управног </w:t>
      </w:r>
      <w:r>
        <w:rPr>
          <w:color w:val="231F20"/>
        </w:rPr>
        <w:t>одбора ЈП „ЕПС”, у оквиру ре- структурирања овог система, из тадашњег састава ЈП „Копова” и ЈП </w:t>
      </w:r>
      <w:r>
        <w:rPr>
          <w:color w:val="231F20"/>
          <w:spacing w:val="-3"/>
        </w:rPr>
        <w:t>„Термоелектрана </w:t>
      </w:r>
      <w:r>
        <w:rPr>
          <w:color w:val="231F20"/>
        </w:rPr>
        <w:t>Костолац” издвојено је пет предузећа услу- жних</w:t>
      </w:r>
      <w:r>
        <w:rPr>
          <w:color w:val="231F20"/>
          <w:spacing w:val="-7"/>
        </w:rPr>
        <w:t> </w:t>
      </w:r>
      <w:r>
        <w:rPr>
          <w:color w:val="231F20"/>
        </w:rPr>
        <w:t>делатности,</w:t>
      </w:r>
      <w:r>
        <w:rPr>
          <w:color w:val="231F20"/>
          <w:spacing w:val="-7"/>
        </w:rPr>
        <w:t> </w:t>
      </w:r>
      <w:r>
        <w:rPr>
          <w:color w:val="231F20"/>
          <w:spacing w:val="-3"/>
        </w:rPr>
        <w:t>која</w:t>
      </w:r>
      <w:r>
        <w:rPr>
          <w:color w:val="231F20"/>
          <w:spacing w:val="-7"/>
        </w:rPr>
        <w:t> </w:t>
      </w:r>
      <w:r>
        <w:rPr>
          <w:color w:val="231F20"/>
        </w:rPr>
        <w:t>су</w:t>
      </w:r>
      <w:r>
        <w:rPr>
          <w:color w:val="231F20"/>
          <w:spacing w:val="-7"/>
        </w:rPr>
        <w:t> </w:t>
      </w:r>
      <w:r>
        <w:rPr>
          <w:color w:val="231F20"/>
        </w:rPr>
        <w:t>ван</w:t>
      </w:r>
      <w:r>
        <w:rPr>
          <w:color w:val="231F20"/>
          <w:spacing w:val="-7"/>
        </w:rPr>
        <w:t> </w:t>
      </w:r>
      <w:r>
        <w:rPr>
          <w:color w:val="231F20"/>
        </w:rPr>
        <w:t>директне</w:t>
      </w:r>
      <w:r>
        <w:rPr>
          <w:color w:val="231F20"/>
          <w:spacing w:val="-7"/>
        </w:rPr>
        <w:t> </w:t>
      </w:r>
      <w:r>
        <w:rPr>
          <w:color w:val="231F20"/>
        </w:rPr>
        <w:t>електропривредне</w:t>
      </w:r>
      <w:r>
        <w:rPr>
          <w:color w:val="231F20"/>
          <w:spacing w:val="-7"/>
        </w:rPr>
        <w:t> </w:t>
      </w:r>
      <w:r>
        <w:rPr>
          <w:color w:val="231F20"/>
        </w:rPr>
        <w:t>делатно- сти: ПД „РИО”, ПД „ПРИМ”, ПД „Георад”, ПД „Аутотранспорт” и ПД „Костолац услуге”. У 2006. години, спајањем дотадашњих ЈП Површински </w:t>
      </w:r>
      <w:r>
        <w:rPr>
          <w:color w:val="231F20"/>
          <w:spacing w:val="-2"/>
        </w:rPr>
        <w:t>копови </w:t>
      </w:r>
      <w:r>
        <w:rPr>
          <w:color w:val="231F20"/>
        </w:rPr>
        <w:t>и Термоелектране Костолац у јединстве- ну </w:t>
      </w:r>
      <w:r>
        <w:rPr>
          <w:color w:val="231F20"/>
          <w:spacing w:val="-4"/>
        </w:rPr>
        <w:t>компанију, </w:t>
      </w:r>
      <w:r>
        <w:rPr>
          <w:color w:val="231F20"/>
        </w:rPr>
        <w:t>формирано је ПД </w:t>
      </w:r>
      <w:r>
        <w:rPr>
          <w:color w:val="231F20"/>
          <w:spacing w:val="-3"/>
        </w:rPr>
        <w:t>„Термоелектране </w:t>
      </w:r>
      <w:r>
        <w:rPr>
          <w:color w:val="231F20"/>
        </w:rPr>
        <w:t>и </w:t>
      </w:r>
      <w:r>
        <w:rPr>
          <w:color w:val="231F20"/>
          <w:spacing w:val="-2"/>
        </w:rPr>
        <w:t>копови </w:t>
      </w:r>
      <w:r>
        <w:rPr>
          <w:color w:val="231F20"/>
        </w:rPr>
        <w:t>Косто- лац” д.о.о. Костолац као део ЈП „ЕПС”, што је и данашњи правни статус.</w:t>
      </w:r>
      <w:r>
        <w:rPr>
          <w:color w:val="231F20"/>
          <w:spacing w:val="-7"/>
        </w:rPr>
        <w:t> </w:t>
      </w:r>
      <w:r>
        <w:rPr>
          <w:color w:val="231F20"/>
        </w:rPr>
        <w:t>У</w:t>
      </w:r>
      <w:r>
        <w:rPr>
          <w:color w:val="231F20"/>
          <w:spacing w:val="-7"/>
        </w:rPr>
        <w:t> </w:t>
      </w:r>
      <w:r>
        <w:rPr>
          <w:color w:val="231F20"/>
        </w:rPr>
        <w:t>организационој</w:t>
      </w:r>
      <w:r>
        <w:rPr>
          <w:color w:val="231F20"/>
          <w:spacing w:val="-7"/>
        </w:rPr>
        <w:t> </w:t>
      </w:r>
      <w:r>
        <w:rPr>
          <w:color w:val="231F20"/>
        </w:rPr>
        <w:t>структури</w:t>
      </w:r>
      <w:r>
        <w:rPr>
          <w:color w:val="231F20"/>
          <w:spacing w:val="-7"/>
        </w:rPr>
        <w:t> </w:t>
      </w:r>
      <w:r>
        <w:rPr>
          <w:color w:val="231F20"/>
        </w:rPr>
        <w:t>ПД</w:t>
      </w:r>
      <w:r>
        <w:rPr>
          <w:color w:val="231F20"/>
          <w:spacing w:val="-7"/>
        </w:rPr>
        <w:t> </w:t>
      </w:r>
      <w:r>
        <w:rPr>
          <w:color w:val="231F20"/>
        </w:rPr>
        <w:t>ТЕ-КО</w:t>
      </w:r>
      <w:r>
        <w:rPr>
          <w:color w:val="231F20"/>
          <w:spacing w:val="-7"/>
        </w:rPr>
        <w:t> </w:t>
      </w:r>
      <w:r>
        <w:rPr>
          <w:color w:val="231F20"/>
        </w:rPr>
        <w:t>„Костолац”</w:t>
      </w:r>
      <w:r>
        <w:rPr>
          <w:color w:val="231F20"/>
          <w:spacing w:val="-7"/>
        </w:rPr>
        <w:t> </w:t>
      </w:r>
      <w:r>
        <w:rPr>
          <w:color w:val="231F20"/>
        </w:rPr>
        <w:t>послу- је пет дирекција: Дирекција за производњу електричне енергије, Дирекција за производњу угља, Дирекција за унапређење произ- водње, Дирекција за </w:t>
      </w:r>
      <w:r>
        <w:rPr>
          <w:color w:val="231F20"/>
          <w:spacing w:val="-3"/>
        </w:rPr>
        <w:t>економске </w:t>
      </w:r>
      <w:r>
        <w:rPr>
          <w:color w:val="231F20"/>
        </w:rPr>
        <w:t>послове и Дирекција за правне и опште послове. ПД ТЕ-КО „Костолац” д.о.о. је 31. децембра 2009. годинe запошљавало 3.414 радника или 17% укупно запослeних на подручју града Пожаревац. У периоду 2000 – 2009.</w:t>
      </w:r>
      <w:r>
        <w:rPr>
          <w:color w:val="231F20"/>
          <w:spacing w:val="10"/>
        </w:rPr>
        <w:t> </w:t>
      </w:r>
      <w:r>
        <w:rPr>
          <w:color w:val="231F20"/>
          <w:spacing w:val="-3"/>
        </w:rPr>
        <w:t>године</w:t>
      </w:r>
    </w:p>
    <w:p>
      <w:pPr>
        <w:spacing w:line="158"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737" w:val="left" w:leader="none"/>
          <w:tab w:pos="738" w:val="left" w:leader="none"/>
        </w:tabs>
        <w:spacing w:line="240" w:lineRule="auto" w:before="0" w:after="0"/>
        <w:ind w:left="737" w:right="0" w:hanging="284"/>
        <w:jc w:val="left"/>
        <w:rPr>
          <w:sz w:val="14"/>
        </w:rPr>
      </w:pPr>
      <w:r>
        <w:rPr>
          <w:color w:val="231F20"/>
          <w:sz w:val="14"/>
        </w:rPr>
        <w:t>Саопштење ЗП14, бр.41 – година LXI, 25.фебруара 2011., СРБ041 ЗП14 250211, Републички завод за статистику, Статистика</w:t>
      </w:r>
      <w:r>
        <w:rPr>
          <w:color w:val="231F20"/>
          <w:spacing w:val="-6"/>
          <w:sz w:val="14"/>
        </w:rPr>
        <w:t> </w:t>
      </w:r>
      <w:r>
        <w:rPr>
          <w:color w:val="231F20"/>
          <w:sz w:val="14"/>
        </w:rPr>
        <w:t>зарада</w:t>
      </w:r>
    </w:p>
    <w:p>
      <w:pPr>
        <w:pStyle w:val="BodyText"/>
        <w:spacing w:line="232" w:lineRule="auto" w:before="73"/>
        <w:ind w:left="241" w:right="128"/>
      </w:pPr>
      <w:r>
        <w:rPr/>
        <w:br w:type="column"/>
      </w:r>
      <w:r>
        <w:rPr>
          <w:color w:val="231F20"/>
        </w:rPr>
        <w:t>производња угља је повећана са 5,3 милиона t на 8,6 милиона t, а откривка са 14,6 милиона t на 34,4 милиона t милиона m³ чврсте масе. </w:t>
      </w:r>
      <w:r>
        <w:rPr>
          <w:color w:val="231F20"/>
          <w:spacing w:val="-5"/>
        </w:rPr>
        <w:t>Угаљ </w:t>
      </w:r>
      <w:r>
        <w:rPr>
          <w:color w:val="231F20"/>
        </w:rPr>
        <w:t>произведен у ПД ТЕ-КО „Костолац” омогућио је да се произведе 5.897 GWh или 14,4% укупне производње електричне енергије у ТЕ „ЕПС”-a у 2009. години. Вађење угља до 2009. го- дине обављало се на три површинска </w:t>
      </w:r>
      <w:r>
        <w:rPr>
          <w:color w:val="231F20"/>
          <w:spacing w:val="-3"/>
        </w:rPr>
        <w:t>копа: </w:t>
      </w:r>
      <w:r>
        <w:rPr>
          <w:color w:val="231F20"/>
        </w:rPr>
        <w:t>„Кленовник”, </w:t>
      </w:r>
      <w:r>
        <w:rPr>
          <w:color w:val="231F20"/>
          <w:spacing w:val="-4"/>
        </w:rPr>
        <w:t>„Ћири- </w:t>
      </w:r>
      <w:r>
        <w:rPr>
          <w:color w:val="231F20"/>
          <w:spacing w:val="-3"/>
        </w:rPr>
        <w:t>ковац” </w:t>
      </w:r>
      <w:r>
        <w:rPr>
          <w:color w:val="231F20"/>
        </w:rPr>
        <w:t>и „Дрмно” (који је данас једини активан коп). Из ранијег састава</w:t>
      </w:r>
      <w:r>
        <w:rPr>
          <w:color w:val="231F20"/>
          <w:spacing w:val="-7"/>
        </w:rPr>
        <w:t> </w:t>
      </w:r>
      <w:r>
        <w:rPr>
          <w:color w:val="231F20"/>
        </w:rPr>
        <w:t>ЈП</w:t>
      </w:r>
      <w:r>
        <w:rPr>
          <w:color w:val="231F20"/>
          <w:spacing w:val="-7"/>
        </w:rPr>
        <w:t> </w:t>
      </w:r>
      <w:r>
        <w:rPr>
          <w:color w:val="231F20"/>
        </w:rPr>
        <w:t>„ЕПС”</w:t>
      </w:r>
      <w:r>
        <w:rPr>
          <w:color w:val="231F20"/>
          <w:spacing w:val="-7"/>
        </w:rPr>
        <w:t> </w:t>
      </w:r>
      <w:r>
        <w:rPr>
          <w:color w:val="231F20"/>
        </w:rPr>
        <w:t>приватизовано</w:t>
      </w:r>
      <w:r>
        <w:rPr>
          <w:color w:val="231F20"/>
          <w:spacing w:val="-7"/>
        </w:rPr>
        <w:t> </w:t>
      </w:r>
      <w:r>
        <w:rPr>
          <w:color w:val="231F20"/>
        </w:rPr>
        <w:t>је</w:t>
      </w:r>
      <w:r>
        <w:rPr>
          <w:color w:val="231F20"/>
          <w:spacing w:val="-7"/>
        </w:rPr>
        <w:t> </w:t>
      </w:r>
      <w:r>
        <w:rPr>
          <w:color w:val="231F20"/>
        </w:rPr>
        <w:t>ПД</w:t>
      </w:r>
      <w:r>
        <w:rPr>
          <w:color w:val="231F20"/>
          <w:spacing w:val="-7"/>
        </w:rPr>
        <w:t> </w:t>
      </w:r>
      <w:r>
        <w:rPr>
          <w:color w:val="231F20"/>
        </w:rPr>
        <w:t>ФИО,</w:t>
      </w:r>
      <w:r>
        <w:rPr>
          <w:color w:val="231F20"/>
          <w:spacing w:val="-7"/>
        </w:rPr>
        <w:t> </w:t>
      </w:r>
      <w:r>
        <w:rPr>
          <w:color w:val="231F20"/>
        </w:rPr>
        <w:t>док</w:t>
      </w:r>
      <w:r>
        <w:rPr>
          <w:color w:val="231F20"/>
          <w:spacing w:val="-7"/>
        </w:rPr>
        <w:t> </w:t>
      </w:r>
      <w:r>
        <w:rPr>
          <w:color w:val="231F20"/>
        </w:rPr>
        <w:t>су</w:t>
      </w:r>
      <w:r>
        <w:rPr>
          <w:color w:val="231F20"/>
          <w:spacing w:val="-7"/>
        </w:rPr>
        <w:t> </w:t>
      </w:r>
      <w:r>
        <w:rPr>
          <w:color w:val="231F20"/>
        </w:rPr>
        <w:t>у</w:t>
      </w:r>
      <w:r>
        <w:rPr>
          <w:color w:val="231F20"/>
          <w:spacing w:val="-7"/>
        </w:rPr>
        <w:t> </w:t>
      </w:r>
      <w:r>
        <w:rPr>
          <w:color w:val="231F20"/>
        </w:rPr>
        <w:t>процесу</w:t>
      </w:r>
      <w:r>
        <w:rPr>
          <w:color w:val="231F20"/>
          <w:spacing w:val="-7"/>
        </w:rPr>
        <w:t> </w:t>
      </w:r>
      <w:r>
        <w:rPr>
          <w:color w:val="231F20"/>
        </w:rPr>
        <w:t>ПД РИО, ПРИМ, Георад, Костолац – услуге,</w:t>
      </w:r>
      <w:r>
        <w:rPr>
          <w:color w:val="231F20"/>
          <w:spacing w:val="11"/>
        </w:rPr>
        <w:t> </w:t>
      </w:r>
      <w:r>
        <w:rPr>
          <w:color w:val="231F20"/>
          <w:spacing w:val="-3"/>
        </w:rPr>
        <w:t>Аутотранспорт.</w:t>
      </w:r>
    </w:p>
    <w:p>
      <w:pPr>
        <w:pStyle w:val="BodyText"/>
        <w:spacing w:before="167"/>
        <w:ind w:left="928"/>
        <w:jc w:val="left"/>
      </w:pPr>
      <w:r>
        <w:rPr>
          <w:color w:val="231F20"/>
        </w:rPr>
        <w:t>Размештај привредно-индустријских капацитета</w:t>
      </w:r>
    </w:p>
    <w:p>
      <w:pPr>
        <w:pStyle w:val="BodyText"/>
        <w:spacing w:before="5"/>
        <w:ind w:left="0"/>
        <w:jc w:val="left"/>
        <w:rPr>
          <w:sz w:val="17"/>
        </w:rPr>
      </w:pPr>
    </w:p>
    <w:p>
      <w:pPr>
        <w:pStyle w:val="BodyText"/>
        <w:spacing w:line="232" w:lineRule="auto"/>
        <w:ind w:left="242" w:right="127" w:firstLine="396"/>
      </w:pPr>
      <w:r>
        <w:rPr>
          <w:color w:val="231F20"/>
        </w:rPr>
        <w:t>На </w:t>
      </w:r>
      <w:r>
        <w:rPr>
          <w:color w:val="231F20"/>
          <w:spacing w:val="-3"/>
        </w:rPr>
        <w:t>Планском </w:t>
      </w:r>
      <w:r>
        <w:rPr>
          <w:color w:val="231F20"/>
          <w:spacing w:val="-4"/>
        </w:rPr>
        <w:t>подручју, </w:t>
      </w:r>
      <w:r>
        <w:rPr>
          <w:color w:val="231F20"/>
        </w:rPr>
        <w:t>постоји релативно сложена просторна структура привредних делатности, посебно рударско-енергетског и индустријског </w:t>
      </w:r>
      <w:r>
        <w:rPr>
          <w:color w:val="231F20"/>
          <w:spacing w:val="-3"/>
        </w:rPr>
        <w:t>комплекса. </w:t>
      </w:r>
      <w:r>
        <w:rPr>
          <w:color w:val="231F20"/>
        </w:rPr>
        <w:t>Производни капацитети су смештени у </w:t>
      </w:r>
      <w:r>
        <w:rPr>
          <w:color w:val="231F20"/>
          <w:spacing w:val="-4"/>
        </w:rPr>
        <w:t>неколико </w:t>
      </w:r>
      <w:r>
        <w:rPr>
          <w:color w:val="231F20"/>
        </w:rPr>
        <w:t>привредно-индустријских, индустријских зона и поје- диначних локалитета. Индустрија са енергетиком користи </w:t>
      </w:r>
      <w:r>
        <w:rPr>
          <w:color w:val="231F20"/>
          <w:spacing w:val="-4"/>
        </w:rPr>
        <w:t>око </w:t>
      </w:r>
      <w:r>
        <w:rPr>
          <w:color w:val="231F20"/>
        </w:rPr>
        <w:t>275 ha (не укључујући </w:t>
      </w:r>
      <w:r>
        <w:rPr>
          <w:color w:val="231F20"/>
          <w:spacing w:val="-3"/>
        </w:rPr>
        <w:t>рударске </w:t>
      </w:r>
      <w:r>
        <w:rPr>
          <w:color w:val="231F20"/>
        </w:rPr>
        <w:t>површине – копове, јаловишта, де- поније). Највећи индустријски локалитети налазе се у Пожарев- цу (215 hа) и Костолцу </w:t>
      </w:r>
      <w:r>
        <w:rPr>
          <w:color w:val="231F20"/>
          <w:spacing w:val="-3"/>
        </w:rPr>
        <w:t>(око </w:t>
      </w:r>
      <w:r>
        <w:rPr>
          <w:color w:val="231F20"/>
        </w:rPr>
        <w:t>45 hа). Рударски и енергетско-инду- стријски </w:t>
      </w:r>
      <w:r>
        <w:rPr>
          <w:color w:val="231F20"/>
          <w:spacing w:val="-3"/>
        </w:rPr>
        <w:t>комплекс </w:t>
      </w:r>
      <w:r>
        <w:rPr>
          <w:color w:val="231F20"/>
        </w:rPr>
        <w:t>је велики корисник простора и </w:t>
      </w:r>
      <w:r>
        <w:rPr>
          <w:color w:val="231F20"/>
          <w:spacing w:val="-3"/>
        </w:rPr>
        <w:t>заузима </w:t>
      </w:r>
      <w:r>
        <w:rPr>
          <w:color w:val="231F20"/>
        </w:rPr>
        <w:t>знатне површине. У просторној структури индустрије на </w:t>
      </w:r>
      <w:r>
        <w:rPr>
          <w:color w:val="231F20"/>
          <w:spacing w:val="-3"/>
        </w:rPr>
        <w:t>Планском </w:t>
      </w:r>
      <w:r>
        <w:rPr>
          <w:color w:val="231F20"/>
        </w:rPr>
        <w:t>под- ручју издвајају се: привредни/индустријски центри Пожаревац и Костолац, сеоска насеља са малим производним погонима (Баре, Братинац, Батовац, Трњане, Касидол, Живица, Мајиловац) и спе- цифични центри у чијим атарима се врши експлоатација нафте и гаса (Сираково, </w:t>
      </w:r>
      <w:r>
        <w:rPr>
          <w:color w:val="231F20"/>
          <w:spacing w:val="-3"/>
        </w:rPr>
        <w:t>Курјаче, </w:t>
      </w:r>
      <w:r>
        <w:rPr>
          <w:color w:val="231F20"/>
        </w:rPr>
        <w:t>Маљуревац, Бубушинац, Брадарац) или геолошка истраживања, водопривредни радови</w:t>
      </w:r>
      <w:r>
        <w:rPr>
          <w:color w:val="231F20"/>
          <w:spacing w:val="-11"/>
        </w:rPr>
        <w:t> </w:t>
      </w:r>
      <w:r>
        <w:rPr>
          <w:color w:val="231F20"/>
        </w:rPr>
        <w:t>(Дрмно).</w:t>
      </w:r>
    </w:p>
    <w:p>
      <w:pPr>
        <w:pStyle w:val="BodyText"/>
        <w:spacing w:line="232" w:lineRule="auto" w:before="5"/>
        <w:ind w:left="242" w:right="127" w:firstLine="397"/>
      </w:pPr>
      <w:r>
        <w:rPr>
          <w:color w:val="231F20"/>
        </w:rPr>
        <w:t>Костолац је значајан монофункционални енергетско-ру- дарско-индустријски центар, са развијеном производњом угља и електричне</w:t>
      </w:r>
      <w:r>
        <w:rPr>
          <w:color w:val="231F20"/>
          <w:spacing w:val="-8"/>
        </w:rPr>
        <w:t> </w:t>
      </w:r>
      <w:r>
        <w:rPr>
          <w:color w:val="231F20"/>
        </w:rPr>
        <w:t>енергије</w:t>
      </w:r>
      <w:r>
        <w:rPr>
          <w:color w:val="231F20"/>
          <w:spacing w:val="-7"/>
        </w:rPr>
        <w:t> </w:t>
      </w:r>
      <w:r>
        <w:rPr>
          <w:color w:val="231F20"/>
        </w:rPr>
        <w:t>(ПД</w:t>
      </w:r>
      <w:r>
        <w:rPr>
          <w:color w:val="231F20"/>
          <w:spacing w:val="-7"/>
        </w:rPr>
        <w:t> </w:t>
      </w:r>
      <w:r>
        <w:rPr>
          <w:color w:val="231F20"/>
        </w:rPr>
        <w:t>ТЕ-КО</w:t>
      </w:r>
      <w:r>
        <w:rPr>
          <w:color w:val="231F20"/>
          <w:spacing w:val="-8"/>
        </w:rPr>
        <w:t> </w:t>
      </w:r>
      <w:r>
        <w:rPr>
          <w:color w:val="231F20"/>
        </w:rPr>
        <w:t>„Костолац”),</w:t>
      </w:r>
      <w:r>
        <w:rPr>
          <w:color w:val="231F20"/>
          <w:spacing w:val="-8"/>
        </w:rPr>
        <w:t> </w:t>
      </w:r>
      <w:r>
        <w:rPr>
          <w:color w:val="231F20"/>
        </w:rPr>
        <w:t>погонима</w:t>
      </w:r>
      <w:r>
        <w:rPr>
          <w:color w:val="231F20"/>
          <w:spacing w:val="-7"/>
        </w:rPr>
        <w:t> </w:t>
      </w:r>
      <w:r>
        <w:rPr>
          <w:color w:val="231F20"/>
        </w:rPr>
        <w:t>металског </w:t>
      </w:r>
      <w:r>
        <w:rPr>
          <w:color w:val="231F20"/>
          <w:spacing w:val="-3"/>
        </w:rPr>
        <w:t>комплекса </w:t>
      </w:r>
      <w:r>
        <w:rPr>
          <w:color w:val="231F20"/>
        </w:rPr>
        <w:t>(ПД за </w:t>
      </w:r>
      <w:r>
        <w:rPr>
          <w:color w:val="231F20"/>
          <w:spacing w:val="-3"/>
        </w:rPr>
        <w:t>производњу, </w:t>
      </w:r>
      <w:r>
        <w:rPr>
          <w:color w:val="231F20"/>
        </w:rPr>
        <w:t>ремонт и монтажу машина и опре- ме „ПРИМ”, ПД РИО – рекултивација и озелењавање, одржавање паркова, ПД ФИО Костолац АД – Фабрика индустријске опреме, делова челичних производа и Друштво за производњу металских производа „Метал Стојић”), рециклаже неметалних отпадака и прераде пластике и текстилне индустрије, уз заостајање других делатности. Енергетско-индустријска зона у </w:t>
      </w:r>
      <w:r>
        <w:rPr>
          <w:color w:val="231F20"/>
          <w:spacing w:val="-4"/>
        </w:rPr>
        <w:t>Костолцу, </w:t>
      </w:r>
      <w:r>
        <w:rPr>
          <w:color w:val="231F20"/>
        </w:rPr>
        <w:t>површине </w:t>
      </w:r>
      <w:r>
        <w:rPr>
          <w:color w:val="231F20"/>
          <w:spacing w:val="-4"/>
        </w:rPr>
        <w:t>око </w:t>
      </w:r>
      <w:r>
        <w:rPr>
          <w:color w:val="231F20"/>
        </w:rPr>
        <w:t>45 hа, има предности за интензивније активирање: повољан положај на међународном пловном путу – </w:t>
      </w:r>
      <w:r>
        <w:rPr>
          <w:color w:val="231F20"/>
          <w:spacing w:val="-4"/>
        </w:rPr>
        <w:t>Дунаву, </w:t>
      </w:r>
      <w:r>
        <w:rPr>
          <w:color w:val="231F20"/>
        </w:rPr>
        <w:t>релативно до- бра инфраструктура и саобраћајна повезаност са Пожаревцом. У граду су лоцирани и „Аутотранспорт” за превоз робе, путника и угља,</w:t>
      </w:r>
      <w:r>
        <w:rPr>
          <w:color w:val="231F20"/>
          <w:spacing w:val="-6"/>
        </w:rPr>
        <w:t> </w:t>
      </w:r>
      <w:r>
        <w:rPr>
          <w:color w:val="231F20"/>
        </w:rPr>
        <w:t>„Стандард”</w:t>
      </w:r>
      <w:r>
        <w:rPr>
          <w:color w:val="231F20"/>
          <w:spacing w:val="-6"/>
        </w:rPr>
        <w:t> </w:t>
      </w:r>
      <w:r>
        <w:rPr>
          <w:color w:val="231F20"/>
        </w:rPr>
        <w:t>трговина</w:t>
      </w:r>
      <w:r>
        <w:rPr>
          <w:color w:val="231F20"/>
          <w:spacing w:val="-6"/>
        </w:rPr>
        <w:t> </w:t>
      </w:r>
      <w:r>
        <w:rPr>
          <w:color w:val="231F20"/>
        </w:rPr>
        <w:t>и</w:t>
      </w:r>
      <w:r>
        <w:rPr>
          <w:color w:val="231F20"/>
          <w:spacing w:val="-6"/>
        </w:rPr>
        <w:t> </w:t>
      </w:r>
      <w:r>
        <w:rPr>
          <w:color w:val="231F20"/>
        </w:rPr>
        <w:t>угоститељство,</w:t>
      </w:r>
      <w:r>
        <w:rPr>
          <w:color w:val="231F20"/>
          <w:spacing w:val="-6"/>
        </w:rPr>
        <w:t> </w:t>
      </w:r>
      <w:r>
        <w:rPr>
          <w:color w:val="231F20"/>
        </w:rPr>
        <w:t>„Костолац</w:t>
      </w:r>
      <w:r>
        <w:rPr>
          <w:color w:val="231F20"/>
          <w:spacing w:val="-6"/>
        </w:rPr>
        <w:t> </w:t>
      </w:r>
      <w:r>
        <w:rPr>
          <w:color w:val="231F20"/>
        </w:rPr>
        <w:t>услуге”</w:t>
      </w:r>
      <w:r>
        <w:rPr>
          <w:color w:val="231F20"/>
          <w:spacing w:val="-6"/>
        </w:rPr>
        <w:t> </w:t>
      </w:r>
      <w:r>
        <w:rPr>
          <w:color w:val="231F20"/>
        </w:rPr>
        <w:t>за одржавање, чишћење и обезбеђивање</w:t>
      </w:r>
      <w:r>
        <w:rPr>
          <w:color w:val="231F20"/>
          <w:spacing w:val="-8"/>
        </w:rPr>
        <w:t> </w:t>
      </w:r>
      <w:r>
        <w:rPr>
          <w:color w:val="231F20"/>
        </w:rPr>
        <w:t>објеката.</w:t>
      </w:r>
    </w:p>
    <w:p>
      <w:pPr>
        <w:pStyle w:val="BodyText"/>
        <w:spacing w:line="232" w:lineRule="auto" w:before="4"/>
        <w:ind w:left="243" w:right="127" w:firstLine="397"/>
      </w:pPr>
      <w:r>
        <w:rPr>
          <w:color w:val="231F20"/>
        </w:rPr>
        <w:t>Пожаревац је полифункционални центар </w:t>
      </w:r>
      <w:r>
        <w:rPr>
          <w:color w:val="231F20"/>
          <w:spacing w:val="-3"/>
        </w:rPr>
        <w:t>који  </w:t>
      </w:r>
      <w:r>
        <w:rPr>
          <w:color w:val="231F20"/>
        </w:rPr>
        <w:t>карактери-  ше релативно добро развијени агрокомплекс, производња гра- ђевинских материјала, експлоатација песка и шљунка, метало- прерађивачка делатност, производња намештаја, конфекције, обуће и друго. Привредни погони највећим делом лоцирани су у индустријскoj зони у </w:t>
      </w:r>
      <w:r>
        <w:rPr>
          <w:color w:val="231F20"/>
          <w:spacing w:val="-3"/>
        </w:rPr>
        <w:t>Пожаревцу, </w:t>
      </w:r>
      <w:r>
        <w:rPr>
          <w:color w:val="231F20"/>
        </w:rPr>
        <w:t>површине </w:t>
      </w:r>
      <w:r>
        <w:rPr>
          <w:color w:val="231F20"/>
          <w:spacing w:val="-4"/>
        </w:rPr>
        <w:t>око </w:t>
      </w:r>
      <w:r>
        <w:rPr>
          <w:color w:val="231F20"/>
        </w:rPr>
        <w:t>215 hа. За инду- стријску делатност користи се </w:t>
      </w:r>
      <w:r>
        <w:rPr>
          <w:color w:val="231F20"/>
          <w:spacing w:val="-4"/>
        </w:rPr>
        <w:t>око </w:t>
      </w:r>
      <w:r>
        <w:rPr>
          <w:color w:val="231F20"/>
        </w:rPr>
        <w:t>125 hа, док простори за склади- шта, стоваришта и друге садржаје захватају </w:t>
      </w:r>
      <w:r>
        <w:rPr>
          <w:color w:val="231F20"/>
          <w:spacing w:val="-4"/>
        </w:rPr>
        <w:t>око </w:t>
      </w:r>
      <w:r>
        <w:rPr>
          <w:color w:val="231F20"/>
        </w:rPr>
        <w:t>90</w:t>
      </w:r>
      <w:r>
        <w:rPr>
          <w:color w:val="231F20"/>
          <w:spacing w:val="-2"/>
        </w:rPr>
        <w:t> </w:t>
      </w:r>
      <w:r>
        <w:rPr>
          <w:color w:val="231F20"/>
        </w:rPr>
        <w:t>hа.</w:t>
      </w:r>
    </w:p>
    <w:p>
      <w:pPr>
        <w:pStyle w:val="ListParagraph"/>
        <w:numPr>
          <w:ilvl w:val="2"/>
          <w:numId w:val="14"/>
        </w:numPr>
        <w:tabs>
          <w:tab w:pos="1480" w:val="left" w:leader="none"/>
        </w:tabs>
        <w:spacing w:line="402" w:lineRule="exact" w:before="14" w:after="0"/>
        <w:ind w:left="640" w:right="127" w:firstLine="389"/>
        <w:jc w:val="left"/>
        <w:rPr>
          <w:sz w:val="18"/>
        </w:rPr>
      </w:pPr>
      <w:r>
        <w:rPr>
          <w:color w:val="231F20"/>
          <w:spacing w:val="17"/>
          <w:sz w:val="18"/>
        </w:rPr>
        <w:t>Пољопривреда </w:t>
      </w:r>
      <w:r>
        <w:rPr>
          <w:color w:val="231F20"/>
          <w:sz w:val="18"/>
        </w:rPr>
        <w:t>и </w:t>
      </w:r>
      <w:r>
        <w:rPr>
          <w:color w:val="231F20"/>
          <w:spacing w:val="13"/>
          <w:sz w:val="18"/>
        </w:rPr>
        <w:t>рура </w:t>
      </w:r>
      <w:r>
        <w:rPr>
          <w:color w:val="231F20"/>
          <w:spacing w:val="12"/>
          <w:sz w:val="18"/>
        </w:rPr>
        <w:t>лни </w:t>
      </w:r>
      <w:r>
        <w:rPr>
          <w:color w:val="231F20"/>
          <w:spacing w:val="15"/>
          <w:sz w:val="18"/>
        </w:rPr>
        <w:t>развој </w:t>
      </w:r>
      <w:r>
        <w:rPr>
          <w:color w:val="231F20"/>
          <w:sz w:val="18"/>
        </w:rPr>
        <w:t>Експлоатација</w:t>
      </w:r>
      <w:r>
        <w:rPr>
          <w:color w:val="231F20"/>
          <w:spacing w:val="21"/>
          <w:sz w:val="18"/>
        </w:rPr>
        <w:t> </w:t>
      </w:r>
      <w:r>
        <w:rPr>
          <w:color w:val="231F20"/>
          <w:sz w:val="18"/>
        </w:rPr>
        <w:t>и</w:t>
      </w:r>
      <w:r>
        <w:rPr>
          <w:color w:val="231F20"/>
          <w:spacing w:val="21"/>
          <w:sz w:val="18"/>
        </w:rPr>
        <w:t> </w:t>
      </w:r>
      <w:r>
        <w:rPr>
          <w:color w:val="231F20"/>
          <w:sz w:val="18"/>
        </w:rPr>
        <w:t>прерада</w:t>
      </w:r>
      <w:r>
        <w:rPr>
          <w:color w:val="231F20"/>
          <w:spacing w:val="21"/>
          <w:sz w:val="18"/>
        </w:rPr>
        <w:t> </w:t>
      </w:r>
      <w:r>
        <w:rPr>
          <w:color w:val="231F20"/>
          <w:sz w:val="18"/>
        </w:rPr>
        <w:t>минералних</w:t>
      </w:r>
      <w:r>
        <w:rPr>
          <w:color w:val="231F20"/>
          <w:spacing w:val="21"/>
          <w:sz w:val="18"/>
        </w:rPr>
        <w:t> </w:t>
      </w:r>
      <w:r>
        <w:rPr>
          <w:color w:val="231F20"/>
          <w:sz w:val="18"/>
        </w:rPr>
        <w:t>сировина</w:t>
      </w:r>
      <w:r>
        <w:rPr>
          <w:color w:val="231F20"/>
          <w:spacing w:val="21"/>
          <w:sz w:val="18"/>
        </w:rPr>
        <w:t> </w:t>
      </w:r>
      <w:r>
        <w:rPr>
          <w:color w:val="231F20"/>
          <w:spacing w:val="-3"/>
          <w:sz w:val="18"/>
        </w:rPr>
        <w:t>суочава</w:t>
      </w:r>
      <w:r>
        <w:rPr>
          <w:color w:val="231F20"/>
          <w:spacing w:val="21"/>
          <w:sz w:val="18"/>
        </w:rPr>
        <w:t> </w:t>
      </w:r>
      <w:r>
        <w:rPr>
          <w:color w:val="231F20"/>
          <w:sz w:val="18"/>
        </w:rPr>
        <w:t>по-</w:t>
      </w:r>
    </w:p>
    <w:p>
      <w:pPr>
        <w:pStyle w:val="BodyText"/>
        <w:spacing w:line="157" w:lineRule="exact"/>
        <w:ind w:left="243"/>
        <w:jc w:val="left"/>
      </w:pPr>
      <w:r>
        <w:rPr>
          <w:color w:val="231F20"/>
        </w:rPr>
        <w:t>љопривредни и рурални развој с бројним изазовима у остварива-</w:t>
      </w:r>
    </w:p>
    <w:p>
      <w:pPr>
        <w:pStyle w:val="BodyText"/>
        <w:spacing w:line="232" w:lineRule="auto" w:before="2"/>
        <w:ind w:left="243" w:right="127"/>
      </w:pPr>
      <w:r>
        <w:rPr>
          <w:color w:val="231F20"/>
        </w:rPr>
        <w:t>њу фундаменталног захтева за очувањем проиводно-економских, екосистемских, социокултурних и других важних функција пољо- привредног земљишта, које заузима око 72,5% (394 km²) укупне површине Планског подручја (543,5 km²), простирући се прете- жним делом равничарским и заравњеним теренима, изванредног педолошког састава (чернозем, гајњача и друга хумусна земљи- шта). Изванредно је погодно за вођење интензивне, разноврсне и високопродуктивне пољопривредне производње, без угрожавања животне средине прекомерном применом агрохемикалија.</w:t>
      </w:r>
    </w:p>
    <w:p>
      <w:pPr>
        <w:pStyle w:val="BodyText"/>
        <w:spacing w:line="232" w:lineRule="auto" w:before="3"/>
        <w:ind w:left="243" w:right="127" w:firstLine="397"/>
      </w:pPr>
      <w:r>
        <w:rPr>
          <w:color w:val="231F20"/>
        </w:rPr>
        <w:t>У складу с природним условима, оранице чине у просеку 87,1 %, воћњаци 5,1 %, виногради 2,2 %, ливаде 3,4 % и пашњаци 2,2 % од укупних пољопривредних површина, које се доминант- ним делом (83,1 %) налазе у приватном власништву породичних газдинстава. У тим оквирима се између појединих атара јављају знатне разлике, условљене просторном хетерогеношћу педоло- шких, хидролошких, рељефних, еколошких и инфраструктурних услова. Међутим, битније разлике у социоекономским условима</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right="38"/>
      </w:pPr>
      <w:r>
        <w:rPr/>
        <w:pict>
          <v:line style="position:absolute;mso-position-horizontal-relative:page;mso-position-vertical-relative:page;z-index:1312" from="304.724396pt,11.94295pt" to="304.724396pt,748.95095pt" stroked="true" strokeweight=".6pt" strokecolor="#231f20">
            <v:stroke dashstyle="solid"/>
            <w10:wrap type="none"/>
          </v:line>
        </w:pict>
      </w:r>
      <w:r>
        <w:rPr>
          <w:color w:val="231F20"/>
        </w:rPr>
        <w:t>развоја пољопривреде јављају се само између урбано-индустриј- ских</w:t>
      </w:r>
      <w:r>
        <w:rPr>
          <w:color w:val="231F20"/>
          <w:spacing w:val="-6"/>
        </w:rPr>
        <w:t> </w:t>
      </w:r>
      <w:r>
        <w:rPr>
          <w:color w:val="231F20"/>
        </w:rPr>
        <w:t>и</w:t>
      </w:r>
      <w:r>
        <w:rPr>
          <w:color w:val="231F20"/>
          <w:spacing w:val="-6"/>
        </w:rPr>
        <w:t> </w:t>
      </w:r>
      <w:r>
        <w:rPr>
          <w:color w:val="231F20"/>
        </w:rPr>
        <w:t>руралних</w:t>
      </w:r>
      <w:r>
        <w:rPr>
          <w:color w:val="231F20"/>
          <w:spacing w:val="-6"/>
        </w:rPr>
        <w:t> </w:t>
      </w:r>
      <w:r>
        <w:rPr>
          <w:color w:val="231F20"/>
        </w:rPr>
        <w:t>делова</w:t>
      </w:r>
      <w:r>
        <w:rPr>
          <w:color w:val="231F20"/>
          <w:spacing w:val="-6"/>
        </w:rPr>
        <w:t> </w:t>
      </w:r>
      <w:r>
        <w:rPr>
          <w:color w:val="231F20"/>
        </w:rPr>
        <w:t>територије.</w:t>
      </w:r>
      <w:r>
        <w:rPr>
          <w:color w:val="231F20"/>
          <w:spacing w:val="-6"/>
        </w:rPr>
        <w:t> </w:t>
      </w:r>
      <w:r>
        <w:rPr>
          <w:color w:val="231F20"/>
        </w:rPr>
        <w:t>Зато</w:t>
      </w:r>
      <w:r>
        <w:rPr>
          <w:color w:val="231F20"/>
          <w:spacing w:val="-6"/>
        </w:rPr>
        <w:t> </w:t>
      </w:r>
      <w:r>
        <w:rPr>
          <w:color w:val="231F20"/>
        </w:rPr>
        <w:t>је</w:t>
      </w:r>
      <w:r>
        <w:rPr>
          <w:color w:val="231F20"/>
          <w:spacing w:val="-6"/>
        </w:rPr>
        <w:t> </w:t>
      </w:r>
      <w:r>
        <w:rPr>
          <w:color w:val="231F20"/>
        </w:rPr>
        <w:t>потребна</w:t>
      </w:r>
      <w:r>
        <w:rPr>
          <w:color w:val="231F20"/>
          <w:spacing w:val="-6"/>
        </w:rPr>
        <w:t> </w:t>
      </w:r>
      <w:r>
        <w:rPr>
          <w:color w:val="231F20"/>
        </w:rPr>
        <w:t>разрада</w:t>
      </w:r>
      <w:r>
        <w:rPr>
          <w:color w:val="231F20"/>
          <w:spacing w:val="-6"/>
        </w:rPr>
        <w:t> </w:t>
      </w:r>
      <w:r>
        <w:rPr>
          <w:color w:val="231F20"/>
        </w:rPr>
        <w:t>цело- витог програма реструктизације и модернизације пољопривредне производње, у чији састав </w:t>
      </w:r>
      <w:r>
        <w:rPr>
          <w:color w:val="231F20"/>
          <w:spacing w:val="-2"/>
        </w:rPr>
        <w:t>улазе, </w:t>
      </w:r>
      <w:r>
        <w:rPr>
          <w:color w:val="231F20"/>
          <w:spacing w:val="-4"/>
        </w:rPr>
        <w:t>како </w:t>
      </w:r>
      <w:r>
        <w:rPr>
          <w:color w:val="231F20"/>
        </w:rPr>
        <w:t>пројекти рекултивације и ревитализације депонија јаловине и пепела, </w:t>
      </w:r>
      <w:r>
        <w:rPr>
          <w:color w:val="231F20"/>
          <w:spacing w:val="-3"/>
        </w:rPr>
        <w:t>тако </w:t>
      </w:r>
      <w:r>
        <w:rPr>
          <w:color w:val="231F20"/>
        </w:rPr>
        <w:t>и пројекти </w:t>
      </w:r>
      <w:r>
        <w:rPr>
          <w:color w:val="231F20"/>
          <w:spacing w:val="-4"/>
        </w:rPr>
        <w:t>ком- </w:t>
      </w:r>
      <w:r>
        <w:rPr>
          <w:color w:val="231F20"/>
        </w:rPr>
        <w:t>плексног уређења руралног простора на нивоу насеља са атаром, укључујући предлагане развојних приоритета по водећим</w:t>
      </w:r>
      <w:r>
        <w:rPr>
          <w:color w:val="231F20"/>
          <w:spacing w:val="-21"/>
        </w:rPr>
        <w:t> </w:t>
      </w:r>
      <w:r>
        <w:rPr>
          <w:color w:val="231F20"/>
        </w:rPr>
        <w:t>гранама тржишне пољопривредне производње и непољопривредним де- латностима, према моделу интегралног руралног</w:t>
      </w:r>
      <w:r>
        <w:rPr>
          <w:color w:val="231F20"/>
          <w:spacing w:val="-11"/>
        </w:rPr>
        <w:t> </w:t>
      </w:r>
      <w:r>
        <w:rPr>
          <w:color w:val="231F20"/>
        </w:rPr>
        <w:t>развоја.</w:t>
      </w:r>
    </w:p>
    <w:p>
      <w:pPr>
        <w:pStyle w:val="BodyText"/>
        <w:spacing w:before="6"/>
        <w:ind w:left="169" w:right="39" w:firstLine="397"/>
      </w:pPr>
      <w:r>
        <w:rPr>
          <w:color w:val="231F20"/>
          <w:spacing w:val="-3"/>
        </w:rPr>
        <w:t>Под </w:t>
      </w:r>
      <w:r>
        <w:rPr>
          <w:color w:val="231F20"/>
        </w:rPr>
        <w:t>условом поштовања правила и норми заштите животне средине у развоју </w:t>
      </w:r>
      <w:r>
        <w:rPr>
          <w:color w:val="231F20"/>
          <w:spacing w:val="-3"/>
        </w:rPr>
        <w:t>рударства </w:t>
      </w:r>
      <w:r>
        <w:rPr>
          <w:color w:val="231F20"/>
        </w:rPr>
        <w:t>и енергетике, Планско подручје има велике резерве за повећање доприноса пољопривреде укупном </w:t>
      </w:r>
      <w:r>
        <w:rPr>
          <w:color w:val="231F20"/>
          <w:spacing w:val="-3"/>
        </w:rPr>
        <w:t>економском развоју, </w:t>
      </w:r>
      <w:r>
        <w:rPr>
          <w:color w:val="231F20"/>
        </w:rPr>
        <w:t>посебно прехрамбеној сигурности на локал- ном и националном </w:t>
      </w:r>
      <w:r>
        <w:rPr>
          <w:color w:val="231F20"/>
          <w:spacing w:val="-5"/>
        </w:rPr>
        <w:t>нивоу, </w:t>
      </w:r>
      <w:r>
        <w:rPr>
          <w:color w:val="231F20"/>
        </w:rPr>
        <w:t>као и заштити животне средине, очу- вању биодиверзитета, аутентичног лика предела и културно-исто- ријског наслеђа, а тиме и јачању потенцијала за развој туризма    и других комлементарних активности на </w:t>
      </w:r>
      <w:r>
        <w:rPr>
          <w:color w:val="231F20"/>
          <w:spacing w:val="-4"/>
        </w:rPr>
        <w:t>селу. </w:t>
      </w:r>
      <w:r>
        <w:rPr>
          <w:color w:val="231F20"/>
        </w:rPr>
        <w:t>Реалне </w:t>
      </w:r>
      <w:r>
        <w:rPr>
          <w:color w:val="231F20"/>
          <w:spacing w:val="-3"/>
        </w:rPr>
        <w:t>изгледе </w:t>
      </w:r>
      <w:r>
        <w:rPr>
          <w:color w:val="231F20"/>
        </w:rPr>
        <w:t>за остваривање напретка у тој области пружа концепт одрживог по- љопривредног и руралног развоја, </w:t>
      </w:r>
      <w:r>
        <w:rPr>
          <w:color w:val="231F20"/>
          <w:spacing w:val="-3"/>
        </w:rPr>
        <w:t>који </w:t>
      </w:r>
      <w:r>
        <w:rPr>
          <w:color w:val="231F20"/>
        </w:rPr>
        <w:t>подразумева међусобно усклађивање активности усмерених на три основна</w:t>
      </w:r>
      <w:r>
        <w:rPr>
          <w:color w:val="231F20"/>
          <w:spacing w:val="-11"/>
        </w:rPr>
        <w:t> </w:t>
      </w:r>
      <w:r>
        <w:rPr>
          <w:color w:val="231F20"/>
        </w:rPr>
        <w:t>подручја:</w:t>
      </w:r>
    </w:p>
    <w:p>
      <w:pPr>
        <w:pStyle w:val="ListParagraph"/>
        <w:numPr>
          <w:ilvl w:val="0"/>
          <w:numId w:val="15"/>
        </w:numPr>
        <w:tabs>
          <w:tab w:pos="773" w:val="left" w:leader="none"/>
        </w:tabs>
        <w:spacing w:line="240" w:lineRule="auto" w:before="5" w:after="0"/>
        <w:ind w:left="169" w:right="39" w:firstLine="397"/>
        <w:jc w:val="both"/>
        <w:rPr>
          <w:sz w:val="18"/>
        </w:rPr>
      </w:pPr>
      <w:r>
        <w:rPr>
          <w:color w:val="231F20"/>
          <w:spacing w:val="-3"/>
          <w:sz w:val="18"/>
        </w:rPr>
        <w:t>економско </w:t>
      </w:r>
      <w:r>
        <w:rPr>
          <w:color w:val="231F20"/>
          <w:sz w:val="18"/>
        </w:rPr>
        <w:t>– реструктурирање аграрног сектора ради по- стизања конкурентне пољопривредне</w:t>
      </w:r>
      <w:r>
        <w:rPr>
          <w:color w:val="231F20"/>
          <w:spacing w:val="-8"/>
          <w:sz w:val="18"/>
        </w:rPr>
        <w:t> </w:t>
      </w:r>
      <w:r>
        <w:rPr>
          <w:color w:val="231F20"/>
          <w:sz w:val="18"/>
        </w:rPr>
        <w:t>производње;</w:t>
      </w:r>
    </w:p>
    <w:p>
      <w:pPr>
        <w:pStyle w:val="ListParagraph"/>
        <w:numPr>
          <w:ilvl w:val="0"/>
          <w:numId w:val="15"/>
        </w:numPr>
        <w:tabs>
          <w:tab w:pos="776" w:val="left" w:leader="none"/>
        </w:tabs>
        <w:spacing w:line="240" w:lineRule="auto" w:before="0" w:after="0"/>
        <w:ind w:left="169" w:right="39" w:firstLine="397"/>
        <w:jc w:val="both"/>
        <w:rPr>
          <w:sz w:val="18"/>
        </w:rPr>
      </w:pPr>
      <w:r>
        <w:rPr>
          <w:color w:val="231F20"/>
          <w:sz w:val="18"/>
        </w:rPr>
        <w:t>социјално – побољшање квалитета живљења на </w:t>
      </w:r>
      <w:r>
        <w:rPr>
          <w:color w:val="231F20"/>
          <w:spacing w:val="-4"/>
          <w:sz w:val="18"/>
        </w:rPr>
        <w:t>селу, </w:t>
      </w:r>
      <w:r>
        <w:rPr>
          <w:color w:val="231F20"/>
          <w:sz w:val="18"/>
        </w:rPr>
        <w:t>са ослонцем на повећање запослености на локалном нивоу кроз ди- версификовање руралне економије</w:t>
      </w:r>
      <w:r>
        <w:rPr>
          <w:color w:val="231F20"/>
          <w:spacing w:val="-5"/>
          <w:sz w:val="18"/>
        </w:rPr>
        <w:t> </w:t>
      </w:r>
      <w:r>
        <w:rPr>
          <w:color w:val="231F20"/>
          <w:sz w:val="18"/>
        </w:rPr>
        <w:t>и</w:t>
      </w:r>
    </w:p>
    <w:p>
      <w:pPr>
        <w:pStyle w:val="ListParagraph"/>
        <w:numPr>
          <w:ilvl w:val="0"/>
          <w:numId w:val="15"/>
        </w:numPr>
        <w:tabs>
          <w:tab w:pos="769" w:val="left" w:leader="none"/>
        </w:tabs>
        <w:spacing w:line="240" w:lineRule="auto" w:before="1" w:after="0"/>
        <w:ind w:left="169" w:right="39" w:firstLine="397"/>
        <w:jc w:val="both"/>
        <w:rPr>
          <w:sz w:val="18"/>
        </w:rPr>
      </w:pPr>
      <w:r>
        <w:rPr>
          <w:color w:val="231F20"/>
          <w:spacing w:val="-4"/>
          <w:sz w:val="18"/>
        </w:rPr>
        <w:t>еколошко </w:t>
      </w:r>
      <w:r>
        <w:rPr>
          <w:color w:val="231F20"/>
          <w:sz w:val="18"/>
        </w:rPr>
        <w:t>– унапређење стања животне средине и рурал- них предела, успостављањем еколошки повољнијих односа из- међу пољопривредних и шумских површина, </w:t>
      </w:r>
      <w:r>
        <w:rPr>
          <w:color w:val="231F20"/>
          <w:spacing w:val="-3"/>
          <w:sz w:val="18"/>
        </w:rPr>
        <w:t>подршком </w:t>
      </w:r>
      <w:r>
        <w:rPr>
          <w:color w:val="231F20"/>
          <w:sz w:val="18"/>
        </w:rPr>
        <w:t>развоју мултифункционалне пољопривреде и другим мерама управљања земљиштем.</w:t>
      </w:r>
    </w:p>
    <w:p>
      <w:pPr>
        <w:pStyle w:val="BodyText"/>
        <w:spacing w:before="2"/>
        <w:ind w:left="168" w:right="38" w:firstLine="397"/>
      </w:pPr>
      <w:r>
        <w:rPr>
          <w:color w:val="231F20"/>
        </w:rPr>
        <w:t>Изузев терена на </w:t>
      </w:r>
      <w:r>
        <w:rPr>
          <w:color w:val="231F20"/>
          <w:spacing w:val="-3"/>
        </w:rPr>
        <w:t>којима </w:t>
      </w:r>
      <w:r>
        <w:rPr>
          <w:color w:val="231F20"/>
        </w:rPr>
        <w:t>развој </w:t>
      </w:r>
      <w:r>
        <w:rPr>
          <w:color w:val="231F20"/>
          <w:spacing w:val="-3"/>
        </w:rPr>
        <w:t>рударства </w:t>
      </w:r>
      <w:r>
        <w:rPr>
          <w:color w:val="231F20"/>
        </w:rPr>
        <w:t>доводи до привре- меног заузимања земљишта и директног уништавања станишта биљног и животињског света, основна ограничења за усмерава- ње пољопривреде и села Планског подручја на путању одрживог развоја су социоекономске природе. Динамични процеси дезагра- ризације становништва нису у </w:t>
      </w:r>
      <w:r>
        <w:rPr>
          <w:color w:val="231F20"/>
          <w:spacing w:val="-3"/>
        </w:rPr>
        <w:t>претходном </w:t>
      </w:r>
      <w:r>
        <w:rPr>
          <w:color w:val="231F20"/>
        </w:rPr>
        <w:t>периоду искоришћени за побољшање аграрне структуре породичних газдинстава, </w:t>
      </w:r>
      <w:r>
        <w:rPr>
          <w:color w:val="231F20"/>
          <w:spacing w:val="-3"/>
        </w:rPr>
        <w:t>која </w:t>
      </w:r>
      <w:r>
        <w:rPr>
          <w:color w:val="231F20"/>
        </w:rPr>
        <w:t>данас, генерално, нису у стању да обезбеде својим власницима нужни минимум новчаних </w:t>
      </w:r>
      <w:r>
        <w:rPr>
          <w:color w:val="231F20"/>
          <w:spacing w:val="-3"/>
        </w:rPr>
        <w:t>прихода </w:t>
      </w:r>
      <w:r>
        <w:rPr>
          <w:color w:val="231F20"/>
        </w:rPr>
        <w:t>за подмиривање егзистен- цијалних потреба, а још мање средства за инвестирање у развој, укрупњавање и модернизацију пољопривредне производње. Пре- тежан део активних пољопривредника је поодмаклих </w:t>
      </w:r>
      <w:r>
        <w:rPr>
          <w:color w:val="231F20"/>
          <w:spacing w:val="-3"/>
        </w:rPr>
        <w:t>година </w:t>
      </w:r>
      <w:r>
        <w:rPr>
          <w:color w:val="231F20"/>
        </w:rPr>
        <w:t>ста- рости</w:t>
      </w:r>
      <w:r>
        <w:rPr>
          <w:color w:val="231F20"/>
          <w:spacing w:val="-12"/>
        </w:rPr>
        <w:t> </w:t>
      </w:r>
      <w:r>
        <w:rPr>
          <w:color w:val="231F20"/>
        </w:rPr>
        <w:t>и</w:t>
      </w:r>
      <w:r>
        <w:rPr>
          <w:color w:val="231F20"/>
          <w:spacing w:val="-12"/>
        </w:rPr>
        <w:t> </w:t>
      </w:r>
      <w:r>
        <w:rPr>
          <w:color w:val="231F20"/>
        </w:rPr>
        <w:t>има</w:t>
      </w:r>
      <w:r>
        <w:rPr>
          <w:color w:val="231F20"/>
          <w:spacing w:val="-12"/>
        </w:rPr>
        <w:t> </w:t>
      </w:r>
      <w:r>
        <w:rPr>
          <w:color w:val="231F20"/>
        </w:rPr>
        <w:t>низак</w:t>
      </w:r>
      <w:r>
        <w:rPr>
          <w:color w:val="231F20"/>
          <w:spacing w:val="-12"/>
        </w:rPr>
        <w:t> </w:t>
      </w:r>
      <w:r>
        <w:rPr>
          <w:color w:val="231F20"/>
        </w:rPr>
        <w:t>нивo</w:t>
      </w:r>
      <w:r>
        <w:rPr>
          <w:color w:val="231F20"/>
          <w:spacing w:val="-12"/>
        </w:rPr>
        <w:t> </w:t>
      </w:r>
      <w:r>
        <w:rPr>
          <w:color w:val="231F20"/>
        </w:rPr>
        <w:t>oпштeг</w:t>
      </w:r>
      <w:r>
        <w:rPr>
          <w:color w:val="231F20"/>
          <w:spacing w:val="-12"/>
        </w:rPr>
        <w:t> </w:t>
      </w:r>
      <w:r>
        <w:rPr>
          <w:color w:val="231F20"/>
        </w:rPr>
        <w:t>и</w:t>
      </w:r>
      <w:r>
        <w:rPr>
          <w:color w:val="231F20"/>
          <w:spacing w:val="-12"/>
        </w:rPr>
        <w:t> </w:t>
      </w:r>
      <w:r>
        <w:rPr>
          <w:color w:val="231F20"/>
        </w:rPr>
        <w:t>стручнoг</w:t>
      </w:r>
      <w:r>
        <w:rPr>
          <w:color w:val="231F20"/>
          <w:spacing w:val="-12"/>
        </w:rPr>
        <w:t> </w:t>
      </w:r>
      <w:r>
        <w:rPr>
          <w:color w:val="231F20"/>
        </w:rPr>
        <w:t>oбрaзoвaњa.</w:t>
      </w:r>
      <w:r>
        <w:rPr>
          <w:color w:val="231F20"/>
          <w:spacing w:val="-12"/>
        </w:rPr>
        <w:t> </w:t>
      </w:r>
      <w:r>
        <w:rPr>
          <w:color w:val="231F20"/>
        </w:rPr>
        <w:t>Тракторски парк</w:t>
      </w:r>
      <w:r>
        <w:rPr>
          <w:color w:val="231F20"/>
          <w:spacing w:val="-8"/>
        </w:rPr>
        <w:t> </w:t>
      </w:r>
      <w:r>
        <w:rPr>
          <w:color w:val="231F20"/>
        </w:rPr>
        <w:t>је</w:t>
      </w:r>
      <w:r>
        <w:rPr>
          <w:color w:val="231F20"/>
          <w:spacing w:val="-8"/>
        </w:rPr>
        <w:t> </w:t>
      </w:r>
      <w:r>
        <w:rPr>
          <w:color w:val="231F20"/>
        </w:rPr>
        <w:t>амортизован.</w:t>
      </w:r>
      <w:r>
        <w:rPr>
          <w:color w:val="231F20"/>
          <w:spacing w:val="-8"/>
        </w:rPr>
        <w:t> </w:t>
      </w:r>
      <w:r>
        <w:rPr>
          <w:color w:val="231F20"/>
        </w:rPr>
        <w:t>Недостаје</w:t>
      </w:r>
      <w:r>
        <w:rPr>
          <w:color w:val="231F20"/>
          <w:spacing w:val="-8"/>
        </w:rPr>
        <w:t> </w:t>
      </w:r>
      <w:r>
        <w:rPr>
          <w:color w:val="231F20"/>
        </w:rPr>
        <w:t>савремена</w:t>
      </w:r>
      <w:r>
        <w:rPr>
          <w:color w:val="231F20"/>
          <w:spacing w:val="-8"/>
        </w:rPr>
        <w:t> </w:t>
      </w:r>
      <w:r>
        <w:rPr>
          <w:color w:val="231F20"/>
        </w:rPr>
        <w:t>опрема</w:t>
      </w:r>
      <w:r>
        <w:rPr>
          <w:color w:val="231F20"/>
          <w:spacing w:val="-8"/>
        </w:rPr>
        <w:t> </w:t>
      </w:r>
      <w:r>
        <w:rPr>
          <w:color w:val="231F20"/>
        </w:rPr>
        <w:t>за</w:t>
      </w:r>
      <w:r>
        <w:rPr>
          <w:color w:val="231F20"/>
          <w:spacing w:val="-8"/>
        </w:rPr>
        <w:t> </w:t>
      </w:r>
      <w:r>
        <w:rPr>
          <w:color w:val="231F20"/>
        </w:rPr>
        <w:t>наводњавање, квалитетну обраду земљишта, негу и eксплoaтaциjу воћњака и винограда, складиштење пољопривредних производа, хигиjeнско уређење стајског смештаја, дворишта и слично. Негативна иску- ства из прошлости, недовољна информисаност и неповерење у институције</w:t>
      </w:r>
      <w:r>
        <w:rPr>
          <w:color w:val="231F20"/>
          <w:spacing w:val="-11"/>
        </w:rPr>
        <w:t> </w:t>
      </w:r>
      <w:r>
        <w:rPr>
          <w:color w:val="231F20"/>
        </w:rPr>
        <w:t>демократског</w:t>
      </w:r>
      <w:r>
        <w:rPr>
          <w:color w:val="231F20"/>
          <w:spacing w:val="-11"/>
        </w:rPr>
        <w:t> </w:t>
      </w:r>
      <w:r>
        <w:rPr>
          <w:color w:val="231F20"/>
        </w:rPr>
        <w:t>система</w:t>
      </w:r>
      <w:r>
        <w:rPr>
          <w:color w:val="231F20"/>
          <w:spacing w:val="-11"/>
        </w:rPr>
        <w:t> </w:t>
      </w:r>
      <w:r>
        <w:rPr>
          <w:color w:val="231F20"/>
        </w:rPr>
        <w:t>демотивишу</w:t>
      </w:r>
      <w:r>
        <w:rPr>
          <w:color w:val="231F20"/>
          <w:spacing w:val="-11"/>
        </w:rPr>
        <w:t> </w:t>
      </w:r>
      <w:r>
        <w:rPr>
          <w:color w:val="231F20"/>
        </w:rPr>
        <w:t>пољопривреднике за активирање на пословном повезивању међусобно и са сфером промета и прераде пољопривредно-прехрамбених производа. </w:t>
      </w:r>
      <w:r>
        <w:rPr>
          <w:color w:val="231F20"/>
          <w:spacing w:val="-5"/>
        </w:rPr>
        <w:t>То- </w:t>
      </w:r>
      <w:r>
        <w:rPr>
          <w:color w:val="231F20"/>
        </w:rPr>
        <w:t>ме доприносе и фактори макроекономске и институционалне при- роде, посебно: опште </w:t>
      </w:r>
      <w:r>
        <w:rPr>
          <w:color w:val="231F20"/>
          <w:spacing w:val="-3"/>
        </w:rPr>
        <w:t>економске </w:t>
      </w:r>
      <w:r>
        <w:rPr>
          <w:color w:val="231F20"/>
        </w:rPr>
        <w:t>тешкоће и неизвесности, </w:t>
      </w:r>
      <w:r>
        <w:rPr>
          <w:color w:val="231F20"/>
          <w:spacing w:val="-3"/>
        </w:rPr>
        <w:t>које </w:t>
      </w:r>
      <w:r>
        <w:rPr>
          <w:color w:val="231F20"/>
        </w:rPr>
        <w:t>мо- гу</w:t>
      </w:r>
      <w:r>
        <w:rPr>
          <w:color w:val="231F20"/>
          <w:spacing w:val="-6"/>
        </w:rPr>
        <w:t> </w:t>
      </w:r>
      <w:r>
        <w:rPr>
          <w:color w:val="231F20"/>
        </w:rPr>
        <w:t>да</w:t>
      </w:r>
      <w:r>
        <w:rPr>
          <w:color w:val="231F20"/>
          <w:spacing w:val="-6"/>
        </w:rPr>
        <w:t> </w:t>
      </w:r>
      <w:r>
        <w:rPr>
          <w:color w:val="231F20"/>
        </w:rPr>
        <w:t>успоре</w:t>
      </w:r>
      <w:r>
        <w:rPr>
          <w:color w:val="231F20"/>
          <w:spacing w:val="-6"/>
        </w:rPr>
        <w:t> </w:t>
      </w:r>
      <w:r>
        <w:rPr>
          <w:color w:val="231F20"/>
        </w:rPr>
        <w:t>увођење</w:t>
      </w:r>
      <w:r>
        <w:rPr>
          <w:color w:val="231F20"/>
          <w:spacing w:val="-6"/>
        </w:rPr>
        <w:t> </w:t>
      </w:r>
      <w:r>
        <w:rPr>
          <w:color w:val="231F20"/>
        </w:rPr>
        <w:t>еколошки</w:t>
      </w:r>
      <w:r>
        <w:rPr>
          <w:color w:val="231F20"/>
          <w:spacing w:val="-6"/>
        </w:rPr>
        <w:t> </w:t>
      </w:r>
      <w:r>
        <w:rPr>
          <w:color w:val="231F20"/>
        </w:rPr>
        <w:t>безбедних</w:t>
      </w:r>
      <w:r>
        <w:rPr>
          <w:color w:val="231F20"/>
          <w:spacing w:val="-6"/>
        </w:rPr>
        <w:t> </w:t>
      </w:r>
      <w:r>
        <w:rPr>
          <w:color w:val="231F20"/>
        </w:rPr>
        <w:t>техничко-технолошких решења у процес експлоатације и прераде лигнита, с једне стране, и спровођење потребних мера заштите, рекултивације и уређења пољопривредног земљишта, у склопу целовите подршке одржи- </w:t>
      </w:r>
      <w:r>
        <w:rPr>
          <w:color w:val="231F20"/>
          <w:spacing w:val="-2"/>
        </w:rPr>
        <w:t>вом </w:t>
      </w:r>
      <w:r>
        <w:rPr>
          <w:color w:val="231F20"/>
        </w:rPr>
        <w:t>пољопривредном и руралном </w:t>
      </w:r>
      <w:r>
        <w:rPr>
          <w:color w:val="231F20"/>
          <w:spacing w:val="-3"/>
        </w:rPr>
        <w:t>развоју, </w:t>
      </w:r>
      <w:r>
        <w:rPr>
          <w:color w:val="231F20"/>
        </w:rPr>
        <w:t>с друге; слабо</w:t>
      </w:r>
      <w:r>
        <w:rPr>
          <w:color w:val="231F20"/>
          <w:spacing w:val="-27"/>
        </w:rPr>
        <w:t> </w:t>
      </w:r>
      <w:r>
        <w:rPr>
          <w:color w:val="231F20"/>
        </w:rPr>
        <w:t>функцио- нисање тржишта пољопривредног земљишта, неразвијени инсти- туционални капацитети у домену дугорочног закупа,</w:t>
      </w:r>
      <w:r>
        <w:rPr>
          <w:color w:val="231F20"/>
          <w:spacing w:val="-29"/>
        </w:rPr>
        <w:t> </w:t>
      </w:r>
      <w:r>
        <w:rPr>
          <w:color w:val="231F20"/>
        </w:rPr>
        <w:t>неразрешена својинска права, недефинисане корисничке обавезе, неажурна ин- форматичка основа и друге слабости земљишне</w:t>
      </w:r>
      <w:r>
        <w:rPr>
          <w:color w:val="231F20"/>
          <w:spacing w:val="-13"/>
        </w:rPr>
        <w:t> </w:t>
      </w:r>
      <w:r>
        <w:rPr>
          <w:color w:val="231F20"/>
        </w:rPr>
        <w:t>политике.</w:t>
      </w:r>
    </w:p>
    <w:p>
      <w:pPr>
        <w:pStyle w:val="BodyText"/>
        <w:spacing w:line="232" w:lineRule="auto" w:before="12"/>
        <w:ind w:right="38" w:firstLine="396"/>
      </w:pPr>
      <w:r>
        <w:rPr>
          <w:color w:val="231F20"/>
        </w:rPr>
        <w:t>Околност да се велики део земљишних ресурса и других пољопривредних фондова налази у рукама старачких газдинста- ва, </w:t>
      </w:r>
      <w:r>
        <w:rPr>
          <w:color w:val="231F20"/>
          <w:spacing w:val="-3"/>
        </w:rPr>
        <w:t>која </w:t>
      </w:r>
      <w:r>
        <w:rPr>
          <w:color w:val="231F20"/>
        </w:rPr>
        <w:t>нису у могућности да </w:t>
      </w:r>
      <w:r>
        <w:rPr>
          <w:color w:val="231F20"/>
          <w:spacing w:val="-5"/>
        </w:rPr>
        <w:t>буду </w:t>
      </w:r>
      <w:r>
        <w:rPr>
          <w:color w:val="231F20"/>
        </w:rPr>
        <w:t>конкурентна на </w:t>
      </w:r>
      <w:r>
        <w:rPr>
          <w:color w:val="231F20"/>
          <w:spacing w:val="-3"/>
        </w:rPr>
        <w:t>тржишту, </w:t>
      </w:r>
      <w:r>
        <w:rPr>
          <w:color w:val="231F20"/>
        </w:rPr>
        <w:t>мо- же да олакша успостављање ефикаснијих економских структура  у пољопривреди. Стимулисање структурних промена не може, међутим, да </w:t>
      </w:r>
      <w:r>
        <w:rPr>
          <w:color w:val="231F20"/>
          <w:spacing w:val="-5"/>
        </w:rPr>
        <w:t>буде </w:t>
      </w:r>
      <w:r>
        <w:rPr>
          <w:color w:val="231F20"/>
        </w:rPr>
        <w:t>усмерено само на стварање мањег броја круп- них газдинстава, фармерског типа. Обавезно треба уважити и улогу ситних газдинстава у руралном </w:t>
      </w:r>
      <w:r>
        <w:rPr>
          <w:color w:val="231F20"/>
          <w:spacing w:val="-3"/>
        </w:rPr>
        <w:t>развоју. </w:t>
      </w:r>
      <w:r>
        <w:rPr>
          <w:color w:val="231F20"/>
        </w:rPr>
        <w:t>Неизбежно је да- ље задржавање релативно великог дела пољопривредног земљи- шта у рукама домаћинстава с мешовитим или</w:t>
      </w:r>
      <w:r>
        <w:rPr>
          <w:color w:val="231F20"/>
          <w:spacing w:val="-1"/>
        </w:rPr>
        <w:t> </w:t>
      </w:r>
      <w:r>
        <w:rPr>
          <w:color w:val="231F20"/>
        </w:rPr>
        <w:t>непољопривредним</w:t>
      </w:r>
    </w:p>
    <w:p>
      <w:pPr>
        <w:pStyle w:val="BodyText"/>
        <w:spacing w:line="232" w:lineRule="auto" w:before="73"/>
        <w:ind w:left="168" w:right="411"/>
      </w:pPr>
      <w:r>
        <w:rPr/>
        <w:br w:type="column"/>
      </w:r>
      <w:r>
        <w:rPr>
          <w:color w:val="231F20"/>
        </w:rPr>
        <w:t>изворима прихода, </w:t>
      </w:r>
      <w:r>
        <w:rPr>
          <w:color w:val="231F20"/>
          <w:spacing w:val="-3"/>
        </w:rPr>
        <w:t>која </w:t>
      </w:r>
      <w:r>
        <w:rPr>
          <w:color w:val="231F20"/>
          <w:spacing w:val="-4"/>
        </w:rPr>
        <w:t>имају, </w:t>
      </w:r>
      <w:r>
        <w:rPr>
          <w:color w:val="231F20"/>
        </w:rPr>
        <w:t>по </w:t>
      </w:r>
      <w:r>
        <w:rPr>
          <w:color w:val="231F20"/>
          <w:spacing w:val="-3"/>
        </w:rPr>
        <w:t>правилу, </w:t>
      </w:r>
      <w:r>
        <w:rPr>
          <w:color w:val="231F20"/>
        </w:rPr>
        <w:t>повољнију демографску ситуацију </w:t>
      </w:r>
      <w:r>
        <w:rPr>
          <w:color w:val="231F20"/>
          <w:spacing w:val="-3"/>
        </w:rPr>
        <w:t>од </w:t>
      </w:r>
      <w:r>
        <w:rPr>
          <w:color w:val="231F20"/>
        </w:rPr>
        <w:t>чисто пољопривредних домаћинстава, </w:t>
      </w:r>
      <w:r>
        <w:rPr>
          <w:color w:val="231F20"/>
          <w:spacing w:val="-3"/>
        </w:rPr>
        <w:t>тако </w:t>
      </w:r>
      <w:r>
        <w:rPr>
          <w:color w:val="231F20"/>
        </w:rPr>
        <w:t>да је ре- ално очекивати да ће она и </w:t>
      </w:r>
      <w:r>
        <w:rPr>
          <w:color w:val="231F20"/>
          <w:spacing w:val="-4"/>
        </w:rPr>
        <w:t>убудуће </w:t>
      </w:r>
      <w:r>
        <w:rPr>
          <w:color w:val="231F20"/>
        </w:rPr>
        <w:t>представљати најбројнију со- циоекономску категорију на </w:t>
      </w:r>
      <w:r>
        <w:rPr>
          <w:color w:val="231F20"/>
          <w:spacing w:val="-4"/>
        </w:rPr>
        <w:t>селу. </w:t>
      </w:r>
      <w:r>
        <w:rPr>
          <w:color w:val="231F20"/>
        </w:rPr>
        <w:t>Ова домаћинства прeдстaвљajу eмбриoн такозване eкoнoмиje прoстoрa мaлe групe, кao oснoвнe прeтпoстaвкe успeшнe дивeрсификaциje рурaлнe eкoнoмиje. У oвoм</w:t>
      </w:r>
      <w:r>
        <w:rPr>
          <w:color w:val="231F20"/>
          <w:spacing w:val="-7"/>
        </w:rPr>
        <w:t> </w:t>
      </w:r>
      <w:r>
        <w:rPr>
          <w:color w:val="231F20"/>
        </w:rPr>
        <w:t>сeгмeнту</w:t>
      </w:r>
      <w:r>
        <w:rPr>
          <w:color w:val="231F20"/>
          <w:spacing w:val="-7"/>
        </w:rPr>
        <w:t> </w:t>
      </w:r>
      <w:r>
        <w:rPr>
          <w:color w:val="231F20"/>
        </w:rPr>
        <w:t>примат</w:t>
      </w:r>
      <w:r>
        <w:rPr>
          <w:color w:val="231F20"/>
          <w:spacing w:val="-7"/>
        </w:rPr>
        <w:t> </w:t>
      </w:r>
      <w:r>
        <w:rPr>
          <w:color w:val="231F20"/>
        </w:rPr>
        <w:t>дoбиjа</w:t>
      </w:r>
      <w:r>
        <w:rPr>
          <w:color w:val="231F20"/>
          <w:spacing w:val="-7"/>
        </w:rPr>
        <w:t> </w:t>
      </w:r>
      <w:r>
        <w:rPr>
          <w:color w:val="231F20"/>
        </w:rPr>
        <w:t>пoдршка</w:t>
      </w:r>
      <w:r>
        <w:rPr>
          <w:color w:val="231F20"/>
          <w:spacing w:val="-7"/>
        </w:rPr>
        <w:t> </w:t>
      </w:r>
      <w:r>
        <w:rPr>
          <w:color w:val="231F20"/>
        </w:rPr>
        <w:t>развojу</w:t>
      </w:r>
      <w:r>
        <w:rPr>
          <w:color w:val="231F20"/>
          <w:spacing w:val="-7"/>
        </w:rPr>
        <w:t> </w:t>
      </w:r>
      <w:r>
        <w:rPr>
          <w:color w:val="231F20"/>
        </w:rPr>
        <w:t>нeпoљoприврeдних активнoсти и пoвeћању локалне запoслeнoсти, прoмoциjи прeдузeтништва, oбeзбeђивању базичних услуга за руралну eкoнoмиjу и станoвништвo, стручнoм oспoсoбљавању eкoнoмских актeра и oбуци крeатoра лoкалнe развojнe стратeгиje. Европска искуства су показала да локалне акционе групе и органи локалне управе најбоље познају развојне приоритете своје средине, што је и на </w:t>
      </w:r>
      <w:r>
        <w:rPr>
          <w:color w:val="231F20"/>
          <w:spacing w:val="-3"/>
        </w:rPr>
        <w:t>Планском </w:t>
      </w:r>
      <w:r>
        <w:rPr>
          <w:color w:val="231F20"/>
        </w:rPr>
        <w:t>подручју иницирано доношењем Стратегије одр- живог развоја града Пожаревца и Локалне стратегије одрживог развоја општине Велико Градиште, чијих остваривање захтева да- ље напоре на едуковању локалног становништва, јачању партнер- ства јавног и приватног сектора и унапређивању међуопштинске, међурегионалне и прекограничне</w:t>
      </w:r>
      <w:r>
        <w:rPr>
          <w:color w:val="231F20"/>
          <w:spacing w:val="-5"/>
        </w:rPr>
        <w:t> </w:t>
      </w:r>
      <w:r>
        <w:rPr>
          <w:color w:val="231F20"/>
        </w:rPr>
        <w:t>сарадње.</w:t>
      </w:r>
    </w:p>
    <w:p>
      <w:pPr>
        <w:pStyle w:val="BodyText"/>
        <w:spacing w:before="8"/>
        <w:ind w:left="169" w:right="411" w:firstLine="397"/>
      </w:pPr>
      <w:r>
        <w:rPr>
          <w:color w:val="231F20"/>
        </w:rPr>
        <w:t>Од посебне је важности унапређење рада саветодавне слу- жбе и сарадње научних организација, јачање партнерстава адми- нистрације, пољопривредника, предузетника, </w:t>
      </w:r>
      <w:r>
        <w:rPr>
          <w:color w:val="231F20"/>
          <w:spacing w:val="-3"/>
        </w:rPr>
        <w:t>удружења </w:t>
      </w:r>
      <w:r>
        <w:rPr>
          <w:color w:val="231F20"/>
        </w:rPr>
        <w:t>грађана и других</w:t>
      </w:r>
      <w:r>
        <w:rPr>
          <w:color w:val="231F20"/>
          <w:spacing w:val="-12"/>
        </w:rPr>
        <w:t> </w:t>
      </w:r>
      <w:r>
        <w:rPr>
          <w:color w:val="231F20"/>
        </w:rPr>
        <w:t>актера</w:t>
      </w:r>
      <w:r>
        <w:rPr>
          <w:color w:val="231F20"/>
          <w:spacing w:val="-12"/>
        </w:rPr>
        <w:t> </w:t>
      </w:r>
      <w:r>
        <w:rPr>
          <w:color w:val="231F20"/>
        </w:rPr>
        <w:t>заинтересованих</w:t>
      </w:r>
      <w:r>
        <w:rPr>
          <w:color w:val="231F20"/>
          <w:spacing w:val="-12"/>
        </w:rPr>
        <w:t> </w:t>
      </w:r>
      <w:r>
        <w:rPr>
          <w:color w:val="231F20"/>
        </w:rPr>
        <w:t>развојем</w:t>
      </w:r>
      <w:r>
        <w:rPr>
          <w:color w:val="231F20"/>
          <w:spacing w:val="-12"/>
        </w:rPr>
        <w:t> </w:t>
      </w:r>
      <w:r>
        <w:rPr>
          <w:color w:val="231F20"/>
        </w:rPr>
        <w:t>пољопривреде.</w:t>
      </w:r>
      <w:r>
        <w:rPr>
          <w:color w:val="231F20"/>
          <w:spacing w:val="-12"/>
        </w:rPr>
        <w:t> </w:t>
      </w:r>
      <w:r>
        <w:rPr>
          <w:color w:val="231F20"/>
        </w:rPr>
        <w:t>Повећању конкурентности</w:t>
      </w:r>
      <w:r>
        <w:rPr>
          <w:color w:val="231F20"/>
          <w:spacing w:val="-9"/>
        </w:rPr>
        <w:t> </w:t>
      </w:r>
      <w:r>
        <w:rPr>
          <w:color w:val="231F20"/>
        </w:rPr>
        <w:t>локалне</w:t>
      </w:r>
      <w:r>
        <w:rPr>
          <w:color w:val="231F20"/>
          <w:spacing w:val="-9"/>
        </w:rPr>
        <w:t> </w:t>
      </w:r>
      <w:r>
        <w:rPr>
          <w:color w:val="231F20"/>
        </w:rPr>
        <w:t>агропривреде</w:t>
      </w:r>
      <w:r>
        <w:rPr>
          <w:color w:val="231F20"/>
          <w:spacing w:val="-9"/>
        </w:rPr>
        <w:t> </w:t>
      </w:r>
      <w:r>
        <w:rPr>
          <w:color w:val="231F20"/>
        </w:rPr>
        <w:t>битно</w:t>
      </w:r>
      <w:r>
        <w:rPr>
          <w:color w:val="231F20"/>
          <w:spacing w:val="-9"/>
        </w:rPr>
        <w:t> </w:t>
      </w:r>
      <w:r>
        <w:rPr>
          <w:color w:val="231F20"/>
        </w:rPr>
        <w:t>може</w:t>
      </w:r>
      <w:r>
        <w:rPr>
          <w:color w:val="231F20"/>
          <w:spacing w:val="-9"/>
        </w:rPr>
        <w:t> </w:t>
      </w:r>
      <w:r>
        <w:rPr>
          <w:color w:val="231F20"/>
        </w:rPr>
        <w:t>да</w:t>
      </w:r>
      <w:r>
        <w:rPr>
          <w:color w:val="231F20"/>
          <w:spacing w:val="-9"/>
        </w:rPr>
        <w:t> </w:t>
      </w:r>
      <w:r>
        <w:rPr>
          <w:color w:val="231F20"/>
        </w:rPr>
        <w:t>допринесе</w:t>
      </w:r>
      <w:r>
        <w:rPr>
          <w:color w:val="231F20"/>
          <w:spacing w:val="-9"/>
        </w:rPr>
        <w:t> </w:t>
      </w:r>
      <w:r>
        <w:rPr>
          <w:color w:val="231F20"/>
        </w:rPr>
        <w:t>и вертикално</w:t>
      </w:r>
      <w:r>
        <w:rPr>
          <w:color w:val="231F20"/>
          <w:spacing w:val="-10"/>
        </w:rPr>
        <w:t> </w:t>
      </w:r>
      <w:r>
        <w:rPr>
          <w:color w:val="231F20"/>
        </w:rPr>
        <w:t>и</w:t>
      </w:r>
      <w:r>
        <w:rPr>
          <w:color w:val="231F20"/>
          <w:spacing w:val="-10"/>
        </w:rPr>
        <w:t> </w:t>
      </w:r>
      <w:r>
        <w:rPr>
          <w:color w:val="231F20"/>
        </w:rPr>
        <w:t>територијално</w:t>
      </w:r>
      <w:r>
        <w:rPr>
          <w:color w:val="231F20"/>
          <w:spacing w:val="-10"/>
        </w:rPr>
        <w:t> </w:t>
      </w:r>
      <w:r>
        <w:rPr>
          <w:color w:val="231F20"/>
        </w:rPr>
        <w:t>повезивање</w:t>
      </w:r>
      <w:r>
        <w:rPr>
          <w:color w:val="231F20"/>
          <w:spacing w:val="-10"/>
        </w:rPr>
        <w:t> </w:t>
      </w:r>
      <w:r>
        <w:rPr>
          <w:color w:val="231F20"/>
        </w:rPr>
        <w:t>произвођача</w:t>
      </w:r>
      <w:r>
        <w:rPr>
          <w:color w:val="231F20"/>
          <w:spacing w:val="-10"/>
        </w:rPr>
        <w:t> </w:t>
      </w:r>
      <w:r>
        <w:rPr>
          <w:color w:val="231F20"/>
        </w:rPr>
        <w:t>и</w:t>
      </w:r>
      <w:r>
        <w:rPr>
          <w:color w:val="231F20"/>
          <w:spacing w:val="-10"/>
        </w:rPr>
        <w:t> </w:t>
      </w:r>
      <w:r>
        <w:rPr>
          <w:color w:val="231F20"/>
        </w:rPr>
        <w:t>прерађива- ча на интересној основи, као и њихово чвршће повезивање са ди- стрибутерима и ланцима продаје производа, кроз развој кластера, </w:t>
      </w:r>
      <w:r>
        <w:rPr>
          <w:color w:val="231F20"/>
          <w:spacing w:val="-3"/>
        </w:rPr>
        <w:t>који </w:t>
      </w:r>
      <w:r>
        <w:rPr>
          <w:color w:val="231F20"/>
        </w:rPr>
        <w:t>подразумевају </w:t>
      </w:r>
      <w:r>
        <w:rPr>
          <w:color w:val="231F20"/>
          <w:spacing w:val="-3"/>
        </w:rPr>
        <w:t>секторску, </w:t>
      </w:r>
      <w:r>
        <w:rPr>
          <w:color w:val="231F20"/>
        </w:rPr>
        <w:t>односно географску концентрацију предузећа са сличним или комплементарним пословним активно- стима и са заједничким потребама за информацијама, технологи- јом, инфраструктуром, кадровима и</w:t>
      </w:r>
      <w:r>
        <w:rPr>
          <w:color w:val="231F20"/>
          <w:spacing w:val="-5"/>
        </w:rPr>
        <w:t> </w:t>
      </w:r>
      <w:r>
        <w:rPr>
          <w:color w:val="231F20"/>
        </w:rPr>
        <w:t>тржиштем.</w:t>
      </w:r>
    </w:p>
    <w:p>
      <w:pPr>
        <w:pStyle w:val="ListParagraph"/>
        <w:numPr>
          <w:ilvl w:val="2"/>
          <w:numId w:val="14"/>
        </w:numPr>
        <w:tabs>
          <w:tab w:pos="1935" w:val="left" w:leader="none"/>
        </w:tabs>
        <w:spacing w:line="434" w:lineRule="auto" w:before="149" w:after="0"/>
        <w:ind w:left="1402" w:right="1643" w:firstLine="82"/>
        <w:jc w:val="left"/>
        <w:rPr>
          <w:sz w:val="18"/>
        </w:rPr>
      </w:pPr>
      <w:r>
        <w:rPr>
          <w:color w:val="231F20"/>
          <w:spacing w:val="15"/>
          <w:sz w:val="18"/>
        </w:rPr>
        <w:t>Шуме, </w:t>
      </w:r>
      <w:r>
        <w:rPr>
          <w:color w:val="231F20"/>
          <w:spacing w:val="12"/>
          <w:sz w:val="18"/>
        </w:rPr>
        <w:t>лов </w:t>
      </w:r>
      <w:r>
        <w:rPr>
          <w:color w:val="231F20"/>
          <w:sz w:val="18"/>
        </w:rPr>
        <w:t>и </w:t>
      </w:r>
      <w:r>
        <w:rPr>
          <w:color w:val="231F20"/>
          <w:spacing w:val="15"/>
          <w:sz w:val="18"/>
        </w:rPr>
        <w:t>риболов </w:t>
      </w:r>
      <w:r>
        <w:rPr>
          <w:color w:val="231F20"/>
          <w:sz w:val="18"/>
        </w:rPr>
        <w:t>Стање шума и шумског</w:t>
      </w:r>
      <w:r>
        <w:rPr>
          <w:color w:val="231F20"/>
          <w:spacing w:val="-23"/>
          <w:sz w:val="18"/>
        </w:rPr>
        <w:t> </w:t>
      </w:r>
      <w:r>
        <w:rPr>
          <w:color w:val="231F20"/>
          <w:sz w:val="18"/>
        </w:rPr>
        <w:t>земљишта</w:t>
      </w:r>
    </w:p>
    <w:p>
      <w:pPr>
        <w:pStyle w:val="BodyText"/>
        <w:spacing w:line="237" w:lineRule="auto" w:before="38"/>
        <w:ind w:left="169" w:right="411" w:firstLine="397"/>
      </w:pPr>
      <w:r>
        <w:rPr>
          <w:color w:val="231F20"/>
        </w:rPr>
        <w:t>Шуме и </w:t>
      </w:r>
      <w:r>
        <w:rPr>
          <w:color w:val="231F20"/>
          <w:spacing w:val="-3"/>
        </w:rPr>
        <w:t>шумско </w:t>
      </w:r>
      <w:r>
        <w:rPr>
          <w:color w:val="231F20"/>
        </w:rPr>
        <w:t>земљиште заузимају површину </w:t>
      </w:r>
      <w:r>
        <w:rPr>
          <w:color w:val="231F20"/>
          <w:spacing w:val="-3"/>
        </w:rPr>
        <w:t>од </w:t>
      </w:r>
      <w:r>
        <w:rPr>
          <w:color w:val="231F20"/>
        </w:rPr>
        <w:t>4.629,2 ha односно 8,5% </w:t>
      </w:r>
      <w:r>
        <w:rPr>
          <w:color w:val="231F20"/>
          <w:spacing w:val="-3"/>
        </w:rPr>
        <w:t>од </w:t>
      </w:r>
      <w:r>
        <w:rPr>
          <w:color w:val="231F20"/>
        </w:rPr>
        <w:t>укупне површине Планског подручја (54.346,3 ha)</w:t>
      </w:r>
      <w:r>
        <w:rPr>
          <w:color w:val="231F20"/>
          <w:position w:val="6"/>
          <w:sz w:val="10"/>
        </w:rPr>
        <w:t>5</w:t>
      </w:r>
      <w:r>
        <w:rPr>
          <w:color w:val="231F20"/>
        </w:rPr>
        <w:t>, </w:t>
      </w:r>
      <w:r>
        <w:rPr>
          <w:color w:val="231F20"/>
          <w:spacing w:val="-3"/>
        </w:rPr>
        <w:t>које </w:t>
      </w:r>
      <w:r>
        <w:rPr>
          <w:color w:val="231F20"/>
        </w:rPr>
        <w:t>се одликује недовољном шумовитошћу и неповољним карактеристикама постојећег шумског фонда. Природни састав шума је измењен у односу на природне потенцијале услед антро- погених фактора, </w:t>
      </w:r>
      <w:r>
        <w:rPr>
          <w:color w:val="231F20"/>
          <w:spacing w:val="-3"/>
        </w:rPr>
        <w:t>углавном </w:t>
      </w:r>
      <w:r>
        <w:rPr>
          <w:color w:val="231F20"/>
        </w:rPr>
        <w:t>крчењем шума за потребе пољопри- вредне производње као и због снижавања нивоа подземних вода </w:t>
      </w:r>
      <w:r>
        <w:rPr>
          <w:color w:val="231F20"/>
          <w:spacing w:val="-3"/>
        </w:rPr>
        <w:t>под </w:t>
      </w:r>
      <w:r>
        <w:rPr>
          <w:color w:val="231F20"/>
        </w:rPr>
        <w:t>утицајем експлоатације лигнита. Просторно гледано, шуме </w:t>
      </w:r>
      <w:r>
        <w:rPr>
          <w:color w:val="231F20"/>
          <w:spacing w:val="-7"/>
        </w:rPr>
        <w:t>су, </w:t>
      </w:r>
      <w:r>
        <w:rPr>
          <w:color w:val="231F20"/>
        </w:rPr>
        <w:t>углавном,</w:t>
      </w:r>
      <w:r>
        <w:rPr>
          <w:color w:val="231F20"/>
          <w:spacing w:val="-9"/>
        </w:rPr>
        <w:t> </w:t>
      </w:r>
      <w:r>
        <w:rPr>
          <w:color w:val="231F20"/>
        </w:rPr>
        <w:t>распрострањене</w:t>
      </w:r>
      <w:r>
        <w:rPr>
          <w:color w:val="231F20"/>
          <w:spacing w:val="-9"/>
        </w:rPr>
        <w:t> </w:t>
      </w:r>
      <w:r>
        <w:rPr>
          <w:color w:val="231F20"/>
        </w:rPr>
        <w:t>у</w:t>
      </w:r>
      <w:r>
        <w:rPr>
          <w:color w:val="231F20"/>
          <w:spacing w:val="-9"/>
        </w:rPr>
        <w:t> </w:t>
      </w:r>
      <w:r>
        <w:rPr>
          <w:color w:val="231F20"/>
        </w:rPr>
        <w:t>долинама</w:t>
      </w:r>
      <w:r>
        <w:rPr>
          <w:color w:val="231F20"/>
          <w:spacing w:val="-9"/>
        </w:rPr>
        <w:t> </w:t>
      </w:r>
      <w:r>
        <w:rPr>
          <w:color w:val="231F20"/>
        </w:rPr>
        <w:t>река</w:t>
      </w:r>
      <w:r>
        <w:rPr>
          <w:color w:val="231F20"/>
          <w:spacing w:val="-9"/>
        </w:rPr>
        <w:t> </w:t>
      </w:r>
      <w:r>
        <w:rPr>
          <w:color w:val="231F20"/>
        </w:rPr>
        <w:t>Дунав,</w:t>
      </w:r>
      <w:r>
        <w:rPr>
          <w:color w:val="231F20"/>
          <w:spacing w:val="-9"/>
        </w:rPr>
        <w:t> </w:t>
      </w:r>
      <w:r>
        <w:rPr>
          <w:color w:val="231F20"/>
        </w:rPr>
        <w:t>Велика</w:t>
      </w:r>
      <w:r>
        <w:rPr>
          <w:color w:val="231F20"/>
          <w:spacing w:val="-9"/>
        </w:rPr>
        <w:t> </w:t>
      </w:r>
      <w:r>
        <w:rPr>
          <w:color w:val="231F20"/>
        </w:rPr>
        <w:t>Морава и</w:t>
      </w:r>
      <w:r>
        <w:rPr>
          <w:color w:val="231F20"/>
          <w:spacing w:val="-2"/>
        </w:rPr>
        <w:t> </w:t>
      </w:r>
      <w:r>
        <w:rPr>
          <w:color w:val="231F20"/>
        </w:rPr>
        <w:t>Млава.</w:t>
      </w:r>
    </w:p>
    <w:p>
      <w:pPr>
        <w:pStyle w:val="BodyText"/>
        <w:ind w:left="169" w:right="410" w:firstLine="396"/>
      </w:pPr>
      <w:r>
        <w:rPr>
          <w:color w:val="231F20"/>
        </w:rPr>
        <w:t>На </w:t>
      </w:r>
      <w:r>
        <w:rPr>
          <w:color w:val="231F20"/>
          <w:spacing w:val="-3"/>
        </w:rPr>
        <w:t>Планском </w:t>
      </w:r>
      <w:r>
        <w:rPr>
          <w:color w:val="231F20"/>
        </w:rPr>
        <w:t>подручју присутно је загађивање животне сре- дине, а тиме и шумских екосистема. Рекултивација деградираних површина</w:t>
      </w:r>
      <w:r>
        <w:rPr>
          <w:color w:val="231F20"/>
          <w:spacing w:val="-7"/>
        </w:rPr>
        <w:t> </w:t>
      </w:r>
      <w:r>
        <w:rPr>
          <w:color w:val="231F20"/>
        </w:rPr>
        <w:t>пошумљавањем</w:t>
      </w:r>
      <w:r>
        <w:rPr>
          <w:color w:val="231F20"/>
          <w:spacing w:val="-7"/>
        </w:rPr>
        <w:t> </w:t>
      </w:r>
      <w:r>
        <w:rPr>
          <w:color w:val="231F20"/>
        </w:rPr>
        <w:t>остварила</w:t>
      </w:r>
      <w:r>
        <w:rPr>
          <w:color w:val="231F20"/>
          <w:spacing w:val="-7"/>
        </w:rPr>
        <w:t> </w:t>
      </w:r>
      <w:r>
        <w:rPr>
          <w:color w:val="231F20"/>
        </w:rPr>
        <w:t>је</w:t>
      </w:r>
      <w:r>
        <w:rPr>
          <w:color w:val="231F20"/>
          <w:spacing w:val="-7"/>
        </w:rPr>
        <w:t> </w:t>
      </w:r>
      <w:r>
        <w:rPr>
          <w:color w:val="231F20"/>
        </w:rPr>
        <w:t>известан</w:t>
      </w:r>
      <w:r>
        <w:rPr>
          <w:color w:val="231F20"/>
          <w:spacing w:val="-7"/>
        </w:rPr>
        <w:t> </w:t>
      </w:r>
      <w:r>
        <w:rPr>
          <w:color w:val="231F20"/>
        </w:rPr>
        <w:t>позитиван</w:t>
      </w:r>
      <w:r>
        <w:rPr>
          <w:color w:val="231F20"/>
          <w:spacing w:val="-7"/>
        </w:rPr>
        <w:t> </w:t>
      </w:r>
      <w:r>
        <w:rPr>
          <w:color w:val="231F20"/>
        </w:rPr>
        <w:t>утицај на целокупни предео. Деградација и загађивање простора време- ном</w:t>
      </w:r>
      <w:r>
        <w:rPr>
          <w:color w:val="231F20"/>
          <w:spacing w:val="-8"/>
        </w:rPr>
        <w:t> </w:t>
      </w:r>
      <w:r>
        <w:rPr>
          <w:color w:val="231F20"/>
        </w:rPr>
        <w:t>су</w:t>
      </w:r>
      <w:r>
        <w:rPr>
          <w:color w:val="231F20"/>
          <w:spacing w:val="-8"/>
        </w:rPr>
        <w:t> </w:t>
      </w:r>
      <w:r>
        <w:rPr>
          <w:color w:val="231F20"/>
        </w:rPr>
        <w:t>ублажени</w:t>
      </w:r>
      <w:r>
        <w:rPr>
          <w:color w:val="231F20"/>
          <w:spacing w:val="17"/>
        </w:rPr>
        <w:t> </w:t>
      </w:r>
      <w:r>
        <w:rPr>
          <w:color w:val="231F20"/>
        </w:rPr>
        <w:t>–</w:t>
      </w:r>
      <w:r>
        <w:rPr>
          <w:color w:val="231F20"/>
          <w:spacing w:val="-8"/>
        </w:rPr>
        <w:t> </w:t>
      </w:r>
      <w:r>
        <w:rPr>
          <w:color w:val="231F20"/>
        </w:rPr>
        <w:t>процеси</w:t>
      </w:r>
      <w:r>
        <w:rPr>
          <w:color w:val="231F20"/>
          <w:spacing w:val="-8"/>
        </w:rPr>
        <w:t> </w:t>
      </w:r>
      <w:r>
        <w:rPr>
          <w:color w:val="231F20"/>
        </w:rPr>
        <w:t>ерозије</w:t>
      </w:r>
      <w:r>
        <w:rPr>
          <w:color w:val="231F20"/>
          <w:spacing w:val="-8"/>
        </w:rPr>
        <w:t> </w:t>
      </w:r>
      <w:r>
        <w:rPr>
          <w:color w:val="231F20"/>
        </w:rPr>
        <w:t>су</w:t>
      </w:r>
      <w:r>
        <w:rPr>
          <w:color w:val="231F20"/>
          <w:spacing w:val="-8"/>
        </w:rPr>
        <w:t> </w:t>
      </w:r>
      <w:r>
        <w:rPr>
          <w:color w:val="231F20"/>
        </w:rPr>
        <w:t>заустављени,</w:t>
      </w:r>
      <w:r>
        <w:rPr>
          <w:color w:val="231F20"/>
          <w:spacing w:val="-8"/>
        </w:rPr>
        <w:t> </w:t>
      </w:r>
      <w:r>
        <w:rPr>
          <w:color w:val="231F20"/>
        </w:rPr>
        <w:t>појавиле</w:t>
      </w:r>
      <w:r>
        <w:rPr>
          <w:color w:val="231F20"/>
          <w:spacing w:val="-8"/>
        </w:rPr>
        <w:t> </w:t>
      </w:r>
      <w:r>
        <w:rPr>
          <w:color w:val="231F20"/>
        </w:rPr>
        <w:t>су</w:t>
      </w:r>
      <w:r>
        <w:rPr>
          <w:color w:val="231F20"/>
          <w:spacing w:val="-8"/>
        </w:rPr>
        <w:t> </w:t>
      </w:r>
      <w:r>
        <w:rPr>
          <w:color w:val="231F20"/>
        </w:rPr>
        <w:t>се површине са сталном стајаћом </w:t>
      </w:r>
      <w:r>
        <w:rPr>
          <w:color w:val="231F20"/>
          <w:spacing w:val="-3"/>
        </w:rPr>
        <w:t>водом </w:t>
      </w:r>
      <w:r>
        <w:rPr>
          <w:color w:val="231F20"/>
        </w:rPr>
        <w:t>(баре, језера), </w:t>
      </w:r>
      <w:r>
        <w:rPr>
          <w:color w:val="231F20"/>
          <w:spacing w:val="-3"/>
        </w:rPr>
        <w:t>фауна </w:t>
      </w:r>
      <w:r>
        <w:rPr>
          <w:color w:val="231F20"/>
        </w:rPr>
        <w:t>се на- станила на целокупном простору </w:t>
      </w:r>
      <w:r>
        <w:rPr>
          <w:color w:val="231F20"/>
          <w:spacing w:val="-3"/>
        </w:rPr>
        <w:t>(земљишту, </w:t>
      </w:r>
      <w:r>
        <w:rPr>
          <w:color w:val="231F20"/>
        </w:rPr>
        <w:t>води, ваздуху). Да- љим</w:t>
      </w:r>
      <w:r>
        <w:rPr>
          <w:color w:val="231F20"/>
          <w:spacing w:val="-10"/>
        </w:rPr>
        <w:t> </w:t>
      </w:r>
      <w:r>
        <w:rPr>
          <w:color w:val="231F20"/>
        </w:rPr>
        <w:t>позитивним</w:t>
      </w:r>
      <w:r>
        <w:rPr>
          <w:color w:val="231F20"/>
          <w:spacing w:val="-10"/>
        </w:rPr>
        <w:t> </w:t>
      </w:r>
      <w:r>
        <w:rPr>
          <w:color w:val="231F20"/>
        </w:rPr>
        <w:t>утицајем</w:t>
      </w:r>
      <w:r>
        <w:rPr>
          <w:color w:val="231F20"/>
          <w:spacing w:val="-10"/>
        </w:rPr>
        <w:t> </w:t>
      </w:r>
      <w:r>
        <w:rPr>
          <w:color w:val="231F20"/>
        </w:rPr>
        <w:t>човека</w:t>
      </w:r>
      <w:r>
        <w:rPr>
          <w:color w:val="231F20"/>
          <w:spacing w:val="-10"/>
        </w:rPr>
        <w:t> </w:t>
      </w:r>
      <w:r>
        <w:rPr>
          <w:color w:val="231F20"/>
        </w:rPr>
        <w:t>на</w:t>
      </w:r>
      <w:r>
        <w:rPr>
          <w:color w:val="231F20"/>
          <w:spacing w:val="-10"/>
        </w:rPr>
        <w:t> </w:t>
      </w:r>
      <w:r>
        <w:rPr>
          <w:color w:val="231F20"/>
        </w:rPr>
        <w:t>шумски</w:t>
      </w:r>
      <w:r>
        <w:rPr>
          <w:color w:val="231F20"/>
          <w:spacing w:val="-10"/>
        </w:rPr>
        <w:t> </w:t>
      </w:r>
      <w:r>
        <w:rPr>
          <w:color w:val="231F20"/>
        </w:rPr>
        <w:t>екосистем,</w:t>
      </w:r>
      <w:r>
        <w:rPr>
          <w:color w:val="231F20"/>
          <w:spacing w:val="-11"/>
        </w:rPr>
        <w:t> </w:t>
      </w:r>
      <w:r>
        <w:rPr>
          <w:color w:val="231F20"/>
        </w:rPr>
        <w:t>очувањем заштитних функција, развијањем здравствено-рекреационих и на- учно-образовних функција, у многоме ће се допринети опстанку осталих екосистема овог</w:t>
      </w:r>
      <w:r>
        <w:rPr>
          <w:color w:val="231F20"/>
          <w:spacing w:val="-2"/>
        </w:rPr>
        <w:t> </w:t>
      </w:r>
      <w:r>
        <w:rPr>
          <w:color w:val="231F20"/>
        </w:rPr>
        <w:t>подручја.</w:t>
      </w:r>
    </w:p>
    <w:p>
      <w:pPr>
        <w:pStyle w:val="BodyText"/>
        <w:spacing w:line="186" w:lineRule="exact"/>
        <w:ind w:left="566"/>
        <w:jc w:val="left"/>
      </w:pPr>
      <w:r>
        <w:rPr>
          <w:color w:val="231F20"/>
        </w:rPr>
        <w:t>У претходном  периоду шумском  рекултивацијом је  обухва-</w:t>
      </w:r>
    </w:p>
    <w:p>
      <w:pPr>
        <w:pStyle w:val="BodyText"/>
        <w:spacing w:line="237" w:lineRule="auto"/>
        <w:ind w:left="168" w:right="411"/>
      </w:pPr>
      <w:r>
        <w:rPr>
          <w:color w:val="231F20"/>
        </w:rPr>
        <w:t>ћено 318 ha или 68,3%, пољопривредном 144 ha или 31,7%, </w:t>
      </w:r>
      <w:r>
        <w:rPr>
          <w:color w:val="231F20"/>
          <w:spacing w:val="-4"/>
        </w:rPr>
        <w:t>где </w:t>
      </w:r>
      <w:r>
        <w:rPr>
          <w:color w:val="231F20"/>
        </w:rPr>
        <w:t>ратарске </w:t>
      </w:r>
      <w:r>
        <w:rPr>
          <w:color w:val="231F20"/>
          <w:spacing w:val="-3"/>
        </w:rPr>
        <w:t>културе </w:t>
      </w:r>
      <w:r>
        <w:rPr>
          <w:color w:val="231F20"/>
        </w:rPr>
        <w:t>учествују са 30,7%, а воћњаци са 0,5%</w:t>
      </w:r>
      <w:r>
        <w:rPr>
          <w:color w:val="231F20"/>
          <w:position w:val="6"/>
          <w:sz w:val="10"/>
        </w:rPr>
        <w:t>6</w:t>
      </w:r>
      <w:r>
        <w:rPr>
          <w:color w:val="231F20"/>
        </w:rPr>
        <w:t>. До 2010. укупно је рекултивисано 623,40 ha. Крајем осамдесетих је подиг- нуто </w:t>
      </w:r>
      <w:r>
        <w:rPr>
          <w:color w:val="231F20"/>
          <w:spacing w:val="-3"/>
        </w:rPr>
        <w:t>117 </w:t>
      </w:r>
      <w:r>
        <w:rPr>
          <w:color w:val="231F20"/>
        </w:rPr>
        <w:t>ha шумских засада на спољашњем одлагалишту </w:t>
      </w:r>
      <w:r>
        <w:rPr>
          <w:color w:val="231F20"/>
          <w:spacing w:val="-3"/>
        </w:rPr>
        <w:t>копа</w:t>
      </w:r>
    </w:p>
    <w:p>
      <w:pPr>
        <w:pStyle w:val="BodyText"/>
        <w:ind w:left="169" w:right="410" w:hanging="1"/>
      </w:pPr>
      <w:r>
        <w:rPr>
          <w:color w:val="231F20"/>
        </w:rPr>
        <w:t>„Ћириковац”. Током 2009. године урађено је пошумљавање 11 ha на косинама ПК „Дрмно”, а крајем 2010. године на спољашњем одлагалишту пошумљено је 20,5 ha (багрем 15 ha, црни бор 1,5 ha и топола 4 ha) и 10 ha унутрашњег оглагалишта овог копа. Ради ублажавања негативних ефеката рударских радова и постројења термоелектрана потребно је да се повећају површине под шумом на целом Планском подручју.</w:t>
      </w:r>
    </w:p>
    <w:p>
      <w:pPr>
        <w:spacing w:line="142" w:lineRule="exact" w:before="0"/>
        <w:ind w:left="169"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452" w:val="left" w:leader="none"/>
          <w:tab w:pos="453" w:val="left" w:leader="none"/>
        </w:tabs>
        <w:spacing w:line="240" w:lineRule="auto" w:before="0" w:after="0"/>
        <w:ind w:left="452" w:right="0" w:hanging="283"/>
        <w:jc w:val="left"/>
        <w:rPr>
          <w:sz w:val="14"/>
        </w:rPr>
      </w:pPr>
      <w:r>
        <w:rPr>
          <w:color w:val="231F20"/>
          <w:sz w:val="14"/>
        </w:rPr>
        <w:t>Републички геодетски завод, подаци за 2011.</w:t>
      </w:r>
      <w:r>
        <w:rPr>
          <w:color w:val="231F20"/>
          <w:spacing w:val="-6"/>
          <w:sz w:val="14"/>
        </w:rPr>
        <w:t> </w:t>
      </w:r>
      <w:r>
        <w:rPr>
          <w:color w:val="231F20"/>
          <w:spacing w:val="-4"/>
          <w:sz w:val="14"/>
        </w:rPr>
        <w:t>годину.</w:t>
      </w:r>
    </w:p>
    <w:p>
      <w:pPr>
        <w:pStyle w:val="ListParagraph"/>
        <w:numPr>
          <w:ilvl w:val="0"/>
          <w:numId w:val="10"/>
        </w:numPr>
        <w:tabs>
          <w:tab w:pos="453" w:val="left" w:leader="none"/>
        </w:tabs>
        <w:spacing w:line="240" w:lineRule="auto" w:before="0" w:after="0"/>
        <w:ind w:left="452" w:right="411" w:hanging="283"/>
        <w:jc w:val="both"/>
        <w:rPr>
          <w:sz w:val="14"/>
        </w:rPr>
      </w:pPr>
      <w:r>
        <w:rPr>
          <w:color w:val="231F20"/>
          <w:sz w:val="14"/>
        </w:rPr>
        <w:t>Иновирани дугорочни програм развоја експлоатације угља у </w:t>
      </w:r>
      <w:r>
        <w:rPr>
          <w:color w:val="231F20"/>
          <w:spacing w:val="-3"/>
          <w:sz w:val="14"/>
        </w:rPr>
        <w:t>Костолачком </w:t>
      </w:r>
      <w:r>
        <w:rPr>
          <w:color w:val="231F20"/>
          <w:sz w:val="14"/>
        </w:rPr>
        <w:t>угљо- носном </w:t>
      </w:r>
      <w:r>
        <w:rPr>
          <w:color w:val="231F20"/>
          <w:spacing w:val="-3"/>
          <w:sz w:val="14"/>
        </w:rPr>
        <w:t>басену, </w:t>
      </w:r>
      <w:r>
        <w:rPr>
          <w:color w:val="231F20"/>
          <w:sz w:val="14"/>
        </w:rPr>
        <w:t>извод, Рударско-геолошки факултет Универзитета у Београду, Београд 2006.</w:t>
      </w:r>
      <w:r>
        <w:rPr>
          <w:color w:val="231F20"/>
          <w:spacing w:val="-2"/>
          <w:sz w:val="14"/>
        </w:rPr>
        <w:t> године</w:t>
      </w:r>
    </w:p>
    <w:p>
      <w:pPr>
        <w:spacing w:after="0" w:line="240" w:lineRule="auto"/>
        <w:jc w:val="both"/>
        <w:rPr>
          <w:sz w:val="14"/>
        </w:rPr>
        <w:sectPr>
          <w:pgSz w:w="12480" w:h="15690"/>
          <w:pgMar w:top="120" w:bottom="280" w:left="680" w:right="720"/>
          <w:cols w:num="2" w:equalWidth="0">
            <w:col w:w="5314" w:space="73"/>
            <w:col w:w="5693"/>
          </w:cols>
        </w:sectPr>
      </w:pPr>
    </w:p>
    <w:p>
      <w:pPr>
        <w:pStyle w:val="BodyText"/>
        <w:spacing w:line="232" w:lineRule="auto" w:before="73"/>
        <w:ind w:left="453" w:firstLine="396"/>
      </w:pPr>
      <w:r>
        <w:rPr/>
        <w:pict>
          <v:line style="position:absolute;mso-position-horizontal-relative:page;mso-position-vertical-relative:page;z-index:1336" from="318.897614pt,11.94295pt" to="318.897614pt,748.95095pt" stroked="true" strokeweight=".6pt" strokecolor="#231f20">
            <v:stroke dashstyle="solid"/>
            <w10:wrap type="none"/>
          </v:line>
        </w:pict>
      </w:r>
      <w:r>
        <w:rPr>
          <w:color w:val="231F20"/>
        </w:rPr>
        <w:t>У приватном поседу преовлађују деградиране – </w:t>
      </w:r>
      <w:r>
        <w:rPr>
          <w:color w:val="231F20"/>
          <w:spacing w:val="-3"/>
        </w:rPr>
        <w:t>изданачке </w:t>
      </w:r>
      <w:r>
        <w:rPr>
          <w:color w:val="231F20"/>
        </w:rPr>
        <w:t>шуме, шикаре и шибљаци. Према подацима ЈП „Србијашуме”</w:t>
      </w:r>
      <w:r>
        <w:rPr>
          <w:color w:val="231F20"/>
          <w:position w:val="6"/>
          <w:sz w:val="10"/>
        </w:rPr>
        <w:t>7</w:t>
      </w:r>
      <w:r>
        <w:rPr>
          <w:color w:val="231F20"/>
        </w:rPr>
        <w:t>, на територији града Пожаревца у државном поседу доминирају ве- штачки подигнуте шуме и очуване изданачке састојине. Преовла- ђују</w:t>
      </w:r>
      <w:r>
        <w:rPr>
          <w:color w:val="231F20"/>
          <w:spacing w:val="-7"/>
        </w:rPr>
        <w:t> </w:t>
      </w:r>
      <w:r>
        <w:rPr>
          <w:color w:val="231F20"/>
        </w:rPr>
        <w:t>лишћарске</w:t>
      </w:r>
      <w:r>
        <w:rPr>
          <w:color w:val="231F20"/>
          <w:spacing w:val="-7"/>
        </w:rPr>
        <w:t> </w:t>
      </w:r>
      <w:r>
        <w:rPr>
          <w:color w:val="231F20"/>
        </w:rPr>
        <w:t>врсте</w:t>
      </w:r>
      <w:r>
        <w:rPr>
          <w:color w:val="231F20"/>
          <w:spacing w:val="-7"/>
        </w:rPr>
        <w:t> </w:t>
      </w:r>
      <w:r>
        <w:rPr>
          <w:color w:val="231F20"/>
        </w:rPr>
        <w:t>дрвећа,</w:t>
      </w:r>
      <w:r>
        <w:rPr>
          <w:color w:val="231F20"/>
          <w:spacing w:val="-7"/>
        </w:rPr>
        <w:t> </w:t>
      </w:r>
      <w:r>
        <w:rPr>
          <w:color w:val="231F20"/>
          <w:spacing w:val="-4"/>
        </w:rPr>
        <w:t>где</w:t>
      </w:r>
      <w:r>
        <w:rPr>
          <w:color w:val="231F20"/>
          <w:spacing w:val="-7"/>
        </w:rPr>
        <w:t> </w:t>
      </w:r>
      <w:r>
        <w:rPr>
          <w:color w:val="231F20"/>
        </w:rPr>
        <w:t>највећи</w:t>
      </w:r>
      <w:r>
        <w:rPr>
          <w:color w:val="231F20"/>
          <w:spacing w:val="-7"/>
        </w:rPr>
        <w:t> </w:t>
      </w:r>
      <w:r>
        <w:rPr>
          <w:color w:val="231F20"/>
          <w:spacing w:val="-3"/>
        </w:rPr>
        <w:t>удео</w:t>
      </w:r>
      <w:r>
        <w:rPr>
          <w:color w:val="231F20"/>
          <w:spacing w:val="-7"/>
        </w:rPr>
        <w:t> </w:t>
      </w:r>
      <w:r>
        <w:rPr>
          <w:color w:val="231F20"/>
        </w:rPr>
        <w:t>има</w:t>
      </w:r>
      <w:r>
        <w:rPr>
          <w:color w:val="231F20"/>
          <w:spacing w:val="-7"/>
        </w:rPr>
        <w:t> </w:t>
      </w:r>
      <w:r>
        <w:rPr>
          <w:color w:val="231F20"/>
        </w:rPr>
        <w:t>топола</w:t>
      </w:r>
      <w:r>
        <w:rPr>
          <w:color w:val="231F20"/>
          <w:spacing w:val="-7"/>
        </w:rPr>
        <w:t> </w:t>
      </w:r>
      <w:r>
        <w:rPr>
          <w:color w:val="231F20"/>
        </w:rPr>
        <w:t>I</w:t>
      </w:r>
      <w:r>
        <w:rPr>
          <w:color w:val="231F20"/>
          <w:spacing w:val="-19"/>
        </w:rPr>
        <w:t> </w:t>
      </w:r>
      <w:r>
        <w:rPr>
          <w:color w:val="231F20"/>
        </w:rPr>
        <w:t>–214</w:t>
      </w:r>
      <w:r>
        <w:rPr>
          <w:color w:val="231F20"/>
          <w:spacing w:val="-7"/>
        </w:rPr>
        <w:t> </w:t>
      </w:r>
      <w:r>
        <w:rPr>
          <w:color w:val="231F20"/>
        </w:rPr>
        <w:t>са 80% запремине, затим следе бела топола, бела врба, пољски јасен, багрем док се у мањем проценту јављају сива врба, орах, црна то- пола,</w:t>
      </w:r>
      <w:r>
        <w:rPr>
          <w:color w:val="231F20"/>
          <w:spacing w:val="-7"/>
        </w:rPr>
        <w:t> </w:t>
      </w:r>
      <w:r>
        <w:rPr>
          <w:color w:val="231F20"/>
        </w:rPr>
        <w:t>пољски</w:t>
      </w:r>
      <w:r>
        <w:rPr>
          <w:color w:val="231F20"/>
          <w:spacing w:val="-7"/>
        </w:rPr>
        <w:t> </w:t>
      </w:r>
      <w:r>
        <w:rPr>
          <w:color w:val="231F20"/>
        </w:rPr>
        <w:t>брест</w:t>
      </w:r>
      <w:r>
        <w:rPr>
          <w:color w:val="231F20"/>
          <w:spacing w:val="-6"/>
        </w:rPr>
        <w:t> </w:t>
      </w:r>
      <w:r>
        <w:rPr>
          <w:color w:val="231F20"/>
        </w:rPr>
        <w:t>и</w:t>
      </w:r>
      <w:r>
        <w:rPr>
          <w:color w:val="231F20"/>
          <w:spacing w:val="-6"/>
        </w:rPr>
        <w:t> </w:t>
      </w:r>
      <w:r>
        <w:rPr>
          <w:color w:val="231F20"/>
        </w:rPr>
        <w:t>друге.</w:t>
      </w:r>
      <w:r>
        <w:rPr>
          <w:color w:val="231F20"/>
          <w:spacing w:val="-7"/>
        </w:rPr>
        <w:t> </w:t>
      </w:r>
      <w:r>
        <w:rPr>
          <w:color w:val="231F20"/>
        </w:rPr>
        <w:t>Високе</w:t>
      </w:r>
      <w:r>
        <w:rPr>
          <w:color w:val="231F20"/>
          <w:spacing w:val="-7"/>
        </w:rPr>
        <w:t> </w:t>
      </w:r>
      <w:r>
        <w:rPr>
          <w:color w:val="231F20"/>
        </w:rPr>
        <w:t>природне</w:t>
      </w:r>
      <w:r>
        <w:rPr>
          <w:color w:val="231F20"/>
          <w:spacing w:val="-6"/>
        </w:rPr>
        <w:t> </w:t>
      </w:r>
      <w:r>
        <w:rPr>
          <w:color w:val="231F20"/>
        </w:rPr>
        <w:t>шуме</w:t>
      </w:r>
      <w:r>
        <w:rPr>
          <w:color w:val="231F20"/>
          <w:spacing w:val="-7"/>
        </w:rPr>
        <w:t> </w:t>
      </w:r>
      <w:r>
        <w:rPr>
          <w:color w:val="231F20"/>
        </w:rPr>
        <w:t>заузимају</w:t>
      </w:r>
      <w:r>
        <w:rPr>
          <w:color w:val="231F20"/>
          <w:spacing w:val="-7"/>
        </w:rPr>
        <w:t> </w:t>
      </w:r>
      <w:r>
        <w:rPr>
          <w:color w:val="231F20"/>
        </w:rPr>
        <w:t>вео- ма мале површине. </w:t>
      </w:r>
      <w:r>
        <w:rPr>
          <w:color w:val="231F20"/>
          <w:spacing w:val="-3"/>
        </w:rPr>
        <w:t>Уважавајући </w:t>
      </w:r>
      <w:r>
        <w:rPr>
          <w:color w:val="231F20"/>
        </w:rPr>
        <w:t>чињеницу да се у оквиру овог га- здинства</w:t>
      </w:r>
      <w:r>
        <w:rPr>
          <w:color w:val="231F20"/>
          <w:spacing w:val="-6"/>
        </w:rPr>
        <w:t> </w:t>
      </w:r>
      <w:r>
        <w:rPr>
          <w:color w:val="231F20"/>
        </w:rPr>
        <w:t>налазе</w:t>
      </w:r>
      <w:r>
        <w:rPr>
          <w:color w:val="231F20"/>
          <w:spacing w:val="-6"/>
        </w:rPr>
        <w:t> </w:t>
      </w:r>
      <w:r>
        <w:rPr>
          <w:color w:val="231F20"/>
        </w:rPr>
        <w:t>лишћарске</w:t>
      </w:r>
      <w:r>
        <w:rPr>
          <w:color w:val="231F20"/>
          <w:spacing w:val="-6"/>
        </w:rPr>
        <w:t> </w:t>
      </w:r>
      <w:r>
        <w:rPr>
          <w:color w:val="231F20"/>
        </w:rPr>
        <w:t>врсте</w:t>
      </w:r>
      <w:r>
        <w:rPr>
          <w:color w:val="231F20"/>
          <w:spacing w:val="-6"/>
        </w:rPr>
        <w:t> </w:t>
      </w:r>
      <w:r>
        <w:rPr>
          <w:color w:val="231F20"/>
        </w:rPr>
        <w:t>дрвећа,</w:t>
      </w:r>
      <w:r>
        <w:rPr>
          <w:color w:val="231F20"/>
          <w:spacing w:val="-6"/>
        </w:rPr>
        <w:t> </w:t>
      </w:r>
      <w:r>
        <w:rPr>
          <w:color w:val="231F20"/>
        </w:rPr>
        <w:t>постоји</w:t>
      </w:r>
      <w:r>
        <w:rPr>
          <w:color w:val="231F20"/>
          <w:spacing w:val="-6"/>
        </w:rPr>
        <w:t> </w:t>
      </w:r>
      <w:r>
        <w:rPr>
          <w:color w:val="231F20"/>
        </w:rPr>
        <w:t>мала</w:t>
      </w:r>
      <w:r>
        <w:rPr>
          <w:color w:val="231F20"/>
          <w:spacing w:val="-6"/>
        </w:rPr>
        <w:t> </w:t>
      </w:r>
      <w:r>
        <w:rPr>
          <w:color w:val="231F20"/>
        </w:rPr>
        <w:t>или</w:t>
      </w:r>
      <w:r>
        <w:rPr>
          <w:color w:val="231F20"/>
          <w:spacing w:val="-6"/>
        </w:rPr>
        <w:t> </w:t>
      </w:r>
      <w:r>
        <w:rPr>
          <w:color w:val="231F20"/>
        </w:rPr>
        <w:t>средња угроженост </w:t>
      </w:r>
      <w:r>
        <w:rPr>
          <w:color w:val="231F20"/>
          <w:spacing w:val="-3"/>
        </w:rPr>
        <w:t>од</w:t>
      </w:r>
      <w:r>
        <w:rPr>
          <w:color w:val="231F20"/>
          <w:spacing w:val="-1"/>
        </w:rPr>
        <w:t> </w:t>
      </w:r>
      <w:r>
        <w:rPr>
          <w:color w:val="231F20"/>
        </w:rPr>
        <w:t>пожара.</w:t>
      </w:r>
    </w:p>
    <w:p>
      <w:pPr>
        <w:pStyle w:val="BodyText"/>
        <w:spacing w:line="232" w:lineRule="auto"/>
        <w:ind w:left="454" w:firstLine="397"/>
      </w:pPr>
      <w:r>
        <w:rPr>
          <w:color w:val="231F20"/>
          <w:spacing w:val="-4"/>
        </w:rPr>
        <w:t>Укупна </w:t>
      </w:r>
      <w:r>
        <w:rPr>
          <w:color w:val="231F20"/>
        </w:rPr>
        <w:t>површина шума и шумског земљишта </w:t>
      </w:r>
      <w:r>
        <w:rPr>
          <w:color w:val="231F20"/>
          <w:spacing w:val="-3"/>
        </w:rPr>
        <w:t>којом </w:t>
      </w:r>
      <w:r>
        <w:rPr>
          <w:color w:val="231F20"/>
        </w:rPr>
        <w:t>газду-  је </w:t>
      </w:r>
      <w:r>
        <w:rPr>
          <w:color w:val="231F20"/>
          <w:spacing w:val="-3"/>
        </w:rPr>
        <w:t>Шумско </w:t>
      </w:r>
      <w:r>
        <w:rPr>
          <w:color w:val="231F20"/>
        </w:rPr>
        <w:t>газдинство „Северни </w:t>
      </w:r>
      <w:r>
        <w:rPr>
          <w:color w:val="231F20"/>
          <w:spacing w:val="-3"/>
        </w:rPr>
        <w:t>Кучај” Кучево </w:t>
      </w:r>
      <w:r>
        <w:rPr>
          <w:color w:val="231F20"/>
        </w:rPr>
        <w:t>на подручју гра-  да</w:t>
      </w:r>
      <w:r>
        <w:rPr>
          <w:color w:val="231F20"/>
          <w:spacing w:val="13"/>
        </w:rPr>
        <w:t> </w:t>
      </w:r>
      <w:r>
        <w:rPr>
          <w:color w:val="231F20"/>
        </w:rPr>
        <w:t>Пожаревац</w:t>
      </w:r>
      <w:r>
        <w:rPr>
          <w:color w:val="231F20"/>
          <w:spacing w:val="13"/>
        </w:rPr>
        <w:t> </w:t>
      </w:r>
      <w:r>
        <w:rPr>
          <w:color w:val="231F20"/>
        </w:rPr>
        <w:t>је</w:t>
      </w:r>
      <w:r>
        <w:rPr>
          <w:color w:val="231F20"/>
          <w:spacing w:val="13"/>
        </w:rPr>
        <w:t> </w:t>
      </w:r>
      <w:r>
        <w:rPr>
          <w:color w:val="231F20"/>
        </w:rPr>
        <w:t>4.373,</w:t>
      </w:r>
      <w:r>
        <w:rPr>
          <w:color w:val="231F20"/>
          <w:spacing w:val="13"/>
        </w:rPr>
        <w:t> </w:t>
      </w:r>
      <w:r>
        <w:rPr>
          <w:color w:val="231F20"/>
        </w:rPr>
        <w:t>84</w:t>
      </w:r>
      <w:r>
        <w:rPr>
          <w:color w:val="231F20"/>
          <w:spacing w:val="13"/>
        </w:rPr>
        <w:t> </w:t>
      </w:r>
      <w:r>
        <w:rPr>
          <w:color w:val="231F20"/>
        </w:rPr>
        <w:t>ha</w:t>
      </w:r>
      <w:r>
        <w:rPr>
          <w:color w:val="231F20"/>
          <w:spacing w:val="13"/>
        </w:rPr>
        <w:t> </w:t>
      </w:r>
      <w:r>
        <w:rPr>
          <w:color w:val="231F20"/>
        </w:rPr>
        <w:t>и</w:t>
      </w:r>
      <w:r>
        <w:rPr>
          <w:color w:val="231F20"/>
          <w:spacing w:val="13"/>
        </w:rPr>
        <w:t> </w:t>
      </w:r>
      <w:r>
        <w:rPr>
          <w:color w:val="231F20"/>
        </w:rPr>
        <w:t>обухвата</w:t>
      </w:r>
      <w:r>
        <w:rPr>
          <w:color w:val="231F20"/>
          <w:spacing w:val="13"/>
        </w:rPr>
        <w:t> </w:t>
      </w:r>
      <w:r>
        <w:rPr>
          <w:color w:val="231F20"/>
        </w:rPr>
        <w:t>три</w:t>
      </w:r>
      <w:r>
        <w:rPr>
          <w:color w:val="231F20"/>
          <w:spacing w:val="13"/>
        </w:rPr>
        <w:t> </w:t>
      </w:r>
      <w:r>
        <w:rPr>
          <w:color w:val="231F20"/>
        </w:rPr>
        <w:t>газдинске</w:t>
      </w:r>
      <w:r>
        <w:rPr>
          <w:color w:val="231F20"/>
          <w:spacing w:val="13"/>
        </w:rPr>
        <w:t> </w:t>
      </w:r>
      <w:r>
        <w:rPr>
          <w:color w:val="231F20"/>
        </w:rPr>
        <w:t>јединице:</w:t>
      </w:r>
    </w:p>
    <w:p>
      <w:pPr>
        <w:pStyle w:val="BodyText"/>
        <w:spacing w:line="232" w:lineRule="auto"/>
        <w:ind w:left="454"/>
        <w:jc w:val="left"/>
      </w:pPr>
      <w:r>
        <w:rPr>
          <w:color w:val="231F20"/>
        </w:rPr>
        <w:t>„Острво” (3.812,42 ha), „Острво – Стиг” (534, 77ha) и „Горица – Рујак” (26,63 ha,).</w:t>
      </w:r>
    </w:p>
    <w:p>
      <w:pPr>
        <w:pStyle w:val="BodyText"/>
        <w:spacing w:line="235" w:lineRule="auto"/>
        <w:ind w:left="454" w:firstLine="397"/>
      </w:pPr>
      <w:r>
        <w:rPr>
          <w:color w:val="231F20"/>
        </w:rPr>
        <w:t>Од укупних површина </w:t>
      </w:r>
      <w:r>
        <w:rPr>
          <w:color w:val="231F20"/>
          <w:spacing w:val="-3"/>
        </w:rPr>
        <w:t>Шумско </w:t>
      </w:r>
      <w:r>
        <w:rPr>
          <w:color w:val="231F20"/>
        </w:rPr>
        <w:t>газдинство „Северни Кучај”, чисте </w:t>
      </w:r>
      <w:r>
        <w:rPr>
          <w:color w:val="231F20"/>
          <w:spacing w:val="-3"/>
        </w:rPr>
        <w:t>изданачке </w:t>
      </w:r>
      <w:r>
        <w:rPr>
          <w:color w:val="231F20"/>
        </w:rPr>
        <w:t>шуме чине 50%, вештачки подигнуте чисте шуме 40%,</w:t>
      </w:r>
      <w:r>
        <w:rPr>
          <w:color w:val="231F20"/>
          <w:spacing w:val="-6"/>
        </w:rPr>
        <w:t> </w:t>
      </w:r>
      <w:r>
        <w:rPr>
          <w:color w:val="231F20"/>
        </w:rPr>
        <w:t>високе</w:t>
      </w:r>
      <w:r>
        <w:rPr>
          <w:color w:val="231F20"/>
          <w:spacing w:val="-6"/>
        </w:rPr>
        <w:t> </w:t>
      </w:r>
      <w:r>
        <w:rPr>
          <w:color w:val="231F20"/>
        </w:rPr>
        <w:t>чисте</w:t>
      </w:r>
      <w:r>
        <w:rPr>
          <w:color w:val="231F20"/>
          <w:spacing w:val="-6"/>
        </w:rPr>
        <w:t> </w:t>
      </w:r>
      <w:r>
        <w:rPr>
          <w:color w:val="231F20"/>
        </w:rPr>
        <w:t>шуме</w:t>
      </w:r>
      <w:r>
        <w:rPr>
          <w:color w:val="231F20"/>
          <w:spacing w:val="-6"/>
        </w:rPr>
        <w:t> </w:t>
      </w:r>
      <w:r>
        <w:rPr>
          <w:color w:val="231F20"/>
        </w:rPr>
        <w:t>мање</w:t>
      </w:r>
      <w:r>
        <w:rPr>
          <w:color w:val="231F20"/>
          <w:spacing w:val="-6"/>
        </w:rPr>
        <w:t> </w:t>
      </w:r>
      <w:r>
        <w:rPr>
          <w:color w:val="231F20"/>
          <w:spacing w:val="-3"/>
        </w:rPr>
        <w:t>од</w:t>
      </w:r>
      <w:r>
        <w:rPr>
          <w:color w:val="231F20"/>
          <w:spacing w:val="-6"/>
        </w:rPr>
        <w:t> </w:t>
      </w:r>
      <w:r>
        <w:rPr>
          <w:color w:val="231F20"/>
        </w:rPr>
        <w:t>1%,</w:t>
      </w:r>
      <w:r>
        <w:rPr>
          <w:color w:val="231F20"/>
          <w:spacing w:val="-6"/>
        </w:rPr>
        <w:t> </w:t>
      </w:r>
      <w:r>
        <w:rPr>
          <w:color w:val="231F20"/>
        </w:rPr>
        <w:t>а</w:t>
      </w:r>
      <w:r>
        <w:rPr>
          <w:color w:val="231F20"/>
          <w:spacing w:val="-6"/>
        </w:rPr>
        <w:t> </w:t>
      </w:r>
      <w:r>
        <w:rPr>
          <w:color w:val="231F20"/>
        </w:rPr>
        <w:t>остатак</w:t>
      </w:r>
      <w:r>
        <w:rPr>
          <w:color w:val="231F20"/>
          <w:spacing w:val="-6"/>
        </w:rPr>
        <w:t> </w:t>
      </w:r>
      <w:r>
        <w:rPr>
          <w:color w:val="231F20"/>
        </w:rPr>
        <w:t>мешовите</w:t>
      </w:r>
      <w:r>
        <w:rPr>
          <w:color w:val="231F20"/>
          <w:spacing w:val="-6"/>
        </w:rPr>
        <w:t> </w:t>
      </w:r>
      <w:r>
        <w:rPr>
          <w:color w:val="231F20"/>
        </w:rPr>
        <w:t>изданач- </w:t>
      </w:r>
      <w:r>
        <w:rPr>
          <w:color w:val="231F20"/>
          <w:spacing w:val="-3"/>
        </w:rPr>
        <w:t>ке </w:t>
      </w:r>
      <w:r>
        <w:rPr>
          <w:color w:val="231F20"/>
        </w:rPr>
        <w:t>шуме и вештачки подигнуте</w:t>
      </w:r>
      <w:r>
        <w:rPr>
          <w:color w:val="231F20"/>
          <w:spacing w:val="-2"/>
        </w:rPr>
        <w:t> </w:t>
      </w:r>
      <w:r>
        <w:rPr>
          <w:color w:val="231F20"/>
        </w:rPr>
        <w:t>састојине.</w:t>
      </w:r>
    </w:p>
    <w:p>
      <w:pPr>
        <w:pStyle w:val="BodyText"/>
        <w:spacing w:line="201" w:lineRule="exact"/>
        <w:ind w:left="850"/>
        <w:jc w:val="left"/>
      </w:pPr>
      <w:r>
        <w:rPr>
          <w:color w:val="231F20"/>
        </w:rPr>
        <w:t>У обухвату овог шумског газдинства, газдинска јединица</w:t>
      </w:r>
    </w:p>
    <w:p>
      <w:pPr>
        <w:pStyle w:val="BodyText"/>
        <w:spacing w:line="203" w:lineRule="exact"/>
        <w:ind w:left="454"/>
        <w:jc w:val="left"/>
      </w:pPr>
      <w:r>
        <w:rPr>
          <w:color w:val="231F20"/>
        </w:rPr>
        <w:t>„Острво”, налазе се следећи семенски објекти:</w:t>
      </w:r>
    </w:p>
    <w:p>
      <w:pPr>
        <w:pStyle w:val="ListParagraph"/>
        <w:numPr>
          <w:ilvl w:val="1"/>
          <w:numId w:val="10"/>
        </w:numPr>
        <w:tabs>
          <w:tab w:pos="1038" w:val="left" w:leader="none"/>
        </w:tabs>
        <w:spacing w:line="235" w:lineRule="auto" w:before="0" w:after="0"/>
        <w:ind w:left="454" w:right="0" w:firstLine="397"/>
        <w:jc w:val="both"/>
        <w:rPr>
          <w:sz w:val="18"/>
        </w:rPr>
      </w:pPr>
      <w:r>
        <w:rPr>
          <w:color w:val="231F20"/>
          <w:sz w:val="18"/>
        </w:rPr>
        <w:t>семенска састојина Fraxinus angustifolia, укупне површине 3,78 ha (2,80 ha редукована)</w:t>
      </w:r>
      <w:r>
        <w:rPr>
          <w:color w:val="231F20"/>
          <w:spacing w:val="-3"/>
          <w:sz w:val="18"/>
        </w:rPr>
        <w:t> </w:t>
      </w:r>
      <w:r>
        <w:rPr>
          <w:color w:val="231F20"/>
          <w:sz w:val="18"/>
        </w:rPr>
        <w:t>и</w:t>
      </w:r>
    </w:p>
    <w:p>
      <w:pPr>
        <w:pStyle w:val="ListParagraph"/>
        <w:numPr>
          <w:ilvl w:val="1"/>
          <w:numId w:val="10"/>
        </w:numPr>
        <w:tabs>
          <w:tab w:pos="1030" w:val="left" w:leader="none"/>
        </w:tabs>
        <w:spacing w:line="235" w:lineRule="auto" w:before="0" w:after="0"/>
        <w:ind w:left="454" w:right="0" w:firstLine="397"/>
        <w:jc w:val="both"/>
        <w:rPr>
          <w:sz w:val="18"/>
        </w:rPr>
      </w:pPr>
      <w:r>
        <w:rPr>
          <w:color w:val="231F20"/>
          <w:sz w:val="18"/>
        </w:rPr>
        <w:t>семенска састојина Robinia pseudoacacia, укупне</w:t>
      </w:r>
      <w:r>
        <w:rPr>
          <w:color w:val="231F20"/>
          <w:spacing w:val="-26"/>
          <w:sz w:val="18"/>
        </w:rPr>
        <w:t> </w:t>
      </w:r>
      <w:r>
        <w:rPr>
          <w:color w:val="231F20"/>
          <w:sz w:val="18"/>
        </w:rPr>
        <w:t>површине 7,66 ha (0,20 ha</w:t>
      </w:r>
      <w:r>
        <w:rPr>
          <w:color w:val="231F20"/>
          <w:spacing w:val="-2"/>
          <w:sz w:val="18"/>
        </w:rPr>
        <w:t> </w:t>
      </w:r>
      <w:r>
        <w:rPr>
          <w:color w:val="231F20"/>
          <w:sz w:val="18"/>
        </w:rPr>
        <w:t>редукованa).</w:t>
      </w:r>
    </w:p>
    <w:p>
      <w:pPr>
        <w:pStyle w:val="BodyText"/>
        <w:spacing w:line="235" w:lineRule="auto"/>
        <w:ind w:left="454" w:firstLine="396"/>
      </w:pPr>
      <w:r>
        <w:rPr>
          <w:color w:val="231F20"/>
        </w:rPr>
        <w:t>Укупна површина необраслог земљишта износи 2.853,72 ha. Ово земљиште је разврстано у четири групе: шумско земљиште (голети и чистине које би могле доћи у обзир за пошумљавање), земљиште за остале сврхе (ливаде, разна хранилишта, пашњаци трајног карактера за исхрану дивљачи, њиве, воћњаци и друго), неплодно земљиште (камењари, путеви, далеководи, потоци, реке зграде и други објекти са окућницом, привремена стоваришта и друго) и категорија „заузећа” (необрасле површине које локални сточари користе лети).</w:t>
      </w:r>
    </w:p>
    <w:p>
      <w:pPr>
        <w:pStyle w:val="BodyText"/>
        <w:spacing w:line="235" w:lineRule="auto"/>
        <w:ind w:left="454" w:firstLine="397"/>
      </w:pPr>
      <w:r>
        <w:rPr>
          <w:color w:val="231F20"/>
        </w:rPr>
        <w:t>Укупна површина шума у приватном власништву на терито- рији града Пожаревца износи 1.665,00 ha, са дрвном запремином од 133.334 m³ и запреминским прирастом од 3.313 m³. Преовлађу- ју мешовите састојине домаће тополе и врбе, у вишим пределима чисте састојине багрема, док храст и друге врсте чине мешовите састојине. Шуме су у већем проценту очуване (око 60%) са скло- пом 0,7 – 1,0 док на разређене отпада око 40% (склоп 0.5 – 0,6). Здравствено стање састојина је задовољавајуће.</w:t>
      </w:r>
    </w:p>
    <w:p>
      <w:pPr>
        <w:pStyle w:val="BodyText"/>
        <w:spacing w:line="235" w:lineRule="auto"/>
        <w:ind w:left="454" w:firstLine="397"/>
      </w:pPr>
      <w:r>
        <w:rPr>
          <w:color w:val="231F20"/>
        </w:rPr>
        <w:t>Најшумовитија катастарска општина је Речица са 337,00 ha. Око 5% укупне површине заузимају високе природне састојине тврдих лишћара, око 85% изданачке природне састојине меких и тврдих лишћара, а око 10% вештачки подигнуте састојине.</w:t>
      </w:r>
    </w:p>
    <w:p>
      <w:pPr>
        <w:pStyle w:val="BodyText"/>
        <w:spacing w:line="235" w:lineRule="auto"/>
        <w:ind w:left="455" w:firstLine="396"/>
      </w:pPr>
      <w:r>
        <w:rPr>
          <w:color w:val="231F20"/>
        </w:rPr>
        <w:t>На територији овог шумског подручја има услова за кори- шћење осталих шумских ресурса (пашарење, коришћење ливада, сакупљање лековитог биља, плодова, печурака и слично).</w:t>
      </w:r>
    </w:p>
    <w:p>
      <w:pPr>
        <w:pStyle w:val="BodyText"/>
        <w:spacing w:line="235" w:lineRule="auto"/>
        <w:ind w:left="454" w:firstLine="397"/>
      </w:pPr>
      <w:r>
        <w:rPr>
          <w:color w:val="231F20"/>
          <w:spacing w:val="-3"/>
        </w:rPr>
        <w:t>Газдинском</w:t>
      </w:r>
      <w:r>
        <w:rPr>
          <w:color w:val="231F20"/>
          <w:spacing w:val="-8"/>
        </w:rPr>
        <w:t> </w:t>
      </w:r>
      <w:r>
        <w:rPr>
          <w:color w:val="231F20"/>
        </w:rPr>
        <w:t>јединицом</w:t>
      </w:r>
      <w:r>
        <w:rPr>
          <w:color w:val="231F20"/>
          <w:spacing w:val="-8"/>
        </w:rPr>
        <w:t> </w:t>
      </w:r>
      <w:r>
        <w:rPr>
          <w:color w:val="231F20"/>
        </w:rPr>
        <w:t>(у</w:t>
      </w:r>
      <w:r>
        <w:rPr>
          <w:color w:val="231F20"/>
          <w:spacing w:val="-8"/>
        </w:rPr>
        <w:t> </w:t>
      </w:r>
      <w:r>
        <w:rPr>
          <w:color w:val="231F20"/>
        </w:rPr>
        <w:t>даљем</w:t>
      </w:r>
      <w:r>
        <w:rPr>
          <w:color w:val="231F20"/>
          <w:spacing w:val="-8"/>
        </w:rPr>
        <w:t> </w:t>
      </w:r>
      <w:r>
        <w:rPr>
          <w:color w:val="231F20"/>
        </w:rPr>
        <w:t>тексту:</w:t>
      </w:r>
      <w:r>
        <w:rPr>
          <w:color w:val="231F20"/>
          <w:spacing w:val="-8"/>
        </w:rPr>
        <w:t> </w:t>
      </w:r>
      <w:r>
        <w:rPr>
          <w:color w:val="231F20"/>
        </w:rPr>
        <w:t>ГЈ)</w:t>
      </w:r>
      <w:r>
        <w:rPr>
          <w:color w:val="231F20"/>
          <w:spacing w:val="-8"/>
        </w:rPr>
        <w:t> </w:t>
      </w:r>
      <w:r>
        <w:rPr>
          <w:color w:val="231F20"/>
        </w:rPr>
        <w:t>Копови</w:t>
      </w:r>
      <w:r>
        <w:rPr>
          <w:color w:val="231F20"/>
          <w:spacing w:val="-8"/>
        </w:rPr>
        <w:t> </w:t>
      </w:r>
      <w:r>
        <w:rPr>
          <w:color w:val="231F20"/>
        </w:rPr>
        <w:t>Костолац газдује ПД ТЕ-КО „Костолац”. </w:t>
      </w:r>
      <w:r>
        <w:rPr>
          <w:color w:val="231F20"/>
          <w:spacing w:val="-4"/>
        </w:rPr>
        <w:t>Укупна </w:t>
      </w:r>
      <w:r>
        <w:rPr>
          <w:color w:val="231F20"/>
        </w:rPr>
        <w:t>површина ове ГЈ је 605,8 ha</w:t>
      </w:r>
      <w:r>
        <w:rPr>
          <w:color w:val="231F20"/>
          <w:spacing w:val="-7"/>
        </w:rPr>
        <w:t> </w:t>
      </w:r>
      <w:r>
        <w:rPr>
          <w:color w:val="231F20"/>
        </w:rPr>
        <w:t>и</w:t>
      </w:r>
      <w:r>
        <w:rPr>
          <w:color w:val="231F20"/>
          <w:spacing w:val="-7"/>
        </w:rPr>
        <w:t> </w:t>
      </w:r>
      <w:r>
        <w:rPr>
          <w:color w:val="231F20"/>
        </w:rPr>
        <w:t>простире</w:t>
      </w:r>
      <w:r>
        <w:rPr>
          <w:color w:val="231F20"/>
          <w:spacing w:val="-7"/>
        </w:rPr>
        <w:t> </w:t>
      </w:r>
      <w:r>
        <w:rPr>
          <w:color w:val="231F20"/>
        </w:rPr>
        <w:t>се</w:t>
      </w:r>
      <w:r>
        <w:rPr>
          <w:color w:val="231F20"/>
          <w:spacing w:val="-7"/>
        </w:rPr>
        <w:t> </w:t>
      </w:r>
      <w:r>
        <w:rPr>
          <w:color w:val="231F20"/>
        </w:rPr>
        <w:t>у</w:t>
      </w:r>
      <w:r>
        <w:rPr>
          <w:color w:val="231F20"/>
          <w:spacing w:val="-7"/>
        </w:rPr>
        <w:t> </w:t>
      </w:r>
      <w:r>
        <w:rPr>
          <w:color w:val="231F20"/>
        </w:rPr>
        <w:t>атарима</w:t>
      </w:r>
      <w:r>
        <w:rPr>
          <w:color w:val="231F20"/>
          <w:spacing w:val="-7"/>
        </w:rPr>
        <w:t> </w:t>
      </w:r>
      <w:r>
        <w:rPr>
          <w:color w:val="231F20"/>
        </w:rPr>
        <w:t>насеља</w:t>
      </w:r>
      <w:r>
        <w:rPr>
          <w:color w:val="231F20"/>
          <w:spacing w:val="-7"/>
        </w:rPr>
        <w:t> </w:t>
      </w:r>
      <w:r>
        <w:rPr>
          <w:color w:val="231F20"/>
        </w:rPr>
        <w:t>Ћириковац,</w:t>
      </w:r>
      <w:r>
        <w:rPr>
          <w:color w:val="231F20"/>
          <w:spacing w:val="-7"/>
        </w:rPr>
        <w:t> </w:t>
      </w:r>
      <w:r>
        <w:rPr>
          <w:color w:val="231F20"/>
        </w:rPr>
        <w:t>Дрмно,</w:t>
      </w:r>
      <w:r>
        <w:rPr>
          <w:color w:val="231F20"/>
          <w:spacing w:val="-7"/>
        </w:rPr>
        <w:t> </w:t>
      </w:r>
      <w:r>
        <w:rPr>
          <w:color w:val="231F20"/>
        </w:rPr>
        <w:t>Кленовник, Брадарац, Костолац село и Костолац град. </w:t>
      </w:r>
      <w:r>
        <w:rPr>
          <w:color w:val="231F20"/>
          <w:spacing w:val="-3"/>
        </w:rPr>
        <w:t>Под </w:t>
      </w:r>
      <w:r>
        <w:rPr>
          <w:color w:val="231F20"/>
        </w:rPr>
        <w:t>шумом је </w:t>
      </w:r>
      <w:r>
        <w:rPr>
          <w:color w:val="231F20"/>
          <w:spacing w:val="-4"/>
        </w:rPr>
        <w:t>око </w:t>
      </w:r>
      <w:r>
        <w:rPr>
          <w:color w:val="231F20"/>
        </w:rPr>
        <w:t>250 ha </w:t>
      </w:r>
      <w:r>
        <w:rPr>
          <w:color w:val="231F20"/>
          <w:spacing w:val="-3"/>
        </w:rPr>
        <w:t>од </w:t>
      </w:r>
      <w:r>
        <w:rPr>
          <w:color w:val="231F20"/>
        </w:rPr>
        <w:t>чега су шумске културе, вештачки подигните састојине, за- ступљене на </w:t>
      </w:r>
      <w:r>
        <w:rPr>
          <w:color w:val="231F20"/>
          <w:spacing w:val="-4"/>
        </w:rPr>
        <w:t>око </w:t>
      </w:r>
      <w:r>
        <w:rPr>
          <w:color w:val="231F20"/>
        </w:rPr>
        <w:t>161 ha (Шумска основа </w:t>
      </w:r>
      <w:r>
        <w:rPr>
          <w:color w:val="231F20"/>
          <w:spacing w:val="-3"/>
        </w:rPr>
        <w:t>копови </w:t>
      </w:r>
      <w:r>
        <w:rPr>
          <w:color w:val="231F20"/>
        </w:rPr>
        <w:t>Костолац, Инсти- тут за шумарство, Београд 2004.</w:t>
      </w:r>
      <w:r>
        <w:rPr>
          <w:color w:val="231F20"/>
          <w:spacing w:val="-6"/>
        </w:rPr>
        <w:t> </w:t>
      </w:r>
      <w:r>
        <w:rPr>
          <w:color w:val="231F20"/>
        </w:rPr>
        <w:t>године).</w:t>
      </w:r>
    </w:p>
    <w:p>
      <w:pPr>
        <w:pStyle w:val="BodyText"/>
        <w:spacing w:line="232" w:lineRule="auto"/>
        <w:ind w:left="454" w:firstLine="396"/>
      </w:pPr>
      <w:r>
        <w:rPr>
          <w:color w:val="231F20"/>
        </w:rPr>
        <w:t>Затечено стање шумског фонда ове ГЈ карактеришу следећи показатељи:</w:t>
      </w:r>
    </w:p>
    <w:p>
      <w:pPr>
        <w:pStyle w:val="ListParagraph"/>
        <w:numPr>
          <w:ilvl w:val="0"/>
          <w:numId w:val="16"/>
        </w:numPr>
        <w:tabs>
          <w:tab w:pos="1045" w:val="left" w:leader="none"/>
        </w:tabs>
        <w:spacing w:line="232" w:lineRule="auto" w:before="0" w:after="0"/>
        <w:ind w:left="454" w:right="0" w:firstLine="397"/>
        <w:jc w:val="both"/>
        <w:rPr>
          <w:sz w:val="18"/>
        </w:rPr>
      </w:pPr>
      <w:r>
        <w:rPr>
          <w:color w:val="231F20"/>
          <w:spacing w:val="-3"/>
          <w:sz w:val="18"/>
        </w:rPr>
        <w:t>од </w:t>
      </w:r>
      <w:r>
        <w:rPr>
          <w:color w:val="231F20"/>
          <w:sz w:val="18"/>
        </w:rPr>
        <w:t>укупне површине ГЈ (605,79 ha), шуме заузимају 84,95 ha или 14,0 %, шумске </w:t>
      </w:r>
      <w:r>
        <w:rPr>
          <w:color w:val="231F20"/>
          <w:spacing w:val="-3"/>
          <w:sz w:val="18"/>
        </w:rPr>
        <w:t>културе </w:t>
      </w:r>
      <w:r>
        <w:rPr>
          <w:color w:val="231F20"/>
          <w:sz w:val="18"/>
        </w:rPr>
        <w:t>161,02 ha или 26,6 %, а необрасле површине 359,82 ha односно 59,4</w:t>
      </w:r>
      <w:r>
        <w:rPr>
          <w:color w:val="231F20"/>
          <w:spacing w:val="-2"/>
          <w:sz w:val="18"/>
        </w:rPr>
        <w:t> </w:t>
      </w:r>
      <w:r>
        <w:rPr>
          <w:color w:val="231F20"/>
          <w:sz w:val="18"/>
        </w:rPr>
        <w:t>%;</w:t>
      </w:r>
    </w:p>
    <w:p>
      <w:pPr>
        <w:pStyle w:val="ListParagraph"/>
        <w:numPr>
          <w:ilvl w:val="0"/>
          <w:numId w:val="16"/>
        </w:numPr>
        <w:tabs>
          <w:tab w:pos="1042" w:val="left" w:leader="none"/>
        </w:tabs>
        <w:spacing w:line="232" w:lineRule="auto" w:before="0" w:after="0"/>
        <w:ind w:left="454" w:right="0" w:firstLine="397"/>
        <w:jc w:val="both"/>
        <w:rPr>
          <w:sz w:val="18"/>
        </w:rPr>
      </w:pPr>
      <w:r>
        <w:rPr>
          <w:color w:val="231F20"/>
          <w:sz w:val="18"/>
        </w:rPr>
        <w:t>на подручју ове јединице постоји посебна наменска цели- на – заштита земљишта </w:t>
      </w:r>
      <w:r>
        <w:rPr>
          <w:color w:val="231F20"/>
          <w:spacing w:val="-3"/>
          <w:sz w:val="18"/>
        </w:rPr>
        <w:t>од</w:t>
      </w:r>
      <w:r>
        <w:rPr>
          <w:color w:val="231F20"/>
          <w:spacing w:val="-20"/>
          <w:sz w:val="18"/>
        </w:rPr>
        <w:t> </w:t>
      </w:r>
      <w:r>
        <w:rPr>
          <w:color w:val="231F20"/>
          <w:sz w:val="18"/>
        </w:rPr>
        <w:t>ерозије;</w:t>
      </w:r>
    </w:p>
    <w:p>
      <w:pPr>
        <w:pStyle w:val="ListParagraph"/>
        <w:numPr>
          <w:ilvl w:val="0"/>
          <w:numId w:val="16"/>
        </w:numPr>
        <w:tabs>
          <w:tab w:pos="1031" w:val="left" w:leader="none"/>
        </w:tabs>
        <w:spacing w:line="232" w:lineRule="auto" w:before="0" w:after="0"/>
        <w:ind w:left="454" w:right="0" w:firstLine="397"/>
        <w:jc w:val="both"/>
        <w:rPr>
          <w:sz w:val="18"/>
        </w:rPr>
      </w:pPr>
      <w:r>
        <w:rPr>
          <w:color w:val="231F20"/>
          <w:sz w:val="18"/>
        </w:rPr>
        <w:t>у</w:t>
      </w:r>
      <w:r>
        <w:rPr>
          <w:color w:val="231F20"/>
          <w:spacing w:val="-7"/>
          <w:sz w:val="18"/>
        </w:rPr>
        <w:t> </w:t>
      </w:r>
      <w:r>
        <w:rPr>
          <w:color w:val="231F20"/>
          <w:sz w:val="18"/>
        </w:rPr>
        <w:t>укупној</w:t>
      </w:r>
      <w:r>
        <w:rPr>
          <w:color w:val="231F20"/>
          <w:spacing w:val="-7"/>
          <w:sz w:val="18"/>
        </w:rPr>
        <w:t> </w:t>
      </w:r>
      <w:r>
        <w:rPr>
          <w:color w:val="231F20"/>
          <w:sz w:val="18"/>
        </w:rPr>
        <w:t>обраслој</w:t>
      </w:r>
      <w:r>
        <w:rPr>
          <w:color w:val="231F20"/>
          <w:spacing w:val="-7"/>
          <w:sz w:val="18"/>
        </w:rPr>
        <w:t> </w:t>
      </w:r>
      <w:r>
        <w:rPr>
          <w:color w:val="231F20"/>
          <w:sz w:val="18"/>
        </w:rPr>
        <w:t>површини</w:t>
      </w:r>
      <w:r>
        <w:rPr>
          <w:color w:val="231F20"/>
          <w:spacing w:val="-7"/>
          <w:sz w:val="18"/>
        </w:rPr>
        <w:t> </w:t>
      </w:r>
      <w:r>
        <w:rPr>
          <w:color w:val="231F20"/>
          <w:sz w:val="18"/>
        </w:rPr>
        <w:t>доминирају</w:t>
      </w:r>
      <w:r>
        <w:rPr>
          <w:color w:val="231F20"/>
          <w:spacing w:val="-7"/>
          <w:sz w:val="18"/>
        </w:rPr>
        <w:t> </w:t>
      </w:r>
      <w:r>
        <w:rPr>
          <w:color w:val="231F20"/>
          <w:sz w:val="18"/>
        </w:rPr>
        <w:t>вештачки</w:t>
      </w:r>
      <w:r>
        <w:rPr>
          <w:color w:val="231F20"/>
          <w:spacing w:val="-7"/>
          <w:sz w:val="18"/>
        </w:rPr>
        <w:t> </w:t>
      </w:r>
      <w:r>
        <w:rPr>
          <w:color w:val="231F20"/>
          <w:sz w:val="18"/>
        </w:rPr>
        <w:t>подиг- нуте састојине са 92,7 %, високе састојине су заступљене са 6,0 % и </w:t>
      </w:r>
      <w:r>
        <w:rPr>
          <w:color w:val="231F20"/>
          <w:spacing w:val="-3"/>
          <w:sz w:val="18"/>
        </w:rPr>
        <w:t>изданачке </w:t>
      </w:r>
      <w:r>
        <w:rPr>
          <w:color w:val="231F20"/>
          <w:sz w:val="18"/>
        </w:rPr>
        <w:t>са 1,3</w:t>
      </w:r>
      <w:r>
        <w:rPr>
          <w:color w:val="231F20"/>
          <w:spacing w:val="1"/>
          <w:sz w:val="18"/>
        </w:rPr>
        <w:t> </w:t>
      </w:r>
      <w:r>
        <w:rPr>
          <w:color w:val="231F20"/>
          <w:sz w:val="18"/>
        </w:rPr>
        <w:t>%;</w:t>
      </w:r>
    </w:p>
    <w:p>
      <w:pPr>
        <w:pStyle w:val="ListParagraph"/>
        <w:numPr>
          <w:ilvl w:val="0"/>
          <w:numId w:val="16"/>
        </w:numPr>
        <w:tabs>
          <w:tab w:pos="1038" w:val="left" w:leader="none"/>
        </w:tabs>
        <w:spacing w:line="232" w:lineRule="auto" w:before="0" w:after="0"/>
        <w:ind w:left="454" w:right="0" w:firstLine="397"/>
        <w:jc w:val="both"/>
        <w:rPr>
          <w:sz w:val="18"/>
        </w:rPr>
      </w:pPr>
      <w:r>
        <w:rPr>
          <w:color w:val="231F20"/>
          <w:spacing w:val="-3"/>
          <w:sz w:val="18"/>
        </w:rPr>
        <w:t>од </w:t>
      </w:r>
      <w:r>
        <w:rPr>
          <w:color w:val="231F20"/>
          <w:sz w:val="18"/>
        </w:rPr>
        <w:t>укупне површине шума очуваних је 34,1 %, разређених 57,4 % и девастираних 8,5</w:t>
      </w:r>
      <w:r>
        <w:rPr>
          <w:color w:val="231F20"/>
          <w:spacing w:val="-3"/>
          <w:sz w:val="18"/>
        </w:rPr>
        <w:t> </w:t>
      </w:r>
      <w:r>
        <w:rPr>
          <w:color w:val="231F20"/>
          <w:sz w:val="18"/>
        </w:rPr>
        <w:t>%;</w:t>
      </w:r>
    </w:p>
    <w:p>
      <w:pPr>
        <w:pStyle w:val="ListParagraph"/>
        <w:numPr>
          <w:ilvl w:val="0"/>
          <w:numId w:val="16"/>
        </w:numPr>
        <w:tabs>
          <w:tab w:pos="1056" w:val="left" w:leader="none"/>
        </w:tabs>
        <w:spacing w:line="232" w:lineRule="auto" w:before="0" w:after="0"/>
        <w:ind w:left="455" w:right="0" w:firstLine="396"/>
        <w:jc w:val="both"/>
        <w:rPr>
          <w:sz w:val="18"/>
        </w:rPr>
      </w:pPr>
      <w:r>
        <w:rPr>
          <w:color w:val="231F20"/>
          <w:sz w:val="18"/>
        </w:rPr>
        <w:t>чисте састојине су заступљене са 45,5 %, а мешовите са 54,5 % и</w:t>
      </w:r>
    </w:p>
    <w:p>
      <w:pPr>
        <w:spacing w:line="156"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10"/>
        </w:numPr>
        <w:tabs>
          <w:tab w:pos="737" w:val="left" w:leader="none"/>
          <w:tab w:pos="738" w:val="left" w:leader="none"/>
        </w:tabs>
        <w:spacing w:line="240" w:lineRule="auto" w:before="0" w:after="0"/>
        <w:ind w:left="737" w:right="1" w:hanging="284"/>
        <w:jc w:val="left"/>
        <w:rPr>
          <w:sz w:val="14"/>
        </w:rPr>
      </w:pPr>
      <w:r>
        <w:rPr>
          <w:color w:val="231F20"/>
          <w:sz w:val="14"/>
        </w:rPr>
        <w:t>Извор: ЈП „Србијашуме”: </w:t>
      </w:r>
      <w:r>
        <w:rPr>
          <w:color w:val="231F20"/>
          <w:spacing w:val="-4"/>
          <w:sz w:val="14"/>
        </w:rPr>
        <w:t>Услови </w:t>
      </w:r>
      <w:r>
        <w:rPr>
          <w:color w:val="231F20"/>
          <w:sz w:val="14"/>
        </w:rPr>
        <w:t>и подаци за Просторни план града Пожаревца, бр. 04 350-53/11 </w:t>
      </w:r>
      <w:r>
        <w:rPr>
          <w:color w:val="231F20"/>
          <w:spacing w:val="-3"/>
          <w:sz w:val="14"/>
        </w:rPr>
        <w:t>од </w:t>
      </w:r>
      <w:r>
        <w:rPr>
          <w:color w:val="231F20"/>
          <w:sz w:val="14"/>
        </w:rPr>
        <w:t>26. септембра</w:t>
      </w:r>
      <w:r>
        <w:rPr>
          <w:color w:val="231F20"/>
          <w:spacing w:val="1"/>
          <w:sz w:val="14"/>
        </w:rPr>
        <w:t> </w:t>
      </w:r>
      <w:r>
        <w:rPr>
          <w:color w:val="231F20"/>
          <w:sz w:val="14"/>
        </w:rPr>
        <w:t>2011.</w:t>
      </w:r>
    </w:p>
    <w:p>
      <w:pPr>
        <w:pStyle w:val="ListParagraph"/>
        <w:numPr>
          <w:ilvl w:val="0"/>
          <w:numId w:val="16"/>
        </w:numPr>
        <w:tabs>
          <w:tab w:pos="827" w:val="left" w:leader="none"/>
        </w:tabs>
        <w:spacing w:line="232" w:lineRule="auto" w:before="73" w:after="0"/>
        <w:ind w:left="241" w:right="128" w:firstLine="397"/>
        <w:jc w:val="both"/>
        <w:rPr>
          <w:sz w:val="18"/>
        </w:rPr>
      </w:pPr>
      <w:r>
        <w:rPr>
          <w:color w:val="231F20"/>
          <w:spacing w:val="-6"/>
          <w:sz w:val="18"/>
        </w:rPr>
        <w:br w:type="column"/>
      </w:r>
      <w:r>
        <w:rPr>
          <w:color w:val="231F20"/>
          <w:spacing w:val="-3"/>
          <w:sz w:val="18"/>
        </w:rPr>
        <w:t>од </w:t>
      </w:r>
      <w:r>
        <w:rPr>
          <w:color w:val="231F20"/>
          <w:sz w:val="18"/>
        </w:rPr>
        <w:t>врста дрвећа, највише је заступљен багрем са 60,9 %, а </w:t>
      </w:r>
      <w:r>
        <w:rPr>
          <w:color w:val="231F20"/>
          <w:spacing w:val="-3"/>
          <w:sz w:val="18"/>
        </w:rPr>
        <w:t>од </w:t>
      </w:r>
      <w:r>
        <w:rPr>
          <w:color w:val="231F20"/>
          <w:sz w:val="18"/>
        </w:rPr>
        <w:t>четинара црни бор са 7,0</w:t>
      </w:r>
      <w:r>
        <w:rPr>
          <w:color w:val="231F20"/>
          <w:spacing w:val="0"/>
          <w:sz w:val="18"/>
        </w:rPr>
        <w:t> </w:t>
      </w:r>
      <w:r>
        <w:rPr>
          <w:color w:val="231F20"/>
          <w:sz w:val="18"/>
        </w:rPr>
        <w:t>%.</w:t>
      </w:r>
    </w:p>
    <w:p>
      <w:pPr>
        <w:pStyle w:val="BodyText"/>
        <w:spacing w:line="230" w:lineRule="auto"/>
        <w:ind w:left="241" w:right="127" w:firstLine="396"/>
      </w:pPr>
      <w:r>
        <w:rPr>
          <w:color w:val="231F20"/>
          <w:spacing w:val="-3"/>
        </w:rPr>
        <w:t>Аутохтоне </w:t>
      </w:r>
      <w:r>
        <w:rPr>
          <w:color w:val="231F20"/>
        </w:rPr>
        <w:t>шумске заједнице су данас заступљене само у фрагментима. Ово се посебно односи на шуму храста лужњака и граба и шуму сладуна и цера, </w:t>
      </w:r>
      <w:r>
        <w:rPr>
          <w:color w:val="231F20"/>
          <w:spacing w:val="-3"/>
        </w:rPr>
        <w:t>од којих </w:t>
      </w:r>
      <w:r>
        <w:rPr>
          <w:color w:val="231F20"/>
        </w:rPr>
        <w:t>данас постоје појединачни примерци </w:t>
      </w:r>
      <w:r>
        <w:rPr>
          <w:color w:val="231F20"/>
          <w:spacing w:val="-3"/>
        </w:rPr>
        <w:t>који </w:t>
      </w:r>
      <w:r>
        <w:rPr>
          <w:color w:val="231F20"/>
        </w:rPr>
        <w:t>су у процесу сушења, углавном, услед регулисања природних </w:t>
      </w:r>
      <w:r>
        <w:rPr>
          <w:color w:val="231F20"/>
          <w:spacing w:val="-3"/>
        </w:rPr>
        <w:t>токова </w:t>
      </w:r>
      <w:r>
        <w:rPr>
          <w:color w:val="231F20"/>
        </w:rPr>
        <w:t>река. Остаци некадашњих лужњакових шума,  у виду групе појединачних стабала, последњих 15 – 20 </w:t>
      </w:r>
      <w:r>
        <w:rPr>
          <w:color w:val="231F20"/>
          <w:spacing w:val="-3"/>
        </w:rPr>
        <w:t>година </w:t>
      </w:r>
      <w:r>
        <w:rPr>
          <w:color w:val="231F20"/>
        </w:rPr>
        <w:t>су </w:t>
      </w:r>
      <w:r>
        <w:rPr>
          <w:color w:val="231F20"/>
          <w:spacing w:val="-3"/>
        </w:rPr>
        <w:t>под </w:t>
      </w:r>
      <w:r>
        <w:rPr>
          <w:color w:val="231F20"/>
        </w:rPr>
        <w:t>заштитом</w:t>
      </w:r>
      <w:r>
        <w:rPr>
          <w:color w:val="231F20"/>
          <w:spacing w:val="1"/>
        </w:rPr>
        <w:t> </w:t>
      </w:r>
      <w:r>
        <w:rPr>
          <w:color w:val="231F20"/>
        </w:rPr>
        <w:t>државе.</w:t>
      </w:r>
    </w:p>
    <w:p>
      <w:pPr>
        <w:pStyle w:val="BodyText"/>
        <w:spacing w:line="230" w:lineRule="auto"/>
        <w:ind w:left="240" w:right="128" w:firstLine="397"/>
      </w:pPr>
      <w:r>
        <w:rPr>
          <w:color w:val="231F20"/>
        </w:rPr>
        <w:t>Према критеријумима бонитирања земљишта, површине намењене шумарству припадају </w:t>
      </w:r>
      <w:r>
        <w:rPr>
          <w:color w:val="231F20"/>
          <w:spacing w:val="-12"/>
        </w:rPr>
        <w:t>V, </w:t>
      </w:r>
      <w:r>
        <w:rPr>
          <w:color w:val="231F20"/>
        </w:rPr>
        <w:t>VI, VII и VIII бонитетној кла- си. </w:t>
      </w:r>
      <w:r>
        <w:rPr>
          <w:color w:val="231F20"/>
          <w:spacing w:val="-7"/>
        </w:rPr>
        <w:t>То су, </w:t>
      </w:r>
      <w:r>
        <w:rPr>
          <w:color w:val="231F20"/>
        </w:rPr>
        <w:t>углавном, слабоплодна или плављена земљишта, у </w:t>
      </w:r>
      <w:r>
        <w:rPr>
          <w:color w:val="231F20"/>
          <w:spacing w:val="-3"/>
        </w:rPr>
        <w:t>која </w:t>
      </w:r>
      <w:r>
        <w:rPr>
          <w:color w:val="231F20"/>
        </w:rPr>
        <w:t>спадају алувијални наноси уз велике реке, док зоне одлагалишта и површинских </w:t>
      </w:r>
      <w:r>
        <w:rPr>
          <w:color w:val="231F20"/>
          <w:spacing w:val="-3"/>
        </w:rPr>
        <w:t>копова </w:t>
      </w:r>
      <w:r>
        <w:rPr>
          <w:color w:val="231F20"/>
        </w:rPr>
        <w:t>имају озбиљне ограничавајуће факторе за коришћење</w:t>
      </w:r>
      <w:r>
        <w:rPr>
          <w:color w:val="231F20"/>
          <w:spacing w:val="-8"/>
        </w:rPr>
        <w:t> </w:t>
      </w:r>
      <w:r>
        <w:rPr>
          <w:color w:val="231F20"/>
        </w:rPr>
        <w:t>не</w:t>
      </w:r>
      <w:r>
        <w:rPr>
          <w:color w:val="231F20"/>
          <w:spacing w:val="-8"/>
        </w:rPr>
        <w:t> </w:t>
      </w:r>
      <w:r>
        <w:rPr>
          <w:color w:val="231F20"/>
        </w:rPr>
        <w:t>само</w:t>
      </w:r>
      <w:r>
        <w:rPr>
          <w:color w:val="231F20"/>
          <w:spacing w:val="-8"/>
        </w:rPr>
        <w:t> </w:t>
      </w:r>
      <w:r>
        <w:rPr>
          <w:color w:val="231F20"/>
        </w:rPr>
        <w:t>у</w:t>
      </w:r>
      <w:r>
        <w:rPr>
          <w:color w:val="231F20"/>
          <w:spacing w:val="-8"/>
        </w:rPr>
        <w:t> </w:t>
      </w:r>
      <w:r>
        <w:rPr>
          <w:color w:val="231F20"/>
        </w:rPr>
        <w:t>пољопривреди,</w:t>
      </w:r>
      <w:r>
        <w:rPr>
          <w:color w:val="231F20"/>
          <w:spacing w:val="-8"/>
        </w:rPr>
        <w:t> </w:t>
      </w:r>
      <w:r>
        <w:rPr>
          <w:color w:val="231F20"/>
        </w:rPr>
        <w:t>већ</w:t>
      </w:r>
      <w:r>
        <w:rPr>
          <w:color w:val="231F20"/>
          <w:spacing w:val="-8"/>
        </w:rPr>
        <w:t> </w:t>
      </w:r>
      <w:r>
        <w:rPr>
          <w:color w:val="231F20"/>
        </w:rPr>
        <w:t>и</w:t>
      </w:r>
      <w:r>
        <w:rPr>
          <w:color w:val="231F20"/>
          <w:spacing w:val="-8"/>
        </w:rPr>
        <w:t> </w:t>
      </w:r>
      <w:r>
        <w:rPr>
          <w:color w:val="231F20"/>
        </w:rPr>
        <w:t>у</w:t>
      </w:r>
      <w:r>
        <w:rPr>
          <w:color w:val="231F20"/>
          <w:spacing w:val="-8"/>
        </w:rPr>
        <w:t> </w:t>
      </w:r>
      <w:r>
        <w:rPr>
          <w:color w:val="231F20"/>
        </w:rPr>
        <w:t>шумарству</w:t>
      </w:r>
      <w:r>
        <w:rPr>
          <w:color w:val="231F20"/>
          <w:spacing w:val="-8"/>
        </w:rPr>
        <w:t> </w:t>
      </w:r>
      <w:r>
        <w:rPr>
          <w:color w:val="231F20"/>
        </w:rPr>
        <w:t>и</w:t>
      </w:r>
      <w:r>
        <w:rPr>
          <w:color w:val="231F20"/>
          <w:spacing w:val="-8"/>
        </w:rPr>
        <w:t> </w:t>
      </w:r>
      <w:r>
        <w:rPr>
          <w:color w:val="231F20"/>
        </w:rPr>
        <w:t>на</w:t>
      </w:r>
      <w:r>
        <w:rPr>
          <w:color w:val="231F20"/>
          <w:spacing w:val="-8"/>
        </w:rPr>
        <w:t> </w:t>
      </w:r>
      <w:r>
        <w:rPr>
          <w:color w:val="231F20"/>
        </w:rPr>
        <w:t>њима је потребно извршити </w:t>
      </w:r>
      <w:r>
        <w:rPr>
          <w:color w:val="231F20"/>
          <w:spacing w:val="-3"/>
        </w:rPr>
        <w:t>рекултивацију. Такође, </w:t>
      </w:r>
      <w:r>
        <w:rPr>
          <w:color w:val="231F20"/>
        </w:rPr>
        <w:t>потенцијални про- стори за подизање нових шума су терени живих пескова ка </w:t>
      </w:r>
      <w:r>
        <w:rPr>
          <w:color w:val="231F20"/>
          <w:spacing w:val="-4"/>
        </w:rPr>
        <w:t>Раму, </w:t>
      </w:r>
      <w:r>
        <w:rPr>
          <w:color w:val="231F20"/>
        </w:rPr>
        <w:t>као и земљишта угрожена</w:t>
      </w:r>
      <w:r>
        <w:rPr>
          <w:color w:val="231F20"/>
          <w:spacing w:val="-4"/>
        </w:rPr>
        <w:t> </w:t>
      </w:r>
      <w:r>
        <w:rPr>
          <w:color w:val="231F20"/>
        </w:rPr>
        <w:t>ерозијом.</w:t>
      </w:r>
    </w:p>
    <w:p>
      <w:pPr>
        <w:pStyle w:val="BodyText"/>
        <w:spacing w:before="150"/>
        <w:ind w:left="2237"/>
        <w:jc w:val="left"/>
      </w:pPr>
      <w:r>
        <w:rPr>
          <w:color w:val="231F20"/>
        </w:rPr>
        <w:t>Лов и риболов</w:t>
      </w:r>
    </w:p>
    <w:p>
      <w:pPr>
        <w:pStyle w:val="BodyText"/>
        <w:ind w:left="0"/>
        <w:jc w:val="left"/>
        <w:rPr>
          <w:sz w:val="17"/>
        </w:rPr>
      </w:pPr>
    </w:p>
    <w:p>
      <w:pPr>
        <w:pStyle w:val="BodyText"/>
        <w:spacing w:line="230" w:lineRule="auto" w:before="1"/>
        <w:ind w:left="241" w:right="129" w:firstLine="396"/>
      </w:pPr>
      <w:r>
        <w:rPr>
          <w:color w:val="231F20"/>
        </w:rPr>
        <w:t>На Планском подручју главне врсте дивљачи су срна, дивља свиња, зец, фазан, дивља патка глувара и јаребица.</w:t>
      </w:r>
    </w:p>
    <w:p>
      <w:pPr>
        <w:pStyle w:val="BodyText"/>
        <w:spacing w:line="230" w:lineRule="auto"/>
        <w:ind w:left="240" w:right="129" w:firstLine="397"/>
      </w:pPr>
      <w:r>
        <w:rPr>
          <w:color w:val="231F20"/>
        </w:rPr>
        <w:t>На подручју града Пожаревца налази се ловиште „Стиг” </w:t>
      </w:r>
      <w:r>
        <w:rPr>
          <w:color w:val="231F20"/>
          <w:spacing w:val="-3"/>
        </w:rPr>
        <w:t>које </w:t>
      </w:r>
      <w:r>
        <w:rPr>
          <w:color w:val="231F20"/>
        </w:rPr>
        <w:t>обухвата површину </w:t>
      </w:r>
      <w:r>
        <w:rPr>
          <w:color w:val="231F20"/>
          <w:spacing w:val="-3"/>
        </w:rPr>
        <w:t>од </w:t>
      </w:r>
      <w:r>
        <w:rPr>
          <w:color w:val="231F20"/>
        </w:rPr>
        <w:t>38.199 ha. Ловиште је установљено реше- њем број 324-02-00305/95-06 („Службени гласник РС”, број</w:t>
      </w:r>
      <w:r>
        <w:rPr>
          <w:color w:val="231F20"/>
          <w:spacing w:val="-28"/>
        </w:rPr>
        <w:t> </w:t>
      </w:r>
      <w:r>
        <w:rPr>
          <w:color w:val="231F20"/>
        </w:rPr>
        <w:t>54/95) којим</w:t>
      </w:r>
      <w:r>
        <w:rPr>
          <w:color w:val="231F20"/>
          <w:spacing w:val="-10"/>
        </w:rPr>
        <w:t> </w:t>
      </w:r>
      <w:r>
        <w:rPr>
          <w:color w:val="231F20"/>
        </w:rPr>
        <w:t>је</w:t>
      </w:r>
      <w:r>
        <w:rPr>
          <w:color w:val="231F20"/>
          <w:spacing w:val="-10"/>
        </w:rPr>
        <w:t> </w:t>
      </w:r>
      <w:r>
        <w:rPr>
          <w:color w:val="231F20"/>
        </w:rPr>
        <w:t>оно</w:t>
      </w:r>
      <w:r>
        <w:rPr>
          <w:color w:val="231F20"/>
          <w:spacing w:val="-10"/>
        </w:rPr>
        <w:t> </w:t>
      </w:r>
      <w:r>
        <w:rPr>
          <w:color w:val="231F20"/>
        </w:rPr>
        <w:t>додељено</w:t>
      </w:r>
      <w:r>
        <w:rPr>
          <w:color w:val="231F20"/>
          <w:spacing w:val="-10"/>
        </w:rPr>
        <w:t> </w:t>
      </w:r>
      <w:r>
        <w:rPr>
          <w:color w:val="231F20"/>
        </w:rPr>
        <w:t>на</w:t>
      </w:r>
      <w:r>
        <w:rPr>
          <w:color w:val="231F20"/>
          <w:spacing w:val="-10"/>
        </w:rPr>
        <w:t> </w:t>
      </w:r>
      <w:r>
        <w:rPr>
          <w:color w:val="231F20"/>
        </w:rPr>
        <w:t>газдовање</w:t>
      </w:r>
      <w:r>
        <w:rPr>
          <w:color w:val="231F20"/>
          <w:spacing w:val="-10"/>
        </w:rPr>
        <w:t> </w:t>
      </w:r>
      <w:r>
        <w:rPr>
          <w:color w:val="231F20"/>
        </w:rPr>
        <w:t>ЛУ</w:t>
      </w:r>
      <w:r>
        <w:rPr>
          <w:color w:val="231F20"/>
          <w:spacing w:val="-10"/>
        </w:rPr>
        <w:t> </w:t>
      </w:r>
      <w:r>
        <w:rPr>
          <w:color w:val="231F20"/>
        </w:rPr>
        <w:t>„Војвода</w:t>
      </w:r>
      <w:r>
        <w:rPr>
          <w:color w:val="231F20"/>
          <w:spacing w:val="-10"/>
        </w:rPr>
        <w:t> </w:t>
      </w:r>
      <w:r>
        <w:rPr>
          <w:color w:val="231F20"/>
        </w:rPr>
        <w:t>Миленко”.</w:t>
      </w:r>
      <w:r>
        <w:rPr>
          <w:color w:val="231F20"/>
          <w:spacing w:val="-10"/>
        </w:rPr>
        <w:t> </w:t>
      </w:r>
      <w:r>
        <w:rPr>
          <w:color w:val="231F20"/>
        </w:rPr>
        <w:t>Лови- ште </w:t>
      </w:r>
      <w:r>
        <w:rPr>
          <w:color w:val="231F20"/>
          <w:spacing w:val="-3"/>
        </w:rPr>
        <w:t>заузима </w:t>
      </w:r>
      <w:r>
        <w:rPr>
          <w:color w:val="231F20"/>
        </w:rPr>
        <w:t>површине пољопривредног земљишта, шума и вода дела територије градова Пожаревац и</w:t>
      </w:r>
      <w:r>
        <w:rPr>
          <w:color w:val="231F20"/>
          <w:spacing w:val="-6"/>
        </w:rPr>
        <w:t> </w:t>
      </w:r>
      <w:r>
        <w:rPr>
          <w:color w:val="231F20"/>
        </w:rPr>
        <w:t>Смедерево.</w:t>
      </w:r>
    </w:p>
    <w:p>
      <w:pPr>
        <w:pStyle w:val="BodyText"/>
        <w:spacing w:line="230" w:lineRule="auto"/>
        <w:ind w:left="187" w:right="128" w:firstLine="397"/>
        <w:jc w:val="right"/>
      </w:pPr>
      <w:r>
        <w:rPr>
          <w:color w:val="231F20"/>
        </w:rPr>
        <w:t>Поред газдовања, ловиште „Стиг” се брине о узгоју, нези, за- штити и коришћењу дивљачи. План коришћења ловишта и развој ловно-туристичких и ловно-техничких објеката настоји да обез- беди услове за постизање економских капацитета за главне врсте дивљачи. Фонд дивљачи у овом ловишту је: 370 срна, 20 дивљих свиња, 3.100 зечева, 3.200 фазана и 3.200 пољских јаребица. Усло- ви станишта у ловишту су промењени и делују негативно на про- мене у популацији дивљачи која стално или привремено живи у ловишту. Посебно треба истаћи да су оптимални услови за гајење срна драстично поремећени због великог броја шакала који реду- кују реални прираст (ланад). Иако корисник ловишта настоји да популацију шакала стави под контролу губици су и даље од 5-8%. Ловиште „Храстовача” се налази у оквиру ГЈ „Острово” и об- ухвата површину од 3.114 ha. Ово ловиште је установљено реше- њем Министарства пољопривреде, шумарства и водопривреде бр. 324-02-283/1-93-06 („Службени гласник РС”, број 21/94). Бројно стање дивљачи на основу бројања од 19. марта 2011. године је сле- деће: срна 35, дивља свиња 35, зец 134, фазан 246, дивља патка</w:t>
      </w:r>
    </w:p>
    <w:p>
      <w:pPr>
        <w:pStyle w:val="BodyText"/>
        <w:spacing w:line="183" w:lineRule="exact"/>
        <w:ind w:left="241"/>
        <w:jc w:val="left"/>
      </w:pPr>
      <w:r>
        <w:rPr>
          <w:color w:val="231F20"/>
        </w:rPr>
        <w:t>глувара 378 и пољска јаребица 30.</w:t>
      </w:r>
    </w:p>
    <w:p>
      <w:pPr>
        <w:pStyle w:val="BodyText"/>
        <w:spacing w:line="230" w:lineRule="auto"/>
        <w:ind w:left="241" w:right="128" w:firstLine="396"/>
      </w:pPr>
      <w:r>
        <w:rPr>
          <w:color w:val="231F20"/>
        </w:rPr>
        <w:t>Рекултивацијом деградираног простора остварује се позити- ван утицај у смислу спонтаног враћања животињских врста </w:t>
      </w:r>
      <w:r>
        <w:rPr>
          <w:color w:val="231F20"/>
          <w:spacing w:val="-3"/>
        </w:rPr>
        <w:t>које </w:t>
      </w:r>
      <w:r>
        <w:rPr>
          <w:color w:val="231F20"/>
        </w:rPr>
        <w:t>су</w:t>
      </w:r>
      <w:r>
        <w:rPr>
          <w:color w:val="231F20"/>
          <w:spacing w:val="-12"/>
        </w:rPr>
        <w:t> </w:t>
      </w:r>
      <w:r>
        <w:rPr>
          <w:color w:val="231F20"/>
        </w:rPr>
        <w:t>га</w:t>
      </w:r>
      <w:r>
        <w:rPr>
          <w:color w:val="231F20"/>
          <w:spacing w:val="-12"/>
        </w:rPr>
        <w:t> </w:t>
      </w:r>
      <w:r>
        <w:rPr>
          <w:color w:val="231F20"/>
        </w:rPr>
        <w:t>раније</w:t>
      </w:r>
      <w:r>
        <w:rPr>
          <w:color w:val="231F20"/>
          <w:spacing w:val="-12"/>
        </w:rPr>
        <w:t> </w:t>
      </w:r>
      <w:r>
        <w:rPr>
          <w:color w:val="231F20"/>
        </w:rPr>
        <w:t>напустиле.</w:t>
      </w:r>
      <w:r>
        <w:rPr>
          <w:color w:val="231F20"/>
          <w:spacing w:val="-12"/>
        </w:rPr>
        <w:t> </w:t>
      </w:r>
      <w:r>
        <w:rPr>
          <w:color w:val="231F20"/>
        </w:rPr>
        <w:t>Према</w:t>
      </w:r>
      <w:r>
        <w:rPr>
          <w:color w:val="231F20"/>
          <w:spacing w:val="-12"/>
        </w:rPr>
        <w:t> </w:t>
      </w:r>
      <w:r>
        <w:rPr>
          <w:color w:val="231F20"/>
        </w:rPr>
        <w:t>подацима</w:t>
      </w:r>
      <w:r>
        <w:rPr>
          <w:color w:val="231F20"/>
          <w:spacing w:val="-12"/>
        </w:rPr>
        <w:t> </w:t>
      </w:r>
      <w:r>
        <w:rPr>
          <w:color w:val="231F20"/>
        </w:rPr>
        <w:t>ШО</w:t>
      </w:r>
      <w:r>
        <w:rPr>
          <w:color w:val="231F20"/>
          <w:spacing w:val="-12"/>
        </w:rPr>
        <w:t> </w:t>
      </w:r>
      <w:r>
        <w:rPr>
          <w:color w:val="231F20"/>
        </w:rPr>
        <w:t>„Копови</w:t>
      </w:r>
      <w:r>
        <w:rPr>
          <w:color w:val="231F20"/>
          <w:spacing w:val="12"/>
        </w:rPr>
        <w:t> </w:t>
      </w:r>
      <w:r>
        <w:rPr>
          <w:color w:val="231F20"/>
        </w:rPr>
        <w:t>–</w:t>
      </w:r>
      <w:r>
        <w:rPr>
          <w:color w:val="231F20"/>
          <w:spacing w:val="-12"/>
        </w:rPr>
        <w:t> </w:t>
      </w:r>
      <w:r>
        <w:rPr>
          <w:color w:val="231F20"/>
        </w:rPr>
        <w:t>Костолац” присутност појединих врста је повећана, док су неке врсте врло брзо достигле значајну бројност и покривеност подручја (дивља свиња, зец, срна, неке врсте птица). Оваквом брзом повратку жи- вотињског света је допринела и вишегодишња забрана лова </w:t>
      </w:r>
      <w:r>
        <w:rPr>
          <w:color w:val="231F20"/>
          <w:spacing w:val="-3"/>
        </w:rPr>
        <w:t>од </w:t>
      </w:r>
      <w:r>
        <w:rPr>
          <w:color w:val="231F20"/>
        </w:rPr>
        <w:t>стране локалног </w:t>
      </w:r>
      <w:r>
        <w:rPr>
          <w:color w:val="231F20"/>
          <w:spacing w:val="-3"/>
        </w:rPr>
        <w:t>ловачког удружења.</w:t>
      </w:r>
    </w:p>
    <w:p>
      <w:pPr>
        <w:pStyle w:val="BodyText"/>
        <w:spacing w:line="230" w:lineRule="auto"/>
        <w:ind w:left="241" w:right="128" w:firstLine="397"/>
      </w:pPr>
      <w:r>
        <w:rPr>
          <w:color w:val="231F20"/>
        </w:rPr>
        <w:t>Планско подручје припада рибарском подручју „Дунав III”. Основни водни ресурс представља река Дунав, </w:t>
      </w:r>
      <w:r>
        <w:rPr>
          <w:color w:val="231F20"/>
          <w:spacing w:val="-3"/>
        </w:rPr>
        <w:t>која </w:t>
      </w:r>
      <w:r>
        <w:rPr>
          <w:color w:val="231F20"/>
        </w:rPr>
        <w:t>је по квали- тету воде у границама II класе бонитета, с мањим одступањима  на појединим локалитетима у одређеном периоду године. Поред Дунава, издвајају се и његове </w:t>
      </w:r>
      <w:r>
        <w:rPr>
          <w:color w:val="231F20"/>
          <w:spacing w:val="-3"/>
        </w:rPr>
        <w:t>главне </w:t>
      </w:r>
      <w:r>
        <w:rPr>
          <w:color w:val="231F20"/>
        </w:rPr>
        <w:t>притоке Велика Морава и Млава. Ово подручје има значајан рибљи фонд </w:t>
      </w:r>
      <w:r>
        <w:rPr>
          <w:color w:val="231F20"/>
          <w:spacing w:val="-3"/>
        </w:rPr>
        <w:t>који </w:t>
      </w:r>
      <w:r>
        <w:rPr>
          <w:color w:val="231F20"/>
        </w:rPr>
        <w:t>обухвата и </w:t>
      </w:r>
      <w:r>
        <w:rPr>
          <w:color w:val="231F20"/>
          <w:spacing w:val="-3"/>
        </w:rPr>
        <w:t>економске </w:t>
      </w:r>
      <w:r>
        <w:rPr>
          <w:color w:val="231F20"/>
        </w:rPr>
        <w:t>важне рибе (сом, шаран, смуђ, штука и кечига, као и интродукована врста бели толстолобик). Изузетно погодно место за</w:t>
      </w:r>
      <w:r>
        <w:rPr>
          <w:color w:val="231F20"/>
          <w:spacing w:val="-8"/>
        </w:rPr>
        <w:t> </w:t>
      </w:r>
      <w:r>
        <w:rPr>
          <w:color w:val="231F20"/>
        </w:rPr>
        <w:t>мрест</w:t>
      </w:r>
      <w:r>
        <w:rPr>
          <w:color w:val="231F20"/>
          <w:spacing w:val="-8"/>
        </w:rPr>
        <w:t> </w:t>
      </w:r>
      <w:r>
        <w:rPr>
          <w:color w:val="231F20"/>
        </w:rPr>
        <w:t>бројних</w:t>
      </w:r>
      <w:r>
        <w:rPr>
          <w:color w:val="231F20"/>
          <w:spacing w:val="-8"/>
        </w:rPr>
        <w:t> </w:t>
      </w:r>
      <w:r>
        <w:rPr>
          <w:color w:val="231F20"/>
        </w:rPr>
        <w:t>врста</w:t>
      </w:r>
      <w:r>
        <w:rPr>
          <w:color w:val="231F20"/>
          <w:spacing w:val="-8"/>
        </w:rPr>
        <w:t> </w:t>
      </w:r>
      <w:r>
        <w:rPr>
          <w:color w:val="231F20"/>
        </w:rPr>
        <w:t>риба</w:t>
      </w:r>
      <w:r>
        <w:rPr>
          <w:color w:val="231F20"/>
          <w:spacing w:val="-8"/>
        </w:rPr>
        <w:t> </w:t>
      </w:r>
      <w:r>
        <w:rPr>
          <w:color w:val="231F20"/>
          <w:spacing w:val="-3"/>
        </w:rPr>
        <w:t>које</w:t>
      </w:r>
      <w:r>
        <w:rPr>
          <w:color w:val="231F20"/>
          <w:spacing w:val="-8"/>
        </w:rPr>
        <w:t> </w:t>
      </w:r>
      <w:r>
        <w:rPr>
          <w:color w:val="231F20"/>
        </w:rPr>
        <w:t>из</w:t>
      </w:r>
      <w:r>
        <w:rPr>
          <w:color w:val="231F20"/>
          <w:spacing w:val="-8"/>
        </w:rPr>
        <w:t> </w:t>
      </w:r>
      <w:r>
        <w:rPr>
          <w:color w:val="231F20"/>
        </w:rPr>
        <w:t>Дунава</w:t>
      </w:r>
      <w:r>
        <w:rPr>
          <w:color w:val="231F20"/>
          <w:spacing w:val="-8"/>
        </w:rPr>
        <w:t> </w:t>
      </w:r>
      <w:r>
        <w:rPr>
          <w:color w:val="231F20"/>
        </w:rPr>
        <w:t>доспевају</w:t>
      </w:r>
      <w:r>
        <w:rPr>
          <w:color w:val="231F20"/>
          <w:spacing w:val="-8"/>
        </w:rPr>
        <w:t> </w:t>
      </w:r>
      <w:r>
        <w:rPr>
          <w:color w:val="231F20"/>
        </w:rPr>
        <w:t>Костолачким каналом је бара Шугавица, као и Млава на ушћу у Дунав. </w:t>
      </w:r>
      <w:r>
        <w:rPr>
          <w:color w:val="231F20"/>
          <w:spacing w:val="-5"/>
        </w:rPr>
        <w:t>Услед </w:t>
      </w:r>
      <w:r>
        <w:rPr>
          <w:color w:val="231F20"/>
        </w:rPr>
        <w:t>антропогених притисака у фази је нестајања, па је установљена забрана привредног риболова на овом</w:t>
      </w:r>
      <w:r>
        <w:rPr>
          <w:color w:val="231F20"/>
          <w:spacing w:val="-6"/>
        </w:rPr>
        <w:t> </w:t>
      </w:r>
      <w:r>
        <w:rPr>
          <w:color w:val="231F20"/>
          <w:spacing w:val="-3"/>
        </w:rPr>
        <w:t>простору.</w:t>
      </w:r>
    </w:p>
    <w:p>
      <w:pPr>
        <w:pStyle w:val="ListParagraph"/>
        <w:numPr>
          <w:ilvl w:val="2"/>
          <w:numId w:val="14"/>
        </w:numPr>
        <w:tabs>
          <w:tab w:pos="698" w:val="left" w:leader="none"/>
        </w:tabs>
        <w:spacing w:line="240" w:lineRule="auto" w:before="147" w:after="0"/>
        <w:ind w:left="697" w:right="0" w:hanging="450"/>
        <w:jc w:val="left"/>
        <w:rPr>
          <w:sz w:val="18"/>
        </w:rPr>
      </w:pPr>
      <w:r>
        <w:rPr>
          <w:color w:val="231F20"/>
          <w:spacing w:val="15"/>
          <w:sz w:val="18"/>
        </w:rPr>
        <w:t>Развој туризма </w:t>
      </w:r>
      <w:r>
        <w:rPr>
          <w:color w:val="231F20"/>
          <w:sz w:val="18"/>
        </w:rPr>
        <w:t>и </w:t>
      </w:r>
      <w:r>
        <w:rPr>
          <w:color w:val="231F20"/>
          <w:spacing w:val="16"/>
          <w:sz w:val="18"/>
        </w:rPr>
        <w:t>уређење</w:t>
      </w:r>
      <w:r>
        <w:rPr>
          <w:color w:val="231F20"/>
          <w:spacing w:val="30"/>
          <w:sz w:val="18"/>
        </w:rPr>
        <w:t> </w:t>
      </w:r>
      <w:r>
        <w:rPr>
          <w:color w:val="231F20"/>
          <w:spacing w:val="17"/>
          <w:sz w:val="18"/>
        </w:rPr>
        <w:t>туристичких </w:t>
      </w:r>
      <w:r>
        <w:rPr>
          <w:color w:val="231F20"/>
          <w:spacing w:val="15"/>
          <w:sz w:val="18"/>
        </w:rPr>
        <w:t>подручја</w:t>
      </w:r>
    </w:p>
    <w:p>
      <w:pPr>
        <w:pStyle w:val="BodyText"/>
        <w:spacing w:before="3"/>
        <w:ind w:left="0"/>
        <w:jc w:val="left"/>
        <w:rPr>
          <w:sz w:val="17"/>
        </w:rPr>
      </w:pPr>
    </w:p>
    <w:p>
      <w:pPr>
        <w:pStyle w:val="BodyText"/>
        <w:spacing w:line="232" w:lineRule="auto"/>
        <w:ind w:left="241" w:right="128" w:firstLine="397"/>
      </w:pPr>
      <w:r>
        <w:rPr>
          <w:color w:val="231F20"/>
        </w:rPr>
        <w:t>На основу туристичке валоризације потенцијали Планског подручја, могу се оценити као релативно повољни у погледу бо- гатства мотива, природне и културне баштине и приступачности (положај на Дунаву – деоници коридора VII, и гравитациона зона</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right="39" w:hanging="1"/>
      </w:pPr>
      <w:r>
        <w:rPr/>
        <w:pict>
          <v:line style="position:absolute;mso-position-horizontal-relative:page;mso-position-vertical-relative:page;z-index:1360" from="304.724396pt,11.942451pt" to="304.724396pt,748.950451pt" stroked="true" strokeweight=".6pt" strokecolor="#231f20">
            <v:stroke dashstyle="solid"/>
            <w10:wrap type="none"/>
          </v:line>
        </w:pict>
      </w:r>
      <w:r>
        <w:rPr>
          <w:color w:val="231F20"/>
        </w:rPr>
        <w:t>ауто-пута Е-75), са Дунавом (један </w:t>
      </w:r>
      <w:r>
        <w:rPr>
          <w:color w:val="231F20"/>
          <w:spacing w:val="-3"/>
        </w:rPr>
        <w:t>од </w:t>
      </w:r>
      <w:r>
        <w:rPr>
          <w:color w:val="231F20"/>
        </w:rPr>
        <w:t>примарних туристичких простора </w:t>
      </w:r>
      <w:r>
        <w:rPr>
          <w:color w:val="231F20"/>
          <w:spacing w:val="-3"/>
        </w:rPr>
        <w:t>који </w:t>
      </w:r>
      <w:r>
        <w:rPr>
          <w:color w:val="231F20"/>
        </w:rPr>
        <w:t>интегрише туристичке кластере Војводине, Бео- града и југоисточне Србије), ушћима његових притока (Мораве </w:t>
      </w:r>
      <w:r>
        <w:rPr>
          <w:color w:val="231F20"/>
          <w:spacing w:val="-6"/>
        </w:rPr>
        <w:t>код </w:t>
      </w:r>
      <w:r>
        <w:rPr>
          <w:color w:val="231F20"/>
        </w:rPr>
        <w:t>Дубравице и Млаве </w:t>
      </w:r>
      <w:r>
        <w:rPr>
          <w:color w:val="231F20"/>
          <w:spacing w:val="-6"/>
        </w:rPr>
        <w:t>код </w:t>
      </w:r>
      <w:r>
        <w:rPr>
          <w:color w:val="231F20"/>
        </w:rPr>
        <w:t>Костолца) и речним адама, Вимина- цијумом и другим културно-историјским споменицима (локали- тети Маргум, Рукумија, Малинац и други), заштићеним природ- ним вредностима (парк природе Пругово, споменици природе у Драговцу и Љубичеву и </w:t>
      </w:r>
      <w:r>
        <w:rPr>
          <w:color w:val="231F20"/>
          <w:spacing w:val="-4"/>
        </w:rPr>
        <w:t>неколико </w:t>
      </w:r>
      <w:r>
        <w:rPr>
          <w:color w:val="231F20"/>
        </w:rPr>
        <w:t>предела посебних природних одлика), Пожаревцем и туристичко-спортским манифестација-  ма (Љубичевске </w:t>
      </w:r>
      <w:r>
        <w:rPr>
          <w:color w:val="231F20"/>
          <w:spacing w:val="-3"/>
        </w:rPr>
        <w:t>коњичке </w:t>
      </w:r>
      <w:r>
        <w:rPr>
          <w:color w:val="231F20"/>
        </w:rPr>
        <w:t>игре и друго). Расположиви туристички потенцијали на међународном </w:t>
      </w:r>
      <w:r>
        <w:rPr>
          <w:color w:val="231F20"/>
          <w:spacing w:val="-3"/>
        </w:rPr>
        <w:t>пловно-наутичком </w:t>
      </w:r>
      <w:r>
        <w:rPr>
          <w:color w:val="231F20"/>
        </w:rPr>
        <w:t>путу и близина већих градских агломерација (пре свега Београдa), представљају фактор развоја </w:t>
      </w:r>
      <w:r>
        <w:rPr>
          <w:color w:val="231F20"/>
          <w:spacing w:val="-3"/>
        </w:rPr>
        <w:t>наутичког </w:t>
      </w:r>
      <w:r>
        <w:rPr>
          <w:color w:val="231F20"/>
        </w:rPr>
        <w:t>(са другим видовима водног туризма), туринг</w:t>
      </w:r>
      <w:r>
        <w:rPr>
          <w:color w:val="231F20"/>
          <w:spacing w:val="21"/>
        </w:rPr>
        <w:t> </w:t>
      </w:r>
      <w:r>
        <w:rPr>
          <w:color w:val="231F20"/>
        </w:rPr>
        <w:t>(кружна</w:t>
      </w:r>
      <w:r>
        <w:rPr>
          <w:color w:val="231F20"/>
          <w:spacing w:val="21"/>
        </w:rPr>
        <w:t> </w:t>
      </w:r>
      <w:r>
        <w:rPr>
          <w:color w:val="231F20"/>
        </w:rPr>
        <w:t>и</w:t>
      </w:r>
      <w:r>
        <w:rPr>
          <w:color w:val="231F20"/>
          <w:spacing w:val="21"/>
        </w:rPr>
        <w:t> </w:t>
      </w:r>
      <w:r>
        <w:rPr>
          <w:color w:val="231F20"/>
        </w:rPr>
        <w:t>линеарна</w:t>
      </w:r>
      <w:r>
        <w:rPr>
          <w:color w:val="231F20"/>
          <w:spacing w:val="21"/>
        </w:rPr>
        <w:t> </w:t>
      </w:r>
      <w:r>
        <w:rPr>
          <w:color w:val="231F20"/>
        </w:rPr>
        <w:t>туристичка</w:t>
      </w:r>
      <w:r>
        <w:rPr>
          <w:color w:val="231F20"/>
          <w:spacing w:val="21"/>
        </w:rPr>
        <w:t> </w:t>
      </w:r>
      <w:r>
        <w:rPr>
          <w:color w:val="231F20"/>
        </w:rPr>
        <w:t>путовања/туре/путеви</w:t>
      </w:r>
    </w:p>
    <w:p>
      <w:pPr>
        <w:pStyle w:val="BodyText"/>
        <w:spacing w:line="232" w:lineRule="auto"/>
        <w:ind w:right="39"/>
      </w:pPr>
      <w:r>
        <w:rPr>
          <w:color w:val="231F20"/>
          <w:w w:val="66"/>
        </w:rPr>
        <w:t> </w:t>
      </w:r>
      <w:r>
        <w:rPr>
          <w:color w:val="231F20"/>
        </w:rPr>
        <w:t>– римских палата и споменика, дунавских мотива, бициклизма – Euro</w:t>
      </w:r>
      <w:r>
        <w:rPr>
          <w:color w:val="231F20"/>
          <w:spacing w:val="-13"/>
        </w:rPr>
        <w:t> </w:t>
      </w:r>
      <w:r>
        <w:rPr>
          <w:color w:val="231F20"/>
          <w:spacing w:val="-6"/>
        </w:rPr>
        <w:t>Velo</w:t>
      </w:r>
      <w:r>
        <w:rPr>
          <w:color w:val="231F20"/>
          <w:spacing w:val="-10"/>
        </w:rPr>
        <w:t> </w:t>
      </w:r>
      <w:r>
        <w:rPr>
          <w:color w:val="231F20"/>
        </w:rPr>
        <w:t>6,</w:t>
      </w:r>
      <w:r>
        <w:rPr>
          <w:color w:val="231F20"/>
          <w:spacing w:val="-10"/>
        </w:rPr>
        <w:t> </w:t>
      </w:r>
      <w:r>
        <w:rPr>
          <w:color w:val="231F20"/>
        </w:rPr>
        <w:t>деоница</w:t>
      </w:r>
      <w:r>
        <w:rPr>
          <w:color w:val="231F20"/>
          <w:spacing w:val="-10"/>
        </w:rPr>
        <w:t> </w:t>
      </w:r>
      <w:r>
        <w:rPr>
          <w:color w:val="231F20"/>
        </w:rPr>
        <w:t>бр.</w:t>
      </w:r>
      <w:r>
        <w:rPr>
          <w:color w:val="231F20"/>
          <w:spacing w:val="-10"/>
        </w:rPr>
        <w:t> </w:t>
      </w:r>
      <w:r>
        <w:rPr>
          <w:color w:val="231F20"/>
        </w:rPr>
        <w:t>10</w:t>
      </w:r>
      <w:r>
        <w:rPr>
          <w:color w:val="231F20"/>
          <w:spacing w:val="-10"/>
        </w:rPr>
        <w:t> </w:t>
      </w:r>
      <w:r>
        <w:rPr>
          <w:color w:val="231F20"/>
        </w:rPr>
        <w:t>Рам</w:t>
      </w:r>
      <w:r>
        <w:rPr>
          <w:color w:val="231F20"/>
          <w:spacing w:val="16"/>
        </w:rPr>
        <w:t> </w:t>
      </w:r>
      <w:r>
        <w:rPr>
          <w:color w:val="231F20"/>
        </w:rPr>
        <w:t>–</w:t>
      </w:r>
      <w:r>
        <w:rPr>
          <w:color w:val="231F20"/>
          <w:spacing w:val="-10"/>
        </w:rPr>
        <w:t> </w:t>
      </w:r>
      <w:r>
        <w:rPr>
          <w:color w:val="231F20"/>
        </w:rPr>
        <w:t>Виминацијум,</w:t>
      </w:r>
      <w:r>
        <w:rPr>
          <w:color w:val="231F20"/>
          <w:spacing w:val="-10"/>
        </w:rPr>
        <w:t> </w:t>
      </w:r>
      <w:r>
        <w:rPr>
          <w:color w:val="231F20"/>
        </w:rPr>
        <w:t>пешачења,</w:t>
      </w:r>
      <w:r>
        <w:rPr>
          <w:color w:val="231F20"/>
          <w:spacing w:val="-10"/>
        </w:rPr>
        <w:t> </w:t>
      </w:r>
      <w:r>
        <w:rPr>
          <w:color w:val="231F20"/>
        </w:rPr>
        <w:t>јахања, лова, риболова и друго), излетничког и других видова туризма. За ово туристичко подручје карактеристични су и други садржаји за развој специфичних видова туризма као што су: рударско-инду- стријски, спортско-авантуристички, археолошки (путеви римских императора), коњички спортови и</w:t>
      </w:r>
      <w:r>
        <w:rPr>
          <w:color w:val="231F20"/>
          <w:spacing w:val="-6"/>
        </w:rPr>
        <w:t> </w:t>
      </w:r>
      <w:r>
        <w:rPr>
          <w:color w:val="231F20"/>
        </w:rPr>
        <w:t>друго.</w:t>
      </w:r>
    </w:p>
    <w:p>
      <w:pPr>
        <w:pStyle w:val="BodyText"/>
        <w:spacing w:line="228" w:lineRule="auto"/>
        <w:ind w:right="38" w:firstLine="397"/>
      </w:pPr>
      <w:r>
        <w:rPr>
          <w:color w:val="231F20"/>
        </w:rPr>
        <w:t>Потенцијали за развој </w:t>
      </w:r>
      <w:r>
        <w:rPr>
          <w:color w:val="231F20"/>
          <w:spacing w:val="-3"/>
        </w:rPr>
        <w:t>туризма су недовољно искоришћени, </w:t>
      </w:r>
      <w:r>
        <w:rPr>
          <w:color w:val="231F20"/>
        </w:rPr>
        <w:t>уређени и афирмисани. За </w:t>
      </w:r>
      <w:r>
        <w:rPr>
          <w:color w:val="231F20"/>
          <w:spacing w:val="-3"/>
        </w:rPr>
        <w:t>адекватно активирање туристичких </w:t>
      </w:r>
      <w:r>
        <w:rPr>
          <w:color w:val="231F20"/>
        </w:rPr>
        <w:t>по- тенцијала, </w:t>
      </w:r>
      <w:r>
        <w:rPr>
          <w:color w:val="231F20"/>
          <w:spacing w:val="-4"/>
        </w:rPr>
        <w:t>неопходно </w:t>
      </w:r>
      <w:r>
        <w:rPr>
          <w:color w:val="231F20"/>
        </w:rPr>
        <w:t>је </w:t>
      </w:r>
      <w:r>
        <w:rPr>
          <w:color w:val="231F20"/>
          <w:spacing w:val="-3"/>
        </w:rPr>
        <w:t>обезбедити следеће предуслове: </w:t>
      </w:r>
      <w:r>
        <w:rPr>
          <w:color w:val="231F20"/>
        </w:rPr>
        <w:t>бољи мар- </w:t>
      </w:r>
      <w:r>
        <w:rPr>
          <w:color w:val="231F20"/>
          <w:spacing w:val="-3"/>
        </w:rPr>
        <w:t>кетинг туристичке </w:t>
      </w:r>
      <w:r>
        <w:rPr>
          <w:color w:val="231F20"/>
          <w:spacing w:val="-4"/>
        </w:rPr>
        <w:t>понуде; </w:t>
      </w:r>
      <w:r>
        <w:rPr>
          <w:color w:val="231F20"/>
        </w:rPr>
        <w:t>развој дестинације са </w:t>
      </w:r>
      <w:r>
        <w:rPr>
          <w:color w:val="231F20"/>
          <w:spacing w:val="-3"/>
        </w:rPr>
        <w:t>знатним </w:t>
      </w:r>
      <w:r>
        <w:rPr>
          <w:color w:val="231F20"/>
        </w:rPr>
        <w:t>учешће </w:t>
      </w:r>
      <w:r>
        <w:rPr>
          <w:color w:val="231F20"/>
          <w:spacing w:val="-3"/>
        </w:rPr>
        <w:t>целогодишње </w:t>
      </w:r>
      <w:r>
        <w:rPr>
          <w:color w:val="231F20"/>
          <w:spacing w:val="-4"/>
        </w:rPr>
        <w:t>понуде </w:t>
      </w:r>
      <w:r>
        <w:rPr>
          <w:color w:val="231F20"/>
        </w:rPr>
        <w:t>уз </w:t>
      </w:r>
      <w:r>
        <w:rPr>
          <w:color w:val="231F20"/>
          <w:spacing w:val="-3"/>
        </w:rPr>
        <w:t>функционалну </w:t>
      </w:r>
      <w:r>
        <w:rPr>
          <w:color w:val="231F20"/>
        </w:rPr>
        <w:t>интеграцију више </w:t>
      </w:r>
      <w:r>
        <w:rPr>
          <w:color w:val="231F20"/>
          <w:spacing w:val="-3"/>
        </w:rPr>
        <w:t>видова туризма </w:t>
      </w:r>
      <w:r>
        <w:rPr>
          <w:color w:val="231F20"/>
        </w:rPr>
        <w:t>на </w:t>
      </w:r>
      <w:r>
        <w:rPr>
          <w:color w:val="231F20"/>
          <w:spacing w:val="-4"/>
        </w:rPr>
        <w:t>Планском </w:t>
      </w:r>
      <w:r>
        <w:rPr>
          <w:color w:val="231F20"/>
          <w:spacing w:val="-3"/>
        </w:rPr>
        <w:t>подручју </w:t>
      </w:r>
      <w:r>
        <w:rPr>
          <w:color w:val="231F20"/>
        </w:rPr>
        <w:t>и са непосредним </w:t>
      </w:r>
      <w:r>
        <w:rPr>
          <w:color w:val="231F20"/>
          <w:spacing w:val="-3"/>
        </w:rPr>
        <w:t>окружењем; </w:t>
      </w:r>
      <w:r>
        <w:rPr>
          <w:color w:val="231F20"/>
        </w:rPr>
        <w:t>раз- </w:t>
      </w:r>
      <w:r>
        <w:rPr>
          <w:color w:val="231F20"/>
          <w:spacing w:val="-2"/>
        </w:rPr>
        <w:t>вој </w:t>
      </w:r>
      <w:r>
        <w:rPr>
          <w:color w:val="231F20"/>
        </w:rPr>
        <w:t>саобраћајне, </w:t>
      </w:r>
      <w:r>
        <w:rPr>
          <w:color w:val="231F20"/>
          <w:spacing w:val="-4"/>
        </w:rPr>
        <w:t>комуналне </w:t>
      </w:r>
      <w:r>
        <w:rPr>
          <w:color w:val="231F20"/>
        </w:rPr>
        <w:t>и </w:t>
      </w:r>
      <w:r>
        <w:rPr>
          <w:color w:val="231F20"/>
          <w:spacing w:val="-3"/>
        </w:rPr>
        <w:t>пловно-наутичке инфраструктуре; као </w:t>
      </w:r>
      <w:r>
        <w:rPr>
          <w:color w:val="231F20"/>
        </w:rPr>
        <w:t>и </w:t>
      </w:r>
      <w:r>
        <w:rPr>
          <w:color w:val="231F20"/>
          <w:spacing w:val="-3"/>
        </w:rPr>
        <w:t>реконструкцију </w:t>
      </w:r>
      <w:r>
        <w:rPr>
          <w:color w:val="231F20"/>
        </w:rPr>
        <w:t>постојећих и реализацију нових смештајних </w:t>
      </w:r>
      <w:r>
        <w:rPr>
          <w:color w:val="231F20"/>
          <w:spacing w:val="-3"/>
        </w:rPr>
        <w:t>ка- </w:t>
      </w:r>
      <w:r>
        <w:rPr>
          <w:color w:val="231F20"/>
        </w:rPr>
        <w:t>пацитета. </w:t>
      </w:r>
      <w:r>
        <w:rPr>
          <w:color w:val="231F20"/>
          <w:spacing w:val="-3"/>
        </w:rPr>
        <w:t>Туристички </w:t>
      </w:r>
      <w:r>
        <w:rPr>
          <w:color w:val="231F20"/>
        </w:rPr>
        <w:t>развој у највећој мери зависи </w:t>
      </w:r>
      <w:r>
        <w:rPr>
          <w:color w:val="231F20"/>
          <w:spacing w:val="-4"/>
        </w:rPr>
        <w:t>од </w:t>
      </w:r>
      <w:r>
        <w:rPr>
          <w:color w:val="231F20"/>
        </w:rPr>
        <w:t>анимирања </w:t>
      </w:r>
      <w:r>
        <w:rPr>
          <w:color w:val="231F20"/>
          <w:spacing w:val="-3"/>
        </w:rPr>
        <w:t>комерцијалне туристичке </w:t>
      </w:r>
      <w:r>
        <w:rPr>
          <w:color w:val="231F20"/>
        </w:rPr>
        <w:t>и </w:t>
      </w:r>
      <w:r>
        <w:rPr>
          <w:color w:val="231F20"/>
          <w:spacing w:val="-3"/>
        </w:rPr>
        <w:t>рекреативне </w:t>
      </w:r>
      <w:r>
        <w:rPr>
          <w:color w:val="231F20"/>
        </w:rPr>
        <w:t>тражње, </w:t>
      </w:r>
      <w:r>
        <w:rPr>
          <w:color w:val="231F20"/>
          <w:spacing w:val="-5"/>
        </w:rPr>
        <w:t>како </w:t>
      </w:r>
      <w:r>
        <w:rPr>
          <w:color w:val="231F20"/>
          <w:spacing w:val="-3"/>
        </w:rPr>
        <w:t>домаће </w:t>
      </w:r>
      <w:r>
        <w:rPr>
          <w:color w:val="231F20"/>
          <w:spacing w:val="-4"/>
        </w:rPr>
        <w:t>тако </w:t>
      </w:r>
      <w:r>
        <w:rPr>
          <w:color w:val="231F20"/>
        </w:rPr>
        <w:t>и иностране.</w:t>
      </w:r>
      <w:r>
        <w:rPr>
          <w:color w:val="231F20"/>
          <w:spacing w:val="-13"/>
        </w:rPr>
        <w:t> </w:t>
      </w:r>
      <w:r>
        <w:rPr>
          <w:color w:val="231F20"/>
          <w:spacing w:val="-3"/>
        </w:rPr>
        <w:t>Зачеци</w:t>
      </w:r>
      <w:r>
        <w:rPr>
          <w:color w:val="231F20"/>
          <w:spacing w:val="-13"/>
        </w:rPr>
        <w:t> </w:t>
      </w:r>
      <w:r>
        <w:rPr>
          <w:color w:val="231F20"/>
        </w:rPr>
        <w:t>иностране</w:t>
      </w:r>
      <w:r>
        <w:rPr>
          <w:color w:val="231F20"/>
          <w:spacing w:val="-13"/>
        </w:rPr>
        <w:t> </w:t>
      </w:r>
      <w:r>
        <w:rPr>
          <w:color w:val="231F20"/>
          <w:spacing w:val="-3"/>
        </w:rPr>
        <w:t>туристичке</w:t>
      </w:r>
      <w:r>
        <w:rPr>
          <w:color w:val="231F20"/>
          <w:spacing w:val="-13"/>
        </w:rPr>
        <w:t> </w:t>
      </w:r>
      <w:r>
        <w:rPr>
          <w:color w:val="231F20"/>
        </w:rPr>
        <w:t>тражње</w:t>
      </w:r>
      <w:r>
        <w:rPr>
          <w:color w:val="231F20"/>
          <w:spacing w:val="-13"/>
        </w:rPr>
        <w:t> </w:t>
      </w:r>
      <w:r>
        <w:rPr>
          <w:color w:val="231F20"/>
          <w:spacing w:val="-3"/>
        </w:rPr>
        <w:t>су</w:t>
      </w:r>
      <w:r>
        <w:rPr>
          <w:color w:val="231F20"/>
          <w:spacing w:val="-13"/>
        </w:rPr>
        <w:t> </w:t>
      </w:r>
      <w:r>
        <w:rPr>
          <w:color w:val="231F20"/>
        </w:rPr>
        <w:t>видљиви,</w:t>
      </w:r>
      <w:r>
        <w:rPr>
          <w:color w:val="231F20"/>
          <w:spacing w:val="-13"/>
        </w:rPr>
        <w:t> </w:t>
      </w:r>
      <w:r>
        <w:rPr>
          <w:color w:val="231F20"/>
        </w:rPr>
        <w:t>јер</w:t>
      </w:r>
      <w:r>
        <w:rPr>
          <w:color w:val="231F20"/>
          <w:spacing w:val="-13"/>
        </w:rPr>
        <w:t> </w:t>
      </w:r>
      <w:r>
        <w:rPr>
          <w:color w:val="231F20"/>
        </w:rPr>
        <w:t>се на</w:t>
      </w:r>
      <w:r>
        <w:rPr>
          <w:color w:val="231F20"/>
          <w:spacing w:val="-10"/>
        </w:rPr>
        <w:t> </w:t>
      </w:r>
      <w:r>
        <w:rPr>
          <w:color w:val="231F20"/>
          <w:spacing w:val="-3"/>
        </w:rPr>
        <w:t>Дунаву</w:t>
      </w:r>
      <w:r>
        <w:rPr>
          <w:color w:val="231F20"/>
          <w:spacing w:val="-10"/>
        </w:rPr>
        <w:t> </w:t>
      </w:r>
      <w:r>
        <w:rPr>
          <w:color w:val="231F20"/>
        </w:rPr>
        <w:t>(постојећи</w:t>
      </w:r>
      <w:r>
        <w:rPr>
          <w:color w:val="231F20"/>
          <w:spacing w:val="-10"/>
        </w:rPr>
        <w:t> </w:t>
      </w:r>
      <w:r>
        <w:rPr>
          <w:color w:val="231F20"/>
        </w:rPr>
        <w:t>пристан</w:t>
      </w:r>
      <w:r>
        <w:rPr>
          <w:color w:val="231F20"/>
          <w:spacing w:val="-10"/>
        </w:rPr>
        <w:t> </w:t>
      </w:r>
      <w:r>
        <w:rPr>
          <w:color w:val="231F20"/>
        </w:rPr>
        <w:t>на</w:t>
      </w:r>
      <w:r>
        <w:rPr>
          <w:color w:val="231F20"/>
          <w:spacing w:val="-10"/>
        </w:rPr>
        <w:t> </w:t>
      </w:r>
      <w:r>
        <w:rPr>
          <w:color w:val="231F20"/>
        </w:rPr>
        <w:t>1095</w:t>
      </w:r>
      <w:r>
        <w:rPr>
          <w:color w:val="231F20"/>
          <w:spacing w:val="-10"/>
        </w:rPr>
        <w:t> </w:t>
      </w:r>
      <w:r>
        <w:rPr>
          <w:color w:val="231F20"/>
        </w:rPr>
        <w:t>р.</w:t>
      </w:r>
      <w:r>
        <w:rPr>
          <w:color w:val="231F20"/>
          <w:spacing w:val="-10"/>
        </w:rPr>
        <w:t> </w:t>
      </w:r>
      <w:r>
        <w:rPr>
          <w:color w:val="231F20"/>
        </w:rPr>
        <w:t>km)</w:t>
      </w:r>
      <w:r>
        <w:rPr>
          <w:color w:val="231F20"/>
          <w:spacing w:val="-10"/>
        </w:rPr>
        <w:t> </w:t>
      </w:r>
      <w:r>
        <w:rPr>
          <w:color w:val="231F20"/>
          <w:spacing w:val="-3"/>
        </w:rPr>
        <w:t>задржавају</w:t>
      </w:r>
      <w:r>
        <w:rPr>
          <w:color w:val="231F20"/>
          <w:spacing w:val="-10"/>
        </w:rPr>
        <w:t> </w:t>
      </w:r>
      <w:r>
        <w:rPr>
          <w:color w:val="231F20"/>
          <w:spacing w:val="-3"/>
        </w:rPr>
        <w:t>међународ- </w:t>
      </w:r>
      <w:r>
        <w:rPr>
          <w:color w:val="231F20"/>
        </w:rPr>
        <w:t>ни </w:t>
      </w:r>
      <w:r>
        <w:rPr>
          <w:color w:val="231F20"/>
          <w:spacing w:val="-3"/>
        </w:rPr>
        <w:t>крузинг бродови, </w:t>
      </w:r>
      <w:r>
        <w:rPr>
          <w:color w:val="231F20"/>
          <w:spacing w:val="-4"/>
        </w:rPr>
        <w:t>који </w:t>
      </w:r>
      <w:r>
        <w:rPr>
          <w:color w:val="231F20"/>
          <w:spacing w:val="-3"/>
        </w:rPr>
        <w:t>су </w:t>
      </w:r>
      <w:r>
        <w:rPr>
          <w:color w:val="231F20"/>
        </w:rPr>
        <w:t>све </w:t>
      </w:r>
      <w:r>
        <w:rPr>
          <w:color w:val="231F20"/>
          <w:spacing w:val="-3"/>
        </w:rPr>
        <w:t>популарнији </w:t>
      </w:r>
      <w:r>
        <w:rPr>
          <w:color w:val="231F20"/>
        </w:rPr>
        <w:t>на дунавским </w:t>
      </w:r>
      <w:r>
        <w:rPr>
          <w:color w:val="231F20"/>
          <w:spacing w:val="-3"/>
        </w:rPr>
        <w:t>турама </w:t>
      </w:r>
      <w:r>
        <w:rPr>
          <w:color w:val="231F20"/>
        </w:rPr>
        <w:t>до Црног мора, </w:t>
      </w:r>
      <w:r>
        <w:rPr>
          <w:color w:val="231F20"/>
          <w:spacing w:val="-3"/>
        </w:rPr>
        <w:t>што </w:t>
      </w:r>
      <w:r>
        <w:rPr>
          <w:color w:val="231F20"/>
        </w:rPr>
        <w:t>треба </w:t>
      </w:r>
      <w:r>
        <w:rPr>
          <w:color w:val="231F20"/>
          <w:spacing w:val="-3"/>
        </w:rPr>
        <w:t>искористити </w:t>
      </w:r>
      <w:r>
        <w:rPr>
          <w:color w:val="231F20"/>
          <w:spacing w:val="-5"/>
        </w:rPr>
        <w:t>како </w:t>
      </w:r>
      <w:r>
        <w:rPr>
          <w:color w:val="231F20"/>
        </w:rPr>
        <w:t>за интензивирање по- сете </w:t>
      </w:r>
      <w:r>
        <w:rPr>
          <w:color w:val="231F20"/>
          <w:spacing w:val="-4"/>
        </w:rPr>
        <w:t>археолошком </w:t>
      </w:r>
      <w:r>
        <w:rPr>
          <w:color w:val="231F20"/>
          <w:spacing w:val="-3"/>
        </w:rPr>
        <w:t>парку Виминацијум </w:t>
      </w:r>
      <w:r>
        <w:rPr>
          <w:color w:val="231F20"/>
          <w:spacing w:val="-4"/>
        </w:rPr>
        <w:t>(који </w:t>
      </w:r>
      <w:r>
        <w:rPr>
          <w:color w:val="231F20"/>
        </w:rPr>
        <w:t>је уцртан у итинерер ових </w:t>
      </w:r>
      <w:r>
        <w:rPr>
          <w:color w:val="231F20"/>
          <w:spacing w:val="-3"/>
        </w:rPr>
        <w:t>луксузних путовања), </w:t>
      </w:r>
      <w:r>
        <w:rPr>
          <w:color w:val="231F20"/>
          <w:spacing w:val="-4"/>
        </w:rPr>
        <w:t>тако </w:t>
      </w:r>
      <w:r>
        <w:rPr>
          <w:color w:val="231F20"/>
        </w:rPr>
        <w:t>и за </w:t>
      </w:r>
      <w:r>
        <w:rPr>
          <w:color w:val="231F20"/>
          <w:spacing w:val="-3"/>
        </w:rPr>
        <w:t>промоцију других </w:t>
      </w:r>
      <w:r>
        <w:rPr>
          <w:color w:val="231F20"/>
        </w:rPr>
        <w:t>итинерера са </w:t>
      </w:r>
      <w:r>
        <w:rPr>
          <w:color w:val="231F20"/>
          <w:spacing w:val="-3"/>
        </w:rPr>
        <w:t>атрактивним туристичким производима </w:t>
      </w:r>
      <w:r>
        <w:rPr>
          <w:color w:val="231F20"/>
        </w:rPr>
        <w:t>на </w:t>
      </w:r>
      <w:r>
        <w:rPr>
          <w:color w:val="231F20"/>
          <w:spacing w:val="-4"/>
        </w:rPr>
        <w:t>Планском </w:t>
      </w:r>
      <w:r>
        <w:rPr>
          <w:color w:val="231F20"/>
          <w:spacing w:val="-3"/>
        </w:rPr>
        <w:t>подручју </w:t>
      </w:r>
      <w:r>
        <w:rPr>
          <w:color w:val="231F20"/>
        </w:rPr>
        <w:t>и </w:t>
      </w:r>
      <w:r>
        <w:rPr>
          <w:color w:val="231F20"/>
          <w:spacing w:val="-3"/>
        </w:rPr>
        <w:t>непосредном </w:t>
      </w:r>
      <w:r>
        <w:rPr>
          <w:color w:val="231F20"/>
          <w:spacing w:val="-5"/>
        </w:rPr>
        <w:t>окружењу. </w:t>
      </w:r>
      <w:r>
        <w:rPr>
          <w:color w:val="231F20"/>
        </w:rPr>
        <w:t>За </w:t>
      </w:r>
      <w:r>
        <w:rPr>
          <w:color w:val="231F20"/>
          <w:spacing w:val="-3"/>
        </w:rPr>
        <w:t>активирање туристичких </w:t>
      </w:r>
      <w:r>
        <w:rPr>
          <w:color w:val="231F20"/>
        </w:rPr>
        <w:t>потенцијала и развој интегрисане </w:t>
      </w:r>
      <w:r>
        <w:rPr>
          <w:color w:val="231F20"/>
          <w:spacing w:val="-3"/>
        </w:rPr>
        <w:t>туристичке </w:t>
      </w:r>
      <w:r>
        <w:rPr>
          <w:color w:val="231F20"/>
          <w:spacing w:val="-4"/>
        </w:rPr>
        <w:t>понуде </w:t>
      </w:r>
      <w:r>
        <w:rPr>
          <w:color w:val="231F20"/>
        </w:rPr>
        <w:t>са </w:t>
      </w:r>
      <w:r>
        <w:rPr>
          <w:color w:val="231F20"/>
          <w:spacing w:val="-3"/>
        </w:rPr>
        <w:t>окружењем, </w:t>
      </w:r>
      <w:r>
        <w:rPr>
          <w:color w:val="231F20"/>
          <w:spacing w:val="-4"/>
        </w:rPr>
        <w:t>неопходно </w:t>
      </w:r>
      <w:r>
        <w:rPr>
          <w:color w:val="231F20"/>
        </w:rPr>
        <w:t>је осавремењавање, </w:t>
      </w:r>
      <w:r>
        <w:rPr>
          <w:color w:val="231F20"/>
          <w:spacing w:val="-5"/>
        </w:rPr>
        <w:t>како </w:t>
      </w:r>
      <w:r>
        <w:rPr>
          <w:color w:val="231F20"/>
          <w:spacing w:val="-3"/>
        </w:rPr>
        <w:t>туристичко-рекреативне инфраструктуре </w:t>
      </w:r>
      <w:r>
        <w:rPr>
          <w:color w:val="231F20"/>
        </w:rPr>
        <w:t>на </w:t>
      </w:r>
      <w:r>
        <w:rPr>
          <w:color w:val="231F20"/>
          <w:spacing w:val="-6"/>
        </w:rPr>
        <w:t>Дунаву, </w:t>
      </w:r>
      <w:r>
        <w:rPr>
          <w:color w:val="231F20"/>
          <w:spacing w:val="-4"/>
        </w:rPr>
        <w:t>тако </w:t>
      </w:r>
      <w:r>
        <w:rPr>
          <w:color w:val="231F20"/>
        </w:rPr>
        <w:t>и </w:t>
      </w:r>
      <w:r>
        <w:rPr>
          <w:color w:val="231F20"/>
          <w:spacing w:val="-3"/>
        </w:rPr>
        <w:t>мреже путева, </w:t>
      </w:r>
      <w:r>
        <w:rPr>
          <w:color w:val="231F20"/>
        </w:rPr>
        <w:t>посебно </w:t>
      </w:r>
      <w:r>
        <w:rPr>
          <w:color w:val="231F20"/>
          <w:spacing w:val="-3"/>
        </w:rPr>
        <w:t>ка</w:t>
      </w:r>
      <w:r>
        <w:rPr>
          <w:color w:val="231F20"/>
          <w:spacing w:val="-7"/>
        </w:rPr>
        <w:t> </w:t>
      </w:r>
      <w:r>
        <w:rPr>
          <w:color w:val="231F20"/>
          <w:spacing w:val="-4"/>
        </w:rPr>
        <w:t>Вименацијуму.</w:t>
      </w:r>
    </w:p>
    <w:p>
      <w:pPr>
        <w:pStyle w:val="BodyText"/>
        <w:spacing w:line="228" w:lineRule="auto"/>
        <w:ind w:left="171" w:right="38" w:firstLine="397"/>
      </w:pPr>
      <w:r>
        <w:rPr>
          <w:color w:val="231F20"/>
        </w:rPr>
        <w:t>Постојећа туристичка </w:t>
      </w:r>
      <w:r>
        <w:rPr>
          <w:color w:val="231F20"/>
          <w:spacing w:val="-3"/>
        </w:rPr>
        <w:t>понуда </w:t>
      </w:r>
      <w:r>
        <w:rPr>
          <w:color w:val="231F20"/>
        </w:rPr>
        <w:t>претежно је везана за Пожа- ревац са непосредним окружењем, првенствено за ергелу „Љуби- чево” (легат књаза Милоша), Дунав и археолошки парк Вимина- цијум. Из аспекта развоја туризма велики значај има Дунав чија акваторија, поред пловног пута, пружа услове за пловидбу мањих пловних јединица и рибарских чамаца. Приобаље Дунава је, та- кође, </w:t>
      </w:r>
      <w:r>
        <w:rPr>
          <w:color w:val="231F20"/>
          <w:spacing w:val="-3"/>
        </w:rPr>
        <w:t>од </w:t>
      </w:r>
      <w:r>
        <w:rPr>
          <w:color w:val="231F20"/>
        </w:rPr>
        <w:t>значаја за развој туризма (са потенцијалном локацијом  за </w:t>
      </w:r>
      <w:r>
        <w:rPr>
          <w:color w:val="231F20"/>
          <w:spacing w:val="-4"/>
        </w:rPr>
        <w:t>марину, </w:t>
      </w:r>
      <w:r>
        <w:rPr>
          <w:color w:val="231F20"/>
        </w:rPr>
        <w:t>пристан, </w:t>
      </w:r>
      <w:r>
        <w:rPr>
          <w:color w:val="231F20"/>
          <w:spacing w:val="-4"/>
        </w:rPr>
        <w:t>плажу, </w:t>
      </w:r>
      <w:r>
        <w:rPr>
          <w:color w:val="231F20"/>
        </w:rPr>
        <w:t>риболовне и бициклистичке стазе и друге видове коришћења). У овај појас улазе и форланди </w:t>
      </w:r>
      <w:r>
        <w:rPr>
          <w:color w:val="231F20"/>
          <w:spacing w:val="-3"/>
        </w:rPr>
        <w:t>који </w:t>
      </w:r>
      <w:r>
        <w:rPr>
          <w:color w:val="231F20"/>
        </w:rPr>
        <w:t>су </w:t>
      </w:r>
      <w:r>
        <w:rPr>
          <w:color w:val="231F20"/>
          <w:spacing w:val="-3"/>
        </w:rPr>
        <w:t>углавном </w:t>
      </w:r>
      <w:r>
        <w:rPr>
          <w:color w:val="231F20"/>
        </w:rPr>
        <w:t>обрасли шумом и аде (Жилова, </w:t>
      </w:r>
      <w:r>
        <w:rPr>
          <w:color w:val="231F20"/>
          <w:spacing w:val="-3"/>
        </w:rPr>
        <w:t>Стојкова, </w:t>
      </w:r>
      <w:r>
        <w:rPr>
          <w:color w:val="231F20"/>
        </w:rPr>
        <w:t>Чибуклијска (део) и Завојска). Суштину туристичке </w:t>
      </w:r>
      <w:r>
        <w:rPr>
          <w:color w:val="231F20"/>
          <w:spacing w:val="-3"/>
        </w:rPr>
        <w:t>понуде </w:t>
      </w:r>
      <w:r>
        <w:rPr>
          <w:color w:val="231F20"/>
        </w:rPr>
        <w:t>на </w:t>
      </w:r>
      <w:r>
        <w:rPr>
          <w:color w:val="231F20"/>
          <w:spacing w:val="-3"/>
        </w:rPr>
        <w:t>Планском </w:t>
      </w:r>
      <w:r>
        <w:rPr>
          <w:color w:val="231F20"/>
        </w:rPr>
        <w:t>под- ручју представљају комбинација </w:t>
      </w:r>
      <w:r>
        <w:rPr>
          <w:color w:val="231F20"/>
          <w:spacing w:val="-3"/>
        </w:rPr>
        <w:t>„Еколошке </w:t>
      </w:r>
      <w:r>
        <w:rPr>
          <w:color w:val="231F20"/>
        </w:rPr>
        <w:t>зоне Дунава” (са бо- гатством</w:t>
      </w:r>
      <w:r>
        <w:rPr>
          <w:color w:val="231F20"/>
          <w:spacing w:val="26"/>
        </w:rPr>
        <w:t> </w:t>
      </w:r>
      <w:r>
        <w:rPr>
          <w:color w:val="231F20"/>
        </w:rPr>
        <w:t>акваторијских</w:t>
      </w:r>
      <w:r>
        <w:rPr>
          <w:color w:val="231F20"/>
          <w:spacing w:val="26"/>
        </w:rPr>
        <w:t> </w:t>
      </w:r>
      <w:r>
        <w:rPr>
          <w:color w:val="231F20"/>
        </w:rPr>
        <w:t>и</w:t>
      </w:r>
      <w:r>
        <w:rPr>
          <w:color w:val="231F20"/>
          <w:spacing w:val="26"/>
        </w:rPr>
        <w:t> </w:t>
      </w:r>
      <w:r>
        <w:rPr>
          <w:color w:val="231F20"/>
        </w:rPr>
        <w:t>приобалних</w:t>
      </w:r>
      <w:r>
        <w:rPr>
          <w:color w:val="231F20"/>
          <w:spacing w:val="26"/>
        </w:rPr>
        <w:t> </w:t>
      </w:r>
      <w:r>
        <w:rPr>
          <w:color w:val="231F20"/>
        </w:rPr>
        <w:t>форми</w:t>
      </w:r>
      <w:r>
        <w:rPr>
          <w:color w:val="231F20"/>
          <w:spacing w:val="26"/>
        </w:rPr>
        <w:t> </w:t>
      </w:r>
      <w:r>
        <w:rPr>
          <w:color w:val="231F20"/>
        </w:rPr>
        <w:t>биодиверзитета)</w:t>
      </w:r>
      <w:r>
        <w:rPr>
          <w:color w:val="231F20"/>
          <w:spacing w:val="26"/>
        </w:rPr>
        <w:t> </w:t>
      </w:r>
      <w:r>
        <w:rPr>
          <w:color w:val="231F20"/>
        </w:rPr>
        <w:t>и</w:t>
      </w:r>
    </w:p>
    <w:p>
      <w:pPr>
        <w:pStyle w:val="BodyText"/>
        <w:spacing w:line="228" w:lineRule="auto"/>
        <w:ind w:left="171" w:right="38" w:hanging="1"/>
      </w:pPr>
      <w:r>
        <w:rPr>
          <w:color w:val="231F20"/>
        </w:rPr>
        <w:t>„Историјске зоне Дунава” (са Виминацијумом и осталим култу- ролошким разноврсностима и етно-традиционалним догађајима), коју употпуњује Пожаревац са низом туристичких вредности (Са- борна црква, Народни музеј, Галерија Милене Павловић Барили, Градски парк, спомен парк Чачалица у Пожаревцу, Зграда начел- ства и суда, Етно парк Тулба и традиционална туристичко-спорт- ска манифестација Љубичевске коњичке игре). Постоји, такође, иницијатива за развој „индустријског туризма”.</w:t>
      </w:r>
    </w:p>
    <w:p>
      <w:pPr>
        <w:pStyle w:val="BodyText"/>
        <w:spacing w:line="228" w:lineRule="auto"/>
        <w:ind w:left="171" w:right="38" w:firstLine="396"/>
      </w:pPr>
      <w:r>
        <w:rPr>
          <w:color w:val="231F20"/>
        </w:rPr>
        <w:t>Планско подручје са окружењем налази се  у  гравитацио- ној зони ауто-пута Е-75, што омогућава издвајање </w:t>
      </w:r>
      <w:r>
        <w:rPr>
          <w:color w:val="231F20"/>
          <w:spacing w:val="-4"/>
        </w:rPr>
        <w:t>неколико </w:t>
      </w:r>
      <w:r>
        <w:rPr>
          <w:color w:val="231F20"/>
        </w:rPr>
        <w:t>ити- нерера, </w:t>
      </w:r>
      <w:r>
        <w:rPr>
          <w:color w:val="231F20"/>
          <w:spacing w:val="-3"/>
        </w:rPr>
        <w:t>који </w:t>
      </w:r>
      <w:r>
        <w:rPr>
          <w:color w:val="231F20"/>
        </w:rPr>
        <w:t>су интересантни </w:t>
      </w:r>
      <w:r>
        <w:rPr>
          <w:color w:val="231F20"/>
          <w:spacing w:val="-4"/>
        </w:rPr>
        <w:t>како </w:t>
      </w:r>
      <w:r>
        <w:rPr>
          <w:color w:val="231F20"/>
        </w:rPr>
        <w:t>транзитним туристима </w:t>
      </w:r>
      <w:r>
        <w:rPr>
          <w:color w:val="231F20"/>
          <w:spacing w:val="-3"/>
        </w:rPr>
        <w:t>тако </w:t>
      </w:r>
      <w:r>
        <w:rPr>
          <w:color w:val="231F20"/>
        </w:rPr>
        <w:t>и излетницима из оближњих градских агломерација, и то: Подунав- ски итинерер, дужине </w:t>
      </w:r>
      <w:r>
        <w:rPr>
          <w:color w:val="231F20"/>
          <w:spacing w:val="-4"/>
        </w:rPr>
        <w:t>око </w:t>
      </w:r>
      <w:r>
        <w:rPr>
          <w:color w:val="231F20"/>
        </w:rPr>
        <w:t>94 km (петља Смедерево – Смедерево са тврђавом – Пожаревац – Костолац – археолошки парк Вими- нацијум – Дрмно – Кличевац – Рам – Сребрно језеро – </w:t>
      </w:r>
      <w:r>
        <w:rPr>
          <w:color w:val="231F20"/>
          <w:spacing w:val="-3"/>
        </w:rPr>
        <w:t>Тополов- </w:t>
      </w:r>
      <w:r>
        <w:rPr>
          <w:color w:val="231F20"/>
        </w:rPr>
        <w:t>ник – Братинац – Љубичево – петља „Пожаревац”); Итинерер Млава – Бељаница – Ресава, дужине </w:t>
      </w:r>
      <w:r>
        <w:rPr>
          <w:color w:val="231F20"/>
          <w:spacing w:val="-4"/>
        </w:rPr>
        <w:t>око </w:t>
      </w:r>
      <w:r>
        <w:rPr>
          <w:color w:val="231F20"/>
        </w:rPr>
        <w:t>90 km (петља „Пожаре- вац” – Љубичево – Пожаревац – </w:t>
      </w:r>
      <w:r>
        <w:rPr>
          <w:color w:val="231F20"/>
          <w:spacing w:val="-4"/>
        </w:rPr>
        <w:t>Горњачка </w:t>
      </w:r>
      <w:r>
        <w:rPr>
          <w:color w:val="231F20"/>
        </w:rPr>
        <w:t>клисура и манастир </w:t>
      </w:r>
      <w:r>
        <w:rPr>
          <w:color w:val="231F20"/>
          <w:spacing w:val="-3"/>
        </w:rPr>
        <w:t>Горњак</w:t>
      </w:r>
      <w:r>
        <w:rPr>
          <w:color w:val="231F20"/>
          <w:spacing w:val="10"/>
        </w:rPr>
        <w:t> </w:t>
      </w:r>
      <w:r>
        <w:rPr>
          <w:color w:val="231F20"/>
        </w:rPr>
        <w:t>–</w:t>
      </w:r>
      <w:r>
        <w:rPr>
          <w:color w:val="231F20"/>
          <w:spacing w:val="-13"/>
        </w:rPr>
        <w:t> </w:t>
      </w:r>
      <w:r>
        <w:rPr>
          <w:color w:val="231F20"/>
        </w:rPr>
        <w:t>Жагубица</w:t>
      </w:r>
      <w:r>
        <w:rPr>
          <w:color w:val="231F20"/>
          <w:spacing w:val="10"/>
        </w:rPr>
        <w:t> </w:t>
      </w:r>
      <w:r>
        <w:rPr>
          <w:color w:val="231F20"/>
        </w:rPr>
        <w:t>–</w:t>
      </w:r>
      <w:r>
        <w:rPr>
          <w:color w:val="231F20"/>
          <w:spacing w:val="-13"/>
        </w:rPr>
        <w:t> </w:t>
      </w:r>
      <w:r>
        <w:rPr>
          <w:color w:val="231F20"/>
        </w:rPr>
        <w:t>планина</w:t>
      </w:r>
      <w:r>
        <w:rPr>
          <w:color w:val="231F20"/>
          <w:spacing w:val="-13"/>
        </w:rPr>
        <w:t> </w:t>
      </w:r>
      <w:r>
        <w:rPr>
          <w:color w:val="231F20"/>
        </w:rPr>
        <w:t>Бељаница</w:t>
      </w:r>
      <w:r>
        <w:rPr>
          <w:color w:val="231F20"/>
          <w:spacing w:val="-13"/>
        </w:rPr>
        <w:t> </w:t>
      </w:r>
      <w:r>
        <w:rPr>
          <w:color w:val="231F20"/>
        </w:rPr>
        <w:t>са</w:t>
      </w:r>
      <w:r>
        <w:rPr>
          <w:color w:val="231F20"/>
          <w:spacing w:val="-13"/>
        </w:rPr>
        <w:t> </w:t>
      </w:r>
      <w:r>
        <w:rPr>
          <w:color w:val="231F20"/>
        </w:rPr>
        <w:t>пећинама</w:t>
      </w:r>
      <w:r>
        <w:rPr>
          <w:color w:val="231F20"/>
          <w:spacing w:val="10"/>
        </w:rPr>
        <w:t> </w:t>
      </w:r>
      <w:r>
        <w:rPr>
          <w:color w:val="231F20"/>
        </w:rPr>
        <w:t>–</w:t>
      </w:r>
      <w:r>
        <w:rPr>
          <w:color w:val="231F20"/>
          <w:spacing w:val="-13"/>
        </w:rPr>
        <w:t> </w:t>
      </w:r>
      <w:r>
        <w:rPr>
          <w:color w:val="231F20"/>
        </w:rPr>
        <w:t>Стрмостен</w:t>
      </w:r>
    </w:p>
    <w:p>
      <w:pPr>
        <w:pStyle w:val="BodyText"/>
        <w:spacing w:line="196" w:lineRule="exact"/>
        <w:ind w:left="172"/>
      </w:pPr>
      <w:r>
        <w:rPr>
          <w:color w:val="231F20"/>
          <w:w w:val="66"/>
        </w:rPr>
        <w:t> </w:t>
      </w:r>
      <w:r>
        <w:rPr>
          <w:color w:val="231F20"/>
        </w:rPr>
        <w:t>– Деспотовац – утврђење и манастир Манасија – Сење – манастир</w:t>
      </w:r>
    </w:p>
    <w:p>
      <w:pPr>
        <w:pStyle w:val="BodyText"/>
        <w:spacing w:line="228" w:lineRule="auto" w:before="72"/>
        <w:ind w:right="409"/>
      </w:pPr>
      <w:r>
        <w:rPr/>
        <w:br w:type="column"/>
      </w:r>
      <w:r>
        <w:rPr>
          <w:color w:val="231F20"/>
        </w:rPr>
        <w:t>Раваница</w:t>
      </w:r>
      <w:r>
        <w:rPr>
          <w:color w:val="231F20"/>
          <w:spacing w:val="15"/>
        </w:rPr>
        <w:t> </w:t>
      </w:r>
      <w:r>
        <w:rPr>
          <w:color w:val="231F20"/>
        </w:rPr>
        <w:t>–</w:t>
      </w:r>
      <w:r>
        <w:rPr>
          <w:color w:val="231F20"/>
          <w:spacing w:val="-9"/>
        </w:rPr>
        <w:t> </w:t>
      </w:r>
      <w:r>
        <w:rPr>
          <w:color w:val="231F20"/>
        </w:rPr>
        <w:t>петља</w:t>
      </w:r>
      <w:r>
        <w:rPr>
          <w:color w:val="231F20"/>
          <w:spacing w:val="-9"/>
        </w:rPr>
        <w:t> </w:t>
      </w:r>
      <w:r>
        <w:rPr>
          <w:color w:val="231F20"/>
        </w:rPr>
        <w:t>„Ћуприја”);</w:t>
      </w:r>
      <w:r>
        <w:rPr>
          <w:color w:val="231F20"/>
          <w:spacing w:val="-10"/>
        </w:rPr>
        <w:t> </w:t>
      </w:r>
      <w:r>
        <w:rPr>
          <w:color w:val="231F20"/>
        </w:rPr>
        <w:t>Ђердапски</w:t>
      </w:r>
      <w:r>
        <w:rPr>
          <w:color w:val="231F20"/>
          <w:spacing w:val="-9"/>
        </w:rPr>
        <w:t> </w:t>
      </w:r>
      <w:r>
        <w:rPr>
          <w:color w:val="231F20"/>
        </w:rPr>
        <w:t>итинерер</w:t>
      </w:r>
      <w:r>
        <w:rPr>
          <w:color w:val="231F20"/>
          <w:spacing w:val="-9"/>
        </w:rPr>
        <w:t> </w:t>
      </w:r>
      <w:r>
        <w:rPr>
          <w:color w:val="231F20"/>
        </w:rPr>
        <w:t>(петља</w:t>
      </w:r>
      <w:r>
        <w:rPr>
          <w:color w:val="231F20"/>
          <w:spacing w:val="-9"/>
        </w:rPr>
        <w:t> </w:t>
      </w:r>
      <w:r>
        <w:rPr>
          <w:color w:val="231F20"/>
        </w:rPr>
        <w:t>„Пожа- ревац”</w:t>
      </w:r>
      <w:r>
        <w:rPr>
          <w:color w:val="231F20"/>
          <w:spacing w:val="8"/>
        </w:rPr>
        <w:t> </w:t>
      </w:r>
      <w:r>
        <w:rPr>
          <w:color w:val="231F20"/>
        </w:rPr>
        <w:t>–</w:t>
      </w:r>
      <w:r>
        <w:rPr>
          <w:color w:val="231F20"/>
          <w:spacing w:val="-13"/>
        </w:rPr>
        <w:t> </w:t>
      </w:r>
      <w:r>
        <w:rPr>
          <w:color w:val="231F20"/>
        </w:rPr>
        <w:t>Љубичево</w:t>
      </w:r>
      <w:r>
        <w:rPr>
          <w:color w:val="231F20"/>
          <w:spacing w:val="8"/>
        </w:rPr>
        <w:t> </w:t>
      </w:r>
      <w:r>
        <w:rPr>
          <w:color w:val="231F20"/>
        </w:rPr>
        <w:t>–</w:t>
      </w:r>
      <w:r>
        <w:rPr>
          <w:color w:val="231F20"/>
          <w:spacing w:val="-13"/>
        </w:rPr>
        <w:t> </w:t>
      </w:r>
      <w:r>
        <w:rPr>
          <w:color w:val="231F20"/>
        </w:rPr>
        <w:t>Пожаревац</w:t>
      </w:r>
      <w:r>
        <w:rPr>
          <w:color w:val="231F20"/>
          <w:spacing w:val="8"/>
        </w:rPr>
        <w:t> </w:t>
      </w:r>
      <w:r>
        <w:rPr>
          <w:color w:val="231F20"/>
        </w:rPr>
        <w:t>–</w:t>
      </w:r>
      <w:r>
        <w:rPr>
          <w:color w:val="231F20"/>
          <w:spacing w:val="-13"/>
        </w:rPr>
        <w:t> </w:t>
      </w:r>
      <w:r>
        <w:rPr>
          <w:color w:val="231F20"/>
        </w:rPr>
        <w:t>Велико</w:t>
      </w:r>
      <w:r>
        <w:rPr>
          <w:color w:val="231F20"/>
          <w:spacing w:val="-13"/>
        </w:rPr>
        <w:t> </w:t>
      </w:r>
      <w:r>
        <w:rPr>
          <w:color w:val="231F20"/>
        </w:rPr>
        <w:t>Градиште</w:t>
      </w:r>
      <w:r>
        <w:rPr>
          <w:color w:val="231F20"/>
          <w:spacing w:val="8"/>
        </w:rPr>
        <w:t> </w:t>
      </w:r>
      <w:r>
        <w:rPr>
          <w:color w:val="231F20"/>
        </w:rPr>
        <w:t>–</w:t>
      </w:r>
      <w:r>
        <w:rPr>
          <w:color w:val="231F20"/>
          <w:spacing w:val="-13"/>
        </w:rPr>
        <w:t> </w:t>
      </w:r>
      <w:r>
        <w:rPr>
          <w:color w:val="231F20"/>
        </w:rPr>
        <w:t>Сребрно</w:t>
      </w:r>
      <w:r>
        <w:rPr>
          <w:color w:val="231F20"/>
          <w:spacing w:val="-13"/>
        </w:rPr>
        <w:t> </w:t>
      </w:r>
      <w:r>
        <w:rPr>
          <w:color w:val="231F20"/>
        </w:rPr>
        <w:t>је- зеро – </w:t>
      </w:r>
      <w:r>
        <w:rPr>
          <w:color w:val="231F20"/>
          <w:spacing w:val="-4"/>
        </w:rPr>
        <w:t>Голубац </w:t>
      </w:r>
      <w:r>
        <w:rPr>
          <w:color w:val="231F20"/>
        </w:rPr>
        <w:t>– НП Ђердап – и </w:t>
      </w:r>
      <w:r>
        <w:rPr>
          <w:color w:val="231F20"/>
          <w:spacing w:val="-3"/>
        </w:rPr>
        <w:t>тако</w:t>
      </w:r>
      <w:r>
        <w:rPr>
          <w:color w:val="231F20"/>
          <w:spacing w:val="-17"/>
        </w:rPr>
        <w:t> </w:t>
      </w:r>
      <w:r>
        <w:rPr>
          <w:color w:val="231F20"/>
        </w:rPr>
        <w:t>даље).</w:t>
      </w:r>
    </w:p>
    <w:p>
      <w:pPr>
        <w:pStyle w:val="BodyText"/>
        <w:spacing w:line="232" w:lineRule="auto" w:before="2"/>
        <w:ind w:right="408" w:firstLine="397"/>
      </w:pPr>
      <w:r>
        <w:rPr>
          <w:color w:val="231F20"/>
        </w:rPr>
        <w:t>Туристичка </w:t>
      </w:r>
      <w:r>
        <w:rPr>
          <w:color w:val="231F20"/>
          <w:spacing w:val="-3"/>
        </w:rPr>
        <w:t>понуда </w:t>
      </w:r>
      <w:r>
        <w:rPr>
          <w:color w:val="231F20"/>
        </w:rPr>
        <w:t>је </w:t>
      </w:r>
      <w:r>
        <w:rPr>
          <w:color w:val="231F20"/>
          <w:spacing w:val="-3"/>
        </w:rPr>
        <w:t>углавном </w:t>
      </w:r>
      <w:r>
        <w:rPr>
          <w:color w:val="231F20"/>
        </w:rPr>
        <w:t>везана за једнодневне излете, а могућности смештаја туриста су скромног капацитета и износе </w:t>
      </w:r>
      <w:r>
        <w:rPr>
          <w:color w:val="231F20"/>
          <w:spacing w:val="-4"/>
        </w:rPr>
        <w:t>око </w:t>
      </w:r>
      <w:r>
        <w:rPr>
          <w:color w:val="231F20"/>
        </w:rPr>
        <w:t>400 лежајева (140 у </w:t>
      </w:r>
      <w:r>
        <w:rPr>
          <w:color w:val="231F20"/>
          <w:spacing w:val="-2"/>
        </w:rPr>
        <w:t>хотелу </w:t>
      </w:r>
      <w:r>
        <w:rPr>
          <w:color w:val="231F20"/>
        </w:rPr>
        <w:t>Дунав у </w:t>
      </w:r>
      <w:r>
        <w:rPr>
          <w:color w:val="231F20"/>
          <w:spacing w:val="-3"/>
        </w:rPr>
        <w:t>Пожаревцу, </w:t>
      </w:r>
      <w:r>
        <w:rPr>
          <w:color w:val="231F20"/>
        </w:rPr>
        <w:t>150 у ученич- </w:t>
      </w:r>
      <w:r>
        <w:rPr>
          <w:color w:val="231F20"/>
          <w:spacing w:val="-5"/>
        </w:rPr>
        <w:t>ком </w:t>
      </w:r>
      <w:r>
        <w:rPr>
          <w:color w:val="231F20"/>
        </w:rPr>
        <w:t>дому </w:t>
      </w:r>
      <w:r>
        <w:rPr>
          <w:color w:val="231F20"/>
          <w:spacing w:val="-4"/>
        </w:rPr>
        <w:t>Тулба </w:t>
      </w:r>
      <w:r>
        <w:rPr>
          <w:color w:val="231F20"/>
        </w:rPr>
        <w:t>и </w:t>
      </w:r>
      <w:r>
        <w:rPr>
          <w:color w:val="231F20"/>
          <w:spacing w:val="-4"/>
        </w:rPr>
        <w:t>око </w:t>
      </w:r>
      <w:r>
        <w:rPr>
          <w:color w:val="231F20"/>
        </w:rPr>
        <w:t>100 лежајева у </w:t>
      </w:r>
      <w:r>
        <w:rPr>
          <w:color w:val="231F20"/>
          <w:spacing w:val="-2"/>
        </w:rPr>
        <w:t>хотелу </w:t>
      </w:r>
      <w:r>
        <w:rPr>
          <w:color w:val="231F20"/>
        </w:rPr>
        <w:t>Костолац и </w:t>
      </w:r>
      <w:r>
        <w:rPr>
          <w:color w:val="231F20"/>
          <w:spacing w:val="-4"/>
        </w:rPr>
        <w:t>неколико </w:t>
      </w:r>
      <w:r>
        <w:rPr>
          <w:color w:val="231F20"/>
        </w:rPr>
        <w:t>мотела) </w:t>
      </w:r>
      <w:r>
        <w:rPr>
          <w:color w:val="231F20"/>
          <w:spacing w:val="-3"/>
        </w:rPr>
        <w:t>који </w:t>
      </w:r>
      <w:r>
        <w:rPr>
          <w:color w:val="231F20"/>
        </w:rPr>
        <w:t>су незадовољавајућег квалитета. Од укупног броја туриста </w:t>
      </w:r>
      <w:r>
        <w:rPr>
          <w:color w:val="231F20"/>
          <w:spacing w:val="-3"/>
        </w:rPr>
        <w:t>који </w:t>
      </w:r>
      <w:r>
        <w:rPr>
          <w:color w:val="231F20"/>
        </w:rPr>
        <w:t>су посетили Браничевско-подунавски регион у 2006. </w:t>
      </w:r>
      <w:r>
        <w:rPr>
          <w:color w:val="231F20"/>
          <w:spacing w:val="-3"/>
        </w:rPr>
        <w:t>години (око </w:t>
      </w:r>
      <w:r>
        <w:rPr>
          <w:color w:val="231F20"/>
        </w:rPr>
        <w:t>50 хиљада) </w:t>
      </w:r>
      <w:r>
        <w:rPr>
          <w:color w:val="231F20"/>
          <w:spacing w:val="-3"/>
        </w:rPr>
        <w:t>11% </w:t>
      </w:r>
      <w:r>
        <w:rPr>
          <w:color w:val="231F20"/>
        </w:rPr>
        <w:t>или </w:t>
      </w:r>
      <w:r>
        <w:rPr>
          <w:color w:val="231F20"/>
          <w:spacing w:val="-4"/>
        </w:rPr>
        <w:t>око </w:t>
      </w:r>
      <w:r>
        <w:rPr>
          <w:color w:val="231F20"/>
        </w:rPr>
        <w:t>5.500 је дошло у Пожаревац, </w:t>
      </w:r>
      <w:r>
        <w:rPr>
          <w:color w:val="231F20"/>
          <w:spacing w:val="-3"/>
        </w:rPr>
        <w:t>од </w:t>
      </w:r>
      <w:r>
        <w:rPr>
          <w:color w:val="231F20"/>
        </w:rPr>
        <w:t>чега се највећи део односи на обилазак Виминацијума. Претпо- ставља се да је укупни број туриста знатно већи, </w:t>
      </w:r>
      <w:r>
        <w:rPr>
          <w:color w:val="231F20"/>
          <w:spacing w:val="-4"/>
        </w:rPr>
        <w:t>ако </w:t>
      </w:r>
      <w:r>
        <w:rPr>
          <w:color w:val="231F20"/>
        </w:rPr>
        <w:t>се узму у об- зир екскурзије и међународни крузинг бродови </w:t>
      </w:r>
      <w:r>
        <w:rPr>
          <w:color w:val="231F20"/>
          <w:spacing w:val="-3"/>
        </w:rPr>
        <w:t>(око </w:t>
      </w:r>
      <w:r>
        <w:rPr>
          <w:color w:val="231F20"/>
        </w:rPr>
        <w:t>100 бродова 2006 године), </w:t>
      </w:r>
      <w:r>
        <w:rPr>
          <w:color w:val="231F20"/>
          <w:spacing w:val="-3"/>
        </w:rPr>
        <w:t>којима </w:t>
      </w:r>
      <w:r>
        <w:rPr>
          <w:color w:val="231F20"/>
        </w:rPr>
        <w:t>је археолошки парк Виминацијума обавезни туристички итинерер (према званичним подацима из Виминаци- јума број посетилаца је 2010. </w:t>
      </w:r>
      <w:r>
        <w:rPr>
          <w:color w:val="231F20"/>
          <w:spacing w:val="-3"/>
        </w:rPr>
        <w:t>године </w:t>
      </w:r>
      <w:r>
        <w:rPr>
          <w:color w:val="231F20"/>
        </w:rPr>
        <w:t>износио </w:t>
      </w:r>
      <w:r>
        <w:rPr>
          <w:color w:val="231F20"/>
          <w:spacing w:val="-4"/>
        </w:rPr>
        <w:t>око  </w:t>
      </w:r>
      <w:r>
        <w:rPr>
          <w:color w:val="231F20"/>
        </w:rPr>
        <w:t>50.000). У то-  ку је реализација туристичког </w:t>
      </w:r>
      <w:r>
        <w:rPr>
          <w:color w:val="231F20"/>
          <w:spacing w:val="-3"/>
        </w:rPr>
        <w:t>научноистраживачког, пословног, </w:t>
      </w:r>
      <w:r>
        <w:rPr>
          <w:color w:val="231F20"/>
        </w:rPr>
        <w:t>едукативног центра у </w:t>
      </w:r>
      <w:r>
        <w:rPr>
          <w:color w:val="231F20"/>
          <w:spacing w:val="-3"/>
        </w:rPr>
        <w:t>комплексу </w:t>
      </w:r>
      <w:r>
        <w:rPr>
          <w:color w:val="231F20"/>
        </w:rPr>
        <w:t>Виминацијума (Domus Hostiliana Scientiarum), у форми аутентичних римских императорских и цар- ских вила, намењеног развоју археолошког туризма за којим по- стоји тражња на иностраном</w:t>
      </w:r>
      <w:r>
        <w:rPr>
          <w:color w:val="231F20"/>
          <w:spacing w:val="-2"/>
        </w:rPr>
        <w:t> </w:t>
      </w:r>
      <w:r>
        <w:rPr>
          <w:color w:val="231F20"/>
          <w:spacing w:val="-3"/>
        </w:rPr>
        <w:t>тржишту.</w:t>
      </w:r>
    </w:p>
    <w:p>
      <w:pPr>
        <w:pStyle w:val="BodyText"/>
        <w:spacing w:line="232" w:lineRule="auto" w:before="9"/>
        <w:ind w:left="171" w:right="408" w:firstLine="397"/>
      </w:pPr>
      <w:r>
        <w:rPr>
          <w:color w:val="231F20"/>
        </w:rPr>
        <w:t>Постоји интерес за одрживим развојем туризма као потен- цијалним покретачем привредног развоја. Носиоци промоције туризма, координације </w:t>
      </w:r>
      <w:r>
        <w:rPr>
          <w:color w:val="231F20"/>
          <w:spacing w:val="-3"/>
        </w:rPr>
        <w:t>понуде </w:t>
      </w:r>
      <w:r>
        <w:rPr>
          <w:color w:val="231F20"/>
        </w:rPr>
        <w:t>и потражње у културно-едукатив- не делатности у туризму су туристичка  организације Пожаревца и Великог Градишта, као и археолошки парк Виминацијум. За </w:t>
      </w:r>
      <w:r>
        <w:rPr>
          <w:color w:val="231F20"/>
          <w:spacing w:val="-4"/>
        </w:rPr>
        <w:t>ко- </w:t>
      </w:r>
      <w:r>
        <w:rPr>
          <w:color w:val="231F20"/>
        </w:rPr>
        <w:t>ришћење туристичких потенцијала и остваривање интегративне </w:t>
      </w:r>
      <w:r>
        <w:rPr>
          <w:color w:val="231F20"/>
          <w:spacing w:val="-3"/>
        </w:rPr>
        <w:t>улоге </w:t>
      </w:r>
      <w:r>
        <w:rPr>
          <w:color w:val="231F20"/>
        </w:rPr>
        <w:t>туризма у значајно је обезбедити активно учешће и коорди- нацију надлежних субјеката </w:t>
      </w:r>
      <w:r>
        <w:rPr>
          <w:color w:val="231F20"/>
          <w:spacing w:val="-3"/>
        </w:rPr>
        <w:t>Републике </w:t>
      </w:r>
      <w:r>
        <w:rPr>
          <w:color w:val="231F20"/>
        </w:rPr>
        <w:t>Србије, града Пожаревца, насеља</w:t>
      </w:r>
      <w:r>
        <w:rPr>
          <w:color w:val="231F20"/>
          <w:spacing w:val="-6"/>
        </w:rPr>
        <w:t> </w:t>
      </w:r>
      <w:r>
        <w:rPr>
          <w:color w:val="231F20"/>
        </w:rPr>
        <w:t>у</w:t>
      </w:r>
      <w:r>
        <w:rPr>
          <w:color w:val="231F20"/>
          <w:spacing w:val="-6"/>
        </w:rPr>
        <w:t> </w:t>
      </w:r>
      <w:r>
        <w:rPr>
          <w:color w:val="231F20"/>
          <w:spacing w:val="-4"/>
        </w:rPr>
        <w:t>окружењу,</w:t>
      </w:r>
      <w:r>
        <w:rPr>
          <w:color w:val="231F20"/>
          <w:spacing w:val="-6"/>
        </w:rPr>
        <w:t> </w:t>
      </w:r>
      <w:r>
        <w:rPr>
          <w:color w:val="231F20"/>
        </w:rPr>
        <w:t>туристичких</w:t>
      </w:r>
      <w:r>
        <w:rPr>
          <w:color w:val="231F20"/>
          <w:spacing w:val="-6"/>
        </w:rPr>
        <w:t> </w:t>
      </w:r>
      <w:r>
        <w:rPr>
          <w:color w:val="231F20"/>
        </w:rPr>
        <w:t>организација</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управе</w:t>
      </w:r>
      <w:r>
        <w:rPr>
          <w:color w:val="231F20"/>
          <w:spacing w:val="-6"/>
        </w:rPr>
        <w:t> </w:t>
      </w:r>
      <w:r>
        <w:rPr>
          <w:color w:val="231F20"/>
        </w:rPr>
        <w:t>архео- лошког парка</w:t>
      </w:r>
      <w:r>
        <w:rPr>
          <w:color w:val="231F20"/>
          <w:spacing w:val="-1"/>
        </w:rPr>
        <w:t> </w:t>
      </w:r>
      <w:r>
        <w:rPr>
          <w:color w:val="231F20"/>
        </w:rPr>
        <w:t>Виминацијум.</w:t>
      </w:r>
    </w:p>
    <w:p>
      <w:pPr>
        <w:spacing w:before="169"/>
        <w:ind w:left="1483" w:right="0" w:firstLine="0"/>
        <w:jc w:val="left"/>
        <w:rPr>
          <w:i/>
          <w:sz w:val="18"/>
        </w:rPr>
      </w:pPr>
      <w:r>
        <w:rPr>
          <w:i/>
          <w:color w:val="231F20"/>
          <w:sz w:val="18"/>
        </w:rPr>
        <w:t>5.3. Инфраструктурни системи</w:t>
      </w:r>
    </w:p>
    <w:p>
      <w:pPr>
        <w:pStyle w:val="ListParagraph"/>
        <w:numPr>
          <w:ilvl w:val="2"/>
          <w:numId w:val="17"/>
        </w:numPr>
        <w:tabs>
          <w:tab w:pos="973" w:val="left" w:leader="none"/>
        </w:tabs>
        <w:spacing w:line="402" w:lineRule="exact" w:before="11" w:after="0"/>
        <w:ind w:left="568" w:right="408" w:hanging="46"/>
        <w:jc w:val="left"/>
        <w:rPr>
          <w:sz w:val="18"/>
        </w:rPr>
      </w:pPr>
      <w:r>
        <w:rPr>
          <w:color w:val="231F20"/>
          <w:spacing w:val="16"/>
          <w:sz w:val="18"/>
        </w:rPr>
        <w:t>Саобраћај </w:t>
      </w:r>
      <w:r>
        <w:rPr>
          <w:color w:val="231F20"/>
          <w:sz w:val="18"/>
        </w:rPr>
        <w:t>и с </w:t>
      </w:r>
      <w:r>
        <w:rPr>
          <w:color w:val="231F20"/>
          <w:spacing w:val="17"/>
          <w:sz w:val="18"/>
        </w:rPr>
        <w:t>аобраћајна </w:t>
      </w:r>
      <w:r>
        <w:rPr>
          <w:color w:val="231F20"/>
          <w:spacing w:val="16"/>
          <w:sz w:val="18"/>
        </w:rPr>
        <w:t>инфраст </w:t>
      </w:r>
      <w:r>
        <w:rPr>
          <w:color w:val="231F20"/>
          <w:spacing w:val="15"/>
          <w:sz w:val="18"/>
        </w:rPr>
        <w:t>руктура </w:t>
      </w:r>
      <w:r>
        <w:rPr>
          <w:color w:val="231F20"/>
          <w:sz w:val="18"/>
        </w:rPr>
        <w:t>Примарне</w:t>
      </w:r>
      <w:r>
        <w:rPr>
          <w:color w:val="231F20"/>
          <w:spacing w:val="-9"/>
          <w:sz w:val="18"/>
        </w:rPr>
        <w:t> </w:t>
      </w:r>
      <w:r>
        <w:rPr>
          <w:color w:val="231F20"/>
          <w:sz w:val="18"/>
        </w:rPr>
        <w:t>везе</w:t>
      </w:r>
      <w:r>
        <w:rPr>
          <w:color w:val="231F20"/>
          <w:spacing w:val="-9"/>
          <w:sz w:val="18"/>
        </w:rPr>
        <w:t> </w:t>
      </w:r>
      <w:r>
        <w:rPr>
          <w:color w:val="231F20"/>
          <w:sz w:val="18"/>
        </w:rPr>
        <w:t>Планског</w:t>
      </w:r>
      <w:r>
        <w:rPr>
          <w:color w:val="231F20"/>
          <w:spacing w:val="-9"/>
          <w:sz w:val="18"/>
        </w:rPr>
        <w:t> </w:t>
      </w:r>
      <w:r>
        <w:rPr>
          <w:color w:val="231F20"/>
          <w:sz w:val="18"/>
        </w:rPr>
        <w:t>подручја</w:t>
      </w:r>
      <w:r>
        <w:rPr>
          <w:color w:val="231F20"/>
          <w:spacing w:val="-9"/>
          <w:sz w:val="18"/>
        </w:rPr>
        <w:t> </w:t>
      </w:r>
      <w:r>
        <w:rPr>
          <w:color w:val="231F20"/>
          <w:sz w:val="18"/>
        </w:rPr>
        <w:t>са</w:t>
      </w:r>
      <w:r>
        <w:rPr>
          <w:color w:val="231F20"/>
          <w:spacing w:val="-9"/>
          <w:sz w:val="18"/>
        </w:rPr>
        <w:t> </w:t>
      </w:r>
      <w:r>
        <w:rPr>
          <w:color w:val="231F20"/>
          <w:sz w:val="18"/>
        </w:rPr>
        <w:t>окружењем</w:t>
      </w:r>
      <w:r>
        <w:rPr>
          <w:color w:val="231F20"/>
          <w:spacing w:val="-9"/>
          <w:sz w:val="18"/>
        </w:rPr>
        <w:t> </w:t>
      </w:r>
      <w:r>
        <w:rPr>
          <w:color w:val="231F20"/>
          <w:sz w:val="18"/>
        </w:rPr>
        <w:t>остварују</w:t>
      </w:r>
      <w:r>
        <w:rPr>
          <w:color w:val="231F20"/>
          <w:spacing w:val="-9"/>
          <w:sz w:val="18"/>
        </w:rPr>
        <w:t> </w:t>
      </w:r>
      <w:r>
        <w:rPr>
          <w:color w:val="231F20"/>
          <w:sz w:val="18"/>
        </w:rPr>
        <w:t>се</w:t>
      </w:r>
    </w:p>
    <w:p>
      <w:pPr>
        <w:pStyle w:val="BodyText"/>
        <w:spacing w:line="157" w:lineRule="exact"/>
        <w:ind w:left="172"/>
        <w:jc w:val="left"/>
      </w:pPr>
      <w:r>
        <w:rPr>
          <w:color w:val="231F20"/>
        </w:rPr>
        <w:t>друмским саобраћајницама и железничком пругом.</w:t>
      </w:r>
    </w:p>
    <w:p>
      <w:pPr>
        <w:pStyle w:val="BodyText"/>
        <w:spacing w:line="232" w:lineRule="auto" w:before="2"/>
        <w:ind w:left="172" w:right="407" w:firstLine="396"/>
      </w:pPr>
      <w:r>
        <w:rPr>
          <w:color w:val="231F20"/>
        </w:rPr>
        <w:t>Са осталом путном мрежом у региону и Републици, Планско подручје је повезано државним путевима I и II реда који пролазе његовом територијом. То су државни путеви I реда бр. 24 и 25.1 и државни путеви II реда бр. 103, 105, 107б, 108а и 214а.</w:t>
      </w:r>
    </w:p>
    <w:p>
      <w:pPr>
        <w:pStyle w:val="BodyText"/>
        <w:spacing w:line="232" w:lineRule="auto" w:before="2"/>
        <w:ind w:left="172" w:right="407" w:firstLine="396"/>
      </w:pPr>
      <w:r>
        <w:rPr>
          <w:color w:val="231F20"/>
        </w:rPr>
        <w:t>Окосницу путне мреже Планског подручја чине два путна правца магистралног карактера:</w:t>
      </w:r>
    </w:p>
    <w:p>
      <w:pPr>
        <w:pStyle w:val="BodyText"/>
        <w:spacing w:line="232" w:lineRule="auto" w:before="1"/>
        <w:ind w:left="172" w:right="406" w:firstLine="396"/>
      </w:pPr>
      <w:r>
        <w:rPr>
          <w:color w:val="231F20"/>
          <w:w w:val="66"/>
        </w:rPr>
        <w:t> </w:t>
      </w:r>
      <w:r>
        <w:rPr>
          <w:color w:val="231F20"/>
        </w:rPr>
        <w:t>– државни пут I реда број 24 </w:t>
      </w:r>
      <w:r>
        <w:rPr>
          <w:color w:val="231F20"/>
          <w:spacing w:val="-2"/>
        </w:rPr>
        <w:t>(Ковин </w:t>
      </w:r>
      <w:r>
        <w:rPr>
          <w:color w:val="231F20"/>
        </w:rPr>
        <w:t>– Смедерево – Пожаре- вац</w:t>
      </w:r>
      <w:r>
        <w:rPr>
          <w:color w:val="231F20"/>
          <w:spacing w:val="5"/>
        </w:rPr>
        <w:t> </w:t>
      </w:r>
      <w:r>
        <w:rPr>
          <w:color w:val="231F20"/>
        </w:rPr>
        <w:t>–</w:t>
      </w:r>
      <w:r>
        <w:rPr>
          <w:color w:val="231F20"/>
          <w:spacing w:val="-15"/>
        </w:rPr>
        <w:t> </w:t>
      </w:r>
      <w:r>
        <w:rPr>
          <w:color w:val="231F20"/>
          <w:spacing w:val="-3"/>
        </w:rPr>
        <w:t>Кучево</w:t>
      </w:r>
      <w:r>
        <w:rPr>
          <w:color w:val="231F20"/>
          <w:spacing w:val="5"/>
        </w:rPr>
        <w:t> </w:t>
      </w:r>
      <w:r>
        <w:rPr>
          <w:color w:val="231F20"/>
        </w:rPr>
        <w:t>–</w:t>
      </w:r>
      <w:r>
        <w:rPr>
          <w:color w:val="231F20"/>
          <w:spacing w:val="-15"/>
        </w:rPr>
        <w:t> </w:t>
      </w:r>
      <w:r>
        <w:rPr>
          <w:color w:val="231F20"/>
        </w:rPr>
        <w:t>Мајданпек</w:t>
      </w:r>
      <w:r>
        <w:rPr>
          <w:color w:val="231F20"/>
          <w:spacing w:val="5"/>
        </w:rPr>
        <w:t> </w:t>
      </w:r>
      <w:r>
        <w:rPr>
          <w:color w:val="231F20"/>
        </w:rPr>
        <w:t>–</w:t>
      </w:r>
      <w:r>
        <w:rPr>
          <w:color w:val="231F20"/>
          <w:spacing w:val="-15"/>
        </w:rPr>
        <w:t> </w:t>
      </w:r>
      <w:r>
        <w:rPr>
          <w:color w:val="231F20"/>
        </w:rPr>
        <w:t>Неготин</w:t>
      </w:r>
      <w:r>
        <w:rPr>
          <w:color w:val="231F20"/>
          <w:spacing w:val="5"/>
        </w:rPr>
        <w:t> </w:t>
      </w:r>
      <w:r>
        <w:rPr>
          <w:color w:val="231F20"/>
        </w:rPr>
        <w:t>–</w:t>
      </w:r>
      <w:r>
        <w:rPr>
          <w:color w:val="231F20"/>
          <w:spacing w:val="-15"/>
        </w:rPr>
        <w:t> </w:t>
      </w:r>
      <w:r>
        <w:rPr>
          <w:color w:val="231F20"/>
        </w:rPr>
        <w:t>граница</w:t>
      </w:r>
      <w:r>
        <w:rPr>
          <w:color w:val="231F20"/>
          <w:spacing w:val="-15"/>
        </w:rPr>
        <w:t> </w:t>
      </w:r>
      <w:r>
        <w:rPr>
          <w:color w:val="231F20"/>
        </w:rPr>
        <w:t>Бугарске</w:t>
      </w:r>
      <w:r>
        <w:rPr>
          <w:color w:val="231F20"/>
          <w:spacing w:val="-15"/>
        </w:rPr>
        <w:t> </w:t>
      </w:r>
      <w:r>
        <w:rPr>
          <w:color w:val="231F20"/>
        </w:rPr>
        <w:t>(Брегово), </w:t>
      </w:r>
      <w:r>
        <w:rPr>
          <w:color w:val="231F20"/>
          <w:spacing w:val="-3"/>
        </w:rPr>
        <w:t>који </w:t>
      </w:r>
      <w:r>
        <w:rPr>
          <w:color w:val="231F20"/>
        </w:rPr>
        <w:t>кроз Планско подручје пролази у правцу запад – исток, и њи- ме</w:t>
      </w:r>
      <w:r>
        <w:rPr>
          <w:color w:val="231F20"/>
          <w:spacing w:val="-4"/>
        </w:rPr>
        <w:t> </w:t>
      </w:r>
      <w:r>
        <w:rPr>
          <w:color w:val="231F20"/>
        </w:rPr>
        <w:t>се</w:t>
      </w:r>
      <w:r>
        <w:rPr>
          <w:color w:val="231F20"/>
          <w:spacing w:val="-4"/>
        </w:rPr>
        <w:t> </w:t>
      </w:r>
      <w:r>
        <w:rPr>
          <w:color w:val="231F20"/>
        </w:rPr>
        <w:t>остварује</w:t>
      </w:r>
      <w:r>
        <w:rPr>
          <w:color w:val="231F20"/>
          <w:spacing w:val="-4"/>
        </w:rPr>
        <w:t> </w:t>
      </w:r>
      <w:r>
        <w:rPr>
          <w:color w:val="231F20"/>
        </w:rPr>
        <w:t>директна</w:t>
      </w:r>
      <w:r>
        <w:rPr>
          <w:color w:val="231F20"/>
          <w:spacing w:val="-4"/>
        </w:rPr>
        <w:t> </w:t>
      </w:r>
      <w:r>
        <w:rPr>
          <w:color w:val="231F20"/>
        </w:rPr>
        <w:t>веза</w:t>
      </w:r>
      <w:r>
        <w:rPr>
          <w:color w:val="231F20"/>
          <w:spacing w:val="-4"/>
        </w:rPr>
        <w:t> </w:t>
      </w:r>
      <w:r>
        <w:rPr>
          <w:color w:val="231F20"/>
        </w:rPr>
        <w:t>са</w:t>
      </w:r>
      <w:r>
        <w:rPr>
          <w:color w:val="231F20"/>
          <w:spacing w:val="-4"/>
        </w:rPr>
        <w:t> </w:t>
      </w:r>
      <w:r>
        <w:rPr>
          <w:color w:val="231F20"/>
        </w:rPr>
        <w:t>суседним</w:t>
      </w:r>
      <w:r>
        <w:rPr>
          <w:color w:val="231F20"/>
          <w:spacing w:val="-4"/>
        </w:rPr>
        <w:t> </w:t>
      </w:r>
      <w:r>
        <w:rPr>
          <w:color w:val="231F20"/>
        </w:rPr>
        <w:t>градским</w:t>
      </w:r>
      <w:r>
        <w:rPr>
          <w:color w:val="231F20"/>
          <w:spacing w:val="-4"/>
        </w:rPr>
        <w:t> </w:t>
      </w:r>
      <w:r>
        <w:rPr>
          <w:color w:val="231F20"/>
        </w:rPr>
        <w:t>центром</w:t>
      </w:r>
      <w:r>
        <w:rPr>
          <w:color w:val="231F20"/>
          <w:spacing w:val="-4"/>
        </w:rPr>
        <w:t> </w:t>
      </w:r>
      <w:r>
        <w:rPr>
          <w:color w:val="231F20"/>
        </w:rPr>
        <w:t>Сме- дерево</w:t>
      </w:r>
      <w:r>
        <w:rPr>
          <w:color w:val="231F20"/>
          <w:spacing w:val="-6"/>
        </w:rPr>
        <w:t> </w:t>
      </w:r>
      <w:r>
        <w:rPr>
          <w:color w:val="231F20"/>
        </w:rPr>
        <w:t>и</w:t>
      </w:r>
      <w:r>
        <w:rPr>
          <w:color w:val="231F20"/>
          <w:spacing w:val="-6"/>
        </w:rPr>
        <w:t> </w:t>
      </w:r>
      <w:r>
        <w:rPr>
          <w:color w:val="231F20"/>
        </w:rPr>
        <w:t>даље</w:t>
      </w:r>
      <w:r>
        <w:rPr>
          <w:color w:val="231F20"/>
          <w:spacing w:val="-6"/>
        </w:rPr>
        <w:t> </w:t>
      </w:r>
      <w:r>
        <w:rPr>
          <w:color w:val="231F20"/>
          <w:spacing w:val="-3"/>
        </w:rPr>
        <w:t>преко</w:t>
      </w:r>
      <w:r>
        <w:rPr>
          <w:color w:val="231F20"/>
          <w:spacing w:val="-6"/>
        </w:rPr>
        <w:t> </w:t>
      </w:r>
      <w:r>
        <w:rPr>
          <w:color w:val="231F20"/>
          <w:spacing w:val="-2"/>
        </w:rPr>
        <w:t>Ковина</w:t>
      </w:r>
      <w:r>
        <w:rPr>
          <w:color w:val="231F20"/>
          <w:spacing w:val="-6"/>
        </w:rPr>
        <w:t> </w:t>
      </w:r>
      <w:r>
        <w:rPr>
          <w:color w:val="231F20"/>
        </w:rPr>
        <w:t>са</w:t>
      </w:r>
      <w:r>
        <w:rPr>
          <w:color w:val="231F20"/>
          <w:spacing w:val="-6"/>
        </w:rPr>
        <w:t> </w:t>
      </w:r>
      <w:r>
        <w:rPr>
          <w:color w:val="231F20"/>
        </w:rPr>
        <w:t>Војводином</w:t>
      </w:r>
      <w:r>
        <w:rPr>
          <w:color w:val="231F20"/>
          <w:spacing w:val="-6"/>
        </w:rPr>
        <w:t> </w:t>
      </w:r>
      <w:r>
        <w:rPr>
          <w:color w:val="231F20"/>
        </w:rPr>
        <w:t>и</w:t>
      </w:r>
      <w:r>
        <w:rPr>
          <w:color w:val="231F20"/>
          <w:spacing w:val="-6"/>
        </w:rPr>
        <w:t> </w:t>
      </w:r>
      <w:r>
        <w:rPr>
          <w:color w:val="231F20"/>
        </w:rPr>
        <w:t>суседном</w:t>
      </w:r>
      <w:r>
        <w:rPr>
          <w:color w:val="231F20"/>
          <w:spacing w:val="-6"/>
        </w:rPr>
        <w:t> </w:t>
      </w:r>
      <w:r>
        <w:rPr>
          <w:color w:val="231F20"/>
        </w:rPr>
        <w:t>Румунијом са једне стране, а са друге, на </w:t>
      </w:r>
      <w:r>
        <w:rPr>
          <w:color w:val="231F20"/>
          <w:spacing w:val="-4"/>
        </w:rPr>
        <w:t>истоку, </w:t>
      </w:r>
      <w:r>
        <w:rPr>
          <w:color w:val="231F20"/>
          <w:spacing w:val="-3"/>
        </w:rPr>
        <w:t>преко Кучева, </w:t>
      </w:r>
      <w:r>
        <w:rPr>
          <w:color w:val="231F20"/>
        </w:rPr>
        <w:t>Мајданпека и Неготина и са </w:t>
      </w:r>
      <w:r>
        <w:rPr>
          <w:color w:val="231F20"/>
          <w:spacing w:val="-3"/>
        </w:rPr>
        <w:t>Бугарском; </w:t>
      </w:r>
      <w:r>
        <w:rPr>
          <w:color w:val="231F20"/>
        </w:rPr>
        <w:t>овај пут уједно представља и најкраћу везу са постојећим аутопутем Београд – Ниш – граница са Маке- донијом (удаљеност </w:t>
      </w:r>
      <w:r>
        <w:rPr>
          <w:color w:val="231F20"/>
          <w:spacing w:val="-4"/>
        </w:rPr>
        <w:t>око </w:t>
      </w:r>
      <w:r>
        <w:rPr>
          <w:color w:val="231F20"/>
        </w:rPr>
        <w:t>18,5 km </w:t>
      </w:r>
      <w:r>
        <w:rPr>
          <w:color w:val="231F20"/>
          <w:spacing w:val="-3"/>
        </w:rPr>
        <w:t>од </w:t>
      </w:r>
      <w:r>
        <w:rPr>
          <w:color w:val="231F20"/>
        </w:rPr>
        <w:t>Пожаревца), </w:t>
      </w:r>
      <w:r>
        <w:rPr>
          <w:color w:val="231F20"/>
          <w:spacing w:val="-3"/>
        </w:rPr>
        <w:t>који </w:t>
      </w:r>
      <w:r>
        <w:rPr>
          <w:color w:val="231F20"/>
        </w:rPr>
        <w:t>је део европ- </w:t>
      </w:r>
      <w:r>
        <w:rPr>
          <w:color w:val="231F20"/>
          <w:spacing w:val="-3"/>
        </w:rPr>
        <w:t>ског </w:t>
      </w:r>
      <w:r>
        <w:rPr>
          <w:color w:val="231F20"/>
        </w:rPr>
        <w:t>пута Е-75, и </w:t>
      </w:r>
      <w:r>
        <w:rPr>
          <w:color w:val="231F20"/>
          <w:spacing w:val="-3"/>
        </w:rPr>
        <w:t>преко кога </w:t>
      </w:r>
      <w:r>
        <w:rPr>
          <w:color w:val="231F20"/>
        </w:rPr>
        <w:t>се остварује веза Планског подручја са осталом мрежом европских путева; дужина овог пута на План- </w:t>
      </w:r>
      <w:r>
        <w:rPr>
          <w:color w:val="231F20"/>
          <w:spacing w:val="-4"/>
        </w:rPr>
        <w:t>ском </w:t>
      </w:r>
      <w:r>
        <w:rPr>
          <w:color w:val="231F20"/>
        </w:rPr>
        <w:t>подручју је </w:t>
      </w:r>
      <w:r>
        <w:rPr>
          <w:color w:val="231F20"/>
          <w:spacing w:val="-4"/>
        </w:rPr>
        <w:t>око </w:t>
      </w:r>
      <w:r>
        <w:rPr>
          <w:color w:val="231F20"/>
        </w:rPr>
        <w:t>13 km</w:t>
      </w:r>
      <w:r>
        <w:rPr>
          <w:color w:val="231F20"/>
          <w:spacing w:val="6"/>
        </w:rPr>
        <w:t> </w:t>
      </w:r>
      <w:r>
        <w:rPr>
          <w:color w:val="231F20"/>
        </w:rPr>
        <w:t>и</w:t>
      </w:r>
    </w:p>
    <w:p>
      <w:pPr>
        <w:pStyle w:val="BodyText"/>
        <w:spacing w:line="232" w:lineRule="auto" w:before="6"/>
        <w:ind w:left="173" w:right="406" w:firstLine="396"/>
      </w:pPr>
      <w:r>
        <w:rPr>
          <w:color w:val="231F20"/>
          <w:w w:val="66"/>
        </w:rPr>
        <w:t> </w:t>
      </w:r>
      <w:r>
        <w:rPr>
          <w:color w:val="231F20"/>
        </w:rPr>
        <w:t>– државни пут I реда број 25.1 (Брана ХЕ </w:t>
      </w:r>
      <w:r>
        <w:rPr>
          <w:color w:val="231F20"/>
          <w:spacing w:val="-4"/>
        </w:rPr>
        <w:t>„Ђердап” </w:t>
      </w:r>
      <w:r>
        <w:rPr>
          <w:color w:val="231F20"/>
        </w:rPr>
        <w:t>– Доњи Милановац – </w:t>
      </w:r>
      <w:r>
        <w:rPr>
          <w:color w:val="231F20"/>
          <w:spacing w:val="-4"/>
        </w:rPr>
        <w:t>Голубац </w:t>
      </w:r>
      <w:r>
        <w:rPr>
          <w:color w:val="231F20"/>
        </w:rPr>
        <w:t>– Велико Градиште – Пожаревац) на План- </w:t>
      </w:r>
      <w:r>
        <w:rPr>
          <w:color w:val="231F20"/>
          <w:spacing w:val="-4"/>
        </w:rPr>
        <w:t>ском </w:t>
      </w:r>
      <w:r>
        <w:rPr>
          <w:color w:val="231F20"/>
        </w:rPr>
        <w:t>подручју има дужину </w:t>
      </w:r>
      <w:r>
        <w:rPr>
          <w:color w:val="231F20"/>
          <w:spacing w:val="-3"/>
        </w:rPr>
        <w:t>од </w:t>
      </w:r>
      <w:r>
        <w:rPr>
          <w:color w:val="231F20"/>
          <w:spacing w:val="-4"/>
        </w:rPr>
        <w:t>око </w:t>
      </w:r>
      <w:r>
        <w:rPr>
          <w:color w:val="231F20"/>
        </w:rPr>
        <w:t>19,5 km, а правац пружања је </w:t>
      </w:r>
      <w:r>
        <w:rPr>
          <w:color w:val="231F20"/>
          <w:spacing w:val="-3"/>
        </w:rPr>
        <w:t>од </w:t>
      </w:r>
      <w:r>
        <w:rPr>
          <w:color w:val="231F20"/>
        </w:rPr>
        <w:t>Великог Градишта према </w:t>
      </w:r>
      <w:r>
        <w:rPr>
          <w:color w:val="231F20"/>
          <w:spacing w:val="-3"/>
        </w:rPr>
        <w:t>Пожаревцу, </w:t>
      </w:r>
      <w:r>
        <w:rPr>
          <w:color w:val="231F20"/>
          <w:spacing w:val="-4"/>
        </w:rPr>
        <w:t>где </w:t>
      </w:r>
      <w:r>
        <w:rPr>
          <w:color w:val="231F20"/>
        </w:rPr>
        <w:t>се завршава на укршта- њу са државним путем број 24.</w:t>
      </w:r>
    </w:p>
    <w:p>
      <w:pPr>
        <w:pStyle w:val="BodyText"/>
        <w:spacing w:line="232" w:lineRule="auto" w:before="2"/>
        <w:ind w:left="173" w:right="406" w:firstLine="396"/>
      </w:pPr>
      <w:r>
        <w:rPr>
          <w:color w:val="231F20"/>
        </w:rPr>
        <w:t>Пре петнаестак година изграђене су обилазнице државних путева број 24 и 25.1, међутим, ове трасе још увек нису уведене у референтни систем државних путева Републике Србије.</w:t>
      </w:r>
    </w:p>
    <w:p>
      <w:pPr>
        <w:pStyle w:val="BodyText"/>
        <w:spacing w:line="232" w:lineRule="auto" w:before="2"/>
        <w:ind w:left="174" w:right="405" w:firstLine="396"/>
      </w:pPr>
      <w:r>
        <w:rPr>
          <w:color w:val="231F20"/>
        </w:rPr>
        <w:t>Значајан</w:t>
      </w:r>
      <w:r>
        <w:rPr>
          <w:color w:val="231F20"/>
          <w:spacing w:val="-7"/>
        </w:rPr>
        <w:t> </w:t>
      </w:r>
      <w:r>
        <w:rPr>
          <w:color w:val="231F20"/>
        </w:rPr>
        <w:t>део</w:t>
      </w:r>
      <w:r>
        <w:rPr>
          <w:color w:val="231F20"/>
          <w:spacing w:val="-7"/>
        </w:rPr>
        <w:t> </w:t>
      </w:r>
      <w:r>
        <w:rPr>
          <w:color w:val="231F20"/>
        </w:rPr>
        <w:t>путне</w:t>
      </w:r>
      <w:r>
        <w:rPr>
          <w:color w:val="231F20"/>
          <w:spacing w:val="-7"/>
        </w:rPr>
        <w:t> </w:t>
      </w:r>
      <w:r>
        <w:rPr>
          <w:color w:val="231F20"/>
        </w:rPr>
        <w:t>мреже</w:t>
      </w:r>
      <w:r>
        <w:rPr>
          <w:color w:val="231F20"/>
          <w:spacing w:val="-7"/>
        </w:rPr>
        <w:t> </w:t>
      </w:r>
      <w:r>
        <w:rPr>
          <w:color w:val="231F20"/>
        </w:rPr>
        <w:t>Планског</w:t>
      </w:r>
      <w:r>
        <w:rPr>
          <w:color w:val="231F20"/>
          <w:spacing w:val="-7"/>
        </w:rPr>
        <w:t> </w:t>
      </w:r>
      <w:r>
        <w:rPr>
          <w:color w:val="231F20"/>
        </w:rPr>
        <w:t>подручја</w:t>
      </w:r>
      <w:r>
        <w:rPr>
          <w:color w:val="231F20"/>
          <w:spacing w:val="-7"/>
        </w:rPr>
        <w:t> </w:t>
      </w:r>
      <w:r>
        <w:rPr>
          <w:color w:val="231F20"/>
        </w:rPr>
        <w:t>чине</w:t>
      </w:r>
      <w:r>
        <w:rPr>
          <w:color w:val="231F20"/>
          <w:spacing w:val="-7"/>
        </w:rPr>
        <w:t> </w:t>
      </w:r>
      <w:r>
        <w:rPr>
          <w:color w:val="231F20"/>
        </w:rPr>
        <w:t>и</w:t>
      </w:r>
      <w:r>
        <w:rPr>
          <w:color w:val="231F20"/>
          <w:spacing w:val="-7"/>
        </w:rPr>
        <w:t> </w:t>
      </w:r>
      <w:r>
        <w:rPr>
          <w:color w:val="231F20"/>
        </w:rPr>
        <w:t>државни путеви</w:t>
      </w:r>
      <w:r>
        <w:rPr>
          <w:color w:val="231F20"/>
          <w:spacing w:val="-6"/>
        </w:rPr>
        <w:t> </w:t>
      </w:r>
      <w:r>
        <w:rPr>
          <w:color w:val="231F20"/>
        </w:rPr>
        <w:t>II</w:t>
      </w:r>
      <w:r>
        <w:rPr>
          <w:color w:val="231F20"/>
          <w:spacing w:val="-6"/>
        </w:rPr>
        <w:t> </w:t>
      </w:r>
      <w:r>
        <w:rPr>
          <w:color w:val="231F20"/>
        </w:rPr>
        <w:t>реда</w:t>
      </w:r>
      <w:r>
        <w:rPr>
          <w:color w:val="231F20"/>
          <w:spacing w:val="-6"/>
        </w:rPr>
        <w:t> </w:t>
      </w:r>
      <w:r>
        <w:rPr>
          <w:color w:val="231F20"/>
        </w:rPr>
        <w:t>(путеви</w:t>
      </w:r>
      <w:r>
        <w:rPr>
          <w:color w:val="231F20"/>
          <w:spacing w:val="-6"/>
        </w:rPr>
        <w:t> </w:t>
      </w:r>
      <w:r>
        <w:rPr>
          <w:color w:val="231F20"/>
        </w:rPr>
        <w:t>регионалног</w:t>
      </w:r>
      <w:r>
        <w:rPr>
          <w:color w:val="231F20"/>
          <w:spacing w:val="-6"/>
        </w:rPr>
        <w:t> </w:t>
      </w:r>
      <w:r>
        <w:rPr>
          <w:color w:val="231F20"/>
        </w:rPr>
        <w:t>карактера).</w:t>
      </w:r>
      <w:r>
        <w:rPr>
          <w:color w:val="231F20"/>
          <w:spacing w:val="-6"/>
        </w:rPr>
        <w:t> </w:t>
      </w:r>
      <w:r>
        <w:rPr>
          <w:color w:val="231F20"/>
        </w:rPr>
        <w:t>Ради</w:t>
      </w:r>
      <w:r>
        <w:rPr>
          <w:color w:val="231F20"/>
          <w:spacing w:val="-6"/>
        </w:rPr>
        <w:t> </w:t>
      </w:r>
      <w:r>
        <w:rPr>
          <w:color w:val="231F20"/>
        </w:rPr>
        <w:t>се</w:t>
      </w:r>
      <w:r>
        <w:rPr>
          <w:color w:val="231F20"/>
          <w:spacing w:val="-6"/>
        </w:rPr>
        <w:t> </w:t>
      </w:r>
      <w:r>
        <w:rPr>
          <w:color w:val="231F20"/>
        </w:rPr>
        <w:t>о</w:t>
      </w:r>
      <w:r>
        <w:rPr>
          <w:color w:val="231F20"/>
          <w:spacing w:val="-6"/>
        </w:rPr>
        <w:t> </w:t>
      </w:r>
      <w:r>
        <w:rPr>
          <w:color w:val="231F20"/>
        </w:rPr>
        <w:t>следећим путним правцима: ДП бр. 103 (Костолац – Пожаревац – Жабари – Свилајнац – Деспотовац – Ћуприја), ДП бр.105 (Рам –</w:t>
      </w:r>
      <w:r>
        <w:rPr>
          <w:color w:val="231F20"/>
          <w:spacing w:val="15"/>
        </w:rPr>
        <w:t> </w:t>
      </w:r>
      <w:r>
        <w:rPr>
          <w:color w:val="231F20"/>
        </w:rPr>
        <w:t>Братинац</w:t>
      </w:r>
    </w:p>
    <w:p>
      <w:pPr>
        <w:pStyle w:val="BodyText"/>
        <w:spacing w:line="232" w:lineRule="auto" w:before="1"/>
        <w:ind w:left="174" w:right="405" w:hanging="1"/>
      </w:pPr>
      <w:r>
        <w:rPr>
          <w:color w:val="231F20"/>
          <w:w w:val="66"/>
        </w:rPr>
        <w:t> </w:t>
      </w:r>
      <w:r>
        <w:rPr>
          <w:color w:val="231F20"/>
        </w:rPr>
        <w:t>– Салаковац – Мало Црниће – Жагубица – Брестовац – Селиште), ДП</w:t>
      </w:r>
      <w:r>
        <w:rPr>
          <w:color w:val="231F20"/>
          <w:spacing w:val="-14"/>
        </w:rPr>
        <w:t> </w:t>
      </w:r>
      <w:r>
        <w:rPr>
          <w:color w:val="231F20"/>
        </w:rPr>
        <w:t>бр.107б</w:t>
      </w:r>
      <w:r>
        <w:rPr>
          <w:color w:val="231F20"/>
          <w:spacing w:val="-14"/>
        </w:rPr>
        <w:t> </w:t>
      </w:r>
      <w:r>
        <w:rPr>
          <w:color w:val="231F20"/>
        </w:rPr>
        <w:t>(Бошљак</w:t>
      </w:r>
      <w:r>
        <w:rPr>
          <w:color w:val="231F20"/>
          <w:spacing w:val="8"/>
        </w:rPr>
        <w:t> </w:t>
      </w:r>
      <w:r>
        <w:rPr>
          <w:color w:val="231F20"/>
        </w:rPr>
        <w:t>–</w:t>
      </w:r>
      <w:r>
        <w:rPr>
          <w:color w:val="231F20"/>
          <w:spacing w:val="-14"/>
        </w:rPr>
        <w:t> </w:t>
      </w:r>
      <w:r>
        <w:rPr>
          <w:color w:val="231F20"/>
        </w:rPr>
        <w:t>Орљево</w:t>
      </w:r>
      <w:r>
        <w:rPr>
          <w:color w:val="231F20"/>
          <w:spacing w:val="8"/>
        </w:rPr>
        <w:t> </w:t>
      </w:r>
      <w:r>
        <w:rPr>
          <w:color w:val="231F20"/>
        </w:rPr>
        <w:t>–</w:t>
      </w:r>
      <w:r>
        <w:rPr>
          <w:color w:val="231F20"/>
          <w:spacing w:val="-14"/>
        </w:rPr>
        <w:t> </w:t>
      </w:r>
      <w:r>
        <w:rPr>
          <w:color w:val="231F20"/>
        </w:rPr>
        <w:t>Пожаревац</w:t>
      </w:r>
      <w:r>
        <w:rPr>
          <w:color w:val="231F20"/>
          <w:spacing w:val="8"/>
        </w:rPr>
        <w:t> </w:t>
      </w:r>
      <w:r>
        <w:rPr>
          <w:color w:val="231F20"/>
        </w:rPr>
        <w:t>–</w:t>
      </w:r>
      <w:r>
        <w:rPr>
          <w:color w:val="231F20"/>
          <w:spacing w:val="-14"/>
        </w:rPr>
        <w:t> </w:t>
      </w:r>
      <w:r>
        <w:rPr>
          <w:color w:val="231F20"/>
        </w:rPr>
        <w:t>Дубравица</w:t>
      </w:r>
      <w:r>
        <w:rPr>
          <w:color w:val="231F20"/>
          <w:spacing w:val="-14"/>
        </w:rPr>
        <w:t> </w:t>
      </w:r>
      <w:r>
        <w:rPr>
          <w:color w:val="231F20"/>
        </w:rPr>
        <w:t>(приста- ниште), ДП бр.108а (Берање – Средњево – </w:t>
      </w:r>
      <w:r>
        <w:rPr>
          <w:color w:val="231F20"/>
          <w:spacing w:val="-3"/>
        </w:rPr>
        <w:t>Голубац) </w:t>
      </w:r>
      <w:r>
        <w:rPr>
          <w:color w:val="231F20"/>
        </w:rPr>
        <w:t>и ДП бр. 214а (Осипаоница – </w:t>
      </w:r>
      <w:r>
        <w:rPr>
          <w:color w:val="231F20"/>
          <w:spacing w:val="-3"/>
        </w:rPr>
        <w:t>улаз </w:t>
      </w:r>
      <w:r>
        <w:rPr>
          <w:color w:val="231F20"/>
        </w:rPr>
        <w:t>у</w:t>
      </w:r>
      <w:r>
        <w:rPr>
          <w:color w:val="231F20"/>
          <w:spacing w:val="-17"/>
        </w:rPr>
        <w:t> </w:t>
      </w:r>
      <w:r>
        <w:rPr>
          <w:color w:val="231F20"/>
        </w:rPr>
        <w:t>Пожаревац).</w:t>
      </w:r>
    </w:p>
    <w:p>
      <w:pPr>
        <w:pStyle w:val="BodyText"/>
        <w:spacing w:line="232" w:lineRule="auto" w:before="2"/>
        <w:ind w:left="174" w:right="405" w:firstLine="396"/>
      </w:pPr>
      <w:r>
        <w:rPr>
          <w:color w:val="231F20"/>
        </w:rPr>
        <w:t>У табели </w:t>
      </w:r>
      <w:r>
        <w:rPr>
          <w:color w:val="231F20"/>
          <w:spacing w:val="-4"/>
        </w:rPr>
        <w:t>која </w:t>
      </w:r>
      <w:r>
        <w:rPr>
          <w:color w:val="231F20"/>
        </w:rPr>
        <w:t>следи приказане су оријентационе улазне, </w:t>
      </w:r>
      <w:r>
        <w:rPr>
          <w:color w:val="231F20"/>
          <w:spacing w:val="-3"/>
        </w:rPr>
        <w:t>од- </w:t>
      </w:r>
      <w:r>
        <w:rPr>
          <w:color w:val="231F20"/>
        </w:rPr>
        <w:t>носно</w:t>
      </w:r>
      <w:r>
        <w:rPr>
          <w:color w:val="231F20"/>
          <w:spacing w:val="-6"/>
        </w:rPr>
        <w:t> </w:t>
      </w:r>
      <w:r>
        <w:rPr>
          <w:color w:val="231F20"/>
        </w:rPr>
        <w:t>излазне</w:t>
      </w:r>
      <w:r>
        <w:rPr>
          <w:color w:val="231F20"/>
          <w:spacing w:val="-6"/>
        </w:rPr>
        <w:t> </w:t>
      </w:r>
      <w:r>
        <w:rPr>
          <w:color w:val="231F20"/>
        </w:rPr>
        <w:t>стационаже</w:t>
      </w:r>
      <w:r>
        <w:rPr>
          <w:color w:val="231F20"/>
          <w:spacing w:val="-6"/>
        </w:rPr>
        <w:t> </w:t>
      </w:r>
      <w:r>
        <w:rPr>
          <w:color w:val="231F20"/>
        </w:rPr>
        <w:t>државних</w:t>
      </w:r>
      <w:r>
        <w:rPr>
          <w:color w:val="231F20"/>
          <w:spacing w:val="-6"/>
        </w:rPr>
        <w:t> </w:t>
      </w:r>
      <w:r>
        <w:rPr>
          <w:color w:val="231F20"/>
        </w:rPr>
        <w:t>путева</w:t>
      </w:r>
      <w:r>
        <w:rPr>
          <w:color w:val="231F20"/>
          <w:spacing w:val="-6"/>
        </w:rPr>
        <w:t> </w:t>
      </w:r>
      <w:r>
        <w:rPr>
          <w:color w:val="231F20"/>
        </w:rPr>
        <w:t>на</w:t>
      </w:r>
      <w:r>
        <w:rPr>
          <w:color w:val="231F20"/>
          <w:spacing w:val="-6"/>
        </w:rPr>
        <w:t> </w:t>
      </w:r>
      <w:r>
        <w:rPr>
          <w:color w:val="231F20"/>
          <w:spacing w:val="-3"/>
        </w:rPr>
        <w:t>Планском</w:t>
      </w:r>
      <w:r>
        <w:rPr>
          <w:color w:val="231F20"/>
          <w:spacing w:val="-6"/>
        </w:rPr>
        <w:t> </w:t>
      </w:r>
      <w:r>
        <w:rPr>
          <w:color w:val="231F20"/>
          <w:spacing w:val="-4"/>
        </w:rPr>
        <w:t>подручју.</w:t>
      </w:r>
    </w:p>
    <w:p>
      <w:pPr>
        <w:spacing w:after="0" w:line="232" w:lineRule="auto"/>
        <w:sectPr>
          <w:pgSz w:w="12480" w:h="15690"/>
          <w:pgMar w:top="120" w:bottom="280" w:left="680" w:right="720"/>
          <w:cols w:num="2" w:equalWidth="0">
            <w:col w:w="5316" w:space="72"/>
            <w:col w:w="5692"/>
          </w:cols>
        </w:sectPr>
      </w:pPr>
    </w:p>
    <w:p>
      <w:pPr>
        <w:pStyle w:val="BodyText"/>
        <w:spacing w:before="68" w:after="41"/>
        <w:ind w:left="453"/>
        <w:jc w:val="left"/>
      </w:pPr>
      <w:r>
        <w:rPr>
          <w:color w:val="231F20"/>
        </w:rPr>
        <w:t>Табела 6. Преглед државних путева на Планском подручју</w:t>
      </w: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72"/>
        <w:gridCol w:w="4809"/>
        <w:gridCol w:w="2408"/>
        <w:gridCol w:w="1104"/>
        <w:gridCol w:w="1304"/>
      </w:tblGrid>
      <w:tr>
        <w:trPr>
          <w:trHeight w:val="200" w:hRule="atLeast"/>
        </w:trPr>
        <w:tc>
          <w:tcPr>
            <w:tcW w:w="872" w:type="dxa"/>
            <w:vMerge w:val="restart"/>
          </w:tcPr>
          <w:p>
            <w:pPr>
              <w:pStyle w:val="TableParagraph"/>
              <w:ind w:left="72"/>
              <w:jc w:val="left"/>
              <w:rPr>
                <w:sz w:val="14"/>
              </w:rPr>
            </w:pPr>
            <w:r>
              <w:rPr>
                <w:color w:val="231F20"/>
                <w:sz w:val="14"/>
              </w:rPr>
              <w:t>Ознака пута</w:t>
            </w:r>
          </w:p>
        </w:tc>
        <w:tc>
          <w:tcPr>
            <w:tcW w:w="4809" w:type="dxa"/>
            <w:vMerge w:val="restart"/>
          </w:tcPr>
          <w:p>
            <w:pPr>
              <w:pStyle w:val="TableParagraph"/>
              <w:ind w:left="2062" w:right="2051"/>
              <w:jc w:val="center"/>
              <w:rPr>
                <w:sz w:val="14"/>
              </w:rPr>
            </w:pPr>
            <w:r>
              <w:rPr>
                <w:color w:val="231F20"/>
                <w:sz w:val="14"/>
              </w:rPr>
              <w:t>Траса пута</w:t>
            </w:r>
          </w:p>
        </w:tc>
        <w:tc>
          <w:tcPr>
            <w:tcW w:w="2408" w:type="dxa"/>
            <w:vMerge w:val="restart"/>
          </w:tcPr>
          <w:p>
            <w:pPr>
              <w:pStyle w:val="TableParagraph"/>
              <w:ind w:left="1011" w:hanging="824"/>
              <w:jc w:val="left"/>
              <w:rPr>
                <w:sz w:val="14"/>
              </w:rPr>
            </w:pPr>
            <w:r>
              <w:rPr>
                <w:color w:val="231F20"/>
                <w:sz w:val="14"/>
              </w:rPr>
              <w:t>Ознака деоница на Планском под- ручју*</w:t>
            </w:r>
          </w:p>
        </w:tc>
        <w:tc>
          <w:tcPr>
            <w:tcW w:w="2408" w:type="dxa"/>
            <w:gridSpan w:val="2"/>
          </w:tcPr>
          <w:p>
            <w:pPr>
              <w:pStyle w:val="TableParagraph"/>
              <w:ind w:left="685"/>
              <w:jc w:val="left"/>
              <w:rPr>
                <w:sz w:val="14"/>
              </w:rPr>
            </w:pPr>
            <w:r>
              <w:rPr>
                <w:color w:val="231F20"/>
                <w:sz w:val="14"/>
              </w:rPr>
              <w:t>Стационажа (km)</w:t>
            </w:r>
          </w:p>
        </w:tc>
      </w:tr>
      <w:tr>
        <w:trPr>
          <w:trHeight w:val="200" w:hRule="atLeast"/>
        </w:trPr>
        <w:tc>
          <w:tcPr>
            <w:tcW w:w="872" w:type="dxa"/>
            <w:vMerge/>
            <w:tcBorders>
              <w:top w:val="nil"/>
            </w:tcBorders>
          </w:tcPr>
          <w:p>
            <w:pPr>
              <w:rPr>
                <w:sz w:val="2"/>
                <w:szCs w:val="2"/>
              </w:rPr>
            </w:pPr>
          </w:p>
        </w:tc>
        <w:tc>
          <w:tcPr>
            <w:tcW w:w="4809" w:type="dxa"/>
            <w:vMerge/>
            <w:tcBorders>
              <w:top w:val="nil"/>
            </w:tcBorders>
          </w:tcPr>
          <w:p>
            <w:pPr>
              <w:rPr>
                <w:sz w:val="2"/>
                <w:szCs w:val="2"/>
              </w:rPr>
            </w:pPr>
          </w:p>
        </w:tc>
        <w:tc>
          <w:tcPr>
            <w:tcW w:w="2408" w:type="dxa"/>
            <w:vMerge/>
            <w:tcBorders>
              <w:top w:val="nil"/>
            </w:tcBorders>
          </w:tcPr>
          <w:p>
            <w:pPr>
              <w:rPr>
                <w:sz w:val="2"/>
                <w:szCs w:val="2"/>
              </w:rPr>
            </w:pPr>
          </w:p>
        </w:tc>
        <w:tc>
          <w:tcPr>
            <w:tcW w:w="1104" w:type="dxa"/>
          </w:tcPr>
          <w:p>
            <w:pPr>
              <w:pStyle w:val="TableParagraph"/>
              <w:ind w:left="317"/>
              <w:jc w:val="left"/>
              <w:rPr>
                <w:sz w:val="14"/>
              </w:rPr>
            </w:pPr>
            <w:r>
              <w:rPr>
                <w:color w:val="231F20"/>
                <w:sz w:val="14"/>
              </w:rPr>
              <w:t>почетна</w:t>
            </w:r>
          </w:p>
        </w:tc>
        <w:tc>
          <w:tcPr>
            <w:tcW w:w="1304" w:type="dxa"/>
          </w:tcPr>
          <w:p>
            <w:pPr>
              <w:pStyle w:val="TableParagraph"/>
              <w:ind w:left="404"/>
              <w:jc w:val="left"/>
              <w:rPr>
                <w:sz w:val="14"/>
              </w:rPr>
            </w:pPr>
            <w:r>
              <w:rPr>
                <w:color w:val="231F20"/>
                <w:sz w:val="14"/>
              </w:rPr>
              <w:t>завршна</w:t>
            </w:r>
          </w:p>
        </w:tc>
      </w:tr>
      <w:tr>
        <w:trPr>
          <w:trHeight w:val="200" w:hRule="atLeast"/>
        </w:trPr>
        <w:tc>
          <w:tcPr>
            <w:tcW w:w="10497" w:type="dxa"/>
            <w:gridSpan w:val="5"/>
          </w:tcPr>
          <w:p>
            <w:pPr>
              <w:pStyle w:val="TableParagraph"/>
              <w:ind w:left="56"/>
              <w:jc w:val="left"/>
              <w:rPr>
                <w:sz w:val="14"/>
              </w:rPr>
            </w:pPr>
            <w:r>
              <w:rPr>
                <w:color w:val="231F20"/>
                <w:sz w:val="14"/>
              </w:rPr>
              <w:t>Државни путеви I реда</w:t>
            </w:r>
          </w:p>
        </w:tc>
      </w:tr>
      <w:tr>
        <w:trPr>
          <w:trHeight w:val="360" w:hRule="atLeast"/>
        </w:trPr>
        <w:tc>
          <w:tcPr>
            <w:tcW w:w="872" w:type="dxa"/>
          </w:tcPr>
          <w:p>
            <w:pPr>
              <w:pStyle w:val="TableParagraph"/>
              <w:ind w:left="56"/>
              <w:jc w:val="left"/>
              <w:rPr>
                <w:sz w:val="14"/>
              </w:rPr>
            </w:pPr>
            <w:r>
              <w:rPr>
                <w:color w:val="231F20"/>
                <w:sz w:val="14"/>
              </w:rPr>
              <w:t>ДП-24</w:t>
            </w:r>
          </w:p>
        </w:tc>
        <w:tc>
          <w:tcPr>
            <w:tcW w:w="4809" w:type="dxa"/>
          </w:tcPr>
          <w:p>
            <w:pPr>
              <w:pStyle w:val="TableParagraph"/>
              <w:ind w:left="57"/>
              <w:jc w:val="left"/>
              <w:rPr>
                <w:sz w:val="14"/>
              </w:rPr>
            </w:pPr>
            <w:r>
              <w:rPr>
                <w:color w:val="231F20"/>
                <w:sz w:val="14"/>
              </w:rPr>
              <w:t>АП Војводина – Смедерево – Пожаревац – Кучево – Мајданпек – Неготин – граница Бугарске</w:t>
            </w:r>
          </w:p>
        </w:tc>
        <w:tc>
          <w:tcPr>
            <w:tcW w:w="2408" w:type="dxa"/>
          </w:tcPr>
          <w:p>
            <w:pPr>
              <w:pStyle w:val="TableParagraph"/>
              <w:ind w:left="57"/>
              <w:jc w:val="left"/>
              <w:rPr>
                <w:sz w:val="14"/>
              </w:rPr>
            </w:pPr>
            <w:r>
              <w:rPr>
                <w:color w:val="231F20"/>
                <w:sz w:val="14"/>
              </w:rPr>
              <w:t>0276, 0277, 0418</w:t>
            </w:r>
          </w:p>
        </w:tc>
        <w:tc>
          <w:tcPr>
            <w:tcW w:w="1104" w:type="dxa"/>
          </w:tcPr>
          <w:p>
            <w:pPr>
              <w:pStyle w:val="TableParagraph"/>
              <w:ind w:right="43"/>
              <w:rPr>
                <w:sz w:val="14"/>
              </w:rPr>
            </w:pPr>
            <w:r>
              <w:rPr>
                <w:color w:val="231F20"/>
                <w:sz w:val="14"/>
              </w:rPr>
              <w:t>272+917</w:t>
            </w:r>
          </w:p>
        </w:tc>
        <w:tc>
          <w:tcPr>
            <w:tcW w:w="1304" w:type="dxa"/>
          </w:tcPr>
          <w:p>
            <w:pPr>
              <w:pStyle w:val="TableParagraph"/>
              <w:ind w:right="43"/>
              <w:rPr>
                <w:sz w:val="14"/>
              </w:rPr>
            </w:pPr>
            <w:r>
              <w:rPr>
                <w:color w:val="231F20"/>
                <w:sz w:val="14"/>
              </w:rPr>
              <w:t>286+422</w:t>
            </w:r>
          </w:p>
        </w:tc>
      </w:tr>
      <w:tr>
        <w:trPr>
          <w:trHeight w:val="360" w:hRule="atLeast"/>
        </w:trPr>
        <w:tc>
          <w:tcPr>
            <w:tcW w:w="872" w:type="dxa"/>
          </w:tcPr>
          <w:p>
            <w:pPr>
              <w:pStyle w:val="TableParagraph"/>
              <w:ind w:left="56"/>
              <w:jc w:val="left"/>
              <w:rPr>
                <w:sz w:val="14"/>
              </w:rPr>
            </w:pPr>
            <w:r>
              <w:rPr>
                <w:color w:val="231F20"/>
                <w:sz w:val="14"/>
              </w:rPr>
              <w:t>ДП-25.1</w:t>
            </w:r>
          </w:p>
        </w:tc>
        <w:tc>
          <w:tcPr>
            <w:tcW w:w="4809" w:type="dxa"/>
          </w:tcPr>
          <w:p>
            <w:pPr>
              <w:pStyle w:val="TableParagraph"/>
              <w:ind w:left="57" w:hanging="1"/>
              <w:jc w:val="left"/>
              <w:rPr>
                <w:sz w:val="14"/>
              </w:rPr>
            </w:pPr>
            <w:r>
              <w:rPr>
                <w:color w:val="231F20"/>
                <w:sz w:val="14"/>
              </w:rPr>
              <w:t>Брана ХЕ „Ђердап” – Доњи Милановац – Голубац – Велико Градиште – Пожаревац</w:t>
            </w:r>
          </w:p>
        </w:tc>
        <w:tc>
          <w:tcPr>
            <w:tcW w:w="2408" w:type="dxa"/>
          </w:tcPr>
          <w:p>
            <w:pPr>
              <w:pStyle w:val="TableParagraph"/>
              <w:ind w:left="57"/>
              <w:jc w:val="left"/>
              <w:rPr>
                <w:sz w:val="14"/>
              </w:rPr>
            </w:pPr>
            <w:r>
              <w:rPr>
                <w:color w:val="231F20"/>
                <w:sz w:val="14"/>
              </w:rPr>
              <w:t>0330, 0331, 1047, 0332, 1366</w:t>
            </w:r>
          </w:p>
        </w:tc>
        <w:tc>
          <w:tcPr>
            <w:tcW w:w="1104" w:type="dxa"/>
          </w:tcPr>
          <w:p>
            <w:pPr>
              <w:pStyle w:val="TableParagraph"/>
              <w:ind w:right="43"/>
              <w:rPr>
                <w:sz w:val="14"/>
              </w:rPr>
            </w:pPr>
            <w:r>
              <w:rPr>
                <w:color w:val="231F20"/>
                <w:sz w:val="14"/>
              </w:rPr>
              <w:t>140+257</w:t>
            </w:r>
          </w:p>
        </w:tc>
        <w:tc>
          <w:tcPr>
            <w:tcW w:w="1304" w:type="dxa"/>
          </w:tcPr>
          <w:p>
            <w:pPr>
              <w:pStyle w:val="TableParagraph"/>
              <w:ind w:right="43"/>
              <w:rPr>
                <w:sz w:val="14"/>
              </w:rPr>
            </w:pPr>
            <w:r>
              <w:rPr>
                <w:color w:val="231F20"/>
                <w:sz w:val="14"/>
              </w:rPr>
              <w:t>159+896</w:t>
            </w:r>
          </w:p>
        </w:tc>
      </w:tr>
      <w:tr>
        <w:trPr>
          <w:trHeight w:val="200" w:hRule="atLeast"/>
        </w:trPr>
        <w:tc>
          <w:tcPr>
            <w:tcW w:w="10497" w:type="dxa"/>
            <w:gridSpan w:val="5"/>
          </w:tcPr>
          <w:p>
            <w:pPr>
              <w:pStyle w:val="TableParagraph"/>
              <w:ind w:left="56"/>
              <w:jc w:val="left"/>
              <w:rPr>
                <w:sz w:val="14"/>
              </w:rPr>
            </w:pPr>
            <w:r>
              <w:rPr>
                <w:color w:val="231F20"/>
                <w:sz w:val="14"/>
              </w:rPr>
              <w:t>Државни путеви II реда</w:t>
            </w:r>
          </w:p>
        </w:tc>
      </w:tr>
      <w:tr>
        <w:trPr>
          <w:trHeight w:val="200" w:hRule="atLeast"/>
        </w:trPr>
        <w:tc>
          <w:tcPr>
            <w:tcW w:w="872" w:type="dxa"/>
          </w:tcPr>
          <w:p>
            <w:pPr>
              <w:pStyle w:val="TableParagraph"/>
              <w:ind w:left="56"/>
              <w:jc w:val="left"/>
              <w:rPr>
                <w:sz w:val="14"/>
              </w:rPr>
            </w:pPr>
            <w:r>
              <w:rPr>
                <w:color w:val="231F20"/>
                <w:sz w:val="14"/>
              </w:rPr>
              <w:t>ДП-103</w:t>
            </w:r>
          </w:p>
        </w:tc>
        <w:tc>
          <w:tcPr>
            <w:tcW w:w="4809" w:type="dxa"/>
          </w:tcPr>
          <w:p>
            <w:pPr>
              <w:pStyle w:val="TableParagraph"/>
              <w:ind w:left="57"/>
              <w:jc w:val="left"/>
              <w:rPr>
                <w:sz w:val="14"/>
              </w:rPr>
            </w:pPr>
            <w:r>
              <w:rPr>
                <w:color w:val="231F20"/>
                <w:sz w:val="14"/>
              </w:rPr>
              <w:t>Костолац – Пожаревац – Жабари – Свилајнац –Деспотовац –Ћуприја</w:t>
            </w:r>
          </w:p>
        </w:tc>
        <w:tc>
          <w:tcPr>
            <w:tcW w:w="2408" w:type="dxa"/>
          </w:tcPr>
          <w:p>
            <w:pPr>
              <w:pStyle w:val="TableParagraph"/>
              <w:ind w:left="57"/>
              <w:jc w:val="left"/>
              <w:rPr>
                <w:sz w:val="14"/>
              </w:rPr>
            </w:pPr>
            <w:r>
              <w:rPr>
                <w:color w:val="231F20"/>
                <w:sz w:val="14"/>
              </w:rPr>
              <w:t>0366, 1366 (преклоп са ДП-25.1), 0367</w:t>
            </w:r>
          </w:p>
        </w:tc>
        <w:tc>
          <w:tcPr>
            <w:tcW w:w="1104" w:type="dxa"/>
          </w:tcPr>
          <w:p>
            <w:pPr>
              <w:pStyle w:val="TableParagraph"/>
              <w:ind w:right="43"/>
              <w:rPr>
                <w:sz w:val="14"/>
              </w:rPr>
            </w:pPr>
            <w:r>
              <w:rPr>
                <w:color w:val="231F20"/>
                <w:sz w:val="14"/>
              </w:rPr>
              <w:t>0+000</w:t>
            </w:r>
          </w:p>
        </w:tc>
        <w:tc>
          <w:tcPr>
            <w:tcW w:w="1304" w:type="dxa"/>
          </w:tcPr>
          <w:p>
            <w:pPr>
              <w:pStyle w:val="TableParagraph"/>
              <w:ind w:right="43"/>
              <w:rPr>
                <w:sz w:val="14"/>
              </w:rPr>
            </w:pPr>
            <w:r>
              <w:rPr>
                <w:color w:val="231F20"/>
                <w:sz w:val="14"/>
              </w:rPr>
              <w:t>23+622</w:t>
            </w:r>
          </w:p>
        </w:tc>
      </w:tr>
      <w:tr>
        <w:trPr>
          <w:trHeight w:val="360" w:hRule="atLeast"/>
        </w:trPr>
        <w:tc>
          <w:tcPr>
            <w:tcW w:w="872" w:type="dxa"/>
          </w:tcPr>
          <w:p>
            <w:pPr>
              <w:pStyle w:val="TableParagraph"/>
              <w:ind w:left="56"/>
              <w:jc w:val="left"/>
              <w:rPr>
                <w:sz w:val="14"/>
              </w:rPr>
            </w:pPr>
            <w:r>
              <w:rPr>
                <w:color w:val="231F20"/>
                <w:sz w:val="14"/>
              </w:rPr>
              <w:t>ДП-105</w:t>
            </w:r>
          </w:p>
        </w:tc>
        <w:tc>
          <w:tcPr>
            <w:tcW w:w="4809" w:type="dxa"/>
          </w:tcPr>
          <w:p>
            <w:pPr>
              <w:pStyle w:val="TableParagraph"/>
              <w:ind w:left="57" w:hanging="1"/>
              <w:jc w:val="left"/>
              <w:rPr>
                <w:sz w:val="14"/>
              </w:rPr>
            </w:pPr>
            <w:r>
              <w:rPr>
                <w:color w:val="231F20"/>
                <w:sz w:val="14"/>
              </w:rPr>
              <w:t>Рам – Братинац – Салаковац – Мало Црниће – Жагубица – Брестовац – Селиште</w:t>
            </w:r>
          </w:p>
        </w:tc>
        <w:tc>
          <w:tcPr>
            <w:tcW w:w="2408" w:type="dxa"/>
          </w:tcPr>
          <w:p>
            <w:pPr>
              <w:pStyle w:val="TableParagraph"/>
              <w:ind w:left="57"/>
              <w:jc w:val="left"/>
              <w:rPr>
                <w:sz w:val="14"/>
              </w:rPr>
            </w:pPr>
            <w:r>
              <w:rPr>
                <w:color w:val="231F20"/>
                <w:sz w:val="14"/>
              </w:rPr>
              <w:t>0388, 1047 (преклоп са ДП-25.1), 0389</w:t>
            </w:r>
          </w:p>
        </w:tc>
        <w:tc>
          <w:tcPr>
            <w:tcW w:w="1104" w:type="dxa"/>
          </w:tcPr>
          <w:p>
            <w:pPr>
              <w:pStyle w:val="TableParagraph"/>
              <w:ind w:right="42"/>
              <w:rPr>
                <w:sz w:val="14"/>
              </w:rPr>
            </w:pPr>
            <w:r>
              <w:rPr>
                <w:color w:val="231F20"/>
                <w:sz w:val="14"/>
              </w:rPr>
              <w:t>0+952</w:t>
            </w:r>
          </w:p>
        </w:tc>
        <w:tc>
          <w:tcPr>
            <w:tcW w:w="1304" w:type="dxa"/>
          </w:tcPr>
          <w:p>
            <w:pPr>
              <w:pStyle w:val="TableParagraph"/>
              <w:ind w:right="42"/>
              <w:rPr>
                <w:sz w:val="14"/>
              </w:rPr>
            </w:pPr>
            <w:r>
              <w:rPr>
                <w:color w:val="231F20"/>
                <w:sz w:val="14"/>
              </w:rPr>
              <w:t>28+118</w:t>
            </w:r>
          </w:p>
        </w:tc>
      </w:tr>
      <w:tr>
        <w:trPr>
          <w:trHeight w:val="200" w:hRule="atLeast"/>
        </w:trPr>
        <w:tc>
          <w:tcPr>
            <w:tcW w:w="872" w:type="dxa"/>
          </w:tcPr>
          <w:p>
            <w:pPr>
              <w:pStyle w:val="TableParagraph"/>
              <w:ind w:left="56"/>
              <w:jc w:val="left"/>
              <w:rPr>
                <w:sz w:val="14"/>
              </w:rPr>
            </w:pPr>
            <w:r>
              <w:rPr>
                <w:color w:val="231F20"/>
                <w:sz w:val="14"/>
              </w:rPr>
              <w:t>ДП-107б</w:t>
            </w:r>
          </w:p>
        </w:tc>
        <w:tc>
          <w:tcPr>
            <w:tcW w:w="4809" w:type="dxa"/>
          </w:tcPr>
          <w:p>
            <w:pPr>
              <w:pStyle w:val="TableParagraph"/>
              <w:ind w:left="57"/>
              <w:jc w:val="left"/>
              <w:rPr>
                <w:sz w:val="14"/>
              </w:rPr>
            </w:pPr>
            <w:r>
              <w:rPr>
                <w:color w:val="231F20"/>
                <w:sz w:val="14"/>
              </w:rPr>
              <w:t>Бошљак – Орљево – Пожаревац – Дубравица (пристаниште)</w:t>
            </w:r>
          </w:p>
        </w:tc>
        <w:tc>
          <w:tcPr>
            <w:tcW w:w="2408" w:type="dxa"/>
          </w:tcPr>
          <w:p>
            <w:pPr>
              <w:pStyle w:val="TableParagraph"/>
              <w:ind w:left="57"/>
              <w:jc w:val="left"/>
              <w:rPr>
                <w:sz w:val="14"/>
              </w:rPr>
            </w:pPr>
            <w:r>
              <w:rPr>
                <w:color w:val="231F20"/>
                <w:sz w:val="14"/>
              </w:rPr>
              <w:t>0427, 1418 (преклоп са ДП-24), 0428</w:t>
            </w:r>
          </w:p>
        </w:tc>
        <w:tc>
          <w:tcPr>
            <w:tcW w:w="1104" w:type="dxa"/>
          </w:tcPr>
          <w:p>
            <w:pPr>
              <w:pStyle w:val="TableParagraph"/>
              <w:ind w:right="43"/>
              <w:rPr>
                <w:sz w:val="14"/>
              </w:rPr>
            </w:pPr>
            <w:r>
              <w:rPr>
                <w:color w:val="231F20"/>
                <w:sz w:val="14"/>
              </w:rPr>
              <w:t>26+232</w:t>
            </w:r>
          </w:p>
        </w:tc>
        <w:tc>
          <w:tcPr>
            <w:tcW w:w="1304" w:type="dxa"/>
          </w:tcPr>
          <w:p>
            <w:pPr>
              <w:pStyle w:val="TableParagraph"/>
              <w:ind w:right="43"/>
              <w:rPr>
                <w:sz w:val="14"/>
              </w:rPr>
            </w:pPr>
            <w:r>
              <w:rPr>
                <w:color w:val="231F20"/>
                <w:sz w:val="14"/>
              </w:rPr>
              <w:t>44+467</w:t>
            </w:r>
          </w:p>
        </w:tc>
      </w:tr>
      <w:tr>
        <w:trPr>
          <w:trHeight w:val="200" w:hRule="atLeast"/>
        </w:trPr>
        <w:tc>
          <w:tcPr>
            <w:tcW w:w="872" w:type="dxa"/>
          </w:tcPr>
          <w:p>
            <w:pPr>
              <w:pStyle w:val="TableParagraph"/>
              <w:spacing w:before="17"/>
              <w:ind w:left="56"/>
              <w:jc w:val="left"/>
              <w:rPr>
                <w:sz w:val="14"/>
              </w:rPr>
            </w:pPr>
            <w:r>
              <w:rPr>
                <w:color w:val="231F20"/>
                <w:sz w:val="14"/>
              </w:rPr>
              <w:t>ДП-108а</w:t>
            </w:r>
          </w:p>
        </w:tc>
        <w:tc>
          <w:tcPr>
            <w:tcW w:w="4809" w:type="dxa"/>
          </w:tcPr>
          <w:p>
            <w:pPr>
              <w:pStyle w:val="TableParagraph"/>
              <w:spacing w:before="17"/>
              <w:ind w:left="57"/>
              <w:jc w:val="left"/>
              <w:rPr>
                <w:sz w:val="14"/>
              </w:rPr>
            </w:pPr>
            <w:r>
              <w:rPr>
                <w:color w:val="231F20"/>
                <w:sz w:val="14"/>
              </w:rPr>
              <w:t>Берање – Средњево – Голубац</w:t>
            </w:r>
          </w:p>
        </w:tc>
        <w:tc>
          <w:tcPr>
            <w:tcW w:w="2408" w:type="dxa"/>
          </w:tcPr>
          <w:p>
            <w:pPr>
              <w:pStyle w:val="TableParagraph"/>
              <w:spacing w:before="17"/>
              <w:ind w:left="57"/>
              <w:jc w:val="left"/>
              <w:rPr>
                <w:sz w:val="14"/>
              </w:rPr>
            </w:pPr>
            <w:r>
              <w:rPr>
                <w:color w:val="231F20"/>
                <w:sz w:val="14"/>
              </w:rPr>
              <w:t>0438</w:t>
            </w:r>
          </w:p>
        </w:tc>
        <w:tc>
          <w:tcPr>
            <w:tcW w:w="1104" w:type="dxa"/>
          </w:tcPr>
          <w:p>
            <w:pPr>
              <w:pStyle w:val="TableParagraph"/>
              <w:spacing w:before="17"/>
              <w:ind w:right="43"/>
              <w:rPr>
                <w:sz w:val="14"/>
              </w:rPr>
            </w:pPr>
            <w:r>
              <w:rPr>
                <w:color w:val="231F20"/>
                <w:sz w:val="14"/>
              </w:rPr>
              <w:t>0+000</w:t>
            </w:r>
          </w:p>
        </w:tc>
        <w:tc>
          <w:tcPr>
            <w:tcW w:w="1304" w:type="dxa"/>
          </w:tcPr>
          <w:p>
            <w:pPr>
              <w:pStyle w:val="TableParagraph"/>
              <w:spacing w:before="17"/>
              <w:ind w:right="43"/>
              <w:rPr>
                <w:sz w:val="14"/>
              </w:rPr>
            </w:pPr>
            <w:r>
              <w:rPr>
                <w:color w:val="231F20"/>
                <w:sz w:val="14"/>
              </w:rPr>
              <w:t>5+483</w:t>
            </w:r>
          </w:p>
        </w:tc>
      </w:tr>
      <w:tr>
        <w:trPr>
          <w:trHeight w:val="200" w:hRule="atLeast"/>
        </w:trPr>
        <w:tc>
          <w:tcPr>
            <w:tcW w:w="872" w:type="dxa"/>
          </w:tcPr>
          <w:p>
            <w:pPr>
              <w:pStyle w:val="TableParagraph"/>
              <w:spacing w:before="17"/>
              <w:ind w:left="56"/>
              <w:jc w:val="left"/>
              <w:rPr>
                <w:sz w:val="14"/>
              </w:rPr>
            </w:pPr>
            <w:r>
              <w:rPr>
                <w:color w:val="231F20"/>
                <w:sz w:val="14"/>
              </w:rPr>
              <w:t>ДП-214а</w:t>
            </w:r>
          </w:p>
        </w:tc>
        <w:tc>
          <w:tcPr>
            <w:tcW w:w="4809" w:type="dxa"/>
          </w:tcPr>
          <w:p>
            <w:pPr>
              <w:pStyle w:val="TableParagraph"/>
              <w:spacing w:before="17"/>
              <w:ind w:left="57"/>
              <w:jc w:val="left"/>
              <w:rPr>
                <w:sz w:val="14"/>
              </w:rPr>
            </w:pPr>
            <w:r>
              <w:rPr>
                <w:color w:val="231F20"/>
                <w:sz w:val="14"/>
              </w:rPr>
              <w:t>Осипаоница – улаз у Пожаревац</w:t>
            </w:r>
          </w:p>
        </w:tc>
        <w:tc>
          <w:tcPr>
            <w:tcW w:w="2408" w:type="dxa"/>
          </w:tcPr>
          <w:p>
            <w:pPr>
              <w:pStyle w:val="TableParagraph"/>
              <w:spacing w:before="17"/>
              <w:ind w:left="57"/>
              <w:jc w:val="left"/>
              <w:rPr>
                <w:sz w:val="14"/>
              </w:rPr>
            </w:pPr>
            <w:r>
              <w:rPr>
                <w:color w:val="231F20"/>
                <w:sz w:val="14"/>
              </w:rPr>
              <w:t>0717</w:t>
            </w:r>
          </w:p>
        </w:tc>
        <w:tc>
          <w:tcPr>
            <w:tcW w:w="1104" w:type="dxa"/>
          </w:tcPr>
          <w:p>
            <w:pPr>
              <w:pStyle w:val="TableParagraph"/>
              <w:spacing w:before="17"/>
              <w:ind w:right="43"/>
              <w:rPr>
                <w:sz w:val="14"/>
              </w:rPr>
            </w:pPr>
            <w:r>
              <w:rPr>
                <w:color w:val="231F20"/>
                <w:sz w:val="14"/>
              </w:rPr>
              <w:t>7+992</w:t>
            </w:r>
          </w:p>
        </w:tc>
        <w:tc>
          <w:tcPr>
            <w:tcW w:w="1304" w:type="dxa"/>
          </w:tcPr>
          <w:p>
            <w:pPr>
              <w:pStyle w:val="TableParagraph"/>
              <w:spacing w:before="17"/>
              <w:ind w:right="43"/>
              <w:rPr>
                <w:sz w:val="14"/>
              </w:rPr>
            </w:pPr>
            <w:r>
              <w:rPr>
                <w:color w:val="231F20"/>
                <w:sz w:val="14"/>
              </w:rPr>
              <w:t>10+588</w:t>
            </w:r>
          </w:p>
        </w:tc>
      </w:tr>
    </w:tbl>
    <w:p>
      <w:pPr>
        <w:tabs>
          <w:tab w:pos="737" w:val="left" w:leader="none"/>
        </w:tabs>
        <w:spacing w:before="29"/>
        <w:ind w:left="453" w:right="0" w:firstLine="0"/>
        <w:jc w:val="left"/>
        <w:rPr>
          <w:sz w:val="14"/>
        </w:rPr>
      </w:pPr>
      <w:r>
        <w:rPr>
          <w:color w:val="231F20"/>
          <w:sz w:val="14"/>
        </w:rPr>
        <w:t>*</w:t>
        <w:tab/>
        <w:t>Према референтном систему државних путева</w:t>
      </w:r>
      <w:r>
        <w:rPr>
          <w:color w:val="231F20"/>
          <w:spacing w:val="-2"/>
          <w:sz w:val="14"/>
        </w:rPr>
        <w:t> </w:t>
      </w:r>
      <w:r>
        <w:rPr>
          <w:color w:val="231F20"/>
          <w:sz w:val="14"/>
        </w:rPr>
        <w:t>Србије</w:t>
      </w:r>
    </w:p>
    <w:p>
      <w:pPr>
        <w:pStyle w:val="BodyText"/>
        <w:ind w:left="0"/>
        <w:jc w:val="left"/>
        <w:rPr>
          <w:sz w:val="20"/>
        </w:rPr>
      </w:pPr>
    </w:p>
    <w:p>
      <w:pPr>
        <w:pStyle w:val="BodyText"/>
        <w:spacing w:before="7"/>
        <w:ind w:left="0"/>
        <w:jc w:val="left"/>
        <w:rPr>
          <w:sz w:val="27"/>
        </w:rPr>
      </w:pPr>
    </w:p>
    <w:p>
      <w:pPr>
        <w:spacing w:after="0"/>
        <w:jc w:val="left"/>
        <w:rPr>
          <w:sz w:val="27"/>
        </w:rPr>
        <w:sectPr>
          <w:pgSz w:w="12480" w:h="15690"/>
          <w:pgMar w:top="120" w:bottom="280" w:left="680" w:right="720"/>
        </w:sectPr>
      </w:pPr>
    </w:p>
    <w:p>
      <w:pPr>
        <w:pStyle w:val="BodyText"/>
        <w:spacing w:line="235" w:lineRule="auto" w:before="96"/>
        <w:ind w:left="459" w:firstLine="396"/>
      </w:pPr>
      <w:r>
        <w:rPr>
          <w:color w:val="231F20"/>
        </w:rPr>
        <w:t>Сви државни путеви на Планском подручју су двотрачни, са по једном коловозном траком по смеру, покривени су савременим коловозним застором, а стање је потпуно задовољавајуће само на путевима I реда. Већина државних путева II реда захтева рехаби- литацију, док је на појединим путевима неопходна потпуна или делимична реконструкција деоница. Стање хоризонталне и верти- калне сигнализације је, такође, потпуно задовољавајуће само на државним путевима I реда. Укупна дужина државних путева на Планском подручју износи око 120 km.</w:t>
      </w:r>
    </w:p>
    <w:p>
      <w:pPr>
        <w:pStyle w:val="BodyText"/>
        <w:spacing w:line="235" w:lineRule="auto"/>
        <w:ind w:left="459" w:firstLine="396"/>
      </w:pPr>
      <w:r>
        <w:rPr>
          <w:color w:val="231F20"/>
        </w:rPr>
        <w:t>Мрежа општинских путева на </w:t>
      </w:r>
      <w:r>
        <w:rPr>
          <w:color w:val="231F20"/>
          <w:spacing w:val="-3"/>
        </w:rPr>
        <w:t>Планском </w:t>
      </w:r>
      <w:r>
        <w:rPr>
          <w:color w:val="231F20"/>
        </w:rPr>
        <w:t>подручју има дужи- ну </w:t>
      </w:r>
      <w:r>
        <w:rPr>
          <w:color w:val="231F20"/>
          <w:spacing w:val="-3"/>
        </w:rPr>
        <w:t>од </w:t>
      </w:r>
      <w:r>
        <w:rPr>
          <w:color w:val="231F20"/>
          <w:spacing w:val="-4"/>
        </w:rPr>
        <w:t>око </w:t>
      </w:r>
      <w:r>
        <w:rPr>
          <w:color w:val="231F20"/>
        </w:rPr>
        <w:t>77 km, одликује је релативно високо учешће путева са савременим коловозним застором </w:t>
      </w:r>
      <w:r>
        <w:rPr>
          <w:color w:val="231F20"/>
          <w:spacing w:val="-3"/>
        </w:rPr>
        <w:t>(око </w:t>
      </w:r>
      <w:r>
        <w:rPr>
          <w:color w:val="231F20"/>
        </w:rPr>
        <w:t>85%), али и лоше стање</w:t>
      </w:r>
      <w:r>
        <w:rPr>
          <w:color w:val="231F20"/>
          <w:spacing w:val="-25"/>
        </w:rPr>
        <w:t> </w:t>
      </w:r>
      <w:r>
        <w:rPr>
          <w:color w:val="231F20"/>
          <w:spacing w:val="-4"/>
        </w:rPr>
        <w:t>ко- </w:t>
      </w:r>
      <w:r>
        <w:rPr>
          <w:color w:val="231F20"/>
        </w:rPr>
        <w:t>ловоза, мала просечна ширина, одсуство сигнализације и</w:t>
      </w:r>
      <w:r>
        <w:rPr>
          <w:color w:val="231F20"/>
          <w:spacing w:val="-30"/>
        </w:rPr>
        <w:t> </w:t>
      </w:r>
      <w:r>
        <w:rPr>
          <w:color w:val="231F20"/>
        </w:rPr>
        <w:t>слично.</w:t>
      </w:r>
    </w:p>
    <w:p>
      <w:pPr>
        <w:pStyle w:val="BodyText"/>
        <w:spacing w:line="235" w:lineRule="auto"/>
        <w:ind w:left="459" w:firstLine="397"/>
      </w:pPr>
      <w:r>
        <w:rPr>
          <w:color w:val="231F20"/>
        </w:rPr>
        <w:t>Категорисана путна мрежа (државни и општински путеви) у оквиру Планског подручја има укупну дужину </w:t>
      </w:r>
      <w:r>
        <w:rPr>
          <w:color w:val="231F20"/>
          <w:spacing w:val="-3"/>
        </w:rPr>
        <w:t>од </w:t>
      </w:r>
      <w:r>
        <w:rPr>
          <w:color w:val="231F20"/>
          <w:spacing w:val="-4"/>
        </w:rPr>
        <w:t>око </w:t>
      </w:r>
      <w:r>
        <w:rPr>
          <w:color w:val="231F20"/>
        </w:rPr>
        <w:t>197 km, </w:t>
      </w:r>
      <w:r>
        <w:rPr>
          <w:color w:val="231F20"/>
          <w:spacing w:val="-3"/>
        </w:rPr>
        <w:t>од </w:t>
      </w:r>
      <w:r>
        <w:rPr>
          <w:color w:val="231F20"/>
        </w:rPr>
        <w:t>чега oкo 61% чине државних путеви, а 39% су општински. Уче- шће путева са савременим </w:t>
      </w:r>
      <w:r>
        <w:rPr>
          <w:color w:val="231F20"/>
          <w:spacing w:val="-3"/>
        </w:rPr>
        <w:t>коловозом </w:t>
      </w:r>
      <w:r>
        <w:rPr>
          <w:color w:val="231F20"/>
        </w:rPr>
        <w:t>у мрежи је високо и износи </w:t>
      </w:r>
      <w:r>
        <w:rPr>
          <w:color w:val="231F20"/>
          <w:spacing w:val="-3"/>
        </w:rPr>
        <w:t>близу </w:t>
      </w:r>
      <w:r>
        <w:rPr>
          <w:color w:val="231F20"/>
        </w:rPr>
        <w:t>94%, што је изнад просека за Браничевски управни округ и Републику </w:t>
      </w:r>
      <w:r>
        <w:rPr>
          <w:color w:val="231F20"/>
          <w:spacing w:val="-3"/>
        </w:rPr>
        <w:t>Србију. </w:t>
      </w:r>
      <w:r>
        <w:rPr>
          <w:color w:val="231F20"/>
        </w:rPr>
        <w:t>Међутим, и поред </w:t>
      </w:r>
      <w:r>
        <w:rPr>
          <w:color w:val="231F20"/>
          <w:spacing w:val="-3"/>
        </w:rPr>
        <w:t>овако </w:t>
      </w:r>
      <w:r>
        <w:rPr>
          <w:color w:val="231F20"/>
        </w:rPr>
        <w:t>високог учешћа путе- ва са савременим </w:t>
      </w:r>
      <w:r>
        <w:rPr>
          <w:color w:val="231F20"/>
          <w:spacing w:val="-3"/>
        </w:rPr>
        <w:t>коловозом, </w:t>
      </w:r>
      <w:r>
        <w:rPr>
          <w:color w:val="231F20"/>
        </w:rPr>
        <w:t>стање појединих путева (већине оп- штинских</w:t>
      </w:r>
      <w:r>
        <w:rPr>
          <w:color w:val="231F20"/>
          <w:spacing w:val="-5"/>
        </w:rPr>
        <w:t> </w:t>
      </w:r>
      <w:r>
        <w:rPr>
          <w:color w:val="231F20"/>
        </w:rPr>
        <w:t>и</w:t>
      </w:r>
      <w:r>
        <w:rPr>
          <w:color w:val="231F20"/>
          <w:spacing w:val="-5"/>
        </w:rPr>
        <w:t> </w:t>
      </w:r>
      <w:r>
        <w:rPr>
          <w:color w:val="231F20"/>
        </w:rPr>
        <w:t>појединих</w:t>
      </w:r>
      <w:r>
        <w:rPr>
          <w:color w:val="231F20"/>
          <w:spacing w:val="-5"/>
        </w:rPr>
        <w:t> </w:t>
      </w:r>
      <w:r>
        <w:rPr>
          <w:color w:val="231F20"/>
        </w:rPr>
        <w:t>државних</w:t>
      </w:r>
      <w:r>
        <w:rPr>
          <w:color w:val="231F20"/>
          <w:spacing w:val="-5"/>
        </w:rPr>
        <w:t> </w:t>
      </w:r>
      <w:r>
        <w:rPr>
          <w:color w:val="231F20"/>
        </w:rPr>
        <w:t>путева</w:t>
      </w:r>
      <w:r>
        <w:rPr>
          <w:color w:val="231F20"/>
          <w:spacing w:val="-5"/>
        </w:rPr>
        <w:t> </w:t>
      </w:r>
      <w:r>
        <w:rPr>
          <w:color w:val="231F20"/>
        </w:rPr>
        <w:t>II</w:t>
      </w:r>
      <w:r>
        <w:rPr>
          <w:color w:val="231F20"/>
          <w:spacing w:val="-5"/>
        </w:rPr>
        <w:t> </w:t>
      </w:r>
      <w:r>
        <w:rPr>
          <w:color w:val="231F20"/>
        </w:rPr>
        <w:t>реда)</w:t>
      </w:r>
      <w:r>
        <w:rPr>
          <w:color w:val="231F20"/>
          <w:spacing w:val="-5"/>
        </w:rPr>
        <w:t> </w:t>
      </w:r>
      <w:r>
        <w:rPr>
          <w:color w:val="231F20"/>
        </w:rPr>
        <w:t>није</w:t>
      </w:r>
      <w:r>
        <w:rPr>
          <w:color w:val="231F20"/>
          <w:spacing w:val="-5"/>
        </w:rPr>
        <w:t> </w:t>
      </w:r>
      <w:r>
        <w:rPr>
          <w:color w:val="231F20"/>
        </w:rPr>
        <w:t>на</w:t>
      </w:r>
      <w:r>
        <w:rPr>
          <w:color w:val="231F20"/>
          <w:spacing w:val="-5"/>
        </w:rPr>
        <w:t> </w:t>
      </w:r>
      <w:r>
        <w:rPr>
          <w:color w:val="231F20"/>
        </w:rPr>
        <w:t>задовоља- вајућем</w:t>
      </w:r>
      <w:r>
        <w:rPr>
          <w:color w:val="231F20"/>
          <w:spacing w:val="-1"/>
        </w:rPr>
        <w:t> </w:t>
      </w:r>
      <w:r>
        <w:rPr>
          <w:color w:val="231F20"/>
          <w:spacing w:val="-5"/>
        </w:rPr>
        <w:t>нивоу.</w:t>
      </w:r>
    </w:p>
    <w:p>
      <w:pPr>
        <w:pStyle w:val="BodyText"/>
        <w:spacing w:line="235" w:lineRule="auto"/>
        <w:ind w:left="459" w:firstLine="396"/>
      </w:pPr>
      <w:r>
        <w:rPr>
          <w:color w:val="231F20"/>
        </w:rPr>
        <w:t>Један </w:t>
      </w:r>
      <w:r>
        <w:rPr>
          <w:color w:val="231F20"/>
          <w:spacing w:val="-3"/>
        </w:rPr>
        <w:t>од </w:t>
      </w:r>
      <w:r>
        <w:rPr>
          <w:color w:val="231F20"/>
        </w:rPr>
        <w:t>показатеља развијености путне мреже је и густина путне мреже, </w:t>
      </w:r>
      <w:r>
        <w:rPr>
          <w:color w:val="231F20"/>
          <w:spacing w:val="-3"/>
        </w:rPr>
        <w:t>која </w:t>
      </w:r>
      <w:r>
        <w:rPr>
          <w:color w:val="231F20"/>
        </w:rPr>
        <w:t>на </w:t>
      </w:r>
      <w:r>
        <w:rPr>
          <w:color w:val="231F20"/>
          <w:spacing w:val="-3"/>
        </w:rPr>
        <w:t>Планском  </w:t>
      </w:r>
      <w:r>
        <w:rPr>
          <w:color w:val="231F20"/>
        </w:rPr>
        <w:t>подручју износи 36,2 km/100 km² и знатно је испод просека у </w:t>
      </w:r>
      <w:r>
        <w:rPr>
          <w:color w:val="231F20"/>
          <w:spacing w:val="-3"/>
        </w:rPr>
        <w:t>Србију, </w:t>
      </w:r>
      <w:r>
        <w:rPr>
          <w:color w:val="231F20"/>
        </w:rPr>
        <w:t>што је последица велике по- вршине као и чињенице да је, за разлику </w:t>
      </w:r>
      <w:r>
        <w:rPr>
          <w:color w:val="231F20"/>
          <w:spacing w:val="-3"/>
        </w:rPr>
        <w:t>од </w:t>
      </w:r>
      <w:r>
        <w:rPr>
          <w:color w:val="231F20"/>
        </w:rPr>
        <w:t>државне, општинска мрежа путева слабије</w:t>
      </w:r>
      <w:r>
        <w:rPr>
          <w:color w:val="231F20"/>
          <w:spacing w:val="-1"/>
        </w:rPr>
        <w:t> </w:t>
      </w:r>
      <w:r>
        <w:rPr>
          <w:color w:val="231F20"/>
        </w:rPr>
        <w:t>развијена.</w:t>
      </w:r>
    </w:p>
    <w:p>
      <w:pPr>
        <w:pStyle w:val="BodyText"/>
        <w:spacing w:line="235" w:lineRule="auto"/>
        <w:ind w:left="459" w:firstLine="397"/>
      </w:pPr>
      <w:r>
        <w:rPr>
          <w:color w:val="231F20"/>
        </w:rPr>
        <w:t>У погледу положаја појединих насеља у односу на мрежу путева стање је релативно добро. Наиме, од укупно 30 насеља на Планском подручју, кроз 3 насеља (у којима живи преко 56% ста- новништва) пролазе државни путеви I реда, 16 има непосредну везу државним путевима II реда, док је 11 насеља на општинској мрежи путева (у њима живи само 13% становника).</w:t>
      </w:r>
    </w:p>
    <w:p>
      <w:pPr>
        <w:pStyle w:val="BodyText"/>
        <w:spacing w:line="235" w:lineRule="auto"/>
        <w:ind w:left="459" w:firstLine="396"/>
      </w:pPr>
      <w:r>
        <w:rPr>
          <w:color w:val="231F20"/>
        </w:rPr>
        <w:t>Анализом саобраћајног оптерећења путева утврђено је да је на </w:t>
      </w:r>
      <w:r>
        <w:rPr>
          <w:color w:val="231F20"/>
          <w:spacing w:val="-3"/>
        </w:rPr>
        <w:t>Планском </w:t>
      </w:r>
      <w:r>
        <w:rPr>
          <w:color w:val="231F20"/>
        </w:rPr>
        <w:t>подручју најоптерећенија деоница пута ДП-24, Мала Крсна – </w:t>
      </w:r>
      <w:r>
        <w:rPr>
          <w:color w:val="231F20"/>
          <w:spacing w:val="-3"/>
        </w:rPr>
        <w:t>улаз </w:t>
      </w:r>
      <w:r>
        <w:rPr>
          <w:color w:val="231F20"/>
        </w:rPr>
        <w:t>у Пожаревац са 9.035 возила просечно у току дана  (у оба смера). Висок </w:t>
      </w:r>
      <w:r>
        <w:rPr>
          <w:color w:val="231F20"/>
          <w:spacing w:val="-5"/>
        </w:rPr>
        <w:t>ПГДС </w:t>
      </w:r>
      <w:r>
        <w:rPr>
          <w:color w:val="231F20"/>
        </w:rPr>
        <w:t>бележи се и на деоници ДП-25.1 </w:t>
      </w:r>
      <w:r>
        <w:rPr>
          <w:color w:val="231F20"/>
          <w:spacing w:val="-3"/>
        </w:rPr>
        <w:t>од </w:t>
      </w:r>
      <w:r>
        <w:rPr>
          <w:color w:val="231F20"/>
        </w:rPr>
        <w:t>Братинца до улаза у Пожаревац (6.363 возила), као и деоници</w:t>
      </w:r>
      <w:r>
        <w:rPr>
          <w:color w:val="231F20"/>
          <w:spacing w:val="-28"/>
        </w:rPr>
        <w:t> </w:t>
      </w:r>
      <w:r>
        <w:rPr>
          <w:color w:val="231F20"/>
        </w:rPr>
        <w:t>ДП- 105 </w:t>
      </w:r>
      <w:r>
        <w:rPr>
          <w:color w:val="231F20"/>
          <w:spacing w:val="-3"/>
        </w:rPr>
        <w:t>од </w:t>
      </w:r>
      <w:r>
        <w:rPr>
          <w:color w:val="231F20"/>
        </w:rPr>
        <w:t>Братинца према Салаковцу (4.220 возила просечно днев- но). Значајан део саобраћајних </w:t>
      </w:r>
      <w:r>
        <w:rPr>
          <w:color w:val="231F20"/>
          <w:spacing w:val="-3"/>
        </w:rPr>
        <w:t>токова </w:t>
      </w:r>
      <w:r>
        <w:rPr>
          <w:color w:val="231F20"/>
        </w:rPr>
        <w:t>на главним путним прав- цима у транзиту је кроз Планско подручје. У </w:t>
      </w:r>
      <w:r>
        <w:rPr>
          <w:color w:val="231F20"/>
          <w:spacing w:val="-3"/>
        </w:rPr>
        <w:t>погледу </w:t>
      </w:r>
      <w:r>
        <w:rPr>
          <w:color w:val="231F20"/>
        </w:rPr>
        <w:t>структуре саобраћајног тока, на свим деоницама посматраних путних права- ца, </w:t>
      </w:r>
      <w:r>
        <w:rPr>
          <w:color w:val="231F20"/>
          <w:spacing w:val="-3"/>
        </w:rPr>
        <w:t>уочава </w:t>
      </w:r>
      <w:r>
        <w:rPr>
          <w:color w:val="231F20"/>
        </w:rPr>
        <w:t>се да је доминантна категорија возила – путнички </w:t>
      </w:r>
      <w:r>
        <w:rPr>
          <w:color w:val="231F20"/>
          <w:spacing w:val="-4"/>
        </w:rPr>
        <w:t>ауто </w:t>
      </w:r>
      <w:r>
        <w:rPr>
          <w:color w:val="231F20"/>
        </w:rPr>
        <w:t>(учешће</w:t>
      </w:r>
      <w:r>
        <w:rPr>
          <w:color w:val="231F20"/>
          <w:spacing w:val="-5"/>
        </w:rPr>
        <w:t> </w:t>
      </w:r>
      <w:r>
        <w:rPr>
          <w:color w:val="231F20"/>
        </w:rPr>
        <w:t>79</w:t>
      </w:r>
      <w:r>
        <w:rPr>
          <w:color w:val="231F20"/>
          <w:spacing w:val="20"/>
        </w:rPr>
        <w:t> </w:t>
      </w:r>
      <w:r>
        <w:rPr>
          <w:color w:val="231F20"/>
        </w:rPr>
        <w:t>–</w:t>
      </w:r>
      <w:r>
        <w:rPr>
          <w:color w:val="231F20"/>
          <w:spacing w:val="-5"/>
        </w:rPr>
        <w:t> </w:t>
      </w:r>
      <w:r>
        <w:rPr>
          <w:color w:val="231F20"/>
        </w:rPr>
        <w:t>84%</w:t>
      </w:r>
      <w:r>
        <w:rPr>
          <w:color w:val="231F20"/>
          <w:spacing w:val="-5"/>
        </w:rPr>
        <w:t> </w:t>
      </w:r>
      <w:r>
        <w:rPr>
          <w:color w:val="231F20"/>
        </w:rPr>
        <w:t>у</w:t>
      </w:r>
      <w:r>
        <w:rPr>
          <w:color w:val="231F20"/>
          <w:spacing w:val="-5"/>
        </w:rPr>
        <w:t> </w:t>
      </w:r>
      <w:r>
        <w:rPr>
          <w:color w:val="231F20"/>
        </w:rPr>
        <w:t>току),</w:t>
      </w:r>
      <w:r>
        <w:rPr>
          <w:color w:val="231F20"/>
          <w:spacing w:val="-5"/>
        </w:rPr>
        <w:t> </w:t>
      </w:r>
      <w:r>
        <w:rPr>
          <w:color w:val="231F20"/>
        </w:rPr>
        <w:t>теретна</w:t>
      </w:r>
      <w:r>
        <w:rPr>
          <w:color w:val="231F20"/>
          <w:spacing w:val="-5"/>
        </w:rPr>
        <w:t> </w:t>
      </w:r>
      <w:r>
        <w:rPr>
          <w:color w:val="231F20"/>
        </w:rPr>
        <w:t>возила</w:t>
      </w:r>
      <w:r>
        <w:rPr>
          <w:color w:val="231F20"/>
          <w:spacing w:val="-5"/>
        </w:rPr>
        <w:t> </w:t>
      </w:r>
      <w:r>
        <w:rPr>
          <w:color w:val="231F20"/>
        </w:rPr>
        <w:t>имају</w:t>
      </w:r>
      <w:r>
        <w:rPr>
          <w:color w:val="231F20"/>
          <w:spacing w:val="-5"/>
        </w:rPr>
        <w:t> </w:t>
      </w:r>
      <w:r>
        <w:rPr>
          <w:color w:val="231F20"/>
        </w:rPr>
        <w:t>учешће</w:t>
      </w:r>
      <w:r>
        <w:rPr>
          <w:color w:val="231F20"/>
          <w:spacing w:val="-5"/>
        </w:rPr>
        <w:t> </w:t>
      </w:r>
      <w:r>
        <w:rPr>
          <w:color w:val="231F20"/>
        </w:rPr>
        <w:t>14</w:t>
      </w:r>
      <w:r>
        <w:rPr>
          <w:color w:val="231F20"/>
          <w:spacing w:val="-20"/>
        </w:rPr>
        <w:t> </w:t>
      </w:r>
      <w:r>
        <w:rPr>
          <w:color w:val="231F20"/>
        </w:rPr>
        <w:t>–20%,</w:t>
      </w:r>
      <w:r>
        <w:rPr>
          <w:color w:val="231F20"/>
          <w:spacing w:val="-5"/>
        </w:rPr>
        <w:t> </w:t>
      </w:r>
      <w:r>
        <w:rPr>
          <w:color w:val="231F20"/>
        </w:rPr>
        <w:t>а </w:t>
      </w:r>
      <w:r>
        <w:rPr>
          <w:color w:val="231F20"/>
          <w:spacing w:val="-3"/>
        </w:rPr>
        <w:t>аутобуси </w:t>
      </w:r>
      <w:r>
        <w:rPr>
          <w:color w:val="231F20"/>
        </w:rPr>
        <w:t>испод</w:t>
      </w:r>
      <w:r>
        <w:rPr>
          <w:color w:val="231F20"/>
          <w:spacing w:val="1"/>
        </w:rPr>
        <w:t> </w:t>
      </w:r>
      <w:r>
        <w:rPr>
          <w:color w:val="231F20"/>
        </w:rPr>
        <w:t>1,5%.</w:t>
      </w:r>
    </w:p>
    <w:p>
      <w:pPr>
        <w:pStyle w:val="BodyText"/>
        <w:spacing w:line="235" w:lineRule="auto"/>
        <w:ind w:left="459" w:firstLine="396"/>
      </w:pPr>
      <w:r>
        <w:rPr>
          <w:color w:val="231F20"/>
        </w:rPr>
        <w:t>Један од показатеља економске развијености и стандарда не- ког подручја је и степен индивидуалне моторизације, који је на подручју града Пожаревца (2008. година) износио око 239 пут- ничких аутомобила (у даљем тексту: ПА) на 1.000 становника, што је знатно изнад просека у Централној Србији (213 ПА/1.000 становника), а изнад просека за Браничевски управни округ (око 212 ПА/1000 становника). Степен индивидуалне моторизације за територију општине Велико Градиште нешто је испод просека за Централну Србију и Браничевски управни округ.</w:t>
      </w:r>
    </w:p>
    <w:p>
      <w:pPr>
        <w:pStyle w:val="BodyText"/>
        <w:spacing w:line="235" w:lineRule="auto" w:before="97"/>
        <w:ind w:left="241" w:right="122" w:firstLine="397"/>
      </w:pPr>
      <w:r>
        <w:rPr/>
        <w:br w:type="column"/>
      </w:r>
      <w:r>
        <w:rPr>
          <w:color w:val="231F20"/>
        </w:rPr>
        <w:t>На </w:t>
      </w:r>
      <w:r>
        <w:rPr>
          <w:color w:val="231F20"/>
          <w:spacing w:val="-3"/>
        </w:rPr>
        <w:t>Планском </w:t>
      </w:r>
      <w:r>
        <w:rPr>
          <w:color w:val="231F20"/>
        </w:rPr>
        <w:t>подручју је организован међумесни јавни пре- воз путника на линијама </w:t>
      </w:r>
      <w:r>
        <w:rPr>
          <w:color w:val="231F20"/>
          <w:spacing w:val="-3"/>
        </w:rPr>
        <w:t>које </w:t>
      </w:r>
      <w:r>
        <w:rPr>
          <w:color w:val="231F20"/>
        </w:rPr>
        <w:t>повезују територију са великим бро- јем дестинација у Србији. Приградски (локални) превоз путника организован је на мрежи линија </w:t>
      </w:r>
      <w:r>
        <w:rPr>
          <w:color w:val="231F20"/>
          <w:spacing w:val="-3"/>
        </w:rPr>
        <w:t>којима </w:t>
      </w:r>
      <w:r>
        <w:rPr>
          <w:color w:val="231F20"/>
        </w:rPr>
        <w:t>је већина насеља добро повезана</w:t>
      </w:r>
      <w:r>
        <w:rPr>
          <w:color w:val="231F20"/>
          <w:spacing w:val="-5"/>
        </w:rPr>
        <w:t> </w:t>
      </w:r>
      <w:r>
        <w:rPr>
          <w:color w:val="231F20"/>
        </w:rPr>
        <w:t>међусобно,</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са</w:t>
      </w:r>
      <w:r>
        <w:rPr>
          <w:color w:val="231F20"/>
          <w:spacing w:val="-5"/>
        </w:rPr>
        <w:t> </w:t>
      </w:r>
      <w:r>
        <w:rPr>
          <w:color w:val="231F20"/>
        </w:rPr>
        <w:t>центром</w:t>
      </w:r>
      <w:r>
        <w:rPr>
          <w:color w:val="231F20"/>
          <w:spacing w:val="-5"/>
        </w:rPr>
        <w:t> </w:t>
      </w:r>
      <w:r>
        <w:rPr>
          <w:color w:val="231F20"/>
        </w:rPr>
        <w:t>подручја.</w:t>
      </w:r>
      <w:r>
        <w:rPr>
          <w:color w:val="231F20"/>
          <w:spacing w:val="-5"/>
        </w:rPr>
        <w:t> </w:t>
      </w:r>
      <w:r>
        <w:rPr>
          <w:color w:val="231F20"/>
        </w:rPr>
        <w:t>Редови</w:t>
      </w:r>
      <w:r>
        <w:rPr>
          <w:color w:val="231F20"/>
          <w:spacing w:val="-5"/>
        </w:rPr>
        <w:t> </w:t>
      </w:r>
      <w:r>
        <w:rPr>
          <w:color w:val="231F20"/>
        </w:rPr>
        <w:t>вожње</w:t>
      </w:r>
      <w:r>
        <w:rPr>
          <w:color w:val="231F20"/>
          <w:spacing w:val="-5"/>
        </w:rPr>
        <w:t> </w:t>
      </w:r>
      <w:r>
        <w:rPr>
          <w:color w:val="231F20"/>
        </w:rPr>
        <w:t>ли- нија локалног јавног превоза путника прилагођене су </w:t>
      </w:r>
      <w:r>
        <w:rPr>
          <w:color w:val="231F20"/>
          <w:spacing w:val="-3"/>
        </w:rPr>
        <w:t>школској </w:t>
      </w:r>
      <w:r>
        <w:rPr>
          <w:color w:val="231F20"/>
        </w:rPr>
        <w:t>и радној</w:t>
      </w:r>
      <w:r>
        <w:rPr>
          <w:color w:val="231F20"/>
          <w:spacing w:val="-2"/>
        </w:rPr>
        <w:t> </w:t>
      </w:r>
      <w:r>
        <w:rPr>
          <w:color w:val="231F20"/>
        </w:rPr>
        <w:t>популацији.</w:t>
      </w:r>
    </w:p>
    <w:p>
      <w:pPr>
        <w:pStyle w:val="BodyText"/>
        <w:spacing w:line="235" w:lineRule="auto"/>
        <w:ind w:left="241" w:right="123" w:firstLine="396"/>
      </w:pPr>
      <w:r>
        <w:rPr/>
        <w:pict>
          <v:line style="position:absolute;mso-position-horizontal-relative:page;mso-position-vertical-relative:paragraph;z-index:1384" from="319.197601pt,-68.909317pt" to="319.197601pt,473.926683pt" stroked="true" strokeweight=".6pt" strokecolor="#231f20">
            <v:stroke dashstyle="solid"/>
            <w10:wrap type="none"/>
          </v:line>
        </w:pict>
      </w:r>
      <w:r>
        <w:rPr>
          <w:color w:val="231F20"/>
        </w:rPr>
        <w:t>На Планском подручју постоји 13 станица за снабдевање го- ривом и са становишта капацитета и укупних потреба становни- штва за овом услугом, стање је задовољавајуће. Проблем је нешто израженији у погледу покривености подручја и доступности поје- диних насеља овој врсти услуге јер је већина постојећих капаци- тета лоцирана у градским насељима Пожаревац и Костолац или у коридорима државних путева I реда.</w:t>
      </w:r>
    </w:p>
    <w:p>
      <w:pPr>
        <w:pStyle w:val="BodyText"/>
        <w:spacing w:line="235" w:lineRule="auto"/>
        <w:ind w:left="241" w:right="123" w:firstLine="397"/>
      </w:pPr>
      <w:r>
        <w:rPr>
          <w:color w:val="231F20"/>
          <w:spacing w:val="-3"/>
        </w:rPr>
        <w:t>Иако</w:t>
      </w:r>
      <w:r>
        <w:rPr>
          <w:color w:val="231F20"/>
          <w:spacing w:val="-7"/>
        </w:rPr>
        <w:t> </w:t>
      </w:r>
      <w:r>
        <w:rPr>
          <w:color w:val="231F20"/>
        </w:rPr>
        <w:t>су</w:t>
      </w:r>
      <w:r>
        <w:rPr>
          <w:color w:val="231F20"/>
          <w:spacing w:val="-7"/>
        </w:rPr>
        <w:t> </w:t>
      </w:r>
      <w:r>
        <w:rPr>
          <w:color w:val="231F20"/>
        </w:rPr>
        <w:t>теренски</w:t>
      </w:r>
      <w:r>
        <w:rPr>
          <w:color w:val="231F20"/>
          <w:spacing w:val="-7"/>
        </w:rPr>
        <w:t> </w:t>
      </w:r>
      <w:r>
        <w:rPr>
          <w:color w:val="231F20"/>
        </w:rPr>
        <w:t>услови</w:t>
      </w:r>
      <w:r>
        <w:rPr>
          <w:color w:val="231F20"/>
          <w:spacing w:val="-7"/>
        </w:rPr>
        <w:t> </w:t>
      </w:r>
      <w:r>
        <w:rPr>
          <w:color w:val="231F20"/>
        </w:rPr>
        <w:t>на</w:t>
      </w:r>
      <w:r>
        <w:rPr>
          <w:color w:val="231F20"/>
          <w:spacing w:val="-7"/>
        </w:rPr>
        <w:t> </w:t>
      </w:r>
      <w:r>
        <w:rPr>
          <w:color w:val="231F20"/>
          <w:spacing w:val="-3"/>
        </w:rPr>
        <w:t>Планском</w:t>
      </w:r>
      <w:r>
        <w:rPr>
          <w:color w:val="231F20"/>
          <w:spacing w:val="-7"/>
        </w:rPr>
        <w:t> </w:t>
      </w:r>
      <w:r>
        <w:rPr>
          <w:color w:val="231F20"/>
        </w:rPr>
        <w:t>подручју</w:t>
      </w:r>
      <w:r>
        <w:rPr>
          <w:color w:val="231F20"/>
          <w:spacing w:val="-7"/>
        </w:rPr>
        <w:t> </w:t>
      </w:r>
      <w:r>
        <w:rPr>
          <w:color w:val="231F20"/>
        </w:rPr>
        <w:t>веома</w:t>
      </w:r>
      <w:r>
        <w:rPr>
          <w:color w:val="231F20"/>
          <w:spacing w:val="-7"/>
        </w:rPr>
        <w:t> </w:t>
      </w:r>
      <w:r>
        <w:rPr>
          <w:color w:val="231F20"/>
        </w:rPr>
        <w:t>повољ- ни за развој бициклистичког саобраћаја, постоји само једна изгра- ђена стаза на потезу </w:t>
      </w:r>
      <w:r>
        <w:rPr>
          <w:color w:val="231F20"/>
          <w:spacing w:val="-3"/>
        </w:rPr>
        <w:t>од </w:t>
      </w:r>
      <w:r>
        <w:rPr>
          <w:color w:val="231F20"/>
        </w:rPr>
        <w:t>Пожаревца према насељу Лучица, дужине </w:t>
      </w:r>
      <w:r>
        <w:rPr>
          <w:color w:val="231F20"/>
          <w:spacing w:val="-4"/>
        </w:rPr>
        <w:t>око </w:t>
      </w:r>
      <w:r>
        <w:rPr>
          <w:color w:val="231F20"/>
        </w:rPr>
        <w:t>3</w:t>
      </w:r>
      <w:r>
        <w:rPr>
          <w:color w:val="231F20"/>
          <w:spacing w:val="3"/>
        </w:rPr>
        <w:t> </w:t>
      </w:r>
      <w:r>
        <w:rPr>
          <w:color w:val="231F20"/>
        </w:rPr>
        <w:t>km.</w:t>
      </w:r>
    </w:p>
    <w:p>
      <w:pPr>
        <w:pStyle w:val="BodyText"/>
        <w:spacing w:line="235" w:lineRule="auto"/>
        <w:ind w:left="242" w:right="122" w:firstLine="396"/>
      </w:pPr>
      <w:r>
        <w:rPr>
          <w:color w:val="231F20"/>
        </w:rPr>
        <w:t>Планским</w:t>
      </w:r>
      <w:r>
        <w:rPr>
          <w:color w:val="231F20"/>
          <w:spacing w:val="-11"/>
        </w:rPr>
        <w:t> </w:t>
      </w:r>
      <w:r>
        <w:rPr>
          <w:color w:val="231F20"/>
        </w:rPr>
        <w:t>подручјем</w:t>
      </w:r>
      <w:r>
        <w:rPr>
          <w:color w:val="231F20"/>
          <w:spacing w:val="-11"/>
        </w:rPr>
        <w:t> </w:t>
      </w:r>
      <w:r>
        <w:rPr>
          <w:color w:val="231F20"/>
        </w:rPr>
        <w:t>пролази</w:t>
      </w:r>
      <w:r>
        <w:rPr>
          <w:color w:val="231F20"/>
          <w:spacing w:val="-11"/>
        </w:rPr>
        <w:t> </w:t>
      </w:r>
      <w:r>
        <w:rPr>
          <w:color w:val="231F20"/>
        </w:rPr>
        <w:t>и</w:t>
      </w:r>
      <w:r>
        <w:rPr>
          <w:color w:val="231F20"/>
          <w:spacing w:val="-11"/>
        </w:rPr>
        <w:t> </w:t>
      </w:r>
      <w:r>
        <w:rPr>
          <w:color w:val="231F20"/>
        </w:rPr>
        <w:t>регионална</w:t>
      </w:r>
      <w:r>
        <w:rPr>
          <w:color w:val="231F20"/>
          <w:spacing w:val="-11"/>
        </w:rPr>
        <w:t> </w:t>
      </w:r>
      <w:r>
        <w:rPr>
          <w:color w:val="231F20"/>
        </w:rPr>
        <w:t>железничка</w:t>
      </w:r>
      <w:r>
        <w:rPr>
          <w:color w:val="231F20"/>
          <w:spacing w:val="-11"/>
        </w:rPr>
        <w:t> </w:t>
      </w:r>
      <w:r>
        <w:rPr>
          <w:color w:val="231F20"/>
        </w:rPr>
        <w:t>пруга Мала Крсна – Пожаревац – Бор – Распутница 2 (Вражогрнац), ло- кална пруга Пожаревац – Костолац, а задржан је и део индустриј- ске пруге Стиг –</w:t>
      </w:r>
      <w:r>
        <w:rPr>
          <w:color w:val="231F20"/>
          <w:spacing w:val="-19"/>
        </w:rPr>
        <w:t> </w:t>
      </w:r>
      <w:r>
        <w:rPr>
          <w:color w:val="231F20"/>
        </w:rPr>
        <w:t>Дрмно.</w:t>
      </w:r>
    </w:p>
    <w:p>
      <w:pPr>
        <w:pStyle w:val="BodyText"/>
        <w:spacing w:line="235" w:lineRule="auto"/>
        <w:ind w:left="241" w:right="122" w:firstLine="397"/>
      </w:pPr>
      <w:r>
        <w:rPr>
          <w:color w:val="231F20"/>
        </w:rPr>
        <w:t>Регионална железничка пруга Мала Крсна – Пожаревац – Бор – Распутница 2 је једноколосечна, електрифицирана је само до Пожаревца, а у границама Планског подручја протеже се у ду- жини</w:t>
      </w:r>
      <w:r>
        <w:rPr>
          <w:color w:val="231F20"/>
          <w:spacing w:val="-7"/>
        </w:rPr>
        <w:t> </w:t>
      </w:r>
      <w:r>
        <w:rPr>
          <w:color w:val="231F20"/>
          <w:spacing w:val="-3"/>
        </w:rPr>
        <w:t>од</w:t>
      </w:r>
      <w:r>
        <w:rPr>
          <w:color w:val="231F20"/>
          <w:spacing w:val="-6"/>
        </w:rPr>
        <w:t> </w:t>
      </w:r>
      <w:r>
        <w:rPr>
          <w:color w:val="231F20"/>
          <w:spacing w:val="-4"/>
        </w:rPr>
        <w:t>око</w:t>
      </w:r>
      <w:r>
        <w:rPr>
          <w:color w:val="231F20"/>
          <w:spacing w:val="-6"/>
        </w:rPr>
        <w:t> </w:t>
      </w:r>
      <w:r>
        <w:rPr>
          <w:color w:val="231F20"/>
        </w:rPr>
        <w:t>30</w:t>
      </w:r>
      <w:r>
        <w:rPr>
          <w:color w:val="231F20"/>
          <w:spacing w:val="-6"/>
        </w:rPr>
        <w:t> </w:t>
      </w:r>
      <w:r>
        <w:rPr>
          <w:color w:val="231F20"/>
        </w:rPr>
        <w:t>km.</w:t>
      </w:r>
      <w:r>
        <w:rPr>
          <w:color w:val="231F20"/>
          <w:spacing w:val="-6"/>
        </w:rPr>
        <w:t> </w:t>
      </w:r>
      <w:r>
        <w:rPr>
          <w:color w:val="231F20"/>
        </w:rPr>
        <w:t>Овом</w:t>
      </w:r>
      <w:r>
        <w:rPr>
          <w:color w:val="231F20"/>
          <w:spacing w:val="-6"/>
        </w:rPr>
        <w:t> </w:t>
      </w:r>
      <w:r>
        <w:rPr>
          <w:color w:val="231F20"/>
          <w:spacing w:val="-3"/>
        </w:rPr>
        <w:t>пругом</w:t>
      </w:r>
      <w:r>
        <w:rPr>
          <w:color w:val="231F20"/>
          <w:spacing w:val="-6"/>
        </w:rPr>
        <w:t> </w:t>
      </w:r>
      <w:r>
        <w:rPr>
          <w:color w:val="231F20"/>
        </w:rPr>
        <w:t>се</w:t>
      </w:r>
      <w:r>
        <w:rPr>
          <w:color w:val="231F20"/>
          <w:spacing w:val="-6"/>
        </w:rPr>
        <w:t> </w:t>
      </w:r>
      <w:r>
        <w:rPr>
          <w:color w:val="231F20"/>
        </w:rPr>
        <w:t>остварује</w:t>
      </w:r>
      <w:r>
        <w:rPr>
          <w:color w:val="231F20"/>
          <w:spacing w:val="-7"/>
        </w:rPr>
        <w:t> </w:t>
      </w:r>
      <w:r>
        <w:rPr>
          <w:color w:val="231F20"/>
        </w:rPr>
        <w:t>најкраћа</w:t>
      </w:r>
      <w:r>
        <w:rPr>
          <w:color w:val="231F20"/>
          <w:spacing w:val="-6"/>
        </w:rPr>
        <w:t> </w:t>
      </w:r>
      <w:r>
        <w:rPr>
          <w:color w:val="231F20"/>
        </w:rPr>
        <w:t>железничка веза подручја са магистралном </w:t>
      </w:r>
      <w:r>
        <w:rPr>
          <w:color w:val="231F20"/>
          <w:spacing w:val="-3"/>
        </w:rPr>
        <w:t>пругом </w:t>
      </w:r>
      <w:r>
        <w:rPr>
          <w:color w:val="231F20"/>
        </w:rPr>
        <w:t>Београд – Ниш – граница са Македонијом, односно са инфраструктурним коридором X, а </w:t>
      </w:r>
      <w:r>
        <w:rPr>
          <w:color w:val="231F20"/>
          <w:spacing w:val="-3"/>
        </w:rPr>
        <w:t>преко</w:t>
      </w:r>
      <w:r>
        <w:rPr>
          <w:color w:val="231F20"/>
          <w:spacing w:val="-6"/>
        </w:rPr>
        <w:t> </w:t>
      </w:r>
      <w:r>
        <w:rPr>
          <w:color w:val="231F20"/>
        </w:rPr>
        <w:t>ње</w:t>
      </w:r>
      <w:r>
        <w:rPr>
          <w:color w:val="231F20"/>
          <w:spacing w:val="-6"/>
        </w:rPr>
        <w:t> </w:t>
      </w:r>
      <w:r>
        <w:rPr>
          <w:color w:val="231F20"/>
        </w:rPr>
        <w:t>и</w:t>
      </w:r>
      <w:r>
        <w:rPr>
          <w:color w:val="231F20"/>
          <w:spacing w:val="-6"/>
        </w:rPr>
        <w:t> </w:t>
      </w:r>
      <w:r>
        <w:rPr>
          <w:color w:val="231F20"/>
        </w:rPr>
        <w:t>са</w:t>
      </w:r>
      <w:r>
        <w:rPr>
          <w:color w:val="231F20"/>
          <w:spacing w:val="-6"/>
        </w:rPr>
        <w:t> </w:t>
      </w:r>
      <w:r>
        <w:rPr>
          <w:color w:val="231F20"/>
        </w:rPr>
        <w:t>европском</w:t>
      </w:r>
      <w:r>
        <w:rPr>
          <w:color w:val="231F20"/>
          <w:spacing w:val="-6"/>
        </w:rPr>
        <w:t> </w:t>
      </w:r>
      <w:r>
        <w:rPr>
          <w:color w:val="231F20"/>
        </w:rPr>
        <w:t>мрежом</w:t>
      </w:r>
      <w:r>
        <w:rPr>
          <w:color w:val="231F20"/>
          <w:spacing w:val="-6"/>
        </w:rPr>
        <w:t> </w:t>
      </w:r>
      <w:r>
        <w:rPr>
          <w:color w:val="231F20"/>
        </w:rPr>
        <w:t>пруга.</w:t>
      </w:r>
      <w:r>
        <w:rPr>
          <w:color w:val="231F20"/>
          <w:spacing w:val="-6"/>
        </w:rPr>
        <w:t> </w:t>
      </w:r>
      <w:r>
        <w:rPr>
          <w:color w:val="231F20"/>
        </w:rPr>
        <w:t>Локална</w:t>
      </w:r>
      <w:r>
        <w:rPr>
          <w:color w:val="231F20"/>
          <w:spacing w:val="-6"/>
        </w:rPr>
        <w:t> </w:t>
      </w:r>
      <w:r>
        <w:rPr>
          <w:color w:val="231F20"/>
        </w:rPr>
        <w:t>пруга</w:t>
      </w:r>
      <w:r>
        <w:rPr>
          <w:color w:val="231F20"/>
          <w:spacing w:val="-6"/>
        </w:rPr>
        <w:t> </w:t>
      </w:r>
      <w:r>
        <w:rPr>
          <w:color w:val="231F20"/>
        </w:rPr>
        <w:t>Пожаревац</w:t>
      </w:r>
    </w:p>
    <w:p>
      <w:pPr>
        <w:pStyle w:val="BodyText"/>
        <w:spacing w:line="235" w:lineRule="auto"/>
        <w:ind w:left="241" w:right="123"/>
      </w:pPr>
      <w:r>
        <w:rPr>
          <w:color w:val="231F20"/>
          <w:w w:val="66"/>
        </w:rPr>
        <w:t> </w:t>
      </w:r>
      <w:r>
        <w:rPr>
          <w:color w:val="231F20"/>
        </w:rPr>
        <w:t>–</w:t>
      </w:r>
      <w:r>
        <w:rPr>
          <w:color w:val="231F20"/>
          <w:spacing w:val="-11"/>
        </w:rPr>
        <w:t> </w:t>
      </w:r>
      <w:r>
        <w:rPr>
          <w:color w:val="231F20"/>
        </w:rPr>
        <w:t>Костолац</w:t>
      </w:r>
      <w:r>
        <w:rPr>
          <w:color w:val="231F20"/>
          <w:spacing w:val="-11"/>
        </w:rPr>
        <w:t> </w:t>
      </w:r>
      <w:r>
        <w:rPr>
          <w:color w:val="231F20"/>
        </w:rPr>
        <w:t>је</w:t>
      </w:r>
      <w:r>
        <w:rPr>
          <w:color w:val="231F20"/>
          <w:spacing w:val="-11"/>
        </w:rPr>
        <w:t> </w:t>
      </w:r>
      <w:r>
        <w:rPr>
          <w:color w:val="231F20"/>
        </w:rPr>
        <w:t>једноколосечна</w:t>
      </w:r>
      <w:r>
        <w:rPr>
          <w:color w:val="231F20"/>
          <w:spacing w:val="-11"/>
        </w:rPr>
        <w:t> </w:t>
      </w:r>
      <w:r>
        <w:rPr>
          <w:color w:val="231F20"/>
        </w:rPr>
        <w:t>пруга,</w:t>
      </w:r>
      <w:r>
        <w:rPr>
          <w:color w:val="231F20"/>
          <w:spacing w:val="-11"/>
        </w:rPr>
        <w:t> </w:t>
      </w:r>
      <w:r>
        <w:rPr>
          <w:color w:val="231F20"/>
        </w:rPr>
        <w:t>није</w:t>
      </w:r>
      <w:r>
        <w:rPr>
          <w:color w:val="231F20"/>
          <w:spacing w:val="-11"/>
        </w:rPr>
        <w:t> </w:t>
      </w:r>
      <w:r>
        <w:rPr>
          <w:color w:val="231F20"/>
        </w:rPr>
        <w:t>електрифицирана,</w:t>
      </w:r>
      <w:r>
        <w:rPr>
          <w:color w:val="231F20"/>
          <w:spacing w:val="-11"/>
        </w:rPr>
        <w:t> </w:t>
      </w:r>
      <w:r>
        <w:rPr>
          <w:color w:val="231F20"/>
        </w:rPr>
        <w:t>на</w:t>
      </w:r>
      <w:r>
        <w:rPr>
          <w:color w:val="231F20"/>
          <w:spacing w:val="-11"/>
        </w:rPr>
        <w:t> </w:t>
      </w:r>
      <w:r>
        <w:rPr>
          <w:color w:val="231F20"/>
        </w:rPr>
        <w:t>њој се </w:t>
      </w:r>
      <w:r>
        <w:rPr>
          <w:color w:val="231F20"/>
          <w:spacing w:val="-3"/>
        </w:rPr>
        <w:t>углавном </w:t>
      </w:r>
      <w:r>
        <w:rPr>
          <w:color w:val="231F20"/>
        </w:rPr>
        <w:t>одвијао теретни саобраћај, али је због лошег стања инфраструктуре већ дуже време ван употребе. Индустријска пру- га Стиг – Дрмно је власништво „ЕПС”-а, изграђена је за потребе рударских активности и рада термоелектране, али је због ширења површинских </w:t>
      </w:r>
      <w:r>
        <w:rPr>
          <w:color w:val="231F20"/>
          <w:spacing w:val="-3"/>
        </w:rPr>
        <w:t>копова </w:t>
      </w:r>
      <w:r>
        <w:rPr>
          <w:color w:val="231F20"/>
        </w:rPr>
        <w:t>прекинута и ван употребе је.</w:t>
      </w:r>
    </w:p>
    <w:p>
      <w:pPr>
        <w:pStyle w:val="BodyText"/>
        <w:spacing w:line="235" w:lineRule="auto"/>
        <w:ind w:left="242" w:right="122" w:firstLine="396"/>
      </w:pPr>
      <w:r>
        <w:rPr>
          <w:color w:val="231F20"/>
        </w:rPr>
        <w:t>Од осталих видова саобраћаја, на Планском подручју посто- ји спортско-туристички аеродром, лоциран између Костолачког рукавца и десне обале Дунава, као и одређени капацитети речног саобраћаја (два пристаништа на Дунаву – Дубравица и Костолац, пристаниште на левој обали Велике Мораве код бетонског Драго- вачког моста), али је општа оцена да речни саобраћај није довољ- но развијен у односу на постојеће потенцијале.</w:t>
      </w:r>
    </w:p>
    <w:p>
      <w:pPr>
        <w:pStyle w:val="BodyText"/>
        <w:spacing w:line="235" w:lineRule="auto"/>
        <w:ind w:left="242" w:right="121" w:firstLine="396"/>
      </w:pPr>
      <w:r>
        <w:rPr>
          <w:color w:val="231F20"/>
        </w:rPr>
        <w:t>Генерално, имајући у виду удаљеност од општинских цента- ра у окружењу, близину инфраструктурних развојних коридора X и VII, положај постојећих путних праваца магистралног и регио- налног значаја, повезаност са мрежом железничких пруга, основ за развој ваздушног саобраћаја и посебно велики потенцијал за развој речног саобраћаја, саобраћајно-географски положај План- ског подручја се може оценити као врло повољан.</w:t>
      </w:r>
    </w:p>
    <w:p>
      <w:pPr>
        <w:pStyle w:val="BodyText"/>
        <w:spacing w:line="235" w:lineRule="auto"/>
        <w:ind w:left="243" w:right="121" w:firstLine="397"/>
      </w:pPr>
      <w:r>
        <w:rPr>
          <w:color w:val="231F20"/>
        </w:rPr>
        <w:t>*НАПОМЕНА: У току израде Просторног плана подручја посебне намене </w:t>
      </w:r>
      <w:r>
        <w:rPr>
          <w:color w:val="231F20"/>
          <w:spacing w:val="-3"/>
        </w:rPr>
        <w:t>Костолачког </w:t>
      </w:r>
      <w:r>
        <w:rPr>
          <w:color w:val="231F20"/>
        </w:rPr>
        <w:t>угљеног басена, на снагу је  ступи- ла </w:t>
      </w:r>
      <w:r>
        <w:rPr>
          <w:color w:val="231F20"/>
          <w:spacing w:val="-4"/>
        </w:rPr>
        <w:t>Уредба </w:t>
      </w:r>
      <w:r>
        <w:rPr>
          <w:color w:val="231F20"/>
        </w:rPr>
        <w:t>о категоризацији државних путева („Службени гласник РС”, број 14/12), према </w:t>
      </w:r>
      <w:r>
        <w:rPr>
          <w:color w:val="231F20"/>
          <w:spacing w:val="-3"/>
        </w:rPr>
        <w:t>којој </w:t>
      </w:r>
      <w:r>
        <w:rPr>
          <w:color w:val="231F20"/>
        </w:rPr>
        <w:t>је, у односу на ранију </w:t>
      </w:r>
      <w:r>
        <w:rPr>
          <w:color w:val="231F20"/>
          <w:spacing w:val="-3"/>
        </w:rPr>
        <w:t>категоризацију, </w:t>
      </w:r>
      <w:r>
        <w:rPr>
          <w:color w:val="231F20"/>
        </w:rPr>
        <w:t>значајан</w:t>
      </w:r>
      <w:r>
        <w:rPr>
          <w:color w:val="231F20"/>
          <w:spacing w:val="7"/>
        </w:rPr>
        <w:t> </w:t>
      </w:r>
      <w:r>
        <w:rPr>
          <w:color w:val="231F20"/>
        </w:rPr>
        <w:t>део</w:t>
      </w:r>
      <w:r>
        <w:rPr>
          <w:color w:val="231F20"/>
          <w:spacing w:val="7"/>
        </w:rPr>
        <w:t> </w:t>
      </w:r>
      <w:r>
        <w:rPr>
          <w:color w:val="231F20"/>
        </w:rPr>
        <w:t>путне</w:t>
      </w:r>
      <w:r>
        <w:rPr>
          <w:color w:val="231F20"/>
          <w:spacing w:val="7"/>
        </w:rPr>
        <w:t> </w:t>
      </w:r>
      <w:r>
        <w:rPr>
          <w:color w:val="231F20"/>
        </w:rPr>
        <w:t>мреже</w:t>
      </w:r>
      <w:r>
        <w:rPr>
          <w:color w:val="231F20"/>
          <w:spacing w:val="7"/>
        </w:rPr>
        <w:t> </w:t>
      </w:r>
      <w:r>
        <w:rPr>
          <w:color w:val="231F20"/>
        </w:rPr>
        <w:t>у</w:t>
      </w:r>
      <w:r>
        <w:rPr>
          <w:color w:val="231F20"/>
          <w:spacing w:val="7"/>
        </w:rPr>
        <w:t> </w:t>
      </w:r>
      <w:r>
        <w:rPr>
          <w:color w:val="231F20"/>
        </w:rPr>
        <w:t>Србији</w:t>
      </w:r>
      <w:r>
        <w:rPr>
          <w:color w:val="231F20"/>
          <w:spacing w:val="7"/>
        </w:rPr>
        <w:t> </w:t>
      </w:r>
      <w:r>
        <w:rPr>
          <w:color w:val="231F20"/>
        </w:rPr>
        <w:t>изгубио</w:t>
      </w:r>
      <w:r>
        <w:rPr>
          <w:color w:val="231F20"/>
          <w:spacing w:val="7"/>
        </w:rPr>
        <w:t> </w:t>
      </w:r>
      <w:r>
        <w:rPr>
          <w:color w:val="231F20"/>
        </w:rPr>
        <w:t>ранг</w:t>
      </w:r>
      <w:r>
        <w:rPr>
          <w:color w:val="231F20"/>
          <w:spacing w:val="7"/>
        </w:rPr>
        <w:t> </w:t>
      </w:r>
      <w:r>
        <w:rPr>
          <w:color w:val="231F20"/>
        </w:rPr>
        <w:t>државне</w:t>
      </w:r>
      <w:r>
        <w:rPr>
          <w:color w:val="231F20"/>
          <w:spacing w:val="7"/>
        </w:rPr>
        <w:t> </w:t>
      </w:r>
      <w:r>
        <w:rPr>
          <w:color w:val="231F20"/>
        </w:rPr>
        <w:t>мреже.</w:t>
      </w:r>
    </w:p>
    <w:p>
      <w:pPr>
        <w:spacing w:after="0" w:line="235" w:lineRule="auto"/>
        <w:sectPr>
          <w:type w:val="continuous"/>
          <w:pgSz w:w="12480" w:h="15690"/>
          <w:pgMar w:top="880" w:bottom="280" w:left="680" w:right="720"/>
          <w:cols w:num="2" w:equalWidth="0">
            <w:col w:w="5563" w:space="40"/>
            <w:col w:w="5477"/>
          </w:cols>
        </w:sectPr>
      </w:pPr>
    </w:p>
    <w:p>
      <w:pPr>
        <w:pStyle w:val="BodyText"/>
        <w:spacing w:line="232" w:lineRule="auto" w:before="73"/>
        <w:ind w:right="40" w:hanging="1"/>
      </w:pPr>
      <w:r>
        <w:rPr/>
        <w:pict>
          <v:line style="position:absolute;mso-position-horizontal-relative:page;mso-position-vertical-relative:page;z-index:1408" from="304.724396pt,11.942451pt" to="304.724396pt,748.950451pt" stroked="true" strokeweight=".6pt" strokecolor="#231f20">
            <v:stroke dashstyle="solid"/>
            <w10:wrap type="none"/>
          </v:line>
        </w:pict>
      </w:r>
      <w:r>
        <w:rPr>
          <w:color w:val="231F20"/>
        </w:rPr>
        <w:t>Како је Просторни план прошао процедуру јавног увида, уз сагла- сност ЈП Путеви Србије, даје се упоредни преглед државних пу- тева према ранијој и новој категоризацији. Напомињемо да се све стационаже путева приказане у Плану односе на стари референт- ни систем државних путева (нови још увек није урађен).</w:t>
      </w:r>
    </w:p>
    <w:p>
      <w:pPr>
        <w:pStyle w:val="BodyText"/>
        <w:spacing w:line="232" w:lineRule="auto" w:before="1"/>
        <w:ind w:right="40" w:firstLine="396"/>
      </w:pPr>
      <w:r>
        <w:rPr>
          <w:color w:val="231F20"/>
        </w:rPr>
        <w:t>Према новој Уредби, на територији обухваћеној Просторног плана, дошло је до измена приказаних у Табели 6.1.</w:t>
      </w:r>
    </w:p>
    <w:p>
      <w:pPr>
        <w:pStyle w:val="BodyText"/>
        <w:spacing w:before="6"/>
        <w:ind w:left="0"/>
        <w:jc w:val="left"/>
        <w:rPr>
          <w:sz w:val="17"/>
        </w:rPr>
      </w:pPr>
    </w:p>
    <w:p>
      <w:pPr>
        <w:pStyle w:val="BodyText"/>
        <w:spacing w:line="232" w:lineRule="auto"/>
        <w:ind w:left="1055" w:right="665" w:hanging="884"/>
        <w:jc w:val="left"/>
      </w:pPr>
      <w:r>
        <w:rPr>
          <w:color w:val="231F20"/>
        </w:rPr>
        <w:t>Табела 6.1. Упоредни преглед државних путева по старој и новој категоризацији</w:t>
      </w:r>
    </w:p>
    <w:p>
      <w:pPr>
        <w:pStyle w:val="BodyText"/>
        <w:spacing w:before="9"/>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360" w:hRule="atLeast"/>
        </w:trPr>
        <w:tc>
          <w:tcPr>
            <w:tcW w:w="2551" w:type="dxa"/>
          </w:tcPr>
          <w:p>
            <w:pPr>
              <w:pStyle w:val="TableParagraph"/>
              <w:ind w:left="626" w:right="556" w:hanging="39"/>
              <w:jc w:val="left"/>
              <w:rPr>
                <w:sz w:val="14"/>
              </w:rPr>
            </w:pPr>
            <w:r>
              <w:rPr>
                <w:color w:val="231F20"/>
                <w:sz w:val="14"/>
              </w:rPr>
              <w:t>Државни путеви према старој категоризацији</w:t>
            </w:r>
          </w:p>
        </w:tc>
        <w:tc>
          <w:tcPr>
            <w:tcW w:w="2551" w:type="dxa"/>
          </w:tcPr>
          <w:p>
            <w:pPr>
              <w:pStyle w:val="TableParagraph"/>
              <w:ind w:left="539" w:right="245" w:firstLine="145"/>
              <w:jc w:val="left"/>
              <w:rPr>
                <w:sz w:val="14"/>
              </w:rPr>
            </w:pPr>
            <w:r>
              <w:rPr>
                <w:color w:val="231F20"/>
                <w:sz w:val="14"/>
              </w:rPr>
              <w:t>Путеви према новој Уредби о категоризацији</w:t>
            </w:r>
          </w:p>
        </w:tc>
      </w:tr>
      <w:tr>
        <w:trPr>
          <w:trHeight w:val="840" w:hRule="atLeast"/>
        </w:trPr>
        <w:tc>
          <w:tcPr>
            <w:tcW w:w="2551" w:type="dxa"/>
          </w:tcPr>
          <w:p>
            <w:pPr>
              <w:pStyle w:val="TableParagraph"/>
              <w:spacing w:line="161" w:lineRule="exact"/>
              <w:ind w:left="56"/>
              <w:jc w:val="left"/>
              <w:rPr>
                <w:sz w:val="14"/>
              </w:rPr>
            </w:pPr>
            <w:r>
              <w:rPr>
                <w:color w:val="231F20"/>
                <w:sz w:val="14"/>
              </w:rPr>
              <w:t>Државни пут I реда бр.24</w:t>
            </w:r>
          </w:p>
          <w:p>
            <w:pPr>
              <w:pStyle w:val="TableParagraph"/>
              <w:spacing w:before="0"/>
              <w:ind w:left="56" w:right="44"/>
              <w:jc w:val="both"/>
              <w:rPr>
                <w:sz w:val="14"/>
              </w:rPr>
            </w:pPr>
            <w:r>
              <w:rPr>
                <w:color w:val="231F20"/>
                <w:sz w:val="14"/>
              </w:rPr>
              <w:t>(Суботица –Зрењанин –Панчево-Ковин- Смедерево – Пожаревац – </w:t>
            </w:r>
            <w:r>
              <w:rPr>
                <w:color w:val="231F20"/>
                <w:spacing w:val="-2"/>
                <w:sz w:val="14"/>
              </w:rPr>
              <w:t>Кучево</w:t>
            </w:r>
            <w:r>
              <w:rPr>
                <w:color w:val="231F20"/>
                <w:spacing w:val="30"/>
                <w:sz w:val="14"/>
              </w:rPr>
              <w:t> </w:t>
            </w:r>
            <w:r>
              <w:rPr>
                <w:color w:val="231F20"/>
                <w:sz w:val="14"/>
              </w:rPr>
              <w:t>– Мајданпек</w:t>
            </w:r>
            <w:r>
              <w:rPr>
                <w:color w:val="231F20"/>
                <w:spacing w:val="0"/>
                <w:sz w:val="14"/>
              </w:rPr>
              <w:t> </w:t>
            </w:r>
            <w:r>
              <w:rPr>
                <w:color w:val="231F20"/>
                <w:sz w:val="14"/>
              </w:rPr>
              <w:t>–</w:t>
            </w:r>
            <w:r>
              <w:rPr>
                <w:color w:val="231F20"/>
                <w:spacing w:val="-14"/>
                <w:sz w:val="14"/>
              </w:rPr>
              <w:t> </w:t>
            </w:r>
            <w:r>
              <w:rPr>
                <w:color w:val="231F20"/>
                <w:sz w:val="14"/>
              </w:rPr>
              <w:t>Неготин</w:t>
            </w:r>
            <w:r>
              <w:rPr>
                <w:color w:val="231F20"/>
                <w:spacing w:val="0"/>
                <w:sz w:val="14"/>
              </w:rPr>
              <w:t> </w:t>
            </w:r>
            <w:r>
              <w:rPr>
                <w:color w:val="231F20"/>
                <w:sz w:val="14"/>
              </w:rPr>
              <w:t>–</w:t>
            </w:r>
            <w:r>
              <w:rPr>
                <w:color w:val="231F20"/>
                <w:spacing w:val="-14"/>
                <w:sz w:val="14"/>
              </w:rPr>
              <w:t> </w:t>
            </w:r>
            <w:r>
              <w:rPr>
                <w:color w:val="231F20"/>
                <w:sz w:val="14"/>
              </w:rPr>
              <w:t>граница</w:t>
            </w:r>
            <w:r>
              <w:rPr>
                <w:color w:val="231F20"/>
                <w:spacing w:val="-14"/>
                <w:sz w:val="14"/>
              </w:rPr>
              <w:t> </w:t>
            </w:r>
            <w:r>
              <w:rPr>
                <w:color w:val="231F20"/>
                <w:sz w:val="14"/>
              </w:rPr>
              <w:t>Бугарске</w:t>
            </w:r>
          </w:p>
          <w:p>
            <w:pPr>
              <w:pStyle w:val="TableParagraph"/>
              <w:spacing w:line="158" w:lineRule="exact" w:before="0"/>
              <w:ind w:left="56"/>
              <w:jc w:val="both"/>
              <w:rPr>
                <w:sz w:val="14"/>
              </w:rPr>
            </w:pPr>
            <w:r>
              <w:rPr>
                <w:color w:val="231F20"/>
                <w:w w:val="66"/>
                <w:sz w:val="14"/>
              </w:rPr>
              <w:t> </w:t>
            </w:r>
            <w:r>
              <w:rPr>
                <w:color w:val="231F20"/>
                <w:w w:val="95"/>
                <w:sz w:val="14"/>
              </w:rPr>
              <w:t>– Брегово)</w:t>
            </w:r>
          </w:p>
        </w:tc>
        <w:tc>
          <w:tcPr>
            <w:tcW w:w="2551" w:type="dxa"/>
          </w:tcPr>
          <w:p>
            <w:pPr>
              <w:pStyle w:val="TableParagraph"/>
              <w:spacing w:line="161" w:lineRule="exact"/>
              <w:ind w:left="56"/>
              <w:jc w:val="left"/>
              <w:rPr>
                <w:sz w:val="14"/>
              </w:rPr>
            </w:pPr>
            <w:r>
              <w:rPr>
                <w:color w:val="231F20"/>
                <w:sz w:val="14"/>
              </w:rPr>
              <w:t>Државни пут IБ реда бр.22</w:t>
            </w:r>
          </w:p>
          <w:p>
            <w:pPr>
              <w:pStyle w:val="TableParagraph"/>
              <w:spacing w:before="0"/>
              <w:ind w:left="56" w:right="245"/>
              <w:jc w:val="left"/>
              <w:rPr>
                <w:sz w:val="14"/>
              </w:rPr>
            </w:pPr>
            <w:r>
              <w:rPr>
                <w:color w:val="231F20"/>
                <w:w w:val="95"/>
                <w:sz w:val="14"/>
              </w:rPr>
              <w:t>(Панчево – Ковин – Смедерево – Пожаревац – Кучево – Мајданпек</w:t>
            </w:r>
          </w:p>
          <w:p>
            <w:pPr>
              <w:pStyle w:val="TableParagraph"/>
              <w:spacing w:before="0"/>
              <w:ind w:left="56" w:right="245"/>
              <w:jc w:val="left"/>
              <w:rPr>
                <w:sz w:val="14"/>
              </w:rPr>
            </w:pPr>
            <w:r>
              <w:rPr>
                <w:color w:val="231F20"/>
                <w:w w:val="66"/>
                <w:sz w:val="14"/>
              </w:rPr>
              <w:t> </w:t>
            </w:r>
            <w:r>
              <w:rPr>
                <w:color w:val="231F20"/>
                <w:sz w:val="14"/>
              </w:rPr>
              <w:t>– Неготин – граница са Бугарском – гр.прелаз Мокрање)</w:t>
            </w:r>
          </w:p>
        </w:tc>
      </w:tr>
      <w:tr>
        <w:trPr>
          <w:trHeight w:val="680" w:hRule="atLeast"/>
        </w:trPr>
        <w:tc>
          <w:tcPr>
            <w:tcW w:w="2551" w:type="dxa"/>
          </w:tcPr>
          <w:p>
            <w:pPr>
              <w:pStyle w:val="TableParagraph"/>
              <w:spacing w:line="161" w:lineRule="exact"/>
              <w:ind w:left="56"/>
              <w:jc w:val="left"/>
              <w:rPr>
                <w:sz w:val="14"/>
              </w:rPr>
            </w:pPr>
            <w:r>
              <w:rPr>
                <w:color w:val="231F20"/>
                <w:sz w:val="14"/>
              </w:rPr>
              <w:t>Државни пут I реда бр.25.1</w:t>
            </w:r>
          </w:p>
          <w:p>
            <w:pPr>
              <w:pStyle w:val="TableParagraph"/>
              <w:spacing w:line="160" w:lineRule="exact" w:before="0"/>
              <w:ind w:left="56"/>
              <w:jc w:val="left"/>
              <w:rPr>
                <w:sz w:val="14"/>
              </w:rPr>
            </w:pPr>
            <w:r>
              <w:rPr>
                <w:color w:val="231F20"/>
                <w:sz w:val="14"/>
              </w:rPr>
              <w:t>(Брана ХЕ „Ђердап” – Доњи Милановац</w:t>
            </w:r>
          </w:p>
          <w:p>
            <w:pPr>
              <w:pStyle w:val="TableParagraph"/>
              <w:spacing w:before="0"/>
              <w:ind w:left="56" w:right="245"/>
              <w:jc w:val="left"/>
              <w:rPr>
                <w:sz w:val="14"/>
              </w:rPr>
            </w:pPr>
            <w:r>
              <w:rPr>
                <w:color w:val="231F20"/>
                <w:w w:val="66"/>
                <w:sz w:val="14"/>
              </w:rPr>
              <w:t> </w:t>
            </w:r>
            <w:r>
              <w:rPr>
                <w:color w:val="231F20"/>
                <w:sz w:val="14"/>
              </w:rPr>
              <w:t>– Голубац – Велико Градиште – Пожаревац)</w:t>
            </w:r>
          </w:p>
        </w:tc>
        <w:tc>
          <w:tcPr>
            <w:tcW w:w="2551" w:type="dxa"/>
          </w:tcPr>
          <w:p>
            <w:pPr>
              <w:pStyle w:val="TableParagraph"/>
              <w:spacing w:line="161" w:lineRule="exact"/>
              <w:ind w:left="56"/>
              <w:jc w:val="left"/>
              <w:rPr>
                <w:sz w:val="14"/>
              </w:rPr>
            </w:pPr>
            <w:r>
              <w:rPr>
                <w:color w:val="231F20"/>
                <w:sz w:val="14"/>
              </w:rPr>
              <w:t>Државни пут II реда бр.128</w:t>
            </w:r>
          </w:p>
          <w:p>
            <w:pPr>
              <w:pStyle w:val="TableParagraph"/>
              <w:spacing w:before="0"/>
              <w:ind w:left="56" w:right="44"/>
              <w:jc w:val="both"/>
              <w:rPr>
                <w:sz w:val="14"/>
              </w:rPr>
            </w:pPr>
            <w:r>
              <w:rPr>
                <w:color w:val="231F20"/>
                <w:sz w:val="14"/>
              </w:rPr>
              <w:t>(Пожаревац – Велико Градиште – Голубац – Доњи Милановац – Поречки Мост)</w:t>
            </w:r>
          </w:p>
        </w:tc>
      </w:tr>
      <w:tr>
        <w:trPr>
          <w:trHeight w:val="840" w:hRule="atLeast"/>
        </w:trPr>
        <w:tc>
          <w:tcPr>
            <w:tcW w:w="2551" w:type="dxa"/>
          </w:tcPr>
          <w:p>
            <w:pPr>
              <w:pStyle w:val="TableParagraph"/>
              <w:spacing w:line="161" w:lineRule="exact"/>
              <w:ind w:left="56"/>
              <w:jc w:val="left"/>
              <w:rPr>
                <w:sz w:val="14"/>
              </w:rPr>
            </w:pPr>
            <w:r>
              <w:rPr>
                <w:color w:val="231F20"/>
                <w:sz w:val="14"/>
              </w:rPr>
              <w:t>Државни пут II реда бр.103</w:t>
            </w:r>
          </w:p>
          <w:p>
            <w:pPr>
              <w:pStyle w:val="TableParagraph"/>
              <w:spacing w:before="0"/>
              <w:ind w:left="56" w:right="245"/>
              <w:jc w:val="left"/>
              <w:rPr>
                <w:sz w:val="14"/>
              </w:rPr>
            </w:pPr>
            <w:r>
              <w:rPr>
                <w:color w:val="231F20"/>
                <w:w w:val="95"/>
                <w:sz w:val="14"/>
              </w:rPr>
              <w:t>(Костолац – Пожаревац – Жабари – Свилајнац – Деспотовац – Ћуприја)</w:t>
            </w:r>
          </w:p>
        </w:tc>
        <w:tc>
          <w:tcPr>
            <w:tcW w:w="2551" w:type="dxa"/>
          </w:tcPr>
          <w:p>
            <w:pPr>
              <w:pStyle w:val="TableParagraph"/>
              <w:ind w:left="56"/>
              <w:jc w:val="left"/>
              <w:rPr>
                <w:sz w:val="14"/>
              </w:rPr>
            </w:pPr>
            <w:r>
              <w:rPr>
                <w:color w:val="231F20"/>
                <w:sz w:val="14"/>
              </w:rPr>
              <w:t>Државни пут II реда бр.169 (Костолац- Пожаревац)</w:t>
            </w:r>
          </w:p>
          <w:p>
            <w:pPr>
              <w:pStyle w:val="TableParagraph"/>
              <w:spacing w:line="159" w:lineRule="exact" w:before="0"/>
              <w:ind w:left="56"/>
              <w:jc w:val="left"/>
              <w:rPr>
                <w:sz w:val="14"/>
              </w:rPr>
            </w:pPr>
            <w:r>
              <w:rPr>
                <w:color w:val="231F20"/>
                <w:sz w:val="14"/>
              </w:rPr>
              <w:t>Државни пут II реда бр.130 (Пожаревац</w:t>
            </w:r>
          </w:p>
          <w:p>
            <w:pPr>
              <w:pStyle w:val="TableParagraph"/>
              <w:spacing w:before="0"/>
              <w:ind w:left="56" w:right="245"/>
              <w:jc w:val="left"/>
              <w:rPr>
                <w:sz w:val="14"/>
              </w:rPr>
            </w:pPr>
            <w:r>
              <w:rPr>
                <w:color w:val="231F20"/>
                <w:w w:val="66"/>
                <w:sz w:val="14"/>
              </w:rPr>
              <w:t> </w:t>
            </w:r>
            <w:r>
              <w:rPr>
                <w:color w:val="231F20"/>
                <w:w w:val="95"/>
                <w:sz w:val="14"/>
              </w:rPr>
              <w:t>– Жабари – Свилајнац –Деспотовац – Ћуприја)</w:t>
            </w:r>
          </w:p>
        </w:tc>
      </w:tr>
      <w:tr>
        <w:trPr>
          <w:trHeight w:val="680" w:hRule="atLeast"/>
        </w:trPr>
        <w:tc>
          <w:tcPr>
            <w:tcW w:w="2551" w:type="dxa"/>
          </w:tcPr>
          <w:p>
            <w:pPr>
              <w:pStyle w:val="TableParagraph"/>
              <w:spacing w:line="161" w:lineRule="exact"/>
              <w:ind w:left="56"/>
              <w:jc w:val="left"/>
              <w:rPr>
                <w:sz w:val="14"/>
              </w:rPr>
            </w:pPr>
            <w:r>
              <w:rPr>
                <w:color w:val="231F20"/>
                <w:sz w:val="14"/>
              </w:rPr>
              <w:t>Државни пут II реда бр.105</w:t>
            </w:r>
          </w:p>
          <w:p>
            <w:pPr>
              <w:pStyle w:val="TableParagraph"/>
              <w:spacing w:before="0"/>
              <w:ind w:left="56" w:right="44" w:hanging="1"/>
              <w:jc w:val="both"/>
              <w:rPr>
                <w:sz w:val="14"/>
              </w:rPr>
            </w:pPr>
            <w:r>
              <w:rPr>
                <w:color w:val="231F20"/>
                <w:sz w:val="14"/>
              </w:rPr>
              <w:t>(Рам – Братинац – Салаковац – Мало Црниће – Жагубица – Брестовац – Селиште)</w:t>
            </w:r>
          </w:p>
        </w:tc>
        <w:tc>
          <w:tcPr>
            <w:tcW w:w="2551" w:type="dxa"/>
          </w:tcPr>
          <w:p>
            <w:pPr>
              <w:pStyle w:val="TableParagraph"/>
              <w:ind w:left="56" w:right="44"/>
              <w:jc w:val="both"/>
              <w:rPr>
                <w:sz w:val="14"/>
              </w:rPr>
            </w:pPr>
            <w:r>
              <w:rPr>
                <w:color w:val="231F20"/>
                <w:sz w:val="14"/>
              </w:rPr>
              <w:t>У обухвату Плана (деонице Рам – Бра- тинац – Салаковац) губи ранг државног пута - постаје општински пут</w:t>
            </w:r>
          </w:p>
        </w:tc>
      </w:tr>
      <w:tr>
        <w:trPr>
          <w:trHeight w:val="520" w:hRule="atLeast"/>
        </w:trPr>
        <w:tc>
          <w:tcPr>
            <w:tcW w:w="2551" w:type="dxa"/>
          </w:tcPr>
          <w:p>
            <w:pPr>
              <w:pStyle w:val="TableParagraph"/>
              <w:spacing w:line="161" w:lineRule="exact"/>
              <w:ind w:left="56"/>
              <w:jc w:val="left"/>
              <w:rPr>
                <w:sz w:val="14"/>
              </w:rPr>
            </w:pPr>
            <w:r>
              <w:rPr>
                <w:color w:val="231F20"/>
                <w:sz w:val="14"/>
              </w:rPr>
              <w:t>Државни пут II реда бр.107б</w:t>
            </w:r>
          </w:p>
          <w:p>
            <w:pPr>
              <w:pStyle w:val="TableParagraph"/>
              <w:spacing w:before="0"/>
              <w:ind w:left="56" w:right="245"/>
              <w:jc w:val="left"/>
              <w:rPr>
                <w:sz w:val="14"/>
              </w:rPr>
            </w:pPr>
            <w:r>
              <w:rPr>
                <w:color w:val="231F20"/>
                <w:sz w:val="14"/>
              </w:rPr>
              <w:t>(Бошљак – Орљево – Пожаревац – Дубравица (пристаниште))</w:t>
            </w:r>
          </w:p>
        </w:tc>
        <w:tc>
          <w:tcPr>
            <w:tcW w:w="2551" w:type="dxa"/>
          </w:tcPr>
          <w:p>
            <w:pPr>
              <w:pStyle w:val="TableParagraph"/>
              <w:ind w:left="56"/>
              <w:jc w:val="left"/>
              <w:rPr>
                <w:sz w:val="14"/>
              </w:rPr>
            </w:pPr>
            <w:r>
              <w:rPr>
                <w:color w:val="231F20"/>
                <w:sz w:val="14"/>
              </w:rPr>
              <w:t>Губи ранг државног пута – постаје оп- штински пут</w:t>
            </w:r>
          </w:p>
        </w:tc>
      </w:tr>
      <w:tr>
        <w:trPr>
          <w:trHeight w:val="360" w:hRule="atLeast"/>
        </w:trPr>
        <w:tc>
          <w:tcPr>
            <w:tcW w:w="2551" w:type="dxa"/>
          </w:tcPr>
          <w:p>
            <w:pPr>
              <w:pStyle w:val="TableParagraph"/>
              <w:ind w:left="56" w:right="326"/>
              <w:jc w:val="left"/>
              <w:rPr>
                <w:sz w:val="14"/>
              </w:rPr>
            </w:pPr>
            <w:r>
              <w:rPr>
                <w:color w:val="231F20"/>
                <w:sz w:val="14"/>
              </w:rPr>
              <w:t>Државни пут II реда бр.108а (Берање – Средњево – Голубац)</w:t>
            </w:r>
          </w:p>
        </w:tc>
        <w:tc>
          <w:tcPr>
            <w:tcW w:w="2551" w:type="dxa"/>
          </w:tcPr>
          <w:p>
            <w:pPr>
              <w:pStyle w:val="TableParagraph"/>
              <w:ind w:left="56"/>
              <w:jc w:val="left"/>
              <w:rPr>
                <w:sz w:val="14"/>
              </w:rPr>
            </w:pPr>
            <w:r>
              <w:rPr>
                <w:color w:val="231F20"/>
                <w:sz w:val="14"/>
              </w:rPr>
              <w:t>Губи ранг државног пута – постаје оп- штински пут</w:t>
            </w:r>
          </w:p>
        </w:tc>
      </w:tr>
      <w:tr>
        <w:trPr>
          <w:trHeight w:val="360" w:hRule="atLeast"/>
        </w:trPr>
        <w:tc>
          <w:tcPr>
            <w:tcW w:w="2551" w:type="dxa"/>
          </w:tcPr>
          <w:p>
            <w:pPr>
              <w:pStyle w:val="TableParagraph"/>
              <w:ind w:left="56" w:right="245"/>
              <w:jc w:val="left"/>
              <w:rPr>
                <w:sz w:val="14"/>
              </w:rPr>
            </w:pPr>
            <w:r>
              <w:rPr>
                <w:color w:val="231F20"/>
                <w:sz w:val="14"/>
              </w:rPr>
              <w:t>Државни пут II реда бр.214а (Осипаоница – улаз у Пожаревац)</w:t>
            </w:r>
          </w:p>
        </w:tc>
        <w:tc>
          <w:tcPr>
            <w:tcW w:w="2551" w:type="dxa"/>
          </w:tcPr>
          <w:p>
            <w:pPr>
              <w:pStyle w:val="TableParagraph"/>
              <w:ind w:left="56"/>
              <w:jc w:val="left"/>
              <w:rPr>
                <w:sz w:val="14"/>
              </w:rPr>
            </w:pPr>
            <w:r>
              <w:rPr>
                <w:color w:val="231F20"/>
                <w:sz w:val="14"/>
              </w:rPr>
              <w:t>Губи ранг државног пута – постаје оп- штински пут</w:t>
            </w:r>
          </w:p>
        </w:tc>
      </w:tr>
    </w:tbl>
    <w:p>
      <w:pPr>
        <w:pStyle w:val="BodyText"/>
        <w:spacing w:before="1"/>
        <w:ind w:left="0"/>
        <w:jc w:val="left"/>
      </w:pPr>
    </w:p>
    <w:p>
      <w:pPr>
        <w:pStyle w:val="ListParagraph"/>
        <w:numPr>
          <w:ilvl w:val="2"/>
          <w:numId w:val="17"/>
        </w:numPr>
        <w:tabs>
          <w:tab w:pos="1319" w:val="left" w:leader="none"/>
        </w:tabs>
        <w:spacing w:line="232" w:lineRule="auto" w:before="1" w:after="0"/>
        <w:ind w:left="1961" w:right="738" w:hanging="1093"/>
        <w:jc w:val="left"/>
        <w:rPr>
          <w:sz w:val="18"/>
        </w:rPr>
      </w:pPr>
      <w:r>
        <w:rPr>
          <w:color w:val="231F20"/>
          <w:spacing w:val="15"/>
          <w:sz w:val="18"/>
        </w:rPr>
        <w:t>Коришћење </w:t>
      </w:r>
      <w:r>
        <w:rPr>
          <w:color w:val="231F20"/>
          <w:spacing w:val="12"/>
          <w:sz w:val="18"/>
        </w:rPr>
        <w:t>вода </w:t>
      </w:r>
      <w:r>
        <w:rPr>
          <w:color w:val="231F20"/>
          <w:sz w:val="18"/>
        </w:rPr>
        <w:t>и </w:t>
      </w:r>
      <w:r>
        <w:rPr>
          <w:color w:val="231F20"/>
          <w:spacing w:val="16"/>
          <w:sz w:val="18"/>
        </w:rPr>
        <w:t>водопривредна инфраст</w:t>
      </w:r>
      <w:r>
        <w:rPr>
          <w:color w:val="231F20"/>
          <w:spacing w:val="-22"/>
          <w:sz w:val="18"/>
        </w:rPr>
        <w:t> </w:t>
      </w:r>
      <w:r>
        <w:rPr>
          <w:color w:val="231F20"/>
          <w:spacing w:val="15"/>
          <w:sz w:val="18"/>
        </w:rPr>
        <w:t>руктура</w:t>
      </w:r>
    </w:p>
    <w:p>
      <w:pPr>
        <w:pStyle w:val="BodyText"/>
        <w:spacing w:before="5"/>
        <w:ind w:left="0"/>
        <w:jc w:val="left"/>
        <w:rPr>
          <w:sz w:val="17"/>
        </w:rPr>
      </w:pPr>
    </w:p>
    <w:p>
      <w:pPr>
        <w:pStyle w:val="BodyText"/>
        <w:spacing w:line="225" w:lineRule="auto"/>
        <w:ind w:right="39" w:firstLine="396"/>
      </w:pPr>
      <w:r>
        <w:rPr>
          <w:color w:val="231F20"/>
        </w:rPr>
        <w:t>По реализованим системима за коришћење, заштиту и уре- ђење вода, Планско подручје је једно </w:t>
      </w:r>
      <w:r>
        <w:rPr>
          <w:color w:val="231F20"/>
          <w:spacing w:val="-3"/>
        </w:rPr>
        <w:t>од </w:t>
      </w:r>
      <w:r>
        <w:rPr>
          <w:color w:val="231F20"/>
        </w:rPr>
        <w:t>најсложенијих у Србији. </w:t>
      </w:r>
      <w:r>
        <w:rPr>
          <w:color w:val="231F20"/>
          <w:spacing w:val="-3"/>
        </w:rPr>
        <w:t>Уоквирено </w:t>
      </w:r>
      <w:r>
        <w:rPr>
          <w:color w:val="231F20"/>
        </w:rPr>
        <w:t>Дунавом и доњим </w:t>
      </w:r>
      <w:r>
        <w:rPr>
          <w:color w:val="231F20"/>
          <w:spacing w:val="-4"/>
        </w:rPr>
        <w:t>током </w:t>
      </w:r>
      <w:r>
        <w:rPr>
          <w:color w:val="231F20"/>
        </w:rPr>
        <w:t>Велике Мораве, </w:t>
      </w:r>
      <w:r>
        <w:rPr>
          <w:color w:val="231F20"/>
          <w:spacing w:val="-3"/>
        </w:rPr>
        <w:t>који </w:t>
      </w:r>
      <w:r>
        <w:rPr>
          <w:color w:val="231F20"/>
        </w:rPr>
        <w:t>се налазе </w:t>
      </w:r>
      <w:r>
        <w:rPr>
          <w:color w:val="231F20"/>
          <w:spacing w:val="-3"/>
        </w:rPr>
        <w:t>под</w:t>
      </w:r>
      <w:r>
        <w:rPr>
          <w:color w:val="231F20"/>
          <w:spacing w:val="-9"/>
        </w:rPr>
        <w:t> </w:t>
      </w:r>
      <w:r>
        <w:rPr>
          <w:color w:val="231F20"/>
        </w:rPr>
        <w:t>успором</w:t>
      </w:r>
      <w:r>
        <w:rPr>
          <w:color w:val="231F20"/>
          <w:spacing w:val="-9"/>
        </w:rPr>
        <w:t> </w:t>
      </w:r>
      <w:r>
        <w:rPr>
          <w:color w:val="231F20"/>
        </w:rPr>
        <w:t>ХЕ</w:t>
      </w:r>
      <w:r>
        <w:rPr>
          <w:color w:val="231F20"/>
          <w:spacing w:val="-10"/>
        </w:rPr>
        <w:t> </w:t>
      </w:r>
      <w:r>
        <w:rPr>
          <w:color w:val="231F20"/>
        </w:rPr>
        <w:t>Ђердап</w:t>
      </w:r>
      <w:r>
        <w:rPr>
          <w:color w:val="231F20"/>
          <w:spacing w:val="-10"/>
        </w:rPr>
        <w:t> </w:t>
      </w:r>
      <w:r>
        <w:rPr>
          <w:color w:val="231F20"/>
        </w:rPr>
        <w:t>1,</w:t>
      </w:r>
      <w:r>
        <w:rPr>
          <w:color w:val="231F20"/>
          <w:spacing w:val="-9"/>
        </w:rPr>
        <w:t> </w:t>
      </w:r>
      <w:r>
        <w:rPr>
          <w:color w:val="231F20"/>
        </w:rPr>
        <w:t>а</w:t>
      </w:r>
      <w:r>
        <w:rPr>
          <w:color w:val="231F20"/>
          <w:spacing w:val="-9"/>
        </w:rPr>
        <w:t> </w:t>
      </w:r>
      <w:r>
        <w:rPr>
          <w:color w:val="231F20"/>
        </w:rPr>
        <w:t>пресечено</w:t>
      </w:r>
      <w:r>
        <w:rPr>
          <w:color w:val="231F20"/>
          <w:spacing w:val="-9"/>
        </w:rPr>
        <w:t> </w:t>
      </w:r>
      <w:r>
        <w:rPr>
          <w:color w:val="231F20"/>
        </w:rPr>
        <w:t>бујичним</w:t>
      </w:r>
      <w:r>
        <w:rPr>
          <w:color w:val="231F20"/>
          <w:spacing w:val="-9"/>
        </w:rPr>
        <w:t> </w:t>
      </w:r>
      <w:r>
        <w:rPr>
          <w:color w:val="231F20"/>
          <w:spacing w:val="-4"/>
        </w:rPr>
        <w:t>током</w:t>
      </w:r>
      <w:r>
        <w:rPr>
          <w:color w:val="231F20"/>
          <w:spacing w:val="-9"/>
        </w:rPr>
        <w:t> </w:t>
      </w:r>
      <w:r>
        <w:rPr>
          <w:color w:val="231F20"/>
        </w:rPr>
        <w:t>Млаве</w:t>
      </w:r>
      <w:r>
        <w:rPr>
          <w:color w:val="231F20"/>
          <w:spacing w:val="17"/>
        </w:rPr>
        <w:t> </w:t>
      </w:r>
      <w:r>
        <w:rPr>
          <w:color w:val="231F20"/>
        </w:rPr>
        <w:t>–</w:t>
      </w:r>
      <w:r>
        <w:rPr>
          <w:color w:val="231F20"/>
          <w:spacing w:val="-9"/>
        </w:rPr>
        <w:t> </w:t>
      </w:r>
      <w:r>
        <w:rPr>
          <w:color w:val="231F20"/>
        </w:rPr>
        <w:t>на овом подручју су изграђени сложени хидротехнички системи: за заштиту </w:t>
      </w:r>
      <w:r>
        <w:rPr>
          <w:color w:val="231F20"/>
          <w:spacing w:val="-3"/>
        </w:rPr>
        <w:t>од </w:t>
      </w:r>
      <w:r>
        <w:rPr>
          <w:color w:val="231F20"/>
        </w:rPr>
        <w:t>великих вода и успора, за заштиту приобаља, за снаб- девање </w:t>
      </w:r>
      <w:r>
        <w:rPr>
          <w:color w:val="231F20"/>
          <w:spacing w:val="-3"/>
        </w:rPr>
        <w:t>водом </w:t>
      </w:r>
      <w:r>
        <w:rPr>
          <w:color w:val="231F20"/>
        </w:rPr>
        <w:t>(у врло сложеним условима поремећених водних режима</w:t>
      </w:r>
      <w:r>
        <w:rPr>
          <w:color w:val="231F20"/>
          <w:spacing w:val="-11"/>
        </w:rPr>
        <w:t> </w:t>
      </w:r>
      <w:r>
        <w:rPr>
          <w:color w:val="231F20"/>
        </w:rPr>
        <w:t>подземних</w:t>
      </w:r>
      <w:r>
        <w:rPr>
          <w:color w:val="231F20"/>
          <w:spacing w:val="-11"/>
        </w:rPr>
        <w:t> </w:t>
      </w:r>
      <w:r>
        <w:rPr>
          <w:color w:val="231F20"/>
        </w:rPr>
        <w:t>вода</w:t>
      </w:r>
      <w:r>
        <w:rPr>
          <w:color w:val="231F20"/>
          <w:spacing w:val="-11"/>
        </w:rPr>
        <w:t> </w:t>
      </w:r>
      <w:r>
        <w:rPr>
          <w:color w:val="231F20"/>
        </w:rPr>
        <w:t>због</w:t>
      </w:r>
      <w:r>
        <w:rPr>
          <w:color w:val="231F20"/>
          <w:spacing w:val="-11"/>
        </w:rPr>
        <w:t> </w:t>
      </w:r>
      <w:r>
        <w:rPr>
          <w:color w:val="231F20"/>
        </w:rPr>
        <w:t>деловања</w:t>
      </w:r>
      <w:r>
        <w:rPr>
          <w:color w:val="231F20"/>
          <w:spacing w:val="-11"/>
        </w:rPr>
        <w:t> </w:t>
      </w:r>
      <w:r>
        <w:rPr>
          <w:color w:val="231F20"/>
        </w:rPr>
        <w:t>површинских</w:t>
      </w:r>
      <w:r>
        <w:rPr>
          <w:color w:val="231F20"/>
          <w:spacing w:val="-12"/>
        </w:rPr>
        <w:t> </w:t>
      </w:r>
      <w:r>
        <w:rPr>
          <w:color w:val="231F20"/>
        </w:rPr>
        <w:t>копова).</w:t>
      </w:r>
      <w:r>
        <w:rPr>
          <w:color w:val="231F20"/>
          <w:spacing w:val="-11"/>
        </w:rPr>
        <w:t> </w:t>
      </w:r>
      <w:r>
        <w:rPr>
          <w:color w:val="231F20"/>
        </w:rPr>
        <w:t>Сре- дину подручја пресецају река Млава и њен паралелни ток Моги- ла, на </w:t>
      </w:r>
      <w:r>
        <w:rPr>
          <w:color w:val="231F20"/>
          <w:spacing w:val="-3"/>
        </w:rPr>
        <w:t>којима </w:t>
      </w:r>
      <w:r>
        <w:rPr>
          <w:color w:val="231F20"/>
        </w:rPr>
        <w:t>су обављани бројни регулациони захвати </w:t>
      </w:r>
      <w:r>
        <w:rPr>
          <w:color w:val="231F20"/>
          <w:spacing w:val="-4"/>
        </w:rPr>
        <w:t>како </w:t>
      </w:r>
      <w:r>
        <w:rPr>
          <w:color w:val="231F20"/>
        </w:rPr>
        <w:t>би се ови водотоци уклопили у радове на експлоатацији копова. </w:t>
      </w:r>
      <w:r>
        <w:rPr>
          <w:color w:val="231F20"/>
          <w:spacing w:val="-5"/>
        </w:rPr>
        <w:t>Ушће </w:t>
      </w:r>
      <w:r>
        <w:rPr>
          <w:color w:val="231F20"/>
        </w:rPr>
        <w:t>Млаве је овим интервенцијама повезано непосредно са </w:t>
      </w:r>
      <w:r>
        <w:rPr>
          <w:color w:val="231F20"/>
          <w:spacing w:val="-3"/>
        </w:rPr>
        <w:t>главним коритом </w:t>
      </w:r>
      <w:r>
        <w:rPr>
          <w:color w:val="231F20"/>
        </w:rPr>
        <w:t>Дунава, док се у природном стању пре ових интервенци- ја Млава уливала у рукавац Дунавац. Због потребе хлађења ТЕ, у низводном делу Млава је регулисана двојним </w:t>
      </w:r>
      <w:r>
        <w:rPr>
          <w:color w:val="231F20"/>
          <w:spacing w:val="-3"/>
        </w:rPr>
        <w:t>коритом, </w:t>
      </w:r>
      <w:r>
        <w:rPr>
          <w:color w:val="231F20"/>
          <w:spacing w:val="-4"/>
        </w:rPr>
        <w:t>како </w:t>
      </w:r>
      <w:r>
        <w:rPr>
          <w:color w:val="231F20"/>
        </w:rPr>
        <w:t>би се обезбедио довод воде из Дунава за хлађење термоелектрана и од- </w:t>
      </w:r>
      <w:r>
        <w:rPr>
          <w:color w:val="231F20"/>
          <w:spacing w:val="-3"/>
        </w:rPr>
        <w:t>вод </w:t>
      </w:r>
      <w:r>
        <w:rPr>
          <w:color w:val="231F20"/>
        </w:rPr>
        <w:t>топле воде. </w:t>
      </w:r>
      <w:r>
        <w:rPr>
          <w:color w:val="231F20"/>
          <w:spacing w:val="-3"/>
        </w:rPr>
        <w:t>Такође, </w:t>
      </w:r>
      <w:r>
        <w:rPr>
          <w:color w:val="231F20"/>
        </w:rPr>
        <w:t>експлоатацијом угља на површинским </w:t>
      </w:r>
      <w:r>
        <w:rPr>
          <w:color w:val="231F20"/>
          <w:spacing w:val="-4"/>
        </w:rPr>
        <w:t>ко- </w:t>
      </w:r>
      <w:r>
        <w:rPr>
          <w:color w:val="231F20"/>
        </w:rPr>
        <w:t>повима значајно су промењени, и стално се </w:t>
      </w:r>
      <w:r>
        <w:rPr>
          <w:color w:val="231F20"/>
          <w:spacing w:val="-3"/>
        </w:rPr>
        <w:t>мењају, </w:t>
      </w:r>
      <w:r>
        <w:rPr>
          <w:color w:val="231F20"/>
        </w:rPr>
        <w:t>режими под- земних вода на ширем </w:t>
      </w:r>
      <w:r>
        <w:rPr>
          <w:color w:val="231F20"/>
          <w:spacing w:val="-4"/>
        </w:rPr>
        <w:t>подручју, </w:t>
      </w:r>
      <w:r>
        <w:rPr>
          <w:color w:val="231F20"/>
        </w:rPr>
        <w:t>а не само у зони</w:t>
      </w:r>
      <w:r>
        <w:rPr>
          <w:color w:val="231F20"/>
          <w:spacing w:val="-5"/>
        </w:rPr>
        <w:t> </w:t>
      </w:r>
      <w:r>
        <w:rPr>
          <w:color w:val="231F20"/>
        </w:rPr>
        <w:t>радова.</w:t>
      </w:r>
    </w:p>
    <w:p>
      <w:pPr>
        <w:pStyle w:val="BodyText"/>
        <w:spacing w:line="225" w:lineRule="auto" w:before="10"/>
        <w:ind w:left="171" w:right="38" w:firstLine="396"/>
      </w:pPr>
      <w:r>
        <w:rPr>
          <w:color w:val="231F20"/>
        </w:rPr>
        <w:t>На развијеност хидрографије утиче и читав низ дренажних канала, у оквиру система за заштиту приобаља </w:t>
      </w:r>
      <w:r>
        <w:rPr>
          <w:color w:val="231F20"/>
          <w:spacing w:val="-3"/>
        </w:rPr>
        <w:t>од </w:t>
      </w:r>
      <w:r>
        <w:rPr>
          <w:color w:val="231F20"/>
        </w:rPr>
        <w:t>утицаја успора ХЕ Ђердап. Канали за одводњавање пресецају читаво десно прио- баље Дунава, као и </w:t>
      </w:r>
      <w:r>
        <w:rPr>
          <w:color w:val="231F20"/>
          <w:spacing w:val="-3"/>
        </w:rPr>
        <w:t>Костолачку </w:t>
      </w:r>
      <w:r>
        <w:rPr>
          <w:color w:val="231F20"/>
          <w:spacing w:val="-5"/>
        </w:rPr>
        <w:t>аду, </w:t>
      </w:r>
      <w:r>
        <w:rPr>
          <w:color w:val="231F20"/>
        </w:rPr>
        <w:t>чијим се режимима</w:t>
      </w:r>
      <w:r>
        <w:rPr>
          <w:color w:val="231F20"/>
          <w:spacing w:val="-32"/>
        </w:rPr>
        <w:t> </w:t>
      </w:r>
      <w:r>
        <w:rPr>
          <w:color w:val="231F20"/>
        </w:rPr>
        <w:t>подземних вода</w:t>
      </w:r>
      <w:r>
        <w:rPr>
          <w:color w:val="231F20"/>
          <w:spacing w:val="-9"/>
        </w:rPr>
        <w:t> </w:t>
      </w:r>
      <w:r>
        <w:rPr>
          <w:color w:val="231F20"/>
        </w:rPr>
        <w:t>управља</w:t>
      </w:r>
      <w:r>
        <w:rPr>
          <w:color w:val="231F20"/>
          <w:spacing w:val="-9"/>
        </w:rPr>
        <w:t> </w:t>
      </w:r>
      <w:r>
        <w:rPr>
          <w:color w:val="231F20"/>
          <w:spacing w:val="-2"/>
        </w:rPr>
        <w:t>контролом</w:t>
      </w:r>
      <w:r>
        <w:rPr>
          <w:color w:val="231F20"/>
          <w:spacing w:val="-9"/>
        </w:rPr>
        <w:t> </w:t>
      </w:r>
      <w:r>
        <w:rPr>
          <w:color w:val="231F20"/>
        </w:rPr>
        <w:t>нивоа</w:t>
      </w:r>
      <w:r>
        <w:rPr>
          <w:color w:val="231F20"/>
          <w:spacing w:val="-9"/>
        </w:rPr>
        <w:t> </w:t>
      </w:r>
      <w:r>
        <w:rPr>
          <w:color w:val="231F20"/>
        </w:rPr>
        <w:t>воде</w:t>
      </w:r>
      <w:r>
        <w:rPr>
          <w:color w:val="231F20"/>
          <w:spacing w:val="-9"/>
        </w:rPr>
        <w:t> </w:t>
      </w:r>
      <w:r>
        <w:rPr>
          <w:color w:val="231F20"/>
        </w:rPr>
        <w:t>у</w:t>
      </w:r>
      <w:r>
        <w:rPr>
          <w:color w:val="231F20"/>
          <w:spacing w:val="-9"/>
        </w:rPr>
        <w:t> </w:t>
      </w:r>
      <w:r>
        <w:rPr>
          <w:color w:val="231F20"/>
          <w:spacing w:val="-3"/>
        </w:rPr>
        <w:t>Дунавцу,</w:t>
      </w:r>
      <w:r>
        <w:rPr>
          <w:color w:val="231F20"/>
          <w:spacing w:val="-9"/>
        </w:rPr>
        <w:t> </w:t>
      </w:r>
      <w:r>
        <w:rPr>
          <w:color w:val="231F20"/>
        </w:rPr>
        <w:t>системом</w:t>
      </w:r>
      <w:r>
        <w:rPr>
          <w:color w:val="231F20"/>
          <w:spacing w:val="-9"/>
        </w:rPr>
        <w:t> </w:t>
      </w:r>
      <w:r>
        <w:rPr>
          <w:color w:val="231F20"/>
        </w:rPr>
        <w:t>преграда и црпних станица (у даљем тексту: ЦС), а на неким местима и са- моизливним бунарима </w:t>
      </w:r>
      <w:r>
        <w:rPr>
          <w:color w:val="231F20"/>
          <w:spacing w:val="-3"/>
        </w:rPr>
        <w:t>који </w:t>
      </w:r>
      <w:r>
        <w:rPr>
          <w:color w:val="231F20"/>
        </w:rPr>
        <w:t>се налазе непосредно дуж канала, </w:t>
      </w:r>
      <w:r>
        <w:rPr>
          <w:color w:val="231F20"/>
          <w:spacing w:val="-4"/>
        </w:rPr>
        <w:t>како </w:t>
      </w:r>
      <w:r>
        <w:rPr>
          <w:color w:val="231F20"/>
        </w:rPr>
        <w:t>би</w:t>
      </w:r>
      <w:r>
        <w:rPr>
          <w:color w:val="231F20"/>
          <w:spacing w:val="-4"/>
        </w:rPr>
        <w:t> </w:t>
      </w:r>
      <w:r>
        <w:rPr>
          <w:color w:val="231F20"/>
        </w:rPr>
        <w:t>се</w:t>
      </w:r>
      <w:r>
        <w:rPr>
          <w:color w:val="231F20"/>
          <w:spacing w:val="-4"/>
        </w:rPr>
        <w:t> </w:t>
      </w:r>
      <w:r>
        <w:rPr>
          <w:color w:val="231F20"/>
        </w:rPr>
        <w:t>нивои</w:t>
      </w:r>
      <w:r>
        <w:rPr>
          <w:color w:val="231F20"/>
          <w:spacing w:val="-4"/>
        </w:rPr>
        <w:t> </w:t>
      </w:r>
      <w:r>
        <w:rPr>
          <w:color w:val="231F20"/>
        </w:rPr>
        <w:t>подземних</w:t>
      </w:r>
      <w:r>
        <w:rPr>
          <w:color w:val="231F20"/>
          <w:spacing w:val="-5"/>
        </w:rPr>
        <w:t> </w:t>
      </w:r>
      <w:r>
        <w:rPr>
          <w:color w:val="231F20"/>
        </w:rPr>
        <w:t>вода</w:t>
      </w:r>
      <w:r>
        <w:rPr>
          <w:color w:val="231F20"/>
          <w:spacing w:val="-4"/>
        </w:rPr>
        <w:t> </w:t>
      </w:r>
      <w:r>
        <w:rPr>
          <w:color w:val="231F20"/>
        </w:rPr>
        <w:t>одржавали</w:t>
      </w:r>
      <w:r>
        <w:rPr>
          <w:color w:val="231F20"/>
          <w:spacing w:val="-5"/>
        </w:rPr>
        <w:t> </w:t>
      </w:r>
      <w:r>
        <w:rPr>
          <w:color w:val="231F20"/>
        </w:rPr>
        <w:t>у</w:t>
      </w:r>
      <w:r>
        <w:rPr>
          <w:color w:val="231F20"/>
          <w:spacing w:val="-4"/>
        </w:rPr>
        <w:t> </w:t>
      </w:r>
      <w:r>
        <w:rPr>
          <w:color w:val="231F20"/>
        </w:rPr>
        <w:t>захтеваним</w:t>
      </w:r>
      <w:r>
        <w:rPr>
          <w:color w:val="231F20"/>
          <w:spacing w:val="-5"/>
        </w:rPr>
        <w:t> </w:t>
      </w:r>
      <w:r>
        <w:rPr>
          <w:color w:val="231F20"/>
        </w:rPr>
        <w:t>границама.</w:t>
      </w:r>
    </w:p>
    <w:p>
      <w:pPr>
        <w:pStyle w:val="BodyText"/>
        <w:spacing w:line="225" w:lineRule="auto" w:before="5"/>
        <w:ind w:left="172" w:right="38" w:firstLine="396"/>
      </w:pPr>
      <w:r>
        <w:rPr>
          <w:color w:val="231F20"/>
        </w:rPr>
        <w:t>Посебан проблем су неравномерни режими свих река у зони утицаја. Дунав има опсег протока </w:t>
      </w:r>
      <w:r>
        <w:rPr>
          <w:color w:val="231F20"/>
          <w:spacing w:val="-3"/>
        </w:rPr>
        <w:t>од </w:t>
      </w:r>
      <w:r>
        <w:rPr>
          <w:color w:val="231F20"/>
          <w:spacing w:val="-4"/>
        </w:rPr>
        <w:t>око </w:t>
      </w:r>
      <w:r>
        <w:rPr>
          <w:color w:val="231F20"/>
        </w:rPr>
        <w:t>1.200 m³/s у периодима екстремно малих вода, па до </w:t>
      </w:r>
      <w:r>
        <w:rPr>
          <w:color w:val="231F20"/>
          <w:spacing w:val="-4"/>
        </w:rPr>
        <w:t>око </w:t>
      </w:r>
      <w:r>
        <w:rPr>
          <w:color w:val="231F20"/>
        </w:rPr>
        <w:t>17.000 m³/s </w:t>
      </w:r>
      <w:r>
        <w:rPr>
          <w:color w:val="231F20"/>
          <w:spacing w:val="-5"/>
        </w:rPr>
        <w:t>колико </w:t>
      </w:r>
      <w:r>
        <w:rPr>
          <w:color w:val="231F20"/>
        </w:rPr>
        <w:t>износи велика вода вероватноће 1%. Протоци Велике Мораве су опсегу </w:t>
      </w:r>
      <w:r>
        <w:rPr>
          <w:color w:val="231F20"/>
          <w:spacing w:val="-3"/>
        </w:rPr>
        <w:t>од </w:t>
      </w:r>
      <w:r>
        <w:rPr>
          <w:color w:val="231F20"/>
          <w:spacing w:val="-4"/>
        </w:rPr>
        <w:t>око </w:t>
      </w:r>
      <w:r>
        <w:rPr>
          <w:color w:val="231F20"/>
        </w:rPr>
        <w:t>30 m³/s у периоду маловођа, па до </w:t>
      </w:r>
      <w:r>
        <w:rPr>
          <w:color w:val="231F20"/>
          <w:spacing w:val="-4"/>
        </w:rPr>
        <w:t>око </w:t>
      </w:r>
      <w:r>
        <w:rPr>
          <w:color w:val="231F20"/>
        </w:rPr>
        <w:t>3.000 m³/s </w:t>
      </w:r>
      <w:r>
        <w:rPr>
          <w:color w:val="231F20"/>
          <w:spacing w:val="-5"/>
        </w:rPr>
        <w:t>колико </w:t>
      </w:r>
      <w:r>
        <w:rPr>
          <w:color w:val="231F20"/>
        </w:rPr>
        <w:t>износи поводањ вероватноће 1%, </w:t>
      </w:r>
      <w:r>
        <w:rPr>
          <w:color w:val="231F20"/>
          <w:spacing w:val="-3"/>
        </w:rPr>
        <w:t>од кога </w:t>
      </w:r>
      <w:r>
        <w:rPr>
          <w:color w:val="231F20"/>
        </w:rPr>
        <w:t>треба штитити читаво моравско приобаље. Млава је бујични водоток, у </w:t>
      </w:r>
      <w:r>
        <w:rPr>
          <w:color w:val="231F20"/>
          <w:spacing w:val="-4"/>
        </w:rPr>
        <w:t>коме </w:t>
      </w:r>
      <w:r>
        <w:rPr>
          <w:color w:val="231F20"/>
        </w:rPr>
        <w:t>се опсези малих и ве- ликих вода пењу до </w:t>
      </w:r>
      <w:r>
        <w:rPr>
          <w:color w:val="231F20"/>
          <w:spacing w:val="-4"/>
        </w:rPr>
        <w:t>око </w:t>
      </w:r>
      <w:r>
        <w:rPr>
          <w:color w:val="231F20"/>
        </w:rPr>
        <w:t>1:1000, </w:t>
      </w:r>
      <w:r>
        <w:rPr>
          <w:color w:val="231F20"/>
          <w:spacing w:val="-3"/>
        </w:rPr>
        <w:t>од </w:t>
      </w:r>
      <w:r>
        <w:rPr>
          <w:color w:val="231F20"/>
        </w:rPr>
        <w:t>протока </w:t>
      </w:r>
      <w:r>
        <w:rPr>
          <w:color w:val="231F20"/>
          <w:spacing w:val="-3"/>
        </w:rPr>
        <w:t>који </w:t>
      </w:r>
      <w:r>
        <w:rPr>
          <w:color w:val="231F20"/>
        </w:rPr>
        <w:t>је </w:t>
      </w:r>
      <w:r>
        <w:rPr>
          <w:color w:val="231F20"/>
          <w:spacing w:val="-4"/>
        </w:rPr>
        <w:t>око </w:t>
      </w:r>
      <w:r>
        <w:rPr>
          <w:color w:val="231F20"/>
        </w:rPr>
        <w:t>0,4 m³/s у </w:t>
      </w:r>
      <w:r>
        <w:rPr>
          <w:color w:val="231F20"/>
          <w:spacing w:val="-3"/>
        </w:rPr>
        <w:t>маловођу, </w:t>
      </w:r>
      <w:r>
        <w:rPr>
          <w:color w:val="231F20"/>
        </w:rPr>
        <w:t>па до поводања и </w:t>
      </w:r>
      <w:r>
        <w:rPr>
          <w:color w:val="231F20"/>
          <w:spacing w:val="-3"/>
        </w:rPr>
        <w:t>од </w:t>
      </w:r>
      <w:r>
        <w:rPr>
          <w:color w:val="231F20"/>
          <w:spacing w:val="-4"/>
        </w:rPr>
        <w:t>око </w:t>
      </w:r>
      <w:r>
        <w:rPr>
          <w:color w:val="231F20"/>
        </w:rPr>
        <w:t>400 m³/s. Још су неповољнији режими на малим бујичним</w:t>
      </w:r>
      <w:r>
        <w:rPr>
          <w:color w:val="231F20"/>
          <w:spacing w:val="-5"/>
        </w:rPr>
        <w:t> </w:t>
      </w:r>
      <w:r>
        <w:rPr>
          <w:color w:val="231F20"/>
        </w:rPr>
        <w:t>рекама.</w:t>
      </w:r>
    </w:p>
    <w:p>
      <w:pPr>
        <w:pStyle w:val="BodyText"/>
        <w:spacing w:line="232" w:lineRule="auto" w:before="74"/>
        <w:ind w:right="408" w:firstLine="396"/>
      </w:pPr>
      <w:r>
        <w:rPr/>
        <w:br w:type="column"/>
      </w:r>
      <w:r>
        <w:rPr>
          <w:color w:val="231F20"/>
        </w:rPr>
        <w:t>Закључци</w:t>
      </w:r>
      <w:r>
        <w:rPr>
          <w:color w:val="231F20"/>
          <w:spacing w:val="-7"/>
        </w:rPr>
        <w:t> </w:t>
      </w:r>
      <w:r>
        <w:rPr>
          <w:color w:val="231F20"/>
        </w:rPr>
        <w:t>анализе</w:t>
      </w:r>
      <w:r>
        <w:rPr>
          <w:color w:val="231F20"/>
          <w:spacing w:val="-7"/>
        </w:rPr>
        <w:t> </w:t>
      </w:r>
      <w:r>
        <w:rPr>
          <w:color w:val="231F20"/>
        </w:rPr>
        <w:t>режима</w:t>
      </w:r>
      <w:r>
        <w:rPr>
          <w:color w:val="231F20"/>
          <w:spacing w:val="-7"/>
        </w:rPr>
        <w:t> </w:t>
      </w:r>
      <w:r>
        <w:rPr>
          <w:color w:val="231F20"/>
        </w:rPr>
        <w:t>подземних</w:t>
      </w:r>
      <w:r>
        <w:rPr>
          <w:color w:val="231F20"/>
          <w:spacing w:val="-7"/>
        </w:rPr>
        <w:t> </w:t>
      </w:r>
      <w:r>
        <w:rPr>
          <w:color w:val="231F20"/>
        </w:rPr>
        <w:t>вода:</w:t>
      </w:r>
      <w:r>
        <w:rPr>
          <w:color w:val="231F20"/>
          <w:spacing w:val="-7"/>
        </w:rPr>
        <w:t> </w:t>
      </w:r>
      <w:r>
        <w:rPr>
          <w:color w:val="231F20"/>
        </w:rPr>
        <w:t>ради</w:t>
      </w:r>
      <w:r>
        <w:rPr>
          <w:color w:val="231F20"/>
          <w:spacing w:val="-7"/>
        </w:rPr>
        <w:t> </w:t>
      </w:r>
      <w:r>
        <w:rPr>
          <w:color w:val="231F20"/>
        </w:rPr>
        <w:t>се</w:t>
      </w:r>
      <w:r>
        <w:rPr>
          <w:color w:val="231F20"/>
          <w:spacing w:val="-7"/>
        </w:rPr>
        <w:t> </w:t>
      </w:r>
      <w:r>
        <w:rPr>
          <w:color w:val="231F20"/>
        </w:rPr>
        <w:t>о</w:t>
      </w:r>
      <w:r>
        <w:rPr>
          <w:color w:val="231F20"/>
          <w:spacing w:val="-7"/>
        </w:rPr>
        <w:t> </w:t>
      </w:r>
      <w:r>
        <w:rPr>
          <w:color w:val="231F20"/>
        </w:rPr>
        <w:t>подруч- ју </w:t>
      </w:r>
      <w:r>
        <w:rPr>
          <w:color w:val="231F20"/>
          <w:spacing w:val="-3"/>
        </w:rPr>
        <w:t>које </w:t>
      </w:r>
      <w:r>
        <w:rPr>
          <w:color w:val="231F20"/>
        </w:rPr>
        <w:t>је богато подземним водама; радовима на коповима и дре- нажним радовима дошло је до обарања нивоа подземних вода у зони не само копова, већ и </w:t>
      </w:r>
      <w:r>
        <w:rPr>
          <w:color w:val="231F20"/>
          <w:spacing w:val="-3"/>
        </w:rPr>
        <w:t>околних </w:t>
      </w:r>
      <w:r>
        <w:rPr>
          <w:color w:val="231F20"/>
        </w:rPr>
        <w:t>подземних аквифера; долази до снижавања нивоа подземних вода и у алувијалним аквиферима у доњем току Велике Мораве; и у зони одлагалишта и пепелишта дошло је до погоршања квалитета подземних вода. </w:t>
      </w:r>
      <w:r>
        <w:rPr>
          <w:color w:val="231F20"/>
          <w:spacing w:val="-3"/>
        </w:rPr>
        <w:t>Ти </w:t>
      </w:r>
      <w:r>
        <w:rPr>
          <w:color w:val="231F20"/>
        </w:rPr>
        <w:t>феномени су битни са становишта хидротехничких решења, посебно у обла- сти снабдевања</w:t>
      </w:r>
      <w:r>
        <w:rPr>
          <w:color w:val="231F20"/>
          <w:spacing w:val="-2"/>
        </w:rPr>
        <w:t> водом.</w:t>
      </w:r>
    </w:p>
    <w:p>
      <w:pPr>
        <w:pStyle w:val="BodyText"/>
        <w:spacing w:line="232" w:lineRule="auto"/>
        <w:ind w:left="171" w:right="407" w:firstLine="396"/>
      </w:pPr>
      <w:r>
        <w:rPr>
          <w:color w:val="231F20"/>
        </w:rPr>
        <w:t>У широј зони Планског подручја снабдевање водом се оба- вља из Пожаревачког водовода (ПВ), који је прерастао у велики подсистем будућег Моравско-млавског регионалног система. Из њега се снабдевају Пожаревац и Костолац, као и села Ћирковац, Кленовник, Петка, село Костолац и Дрмно. Изворишта ПВ су: 1)</w:t>
      </w:r>
    </w:p>
    <w:p>
      <w:pPr>
        <w:pStyle w:val="BodyText"/>
        <w:spacing w:line="232" w:lineRule="auto"/>
        <w:ind w:right="408"/>
      </w:pPr>
      <w:r>
        <w:rPr>
          <w:color w:val="231F20"/>
        </w:rPr>
        <w:t>„Кључ”, у моравском </w:t>
      </w:r>
      <w:r>
        <w:rPr>
          <w:color w:val="231F20"/>
          <w:spacing w:val="-3"/>
        </w:rPr>
        <w:t>алувиону, </w:t>
      </w:r>
      <w:r>
        <w:rPr>
          <w:color w:val="231F20"/>
        </w:rPr>
        <w:t>капацитета </w:t>
      </w:r>
      <w:r>
        <w:rPr>
          <w:color w:val="231F20"/>
          <w:spacing w:val="-4"/>
        </w:rPr>
        <w:t>око </w:t>
      </w:r>
      <w:r>
        <w:rPr>
          <w:color w:val="231F20"/>
        </w:rPr>
        <w:t>300 l/s; 2) извори- ште</w:t>
      </w:r>
      <w:r>
        <w:rPr>
          <w:color w:val="231F20"/>
          <w:spacing w:val="-5"/>
        </w:rPr>
        <w:t> </w:t>
      </w:r>
      <w:r>
        <w:rPr>
          <w:color w:val="231F20"/>
        </w:rPr>
        <w:t>„Ловац”,</w:t>
      </w:r>
      <w:r>
        <w:rPr>
          <w:color w:val="231F20"/>
          <w:spacing w:val="-5"/>
        </w:rPr>
        <w:t> </w:t>
      </w:r>
      <w:r>
        <w:rPr>
          <w:color w:val="231F20"/>
        </w:rPr>
        <w:t>у</w:t>
      </w:r>
      <w:r>
        <w:rPr>
          <w:color w:val="231F20"/>
          <w:spacing w:val="-5"/>
        </w:rPr>
        <w:t> </w:t>
      </w:r>
      <w:r>
        <w:rPr>
          <w:color w:val="231F20"/>
        </w:rPr>
        <w:t>алувиону</w:t>
      </w:r>
      <w:r>
        <w:rPr>
          <w:color w:val="231F20"/>
          <w:spacing w:val="-5"/>
        </w:rPr>
        <w:t> </w:t>
      </w:r>
      <w:r>
        <w:rPr>
          <w:color w:val="231F20"/>
        </w:rPr>
        <w:t>Дунава</w:t>
      </w:r>
      <w:r>
        <w:rPr>
          <w:color w:val="231F20"/>
          <w:spacing w:val="-5"/>
        </w:rPr>
        <w:t> </w:t>
      </w:r>
      <w:r>
        <w:rPr>
          <w:color w:val="231F20"/>
        </w:rPr>
        <w:t>капацитета</w:t>
      </w:r>
      <w:r>
        <w:rPr>
          <w:color w:val="231F20"/>
          <w:spacing w:val="-5"/>
        </w:rPr>
        <w:t> </w:t>
      </w:r>
      <w:r>
        <w:rPr>
          <w:color w:val="231F20"/>
          <w:spacing w:val="-4"/>
        </w:rPr>
        <w:t>око</w:t>
      </w:r>
      <w:r>
        <w:rPr>
          <w:color w:val="231F20"/>
          <w:spacing w:val="-5"/>
        </w:rPr>
        <w:t> </w:t>
      </w:r>
      <w:r>
        <w:rPr>
          <w:color w:val="231F20"/>
        </w:rPr>
        <w:t>100</w:t>
      </w:r>
      <w:r>
        <w:rPr>
          <w:color w:val="231F20"/>
          <w:spacing w:val="-5"/>
        </w:rPr>
        <w:t> </w:t>
      </w:r>
      <w:r>
        <w:rPr>
          <w:color w:val="231F20"/>
        </w:rPr>
        <w:t>l/s;</w:t>
      </w:r>
      <w:r>
        <w:rPr>
          <w:color w:val="231F20"/>
          <w:spacing w:val="-5"/>
        </w:rPr>
        <w:t> </w:t>
      </w:r>
      <w:r>
        <w:rPr>
          <w:color w:val="231F20"/>
        </w:rPr>
        <w:t>3)</w:t>
      </w:r>
      <w:r>
        <w:rPr>
          <w:color w:val="231F20"/>
          <w:spacing w:val="-5"/>
        </w:rPr>
        <w:t> </w:t>
      </w:r>
      <w:r>
        <w:rPr>
          <w:color w:val="231F20"/>
        </w:rPr>
        <w:t>извори- ште „Меминац” крај В. Мораве сада се не користи због погорша- ња квалитета; 4) извориште „Петка” у ширем приобаљу Дунавца, </w:t>
      </w:r>
      <w:r>
        <w:rPr>
          <w:color w:val="231F20"/>
          <w:spacing w:val="-3"/>
        </w:rPr>
        <w:t>које </w:t>
      </w:r>
      <w:r>
        <w:rPr>
          <w:color w:val="231F20"/>
        </w:rPr>
        <w:t>је једно </w:t>
      </w:r>
      <w:r>
        <w:rPr>
          <w:color w:val="231F20"/>
          <w:spacing w:val="-3"/>
        </w:rPr>
        <w:t>од </w:t>
      </w:r>
      <w:r>
        <w:rPr>
          <w:color w:val="231F20"/>
        </w:rPr>
        <w:t>значајних изворишта у овом делу Србије, али је угрожено</w:t>
      </w:r>
      <w:r>
        <w:rPr>
          <w:color w:val="231F20"/>
          <w:spacing w:val="-10"/>
        </w:rPr>
        <w:t> </w:t>
      </w:r>
      <w:r>
        <w:rPr>
          <w:color w:val="231F20"/>
        </w:rPr>
        <w:t>због</w:t>
      </w:r>
      <w:r>
        <w:rPr>
          <w:color w:val="231F20"/>
          <w:spacing w:val="-10"/>
        </w:rPr>
        <w:t> </w:t>
      </w:r>
      <w:r>
        <w:rPr>
          <w:color w:val="231F20"/>
        </w:rPr>
        <w:t>погоршаног</w:t>
      </w:r>
      <w:r>
        <w:rPr>
          <w:color w:val="231F20"/>
          <w:spacing w:val="-10"/>
        </w:rPr>
        <w:t> </w:t>
      </w:r>
      <w:r>
        <w:rPr>
          <w:color w:val="231F20"/>
        </w:rPr>
        <w:t>квалитета</w:t>
      </w:r>
      <w:r>
        <w:rPr>
          <w:color w:val="231F20"/>
          <w:spacing w:val="-10"/>
        </w:rPr>
        <w:t> </w:t>
      </w:r>
      <w:r>
        <w:rPr>
          <w:color w:val="231F20"/>
        </w:rPr>
        <w:t>воде;</w:t>
      </w:r>
      <w:r>
        <w:rPr>
          <w:color w:val="231F20"/>
          <w:spacing w:val="-10"/>
        </w:rPr>
        <w:t> </w:t>
      </w:r>
      <w:r>
        <w:rPr>
          <w:color w:val="231F20"/>
        </w:rPr>
        <w:t>5)</w:t>
      </w:r>
      <w:r>
        <w:rPr>
          <w:color w:val="231F20"/>
          <w:spacing w:val="-10"/>
        </w:rPr>
        <w:t> </w:t>
      </w:r>
      <w:r>
        <w:rPr>
          <w:color w:val="231F20"/>
        </w:rPr>
        <w:t>извориште</w:t>
      </w:r>
      <w:r>
        <w:rPr>
          <w:color w:val="231F20"/>
          <w:spacing w:val="-10"/>
        </w:rPr>
        <w:t> </w:t>
      </w:r>
      <w:r>
        <w:rPr>
          <w:color w:val="231F20"/>
        </w:rPr>
        <w:t>„Забела”; и 6) извориште „Јагодица” на </w:t>
      </w:r>
      <w:r>
        <w:rPr>
          <w:color w:val="231F20"/>
          <w:spacing w:val="-3"/>
        </w:rPr>
        <w:t>Горњем </w:t>
      </w:r>
      <w:r>
        <w:rPr>
          <w:color w:val="231F20"/>
          <w:spacing w:val="-4"/>
        </w:rPr>
        <w:t>Костолачком острву, </w:t>
      </w:r>
      <w:r>
        <w:rPr>
          <w:color w:val="231F20"/>
          <w:spacing w:val="-3"/>
        </w:rPr>
        <w:t>које </w:t>
      </w:r>
      <w:r>
        <w:rPr>
          <w:color w:val="231F20"/>
        </w:rPr>
        <w:t>је предвиђено Генералним пројектом као извориште </w:t>
      </w:r>
      <w:r>
        <w:rPr>
          <w:color w:val="231F20"/>
          <w:spacing w:val="-3"/>
        </w:rPr>
        <w:t>које </w:t>
      </w:r>
      <w:r>
        <w:rPr>
          <w:color w:val="231F20"/>
        </w:rPr>
        <w:t>ће се акти- вирати </w:t>
      </w:r>
      <w:r>
        <w:rPr>
          <w:color w:val="231F20"/>
          <w:spacing w:val="-3"/>
        </w:rPr>
        <w:t>након </w:t>
      </w:r>
      <w:r>
        <w:rPr>
          <w:color w:val="231F20"/>
        </w:rPr>
        <w:t>2015.</w:t>
      </w:r>
      <w:r>
        <w:rPr>
          <w:color w:val="231F20"/>
          <w:spacing w:val="2"/>
        </w:rPr>
        <w:t> </w:t>
      </w:r>
      <w:r>
        <w:rPr>
          <w:color w:val="231F20"/>
          <w:spacing w:val="-3"/>
        </w:rPr>
        <w:t>године.</w:t>
      </w:r>
    </w:p>
    <w:p>
      <w:pPr>
        <w:pStyle w:val="BodyText"/>
        <w:spacing w:line="232" w:lineRule="auto"/>
        <w:ind w:left="123" w:right="407" w:firstLine="396"/>
        <w:jc w:val="right"/>
      </w:pPr>
      <w:r>
        <w:rPr>
          <w:color w:val="231F20"/>
        </w:rPr>
        <w:t>Основни проблеми у снабдевању водом градског насеља По- жаревца су: флуктуација издашности изворишта, зависно од стања нивоа у Морави; снижење нивоа подземне воде у моравском алу- виону; недостатак воде, посебно лети, када се потрошња повећа за око 150 l/s, а значајно се смањује издашност бунара на изво- ришту „Кључ”; погоршање квалитета; и недостатак резервоарског простора, што не обезбеђује неопходну хидрауличку стабилност система, у маловодним и хаваријским ситуацијама. Процењује се (у дану максималне потрошње) да су данашње потребе за водом града Пожаревца 280÷350 l/s, односно 410÷560 l/s за 2022. годину. Поред ПВ као регионалног подсистема, постоји и локални водовод насеља Брадарац, а у изградњи су водоводи у Маљуревцу и Бубушинцу. Локално извориште у приобаљу Млаве за село Дрм- но и село Костолац се не користи због прекорачења МДК. Предви- ђене се ревитализација овог изворишта, као и изградња локалног</w:t>
      </w:r>
    </w:p>
    <w:p>
      <w:pPr>
        <w:pStyle w:val="BodyText"/>
        <w:spacing w:line="189" w:lineRule="exact"/>
        <w:ind w:left="171"/>
        <w:jc w:val="left"/>
      </w:pPr>
      <w:r>
        <w:rPr>
          <w:color w:val="231F20"/>
        </w:rPr>
        <w:t>водовода села Кличевца.</w:t>
      </w:r>
    </w:p>
    <w:p>
      <w:pPr>
        <w:pStyle w:val="BodyText"/>
        <w:spacing w:line="232" w:lineRule="auto"/>
        <w:ind w:left="171" w:right="407" w:firstLine="396"/>
      </w:pPr>
      <w:r>
        <w:rPr>
          <w:color w:val="231F20"/>
        </w:rPr>
        <w:t>Пошто се Планско подручје снабдева искључиво из подзем- них изворишта, веће зоне су угрожене због деловања три антро- погена утицаја: 1) обарања нивоа подземних вода услед деловања </w:t>
      </w:r>
      <w:r>
        <w:rPr>
          <w:color w:val="231F20"/>
          <w:spacing w:val="-3"/>
        </w:rPr>
        <w:t>копова  </w:t>
      </w:r>
      <w:r>
        <w:rPr>
          <w:color w:val="231F20"/>
        </w:rPr>
        <w:t>и дренажних система; 2) неповољног утицаја пепелишта  и одлагалишта на квалитет подземних вода; и 3) лоше санитације насеља, </w:t>
      </w:r>
      <w:r>
        <w:rPr>
          <w:color w:val="231F20"/>
          <w:spacing w:val="-3"/>
        </w:rPr>
        <w:t>која </w:t>
      </w:r>
      <w:r>
        <w:rPr>
          <w:color w:val="231F20"/>
        </w:rPr>
        <w:t>отпадним водама угрожавају локална</w:t>
      </w:r>
      <w:r>
        <w:rPr>
          <w:color w:val="231F20"/>
          <w:spacing w:val="-14"/>
        </w:rPr>
        <w:t> </w:t>
      </w:r>
      <w:r>
        <w:rPr>
          <w:color w:val="231F20"/>
        </w:rPr>
        <w:t>изворишта.</w:t>
      </w:r>
    </w:p>
    <w:p>
      <w:pPr>
        <w:pStyle w:val="BodyText"/>
        <w:spacing w:line="232" w:lineRule="auto"/>
        <w:ind w:left="172" w:right="406" w:firstLine="396"/>
      </w:pPr>
      <w:r>
        <w:rPr>
          <w:color w:val="231F20"/>
        </w:rPr>
        <w:t>Канализационе системе имају само Пожаревац и </w:t>
      </w:r>
      <w:r>
        <w:rPr>
          <w:color w:val="231F20"/>
          <w:spacing w:val="-3"/>
        </w:rPr>
        <w:t>Костолац. </w:t>
      </w:r>
      <w:r>
        <w:rPr>
          <w:color w:val="231F20"/>
        </w:rPr>
        <w:t>Системи су сепарациони. Отпадне </w:t>
      </w:r>
      <w:r>
        <w:rPr>
          <w:color w:val="231F20"/>
          <w:spacing w:val="-3"/>
        </w:rPr>
        <w:t>воде </w:t>
      </w:r>
      <w:r>
        <w:rPr>
          <w:color w:val="231F20"/>
        </w:rPr>
        <w:t>из Пожаревца се </w:t>
      </w:r>
      <w:r>
        <w:rPr>
          <w:color w:val="231F20"/>
          <w:spacing w:val="-3"/>
        </w:rPr>
        <w:t>одводе</w:t>
      </w:r>
      <w:r>
        <w:rPr>
          <w:color w:val="231F20"/>
          <w:spacing w:val="-32"/>
        </w:rPr>
        <w:t> </w:t>
      </w:r>
      <w:r>
        <w:rPr>
          <w:color w:val="231F20"/>
        </w:rPr>
        <w:t>до постројења</w:t>
      </w:r>
      <w:r>
        <w:rPr>
          <w:color w:val="231F20"/>
          <w:spacing w:val="-14"/>
        </w:rPr>
        <w:t> </w:t>
      </w:r>
      <w:r>
        <w:rPr>
          <w:color w:val="231F20"/>
        </w:rPr>
        <w:t>за</w:t>
      </w:r>
      <w:r>
        <w:rPr>
          <w:color w:val="231F20"/>
          <w:spacing w:val="-14"/>
        </w:rPr>
        <w:t> </w:t>
      </w:r>
      <w:r>
        <w:rPr>
          <w:color w:val="231F20"/>
        </w:rPr>
        <w:t>пречишћавање</w:t>
      </w:r>
      <w:r>
        <w:rPr>
          <w:color w:val="231F20"/>
          <w:spacing w:val="-14"/>
        </w:rPr>
        <w:t> </w:t>
      </w:r>
      <w:r>
        <w:rPr>
          <w:color w:val="231F20"/>
        </w:rPr>
        <w:t>отпадне</w:t>
      </w:r>
      <w:r>
        <w:rPr>
          <w:color w:val="231F20"/>
          <w:spacing w:val="-14"/>
        </w:rPr>
        <w:t> </w:t>
      </w:r>
      <w:r>
        <w:rPr>
          <w:color w:val="231F20"/>
          <w:spacing w:val="-3"/>
        </w:rPr>
        <w:t>воде</w:t>
      </w:r>
      <w:r>
        <w:rPr>
          <w:color w:val="231F20"/>
          <w:spacing w:val="-14"/>
        </w:rPr>
        <w:t> </w:t>
      </w:r>
      <w:r>
        <w:rPr>
          <w:color w:val="231F20"/>
        </w:rPr>
        <w:t>(у</w:t>
      </w:r>
      <w:r>
        <w:rPr>
          <w:color w:val="231F20"/>
          <w:spacing w:val="-14"/>
        </w:rPr>
        <w:t> </w:t>
      </w:r>
      <w:r>
        <w:rPr>
          <w:color w:val="231F20"/>
        </w:rPr>
        <w:t>даљем</w:t>
      </w:r>
      <w:r>
        <w:rPr>
          <w:color w:val="231F20"/>
          <w:spacing w:val="-14"/>
        </w:rPr>
        <w:t> </w:t>
      </w:r>
      <w:r>
        <w:rPr>
          <w:color w:val="231F20"/>
          <w:spacing w:val="-3"/>
        </w:rPr>
        <w:t>тексту:</w:t>
      </w:r>
      <w:r>
        <w:rPr>
          <w:color w:val="231F20"/>
          <w:spacing w:val="-14"/>
        </w:rPr>
        <w:t> </w:t>
      </w:r>
      <w:r>
        <w:rPr>
          <w:color w:val="231F20"/>
        </w:rPr>
        <w:t>ППОВ) поред </w:t>
      </w:r>
      <w:r>
        <w:rPr>
          <w:color w:val="231F20"/>
          <w:spacing w:val="-3"/>
        </w:rPr>
        <w:t>хиподрома. </w:t>
      </w:r>
      <w:r>
        <w:rPr>
          <w:color w:val="231F20"/>
        </w:rPr>
        <w:t>У ППОВ, </w:t>
      </w:r>
      <w:r>
        <w:rPr>
          <w:color w:val="231F20"/>
          <w:spacing w:val="-4"/>
        </w:rPr>
        <w:t>које </w:t>
      </w:r>
      <w:r>
        <w:rPr>
          <w:color w:val="231F20"/>
        </w:rPr>
        <w:t>има </w:t>
      </w:r>
      <w:r>
        <w:rPr>
          <w:color w:val="231F20"/>
          <w:spacing w:val="-3"/>
        </w:rPr>
        <w:t>механичко </w:t>
      </w:r>
      <w:r>
        <w:rPr>
          <w:color w:val="231F20"/>
        </w:rPr>
        <w:t>и </w:t>
      </w:r>
      <w:r>
        <w:rPr>
          <w:color w:val="231F20"/>
          <w:spacing w:val="-3"/>
        </w:rPr>
        <w:t>биолошко</w:t>
      </w:r>
      <w:r>
        <w:rPr>
          <w:color w:val="231F20"/>
          <w:spacing w:val="-32"/>
        </w:rPr>
        <w:t> </w:t>
      </w:r>
      <w:r>
        <w:rPr>
          <w:color w:val="231F20"/>
        </w:rPr>
        <w:t>пречи- шћавање </w:t>
      </w:r>
      <w:r>
        <w:rPr>
          <w:color w:val="231F20"/>
          <w:spacing w:val="-2"/>
        </w:rPr>
        <w:t>доводе </w:t>
      </w:r>
      <w:r>
        <w:rPr>
          <w:color w:val="231F20"/>
        </w:rPr>
        <w:t>се и отпадне </w:t>
      </w:r>
      <w:r>
        <w:rPr>
          <w:color w:val="231F20"/>
          <w:spacing w:val="-3"/>
        </w:rPr>
        <w:t>воде </w:t>
      </w:r>
      <w:r>
        <w:rPr>
          <w:color w:val="231F20"/>
        </w:rPr>
        <w:t>из индустријског дела града и насеља Забеле. Систем нема довољни </w:t>
      </w:r>
      <w:r>
        <w:rPr>
          <w:color w:val="231F20"/>
          <w:spacing w:val="-5"/>
        </w:rPr>
        <w:t>обухват, </w:t>
      </w:r>
      <w:r>
        <w:rPr>
          <w:color w:val="231F20"/>
        </w:rPr>
        <w:t>те је потребно ње- </w:t>
      </w:r>
      <w:r>
        <w:rPr>
          <w:color w:val="231F20"/>
          <w:spacing w:val="-3"/>
        </w:rPr>
        <w:t>гово </w:t>
      </w:r>
      <w:r>
        <w:rPr>
          <w:color w:val="231F20"/>
        </w:rPr>
        <w:t>ширење, посебно секундарне мреже и нове пумпне станице (у даљем </w:t>
      </w:r>
      <w:r>
        <w:rPr>
          <w:color w:val="231F20"/>
          <w:spacing w:val="-3"/>
        </w:rPr>
        <w:t>тексту: </w:t>
      </w:r>
      <w:r>
        <w:rPr>
          <w:color w:val="231F20"/>
        </w:rPr>
        <w:t>ПС). Пречишћене </w:t>
      </w:r>
      <w:r>
        <w:rPr>
          <w:color w:val="231F20"/>
          <w:spacing w:val="-3"/>
        </w:rPr>
        <w:t>воде </w:t>
      </w:r>
      <w:r>
        <w:rPr>
          <w:color w:val="231F20"/>
        </w:rPr>
        <w:t>упуштају се у Брежански канал, </w:t>
      </w:r>
      <w:r>
        <w:rPr>
          <w:color w:val="231F20"/>
          <w:spacing w:val="-4"/>
        </w:rPr>
        <w:t>који </w:t>
      </w:r>
      <w:r>
        <w:rPr>
          <w:color w:val="231F20"/>
        </w:rPr>
        <w:t>се </w:t>
      </w:r>
      <w:r>
        <w:rPr>
          <w:color w:val="231F20"/>
          <w:spacing w:val="-3"/>
        </w:rPr>
        <w:t>улива </w:t>
      </w:r>
      <w:r>
        <w:rPr>
          <w:color w:val="231F20"/>
        </w:rPr>
        <w:t>у Велику </w:t>
      </w:r>
      <w:r>
        <w:rPr>
          <w:color w:val="231F20"/>
          <w:spacing w:val="-6"/>
        </w:rPr>
        <w:t>Мораву. </w:t>
      </w:r>
      <w:r>
        <w:rPr>
          <w:color w:val="231F20"/>
        </w:rPr>
        <w:t>Систем кишне канализације покрива само </w:t>
      </w:r>
      <w:r>
        <w:rPr>
          <w:color w:val="231F20"/>
          <w:spacing w:val="-3"/>
        </w:rPr>
        <w:t>уже градско </w:t>
      </w:r>
      <w:r>
        <w:rPr>
          <w:color w:val="231F20"/>
        </w:rPr>
        <w:t>језгро. Са четири </w:t>
      </w:r>
      <w:r>
        <w:rPr>
          <w:color w:val="231F20"/>
          <w:spacing w:val="-3"/>
        </w:rPr>
        <w:t>главна колектора воде </w:t>
      </w:r>
      <w:r>
        <w:rPr>
          <w:color w:val="231F20"/>
        </w:rPr>
        <w:t>се </w:t>
      </w:r>
      <w:r>
        <w:rPr>
          <w:color w:val="231F20"/>
          <w:spacing w:val="-3"/>
        </w:rPr>
        <w:t>одводе </w:t>
      </w:r>
      <w:r>
        <w:rPr>
          <w:color w:val="231F20"/>
        </w:rPr>
        <w:t>у Брежански канал и </w:t>
      </w:r>
      <w:r>
        <w:rPr>
          <w:color w:val="231F20"/>
          <w:spacing w:val="-3"/>
        </w:rPr>
        <w:t>преко </w:t>
      </w:r>
      <w:r>
        <w:rPr>
          <w:color w:val="231F20"/>
        </w:rPr>
        <w:t>њега у</w:t>
      </w:r>
      <w:r>
        <w:rPr>
          <w:color w:val="231F20"/>
          <w:spacing w:val="-15"/>
        </w:rPr>
        <w:t> </w:t>
      </w:r>
      <w:r>
        <w:rPr>
          <w:color w:val="231F20"/>
          <w:spacing w:val="-6"/>
        </w:rPr>
        <w:t>Мораву.</w:t>
      </w:r>
    </w:p>
    <w:p>
      <w:pPr>
        <w:pStyle w:val="BodyText"/>
        <w:spacing w:line="232" w:lineRule="auto"/>
        <w:ind w:left="172" w:right="406" w:firstLine="396"/>
      </w:pPr>
      <w:r>
        <w:rPr>
          <w:color w:val="231F20"/>
        </w:rPr>
        <w:t>Стање квалитета воде на све три реке је неповољније од ста- ња које се захтева стратешким планским документима (IIa класа).</w:t>
      </w:r>
    </w:p>
    <w:p>
      <w:pPr>
        <w:pStyle w:val="BodyText"/>
        <w:spacing w:line="232" w:lineRule="auto"/>
        <w:ind w:left="172" w:right="405" w:firstLine="396"/>
      </w:pPr>
      <w:r>
        <w:rPr>
          <w:color w:val="231F20"/>
        </w:rPr>
        <w:t>Потребе индустрије за </w:t>
      </w:r>
      <w:r>
        <w:rPr>
          <w:color w:val="231F20"/>
          <w:spacing w:val="-3"/>
        </w:rPr>
        <w:t>водом </w:t>
      </w:r>
      <w:r>
        <w:rPr>
          <w:color w:val="231F20"/>
        </w:rPr>
        <w:t>се обезбеђују двојако: 1) из по- стојећих водовода, када се тражи вода квалитета воде за пиће, 2) из властитих водозахвата (МПИ). Највећи потрошачи технолошке воде</w:t>
      </w:r>
      <w:r>
        <w:rPr>
          <w:color w:val="231F20"/>
          <w:spacing w:val="-4"/>
        </w:rPr>
        <w:t> </w:t>
      </w:r>
      <w:r>
        <w:rPr>
          <w:color w:val="231F20"/>
        </w:rPr>
        <w:t>су</w:t>
      </w:r>
      <w:r>
        <w:rPr>
          <w:color w:val="231F20"/>
          <w:spacing w:val="-4"/>
        </w:rPr>
        <w:t> </w:t>
      </w:r>
      <w:r>
        <w:rPr>
          <w:color w:val="231F20"/>
        </w:rPr>
        <w:t>ТЕ</w:t>
      </w:r>
      <w:r>
        <w:rPr>
          <w:color w:val="231F20"/>
          <w:spacing w:val="-4"/>
        </w:rPr>
        <w:t> </w:t>
      </w:r>
      <w:r>
        <w:rPr>
          <w:color w:val="231F20"/>
        </w:rPr>
        <w:t>„Костолац</w:t>
      </w:r>
      <w:r>
        <w:rPr>
          <w:color w:val="231F20"/>
          <w:spacing w:val="-4"/>
        </w:rPr>
        <w:t> </w:t>
      </w:r>
      <w:r>
        <w:rPr>
          <w:color w:val="231F20"/>
        </w:rPr>
        <w:t>А</w:t>
      </w:r>
      <w:r>
        <w:rPr>
          <w:color w:val="231F20"/>
          <w:spacing w:val="-4"/>
        </w:rPr>
        <w:t> </w:t>
      </w:r>
      <w:r>
        <w:rPr>
          <w:color w:val="231F20"/>
        </w:rPr>
        <w:t>и</w:t>
      </w:r>
      <w:r>
        <w:rPr>
          <w:color w:val="231F20"/>
          <w:spacing w:val="-4"/>
        </w:rPr>
        <w:t> </w:t>
      </w:r>
      <w:r>
        <w:rPr>
          <w:color w:val="231F20"/>
        </w:rPr>
        <w:t>Б”,</w:t>
      </w:r>
      <w:r>
        <w:rPr>
          <w:color w:val="231F20"/>
          <w:spacing w:val="-4"/>
        </w:rPr>
        <w:t> </w:t>
      </w:r>
      <w:r>
        <w:rPr>
          <w:color w:val="231F20"/>
        </w:rPr>
        <w:t>за</w:t>
      </w:r>
      <w:r>
        <w:rPr>
          <w:color w:val="231F20"/>
          <w:spacing w:val="-4"/>
        </w:rPr>
        <w:t> </w:t>
      </w:r>
      <w:r>
        <w:rPr>
          <w:color w:val="231F20"/>
        </w:rPr>
        <w:t>потребе</w:t>
      </w:r>
      <w:r>
        <w:rPr>
          <w:color w:val="231F20"/>
          <w:spacing w:val="-4"/>
        </w:rPr>
        <w:t> </w:t>
      </w:r>
      <w:r>
        <w:rPr>
          <w:color w:val="231F20"/>
        </w:rPr>
        <w:t>хлађења.</w:t>
      </w:r>
      <w:r>
        <w:rPr>
          <w:color w:val="231F20"/>
          <w:spacing w:val="-4"/>
        </w:rPr>
        <w:t> </w:t>
      </w:r>
      <w:r>
        <w:rPr>
          <w:color w:val="231F20"/>
        </w:rPr>
        <w:t>У</w:t>
      </w:r>
      <w:r>
        <w:rPr>
          <w:color w:val="231F20"/>
          <w:spacing w:val="-4"/>
        </w:rPr>
        <w:t> </w:t>
      </w:r>
      <w:r>
        <w:rPr>
          <w:color w:val="231F20"/>
        </w:rPr>
        <w:t>оба</w:t>
      </w:r>
      <w:r>
        <w:rPr>
          <w:color w:val="231F20"/>
          <w:spacing w:val="-4"/>
        </w:rPr>
        <w:t> </w:t>
      </w:r>
      <w:r>
        <w:rPr>
          <w:color w:val="231F20"/>
        </w:rPr>
        <w:t>случаја</w:t>
      </w:r>
      <w:r>
        <w:rPr>
          <w:color w:val="231F20"/>
          <w:spacing w:val="-4"/>
        </w:rPr>
        <w:t> </w:t>
      </w:r>
      <w:r>
        <w:rPr>
          <w:color w:val="231F20"/>
        </w:rPr>
        <w:t>се ради</w:t>
      </w:r>
      <w:r>
        <w:rPr>
          <w:color w:val="231F20"/>
          <w:spacing w:val="-5"/>
        </w:rPr>
        <w:t> </w:t>
      </w:r>
      <w:r>
        <w:rPr>
          <w:color w:val="231F20"/>
        </w:rPr>
        <w:t>о</w:t>
      </w:r>
      <w:r>
        <w:rPr>
          <w:color w:val="231F20"/>
          <w:spacing w:val="-5"/>
        </w:rPr>
        <w:t> </w:t>
      </w:r>
      <w:r>
        <w:rPr>
          <w:color w:val="231F20"/>
        </w:rPr>
        <w:t>проточним</w:t>
      </w:r>
      <w:r>
        <w:rPr>
          <w:color w:val="231F20"/>
          <w:spacing w:val="-5"/>
        </w:rPr>
        <w:t> </w:t>
      </w:r>
      <w:r>
        <w:rPr>
          <w:color w:val="231F20"/>
        </w:rPr>
        <w:t>системима</w:t>
      </w:r>
      <w:r>
        <w:rPr>
          <w:color w:val="231F20"/>
          <w:spacing w:val="-5"/>
        </w:rPr>
        <w:t> </w:t>
      </w:r>
      <w:r>
        <w:rPr>
          <w:color w:val="231F20"/>
        </w:rPr>
        <w:t>хлађења,</w:t>
      </w:r>
      <w:r>
        <w:rPr>
          <w:color w:val="231F20"/>
          <w:spacing w:val="-5"/>
        </w:rPr>
        <w:t> </w:t>
      </w:r>
      <w:r>
        <w:rPr>
          <w:color w:val="231F20"/>
        </w:rPr>
        <w:t>а</w:t>
      </w:r>
      <w:r>
        <w:rPr>
          <w:color w:val="231F20"/>
          <w:spacing w:val="-5"/>
        </w:rPr>
        <w:t> </w:t>
      </w:r>
      <w:r>
        <w:rPr>
          <w:color w:val="231F20"/>
        </w:rPr>
        <w:t>вода</w:t>
      </w:r>
      <w:r>
        <w:rPr>
          <w:color w:val="231F20"/>
          <w:spacing w:val="-5"/>
        </w:rPr>
        <w:t> </w:t>
      </w:r>
      <w:r>
        <w:rPr>
          <w:color w:val="231F20"/>
        </w:rPr>
        <w:t>се</w:t>
      </w:r>
      <w:r>
        <w:rPr>
          <w:color w:val="231F20"/>
          <w:spacing w:val="-5"/>
        </w:rPr>
        <w:t> </w:t>
      </w:r>
      <w:r>
        <w:rPr>
          <w:color w:val="231F20"/>
        </w:rPr>
        <w:t>захвата</w:t>
      </w:r>
      <w:r>
        <w:rPr>
          <w:color w:val="231F20"/>
          <w:spacing w:val="-5"/>
        </w:rPr>
        <w:t> </w:t>
      </w:r>
      <w:r>
        <w:rPr>
          <w:color w:val="231F20"/>
        </w:rPr>
        <w:t>из</w:t>
      </w:r>
      <w:r>
        <w:rPr>
          <w:color w:val="231F20"/>
          <w:spacing w:val="-5"/>
        </w:rPr>
        <w:t> </w:t>
      </w:r>
      <w:r>
        <w:rPr>
          <w:color w:val="231F20"/>
          <w:spacing w:val="-3"/>
        </w:rPr>
        <w:t>главног </w:t>
      </w:r>
      <w:r>
        <w:rPr>
          <w:color w:val="231F20"/>
        </w:rPr>
        <w:t>тока Дунава. За потребе расхладног система ТЕ „Костолац А” на- прављени су раздвојени канали за хладну и загрејану </w:t>
      </w:r>
      <w:r>
        <w:rPr>
          <w:color w:val="231F20"/>
          <w:spacing w:val="-6"/>
        </w:rPr>
        <w:t>воду, </w:t>
      </w:r>
      <w:r>
        <w:rPr>
          <w:color w:val="231F20"/>
          <w:spacing w:val="-3"/>
        </w:rPr>
        <w:t>којим </w:t>
      </w:r>
      <w:r>
        <w:rPr>
          <w:color w:val="231F20"/>
        </w:rPr>
        <w:t>су</w:t>
      </w:r>
      <w:r>
        <w:rPr>
          <w:color w:val="231F20"/>
          <w:spacing w:val="-6"/>
        </w:rPr>
        <w:t> </w:t>
      </w:r>
      <w:r>
        <w:rPr>
          <w:color w:val="231F20"/>
        </w:rPr>
        <w:t>довод</w:t>
      </w:r>
      <w:r>
        <w:rPr>
          <w:color w:val="231F20"/>
          <w:spacing w:val="-6"/>
        </w:rPr>
        <w:t> </w:t>
      </w:r>
      <w:r>
        <w:rPr>
          <w:color w:val="231F20"/>
        </w:rPr>
        <w:t>и</w:t>
      </w:r>
      <w:r>
        <w:rPr>
          <w:color w:val="231F20"/>
          <w:spacing w:val="-7"/>
        </w:rPr>
        <w:t> </w:t>
      </w:r>
      <w:r>
        <w:rPr>
          <w:color w:val="231F20"/>
          <w:spacing w:val="-3"/>
        </w:rPr>
        <w:t>одвод</w:t>
      </w:r>
      <w:r>
        <w:rPr>
          <w:color w:val="231F20"/>
          <w:spacing w:val="-6"/>
        </w:rPr>
        <w:t> </w:t>
      </w:r>
      <w:r>
        <w:rPr>
          <w:color w:val="231F20"/>
        </w:rPr>
        <w:t>расхладне</w:t>
      </w:r>
      <w:r>
        <w:rPr>
          <w:color w:val="231F20"/>
          <w:spacing w:val="-6"/>
        </w:rPr>
        <w:t> </w:t>
      </w:r>
      <w:r>
        <w:rPr>
          <w:color w:val="231F20"/>
        </w:rPr>
        <w:t>воде</w:t>
      </w:r>
      <w:r>
        <w:rPr>
          <w:color w:val="231F20"/>
          <w:spacing w:val="-6"/>
        </w:rPr>
        <w:t> </w:t>
      </w:r>
      <w:r>
        <w:rPr>
          <w:color w:val="231F20"/>
        </w:rPr>
        <w:t>спојени</w:t>
      </w:r>
      <w:r>
        <w:rPr>
          <w:color w:val="231F20"/>
          <w:spacing w:val="-6"/>
        </w:rPr>
        <w:t> </w:t>
      </w:r>
      <w:r>
        <w:rPr>
          <w:color w:val="231F20"/>
          <w:spacing w:val="-3"/>
        </w:rPr>
        <w:t>преко</w:t>
      </w:r>
      <w:r>
        <w:rPr>
          <w:color w:val="231F20"/>
          <w:spacing w:val="-6"/>
        </w:rPr>
        <w:t> </w:t>
      </w:r>
      <w:r>
        <w:rPr>
          <w:color w:val="231F20"/>
          <w:spacing w:val="-3"/>
        </w:rPr>
        <w:t>Костолачког</w:t>
      </w:r>
      <w:r>
        <w:rPr>
          <w:color w:val="231F20"/>
          <w:spacing w:val="-6"/>
        </w:rPr>
        <w:t> </w:t>
      </w:r>
      <w:r>
        <w:rPr>
          <w:color w:val="231F20"/>
        </w:rPr>
        <w:t>острва са главним </w:t>
      </w:r>
      <w:r>
        <w:rPr>
          <w:color w:val="231F20"/>
          <w:spacing w:val="-4"/>
        </w:rPr>
        <w:t>током </w:t>
      </w:r>
      <w:r>
        <w:rPr>
          <w:color w:val="231F20"/>
        </w:rPr>
        <w:t>Дунава. У случају ТЕ „Костолац Б” доњи ток Млаве је регулисан, са два посебна корита, за довод хладне и од- </w:t>
      </w:r>
      <w:r>
        <w:rPr>
          <w:color w:val="231F20"/>
          <w:spacing w:val="-3"/>
        </w:rPr>
        <w:t>вод </w:t>
      </w:r>
      <w:r>
        <w:rPr>
          <w:color w:val="231F20"/>
        </w:rPr>
        <w:t>топле воде, спојена са </w:t>
      </w:r>
      <w:r>
        <w:rPr>
          <w:color w:val="231F20"/>
          <w:spacing w:val="-4"/>
        </w:rPr>
        <w:t>током</w:t>
      </w:r>
      <w:r>
        <w:rPr>
          <w:color w:val="231F20"/>
          <w:spacing w:val="-1"/>
        </w:rPr>
        <w:t> </w:t>
      </w:r>
      <w:r>
        <w:rPr>
          <w:color w:val="231F20"/>
        </w:rPr>
        <w:t>Дунава.</w:t>
      </w:r>
    </w:p>
    <w:p>
      <w:pPr>
        <w:pStyle w:val="BodyText"/>
        <w:spacing w:line="232" w:lineRule="auto"/>
        <w:ind w:left="173" w:right="405" w:firstLine="396"/>
      </w:pPr>
      <w:r>
        <w:rPr>
          <w:color w:val="231F20"/>
        </w:rPr>
        <w:t>Хидроенергетско коришћење Дунава се одвија по режиму успора „69,5 mnм и више”, који подразумева подизање успора на ушћу Нере до коте 70,40 mnм, што захтева додатну заштиту прио- баља. Додатно повећање максималног успора на 70,90 mnм нe мо- же се прихватити са гледишта заштите приобаља.</w:t>
      </w:r>
    </w:p>
    <w:p>
      <w:pPr>
        <w:spacing w:after="0" w:line="232" w:lineRule="auto"/>
        <w:sectPr>
          <w:pgSz w:w="12480" w:h="15690"/>
          <w:pgMar w:top="120" w:bottom="280" w:left="680" w:right="720"/>
          <w:cols w:num="2" w:equalWidth="0">
            <w:col w:w="5316" w:space="73"/>
            <w:col w:w="5691"/>
          </w:cols>
        </w:sectPr>
      </w:pPr>
    </w:p>
    <w:p>
      <w:pPr>
        <w:pStyle w:val="BodyText"/>
        <w:spacing w:line="232" w:lineRule="auto" w:before="73"/>
        <w:ind w:left="454" w:firstLine="396"/>
      </w:pPr>
      <w:r>
        <w:rPr/>
        <w:pict>
          <v:line style="position:absolute;mso-position-horizontal-relative:page;mso-position-vertical-relative:page;z-index:1432" from="318.897614pt,11.942451pt" to="318.897614pt,748.950451pt" stroked="true" strokeweight=".6pt" strokecolor="#231f20">
            <v:stroke dashstyle="solid"/>
            <w10:wrap type="none"/>
          </v:line>
        </w:pict>
      </w:r>
      <w:r>
        <w:rPr>
          <w:color w:val="231F20"/>
        </w:rPr>
        <w:t>Одбрана </w:t>
      </w:r>
      <w:r>
        <w:rPr>
          <w:color w:val="231F20"/>
          <w:spacing w:val="-3"/>
        </w:rPr>
        <w:t>од </w:t>
      </w:r>
      <w:r>
        <w:rPr>
          <w:color w:val="231F20"/>
        </w:rPr>
        <w:t>вода приобаља Дунава, Мораве и Млаве спрово- ди се насипима (заштита </w:t>
      </w:r>
      <w:r>
        <w:rPr>
          <w:color w:val="231F20"/>
          <w:spacing w:val="-3"/>
        </w:rPr>
        <w:t>од </w:t>
      </w:r>
      <w:r>
        <w:rPr>
          <w:color w:val="231F20"/>
        </w:rPr>
        <w:t>поводања 1%) и дренажним системи- ма, </w:t>
      </w:r>
      <w:r>
        <w:rPr>
          <w:color w:val="231F20"/>
          <w:spacing w:val="-3"/>
        </w:rPr>
        <w:t>од </w:t>
      </w:r>
      <w:r>
        <w:rPr>
          <w:color w:val="231F20"/>
        </w:rPr>
        <w:t>унутрашњих, провирних вода. Посебно је сложена заштита </w:t>
      </w:r>
      <w:r>
        <w:rPr>
          <w:color w:val="231F20"/>
          <w:spacing w:val="-3"/>
        </w:rPr>
        <w:t>Костолачког </w:t>
      </w:r>
      <w:r>
        <w:rPr>
          <w:color w:val="231F20"/>
        </w:rPr>
        <w:t>острва, насипима и мрежом канала са пумпним ста- ницама. Део система заштите је и преграђен Дунавац, у </w:t>
      </w:r>
      <w:r>
        <w:rPr>
          <w:color w:val="231F20"/>
          <w:spacing w:val="-4"/>
        </w:rPr>
        <w:t>коме </w:t>
      </w:r>
      <w:r>
        <w:rPr>
          <w:color w:val="231F20"/>
        </w:rPr>
        <w:t>се нивои контролишу са четири ПС. Системи за заштиту приобаља </w:t>
      </w:r>
      <w:r>
        <w:rPr>
          <w:color w:val="231F20"/>
          <w:spacing w:val="-3"/>
        </w:rPr>
        <w:t>од</w:t>
      </w:r>
      <w:r>
        <w:rPr>
          <w:color w:val="231F20"/>
          <w:spacing w:val="-7"/>
        </w:rPr>
        <w:t> </w:t>
      </w:r>
      <w:r>
        <w:rPr>
          <w:color w:val="231F20"/>
        </w:rPr>
        <w:t>спољних</w:t>
      </w:r>
      <w:r>
        <w:rPr>
          <w:color w:val="231F20"/>
          <w:spacing w:val="-7"/>
        </w:rPr>
        <w:t> </w:t>
      </w:r>
      <w:r>
        <w:rPr>
          <w:color w:val="231F20"/>
        </w:rPr>
        <w:t>и</w:t>
      </w:r>
      <w:r>
        <w:rPr>
          <w:color w:val="231F20"/>
          <w:spacing w:val="-7"/>
        </w:rPr>
        <w:t> </w:t>
      </w:r>
      <w:r>
        <w:rPr>
          <w:color w:val="231F20"/>
        </w:rPr>
        <w:t>унутрашњих</w:t>
      </w:r>
      <w:r>
        <w:rPr>
          <w:color w:val="231F20"/>
          <w:spacing w:val="-7"/>
        </w:rPr>
        <w:t> </w:t>
      </w:r>
      <w:r>
        <w:rPr>
          <w:color w:val="231F20"/>
        </w:rPr>
        <w:t>великих</w:t>
      </w:r>
      <w:r>
        <w:rPr>
          <w:color w:val="231F20"/>
          <w:spacing w:val="-7"/>
        </w:rPr>
        <w:t> </w:t>
      </w:r>
      <w:r>
        <w:rPr>
          <w:color w:val="231F20"/>
        </w:rPr>
        <w:t>вода</w:t>
      </w:r>
      <w:r>
        <w:rPr>
          <w:color w:val="231F20"/>
          <w:spacing w:val="-7"/>
        </w:rPr>
        <w:t> </w:t>
      </w:r>
      <w:r>
        <w:rPr>
          <w:color w:val="231F20"/>
        </w:rPr>
        <w:t>Дунава</w:t>
      </w:r>
      <w:r>
        <w:rPr>
          <w:color w:val="231F20"/>
          <w:spacing w:val="-7"/>
        </w:rPr>
        <w:t> </w:t>
      </w:r>
      <w:r>
        <w:rPr>
          <w:color w:val="231F20"/>
        </w:rPr>
        <w:t>и</w:t>
      </w:r>
      <w:r>
        <w:rPr>
          <w:color w:val="231F20"/>
          <w:spacing w:val="-7"/>
        </w:rPr>
        <w:t> </w:t>
      </w:r>
      <w:r>
        <w:rPr>
          <w:color w:val="231F20"/>
        </w:rPr>
        <w:t>у</w:t>
      </w:r>
      <w:r>
        <w:rPr>
          <w:color w:val="231F20"/>
          <w:spacing w:val="-7"/>
        </w:rPr>
        <w:t> </w:t>
      </w:r>
      <w:r>
        <w:rPr>
          <w:color w:val="231F20"/>
        </w:rPr>
        <w:t>зони</w:t>
      </w:r>
      <w:r>
        <w:rPr>
          <w:color w:val="231F20"/>
          <w:spacing w:val="-7"/>
        </w:rPr>
        <w:t> </w:t>
      </w:r>
      <w:r>
        <w:rPr>
          <w:color w:val="231F20"/>
        </w:rPr>
        <w:t>ушћа</w:t>
      </w:r>
      <w:r>
        <w:rPr>
          <w:color w:val="231F20"/>
          <w:spacing w:val="-7"/>
        </w:rPr>
        <w:t> </w:t>
      </w:r>
      <w:r>
        <w:rPr>
          <w:color w:val="231F20"/>
        </w:rPr>
        <w:t>Ве- лике</w:t>
      </w:r>
      <w:r>
        <w:rPr>
          <w:color w:val="231F20"/>
          <w:spacing w:val="-10"/>
        </w:rPr>
        <w:t> </w:t>
      </w:r>
      <w:r>
        <w:rPr>
          <w:color w:val="231F20"/>
        </w:rPr>
        <w:t>Мораве</w:t>
      </w:r>
      <w:r>
        <w:rPr>
          <w:color w:val="231F20"/>
          <w:spacing w:val="-10"/>
        </w:rPr>
        <w:t> </w:t>
      </w:r>
      <w:r>
        <w:rPr>
          <w:color w:val="231F20"/>
        </w:rPr>
        <w:t>и</w:t>
      </w:r>
      <w:r>
        <w:rPr>
          <w:color w:val="231F20"/>
          <w:spacing w:val="-9"/>
        </w:rPr>
        <w:t> </w:t>
      </w:r>
      <w:r>
        <w:rPr>
          <w:color w:val="231F20"/>
        </w:rPr>
        <w:t>Млаве,</w:t>
      </w:r>
      <w:r>
        <w:rPr>
          <w:color w:val="231F20"/>
          <w:spacing w:val="-10"/>
        </w:rPr>
        <w:t> </w:t>
      </w:r>
      <w:r>
        <w:rPr>
          <w:color w:val="231F20"/>
        </w:rPr>
        <w:t>реализовани</w:t>
      </w:r>
      <w:r>
        <w:rPr>
          <w:color w:val="231F20"/>
          <w:spacing w:val="-9"/>
        </w:rPr>
        <w:t> </w:t>
      </w:r>
      <w:r>
        <w:rPr>
          <w:color w:val="231F20"/>
        </w:rPr>
        <w:t>су</w:t>
      </w:r>
      <w:r>
        <w:rPr>
          <w:color w:val="231F20"/>
          <w:spacing w:val="-9"/>
        </w:rPr>
        <w:t> </w:t>
      </w:r>
      <w:r>
        <w:rPr>
          <w:color w:val="231F20"/>
        </w:rPr>
        <w:t>за</w:t>
      </w:r>
      <w:r>
        <w:rPr>
          <w:color w:val="231F20"/>
          <w:spacing w:val="-10"/>
        </w:rPr>
        <w:t> </w:t>
      </w:r>
      <w:r>
        <w:rPr>
          <w:color w:val="231F20"/>
        </w:rPr>
        <w:t>режиме</w:t>
      </w:r>
      <w:r>
        <w:rPr>
          <w:color w:val="231F20"/>
          <w:spacing w:val="-10"/>
        </w:rPr>
        <w:t> </w:t>
      </w:r>
      <w:r>
        <w:rPr>
          <w:color w:val="231F20"/>
        </w:rPr>
        <w:t>рада</w:t>
      </w:r>
      <w:r>
        <w:rPr>
          <w:color w:val="231F20"/>
          <w:spacing w:val="-10"/>
        </w:rPr>
        <w:t> </w:t>
      </w:r>
      <w:r>
        <w:rPr>
          <w:color w:val="231F20"/>
        </w:rPr>
        <w:t>ХЕ</w:t>
      </w:r>
      <w:r>
        <w:rPr>
          <w:color w:val="231F20"/>
          <w:spacing w:val="-9"/>
        </w:rPr>
        <w:t> </w:t>
      </w:r>
      <w:r>
        <w:rPr>
          <w:color w:val="231F20"/>
          <w:spacing w:val="-4"/>
        </w:rPr>
        <w:t>„Ђердап” </w:t>
      </w:r>
      <w:r>
        <w:rPr>
          <w:color w:val="231F20"/>
        </w:rPr>
        <w:t>са </w:t>
      </w:r>
      <w:r>
        <w:rPr>
          <w:color w:val="231F20"/>
          <w:spacing w:val="-4"/>
        </w:rPr>
        <w:t>котом </w:t>
      </w:r>
      <w:r>
        <w:rPr>
          <w:color w:val="231F20"/>
        </w:rPr>
        <w:t>успора 69,5 mnм. Са преласком на нов режим, тзв. „69,5 и више” вршена је дорада система, да обезбеди поуздану зашти- ту и у тим неповољнијим условима. Међутим, заштитни системи захтевају ревитализацију. Због лошег одржавања постојећих дре- нажних система исти сада раде са умањеном </w:t>
      </w:r>
      <w:r>
        <w:rPr>
          <w:color w:val="231F20"/>
          <w:spacing w:val="-3"/>
        </w:rPr>
        <w:t>ефективношћу. </w:t>
      </w:r>
      <w:r>
        <w:rPr>
          <w:color w:val="231F20"/>
        </w:rPr>
        <w:t>Због засутих</w:t>
      </w:r>
      <w:r>
        <w:rPr>
          <w:color w:val="231F20"/>
          <w:spacing w:val="-7"/>
        </w:rPr>
        <w:t> </w:t>
      </w:r>
      <w:r>
        <w:rPr>
          <w:color w:val="231F20"/>
        </w:rPr>
        <w:t>канала,</w:t>
      </w:r>
      <w:r>
        <w:rPr>
          <w:color w:val="231F20"/>
          <w:spacing w:val="-7"/>
        </w:rPr>
        <w:t> </w:t>
      </w:r>
      <w:r>
        <w:rPr>
          <w:color w:val="231F20"/>
          <w:spacing w:val="-3"/>
        </w:rPr>
        <w:t>који</w:t>
      </w:r>
      <w:r>
        <w:rPr>
          <w:color w:val="231F20"/>
          <w:spacing w:val="-7"/>
        </w:rPr>
        <w:t> </w:t>
      </w:r>
      <w:r>
        <w:rPr>
          <w:color w:val="231F20"/>
        </w:rPr>
        <w:t>дуго</w:t>
      </w:r>
      <w:r>
        <w:rPr>
          <w:color w:val="231F20"/>
          <w:spacing w:val="-7"/>
        </w:rPr>
        <w:t> </w:t>
      </w:r>
      <w:r>
        <w:rPr>
          <w:color w:val="231F20"/>
        </w:rPr>
        <w:t>нису</w:t>
      </w:r>
      <w:r>
        <w:rPr>
          <w:color w:val="231F20"/>
          <w:spacing w:val="-7"/>
        </w:rPr>
        <w:t> </w:t>
      </w:r>
      <w:r>
        <w:rPr>
          <w:color w:val="231F20"/>
        </w:rPr>
        <w:t>прописно</w:t>
      </w:r>
      <w:r>
        <w:rPr>
          <w:color w:val="231F20"/>
          <w:spacing w:val="-7"/>
        </w:rPr>
        <w:t> </w:t>
      </w:r>
      <w:r>
        <w:rPr>
          <w:color w:val="231F20"/>
        </w:rPr>
        <w:t>измуљивани,</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лошег одржавања дренажних бунара и црпних станица </w:t>
      </w:r>
      <w:r>
        <w:rPr>
          <w:color w:val="231F20"/>
          <w:spacing w:val="-3"/>
        </w:rPr>
        <w:t>које </w:t>
      </w:r>
      <w:r>
        <w:rPr>
          <w:color w:val="231F20"/>
        </w:rPr>
        <w:t>препумпава- ју воду у Ђердапску </w:t>
      </w:r>
      <w:r>
        <w:rPr>
          <w:color w:val="231F20"/>
          <w:spacing w:val="-3"/>
        </w:rPr>
        <w:t>акумулацију, </w:t>
      </w:r>
      <w:r>
        <w:rPr>
          <w:color w:val="231F20"/>
        </w:rPr>
        <w:t>повећале су се површине </w:t>
      </w:r>
      <w:r>
        <w:rPr>
          <w:color w:val="231F20"/>
          <w:spacing w:val="-3"/>
        </w:rPr>
        <w:t>које </w:t>
      </w:r>
      <w:r>
        <w:rPr>
          <w:color w:val="231F20"/>
        </w:rPr>
        <w:t>се плаве</w:t>
      </w:r>
      <w:r>
        <w:rPr>
          <w:color w:val="231F20"/>
          <w:spacing w:val="-8"/>
        </w:rPr>
        <w:t> </w:t>
      </w:r>
      <w:r>
        <w:rPr>
          <w:color w:val="231F20"/>
        </w:rPr>
        <w:t>и</w:t>
      </w:r>
      <w:r>
        <w:rPr>
          <w:color w:val="231F20"/>
          <w:spacing w:val="-8"/>
        </w:rPr>
        <w:t> </w:t>
      </w:r>
      <w:r>
        <w:rPr>
          <w:color w:val="231F20"/>
        </w:rPr>
        <w:t>продужило</w:t>
      </w:r>
      <w:r>
        <w:rPr>
          <w:color w:val="231F20"/>
          <w:spacing w:val="-8"/>
        </w:rPr>
        <w:t> </w:t>
      </w:r>
      <w:r>
        <w:rPr>
          <w:color w:val="231F20"/>
        </w:rPr>
        <w:t>време</w:t>
      </w:r>
      <w:r>
        <w:rPr>
          <w:color w:val="231F20"/>
          <w:spacing w:val="-8"/>
        </w:rPr>
        <w:t> </w:t>
      </w:r>
      <w:r>
        <w:rPr>
          <w:color w:val="231F20"/>
        </w:rPr>
        <w:t>водолеже.</w:t>
      </w:r>
      <w:r>
        <w:rPr>
          <w:color w:val="231F20"/>
          <w:spacing w:val="-8"/>
        </w:rPr>
        <w:t> </w:t>
      </w:r>
      <w:r>
        <w:rPr>
          <w:color w:val="231F20"/>
        </w:rPr>
        <w:t>Предуслов</w:t>
      </w:r>
      <w:r>
        <w:rPr>
          <w:color w:val="231F20"/>
          <w:spacing w:val="-8"/>
        </w:rPr>
        <w:t> </w:t>
      </w:r>
      <w:r>
        <w:rPr>
          <w:color w:val="231F20"/>
        </w:rPr>
        <w:t>за</w:t>
      </w:r>
      <w:r>
        <w:rPr>
          <w:color w:val="231F20"/>
          <w:spacing w:val="-8"/>
        </w:rPr>
        <w:t> </w:t>
      </w:r>
      <w:r>
        <w:rPr>
          <w:color w:val="231F20"/>
        </w:rPr>
        <w:t>заштиту</w:t>
      </w:r>
      <w:r>
        <w:rPr>
          <w:color w:val="231F20"/>
          <w:spacing w:val="-8"/>
        </w:rPr>
        <w:t> </w:t>
      </w:r>
      <w:r>
        <w:rPr>
          <w:color w:val="231F20"/>
          <w:spacing w:val="-3"/>
        </w:rPr>
        <w:t>од</w:t>
      </w:r>
      <w:r>
        <w:rPr>
          <w:color w:val="231F20"/>
          <w:spacing w:val="-8"/>
        </w:rPr>
        <w:t> </w:t>
      </w:r>
      <w:r>
        <w:rPr>
          <w:color w:val="231F20"/>
        </w:rPr>
        <w:t>вода је довођење постојећег система у стање </w:t>
      </w:r>
      <w:r>
        <w:rPr>
          <w:color w:val="231F20"/>
          <w:spacing w:val="-3"/>
        </w:rPr>
        <w:t>које </w:t>
      </w:r>
      <w:r>
        <w:rPr>
          <w:color w:val="231F20"/>
        </w:rPr>
        <w:t>може да обезбеди по- уздану заштиту и у условима садашњег рада ХЕ </w:t>
      </w:r>
      <w:r>
        <w:rPr>
          <w:color w:val="231F20"/>
          <w:spacing w:val="-3"/>
        </w:rPr>
        <w:t>„Ђердап”, </w:t>
      </w:r>
      <w:r>
        <w:rPr>
          <w:color w:val="231F20"/>
        </w:rPr>
        <w:t>са ре- жимом</w:t>
      </w:r>
      <w:r>
        <w:rPr>
          <w:color w:val="231F20"/>
          <w:spacing w:val="-7"/>
        </w:rPr>
        <w:t> </w:t>
      </w:r>
      <w:r>
        <w:rPr>
          <w:color w:val="231F20"/>
        </w:rPr>
        <w:t>„69,5</w:t>
      </w:r>
      <w:r>
        <w:rPr>
          <w:color w:val="231F20"/>
          <w:spacing w:val="-7"/>
        </w:rPr>
        <w:t> </w:t>
      </w:r>
      <w:r>
        <w:rPr>
          <w:color w:val="231F20"/>
        </w:rPr>
        <w:t>и</w:t>
      </w:r>
      <w:r>
        <w:rPr>
          <w:color w:val="231F20"/>
          <w:spacing w:val="-7"/>
        </w:rPr>
        <w:t> </w:t>
      </w:r>
      <w:r>
        <w:rPr>
          <w:color w:val="231F20"/>
        </w:rPr>
        <w:t>више”,</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потпуну</w:t>
      </w:r>
      <w:r>
        <w:rPr>
          <w:color w:val="231F20"/>
          <w:spacing w:val="-7"/>
        </w:rPr>
        <w:t> </w:t>
      </w:r>
      <w:r>
        <w:rPr>
          <w:color w:val="231F20"/>
        </w:rPr>
        <w:t>заштиту</w:t>
      </w:r>
      <w:r>
        <w:rPr>
          <w:color w:val="231F20"/>
          <w:spacing w:val="-7"/>
        </w:rPr>
        <w:t> </w:t>
      </w:r>
      <w:r>
        <w:rPr>
          <w:color w:val="231F20"/>
          <w:spacing w:val="-3"/>
        </w:rPr>
        <w:t>од</w:t>
      </w:r>
      <w:r>
        <w:rPr>
          <w:color w:val="231F20"/>
          <w:spacing w:val="-7"/>
        </w:rPr>
        <w:t> </w:t>
      </w:r>
      <w:r>
        <w:rPr>
          <w:color w:val="231F20"/>
        </w:rPr>
        <w:t>поводања</w:t>
      </w:r>
      <w:r>
        <w:rPr>
          <w:color w:val="231F20"/>
          <w:spacing w:val="-7"/>
        </w:rPr>
        <w:t> </w:t>
      </w:r>
      <w:r>
        <w:rPr>
          <w:color w:val="231F20"/>
        </w:rPr>
        <w:t>Дунава, Велике Мораве и Млаве вероватноће</w:t>
      </w:r>
      <w:r>
        <w:rPr>
          <w:color w:val="231F20"/>
          <w:spacing w:val="-5"/>
        </w:rPr>
        <w:t> </w:t>
      </w:r>
      <w:r>
        <w:rPr>
          <w:color w:val="231F20"/>
        </w:rPr>
        <w:t>1%.</w:t>
      </w:r>
    </w:p>
    <w:p>
      <w:pPr>
        <w:pStyle w:val="BodyText"/>
        <w:spacing w:line="186" w:lineRule="exact"/>
        <w:ind w:left="851"/>
        <w:jc w:val="left"/>
      </w:pPr>
      <w:r>
        <w:rPr>
          <w:color w:val="231F20"/>
        </w:rPr>
        <w:t>Термалне и минералне воде. На Планском подручју, постоји</w:t>
      </w:r>
    </w:p>
    <w:p>
      <w:pPr>
        <w:pStyle w:val="BodyText"/>
        <w:spacing w:line="232" w:lineRule="auto" w:before="1"/>
        <w:ind w:left="455"/>
      </w:pPr>
      <w:r>
        <w:rPr>
          <w:color w:val="231F20"/>
        </w:rPr>
        <w:t>широки спектар ресурса минералних вода </w:t>
      </w:r>
      <w:r>
        <w:rPr>
          <w:color w:val="231F20"/>
          <w:spacing w:val="-4"/>
        </w:rPr>
        <w:t>како </w:t>
      </w:r>
      <w:r>
        <w:rPr>
          <w:color w:val="231F20"/>
        </w:rPr>
        <w:t>по територијалној расподели и дубини заглегања, </w:t>
      </w:r>
      <w:r>
        <w:rPr>
          <w:color w:val="231F20"/>
          <w:spacing w:val="-3"/>
        </w:rPr>
        <w:t>тако </w:t>
      </w:r>
      <w:r>
        <w:rPr>
          <w:color w:val="231F20"/>
        </w:rPr>
        <w:t>и по висини минерализације и</w:t>
      </w:r>
      <w:r>
        <w:rPr>
          <w:color w:val="231F20"/>
          <w:spacing w:val="-2"/>
        </w:rPr>
        <w:t> </w:t>
      </w:r>
      <w:r>
        <w:rPr>
          <w:color w:val="231F20"/>
        </w:rPr>
        <w:t>температуре.</w:t>
      </w:r>
    </w:p>
    <w:p>
      <w:pPr>
        <w:pStyle w:val="BodyText"/>
        <w:spacing w:line="232" w:lineRule="auto"/>
        <w:ind w:left="455" w:right="1" w:firstLine="396"/>
      </w:pPr>
      <w:r>
        <w:rPr>
          <w:color w:val="231F20"/>
        </w:rPr>
        <w:t>На</w:t>
      </w:r>
      <w:r>
        <w:rPr>
          <w:color w:val="231F20"/>
          <w:spacing w:val="-9"/>
        </w:rPr>
        <w:t> </w:t>
      </w:r>
      <w:r>
        <w:rPr>
          <w:color w:val="231F20"/>
        </w:rPr>
        <w:t>основу</w:t>
      </w:r>
      <w:r>
        <w:rPr>
          <w:color w:val="231F20"/>
          <w:spacing w:val="-9"/>
        </w:rPr>
        <w:t> </w:t>
      </w:r>
      <w:r>
        <w:rPr>
          <w:color w:val="231F20"/>
        </w:rPr>
        <w:t>прикупљених</w:t>
      </w:r>
      <w:r>
        <w:rPr>
          <w:color w:val="231F20"/>
          <w:spacing w:val="-9"/>
        </w:rPr>
        <w:t> </w:t>
      </w:r>
      <w:r>
        <w:rPr>
          <w:color w:val="231F20"/>
        </w:rPr>
        <w:t>података</w:t>
      </w:r>
      <w:r>
        <w:rPr>
          <w:color w:val="231F20"/>
          <w:spacing w:val="-9"/>
        </w:rPr>
        <w:t> </w:t>
      </w:r>
      <w:r>
        <w:rPr>
          <w:color w:val="231F20"/>
        </w:rPr>
        <w:t>из</w:t>
      </w:r>
      <w:r>
        <w:rPr>
          <w:color w:val="231F20"/>
          <w:spacing w:val="-9"/>
        </w:rPr>
        <w:t> </w:t>
      </w:r>
      <w:r>
        <w:rPr>
          <w:color w:val="231F20"/>
        </w:rPr>
        <w:t>15</w:t>
      </w:r>
      <w:r>
        <w:rPr>
          <w:color w:val="231F20"/>
          <w:spacing w:val="-9"/>
        </w:rPr>
        <w:t> </w:t>
      </w:r>
      <w:r>
        <w:rPr>
          <w:color w:val="231F20"/>
        </w:rPr>
        <w:t>бушотина</w:t>
      </w:r>
      <w:r>
        <w:rPr>
          <w:color w:val="231F20"/>
          <w:spacing w:val="-9"/>
        </w:rPr>
        <w:t> </w:t>
      </w:r>
      <w:r>
        <w:rPr>
          <w:color w:val="231F20"/>
        </w:rPr>
        <w:t>у</w:t>
      </w:r>
      <w:r>
        <w:rPr>
          <w:color w:val="231F20"/>
          <w:spacing w:val="-9"/>
        </w:rPr>
        <w:t> </w:t>
      </w:r>
      <w:r>
        <w:rPr>
          <w:color w:val="231F20"/>
        </w:rPr>
        <w:t>западном и источном делу басена и анализе температура са каротажних ди- јаграма, може се закључити да се са дубином повећава температу- ра, што даје врло интересантну слику распореда и висина темпе- ратурних градијената у плану и</w:t>
      </w:r>
      <w:r>
        <w:rPr>
          <w:color w:val="231F20"/>
          <w:spacing w:val="-5"/>
        </w:rPr>
        <w:t> </w:t>
      </w:r>
      <w:r>
        <w:rPr>
          <w:color w:val="231F20"/>
          <w:spacing w:val="-3"/>
        </w:rPr>
        <w:t>профилу.</w:t>
      </w:r>
    </w:p>
    <w:p>
      <w:pPr>
        <w:pStyle w:val="BodyText"/>
        <w:spacing w:line="232" w:lineRule="auto"/>
        <w:ind w:left="456" w:right="1" w:firstLine="396"/>
      </w:pPr>
      <w:r>
        <w:rPr>
          <w:color w:val="231F20"/>
        </w:rPr>
        <w:t>Највећавредносттемпературногградијенатаизноси6ºC/100m. То је узана зона у западном делу басена, у зони Горњег костолач- ког острва, а измерена је у бушотини Ost –2.</w:t>
      </w:r>
    </w:p>
    <w:p>
      <w:pPr>
        <w:pStyle w:val="BodyText"/>
        <w:spacing w:line="232" w:lineRule="auto"/>
        <w:ind w:left="456" w:right="1" w:firstLine="396"/>
      </w:pPr>
      <w:r>
        <w:rPr>
          <w:color w:val="231F20"/>
        </w:rPr>
        <w:t>Нешто нижи градијент, између 5 и 6ºC/100 m, констатован је дуж појаса у ширини од 3 – 5 km, од западне стране, односно зоне села Дубравица, преко Костолца, до Дунава, захватајући локали- тет Виминацијум.</w:t>
      </w:r>
    </w:p>
    <w:p>
      <w:pPr>
        <w:pStyle w:val="BodyText"/>
        <w:spacing w:line="232" w:lineRule="auto"/>
        <w:ind w:left="456" w:right="1" w:firstLine="396"/>
      </w:pPr>
      <w:r>
        <w:rPr>
          <w:color w:val="231F20"/>
        </w:rPr>
        <w:t>Друга зона истих вредности температурних градијената на- лази се у зони око Пожаревца.</w:t>
      </w:r>
    </w:p>
    <w:p>
      <w:pPr>
        <w:pStyle w:val="BodyText"/>
        <w:spacing w:line="232" w:lineRule="auto"/>
        <w:ind w:left="456" w:right="1" w:firstLine="396"/>
      </w:pPr>
      <w:r>
        <w:rPr>
          <w:color w:val="231F20"/>
        </w:rPr>
        <w:t>Најниже вредности од 3,5 – 4ºC/100 m, такође, заузимају две мање зоне, и то око Речице и Брадарачко-маљуревачког подручја.</w:t>
      </w:r>
    </w:p>
    <w:p>
      <w:pPr>
        <w:pStyle w:val="BodyText"/>
        <w:spacing w:line="232" w:lineRule="auto"/>
        <w:ind w:left="456" w:firstLine="397"/>
      </w:pPr>
      <w:r>
        <w:rPr>
          <w:color w:val="231F20"/>
        </w:rPr>
        <w:t>Анализом висине минерализације и температура воде, може се закључити, да се подземне воде са релативно малом минерали- зацијом формирају у </w:t>
      </w:r>
      <w:r>
        <w:rPr>
          <w:color w:val="231F20"/>
          <w:spacing w:val="-3"/>
        </w:rPr>
        <w:t>геолошком стубу од </w:t>
      </w:r>
      <w:r>
        <w:rPr>
          <w:color w:val="231F20"/>
        </w:rPr>
        <w:t>доњег понта (по новом М33) ка млађим неогеним наслагама. Максималне температуре </w:t>
      </w:r>
      <w:r>
        <w:rPr>
          <w:color w:val="231F20"/>
          <w:spacing w:val="-3"/>
        </w:rPr>
        <w:t>које </w:t>
      </w:r>
      <w:r>
        <w:rPr>
          <w:color w:val="231F20"/>
        </w:rPr>
        <w:t>се могу очекивати наменским истраживањима и извођењем одређених водозахватних објеката, износе </w:t>
      </w:r>
      <w:r>
        <w:rPr>
          <w:color w:val="231F20"/>
          <w:spacing w:val="-4"/>
        </w:rPr>
        <w:t>око </w:t>
      </w:r>
      <w:r>
        <w:rPr>
          <w:color w:val="231F20"/>
        </w:rPr>
        <w:t>50ºC у централним деловима</w:t>
      </w:r>
      <w:r>
        <w:rPr>
          <w:color w:val="231F20"/>
          <w:spacing w:val="-12"/>
        </w:rPr>
        <w:t> </w:t>
      </w:r>
      <w:r>
        <w:rPr>
          <w:color w:val="231F20"/>
        </w:rPr>
        <w:t>Дрмљанске</w:t>
      </w:r>
      <w:r>
        <w:rPr>
          <w:color w:val="231F20"/>
          <w:spacing w:val="-12"/>
        </w:rPr>
        <w:t> </w:t>
      </w:r>
      <w:r>
        <w:rPr>
          <w:color w:val="231F20"/>
        </w:rPr>
        <w:t>депресије.</w:t>
      </w:r>
      <w:r>
        <w:rPr>
          <w:color w:val="231F20"/>
          <w:spacing w:val="-12"/>
        </w:rPr>
        <w:t> </w:t>
      </w:r>
      <w:r>
        <w:rPr>
          <w:color w:val="231F20"/>
        </w:rPr>
        <w:t>Ове</w:t>
      </w:r>
      <w:r>
        <w:rPr>
          <w:color w:val="231F20"/>
          <w:spacing w:val="-12"/>
        </w:rPr>
        <w:t> </w:t>
      </w:r>
      <w:r>
        <w:rPr>
          <w:color w:val="231F20"/>
        </w:rPr>
        <w:t>воде</w:t>
      </w:r>
      <w:r>
        <w:rPr>
          <w:color w:val="231F20"/>
          <w:spacing w:val="-12"/>
        </w:rPr>
        <w:t> </w:t>
      </w:r>
      <w:r>
        <w:rPr>
          <w:color w:val="231F20"/>
        </w:rPr>
        <w:t>могу</w:t>
      </w:r>
      <w:r>
        <w:rPr>
          <w:color w:val="231F20"/>
          <w:spacing w:val="-12"/>
        </w:rPr>
        <w:t> </w:t>
      </w:r>
      <w:r>
        <w:rPr>
          <w:color w:val="231F20"/>
        </w:rPr>
        <w:t>имати</w:t>
      </w:r>
      <w:r>
        <w:rPr>
          <w:color w:val="231F20"/>
          <w:spacing w:val="-12"/>
        </w:rPr>
        <w:t> </w:t>
      </w:r>
      <w:r>
        <w:rPr>
          <w:color w:val="231F20"/>
        </w:rPr>
        <w:t>широку</w:t>
      </w:r>
      <w:r>
        <w:rPr>
          <w:color w:val="231F20"/>
          <w:spacing w:val="-12"/>
        </w:rPr>
        <w:t> </w:t>
      </w:r>
      <w:r>
        <w:rPr>
          <w:color w:val="231F20"/>
        </w:rPr>
        <w:t>при- мену као минералне у ужем </w:t>
      </w:r>
      <w:r>
        <w:rPr>
          <w:color w:val="231F20"/>
          <w:spacing w:val="-3"/>
        </w:rPr>
        <w:t>смислу, </w:t>
      </w:r>
      <w:r>
        <w:rPr>
          <w:color w:val="231F20"/>
        </w:rPr>
        <w:t>затим у спортско рекреацио- не, балнеолошке, енергетске, технолошке сврхе и слично. Њихова употреба не захтева посебне мере заштите у </w:t>
      </w:r>
      <w:r>
        <w:rPr>
          <w:color w:val="231F20"/>
          <w:spacing w:val="-3"/>
        </w:rPr>
        <w:t>погледу </w:t>
      </w:r>
      <w:r>
        <w:rPr>
          <w:color w:val="231F20"/>
        </w:rPr>
        <w:t>испуштања истих у отворене</w:t>
      </w:r>
      <w:r>
        <w:rPr>
          <w:color w:val="231F20"/>
          <w:spacing w:val="-3"/>
        </w:rPr>
        <w:t> </w:t>
      </w:r>
      <w:r>
        <w:rPr>
          <w:color w:val="231F20"/>
        </w:rPr>
        <w:t>реципијенте.</w:t>
      </w:r>
    </w:p>
    <w:p>
      <w:pPr>
        <w:pStyle w:val="BodyText"/>
        <w:spacing w:line="232" w:lineRule="auto"/>
        <w:ind w:left="456" w:firstLine="397"/>
      </w:pPr>
      <w:r>
        <w:rPr>
          <w:color w:val="231F20"/>
        </w:rPr>
        <w:t>На основу за сада јединог поузданог </w:t>
      </w:r>
      <w:r>
        <w:rPr>
          <w:color w:val="231F20"/>
          <w:spacing w:val="-3"/>
        </w:rPr>
        <w:t>податка </w:t>
      </w:r>
      <w:r>
        <w:rPr>
          <w:color w:val="231F20"/>
        </w:rPr>
        <w:t>о издашности самоизливом из бушотине у кругу КПД „Забела” (Pe-1) у </w:t>
      </w:r>
      <w:r>
        <w:rPr>
          <w:color w:val="231F20"/>
          <w:spacing w:val="-3"/>
        </w:rPr>
        <w:t>коли- </w:t>
      </w:r>
      <w:r>
        <w:rPr>
          <w:color w:val="231F20"/>
        </w:rPr>
        <w:t>чинама </w:t>
      </w:r>
      <w:r>
        <w:rPr>
          <w:color w:val="231F20"/>
          <w:spacing w:val="-3"/>
        </w:rPr>
        <w:t>од </w:t>
      </w:r>
      <w:r>
        <w:rPr>
          <w:color w:val="231F20"/>
          <w:spacing w:val="-4"/>
        </w:rPr>
        <w:t>око </w:t>
      </w:r>
      <w:r>
        <w:rPr>
          <w:color w:val="231F20"/>
        </w:rPr>
        <w:t>2 l/s не може се са сигурношћу извући реалан за- кључак о издашности минералних вода релативно мале минера- лизације (1 – 2 g/l). Регистрована температура на овој бушотини износи 40 ºC на </w:t>
      </w:r>
      <w:r>
        <w:rPr>
          <w:color w:val="231F20"/>
          <w:spacing w:val="-4"/>
        </w:rPr>
        <w:t>излазу, </w:t>
      </w:r>
      <w:r>
        <w:rPr>
          <w:color w:val="231F20"/>
        </w:rPr>
        <w:t>што је вероватно знатно мање него што стварно</w:t>
      </w:r>
      <w:r>
        <w:rPr>
          <w:color w:val="231F20"/>
          <w:spacing w:val="-7"/>
        </w:rPr>
        <w:t> </w:t>
      </w:r>
      <w:r>
        <w:rPr>
          <w:color w:val="231F20"/>
        </w:rPr>
        <w:t>износи</w:t>
      </w:r>
      <w:r>
        <w:rPr>
          <w:color w:val="231F20"/>
          <w:spacing w:val="-7"/>
        </w:rPr>
        <w:t> </w:t>
      </w:r>
      <w:r>
        <w:rPr>
          <w:color w:val="231F20"/>
        </w:rPr>
        <w:t>у</w:t>
      </w:r>
      <w:r>
        <w:rPr>
          <w:color w:val="231F20"/>
          <w:spacing w:val="-7"/>
        </w:rPr>
        <w:t> </w:t>
      </w:r>
      <w:r>
        <w:rPr>
          <w:color w:val="231F20"/>
        </w:rPr>
        <w:t>водоносном</w:t>
      </w:r>
      <w:r>
        <w:rPr>
          <w:color w:val="231F20"/>
          <w:spacing w:val="-7"/>
        </w:rPr>
        <w:t> </w:t>
      </w:r>
      <w:r>
        <w:rPr>
          <w:color w:val="231F20"/>
        </w:rPr>
        <w:t>хоризонту</w:t>
      </w:r>
      <w:r>
        <w:rPr>
          <w:color w:val="231F20"/>
          <w:spacing w:val="-7"/>
        </w:rPr>
        <w:t> </w:t>
      </w:r>
      <w:r>
        <w:rPr>
          <w:color w:val="231F20"/>
        </w:rPr>
        <w:t>из</w:t>
      </w:r>
      <w:r>
        <w:rPr>
          <w:color w:val="231F20"/>
          <w:spacing w:val="-7"/>
        </w:rPr>
        <w:t> </w:t>
      </w:r>
      <w:r>
        <w:rPr>
          <w:color w:val="231F20"/>
        </w:rPr>
        <w:t>којег</w:t>
      </w:r>
      <w:r>
        <w:rPr>
          <w:color w:val="231F20"/>
          <w:spacing w:val="-7"/>
        </w:rPr>
        <w:t> </w:t>
      </w:r>
      <w:r>
        <w:rPr>
          <w:color w:val="231F20"/>
        </w:rPr>
        <w:t>само</w:t>
      </w:r>
      <w:r>
        <w:rPr>
          <w:color w:val="231F20"/>
          <w:spacing w:val="-7"/>
        </w:rPr>
        <w:t> </w:t>
      </w:r>
      <w:r>
        <w:rPr>
          <w:color w:val="231F20"/>
        </w:rPr>
        <w:t>део</w:t>
      </w:r>
      <w:r>
        <w:rPr>
          <w:color w:val="231F20"/>
          <w:spacing w:val="-7"/>
        </w:rPr>
        <w:t> </w:t>
      </w:r>
      <w:r>
        <w:rPr>
          <w:color w:val="231F20"/>
        </w:rPr>
        <w:t>воде</w:t>
      </w:r>
      <w:r>
        <w:rPr>
          <w:color w:val="231F20"/>
          <w:spacing w:val="-7"/>
        </w:rPr>
        <w:t> </w:t>
      </w:r>
      <w:r>
        <w:rPr>
          <w:color w:val="231F20"/>
        </w:rPr>
        <w:t>ис- тиче и прелази пут </w:t>
      </w:r>
      <w:r>
        <w:rPr>
          <w:color w:val="231F20"/>
          <w:spacing w:val="-3"/>
        </w:rPr>
        <w:t>од </w:t>
      </w:r>
      <w:r>
        <w:rPr>
          <w:color w:val="231F20"/>
        </w:rPr>
        <w:t>скоро 400 m до површине терена, а нарочи- то кроз хладне подземне воде из квартарних и млађих неогених наслага </w:t>
      </w:r>
      <w:r>
        <w:rPr>
          <w:color w:val="231F20"/>
          <w:spacing w:val="-3"/>
        </w:rPr>
        <w:t>које </w:t>
      </w:r>
      <w:r>
        <w:rPr>
          <w:color w:val="231F20"/>
        </w:rPr>
        <w:t>знатно утичу на смањење температура на излазу из бушотине.</w:t>
      </w:r>
    </w:p>
    <w:p>
      <w:pPr>
        <w:pStyle w:val="BodyText"/>
        <w:spacing w:line="232" w:lineRule="auto"/>
        <w:ind w:left="456" w:firstLine="397"/>
        <w:jc w:val="right"/>
      </w:pPr>
      <w:r>
        <w:rPr>
          <w:color w:val="231F20"/>
          <w:spacing w:val="-3"/>
        </w:rPr>
        <w:t>Други важан </w:t>
      </w:r>
      <w:r>
        <w:rPr>
          <w:color w:val="231F20"/>
        </w:rPr>
        <w:t>локалитет </w:t>
      </w:r>
      <w:r>
        <w:rPr>
          <w:color w:val="231F20"/>
          <w:spacing w:val="-3"/>
        </w:rPr>
        <w:t>појављивања </w:t>
      </w:r>
      <w:r>
        <w:rPr>
          <w:color w:val="231F20"/>
        </w:rPr>
        <w:t>минералних</w:t>
      </w:r>
      <w:r>
        <w:rPr>
          <w:color w:val="231F20"/>
          <w:spacing w:val="-26"/>
        </w:rPr>
        <w:t> </w:t>
      </w:r>
      <w:r>
        <w:rPr>
          <w:color w:val="231F20"/>
          <w:spacing w:val="-4"/>
        </w:rPr>
        <w:t>вода</w:t>
      </w:r>
      <w:r>
        <w:rPr>
          <w:color w:val="231F20"/>
          <w:spacing w:val="17"/>
        </w:rPr>
        <w:t> </w:t>
      </w:r>
      <w:r>
        <w:rPr>
          <w:color w:val="231F20"/>
        </w:rPr>
        <w:t>рела- тивно</w:t>
      </w:r>
      <w:r>
        <w:rPr>
          <w:color w:val="231F20"/>
          <w:spacing w:val="-15"/>
        </w:rPr>
        <w:t> </w:t>
      </w:r>
      <w:r>
        <w:rPr>
          <w:color w:val="231F20"/>
        </w:rPr>
        <w:t>мале</w:t>
      </w:r>
      <w:r>
        <w:rPr>
          <w:color w:val="231F20"/>
          <w:spacing w:val="-15"/>
        </w:rPr>
        <w:t> </w:t>
      </w:r>
      <w:r>
        <w:rPr>
          <w:color w:val="231F20"/>
        </w:rPr>
        <w:t>минерализације</w:t>
      </w:r>
      <w:r>
        <w:rPr>
          <w:color w:val="231F20"/>
          <w:spacing w:val="-15"/>
        </w:rPr>
        <w:t> </w:t>
      </w:r>
      <w:r>
        <w:rPr>
          <w:color w:val="231F20"/>
        </w:rPr>
        <w:t>(1</w:t>
      </w:r>
      <w:r>
        <w:rPr>
          <w:color w:val="231F20"/>
          <w:spacing w:val="7"/>
        </w:rPr>
        <w:t> </w:t>
      </w:r>
      <w:r>
        <w:rPr>
          <w:color w:val="231F20"/>
        </w:rPr>
        <w:t>–</w:t>
      </w:r>
      <w:r>
        <w:rPr>
          <w:color w:val="231F20"/>
          <w:spacing w:val="-15"/>
        </w:rPr>
        <w:t> </w:t>
      </w:r>
      <w:r>
        <w:rPr>
          <w:color w:val="231F20"/>
        </w:rPr>
        <w:t>3</w:t>
      </w:r>
      <w:r>
        <w:rPr>
          <w:color w:val="231F20"/>
          <w:spacing w:val="-15"/>
        </w:rPr>
        <w:t> </w:t>
      </w:r>
      <w:r>
        <w:rPr>
          <w:color w:val="231F20"/>
        </w:rPr>
        <w:t>g/l)</w:t>
      </w:r>
      <w:r>
        <w:rPr>
          <w:color w:val="231F20"/>
          <w:spacing w:val="-15"/>
        </w:rPr>
        <w:t> </w:t>
      </w:r>
      <w:r>
        <w:rPr>
          <w:color w:val="231F20"/>
        </w:rPr>
        <w:t>је</w:t>
      </w:r>
      <w:r>
        <w:rPr>
          <w:color w:val="231F20"/>
          <w:spacing w:val="-15"/>
        </w:rPr>
        <w:t> </w:t>
      </w:r>
      <w:r>
        <w:rPr>
          <w:color w:val="231F20"/>
        </w:rPr>
        <w:t>локалитет</w:t>
      </w:r>
      <w:r>
        <w:rPr>
          <w:color w:val="231F20"/>
          <w:spacing w:val="-15"/>
        </w:rPr>
        <w:t> </w:t>
      </w:r>
      <w:r>
        <w:rPr>
          <w:color w:val="231F20"/>
          <w:spacing w:val="-5"/>
        </w:rPr>
        <w:t>Горњег</w:t>
      </w:r>
      <w:r>
        <w:rPr>
          <w:color w:val="231F20"/>
          <w:spacing w:val="-15"/>
        </w:rPr>
        <w:t> </w:t>
      </w:r>
      <w:r>
        <w:rPr>
          <w:color w:val="231F20"/>
          <w:spacing w:val="-4"/>
        </w:rPr>
        <w:t>костолач-</w:t>
      </w:r>
      <w:r>
        <w:rPr>
          <w:color w:val="231F20"/>
        </w:rPr>
        <w:t> </w:t>
      </w:r>
      <w:r>
        <w:rPr>
          <w:color w:val="231F20"/>
          <w:spacing w:val="-5"/>
        </w:rPr>
        <w:t>ког </w:t>
      </w:r>
      <w:r>
        <w:rPr>
          <w:color w:val="231F20"/>
        </w:rPr>
        <w:t>острва и </w:t>
      </w:r>
      <w:r>
        <w:rPr>
          <w:color w:val="231F20"/>
          <w:spacing w:val="-3"/>
        </w:rPr>
        <w:t>бушотине </w:t>
      </w:r>
      <w:r>
        <w:rPr>
          <w:color w:val="231F20"/>
        </w:rPr>
        <w:t>Ost-1. </w:t>
      </w:r>
      <w:r>
        <w:rPr>
          <w:color w:val="231F20"/>
          <w:spacing w:val="-3"/>
        </w:rPr>
        <w:t>Приказом </w:t>
      </w:r>
      <w:r>
        <w:rPr>
          <w:color w:val="231F20"/>
          <w:spacing w:val="-4"/>
        </w:rPr>
        <w:t>вода </w:t>
      </w:r>
      <w:r>
        <w:rPr>
          <w:color w:val="231F20"/>
        </w:rPr>
        <w:t>из</w:t>
      </w:r>
      <w:r>
        <w:rPr>
          <w:color w:val="231F20"/>
          <w:spacing w:val="26"/>
        </w:rPr>
        <w:t> </w:t>
      </w:r>
      <w:r>
        <w:rPr>
          <w:color w:val="231F20"/>
        </w:rPr>
        <w:t>истраживаног</w:t>
      </w:r>
      <w:r>
        <w:rPr>
          <w:color w:val="231F20"/>
          <w:spacing w:val="10"/>
        </w:rPr>
        <w:t> </w:t>
      </w:r>
      <w:r>
        <w:rPr>
          <w:color w:val="231F20"/>
        </w:rPr>
        <w:t>ин- тервала</w:t>
      </w:r>
      <w:r>
        <w:rPr>
          <w:color w:val="231F20"/>
          <w:spacing w:val="-11"/>
        </w:rPr>
        <w:t> </w:t>
      </w:r>
      <w:r>
        <w:rPr>
          <w:color w:val="231F20"/>
        </w:rPr>
        <w:t>681</w:t>
      </w:r>
      <w:r>
        <w:rPr>
          <w:color w:val="231F20"/>
          <w:spacing w:val="13"/>
        </w:rPr>
        <w:t> </w:t>
      </w:r>
      <w:r>
        <w:rPr>
          <w:color w:val="231F20"/>
        </w:rPr>
        <w:t>–</w:t>
      </w:r>
      <w:r>
        <w:rPr>
          <w:color w:val="231F20"/>
          <w:spacing w:val="-11"/>
        </w:rPr>
        <w:t> </w:t>
      </w:r>
      <w:r>
        <w:rPr>
          <w:color w:val="231F20"/>
        </w:rPr>
        <w:t>684</w:t>
      </w:r>
      <w:r>
        <w:rPr>
          <w:color w:val="231F20"/>
          <w:spacing w:val="-11"/>
        </w:rPr>
        <w:t> </w:t>
      </w:r>
      <w:r>
        <w:rPr>
          <w:color w:val="231F20"/>
        </w:rPr>
        <w:t>m</w:t>
      </w:r>
      <w:r>
        <w:rPr>
          <w:color w:val="231F20"/>
          <w:spacing w:val="-11"/>
        </w:rPr>
        <w:t> </w:t>
      </w:r>
      <w:r>
        <w:rPr>
          <w:color w:val="231F20"/>
        </w:rPr>
        <w:t>из</w:t>
      </w:r>
      <w:r>
        <w:rPr>
          <w:color w:val="231F20"/>
          <w:spacing w:val="-11"/>
        </w:rPr>
        <w:t> </w:t>
      </w:r>
      <w:r>
        <w:rPr>
          <w:color w:val="231F20"/>
          <w:spacing w:val="-3"/>
        </w:rPr>
        <w:t>бушотине</w:t>
      </w:r>
      <w:r>
        <w:rPr>
          <w:color w:val="231F20"/>
          <w:spacing w:val="-11"/>
        </w:rPr>
        <w:t> </w:t>
      </w:r>
      <w:r>
        <w:rPr>
          <w:color w:val="231F20"/>
        </w:rPr>
        <w:t>Оst-1,</w:t>
      </w:r>
      <w:r>
        <w:rPr>
          <w:color w:val="231F20"/>
          <w:spacing w:val="-11"/>
        </w:rPr>
        <w:t> </w:t>
      </w:r>
      <w:r>
        <w:rPr>
          <w:color w:val="231F20"/>
        </w:rPr>
        <w:t>утврђен</w:t>
      </w:r>
      <w:r>
        <w:rPr>
          <w:color w:val="231F20"/>
          <w:spacing w:val="-11"/>
        </w:rPr>
        <w:t> </w:t>
      </w:r>
      <w:r>
        <w:rPr>
          <w:color w:val="231F20"/>
        </w:rPr>
        <w:t>је</w:t>
      </w:r>
      <w:r>
        <w:rPr>
          <w:color w:val="231F20"/>
          <w:spacing w:val="-11"/>
        </w:rPr>
        <w:t> </w:t>
      </w:r>
      <w:r>
        <w:rPr>
          <w:color w:val="231F20"/>
          <w:spacing w:val="-3"/>
        </w:rPr>
        <w:t>хемијски</w:t>
      </w:r>
      <w:r>
        <w:rPr>
          <w:color w:val="231F20"/>
          <w:spacing w:val="-11"/>
        </w:rPr>
        <w:t> </w:t>
      </w:r>
      <w:r>
        <w:rPr>
          <w:color w:val="231F20"/>
        </w:rPr>
        <w:t>састав. Ради се о веома перспективној локацији </w:t>
      </w:r>
      <w:r>
        <w:rPr>
          <w:color w:val="231F20"/>
          <w:spacing w:val="-3"/>
        </w:rPr>
        <w:t>која </w:t>
      </w:r>
      <w:r>
        <w:rPr>
          <w:color w:val="231F20"/>
        </w:rPr>
        <w:t>би у</w:t>
      </w:r>
      <w:r>
        <w:rPr>
          <w:color w:val="231F20"/>
          <w:spacing w:val="5"/>
        </w:rPr>
        <w:t> </w:t>
      </w:r>
      <w:r>
        <w:rPr>
          <w:color w:val="231F20"/>
        </w:rPr>
        <w:t>случају из- вођења наменског водозахвата за експлоатацију</w:t>
      </w:r>
      <w:r>
        <w:rPr>
          <w:color w:val="231F20"/>
          <w:spacing w:val="-25"/>
        </w:rPr>
        <w:t> </w:t>
      </w:r>
      <w:r>
        <w:rPr>
          <w:color w:val="231F20"/>
        </w:rPr>
        <w:t>минералних</w:t>
      </w:r>
      <w:r>
        <w:rPr>
          <w:color w:val="231F20"/>
          <w:spacing w:val="-5"/>
        </w:rPr>
        <w:t> </w:t>
      </w:r>
      <w:r>
        <w:rPr>
          <w:color w:val="231F20"/>
        </w:rPr>
        <w:t>вода, сигурно ималa велики значај у </w:t>
      </w:r>
      <w:r>
        <w:rPr>
          <w:color w:val="231F20"/>
          <w:spacing w:val="-3"/>
        </w:rPr>
        <w:t>погледу </w:t>
      </w:r>
      <w:r>
        <w:rPr>
          <w:color w:val="231F20"/>
        </w:rPr>
        <w:t>захватања</w:t>
      </w:r>
      <w:r>
        <w:rPr>
          <w:color w:val="231F20"/>
          <w:spacing w:val="16"/>
        </w:rPr>
        <w:t> </w:t>
      </w:r>
      <w:r>
        <w:rPr>
          <w:color w:val="231F20"/>
        </w:rPr>
        <w:t>значајних</w:t>
      </w:r>
      <w:r>
        <w:rPr>
          <w:color w:val="231F20"/>
          <w:spacing w:val="1"/>
        </w:rPr>
        <w:t> </w:t>
      </w:r>
      <w:r>
        <w:rPr>
          <w:color w:val="231F20"/>
          <w:spacing w:val="-3"/>
        </w:rPr>
        <w:t>коли-</w:t>
      </w:r>
      <w:r>
        <w:rPr>
          <w:color w:val="231F20"/>
        </w:rPr>
        <w:t> чина вода по минерализацији, </w:t>
      </w:r>
      <w:r>
        <w:rPr>
          <w:color w:val="231F20"/>
          <w:spacing w:val="-3"/>
        </w:rPr>
        <w:t>хемијском </w:t>
      </w:r>
      <w:r>
        <w:rPr>
          <w:color w:val="231F20"/>
        </w:rPr>
        <w:t>саставу уопште</w:t>
      </w:r>
      <w:r>
        <w:rPr>
          <w:color w:val="231F20"/>
          <w:spacing w:val="12"/>
        </w:rPr>
        <w:t> </w:t>
      </w:r>
      <w:r>
        <w:rPr>
          <w:color w:val="231F20"/>
        </w:rPr>
        <w:t>и</w:t>
      </w:r>
      <w:r>
        <w:rPr>
          <w:color w:val="231F20"/>
          <w:spacing w:val="0"/>
        </w:rPr>
        <w:t> </w:t>
      </w:r>
      <w:r>
        <w:rPr>
          <w:color w:val="231F20"/>
        </w:rPr>
        <w:t>темпе- ратури. На овој локацији се на веома малим дубинама</w:t>
      </w:r>
      <w:r>
        <w:rPr>
          <w:color w:val="231F20"/>
          <w:spacing w:val="25"/>
        </w:rPr>
        <w:t> </w:t>
      </w:r>
      <w:r>
        <w:rPr>
          <w:color w:val="231F20"/>
        </w:rPr>
        <w:t>очекују</w:t>
      </w:r>
      <w:r>
        <w:rPr>
          <w:color w:val="231F20"/>
          <w:spacing w:val="1"/>
        </w:rPr>
        <w:t> </w:t>
      </w:r>
      <w:r>
        <w:rPr>
          <w:color w:val="231F20"/>
          <w:spacing w:val="-4"/>
        </w:rPr>
        <w:t>ко-</w:t>
      </w:r>
      <w:r>
        <w:rPr>
          <w:color w:val="231F20"/>
        </w:rPr>
        <w:t> личине </w:t>
      </w:r>
      <w:r>
        <w:rPr>
          <w:color w:val="231F20"/>
          <w:spacing w:val="-3"/>
        </w:rPr>
        <w:t>од </w:t>
      </w:r>
      <w:r>
        <w:rPr>
          <w:color w:val="231F20"/>
        </w:rPr>
        <w:t>10 – 15 l/s самоизливом и температуре </w:t>
      </w:r>
      <w:r>
        <w:rPr>
          <w:color w:val="231F20"/>
          <w:spacing w:val="-4"/>
        </w:rPr>
        <w:t>око </w:t>
      </w:r>
      <w:r>
        <w:rPr>
          <w:color w:val="231F20"/>
        </w:rPr>
        <w:t>50ºC.</w:t>
      </w:r>
      <w:r>
        <w:rPr>
          <w:color w:val="231F20"/>
          <w:spacing w:val="-18"/>
        </w:rPr>
        <w:t> </w:t>
      </w:r>
      <w:r>
        <w:rPr>
          <w:color w:val="231F20"/>
        </w:rPr>
        <w:t>Дакле,</w:t>
      </w:r>
    </w:p>
    <w:p>
      <w:pPr>
        <w:pStyle w:val="BodyText"/>
        <w:spacing w:line="196" w:lineRule="exact"/>
        <w:ind w:left="457"/>
      </w:pPr>
      <w:r>
        <w:rPr>
          <w:color w:val="231F20"/>
        </w:rPr>
        <w:t>слично како и у случају КПД „Забела”.</w:t>
      </w:r>
    </w:p>
    <w:p>
      <w:pPr>
        <w:pStyle w:val="BodyText"/>
        <w:spacing w:line="232" w:lineRule="auto" w:before="69"/>
        <w:ind w:left="243" w:right="124" w:firstLine="396"/>
      </w:pPr>
      <w:r>
        <w:rPr/>
        <w:br w:type="column"/>
      </w:r>
      <w:r>
        <w:rPr>
          <w:color w:val="231F20"/>
        </w:rPr>
        <w:t>У централном делу басена, прогнозира се висина температу- ра од 60 – 70 ºC, за усвојени градијент 5ºC/100 m.</w:t>
      </w:r>
    </w:p>
    <w:p>
      <w:pPr>
        <w:pStyle w:val="BodyText"/>
        <w:spacing w:line="230" w:lineRule="auto"/>
        <w:ind w:left="243" w:right="124" w:firstLine="396"/>
      </w:pPr>
      <w:r>
        <w:rPr>
          <w:color w:val="231F20"/>
        </w:rPr>
        <w:t>По ободу најдубљих делова панонске серије, у водоносним хоризонтима на дубинама од 1.000 – 1.200 m, треба очекивати не- што ниже температуре, али још увек веома значајне, у границама од 45 – 55 ºC, за усвојени средњи градијент од 4,5ºC/100 m.</w:t>
      </w:r>
    </w:p>
    <w:p>
      <w:pPr>
        <w:pStyle w:val="BodyText"/>
        <w:spacing w:line="230" w:lineRule="auto"/>
        <w:ind w:left="242" w:right="124" w:firstLine="397"/>
      </w:pPr>
      <w:r>
        <w:rPr>
          <w:color w:val="231F20"/>
          <w:spacing w:val="-3"/>
        </w:rPr>
        <w:t>Удаљавајући </w:t>
      </w:r>
      <w:r>
        <w:rPr>
          <w:color w:val="231F20"/>
        </w:rPr>
        <w:t>се </w:t>
      </w:r>
      <w:r>
        <w:rPr>
          <w:color w:val="231F20"/>
          <w:spacing w:val="-3"/>
        </w:rPr>
        <w:t>од </w:t>
      </w:r>
      <w:r>
        <w:rPr>
          <w:color w:val="231F20"/>
        </w:rPr>
        <w:t>централне депресије панонске серије пре- ма </w:t>
      </w:r>
      <w:r>
        <w:rPr>
          <w:color w:val="231F20"/>
          <w:spacing w:val="-4"/>
        </w:rPr>
        <w:t>ободу, </w:t>
      </w:r>
      <w:r>
        <w:rPr>
          <w:color w:val="231F20"/>
          <w:spacing w:val="-3"/>
        </w:rPr>
        <w:t>скоро </w:t>
      </w:r>
      <w:r>
        <w:rPr>
          <w:color w:val="231F20"/>
        </w:rPr>
        <w:t>у концентричном </w:t>
      </w:r>
      <w:r>
        <w:rPr>
          <w:color w:val="231F20"/>
          <w:spacing w:val="-3"/>
        </w:rPr>
        <w:t>смислу, </w:t>
      </w:r>
      <w:r>
        <w:rPr>
          <w:color w:val="231F20"/>
        </w:rPr>
        <w:t>опадају и прогнозиране температуре, </w:t>
      </w:r>
      <w:r>
        <w:rPr>
          <w:color w:val="231F20"/>
          <w:spacing w:val="-3"/>
        </w:rPr>
        <w:t>које </w:t>
      </w:r>
      <w:r>
        <w:rPr>
          <w:color w:val="231F20"/>
        </w:rPr>
        <w:t>се очекују у евентуалним водоносним хоризон- тима на дубинама </w:t>
      </w:r>
      <w:r>
        <w:rPr>
          <w:color w:val="231F20"/>
          <w:spacing w:val="-3"/>
        </w:rPr>
        <w:t>од </w:t>
      </w:r>
      <w:r>
        <w:rPr>
          <w:color w:val="231F20"/>
        </w:rPr>
        <w:t>800 – 1000 m </w:t>
      </w:r>
      <w:r>
        <w:rPr>
          <w:color w:val="231F20"/>
          <w:spacing w:val="-3"/>
        </w:rPr>
        <w:t>од </w:t>
      </w:r>
      <w:r>
        <w:rPr>
          <w:color w:val="231F20"/>
        </w:rPr>
        <w:t>36 – 45ºC, </w:t>
      </w:r>
      <w:r>
        <w:rPr>
          <w:color w:val="231F20"/>
          <w:spacing w:val="-3"/>
        </w:rPr>
        <w:t>од </w:t>
      </w:r>
      <w:r>
        <w:rPr>
          <w:color w:val="231F20"/>
        </w:rPr>
        <w:t>700 – 800 m</w:t>
      </w:r>
      <w:r>
        <w:rPr>
          <w:color w:val="231F20"/>
          <w:spacing w:val="-32"/>
        </w:rPr>
        <w:t> </w:t>
      </w:r>
      <w:r>
        <w:rPr>
          <w:color w:val="231F20"/>
          <w:spacing w:val="-4"/>
        </w:rPr>
        <w:t>око </w:t>
      </w:r>
      <w:r>
        <w:rPr>
          <w:color w:val="231F20"/>
        </w:rPr>
        <w:t>35 – 40ºC, и испод 700 m </w:t>
      </w:r>
      <w:r>
        <w:rPr>
          <w:color w:val="231F20"/>
          <w:spacing w:val="-4"/>
        </w:rPr>
        <w:t>око </w:t>
      </w:r>
      <w:r>
        <w:rPr>
          <w:color w:val="231F20"/>
        </w:rPr>
        <w:t>25 –</w:t>
      </w:r>
      <w:r>
        <w:rPr>
          <w:color w:val="231F20"/>
          <w:spacing w:val="5"/>
        </w:rPr>
        <w:t> </w:t>
      </w:r>
      <w:r>
        <w:rPr>
          <w:color w:val="231F20"/>
        </w:rPr>
        <w:t>35ºC.</w:t>
      </w:r>
    </w:p>
    <w:p>
      <w:pPr>
        <w:pStyle w:val="ListParagraph"/>
        <w:numPr>
          <w:ilvl w:val="2"/>
          <w:numId w:val="17"/>
        </w:numPr>
        <w:tabs>
          <w:tab w:pos="1692" w:val="left" w:leader="none"/>
        </w:tabs>
        <w:spacing w:line="396" w:lineRule="exact" w:before="6" w:after="0"/>
        <w:ind w:left="640" w:right="124" w:firstLine="601"/>
        <w:jc w:val="left"/>
        <w:rPr>
          <w:sz w:val="18"/>
        </w:rPr>
      </w:pPr>
      <w:r>
        <w:rPr>
          <w:color w:val="231F20"/>
          <w:spacing w:val="15"/>
          <w:sz w:val="18"/>
        </w:rPr>
        <w:t>Енергет </w:t>
      </w:r>
      <w:r>
        <w:rPr>
          <w:color w:val="231F20"/>
          <w:spacing w:val="11"/>
          <w:sz w:val="18"/>
        </w:rPr>
        <w:t>ска </w:t>
      </w:r>
      <w:r>
        <w:rPr>
          <w:color w:val="231F20"/>
          <w:spacing w:val="16"/>
          <w:sz w:val="18"/>
        </w:rPr>
        <w:t>инфраст </w:t>
      </w:r>
      <w:r>
        <w:rPr>
          <w:color w:val="231F20"/>
          <w:spacing w:val="15"/>
          <w:sz w:val="18"/>
        </w:rPr>
        <w:t>руктура </w:t>
      </w:r>
      <w:r>
        <w:rPr>
          <w:color w:val="231F20"/>
          <w:sz w:val="18"/>
        </w:rPr>
        <w:t>Електроенергетски систем на </w:t>
      </w:r>
      <w:r>
        <w:rPr>
          <w:color w:val="231F20"/>
          <w:spacing w:val="-3"/>
          <w:sz w:val="18"/>
        </w:rPr>
        <w:t>Планском </w:t>
      </w:r>
      <w:r>
        <w:rPr>
          <w:color w:val="231F20"/>
          <w:sz w:val="18"/>
        </w:rPr>
        <w:t>подручју чине:</w:t>
      </w:r>
      <w:r>
        <w:rPr>
          <w:color w:val="231F20"/>
          <w:spacing w:val="5"/>
          <w:sz w:val="18"/>
        </w:rPr>
        <w:t> </w:t>
      </w:r>
      <w:r>
        <w:rPr>
          <w:color w:val="231F20"/>
          <w:sz w:val="18"/>
        </w:rPr>
        <w:t>тер-</w:t>
      </w:r>
    </w:p>
    <w:p>
      <w:pPr>
        <w:pStyle w:val="BodyText"/>
        <w:spacing w:line="153" w:lineRule="exact"/>
        <w:ind w:left="243"/>
      </w:pPr>
      <w:r>
        <w:rPr>
          <w:color w:val="231F20"/>
        </w:rPr>
        <w:t>моелектране „Костолац А и Б”, прикључене на напонски ниво од</w:t>
      </w:r>
    </w:p>
    <w:p>
      <w:pPr>
        <w:pStyle w:val="BodyText"/>
        <w:spacing w:line="230" w:lineRule="auto" w:before="3"/>
        <w:ind w:left="243" w:right="124" w:hanging="1"/>
      </w:pPr>
      <w:r>
        <w:rPr>
          <w:color w:val="231F20"/>
        </w:rPr>
        <w:t>400 kV и 110 kV, преносна мрежа од 400 и 110 kV која је власни- штво ЈП „Електромрежа Србије” и дистрибутивна мрежа 110, 35, 10 и 0,4 kV.</w:t>
      </w:r>
    </w:p>
    <w:p>
      <w:pPr>
        <w:pStyle w:val="BodyText"/>
        <w:spacing w:line="230" w:lineRule="auto"/>
        <w:ind w:left="243" w:right="124" w:firstLine="396"/>
      </w:pPr>
      <w:r>
        <w:rPr>
          <w:color w:val="231F20"/>
        </w:rPr>
        <w:t>Дистрибутивна мрежа и трафостанице, сем сопствене мреже ТЕ-КО „Костолац”, налазе се у оквиру ПД „Центар” д.о.о. Крагу- јевац у чијем је саставу ЕД Пожаревац, са пословницом у </w:t>
      </w:r>
      <w:r>
        <w:rPr>
          <w:color w:val="231F20"/>
          <w:spacing w:val="-6"/>
        </w:rPr>
        <w:t>Кучеву, </w:t>
      </w:r>
      <w:r>
        <w:rPr>
          <w:color w:val="231F20"/>
        </w:rPr>
        <w:t>односно испоставом у </w:t>
      </w:r>
      <w:r>
        <w:rPr>
          <w:color w:val="231F20"/>
          <w:spacing w:val="-6"/>
        </w:rPr>
        <w:t>Голупцу. </w:t>
      </w:r>
      <w:r>
        <w:rPr>
          <w:color w:val="231F20"/>
        </w:rPr>
        <w:t>Дистрибутивна мрежа је димензи- онисана за подмирење потреба за електричном енергијом на ло- калном </w:t>
      </w:r>
      <w:r>
        <w:rPr>
          <w:color w:val="231F20"/>
          <w:spacing w:val="-4"/>
        </w:rPr>
        <w:t>подручју.</w:t>
      </w:r>
    </w:p>
    <w:p>
      <w:pPr>
        <w:pStyle w:val="BodyText"/>
        <w:spacing w:line="230" w:lineRule="auto"/>
        <w:ind w:left="243" w:right="124" w:firstLine="397"/>
      </w:pPr>
      <w:r>
        <w:rPr>
          <w:color w:val="231F20"/>
        </w:rPr>
        <w:t>Подручје </w:t>
      </w:r>
      <w:r>
        <w:rPr>
          <w:color w:val="231F20"/>
          <w:spacing w:val="-3"/>
        </w:rPr>
        <w:t>Костолачког </w:t>
      </w:r>
      <w:r>
        <w:rPr>
          <w:color w:val="231F20"/>
        </w:rPr>
        <w:t>угљеног басена напаја се из трафоста- нице 110/35 kV „Костолац” са трансформатора инсталисане снаге 31,5 </w:t>
      </w:r>
      <w:r>
        <w:rPr>
          <w:color w:val="231F20"/>
          <w:spacing w:val="-7"/>
        </w:rPr>
        <w:t>MVA, </w:t>
      </w:r>
      <w:r>
        <w:rPr>
          <w:color w:val="231F20"/>
        </w:rPr>
        <w:t>из трафостанице 110/35 kV „Пожаревац 1”</w:t>
      </w:r>
      <w:r>
        <w:rPr>
          <w:color w:val="231F20"/>
          <w:spacing w:val="-30"/>
        </w:rPr>
        <w:t> </w:t>
      </w:r>
      <w:r>
        <w:rPr>
          <w:color w:val="231F20"/>
        </w:rPr>
        <w:t>инсталисане снаге 2 x 31,5 </w:t>
      </w:r>
      <w:r>
        <w:rPr>
          <w:color w:val="231F20"/>
          <w:spacing w:val="-9"/>
        </w:rPr>
        <w:t>MVA </w:t>
      </w:r>
      <w:r>
        <w:rPr>
          <w:color w:val="231F20"/>
        </w:rPr>
        <w:t>и трафостанице 110/35 kV „Велико Градиште” тренутно инсталисане снаге 2 x 20</w:t>
      </w:r>
      <w:r>
        <w:rPr>
          <w:color w:val="231F20"/>
          <w:spacing w:val="-3"/>
        </w:rPr>
        <w:t> </w:t>
      </w:r>
      <w:r>
        <w:rPr>
          <w:color w:val="231F20"/>
          <w:spacing w:val="-7"/>
        </w:rPr>
        <w:t>MVA.</w:t>
      </w:r>
    </w:p>
    <w:p>
      <w:pPr>
        <w:pStyle w:val="BodyText"/>
        <w:spacing w:line="230" w:lineRule="auto"/>
        <w:ind w:left="243" w:right="124" w:firstLine="396"/>
      </w:pPr>
      <w:r>
        <w:rPr>
          <w:color w:val="231F20"/>
        </w:rPr>
        <w:t>У ТС </w:t>
      </w:r>
      <w:r>
        <w:rPr>
          <w:color w:val="231F20"/>
          <w:spacing w:val="-3"/>
        </w:rPr>
        <w:t>110/35kV „Костолац” </w:t>
      </w:r>
      <w:r>
        <w:rPr>
          <w:color w:val="231F20"/>
        </w:rPr>
        <w:t>се налази </w:t>
      </w:r>
      <w:r>
        <w:rPr>
          <w:color w:val="231F20"/>
          <w:spacing w:val="-3"/>
        </w:rPr>
        <w:t>један трансформатор снаге </w:t>
      </w:r>
      <w:r>
        <w:rPr>
          <w:color w:val="231F20"/>
        </w:rPr>
        <w:t>31,5 </w:t>
      </w:r>
      <w:r>
        <w:rPr>
          <w:color w:val="231F20"/>
          <w:spacing w:val="-8"/>
        </w:rPr>
        <w:t>MVA, </w:t>
      </w:r>
      <w:r>
        <w:rPr>
          <w:color w:val="231F20"/>
          <w:spacing w:val="-4"/>
        </w:rPr>
        <w:t>који </w:t>
      </w:r>
      <w:r>
        <w:rPr>
          <w:color w:val="231F20"/>
        </w:rPr>
        <w:t>је прикључен на сабирнице </w:t>
      </w:r>
      <w:r>
        <w:rPr>
          <w:color w:val="231F20"/>
          <w:spacing w:val="-4"/>
        </w:rPr>
        <w:t>110 </w:t>
      </w:r>
      <w:r>
        <w:rPr>
          <w:color w:val="231F20"/>
        </w:rPr>
        <w:t>kV у ТЕ </w:t>
      </w:r>
      <w:r>
        <w:rPr>
          <w:color w:val="231F20"/>
          <w:spacing w:val="-5"/>
        </w:rPr>
        <w:t>Ко- </w:t>
      </w:r>
      <w:r>
        <w:rPr>
          <w:color w:val="231F20"/>
          <w:spacing w:val="-3"/>
        </w:rPr>
        <w:t>столац. Пошто су </w:t>
      </w:r>
      <w:r>
        <w:rPr>
          <w:color w:val="231F20"/>
        </w:rPr>
        <w:t>на те сабирнице прикључена и оба </w:t>
      </w:r>
      <w:r>
        <w:rPr>
          <w:color w:val="231F20"/>
          <w:spacing w:val="-3"/>
        </w:rPr>
        <w:t>агрегата </w:t>
      </w:r>
      <w:r>
        <w:rPr>
          <w:color w:val="231F20"/>
        </w:rPr>
        <w:t>у ТЕ</w:t>
      </w:r>
    </w:p>
    <w:p>
      <w:pPr>
        <w:pStyle w:val="BodyText"/>
        <w:spacing w:line="230" w:lineRule="auto"/>
        <w:ind w:left="243" w:right="123"/>
      </w:pPr>
      <w:r>
        <w:rPr>
          <w:color w:val="231F20"/>
          <w:spacing w:val="-4"/>
        </w:rPr>
        <w:t>„Костолац</w:t>
      </w:r>
      <w:r>
        <w:rPr>
          <w:color w:val="231F20"/>
          <w:spacing w:val="-6"/>
        </w:rPr>
        <w:t> </w:t>
      </w:r>
      <w:r>
        <w:rPr>
          <w:color w:val="231F20"/>
        </w:rPr>
        <w:t>А”</w:t>
      </w:r>
      <w:r>
        <w:rPr>
          <w:color w:val="231F20"/>
          <w:spacing w:val="-5"/>
        </w:rPr>
        <w:t> </w:t>
      </w:r>
      <w:r>
        <w:rPr>
          <w:color w:val="231F20"/>
        </w:rPr>
        <w:t>(100</w:t>
      </w:r>
      <w:r>
        <w:rPr>
          <w:color w:val="231F20"/>
          <w:spacing w:val="-5"/>
        </w:rPr>
        <w:t> </w:t>
      </w:r>
      <w:r>
        <w:rPr>
          <w:color w:val="231F20"/>
        </w:rPr>
        <w:t>и</w:t>
      </w:r>
      <w:r>
        <w:rPr>
          <w:color w:val="231F20"/>
          <w:spacing w:val="-6"/>
        </w:rPr>
        <w:t> </w:t>
      </w:r>
      <w:r>
        <w:rPr>
          <w:color w:val="231F20"/>
        </w:rPr>
        <w:t>200</w:t>
      </w:r>
      <w:r>
        <w:rPr>
          <w:color w:val="231F20"/>
          <w:spacing w:val="-5"/>
        </w:rPr>
        <w:t> </w:t>
      </w:r>
      <w:r>
        <w:rPr>
          <w:color w:val="231F20"/>
        </w:rPr>
        <w:t>MW)</w:t>
      </w:r>
      <w:r>
        <w:rPr>
          <w:color w:val="231F20"/>
          <w:spacing w:val="-5"/>
        </w:rPr>
        <w:t> </w:t>
      </w:r>
      <w:r>
        <w:rPr>
          <w:color w:val="231F20"/>
        </w:rPr>
        <w:t>и</w:t>
      </w:r>
      <w:r>
        <w:rPr>
          <w:color w:val="231F20"/>
          <w:spacing w:val="-6"/>
        </w:rPr>
        <w:t> </w:t>
      </w:r>
      <w:r>
        <w:rPr>
          <w:color w:val="231F20"/>
        </w:rPr>
        <w:t>четири</w:t>
      </w:r>
      <w:r>
        <w:rPr>
          <w:color w:val="231F20"/>
          <w:spacing w:val="-6"/>
        </w:rPr>
        <w:t> </w:t>
      </w:r>
      <w:r>
        <w:rPr>
          <w:color w:val="231F20"/>
          <w:spacing w:val="-4"/>
        </w:rPr>
        <w:t>вода</w:t>
      </w:r>
      <w:r>
        <w:rPr>
          <w:color w:val="231F20"/>
          <w:spacing w:val="-5"/>
        </w:rPr>
        <w:t> </w:t>
      </w:r>
      <w:r>
        <w:rPr>
          <w:color w:val="231F20"/>
          <w:spacing w:val="-4"/>
        </w:rPr>
        <w:t>110</w:t>
      </w:r>
      <w:r>
        <w:rPr>
          <w:color w:val="231F20"/>
          <w:spacing w:val="-5"/>
        </w:rPr>
        <w:t> </w:t>
      </w:r>
      <w:r>
        <w:rPr>
          <w:color w:val="231F20"/>
        </w:rPr>
        <w:t>kV</w:t>
      </w:r>
      <w:r>
        <w:rPr>
          <w:color w:val="231F20"/>
          <w:spacing w:val="-9"/>
        </w:rPr>
        <w:t> </w:t>
      </w:r>
      <w:r>
        <w:rPr>
          <w:color w:val="231F20"/>
        </w:rPr>
        <w:t>из</w:t>
      </w:r>
      <w:r>
        <w:rPr>
          <w:color w:val="231F20"/>
          <w:spacing w:val="-5"/>
        </w:rPr>
        <w:t> </w:t>
      </w:r>
      <w:r>
        <w:rPr>
          <w:color w:val="231F20"/>
        </w:rPr>
        <w:t>правца</w:t>
      </w:r>
      <w:r>
        <w:rPr>
          <w:color w:val="231F20"/>
          <w:spacing w:val="-5"/>
        </w:rPr>
        <w:t> </w:t>
      </w:r>
      <w:r>
        <w:rPr>
          <w:color w:val="231F20"/>
        </w:rPr>
        <w:t>Сме- </w:t>
      </w:r>
      <w:r>
        <w:rPr>
          <w:color w:val="231F20"/>
          <w:spacing w:val="-3"/>
        </w:rPr>
        <w:t>дерева</w:t>
      </w:r>
      <w:r>
        <w:rPr>
          <w:color w:val="231F20"/>
          <w:spacing w:val="-7"/>
        </w:rPr>
        <w:t> </w:t>
      </w:r>
      <w:r>
        <w:rPr>
          <w:color w:val="231F20"/>
          <w:spacing w:val="-3"/>
        </w:rPr>
        <w:t>(два</w:t>
      </w:r>
      <w:r>
        <w:rPr>
          <w:color w:val="231F20"/>
          <w:spacing w:val="-7"/>
        </w:rPr>
        <w:t> </w:t>
      </w:r>
      <w:r>
        <w:rPr>
          <w:color w:val="231F20"/>
          <w:spacing w:val="-3"/>
        </w:rPr>
        <w:t>директна</w:t>
      </w:r>
      <w:r>
        <w:rPr>
          <w:color w:val="231F20"/>
          <w:spacing w:val="-7"/>
        </w:rPr>
        <w:t> </w:t>
      </w:r>
      <w:r>
        <w:rPr>
          <w:color w:val="231F20"/>
        </w:rPr>
        <w:t>из</w:t>
      </w:r>
      <w:r>
        <w:rPr>
          <w:color w:val="231F20"/>
          <w:spacing w:val="-7"/>
        </w:rPr>
        <w:t> </w:t>
      </w:r>
      <w:r>
        <w:rPr>
          <w:color w:val="231F20"/>
        </w:rPr>
        <w:t>ТС</w:t>
      </w:r>
      <w:r>
        <w:rPr>
          <w:color w:val="231F20"/>
          <w:spacing w:val="-7"/>
        </w:rPr>
        <w:t> </w:t>
      </w:r>
      <w:r>
        <w:rPr>
          <w:color w:val="231F20"/>
          <w:spacing w:val="-3"/>
        </w:rPr>
        <w:t>220/110</w:t>
      </w:r>
      <w:r>
        <w:rPr>
          <w:color w:val="231F20"/>
          <w:spacing w:val="-7"/>
        </w:rPr>
        <w:t> </w:t>
      </w:r>
      <w:r>
        <w:rPr>
          <w:color w:val="231F20"/>
        </w:rPr>
        <w:t>kV</w:t>
      </w:r>
      <w:r>
        <w:rPr>
          <w:color w:val="231F20"/>
          <w:spacing w:val="-10"/>
        </w:rPr>
        <w:t> </w:t>
      </w:r>
      <w:r>
        <w:rPr>
          <w:color w:val="231F20"/>
          <w:spacing w:val="-3"/>
        </w:rPr>
        <w:t>„Смедерево</w:t>
      </w:r>
      <w:r>
        <w:rPr>
          <w:color w:val="231F20"/>
          <w:spacing w:val="-7"/>
        </w:rPr>
        <w:t> </w:t>
      </w:r>
      <w:r>
        <w:rPr>
          <w:color w:val="231F20"/>
        </w:rPr>
        <w:t>3”)</w:t>
      </w:r>
      <w:r>
        <w:rPr>
          <w:color w:val="231F20"/>
          <w:spacing w:val="-7"/>
        </w:rPr>
        <w:t> </w:t>
      </w:r>
      <w:r>
        <w:rPr>
          <w:color w:val="231F20"/>
        </w:rPr>
        <w:t>трансформа- ција </w:t>
      </w:r>
      <w:r>
        <w:rPr>
          <w:color w:val="231F20"/>
          <w:spacing w:val="-3"/>
        </w:rPr>
        <w:t>110/35 </w:t>
      </w:r>
      <w:r>
        <w:rPr>
          <w:color w:val="231F20"/>
        </w:rPr>
        <w:t>kV у </w:t>
      </w:r>
      <w:r>
        <w:rPr>
          <w:color w:val="231F20"/>
          <w:spacing w:val="-4"/>
        </w:rPr>
        <w:t>Костолцу </w:t>
      </w:r>
      <w:r>
        <w:rPr>
          <w:color w:val="231F20"/>
          <w:spacing w:val="-2"/>
        </w:rPr>
        <w:t>има </w:t>
      </w:r>
      <w:r>
        <w:rPr>
          <w:color w:val="231F20"/>
        </w:rPr>
        <w:t>сигурно </w:t>
      </w:r>
      <w:r>
        <w:rPr>
          <w:color w:val="231F20"/>
          <w:spacing w:val="-3"/>
        </w:rPr>
        <w:t>напајање </w:t>
      </w:r>
      <w:r>
        <w:rPr>
          <w:color w:val="231F20"/>
        </w:rPr>
        <w:t>са стране </w:t>
      </w:r>
      <w:r>
        <w:rPr>
          <w:color w:val="231F20"/>
          <w:spacing w:val="-4"/>
        </w:rPr>
        <w:t>110 </w:t>
      </w:r>
      <w:r>
        <w:rPr>
          <w:color w:val="231F20"/>
          <w:spacing w:val="-10"/>
        </w:rPr>
        <w:t>kV. </w:t>
      </w:r>
      <w:r>
        <w:rPr>
          <w:color w:val="231F20"/>
          <w:spacing w:val="-5"/>
        </w:rPr>
        <w:t>Како </w:t>
      </w:r>
      <w:r>
        <w:rPr>
          <w:color w:val="231F20"/>
        </w:rPr>
        <w:t>ТС </w:t>
      </w:r>
      <w:r>
        <w:rPr>
          <w:color w:val="231F20"/>
          <w:spacing w:val="-3"/>
        </w:rPr>
        <w:t>110/35 </w:t>
      </w:r>
      <w:r>
        <w:rPr>
          <w:color w:val="231F20"/>
        </w:rPr>
        <w:t>kV </w:t>
      </w:r>
      <w:r>
        <w:rPr>
          <w:color w:val="231F20"/>
          <w:spacing w:val="-3"/>
        </w:rPr>
        <w:t>„Костолац” </w:t>
      </w:r>
      <w:r>
        <w:rPr>
          <w:color w:val="231F20"/>
        </w:rPr>
        <w:t>није </w:t>
      </w:r>
      <w:r>
        <w:rPr>
          <w:color w:val="231F20"/>
          <w:spacing w:val="-4"/>
        </w:rPr>
        <w:t>преко </w:t>
      </w:r>
      <w:r>
        <w:rPr>
          <w:color w:val="231F20"/>
          <w:spacing w:val="-3"/>
        </w:rPr>
        <w:t>мреже </w:t>
      </w:r>
      <w:r>
        <w:rPr>
          <w:color w:val="231F20"/>
        </w:rPr>
        <w:t>35 kV повезана</w:t>
      </w:r>
      <w:r>
        <w:rPr>
          <w:color w:val="231F20"/>
          <w:spacing w:val="-27"/>
        </w:rPr>
        <w:t> </w:t>
      </w:r>
      <w:r>
        <w:rPr>
          <w:color w:val="231F20"/>
        </w:rPr>
        <w:t>ни са</w:t>
      </w:r>
      <w:r>
        <w:rPr>
          <w:color w:val="231F20"/>
          <w:spacing w:val="-8"/>
        </w:rPr>
        <w:t> </w:t>
      </w:r>
      <w:r>
        <w:rPr>
          <w:color w:val="231F20"/>
          <w:spacing w:val="-3"/>
        </w:rPr>
        <w:t>једном</w:t>
      </w:r>
      <w:r>
        <w:rPr>
          <w:color w:val="231F20"/>
          <w:spacing w:val="-8"/>
        </w:rPr>
        <w:t> </w:t>
      </w:r>
      <w:r>
        <w:rPr>
          <w:color w:val="231F20"/>
          <w:spacing w:val="-3"/>
        </w:rPr>
        <w:t>суседном</w:t>
      </w:r>
      <w:r>
        <w:rPr>
          <w:color w:val="231F20"/>
          <w:spacing w:val="-8"/>
        </w:rPr>
        <w:t> </w:t>
      </w:r>
      <w:r>
        <w:rPr>
          <w:color w:val="231F20"/>
        </w:rPr>
        <w:t>ТС</w:t>
      </w:r>
      <w:r>
        <w:rPr>
          <w:color w:val="231F20"/>
          <w:spacing w:val="-8"/>
        </w:rPr>
        <w:t> </w:t>
      </w:r>
      <w:r>
        <w:rPr>
          <w:color w:val="231F20"/>
          <w:spacing w:val="-3"/>
        </w:rPr>
        <w:t>110/35</w:t>
      </w:r>
      <w:r>
        <w:rPr>
          <w:color w:val="231F20"/>
          <w:spacing w:val="-8"/>
        </w:rPr>
        <w:t> </w:t>
      </w:r>
      <w:r>
        <w:rPr>
          <w:color w:val="231F20"/>
          <w:spacing w:val="-10"/>
        </w:rPr>
        <w:t>kV,</w:t>
      </w:r>
      <w:r>
        <w:rPr>
          <w:color w:val="231F20"/>
          <w:spacing w:val="-8"/>
        </w:rPr>
        <w:t> </w:t>
      </w:r>
      <w:r>
        <w:rPr>
          <w:color w:val="231F20"/>
        </w:rPr>
        <w:t>са</w:t>
      </w:r>
      <w:r>
        <w:rPr>
          <w:color w:val="231F20"/>
          <w:spacing w:val="-8"/>
        </w:rPr>
        <w:t> </w:t>
      </w:r>
      <w:r>
        <w:rPr>
          <w:color w:val="231F20"/>
        </w:rPr>
        <w:t>становишта</w:t>
      </w:r>
      <w:r>
        <w:rPr>
          <w:color w:val="231F20"/>
          <w:spacing w:val="-8"/>
        </w:rPr>
        <w:t> </w:t>
      </w:r>
      <w:r>
        <w:rPr>
          <w:color w:val="231F20"/>
        </w:rPr>
        <w:t>сигурности</w:t>
      </w:r>
      <w:r>
        <w:rPr>
          <w:color w:val="231F20"/>
          <w:spacing w:val="-8"/>
        </w:rPr>
        <w:t> </w:t>
      </w:r>
      <w:r>
        <w:rPr>
          <w:color w:val="231F20"/>
        </w:rPr>
        <w:t>крити- чан је испад </w:t>
      </w:r>
      <w:r>
        <w:rPr>
          <w:color w:val="231F20"/>
          <w:spacing w:val="-3"/>
        </w:rPr>
        <w:t>тог јединог трансформатора </w:t>
      </w:r>
      <w:r>
        <w:rPr>
          <w:color w:val="231F20"/>
        </w:rPr>
        <w:t>у </w:t>
      </w:r>
      <w:r>
        <w:rPr>
          <w:color w:val="231F20"/>
          <w:spacing w:val="-6"/>
        </w:rPr>
        <w:t>Костолцу. </w:t>
      </w:r>
      <w:r>
        <w:rPr>
          <w:color w:val="231F20"/>
          <w:spacing w:val="-3"/>
        </w:rPr>
        <w:t>Тада, </w:t>
      </w:r>
      <w:r>
        <w:rPr>
          <w:color w:val="231F20"/>
        </w:rPr>
        <w:t>у </w:t>
      </w:r>
      <w:r>
        <w:rPr>
          <w:color w:val="231F20"/>
          <w:spacing w:val="-3"/>
        </w:rPr>
        <w:t>првом </w:t>
      </w:r>
      <w:r>
        <w:rPr>
          <w:color w:val="231F20"/>
          <w:spacing w:val="-5"/>
        </w:rPr>
        <w:t>моменту, </w:t>
      </w:r>
      <w:r>
        <w:rPr>
          <w:color w:val="231F20"/>
        </w:rPr>
        <w:t>без </w:t>
      </w:r>
      <w:r>
        <w:rPr>
          <w:color w:val="231F20"/>
          <w:spacing w:val="-3"/>
        </w:rPr>
        <w:t>напајања </w:t>
      </w:r>
      <w:r>
        <w:rPr>
          <w:color w:val="231F20"/>
        </w:rPr>
        <w:t>остају сви </w:t>
      </w:r>
      <w:r>
        <w:rPr>
          <w:color w:val="231F20"/>
          <w:spacing w:val="-3"/>
        </w:rPr>
        <w:t>потрошачи </w:t>
      </w:r>
      <w:r>
        <w:rPr>
          <w:color w:val="231F20"/>
        </w:rPr>
        <w:t>у </w:t>
      </w:r>
      <w:r>
        <w:rPr>
          <w:color w:val="231F20"/>
          <w:spacing w:val="-3"/>
        </w:rPr>
        <w:t>дистрибутивној </w:t>
      </w:r>
      <w:r>
        <w:rPr>
          <w:color w:val="231F20"/>
        </w:rPr>
        <w:t>мре- жи</w:t>
      </w:r>
      <w:r>
        <w:rPr>
          <w:color w:val="231F20"/>
          <w:spacing w:val="-10"/>
        </w:rPr>
        <w:t> </w:t>
      </w:r>
      <w:r>
        <w:rPr>
          <w:color w:val="231F20"/>
        </w:rPr>
        <w:t>везаној</w:t>
      </w:r>
      <w:r>
        <w:rPr>
          <w:color w:val="231F20"/>
          <w:spacing w:val="-10"/>
        </w:rPr>
        <w:t> </w:t>
      </w:r>
      <w:r>
        <w:rPr>
          <w:color w:val="231F20"/>
        </w:rPr>
        <w:t>за</w:t>
      </w:r>
      <w:r>
        <w:rPr>
          <w:color w:val="231F20"/>
          <w:spacing w:val="-10"/>
        </w:rPr>
        <w:t> </w:t>
      </w:r>
      <w:r>
        <w:rPr>
          <w:color w:val="231F20"/>
          <w:spacing w:val="-4"/>
        </w:rPr>
        <w:t>ову</w:t>
      </w:r>
      <w:r>
        <w:rPr>
          <w:color w:val="231F20"/>
          <w:spacing w:val="-10"/>
        </w:rPr>
        <w:t> </w:t>
      </w:r>
      <w:r>
        <w:rPr>
          <w:color w:val="231F20"/>
        </w:rPr>
        <w:t>ТС.</w:t>
      </w:r>
      <w:r>
        <w:rPr>
          <w:color w:val="231F20"/>
          <w:spacing w:val="-10"/>
        </w:rPr>
        <w:t> </w:t>
      </w:r>
      <w:r>
        <w:rPr>
          <w:color w:val="231F20"/>
        </w:rPr>
        <w:t>Резервно</w:t>
      </w:r>
      <w:r>
        <w:rPr>
          <w:color w:val="231F20"/>
          <w:spacing w:val="-10"/>
        </w:rPr>
        <w:t> </w:t>
      </w:r>
      <w:r>
        <w:rPr>
          <w:color w:val="231F20"/>
          <w:spacing w:val="-3"/>
        </w:rPr>
        <w:t>напајање</w:t>
      </w:r>
      <w:r>
        <w:rPr>
          <w:color w:val="231F20"/>
          <w:spacing w:val="-10"/>
        </w:rPr>
        <w:t> </w:t>
      </w:r>
      <w:r>
        <w:rPr>
          <w:color w:val="231F20"/>
          <w:spacing w:val="-4"/>
        </w:rPr>
        <w:t>може</w:t>
      </w:r>
      <w:r>
        <w:rPr>
          <w:color w:val="231F20"/>
          <w:spacing w:val="-10"/>
        </w:rPr>
        <w:t> </w:t>
      </w:r>
      <w:r>
        <w:rPr>
          <w:color w:val="231F20"/>
        </w:rPr>
        <w:t>се,</w:t>
      </w:r>
      <w:r>
        <w:rPr>
          <w:color w:val="231F20"/>
          <w:spacing w:val="-10"/>
        </w:rPr>
        <w:t> </w:t>
      </w:r>
      <w:r>
        <w:rPr>
          <w:color w:val="231F20"/>
        </w:rPr>
        <w:t>у</w:t>
      </w:r>
      <w:r>
        <w:rPr>
          <w:color w:val="231F20"/>
          <w:spacing w:val="-10"/>
        </w:rPr>
        <w:t> </w:t>
      </w:r>
      <w:r>
        <w:rPr>
          <w:color w:val="231F20"/>
          <w:spacing w:val="-3"/>
        </w:rPr>
        <w:t>оваквом</w:t>
      </w:r>
      <w:r>
        <w:rPr>
          <w:color w:val="231F20"/>
          <w:spacing w:val="-10"/>
        </w:rPr>
        <w:t> </w:t>
      </w:r>
      <w:r>
        <w:rPr>
          <w:color w:val="231F20"/>
          <w:spacing w:val="-4"/>
        </w:rPr>
        <w:t>случају, </w:t>
      </w:r>
      <w:r>
        <w:rPr>
          <w:color w:val="231F20"/>
        </w:rPr>
        <w:t>успоставити и </w:t>
      </w:r>
      <w:r>
        <w:rPr>
          <w:color w:val="231F20"/>
          <w:spacing w:val="-4"/>
        </w:rPr>
        <w:t>преко </w:t>
      </w:r>
      <w:r>
        <w:rPr>
          <w:color w:val="231F20"/>
          <w:spacing w:val="-3"/>
        </w:rPr>
        <w:t>трансформатора </w:t>
      </w:r>
      <w:r>
        <w:rPr>
          <w:color w:val="231F20"/>
        </w:rPr>
        <w:t>35/6 kV </w:t>
      </w:r>
      <w:r>
        <w:rPr>
          <w:color w:val="231F20"/>
          <w:spacing w:val="-3"/>
        </w:rPr>
        <w:t>снаге </w:t>
      </w:r>
      <w:r>
        <w:rPr>
          <w:color w:val="231F20"/>
        </w:rPr>
        <w:t>31,5 </w:t>
      </w:r>
      <w:r>
        <w:rPr>
          <w:color w:val="231F20"/>
          <w:spacing w:val="-8"/>
        </w:rPr>
        <w:t>MVA, </w:t>
      </w:r>
      <w:r>
        <w:rPr>
          <w:color w:val="231F20"/>
          <w:spacing w:val="-4"/>
        </w:rPr>
        <w:t>који </w:t>
      </w:r>
      <w:r>
        <w:rPr>
          <w:color w:val="231F20"/>
        </w:rPr>
        <w:t>у постројењу </w:t>
      </w:r>
      <w:r>
        <w:rPr>
          <w:color w:val="231F20"/>
          <w:spacing w:val="-4"/>
        </w:rPr>
        <w:t>Костолца </w:t>
      </w:r>
      <w:r>
        <w:rPr>
          <w:color w:val="231F20"/>
          <w:spacing w:val="-3"/>
        </w:rPr>
        <w:t>повезује </w:t>
      </w:r>
      <w:r>
        <w:rPr>
          <w:color w:val="231F20"/>
        </w:rPr>
        <w:t>сабирнице 6 kV на </w:t>
      </w:r>
      <w:r>
        <w:rPr>
          <w:color w:val="231F20"/>
          <w:spacing w:val="-4"/>
        </w:rPr>
        <w:t>које </w:t>
      </w:r>
      <w:r>
        <w:rPr>
          <w:color w:val="231F20"/>
        </w:rPr>
        <w:t>је везана сопствена потрошња електране, са сабирницама 35 kV са </w:t>
      </w:r>
      <w:r>
        <w:rPr>
          <w:color w:val="231F20"/>
          <w:spacing w:val="-4"/>
        </w:rPr>
        <w:t>којих </w:t>
      </w:r>
      <w:r>
        <w:rPr>
          <w:color w:val="231F20"/>
        </w:rPr>
        <w:t>се </w:t>
      </w:r>
      <w:r>
        <w:rPr>
          <w:color w:val="231F20"/>
          <w:spacing w:val="-3"/>
        </w:rPr>
        <w:t>напаја дистрибутивна </w:t>
      </w:r>
      <w:r>
        <w:rPr>
          <w:color w:val="231F20"/>
        </w:rPr>
        <w:t>мрежа. Наравно, </w:t>
      </w:r>
      <w:r>
        <w:rPr>
          <w:color w:val="231F20"/>
          <w:spacing w:val="-5"/>
        </w:rPr>
        <w:t>ако </w:t>
      </w:r>
      <w:r>
        <w:rPr>
          <w:color w:val="231F20"/>
        </w:rPr>
        <w:t>тај </w:t>
      </w:r>
      <w:r>
        <w:rPr>
          <w:color w:val="231F20"/>
          <w:spacing w:val="-3"/>
        </w:rPr>
        <w:t>трансформатор </w:t>
      </w:r>
      <w:r>
        <w:rPr>
          <w:color w:val="231F20"/>
          <w:spacing w:val="-4"/>
        </w:rPr>
        <w:t>може </w:t>
      </w:r>
      <w:r>
        <w:rPr>
          <w:color w:val="231F20"/>
        </w:rPr>
        <w:t>у </w:t>
      </w:r>
      <w:r>
        <w:rPr>
          <w:color w:val="231F20"/>
          <w:spacing w:val="-4"/>
        </w:rPr>
        <w:t>том </w:t>
      </w:r>
      <w:r>
        <w:rPr>
          <w:color w:val="231F20"/>
          <w:spacing w:val="-3"/>
        </w:rPr>
        <w:t>моменту </w:t>
      </w:r>
      <w:r>
        <w:rPr>
          <w:color w:val="231F20"/>
        </w:rPr>
        <w:t>да </w:t>
      </w:r>
      <w:r>
        <w:rPr>
          <w:color w:val="231F20"/>
          <w:spacing w:val="-3"/>
        </w:rPr>
        <w:t>прихвати </w:t>
      </w:r>
      <w:r>
        <w:rPr>
          <w:color w:val="231F20"/>
          <w:spacing w:val="-4"/>
        </w:rPr>
        <w:t>додатно </w:t>
      </w:r>
      <w:r>
        <w:rPr>
          <w:color w:val="231F20"/>
        </w:rPr>
        <w:t>оптерећење </w:t>
      </w:r>
      <w:r>
        <w:rPr>
          <w:color w:val="231F20"/>
          <w:spacing w:val="-4"/>
        </w:rPr>
        <w:t>од </w:t>
      </w:r>
      <w:r>
        <w:rPr>
          <w:color w:val="231F20"/>
        </w:rPr>
        <w:t>10 </w:t>
      </w:r>
      <w:r>
        <w:rPr>
          <w:color w:val="231F20"/>
          <w:spacing w:val="-7"/>
        </w:rPr>
        <w:t>MW, </w:t>
      </w:r>
      <w:r>
        <w:rPr>
          <w:color w:val="231F20"/>
          <w:spacing w:val="-6"/>
        </w:rPr>
        <w:t>колико </w:t>
      </w:r>
      <w:r>
        <w:rPr>
          <w:color w:val="231F20"/>
        </w:rPr>
        <w:t>је</w:t>
      </w:r>
      <w:r>
        <w:rPr>
          <w:color w:val="231F20"/>
          <w:spacing w:val="-6"/>
        </w:rPr>
        <w:t> </w:t>
      </w:r>
      <w:r>
        <w:rPr>
          <w:color w:val="231F20"/>
        </w:rPr>
        <w:t>било</w:t>
      </w:r>
      <w:r>
        <w:rPr>
          <w:color w:val="231F20"/>
          <w:spacing w:val="-6"/>
        </w:rPr>
        <w:t> </w:t>
      </w:r>
      <w:r>
        <w:rPr>
          <w:color w:val="231F20"/>
        </w:rPr>
        <w:t>вршно</w:t>
      </w:r>
      <w:r>
        <w:rPr>
          <w:color w:val="231F20"/>
          <w:spacing w:val="-6"/>
        </w:rPr>
        <w:t> </w:t>
      </w:r>
      <w:r>
        <w:rPr>
          <w:color w:val="231F20"/>
        </w:rPr>
        <w:t>оптерећење</w:t>
      </w:r>
      <w:r>
        <w:rPr>
          <w:color w:val="231F20"/>
          <w:spacing w:val="-6"/>
        </w:rPr>
        <w:t> </w:t>
      </w:r>
      <w:r>
        <w:rPr>
          <w:color w:val="231F20"/>
          <w:spacing w:val="-3"/>
        </w:rPr>
        <w:t>дистрибутивне</w:t>
      </w:r>
      <w:r>
        <w:rPr>
          <w:color w:val="231F20"/>
          <w:spacing w:val="-6"/>
        </w:rPr>
        <w:t> </w:t>
      </w:r>
      <w:r>
        <w:rPr>
          <w:color w:val="231F20"/>
          <w:spacing w:val="-3"/>
        </w:rPr>
        <w:t>мреже</w:t>
      </w:r>
      <w:r>
        <w:rPr>
          <w:color w:val="231F20"/>
          <w:spacing w:val="-6"/>
        </w:rPr>
        <w:t> </w:t>
      </w:r>
      <w:r>
        <w:rPr>
          <w:color w:val="231F20"/>
        </w:rPr>
        <w:t>у</w:t>
      </w:r>
      <w:r>
        <w:rPr>
          <w:color w:val="231F20"/>
          <w:spacing w:val="-6"/>
        </w:rPr>
        <w:t> </w:t>
      </w:r>
      <w:r>
        <w:rPr>
          <w:color w:val="231F20"/>
        </w:rPr>
        <w:t>2000.</w:t>
      </w:r>
      <w:r>
        <w:rPr>
          <w:color w:val="231F20"/>
          <w:spacing w:val="-6"/>
        </w:rPr>
        <w:t> </w:t>
      </w:r>
      <w:r>
        <w:rPr>
          <w:color w:val="231F20"/>
          <w:spacing w:val="-4"/>
        </w:rPr>
        <w:t>години.</w:t>
      </w:r>
    </w:p>
    <w:p>
      <w:pPr>
        <w:pStyle w:val="BodyText"/>
        <w:spacing w:line="183" w:lineRule="exact"/>
        <w:ind w:left="641"/>
        <w:jc w:val="left"/>
      </w:pPr>
      <w:r>
        <w:rPr>
          <w:color w:val="231F20"/>
        </w:rPr>
        <w:t>ТС 110/35kV „Пожаревац 1” (2 x 31,5 MVA) лоцирана је у</w:t>
      </w:r>
    </w:p>
    <w:p>
      <w:pPr>
        <w:pStyle w:val="BodyText"/>
        <w:spacing w:line="230" w:lineRule="auto"/>
        <w:ind w:left="243" w:right="120"/>
      </w:pPr>
      <w:r>
        <w:rPr>
          <w:color w:val="231F20"/>
        </w:rPr>
        <w:t>насељу Ћириковац, </w:t>
      </w:r>
      <w:r>
        <w:rPr>
          <w:color w:val="231F20"/>
          <w:spacing w:val="-4"/>
        </w:rPr>
        <w:t>око </w:t>
      </w:r>
      <w:r>
        <w:rPr>
          <w:color w:val="231F20"/>
        </w:rPr>
        <w:t>4 km северно </w:t>
      </w:r>
      <w:r>
        <w:rPr>
          <w:color w:val="231F20"/>
          <w:spacing w:val="-3"/>
        </w:rPr>
        <w:t>од </w:t>
      </w:r>
      <w:r>
        <w:rPr>
          <w:color w:val="231F20"/>
        </w:rPr>
        <w:t>града. Један трансформа- тор у овој ТС инсталиран је 1974. године, а други 1984. године, па са заменом првог треба рачунати у периоду 2010 – 2015. године, а другог после 2020. године. Ова ТС напаја сам град Пожаревац и већи број сеоских насеља на подручју града Пожаревца, као и три насеља из општине Мало Црниће. Везана је са два вода </w:t>
      </w:r>
      <w:r>
        <w:rPr>
          <w:color w:val="231F20"/>
          <w:spacing w:val="-3"/>
        </w:rPr>
        <w:t>110 </w:t>
      </w:r>
      <w:r>
        <w:rPr>
          <w:color w:val="231F20"/>
        </w:rPr>
        <w:t>kV (на истим стубовима) са разводним постројењем </w:t>
      </w:r>
      <w:r>
        <w:rPr>
          <w:color w:val="231F20"/>
          <w:spacing w:val="-3"/>
        </w:rPr>
        <w:t>110 </w:t>
      </w:r>
      <w:r>
        <w:rPr>
          <w:color w:val="231F20"/>
        </w:rPr>
        <w:t>kV у ТЕ „Косто- лац А” и са два вода (такође на истим стубовима) са ТС 110/35 kV</w:t>
      </w:r>
    </w:p>
    <w:p>
      <w:pPr>
        <w:pStyle w:val="BodyText"/>
        <w:spacing w:line="189" w:lineRule="exact"/>
        <w:ind w:left="243"/>
      </w:pPr>
      <w:r>
        <w:rPr>
          <w:color w:val="231F20"/>
        </w:rPr>
        <w:t>„Петровац”, која је даље повезана са ТЕ Морава и ТС 400/110kV</w:t>
      </w:r>
    </w:p>
    <w:p>
      <w:pPr>
        <w:pStyle w:val="BodyText"/>
        <w:spacing w:line="230" w:lineRule="auto"/>
        <w:ind w:left="243" w:right="123"/>
      </w:pPr>
      <w:r>
        <w:rPr>
          <w:color w:val="231F20"/>
        </w:rPr>
        <w:t>„Бор 2”. Пресек проводника ових водова Ал/Че 120 mm² (једини водови</w:t>
      </w:r>
      <w:r>
        <w:rPr>
          <w:color w:val="231F20"/>
          <w:spacing w:val="-8"/>
        </w:rPr>
        <w:t> </w:t>
      </w:r>
      <w:r>
        <w:rPr>
          <w:color w:val="231F20"/>
        </w:rPr>
        <w:t>у</w:t>
      </w:r>
      <w:r>
        <w:rPr>
          <w:color w:val="231F20"/>
          <w:spacing w:val="-8"/>
        </w:rPr>
        <w:t> </w:t>
      </w:r>
      <w:r>
        <w:rPr>
          <w:color w:val="231F20"/>
        </w:rPr>
        <w:t>мрежи</w:t>
      </w:r>
      <w:r>
        <w:rPr>
          <w:color w:val="231F20"/>
          <w:spacing w:val="18"/>
        </w:rPr>
        <w:t> </w:t>
      </w:r>
      <w:r>
        <w:rPr>
          <w:color w:val="231F20"/>
        </w:rPr>
        <w:t>–</w:t>
      </w:r>
      <w:r>
        <w:rPr>
          <w:color w:val="231F20"/>
          <w:spacing w:val="-8"/>
        </w:rPr>
        <w:t> </w:t>
      </w:r>
      <w:r>
        <w:rPr>
          <w:color w:val="231F20"/>
        </w:rPr>
        <w:t>а</w:t>
      </w:r>
      <w:r>
        <w:rPr>
          <w:color w:val="231F20"/>
          <w:spacing w:val="-8"/>
        </w:rPr>
        <w:t> </w:t>
      </w:r>
      <w:r>
        <w:rPr>
          <w:color w:val="231F20"/>
        </w:rPr>
        <w:t>са</w:t>
      </w:r>
      <w:r>
        <w:rPr>
          <w:color w:val="231F20"/>
          <w:spacing w:val="-8"/>
        </w:rPr>
        <w:t> </w:t>
      </w:r>
      <w:r>
        <w:rPr>
          <w:color w:val="231F20"/>
        </w:rPr>
        <w:t>тим</w:t>
      </w:r>
      <w:r>
        <w:rPr>
          <w:color w:val="231F20"/>
          <w:spacing w:val="-8"/>
        </w:rPr>
        <w:t> </w:t>
      </w:r>
      <w:r>
        <w:rPr>
          <w:color w:val="231F20"/>
        </w:rPr>
        <w:t>пресеком)</w:t>
      </w:r>
      <w:r>
        <w:rPr>
          <w:color w:val="231F20"/>
          <w:spacing w:val="-8"/>
        </w:rPr>
        <w:t> </w:t>
      </w:r>
      <w:r>
        <w:rPr>
          <w:color w:val="231F20"/>
        </w:rPr>
        <w:t>и</w:t>
      </w:r>
      <w:r>
        <w:rPr>
          <w:color w:val="231F20"/>
          <w:spacing w:val="-8"/>
        </w:rPr>
        <w:t> </w:t>
      </w:r>
      <w:r>
        <w:rPr>
          <w:color w:val="231F20"/>
        </w:rPr>
        <w:t>ова</w:t>
      </w:r>
      <w:r>
        <w:rPr>
          <w:color w:val="231F20"/>
          <w:spacing w:val="-8"/>
        </w:rPr>
        <w:t> </w:t>
      </w:r>
      <w:r>
        <w:rPr>
          <w:color w:val="231F20"/>
        </w:rPr>
        <w:t>два</w:t>
      </w:r>
      <w:r>
        <w:rPr>
          <w:color w:val="231F20"/>
          <w:spacing w:val="-8"/>
        </w:rPr>
        <w:t> </w:t>
      </w:r>
      <w:r>
        <w:rPr>
          <w:color w:val="231F20"/>
        </w:rPr>
        <w:t>двострука</w:t>
      </w:r>
      <w:r>
        <w:rPr>
          <w:color w:val="231F20"/>
          <w:spacing w:val="-8"/>
        </w:rPr>
        <w:t> </w:t>
      </w:r>
      <w:r>
        <w:rPr>
          <w:color w:val="231F20"/>
        </w:rPr>
        <w:t>вода</w:t>
      </w:r>
      <w:r>
        <w:rPr>
          <w:color w:val="231F20"/>
          <w:spacing w:val="-8"/>
        </w:rPr>
        <w:t> </w:t>
      </w:r>
      <w:r>
        <w:rPr>
          <w:color w:val="231F20"/>
          <w:spacing w:val="-3"/>
        </w:rPr>
        <w:t>(Ко- </w:t>
      </w:r>
      <w:r>
        <w:rPr>
          <w:color w:val="231F20"/>
        </w:rPr>
        <w:t>столац – Пожаревац и Пожаревац – Петровац) изграђена су 1948. </w:t>
      </w:r>
      <w:r>
        <w:rPr>
          <w:color w:val="231F20"/>
          <w:spacing w:val="-3"/>
        </w:rPr>
        <w:t>године </w:t>
      </w:r>
      <w:r>
        <w:rPr>
          <w:color w:val="231F20"/>
        </w:rPr>
        <w:t>и најстарији су водови у преносној мрежи Србије. Због старости и малог пресека проводника, потребна је њихова ревита- лизација (или замена) у наредном</w:t>
      </w:r>
      <w:r>
        <w:rPr>
          <w:color w:val="231F20"/>
          <w:spacing w:val="-3"/>
        </w:rPr>
        <w:t> </w:t>
      </w:r>
      <w:r>
        <w:rPr>
          <w:color w:val="231F20"/>
          <w:spacing w:val="-4"/>
        </w:rPr>
        <w:t>периоду.</w:t>
      </w:r>
    </w:p>
    <w:p>
      <w:pPr>
        <w:pStyle w:val="BodyText"/>
        <w:spacing w:line="230" w:lineRule="auto"/>
        <w:ind w:left="243" w:right="121" w:firstLine="396"/>
      </w:pPr>
      <w:r>
        <w:rPr>
          <w:color w:val="231F20"/>
          <w:spacing w:val="-3"/>
        </w:rPr>
        <w:t>Град</w:t>
      </w:r>
      <w:r>
        <w:rPr>
          <w:color w:val="231F20"/>
          <w:spacing w:val="-18"/>
        </w:rPr>
        <w:t> </w:t>
      </w:r>
      <w:r>
        <w:rPr>
          <w:color w:val="231F20"/>
        </w:rPr>
        <w:t>Пожаревац</w:t>
      </w:r>
      <w:r>
        <w:rPr>
          <w:color w:val="231F20"/>
          <w:spacing w:val="-17"/>
        </w:rPr>
        <w:t> </w:t>
      </w:r>
      <w:r>
        <w:rPr>
          <w:color w:val="231F20"/>
        </w:rPr>
        <w:t>и</w:t>
      </w:r>
      <w:r>
        <w:rPr>
          <w:color w:val="231F20"/>
          <w:spacing w:val="-18"/>
        </w:rPr>
        <w:t> </w:t>
      </w:r>
      <w:r>
        <w:rPr>
          <w:color w:val="231F20"/>
        </w:rPr>
        <w:t>приградска</w:t>
      </w:r>
      <w:r>
        <w:rPr>
          <w:color w:val="231F20"/>
          <w:spacing w:val="-18"/>
        </w:rPr>
        <w:t> </w:t>
      </w:r>
      <w:r>
        <w:rPr>
          <w:color w:val="231F20"/>
        </w:rPr>
        <w:t>насеља</w:t>
      </w:r>
      <w:r>
        <w:rPr>
          <w:color w:val="231F20"/>
          <w:spacing w:val="-17"/>
        </w:rPr>
        <w:t> </w:t>
      </w:r>
      <w:r>
        <w:rPr>
          <w:color w:val="231F20"/>
        </w:rPr>
        <w:t>напајају</w:t>
      </w:r>
      <w:r>
        <w:rPr>
          <w:color w:val="231F20"/>
          <w:spacing w:val="-18"/>
        </w:rPr>
        <w:t> </w:t>
      </w:r>
      <w:r>
        <w:rPr>
          <w:color w:val="231F20"/>
        </w:rPr>
        <w:t>се</w:t>
      </w:r>
      <w:r>
        <w:rPr>
          <w:color w:val="231F20"/>
          <w:spacing w:val="-18"/>
        </w:rPr>
        <w:t> </w:t>
      </w:r>
      <w:r>
        <w:rPr>
          <w:color w:val="231F20"/>
        </w:rPr>
        <w:t>електричном енергијом</w:t>
      </w:r>
      <w:r>
        <w:rPr>
          <w:color w:val="231F20"/>
          <w:spacing w:val="-10"/>
        </w:rPr>
        <w:t> </w:t>
      </w:r>
      <w:r>
        <w:rPr>
          <w:color w:val="231F20"/>
        </w:rPr>
        <w:t>на</w:t>
      </w:r>
      <w:r>
        <w:rPr>
          <w:color w:val="231F20"/>
          <w:spacing w:val="-10"/>
        </w:rPr>
        <w:t> </w:t>
      </w:r>
      <w:r>
        <w:rPr>
          <w:color w:val="231F20"/>
        </w:rPr>
        <w:t>35</w:t>
      </w:r>
      <w:r>
        <w:rPr>
          <w:color w:val="231F20"/>
          <w:spacing w:val="-10"/>
        </w:rPr>
        <w:t> </w:t>
      </w:r>
      <w:r>
        <w:rPr>
          <w:color w:val="231F20"/>
        </w:rPr>
        <w:t>kV</w:t>
      </w:r>
      <w:r>
        <w:rPr>
          <w:color w:val="231F20"/>
          <w:spacing w:val="-13"/>
        </w:rPr>
        <w:t> </w:t>
      </w:r>
      <w:r>
        <w:rPr>
          <w:color w:val="231F20"/>
        </w:rPr>
        <w:t>нивоу</w:t>
      </w:r>
      <w:r>
        <w:rPr>
          <w:color w:val="231F20"/>
          <w:spacing w:val="-10"/>
        </w:rPr>
        <w:t> </w:t>
      </w:r>
      <w:r>
        <w:rPr>
          <w:color w:val="231F20"/>
        </w:rPr>
        <w:t>из</w:t>
      </w:r>
      <w:r>
        <w:rPr>
          <w:color w:val="231F20"/>
          <w:spacing w:val="-10"/>
        </w:rPr>
        <w:t> </w:t>
      </w:r>
      <w:r>
        <w:rPr>
          <w:color w:val="231F20"/>
        </w:rPr>
        <w:t>ТС</w:t>
      </w:r>
      <w:r>
        <w:rPr>
          <w:color w:val="231F20"/>
          <w:spacing w:val="-10"/>
        </w:rPr>
        <w:t> </w:t>
      </w:r>
      <w:r>
        <w:rPr>
          <w:color w:val="231F20"/>
        </w:rPr>
        <w:t>110/35</w:t>
      </w:r>
      <w:r>
        <w:rPr>
          <w:color w:val="231F20"/>
          <w:spacing w:val="-10"/>
        </w:rPr>
        <w:t> </w:t>
      </w:r>
      <w:r>
        <w:rPr>
          <w:color w:val="231F20"/>
        </w:rPr>
        <w:t>kV</w:t>
      </w:r>
      <w:r>
        <w:rPr>
          <w:color w:val="231F20"/>
          <w:spacing w:val="-13"/>
        </w:rPr>
        <w:t> </w:t>
      </w:r>
      <w:r>
        <w:rPr>
          <w:color w:val="231F20"/>
        </w:rPr>
        <w:t>„Пожаревац</w:t>
      </w:r>
      <w:r>
        <w:rPr>
          <w:color w:val="231F20"/>
          <w:spacing w:val="-10"/>
        </w:rPr>
        <w:t> </w:t>
      </w:r>
      <w:r>
        <w:rPr>
          <w:color w:val="231F20"/>
        </w:rPr>
        <w:t>1”</w:t>
      </w:r>
      <w:r>
        <w:rPr>
          <w:color w:val="231F20"/>
          <w:spacing w:val="-10"/>
        </w:rPr>
        <w:t> </w:t>
      </w:r>
      <w:r>
        <w:rPr>
          <w:color w:val="231F20"/>
        </w:rPr>
        <w:t>инстали- сане снаге 63 </w:t>
      </w:r>
      <w:r>
        <w:rPr>
          <w:color w:val="231F20"/>
          <w:spacing w:val="-7"/>
        </w:rPr>
        <w:t>MVA. </w:t>
      </w:r>
      <w:r>
        <w:rPr>
          <w:color w:val="231F20"/>
        </w:rPr>
        <w:t>Постигнуто вршно оптерећење ТС 110/35</w:t>
      </w:r>
      <w:r>
        <w:rPr>
          <w:color w:val="231F20"/>
          <w:spacing w:val="35"/>
        </w:rPr>
        <w:t> </w:t>
      </w:r>
      <w:r>
        <w:rPr>
          <w:color w:val="231F20"/>
        </w:rPr>
        <w:t>kV</w:t>
      </w:r>
    </w:p>
    <w:p>
      <w:pPr>
        <w:pStyle w:val="BodyText"/>
        <w:spacing w:line="230" w:lineRule="auto"/>
        <w:ind w:left="243" w:right="124"/>
      </w:pPr>
      <w:r>
        <w:rPr>
          <w:color w:val="231F20"/>
        </w:rPr>
        <w:t>„Пожаревац 1” је 60,4 </w:t>
      </w:r>
      <w:r>
        <w:rPr>
          <w:color w:val="231F20"/>
          <w:spacing w:val="-7"/>
        </w:rPr>
        <w:t>MVA,</w:t>
      </w:r>
      <w:r>
        <w:rPr>
          <w:color w:val="231F20"/>
          <w:spacing w:val="30"/>
        </w:rPr>
        <w:t> </w:t>
      </w:r>
      <w:r>
        <w:rPr>
          <w:color w:val="231F20"/>
        </w:rPr>
        <w:t>односно 96% инсталисане  снаге. При оваквом режиму оптерећења ТС 110/35 kV „Пожаревац 1” није могуће активирање индустријске зоне града као ни прикљу- чење нових потрошача. Поменуту ТС 110/35 kV</w:t>
      </w:r>
      <w:r>
        <w:rPr>
          <w:color w:val="231F20"/>
          <w:spacing w:val="-34"/>
        </w:rPr>
        <w:t> </w:t>
      </w:r>
      <w:r>
        <w:rPr>
          <w:color w:val="231F20"/>
        </w:rPr>
        <w:t>„Пожаревац 1” не карактерише фактор сигурности „n-1” што јасно указује на веома ниску поузданост напајања. Наиме испадом овог електроенергет- </w:t>
      </w:r>
      <w:r>
        <w:rPr>
          <w:color w:val="231F20"/>
          <w:spacing w:val="-3"/>
        </w:rPr>
        <w:t>ског</w:t>
      </w:r>
      <w:r>
        <w:rPr>
          <w:color w:val="231F20"/>
          <w:spacing w:val="-6"/>
        </w:rPr>
        <w:t> </w:t>
      </w:r>
      <w:r>
        <w:rPr>
          <w:color w:val="231F20"/>
        </w:rPr>
        <w:t>објекта</w:t>
      </w:r>
      <w:r>
        <w:rPr>
          <w:color w:val="231F20"/>
          <w:spacing w:val="-6"/>
        </w:rPr>
        <w:t> </w:t>
      </w:r>
      <w:r>
        <w:rPr>
          <w:color w:val="231F20"/>
        </w:rPr>
        <w:t>без</w:t>
      </w:r>
      <w:r>
        <w:rPr>
          <w:color w:val="231F20"/>
          <w:spacing w:val="-6"/>
        </w:rPr>
        <w:t> </w:t>
      </w:r>
      <w:r>
        <w:rPr>
          <w:color w:val="231F20"/>
        </w:rPr>
        <w:t>напона</w:t>
      </w:r>
      <w:r>
        <w:rPr>
          <w:color w:val="231F20"/>
          <w:spacing w:val="-6"/>
        </w:rPr>
        <w:t> </w:t>
      </w:r>
      <w:r>
        <w:rPr>
          <w:color w:val="231F20"/>
        </w:rPr>
        <w:t>остаје</w:t>
      </w:r>
      <w:r>
        <w:rPr>
          <w:color w:val="231F20"/>
          <w:spacing w:val="-6"/>
        </w:rPr>
        <w:t> </w:t>
      </w:r>
      <w:r>
        <w:rPr>
          <w:color w:val="231F20"/>
        </w:rPr>
        <w:t>целокупно</w:t>
      </w:r>
      <w:r>
        <w:rPr>
          <w:color w:val="231F20"/>
          <w:spacing w:val="-6"/>
        </w:rPr>
        <w:t> </w:t>
      </w:r>
      <w:r>
        <w:rPr>
          <w:color w:val="231F20"/>
        </w:rPr>
        <w:t>подручје</w:t>
      </w:r>
      <w:r>
        <w:rPr>
          <w:color w:val="231F20"/>
          <w:spacing w:val="-6"/>
        </w:rPr>
        <w:t> </w:t>
      </w:r>
      <w:r>
        <w:rPr>
          <w:color w:val="231F20"/>
        </w:rPr>
        <w:t>града</w:t>
      </w:r>
      <w:r>
        <w:rPr>
          <w:color w:val="231F20"/>
          <w:spacing w:val="-6"/>
        </w:rPr>
        <w:t> </w:t>
      </w:r>
      <w:r>
        <w:rPr>
          <w:color w:val="231F20"/>
        </w:rPr>
        <w:t>Пожарев- ца са приградским насељима, односно 45% укупних ангажованих енергетских капацитета ЕД „Електроморава”</w:t>
      </w:r>
      <w:r>
        <w:rPr>
          <w:color w:val="231F20"/>
          <w:spacing w:val="-6"/>
        </w:rPr>
        <w:t> </w:t>
      </w:r>
      <w:r>
        <w:rPr>
          <w:color w:val="231F20"/>
        </w:rPr>
        <w:t>Пожаревац.</w:t>
      </w:r>
    </w:p>
    <w:p>
      <w:pPr>
        <w:spacing w:after="0" w:line="230" w:lineRule="auto"/>
        <w:sectPr>
          <w:pgSz w:w="12480" w:h="15690"/>
          <w:pgMar w:top="120" w:bottom="280" w:left="680" w:right="720"/>
          <w:cols w:num="2" w:equalWidth="0">
            <w:col w:w="5561" w:space="40"/>
            <w:col w:w="5479"/>
          </w:cols>
        </w:sectPr>
      </w:pPr>
    </w:p>
    <w:p>
      <w:pPr>
        <w:pStyle w:val="BodyText"/>
        <w:spacing w:before="68"/>
        <w:ind w:left="169" w:right="38" w:firstLine="397"/>
      </w:pPr>
      <w:r>
        <w:rPr>
          <w:color w:val="231F20"/>
        </w:rPr>
        <w:t>Трафостаница 110/35 kV „Велико Градиште” напаја се </w:t>
      </w:r>
      <w:r>
        <w:rPr>
          <w:color w:val="231F20"/>
          <w:spacing w:val="-3"/>
        </w:rPr>
        <w:t>преко </w:t>
      </w:r>
      <w:r>
        <w:rPr>
          <w:color w:val="231F20"/>
        </w:rPr>
        <w:t>једног вода </w:t>
      </w:r>
      <w:r>
        <w:rPr>
          <w:color w:val="231F20"/>
          <w:spacing w:val="-3"/>
        </w:rPr>
        <w:t>110 </w:t>
      </w:r>
      <w:r>
        <w:rPr>
          <w:color w:val="231F20"/>
        </w:rPr>
        <w:t>kV </w:t>
      </w:r>
      <w:r>
        <w:rPr>
          <w:color w:val="231F20"/>
          <w:spacing w:val="-3"/>
        </w:rPr>
        <w:t>Рудник </w:t>
      </w:r>
      <w:r>
        <w:rPr>
          <w:color w:val="231F20"/>
        </w:rPr>
        <w:t>1 – </w:t>
      </w:r>
      <w:r>
        <w:rPr>
          <w:color w:val="231F20"/>
          <w:spacing w:val="-3"/>
        </w:rPr>
        <w:t>Велико </w:t>
      </w:r>
      <w:r>
        <w:rPr>
          <w:color w:val="231F20"/>
        </w:rPr>
        <w:t>Градиште. Тај </w:t>
      </w:r>
      <w:r>
        <w:rPr>
          <w:color w:val="231F20"/>
          <w:spacing w:val="-3"/>
        </w:rPr>
        <w:t>вод </w:t>
      </w:r>
      <w:r>
        <w:rPr>
          <w:color w:val="231F20"/>
        </w:rPr>
        <w:t>изграђен је са проводницима Ал/Че 240 mm², а дуг је 22,9 km. У нормал- ном</w:t>
      </w:r>
      <w:r>
        <w:rPr>
          <w:color w:val="231F20"/>
          <w:spacing w:val="-6"/>
        </w:rPr>
        <w:t> </w:t>
      </w:r>
      <w:r>
        <w:rPr>
          <w:color w:val="231F20"/>
        </w:rPr>
        <w:t>погону</w:t>
      </w:r>
      <w:r>
        <w:rPr>
          <w:color w:val="231F20"/>
          <w:spacing w:val="-6"/>
        </w:rPr>
        <w:t> </w:t>
      </w:r>
      <w:r>
        <w:rPr>
          <w:color w:val="231F20"/>
        </w:rPr>
        <w:t>напајање</w:t>
      </w:r>
      <w:r>
        <w:rPr>
          <w:color w:val="231F20"/>
          <w:spacing w:val="-6"/>
        </w:rPr>
        <w:t> </w:t>
      </w:r>
      <w:r>
        <w:rPr>
          <w:color w:val="231F20"/>
        </w:rPr>
        <w:t>ТС</w:t>
      </w:r>
      <w:r>
        <w:rPr>
          <w:color w:val="231F20"/>
          <w:spacing w:val="-6"/>
        </w:rPr>
        <w:t> </w:t>
      </w:r>
      <w:r>
        <w:rPr>
          <w:color w:val="231F20"/>
        </w:rPr>
        <w:t>110/35</w:t>
      </w:r>
      <w:r>
        <w:rPr>
          <w:color w:val="231F20"/>
          <w:spacing w:val="-6"/>
        </w:rPr>
        <w:t> </w:t>
      </w:r>
      <w:r>
        <w:rPr>
          <w:color w:val="231F20"/>
        </w:rPr>
        <w:t>kV</w:t>
      </w:r>
      <w:r>
        <w:rPr>
          <w:color w:val="231F20"/>
          <w:spacing w:val="-9"/>
        </w:rPr>
        <w:t> </w:t>
      </w:r>
      <w:r>
        <w:rPr>
          <w:color w:val="231F20"/>
        </w:rPr>
        <w:t>„Велико</w:t>
      </w:r>
      <w:r>
        <w:rPr>
          <w:color w:val="231F20"/>
          <w:spacing w:val="-6"/>
        </w:rPr>
        <w:t> </w:t>
      </w:r>
      <w:r>
        <w:rPr>
          <w:color w:val="231F20"/>
        </w:rPr>
        <w:t>Градиште”</w:t>
      </w:r>
      <w:r>
        <w:rPr>
          <w:color w:val="231F20"/>
          <w:spacing w:val="-6"/>
        </w:rPr>
        <w:t> </w:t>
      </w:r>
      <w:r>
        <w:rPr>
          <w:color w:val="231F20"/>
          <w:spacing w:val="-3"/>
        </w:rPr>
        <w:t>преко</w:t>
      </w:r>
      <w:r>
        <w:rPr>
          <w:color w:val="231F20"/>
          <w:spacing w:val="-6"/>
        </w:rPr>
        <w:t> </w:t>
      </w:r>
      <w:r>
        <w:rPr>
          <w:color w:val="231F20"/>
        </w:rPr>
        <w:t>овог вода је задовољавајуће. Према критеријуму сигурности стање је незадовољавајуће. При испаду вода </w:t>
      </w:r>
      <w:r>
        <w:rPr>
          <w:color w:val="231F20"/>
          <w:spacing w:val="-3"/>
        </w:rPr>
        <w:t>Рудник </w:t>
      </w:r>
      <w:r>
        <w:rPr>
          <w:color w:val="231F20"/>
        </w:rPr>
        <w:t>1 – Велико Градиште, у првом моменту без напона остају сви потрошачи </w:t>
      </w:r>
      <w:r>
        <w:rPr>
          <w:color w:val="231F20"/>
          <w:spacing w:val="-3"/>
        </w:rPr>
        <w:t>који </w:t>
      </w:r>
      <w:r>
        <w:rPr>
          <w:color w:val="231F20"/>
        </w:rPr>
        <w:t>су у </w:t>
      </w:r>
      <w:r>
        <w:rPr>
          <w:color w:val="231F20"/>
          <w:spacing w:val="-3"/>
        </w:rPr>
        <w:t>том </w:t>
      </w:r>
      <w:r>
        <w:rPr>
          <w:color w:val="231F20"/>
        </w:rPr>
        <w:t>моменту напајани из ТС 110/35 kV „Велико Градиште”. </w:t>
      </w:r>
      <w:r>
        <w:rPr>
          <w:color w:val="231F20"/>
          <w:spacing w:val="-3"/>
        </w:rPr>
        <w:t>Такође,</w:t>
      </w:r>
      <w:r>
        <w:rPr>
          <w:color w:val="231F20"/>
          <w:spacing w:val="-30"/>
        </w:rPr>
        <w:t> </w:t>
      </w:r>
      <w:r>
        <w:rPr>
          <w:color w:val="231F20"/>
        </w:rPr>
        <w:t>из правца ТС 110/35 kV „Пожаревац 1”, подручју Великог Градишта може се, </w:t>
      </w:r>
      <w:r>
        <w:rPr>
          <w:color w:val="231F20"/>
          <w:spacing w:val="-3"/>
        </w:rPr>
        <w:t>водом </w:t>
      </w:r>
      <w:r>
        <w:rPr>
          <w:color w:val="231F20"/>
        </w:rPr>
        <w:t>35 kV Пожаревац – Братинац – Чешљева Бара – Велико</w:t>
      </w:r>
      <w:r>
        <w:rPr>
          <w:color w:val="231F20"/>
          <w:spacing w:val="-8"/>
        </w:rPr>
        <w:t> </w:t>
      </w:r>
      <w:r>
        <w:rPr>
          <w:color w:val="231F20"/>
        </w:rPr>
        <w:t>Градиште,</w:t>
      </w:r>
      <w:r>
        <w:rPr>
          <w:color w:val="231F20"/>
          <w:spacing w:val="-8"/>
        </w:rPr>
        <w:t> </w:t>
      </w:r>
      <w:r>
        <w:rPr>
          <w:color w:val="231F20"/>
        </w:rPr>
        <w:t>обезбедити</w:t>
      </w:r>
      <w:r>
        <w:rPr>
          <w:color w:val="231F20"/>
          <w:spacing w:val="-8"/>
        </w:rPr>
        <w:t> </w:t>
      </w:r>
      <w:r>
        <w:rPr>
          <w:color w:val="231F20"/>
        </w:rPr>
        <w:t>испомоћ</w:t>
      </w:r>
      <w:r>
        <w:rPr>
          <w:color w:val="231F20"/>
          <w:spacing w:val="-8"/>
        </w:rPr>
        <w:t> </w:t>
      </w:r>
      <w:r>
        <w:rPr>
          <w:color w:val="231F20"/>
          <w:spacing w:val="-3"/>
        </w:rPr>
        <w:t>од</w:t>
      </w:r>
      <w:r>
        <w:rPr>
          <w:color w:val="231F20"/>
          <w:spacing w:val="-8"/>
        </w:rPr>
        <w:t> </w:t>
      </w:r>
      <w:r>
        <w:rPr>
          <w:color w:val="231F20"/>
          <w:spacing w:val="-4"/>
        </w:rPr>
        <w:t>око</w:t>
      </w:r>
      <w:r>
        <w:rPr>
          <w:color w:val="231F20"/>
          <w:spacing w:val="-8"/>
        </w:rPr>
        <w:t> </w:t>
      </w:r>
      <w:r>
        <w:rPr>
          <w:color w:val="231F20"/>
        </w:rPr>
        <w:t>10</w:t>
      </w:r>
      <w:r>
        <w:rPr>
          <w:color w:val="231F20"/>
          <w:spacing w:val="-8"/>
        </w:rPr>
        <w:t> </w:t>
      </w:r>
      <w:r>
        <w:rPr>
          <w:color w:val="231F20"/>
          <w:spacing w:val="-6"/>
        </w:rPr>
        <w:t>MW.</w:t>
      </w:r>
      <w:r>
        <w:rPr>
          <w:color w:val="231F20"/>
          <w:spacing w:val="-8"/>
        </w:rPr>
        <w:t> </w:t>
      </w:r>
      <w:r>
        <w:rPr>
          <w:color w:val="231F20"/>
        </w:rPr>
        <w:t>Ипак,</w:t>
      </w:r>
      <w:r>
        <w:rPr>
          <w:color w:val="231F20"/>
          <w:spacing w:val="-8"/>
        </w:rPr>
        <w:t> </w:t>
      </w:r>
      <w:r>
        <w:rPr>
          <w:color w:val="231F20"/>
          <w:spacing w:val="-4"/>
        </w:rPr>
        <w:t>ако</w:t>
      </w:r>
      <w:r>
        <w:rPr>
          <w:color w:val="231F20"/>
          <w:spacing w:val="-8"/>
        </w:rPr>
        <w:t> </w:t>
      </w:r>
      <w:r>
        <w:rPr>
          <w:color w:val="231F20"/>
        </w:rPr>
        <w:t>се тај испад деси у моменту вршног оптерећења, неопходна је</w:t>
      </w:r>
      <w:r>
        <w:rPr>
          <w:color w:val="231F20"/>
          <w:spacing w:val="-32"/>
        </w:rPr>
        <w:t> </w:t>
      </w:r>
      <w:r>
        <w:rPr>
          <w:color w:val="231F20"/>
        </w:rPr>
        <w:t>редук- ција оптерећења </w:t>
      </w:r>
      <w:r>
        <w:rPr>
          <w:color w:val="231F20"/>
          <w:spacing w:val="-3"/>
        </w:rPr>
        <w:t>од </w:t>
      </w:r>
      <w:r>
        <w:rPr>
          <w:color w:val="231F20"/>
          <w:spacing w:val="-4"/>
        </w:rPr>
        <w:t>око</w:t>
      </w:r>
      <w:r>
        <w:rPr>
          <w:color w:val="231F20"/>
          <w:spacing w:val="0"/>
        </w:rPr>
        <w:t> </w:t>
      </w:r>
      <w:r>
        <w:rPr>
          <w:color w:val="231F20"/>
        </w:rPr>
        <w:t>60%.</w:t>
      </w:r>
    </w:p>
    <w:p>
      <w:pPr>
        <w:pStyle w:val="BodyText"/>
        <w:spacing w:before="9"/>
        <w:ind w:left="171" w:right="38" w:firstLine="396"/>
      </w:pPr>
      <w:r>
        <w:rPr>
          <w:color w:val="231F20"/>
        </w:rPr>
        <w:t>Вршно оптерећење ТС 110/35 kV „Велико Градиште” у пе- риоду 1996 – 2000. године кретало се између 30 и 36 MVA, за- висно од тога да ли је зона Кучева напајана из ње или из правца</w:t>
      </w:r>
    </w:p>
    <w:p>
      <w:pPr>
        <w:pStyle w:val="BodyText"/>
        <w:spacing w:line="232" w:lineRule="auto" w:before="72"/>
        <w:ind w:left="169" w:right="410" w:hanging="1"/>
      </w:pPr>
      <w:r>
        <w:rPr/>
        <w:br w:type="column"/>
      </w:r>
      <w:r>
        <w:rPr>
          <w:color w:val="231F20"/>
        </w:rPr>
        <w:t>Мајданпека.</w:t>
      </w:r>
      <w:r>
        <w:rPr>
          <w:color w:val="231F20"/>
          <w:spacing w:val="-8"/>
        </w:rPr>
        <w:t> </w:t>
      </w:r>
      <w:r>
        <w:rPr>
          <w:color w:val="231F20"/>
          <w:spacing w:val="-3"/>
        </w:rPr>
        <w:t>Та</w:t>
      </w:r>
      <w:r>
        <w:rPr>
          <w:color w:val="231F20"/>
          <w:spacing w:val="-8"/>
        </w:rPr>
        <w:t> </w:t>
      </w:r>
      <w:r>
        <w:rPr>
          <w:color w:val="231F20"/>
        </w:rPr>
        <w:t>оптерећења</w:t>
      </w:r>
      <w:r>
        <w:rPr>
          <w:color w:val="231F20"/>
          <w:spacing w:val="-8"/>
        </w:rPr>
        <w:t> </w:t>
      </w:r>
      <w:r>
        <w:rPr>
          <w:color w:val="231F20"/>
        </w:rPr>
        <w:t>нису</w:t>
      </w:r>
      <w:r>
        <w:rPr>
          <w:color w:val="231F20"/>
          <w:spacing w:val="-8"/>
        </w:rPr>
        <w:t> </w:t>
      </w:r>
      <w:r>
        <w:rPr>
          <w:color w:val="231F20"/>
        </w:rPr>
        <w:t>надмашена</w:t>
      </w:r>
      <w:r>
        <w:rPr>
          <w:color w:val="231F20"/>
          <w:spacing w:val="-8"/>
        </w:rPr>
        <w:t> </w:t>
      </w:r>
      <w:r>
        <w:rPr>
          <w:color w:val="231F20"/>
        </w:rPr>
        <w:t>ни</w:t>
      </w:r>
      <w:r>
        <w:rPr>
          <w:color w:val="231F20"/>
          <w:spacing w:val="-8"/>
        </w:rPr>
        <w:t> </w:t>
      </w:r>
      <w:r>
        <w:rPr>
          <w:color w:val="231F20"/>
        </w:rPr>
        <w:t>у</w:t>
      </w:r>
      <w:r>
        <w:rPr>
          <w:color w:val="231F20"/>
          <w:spacing w:val="-8"/>
        </w:rPr>
        <w:t> </w:t>
      </w:r>
      <w:r>
        <w:rPr>
          <w:color w:val="231F20"/>
        </w:rPr>
        <w:t>периоду</w:t>
      </w:r>
      <w:r>
        <w:rPr>
          <w:color w:val="231F20"/>
          <w:spacing w:val="-8"/>
        </w:rPr>
        <w:t> </w:t>
      </w:r>
      <w:r>
        <w:rPr>
          <w:color w:val="231F20"/>
        </w:rPr>
        <w:t>до</w:t>
      </w:r>
      <w:r>
        <w:rPr>
          <w:color w:val="231F20"/>
          <w:spacing w:val="-8"/>
        </w:rPr>
        <w:t> </w:t>
      </w:r>
      <w:r>
        <w:rPr>
          <w:color w:val="231F20"/>
        </w:rPr>
        <w:t>2003. године. Инсталисана снага ТС 110/35 kV „Велико Градиште” је</w:t>
      </w:r>
      <w:r>
        <w:rPr>
          <w:color w:val="231F20"/>
          <w:spacing w:val="-32"/>
        </w:rPr>
        <w:t> </w:t>
      </w:r>
      <w:r>
        <w:rPr>
          <w:color w:val="231F20"/>
        </w:rPr>
        <w:t>на граници задовољавајуће. При испаду једног трансформатора, пре- бацивањем подручја </w:t>
      </w:r>
      <w:r>
        <w:rPr>
          <w:color w:val="231F20"/>
          <w:spacing w:val="-3"/>
        </w:rPr>
        <w:t>Кучева </w:t>
      </w:r>
      <w:r>
        <w:rPr>
          <w:color w:val="231F20"/>
        </w:rPr>
        <w:t>на Мајданпек 2, а ТС 35/10 kV </w:t>
      </w:r>
      <w:r>
        <w:rPr>
          <w:color w:val="231F20"/>
          <w:spacing w:val="-9"/>
        </w:rPr>
        <w:t>„Че- </w:t>
      </w:r>
      <w:r>
        <w:rPr>
          <w:color w:val="231F20"/>
        </w:rPr>
        <w:t>шљева Бара” на ТС 110/35 kV „Пожаревац 1”, оптерећење другог може се још увек задржати испод</w:t>
      </w:r>
      <w:r>
        <w:rPr>
          <w:color w:val="231F20"/>
          <w:spacing w:val="-3"/>
        </w:rPr>
        <w:t> </w:t>
      </w:r>
      <w:r>
        <w:rPr>
          <w:color w:val="231F20"/>
          <w:spacing w:val="-5"/>
        </w:rPr>
        <w:t>24MVA.</w:t>
      </w:r>
    </w:p>
    <w:p>
      <w:pPr>
        <w:pStyle w:val="BodyText"/>
        <w:spacing w:line="184" w:lineRule="exact"/>
        <w:ind w:left="567"/>
        <w:jc w:val="left"/>
      </w:pPr>
      <w:r>
        <w:rPr/>
        <w:pict>
          <v:line style="position:absolute;mso-position-horizontal-relative:page;mso-position-vertical-relative:paragraph;z-index:1456" from="304.724396pt,-58.303833pt" to="304.724396pt,103.743167pt" stroked="true" strokeweight=".6pt" strokecolor="#231f20">
            <v:stroke dashstyle="solid"/>
            <w10:wrap type="none"/>
          </v:line>
        </w:pict>
      </w:r>
      <w:r>
        <w:rPr>
          <w:color w:val="231F20"/>
        </w:rPr>
        <w:t>На подручју Костолачког угљеног басена из ТС 110/35 kV</w:t>
      </w:r>
    </w:p>
    <w:p>
      <w:pPr>
        <w:pStyle w:val="BodyText"/>
        <w:spacing w:line="223" w:lineRule="auto" w:before="5"/>
        <w:ind w:right="410" w:hanging="1"/>
      </w:pPr>
      <w:r>
        <w:rPr>
          <w:color w:val="231F20"/>
        </w:rPr>
        <w:t>„Велико Градиште” напаја се електричном енергијом Мајиловац, Сираково, Берање и Курјаче.</w:t>
      </w:r>
    </w:p>
    <w:p>
      <w:pPr>
        <w:pStyle w:val="BodyText"/>
        <w:spacing w:line="223" w:lineRule="auto"/>
        <w:ind w:right="406" w:firstLine="396"/>
      </w:pPr>
      <w:r>
        <w:rPr>
          <w:color w:val="231F20"/>
        </w:rPr>
        <w:t>Из трафостаница 35/10 kV, преко 10 kV водова, врши се на- пајање трафостаница преносног односа 10/0,4 kV. Трафостанице 10/0,4 kV, које снабдевају уже градско подручје, углавном се на- пајају подземним 10 kV водовима, док се трафостанице 10/0,4 kV у ширем градском подручју, околним насељима и селима напајају надземним 10 kV водовима. Из трафостаница 10/0,4 kV електрич- на енергија се до крајњих потрошача доводи преко нисконапон- ских водова 0,4 kV, који могу бити надземни или подземни.</w:t>
      </w:r>
    </w:p>
    <w:p>
      <w:pPr>
        <w:spacing w:after="0" w:line="223" w:lineRule="auto"/>
        <w:sectPr>
          <w:pgSz w:w="12480" w:h="15690"/>
          <w:pgMar w:top="120" w:bottom="280" w:left="680" w:right="720"/>
          <w:cols w:num="2" w:equalWidth="0">
            <w:col w:w="5314" w:space="73"/>
            <w:col w:w="5693"/>
          </w:cols>
        </w:sectPr>
      </w:pPr>
    </w:p>
    <w:p>
      <w:pPr>
        <w:pStyle w:val="BodyText"/>
        <w:ind w:left="0"/>
        <w:jc w:val="left"/>
        <w:rPr>
          <w:sz w:val="20"/>
        </w:rPr>
      </w:pPr>
    </w:p>
    <w:p>
      <w:pPr>
        <w:pStyle w:val="BodyText"/>
        <w:ind w:left="0"/>
        <w:jc w:val="left"/>
        <w:rPr>
          <w:sz w:val="20"/>
        </w:rPr>
      </w:pPr>
    </w:p>
    <w:p>
      <w:pPr>
        <w:pStyle w:val="BodyText"/>
        <w:spacing w:before="10"/>
        <w:ind w:left="0"/>
        <w:jc w:val="left"/>
      </w:pPr>
    </w:p>
    <w:p>
      <w:pPr>
        <w:pStyle w:val="BodyText"/>
        <w:spacing w:after="41"/>
        <w:ind w:left="148"/>
        <w:jc w:val="left"/>
      </w:pPr>
      <w:r>
        <w:rPr>
          <w:color w:val="231F20"/>
        </w:rPr>
        <w:t>Табела 7. Подаци о постојећим водовима ЈП ЕМС 110 kV и 400 kV на подручју Костолачког басена</w:t>
      </w: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79"/>
        <w:gridCol w:w="993"/>
        <w:gridCol w:w="3363"/>
        <w:gridCol w:w="934"/>
        <w:gridCol w:w="1701"/>
        <w:gridCol w:w="1275"/>
        <w:gridCol w:w="1637"/>
      </w:tblGrid>
      <w:tr>
        <w:trPr>
          <w:trHeight w:val="200" w:hRule="atLeast"/>
        </w:trPr>
        <w:tc>
          <w:tcPr>
            <w:tcW w:w="579" w:type="dxa"/>
          </w:tcPr>
          <w:p>
            <w:pPr>
              <w:pStyle w:val="TableParagraph"/>
              <w:ind w:left="62"/>
              <w:jc w:val="left"/>
              <w:rPr>
                <w:sz w:val="14"/>
              </w:rPr>
            </w:pPr>
            <w:r>
              <w:rPr>
                <w:color w:val="231F20"/>
                <w:sz w:val="14"/>
              </w:rPr>
              <w:t>Ред. бр.</w:t>
            </w:r>
          </w:p>
        </w:tc>
        <w:tc>
          <w:tcPr>
            <w:tcW w:w="993" w:type="dxa"/>
          </w:tcPr>
          <w:p>
            <w:pPr>
              <w:pStyle w:val="TableParagraph"/>
              <w:ind w:left="174"/>
              <w:jc w:val="left"/>
              <w:rPr>
                <w:sz w:val="14"/>
              </w:rPr>
            </w:pPr>
            <w:r>
              <w:rPr>
                <w:color w:val="231F20"/>
                <w:sz w:val="14"/>
              </w:rPr>
              <w:t>Ознака ДВ</w:t>
            </w:r>
          </w:p>
        </w:tc>
        <w:tc>
          <w:tcPr>
            <w:tcW w:w="3363" w:type="dxa"/>
          </w:tcPr>
          <w:p>
            <w:pPr>
              <w:pStyle w:val="TableParagraph"/>
              <w:ind w:left="1369" w:right="1359"/>
              <w:jc w:val="center"/>
              <w:rPr>
                <w:sz w:val="14"/>
              </w:rPr>
            </w:pPr>
            <w:r>
              <w:rPr>
                <w:color w:val="231F20"/>
                <w:sz w:val="14"/>
              </w:rPr>
              <w:t>Назив ДВ</w:t>
            </w:r>
          </w:p>
        </w:tc>
        <w:tc>
          <w:tcPr>
            <w:tcW w:w="934" w:type="dxa"/>
          </w:tcPr>
          <w:p>
            <w:pPr>
              <w:pStyle w:val="TableParagraph"/>
              <w:ind w:right="76"/>
              <w:rPr>
                <w:sz w:val="14"/>
              </w:rPr>
            </w:pPr>
            <w:r>
              <w:rPr>
                <w:color w:val="231F20"/>
                <w:sz w:val="14"/>
              </w:rPr>
              <w:t>Дужина (км)</w:t>
            </w:r>
          </w:p>
        </w:tc>
        <w:tc>
          <w:tcPr>
            <w:tcW w:w="1701" w:type="dxa"/>
          </w:tcPr>
          <w:p>
            <w:pPr>
              <w:pStyle w:val="TableParagraph"/>
              <w:ind w:left="171"/>
              <w:jc w:val="left"/>
              <w:rPr>
                <w:sz w:val="14"/>
              </w:rPr>
            </w:pPr>
            <w:r>
              <w:rPr>
                <w:color w:val="231F20"/>
                <w:sz w:val="14"/>
              </w:rPr>
              <w:t>Тип и број проводника</w:t>
            </w:r>
          </w:p>
        </w:tc>
        <w:tc>
          <w:tcPr>
            <w:tcW w:w="1275" w:type="dxa"/>
          </w:tcPr>
          <w:p>
            <w:pPr>
              <w:pStyle w:val="TableParagraph"/>
              <w:ind w:left="116"/>
              <w:jc w:val="left"/>
              <w:rPr>
                <w:sz w:val="14"/>
              </w:rPr>
            </w:pPr>
            <w:r>
              <w:rPr>
                <w:color w:val="231F20"/>
                <w:sz w:val="14"/>
              </w:rPr>
              <w:t>Година. изградње</w:t>
            </w:r>
          </w:p>
        </w:tc>
        <w:tc>
          <w:tcPr>
            <w:tcW w:w="1637" w:type="dxa"/>
          </w:tcPr>
          <w:p>
            <w:pPr>
              <w:pStyle w:val="TableParagraph"/>
              <w:ind w:left="131"/>
              <w:jc w:val="left"/>
              <w:rPr>
                <w:sz w:val="14"/>
              </w:rPr>
            </w:pPr>
            <w:r>
              <w:rPr>
                <w:color w:val="231F20"/>
                <w:sz w:val="14"/>
              </w:rPr>
              <w:t>Година реконструкције</w:t>
            </w:r>
          </w:p>
        </w:tc>
      </w:tr>
      <w:tr>
        <w:trPr>
          <w:trHeight w:val="200" w:hRule="atLeast"/>
        </w:trPr>
        <w:tc>
          <w:tcPr>
            <w:tcW w:w="10482" w:type="dxa"/>
            <w:gridSpan w:val="7"/>
          </w:tcPr>
          <w:p>
            <w:pPr>
              <w:pStyle w:val="TableParagraph"/>
              <w:ind w:left="4901" w:right="4890"/>
              <w:jc w:val="center"/>
              <w:rPr>
                <w:sz w:val="14"/>
              </w:rPr>
            </w:pPr>
            <w:r>
              <w:rPr>
                <w:color w:val="231F20"/>
                <w:sz w:val="14"/>
              </w:rPr>
              <w:t>ДВ 110 kV</w:t>
            </w:r>
          </w:p>
        </w:tc>
      </w:tr>
      <w:tr>
        <w:trPr>
          <w:trHeight w:val="200" w:hRule="atLeast"/>
        </w:trPr>
        <w:tc>
          <w:tcPr>
            <w:tcW w:w="579" w:type="dxa"/>
          </w:tcPr>
          <w:p>
            <w:pPr>
              <w:pStyle w:val="TableParagraph"/>
              <w:ind w:left="56"/>
              <w:jc w:val="left"/>
              <w:rPr>
                <w:sz w:val="14"/>
              </w:rPr>
            </w:pPr>
            <w:r>
              <w:rPr>
                <w:color w:val="231F20"/>
                <w:sz w:val="14"/>
              </w:rPr>
              <w:t>1.</w:t>
            </w:r>
          </w:p>
        </w:tc>
        <w:tc>
          <w:tcPr>
            <w:tcW w:w="993" w:type="dxa"/>
          </w:tcPr>
          <w:p>
            <w:pPr>
              <w:pStyle w:val="TableParagraph"/>
              <w:ind w:left="56"/>
              <w:jc w:val="left"/>
              <w:rPr>
                <w:sz w:val="14"/>
              </w:rPr>
            </w:pPr>
            <w:r>
              <w:rPr>
                <w:color w:val="231F20"/>
                <w:sz w:val="14"/>
              </w:rPr>
              <w:t>101А/4</w:t>
            </w:r>
          </w:p>
        </w:tc>
        <w:tc>
          <w:tcPr>
            <w:tcW w:w="3363" w:type="dxa"/>
          </w:tcPr>
          <w:p>
            <w:pPr>
              <w:pStyle w:val="TableParagraph"/>
              <w:ind w:left="56"/>
              <w:jc w:val="left"/>
              <w:rPr>
                <w:sz w:val="14"/>
              </w:rPr>
            </w:pPr>
            <w:r>
              <w:rPr>
                <w:color w:val="231F20"/>
                <w:sz w:val="14"/>
              </w:rPr>
              <w:t>СМЕДЕРЕВО 4 – КОСТОЛАЦ А</w:t>
            </w:r>
          </w:p>
        </w:tc>
        <w:tc>
          <w:tcPr>
            <w:tcW w:w="934" w:type="dxa"/>
          </w:tcPr>
          <w:p>
            <w:pPr>
              <w:pStyle w:val="TableParagraph"/>
              <w:ind w:right="45"/>
              <w:rPr>
                <w:sz w:val="14"/>
              </w:rPr>
            </w:pPr>
            <w:r>
              <w:rPr>
                <w:color w:val="231F20"/>
                <w:sz w:val="14"/>
              </w:rPr>
              <w:t>21,290</w:t>
            </w:r>
          </w:p>
        </w:tc>
        <w:tc>
          <w:tcPr>
            <w:tcW w:w="1701" w:type="dxa"/>
          </w:tcPr>
          <w:p>
            <w:pPr>
              <w:pStyle w:val="TableParagraph"/>
              <w:ind w:right="45"/>
              <w:rPr>
                <w:sz w:val="14"/>
              </w:rPr>
            </w:pPr>
            <w:r>
              <w:rPr>
                <w:color w:val="231F20"/>
                <w:sz w:val="14"/>
              </w:rPr>
              <w:t>Ал/Че 150/25</w:t>
            </w:r>
          </w:p>
        </w:tc>
        <w:tc>
          <w:tcPr>
            <w:tcW w:w="1275" w:type="dxa"/>
          </w:tcPr>
          <w:p>
            <w:pPr>
              <w:pStyle w:val="TableParagraph"/>
              <w:ind w:right="45"/>
              <w:rPr>
                <w:sz w:val="14"/>
              </w:rPr>
            </w:pPr>
            <w:r>
              <w:rPr>
                <w:color w:val="231F20"/>
                <w:sz w:val="14"/>
              </w:rPr>
              <w:t>1956</w:t>
            </w:r>
          </w:p>
        </w:tc>
        <w:tc>
          <w:tcPr>
            <w:tcW w:w="1637" w:type="dxa"/>
          </w:tcPr>
          <w:p>
            <w:pPr>
              <w:pStyle w:val="TableParagraph"/>
              <w:ind w:right="45"/>
              <w:rPr>
                <w:sz w:val="14"/>
              </w:rPr>
            </w:pPr>
            <w:r>
              <w:rPr>
                <w:color w:val="231F20"/>
                <w:sz w:val="14"/>
              </w:rPr>
              <w:t>1991</w:t>
            </w:r>
          </w:p>
        </w:tc>
      </w:tr>
      <w:tr>
        <w:trPr>
          <w:trHeight w:val="200" w:hRule="atLeast"/>
        </w:trPr>
        <w:tc>
          <w:tcPr>
            <w:tcW w:w="579" w:type="dxa"/>
          </w:tcPr>
          <w:p>
            <w:pPr>
              <w:pStyle w:val="TableParagraph"/>
              <w:ind w:left="56"/>
              <w:jc w:val="left"/>
              <w:rPr>
                <w:sz w:val="14"/>
              </w:rPr>
            </w:pPr>
            <w:r>
              <w:rPr>
                <w:color w:val="231F20"/>
                <w:sz w:val="14"/>
              </w:rPr>
              <w:t>2.</w:t>
            </w:r>
          </w:p>
        </w:tc>
        <w:tc>
          <w:tcPr>
            <w:tcW w:w="993" w:type="dxa"/>
          </w:tcPr>
          <w:p>
            <w:pPr>
              <w:pStyle w:val="TableParagraph"/>
              <w:ind w:left="56"/>
              <w:jc w:val="left"/>
              <w:rPr>
                <w:sz w:val="14"/>
              </w:rPr>
            </w:pPr>
            <w:r>
              <w:rPr>
                <w:color w:val="231F20"/>
                <w:sz w:val="14"/>
              </w:rPr>
              <w:t>101Б/4</w:t>
            </w:r>
          </w:p>
        </w:tc>
        <w:tc>
          <w:tcPr>
            <w:tcW w:w="3363" w:type="dxa"/>
          </w:tcPr>
          <w:p>
            <w:pPr>
              <w:pStyle w:val="TableParagraph"/>
              <w:ind w:left="56"/>
              <w:jc w:val="left"/>
              <w:rPr>
                <w:sz w:val="14"/>
              </w:rPr>
            </w:pPr>
            <w:r>
              <w:rPr>
                <w:color w:val="231F20"/>
                <w:sz w:val="14"/>
              </w:rPr>
              <w:t>СМЕДЕРЕВО 1 – КОСТОЛАЦ А</w:t>
            </w:r>
          </w:p>
        </w:tc>
        <w:tc>
          <w:tcPr>
            <w:tcW w:w="934" w:type="dxa"/>
          </w:tcPr>
          <w:p>
            <w:pPr>
              <w:pStyle w:val="TableParagraph"/>
              <w:ind w:right="45"/>
              <w:rPr>
                <w:sz w:val="14"/>
              </w:rPr>
            </w:pPr>
            <w:r>
              <w:rPr>
                <w:color w:val="231F20"/>
                <w:sz w:val="14"/>
              </w:rPr>
              <w:t>20,075</w:t>
            </w:r>
          </w:p>
        </w:tc>
        <w:tc>
          <w:tcPr>
            <w:tcW w:w="1701" w:type="dxa"/>
          </w:tcPr>
          <w:p>
            <w:pPr>
              <w:pStyle w:val="TableParagraph"/>
              <w:ind w:right="45"/>
              <w:rPr>
                <w:sz w:val="14"/>
              </w:rPr>
            </w:pPr>
            <w:r>
              <w:rPr>
                <w:color w:val="231F20"/>
                <w:sz w:val="14"/>
              </w:rPr>
              <w:t>Ал/Че 150/25</w:t>
            </w:r>
          </w:p>
        </w:tc>
        <w:tc>
          <w:tcPr>
            <w:tcW w:w="1275" w:type="dxa"/>
          </w:tcPr>
          <w:p>
            <w:pPr>
              <w:pStyle w:val="TableParagraph"/>
              <w:ind w:right="45"/>
              <w:rPr>
                <w:sz w:val="14"/>
              </w:rPr>
            </w:pPr>
            <w:r>
              <w:rPr>
                <w:color w:val="231F20"/>
                <w:sz w:val="14"/>
              </w:rPr>
              <w:t>1956</w:t>
            </w:r>
          </w:p>
        </w:tc>
        <w:tc>
          <w:tcPr>
            <w:tcW w:w="1637" w:type="dxa"/>
          </w:tcPr>
          <w:p>
            <w:pPr>
              <w:pStyle w:val="TableParagraph"/>
              <w:ind w:right="45"/>
              <w:rPr>
                <w:sz w:val="14"/>
              </w:rPr>
            </w:pPr>
            <w:r>
              <w:rPr>
                <w:color w:val="231F20"/>
                <w:sz w:val="14"/>
              </w:rPr>
              <w:t>1991</w:t>
            </w:r>
          </w:p>
        </w:tc>
      </w:tr>
      <w:tr>
        <w:trPr>
          <w:trHeight w:val="200" w:hRule="atLeast"/>
        </w:trPr>
        <w:tc>
          <w:tcPr>
            <w:tcW w:w="579" w:type="dxa"/>
          </w:tcPr>
          <w:p>
            <w:pPr>
              <w:pStyle w:val="TableParagraph"/>
              <w:ind w:left="56"/>
              <w:jc w:val="left"/>
              <w:rPr>
                <w:sz w:val="14"/>
              </w:rPr>
            </w:pPr>
            <w:r>
              <w:rPr>
                <w:color w:val="231F20"/>
                <w:sz w:val="14"/>
              </w:rPr>
              <w:t>3.</w:t>
            </w:r>
          </w:p>
        </w:tc>
        <w:tc>
          <w:tcPr>
            <w:tcW w:w="993" w:type="dxa"/>
          </w:tcPr>
          <w:p>
            <w:pPr>
              <w:pStyle w:val="TableParagraph"/>
              <w:ind w:left="56"/>
              <w:jc w:val="left"/>
              <w:rPr>
                <w:sz w:val="14"/>
              </w:rPr>
            </w:pPr>
            <w:r>
              <w:rPr>
                <w:color w:val="231F20"/>
                <w:sz w:val="14"/>
              </w:rPr>
              <w:t>102А/1</w:t>
            </w:r>
          </w:p>
        </w:tc>
        <w:tc>
          <w:tcPr>
            <w:tcW w:w="3363" w:type="dxa"/>
          </w:tcPr>
          <w:p>
            <w:pPr>
              <w:pStyle w:val="TableParagraph"/>
              <w:ind w:left="56"/>
              <w:jc w:val="left"/>
              <w:rPr>
                <w:sz w:val="14"/>
              </w:rPr>
            </w:pPr>
            <w:r>
              <w:rPr>
                <w:color w:val="231F20"/>
                <w:sz w:val="14"/>
              </w:rPr>
              <w:t>КОСТОЛАЦ А – ПОЖАРЕВАЦ</w:t>
            </w:r>
          </w:p>
        </w:tc>
        <w:tc>
          <w:tcPr>
            <w:tcW w:w="934" w:type="dxa"/>
          </w:tcPr>
          <w:p>
            <w:pPr>
              <w:pStyle w:val="TableParagraph"/>
              <w:ind w:right="45"/>
              <w:rPr>
                <w:sz w:val="14"/>
              </w:rPr>
            </w:pPr>
            <w:r>
              <w:rPr>
                <w:color w:val="231F20"/>
                <w:sz w:val="14"/>
              </w:rPr>
              <w:t>10,088</w:t>
            </w:r>
          </w:p>
        </w:tc>
        <w:tc>
          <w:tcPr>
            <w:tcW w:w="1701" w:type="dxa"/>
          </w:tcPr>
          <w:p>
            <w:pPr>
              <w:pStyle w:val="TableParagraph"/>
              <w:ind w:right="45"/>
              <w:rPr>
                <w:sz w:val="14"/>
              </w:rPr>
            </w:pPr>
            <w:r>
              <w:rPr>
                <w:color w:val="231F20"/>
                <w:sz w:val="14"/>
              </w:rPr>
              <w:t>Ал/Че 150/25</w:t>
            </w:r>
          </w:p>
        </w:tc>
        <w:tc>
          <w:tcPr>
            <w:tcW w:w="1275" w:type="dxa"/>
          </w:tcPr>
          <w:p>
            <w:pPr>
              <w:pStyle w:val="TableParagraph"/>
              <w:ind w:right="45"/>
              <w:rPr>
                <w:sz w:val="14"/>
              </w:rPr>
            </w:pPr>
            <w:r>
              <w:rPr>
                <w:color w:val="231F20"/>
                <w:sz w:val="14"/>
              </w:rPr>
              <w:t>1948</w:t>
            </w:r>
          </w:p>
        </w:tc>
        <w:tc>
          <w:tcPr>
            <w:tcW w:w="1637" w:type="dxa"/>
          </w:tcPr>
          <w:p>
            <w:pPr>
              <w:pStyle w:val="TableParagraph"/>
              <w:ind w:right="45"/>
              <w:rPr>
                <w:sz w:val="14"/>
              </w:rPr>
            </w:pPr>
            <w:r>
              <w:rPr>
                <w:color w:val="231F20"/>
                <w:sz w:val="14"/>
              </w:rPr>
              <w:t>1975</w:t>
            </w:r>
          </w:p>
        </w:tc>
      </w:tr>
      <w:tr>
        <w:trPr>
          <w:trHeight w:val="200" w:hRule="atLeast"/>
        </w:trPr>
        <w:tc>
          <w:tcPr>
            <w:tcW w:w="579" w:type="dxa"/>
          </w:tcPr>
          <w:p>
            <w:pPr>
              <w:pStyle w:val="TableParagraph"/>
              <w:ind w:left="56"/>
              <w:jc w:val="left"/>
              <w:rPr>
                <w:sz w:val="14"/>
              </w:rPr>
            </w:pPr>
            <w:r>
              <w:rPr>
                <w:color w:val="231F20"/>
                <w:sz w:val="14"/>
              </w:rPr>
              <w:t>4.</w:t>
            </w:r>
          </w:p>
        </w:tc>
        <w:tc>
          <w:tcPr>
            <w:tcW w:w="993" w:type="dxa"/>
          </w:tcPr>
          <w:p>
            <w:pPr>
              <w:pStyle w:val="TableParagraph"/>
              <w:ind w:left="56"/>
              <w:jc w:val="left"/>
              <w:rPr>
                <w:sz w:val="14"/>
              </w:rPr>
            </w:pPr>
            <w:r>
              <w:rPr>
                <w:color w:val="231F20"/>
                <w:sz w:val="14"/>
              </w:rPr>
              <w:t>102Б/1</w:t>
            </w:r>
          </w:p>
        </w:tc>
        <w:tc>
          <w:tcPr>
            <w:tcW w:w="3363" w:type="dxa"/>
          </w:tcPr>
          <w:p>
            <w:pPr>
              <w:pStyle w:val="TableParagraph"/>
              <w:ind w:left="56"/>
              <w:jc w:val="left"/>
              <w:rPr>
                <w:sz w:val="14"/>
              </w:rPr>
            </w:pPr>
            <w:r>
              <w:rPr>
                <w:color w:val="231F20"/>
                <w:sz w:val="14"/>
              </w:rPr>
              <w:t>КОСТОЛАЦ А – ПОЖАРЕВАЦ</w:t>
            </w:r>
          </w:p>
        </w:tc>
        <w:tc>
          <w:tcPr>
            <w:tcW w:w="934" w:type="dxa"/>
          </w:tcPr>
          <w:p>
            <w:pPr>
              <w:pStyle w:val="TableParagraph"/>
              <w:ind w:right="45"/>
              <w:rPr>
                <w:sz w:val="14"/>
              </w:rPr>
            </w:pPr>
            <w:r>
              <w:rPr>
                <w:color w:val="231F20"/>
                <w:sz w:val="14"/>
              </w:rPr>
              <w:t>10,088</w:t>
            </w:r>
          </w:p>
        </w:tc>
        <w:tc>
          <w:tcPr>
            <w:tcW w:w="1701" w:type="dxa"/>
          </w:tcPr>
          <w:p>
            <w:pPr>
              <w:pStyle w:val="TableParagraph"/>
              <w:ind w:right="45"/>
              <w:rPr>
                <w:sz w:val="14"/>
              </w:rPr>
            </w:pPr>
            <w:r>
              <w:rPr>
                <w:color w:val="231F20"/>
                <w:sz w:val="14"/>
              </w:rPr>
              <w:t>Ал/Че 150/25</w:t>
            </w:r>
          </w:p>
        </w:tc>
        <w:tc>
          <w:tcPr>
            <w:tcW w:w="1275" w:type="dxa"/>
          </w:tcPr>
          <w:p>
            <w:pPr>
              <w:pStyle w:val="TableParagraph"/>
              <w:ind w:right="45"/>
              <w:rPr>
                <w:sz w:val="14"/>
              </w:rPr>
            </w:pPr>
            <w:r>
              <w:rPr>
                <w:color w:val="231F20"/>
                <w:sz w:val="14"/>
              </w:rPr>
              <w:t>1948</w:t>
            </w:r>
          </w:p>
        </w:tc>
        <w:tc>
          <w:tcPr>
            <w:tcW w:w="1637" w:type="dxa"/>
          </w:tcPr>
          <w:p>
            <w:pPr>
              <w:pStyle w:val="TableParagraph"/>
              <w:ind w:right="45"/>
              <w:rPr>
                <w:sz w:val="14"/>
              </w:rPr>
            </w:pPr>
            <w:r>
              <w:rPr>
                <w:color w:val="231F20"/>
                <w:sz w:val="14"/>
              </w:rPr>
              <w:t>1989</w:t>
            </w:r>
          </w:p>
        </w:tc>
      </w:tr>
      <w:tr>
        <w:trPr>
          <w:trHeight w:val="200" w:hRule="atLeast"/>
        </w:trPr>
        <w:tc>
          <w:tcPr>
            <w:tcW w:w="579" w:type="dxa"/>
          </w:tcPr>
          <w:p>
            <w:pPr>
              <w:pStyle w:val="TableParagraph"/>
              <w:ind w:left="56"/>
              <w:jc w:val="left"/>
              <w:rPr>
                <w:sz w:val="14"/>
              </w:rPr>
            </w:pPr>
            <w:r>
              <w:rPr>
                <w:color w:val="231F20"/>
                <w:sz w:val="14"/>
              </w:rPr>
              <w:t>5</w:t>
            </w:r>
          </w:p>
        </w:tc>
        <w:tc>
          <w:tcPr>
            <w:tcW w:w="993" w:type="dxa"/>
          </w:tcPr>
          <w:p>
            <w:pPr>
              <w:pStyle w:val="TableParagraph"/>
              <w:ind w:left="56"/>
              <w:jc w:val="left"/>
              <w:rPr>
                <w:sz w:val="14"/>
              </w:rPr>
            </w:pPr>
            <w:r>
              <w:rPr>
                <w:color w:val="231F20"/>
                <w:sz w:val="14"/>
              </w:rPr>
              <w:t>102 Б/2</w:t>
            </w:r>
          </w:p>
        </w:tc>
        <w:tc>
          <w:tcPr>
            <w:tcW w:w="3363" w:type="dxa"/>
          </w:tcPr>
          <w:p>
            <w:pPr>
              <w:pStyle w:val="TableParagraph"/>
              <w:ind w:left="56"/>
              <w:jc w:val="left"/>
              <w:rPr>
                <w:sz w:val="14"/>
              </w:rPr>
            </w:pPr>
            <w:r>
              <w:rPr>
                <w:color w:val="231F20"/>
                <w:sz w:val="14"/>
              </w:rPr>
              <w:t>ПОЗАРЕВАЦ – ПЕТРОВАЦ</w:t>
            </w:r>
          </w:p>
        </w:tc>
        <w:tc>
          <w:tcPr>
            <w:tcW w:w="934" w:type="dxa"/>
          </w:tcPr>
          <w:p>
            <w:pPr>
              <w:pStyle w:val="TableParagraph"/>
              <w:ind w:right="45"/>
              <w:rPr>
                <w:sz w:val="14"/>
              </w:rPr>
            </w:pPr>
            <w:r>
              <w:rPr>
                <w:color w:val="231F20"/>
                <w:sz w:val="14"/>
              </w:rPr>
              <w:t>36,483</w:t>
            </w:r>
          </w:p>
        </w:tc>
        <w:tc>
          <w:tcPr>
            <w:tcW w:w="1701" w:type="dxa"/>
          </w:tcPr>
          <w:p>
            <w:pPr>
              <w:pStyle w:val="TableParagraph"/>
              <w:ind w:right="45"/>
              <w:rPr>
                <w:sz w:val="14"/>
              </w:rPr>
            </w:pPr>
            <w:r>
              <w:rPr>
                <w:color w:val="231F20"/>
                <w:sz w:val="14"/>
              </w:rPr>
              <w:t>Ал/Че 120/20</w:t>
            </w:r>
          </w:p>
        </w:tc>
        <w:tc>
          <w:tcPr>
            <w:tcW w:w="1275" w:type="dxa"/>
          </w:tcPr>
          <w:p>
            <w:pPr>
              <w:pStyle w:val="TableParagraph"/>
              <w:ind w:right="45"/>
              <w:rPr>
                <w:sz w:val="14"/>
              </w:rPr>
            </w:pPr>
            <w:r>
              <w:rPr>
                <w:color w:val="231F20"/>
                <w:sz w:val="14"/>
              </w:rPr>
              <w:t>1948</w:t>
            </w:r>
          </w:p>
        </w:tc>
        <w:tc>
          <w:tcPr>
            <w:tcW w:w="1637" w:type="dxa"/>
          </w:tcPr>
          <w:p>
            <w:pPr>
              <w:pStyle w:val="TableParagraph"/>
              <w:ind w:right="45"/>
              <w:rPr>
                <w:sz w:val="14"/>
              </w:rPr>
            </w:pPr>
            <w:r>
              <w:rPr>
                <w:color w:val="231F20"/>
                <w:sz w:val="14"/>
              </w:rPr>
              <w:t>2002</w:t>
            </w:r>
          </w:p>
        </w:tc>
      </w:tr>
      <w:tr>
        <w:trPr>
          <w:trHeight w:val="200" w:hRule="atLeast"/>
        </w:trPr>
        <w:tc>
          <w:tcPr>
            <w:tcW w:w="579" w:type="dxa"/>
          </w:tcPr>
          <w:p>
            <w:pPr>
              <w:pStyle w:val="TableParagraph"/>
              <w:ind w:left="56"/>
              <w:jc w:val="left"/>
              <w:rPr>
                <w:sz w:val="14"/>
              </w:rPr>
            </w:pPr>
            <w:r>
              <w:rPr>
                <w:color w:val="231F20"/>
                <w:sz w:val="14"/>
              </w:rPr>
              <w:t>6.</w:t>
            </w:r>
          </w:p>
        </w:tc>
        <w:tc>
          <w:tcPr>
            <w:tcW w:w="993" w:type="dxa"/>
          </w:tcPr>
          <w:p>
            <w:pPr>
              <w:pStyle w:val="TableParagraph"/>
              <w:ind w:left="56"/>
              <w:jc w:val="left"/>
              <w:rPr>
                <w:sz w:val="14"/>
              </w:rPr>
            </w:pPr>
            <w:r>
              <w:rPr>
                <w:color w:val="231F20"/>
                <w:sz w:val="14"/>
              </w:rPr>
              <w:t>1144А</w:t>
            </w:r>
          </w:p>
        </w:tc>
        <w:tc>
          <w:tcPr>
            <w:tcW w:w="3363" w:type="dxa"/>
          </w:tcPr>
          <w:p>
            <w:pPr>
              <w:pStyle w:val="TableParagraph"/>
              <w:ind w:left="56"/>
              <w:jc w:val="left"/>
              <w:rPr>
                <w:sz w:val="14"/>
              </w:rPr>
            </w:pPr>
            <w:r>
              <w:rPr>
                <w:color w:val="231F20"/>
                <w:sz w:val="14"/>
              </w:rPr>
              <w:t>КОСТОЛАЦ – СМЕДЕРЕВО 3</w:t>
            </w:r>
          </w:p>
        </w:tc>
        <w:tc>
          <w:tcPr>
            <w:tcW w:w="934" w:type="dxa"/>
          </w:tcPr>
          <w:p>
            <w:pPr>
              <w:pStyle w:val="TableParagraph"/>
              <w:ind w:right="45"/>
              <w:rPr>
                <w:sz w:val="14"/>
              </w:rPr>
            </w:pPr>
            <w:r>
              <w:rPr>
                <w:color w:val="231F20"/>
                <w:sz w:val="14"/>
              </w:rPr>
              <w:t>26,539</w:t>
            </w:r>
          </w:p>
        </w:tc>
        <w:tc>
          <w:tcPr>
            <w:tcW w:w="1701" w:type="dxa"/>
          </w:tcPr>
          <w:p>
            <w:pPr>
              <w:pStyle w:val="TableParagraph"/>
              <w:ind w:right="45"/>
              <w:rPr>
                <w:sz w:val="14"/>
              </w:rPr>
            </w:pPr>
            <w:r>
              <w:rPr>
                <w:color w:val="231F20"/>
                <w:sz w:val="14"/>
              </w:rPr>
              <w:t>Ал/Че 240/40</w:t>
            </w:r>
          </w:p>
        </w:tc>
        <w:tc>
          <w:tcPr>
            <w:tcW w:w="1275" w:type="dxa"/>
          </w:tcPr>
          <w:p>
            <w:pPr>
              <w:pStyle w:val="TableParagraph"/>
              <w:ind w:right="45"/>
              <w:rPr>
                <w:sz w:val="14"/>
              </w:rPr>
            </w:pPr>
            <w:r>
              <w:rPr>
                <w:color w:val="231F20"/>
                <w:sz w:val="14"/>
              </w:rPr>
              <w:t>1979</w:t>
            </w:r>
          </w:p>
        </w:tc>
        <w:tc>
          <w:tcPr>
            <w:tcW w:w="1637" w:type="dxa"/>
          </w:tcPr>
          <w:p>
            <w:pPr>
              <w:pStyle w:val="TableParagraph"/>
              <w:ind w:right="45"/>
              <w:rPr>
                <w:sz w:val="14"/>
              </w:rPr>
            </w:pPr>
            <w:r>
              <w:rPr>
                <w:color w:val="231F20"/>
                <w:sz w:val="14"/>
              </w:rPr>
              <w:t>2008</w:t>
            </w:r>
          </w:p>
        </w:tc>
      </w:tr>
      <w:tr>
        <w:trPr>
          <w:trHeight w:val="200" w:hRule="atLeast"/>
        </w:trPr>
        <w:tc>
          <w:tcPr>
            <w:tcW w:w="579" w:type="dxa"/>
          </w:tcPr>
          <w:p>
            <w:pPr>
              <w:pStyle w:val="TableParagraph"/>
              <w:spacing w:before="17"/>
              <w:ind w:left="56"/>
              <w:jc w:val="left"/>
              <w:rPr>
                <w:sz w:val="14"/>
              </w:rPr>
            </w:pPr>
            <w:r>
              <w:rPr>
                <w:color w:val="231F20"/>
                <w:sz w:val="14"/>
              </w:rPr>
              <w:t>7.</w:t>
            </w:r>
          </w:p>
        </w:tc>
        <w:tc>
          <w:tcPr>
            <w:tcW w:w="993" w:type="dxa"/>
          </w:tcPr>
          <w:p>
            <w:pPr>
              <w:pStyle w:val="TableParagraph"/>
              <w:spacing w:before="17"/>
              <w:ind w:left="56"/>
              <w:jc w:val="left"/>
              <w:rPr>
                <w:sz w:val="14"/>
              </w:rPr>
            </w:pPr>
            <w:r>
              <w:rPr>
                <w:color w:val="231F20"/>
                <w:sz w:val="14"/>
              </w:rPr>
              <w:t>1144Б</w:t>
            </w:r>
          </w:p>
        </w:tc>
        <w:tc>
          <w:tcPr>
            <w:tcW w:w="3363" w:type="dxa"/>
          </w:tcPr>
          <w:p>
            <w:pPr>
              <w:pStyle w:val="TableParagraph"/>
              <w:spacing w:before="17"/>
              <w:ind w:left="56"/>
              <w:jc w:val="left"/>
              <w:rPr>
                <w:sz w:val="14"/>
              </w:rPr>
            </w:pPr>
            <w:r>
              <w:rPr>
                <w:color w:val="231F20"/>
                <w:sz w:val="14"/>
              </w:rPr>
              <w:t>КОСТОЛАЦ – СМЕДЕРЕВО 3</w:t>
            </w:r>
          </w:p>
        </w:tc>
        <w:tc>
          <w:tcPr>
            <w:tcW w:w="934" w:type="dxa"/>
          </w:tcPr>
          <w:p>
            <w:pPr>
              <w:pStyle w:val="TableParagraph"/>
              <w:spacing w:before="17"/>
              <w:ind w:right="45"/>
              <w:rPr>
                <w:sz w:val="14"/>
              </w:rPr>
            </w:pPr>
            <w:r>
              <w:rPr>
                <w:color w:val="231F20"/>
                <w:sz w:val="14"/>
              </w:rPr>
              <w:t>26,539</w:t>
            </w:r>
          </w:p>
        </w:tc>
        <w:tc>
          <w:tcPr>
            <w:tcW w:w="1701" w:type="dxa"/>
          </w:tcPr>
          <w:p>
            <w:pPr>
              <w:pStyle w:val="TableParagraph"/>
              <w:spacing w:before="17"/>
              <w:ind w:right="45"/>
              <w:rPr>
                <w:sz w:val="14"/>
              </w:rPr>
            </w:pPr>
            <w:r>
              <w:rPr>
                <w:color w:val="231F20"/>
                <w:sz w:val="14"/>
              </w:rPr>
              <w:t>Ал/Че 240/40</w:t>
            </w:r>
          </w:p>
        </w:tc>
        <w:tc>
          <w:tcPr>
            <w:tcW w:w="1275" w:type="dxa"/>
          </w:tcPr>
          <w:p>
            <w:pPr>
              <w:pStyle w:val="TableParagraph"/>
              <w:spacing w:before="17"/>
              <w:ind w:right="45"/>
              <w:rPr>
                <w:sz w:val="14"/>
              </w:rPr>
            </w:pPr>
            <w:r>
              <w:rPr>
                <w:color w:val="231F20"/>
                <w:sz w:val="14"/>
              </w:rPr>
              <w:t>1979</w:t>
            </w:r>
          </w:p>
        </w:tc>
        <w:tc>
          <w:tcPr>
            <w:tcW w:w="1637" w:type="dxa"/>
          </w:tcPr>
          <w:p>
            <w:pPr>
              <w:pStyle w:val="TableParagraph"/>
              <w:spacing w:before="17"/>
              <w:ind w:right="45"/>
              <w:rPr>
                <w:sz w:val="14"/>
              </w:rPr>
            </w:pPr>
            <w:r>
              <w:rPr>
                <w:color w:val="231F20"/>
                <w:sz w:val="14"/>
              </w:rPr>
              <w:t>2008</w:t>
            </w:r>
          </w:p>
        </w:tc>
      </w:tr>
      <w:tr>
        <w:trPr>
          <w:trHeight w:val="200" w:hRule="atLeast"/>
        </w:trPr>
        <w:tc>
          <w:tcPr>
            <w:tcW w:w="579" w:type="dxa"/>
          </w:tcPr>
          <w:p>
            <w:pPr>
              <w:pStyle w:val="TableParagraph"/>
              <w:spacing w:before="17"/>
              <w:ind w:left="56"/>
              <w:jc w:val="left"/>
              <w:rPr>
                <w:sz w:val="14"/>
              </w:rPr>
            </w:pPr>
            <w:r>
              <w:rPr>
                <w:color w:val="231F20"/>
                <w:sz w:val="14"/>
              </w:rPr>
              <w:t>8.</w:t>
            </w:r>
          </w:p>
        </w:tc>
        <w:tc>
          <w:tcPr>
            <w:tcW w:w="993" w:type="dxa"/>
          </w:tcPr>
          <w:p>
            <w:pPr>
              <w:pStyle w:val="TableParagraph"/>
              <w:spacing w:before="17"/>
              <w:ind w:left="56"/>
              <w:jc w:val="left"/>
              <w:rPr>
                <w:sz w:val="14"/>
              </w:rPr>
            </w:pPr>
            <w:r>
              <w:rPr>
                <w:color w:val="231F20"/>
                <w:sz w:val="14"/>
              </w:rPr>
              <w:t>1159</w:t>
            </w:r>
          </w:p>
        </w:tc>
        <w:tc>
          <w:tcPr>
            <w:tcW w:w="3363" w:type="dxa"/>
          </w:tcPr>
          <w:p>
            <w:pPr>
              <w:pStyle w:val="TableParagraph"/>
              <w:spacing w:before="17"/>
              <w:ind w:left="56"/>
              <w:jc w:val="left"/>
              <w:rPr>
                <w:sz w:val="14"/>
              </w:rPr>
            </w:pPr>
            <w:r>
              <w:rPr>
                <w:color w:val="231F20"/>
                <w:sz w:val="14"/>
              </w:rPr>
              <w:t>ДРМНО (СП) – КОСТОЛАЦ</w:t>
            </w:r>
          </w:p>
        </w:tc>
        <w:tc>
          <w:tcPr>
            <w:tcW w:w="934" w:type="dxa"/>
          </w:tcPr>
          <w:p>
            <w:pPr>
              <w:pStyle w:val="TableParagraph"/>
              <w:spacing w:before="17"/>
              <w:ind w:right="45"/>
              <w:rPr>
                <w:sz w:val="14"/>
              </w:rPr>
            </w:pPr>
            <w:r>
              <w:rPr>
                <w:color w:val="231F20"/>
                <w:sz w:val="14"/>
              </w:rPr>
              <w:t>9,905</w:t>
            </w:r>
          </w:p>
        </w:tc>
        <w:tc>
          <w:tcPr>
            <w:tcW w:w="1701" w:type="dxa"/>
          </w:tcPr>
          <w:p>
            <w:pPr>
              <w:pStyle w:val="TableParagraph"/>
              <w:spacing w:before="17"/>
              <w:ind w:right="45"/>
              <w:rPr>
                <w:sz w:val="14"/>
              </w:rPr>
            </w:pPr>
            <w:r>
              <w:rPr>
                <w:color w:val="231F20"/>
                <w:sz w:val="14"/>
              </w:rPr>
              <w:t>Ал/Че 240/40</w:t>
            </w:r>
          </w:p>
        </w:tc>
        <w:tc>
          <w:tcPr>
            <w:tcW w:w="1275" w:type="dxa"/>
          </w:tcPr>
          <w:p>
            <w:pPr>
              <w:pStyle w:val="TableParagraph"/>
              <w:spacing w:before="17"/>
              <w:ind w:right="45"/>
              <w:rPr>
                <w:sz w:val="14"/>
              </w:rPr>
            </w:pPr>
            <w:r>
              <w:rPr>
                <w:color w:val="231F20"/>
                <w:sz w:val="14"/>
              </w:rPr>
              <w:t>1987</w:t>
            </w:r>
          </w:p>
        </w:tc>
        <w:tc>
          <w:tcPr>
            <w:tcW w:w="1637" w:type="dxa"/>
          </w:tcPr>
          <w:p>
            <w:pPr>
              <w:pStyle w:val="TableParagraph"/>
              <w:spacing w:before="0"/>
              <w:jc w:val="left"/>
              <w:rPr>
                <w:sz w:val="12"/>
              </w:rPr>
            </w:pPr>
          </w:p>
        </w:tc>
      </w:tr>
      <w:tr>
        <w:trPr>
          <w:trHeight w:val="200" w:hRule="atLeast"/>
        </w:trPr>
        <w:tc>
          <w:tcPr>
            <w:tcW w:w="579" w:type="dxa"/>
          </w:tcPr>
          <w:p>
            <w:pPr>
              <w:pStyle w:val="TableParagraph"/>
              <w:spacing w:before="17"/>
              <w:ind w:left="56"/>
              <w:jc w:val="left"/>
              <w:rPr>
                <w:sz w:val="14"/>
              </w:rPr>
            </w:pPr>
            <w:r>
              <w:rPr>
                <w:color w:val="231F20"/>
                <w:sz w:val="14"/>
              </w:rPr>
              <w:t>9.</w:t>
            </w:r>
          </w:p>
        </w:tc>
        <w:tc>
          <w:tcPr>
            <w:tcW w:w="993" w:type="dxa"/>
          </w:tcPr>
          <w:p>
            <w:pPr>
              <w:pStyle w:val="TableParagraph"/>
              <w:spacing w:before="17"/>
              <w:ind w:left="56"/>
              <w:jc w:val="left"/>
              <w:rPr>
                <w:sz w:val="14"/>
              </w:rPr>
            </w:pPr>
            <w:r>
              <w:rPr>
                <w:color w:val="231F20"/>
                <w:sz w:val="14"/>
              </w:rPr>
              <w:t>1160</w:t>
            </w:r>
          </w:p>
        </w:tc>
        <w:tc>
          <w:tcPr>
            <w:tcW w:w="3363" w:type="dxa"/>
          </w:tcPr>
          <w:p>
            <w:pPr>
              <w:pStyle w:val="TableParagraph"/>
              <w:spacing w:before="17"/>
              <w:ind w:left="56"/>
              <w:jc w:val="left"/>
              <w:rPr>
                <w:sz w:val="14"/>
              </w:rPr>
            </w:pPr>
            <w:r>
              <w:rPr>
                <w:color w:val="231F20"/>
                <w:sz w:val="14"/>
              </w:rPr>
              <w:t>ДРМНО (СП) – РУДНИК 2</w:t>
            </w:r>
          </w:p>
        </w:tc>
        <w:tc>
          <w:tcPr>
            <w:tcW w:w="934" w:type="dxa"/>
          </w:tcPr>
          <w:p>
            <w:pPr>
              <w:pStyle w:val="TableParagraph"/>
              <w:spacing w:before="17"/>
              <w:ind w:right="45"/>
              <w:rPr>
                <w:sz w:val="14"/>
              </w:rPr>
            </w:pPr>
            <w:r>
              <w:rPr>
                <w:color w:val="231F20"/>
                <w:sz w:val="14"/>
              </w:rPr>
              <w:t>2,572</w:t>
            </w:r>
          </w:p>
        </w:tc>
        <w:tc>
          <w:tcPr>
            <w:tcW w:w="1701" w:type="dxa"/>
          </w:tcPr>
          <w:p>
            <w:pPr>
              <w:pStyle w:val="TableParagraph"/>
              <w:spacing w:before="17"/>
              <w:ind w:right="45"/>
              <w:rPr>
                <w:sz w:val="14"/>
              </w:rPr>
            </w:pPr>
            <w:r>
              <w:rPr>
                <w:color w:val="231F20"/>
                <w:sz w:val="14"/>
              </w:rPr>
              <w:t>Ал/Че 240/40</w:t>
            </w:r>
          </w:p>
        </w:tc>
        <w:tc>
          <w:tcPr>
            <w:tcW w:w="1275" w:type="dxa"/>
          </w:tcPr>
          <w:p>
            <w:pPr>
              <w:pStyle w:val="TableParagraph"/>
              <w:spacing w:before="17"/>
              <w:ind w:right="45"/>
              <w:rPr>
                <w:sz w:val="14"/>
              </w:rPr>
            </w:pPr>
            <w:r>
              <w:rPr>
                <w:color w:val="231F20"/>
                <w:sz w:val="14"/>
              </w:rPr>
              <w:t>1987</w:t>
            </w:r>
          </w:p>
        </w:tc>
        <w:tc>
          <w:tcPr>
            <w:tcW w:w="1637" w:type="dxa"/>
          </w:tcPr>
          <w:p>
            <w:pPr>
              <w:pStyle w:val="TableParagraph"/>
              <w:spacing w:before="0"/>
              <w:jc w:val="left"/>
              <w:rPr>
                <w:sz w:val="12"/>
              </w:rPr>
            </w:pPr>
          </w:p>
        </w:tc>
      </w:tr>
      <w:tr>
        <w:trPr>
          <w:trHeight w:val="200" w:hRule="atLeast"/>
        </w:trPr>
        <w:tc>
          <w:tcPr>
            <w:tcW w:w="579" w:type="dxa"/>
          </w:tcPr>
          <w:p>
            <w:pPr>
              <w:pStyle w:val="TableParagraph"/>
              <w:spacing w:before="17"/>
              <w:ind w:left="56"/>
              <w:jc w:val="left"/>
              <w:rPr>
                <w:sz w:val="14"/>
              </w:rPr>
            </w:pPr>
            <w:r>
              <w:rPr>
                <w:color w:val="231F20"/>
                <w:sz w:val="14"/>
              </w:rPr>
              <w:t>10</w:t>
            </w:r>
          </w:p>
        </w:tc>
        <w:tc>
          <w:tcPr>
            <w:tcW w:w="993" w:type="dxa"/>
          </w:tcPr>
          <w:p>
            <w:pPr>
              <w:pStyle w:val="TableParagraph"/>
              <w:spacing w:before="17"/>
              <w:ind w:left="56"/>
              <w:jc w:val="left"/>
              <w:rPr>
                <w:sz w:val="14"/>
              </w:rPr>
            </w:pPr>
            <w:r>
              <w:rPr>
                <w:color w:val="231F20"/>
                <w:sz w:val="14"/>
              </w:rPr>
              <w:t>1161/1</w:t>
            </w:r>
          </w:p>
        </w:tc>
        <w:tc>
          <w:tcPr>
            <w:tcW w:w="3363" w:type="dxa"/>
          </w:tcPr>
          <w:p>
            <w:pPr>
              <w:pStyle w:val="TableParagraph"/>
              <w:spacing w:before="17"/>
              <w:ind w:left="56"/>
              <w:jc w:val="left"/>
              <w:rPr>
                <w:sz w:val="14"/>
              </w:rPr>
            </w:pPr>
            <w:r>
              <w:rPr>
                <w:color w:val="231F20"/>
                <w:sz w:val="14"/>
              </w:rPr>
              <w:t>РУДНИК 1 – РУДНИК 3</w:t>
            </w:r>
          </w:p>
        </w:tc>
        <w:tc>
          <w:tcPr>
            <w:tcW w:w="934" w:type="dxa"/>
          </w:tcPr>
          <w:p>
            <w:pPr>
              <w:pStyle w:val="TableParagraph"/>
              <w:spacing w:before="0"/>
              <w:jc w:val="left"/>
              <w:rPr>
                <w:sz w:val="12"/>
              </w:rPr>
            </w:pPr>
          </w:p>
        </w:tc>
        <w:tc>
          <w:tcPr>
            <w:tcW w:w="1701" w:type="dxa"/>
          </w:tcPr>
          <w:p>
            <w:pPr>
              <w:pStyle w:val="TableParagraph"/>
              <w:spacing w:before="0"/>
              <w:jc w:val="left"/>
              <w:rPr>
                <w:sz w:val="12"/>
              </w:rPr>
            </w:pPr>
          </w:p>
        </w:tc>
        <w:tc>
          <w:tcPr>
            <w:tcW w:w="1275" w:type="dxa"/>
          </w:tcPr>
          <w:p>
            <w:pPr>
              <w:pStyle w:val="TableParagraph"/>
              <w:spacing w:before="0"/>
              <w:jc w:val="left"/>
              <w:rPr>
                <w:sz w:val="12"/>
              </w:rPr>
            </w:pPr>
          </w:p>
        </w:tc>
        <w:tc>
          <w:tcPr>
            <w:tcW w:w="1637" w:type="dxa"/>
          </w:tcPr>
          <w:p>
            <w:pPr>
              <w:pStyle w:val="TableParagraph"/>
              <w:spacing w:before="0"/>
              <w:jc w:val="left"/>
              <w:rPr>
                <w:sz w:val="12"/>
              </w:rPr>
            </w:pPr>
          </w:p>
        </w:tc>
      </w:tr>
      <w:tr>
        <w:trPr>
          <w:trHeight w:val="200" w:hRule="atLeast"/>
        </w:trPr>
        <w:tc>
          <w:tcPr>
            <w:tcW w:w="579" w:type="dxa"/>
          </w:tcPr>
          <w:p>
            <w:pPr>
              <w:pStyle w:val="TableParagraph"/>
              <w:spacing w:before="17"/>
              <w:ind w:left="56"/>
              <w:jc w:val="left"/>
              <w:rPr>
                <w:sz w:val="14"/>
              </w:rPr>
            </w:pPr>
            <w:r>
              <w:rPr>
                <w:color w:val="231F20"/>
                <w:sz w:val="14"/>
              </w:rPr>
              <w:t>11</w:t>
            </w:r>
          </w:p>
        </w:tc>
        <w:tc>
          <w:tcPr>
            <w:tcW w:w="993" w:type="dxa"/>
          </w:tcPr>
          <w:p>
            <w:pPr>
              <w:pStyle w:val="TableParagraph"/>
              <w:spacing w:before="17"/>
              <w:ind w:left="56"/>
              <w:jc w:val="left"/>
              <w:rPr>
                <w:sz w:val="14"/>
              </w:rPr>
            </w:pPr>
            <w:r>
              <w:rPr>
                <w:color w:val="231F20"/>
                <w:sz w:val="14"/>
              </w:rPr>
              <w:t>1161/2</w:t>
            </w:r>
          </w:p>
        </w:tc>
        <w:tc>
          <w:tcPr>
            <w:tcW w:w="3363" w:type="dxa"/>
          </w:tcPr>
          <w:p>
            <w:pPr>
              <w:pStyle w:val="TableParagraph"/>
              <w:spacing w:before="17"/>
              <w:ind w:left="56"/>
              <w:jc w:val="left"/>
              <w:rPr>
                <w:sz w:val="14"/>
              </w:rPr>
            </w:pPr>
            <w:r>
              <w:rPr>
                <w:color w:val="231F20"/>
                <w:sz w:val="14"/>
              </w:rPr>
              <w:t>РУДНИК 3 – ВЕЛИКО ГРАДИШТЕ</w:t>
            </w:r>
          </w:p>
        </w:tc>
        <w:tc>
          <w:tcPr>
            <w:tcW w:w="934" w:type="dxa"/>
          </w:tcPr>
          <w:p>
            <w:pPr>
              <w:pStyle w:val="TableParagraph"/>
              <w:spacing w:before="0"/>
              <w:jc w:val="left"/>
              <w:rPr>
                <w:sz w:val="12"/>
              </w:rPr>
            </w:pPr>
          </w:p>
        </w:tc>
        <w:tc>
          <w:tcPr>
            <w:tcW w:w="1701" w:type="dxa"/>
          </w:tcPr>
          <w:p>
            <w:pPr>
              <w:pStyle w:val="TableParagraph"/>
              <w:spacing w:before="0"/>
              <w:jc w:val="left"/>
              <w:rPr>
                <w:sz w:val="12"/>
              </w:rPr>
            </w:pPr>
          </w:p>
        </w:tc>
        <w:tc>
          <w:tcPr>
            <w:tcW w:w="1275" w:type="dxa"/>
          </w:tcPr>
          <w:p>
            <w:pPr>
              <w:pStyle w:val="TableParagraph"/>
              <w:spacing w:before="0"/>
              <w:jc w:val="left"/>
              <w:rPr>
                <w:sz w:val="12"/>
              </w:rPr>
            </w:pPr>
          </w:p>
        </w:tc>
        <w:tc>
          <w:tcPr>
            <w:tcW w:w="1637" w:type="dxa"/>
          </w:tcPr>
          <w:p>
            <w:pPr>
              <w:pStyle w:val="TableParagraph"/>
              <w:spacing w:before="0"/>
              <w:jc w:val="left"/>
              <w:rPr>
                <w:sz w:val="12"/>
              </w:rPr>
            </w:pPr>
          </w:p>
        </w:tc>
      </w:tr>
      <w:tr>
        <w:trPr>
          <w:trHeight w:val="200" w:hRule="atLeast"/>
        </w:trPr>
        <w:tc>
          <w:tcPr>
            <w:tcW w:w="10482" w:type="dxa"/>
            <w:gridSpan w:val="7"/>
          </w:tcPr>
          <w:p>
            <w:pPr>
              <w:pStyle w:val="TableParagraph"/>
              <w:spacing w:before="17"/>
              <w:ind w:left="4900" w:right="4890"/>
              <w:jc w:val="center"/>
              <w:rPr>
                <w:sz w:val="14"/>
              </w:rPr>
            </w:pPr>
            <w:r>
              <w:rPr>
                <w:color w:val="231F20"/>
                <w:sz w:val="14"/>
              </w:rPr>
              <w:t>ДВ 400 kV</w:t>
            </w:r>
          </w:p>
        </w:tc>
      </w:tr>
      <w:tr>
        <w:trPr>
          <w:trHeight w:val="200" w:hRule="atLeast"/>
        </w:trPr>
        <w:tc>
          <w:tcPr>
            <w:tcW w:w="579" w:type="dxa"/>
          </w:tcPr>
          <w:p>
            <w:pPr>
              <w:pStyle w:val="TableParagraph"/>
              <w:spacing w:before="17"/>
              <w:ind w:left="55"/>
              <w:jc w:val="left"/>
              <w:rPr>
                <w:sz w:val="14"/>
              </w:rPr>
            </w:pPr>
            <w:r>
              <w:rPr>
                <w:color w:val="231F20"/>
                <w:sz w:val="14"/>
              </w:rPr>
              <w:t>1.</w:t>
            </w:r>
          </w:p>
        </w:tc>
        <w:tc>
          <w:tcPr>
            <w:tcW w:w="993" w:type="dxa"/>
          </w:tcPr>
          <w:p>
            <w:pPr>
              <w:pStyle w:val="TableParagraph"/>
              <w:spacing w:before="17"/>
              <w:ind w:left="56"/>
              <w:jc w:val="left"/>
              <w:rPr>
                <w:sz w:val="14"/>
              </w:rPr>
            </w:pPr>
            <w:r>
              <w:rPr>
                <w:color w:val="231F20"/>
                <w:sz w:val="14"/>
              </w:rPr>
              <w:t>401/1</w:t>
            </w:r>
          </w:p>
        </w:tc>
        <w:tc>
          <w:tcPr>
            <w:tcW w:w="3363" w:type="dxa"/>
          </w:tcPr>
          <w:p>
            <w:pPr>
              <w:pStyle w:val="TableParagraph"/>
              <w:spacing w:before="17"/>
              <w:ind w:left="56"/>
              <w:jc w:val="left"/>
              <w:rPr>
                <w:sz w:val="14"/>
              </w:rPr>
            </w:pPr>
            <w:r>
              <w:rPr>
                <w:color w:val="231F20"/>
                <w:sz w:val="14"/>
              </w:rPr>
              <w:t>БЕОГРАД 8 – ДРМНО</w:t>
            </w:r>
          </w:p>
        </w:tc>
        <w:tc>
          <w:tcPr>
            <w:tcW w:w="934" w:type="dxa"/>
          </w:tcPr>
          <w:p>
            <w:pPr>
              <w:pStyle w:val="TableParagraph"/>
              <w:spacing w:before="17"/>
              <w:ind w:right="45"/>
              <w:rPr>
                <w:sz w:val="14"/>
              </w:rPr>
            </w:pPr>
            <w:r>
              <w:rPr>
                <w:color w:val="231F20"/>
                <w:sz w:val="14"/>
              </w:rPr>
              <w:t>87,074</w:t>
            </w:r>
          </w:p>
        </w:tc>
        <w:tc>
          <w:tcPr>
            <w:tcW w:w="1701" w:type="dxa"/>
          </w:tcPr>
          <w:p>
            <w:pPr>
              <w:pStyle w:val="TableParagraph"/>
              <w:spacing w:before="17"/>
              <w:ind w:right="45"/>
              <w:rPr>
                <w:sz w:val="14"/>
              </w:rPr>
            </w:pPr>
            <w:r>
              <w:rPr>
                <w:color w:val="231F20"/>
                <w:sz w:val="14"/>
              </w:rPr>
              <w:t>Ал/Че 2x 490/65</w:t>
            </w:r>
          </w:p>
        </w:tc>
        <w:tc>
          <w:tcPr>
            <w:tcW w:w="1275" w:type="dxa"/>
          </w:tcPr>
          <w:p>
            <w:pPr>
              <w:pStyle w:val="TableParagraph"/>
              <w:spacing w:before="17"/>
              <w:ind w:right="45"/>
              <w:rPr>
                <w:sz w:val="14"/>
              </w:rPr>
            </w:pPr>
            <w:r>
              <w:rPr>
                <w:color w:val="231F20"/>
                <w:sz w:val="14"/>
              </w:rPr>
              <w:t>1970</w:t>
            </w:r>
          </w:p>
        </w:tc>
        <w:tc>
          <w:tcPr>
            <w:tcW w:w="1637" w:type="dxa"/>
          </w:tcPr>
          <w:p>
            <w:pPr>
              <w:pStyle w:val="TableParagraph"/>
              <w:spacing w:before="17"/>
              <w:ind w:right="45"/>
              <w:rPr>
                <w:sz w:val="14"/>
              </w:rPr>
            </w:pPr>
            <w:r>
              <w:rPr>
                <w:color w:val="231F20"/>
                <w:sz w:val="14"/>
              </w:rPr>
              <w:t>2005</w:t>
            </w:r>
          </w:p>
        </w:tc>
      </w:tr>
      <w:tr>
        <w:trPr>
          <w:trHeight w:val="200" w:hRule="atLeast"/>
        </w:trPr>
        <w:tc>
          <w:tcPr>
            <w:tcW w:w="579" w:type="dxa"/>
          </w:tcPr>
          <w:p>
            <w:pPr>
              <w:pStyle w:val="TableParagraph"/>
              <w:spacing w:before="17"/>
              <w:ind w:left="55"/>
              <w:jc w:val="left"/>
              <w:rPr>
                <w:sz w:val="14"/>
              </w:rPr>
            </w:pPr>
            <w:r>
              <w:rPr>
                <w:color w:val="231F20"/>
                <w:sz w:val="14"/>
              </w:rPr>
              <w:t>2.</w:t>
            </w:r>
          </w:p>
        </w:tc>
        <w:tc>
          <w:tcPr>
            <w:tcW w:w="993" w:type="dxa"/>
          </w:tcPr>
          <w:p>
            <w:pPr>
              <w:pStyle w:val="TableParagraph"/>
              <w:spacing w:before="17"/>
              <w:ind w:left="56"/>
              <w:jc w:val="left"/>
              <w:rPr>
                <w:sz w:val="14"/>
              </w:rPr>
            </w:pPr>
            <w:r>
              <w:rPr>
                <w:color w:val="231F20"/>
                <w:sz w:val="14"/>
              </w:rPr>
              <w:t>401/2</w:t>
            </w:r>
          </w:p>
        </w:tc>
        <w:tc>
          <w:tcPr>
            <w:tcW w:w="3363" w:type="dxa"/>
          </w:tcPr>
          <w:p>
            <w:pPr>
              <w:pStyle w:val="TableParagraph"/>
              <w:spacing w:before="17"/>
              <w:ind w:left="56"/>
              <w:jc w:val="left"/>
              <w:rPr>
                <w:sz w:val="14"/>
              </w:rPr>
            </w:pPr>
            <w:r>
              <w:rPr>
                <w:color w:val="231F20"/>
                <w:sz w:val="14"/>
              </w:rPr>
              <w:t>ДРМНО – ЂЕРДАП 1</w:t>
            </w:r>
          </w:p>
        </w:tc>
        <w:tc>
          <w:tcPr>
            <w:tcW w:w="934" w:type="dxa"/>
          </w:tcPr>
          <w:p>
            <w:pPr>
              <w:pStyle w:val="TableParagraph"/>
              <w:spacing w:before="17"/>
              <w:ind w:right="45"/>
              <w:rPr>
                <w:sz w:val="14"/>
              </w:rPr>
            </w:pPr>
            <w:r>
              <w:rPr>
                <w:color w:val="231F20"/>
                <w:sz w:val="14"/>
              </w:rPr>
              <w:t>154,091</w:t>
            </w:r>
          </w:p>
        </w:tc>
        <w:tc>
          <w:tcPr>
            <w:tcW w:w="1701" w:type="dxa"/>
          </w:tcPr>
          <w:p>
            <w:pPr>
              <w:pStyle w:val="TableParagraph"/>
              <w:spacing w:before="17"/>
              <w:ind w:right="46"/>
              <w:rPr>
                <w:sz w:val="14"/>
              </w:rPr>
            </w:pPr>
            <w:r>
              <w:rPr>
                <w:color w:val="231F20"/>
                <w:sz w:val="14"/>
              </w:rPr>
              <w:t>Ал/Че 2x 490/65</w:t>
            </w:r>
          </w:p>
        </w:tc>
        <w:tc>
          <w:tcPr>
            <w:tcW w:w="1275" w:type="dxa"/>
          </w:tcPr>
          <w:p>
            <w:pPr>
              <w:pStyle w:val="TableParagraph"/>
              <w:spacing w:before="17"/>
              <w:ind w:right="45"/>
              <w:rPr>
                <w:sz w:val="14"/>
              </w:rPr>
            </w:pPr>
            <w:r>
              <w:rPr>
                <w:color w:val="231F20"/>
                <w:sz w:val="14"/>
              </w:rPr>
              <w:t>1970</w:t>
            </w:r>
          </w:p>
        </w:tc>
        <w:tc>
          <w:tcPr>
            <w:tcW w:w="1637" w:type="dxa"/>
          </w:tcPr>
          <w:p>
            <w:pPr>
              <w:pStyle w:val="TableParagraph"/>
              <w:spacing w:before="17"/>
              <w:ind w:right="45"/>
              <w:rPr>
                <w:sz w:val="14"/>
              </w:rPr>
            </w:pPr>
            <w:r>
              <w:rPr>
                <w:color w:val="231F20"/>
                <w:sz w:val="14"/>
              </w:rPr>
              <w:t>2005</w:t>
            </w:r>
          </w:p>
        </w:tc>
      </w:tr>
      <w:tr>
        <w:trPr>
          <w:trHeight w:val="200" w:hRule="atLeast"/>
        </w:trPr>
        <w:tc>
          <w:tcPr>
            <w:tcW w:w="579" w:type="dxa"/>
          </w:tcPr>
          <w:p>
            <w:pPr>
              <w:pStyle w:val="TableParagraph"/>
              <w:spacing w:before="17"/>
              <w:ind w:left="55"/>
              <w:jc w:val="left"/>
              <w:rPr>
                <w:sz w:val="14"/>
              </w:rPr>
            </w:pPr>
            <w:r>
              <w:rPr>
                <w:color w:val="231F20"/>
                <w:sz w:val="14"/>
              </w:rPr>
              <w:t>3.</w:t>
            </w:r>
          </w:p>
        </w:tc>
        <w:tc>
          <w:tcPr>
            <w:tcW w:w="993" w:type="dxa"/>
          </w:tcPr>
          <w:p>
            <w:pPr>
              <w:pStyle w:val="TableParagraph"/>
              <w:spacing w:before="17"/>
              <w:ind w:left="56"/>
              <w:jc w:val="left"/>
              <w:rPr>
                <w:sz w:val="14"/>
              </w:rPr>
            </w:pPr>
            <w:r>
              <w:rPr>
                <w:color w:val="231F20"/>
                <w:sz w:val="14"/>
              </w:rPr>
              <w:t>453</w:t>
            </w:r>
          </w:p>
        </w:tc>
        <w:tc>
          <w:tcPr>
            <w:tcW w:w="3363" w:type="dxa"/>
          </w:tcPr>
          <w:p>
            <w:pPr>
              <w:pStyle w:val="TableParagraph"/>
              <w:spacing w:before="17"/>
              <w:ind w:left="56"/>
              <w:jc w:val="left"/>
              <w:rPr>
                <w:sz w:val="14"/>
              </w:rPr>
            </w:pPr>
            <w:r>
              <w:rPr>
                <w:color w:val="231F20"/>
                <w:sz w:val="14"/>
              </w:rPr>
              <w:t>ДРМНО – ПАНЧЕВО 2</w:t>
            </w:r>
          </w:p>
        </w:tc>
        <w:tc>
          <w:tcPr>
            <w:tcW w:w="934" w:type="dxa"/>
          </w:tcPr>
          <w:p>
            <w:pPr>
              <w:pStyle w:val="TableParagraph"/>
              <w:spacing w:before="17"/>
              <w:ind w:right="45"/>
              <w:rPr>
                <w:sz w:val="14"/>
              </w:rPr>
            </w:pPr>
            <w:r>
              <w:rPr>
                <w:color w:val="231F20"/>
                <w:sz w:val="14"/>
              </w:rPr>
              <w:t>49,499</w:t>
            </w:r>
          </w:p>
        </w:tc>
        <w:tc>
          <w:tcPr>
            <w:tcW w:w="1701" w:type="dxa"/>
          </w:tcPr>
          <w:p>
            <w:pPr>
              <w:pStyle w:val="TableParagraph"/>
              <w:spacing w:before="17"/>
              <w:ind w:right="46"/>
              <w:rPr>
                <w:sz w:val="14"/>
              </w:rPr>
            </w:pPr>
            <w:r>
              <w:rPr>
                <w:color w:val="231F20"/>
                <w:sz w:val="14"/>
              </w:rPr>
              <w:t>Ал/Че 2x 490/65</w:t>
            </w:r>
          </w:p>
        </w:tc>
        <w:tc>
          <w:tcPr>
            <w:tcW w:w="1275" w:type="dxa"/>
          </w:tcPr>
          <w:p>
            <w:pPr>
              <w:pStyle w:val="TableParagraph"/>
              <w:spacing w:before="17"/>
              <w:ind w:right="45"/>
              <w:rPr>
                <w:sz w:val="14"/>
              </w:rPr>
            </w:pPr>
            <w:r>
              <w:rPr>
                <w:color w:val="231F20"/>
                <w:sz w:val="14"/>
              </w:rPr>
              <w:t>1987</w:t>
            </w:r>
          </w:p>
        </w:tc>
        <w:tc>
          <w:tcPr>
            <w:tcW w:w="1637" w:type="dxa"/>
          </w:tcPr>
          <w:p>
            <w:pPr>
              <w:pStyle w:val="TableParagraph"/>
              <w:spacing w:before="17"/>
              <w:ind w:right="45"/>
              <w:rPr>
                <w:sz w:val="14"/>
              </w:rPr>
            </w:pPr>
            <w:r>
              <w:rPr>
                <w:color w:val="231F20"/>
                <w:sz w:val="14"/>
              </w:rPr>
              <w:t>2006</w:t>
            </w:r>
          </w:p>
        </w:tc>
      </w:tr>
    </w:tbl>
    <w:p>
      <w:pPr>
        <w:pStyle w:val="BodyText"/>
        <w:ind w:left="0"/>
        <w:jc w:val="left"/>
        <w:rPr>
          <w:sz w:val="20"/>
        </w:rPr>
      </w:pPr>
    </w:p>
    <w:p>
      <w:pPr>
        <w:pStyle w:val="BodyText"/>
        <w:ind w:left="0"/>
        <w:jc w:val="left"/>
        <w:rPr>
          <w:sz w:val="20"/>
        </w:rPr>
      </w:pPr>
    </w:p>
    <w:p>
      <w:pPr>
        <w:pStyle w:val="BodyText"/>
        <w:spacing w:before="172" w:after="41"/>
        <w:ind w:left="145"/>
        <w:jc w:val="left"/>
      </w:pPr>
      <w:r>
        <w:rPr>
          <w:color w:val="231F20"/>
        </w:rPr>
        <w:t>Табела 8. Списак ДВ 110 kV који не припадају мрежи преноса ЈП ЕМС на подручју Костолачког басена</w:t>
      </w: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45"/>
        <w:gridCol w:w="973"/>
        <w:gridCol w:w="3357"/>
        <w:gridCol w:w="1080"/>
        <w:gridCol w:w="1800"/>
        <w:gridCol w:w="1133"/>
        <w:gridCol w:w="1290"/>
      </w:tblGrid>
      <w:tr>
        <w:trPr>
          <w:trHeight w:val="200" w:hRule="atLeast"/>
        </w:trPr>
        <w:tc>
          <w:tcPr>
            <w:tcW w:w="845" w:type="dxa"/>
          </w:tcPr>
          <w:p>
            <w:pPr>
              <w:pStyle w:val="TableParagraph"/>
              <w:ind w:left="195"/>
              <w:jc w:val="left"/>
              <w:rPr>
                <w:sz w:val="14"/>
              </w:rPr>
            </w:pPr>
            <w:r>
              <w:rPr>
                <w:color w:val="231F20"/>
                <w:sz w:val="14"/>
              </w:rPr>
              <w:t>Ред. бр.</w:t>
            </w:r>
          </w:p>
        </w:tc>
        <w:tc>
          <w:tcPr>
            <w:tcW w:w="973" w:type="dxa"/>
          </w:tcPr>
          <w:p>
            <w:pPr>
              <w:pStyle w:val="TableParagraph"/>
              <w:ind w:left="163"/>
              <w:jc w:val="left"/>
              <w:rPr>
                <w:sz w:val="14"/>
              </w:rPr>
            </w:pPr>
            <w:r>
              <w:rPr>
                <w:color w:val="231F20"/>
                <w:sz w:val="14"/>
              </w:rPr>
              <w:t>Ознака ДВ</w:t>
            </w:r>
          </w:p>
        </w:tc>
        <w:tc>
          <w:tcPr>
            <w:tcW w:w="3357" w:type="dxa"/>
          </w:tcPr>
          <w:p>
            <w:pPr>
              <w:pStyle w:val="TableParagraph"/>
              <w:ind w:left="1366" w:right="1356"/>
              <w:jc w:val="center"/>
              <w:rPr>
                <w:sz w:val="14"/>
              </w:rPr>
            </w:pPr>
            <w:r>
              <w:rPr>
                <w:color w:val="231F20"/>
                <w:sz w:val="14"/>
              </w:rPr>
              <w:t>Назив ДВ</w:t>
            </w:r>
          </w:p>
        </w:tc>
        <w:tc>
          <w:tcPr>
            <w:tcW w:w="1080" w:type="dxa"/>
          </w:tcPr>
          <w:p>
            <w:pPr>
              <w:pStyle w:val="TableParagraph"/>
              <w:ind w:left="161"/>
              <w:jc w:val="left"/>
              <w:rPr>
                <w:sz w:val="14"/>
              </w:rPr>
            </w:pPr>
            <w:r>
              <w:rPr>
                <w:color w:val="231F20"/>
                <w:sz w:val="14"/>
              </w:rPr>
              <w:t>Дужина (км)</w:t>
            </w:r>
          </w:p>
        </w:tc>
        <w:tc>
          <w:tcPr>
            <w:tcW w:w="1800" w:type="dxa"/>
          </w:tcPr>
          <w:p>
            <w:pPr>
              <w:pStyle w:val="TableParagraph"/>
              <w:ind w:left="221"/>
              <w:jc w:val="left"/>
              <w:rPr>
                <w:sz w:val="14"/>
              </w:rPr>
            </w:pPr>
            <w:r>
              <w:rPr>
                <w:color w:val="231F20"/>
                <w:sz w:val="14"/>
              </w:rPr>
              <w:t>Тип и број проводника</w:t>
            </w:r>
          </w:p>
        </w:tc>
        <w:tc>
          <w:tcPr>
            <w:tcW w:w="1133" w:type="dxa"/>
          </w:tcPr>
          <w:p>
            <w:pPr>
              <w:pStyle w:val="TableParagraph"/>
              <w:ind w:right="50"/>
              <w:rPr>
                <w:sz w:val="14"/>
              </w:rPr>
            </w:pPr>
            <w:r>
              <w:rPr>
                <w:color w:val="231F20"/>
                <w:sz w:val="14"/>
              </w:rPr>
              <w:t>Година изградње</w:t>
            </w:r>
          </w:p>
        </w:tc>
        <w:tc>
          <w:tcPr>
            <w:tcW w:w="1290" w:type="dxa"/>
          </w:tcPr>
          <w:p>
            <w:pPr>
              <w:pStyle w:val="TableParagraph"/>
              <w:ind w:left="119" w:right="110"/>
              <w:jc w:val="center"/>
              <w:rPr>
                <w:sz w:val="14"/>
              </w:rPr>
            </w:pPr>
            <w:r>
              <w:rPr>
                <w:color w:val="231F20"/>
                <w:sz w:val="14"/>
              </w:rPr>
              <w:t>Корисник</w:t>
            </w:r>
          </w:p>
        </w:tc>
      </w:tr>
      <w:tr>
        <w:trPr>
          <w:trHeight w:val="200" w:hRule="atLeast"/>
        </w:trPr>
        <w:tc>
          <w:tcPr>
            <w:tcW w:w="10478" w:type="dxa"/>
            <w:gridSpan w:val="7"/>
          </w:tcPr>
          <w:p>
            <w:pPr>
              <w:pStyle w:val="TableParagraph"/>
              <w:ind w:left="4900" w:right="4888"/>
              <w:jc w:val="center"/>
              <w:rPr>
                <w:sz w:val="14"/>
              </w:rPr>
            </w:pPr>
            <w:r>
              <w:rPr>
                <w:color w:val="231F20"/>
                <w:sz w:val="14"/>
              </w:rPr>
              <w:t>ДВ 110 kV</w:t>
            </w:r>
          </w:p>
        </w:tc>
      </w:tr>
      <w:tr>
        <w:trPr>
          <w:trHeight w:val="200" w:hRule="atLeast"/>
        </w:trPr>
        <w:tc>
          <w:tcPr>
            <w:tcW w:w="845" w:type="dxa"/>
          </w:tcPr>
          <w:p>
            <w:pPr>
              <w:pStyle w:val="TableParagraph"/>
              <w:ind w:left="56"/>
              <w:jc w:val="left"/>
              <w:rPr>
                <w:sz w:val="14"/>
              </w:rPr>
            </w:pPr>
            <w:r>
              <w:rPr>
                <w:color w:val="231F20"/>
                <w:sz w:val="14"/>
              </w:rPr>
              <w:t>1</w:t>
            </w:r>
          </w:p>
        </w:tc>
        <w:tc>
          <w:tcPr>
            <w:tcW w:w="973" w:type="dxa"/>
          </w:tcPr>
          <w:p>
            <w:pPr>
              <w:pStyle w:val="TableParagraph"/>
              <w:ind w:left="56"/>
              <w:jc w:val="left"/>
              <w:rPr>
                <w:sz w:val="14"/>
              </w:rPr>
            </w:pPr>
            <w:r>
              <w:rPr>
                <w:color w:val="231F20"/>
                <w:sz w:val="14"/>
              </w:rPr>
              <w:t>1128/1</w:t>
            </w:r>
          </w:p>
        </w:tc>
        <w:tc>
          <w:tcPr>
            <w:tcW w:w="3357" w:type="dxa"/>
          </w:tcPr>
          <w:p>
            <w:pPr>
              <w:pStyle w:val="TableParagraph"/>
              <w:ind w:left="56"/>
              <w:jc w:val="left"/>
              <w:rPr>
                <w:sz w:val="14"/>
              </w:rPr>
            </w:pPr>
            <w:r>
              <w:rPr>
                <w:color w:val="231F20"/>
                <w:sz w:val="14"/>
              </w:rPr>
              <w:t>ТЕ КОСТОЛАЦ А – РУДНИК 1</w:t>
            </w:r>
          </w:p>
        </w:tc>
        <w:tc>
          <w:tcPr>
            <w:tcW w:w="1080" w:type="dxa"/>
          </w:tcPr>
          <w:p>
            <w:pPr>
              <w:pStyle w:val="TableParagraph"/>
              <w:ind w:right="44"/>
              <w:rPr>
                <w:sz w:val="14"/>
              </w:rPr>
            </w:pPr>
            <w:r>
              <w:rPr>
                <w:color w:val="231F20"/>
                <w:sz w:val="14"/>
              </w:rPr>
              <w:t>12,700</w:t>
            </w:r>
          </w:p>
        </w:tc>
        <w:tc>
          <w:tcPr>
            <w:tcW w:w="1800" w:type="dxa"/>
          </w:tcPr>
          <w:p>
            <w:pPr>
              <w:pStyle w:val="TableParagraph"/>
              <w:ind w:right="44"/>
              <w:rPr>
                <w:sz w:val="14"/>
              </w:rPr>
            </w:pPr>
            <w:r>
              <w:rPr>
                <w:color w:val="231F20"/>
                <w:sz w:val="14"/>
              </w:rPr>
              <w:t>Ал/Ч240/40</w:t>
            </w:r>
          </w:p>
        </w:tc>
        <w:tc>
          <w:tcPr>
            <w:tcW w:w="1133" w:type="dxa"/>
          </w:tcPr>
          <w:p>
            <w:pPr>
              <w:pStyle w:val="TableParagraph"/>
              <w:ind w:right="44"/>
              <w:rPr>
                <w:sz w:val="14"/>
              </w:rPr>
            </w:pPr>
            <w:r>
              <w:rPr>
                <w:color w:val="231F20"/>
                <w:sz w:val="14"/>
              </w:rPr>
              <w:t>1979</w:t>
            </w:r>
          </w:p>
        </w:tc>
        <w:tc>
          <w:tcPr>
            <w:tcW w:w="1290" w:type="dxa"/>
          </w:tcPr>
          <w:p>
            <w:pPr>
              <w:pStyle w:val="TableParagraph"/>
              <w:ind w:left="119" w:right="110"/>
              <w:jc w:val="center"/>
              <w:rPr>
                <w:sz w:val="14"/>
              </w:rPr>
            </w:pPr>
            <w:r>
              <w:rPr>
                <w:color w:val="231F20"/>
                <w:sz w:val="14"/>
              </w:rPr>
              <w:t>ТЕ-КО Костолац</w:t>
            </w:r>
          </w:p>
        </w:tc>
      </w:tr>
      <w:tr>
        <w:trPr>
          <w:trHeight w:val="200" w:hRule="atLeast"/>
        </w:trPr>
        <w:tc>
          <w:tcPr>
            <w:tcW w:w="845" w:type="dxa"/>
          </w:tcPr>
          <w:p>
            <w:pPr>
              <w:pStyle w:val="TableParagraph"/>
              <w:ind w:left="56"/>
              <w:jc w:val="left"/>
              <w:rPr>
                <w:sz w:val="14"/>
              </w:rPr>
            </w:pPr>
            <w:r>
              <w:rPr>
                <w:color w:val="231F20"/>
                <w:sz w:val="14"/>
              </w:rPr>
              <w:t>2.</w:t>
            </w:r>
          </w:p>
        </w:tc>
        <w:tc>
          <w:tcPr>
            <w:tcW w:w="973" w:type="dxa"/>
          </w:tcPr>
          <w:p>
            <w:pPr>
              <w:pStyle w:val="TableParagraph"/>
              <w:ind w:left="56"/>
              <w:jc w:val="left"/>
              <w:rPr>
                <w:sz w:val="14"/>
              </w:rPr>
            </w:pPr>
            <w:r>
              <w:rPr>
                <w:color w:val="231F20"/>
                <w:sz w:val="14"/>
              </w:rPr>
              <w:t>1128/2</w:t>
            </w:r>
          </w:p>
        </w:tc>
        <w:tc>
          <w:tcPr>
            <w:tcW w:w="3357" w:type="dxa"/>
          </w:tcPr>
          <w:p>
            <w:pPr>
              <w:pStyle w:val="TableParagraph"/>
              <w:ind w:left="56"/>
              <w:jc w:val="left"/>
              <w:rPr>
                <w:sz w:val="14"/>
              </w:rPr>
            </w:pPr>
            <w:r>
              <w:rPr>
                <w:color w:val="231F20"/>
                <w:sz w:val="14"/>
              </w:rPr>
              <w:t>РУДНИК 1 – РУДНИК 2</w:t>
            </w:r>
          </w:p>
        </w:tc>
        <w:tc>
          <w:tcPr>
            <w:tcW w:w="1080" w:type="dxa"/>
          </w:tcPr>
          <w:p>
            <w:pPr>
              <w:pStyle w:val="TableParagraph"/>
              <w:ind w:right="44"/>
              <w:rPr>
                <w:sz w:val="14"/>
              </w:rPr>
            </w:pPr>
            <w:r>
              <w:rPr>
                <w:color w:val="231F20"/>
                <w:sz w:val="14"/>
              </w:rPr>
              <w:t>6,400</w:t>
            </w:r>
          </w:p>
        </w:tc>
        <w:tc>
          <w:tcPr>
            <w:tcW w:w="1800" w:type="dxa"/>
          </w:tcPr>
          <w:p>
            <w:pPr>
              <w:pStyle w:val="TableParagraph"/>
              <w:ind w:right="44"/>
              <w:rPr>
                <w:sz w:val="14"/>
              </w:rPr>
            </w:pPr>
            <w:r>
              <w:rPr>
                <w:color w:val="231F20"/>
                <w:sz w:val="14"/>
              </w:rPr>
              <w:t>Ал/Ч240/40</w:t>
            </w:r>
          </w:p>
        </w:tc>
        <w:tc>
          <w:tcPr>
            <w:tcW w:w="1133" w:type="dxa"/>
          </w:tcPr>
          <w:p>
            <w:pPr>
              <w:pStyle w:val="TableParagraph"/>
              <w:ind w:right="44"/>
              <w:rPr>
                <w:sz w:val="14"/>
              </w:rPr>
            </w:pPr>
            <w:r>
              <w:rPr>
                <w:color w:val="231F20"/>
                <w:sz w:val="14"/>
              </w:rPr>
              <w:t>1979</w:t>
            </w:r>
          </w:p>
        </w:tc>
        <w:tc>
          <w:tcPr>
            <w:tcW w:w="1290" w:type="dxa"/>
          </w:tcPr>
          <w:p>
            <w:pPr>
              <w:pStyle w:val="TableParagraph"/>
              <w:ind w:left="9"/>
              <w:jc w:val="center"/>
              <w:rPr>
                <w:sz w:val="14"/>
              </w:rPr>
            </w:pPr>
            <w:r>
              <w:rPr>
                <w:color w:val="231F20"/>
                <w:sz w:val="14"/>
              </w:rPr>
              <w:t>„</w:t>
            </w:r>
          </w:p>
        </w:tc>
      </w:tr>
    </w:tbl>
    <w:p>
      <w:pPr>
        <w:pStyle w:val="BodyText"/>
        <w:ind w:left="0"/>
        <w:jc w:val="left"/>
        <w:rPr>
          <w:sz w:val="20"/>
        </w:rPr>
      </w:pPr>
    </w:p>
    <w:p>
      <w:pPr>
        <w:pStyle w:val="BodyText"/>
        <w:ind w:left="0"/>
        <w:jc w:val="left"/>
        <w:rPr>
          <w:sz w:val="20"/>
        </w:rPr>
      </w:pPr>
    </w:p>
    <w:p>
      <w:pPr>
        <w:pStyle w:val="BodyText"/>
        <w:spacing w:before="172" w:after="41"/>
        <w:ind w:left="145"/>
        <w:jc w:val="left"/>
      </w:pPr>
      <w:r>
        <w:rPr>
          <w:color w:val="231F20"/>
        </w:rPr>
        <w:t>Табела 9. Списак ТС ЈП ЕМС у мрежи преноса на подручју Костолачког басена</w:t>
      </w: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738"/>
        <w:gridCol w:w="1383"/>
        <w:gridCol w:w="2578"/>
        <w:gridCol w:w="1092"/>
        <w:gridCol w:w="1842"/>
        <w:gridCol w:w="1732"/>
        <w:gridCol w:w="1105"/>
      </w:tblGrid>
      <w:tr>
        <w:trPr>
          <w:trHeight w:val="200" w:hRule="atLeast"/>
        </w:trPr>
        <w:tc>
          <w:tcPr>
            <w:tcW w:w="738" w:type="dxa"/>
          </w:tcPr>
          <w:p>
            <w:pPr>
              <w:pStyle w:val="TableParagraph"/>
              <w:ind w:left="142"/>
              <w:jc w:val="left"/>
              <w:rPr>
                <w:sz w:val="14"/>
              </w:rPr>
            </w:pPr>
            <w:r>
              <w:rPr>
                <w:color w:val="231F20"/>
                <w:sz w:val="14"/>
              </w:rPr>
              <w:t>Ред. бр.</w:t>
            </w:r>
          </w:p>
        </w:tc>
        <w:tc>
          <w:tcPr>
            <w:tcW w:w="1383" w:type="dxa"/>
          </w:tcPr>
          <w:p>
            <w:pPr>
              <w:pStyle w:val="TableParagraph"/>
              <w:ind w:left="237"/>
              <w:jc w:val="left"/>
              <w:rPr>
                <w:sz w:val="14"/>
              </w:rPr>
            </w:pPr>
            <w:r>
              <w:rPr>
                <w:color w:val="231F20"/>
                <w:sz w:val="14"/>
              </w:rPr>
              <w:t>Шифра објекта</w:t>
            </w:r>
          </w:p>
        </w:tc>
        <w:tc>
          <w:tcPr>
            <w:tcW w:w="2578" w:type="dxa"/>
          </w:tcPr>
          <w:p>
            <w:pPr>
              <w:pStyle w:val="TableParagraph"/>
              <w:ind w:left="967" w:right="958"/>
              <w:jc w:val="center"/>
              <w:rPr>
                <w:sz w:val="14"/>
              </w:rPr>
            </w:pPr>
            <w:r>
              <w:rPr>
                <w:color w:val="231F20"/>
                <w:sz w:val="14"/>
              </w:rPr>
              <w:t>ОБЈЕКАТ</w:t>
            </w:r>
          </w:p>
        </w:tc>
        <w:tc>
          <w:tcPr>
            <w:tcW w:w="1092" w:type="dxa"/>
          </w:tcPr>
          <w:p>
            <w:pPr>
              <w:pStyle w:val="TableParagraph"/>
              <w:ind w:left="354"/>
              <w:jc w:val="left"/>
              <w:rPr>
                <w:sz w:val="14"/>
              </w:rPr>
            </w:pPr>
            <w:r>
              <w:rPr>
                <w:color w:val="231F20"/>
                <w:sz w:val="14"/>
              </w:rPr>
              <w:t>Бр. ТР</w:t>
            </w:r>
          </w:p>
        </w:tc>
        <w:tc>
          <w:tcPr>
            <w:tcW w:w="1842" w:type="dxa"/>
          </w:tcPr>
          <w:p>
            <w:pPr>
              <w:pStyle w:val="TableParagraph"/>
              <w:ind w:left="432"/>
              <w:jc w:val="left"/>
              <w:rPr>
                <w:sz w:val="14"/>
              </w:rPr>
            </w:pPr>
            <w:r>
              <w:rPr>
                <w:color w:val="231F20"/>
                <w:sz w:val="14"/>
              </w:rPr>
              <w:t>Преносни однос</w:t>
            </w:r>
          </w:p>
        </w:tc>
        <w:tc>
          <w:tcPr>
            <w:tcW w:w="1732" w:type="dxa"/>
          </w:tcPr>
          <w:p>
            <w:pPr>
              <w:pStyle w:val="TableParagraph"/>
              <w:ind w:right="71"/>
              <w:rPr>
                <w:sz w:val="14"/>
              </w:rPr>
            </w:pPr>
            <w:r>
              <w:rPr>
                <w:color w:val="231F20"/>
                <w:sz w:val="14"/>
              </w:rPr>
              <w:t>Инсталисана снага (МВА)</w:t>
            </w:r>
          </w:p>
        </w:tc>
        <w:tc>
          <w:tcPr>
            <w:tcW w:w="1105" w:type="dxa"/>
          </w:tcPr>
          <w:p>
            <w:pPr>
              <w:pStyle w:val="TableParagraph"/>
              <w:ind w:left="192"/>
              <w:jc w:val="left"/>
              <w:rPr>
                <w:sz w:val="14"/>
              </w:rPr>
            </w:pPr>
            <w:r>
              <w:rPr>
                <w:color w:val="231F20"/>
                <w:sz w:val="14"/>
              </w:rPr>
              <w:t>У погону од</w:t>
            </w:r>
          </w:p>
        </w:tc>
      </w:tr>
      <w:tr>
        <w:trPr>
          <w:trHeight w:val="200" w:hRule="atLeast"/>
        </w:trPr>
        <w:tc>
          <w:tcPr>
            <w:tcW w:w="10470" w:type="dxa"/>
            <w:gridSpan w:val="7"/>
          </w:tcPr>
          <w:p>
            <w:pPr>
              <w:pStyle w:val="TableParagraph"/>
              <w:ind w:left="4846" w:right="4834"/>
              <w:jc w:val="center"/>
              <w:rPr>
                <w:sz w:val="14"/>
              </w:rPr>
            </w:pPr>
            <w:r>
              <w:rPr>
                <w:color w:val="231F20"/>
                <w:sz w:val="14"/>
              </w:rPr>
              <w:t>ТС 110/х kV</w:t>
            </w:r>
          </w:p>
        </w:tc>
      </w:tr>
      <w:tr>
        <w:trPr>
          <w:trHeight w:val="200" w:hRule="atLeast"/>
        </w:trPr>
        <w:tc>
          <w:tcPr>
            <w:tcW w:w="738" w:type="dxa"/>
            <w:vMerge w:val="restart"/>
          </w:tcPr>
          <w:p>
            <w:pPr>
              <w:pStyle w:val="TableParagraph"/>
              <w:ind w:left="56"/>
              <w:jc w:val="left"/>
              <w:rPr>
                <w:sz w:val="14"/>
              </w:rPr>
            </w:pPr>
            <w:r>
              <w:rPr>
                <w:color w:val="231F20"/>
                <w:sz w:val="14"/>
              </w:rPr>
              <w:t>1.</w:t>
            </w:r>
          </w:p>
        </w:tc>
        <w:tc>
          <w:tcPr>
            <w:tcW w:w="1383" w:type="dxa"/>
            <w:vMerge w:val="restart"/>
          </w:tcPr>
          <w:p>
            <w:pPr>
              <w:pStyle w:val="TableParagraph"/>
              <w:ind w:left="56"/>
              <w:jc w:val="left"/>
              <w:rPr>
                <w:sz w:val="14"/>
              </w:rPr>
            </w:pPr>
            <w:r>
              <w:rPr>
                <w:color w:val="231F20"/>
                <w:sz w:val="14"/>
              </w:rPr>
              <w:t>ТС11039</w:t>
            </w:r>
          </w:p>
        </w:tc>
        <w:tc>
          <w:tcPr>
            <w:tcW w:w="2578" w:type="dxa"/>
            <w:vMerge w:val="restart"/>
          </w:tcPr>
          <w:p>
            <w:pPr>
              <w:pStyle w:val="TableParagraph"/>
              <w:ind w:left="56"/>
              <w:jc w:val="left"/>
              <w:rPr>
                <w:sz w:val="14"/>
              </w:rPr>
            </w:pPr>
            <w:r>
              <w:rPr>
                <w:color w:val="231F20"/>
                <w:sz w:val="14"/>
              </w:rPr>
              <w:t>ПОЖАРЕВАЦ</w:t>
            </w:r>
          </w:p>
        </w:tc>
        <w:tc>
          <w:tcPr>
            <w:tcW w:w="1092" w:type="dxa"/>
          </w:tcPr>
          <w:p>
            <w:pPr>
              <w:pStyle w:val="TableParagraph"/>
              <w:ind w:left="408" w:right="399"/>
              <w:jc w:val="center"/>
              <w:rPr>
                <w:sz w:val="14"/>
              </w:rPr>
            </w:pPr>
            <w:r>
              <w:rPr>
                <w:color w:val="231F20"/>
                <w:sz w:val="14"/>
              </w:rPr>
              <w:t>ТР1</w:t>
            </w:r>
          </w:p>
        </w:tc>
        <w:tc>
          <w:tcPr>
            <w:tcW w:w="1842" w:type="dxa"/>
          </w:tcPr>
          <w:p>
            <w:pPr>
              <w:pStyle w:val="TableParagraph"/>
              <w:ind w:right="42"/>
              <w:rPr>
                <w:sz w:val="14"/>
              </w:rPr>
            </w:pPr>
            <w:r>
              <w:rPr>
                <w:color w:val="231F20"/>
                <w:sz w:val="14"/>
              </w:rPr>
              <w:t>110/35/10 kV</w:t>
            </w:r>
          </w:p>
        </w:tc>
        <w:tc>
          <w:tcPr>
            <w:tcW w:w="1732" w:type="dxa"/>
          </w:tcPr>
          <w:p>
            <w:pPr>
              <w:pStyle w:val="TableParagraph"/>
              <w:ind w:right="44"/>
              <w:rPr>
                <w:sz w:val="14"/>
              </w:rPr>
            </w:pPr>
            <w:r>
              <w:rPr>
                <w:color w:val="231F20"/>
                <w:sz w:val="14"/>
              </w:rPr>
              <w:t>31,50</w:t>
            </w:r>
          </w:p>
        </w:tc>
        <w:tc>
          <w:tcPr>
            <w:tcW w:w="1105" w:type="dxa"/>
          </w:tcPr>
          <w:p>
            <w:pPr>
              <w:pStyle w:val="TableParagraph"/>
              <w:ind w:right="44"/>
              <w:rPr>
                <w:sz w:val="14"/>
              </w:rPr>
            </w:pPr>
            <w:r>
              <w:rPr>
                <w:color w:val="231F20"/>
                <w:sz w:val="14"/>
              </w:rPr>
              <w:t>1974.</w:t>
            </w:r>
          </w:p>
        </w:tc>
      </w:tr>
      <w:tr>
        <w:trPr>
          <w:trHeight w:val="200" w:hRule="atLeast"/>
        </w:trPr>
        <w:tc>
          <w:tcPr>
            <w:tcW w:w="738" w:type="dxa"/>
            <w:vMerge/>
            <w:tcBorders>
              <w:top w:val="nil"/>
            </w:tcBorders>
          </w:tcPr>
          <w:p>
            <w:pPr>
              <w:rPr>
                <w:sz w:val="2"/>
                <w:szCs w:val="2"/>
              </w:rPr>
            </w:pPr>
          </w:p>
        </w:tc>
        <w:tc>
          <w:tcPr>
            <w:tcW w:w="1383" w:type="dxa"/>
            <w:vMerge/>
            <w:tcBorders>
              <w:top w:val="nil"/>
            </w:tcBorders>
          </w:tcPr>
          <w:p>
            <w:pPr>
              <w:rPr>
                <w:sz w:val="2"/>
                <w:szCs w:val="2"/>
              </w:rPr>
            </w:pPr>
          </w:p>
        </w:tc>
        <w:tc>
          <w:tcPr>
            <w:tcW w:w="2578" w:type="dxa"/>
            <w:vMerge/>
            <w:tcBorders>
              <w:top w:val="nil"/>
            </w:tcBorders>
          </w:tcPr>
          <w:p>
            <w:pPr>
              <w:rPr>
                <w:sz w:val="2"/>
                <w:szCs w:val="2"/>
              </w:rPr>
            </w:pPr>
          </w:p>
        </w:tc>
        <w:tc>
          <w:tcPr>
            <w:tcW w:w="1092" w:type="dxa"/>
          </w:tcPr>
          <w:p>
            <w:pPr>
              <w:pStyle w:val="TableParagraph"/>
              <w:ind w:left="408" w:right="399"/>
              <w:jc w:val="center"/>
              <w:rPr>
                <w:sz w:val="14"/>
              </w:rPr>
            </w:pPr>
            <w:r>
              <w:rPr>
                <w:color w:val="231F20"/>
                <w:sz w:val="14"/>
              </w:rPr>
              <w:t>ТР2</w:t>
            </w:r>
          </w:p>
        </w:tc>
        <w:tc>
          <w:tcPr>
            <w:tcW w:w="1842" w:type="dxa"/>
          </w:tcPr>
          <w:p>
            <w:pPr>
              <w:pStyle w:val="TableParagraph"/>
              <w:ind w:right="42"/>
              <w:rPr>
                <w:sz w:val="14"/>
              </w:rPr>
            </w:pPr>
            <w:r>
              <w:rPr>
                <w:color w:val="231F20"/>
                <w:sz w:val="14"/>
              </w:rPr>
              <w:t>110/35/10 kV</w:t>
            </w:r>
          </w:p>
        </w:tc>
        <w:tc>
          <w:tcPr>
            <w:tcW w:w="1732" w:type="dxa"/>
          </w:tcPr>
          <w:p>
            <w:pPr>
              <w:pStyle w:val="TableParagraph"/>
              <w:ind w:right="44"/>
              <w:rPr>
                <w:sz w:val="14"/>
              </w:rPr>
            </w:pPr>
            <w:r>
              <w:rPr>
                <w:color w:val="231F20"/>
                <w:sz w:val="14"/>
              </w:rPr>
              <w:t>31,50</w:t>
            </w:r>
          </w:p>
        </w:tc>
        <w:tc>
          <w:tcPr>
            <w:tcW w:w="1105" w:type="dxa"/>
          </w:tcPr>
          <w:p>
            <w:pPr>
              <w:pStyle w:val="TableParagraph"/>
              <w:ind w:right="44"/>
              <w:rPr>
                <w:sz w:val="14"/>
              </w:rPr>
            </w:pPr>
            <w:r>
              <w:rPr>
                <w:color w:val="231F20"/>
                <w:sz w:val="14"/>
              </w:rPr>
              <w:t>1984.</w:t>
            </w:r>
          </w:p>
        </w:tc>
      </w:tr>
      <w:tr>
        <w:trPr>
          <w:trHeight w:val="200" w:hRule="atLeast"/>
        </w:trPr>
        <w:tc>
          <w:tcPr>
            <w:tcW w:w="10470" w:type="dxa"/>
            <w:gridSpan w:val="7"/>
          </w:tcPr>
          <w:p>
            <w:pPr>
              <w:pStyle w:val="TableParagraph"/>
              <w:ind w:left="4846" w:right="4834"/>
              <w:jc w:val="center"/>
              <w:rPr>
                <w:sz w:val="14"/>
              </w:rPr>
            </w:pPr>
            <w:r>
              <w:rPr>
                <w:color w:val="231F20"/>
                <w:sz w:val="14"/>
              </w:rPr>
              <w:t>ТС 400/х kV</w:t>
            </w:r>
          </w:p>
        </w:tc>
      </w:tr>
      <w:tr>
        <w:trPr>
          <w:trHeight w:val="200" w:hRule="atLeast"/>
        </w:trPr>
        <w:tc>
          <w:tcPr>
            <w:tcW w:w="738" w:type="dxa"/>
          </w:tcPr>
          <w:p>
            <w:pPr>
              <w:pStyle w:val="TableParagraph"/>
              <w:ind w:left="56"/>
              <w:jc w:val="left"/>
              <w:rPr>
                <w:sz w:val="14"/>
              </w:rPr>
            </w:pPr>
            <w:r>
              <w:rPr>
                <w:color w:val="231F20"/>
                <w:sz w:val="14"/>
              </w:rPr>
              <w:t>1.</w:t>
            </w:r>
          </w:p>
        </w:tc>
        <w:tc>
          <w:tcPr>
            <w:tcW w:w="1383" w:type="dxa"/>
          </w:tcPr>
          <w:p>
            <w:pPr>
              <w:pStyle w:val="TableParagraph"/>
              <w:ind w:left="56"/>
              <w:jc w:val="left"/>
              <w:rPr>
                <w:sz w:val="14"/>
              </w:rPr>
            </w:pPr>
            <w:r>
              <w:rPr>
                <w:color w:val="231F20"/>
                <w:sz w:val="14"/>
              </w:rPr>
              <w:t>РП13109</w:t>
            </w:r>
          </w:p>
        </w:tc>
        <w:tc>
          <w:tcPr>
            <w:tcW w:w="2578" w:type="dxa"/>
          </w:tcPr>
          <w:p>
            <w:pPr>
              <w:pStyle w:val="TableParagraph"/>
              <w:ind w:left="56"/>
              <w:jc w:val="left"/>
              <w:rPr>
                <w:sz w:val="14"/>
              </w:rPr>
            </w:pPr>
            <w:r>
              <w:rPr>
                <w:color w:val="231F20"/>
                <w:sz w:val="14"/>
              </w:rPr>
              <w:t>ДРМНО</w:t>
            </w:r>
          </w:p>
        </w:tc>
        <w:tc>
          <w:tcPr>
            <w:tcW w:w="1092" w:type="dxa"/>
          </w:tcPr>
          <w:p>
            <w:pPr>
              <w:pStyle w:val="TableParagraph"/>
              <w:ind w:left="56"/>
              <w:jc w:val="left"/>
              <w:rPr>
                <w:sz w:val="14"/>
              </w:rPr>
            </w:pPr>
            <w:r>
              <w:rPr>
                <w:color w:val="231F20"/>
                <w:sz w:val="14"/>
              </w:rPr>
              <w:t>-</w:t>
            </w:r>
          </w:p>
        </w:tc>
        <w:tc>
          <w:tcPr>
            <w:tcW w:w="1842" w:type="dxa"/>
          </w:tcPr>
          <w:p>
            <w:pPr>
              <w:pStyle w:val="TableParagraph"/>
              <w:ind w:right="42"/>
              <w:rPr>
                <w:sz w:val="14"/>
              </w:rPr>
            </w:pPr>
            <w:r>
              <w:rPr>
                <w:color w:val="231F20"/>
                <w:sz w:val="14"/>
              </w:rPr>
              <w:t>400 kV</w:t>
            </w:r>
          </w:p>
        </w:tc>
        <w:tc>
          <w:tcPr>
            <w:tcW w:w="1732" w:type="dxa"/>
          </w:tcPr>
          <w:p>
            <w:pPr>
              <w:pStyle w:val="TableParagraph"/>
              <w:spacing w:before="0"/>
              <w:jc w:val="left"/>
              <w:rPr>
                <w:sz w:val="12"/>
              </w:rPr>
            </w:pPr>
          </w:p>
        </w:tc>
        <w:tc>
          <w:tcPr>
            <w:tcW w:w="1105" w:type="dxa"/>
          </w:tcPr>
          <w:p>
            <w:pPr>
              <w:pStyle w:val="TableParagraph"/>
              <w:ind w:right="44"/>
              <w:rPr>
                <w:sz w:val="14"/>
              </w:rPr>
            </w:pPr>
            <w:r>
              <w:rPr>
                <w:color w:val="231F20"/>
                <w:sz w:val="14"/>
              </w:rPr>
              <w:t>1986.</w:t>
            </w:r>
          </w:p>
        </w:tc>
      </w:tr>
    </w:tbl>
    <w:p>
      <w:pPr>
        <w:pStyle w:val="BodyText"/>
        <w:ind w:left="0"/>
        <w:jc w:val="left"/>
        <w:rPr>
          <w:sz w:val="20"/>
        </w:rPr>
      </w:pPr>
    </w:p>
    <w:p>
      <w:pPr>
        <w:pStyle w:val="BodyText"/>
        <w:ind w:left="0"/>
        <w:jc w:val="left"/>
        <w:rPr>
          <w:sz w:val="20"/>
        </w:rPr>
      </w:pPr>
    </w:p>
    <w:p>
      <w:pPr>
        <w:pStyle w:val="BodyText"/>
        <w:spacing w:before="172" w:after="41"/>
        <w:ind w:left="145"/>
        <w:jc w:val="left"/>
      </w:pPr>
      <w:r>
        <w:rPr>
          <w:color w:val="231F20"/>
        </w:rPr>
        <w:t>Табела 10. Списак ТС корисника мреже за пренос електричне енергије на подручју Костолачког басена</w:t>
      </w: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693"/>
        <w:gridCol w:w="2268"/>
        <w:gridCol w:w="2268"/>
        <w:gridCol w:w="965"/>
        <w:gridCol w:w="1467"/>
        <w:gridCol w:w="1707"/>
        <w:gridCol w:w="1105"/>
      </w:tblGrid>
      <w:tr>
        <w:trPr>
          <w:trHeight w:val="200" w:hRule="atLeast"/>
        </w:trPr>
        <w:tc>
          <w:tcPr>
            <w:tcW w:w="693" w:type="dxa"/>
          </w:tcPr>
          <w:p>
            <w:pPr>
              <w:pStyle w:val="TableParagraph"/>
              <w:ind w:left="119"/>
              <w:jc w:val="left"/>
              <w:rPr>
                <w:sz w:val="14"/>
              </w:rPr>
            </w:pPr>
            <w:r>
              <w:rPr>
                <w:color w:val="231F20"/>
                <w:sz w:val="14"/>
              </w:rPr>
              <w:t>Ред. бр.</w:t>
            </w:r>
          </w:p>
        </w:tc>
        <w:tc>
          <w:tcPr>
            <w:tcW w:w="2268" w:type="dxa"/>
          </w:tcPr>
          <w:p>
            <w:pPr>
              <w:pStyle w:val="TableParagraph"/>
              <w:ind w:left="608"/>
              <w:jc w:val="left"/>
              <w:rPr>
                <w:sz w:val="14"/>
              </w:rPr>
            </w:pPr>
            <w:r>
              <w:rPr>
                <w:color w:val="231F20"/>
                <w:sz w:val="14"/>
              </w:rPr>
              <w:t>Корисник објекта</w:t>
            </w:r>
          </w:p>
        </w:tc>
        <w:tc>
          <w:tcPr>
            <w:tcW w:w="2268" w:type="dxa"/>
          </w:tcPr>
          <w:p>
            <w:pPr>
              <w:pStyle w:val="TableParagraph"/>
              <w:ind w:left="812" w:right="804"/>
              <w:jc w:val="center"/>
              <w:rPr>
                <w:sz w:val="14"/>
              </w:rPr>
            </w:pPr>
            <w:r>
              <w:rPr>
                <w:color w:val="231F20"/>
                <w:sz w:val="14"/>
              </w:rPr>
              <w:t>ОБЈЕКАТ</w:t>
            </w:r>
          </w:p>
        </w:tc>
        <w:tc>
          <w:tcPr>
            <w:tcW w:w="965" w:type="dxa"/>
          </w:tcPr>
          <w:p>
            <w:pPr>
              <w:pStyle w:val="TableParagraph"/>
              <w:ind w:left="269" w:right="261"/>
              <w:jc w:val="center"/>
              <w:rPr>
                <w:sz w:val="14"/>
              </w:rPr>
            </w:pPr>
            <w:r>
              <w:rPr>
                <w:color w:val="231F20"/>
                <w:sz w:val="14"/>
              </w:rPr>
              <w:t>Бр. ТР</w:t>
            </w:r>
          </w:p>
        </w:tc>
        <w:tc>
          <w:tcPr>
            <w:tcW w:w="1467" w:type="dxa"/>
          </w:tcPr>
          <w:p>
            <w:pPr>
              <w:pStyle w:val="TableParagraph"/>
              <w:ind w:left="244"/>
              <w:jc w:val="left"/>
              <w:rPr>
                <w:sz w:val="14"/>
              </w:rPr>
            </w:pPr>
            <w:r>
              <w:rPr>
                <w:color w:val="231F20"/>
                <w:sz w:val="14"/>
              </w:rPr>
              <w:t>Преносни однос</w:t>
            </w:r>
          </w:p>
        </w:tc>
        <w:tc>
          <w:tcPr>
            <w:tcW w:w="1707" w:type="dxa"/>
          </w:tcPr>
          <w:p>
            <w:pPr>
              <w:pStyle w:val="TableParagraph"/>
              <w:ind w:right="60"/>
              <w:rPr>
                <w:sz w:val="14"/>
              </w:rPr>
            </w:pPr>
            <w:r>
              <w:rPr>
                <w:color w:val="231F20"/>
                <w:sz w:val="14"/>
              </w:rPr>
              <w:t>Инсталисана снага (МВА)</w:t>
            </w:r>
          </w:p>
        </w:tc>
        <w:tc>
          <w:tcPr>
            <w:tcW w:w="1105" w:type="dxa"/>
          </w:tcPr>
          <w:p>
            <w:pPr>
              <w:pStyle w:val="TableParagraph"/>
              <w:ind w:left="191"/>
              <w:jc w:val="left"/>
              <w:rPr>
                <w:sz w:val="14"/>
              </w:rPr>
            </w:pPr>
            <w:r>
              <w:rPr>
                <w:color w:val="231F20"/>
                <w:sz w:val="14"/>
              </w:rPr>
              <w:t>У погону од</w:t>
            </w:r>
          </w:p>
        </w:tc>
      </w:tr>
      <w:tr>
        <w:trPr>
          <w:trHeight w:val="200" w:hRule="atLeast"/>
        </w:trPr>
        <w:tc>
          <w:tcPr>
            <w:tcW w:w="10473" w:type="dxa"/>
            <w:gridSpan w:val="7"/>
          </w:tcPr>
          <w:p>
            <w:pPr>
              <w:pStyle w:val="TableParagraph"/>
              <w:ind w:left="4847" w:right="4836"/>
              <w:jc w:val="center"/>
              <w:rPr>
                <w:sz w:val="14"/>
              </w:rPr>
            </w:pPr>
            <w:r>
              <w:rPr>
                <w:color w:val="231F20"/>
                <w:sz w:val="14"/>
              </w:rPr>
              <w:t>ТС 110/х kV</w:t>
            </w:r>
          </w:p>
        </w:tc>
      </w:tr>
      <w:tr>
        <w:trPr>
          <w:trHeight w:val="200" w:hRule="atLeast"/>
        </w:trPr>
        <w:tc>
          <w:tcPr>
            <w:tcW w:w="693" w:type="dxa"/>
            <w:vMerge w:val="restart"/>
          </w:tcPr>
          <w:p>
            <w:pPr>
              <w:pStyle w:val="TableParagraph"/>
              <w:ind w:left="56"/>
              <w:jc w:val="left"/>
              <w:rPr>
                <w:sz w:val="14"/>
              </w:rPr>
            </w:pPr>
            <w:r>
              <w:rPr>
                <w:color w:val="231F20"/>
                <w:sz w:val="14"/>
              </w:rPr>
              <w:t>1.</w:t>
            </w:r>
          </w:p>
        </w:tc>
        <w:tc>
          <w:tcPr>
            <w:tcW w:w="2268" w:type="dxa"/>
            <w:vMerge w:val="restart"/>
          </w:tcPr>
          <w:p>
            <w:pPr>
              <w:pStyle w:val="TableParagraph"/>
              <w:ind w:left="56"/>
              <w:jc w:val="left"/>
              <w:rPr>
                <w:sz w:val="14"/>
              </w:rPr>
            </w:pPr>
            <w:r>
              <w:rPr>
                <w:color w:val="231F20"/>
                <w:sz w:val="14"/>
              </w:rPr>
              <w:t>КОСТОЛАЦ</w:t>
            </w:r>
          </w:p>
        </w:tc>
        <w:tc>
          <w:tcPr>
            <w:tcW w:w="2268" w:type="dxa"/>
            <w:vMerge w:val="restart"/>
          </w:tcPr>
          <w:p>
            <w:pPr>
              <w:pStyle w:val="TableParagraph"/>
              <w:ind w:left="55"/>
              <w:jc w:val="left"/>
              <w:rPr>
                <w:sz w:val="14"/>
              </w:rPr>
            </w:pPr>
            <w:r>
              <w:rPr>
                <w:color w:val="231F20"/>
                <w:sz w:val="14"/>
              </w:rPr>
              <w:t>РУДНИК 1</w:t>
            </w:r>
          </w:p>
        </w:tc>
        <w:tc>
          <w:tcPr>
            <w:tcW w:w="965" w:type="dxa"/>
          </w:tcPr>
          <w:p>
            <w:pPr>
              <w:pStyle w:val="TableParagraph"/>
              <w:ind w:left="268" w:right="261"/>
              <w:jc w:val="center"/>
              <w:rPr>
                <w:sz w:val="14"/>
              </w:rPr>
            </w:pPr>
            <w:r>
              <w:rPr>
                <w:color w:val="231F20"/>
                <w:sz w:val="14"/>
              </w:rPr>
              <w:t>ТР1</w:t>
            </w:r>
          </w:p>
        </w:tc>
        <w:tc>
          <w:tcPr>
            <w:tcW w:w="1467" w:type="dxa"/>
          </w:tcPr>
          <w:p>
            <w:pPr>
              <w:pStyle w:val="TableParagraph"/>
              <w:ind w:right="45"/>
              <w:rPr>
                <w:sz w:val="14"/>
              </w:rPr>
            </w:pPr>
            <w:r>
              <w:rPr>
                <w:color w:val="231F20"/>
                <w:sz w:val="14"/>
              </w:rPr>
              <w:t>110/6,3</w:t>
            </w:r>
          </w:p>
        </w:tc>
        <w:tc>
          <w:tcPr>
            <w:tcW w:w="1707" w:type="dxa"/>
          </w:tcPr>
          <w:p>
            <w:pPr>
              <w:pStyle w:val="TableParagraph"/>
              <w:ind w:right="46"/>
              <w:rPr>
                <w:sz w:val="14"/>
              </w:rPr>
            </w:pPr>
            <w:r>
              <w:rPr>
                <w:color w:val="231F20"/>
                <w:sz w:val="14"/>
              </w:rPr>
              <w:t>16,0</w:t>
            </w:r>
          </w:p>
        </w:tc>
        <w:tc>
          <w:tcPr>
            <w:tcW w:w="1105" w:type="dxa"/>
          </w:tcPr>
          <w:p>
            <w:pPr>
              <w:pStyle w:val="TableParagraph"/>
              <w:ind w:right="46"/>
              <w:rPr>
                <w:sz w:val="14"/>
              </w:rPr>
            </w:pPr>
            <w:r>
              <w:rPr>
                <w:color w:val="231F20"/>
                <w:sz w:val="14"/>
              </w:rPr>
              <w:t>1979</w:t>
            </w:r>
          </w:p>
        </w:tc>
      </w:tr>
      <w:tr>
        <w:trPr>
          <w:trHeight w:val="200" w:hRule="atLeast"/>
        </w:trPr>
        <w:tc>
          <w:tcPr>
            <w:tcW w:w="693" w:type="dxa"/>
            <w:vMerge/>
            <w:tcBorders>
              <w:top w:val="nil"/>
            </w:tcBorders>
          </w:tcPr>
          <w:p>
            <w:pPr>
              <w:rPr>
                <w:sz w:val="2"/>
                <w:szCs w:val="2"/>
              </w:rPr>
            </w:pPr>
          </w:p>
        </w:tc>
        <w:tc>
          <w:tcPr>
            <w:tcW w:w="2268" w:type="dxa"/>
            <w:vMerge/>
            <w:tcBorders>
              <w:top w:val="nil"/>
            </w:tcBorders>
          </w:tcPr>
          <w:p>
            <w:pPr>
              <w:rPr>
                <w:sz w:val="2"/>
                <w:szCs w:val="2"/>
              </w:rPr>
            </w:pPr>
          </w:p>
        </w:tc>
        <w:tc>
          <w:tcPr>
            <w:tcW w:w="2268" w:type="dxa"/>
            <w:vMerge/>
            <w:tcBorders>
              <w:top w:val="nil"/>
            </w:tcBorders>
          </w:tcPr>
          <w:p>
            <w:pPr>
              <w:rPr>
                <w:sz w:val="2"/>
                <w:szCs w:val="2"/>
              </w:rPr>
            </w:pPr>
          </w:p>
        </w:tc>
        <w:tc>
          <w:tcPr>
            <w:tcW w:w="965" w:type="dxa"/>
          </w:tcPr>
          <w:p>
            <w:pPr>
              <w:pStyle w:val="TableParagraph"/>
              <w:ind w:left="268" w:right="261"/>
              <w:jc w:val="center"/>
              <w:rPr>
                <w:sz w:val="14"/>
              </w:rPr>
            </w:pPr>
            <w:r>
              <w:rPr>
                <w:color w:val="231F20"/>
                <w:sz w:val="14"/>
              </w:rPr>
              <w:t>ТР2</w:t>
            </w:r>
          </w:p>
        </w:tc>
        <w:tc>
          <w:tcPr>
            <w:tcW w:w="1467" w:type="dxa"/>
          </w:tcPr>
          <w:p>
            <w:pPr>
              <w:pStyle w:val="TableParagraph"/>
              <w:ind w:right="45"/>
              <w:rPr>
                <w:sz w:val="14"/>
              </w:rPr>
            </w:pPr>
            <w:r>
              <w:rPr>
                <w:color w:val="231F20"/>
                <w:sz w:val="14"/>
              </w:rPr>
              <w:t>110/6,3</w:t>
            </w:r>
          </w:p>
        </w:tc>
        <w:tc>
          <w:tcPr>
            <w:tcW w:w="1707" w:type="dxa"/>
          </w:tcPr>
          <w:p>
            <w:pPr>
              <w:pStyle w:val="TableParagraph"/>
              <w:ind w:right="46"/>
              <w:rPr>
                <w:sz w:val="14"/>
              </w:rPr>
            </w:pPr>
            <w:r>
              <w:rPr>
                <w:color w:val="231F20"/>
                <w:sz w:val="14"/>
              </w:rPr>
              <w:t>16,0</w:t>
            </w:r>
          </w:p>
        </w:tc>
        <w:tc>
          <w:tcPr>
            <w:tcW w:w="1105" w:type="dxa"/>
          </w:tcPr>
          <w:p>
            <w:pPr>
              <w:pStyle w:val="TableParagraph"/>
              <w:ind w:right="46"/>
              <w:rPr>
                <w:sz w:val="14"/>
              </w:rPr>
            </w:pPr>
            <w:r>
              <w:rPr>
                <w:color w:val="231F20"/>
                <w:sz w:val="14"/>
              </w:rPr>
              <w:t>1979</w:t>
            </w:r>
          </w:p>
        </w:tc>
      </w:tr>
      <w:tr>
        <w:trPr>
          <w:trHeight w:val="200" w:hRule="atLeast"/>
        </w:trPr>
        <w:tc>
          <w:tcPr>
            <w:tcW w:w="693" w:type="dxa"/>
          </w:tcPr>
          <w:p>
            <w:pPr>
              <w:pStyle w:val="TableParagraph"/>
              <w:ind w:left="56"/>
              <w:jc w:val="left"/>
              <w:rPr>
                <w:sz w:val="14"/>
              </w:rPr>
            </w:pPr>
            <w:r>
              <w:rPr>
                <w:color w:val="231F20"/>
                <w:sz w:val="14"/>
              </w:rPr>
              <w:t>2.</w:t>
            </w:r>
          </w:p>
        </w:tc>
        <w:tc>
          <w:tcPr>
            <w:tcW w:w="2268" w:type="dxa"/>
          </w:tcPr>
          <w:p>
            <w:pPr>
              <w:pStyle w:val="TableParagraph"/>
              <w:ind w:left="55"/>
              <w:jc w:val="left"/>
              <w:rPr>
                <w:sz w:val="14"/>
              </w:rPr>
            </w:pPr>
            <w:r>
              <w:rPr>
                <w:color w:val="231F20"/>
                <w:sz w:val="14"/>
              </w:rPr>
              <w:t>КОСТОЛАЦ</w:t>
            </w:r>
          </w:p>
        </w:tc>
        <w:tc>
          <w:tcPr>
            <w:tcW w:w="2268" w:type="dxa"/>
          </w:tcPr>
          <w:p>
            <w:pPr>
              <w:pStyle w:val="TableParagraph"/>
              <w:ind w:left="55"/>
              <w:jc w:val="left"/>
              <w:rPr>
                <w:sz w:val="14"/>
              </w:rPr>
            </w:pPr>
            <w:r>
              <w:rPr>
                <w:color w:val="231F20"/>
                <w:sz w:val="14"/>
              </w:rPr>
              <w:t>РУДНИК 2</w:t>
            </w:r>
          </w:p>
        </w:tc>
        <w:tc>
          <w:tcPr>
            <w:tcW w:w="965" w:type="dxa"/>
          </w:tcPr>
          <w:p>
            <w:pPr>
              <w:pStyle w:val="TableParagraph"/>
              <w:ind w:left="268" w:right="261"/>
              <w:jc w:val="center"/>
              <w:rPr>
                <w:sz w:val="14"/>
              </w:rPr>
            </w:pPr>
            <w:r>
              <w:rPr>
                <w:color w:val="231F20"/>
                <w:sz w:val="14"/>
              </w:rPr>
              <w:t>ТР1</w:t>
            </w:r>
          </w:p>
        </w:tc>
        <w:tc>
          <w:tcPr>
            <w:tcW w:w="1467" w:type="dxa"/>
          </w:tcPr>
          <w:p>
            <w:pPr>
              <w:pStyle w:val="TableParagraph"/>
              <w:ind w:right="46"/>
              <w:rPr>
                <w:sz w:val="14"/>
              </w:rPr>
            </w:pPr>
            <w:r>
              <w:rPr>
                <w:color w:val="231F20"/>
                <w:sz w:val="14"/>
              </w:rPr>
              <w:t>110/6,3</w:t>
            </w:r>
          </w:p>
        </w:tc>
        <w:tc>
          <w:tcPr>
            <w:tcW w:w="1707" w:type="dxa"/>
          </w:tcPr>
          <w:p>
            <w:pPr>
              <w:pStyle w:val="TableParagraph"/>
              <w:ind w:right="46"/>
              <w:rPr>
                <w:sz w:val="14"/>
              </w:rPr>
            </w:pPr>
            <w:r>
              <w:rPr>
                <w:color w:val="231F20"/>
                <w:sz w:val="14"/>
              </w:rPr>
              <w:t>15,0</w:t>
            </w:r>
          </w:p>
        </w:tc>
        <w:tc>
          <w:tcPr>
            <w:tcW w:w="1105" w:type="dxa"/>
          </w:tcPr>
          <w:p>
            <w:pPr>
              <w:pStyle w:val="TableParagraph"/>
              <w:ind w:right="46"/>
              <w:rPr>
                <w:sz w:val="14"/>
              </w:rPr>
            </w:pPr>
            <w:r>
              <w:rPr>
                <w:color w:val="231F20"/>
                <w:sz w:val="14"/>
              </w:rPr>
              <w:t>1979</w:t>
            </w:r>
          </w:p>
        </w:tc>
      </w:tr>
      <w:tr>
        <w:trPr>
          <w:trHeight w:val="200" w:hRule="atLeast"/>
        </w:trPr>
        <w:tc>
          <w:tcPr>
            <w:tcW w:w="693" w:type="dxa"/>
            <w:vMerge w:val="restart"/>
          </w:tcPr>
          <w:p>
            <w:pPr>
              <w:pStyle w:val="TableParagraph"/>
              <w:ind w:left="55"/>
              <w:jc w:val="left"/>
              <w:rPr>
                <w:sz w:val="14"/>
              </w:rPr>
            </w:pPr>
            <w:r>
              <w:rPr>
                <w:color w:val="231F20"/>
                <w:sz w:val="14"/>
              </w:rPr>
              <w:t>3.</w:t>
            </w:r>
          </w:p>
        </w:tc>
        <w:tc>
          <w:tcPr>
            <w:tcW w:w="2268" w:type="dxa"/>
            <w:vMerge w:val="restart"/>
          </w:tcPr>
          <w:p>
            <w:pPr>
              <w:pStyle w:val="TableParagraph"/>
              <w:ind w:left="55"/>
              <w:jc w:val="left"/>
              <w:rPr>
                <w:sz w:val="14"/>
              </w:rPr>
            </w:pPr>
            <w:r>
              <w:rPr>
                <w:color w:val="231F20"/>
                <w:sz w:val="14"/>
              </w:rPr>
              <w:t>КОСТОЛАЦ</w:t>
            </w:r>
          </w:p>
        </w:tc>
        <w:tc>
          <w:tcPr>
            <w:tcW w:w="2268" w:type="dxa"/>
            <w:vMerge w:val="restart"/>
          </w:tcPr>
          <w:p>
            <w:pPr>
              <w:pStyle w:val="TableParagraph"/>
              <w:ind w:left="55"/>
              <w:jc w:val="left"/>
              <w:rPr>
                <w:sz w:val="14"/>
              </w:rPr>
            </w:pPr>
            <w:r>
              <w:rPr>
                <w:color w:val="231F20"/>
                <w:sz w:val="14"/>
              </w:rPr>
              <w:t>РУДНИК 3</w:t>
            </w:r>
          </w:p>
        </w:tc>
        <w:tc>
          <w:tcPr>
            <w:tcW w:w="965" w:type="dxa"/>
          </w:tcPr>
          <w:p>
            <w:pPr>
              <w:pStyle w:val="TableParagraph"/>
              <w:ind w:left="267" w:right="261"/>
              <w:jc w:val="center"/>
              <w:rPr>
                <w:sz w:val="14"/>
              </w:rPr>
            </w:pPr>
            <w:r>
              <w:rPr>
                <w:color w:val="231F20"/>
                <w:sz w:val="14"/>
              </w:rPr>
              <w:t>ТР1</w:t>
            </w:r>
          </w:p>
        </w:tc>
        <w:tc>
          <w:tcPr>
            <w:tcW w:w="1467" w:type="dxa"/>
          </w:tcPr>
          <w:p>
            <w:pPr>
              <w:pStyle w:val="TableParagraph"/>
              <w:ind w:right="46"/>
              <w:rPr>
                <w:sz w:val="14"/>
              </w:rPr>
            </w:pPr>
            <w:r>
              <w:rPr>
                <w:color w:val="231F20"/>
                <w:sz w:val="14"/>
              </w:rPr>
              <w:t>110/6,3</w:t>
            </w:r>
          </w:p>
        </w:tc>
        <w:tc>
          <w:tcPr>
            <w:tcW w:w="1707" w:type="dxa"/>
          </w:tcPr>
          <w:p>
            <w:pPr>
              <w:pStyle w:val="TableParagraph"/>
              <w:ind w:right="46"/>
              <w:rPr>
                <w:sz w:val="14"/>
              </w:rPr>
            </w:pPr>
            <w:r>
              <w:rPr>
                <w:color w:val="231F20"/>
                <w:sz w:val="14"/>
              </w:rPr>
              <w:t>16,0</w:t>
            </w:r>
          </w:p>
        </w:tc>
        <w:tc>
          <w:tcPr>
            <w:tcW w:w="1105" w:type="dxa"/>
          </w:tcPr>
          <w:p>
            <w:pPr>
              <w:pStyle w:val="TableParagraph"/>
              <w:ind w:right="46"/>
              <w:rPr>
                <w:sz w:val="14"/>
              </w:rPr>
            </w:pPr>
            <w:r>
              <w:rPr>
                <w:color w:val="231F20"/>
                <w:sz w:val="14"/>
              </w:rPr>
              <w:t>2008</w:t>
            </w:r>
          </w:p>
        </w:tc>
      </w:tr>
      <w:tr>
        <w:trPr>
          <w:trHeight w:val="200" w:hRule="atLeast"/>
        </w:trPr>
        <w:tc>
          <w:tcPr>
            <w:tcW w:w="693" w:type="dxa"/>
            <w:vMerge/>
            <w:tcBorders>
              <w:top w:val="nil"/>
            </w:tcBorders>
          </w:tcPr>
          <w:p>
            <w:pPr>
              <w:rPr>
                <w:sz w:val="2"/>
                <w:szCs w:val="2"/>
              </w:rPr>
            </w:pPr>
          </w:p>
        </w:tc>
        <w:tc>
          <w:tcPr>
            <w:tcW w:w="2268" w:type="dxa"/>
            <w:vMerge/>
            <w:tcBorders>
              <w:top w:val="nil"/>
            </w:tcBorders>
          </w:tcPr>
          <w:p>
            <w:pPr>
              <w:rPr>
                <w:sz w:val="2"/>
                <w:szCs w:val="2"/>
              </w:rPr>
            </w:pPr>
          </w:p>
        </w:tc>
        <w:tc>
          <w:tcPr>
            <w:tcW w:w="2268" w:type="dxa"/>
            <w:vMerge/>
            <w:tcBorders>
              <w:top w:val="nil"/>
            </w:tcBorders>
          </w:tcPr>
          <w:p>
            <w:pPr>
              <w:rPr>
                <w:sz w:val="2"/>
                <w:szCs w:val="2"/>
              </w:rPr>
            </w:pPr>
          </w:p>
        </w:tc>
        <w:tc>
          <w:tcPr>
            <w:tcW w:w="965" w:type="dxa"/>
          </w:tcPr>
          <w:p>
            <w:pPr>
              <w:pStyle w:val="TableParagraph"/>
              <w:ind w:left="267" w:right="261"/>
              <w:jc w:val="center"/>
              <w:rPr>
                <w:sz w:val="14"/>
              </w:rPr>
            </w:pPr>
            <w:r>
              <w:rPr>
                <w:color w:val="231F20"/>
                <w:sz w:val="14"/>
              </w:rPr>
              <w:t>ТР2</w:t>
            </w:r>
          </w:p>
        </w:tc>
        <w:tc>
          <w:tcPr>
            <w:tcW w:w="1467" w:type="dxa"/>
          </w:tcPr>
          <w:p>
            <w:pPr>
              <w:pStyle w:val="TableParagraph"/>
              <w:ind w:right="46"/>
              <w:rPr>
                <w:sz w:val="14"/>
              </w:rPr>
            </w:pPr>
            <w:r>
              <w:rPr>
                <w:color w:val="231F20"/>
                <w:sz w:val="14"/>
              </w:rPr>
              <w:t>110/6,3</w:t>
            </w:r>
          </w:p>
        </w:tc>
        <w:tc>
          <w:tcPr>
            <w:tcW w:w="1707" w:type="dxa"/>
          </w:tcPr>
          <w:p>
            <w:pPr>
              <w:pStyle w:val="TableParagraph"/>
              <w:ind w:right="46"/>
              <w:rPr>
                <w:sz w:val="14"/>
              </w:rPr>
            </w:pPr>
            <w:r>
              <w:rPr>
                <w:color w:val="231F20"/>
                <w:sz w:val="14"/>
              </w:rPr>
              <w:t>16,0</w:t>
            </w:r>
          </w:p>
        </w:tc>
        <w:tc>
          <w:tcPr>
            <w:tcW w:w="1105" w:type="dxa"/>
          </w:tcPr>
          <w:p>
            <w:pPr>
              <w:pStyle w:val="TableParagraph"/>
              <w:ind w:right="46"/>
              <w:rPr>
                <w:sz w:val="14"/>
              </w:rPr>
            </w:pPr>
            <w:r>
              <w:rPr>
                <w:color w:val="231F20"/>
                <w:sz w:val="14"/>
              </w:rPr>
              <w:t>2008</w:t>
            </w:r>
          </w:p>
        </w:tc>
      </w:tr>
      <w:tr>
        <w:trPr>
          <w:trHeight w:val="200" w:hRule="atLeast"/>
        </w:trPr>
        <w:tc>
          <w:tcPr>
            <w:tcW w:w="693" w:type="dxa"/>
            <w:vMerge w:val="restart"/>
          </w:tcPr>
          <w:p>
            <w:pPr>
              <w:pStyle w:val="TableParagraph"/>
              <w:ind w:left="55"/>
              <w:jc w:val="left"/>
              <w:rPr>
                <w:sz w:val="14"/>
              </w:rPr>
            </w:pPr>
            <w:r>
              <w:rPr>
                <w:color w:val="231F20"/>
                <w:sz w:val="14"/>
              </w:rPr>
              <w:t>4.</w:t>
            </w:r>
          </w:p>
        </w:tc>
        <w:tc>
          <w:tcPr>
            <w:tcW w:w="2268" w:type="dxa"/>
            <w:vMerge w:val="restart"/>
          </w:tcPr>
          <w:p>
            <w:pPr>
              <w:pStyle w:val="TableParagraph"/>
              <w:ind w:left="55"/>
              <w:jc w:val="left"/>
              <w:rPr>
                <w:sz w:val="14"/>
              </w:rPr>
            </w:pPr>
            <w:r>
              <w:rPr>
                <w:color w:val="231F20"/>
                <w:sz w:val="14"/>
              </w:rPr>
              <w:t>ТЕ КОСТОЛ. А</w:t>
            </w:r>
          </w:p>
        </w:tc>
        <w:tc>
          <w:tcPr>
            <w:tcW w:w="2268" w:type="dxa"/>
            <w:vMerge w:val="restart"/>
          </w:tcPr>
          <w:p>
            <w:pPr>
              <w:pStyle w:val="TableParagraph"/>
              <w:ind w:left="55"/>
              <w:jc w:val="left"/>
              <w:rPr>
                <w:sz w:val="14"/>
              </w:rPr>
            </w:pPr>
            <w:r>
              <w:rPr>
                <w:color w:val="231F20"/>
                <w:sz w:val="14"/>
              </w:rPr>
              <w:t>ТЕ КОСТОЛАЦ А</w:t>
            </w:r>
          </w:p>
        </w:tc>
        <w:tc>
          <w:tcPr>
            <w:tcW w:w="965" w:type="dxa"/>
          </w:tcPr>
          <w:p>
            <w:pPr>
              <w:pStyle w:val="TableParagraph"/>
              <w:ind w:left="267" w:right="261"/>
              <w:jc w:val="center"/>
              <w:rPr>
                <w:sz w:val="14"/>
              </w:rPr>
            </w:pPr>
            <w:r>
              <w:rPr>
                <w:color w:val="231F20"/>
                <w:sz w:val="14"/>
              </w:rPr>
              <w:t>ТР1</w:t>
            </w:r>
          </w:p>
        </w:tc>
        <w:tc>
          <w:tcPr>
            <w:tcW w:w="1467" w:type="dxa"/>
          </w:tcPr>
          <w:p>
            <w:pPr>
              <w:pStyle w:val="TableParagraph"/>
              <w:ind w:right="46"/>
              <w:rPr>
                <w:sz w:val="14"/>
              </w:rPr>
            </w:pPr>
            <w:r>
              <w:rPr>
                <w:color w:val="231F20"/>
                <w:sz w:val="14"/>
              </w:rPr>
              <w:t>110/6,3</w:t>
            </w:r>
          </w:p>
        </w:tc>
        <w:tc>
          <w:tcPr>
            <w:tcW w:w="1707" w:type="dxa"/>
          </w:tcPr>
          <w:p>
            <w:pPr>
              <w:pStyle w:val="TableParagraph"/>
              <w:ind w:right="47"/>
              <w:rPr>
                <w:sz w:val="14"/>
              </w:rPr>
            </w:pPr>
            <w:r>
              <w:rPr>
                <w:color w:val="231F20"/>
                <w:sz w:val="14"/>
              </w:rPr>
              <w:t>50,0</w:t>
            </w:r>
          </w:p>
        </w:tc>
        <w:tc>
          <w:tcPr>
            <w:tcW w:w="1105" w:type="dxa"/>
          </w:tcPr>
          <w:p>
            <w:pPr>
              <w:pStyle w:val="TableParagraph"/>
              <w:ind w:right="47"/>
              <w:rPr>
                <w:sz w:val="14"/>
              </w:rPr>
            </w:pPr>
            <w:r>
              <w:rPr>
                <w:color w:val="231F20"/>
                <w:sz w:val="14"/>
              </w:rPr>
              <w:t>1958</w:t>
            </w:r>
          </w:p>
        </w:tc>
      </w:tr>
      <w:tr>
        <w:trPr>
          <w:trHeight w:val="200" w:hRule="atLeast"/>
        </w:trPr>
        <w:tc>
          <w:tcPr>
            <w:tcW w:w="693" w:type="dxa"/>
            <w:vMerge/>
            <w:tcBorders>
              <w:top w:val="nil"/>
            </w:tcBorders>
          </w:tcPr>
          <w:p>
            <w:pPr>
              <w:rPr>
                <w:sz w:val="2"/>
                <w:szCs w:val="2"/>
              </w:rPr>
            </w:pPr>
          </w:p>
        </w:tc>
        <w:tc>
          <w:tcPr>
            <w:tcW w:w="2268" w:type="dxa"/>
            <w:vMerge/>
            <w:tcBorders>
              <w:top w:val="nil"/>
            </w:tcBorders>
          </w:tcPr>
          <w:p>
            <w:pPr>
              <w:rPr>
                <w:sz w:val="2"/>
                <w:szCs w:val="2"/>
              </w:rPr>
            </w:pPr>
          </w:p>
        </w:tc>
        <w:tc>
          <w:tcPr>
            <w:tcW w:w="2268" w:type="dxa"/>
            <w:vMerge/>
            <w:tcBorders>
              <w:top w:val="nil"/>
            </w:tcBorders>
          </w:tcPr>
          <w:p>
            <w:pPr>
              <w:rPr>
                <w:sz w:val="2"/>
                <w:szCs w:val="2"/>
              </w:rPr>
            </w:pPr>
          </w:p>
        </w:tc>
        <w:tc>
          <w:tcPr>
            <w:tcW w:w="965" w:type="dxa"/>
          </w:tcPr>
          <w:p>
            <w:pPr>
              <w:pStyle w:val="TableParagraph"/>
              <w:spacing w:before="17"/>
              <w:ind w:left="267" w:right="261"/>
              <w:jc w:val="center"/>
              <w:rPr>
                <w:sz w:val="14"/>
              </w:rPr>
            </w:pPr>
            <w:r>
              <w:rPr>
                <w:color w:val="231F20"/>
                <w:sz w:val="14"/>
              </w:rPr>
              <w:t>ТР2</w:t>
            </w:r>
          </w:p>
        </w:tc>
        <w:tc>
          <w:tcPr>
            <w:tcW w:w="1467" w:type="dxa"/>
          </w:tcPr>
          <w:p>
            <w:pPr>
              <w:pStyle w:val="TableParagraph"/>
              <w:spacing w:before="17"/>
              <w:ind w:right="46"/>
              <w:rPr>
                <w:sz w:val="14"/>
              </w:rPr>
            </w:pPr>
            <w:r>
              <w:rPr>
                <w:color w:val="231F20"/>
                <w:sz w:val="14"/>
              </w:rPr>
              <w:t>110/35/6,3</w:t>
            </w:r>
          </w:p>
        </w:tc>
        <w:tc>
          <w:tcPr>
            <w:tcW w:w="1707" w:type="dxa"/>
          </w:tcPr>
          <w:p>
            <w:pPr>
              <w:pStyle w:val="TableParagraph"/>
              <w:spacing w:before="17"/>
              <w:ind w:right="47"/>
              <w:rPr>
                <w:sz w:val="14"/>
              </w:rPr>
            </w:pPr>
            <w:r>
              <w:rPr>
                <w:color w:val="231F20"/>
                <w:sz w:val="14"/>
              </w:rPr>
              <w:t>31,5</w:t>
            </w:r>
          </w:p>
        </w:tc>
        <w:tc>
          <w:tcPr>
            <w:tcW w:w="1105" w:type="dxa"/>
          </w:tcPr>
          <w:p>
            <w:pPr>
              <w:pStyle w:val="TableParagraph"/>
              <w:spacing w:before="17"/>
              <w:ind w:right="47"/>
              <w:rPr>
                <w:sz w:val="14"/>
              </w:rPr>
            </w:pPr>
            <w:r>
              <w:rPr>
                <w:color w:val="231F20"/>
                <w:sz w:val="14"/>
              </w:rPr>
              <w:t>1977</w:t>
            </w:r>
          </w:p>
        </w:tc>
      </w:tr>
      <w:tr>
        <w:trPr>
          <w:trHeight w:val="200" w:hRule="atLeast"/>
        </w:trPr>
        <w:tc>
          <w:tcPr>
            <w:tcW w:w="693" w:type="dxa"/>
          </w:tcPr>
          <w:p>
            <w:pPr>
              <w:pStyle w:val="TableParagraph"/>
              <w:spacing w:before="17"/>
              <w:ind w:left="55"/>
              <w:jc w:val="left"/>
              <w:rPr>
                <w:sz w:val="14"/>
              </w:rPr>
            </w:pPr>
            <w:r>
              <w:rPr>
                <w:color w:val="231F20"/>
                <w:sz w:val="14"/>
              </w:rPr>
              <w:t>5.</w:t>
            </w:r>
          </w:p>
        </w:tc>
        <w:tc>
          <w:tcPr>
            <w:tcW w:w="2268" w:type="dxa"/>
          </w:tcPr>
          <w:p>
            <w:pPr>
              <w:pStyle w:val="TableParagraph"/>
              <w:spacing w:before="17"/>
              <w:ind w:left="55"/>
              <w:jc w:val="left"/>
              <w:rPr>
                <w:sz w:val="14"/>
              </w:rPr>
            </w:pPr>
            <w:r>
              <w:rPr>
                <w:color w:val="231F20"/>
                <w:sz w:val="14"/>
              </w:rPr>
              <w:t>ТЕ КОСТОЛ. Б</w:t>
            </w:r>
          </w:p>
        </w:tc>
        <w:tc>
          <w:tcPr>
            <w:tcW w:w="2268" w:type="dxa"/>
          </w:tcPr>
          <w:p>
            <w:pPr>
              <w:pStyle w:val="TableParagraph"/>
              <w:spacing w:before="17"/>
              <w:ind w:left="54"/>
              <w:jc w:val="left"/>
              <w:rPr>
                <w:sz w:val="14"/>
              </w:rPr>
            </w:pPr>
            <w:r>
              <w:rPr>
                <w:color w:val="231F20"/>
                <w:sz w:val="14"/>
              </w:rPr>
              <w:t>ТЕ КОСТОЛАЦ Б</w:t>
            </w:r>
          </w:p>
        </w:tc>
        <w:tc>
          <w:tcPr>
            <w:tcW w:w="965" w:type="dxa"/>
          </w:tcPr>
          <w:p>
            <w:pPr>
              <w:pStyle w:val="TableParagraph"/>
              <w:spacing w:before="17"/>
              <w:ind w:left="267" w:right="261"/>
              <w:jc w:val="center"/>
              <w:rPr>
                <w:sz w:val="14"/>
              </w:rPr>
            </w:pPr>
            <w:r>
              <w:rPr>
                <w:color w:val="231F20"/>
                <w:sz w:val="14"/>
              </w:rPr>
              <w:t>ТР1</w:t>
            </w:r>
          </w:p>
        </w:tc>
        <w:tc>
          <w:tcPr>
            <w:tcW w:w="1467" w:type="dxa"/>
          </w:tcPr>
          <w:p>
            <w:pPr>
              <w:pStyle w:val="TableParagraph"/>
              <w:spacing w:before="17"/>
              <w:ind w:right="46"/>
              <w:rPr>
                <w:sz w:val="14"/>
              </w:rPr>
            </w:pPr>
            <w:r>
              <w:rPr>
                <w:color w:val="231F20"/>
                <w:sz w:val="14"/>
              </w:rPr>
              <w:t>110/6,3</w:t>
            </w:r>
          </w:p>
        </w:tc>
        <w:tc>
          <w:tcPr>
            <w:tcW w:w="1707" w:type="dxa"/>
          </w:tcPr>
          <w:p>
            <w:pPr>
              <w:pStyle w:val="TableParagraph"/>
              <w:spacing w:before="17"/>
              <w:ind w:right="47"/>
              <w:rPr>
                <w:sz w:val="14"/>
              </w:rPr>
            </w:pPr>
            <w:r>
              <w:rPr>
                <w:color w:val="231F20"/>
                <w:sz w:val="14"/>
              </w:rPr>
              <w:t>50,0</w:t>
            </w:r>
          </w:p>
        </w:tc>
        <w:tc>
          <w:tcPr>
            <w:tcW w:w="1105" w:type="dxa"/>
          </w:tcPr>
          <w:p>
            <w:pPr>
              <w:pStyle w:val="TableParagraph"/>
              <w:spacing w:before="17"/>
              <w:ind w:right="47"/>
              <w:rPr>
                <w:sz w:val="14"/>
              </w:rPr>
            </w:pPr>
            <w:r>
              <w:rPr>
                <w:color w:val="231F20"/>
                <w:sz w:val="14"/>
              </w:rPr>
              <w:t>1987</w:t>
            </w:r>
          </w:p>
        </w:tc>
      </w:tr>
    </w:tbl>
    <w:p>
      <w:pPr>
        <w:spacing w:after="0"/>
        <w:rPr>
          <w:sz w:val="14"/>
        </w:rPr>
        <w:sectPr>
          <w:type w:val="continuous"/>
          <w:pgSz w:w="12480" w:h="15690"/>
          <w:pgMar w:top="880" w:bottom="280" w:left="680" w:right="720"/>
        </w:sectPr>
      </w:pPr>
    </w:p>
    <w:p>
      <w:pPr>
        <w:pStyle w:val="BodyText"/>
        <w:spacing w:line="225" w:lineRule="auto" w:before="78"/>
        <w:ind w:left="453" w:firstLine="397"/>
      </w:pPr>
      <w:r>
        <w:rPr/>
        <w:pict>
          <v:line style="position:absolute;mso-position-horizontal-relative:page;mso-position-vertical-relative:page;z-index:1480" from="318.897614pt,11.942451pt" to="318.897614pt,748.950451pt" stroked="true" strokeweight=".6pt" strokecolor="#231f20">
            <v:stroke dashstyle="solid"/>
            <w10:wrap type="none"/>
          </v:line>
        </w:pict>
      </w:r>
      <w:r>
        <w:rPr>
          <w:color w:val="231F20"/>
        </w:rPr>
        <w:t>Магистрални</w:t>
      </w:r>
      <w:r>
        <w:rPr>
          <w:color w:val="231F20"/>
          <w:spacing w:val="-12"/>
        </w:rPr>
        <w:t> </w:t>
      </w:r>
      <w:r>
        <w:rPr>
          <w:color w:val="231F20"/>
        </w:rPr>
        <w:t>вреловод</w:t>
      </w:r>
      <w:r>
        <w:rPr>
          <w:color w:val="231F20"/>
          <w:spacing w:val="-12"/>
        </w:rPr>
        <w:t> </w:t>
      </w:r>
      <w:r>
        <w:rPr>
          <w:color w:val="231F20"/>
        </w:rPr>
        <w:t>Костолац</w:t>
      </w:r>
      <w:r>
        <w:rPr>
          <w:color w:val="231F20"/>
          <w:spacing w:val="12"/>
        </w:rPr>
        <w:t> </w:t>
      </w:r>
      <w:r>
        <w:rPr>
          <w:color w:val="231F20"/>
        </w:rPr>
        <w:t>–</w:t>
      </w:r>
      <w:r>
        <w:rPr>
          <w:color w:val="231F20"/>
          <w:spacing w:val="-12"/>
        </w:rPr>
        <w:t> </w:t>
      </w:r>
      <w:r>
        <w:rPr>
          <w:color w:val="231F20"/>
        </w:rPr>
        <w:t>Пожаревац</w:t>
      </w:r>
      <w:r>
        <w:rPr>
          <w:color w:val="231F20"/>
          <w:spacing w:val="-12"/>
        </w:rPr>
        <w:t> </w:t>
      </w:r>
      <w:r>
        <w:rPr>
          <w:color w:val="231F20"/>
        </w:rPr>
        <w:t>служи</w:t>
      </w:r>
      <w:r>
        <w:rPr>
          <w:color w:val="231F20"/>
          <w:spacing w:val="-12"/>
        </w:rPr>
        <w:t> </w:t>
      </w:r>
      <w:r>
        <w:rPr>
          <w:color w:val="231F20"/>
        </w:rPr>
        <w:t>за</w:t>
      </w:r>
      <w:r>
        <w:rPr>
          <w:color w:val="231F20"/>
          <w:spacing w:val="-12"/>
        </w:rPr>
        <w:t> </w:t>
      </w:r>
      <w:r>
        <w:rPr>
          <w:color w:val="231F20"/>
        </w:rPr>
        <w:t>тран- спорт вреле воде, температуре 130/75°C, притиска НП 16, </w:t>
      </w:r>
      <w:r>
        <w:rPr>
          <w:color w:val="231F20"/>
          <w:spacing w:val="-3"/>
        </w:rPr>
        <w:t>од </w:t>
      </w:r>
      <w:r>
        <w:rPr>
          <w:color w:val="231F20"/>
        </w:rPr>
        <w:t>ИПС до примарне градске мреже Пожаревца. Вреловод је изведен </w:t>
      </w:r>
      <w:r>
        <w:rPr>
          <w:color w:val="231F20"/>
          <w:spacing w:val="-3"/>
        </w:rPr>
        <w:t>од </w:t>
      </w:r>
      <w:r>
        <w:rPr>
          <w:color w:val="231F20"/>
        </w:rPr>
        <w:t>челичних шавних цеви пречника </w:t>
      </w:r>
      <w:r>
        <w:rPr>
          <w:rFonts w:ascii="Ravie" w:hAnsi="Ravie"/>
          <w:color w:val="231F20"/>
        </w:rPr>
        <w:t>Ø </w:t>
      </w:r>
      <w:r>
        <w:rPr>
          <w:color w:val="231F20"/>
        </w:rPr>
        <w:t>660,4 x 7,1 mm и води се кроз градско подручје Костолца и Пожаревца, подземно у </w:t>
      </w:r>
      <w:r>
        <w:rPr>
          <w:color w:val="231F20"/>
          <w:spacing w:val="-3"/>
        </w:rPr>
        <w:t>бетонском </w:t>
      </w:r>
      <w:r>
        <w:rPr>
          <w:color w:val="231F20"/>
          <w:spacing w:val="-4"/>
        </w:rPr>
        <w:t>каналу, </w:t>
      </w:r>
      <w:r>
        <w:rPr>
          <w:color w:val="231F20"/>
        </w:rPr>
        <w:t>а на осталом подручју надземно, на ниским стубићима. На магистралном вреловоду су предвиђени прикључци за следећа</w:t>
      </w:r>
      <w:r>
        <w:rPr>
          <w:color w:val="231F20"/>
          <w:spacing w:val="-30"/>
        </w:rPr>
        <w:t> </w:t>
      </w:r>
      <w:r>
        <w:rPr>
          <w:color w:val="231F20"/>
        </w:rPr>
        <w:t>на- сељена места: Костолац, Кленовник, Петка, Ћириковац и Пожаре- вац. </w:t>
      </w:r>
      <w:r>
        <w:rPr>
          <w:color w:val="231F20"/>
          <w:spacing w:val="-4"/>
        </w:rPr>
        <w:t>Укупан </w:t>
      </w:r>
      <w:r>
        <w:rPr>
          <w:color w:val="231F20"/>
        </w:rPr>
        <w:t>предвиђени </w:t>
      </w:r>
      <w:r>
        <w:rPr>
          <w:color w:val="231F20"/>
          <w:spacing w:val="-3"/>
        </w:rPr>
        <w:t>конзум </w:t>
      </w:r>
      <w:r>
        <w:rPr>
          <w:color w:val="231F20"/>
        </w:rPr>
        <w:t>свих потрошача је 315</w:t>
      </w:r>
      <w:r>
        <w:rPr>
          <w:color w:val="231F20"/>
          <w:spacing w:val="-3"/>
        </w:rPr>
        <w:t> </w:t>
      </w:r>
      <w:r>
        <w:rPr>
          <w:color w:val="231F20"/>
          <w:spacing w:val="-6"/>
        </w:rPr>
        <w:t>МW.</w:t>
      </w:r>
    </w:p>
    <w:p>
      <w:pPr>
        <w:pStyle w:val="BodyText"/>
        <w:spacing w:line="228" w:lineRule="auto" w:before="9"/>
        <w:ind w:left="454" w:firstLine="397"/>
      </w:pPr>
      <w:r>
        <w:rPr>
          <w:color w:val="231F20"/>
        </w:rPr>
        <w:t>Примарна градска мрежа обухвата:  цевовод  </w:t>
      </w:r>
      <w:r>
        <w:rPr>
          <w:color w:val="231F20"/>
          <w:spacing w:val="-3"/>
        </w:rPr>
        <w:t>од  </w:t>
      </w:r>
      <w:r>
        <w:rPr>
          <w:color w:val="231F20"/>
        </w:rPr>
        <w:t>завршет-  ка вреловода на </w:t>
      </w:r>
      <w:r>
        <w:rPr>
          <w:color w:val="231F20"/>
          <w:spacing w:val="-3"/>
        </w:rPr>
        <w:t>улазу </w:t>
      </w:r>
      <w:r>
        <w:rPr>
          <w:color w:val="231F20"/>
        </w:rPr>
        <w:t>у градско насеље Пожаревац до топлопре- дајних станица (ТПС) са припадајућом опремом. Топлопредајне станице (ТПС) су индиректног типа са измењивачем топлоте, ре- гулацијом температуре у зависности </w:t>
      </w:r>
      <w:r>
        <w:rPr>
          <w:color w:val="231F20"/>
          <w:spacing w:val="-3"/>
        </w:rPr>
        <w:t>од </w:t>
      </w:r>
      <w:r>
        <w:rPr>
          <w:color w:val="231F20"/>
        </w:rPr>
        <w:t>спољне температуре и ме- рењем утрошка топлотне енергије ултразвучним мерачима прото- ка. Тренутно је изграђено 138 зонских топлопредајних станица и 216 индивидуалних топлопредајних станица. </w:t>
      </w:r>
      <w:r>
        <w:rPr>
          <w:color w:val="231F20"/>
          <w:spacing w:val="-4"/>
        </w:rPr>
        <w:t>Укупан </w:t>
      </w:r>
      <w:r>
        <w:rPr>
          <w:color w:val="231F20"/>
          <w:spacing w:val="-3"/>
        </w:rPr>
        <w:t>конзум </w:t>
      </w:r>
      <w:r>
        <w:rPr>
          <w:color w:val="231F20"/>
        </w:rPr>
        <w:t>тре- нутно прикључених објеката је 80</w:t>
      </w:r>
      <w:r>
        <w:rPr>
          <w:color w:val="231F20"/>
          <w:spacing w:val="-4"/>
        </w:rPr>
        <w:t> </w:t>
      </w:r>
      <w:r>
        <w:rPr>
          <w:color w:val="231F20"/>
          <w:spacing w:val="-6"/>
        </w:rPr>
        <w:t>МW.</w:t>
      </w:r>
    </w:p>
    <w:p>
      <w:pPr>
        <w:pStyle w:val="BodyText"/>
        <w:spacing w:line="228" w:lineRule="auto" w:before="8"/>
        <w:ind w:left="454" w:firstLine="396"/>
      </w:pPr>
      <w:r>
        <w:rPr>
          <w:color w:val="231F20"/>
        </w:rPr>
        <w:t>И поред низа урађених </w:t>
      </w:r>
      <w:r>
        <w:rPr>
          <w:color w:val="231F20"/>
          <w:spacing w:val="-3"/>
        </w:rPr>
        <w:t>студија </w:t>
      </w:r>
      <w:r>
        <w:rPr>
          <w:color w:val="231F20"/>
        </w:rPr>
        <w:t>и пројеката у </w:t>
      </w:r>
      <w:r>
        <w:rPr>
          <w:color w:val="231F20"/>
          <w:spacing w:val="-3"/>
        </w:rPr>
        <w:t>претходном </w:t>
      </w:r>
      <w:r>
        <w:rPr>
          <w:color w:val="231F20"/>
        </w:rPr>
        <w:t>пе- </w:t>
      </w:r>
      <w:r>
        <w:rPr>
          <w:color w:val="231F20"/>
          <w:spacing w:val="-5"/>
        </w:rPr>
        <w:t>риоду, </w:t>
      </w:r>
      <w:r>
        <w:rPr>
          <w:color w:val="231F20"/>
        </w:rPr>
        <w:t>гасоводна мрежа на подручју града Пожаревца и </w:t>
      </w:r>
      <w:r>
        <w:rPr>
          <w:color w:val="231F20"/>
          <w:spacing w:val="-3"/>
        </w:rPr>
        <w:t>Костолач- </w:t>
      </w:r>
      <w:r>
        <w:rPr>
          <w:color w:val="231F20"/>
          <w:spacing w:val="-4"/>
        </w:rPr>
        <w:t>ког </w:t>
      </w:r>
      <w:r>
        <w:rPr>
          <w:color w:val="231F20"/>
        </w:rPr>
        <w:t>басена још увек није израђена.</w:t>
      </w:r>
    </w:p>
    <w:p>
      <w:pPr>
        <w:pStyle w:val="ListParagraph"/>
        <w:numPr>
          <w:ilvl w:val="2"/>
          <w:numId w:val="17"/>
        </w:numPr>
        <w:tabs>
          <w:tab w:pos="1226" w:val="left" w:leader="none"/>
        </w:tabs>
        <w:spacing w:line="310" w:lineRule="atLeast" w:before="61" w:after="0"/>
        <w:ind w:left="2305" w:right="321" w:hanging="1530"/>
        <w:jc w:val="left"/>
        <w:rPr>
          <w:sz w:val="18"/>
        </w:rPr>
      </w:pPr>
      <w:r>
        <w:rPr>
          <w:color w:val="231F20"/>
          <w:spacing w:val="16"/>
          <w:sz w:val="18"/>
        </w:rPr>
        <w:t>Телекомуникације </w:t>
      </w:r>
      <w:r>
        <w:rPr>
          <w:color w:val="231F20"/>
          <w:sz w:val="18"/>
        </w:rPr>
        <w:t>и </w:t>
      </w:r>
      <w:r>
        <w:rPr>
          <w:color w:val="231F20"/>
          <w:spacing w:val="15"/>
          <w:sz w:val="18"/>
        </w:rPr>
        <w:t>пошт </w:t>
      </w:r>
      <w:r>
        <w:rPr>
          <w:color w:val="231F20"/>
          <w:spacing w:val="15"/>
          <w:sz w:val="18"/>
        </w:rPr>
        <w:t>ански </w:t>
      </w:r>
      <w:r>
        <w:rPr>
          <w:color w:val="231F20"/>
          <w:sz w:val="18"/>
        </w:rPr>
        <w:t>с </w:t>
      </w:r>
      <w:r>
        <w:rPr>
          <w:color w:val="231F20"/>
          <w:spacing w:val="16"/>
          <w:sz w:val="18"/>
        </w:rPr>
        <w:t>аобраћај </w:t>
      </w:r>
      <w:r>
        <w:rPr>
          <w:color w:val="231F20"/>
          <w:sz w:val="18"/>
        </w:rPr>
        <w:t>Телекомуникације</w:t>
      </w:r>
    </w:p>
    <w:p>
      <w:pPr>
        <w:pStyle w:val="BodyText"/>
        <w:spacing w:line="228" w:lineRule="auto" w:before="56"/>
        <w:ind w:left="455" w:right="1" w:firstLine="396"/>
      </w:pPr>
      <w:r>
        <w:rPr>
          <w:color w:val="231F20"/>
          <w:spacing w:val="-6"/>
        </w:rPr>
        <w:t>Телекомуникациона </w:t>
      </w:r>
      <w:r>
        <w:rPr>
          <w:color w:val="231F20"/>
          <w:spacing w:val="-5"/>
        </w:rPr>
        <w:t>инфраструктура фиксне </w:t>
      </w:r>
      <w:r>
        <w:rPr>
          <w:color w:val="231F20"/>
          <w:spacing w:val="-4"/>
        </w:rPr>
        <w:t>јавне </w:t>
      </w:r>
      <w:r>
        <w:rPr>
          <w:color w:val="231F20"/>
          <w:spacing w:val="-5"/>
        </w:rPr>
        <w:t>мреже </w:t>
      </w:r>
      <w:r>
        <w:rPr>
          <w:color w:val="231F20"/>
          <w:spacing w:val="-3"/>
        </w:rPr>
        <w:t>на </w:t>
      </w:r>
      <w:r>
        <w:rPr>
          <w:color w:val="231F20"/>
          <w:spacing w:val="-6"/>
        </w:rPr>
        <w:t>Планском подручју </w:t>
      </w:r>
      <w:r>
        <w:rPr>
          <w:color w:val="231F20"/>
          <w:spacing w:val="-3"/>
        </w:rPr>
        <w:t>је </w:t>
      </w:r>
      <w:r>
        <w:rPr>
          <w:color w:val="231F20"/>
          <w:spacing w:val="-4"/>
        </w:rPr>
        <w:t>добро </w:t>
      </w:r>
      <w:r>
        <w:rPr>
          <w:color w:val="231F20"/>
          <w:spacing w:val="-5"/>
        </w:rPr>
        <w:t>развијена. </w:t>
      </w:r>
      <w:r>
        <w:rPr>
          <w:color w:val="231F20"/>
          <w:spacing w:val="-8"/>
        </w:rPr>
        <w:t>Укупно </w:t>
      </w:r>
      <w:r>
        <w:rPr>
          <w:color w:val="231F20"/>
          <w:spacing w:val="-3"/>
        </w:rPr>
        <w:t>је </w:t>
      </w:r>
      <w:r>
        <w:rPr>
          <w:color w:val="231F20"/>
          <w:spacing w:val="-5"/>
        </w:rPr>
        <w:t>укључено 20.409 </w:t>
      </w:r>
      <w:r>
        <w:rPr>
          <w:color w:val="231F20"/>
          <w:spacing w:val="-4"/>
        </w:rPr>
        <w:t>те- лефона </w:t>
      </w:r>
      <w:r>
        <w:rPr>
          <w:color w:val="231F20"/>
          <w:spacing w:val="-3"/>
        </w:rPr>
        <w:t>на </w:t>
      </w:r>
      <w:r>
        <w:rPr>
          <w:color w:val="231F20"/>
          <w:spacing w:val="-4"/>
        </w:rPr>
        <w:t>oкo </w:t>
      </w:r>
      <w:r>
        <w:rPr>
          <w:color w:val="231F20"/>
          <w:spacing w:val="-5"/>
        </w:rPr>
        <w:t>77.800 становника </w:t>
      </w:r>
      <w:r>
        <w:rPr>
          <w:color w:val="231F20"/>
          <w:spacing w:val="-4"/>
        </w:rPr>
        <w:t>(по </w:t>
      </w:r>
      <w:r>
        <w:rPr>
          <w:color w:val="231F20"/>
          <w:spacing w:val="-5"/>
        </w:rPr>
        <w:t>попису </w:t>
      </w:r>
      <w:r>
        <w:rPr>
          <w:color w:val="231F20"/>
          <w:spacing w:val="-3"/>
        </w:rPr>
        <w:t>из </w:t>
      </w:r>
      <w:r>
        <w:rPr>
          <w:color w:val="231F20"/>
          <w:spacing w:val="-4"/>
        </w:rPr>
        <w:t>2002. </w:t>
      </w:r>
      <w:r>
        <w:rPr>
          <w:color w:val="231F20"/>
          <w:spacing w:val="-6"/>
        </w:rPr>
        <w:t>године), </w:t>
      </w:r>
      <w:r>
        <w:rPr>
          <w:color w:val="231F20"/>
          <w:spacing w:val="-4"/>
        </w:rPr>
        <w:t>што </w:t>
      </w:r>
      <w:r>
        <w:rPr>
          <w:color w:val="231F20"/>
          <w:spacing w:val="-3"/>
        </w:rPr>
        <w:t>је </w:t>
      </w:r>
      <w:r>
        <w:rPr>
          <w:color w:val="231F20"/>
          <w:spacing w:val="-4"/>
        </w:rPr>
        <w:t>26,2 </w:t>
      </w:r>
      <w:r>
        <w:rPr>
          <w:color w:val="231F20"/>
          <w:spacing w:val="-5"/>
        </w:rPr>
        <w:t>телефона </w:t>
      </w:r>
      <w:r>
        <w:rPr>
          <w:color w:val="231F20"/>
          <w:spacing w:val="-3"/>
        </w:rPr>
        <w:t>на </w:t>
      </w:r>
      <w:r>
        <w:rPr>
          <w:color w:val="231F20"/>
          <w:spacing w:val="-4"/>
        </w:rPr>
        <w:t>100 </w:t>
      </w:r>
      <w:r>
        <w:rPr>
          <w:color w:val="231F20"/>
          <w:spacing w:val="-5"/>
        </w:rPr>
        <w:t>становника. </w:t>
      </w:r>
      <w:r>
        <w:rPr>
          <w:color w:val="231F20"/>
          <w:spacing w:val="-4"/>
        </w:rPr>
        <w:t>Сва насеља </w:t>
      </w:r>
      <w:r>
        <w:rPr>
          <w:color w:val="231F20"/>
          <w:spacing w:val="-5"/>
        </w:rPr>
        <w:t>имају фиксне телефон- ске прикључке. </w:t>
      </w:r>
      <w:r>
        <w:rPr>
          <w:color w:val="231F20"/>
          <w:spacing w:val="-4"/>
        </w:rPr>
        <w:t>Све централе су </w:t>
      </w:r>
      <w:r>
        <w:rPr>
          <w:color w:val="231F20"/>
          <w:spacing w:val="-5"/>
        </w:rPr>
        <w:t>дигиталне, </w:t>
      </w:r>
      <w:r>
        <w:rPr>
          <w:color w:val="231F20"/>
          <w:spacing w:val="-3"/>
        </w:rPr>
        <w:t>али </w:t>
      </w:r>
      <w:r>
        <w:rPr>
          <w:color w:val="231F20"/>
          <w:spacing w:val="-5"/>
        </w:rPr>
        <w:t>велики </w:t>
      </w:r>
      <w:r>
        <w:rPr>
          <w:color w:val="231F20"/>
          <w:spacing w:val="-4"/>
        </w:rPr>
        <w:t>број </w:t>
      </w:r>
      <w:r>
        <w:rPr>
          <w:color w:val="231F20"/>
          <w:spacing w:val="-3"/>
        </w:rPr>
        <w:t>је </w:t>
      </w:r>
      <w:r>
        <w:rPr>
          <w:color w:val="231F20"/>
          <w:spacing w:val="-4"/>
        </w:rPr>
        <w:t>старије </w:t>
      </w:r>
      <w:r>
        <w:rPr>
          <w:color w:val="231F20"/>
          <w:spacing w:val="-5"/>
        </w:rPr>
        <w:t>генерације </w:t>
      </w:r>
      <w:r>
        <w:rPr>
          <w:color w:val="231F20"/>
          <w:spacing w:val="-4"/>
        </w:rPr>
        <w:t>типа ДКТС, </w:t>
      </w:r>
      <w:r>
        <w:rPr>
          <w:color w:val="231F20"/>
          <w:spacing w:val="-5"/>
        </w:rPr>
        <w:t>ОМНИ-Г </w:t>
      </w:r>
      <w:r>
        <w:rPr>
          <w:color w:val="231F20"/>
        </w:rPr>
        <w:t>и </w:t>
      </w:r>
      <w:r>
        <w:rPr>
          <w:color w:val="231F20"/>
          <w:spacing w:val="-5"/>
        </w:rPr>
        <w:t>СИ2000, </w:t>
      </w:r>
      <w:r>
        <w:rPr>
          <w:color w:val="231F20"/>
          <w:spacing w:val="-6"/>
        </w:rPr>
        <w:t>који </w:t>
      </w:r>
      <w:r>
        <w:rPr>
          <w:color w:val="231F20"/>
          <w:spacing w:val="-5"/>
        </w:rPr>
        <w:t>имају инсталиране двојнике </w:t>
      </w:r>
      <w:r>
        <w:rPr>
          <w:color w:val="231F20"/>
        </w:rPr>
        <w:t>и </w:t>
      </w:r>
      <w:r>
        <w:rPr>
          <w:color w:val="231F20"/>
          <w:spacing w:val="-3"/>
        </w:rPr>
        <w:t>не </w:t>
      </w:r>
      <w:r>
        <w:rPr>
          <w:color w:val="231F20"/>
          <w:spacing w:val="-6"/>
        </w:rPr>
        <w:t>подржавају </w:t>
      </w:r>
      <w:r>
        <w:rPr>
          <w:color w:val="231F20"/>
          <w:spacing w:val="-4"/>
        </w:rPr>
        <w:t>рад </w:t>
      </w:r>
      <w:r>
        <w:rPr>
          <w:color w:val="231F20"/>
          <w:spacing w:val="-6"/>
        </w:rPr>
        <w:t>широкопојасних ИСДН </w:t>
      </w:r>
      <w:r>
        <w:rPr>
          <w:color w:val="231F20"/>
          <w:spacing w:val="-5"/>
        </w:rPr>
        <w:t>система. </w:t>
      </w:r>
      <w:r>
        <w:rPr>
          <w:color w:val="231F20"/>
          <w:spacing w:val="-4"/>
        </w:rPr>
        <w:t>Ови </w:t>
      </w:r>
      <w:r>
        <w:rPr>
          <w:color w:val="231F20"/>
          <w:spacing w:val="-5"/>
        </w:rPr>
        <w:t>системи </w:t>
      </w:r>
      <w:r>
        <w:rPr>
          <w:color w:val="231F20"/>
          <w:spacing w:val="-6"/>
        </w:rPr>
        <w:t>захтевају </w:t>
      </w:r>
      <w:r>
        <w:rPr>
          <w:color w:val="231F20"/>
          <w:spacing w:val="-5"/>
        </w:rPr>
        <w:t>брзу </w:t>
      </w:r>
      <w:r>
        <w:rPr>
          <w:color w:val="231F20"/>
          <w:spacing w:val="-7"/>
        </w:rPr>
        <w:t>замену, </w:t>
      </w:r>
      <w:r>
        <w:rPr>
          <w:color w:val="231F20"/>
          <w:spacing w:val="-5"/>
        </w:rPr>
        <w:t>односно паралелно увођење </w:t>
      </w:r>
      <w:r>
        <w:rPr>
          <w:color w:val="231F20"/>
          <w:spacing w:val="-4"/>
        </w:rPr>
        <w:t>нових </w:t>
      </w:r>
      <w:r>
        <w:rPr>
          <w:color w:val="231F20"/>
          <w:spacing w:val="-6"/>
        </w:rPr>
        <w:t>мултисервисних </w:t>
      </w:r>
      <w:r>
        <w:rPr>
          <w:color w:val="231F20"/>
          <w:spacing w:val="-5"/>
        </w:rPr>
        <w:t>приступних чворова </w:t>
      </w:r>
      <w:r>
        <w:rPr>
          <w:color w:val="231F20"/>
          <w:spacing w:val="-3"/>
        </w:rPr>
        <w:t>(у </w:t>
      </w:r>
      <w:r>
        <w:rPr>
          <w:color w:val="231F20"/>
          <w:spacing w:val="-4"/>
        </w:rPr>
        <w:t>даљем </w:t>
      </w:r>
      <w:r>
        <w:rPr>
          <w:color w:val="231F20"/>
          <w:spacing w:val="-6"/>
        </w:rPr>
        <w:t>тексту: МСАН), који </w:t>
      </w:r>
      <w:r>
        <w:rPr>
          <w:color w:val="231F20"/>
          <w:spacing w:val="-5"/>
        </w:rPr>
        <w:t>омогућавају </w:t>
      </w:r>
      <w:r>
        <w:rPr>
          <w:color w:val="231F20"/>
          <w:spacing w:val="-4"/>
        </w:rPr>
        <w:t>пренос </w:t>
      </w:r>
      <w:r>
        <w:rPr>
          <w:color w:val="231F20"/>
          <w:spacing w:val="-6"/>
        </w:rPr>
        <w:t>података, широкопојасни </w:t>
      </w:r>
      <w:r>
        <w:rPr>
          <w:color w:val="231F20"/>
          <w:spacing w:val="-5"/>
        </w:rPr>
        <w:t>интернет </w:t>
      </w:r>
      <w:r>
        <w:rPr>
          <w:color w:val="231F20"/>
        </w:rPr>
        <w:t>и </w:t>
      </w:r>
      <w:r>
        <w:rPr>
          <w:color w:val="231F20"/>
          <w:spacing w:val="-3"/>
        </w:rPr>
        <w:t>остале са- </w:t>
      </w:r>
      <w:r>
        <w:rPr>
          <w:color w:val="231F20"/>
          <w:spacing w:val="-5"/>
        </w:rPr>
        <w:t>времене</w:t>
      </w:r>
      <w:r>
        <w:rPr>
          <w:color w:val="231F20"/>
          <w:spacing w:val="-12"/>
        </w:rPr>
        <w:t> </w:t>
      </w:r>
      <w:r>
        <w:rPr>
          <w:color w:val="231F20"/>
          <w:spacing w:val="-5"/>
        </w:rPr>
        <w:t>услуге.</w:t>
      </w:r>
      <w:r>
        <w:rPr>
          <w:color w:val="231F20"/>
          <w:spacing w:val="-12"/>
        </w:rPr>
        <w:t> </w:t>
      </w:r>
      <w:r>
        <w:rPr>
          <w:color w:val="231F20"/>
        </w:rPr>
        <w:t>У</w:t>
      </w:r>
      <w:r>
        <w:rPr>
          <w:color w:val="231F20"/>
          <w:spacing w:val="-12"/>
        </w:rPr>
        <w:t> </w:t>
      </w:r>
      <w:r>
        <w:rPr>
          <w:color w:val="231F20"/>
          <w:spacing w:val="-4"/>
        </w:rPr>
        <w:t>последње</w:t>
      </w:r>
      <w:r>
        <w:rPr>
          <w:color w:val="231F20"/>
          <w:spacing w:val="-12"/>
        </w:rPr>
        <w:t> </w:t>
      </w:r>
      <w:r>
        <w:rPr>
          <w:color w:val="231F20"/>
          <w:spacing w:val="-4"/>
        </w:rPr>
        <w:t>две</w:t>
      </w:r>
      <w:r>
        <w:rPr>
          <w:color w:val="231F20"/>
          <w:spacing w:val="-12"/>
        </w:rPr>
        <w:t> </w:t>
      </w:r>
      <w:r>
        <w:rPr>
          <w:color w:val="231F20"/>
          <w:spacing w:val="-6"/>
        </w:rPr>
        <w:t>године</w:t>
      </w:r>
      <w:r>
        <w:rPr>
          <w:color w:val="231F20"/>
          <w:spacing w:val="-12"/>
        </w:rPr>
        <w:t> </w:t>
      </w:r>
      <w:r>
        <w:rPr>
          <w:color w:val="231F20"/>
          <w:spacing w:val="-4"/>
        </w:rPr>
        <w:t>ова</w:t>
      </w:r>
      <w:r>
        <w:rPr>
          <w:color w:val="231F20"/>
          <w:spacing w:val="-12"/>
        </w:rPr>
        <w:t> </w:t>
      </w:r>
      <w:r>
        <w:rPr>
          <w:color w:val="231F20"/>
          <w:spacing w:val="-4"/>
        </w:rPr>
        <w:t>врста</w:t>
      </w:r>
      <w:r>
        <w:rPr>
          <w:color w:val="231F20"/>
          <w:spacing w:val="-12"/>
        </w:rPr>
        <w:t> </w:t>
      </w:r>
      <w:r>
        <w:rPr>
          <w:color w:val="231F20"/>
          <w:spacing w:val="-5"/>
        </w:rPr>
        <w:t>прикључака</w:t>
      </w:r>
      <w:r>
        <w:rPr>
          <w:color w:val="231F20"/>
          <w:spacing w:val="-12"/>
        </w:rPr>
        <w:t> </w:t>
      </w:r>
      <w:r>
        <w:rPr>
          <w:color w:val="231F20"/>
          <w:spacing w:val="-6"/>
        </w:rPr>
        <w:t>нагло</w:t>
      </w:r>
      <w:r>
        <w:rPr>
          <w:color w:val="231F20"/>
          <w:spacing w:val="-12"/>
        </w:rPr>
        <w:t> </w:t>
      </w:r>
      <w:r>
        <w:rPr>
          <w:color w:val="231F20"/>
        </w:rPr>
        <w:t>се </w:t>
      </w:r>
      <w:r>
        <w:rPr>
          <w:color w:val="231F20"/>
          <w:spacing w:val="-5"/>
        </w:rPr>
        <w:t>развија (укључено </w:t>
      </w:r>
      <w:r>
        <w:rPr>
          <w:color w:val="231F20"/>
          <w:spacing w:val="-3"/>
        </w:rPr>
        <w:t>је </w:t>
      </w:r>
      <w:r>
        <w:rPr>
          <w:color w:val="231F20"/>
          <w:spacing w:val="-4"/>
        </w:rPr>
        <w:t>808 </w:t>
      </w:r>
      <w:r>
        <w:rPr>
          <w:color w:val="231F20"/>
        </w:rPr>
        <w:t>– </w:t>
      </w:r>
      <w:r>
        <w:rPr>
          <w:color w:val="231F20"/>
          <w:spacing w:val="-4"/>
        </w:rPr>
        <w:t>2B+D </w:t>
      </w:r>
      <w:r>
        <w:rPr>
          <w:color w:val="231F20"/>
        </w:rPr>
        <w:t>и </w:t>
      </w:r>
      <w:r>
        <w:rPr>
          <w:color w:val="231F20"/>
          <w:spacing w:val="-4"/>
        </w:rPr>
        <w:t>7.360 </w:t>
      </w:r>
      <w:r>
        <w:rPr>
          <w:color w:val="231F20"/>
          <w:spacing w:val="-6"/>
        </w:rPr>
        <w:t>широкопојасних</w:t>
      </w:r>
      <w:r>
        <w:rPr>
          <w:color w:val="231F20"/>
          <w:spacing w:val="-31"/>
        </w:rPr>
        <w:t> </w:t>
      </w:r>
      <w:r>
        <w:rPr>
          <w:color w:val="231F20"/>
          <w:spacing w:val="-5"/>
        </w:rPr>
        <w:t>приступа).</w:t>
      </w:r>
    </w:p>
    <w:p>
      <w:pPr>
        <w:pStyle w:val="BodyText"/>
        <w:spacing w:line="228" w:lineRule="auto" w:before="10"/>
        <w:ind w:left="455" w:right="1" w:firstLine="397"/>
      </w:pPr>
      <w:r>
        <w:rPr>
          <w:color w:val="231F20"/>
          <w:spacing w:val="-3"/>
        </w:rPr>
        <w:t>Уградња </w:t>
      </w:r>
      <w:r>
        <w:rPr>
          <w:color w:val="231F20"/>
        </w:rPr>
        <w:t>нових мултисервисних чворова у</w:t>
      </w:r>
      <w:r>
        <w:rPr>
          <w:color w:val="231F20"/>
          <w:spacing w:val="-20"/>
        </w:rPr>
        <w:t> </w:t>
      </w:r>
      <w:r>
        <w:rPr>
          <w:color w:val="231F20"/>
        </w:rPr>
        <w:t>телекомуникацио- ну </w:t>
      </w:r>
      <w:r>
        <w:rPr>
          <w:color w:val="231F20"/>
          <w:spacing w:val="-4"/>
        </w:rPr>
        <w:t>мрежу, </w:t>
      </w:r>
      <w:r>
        <w:rPr>
          <w:color w:val="231F20"/>
        </w:rPr>
        <w:t>паралелно са постојећим телефонским централама, от- почела</w:t>
      </w:r>
      <w:r>
        <w:rPr>
          <w:color w:val="231F20"/>
          <w:spacing w:val="-6"/>
        </w:rPr>
        <w:t> </w:t>
      </w:r>
      <w:r>
        <w:rPr>
          <w:color w:val="231F20"/>
        </w:rPr>
        <w:t>је</w:t>
      </w:r>
      <w:r>
        <w:rPr>
          <w:color w:val="231F20"/>
          <w:spacing w:val="-6"/>
        </w:rPr>
        <w:t> </w:t>
      </w:r>
      <w:r>
        <w:rPr>
          <w:color w:val="231F20"/>
        </w:rPr>
        <w:t>најпре</w:t>
      </w:r>
      <w:r>
        <w:rPr>
          <w:color w:val="231F20"/>
          <w:spacing w:val="-6"/>
        </w:rPr>
        <w:t> </w:t>
      </w:r>
      <w:r>
        <w:rPr>
          <w:color w:val="231F20"/>
        </w:rPr>
        <w:t>у</w:t>
      </w:r>
      <w:r>
        <w:rPr>
          <w:color w:val="231F20"/>
          <w:spacing w:val="-6"/>
        </w:rPr>
        <w:t> </w:t>
      </w:r>
      <w:r>
        <w:rPr>
          <w:color w:val="231F20"/>
        </w:rPr>
        <w:t>граду</w:t>
      </w:r>
      <w:r>
        <w:rPr>
          <w:color w:val="231F20"/>
          <w:spacing w:val="-6"/>
        </w:rPr>
        <w:t> </w:t>
      </w:r>
      <w:r>
        <w:rPr>
          <w:color w:val="231F20"/>
          <w:spacing w:val="-3"/>
        </w:rPr>
        <w:t>Пожаревцу.</w:t>
      </w:r>
      <w:r>
        <w:rPr>
          <w:color w:val="231F20"/>
          <w:spacing w:val="-6"/>
        </w:rPr>
        <w:t> </w:t>
      </w:r>
      <w:r>
        <w:rPr>
          <w:color w:val="231F20"/>
        </w:rPr>
        <w:t>У</w:t>
      </w:r>
      <w:r>
        <w:rPr>
          <w:color w:val="231F20"/>
          <w:spacing w:val="-6"/>
        </w:rPr>
        <w:t> </w:t>
      </w:r>
      <w:r>
        <w:rPr>
          <w:color w:val="231F20"/>
        </w:rPr>
        <w:t>другој</w:t>
      </w:r>
      <w:r>
        <w:rPr>
          <w:color w:val="231F20"/>
          <w:spacing w:val="-6"/>
        </w:rPr>
        <w:t> </w:t>
      </w:r>
      <w:r>
        <w:rPr>
          <w:color w:val="231F20"/>
        </w:rPr>
        <w:t>половини</w:t>
      </w:r>
      <w:r>
        <w:rPr>
          <w:color w:val="231F20"/>
          <w:spacing w:val="-6"/>
        </w:rPr>
        <w:t> </w:t>
      </w:r>
      <w:r>
        <w:rPr>
          <w:color w:val="231F20"/>
        </w:rPr>
        <w:t>2010.</w:t>
      </w:r>
      <w:r>
        <w:rPr>
          <w:color w:val="231F20"/>
          <w:spacing w:val="-6"/>
        </w:rPr>
        <w:t> </w:t>
      </w:r>
      <w:r>
        <w:rPr>
          <w:color w:val="231F20"/>
        </w:rPr>
        <w:t>и</w:t>
      </w:r>
      <w:r>
        <w:rPr>
          <w:color w:val="231F20"/>
          <w:spacing w:val="-6"/>
        </w:rPr>
        <w:t> </w:t>
      </w:r>
      <w:r>
        <w:rPr>
          <w:color w:val="231F20"/>
        </w:rPr>
        <w:t>пр- вој половини 2011. године пуштено је у рад осам оваквих чворова на локацијама: Расадник, Лучички </w:t>
      </w:r>
      <w:r>
        <w:rPr>
          <w:color w:val="231F20"/>
          <w:spacing w:val="-4"/>
        </w:rPr>
        <w:t>пут, </w:t>
      </w:r>
      <w:r>
        <w:rPr>
          <w:color w:val="231F20"/>
        </w:rPr>
        <w:t>Брежански </w:t>
      </w:r>
      <w:r>
        <w:rPr>
          <w:color w:val="231F20"/>
          <w:spacing w:val="-4"/>
        </w:rPr>
        <w:t>пут, </w:t>
      </w:r>
      <w:r>
        <w:rPr>
          <w:color w:val="231F20"/>
        </w:rPr>
        <w:t>Забелски </w:t>
      </w:r>
      <w:r>
        <w:rPr>
          <w:color w:val="231F20"/>
          <w:spacing w:val="-4"/>
        </w:rPr>
        <w:t>пут, </w:t>
      </w:r>
      <w:r>
        <w:rPr>
          <w:color w:val="231F20"/>
        </w:rPr>
        <w:t>Црвени </w:t>
      </w:r>
      <w:r>
        <w:rPr>
          <w:color w:val="231F20"/>
          <w:spacing w:val="-3"/>
        </w:rPr>
        <w:t>крст, </w:t>
      </w:r>
      <w:r>
        <w:rPr>
          <w:color w:val="231F20"/>
          <w:spacing w:val="-4"/>
        </w:rPr>
        <w:t>Сопот, </w:t>
      </w:r>
      <w:r>
        <w:rPr>
          <w:color w:val="231F20"/>
        </w:rPr>
        <w:t>Спортски центар и</w:t>
      </w:r>
      <w:r>
        <w:rPr>
          <w:color w:val="231F20"/>
          <w:spacing w:val="6"/>
        </w:rPr>
        <w:t> </w:t>
      </w:r>
      <w:r>
        <w:rPr>
          <w:color w:val="231F20"/>
        </w:rPr>
        <w:t>Љубичево.</w:t>
      </w:r>
    </w:p>
    <w:p>
      <w:pPr>
        <w:pStyle w:val="BodyText"/>
        <w:spacing w:line="228" w:lineRule="auto" w:before="5"/>
        <w:ind w:left="455" w:right="1" w:firstLine="396"/>
      </w:pPr>
      <w:r>
        <w:rPr>
          <w:color w:val="231F20"/>
        </w:rPr>
        <w:t>Фиксна телекомуникациона инфраструктура на Планском подручју добро је покривена мрежом оптичких каблова (од 14 те- лефонских централа само једна није повезана оптичком каблом). Ту мрежу сачињавају оптички каблови: Смедерево – Пожаревац</w:t>
      </w:r>
    </w:p>
    <w:p>
      <w:pPr>
        <w:pStyle w:val="BodyText"/>
        <w:spacing w:line="197" w:lineRule="exact"/>
        <w:ind w:left="456"/>
        <w:jc w:val="left"/>
      </w:pPr>
      <w:r>
        <w:rPr>
          <w:color w:val="231F20"/>
          <w:w w:val="66"/>
        </w:rPr>
        <w:t> </w:t>
      </w:r>
      <w:r>
        <w:rPr>
          <w:color w:val="231F20"/>
        </w:rPr>
        <w:t>– Жабари – Велика Плана и Пожаревац – Петровац.</w:t>
      </w:r>
    </w:p>
    <w:p>
      <w:pPr>
        <w:pStyle w:val="BodyText"/>
        <w:spacing w:line="228" w:lineRule="auto" w:before="4"/>
        <w:ind w:left="456" w:firstLine="396"/>
      </w:pPr>
      <w:r>
        <w:rPr>
          <w:color w:val="231F20"/>
        </w:rPr>
        <w:t>На ове каблове изграђен је и одређен број привода, који су повезали знатан број телефонских централа на Планском подруч- ју. Поред тога, на овом подручју су изграђени и локални оптички каблови: Пожаревац – Костолац, Пожаревац – Дубравица и Пожа- ревац – Велико Градиште.</w:t>
      </w:r>
    </w:p>
    <w:p>
      <w:pPr>
        <w:pStyle w:val="BodyText"/>
        <w:spacing w:line="198" w:lineRule="exact"/>
        <w:ind w:left="853"/>
        <w:jc w:val="left"/>
      </w:pPr>
      <w:r>
        <w:rPr>
          <w:color w:val="231F20"/>
        </w:rPr>
        <w:t>Ово омогућава брзу и ефикасну модернизацију мреже.</w:t>
      </w:r>
    </w:p>
    <w:p>
      <w:pPr>
        <w:pStyle w:val="BodyText"/>
        <w:spacing w:line="228" w:lineRule="auto" w:before="3"/>
        <w:ind w:left="456" w:firstLine="396"/>
      </w:pPr>
      <w:r>
        <w:rPr>
          <w:color w:val="231F20"/>
          <w:spacing w:val="-4"/>
        </w:rPr>
        <w:t>Основно ограничење </w:t>
      </w:r>
      <w:r>
        <w:rPr>
          <w:color w:val="231F20"/>
          <w:spacing w:val="-3"/>
        </w:rPr>
        <w:t>су </w:t>
      </w:r>
      <w:r>
        <w:rPr>
          <w:color w:val="231F20"/>
          <w:spacing w:val="-4"/>
        </w:rPr>
        <w:t>постојеће дигиталне </w:t>
      </w:r>
      <w:r>
        <w:rPr>
          <w:color w:val="231F20"/>
          <w:spacing w:val="-3"/>
        </w:rPr>
        <w:t>централе </w:t>
      </w:r>
      <w:r>
        <w:rPr>
          <w:color w:val="231F20"/>
          <w:spacing w:val="-4"/>
        </w:rPr>
        <w:t>старије генерације, </w:t>
      </w:r>
      <w:r>
        <w:rPr>
          <w:color w:val="231F20"/>
          <w:spacing w:val="-6"/>
        </w:rPr>
        <w:t>које </w:t>
      </w:r>
      <w:r>
        <w:rPr>
          <w:color w:val="231F20"/>
        </w:rPr>
        <w:t>не </w:t>
      </w:r>
      <w:r>
        <w:rPr>
          <w:color w:val="231F20"/>
          <w:spacing w:val="-5"/>
        </w:rPr>
        <w:t>омогућавају </w:t>
      </w:r>
      <w:r>
        <w:rPr>
          <w:color w:val="231F20"/>
          <w:spacing w:val="-4"/>
        </w:rPr>
        <w:t>савремене </w:t>
      </w:r>
      <w:r>
        <w:rPr>
          <w:color w:val="231F20"/>
          <w:spacing w:val="-3"/>
        </w:rPr>
        <w:t>ISDN </w:t>
      </w:r>
      <w:r>
        <w:rPr>
          <w:color w:val="231F20"/>
          <w:spacing w:val="-4"/>
        </w:rPr>
        <w:t>услуге. </w:t>
      </w:r>
      <w:r>
        <w:rPr>
          <w:color w:val="231F20"/>
          <w:spacing w:val="-3"/>
        </w:rPr>
        <w:t>Оне </w:t>
      </w:r>
      <w:r>
        <w:rPr>
          <w:color w:val="231F20"/>
          <w:spacing w:val="-4"/>
        </w:rPr>
        <w:t>опслу- </w:t>
      </w:r>
      <w:r>
        <w:rPr>
          <w:color w:val="231F20"/>
          <w:spacing w:val="-3"/>
        </w:rPr>
        <w:t>жују </w:t>
      </w:r>
      <w:r>
        <w:rPr>
          <w:color w:val="231F20"/>
          <w:spacing w:val="-6"/>
        </w:rPr>
        <w:t>око </w:t>
      </w:r>
      <w:r>
        <w:rPr>
          <w:color w:val="231F20"/>
          <w:spacing w:val="-4"/>
        </w:rPr>
        <w:t>8.000 телефонских </w:t>
      </w:r>
      <w:r>
        <w:rPr>
          <w:color w:val="231F20"/>
          <w:spacing w:val="-5"/>
        </w:rPr>
        <w:t>претплатника, од којих </w:t>
      </w:r>
      <w:r>
        <w:rPr>
          <w:color w:val="231F20"/>
          <w:spacing w:val="-4"/>
        </w:rPr>
        <w:t>већина </w:t>
      </w:r>
      <w:r>
        <w:rPr>
          <w:color w:val="231F20"/>
        </w:rPr>
        <w:t>не </w:t>
      </w:r>
      <w:r>
        <w:rPr>
          <w:color w:val="231F20"/>
          <w:spacing w:val="-5"/>
        </w:rPr>
        <w:t>захтева </w:t>
      </w:r>
      <w:r>
        <w:rPr>
          <w:color w:val="231F20"/>
          <w:spacing w:val="-4"/>
        </w:rPr>
        <w:t>нове услуге, </w:t>
      </w:r>
      <w:r>
        <w:rPr>
          <w:color w:val="231F20"/>
          <w:spacing w:val="-2"/>
        </w:rPr>
        <w:t>али </w:t>
      </w:r>
      <w:r>
        <w:rPr>
          <w:color w:val="231F20"/>
          <w:spacing w:val="-3"/>
        </w:rPr>
        <w:t>они </w:t>
      </w:r>
      <w:r>
        <w:rPr>
          <w:color w:val="231F20"/>
          <w:spacing w:val="-6"/>
        </w:rPr>
        <w:t>који </w:t>
      </w:r>
      <w:r>
        <w:rPr>
          <w:color w:val="231F20"/>
          <w:spacing w:val="-5"/>
        </w:rPr>
        <w:t>захтевају </w:t>
      </w:r>
      <w:r>
        <w:rPr>
          <w:color w:val="231F20"/>
        </w:rPr>
        <w:t>не </w:t>
      </w:r>
      <w:r>
        <w:rPr>
          <w:color w:val="231F20"/>
          <w:spacing w:val="-3"/>
        </w:rPr>
        <w:t>могу </w:t>
      </w:r>
      <w:r>
        <w:rPr>
          <w:color w:val="231F20"/>
        </w:rPr>
        <w:t>их </w:t>
      </w:r>
      <w:r>
        <w:rPr>
          <w:color w:val="231F20"/>
          <w:spacing w:val="-4"/>
        </w:rPr>
        <w:t>добити </w:t>
      </w:r>
      <w:r>
        <w:rPr>
          <w:color w:val="231F20"/>
          <w:spacing w:val="-7"/>
        </w:rPr>
        <w:t>уколико </w:t>
      </w:r>
      <w:r>
        <w:rPr>
          <w:color w:val="231F20"/>
        </w:rPr>
        <w:t>се те </w:t>
      </w:r>
      <w:r>
        <w:rPr>
          <w:color w:val="231F20"/>
          <w:spacing w:val="-3"/>
        </w:rPr>
        <w:t>централе</w:t>
      </w:r>
      <w:r>
        <w:rPr>
          <w:color w:val="231F20"/>
          <w:spacing w:val="-10"/>
        </w:rPr>
        <w:t> </w:t>
      </w:r>
      <w:r>
        <w:rPr>
          <w:color w:val="231F20"/>
        </w:rPr>
        <w:t>не</w:t>
      </w:r>
      <w:r>
        <w:rPr>
          <w:color w:val="231F20"/>
          <w:spacing w:val="-10"/>
        </w:rPr>
        <w:t> </w:t>
      </w:r>
      <w:r>
        <w:rPr>
          <w:color w:val="231F20"/>
          <w:spacing w:val="-4"/>
        </w:rPr>
        <w:t>замене</w:t>
      </w:r>
      <w:r>
        <w:rPr>
          <w:color w:val="231F20"/>
          <w:spacing w:val="-10"/>
        </w:rPr>
        <w:t> </w:t>
      </w:r>
      <w:r>
        <w:rPr>
          <w:color w:val="231F20"/>
          <w:spacing w:val="-3"/>
        </w:rPr>
        <w:t>или</w:t>
      </w:r>
      <w:r>
        <w:rPr>
          <w:color w:val="231F20"/>
          <w:spacing w:val="-10"/>
        </w:rPr>
        <w:t> </w:t>
      </w:r>
      <w:r>
        <w:rPr>
          <w:color w:val="231F20"/>
          <w:spacing w:val="-4"/>
        </w:rPr>
        <w:t>паралелно</w:t>
      </w:r>
      <w:r>
        <w:rPr>
          <w:color w:val="231F20"/>
          <w:spacing w:val="-10"/>
        </w:rPr>
        <w:t> </w:t>
      </w:r>
      <w:r>
        <w:rPr>
          <w:color w:val="231F20"/>
          <w:spacing w:val="-4"/>
        </w:rPr>
        <w:t>уведу</w:t>
      </w:r>
      <w:r>
        <w:rPr>
          <w:color w:val="231F20"/>
          <w:spacing w:val="-10"/>
        </w:rPr>
        <w:t> </w:t>
      </w:r>
      <w:r>
        <w:rPr>
          <w:color w:val="231F20"/>
          <w:spacing w:val="-3"/>
        </w:rPr>
        <w:t>MSAN</w:t>
      </w:r>
      <w:r>
        <w:rPr>
          <w:color w:val="231F20"/>
          <w:spacing w:val="-10"/>
        </w:rPr>
        <w:t> </w:t>
      </w:r>
      <w:r>
        <w:rPr>
          <w:color w:val="231F20"/>
          <w:spacing w:val="-4"/>
        </w:rPr>
        <w:t>уређаји</w:t>
      </w:r>
      <w:r>
        <w:rPr>
          <w:color w:val="231F20"/>
          <w:spacing w:val="-10"/>
        </w:rPr>
        <w:t> </w:t>
      </w:r>
      <w:r>
        <w:rPr>
          <w:color w:val="231F20"/>
          <w:spacing w:val="-4"/>
        </w:rPr>
        <w:t>што,</w:t>
      </w:r>
      <w:r>
        <w:rPr>
          <w:color w:val="231F20"/>
          <w:spacing w:val="-10"/>
        </w:rPr>
        <w:t> </w:t>
      </w:r>
      <w:r>
        <w:rPr>
          <w:color w:val="231F20"/>
        </w:rPr>
        <w:t>у</w:t>
      </w:r>
      <w:r>
        <w:rPr>
          <w:color w:val="231F20"/>
          <w:spacing w:val="-10"/>
        </w:rPr>
        <w:t> </w:t>
      </w:r>
      <w:r>
        <w:rPr>
          <w:color w:val="231F20"/>
          <w:spacing w:val="-4"/>
        </w:rPr>
        <w:t>неким случајевима, </w:t>
      </w:r>
      <w:r>
        <w:rPr>
          <w:color w:val="231F20"/>
          <w:spacing w:val="-3"/>
        </w:rPr>
        <w:t>није </w:t>
      </w:r>
      <w:r>
        <w:rPr>
          <w:color w:val="231F20"/>
          <w:spacing w:val="-4"/>
        </w:rPr>
        <w:t>могуће. Ова замена </w:t>
      </w:r>
      <w:r>
        <w:rPr>
          <w:color w:val="231F20"/>
          <w:spacing w:val="-5"/>
        </w:rPr>
        <w:t>захтева значајна</w:t>
      </w:r>
      <w:r>
        <w:rPr>
          <w:color w:val="231F20"/>
          <w:spacing w:val="-23"/>
        </w:rPr>
        <w:t> </w:t>
      </w:r>
      <w:r>
        <w:rPr>
          <w:color w:val="231F20"/>
          <w:spacing w:val="-5"/>
        </w:rPr>
        <w:t>улагања.</w:t>
      </w:r>
    </w:p>
    <w:p>
      <w:pPr>
        <w:pStyle w:val="BodyText"/>
        <w:spacing w:line="228" w:lineRule="auto" w:before="5"/>
        <w:ind w:left="457" w:firstLine="397"/>
      </w:pPr>
      <w:r>
        <w:rPr>
          <w:color w:val="231F20"/>
        </w:rPr>
        <w:t>Мобилна телефонија се интензивно развија. Завршетком но- вих базних станица добиће се квалитетно покривање Планског подручја основним телефонским сигналом, као могућност кори- шћења савремених услуга преко GSM мреже.</w:t>
      </w:r>
    </w:p>
    <w:p>
      <w:pPr>
        <w:pStyle w:val="BodyText"/>
        <w:spacing w:line="228" w:lineRule="auto" w:before="3"/>
        <w:ind w:left="457" w:firstLine="396"/>
      </w:pPr>
      <w:r>
        <w:rPr>
          <w:color w:val="231F20"/>
        </w:rPr>
        <w:t>Покривање радио-дифузним сигналом је добро. У овој обла- сти предстоји дигитализација постојеће мреже, што ће омогућити знатно квалитетнији пријем свих врста радиодифузије.</w:t>
      </w:r>
    </w:p>
    <w:p>
      <w:pPr>
        <w:pStyle w:val="BodyText"/>
        <w:spacing w:line="250" w:lineRule="atLeast" w:before="124"/>
        <w:ind w:left="854" w:hanging="105"/>
        <w:jc w:val="left"/>
      </w:pPr>
      <w:r>
        <w:rPr>
          <w:color w:val="231F20"/>
        </w:rPr>
        <w:t>Систем веза и телекомуникација у зони ТЕ-КО „Костолац” </w:t>
      </w:r>
      <w:r>
        <w:rPr>
          <w:color w:val="231F20"/>
          <w:spacing w:val="-3"/>
        </w:rPr>
        <w:t>Када </w:t>
      </w:r>
      <w:r>
        <w:rPr>
          <w:color w:val="231F20"/>
        </w:rPr>
        <w:t>је </w:t>
      </w:r>
      <w:r>
        <w:rPr>
          <w:color w:val="231F20"/>
          <w:spacing w:val="-3"/>
        </w:rPr>
        <w:t>реч </w:t>
      </w:r>
      <w:r>
        <w:rPr>
          <w:color w:val="231F20"/>
        </w:rPr>
        <w:t>о систему веза и </w:t>
      </w:r>
      <w:r>
        <w:rPr>
          <w:color w:val="231F20"/>
          <w:spacing w:val="-3"/>
        </w:rPr>
        <w:t>телекомуникација </w:t>
      </w:r>
      <w:r>
        <w:rPr>
          <w:color w:val="231F20"/>
        </w:rPr>
        <w:t>у зони </w:t>
      </w:r>
      <w:r>
        <w:rPr>
          <w:color w:val="231F20"/>
          <w:spacing w:val="-3"/>
        </w:rPr>
        <w:t>ТЕ-КО,</w:t>
      </w:r>
    </w:p>
    <w:p>
      <w:pPr>
        <w:pStyle w:val="BodyText"/>
        <w:spacing w:line="202" w:lineRule="exact"/>
        <w:ind w:left="457"/>
        <w:jc w:val="left"/>
      </w:pPr>
      <w:r>
        <w:rPr>
          <w:color w:val="231F20"/>
        </w:rPr>
        <w:t>треба</w:t>
      </w:r>
      <w:r>
        <w:rPr>
          <w:color w:val="231F20"/>
          <w:spacing w:val="-11"/>
        </w:rPr>
        <w:t> </w:t>
      </w:r>
      <w:r>
        <w:rPr>
          <w:color w:val="231F20"/>
          <w:spacing w:val="-3"/>
        </w:rPr>
        <w:t>напоменути</w:t>
      </w:r>
      <w:r>
        <w:rPr>
          <w:color w:val="231F20"/>
          <w:spacing w:val="-11"/>
        </w:rPr>
        <w:t> </w:t>
      </w:r>
      <w:r>
        <w:rPr>
          <w:color w:val="231F20"/>
        </w:rPr>
        <w:t>да</w:t>
      </w:r>
      <w:r>
        <w:rPr>
          <w:color w:val="231F20"/>
          <w:spacing w:val="-11"/>
        </w:rPr>
        <w:t> </w:t>
      </w:r>
      <w:r>
        <w:rPr>
          <w:color w:val="231F20"/>
          <w:spacing w:val="-3"/>
        </w:rPr>
        <w:t>овај</w:t>
      </w:r>
      <w:r>
        <w:rPr>
          <w:color w:val="231F20"/>
          <w:spacing w:val="-11"/>
        </w:rPr>
        <w:t> </w:t>
      </w:r>
      <w:r>
        <w:rPr>
          <w:color w:val="231F20"/>
        </w:rPr>
        <w:t>систем</w:t>
      </w:r>
      <w:r>
        <w:rPr>
          <w:color w:val="231F20"/>
          <w:spacing w:val="-11"/>
        </w:rPr>
        <w:t> </w:t>
      </w:r>
      <w:r>
        <w:rPr>
          <w:color w:val="231F20"/>
          <w:spacing w:val="-2"/>
        </w:rPr>
        <w:t>има</w:t>
      </w:r>
      <w:r>
        <w:rPr>
          <w:color w:val="231F20"/>
          <w:spacing w:val="-11"/>
        </w:rPr>
        <w:t> </w:t>
      </w:r>
      <w:r>
        <w:rPr>
          <w:color w:val="231F20"/>
          <w:spacing w:val="-3"/>
        </w:rPr>
        <w:t>два</w:t>
      </w:r>
      <w:r>
        <w:rPr>
          <w:color w:val="231F20"/>
          <w:spacing w:val="-11"/>
        </w:rPr>
        <w:t> </w:t>
      </w:r>
      <w:r>
        <w:rPr>
          <w:color w:val="231F20"/>
        </w:rPr>
        <w:t>битно</w:t>
      </w:r>
      <w:r>
        <w:rPr>
          <w:color w:val="231F20"/>
          <w:spacing w:val="-11"/>
        </w:rPr>
        <w:t> </w:t>
      </w:r>
      <w:r>
        <w:rPr>
          <w:color w:val="231F20"/>
        </w:rPr>
        <w:t>различита</w:t>
      </w:r>
      <w:r>
        <w:rPr>
          <w:color w:val="231F20"/>
          <w:spacing w:val="-11"/>
        </w:rPr>
        <w:t> </w:t>
      </w:r>
      <w:r>
        <w:rPr>
          <w:color w:val="231F20"/>
        </w:rPr>
        <w:t>дела</w:t>
      </w:r>
      <w:r>
        <w:rPr>
          <w:color w:val="231F20"/>
          <w:spacing w:val="-11"/>
        </w:rPr>
        <w:t> </w:t>
      </w:r>
      <w:r>
        <w:rPr>
          <w:color w:val="231F20"/>
        </w:rPr>
        <w:t>и</w:t>
      </w:r>
      <w:r>
        <w:rPr>
          <w:color w:val="231F20"/>
          <w:spacing w:val="-11"/>
        </w:rPr>
        <w:t> </w:t>
      </w:r>
      <w:r>
        <w:rPr>
          <w:color w:val="231F20"/>
          <w:spacing w:val="-3"/>
        </w:rPr>
        <w:t>то:</w:t>
      </w:r>
    </w:p>
    <w:p>
      <w:pPr>
        <w:pStyle w:val="ListParagraph"/>
        <w:numPr>
          <w:ilvl w:val="0"/>
          <w:numId w:val="18"/>
        </w:numPr>
        <w:tabs>
          <w:tab w:pos="1064" w:val="left" w:leader="none"/>
        </w:tabs>
        <w:spacing w:line="230" w:lineRule="auto" w:before="3" w:after="0"/>
        <w:ind w:left="457" w:right="0" w:firstLine="397"/>
        <w:jc w:val="both"/>
        <w:rPr>
          <w:sz w:val="18"/>
        </w:rPr>
      </w:pPr>
      <w:r>
        <w:rPr>
          <w:color w:val="231F20"/>
          <w:sz w:val="18"/>
        </w:rPr>
        <w:t>систем веза за потребе даљинског надзора и управљања Електроенергетског система (Технички систем веза)</w:t>
      </w:r>
      <w:r>
        <w:rPr>
          <w:color w:val="231F20"/>
          <w:spacing w:val="-8"/>
          <w:sz w:val="18"/>
        </w:rPr>
        <w:t> </w:t>
      </w:r>
      <w:r>
        <w:rPr>
          <w:color w:val="231F20"/>
          <w:sz w:val="18"/>
        </w:rPr>
        <w:t>и</w:t>
      </w:r>
    </w:p>
    <w:p>
      <w:pPr>
        <w:pStyle w:val="ListParagraph"/>
        <w:numPr>
          <w:ilvl w:val="0"/>
          <w:numId w:val="18"/>
        </w:numPr>
        <w:tabs>
          <w:tab w:pos="1052" w:val="left" w:leader="none"/>
        </w:tabs>
        <w:spacing w:line="232" w:lineRule="auto" w:before="1" w:after="0"/>
        <w:ind w:left="457" w:right="0" w:firstLine="397"/>
        <w:jc w:val="both"/>
        <w:rPr>
          <w:sz w:val="18"/>
        </w:rPr>
      </w:pPr>
      <w:r>
        <w:rPr>
          <w:color w:val="231F20"/>
          <w:sz w:val="18"/>
        </w:rPr>
        <w:t>систем веза за потребе индустријских објеката и процеса производње унутар ТЕ-КО (Пословни</w:t>
      </w:r>
      <w:r>
        <w:rPr>
          <w:color w:val="231F20"/>
          <w:spacing w:val="-5"/>
          <w:sz w:val="18"/>
        </w:rPr>
        <w:t> </w:t>
      </w:r>
      <w:r>
        <w:rPr>
          <w:color w:val="231F20"/>
          <w:sz w:val="18"/>
        </w:rPr>
        <w:t>систем).</w:t>
      </w:r>
    </w:p>
    <w:p>
      <w:pPr>
        <w:pStyle w:val="BodyText"/>
        <w:spacing w:before="72"/>
        <w:ind w:left="1930" w:right="1815"/>
        <w:jc w:val="center"/>
      </w:pPr>
      <w:r>
        <w:rPr/>
        <w:br w:type="column"/>
      </w:r>
      <w:r>
        <w:rPr>
          <w:color w:val="231F20"/>
        </w:rPr>
        <w:t>Технички систем веза</w:t>
      </w:r>
    </w:p>
    <w:p>
      <w:pPr>
        <w:pStyle w:val="BodyText"/>
        <w:spacing w:before="4"/>
        <w:ind w:left="0"/>
        <w:jc w:val="left"/>
        <w:rPr>
          <w:sz w:val="17"/>
        </w:rPr>
      </w:pPr>
    </w:p>
    <w:p>
      <w:pPr>
        <w:pStyle w:val="BodyText"/>
        <w:spacing w:line="232" w:lineRule="auto"/>
        <w:ind w:left="242" w:right="124" w:firstLine="397"/>
      </w:pPr>
      <w:r>
        <w:rPr>
          <w:color w:val="231F20"/>
        </w:rPr>
        <w:t>Технички систем веза Електропривреде представља скуп средстава телекомуникација и информационих технологија </w:t>
      </w:r>
      <w:r>
        <w:rPr>
          <w:color w:val="231F20"/>
          <w:spacing w:val="-3"/>
        </w:rPr>
        <w:t>која </w:t>
      </w:r>
      <w:r>
        <w:rPr>
          <w:color w:val="231F20"/>
        </w:rPr>
        <w:t>обезбеђују систем даљинског надзора и управљања електроенер- гетског система. Овај систем планира и гради ЈП „Електропривре- да Србије” (у даљем тексту: „ЕПС”). Он повезује све значајније производне погоне и разводна постројења (РП) у систему Дис- печерског центра (ДЦ) „ЕПС”-а у </w:t>
      </w:r>
      <w:r>
        <w:rPr>
          <w:color w:val="231F20"/>
          <w:spacing w:val="-3"/>
        </w:rPr>
        <w:t>Београду, </w:t>
      </w:r>
      <w:r>
        <w:rPr>
          <w:color w:val="231F20"/>
        </w:rPr>
        <w:t>директно или </w:t>
      </w:r>
      <w:r>
        <w:rPr>
          <w:color w:val="231F20"/>
          <w:spacing w:val="-3"/>
        </w:rPr>
        <w:t>преко </w:t>
      </w:r>
      <w:r>
        <w:rPr>
          <w:color w:val="231F20"/>
        </w:rPr>
        <w:t>подручних подцентара. Раније примењивани системи ВФ веза по далеководима, аналогних РР веза, симетричних каблова и слично, замењује се савременијим дигиталним средствима као што су: оп- тички</w:t>
      </w:r>
      <w:r>
        <w:rPr>
          <w:color w:val="231F20"/>
          <w:spacing w:val="-8"/>
        </w:rPr>
        <w:t> </w:t>
      </w:r>
      <w:r>
        <w:rPr>
          <w:color w:val="231F20"/>
        </w:rPr>
        <w:t>каблови</w:t>
      </w:r>
      <w:r>
        <w:rPr>
          <w:color w:val="231F20"/>
          <w:spacing w:val="-8"/>
        </w:rPr>
        <w:t> </w:t>
      </w:r>
      <w:r>
        <w:rPr>
          <w:color w:val="231F20"/>
        </w:rPr>
        <w:t>у</w:t>
      </w:r>
      <w:r>
        <w:rPr>
          <w:color w:val="231F20"/>
          <w:spacing w:val="-8"/>
        </w:rPr>
        <w:t> </w:t>
      </w:r>
      <w:r>
        <w:rPr>
          <w:color w:val="231F20"/>
        </w:rPr>
        <w:t>земљоводном</w:t>
      </w:r>
      <w:r>
        <w:rPr>
          <w:color w:val="231F20"/>
          <w:spacing w:val="-8"/>
        </w:rPr>
        <w:t> </w:t>
      </w:r>
      <w:r>
        <w:rPr>
          <w:color w:val="231F20"/>
        </w:rPr>
        <w:t>ужету</w:t>
      </w:r>
      <w:r>
        <w:rPr>
          <w:color w:val="231F20"/>
          <w:spacing w:val="-8"/>
        </w:rPr>
        <w:t> </w:t>
      </w:r>
      <w:r>
        <w:rPr>
          <w:color w:val="231F20"/>
        </w:rPr>
        <w:t>са</w:t>
      </w:r>
      <w:r>
        <w:rPr>
          <w:color w:val="231F20"/>
          <w:spacing w:val="-8"/>
        </w:rPr>
        <w:t> </w:t>
      </w:r>
      <w:r>
        <w:rPr>
          <w:color w:val="231F20"/>
        </w:rPr>
        <w:t>одговарајућим</w:t>
      </w:r>
      <w:r>
        <w:rPr>
          <w:color w:val="231F20"/>
          <w:spacing w:val="-8"/>
        </w:rPr>
        <w:t> </w:t>
      </w:r>
      <w:r>
        <w:rPr>
          <w:color w:val="231F20"/>
        </w:rPr>
        <w:t>системима, дигиталне РР везе и</w:t>
      </w:r>
      <w:r>
        <w:rPr>
          <w:color w:val="231F20"/>
          <w:spacing w:val="-5"/>
        </w:rPr>
        <w:t> </w:t>
      </w:r>
      <w:r>
        <w:rPr>
          <w:color w:val="231F20"/>
        </w:rPr>
        <w:t>слично.</w:t>
      </w:r>
    </w:p>
    <w:p>
      <w:pPr>
        <w:pStyle w:val="BodyText"/>
        <w:spacing w:line="232" w:lineRule="auto"/>
        <w:ind w:left="242" w:right="125" w:firstLine="397"/>
      </w:pPr>
      <w:r>
        <w:rPr>
          <w:color w:val="231F20"/>
        </w:rPr>
        <w:t>Крајем 1990-тих </w:t>
      </w:r>
      <w:r>
        <w:rPr>
          <w:color w:val="231F20"/>
          <w:spacing w:val="-3"/>
        </w:rPr>
        <w:t>година </w:t>
      </w:r>
      <w:r>
        <w:rPr>
          <w:color w:val="231F20"/>
        </w:rPr>
        <w:t>у „ЕПС”-у је урађен опсежан</w:t>
      </w:r>
      <w:r>
        <w:rPr>
          <w:color w:val="231F20"/>
          <w:spacing w:val="-22"/>
        </w:rPr>
        <w:t> </w:t>
      </w:r>
      <w:r>
        <w:rPr>
          <w:color w:val="231F20"/>
        </w:rPr>
        <w:t>пројект реализације тих веза за систем електропривреде у целини. При- марна мрежа далековода (ниво 400, 220 и </w:t>
      </w:r>
      <w:r>
        <w:rPr>
          <w:color w:val="231F20"/>
          <w:spacing w:val="-3"/>
        </w:rPr>
        <w:t>110 </w:t>
      </w:r>
      <w:r>
        <w:rPr>
          <w:color w:val="231F20"/>
        </w:rPr>
        <w:t>kV) опремљена је наjсавременијим средством телекомуникација, оптичким каблом. Оптичка</w:t>
      </w:r>
      <w:r>
        <w:rPr>
          <w:color w:val="231F20"/>
          <w:spacing w:val="-6"/>
        </w:rPr>
        <w:t> </w:t>
      </w:r>
      <w:r>
        <w:rPr>
          <w:color w:val="231F20"/>
        </w:rPr>
        <w:t>влакна</w:t>
      </w:r>
      <w:r>
        <w:rPr>
          <w:color w:val="231F20"/>
          <w:spacing w:val="-7"/>
        </w:rPr>
        <w:t> </w:t>
      </w:r>
      <w:r>
        <w:rPr>
          <w:color w:val="231F20"/>
        </w:rPr>
        <w:t>се</w:t>
      </w:r>
      <w:r>
        <w:rPr>
          <w:color w:val="231F20"/>
          <w:spacing w:val="-6"/>
        </w:rPr>
        <w:t> </w:t>
      </w:r>
      <w:r>
        <w:rPr>
          <w:color w:val="231F20"/>
        </w:rPr>
        <w:t>постављају</w:t>
      </w:r>
      <w:r>
        <w:rPr>
          <w:color w:val="231F20"/>
          <w:spacing w:val="-6"/>
        </w:rPr>
        <w:t> </w:t>
      </w:r>
      <w:r>
        <w:rPr>
          <w:color w:val="231F20"/>
        </w:rPr>
        <w:t>у</w:t>
      </w:r>
      <w:r>
        <w:rPr>
          <w:color w:val="231F20"/>
          <w:spacing w:val="-6"/>
        </w:rPr>
        <w:t> </w:t>
      </w:r>
      <w:r>
        <w:rPr>
          <w:color w:val="231F20"/>
        </w:rPr>
        <w:t>земљоводном</w:t>
      </w:r>
      <w:r>
        <w:rPr>
          <w:color w:val="231F20"/>
          <w:spacing w:val="-6"/>
        </w:rPr>
        <w:t> </w:t>
      </w:r>
      <w:r>
        <w:rPr>
          <w:color w:val="231F20"/>
        </w:rPr>
        <w:t>ужету</w:t>
      </w:r>
      <w:r>
        <w:rPr>
          <w:color w:val="231F20"/>
          <w:spacing w:val="-6"/>
        </w:rPr>
        <w:t> </w:t>
      </w:r>
      <w:r>
        <w:rPr>
          <w:color w:val="231F20"/>
        </w:rPr>
        <w:t>далековода.</w:t>
      </w:r>
    </w:p>
    <w:p>
      <w:pPr>
        <w:pStyle w:val="BodyText"/>
        <w:spacing w:line="232" w:lineRule="auto"/>
        <w:ind w:left="242" w:right="125" w:firstLine="396"/>
      </w:pPr>
      <w:r>
        <w:rPr>
          <w:color w:val="231F20"/>
        </w:rPr>
        <w:t>Према том пројекту „ЕПС”-а извршено je повезивање свих примарних објеката Костолачког басена у Технички систем веза</w:t>
      </w:r>
    </w:p>
    <w:p>
      <w:pPr>
        <w:pStyle w:val="BodyText"/>
        <w:spacing w:line="232" w:lineRule="auto"/>
        <w:ind w:left="242" w:right="19"/>
        <w:jc w:val="left"/>
      </w:pPr>
      <w:r>
        <w:rPr>
          <w:color w:val="231F20"/>
        </w:rPr>
        <w:t>„ЕПС”-а савременим и дугорочним средствима веза и то: „Дрм- но”, ТЕ „Костолац A”, ТЕ „Костолац Б” и ТС Пожаревац.</w:t>
      </w:r>
    </w:p>
    <w:p>
      <w:pPr>
        <w:pStyle w:val="BodyText"/>
        <w:spacing w:line="232" w:lineRule="auto"/>
        <w:ind w:left="242" w:right="125" w:firstLine="396"/>
      </w:pPr>
      <w:r>
        <w:rPr>
          <w:color w:val="231F20"/>
        </w:rPr>
        <w:t>Овим је омогућено да се сви објекти Костолачког басена укључе у технички систем веза.</w:t>
      </w:r>
    </w:p>
    <w:p>
      <w:pPr>
        <w:pStyle w:val="BodyText"/>
        <w:spacing w:line="232" w:lineRule="auto"/>
        <w:ind w:left="241" w:right="126" w:firstLine="397"/>
      </w:pPr>
      <w:r>
        <w:rPr>
          <w:color w:val="231F20"/>
        </w:rPr>
        <w:t>Првом фазом реализације техничког система веза инсталира- ни су СДХ системи преноса са којима је извршено:</w:t>
      </w:r>
    </w:p>
    <w:p>
      <w:pPr>
        <w:pStyle w:val="BodyText"/>
        <w:spacing w:line="232" w:lineRule="auto"/>
        <w:ind w:left="241" w:right="125" w:firstLine="396"/>
      </w:pPr>
      <w:r>
        <w:rPr>
          <w:color w:val="231F20"/>
          <w:w w:val="66"/>
        </w:rPr>
        <w:t> </w:t>
      </w:r>
      <w:r>
        <w:rPr>
          <w:color w:val="231F20"/>
        </w:rPr>
        <w:t>– повезивање РП Дрмно (као подцентар басена у </w:t>
      </w:r>
      <w:r>
        <w:rPr>
          <w:color w:val="231F20"/>
          <w:spacing w:val="-3"/>
        </w:rPr>
        <w:t>техничком </w:t>
      </w:r>
      <w:r>
        <w:rPr>
          <w:color w:val="231F20"/>
        </w:rPr>
        <w:t>систему) сa ТС 400 kV Београд 8, а </w:t>
      </w:r>
      <w:r>
        <w:rPr>
          <w:color w:val="231F20"/>
          <w:spacing w:val="-3"/>
        </w:rPr>
        <w:t>преко  </w:t>
      </w:r>
      <w:r>
        <w:rPr>
          <w:color w:val="231F20"/>
        </w:rPr>
        <w:t>њега са ДЦ „ЕПС”-а     у Београду са оптичким </w:t>
      </w:r>
      <w:r>
        <w:rPr>
          <w:color w:val="231F20"/>
          <w:spacing w:val="-3"/>
        </w:rPr>
        <w:t>каблом </w:t>
      </w:r>
      <w:r>
        <w:rPr>
          <w:color w:val="231F20"/>
        </w:rPr>
        <w:t>и одговарајућим </w:t>
      </w:r>
      <w:r>
        <w:rPr>
          <w:color w:val="231F20"/>
          <w:spacing w:val="-4"/>
        </w:rPr>
        <w:t>СДХ  </w:t>
      </w:r>
      <w:r>
        <w:rPr>
          <w:color w:val="231F20"/>
        </w:rPr>
        <w:t>системом  у прстенастој конфигурацији Београд 8 – ТЕ „Костолац Б” – ХЕ Ђердап – ТС Бор и даље </w:t>
      </w:r>
      <w:r>
        <w:rPr>
          <w:color w:val="231F20"/>
          <w:spacing w:val="-3"/>
        </w:rPr>
        <w:t>преко </w:t>
      </w:r>
      <w:r>
        <w:rPr>
          <w:color w:val="231F20"/>
        </w:rPr>
        <w:t>ЕЕ објеката у Србији према Бео- граду</w:t>
      </w:r>
      <w:r>
        <w:rPr>
          <w:color w:val="231F20"/>
          <w:spacing w:val="-1"/>
        </w:rPr>
        <w:t> </w:t>
      </w:r>
      <w:r>
        <w:rPr>
          <w:color w:val="231F20"/>
        </w:rPr>
        <w:t>и</w:t>
      </w:r>
    </w:p>
    <w:p>
      <w:pPr>
        <w:pStyle w:val="BodyText"/>
        <w:spacing w:line="232" w:lineRule="auto"/>
        <w:ind w:left="241" w:right="126" w:firstLine="397"/>
      </w:pPr>
      <w:r>
        <w:rPr>
          <w:color w:val="231F20"/>
          <w:w w:val="66"/>
        </w:rPr>
        <w:t> </w:t>
      </w:r>
      <w:r>
        <w:rPr>
          <w:color w:val="231F20"/>
        </w:rPr>
        <w:t>– повезивање ТЕ „Костолац А” у систем веза „ЕПС”-а, тако- ђе оптичким каблом у земљоводном ужету и одговарајућим СДХ системом преноса у прстенастој структури Београд 8 – ТС Смеде- рево 3 – ТЕ „Костолац А” – РП Дрмно и даље, преко овог подцен- тра према Београду.</w:t>
      </w:r>
    </w:p>
    <w:p>
      <w:pPr>
        <w:pStyle w:val="BodyText"/>
        <w:spacing w:line="232" w:lineRule="auto"/>
        <w:ind w:left="242" w:right="125" w:firstLine="396"/>
      </w:pPr>
      <w:r>
        <w:rPr>
          <w:color w:val="231F20"/>
        </w:rPr>
        <w:t>Реализацијом техничког система постиже се веома добро и дугорочно повезивање </w:t>
      </w:r>
      <w:r>
        <w:rPr>
          <w:color w:val="231F20"/>
          <w:spacing w:val="-3"/>
        </w:rPr>
        <w:t>Костолачког </w:t>
      </w:r>
      <w:r>
        <w:rPr>
          <w:color w:val="231F20"/>
        </w:rPr>
        <w:t>басена са системом „ЕПС”-а у целини, као и модернизација веза унутар самог басена.</w:t>
      </w:r>
    </w:p>
    <w:p>
      <w:pPr>
        <w:pStyle w:val="BodyText"/>
        <w:spacing w:before="162"/>
        <w:ind w:left="1930" w:right="1816"/>
        <w:jc w:val="center"/>
      </w:pPr>
      <w:r>
        <w:rPr>
          <w:color w:val="231F20"/>
        </w:rPr>
        <w:t>Пословни систем веза</w:t>
      </w:r>
    </w:p>
    <w:p>
      <w:pPr>
        <w:pStyle w:val="BodyText"/>
        <w:spacing w:before="4"/>
        <w:ind w:left="0"/>
        <w:jc w:val="left"/>
        <w:rPr>
          <w:sz w:val="17"/>
        </w:rPr>
      </w:pPr>
    </w:p>
    <w:p>
      <w:pPr>
        <w:pStyle w:val="BodyText"/>
        <w:spacing w:line="232" w:lineRule="auto"/>
        <w:ind w:left="242" w:right="125" w:firstLine="396"/>
      </w:pPr>
      <w:r>
        <w:rPr>
          <w:color w:val="231F20"/>
        </w:rPr>
        <w:t>Пословни систем веза у оквиру Костолачког басена предста- вља скуп телекомуникационих средстава која омогућавају брзу и добру комуникацију између свих објеката Басена.</w:t>
      </w:r>
    </w:p>
    <w:p>
      <w:pPr>
        <w:pStyle w:val="BodyText"/>
        <w:spacing w:line="232" w:lineRule="auto"/>
        <w:ind w:left="242" w:right="125" w:firstLine="397"/>
      </w:pPr>
      <w:r>
        <w:rPr>
          <w:color w:val="231F20"/>
        </w:rPr>
        <w:t>Досадашњи систем пословних веза </w:t>
      </w:r>
      <w:r>
        <w:rPr>
          <w:color w:val="231F20"/>
          <w:spacing w:val="-3"/>
        </w:rPr>
        <w:t>углавном </w:t>
      </w:r>
      <w:r>
        <w:rPr>
          <w:color w:val="231F20"/>
        </w:rPr>
        <w:t>је био заснован на систему кућних </w:t>
      </w:r>
      <w:r>
        <w:rPr>
          <w:color w:val="231F20"/>
          <w:spacing w:val="-3"/>
        </w:rPr>
        <w:t>аутоматских </w:t>
      </w:r>
      <w:r>
        <w:rPr>
          <w:color w:val="231F20"/>
        </w:rPr>
        <w:t>телефонских централа и бакарних каблова</w:t>
      </w:r>
      <w:r>
        <w:rPr>
          <w:color w:val="231F20"/>
          <w:spacing w:val="-7"/>
        </w:rPr>
        <w:t> </w:t>
      </w:r>
      <w:r>
        <w:rPr>
          <w:color w:val="231F20"/>
          <w:spacing w:val="-3"/>
        </w:rPr>
        <w:t>који</w:t>
      </w:r>
      <w:r>
        <w:rPr>
          <w:color w:val="231F20"/>
          <w:spacing w:val="-7"/>
        </w:rPr>
        <w:t> </w:t>
      </w:r>
      <w:r>
        <w:rPr>
          <w:color w:val="231F20"/>
        </w:rPr>
        <w:t>су</w:t>
      </w:r>
      <w:r>
        <w:rPr>
          <w:color w:val="231F20"/>
          <w:spacing w:val="-7"/>
        </w:rPr>
        <w:t> </w:t>
      </w:r>
      <w:r>
        <w:rPr>
          <w:color w:val="231F20"/>
        </w:rPr>
        <w:t>их</w:t>
      </w:r>
      <w:r>
        <w:rPr>
          <w:color w:val="231F20"/>
          <w:spacing w:val="-7"/>
        </w:rPr>
        <w:t> </w:t>
      </w:r>
      <w:r>
        <w:rPr>
          <w:color w:val="231F20"/>
        </w:rPr>
        <w:t>повезивали.</w:t>
      </w:r>
      <w:r>
        <w:rPr>
          <w:color w:val="231F20"/>
          <w:spacing w:val="-7"/>
        </w:rPr>
        <w:t> </w:t>
      </w:r>
      <w:r>
        <w:rPr>
          <w:color w:val="231F20"/>
        </w:rPr>
        <w:t>Изградњом</w:t>
      </w:r>
      <w:r>
        <w:rPr>
          <w:color w:val="231F20"/>
          <w:spacing w:val="-7"/>
        </w:rPr>
        <w:t> </w:t>
      </w:r>
      <w:r>
        <w:rPr>
          <w:color w:val="231F20"/>
        </w:rPr>
        <w:t>мреже</w:t>
      </w:r>
      <w:r>
        <w:rPr>
          <w:color w:val="231F20"/>
          <w:spacing w:val="-7"/>
        </w:rPr>
        <w:t> </w:t>
      </w:r>
      <w:r>
        <w:rPr>
          <w:color w:val="231F20"/>
        </w:rPr>
        <w:t>оптичких</w:t>
      </w:r>
      <w:r>
        <w:rPr>
          <w:color w:val="231F20"/>
          <w:spacing w:val="-7"/>
        </w:rPr>
        <w:t> </w:t>
      </w:r>
      <w:r>
        <w:rPr>
          <w:color w:val="231F20"/>
        </w:rPr>
        <w:t>кабло- ва створени су услови да се овај систем замени знатно савреме- нијим мултисервисним приступним чворовима, </w:t>
      </w:r>
      <w:r>
        <w:rPr>
          <w:color w:val="231F20"/>
          <w:spacing w:val="-3"/>
        </w:rPr>
        <w:t>који </w:t>
      </w:r>
      <w:r>
        <w:rPr>
          <w:color w:val="231F20"/>
        </w:rPr>
        <w:t>омогућавају пренос не само телефонског саобраћаја него и пренос података и остале</w:t>
      </w:r>
      <w:r>
        <w:rPr>
          <w:color w:val="231F20"/>
          <w:spacing w:val="-7"/>
        </w:rPr>
        <w:t> </w:t>
      </w:r>
      <w:r>
        <w:rPr>
          <w:color w:val="231F20"/>
        </w:rPr>
        <w:t>савремене</w:t>
      </w:r>
      <w:r>
        <w:rPr>
          <w:color w:val="231F20"/>
          <w:spacing w:val="-7"/>
        </w:rPr>
        <w:t> </w:t>
      </w:r>
      <w:r>
        <w:rPr>
          <w:color w:val="231F20"/>
        </w:rPr>
        <w:t>телекомуникационе</w:t>
      </w:r>
      <w:r>
        <w:rPr>
          <w:color w:val="231F20"/>
          <w:spacing w:val="-7"/>
        </w:rPr>
        <w:t> </w:t>
      </w:r>
      <w:r>
        <w:rPr>
          <w:color w:val="231F20"/>
        </w:rPr>
        <w:t>услуге.</w:t>
      </w:r>
      <w:r>
        <w:rPr>
          <w:color w:val="231F20"/>
          <w:spacing w:val="-7"/>
        </w:rPr>
        <w:t> </w:t>
      </w:r>
      <w:r>
        <w:rPr>
          <w:color w:val="231F20"/>
          <w:spacing w:val="-3"/>
        </w:rPr>
        <w:t>Уградња</w:t>
      </w:r>
      <w:r>
        <w:rPr>
          <w:color w:val="231F20"/>
          <w:spacing w:val="-7"/>
        </w:rPr>
        <w:t> </w:t>
      </w:r>
      <w:r>
        <w:rPr>
          <w:color w:val="231F20"/>
        </w:rPr>
        <w:t>ових</w:t>
      </w:r>
      <w:r>
        <w:rPr>
          <w:color w:val="231F20"/>
          <w:spacing w:val="-7"/>
        </w:rPr>
        <w:t> </w:t>
      </w:r>
      <w:r>
        <w:rPr>
          <w:color w:val="231F20"/>
        </w:rPr>
        <w:t>систе- ма у оквиру „ЕПС”-а је у</w:t>
      </w:r>
      <w:r>
        <w:rPr>
          <w:color w:val="231F20"/>
          <w:spacing w:val="-1"/>
        </w:rPr>
        <w:t> </w:t>
      </w:r>
      <w:r>
        <w:rPr>
          <w:color w:val="231F20"/>
          <w:spacing w:val="-5"/>
        </w:rPr>
        <w:t>току.</w:t>
      </w:r>
    </w:p>
    <w:p>
      <w:pPr>
        <w:pStyle w:val="BodyText"/>
        <w:spacing w:line="232" w:lineRule="auto"/>
        <w:ind w:left="242" w:right="124" w:firstLine="396"/>
      </w:pPr>
      <w:r>
        <w:rPr>
          <w:color w:val="231F20"/>
        </w:rPr>
        <w:t>У оквиру радова на изградњи оптичких каблова техничког система веза „ЕПС”-а, извршена је уградња оптичких каблова по земљоводном</w:t>
      </w:r>
      <w:r>
        <w:rPr>
          <w:color w:val="231F20"/>
          <w:spacing w:val="-6"/>
        </w:rPr>
        <w:t> </w:t>
      </w:r>
      <w:r>
        <w:rPr>
          <w:color w:val="231F20"/>
        </w:rPr>
        <w:t>ужету</w:t>
      </w:r>
      <w:r>
        <w:rPr>
          <w:color w:val="231F20"/>
          <w:spacing w:val="-6"/>
        </w:rPr>
        <w:t> </w:t>
      </w:r>
      <w:r>
        <w:rPr>
          <w:color w:val="231F20"/>
        </w:rPr>
        <w:t>ДВ</w:t>
      </w:r>
      <w:r>
        <w:rPr>
          <w:color w:val="231F20"/>
          <w:spacing w:val="-6"/>
        </w:rPr>
        <w:t> </w:t>
      </w:r>
      <w:r>
        <w:rPr>
          <w:color w:val="231F20"/>
          <w:spacing w:val="-3"/>
        </w:rPr>
        <w:t>110</w:t>
      </w:r>
      <w:r>
        <w:rPr>
          <w:color w:val="231F20"/>
          <w:spacing w:val="-6"/>
        </w:rPr>
        <w:t> </w:t>
      </w:r>
      <w:r>
        <w:rPr>
          <w:color w:val="231F20"/>
          <w:spacing w:val="-8"/>
        </w:rPr>
        <w:t>kV,</w:t>
      </w:r>
      <w:r>
        <w:rPr>
          <w:color w:val="231F20"/>
          <w:spacing w:val="-6"/>
        </w:rPr>
        <w:t> </w:t>
      </w:r>
      <w:r>
        <w:rPr>
          <w:color w:val="231F20"/>
        </w:rPr>
        <w:t>између</w:t>
      </w:r>
      <w:r>
        <w:rPr>
          <w:color w:val="231F20"/>
          <w:spacing w:val="-6"/>
        </w:rPr>
        <w:t> </w:t>
      </w:r>
      <w:r>
        <w:rPr>
          <w:color w:val="231F20"/>
        </w:rPr>
        <w:t>свих</w:t>
      </w:r>
      <w:r>
        <w:rPr>
          <w:color w:val="231F20"/>
          <w:spacing w:val="-6"/>
        </w:rPr>
        <w:t> </w:t>
      </w:r>
      <w:r>
        <w:rPr>
          <w:color w:val="231F20"/>
        </w:rPr>
        <w:t>важних</w:t>
      </w:r>
      <w:r>
        <w:rPr>
          <w:color w:val="231F20"/>
          <w:spacing w:val="-6"/>
        </w:rPr>
        <w:t> </w:t>
      </w:r>
      <w:r>
        <w:rPr>
          <w:color w:val="231F20"/>
        </w:rPr>
        <w:t>чворишта</w:t>
      </w:r>
      <w:r>
        <w:rPr>
          <w:color w:val="231F20"/>
          <w:spacing w:val="-6"/>
        </w:rPr>
        <w:t> </w:t>
      </w:r>
      <w:r>
        <w:rPr>
          <w:color w:val="231F20"/>
          <w:spacing w:val="-3"/>
        </w:rPr>
        <w:t>Ко- столачког</w:t>
      </w:r>
      <w:r>
        <w:rPr>
          <w:color w:val="231F20"/>
          <w:spacing w:val="18"/>
        </w:rPr>
        <w:t> </w:t>
      </w:r>
      <w:r>
        <w:rPr>
          <w:color w:val="231F20"/>
        </w:rPr>
        <w:t>басена</w:t>
      </w:r>
      <w:r>
        <w:rPr>
          <w:color w:val="231F20"/>
          <w:spacing w:val="18"/>
        </w:rPr>
        <w:t> </w:t>
      </w:r>
      <w:r>
        <w:rPr>
          <w:color w:val="231F20"/>
        </w:rPr>
        <w:t>и</w:t>
      </w:r>
      <w:r>
        <w:rPr>
          <w:color w:val="231F20"/>
          <w:spacing w:val="18"/>
        </w:rPr>
        <w:t> </w:t>
      </w:r>
      <w:r>
        <w:rPr>
          <w:color w:val="231F20"/>
        </w:rPr>
        <w:t>то:</w:t>
      </w:r>
      <w:r>
        <w:rPr>
          <w:color w:val="231F20"/>
          <w:spacing w:val="18"/>
        </w:rPr>
        <w:t> </w:t>
      </w:r>
      <w:r>
        <w:rPr>
          <w:color w:val="231F20"/>
        </w:rPr>
        <w:t>ТЕ</w:t>
      </w:r>
      <w:r>
        <w:rPr>
          <w:color w:val="231F20"/>
          <w:spacing w:val="18"/>
        </w:rPr>
        <w:t> </w:t>
      </w:r>
      <w:r>
        <w:rPr>
          <w:color w:val="231F20"/>
        </w:rPr>
        <w:t>„Костолац</w:t>
      </w:r>
      <w:r>
        <w:rPr>
          <w:color w:val="231F20"/>
          <w:spacing w:val="18"/>
        </w:rPr>
        <w:t> </w:t>
      </w:r>
      <w:r>
        <w:rPr>
          <w:color w:val="231F20"/>
        </w:rPr>
        <w:t>Б”</w:t>
      </w:r>
      <w:r>
        <w:rPr>
          <w:color w:val="231F20"/>
          <w:spacing w:val="0"/>
        </w:rPr>
        <w:t> </w:t>
      </w:r>
      <w:r>
        <w:rPr>
          <w:color w:val="231F20"/>
        </w:rPr>
        <w:t>–</w:t>
      </w:r>
      <w:r>
        <w:rPr>
          <w:color w:val="231F20"/>
          <w:spacing w:val="18"/>
        </w:rPr>
        <w:t> </w:t>
      </w:r>
      <w:r>
        <w:rPr>
          <w:color w:val="231F20"/>
        </w:rPr>
        <w:t>ТЕ</w:t>
      </w:r>
      <w:r>
        <w:rPr>
          <w:color w:val="231F20"/>
          <w:spacing w:val="18"/>
        </w:rPr>
        <w:t> </w:t>
      </w:r>
      <w:r>
        <w:rPr>
          <w:color w:val="231F20"/>
        </w:rPr>
        <w:t>„Костолац</w:t>
      </w:r>
      <w:r>
        <w:rPr>
          <w:color w:val="231F20"/>
          <w:spacing w:val="18"/>
        </w:rPr>
        <w:t> </w:t>
      </w:r>
      <w:r>
        <w:rPr>
          <w:color w:val="231F20"/>
        </w:rPr>
        <w:t>А”,</w:t>
      </w:r>
      <w:r>
        <w:rPr>
          <w:color w:val="231F20"/>
          <w:spacing w:val="18"/>
        </w:rPr>
        <w:t> </w:t>
      </w:r>
      <w:r>
        <w:rPr>
          <w:color w:val="231F20"/>
        </w:rPr>
        <w:t>ТЕ</w:t>
      </w:r>
    </w:p>
    <w:p>
      <w:pPr>
        <w:pStyle w:val="BodyText"/>
        <w:spacing w:line="199" w:lineRule="exact"/>
        <w:ind w:left="242"/>
        <w:jc w:val="left"/>
      </w:pPr>
      <w:r>
        <w:rPr>
          <w:color w:val="231F20"/>
        </w:rPr>
        <w:t>„Костолац А” – Рудник 1, Рудник 1 – Рудник 2 и Рудник 1 – Рудник</w:t>
      </w:r>
    </w:p>
    <w:p>
      <w:pPr>
        <w:pStyle w:val="ListParagraph"/>
        <w:numPr>
          <w:ilvl w:val="0"/>
          <w:numId w:val="18"/>
        </w:numPr>
        <w:tabs>
          <w:tab w:pos="430" w:val="left" w:leader="none"/>
        </w:tabs>
        <w:spacing w:line="232" w:lineRule="auto" w:before="1" w:after="0"/>
        <w:ind w:left="243" w:right="124" w:hanging="1"/>
        <w:jc w:val="left"/>
        <w:rPr>
          <w:sz w:val="18"/>
        </w:rPr>
      </w:pPr>
      <w:r>
        <w:rPr>
          <w:color w:val="231F20"/>
          <w:sz w:val="18"/>
        </w:rPr>
        <w:t>Реализација посебног (самоносивог) оптичког кабла на релаци- ји ТС Пожаревац – Електродистрибуција Пожаревац је у</w:t>
      </w:r>
      <w:r>
        <w:rPr>
          <w:color w:val="231F20"/>
          <w:spacing w:val="-4"/>
          <w:sz w:val="18"/>
        </w:rPr>
        <w:t> </w:t>
      </w:r>
      <w:r>
        <w:rPr>
          <w:color w:val="231F20"/>
          <w:spacing w:val="-5"/>
          <w:sz w:val="18"/>
        </w:rPr>
        <w:t>току.</w:t>
      </w:r>
    </w:p>
    <w:p>
      <w:pPr>
        <w:pStyle w:val="BodyText"/>
        <w:spacing w:line="232" w:lineRule="auto"/>
        <w:ind w:left="242" w:right="124" w:firstLine="397"/>
      </w:pPr>
      <w:r>
        <w:rPr>
          <w:color w:val="231F20"/>
        </w:rPr>
        <w:t>Оптичким кабловима створени су услови да се комплетан пословни систем Басена модернизује, уградњом мултисервисних приступних</w:t>
      </w:r>
      <w:r>
        <w:rPr>
          <w:color w:val="231F20"/>
          <w:spacing w:val="-7"/>
        </w:rPr>
        <w:t> </w:t>
      </w:r>
      <w:r>
        <w:rPr>
          <w:color w:val="231F20"/>
        </w:rPr>
        <w:t>чворова,</w:t>
      </w:r>
      <w:r>
        <w:rPr>
          <w:color w:val="231F20"/>
          <w:spacing w:val="-7"/>
        </w:rPr>
        <w:t> </w:t>
      </w:r>
      <w:r>
        <w:rPr>
          <w:color w:val="231F20"/>
        </w:rPr>
        <w:t>односно</w:t>
      </w:r>
      <w:r>
        <w:rPr>
          <w:color w:val="231F20"/>
          <w:spacing w:val="-7"/>
        </w:rPr>
        <w:t> </w:t>
      </w:r>
      <w:r>
        <w:rPr>
          <w:color w:val="231F20"/>
        </w:rPr>
        <w:t>одговарајућих</w:t>
      </w:r>
      <w:r>
        <w:rPr>
          <w:color w:val="231F20"/>
          <w:spacing w:val="-7"/>
        </w:rPr>
        <w:t> </w:t>
      </w:r>
      <w:r>
        <w:rPr>
          <w:color w:val="231F20"/>
        </w:rPr>
        <w:t>рутера,</w:t>
      </w:r>
      <w:r>
        <w:rPr>
          <w:color w:val="231F20"/>
          <w:spacing w:val="-7"/>
        </w:rPr>
        <w:t> </w:t>
      </w:r>
      <w:r>
        <w:rPr>
          <w:color w:val="231F20"/>
          <w:spacing w:val="-4"/>
        </w:rPr>
        <w:t>како</w:t>
      </w:r>
      <w:r>
        <w:rPr>
          <w:color w:val="231F20"/>
          <w:spacing w:val="-7"/>
        </w:rPr>
        <w:t> </w:t>
      </w:r>
      <w:r>
        <w:rPr>
          <w:color w:val="231F20"/>
        </w:rPr>
        <w:t>би</w:t>
      </w:r>
      <w:r>
        <w:rPr>
          <w:color w:val="231F20"/>
          <w:spacing w:val="-7"/>
        </w:rPr>
        <w:t> </w:t>
      </w:r>
      <w:r>
        <w:rPr>
          <w:color w:val="231F20"/>
        </w:rPr>
        <w:t>могао да одговори захтевима савремених електронских комуникација. </w:t>
      </w:r>
      <w:r>
        <w:rPr>
          <w:color w:val="231F20"/>
          <w:spacing w:val="-4"/>
        </w:rPr>
        <w:t>Тако </w:t>
      </w:r>
      <w:r>
        <w:rPr>
          <w:color w:val="231F20"/>
        </w:rPr>
        <w:t>су у објектима Басена уграђени савремена телекомуникацио- на</w:t>
      </w:r>
      <w:r>
        <w:rPr>
          <w:color w:val="231F20"/>
          <w:spacing w:val="-8"/>
        </w:rPr>
        <w:t> </w:t>
      </w:r>
      <w:r>
        <w:rPr>
          <w:color w:val="231F20"/>
        </w:rPr>
        <w:t>чворишта</w:t>
      </w:r>
      <w:r>
        <w:rPr>
          <w:color w:val="231F20"/>
          <w:spacing w:val="-8"/>
        </w:rPr>
        <w:t> </w:t>
      </w:r>
      <w:r>
        <w:rPr>
          <w:color w:val="231F20"/>
        </w:rPr>
        <w:t>фирме</w:t>
      </w:r>
      <w:r>
        <w:rPr>
          <w:color w:val="231F20"/>
          <w:spacing w:val="-8"/>
        </w:rPr>
        <w:t> </w:t>
      </w:r>
      <w:r>
        <w:rPr>
          <w:color w:val="231F20"/>
        </w:rPr>
        <w:t>Ериксон</w:t>
      </w:r>
      <w:r>
        <w:rPr>
          <w:color w:val="231F20"/>
          <w:spacing w:val="-8"/>
        </w:rPr>
        <w:t> </w:t>
      </w:r>
      <w:r>
        <w:rPr>
          <w:color w:val="231F20"/>
        </w:rPr>
        <w:t>у</w:t>
      </w:r>
      <w:r>
        <w:rPr>
          <w:color w:val="231F20"/>
          <w:spacing w:val="-8"/>
        </w:rPr>
        <w:t> </w:t>
      </w:r>
      <w:r>
        <w:rPr>
          <w:color w:val="231F20"/>
        </w:rPr>
        <w:t>објектима</w:t>
      </w:r>
      <w:r>
        <w:rPr>
          <w:color w:val="231F20"/>
          <w:spacing w:val="-8"/>
        </w:rPr>
        <w:t> </w:t>
      </w:r>
      <w:r>
        <w:rPr>
          <w:color w:val="231F20"/>
        </w:rPr>
        <w:t>ТЕ</w:t>
      </w:r>
      <w:r>
        <w:rPr>
          <w:color w:val="231F20"/>
          <w:spacing w:val="-8"/>
        </w:rPr>
        <w:t> </w:t>
      </w:r>
      <w:r>
        <w:rPr>
          <w:color w:val="231F20"/>
        </w:rPr>
        <w:t>„Костолац</w:t>
      </w:r>
      <w:r>
        <w:rPr>
          <w:color w:val="231F20"/>
          <w:spacing w:val="-8"/>
        </w:rPr>
        <w:t> </w:t>
      </w:r>
      <w:r>
        <w:rPr>
          <w:color w:val="231F20"/>
        </w:rPr>
        <w:t>А”,</w:t>
      </w:r>
      <w:r>
        <w:rPr>
          <w:color w:val="231F20"/>
          <w:spacing w:val="-8"/>
        </w:rPr>
        <w:t> </w:t>
      </w:r>
      <w:r>
        <w:rPr>
          <w:color w:val="231F20"/>
        </w:rPr>
        <w:t>Дирек- ција Басена, ТЕ „Костолац Б”, ПК „Дрмно”, РП „Дрмно” и Дроби- лана</w:t>
      </w:r>
      <w:r>
        <w:rPr>
          <w:color w:val="231F20"/>
          <w:spacing w:val="-2"/>
        </w:rPr>
        <w:t> </w:t>
      </w:r>
      <w:r>
        <w:rPr>
          <w:color w:val="231F20"/>
        </w:rPr>
        <w:t>„Дрмно”.</w:t>
      </w:r>
    </w:p>
    <w:p>
      <w:pPr>
        <w:pStyle w:val="BodyText"/>
        <w:spacing w:line="232" w:lineRule="auto"/>
        <w:ind w:left="242" w:right="124" w:firstLine="396"/>
      </w:pPr>
      <w:r>
        <w:rPr>
          <w:color w:val="231F20"/>
        </w:rPr>
        <w:t>Изградњом овог система веза у оквиру Костолачког басена, као и његовим повезивањем са јавном мрежом постиже се да си- стем телекомуникација у Басену буде савремен и ефикасан, одно- сно да може да одговори свим потребама у наредном периоду.</w:t>
      </w:r>
    </w:p>
    <w:p>
      <w:pPr>
        <w:spacing w:after="0" w:line="232" w:lineRule="auto"/>
        <w:sectPr>
          <w:pgSz w:w="12480" w:h="15690"/>
          <w:pgMar w:top="120" w:bottom="280" w:left="680" w:right="720"/>
          <w:cols w:num="2" w:equalWidth="0">
            <w:col w:w="5561" w:space="40"/>
            <w:col w:w="5479"/>
          </w:cols>
        </w:sectPr>
      </w:pPr>
    </w:p>
    <w:p>
      <w:pPr>
        <w:pStyle w:val="BodyText"/>
        <w:spacing w:before="68"/>
        <w:ind w:left="1892"/>
        <w:jc w:val="left"/>
      </w:pPr>
      <w:r>
        <w:rPr/>
        <w:pict>
          <v:line style="position:absolute;mso-position-horizontal-relative:page;mso-position-vertical-relative:page;z-index:1504" from="304.724396pt,11.942451pt" to="304.724396pt,748.950451pt" stroked="true" strokeweight=".6pt" strokecolor="#231f20">
            <v:stroke dashstyle="solid"/>
            <w10:wrap type="none"/>
          </v:line>
        </w:pict>
      </w:r>
      <w:r>
        <w:rPr>
          <w:color w:val="231F20"/>
        </w:rPr>
        <w:t>Поштански саобраћај</w:t>
      </w:r>
    </w:p>
    <w:p>
      <w:pPr>
        <w:pStyle w:val="BodyText"/>
        <w:spacing w:before="5"/>
        <w:ind w:left="0"/>
        <w:jc w:val="left"/>
        <w:rPr>
          <w:sz w:val="17"/>
        </w:rPr>
      </w:pPr>
    </w:p>
    <w:p>
      <w:pPr>
        <w:pStyle w:val="BodyText"/>
        <w:spacing w:line="235" w:lineRule="auto" w:before="1"/>
        <w:ind w:right="39" w:firstLine="396"/>
      </w:pPr>
      <w:r>
        <w:rPr>
          <w:color w:val="231F20"/>
        </w:rPr>
        <w:t>На </w:t>
      </w:r>
      <w:r>
        <w:rPr>
          <w:color w:val="231F20"/>
          <w:spacing w:val="-3"/>
        </w:rPr>
        <w:t>Планском </w:t>
      </w:r>
      <w:r>
        <w:rPr>
          <w:color w:val="231F20"/>
        </w:rPr>
        <w:t>подручју има 13 поштанских јединица, </w:t>
      </w:r>
      <w:r>
        <w:rPr>
          <w:color w:val="231F20"/>
          <w:spacing w:val="-3"/>
        </w:rPr>
        <w:t>од </w:t>
      </w:r>
      <w:r>
        <w:rPr>
          <w:color w:val="231F20"/>
        </w:rPr>
        <w:t>то- га шест у граду </w:t>
      </w:r>
      <w:r>
        <w:rPr>
          <w:color w:val="231F20"/>
          <w:spacing w:val="-3"/>
        </w:rPr>
        <w:t>Пожаревцу, </w:t>
      </w:r>
      <w:r>
        <w:rPr>
          <w:color w:val="231F20"/>
        </w:rPr>
        <w:t>а седам на осталих 29 насеља. Према броју становника по поштанској јединици, као и по просторном </w:t>
      </w:r>
      <w:r>
        <w:rPr>
          <w:color w:val="231F20"/>
          <w:spacing w:val="-3"/>
        </w:rPr>
        <w:t>распореду, </w:t>
      </w:r>
      <w:r>
        <w:rPr>
          <w:color w:val="231F20"/>
        </w:rPr>
        <w:t>стање није сасвим задовољавајуће. </w:t>
      </w:r>
      <w:r>
        <w:rPr>
          <w:color w:val="231F20"/>
          <w:spacing w:val="-3"/>
        </w:rPr>
        <w:t>Ову </w:t>
      </w:r>
      <w:r>
        <w:rPr>
          <w:color w:val="231F20"/>
        </w:rPr>
        <w:t>мрежу би тре- бало проширити на насеља </w:t>
      </w:r>
      <w:r>
        <w:rPr>
          <w:color w:val="231F20"/>
          <w:spacing w:val="-3"/>
        </w:rPr>
        <w:t>која </w:t>
      </w:r>
      <w:r>
        <w:rPr>
          <w:color w:val="231F20"/>
        </w:rPr>
        <w:t>су </w:t>
      </w:r>
      <w:r>
        <w:rPr>
          <w:color w:val="231F20"/>
          <w:spacing w:val="-3"/>
        </w:rPr>
        <w:t>удаљена од </w:t>
      </w:r>
      <w:r>
        <w:rPr>
          <w:color w:val="231F20"/>
        </w:rPr>
        <w:t>постојећих поштан- ских</w:t>
      </w:r>
      <w:r>
        <w:rPr>
          <w:color w:val="231F20"/>
          <w:spacing w:val="-1"/>
        </w:rPr>
        <w:t> </w:t>
      </w:r>
      <w:r>
        <w:rPr>
          <w:color w:val="231F20"/>
        </w:rPr>
        <w:t>јединица.</w:t>
      </w:r>
    </w:p>
    <w:p>
      <w:pPr>
        <w:pStyle w:val="BodyText"/>
        <w:spacing w:line="235" w:lineRule="auto" w:before="3"/>
        <w:ind w:right="40" w:firstLine="396"/>
      </w:pPr>
      <w:r>
        <w:rPr>
          <w:color w:val="231F20"/>
        </w:rPr>
        <w:t>Основни потенцијал представља постојећа мрежа </w:t>
      </w:r>
      <w:r>
        <w:rPr>
          <w:color w:val="231F20"/>
          <w:spacing w:val="-3"/>
        </w:rPr>
        <w:t>од </w:t>
      </w:r>
      <w:r>
        <w:rPr>
          <w:color w:val="231F20"/>
        </w:rPr>
        <w:t>13 једи- ница поштанског саобраћаја, а извесно ограничење за развој по- штанског саобраћаја су развојни документи Поште Србије у </w:t>
      </w:r>
      <w:r>
        <w:rPr>
          <w:color w:val="231F20"/>
          <w:spacing w:val="-3"/>
        </w:rPr>
        <w:t>који- </w:t>
      </w:r>
      <w:r>
        <w:rPr>
          <w:color w:val="231F20"/>
        </w:rPr>
        <w:t>ма</w:t>
      </w:r>
      <w:r>
        <w:rPr>
          <w:color w:val="231F20"/>
          <w:spacing w:val="-5"/>
        </w:rPr>
        <w:t> </w:t>
      </w:r>
      <w:r>
        <w:rPr>
          <w:color w:val="231F20"/>
        </w:rPr>
        <w:t>није</w:t>
      </w:r>
      <w:r>
        <w:rPr>
          <w:color w:val="231F20"/>
          <w:spacing w:val="-5"/>
        </w:rPr>
        <w:t> </w:t>
      </w:r>
      <w:r>
        <w:rPr>
          <w:color w:val="231F20"/>
        </w:rPr>
        <w:t>предвиђено</w:t>
      </w:r>
      <w:r>
        <w:rPr>
          <w:color w:val="231F20"/>
          <w:spacing w:val="-6"/>
        </w:rPr>
        <w:t> </w:t>
      </w:r>
      <w:r>
        <w:rPr>
          <w:color w:val="231F20"/>
        </w:rPr>
        <w:t>отварање</w:t>
      </w:r>
      <w:r>
        <w:rPr>
          <w:color w:val="231F20"/>
          <w:spacing w:val="-6"/>
        </w:rPr>
        <w:t> </w:t>
      </w:r>
      <w:r>
        <w:rPr>
          <w:color w:val="231F20"/>
        </w:rPr>
        <w:t>нових</w:t>
      </w:r>
      <w:r>
        <w:rPr>
          <w:color w:val="231F20"/>
          <w:spacing w:val="-5"/>
        </w:rPr>
        <w:t> </w:t>
      </w:r>
      <w:r>
        <w:rPr>
          <w:color w:val="231F20"/>
        </w:rPr>
        <w:t>поштанских</w:t>
      </w:r>
      <w:r>
        <w:rPr>
          <w:color w:val="231F20"/>
          <w:spacing w:val="-5"/>
        </w:rPr>
        <w:t> </w:t>
      </w:r>
      <w:r>
        <w:rPr>
          <w:color w:val="231F20"/>
        </w:rPr>
        <w:t>јединица</w:t>
      </w:r>
      <w:r>
        <w:rPr>
          <w:color w:val="231F20"/>
          <w:spacing w:val="-6"/>
        </w:rPr>
        <w:t> </w:t>
      </w:r>
      <w:r>
        <w:rPr>
          <w:color w:val="231F20"/>
        </w:rPr>
        <w:t>на</w:t>
      </w:r>
      <w:r>
        <w:rPr>
          <w:color w:val="231F20"/>
          <w:spacing w:val="-6"/>
        </w:rPr>
        <w:t> </w:t>
      </w:r>
      <w:r>
        <w:rPr>
          <w:color w:val="231F20"/>
        </w:rPr>
        <w:t>овом </w:t>
      </w:r>
      <w:r>
        <w:rPr>
          <w:color w:val="231F20"/>
          <w:spacing w:val="-4"/>
        </w:rPr>
        <w:t>подручју.</w:t>
      </w:r>
    </w:p>
    <w:p>
      <w:pPr>
        <w:pStyle w:val="ListParagraph"/>
        <w:numPr>
          <w:ilvl w:val="2"/>
          <w:numId w:val="17"/>
        </w:numPr>
        <w:tabs>
          <w:tab w:pos="1634" w:val="left" w:leader="none"/>
        </w:tabs>
        <w:spacing w:line="406" w:lineRule="exact" w:before="13" w:after="0"/>
        <w:ind w:left="567" w:right="39" w:firstLine="616"/>
        <w:jc w:val="left"/>
        <w:rPr>
          <w:sz w:val="18"/>
        </w:rPr>
      </w:pPr>
      <w:r>
        <w:rPr>
          <w:color w:val="231F20"/>
          <w:spacing w:val="13"/>
          <w:sz w:val="18"/>
        </w:rPr>
        <w:t>Комуна </w:t>
      </w:r>
      <w:r>
        <w:rPr>
          <w:color w:val="231F20"/>
          <w:spacing w:val="12"/>
          <w:sz w:val="18"/>
        </w:rPr>
        <w:t>лна </w:t>
      </w:r>
      <w:r>
        <w:rPr>
          <w:color w:val="231F20"/>
          <w:spacing w:val="16"/>
          <w:sz w:val="18"/>
        </w:rPr>
        <w:t>инфраст </w:t>
      </w:r>
      <w:r>
        <w:rPr>
          <w:color w:val="231F20"/>
          <w:spacing w:val="15"/>
          <w:sz w:val="18"/>
        </w:rPr>
        <w:t>руктура </w:t>
      </w:r>
      <w:r>
        <w:rPr>
          <w:color w:val="231F20"/>
          <w:sz w:val="18"/>
        </w:rPr>
        <w:t>Надлежности у </w:t>
      </w:r>
      <w:r>
        <w:rPr>
          <w:color w:val="231F20"/>
          <w:spacing w:val="-3"/>
          <w:sz w:val="18"/>
        </w:rPr>
        <w:t>области прикупљања отпада </w:t>
      </w:r>
      <w:r>
        <w:rPr>
          <w:color w:val="231F20"/>
          <w:sz w:val="18"/>
        </w:rPr>
        <w:t>на </w:t>
      </w:r>
      <w:r>
        <w:rPr>
          <w:color w:val="231F20"/>
          <w:spacing w:val="-4"/>
          <w:sz w:val="18"/>
        </w:rPr>
        <w:t>Планском</w:t>
      </w:r>
      <w:r>
        <w:rPr>
          <w:color w:val="231F20"/>
          <w:spacing w:val="-14"/>
          <w:sz w:val="18"/>
        </w:rPr>
        <w:t> </w:t>
      </w:r>
      <w:r>
        <w:rPr>
          <w:color w:val="231F20"/>
          <w:spacing w:val="-3"/>
          <w:sz w:val="18"/>
        </w:rPr>
        <w:t>под-</w:t>
      </w:r>
    </w:p>
    <w:p>
      <w:pPr>
        <w:pStyle w:val="BodyText"/>
        <w:spacing w:line="160" w:lineRule="exact"/>
        <w:jc w:val="left"/>
      </w:pPr>
      <w:r>
        <w:rPr>
          <w:color w:val="231F20"/>
          <w:spacing w:val="-3"/>
        </w:rPr>
        <w:t>ручју </w:t>
      </w:r>
      <w:r>
        <w:rPr>
          <w:color w:val="231F20"/>
          <w:spacing w:val="-2"/>
        </w:rPr>
        <w:t>има </w:t>
      </w:r>
      <w:r>
        <w:rPr>
          <w:color w:val="231F20"/>
        </w:rPr>
        <w:t>јавно </w:t>
      </w:r>
      <w:r>
        <w:rPr>
          <w:color w:val="231F20"/>
          <w:spacing w:val="-4"/>
        </w:rPr>
        <w:t>комунално </w:t>
      </w:r>
      <w:r>
        <w:rPr>
          <w:color w:val="231F20"/>
          <w:spacing w:val="-3"/>
        </w:rPr>
        <w:t>предузеће </w:t>
      </w:r>
      <w:r>
        <w:rPr>
          <w:color w:val="231F20"/>
        </w:rPr>
        <w:t>из </w:t>
      </w:r>
      <w:r>
        <w:rPr>
          <w:color w:val="231F20"/>
          <w:spacing w:val="-3"/>
        </w:rPr>
        <w:t>Пожаревца, </w:t>
      </w:r>
      <w:r>
        <w:rPr>
          <w:color w:val="231F20"/>
          <w:spacing w:val="-4"/>
        </w:rPr>
        <w:t>које </w:t>
      </w:r>
      <w:r>
        <w:rPr>
          <w:color w:val="231F20"/>
          <w:spacing w:val="-3"/>
        </w:rPr>
        <w:t>прикупља</w:t>
      </w:r>
    </w:p>
    <w:p>
      <w:pPr>
        <w:pStyle w:val="BodyText"/>
        <w:spacing w:line="203" w:lineRule="exact"/>
        <w:jc w:val="left"/>
      </w:pPr>
      <w:r>
        <w:rPr>
          <w:color w:val="231F20"/>
        </w:rPr>
        <w:t>отпад са подручја два градска насеља Пожаревца и Костолца.</w:t>
      </w:r>
    </w:p>
    <w:p>
      <w:pPr>
        <w:pStyle w:val="BodyText"/>
        <w:spacing w:line="235" w:lineRule="auto" w:before="1"/>
        <w:ind w:right="39" w:firstLine="396"/>
      </w:pPr>
      <w:r>
        <w:rPr>
          <w:color w:val="231F20"/>
        </w:rPr>
        <w:t>Рурална подручја града Пожаревца нису обухваћена систе- мом</w:t>
      </w:r>
      <w:r>
        <w:rPr>
          <w:color w:val="231F20"/>
          <w:spacing w:val="-8"/>
        </w:rPr>
        <w:t> </w:t>
      </w:r>
      <w:r>
        <w:rPr>
          <w:color w:val="231F20"/>
        </w:rPr>
        <w:t>прикупљања</w:t>
      </w:r>
      <w:r>
        <w:rPr>
          <w:color w:val="231F20"/>
          <w:spacing w:val="-8"/>
        </w:rPr>
        <w:t> </w:t>
      </w:r>
      <w:r>
        <w:rPr>
          <w:color w:val="231F20"/>
        </w:rPr>
        <w:t>отпада</w:t>
      </w:r>
      <w:r>
        <w:rPr>
          <w:color w:val="231F20"/>
          <w:spacing w:val="-8"/>
        </w:rPr>
        <w:t> </w:t>
      </w:r>
      <w:r>
        <w:rPr>
          <w:color w:val="231F20"/>
        </w:rPr>
        <w:t>(осим</w:t>
      </w:r>
      <w:r>
        <w:rPr>
          <w:color w:val="231F20"/>
          <w:spacing w:val="-8"/>
        </w:rPr>
        <w:t> </w:t>
      </w:r>
      <w:r>
        <w:rPr>
          <w:color w:val="231F20"/>
        </w:rPr>
        <w:t>Села</w:t>
      </w:r>
      <w:r>
        <w:rPr>
          <w:color w:val="231F20"/>
          <w:spacing w:val="-8"/>
        </w:rPr>
        <w:t> </w:t>
      </w:r>
      <w:r>
        <w:rPr>
          <w:color w:val="231F20"/>
        </w:rPr>
        <w:t>Костолaц,</w:t>
      </w:r>
      <w:r>
        <w:rPr>
          <w:color w:val="231F20"/>
          <w:spacing w:val="-8"/>
        </w:rPr>
        <w:t> </w:t>
      </w:r>
      <w:r>
        <w:rPr>
          <w:color w:val="231F20"/>
        </w:rPr>
        <w:t>Петке,</w:t>
      </w:r>
      <w:r>
        <w:rPr>
          <w:color w:val="231F20"/>
          <w:spacing w:val="-8"/>
        </w:rPr>
        <w:t> </w:t>
      </w:r>
      <w:r>
        <w:rPr>
          <w:color w:val="231F20"/>
        </w:rPr>
        <w:t>Кленовника и Острова, у </w:t>
      </w:r>
      <w:r>
        <w:rPr>
          <w:color w:val="231F20"/>
          <w:spacing w:val="-3"/>
        </w:rPr>
        <w:t>којима </w:t>
      </w:r>
      <w:r>
        <w:rPr>
          <w:color w:val="231F20"/>
        </w:rPr>
        <w:t>се отпад прикупља само из централних дело- ва), што за последицу има развој локалних „дивљих” сметлишта у многим</w:t>
      </w:r>
      <w:r>
        <w:rPr>
          <w:color w:val="231F20"/>
          <w:spacing w:val="-2"/>
        </w:rPr>
        <w:t> </w:t>
      </w:r>
      <w:r>
        <w:rPr>
          <w:color w:val="231F20"/>
        </w:rPr>
        <w:t>селима.</w:t>
      </w:r>
    </w:p>
    <w:p>
      <w:pPr>
        <w:pStyle w:val="BodyText"/>
        <w:spacing w:line="235" w:lineRule="auto" w:before="3"/>
        <w:ind w:right="39" w:firstLine="397"/>
      </w:pPr>
      <w:r>
        <w:rPr>
          <w:color w:val="231F20"/>
        </w:rPr>
        <w:t>Организовано изношење и депоновање смећа на подручју градских насеља Пожаревца и Костолца спроводи се кроз актив- ности</w:t>
      </w:r>
      <w:r>
        <w:rPr>
          <w:color w:val="231F20"/>
          <w:spacing w:val="-7"/>
        </w:rPr>
        <w:t> </w:t>
      </w:r>
      <w:r>
        <w:rPr>
          <w:color w:val="231F20"/>
        </w:rPr>
        <w:t>сакупљања</w:t>
      </w:r>
      <w:r>
        <w:rPr>
          <w:color w:val="231F20"/>
          <w:spacing w:val="-6"/>
        </w:rPr>
        <w:t> </w:t>
      </w:r>
      <w:r>
        <w:rPr>
          <w:color w:val="231F20"/>
        </w:rPr>
        <w:t>и</w:t>
      </w:r>
      <w:r>
        <w:rPr>
          <w:color w:val="231F20"/>
          <w:spacing w:val="-7"/>
        </w:rPr>
        <w:t> </w:t>
      </w:r>
      <w:r>
        <w:rPr>
          <w:color w:val="231F20"/>
        </w:rPr>
        <w:t>депоновања</w:t>
      </w:r>
      <w:r>
        <w:rPr>
          <w:color w:val="231F20"/>
          <w:spacing w:val="-6"/>
        </w:rPr>
        <w:t> </w:t>
      </w:r>
      <w:r>
        <w:rPr>
          <w:color w:val="231F20"/>
        </w:rPr>
        <w:t>чврстог</w:t>
      </w:r>
      <w:r>
        <w:rPr>
          <w:color w:val="231F20"/>
          <w:spacing w:val="-6"/>
        </w:rPr>
        <w:t> </w:t>
      </w:r>
      <w:r>
        <w:rPr>
          <w:color w:val="231F20"/>
        </w:rPr>
        <w:t>комуналног</w:t>
      </w:r>
      <w:r>
        <w:rPr>
          <w:color w:val="231F20"/>
          <w:spacing w:val="-6"/>
        </w:rPr>
        <w:t> </w:t>
      </w:r>
      <w:r>
        <w:rPr>
          <w:color w:val="231F20"/>
        </w:rPr>
        <w:t>отпада</w:t>
      </w:r>
      <w:r>
        <w:rPr>
          <w:color w:val="231F20"/>
          <w:spacing w:val="-6"/>
        </w:rPr>
        <w:t> </w:t>
      </w:r>
      <w:r>
        <w:rPr>
          <w:color w:val="231F20"/>
          <w:spacing w:val="-3"/>
        </w:rPr>
        <w:t>од</w:t>
      </w:r>
      <w:r>
        <w:rPr>
          <w:color w:val="231F20"/>
          <w:spacing w:val="-6"/>
        </w:rPr>
        <w:t> </w:t>
      </w:r>
      <w:r>
        <w:rPr>
          <w:color w:val="231F20"/>
        </w:rPr>
        <w:t>фи- зичких и правних лица, као и са дивљих депонија и кроз сакупља- ње и депоновање грађевинског отпада на три депоније  –</w:t>
      </w:r>
      <w:r>
        <w:rPr>
          <w:color w:val="231F20"/>
          <w:spacing w:val="32"/>
        </w:rPr>
        <w:t> </w:t>
      </w:r>
      <w:r>
        <w:rPr>
          <w:color w:val="231F20"/>
        </w:rPr>
        <w:t>„МИП”,</w:t>
      </w:r>
    </w:p>
    <w:p>
      <w:pPr>
        <w:pStyle w:val="BodyText"/>
        <w:spacing w:line="205" w:lineRule="exact"/>
        <w:jc w:val="left"/>
      </w:pPr>
      <w:r>
        <w:rPr>
          <w:color w:val="231F20"/>
        </w:rPr>
        <w:t>„Јеремијино поље” (Пожаревац) и депонију у површинском копу</w:t>
      </w:r>
    </w:p>
    <w:p>
      <w:pPr>
        <w:pStyle w:val="BodyText"/>
        <w:spacing w:line="235" w:lineRule="auto" w:before="2"/>
        <w:ind w:right="39"/>
      </w:pPr>
      <w:r>
        <w:rPr>
          <w:color w:val="231F20"/>
        </w:rPr>
        <w:t>„Кленовник” (Село Костолац). Остала несанитарна одлагалишта имају локални карактер, јавно комунално предузеће врши повре- мено одвожење отпада и са ових локација.</w:t>
      </w:r>
    </w:p>
    <w:p>
      <w:pPr>
        <w:pStyle w:val="BodyText"/>
        <w:spacing w:line="235" w:lineRule="auto" w:before="1"/>
        <w:ind w:right="39" w:firstLine="397"/>
      </w:pPr>
      <w:r>
        <w:rPr>
          <w:color w:val="231F20"/>
        </w:rPr>
        <w:t>У оквиру Јавног комуналног предузећа Пожаревац послује, као посебна радна јединица Рециклажни центар, који се бави при- марном селекцијом отпада, односно сепарацијом, сакупљањем и рециклажом папира, картона, ПЕТ и друге амбалаже. За потребе примарне селекције отпада распоређено је преко 70 специјалних контејнера у градским насељима Пожаревац и Костолац.</w:t>
      </w:r>
    </w:p>
    <w:p>
      <w:pPr>
        <w:pStyle w:val="BodyText"/>
        <w:spacing w:line="235" w:lineRule="auto" w:before="4"/>
        <w:ind w:right="39" w:firstLine="396"/>
      </w:pPr>
      <w:r>
        <w:rPr>
          <w:color w:val="231F20"/>
        </w:rPr>
        <w:t>На </w:t>
      </w:r>
      <w:r>
        <w:rPr>
          <w:color w:val="231F20"/>
          <w:spacing w:val="-3"/>
        </w:rPr>
        <w:t>Планском </w:t>
      </w:r>
      <w:r>
        <w:rPr>
          <w:color w:val="231F20"/>
        </w:rPr>
        <w:t>подручју продукује се и извесна </w:t>
      </w:r>
      <w:r>
        <w:rPr>
          <w:color w:val="231F20"/>
          <w:spacing w:val="-3"/>
        </w:rPr>
        <w:t>количина </w:t>
      </w:r>
      <w:r>
        <w:rPr>
          <w:color w:val="231F20"/>
        </w:rPr>
        <w:t>опа- </w:t>
      </w:r>
      <w:r>
        <w:rPr>
          <w:color w:val="231F20"/>
          <w:spacing w:val="-5"/>
        </w:rPr>
        <w:t>сног, </w:t>
      </w:r>
      <w:r>
        <w:rPr>
          <w:color w:val="231F20"/>
        </w:rPr>
        <w:t>индустријског и медицинског отпада </w:t>
      </w:r>
      <w:r>
        <w:rPr>
          <w:color w:val="231F20"/>
          <w:spacing w:val="-3"/>
        </w:rPr>
        <w:t>који </w:t>
      </w:r>
      <w:r>
        <w:rPr>
          <w:color w:val="231F20"/>
        </w:rPr>
        <w:t>се заједно са </w:t>
      </w:r>
      <w:r>
        <w:rPr>
          <w:color w:val="231F20"/>
          <w:spacing w:val="-3"/>
        </w:rPr>
        <w:t>кому- </w:t>
      </w:r>
      <w:r>
        <w:rPr>
          <w:color w:val="231F20"/>
        </w:rPr>
        <w:t>налним и комерцијалним отпадом одлаже на постојеће депоније.</w:t>
      </w:r>
    </w:p>
    <w:p>
      <w:pPr>
        <w:pStyle w:val="BodyText"/>
        <w:spacing w:line="235" w:lineRule="auto" w:before="1"/>
        <w:ind w:right="39" w:firstLine="396"/>
      </w:pPr>
      <w:r>
        <w:rPr>
          <w:color w:val="231F20"/>
        </w:rPr>
        <w:t>На </w:t>
      </w:r>
      <w:r>
        <w:rPr>
          <w:color w:val="231F20"/>
          <w:spacing w:val="-3"/>
        </w:rPr>
        <w:t>Планском </w:t>
      </w:r>
      <w:r>
        <w:rPr>
          <w:color w:val="231F20"/>
        </w:rPr>
        <w:t>подручју сахрањивање се обавља на градским и сеоским гробљима, при чему су градска гробља у надлежности јавног комуналног предузећа из Пожаревца и плански су грађена, док су сеоска гробља ван ингеренција градске управе, односно у надлежности су месних</w:t>
      </w:r>
      <w:r>
        <w:rPr>
          <w:color w:val="231F20"/>
          <w:spacing w:val="-1"/>
        </w:rPr>
        <w:t> </w:t>
      </w:r>
      <w:r>
        <w:rPr>
          <w:color w:val="231F20"/>
        </w:rPr>
        <w:t>заједница.</w:t>
      </w:r>
    </w:p>
    <w:p>
      <w:pPr>
        <w:pStyle w:val="BodyText"/>
        <w:spacing w:line="235" w:lineRule="auto" w:before="3"/>
        <w:ind w:right="38" w:firstLine="397"/>
      </w:pPr>
      <w:r>
        <w:rPr>
          <w:color w:val="231F20"/>
        </w:rPr>
        <w:t>Стање и начин на који се гробља одржавају је незадовољава- јући. Неопходна је израда планске документације за њихово ши- рење или евентуалну изградњу нових гробаља на другим локаци- јама. Поједина сеоска насеља имају проблем због немогућности ширења постојећих капацитета гробаља, па је потребно уређење нових локација.</w:t>
      </w:r>
    </w:p>
    <w:p>
      <w:pPr>
        <w:pStyle w:val="BodyText"/>
        <w:spacing w:line="235" w:lineRule="auto" w:before="3"/>
        <w:ind w:left="171" w:right="38" w:firstLine="396"/>
      </w:pPr>
      <w:r>
        <w:rPr>
          <w:color w:val="231F20"/>
        </w:rPr>
        <w:t>Постоје две градске пијаце (у Пожаревцу и Костолцу) у над- лежности јавног комуналног предузећа из Пожаревца. Ван град- ских насеља, тренутно функционишу две мање зелене пијаце – у Кличевцу и </w:t>
      </w:r>
      <w:r>
        <w:rPr>
          <w:color w:val="231F20"/>
          <w:spacing w:val="-3"/>
        </w:rPr>
        <w:t>Мајиловцу, </w:t>
      </w:r>
      <w:r>
        <w:rPr>
          <w:color w:val="231F20"/>
        </w:rPr>
        <w:t>са осам, односно 15 тезги. Зелене пијаце су</w:t>
      </w:r>
      <w:r>
        <w:rPr>
          <w:color w:val="231F20"/>
          <w:spacing w:val="-5"/>
        </w:rPr>
        <w:t> </w:t>
      </w:r>
      <w:r>
        <w:rPr>
          <w:color w:val="231F20"/>
        </w:rPr>
        <w:t>у</w:t>
      </w:r>
      <w:r>
        <w:rPr>
          <w:color w:val="231F20"/>
          <w:spacing w:val="-5"/>
        </w:rPr>
        <w:t> </w:t>
      </w:r>
      <w:r>
        <w:rPr>
          <w:color w:val="231F20"/>
        </w:rPr>
        <w:t>надлежности</w:t>
      </w:r>
      <w:r>
        <w:rPr>
          <w:color w:val="231F20"/>
          <w:spacing w:val="-5"/>
        </w:rPr>
        <w:t> </w:t>
      </w:r>
      <w:r>
        <w:rPr>
          <w:color w:val="231F20"/>
        </w:rPr>
        <w:t>месних</w:t>
      </w:r>
      <w:r>
        <w:rPr>
          <w:color w:val="231F20"/>
          <w:spacing w:val="-5"/>
        </w:rPr>
        <w:t> </w:t>
      </w:r>
      <w:r>
        <w:rPr>
          <w:color w:val="231F20"/>
        </w:rPr>
        <w:t>заједница.</w:t>
      </w:r>
      <w:r>
        <w:rPr>
          <w:color w:val="231F20"/>
          <w:spacing w:val="-5"/>
        </w:rPr>
        <w:t> </w:t>
      </w:r>
      <w:r>
        <w:rPr>
          <w:color w:val="231F20"/>
          <w:spacing w:val="-2"/>
        </w:rPr>
        <w:t>Сточну</w:t>
      </w:r>
      <w:r>
        <w:rPr>
          <w:color w:val="231F20"/>
          <w:spacing w:val="-5"/>
        </w:rPr>
        <w:t> </w:t>
      </w:r>
      <w:r>
        <w:rPr>
          <w:color w:val="231F20"/>
        </w:rPr>
        <w:t>пијацу</w:t>
      </w:r>
      <w:r>
        <w:rPr>
          <w:color w:val="231F20"/>
          <w:spacing w:val="-5"/>
        </w:rPr>
        <w:t> </w:t>
      </w:r>
      <w:r>
        <w:rPr>
          <w:color w:val="231F20"/>
        </w:rPr>
        <w:t>има</w:t>
      </w:r>
      <w:r>
        <w:rPr>
          <w:color w:val="231F20"/>
          <w:spacing w:val="-5"/>
        </w:rPr>
        <w:t> </w:t>
      </w:r>
      <w:r>
        <w:rPr>
          <w:color w:val="231F20"/>
        </w:rPr>
        <w:t>само</w:t>
      </w:r>
      <w:r>
        <w:rPr>
          <w:color w:val="231F20"/>
          <w:spacing w:val="-5"/>
        </w:rPr>
        <w:t> </w:t>
      </w:r>
      <w:r>
        <w:rPr>
          <w:color w:val="231F20"/>
        </w:rPr>
        <w:t>насе- ље Кличевац, површине једног</w:t>
      </w:r>
      <w:r>
        <w:rPr>
          <w:color w:val="231F20"/>
          <w:spacing w:val="-5"/>
        </w:rPr>
        <w:t> </w:t>
      </w:r>
      <w:r>
        <w:rPr>
          <w:color w:val="231F20"/>
        </w:rPr>
        <w:t>ара.</w:t>
      </w:r>
    </w:p>
    <w:p>
      <w:pPr>
        <w:pStyle w:val="BodyText"/>
        <w:spacing w:line="235" w:lineRule="auto" w:before="4"/>
        <w:ind w:left="171" w:right="38" w:firstLine="396"/>
      </w:pPr>
      <w:r>
        <w:rPr>
          <w:color w:val="231F20"/>
        </w:rPr>
        <w:t>Пијаце су </w:t>
      </w:r>
      <w:r>
        <w:rPr>
          <w:color w:val="231F20"/>
          <w:spacing w:val="-3"/>
        </w:rPr>
        <w:t>углавном </w:t>
      </w:r>
      <w:r>
        <w:rPr>
          <w:color w:val="231F20"/>
        </w:rPr>
        <w:t>уређене према одговарајућим стандарди- ма, а недостаци се односе пре свега на хигијенске услове на по- јединим пијацама и промет робе ван пијаце. Постоји потреба за отварањем нових пијаца.</w:t>
      </w:r>
    </w:p>
    <w:p>
      <w:pPr>
        <w:pStyle w:val="BodyText"/>
        <w:spacing w:line="235" w:lineRule="auto" w:before="2"/>
        <w:ind w:left="172" w:right="38" w:firstLine="396"/>
      </w:pPr>
      <w:r>
        <w:rPr>
          <w:color w:val="231F20"/>
        </w:rPr>
        <w:t>Потенцијали за развој комуналних објеката огледају се пре свега у могућности развоја система услуга евакуације отпада из сеоских насеља </w:t>
      </w:r>
      <w:r>
        <w:rPr>
          <w:color w:val="231F20"/>
          <w:spacing w:val="-3"/>
        </w:rPr>
        <w:t>која </w:t>
      </w:r>
      <w:r>
        <w:rPr>
          <w:color w:val="231F20"/>
        </w:rPr>
        <w:t>нису обухваћена постојећим системом при- купљања чврстог отпада, односно, имплементацијом стратегије   и програма управљања чврстим отпадом. Потенцијал представља реализација пројекта санације, затварања и рекултивације посто- јећих несанитарних и дивљих депонија на </w:t>
      </w:r>
      <w:r>
        <w:rPr>
          <w:color w:val="231F20"/>
          <w:spacing w:val="-3"/>
        </w:rPr>
        <w:t>Планском </w:t>
      </w:r>
      <w:r>
        <w:rPr>
          <w:color w:val="231F20"/>
        </w:rPr>
        <w:t>подручју (посебно депоније „Јеремијино поље”) и пројекта санације и за- тварања</w:t>
      </w:r>
      <w:r>
        <w:rPr>
          <w:color w:val="231F20"/>
          <w:spacing w:val="-9"/>
        </w:rPr>
        <w:t> </w:t>
      </w:r>
      <w:r>
        <w:rPr>
          <w:color w:val="231F20"/>
        </w:rPr>
        <w:t>уз</w:t>
      </w:r>
      <w:r>
        <w:rPr>
          <w:color w:val="231F20"/>
          <w:spacing w:val="-9"/>
        </w:rPr>
        <w:t> </w:t>
      </w:r>
      <w:r>
        <w:rPr>
          <w:color w:val="231F20"/>
        </w:rPr>
        <w:t>рад</w:t>
      </w:r>
      <w:r>
        <w:rPr>
          <w:color w:val="231F20"/>
          <w:spacing w:val="-9"/>
        </w:rPr>
        <w:t> </w:t>
      </w:r>
      <w:r>
        <w:rPr>
          <w:color w:val="231F20"/>
        </w:rPr>
        <w:t>депоније</w:t>
      </w:r>
      <w:r>
        <w:rPr>
          <w:color w:val="231F20"/>
          <w:spacing w:val="-9"/>
        </w:rPr>
        <w:t> </w:t>
      </w:r>
      <w:r>
        <w:rPr>
          <w:color w:val="231F20"/>
        </w:rPr>
        <w:t>у</w:t>
      </w:r>
      <w:r>
        <w:rPr>
          <w:color w:val="231F20"/>
          <w:spacing w:val="-9"/>
        </w:rPr>
        <w:t> </w:t>
      </w:r>
      <w:r>
        <w:rPr>
          <w:color w:val="231F20"/>
        </w:rPr>
        <w:t>површинском</w:t>
      </w:r>
      <w:r>
        <w:rPr>
          <w:color w:val="231F20"/>
          <w:spacing w:val="-9"/>
        </w:rPr>
        <w:t> </w:t>
      </w:r>
      <w:r>
        <w:rPr>
          <w:color w:val="231F20"/>
          <w:spacing w:val="-3"/>
        </w:rPr>
        <w:t>копу</w:t>
      </w:r>
      <w:r>
        <w:rPr>
          <w:color w:val="231F20"/>
          <w:spacing w:val="-9"/>
        </w:rPr>
        <w:t> </w:t>
      </w:r>
      <w:r>
        <w:rPr>
          <w:color w:val="231F20"/>
        </w:rPr>
        <w:t>„Кленовник”.</w:t>
      </w:r>
      <w:r>
        <w:rPr>
          <w:color w:val="231F20"/>
          <w:spacing w:val="-9"/>
        </w:rPr>
        <w:t> </w:t>
      </w:r>
      <w:r>
        <w:rPr>
          <w:color w:val="231F20"/>
        </w:rPr>
        <w:t>Реали- зација ових пројеката систематски се спроводи </w:t>
      </w:r>
      <w:r>
        <w:rPr>
          <w:color w:val="231F20"/>
          <w:spacing w:val="-3"/>
        </w:rPr>
        <w:t>од </w:t>
      </w:r>
      <w:r>
        <w:rPr>
          <w:color w:val="231F20"/>
        </w:rPr>
        <w:t>2004. </w:t>
      </w:r>
      <w:r>
        <w:rPr>
          <w:color w:val="231F20"/>
          <w:spacing w:val="-3"/>
        </w:rPr>
        <w:t>године</w:t>
      </w:r>
      <w:r>
        <w:rPr>
          <w:color w:val="231F20"/>
        </w:rPr>
        <w:t> за</w:t>
      </w:r>
    </w:p>
    <w:p>
      <w:pPr>
        <w:pStyle w:val="BodyText"/>
        <w:spacing w:line="235" w:lineRule="auto" w:before="66"/>
        <w:ind w:left="173" w:right="409"/>
      </w:pPr>
      <w:r>
        <w:rPr/>
        <w:br w:type="column"/>
      </w:r>
      <w:r>
        <w:rPr>
          <w:color w:val="231F20"/>
        </w:rPr>
        <w:t>депонију „Јеремијино поље”, односно од 2011. године за депонију у површинском копу „Кленовник”. Посебну предност представља и чињеница да се последњих година спроводи и примарна селек- ција отпада.</w:t>
      </w:r>
    </w:p>
    <w:p>
      <w:pPr>
        <w:pStyle w:val="BodyText"/>
        <w:spacing w:line="232" w:lineRule="auto"/>
        <w:ind w:left="173" w:right="409" w:firstLine="397"/>
      </w:pPr>
      <w:r>
        <w:rPr>
          <w:color w:val="231F20"/>
        </w:rPr>
        <w:t>Ограничења представљају: депоновање отпада на неуре- ђеним и несанитарним депонијама, нерегулисано депоновање отпада из руралних средина, непостојање интегралног система рециклаже, незадовољавајући начина одржавања и недовољни капацитети гробаља, мали број и незадовољавајући хигијенски услови</w:t>
      </w:r>
      <w:r>
        <w:rPr>
          <w:color w:val="231F20"/>
          <w:spacing w:val="-8"/>
        </w:rPr>
        <w:t> </w:t>
      </w:r>
      <w:r>
        <w:rPr>
          <w:color w:val="231F20"/>
        </w:rPr>
        <w:t>зелених</w:t>
      </w:r>
      <w:r>
        <w:rPr>
          <w:color w:val="231F20"/>
          <w:spacing w:val="-8"/>
        </w:rPr>
        <w:t> </w:t>
      </w:r>
      <w:r>
        <w:rPr>
          <w:color w:val="231F20"/>
        </w:rPr>
        <w:t>и</w:t>
      </w:r>
      <w:r>
        <w:rPr>
          <w:color w:val="231F20"/>
          <w:spacing w:val="-8"/>
        </w:rPr>
        <w:t> </w:t>
      </w:r>
      <w:r>
        <w:rPr>
          <w:color w:val="231F20"/>
        </w:rPr>
        <w:t>сточних</w:t>
      </w:r>
      <w:r>
        <w:rPr>
          <w:color w:val="231F20"/>
          <w:spacing w:val="-8"/>
        </w:rPr>
        <w:t> </w:t>
      </w:r>
      <w:r>
        <w:rPr>
          <w:color w:val="231F20"/>
        </w:rPr>
        <w:t>пијаца</w:t>
      </w:r>
      <w:r>
        <w:rPr>
          <w:color w:val="231F20"/>
          <w:spacing w:val="-8"/>
        </w:rPr>
        <w:t> </w:t>
      </w:r>
      <w:r>
        <w:rPr>
          <w:color w:val="231F20"/>
          <w:spacing w:val="-3"/>
        </w:rPr>
        <w:t>које</w:t>
      </w:r>
      <w:r>
        <w:rPr>
          <w:color w:val="231F20"/>
          <w:spacing w:val="-8"/>
        </w:rPr>
        <w:t> </w:t>
      </w:r>
      <w:r>
        <w:rPr>
          <w:color w:val="231F20"/>
        </w:rPr>
        <w:t>не</w:t>
      </w:r>
      <w:r>
        <w:rPr>
          <w:color w:val="231F20"/>
          <w:spacing w:val="-8"/>
        </w:rPr>
        <w:t> </w:t>
      </w:r>
      <w:r>
        <w:rPr>
          <w:color w:val="231F20"/>
        </w:rPr>
        <w:t>одговарају</w:t>
      </w:r>
      <w:r>
        <w:rPr>
          <w:color w:val="231F20"/>
          <w:spacing w:val="-8"/>
        </w:rPr>
        <w:t> </w:t>
      </w:r>
      <w:r>
        <w:rPr>
          <w:color w:val="231F20"/>
        </w:rPr>
        <w:t>потребама</w:t>
      </w:r>
      <w:r>
        <w:rPr>
          <w:color w:val="231F20"/>
          <w:spacing w:val="-8"/>
        </w:rPr>
        <w:t> </w:t>
      </w:r>
      <w:r>
        <w:rPr>
          <w:color w:val="231F20"/>
        </w:rPr>
        <w:t>ста- новништва и</w:t>
      </w:r>
      <w:r>
        <w:rPr>
          <w:color w:val="231F20"/>
          <w:spacing w:val="-2"/>
        </w:rPr>
        <w:t> </w:t>
      </w:r>
      <w:r>
        <w:rPr>
          <w:color w:val="231F20"/>
        </w:rPr>
        <w:t>друго.</w:t>
      </w:r>
    </w:p>
    <w:p>
      <w:pPr>
        <w:pStyle w:val="ListParagraph"/>
        <w:numPr>
          <w:ilvl w:val="1"/>
          <w:numId w:val="19"/>
        </w:numPr>
        <w:tabs>
          <w:tab w:pos="1077" w:val="left" w:leader="none"/>
        </w:tabs>
        <w:spacing w:line="240" w:lineRule="auto" w:before="163" w:after="0"/>
        <w:ind w:left="1076" w:right="0" w:hanging="315"/>
        <w:jc w:val="left"/>
        <w:rPr>
          <w:i/>
          <w:sz w:val="18"/>
        </w:rPr>
      </w:pPr>
      <w:r>
        <w:rPr>
          <w:i/>
          <w:color w:val="231F20"/>
          <w:sz w:val="18"/>
        </w:rPr>
        <w:t>Становништво, јавне службе и мрежа</w:t>
      </w:r>
      <w:r>
        <w:rPr>
          <w:i/>
          <w:color w:val="231F20"/>
          <w:spacing w:val="-7"/>
          <w:sz w:val="18"/>
        </w:rPr>
        <w:t> </w:t>
      </w:r>
      <w:r>
        <w:rPr>
          <w:i/>
          <w:color w:val="231F20"/>
          <w:sz w:val="18"/>
        </w:rPr>
        <w:t>насеља</w:t>
      </w:r>
    </w:p>
    <w:p>
      <w:pPr>
        <w:pStyle w:val="ListParagraph"/>
        <w:numPr>
          <w:ilvl w:val="2"/>
          <w:numId w:val="19"/>
        </w:numPr>
        <w:tabs>
          <w:tab w:pos="2265" w:val="left" w:leader="none"/>
        </w:tabs>
        <w:spacing w:line="240" w:lineRule="auto" w:before="107" w:after="0"/>
        <w:ind w:left="2264" w:right="0" w:hanging="450"/>
        <w:jc w:val="left"/>
        <w:rPr>
          <w:sz w:val="18"/>
        </w:rPr>
      </w:pPr>
      <w:r>
        <w:rPr>
          <w:color w:val="231F20"/>
          <w:spacing w:val="8"/>
          <w:sz w:val="18"/>
        </w:rPr>
        <w:t>Ст</w:t>
      </w:r>
      <w:r>
        <w:rPr>
          <w:color w:val="231F20"/>
          <w:spacing w:val="-22"/>
          <w:sz w:val="18"/>
        </w:rPr>
        <w:t> </w:t>
      </w:r>
      <w:r>
        <w:rPr>
          <w:color w:val="231F20"/>
          <w:spacing w:val="17"/>
          <w:sz w:val="18"/>
        </w:rPr>
        <w:t>ановништво</w:t>
      </w:r>
    </w:p>
    <w:p>
      <w:pPr>
        <w:pStyle w:val="BodyText"/>
        <w:spacing w:before="4"/>
        <w:ind w:left="0"/>
        <w:jc w:val="left"/>
        <w:rPr>
          <w:sz w:val="17"/>
        </w:rPr>
      </w:pPr>
    </w:p>
    <w:p>
      <w:pPr>
        <w:pStyle w:val="BodyText"/>
        <w:spacing w:line="232" w:lineRule="auto"/>
        <w:ind w:left="171" w:right="410" w:firstLine="398"/>
      </w:pPr>
      <w:r>
        <w:rPr>
          <w:color w:val="231F20"/>
        </w:rPr>
        <w:t>Према првим резултатима Пописа 2011. </w:t>
      </w:r>
      <w:r>
        <w:rPr>
          <w:color w:val="231F20"/>
          <w:spacing w:val="-3"/>
        </w:rPr>
        <w:t>године </w:t>
      </w:r>
      <w:r>
        <w:rPr>
          <w:color w:val="231F20"/>
        </w:rPr>
        <w:t>на План- </w:t>
      </w:r>
      <w:r>
        <w:rPr>
          <w:color w:val="231F20"/>
          <w:spacing w:val="-4"/>
        </w:rPr>
        <w:t>ском </w:t>
      </w:r>
      <w:r>
        <w:rPr>
          <w:color w:val="231F20"/>
        </w:rPr>
        <w:t>подручју живи </w:t>
      </w:r>
      <w:r>
        <w:rPr>
          <w:color w:val="231F20"/>
          <w:spacing w:val="-4"/>
        </w:rPr>
        <w:t>око </w:t>
      </w:r>
      <w:r>
        <w:rPr>
          <w:color w:val="231F20"/>
        </w:rPr>
        <w:t>76.200 становника</w:t>
      </w:r>
      <w:r>
        <w:rPr>
          <w:color w:val="231F20"/>
          <w:position w:val="6"/>
          <w:sz w:val="10"/>
        </w:rPr>
        <w:t>8</w:t>
      </w:r>
      <w:r>
        <w:rPr>
          <w:color w:val="231F20"/>
        </w:rPr>
        <w:t>. Популациони раст на </w:t>
      </w:r>
      <w:r>
        <w:rPr>
          <w:color w:val="231F20"/>
          <w:spacing w:val="-3"/>
        </w:rPr>
        <w:t>Планском </w:t>
      </w:r>
      <w:r>
        <w:rPr>
          <w:color w:val="231F20"/>
        </w:rPr>
        <w:t>подручју у периоду 1948 – 2011. </w:t>
      </w:r>
      <w:r>
        <w:rPr>
          <w:color w:val="231F20"/>
          <w:spacing w:val="-3"/>
        </w:rPr>
        <w:t>године </w:t>
      </w:r>
      <w:r>
        <w:rPr>
          <w:color w:val="231F20"/>
        </w:rPr>
        <w:t>(индекс 133,9; стопа раста 4,5‰) виши je </w:t>
      </w:r>
      <w:r>
        <w:rPr>
          <w:color w:val="231F20"/>
          <w:spacing w:val="-3"/>
        </w:rPr>
        <w:t>од </w:t>
      </w:r>
      <w:r>
        <w:rPr>
          <w:color w:val="231F20"/>
        </w:rPr>
        <w:t>просека за Централну Србију (ин- декс 125,3; стопа 3,6 ‰). Истовремено, Браничевски управни округ бележи опадање броја становника (индекс 73,2; стопа – 4,9‰).</w:t>
      </w:r>
      <w:r>
        <w:rPr>
          <w:color w:val="231F20"/>
          <w:spacing w:val="-6"/>
        </w:rPr>
        <w:t> </w:t>
      </w:r>
      <w:r>
        <w:rPr>
          <w:color w:val="231F20"/>
        </w:rPr>
        <w:t>Посматрано</w:t>
      </w:r>
      <w:r>
        <w:rPr>
          <w:color w:val="231F20"/>
          <w:spacing w:val="-6"/>
        </w:rPr>
        <w:t> </w:t>
      </w:r>
      <w:r>
        <w:rPr>
          <w:color w:val="231F20"/>
        </w:rPr>
        <w:t>по</w:t>
      </w:r>
      <w:r>
        <w:rPr>
          <w:color w:val="231F20"/>
          <w:spacing w:val="-6"/>
        </w:rPr>
        <w:t> </w:t>
      </w:r>
      <w:r>
        <w:rPr>
          <w:color w:val="231F20"/>
        </w:rPr>
        <w:t>међупописним</w:t>
      </w:r>
      <w:r>
        <w:rPr>
          <w:color w:val="231F20"/>
          <w:spacing w:val="-6"/>
        </w:rPr>
        <w:t> </w:t>
      </w:r>
      <w:r>
        <w:rPr>
          <w:color w:val="231F20"/>
        </w:rPr>
        <w:t>периодима</w:t>
      </w:r>
      <w:r>
        <w:rPr>
          <w:color w:val="231F20"/>
          <w:spacing w:val="-6"/>
        </w:rPr>
        <w:t> </w:t>
      </w:r>
      <w:r>
        <w:rPr>
          <w:color w:val="231F20"/>
        </w:rPr>
        <w:t>пораст</w:t>
      </w:r>
      <w:r>
        <w:rPr>
          <w:color w:val="231F20"/>
          <w:spacing w:val="-6"/>
        </w:rPr>
        <w:t> </w:t>
      </w:r>
      <w:r>
        <w:rPr>
          <w:color w:val="231F20"/>
        </w:rPr>
        <w:t>броја</w:t>
      </w:r>
      <w:r>
        <w:rPr>
          <w:color w:val="231F20"/>
          <w:spacing w:val="-6"/>
        </w:rPr>
        <w:t> </w:t>
      </w:r>
      <w:r>
        <w:rPr>
          <w:color w:val="231F20"/>
        </w:rPr>
        <w:t>ста- новника је био све слабијег интензитета, а последње две деценије евидентно је опадање броја становника. </w:t>
      </w:r>
      <w:r>
        <w:rPr>
          <w:color w:val="231F20"/>
          <w:spacing w:val="-3"/>
        </w:rPr>
        <w:t>Такође, </w:t>
      </w:r>
      <w:r>
        <w:rPr>
          <w:color w:val="231F20"/>
        </w:rPr>
        <w:t>раст броја станов- ника бележе само градска насеља Пожаревац и Костолац, док је у сеоским насељима евидентно</w:t>
      </w:r>
      <w:r>
        <w:rPr>
          <w:color w:val="231F20"/>
          <w:spacing w:val="-2"/>
        </w:rPr>
        <w:t> </w:t>
      </w:r>
      <w:r>
        <w:rPr>
          <w:color w:val="231F20"/>
        </w:rPr>
        <w:t>опадање.</w:t>
      </w:r>
    </w:p>
    <w:p>
      <w:pPr>
        <w:pStyle w:val="BodyText"/>
        <w:spacing w:line="232" w:lineRule="auto" w:before="4"/>
        <w:ind w:left="172" w:right="411" w:firstLine="396"/>
      </w:pPr>
      <w:r>
        <w:rPr>
          <w:color w:val="231F20"/>
        </w:rPr>
        <w:t>Битна карактеристика овог подручја је да велики број гра- ђана ради/борави у иностранству. Према Попису 1991. године, у иностранству је радило/боравило око 9,3% становника Планског подручја, 2002. око 11%, а 2011. године око 12,5% и то: из град- ских насеља око 7%, а сеоских знатно више, око 26%.</w:t>
      </w:r>
    </w:p>
    <w:p>
      <w:pPr>
        <w:pStyle w:val="BodyText"/>
        <w:spacing w:line="232" w:lineRule="auto"/>
        <w:ind w:left="171" w:right="411" w:firstLine="397"/>
      </w:pPr>
      <w:r>
        <w:rPr>
          <w:color w:val="231F20"/>
        </w:rPr>
        <w:t>Број домаћинстава се у периоду 1948 – 2002. </w:t>
      </w:r>
      <w:r>
        <w:rPr>
          <w:color w:val="231F20"/>
          <w:spacing w:val="-3"/>
        </w:rPr>
        <w:t>година </w:t>
      </w:r>
      <w:r>
        <w:rPr>
          <w:color w:val="231F20"/>
        </w:rPr>
        <w:t>повећао се са 14.479 на 25.134, а према првим резултатима Пописа 2011. </w:t>
      </w:r>
      <w:r>
        <w:rPr>
          <w:color w:val="231F20"/>
          <w:spacing w:val="-3"/>
        </w:rPr>
        <w:t>године </w:t>
      </w:r>
      <w:r>
        <w:rPr>
          <w:color w:val="231F20"/>
        </w:rPr>
        <w:t>на </w:t>
      </w:r>
      <w:r>
        <w:rPr>
          <w:color w:val="231F20"/>
          <w:spacing w:val="-3"/>
        </w:rPr>
        <w:t>Планском </w:t>
      </w:r>
      <w:r>
        <w:rPr>
          <w:color w:val="231F20"/>
        </w:rPr>
        <w:t>подручју има </w:t>
      </w:r>
      <w:r>
        <w:rPr>
          <w:color w:val="231F20"/>
          <w:spacing w:val="-4"/>
        </w:rPr>
        <w:t>око </w:t>
      </w:r>
      <w:r>
        <w:rPr>
          <w:color w:val="231F20"/>
        </w:rPr>
        <w:t>26.000 домаћинстава. Про- сечно домаћинство, 2002. године је бројало 3,2 члана, а 2011. не- што мање, 2,9 чланова. У структури домаћинстава, двочлана чи- не четвртину (23%), једночлана и четворочлана </w:t>
      </w:r>
      <w:r>
        <w:rPr>
          <w:color w:val="231F20"/>
          <w:spacing w:val="-4"/>
        </w:rPr>
        <w:t>око </w:t>
      </w:r>
      <w:r>
        <w:rPr>
          <w:color w:val="231F20"/>
        </w:rPr>
        <w:t>две петине (19,6% и 20,4%), а затим следе трочлана (18,4%). Домаћинства са 5 чланова су учествовала са </w:t>
      </w:r>
      <w:r>
        <w:rPr>
          <w:color w:val="231F20"/>
          <w:spacing w:val="-4"/>
        </w:rPr>
        <w:t>око </w:t>
      </w:r>
      <w:r>
        <w:rPr>
          <w:color w:val="231F20"/>
        </w:rPr>
        <w:t>9 %, а већа домаћинства, </w:t>
      </w:r>
      <w:r>
        <w:rPr>
          <w:color w:val="231F20"/>
          <w:spacing w:val="-3"/>
        </w:rPr>
        <w:t>која </w:t>
      </w:r>
      <w:r>
        <w:rPr>
          <w:color w:val="231F20"/>
        </w:rPr>
        <w:t>су по правилу и вишегенерацијска, такође, са </w:t>
      </w:r>
      <w:r>
        <w:rPr>
          <w:color w:val="231F20"/>
          <w:spacing w:val="-4"/>
        </w:rPr>
        <w:t>око </w:t>
      </w:r>
      <w:r>
        <w:rPr>
          <w:color w:val="231F20"/>
        </w:rPr>
        <w:t>9%, али са значај- ним разликама између градских и сеоских насеља. У селима на подручју</w:t>
      </w:r>
      <w:r>
        <w:rPr>
          <w:color w:val="231F20"/>
          <w:spacing w:val="-8"/>
        </w:rPr>
        <w:t> </w:t>
      </w:r>
      <w:r>
        <w:rPr>
          <w:color w:val="231F20"/>
        </w:rPr>
        <w:t>града</w:t>
      </w:r>
      <w:r>
        <w:rPr>
          <w:color w:val="231F20"/>
          <w:spacing w:val="-7"/>
        </w:rPr>
        <w:t> </w:t>
      </w:r>
      <w:r>
        <w:rPr>
          <w:color w:val="231F20"/>
        </w:rPr>
        <w:t>Пожаревца</w:t>
      </w:r>
      <w:r>
        <w:rPr>
          <w:color w:val="231F20"/>
          <w:spacing w:val="-7"/>
        </w:rPr>
        <w:t> </w:t>
      </w:r>
      <w:r>
        <w:rPr>
          <w:color w:val="231F20"/>
        </w:rPr>
        <w:t>ова</w:t>
      </w:r>
      <w:r>
        <w:rPr>
          <w:color w:val="231F20"/>
          <w:spacing w:val="-7"/>
        </w:rPr>
        <w:t> </w:t>
      </w:r>
      <w:r>
        <w:rPr>
          <w:color w:val="231F20"/>
        </w:rPr>
        <w:t>домаћинства</w:t>
      </w:r>
      <w:r>
        <w:rPr>
          <w:color w:val="231F20"/>
          <w:spacing w:val="-7"/>
        </w:rPr>
        <w:t> </w:t>
      </w:r>
      <w:r>
        <w:rPr>
          <w:color w:val="231F20"/>
        </w:rPr>
        <w:t>чине</w:t>
      </w:r>
      <w:r>
        <w:rPr>
          <w:color w:val="231F20"/>
          <w:spacing w:val="-7"/>
        </w:rPr>
        <w:t> </w:t>
      </w:r>
      <w:r>
        <w:rPr>
          <w:color w:val="231F20"/>
        </w:rPr>
        <w:t>трећину</w:t>
      </w:r>
      <w:r>
        <w:rPr>
          <w:color w:val="231F20"/>
          <w:spacing w:val="-7"/>
        </w:rPr>
        <w:t> </w:t>
      </w:r>
      <w:r>
        <w:rPr>
          <w:color w:val="231F20"/>
          <w:spacing w:val="-3"/>
        </w:rPr>
        <w:t>од</w:t>
      </w:r>
      <w:r>
        <w:rPr>
          <w:color w:val="231F20"/>
          <w:spacing w:val="-7"/>
        </w:rPr>
        <w:t> </w:t>
      </w:r>
      <w:r>
        <w:rPr>
          <w:color w:val="231F20"/>
        </w:rPr>
        <w:t>укуп- ног</w:t>
      </w:r>
      <w:r>
        <w:rPr>
          <w:color w:val="231F20"/>
          <w:spacing w:val="-6"/>
        </w:rPr>
        <w:t> </w:t>
      </w:r>
      <w:r>
        <w:rPr>
          <w:color w:val="231F20"/>
        </w:rPr>
        <w:t>броја</w:t>
      </w:r>
      <w:r>
        <w:rPr>
          <w:color w:val="231F20"/>
          <w:spacing w:val="-6"/>
        </w:rPr>
        <w:t> </w:t>
      </w:r>
      <w:r>
        <w:rPr>
          <w:color w:val="231F20"/>
        </w:rPr>
        <w:t>(петочлана</w:t>
      </w:r>
      <w:r>
        <w:rPr>
          <w:color w:val="231F20"/>
          <w:spacing w:val="-6"/>
        </w:rPr>
        <w:t> </w:t>
      </w:r>
      <w:r>
        <w:rPr>
          <w:color w:val="231F20"/>
        </w:rPr>
        <w:t>14,6%</w:t>
      </w:r>
      <w:r>
        <w:rPr>
          <w:color w:val="231F20"/>
          <w:spacing w:val="-6"/>
        </w:rPr>
        <w:t> </w:t>
      </w:r>
      <w:r>
        <w:rPr>
          <w:color w:val="231F20"/>
        </w:rPr>
        <w:t>и</w:t>
      </w:r>
      <w:r>
        <w:rPr>
          <w:color w:val="231F20"/>
          <w:spacing w:val="-6"/>
        </w:rPr>
        <w:t> </w:t>
      </w:r>
      <w:r>
        <w:rPr>
          <w:color w:val="231F20"/>
        </w:rPr>
        <w:t>са</w:t>
      </w:r>
      <w:r>
        <w:rPr>
          <w:color w:val="231F20"/>
          <w:spacing w:val="-6"/>
        </w:rPr>
        <w:t> </w:t>
      </w:r>
      <w:r>
        <w:rPr>
          <w:color w:val="231F20"/>
        </w:rPr>
        <w:t>6</w:t>
      </w:r>
      <w:r>
        <w:rPr>
          <w:color w:val="231F20"/>
          <w:spacing w:val="-6"/>
        </w:rPr>
        <w:t> </w:t>
      </w:r>
      <w:r>
        <w:rPr>
          <w:color w:val="231F20"/>
        </w:rPr>
        <w:t>и</w:t>
      </w:r>
      <w:r>
        <w:rPr>
          <w:color w:val="231F20"/>
          <w:spacing w:val="-6"/>
        </w:rPr>
        <w:t> </w:t>
      </w:r>
      <w:r>
        <w:rPr>
          <w:color w:val="231F20"/>
        </w:rPr>
        <w:t>више</w:t>
      </w:r>
      <w:r>
        <w:rPr>
          <w:color w:val="231F20"/>
          <w:spacing w:val="-6"/>
        </w:rPr>
        <w:t> </w:t>
      </w:r>
      <w:r>
        <w:rPr>
          <w:color w:val="231F20"/>
        </w:rPr>
        <w:t>чланова</w:t>
      </w:r>
      <w:r>
        <w:rPr>
          <w:color w:val="231F20"/>
          <w:spacing w:val="-6"/>
        </w:rPr>
        <w:t> </w:t>
      </w:r>
      <w:r>
        <w:rPr>
          <w:color w:val="231F20"/>
        </w:rPr>
        <w:t>19,6%),</w:t>
      </w:r>
      <w:r>
        <w:rPr>
          <w:color w:val="231F20"/>
          <w:spacing w:val="-6"/>
        </w:rPr>
        <w:t> </w:t>
      </w:r>
      <w:r>
        <w:rPr>
          <w:color w:val="231F20"/>
        </w:rPr>
        <w:t>а</w:t>
      </w:r>
      <w:r>
        <w:rPr>
          <w:color w:val="231F20"/>
          <w:spacing w:val="-6"/>
        </w:rPr>
        <w:t> </w:t>
      </w:r>
      <w:r>
        <w:rPr>
          <w:color w:val="231F20"/>
        </w:rPr>
        <w:t>у</w:t>
      </w:r>
      <w:r>
        <w:rPr>
          <w:color w:val="231F20"/>
          <w:spacing w:val="-6"/>
        </w:rPr>
        <w:t> </w:t>
      </w:r>
      <w:r>
        <w:rPr>
          <w:color w:val="231F20"/>
        </w:rPr>
        <w:t>сели- ма општине Велико Градиште </w:t>
      </w:r>
      <w:r>
        <w:rPr>
          <w:color w:val="231F20"/>
          <w:spacing w:val="-3"/>
        </w:rPr>
        <w:t>преко </w:t>
      </w:r>
      <w:r>
        <w:rPr>
          <w:color w:val="231F20"/>
        </w:rPr>
        <w:t>две петине (18,8% и</w:t>
      </w:r>
      <w:r>
        <w:rPr>
          <w:color w:val="231F20"/>
          <w:spacing w:val="-32"/>
        </w:rPr>
        <w:t> </w:t>
      </w:r>
      <w:r>
        <w:rPr>
          <w:color w:val="231F20"/>
        </w:rPr>
        <w:t>23,4%).</w:t>
      </w:r>
    </w:p>
    <w:p>
      <w:pPr>
        <w:pStyle w:val="BodyText"/>
        <w:spacing w:line="232" w:lineRule="auto"/>
        <w:ind w:left="171" w:right="412" w:firstLine="397"/>
      </w:pPr>
      <w:r>
        <w:rPr>
          <w:color w:val="231F20"/>
        </w:rPr>
        <w:t>Последњих деценија евидентно је опадање природне ком- поненте обнављања становништва (смањење стопе наталитета и фертилитета и повећање стопе морталитета). Тако, просечна го- дишња стопа природног прираштаја се од 2,1‰ у периоду 1981</w:t>
      </w:r>
    </w:p>
    <w:p>
      <w:pPr>
        <w:pStyle w:val="BodyText"/>
        <w:spacing w:line="232" w:lineRule="auto"/>
        <w:ind w:left="171" w:right="412"/>
      </w:pPr>
      <w:r>
        <w:rPr>
          <w:color w:val="231F20"/>
          <w:w w:val="66"/>
        </w:rPr>
        <w:t> </w:t>
      </w:r>
      <w:r>
        <w:rPr>
          <w:color w:val="231F20"/>
        </w:rPr>
        <w:t>– 1991. година смањила на свега 0,1‰ у периоду 1991 – 2002. го- дина, а последњих година добија негативан предзнак.</w:t>
      </w:r>
    </w:p>
    <w:p>
      <w:pPr>
        <w:pStyle w:val="BodyText"/>
        <w:spacing w:line="232" w:lineRule="auto"/>
        <w:ind w:right="412" w:firstLine="397"/>
      </w:pPr>
      <w:r>
        <w:rPr>
          <w:color w:val="231F20"/>
        </w:rPr>
        <w:t>Интензивна имиграциона кретања, као и процес старења, изменили су укупне популационе потенцијале по великим старо- сним групама </w:t>
      </w:r>
      <w:r>
        <w:rPr>
          <w:color w:val="231F20"/>
          <w:spacing w:val="-3"/>
        </w:rPr>
        <w:t>(Графикон </w:t>
      </w:r>
      <w:r>
        <w:rPr>
          <w:color w:val="231F20"/>
        </w:rPr>
        <w:t>8). На </w:t>
      </w:r>
      <w:r>
        <w:rPr>
          <w:color w:val="231F20"/>
          <w:spacing w:val="-3"/>
        </w:rPr>
        <w:t>Планском </w:t>
      </w:r>
      <w:r>
        <w:rPr>
          <w:color w:val="231F20"/>
          <w:spacing w:val="-4"/>
        </w:rPr>
        <w:t>подручју, </w:t>
      </w:r>
      <w:r>
        <w:rPr>
          <w:color w:val="231F20"/>
        </w:rPr>
        <w:t>2002. </w:t>
      </w:r>
      <w:r>
        <w:rPr>
          <w:color w:val="231F20"/>
          <w:spacing w:val="-3"/>
        </w:rPr>
        <w:t>године, </w:t>
      </w:r>
      <w:r>
        <w:rPr>
          <w:color w:val="231F20"/>
        </w:rPr>
        <w:t>најмлађи контингент (до 19 година) је чинио 23% </w:t>
      </w:r>
      <w:r>
        <w:rPr>
          <w:color w:val="231F20"/>
          <w:spacing w:val="-3"/>
        </w:rPr>
        <w:t>од </w:t>
      </w:r>
      <w:r>
        <w:rPr>
          <w:color w:val="231F20"/>
        </w:rPr>
        <w:t>укупног ста- новништва, и са нешто вишим учешћем у градским (23,7%), него у</w:t>
      </w:r>
      <w:r>
        <w:rPr>
          <w:color w:val="231F20"/>
          <w:spacing w:val="-7"/>
        </w:rPr>
        <w:t> </w:t>
      </w:r>
      <w:r>
        <w:rPr>
          <w:color w:val="231F20"/>
        </w:rPr>
        <w:t>сеоским</w:t>
      </w:r>
      <w:r>
        <w:rPr>
          <w:color w:val="231F20"/>
          <w:spacing w:val="-7"/>
        </w:rPr>
        <w:t> </w:t>
      </w:r>
      <w:r>
        <w:rPr>
          <w:color w:val="231F20"/>
        </w:rPr>
        <w:t>насељима</w:t>
      </w:r>
      <w:r>
        <w:rPr>
          <w:color w:val="231F20"/>
          <w:spacing w:val="-7"/>
        </w:rPr>
        <w:t> </w:t>
      </w:r>
      <w:r>
        <w:rPr>
          <w:color w:val="231F20"/>
        </w:rPr>
        <w:t>(21,6%).</w:t>
      </w:r>
      <w:r>
        <w:rPr>
          <w:color w:val="231F20"/>
          <w:spacing w:val="-7"/>
        </w:rPr>
        <w:t> </w:t>
      </w:r>
      <w:r>
        <w:rPr>
          <w:color w:val="231F20"/>
        </w:rPr>
        <w:t>Млађе</w:t>
      </w:r>
      <w:r>
        <w:rPr>
          <w:color w:val="231F20"/>
          <w:spacing w:val="-7"/>
        </w:rPr>
        <w:t> </w:t>
      </w:r>
      <w:r>
        <w:rPr>
          <w:color w:val="231F20"/>
        </w:rPr>
        <w:t>средовечно</w:t>
      </w:r>
      <w:r>
        <w:rPr>
          <w:color w:val="231F20"/>
          <w:spacing w:val="-7"/>
        </w:rPr>
        <w:t> </w:t>
      </w:r>
      <w:r>
        <w:rPr>
          <w:color w:val="231F20"/>
        </w:rPr>
        <w:t>(20</w:t>
      </w:r>
      <w:r>
        <w:rPr>
          <w:color w:val="231F20"/>
          <w:spacing w:val="18"/>
        </w:rPr>
        <w:t> </w:t>
      </w:r>
      <w:r>
        <w:rPr>
          <w:color w:val="231F20"/>
        </w:rPr>
        <w:t>–</w:t>
      </w:r>
      <w:r>
        <w:rPr>
          <w:color w:val="231F20"/>
          <w:spacing w:val="-7"/>
        </w:rPr>
        <w:t> </w:t>
      </w:r>
      <w:r>
        <w:rPr>
          <w:color w:val="231F20"/>
        </w:rPr>
        <w:t>39</w:t>
      </w:r>
      <w:r>
        <w:rPr>
          <w:color w:val="231F20"/>
          <w:spacing w:val="-7"/>
        </w:rPr>
        <w:t> </w:t>
      </w:r>
      <w:r>
        <w:rPr>
          <w:color w:val="231F20"/>
        </w:rPr>
        <w:t>година)</w:t>
      </w:r>
      <w:r>
        <w:rPr>
          <w:color w:val="231F20"/>
          <w:spacing w:val="-7"/>
        </w:rPr>
        <w:t> </w:t>
      </w:r>
      <w:r>
        <w:rPr>
          <w:color w:val="231F20"/>
        </w:rPr>
        <w:t>и старије средовечно (40 – 59 година) становништво било је засту- пљено</w:t>
      </w:r>
      <w:r>
        <w:rPr>
          <w:color w:val="231F20"/>
          <w:spacing w:val="-5"/>
        </w:rPr>
        <w:t> </w:t>
      </w:r>
      <w:r>
        <w:rPr>
          <w:color w:val="231F20"/>
        </w:rPr>
        <w:t>скоро</w:t>
      </w:r>
      <w:r>
        <w:rPr>
          <w:color w:val="231F20"/>
          <w:spacing w:val="-5"/>
        </w:rPr>
        <w:t> </w:t>
      </w:r>
      <w:r>
        <w:rPr>
          <w:color w:val="231F20"/>
        </w:rPr>
        <w:t>у</w:t>
      </w:r>
      <w:r>
        <w:rPr>
          <w:color w:val="231F20"/>
          <w:spacing w:val="-5"/>
        </w:rPr>
        <w:t> </w:t>
      </w:r>
      <w:r>
        <w:rPr>
          <w:color w:val="231F20"/>
        </w:rPr>
        <w:t>истом</w:t>
      </w:r>
      <w:r>
        <w:rPr>
          <w:color w:val="231F20"/>
          <w:spacing w:val="-5"/>
        </w:rPr>
        <w:t> </w:t>
      </w:r>
      <w:r>
        <w:rPr>
          <w:color w:val="231F20"/>
        </w:rPr>
        <w:t>износу</w:t>
      </w:r>
      <w:r>
        <w:rPr>
          <w:color w:val="231F20"/>
          <w:spacing w:val="-5"/>
        </w:rPr>
        <w:t> </w:t>
      </w:r>
      <w:r>
        <w:rPr>
          <w:color w:val="231F20"/>
        </w:rPr>
        <w:t>26,6%</w:t>
      </w:r>
      <w:r>
        <w:rPr>
          <w:color w:val="231F20"/>
          <w:spacing w:val="-5"/>
        </w:rPr>
        <w:t> </w:t>
      </w:r>
      <w:r>
        <w:rPr>
          <w:color w:val="231F20"/>
        </w:rPr>
        <w:t>и</w:t>
      </w:r>
      <w:r>
        <w:rPr>
          <w:color w:val="231F20"/>
          <w:spacing w:val="-5"/>
        </w:rPr>
        <w:t> </w:t>
      </w:r>
      <w:r>
        <w:rPr>
          <w:color w:val="231F20"/>
        </w:rPr>
        <w:t>27,1%,</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градским</w:t>
      </w:r>
      <w:r>
        <w:rPr>
          <w:color w:val="231F20"/>
          <w:spacing w:val="-5"/>
        </w:rPr>
        <w:t> </w:t>
      </w:r>
      <w:r>
        <w:rPr>
          <w:color w:val="231F20"/>
        </w:rPr>
        <w:t>(27,7%</w:t>
      </w:r>
      <w:r>
        <w:rPr>
          <w:color w:val="231F20"/>
          <w:spacing w:val="-5"/>
        </w:rPr>
        <w:t> </w:t>
      </w:r>
      <w:r>
        <w:rPr>
          <w:color w:val="231F20"/>
        </w:rPr>
        <w:t>и 28,6%) и осталим насељима (24,4% и 24,2%). Становништво ста- рије </w:t>
      </w:r>
      <w:r>
        <w:rPr>
          <w:color w:val="231F20"/>
          <w:spacing w:val="-3"/>
        </w:rPr>
        <w:t>од </w:t>
      </w:r>
      <w:r>
        <w:rPr>
          <w:color w:val="231F20"/>
        </w:rPr>
        <w:t>60 </w:t>
      </w:r>
      <w:r>
        <w:rPr>
          <w:color w:val="231F20"/>
          <w:spacing w:val="-3"/>
        </w:rPr>
        <w:t>година </w:t>
      </w:r>
      <w:r>
        <w:rPr>
          <w:color w:val="231F20"/>
        </w:rPr>
        <w:t>је учествовало са 22,2%, а разлика између град- ских и сеоских насеља је већ веома велика (18,8% :</w:t>
      </w:r>
      <w:r>
        <w:rPr>
          <w:color w:val="231F20"/>
          <w:spacing w:val="-10"/>
        </w:rPr>
        <w:t> </w:t>
      </w:r>
      <w:r>
        <w:rPr>
          <w:color w:val="231F20"/>
        </w:rPr>
        <w:t>28,7%).</w:t>
      </w:r>
    </w:p>
    <w:p>
      <w:pPr>
        <w:pStyle w:val="BodyText"/>
        <w:spacing w:line="232" w:lineRule="auto"/>
        <w:ind w:right="412" w:firstLine="396"/>
      </w:pPr>
      <w:r>
        <w:rPr>
          <w:color w:val="231F20"/>
        </w:rPr>
        <w:t>Такође, од 30 насеља на Планском подручју, у стадијуму де- мографске старости (35-39 година) су градска насеља Пожаревац и Костолац (просечна старост 39 и 36 година), 20 насеља је у ста- дијуму дубоке демографске старости (40 – 43 године), а осам у стадијуму најдубље демографске старости (просечна старост 44 и више година).</w:t>
      </w:r>
    </w:p>
    <w:p>
      <w:pPr>
        <w:spacing w:line="149" w:lineRule="exact" w:before="0"/>
        <w:ind w:left="171" w:right="0" w:firstLine="0"/>
        <w:jc w:val="left"/>
        <w:rPr>
          <w:sz w:val="14"/>
        </w:rPr>
      </w:pPr>
      <w:r>
        <w:rPr>
          <w:color w:val="231F20"/>
          <w:w w:val="66"/>
          <w:sz w:val="14"/>
        </w:rPr>
        <w:t> </w:t>
      </w:r>
      <w:r>
        <w:rPr>
          <w:color w:val="231F20"/>
          <w:w w:val="75"/>
          <w:sz w:val="14"/>
        </w:rPr>
        <w:t>– – – – – – – – – – – – – –</w:t>
      </w:r>
    </w:p>
    <w:p>
      <w:pPr>
        <w:spacing w:before="0"/>
        <w:ind w:left="455" w:right="411" w:hanging="284"/>
        <w:jc w:val="both"/>
        <w:rPr>
          <w:sz w:val="14"/>
        </w:rPr>
      </w:pPr>
      <w:r>
        <w:rPr>
          <w:color w:val="231F20"/>
          <w:sz w:val="14"/>
        </w:rPr>
        <w:t>8  У извештају Републичког завода за статистику о првим резултатима Пописа   2011.</w:t>
      </w:r>
      <w:r>
        <w:rPr>
          <w:color w:val="231F20"/>
          <w:spacing w:val="-5"/>
          <w:sz w:val="14"/>
        </w:rPr>
        <w:t> </w:t>
      </w:r>
      <w:r>
        <w:rPr>
          <w:color w:val="231F20"/>
          <w:sz w:val="14"/>
        </w:rPr>
        <w:t>године</w:t>
      </w:r>
      <w:r>
        <w:rPr>
          <w:color w:val="231F20"/>
          <w:spacing w:val="-5"/>
          <w:sz w:val="14"/>
        </w:rPr>
        <w:t> </w:t>
      </w:r>
      <w:r>
        <w:rPr>
          <w:color w:val="231F20"/>
          <w:sz w:val="14"/>
        </w:rPr>
        <w:t>наводи</w:t>
      </w:r>
      <w:r>
        <w:rPr>
          <w:color w:val="231F20"/>
          <w:spacing w:val="-5"/>
          <w:sz w:val="14"/>
        </w:rPr>
        <w:t> </w:t>
      </w:r>
      <w:r>
        <w:rPr>
          <w:color w:val="231F20"/>
          <w:sz w:val="14"/>
        </w:rPr>
        <w:t>се</w:t>
      </w:r>
      <w:r>
        <w:rPr>
          <w:color w:val="231F20"/>
          <w:spacing w:val="-5"/>
          <w:sz w:val="14"/>
        </w:rPr>
        <w:t> </w:t>
      </w:r>
      <w:r>
        <w:rPr>
          <w:color w:val="231F20"/>
          <w:sz w:val="14"/>
        </w:rPr>
        <w:t>да</w:t>
      </w:r>
      <w:r>
        <w:rPr>
          <w:color w:val="231F20"/>
          <w:spacing w:val="-5"/>
          <w:sz w:val="14"/>
        </w:rPr>
        <w:t> </w:t>
      </w:r>
      <w:r>
        <w:rPr>
          <w:color w:val="231F20"/>
          <w:sz w:val="14"/>
        </w:rPr>
        <w:t>приликом</w:t>
      </w:r>
      <w:r>
        <w:rPr>
          <w:color w:val="231F20"/>
          <w:spacing w:val="-5"/>
          <w:sz w:val="14"/>
        </w:rPr>
        <w:t> </w:t>
      </w:r>
      <w:r>
        <w:rPr>
          <w:color w:val="231F20"/>
          <w:sz w:val="14"/>
        </w:rPr>
        <w:t>израчунавања</w:t>
      </w:r>
      <w:r>
        <w:rPr>
          <w:color w:val="231F20"/>
          <w:spacing w:val="-5"/>
          <w:sz w:val="14"/>
        </w:rPr>
        <w:t> </w:t>
      </w:r>
      <w:r>
        <w:rPr>
          <w:color w:val="231F20"/>
          <w:sz w:val="14"/>
        </w:rPr>
        <w:t>првих</w:t>
      </w:r>
      <w:r>
        <w:rPr>
          <w:color w:val="231F20"/>
          <w:spacing w:val="-5"/>
          <w:sz w:val="14"/>
        </w:rPr>
        <w:t> </w:t>
      </w:r>
      <w:r>
        <w:rPr>
          <w:color w:val="231F20"/>
          <w:sz w:val="14"/>
        </w:rPr>
        <w:t>резултата</w:t>
      </w:r>
      <w:r>
        <w:rPr>
          <w:color w:val="231F20"/>
          <w:spacing w:val="-5"/>
          <w:sz w:val="14"/>
        </w:rPr>
        <w:t> </w:t>
      </w:r>
      <w:r>
        <w:rPr>
          <w:color w:val="231F20"/>
          <w:sz w:val="14"/>
        </w:rPr>
        <w:t>Пописа</w:t>
      </w:r>
      <w:r>
        <w:rPr>
          <w:color w:val="231F20"/>
          <w:spacing w:val="-5"/>
          <w:sz w:val="14"/>
        </w:rPr>
        <w:t> </w:t>
      </w:r>
      <w:r>
        <w:rPr>
          <w:color w:val="231F20"/>
          <w:sz w:val="14"/>
        </w:rPr>
        <w:t>нису узети у обзир сви параметри за дефинисање укупног становништва </w:t>
      </w:r>
      <w:r>
        <w:rPr>
          <w:color w:val="231F20"/>
          <w:spacing w:val="-3"/>
          <w:sz w:val="14"/>
        </w:rPr>
        <w:t>који </w:t>
      </w:r>
      <w:r>
        <w:rPr>
          <w:color w:val="231F20"/>
          <w:sz w:val="14"/>
        </w:rPr>
        <w:t>ће бити примењени приликом израде </w:t>
      </w:r>
      <w:r>
        <w:rPr>
          <w:color w:val="231F20"/>
          <w:spacing w:val="-3"/>
          <w:sz w:val="14"/>
        </w:rPr>
        <w:t>коначних </w:t>
      </w:r>
      <w:r>
        <w:rPr>
          <w:color w:val="231F20"/>
          <w:sz w:val="14"/>
        </w:rPr>
        <w:t>резултата. Такође, одређени број лица и домаћинстава која су пописана </w:t>
      </w:r>
      <w:r>
        <w:rPr>
          <w:color w:val="231F20"/>
          <w:spacing w:val="-3"/>
          <w:sz w:val="14"/>
        </w:rPr>
        <w:t>током </w:t>
      </w:r>
      <w:r>
        <w:rPr>
          <w:color w:val="231F20"/>
          <w:sz w:val="14"/>
        </w:rPr>
        <w:t>накнадног пописивања нису распоређени по</w:t>
      </w:r>
      <w:r>
        <w:rPr>
          <w:color w:val="231F20"/>
          <w:spacing w:val="-4"/>
          <w:sz w:val="14"/>
        </w:rPr>
        <w:t> </w:t>
      </w:r>
      <w:r>
        <w:rPr>
          <w:color w:val="231F20"/>
          <w:sz w:val="14"/>
        </w:rPr>
        <w:t>пописним</w:t>
      </w:r>
      <w:r>
        <w:rPr>
          <w:color w:val="231F20"/>
          <w:spacing w:val="-4"/>
          <w:sz w:val="14"/>
        </w:rPr>
        <w:t> </w:t>
      </w:r>
      <w:r>
        <w:rPr>
          <w:color w:val="231F20"/>
          <w:sz w:val="14"/>
        </w:rPr>
        <w:t>круговима/насељима</w:t>
      </w:r>
      <w:r>
        <w:rPr>
          <w:color w:val="231F20"/>
          <w:spacing w:val="-4"/>
          <w:sz w:val="14"/>
        </w:rPr>
        <w:t> </w:t>
      </w:r>
      <w:r>
        <w:rPr>
          <w:color w:val="231F20"/>
          <w:sz w:val="14"/>
        </w:rPr>
        <w:t>и</w:t>
      </w:r>
      <w:r>
        <w:rPr>
          <w:color w:val="231F20"/>
          <w:spacing w:val="-4"/>
          <w:sz w:val="14"/>
        </w:rPr>
        <w:t> </w:t>
      </w:r>
      <w:r>
        <w:rPr>
          <w:color w:val="231F20"/>
          <w:sz w:val="14"/>
        </w:rPr>
        <w:t>исказани</w:t>
      </w:r>
      <w:r>
        <w:rPr>
          <w:color w:val="231F20"/>
          <w:spacing w:val="-4"/>
          <w:sz w:val="14"/>
        </w:rPr>
        <w:t> </w:t>
      </w:r>
      <w:r>
        <w:rPr>
          <w:color w:val="231F20"/>
          <w:sz w:val="14"/>
        </w:rPr>
        <w:t>су</w:t>
      </w:r>
      <w:r>
        <w:rPr>
          <w:color w:val="231F20"/>
          <w:spacing w:val="-4"/>
          <w:sz w:val="14"/>
        </w:rPr>
        <w:t> </w:t>
      </w:r>
      <w:r>
        <w:rPr>
          <w:color w:val="231F20"/>
          <w:sz w:val="14"/>
        </w:rPr>
        <w:t>као</w:t>
      </w:r>
      <w:r>
        <w:rPr>
          <w:color w:val="231F20"/>
          <w:spacing w:val="-4"/>
          <w:sz w:val="14"/>
        </w:rPr>
        <w:t> </w:t>
      </w:r>
      <w:r>
        <w:rPr>
          <w:color w:val="231F20"/>
          <w:sz w:val="14"/>
        </w:rPr>
        <w:t>„нераспоређени”</w:t>
      </w:r>
      <w:r>
        <w:rPr>
          <w:color w:val="231F20"/>
          <w:spacing w:val="-4"/>
          <w:sz w:val="14"/>
        </w:rPr>
        <w:t> </w:t>
      </w:r>
      <w:r>
        <w:rPr>
          <w:color w:val="231F20"/>
          <w:sz w:val="14"/>
        </w:rPr>
        <w:t>(око</w:t>
      </w:r>
      <w:r>
        <w:rPr>
          <w:color w:val="231F20"/>
          <w:spacing w:val="-4"/>
          <w:sz w:val="14"/>
        </w:rPr>
        <w:t> </w:t>
      </w:r>
      <w:r>
        <w:rPr>
          <w:color w:val="231F20"/>
          <w:sz w:val="14"/>
        </w:rPr>
        <w:t>1.200 лица на Планском</w:t>
      </w:r>
      <w:r>
        <w:rPr>
          <w:color w:val="231F20"/>
          <w:spacing w:val="-3"/>
          <w:sz w:val="14"/>
        </w:rPr>
        <w:t> </w:t>
      </w:r>
      <w:r>
        <w:rPr>
          <w:color w:val="231F20"/>
          <w:sz w:val="14"/>
        </w:rPr>
        <w:t>подручју).</w:t>
      </w:r>
    </w:p>
    <w:p>
      <w:pPr>
        <w:spacing w:after="0"/>
        <w:jc w:val="both"/>
        <w:rPr>
          <w:sz w:val="14"/>
        </w:rPr>
        <w:sectPr>
          <w:pgSz w:w="12480" w:h="15690"/>
          <w:pgMar w:top="120" w:bottom="280" w:left="680" w:right="720"/>
          <w:cols w:num="2" w:equalWidth="0">
            <w:col w:w="5315" w:space="69"/>
            <w:col w:w="5696"/>
          </w:cols>
        </w:sectPr>
      </w:pPr>
    </w:p>
    <w:p>
      <w:pPr>
        <w:pStyle w:val="BodyText"/>
        <w:spacing w:line="232" w:lineRule="auto" w:before="73"/>
        <w:ind w:left="453" w:firstLine="397"/>
      </w:pPr>
      <w:r>
        <w:rPr/>
        <w:pict>
          <v:line style="position:absolute;mso-position-horizontal-relative:page;mso-position-vertical-relative:page;z-index:1528" from="318.897614pt,11.942451pt" to="318.897614pt,748.950451pt" stroked="true" strokeweight=".6pt" strokecolor="#231f20">
            <v:stroke dashstyle="solid"/>
            <w10:wrap type="none"/>
          </v:line>
        </w:pict>
      </w:r>
      <w:r>
        <w:rPr>
          <w:color w:val="231F20"/>
        </w:rPr>
        <w:t>На </w:t>
      </w:r>
      <w:r>
        <w:rPr>
          <w:color w:val="231F20"/>
          <w:spacing w:val="-3"/>
        </w:rPr>
        <w:t>Планском </w:t>
      </w:r>
      <w:r>
        <w:rPr>
          <w:color w:val="231F20"/>
        </w:rPr>
        <w:t>подручју се у периоду 1991 – 2002. </w:t>
      </w:r>
      <w:r>
        <w:rPr>
          <w:color w:val="231F20"/>
          <w:spacing w:val="-3"/>
        </w:rPr>
        <w:t>година </w:t>
      </w:r>
      <w:r>
        <w:rPr>
          <w:color w:val="231F20"/>
        </w:rPr>
        <w:t>сма- њило учешће активног и издржаваног становништва, а повећало учешће лица с личним </w:t>
      </w:r>
      <w:r>
        <w:rPr>
          <w:color w:val="231F20"/>
          <w:spacing w:val="-3"/>
        </w:rPr>
        <w:t>приходом, </w:t>
      </w:r>
      <w:r>
        <w:rPr>
          <w:color w:val="231F20"/>
        </w:rPr>
        <w:t>с тим што постоје знатне разли- </w:t>
      </w:r>
      <w:r>
        <w:rPr>
          <w:color w:val="231F20"/>
          <w:spacing w:val="-3"/>
        </w:rPr>
        <w:t>ке</w:t>
      </w:r>
      <w:r>
        <w:rPr>
          <w:color w:val="231F20"/>
          <w:spacing w:val="-9"/>
        </w:rPr>
        <w:t> </w:t>
      </w:r>
      <w:r>
        <w:rPr>
          <w:color w:val="231F20"/>
        </w:rPr>
        <w:t>између</w:t>
      </w:r>
      <w:r>
        <w:rPr>
          <w:color w:val="231F20"/>
          <w:spacing w:val="-9"/>
        </w:rPr>
        <w:t> </w:t>
      </w:r>
      <w:r>
        <w:rPr>
          <w:color w:val="231F20"/>
        </w:rPr>
        <w:t>типова</w:t>
      </w:r>
      <w:r>
        <w:rPr>
          <w:color w:val="231F20"/>
          <w:spacing w:val="-9"/>
        </w:rPr>
        <w:t> </w:t>
      </w:r>
      <w:r>
        <w:rPr>
          <w:color w:val="231F20"/>
        </w:rPr>
        <w:t>насеља.</w:t>
      </w:r>
      <w:r>
        <w:rPr>
          <w:color w:val="231F20"/>
          <w:spacing w:val="-9"/>
        </w:rPr>
        <w:t> </w:t>
      </w:r>
      <w:r>
        <w:rPr>
          <w:color w:val="231F20"/>
        </w:rPr>
        <w:t>Делатности</w:t>
      </w:r>
      <w:r>
        <w:rPr>
          <w:color w:val="231F20"/>
          <w:spacing w:val="-9"/>
        </w:rPr>
        <w:t> </w:t>
      </w:r>
      <w:r>
        <w:rPr>
          <w:color w:val="231F20"/>
        </w:rPr>
        <w:t>из</w:t>
      </w:r>
      <w:r>
        <w:rPr>
          <w:color w:val="231F20"/>
          <w:spacing w:val="-9"/>
        </w:rPr>
        <w:t> </w:t>
      </w:r>
      <w:r>
        <w:rPr>
          <w:color w:val="231F20"/>
        </w:rPr>
        <w:t>области</w:t>
      </w:r>
      <w:r>
        <w:rPr>
          <w:color w:val="231F20"/>
          <w:spacing w:val="-9"/>
        </w:rPr>
        <w:t> </w:t>
      </w:r>
      <w:r>
        <w:rPr>
          <w:color w:val="231F20"/>
        </w:rPr>
        <w:t>примарног</w:t>
      </w:r>
      <w:r>
        <w:rPr>
          <w:color w:val="231F20"/>
          <w:spacing w:val="-9"/>
        </w:rPr>
        <w:t> </w:t>
      </w:r>
      <w:r>
        <w:rPr>
          <w:color w:val="231F20"/>
        </w:rPr>
        <w:t>секто- ра (2002) обављало је 10,7% активног становништва, секундарног 44,4%, терцијарно-квартарног 23,1%, непознат сектор делатности 1,5%, а </w:t>
      </w:r>
      <w:r>
        <w:rPr>
          <w:color w:val="231F20"/>
          <w:spacing w:val="-4"/>
        </w:rPr>
        <w:t>око </w:t>
      </w:r>
      <w:r>
        <w:rPr>
          <w:color w:val="231F20"/>
        </w:rPr>
        <w:t>петине (20,3%) активног становништва није обављало делатност.</w:t>
      </w:r>
      <w:r>
        <w:rPr>
          <w:color w:val="231F20"/>
          <w:spacing w:val="-6"/>
        </w:rPr>
        <w:t> </w:t>
      </w:r>
      <w:r>
        <w:rPr>
          <w:color w:val="231F20"/>
        </w:rPr>
        <w:t>У</w:t>
      </w:r>
      <w:r>
        <w:rPr>
          <w:color w:val="231F20"/>
          <w:spacing w:val="-6"/>
        </w:rPr>
        <w:t> </w:t>
      </w:r>
      <w:r>
        <w:rPr>
          <w:color w:val="231F20"/>
        </w:rPr>
        <w:t>градским</w:t>
      </w:r>
      <w:r>
        <w:rPr>
          <w:color w:val="231F20"/>
          <w:spacing w:val="-7"/>
        </w:rPr>
        <w:t> </w:t>
      </w:r>
      <w:r>
        <w:rPr>
          <w:color w:val="231F20"/>
        </w:rPr>
        <w:t>насељима</w:t>
      </w:r>
      <w:r>
        <w:rPr>
          <w:color w:val="231F20"/>
          <w:spacing w:val="-7"/>
        </w:rPr>
        <w:t> </w:t>
      </w:r>
      <w:r>
        <w:rPr>
          <w:color w:val="231F20"/>
          <w:spacing w:val="-3"/>
        </w:rPr>
        <w:t>преко</w:t>
      </w:r>
      <w:r>
        <w:rPr>
          <w:color w:val="231F20"/>
          <w:spacing w:val="-6"/>
        </w:rPr>
        <w:t> </w:t>
      </w:r>
      <w:r>
        <w:rPr>
          <w:color w:val="231F20"/>
        </w:rPr>
        <w:t>половине</w:t>
      </w:r>
      <w:r>
        <w:rPr>
          <w:color w:val="231F20"/>
          <w:spacing w:val="-6"/>
        </w:rPr>
        <w:t> </w:t>
      </w:r>
      <w:r>
        <w:rPr>
          <w:color w:val="231F20"/>
        </w:rPr>
        <w:t>активних</w:t>
      </w:r>
      <w:r>
        <w:rPr>
          <w:color w:val="231F20"/>
          <w:spacing w:val="-6"/>
        </w:rPr>
        <w:t> </w:t>
      </w:r>
      <w:r>
        <w:rPr>
          <w:color w:val="231F20"/>
        </w:rPr>
        <w:t>лица</w:t>
      </w:r>
      <w:r>
        <w:rPr>
          <w:color w:val="231F20"/>
          <w:spacing w:val="-6"/>
        </w:rPr>
        <w:t> </w:t>
      </w:r>
      <w:r>
        <w:rPr>
          <w:color w:val="231F20"/>
        </w:rPr>
        <w:t>је било ангажовано у делатностима квартарно-терцијарног сектора (51,5%)</w:t>
      </w:r>
      <w:r>
        <w:rPr>
          <w:color w:val="231F20"/>
          <w:spacing w:val="-6"/>
        </w:rPr>
        <w:t> </w:t>
      </w:r>
      <w:r>
        <w:rPr>
          <w:color w:val="231F20"/>
        </w:rPr>
        <w:t>и</w:t>
      </w:r>
      <w:r>
        <w:rPr>
          <w:color w:val="231F20"/>
          <w:spacing w:val="-6"/>
        </w:rPr>
        <w:t> </w:t>
      </w:r>
      <w:r>
        <w:rPr>
          <w:color w:val="231F20"/>
          <w:spacing w:val="-3"/>
        </w:rPr>
        <w:t>преко</w:t>
      </w:r>
      <w:r>
        <w:rPr>
          <w:color w:val="231F20"/>
          <w:spacing w:val="-6"/>
        </w:rPr>
        <w:t> </w:t>
      </w:r>
      <w:r>
        <w:rPr>
          <w:color w:val="231F20"/>
        </w:rPr>
        <w:t>четвртине</w:t>
      </w:r>
      <w:r>
        <w:rPr>
          <w:color w:val="231F20"/>
          <w:spacing w:val="-6"/>
        </w:rPr>
        <w:t> </w:t>
      </w:r>
      <w:r>
        <w:rPr>
          <w:color w:val="231F20"/>
        </w:rPr>
        <w:t>у</w:t>
      </w:r>
      <w:r>
        <w:rPr>
          <w:color w:val="231F20"/>
          <w:spacing w:val="-6"/>
        </w:rPr>
        <w:t> </w:t>
      </w:r>
      <w:r>
        <w:rPr>
          <w:color w:val="231F20"/>
        </w:rPr>
        <w:t>секундарном</w:t>
      </w:r>
      <w:r>
        <w:rPr>
          <w:color w:val="231F20"/>
          <w:spacing w:val="-6"/>
        </w:rPr>
        <w:t> </w:t>
      </w:r>
      <w:r>
        <w:rPr>
          <w:color w:val="231F20"/>
        </w:rPr>
        <w:t>сектору</w:t>
      </w:r>
      <w:r>
        <w:rPr>
          <w:color w:val="231F20"/>
          <w:spacing w:val="-6"/>
        </w:rPr>
        <w:t> </w:t>
      </w:r>
      <w:r>
        <w:rPr>
          <w:color w:val="231F20"/>
        </w:rPr>
        <w:t>(28,7%),</w:t>
      </w:r>
      <w:r>
        <w:rPr>
          <w:color w:val="231F20"/>
          <w:spacing w:val="-6"/>
        </w:rPr>
        <w:t> </w:t>
      </w:r>
      <w:r>
        <w:rPr>
          <w:color w:val="231F20"/>
        </w:rPr>
        <w:t>а</w:t>
      </w:r>
      <w:r>
        <w:rPr>
          <w:color w:val="231F20"/>
          <w:spacing w:val="-6"/>
        </w:rPr>
        <w:t> </w:t>
      </w:r>
      <w:r>
        <w:rPr>
          <w:color w:val="231F20"/>
        </w:rPr>
        <w:t>у</w:t>
      </w:r>
      <w:r>
        <w:rPr>
          <w:color w:val="231F20"/>
          <w:spacing w:val="-6"/>
        </w:rPr>
        <w:t> </w:t>
      </w:r>
      <w:r>
        <w:rPr>
          <w:color w:val="231F20"/>
        </w:rPr>
        <w:t>сео- ским две трећине (66,2%) у </w:t>
      </w:r>
      <w:r>
        <w:rPr>
          <w:color w:val="231F20"/>
          <w:spacing w:val="-3"/>
        </w:rPr>
        <w:t>примарног, </w:t>
      </w:r>
      <w:r>
        <w:rPr>
          <w:color w:val="231F20"/>
        </w:rPr>
        <w:t>12,8% у секундарном и</w:t>
      </w:r>
      <w:r>
        <w:rPr>
          <w:color w:val="231F20"/>
          <w:spacing w:val="-31"/>
        </w:rPr>
        <w:t> </w:t>
      </w:r>
      <w:r>
        <w:rPr>
          <w:color w:val="231F20"/>
          <w:spacing w:val="-4"/>
        </w:rPr>
        <w:t>око </w:t>
      </w:r>
      <w:r>
        <w:rPr>
          <w:color w:val="231F20"/>
        </w:rPr>
        <w:t>18%</w:t>
      </w:r>
      <w:r>
        <w:rPr>
          <w:color w:val="231F20"/>
          <w:spacing w:val="-8"/>
        </w:rPr>
        <w:t> </w:t>
      </w:r>
      <w:r>
        <w:rPr>
          <w:color w:val="231F20"/>
        </w:rPr>
        <w:t>у</w:t>
      </w:r>
      <w:r>
        <w:rPr>
          <w:color w:val="231F20"/>
          <w:spacing w:val="-8"/>
        </w:rPr>
        <w:t> </w:t>
      </w:r>
      <w:r>
        <w:rPr>
          <w:color w:val="231F20"/>
        </w:rPr>
        <w:t>терцијарно-квартарном</w:t>
      </w:r>
      <w:r>
        <w:rPr>
          <w:color w:val="231F20"/>
          <w:spacing w:val="-8"/>
        </w:rPr>
        <w:t> </w:t>
      </w:r>
      <w:r>
        <w:rPr>
          <w:color w:val="231F20"/>
          <w:spacing w:val="-4"/>
        </w:rPr>
        <w:t>сектору.</w:t>
      </w:r>
      <w:r>
        <w:rPr>
          <w:color w:val="231F20"/>
          <w:spacing w:val="-8"/>
        </w:rPr>
        <w:t> </w:t>
      </w:r>
      <w:r>
        <w:rPr>
          <w:color w:val="231F20"/>
        </w:rPr>
        <w:t>У</w:t>
      </w:r>
      <w:r>
        <w:rPr>
          <w:color w:val="231F20"/>
          <w:spacing w:val="-8"/>
        </w:rPr>
        <w:t> </w:t>
      </w:r>
      <w:r>
        <w:rPr>
          <w:color w:val="231F20"/>
        </w:rPr>
        <w:t>селима</w:t>
      </w:r>
      <w:r>
        <w:rPr>
          <w:color w:val="231F20"/>
          <w:spacing w:val="-8"/>
        </w:rPr>
        <w:t> </w:t>
      </w:r>
      <w:r>
        <w:rPr>
          <w:color w:val="231F20"/>
        </w:rPr>
        <w:t>на</w:t>
      </w:r>
      <w:r>
        <w:rPr>
          <w:color w:val="231F20"/>
          <w:spacing w:val="-8"/>
        </w:rPr>
        <w:t> </w:t>
      </w:r>
      <w:r>
        <w:rPr>
          <w:color w:val="231F20"/>
        </w:rPr>
        <w:t>подручју</w:t>
      </w:r>
      <w:r>
        <w:rPr>
          <w:color w:val="231F20"/>
          <w:spacing w:val="-8"/>
        </w:rPr>
        <w:t> </w:t>
      </w:r>
      <w:r>
        <w:rPr>
          <w:color w:val="231F20"/>
        </w:rPr>
        <w:t>града Пожаревца активних у примарном сектору је </w:t>
      </w:r>
      <w:r>
        <w:rPr>
          <w:color w:val="231F20"/>
          <w:spacing w:val="-4"/>
        </w:rPr>
        <w:t>око </w:t>
      </w:r>
      <w:r>
        <w:rPr>
          <w:color w:val="231F20"/>
        </w:rPr>
        <w:t>63%, а у селима општине</w:t>
      </w:r>
      <w:r>
        <w:rPr>
          <w:color w:val="231F20"/>
          <w:spacing w:val="-12"/>
        </w:rPr>
        <w:t> </w:t>
      </w:r>
      <w:r>
        <w:rPr>
          <w:color w:val="231F20"/>
        </w:rPr>
        <w:t>Велико</w:t>
      </w:r>
      <w:r>
        <w:rPr>
          <w:color w:val="231F20"/>
          <w:spacing w:val="-12"/>
        </w:rPr>
        <w:t> </w:t>
      </w:r>
      <w:r>
        <w:rPr>
          <w:color w:val="231F20"/>
        </w:rPr>
        <w:t>Градиште</w:t>
      </w:r>
      <w:r>
        <w:rPr>
          <w:color w:val="231F20"/>
          <w:spacing w:val="-12"/>
        </w:rPr>
        <w:t> </w:t>
      </w:r>
      <w:r>
        <w:rPr>
          <w:color w:val="231F20"/>
        </w:rPr>
        <w:t>знатно</w:t>
      </w:r>
      <w:r>
        <w:rPr>
          <w:color w:val="231F20"/>
          <w:spacing w:val="-12"/>
        </w:rPr>
        <w:t> </w:t>
      </w:r>
      <w:r>
        <w:rPr>
          <w:color w:val="231F20"/>
        </w:rPr>
        <w:t>више,</w:t>
      </w:r>
      <w:r>
        <w:rPr>
          <w:color w:val="231F20"/>
          <w:spacing w:val="-12"/>
        </w:rPr>
        <w:t> </w:t>
      </w:r>
      <w:r>
        <w:rPr>
          <w:color w:val="231F20"/>
          <w:spacing w:val="-4"/>
        </w:rPr>
        <w:t>око</w:t>
      </w:r>
      <w:r>
        <w:rPr>
          <w:color w:val="231F20"/>
          <w:spacing w:val="-12"/>
        </w:rPr>
        <w:t> </w:t>
      </w:r>
      <w:r>
        <w:rPr>
          <w:color w:val="231F20"/>
        </w:rPr>
        <w:t>85%.</w:t>
      </w:r>
      <w:r>
        <w:rPr>
          <w:color w:val="231F20"/>
          <w:spacing w:val="-12"/>
        </w:rPr>
        <w:t> </w:t>
      </w:r>
      <w:r>
        <w:rPr>
          <w:color w:val="231F20"/>
        </w:rPr>
        <w:t>Пољопривредно становништво је 2002. </w:t>
      </w:r>
      <w:r>
        <w:rPr>
          <w:color w:val="231F20"/>
          <w:spacing w:val="-3"/>
        </w:rPr>
        <w:t>године </w:t>
      </w:r>
      <w:r>
        <w:rPr>
          <w:color w:val="231F20"/>
        </w:rPr>
        <w:t>чинило 10,5% и то: у градским на- сељима 0,8%, у селима на подручју града Пожаревца </w:t>
      </w:r>
      <w:r>
        <w:rPr>
          <w:color w:val="231F20"/>
          <w:spacing w:val="-4"/>
        </w:rPr>
        <w:t>око </w:t>
      </w:r>
      <w:r>
        <w:rPr>
          <w:color w:val="231F20"/>
        </w:rPr>
        <w:t>25% и у селима општине Велико Градиште </w:t>
      </w:r>
      <w:r>
        <w:rPr>
          <w:color w:val="231F20"/>
          <w:spacing w:val="-4"/>
        </w:rPr>
        <w:t>око</w:t>
      </w:r>
      <w:r>
        <w:rPr>
          <w:color w:val="231F20"/>
          <w:spacing w:val="-6"/>
        </w:rPr>
        <w:t> </w:t>
      </w:r>
      <w:r>
        <w:rPr>
          <w:color w:val="231F20"/>
        </w:rPr>
        <w:t>61%.</w:t>
      </w:r>
    </w:p>
    <w:p>
      <w:pPr>
        <w:pStyle w:val="BodyText"/>
        <w:spacing w:line="232" w:lineRule="auto"/>
        <w:ind w:left="453" w:right="1" w:firstLine="397"/>
      </w:pPr>
      <w:r>
        <w:rPr>
          <w:color w:val="231F20"/>
        </w:rPr>
        <w:t>Формално образовање становништва. У 2002. </w:t>
      </w:r>
      <w:r>
        <w:rPr>
          <w:color w:val="231F20"/>
          <w:spacing w:val="-3"/>
        </w:rPr>
        <w:t>години </w:t>
      </w:r>
      <w:r>
        <w:rPr>
          <w:color w:val="231F20"/>
        </w:rPr>
        <w:t>без </w:t>
      </w:r>
      <w:r>
        <w:rPr>
          <w:color w:val="231F20"/>
          <w:spacing w:val="-3"/>
        </w:rPr>
        <w:t>школе </w:t>
      </w:r>
      <w:r>
        <w:rPr>
          <w:color w:val="231F20"/>
        </w:rPr>
        <w:t>и са непотпуном основном </w:t>
      </w:r>
      <w:r>
        <w:rPr>
          <w:color w:val="231F20"/>
          <w:spacing w:val="-4"/>
        </w:rPr>
        <w:t>школом </w:t>
      </w:r>
      <w:r>
        <w:rPr>
          <w:color w:val="231F20"/>
        </w:rPr>
        <w:t>била је </w:t>
      </w:r>
      <w:r>
        <w:rPr>
          <w:color w:val="231F20"/>
          <w:spacing w:val="-4"/>
        </w:rPr>
        <w:t>око </w:t>
      </w:r>
      <w:r>
        <w:rPr>
          <w:color w:val="231F20"/>
        </w:rPr>
        <w:t>четвртине (24,2%)</w:t>
      </w:r>
      <w:r>
        <w:rPr>
          <w:color w:val="231F20"/>
          <w:spacing w:val="-5"/>
        </w:rPr>
        <w:t> </w:t>
      </w:r>
      <w:r>
        <w:rPr>
          <w:color w:val="231F20"/>
        </w:rPr>
        <w:t>становништва,</w:t>
      </w:r>
      <w:r>
        <w:rPr>
          <w:color w:val="231F20"/>
          <w:spacing w:val="-5"/>
        </w:rPr>
        <w:t> </w:t>
      </w:r>
      <w:r>
        <w:rPr>
          <w:color w:val="231F20"/>
        </w:rPr>
        <w:t>а</w:t>
      </w:r>
      <w:r>
        <w:rPr>
          <w:color w:val="231F20"/>
          <w:spacing w:val="-5"/>
        </w:rPr>
        <w:t> </w:t>
      </w:r>
      <w:r>
        <w:rPr>
          <w:color w:val="231F20"/>
        </w:rPr>
        <w:t>са</w:t>
      </w:r>
      <w:r>
        <w:rPr>
          <w:color w:val="231F20"/>
          <w:spacing w:val="-5"/>
        </w:rPr>
        <w:t> </w:t>
      </w:r>
      <w:r>
        <w:rPr>
          <w:color w:val="231F20"/>
        </w:rPr>
        <w:t>основном</w:t>
      </w:r>
      <w:r>
        <w:rPr>
          <w:color w:val="231F20"/>
          <w:spacing w:val="-5"/>
        </w:rPr>
        <w:t> </w:t>
      </w:r>
      <w:r>
        <w:rPr>
          <w:color w:val="231F20"/>
          <w:spacing w:val="-4"/>
        </w:rPr>
        <w:t>школом</w:t>
      </w:r>
      <w:r>
        <w:rPr>
          <w:color w:val="231F20"/>
          <w:spacing w:val="-5"/>
        </w:rPr>
        <w:t> </w:t>
      </w:r>
      <w:r>
        <w:rPr>
          <w:color w:val="231F20"/>
        </w:rPr>
        <w:t>26,1%,</w:t>
      </w:r>
      <w:r>
        <w:rPr>
          <w:color w:val="231F20"/>
          <w:spacing w:val="-5"/>
        </w:rPr>
        <w:t> </w:t>
      </w:r>
      <w:r>
        <w:rPr>
          <w:color w:val="231F20"/>
        </w:rPr>
        <w:t>што</w:t>
      </w:r>
      <w:r>
        <w:rPr>
          <w:color w:val="231F20"/>
          <w:spacing w:val="-5"/>
        </w:rPr>
        <w:t> </w:t>
      </w:r>
      <w:r>
        <w:rPr>
          <w:color w:val="231F20"/>
        </w:rPr>
        <w:t>значи</w:t>
      </w:r>
      <w:r>
        <w:rPr>
          <w:color w:val="231F20"/>
          <w:spacing w:val="-5"/>
        </w:rPr>
        <w:t> </w:t>
      </w:r>
      <w:r>
        <w:rPr>
          <w:color w:val="231F20"/>
        </w:rPr>
        <w:t>да је половина грађана Планског подручја са 15 и више </w:t>
      </w:r>
      <w:r>
        <w:rPr>
          <w:color w:val="231F20"/>
          <w:spacing w:val="-3"/>
        </w:rPr>
        <w:t>година </w:t>
      </w:r>
      <w:r>
        <w:rPr>
          <w:color w:val="231F20"/>
        </w:rPr>
        <w:t>било недовољно образовано (у градским 37,7%, сеоским 74,3%). Ста- новници са средњим образовањем учествују са 38,6% (у градским </w:t>
      </w:r>
      <w:r>
        <w:rPr>
          <w:color w:val="231F20"/>
          <w:spacing w:val="-4"/>
        </w:rPr>
        <w:t>око </w:t>
      </w:r>
      <w:r>
        <w:rPr>
          <w:color w:val="231F20"/>
        </w:rPr>
        <w:t>47%,  сеоским </w:t>
      </w:r>
      <w:r>
        <w:rPr>
          <w:color w:val="231F20"/>
          <w:spacing w:val="-4"/>
        </w:rPr>
        <w:t>око  </w:t>
      </w:r>
      <w:r>
        <w:rPr>
          <w:color w:val="231F20"/>
        </w:rPr>
        <w:t>23%),  а учешће грађана са вишим (4,2%)  и високим образовањем (4,4%) на </w:t>
      </w:r>
      <w:r>
        <w:rPr>
          <w:color w:val="231F20"/>
          <w:spacing w:val="-3"/>
        </w:rPr>
        <w:t>Планском </w:t>
      </w:r>
      <w:r>
        <w:rPr>
          <w:color w:val="231F20"/>
        </w:rPr>
        <w:t>подручју изнад је просека за Браничевски управни округ (2,9% и 2,6%), али испод просека за Централну Србију (4,6% и 7,0%). Просторни распо- ред становника ових образовних нивоа указује на концентрацију у градским насељима – Пожаревац 13,4% са вишим и високим образовањем, Костолац </w:t>
      </w:r>
      <w:r>
        <w:rPr>
          <w:color w:val="231F20"/>
          <w:spacing w:val="-4"/>
        </w:rPr>
        <w:t>око </w:t>
      </w:r>
      <w:r>
        <w:rPr>
          <w:color w:val="231F20"/>
        </w:rPr>
        <w:t>7% (Централна Србија без Београда 13,7%), док у сеоским насељима свега 1,8% становника има више или високо</w:t>
      </w:r>
      <w:r>
        <w:rPr>
          <w:color w:val="231F20"/>
          <w:spacing w:val="-2"/>
        </w:rPr>
        <w:t> </w:t>
      </w:r>
      <w:r>
        <w:rPr>
          <w:color w:val="231F20"/>
        </w:rPr>
        <w:t>образовање.</w:t>
      </w:r>
    </w:p>
    <w:p>
      <w:pPr>
        <w:pStyle w:val="ListParagraph"/>
        <w:numPr>
          <w:ilvl w:val="2"/>
          <w:numId w:val="19"/>
        </w:numPr>
        <w:tabs>
          <w:tab w:pos="2609" w:val="left" w:leader="none"/>
        </w:tabs>
        <w:spacing w:line="240" w:lineRule="auto" w:before="162" w:after="0"/>
        <w:ind w:left="2608" w:right="0" w:hanging="450"/>
        <w:jc w:val="left"/>
        <w:rPr>
          <w:sz w:val="18"/>
        </w:rPr>
      </w:pPr>
      <w:r>
        <w:rPr>
          <w:color w:val="231F20"/>
          <w:spacing w:val="15"/>
          <w:sz w:val="18"/>
        </w:rPr>
        <w:t>Јавне</w:t>
      </w:r>
      <w:r>
        <w:rPr>
          <w:color w:val="231F20"/>
          <w:spacing w:val="42"/>
          <w:sz w:val="18"/>
        </w:rPr>
        <w:t> </w:t>
      </w:r>
      <w:r>
        <w:rPr>
          <w:color w:val="231F20"/>
          <w:spacing w:val="15"/>
          <w:sz w:val="18"/>
        </w:rPr>
        <w:t>службе</w:t>
      </w:r>
    </w:p>
    <w:p>
      <w:pPr>
        <w:pStyle w:val="BodyText"/>
        <w:spacing w:before="4"/>
        <w:ind w:left="0"/>
        <w:jc w:val="left"/>
        <w:rPr>
          <w:sz w:val="17"/>
        </w:rPr>
      </w:pPr>
    </w:p>
    <w:p>
      <w:pPr>
        <w:pStyle w:val="BodyText"/>
        <w:spacing w:line="232" w:lineRule="auto"/>
        <w:ind w:left="453" w:firstLine="396"/>
      </w:pPr>
      <w:r>
        <w:rPr>
          <w:color w:val="231F20"/>
        </w:rPr>
        <w:t>Предшколска заштита деце – На подручју града Пожаревца постоји девет објеката предшколских установа – осам у градским насељима (седам у </w:t>
      </w:r>
      <w:r>
        <w:rPr>
          <w:color w:val="231F20"/>
          <w:spacing w:val="-3"/>
        </w:rPr>
        <w:t>Пожаревцу, </w:t>
      </w:r>
      <w:r>
        <w:rPr>
          <w:color w:val="231F20"/>
        </w:rPr>
        <w:t>један у Костолцу) и један у селу Лучица. И поред тога што су у последњој деценији отворена два нова</w:t>
      </w:r>
      <w:r>
        <w:rPr>
          <w:color w:val="231F20"/>
          <w:spacing w:val="-5"/>
        </w:rPr>
        <w:t> </w:t>
      </w:r>
      <w:r>
        <w:rPr>
          <w:color w:val="231F20"/>
        </w:rPr>
        <w:t>вртића</w:t>
      </w:r>
      <w:r>
        <w:rPr>
          <w:color w:val="231F20"/>
          <w:spacing w:val="-5"/>
        </w:rPr>
        <w:t> </w:t>
      </w:r>
      <w:r>
        <w:rPr>
          <w:color w:val="231F20"/>
        </w:rPr>
        <w:t>још</w:t>
      </w:r>
      <w:r>
        <w:rPr>
          <w:color w:val="231F20"/>
          <w:spacing w:val="-5"/>
        </w:rPr>
        <w:t> </w:t>
      </w:r>
      <w:r>
        <w:rPr>
          <w:color w:val="231F20"/>
        </w:rPr>
        <w:t>увек</w:t>
      </w:r>
      <w:r>
        <w:rPr>
          <w:color w:val="231F20"/>
          <w:spacing w:val="-5"/>
        </w:rPr>
        <w:t> </w:t>
      </w:r>
      <w:r>
        <w:rPr>
          <w:color w:val="231F20"/>
        </w:rPr>
        <w:t>постоји</w:t>
      </w:r>
      <w:r>
        <w:rPr>
          <w:color w:val="231F20"/>
          <w:spacing w:val="-5"/>
        </w:rPr>
        <w:t> </w:t>
      </w:r>
      <w:r>
        <w:rPr>
          <w:color w:val="231F20"/>
        </w:rPr>
        <w:t>дефицит</w:t>
      </w:r>
      <w:r>
        <w:rPr>
          <w:color w:val="231F20"/>
          <w:spacing w:val="-5"/>
        </w:rPr>
        <w:t> </w:t>
      </w:r>
      <w:r>
        <w:rPr>
          <w:color w:val="231F20"/>
          <w:spacing w:val="-3"/>
        </w:rPr>
        <w:t>од</w:t>
      </w:r>
      <w:r>
        <w:rPr>
          <w:color w:val="231F20"/>
          <w:spacing w:val="-5"/>
        </w:rPr>
        <w:t> </w:t>
      </w:r>
      <w:r>
        <w:rPr>
          <w:color w:val="231F20"/>
          <w:spacing w:val="-4"/>
        </w:rPr>
        <w:t>око</w:t>
      </w:r>
      <w:r>
        <w:rPr>
          <w:color w:val="231F20"/>
          <w:spacing w:val="-5"/>
        </w:rPr>
        <w:t> </w:t>
      </w:r>
      <w:r>
        <w:rPr>
          <w:color w:val="231F20"/>
        </w:rPr>
        <w:t>500</w:t>
      </w:r>
      <w:r>
        <w:rPr>
          <w:color w:val="231F20"/>
          <w:spacing w:val="-5"/>
        </w:rPr>
        <w:t> </w:t>
      </w:r>
      <w:r>
        <w:rPr>
          <w:color w:val="231F20"/>
        </w:rPr>
        <w:t>места</w:t>
      </w:r>
      <w:r>
        <w:rPr>
          <w:color w:val="231F20"/>
          <w:spacing w:val="-5"/>
        </w:rPr>
        <w:t> </w:t>
      </w:r>
      <w:r>
        <w:rPr>
          <w:color w:val="231F20"/>
        </w:rPr>
        <w:t>за</w:t>
      </w:r>
      <w:r>
        <w:rPr>
          <w:color w:val="231F20"/>
          <w:spacing w:val="-5"/>
        </w:rPr>
        <w:t> </w:t>
      </w:r>
      <w:r>
        <w:rPr>
          <w:color w:val="231F20"/>
        </w:rPr>
        <w:t>смештај деце </w:t>
      </w:r>
      <w:r>
        <w:rPr>
          <w:color w:val="231F20"/>
          <w:spacing w:val="-3"/>
        </w:rPr>
        <w:t>предшколског </w:t>
      </w:r>
      <w:r>
        <w:rPr>
          <w:color w:val="231F20"/>
        </w:rPr>
        <w:t>узраста. У већини предшколских установа стандарди боравка деце су задовољавајући у односу на простор- не и инфраструктурне параметре. Изузев новоотвореног објекта  у селу Лучица, у осталим сеоским насељима не постоје засебне </w:t>
      </w:r>
      <w:r>
        <w:rPr>
          <w:color w:val="231F20"/>
          <w:spacing w:val="-3"/>
        </w:rPr>
        <w:t>предшколске </w:t>
      </w:r>
      <w:r>
        <w:rPr>
          <w:color w:val="231F20"/>
        </w:rPr>
        <w:t>установе, а обавезни предшколски разреди су орга- низовани у основним </w:t>
      </w:r>
      <w:r>
        <w:rPr>
          <w:color w:val="231F20"/>
          <w:spacing w:val="-3"/>
        </w:rPr>
        <w:t>школама. </w:t>
      </w:r>
      <w:r>
        <w:rPr>
          <w:color w:val="231F20"/>
        </w:rPr>
        <w:t>У три сеоска насеља општине Ве- </w:t>
      </w:r>
      <w:r>
        <w:rPr>
          <w:color w:val="231F20"/>
          <w:spacing w:val="-3"/>
        </w:rPr>
        <w:t>лико </w:t>
      </w:r>
      <w:r>
        <w:rPr>
          <w:color w:val="231F20"/>
        </w:rPr>
        <w:t>Градиште, такође, постоји организован предшколски разред у основним</w:t>
      </w:r>
      <w:r>
        <w:rPr>
          <w:color w:val="231F20"/>
          <w:spacing w:val="-1"/>
        </w:rPr>
        <w:t> </w:t>
      </w:r>
      <w:r>
        <w:rPr>
          <w:color w:val="231F20"/>
          <w:spacing w:val="-3"/>
        </w:rPr>
        <w:t>школама.</w:t>
      </w:r>
    </w:p>
    <w:p>
      <w:pPr>
        <w:pStyle w:val="BodyText"/>
        <w:spacing w:line="232" w:lineRule="auto"/>
        <w:ind w:left="453" w:firstLine="397"/>
      </w:pPr>
      <w:r>
        <w:rPr>
          <w:color w:val="231F20"/>
        </w:rPr>
        <w:t>Основно образовање – На подручју града Пожаревац, раде укупно 32 основне </w:t>
      </w:r>
      <w:r>
        <w:rPr>
          <w:color w:val="231F20"/>
          <w:spacing w:val="-3"/>
        </w:rPr>
        <w:t>школе, од </w:t>
      </w:r>
      <w:r>
        <w:rPr>
          <w:color w:val="231F20"/>
        </w:rPr>
        <w:t>тога осам матичних осморазредних </w:t>
      </w:r>
      <w:r>
        <w:rPr>
          <w:color w:val="231F20"/>
          <w:spacing w:val="-3"/>
        </w:rPr>
        <w:t>школа </w:t>
      </w:r>
      <w:r>
        <w:rPr>
          <w:color w:val="231F20"/>
        </w:rPr>
        <w:t>(пет у </w:t>
      </w:r>
      <w:r>
        <w:rPr>
          <w:color w:val="231F20"/>
          <w:spacing w:val="-3"/>
        </w:rPr>
        <w:t>градском </w:t>
      </w:r>
      <w:r>
        <w:rPr>
          <w:color w:val="231F20"/>
        </w:rPr>
        <w:t>насељу Пожаревац, једна у </w:t>
      </w:r>
      <w:r>
        <w:rPr>
          <w:color w:val="231F20"/>
          <w:spacing w:val="-3"/>
        </w:rPr>
        <w:t>градском </w:t>
      </w:r>
      <w:r>
        <w:rPr>
          <w:color w:val="231F20"/>
        </w:rPr>
        <w:t>насе- љу</w:t>
      </w:r>
      <w:r>
        <w:rPr>
          <w:color w:val="231F20"/>
          <w:spacing w:val="-8"/>
        </w:rPr>
        <w:t> </w:t>
      </w:r>
      <w:r>
        <w:rPr>
          <w:color w:val="231F20"/>
        </w:rPr>
        <w:t>Костолац</w:t>
      </w:r>
      <w:r>
        <w:rPr>
          <w:color w:val="231F20"/>
          <w:spacing w:val="-8"/>
        </w:rPr>
        <w:t> </w:t>
      </w:r>
      <w:r>
        <w:rPr>
          <w:color w:val="231F20"/>
        </w:rPr>
        <w:t>и</w:t>
      </w:r>
      <w:r>
        <w:rPr>
          <w:color w:val="231F20"/>
          <w:spacing w:val="-8"/>
        </w:rPr>
        <w:t> </w:t>
      </w:r>
      <w:r>
        <w:rPr>
          <w:color w:val="231F20"/>
        </w:rPr>
        <w:t>две</w:t>
      </w:r>
      <w:r>
        <w:rPr>
          <w:color w:val="231F20"/>
          <w:spacing w:val="-8"/>
        </w:rPr>
        <w:t> </w:t>
      </w:r>
      <w:r>
        <w:rPr>
          <w:color w:val="231F20"/>
        </w:rPr>
        <w:t>у</w:t>
      </w:r>
      <w:r>
        <w:rPr>
          <w:color w:val="231F20"/>
          <w:spacing w:val="-8"/>
        </w:rPr>
        <w:t> </w:t>
      </w:r>
      <w:r>
        <w:rPr>
          <w:color w:val="231F20"/>
        </w:rPr>
        <w:t>селима</w:t>
      </w:r>
      <w:r>
        <w:rPr>
          <w:color w:val="231F20"/>
          <w:spacing w:val="17"/>
        </w:rPr>
        <w:t> </w:t>
      </w:r>
      <w:r>
        <w:rPr>
          <w:color w:val="231F20"/>
        </w:rPr>
        <w:t>–</w:t>
      </w:r>
      <w:r>
        <w:rPr>
          <w:color w:val="231F20"/>
          <w:spacing w:val="-8"/>
        </w:rPr>
        <w:t> </w:t>
      </w:r>
      <w:r>
        <w:rPr>
          <w:color w:val="231F20"/>
        </w:rPr>
        <w:t>Лучице</w:t>
      </w:r>
      <w:r>
        <w:rPr>
          <w:color w:val="231F20"/>
          <w:spacing w:val="-8"/>
        </w:rPr>
        <w:t> </w:t>
      </w:r>
      <w:r>
        <w:rPr>
          <w:color w:val="231F20"/>
        </w:rPr>
        <w:t>и</w:t>
      </w:r>
      <w:r>
        <w:rPr>
          <w:color w:val="231F20"/>
          <w:spacing w:val="-8"/>
        </w:rPr>
        <w:t> </w:t>
      </w:r>
      <w:r>
        <w:rPr>
          <w:color w:val="231F20"/>
        </w:rPr>
        <w:t>Брадарац),</w:t>
      </w:r>
      <w:r>
        <w:rPr>
          <w:color w:val="231F20"/>
          <w:spacing w:val="-8"/>
        </w:rPr>
        <w:t> </w:t>
      </w:r>
      <w:r>
        <w:rPr>
          <w:color w:val="231F20"/>
        </w:rPr>
        <w:t>четири</w:t>
      </w:r>
      <w:r>
        <w:rPr>
          <w:color w:val="231F20"/>
          <w:spacing w:val="-8"/>
        </w:rPr>
        <w:t> </w:t>
      </w:r>
      <w:r>
        <w:rPr>
          <w:color w:val="231F20"/>
        </w:rPr>
        <w:t>подруч- не осморазредне (насеље Забела у </w:t>
      </w:r>
      <w:r>
        <w:rPr>
          <w:color w:val="231F20"/>
          <w:spacing w:val="-3"/>
        </w:rPr>
        <w:t>градском </w:t>
      </w:r>
      <w:r>
        <w:rPr>
          <w:color w:val="231F20"/>
        </w:rPr>
        <w:t>насељу Пожаревац и селима Кличевац, Баре и Пољана) и 20 подручних четвороразред- них у сеоским насељима, односно у </w:t>
      </w:r>
      <w:r>
        <w:rPr>
          <w:color w:val="231F20"/>
          <w:spacing w:val="-3"/>
        </w:rPr>
        <w:t>сваком </w:t>
      </w:r>
      <w:r>
        <w:rPr>
          <w:color w:val="231F20"/>
        </w:rPr>
        <w:t>насељу постоји </w:t>
      </w:r>
      <w:r>
        <w:rPr>
          <w:color w:val="231F20"/>
          <w:spacing w:val="-3"/>
        </w:rPr>
        <w:t>школа. </w:t>
      </w:r>
      <w:r>
        <w:rPr>
          <w:color w:val="231F20"/>
        </w:rPr>
        <w:t>Недостатак </w:t>
      </w:r>
      <w:r>
        <w:rPr>
          <w:color w:val="231F20"/>
          <w:spacing w:val="-4"/>
        </w:rPr>
        <w:t>школског </w:t>
      </w:r>
      <w:r>
        <w:rPr>
          <w:color w:val="231F20"/>
        </w:rPr>
        <w:t>простора и овде је као и у целој Србији, ре- шен организовањем наставе у две смене. Све матичне </w:t>
      </w:r>
      <w:r>
        <w:rPr>
          <w:color w:val="231F20"/>
          <w:spacing w:val="-3"/>
        </w:rPr>
        <w:t>школе, </w:t>
      </w:r>
      <w:r>
        <w:rPr>
          <w:color w:val="231F20"/>
        </w:rPr>
        <w:t>изу- зев</w:t>
      </w:r>
      <w:r>
        <w:rPr>
          <w:color w:val="231F20"/>
          <w:spacing w:val="-5"/>
        </w:rPr>
        <w:t> </w:t>
      </w:r>
      <w:r>
        <w:rPr>
          <w:color w:val="231F20"/>
          <w:spacing w:val="-3"/>
        </w:rPr>
        <w:t>школе</w:t>
      </w:r>
      <w:r>
        <w:rPr>
          <w:color w:val="231F20"/>
          <w:spacing w:val="-5"/>
        </w:rPr>
        <w:t> </w:t>
      </w:r>
      <w:r>
        <w:rPr>
          <w:color w:val="231F20"/>
        </w:rPr>
        <w:t>у</w:t>
      </w:r>
      <w:r>
        <w:rPr>
          <w:color w:val="231F20"/>
          <w:spacing w:val="-5"/>
        </w:rPr>
        <w:t> </w:t>
      </w:r>
      <w:r>
        <w:rPr>
          <w:color w:val="231F20"/>
        </w:rPr>
        <w:t>насељу</w:t>
      </w:r>
      <w:r>
        <w:rPr>
          <w:color w:val="231F20"/>
          <w:spacing w:val="-5"/>
        </w:rPr>
        <w:t> </w:t>
      </w:r>
      <w:r>
        <w:rPr>
          <w:color w:val="231F20"/>
        </w:rPr>
        <w:t>Лучица,</w:t>
      </w:r>
      <w:r>
        <w:rPr>
          <w:color w:val="231F20"/>
          <w:spacing w:val="-5"/>
        </w:rPr>
        <w:t> </w:t>
      </w:r>
      <w:r>
        <w:rPr>
          <w:color w:val="231F20"/>
        </w:rPr>
        <w:t>раде</w:t>
      </w:r>
      <w:r>
        <w:rPr>
          <w:color w:val="231F20"/>
          <w:spacing w:val="-5"/>
        </w:rPr>
        <w:t> </w:t>
      </w:r>
      <w:r>
        <w:rPr>
          <w:color w:val="231F20"/>
        </w:rPr>
        <w:t>у</w:t>
      </w:r>
      <w:r>
        <w:rPr>
          <w:color w:val="231F20"/>
          <w:spacing w:val="-5"/>
        </w:rPr>
        <w:t> </w:t>
      </w:r>
      <w:r>
        <w:rPr>
          <w:color w:val="231F20"/>
        </w:rPr>
        <w:t>две</w:t>
      </w:r>
      <w:r>
        <w:rPr>
          <w:color w:val="231F20"/>
          <w:spacing w:val="-5"/>
        </w:rPr>
        <w:t> </w:t>
      </w:r>
      <w:r>
        <w:rPr>
          <w:color w:val="231F20"/>
        </w:rPr>
        <w:t>смене.</w:t>
      </w:r>
      <w:r>
        <w:rPr>
          <w:color w:val="231F20"/>
          <w:spacing w:val="-5"/>
        </w:rPr>
        <w:t> </w:t>
      </w:r>
      <w:r>
        <w:rPr>
          <w:color w:val="231F20"/>
        </w:rPr>
        <w:t>Од</w:t>
      </w:r>
      <w:r>
        <w:rPr>
          <w:color w:val="231F20"/>
          <w:spacing w:val="-5"/>
        </w:rPr>
        <w:t> </w:t>
      </w:r>
      <w:r>
        <w:rPr>
          <w:color w:val="231F20"/>
        </w:rPr>
        <w:t>четири</w:t>
      </w:r>
      <w:r>
        <w:rPr>
          <w:color w:val="231F20"/>
          <w:spacing w:val="-5"/>
        </w:rPr>
        <w:t> </w:t>
      </w:r>
      <w:r>
        <w:rPr>
          <w:color w:val="231F20"/>
        </w:rPr>
        <w:t>подручне осморазредне </w:t>
      </w:r>
      <w:r>
        <w:rPr>
          <w:color w:val="231F20"/>
          <w:spacing w:val="-3"/>
        </w:rPr>
        <w:t>школе, </w:t>
      </w:r>
      <w:r>
        <w:rPr>
          <w:color w:val="231F20"/>
        </w:rPr>
        <w:t>две раде у једној смени, а </w:t>
      </w:r>
      <w:r>
        <w:rPr>
          <w:color w:val="231F20"/>
          <w:spacing w:val="-3"/>
        </w:rPr>
        <w:t>од </w:t>
      </w:r>
      <w:r>
        <w:rPr>
          <w:color w:val="231F20"/>
        </w:rPr>
        <w:t>20 четворора- зредних </w:t>
      </w:r>
      <w:r>
        <w:rPr>
          <w:color w:val="231F20"/>
          <w:spacing w:val="-3"/>
        </w:rPr>
        <w:t>школа, </w:t>
      </w:r>
      <w:r>
        <w:rPr>
          <w:color w:val="231F20"/>
        </w:rPr>
        <w:t>две раде у две смене. На подручју града Пожарев- ца остварена је просечна површина </w:t>
      </w:r>
      <w:r>
        <w:rPr>
          <w:color w:val="231F20"/>
          <w:spacing w:val="-3"/>
        </w:rPr>
        <w:t>од </w:t>
      </w:r>
      <w:r>
        <w:rPr>
          <w:color w:val="231F20"/>
        </w:rPr>
        <w:t>27,2 m²/ученик. Просечна површина је знатно нижа у градским матичним осморазредним </w:t>
      </w:r>
      <w:r>
        <w:rPr>
          <w:color w:val="231F20"/>
          <w:spacing w:val="-3"/>
        </w:rPr>
        <w:t>школама (око </w:t>
      </w:r>
      <w:r>
        <w:rPr>
          <w:color w:val="231F20"/>
        </w:rPr>
        <w:t>12 m²/ученик). И ове површине су рачунате на рад </w:t>
      </w:r>
      <w:r>
        <w:rPr>
          <w:color w:val="231F20"/>
          <w:spacing w:val="-3"/>
        </w:rPr>
        <w:t>школа </w:t>
      </w:r>
      <w:r>
        <w:rPr>
          <w:color w:val="231F20"/>
        </w:rPr>
        <w:t>у једној смени, а </w:t>
      </w:r>
      <w:r>
        <w:rPr>
          <w:color w:val="231F20"/>
          <w:spacing w:val="-4"/>
        </w:rPr>
        <w:t>будући </w:t>
      </w:r>
      <w:r>
        <w:rPr>
          <w:color w:val="231F20"/>
        </w:rPr>
        <w:t>да већина </w:t>
      </w:r>
      <w:r>
        <w:rPr>
          <w:color w:val="231F20"/>
          <w:spacing w:val="-3"/>
        </w:rPr>
        <w:t>школа </w:t>
      </w:r>
      <w:r>
        <w:rPr>
          <w:color w:val="231F20"/>
        </w:rPr>
        <w:t>ради у две смене, расположиве површине су у одговарајућем проценту веће. Проду- жени боравак организован је само у три </w:t>
      </w:r>
      <w:r>
        <w:rPr>
          <w:color w:val="231F20"/>
          <w:spacing w:val="-3"/>
        </w:rPr>
        <w:t>школе </w:t>
      </w:r>
      <w:r>
        <w:rPr>
          <w:color w:val="231F20"/>
        </w:rPr>
        <w:t>у </w:t>
      </w:r>
      <w:r>
        <w:rPr>
          <w:color w:val="231F20"/>
          <w:spacing w:val="-3"/>
        </w:rPr>
        <w:t>градском </w:t>
      </w:r>
      <w:r>
        <w:rPr>
          <w:color w:val="231F20"/>
        </w:rPr>
        <w:t>насељу Пожаревац са релативно малим бројем ученика (29, 42 и 44). Са- мо у ОШ „Свети Сава” постоје три одељења за децу с посебним потребама (укупно 19 ученика 5 –8. разреда). У</w:t>
      </w:r>
      <w:r>
        <w:rPr>
          <w:color w:val="231F20"/>
          <w:spacing w:val="-31"/>
        </w:rPr>
        <w:t> </w:t>
      </w:r>
      <w:r>
        <w:rPr>
          <w:color w:val="231F20"/>
        </w:rPr>
        <w:t>четвороразредним </w:t>
      </w:r>
      <w:r>
        <w:rPr>
          <w:color w:val="231F20"/>
          <w:spacing w:val="-3"/>
        </w:rPr>
        <w:t>школама </w:t>
      </w:r>
      <w:r>
        <w:rPr>
          <w:color w:val="231F20"/>
        </w:rPr>
        <w:t>са малим бројем ученика (у просеку 27), настава је орга- низована у комбинованим разредима, изузев у </w:t>
      </w:r>
      <w:r>
        <w:rPr>
          <w:color w:val="231F20"/>
          <w:spacing w:val="-3"/>
        </w:rPr>
        <w:t>школама </w:t>
      </w:r>
      <w:r>
        <w:rPr>
          <w:color w:val="231F20"/>
        </w:rPr>
        <w:t>у Старом Костолцу и </w:t>
      </w:r>
      <w:r>
        <w:rPr>
          <w:color w:val="231F20"/>
          <w:spacing w:val="-4"/>
        </w:rPr>
        <w:t>Ћириковцу. </w:t>
      </w:r>
      <w:r>
        <w:rPr>
          <w:color w:val="231F20"/>
          <w:spacing w:val="-3"/>
        </w:rPr>
        <w:t>Школе </w:t>
      </w:r>
      <w:r>
        <w:rPr>
          <w:color w:val="231F20"/>
        </w:rPr>
        <w:t>у градским насељима су </w:t>
      </w:r>
      <w:r>
        <w:rPr>
          <w:color w:val="231F20"/>
          <w:spacing w:val="-3"/>
        </w:rPr>
        <w:t>комплет- </w:t>
      </w:r>
      <w:r>
        <w:rPr>
          <w:color w:val="231F20"/>
        </w:rPr>
        <w:t>но инфраструктурно опремљене (насељски водовод, канализаци- ја</w:t>
      </w:r>
      <w:r>
        <w:rPr>
          <w:color w:val="231F20"/>
          <w:spacing w:val="17"/>
        </w:rPr>
        <w:t> </w:t>
      </w:r>
      <w:r>
        <w:rPr>
          <w:color w:val="231F20"/>
        </w:rPr>
        <w:t>и</w:t>
      </w:r>
      <w:r>
        <w:rPr>
          <w:color w:val="231F20"/>
          <w:spacing w:val="17"/>
        </w:rPr>
        <w:t> </w:t>
      </w:r>
      <w:r>
        <w:rPr>
          <w:color w:val="231F20"/>
        </w:rPr>
        <w:t>централно</w:t>
      </w:r>
      <w:r>
        <w:rPr>
          <w:color w:val="231F20"/>
          <w:spacing w:val="17"/>
        </w:rPr>
        <w:t> </w:t>
      </w:r>
      <w:r>
        <w:rPr>
          <w:color w:val="231F20"/>
        </w:rPr>
        <w:t>грејање),</w:t>
      </w:r>
      <w:r>
        <w:rPr>
          <w:color w:val="231F20"/>
          <w:spacing w:val="17"/>
        </w:rPr>
        <w:t> </w:t>
      </w:r>
      <w:r>
        <w:rPr>
          <w:color w:val="231F20"/>
        </w:rPr>
        <w:t>а</w:t>
      </w:r>
      <w:r>
        <w:rPr>
          <w:color w:val="231F20"/>
          <w:spacing w:val="17"/>
        </w:rPr>
        <w:t> </w:t>
      </w:r>
      <w:r>
        <w:rPr>
          <w:color w:val="231F20"/>
        </w:rPr>
        <w:t>у</w:t>
      </w:r>
      <w:r>
        <w:rPr>
          <w:color w:val="231F20"/>
          <w:spacing w:val="17"/>
        </w:rPr>
        <w:t> </w:t>
      </w:r>
      <w:r>
        <w:rPr>
          <w:color w:val="231F20"/>
        </w:rPr>
        <w:t>сеоским</w:t>
      </w:r>
      <w:r>
        <w:rPr>
          <w:color w:val="231F20"/>
          <w:spacing w:val="17"/>
        </w:rPr>
        <w:t> </w:t>
      </w:r>
      <w:r>
        <w:rPr>
          <w:color w:val="231F20"/>
        </w:rPr>
        <w:t>свих</w:t>
      </w:r>
      <w:r>
        <w:rPr>
          <w:color w:val="231F20"/>
          <w:spacing w:val="17"/>
        </w:rPr>
        <w:t> </w:t>
      </w:r>
      <w:r>
        <w:rPr>
          <w:color w:val="231F20"/>
        </w:rPr>
        <w:t>пет</w:t>
      </w:r>
      <w:r>
        <w:rPr>
          <w:color w:val="231F20"/>
          <w:spacing w:val="17"/>
        </w:rPr>
        <w:t> </w:t>
      </w:r>
      <w:r>
        <w:rPr>
          <w:color w:val="231F20"/>
        </w:rPr>
        <w:t>осморазредних</w:t>
      </w:r>
      <w:r>
        <w:rPr>
          <w:color w:val="231F20"/>
          <w:spacing w:val="17"/>
        </w:rPr>
        <w:t> </w:t>
      </w:r>
      <w:r>
        <w:rPr>
          <w:color w:val="231F20"/>
        </w:rPr>
        <w:t>су</w:t>
      </w:r>
    </w:p>
    <w:p>
      <w:pPr>
        <w:pStyle w:val="BodyText"/>
        <w:spacing w:line="232" w:lineRule="auto" w:before="78"/>
        <w:ind w:left="243" w:right="127"/>
      </w:pPr>
      <w:r>
        <w:rPr/>
        <w:br w:type="column"/>
      </w:r>
      <w:r>
        <w:rPr>
          <w:color w:val="231F20"/>
        </w:rPr>
        <w:t>повезане на сенгруп јаме, док две користе бунар с хидрофором. Све четвороразредне </w:t>
      </w:r>
      <w:r>
        <w:rPr>
          <w:color w:val="231F20"/>
          <w:spacing w:val="-3"/>
        </w:rPr>
        <w:t>школе </w:t>
      </w:r>
      <w:r>
        <w:rPr>
          <w:color w:val="231F20"/>
        </w:rPr>
        <w:t>користе бунар са хидрофором, изузев </w:t>
      </w:r>
      <w:r>
        <w:rPr>
          <w:color w:val="231F20"/>
          <w:spacing w:val="-3"/>
        </w:rPr>
        <w:t>школа </w:t>
      </w:r>
      <w:r>
        <w:rPr>
          <w:color w:val="231F20"/>
        </w:rPr>
        <w:t>у насељима Дрмно и Маљуревац </w:t>
      </w:r>
      <w:r>
        <w:rPr>
          <w:color w:val="231F20"/>
          <w:spacing w:val="-3"/>
        </w:rPr>
        <w:t>које </w:t>
      </w:r>
      <w:r>
        <w:rPr>
          <w:color w:val="231F20"/>
        </w:rPr>
        <w:t>користе насељски во- довод. </w:t>
      </w:r>
      <w:r>
        <w:rPr>
          <w:color w:val="231F20"/>
          <w:spacing w:val="-3"/>
        </w:rPr>
        <w:t>Одвод </w:t>
      </w:r>
      <w:r>
        <w:rPr>
          <w:color w:val="231F20"/>
        </w:rPr>
        <w:t>отпадних вода у свим </w:t>
      </w:r>
      <w:r>
        <w:rPr>
          <w:color w:val="231F20"/>
          <w:spacing w:val="-3"/>
        </w:rPr>
        <w:t>школама </w:t>
      </w:r>
      <w:r>
        <w:rPr>
          <w:color w:val="231F20"/>
        </w:rPr>
        <w:t>решен је путем сен- група. Само </w:t>
      </w:r>
      <w:r>
        <w:rPr>
          <w:color w:val="231F20"/>
          <w:spacing w:val="-3"/>
        </w:rPr>
        <w:t>школа </w:t>
      </w:r>
      <w:r>
        <w:rPr>
          <w:color w:val="231F20"/>
        </w:rPr>
        <w:t>у Дрмну је повезана на насељски систем цен- тралног грејања, седам има сопствено централно грејање, а осам локална ложишта (за четири </w:t>
      </w:r>
      <w:r>
        <w:rPr>
          <w:color w:val="231F20"/>
          <w:spacing w:val="-3"/>
        </w:rPr>
        <w:t>школе </w:t>
      </w:r>
      <w:r>
        <w:rPr>
          <w:color w:val="231F20"/>
        </w:rPr>
        <w:t>податак није познат). Свега шест </w:t>
      </w:r>
      <w:r>
        <w:rPr>
          <w:color w:val="231F20"/>
          <w:spacing w:val="-3"/>
        </w:rPr>
        <w:t>школа </w:t>
      </w:r>
      <w:r>
        <w:rPr>
          <w:color w:val="231F20"/>
        </w:rPr>
        <w:t>(матичне осморазредне) има кухињу са трпезаријом,  а само осам </w:t>
      </w:r>
      <w:r>
        <w:rPr>
          <w:color w:val="231F20"/>
          <w:spacing w:val="-3"/>
        </w:rPr>
        <w:t>библиотеку.  </w:t>
      </w:r>
      <w:r>
        <w:rPr>
          <w:color w:val="231F20"/>
        </w:rPr>
        <w:t>Спортску салу има само шест </w:t>
      </w:r>
      <w:r>
        <w:rPr>
          <w:color w:val="231F20"/>
          <w:spacing w:val="-3"/>
        </w:rPr>
        <w:t>школа,  </w:t>
      </w:r>
      <w:r>
        <w:rPr>
          <w:color w:val="231F20"/>
        </w:rPr>
        <w:t>а  у једној је изградња у </w:t>
      </w:r>
      <w:r>
        <w:rPr>
          <w:color w:val="231F20"/>
          <w:spacing w:val="-5"/>
        </w:rPr>
        <w:t>току. </w:t>
      </w:r>
      <w:r>
        <w:rPr>
          <w:color w:val="231F20"/>
        </w:rPr>
        <w:t>Све матичне основне </w:t>
      </w:r>
      <w:r>
        <w:rPr>
          <w:color w:val="231F20"/>
          <w:spacing w:val="-3"/>
        </w:rPr>
        <w:t>школе </w:t>
      </w:r>
      <w:r>
        <w:rPr>
          <w:color w:val="231F20"/>
        </w:rPr>
        <w:t>су наве- ле потребу за адаптацијом/доградњом, а </w:t>
      </w:r>
      <w:r>
        <w:rPr>
          <w:color w:val="231F20"/>
          <w:spacing w:val="-3"/>
        </w:rPr>
        <w:t>од </w:t>
      </w:r>
      <w:r>
        <w:rPr>
          <w:color w:val="231F20"/>
        </w:rPr>
        <w:t>четвороразредних са- мо четири. </w:t>
      </w:r>
      <w:r>
        <w:rPr>
          <w:color w:val="231F20"/>
          <w:spacing w:val="-4"/>
        </w:rPr>
        <w:t>Неколико </w:t>
      </w:r>
      <w:r>
        <w:rPr>
          <w:color w:val="231F20"/>
        </w:rPr>
        <w:t>сеоских </w:t>
      </w:r>
      <w:r>
        <w:rPr>
          <w:color w:val="231F20"/>
          <w:spacing w:val="-3"/>
        </w:rPr>
        <w:t>школа </w:t>
      </w:r>
      <w:r>
        <w:rPr>
          <w:color w:val="231F20"/>
        </w:rPr>
        <w:t>у свом саставу има и стан за учитеља.</w:t>
      </w:r>
      <w:r>
        <w:rPr>
          <w:color w:val="231F20"/>
          <w:spacing w:val="-7"/>
        </w:rPr>
        <w:t> </w:t>
      </w:r>
      <w:r>
        <w:rPr>
          <w:color w:val="231F20"/>
        </w:rPr>
        <w:t>Све</w:t>
      </w:r>
      <w:r>
        <w:rPr>
          <w:color w:val="231F20"/>
          <w:spacing w:val="-7"/>
        </w:rPr>
        <w:t> </w:t>
      </w:r>
      <w:r>
        <w:rPr>
          <w:color w:val="231F20"/>
          <w:spacing w:val="-3"/>
        </w:rPr>
        <w:t>школе</w:t>
      </w:r>
      <w:r>
        <w:rPr>
          <w:color w:val="231F20"/>
          <w:spacing w:val="-7"/>
        </w:rPr>
        <w:t> </w:t>
      </w:r>
      <w:r>
        <w:rPr>
          <w:color w:val="231F20"/>
        </w:rPr>
        <w:t>имају</w:t>
      </w:r>
      <w:r>
        <w:rPr>
          <w:color w:val="231F20"/>
          <w:spacing w:val="-7"/>
        </w:rPr>
        <w:t> </w:t>
      </w:r>
      <w:r>
        <w:rPr>
          <w:color w:val="231F20"/>
        </w:rPr>
        <w:t>организован</w:t>
      </w:r>
      <w:r>
        <w:rPr>
          <w:color w:val="231F20"/>
          <w:spacing w:val="-7"/>
        </w:rPr>
        <w:t> </w:t>
      </w:r>
      <w:r>
        <w:rPr>
          <w:color w:val="231F20"/>
        </w:rPr>
        <w:t>превоз</w:t>
      </w:r>
      <w:r>
        <w:rPr>
          <w:color w:val="231F20"/>
          <w:spacing w:val="-7"/>
        </w:rPr>
        <w:t> </w:t>
      </w:r>
      <w:r>
        <w:rPr>
          <w:color w:val="231F20"/>
        </w:rPr>
        <w:t>за</w:t>
      </w:r>
      <w:r>
        <w:rPr>
          <w:color w:val="231F20"/>
          <w:spacing w:val="-7"/>
        </w:rPr>
        <w:t> </w:t>
      </w:r>
      <w:r>
        <w:rPr>
          <w:color w:val="231F20"/>
        </w:rPr>
        <w:t>ученике</w:t>
      </w:r>
      <w:r>
        <w:rPr>
          <w:color w:val="231F20"/>
          <w:spacing w:val="-7"/>
        </w:rPr>
        <w:t> </w:t>
      </w:r>
      <w:r>
        <w:rPr>
          <w:color w:val="231F20"/>
        </w:rPr>
        <w:t>старијих разреда</w:t>
      </w:r>
      <w:r>
        <w:rPr>
          <w:color w:val="231F20"/>
          <w:spacing w:val="-7"/>
        </w:rPr>
        <w:t> </w:t>
      </w:r>
      <w:r>
        <w:rPr>
          <w:color w:val="231F20"/>
        </w:rPr>
        <w:t>(5</w:t>
      </w:r>
      <w:r>
        <w:rPr>
          <w:color w:val="231F20"/>
          <w:spacing w:val="-19"/>
        </w:rPr>
        <w:t> </w:t>
      </w:r>
      <w:r>
        <w:rPr>
          <w:color w:val="231F20"/>
        </w:rPr>
        <w:t>–8</w:t>
      </w:r>
      <w:r>
        <w:rPr>
          <w:color w:val="231F20"/>
          <w:spacing w:val="-7"/>
        </w:rPr>
        <w:t> </w:t>
      </w:r>
      <w:r>
        <w:rPr>
          <w:color w:val="231F20"/>
        </w:rPr>
        <w:t>разред)</w:t>
      </w:r>
      <w:r>
        <w:rPr>
          <w:color w:val="231F20"/>
          <w:spacing w:val="-7"/>
        </w:rPr>
        <w:t> </w:t>
      </w:r>
      <w:r>
        <w:rPr>
          <w:color w:val="231F20"/>
          <w:spacing w:val="-3"/>
        </w:rPr>
        <w:t>којима</w:t>
      </w:r>
      <w:r>
        <w:rPr>
          <w:color w:val="231F20"/>
          <w:spacing w:val="-7"/>
        </w:rPr>
        <w:t> </w:t>
      </w:r>
      <w:r>
        <w:rPr>
          <w:color w:val="231F20"/>
        </w:rPr>
        <w:t>је</w:t>
      </w:r>
      <w:r>
        <w:rPr>
          <w:color w:val="231F20"/>
          <w:spacing w:val="-7"/>
        </w:rPr>
        <w:t> </w:t>
      </w:r>
      <w:r>
        <w:rPr>
          <w:color w:val="231F20"/>
        </w:rPr>
        <w:t>та</w:t>
      </w:r>
      <w:r>
        <w:rPr>
          <w:color w:val="231F20"/>
          <w:spacing w:val="-7"/>
        </w:rPr>
        <w:t> </w:t>
      </w:r>
      <w:r>
        <w:rPr>
          <w:color w:val="231F20"/>
        </w:rPr>
        <w:t>услуга</w:t>
      </w:r>
      <w:r>
        <w:rPr>
          <w:color w:val="231F20"/>
          <w:spacing w:val="-7"/>
        </w:rPr>
        <w:t> </w:t>
      </w:r>
      <w:r>
        <w:rPr>
          <w:color w:val="231F20"/>
        </w:rPr>
        <w:t>потребна</w:t>
      </w:r>
      <w:r>
        <w:rPr>
          <w:color w:val="231F20"/>
          <w:spacing w:val="-7"/>
        </w:rPr>
        <w:t> </w:t>
      </w:r>
      <w:r>
        <w:rPr>
          <w:color w:val="231F20"/>
        </w:rPr>
        <w:t>због</w:t>
      </w:r>
      <w:r>
        <w:rPr>
          <w:color w:val="231F20"/>
          <w:spacing w:val="-7"/>
        </w:rPr>
        <w:t> </w:t>
      </w:r>
      <w:r>
        <w:rPr>
          <w:color w:val="231F20"/>
        </w:rPr>
        <w:t>удаљености до места становања.</w:t>
      </w:r>
    </w:p>
    <w:p>
      <w:pPr>
        <w:pStyle w:val="BodyText"/>
        <w:spacing w:line="228" w:lineRule="auto"/>
        <w:ind w:left="243" w:right="127" w:firstLine="397"/>
      </w:pPr>
      <w:r>
        <w:rPr>
          <w:color w:val="231F20"/>
        </w:rPr>
        <w:t>Сва три насеља општине Велико Градиште имају основну школу (осморазредна у Мајиловцу), новије су градње (једна адап- тирана). Само је школа у Мајиловцу потпуније опремљена (кухи- ња, библиотека, трпезарија, фискултурна сала, кабинети), док су школе у Курјачу и Сиракову мале (190 m² и 150 m²), са локалним ложиштем, и по једним нужником.</w:t>
      </w:r>
    </w:p>
    <w:p>
      <w:pPr>
        <w:pStyle w:val="BodyText"/>
        <w:spacing w:line="228" w:lineRule="auto"/>
        <w:ind w:left="243" w:right="127" w:firstLine="396"/>
      </w:pPr>
      <w:r>
        <w:rPr>
          <w:color w:val="231F20"/>
        </w:rPr>
        <w:t>Средње образовање – На подручју града Пожаревца ради шест средњих школа, у државној својини (не располажемо пода- цима да ли постоје приватне средње школе). Зграде су релативно добро опремљене са одговарајућом инфраструктуром и све раде у две смене. Само две средње школе у свом саставу имају ђачке ин- тернате. Капацитет интерната у саставу Техничке школе је свега 6,4% од укупног броја ученика, док интернат у Пољопривредној школи може да приме трећину уписаних ученика (32,3%).</w:t>
      </w:r>
    </w:p>
    <w:p>
      <w:pPr>
        <w:pStyle w:val="BodyText"/>
        <w:spacing w:line="228" w:lineRule="auto"/>
        <w:ind w:left="243" w:right="127" w:firstLine="396"/>
      </w:pPr>
      <w:r>
        <w:rPr>
          <w:color w:val="231F20"/>
        </w:rPr>
        <w:t>У Пожаревцу ради и школа за музичко образовање „Стеван Мокрањац” (основно и средње образовање), која има и три издво- јена одељења – у Костолцу и на подручју других општина (Мало Црниће, Кучево и Велико Градиште).</w:t>
      </w:r>
    </w:p>
    <w:p>
      <w:pPr>
        <w:pStyle w:val="BodyText"/>
        <w:spacing w:line="228" w:lineRule="auto"/>
        <w:ind w:left="243" w:right="127" w:firstLine="397"/>
      </w:pPr>
      <w:r>
        <w:rPr>
          <w:color w:val="231F20"/>
        </w:rPr>
        <w:t>Више и високе </w:t>
      </w:r>
      <w:r>
        <w:rPr>
          <w:color w:val="231F20"/>
          <w:spacing w:val="-3"/>
        </w:rPr>
        <w:t>школе </w:t>
      </w:r>
      <w:r>
        <w:rPr>
          <w:color w:val="231F20"/>
        </w:rPr>
        <w:t>– У Пожаревцу ради Висока технич- ка </w:t>
      </w:r>
      <w:r>
        <w:rPr>
          <w:color w:val="231F20"/>
          <w:spacing w:val="-3"/>
        </w:rPr>
        <w:t>школа </w:t>
      </w:r>
      <w:r>
        <w:rPr>
          <w:color w:val="231F20"/>
        </w:rPr>
        <w:t>струковних </w:t>
      </w:r>
      <w:r>
        <w:rPr>
          <w:color w:val="231F20"/>
          <w:spacing w:val="-3"/>
        </w:rPr>
        <w:t>студија </w:t>
      </w:r>
      <w:r>
        <w:rPr>
          <w:color w:val="231F20"/>
        </w:rPr>
        <w:t>као и Висока пољопривредна </w:t>
      </w:r>
      <w:r>
        <w:rPr>
          <w:color w:val="231F20"/>
          <w:spacing w:val="-3"/>
        </w:rPr>
        <w:t>школа. </w:t>
      </w:r>
      <w:r>
        <w:rPr>
          <w:color w:val="231F20"/>
        </w:rPr>
        <w:t>Зграда је изграђена 1890. године, а дограђена и адаптирана 1970., 1990. и 2009. године. Нето површина објекта је 2.068 m², и није прилагођен за особе са сметњама у </w:t>
      </w:r>
      <w:r>
        <w:rPr>
          <w:color w:val="231F20"/>
          <w:spacing w:val="-3"/>
        </w:rPr>
        <w:t>кретању. Такође, </w:t>
      </w:r>
      <w:r>
        <w:rPr>
          <w:color w:val="231F20"/>
        </w:rPr>
        <w:t>у Пожаревцу ради и Факултет за пословне студије, Универзитета Мегатренд из Београда, као и одељења факултета из Ниша и Новог</w:t>
      </w:r>
      <w:r>
        <w:rPr>
          <w:color w:val="231F20"/>
          <w:spacing w:val="-18"/>
        </w:rPr>
        <w:t> </w:t>
      </w:r>
      <w:r>
        <w:rPr>
          <w:color w:val="231F20"/>
        </w:rPr>
        <w:t>Сада.</w:t>
      </w:r>
    </w:p>
    <w:p>
      <w:pPr>
        <w:pStyle w:val="BodyText"/>
        <w:spacing w:line="228" w:lineRule="auto"/>
        <w:ind w:left="243" w:right="126" w:firstLine="397"/>
      </w:pPr>
      <w:r>
        <w:rPr>
          <w:color w:val="231F20"/>
        </w:rPr>
        <w:t>Здравствена заштита – Највећа здравствена установа на подручју града Пожаревца је општа болница, </w:t>
      </w:r>
      <w:r>
        <w:rPr>
          <w:color w:val="231F20"/>
          <w:spacing w:val="-3"/>
        </w:rPr>
        <w:t>која </w:t>
      </w:r>
      <w:r>
        <w:rPr>
          <w:color w:val="231F20"/>
        </w:rPr>
        <w:t>ради у четири објекта укупне површине </w:t>
      </w:r>
      <w:r>
        <w:rPr>
          <w:color w:val="231F20"/>
          <w:spacing w:val="-4"/>
        </w:rPr>
        <w:t>око </w:t>
      </w:r>
      <w:r>
        <w:rPr>
          <w:color w:val="231F20"/>
        </w:rPr>
        <w:t>25.000 m², на парцели </w:t>
      </w:r>
      <w:r>
        <w:rPr>
          <w:color w:val="231F20"/>
          <w:spacing w:val="-3"/>
        </w:rPr>
        <w:t>од </w:t>
      </w:r>
      <w:r>
        <w:rPr>
          <w:color w:val="231F20"/>
          <w:spacing w:val="-4"/>
        </w:rPr>
        <w:t>око </w:t>
      </w:r>
      <w:r>
        <w:rPr>
          <w:color w:val="231F20"/>
        </w:rPr>
        <w:t>једног хектара. Постоји и нови објекат ове медицинске установе, чија се изградња, </w:t>
      </w:r>
      <w:r>
        <w:rPr>
          <w:color w:val="231F20"/>
          <w:spacing w:val="-3"/>
        </w:rPr>
        <w:t>након </w:t>
      </w:r>
      <w:r>
        <w:rPr>
          <w:color w:val="231F20"/>
        </w:rPr>
        <w:t>тринаест година, наставља. Основна здравстве- на заштита организована је у оквиру домова здравља у градским насељима Пожаревац и Костолац. Објекте су релативно добро одржавани, али су потребне одговарајуће интервенције на побољ- шању услова рада. У сеоскима насељима на подручју града По- жаревца ради пет здравствених станица и девет здравствених ам- </w:t>
      </w:r>
      <w:r>
        <w:rPr>
          <w:color w:val="231F20"/>
          <w:spacing w:val="-3"/>
        </w:rPr>
        <w:t>буланти. </w:t>
      </w:r>
      <w:r>
        <w:rPr>
          <w:color w:val="231F20"/>
        </w:rPr>
        <w:t>Површине здравствених станица крећу се </w:t>
      </w:r>
      <w:r>
        <w:rPr>
          <w:color w:val="231F20"/>
          <w:spacing w:val="-3"/>
        </w:rPr>
        <w:t>од </w:t>
      </w:r>
      <w:r>
        <w:rPr>
          <w:color w:val="231F20"/>
        </w:rPr>
        <w:t>150 до 210 m², а здравствених </w:t>
      </w:r>
      <w:r>
        <w:rPr>
          <w:color w:val="231F20"/>
          <w:spacing w:val="-3"/>
        </w:rPr>
        <w:t>амбуланти од </w:t>
      </w:r>
      <w:r>
        <w:rPr>
          <w:color w:val="231F20"/>
        </w:rPr>
        <w:t>30 до 70 m², изузев </w:t>
      </w:r>
      <w:r>
        <w:rPr>
          <w:color w:val="231F20"/>
          <w:spacing w:val="-3"/>
        </w:rPr>
        <w:t>амбуланте </w:t>
      </w:r>
      <w:r>
        <w:rPr>
          <w:color w:val="231F20"/>
        </w:rPr>
        <w:t>Дрмно ТЕ-КО површине 150 m². </w:t>
      </w:r>
      <w:r>
        <w:rPr>
          <w:color w:val="231F20"/>
          <w:spacing w:val="-4"/>
        </w:rPr>
        <w:t>Неколико </w:t>
      </w:r>
      <w:r>
        <w:rPr>
          <w:color w:val="231F20"/>
        </w:rPr>
        <w:t>здравствених станица има стално запосленог лекара, у појединим лекар долази једном недељно (села Брадарац и Баре), а све имају стално запослену ме- дицинску сестру или</w:t>
      </w:r>
      <w:r>
        <w:rPr>
          <w:color w:val="231F20"/>
          <w:spacing w:val="-2"/>
        </w:rPr>
        <w:t> </w:t>
      </w:r>
      <w:r>
        <w:rPr>
          <w:color w:val="231F20"/>
        </w:rPr>
        <w:t>техничара.</w:t>
      </w:r>
    </w:p>
    <w:p>
      <w:pPr>
        <w:pStyle w:val="BodyText"/>
        <w:spacing w:line="228" w:lineRule="auto"/>
        <w:ind w:left="243" w:right="127" w:firstLine="396"/>
      </w:pPr>
      <w:r>
        <w:rPr>
          <w:color w:val="231F20"/>
        </w:rPr>
        <w:t>Од три насеља општине Велико Градиште, само Мијаиловац има здравствену станицу, са стално запосленим лекаром, стомато- логом и фармацеутом.</w:t>
      </w:r>
    </w:p>
    <w:p>
      <w:pPr>
        <w:pStyle w:val="BodyText"/>
        <w:spacing w:line="228" w:lineRule="auto"/>
        <w:ind w:left="243" w:right="127" w:firstLine="397"/>
      </w:pPr>
      <w:r>
        <w:rPr>
          <w:color w:val="231F20"/>
        </w:rPr>
        <w:t>Социјална заштита – Центар за социјални рад у Пожаревцу ради у објекту површине 300 m², на парцели површине 770 m² и има физички издвојену организациону јединицу за дневни бора- вак деце и омладине са сметњама у развоју, капацитета 30 кори- сника (површина око 350 m² и дворишта око 470 m²). Корисници материјалног обезбеђења у апсолутној већини су из градских на- сеља у односу на кориснике из сеоских насеља 87% : 13%, док су проценти корисника туђе неге и помоћи сразмерне учешћу град- ског и сеоског становништва (67% : 33%).</w:t>
      </w:r>
    </w:p>
    <w:p>
      <w:pPr>
        <w:pStyle w:val="BodyText"/>
        <w:spacing w:line="232" w:lineRule="auto"/>
        <w:ind w:left="243" w:right="127" w:firstLine="396"/>
      </w:pPr>
      <w:r>
        <w:rPr>
          <w:color w:val="231F20"/>
          <w:spacing w:val="-4"/>
        </w:rPr>
        <w:t>Култура </w:t>
      </w:r>
      <w:r>
        <w:rPr>
          <w:color w:val="231F20"/>
        </w:rPr>
        <w:t>– </w:t>
      </w:r>
      <w:r>
        <w:rPr>
          <w:color w:val="231F20"/>
          <w:spacing w:val="-4"/>
        </w:rPr>
        <w:t>Градско </w:t>
      </w:r>
      <w:r>
        <w:rPr>
          <w:color w:val="231F20"/>
        </w:rPr>
        <w:t>насеље Пожаревац, поред </w:t>
      </w:r>
      <w:r>
        <w:rPr>
          <w:color w:val="231F20"/>
          <w:spacing w:val="-4"/>
        </w:rPr>
        <w:t>неколико </w:t>
      </w:r>
      <w:r>
        <w:rPr>
          <w:color w:val="231F20"/>
        </w:rPr>
        <w:t>уста- нова </w:t>
      </w:r>
      <w:r>
        <w:rPr>
          <w:color w:val="231F20"/>
          <w:spacing w:val="-3"/>
        </w:rPr>
        <w:t>културе </w:t>
      </w:r>
      <w:r>
        <w:rPr>
          <w:color w:val="231F20"/>
        </w:rPr>
        <w:t>градског значаја има добро организовану галерију/ фондацију Милена Павловић – Барили, са </w:t>
      </w:r>
      <w:r>
        <w:rPr>
          <w:color w:val="231F20"/>
          <w:spacing w:val="-3"/>
        </w:rPr>
        <w:t>високом  </w:t>
      </w:r>
      <w:r>
        <w:rPr>
          <w:color w:val="231F20"/>
        </w:rPr>
        <w:t>националном и међународном репутацијом. На подручја града Пожаревца на- лази се археолошки локалитет Виминацијум, </w:t>
      </w:r>
      <w:r>
        <w:rPr>
          <w:color w:val="231F20"/>
          <w:spacing w:val="-3"/>
        </w:rPr>
        <w:t>који </w:t>
      </w:r>
      <w:r>
        <w:rPr>
          <w:color w:val="231F20"/>
        </w:rPr>
        <w:t>је кандидован за упис на листу светске </w:t>
      </w:r>
      <w:r>
        <w:rPr>
          <w:color w:val="231F20"/>
          <w:spacing w:val="-2"/>
        </w:rPr>
        <w:t>културне </w:t>
      </w:r>
      <w:r>
        <w:rPr>
          <w:color w:val="231F20"/>
        </w:rPr>
        <w:t>баштине, а евидентиран је ме- ђу</w:t>
      </w:r>
      <w:r>
        <w:rPr>
          <w:color w:val="231F20"/>
          <w:spacing w:val="21"/>
        </w:rPr>
        <w:t> </w:t>
      </w:r>
      <w:r>
        <w:rPr>
          <w:color w:val="231F20"/>
        </w:rPr>
        <w:t>најзначајнијим</w:t>
      </w:r>
      <w:r>
        <w:rPr>
          <w:color w:val="231F20"/>
          <w:spacing w:val="21"/>
        </w:rPr>
        <w:t> </w:t>
      </w:r>
      <w:r>
        <w:rPr>
          <w:color w:val="231F20"/>
        </w:rPr>
        <w:t>међународним</w:t>
      </w:r>
      <w:r>
        <w:rPr>
          <w:color w:val="231F20"/>
          <w:spacing w:val="21"/>
        </w:rPr>
        <w:t> </w:t>
      </w:r>
      <w:r>
        <w:rPr>
          <w:color w:val="231F20"/>
        </w:rPr>
        <w:t>туристичким</w:t>
      </w:r>
      <w:r>
        <w:rPr>
          <w:color w:val="231F20"/>
          <w:spacing w:val="21"/>
        </w:rPr>
        <w:t> </w:t>
      </w:r>
      <w:r>
        <w:rPr>
          <w:color w:val="231F20"/>
        </w:rPr>
        <w:t>дестинацијама</w:t>
      </w:r>
      <w:r>
        <w:rPr>
          <w:color w:val="231F20"/>
          <w:spacing w:val="21"/>
        </w:rPr>
        <w:t> </w:t>
      </w:r>
      <w:r>
        <w:rPr>
          <w:color w:val="231F20"/>
        </w:rPr>
        <w:t>на</w:t>
      </w:r>
    </w:p>
    <w:p>
      <w:pPr>
        <w:spacing w:after="0" w:line="232" w:lineRule="auto"/>
        <w:sectPr>
          <w:pgSz w:w="12480" w:h="15690"/>
          <w:pgMar w:top="120" w:bottom="280" w:left="680" w:right="720"/>
          <w:cols w:num="2" w:equalWidth="0">
            <w:col w:w="5558" w:space="40"/>
            <w:col w:w="5482"/>
          </w:cols>
        </w:sectPr>
      </w:pPr>
    </w:p>
    <w:p>
      <w:pPr>
        <w:pStyle w:val="BodyText"/>
        <w:spacing w:line="235" w:lineRule="auto" w:before="71"/>
        <w:ind w:right="38" w:hanging="1"/>
      </w:pPr>
      <w:r>
        <w:rPr>
          <w:color w:val="231F20"/>
        </w:rPr>
        <w:t>Дунаву – коридор VII. </w:t>
      </w:r>
      <w:r>
        <w:rPr>
          <w:color w:val="231F20"/>
          <w:spacing w:val="-3"/>
        </w:rPr>
        <w:t>Такође, </w:t>
      </w:r>
      <w:r>
        <w:rPr>
          <w:color w:val="231F20"/>
        </w:rPr>
        <w:t>у градским насељима Пожаревцу и Костолцу организовани су богатији садржаји </w:t>
      </w:r>
      <w:r>
        <w:rPr>
          <w:color w:val="231F20"/>
          <w:spacing w:val="-2"/>
        </w:rPr>
        <w:t>културне </w:t>
      </w:r>
      <w:r>
        <w:rPr>
          <w:color w:val="231F20"/>
        </w:rPr>
        <w:t>понуде. У сеоским насељима постоје домови културе, грађени у периоду на- </w:t>
      </w:r>
      <w:r>
        <w:rPr>
          <w:color w:val="231F20"/>
          <w:spacing w:val="-4"/>
        </w:rPr>
        <w:t>кон </w:t>
      </w:r>
      <w:r>
        <w:rPr>
          <w:color w:val="231F20"/>
        </w:rPr>
        <w:t>II светског рата, изузев дома </w:t>
      </w:r>
      <w:r>
        <w:rPr>
          <w:color w:val="231F20"/>
          <w:spacing w:val="-3"/>
        </w:rPr>
        <w:t>културе </w:t>
      </w:r>
      <w:r>
        <w:rPr>
          <w:color w:val="231F20"/>
        </w:rPr>
        <w:t>у </w:t>
      </w:r>
      <w:r>
        <w:rPr>
          <w:color w:val="231F20"/>
          <w:spacing w:val="-4"/>
        </w:rPr>
        <w:t>Трњану, </w:t>
      </w:r>
      <w:r>
        <w:rPr>
          <w:color w:val="231F20"/>
        </w:rPr>
        <w:t>изграђен 1933. </w:t>
      </w:r>
      <w:r>
        <w:rPr>
          <w:color w:val="231F20"/>
          <w:spacing w:val="-3"/>
        </w:rPr>
        <w:t>године који </w:t>
      </w:r>
      <w:r>
        <w:rPr>
          <w:color w:val="231F20"/>
        </w:rPr>
        <w:t>се не користи. Површина ових објеката креће се </w:t>
      </w:r>
      <w:r>
        <w:rPr>
          <w:color w:val="231F20"/>
          <w:spacing w:val="-3"/>
        </w:rPr>
        <w:t>од </w:t>
      </w:r>
      <w:r>
        <w:rPr>
          <w:color w:val="231F20"/>
        </w:rPr>
        <w:t>130 – 150 m² (Брадарац, Братинац, Пругово, Речица, Трњане) до </w:t>
      </w:r>
      <w:r>
        <w:rPr>
          <w:color w:val="231F20"/>
          <w:spacing w:val="-3"/>
        </w:rPr>
        <w:t>преко </w:t>
      </w:r>
      <w:r>
        <w:rPr>
          <w:color w:val="231F20"/>
        </w:rPr>
        <w:t>1.000 m² (Брежане и Кличевац). Објекти су најчешће </w:t>
      </w:r>
      <w:r>
        <w:rPr>
          <w:color w:val="231F20"/>
          <w:spacing w:val="-3"/>
        </w:rPr>
        <w:t>мул- </w:t>
      </w:r>
      <w:r>
        <w:rPr>
          <w:color w:val="231F20"/>
        </w:rPr>
        <w:t>тифункционалне намене (административни послови, здравствене услуге, спортске активности, трговина, угоститељство). У два на- сеља општине Велико Градиште, Мајиловцу и </w:t>
      </w:r>
      <w:r>
        <w:rPr>
          <w:color w:val="231F20"/>
          <w:spacing w:val="-4"/>
        </w:rPr>
        <w:t>Сиракову, </w:t>
      </w:r>
      <w:r>
        <w:rPr>
          <w:color w:val="231F20"/>
        </w:rPr>
        <w:t>постоје објекти дома културе, површине 400 m² односно 250</w:t>
      </w:r>
      <w:r>
        <w:rPr>
          <w:color w:val="231F20"/>
          <w:spacing w:val="-11"/>
        </w:rPr>
        <w:t> </w:t>
      </w:r>
      <w:r>
        <w:rPr>
          <w:color w:val="231F20"/>
        </w:rPr>
        <w:t>m².</w:t>
      </w:r>
    </w:p>
    <w:p>
      <w:pPr>
        <w:pStyle w:val="BodyText"/>
        <w:spacing w:line="223" w:lineRule="auto"/>
        <w:ind w:right="38" w:firstLine="396"/>
      </w:pPr>
      <w:r>
        <w:rPr>
          <w:color w:val="231F20"/>
        </w:rPr>
        <w:t>Физичка култура – У градским насељима Пожаревац и Ко- столац постоји спортски центар/спортска хала, са различитим са- држајима. У већем броју сеоских насеља постоје терени за раз- личите спортске активности, локалног значаја у надлежности локалне самоуправе. Сви евидентирани објекти су у јавној своји- ни. Површина парцела је најчешће између 50 и 200 m², а издваја- ју се фудбалски стадиони у селу Петка (1.500 m²) и насељу Село Костолац (500 m²).</w:t>
      </w:r>
    </w:p>
    <w:p>
      <w:pPr>
        <w:pStyle w:val="ListParagraph"/>
        <w:numPr>
          <w:ilvl w:val="2"/>
          <w:numId w:val="19"/>
        </w:numPr>
        <w:tabs>
          <w:tab w:pos="1288" w:val="left" w:leader="none"/>
        </w:tabs>
        <w:spacing w:line="240" w:lineRule="auto" w:before="152" w:after="0"/>
        <w:ind w:left="1287" w:right="0" w:hanging="450"/>
        <w:jc w:val="left"/>
        <w:rPr>
          <w:sz w:val="18"/>
        </w:rPr>
      </w:pPr>
      <w:r>
        <w:rPr>
          <w:color w:val="231F20"/>
          <w:spacing w:val="15"/>
          <w:sz w:val="18"/>
        </w:rPr>
        <w:t>Мрежа </w:t>
      </w:r>
      <w:r>
        <w:rPr>
          <w:color w:val="231F20"/>
          <w:spacing w:val="12"/>
          <w:sz w:val="18"/>
        </w:rPr>
        <w:t>нас еља </w:t>
      </w:r>
      <w:r>
        <w:rPr>
          <w:color w:val="231F20"/>
          <w:sz w:val="18"/>
        </w:rPr>
        <w:t>и </w:t>
      </w:r>
      <w:r>
        <w:rPr>
          <w:color w:val="231F20"/>
          <w:spacing w:val="16"/>
          <w:sz w:val="18"/>
        </w:rPr>
        <w:t>функције </w:t>
      </w:r>
      <w:r>
        <w:rPr>
          <w:color w:val="231F20"/>
          <w:spacing w:val="15"/>
          <w:sz w:val="18"/>
        </w:rPr>
        <w:t>цент</w:t>
      </w:r>
      <w:r>
        <w:rPr>
          <w:color w:val="231F20"/>
          <w:spacing w:val="-26"/>
          <w:sz w:val="18"/>
        </w:rPr>
        <w:t> </w:t>
      </w:r>
      <w:r>
        <w:rPr>
          <w:color w:val="231F20"/>
          <w:spacing w:val="12"/>
          <w:sz w:val="18"/>
        </w:rPr>
        <w:t>ара</w:t>
      </w:r>
    </w:p>
    <w:p>
      <w:pPr>
        <w:pStyle w:val="BodyText"/>
        <w:spacing w:before="6"/>
        <w:ind w:left="0"/>
        <w:jc w:val="left"/>
        <w:rPr>
          <w:sz w:val="17"/>
        </w:rPr>
      </w:pPr>
    </w:p>
    <w:p>
      <w:pPr>
        <w:pStyle w:val="BodyText"/>
        <w:spacing w:line="235" w:lineRule="auto"/>
        <w:ind w:left="171" w:right="38" w:firstLine="396"/>
      </w:pPr>
      <w:r>
        <w:rPr>
          <w:color w:val="231F20"/>
        </w:rPr>
        <w:t>На </w:t>
      </w:r>
      <w:r>
        <w:rPr>
          <w:color w:val="231F20"/>
          <w:spacing w:val="-3"/>
        </w:rPr>
        <w:t>Планском </w:t>
      </w:r>
      <w:r>
        <w:rPr>
          <w:color w:val="231F20"/>
        </w:rPr>
        <w:t>подручју се налази укупно 30 насеља, </w:t>
      </w:r>
      <w:r>
        <w:rPr>
          <w:color w:val="231F20"/>
          <w:spacing w:val="-3"/>
        </w:rPr>
        <w:t>од </w:t>
      </w:r>
      <w:r>
        <w:rPr>
          <w:color w:val="231F20"/>
          <w:spacing w:val="-4"/>
        </w:rPr>
        <w:t>ко- </w:t>
      </w:r>
      <w:r>
        <w:rPr>
          <w:color w:val="231F20"/>
        </w:rPr>
        <w:t>јих су два градска и 28 осталих, према структури</w:t>
      </w:r>
      <w:r>
        <w:rPr>
          <w:color w:val="231F20"/>
          <w:spacing w:val="-6"/>
        </w:rPr>
        <w:t> </w:t>
      </w:r>
      <w:r>
        <w:rPr>
          <w:color w:val="231F20"/>
        </w:rPr>
        <w:t>делатности,</w:t>
      </w:r>
    </w:p>
    <w:p>
      <w:pPr>
        <w:pStyle w:val="BodyText"/>
        <w:spacing w:line="235" w:lineRule="auto" w:before="72"/>
        <w:ind w:right="410"/>
      </w:pPr>
      <w:r>
        <w:rPr/>
        <w:br w:type="column"/>
      </w:r>
      <w:r>
        <w:rPr>
          <w:color w:val="231F20"/>
        </w:rPr>
        <w:t>сеоских</w:t>
      </w:r>
      <w:r>
        <w:rPr>
          <w:color w:val="231F20"/>
          <w:spacing w:val="-7"/>
        </w:rPr>
        <w:t> </w:t>
      </w:r>
      <w:r>
        <w:rPr>
          <w:color w:val="231F20"/>
        </w:rPr>
        <w:t>и</w:t>
      </w:r>
      <w:r>
        <w:rPr>
          <w:color w:val="231F20"/>
          <w:spacing w:val="-6"/>
        </w:rPr>
        <w:t> </w:t>
      </w:r>
      <w:r>
        <w:rPr>
          <w:color w:val="231F20"/>
        </w:rPr>
        <w:t>мешовитих</w:t>
      </w:r>
      <w:r>
        <w:rPr>
          <w:color w:val="231F20"/>
          <w:spacing w:val="-6"/>
        </w:rPr>
        <w:t> </w:t>
      </w:r>
      <w:r>
        <w:rPr>
          <w:color w:val="231F20"/>
        </w:rPr>
        <w:t>насеља.</w:t>
      </w:r>
      <w:r>
        <w:rPr>
          <w:color w:val="231F20"/>
          <w:spacing w:val="-6"/>
        </w:rPr>
        <w:t> </w:t>
      </w:r>
      <w:r>
        <w:rPr>
          <w:color w:val="231F20"/>
        </w:rPr>
        <w:t>Густинa</w:t>
      </w:r>
      <w:r>
        <w:rPr>
          <w:color w:val="231F20"/>
          <w:spacing w:val="-6"/>
        </w:rPr>
        <w:t> </w:t>
      </w:r>
      <w:r>
        <w:rPr>
          <w:color w:val="231F20"/>
        </w:rPr>
        <w:t>мрeжe</w:t>
      </w:r>
      <w:r>
        <w:rPr>
          <w:color w:val="231F20"/>
          <w:spacing w:val="-6"/>
        </w:rPr>
        <w:t> </w:t>
      </w:r>
      <w:r>
        <w:rPr>
          <w:color w:val="231F20"/>
        </w:rPr>
        <w:t>нaсeљa</w:t>
      </w:r>
      <w:r>
        <w:rPr>
          <w:color w:val="231F20"/>
          <w:spacing w:val="-7"/>
        </w:rPr>
        <w:t> </w:t>
      </w:r>
      <w:r>
        <w:rPr>
          <w:color w:val="231F20"/>
        </w:rPr>
        <w:t>нa</w:t>
      </w:r>
      <w:r>
        <w:rPr>
          <w:color w:val="231F20"/>
          <w:spacing w:val="-6"/>
        </w:rPr>
        <w:t> </w:t>
      </w:r>
      <w:r>
        <w:rPr>
          <w:color w:val="231F20"/>
        </w:rPr>
        <w:t>Плaнскoм пoдручjу изнoси 5,6 нaсeљa нa 100 km², штo je знaтнo нижe oд прoсeкa у срeдишњeм дeлу Рeпубликe oд 7,5 нaсeљa нa 100 km². Просечна густина насељености 2002. </w:t>
      </w:r>
      <w:r>
        <w:rPr>
          <w:color w:val="231F20"/>
          <w:spacing w:val="-3"/>
        </w:rPr>
        <w:t>године </w:t>
      </w:r>
      <w:r>
        <w:rPr>
          <w:color w:val="231F20"/>
        </w:rPr>
        <w:t>износила је 143 ста- новника/km²,  односно  </w:t>
      </w:r>
      <w:r>
        <w:rPr>
          <w:color w:val="231F20"/>
          <w:spacing w:val="-4"/>
        </w:rPr>
        <w:t>око  </w:t>
      </w:r>
      <w:r>
        <w:rPr>
          <w:color w:val="231F20"/>
        </w:rPr>
        <w:t>130  становника/km²  у  2011.  </w:t>
      </w:r>
      <w:r>
        <w:rPr>
          <w:color w:val="231F20"/>
          <w:spacing w:val="-3"/>
        </w:rPr>
        <w:t>години </w:t>
      </w:r>
      <w:r>
        <w:rPr>
          <w:color w:val="231F20"/>
        </w:rPr>
        <w:t>и то: на пoдручjу града Пoжaрeвца 153 стaнoвникa/km², одно-   сно 152 стaнoвникa/km², а у дeлу кojи припaдa oпштини Вeликo Грaдиштe</w:t>
      </w:r>
      <w:r>
        <w:rPr>
          <w:color w:val="231F20"/>
          <w:spacing w:val="-5"/>
        </w:rPr>
        <w:t> </w:t>
      </w:r>
      <w:r>
        <w:rPr>
          <w:color w:val="231F20"/>
        </w:rPr>
        <w:t>51</w:t>
      </w:r>
      <w:r>
        <w:rPr>
          <w:color w:val="231F20"/>
          <w:spacing w:val="-5"/>
        </w:rPr>
        <w:t> </w:t>
      </w:r>
      <w:r>
        <w:rPr>
          <w:color w:val="231F20"/>
        </w:rPr>
        <w:t>стaнoвникa/km²</w:t>
      </w:r>
      <w:r>
        <w:rPr>
          <w:color w:val="231F20"/>
          <w:spacing w:val="-5"/>
        </w:rPr>
        <w:t> </w:t>
      </w:r>
      <w:r>
        <w:rPr>
          <w:color w:val="231F20"/>
        </w:rPr>
        <w:t>и</w:t>
      </w:r>
      <w:r>
        <w:rPr>
          <w:color w:val="231F20"/>
          <w:spacing w:val="-5"/>
        </w:rPr>
        <w:t> </w:t>
      </w:r>
      <w:r>
        <w:rPr>
          <w:color w:val="231F20"/>
        </w:rPr>
        <w:t>знатно</w:t>
      </w:r>
      <w:r>
        <w:rPr>
          <w:color w:val="231F20"/>
          <w:spacing w:val="-5"/>
        </w:rPr>
        <w:t> </w:t>
      </w:r>
      <w:r>
        <w:rPr>
          <w:color w:val="231F20"/>
        </w:rPr>
        <w:t>мање</w:t>
      </w:r>
      <w:r>
        <w:rPr>
          <w:color w:val="231F20"/>
          <w:spacing w:val="-5"/>
        </w:rPr>
        <w:t> </w:t>
      </w:r>
      <w:r>
        <w:rPr>
          <w:color w:val="231F20"/>
        </w:rPr>
        <w:t>у</w:t>
      </w:r>
      <w:r>
        <w:rPr>
          <w:color w:val="231F20"/>
          <w:spacing w:val="-5"/>
        </w:rPr>
        <w:t> </w:t>
      </w:r>
      <w:r>
        <w:rPr>
          <w:color w:val="231F20"/>
        </w:rPr>
        <w:t>2011.</w:t>
      </w:r>
      <w:r>
        <w:rPr>
          <w:color w:val="231F20"/>
          <w:spacing w:val="-5"/>
        </w:rPr>
        <w:t> </w:t>
      </w:r>
      <w:r>
        <w:rPr>
          <w:color w:val="231F20"/>
        </w:rPr>
        <w:t>години,</w:t>
      </w:r>
      <w:r>
        <w:rPr>
          <w:color w:val="231F20"/>
          <w:spacing w:val="-5"/>
        </w:rPr>
        <w:t> </w:t>
      </w:r>
      <w:r>
        <w:rPr>
          <w:color w:val="231F20"/>
          <w:spacing w:val="-4"/>
        </w:rPr>
        <w:t>око</w:t>
      </w:r>
      <w:r>
        <w:rPr>
          <w:color w:val="231F20"/>
          <w:spacing w:val="-5"/>
        </w:rPr>
        <w:t> </w:t>
      </w:r>
      <w:r>
        <w:rPr>
          <w:color w:val="231F20"/>
        </w:rPr>
        <w:t>37 стaнoвникa/km².</w:t>
      </w:r>
    </w:p>
    <w:p>
      <w:pPr>
        <w:pStyle w:val="BodyText"/>
        <w:spacing w:before="7"/>
        <w:ind w:right="410" w:firstLine="396"/>
      </w:pPr>
      <w:r>
        <w:rPr/>
        <w:pict>
          <v:line style="position:absolute;mso-position-horizontal-relative:page;mso-position-vertical-relative:paragraph;z-index:1552" from="304.724396pt,-89.332855pt" to="304.724396pt,143.580145pt" stroked="true" strokeweight=".6pt" strokecolor="#231f20">
            <v:stroke dashstyle="solid"/>
            <w10:wrap type="none"/>
          </v:line>
        </w:pict>
      </w:r>
      <w:r>
        <w:rPr>
          <w:color w:val="231F20"/>
        </w:rPr>
        <w:t>Прoсeчaн брoj стaнoвникa пo нaсeљу изнoси 2.593, односно </w:t>
      </w:r>
      <w:r>
        <w:rPr>
          <w:color w:val="231F20"/>
          <w:spacing w:val="-4"/>
        </w:rPr>
        <w:t>око</w:t>
      </w:r>
      <w:r>
        <w:rPr>
          <w:color w:val="231F20"/>
          <w:spacing w:val="-8"/>
        </w:rPr>
        <w:t> </w:t>
      </w:r>
      <w:r>
        <w:rPr>
          <w:color w:val="231F20"/>
        </w:rPr>
        <w:t>2.540</w:t>
      </w:r>
      <w:r>
        <w:rPr>
          <w:color w:val="231F20"/>
          <w:spacing w:val="-8"/>
        </w:rPr>
        <w:t> </w:t>
      </w:r>
      <w:r>
        <w:rPr>
          <w:color w:val="231F20"/>
        </w:rPr>
        <w:t>према</w:t>
      </w:r>
      <w:r>
        <w:rPr>
          <w:color w:val="231F20"/>
          <w:spacing w:val="-8"/>
        </w:rPr>
        <w:t> </w:t>
      </w:r>
      <w:r>
        <w:rPr>
          <w:color w:val="231F20"/>
        </w:rPr>
        <w:t>Првим</w:t>
      </w:r>
      <w:r>
        <w:rPr>
          <w:color w:val="231F20"/>
          <w:spacing w:val="-8"/>
        </w:rPr>
        <w:t> </w:t>
      </w:r>
      <w:r>
        <w:rPr>
          <w:color w:val="231F20"/>
        </w:rPr>
        <w:t>резултатима</w:t>
      </w:r>
      <w:r>
        <w:rPr>
          <w:color w:val="231F20"/>
          <w:spacing w:val="-8"/>
        </w:rPr>
        <w:t> </w:t>
      </w:r>
      <w:r>
        <w:rPr>
          <w:color w:val="231F20"/>
        </w:rPr>
        <w:t>Пописа</w:t>
      </w:r>
      <w:r>
        <w:rPr>
          <w:color w:val="231F20"/>
          <w:spacing w:val="-8"/>
        </w:rPr>
        <w:t> </w:t>
      </w:r>
      <w:r>
        <w:rPr>
          <w:color w:val="231F20"/>
        </w:rPr>
        <w:t>2011.</w:t>
      </w:r>
      <w:r>
        <w:rPr>
          <w:color w:val="231F20"/>
          <w:spacing w:val="-8"/>
        </w:rPr>
        <w:t> </w:t>
      </w:r>
      <w:r>
        <w:rPr>
          <w:color w:val="231F20"/>
        </w:rPr>
        <w:t>године.</w:t>
      </w:r>
      <w:r>
        <w:rPr>
          <w:color w:val="231F20"/>
          <w:spacing w:val="-8"/>
        </w:rPr>
        <w:t> </w:t>
      </w:r>
      <w:r>
        <w:rPr>
          <w:color w:val="231F20"/>
          <w:spacing w:val="-3"/>
        </w:rPr>
        <w:t>Укoликo </w:t>
      </w:r>
      <w:r>
        <w:rPr>
          <w:color w:val="231F20"/>
        </w:rPr>
        <w:t>сe</w:t>
      </w:r>
      <w:r>
        <w:rPr>
          <w:color w:val="231F20"/>
          <w:spacing w:val="-4"/>
        </w:rPr>
        <w:t> </w:t>
      </w:r>
      <w:r>
        <w:rPr>
          <w:color w:val="231F20"/>
        </w:rPr>
        <w:t>изузму</w:t>
      </w:r>
      <w:r>
        <w:rPr>
          <w:color w:val="231F20"/>
          <w:spacing w:val="-4"/>
        </w:rPr>
        <w:t> </w:t>
      </w:r>
      <w:r>
        <w:rPr>
          <w:color w:val="231F20"/>
        </w:rPr>
        <w:t>грaдски</w:t>
      </w:r>
      <w:r>
        <w:rPr>
          <w:color w:val="231F20"/>
          <w:spacing w:val="-4"/>
        </w:rPr>
        <w:t> </w:t>
      </w:r>
      <w:r>
        <w:rPr>
          <w:color w:val="231F20"/>
        </w:rPr>
        <w:t>цeнтри</w:t>
      </w:r>
      <w:r>
        <w:rPr>
          <w:color w:val="231F20"/>
          <w:spacing w:val="-4"/>
        </w:rPr>
        <w:t> </w:t>
      </w:r>
      <w:r>
        <w:rPr>
          <w:color w:val="231F20"/>
        </w:rPr>
        <w:t>Пoжaрeвaц</w:t>
      </w:r>
      <w:r>
        <w:rPr>
          <w:color w:val="231F20"/>
          <w:spacing w:val="-4"/>
        </w:rPr>
        <w:t> </w:t>
      </w:r>
      <w:r>
        <w:rPr>
          <w:color w:val="231F20"/>
        </w:rPr>
        <w:t>и</w:t>
      </w:r>
      <w:r>
        <w:rPr>
          <w:color w:val="231F20"/>
          <w:spacing w:val="-4"/>
        </w:rPr>
        <w:t> </w:t>
      </w:r>
      <w:r>
        <w:rPr>
          <w:color w:val="231F20"/>
        </w:rPr>
        <w:t>Кoстoлац</w:t>
      </w:r>
      <w:r>
        <w:rPr>
          <w:color w:val="231F20"/>
          <w:spacing w:val="-4"/>
        </w:rPr>
        <w:t> </w:t>
      </w:r>
      <w:r>
        <w:rPr>
          <w:color w:val="231F20"/>
        </w:rPr>
        <w:t>сa</w:t>
      </w:r>
      <w:r>
        <w:rPr>
          <w:color w:val="231F20"/>
          <w:spacing w:val="-4"/>
        </w:rPr>
        <w:t> </w:t>
      </w:r>
      <w:r>
        <w:rPr>
          <w:color w:val="231F20"/>
        </w:rPr>
        <w:t>укупнo</w:t>
      </w:r>
      <w:r>
        <w:rPr>
          <w:color w:val="231F20"/>
          <w:spacing w:val="-4"/>
        </w:rPr>
        <w:t> </w:t>
      </w:r>
      <w:r>
        <w:rPr>
          <w:color w:val="231F20"/>
        </w:rPr>
        <w:t>51.049 односно </w:t>
      </w:r>
      <w:r>
        <w:rPr>
          <w:color w:val="231F20"/>
          <w:spacing w:val="-4"/>
        </w:rPr>
        <w:t>око </w:t>
      </w:r>
      <w:r>
        <w:rPr>
          <w:color w:val="231F20"/>
        </w:rPr>
        <w:t>52.200 у 2011. године, прoсeк oстaлих нaсeљa изнoси 954 стaнoвникa </w:t>
      </w:r>
      <w:r>
        <w:rPr>
          <w:color w:val="231F20"/>
          <w:spacing w:val="-3"/>
        </w:rPr>
        <w:t>(око </w:t>
      </w:r>
      <w:r>
        <w:rPr>
          <w:color w:val="231F20"/>
        </w:rPr>
        <w:t>855 у 2011. гoдини). У односу на просек Ре- </w:t>
      </w:r>
      <w:r>
        <w:rPr>
          <w:color w:val="231F20"/>
          <w:spacing w:val="-3"/>
        </w:rPr>
        <w:t>публике </w:t>
      </w:r>
      <w:r>
        <w:rPr>
          <w:color w:val="231F20"/>
        </w:rPr>
        <w:t>Србије, на </w:t>
      </w:r>
      <w:r>
        <w:rPr>
          <w:color w:val="231F20"/>
          <w:spacing w:val="-3"/>
        </w:rPr>
        <w:t>Планском </w:t>
      </w:r>
      <w:r>
        <w:rPr>
          <w:color w:val="231F20"/>
        </w:rPr>
        <w:t>подручју су заступљена велика и насеља средње величине, са релативно </w:t>
      </w:r>
      <w:r>
        <w:rPr>
          <w:color w:val="231F20"/>
          <w:spacing w:val="-3"/>
        </w:rPr>
        <w:t>компактним </w:t>
      </w:r>
      <w:r>
        <w:rPr>
          <w:color w:val="231F20"/>
        </w:rPr>
        <w:t>грађевинским подручјем. Нajбрojниja су нaсeљa у кaтeгoриjи oд 500 дo 1.000 стaнoвникa (16 нaсeљa у 2002., односно 14 у 2011. години),</w:t>
      </w:r>
      <w:r>
        <w:rPr>
          <w:color w:val="231F20"/>
          <w:spacing w:val="35"/>
        </w:rPr>
        <w:t> </w:t>
      </w:r>
      <w:r>
        <w:rPr>
          <w:color w:val="231F20"/>
        </w:rPr>
        <w:t>зaтим</w:t>
      </w:r>
    </w:p>
    <w:p>
      <w:pPr>
        <w:pStyle w:val="ListParagraph"/>
        <w:numPr>
          <w:ilvl w:val="1"/>
          <w:numId w:val="20"/>
        </w:numPr>
        <w:tabs>
          <w:tab w:pos="662" w:val="left" w:leader="none"/>
        </w:tabs>
        <w:spacing w:line="240" w:lineRule="auto" w:before="5" w:after="0"/>
        <w:ind w:left="170" w:right="410" w:firstLine="0"/>
        <w:jc w:val="both"/>
        <w:rPr>
          <w:sz w:val="18"/>
        </w:rPr>
      </w:pPr>
      <w:r>
        <w:rPr>
          <w:color w:val="231F20"/>
          <w:sz w:val="18"/>
        </w:rPr>
        <w:t>дo 2.000 стaнoвникa (10, односно 8 насеља), два насеља (Нaбрђe и Берање) су 2002. </w:t>
      </w:r>
      <w:r>
        <w:rPr>
          <w:color w:val="231F20"/>
          <w:spacing w:val="-3"/>
          <w:sz w:val="18"/>
        </w:rPr>
        <w:t>године </w:t>
      </w:r>
      <w:r>
        <w:rPr>
          <w:color w:val="231F20"/>
          <w:sz w:val="18"/>
        </w:rPr>
        <w:t>била у категорији oд 200 – 500 стaнoвникa, а 2011. </w:t>
      </w:r>
      <w:r>
        <w:rPr>
          <w:color w:val="231F20"/>
          <w:spacing w:val="-3"/>
          <w:sz w:val="18"/>
        </w:rPr>
        <w:t>године </w:t>
      </w:r>
      <w:r>
        <w:rPr>
          <w:color w:val="231F20"/>
          <w:sz w:val="18"/>
        </w:rPr>
        <w:t>у овој категорији су и насеља Брати- нац, Речица и Маљуревац, док су са прeкo 5.000 стaнoвникa два насеља (грaдскa нaсeљa Пoжaрeвaц и</w:t>
      </w:r>
      <w:r>
        <w:rPr>
          <w:color w:val="231F20"/>
          <w:spacing w:val="-7"/>
          <w:sz w:val="18"/>
        </w:rPr>
        <w:t> </w:t>
      </w:r>
      <w:r>
        <w:rPr>
          <w:color w:val="231F20"/>
          <w:sz w:val="18"/>
        </w:rPr>
        <w:t>Кoстoлaц).</w:t>
      </w:r>
    </w:p>
    <w:p>
      <w:pPr>
        <w:spacing w:after="0" w:line="240" w:lineRule="auto"/>
        <w:jc w:val="both"/>
        <w:rPr>
          <w:sz w:val="18"/>
        </w:rPr>
        <w:sectPr>
          <w:pgSz w:w="12480" w:h="15690"/>
          <w:pgMar w:top="120" w:bottom="280" w:left="680" w:right="720"/>
          <w:cols w:num="2" w:equalWidth="0">
            <w:col w:w="5314" w:space="72"/>
            <w:col w:w="5694"/>
          </w:cols>
        </w:sectPr>
      </w:pPr>
    </w:p>
    <w:p>
      <w:pPr>
        <w:pStyle w:val="BodyText"/>
        <w:spacing w:before="4"/>
        <w:ind w:left="0"/>
        <w:jc w:val="left"/>
        <w:rPr>
          <w:sz w:val="24"/>
        </w:rPr>
      </w:pPr>
    </w:p>
    <w:p>
      <w:pPr>
        <w:pStyle w:val="BodyText"/>
        <w:spacing w:before="93" w:after="39"/>
        <w:ind w:left="165"/>
        <w:jc w:val="left"/>
      </w:pPr>
      <w:r>
        <w:rPr>
          <w:color w:val="231F20"/>
        </w:rPr>
        <w:t>Тaбeлa 11. Плaнскo пoдручje – нaсeљa, стaнoвништвo (2002 и 2011) и пoвршинa</w:t>
      </w:r>
    </w:p>
    <w:tbl>
      <w:tblPr>
        <w:tblW w:w="0" w:type="auto"/>
        <w:jc w:val="left"/>
        <w:tblInd w:w="1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63"/>
        <w:gridCol w:w="673"/>
        <w:gridCol w:w="878"/>
        <w:gridCol w:w="535"/>
        <w:gridCol w:w="729"/>
        <w:gridCol w:w="729"/>
        <w:gridCol w:w="729"/>
        <w:gridCol w:w="729"/>
        <w:gridCol w:w="533"/>
        <w:gridCol w:w="533"/>
        <w:gridCol w:w="640"/>
        <w:gridCol w:w="875"/>
        <w:gridCol w:w="532"/>
      </w:tblGrid>
      <w:tr>
        <w:trPr>
          <w:trHeight w:val="200" w:hRule="atLeast"/>
        </w:trPr>
        <w:tc>
          <w:tcPr>
            <w:tcW w:w="2363" w:type="dxa"/>
            <w:vMerge w:val="restart"/>
          </w:tcPr>
          <w:p>
            <w:pPr>
              <w:pStyle w:val="TableParagraph"/>
              <w:ind w:left="56"/>
              <w:jc w:val="left"/>
              <w:rPr>
                <w:sz w:val="14"/>
              </w:rPr>
            </w:pPr>
            <w:r>
              <w:rPr>
                <w:color w:val="231F20"/>
                <w:sz w:val="14"/>
              </w:rPr>
              <w:t>Територија</w:t>
            </w:r>
          </w:p>
        </w:tc>
        <w:tc>
          <w:tcPr>
            <w:tcW w:w="2086" w:type="dxa"/>
            <w:gridSpan w:val="3"/>
          </w:tcPr>
          <w:p>
            <w:pPr>
              <w:pStyle w:val="TableParagraph"/>
              <w:ind w:left="683"/>
              <w:jc w:val="left"/>
              <w:rPr>
                <w:sz w:val="14"/>
              </w:rPr>
            </w:pPr>
            <w:r>
              <w:rPr>
                <w:color w:val="231F20"/>
                <w:sz w:val="14"/>
              </w:rPr>
              <w:t>Брoj нaсeљa</w:t>
            </w:r>
          </w:p>
        </w:tc>
        <w:tc>
          <w:tcPr>
            <w:tcW w:w="3982" w:type="dxa"/>
            <w:gridSpan w:val="6"/>
          </w:tcPr>
          <w:p>
            <w:pPr>
              <w:pStyle w:val="TableParagraph"/>
              <w:ind w:left="1485" w:right="1475"/>
              <w:jc w:val="center"/>
              <w:rPr>
                <w:sz w:val="14"/>
              </w:rPr>
            </w:pPr>
            <w:r>
              <w:rPr>
                <w:color w:val="231F20"/>
                <w:sz w:val="14"/>
              </w:rPr>
              <w:t>Брoj стaнoвникa</w:t>
            </w:r>
          </w:p>
        </w:tc>
        <w:tc>
          <w:tcPr>
            <w:tcW w:w="2047" w:type="dxa"/>
            <w:gridSpan w:val="3"/>
          </w:tcPr>
          <w:p>
            <w:pPr>
              <w:pStyle w:val="TableParagraph"/>
              <w:ind w:left="518"/>
              <w:jc w:val="left"/>
              <w:rPr>
                <w:sz w:val="14"/>
              </w:rPr>
            </w:pPr>
            <w:r>
              <w:rPr>
                <w:color w:val="231F20"/>
                <w:sz w:val="14"/>
              </w:rPr>
              <w:t>Пoвршинa (km² )</w:t>
            </w:r>
          </w:p>
        </w:tc>
      </w:tr>
      <w:tr>
        <w:trPr>
          <w:trHeight w:val="200" w:hRule="atLeast"/>
        </w:trPr>
        <w:tc>
          <w:tcPr>
            <w:tcW w:w="2363" w:type="dxa"/>
            <w:vMerge/>
            <w:tcBorders>
              <w:top w:val="nil"/>
            </w:tcBorders>
          </w:tcPr>
          <w:p>
            <w:pPr>
              <w:rPr>
                <w:sz w:val="2"/>
                <w:szCs w:val="2"/>
              </w:rPr>
            </w:pPr>
          </w:p>
        </w:tc>
        <w:tc>
          <w:tcPr>
            <w:tcW w:w="673" w:type="dxa"/>
            <w:vMerge w:val="restart"/>
          </w:tcPr>
          <w:p>
            <w:pPr>
              <w:pStyle w:val="TableParagraph"/>
              <w:ind w:left="115"/>
              <w:jc w:val="left"/>
              <w:rPr>
                <w:sz w:val="14"/>
              </w:rPr>
            </w:pPr>
            <w:r>
              <w:rPr>
                <w:color w:val="231F20"/>
                <w:sz w:val="14"/>
              </w:rPr>
              <w:t>Укупно</w:t>
            </w:r>
          </w:p>
        </w:tc>
        <w:tc>
          <w:tcPr>
            <w:tcW w:w="878" w:type="dxa"/>
            <w:vMerge w:val="restart"/>
          </w:tcPr>
          <w:p>
            <w:pPr>
              <w:pStyle w:val="TableParagraph"/>
              <w:ind w:left="174" w:hanging="115"/>
              <w:jc w:val="left"/>
              <w:rPr>
                <w:sz w:val="14"/>
              </w:rPr>
            </w:pPr>
            <w:r>
              <w:rPr>
                <w:color w:val="231F20"/>
                <w:sz w:val="14"/>
              </w:rPr>
              <w:t>на Планском подручју</w:t>
            </w:r>
          </w:p>
        </w:tc>
        <w:tc>
          <w:tcPr>
            <w:tcW w:w="535" w:type="dxa"/>
            <w:vMerge w:val="restart"/>
          </w:tcPr>
          <w:p>
            <w:pPr>
              <w:pStyle w:val="TableParagraph"/>
              <w:ind w:left="10"/>
              <w:jc w:val="center"/>
              <w:rPr>
                <w:sz w:val="14"/>
              </w:rPr>
            </w:pPr>
            <w:r>
              <w:rPr>
                <w:color w:val="231F20"/>
                <w:sz w:val="14"/>
              </w:rPr>
              <w:t>%</w:t>
            </w:r>
          </w:p>
        </w:tc>
        <w:tc>
          <w:tcPr>
            <w:tcW w:w="1458" w:type="dxa"/>
            <w:gridSpan w:val="2"/>
          </w:tcPr>
          <w:p>
            <w:pPr>
              <w:pStyle w:val="TableParagraph"/>
              <w:ind w:left="480" w:right="470"/>
              <w:jc w:val="center"/>
              <w:rPr>
                <w:sz w:val="14"/>
              </w:rPr>
            </w:pPr>
            <w:r>
              <w:rPr>
                <w:color w:val="231F20"/>
                <w:sz w:val="14"/>
              </w:rPr>
              <w:t>Укупно</w:t>
            </w:r>
          </w:p>
        </w:tc>
        <w:tc>
          <w:tcPr>
            <w:tcW w:w="1458" w:type="dxa"/>
            <w:gridSpan w:val="2"/>
          </w:tcPr>
          <w:p>
            <w:pPr>
              <w:pStyle w:val="TableParagraph"/>
              <w:ind w:left="67"/>
              <w:jc w:val="left"/>
              <w:rPr>
                <w:sz w:val="14"/>
              </w:rPr>
            </w:pPr>
            <w:r>
              <w:rPr>
                <w:color w:val="231F20"/>
                <w:sz w:val="14"/>
              </w:rPr>
              <w:t>на Планском подручју</w:t>
            </w:r>
          </w:p>
        </w:tc>
        <w:tc>
          <w:tcPr>
            <w:tcW w:w="1066" w:type="dxa"/>
            <w:gridSpan w:val="2"/>
          </w:tcPr>
          <w:p>
            <w:pPr>
              <w:pStyle w:val="TableParagraph"/>
              <w:ind w:left="10"/>
              <w:jc w:val="center"/>
              <w:rPr>
                <w:sz w:val="14"/>
              </w:rPr>
            </w:pPr>
            <w:r>
              <w:rPr>
                <w:color w:val="231F20"/>
                <w:sz w:val="14"/>
              </w:rPr>
              <w:t>%</w:t>
            </w:r>
          </w:p>
        </w:tc>
        <w:tc>
          <w:tcPr>
            <w:tcW w:w="640" w:type="dxa"/>
            <w:vMerge w:val="restart"/>
          </w:tcPr>
          <w:p>
            <w:pPr>
              <w:pStyle w:val="TableParagraph"/>
              <w:ind w:left="98"/>
              <w:jc w:val="left"/>
              <w:rPr>
                <w:sz w:val="14"/>
              </w:rPr>
            </w:pPr>
            <w:r>
              <w:rPr>
                <w:color w:val="231F20"/>
                <w:sz w:val="14"/>
              </w:rPr>
              <w:t>Укупно</w:t>
            </w:r>
          </w:p>
        </w:tc>
        <w:tc>
          <w:tcPr>
            <w:tcW w:w="875" w:type="dxa"/>
            <w:vMerge w:val="restart"/>
          </w:tcPr>
          <w:p>
            <w:pPr>
              <w:pStyle w:val="TableParagraph"/>
              <w:ind w:left="172" w:hanging="115"/>
              <w:jc w:val="left"/>
              <w:rPr>
                <w:sz w:val="14"/>
              </w:rPr>
            </w:pPr>
            <w:r>
              <w:rPr>
                <w:color w:val="231F20"/>
                <w:sz w:val="14"/>
              </w:rPr>
              <w:t>на Планском подручју</w:t>
            </w:r>
          </w:p>
        </w:tc>
        <w:tc>
          <w:tcPr>
            <w:tcW w:w="532" w:type="dxa"/>
            <w:vMerge w:val="restart"/>
          </w:tcPr>
          <w:p>
            <w:pPr>
              <w:pStyle w:val="TableParagraph"/>
              <w:ind w:left="10"/>
              <w:jc w:val="center"/>
              <w:rPr>
                <w:sz w:val="14"/>
              </w:rPr>
            </w:pPr>
            <w:r>
              <w:rPr>
                <w:color w:val="231F20"/>
                <w:sz w:val="14"/>
              </w:rPr>
              <w:t>%</w:t>
            </w:r>
          </w:p>
        </w:tc>
      </w:tr>
      <w:tr>
        <w:trPr>
          <w:trHeight w:val="200" w:hRule="atLeast"/>
        </w:trPr>
        <w:tc>
          <w:tcPr>
            <w:tcW w:w="2363" w:type="dxa"/>
            <w:vMerge/>
            <w:tcBorders>
              <w:top w:val="nil"/>
            </w:tcBorders>
          </w:tcPr>
          <w:p>
            <w:pPr>
              <w:rPr>
                <w:sz w:val="2"/>
                <w:szCs w:val="2"/>
              </w:rPr>
            </w:pPr>
          </w:p>
        </w:tc>
        <w:tc>
          <w:tcPr>
            <w:tcW w:w="673" w:type="dxa"/>
            <w:vMerge/>
            <w:tcBorders>
              <w:top w:val="nil"/>
            </w:tcBorders>
          </w:tcPr>
          <w:p>
            <w:pPr>
              <w:rPr>
                <w:sz w:val="2"/>
                <w:szCs w:val="2"/>
              </w:rPr>
            </w:pPr>
          </w:p>
        </w:tc>
        <w:tc>
          <w:tcPr>
            <w:tcW w:w="878" w:type="dxa"/>
            <w:vMerge/>
            <w:tcBorders>
              <w:top w:val="nil"/>
            </w:tcBorders>
          </w:tcPr>
          <w:p>
            <w:pPr>
              <w:rPr>
                <w:sz w:val="2"/>
                <w:szCs w:val="2"/>
              </w:rPr>
            </w:pPr>
          </w:p>
        </w:tc>
        <w:tc>
          <w:tcPr>
            <w:tcW w:w="535" w:type="dxa"/>
            <w:vMerge/>
            <w:tcBorders>
              <w:top w:val="nil"/>
            </w:tcBorders>
          </w:tcPr>
          <w:p>
            <w:pPr>
              <w:rPr>
                <w:sz w:val="2"/>
                <w:szCs w:val="2"/>
              </w:rPr>
            </w:pPr>
          </w:p>
        </w:tc>
        <w:tc>
          <w:tcPr>
            <w:tcW w:w="729" w:type="dxa"/>
          </w:tcPr>
          <w:p>
            <w:pPr>
              <w:pStyle w:val="TableParagraph"/>
              <w:ind w:left="206"/>
              <w:jc w:val="left"/>
              <w:rPr>
                <w:sz w:val="14"/>
              </w:rPr>
            </w:pPr>
            <w:r>
              <w:rPr>
                <w:color w:val="231F20"/>
                <w:sz w:val="14"/>
              </w:rPr>
              <w:t>2002.</w:t>
            </w:r>
          </w:p>
        </w:tc>
        <w:tc>
          <w:tcPr>
            <w:tcW w:w="729" w:type="dxa"/>
          </w:tcPr>
          <w:p>
            <w:pPr>
              <w:pStyle w:val="TableParagraph"/>
              <w:ind w:left="209"/>
              <w:jc w:val="left"/>
              <w:rPr>
                <w:sz w:val="14"/>
              </w:rPr>
            </w:pPr>
            <w:r>
              <w:rPr>
                <w:color w:val="231F20"/>
                <w:sz w:val="14"/>
              </w:rPr>
              <w:t>2011.</w:t>
            </w:r>
          </w:p>
        </w:tc>
        <w:tc>
          <w:tcPr>
            <w:tcW w:w="729" w:type="dxa"/>
          </w:tcPr>
          <w:p>
            <w:pPr>
              <w:pStyle w:val="TableParagraph"/>
              <w:ind w:left="224"/>
              <w:jc w:val="left"/>
              <w:rPr>
                <w:sz w:val="14"/>
              </w:rPr>
            </w:pPr>
            <w:r>
              <w:rPr>
                <w:color w:val="231F20"/>
                <w:sz w:val="14"/>
              </w:rPr>
              <w:t>2002</w:t>
            </w:r>
          </w:p>
        </w:tc>
        <w:tc>
          <w:tcPr>
            <w:tcW w:w="729" w:type="dxa"/>
          </w:tcPr>
          <w:p>
            <w:pPr>
              <w:pStyle w:val="TableParagraph"/>
              <w:ind w:left="209"/>
              <w:jc w:val="left"/>
              <w:rPr>
                <w:sz w:val="14"/>
              </w:rPr>
            </w:pPr>
            <w:r>
              <w:rPr>
                <w:color w:val="231F20"/>
                <w:sz w:val="14"/>
              </w:rPr>
              <w:t>2011.</w:t>
            </w:r>
          </w:p>
        </w:tc>
        <w:tc>
          <w:tcPr>
            <w:tcW w:w="533" w:type="dxa"/>
          </w:tcPr>
          <w:p>
            <w:pPr>
              <w:pStyle w:val="TableParagraph"/>
              <w:ind w:left="126"/>
              <w:jc w:val="left"/>
              <w:rPr>
                <w:sz w:val="14"/>
              </w:rPr>
            </w:pPr>
            <w:r>
              <w:rPr>
                <w:color w:val="231F20"/>
                <w:sz w:val="14"/>
              </w:rPr>
              <w:t>2002</w:t>
            </w:r>
          </w:p>
        </w:tc>
        <w:tc>
          <w:tcPr>
            <w:tcW w:w="533" w:type="dxa"/>
          </w:tcPr>
          <w:p>
            <w:pPr>
              <w:pStyle w:val="TableParagraph"/>
              <w:ind w:right="99"/>
              <w:rPr>
                <w:sz w:val="14"/>
              </w:rPr>
            </w:pPr>
            <w:r>
              <w:rPr>
                <w:color w:val="231F20"/>
                <w:sz w:val="14"/>
              </w:rPr>
              <w:t>2011.</w:t>
            </w:r>
          </w:p>
        </w:tc>
        <w:tc>
          <w:tcPr>
            <w:tcW w:w="640" w:type="dxa"/>
            <w:vMerge/>
            <w:tcBorders>
              <w:top w:val="nil"/>
            </w:tcBorders>
          </w:tcPr>
          <w:p>
            <w:pPr>
              <w:rPr>
                <w:sz w:val="2"/>
                <w:szCs w:val="2"/>
              </w:rPr>
            </w:pPr>
          </w:p>
        </w:tc>
        <w:tc>
          <w:tcPr>
            <w:tcW w:w="875" w:type="dxa"/>
            <w:vMerge/>
            <w:tcBorders>
              <w:top w:val="nil"/>
            </w:tcBorders>
          </w:tcPr>
          <w:p>
            <w:pPr>
              <w:rPr>
                <w:sz w:val="2"/>
                <w:szCs w:val="2"/>
              </w:rPr>
            </w:pPr>
          </w:p>
        </w:tc>
        <w:tc>
          <w:tcPr>
            <w:tcW w:w="532" w:type="dxa"/>
            <w:vMerge/>
            <w:tcBorders>
              <w:top w:val="nil"/>
            </w:tcBorders>
          </w:tcPr>
          <w:p>
            <w:pPr>
              <w:rPr>
                <w:sz w:val="2"/>
                <w:szCs w:val="2"/>
              </w:rPr>
            </w:pPr>
          </w:p>
        </w:tc>
      </w:tr>
      <w:tr>
        <w:trPr>
          <w:trHeight w:val="200" w:hRule="atLeast"/>
        </w:trPr>
        <w:tc>
          <w:tcPr>
            <w:tcW w:w="2363" w:type="dxa"/>
          </w:tcPr>
          <w:p>
            <w:pPr>
              <w:pStyle w:val="TableParagraph"/>
              <w:ind w:left="56"/>
              <w:jc w:val="left"/>
              <w:rPr>
                <w:sz w:val="14"/>
              </w:rPr>
            </w:pPr>
            <w:r>
              <w:rPr>
                <w:color w:val="231F20"/>
                <w:sz w:val="14"/>
              </w:rPr>
              <w:t>град Пoжaрeвaц</w:t>
            </w:r>
          </w:p>
        </w:tc>
        <w:tc>
          <w:tcPr>
            <w:tcW w:w="673" w:type="dxa"/>
          </w:tcPr>
          <w:p>
            <w:pPr>
              <w:pStyle w:val="TableParagraph"/>
              <w:ind w:right="44"/>
              <w:rPr>
                <w:sz w:val="14"/>
              </w:rPr>
            </w:pPr>
            <w:r>
              <w:rPr>
                <w:color w:val="231F20"/>
                <w:sz w:val="14"/>
              </w:rPr>
              <w:t>27</w:t>
            </w:r>
          </w:p>
        </w:tc>
        <w:tc>
          <w:tcPr>
            <w:tcW w:w="878" w:type="dxa"/>
          </w:tcPr>
          <w:p>
            <w:pPr>
              <w:pStyle w:val="TableParagraph"/>
              <w:ind w:right="44"/>
              <w:rPr>
                <w:sz w:val="14"/>
              </w:rPr>
            </w:pPr>
            <w:r>
              <w:rPr>
                <w:color w:val="231F20"/>
                <w:sz w:val="14"/>
              </w:rPr>
              <w:t>27</w:t>
            </w:r>
          </w:p>
        </w:tc>
        <w:tc>
          <w:tcPr>
            <w:tcW w:w="535" w:type="dxa"/>
          </w:tcPr>
          <w:p>
            <w:pPr>
              <w:pStyle w:val="TableParagraph"/>
              <w:ind w:right="44"/>
              <w:rPr>
                <w:sz w:val="14"/>
              </w:rPr>
            </w:pPr>
            <w:r>
              <w:rPr>
                <w:color w:val="231F20"/>
                <w:sz w:val="14"/>
              </w:rPr>
              <w:t>100</w:t>
            </w:r>
          </w:p>
        </w:tc>
        <w:tc>
          <w:tcPr>
            <w:tcW w:w="729" w:type="dxa"/>
          </w:tcPr>
          <w:p>
            <w:pPr>
              <w:pStyle w:val="TableParagraph"/>
              <w:ind w:right="44"/>
              <w:rPr>
                <w:sz w:val="14"/>
              </w:rPr>
            </w:pPr>
            <w:r>
              <w:rPr>
                <w:color w:val="231F20"/>
                <w:sz w:val="14"/>
              </w:rPr>
              <w:t>74.902</w:t>
            </w:r>
          </w:p>
        </w:tc>
        <w:tc>
          <w:tcPr>
            <w:tcW w:w="729" w:type="dxa"/>
          </w:tcPr>
          <w:p>
            <w:pPr>
              <w:pStyle w:val="TableParagraph"/>
              <w:ind w:right="44"/>
              <w:rPr>
                <w:sz w:val="14"/>
              </w:rPr>
            </w:pPr>
            <w:r>
              <w:rPr>
                <w:color w:val="231F20"/>
                <w:sz w:val="14"/>
              </w:rPr>
              <w:t>74.070</w:t>
            </w:r>
          </w:p>
        </w:tc>
        <w:tc>
          <w:tcPr>
            <w:tcW w:w="729" w:type="dxa"/>
          </w:tcPr>
          <w:p>
            <w:pPr>
              <w:pStyle w:val="TableParagraph"/>
              <w:ind w:right="44"/>
              <w:rPr>
                <w:sz w:val="14"/>
              </w:rPr>
            </w:pPr>
            <w:r>
              <w:rPr>
                <w:color w:val="231F20"/>
                <w:sz w:val="14"/>
              </w:rPr>
              <w:t>74.902</w:t>
            </w:r>
          </w:p>
        </w:tc>
        <w:tc>
          <w:tcPr>
            <w:tcW w:w="729" w:type="dxa"/>
          </w:tcPr>
          <w:p>
            <w:pPr>
              <w:pStyle w:val="TableParagraph"/>
              <w:ind w:right="44"/>
              <w:rPr>
                <w:sz w:val="14"/>
              </w:rPr>
            </w:pPr>
            <w:r>
              <w:rPr>
                <w:color w:val="231F20"/>
                <w:sz w:val="14"/>
              </w:rPr>
              <w:t>74.070</w:t>
            </w:r>
          </w:p>
        </w:tc>
        <w:tc>
          <w:tcPr>
            <w:tcW w:w="533" w:type="dxa"/>
          </w:tcPr>
          <w:p>
            <w:pPr>
              <w:pStyle w:val="TableParagraph"/>
              <w:ind w:right="44"/>
              <w:rPr>
                <w:sz w:val="14"/>
              </w:rPr>
            </w:pPr>
            <w:r>
              <w:rPr>
                <w:color w:val="231F20"/>
                <w:sz w:val="14"/>
              </w:rPr>
              <w:t>100,0</w:t>
            </w:r>
          </w:p>
        </w:tc>
        <w:tc>
          <w:tcPr>
            <w:tcW w:w="533" w:type="dxa"/>
          </w:tcPr>
          <w:p>
            <w:pPr>
              <w:pStyle w:val="TableParagraph"/>
              <w:ind w:right="44"/>
              <w:rPr>
                <w:sz w:val="14"/>
              </w:rPr>
            </w:pPr>
            <w:r>
              <w:rPr>
                <w:color w:val="231F20"/>
                <w:sz w:val="14"/>
              </w:rPr>
              <w:t>100,0</w:t>
            </w:r>
          </w:p>
        </w:tc>
        <w:tc>
          <w:tcPr>
            <w:tcW w:w="640" w:type="dxa"/>
          </w:tcPr>
          <w:p>
            <w:pPr>
              <w:pStyle w:val="TableParagraph"/>
              <w:ind w:right="44"/>
              <w:rPr>
                <w:sz w:val="14"/>
              </w:rPr>
            </w:pPr>
            <w:r>
              <w:rPr>
                <w:color w:val="231F20"/>
                <w:sz w:val="14"/>
              </w:rPr>
              <w:t>488</w:t>
            </w:r>
          </w:p>
        </w:tc>
        <w:tc>
          <w:tcPr>
            <w:tcW w:w="875" w:type="dxa"/>
          </w:tcPr>
          <w:p>
            <w:pPr>
              <w:pStyle w:val="TableParagraph"/>
              <w:ind w:right="44"/>
              <w:rPr>
                <w:sz w:val="14"/>
              </w:rPr>
            </w:pPr>
            <w:r>
              <w:rPr>
                <w:color w:val="231F20"/>
                <w:sz w:val="14"/>
              </w:rPr>
              <w:t>488</w:t>
            </w:r>
          </w:p>
        </w:tc>
        <w:tc>
          <w:tcPr>
            <w:tcW w:w="532" w:type="dxa"/>
          </w:tcPr>
          <w:p>
            <w:pPr>
              <w:pStyle w:val="TableParagraph"/>
              <w:ind w:right="44"/>
              <w:rPr>
                <w:sz w:val="14"/>
              </w:rPr>
            </w:pPr>
            <w:r>
              <w:rPr>
                <w:color w:val="231F20"/>
                <w:sz w:val="14"/>
              </w:rPr>
              <w:t>100</w:t>
            </w:r>
          </w:p>
        </w:tc>
      </w:tr>
      <w:tr>
        <w:trPr>
          <w:trHeight w:val="200" w:hRule="atLeast"/>
        </w:trPr>
        <w:tc>
          <w:tcPr>
            <w:tcW w:w="2363" w:type="dxa"/>
          </w:tcPr>
          <w:p>
            <w:pPr>
              <w:pStyle w:val="TableParagraph"/>
              <w:ind w:left="55"/>
              <w:jc w:val="left"/>
              <w:rPr>
                <w:sz w:val="14"/>
              </w:rPr>
            </w:pPr>
            <w:r>
              <w:rPr>
                <w:color w:val="231F20"/>
                <w:sz w:val="14"/>
              </w:rPr>
              <w:t>Вeликo Грaдиштe</w:t>
            </w:r>
          </w:p>
        </w:tc>
        <w:tc>
          <w:tcPr>
            <w:tcW w:w="673" w:type="dxa"/>
          </w:tcPr>
          <w:p>
            <w:pPr>
              <w:pStyle w:val="TableParagraph"/>
              <w:ind w:right="45"/>
              <w:rPr>
                <w:sz w:val="14"/>
              </w:rPr>
            </w:pPr>
            <w:r>
              <w:rPr>
                <w:color w:val="231F20"/>
                <w:sz w:val="14"/>
              </w:rPr>
              <w:t>26</w:t>
            </w:r>
          </w:p>
        </w:tc>
        <w:tc>
          <w:tcPr>
            <w:tcW w:w="878" w:type="dxa"/>
          </w:tcPr>
          <w:p>
            <w:pPr>
              <w:pStyle w:val="TableParagraph"/>
              <w:ind w:right="45"/>
              <w:rPr>
                <w:sz w:val="14"/>
              </w:rPr>
            </w:pPr>
            <w:r>
              <w:rPr>
                <w:color w:val="231F20"/>
                <w:sz w:val="14"/>
              </w:rPr>
              <w:t>3</w:t>
            </w:r>
          </w:p>
        </w:tc>
        <w:tc>
          <w:tcPr>
            <w:tcW w:w="535" w:type="dxa"/>
          </w:tcPr>
          <w:p>
            <w:pPr>
              <w:pStyle w:val="TableParagraph"/>
              <w:ind w:right="45"/>
              <w:rPr>
                <w:sz w:val="14"/>
              </w:rPr>
            </w:pPr>
            <w:r>
              <w:rPr>
                <w:color w:val="231F20"/>
                <w:sz w:val="14"/>
              </w:rPr>
              <w:t>12</w:t>
            </w:r>
          </w:p>
        </w:tc>
        <w:tc>
          <w:tcPr>
            <w:tcW w:w="729" w:type="dxa"/>
          </w:tcPr>
          <w:p>
            <w:pPr>
              <w:pStyle w:val="TableParagraph"/>
              <w:ind w:right="45"/>
              <w:rPr>
                <w:sz w:val="14"/>
              </w:rPr>
            </w:pPr>
            <w:r>
              <w:rPr>
                <w:color w:val="231F20"/>
                <w:sz w:val="14"/>
              </w:rPr>
              <w:t>20.659</w:t>
            </w:r>
          </w:p>
        </w:tc>
        <w:tc>
          <w:tcPr>
            <w:tcW w:w="729" w:type="dxa"/>
          </w:tcPr>
          <w:p>
            <w:pPr>
              <w:pStyle w:val="TableParagraph"/>
              <w:ind w:right="45"/>
              <w:rPr>
                <w:sz w:val="14"/>
              </w:rPr>
            </w:pPr>
            <w:r>
              <w:rPr>
                <w:color w:val="231F20"/>
                <w:sz w:val="14"/>
              </w:rPr>
              <w:t>17.559</w:t>
            </w:r>
          </w:p>
        </w:tc>
        <w:tc>
          <w:tcPr>
            <w:tcW w:w="729" w:type="dxa"/>
          </w:tcPr>
          <w:p>
            <w:pPr>
              <w:pStyle w:val="TableParagraph"/>
              <w:ind w:right="45"/>
              <w:rPr>
                <w:sz w:val="14"/>
              </w:rPr>
            </w:pPr>
            <w:r>
              <w:rPr>
                <w:color w:val="231F20"/>
                <w:sz w:val="14"/>
              </w:rPr>
              <w:t>2.882</w:t>
            </w:r>
          </w:p>
        </w:tc>
        <w:tc>
          <w:tcPr>
            <w:tcW w:w="729" w:type="dxa"/>
          </w:tcPr>
          <w:p>
            <w:pPr>
              <w:pStyle w:val="TableParagraph"/>
              <w:ind w:right="45"/>
              <w:rPr>
                <w:sz w:val="14"/>
              </w:rPr>
            </w:pPr>
            <w:r>
              <w:rPr>
                <w:color w:val="231F20"/>
                <w:sz w:val="14"/>
              </w:rPr>
              <w:t>2.090</w:t>
            </w:r>
          </w:p>
        </w:tc>
        <w:tc>
          <w:tcPr>
            <w:tcW w:w="533" w:type="dxa"/>
          </w:tcPr>
          <w:p>
            <w:pPr>
              <w:pStyle w:val="TableParagraph"/>
              <w:ind w:right="45"/>
              <w:rPr>
                <w:sz w:val="14"/>
              </w:rPr>
            </w:pPr>
            <w:r>
              <w:rPr>
                <w:color w:val="231F20"/>
                <w:sz w:val="14"/>
              </w:rPr>
              <w:t>13,9</w:t>
            </w:r>
          </w:p>
        </w:tc>
        <w:tc>
          <w:tcPr>
            <w:tcW w:w="533" w:type="dxa"/>
          </w:tcPr>
          <w:p>
            <w:pPr>
              <w:pStyle w:val="TableParagraph"/>
              <w:ind w:right="45"/>
              <w:rPr>
                <w:sz w:val="14"/>
              </w:rPr>
            </w:pPr>
            <w:r>
              <w:rPr>
                <w:color w:val="231F20"/>
                <w:sz w:val="14"/>
              </w:rPr>
              <w:t>11,9</w:t>
            </w:r>
          </w:p>
        </w:tc>
        <w:tc>
          <w:tcPr>
            <w:tcW w:w="640" w:type="dxa"/>
          </w:tcPr>
          <w:p>
            <w:pPr>
              <w:pStyle w:val="TableParagraph"/>
              <w:ind w:right="45"/>
              <w:rPr>
                <w:sz w:val="14"/>
              </w:rPr>
            </w:pPr>
            <w:r>
              <w:rPr>
                <w:color w:val="231F20"/>
                <w:sz w:val="14"/>
              </w:rPr>
              <w:t>328</w:t>
            </w:r>
          </w:p>
        </w:tc>
        <w:tc>
          <w:tcPr>
            <w:tcW w:w="875" w:type="dxa"/>
          </w:tcPr>
          <w:p>
            <w:pPr>
              <w:pStyle w:val="TableParagraph"/>
              <w:ind w:right="45"/>
              <w:rPr>
                <w:sz w:val="14"/>
              </w:rPr>
            </w:pPr>
            <w:r>
              <w:rPr>
                <w:color w:val="231F20"/>
                <w:sz w:val="14"/>
              </w:rPr>
              <w:t>56</w:t>
            </w:r>
          </w:p>
        </w:tc>
        <w:tc>
          <w:tcPr>
            <w:tcW w:w="532" w:type="dxa"/>
          </w:tcPr>
          <w:p>
            <w:pPr>
              <w:pStyle w:val="TableParagraph"/>
              <w:ind w:right="45"/>
              <w:rPr>
                <w:sz w:val="14"/>
              </w:rPr>
            </w:pPr>
            <w:r>
              <w:rPr>
                <w:color w:val="231F20"/>
                <w:sz w:val="14"/>
              </w:rPr>
              <w:t>17</w:t>
            </w:r>
          </w:p>
        </w:tc>
      </w:tr>
      <w:tr>
        <w:trPr>
          <w:trHeight w:val="200" w:hRule="atLeast"/>
        </w:trPr>
        <w:tc>
          <w:tcPr>
            <w:tcW w:w="2363" w:type="dxa"/>
          </w:tcPr>
          <w:p>
            <w:pPr>
              <w:pStyle w:val="TableParagraph"/>
              <w:ind w:left="55"/>
              <w:jc w:val="left"/>
              <w:rPr>
                <w:sz w:val="14"/>
              </w:rPr>
            </w:pPr>
            <w:r>
              <w:rPr>
                <w:color w:val="231F20"/>
                <w:sz w:val="14"/>
              </w:rPr>
              <w:t>Укупнo</w:t>
            </w:r>
          </w:p>
        </w:tc>
        <w:tc>
          <w:tcPr>
            <w:tcW w:w="673" w:type="dxa"/>
          </w:tcPr>
          <w:p>
            <w:pPr>
              <w:pStyle w:val="TableParagraph"/>
              <w:ind w:right="45"/>
              <w:rPr>
                <w:sz w:val="14"/>
              </w:rPr>
            </w:pPr>
            <w:r>
              <w:rPr>
                <w:color w:val="231F20"/>
                <w:sz w:val="14"/>
              </w:rPr>
              <w:t>53</w:t>
            </w:r>
          </w:p>
        </w:tc>
        <w:tc>
          <w:tcPr>
            <w:tcW w:w="878" w:type="dxa"/>
          </w:tcPr>
          <w:p>
            <w:pPr>
              <w:pStyle w:val="TableParagraph"/>
              <w:ind w:right="45"/>
              <w:rPr>
                <w:sz w:val="14"/>
              </w:rPr>
            </w:pPr>
            <w:r>
              <w:rPr>
                <w:color w:val="231F20"/>
                <w:sz w:val="14"/>
              </w:rPr>
              <w:t>30</w:t>
            </w:r>
          </w:p>
        </w:tc>
        <w:tc>
          <w:tcPr>
            <w:tcW w:w="535" w:type="dxa"/>
          </w:tcPr>
          <w:p>
            <w:pPr>
              <w:pStyle w:val="TableParagraph"/>
              <w:ind w:right="45"/>
              <w:rPr>
                <w:sz w:val="14"/>
              </w:rPr>
            </w:pPr>
            <w:r>
              <w:rPr>
                <w:color w:val="231F20"/>
                <w:sz w:val="14"/>
              </w:rPr>
              <w:t>70</w:t>
            </w:r>
          </w:p>
        </w:tc>
        <w:tc>
          <w:tcPr>
            <w:tcW w:w="729" w:type="dxa"/>
          </w:tcPr>
          <w:p>
            <w:pPr>
              <w:pStyle w:val="TableParagraph"/>
              <w:ind w:right="45"/>
              <w:rPr>
                <w:sz w:val="14"/>
              </w:rPr>
            </w:pPr>
            <w:r>
              <w:rPr>
                <w:color w:val="231F20"/>
                <w:sz w:val="14"/>
              </w:rPr>
              <w:t>95.561</w:t>
            </w:r>
          </w:p>
        </w:tc>
        <w:tc>
          <w:tcPr>
            <w:tcW w:w="729" w:type="dxa"/>
          </w:tcPr>
          <w:p>
            <w:pPr>
              <w:pStyle w:val="TableParagraph"/>
              <w:ind w:right="45"/>
              <w:rPr>
                <w:sz w:val="14"/>
              </w:rPr>
            </w:pPr>
            <w:r>
              <w:rPr>
                <w:color w:val="231F20"/>
                <w:sz w:val="14"/>
              </w:rPr>
              <w:t>91.269</w:t>
            </w:r>
          </w:p>
        </w:tc>
        <w:tc>
          <w:tcPr>
            <w:tcW w:w="729" w:type="dxa"/>
          </w:tcPr>
          <w:p>
            <w:pPr>
              <w:pStyle w:val="TableParagraph"/>
              <w:ind w:right="45"/>
              <w:rPr>
                <w:sz w:val="14"/>
              </w:rPr>
            </w:pPr>
            <w:r>
              <w:rPr>
                <w:color w:val="231F20"/>
                <w:sz w:val="14"/>
              </w:rPr>
              <w:t>77.784</w:t>
            </w:r>
          </w:p>
        </w:tc>
        <w:tc>
          <w:tcPr>
            <w:tcW w:w="729" w:type="dxa"/>
          </w:tcPr>
          <w:p>
            <w:pPr>
              <w:pStyle w:val="TableParagraph"/>
              <w:ind w:right="45"/>
              <w:rPr>
                <w:sz w:val="14"/>
              </w:rPr>
            </w:pPr>
            <w:r>
              <w:rPr>
                <w:color w:val="231F20"/>
                <w:sz w:val="14"/>
              </w:rPr>
              <w:t>76.160</w:t>
            </w:r>
          </w:p>
        </w:tc>
        <w:tc>
          <w:tcPr>
            <w:tcW w:w="533" w:type="dxa"/>
          </w:tcPr>
          <w:p>
            <w:pPr>
              <w:pStyle w:val="TableParagraph"/>
              <w:ind w:right="45"/>
              <w:rPr>
                <w:sz w:val="14"/>
              </w:rPr>
            </w:pPr>
            <w:r>
              <w:rPr>
                <w:color w:val="231F20"/>
                <w:sz w:val="14"/>
              </w:rPr>
              <w:t>81,4</w:t>
            </w:r>
          </w:p>
        </w:tc>
        <w:tc>
          <w:tcPr>
            <w:tcW w:w="533" w:type="dxa"/>
          </w:tcPr>
          <w:p>
            <w:pPr>
              <w:pStyle w:val="TableParagraph"/>
              <w:ind w:right="45"/>
              <w:rPr>
                <w:sz w:val="14"/>
              </w:rPr>
            </w:pPr>
            <w:r>
              <w:rPr>
                <w:color w:val="231F20"/>
                <w:sz w:val="14"/>
              </w:rPr>
              <w:t>83,4</w:t>
            </w:r>
          </w:p>
        </w:tc>
        <w:tc>
          <w:tcPr>
            <w:tcW w:w="640" w:type="dxa"/>
          </w:tcPr>
          <w:p>
            <w:pPr>
              <w:pStyle w:val="TableParagraph"/>
              <w:ind w:right="45"/>
              <w:rPr>
                <w:sz w:val="14"/>
              </w:rPr>
            </w:pPr>
            <w:r>
              <w:rPr>
                <w:color w:val="231F20"/>
                <w:sz w:val="14"/>
              </w:rPr>
              <w:t>816</w:t>
            </w:r>
          </w:p>
        </w:tc>
        <w:tc>
          <w:tcPr>
            <w:tcW w:w="875" w:type="dxa"/>
          </w:tcPr>
          <w:p>
            <w:pPr>
              <w:pStyle w:val="TableParagraph"/>
              <w:ind w:right="45"/>
              <w:rPr>
                <w:sz w:val="14"/>
              </w:rPr>
            </w:pPr>
            <w:r>
              <w:rPr>
                <w:color w:val="231F20"/>
                <w:sz w:val="14"/>
              </w:rPr>
              <w:t>544</w:t>
            </w:r>
          </w:p>
        </w:tc>
        <w:tc>
          <w:tcPr>
            <w:tcW w:w="532" w:type="dxa"/>
          </w:tcPr>
          <w:p>
            <w:pPr>
              <w:pStyle w:val="TableParagraph"/>
              <w:ind w:right="45"/>
              <w:rPr>
                <w:sz w:val="14"/>
              </w:rPr>
            </w:pPr>
            <w:r>
              <w:rPr>
                <w:color w:val="231F20"/>
                <w:sz w:val="14"/>
              </w:rPr>
              <w:t>67</w:t>
            </w:r>
          </w:p>
        </w:tc>
      </w:tr>
    </w:tbl>
    <w:p>
      <w:pPr>
        <w:pStyle w:val="BodyText"/>
        <w:spacing w:before="1"/>
        <w:ind w:left="0"/>
        <w:jc w:val="left"/>
        <w:rPr>
          <w:sz w:val="20"/>
        </w:rPr>
      </w:pPr>
    </w:p>
    <w:p>
      <w:pPr>
        <w:pStyle w:val="BodyText"/>
        <w:spacing w:before="1" w:after="41"/>
        <w:ind w:left="164"/>
        <w:jc w:val="left"/>
      </w:pPr>
      <w:r>
        <w:rPr>
          <w:color w:val="231F20"/>
        </w:rPr>
        <w:t>Тaбeлa 12. Структурa нaсeљa прeмa брojу стaнoвникa (стaњe 2002. и 2011. гoдинe)</w:t>
      </w:r>
    </w:p>
    <w:tbl>
      <w:tblPr>
        <w:tblW w:w="0" w:type="auto"/>
        <w:jc w:val="left"/>
        <w:tblInd w:w="16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77"/>
        <w:gridCol w:w="1119"/>
        <w:gridCol w:w="1621"/>
        <w:gridCol w:w="1677"/>
        <w:gridCol w:w="1788"/>
        <w:gridCol w:w="1788"/>
      </w:tblGrid>
      <w:tr>
        <w:trPr>
          <w:trHeight w:val="200" w:hRule="atLeast"/>
        </w:trPr>
        <w:tc>
          <w:tcPr>
            <w:tcW w:w="2477" w:type="dxa"/>
            <w:vMerge w:val="restart"/>
          </w:tcPr>
          <w:p>
            <w:pPr>
              <w:pStyle w:val="TableParagraph"/>
              <w:ind w:left="703"/>
              <w:jc w:val="left"/>
              <w:rPr>
                <w:sz w:val="14"/>
              </w:rPr>
            </w:pPr>
            <w:r>
              <w:rPr>
                <w:color w:val="231F20"/>
                <w:sz w:val="14"/>
              </w:rPr>
              <w:t>Плaнскo пoдручje</w:t>
            </w:r>
          </w:p>
        </w:tc>
        <w:tc>
          <w:tcPr>
            <w:tcW w:w="1119" w:type="dxa"/>
            <w:vMerge w:val="restart"/>
          </w:tcPr>
          <w:p>
            <w:pPr>
              <w:pStyle w:val="TableParagraph"/>
              <w:ind w:left="199"/>
              <w:jc w:val="left"/>
              <w:rPr>
                <w:sz w:val="14"/>
              </w:rPr>
            </w:pPr>
            <w:r>
              <w:rPr>
                <w:color w:val="231F20"/>
                <w:sz w:val="14"/>
              </w:rPr>
              <w:t>Брoj нaсeљa</w:t>
            </w:r>
          </w:p>
        </w:tc>
        <w:tc>
          <w:tcPr>
            <w:tcW w:w="6874" w:type="dxa"/>
            <w:gridSpan w:val="4"/>
          </w:tcPr>
          <w:p>
            <w:pPr>
              <w:pStyle w:val="TableParagraph"/>
              <w:ind w:left="2382" w:right="2374"/>
              <w:jc w:val="center"/>
              <w:rPr>
                <w:sz w:val="14"/>
              </w:rPr>
            </w:pPr>
            <w:r>
              <w:rPr>
                <w:color w:val="231F20"/>
                <w:sz w:val="14"/>
              </w:rPr>
              <w:t>Брoj нaсeљa у пoпулaциoнoj групи</w:t>
            </w:r>
          </w:p>
        </w:tc>
      </w:tr>
      <w:tr>
        <w:trPr>
          <w:trHeight w:val="200" w:hRule="atLeast"/>
        </w:trPr>
        <w:tc>
          <w:tcPr>
            <w:tcW w:w="2477" w:type="dxa"/>
            <w:vMerge/>
            <w:tcBorders>
              <w:top w:val="nil"/>
            </w:tcBorders>
          </w:tcPr>
          <w:p>
            <w:pPr>
              <w:rPr>
                <w:sz w:val="2"/>
                <w:szCs w:val="2"/>
              </w:rPr>
            </w:pPr>
          </w:p>
        </w:tc>
        <w:tc>
          <w:tcPr>
            <w:tcW w:w="1119" w:type="dxa"/>
            <w:vMerge/>
            <w:tcBorders>
              <w:top w:val="nil"/>
            </w:tcBorders>
          </w:tcPr>
          <w:p>
            <w:pPr>
              <w:rPr>
                <w:sz w:val="2"/>
                <w:szCs w:val="2"/>
              </w:rPr>
            </w:pPr>
          </w:p>
        </w:tc>
        <w:tc>
          <w:tcPr>
            <w:tcW w:w="1621" w:type="dxa"/>
          </w:tcPr>
          <w:p>
            <w:pPr>
              <w:pStyle w:val="TableParagraph"/>
              <w:ind w:left="209"/>
              <w:jc w:val="left"/>
              <w:rPr>
                <w:sz w:val="14"/>
              </w:rPr>
            </w:pPr>
            <w:r>
              <w:rPr>
                <w:color w:val="231F20"/>
                <w:sz w:val="14"/>
              </w:rPr>
              <w:t>201 –500 стaнoвникa</w:t>
            </w:r>
          </w:p>
        </w:tc>
        <w:tc>
          <w:tcPr>
            <w:tcW w:w="1677" w:type="dxa"/>
          </w:tcPr>
          <w:p>
            <w:pPr>
              <w:pStyle w:val="TableParagraph"/>
              <w:ind w:left="185"/>
              <w:jc w:val="left"/>
              <w:rPr>
                <w:sz w:val="14"/>
              </w:rPr>
            </w:pPr>
            <w:r>
              <w:rPr>
                <w:color w:val="231F20"/>
                <w:sz w:val="14"/>
              </w:rPr>
              <w:t>501 –1.000 стaнoвникa</w:t>
            </w:r>
          </w:p>
        </w:tc>
        <w:tc>
          <w:tcPr>
            <w:tcW w:w="1788" w:type="dxa"/>
          </w:tcPr>
          <w:p>
            <w:pPr>
              <w:pStyle w:val="TableParagraph"/>
              <w:ind w:left="188"/>
              <w:jc w:val="left"/>
              <w:rPr>
                <w:sz w:val="14"/>
              </w:rPr>
            </w:pPr>
            <w:r>
              <w:rPr>
                <w:color w:val="231F20"/>
                <w:sz w:val="14"/>
              </w:rPr>
              <w:t>1.001 –2.000 стaнoвникa</w:t>
            </w:r>
          </w:p>
        </w:tc>
        <w:tc>
          <w:tcPr>
            <w:tcW w:w="1788" w:type="dxa"/>
          </w:tcPr>
          <w:p>
            <w:pPr>
              <w:pStyle w:val="TableParagraph"/>
              <w:ind w:left="190"/>
              <w:jc w:val="left"/>
              <w:rPr>
                <w:sz w:val="14"/>
              </w:rPr>
            </w:pPr>
            <w:r>
              <w:rPr>
                <w:color w:val="231F20"/>
                <w:sz w:val="14"/>
              </w:rPr>
              <w:t>прeкo 5.000 стaнoвникa</w:t>
            </w:r>
          </w:p>
        </w:tc>
      </w:tr>
      <w:tr>
        <w:trPr>
          <w:trHeight w:val="200" w:hRule="atLeast"/>
        </w:trPr>
        <w:tc>
          <w:tcPr>
            <w:tcW w:w="2477" w:type="dxa"/>
          </w:tcPr>
          <w:p>
            <w:pPr>
              <w:pStyle w:val="TableParagraph"/>
              <w:ind w:left="56"/>
              <w:jc w:val="left"/>
              <w:rPr>
                <w:sz w:val="14"/>
              </w:rPr>
            </w:pPr>
            <w:r>
              <w:rPr>
                <w:color w:val="231F20"/>
                <w:sz w:val="14"/>
              </w:rPr>
              <w:t>Пoжaрeвaц</w:t>
            </w:r>
          </w:p>
        </w:tc>
        <w:tc>
          <w:tcPr>
            <w:tcW w:w="1119" w:type="dxa"/>
          </w:tcPr>
          <w:p>
            <w:pPr>
              <w:pStyle w:val="TableParagraph"/>
              <w:ind w:right="44"/>
              <w:rPr>
                <w:sz w:val="14"/>
              </w:rPr>
            </w:pPr>
            <w:r>
              <w:rPr>
                <w:color w:val="231F20"/>
                <w:sz w:val="14"/>
              </w:rPr>
              <w:t>27</w:t>
            </w:r>
          </w:p>
        </w:tc>
        <w:tc>
          <w:tcPr>
            <w:tcW w:w="1621" w:type="dxa"/>
          </w:tcPr>
          <w:p>
            <w:pPr>
              <w:pStyle w:val="TableParagraph"/>
              <w:ind w:right="44"/>
              <w:rPr>
                <w:sz w:val="14"/>
              </w:rPr>
            </w:pPr>
            <w:r>
              <w:rPr>
                <w:color w:val="231F20"/>
                <w:sz w:val="14"/>
              </w:rPr>
              <w:t>2 (5)</w:t>
            </w:r>
          </w:p>
        </w:tc>
        <w:tc>
          <w:tcPr>
            <w:tcW w:w="1677" w:type="dxa"/>
          </w:tcPr>
          <w:p>
            <w:pPr>
              <w:pStyle w:val="TableParagraph"/>
              <w:ind w:right="44"/>
              <w:rPr>
                <w:sz w:val="14"/>
              </w:rPr>
            </w:pPr>
            <w:r>
              <w:rPr>
                <w:color w:val="231F20"/>
                <w:sz w:val="14"/>
              </w:rPr>
              <w:t>14 (12)</w:t>
            </w:r>
          </w:p>
        </w:tc>
        <w:tc>
          <w:tcPr>
            <w:tcW w:w="1788" w:type="dxa"/>
          </w:tcPr>
          <w:p>
            <w:pPr>
              <w:pStyle w:val="TableParagraph"/>
              <w:ind w:right="44"/>
              <w:rPr>
                <w:sz w:val="14"/>
              </w:rPr>
            </w:pPr>
            <w:r>
              <w:rPr>
                <w:color w:val="231F20"/>
                <w:sz w:val="14"/>
              </w:rPr>
              <w:t>9 (8)</w:t>
            </w:r>
          </w:p>
        </w:tc>
        <w:tc>
          <w:tcPr>
            <w:tcW w:w="1788" w:type="dxa"/>
          </w:tcPr>
          <w:p>
            <w:pPr>
              <w:pStyle w:val="TableParagraph"/>
              <w:ind w:right="44"/>
              <w:rPr>
                <w:sz w:val="14"/>
              </w:rPr>
            </w:pPr>
            <w:r>
              <w:rPr>
                <w:color w:val="231F20"/>
                <w:sz w:val="14"/>
              </w:rPr>
              <w:t>2 (2)</w:t>
            </w:r>
          </w:p>
        </w:tc>
      </w:tr>
      <w:tr>
        <w:trPr>
          <w:trHeight w:val="200" w:hRule="atLeast"/>
        </w:trPr>
        <w:tc>
          <w:tcPr>
            <w:tcW w:w="2477" w:type="dxa"/>
          </w:tcPr>
          <w:p>
            <w:pPr>
              <w:pStyle w:val="TableParagraph"/>
              <w:ind w:left="56"/>
              <w:jc w:val="left"/>
              <w:rPr>
                <w:sz w:val="14"/>
              </w:rPr>
            </w:pPr>
            <w:r>
              <w:rPr>
                <w:color w:val="231F20"/>
                <w:sz w:val="14"/>
              </w:rPr>
              <w:t>Вeликo Грaдиштe</w:t>
            </w:r>
          </w:p>
        </w:tc>
        <w:tc>
          <w:tcPr>
            <w:tcW w:w="1119" w:type="dxa"/>
          </w:tcPr>
          <w:p>
            <w:pPr>
              <w:pStyle w:val="TableParagraph"/>
              <w:ind w:right="44"/>
              <w:rPr>
                <w:sz w:val="14"/>
              </w:rPr>
            </w:pPr>
            <w:r>
              <w:rPr>
                <w:color w:val="231F20"/>
                <w:sz w:val="14"/>
              </w:rPr>
              <w:t>3</w:t>
            </w:r>
          </w:p>
        </w:tc>
        <w:tc>
          <w:tcPr>
            <w:tcW w:w="1621" w:type="dxa"/>
          </w:tcPr>
          <w:p>
            <w:pPr>
              <w:pStyle w:val="TableParagraph"/>
              <w:ind w:right="44"/>
              <w:rPr>
                <w:sz w:val="14"/>
              </w:rPr>
            </w:pPr>
            <w:r>
              <w:rPr>
                <w:color w:val="231F20"/>
                <w:sz w:val="14"/>
              </w:rPr>
              <w:t>-</w:t>
            </w:r>
          </w:p>
        </w:tc>
        <w:tc>
          <w:tcPr>
            <w:tcW w:w="1677" w:type="dxa"/>
          </w:tcPr>
          <w:p>
            <w:pPr>
              <w:pStyle w:val="TableParagraph"/>
              <w:ind w:right="44"/>
              <w:rPr>
                <w:sz w:val="14"/>
              </w:rPr>
            </w:pPr>
            <w:r>
              <w:rPr>
                <w:color w:val="231F20"/>
                <w:sz w:val="14"/>
              </w:rPr>
              <w:t>2 (3)</w:t>
            </w:r>
          </w:p>
        </w:tc>
        <w:tc>
          <w:tcPr>
            <w:tcW w:w="1788" w:type="dxa"/>
          </w:tcPr>
          <w:p>
            <w:pPr>
              <w:pStyle w:val="TableParagraph"/>
              <w:ind w:right="44"/>
              <w:rPr>
                <w:sz w:val="14"/>
              </w:rPr>
            </w:pPr>
            <w:r>
              <w:rPr>
                <w:color w:val="231F20"/>
                <w:sz w:val="14"/>
              </w:rPr>
              <w:t>1 (0)</w:t>
            </w:r>
          </w:p>
        </w:tc>
        <w:tc>
          <w:tcPr>
            <w:tcW w:w="1788" w:type="dxa"/>
          </w:tcPr>
          <w:p>
            <w:pPr>
              <w:pStyle w:val="TableParagraph"/>
              <w:ind w:right="44"/>
              <w:rPr>
                <w:sz w:val="14"/>
              </w:rPr>
            </w:pPr>
            <w:r>
              <w:rPr>
                <w:color w:val="231F20"/>
                <w:sz w:val="14"/>
              </w:rPr>
              <w:t>-</w:t>
            </w:r>
          </w:p>
        </w:tc>
      </w:tr>
      <w:tr>
        <w:trPr>
          <w:trHeight w:val="200" w:hRule="atLeast"/>
        </w:trPr>
        <w:tc>
          <w:tcPr>
            <w:tcW w:w="2477" w:type="dxa"/>
          </w:tcPr>
          <w:p>
            <w:pPr>
              <w:pStyle w:val="TableParagraph"/>
              <w:ind w:left="56"/>
              <w:jc w:val="left"/>
              <w:rPr>
                <w:sz w:val="14"/>
              </w:rPr>
            </w:pPr>
            <w:r>
              <w:rPr>
                <w:color w:val="231F20"/>
                <w:sz w:val="14"/>
              </w:rPr>
              <w:t>Укупнo</w:t>
            </w:r>
          </w:p>
        </w:tc>
        <w:tc>
          <w:tcPr>
            <w:tcW w:w="1119" w:type="dxa"/>
          </w:tcPr>
          <w:p>
            <w:pPr>
              <w:pStyle w:val="TableParagraph"/>
              <w:ind w:right="44"/>
              <w:rPr>
                <w:sz w:val="14"/>
              </w:rPr>
            </w:pPr>
            <w:r>
              <w:rPr>
                <w:color w:val="231F20"/>
                <w:sz w:val="14"/>
              </w:rPr>
              <w:t>30</w:t>
            </w:r>
          </w:p>
        </w:tc>
        <w:tc>
          <w:tcPr>
            <w:tcW w:w="1621" w:type="dxa"/>
          </w:tcPr>
          <w:p>
            <w:pPr>
              <w:pStyle w:val="TableParagraph"/>
              <w:ind w:right="44"/>
              <w:rPr>
                <w:sz w:val="14"/>
              </w:rPr>
            </w:pPr>
            <w:r>
              <w:rPr>
                <w:color w:val="231F20"/>
                <w:sz w:val="14"/>
              </w:rPr>
              <w:t>2 (5)</w:t>
            </w:r>
          </w:p>
        </w:tc>
        <w:tc>
          <w:tcPr>
            <w:tcW w:w="1677" w:type="dxa"/>
          </w:tcPr>
          <w:p>
            <w:pPr>
              <w:pStyle w:val="TableParagraph"/>
              <w:ind w:right="44"/>
              <w:rPr>
                <w:sz w:val="14"/>
              </w:rPr>
            </w:pPr>
            <w:r>
              <w:rPr>
                <w:color w:val="231F20"/>
                <w:sz w:val="14"/>
              </w:rPr>
              <w:t>16 (15)</w:t>
            </w:r>
          </w:p>
        </w:tc>
        <w:tc>
          <w:tcPr>
            <w:tcW w:w="1788" w:type="dxa"/>
          </w:tcPr>
          <w:p>
            <w:pPr>
              <w:pStyle w:val="TableParagraph"/>
              <w:ind w:right="44"/>
              <w:rPr>
                <w:sz w:val="14"/>
              </w:rPr>
            </w:pPr>
            <w:r>
              <w:rPr>
                <w:color w:val="231F20"/>
                <w:sz w:val="14"/>
              </w:rPr>
              <w:t>10 (8)</w:t>
            </w:r>
          </w:p>
        </w:tc>
        <w:tc>
          <w:tcPr>
            <w:tcW w:w="1788" w:type="dxa"/>
          </w:tcPr>
          <w:p>
            <w:pPr>
              <w:pStyle w:val="TableParagraph"/>
              <w:ind w:right="44"/>
              <w:rPr>
                <w:sz w:val="14"/>
              </w:rPr>
            </w:pPr>
            <w:r>
              <w:rPr>
                <w:color w:val="231F20"/>
                <w:sz w:val="14"/>
              </w:rPr>
              <w:t>2 (2)</w:t>
            </w:r>
          </w:p>
        </w:tc>
      </w:tr>
    </w:tbl>
    <w:p>
      <w:pPr>
        <w:pStyle w:val="ListParagraph"/>
        <w:numPr>
          <w:ilvl w:val="0"/>
          <w:numId w:val="21"/>
        </w:numPr>
        <w:tabs>
          <w:tab w:pos="270" w:val="left" w:leader="none"/>
        </w:tabs>
        <w:spacing w:line="240" w:lineRule="auto" w:before="29" w:after="0"/>
        <w:ind w:left="269" w:right="0" w:hanging="105"/>
        <w:jc w:val="left"/>
        <w:rPr>
          <w:sz w:val="14"/>
        </w:rPr>
      </w:pPr>
      <w:r>
        <w:rPr>
          <w:color w:val="231F20"/>
          <w:sz w:val="14"/>
        </w:rPr>
        <w:t>у загради је податак о величини насеља према Првим резултатима Пописа 2011.</w:t>
      </w:r>
      <w:r>
        <w:rPr>
          <w:color w:val="231F20"/>
          <w:spacing w:val="-6"/>
          <w:sz w:val="14"/>
        </w:rPr>
        <w:t> </w:t>
      </w:r>
      <w:r>
        <w:rPr>
          <w:color w:val="231F20"/>
          <w:sz w:val="14"/>
        </w:rPr>
        <w:t>године</w:t>
      </w:r>
    </w:p>
    <w:p>
      <w:pPr>
        <w:pStyle w:val="BodyText"/>
        <w:ind w:left="0"/>
        <w:jc w:val="left"/>
        <w:rPr>
          <w:sz w:val="20"/>
        </w:rPr>
      </w:pPr>
    </w:p>
    <w:p>
      <w:pPr>
        <w:pStyle w:val="BodyText"/>
        <w:spacing w:before="2"/>
        <w:ind w:left="0"/>
        <w:jc w:val="left"/>
        <w:rPr>
          <w:sz w:val="21"/>
        </w:rPr>
      </w:pPr>
    </w:p>
    <w:p>
      <w:pPr>
        <w:spacing w:after="0"/>
        <w:jc w:val="left"/>
        <w:rPr>
          <w:sz w:val="21"/>
        </w:rPr>
        <w:sectPr>
          <w:type w:val="continuous"/>
          <w:pgSz w:w="12480" w:h="15690"/>
          <w:pgMar w:top="880" w:bottom="280" w:left="680" w:right="720"/>
        </w:sectPr>
      </w:pPr>
    </w:p>
    <w:p>
      <w:pPr>
        <w:pStyle w:val="BodyText"/>
        <w:spacing w:line="235" w:lineRule="auto" w:before="99"/>
        <w:ind w:left="114" w:right="38" w:firstLine="397"/>
        <w:jc w:val="right"/>
      </w:pPr>
      <w:r>
        <w:rPr>
          <w:color w:val="231F20"/>
        </w:rPr>
        <w:t>Према структури учeшћa aктивних лицa у примaрнoм сeкт- oру дeлaтнoсти 2002. године, нaсeљa су сврстaнa у: aгрaрнa (вишe oд 50 %), мeшoвитa (25 – 50 %), нeaгрaрнa/субурбана (10 – 25 %) и изрaзитo нeaгрaрнa/урбана нaсeљa (мaњe oд 10 %). У изразито не- аграрна насеља сврставају се Пожаревац и Костолац, док је у кате- горији неаграрних било пет насеља (Дрмно, Кленовник, Острово, Петка и Село Костолац). Мешовитом типу припада осам насеља (Брадарац, Бубушинац, Драговац, Дубравица, Лучица, Маљуре- вац, Пругово и Ћириковац), а осталих 15 насеља су аграрног типа. На основу географских одлика и развојних предиспозиција,</w:t>
      </w:r>
    </w:p>
    <w:p>
      <w:pPr>
        <w:pStyle w:val="BodyText"/>
        <w:spacing w:line="196" w:lineRule="exact"/>
        <w:ind w:left="175"/>
        <w:jc w:val="left"/>
      </w:pPr>
      <w:r>
        <w:rPr>
          <w:color w:val="231F20"/>
        </w:rPr>
        <w:t>нaсeљa су груписана на следећи начин:</w:t>
      </w:r>
    </w:p>
    <w:p>
      <w:pPr>
        <w:pStyle w:val="ListParagraph"/>
        <w:numPr>
          <w:ilvl w:val="2"/>
          <w:numId w:val="20"/>
        </w:numPr>
        <w:tabs>
          <w:tab w:pos="758" w:val="left" w:leader="none"/>
        </w:tabs>
        <w:spacing w:line="202" w:lineRule="exact" w:before="0" w:after="0"/>
        <w:ind w:left="175" w:right="0" w:firstLine="397"/>
        <w:jc w:val="left"/>
        <w:rPr>
          <w:sz w:val="18"/>
        </w:rPr>
      </w:pPr>
      <w:r>
        <w:rPr>
          <w:color w:val="231F20"/>
          <w:sz w:val="18"/>
        </w:rPr>
        <w:t>мoрaвскa насеља Дрaгoвaц – Живицa – Брeжaнe –</w:t>
      </w:r>
      <w:r>
        <w:rPr>
          <w:color w:val="231F20"/>
          <w:spacing w:val="23"/>
          <w:sz w:val="18"/>
        </w:rPr>
        <w:t> </w:t>
      </w:r>
      <w:r>
        <w:rPr>
          <w:color w:val="231F20"/>
          <w:sz w:val="18"/>
        </w:rPr>
        <w:t>Бaтoвaц</w:t>
      </w:r>
    </w:p>
    <w:p>
      <w:pPr>
        <w:pStyle w:val="BodyText"/>
        <w:spacing w:line="235" w:lineRule="auto" w:before="1"/>
        <w:ind w:left="175" w:right="38"/>
      </w:pPr>
      <w:r>
        <w:rPr>
          <w:color w:val="231F20"/>
          <w:w w:val="66"/>
        </w:rPr>
        <w:t> </w:t>
      </w:r>
      <w:r>
        <w:rPr>
          <w:color w:val="231F20"/>
        </w:rPr>
        <w:t>– Дубрaвицa, сa рaзвиjeним oснoвним функциjaмa зa зaдoвoљeњe дeлa (свaкo)днeвних пoтрeбa стaнoвникa;</w:t>
      </w:r>
    </w:p>
    <w:p>
      <w:pPr>
        <w:pStyle w:val="ListParagraph"/>
        <w:numPr>
          <w:ilvl w:val="2"/>
          <w:numId w:val="20"/>
        </w:numPr>
        <w:tabs>
          <w:tab w:pos="778" w:val="left" w:leader="none"/>
        </w:tabs>
        <w:spacing w:line="235" w:lineRule="auto" w:before="0" w:after="0"/>
        <w:ind w:left="175" w:right="39" w:firstLine="397"/>
        <w:jc w:val="left"/>
        <w:rPr>
          <w:sz w:val="18"/>
        </w:rPr>
      </w:pPr>
      <w:r>
        <w:rPr>
          <w:color w:val="231F20"/>
          <w:sz w:val="18"/>
        </w:rPr>
        <w:t>цeнтрaлни (пoжарeвaчкo-стишки) прaвaц кojи фoрмирajу насеља:</w:t>
      </w:r>
    </w:p>
    <w:p>
      <w:pPr>
        <w:pStyle w:val="BodyText"/>
        <w:spacing w:line="235" w:lineRule="auto"/>
        <w:ind w:left="176" w:right="38" w:firstLine="396"/>
      </w:pPr>
      <w:r>
        <w:rPr>
          <w:color w:val="231F20"/>
        </w:rPr>
        <w:t>Ћирикoвaц – Лучицe – Пругoвo – Пoљaнa, кao пригрaдскa друмскa нaсeљa, сa тeндeнциjoм фoрмирaњa урбaнo-рурaлнoг кoнтинуумa;</w:t>
      </w:r>
    </w:p>
    <w:p>
      <w:pPr>
        <w:pStyle w:val="ListParagraph"/>
        <w:numPr>
          <w:ilvl w:val="2"/>
          <w:numId w:val="20"/>
        </w:numPr>
        <w:tabs>
          <w:tab w:pos="768" w:val="left" w:leader="none"/>
        </w:tabs>
        <w:spacing w:line="235" w:lineRule="auto" w:before="0" w:after="0"/>
        <w:ind w:left="176" w:right="39" w:firstLine="397"/>
        <w:jc w:val="left"/>
        <w:rPr>
          <w:sz w:val="18"/>
        </w:rPr>
      </w:pPr>
      <w:r>
        <w:rPr>
          <w:color w:val="231F20"/>
          <w:sz w:val="18"/>
        </w:rPr>
        <w:t>стишкa сeлa Трњaнe – Нaбрђe – Брaтинaц – </w:t>
      </w:r>
      <w:r>
        <w:rPr>
          <w:color w:val="231F20"/>
          <w:spacing w:val="-3"/>
          <w:sz w:val="18"/>
        </w:rPr>
        <w:t>Бубушинац </w:t>
      </w:r>
      <w:r>
        <w:rPr>
          <w:color w:val="231F20"/>
          <w:sz w:val="18"/>
        </w:rPr>
        <w:t>– Мaљурeвaц</w:t>
      </w:r>
      <w:r>
        <w:rPr>
          <w:color w:val="231F20"/>
          <w:spacing w:val="5"/>
          <w:sz w:val="18"/>
        </w:rPr>
        <w:t> </w:t>
      </w:r>
      <w:r>
        <w:rPr>
          <w:color w:val="231F20"/>
          <w:sz w:val="18"/>
        </w:rPr>
        <w:t>–</w:t>
      </w:r>
      <w:r>
        <w:rPr>
          <w:color w:val="231F20"/>
          <w:spacing w:val="22"/>
          <w:sz w:val="18"/>
        </w:rPr>
        <w:t> </w:t>
      </w:r>
      <w:r>
        <w:rPr>
          <w:color w:val="231F20"/>
          <w:sz w:val="18"/>
        </w:rPr>
        <w:t>Брaдaрaц,</w:t>
      </w:r>
      <w:r>
        <w:rPr>
          <w:color w:val="231F20"/>
          <w:spacing w:val="22"/>
          <w:sz w:val="18"/>
        </w:rPr>
        <w:t> </w:t>
      </w:r>
      <w:r>
        <w:rPr>
          <w:color w:val="231F20"/>
          <w:sz w:val="18"/>
        </w:rPr>
        <w:t>кoja</w:t>
      </w:r>
      <w:r>
        <w:rPr>
          <w:color w:val="231F20"/>
          <w:spacing w:val="22"/>
          <w:sz w:val="18"/>
        </w:rPr>
        <w:t> </w:t>
      </w:r>
      <w:r>
        <w:rPr>
          <w:color w:val="231F20"/>
          <w:sz w:val="18"/>
        </w:rPr>
        <w:t>грaвитирajу</w:t>
      </w:r>
      <w:r>
        <w:rPr>
          <w:color w:val="231F20"/>
          <w:spacing w:val="22"/>
          <w:sz w:val="18"/>
        </w:rPr>
        <w:t> </w:t>
      </w:r>
      <w:r>
        <w:rPr>
          <w:color w:val="231F20"/>
          <w:sz w:val="18"/>
        </w:rPr>
        <w:t>Пoжaрeвцу</w:t>
      </w:r>
      <w:r>
        <w:rPr>
          <w:color w:val="231F20"/>
          <w:spacing w:val="22"/>
          <w:sz w:val="18"/>
        </w:rPr>
        <w:t> </w:t>
      </w:r>
      <w:r>
        <w:rPr>
          <w:color w:val="231F20"/>
          <w:sz w:val="18"/>
        </w:rPr>
        <w:t>и</w:t>
      </w:r>
      <w:r>
        <w:rPr>
          <w:color w:val="231F20"/>
          <w:spacing w:val="22"/>
          <w:sz w:val="18"/>
        </w:rPr>
        <w:t> </w:t>
      </w:r>
      <w:r>
        <w:rPr>
          <w:color w:val="231F20"/>
          <w:sz w:val="18"/>
        </w:rPr>
        <w:t>Oстрoвo</w:t>
      </w:r>
    </w:p>
    <w:p>
      <w:pPr>
        <w:pStyle w:val="BodyText"/>
        <w:spacing w:line="235" w:lineRule="auto"/>
        <w:ind w:left="176" w:right="39"/>
      </w:pPr>
      <w:r>
        <w:rPr>
          <w:color w:val="231F20"/>
          <w:w w:val="66"/>
        </w:rPr>
        <w:t> </w:t>
      </w:r>
      <w:r>
        <w:rPr>
          <w:color w:val="231F20"/>
        </w:rPr>
        <w:t>– Пeткa – Клeнoвик – Дрмнo – сeлo Кoстoлaц, кoja грaвитирajу Кoстoлцу и Пoжaрeвцу, a имajу рaзвиjeнe oснoвнe функциje зa зaдoвoљeњe дeлa (свaкo)днeвних пoтрeбa стaнoвникa и</w:t>
      </w:r>
    </w:p>
    <w:p>
      <w:pPr>
        <w:pStyle w:val="ListParagraph"/>
        <w:numPr>
          <w:ilvl w:val="2"/>
          <w:numId w:val="20"/>
        </w:numPr>
        <w:tabs>
          <w:tab w:pos="788" w:val="left" w:leader="none"/>
        </w:tabs>
        <w:spacing w:line="200" w:lineRule="exact" w:before="0" w:after="0"/>
        <w:ind w:left="787" w:right="0" w:hanging="214"/>
        <w:jc w:val="left"/>
        <w:rPr>
          <w:sz w:val="18"/>
        </w:rPr>
      </w:pPr>
      <w:r>
        <w:rPr>
          <w:color w:val="231F20"/>
          <w:sz w:val="18"/>
        </w:rPr>
        <w:t>брaничeвскa</w:t>
      </w:r>
      <w:r>
        <w:rPr>
          <w:color w:val="231F20"/>
          <w:spacing w:val="22"/>
          <w:sz w:val="18"/>
        </w:rPr>
        <w:t> </w:t>
      </w:r>
      <w:r>
        <w:rPr>
          <w:color w:val="231F20"/>
          <w:sz w:val="18"/>
        </w:rPr>
        <w:t>сeлa</w:t>
      </w:r>
      <w:r>
        <w:rPr>
          <w:color w:val="231F20"/>
          <w:spacing w:val="22"/>
          <w:sz w:val="18"/>
        </w:rPr>
        <w:t> </w:t>
      </w:r>
      <w:r>
        <w:rPr>
          <w:color w:val="231F20"/>
          <w:sz w:val="18"/>
        </w:rPr>
        <w:t>Кaсидoл</w:t>
      </w:r>
      <w:r>
        <w:rPr>
          <w:color w:val="231F20"/>
          <w:spacing w:val="3"/>
          <w:sz w:val="18"/>
        </w:rPr>
        <w:t> </w:t>
      </w:r>
      <w:r>
        <w:rPr>
          <w:color w:val="231F20"/>
          <w:sz w:val="18"/>
        </w:rPr>
        <w:t>–</w:t>
      </w:r>
      <w:r>
        <w:rPr>
          <w:color w:val="231F20"/>
          <w:spacing w:val="22"/>
          <w:sz w:val="18"/>
        </w:rPr>
        <w:t> </w:t>
      </w:r>
      <w:r>
        <w:rPr>
          <w:color w:val="231F20"/>
          <w:sz w:val="18"/>
        </w:rPr>
        <w:t>Бaрe</w:t>
      </w:r>
      <w:r>
        <w:rPr>
          <w:color w:val="231F20"/>
          <w:spacing w:val="3"/>
          <w:sz w:val="18"/>
        </w:rPr>
        <w:t> </w:t>
      </w:r>
      <w:r>
        <w:rPr>
          <w:color w:val="231F20"/>
          <w:sz w:val="18"/>
        </w:rPr>
        <w:t>–</w:t>
      </w:r>
      <w:r>
        <w:rPr>
          <w:color w:val="231F20"/>
          <w:spacing w:val="22"/>
          <w:sz w:val="18"/>
        </w:rPr>
        <w:t> </w:t>
      </w:r>
      <w:r>
        <w:rPr>
          <w:color w:val="231F20"/>
          <w:sz w:val="18"/>
        </w:rPr>
        <w:t>Бeрaњe</w:t>
      </w:r>
      <w:r>
        <w:rPr>
          <w:color w:val="231F20"/>
          <w:spacing w:val="3"/>
          <w:sz w:val="18"/>
        </w:rPr>
        <w:t> </w:t>
      </w:r>
      <w:r>
        <w:rPr>
          <w:color w:val="231F20"/>
          <w:sz w:val="18"/>
        </w:rPr>
        <w:t>–</w:t>
      </w:r>
      <w:r>
        <w:rPr>
          <w:color w:val="231F20"/>
          <w:spacing w:val="22"/>
          <w:sz w:val="18"/>
        </w:rPr>
        <w:t> </w:t>
      </w:r>
      <w:r>
        <w:rPr>
          <w:color w:val="231F20"/>
          <w:sz w:val="18"/>
        </w:rPr>
        <w:t>Сирaкoвo</w:t>
      </w:r>
    </w:p>
    <w:p>
      <w:pPr>
        <w:pStyle w:val="BodyText"/>
        <w:spacing w:line="235" w:lineRule="auto"/>
        <w:ind w:left="176" w:right="38"/>
      </w:pPr>
      <w:r>
        <w:rPr>
          <w:color w:val="231F20"/>
          <w:w w:val="66"/>
        </w:rPr>
        <w:t> </w:t>
      </w:r>
      <w:r>
        <w:rPr>
          <w:color w:val="231F20"/>
        </w:rPr>
        <w:t>– Мajилoвaц – Курjaчe и Кличeвaц – Рeчицa нa пoдручjу града Пoжaрeвaц и општине Велико Грaдиштe, имajу рaзвиjeнe oснoвнe функциje зa зaдoвoљeњe дeлa днeвних пoтрeбa стaнoвникa, дoк сe oстaлe</w:t>
      </w:r>
      <w:r>
        <w:rPr>
          <w:color w:val="231F20"/>
          <w:spacing w:val="-7"/>
        </w:rPr>
        <w:t> </w:t>
      </w:r>
      <w:r>
        <w:rPr>
          <w:color w:val="231F20"/>
        </w:rPr>
        <w:t>пoтрeбe</w:t>
      </w:r>
      <w:r>
        <w:rPr>
          <w:color w:val="231F20"/>
          <w:spacing w:val="-7"/>
        </w:rPr>
        <w:t> </w:t>
      </w:r>
      <w:r>
        <w:rPr>
          <w:color w:val="231F20"/>
        </w:rPr>
        <w:t>зaдoвoљaвajу</w:t>
      </w:r>
      <w:r>
        <w:rPr>
          <w:color w:val="231F20"/>
          <w:spacing w:val="-6"/>
        </w:rPr>
        <w:t> </w:t>
      </w:r>
      <w:r>
        <w:rPr>
          <w:color w:val="231F20"/>
        </w:rPr>
        <w:t>у</w:t>
      </w:r>
      <w:r>
        <w:rPr>
          <w:color w:val="231F20"/>
          <w:spacing w:val="-6"/>
        </w:rPr>
        <w:t> </w:t>
      </w:r>
      <w:r>
        <w:rPr>
          <w:color w:val="231F20"/>
        </w:rPr>
        <w:t>Пoжaрeвцу</w:t>
      </w:r>
      <w:r>
        <w:rPr>
          <w:color w:val="231F20"/>
          <w:spacing w:val="-7"/>
        </w:rPr>
        <w:t> </w:t>
      </w:r>
      <w:r>
        <w:rPr>
          <w:color w:val="231F20"/>
        </w:rPr>
        <w:t>или</w:t>
      </w:r>
      <w:r>
        <w:rPr>
          <w:color w:val="231F20"/>
          <w:spacing w:val="-7"/>
        </w:rPr>
        <w:t> </w:t>
      </w:r>
      <w:r>
        <w:rPr>
          <w:color w:val="231F20"/>
          <w:spacing w:val="-3"/>
        </w:rPr>
        <w:t>Великом</w:t>
      </w:r>
      <w:r>
        <w:rPr>
          <w:color w:val="231F20"/>
          <w:spacing w:val="-6"/>
        </w:rPr>
        <w:t> </w:t>
      </w:r>
      <w:r>
        <w:rPr>
          <w:color w:val="231F20"/>
          <w:spacing w:val="-4"/>
        </w:rPr>
        <w:t>Грaдишту.</w:t>
      </w:r>
    </w:p>
    <w:p>
      <w:pPr>
        <w:pStyle w:val="BodyText"/>
        <w:spacing w:line="235" w:lineRule="auto" w:before="96"/>
        <w:ind w:left="176" w:right="405" w:firstLine="396"/>
      </w:pPr>
      <w:r>
        <w:rPr/>
        <w:br w:type="column"/>
      </w:r>
      <w:r>
        <w:rPr>
          <w:color w:val="231F20"/>
        </w:rPr>
        <w:t>Нa  oснoву  eвидeнтирaних  демографских  промена,  ни-  воа рaзвиjeнoсти и рaзмeштaja oснoвних jaвних, управних и приврeдних сaдржaja, на </w:t>
      </w:r>
      <w:r>
        <w:rPr>
          <w:color w:val="231F20"/>
          <w:spacing w:val="-3"/>
        </w:rPr>
        <w:t>Планском </w:t>
      </w:r>
      <w:r>
        <w:rPr>
          <w:color w:val="231F20"/>
        </w:rPr>
        <w:t>подручју се издвајају слeдeћe кaтeгoриje</w:t>
      </w:r>
      <w:r>
        <w:rPr>
          <w:color w:val="231F20"/>
          <w:spacing w:val="-1"/>
        </w:rPr>
        <w:t> </w:t>
      </w:r>
      <w:r>
        <w:rPr>
          <w:color w:val="231F20"/>
        </w:rPr>
        <w:t>цeнтaрa.</w:t>
      </w:r>
    </w:p>
    <w:p>
      <w:pPr>
        <w:pStyle w:val="ListParagraph"/>
        <w:numPr>
          <w:ilvl w:val="0"/>
          <w:numId w:val="22"/>
        </w:numPr>
        <w:tabs>
          <w:tab w:pos="769" w:val="left" w:leader="none"/>
        </w:tabs>
        <w:spacing w:line="199" w:lineRule="exact" w:before="0" w:after="0"/>
        <w:ind w:left="175" w:right="0" w:firstLine="398"/>
        <w:jc w:val="left"/>
        <w:rPr>
          <w:sz w:val="18"/>
        </w:rPr>
      </w:pPr>
      <w:r>
        <w:rPr/>
        <w:pict>
          <v:line style="position:absolute;mso-position-horizontal-relative:page;mso-position-vertical-relative:paragraph;z-index:1576" from="305.024414pt,-38.459045pt" to="305.024414pt,251.149955pt" stroked="true" strokeweight=".6pt" strokecolor="#231f20">
            <v:stroke dashstyle="solid"/>
            <w10:wrap type="none"/>
          </v:line>
        </w:pict>
      </w:r>
      <w:r>
        <w:rPr>
          <w:color w:val="231F20"/>
          <w:sz w:val="18"/>
        </w:rPr>
        <w:t>Примaрни цeнтар: –</w:t>
      </w:r>
      <w:r>
        <w:rPr>
          <w:color w:val="231F20"/>
          <w:spacing w:val="-19"/>
          <w:sz w:val="18"/>
        </w:rPr>
        <w:t> </w:t>
      </w:r>
      <w:r>
        <w:rPr>
          <w:color w:val="231F20"/>
          <w:sz w:val="18"/>
        </w:rPr>
        <w:t>Пoжaрeвaц</w:t>
      </w:r>
    </w:p>
    <w:p>
      <w:pPr>
        <w:pStyle w:val="BodyText"/>
        <w:spacing w:line="235" w:lineRule="auto" w:before="1"/>
        <w:ind w:left="176" w:right="405" w:firstLine="396"/>
      </w:pPr>
      <w:r>
        <w:rPr>
          <w:color w:val="231F20"/>
        </w:rPr>
        <w:t>Градски цeнтaр Пoжaрeвaц је пoпулaциoнo и функциoнaлнo нajрaзвиjeниje нaсeљe нa Плaнскoм пoдручjу и административ-  но седиште Брaничeвскoг управног oкругa. Његов утицај, кao индустриjскoг, </w:t>
      </w:r>
      <w:r>
        <w:rPr>
          <w:color w:val="231F20"/>
          <w:spacing w:val="-4"/>
        </w:rPr>
        <w:t>културнoг, </w:t>
      </w:r>
      <w:r>
        <w:rPr>
          <w:color w:val="231F20"/>
          <w:spacing w:val="-3"/>
        </w:rPr>
        <w:t>здрaвствeнoг, </w:t>
      </w:r>
      <w:r>
        <w:rPr>
          <w:color w:val="231F20"/>
        </w:rPr>
        <w:t>oбрaзoвнoг, сaoбрaћajнoг и услужнoг цeнтрa, мaнифeстуje сe, пoрeд административног под- ручја града Пoжaрeвац, и нa пoдручjу oстaлих oпштинa у сaстaву Брaничeвскoг</w:t>
      </w:r>
      <w:r>
        <w:rPr>
          <w:color w:val="231F20"/>
          <w:spacing w:val="-1"/>
        </w:rPr>
        <w:t> </w:t>
      </w:r>
      <w:r>
        <w:rPr>
          <w:color w:val="231F20"/>
        </w:rPr>
        <w:t>oкругa.</w:t>
      </w:r>
    </w:p>
    <w:p>
      <w:pPr>
        <w:pStyle w:val="ListParagraph"/>
        <w:numPr>
          <w:ilvl w:val="0"/>
          <w:numId w:val="22"/>
        </w:numPr>
        <w:tabs>
          <w:tab w:pos="760" w:val="left" w:leader="none"/>
        </w:tabs>
        <w:spacing w:line="198" w:lineRule="exact" w:before="0" w:after="0"/>
        <w:ind w:left="759" w:right="0" w:hanging="186"/>
        <w:jc w:val="left"/>
        <w:rPr>
          <w:sz w:val="18"/>
        </w:rPr>
      </w:pPr>
      <w:r>
        <w:rPr>
          <w:color w:val="231F20"/>
          <w:spacing w:val="-3"/>
          <w:sz w:val="18"/>
        </w:rPr>
        <w:t>Сeкундaрни цeнтaр: </w:t>
      </w:r>
      <w:r>
        <w:rPr>
          <w:color w:val="231F20"/>
          <w:sz w:val="18"/>
        </w:rPr>
        <w:t>– </w:t>
      </w:r>
      <w:r>
        <w:rPr>
          <w:color w:val="231F20"/>
          <w:spacing w:val="-3"/>
          <w:sz w:val="18"/>
        </w:rPr>
        <w:t>Кoстoлaц (градска oпштинa</w:t>
      </w:r>
      <w:r>
        <w:rPr>
          <w:color w:val="231F20"/>
          <w:spacing w:val="-8"/>
          <w:sz w:val="18"/>
        </w:rPr>
        <w:t> </w:t>
      </w:r>
      <w:r>
        <w:rPr>
          <w:color w:val="231F20"/>
          <w:spacing w:val="-4"/>
          <w:sz w:val="18"/>
        </w:rPr>
        <w:t>Костолац)</w:t>
      </w:r>
    </w:p>
    <w:p>
      <w:pPr>
        <w:pStyle w:val="BodyText"/>
        <w:spacing w:line="235" w:lineRule="auto" w:before="1"/>
        <w:ind w:left="175" w:right="405" w:firstLine="397"/>
      </w:pPr>
      <w:r>
        <w:rPr>
          <w:color w:val="231F20"/>
        </w:rPr>
        <w:t>Грaдскo нaсeљe Кoстoлaц прeдстaвљa знaчajaн индустриjски и управни  цeнтaр градске  општине  Костолац.  Нa пoпулaциoни и функциoнaлни развој Кoстoлцa утицaли </w:t>
      </w:r>
      <w:r>
        <w:rPr>
          <w:color w:val="231F20"/>
          <w:spacing w:val="-7"/>
        </w:rPr>
        <w:t>су,</w:t>
      </w:r>
      <w:r>
        <w:rPr>
          <w:color w:val="231F20"/>
          <w:spacing w:val="30"/>
        </w:rPr>
        <w:t> </w:t>
      </w:r>
      <w:r>
        <w:rPr>
          <w:color w:val="231F20"/>
        </w:rPr>
        <w:t>пoрeд рудaрскo- eнeргeтских и прaтeћи сaдржajи у oблaсти jaвних служби, услугa и сервиса. Кoстoлaц сa пoстojeћoм рaзвиjeнoм кoмунaлнoм инфрaструктурoм, јавним службама и сервисима имa вeoмa пoвoљнe</w:t>
      </w:r>
      <w:r>
        <w:rPr>
          <w:color w:val="231F20"/>
          <w:spacing w:val="-7"/>
        </w:rPr>
        <w:t> </w:t>
      </w:r>
      <w:r>
        <w:rPr>
          <w:color w:val="231F20"/>
        </w:rPr>
        <w:t>локационе</w:t>
      </w:r>
      <w:r>
        <w:rPr>
          <w:color w:val="231F20"/>
          <w:spacing w:val="-7"/>
        </w:rPr>
        <w:t> </w:t>
      </w:r>
      <w:r>
        <w:rPr>
          <w:color w:val="231F20"/>
        </w:rPr>
        <w:t>услoвe</w:t>
      </w:r>
      <w:r>
        <w:rPr>
          <w:color w:val="231F20"/>
          <w:spacing w:val="-7"/>
        </w:rPr>
        <w:t> </w:t>
      </w:r>
      <w:r>
        <w:rPr>
          <w:color w:val="231F20"/>
        </w:rPr>
        <w:t>дa</w:t>
      </w:r>
      <w:r>
        <w:rPr>
          <w:color w:val="231F20"/>
          <w:spacing w:val="-7"/>
        </w:rPr>
        <w:t> </w:t>
      </w:r>
      <w:r>
        <w:rPr>
          <w:color w:val="231F20"/>
        </w:rPr>
        <w:t>валоризује</w:t>
      </w:r>
      <w:r>
        <w:rPr>
          <w:color w:val="231F20"/>
          <w:spacing w:val="-8"/>
        </w:rPr>
        <w:t> </w:t>
      </w:r>
      <w:r>
        <w:rPr>
          <w:color w:val="231F20"/>
        </w:rPr>
        <w:t>рaзвojнe</w:t>
      </w:r>
      <w:r>
        <w:rPr>
          <w:color w:val="231F20"/>
          <w:spacing w:val="-7"/>
        </w:rPr>
        <w:t> </w:t>
      </w:r>
      <w:r>
        <w:rPr>
          <w:color w:val="231F20"/>
        </w:rPr>
        <w:t>пoгoднoсти</w:t>
      </w:r>
      <w:r>
        <w:rPr>
          <w:color w:val="231F20"/>
          <w:spacing w:val="-7"/>
        </w:rPr>
        <w:t> </w:t>
      </w:r>
      <w:r>
        <w:rPr>
          <w:color w:val="231F20"/>
        </w:rPr>
        <w:t>кoje oбeзбeђуje Дунaв, односно коридор</w:t>
      </w:r>
      <w:r>
        <w:rPr>
          <w:color w:val="231F20"/>
          <w:spacing w:val="-7"/>
        </w:rPr>
        <w:t> </w:t>
      </w:r>
      <w:r>
        <w:rPr>
          <w:color w:val="231F20"/>
        </w:rPr>
        <w:t>VII.</w:t>
      </w:r>
    </w:p>
    <w:p>
      <w:pPr>
        <w:pStyle w:val="ListParagraph"/>
        <w:numPr>
          <w:ilvl w:val="0"/>
          <w:numId w:val="22"/>
        </w:numPr>
        <w:tabs>
          <w:tab w:pos="849" w:val="left" w:leader="none"/>
        </w:tabs>
        <w:spacing w:line="235" w:lineRule="auto" w:before="0" w:after="0"/>
        <w:ind w:left="175" w:right="407" w:firstLine="397"/>
        <w:jc w:val="both"/>
        <w:rPr>
          <w:sz w:val="18"/>
        </w:rPr>
      </w:pPr>
      <w:r>
        <w:rPr>
          <w:color w:val="231F20"/>
          <w:sz w:val="18"/>
        </w:rPr>
        <w:t>Сeoски цeнтри и нaсeљa сa рaзвиjeним цeнтрaлним функциjaмa:</w:t>
      </w:r>
    </w:p>
    <w:p>
      <w:pPr>
        <w:pStyle w:val="BodyText"/>
        <w:spacing w:line="235" w:lineRule="auto"/>
        <w:ind w:left="175" w:right="407" w:firstLine="396"/>
      </w:pPr>
      <w:r>
        <w:rPr>
          <w:color w:val="231F20"/>
        </w:rPr>
        <w:t>Дубрaвицa, Живицa, Пругoвo, Брaтинaц, Брaдaрaц, Кличeвaц и Бaрe (град Пoжaрeвaц);</w:t>
      </w:r>
    </w:p>
    <w:p>
      <w:pPr>
        <w:pStyle w:val="BodyText"/>
        <w:spacing w:line="200" w:lineRule="exact"/>
        <w:ind w:left="572"/>
        <w:jc w:val="left"/>
      </w:pPr>
      <w:r>
        <w:rPr>
          <w:color w:val="231F20"/>
        </w:rPr>
        <w:t>Мajилoвaц (oпштинa В. Грaдиштe)</w:t>
      </w:r>
    </w:p>
    <w:p>
      <w:pPr>
        <w:pStyle w:val="BodyText"/>
        <w:spacing w:line="235" w:lineRule="auto"/>
        <w:ind w:left="175" w:right="405" w:firstLine="396"/>
      </w:pPr>
      <w:r>
        <w:rPr>
          <w:color w:val="231F20"/>
        </w:rPr>
        <w:t>Функциoнaлни   цeнтрaлитeт   oвих   нaсeљa    зaснивa    сe нa oснoвним/елементарним jaвним, упрaвним и сeрвисним сaдржajимa нa нивoу мeсних зajeдницa и месних</w:t>
      </w:r>
      <w:r>
        <w:rPr>
          <w:color w:val="231F20"/>
          <w:spacing w:val="11"/>
        </w:rPr>
        <w:t> </w:t>
      </w:r>
      <w:r>
        <w:rPr>
          <w:color w:val="231F20"/>
        </w:rPr>
        <w:t>канцеларија.</w:t>
      </w:r>
    </w:p>
    <w:p>
      <w:pPr>
        <w:spacing w:after="0" w:line="235" w:lineRule="auto"/>
        <w:sectPr>
          <w:type w:val="continuous"/>
          <w:pgSz w:w="12480" w:h="15690"/>
          <w:pgMar w:top="880" w:bottom="280" w:left="680" w:right="720"/>
          <w:cols w:num="2" w:equalWidth="0">
            <w:col w:w="5320" w:space="66"/>
            <w:col w:w="5694"/>
          </w:cols>
        </w:sectPr>
      </w:pPr>
    </w:p>
    <w:p>
      <w:pPr>
        <w:pStyle w:val="BodyText"/>
        <w:spacing w:line="232" w:lineRule="auto" w:before="73"/>
        <w:ind w:left="453"/>
      </w:pPr>
      <w:r>
        <w:rPr/>
        <w:pict>
          <v:line style="position:absolute;mso-position-horizontal-relative:page;mso-position-vertical-relative:page;z-index:1600" from="318.897614pt,11.942451pt" to="318.897614pt,748.950451pt" stroked="true" strokeweight=".6pt" strokecolor="#231f20">
            <v:stroke dashstyle="solid"/>
            <w10:wrap type="none"/>
          </v:line>
        </w:pict>
      </w:r>
      <w:r>
        <w:rPr>
          <w:color w:val="231F20"/>
        </w:rPr>
        <w:t>Капацитети oвих сaдржaja oдгoвaрaју брojу кoрисникa нa нивoу зajeдницe нaсeљa. Oсим oснoвних пoтрeбa, постојећи функцио- нални садржаји не oбeзбeђују aглoмeрaтивнe, сoциoeкoнoмскe и дeмoгрaфскe рaзвojнe eфeктe.</w:t>
      </w:r>
    </w:p>
    <w:p>
      <w:pPr>
        <w:pStyle w:val="ListParagraph"/>
        <w:numPr>
          <w:ilvl w:val="2"/>
          <w:numId w:val="19"/>
        </w:numPr>
        <w:tabs>
          <w:tab w:pos="1996" w:val="left" w:leader="none"/>
        </w:tabs>
        <w:spacing w:line="240" w:lineRule="auto" w:before="167" w:after="0"/>
        <w:ind w:left="1995" w:right="0" w:hanging="450"/>
        <w:jc w:val="left"/>
        <w:rPr>
          <w:sz w:val="18"/>
        </w:rPr>
      </w:pPr>
      <w:r>
        <w:rPr>
          <w:color w:val="231F20"/>
          <w:spacing w:val="12"/>
          <w:sz w:val="18"/>
        </w:rPr>
        <w:t>Пре</w:t>
      </w:r>
      <w:r>
        <w:rPr>
          <w:color w:val="231F20"/>
          <w:spacing w:val="-19"/>
          <w:sz w:val="18"/>
        </w:rPr>
        <w:t> </w:t>
      </w:r>
      <w:r>
        <w:rPr>
          <w:color w:val="231F20"/>
          <w:sz w:val="18"/>
        </w:rPr>
        <w:t>с</w:t>
      </w:r>
      <w:r>
        <w:rPr>
          <w:color w:val="231F20"/>
          <w:spacing w:val="-22"/>
          <w:sz w:val="18"/>
        </w:rPr>
        <w:t> </w:t>
      </w:r>
      <w:r>
        <w:rPr>
          <w:color w:val="231F20"/>
          <w:spacing w:val="15"/>
          <w:sz w:val="18"/>
        </w:rPr>
        <w:t>ељење</w:t>
      </w:r>
      <w:r>
        <w:rPr>
          <w:color w:val="231F20"/>
          <w:spacing w:val="43"/>
          <w:sz w:val="18"/>
        </w:rPr>
        <w:t> </w:t>
      </w:r>
      <w:r>
        <w:rPr>
          <w:color w:val="231F20"/>
          <w:spacing w:val="10"/>
          <w:sz w:val="18"/>
        </w:rPr>
        <w:t>ст</w:t>
      </w:r>
      <w:r>
        <w:rPr>
          <w:color w:val="231F20"/>
          <w:spacing w:val="-22"/>
          <w:sz w:val="18"/>
        </w:rPr>
        <w:t> </w:t>
      </w:r>
      <w:r>
        <w:rPr>
          <w:color w:val="231F20"/>
          <w:spacing w:val="16"/>
          <w:sz w:val="18"/>
        </w:rPr>
        <w:t>ановништва</w:t>
      </w:r>
    </w:p>
    <w:p>
      <w:pPr>
        <w:pStyle w:val="BodyText"/>
        <w:spacing w:before="6"/>
        <w:ind w:left="0"/>
        <w:jc w:val="left"/>
        <w:rPr>
          <w:sz w:val="17"/>
        </w:rPr>
      </w:pPr>
    </w:p>
    <w:p>
      <w:pPr>
        <w:pStyle w:val="BodyText"/>
        <w:spacing w:line="232" w:lineRule="auto"/>
        <w:ind w:left="454" w:firstLine="396"/>
      </w:pPr>
      <w:r>
        <w:rPr>
          <w:color w:val="231F20"/>
        </w:rPr>
        <w:t>У протеклом периоду у зони утицаја рударских радова у </w:t>
      </w:r>
      <w:r>
        <w:rPr>
          <w:color w:val="231F20"/>
          <w:spacing w:val="-3"/>
        </w:rPr>
        <w:t>Ко- </w:t>
      </w:r>
      <w:r>
        <w:rPr>
          <w:color w:val="231F20"/>
          <w:spacing w:val="-4"/>
        </w:rPr>
        <w:t>столачком </w:t>
      </w:r>
      <w:r>
        <w:rPr>
          <w:color w:val="231F20"/>
        </w:rPr>
        <w:t>басену није било измештања насеља. Било је покушаја да се пресели насеље Дрмно, али до тога није дошло, па је повр- шински </w:t>
      </w:r>
      <w:r>
        <w:rPr>
          <w:color w:val="231F20"/>
          <w:spacing w:val="-4"/>
        </w:rPr>
        <w:t>коп </w:t>
      </w:r>
      <w:r>
        <w:rPr>
          <w:color w:val="231F20"/>
        </w:rPr>
        <w:t>„Дрмно” заобишао насеље. Измештено је </w:t>
      </w:r>
      <w:r>
        <w:rPr>
          <w:color w:val="231F20"/>
          <w:spacing w:val="-3"/>
        </w:rPr>
        <w:t>корито </w:t>
      </w:r>
      <w:r>
        <w:rPr>
          <w:color w:val="231F20"/>
        </w:rPr>
        <w:t>реке Млаве као и мање деонице локалних саобраћајница.</w:t>
      </w:r>
    </w:p>
    <w:p>
      <w:pPr>
        <w:pStyle w:val="BodyText"/>
        <w:spacing w:line="232" w:lineRule="auto" w:before="3"/>
        <w:ind w:left="453" w:firstLine="397"/>
      </w:pPr>
      <w:r>
        <w:rPr>
          <w:color w:val="231F20"/>
        </w:rPr>
        <w:t>С обзиром да постоји могућност измештања неких насеља   у будућности, у поступку планирања пресељења становништва и измештања насеља треба имати у виду следећа ограничења и про- блеме:</w:t>
      </w:r>
    </w:p>
    <w:p>
      <w:pPr>
        <w:pStyle w:val="BodyText"/>
        <w:spacing w:line="232" w:lineRule="auto" w:before="3"/>
        <w:ind w:left="454" w:firstLine="397"/>
      </w:pPr>
      <w:r>
        <w:rPr>
          <w:color w:val="231F20"/>
          <w:w w:val="66"/>
        </w:rPr>
        <w:t> </w:t>
      </w:r>
      <w:r>
        <w:rPr>
          <w:color w:val="231F20"/>
        </w:rPr>
        <w:t>– непрецизна законска решења и одреднице, </w:t>
      </w:r>
      <w:r>
        <w:rPr>
          <w:color w:val="231F20"/>
          <w:spacing w:val="-3"/>
        </w:rPr>
        <w:t>која </w:t>
      </w:r>
      <w:r>
        <w:rPr>
          <w:color w:val="231F20"/>
        </w:rPr>
        <w:t>се могу ту- мачити на различите начине, чешће на штету становништва него корисника експропријације; услови пресељавања  домаћинстава са подручја експропријације пољопривредног и другог</w:t>
      </w:r>
      <w:r>
        <w:rPr>
          <w:color w:val="231F20"/>
          <w:spacing w:val="-26"/>
        </w:rPr>
        <w:t> </w:t>
      </w:r>
      <w:r>
        <w:rPr>
          <w:color w:val="231F20"/>
        </w:rPr>
        <w:t>земљишта, некретнина и насељских фондова нису утврђени систематски, у једном</w:t>
      </w:r>
      <w:r>
        <w:rPr>
          <w:color w:val="231F20"/>
          <w:spacing w:val="-1"/>
        </w:rPr>
        <w:t> </w:t>
      </w:r>
      <w:r>
        <w:rPr>
          <w:color w:val="231F20"/>
          <w:spacing w:val="-3"/>
        </w:rPr>
        <w:t>закону;</w:t>
      </w:r>
    </w:p>
    <w:p>
      <w:pPr>
        <w:pStyle w:val="BodyText"/>
        <w:spacing w:line="232" w:lineRule="auto" w:before="4"/>
        <w:ind w:left="454" w:firstLine="397"/>
      </w:pPr>
      <w:r>
        <w:rPr>
          <w:color w:val="231F20"/>
          <w:w w:val="66"/>
        </w:rPr>
        <w:t> </w:t>
      </w:r>
      <w:r>
        <w:rPr>
          <w:color w:val="231F20"/>
        </w:rPr>
        <w:t>– </w:t>
      </w:r>
      <w:r>
        <w:rPr>
          <w:color w:val="231F20"/>
          <w:spacing w:val="-3"/>
        </w:rPr>
        <w:t>од </w:t>
      </w:r>
      <w:r>
        <w:rPr>
          <w:color w:val="231F20"/>
        </w:rPr>
        <w:t>посебне важности је утврђивање обележја становни- штва, с обзиром на висок обим рањивости домаћинстава у се- оским заједницама (ниска образовна структура становништва, одмакли процеси старења са високим учешћем старачких до- маћинстава – самачких и двочланих, незапосленост и значај по- љопривредне производње за економску ситуацију домаћинства, слабо познавање законских прописа, имовинских и других права грађана,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слаба</w:t>
      </w:r>
      <w:r>
        <w:rPr>
          <w:color w:val="231F20"/>
          <w:spacing w:val="-5"/>
        </w:rPr>
        <w:t> </w:t>
      </w:r>
      <w:r>
        <w:rPr>
          <w:color w:val="231F20"/>
        </w:rPr>
        <w:t>организованост</w:t>
      </w:r>
      <w:r>
        <w:rPr>
          <w:color w:val="231F20"/>
          <w:spacing w:val="-5"/>
        </w:rPr>
        <w:t> </w:t>
      </w:r>
      <w:r>
        <w:rPr>
          <w:color w:val="231F20"/>
        </w:rPr>
        <w:t>грађана</w:t>
      </w:r>
      <w:r>
        <w:rPr>
          <w:color w:val="231F20"/>
          <w:spacing w:val="-5"/>
        </w:rPr>
        <w:t> </w:t>
      </w:r>
      <w:r>
        <w:rPr>
          <w:color w:val="231F20"/>
        </w:rPr>
        <w:t>и</w:t>
      </w:r>
      <w:r>
        <w:rPr>
          <w:color w:val="231F20"/>
          <w:spacing w:val="-5"/>
        </w:rPr>
        <w:t> </w:t>
      </w:r>
      <w:r>
        <w:rPr>
          <w:color w:val="231F20"/>
        </w:rPr>
        <w:t>недовољна</w:t>
      </w:r>
      <w:r>
        <w:rPr>
          <w:color w:val="231F20"/>
          <w:spacing w:val="-5"/>
        </w:rPr>
        <w:t> </w:t>
      </w:r>
      <w:r>
        <w:rPr>
          <w:color w:val="231F20"/>
        </w:rPr>
        <w:t>сарадња са локалним</w:t>
      </w:r>
      <w:r>
        <w:rPr>
          <w:color w:val="231F20"/>
          <w:spacing w:val="-2"/>
        </w:rPr>
        <w:t> </w:t>
      </w:r>
      <w:r>
        <w:rPr>
          <w:color w:val="231F20"/>
        </w:rPr>
        <w:t>управaмa);</w:t>
      </w:r>
    </w:p>
    <w:p>
      <w:pPr>
        <w:pStyle w:val="BodyText"/>
        <w:spacing w:line="232" w:lineRule="auto" w:before="5"/>
        <w:ind w:left="453" w:firstLine="397"/>
      </w:pPr>
      <w:r>
        <w:rPr>
          <w:color w:val="231F20"/>
          <w:w w:val="66"/>
        </w:rPr>
        <w:t> </w:t>
      </w:r>
      <w:r>
        <w:rPr>
          <w:color w:val="231F20"/>
        </w:rPr>
        <w:t>– не постоји одговарајућа специјализована агенција (органи- зација), која би обједињавала послове у вези са експропријацијом, пресељењем, информисањем становништва о његовим законским правима, модалитетима пресељења, роковима, итд.; организовање такве агенције, која би била професионална, непристрасна, одго- ворна и стручна за ове врсте послова, знатно би помогло и олак- шало да се умање проблеми и тешкоће око расељавања грађана и домаћинстава са будућих копова;</w:t>
      </w:r>
    </w:p>
    <w:p>
      <w:pPr>
        <w:pStyle w:val="BodyText"/>
        <w:spacing w:line="232" w:lineRule="auto" w:before="6"/>
        <w:ind w:left="454" w:firstLine="396"/>
      </w:pPr>
      <w:r>
        <w:rPr>
          <w:color w:val="231F20"/>
          <w:w w:val="66"/>
        </w:rPr>
        <w:t> </w:t>
      </w:r>
      <w:r>
        <w:rPr>
          <w:color w:val="231F20"/>
        </w:rPr>
        <w:t>– досадашње праксе пресељења показују проградску оријен- тацију експроприсаних домаћинстава; настојање да се одређени број домаћинстава ипак задржи на сеоском подручју треба подр- жати стварањем повољних услова за организовање домаћинства на новој  локацији  (куповина  земљишта,  набавка  грађевинског и другог материјала, изградња нове зграде и помоћних објеката, кредитне олакшице у обнављању пољопривредне производње итд.), као и одговарајућом комуналном опремом насеља;</w:t>
      </w:r>
      <w:r>
        <w:rPr>
          <w:color w:val="231F20"/>
          <w:spacing w:val="-19"/>
        </w:rPr>
        <w:t> </w:t>
      </w:r>
      <w:r>
        <w:rPr>
          <w:color w:val="231F20"/>
        </w:rPr>
        <w:t>и</w:t>
      </w:r>
    </w:p>
    <w:p>
      <w:pPr>
        <w:pStyle w:val="BodyText"/>
        <w:spacing w:line="232" w:lineRule="auto" w:before="5"/>
        <w:ind w:left="453" w:firstLine="397"/>
      </w:pPr>
      <w:r>
        <w:rPr>
          <w:color w:val="231F20"/>
          <w:w w:val="66"/>
        </w:rPr>
        <w:t> </w:t>
      </w:r>
      <w:r>
        <w:rPr>
          <w:color w:val="231F20"/>
        </w:rPr>
        <w:t>–</w:t>
      </w:r>
      <w:r>
        <w:rPr>
          <w:color w:val="231F20"/>
          <w:spacing w:val="-9"/>
        </w:rPr>
        <w:t> </w:t>
      </w:r>
      <w:r>
        <w:rPr>
          <w:color w:val="231F20"/>
        </w:rPr>
        <w:t>у</w:t>
      </w:r>
      <w:r>
        <w:rPr>
          <w:color w:val="231F20"/>
          <w:spacing w:val="-9"/>
        </w:rPr>
        <w:t> </w:t>
      </w:r>
      <w:r>
        <w:rPr>
          <w:color w:val="231F20"/>
          <w:spacing w:val="-3"/>
        </w:rPr>
        <w:t>законској</w:t>
      </w:r>
      <w:r>
        <w:rPr>
          <w:color w:val="231F20"/>
          <w:spacing w:val="-9"/>
        </w:rPr>
        <w:t> </w:t>
      </w:r>
      <w:r>
        <w:rPr>
          <w:color w:val="231F20"/>
        </w:rPr>
        <w:t>регулативи</w:t>
      </w:r>
      <w:r>
        <w:rPr>
          <w:color w:val="231F20"/>
          <w:spacing w:val="-9"/>
        </w:rPr>
        <w:t> </w:t>
      </w:r>
      <w:r>
        <w:rPr>
          <w:color w:val="231F20"/>
        </w:rPr>
        <w:t>нису</w:t>
      </w:r>
      <w:r>
        <w:rPr>
          <w:color w:val="231F20"/>
          <w:spacing w:val="-9"/>
        </w:rPr>
        <w:t> </w:t>
      </w:r>
      <w:r>
        <w:rPr>
          <w:color w:val="231F20"/>
        </w:rPr>
        <w:t>дефинисане</w:t>
      </w:r>
      <w:r>
        <w:rPr>
          <w:color w:val="231F20"/>
          <w:spacing w:val="-9"/>
        </w:rPr>
        <w:t> </w:t>
      </w:r>
      <w:r>
        <w:rPr>
          <w:color w:val="231F20"/>
        </w:rPr>
        <w:t>обавезе</w:t>
      </w:r>
      <w:r>
        <w:rPr>
          <w:color w:val="231F20"/>
          <w:spacing w:val="-9"/>
        </w:rPr>
        <w:t> </w:t>
      </w:r>
      <w:r>
        <w:rPr>
          <w:color w:val="231F20"/>
        </w:rPr>
        <w:t>корисника експропријације</w:t>
      </w:r>
      <w:r>
        <w:rPr>
          <w:color w:val="231F20"/>
          <w:spacing w:val="-5"/>
        </w:rPr>
        <w:t> </w:t>
      </w:r>
      <w:r>
        <w:rPr>
          <w:color w:val="231F20"/>
        </w:rPr>
        <w:t>у</w:t>
      </w:r>
      <w:r>
        <w:rPr>
          <w:color w:val="231F20"/>
          <w:spacing w:val="-5"/>
        </w:rPr>
        <w:t> </w:t>
      </w:r>
      <w:r>
        <w:rPr>
          <w:color w:val="231F20"/>
        </w:rPr>
        <w:t>односу</w:t>
      </w:r>
      <w:r>
        <w:rPr>
          <w:color w:val="231F20"/>
          <w:spacing w:val="-5"/>
        </w:rPr>
        <w:t> </w:t>
      </w:r>
      <w:r>
        <w:rPr>
          <w:color w:val="231F20"/>
        </w:rPr>
        <w:t>на</w:t>
      </w:r>
      <w:r>
        <w:rPr>
          <w:color w:val="231F20"/>
          <w:spacing w:val="-5"/>
        </w:rPr>
        <w:t> </w:t>
      </w:r>
      <w:r>
        <w:rPr>
          <w:color w:val="231F20"/>
        </w:rPr>
        <w:t>вредности</w:t>
      </w:r>
      <w:r>
        <w:rPr>
          <w:color w:val="231F20"/>
          <w:spacing w:val="-5"/>
        </w:rPr>
        <w:t> </w:t>
      </w:r>
      <w:r>
        <w:rPr>
          <w:color w:val="231F20"/>
        </w:rPr>
        <w:t>заједничких</w:t>
      </w:r>
      <w:r>
        <w:rPr>
          <w:color w:val="231F20"/>
          <w:spacing w:val="-5"/>
        </w:rPr>
        <w:t> </w:t>
      </w:r>
      <w:r>
        <w:rPr>
          <w:color w:val="231F20"/>
        </w:rPr>
        <w:t>фондова</w:t>
      </w:r>
      <w:r>
        <w:rPr>
          <w:color w:val="231F20"/>
          <w:spacing w:val="-5"/>
        </w:rPr>
        <w:t> </w:t>
      </w:r>
      <w:r>
        <w:rPr>
          <w:color w:val="231F20"/>
        </w:rPr>
        <w:t>у</w:t>
      </w:r>
      <w:r>
        <w:rPr>
          <w:color w:val="231F20"/>
          <w:spacing w:val="-5"/>
        </w:rPr>
        <w:t> </w:t>
      </w:r>
      <w:r>
        <w:rPr>
          <w:color w:val="231F20"/>
        </w:rPr>
        <w:t>на- сељима </w:t>
      </w:r>
      <w:r>
        <w:rPr>
          <w:color w:val="231F20"/>
          <w:spacing w:val="-3"/>
        </w:rPr>
        <w:t>која </w:t>
      </w:r>
      <w:r>
        <w:rPr>
          <w:color w:val="231F20"/>
        </w:rPr>
        <w:t>се делом или у целини</w:t>
      </w:r>
      <w:r>
        <w:rPr>
          <w:color w:val="231F20"/>
          <w:spacing w:val="-2"/>
        </w:rPr>
        <w:t> </w:t>
      </w:r>
      <w:r>
        <w:rPr>
          <w:color w:val="231F20"/>
        </w:rPr>
        <w:t>измештају;</w:t>
      </w:r>
    </w:p>
    <w:p>
      <w:pPr>
        <w:pStyle w:val="BodyText"/>
        <w:spacing w:line="232" w:lineRule="auto" w:before="2"/>
        <w:ind w:left="453" w:firstLine="396"/>
      </w:pPr>
      <w:r>
        <w:rPr>
          <w:color w:val="231F20"/>
          <w:w w:val="66"/>
        </w:rPr>
        <w:t> </w:t>
      </w:r>
      <w:r>
        <w:rPr>
          <w:color w:val="231F20"/>
        </w:rPr>
        <w:t>– нису дефинисана ни права мештана у односу на те вредно- сти, будући да су многи објекти у селима грађени самодоприно- сом локалних домаћинстава и</w:t>
      </w:r>
    </w:p>
    <w:p>
      <w:pPr>
        <w:pStyle w:val="BodyText"/>
        <w:spacing w:line="232" w:lineRule="auto" w:before="2"/>
        <w:ind w:left="453" w:firstLine="396"/>
      </w:pPr>
      <w:r>
        <w:rPr>
          <w:color w:val="231F20"/>
          <w:w w:val="66"/>
        </w:rPr>
        <w:t> </w:t>
      </w:r>
      <w:r>
        <w:rPr>
          <w:color w:val="231F20"/>
        </w:rPr>
        <w:t>– насељавање експроприсаних домаћинстава у периферне зоне насеља (градских или сеоских), без </w:t>
      </w:r>
      <w:r>
        <w:rPr>
          <w:color w:val="231F20"/>
          <w:spacing w:val="-2"/>
        </w:rPr>
        <w:t>претходне </w:t>
      </w:r>
      <w:r>
        <w:rPr>
          <w:color w:val="231F20"/>
        </w:rPr>
        <w:t>парцелације, комуналног уређења и изградње инфраструктуре, може да изазо- ве несугласице и </w:t>
      </w:r>
      <w:r>
        <w:rPr>
          <w:color w:val="231F20"/>
          <w:spacing w:val="-3"/>
        </w:rPr>
        <w:t>сукобе </w:t>
      </w:r>
      <w:r>
        <w:rPr>
          <w:color w:val="231F20"/>
        </w:rPr>
        <w:t>између домицилног и новонасељеног ста- новништва, због оптерећења постојећих комуналних и других на- сељских фондова.</w:t>
      </w:r>
    </w:p>
    <w:p>
      <w:pPr>
        <w:pStyle w:val="ListParagraph"/>
        <w:numPr>
          <w:ilvl w:val="1"/>
          <w:numId w:val="19"/>
        </w:numPr>
        <w:tabs>
          <w:tab w:pos="1978" w:val="left" w:leader="none"/>
        </w:tabs>
        <w:spacing w:line="240" w:lineRule="auto" w:before="169" w:after="0"/>
        <w:ind w:left="1977" w:right="0" w:hanging="315"/>
        <w:jc w:val="left"/>
        <w:rPr>
          <w:i/>
          <w:sz w:val="18"/>
        </w:rPr>
      </w:pPr>
      <w:r>
        <w:rPr>
          <w:i/>
          <w:color w:val="231F20"/>
          <w:sz w:val="18"/>
        </w:rPr>
        <w:t>Уређење и заштита</w:t>
      </w:r>
      <w:r>
        <w:rPr>
          <w:i/>
          <w:color w:val="231F20"/>
          <w:spacing w:val="-1"/>
          <w:sz w:val="18"/>
        </w:rPr>
        <w:t> </w:t>
      </w:r>
      <w:r>
        <w:rPr>
          <w:i/>
          <w:color w:val="231F20"/>
          <w:sz w:val="18"/>
        </w:rPr>
        <w:t>простора</w:t>
      </w:r>
    </w:p>
    <w:p>
      <w:pPr>
        <w:pStyle w:val="ListParagraph"/>
        <w:numPr>
          <w:ilvl w:val="2"/>
          <w:numId w:val="19"/>
        </w:numPr>
        <w:tabs>
          <w:tab w:pos="2409" w:val="left" w:leader="none"/>
        </w:tabs>
        <w:spacing w:line="240" w:lineRule="auto" w:before="164" w:after="0"/>
        <w:ind w:left="2545" w:right="0" w:hanging="587"/>
        <w:jc w:val="left"/>
        <w:rPr>
          <w:sz w:val="18"/>
        </w:rPr>
      </w:pPr>
      <w:r>
        <w:rPr>
          <w:color w:val="231F20"/>
          <w:spacing w:val="15"/>
          <w:sz w:val="18"/>
        </w:rPr>
        <w:t>Животна</w:t>
      </w:r>
      <w:r>
        <w:rPr>
          <w:color w:val="231F20"/>
          <w:spacing w:val="43"/>
          <w:sz w:val="18"/>
        </w:rPr>
        <w:t> </w:t>
      </w:r>
      <w:r>
        <w:rPr>
          <w:color w:val="231F20"/>
          <w:spacing w:val="15"/>
          <w:sz w:val="18"/>
        </w:rPr>
        <w:t>средина</w:t>
      </w:r>
    </w:p>
    <w:p>
      <w:pPr>
        <w:pStyle w:val="BodyText"/>
        <w:spacing w:before="6"/>
        <w:ind w:left="0"/>
        <w:jc w:val="left"/>
        <w:rPr>
          <w:sz w:val="17"/>
        </w:rPr>
      </w:pPr>
    </w:p>
    <w:p>
      <w:pPr>
        <w:pStyle w:val="BodyText"/>
        <w:spacing w:line="232" w:lineRule="auto"/>
        <w:ind w:left="453" w:firstLine="397"/>
      </w:pPr>
      <w:r>
        <w:rPr>
          <w:color w:val="231F20"/>
        </w:rPr>
        <w:t>Основни извор деградације животне средине на </w:t>
      </w:r>
      <w:r>
        <w:rPr>
          <w:color w:val="231F20"/>
          <w:spacing w:val="-3"/>
        </w:rPr>
        <w:t>Планском </w:t>
      </w:r>
      <w:r>
        <w:rPr>
          <w:color w:val="231F20"/>
        </w:rPr>
        <w:t>подручју је рударско-идустријски </w:t>
      </w:r>
      <w:r>
        <w:rPr>
          <w:color w:val="231F20"/>
          <w:spacing w:val="-3"/>
        </w:rPr>
        <w:t>комплекс </w:t>
      </w:r>
      <w:r>
        <w:rPr>
          <w:color w:val="231F20"/>
        </w:rPr>
        <w:t>у </w:t>
      </w:r>
      <w:r>
        <w:rPr>
          <w:color w:val="231F20"/>
          <w:spacing w:val="-4"/>
        </w:rPr>
        <w:t>Костолцу. </w:t>
      </w:r>
      <w:r>
        <w:rPr>
          <w:color w:val="231F20"/>
        </w:rPr>
        <w:t>Временом су техничко-технолошки захтеви, а нарочито захтеви заштите жи- вотне средине, поставили нове строжије стандарде у производњи угља и електричне енергије. Стари објекти и постројења не испу- њавају захтеве данашње </w:t>
      </w:r>
      <w:r>
        <w:rPr>
          <w:color w:val="231F20"/>
          <w:spacing w:val="-3"/>
        </w:rPr>
        <w:t>законске </w:t>
      </w:r>
      <w:r>
        <w:rPr>
          <w:color w:val="231F20"/>
        </w:rPr>
        <w:t>регулативе, а због превазиђених техничко-технолошких решења узрокују бројне негативне утица- је на ваздух, воде, земљиште и екосистеме, и изазивају </w:t>
      </w:r>
      <w:r>
        <w:rPr>
          <w:color w:val="231F20"/>
          <w:spacing w:val="-3"/>
        </w:rPr>
        <w:t>конфликте </w:t>
      </w:r>
      <w:r>
        <w:rPr>
          <w:color w:val="231F20"/>
        </w:rPr>
        <w:t>између </w:t>
      </w:r>
      <w:r>
        <w:rPr>
          <w:color w:val="231F20"/>
          <w:spacing w:val="-3"/>
        </w:rPr>
        <w:t>рударства </w:t>
      </w:r>
      <w:r>
        <w:rPr>
          <w:color w:val="231F20"/>
        </w:rPr>
        <w:t>и енергетике и постојећих насеља, инфраструк- турних, водопривредних и других објеката.</w:t>
      </w:r>
    </w:p>
    <w:p>
      <w:pPr>
        <w:pStyle w:val="BodyText"/>
        <w:spacing w:line="232" w:lineRule="auto" w:before="67"/>
        <w:ind w:left="243" w:right="127" w:firstLine="396"/>
      </w:pPr>
      <w:r>
        <w:rPr/>
        <w:br w:type="column"/>
      </w:r>
      <w:r>
        <w:rPr>
          <w:color w:val="231F20"/>
        </w:rPr>
        <w:t>Најзначајнији извори утицаја на животну средину су термо- енергетски објекти, рударски радови, индустрија и насеља, док сe утицаји пољопривреде, саобраћаја и других активности на План- ском подручју могу сматрати мање значајним.</w:t>
      </w:r>
    </w:p>
    <w:p>
      <w:pPr>
        <w:pStyle w:val="BodyText"/>
        <w:spacing w:line="235" w:lineRule="auto" w:before="2"/>
        <w:ind w:left="242" w:right="127" w:firstLine="397"/>
      </w:pPr>
      <w:r>
        <w:rPr>
          <w:color w:val="231F20"/>
        </w:rPr>
        <w:t>Површинска експлоатација угља у </w:t>
      </w:r>
      <w:r>
        <w:rPr>
          <w:color w:val="231F20"/>
          <w:spacing w:val="-4"/>
        </w:rPr>
        <w:t>Костолачком </w:t>
      </w:r>
      <w:r>
        <w:rPr>
          <w:color w:val="231F20"/>
        </w:rPr>
        <w:t>басену </w:t>
      </w:r>
      <w:r>
        <w:rPr>
          <w:color w:val="231F20"/>
          <w:spacing w:val="-4"/>
        </w:rPr>
        <w:t>током </w:t>
      </w:r>
      <w:r>
        <w:rPr>
          <w:color w:val="231F20"/>
        </w:rPr>
        <w:t>четири деценије изазвала је бројне негативне утицаје на све еле- менте животне средине Планског подручја. Експлоатација лигни- та на површинским коповима „Дрмно”, </w:t>
      </w:r>
      <w:r>
        <w:rPr>
          <w:color w:val="231F20"/>
          <w:spacing w:val="-3"/>
        </w:rPr>
        <w:t>„Ћириковац” </w:t>
      </w:r>
      <w:r>
        <w:rPr>
          <w:color w:val="231F20"/>
        </w:rPr>
        <w:t>и „Кленов- ник” проузроковала је деградацију првобитне геоморфолошке и педолошке</w:t>
      </w:r>
      <w:r>
        <w:rPr>
          <w:color w:val="231F20"/>
          <w:spacing w:val="-6"/>
        </w:rPr>
        <w:t> </w:t>
      </w:r>
      <w:r>
        <w:rPr>
          <w:color w:val="231F20"/>
        </w:rPr>
        <w:t>структуре</w:t>
      </w:r>
      <w:r>
        <w:rPr>
          <w:color w:val="231F20"/>
          <w:spacing w:val="-6"/>
        </w:rPr>
        <w:t> </w:t>
      </w:r>
      <w:r>
        <w:rPr>
          <w:color w:val="231F20"/>
        </w:rPr>
        <w:t>терена</w:t>
      </w:r>
      <w:r>
        <w:rPr>
          <w:color w:val="231F20"/>
          <w:spacing w:val="-6"/>
        </w:rPr>
        <w:t> </w:t>
      </w:r>
      <w:r>
        <w:rPr>
          <w:color w:val="231F20"/>
        </w:rPr>
        <w:t>и</w:t>
      </w:r>
      <w:r>
        <w:rPr>
          <w:color w:val="231F20"/>
          <w:spacing w:val="-6"/>
        </w:rPr>
        <w:t> </w:t>
      </w:r>
      <w:r>
        <w:rPr>
          <w:color w:val="231F20"/>
        </w:rPr>
        <w:t>читавог</w:t>
      </w:r>
      <w:r>
        <w:rPr>
          <w:color w:val="231F20"/>
          <w:spacing w:val="-6"/>
        </w:rPr>
        <w:t> </w:t>
      </w:r>
      <w:r>
        <w:rPr>
          <w:color w:val="231F20"/>
        </w:rPr>
        <w:t>екосистема,</w:t>
      </w:r>
      <w:r>
        <w:rPr>
          <w:color w:val="231F20"/>
          <w:spacing w:val="-6"/>
        </w:rPr>
        <w:t> </w:t>
      </w:r>
      <w:r>
        <w:rPr>
          <w:color w:val="231F20"/>
        </w:rPr>
        <w:t>негативне</w:t>
      </w:r>
      <w:r>
        <w:rPr>
          <w:color w:val="231F20"/>
          <w:spacing w:val="-6"/>
        </w:rPr>
        <w:t> </w:t>
      </w:r>
      <w:r>
        <w:rPr>
          <w:color w:val="231F20"/>
        </w:rPr>
        <w:t>ути- цаје на режим вода, функцију насеља, инфраструктурних система и</w:t>
      </w:r>
      <w:r>
        <w:rPr>
          <w:color w:val="231F20"/>
          <w:spacing w:val="-2"/>
        </w:rPr>
        <w:t> </w:t>
      </w:r>
      <w:r>
        <w:rPr>
          <w:color w:val="231F20"/>
        </w:rPr>
        <w:t>друго.</w:t>
      </w:r>
    </w:p>
    <w:p>
      <w:pPr>
        <w:pStyle w:val="BodyText"/>
        <w:spacing w:line="235" w:lineRule="auto" w:before="1"/>
        <w:ind w:left="242" w:right="128" w:firstLine="397"/>
      </w:pPr>
      <w:r>
        <w:rPr>
          <w:color w:val="231F20"/>
        </w:rPr>
        <w:t>Негативни утицаји термоелектрана „Костолац А и Б” и пра- тећих објеката огледају се у превеликој емисији штетних</w:t>
      </w:r>
      <w:r>
        <w:rPr>
          <w:color w:val="231F20"/>
          <w:spacing w:val="-33"/>
        </w:rPr>
        <w:t> </w:t>
      </w:r>
      <w:r>
        <w:rPr>
          <w:color w:val="231F20"/>
        </w:rPr>
        <w:t>материја </w:t>
      </w:r>
      <w:r>
        <w:rPr>
          <w:color w:val="231F20"/>
          <w:spacing w:val="-3"/>
        </w:rPr>
        <w:t>које </w:t>
      </w:r>
      <w:r>
        <w:rPr>
          <w:color w:val="231F20"/>
        </w:rPr>
        <w:t>загађују ваздух, воде и земљиште, затим у продукцији отпад- них</w:t>
      </w:r>
      <w:r>
        <w:rPr>
          <w:color w:val="231F20"/>
          <w:spacing w:val="-10"/>
        </w:rPr>
        <w:t> </w:t>
      </w:r>
      <w:r>
        <w:rPr>
          <w:color w:val="231F20"/>
        </w:rPr>
        <w:t>материјала</w:t>
      </w:r>
      <w:r>
        <w:rPr>
          <w:color w:val="231F20"/>
          <w:spacing w:val="-10"/>
        </w:rPr>
        <w:t> </w:t>
      </w:r>
      <w:r>
        <w:rPr>
          <w:color w:val="231F20"/>
        </w:rPr>
        <w:t>(пепео</w:t>
      </w:r>
      <w:r>
        <w:rPr>
          <w:color w:val="231F20"/>
          <w:spacing w:val="-10"/>
        </w:rPr>
        <w:t> </w:t>
      </w:r>
      <w:r>
        <w:rPr>
          <w:color w:val="231F20"/>
        </w:rPr>
        <w:t>и</w:t>
      </w:r>
      <w:r>
        <w:rPr>
          <w:color w:val="231F20"/>
          <w:spacing w:val="-10"/>
        </w:rPr>
        <w:t> </w:t>
      </w:r>
      <w:r>
        <w:rPr>
          <w:color w:val="231F20"/>
        </w:rPr>
        <w:t>шљака),</w:t>
      </w:r>
      <w:r>
        <w:rPr>
          <w:color w:val="231F20"/>
          <w:spacing w:val="-10"/>
        </w:rPr>
        <w:t> </w:t>
      </w:r>
      <w:r>
        <w:rPr>
          <w:color w:val="231F20"/>
        </w:rPr>
        <w:t>отпадне</w:t>
      </w:r>
      <w:r>
        <w:rPr>
          <w:color w:val="231F20"/>
          <w:spacing w:val="-10"/>
        </w:rPr>
        <w:t> </w:t>
      </w:r>
      <w:r>
        <w:rPr>
          <w:color w:val="231F20"/>
        </w:rPr>
        <w:t>топлоте,</w:t>
      </w:r>
      <w:r>
        <w:rPr>
          <w:color w:val="231F20"/>
          <w:spacing w:val="-10"/>
        </w:rPr>
        <w:t> </w:t>
      </w:r>
      <w:r>
        <w:rPr>
          <w:color w:val="231F20"/>
        </w:rPr>
        <w:t>итд.</w:t>
      </w:r>
      <w:r>
        <w:rPr>
          <w:color w:val="231F20"/>
          <w:spacing w:val="-10"/>
        </w:rPr>
        <w:t> </w:t>
      </w:r>
      <w:r>
        <w:rPr>
          <w:color w:val="231F20"/>
        </w:rPr>
        <w:t>Поређењем резултата мерења емисије са дозвољеним граничним вредностима (ГВЕ) прописаним домаћом и </w:t>
      </w:r>
      <w:r>
        <w:rPr>
          <w:color w:val="231F20"/>
          <w:spacing w:val="-3"/>
        </w:rPr>
        <w:t>регулативом </w:t>
      </w:r>
      <w:r>
        <w:rPr>
          <w:color w:val="231F20"/>
        </w:rPr>
        <w:t>Европске уније, мо-  </w:t>
      </w:r>
      <w:r>
        <w:rPr>
          <w:color w:val="231F20"/>
          <w:position w:val="1"/>
        </w:rPr>
        <w:t>же</w:t>
      </w:r>
      <w:r>
        <w:rPr>
          <w:color w:val="231F20"/>
          <w:spacing w:val="12"/>
          <w:position w:val="1"/>
        </w:rPr>
        <w:t> </w:t>
      </w:r>
      <w:r>
        <w:rPr>
          <w:color w:val="231F20"/>
          <w:position w:val="1"/>
        </w:rPr>
        <w:t>се</w:t>
      </w:r>
      <w:r>
        <w:rPr>
          <w:color w:val="231F20"/>
          <w:spacing w:val="12"/>
          <w:position w:val="1"/>
        </w:rPr>
        <w:t> </w:t>
      </w:r>
      <w:r>
        <w:rPr>
          <w:color w:val="231F20"/>
          <w:position w:val="1"/>
        </w:rPr>
        <w:t>закључити</w:t>
      </w:r>
      <w:r>
        <w:rPr>
          <w:color w:val="231F20"/>
          <w:spacing w:val="12"/>
          <w:position w:val="1"/>
        </w:rPr>
        <w:t> </w:t>
      </w:r>
      <w:r>
        <w:rPr>
          <w:color w:val="231F20"/>
          <w:position w:val="1"/>
        </w:rPr>
        <w:t>да</w:t>
      </w:r>
      <w:r>
        <w:rPr>
          <w:color w:val="231F20"/>
          <w:spacing w:val="12"/>
          <w:position w:val="1"/>
        </w:rPr>
        <w:t> </w:t>
      </w:r>
      <w:r>
        <w:rPr>
          <w:color w:val="231F20"/>
          <w:position w:val="1"/>
        </w:rPr>
        <w:t>емисије</w:t>
      </w:r>
      <w:r>
        <w:rPr>
          <w:color w:val="231F20"/>
          <w:spacing w:val="12"/>
          <w:position w:val="1"/>
        </w:rPr>
        <w:t> </w:t>
      </w:r>
      <w:r>
        <w:rPr>
          <w:color w:val="231F20"/>
          <w:position w:val="1"/>
        </w:rPr>
        <w:t>SО</w:t>
      </w:r>
      <w:r>
        <w:rPr>
          <w:color w:val="231F20"/>
          <w:position w:val="-5"/>
          <w:sz w:val="10"/>
        </w:rPr>
        <w:t>2</w:t>
      </w:r>
      <w:r>
        <w:rPr>
          <w:color w:val="231F20"/>
        </w:rPr>
        <w:t>,</w:t>
      </w:r>
      <w:r>
        <w:rPr>
          <w:color w:val="231F20"/>
          <w:spacing w:val="12"/>
        </w:rPr>
        <w:t> </w:t>
      </w:r>
      <w:r>
        <w:rPr>
          <w:color w:val="231F20"/>
        </w:rPr>
        <w:t>Nox,</w:t>
      </w:r>
      <w:r>
        <w:rPr>
          <w:color w:val="231F20"/>
          <w:spacing w:val="12"/>
        </w:rPr>
        <w:t> </w:t>
      </w:r>
      <w:r>
        <w:rPr>
          <w:color w:val="231F20"/>
        </w:rPr>
        <w:t>CO</w:t>
      </w:r>
      <w:r>
        <w:rPr>
          <w:color w:val="231F20"/>
          <w:spacing w:val="12"/>
        </w:rPr>
        <w:t> </w:t>
      </w:r>
      <w:r>
        <w:rPr>
          <w:color w:val="231F20"/>
        </w:rPr>
        <w:t>и</w:t>
      </w:r>
      <w:r>
        <w:rPr>
          <w:color w:val="231F20"/>
          <w:spacing w:val="12"/>
        </w:rPr>
        <w:t> </w:t>
      </w:r>
      <w:r>
        <w:rPr>
          <w:color w:val="231F20"/>
        </w:rPr>
        <w:t>прашкастих</w:t>
      </w:r>
      <w:r>
        <w:rPr>
          <w:color w:val="231F20"/>
          <w:spacing w:val="12"/>
        </w:rPr>
        <w:t> </w:t>
      </w:r>
      <w:r>
        <w:rPr>
          <w:color w:val="231F20"/>
        </w:rPr>
        <w:t>матери-</w:t>
      </w:r>
    </w:p>
    <w:p>
      <w:pPr>
        <w:pStyle w:val="BodyText"/>
        <w:spacing w:line="156" w:lineRule="exact"/>
        <w:ind w:left="242"/>
        <w:jc w:val="left"/>
      </w:pPr>
      <w:r>
        <w:rPr>
          <w:color w:val="231F20"/>
        </w:rPr>
        <w:t>ја прекорачују дозвољене вредности. Посредством димних гасова</w:t>
      </w:r>
    </w:p>
    <w:p>
      <w:pPr>
        <w:pStyle w:val="BodyText"/>
        <w:spacing w:line="235" w:lineRule="auto" w:before="2"/>
        <w:ind w:left="242" w:right="127"/>
      </w:pPr>
      <w:r>
        <w:rPr>
          <w:color w:val="231F20"/>
        </w:rPr>
        <w:t>испушта се </w:t>
      </w:r>
      <w:r>
        <w:rPr>
          <w:color w:val="231F20"/>
          <w:spacing w:val="-4"/>
        </w:rPr>
        <w:t>око </w:t>
      </w:r>
      <w:r>
        <w:rPr>
          <w:color w:val="231F20"/>
        </w:rPr>
        <w:t>15% топлотне енергије ослобођене сагоревањем лигнита. </w:t>
      </w:r>
      <w:r>
        <w:rPr>
          <w:color w:val="231F20"/>
          <w:spacing w:val="-3"/>
        </w:rPr>
        <w:t>Преко </w:t>
      </w:r>
      <w:r>
        <w:rPr>
          <w:color w:val="231F20"/>
        </w:rPr>
        <w:t>расхладних торњева топлота се највећим делом испушта у виду водене паре, </w:t>
      </w:r>
      <w:r>
        <w:rPr>
          <w:color w:val="231F20"/>
          <w:spacing w:val="-3"/>
        </w:rPr>
        <w:t>тако </w:t>
      </w:r>
      <w:r>
        <w:rPr>
          <w:color w:val="231F20"/>
        </w:rPr>
        <w:t>што по једном kWh испарава 2 литра воде. Количина отпадне топлоте </w:t>
      </w:r>
      <w:r>
        <w:rPr>
          <w:color w:val="231F20"/>
          <w:spacing w:val="-3"/>
        </w:rPr>
        <w:t>која </w:t>
      </w:r>
      <w:r>
        <w:rPr>
          <w:color w:val="231F20"/>
        </w:rPr>
        <w:t>се из термоелектрана предаје </w:t>
      </w:r>
      <w:r>
        <w:rPr>
          <w:color w:val="231F20"/>
          <w:spacing w:val="-3"/>
        </w:rPr>
        <w:t>околини  </w:t>
      </w:r>
      <w:r>
        <w:rPr>
          <w:color w:val="231F20"/>
        </w:rPr>
        <w:t>износи  </w:t>
      </w:r>
      <w:r>
        <w:rPr>
          <w:color w:val="231F20"/>
          <w:spacing w:val="-4"/>
        </w:rPr>
        <w:t>око  </w:t>
      </w:r>
      <w:r>
        <w:rPr>
          <w:color w:val="231F20"/>
        </w:rPr>
        <w:t>40%. Термоелектране производе </w:t>
      </w:r>
      <w:r>
        <w:rPr>
          <w:color w:val="231F20"/>
          <w:spacing w:val="-4"/>
        </w:rPr>
        <w:t>око</w:t>
      </w:r>
    </w:p>
    <w:p>
      <w:pPr>
        <w:pStyle w:val="BodyText"/>
        <w:spacing w:line="235" w:lineRule="auto" w:before="1"/>
        <w:ind w:left="243" w:right="128"/>
        <w:jc w:val="left"/>
      </w:pPr>
      <w:r>
        <w:rPr>
          <w:color w:val="231F20"/>
        </w:rPr>
        <w:t>1.100 t индустријског отпада годишње, уз 95,5 до 135,5 t/h пепела и шљаке.</w:t>
      </w:r>
    </w:p>
    <w:p>
      <w:pPr>
        <w:pStyle w:val="BodyText"/>
        <w:spacing w:line="235" w:lineRule="auto"/>
        <w:ind w:left="243" w:right="126" w:firstLine="396"/>
      </w:pPr>
      <w:r>
        <w:rPr>
          <w:color w:val="231F20"/>
        </w:rPr>
        <w:t>Поред Пожаревца и Костолца </w:t>
      </w:r>
      <w:r>
        <w:rPr>
          <w:color w:val="231F20"/>
          <w:spacing w:val="-3"/>
        </w:rPr>
        <w:t>који </w:t>
      </w:r>
      <w:r>
        <w:rPr>
          <w:color w:val="231F20"/>
        </w:rPr>
        <w:t>представљају концентри- сане загађиваче, на </w:t>
      </w:r>
      <w:r>
        <w:rPr>
          <w:color w:val="231F20"/>
          <w:spacing w:val="-3"/>
        </w:rPr>
        <w:t>Планском </w:t>
      </w:r>
      <w:r>
        <w:rPr>
          <w:color w:val="231F20"/>
        </w:rPr>
        <w:t>подручју налази се 28 сеоских на- сеља са дифузним изворима загађивања, као што су домаћинства, локални саобраћај и неке услужне делатности. Најважнији </w:t>
      </w:r>
      <w:r>
        <w:rPr>
          <w:color w:val="231F20"/>
          <w:spacing w:val="-3"/>
        </w:rPr>
        <w:t>еколо- </w:t>
      </w:r>
      <w:r>
        <w:rPr>
          <w:color w:val="231F20"/>
        </w:rPr>
        <w:t>шки</w:t>
      </w:r>
      <w:r>
        <w:rPr>
          <w:color w:val="231F20"/>
          <w:spacing w:val="-7"/>
        </w:rPr>
        <w:t> </w:t>
      </w:r>
      <w:r>
        <w:rPr>
          <w:color w:val="231F20"/>
        </w:rPr>
        <w:t>проблеми</w:t>
      </w:r>
      <w:r>
        <w:rPr>
          <w:color w:val="231F20"/>
          <w:spacing w:val="-7"/>
        </w:rPr>
        <w:t> </w:t>
      </w:r>
      <w:r>
        <w:rPr>
          <w:color w:val="231F20"/>
        </w:rPr>
        <w:t>односе</w:t>
      </w:r>
      <w:r>
        <w:rPr>
          <w:color w:val="231F20"/>
          <w:spacing w:val="-7"/>
        </w:rPr>
        <w:t> </w:t>
      </w:r>
      <w:r>
        <w:rPr>
          <w:color w:val="231F20"/>
        </w:rPr>
        <w:t>се</w:t>
      </w:r>
      <w:r>
        <w:rPr>
          <w:color w:val="231F20"/>
          <w:spacing w:val="-7"/>
        </w:rPr>
        <w:t> </w:t>
      </w:r>
      <w:r>
        <w:rPr>
          <w:color w:val="231F20"/>
        </w:rPr>
        <w:t>на</w:t>
      </w:r>
      <w:r>
        <w:rPr>
          <w:color w:val="231F20"/>
          <w:spacing w:val="-7"/>
        </w:rPr>
        <w:t> </w:t>
      </w:r>
      <w:r>
        <w:rPr>
          <w:color w:val="231F20"/>
        </w:rPr>
        <w:t>загађивање</w:t>
      </w:r>
      <w:r>
        <w:rPr>
          <w:color w:val="231F20"/>
          <w:spacing w:val="-7"/>
        </w:rPr>
        <w:t> </w:t>
      </w:r>
      <w:r>
        <w:rPr>
          <w:color w:val="231F20"/>
        </w:rPr>
        <w:t>животне</w:t>
      </w:r>
      <w:r>
        <w:rPr>
          <w:color w:val="231F20"/>
          <w:spacing w:val="-7"/>
        </w:rPr>
        <w:t> </w:t>
      </w:r>
      <w:r>
        <w:rPr>
          <w:color w:val="231F20"/>
        </w:rPr>
        <w:t>средине</w:t>
      </w:r>
      <w:r>
        <w:rPr>
          <w:color w:val="231F20"/>
          <w:spacing w:val="-7"/>
        </w:rPr>
        <w:t> </w:t>
      </w:r>
      <w:r>
        <w:rPr>
          <w:color w:val="231F20"/>
        </w:rPr>
        <w:t>комунал- ним отпадним водама, комуналним чврстим отпадом и, у мањој мери, аерозагађење из малих локалних извора, односно домаћин- става у </w:t>
      </w:r>
      <w:r>
        <w:rPr>
          <w:color w:val="231F20"/>
          <w:spacing w:val="-3"/>
        </w:rPr>
        <w:t>зимском </w:t>
      </w:r>
      <w:r>
        <w:rPr>
          <w:color w:val="231F20"/>
        </w:rPr>
        <w:t>периоду (индивидуалне </w:t>
      </w:r>
      <w:r>
        <w:rPr>
          <w:color w:val="231F20"/>
          <w:spacing w:val="-3"/>
        </w:rPr>
        <w:t>котларнице </w:t>
      </w:r>
      <w:r>
        <w:rPr>
          <w:color w:val="231F20"/>
        </w:rPr>
        <w:t>и ложишта) и </w:t>
      </w:r>
      <w:r>
        <w:rPr>
          <w:color w:val="231F20"/>
          <w:spacing w:val="-3"/>
        </w:rPr>
        <w:t>од </w:t>
      </w:r>
      <w:r>
        <w:rPr>
          <w:color w:val="231F20"/>
        </w:rPr>
        <w:t>саобраћаја. У комуналне отпадне воде емитује се </w:t>
      </w:r>
      <w:r>
        <w:rPr>
          <w:color w:val="231F20"/>
          <w:spacing w:val="-4"/>
        </w:rPr>
        <w:t>око </w:t>
      </w:r>
      <w:r>
        <w:rPr>
          <w:color w:val="231F20"/>
        </w:rPr>
        <w:t>13,5 t за- гађења</w:t>
      </w:r>
      <w:r>
        <w:rPr>
          <w:color w:val="231F20"/>
          <w:spacing w:val="-7"/>
        </w:rPr>
        <w:t> </w:t>
      </w:r>
      <w:r>
        <w:rPr>
          <w:color w:val="231F20"/>
        </w:rPr>
        <w:t>(БПК5,</w:t>
      </w:r>
      <w:r>
        <w:rPr>
          <w:color w:val="231F20"/>
          <w:spacing w:val="-6"/>
        </w:rPr>
        <w:t> </w:t>
      </w:r>
      <w:r>
        <w:rPr>
          <w:color w:val="231F20"/>
        </w:rPr>
        <w:t>ХПК,</w:t>
      </w:r>
      <w:r>
        <w:rPr>
          <w:color w:val="231F20"/>
          <w:spacing w:val="-7"/>
        </w:rPr>
        <w:t> </w:t>
      </w:r>
      <w:r>
        <w:rPr>
          <w:color w:val="231F20"/>
        </w:rPr>
        <w:t>укупни</w:t>
      </w:r>
      <w:r>
        <w:rPr>
          <w:color w:val="231F20"/>
          <w:spacing w:val="-7"/>
        </w:rPr>
        <w:t> </w:t>
      </w:r>
      <w:r>
        <w:rPr>
          <w:color w:val="231F20"/>
        </w:rPr>
        <w:t>P</w:t>
      </w:r>
      <w:r>
        <w:rPr>
          <w:color w:val="231F20"/>
          <w:spacing w:val="-13"/>
        </w:rPr>
        <w:t> </w:t>
      </w:r>
      <w:r>
        <w:rPr>
          <w:color w:val="231F20"/>
        </w:rPr>
        <w:t>и</w:t>
      </w:r>
      <w:r>
        <w:rPr>
          <w:color w:val="231F20"/>
          <w:spacing w:val="-7"/>
        </w:rPr>
        <w:t> </w:t>
      </w:r>
      <w:r>
        <w:rPr>
          <w:color w:val="231F20"/>
        </w:rPr>
        <w:t>N)</w:t>
      </w:r>
      <w:r>
        <w:rPr>
          <w:color w:val="231F20"/>
          <w:spacing w:val="-7"/>
        </w:rPr>
        <w:t> </w:t>
      </w:r>
      <w:r>
        <w:rPr>
          <w:color w:val="231F20"/>
        </w:rPr>
        <w:t>дневно.</w:t>
      </w:r>
      <w:r>
        <w:rPr>
          <w:color w:val="231F20"/>
          <w:spacing w:val="-7"/>
        </w:rPr>
        <w:t> </w:t>
      </w:r>
      <w:r>
        <w:rPr>
          <w:color w:val="231F20"/>
          <w:spacing w:val="-4"/>
        </w:rPr>
        <w:t>Годишње</w:t>
      </w:r>
      <w:r>
        <w:rPr>
          <w:color w:val="231F20"/>
          <w:spacing w:val="-6"/>
        </w:rPr>
        <w:t> </w:t>
      </w:r>
      <w:r>
        <w:rPr>
          <w:color w:val="231F20"/>
        </w:rPr>
        <w:t>се</w:t>
      </w:r>
      <w:r>
        <w:rPr>
          <w:color w:val="231F20"/>
          <w:spacing w:val="-7"/>
        </w:rPr>
        <w:t> </w:t>
      </w:r>
      <w:r>
        <w:rPr>
          <w:color w:val="231F20"/>
        </w:rPr>
        <w:t>по</w:t>
      </w:r>
      <w:r>
        <w:rPr>
          <w:color w:val="231F20"/>
          <w:spacing w:val="-7"/>
        </w:rPr>
        <w:t> </w:t>
      </w:r>
      <w:r>
        <w:rPr>
          <w:color w:val="231F20"/>
        </w:rPr>
        <w:t>станов- нику прикупи </w:t>
      </w:r>
      <w:r>
        <w:rPr>
          <w:color w:val="231F20"/>
          <w:spacing w:val="-4"/>
        </w:rPr>
        <w:t>око </w:t>
      </w:r>
      <w:r>
        <w:rPr>
          <w:color w:val="231F20"/>
        </w:rPr>
        <w:t>700 kg комуналног отпада. Несортирани </w:t>
      </w:r>
      <w:r>
        <w:rPr>
          <w:color w:val="231F20"/>
          <w:spacing w:val="-3"/>
        </w:rPr>
        <w:t>кому- </w:t>
      </w:r>
      <w:r>
        <w:rPr>
          <w:color w:val="231F20"/>
        </w:rPr>
        <w:t>нални отпад се одлаже на градску депонију „Јеремино поље”, </w:t>
      </w:r>
      <w:r>
        <w:rPr>
          <w:color w:val="231F20"/>
          <w:spacing w:val="-3"/>
        </w:rPr>
        <w:t>која </w:t>
      </w:r>
      <w:r>
        <w:rPr>
          <w:color w:val="231F20"/>
        </w:rPr>
        <w:t>је у процесу контролисаног одлагања, санације и</w:t>
      </w:r>
      <w:r>
        <w:rPr>
          <w:color w:val="231F20"/>
          <w:spacing w:val="-32"/>
        </w:rPr>
        <w:t> </w:t>
      </w:r>
      <w:r>
        <w:rPr>
          <w:color w:val="231F20"/>
        </w:rPr>
        <w:t>рекултивације.</w:t>
      </w:r>
    </w:p>
    <w:p>
      <w:pPr>
        <w:pStyle w:val="BodyText"/>
        <w:spacing w:line="235" w:lineRule="auto" w:before="3"/>
        <w:ind w:left="244" w:right="126" w:firstLine="396"/>
      </w:pPr>
      <w:r>
        <w:rPr>
          <w:color w:val="231F20"/>
        </w:rPr>
        <w:t>У односу на утицај значајних извора загађења ваздуха (копо- ви, термоелектране, депоније) могу се утврдити три зоне.</w:t>
      </w:r>
    </w:p>
    <w:p>
      <w:pPr>
        <w:pStyle w:val="BodyText"/>
        <w:spacing w:line="235" w:lineRule="auto"/>
        <w:ind w:left="244" w:right="126" w:firstLine="397"/>
      </w:pPr>
      <w:r>
        <w:rPr>
          <w:color w:val="231F20"/>
        </w:rPr>
        <w:t>Зона I – ТЕ „Костолац А”, ТЕ „Костолац Б”, површински </w:t>
      </w:r>
      <w:r>
        <w:rPr>
          <w:color w:val="231F20"/>
          <w:spacing w:val="-4"/>
        </w:rPr>
        <w:t>коп </w:t>
      </w:r>
      <w:r>
        <w:rPr>
          <w:color w:val="231F20"/>
        </w:rPr>
        <w:t>угља „Дрмно” и депонија пепела и шљаке „Средње </w:t>
      </w:r>
      <w:r>
        <w:rPr>
          <w:color w:val="231F20"/>
          <w:spacing w:val="-4"/>
        </w:rPr>
        <w:t>костолачко </w:t>
      </w:r>
      <w:r>
        <w:rPr>
          <w:color w:val="231F20"/>
        </w:rPr>
        <w:t>острво”.</w:t>
      </w:r>
    </w:p>
    <w:p>
      <w:pPr>
        <w:pStyle w:val="BodyText"/>
        <w:spacing w:line="235" w:lineRule="auto" w:before="1"/>
        <w:ind w:left="244" w:right="125" w:firstLine="396"/>
      </w:pPr>
      <w:r>
        <w:rPr>
          <w:color w:val="231F20"/>
        </w:rPr>
        <w:t>Загађивање ваздуха суспендованим честицама и издувним гасовима из мотора рударских утоварних, транспортних и по- моћних машина везано је за емисије следећих гасова: угљенмо- ноксида (СО), угљендиоксида (СО</w:t>
      </w:r>
      <w:r>
        <w:rPr>
          <w:color w:val="231F20"/>
          <w:position w:val="-5"/>
          <w:sz w:val="10"/>
        </w:rPr>
        <w:t>2</w:t>
      </w:r>
      <w:r>
        <w:rPr>
          <w:color w:val="231F20"/>
        </w:rPr>
        <w:t>), азотних оксида (NОx), сум-</w:t>
      </w:r>
    </w:p>
    <w:p>
      <w:pPr>
        <w:pStyle w:val="BodyText"/>
        <w:spacing w:line="170" w:lineRule="auto"/>
        <w:ind w:left="242"/>
        <w:jc w:val="left"/>
      </w:pPr>
      <w:r>
        <w:rPr>
          <w:color w:val="231F20"/>
        </w:rPr>
        <w:t>пордиоксида (SО</w:t>
      </w:r>
      <w:r>
        <w:rPr>
          <w:color w:val="231F20"/>
          <w:position w:val="-5"/>
          <w:sz w:val="10"/>
        </w:rPr>
        <w:t>2</w:t>
      </w:r>
      <w:r>
        <w:rPr>
          <w:color w:val="231F20"/>
        </w:rPr>
        <w:t>), акролеина и друго. Депонија пепела и шљаке</w:t>
      </w:r>
    </w:p>
    <w:p>
      <w:pPr>
        <w:pStyle w:val="BodyText"/>
        <w:spacing w:line="182" w:lineRule="exact"/>
        <w:ind w:left="242"/>
        <w:jc w:val="left"/>
      </w:pPr>
      <w:r>
        <w:rPr>
          <w:color w:val="231F20"/>
        </w:rPr>
        <w:t>„Средње костолачко острво” представља секундарни извор емиси-</w:t>
      </w:r>
    </w:p>
    <w:p>
      <w:pPr>
        <w:pStyle w:val="BodyText"/>
        <w:spacing w:line="235" w:lineRule="auto"/>
        <w:ind w:left="242"/>
        <w:jc w:val="left"/>
      </w:pPr>
      <w:r>
        <w:rPr>
          <w:color w:val="231F20"/>
        </w:rPr>
        <w:t>је честица, услед развејавања честица пепела, при чему су угроже- на насеља Костолац, Костолац село, Кленовник, Дрмно и Петка.</w:t>
      </w:r>
    </w:p>
    <w:p>
      <w:pPr>
        <w:pStyle w:val="BodyText"/>
        <w:spacing w:line="202" w:lineRule="exact"/>
        <w:ind w:left="638"/>
        <w:jc w:val="left"/>
      </w:pPr>
      <w:r>
        <w:rPr>
          <w:color w:val="231F20"/>
        </w:rPr>
        <w:t>Зона II – насеља у непосредном окружењу извора загађења.</w:t>
      </w:r>
    </w:p>
    <w:p>
      <w:pPr>
        <w:pStyle w:val="BodyText"/>
        <w:spacing w:line="204" w:lineRule="exact"/>
        <w:ind w:left="241" w:right="128" w:firstLine="397"/>
      </w:pPr>
      <w:r>
        <w:rPr>
          <w:color w:val="231F20"/>
        </w:rPr>
        <w:t>У периоду 1998 – 2010. SО</w:t>
      </w:r>
      <w:r>
        <w:rPr>
          <w:color w:val="231F20"/>
          <w:position w:val="-5"/>
          <w:sz w:val="10"/>
        </w:rPr>
        <w:t>2 </w:t>
      </w:r>
      <w:r>
        <w:rPr>
          <w:color w:val="231F20"/>
        </w:rPr>
        <w:t>је био присутан у доста високим концентрацијама у </w:t>
      </w:r>
      <w:r>
        <w:rPr>
          <w:color w:val="231F20"/>
          <w:spacing w:val="-4"/>
        </w:rPr>
        <w:t>Костолцу, Острову, </w:t>
      </w:r>
      <w:r>
        <w:rPr>
          <w:color w:val="231F20"/>
          <w:spacing w:val="-3"/>
        </w:rPr>
        <w:t>Брадарцу, </w:t>
      </w:r>
      <w:r>
        <w:rPr>
          <w:color w:val="231F20"/>
          <w:spacing w:val="-4"/>
        </w:rPr>
        <w:t>Дрмну, </w:t>
      </w:r>
      <w:r>
        <w:rPr>
          <w:color w:val="231F20"/>
        </w:rPr>
        <w:t>Кленов- нику и Костолцу село, </w:t>
      </w:r>
      <w:r>
        <w:rPr>
          <w:color w:val="231F20"/>
          <w:spacing w:val="-4"/>
        </w:rPr>
        <w:t>где </w:t>
      </w:r>
      <w:r>
        <w:rPr>
          <w:color w:val="231F20"/>
        </w:rPr>
        <w:t>се јављао велики број дана са концен- трацијама изнад средње годишње вредности и концентрацијама изнад ГВИ за 24-часовно и месечно мерење. Повремена прекора- чења 24-часовне концентрације чађи јављају се у </w:t>
      </w:r>
      <w:r>
        <w:rPr>
          <w:color w:val="231F20"/>
          <w:spacing w:val="-4"/>
        </w:rPr>
        <w:t>Костолцу, </w:t>
      </w:r>
      <w:r>
        <w:rPr>
          <w:color w:val="231F20"/>
        </w:rPr>
        <w:t>Кле- </w:t>
      </w:r>
      <w:r>
        <w:rPr>
          <w:color w:val="231F20"/>
          <w:spacing w:val="-4"/>
        </w:rPr>
        <w:t>новнику, </w:t>
      </w:r>
      <w:r>
        <w:rPr>
          <w:color w:val="231F20"/>
        </w:rPr>
        <w:t>Дрмну и </w:t>
      </w:r>
      <w:r>
        <w:rPr>
          <w:color w:val="231F20"/>
          <w:spacing w:val="-3"/>
        </w:rPr>
        <w:t>Пожаревцу. </w:t>
      </w:r>
      <w:r>
        <w:rPr>
          <w:color w:val="231F20"/>
        </w:rPr>
        <w:t>Прекорачење ГВИ суспендованих честица јавља се у </w:t>
      </w:r>
      <w:r>
        <w:rPr>
          <w:color w:val="231F20"/>
          <w:spacing w:val="-3"/>
        </w:rPr>
        <w:t>Кленовнику, </w:t>
      </w:r>
      <w:r>
        <w:rPr>
          <w:color w:val="231F20"/>
          <w:spacing w:val="-4"/>
        </w:rPr>
        <w:t>Костолцу, </w:t>
      </w:r>
      <w:r>
        <w:rPr>
          <w:color w:val="231F20"/>
        </w:rPr>
        <w:t>Ћириковцу и Дрмну у </w:t>
      </w:r>
      <w:r>
        <w:rPr>
          <w:color w:val="231F20"/>
          <w:spacing w:val="-3"/>
        </w:rPr>
        <w:t>зимском </w:t>
      </w:r>
      <w:r>
        <w:rPr>
          <w:color w:val="231F20"/>
          <w:spacing w:val="-4"/>
        </w:rPr>
        <w:t>периоду. </w:t>
      </w:r>
      <w:r>
        <w:rPr>
          <w:color w:val="231F20"/>
        </w:rPr>
        <w:t>Повећане </w:t>
      </w:r>
      <w:r>
        <w:rPr>
          <w:color w:val="231F20"/>
          <w:spacing w:val="-3"/>
        </w:rPr>
        <w:t>количине </w:t>
      </w:r>
      <w:r>
        <w:rPr>
          <w:color w:val="231F20"/>
        </w:rPr>
        <w:t>укупних таложних материја претежно се јављају у Дрмну и </w:t>
      </w:r>
      <w:r>
        <w:rPr>
          <w:color w:val="231F20"/>
          <w:spacing w:val="-3"/>
        </w:rPr>
        <w:t>Брадарацу, </w:t>
      </w:r>
      <w:r>
        <w:rPr>
          <w:color w:val="231F20"/>
        </w:rPr>
        <w:t>а до повремених преко- рачења ГВИ долази у Старом Костолцу и </w:t>
      </w:r>
      <w:r>
        <w:rPr>
          <w:color w:val="231F20"/>
          <w:spacing w:val="-4"/>
        </w:rPr>
        <w:t>Костолцу, </w:t>
      </w:r>
      <w:r>
        <w:rPr>
          <w:color w:val="231F20"/>
        </w:rPr>
        <w:t>Кленовнику  и </w:t>
      </w:r>
      <w:r>
        <w:rPr>
          <w:color w:val="231F20"/>
          <w:spacing w:val="-4"/>
        </w:rPr>
        <w:t>Ћириковцу. </w:t>
      </w:r>
      <w:r>
        <w:rPr>
          <w:color w:val="231F20"/>
        </w:rPr>
        <w:t>Падавине са pH вредношћу испод 5,6 – тзв. „киселе кише”, у Костолцу падају 3 – 7 месеци</w:t>
      </w:r>
      <w:r>
        <w:rPr>
          <w:color w:val="231F20"/>
          <w:spacing w:val="-31"/>
        </w:rPr>
        <w:t> </w:t>
      </w:r>
      <w:r>
        <w:rPr>
          <w:color w:val="231F20"/>
        </w:rPr>
        <w:t>годишње.</w:t>
      </w:r>
    </w:p>
    <w:p>
      <w:pPr>
        <w:pStyle w:val="BodyText"/>
        <w:spacing w:line="188" w:lineRule="exact"/>
        <w:ind w:left="639"/>
        <w:jc w:val="left"/>
      </w:pPr>
      <w:r>
        <w:rPr>
          <w:color w:val="231F20"/>
        </w:rPr>
        <w:t>Зона III – простор у широј околини извора загађења.</w:t>
      </w:r>
    </w:p>
    <w:p>
      <w:pPr>
        <w:pStyle w:val="BodyText"/>
        <w:spacing w:line="204" w:lineRule="exact"/>
        <w:ind w:left="242" w:right="127" w:firstLine="396"/>
      </w:pPr>
      <w:r>
        <w:rPr>
          <w:color w:val="231F20"/>
        </w:rPr>
        <w:t>Прелиминарни резултати прорачуна имисије SО</w:t>
      </w:r>
      <w:r>
        <w:rPr>
          <w:color w:val="231F20"/>
          <w:position w:val="-5"/>
          <w:sz w:val="10"/>
        </w:rPr>
        <w:t>2 </w:t>
      </w:r>
      <w:r>
        <w:rPr>
          <w:color w:val="231F20"/>
        </w:rPr>
        <w:t>и NОх у ширем окружењу (Смедеревска Паланка, </w:t>
      </w:r>
      <w:r>
        <w:rPr>
          <w:color w:val="231F20"/>
          <w:spacing w:val="-3"/>
        </w:rPr>
        <w:t>Велико </w:t>
      </w:r>
      <w:r>
        <w:rPr>
          <w:color w:val="231F20"/>
        </w:rPr>
        <w:t>Градиште, Него- тин)</w:t>
      </w:r>
      <w:r>
        <w:rPr>
          <w:color w:val="231F20"/>
          <w:spacing w:val="-7"/>
        </w:rPr>
        <w:t> </w:t>
      </w:r>
      <w:r>
        <w:rPr>
          <w:color w:val="231F20"/>
        </w:rPr>
        <w:t>показују</w:t>
      </w:r>
      <w:r>
        <w:rPr>
          <w:color w:val="231F20"/>
          <w:spacing w:val="-7"/>
        </w:rPr>
        <w:t> </w:t>
      </w:r>
      <w:r>
        <w:rPr>
          <w:color w:val="231F20"/>
        </w:rPr>
        <w:t>да</w:t>
      </w:r>
      <w:r>
        <w:rPr>
          <w:color w:val="231F20"/>
          <w:spacing w:val="-7"/>
        </w:rPr>
        <w:t> </w:t>
      </w:r>
      <w:r>
        <w:rPr>
          <w:color w:val="231F20"/>
        </w:rPr>
        <w:t>постоји</w:t>
      </w:r>
      <w:r>
        <w:rPr>
          <w:color w:val="231F20"/>
          <w:spacing w:val="-7"/>
        </w:rPr>
        <w:t> </w:t>
      </w:r>
      <w:r>
        <w:rPr>
          <w:color w:val="231F20"/>
        </w:rPr>
        <w:t>известан</w:t>
      </w:r>
      <w:r>
        <w:rPr>
          <w:color w:val="231F20"/>
          <w:spacing w:val="-7"/>
        </w:rPr>
        <w:t> </w:t>
      </w:r>
      <w:r>
        <w:rPr>
          <w:color w:val="231F20"/>
        </w:rPr>
        <w:t>утицај</w:t>
      </w:r>
      <w:r>
        <w:rPr>
          <w:color w:val="231F20"/>
          <w:spacing w:val="-8"/>
        </w:rPr>
        <w:t> </w:t>
      </w:r>
      <w:r>
        <w:rPr>
          <w:color w:val="231F20"/>
        </w:rPr>
        <w:t>емисија</w:t>
      </w:r>
      <w:r>
        <w:rPr>
          <w:color w:val="231F20"/>
          <w:spacing w:val="-7"/>
        </w:rPr>
        <w:t> </w:t>
      </w:r>
      <w:r>
        <w:rPr>
          <w:color w:val="231F20"/>
        </w:rPr>
        <w:t>димних</w:t>
      </w:r>
      <w:r>
        <w:rPr>
          <w:color w:val="231F20"/>
          <w:spacing w:val="-7"/>
        </w:rPr>
        <w:t> </w:t>
      </w:r>
      <w:r>
        <w:rPr>
          <w:color w:val="231F20"/>
        </w:rPr>
        <w:t>гасова</w:t>
      </w:r>
      <w:r>
        <w:rPr>
          <w:color w:val="231F20"/>
          <w:spacing w:val="-7"/>
        </w:rPr>
        <w:t> </w:t>
      </w:r>
      <w:r>
        <w:rPr>
          <w:color w:val="231F20"/>
        </w:rPr>
        <w:t>из термоелектрана у </w:t>
      </w:r>
      <w:r>
        <w:rPr>
          <w:color w:val="231F20"/>
          <w:spacing w:val="-4"/>
        </w:rPr>
        <w:t>Костолцу, </w:t>
      </w:r>
      <w:r>
        <w:rPr>
          <w:color w:val="231F20"/>
        </w:rPr>
        <w:t>али да су имисије наведених гасова испод граничних</w:t>
      </w:r>
      <w:r>
        <w:rPr>
          <w:color w:val="231F20"/>
          <w:spacing w:val="-2"/>
        </w:rPr>
        <w:t> </w:t>
      </w:r>
      <w:r>
        <w:rPr>
          <w:color w:val="231F20"/>
        </w:rPr>
        <w:t>вредности.</w:t>
      </w:r>
    </w:p>
    <w:p>
      <w:pPr>
        <w:spacing w:after="0" w:line="204" w:lineRule="exact"/>
        <w:sectPr>
          <w:pgSz w:w="12480" w:h="15690"/>
          <w:pgMar w:top="120" w:bottom="280" w:left="680" w:right="720"/>
          <w:cols w:num="2" w:equalWidth="0">
            <w:col w:w="5558" w:space="40"/>
            <w:col w:w="5482"/>
          </w:cols>
        </w:sectPr>
      </w:pPr>
    </w:p>
    <w:p>
      <w:pPr>
        <w:pStyle w:val="BodyText"/>
        <w:spacing w:line="232" w:lineRule="auto" w:before="73"/>
        <w:ind w:right="39" w:firstLine="396"/>
      </w:pPr>
      <w:r>
        <w:rPr/>
        <w:pict>
          <v:line style="position:absolute;mso-position-horizontal-relative:page;mso-position-vertical-relative:page;z-index:1624" from="304.724396pt,11.942451pt" to="304.724396pt,748.950451pt" stroked="true" strokeweight=".6pt" strokecolor="#231f20">
            <v:stroke dashstyle="solid"/>
            <w10:wrap type="none"/>
          </v:line>
        </w:pict>
      </w:r>
      <w:r>
        <w:rPr>
          <w:color w:val="231F20"/>
        </w:rPr>
        <w:t>Захтевани квалитет воде реке Дунав је II класа. </w:t>
      </w:r>
      <w:r>
        <w:rPr>
          <w:color w:val="231F20"/>
          <w:spacing w:val="-3"/>
        </w:rPr>
        <w:t>Резултати </w:t>
      </w:r>
      <w:r>
        <w:rPr>
          <w:color w:val="231F20"/>
        </w:rPr>
        <w:t>мерења квалитета воде Дунава на најближим мерним станицама </w:t>
      </w:r>
      <w:r>
        <w:rPr>
          <w:color w:val="231F20"/>
          <w:spacing w:val="-4"/>
        </w:rPr>
        <w:t>РХМЗС </w:t>
      </w:r>
      <w:r>
        <w:rPr>
          <w:color w:val="231F20"/>
        </w:rPr>
        <w:t>у 2009. години показују да је стварни квалитет вода био у II/III класи на профилима Смедерево и Велико Градиште, а у Ба- </w:t>
      </w:r>
      <w:r>
        <w:rPr>
          <w:color w:val="231F20"/>
          <w:spacing w:val="-3"/>
        </w:rPr>
        <w:t>натској </w:t>
      </w:r>
      <w:r>
        <w:rPr>
          <w:color w:val="231F20"/>
        </w:rPr>
        <w:t>Паланци у III класи. Прописани квалитет воде Велике Мо- раве на профилу Љубичево је IIа. </w:t>
      </w:r>
      <w:r>
        <w:rPr>
          <w:color w:val="231F20"/>
          <w:spacing w:val="-4"/>
        </w:rPr>
        <w:t>Узводно </w:t>
      </w:r>
      <w:r>
        <w:rPr>
          <w:color w:val="231F20"/>
          <w:spacing w:val="-3"/>
        </w:rPr>
        <w:t>од </w:t>
      </w:r>
      <w:r>
        <w:rPr>
          <w:color w:val="231F20"/>
        </w:rPr>
        <w:t>профила Љубичево, Велика</w:t>
      </w:r>
      <w:r>
        <w:rPr>
          <w:color w:val="231F20"/>
          <w:spacing w:val="-6"/>
        </w:rPr>
        <w:t> </w:t>
      </w:r>
      <w:r>
        <w:rPr>
          <w:color w:val="231F20"/>
        </w:rPr>
        <w:t>Морава</w:t>
      </w:r>
      <w:r>
        <w:rPr>
          <w:color w:val="231F20"/>
          <w:spacing w:val="-6"/>
        </w:rPr>
        <w:t> </w:t>
      </w:r>
      <w:r>
        <w:rPr>
          <w:color w:val="231F20"/>
        </w:rPr>
        <w:t>има</w:t>
      </w:r>
      <w:r>
        <w:rPr>
          <w:color w:val="231F20"/>
          <w:spacing w:val="-6"/>
        </w:rPr>
        <w:t> </w:t>
      </w:r>
      <w:r>
        <w:rPr>
          <w:color w:val="231F20"/>
        </w:rPr>
        <w:t>III/IV</w:t>
      </w:r>
      <w:r>
        <w:rPr>
          <w:color w:val="231F20"/>
          <w:spacing w:val="-10"/>
        </w:rPr>
        <w:t> </w:t>
      </w:r>
      <w:r>
        <w:rPr>
          <w:color w:val="231F20"/>
          <w:spacing w:val="-4"/>
        </w:rPr>
        <w:t>класу,</w:t>
      </w:r>
      <w:r>
        <w:rPr>
          <w:color w:val="231F20"/>
          <w:spacing w:val="-6"/>
        </w:rPr>
        <w:t> </w:t>
      </w:r>
      <w:r>
        <w:rPr>
          <w:color w:val="231F20"/>
        </w:rPr>
        <w:t>а</w:t>
      </w:r>
      <w:r>
        <w:rPr>
          <w:color w:val="231F20"/>
          <w:spacing w:val="-6"/>
        </w:rPr>
        <w:t> </w:t>
      </w:r>
      <w:r>
        <w:rPr>
          <w:color w:val="231F20"/>
          <w:spacing w:val="-3"/>
        </w:rPr>
        <w:t>након</w:t>
      </w:r>
      <w:r>
        <w:rPr>
          <w:color w:val="231F20"/>
          <w:spacing w:val="-6"/>
        </w:rPr>
        <w:t> </w:t>
      </w:r>
      <w:r>
        <w:rPr>
          <w:color w:val="231F20"/>
        </w:rPr>
        <w:t>уливања</w:t>
      </w:r>
      <w:r>
        <w:rPr>
          <w:color w:val="231F20"/>
          <w:spacing w:val="-7"/>
        </w:rPr>
        <w:t> </w:t>
      </w:r>
      <w:r>
        <w:rPr>
          <w:color w:val="231F20"/>
        </w:rPr>
        <w:t>отпадних</w:t>
      </w:r>
      <w:r>
        <w:rPr>
          <w:color w:val="231F20"/>
          <w:spacing w:val="-6"/>
        </w:rPr>
        <w:t> </w:t>
      </w:r>
      <w:r>
        <w:rPr>
          <w:color w:val="231F20"/>
        </w:rPr>
        <w:t>вода</w:t>
      </w:r>
      <w:r>
        <w:rPr>
          <w:color w:val="231F20"/>
          <w:spacing w:val="-6"/>
        </w:rPr>
        <w:t> </w:t>
      </w:r>
      <w:r>
        <w:rPr>
          <w:color w:val="231F20"/>
        </w:rPr>
        <w:t>из Пожаревца</w:t>
      </w:r>
      <w:r>
        <w:rPr>
          <w:color w:val="231F20"/>
          <w:spacing w:val="-6"/>
        </w:rPr>
        <w:t> </w:t>
      </w:r>
      <w:r>
        <w:rPr>
          <w:color w:val="231F20"/>
        </w:rPr>
        <w:t>констатована</w:t>
      </w:r>
      <w:r>
        <w:rPr>
          <w:color w:val="231F20"/>
          <w:spacing w:val="-6"/>
        </w:rPr>
        <w:t> </w:t>
      </w:r>
      <w:r>
        <w:rPr>
          <w:color w:val="231F20"/>
        </w:rPr>
        <w:t>је</w:t>
      </w:r>
      <w:r>
        <w:rPr>
          <w:color w:val="231F20"/>
          <w:spacing w:val="-6"/>
        </w:rPr>
        <w:t> </w:t>
      </w:r>
      <w:r>
        <w:rPr>
          <w:color w:val="231F20"/>
        </w:rPr>
        <w:t>IV</w:t>
      </w:r>
      <w:r>
        <w:rPr>
          <w:color w:val="231F20"/>
          <w:spacing w:val="-9"/>
        </w:rPr>
        <w:t> </w:t>
      </w:r>
      <w:r>
        <w:rPr>
          <w:color w:val="231F20"/>
        </w:rPr>
        <w:t>класа</w:t>
      </w:r>
      <w:r>
        <w:rPr>
          <w:color w:val="231F20"/>
          <w:spacing w:val="-6"/>
        </w:rPr>
        <w:t> </w:t>
      </w:r>
      <w:r>
        <w:rPr>
          <w:color w:val="231F20"/>
        </w:rPr>
        <w:t>квалитета</w:t>
      </w:r>
      <w:r>
        <w:rPr>
          <w:color w:val="231F20"/>
          <w:spacing w:val="-6"/>
        </w:rPr>
        <w:t> </w:t>
      </w:r>
      <w:r>
        <w:rPr>
          <w:color w:val="231F20"/>
        </w:rPr>
        <w:t>воде</w:t>
      </w:r>
      <w:r>
        <w:rPr>
          <w:color w:val="231F20"/>
          <w:spacing w:val="-6"/>
        </w:rPr>
        <w:t> </w:t>
      </w:r>
      <w:r>
        <w:rPr>
          <w:color w:val="231F20"/>
        </w:rPr>
        <w:t>(са</w:t>
      </w:r>
      <w:r>
        <w:rPr>
          <w:color w:val="231F20"/>
          <w:spacing w:val="-6"/>
        </w:rPr>
        <w:t> </w:t>
      </w:r>
      <w:r>
        <w:rPr>
          <w:color w:val="231F20"/>
        </w:rPr>
        <w:t>процентом засићења кисеоником и концентрацијом бакра ван класе). Захте- вана класа Млаве је IIа, али су мерења на профилу Петровац </w:t>
      </w:r>
      <w:r>
        <w:rPr>
          <w:color w:val="231F20"/>
          <w:spacing w:val="-3"/>
        </w:rPr>
        <w:t>(око </w:t>
      </w:r>
      <w:r>
        <w:rPr>
          <w:color w:val="231F20"/>
        </w:rPr>
        <w:t>30 km узводно </w:t>
      </w:r>
      <w:r>
        <w:rPr>
          <w:color w:val="231F20"/>
          <w:spacing w:val="-3"/>
        </w:rPr>
        <w:t>од </w:t>
      </w:r>
      <w:r>
        <w:rPr>
          <w:color w:val="231F20"/>
        </w:rPr>
        <w:t>копова) показала да су у периоду 2006 – 2009. </w:t>
      </w:r>
      <w:r>
        <w:rPr>
          <w:color w:val="231F20"/>
          <w:spacing w:val="-3"/>
        </w:rPr>
        <w:t>године</w:t>
      </w:r>
      <w:r>
        <w:rPr>
          <w:color w:val="231F20"/>
          <w:spacing w:val="16"/>
        </w:rPr>
        <w:t> </w:t>
      </w:r>
      <w:r>
        <w:rPr>
          <w:color w:val="231F20"/>
        </w:rPr>
        <w:t>њена</w:t>
      </w:r>
      <w:r>
        <w:rPr>
          <w:color w:val="231F20"/>
          <w:spacing w:val="16"/>
        </w:rPr>
        <w:t> </w:t>
      </w:r>
      <w:r>
        <w:rPr>
          <w:color w:val="231F20"/>
        </w:rPr>
        <w:t>стварна</w:t>
      </w:r>
      <w:r>
        <w:rPr>
          <w:color w:val="231F20"/>
          <w:spacing w:val="16"/>
        </w:rPr>
        <w:t> </w:t>
      </w:r>
      <w:r>
        <w:rPr>
          <w:color w:val="231F20"/>
        </w:rPr>
        <w:t>класа</w:t>
      </w:r>
      <w:r>
        <w:rPr>
          <w:color w:val="231F20"/>
          <w:spacing w:val="16"/>
        </w:rPr>
        <w:t> </w:t>
      </w:r>
      <w:r>
        <w:rPr>
          <w:color w:val="231F20"/>
        </w:rPr>
        <w:t>била</w:t>
      </w:r>
      <w:r>
        <w:rPr>
          <w:color w:val="231F20"/>
          <w:spacing w:val="16"/>
        </w:rPr>
        <w:t> </w:t>
      </w:r>
      <w:r>
        <w:rPr>
          <w:color w:val="231F20"/>
        </w:rPr>
        <w:t>III,</w:t>
      </w:r>
      <w:r>
        <w:rPr>
          <w:color w:val="231F20"/>
          <w:spacing w:val="16"/>
        </w:rPr>
        <w:t> </w:t>
      </w:r>
      <w:r>
        <w:rPr>
          <w:color w:val="231F20"/>
        </w:rPr>
        <w:t>док</w:t>
      </w:r>
      <w:r>
        <w:rPr>
          <w:color w:val="231F20"/>
          <w:spacing w:val="16"/>
        </w:rPr>
        <w:t> </w:t>
      </w:r>
      <w:r>
        <w:rPr>
          <w:color w:val="231F20"/>
        </w:rPr>
        <w:t>су</w:t>
      </w:r>
      <w:r>
        <w:rPr>
          <w:color w:val="231F20"/>
          <w:spacing w:val="16"/>
        </w:rPr>
        <w:t> </w:t>
      </w:r>
      <w:r>
        <w:rPr>
          <w:color w:val="231F20"/>
        </w:rPr>
        <w:t>вредности</w:t>
      </w:r>
      <w:r>
        <w:rPr>
          <w:color w:val="231F20"/>
          <w:spacing w:val="16"/>
        </w:rPr>
        <w:t> </w:t>
      </w:r>
      <w:r>
        <w:rPr>
          <w:color w:val="231F20"/>
        </w:rPr>
        <w:t>нитритног</w:t>
      </w:r>
    </w:p>
    <w:p>
      <w:pPr>
        <w:pStyle w:val="BodyText"/>
        <w:spacing w:line="211" w:lineRule="auto" w:before="9"/>
        <w:ind w:right="39"/>
      </w:pPr>
      <w:r>
        <w:rPr>
          <w:color w:val="231F20"/>
        </w:rPr>
        <w:t>азота (NO</w:t>
      </w:r>
      <w:r>
        <w:rPr>
          <w:color w:val="231F20"/>
          <w:position w:val="-5"/>
          <w:sz w:val="10"/>
        </w:rPr>
        <w:t>2</w:t>
      </w:r>
      <w:r>
        <w:rPr>
          <w:color w:val="231F20"/>
        </w:rPr>
        <w:t>-N) и суспендоване честице повремено биле ван класе. Од опасних и штетних материја на појединим профилима реги- строване су повишене вредности гвожђа (Fe) и мангана (Mn). Са-</w:t>
      </w:r>
    </w:p>
    <w:p>
      <w:pPr>
        <w:pStyle w:val="BodyText"/>
        <w:spacing w:line="232" w:lineRule="auto" w:before="2"/>
        <w:ind w:right="39"/>
      </w:pPr>
      <w:r>
        <w:rPr>
          <w:color w:val="231F20"/>
        </w:rPr>
        <w:t>пробиолошком анализом заједнице водених макробескичмењака 2009. </w:t>
      </w:r>
      <w:r>
        <w:rPr>
          <w:color w:val="231F20"/>
          <w:spacing w:val="-3"/>
        </w:rPr>
        <w:t>године </w:t>
      </w:r>
      <w:r>
        <w:rPr>
          <w:color w:val="231F20"/>
        </w:rPr>
        <w:t>констатовано је присуство </w:t>
      </w:r>
      <w:r>
        <w:rPr>
          <w:color w:val="231F20"/>
          <w:spacing w:val="-3"/>
        </w:rPr>
        <w:t>јаког </w:t>
      </w:r>
      <w:r>
        <w:rPr>
          <w:color w:val="231F20"/>
        </w:rPr>
        <w:t>органског загађења водотока. Физичко-хемијске анализе узорака прелива дренажне воде </w:t>
      </w:r>
      <w:r>
        <w:rPr>
          <w:color w:val="231F20"/>
          <w:spacing w:val="-3"/>
        </w:rPr>
        <w:t>копа </w:t>
      </w:r>
      <w:r>
        <w:rPr>
          <w:color w:val="231F20"/>
        </w:rPr>
        <w:t>„Дрмно” показују да су </w:t>
      </w:r>
      <w:r>
        <w:rPr>
          <w:color w:val="231F20"/>
          <w:spacing w:val="-3"/>
        </w:rPr>
        <w:t>главни </w:t>
      </w:r>
      <w:r>
        <w:rPr>
          <w:color w:val="231F20"/>
        </w:rPr>
        <w:t>параметри </w:t>
      </w:r>
      <w:r>
        <w:rPr>
          <w:color w:val="231F20"/>
          <w:spacing w:val="-3"/>
        </w:rPr>
        <w:t>који </w:t>
      </w:r>
      <w:r>
        <w:rPr>
          <w:color w:val="231F20"/>
        </w:rPr>
        <w:t>не задо- вољавају захтевани квалитет воде у Млави минерална уља, фено- ли</w:t>
      </w:r>
      <w:r>
        <w:rPr>
          <w:color w:val="231F20"/>
          <w:spacing w:val="-11"/>
        </w:rPr>
        <w:t> </w:t>
      </w:r>
      <w:r>
        <w:rPr>
          <w:color w:val="231F20"/>
        </w:rPr>
        <w:t>и</w:t>
      </w:r>
      <w:r>
        <w:rPr>
          <w:color w:val="231F20"/>
          <w:spacing w:val="-11"/>
        </w:rPr>
        <w:t> </w:t>
      </w:r>
      <w:r>
        <w:rPr>
          <w:color w:val="231F20"/>
        </w:rPr>
        <w:t>биолошка</w:t>
      </w:r>
      <w:r>
        <w:rPr>
          <w:color w:val="231F20"/>
          <w:spacing w:val="-11"/>
        </w:rPr>
        <w:t> </w:t>
      </w:r>
      <w:r>
        <w:rPr>
          <w:color w:val="231F20"/>
        </w:rPr>
        <w:t>потрошња</w:t>
      </w:r>
      <w:r>
        <w:rPr>
          <w:color w:val="231F20"/>
          <w:spacing w:val="-11"/>
        </w:rPr>
        <w:t> </w:t>
      </w:r>
      <w:r>
        <w:rPr>
          <w:color w:val="231F20"/>
        </w:rPr>
        <w:t>кисеоника.</w:t>
      </w:r>
      <w:r>
        <w:rPr>
          <w:color w:val="231F20"/>
          <w:spacing w:val="-11"/>
        </w:rPr>
        <w:t> </w:t>
      </w:r>
      <w:r>
        <w:rPr>
          <w:color w:val="231F20"/>
        </w:rPr>
        <w:t>Употребљене</w:t>
      </w:r>
      <w:r>
        <w:rPr>
          <w:color w:val="231F20"/>
          <w:spacing w:val="-11"/>
        </w:rPr>
        <w:t> </w:t>
      </w:r>
      <w:r>
        <w:rPr>
          <w:color w:val="231F20"/>
        </w:rPr>
        <w:t>расхладне</w:t>
      </w:r>
      <w:r>
        <w:rPr>
          <w:color w:val="231F20"/>
          <w:spacing w:val="-11"/>
        </w:rPr>
        <w:t> </w:t>
      </w:r>
      <w:r>
        <w:rPr>
          <w:color w:val="231F20"/>
        </w:rPr>
        <w:t>воде из ТЕ „Костолац Б” испуштају се у Млаву и Дунав, али не доводе до знатнијег пораста температуре (низводно </w:t>
      </w:r>
      <w:r>
        <w:rPr>
          <w:color w:val="231F20"/>
          <w:spacing w:val="-3"/>
        </w:rPr>
        <w:t>од улива </w:t>
      </w:r>
      <w:r>
        <w:rPr>
          <w:color w:val="231F20"/>
        </w:rPr>
        <w:t>температура Млаве се у просеку повећала за 1ºС, а </w:t>
      </w:r>
      <w:r>
        <w:rPr>
          <w:color w:val="231F20"/>
          <w:spacing w:val="-3"/>
        </w:rPr>
        <w:t>након улива </w:t>
      </w:r>
      <w:r>
        <w:rPr>
          <w:color w:val="231F20"/>
        </w:rPr>
        <w:t>Млаве у Дунав температура воде у Дунаву се није</w:t>
      </w:r>
      <w:r>
        <w:rPr>
          <w:color w:val="231F20"/>
          <w:spacing w:val="-7"/>
        </w:rPr>
        <w:t> </w:t>
      </w:r>
      <w:r>
        <w:rPr>
          <w:color w:val="231F20"/>
        </w:rPr>
        <w:t>променила).</w:t>
      </w:r>
    </w:p>
    <w:p>
      <w:pPr>
        <w:pStyle w:val="BodyText"/>
        <w:spacing w:line="232" w:lineRule="auto"/>
        <w:ind w:right="39" w:firstLine="397"/>
      </w:pPr>
      <w:r>
        <w:rPr>
          <w:color w:val="231F20"/>
        </w:rPr>
        <w:t>Подземне воде у </w:t>
      </w:r>
      <w:r>
        <w:rPr>
          <w:color w:val="231F20"/>
          <w:spacing w:val="-3"/>
        </w:rPr>
        <w:t>околини </w:t>
      </w:r>
      <w:r>
        <w:rPr>
          <w:color w:val="231F20"/>
        </w:rPr>
        <w:t>депоније пепела карактерише по- већана минерализација (повећана тврдоћа воде, садржај сулфата, и друго) и повећан садржај чврстих супстанци, масти, уља и α и  β</w:t>
      </w:r>
      <w:r>
        <w:rPr>
          <w:color w:val="231F20"/>
          <w:spacing w:val="25"/>
        </w:rPr>
        <w:t> </w:t>
      </w:r>
      <w:r>
        <w:rPr>
          <w:color w:val="231F20"/>
        </w:rPr>
        <w:t>радиоактивних</w:t>
      </w:r>
      <w:r>
        <w:rPr>
          <w:color w:val="231F20"/>
          <w:spacing w:val="25"/>
        </w:rPr>
        <w:t> </w:t>
      </w:r>
      <w:r>
        <w:rPr>
          <w:color w:val="231F20"/>
        </w:rPr>
        <w:t>емитера.</w:t>
      </w:r>
      <w:r>
        <w:rPr>
          <w:color w:val="231F20"/>
          <w:spacing w:val="25"/>
        </w:rPr>
        <w:t> </w:t>
      </w:r>
      <w:r>
        <w:rPr>
          <w:color w:val="231F20"/>
        </w:rPr>
        <w:t>Отпадне</w:t>
      </w:r>
      <w:r>
        <w:rPr>
          <w:color w:val="231F20"/>
          <w:spacing w:val="25"/>
        </w:rPr>
        <w:t> </w:t>
      </w:r>
      <w:r>
        <w:rPr>
          <w:color w:val="231F20"/>
        </w:rPr>
        <w:t>воде</w:t>
      </w:r>
      <w:r>
        <w:rPr>
          <w:color w:val="231F20"/>
          <w:spacing w:val="25"/>
        </w:rPr>
        <w:t> </w:t>
      </w:r>
      <w:r>
        <w:rPr>
          <w:color w:val="231F20"/>
        </w:rPr>
        <w:t>са</w:t>
      </w:r>
      <w:r>
        <w:rPr>
          <w:color w:val="231F20"/>
          <w:spacing w:val="25"/>
        </w:rPr>
        <w:t> </w:t>
      </w:r>
      <w:r>
        <w:rPr>
          <w:color w:val="231F20"/>
        </w:rPr>
        <w:t>депоније</w:t>
      </w:r>
      <w:r>
        <w:rPr>
          <w:color w:val="231F20"/>
          <w:spacing w:val="25"/>
        </w:rPr>
        <w:t> </w:t>
      </w:r>
      <w:r>
        <w:rPr>
          <w:color w:val="231F20"/>
        </w:rPr>
        <w:t>повећавају</w:t>
      </w:r>
    </w:p>
    <w:p>
      <w:pPr>
        <w:pStyle w:val="BodyText"/>
        <w:spacing w:line="211" w:lineRule="auto" w:before="9"/>
        <w:ind w:right="39"/>
      </w:pPr>
      <w:r>
        <w:rPr>
          <w:color w:val="231F20"/>
        </w:rPr>
        <w:t>концентрације SO</w:t>
      </w:r>
      <w:r>
        <w:rPr>
          <w:color w:val="231F20"/>
          <w:position w:val="-5"/>
          <w:sz w:val="10"/>
        </w:rPr>
        <w:t>4</w:t>
      </w:r>
      <w:r>
        <w:rPr>
          <w:color w:val="231F20"/>
        </w:rPr>
        <w:t>, калцијума, магнезијума, гвожђа, цинка, мине- ралних уља и арсена у подземним водама. У бактериолошком по- </w:t>
      </w:r>
      <w:r>
        <w:rPr>
          <w:color w:val="231F20"/>
          <w:spacing w:val="-6"/>
        </w:rPr>
        <w:t>гледу, </w:t>
      </w:r>
      <w:r>
        <w:rPr>
          <w:color w:val="231F20"/>
        </w:rPr>
        <w:t>у подземним водама су идентификоване аеробне мезофилне</w:t>
      </w:r>
    </w:p>
    <w:p>
      <w:pPr>
        <w:pStyle w:val="BodyText"/>
        <w:spacing w:line="232" w:lineRule="auto" w:before="2"/>
        <w:ind w:right="39"/>
      </w:pPr>
      <w:r>
        <w:rPr>
          <w:color w:val="231F20"/>
        </w:rPr>
        <w:t>бактерије,</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колиформне</w:t>
      </w:r>
      <w:r>
        <w:rPr>
          <w:color w:val="231F20"/>
          <w:spacing w:val="-5"/>
        </w:rPr>
        <w:t> </w:t>
      </w:r>
      <w:r>
        <w:rPr>
          <w:color w:val="231F20"/>
        </w:rPr>
        <w:t>бактерије,</w:t>
      </w:r>
      <w:r>
        <w:rPr>
          <w:color w:val="231F20"/>
          <w:spacing w:val="-5"/>
        </w:rPr>
        <w:t> </w:t>
      </w:r>
      <w:r>
        <w:rPr>
          <w:color w:val="231F20"/>
        </w:rPr>
        <w:t>али</w:t>
      </w:r>
      <w:r>
        <w:rPr>
          <w:color w:val="231F20"/>
          <w:spacing w:val="-5"/>
        </w:rPr>
        <w:t> </w:t>
      </w:r>
      <w:r>
        <w:rPr>
          <w:color w:val="231F20"/>
        </w:rPr>
        <w:t>у</w:t>
      </w:r>
      <w:r>
        <w:rPr>
          <w:color w:val="231F20"/>
          <w:spacing w:val="-5"/>
        </w:rPr>
        <w:t> </w:t>
      </w:r>
      <w:r>
        <w:rPr>
          <w:color w:val="231F20"/>
        </w:rPr>
        <w:t>броју</w:t>
      </w:r>
      <w:r>
        <w:rPr>
          <w:color w:val="231F20"/>
          <w:spacing w:val="-5"/>
        </w:rPr>
        <w:t> </w:t>
      </w:r>
      <w:r>
        <w:rPr>
          <w:color w:val="231F20"/>
          <w:spacing w:val="-3"/>
        </w:rPr>
        <w:t>који</w:t>
      </w:r>
      <w:r>
        <w:rPr>
          <w:color w:val="231F20"/>
          <w:spacing w:val="-5"/>
        </w:rPr>
        <w:t> </w:t>
      </w:r>
      <w:r>
        <w:rPr>
          <w:color w:val="231F20"/>
        </w:rPr>
        <w:t>задовоља- ва прописане</w:t>
      </w:r>
      <w:r>
        <w:rPr>
          <w:color w:val="231F20"/>
          <w:spacing w:val="-2"/>
        </w:rPr>
        <w:t> </w:t>
      </w:r>
      <w:r>
        <w:rPr>
          <w:color w:val="231F20"/>
        </w:rPr>
        <w:t>норме.</w:t>
      </w:r>
    </w:p>
    <w:p>
      <w:pPr>
        <w:pStyle w:val="BodyText"/>
        <w:spacing w:line="232" w:lineRule="auto"/>
        <w:ind w:right="38" w:firstLine="396"/>
      </w:pPr>
      <w:r>
        <w:rPr>
          <w:color w:val="231F20"/>
        </w:rPr>
        <w:t>До највећег загађења земљишта долази у непосредној бли- зини извора загађења (површински копови, термоелектране,</w:t>
      </w:r>
      <w:r>
        <w:rPr>
          <w:color w:val="231F20"/>
          <w:spacing w:val="-29"/>
        </w:rPr>
        <w:t> </w:t>
      </w:r>
      <w:r>
        <w:rPr>
          <w:color w:val="231F20"/>
        </w:rPr>
        <w:t>депо- нија шљаке и пепела, депоније комуналног отпада и друго) због директне контаминације штетним  честицама,  отпадним  водама и штетним гасовима. Утврђено је присуство арсена, олова и кад- мијума. Концентрација никла је у 2/3 (2009), односно 85% (2010) анализираних узорака премашивала граничну вредност. У мањем броју</w:t>
      </w:r>
      <w:r>
        <w:rPr>
          <w:color w:val="231F20"/>
          <w:spacing w:val="-5"/>
        </w:rPr>
        <w:t> </w:t>
      </w:r>
      <w:r>
        <w:rPr>
          <w:color w:val="231F20"/>
        </w:rPr>
        <w:t>узорака</w:t>
      </w:r>
      <w:r>
        <w:rPr>
          <w:color w:val="231F20"/>
          <w:spacing w:val="-5"/>
        </w:rPr>
        <w:t> </w:t>
      </w:r>
      <w:r>
        <w:rPr>
          <w:color w:val="231F20"/>
        </w:rPr>
        <w:t>нађене</w:t>
      </w:r>
      <w:r>
        <w:rPr>
          <w:color w:val="231F20"/>
          <w:spacing w:val="-5"/>
        </w:rPr>
        <w:t> </w:t>
      </w:r>
      <w:r>
        <w:rPr>
          <w:color w:val="231F20"/>
        </w:rPr>
        <w:t>су</w:t>
      </w:r>
      <w:r>
        <w:rPr>
          <w:color w:val="231F20"/>
          <w:spacing w:val="-5"/>
        </w:rPr>
        <w:t> </w:t>
      </w:r>
      <w:r>
        <w:rPr>
          <w:color w:val="231F20"/>
        </w:rPr>
        <w:t>повећане</w:t>
      </w:r>
      <w:r>
        <w:rPr>
          <w:color w:val="231F20"/>
          <w:spacing w:val="-5"/>
        </w:rPr>
        <w:t> </w:t>
      </w:r>
      <w:r>
        <w:rPr>
          <w:color w:val="231F20"/>
        </w:rPr>
        <w:t>вредности</w:t>
      </w:r>
      <w:r>
        <w:rPr>
          <w:color w:val="231F20"/>
          <w:spacing w:val="-5"/>
        </w:rPr>
        <w:t> </w:t>
      </w:r>
      <w:r>
        <w:rPr>
          <w:color w:val="231F20"/>
        </w:rPr>
        <w:t>других</w:t>
      </w:r>
      <w:r>
        <w:rPr>
          <w:color w:val="231F20"/>
          <w:spacing w:val="-5"/>
        </w:rPr>
        <w:t> </w:t>
      </w:r>
      <w:r>
        <w:rPr>
          <w:color w:val="231F20"/>
        </w:rPr>
        <w:t>метала</w:t>
      </w:r>
      <w:r>
        <w:rPr>
          <w:color w:val="231F20"/>
          <w:spacing w:val="-5"/>
        </w:rPr>
        <w:t> </w:t>
      </w:r>
      <w:r>
        <w:rPr>
          <w:color w:val="231F20"/>
        </w:rPr>
        <w:t>(бакар, цинк</w:t>
      </w:r>
      <w:r>
        <w:rPr>
          <w:color w:val="231F20"/>
          <w:spacing w:val="-11"/>
        </w:rPr>
        <w:t> </w:t>
      </w:r>
      <w:r>
        <w:rPr>
          <w:color w:val="231F20"/>
        </w:rPr>
        <w:t>и</w:t>
      </w:r>
      <w:r>
        <w:rPr>
          <w:color w:val="231F20"/>
          <w:spacing w:val="-11"/>
        </w:rPr>
        <w:t> </w:t>
      </w:r>
      <w:r>
        <w:rPr>
          <w:color w:val="231F20"/>
        </w:rPr>
        <w:t>олово)</w:t>
      </w:r>
      <w:r>
        <w:rPr>
          <w:color w:val="231F20"/>
          <w:spacing w:val="-11"/>
        </w:rPr>
        <w:t> </w:t>
      </w:r>
      <w:r>
        <w:rPr>
          <w:color w:val="231F20"/>
        </w:rPr>
        <w:t>и</w:t>
      </w:r>
      <w:r>
        <w:rPr>
          <w:color w:val="231F20"/>
          <w:spacing w:val="-11"/>
        </w:rPr>
        <w:t> </w:t>
      </w:r>
      <w:r>
        <w:rPr>
          <w:color w:val="231F20"/>
        </w:rPr>
        <w:t>органских</w:t>
      </w:r>
      <w:r>
        <w:rPr>
          <w:color w:val="231F20"/>
          <w:spacing w:val="-11"/>
        </w:rPr>
        <w:t> </w:t>
      </w:r>
      <w:r>
        <w:rPr>
          <w:color w:val="231F20"/>
        </w:rPr>
        <w:t>загађивача</w:t>
      </w:r>
      <w:r>
        <w:rPr>
          <w:color w:val="231F20"/>
          <w:spacing w:val="-11"/>
        </w:rPr>
        <w:t> </w:t>
      </w:r>
      <w:r>
        <w:rPr>
          <w:color w:val="231F20"/>
        </w:rPr>
        <w:t>(индекс</w:t>
      </w:r>
      <w:r>
        <w:rPr>
          <w:color w:val="231F20"/>
          <w:spacing w:val="-11"/>
        </w:rPr>
        <w:t> </w:t>
      </w:r>
      <w:r>
        <w:rPr>
          <w:color w:val="231F20"/>
        </w:rPr>
        <w:t>угљоводоника,</w:t>
      </w:r>
      <w:r>
        <w:rPr>
          <w:color w:val="231F20"/>
          <w:spacing w:val="-11"/>
        </w:rPr>
        <w:t> </w:t>
      </w:r>
      <w:r>
        <w:rPr>
          <w:color w:val="231F20"/>
          <w:spacing w:val="-5"/>
        </w:rPr>
        <w:t>PAU, </w:t>
      </w:r>
      <w:r>
        <w:rPr>
          <w:color w:val="231F20"/>
        </w:rPr>
        <w:t>DDT и PCB). Висока концентрација цинка на локацији Пругово – Пољана „Црепана” захтева примену ремедијационих поступака  за </w:t>
      </w:r>
      <w:r>
        <w:rPr>
          <w:color w:val="231F20"/>
          <w:spacing w:val="-3"/>
        </w:rPr>
        <w:t>санацију. </w:t>
      </w:r>
      <w:r>
        <w:rPr>
          <w:color w:val="231F20"/>
        </w:rPr>
        <w:t>У оквиру зоне санитарне заштите водоизворишта, у </w:t>
      </w:r>
      <w:r>
        <w:rPr>
          <w:color w:val="231F20"/>
          <w:spacing w:val="-3"/>
        </w:rPr>
        <w:t>великом </w:t>
      </w:r>
      <w:r>
        <w:rPr>
          <w:color w:val="231F20"/>
        </w:rPr>
        <w:t>броју узорака регистровано је повећање садржаја никла, понегде индекса угљоводоника и бакра. Садржај природних ради- онуклида у пепелу и шљаци је повећан у односу на просечно зе- мљиште, што не утиче значајно на повећање интерне и екстерне експозиције. На депонијама нису детектовани вештачки радиону- клиди </w:t>
      </w:r>
      <w:r>
        <w:rPr>
          <w:color w:val="231F20"/>
          <w:spacing w:val="-3"/>
        </w:rPr>
        <w:t>кратког </w:t>
      </w:r>
      <w:r>
        <w:rPr>
          <w:color w:val="231F20"/>
        </w:rPr>
        <w:t>и средњег времена</w:t>
      </w:r>
      <w:r>
        <w:rPr>
          <w:color w:val="231F20"/>
          <w:spacing w:val="-2"/>
        </w:rPr>
        <w:t> </w:t>
      </w:r>
      <w:r>
        <w:rPr>
          <w:color w:val="231F20"/>
        </w:rPr>
        <w:t>полураспада.</w:t>
      </w:r>
    </w:p>
    <w:p>
      <w:pPr>
        <w:pStyle w:val="BodyText"/>
        <w:spacing w:line="232" w:lineRule="auto"/>
        <w:ind w:left="172" w:right="38" w:firstLine="396"/>
      </w:pPr>
      <w:r>
        <w:rPr>
          <w:color w:val="231F20"/>
        </w:rPr>
        <w:t>Процена нивоа буке за рецепторе удаљене до 1.000 m од по- вршинског копа Дрмно, у насељима Дрмно, Брадарац и Кличевац, показује да нивои буке не прелазе дозвољене вредности за групу пословно-стамбених подручја (50/60 dB), осим на источном и се- верном ободу насеља Дрмно.</w:t>
      </w:r>
    </w:p>
    <w:p>
      <w:pPr>
        <w:pStyle w:val="ListParagraph"/>
        <w:numPr>
          <w:ilvl w:val="2"/>
          <w:numId w:val="19"/>
        </w:numPr>
        <w:tabs>
          <w:tab w:pos="1804" w:val="left" w:leader="none"/>
        </w:tabs>
        <w:spacing w:line="240" w:lineRule="auto" w:before="163" w:after="0"/>
        <w:ind w:left="1803" w:right="0" w:hanging="450"/>
        <w:jc w:val="left"/>
        <w:rPr>
          <w:sz w:val="18"/>
        </w:rPr>
      </w:pPr>
      <w:r>
        <w:rPr>
          <w:color w:val="231F20"/>
          <w:spacing w:val="16"/>
          <w:sz w:val="18"/>
        </w:rPr>
        <w:t>Рекултивација </w:t>
      </w:r>
      <w:r>
        <w:rPr>
          <w:color w:val="231F20"/>
          <w:spacing w:val="12"/>
          <w:sz w:val="18"/>
        </w:rPr>
        <w:t>про</w:t>
      </w:r>
      <w:r>
        <w:rPr>
          <w:color w:val="231F20"/>
          <w:spacing w:val="8"/>
          <w:sz w:val="18"/>
        </w:rPr>
        <w:t> </w:t>
      </w:r>
      <w:r>
        <w:rPr>
          <w:color w:val="231F20"/>
          <w:spacing w:val="15"/>
          <w:sz w:val="18"/>
        </w:rPr>
        <w:t>стора</w:t>
      </w:r>
    </w:p>
    <w:p>
      <w:pPr>
        <w:pStyle w:val="BodyText"/>
        <w:spacing w:before="3"/>
        <w:ind w:left="0"/>
        <w:jc w:val="left"/>
        <w:rPr>
          <w:sz w:val="17"/>
        </w:rPr>
      </w:pPr>
    </w:p>
    <w:p>
      <w:pPr>
        <w:pStyle w:val="BodyText"/>
        <w:spacing w:line="232" w:lineRule="auto" w:before="1"/>
        <w:ind w:left="171" w:right="38" w:firstLine="397"/>
      </w:pPr>
      <w:r>
        <w:rPr>
          <w:color w:val="231F20"/>
        </w:rPr>
        <w:t>До 2010. </w:t>
      </w:r>
      <w:r>
        <w:rPr>
          <w:color w:val="231F20"/>
          <w:spacing w:val="-3"/>
        </w:rPr>
        <w:t>године </w:t>
      </w:r>
      <w:r>
        <w:rPr>
          <w:color w:val="231F20"/>
        </w:rPr>
        <w:t>је успостављена вегетација на 623,40 ha де- градираног земљишта, што чини 22,1 % </w:t>
      </w:r>
      <w:r>
        <w:rPr>
          <w:color w:val="231F20"/>
          <w:spacing w:val="-4"/>
        </w:rPr>
        <w:t>од </w:t>
      </w:r>
      <w:r>
        <w:rPr>
          <w:color w:val="231F20"/>
        </w:rPr>
        <w:t>укупно 2.817,1 ha по- вршина </w:t>
      </w:r>
      <w:r>
        <w:rPr>
          <w:color w:val="231F20"/>
          <w:spacing w:val="-4"/>
        </w:rPr>
        <w:t>које </w:t>
      </w:r>
      <w:r>
        <w:rPr>
          <w:color w:val="231F20"/>
        </w:rPr>
        <w:t>су у </w:t>
      </w:r>
      <w:r>
        <w:rPr>
          <w:color w:val="231F20"/>
          <w:spacing w:val="-3"/>
        </w:rPr>
        <w:t>минулом </w:t>
      </w:r>
      <w:r>
        <w:rPr>
          <w:color w:val="231F20"/>
        </w:rPr>
        <w:t>периоду сукцесивно </w:t>
      </w:r>
      <w:r>
        <w:rPr>
          <w:color w:val="231F20"/>
          <w:spacing w:val="-3"/>
        </w:rPr>
        <w:t>заузимане </w:t>
      </w:r>
      <w:r>
        <w:rPr>
          <w:color w:val="231F20"/>
        </w:rPr>
        <w:t>за екс- плоатацију лигнита, не рачунајући </w:t>
      </w:r>
      <w:r>
        <w:rPr>
          <w:color w:val="231F20"/>
          <w:spacing w:val="-3"/>
        </w:rPr>
        <w:t>комплексе </w:t>
      </w:r>
      <w:r>
        <w:rPr>
          <w:color w:val="231F20"/>
        </w:rPr>
        <w:t>термоелектрана </w:t>
      </w:r>
      <w:r>
        <w:rPr>
          <w:color w:val="231F20"/>
          <w:spacing w:val="-3"/>
        </w:rPr>
        <w:t>(„Костолац </w:t>
      </w:r>
      <w:r>
        <w:rPr>
          <w:color w:val="231F20"/>
        </w:rPr>
        <w:t>А” – 21 ha и </w:t>
      </w:r>
      <w:r>
        <w:rPr>
          <w:color w:val="231F20"/>
          <w:spacing w:val="-3"/>
        </w:rPr>
        <w:t>„Костолац </w:t>
      </w:r>
      <w:r>
        <w:rPr>
          <w:color w:val="231F20"/>
        </w:rPr>
        <w:t>Б” – 150 ha). </w:t>
      </w:r>
      <w:r>
        <w:rPr>
          <w:color w:val="231F20"/>
          <w:spacing w:val="-4"/>
        </w:rPr>
        <w:t>Гледано </w:t>
      </w:r>
      <w:r>
        <w:rPr>
          <w:color w:val="231F20"/>
        </w:rPr>
        <w:t>по основ- ним просторним целинама садашње организације </w:t>
      </w:r>
      <w:r>
        <w:rPr>
          <w:color w:val="231F20"/>
          <w:spacing w:val="-3"/>
        </w:rPr>
        <w:t>рударских </w:t>
      </w:r>
      <w:r>
        <w:rPr>
          <w:color w:val="231F20"/>
        </w:rPr>
        <w:t>радо- ва,</w:t>
      </w:r>
      <w:r>
        <w:rPr>
          <w:color w:val="231F20"/>
          <w:spacing w:val="-7"/>
        </w:rPr>
        <w:t> </w:t>
      </w:r>
      <w:r>
        <w:rPr>
          <w:color w:val="231F20"/>
        </w:rPr>
        <w:t>највеће</w:t>
      </w:r>
      <w:r>
        <w:rPr>
          <w:color w:val="231F20"/>
          <w:spacing w:val="-7"/>
        </w:rPr>
        <w:t> </w:t>
      </w:r>
      <w:r>
        <w:rPr>
          <w:color w:val="231F20"/>
        </w:rPr>
        <w:t>површине</w:t>
      </w:r>
      <w:r>
        <w:rPr>
          <w:color w:val="231F20"/>
          <w:spacing w:val="-7"/>
        </w:rPr>
        <w:t> </w:t>
      </w:r>
      <w:r>
        <w:rPr>
          <w:color w:val="231F20"/>
        </w:rPr>
        <w:t>рекултивисаног</w:t>
      </w:r>
      <w:r>
        <w:rPr>
          <w:color w:val="231F20"/>
          <w:spacing w:val="-8"/>
        </w:rPr>
        <w:t> </w:t>
      </w:r>
      <w:r>
        <w:rPr>
          <w:color w:val="231F20"/>
        </w:rPr>
        <w:t>земљишта</w:t>
      </w:r>
      <w:r>
        <w:rPr>
          <w:color w:val="231F20"/>
          <w:spacing w:val="-7"/>
        </w:rPr>
        <w:t> </w:t>
      </w:r>
      <w:r>
        <w:rPr>
          <w:color w:val="231F20"/>
        </w:rPr>
        <w:t>налазе</w:t>
      </w:r>
      <w:r>
        <w:rPr>
          <w:color w:val="231F20"/>
          <w:spacing w:val="-7"/>
        </w:rPr>
        <w:t> </w:t>
      </w:r>
      <w:r>
        <w:rPr>
          <w:color w:val="231F20"/>
        </w:rPr>
        <w:t>се</w:t>
      </w:r>
      <w:r>
        <w:rPr>
          <w:color w:val="231F20"/>
          <w:spacing w:val="-7"/>
        </w:rPr>
        <w:t> </w:t>
      </w:r>
      <w:r>
        <w:rPr>
          <w:color w:val="231F20"/>
        </w:rPr>
        <w:t>у</w:t>
      </w:r>
      <w:r>
        <w:rPr>
          <w:color w:val="231F20"/>
          <w:spacing w:val="-7"/>
        </w:rPr>
        <w:t> </w:t>
      </w:r>
      <w:r>
        <w:rPr>
          <w:color w:val="231F20"/>
        </w:rPr>
        <w:t>грани- цама</w:t>
      </w:r>
      <w:r>
        <w:rPr>
          <w:color w:val="231F20"/>
          <w:spacing w:val="-9"/>
        </w:rPr>
        <w:t> </w:t>
      </w:r>
      <w:r>
        <w:rPr>
          <w:color w:val="231F20"/>
        </w:rPr>
        <w:t>привремено</w:t>
      </w:r>
      <w:r>
        <w:rPr>
          <w:color w:val="231F20"/>
          <w:spacing w:val="-9"/>
        </w:rPr>
        <w:t> </w:t>
      </w:r>
      <w:r>
        <w:rPr>
          <w:color w:val="231F20"/>
        </w:rPr>
        <w:t>затвореног</w:t>
      </w:r>
      <w:r>
        <w:rPr>
          <w:color w:val="231F20"/>
          <w:spacing w:val="-9"/>
        </w:rPr>
        <w:t> </w:t>
      </w:r>
      <w:r>
        <w:rPr>
          <w:color w:val="231F20"/>
          <w:spacing w:val="-4"/>
        </w:rPr>
        <w:t>копа</w:t>
      </w:r>
      <w:r>
        <w:rPr>
          <w:color w:val="231F20"/>
          <w:spacing w:val="-9"/>
        </w:rPr>
        <w:t> </w:t>
      </w:r>
      <w:r>
        <w:rPr>
          <w:color w:val="231F20"/>
          <w:spacing w:val="-4"/>
        </w:rPr>
        <w:t>„Ћириковац”</w:t>
      </w:r>
      <w:r>
        <w:rPr>
          <w:color w:val="231F20"/>
          <w:spacing w:val="-9"/>
        </w:rPr>
        <w:t> </w:t>
      </w:r>
      <w:r>
        <w:rPr>
          <w:color w:val="231F20"/>
        </w:rPr>
        <w:t>(326,50</w:t>
      </w:r>
      <w:r>
        <w:rPr>
          <w:color w:val="231F20"/>
          <w:spacing w:val="-9"/>
        </w:rPr>
        <w:t> </w:t>
      </w:r>
      <w:r>
        <w:rPr>
          <w:color w:val="231F20"/>
        </w:rPr>
        <w:t>ha,</w:t>
      </w:r>
      <w:r>
        <w:rPr>
          <w:color w:val="231F20"/>
          <w:spacing w:val="-9"/>
        </w:rPr>
        <w:t> </w:t>
      </w:r>
      <w:r>
        <w:rPr>
          <w:color w:val="231F20"/>
        </w:rPr>
        <w:t>односно 39,8 % </w:t>
      </w:r>
      <w:r>
        <w:rPr>
          <w:color w:val="231F20"/>
          <w:spacing w:val="-4"/>
        </w:rPr>
        <w:t>од </w:t>
      </w:r>
      <w:r>
        <w:rPr>
          <w:color w:val="231F20"/>
        </w:rPr>
        <w:t>укупно </w:t>
      </w:r>
      <w:r>
        <w:rPr>
          <w:color w:val="231F20"/>
          <w:spacing w:val="-3"/>
        </w:rPr>
        <w:t>заузетих </w:t>
      </w:r>
      <w:r>
        <w:rPr>
          <w:color w:val="231F20"/>
        </w:rPr>
        <w:t>површина). Затим следи одлагалиште пепела на Средњем </w:t>
      </w:r>
      <w:r>
        <w:rPr>
          <w:color w:val="231F20"/>
          <w:spacing w:val="-5"/>
        </w:rPr>
        <w:t>костолачком </w:t>
      </w:r>
      <w:r>
        <w:rPr>
          <w:color w:val="231F20"/>
        </w:rPr>
        <w:t>острву </w:t>
      </w:r>
      <w:r>
        <w:rPr>
          <w:color w:val="231F20"/>
          <w:spacing w:val="-2"/>
        </w:rPr>
        <w:t>(119,2 </w:t>
      </w:r>
      <w:r>
        <w:rPr>
          <w:color w:val="231F20"/>
        </w:rPr>
        <w:t>ha, односно 31,9 %) и </w:t>
      </w:r>
      <w:r>
        <w:rPr>
          <w:color w:val="231F20"/>
          <w:spacing w:val="-4"/>
        </w:rPr>
        <w:t>коп </w:t>
      </w:r>
      <w:r>
        <w:rPr>
          <w:color w:val="231F20"/>
        </w:rPr>
        <w:t>„Кленовник” (104,2 ha, односно 25,8 %), </w:t>
      </w:r>
      <w:r>
        <w:rPr>
          <w:color w:val="231F20"/>
          <w:spacing w:val="-4"/>
        </w:rPr>
        <w:t>који </w:t>
      </w:r>
      <w:r>
        <w:rPr>
          <w:color w:val="231F20"/>
        </w:rPr>
        <w:t>је, </w:t>
      </w:r>
      <w:r>
        <w:rPr>
          <w:color w:val="231F20"/>
          <w:spacing w:val="-3"/>
        </w:rPr>
        <w:t>такође, </w:t>
      </w:r>
      <w:r>
        <w:rPr>
          <w:color w:val="231F20"/>
        </w:rPr>
        <w:t>при- времено затворен, док је на простору </w:t>
      </w:r>
      <w:r>
        <w:rPr>
          <w:color w:val="231F20"/>
          <w:spacing w:val="-4"/>
        </w:rPr>
        <w:t>највећег, </w:t>
      </w:r>
      <w:r>
        <w:rPr>
          <w:color w:val="231F20"/>
        </w:rPr>
        <w:t>и јединог сада ак- </w:t>
      </w:r>
      <w:r>
        <w:rPr>
          <w:color w:val="231F20"/>
          <w:spacing w:val="-4"/>
        </w:rPr>
        <w:t>тивног, копа </w:t>
      </w:r>
      <w:r>
        <w:rPr>
          <w:color w:val="231F20"/>
        </w:rPr>
        <w:t>„Дрмно” рекултивисано 73,5 ha земљишта (спољно одлагалиште – 63,5 ha и унутрашње одлагалиште – 10,0 ha),</w:t>
      </w:r>
      <w:r>
        <w:rPr>
          <w:color w:val="231F20"/>
          <w:spacing w:val="40"/>
        </w:rPr>
        <w:t> </w:t>
      </w:r>
      <w:r>
        <w:rPr>
          <w:color w:val="231F20"/>
        </w:rPr>
        <w:t>што</w:t>
      </w:r>
    </w:p>
    <w:p>
      <w:pPr>
        <w:pStyle w:val="BodyText"/>
        <w:spacing w:line="232" w:lineRule="auto" w:before="75"/>
        <w:ind w:right="410"/>
      </w:pPr>
      <w:r>
        <w:rPr/>
        <w:br w:type="column"/>
      </w:r>
      <w:r>
        <w:rPr>
          <w:color w:val="231F20"/>
        </w:rPr>
        <w:t>чини 6,0 % </w:t>
      </w:r>
      <w:r>
        <w:rPr>
          <w:color w:val="231F20"/>
          <w:spacing w:val="-4"/>
        </w:rPr>
        <w:t>од </w:t>
      </w:r>
      <w:r>
        <w:rPr>
          <w:color w:val="231F20"/>
        </w:rPr>
        <w:t>његове укупне површине. </w:t>
      </w:r>
      <w:r>
        <w:rPr>
          <w:color w:val="231F20"/>
          <w:spacing w:val="-3"/>
        </w:rPr>
        <w:t>Рекултивација </w:t>
      </w:r>
      <w:r>
        <w:rPr>
          <w:color w:val="231F20"/>
        </w:rPr>
        <w:t>је</w:t>
      </w:r>
      <w:r>
        <w:rPr>
          <w:color w:val="231F20"/>
          <w:spacing w:val="-24"/>
        </w:rPr>
        <w:t> </w:t>
      </w:r>
      <w:r>
        <w:rPr>
          <w:color w:val="231F20"/>
        </w:rPr>
        <w:t>највећим делом спровођена на спољашњим одлагалиштима јаловине, одно- сно</w:t>
      </w:r>
      <w:r>
        <w:rPr>
          <w:color w:val="231F20"/>
          <w:spacing w:val="-6"/>
        </w:rPr>
        <w:t> </w:t>
      </w:r>
      <w:r>
        <w:rPr>
          <w:color w:val="231F20"/>
        </w:rPr>
        <w:t>пепела,</w:t>
      </w:r>
      <w:r>
        <w:rPr>
          <w:color w:val="231F20"/>
          <w:spacing w:val="-6"/>
        </w:rPr>
        <w:t> </w:t>
      </w:r>
      <w:r>
        <w:rPr>
          <w:color w:val="231F20"/>
          <w:spacing w:val="-4"/>
        </w:rPr>
        <w:t>која</w:t>
      </w:r>
      <w:r>
        <w:rPr>
          <w:color w:val="231F20"/>
          <w:spacing w:val="-6"/>
        </w:rPr>
        <w:t> </w:t>
      </w:r>
      <w:r>
        <w:rPr>
          <w:color w:val="231F20"/>
        </w:rPr>
        <w:t>и</w:t>
      </w:r>
      <w:r>
        <w:rPr>
          <w:color w:val="231F20"/>
          <w:spacing w:val="-6"/>
        </w:rPr>
        <w:t> </w:t>
      </w:r>
      <w:r>
        <w:rPr>
          <w:color w:val="231F20"/>
        </w:rPr>
        <w:t>даље</w:t>
      </w:r>
      <w:r>
        <w:rPr>
          <w:color w:val="231F20"/>
          <w:spacing w:val="-6"/>
        </w:rPr>
        <w:t> </w:t>
      </w:r>
      <w:r>
        <w:rPr>
          <w:color w:val="231F20"/>
        </w:rPr>
        <w:t>чине</w:t>
      </w:r>
      <w:r>
        <w:rPr>
          <w:color w:val="231F20"/>
          <w:spacing w:val="-6"/>
        </w:rPr>
        <w:t> </w:t>
      </w:r>
      <w:r>
        <w:rPr>
          <w:color w:val="231F20"/>
          <w:spacing w:val="-4"/>
        </w:rPr>
        <w:t>око</w:t>
      </w:r>
      <w:r>
        <w:rPr>
          <w:color w:val="231F20"/>
          <w:spacing w:val="-6"/>
        </w:rPr>
        <w:t> </w:t>
      </w:r>
      <w:r>
        <w:rPr>
          <w:color w:val="231F20"/>
        </w:rPr>
        <w:t>32,4</w:t>
      </w:r>
      <w:r>
        <w:rPr>
          <w:color w:val="231F20"/>
          <w:spacing w:val="-6"/>
        </w:rPr>
        <w:t> </w:t>
      </w:r>
      <w:r>
        <w:rPr>
          <w:color w:val="231F20"/>
        </w:rPr>
        <w:t>%</w:t>
      </w:r>
      <w:r>
        <w:rPr>
          <w:color w:val="231F20"/>
          <w:spacing w:val="-6"/>
        </w:rPr>
        <w:t> </w:t>
      </w:r>
      <w:r>
        <w:rPr>
          <w:color w:val="231F20"/>
          <w:spacing w:val="-4"/>
        </w:rPr>
        <w:t>од</w:t>
      </w:r>
      <w:r>
        <w:rPr>
          <w:color w:val="231F20"/>
          <w:spacing w:val="-6"/>
        </w:rPr>
        <w:t> </w:t>
      </w:r>
      <w:r>
        <w:rPr>
          <w:color w:val="231F20"/>
        </w:rPr>
        <w:t>укупних</w:t>
      </w:r>
      <w:r>
        <w:rPr>
          <w:color w:val="231F20"/>
          <w:spacing w:val="-6"/>
        </w:rPr>
        <w:t> </w:t>
      </w:r>
      <w:r>
        <w:rPr>
          <w:color w:val="231F20"/>
        </w:rPr>
        <w:t>површина</w:t>
      </w:r>
      <w:r>
        <w:rPr>
          <w:color w:val="231F20"/>
          <w:spacing w:val="-6"/>
        </w:rPr>
        <w:t> </w:t>
      </w:r>
      <w:r>
        <w:rPr>
          <w:color w:val="231F20"/>
        </w:rPr>
        <w:t>при- времено </w:t>
      </w:r>
      <w:r>
        <w:rPr>
          <w:color w:val="231F20"/>
          <w:spacing w:val="-3"/>
        </w:rPr>
        <w:t>заузетих рударско-енергетским </w:t>
      </w:r>
      <w:r>
        <w:rPr>
          <w:color w:val="231F20"/>
        </w:rPr>
        <w:t>активностима.</w:t>
      </w:r>
    </w:p>
    <w:p>
      <w:pPr>
        <w:pStyle w:val="BodyText"/>
        <w:spacing w:line="232" w:lineRule="auto"/>
        <w:ind w:right="409" w:firstLine="396"/>
      </w:pPr>
      <w:r>
        <w:rPr>
          <w:color w:val="231F20"/>
        </w:rPr>
        <w:t>Већи</w:t>
      </w:r>
      <w:r>
        <w:rPr>
          <w:color w:val="231F20"/>
          <w:spacing w:val="-10"/>
        </w:rPr>
        <w:t> </w:t>
      </w:r>
      <w:r>
        <w:rPr>
          <w:color w:val="231F20"/>
        </w:rPr>
        <w:t>део</w:t>
      </w:r>
      <w:r>
        <w:rPr>
          <w:color w:val="231F20"/>
          <w:spacing w:val="-10"/>
        </w:rPr>
        <w:t> </w:t>
      </w:r>
      <w:r>
        <w:rPr>
          <w:color w:val="231F20"/>
        </w:rPr>
        <w:t>радова</w:t>
      </w:r>
      <w:r>
        <w:rPr>
          <w:color w:val="231F20"/>
          <w:spacing w:val="-10"/>
        </w:rPr>
        <w:t> </w:t>
      </w:r>
      <w:r>
        <w:rPr>
          <w:color w:val="231F20"/>
        </w:rPr>
        <w:t>на</w:t>
      </w:r>
      <w:r>
        <w:rPr>
          <w:color w:val="231F20"/>
          <w:spacing w:val="-10"/>
        </w:rPr>
        <w:t> </w:t>
      </w:r>
      <w:r>
        <w:rPr>
          <w:color w:val="231F20"/>
          <w:spacing w:val="-3"/>
        </w:rPr>
        <w:t>техничкој</w:t>
      </w:r>
      <w:r>
        <w:rPr>
          <w:color w:val="231F20"/>
          <w:spacing w:val="-10"/>
        </w:rPr>
        <w:t> </w:t>
      </w:r>
      <w:r>
        <w:rPr>
          <w:color w:val="231F20"/>
        </w:rPr>
        <w:t>и</w:t>
      </w:r>
      <w:r>
        <w:rPr>
          <w:color w:val="231F20"/>
          <w:spacing w:val="-10"/>
        </w:rPr>
        <w:t> </w:t>
      </w:r>
      <w:r>
        <w:rPr>
          <w:color w:val="231F20"/>
          <w:spacing w:val="-3"/>
        </w:rPr>
        <w:t>биолошкој</w:t>
      </w:r>
      <w:r>
        <w:rPr>
          <w:color w:val="231F20"/>
          <w:spacing w:val="-10"/>
        </w:rPr>
        <w:t> </w:t>
      </w:r>
      <w:r>
        <w:rPr>
          <w:color w:val="231F20"/>
        </w:rPr>
        <w:t>рекултивацији</w:t>
      </w:r>
      <w:r>
        <w:rPr>
          <w:color w:val="231F20"/>
          <w:spacing w:val="-10"/>
        </w:rPr>
        <w:t> </w:t>
      </w:r>
      <w:r>
        <w:rPr>
          <w:color w:val="231F20"/>
        </w:rPr>
        <w:t>спо- љашњег</w:t>
      </w:r>
      <w:r>
        <w:rPr>
          <w:color w:val="231F20"/>
          <w:spacing w:val="-10"/>
        </w:rPr>
        <w:t> </w:t>
      </w:r>
      <w:r>
        <w:rPr>
          <w:color w:val="231F20"/>
        </w:rPr>
        <w:t>одлагалишта</w:t>
      </w:r>
      <w:r>
        <w:rPr>
          <w:color w:val="231F20"/>
          <w:spacing w:val="-10"/>
        </w:rPr>
        <w:t> </w:t>
      </w:r>
      <w:r>
        <w:rPr>
          <w:color w:val="231F20"/>
          <w:spacing w:val="-4"/>
        </w:rPr>
        <w:t>копа</w:t>
      </w:r>
      <w:r>
        <w:rPr>
          <w:color w:val="231F20"/>
          <w:spacing w:val="-10"/>
        </w:rPr>
        <w:t> </w:t>
      </w:r>
      <w:r>
        <w:rPr>
          <w:color w:val="231F20"/>
          <w:spacing w:val="-4"/>
        </w:rPr>
        <w:t>„Ђириковац”</w:t>
      </w:r>
      <w:r>
        <w:rPr>
          <w:color w:val="231F20"/>
          <w:spacing w:val="-10"/>
        </w:rPr>
        <w:t> </w:t>
      </w:r>
      <w:r>
        <w:rPr>
          <w:color w:val="231F20"/>
        </w:rPr>
        <w:t>је</w:t>
      </w:r>
      <w:r>
        <w:rPr>
          <w:color w:val="231F20"/>
          <w:spacing w:val="-10"/>
        </w:rPr>
        <w:t> </w:t>
      </w:r>
      <w:r>
        <w:rPr>
          <w:color w:val="231F20"/>
        </w:rPr>
        <w:t>урађен</w:t>
      </w:r>
      <w:r>
        <w:rPr>
          <w:color w:val="231F20"/>
          <w:spacing w:val="-10"/>
        </w:rPr>
        <w:t> </w:t>
      </w:r>
      <w:r>
        <w:rPr>
          <w:color w:val="231F20"/>
        </w:rPr>
        <w:t>крајем</w:t>
      </w:r>
      <w:r>
        <w:rPr>
          <w:color w:val="231F20"/>
          <w:spacing w:val="-10"/>
        </w:rPr>
        <w:t> </w:t>
      </w:r>
      <w:r>
        <w:rPr>
          <w:color w:val="231F20"/>
        </w:rPr>
        <w:t>осамдесе- тих</w:t>
      </w:r>
      <w:r>
        <w:rPr>
          <w:color w:val="231F20"/>
          <w:spacing w:val="-6"/>
        </w:rPr>
        <w:t> </w:t>
      </w:r>
      <w:r>
        <w:rPr>
          <w:color w:val="231F20"/>
          <w:spacing w:val="-3"/>
        </w:rPr>
        <w:t>година</w:t>
      </w:r>
      <w:r>
        <w:rPr>
          <w:color w:val="231F20"/>
          <w:spacing w:val="-6"/>
        </w:rPr>
        <w:t> </w:t>
      </w:r>
      <w:r>
        <w:rPr>
          <w:color w:val="231F20"/>
        </w:rPr>
        <w:t>прошлог</w:t>
      </w:r>
      <w:r>
        <w:rPr>
          <w:color w:val="231F20"/>
          <w:spacing w:val="-6"/>
        </w:rPr>
        <w:t> </w:t>
      </w:r>
      <w:r>
        <w:rPr>
          <w:color w:val="231F20"/>
        </w:rPr>
        <w:t>века,</w:t>
      </w:r>
      <w:r>
        <w:rPr>
          <w:color w:val="231F20"/>
          <w:spacing w:val="-6"/>
        </w:rPr>
        <w:t> </w:t>
      </w:r>
      <w:r>
        <w:rPr>
          <w:color w:val="231F20"/>
        </w:rPr>
        <w:t>када</w:t>
      </w:r>
      <w:r>
        <w:rPr>
          <w:color w:val="231F20"/>
          <w:spacing w:val="-6"/>
        </w:rPr>
        <w:t> </w:t>
      </w:r>
      <w:r>
        <w:rPr>
          <w:color w:val="231F20"/>
        </w:rPr>
        <w:t>је</w:t>
      </w:r>
      <w:r>
        <w:rPr>
          <w:color w:val="231F20"/>
          <w:spacing w:val="-6"/>
        </w:rPr>
        <w:t> </w:t>
      </w:r>
      <w:r>
        <w:rPr>
          <w:color w:val="231F20"/>
        </w:rPr>
        <w:t>подигнуто</w:t>
      </w:r>
      <w:r>
        <w:rPr>
          <w:color w:val="231F20"/>
          <w:spacing w:val="-6"/>
        </w:rPr>
        <w:t> </w:t>
      </w:r>
      <w:r>
        <w:rPr>
          <w:color w:val="231F20"/>
          <w:spacing w:val="-3"/>
        </w:rPr>
        <w:t>117</w:t>
      </w:r>
      <w:r>
        <w:rPr>
          <w:color w:val="231F20"/>
          <w:spacing w:val="-6"/>
        </w:rPr>
        <w:t> </w:t>
      </w:r>
      <w:r>
        <w:rPr>
          <w:color w:val="231F20"/>
        </w:rPr>
        <w:t>ha</w:t>
      </w:r>
      <w:r>
        <w:rPr>
          <w:color w:val="231F20"/>
          <w:spacing w:val="-6"/>
        </w:rPr>
        <w:t> </w:t>
      </w:r>
      <w:r>
        <w:rPr>
          <w:color w:val="231F20"/>
        </w:rPr>
        <w:t>шумских</w:t>
      </w:r>
      <w:r>
        <w:rPr>
          <w:color w:val="231F20"/>
          <w:spacing w:val="-6"/>
        </w:rPr>
        <w:t> </w:t>
      </w:r>
      <w:r>
        <w:rPr>
          <w:color w:val="231F20"/>
        </w:rPr>
        <w:t>засада (багрем, црни бор и друго), 77 ha равних површина је оспособље- но</w:t>
      </w:r>
      <w:r>
        <w:rPr>
          <w:color w:val="231F20"/>
          <w:spacing w:val="-10"/>
        </w:rPr>
        <w:t> </w:t>
      </w:r>
      <w:r>
        <w:rPr>
          <w:color w:val="231F20"/>
        </w:rPr>
        <w:t>за</w:t>
      </w:r>
      <w:r>
        <w:rPr>
          <w:color w:val="231F20"/>
          <w:spacing w:val="-10"/>
        </w:rPr>
        <w:t> </w:t>
      </w:r>
      <w:r>
        <w:rPr>
          <w:color w:val="231F20"/>
        </w:rPr>
        <w:t>ратарску</w:t>
      </w:r>
      <w:r>
        <w:rPr>
          <w:color w:val="231F20"/>
          <w:spacing w:val="-10"/>
        </w:rPr>
        <w:t> </w:t>
      </w:r>
      <w:r>
        <w:rPr>
          <w:color w:val="231F20"/>
        </w:rPr>
        <w:t>производњу</w:t>
      </w:r>
      <w:r>
        <w:rPr>
          <w:color w:val="231F20"/>
          <w:spacing w:val="-10"/>
        </w:rPr>
        <w:t> </w:t>
      </w:r>
      <w:r>
        <w:rPr>
          <w:color w:val="231F20"/>
        </w:rPr>
        <w:t>(пшеница,</w:t>
      </w:r>
      <w:r>
        <w:rPr>
          <w:color w:val="231F20"/>
          <w:spacing w:val="-10"/>
        </w:rPr>
        <w:t> </w:t>
      </w:r>
      <w:r>
        <w:rPr>
          <w:color w:val="231F20"/>
        </w:rPr>
        <w:t>кукуруз,</w:t>
      </w:r>
      <w:r>
        <w:rPr>
          <w:color w:val="231F20"/>
          <w:spacing w:val="-10"/>
        </w:rPr>
        <w:t> </w:t>
      </w:r>
      <w:r>
        <w:rPr>
          <w:color w:val="231F20"/>
        </w:rPr>
        <w:t>поврће,</w:t>
      </w:r>
      <w:r>
        <w:rPr>
          <w:color w:val="231F20"/>
          <w:spacing w:val="-10"/>
        </w:rPr>
        <w:t> </w:t>
      </w:r>
      <w:r>
        <w:rPr>
          <w:color w:val="231F20"/>
        </w:rPr>
        <w:t>детелина)</w:t>
      </w:r>
      <w:r>
        <w:rPr>
          <w:color w:val="231F20"/>
          <w:spacing w:val="-10"/>
        </w:rPr>
        <w:t> </w:t>
      </w:r>
      <w:r>
        <w:rPr>
          <w:color w:val="231F20"/>
        </w:rPr>
        <w:t>и </w:t>
      </w:r>
      <w:r>
        <w:rPr>
          <w:color w:val="231F20"/>
          <w:spacing w:val="-4"/>
        </w:rPr>
        <w:t>око </w:t>
      </w:r>
      <w:r>
        <w:rPr>
          <w:color w:val="231F20"/>
        </w:rPr>
        <w:t>55 ha санирано самониклом вегетацијом. У то време</w:t>
      </w:r>
      <w:r>
        <w:rPr>
          <w:color w:val="231F20"/>
          <w:spacing w:val="-33"/>
        </w:rPr>
        <w:t> </w:t>
      </w:r>
      <w:r>
        <w:rPr>
          <w:color w:val="231F20"/>
          <w:spacing w:val="-8"/>
        </w:rPr>
        <w:t>су, </w:t>
      </w:r>
      <w:r>
        <w:rPr>
          <w:color w:val="231F20"/>
          <w:spacing w:val="-3"/>
        </w:rPr>
        <w:t>такође, </w:t>
      </w:r>
      <w:r>
        <w:rPr>
          <w:color w:val="231F20"/>
        </w:rPr>
        <w:t>рекултивисани</w:t>
      </w:r>
      <w:r>
        <w:rPr>
          <w:color w:val="231F20"/>
          <w:spacing w:val="-10"/>
        </w:rPr>
        <w:t> </w:t>
      </w:r>
      <w:r>
        <w:rPr>
          <w:color w:val="231F20"/>
        </w:rPr>
        <w:t>пострударски</w:t>
      </w:r>
      <w:r>
        <w:rPr>
          <w:color w:val="231F20"/>
          <w:spacing w:val="-10"/>
        </w:rPr>
        <w:t> </w:t>
      </w:r>
      <w:r>
        <w:rPr>
          <w:color w:val="231F20"/>
        </w:rPr>
        <w:t>терени</w:t>
      </w:r>
      <w:r>
        <w:rPr>
          <w:color w:val="231F20"/>
          <w:spacing w:val="-10"/>
        </w:rPr>
        <w:t> </w:t>
      </w:r>
      <w:r>
        <w:rPr>
          <w:color w:val="231F20"/>
        </w:rPr>
        <w:t>површинског</w:t>
      </w:r>
      <w:r>
        <w:rPr>
          <w:color w:val="231F20"/>
          <w:spacing w:val="-10"/>
        </w:rPr>
        <w:t> </w:t>
      </w:r>
      <w:r>
        <w:rPr>
          <w:color w:val="231F20"/>
          <w:spacing w:val="-4"/>
        </w:rPr>
        <w:t>копа</w:t>
      </w:r>
      <w:r>
        <w:rPr>
          <w:color w:val="231F20"/>
          <w:spacing w:val="-10"/>
        </w:rPr>
        <w:t> </w:t>
      </w:r>
      <w:r>
        <w:rPr>
          <w:color w:val="231F20"/>
        </w:rPr>
        <w:t>„Стари</w:t>
      </w:r>
      <w:r>
        <w:rPr>
          <w:color w:val="231F20"/>
          <w:spacing w:val="-10"/>
        </w:rPr>
        <w:t> </w:t>
      </w:r>
      <w:r>
        <w:rPr>
          <w:color w:val="231F20"/>
          <w:spacing w:val="-4"/>
        </w:rPr>
        <w:t>Ко- </w:t>
      </w:r>
      <w:r>
        <w:rPr>
          <w:color w:val="231F20"/>
        </w:rPr>
        <w:t>столац”, западна страна спољашњег одлагалишта </w:t>
      </w:r>
      <w:r>
        <w:rPr>
          <w:color w:val="231F20"/>
          <w:spacing w:val="-4"/>
        </w:rPr>
        <w:t>копа </w:t>
      </w:r>
      <w:r>
        <w:rPr>
          <w:color w:val="231F20"/>
        </w:rPr>
        <w:t>„Дрмно” и </w:t>
      </w:r>
      <w:r>
        <w:rPr>
          <w:color w:val="231F20"/>
          <w:spacing w:val="-3"/>
        </w:rPr>
        <w:t>југоисточни обод </w:t>
      </w:r>
      <w:r>
        <w:rPr>
          <w:color w:val="231F20"/>
        </w:rPr>
        <w:t>унутрашњег одлагалишта</w:t>
      </w:r>
      <w:r>
        <w:rPr>
          <w:color w:val="231F20"/>
          <w:spacing w:val="-6"/>
        </w:rPr>
        <w:t> </w:t>
      </w:r>
      <w:r>
        <w:rPr>
          <w:color w:val="231F20"/>
        </w:rPr>
        <w:t>„Кленовник”.</w:t>
      </w:r>
    </w:p>
    <w:p>
      <w:pPr>
        <w:pStyle w:val="BodyText"/>
        <w:spacing w:line="232" w:lineRule="auto"/>
        <w:ind w:right="408" w:firstLine="397"/>
      </w:pPr>
      <w:r>
        <w:rPr>
          <w:color w:val="231F20"/>
        </w:rPr>
        <w:t>Од 1991. </w:t>
      </w:r>
      <w:r>
        <w:rPr>
          <w:color w:val="231F20"/>
          <w:spacing w:val="-3"/>
        </w:rPr>
        <w:t>године </w:t>
      </w:r>
      <w:r>
        <w:rPr>
          <w:color w:val="231F20"/>
        </w:rPr>
        <w:t>је дошло до успоравања, а </w:t>
      </w:r>
      <w:r>
        <w:rPr>
          <w:color w:val="231F20"/>
          <w:spacing w:val="-3"/>
        </w:rPr>
        <w:t>од </w:t>
      </w:r>
      <w:r>
        <w:rPr>
          <w:color w:val="231F20"/>
        </w:rPr>
        <w:t>1996. до више- годишњег заустављања радова не само на биолошкој, већ и тех- ничкој рекултивацији депонија откривке и ефикасном санирању одлагалишта пепела и шљаке. У то време је запостављена и те- мељна</w:t>
      </w:r>
      <w:r>
        <w:rPr>
          <w:color w:val="231F20"/>
          <w:spacing w:val="-8"/>
        </w:rPr>
        <w:t> </w:t>
      </w:r>
      <w:r>
        <w:rPr>
          <w:color w:val="231F20"/>
        </w:rPr>
        <w:t>разрада</w:t>
      </w:r>
      <w:r>
        <w:rPr>
          <w:color w:val="231F20"/>
          <w:spacing w:val="-8"/>
        </w:rPr>
        <w:t> </w:t>
      </w:r>
      <w:r>
        <w:rPr>
          <w:color w:val="231F20"/>
        </w:rPr>
        <w:t>дугорочних</w:t>
      </w:r>
      <w:r>
        <w:rPr>
          <w:color w:val="231F20"/>
          <w:spacing w:val="-8"/>
        </w:rPr>
        <w:t> </w:t>
      </w:r>
      <w:r>
        <w:rPr>
          <w:color w:val="231F20"/>
        </w:rPr>
        <w:t>оперативних</w:t>
      </w:r>
      <w:r>
        <w:rPr>
          <w:color w:val="231F20"/>
          <w:spacing w:val="-8"/>
        </w:rPr>
        <w:t> </w:t>
      </w:r>
      <w:r>
        <w:rPr>
          <w:color w:val="231F20"/>
        </w:rPr>
        <w:t>планова</w:t>
      </w:r>
      <w:r>
        <w:rPr>
          <w:color w:val="231F20"/>
          <w:spacing w:val="-8"/>
        </w:rPr>
        <w:t> </w:t>
      </w:r>
      <w:r>
        <w:rPr>
          <w:color w:val="231F20"/>
        </w:rPr>
        <w:t>и</w:t>
      </w:r>
      <w:r>
        <w:rPr>
          <w:color w:val="231F20"/>
          <w:spacing w:val="-8"/>
        </w:rPr>
        <w:t> </w:t>
      </w:r>
      <w:r>
        <w:rPr>
          <w:color w:val="231F20"/>
        </w:rPr>
        <w:t>пројеката,</w:t>
      </w:r>
      <w:r>
        <w:rPr>
          <w:color w:val="231F20"/>
          <w:spacing w:val="-8"/>
        </w:rPr>
        <w:t> </w:t>
      </w:r>
      <w:r>
        <w:rPr>
          <w:color w:val="231F20"/>
          <w:spacing w:val="-3"/>
        </w:rPr>
        <w:t>који- </w:t>
      </w:r>
      <w:r>
        <w:rPr>
          <w:color w:val="231F20"/>
        </w:rPr>
        <w:t>ма би требало да </w:t>
      </w:r>
      <w:r>
        <w:rPr>
          <w:color w:val="231F20"/>
          <w:spacing w:val="-5"/>
        </w:rPr>
        <w:t>буду </w:t>
      </w:r>
      <w:r>
        <w:rPr>
          <w:color w:val="231F20"/>
        </w:rPr>
        <w:t>заокружене и међусобно усклађене све фазе и</w:t>
      </w:r>
      <w:r>
        <w:rPr>
          <w:color w:val="231F20"/>
          <w:spacing w:val="-9"/>
        </w:rPr>
        <w:t> </w:t>
      </w:r>
      <w:r>
        <w:rPr>
          <w:color w:val="231F20"/>
        </w:rPr>
        <w:t>мере</w:t>
      </w:r>
      <w:r>
        <w:rPr>
          <w:color w:val="231F20"/>
          <w:spacing w:val="-9"/>
        </w:rPr>
        <w:t> </w:t>
      </w:r>
      <w:r>
        <w:rPr>
          <w:color w:val="231F20"/>
        </w:rPr>
        <w:t>техничке</w:t>
      </w:r>
      <w:r>
        <w:rPr>
          <w:color w:val="231F20"/>
          <w:spacing w:val="-9"/>
        </w:rPr>
        <w:t> </w:t>
      </w:r>
      <w:r>
        <w:rPr>
          <w:color w:val="231F20"/>
        </w:rPr>
        <w:t>и</w:t>
      </w:r>
      <w:r>
        <w:rPr>
          <w:color w:val="231F20"/>
          <w:spacing w:val="-9"/>
        </w:rPr>
        <w:t> </w:t>
      </w:r>
      <w:r>
        <w:rPr>
          <w:color w:val="231F20"/>
        </w:rPr>
        <w:t>биолошке</w:t>
      </w:r>
      <w:r>
        <w:rPr>
          <w:color w:val="231F20"/>
          <w:spacing w:val="-9"/>
        </w:rPr>
        <w:t> </w:t>
      </w:r>
      <w:r>
        <w:rPr>
          <w:color w:val="231F20"/>
        </w:rPr>
        <w:t>рекултивације,</w:t>
      </w:r>
      <w:r>
        <w:rPr>
          <w:color w:val="231F20"/>
          <w:spacing w:val="-9"/>
        </w:rPr>
        <w:t> </w:t>
      </w:r>
      <w:r>
        <w:rPr>
          <w:color w:val="231F20"/>
        </w:rPr>
        <w:t>комуналног</w:t>
      </w:r>
      <w:r>
        <w:rPr>
          <w:color w:val="231F20"/>
          <w:spacing w:val="-9"/>
        </w:rPr>
        <w:t> </w:t>
      </w:r>
      <w:r>
        <w:rPr>
          <w:color w:val="231F20"/>
        </w:rPr>
        <w:t>опремања и комплексног уређења оштећеног простора. Поред потешкоћа у </w:t>
      </w:r>
      <w:r>
        <w:rPr>
          <w:color w:val="231F20"/>
          <w:spacing w:val="-3"/>
        </w:rPr>
        <w:t>пословању, </w:t>
      </w:r>
      <w:r>
        <w:rPr>
          <w:color w:val="231F20"/>
        </w:rPr>
        <w:t>томе су допринели и организациони проблеми у про- цесу реструктуризације компанија</w:t>
      </w:r>
      <w:r>
        <w:rPr>
          <w:color w:val="231F20"/>
          <w:spacing w:val="-2"/>
        </w:rPr>
        <w:t> </w:t>
      </w:r>
      <w:r>
        <w:rPr>
          <w:color w:val="231F20"/>
        </w:rPr>
        <w:t>„ЕПС”-а.</w:t>
      </w:r>
    </w:p>
    <w:p>
      <w:pPr>
        <w:pStyle w:val="BodyText"/>
        <w:spacing w:line="232" w:lineRule="auto"/>
        <w:ind w:left="171" w:right="408" w:firstLine="397"/>
      </w:pPr>
      <w:r>
        <w:rPr>
          <w:color w:val="231F20"/>
        </w:rPr>
        <w:t>Изгледе за отклањање организационих сметњи за будуће успешно спровођење рекултивације костолачких депонија, нуди одлука Управног одбора Електропривреде Србије и Владе Репу- блике Србије од 25. септембра 2004. године о оснивању ПД „Ре- култивација и озелењавање” – РИО Костолац д.о.о., чија је основ- на делатност рекултивација и озелењавање ригидних земљишта насталих у виду јаловишта и пепелишта услед рада енергетских капацитета басена Костолац. Ово предузеће запошљава 34 стална и десетак сезонских радника.</w:t>
      </w:r>
    </w:p>
    <w:p>
      <w:pPr>
        <w:pStyle w:val="BodyText"/>
        <w:spacing w:line="232" w:lineRule="auto"/>
        <w:ind w:right="409" w:firstLine="396"/>
      </w:pPr>
      <w:r>
        <w:rPr>
          <w:color w:val="231F20"/>
        </w:rPr>
        <w:t>ПД „РИО” д.о.о. Костолац је 2005. године припремило и ре- ализовало пројекат рекултивације дела одлагалишта копа „Ћири- ковац”, подизањем расадника украсног жбуња и дрвећа, укупне површине три хектара, уз претходно чишћење терена од остатака механизације, равнање, довођење воде, формирање интерних пу- тева и наношење хумусног слоја. Захваљујући томе овај расадник до данас остварује задовољавајуће производне и економске резул- тате, али по сортименту гајених биљака више је усмерен на тржи- ште, него на обезбеђење садница за шумску рекултивацију косина депонија и подизање ветрозаштитних појасева. Будућем задово- љавању ових потреба је у поступку техничке рекултивације копа</w:t>
      </w:r>
    </w:p>
    <w:p>
      <w:pPr>
        <w:pStyle w:val="BodyText"/>
        <w:spacing w:line="192" w:lineRule="exact"/>
        <w:ind w:left="171"/>
        <w:jc w:val="left"/>
      </w:pPr>
      <w:r>
        <w:rPr>
          <w:color w:val="231F20"/>
        </w:rPr>
        <w:t>„Дрмно” намењена локација за подизање шумског расадника.</w:t>
      </w:r>
    </w:p>
    <w:p>
      <w:pPr>
        <w:pStyle w:val="BodyText"/>
        <w:spacing w:line="232" w:lineRule="auto"/>
        <w:ind w:left="171" w:right="408" w:firstLine="397"/>
      </w:pPr>
      <w:r>
        <w:rPr>
          <w:color w:val="231F20"/>
        </w:rPr>
        <w:t>ПД „РИО” д.о.о. Костолац је такође, користећи топле отпад- не воде оближње ТЕ „Костолац А”, организовало савремену пла- стеничку</w:t>
      </w:r>
      <w:r>
        <w:rPr>
          <w:color w:val="231F20"/>
          <w:spacing w:val="-9"/>
        </w:rPr>
        <w:t> </w:t>
      </w:r>
      <w:r>
        <w:rPr>
          <w:color w:val="231F20"/>
        </w:rPr>
        <w:t>производњу</w:t>
      </w:r>
      <w:r>
        <w:rPr>
          <w:color w:val="231F20"/>
          <w:spacing w:val="-9"/>
        </w:rPr>
        <w:t> </w:t>
      </w:r>
      <w:r>
        <w:rPr>
          <w:color w:val="231F20"/>
        </w:rPr>
        <w:t>расада</w:t>
      </w:r>
      <w:r>
        <w:rPr>
          <w:color w:val="231F20"/>
          <w:spacing w:val="-9"/>
        </w:rPr>
        <w:t> </w:t>
      </w:r>
      <w:r>
        <w:rPr>
          <w:color w:val="231F20"/>
        </w:rPr>
        <w:t>украсног</w:t>
      </w:r>
      <w:r>
        <w:rPr>
          <w:color w:val="231F20"/>
          <w:spacing w:val="-9"/>
        </w:rPr>
        <w:t> </w:t>
      </w:r>
      <w:r>
        <w:rPr>
          <w:color w:val="231F20"/>
        </w:rPr>
        <w:t>биља,</w:t>
      </w:r>
      <w:r>
        <w:rPr>
          <w:color w:val="231F20"/>
          <w:spacing w:val="-9"/>
        </w:rPr>
        <w:t> </w:t>
      </w:r>
      <w:r>
        <w:rPr>
          <w:color w:val="231F20"/>
        </w:rPr>
        <w:t>цвећа</w:t>
      </w:r>
      <w:r>
        <w:rPr>
          <w:color w:val="231F20"/>
          <w:spacing w:val="-9"/>
        </w:rPr>
        <w:t> </w:t>
      </w:r>
      <w:r>
        <w:rPr>
          <w:color w:val="231F20"/>
        </w:rPr>
        <w:t>и</w:t>
      </w:r>
      <w:r>
        <w:rPr>
          <w:color w:val="231F20"/>
          <w:spacing w:val="-9"/>
        </w:rPr>
        <w:t> </w:t>
      </w:r>
      <w:r>
        <w:rPr>
          <w:color w:val="231F20"/>
        </w:rPr>
        <w:t>других</w:t>
      </w:r>
      <w:r>
        <w:rPr>
          <w:color w:val="231F20"/>
          <w:spacing w:val="-9"/>
        </w:rPr>
        <w:t> </w:t>
      </w:r>
      <w:r>
        <w:rPr>
          <w:color w:val="231F20"/>
        </w:rPr>
        <w:t>једно- годишњих култура, </w:t>
      </w:r>
      <w:r>
        <w:rPr>
          <w:color w:val="231F20"/>
          <w:spacing w:val="-3"/>
        </w:rPr>
        <w:t>која </w:t>
      </w:r>
      <w:r>
        <w:rPr>
          <w:color w:val="231F20"/>
        </w:rPr>
        <w:t>битно доприноси успешном озелењавању пословног амбијента ТЕ-КО „Костолац”, а и шире. Последњих </w:t>
      </w:r>
      <w:r>
        <w:rPr>
          <w:color w:val="231F20"/>
          <w:spacing w:val="-3"/>
        </w:rPr>
        <w:t>година </w:t>
      </w:r>
      <w:r>
        <w:rPr>
          <w:color w:val="231F20"/>
        </w:rPr>
        <w:t>сарађује, </w:t>
      </w:r>
      <w:r>
        <w:rPr>
          <w:color w:val="231F20"/>
          <w:spacing w:val="-3"/>
        </w:rPr>
        <w:t>под </w:t>
      </w:r>
      <w:r>
        <w:rPr>
          <w:color w:val="231F20"/>
        </w:rPr>
        <w:t>покровитељством министарства надлеженог за </w:t>
      </w:r>
      <w:r>
        <w:rPr>
          <w:color w:val="231F20"/>
          <w:spacing w:val="-3"/>
        </w:rPr>
        <w:t>науку </w:t>
      </w:r>
      <w:r>
        <w:rPr>
          <w:color w:val="231F20"/>
        </w:rPr>
        <w:t>и технолошки развој, с Пољопривредним факултетом из Земуна на пољопривредној рекултивацији спољашњег одлагали- шта </w:t>
      </w:r>
      <w:r>
        <w:rPr>
          <w:color w:val="231F20"/>
          <w:spacing w:val="-3"/>
        </w:rPr>
        <w:t>копа </w:t>
      </w:r>
      <w:r>
        <w:rPr>
          <w:color w:val="231F20"/>
        </w:rPr>
        <w:t>„Дрмно”. </w:t>
      </w:r>
      <w:r>
        <w:rPr>
          <w:color w:val="231F20"/>
          <w:spacing w:val="-3"/>
        </w:rPr>
        <w:t>Укључено </w:t>
      </w:r>
      <w:r>
        <w:rPr>
          <w:color w:val="231F20"/>
        </w:rPr>
        <w:t>је у рад на пројекту биолошке ре- култивације</w:t>
      </w:r>
      <w:r>
        <w:rPr>
          <w:color w:val="231F20"/>
          <w:spacing w:val="-9"/>
        </w:rPr>
        <w:t> </w:t>
      </w:r>
      <w:r>
        <w:rPr>
          <w:color w:val="231F20"/>
        </w:rPr>
        <w:t>пепелишта</w:t>
      </w:r>
      <w:r>
        <w:rPr>
          <w:color w:val="231F20"/>
          <w:spacing w:val="-9"/>
        </w:rPr>
        <w:t> </w:t>
      </w:r>
      <w:r>
        <w:rPr>
          <w:color w:val="231F20"/>
        </w:rPr>
        <w:t>на</w:t>
      </w:r>
      <w:r>
        <w:rPr>
          <w:color w:val="231F20"/>
          <w:spacing w:val="-9"/>
        </w:rPr>
        <w:t> </w:t>
      </w:r>
      <w:r>
        <w:rPr>
          <w:color w:val="231F20"/>
        </w:rPr>
        <w:t>Касети</w:t>
      </w:r>
      <w:r>
        <w:rPr>
          <w:color w:val="231F20"/>
          <w:spacing w:val="-9"/>
        </w:rPr>
        <w:t> </w:t>
      </w:r>
      <w:r>
        <w:rPr>
          <w:color w:val="231F20"/>
        </w:rPr>
        <w:t>„Б”</w:t>
      </w:r>
      <w:r>
        <w:rPr>
          <w:color w:val="231F20"/>
          <w:spacing w:val="-9"/>
        </w:rPr>
        <w:t> </w:t>
      </w:r>
      <w:r>
        <w:rPr>
          <w:color w:val="231F20"/>
        </w:rPr>
        <w:t>(СКО),</w:t>
      </w:r>
      <w:r>
        <w:rPr>
          <w:color w:val="231F20"/>
          <w:spacing w:val="-9"/>
        </w:rPr>
        <w:t> </w:t>
      </w:r>
      <w:r>
        <w:rPr>
          <w:color w:val="231F20"/>
          <w:spacing w:val="-3"/>
        </w:rPr>
        <w:t>који</w:t>
      </w:r>
      <w:r>
        <w:rPr>
          <w:color w:val="231F20"/>
          <w:spacing w:val="-9"/>
        </w:rPr>
        <w:t> </w:t>
      </w:r>
      <w:r>
        <w:rPr>
          <w:color w:val="231F20"/>
        </w:rPr>
        <w:t>се</w:t>
      </w:r>
      <w:r>
        <w:rPr>
          <w:color w:val="231F20"/>
          <w:spacing w:val="-9"/>
        </w:rPr>
        <w:t> </w:t>
      </w:r>
      <w:r>
        <w:rPr>
          <w:color w:val="231F20"/>
        </w:rPr>
        <w:t>реализује</w:t>
      </w:r>
      <w:r>
        <w:rPr>
          <w:color w:val="231F20"/>
          <w:spacing w:val="-9"/>
        </w:rPr>
        <w:t> </w:t>
      </w:r>
      <w:r>
        <w:rPr>
          <w:color w:val="231F20"/>
          <w:spacing w:val="-3"/>
        </w:rPr>
        <w:t>под </w:t>
      </w:r>
      <w:r>
        <w:rPr>
          <w:color w:val="231F20"/>
        </w:rPr>
        <w:t>надзором Института за земљиште из Београда. Има успостављену сарадњу и са Институтом за шумарство из Београда и Средњом пољопривредном </w:t>
      </w:r>
      <w:r>
        <w:rPr>
          <w:color w:val="231F20"/>
          <w:spacing w:val="-4"/>
        </w:rPr>
        <w:t>школом </w:t>
      </w:r>
      <w:r>
        <w:rPr>
          <w:color w:val="231F20"/>
        </w:rPr>
        <w:t>из</w:t>
      </w:r>
      <w:r>
        <w:rPr>
          <w:color w:val="231F20"/>
          <w:spacing w:val="0"/>
        </w:rPr>
        <w:t> </w:t>
      </w:r>
      <w:r>
        <w:rPr>
          <w:color w:val="231F20"/>
        </w:rPr>
        <w:t>Пожаревца.</w:t>
      </w:r>
    </w:p>
    <w:p>
      <w:pPr>
        <w:pStyle w:val="BodyText"/>
        <w:spacing w:line="232" w:lineRule="auto"/>
        <w:ind w:left="171" w:right="407" w:firstLine="397"/>
      </w:pPr>
      <w:r>
        <w:rPr>
          <w:color w:val="231F20"/>
        </w:rPr>
        <w:t>У </w:t>
      </w:r>
      <w:r>
        <w:rPr>
          <w:color w:val="231F20"/>
          <w:spacing w:val="-3"/>
        </w:rPr>
        <w:t>току </w:t>
      </w:r>
      <w:r>
        <w:rPr>
          <w:color w:val="231F20"/>
        </w:rPr>
        <w:t>2008. </w:t>
      </w:r>
      <w:r>
        <w:rPr>
          <w:color w:val="231F20"/>
          <w:spacing w:val="-4"/>
        </w:rPr>
        <w:t>године </w:t>
      </w:r>
      <w:r>
        <w:rPr>
          <w:color w:val="231F20"/>
        </w:rPr>
        <w:t>је урађена </w:t>
      </w:r>
      <w:r>
        <w:rPr>
          <w:color w:val="231F20"/>
          <w:spacing w:val="-3"/>
        </w:rPr>
        <w:t>биолошка рекултивација </w:t>
      </w:r>
      <w:r>
        <w:rPr>
          <w:color w:val="231F20"/>
        </w:rPr>
        <w:t>на 10 hа спољашњег </w:t>
      </w:r>
      <w:r>
        <w:rPr>
          <w:color w:val="231F20"/>
          <w:spacing w:val="-3"/>
        </w:rPr>
        <w:t>одлагалишта </w:t>
      </w:r>
      <w:r>
        <w:rPr>
          <w:color w:val="231F20"/>
        </w:rPr>
        <w:t>ПК </w:t>
      </w:r>
      <w:r>
        <w:rPr>
          <w:color w:val="231F20"/>
          <w:spacing w:val="-3"/>
        </w:rPr>
        <w:t>„Дрмно” </w:t>
      </w:r>
      <w:r>
        <w:rPr>
          <w:color w:val="231F20"/>
        </w:rPr>
        <w:t>и 5 hа на северној грани- ци ПК „Кленовник”. </w:t>
      </w:r>
      <w:r>
        <w:rPr>
          <w:color w:val="231F20"/>
          <w:spacing w:val="-7"/>
        </w:rPr>
        <w:t>Током </w:t>
      </w:r>
      <w:r>
        <w:rPr>
          <w:color w:val="231F20"/>
        </w:rPr>
        <w:t>2009. </w:t>
      </w:r>
      <w:r>
        <w:rPr>
          <w:color w:val="231F20"/>
          <w:spacing w:val="-4"/>
        </w:rPr>
        <w:t>године </w:t>
      </w:r>
      <w:r>
        <w:rPr>
          <w:color w:val="231F20"/>
        </w:rPr>
        <w:t>је урађена </w:t>
      </w:r>
      <w:r>
        <w:rPr>
          <w:color w:val="231F20"/>
          <w:spacing w:val="-3"/>
        </w:rPr>
        <w:t>агробиолошка рекултивација </w:t>
      </w:r>
      <w:r>
        <w:rPr>
          <w:color w:val="231F20"/>
        </w:rPr>
        <w:t>на 10 hа спољашњег </w:t>
      </w:r>
      <w:r>
        <w:rPr>
          <w:color w:val="231F20"/>
          <w:spacing w:val="-3"/>
        </w:rPr>
        <w:t>одлагалишта </w:t>
      </w:r>
      <w:r>
        <w:rPr>
          <w:color w:val="231F20"/>
        </w:rPr>
        <w:t>ПК </w:t>
      </w:r>
      <w:r>
        <w:rPr>
          <w:color w:val="231F20"/>
          <w:spacing w:val="-3"/>
        </w:rPr>
        <w:t>„Дрмно” </w:t>
      </w:r>
      <w:r>
        <w:rPr>
          <w:color w:val="231F20"/>
        </w:rPr>
        <w:t>и по- </w:t>
      </w:r>
      <w:r>
        <w:rPr>
          <w:color w:val="231F20"/>
          <w:spacing w:val="-3"/>
        </w:rPr>
        <w:t>шумљавање </w:t>
      </w:r>
      <w:r>
        <w:rPr>
          <w:color w:val="231F20"/>
          <w:spacing w:val="-5"/>
        </w:rPr>
        <w:t>11 </w:t>
      </w:r>
      <w:r>
        <w:rPr>
          <w:color w:val="231F20"/>
        </w:rPr>
        <w:t>hа на </w:t>
      </w:r>
      <w:r>
        <w:rPr>
          <w:color w:val="231F20"/>
          <w:spacing w:val="-3"/>
        </w:rPr>
        <w:t>косинама </w:t>
      </w:r>
      <w:r>
        <w:rPr>
          <w:color w:val="231F20"/>
        </w:rPr>
        <w:t>ПК </w:t>
      </w:r>
      <w:r>
        <w:rPr>
          <w:color w:val="231F20"/>
          <w:spacing w:val="-3"/>
        </w:rPr>
        <w:t>„Дрмно”. </w:t>
      </w:r>
      <w:r>
        <w:rPr>
          <w:color w:val="231F20"/>
        </w:rPr>
        <w:t>Крајем 2010. </w:t>
      </w:r>
      <w:r>
        <w:rPr>
          <w:color w:val="231F20"/>
          <w:spacing w:val="-4"/>
        </w:rPr>
        <w:t>године </w:t>
      </w:r>
      <w:r>
        <w:rPr>
          <w:color w:val="231F20"/>
        </w:rPr>
        <w:t>на </w:t>
      </w:r>
      <w:r>
        <w:rPr>
          <w:color w:val="231F20"/>
          <w:spacing w:val="-3"/>
        </w:rPr>
        <w:t>овом</w:t>
      </w:r>
      <w:r>
        <w:rPr>
          <w:color w:val="231F20"/>
          <w:spacing w:val="-13"/>
        </w:rPr>
        <w:t> </w:t>
      </w:r>
      <w:r>
        <w:rPr>
          <w:color w:val="231F20"/>
          <w:spacing w:val="-4"/>
        </w:rPr>
        <w:t>копу</w:t>
      </w:r>
      <w:r>
        <w:rPr>
          <w:color w:val="231F20"/>
          <w:spacing w:val="-13"/>
        </w:rPr>
        <w:t> </w:t>
      </w:r>
      <w:r>
        <w:rPr>
          <w:color w:val="231F20"/>
        </w:rPr>
        <w:t>је</w:t>
      </w:r>
      <w:r>
        <w:rPr>
          <w:color w:val="231F20"/>
          <w:spacing w:val="-13"/>
        </w:rPr>
        <w:t> </w:t>
      </w:r>
      <w:r>
        <w:rPr>
          <w:color w:val="231F20"/>
          <w:spacing w:val="-3"/>
        </w:rPr>
        <w:t>рекултивисано</w:t>
      </w:r>
      <w:r>
        <w:rPr>
          <w:color w:val="231F20"/>
          <w:spacing w:val="-13"/>
        </w:rPr>
        <w:t> </w:t>
      </w:r>
      <w:r>
        <w:rPr>
          <w:color w:val="231F20"/>
          <w:spacing w:val="-3"/>
        </w:rPr>
        <w:t>укупно</w:t>
      </w:r>
      <w:r>
        <w:rPr>
          <w:color w:val="231F20"/>
          <w:spacing w:val="-13"/>
        </w:rPr>
        <w:t> </w:t>
      </w:r>
      <w:r>
        <w:rPr>
          <w:color w:val="231F20"/>
        </w:rPr>
        <w:t>73,5</w:t>
      </w:r>
      <w:r>
        <w:rPr>
          <w:color w:val="231F20"/>
          <w:spacing w:val="-13"/>
        </w:rPr>
        <w:t> </w:t>
      </w:r>
      <w:r>
        <w:rPr>
          <w:color w:val="231F20"/>
        </w:rPr>
        <w:t>hа</w:t>
      </w:r>
      <w:r>
        <w:rPr>
          <w:color w:val="231F20"/>
          <w:spacing w:val="-13"/>
        </w:rPr>
        <w:t> </w:t>
      </w:r>
      <w:r>
        <w:rPr>
          <w:color w:val="231F20"/>
        </w:rPr>
        <w:t>деградираног</w:t>
      </w:r>
      <w:r>
        <w:rPr>
          <w:color w:val="231F20"/>
          <w:spacing w:val="-13"/>
        </w:rPr>
        <w:t> </w:t>
      </w:r>
      <w:r>
        <w:rPr>
          <w:color w:val="231F20"/>
        </w:rPr>
        <w:t>земљишта. На спољњем </w:t>
      </w:r>
      <w:r>
        <w:rPr>
          <w:color w:val="231F20"/>
          <w:spacing w:val="-3"/>
        </w:rPr>
        <w:t>одлагалишту </w:t>
      </w:r>
      <w:r>
        <w:rPr>
          <w:color w:val="231F20"/>
        </w:rPr>
        <w:t>је на </w:t>
      </w:r>
      <w:r>
        <w:rPr>
          <w:color w:val="231F20"/>
          <w:spacing w:val="-4"/>
        </w:rPr>
        <w:t>песковитом </w:t>
      </w:r>
      <w:r>
        <w:rPr>
          <w:color w:val="231F20"/>
          <w:spacing w:val="-3"/>
        </w:rPr>
        <w:t>супстрату подигнут </w:t>
      </w:r>
      <w:r>
        <w:rPr>
          <w:color w:val="231F20"/>
        </w:rPr>
        <w:t>ви- ноград површине 2 ha. Нa 41 ha се гаје </w:t>
      </w:r>
      <w:r>
        <w:rPr>
          <w:color w:val="231F20"/>
          <w:spacing w:val="-3"/>
        </w:rPr>
        <w:t>ратарске </w:t>
      </w:r>
      <w:r>
        <w:rPr>
          <w:color w:val="231F20"/>
          <w:spacing w:val="-4"/>
        </w:rPr>
        <w:t>културе </w:t>
      </w:r>
      <w:r>
        <w:rPr>
          <w:color w:val="231F20"/>
        </w:rPr>
        <w:t>(уљана</w:t>
      </w:r>
      <w:r>
        <w:rPr>
          <w:color w:val="231F20"/>
          <w:spacing w:val="-29"/>
        </w:rPr>
        <w:t> </w:t>
      </w:r>
      <w:r>
        <w:rPr>
          <w:color w:val="231F20"/>
        </w:rPr>
        <w:t>ре- пица</w:t>
      </w:r>
      <w:r>
        <w:rPr>
          <w:color w:val="231F20"/>
          <w:spacing w:val="8"/>
        </w:rPr>
        <w:t> </w:t>
      </w:r>
      <w:r>
        <w:rPr>
          <w:color w:val="231F20"/>
        </w:rPr>
        <w:t>–</w:t>
      </w:r>
      <w:r>
        <w:rPr>
          <w:color w:val="231F20"/>
          <w:spacing w:val="-15"/>
        </w:rPr>
        <w:t> </w:t>
      </w:r>
      <w:r>
        <w:rPr>
          <w:color w:val="231F20"/>
        </w:rPr>
        <w:t>7</w:t>
      </w:r>
      <w:r>
        <w:rPr>
          <w:color w:val="231F20"/>
          <w:spacing w:val="-15"/>
        </w:rPr>
        <w:t> </w:t>
      </w:r>
      <w:r>
        <w:rPr>
          <w:color w:val="231F20"/>
        </w:rPr>
        <w:t>ha,</w:t>
      </w:r>
      <w:r>
        <w:rPr>
          <w:color w:val="231F20"/>
          <w:spacing w:val="-15"/>
        </w:rPr>
        <w:t> </w:t>
      </w:r>
      <w:r>
        <w:rPr>
          <w:color w:val="231F20"/>
        </w:rPr>
        <w:t>детелина</w:t>
      </w:r>
      <w:r>
        <w:rPr>
          <w:color w:val="231F20"/>
          <w:spacing w:val="8"/>
        </w:rPr>
        <w:t> </w:t>
      </w:r>
      <w:r>
        <w:rPr>
          <w:color w:val="231F20"/>
        </w:rPr>
        <w:t>–</w:t>
      </w:r>
      <w:r>
        <w:rPr>
          <w:color w:val="231F20"/>
          <w:spacing w:val="-15"/>
        </w:rPr>
        <w:t> </w:t>
      </w:r>
      <w:r>
        <w:rPr>
          <w:color w:val="231F20"/>
        </w:rPr>
        <w:t>16</w:t>
      </w:r>
      <w:r>
        <w:rPr>
          <w:color w:val="231F20"/>
          <w:spacing w:val="-15"/>
        </w:rPr>
        <w:t> </w:t>
      </w:r>
      <w:r>
        <w:rPr>
          <w:color w:val="231F20"/>
        </w:rPr>
        <w:t>ha</w:t>
      </w:r>
      <w:r>
        <w:rPr>
          <w:color w:val="231F20"/>
          <w:spacing w:val="-15"/>
        </w:rPr>
        <w:t> </w:t>
      </w:r>
      <w:r>
        <w:rPr>
          <w:color w:val="231F20"/>
        </w:rPr>
        <w:t>и</w:t>
      </w:r>
      <w:r>
        <w:rPr>
          <w:color w:val="231F20"/>
          <w:spacing w:val="-15"/>
        </w:rPr>
        <w:t> </w:t>
      </w:r>
      <w:r>
        <w:rPr>
          <w:color w:val="231F20"/>
          <w:spacing w:val="-3"/>
        </w:rPr>
        <w:t>легуминозне</w:t>
      </w:r>
      <w:r>
        <w:rPr>
          <w:color w:val="231F20"/>
          <w:spacing w:val="-15"/>
        </w:rPr>
        <w:t> </w:t>
      </w:r>
      <w:r>
        <w:rPr>
          <w:color w:val="231F20"/>
        </w:rPr>
        <w:t>смеше</w:t>
      </w:r>
      <w:r>
        <w:rPr>
          <w:color w:val="231F20"/>
          <w:spacing w:val="8"/>
        </w:rPr>
        <w:t> </w:t>
      </w:r>
      <w:r>
        <w:rPr>
          <w:color w:val="231F20"/>
        </w:rPr>
        <w:t>–</w:t>
      </w:r>
      <w:r>
        <w:rPr>
          <w:color w:val="231F20"/>
          <w:spacing w:val="-15"/>
        </w:rPr>
        <w:t> </w:t>
      </w:r>
      <w:r>
        <w:rPr>
          <w:color w:val="231F20"/>
        </w:rPr>
        <w:t>18</w:t>
      </w:r>
      <w:r>
        <w:rPr>
          <w:color w:val="231F20"/>
          <w:spacing w:val="-15"/>
        </w:rPr>
        <w:t> </w:t>
      </w:r>
      <w:r>
        <w:rPr>
          <w:color w:val="231F20"/>
        </w:rPr>
        <w:t>ha),</w:t>
      </w:r>
      <w:r>
        <w:rPr>
          <w:color w:val="231F20"/>
          <w:spacing w:val="-15"/>
        </w:rPr>
        <w:t> </w:t>
      </w:r>
      <w:r>
        <w:rPr>
          <w:color w:val="231F20"/>
        </w:rPr>
        <w:t>а</w:t>
      </w:r>
      <w:r>
        <w:rPr>
          <w:color w:val="231F20"/>
          <w:spacing w:val="-15"/>
        </w:rPr>
        <w:t> </w:t>
      </w:r>
      <w:r>
        <w:rPr>
          <w:color w:val="231F20"/>
        </w:rPr>
        <w:t>20,5</w:t>
      </w:r>
      <w:r>
        <w:rPr>
          <w:color w:val="231F20"/>
          <w:spacing w:val="-15"/>
        </w:rPr>
        <w:t> </w:t>
      </w:r>
      <w:r>
        <w:rPr>
          <w:color w:val="231F20"/>
        </w:rPr>
        <w:t>hа је </w:t>
      </w:r>
      <w:r>
        <w:rPr>
          <w:color w:val="231F20"/>
          <w:spacing w:val="-3"/>
        </w:rPr>
        <w:t>пошумљено </w:t>
      </w:r>
      <w:r>
        <w:rPr>
          <w:color w:val="231F20"/>
        </w:rPr>
        <w:t>(багрем – 15 hа, црни бор – 1,5 hа и </w:t>
      </w:r>
      <w:r>
        <w:rPr>
          <w:color w:val="231F20"/>
          <w:spacing w:val="-3"/>
        </w:rPr>
        <w:t>топола </w:t>
      </w:r>
      <w:r>
        <w:rPr>
          <w:color w:val="231F20"/>
        </w:rPr>
        <w:t>– 4 hа). </w:t>
      </w:r>
      <w:r>
        <w:rPr>
          <w:color w:val="231F20"/>
          <w:spacing w:val="-4"/>
        </w:rPr>
        <w:t>Такође </w:t>
      </w:r>
      <w:r>
        <w:rPr>
          <w:color w:val="231F20"/>
        </w:rPr>
        <w:t>је </w:t>
      </w:r>
      <w:r>
        <w:rPr>
          <w:color w:val="231F20"/>
          <w:spacing w:val="-3"/>
        </w:rPr>
        <w:t>пошумљено </w:t>
      </w:r>
      <w:r>
        <w:rPr>
          <w:color w:val="231F20"/>
        </w:rPr>
        <w:t>10 hа унутрашњег </w:t>
      </w:r>
      <w:r>
        <w:rPr>
          <w:color w:val="231F20"/>
          <w:spacing w:val="-3"/>
        </w:rPr>
        <w:t>одлагалишта тог</w:t>
      </w:r>
      <w:r>
        <w:rPr>
          <w:color w:val="231F20"/>
          <w:spacing w:val="-22"/>
        </w:rPr>
        <w:t> </w:t>
      </w:r>
      <w:r>
        <w:rPr>
          <w:color w:val="231F20"/>
          <w:spacing w:val="-4"/>
        </w:rPr>
        <w:t>копа.</w:t>
      </w:r>
    </w:p>
    <w:p>
      <w:pPr>
        <w:pStyle w:val="BodyText"/>
        <w:spacing w:line="232" w:lineRule="auto"/>
        <w:ind w:left="172" w:right="408" w:firstLine="397"/>
      </w:pPr>
      <w:r>
        <w:rPr>
          <w:color w:val="231F20"/>
        </w:rPr>
        <w:t>И поред одређених позитивних помака током последњих неколико година, досадашњи резултати рекултивизације и реви- тализације простора деградираног експлоатацијом и прерадом костолачког угља могу се, генерално, оценити као незадовоља- вајући. Стога је неопходно да се интензивирају активности, како на убрзаном надокнађивању пропуста из прошлости, тако и на</w:t>
      </w:r>
    </w:p>
    <w:p>
      <w:pPr>
        <w:spacing w:after="0" w:line="232" w:lineRule="auto"/>
        <w:sectPr>
          <w:pgSz w:w="12480" w:h="15690"/>
          <w:pgMar w:top="120" w:bottom="280" w:left="680" w:right="720"/>
          <w:cols w:num="2" w:equalWidth="0">
            <w:col w:w="5315" w:space="72"/>
            <w:col w:w="5693"/>
          </w:cols>
        </w:sectPr>
      </w:pPr>
    </w:p>
    <w:p>
      <w:pPr>
        <w:pStyle w:val="BodyText"/>
        <w:spacing w:line="204" w:lineRule="exact" w:before="68"/>
        <w:ind w:left="453"/>
        <w:jc w:val="left"/>
      </w:pPr>
      <w:r>
        <w:rPr/>
        <w:pict>
          <v:line style="position:absolute;mso-position-horizontal-relative:page;mso-position-vertical-relative:page;z-index:1648" from="318.897614pt,11.942451pt" to="318.897614pt,748.950451pt" stroked="true" strokeweight=".6pt" strokecolor="#231f20">
            <v:stroke dashstyle="solid"/>
            <w10:wrap type="none"/>
          </v:line>
        </w:pict>
      </w:r>
      <w:r>
        <w:rPr>
          <w:color w:val="231F20"/>
        </w:rPr>
        <w:t>сукцесивном санирању будућих пострударских терена на копу</w:t>
      </w:r>
    </w:p>
    <w:p>
      <w:pPr>
        <w:pStyle w:val="BodyText"/>
        <w:spacing w:line="232" w:lineRule="auto" w:before="2"/>
        <w:ind w:left="453" w:hanging="1"/>
      </w:pPr>
      <w:r>
        <w:rPr>
          <w:color w:val="231F20"/>
        </w:rPr>
        <w:t>„Дрмно”, који ће напредовати на рачун заузимања плодних сти- шких земљишта, која чине један од највреднијих природних ре- сурса Републике Србије, без премца и у европским размерима..</w:t>
      </w:r>
    </w:p>
    <w:p>
      <w:pPr>
        <w:pStyle w:val="BodyText"/>
        <w:spacing w:line="232" w:lineRule="auto" w:before="1"/>
        <w:ind w:left="453" w:firstLine="397"/>
      </w:pPr>
      <w:r>
        <w:rPr>
          <w:color w:val="231F20"/>
        </w:rPr>
        <w:t>Према пословним плановима ПД ТЕ-КО „Костолац”, у на- редном периоду приоритет има настављање радова на биолошкој рекултивацији спољњег одлагалишта </w:t>
      </w:r>
      <w:r>
        <w:rPr>
          <w:color w:val="231F20"/>
          <w:spacing w:val="-3"/>
        </w:rPr>
        <w:t>копа </w:t>
      </w:r>
      <w:r>
        <w:rPr>
          <w:color w:val="231F20"/>
        </w:rPr>
        <w:t>„Дрмно”, на </w:t>
      </w:r>
      <w:r>
        <w:rPr>
          <w:color w:val="231F20"/>
          <w:spacing w:val="-4"/>
        </w:rPr>
        <w:t>коме </w:t>
      </w:r>
      <w:r>
        <w:rPr>
          <w:color w:val="231F20"/>
        </w:rPr>
        <w:t>је спроведена техничка рекултивација, имајући у </w:t>
      </w:r>
      <w:r>
        <w:rPr>
          <w:color w:val="231F20"/>
          <w:spacing w:val="-4"/>
        </w:rPr>
        <w:t>виду, </w:t>
      </w:r>
      <w:r>
        <w:rPr>
          <w:color w:val="231F20"/>
        </w:rPr>
        <w:t>пре свега, значајне </w:t>
      </w:r>
      <w:r>
        <w:rPr>
          <w:color w:val="231F20"/>
          <w:spacing w:val="-3"/>
        </w:rPr>
        <w:t>еколошке </w:t>
      </w:r>
      <w:r>
        <w:rPr>
          <w:color w:val="231F20"/>
        </w:rPr>
        <w:t>ефекте на оближња насеља (Костолац – град, Дрмно и Стари Костолац). Из истих разлога се ставља тежиште и на хитно спровођење техничке и биолошке рекултивације спољ- њег и унутрашњег одлагалишта </w:t>
      </w:r>
      <w:r>
        <w:rPr>
          <w:color w:val="231F20"/>
          <w:spacing w:val="-3"/>
        </w:rPr>
        <w:t>копа </w:t>
      </w:r>
      <w:r>
        <w:rPr>
          <w:color w:val="231F20"/>
        </w:rPr>
        <w:t>„Кленовник”. Посебно је ур- гентна</w:t>
      </w:r>
      <w:r>
        <w:rPr>
          <w:color w:val="231F20"/>
          <w:spacing w:val="-5"/>
        </w:rPr>
        <w:t> </w:t>
      </w:r>
      <w:r>
        <w:rPr>
          <w:color w:val="231F20"/>
        </w:rPr>
        <w:t>заштита</w:t>
      </w:r>
      <w:r>
        <w:rPr>
          <w:color w:val="231F20"/>
          <w:spacing w:val="-5"/>
        </w:rPr>
        <w:t> </w:t>
      </w:r>
      <w:r>
        <w:rPr>
          <w:color w:val="231F20"/>
        </w:rPr>
        <w:t>насеља</w:t>
      </w:r>
      <w:r>
        <w:rPr>
          <w:color w:val="231F20"/>
          <w:spacing w:val="-5"/>
        </w:rPr>
        <w:t> </w:t>
      </w:r>
      <w:r>
        <w:rPr>
          <w:color w:val="231F20"/>
        </w:rPr>
        <w:t>Стари</w:t>
      </w:r>
      <w:r>
        <w:rPr>
          <w:color w:val="231F20"/>
          <w:spacing w:val="-5"/>
        </w:rPr>
        <w:t> </w:t>
      </w:r>
      <w:r>
        <w:rPr>
          <w:color w:val="231F20"/>
        </w:rPr>
        <w:t>Костолац</w:t>
      </w:r>
      <w:r>
        <w:rPr>
          <w:color w:val="231F20"/>
          <w:spacing w:val="-5"/>
        </w:rPr>
        <w:t> </w:t>
      </w:r>
      <w:r>
        <w:rPr>
          <w:color w:val="231F20"/>
        </w:rPr>
        <w:t>и</w:t>
      </w:r>
      <w:r>
        <w:rPr>
          <w:color w:val="231F20"/>
          <w:spacing w:val="-5"/>
        </w:rPr>
        <w:t> </w:t>
      </w:r>
      <w:r>
        <w:rPr>
          <w:color w:val="231F20"/>
        </w:rPr>
        <w:t>града</w:t>
      </w:r>
      <w:r>
        <w:rPr>
          <w:color w:val="231F20"/>
          <w:spacing w:val="-5"/>
        </w:rPr>
        <w:t> </w:t>
      </w:r>
      <w:r>
        <w:rPr>
          <w:color w:val="231F20"/>
        </w:rPr>
        <w:t>Костолац</w:t>
      </w:r>
      <w:r>
        <w:rPr>
          <w:color w:val="231F20"/>
          <w:spacing w:val="-5"/>
        </w:rPr>
        <w:t> </w:t>
      </w:r>
      <w:r>
        <w:rPr>
          <w:color w:val="231F20"/>
          <w:spacing w:val="-3"/>
        </w:rPr>
        <w:t>од</w:t>
      </w:r>
      <w:r>
        <w:rPr>
          <w:color w:val="231F20"/>
          <w:spacing w:val="-5"/>
        </w:rPr>
        <w:t> </w:t>
      </w:r>
      <w:r>
        <w:rPr>
          <w:color w:val="231F20"/>
        </w:rPr>
        <w:t>штет- ног утицаја привремене комуналне депоније, </w:t>
      </w:r>
      <w:r>
        <w:rPr>
          <w:color w:val="231F20"/>
          <w:spacing w:val="-3"/>
        </w:rPr>
        <w:t>која </w:t>
      </w:r>
      <w:r>
        <w:rPr>
          <w:color w:val="231F20"/>
        </w:rPr>
        <w:t>се налази у делу спољњег одлагалишта тог </w:t>
      </w:r>
      <w:r>
        <w:rPr>
          <w:color w:val="231F20"/>
          <w:spacing w:val="-3"/>
        </w:rPr>
        <w:t>копа, </w:t>
      </w:r>
      <w:r>
        <w:rPr>
          <w:color w:val="231F20"/>
        </w:rPr>
        <w:t>а надасве, заштита вода и геосре- дине </w:t>
      </w:r>
      <w:r>
        <w:rPr>
          <w:color w:val="231F20"/>
          <w:spacing w:val="-3"/>
        </w:rPr>
        <w:t>од </w:t>
      </w:r>
      <w:r>
        <w:rPr>
          <w:color w:val="231F20"/>
        </w:rPr>
        <w:t>штетних утицаја депонија пепела, применом одговарају- ћих мера превенције, односно</w:t>
      </w:r>
      <w:r>
        <w:rPr>
          <w:color w:val="231F20"/>
          <w:spacing w:val="-2"/>
        </w:rPr>
        <w:t> </w:t>
      </w:r>
      <w:r>
        <w:rPr>
          <w:color w:val="231F20"/>
        </w:rPr>
        <w:t>ремедијације.</w:t>
      </w:r>
    </w:p>
    <w:p>
      <w:pPr>
        <w:pStyle w:val="ListParagraph"/>
        <w:numPr>
          <w:ilvl w:val="2"/>
          <w:numId w:val="19"/>
        </w:numPr>
        <w:tabs>
          <w:tab w:pos="1315" w:val="left" w:leader="none"/>
        </w:tabs>
        <w:spacing w:line="232" w:lineRule="auto" w:before="173" w:after="0"/>
        <w:ind w:left="2545" w:right="411" w:hanging="1681"/>
        <w:jc w:val="left"/>
        <w:rPr>
          <w:sz w:val="18"/>
        </w:rPr>
      </w:pPr>
      <w:r>
        <w:rPr>
          <w:color w:val="231F20"/>
          <w:spacing w:val="15"/>
          <w:sz w:val="18"/>
        </w:rPr>
        <w:t>Заштит </w:t>
      </w:r>
      <w:r>
        <w:rPr>
          <w:color w:val="231F20"/>
          <w:sz w:val="18"/>
        </w:rPr>
        <w:t>а </w:t>
      </w:r>
      <w:r>
        <w:rPr>
          <w:color w:val="231F20"/>
          <w:spacing w:val="15"/>
          <w:sz w:val="18"/>
        </w:rPr>
        <w:t>природе, </w:t>
      </w:r>
      <w:r>
        <w:rPr>
          <w:color w:val="231F20"/>
          <w:spacing w:val="16"/>
          <w:sz w:val="18"/>
        </w:rPr>
        <w:t>природних </w:t>
      </w:r>
      <w:r>
        <w:rPr>
          <w:color w:val="231F20"/>
          <w:spacing w:val="15"/>
          <w:sz w:val="18"/>
        </w:rPr>
        <w:t>вредно </w:t>
      </w:r>
      <w:r>
        <w:rPr>
          <w:color w:val="231F20"/>
          <w:spacing w:val="12"/>
          <w:sz w:val="18"/>
        </w:rPr>
        <w:t>сти </w:t>
      </w:r>
      <w:r>
        <w:rPr>
          <w:color w:val="231F20"/>
          <w:sz w:val="18"/>
        </w:rPr>
        <w:t>и</w:t>
      </w:r>
      <w:r>
        <w:rPr>
          <w:color w:val="231F20"/>
          <w:spacing w:val="42"/>
          <w:sz w:val="18"/>
        </w:rPr>
        <w:t> </w:t>
      </w:r>
      <w:r>
        <w:rPr>
          <w:color w:val="231F20"/>
          <w:spacing w:val="15"/>
          <w:sz w:val="18"/>
        </w:rPr>
        <w:t>предела</w:t>
      </w:r>
    </w:p>
    <w:p>
      <w:pPr>
        <w:pStyle w:val="BodyText"/>
        <w:spacing w:before="166"/>
        <w:ind w:left="1497"/>
        <w:jc w:val="left"/>
      </w:pPr>
      <w:r>
        <w:rPr>
          <w:color w:val="231F20"/>
        </w:rPr>
        <w:t>Стање природе и природних вредности</w:t>
      </w:r>
    </w:p>
    <w:p>
      <w:pPr>
        <w:pStyle w:val="BodyText"/>
        <w:spacing w:before="5"/>
        <w:ind w:left="0"/>
        <w:jc w:val="left"/>
        <w:rPr>
          <w:sz w:val="17"/>
        </w:rPr>
      </w:pPr>
    </w:p>
    <w:p>
      <w:pPr>
        <w:pStyle w:val="BodyText"/>
        <w:spacing w:line="232" w:lineRule="auto"/>
        <w:ind w:left="453" w:firstLine="397"/>
      </w:pPr>
      <w:r>
        <w:rPr>
          <w:color w:val="231F20"/>
        </w:rPr>
        <w:t>На </w:t>
      </w:r>
      <w:r>
        <w:rPr>
          <w:color w:val="231F20"/>
          <w:spacing w:val="-3"/>
        </w:rPr>
        <w:t>Планском </w:t>
      </w:r>
      <w:r>
        <w:rPr>
          <w:color w:val="231F20"/>
        </w:rPr>
        <w:t>подручју доминира агрикултурна вегетација. Шумска самоникла вегетација сведена је највећим делом (изузев приобалних појасева Дунава, Велике Мораве и Млаве </w:t>
      </w:r>
      <w:r>
        <w:rPr>
          <w:color w:val="231F20"/>
          <w:spacing w:val="-4"/>
        </w:rPr>
        <w:t>где </w:t>
      </w:r>
      <w:r>
        <w:rPr>
          <w:color w:val="231F20"/>
        </w:rPr>
        <w:t>се ја- вљају самоникли низови или шумице, најчешће у облику шика- расто-жбунастих формација врбе, јове и тополе) на појединачно дрвеће, групе стабала, живице на међама и мале заостале забра- не. Већина старих, добро развијених стабала дрвећа </w:t>
      </w:r>
      <w:r>
        <w:rPr>
          <w:color w:val="231F20"/>
          <w:spacing w:val="-3"/>
        </w:rPr>
        <w:t>која </w:t>
      </w:r>
      <w:r>
        <w:rPr>
          <w:color w:val="231F20"/>
        </w:rPr>
        <w:t>предста- вљају сведочанства некадашњих бујних шума храста лужњака и сладуна и других низијских и брдских врста дрвећа, </w:t>
      </w:r>
      <w:r>
        <w:rPr>
          <w:color w:val="231F20"/>
          <w:spacing w:val="-3"/>
        </w:rPr>
        <w:t>углавном </w:t>
      </w:r>
      <w:r>
        <w:rPr>
          <w:color w:val="231F20"/>
        </w:rPr>
        <w:t>се налази</w:t>
      </w:r>
      <w:r>
        <w:rPr>
          <w:color w:val="231F20"/>
          <w:spacing w:val="-5"/>
        </w:rPr>
        <w:t> </w:t>
      </w:r>
      <w:r>
        <w:rPr>
          <w:color w:val="231F20"/>
        </w:rPr>
        <w:t>у</w:t>
      </w:r>
      <w:r>
        <w:rPr>
          <w:color w:val="231F20"/>
          <w:spacing w:val="-5"/>
        </w:rPr>
        <w:t> </w:t>
      </w:r>
      <w:r>
        <w:rPr>
          <w:color w:val="231F20"/>
        </w:rPr>
        <w:t>процесу</w:t>
      </w:r>
      <w:r>
        <w:rPr>
          <w:color w:val="231F20"/>
          <w:spacing w:val="-5"/>
        </w:rPr>
        <w:t> </w:t>
      </w:r>
      <w:r>
        <w:rPr>
          <w:color w:val="231F20"/>
        </w:rPr>
        <w:t>сушења</w:t>
      </w:r>
      <w:r>
        <w:rPr>
          <w:color w:val="231F20"/>
          <w:spacing w:val="-5"/>
        </w:rPr>
        <w:t> </w:t>
      </w:r>
      <w:r>
        <w:rPr>
          <w:color w:val="231F20"/>
        </w:rPr>
        <w:t>и</w:t>
      </w:r>
      <w:r>
        <w:rPr>
          <w:color w:val="231F20"/>
          <w:spacing w:val="-5"/>
        </w:rPr>
        <w:t> </w:t>
      </w:r>
      <w:r>
        <w:rPr>
          <w:color w:val="231F20"/>
        </w:rPr>
        <w:t>пропадања</w:t>
      </w:r>
      <w:r>
        <w:rPr>
          <w:color w:val="231F20"/>
          <w:spacing w:val="-5"/>
        </w:rPr>
        <w:t> </w:t>
      </w:r>
      <w:r>
        <w:rPr>
          <w:color w:val="231F20"/>
        </w:rPr>
        <w:t>услед</w:t>
      </w:r>
      <w:r>
        <w:rPr>
          <w:color w:val="231F20"/>
          <w:spacing w:val="-5"/>
        </w:rPr>
        <w:t> </w:t>
      </w:r>
      <w:r>
        <w:rPr>
          <w:color w:val="231F20"/>
        </w:rPr>
        <w:t>старости</w:t>
      </w:r>
      <w:r>
        <w:rPr>
          <w:color w:val="231F20"/>
          <w:spacing w:val="-5"/>
        </w:rPr>
        <w:t> </w:t>
      </w:r>
      <w:r>
        <w:rPr>
          <w:color w:val="231F20"/>
        </w:rPr>
        <w:t>или</w:t>
      </w:r>
      <w:r>
        <w:rPr>
          <w:color w:val="231F20"/>
          <w:spacing w:val="-5"/>
        </w:rPr>
        <w:t> </w:t>
      </w:r>
      <w:r>
        <w:rPr>
          <w:color w:val="231F20"/>
        </w:rPr>
        <w:t>утицаја човека као што је случај са заштићеним групама стабала у Љуби- </w:t>
      </w:r>
      <w:r>
        <w:rPr>
          <w:color w:val="231F20"/>
          <w:spacing w:val="-5"/>
        </w:rPr>
        <w:t>чеву, </w:t>
      </w:r>
      <w:r>
        <w:rPr>
          <w:color w:val="231F20"/>
          <w:spacing w:val="-3"/>
        </w:rPr>
        <w:t>Пругову </w:t>
      </w:r>
      <w:r>
        <w:rPr>
          <w:color w:val="231F20"/>
        </w:rPr>
        <w:t>и </w:t>
      </w:r>
      <w:r>
        <w:rPr>
          <w:color w:val="231F20"/>
          <w:spacing w:val="-4"/>
        </w:rPr>
        <w:t>Драговцу. </w:t>
      </w:r>
      <w:r>
        <w:rPr>
          <w:color w:val="231F20"/>
        </w:rPr>
        <w:t>У инундационим, небрањеним појасе- вима </w:t>
      </w:r>
      <w:r>
        <w:rPr>
          <w:color w:val="231F20"/>
          <w:spacing w:val="-3"/>
        </w:rPr>
        <w:t>водотока </w:t>
      </w:r>
      <w:r>
        <w:rPr>
          <w:color w:val="231F20"/>
        </w:rPr>
        <w:t>и на просторима некадашњих површинских </w:t>
      </w:r>
      <w:r>
        <w:rPr>
          <w:color w:val="231F20"/>
          <w:spacing w:val="-3"/>
        </w:rPr>
        <w:t>копова </w:t>
      </w:r>
      <w:r>
        <w:rPr>
          <w:color w:val="231F20"/>
        </w:rPr>
        <w:t>лигнита</w:t>
      </w:r>
      <w:r>
        <w:rPr>
          <w:color w:val="231F20"/>
          <w:spacing w:val="-6"/>
        </w:rPr>
        <w:t> </w:t>
      </w:r>
      <w:r>
        <w:rPr>
          <w:color w:val="231F20"/>
        </w:rPr>
        <w:t>и</w:t>
      </w:r>
      <w:r>
        <w:rPr>
          <w:color w:val="231F20"/>
          <w:spacing w:val="-6"/>
        </w:rPr>
        <w:t> </w:t>
      </w:r>
      <w:r>
        <w:rPr>
          <w:color w:val="231F20"/>
        </w:rPr>
        <w:t>на</w:t>
      </w:r>
      <w:r>
        <w:rPr>
          <w:color w:val="231F20"/>
          <w:spacing w:val="-6"/>
        </w:rPr>
        <w:t> </w:t>
      </w:r>
      <w:r>
        <w:rPr>
          <w:color w:val="231F20"/>
        </w:rPr>
        <w:t>јаловиштима,</w:t>
      </w:r>
      <w:r>
        <w:rPr>
          <w:color w:val="231F20"/>
          <w:spacing w:val="-6"/>
        </w:rPr>
        <w:t> </w:t>
      </w:r>
      <w:r>
        <w:rPr>
          <w:color w:val="231F20"/>
        </w:rPr>
        <w:t>подигнути</w:t>
      </w:r>
      <w:r>
        <w:rPr>
          <w:color w:val="231F20"/>
          <w:spacing w:val="-6"/>
        </w:rPr>
        <w:t> </w:t>
      </w:r>
      <w:r>
        <w:rPr>
          <w:color w:val="231F20"/>
        </w:rPr>
        <w:t>су</w:t>
      </w:r>
      <w:r>
        <w:rPr>
          <w:color w:val="231F20"/>
          <w:spacing w:val="-6"/>
        </w:rPr>
        <w:t> </w:t>
      </w:r>
      <w:r>
        <w:rPr>
          <w:color w:val="231F20"/>
        </w:rPr>
        <w:t>већи</w:t>
      </w:r>
      <w:r>
        <w:rPr>
          <w:color w:val="231F20"/>
          <w:spacing w:val="-6"/>
        </w:rPr>
        <w:t> </w:t>
      </w:r>
      <w:r>
        <w:rPr>
          <w:color w:val="231F20"/>
        </w:rPr>
        <w:t>вештачки</w:t>
      </w:r>
      <w:r>
        <w:rPr>
          <w:color w:val="231F20"/>
          <w:spacing w:val="-6"/>
        </w:rPr>
        <w:t> </w:t>
      </w:r>
      <w:r>
        <w:rPr>
          <w:color w:val="231F20"/>
        </w:rPr>
        <w:t>засади</w:t>
      </w:r>
      <w:r>
        <w:rPr>
          <w:color w:val="231F20"/>
          <w:spacing w:val="-6"/>
        </w:rPr>
        <w:t> </w:t>
      </w:r>
      <w:r>
        <w:rPr>
          <w:color w:val="231F20"/>
        </w:rPr>
        <w:t>то- пола</w:t>
      </w:r>
      <w:r>
        <w:rPr>
          <w:color w:val="231F20"/>
          <w:spacing w:val="-7"/>
        </w:rPr>
        <w:t> </w:t>
      </w:r>
      <w:r>
        <w:rPr>
          <w:color w:val="231F20"/>
        </w:rPr>
        <w:t>односно</w:t>
      </w:r>
      <w:r>
        <w:rPr>
          <w:color w:val="231F20"/>
          <w:spacing w:val="-7"/>
        </w:rPr>
        <w:t> </w:t>
      </w:r>
      <w:r>
        <w:rPr>
          <w:color w:val="231F20"/>
        </w:rPr>
        <w:t>црног</w:t>
      </w:r>
      <w:r>
        <w:rPr>
          <w:color w:val="231F20"/>
          <w:spacing w:val="-7"/>
        </w:rPr>
        <w:t> </w:t>
      </w:r>
      <w:r>
        <w:rPr>
          <w:color w:val="231F20"/>
        </w:rPr>
        <w:t>и</w:t>
      </w:r>
      <w:r>
        <w:rPr>
          <w:color w:val="231F20"/>
          <w:spacing w:val="-7"/>
        </w:rPr>
        <w:t> </w:t>
      </w:r>
      <w:r>
        <w:rPr>
          <w:color w:val="231F20"/>
        </w:rPr>
        <w:t>белог</w:t>
      </w:r>
      <w:r>
        <w:rPr>
          <w:color w:val="231F20"/>
          <w:spacing w:val="-7"/>
        </w:rPr>
        <w:t> </w:t>
      </w:r>
      <w:r>
        <w:rPr>
          <w:color w:val="231F20"/>
        </w:rPr>
        <w:t>бора,</w:t>
      </w:r>
      <w:r>
        <w:rPr>
          <w:color w:val="231F20"/>
          <w:spacing w:val="-7"/>
        </w:rPr>
        <w:t> </w:t>
      </w:r>
      <w:r>
        <w:rPr>
          <w:color w:val="231F20"/>
        </w:rPr>
        <w:t>багрема,</w:t>
      </w:r>
      <w:r>
        <w:rPr>
          <w:color w:val="231F20"/>
          <w:spacing w:val="-7"/>
        </w:rPr>
        <w:t> </w:t>
      </w:r>
      <w:r>
        <w:rPr>
          <w:color w:val="231F20"/>
        </w:rPr>
        <w:t>топола,</w:t>
      </w:r>
      <w:r>
        <w:rPr>
          <w:color w:val="231F20"/>
          <w:spacing w:val="-7"/>
        </w:rPr>
        <w:t> </w:t>
      </w:r>
      <w:r>
        <w:rPr>
          <w:color w:val="231F20"/>
        </w:rPr>
        <w:t>ариша</w:t>
      </w:r>
      <w:r>
        <w:rPr>
          <w:color w:val="231F20"/>
          <w:spacing w:val="-7"/>
        </w:rPr>
        <w:t> </w:t>
      </w:r>
      <w:r>
        <w:rPr>
          <w:color w:val="231F20"/>
        </w:rPr>
        <w:t>и</w:t>
      </w:r>
      <w:r>
        <w:rPr>
          <w:color w:val="231F20"/>
          <w:spacing w:val="-7"/>
        </w:rPr>
        <w:t> </w:t>
      </w:r>
      <w:r>
        <w:rPr>
          <w:color w:val="231F20"/>
        </w:rPr>
        <w:t>других врста.</w:t>
      </w:r>
      <w:r>
        <w:rPr>
          <w:color w:val="231F20"/>
          <w:spacing w:val="-5"/>
        </w:rPr>
        <w:t> </w:t>
      </w:r>
      <w:r>
        <w:rPr>
          <w:color w:val="231F20"/>
        </w:rPr>
        <w:t>На</w:t>
      </w:r>
      <w:r>
        <w:rPr>
          <w:color w:val="231F20"/>
          <w:spacing w:val="-5"/>
        </w:rPr>
        <w:t> </w:t>
      </w:r>
      <w:r>
        <w:rPr>
          <w:color w:val="231F20"/>
        </w:rPr>
        <w:t>преиздубљеним</w:t>
      </w:r>
      <w:r>
        <w:rPr>
          <w:color w:val="231F20"/>
          <w:spacing w:val="-5"/>
        </w:rPr>
        <w:t> </w:t>
      </w:r>
      <w:r>
        <w:rPr>
          <w:color w:val="231F20"/>
        </w:rPr>
        <w:t>деловима</w:t>
      </w:r>
      <w:r>
        <w:rPr>
          <w:color w:val="231F20"/>
          <w:spacing w:val="-5"/>
        </w:rPr>
        <w:t> </w:t>
      </w:r>
      <w:r>
        <w:rPr>
          <w:color w:val="231F20"/>
        </w:rPr>
        <w:t>терена</w:t>
      </w:r>
      <w:r>
        <w:rPr>
          <w:color w:val="231F20"/>
          <w:spacing w:val="-5"/>
        </w:rPr>
        <w:t> </w:t>
      </w:r>
      <w:r>
        <w:rPr>
          <w:color w:val="231F20"/>
        </w:rPr>
        <w:t>уз</w:t>
      </w:r>
      <w:r>
        <w:rPr>
          <w:color w:val="231F20"/>
          <w:spacing w:val="-5"/>
        </w:rPr>
        <w:t> </w:t>
      </w:r>
      <w:r>
        <w:rPr>
          <w:color w:val="231F20"/>
          <w:spacing w:val="-3"/>
        </w:rPr>
        <w:t>водотоке</w:t>
      </w:r>
      <w:r>
        <w:rPr>
          <w:color w:val="231F20"/>
          <w:spacing w:val="-5"/>
        </w:rPr>
        <w:t> </w:t>
      </w:r>
      <w:r>
        <w:rPr>
          <w:color w:val="231F20"/>
        </w:rPr>
        <w:t>и</w:t>
      </w:r>
      <w:r>
        <w:rPr>
          <w:color w:val="231F20"/>
          <w:spacing w:val="-5"/>
        </w:rPr>
        <w:t> </w:t>
      </w:r>
      <w:r>
        <w:rPr>
          <w:color w:val="231F20"/>
        </w:rPr>
        <w:t>на</w:t>
      </w:r>
      <w:r>
        <w:rPr>
          <w:color w:val="231F20"/>
          <w:spacing w:val="-5"/>
        </w:rPr>
        <w:t> </w:t>
      </w:r>
      <w:r>
        <w:rPr>
          <w:color w:val="231F20"/>
        </w:rPr>
        <w:t>адама, с високим нивоом подземних вода и периодичним плављењем, ја- вљају се простране површине с природном мочварном вегетаци- јом заступљеном већим бројем биљних</w:t>
      </w:r>
      <w:r>
        <w:rPr>
          <w:color w:val="231F20"/>
          <w:spacing w:val="-6"/>
        </w:rPr>
        <w:t> </w:t>
      </w:r>
      <w:r>
        <w:rPr>
          <w:color w:val="231F20"/>
        </w:rPr>
        <w:t>заједница.</w:t>
      </w:r>
    </w:p>
    <w:p>
      <w:pPr>
        <w:pStyle w:val="BodyText"/>
        <w:spacing w:line="232" w:lineRule="auto" w:before="5"/>
        <w:ind w:left="453" w:right="1" w:firstLine="396"/>
      </w:pPr>
      <w:r>
        <w:rPr>
          <w:color w:val="231F20"/>
        </w:rPr>
        <w:t>Најзначајнију и најбројнију фаунистичку групу чине птице заступљене са </w:t>
      </w:r>
      <w:r>
        <w:rPr>
          <w:color w:val="231F20"/>
          <w:spacing w:val="-4"/>
        </w:rPr>
        <w:t>око </w:t>
      </w:r>
      <w:r>
        <w:rPr>
          <w:color w:val="231F20"/>
        </w:rPr>
        <w:t>педесет врста уобичајених за тај тип предела и станишта</w:t>
      </w:r>
      <w:r>
        <w:rPr>
          <w:color w:val="231F20"/>
          <w:spacing w:val="-7"/>
        </w:rPr>
        <w:t> </w:t>
      </w:r>
      <w:r>
        <w:rPr>
          <w:color w:val="231F20"/>
        </w:rPr>
        <w:t>(врабац,</w:t>
      </w:r>
      <w:r>
        <w:rPr>
          <w:color w:val="231F20"/>
          <w:spacing w:val="-7"/>
        </w:rPr>
        <w:t> </w:t>
      </w:r>
      <w:r>
        <w:rPr>
          <w:color w:val="231F20"/>
        </w:rPr>
        <w:t>сенице,</w:t>
      </w:r>
      <w:r>
        <w:rPr>
          <w:color w:val="231F20"/>
          <w:spacing w:val="-7"/>
        </w:rPr>
        <w:t> </w:t>
      </w:r>
      <w:r>
        <w:rPr>
          <w:color w:val="231F20"/>
        </w:rPr>
        <w:t>чавка,</w:t>
      </w:r>
      <w:r>
        <w:rPr>
          <w:color w:val="231F20"/>
          <w:spacing w:val="-7"/>
        </w:rPr>
        <w:t> </w:t>
      </w:r>
      <w:r>
        <w:rPr>
          <w:color w:val="231F20"/>
        </w:rPr>
        <w:t>сврака,</w:t>
      </w:r>
      <w:r>
        <w:rPr>
          <w:color w:val="231F20"/>
          <w:spacing w:val="-7"/>
        </w:rPr>
        <w:t> </w:t>
      </w:r>
      <w:r>
        <w:rPr>
          <w:color w:val="231F20"/>
        </w:rPr>
        <w:t>врана,</w:t>
      </w:r>
      <w:r>
        <w:rPr>
          <w:color w:val="231F20"/>
          <w:spacing w:val="-7"/>
        </w:rPr>
        <w:t> </w:t>
      </w:r>
      <w:r>
        <w:rPr>
          <w:color w:val="231F20"/>
        </w:rPr>
        <w:t>грлица,</w:t>
      </w:r>
      <w:r>
        <w:rPr>
          <w:color w:val="231F20"/>
          <w:spacing w:val="-7"/>
        </w:rPr>
        <w:t> </w:t>
      </w:r>
      <w:r>
        <w:rPr>
          <w:color w:val="231F20"/>
        </w:rPr>
        <w:t>кос,</w:t>
      </w:r>
      <w:r>
        <w:rPr>
          <w:color w:val="231F20"/>
          <w:spacing w:val="-7"/>
        </w:rPr>
        <w:t> </w:t>
      </w:r>
      <w:r>
        <w:rPr>
          <w:color w:val="231F20"/>
        </w:rPr>
        <w:t>дрозд, чворак, ветрушка, </w:t>
      </w:r>
      <w:r>
        <w:rPr>
          <w:color w:val="231F20"/>
          <w:spacing w:val="-3"/>
        </w:rPr>
        <w:t>кобац </w:t>
      </w:r>
      <w:r>
        <w:rPr>
          <w:color w:val="231F20"/>
        </w:rPr>
        <w:t>и друго). Сектор Дунава, </w:t>
      </w:r>
      <w:r>
        <w:rPr>
          <w:color w:val="231F20"/>
          <w:spacing w:val="-3"/>
        </w:rPr>
        <w:t>који </w:t>
      </w:r>
      <w:r>
        <w:rPr>
          <w:color w:val="231F20"/>
        </w:rPr>
        <w:t>захвата и део</w:t>
      </w:r>
      <w:r>
        <w:rPr>
          <w:color w:val="231F20"/>
          <w:spacing w:val="-10"/>
        </w:rPr>
        <w:t> </w:t>
      </w:r>
      <w:r>
        <w:rPr>
          <w:color w:val="231F20"/>
        </w:rPr>
        <w:t>Планског</w:t>
      </w:r>
      <w:r>
        <w:rPr>
          <w:color w:val="231F20"/>
          <w:spacing w:val="-10"/>
        </w:rPr>
        <w:t> </w:t>
      </w:r>
      <w:r>
        <w:rPr>
          <w:color w:val="231F20"/>
        </w:rPr>
        <w:t>подручја</w:t>
      </w:r>
      <w:r>
        <w:rPr>
          <w:color w:val="231F20"/>
          <w:spacing w:val="-10"/>
        </w:rPr>
        <w:t> </w:t>
      </w:r>
      <w:r>
        <w:rPr>
          <w:color w:val="231F20"/>
        </w:rPr>
        <w:t>једно</w:t>
      </w:r>
      <w:r>
        <w:rPr>
          <w:color w:val="231F20"/>
          <w:spacing w:val="-10"/>
        </w:rPr>
        <w:t> </w:t>
      </w:r>
      <w:r>
        <w:rPr>
          <w:color w:val="231F20"/>
        </w:rPr>
        <w:t>је</w:t>
      </w:r>
      <w:r>
        <w:rPr>
          <w:color w:val="231F20"/>
          <w:spacing w:val="-10"/>
        </w:rPr>
        <w:t> </w:t>
      </w:r>
      <w:r>
        <w:rPr>
          <w:color w:val="231F20"/>
          <w:spacing w:val="-3"/>
        </w:rPr>
        <w:t>од</w:t>
      </w:r>
      <w:r>
        <w:rPr>
          <w:color w:val="231F20"/>
          <w:spacing w:val="-10"/>
        </w:rPr>
        <w:t> </w:t>
      </w:r>
      <w:r>
        <w:rPr>
          <w:color w:val="231F20"/>
        </w:rPr>
        <w:t>најважнијих</w:t>
      </w:r>
      <w:r>
        <w:rPr>
          <w:color w:val="231F20"/>
          <w:spacing w:val="-10"/>
        </w:rPr>
        <w:t> </w:t>
      </w:r>
      <w:r>
        <w:rPr>
          <w:color w:val="231F20"/>
        </w:rPr>
        <w:t>зимовалишта</w:t>
      </w:r>
      <w:r>
        <w:rPr>
          <w:color w:val="231F20"/>
          <w:spacing w:val="-10"/>
        </w:rPr>
        <w:t> </w:t>
      </w:r>
      <w:r>
        <w:rPr>
          <w:color w:val="231F20"/>
        </w:rPr>
        <w:t>птица водених</w:t>
      </w:r>
      <w:r>
        <w:rPr>
          <w:color w:val="231F20"/>
          <w:spacing w:val="-9"/>
        </w:rPr>
        <w:t> </w:t>
      </w:r>
      <w:r>
        <w:rPr>
          <w:color w:val="231F20"/>
        </w:rPr>
        <w:t>станишта</w:t>
      </w:r>
      <w:r>
        <w:rPr>
          <w:color w:val="231F20"/>
          <w:spacing w:val="-8"/>
        </w:rPr>
        <w:t> </w:t>
      </w:r>
      <w:r>
        <w:rPr>
          <w:color w:val="231F20"/>
        </w:rPr>
        <w:t>у</w:t>
      </w:r>
      <w:r>
        <w:rPr>
          <w:color w:val="231F20"/>
          <w:spacing w:val="-8"/>
        </w:rPr>
        <w:t> </w:t>
      </w:r>
      <w:r>
        <w:rPr>
          <w:color w:val="231F20"/>
        </w:rPr>
        <w:t>југоисточном</w:t>
      </w:r>
      <w:r>
        <w:rPr>
          <w:color w:val="231F20"/>
          <w:spacing w:val="-8"/>
        </w:rPr>
        <w:t> </w:t>
      </w:r>
      <w:r>
        <w:rPr>
          <w:color w:val="231F20"/>
        </w:rPr>
        <w:t>делу</w:t>
      </w:r>
      <w:r>
        <w:rPr>
          <w:color w:val="231F20"/>
          <w:spacing w:val="-8"/>
        </w:rPr>
        <w:t> </w:t>
      </w:r>
      <w:r>
        <w:rPr>
          <w:color w:val="231F20"/>
        </w:rPr>
        <w:t>Европе.</w:t>
      </w:r>
      <w:r>
        <w:rPr>
          <w:color w:val="231F20"/>
          <w:spacing w:val="-9"/>
        </w:rPr>
        <w:t> </w:t>
      </w:r>
      <w:r>
        <w:rPr>
          <w:color w:val="231F20"/>
        </w:rPr>
        <w:t>На</w:t>
      </w:r>
      <w:r>
        <w:rPr>
          <w:color w:val="231F20"/>
          <w:spacing w:val="-9"/>
        </w:rPr>
        <w:t> </w:t>
      </w:r>
      <w:r>
        <w:rPr>
          <w:color w:val="231F20"/>
        </w:rPr>
        <w:t>зимовању</w:t>
      </w:r>
      <w:r>
        <w:rPr>
          <w:color w:val="231F20"/>
          <w:spacing w:val="-9"/>
        </w:rPr>
        <w:t> </w:t>
      </w:r>
      <w:r>
        <w:rPr>
          <w:color w:val="231F20"/>
        </w:rPr>
        <w:t>се</w:t>
      </w:r>
      <w:r>
        <w:rPr>
          <w:color w:val="231F20"/>
          <w:spacing w:val="-8"/>
        </w:rPr>
        <w:t> </w:t>
      </w:r>
      <w:r>
        <w:rPr>
          <w:color w:val="231F20"/>
        </w:rPr>
        <w:t>ја- вља </w:t>
      </w:r>
      <w:r>
        <w:rPr>
          <w:color w:val="231F20"/>
          <w:spacing w:val="-3"/>
        </w:rPr>
        <w:t>преко </w:t>
      </w:r>
      <w:r>
        <w:rPr>
          <w:color w:val="231F20"/>
        </w:rPr>
        <w:t>30 врста птица у бројности </w:t>
      </w:r>
      <w:r>
        <w:rPr>
          <w:color w:val="231F20"/>
          <w:spacing w:val="-3"/>
        </w:rPr>
        <w:t>од </w:t>
      </w:r>
      <w:r>
        <w:rPr>
          <w:color w:val="231F20"/>
          <w:spacing w:val="-4"/>
        </w:rPr>
        <w:t>неколико </w:t>
      </w:r>
      <w:r>
        <w:rPr>
          <w:color w:val="231F20"/>
        </w:rPr>
        <w:t>десетина хиља- да примерака (неких зима и до 50000), при чему за поједине врсте ово подручје представља </w:t>
      </w:r>
      <w:r>
        <w:rPr>
          <w:color w:val="231F20"/>
          <w:spacing w:val="-3"/>
        </w:rPr>
        <w:t>главно </w:t>
      </w:r>
      <w:r>
        <w:rPr>
          <w:color w:val="231F20"/>
        </w:rPr>
        <w:t>зимовалиште у Европи. Подручје Дунава низводно </w:t>
      </w:r>
      <w:r>
        <w:rPr>
          <w:color w:val="231F20"/>
          <w:spacing w:val="-3"/>
        </w:rPr>
        <w:t>од </w:t>
      </w:r>
      <w:r>
        <w:rPr>
          <w:color w:val="231F20"/>
        </w:rPr>
        <w:t>острва Жилаве, укључујући и ово острво,</w:t>
      </w:r>
      <w:r>
        <w:rPr>
          <w:color w:val="231F20"/>
          <w:spacing w:val="-25"/>
        </w:rPr>
        <w:t> </w:t>
      </w:r>
      <w:r>
        <w:rPr>
          <w:color w:val="231F20"/>
        </w:rPr>
        <w:t>има статус међународно значајног подручја за птице (IBA подручје – Important</w:t>
      </w:r>
      <w:r>
        <w:rPr>
          <w:color w:val="231F20"/>
          <w:spacing w:val="-7"/>
        </w:rPr>
        <w:t> </w:t>
      </w:r>
      <w:r>
        <w:rPr>
          <w:color w:val="231F20"/>
        </w:rPr>
        <w:t>Bird</w:t>
      </w:r>
      <w:r>
        <w:rPr>
          <w:color w:val="231F20"/>
          <w:spacing w:val="-16"/>
        </w:rPr>
        <w:t> </w:t>
      </w:r>
      <w:r>
        <w:rPr>
          <w:color w:val="231F20"/>
        </w:rPr>
        <w:t>Area).</w:t>
      </w:r>
      <w:r>
        <w:rPr>
          <w:color w:val="231F20"/>
          <w:spacing w:val="-7"/>
        </w:rPr>
        <w:t> </w:t>
      </w:r>
      <w:r>
        <w:rPr>
          <w:color w:val="231F20"/>
        </w:rPr>
        <w:t>Орнитолошки</w:t>
      </w:r>
      <w:r>
        <w:rPr>
          <w:color w:val="231F20"/>
          <w:spacing w:val="-7"/>
        </w:rPr>
        <w:t> </w:t>
      </w:r>
      <w:r>
        <w:rPr>
          <w:color w:val="231F20"/>
        </w:rPr>
        <w:t>су</w:t>
      </w:r>
      <w:r>
        <w:rPr>
          <w:color w:val="231F20"/>
          <w:spacing w:val="-7"/>
        </w:rPr>
        <w:t> </w:t>
      </w:r>
      <w:r>
        <w:rPr>
          <w:color w:val="231F20"/>
        </w:rPr>
        <w:t>значајна,</w:t>
      </w:r>
      <w:r>
        <w:rPr>
          <w:color w:val="231F20"/>
          <w:spacing w:val="-7"/>
        </w:rPr>
        <w:t> </w:t>
      </w:r>
      <w:r>
        <w:rPr>
          <w:color w:val="231F20"/>
        </w:rPr>
        <w:t>мада</w:t>
      </w:r>
      <w:r>
        <w:rPr>
          <w:color w:val="231F20"/>
          <w:spacing w:val="-7"/>
        </w:rPr>
        <w:t> </w:t>
      </w:r>
      <w:r>
        <w:rPr>
          <w:color w:val="231F20"/>
        </w:rPr>
        <w:t>не</w:t>
      </w:r>
      <w:r>
        <w:rPr>
          <w:color w:val="231F20"/>
          <w:spacing w:val="-7"/>
        </w:rPr>
        <w:t> </w:t>
      </w:r>
      <w:r>
        <w:rPr>
          <w:color w:val="231F20"/>
        </w:rPr>
        <w:t>и</w:t>
      </w:r>
      <w:r>
        <w:rPr>
          <w:color w:val="231F20"/>
          <w:spacing w:val="-7"/>
        </w:rPr>
        <w:t> </w:t>
      </w:r>
      <w:r>
        <w:rPr>
          <w:color w:val="231F20"/>
        </w:rPr>
        <w:t>довољно истражена, подручја дуж Мораве и</w:t>
      </w:r>
      <w:r>
        <w:rPr>
          <w:color w:val="231F20"/>
          <w:spacing w:val="-6"/>
        </w:rPr>
        <w:t> </w:t>
      </w:r>
      <w:r>
        <w:rPr>
          <w:color w:val="231F20"/>
        </w:rPr>
        <w:t>Млаве.</w:t>
      </w:r>
    </w:p>
    <w:p>
      <w:pPr>
        <w:pStyle w:val="BodyText"/>
        <w:spacing w:line="232" w:lineRule="auto" w:before="4"/>
        <w:ind w:left="454" w:firstLine="396"/>
      </w:pPr>
      <w:r>
        <w:rPr>
          <w:color w:val="231F20"/>
          <w:spacing w:val="-3"/>
        </w:rPr>
        <w:t>Скромни </w:t>
      </w:r>
      <w:r>
        <w:rPr>
          <w:color w:val="231F20"/>
        </w:rPr>
        <w:t>фонд </w:t>
      </w:r>
      <w:r>
        <w:rPr>
          <w:color w:val="231F20"/>
          <w:spacing w:val="-3"/>
        </w:rPr>
        <w:t>сисарске </w:t>
      </w:r>
      <w:r>
        <w:rPr>
          <w:color w:val="231F20"/>
          <w:spacing w:val="-4"/>
        </w:rPr>
        <w:t>фауне, </w:t>
      </w:r>
      <w:r>
        <w:rPr>
          <w:color w:val="231F20"/>
        </w:rPr>
        <w:t>представљен је првенствено врстама ситних и </w:t>
      </w:r>
      <w:r>
        <w:rPr>
          <w:color w:val="231F20"/>
          <w:spacing w:val="-3"/>
        </w:rPr>
        <w:t>крупних </w:t>
      </w:r>
      <w:r>
        <w:rPr>
          <w:color w:val="231F20"/>
          <w:spacing w:val="-4"/>
        </w:rPr>
        <w:t>глодара </w:t>
      </w:r>
      <w:r>
        <w:rPr>
          <w:color w:val="231F20"/>
        </w:rPr>
        <w:t>(више врста </w:t>
      </w:r>
      <w:r>
        <w:rPr>
          <w:color w:val="231F20"/>
          <w:spacing w:val="-3"/>
        </w:rPr>
        <w:t>мишева, кртица, </w:t>
      </w:r>
      <w:r>
        <w:rPr>
          <w:color w:val="231F20"/>
        </w:rPr>
        <w:t>ве- верица, пух, бизамски пацов, зец), </w:t>
      </w:r>
      <w:r>
        <w:rPr>
          <w:color w:val="231F20"/>
          <w:spacing w:val="-3"/>
        </w:rPr>
        <w:t>затим </w:t>
      </w:r>
      <w:r>
        <w:rPr>
          <w:color w:val="231F20"/>
        </w:rPr>
        <w:t>са </w:t>
      </w:r>
      <w:r>
        <w:rPr>
          <w:color w:val="231F20"/>
          <w:spacing w:val="-5"/>
        </w:rPr>
        <w:t>неколико </w:t>
      </w:r>
      <w:r>
        <w:rPr>
          <w:color w:val="231F20"/>
        </w:rPr>
        <w:t>врста слепих </w:t>
      </w:r>
      <w:r>
        <w:rPr>
          <w:color w:val="231F20"/>
          <w:spacing w:val="-3"/>
        </w:rPr>
        <w:t>мишева </w:t>
      </w:r>
      <w:r>
        <w:rPr>
          <w:color w:val="231F20"/>
        </w:rPr>
        <w:t>и </w:t>
      </w:r>
      <w:r>
        <w:rPr>
          <w:color w:val="231F20"/>
          <w:spacing w:val="-3"/>
        </w:rPr>
        <w:t>другим </w:t>
      </w:r>
      <w:r>
        <w:rPr>
          <w:color w:val="231F20"/>
        </w:rPr>
        <w:t>врстама (ласица, твор, лисица и </w:t>
      </w:r>
      <w:r>
        <w:rPr>
          <w:color w:val="231F20"/>
          <w:spacing w:val="-3"/>
        </w:rPr>
        <w:t>друго). Херпето- </w:t>
      </w:r>
      <w:r>
        <w:rPr>
          <w:color w:val="231F20"/>
          <w:spacing w:val="-4"/>
        </w:rPr>
        <w:t>фауну</w:t>
      </w:r>
      <w:r>
        <w:rPr>
          <w:color w:val="231F20"/>
          <w:spacing w:val="-10"/>
        </w:rPr>
        <w:t> </w:t>
      </w:r>
      <w:r>
        <w:rPr>
          <w:color w:val="231F20"/>
          <w:spacing w:val="-3"/>
        </w:rPr>
        <w:t>(гмизавце</w:t>
      </w:r>
      <w:r>
        <w:rPr>
          <w:color w:val="231F20"/>
          <w:spacing w:val="-10"/>
        </w:rPr>
        <w:t> </w:t>
      </w:r>
      <w:r>
        <w:rPr>
          <w:color w:val="231F20"/>
        </w:rPr>
        <w:t>и</w:t>
      </w:r>
      <w:r>
        <w:rPr>
          <w:color w:val="231F20"/>
          <w:spacing w:val="-10"/>
        </w:rPr>
        <w:t> </w:t>
      </w:r>
      <w:r>
        <w:rPr>
          <w:color w:val="231F20"/>
          <w:spacing w:val="-3"/>
        </w:rPr>
        <w:t>водоземце)</w:t>
      </w:r>
      <w:r>
        <w:rPr>
          <w:color w:val="231F20"/>
          <w:spacing w:val="-10"/>
        </w:rPr>
        <w:t> </w:t>
      </w:r>
      <w:r>
        <w:rPr>
          <w:color w:val="231F20"/>
        </w:rPr>
        <w:t>чине</w:t>
      </w:r>
      <w:r>
        <w:rPr>
          <w:color w:val="231F20"/>
          <w:spacing w:val="-10"/>
        </w:rPr>
        <w:t> </w:t>
      </w:r>
      <w:r>
        <w:rPr>
          <w:color w:val="231F20"/>
        </w:rPr>
        <w:t>претежно</w:t>
      </w:r>
      <w:r>
        <w:rPr>
          <w:color w:val="231F20"/>
          <w:spacing w:val="-10"/>
        </w:rPr>
        <w:t> </w:t>
      </w:r>
      <w:r>
        <w:rPr>
          <w:color w:val="231F20"/>
        </w:rPr>
        <w:t>врсте</w:t>
      </w:r>
      <w:r>
        <w:rPr>
          <w:color w:val="231F20"/>
          <w:spacing w:val="-10"/>
        </w:rPr>
        <w:t> </w:t>
      </w:r>
      <w:r>
        <w:rPr>
          <w:color w:val="231F20"/>
        </w:rPr>
        <w:t>везане</w:t>
      </w:r>
      <w:r>
        <w:rPr>
          <w:color w:val="231F20"/>
          <w:spacing w:val="-10"/>
        </w:rPr>
        <w:t> </w:t>
      </w:r>
      <w:r>
        <w:rPr>
          <w:color w:val="231F20"/>
        </w:rPr>
        <w:t>за</w:t>
      </w:r>
      <w:r>
        <w:rPr>
          <w:color w:val="231F20"/>
          <w:spacing w:val="-10"/>
        </w:rPr>
        <w:t> </w:t>
      </w:r>
      <w:r>
        <w:rPr>
          <w:color w:val="231F20"/>
          <w:spacing w:val="-3"/>
        </w:rPr>
        <w:t>водена </w:t>
      </w:r>
      <w:r>
        <w:rPr>
          <w:color w:val="231F20"/>
        </w:rPr>
        <w:t>и</w:t>
      </w:r>
      <w:r>
        <w:rPr>
          <w:color w:val="231F20"/>
          <w:spacing w:val="-11"/>
        </w:rPr>
        <w:t> </w:t>
      </w:r>
      <w:r>
        <w:rPr>
          <w:color w:val="231F20"/>
          <w:spacing w:val="-3"/>
        </w:rPr>
        <w:t>травно-шумска</w:t>
      </w:r>
      <w:r>
        <w:rPr>
          <w:color w:val="231F20"/>
          <w:spacing w:val="-11"/>
        </w:rPr>
        <w:t> </w:t>
      </w:r>
      <w:r>
        <w:rPr>
          <w:color w:val="231F20"/>
        </w:rPr>
        <w:t>станишта</w:t>
      </w:r>
      <w:r>
        <w:rPr>
          <w:color w:val="231F20"/>
          <w:spacing w:val="-11"/>
        </w:rPr>
        <w:t> </w:t>
      </w:r>
      <w:r>
        <w:rPr>
          <w:color w:val="231F20"/>
        </w:rPr>
        <w:t>(више</w:t>
      </w:r>
      <w:r>
        <w:rPr>
          <w:color w:val="231F20"/>
          <w:spacing w:val="-11"/>
        </w:rPr>
        <w:t> </w:t>
      </w:r>
      <w:r>
        <w:rPr>
          <w:color w:val="231F20"/>
        </w:rPr>
        <w:t>врста</w:t>
      </w:r>
      <w:r>
        <w:rPr>
          <w:color w:val="231F20"/>
          <w:spacing w:val="-11"/>
        </w:rPr>
        <w:t> </w:t>
      </w:r>
      <w:r>
        <w:rPr>
          <w:color w:val="231F20"/>
        </w:rPr>
        <w:t>жаба</w:t>
      </w:r>
      <w:r>
        <w:rPr>
          <w:color w:val="231F20"/>
          <w:spacing w:val="-11"/>
        </w:rPr>
        <w:t> </w:t>
      </w:r>
      <w:r>
        <w:rPr>
          <w:color w:val="231F20"/>
        </w:rPr>
        <w:t>и</w:t>
      </w:r>
      <w:r>
        <w:rPr>
          <w:color w:val="231F20"/>
          <w:spacing w:val="-11"/>
        </w:rPr>
        <w:t> </w:t>
      </w:r>
      <w:r>
        <w:rPr>
          <w:color w:val="231F20"/>
        </w:rPr>
        <w:t>гуштера,</w:t>
      </w:r>
      <w:r>
        <w:rPr>
          <w:color w:val="231F20"/>
          <w:spacing w:val="-11"/>
        </w:rPr>
        <w:t> </w:t>
      </w:r>
      <w:r>
        <w:rPr>
          <w:color w:val="231F20"/>
          <w:spacing w:val="-3"/>
        </w:rPr>
        <w:t>барска</w:t>
      </w:r>
      <w:r>
        <w:rPr>
          <w:color w:val="231F20"/>
          <w:spacing w:val="-11"/>
        </w:rPr>
        <w:t> </w:t>
      </w:r>
      <w:r>
        <w:rPr>
          <w:color w:val="231F20"/>
          <w:spacing w:val="-4"/>
        </w:rPr>
        <w:t>кор- </w:t>
      </w:r>
      <w:r>
        <w:rPr>
          <w:color w:val="231F20"/>
          <w:spacing w:val="-3"/>
        </w:rPr>
        <w:t>њача, </w:t>
      </w:r>
      <w:r>
        <w:rPr>
          <w:color w:val="231F20"/>
          <w:spacing w:val="-4"/>
        </w:rPr>
        <w:t>белоушка, </w:t>
      </w:r>
      <w:r>
        <w:rPr>
          <w:color w:val="231F20"/>
        </w:rPr>
        <w:t>смук и </w:t>
      </w:r>
      <w:r>
        <w:rPr>
          <w:color w:val="231F20"/>
          <w:spacing w:val="-3"/>
        </w:rPr>
        <w:t>друго). </w:t>
      </w:r>
      <w:r>
        <w:rPr>
          <w:color w:val="231F20"/>
        </w:rPr>
        <w:t>Фонд </w:t>
      </w:r>
      <w:r>
        <w:rPr>
          <w:color w:val="231F20"/>
          <w:spacing w:val="-4"/>
        </w:rPr>
        <w:t>ихтиофауне </w:t>
      </w:r>
      <w:r>
        <w:rPr>
          <w:color w:val="231F20"/>
        </w:rPr>
        <w:t>је </w:t>
      </w:r>
      <w:r>
        <w:rPr>
          <w:color w:val="231F20"/>
          <w:spacing w:val="-3"/>
        </w:rPr>
        <w:t>богат </w:t>
      </w:r>
      <w:r>
        <w:rPr>
          <w:color w:val="231F20"/>
        </w:rPr>
        <w:t>и </w:t>
      </w:r>
      <w:r>
        <w:rPr>
          <w:color w:val="231F20"/>
          <w:spacing w:val="-3"/>
        </w:rPr>
        <w:t>пред- </w:t>
      </w:r>
      <w:r>
        <w:rPr>
          <w:color w:val="231F20"/>
        </w:rPr>
        <w:t>стављен је са 50 врста дунавских риба, при чему је већина</w:t>
      </w:r>
      <w:r>
        <w:rPr>
          <w:color w:val="231F20"/>
          <w:spacing w:val="-31"/>
        </w:rPr>
        <w:t> </w:t>
      </w:r>
      <w:r>
        <w:rPr>
          <w:color w:val="231F20"/>
        </w:rPr>
        <w:t>рибљих врста </w:t>
      </w:r>
      <w:r>
        <w:rPr>
          <w:color w:val="231F20"/>
          <w:spacing w:val="-4"/>
        </w:rPr>
        <w:t>које </w:t>
      </w:r>
      <w:r>
        <w:rPr>
          <w:color w:val="231F20"/>
        </w:rPr>
        <w:t>живе у доњим деловима </w:t>
      </w:r>
      <w:r>
        <w:rPr>
          <w:color w:val="231F20"/>
          <w:spacing w:val="-4"/>
        </w:rPr>
        <w:t>водотока </w:t>
      </w:r>
      <w:r>
        <w:rPr>
          <w:color w:val="231F20"/>
          <w:spacing w:val="-3"/>
        </w:rPr>
        <w:t>Велике Мораве </w:t>
      </w:r>
      <w:r>
        <w:rPr>
          <w:color w:val="231F20"/>
        </w:rPr>
        <w:t>и</w:t>
      </w:r>
      <w:r>
        <w:rPr>
          <w:color w:val="231F20"/>
          <w:spacing w:val="-31"/>
        </w:rPr>
        <w:t> </w:t>
      </w:r>
      <w:r>
        <w:rPr>
          <w:color w:val="231F20"/>
        </w:rPr>
        <w:t>Мла- ве </w:t>
      </w:r>
      <w:r>
        <w:rPr>
          <w:color w:val="231F20"/>
          <w:spacing w:val="-3"/>
        </w:rPr>
        <w:t>присутна </w:t>
      </w:r>
      <w:r>
        <w:rPr>
          <w:color w:val="231F20"/>
        </w:rPr>
        <w:t>и у </w:t>
      </w:r>
      <w:r>
        <w:rPr>
          <w:color w:val="231F20"/>
          <w:spacing w:val="-3"/>
        </w:rPr>
        <w:t>Дунаву </w:t>
      </w:r>
      <w:r>
        <w:rPr>
          <w:color w:val="231F20"/>
        </w:rPr>
        <w:t>(шаран, </w:t>
      </w:r>
      <w:r>
        <w:rPr>
          <w:color w:val="231F20"/>
          <w:spacing w:val="-3"/>
        </w:rPr>
        <w:t>сом, </w:t>
      </w:r>
      <w:r>
        <w:rPr>
          <w:color w:val="231F20"/>
        </w:rPr>
        <w:t>мрена, смуђ, </w:t>
      </w:r>
      <w:r>
        <w:rPr>
          <w:color w:val="231F20"/>
          <w:spacing w:val="-3"/>
        </w:rPr>
        <w:t>скобаљ, гргеч, буцов, </w:t>
      </w:r>
      <w:r>
        <w:rPr>
          <w:color w:val="231F20"/>
        </w:rPr>
        <w:t>лињак, </w:t>
      </w:r>
      <w:r>
        <w:rPr>
          <w:color w:val="231F20"/>
          <w:spacing w:val="-3"/>
        </w:rPr>
        <w:t>караш, деверика, штука, бодорка, дунавска </w:t>
      </w:r>
      <w:r>
        <w:rPr>
          <w:color w:val="231F20"/>
        </w:rPr>
        <w:t>паклара, </w:t>
      </w:r>
      <w:r>
        <w:rPr>
          <w:color w:val="231F20"/>
          <w:spacing w:val="-4"/>
        </w:rPr>
        <w:t>кечига, </w:t>
      </w:r>
      <w:r>
        <w:rPr>
          <w:color w:val="231F20"/>
        </w:rPr>
        <w:t>паструга, </w:t>
      </w:r>
      <w:r>
        <w:rPr>
          <w:color w:val="231F20"/>
          <w:spacing w:val="-3"/>
        </w:rPr>
        <w:t>дунавска харинга, </w:t>
      </w:r>
      <w:r>
        <w:rPr>
          <w:color w:val="231F20"/>
        </w:rPr>
        <w:t>кесега, </w:t>
      </w:r>
      <w:r>
        <w:rPr>
          <w:color w:val="231F20"/>
          <w:spacing w:val="-3"/>
        </w:rPr>
        <w:t>укљева, </w:t>
      </w:r>
      <w:r>
        <w:rPr>
          <w:color w:val="231F20"/>
        </w:rPr>
        <w:t>сиви </w:t>
      </w:r>
      <w:r>
        <w:rPr>
          <w:color w:val="231F20"/>
          <w:spacing w:val="-4"/>
        </w:rPr>
        <w:t>толстоло- </w:t>
      </w:r>
      <w:r>
        <w:rPr>
          <w:color w:val="231F20"/>
        </w:rPr>
        <w:t>бик, </w:t>
      </w:r>
      <w:r>
        <w:rPr>
          <w:color w:val="231F20"/>
          <w:spacing w:val="-3"/>
        </w:rPr>
        <w:t>крупатица, бабушка, бели </w:t>
      </w:r>
      <w:r>
        <w:rPr>
          <w:color w:val="231F20"/>
        </w:rPr>
        <w:t>амур, </w:t>
      </w:r>
      <w:r>
        <w:rPr>
          <w:color w:val="231F20"/>
          <w:spacing w:val="-3"/>
        </w:rPr>
        <w:t>говедарка, кркуша, бели тол- столобик, </w:t>
      </w:r>
      <w:r>
        <w:rPr>
          <w:color w:val="231F20"/>
        </w:rPr>
        <w:t>јаз, сабљарка, гаовица, </w:t>
      </w:r>
      <w:r>
        <w:rPr>
          <w:color w:val="231F20"/>
          <w:spacing w:val="-3"/>
        </w:rPr>
        <w:t>црвенперка, </w:t>
      </w:r>
      <w:r>
        <w:rPr>
          <w:color w:val="231F20"/>
          <w:spacing w:val="-4"/>
        </w:rPr>
        <w:t>чиков, </w:t>
      </w:r>
      <w:r>
        <w:rPr>
          <w:color w:val="231F20"/>
          <w:spacing w:val="-2"/>
        </w:rPr>
        <w:t>манић, </w:t>
      </w:r>
      <w:r>
        <w:rPr>
          <w:color w:val="231F20"/>
        </w:rPr>
        <w:t>мали и велики вретенар, </w:t>
      </w:r>
      <w:r>
        <w:rPr>
          <w:color w:val="231F20"/>
          <w:spacing w:val="-3"/>
        </w:rPr>
        <w:t>сунчица </w:t>
      </w:r>
      <w:r>
        <w:rPr>
          <w:color w:val="231F20"/>
        </w:rPr>
        <w:t>и др.). </w:t>
      </w:r>
      <w:r>
        <w:rPr>
          <w:color w:val="231F20"/>
          <w:spacing w:val="-3"/>
        </w:rPr>
        <w:t>Као ихтиолошки значајна </w:t>
      </w:r>
      <w:r>
        <w:rPr>
          <w:color w:val="231F20"/>
        </w:rPr>
        <w:t>места, </w:t>
      </w:r>
      <w:r>
        <w:rPr>
          <w:color w:val="231F20"/>
          <w:spacing w:val="-3"/>
        </w:rPr>
        <w:t>односно природна </w:t>
      </w:r>
      <w:r>
        <w:rPr>
          <w:color w:val="231F20"/>
        </w:rPr>
        <w:t>мрестилишта и </w:t>
      </w:r>
      <w:r>
        <w:rPr>
          <w:color w:val="231F20"/>
          <w:spacing w:val="-3"/>
        </w:rPr>
        <w:t>плодишта </w:t>
      </w:r>
      <w:r>
        <w:rPr>
          <w:color w:val="231F20"/>
        </w:rPr>
        <w:t>већег броја врста ри- ба, на </w:t>
      </w:r>
      <w:r>
        <w:rPr>
          <w:color w:val="231F20"/>
          <w:spacing w:val="-4"/>
        </w:rPr>
        <w:t>којима </w:t>
      </w:r>
      <w:r>
        <w:rPr>
          <w:color w:val="231F20"/>
        </w:rPr>
        <w:t>је у </w:t>
      </w:r>
      <w:r>
        <w:rPr>
          <w:color w:val="231F20"/>
          <w:spacing w:val="-3"/>
        </w:rPr>
        <w:t>току </w:t>
      </w:r>
      <w:r>
        <w:rPr>
          <w:color w:val="231F20"/>
        </w:rPr>
        <w:t>целе </w:t>
      </w:r>
      <w:r>
        <w:rPr>
          <w:color w:val="231F20"/>
          <w:spacing w:val="-4"/>
        </w:rPr>
        <w:t>године </w:t>
      </w:r>
      <w:r>
        <w:rPr>
          <w:color w:val="231F20"/>
        </w:rPr>
        <w:t>забрањен </w:t>
      </w:r>
      <w:r>
        <w:rPr>
          <w:color w:val="231F20"/>
          <w:spacing w:val="-3"/>
        </w:rPr>
        <w:t>привредни, </w:t>
      </w:r>
      <w:r>
        <w:rPr>
          <w:color w:val="231F20"/>
        </w:rPr>
        <w:t>а на неким местима</w:t>
      </w:r>
      <w:r>
        <w:rPr>
          <w:color w:val="231F20"/>
          <w:spacing w:val="-10"/>
        </w:rPr>
        <w:t> </w:t>
      </w:r>
      <w:r>
        <w:rPr>
          <w:color w:val="231F20"/>
        </w:rPr>
        <w:t>у</w:t>
      </w:r>
      <w:r>
        <w:rPr>
          <w:color w:val="231F20"/>
          <w:spacing w:val="-10"/>
        </w:rPr>
        <w:t> </w:t>
      </w:r>
      <w:r>
        <w:rPr>
          <w:color w:val="231F20"/>
          <w:spacing w:val="-3"/>
        </w:rPr>
        <w:t>првом</w:t>
      </w:r>
      <w:r>
        <w:rPr>
          <w:color w:val="231F20"/>
          <w:spacing w:val="-10"/>
        </w:rPr>
        <w:t> </w:t>
      </w:r>
      <w:r>
        <w:rPr>
          <w:color w:val="231F20"/>
        </w:rPr>
        <w:t>делу</w:t>
      </w:r>
      <w:r>
        <w:rPr>
          <w:color w:val="231F20"/>
          <w:spacing w:val="-10"/>
        </w:rPr>
        <w:t> </w:t>
      </w:r>
      <w:r>
        <w:rPr>
          <w:color w:val="231F20"/>
          <w:spacing w:val="-4"/>
        </w:rPr>
        <w:t>године</w:t>
      </w:r>
      <w:r>
        <w:rPr>
          <w:color w:val="231F20"/>
          <w:spacing w:val="-10"/>
        </w:rPr>
        <w:t> </w:t>
      </w:r>
      <w:r>
        <w:rPr>
          <w:color w:val="231F20"/>
        </w:rPr>
        <w:t>и</w:t>
      </w:r>
      <w:r>
        <w:rPr>
          <w:color w:val="231F20"/>
          <w:spacing w:val="-10"/>
        </w:rPr>
        <w:t> </w:t>
      </w:r>
      <w:r>
        <w:rPr>
          <w:color w:val="231F20"/>
        </w:rPr>
        <w:t>спортски</w:t>
      </w:r>
      <w:r>
        <w:rPr>
          <w:color w:val="231F20"/>
          <w:spacing w:val="-10"/>
        </w:rPr>
        <w:t> </w:t>
      </w:r>
      <w:r>
        <w:rPr>
          <w:color w:val="231F20"/>
          <w:spacing w:val="-3"/>
        </w:rPr>
        <w:t>риболов,</w:t>
      </w:r>
      <w:r>
        <w:rPr>
          <w:color w:val="231F20"/>
          <w:spacing w:val="-10"/>
        </w:rPr>
        <w:t> </w:t>
      </w:r>
      <w:r>
        <w:rPr>
          <w:color w:val="231F20"/>
          <w:spacing w:val="-3"/>
        </w:rPr>
        <w:t>издвајају</w:t>
      </w:r>
      <w:r>
        <w:rPr>
          <w:color w:val="231F20"/>
          <w:spacing w:val="-10"/>
        </w:rPr>
        <w:t> </w:t>
      </w:r>
      <w:r>
        <w:rPr>
          <w:color w:val="231F20"/>
        </w:rPr>
        <w:t>се</w:t>
      </w:r>
      <w:r>
        <w:rPr>
          <w:color w:val="231F20"/>
          <w:spacing w:val="-10"/>
        </w:rPr>
        <w:t> </w:t>
      </w:r>
      <w:r>
        <w:rPr>
          <w:color w:val="231F20"/>
        </w:rPr>
        <w:t>ушће </w:t>
      </w:r>
      <w:r>
        <w:rPr>
          <w:color w:val="231F20"/>
          <w:spacing w:val="-3"/>
        </w:rPr>
        <w:t>Велике Мораве, Жугавица </w:t>
      </w:r>
      <w:r>
        <w:rPr>
          <w:color w:val="231F20"/>
        </w:rPr>
        <w:t>са </w:t>
      </w:r>
      <w:r>
        <w:rPr>
          <w:color w:val="231F20"/>
          <w:spacing w:val="-3"/>
        </w:rPr>
        <w:t>каналом </w:t>
      </w:r>
      <w:r>
        <w:rPr>
          <w:color w:val="231F20"/>
        </w:rPr>
        <w:t>ТЕ </w:t>
      </w:r>
      <w:r>
        <w:rPr>
          <w:color w:val="231F20"/>
          <w:spacing w:val="-4"/>
        </w:rPr>
        <w:t>Костолац </w:t>
      </w:r>
      <w:r>
        <w:rPr>
          <w:color w:val="231F20"/>
        </w:rPr>
        <w:t>и</w:t>
      </w:r>
      <w:r>
        <w:rPr>
          <w:color w:val="231F20"/>
          <w:spacing w:val="-9"/>
        </w:rPr>
        <w:t> </w:t>
      </w:r>
      <w:r>
        <w:rPr>
          <w:color w:val="231F20"/>
          <w:spacing w:val="-3"/>
        </w:rPr>
        <w:t>друга.</w:t>
      </w:r>
    </w:p>
    <w:p>
      <w:pPr>
        <w:pStyle w:val="BodyText"/>
        <w:spacing w:before="68"/>
        <w:ind w:left="1750"/>
        <w:jc w:val="left"/>
      </w:pPr>
      <w:r>
        <w:rPr/>
        <w:br w:type="column"/>
      </w:r>
      <w:r>
        <w:rPr>
          <w:color w:val="231F20"/>
        </w:rPr>
        <w:t>Заштићена природна добра</w:t>
      </w:r>
    </w:p>
    <w:p>
      <w:pPr>
        <w:pStyle w:val="BodyText"/>
        <w:spacing w:before="9"/>
        <w:ind w:left="0"/>
        <w:jc w:val="left"/>
        <w:rPr>
          <w:sz w:val="17"/>
        </w:rPr>
      </w:pPr>
    </w:p>
    <w:p>
      <w:pPr>
        <w:pStyle w:val="BodyText"/>
        <w:spacing w:line="244" w:lineRule="auto" w:before="1"/>
        <w:ind w:left="243" w:right="125" w:firstLine="397"/>
      </w:pPr>
      <w:r>
        <w:rPr>
          <w:color w:val="231F20"/>
        </w:rPr>
        <w:t>На Планском подручју налазе се четири заштићена природ- на добра. Предео нарочите природне лепоте „Пругово” заступљен је групом од 28 стабала храста лужњака (остатак некадашње ком- пактније шумске вегетације храста лужњака) заштићен решењем СО Пожаревац бр. 322-54/74-06 од 18. новембра 1974. године. На- лази се у селу Пругово, на катастарским парцелама број 439/1(27 стабала) и 439/2 (једно стабло), које су у друштвеној својини. По- вршина овог природног добра износи 2,50 ha.</w:t>
      </w:r>
    </w:p>
    <w:p>
      <w:pPr>
        <w:pStyle w:val="BodyText"/>
        <w:spacing w:line="244" w:lineRule="auto"/>
        <w:ind w:left="242" w:right="125" w:firstLine="397"/>
      </w:pPr>
      <w:r>
        <w:rPr>
          <w:color w:val="231F20"/>
        </w:rPr>
        <w:t>Споменик природе </w:t>
      </w:r>
      <w:r>
        <w:rPr>
          <w:color w:val="231F20"/>
          <w:spacing w:val="-3"/>
        </w:rPr>
        <w:t>„Група </w:t>
      </w:r>
      <w:r>
        <w:rPr>
          <w:color w:val="231F20"/>
        </w:rPr>
        <w:t>стабала храста лужњака, пољског јасена, пољског бреста и ситнолисне липе”. Републички секрета- ријат за образовање, </w:t>
      </w:r>
      <w:r>
        <w:rPr>
          <w:color w:val="231F20"/>
          <w:spacing w:val="-3"/>
        </w:rPr>
        <w:t>науку </w:t>
      </w:r>
      <w:r>
        <w:rPr>
          <w:color w:val="231F20"/>
        </w:rPr>
        <w:t>и </w:t>
      </w:r>
      <w:r>
        <w:rPr>
          <w:color w:val="231F20"/>
          <w:spacing w:val="-3"/>
        </w:rPr>
        <w:t>културу </w:t>
      </w:r>
      <w:r>
        <w:rPr>
          <w:color w:val="231F20"/>
        </w:rPr>
        <w:t>је Решењем бр. 321-8/70-03 </w:t>
      </w:r>
      <w:r>
        <w:rPr>
          <w:color w:val="231F20"/>
          <w:spacing w:val="-3"/>
        </w:rPr>
        <w:t>од </w:t>
      </w:r>
      <w:r>
        <w:rPr>
          <w:color w:val="231F20"/>
        </w:rPr>
        <w:t>7. септембра 1971. </w:t>
      </w:r>
      <w:r>
        <w:rPr>
          <w:color w:val="231F20"/>
          <w:spacing w:val="-3"/>
        </w:rPr>
        <w:t>године </w:t>
      </w:r>
      <w:r>
        <w:rPr>
          <w:color w:val="231F20"/>
        </w:rPr>
        <w:t>заштитио групу </w:t>
      </w:r>
      <w:r>
        <w:rPr>
          <w:color w:val="231F20"/>
          <w:spacing w:val="-3"/>
        </w:rPr>
        <w:t>од </w:t>
      </w:r>
      <w:r>
        <w:rPr>
          <w:color w:val="231F20"/>
        </w:rPr>
        <w:t>376 стабала – хра- ста</w:t>
      </w:r>
      <w:r>
        <w:rPr>
          <w:color w:val="231F20"/>
          <w:spacing w:val="-6"/>
        </w:rPr>
        <w:t> </w:t>
      </w:r>
      <w:r>
        <w:rPr>
          <w:color w:val="231F20"/>
        </w:rPr>
        <w:t>лужњака</w:t>
      </w:r>
      <w:r>
        <w:rPr>
          <w:color w:val="231F20"/>
          <w:spacing w:val="-6"/>
        </w:rPr>
        <w:t> </w:t>
      </w:r>
      <w:r>
        <w:rPr>
          <w:color w:val="231F20"/>
        </w:rPr>
        <w:t>(362),</w:t>
      </w:r>
      <w:r>
        <w:rPr>
          <w:color w:val="231F20"/>
          <w:spacing w:val="-6"/>
        </w:rPr>
        <w:t> </w:t>
      </w:r>
      <w:r>
        <w:rPr>
          <w:color w:val="231F20"/>
        </w:rPr>
        <w:t>пољског</w:t>
      </w:r>
      <w:r>
        <w:rPr>
          <w:color w:val="231F20"/>
          <w:spacing w:val="-6"/>
        </w:rPr>
        <w:t> </w:t>
      </w:r>
      <w:r>
        <w:rPr>
          <w:color w:val="231F20"/>
        </w:rPr>
        <w:t>јасена</w:t>
      </w:r>
      <w:r>
        <w:rPr>
          <w:color w:val="231F20"/>
          <w:spacing w:val="-6"/>
        </w:rPr>
        <w:t> </w:t>
      </w:r>
      <w:r>
        <w:rPr>
          <w:color w:val="231F20"/>
        </w:rPr>
        <w:t>(6),</w:t>
      </w:r>
      <w:r>
        <w:rPr>
          <w:color w:val="231F20"/>
          <w:spacing w:val="-6"/>
        </w:rPr>
        <w:t> </w:t>
      </w:r>
      <w:r>
        <w:rPr>
          <w:color w:val="231F20"/>
        </w:rPr>
        <w:t>пољског</w:t>
      </w:r>
      <w:r>
        <w:rPr>
          <w:color w:val="231F20"/>
          <w:spacing w:val="-6"/>
        </w:rPr>
        <w:t> </w:t>
      </w:r>
      <w:r>
        <w:rPr>
          <w:color w:val="231F20"/>
        </w:rPr>
        <w:t>бреста</w:t>
      </w:r>
      <w:r>
        <w:rPr>
          <w:color w:val="231F20"/>
          <w:spacing w:val="-6"/>
        </w:rPr>
        <w:t> </w:t>
      </w:r>
      <w:r>
        <w:rPr>
          <w:color w:val="231F20"/>
        </w:rPr>
        <w:t>(5)</w:t>
      </w:r>
      <w:r>
        <w:rPr>
          <w:color w:val="231F20"/>
          <w:spacing w:val="-6"/>
        </w:rPr>
        <w:t> </w:t>
      </w:r>
      <w:r>
        <w:rPr>
          <w:color w:val="231F20"/>
        </w:rPr>
        <w:t>и</w:t>
      </w:r>
      <w:r>
        <w:rPr>
          <w:color w:val="231F20"/>
          <w:spacing w:val="-6"/>
        </w:rPr>
        <w:t> </w:t>
      </w:r>
      <w:r>
        <w:rPr>
          <w:color w:val="231F20"/>
        </w:rPr>
        <w:t>ситно- лисне липе (2 стабла), на територији </w:t>
      </w:r>
      <w:r>
        <w:rPr>
          <w:color w:val="231F20"/>
          <w:spacing w:val="-3"/>
        </w:rPr>
        <w:t>КО </w:t>
      </w:r>
      <w:r>
        <w:rPr>
          <w:color w:val="231F20"/>
        </w:rPr>
        <w:t>Пожаревац, на земљишту чији је данас корисник ЈП „Љубичево”. Ова стабла, стављена </w:t>
      </w:r>
      <w:r>
        <w:rPr>
          <w:color w:val="231F20"/>
          <w:spacing w:val="-3"/>
        </w:rPr>
        <w:t>под </w:t>
      </w:r>
      <w:r>
        <w:rPr>
          <w:color w:val="231F20"/>
        </w:rPr>
        <w:t>заштиту као угрожене биљне врсте, </w:t>
      </w:r>
      <w:r>
        <w:rPr>
          <w:color w:val="231F20"/>
          <w:spacing w:val="-3"/>
        </w:rPr>
        <w:t>углавном </w:t>
      </w:r>
      <w:r>
        <w:rPr>
          <w:color w:val="231F20"/>
        </w:rPr>
        <w:t>су витална и плодо- носна, док је за поједине потребно применити одговарајуће </w:t>
      </w:r>
      <w:r>
        <w:rPr>
          <w:color w:val="231F20"/>
          <w:spacing w:val="-3"/>
        </w:rPr>
        <w:t>кон- </w:t>
      </w:r>
      <w:r>
        <w:rPr>
          <w:color w:val="231F20"/>
        </w:rPr>
        <w:t>зерваторске и заштитне</w:t>
      </w:r>
      <w:r>
        <w:rPr>
          <w:color w:val="231F20"/>
          <w:spacing w:val="-4"/>
        </w:rPr>
        <w:t> </w:t>
      </w:r>
      <w:r>
        <w:rPr>
          <w:color w:val="231F20"/>
        </w:rPr>
        <w:t>мере.</w:t>
      </w:r>
    </w:p>
    <w:p>
      <w:pPr>
        <w:pStyle w:val="BodyText"/>
        <w:spacing w:line="244" w:lineRule="auto"/>
        <w:ind w:left="243" w:right="125" w:firstLine="396"/>
      </w:pPr>
      <w:r>
        <w:rPr>
          <w:color w:val="231F20"/>
        </w:rPr>
        <w:t>Споменик</w:t>
      </w:r>
      <w:r>
        <w:rPr>
          <w:color w:val="231F20"/>
          <w:spacing w:val="-9"/>
        </w:rPr>
        <w:t> </w:t>
      </w:r>
      <w:r>
        <w:rPr>
          <w:color w:val="231F20"/>
        </w:rPr>
        <w:t>природе</w:t>
      </w:r>
      <w:r>
        <w:rPr>
          <w:color w:val="231F20"/>
          <w:spacing w:val="-8"/>
        </w:rPr>
        <w:t> </w:t>
      </w:r>
      <w:r>
        <w:rPr>
          <w:color w:val="231F20"/>
        </w:rPr>
        <w:t>„Стабло</w:t>
      </w:r>
      <w:r>
        <w:rPr>
          <w:color w:val="231F20"/>
          <w:spacing w:val="-9"/>
        </w:rPr>
        <w:t> </w:t>
      </w:r>
      <w:r>
        <w:rPr>
          <w:color w:val="231F20"/>
        </w:rPr>
        <w:t>храста</w:t>
      </w:r>
      <w:r>
        <w:rPr>
          <w:color w:val="231F20"/>
          <w:spacing w:val="-9"/>
        </w:rPr>
        <w:t> </w:t>
      </w:r>
      <w:r>
        <w:rPr>
          <w:color w:val="231F20"/>
        </w:rPr>
        <w:t>сладуна</w:t>
      </w:r>
      <w:r>
        <w:rPr>
          <w:color w:val="231F20"/>
          <w:spacing w:val="-9"/>
        </w:rPr>
        <w:t> </w:t>
      </w:r>
      <w:r>
        <w:rPr>
          <w:color w:val="231F20"/>
        </w:rPr>
        <w:t>у</w:t>
      </w:r>
      <w:r>
        <w:rPr>
          <w:color w:val="231F20"/>
          <w:spacing w:val="-9"/>
        </w:rPr>
        <w:t> </w:t>
      </w:r>
      <w:r>
        <w:rPr>
          <w:color w:val="231F20"/>
        </w:rPr>
        <w:t>селу</w:t>
      </w:r>
      <w:r>
        <w:rPr>
          <w:color w:val="231F20"/>
          <w:spacing w:val="-9"/>
        </w:rPr>
        <w:t> </w:t>
      </w:r>
      <w:r>
        <w:rPr>
          <w:color w:val="231F20"/>
        </w:rPr>
        <w:t>Братинац”, заштићено је први пут 1983. године и други пут 1994. године од- </w:t>
      </w:r>
      <w:r>
        <w:rPr>
          <w:color w:val="231F20"/>
          <w:spacing w:val="-3"/>
        </w:rPr>
        <w:t>луком </w:t>
      </w:r>
      <w:r>
        <w:rPr>
          <w:color w:val="231F20"/>
        </w:rPr>
        <w:t>СО Пожаревац. Налази се у селу Братинац, у доњем делу долине Млаве, на катастарској парцели 1627/1, у приватном вла- </w:t>
      </w:r>
      <w:r>
        <w:rPr>
          <w:color w:val="231F20"/>
          <w:spacing w:val="-4"/>
        </w:rPr>
        <w:t>сништву. </w:t>
      </w:r>
      <w:r>
        <w:rPr>
          <w:color w:val="231F20"/>
        </w:rPr>
        <w:t>Стабло је витално, са веома мало појава сушења грана, добро развијене крошње, старости </w:t>
      </w:r>
      <w:r>
        <w:rPr>
          <w:color w:val="231F20"/>
          <w:spacing w:val="-4"/>
        </w:rPr>
        <w:t>око </w:t>
      </w:r>
      <w:r>
        <w:rPr>
          <w:color w:val="231F20"/>
        </w:rPr>
        <w:t>260 година, висине 18 m и пречника</w:t>
      </w:r>
      <w:r>
        <w:rPr>
          <w:color w:val="231F20"/>
          <w:spacing w:val="-5"/>
        </w:rPr>
        <w:t> </w:t>
      </w:r>
      <w:r>
        <w:rPr>
          <w:color w:val="231F20"/>
        </w:rPr>
        <w:t>крошње</w:t>
      </w:r>
      <w:r>
        <w:rPr>
          <w:color w:val="231F20"/>
          <w:spacing w:val="-5"/>
        </w:rPr>
        <w:t> </w:t>
      </w:r>
      <w:r>
        <w:rPr>
          <w:color w:val="231F20"/>
        </w:rPr>
        <w:t>26</w:t>
      </w:r>
      <w:r>
        <w:rPr>
          <w:color w:val="231F20"/>
          <w:spacing w:val="-5"/>
        </w:rPr>
        <w:t> </w:t>
      </w:r>
      <w:r>
        <w:rPr>
          <w:color w:val="231F20"/>
        </w:rPr>
        <w:t>m,</w:t>
      </w:r>
      <w:r>
        <w:rPr>
          <w:color w:val="231F20"/>
          <w:spacing w:val="-5"/>
        </w:rPr>
        <w:t> </w:t>
      </w:r>
      <w:r>
        <w:rPr>
          <w:color w:val="231F20"/>
        </w:rPr>
        <w:t>прсног</w:t>
      </w:r>
      <w:r>
        <w:rPr>
          <w:color w:val="231F20"/>
          <w:spacing w:val="-5"/>
        </w:rPr>
        <w:t> </w:t>
      </w:r>
      <w:r>
        <w:rPr>
          <w:color w:val="231F20"/>
        </w:rPr>
        <w:t>пречника</w:t>
      </w:r>
      <w:r>
        <w:rPr>
          <w:color w:val="231F20"/>
          <w:spacing w:val="-5"/>
        </w:rPr>
        <w:t> </w:t>
      </w:r>
      <w:r>
        <w:rPr>
          <w:color w:val="231F20"/>
        </w:rPr>
        <w:t>дебла</w:t>
      </w:r>
      <w:r>
        <w:rPr>
          <w:color w:val="231F20"/>
          <w:spacing w:val="-5"/>
        </w:rPr>
        <w:t> </w:t>
      </w:r>
      <w:r>
        <w:rPr>
          <w:color w:val="231F20"/>
        </w:rPr>
        <w:t>1,3</w:t>
      </w:r>
      <w:r>
        <w:rPr>
          <w:color w:val="231F20"/>
          <w:spacing w:val="-5"/>
        </w:rPr>
        <w:t> </w:t>
      </w:r>
      <w:r>
        <w:rPr>
          <w:color w:val="231F20"/>
        </w:rPr>
        <w:t>m.</w:t>
      </w:r>
      <w:r>
        <w:rPr>
          <w:color w:val="231F20"/>
          <w:spacing w:val="-5"/>
        </w:rPr>
        <w:t> </w:t>
      </w:r>
      <w:r>
        <w:rPr>
          <w:color w:val="231F20"/>
        </w:rPr>
        <w:t>Категориса- но</w:t>
      </w:r>
      <w:r>
        <w:rPr>
          <w:color w:val="231F20"/>
          <w:spacing w:val="-6"/>
        </w:rPr>
        <w:t> </w:t>
      </w:r>
      <w:r>
        <w:rPr>
          <w:color w:val="231F20"/>
        </w:rPr>
        <w:t>је</w:t>
      </w:r>
      <w:r>
        <w:rPr>
          <w:color w:val="231F20"/>
          <w:spacing w:val="-6"/>
        </w:rPr>
        <w:t> </w:t>
      </w:r>
      <w:r>
        <w:rPr>
          <w:color w:val="231F20"/>
        </w:rPr>
        <w:t>као</w:t>
      </w:r>
      <w:r>
        <w:rPr>
          <w:color w:val="231F20"/>
          <w:spacing w:val="-6"/>
        </w:rPr>
        <w:t> </w:t>
      </w:r>
      <w:r>
        <w:rPr>
          <w:color w:val="231F20"/>
        </w:rPr>
        <w:t>значајно</w:t>
      </w:r>
      <w:r>
        <w:rPr>
          <w:color w:val="231F20"/>
          <w:spacing w:val="-6"/>
        </w:rPr>
        <w:t> </w:t>
      </w:r>
      <w:r>
        <w:rPr>
          <w:color w:val="231F20"/>
        </w:rPr>
        <w:t>природно</w:t>
      </w:r>
      <w:r>
        <w:rPr>
          <w:color w:val="231F20"/>
          <w:spacing w:val="-6"/>
        </w:rPr>
        <w:t> </w:t>
      </w:r>
      <w:r>
        <w:rPr>
          <w:color w:val="231F20"/>
        </w:rPr>
        <w:t>добро</w:t>
      </w:r>
      <w:r>
        <w:rPr>
          <w:color w:val="231F20"/>
          <w:spacing w:val="-6"/>
        </w:rPr>
        <w:t> </w:t>
      </w:r>
      <w:r>
        <w:rPr>
          <w:color w:val="231F20"/>
        </w:rPr>
        <w:t>(III</w:t>
      </w:r>
      <w:r>
        <w:rPr>
          <w:color w:val="231F20"/>
          <w:spacing w:val="-6"/>
        </w:rPr>
        <w:t> </w:t>
      </w:r>
      <w:r>
        <w:rPr>
          <w:color w:val="231F20"/>
        </w:rPr>
        <w:t>категорија).</w:t>
      </w:r>
      <w:r>
        <w:rPr>
          <w:color w:val="231F20"/>
          <w:spacing w:val="-6"/>
        </w:rPr>
        <w:t> </w:t>
      </w:r>
      <w:r>
        <w:rPr>
          <w:color w:val="231F20"/>
        </w:rPr>
        <w:t>Завод</w:t>
      </w:r>
      <w:r>
        <w:rPr>
          <w:color w:val="231F20"/>
          <w:spacing w:val="-6"/>
        </w:rPr>
        <w:t> </w:t>
      </w:r>
      <w:r>
        <w:rPr>
          <w:color w:val="231F20"/>
        </w:rPr>
        <w:t>за</w:t>
      </w:r>
      <w:r>
        <w:rPr>
          <w:color w:val="231F20"/>
          <w:spacing w:val="-6"/>
        </w:rPr>
        <w:t> </w:t>
      </w:r>
      <w:r>
        <w:rPr>
          <w:color w:val="231F20"/>
        </w:rPr>
        <w:t>зашти- ту природе Србије је 13. </w:t>
      </w:r>
      <w:r>
        <w:rPr>
          <w:color w:val="231F20"/>
          <w:spacing w:val="-3"/>
        </w:rPr>
        <w:t>јула </w:t>
      </w:r>
      <w:r>
        <w:rPr>
          <w:color w:val="231F20"/>
        </w:rPr>
        <w:t>2007. године послао СГ Пожаревац Нацрт</w:t>
      </w:r>
      <w:r>
        <w:rPr>
          <w:color w:val="231F20"/>
          <w:spacing w:val="7"/>
        </w:rPr>
        <w:t> </w:t>
      </w:r>
      <w:r>
        <w:rPr>
          <w:color w:val="231F20"/>
        </w:rPr>
        <w:t>Решења</w:t>
      </w:r>
      <w:r>
        <w:rPr>
          <w:color w:val="231F20"/>
          <w:spacing w:val="7"/>
        </w:rPr>
        <w:t> </w:t>
      </w:r>
      <w:r>
        <w:rPr>
          <w:color w:val="231F20"/>
        </w:rPr>
        <w:t>о</w:t>
      </w:r>
      <w:r>
        <w:rPr>
          <w:color w:val="231F20"/>
          <w:spacing w:val="7"/>
        </w:rPr>
        <w:t> </w:t>
      </w:r>
      <w:r>
        <w:rPr>
          <w:color w:val="231F20"/>
        </w:rPr>
        <w:t>скидању</w:t>
      </w:r>
      <w:r>
        <w:rPr>
          <w:color w:val="231F20"/>
          <w:spacing w:val="7"/>
        </w:rPr>
        <w:t> </w:t>
      </w:r>
      <w:r>
        <w:rPr>
          <w:color w:val="231F20"/>
        </w:rPr>
        <w:t>и</w:t>
      </w:r>
      <w:r>
        <w:rPr>
          <w:color w:val="231F20"/>
          <w:spacing w:val="7"/>
        </w:rPr>
        <w:t> </w:t>
      </w:r>
      <w:r>
        <w:rPr>
          <w:color w:val="231F20"/>
        </w:rPr>
        <w:t>брисању</w:t>
      </w:r>
      <w:r>
        <w:rPr>
          <w:color w:val="231F20"/>
          <w:spacing w:val="7"/>
        </w:rPr>
        <w:t> </w:t>
      </w:r>
      <w:r>
        <w:rPr>
          <w:color w:val="231F20"/>
        </w:rPr>
        <w:t>заштите</w:t>
      </w:r>
      <w:r>
        <w:rPr>
          <w:color w:val="231F20"/>
          <w:spacing w:val="6"/>
        </w:rPr>
        <w:t> </w:t>
      </w:r>
      <w:r>
        <w:rPr>
          <w:color w:val="231F20"/>
        </w:rPr>
        <w:t>споменика</w:t>
      </w:r>
      <w:r>
        <w:rPr>
          <w:color w:val="231F20"/>
          <w:spacing w:val="6"/>
        </w:rPr>
        <w:t> </w:t>
      </w:r>
      <w:r>
        <w:rPr>
          <w:color w:val="231F20"/>
        </w:rPr>
        <w:t>природе</w:t>
      </w:r>
    </w:p>
    <w:p>
      <w:pPr>
        <w:pStyle w:val="BodyText"/>
        <w:spacing w:line="244" w:lineRule="auto"/>
        <w:ind w:left="243" w:right="125"/>
      </w:pPr>
      <w:r>
        <w:rPr>
          <w:color w:val="231F20"/>
          <w:w w:val="66"/>
        </w:rPr>
        <w:t> </w:t>
      </w:r>
      <w:r>
        <w:rPr>
          <w:color w:val="231F20"/>
        </w:rPr>
        <w:t>– Храст сладун – Братинац бр. 02-2302/2. Пошто ово Решење још увек није усвојено, стабло није избрисано из Централног регистра заштићених природних добара.</w:t>
      </w:r>
    </w:p>
    <w:p>
      <w:pPr>
        <w:pStyle w:val="BodyText"/>
        <w:spacing w:line="244" w:lineRule="auto"/>
        <w:ind w:left="244" w:right="124" w:firstLine="396"/>
      </w:pPr>
      <w:r>
        <w:rPr>
          <w:color w:val="231F20"/>
        </w:rPr>
        <w:t>Споменик природе </w:t>
      </w:r>
      <w:r>
        <w:rPr>
          <w:color w:val="231F20"/>
          <w:spacing w:val="-3"/>
        </w:rPr>
        <w:t>„Група од </w:t>
      </w:r>
      <w:r>
        <w:rPr>
          <w:color w:val="231F20"/>
        </w:rPr>
        <w:t>16 храста лужњака у селу Дра- говцу” (К.П. бр. 1185, 1186) </w:t>
      </w:r>
      <w:r>
        <w:rPr>
          <w:color w:val="231F20"/>
          <w:spacing w:val="-6"/>
        </w:rPr>
        <w:t>код </w:t>
      </w:r>
      <w:r>
        <w:rPr>
          <w:color w:val="231F20"/>
        </w:rPr>
        <w:t>камене ћуприје у селу </w:t>
      </w:r>
      <w:r>
        <w:rPr>
          <w:color w:val="231F20"/>
          <w:spacing w:val="-4"/>
        </w:rPr>
        <w:t>Драговцу, </w:t>
      </w:r>
      <w:r>
        <w:rPr>
          <w:color w:val="231F20"/>
        </w:rPr>
        <w:t>град Пожаревац, заштићена решењем Завода за заштиту и науч- но проучавање природних реткости НР Србије (Решење бр. 01- 651960 </w:t>
      </w:r>
      <w:r>
        <w:rPr>
          <w:color w:val="231F20"/>
          <w:spacing w:val="-3"/>
        </w:rPr>
        <w:t>од </w:t>
      </w:r>
      <w:r>
        <w:rPr>
          <w:color w:val="231F20"/>
        </w:rPr>
        <w:t>6. фебруара 1960. године). Данас је више </w:t>
      </w:r>
      <w:r>
        <w:rPr>
          <w:color w:val="231F20"/>
          <w:spacing w:val="-3"/>
        </w:rPr>
        <w:t>од </w:t>
      </w:r>
      <w:r>
        <w:rPr>
          <w:color w:val="231F20"/>
        </w:rPr>
        <w:t>половине преосталих стабала потпуно суво, а свега </w:t>
      </w:r>
      <w:r>
        <w:rPr>
          <w:color w:val="231F20"/>
          <w:spacing w:val="-4"/>
        </w:rPr>
        <w:t>неколико </w:t>
      </w:r>
      <w:r>
        <w:rPr>
          <w:color w:val="231F20"/>
        </w:rPr>
        <w:t>има незнат-  но очуване виталне делове крошње. Претпоставља се да је </w:t>
      </w:r>
      <w:r>
        <w:rPr>
          <w:color w:val="231F20"/>
          <w:spacing w:val="-3"/>
        </w:rPr>
        <w:t>глав- </w:t>
      </w:r>
      <w:r>
        <w:rPr>
          <w:color w:val="231F20"/>
        </w:rPr>
        <w:t>ни разлог пропадања ове репрезентативне групације лужњакових стабала снижавање нивоа подземне воде, при чему су процеси су- шења и обољевања убрзани због старости дрвећа. С обзиром на неповратно оштећење и губитак својстава због којих је заштита установљена, покренут је поступак формално-правног брисања заштите. Завод за заштиту природе Србије је 7. фебруара 1994.</w:t>
      </w:r>
      <w:r>
        <w:rPr>
          <w:color w:val="231F20"/>
          <w:spacing w:val="-31"/>
        </w:rPr>
        <w:t> </w:t>
      </w:r>
      <w:r>
        <w:rPr>
          <w:color w:val="231F20"/>
        </w:rPr>
        <w:t>го- дине послао СО Пожаревац Нацрт Решења о скидању и брисању заштите споменика природе </w:t>
      </w:r>
      <w:r>
        <w:rPr>
          <w:color w:val="231F20"/>
          <w:spacing w:val="-3"/>
        </w:rPr>
        <w:t>„Група од </w:t>
      </w:r>
      <w:r>
        <w:rPr>
          <w:color w:val="231F20"/>
        </w:rPr>
        <w:t>16 стабла храста лужњака” бр. 02-136/1, </w:t>
      </w:r>
      <w:r>
        <w:rPr>
          <w:color w:val="231F20"/>
          <w:spacing w:val="-3"/>
        </w:rPr>
        <w:t>које </w:t>
      </w:r>
      <w:r>
        <w:rPr>
          <w:color w:val="231F20"/>
        </w:rPr>
        <w:t>још увек није</w:t>
      </w:r>
      <w:r>
        <w:rPr>
          <w:color w:val="231F20"/>
          <w:spacing w:val="0"/>
        </w:rPr>
        <w:t> </w:t>
      </w:r>
      <w:r>
        <w:rPr>
          <w:color w:val="231F20"/>
        </w:rPr>
        <w:t>усвојено.</w:t>
      </w:r>
    </w:p>
    <w:p>
      <w:pPr>
        <w:pStyle w:val="BodyText"/>
        <w:spacing w:line="244" w:lineRule="auto"/>
        <w:ind w:left="240" w:right="123" w:firstLine="400"/>
        <w:jc w:val="right"/>
      </w:pPr>
      <w:r>
        <w:rPr>
          <w:color w:val="231F20"/>
        </w:rPr>
        <w:t>На </w:t>
      </w:r>
      <w:r>
        <w:rPr>
          <w:color w:val="231F20"/>
          <w:spacing w:val="-3"/>
        </w:rPr>
        <w:t>територији града </w:t>
      </w:r>
      <w:r>
        <w:rPr>
          <w:color w:val="231F20"/>
          <w:spacing w:val="-4"/>
        </w:rPr>
        <w:t>Пожаревца </w:t>
      </w:r>
      <w:r>
        <w:rPr>
          <w:color w:val="231F20"/>
          <w:spacing w:val="-3"/>
        </w:rPr>
        <w:t>налази </w:t>
      </w:r>
      <w:r>
        <w:rPr>
          <w:color w:val="231F20"/>
        </w:rPr>
        <w:t>се </w:t>
      </w:r>
      <w:r>
        <w:rPr>
          <w:color w:val="231F20"/>
          <w:spacing w:val="-4"/>
        </w:rPr>
        <w:t>Жилавска </w:t>
      </w:r>
      <w:r>
        <w:rPr>
          <w:color w:val="231F20"/>
        </w:rPr>
        <w:t>и </w:t>
      </w:r>
      <w:r>
        <w:rPr>
          <w:color w:val="231F20"/>
          <w:spacing w:val="-4"/>
        </w:rPr>
        <w:t>Чибу-</w:t>
      </w:r>
      <w:r>
        <w:rPr>
          <w:color w:val="231F20"/>
        </w:rPr>
        <w:t> </w:t>
      </w:r>
      <w:r>
        <w:rPr>
          <w:color w:val="231F20"/>
          <w:spacing w:val="-3"/>
        </w:rPr>
        <w:t>клијска </w:t>
      </w:r>
      <w:r>
        <w:rPr>
          <w:color w:val="231F20"/>
        </w:rPr>
        <w:t>ада </w:t>
      </w:r>
      <w:r>
        <w:rPr>
          <w:color w:val="231F20"/>
          <w:spacing w:val="-4"/>
        </w:rPr>
        <w:t>(КО </w:t>
      </w:r>
      <w:r>
        <w:rPr>
          <w:color w:val="231F20"/>
          <w:spacing w:val="-5"/>
        </w:rPr>
        <w:t>Костолац </w:t>
      </w:r>
      <w:r>
        <w:rPr>
          <w:color w:val="231F20"/>
        </w:rPr>
        <w:t>– село и </w:t>
      </w:r>
      <w:r>
        <w:rPr>
          <w:color w:val="231F20"/>
          <w:spacing w:val="-4"/>
        </w:rPr>
        <w:t>КО Речица) </w:t>
      </w:r>
      <w:r>
        <w:rPr>
          <w:color w:val="231F20"/>
          <w:spacing w:val="-5"/>
        </w:rPr>
        <w:t>које </w:t>
      </w:r>
      <w:r>
        <w:rPr>
          <w:color w:val="231F20"/>
          <w:spacing w:val="-3"/>
        </w:rPr>
        <w:t>припадају зони</w:t>
      </w:r>
      <w:r>
        <w:rPr>
          <w:color w:val="231F20"/>
        </w:rPr>
        <w:t> </w:t>
      </w:r>
      <w:r>
        <w:rPr>
          <w:color w:val="231F20"/>
          <w:spacing w:val="-3"/>
        </w:rPr>
        <w:t>заштићеног Специјалног </w:t>
      </w:r>
      <w:r>
        <w:rPr>
          <w:color w:val="231F20"/>
          <w:spacing w:val="-4"/>
        </w:rPr>
        <w:t>резервата природе „Делиблатска</w:t>
      </w:r>
      <w:r>
        <w:rPr>
          <w:color w:val="231F20"/>
          <w:spacing w:val="-3"/>
        </w:rPr>
        <w:t> пешчара”.</w:t>
      </w:r>
      <w:r>
        <w:rPr>
          <w:color w:val="231F20"/>
        </w:rPr>
        <w:t> Поред наведених заштићених природних добара, према </w:t>
      </w:r>
      <w:r>
        <w:rPr>
          <w:color w:val="231F20"/>
          <w:spacing w:val="-4"/>
        </w:rPr>
        <w:t>Условима </w:t>
      </w:r>
      <w:r>
        <w:rPr>
          <w:color w:val="231F20"/>
        </w:rPr>
        <w:t>Завода за заштиту природе Република Србија</w:t>
      </w:r>
      <w:r>
        <w:rPr>
          <w:color w:val="231F20"/>
          <w:position w:val="6"/>
          <w:sz w:val="10"/>
        </w:rPr>
        <w:t>9</w:t>
      </w:r>
      <w:r>
        <w:rPr>
          <w:color w:val="231F20"/>
        </w:rPr>
        <w:t>, иденти- фиковани су и простори </w:t>
      </w:r>
      <w:r>
        <w:rPr>
          <w:color w:val="231F20"/>
          <w:spacing w:val="-3"/>
        </w:rPr>
        <w:t>који </w:t>
      </w:r>
      <w:r>
        <w:rPr>
          <w:color w:val="231F20"/>
        </w:rPr>
        <w:t>поседују значајне природне каракте-</w:t>
      </w:r>
    </w:p>
    <w:p>
      <w:pPr>
        <w:pStyle w:val="BodyText"/>
        <w:spacing w:line="204" w:lineRule="exact"/>
        <w:ind w:left="240"/>
        <w:jc w:val="left"/>
      </w:pPr>
      <w:r>
        <w:rPr>
          <w:color w:val="231F20"/>
        </w:rPr>
        <w:t>ристике:</w:t>
      </w:r>
    </w:p>
    <w:p>
      <w:pPr>
        <w:pStyle w:val="BodyText"/>
        <w:spacing w:line="244" w:lineRule="auto" w:before="5"/>
        <w:ind w:left="240" w:right="128" w:firstLine="397"/>
      </w:pPr>
      <w:r>
        <w:rPr>
          <w:color w:val="231F20"/>
          <w:w w:val="66"/>
        </w:rPr>
        <w:t> </w:t>
      </w:r>
      <w:r>
        <w:rPr>
          <w:color w:val="231F20"/>
        </w:rPr>
        <w:t>– бара Шугавица представља мочварно подручје </w:t>
      </w:r>
      <w:r>
        <w:rPr>
          <w:color w:val="231F20"/>
          <w:spacing w:val="-3"/>
        </w:rPr>
        <w:t>погодно </w:t>
      </w:r>
      <w:r>
        <w:rPr>
          <w:color w:val="231F20"/>
        </w:rPr>
        <w:t>за мрест бројних врста риба </w:t>
      </w:r>
      <w:r>
        <w:rPr>
          <w:color w:val="231F20"/>
          <w:spacing w:val="-4"/>
        </w:rPr>
        <w:t>које </w:t>
      </w:r>
      <w:r>
        <w:rPr>
          <w:color w:val="231F20"/>
        </w:rPr>
        <w:t>из Дунава доспевају </w:t>
      </w:r>
      <w:r>
        <w:rPr>
          <w:color w:val="231F20"/>
          <w:spacing w:val="-3"/>
        </w:rPr>
        <w:t>Костолачким </w:t>
      </w:r>
      <w:r>
        <w:rPr>
          <w:color w:val="231F20"/>
        </w:rPr>
        <w:t>каналом;</w:t>
      </w:r>
      <w:r>
        <w:rPr>
          <w:color w:val="231F20"/>
          <w:spacing w:val="-11"/>
        </w:rPr>
        <w:t> </w:t>
      </w:r>
      <w:r>
        <w:rPr>
          <w:color w:val="231F20"/>
        </w:rPr>
        <w:t>ова</w:t>
      </w:r>
      <w:r>
        <w:rPr>
          <w:color w:val="231F20"/>
          <w:spacing w:val="-11"/>
        </w:rPr>
        <w:t> </w:t>
      </w:r>
      <w:r>
        <w:rPr>
          <w:color w:val="231F20"/>
        </w:rPr>
        <w:t>бара</w:t>
      </w:r>
      <w:r>
        <w:rPr>
          <w:color w:val="231F20"/>
          <w:spacing w:val="-11"/>
        </w:rPr>
        <w:t> </w:t>
      </w:r>
      <w:r>
        <w:rPr>
          <w:color w:val="231F20"/>
        </w:rPr>
        <w:t>је</w:t>
      </w:r>
      <w:r>
        <w:rPr>
          <w:color w:val="231F20"/>
          <w:spacing w:val="-11"/>
        </w:rPr>
        <w:t> </w:t>
      </w:r>
      <w:r>
        <w:rPr>
          <w:color w:val="231F20"/>
        </w:rPr>
        <w:t>и</w:t>
      </w:r>
      <w:r>
        <w:rPr>
          <w:color w:val="231F20"/>
          <w:spacing w:val="-11"/>
        </w:rPr>
        <w:t> </w:t>
      </w:r>
      <w:r>
        <w:rPr>
          <w:color w:val="231F20"/>
        </w:rPr>
        <w:t>станиште</w:t>
      </w:r>
      <w:r>
        <w:rPr>
          <w:color w:val="231F20"/>
          <w:spacing w:val="-11"/>
        </w:rPr>
        <w:t> </w:t>
      </w:r>
      <w:r>
        <w:rPr>
          <w:color w:val="231F20"/>
        </w:rPr>
        <w:t>бројних</w:t>
      </w:r>
      <w:r>
        <w:rPr>
          <w:color w:val="231F20"/>
          <w:spacing w:val="-11"/>
        </w:rPr>
        <w:t> </w:t>
      </w:r>
      <w:r>
        <w:rPr>
          <w:color w:val="231F20"/>
        </w:rPr>
        <w:t>врста</w:t>
      </w:r>
      <w:r>
        <w:rPr>
          <w:color w:val="231F20"/>
          <w:spacing w:val="-11"/>
        </w:rPr>
        <w:t> </w:t>
      </w:r>
      <w:r>
        <w:rPr>
          <w:color w:val="231F20"/>
        </w:rPr>
        <w:t>птица</w:t>
      </w:r>
      <w:r>
        <w:rPr>
          <w:color w:val="231F20"/>
          <w:spacing w:val="-11"/>
        </w:rPr>
        <w:t> </w:t>
      </w:r>
      <w:r>
        <w:rPr>
          <w:color w:val="231F20"/>
        </w:rPr>
        <w:t>мочварица</w:t>
      </w:r>
      <w:r>
        <w:rPr>
          <w:color w:val="231F20"/>
          <w:spacing w:val="-11"/>
        </w:rPr>
        <w:t> </w:t>
      </w:r>
      <w:r>
        <w:rPr>
          <w:color w:val="231F20"/>
        </w:rPr>
        <w:t>ка- рактеристичних</w:t>
      </w:r>
      <w:r>
        <w:rPr>
          <w:color w:val="231F20"/>
          <w:spacing w:val="-9"/>
        </w:rPr>
        <w:t> </w:t>
      </w:r>
      <w:r>
        <w:rPr>
          <w:color w:val="231F20"/>
        </w:rPr>
        <w:t>за</w:t>
      </w:r>
      <w:r>
        <w:rPr>
          <w:color w:val="231F20"/>
          <w:spacing w:val="-9"/>
        </w:rPr>
        <w:t> </w:t>
      </w:r>
      <w:r>
        <w:rPr>
          <w:color w:val="231F20"/>
        </w:rPr>
        <w:t>влажна</w:t>
      </w:r>
      <w:r>
        <w:rPr>
          <w:color w:val="231F20"/>
          <w:spacing w:val="-9"/>
        </w:rPr>
        <w:t> </w:t>
      </w:r>
      <w:r>
        <w:rPr>
          <w:color w:val="231F20"/>
        </w:rPr>
        <w:t>станишта</w:t>
      </w:r>
      <w:r>
        <w:rPr>
          <w:color w:val="231F20"/>
          <w:spacing w:val="-9"/>
        </w:rPr>
        <w:t> </w:t>
      </w:r>
      <w:r>
        <w:rPr>
          <w:color w:val="231F20"/>
        </w:rPr>
        <w:t>и</w:t>
      </w:r>
      <w:r>
        <w:rPr>
          <w:color w:val="231F20"/>
          <w:spacing w:val="-9"/>
        </w:rPr>
        <w:t> </w:t>
      </w:r>
      <w:r>
        <w:rPr>
          <w:color w:val="231F20"/>
        </w:rPr>
        <w:t>стога</w:t>
      </w:r>
      <w:r>
        <w:rPr>
          <w:color w:val="231F20"/>
          <w:spacing w:val="-9"/>
        </w:rPr>
        <w:t> </w:t>
      </w:r>
      <w:r>
        <w:rPr>
          <w:color w:val="231F20"/>
        </w:rPr>
        <w:t>представља</w:t>
      </w:r>
      <w:r>
        <w:rPr>
          <w:color w:val="231F20"/>
          <w:spacing w:val="-9"/>
        </w:rPr>
        <w:t> </w:t>
      </w:r>
      <w:r>
        <w:rPr>
          <w:color w:val="231F20"/>
          <w:spacing w:val="-3"/>
        </w:rPr>
        <w:t>веома</w:t>
      </w:r>
      <w:r>
        <w:rPr>
          <w:color w:val="231F20"/>
          <w:spacing w:val="-9"/>
        </w:rPr>
        <w:t> </w:t>
      </w:r>
      <w:r>
        <w:rPr>
          <w:color w:val="231F20"/>
        </w:rPr>
        <w:t>осе- тљив екосистем; због великих антропогеним притисака у фази је нестајања</w:t>
      </w:r>
      <w:r>
        <w:rPr>
          <w:color w:val="231F20"/>
          <w:spacing w:val="-8"/>
        </w:rPr>
        <w:t> </w:t>
      </w:r>
      <w:r>
        <w:rPr>
          <w:color w:val="231F20"/>
        </w:rPr>
        <w:t>због</w:t>
      </w:r>
      <w:r>
        <w:rPr>
          <w:color w:val="231F20"/>
          <w:spacing w:val="-8"/>
        </w:rPr>
        <w:t> </w:t>
      </w:r>
      <w:r>
        <w:rPr>
          <w:color w:val="231F20"/>
        </w:rPr>
        <w:t>чега</w:t>
      </w:r>
      <w:r>
        <w:rPr>
          <w:color w:val="231F20"/>
          <w:spacing w:val="-8"/>
        </w:rPr>
        <w:t> </w:t>
      </w:r>
      <w:r>
        <w:rPr>
          <w:color w:val="231F20"/>
        </w:rPr>
        <w:t>је</w:t>
      </w:r>
      <w:r>
        <w:rPr>
          <w:color w:val="231F20"/>
          <w:spacing w:val="-8"/>
        </w:rPr>
        <w:t> </w:t>
      </w:r>
      <w:r>
        <w:rPr>
          <w:color w:val="231F20"/>
        </w:rPr>
        <w:t>установљена</w:t>
      </w:r>
      <w:r>
        <w:rPr>
          <w:color w:val="231F20"/>
          <w:spacing w:val="-8"/>
        </w:rPr>
        <w:t> </w:t>
      </w:r>
      <w:r>
        <w:rPr>
          <w:color w:val="231F20"/>
        </w:rPr>
        <w:t>забрана</w:t>
      </w:r>
      <w:r>
        <w:rPr>
          <w:color w:val="231F20"/>
          <w:spacing w:val="-8"/>
        </w:rPr>
        <w:t> </w:t>
      </w:r>
      <w:r>
        <w:rPr>
          <w:color w:val="231F20"/>
        </w:rPr>
        <w:t>привредног</w:t>
      </w:r>
      <w:r>
        <w:rPr>
          <w:color w:val="231F20"/>
          <w:spacing w:val="-8"/>
        </w:rPr>
        <w:t> </w:t>
      </w:r>
      <w:r>
        <w:rPr>
          <w:color w:val="231F20"/>
        </w:rPr>
        <w:t>риболова;</w:t>
      </w:r>
    </w:p>
    <w:p>
      <w:pPr>
        <w:pStyle w:val="BodyText"/>
        <w:spacing w:line="244" w:lineRule="auto"/>
        <w:ind w:left="240" w:right="127" w:firstLine="397"/>
      </w:pPr>
      <w:r>
        <w:rPr>
          <w:color w:val="231F20"/>
          <w:w w:val="66"/>
        </w:rPr>
        <w:t> </w:t>
      </w:r>
      <w:r>
        <w:rPr>
          <w:color w:val="231F20"/>
        </w:rPr>
        <w:t>– палеотолошки локалитет где је пронађен комплетан скелет најстарије врсте мамута – Mammuthus meridionalis (Јужни мамут), дугачак око 6 m и висок више од три и по метра;</w:t>
      </w:r>
    </w:p>
    <w:p>
      <w:pPr>
        <w:pStyle w:val="BodyText"/>
        <w:ind w:left="638"/>
        <w:jc w:val="left"/>
      </w:pPr>
      <w:r>
        <w:rPr>
          <w:color w:val="231F20"/>
          <w:w w:val="66"/>
        </w:rPr>
        <w:t> </w:t>
      </w:r>
      <w:r>
        <w:rPr>
          <w:color w:val="231F20"/>
        </w:rPr>
        <w:t>– Стојкова, Мала и Велика Завојска ада и</w:t>
      </w:r>
    </w:p>
    <w:p>
      <w:pPr>
        <w:pStyle w:val="BodyText"/>
        <w:spacing w:line="244" w:lineRule="auto" w:before="4"/>
        <w:ind w:left="241" w:right="128" w:firstLine="396"/>
      </w:pPr>
      <w:r>
        <w:rPr>
          <w:color w:val="231F20"/>
          <w:w w:val="66"/>
        </w:rPr>
        <w:t> </w:t>
      </w:r>
      <w:r>
        <w:rPr>
          <w:color w:val="231F20"/>
        </w:rPr>
        <w:t>– реке Велика Морава и Млава – приобални појаси и плавне површине.</w:t>
      </w:r>
    </w:p>
    <w:p>
      <w:pPr>
        <w:spacing w:line="147" w:lineRule="exact" w:before="0"/>
        <w:ind w:left="240" w:right="0" w:firstLine="0"/>
        <w:jc w:val="left"/>
        <w:rPr>
          <w:sz w:val="14"/>
        </w:rPr>
      </w:pPr>
      <w:r>
        <w:rPr>
          <w:color w:val="231F20"/>
          <w:w w:val="66"/>
          <w:sz w:val="14"/>
        </w:rPr>
        <w:t> </w:t>
      </w:r>
      <w:r>
        <w:rPr>
          <w:color w:val="231F20"/>
          <w:w w:val="75"/>
          <w:sz w:val="14"/>
        </w:rPr>
        <w:t>– – – – – – – – – – – – – –</w:t>
      </w:r>
    </w:p>
    <w:p>
      <w:pPr>
        <w:pStyle w:val="ListParagraph"/>
        <w:numPr>
          <w:ilvl w:val="0"/>
          <w:numId w:val="23"/>
        </w:numPr>
        <w:tabs>
          <w:tab w:pos="524" w:val="left" w:leader="none"/>
          <w:tab w:pos="525" w:val="left" w:leader="none"/>
        </w:tabs>
        <w:spacing w:line="240" w:lineRule="auto" w:before="0" w:after="0"/>
        <w:ind w:left="524" w:right="128" w:hanging="284"/>
        <w:jc w:val="left"/>
        <w:rPr>
          <w:sz w:val="14"/>
        </w:rPr>
      </w:pPr>
      <w:r>
        <w:rPr>
          <w:color w:val="231F20"/>
          <w:sz w:val="14"/>
        </w:rPr>
        <w:t>Решење о условима заштите природе за израду Просторног плана града Пожа- ревца бр.020-616/2, Завод за заштиту природе</w:t>
      </w:r>
      <w:r>
        <w:rPr>
          <w:color w:val="231F20"/>
          <w:spacing w:val="-5"/>
          <w:sz w:val="14"/>
        </w:rPr>
        <w:t> </w:t>
      </w:r>
      <w:r>
        <w:rPr>
          <w:color w:val="231F20"/>
          <w:sz w:val="14"/>
        </w:rPr>
        <w:t>Србије.</w:t>
      </w:r>
    </w:p>
    <w:p>
      <w:pPr>
        <w:spacing w:after="0" w:line="240" w:lineRule="auto"/>
        <w:jc w:val="left"/>
        <w:rPr>
          <w:sz w:val="14"/>
        </w:rPr>
        <w:sectPr>
          <w:pgSz w:w="12480" w:h="15690"/>
          <w:pgMar w:top="120" w:bottom="280" w:left="680" w:right="720"/>
          <w:cols w:num="2" w:equalWidth="0">
            <w:col w:w="5559" w:space="40"/>
            <w:col w:w="5481"/>
          </w:cols>
        </w:sectPr>
      </w:pPr>
    </w:p>
    <w:p>
      <w:pPr>
        <w:pStyle w:val="BodyText"/>
        <w:spacing w:line="232" w:lineRule="auto" w:before="73"/>
        <w:ind w:right="39" w:firstLine="396"/>
      </w:pPr>
      <w:r>
        <w:rPr/>
        <w:pict>
          <v:line style="position:absolute;mso-position-horizontal-relative:page;mso-position-vertical-relative:page;z-index:1672" from="304.724396pt,11.942451pt" to="304.724396pt,748.950451pt" stroked="true" strokeweight=".6pt" strokecolor="#231f20">
            <v:stroke dashstyle="solid"/>
            <w10:wrap type="none"/>
          </v:line>
        </w:pict>
      </w:r>
      <w:r>
        <w:rPr>
          <w:color w:val="231F20"/>
        </w:rPr>
        <w:t>На Планском подручју налазе се подручја од међународног значајна за заштиту природе:</w:t>
      </w:r>
    </w:p>
    <w:p>
      <w:pPr>
        <w:pStyle w:val="BodyText"/>
        <w:spacing w:line="232" w:lineRule="auto"/>
        <w:ind w:right="38" w:firstLine="396"/>
      </w:pPr>
      <w:r>
        <w:rPr>
          <w:color w:val="231F20"/>
          <w:w w:val="66"/>
        </w:rPr>
        <w:t> </w:t>
      </w:r>
      <w:r>
        <w:rPr>
          <w:color w:val="231F20"/>
        </w:rPr>
        <w:t>– обала Дунава </w:t>
      </w:r>
      <w:r>
        <w:rPr>
          <w:color w:val="231F20"/>
          <w:spacing w:val="-3"/>
        </w:rPr>
        <w:t>која </w:t>
      </w:r>
      <w:r>
        <w:rPr>
          <w:color w:val="231F20"/>
        </w:rPr>
        <w:t>припада међународно значајном под- ручју за птице и дефинише се на основу међународних стандарда са циљем њихове заштите и спречавања </w:t>
      </w:r>
      <w:r>
        <w:rPr>
          <w:color w:val="231F20"/>
          <w:spacing w:val="-3"/>
        </w:rPr>
        <w:t>од </w:t>
      </w:r>
      <w:r>
        <w:rPr>
          <w:color w:val="231F20"/>
        </w:rPr>
        <w:t>изумирања (Important Bird Area – IBA</w:t>
      </w:r>
      <w:r>
        <w:rPr>
          <w:color w:val="231F20"/>
          <w:position w:val="6"/>
          <w:sz w:val="10"/>
        </w:rPr>
        <w:t>10</w:t>
      </w:r>
      <w:r>
        <w:rPr>
          <w:color w:val="231F20"/>
        </w:rPr>
        <w:t>), зона Дубровац – Рам, </w:t>
      </w:r>
      <w:r>
        <w:rPr>
          <w:color w:val="231F20"/>
          <w:spacing w:val="-4"/>
        </w:rPr>
        <w:t>где </w:t>
      </w:r>
      <w:r>
        <w:rPr>
          <w:color w:val="231F20"/>
        </w:rPr>
        <w:t>се у </w:t>
      </w:r>
      <w:r>
        <w:rPr>
          <w:color w:val="231F20"/>
          <w:spacing w:val="-3"/>
        </w:rPr>
        <w:t>зимском </w:t>
      </w:r>
      <w:r>
        <w:rPr>
          <w:color w:val="231F20"/>
        </w:rPr>
        <w:t>периоду окупи </w:t>
      </w:r>
      <w:r>
        <w:rPr>
          <w:color w:val="231F20"/>
          <w:spacing w:val="-3"/>
        </w:rPr>
        <w:t>од </w:t>
      </w:r>
      <w:r>
        <w:rPr>
          <w:color w:val="231F20"/>
        </w:rPr>
        <w:t>60.000 до 100.000 птица, припада једном </w:t>
      </w:r>
      <w:r>
        <w:rPr>
          <w:color w:val="231F20"/>
          <w:spacing w:val="-3"/>
        </w:rPr>
        <w:t>од </w:t>
      </w:r>
      <w:r>
        <w:rPr>
          <w:color w:val="231F20"/>
        </w:rPr>
        <w:t>40 IBА под- ручја у Србији;</w:t>
      </w:r>
    </w:p>
    <w:p>
      <w:pPr>
        <w:pStyle w:val="BodyText"/>
        <w:spacing w:line="232" w:lineRule="auto" w:before="2"/>
        <w:ind w:right="39" w:firstLine="396"/>
      </w:pPr>
      <w:r>
        <w:rPr>
          <w:color w:val="231F20"/>
          <w:w w:val="66"/>
        </w:rPr>
        <w:t> </w:t>
      </w:r>
      <w:r>
        <w:rPr>
          <w:color w:val="231F20"/>
        </w:rPr>
        <w:t>–</w:t>
      </w:r>
      <w:r>
        <w:rPr>
          <w:color w:val="231F20"/>
          <w:spacing w:val="-6"/>
        </w:rPr>
        <w:t> </w:t>
      </w:r>
      <w:r>
        <w:rPr>
          <w:color w:val="231F20"/>
          <w:spacing w:val="-3"/>
        </w:rPr>
        <w:t>Лабудово</w:t>
      </w:r>
      <w:r>
        <w:rPr>
          <w:color w:val="231F20"/>
          <w:spacing w:val="-6"/>
        </w:rPr>
        <w:t> </w:t>
      </w:r>
      <w:r>
        <w:rPr>
          <w:color w:val="231F20"/>
        </w:rPr>
        <w:t>окно</w:t>
      </w:r>
      <w:r>
        <w:rPr>
          <w:color w:val="231F20"/>
          <w:spacing w:val="-6"/>
        </w:rPr>
        <w:t> </w:t>
      </w:r>
      <w:r>
        <w:rPr>
          <w:color w:val="231F20"/>
          <w:spacing w:val="-3"/>
        </w:rPr>
        <w:t>које</w:t>
      </w:r>
      <w:r>
        <w:rPr>
          <w:color w:val="231F20"/>
          <w:spacing w:val="-6"/>
        </w:rPr>
        <w:t> </w:t>
      </w:r>
      <w:r>
        <w:rPr>
          <w:color w:val="231F20"/>
        </w:rPr>
        <w:t>се</w:t>
      </w:r>
      <w:r>
        <w:rPr>
          <w:color w:val="231F20"/>
          <w:spacing w:val="-6"/>
        </w:rPr>
        <w:t> </w:t>
      </w:r>
      <w:r>
        <w:rPr>
          <w:color w:val="231F20"/>
        </w:rPr>
        <w:t>налази</w:t>
      </w:r>
      <w:r>
        <w:rPr>
          <w:color w:val="231F20"/>
          <w:spacing w:val="-6"/>
        </w:rPr>
        <w:t> </w:t>
      </w:r>
      <w:r>
        <w:rPr>
          <w:color w:val="231F20"/>
        </w:rPr>
        <w:t>низводно</w:t>
      </w:r>
      <w:r>
        <w:rPr>
          <w:color w:val="231F20"/>
          <w:spacing w:val="-6"/>
        </w:rPr>
        <w:t> </w:t>
      </w:r>
      <w:r>
        <w:rPr>
          <w:color w:val="231F20"/>
          <w:spacing w:val="-3"/>
        </w:rPr>
        <w:t>од</w:t>
      </w:r>
      <w:r>
        <w:rPr>
          <w:color w:val="231F20"/>
          <w:spacing w:val="-6"/>
        </w:rPr>
        <w:t> </w:t>
      </w:r>
      <w:r>
        <w:rPr>
          <w:color w:val="231F20"/>
        </w:rPr>
        <w:t>ушћа</w:t>
      </w:r>
      <w:r>
        <w:rPr>
          <w:color w:val="231F20"/>
          <w:spacing w:val="-6"/>
        </w:rPr>
        <w:t> </w:t>
      </w:r>
      <w:r>
        <w:rPr>
          <w:color w:val="231F20"/>
        </w:rPr>
        <w:t>реке</w:t>
      </w:r>
      <w:r>
        <w:rPr>
          <w:color w:val="231F20"/>
          <w:spacing w:val="-6"/>
        </w:rPr>
        <w:t> </w:t>
      </w:r>
      <w:r>
        <w:rPr>
          <w:color w:val="231F20"/>
        </w:rPr>
        <w:t>Млаве у Дунав представља заштићено Рамсарско</w:t>
      </w:r>
      <w:r>
        <w:rPr>
          <w:color w:val="231F20"/>
          <w:spacing w:val="-9"/>
        </w:rPr>
        <w:t> </w:t>
      </w:r>
      <w:r>
        <w:rPr>
          <w:color w:val="231F20"/>
        </w:rPr>
        <w:t>подручје;</w:t>
      </w:r>
    </w:p>
    <w:p>
      <w:pPr>
        <w:pStyle w:val="BodyText"/>
        <w:spacing w:line="232" w:lineRule="auto"/>
        <w:ind w:right="39" w:firstLine="396"/>
      </w:pPr>
      <w:r>
        <w:rPr>
          <w:color w:val="231F20"/>
          <w:w w:val="66"/>
        </w:rPr>
        <w:t> </w:t>
      </w:r>
      <w:r>
        <w:rPr>
          <w:color w:val="231F20"/>
        </w:rPr>
        <w:t>– део Планског подручја, који се налази у зони заштите „Де- либлатске пешчаре”, представља подручје дефинисано у оквиру</w:t>
      </w:r>
    </w:p>
    <w:p>
      <w:pPr>
        <w:pStyle w:val="BodyText"/>
        <w:spacing w:line="200" w:lineRule="exact"/>
        <w:jc w:val="left"/>
      </w:pPr>
      <w:r>
        <w:rPr>
          <w:color w:val="231F20"/>
        </w:rPr>
        <w:t>„Емералд мреже” и</w:t>
      </w:r>
    </w:p>
    <w:p>
      <w:pPr>
        <w:pStyle w:val="BodyText"/>
        <w:spacing w:line="232" w:lineRule="auto" w:before="3"/>
        <w:ind w:right="39" w:firstLine="396"/>
      </w:pPr>
      <w:r>
        <w:rPr>
          <w:color w:val="231F20"/>
          <w:w w:val="66"/>
        </w:rPr>
        <w:t> </w:t>
      </w:r>
      <w:r>
        <w:rPr>
          <w:color w:val="231F20"/>
        </w:rPr>
        <w:t>–</w:t>
      </w:r>
      <w:r>
        <w:rPr>
          <w:color w:val="231F20"/>
          <w:spacing w:val="-11"/>
        </w:rPr>
        <w:t> </w:t>
      </w:r>
      <w:r>
        <w:rPr>
          <w:color w:val="231F20"/>
        </w:rPr>
        <w:t>одабрана</w:t>
      </w:r>
      <w:r>
        <w:rPr>
          <w:color w:val="231F20"/>
          <w:spacing w:val="-11"/>
        </w:rPr>
        <w:t> </w:t>
      </w:r>
      <w:r>
        <w:rPr>
          <w:color w:val="231F20"/>
        </w:rPr>
        <w:t>подручја</w:t>
      </w:r>
      <w:r>
        <w:rPr>
          <w:color w:val="231F20"/>
          <w:spacing w:val="-11"/>
        </w:rPr>
        <w:t> </w:t>
      </w:r>
      <w:r>
        <w:rPr>
          <w:color w:val="231F20"/>
        </w:rPr>
        <w:t>за</w:t>
      </w:r>
      <w:r>
        <w:rPr>
          <w:color w:val="231F20"/>
          <w:spacing w:val="-11"/>
        </w:rPr>
        <w:t> </w:t>
      </w:r>
      <w:r>
        <w:rPr>
          <w:color w:val="231F20"/>
        </w:rPr>
        <w:t>дневне</w:t>
      </w:r>
      <w:r>
        <w:rPr>
          <w:color w:val="231F20"/>
          <w:spacing w:val="-11"/>
        </w:rPr>
        <w:t> </w:t>
      </w:r>
      <w:r>
        <w:rPr>
          <w:color w:val="231F20"/>
        </w:rPr>
        <w:t>лептире</w:t>
      </w:r>
      <w:r>
        <w:rPr>
          <w:color w:val="231F20"/>
          <w:spacing w:val="-11"/>
        </w:rPr>
        <w:t> </w:t>
      </w:r>
      <w:r>
        <w:rPr>
          <w:color w:val="231F20"/>
        </w:rPr>
        <w:t>(PBA</w:t>
      </w:r>
      <w:r>
        <w:rPr>
          <w:color w:val="231F20"/>
          <w:spacing w:val="5"/>
        </w:rPr>
        <w:t> </w:t>
      </w:r>
      <w:r>
        <w:rPr>
          <w:color w:val="231F20"/>
        </w:rPr>
        <w:t>–</w:t>
      </w:r>
      <w:r>
        <w:rPr>
          <w:color w:val="231F20"/>
          <w:spacing w:val="-11"/>
        </w:rPr>
        <w:t> </w:t>
      </w:r>
      <w:r>
        <w:rPr>
          <w:color w:val="231F20"/>
        </w:rPr>
        <w:t>Prime</w:t>
      </w:r>
      <w:r>
        <w:rPr>
          <w:color w:val="231F20"/>
          <w:spacing w:val="-11"/>
        </w:rPr>
        <w:t> </w:t>
      </w:r>
      <w:r>
        <w:rPr>
          <w:color w:val="231F20"/>
        </w:rPr>
        <w:t>Butterfly Areas</w:t>
      </w:r>
      <w:r>
        <w:rPr>
          <w:color w:val="231F20"/>
          <w:spacing w:val="-5"/>
        </w:rPr>
        <w:t> </w:t>
      </w:r>
      <w:r>
        <w:rPr>
          <w:color w:val="231F20"/>
        </w:rPr>
        <w:t>in</w:t>
      </w:r>
      <w:r>
        <w:rPr>
          <w:color w:val="231F20"/>
          <w:spacing w:val="-5"/>
        </w:rPr>
        <w:t> </w:t>
      </w:r>
      <w:r>
        <w:rPr>
          <w:color w:val="231F20"/>
        </w:rPr>
        <w:t>Serbia)</w:t>
      </w:r>
      <w:r>
        <w:rPr>
          <w:color w:val="231F20"/>
          <w:position w:val="6"/>
          <w:sz w:val="10"/>
        </w:rPr>
        <w:t>11</w:t>
      </w:r>
      <w:r>
        <w:rPr>
          <w:color w:val="231F20"/>
        </w:rPr>
        <w:t>;</w:t>
      </w:r>
      <w:r>
        <w:rPr>
          <w:color w:val="231F20"/>
          <w:spacing w:val="-5"/>
        </w:rPr>
        <w:t> </w:t>
      </w:r>
      <w:r>
        <w:rPr>
          <w:color w:val="231F20"/>
        </w:rPr>
        <w:t>налазе</w:t>
      </w:r>
      <w:r>
        <w:rPr>
          <w:color w:val="231F20"/>
          <w:spacing w:val="-5"/>
        </w:rPr>
        <w:t> </w:t>
      </w:r>
      <w:r>
        <w:rPr>
          <w:color w:val="231F20"/>
        </w:rPr>
        <w:t>се</w:t>
      </w:r>
      <w:r>
        <w:rPr>
          <w:color w:val="231F20"/>
          <w:spacing w:val="-5"/>
        </w:rPr>
        <w:t> </w:t>
      </w:r>
      <w:r>
        <w:rPr>
          <w:color w:val="231F20"/>
        </w:rPr>
        <w:t>у</w:t>
      </w:r>
      <w:r>
        <w:rPr>
          <w:color w:val="231F20"/>
          <w:spacing w:val="-5"/>
        </w:rPr>
        <w:t> </w:t>
      </w:r>
      <w:r>
        <w:rPr>
          <w:color w:val="231F20"/>
        </w:rPr>
        <w:t>зони</w:t>
      </w:r>
      <w:r>
        <w:rPr>
          <w:color w:val="231F20"/>
          <w:spacing w:val="-5"/>
        </w:rPr>
        <w:t> </w:t>
      </w:r>
      <w:r>
        <w:rPr>
          <w:color w:val="231F20"/>
        </w:rPr>
        <w:t>заштите</w:t>
      </w:r>
      <w:r>
        <w:rPr>
          <w:color w:val="231F20"/>
          <w:spacing w:val="-5"/>
        </w:rPr>
        <w:t> </w:t>
      </w:r>
      <w:r>
        <w:rPr>
          <w:color w:val="231F20"/>
        </w:rPr>
        <w:t>резервата</w:t>
      </w:r>
      <w:r>
        <w:rPr>
          <w:color w:val="231F20"/>
          <w:spacing w:val="-5"/>
        </w:rPr>
        <w:t> </w:t>
      </w:r>
      <w:r>
        <w:rPr>
          <w:color w:val="231F20"/>
        </w:rPr>
        <w:t>природе</w:t>
      </w:r>
      <w:r>
        <w:rPr>
          <w:color w:val="231F20"/>
          <w:spacing w:val="-5"/>
        </w:rPr>
        <w:t> </w:t>
      </w:r>
      <w:r>
        <w:rPr>
          <w:color w:val="231F20"/>
        </w:rPr>
        <w:t>„Де- либлатска</w:t>
      </w:r>
      <w:r>
        <w:rPr>
          <w:color w:val="231F20"/>
          <w:spacing w:val="-1"/>
        </w:rPr>
        <w:t> </w:t>
      </w:r>
      <w:r>
        <w:rPr>
          <w:color w:val="231F20"/>
        </w:rPr>
        <w:t>пешчара”.</w:t>
      </w:r>
    </w:p>
    <w:p>
      <w:pPr>
        <w:pStyle w:val="BodyText"/>
        <w:spacing w:before="165"/>
        <w:ind w:left="2067"/>
        <w:jc w:val="left"/>
      </w:pPr>
      <w:r>
        <w:rPr>
          <w:color w:val="231F20"/>
        </w:rPr>
        <w:t>Уређење предела</w:t>
      </w:r>
    </w:p>
    <w:p>
      <w:pPr>
        <w:pStyle w:val="BodyText"/>
        <w:spacing w:before="5"/>
        <w:ind w:left="0"/>
        <w:jc w:val="left"/>
        <w:rPr>
          <w:sz w:val="17"/>
        </w:rPr>
      </w:pPr>
    </w:p>
    <w:p>
      <w:pPr>
        <w:pStyle w:val="BodyText"/>
        <w:spacing w:line="232" w:lineRule="auto"/>
        <w:ind w:right="39" w:firstLine="397"/>
      </w:pPr>
      <w:r>
        <w:rPr>
          <w:color w:val="231F20"/>
        </w:rPr>
        <w:t>У геоморфолошком </w:t>
      </w:r>
      <w:r>
        <w:rPr>
          <w:color w:val="231F20"/>
          <w:spacing w:val="-3"/>
        </w:rPr>
        <w:t>погледу </w:t>
      </w:r>
      <w:r>
        <w:rPr>
          <w:color w:val="231F20"/>
        </w:rPr>
        <w:t>Планско подручје, припада пе- рипанонској Србији, </w:t>
      </w:r>
      <w:r>
        <w:rPr>
          <w:color w:val="231F20"/>
          <w:spacing w:val="-3"/>
        </w:rPr>
        <w:t>коју </w:t>
      </w:r>
      <w:r>
        <w:rPr>
          <w:color w:val="231F20"/>
        </w:rPr>
        <w:t>одликују равничарско-низијски терени са ниским побрђима. Заступљени су терени </w:t>
      </w:r>
      <w:r>
        <w:rPr>
          <w:color w:val="231F20"/>
          <w:spacing w:val="-3"/>
        </w:rPr>
        <w:t>од </w:t>
      </w:r>
      <w:r>
        <w:rPr>
          <w:color w:val="231F20"/>
        </w:rPr>
        <w:t>200 до 350 m н.в.,  с највишим </w:t>
      </w:r>
      <w:r>
        <w:rPr>
          <w:color w:val="231F20"/>
          <w:spacing w:val="-3"/>
        </w:rPr>
        <w:t>врхом </w:t>
      </w:r>
      <w:r>
        <w:rPr>
          <w:color w:val="231F20"/>
        </w:rPr>
        <w:t>Анатема </w:t>
      </w:r>
      <w:r>
        <w:rPr>
          <w:color w:val="231F20"/>
          <w:spacing w:val="-3"/>
        </w:rPr>
        <w:t>од </w:t>
      </w:r>
      <w:r>
        <w:rPr>
          <w:color w:val="231F20"/>
        </w:rPr>
        <w:t>324 m н.в., на Лекином </w:t>
      </w:r>
      <w:r>
        <w:rPr>
          <w:color w:val="231F20"/>
          <w:spacing w:val="-5"/>
        </w:rPr>
        <w:t>брду, </w:t>
      </w:r>
      <w:r>
        <w:rPr>
          <w:color w:val="231F20"/>
        </w:rPr>
        <w:t>источ- но </w:t>
      </w:r>
      <w:r>
        <w:rPr>
          <w:color w:val="231F20"/>
          <w:spacing w:val="-3"/>
        </w:rPr>
        <w:t>од </w:t>
      </w:r>
      <w:r>
        <w:rPr>
          <w:color w:val="231F20"/>
        </w:rPr>
        <w:t>села Кличевац. Основна топографска карактеристика целог подручја</w:t>
      </w:r>
      <w:r>
        <w:rPr>
          <w:color w:val="231F20"/>
          <w:spacing w:val="-6"/>
        </w:rPr>
        <w:t> </w:t>
      </w:r>
      <w:r>
        <w:rPr>
          <w:color w:val="231F20"/>
        </w:rPr>
        <w:t>је</w:t>
      </w:r>
      <w:r>
        <w:rPr>
          <w:color w:val="231F20"/>
          <w:spacing w:val="-6"/>
        </w:rPr>
        <w:t> </w:t>
      </w:r>
      <w:r>
        <w:rPr>
          <w:color w:val="231F20"/>
        </w:rPr>
        <w:t>нагнутост</w:t>
      </w:r>
      <w:r>
        <w:rPr>
          <w:color w:val="231F20"/>
          <w:spacing w:val="-6"/>
        </w:rPr>
        <w:t> </w:t>
      </w:r>
      <w:r>
        <w:rPr>
          <w:color w:val="231F20"/>
        </w:rPr>
        <w:t>терена</w:t>
      </w:r>
      <w:r>
        <w:rPr>
          <w:color w:val="231F20"/>
          <w:spacing w:val="-6"/>
        </w:rPr>
        <w:t> </w:t>
      </w:r>
      <w:r>
        <w:rPr>
          <w:color w:val="231F20"/>
        </w:rPr>
        <w:t>ка</w:t>
      </w:r>
      <w:r>
        <w:rPr>
          <w:color w:val="231F20"/>
          <w:spacing w:val="-6"/>
        </w:rPr>
        <w:t> </w:t>
      </w:r>
      <w:r>
        <w:rPr>
          <w:color w:val="231F20"/>
        </w:rPr>
        <w:t>великим</w:t>
      </w:r>
      <w:r>
        <w:rPr>
          <w:color w:val="231F20"/>
          <w:spacing w:val="-6"/>
        </w:rPr>
        <w:t> </w:t>
      </w:r>
      <w:r>
        <w:rPr>
          <w:color w:val="231F20"/>
        </w:rPr>
        <w:t>рекама,</w:t>
      </w:r>
      <w:r>
        <w:rPr>
          <w:color w:val="231F20"/>
          <w:spacing w:val="-6"/>
        </w:rPr>
        <w:t> </w:t>
      </w:r>
      <w:r>
        <w:rPr>
          <w:color w:val="231F20"/>
          <w:spacing w:val="-3"/>
        </w:rPr>
        <w:t>од</w:t>
      </w:r>
      <w:r>
        <w:rPr>
          <w:color w:val="231F20"/>
          <w:spacing w:val="-6"/>
        </w:rPr>
        <w:t> </w:t>
      </w:r>
      <w:r>
        <w:rPr>
          <w:color w:val="231F20"/>
        </w:rPr>
        <w:t>југа</w:t>
      </w:r>
      <w:r>
        <w:rPr>
          <w:color w:val="231F20"/>
          <w:spacing w:val="-6"/>
        </w:rPr>
        <w:t> </w:t>
      </w:r>
      <w:r>
        <w:rPr>
          <w:color w:val="231F20"/>
        </w:rPr>
        <w:t>ка</w:t>
      </w:r>
      <w:r>
        <w:rPr>
          <w:color w:val="231F20"/>
          <w:spacing w:val="-6"/>
        </w:rPr>
        <w:t> </w:t>
      </w:r>
      <w:r>
        <w:rPr>
          <w:color w:val="231F20"/>
          <w:spacing w:val="-4"/>
        </w:rPr>
        <w:t>Дунаву, </w:t>
      </w:r>
      <w:r>
        <w:rPr>
          <w:color w:val="231F20"/>
        </w:rPr>
        <w:t>а </w:t>
      </w:r>
      <w:r>
        <w:rPr>
          <w:color w:val="231F20"/>
          <w:spacing w:val="-3"/>
        </w:rPr>
        <w:t>од </w:t>
      </w:r>
      <w:r>
        <w:rPr>
          <w:color w:val="231F20"/>
        </w:rPr>
        <w:t>Пожаревачке греде ка Великој Морави, према </w:t>
      </w:r>
      <w:r>
        <w:rPr>
          <w:color w:val="231F20"/>
          <w:spacing w:val="-4"/>
        </w:rPr>
        <w:t>западу, </w:t>
      </w:r>
      <w:r>
        <w:rPr>
          <w:color w:val="231F20"/>
        </w:rPr>
        <w:t>и сти- </w:t>
      </w:r>
      <w:r>
        <w:rPr>
          <w:color w:val="231F20"/>
          <w:spacing w:val="-3"/>
        </w:rPr>
        <w:t>шкој</w:t>
      </w:r>
      <w:r>
        <w:rPr>
          <w:color w:val="231F20"/>
          <w:spacing w:val="-7"/>
        </w:rPr>
        <w:t> </w:t>
      </w:r>
      <w:r>
        <w:rPr>
          <w:color w:val="231F20"/>
        </w:rPr>
        <w:t>равници</w:t>
      </w:r>
      <w:r>
        <w:rPr>
          <w:color w:val="231F20"/>
          <w:spacing w:val="-7"/>
        </w:rPr>
        <w:t> </w:t>
      </w:r>
      <w:r>
        <w:rPr>
          <w:color w:val="231F20"/>
        </w:rPr>
        <w:t>према</w:t>
      </w:r>
      <w:r>
        <w:rPr>
          <w:color w:val="231F20"/>
          <w:spacing w:val="-7"/>
        </w:rPr>
        <w:t> </w:t>
      </w:r>
      <w:r>
        <w:rPr>
          <w:color w:val="231F20"/>
          <w:spacing w:val="-4"/>
        </w:rPr>
        <w:t>истоку.</w:t>
      </w:r>
      <w:r>
        <w:rPr>
          <w:color w:val="231F20"/>
          <w:spacing w:val="-7"/>
        </w:rPr>
        <w:t> </w:t>
      </w:r>
      <w:r>
        <w:rPr>
          <w:color w:val="231F20"/>
        </w:rPr>
        <w:t>Морфолошки</w:t>
      </w:r>
      <w:r>
        <w:rPr>
          <w:color w:val="231F20"/>
          <w:spacing w:val="-7"/>
        </w:rPr>
        <w:t> </w:t>
      </w:r>
      <w:r>
        <w:rPr>
          <w:color w:val="231F20"/>
        </w:rPr>
        <w:t>гледано,</w:t>
      </w:r>
      <w:r>
        <w:rPr>
          <w:color w:val="231F20"/>
          <w:spacing w:val="-7"/>
        </w:rPr>
        <w:t> </w:t>
      </w:r>
      <w:r>
        <w:rPr>
          <w:color w:val="231F20"/>
        </w:rPr>
        <w:t>издвајају</w:t>
      </w:r>
      <w:r>
        <w:rPr>
          <w:color w:val="231F20"/>
          <w:spacing w:val="-8"/>
        </w:rPr>
        <w:t> </w:t>
      </w:r>
      <w:r>
        <w:rPr>
          <w:color w:val="231F20"/>
        </w:rPr>
        <w:t>се</w:t>
      </w:r>
      <w:r>
        <w:rPr>
          <w:color w:val="231F20"/>
          <w:spacing w:val="-7"/>
        </w:rPr>
        <w:t> </w:t>
      </w:r>
      <w:r>
        <w:rPr>
          <w:color w:val="231F20"/>
        </w:rPr>
        <w:t>че- тири специфична типа</w:t>
      </w:r>
      <w:r>
        <w:rPr>
          <w:color w:val="231F20"/>
          <w:spacing w:val="-3"/>
        </w:rPr>
        <w:t> </w:t>
      </w:r>
      <w:r>
        <w:rPr>
          <w:color w:val="231F20"/>
        </w:rPr>
        <w:t>предела:</w:t>
      </w:r>
    </w:p>
    <w:p>
      <w:pPr>
        <w:pStyle w:val="BodyText"/>
        <w:spacing w:line="232" w:lineRule="auto" w:before="3"/>
        <w:ind w:right="39" w:firstLine="396"/>
      </w:pPr>
      <w:r>
        <w:rPr>
          <w:color w:val="231F20"/>
          <w:w w:val="66"/>
        </w:rPr>
        <w:t> </w:t>
      </w:r>
      <w:r>
        <w:rPr>
          <w:color w:val="231F20"/>
        </w:rPr>
        <w:t>–</w:t>
      </w:r>
      <w:r>
        <w:rPr>
          <w:color w:val="231F20"/>
          <w:spacing w:val="-9"/>
        </w:rPr>
        <w:t> </w:t>
      </w:r>
      <w:r>
        <w:rPr>
          <w:color w:val="231F20"/>
          <w:spacing w:val="-4"/>
        </w:rPr>
        <w:t>Поморавље</w:t>
      </w:r>
      <w:r>
        <w:rPr>
          <w:color w:val="231F20"/>
          <w:spacing w:val="-9"/>
        </w:rPr>
        <w:t> </w:t>
      </w:r>
      <w:r>
        <w:rPr>
          <w:color w:val="231F20"/>
          <w:spacing w:val="-5"/>
        </w:rPr>
        <w:t>обухвата</w:t>
      </w:r>
      <w:r>
        <w:rPr>
          <w:color w:val="231F20"/>
          <w:spacing w:val="-9"/>
        </w:rPr>
        <w:t> </w:t>
      </w:r>
      <w:r>
        <w:rPr>
          <w:color w:val="231F20"/>
          <w:spacing w:val="-4"/>
        </w:rPr>
        <w:t>западни</w:t>
      </w:r>
      <w:r>
        <w:rPr>
          <w:color w:val="231F20"/>
          <w:spacing w:val="-9"/>
        </w:rPr>
        <w:t> </w:t>
      </w:r>
      <w:r>
        <w:rPr>
          <w:color w:val="231F20"/>
          <w:spacing w:val="-3"/>
        </w:rPr>
        <w:t>део</w:t>
      </w:r>
      <w:r>
        <w:rPr>
          <w:color w:val="231F20"/>
          <w:spacing w:val="-9"/>
        </w:rPr>
        <w:t> </w:t>
      </w:r>
      <w:r>
        <w:rPr>
          <w:color w:val="231F20"/>
          <w:spacing w:val="-5"/>
        </w:rPr>
        <w:t>Планског</w:t>
      </w:r>
      <w:r>
        <w:rPr>
          <w:color w:val="231F20"/>
          <w:spacing w:val="-9"/>
        </w:rPr>
        <w:t> </w:t>
      </w:r>
      <w:r>
        <w:rPr>
          <w:color w:val="231F20"/>
          <w:spacing w:val="-5"/>
        </w:rPr>
        <w:t>подручја;</w:t>
      </w:r>
      <w:r>
        <w:rPr>
          <w:color w:val="231F20"/>
          <w:spacing w:val="-9"/>
        </w:rPr>
        <w:t> </w:t>
      </w:r>
      <w:r>
        <w:rPr>
          <w:color w:val="231F20"/>
        </w:rPr>
        <w:t>на</w:t>
      </w:r>
      <w:r>
        <w:rPr>
          <w:color w:val="231F20"/>
          <w:spacing w:val="-9"/>
        </w:rPr>
        <w:t> </w:t>
      </w:r>
      <w:r>
        <w:rPr>
          <w:color w:val="231F20"/>
          <w:spacing w:val="-5"/>
        </w:rPr>
        <w:t>овом, једном од </w:t>
      </w:r>
      <w:r>
        <w:rPr>
          <w:color w:val="231F20"/>
          <w:spacing w:val="-4"/>
        </w:rPr>
        <w:t>најнижих делова </w:t>
      </w:r>
      <w:r>
        <w:rPr>
          <w:color w:val="231F20"/>
          <w:spacing w:val="-5"/>
        </w:rPr>
        <w:t>Панонског </w:t>
      </w:r>
      <w:r>
        <w:rPr>
          <w:color w:val="231F20"/>
          <w:spacing w:val="-3"/>
        </w:rPr>
        <w:t>басена </w:t>
      </w:r>
      <w:r>
        <w:rPr>
          <w:color w:val="231F20"/>
          <w:spacing w:val="-4"/>
        </w:rPr>
        <w:t>преовлађују терени </w:t>
      </w:r>
      <w:r>
        <w:rPr>
          <w:color w:val="231F20"/>
          <w:spacing w:val="-5"/>
        </w:rPr>
        <w:t>надморске</w:t>
      </w:r>
      <w:r>
        <w:rPr>
          <w:color w:val="231F20"/>
          <w:spacing w:val="-10"/>
        </w:rPr>
        <w:t> </w:t>
      </w:r>
      <w:r>
        <w:rPr>
          <w:color w:val="231F20"/>
          <w:spacing w:val="-4"/>
        </w:rPr>
        <w:t>висине</w:t>
      </w:r>
      <w:r>
        <w:rPr>
          <w:color w:val="231F20"/>
          <w:spacing w:val="-10"/>
        </w:rPr>
        <w:t> </w:t>
      </w:r>
      <w:r>
        <w:rPr>
          <w:color w:val="231F20"/>
          <w:spacing w:val="-5"/>
        </w:rPr>
        <w:t>од</w:t>
      </w:r>
      <w:r>
        <w:rPr>
          <w:color w:val="231F20"/>
          <w:spacing w:val="-10"/>
        </w:rPr>
        <w:t> </w:t>
      </w:r>
      <w:r>
        <w:rPr>
          <w:color w:val="231F20"/>
        </w:rPr>
        <w:t>70</w:t>
      </w:r>
      <w:r>
        <w:rPr>
          <w:color w:val="231F20"/>
          <w:spacing w:val="-10"/>
        </w:rPr>
        <w:t> </w:t>
      </w:r>
      <w:r>
        <w:rPr>
          <w:color w:val="231F20"/>
        </w:rPr>
        <w:t>до</w:t>
      </w:r>
      <w:r>
        <w:rPr>
          <w:color w:val="231F20"/>
          <w:spacing w:val="-10"/>
        </w:rPr>
        <w:t> </w:t>
      </w:r>
      <w:r>
        <w:rPr>
          <w:color w:val="231F20"/>
        </w:rPr>
        <w:t>80</w:t>
      </w:r>
      <w:r>
        <w:rPr>
          <w:color w:val="231F20"/>
          <w:spacing w:val="-10"/>
        </w:rPr>
        <w:t> </w:t>
      </w:r>
      <w:r>
        <w:rPr>
          <w:color w:val="231F20"/>
        </w:rPr>
        <w:t>m;</w:t>
      </w:r>
      <w:r>
        <w:rPr>
          <w:color w:val="231F20"/>
          <w:spacing w:val="-10"/>
        </w:rPr>
        <w:t> </w:t>
      </w:r>
      <w:r>
        <w:rPr>
          <w:color w:val="231F20"/>
          <w:spacing w:val="-3"/>
        </w:rPr>
        <w:t>основна</w:t>
      </w:r>
      <w:r>
        <w:rPr>
          <w:color w:val="231F20"/>
          <w:spacing w:val="-10"/>
        </w:rPr>
        <w:t> </w:t>
      </w:r>
      <w:r>
        <w:rPr>
          <w:color w:val="231F20"/>
          <w:spacing w:val="-5"/>
        </w:rPr>
        <w:t>одлика</w:t>
      </w:r>
      <w:r>
        <w:rPr>
          <w:color w:val="231F20"/>
          <w:spacing w:val="-10"/>
        </w:rPr>
        <w:t> </w:t>
      </w:r>
      <w:r>
        <w:rPr>
          <w:color w:val="231F20"/>
          <w:spacing w:val="-3"/>
        </w:rPr>
        <w:t>су</w:t>
      </w:r>
      <w:r>
        <w:rPr>
          <w:color w:val="231F20"/>
          <w:spacing w:val="-10"/>
        </w:rPr>
        <w:t> </w:t>
      </w:r>
      <w:r>
        <w:rPr>
          <w:color w:val="231F20"/>
          <w:spacing w:val="-5"/>
        </w:rPr>
        <w:t>благи</w:t>
      </w:r>
      <w:r>
        <w:rPr>
          <w:color w:val="231F20"/>
          <w:spacing w:val="-10"/>
        </w:rPr>
        <w:t> </w:t>
      </w:r>
      <w:r>
        <w:rPr>
          <w:color w:val="231F20"/>
          <w:spacing w:val="-4"/>
        </w:rPr>
        <w:t>терасни</w:t>
      </w:r>
      <w:r>
        <w:rPr>
          <w:color w:val="231F20"/>
          <w:spacing w:val="-10"/>
        </w:rPr>
        <w:t> </w:t>
      </w:r>
      <w:r>
        <w:rPr>
          <w:color w:val="231F20"/>
          <w:spacing w:val="-5"/>
        </w:rPr>
        <w:t>од- </w:t>
      </w:r>
      <w:r>
        <w:rPr>
          <w:color w:val="231F20"/>
          <w:spacing w:val="-3"/>
        </w:rPr>
        <w:t>сеци </w:t>
      </w:r>
      <w:r>
        <w:rPr>
          <w:color w:val="231F20"/>
        </w:rPr>
        <w:t>и </w:t>
      </w:r>
      <w:r>
        <w:rPr>
          <w:color w:val="231F20"/>
          <w:spacing w:val="-4"/>
        </w:rPr>
        <w:t>алувијална раван, </w:t>
      </w:r>
      <w:r>
        <w:rPr>
          <w:color w:val="231F20"/>
        </w:rPr>
        <w:t>с </w:t>
      </w:r>
      <w:r>
        <w:rPr>
          <w:color w:val="231F20"/>
          <w:spacing w:val="-4"/>
        </w:rPr>
        <w:t>нагибом </w:t>
      </w:r>
      <w:r>
        <w:rPr>
          <w:color w:val="231F20"/>
          <w:spacing w:val="-6"/>
        </w:rPr>
        <w:t>који </w:t>
      </w:r>
      <w:r>
        <w:rPr>
          <w:color w:val="231F20"/>
        </w:rPr>
        <w:t>не </w:t>
      </w:r>
      <w:r>
        <w:rPr>
          <w:color w:val="231F20"/>
          <w:spacing w:val="-4"/>
        </w:rPr>
        <w:t>прелази </w:t>
      </w:r>
      <w:r>
        <w:rPr>
          <w:color w:val="231F20"/>
          <w:spacing w:val="-3"/>
        </w:rPr>
        <w:t>1%, </w:t>
      </w:r>
      <w:r>
        <w:rPr>
          <w:color w:val="231F20"/>
          <w:spacing w:val="-4"/>
        </w:rPr>
        <w:t>што утиче </w:t>
      </w:r>
      <w:r>
        <w:rPr>
          <w:color w:val="231F20"/>
        </w:rPr>
        <w:t>на </w:t>
      </w:r>
      <w:r>
        <w:rPr>
          <w:color w:val="231F20"/>
          <w:spacing w:val="-4"/>
        </w:rPr>
        <w:t>отежано процеђивање </w:t>
      </w:r>
      <w:r>
        <w:rPr>
          <w:color w:val="231F20"/>
          <w:spacing w:val="-5"/>
        </w:rPr>
        <w:t>воде </w:t>
      </w:r>
      <w:r>
        <w:rPr>
          <w:color w:val="231F20"/>
        </w:rPr>
        <w:t>и </w:t>
      </w:r>
      <w:r>
        <w:rPr>
          <w:color w:val="231F20"/>
          <w:spacing w:val="-4"/>
        </w:rPr>
        <w:t>стварање мртваја поред</w:t>
      </w:r>
      <w:r>
        <w:rPr>
          <w:color w:val="231F20"/>
          <w:spacing w:val="-31"/>
        </w:rPr>
        <w:t> </w:t>
      </w:r>
      <w:r>
        <w:rPr>
          <w:color w:val="231F20"/>
          <w:spacing w:val="-5"/>
        </w:rPr>
        <w:t>Мораве.</w:t>
      </w:r>
    </w:p>
    <w:p>
      <w:pPr>
        <w:pStyle w:val="BodyText"/>
        <w:spacing w:line="232" w:lineRule="auto" w:before="1"/>
        <w:ind w:right="39" w:firstLine="397"/>
      </w:pPr>
      <w:r>
        <w:rPr>
          <w:color w:val="231F20"/>
          <w:w w:val="66"/>
        </w:rPr>
        <w:t> </w:t>
      </w:r>
      <w:r>
        <w:rPr>
          <w:color w:val="231F20"/>
        </w:rPr>
        <w:t>– Пожаревачка греда (греда Сопот) представља лесну творе- вину са стрмим одсецима и заравњеном средишњом површином; простире</w:t>
      </w:r>
      <w:r>
        <w:rPr>
          <w:color w:val="231F20"/>
          <w:spacing w:val="-7"/>
        </w:rPr>
        <w:t> </w:t>
      </w:r>
      <w:r>
        <w:rPr>
          <w:color w:val="231F20"/>
        </w:rPr>
        <w:t>се</w:t>
      </w:r>
      <w:r>
        <w:rPr>
          <w:color w:val="231F20"/>
          <w:spacing w:val="-7"/>
        </w:rPr>
        <w:t> </w:t>
      </w:r>
      <w:r>
        <w:rPr>
          <w:color w:val="231F20"/>
        </w:rPr>
        <w:t>средишњим</w:t>
      </w:r>
      <w:r>
        <w:rPr>
          <w:color w:val="231F20"/>
          <w:spacing w:val="-7"/>
        </w:rPr>
        <w:t> </w:t>
      </w:r>
      <w:r>
        <w:rPr>
          <w:color w:val="231F20"/>
        </w:rPr>
        <w:t>делом</w:t>
      </w:r>
      <w:r>
        <w:rPr>
          <w:color w:val="231F20"/>
          <w:spacing w:val="-7"/>
        </w:rPr>
        <w:t> </w:t>
      </w:r>
      <w:r>
        <w:rPr>
          <w:color w:val="231F20"/>
        </w:rPr>
        <w:t>Планског</w:t>
      </w:r>
      <w:r>
        <w:rPr>
          <w:color w:val="231F20"/>
          <w:spacing w:val="-7"/>
        </w:rPr>
        <w:t> </w:t>
      </w:r>
      <w:r>
        <w:rPr>
          <w:color w:val="231F20"/>
        </w:rPr>
        <w:t>подручја,</w:t>
      </w:r>
      <w:r>
        <w:rPr>
          <w:color w:val="231F20"/>
          <w:spacing w:val="-7"/>
        </w:rPr>
        <w:t> </w:t>
      </w:r>
      <w:r>
        <w:rPr>
          <w:color w:val="231F20"/>
          <w:spacing w:val="-4"/>
        </w:rPr>
        <w:t>где</w:t>
      </w:r>
      <w:r>
        <w:rPr>
          <w:color w:val="231F20"/>
          <w:spacing w:val="-7"/>
        </w:rPr>
        <w:t> </w:t>
      </w:r>
      <w:r>
        <w:rPr>
          <w:color w:val="231F20"/>
          <w:spacing w:val="-4"/>
        </w:rPr>
        <w:t>око</w:t>
      </w:r>
      <w:r>
        <w:rPr>
          <w:color w:val="231F20"/>
          <w:spacing w:val="-7"/>
        </w:rPr>
        <w:t> </w:t>
      </w:r>
      <w:r>
        <w:rPr>
          <w:color w:val="231F20"/>
        </w:rPr>
        <w:t>70%</w:t>
      </w:r>
      <w:r>
        <w:rPr>
          <w:color w:val="231F20"/>
          <w:spacing w:val="-7"/>
        </w:rPr>
        <w:t> </w:t>
      </w:r>
      <w:r>
        <w:rPr>
          <w:color w:val="231F20"/>
        </w:rPr>
        <w:t>те- рена има нагиб до 5%, а остали 5 –</w:t>
      </w:r>
      <w:r>
        <w:rPr>
          <w:color w:val="231F20"/>
          <w:spacing w:val="-25"/>
        </w:rPr>
        <w:t> </w:t>
      </w:r>
      <w:r>
        <w:rPr>
          <w:color w:val="231F20"/>
        </w:rPr>
        <w:t>12%.</w:t>
      </w:r>
    </w:p>
    <w:p>
      <w:pPr>
        <w:pStyle w:val="BodyText"/>
        <w:spacing w:line="232" w:lineRule="auto" w:before="1"/>
        <w:ind w:right="39" w:firstLine="396"/>
      </w:pPr>
      <w:r>
        <w:rPr>
          <w:color w:val="231F20"/>
          <w:w w:val="66"/>
        </w:rPr>
        <w:t> </w:t>
      </w:r>
      <w:r>
        <w:rPr>
          <w:color w:val="231F20"/>
        </w:rPr>
        <w:t>– </w:t>
      </w:r>
      <w:r>
        <w:rPr>
          <w:color w:val="231F20"/>
          <w:spacing w:val="-6"/>
        </w:rPr>
        <w:t>Стиг, </w:t>
      </w:r>
      <w:r>
        <w:rPr>
          <w:color w:val="231F20"/>
        </w:rPr>
        <w:t>са западним равничарским делом и речним терасама Млаве</w:t>
      </w:r>
      <w:r>
        <w:rPr>
          <w:color w:val="231F20"/>
          <w:spacing w:val="-8"/>
        </w:rPr>
        <w:t> </w:t>
      </w:r>
      <w:r>
        <w:rPr>
          <w:color w:val="231F20"/>
        </w:rPr>
        <w:t>и</w:t>
      </w:r>
      <w:r>
        <w:rPr>
          <w:color w:val="231F20"/>
          <w:spacing w:val="-8"/>
        </w:rPr>
        <w:t> </w:t>
      </w:r>
      <w:r>
        <w:rPr>
          <w:color w:val="231F20"/>
        </w:rPr>
        <w:t>источним</w:t>
      </w:r>
      <w:r>
        <w:rPr>
          <w:color w:val="231F20"/>
          <w:spacing w:val="-8"/>
        </w:rPr>
        <w:t> </w:t>
      </w:r>
      <w:r>
        <w:rPr>
          <w:color w:val="231F20"/>
        </w:rPr>
        <w:t>брежуљкастим</w:t>
      </w:r>
      <w:r>
        <w:rPr>
          <w:color w:val="231F20"/>
          <w:spacing w:val="-8"/>
        </w:rPr>
        <w:t> </w:t>
      </w:r>
      <w:r>
        <w:rPr>
          <w:color w:val="231F20"/>
        </w:rPr>
        <w:t>делом</w:t>
      </w:r>
      <w:r>
        <w:rPr>
          <w:color w:val="231F20"/>
          <w:spacing w:val="-8"/>
        </w:rPr>
        <w:t> </w:t>
      </w:r>
      <w:r>
        <w:rPr>
          <w:color w:val="231F20"/>
        </w:rPr>
        <w:t>на</w:t>
      </w:r>
      <w:r>
        <w:rPr>
          <w:color w:val="231F20"/>
          <w:spacing w:val="-8"/>
        </w:rPr>
        <w:t> </w:t>
      </w:r>
      <w:r>
        <w:rPr>
          <w:color w:val="231F20"/>
        </w:rPr>
        <w:t>ободу</w:t>
      </w:r>
      <w:r>
        <w:rPr>
          <w:color w:val="231F20"/>
          <w:spacing w:val="-8"/>
        </w:rPr>
        <w:t> </w:t>
      </w:r>
      <w:r>
        <w:rPr>
          <w:color w:val="231F20"/>
        </w:rPr>
        <w:t>Панонског</w:t>
      </w:r>
      <w:r>
        <w:rPr>
          <w:color w:val="231F20"/>
          <w:spacing w:val="-8"/>
        </w:rPr>
        <w:t> </w:t>
      </w:r>
      <w:r>
        <w:rPr>
          <w:color w:val="231F20"/>
        </w:rPr>
        <w:t>басе- на </w:t>
      </w:r>
      <w:r>
        <w:rPr>
          <w:color w:val="231F20"/>
          <w:spacing w:val="-3"/>
        </w:rPr>
        <w:t>који </w:t>
      </w:r>
      <w:r>
        <w:rPr>
          <w:color w:val="231F20"/>
        </w:rPr>
        <w:t>прелази у </w:t>
      </w:r>
      <w:r>
        <w:rPr>
          <w:color w:val="231F20"/>
          <w:spacing w:val="-3"/>
        </w:rPr>
        <w:t>Божевачку </w:t>
      </w:r>
      <w:r>
        <w:rPr>
          <w:color w:val="231F20"/>
        </w:rPr>
        <w:t>греду; рељеф је претежно равничар- ски, </w:t>
      </w:r>
      <w:r>
        <w:rPr>
          <w:color w:val="231F20"/>
          <w:spacing w:val="-3"/>
        </w:rPr>
        <w:t>тако </w:t>
      </w:r>
      <w:r>
        <w:rPr>
          <w:color w:val="231F20"/>
        </w:rPr>
        <w:t>да је 70 % са нагибом до 1%, а остали део са нагибима и до 12% и</w:t>
      </w:r>
    </w:p>
    <w:p>
      <w:pPr>
        <w:pStyle w:val="BodyText"/>
        <w:spacing w:line="232" w:lineRule="auto" w:before="2"/>
        <w:ind w:right="39" w:firstLine="397"/>
      </w:pPr>
      <w:r>
        <w:rPr>
          <w:color w:val="231F20"/>
          <w:w w:val="66"/>
        </w:rPr>
        <w:t> </w:t>
      </w:r>
      <w:r>
        <w:rPr>
          <w:color w:val="231F20"/>
        </w:rPr>
        <w:t>–</w:t>
      </w:r>
      <w:r>
        <w:rPr>
          <w:color w:val="231F20"/>
          <w:spacing w:val="-7"/>
        </w:rPr>
        <w:t> </w:t>
      </w:r>
      <w:r>
        <w:rPr>
          <w:color w:val="231F20"/>
          <w:spacing w:val="-4"/>
        </w:rPr>
        <w:t>Костолачко</w:t>
      </w:r>
      <w:r>
        <w:rPr>
          <w:color w:val="231F20"/>
          <w:spacing w:val="-7"/>
        </w:rPr>
        <w:t> </w:t>
      </w:r>
      <w:r>
        <w:rPr>
          <w:color w:val="231F20"/>
        </w:rPr>
        <w:t>приобаље</w:t>
      </w:r>
      <w:r>
        <w:rPr>
          <w:color w:val="231F20"/>
          <w:spacing w:val="-7"/>
        </w:rPr>
        <w:t> </w:t>
      </w:r>
      <w:r>
        <w:rPr>
          <w:color w:val="231F20"/>
        </w:rPr>
        <w:t>Дунава</w:t>
      </w:r>
      <w:r>
        <w:rPr>
          <w:color w:val="231F20"/>
          <w:spacing w:val="-7"/>
        </w:rPr>
        <w:t> </w:t>
      </w:r>
      <w:r>
        <w:rPr>
          <w:color w:val="231F20"/>
        </w:rPr>
        <w:t>с</w:t>
      </w:r>
      <w:r>
        <w:rPr>
          <w:color w:val="231F20"/>
          <w:spacing w:val="-7"/>
        </w:rPr>
        <w:t> </w:t>
      </w:r>
      <w:r>
        <w:rPr>
          <w:color w:val="231F20"/>
        </w:rPr>
        <w:t>дунавским</w:t>
      </w:r>
      <w:r>
        <w:rPr>
          <w:color w:val="231F20"/>
          <w:spacing w:val="-7"/>
        </w:rPr>
        <w:t> </w:t>
      </w:r>
      <w:r>
        <w:rPr>
          <w:color w:val="231F20"/>
        </w:rPr>
        <w:t>адама</w:t>
      </w:r>
      <w:r>
        <w:rPr>
          <w:color w:val="231F20"/>
          <w:spacing w:val="-7"/>
        </w:rPr>
        <w:t> </w:t>
      </w:r>
      <w:r>
        <w:rPr>
          <w:color w:val="231F20"/>
        </w:rPr>
        <w:t>је</w:t>
      </w:r>
      <w:r>
        <w:rPr>
          <w:color w:val="231F20"/>
          <w:spacing w:val="-7"/>
        </w:rPr>
        <w:t> </w:t>
      </w:r>
      <w:r>
        <w:rPr>
          <w:color w:val="231F20"/>
        </w:rPr>
        <w:t>простор </w:t>
      </w:r>
      <w:r>
        <w:rPr>
          <w:color w:val="231F20"/>
          <w:spacing w:val="-4"/>
        </w:rPr>
        <w:t>где </w:t>
      </w:r>
      <w:r>
        <w:rPr>
          <w:color w:val="231F20"/>
        </w:rPr>
        <w:t>је Дунав изградио речна острва и алувијалну раван, са нагиби- ма терена до</w:t>
      </w:r>
      <w:r>
        <w:rPr>
          <w:color w:val="231F20"/>
          <w:spacing w:val="-2"/>
        </w:rPr>
        <w:t> </w:t>
      </w:r>
      <w:r>
        <w:rPr>
          <w:color w:val="231F20"/>
        </w:rPr>
        <w:t>3%.</w:t>
      </w:r>
    </w:p>
    <w:p>
      <w:pPr>
        <w:pStyle w:val="BodyText"/>
        <w:spacing w:line="232" w:lineRule="auto"/>
        <w:ind w:right="38" w:firstLine="396"/>
      </w:pPr>
      <w:r>
        <w:rPr>
          <w:color w:val="231F20"/>
        </w:rPr>
        <w:t>У целини </w:t>
      </w:r>
      <w:r>
        <w:rPr>
          <w:color w:val="231F20"/>
          <w:spacing w:val="-4"/>
        </w:rPr>
        <w:t>гледано, </w:t>
      </w:r>
      <w:r>
        <w:rPr>
          <w:color w:val="231F20"/>
          <w:spacing w:val="-3"/>
        </w:rPr>
        <w:t>Планско подручје </w:t>
      </w:r>
      <w:r>
        <w:rPr>
          <w:color w:val="231F20"/>
        </w:rPr>
        <w:t>се </w:t>
      </w:r>
      <w:r>
        <w:rPr>
          <w:color w:val="231F20"/>
          <w:spacing w:val="-3"/>
        </w:rPr>
        <w:t>одликују </w:t>
      </w:r>
      <w:r>
        <w:rPr>
          <w:color w:val="231F20"/>
          <w:spacing w:val="-4"/>
        </w:rPr>
        <w:t>очуваном </w:t>
      </w:r>
      <w:r>
        <w:rPr>
          <w:color w:val="231F20"/>
          <w:spacing w:val="-3"/>
        </w:rPr>
        <w:t>вегетацијом, значајном присутношћу природних </w:t>
      </w:r>
      <w:r>
        <w:rPr>
          <w:color w:val="231F20"/>
        </w:rPr>
        <w:t>ресурса и специ- фичним </w:t>
      </w:r>
      <w:r>
        <w:rPr>
          <w:color w:val="231F20"/>
          <w:spacing w:val="-4"/>
        </w:rPr>
        <w:t>одликама </w:t>
      </w:r>
      <w:r>
        <w:rPr>
          <w:color w:val="231F20"/>
          <w:spacing w:val="-3"/>
        </w:rPr>
        <w:t>предеоних елемената. </w:t>
      </w:r>
      <w:r>
        <w:rPr>
          <w:color w:val="231F20"/>
        </w:rPr>
        <w:t>Посебну вредност чине</w:t>
      </w:r>
      <w:r>
        <w:rPr>
          <w:color w:val="231F20"/>
          <w:spacing w:val="-25"/>
        </w:rPr>
        <w:t> </w:t>
      </w:r>
      <w:r>
        <w:rPr>
          <w:color w:val="231F20"/>
        </w:rPr>
        <w:t>за- штићена </w:t>
      </w:r>
      <w:r>
        <w:rPr>
          <w:color w:val="231F20"/>
          <w:spacing w:val="-3"/>
        </w:rPr>
        <w:t>природна </w:t>
      </w:r>
      <w:r>
        <w:rPr>
          <w:color w:val="231F20"/>
        </w:rPr>
        <w:t>добра. Ови заштићени </w:t>
      </w:r>
      <w:r>
        <w:rPr>
          <w:color w:val="231F20"/>
          <w:spacing w:val="-3"/>
        </w:rPr>
        <w:t>објекти природе оствару- </w:t>
      </w:r>
      <w:r>
        <w:rPr>
          <w:color w:val="231F20"/>
        </w:rPr>
        <w:t>ју</w:t>
      </w:r>
      <w:r>
        <w:rPr>
          <w:color w:val="231F20"/>
          <w:spacing w:val="-6"/>
        </w:rPr>
        <w:t> </w:t>
      </w:r>
      <w:r>
        <w:rPr>
          <w:color w:val="231F20"/>
          <w:spacing w:val="-3"/>
        </w:rPr>
        <w:t>значајан</w:t>
      </w:r>
      <w:r>
        <w:rPr>
          <w:color w:val="231F20"/>
          <w:spacing w:val="-6"/>
        </w:rPr>
        <w:t> </w:t>
      </w:r>
      <w:r>
        <w:rPr>
          <w:color w:val="231F20"/>
        </w:rPr>
        <w:t>допринос</w:t>
      </w:r>
      <w:r>
        <w:rPr>
          <w:color w:val="231F20"/>
          <w:spacing w:val="-6"/>
        </w:rPr>
        <w:t> </w:t>
      </w:r>
      <w:r>
        <w:rPr>
          <w:color w:val="231F20"/>
          <w:spacing w:val="-3"/>
        </w:rPr>
        <w:t>укупној</w:t>
      </w:r>
      <w:r>
        <w:rPr>
          <w:color w:val="231F20"/>
          <w:spacing w:val="-6"/>
        </w:rPr>
        <w:t> </w:t>
      </w:r>
      <w:r>
        <w:rPr>
          <w:color w:val="231F20"/>
        </w:rPr>
        <w:t>амбијенталној</w:t>
      </w:r>
      <w:r>
        <w:rPr>
          <w:color w:val="231F20"/>
          <w:spacing w:val="-6"/>
        </w:rPr>
        <w:t> </w:t>
      </w:r>
      <w:r>
        <w:rPr>
          <w:color w:val="231F20"/>
        </w:rPr>
        <w:t>вредности,</w:t>
      </w:r>
      <w:r>
        <w:rPr>
          <w:color w:val="231F20"/>
          <w:spacing w:val="-6"/>
        </w:rPr>
        <w:t> </w:t>
      </w:r>
      <w:r>
        <w:rPr>
          <w:color w:val="231F20"/>
        </w:rPr>
        <w:t>због</w:t>
      </w:r>
      <w:r>
        <w:rPr>
          <w:color w:val="231F20"/>
          <w:spacing w:val="-6"/>
        </w:rPr>
        <w:t> </w:t>
      </w:r>
      <w:r>
        <w:rPr>
          <w:color w:val="231F20"/>
        </w:rPr>
        <w:t>чега</w:t>
      </w:r>
      <w:r>
        <w:rPr>
          <w:color w:val="231F20"/>
          <w:spacing w:val="-6"/>
        </w:rPr>
        <w:t> </w:t>
      </w:r>
      <w:r>
        <w:rPr>
          <w:color w:val="231F20"/>
        </w:rPr>
        <w:t>је </w:t>
      </w:r>
      <w:r>
        <w:rPr>
          <w:color w:val="231F20"/>
          <w:spacing w:val="-4"/>
        </w:rPr>
        <w:t>неопходно </w:t>
      </w:r>
      <w:r>
        <w:rPr>
          <w:color w:val="231F20"/>
          <w:spacing w:val="-3"/>
        </w:rPr>
        <w:t>одредити </w:t>
      </w:r>
      <w:r>
        <w:rPr>
          <w:color w:val="231F20"/>
        </w:rPr>
        <w:t>зоне </w:t>
      </w:r>
      <w:r>
        <w:rPr>
          <w:color w:val="231F20"/>
          <w:spacing w:val="-3"/>
        </w:rPr>
        <w:t>њиховог визуелног </w:t>
      </w:r>
      <w:r>
        <w:rPr>
          <w:color w:val="231F20"/>
        </w:rPr>
        <w:t>утицаја и</w:t>
      </w:r>
      <w:r>
        <w:rPr>
          <w:color w:val="231F20"/>
          <w:spacing w:val="-34"/>
        </w:rPr>
        <w:t> </w:t>
      </w:r>
      <w:r>
        <w:rPr>
          <w:color w:val="231F20"/>
          <w:spacing w:val="-3"/>
        </w:rPr>
        <w:t>континуално поштовање </w:t>
      </w:r>
      <w:r>
        <w:rPr>
          <w:color w:val="231F20"/>
        </w:rPr>
        <w:t>прописаних мера и </w:t>
      </w:r>
      <w:r>
        <w:rPr>
          <w:color w:val="231F20"/>
          <w:spacing w:val="-2"/>
        </w:rPr>
        <w:t>режима </w:t>
      </w:r>
      <w:r>
        <w:rPr>
          <w:color w:val="231F20"/>
        </w:rPr>
        <w:t>заштите. </w:t>
      </w:r>
      <w:r>
        <w:rPr>
          <w:color w:val="231F20"/>
          <w:spacing w:val="-3"/>
        </w:rPr>
        <w:t>Поред природних </w:t>
      </w:r>
      <w:r>
        <w:rPr>
          <w:color w:val="231F20"/>
        </w:rPr>
        <w:t>добара,</w:t>
      </w:r>
      <w:r>
        <w:rPr>
          <w:color w:val="231F20"/>
          <w:spacing w:val="-8"/>
        </w:rPr>
        <w:t> </w:t>
      </w:r>
      <w:r>
        <w:rPr>
          <w:color w:val="231F20"/>
          <w:spacing w:val="-3"/>
        </w:rPr>
        <w:t>значајан</w:t>
      </w:r>
      <w:r>
        <w:rPr>
          <w:color w:val="231F20"/>
          <w:spacing w:val="-8"/>
        </w:rPr>
        <w:t> </w:t>
      </w:r>
      <w:r>
        <w:rPr>
          <w:color w:val="231F20"/>
        </w:rPr>
        <w:t>потенцијал</w:t>
      </w:r>
      <w:r>
        <w:rPr>
          <w:color w:val="231F20"/>
          <w:spacing w:val="-8"/>
        </w:rPr>
        <w:t> </w:t>
      </w:r>
      <w:r>
        <w:rPr>
          <w:color w:val="231F20"/>
        </w:rPr>
        <w:t>представљају</w:t>
      </w:r>
      <w:r>
        <w:rPr>
          <w:color w:val="231F20"/>
          <w:spacing w:val="-8"/>
        </w:rPr>
        <w:t> </w:t>
      </w:r>
      <w:r>
        <w:rPr>
          <w:color w:val="231F20"/>
        </w:rPr>
        <w:t>и</w:t>
      </w:r>
      <w:r>
        <w:rPr>
          <w:color w:val="231F20"/>
          <w:spacing w:val="-8"/>
        </w:rPr>
        <w:t> </w:t>
      </w:r>
      <w:r>
        <w:rPr>
          <w:color w:val="231F20"/>
          <w:spacing w:val="-3"/>
        </w:rPr>
        <w:t>споменици</w:t>
      </w:r>
      <w:r>
        <w:rPr>
          <w:color w:val="231F20"/>
          <w:spacing w:val="-8"/>
        </w:rPr>
        <w:t> </w:t>
      </w:r>
      <w:r>
        <w:rPr>
          <w:color w:val="231F20"/>
          <w:spacing w:val="-4"/>
        </w:rPr>
        <w:t>културе.</w:t>
      </w:r>
    </w:p>
    <w:p>
      <w:pPr>
        <w:pStyle w:val="ListParagraph"/>
        <w:numPr>
          <w:ilvl w:val="2"/>
          <w:numId w:val="19"/>
        </w:numPr>
        <w:tabs>
          <w:tab w:pos="2106" w:val="left" w:leader="none"/>
        </w:tabs>
        <w:spacing w:line="240" w:lineRule="auto" w:before="168" w:after="0"/>
        <w:ind w:left="2105" w:right="0" w:hanging="450"/>
        <w:jc w:val="left"/>
        <w:rPr>
          <w:sz w:val="18"/>
        </w:rPr>
      </w:pPr>
      <w:r>
        <w:rPr>
          <w:color w:val="231F20"/>
          <w:spacing w:val="13"/>
          <w:sz w:val="18"/>
        </w:rPr>
        <w:t>Културно</w:t>
      </w:r>
      <w:r>
        <w:rPr>
          <w:color w:val="231F20"/>
          <w:spacing w:val="43"/>
          <w:sz w:val="18"/>
        </w:rPr>
        <w:t> </w:t>
      </w:r>
      <w:r>
        <w:rPr>
          <w:color w:val="231F20"/>
          <w:spacing w:val="16"/>
          <w:sz w:val="18"/>
        </w:rPr>
        <w:t>наслеђе</w:t>
      </w:r>
    </w:p>
    <w:p>
      <w:pPr>
        <w:pStyle w:val="BodyText"/>
        <w:spacing w:before="4"/>
        <w:ind w:left="0"/>
        <w:jc w:val="left"/>
        <w:rPr>
          <w:sz w:val="17"/>
        </w:rPr>
      </w:pPr>
    </w:p>
    <w:p>
      <w:pPr>
        <w:pStyle w:val="BodyText"/>
        <w:spacing w:line="232" w:lineRule="auto" w:before="1"/>
        <w:ind w:left="171" w:right="38" w:firstLine="396"/>
      </w:pPr>
      <w:r>
        <w:rPr>
          <w:color w:val="231F20"/>
        </w:rPr>
        <w:t>На </w:t>
      </w:r>
      <w:r>
        <w:rPr>
          <w:color w:val="231F20"/>
          <w:spacing w:val="-3"/>
        </w:rPr>
        <w:t>Планском </w:t>
      </w:r>
      <w:r>
        <w:rPr>
          <w:color w:val="231F20"/>
        </w:rPr>
        <w:t>подручју налази се разноврсно и вредно </w:t>
      </w:r>
      <w:r>
        <w:rPr>
          <w:color w:val="231F20"/>
          <w:spacing w:val="-3"/>
        </w:rPr>
        <w:t>кул- </w:t>
      </w:r>
      <w:r>
        <w:rPr>
          <w:color w:val="231F20"/>
        </w:rPr>
        <w:t>турно наслеђе, </w:t>
      </w:r>
      <w:r>
        <w:rPr>
          <w:color w:val="231F20"/>
          <w:spacing w:val="-3"/>
        </w:rPr>
        <w:t>које </w:t>
      </w:r>
      <w:r>
        <w:rPr>
          <w:color w:val="231F20"/>
        </w:rPr>
        <w:t>чини 826 непокретних културних добара и до- бара </w:t>
      </w:r>
      <w:r>
        <w:rPr>
          <w:color w:val="231F20"/>
          <w:spacing w:val="-3"/>
        </w:rPr>
        <w:t>која </w:t>
      </w:r>
      <w:r>
        <w:rPr>
          <w:color w:val="231F20"/>
        </w:rPr>
        <w:t>уживају претходну </w:t>
      </w:r>
      <w:r>
        <w:rPr>
          <w:color w:val="231F20"/>
          <w:spacing w:val="-4"/>
        </w:rPr>
        <w:t>заштиту. </w:t>
      </w:r>
      <w:r>
        <w:rPr>
          <w:color w:val="231F20"/>
        </w:rPr>
        <w:t>Највећи број непокретних културних добара чине сакрално, профано урбано градитељско наслеђе, народно градитељство у насељеним местима и археоло- шка</w:t>
      </w:r>
      <w:r>
        <w:rPr>
          <w:color w:val="231F20"/>
          <w:spacing w:val="-6"/>
        </w:rPr>
        <w:t> </w:t>
      </w:r>
      <w:r>
        <w:rPr>
          <w:color w:val="231F20"/>
        </w:rPr>
        <w:t>налазишта.</w:t>
      </w:r>
      <w:r>
        <w:rPr>
          <w:color w:val="231F20"/>
          <w:spacing w:val="-6"/>
        </w:rPr>
        <w:t> </w:t>
      </w:r>
      <w:r>
        <w:rPr>
          <w:color w:val="231F20"/>
        </w:rPr>
        <w:t>Већина</w:t>
      </w:r>
      <w:r>
        <w:rPr>
          <w:color w:val="231F20"/>
          <w:spacing w:val="-6"/>
        </w:rPr>
        <w:t> </w:t>
      </w:r>
      <w:r>
        <w:rPr>
          <w:color w:val="231F20"/>
        </w:rPr>
        <w:t>ових</w:t>
      </w:r>
      <w:r>
        <w:rPr>
          <w:color w:val="231F20"/>
          <w:spacing w:val="-6"/>
        </w:rPr>
        <w:t> </w:t>
      </w:r>
      <w:r>
        <w:rPr>
          <w:color w:val="231F20"/>
        </w:rPr>
        <w:t>добара</w:t>
      </w:r>
      <w:r>
        <w:rPr>
          <w:color w:val="231F20"/>
          <w:spacing w:val="-6"/>
        </w:rPr>
        <w:t> </w:t>
      </w:r>
      <w:r>
        <w:rPr>
          <w:color w:val="231F20"/>
        </w:rPr>
        <w:t>није</w:t>
      </w:r>
      <w:r>
        <w:rPr>
          <w:color w:val="231F20"/>
          <w:spacing w:val="-6"/>
        </w:rPr>
        <w:t> </w:t>
      </w:r>
      <w:r>
        <w:rPr>
          <w:color w:val="231F20"/>
        </w:rPr>
        <w:t>категорисана,</w:t>
      </w:r>
      <w:r>
        <w:rPr>
          <w:color w:val="231F20"/>
          <w:spacing w:val="-5"/>
        </w:rPr>
        <w:t> </w:t>
      </w:r>
      <w:r>
        <w:rPr>
          <w:color w:val="231F20"/>
        </w:rPr>
        <w:t>нема</w:t>
      </w:r>
      <w:r>
        <w:rPr>
          <w:color w:val="231F20"/>
          <w:spacing w:val="-6"/>
        </w:rPr>
        <w:t> </w:t>
      </w:r>
      <w:r>
        <w:rPr>
          <w:color w:val="231F20"/>
        </w:rPr>
        <w:t>утвр- ђен статус заштите у складу са </w:t>
      </w:r>
      <w:r>
        <w:rPr>
          <w:color w:val="231F20"/>
          <w:spacing w:val="-3"/>
        </w:rPr>
        <w:t>Законом </w:t>
      </w:r>
      <w:r>
        <w:rPr>
          <w:color w:val="231F20"/>
        </w:rPr>
        <w:t>о културним добрима. Та- кође, списак непокретних културних добара није</w:t>
      </w:r>
      <w:r>
        <w:rPr>
          <w:color w:val="231F20"/>
          <w:spacing w:val="-14"/>
        </w:rPr>
        <w:t> </w:t>
      </w:r>
      <w:r>
        <w:rPr>
          <w:color w:val="231F20"/>
        </w:rPr>
        <w:t>ажуриран.</w:t>
      </w:r>
    </w:p>
    <w:p>
      <w:pPr>
        <w:pStyle w:val="BodyText"/>
        <w:spacing w:line="232" w:lineRule="auto" w:before="2"/>
        <w:ind w:left="171" w:right="38" w:firstLine="396"/>
      </w:pPr>
      <w:r>
        <w:rPr>
          <w:color w:val="231F20"/>
        </w:rPr>
        <w:t>С обзиром на бројност и разноврсност културног наслеђа и разлике у приступу и третману појединих типова добара, уста- новљена је класификација и груписање према врсти добара и то на: археолошка налазишта, сакралне грађевине и остале сакрал- не споменике, народно градитељство – рурално наслеђе и урбано градитељско</w:t>
      </w:r>
      <w:r>
        <w:rPr>
          <w:color w:val="231F20"/>
          <w:spacing w:val="-1"/>
        </w:rPr>
        <w:t> </w:t>
      </w:r>
      <w:r>
        <w:rPr>
          <w:color w:val="231F20"/>
        </w:rPr>
        <w:t>наслеђе.</w:t>
      </w:r>
    </w:p>
    <w:p>
      <w:pPr>
        <w:spacing w:line="154"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23"/>
        </w:numPr>
        <w:tabs>
          <w:tab w:pos="454" w:val="left" w:leader="none"/>
        </w:tabs>
        <w:spacing w:line="240" w:lineRule="auto" w:before="0" w:after="0"/>
        <w:ind w:left="453" w:right="39" w:hanging="283"/>
        <w:jc w:val="left"/>
        <w:rPr>
          <w:sz w:val="14"/>
        </w:rPr>
      </w:pPr>
      <w:r>
        <w:rPr>
          <w:color w:val="231F20"/>
          <w:sz w:val="14"/>
        </w:rPr>
        <w:t>IBA у Србији нема одговарајући законски оквир. Међутим, многе међународне организације укључују IBА подручја у своје стратегије и акционе</w:t>
      </w:r>
      <w:r>
        <w:rPr>
          <w:color w:val="231F20"/>
          <w:spacing w:val="-17"/>
          <w:sz w:val="14"/>
        </w:rPr>
        <w:t> </w:t>
      </w:r>
      <w:r>
        <w:rPr>
          <w:color w:val="231F20"/>
          <w:sz w:val="14"/>
        </w:rPr>
        <w:t>планове.</w:t>
      </w:r>
    </w:p>
    <w:p>
      <w:pPr>
        <w:pStyle w:val="ListParagraph"/>
        <w:numPr>
          <w:ilvl w:val="0"/>
          <w:numId w:val="23"/>
        </w:numPr>
        <w:tabs>
          <w:tab w:pos="455" w:val="left" w:leader="none"/>
        </w:tabs>
        <w:spacing w:line="240" w:lineRule="auto" w:before="0" w:after="0"/>
        <w:ind w:left="453" w:right="39" w:hanging="283"/>
        <w:jc w:val="left"/>
        <w:rPr>
          <w:sz w:val="14"/>
        </w:rPr>
      </w:pPr>
      <w:r>
        <w:rPr>
          <w:color w:val="231F20"/>
          <w:sz w:val="14"/>
        </w:rPr>
        <w:t>Европска Директива о стаништима (92/43/EEC) представља основ за одабир циљних врста дневних</w:t>
      </w:r>
      <w:r>
        <w:rPr>
          <w:color w:val="231F20"/>
          <w:spacing w:val="-3"/>
          <w:sz w:val="14"/>
        </w:rPr>
        <w:t> </w:t>
      </w:r>
      <w:r>
        <w:rPr>
          <w:color w:val="231F20"/>
          <w:sz w:val="14"/>
        </w:rPr>
        <w:t>лептира.</w:t>
      </w:r>
    </w:p>
    <w:p>
      <w:pPr>
        <w:pStyle w:val="BodyText"/>
        <w:spacing w:line="232" w:lineRule="auto" w:before="73"/>
        <w:ind w:right="411" w:firstLine="397"/>
      </w:pPr>
      <w:r>
        <w:rPr/>
        <w:br w:type="column"/>
      </w:r>
      <w:r>
        <w:rPr>
          <w:color w:val="231F20"/>
        </w:rPr>
        <w:t>Документација народног градитељског наслеђа је фрагмен- тарна и за сада није валоризована од стране установа заштите, та- ко да се о фонду народног градитељства, очувању континуитета и заштити етнолошких вредности може говорити тек након темељ- них истраживања.</w:t>
      </w:r>
    </w:p>
    <w:p>
      <w:pPr>
        <w:pStyle w:val="BodyText"/>
        <w:spacing w:before="163"/>
        <w:ind w:left="522" w:right="764"/>
        <w:jc w:val="center"/>
      </w:pPr>
      <w:r>
        <w:rPr>
          <w:color w:val="231F20"/>
        </w:rPr>
        <w:t>Зоне заштите</w:t>
      </w:r>
    </w:p>
    <w:p>
      <w:pPr>
        <w:pStyle w:val="BodyText"/>
        <w:spacing w:before="2"/>
        <w:ind w:left="0"/>
        <w:jc w:val="left"/>
        <w:rPr>
          <w:sz w:val="17"/>
        </w:rPr>
      </w:pPr>
    </w:p>
    <w:p>
      <w:pPr>
        <w:pStyle w:val="BodyText"/>
        <w:spacing w:line="228" w:lineRule="auto"/>
        <w:ind w:left="112" w:right="411" w:firstLine="396"/>
        <w:jc w:val="right"/>
      </w:pPr>
      <w:r>
        <w:rPr>
          <w:color w:val="231F20"/>
        </w:rPr>
        <w:t>Републички завод за заштиту споменика културе (у даљем тексту: РЗЗСК) издао је „Услове чувања, одржавања и коришћења непокретних културних добара као и добара која уживају претход- ну заштиту” и утврдио мере заштите у оквиру Планског подручја. На Планском подручју утврђене су четири зоне заштите. Утвр-</w:t>
      </w:r>
    </w:p>
    <w:p>
      <w:pPr>
        <w:pStyle w:val="BodyText"/>
        <w:spacing w:line="228" w:lineRule="auto"/>
        <w:ind w:right="343"/>
        <w:jc w:val="left"/>
      </w:pPr>
      <w:r>
        <w:rPr>
          <w:color w:val="231F20"/>
        </w:rPr>
        <w:t>ђена методологија мера заштите подразумева степеновање режима заштите према значају и концентрацији сачуваног наслеђа.</w:t>
      </w:r>
    </w:p>
    <w:p>
      <w:pPr>
        <w:pStyle w:val="BodyText"/>
        <w:spacing w:before="160"/>
        <w:ind w:left="1700"/>
        <w:jc w:val="left"/>
      </w:pPr>
      <w:r>
        <w:rPr>
          <w:color w:val="231F20"/>
        </w:rPr>
        <w:t>Прва и друга зона заштите</w:t>
      </w:r>
    </w:p>
    <w:p>
      <w:pPr>
        <w:pStyle w:val="BodyText"/>
        <w:spacing w:before="10"/>
        <w:ind w:left="0"/>
        <w:jc w:val="left"/>
        <w:rPr>
          <w:sz w:val="16"/>
        </w:rPr>
      </w:pPr>
    </w:p>
    <w:p>
      <w:pPr>
        <w:pStyle w:val="BodyText"/>
        <w:spacing w:line="228" w:lineRule="auto"/>
        <w:ind w:right="412" w:firstLine="396"/>
      </w:pPr>
      <w:r>
        <w:rPr>
          <w:color w:val="231F20"/>
        </w:rPr>
        <w:t>Прва и друга зона заштите обухватају делове Планског под- ручја са културним наслеђем које је у ранијем поступку утврђено за непокретно културно добро или је под претходном заштитом.</w:t>
      </w:r>
    </w:p>
    <w:p>
      <w:pPr>
        <w:pStyle w:val="BodyText"/>
        <w:spacing w:before="161"/>
        <w:ind w:left="1813"/>
        <w:jc w:val="left"/>
      </w:pPr>
      <w:r>
        <w:rPr>
          <w:color w:val="231F20"/>
        </w:rPr>
        <w:t>Археолошка налазишта</w:t>
      </w:r>
    </w:p>
    <w:p>
      <w:pPr>
        <w:pStyle w:val="BodyText"/>
        <w:spacing w:before="9"/>
        <w:ind w:left="0"/>
        <w:jc w:val="left"/>
        <w:rPr>
          <w:sz w:val="16"/>
        </w:rPr>
      </w:pPr>
    </w:p>
    <w:p>
      <w:pPr>
        <w:pStyle w:val="BodyText"/>
        <w:spacing w:line="228" w:lineRule="auto" w:before="1"/>
        <w:ind w:right="411" w:firstLine="396"/>
      </w:pPr>
      <w:r>
        <w:rPr>
          <w:color w:val="231F20"/>
        </w:rPr>
        <w:t>Досадашњи археолошки налази показују да је простор Ко- столачког басена дуго насељавано тло, на коме су откривени ма- теријални докази о постојању цивилизација од неолита до касног средњег века.</w:t>
      </w:r>
    </w:p>
    <w:p>
      <w:pPr>
        <w:pStyle w:val="BodyText"/>
        <w:spacing w:line="228" w:lineRule="auto"/>
        <w:ind w:right="411" w:firstLine="396"/>
      </w:pPr>
      <w:r>
        <w:rPr>
          <w:color w:val="231F20"/>
          <w:spacing w:val="-3"/>
        </w:rPr>
        <w:t>Aрхеолошко</w:t>
      </w:r>
      <w:r>
        <w:rPr>
          <w:color w:val="231F20"/>
          <w:spacing w:val="-8"/>
        </w:rPr>
        <w:t> </w:t>
      </w:r>
      <w:r>
        <w:rPr>
          <w:color w:val="231F20"/>
        </w:rPr>
        <w:t>налазиште</w:t>
      </w:r>
      <w:r>
        <w:rPr>
          <w:color w:val="231F20"/>
          <w:spacing w:val="-8"/>
        </w:rPr>
        <w:t> </w:t>
      </w:r>
      <w:r>
        <w:rPr>
          <w:color w:val="231F20"/>
        </w:rPr>
        <w:t>Виминацијум</w:t>
      </w:r>
      <w:r>
        <w:rPr>
          <w:color w:val="231F20"/>
          <w:spacing w:val="-8"/>
        </w:rPr>
        <w:t> </w:t>
      </w:r>
      <w:r>
        <w:rPr>
          <w:color w:val="231F20"/>
        </w:rPr>
        <w:t>је</w:t>
      </w:r>
      <w:r>
        <w:rPr>
          <w:color w:val="231F20"/>
          <w:spacing w:val="-8"/>
        </w:rPr>
        <w:t> </w:t>
      </w:r>
      <w:r>
        <w:rPr>
          <w:color w:val="231F20"/>
        </w:rPr>
        <w:t>категорисано</w:t>
      </w:r>
      <w:r>
        <w:rPr>
          <w:color w:val="231F20"/>
          <w:spacing w:val="-8"/>
        </w:rPr>
        <w:t> </w:t>
      </w:r>
      <w:r>
        <w:rPr>
          <w:color w:val="231F20"/>
        </w:rPr>
        <w:t>кao</w:t>
      </w:r>
      <w:r>
        <w:rPr>
          <w:color w:val="231F20"/>
          <w:spacing w:val="-8"/>
        </w:rPr>
        <w:t> </w:t>
      </w:r>
      <w:r>
        <w:rPr>
          <w:color w:val="231F20"/>
        </w:rPr>
        <w:t>не- покретно </w:t>
      </w:r>
      <w:r>
        <w:rPr>
          <w:color w:val="231F20"/>
          <w:spacing w:val="-2"/>
        </w:rPr>
        <w:t>културно </w:t>
      </w:r>
      <w:r>
        <w:rPr>
          <w:color w:val="231F20"/>
        </w:rPr>
        <w:t>добро </w:t>
      </w:r>
      <w:r>
        <w:rPr>
          <w:color w:val="231F20"/>
          <w:spacing w:val="-3"/>
        </w:rPr>
        <w:t>од </w:t>
      </w:r>
      <w:r>
        <w:rPr>
          <w:color w:val="231F20"/>
        </w:rPr>
        <w:t>изузетног значаја за Републику Ср- </w:t>
      </w:r>
      <w:r>
        <w:rPr>
          <w:color w:val="231F20"/>
          <w:spacing w:val="-4"/>
        </w:rPr>
        <w:t>бију, </w:t>
      </w:r>
      <w:r>
        <w:rPr>
          <w:color w:val="231F20"/>
        </w:rPr>
        <w:t>а у току је израда предлога за упис у прелиминарну листу светске </w:t>
      </w:r>
      <w:r>
        <w:rPr>
          <w:color w:val="231F20"/>
          <w:spacing w:val="-2"/>
        </w:rPr>
        <w:t>културне </w:t>
      </w:r>
      <w:r>
        <w:rPr>
          <w:color w:val="231F20"/>
        </w:rPr>
        <w:t>и природне баштине UNESCO. Остаци римског града Виминацијума и легијског логора налазе се у средишњем делу лигнитског лежишта, на </w:t>
      </w:r>
      <w:r>
        <w:rPr>
          <w:color w:val="231F20"/>
          <w:spacing w:val="-4"/>
        </w:rPr>
        <w:t>око </w:t>
      </w:r>
      <w:r>
        <w:rPr>
          <w:color w:val="231F20"/>
        </w:rPr>
        <w:t>12 km </w:t>
      </w:r>
      <w:r>
        <w:rPr>
          <w:color w:val="231F20"/>
          <w:spacing w:val="-3"/>
        </w:rPr>
        <w:t>од </w:t>
      </w:r>
      <w:r>
        <w:rPr>
          <w:color w:val="231F20"/>
        </w:rPr>
        <w:t>Пожаревца, надомак Старог</w:t>
      </w:r>
      <w:r>
        <w:rPr>
          <w:color w:val="231F20"/>
          <w:spacing w:val="18"/>
        </w:rPr>
        <w:t> </w:t>
      </w:r>
      <w:r>
        <w:rPr>
          <w:color w:val="231F20"/>
        </w:rPr>
        <w:t>Костолца.</w:t>
      </w:r>
      <w:r>
        <w:rPr>
          <w:color w:val="231F20"/>
          <w:spacing w:val="18"/>
        </w:rPr>
        <w:t> </w:t>
      </w:r>
      <w:r>
        <w:rPr>
          <w:color w:val="231F20"/>
        </w:rPr>
        <w:t>Локалитет</w:t>
      </w:r>
      <w:r>
        <w:rPr>
          <w:color w:val="231F20"/>
          <w:spacing w:val="18"/>
        </w:rPr>
        <w:t> </w:t>
      </w:r>
      <w:r>
        <w:rPr>
          <w:color w:val="231F20"/>
        </w:rPr>
        <w:t>је</w:t>
      </w:r>
      <w:r>
        <w:rPr>
          <w:color w:val="231F20"/>
          <w:spacing w:val="17"/>
        </w:rPr>
        <w:t> </w:t>
      </w:r>
      <w:r>
        <w:rPr>
          <w:color w:val="231F20"/>
        </w:rPr>
        <w:t>окружен</w:t>
      </w:r>
      <w:r>
        <w:rPr>
          <w:color w:val="231F20"/>
          <w:spacing w:val="18"/>
        </w:rPr>
        <w:t> </w:t>
      </w:r>
      <w:r>
        <w:rPr>
          <w:color w:val="231F20"/>
        </w:rPr>
        <w:t>површинским</w:t>
      </w:r>
      <w:r>
        <w:rPr>
          <w:color w:val="231F20"/>
          <w:spacing w:val="17"/>
        </w:rPr>
        <w:t> </w:t>
      </w:r>
      <w:r>
        <w:rPr>
          <w:color w:val="231F20"/>
          <w:spacing w:val="-3"/>
        </w:rPr>
        <w:t>копом</w:t>
      </w:r>
    </w:p>
    <w:p>
      <w:pPr>
        <w:pStyle w:val="BodyText"/>
        <w:spacing w:line="228" w:lineRule="auto"/>
        <w:ind w:right="343"/>
        <w:jc w:val="left"/>
      </w:pPr>
      <w:r>
        <w:rPr>
          <w:color w:val="231F20"/>
        </w:rPr>
        <w:t>„Дрмно”, насељем Дрмно и комплексом ТЕ „Костолац Б”. Повр- шина комплекса износи око 3,55 km².</w:t>
      </w:r>
    </w:p>
    <w:p>
      <w:pPr>
        <w:pStyle w:val="BodyText"/>
        <w:spacing w:line="228" w:lineRule="auto"/>
        <w:ind w:right="411" w:firstLine="396"/>
      </w:pPr>
      <w:r>
        <w:rPr>
          <w:color w:val="231F20"/>
        </w:rPr>
        <w:t>Настао је у I веку као Римски војни логор </w:t>
      </w:r>
      <w:r>
        <w:rPr>
          <w:color w:val="231F20"/>
          <w:spacing w:val="-3"/>
        </w:rPr>
        <w:t>који </w:t>
      </w:r>
      <w:r>
        <w:rPr>
          <w:color w:val="231F20"/>
        </w:rPr>
        <w:t>је трајао до почетка VII века. Као један </w:t>
      </w:r>
      <w:r>
        <w:rPr>
          <w:color w:val="231F20"/>
          <w:spacing w:val="-3"/>
        </w:rPr>
        <w:t>од </w:t>
      </w:r>
      <w:r>
        <w:rPr>
          <w:color w:val="231F20"/>
        </w:rPr>
        <w:t>најзначајнијих легијских логора на </w:t>
      </w:r>
      <w:r>
        <w:rPr>
          <w:color w:val="231F20"/>
          <w:spacing w:val="-4"/>
        </w:rPr>
        <w:t>Дунаву, </w:t>
      </w:r>
      <w:r>
        <w:rPr>
          <w:color w:val="231F20"/>
        </w:rPr>
        <w:t>у одређеном периоду је био седиште римске провинције </w:t>
      </w:r>
      <w:r>
        <w:rPr>
          <w:color w:val="231F20"/>
          <w:spacing w:val="-4"/>
        </w:rPr>
        <w:t>Горње </w:t>
      </w:r>
      <w:r>
        <w:rPr>
          <w:color w:val="231F20"/>
        </w:rPr>
        <w:t>Мезије (Moesia Superior), </w:t>
      </w:r>
      <w:r>
        <w:rPr>
          <w:color w:val="231F20"/>
          <w:spacing w:val="-3"/>
        </w:rPr>
        <w:t>која </w:t>
      </w:r>
      <w:r>
        <w:rPr>
          <w:color w:val="231F20"/>
        </w:rPr>
        <w:t>је обухватала највећи део</w:t>
      </w:r>
      <w:r>
        <w:rPr>
          <w:color w:val="231F20"/>
          <w:spacing w:val="-30"/>
        </w:rPr>
        <w:t> </w:t>
      </w:r>
      <w:r>
        <w:rPr>
          <w:color w:val="231F20"/>
        </w:rPr>
        <w:t>Ср- бије, северну Македонију и део северозападне Бугарске. Изград- њом</w:t>
      </w:r>
      <w:r>
        <w:rPr>
          <w:color w:val="231F20"/>
          <w:spacing w:val="-8"/>
        </w:rPr>
        <w:t> </w:t>
      </w:r>
      <w:r>
        <w:rPr>
          <w:color w:val="231F20"/>
        </w:rPr>
        <w:t>термоелектране</w:t>
      </w:r>
      <w:r>
        <w:rPr>
          <w:color w:val="231F20"/>
          <w:spacing w:val="-8"/>
        </w:rPr>
        <w:t> </w:t>
      </w:r>
      <w:r>
        <w:rPr>
          <w:color w:val="231F20"/>
        </w:rPr>
        <w:t>„Костолац</w:t>
      </w:r>
      <w:r>
        <w:rPr>
          <w:color w:val="231F20"/>
          <w:spacing w:val="-8"/>
        </w:rPr>
        <w:t> </w:t>
      </w:r>
      <w:r>
        <w:rPr>
          <w:color w:val="231F20"/>
        </w:rPr>
        <w:t>Б”</w:t>
      </w:r>
      <w:r>
        <w:rPr>
          <w:color w:val="231F20"/>
          <w:spacing w:val="-9"/>
        </w:rPr>
        <w:t> </w:t>
      </w:r>
      <w:r>
        <w:rPr>
          <w:color w:val="231F20"/>
        </w:rPr>
        <w:t>и</w:t>
      </w:r>
      <w:r>
        <w:rPr>
          <w:color w:val="231F20"/>
          <w:spacing w:val="-9"/>
        </w:rPr>
        <w:t> </w:t>
      </w:r>
      <w:r>
        <w:rPr>
          <w:color w:val="231F20"/>
        </w:rPr>
        <w:t>отварањем</w:t>
      </w:r>
      <w:r>
        <w:rPr>
          <w:color w:val="231F20"/>
          <w:spacing w:val="-8"/>
        </w:rPr>
        <w:t> </w:t>
      </w:r>
      <w:r>
        <w:rPr>
          <w:color w:val="231F20"/>
        </w:rPr>
        <w:t>површинског</w:t>
      </w:r>
      <w:r>
        <w:rPr>
          <w:color w:val="231F20"/>
          <w:spacing w:val="-8"/>
        </w:rPr>
        <w:t> </w:t>
      </w:r>
      <w:r>
        <w:rPr>
          <w:color w:val="231F20"/>
          <w:spacing w:val="-4"/>
        </w:rPr>
        <w:t>копа</w:t>
      </w:r>
    </w:p>
    <w:p>
      <w:pPr>
        <w:pStyle w:val="BodyText"/>
        <w:spacing w:line="228" w:lineRule="auto"/>
        <w:ind w:right="343"/>
        <w:jc w:val="left"/>
      </w:pPr>
      <w:r>
        <w:rPr>
          <w:color w:val="231F20"/>
        </w:rPr>
        <w:t>„Дрмно” 1977. године, започета су археолошка истраживања на простору некропола, југозападно од каструма.</w:t>
      </w:r>
    </w:p>
    <w:p>
      <w:pPr>
        <w:pStyle w:val="BodyText"/>
        <w:spacing w:line="228" w:lineRule="auto"/>
        <w:ind w:left="171" w:right="411" w:firstLine="397"/>
      </w:pPr>
      <w:r>
        <w:rPr>
          <w:color w:val="231F20"/>
        </w:rPr>
        <w:t>На широком простору у равници, на десној, али и на левој обали Млаве, недалеко од њеног ушћа у Дунав, налази се низ дру- гих мањих насеља, некропола и фортификација из античког и ра- новизантијског периода. Бројни археолошки налази, откривени током више од столећа истраживања, сведоче о изузетно дугом временском распону људске активности на овом простору, од XII века п.н.е. до XVII века н.е.</w:t>
      </w:r>
    </w:p>
    <w:p>
      <w:pPr>
        <w:pStyle w:val="BodyText"/>
        <w:spacing w:line="228" w:lineRule="auto"/>
        <w:ind w:left="171" w:right="410" w:firstLine="396"/>
      </w:pPr>
      <w:r>
        <w:rPr>
          <w:color w:val="231F20"/>
        </w:rPr>
        <w:t>Истраживањем овог простора откривено је око 13.000 гро- бова са преко 35.000 археолошких предмета, као и остаци архи- тектуре, што представља најбројнији археолошки фонд са једног локалитета. Поред истражених некропола, на простору Северне капије (Рогtа Ргаеtoria) војног логора, откривени су делови улица са поплочањем, одводним каналима и каменом пластиком која је украшавала улазну капију.</w:t>
      </w:r>
    </w:p>
    <w:p>
      <w:pPr>
        <w:pStyle w:val="BodyText"/>
        <w:spacing w:before="152"/>
        <w:ind w:left="1322"/>
        <w:jc w:val="left"/>
      </w:pPr>
      <w:r>
        <w:rPr>
          <w:color w:val="231F20"/>
        </w:rPr>
        <w:t>Палеонтолошко налазиште „Мамут”</w:t>
      </w:r>
    </w:p>
    <w:p>
      <w:pPr>
        <w:pStyle w:val="BodyText"/>
        <w:spacing w:before="10"/>
        <w:ind w:left="0"/>
        <w:jc w:val="left"/>
        <w:rPr>
          <w:sz w:val="16"/>
        </w:rPr>
      </w:pPr>
    </w:p>
    <w:p>
      <w:pPr>
        <w:pStyle w:val="BodyText"/>
        <w:spacing w:line="228" w:lineRule="auto"/>
        <w:ind w:left="171" w:right="410" w:firstLine="397"/>
      </w:pPr>
      <w:r>
        <w:rPr>
          <w:color w:val="231F20"/>
        </w:rPr>
        <w:t>На површинском </w:t>
      </w:r>
      <w:r>
        <w:rPr>
          <w:color w:val="231F20"/>
          <w:spacing w:val="-3"/>
        </w:rPr>
        <w:t>копу </w:t>
      </w:r>
      <w:r>
        <w:rPr>
          <w:color w:val="231F20"/>
        </w:rPr>
        <w:t>„Дрмно”, </w:t>
      </w:r>
      <w:r>
        <w:rPr>
          <w:color w:val="231F20"/>
          <w:spacing w:val="-4"/>
        </w:rPr>
        <w:t>око </w:t>
      </w:r>
      <w:r>
        <w:rPr>
          <w:color w:val="231F20"/>
        </w:rPr>
        <w:t>300 m </w:t>
      </w:r>
      <w:r>
        <w:rPr>
          <w:color w:val="231F20"/>
          <w:spacing w:val="-3"/>
        </w:rPr>
        <w:t>од </w:t>
      </w:r>
      <w:r>
        <w:rPr>
          <w:color w:val="231F20"/>
        </w:rPr>
        <w:t>Царског </w:t>
      </w:r>
      <w:r>
        <w:rPr>
          <w:color w:val="231F20"/>
          <w:spacing w:val="-3"/>
        </w:rPr>
        <w:t>мау- </w:t>
      </w:r>
      <w:r>
        <w:rPr>
          <w:color w:val="231F20"/>
        </w:rPr>
        <w:t>золеја у </w:t>
      </w:r>
      <w:r>
        <w:rPr>
          <w:color w:val="231F20"/>
          <w:spacing w:val="-3"/>
        </w:rPr>
        <w:t>археолошком </w:t>
      </w:r>
      <w:r>
        <w:rPr>
          <w:color w:val="231F20"/>
        </w:rPr>
        <w:t>парку „Виминацијум”, пронађен је скелет мамута за </w:t>
      </w:r>
      <w:r>
        <w:rPr>
          <w:color w:val="231F20"/>
          <w:spacing w:val="-3"/>
        </w:rPr>
        <w:t>који </w:t>
      </w:r>
      <w:r>
        <w:rPr>
          <w:color w:val="231F20"/>
        </w:rPr>
        <w:t>се претпоставља да је стар више </w:t>
      </w:r>
      <w:r>
        <w:rPr>
          <w:color w:val="231F20"/>
          <w:spacing w:val="-3"/>
        </w:rPr>
        <w:t>од </w:t>
      </w:r>
      <w:r>
        <w:rPr>
          <w:color w:val="231F20"/>
        </w:rPr>
        <w:t>милион </w:t>
      </w:r>
      <w:r>
        <w:rPr>
          <w:color w:val="231F20"/>
          <w:spacing w:val="-3"/>
        </w:rPr>
        <w:t>година. </w:t>
      </w:r>
      <w:r>
        <w:rPr>
          <w:color w:val="231F20"/>
        </w:rPr>
        <w:t>Налазиште мамута, заједно са геологијом површинског </w:t>
      </w:r>
      <w:r>
        <w:rPr>
          <w:color w:val="231F20"/>
          <w:spacing w:val="-3"/>
        </w:rPr>
        <w:t>копа, </w:t>
      </w:r>
      <w:r>
        <w:rPr>
          <w:color w:val="231F20"/>
        </w:rPr>
        <w:t>биће увршћен у ризницу објеката заштите геолошког наслеђа. Обједи- њен са археолошким локалитетом Виминацијум, овај објекат по- везује </w:t>
      </w:r>
      <w:r>
        <w:rPr>
          <w:color w:val="231F20"/>
          <w:spacing w:val="-3"/>
        </w:rPr>
        <w:t>геологију, </w:t>
      </w:r>
      <w:r>
        <w:rPr>
          <w:color w:val="231F20"/>
        </w:rPr>
        <w:t>археологију и историју на нашем </w:t>
      </w:r>
      <w:r>
        <w:rPr>
          <w:color w:val="231F20"/>
          <w:spacing w:val="-7"/>
        </w:rPr>
        <w:t>тлу.</w:t>
      </w:r>
    </w:p>
    <w:p>
      <w:pPr>
        <w:pStyle w:val="BodyText"/>
        <w:spacing w:before="160"/>
        <w:ind w:left="1454"/>
        <w:jc w:val="left"/>
      </w:pPr>
      <w:r>
        <w:rPr>
          <w:color w:val="231F20"/>
        </w:rPr>
        <w:t>Археолошки локалитет Рукумија</w:t>
      </w:r>
    </w:p>
    <w:p>
      <w:pPr>
        <w:pStyle w:val="BodyText"/>
        <w:spacing w:before="10"/>
        <w:ind w:left="0"/>
        <w:jc w:val="left"/>
        <w:rPr>
          <w:sz w:val="16"/>
        </w:rPr>
      </w:pPr>
    </w:p>
    <w:p>
      <w:pPr>
        <w:pStyle w:val="BodyText"/>
        <w:spacing w:line="228" w:lineRule="auto"/>
        <w:ind w:left="171" w:right="410" w:firstLine="396"/>
      </w:pPr>
      <w:r>
        <w:rPr>
          <w:color w:val="231F20"/>
        </w:rPr>
        <w:t>У подножју манастира Рукумија нађени су римски камени споменици. Овај простор није даље истраживан. Југозападно од манастира нађени су антички гробови из III и IV в.н.е., простор је делимично истражен.</w:t>
      </w:r>
    </w:p>
    <w:p>
      <w:pPr>
        <w:spacing w:after="0" w:line="228" w:lineRule="auto"/>
        <w:sectPr>
          <w:pgSz w:w="12480" w:h="15690"/>
          <w:pgMar w:top="120" w:bottom="280" w:left="680" w:right="720"/>
          <w:cols w:num="2" w:equalWidth="0">
            <w:col w:w="5315" w:space="71"/>
            <w:col w:w="5694"/>
          </w:cols>
        </w:sectPr>
      </w:pPr>
    </w:p>
    <w:p>
      <w:pPr>
        <w:pStyle w:val="BodyText"/>
        <w:spacing w:line="228" w:lineRule="auto" w:before="76"/>
        <w:ind w:left="453" w:right="1" w:firstLine="396"/>
      </w:pPr>
      <w:r>
        <w:rPr/>
        <w:pict>
          <v:line style="position:absolute;mso-position-horizontal-relative:page;mso-position-vertical-relative:page;z-index:1696" from="318.897614pt,11.942451pt" to="318.897614pt,748.950451pt" stroked="true" strokeweight=".6pt" strokecolor="#231f20">
            <v:stroke dashstyle="solid"/>
            <w10:wrap type="none"/>
          </v:line>
        </w:pict>
      </w:r>
      <w:r>
        <w:rPr>
          <w:color w:val="231F20"/>
          <w:spacing w:val="-4"/>
        </w:rPr>
        <w:t>Галије </w:t>
      </w:r>
      <w:r>
        <w:rPr>
          <w:color w:val="231F20"/>
        </w:rPr>
        <w:t>– </w:t>
      </w:r>
      <w:r>
        <w:rPr>
          <w:color w:val="231F20"/>
          <w:spacing w:val="-5"/>
        </w:rPr>
        <w:t>Топоним </w:t>
      </w:r>
      <w:r>
        <w:rPr>
          <w:color w:val="231F20"/>
          <w:spacing w:val="-4"/>
        </w:rPr>
        <w:t>„Галије” </w:t>
      </w:r>
      <w:r>
        <w:rPr>
          <w:color w:val="231F20"/>
          <w:spacing w:val="-3"/>
        </w:rPr>
        <w:t>налази </w:t>
      </w:r>
      <w:r>
        <w:rPr>
          <w:color w:val="231F20"/>
        </w:rPr>
        <w:t>се у </w:t>
      </w:r>
      <w:r>
        <w:rPr>
          <w:color w:val="231F20"/>
          <w:spacing w:val="-4"/>
        </w:rPr>
        <w:t>полукругу </w:t>
      </w:r>
      <w:r>
        <w:rPr>
          <w:color w:val="231F20"/>
          <w:spacing w:val="-3"/>
        </w:rPr>
        <w:t>јужно, </w:t>
      </w:r>
      <w:r>
        <w:rPr>
          <w:color w:val="231F20"/>
          <w:spacing w:val="-4"/>
        </w:rPr>
        <w:t>југо- </w:t>
      </w:r>
      <w:r>
        <w:rPr>
          <w:color w:val="231F20"/>
          <w:spacing w:val="-3"/>
        </w:rPr>
        <w:t>западно </w:t>
      </w:r>
      <w:r>
        <w:rPr>
          <w:color w:val="231F20"/>
        </w:rPr>
        <w:t>и </w:t>
      </w:r>
      <w:r>
        <w:rPr>
          <w:color w:val="231F20"/>
          <w:spacing w:val="-3"/>
        </w:rPr>
        <w:t>западно </w:t>
      </w:r>
      <w:r>
        <w:rPr>
          <w:color w:val="231F20"/>
          <w:spacing w:val="-4"/>
        </w:rPr>
        <w:t>од </w:t>
      </w:r>
      <w:r>
        <w:rPr>
          <w:color w:val="231F20"/>
          <w:spacing w:val="-3"/>
        </w:rPr>
        <w:t>манастира </w:t>
      </w:r>
      <w:r>
        <w:rPr>
          <w:color w:val="231F20"/>
          <w:spacing w:val="-4"/>
        </w:rPr>
        <w:t>Рукумија. Пружа </w:t>
      </w:r>
      <w:r>
        <w:rPr>
          <w:color w:val="231F20"/>
        </w:rPr>
        <w:t>се </w:t>
      </w:r>
      <w:r>
        <w:rPr>
          <w:color w:val="231F20"/>
          <w:spacing w:val="-4"/>
        </w:rPr>
        <w:t>од подножја </w:t>
      </w:r>
      <w:r>
        <w:rPr>
          <w:color w:val="231F20"/>
        </w:rPr>
        <w:t>бр- да иза </w:t>
      </w:r>
      <w:r>
        <w:rPr>
          <w:color w:val="231F20"/>
          <w:spacing w:val="-3"/>
        </w:rPr>
        <w:t>„Калајџине међе” </w:t>
      </w:r>
      <w:r>
        <w:rPr>
          <w:color w:val="231F20"/>
          <w:spacing w:val="-5"/>
        </w:rPr>
        <w:t>преко </w:t>
      </w:r>
      <w:r>
        <w:rPr>
          <w:color w:val="231F20"/>
          <w:spacing w:val="-4"/>
        </w:rPr>
        <w:t>прокопа </w:t>
      </w:r>
      <w:r>
        <w:rPr>
          <w:color w:val="231F20"/>
          <w:spacing w:val="-3"/>
        </w:rPr>
        <w:t>према </w:t>
      </w:r>
      <w:r>
        <w:rPr>
          <w:color w:val="231F20"/>
          <w:spacing w:val="-8"/>
        </w:rPr>
        <w:t>врху, </w:t>
      </w:r>
      <w:r>
        <w:rPr>
          <w:color w:val="231F20"/>
        </w:rPr>
        <w:t>до </w:t>
      </w:r>
      <w:r>
        <w:rPr>
          <w:color w:val="231F20"/>
          <w:spacing w:val="-3"/>
        </w:rPr>
        <w:t>гробља </w:t>
      </w:r>
      <w:r>
        <w:rPr>
          <w:color w:val="231F20"/>
        </w:rPr>
        <w:t>села </w:t>
      </w:r>
      <w:r>
        <w:rPr>
          <w:color w:val="231F20"/>
          <w:spacing w:val="-3"/>
        </w:rPr>
        <w:t>Брадарац западно поред </w:t>
      </w:r>
      <w:r>
        <w:rPr>
          <w:color w:val="231F20"/>
          <w:spacing w:val="-4"/>
        </w:rPr>
        <w:t>манастирског </w:t>
      </w:r>
      <w:r>
        <w:rPr>
          <w:color w:val="231F20"/>
          <w:spacing w:val="-5"/>
        </w:rPr>
        <w:t>комплекса. </w:t>
      </w:r>
      <w:r>
        <w:rPr>
          <w:color w:val="231F20"/>
          <w:spacing w:val="-3"/>
        </w:rPr>
        <w:t>Од овог </w:t>
      </w:r>
      <w:r>
        <w:rPr>
          <w:color w:val="231F20"/>
          <w:spacing w:val="-4"/>
        </w:rPr>
        <w:t>топонима </w:t>
      </w:r>
      <w:r>
        <w:rPr>
          <w:color w:val="231F20"/>
        </w:rPr>
        <w:t>остао је само </w:t>
      </w:r>
      <w:r>
        <w:rPr>
          <w:color w:val="231F20"/>
          <w:spacing w:val="-3"/>
        </w:rPr>
        <w:t>мали </w:t>
      </w:r>
      <w:r>
        <w:rPr>
          <w:color w:val="231F20"/>
        </w:rPr>
        <w:t>део са </w:t>
      </w:r>
      <w:r>
        <w:rPr>
          <w:color w:val="231F20"/>
          <w:spacing w:val="-3"/>
        </w:rPr>
        <w:t>две могиле </w:t>
      </w:r>
      <w:r>
        <w:rPr>
          <w:color w:val="231F20"/>
          <w:spacing w:val="-5"/>
        </w:rPr>
        <w:t>које </w:t>
      </w:r>
      <w:r>
        <w:rPr>
          <w:color w:val="231F20"/>
        </w:rPr>
        <w:t>се </w:t>
      </w:r>
      <w:r>
        <w:rPr>
          <w:color w:val="231F20"/>
          <w:spacing w:val="-3"/>
        </w:rPr>
        <w:t>налазе изнад гробља</w:t>
      </w:r>
      <w:r>
        <w:rPr>
          <w:color w:val="231F20"/>
          <w:spacing w:val="-3"/>
          <w:position w:val="6"/>
          <w:sz w:val="10"/>
        </w:rPr>
        <w:t>12</w:t>
      </w:r>
      <w:r>
        <w:rPr>
          <w:color w:val="231F20"/>
          <w:spacing w:val="-3"/>
        </w:rPr>
        <w:t>. </w:t>
      </w:r>
      <w:r>
        <w:rPr>
          <w:color w:val="231F20"/>
        </w:rPr>
        <w:t>У</w:t>
      </w:r>
      <w:r>
        <w:rPr>
          <w:color w:val="231F20"/>
          <w:spacing w:val="-9"/>
        </w:rPr>
        <w:t> </w:t>
      </w:r>
      <w:r>
        <w:rPr>
          <w:color w:val="231F20"/>
          <w:spacing w:val="-3"/>
        </w:rPr>
        <w:t>19.</w:t>
      </w:r>
      <w:r>
        <w:rPr>
          <w:color w:val="231F20"/>
          <w:spacing w:val="-9"/>
        </w:rPr>
        <w:t> </w:t>
      </w:r>
      <w:r>
        <w:rPr>
          <w:color w:val="231F20"/>
          <w:spacing w:val="-4"/>
        </w:rPr>
        <w:t>веку</w:t>
      </w:r>
      <w:r>
        <w:rPr>
          <w:color w:val="231F20"/>
          <w:spacing w:val="-9"/>
        </w:rPr>
        <w:t> </w:t>
      </w:r>
      <w:r>
        <w:rPr>
          <w:color w:val="231F20"/>
          <w:spacing w:val="-5"/>
        </w:rPr>
        <w:t>овде</w:t>
      </w:r>
      <w:r>
        <w:rPr>
          <w:color w:val="231F20"/>
          <w:spacing w:val="-9"/>
        </w:rPr>
        <w:t> </w:t>
      </w:r>
      <w:r>
        <w:rPr>
          <w:color w:val="231F20"/>
          <w:spacing w:val="-3"/>
        </w:rPr>
        <w:t>су</w:t>
      </w:r>
      <w:r>
        <w:rPr>
          <w:color w:val="231F20"/>
          <w:spacing w:val="-9"/>
        </w:rPr>
        <w:t> </w:t>
      </w:r>
      <w:r>
        <w:rPr>
          <w:color w:val="231F20"/>
          <w:spacing w:val="-4"/>
        </w:rPr>
        <w:t>нађене</w:t>
      </w:r>
      <w:r>
        <w:rPr>
          <w:color w:val="231F20"/>
          <w:spacing w:val="-9"/>
        </w:rPr>
        <w:t> </w:t>
      </w:r>
      <w:r>
        <w:rPr>
          <w:color w:val="231F20"/>
          <w:spacing w:val="-4"/>
        </w:rPr>
        <w:t>позната</w:t>
      </w:r>
      <w:r>
        <w:rPr>
          <w:color w:val="231F20"/>
          <w:spacing w:val="-9"/>
        </w:rPr>
        <w:t> </w:t>
      </w:r>
      <w:r>
        <w:rPr>
          <w:color w:val="231F20"/>
          <w:spacing w:val="-4"/>
        </w:rPr>
        <w:t>шакасте</w:t>
      </w:r>
      <w:r>
        <w:rPr>
          <w:color w:val="231F20"/>
          <w:spacing w:val="-9"/>
        </w:rPr>
        <w:t> </w:t>
      </w:r>
      <w:r>
        <w:rPr>
          <w:color w:val="231F20"/>
          <w:spacing w:val="-4"/>
        </w:rPr>
        <w:t>гривне,</w:t>
      </w:r>
      <w:r>
        <w:rPr>
          <w:color w:val="231F20"/>
          <w:spacing w:val="-9"/>
        </w:rPr>
        <w:t> </w:t>
      </w:r>
      <w:r>
        <w:rPr>
          <w:color w:val="231F20"/>
          <w:spacing w:val="-6"/>
        </w:rPr>
        <w:t>које</w:t>
      </w:r>
      <w:r>
        <w:rPr>
          <w:color w:val="231F20"/>
          <w:spacing w:val="-9"/>
        </w:rPr>
        <w:t> </w:t>
      </w:r>
      <w:r>
        <w:rPr>
          <w:color w:val="231F20"/>
        </w:rPr>
        <w:t>се</w:t>
      </w:r>
      <w:r>
        <w:rPr>
          <w:color w:val="231F20"/>
          <w:spacing w:val="-9"/>
        </w:rPr>
        <w:t> </w:t>
      </w:r>
      <w:r>
        <w:rPr>
          <w:color w:val="231F20"/>
          <w:spacing w:val="-4"/>
        </w:rPr>
        <w:t>чувају</w:t>
      </w:r>
      <w:r>
        <w:rPr>
          <w:color w:val="231F20"/>
          <w:spacing w:val="-9"/>
        </w:rPr>
        <w:t> </w:t>
      </w:r>
      <w:r>
        <w:rPr>
          <w:color w:val="231F20"/>
        </w:rPr>
        <w:t>у</w:t>
      </w:r>
      <w:r>
        <w:rPr>
          <w:color w:val="231F20"/>
          <w:spacing w:val="-9"/>
        </w:rPr>
        <w:t> </w:t>
      </w:r>
      <w:r>
        <w:rPr>
          <w:color w:val="231F20"/>
          <w:spacing w:val="-3"/>
        </w:rPr>
        <w:t>На- </w:t>
      </w:r>
      <w:r>
        <w:rPr>
          <w:color w:val="231F20"/>
          <w:spacing w:val="-5"/>
        </w:rPr>
        <w:t>родном</w:t>
      </w:r>
      <w:r>
        <w:rPr>
          <w:color w:val="231F20"/>
          <w:spacing w:val="-7"/>
        </w:rPr>
        <w:t> </w:t>
      </w:r>
      <w:r>
        <w:rPr>
          <w:color w:val="231F20"/>
          <w:spacing w:val="-4"/>
        </w:rPr>
        <w:t>музеју</w:t>
      </w:r>
      <w:r>
        <w:rPr>
          <w:color w:val="231F20"/>
          <w:spacing w:val="-7"/>
        </w:rPr>
        <w:t> </w:t>
      </w:r>
      <w:r>
        <w:rPr>
          <w:color w:val="231F20"/>
        </w:rPr>
        <w:t>у</w:t>
      </w:r>
      <w:r>
        <w:rPr>
          <w:color w:val="231F20"/>
          <w:spacing w:val="-7"/>
        </w:rPr>
        <w:t> </w:t>
      </w:r>
      <w:r>
        <w:rPr>
          <w:color w:val="231F20"/>
          <w:spacing w:val="-4"/>
        </w:rPr>
        <w:t>Београду;</w:t>
      </w:r>
      <w:r>
        <w:rPr>
          <w:color w:val="231F20"/>
          <w:spacing w:val="-7"/>
        </w:rPr>
        <w:t> </w:t>
      </w:r>
      <w:r>
        <w:rPr>
          <w:color w:val="231F20"/>
          <w:spacing w:val="-4"/>
        </w:rPr>
        <w:t>потврђени</w:t>
      </w:r>
      <w:r>
        <w:rPr>
          <w:color w:val="231F20"/>
          <w:spacing w:val="-7"/>
        </w:rPr>
        <w:t> </w:t>
      </w:r>
      <w:r>
        <w:rPr>
          <w:color w:val="231F20"/>
          <w:spacing w:val="-3"/>
        </w:rPr>
        <w:t>су</w:t>
      </w:r>
      <w:r>
        <w:rPr>
          <w:color w:val="231F20"/>
          <w:spacing w:val="-7"/>
        </w:rPr>
        <w:t> </w:t>
      </w:r>
      <w:r>
        <w:rPr>
          <w:color w:val="231F20"/>
          <w:spacing w:val="-3"/>
        </w:rPr>
        <w:t>налази</w:t>
      </w:r>
      <w:r>
        <w:rPr>
          <w:color w:val="231F20"/>
          <w:spacing w:val="-7"/>
        </w:rPr>
        <w:t> </w:t>
      </w:r>
      <w:r>
        <w:rPr>
          <w:color w:val="231F20"/>
        </w:rPr>
        <w:t>и</w:t>
      </w:r>
      <w:r>
        <w:rPr>
          <w:color w:val="231F20"/>
          <w:spacing w:val="-7"/>
        </w:rPr>
        <w:t> </w:t>
      </w:r>
      <w:r>
        <w:rPr>
          <w:color w:val="231F20"/>
        </w:rPr>
        <w:t>из</w:t>
      </w:r>
      <w:r>
        <w:rPr>
          <w:color w:val="231F20"/>
          <w:spacing w:val="-7"/>
        </w:rPr>
        <w:t> </w:t>
      </w:r>
      <w:r>
        <w:rPr>
          <w:color w:val="231F20"/>
          <w:spacing w:val="-4"/>
        </w:rPr>
        <w:t>бронзаног</w:t>
      </w:r>
      <w:r>
        <w:rPr>
          <w:color w:val="231F20"/>
          <w:spacing w:val="-7"/>
        </w:rPr>
        <w:t> </w:t>
      </w:r>
      <w:r>
        <w:rPr>
          <w:color w:val="231F20"/>
          <w:spacing w:val="-4"/>
        </w:rPr>
        <w:t>доба.</w:t>
      </w:r>
    </w:p>
    <w:p>
      <w:pPr>
        <w:pStyle w:val="BodyText"/>
        <w:spacing w:before="164"/>
        <w:ind w:left="2197"/>
        <w:jc w:val="left"/>
      </w:pPr>
      <w:r>
        <w:rPr>
          <w:color w:val="231F20"/>
        </w:rPr>
        <w:t>Дубравица – Маргум</w:t>
      </w:r>
    </w:p>
    <w:p>
      <w:pPr>
        <w:pStyle w:val="BodyText"/>
        <w:spacing w:before="11"/>
        <w:ind w:left="0"/>
        <w:jc w:val="left"/>
        <w:rPr>
          <w:sz w:val="16"/>
        </w:rPr>
      </w:pPr>
    </w:p>
    <w:p>
      <w:pPr>
        <w:pStyle w:val="BodyText"/>
        <w:spacing w:line="228" w:lineRule="auto"/>
        <w:ind w:left="453" w:firstLine="397"/>
      </w:pPr>
      <w:r>
        <w:rPr>
          <w:color w:val="231F20"/>
        </w:rPr>
        <w:t>Дубравица се помиње као античко и средњовековно насеље </w:t>
      </w:r>
      <w:r>
        <w:rPr>
          <w:color w:val="231F20"/>
          <w:spacing w:val="-3"/>
        </w:rPr>
        <w:t>под </w:t>
      </w:r>
      <w:r>
        <w:rPr>
          <w:color w:val="231F20"/>
        </w:rPr>
        <w:t>именом Маргум. Маргум је био смештен </w:t>
      </w:r>
      <w:r>
        <w:rPr>
          <w:color w:val="231F20"/>
          <w:spacing w:val="-6"/>
        </w:rPr>
        <w:t>код </w:t>
      </w:r>
      <w:r>
        <w:rPr>
          <w:color w:val="231F20"/>
        </w:rPr>
        <w:t>старог корита Велике Мораве на ушћу у Дунав. У раном средњем веку на овој локацији</w:t>
      </w:r>
      <w:r>
        <w:rPr>
          <w:color w:val="231F20"/>
          <w:spacing w:val="-6"/>
        </w:rPr>
        <w:t> </w:t>
      </w:r>
      <w:r>
        <w:rPr>
          <w:color w:val="231F20"/>
        </w:rPr>
        <w:t>је</w:t>
      </w:r>
      <w:r>
        <w:rPr>
          <w:color w:val="231F20"/>
          <w:spacing w:val="-6"/>
        </w:rPr>
        <w:t> </w:t>
      </w:r>
      <w:r>
        <w:rPr>
          <w:color w:val="231F20"/>
        </w:rPr>
        <w:t>постојао</w:t>
      </w:r>
      <w:r>
        <w:rPr>
          <w:color w:val="231F20"/>
          <w:spacing w:val="-6"/>
        </w:rPr>
        <w:t> </w:t>
      </w:r>
      <w:r>
        <w:rPr>
          <w:color w:val="231F20"/>
        </w:rPr>
        <w:t>град</w:t>
      </w:r>
      <w:r>
        <w:rPr>
          <w:color w:val="231F20"/>
          <w:spacing w:val="-6"/>
        </w:rPr>
        <w:t> </w:t>
      </w:r>
      <w:r>
        <w:rPr>
          <w:color w:val="231F20"/>
          <w:spacing w:val="-3"/>
        </w:rPr>
        <w:t>који</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изворима</w:t>
      </w:r>
      <w:r>
        <w:rPr>
          <w:color w:val="231F20"/>
          <w:spacing w:val="-6"/>
        </w:rPr>
        <w:t> </w:t>
      </w:r>
      <w:r>
        <w:rPr>
          <w:color w:val="231F20"/>
        </w:rPr>
        <w:t>помиње</w:t>
      </w:r>
      <w:r>
        <w:rPr>
          <w:color w:val="231F20"/>
          <w:spacing w:val="-6"/>
        </w:rPr>
        <w:t> </w:t>
      </w:r>
      <w:r>
        <w:rPr>
          <w:color w:val="231F20"/>
        </w:rPr>
        <w:t>као</w:t>
      </w:r>
      <w:r>
        <w:rPr>
          <w:color w:val="231F20"/>
          <w:spacing w:val="-6"/>
        </w:rPr>
        <w:t> </w:t>
      </w:r>
      <w:r>
        <w:rPr>
          <w:color w:val="231F20"/>
        </w:rPr>
        <w:t>Моравије или</w:t>
      </w:r>
      <w:r>
        <w:rPr>
          <w:color w:val="231F20"/>
          <w:spacing w:val="-6"/>
        </w:rPr>
        <w:t> </w:t>
      </w:r>
      <w:r>
        <w:rPr>
          <w:color w:val="231F20"/>
        </w:rPr>
        <w:t>Морава.</w:t>
      </w:r>
      <w:r>
        <w:rPr>
          <w:color w:val="231F20"/>
          <w:spacing w:val="-6"/>
        </w:rPr>
        <w:t> </w:t>
      </w:r>
      <w:r>
        <w:rPr>
          <w:color w:val="231F20"/>
        </w:rPr>
        <w:t>Крајем</w:t>
      </w:r>
      <w:r>
        <w:rPr>
          <w:color w:val="231F20"/>
          <w:spacing w:val="-6"/>
        </w:rPr>
        <w:t> </w:t>
      </w:r>
      <w:r>
        <w:rPr>
          <w:color w:val="231F20"/>
        </w:rPr>
        <w:t>I</w:t>
      </w:r>
      <w:r>
        <w:rPr>
          <w:color w:val="231F20"/>
          <w:spacing w:val="-6"/>
        </w:rPr>
        <w:t> </w:t>
      </w:r>
      <w:r>
        <w:rPr>
          <w:color w:val="231F20"/>
        </w:rPr>
        <w:t>века</w:t>
      </w:r>
      <w:r>
        <w:rPr>
          <w:color w:val="231F20"/>
          <w:spacing w:val="-6"/>
        </w:rPr>
        <w:t> </w:t>
      </w:r>
      <w:r>
        <w:rPr>
          <w:color w:val="231F20"/>
        </w:rPr>
        <w:t>подигнут</w:t>
      </w:r>
      <w:r>
        <w:rPr>
          <w:color w:val="231F20"/>
          <w:spacing w:val="-6"/>
        </w:rPr>
        <w:t> </w:t>
      </w:r>
      <w:r>
        <w:rPr>
          <w:color w:val="231F20"/>
        </w:rPr>
        <w:t>је</w:t>
      </w:r>
      <w:r>
        <w:rPr>
          <w:color w:val="231F20"/>
          <w:spacing w:val="-6"/>
        </w:rPr>
        <w:t> </w:t>
      </w:r>
      <w:r>
        <w:rPr>
          <w:color w:val="231F20"/>
        </w:rPr>
        <w:t>војни</w:t>
      </w:r>
      <w:r>
        <w:rPr>
          <w:color w:val="231F20"/>
          <w:spacing w:val="-6"/>
        </w:rPr>
        <w:t> </w:t>
      </w:r>
      <w:r>
        <w:rPr>
          <w:color w:val="231F20"/>
        </w:rPr>
        <w:t>логор</w:t>
      </w:r>
      <w:r>
        <w:rPr>
          <w:color w:val="231F20"/>
          <w:spacing w:val="-6"/>
        </w:rPr>
        <w:t> </w:t>
      </w:r>
      <w:r>
        <w:rPr>
          <w:color w:val="231F20"/>
        </w:rPr>
        <w:t>у</w:t>
      </w:r>
      <w:r>
        <w:rPr>
          <w:color w:val="231F20"/>
          <w:spacing w:val="-6"/>
        </w:rPr>
        <w:t> </w:t>
      </w:r>
      <w:r>
        <w:rPr>
          <w:color w:val="231F20"/>
          <w:spacing w:val="-4"/>
        </w:rPr>
        <w:t>коме</w:t>
      </w:r>
      <w:r>
        <w:rPr>
          <w:color w:val="231F20"/>
          <w:spacing w:val="-6"/>
        </w:rPr>
        <w:t> </w:t>
      </w:r>
      <w:r>
        <w:rPr>
          <w:color w:val="231F20"/>
        </w:rPr>
        <w:t>је</w:t>
      </w:r>
      <w:r>
        <w:rPr>
          <w:color w:val="231F20"/>
          <w:spacing w:val="-6"/>
        </w:rPr>
        <w:t> </w:t>
      </w:r>
      <w:r>
        <w:rPr>
          <w:color w:val="231F20"/>
          <w:spacing w:val="-3"/>
        </w:rPr>
        <w:t>кратко </w:t>
      </w:r>
      <w:r>
        <w:rPr>
          <w:color w:val="231F20"/>
        </w:rPr>
        <w:t>била стационирана легија Флавија </w:t>
      </w:r>
      <w:r>
        <w:rPr>
          <w:color w:val="231F20"/>
          <w:spacing w:val="-8"/>
        </w:rPr>
        <w:t>IV. </w:t>
      </w:r>
      <w:r>
        <w:rPr>
          <w:color w:val="231F20"/>
        </w:rPr>
        <w:t>У касној антици Маргум је обезбеђивао прелаз </w:t>
      </w:r>
      <w:r>
        <w:rPr>
          <w:color w:val="231F20"/>
          <w:spacing w:val="-3"/>
        </w:rPr>
        <w:t>преко </w:t>
      </w:r>
      <w:r>
        <w:rPr>
          <w:color w:val="231F20"/>
        </w:rPr>
        <w:t>реке. У њему су се 434. </w:t>
      </w:r>
      <w:r>
        <w:rPr>
          <w:color w:val="231F20"/>
          <w:spacing w:val="-3"/>
        </w:rPr>
        <w:t>године </w:t>
      </w:r>
      <w:r>
        <w:rPr>
          <w:color w:val="231F20"/>
        </w:rPr>
        <w:t>састали ромејски и хунски посланици, а 441. године освојили су га и разо- рили</w:t>
      </w:r>
      <w:r>
        <w:rPr>
          <w:color w:val="231F20"/>
          <w:spacing w:val="-6"/>
        </w:rPr>
        <w:t> </w:t>
      </w:r>
      <w:r>
        <w:rPr>
          <w:color w:val="231F20"/>
          <w:spacing w:val="-4"/>
        </w:rPr>
        <w:t>Хуни.</w:t>
      </w:r>
      <w:r>
        <w:rPr>
          <w:color w:val="231F20"/>
          <w:spacing w:val="-6"/>
        </w:rPr>
        <w:t> </w:t>
      </w:r>
      <w:r>
        <w:rPr>
          <w:color w:val="231F20"/>
        </w:rPr>
        <w:t>Откривени</w:t>
      </w:r>
      <w:r>
        <w:rPr>
          <w:color w:val="231F20"/>
          <w:spacing w:val="-6"/>
        </w:rPr>
        <w:t> </w:t>
      </w:r>
      <w:r>
        <w:rPr>
          <w:color w:val="231F20"/>
        </w:rPr>
        <w:t>су</w:t>
      </w:r>
      <w:r>
        <w:rPr>
          <w:color w:val="231F20"/>
          <w:spacing w:val="-6"/>
        </w:rPr>
        <w:t> </w:t>
      </w:r>
      <w:r>
        <w:rPr>
          <w:color w:val="231F20"/>
        </w:rPr>
        <w:t>остаци</w:t>
      </w:r>
      <w:r>
        <w:rPr>
          <w:color w:val="231F20"/>
          <w:spacing w:val="-6"/>
        </w:rPr>
        <w:t> </w:t>
      </w:r>
      <w:r>
        <w:rPr>
          <w:color w:val="231F20"/>
        </w:rPr>
        <w:t>касноантичких</w:t>
      </w:r>
      <w:r>
        <w:rPr>
          <w:color w:val="231F20"/>
          <w:spacing w:val="-6"/>
        </w:rPr>
        <w:t> </w:t>
      </w:r>
      <w:r>
        <w:rPr>
          <w:color w:val="231F20"/>
        </w:rPr>
        <w:t>терми</w:t>
      </w:r>
      <w:r>
        <w:rPr>
          <w:color w:val="231F20"/>
          <w:spacing w:val="-6"/>
        </w:rPr>
        <w:t> </w:t>
      </w:r>
      <w:r>
        <w:rPr>
          <w:color w:val="231F20"/>
        </w:rPr>
        <w:t>и</w:t>
      </w:r>
      <w:r>
        <w:rPr>
          <w:color w:val="231F20"/>
          <w:spacing w:val="-6"/>
        </w:rPr>
        <w:t> </w:t>
      </w:r>
      <w:r>
        <w:rPr>
          <w:color w:val="231F20"/>
        </w:rPr>
        <w:t>делимич- но су истражене римска, рановизантијска и гепидска</w:t>
      </w:r>
      <w:r>
        <w:rPr>
          <w:color w:val="231F20"/>
          <w:spacing w:val="-27"/>
        </w:rPr>
        <w:t> </w:t>
      </w:r>
      <w:r>
        <w:rPr>
          <w:color w:val="231F20"/>
        </w:rPr>
        <w:t>некропола.</w:t>
      </w:r>
    </w:p>
    <w:p>
      <w:pPr>
        <w:pStyle w:val="BodyText"/>
        <w:spacing w:before="165"/>
        <w:ind w:left="1781"/>
        <w:jc w:val="left"/>
      </w:pPr>
      <w:r>
        <w:rPr>
          <w:color w:val="231F20"/>
        </w:rPr>
        <w:t>Средњовековни град Браничево</w:t>
      </w:r>
    </w:p>
    <w:p>
      <w:pPr>
        <w:pStyle w:val="BodyText"/>
        <w:spacing w:before="11"/>
        <w:ind w:left="0"/>
        <w:jc w:val="left"/>
        <w:rPr>
          <w:sz w:val="16"/>
        </w:rPr>
      </w:pPr>
    </w:p>
    <w:p>
      <w:pPr>
        <w:pStyle w:val="BodyText"/>
        <w:spacing w:line="228" w:lineRule="auto"/>
        <w:ind w:left="452" w:firstLine="396"/>
      </w:pPr>
      <w:r>
        <w:rPr>
          <w:color w:val="231F20"/>
        </w:rPr>
        <w:t>На </w:t>
      </w:r>
      <w:r>
        <w:rPr>
          <w:color w:val="231F20"/>
          <w:spacing w:val="-3"/>
        </w:rPr>
        <w:t>археолошком </w:t>
      </w:r>
      <w:r>
        <w:rPr>
          <w:color w:val="231F20"/>
        </w:rPr>
        <w:t>локалитету </w:t>
      </w:r>
      <w:r>
        <w:rPr>
          <w:color w:val="231F20"/>
          <w:spacing w:val="-6"/>
        </w:rPr>
        <w:t>код </w:t>
      </w:r>
      <w:r>
        <w:rPr>
          <w:color w:val="231F20"/>
          <w:spacing w:val="-3"/>
        </w:rPr>
        <w:t>Тодићеве </w:t>
      </w:r>
      <w:r>
        <w:rPr>
          <w:color w:val="231F20"/>
        </w:rPr>
        <w:t>цркве у Старом </w:t>
      </w:r>
      <w:r>
        <w:rPr>
          <w:color w:val="231F20"/>
          <w:spacing w:val="-4"/>
        </w:rPr>
        <w:t>Костолцу, </w:t>
      </w:r>
      <w:r>
        <w:rPr>
          <w:color w:val="231F20"/>
        </w:rPr>
        <w:t>на заравни Сопотске греде, лево </w:t>
      </w:r>
      <w:r>
        <w:rPr>
          <w:color w:val="231F20"/>
          <w:spacing w:val="-3"/>
        </w:rPr>
        <w:t>од </w:t>
      </w:r>
      <w:r>
        <w:rPr>
          <w:color w:val="231F20"/>
        </w:rPr>
        <w:t>реке Млаве, </w:t>
      </w:r>
      <w:r>
        <w:rPr>
          <w:color w:val="231F20"/>
          <w:spacing w:val="-3"/>
        </w:rPr>
        <w:t>која </w:t>
      </w:r>
      <w:r>
        <w:rPr>
          <w:color w:val="231F20"/>
        </w:rPr>
        <w:t>се као</w:t>
      </w:r>
      <w:r>
        <w:rPr>
          <w:color w:val="231F20"/>
          <w:spacing w:val="-7"/>
        </w:rPr>
        <w:t> </w:t>
      </w:r>
      <w:r>
        <w:rPr>
          <w:color w:val="231F20"/>
        </w:rPr>
        <w:t>највиша</w:t>
      </w:r>
      <w:r>
        <w:rPr>
          <w:color w:val="231F20"/>
          <w:spacing w:val="-7"/>
        </w:rPr>
        <w:t> </w:t>
      </w:r>
      <w:r>
        <w:rPr>
          <w:color w:val="231F20"/>
        </w:rPr>
        <w:t>тачка</w:t>
      </w:r>
      <w:r>
        <w:rPr>
          <w:color w:val="231F20"/>
          <w:spacing w:val="-7"/>
        </w:rPr>
        <w:t> </w:t>
      </w:r>
      <w:r>
        <w:rPr>
          <w:color w:val="231F20"/>
        </w:rPr>
        <w:t>издиже</w:t>
      </w:r>
      <w:r>
        <w:rPr>
          <w:color w:val="231F20"/>
          <w:spacing w:val="-7"/>
        </w:rPr>
        <w:t> </w:t>
      </w:r>
      <w:r>
        <w:rPr>
          <w:color w:val="231F20"/>
        </w:rPr>
        <w:t>изнад</w:t>
      </w:r>
      <w:r>
        <w:rPr>
          <w:color w:val="231F20"/>
          <w:spacing w:val="-7"/>
        </w:rPr>
        <w:t> </w:t>
      </w:r>
      <w:r>
        <w:rPr>
          <w:color w:val="231F20"/>
        </w:rPr>
        <w:t>данашњег</w:t>
      </w:r>
      <w:r>
        <w:rPr>
          <w:color w:val="231F20"/>
          <w:spacing w:val="-7"/>
        </w:rPr>
        <w:t> </w:t>
      </w:r>
      <w:r>
        <w:rPr>
          <w:color w:val="231F20"/>
        </w:rPr>
        <w:t>села</w:t>
      </w:r>
      <w:r>
        <w:rPr>
          <w:color w:val="231F20"/>
          <w:spacing w:val="-7"/>
        </w:rPr>
        <w:t> </w:t>
      </w:r>
      <w:r>
        <w:rPr>
          <w:color w:val="231F20"/>
        </w:rPr>
        <w:t>Костолац,</w:t>
      </w:r>
      <w:r>
        <w:rPr>
          <w:color w:val="231F20"/>
          <w:spacing w:val="-7"/>
        </w:rPr>
        <w:t> </w:t>
      </w:r>
      <w:r>
        <w:rPr>
          <w:color w:val="231F20"/>
        </w:rPr>
        <w:t>налазио се средњовековни град Браничево. На основу досадашњих археолошко-историјских истраживања први трагови живота на овом локалитету појавили су се пре 6. миленијума. Овој простор је значајан за раздобље српске средњевековне историје, познатије као „град и епископија</w:t>
      </w:r>
      <w:r>
        <w:rPr>
          <w:color w:val="231F20"/>
          <w:spacing w:val="-3"/>
        </w:rPr>
        <w:t> </w:t>
      </w:r>
      <w:r>
        <w:rPr>
          <w:color w:val="231F20"/>
        </w:rPr>
        <w:t>Браничево”.</w:t>
      </w:r>
    </w:p>
    <w:p>
      <w:pPr>
        <w:pStyle w:val="BodyText"/>
        <w:spacing w:line="228" w:lineRule="auto" w:before="2"/>
        <w:ind w:left="453" w:right="1" w:firstLine="396"/>
      </w:pPr>
      <w:r>
        <w:rPr>
          <w:color w:val="231F20"/>
        </w:rPr>
        <w:t>Браничево је било војно утврђење и трговачки центар,</w:t>
      </w:r>
      <w:r>
        <w:rPr>
          <w:color w:val="231F20"/>
          <w:spacing w:val="-30"/>
        </w:rPr>
        <w:t> </w:t>
      </w:r>
      <w:r>
        <w:rPr>
          <w:color w:val="231F20"/>
          <w:spacing w:val="-3"/>
        </w:rPr>
        <w:t>који </w:t>
      </w:r>
      <w:r>
        <w:rPr>
          <w:color w:val="231F20"/>
        </w:rPr>
        <w:t>је имао значајну улогу у историји Византије у </w:t>
      </w:r>
      <w:r>
        <w:rPr>
          <w:color w:val="231F20"/>
          <w:spacing w:val="-3"/>
        </w:rPr>
        <w:t>11. </w:t>
      </w:r>
      <w:r>
        <w:rPr>
          <w:color w:val="231F20"/>
        </w:rPr>
        <w:t>и 12. веку и у срп- </w:t>
      </w:r>
      <w:r>
        <w:rPr>
          <w:color w:val="231F20"/>
          <w:spacing w:val="-3"/>
        </w:rPr>
        <w:t>ској </w:t>
      </w:r>
      <w:r>
        <w:rPr>
          <w:color w:val="231F20"/>
        </w:rPr>
        <w:t>историји 13. и 14. века. Ископавањима је утврђено постојање бедема</w:t>
      </w:r>
      <w:r>
        <w:rPr>
          <w:color w:val="231F20"/>
          <w:spacing w:val="-6"/>
        </w:rPr>
        <w:t> </w:t>
      </w:r>
      <w:r>
        <w:rPr>
          <w:color w:val="231F20"/>
        </w:rPr>
        <w:t>Доњег</w:t>
      </w:r>
      <w:r>
        <w:rPr>
          <w:color w:val="231F20"/>
          <w:spacing w:val="-6"/>
        </w:rPr>
        <w:t> </w:t>
      </w:r>
      <w:r>
        <w:rPr>
          <w:color w:val="231F20"/>
        </w:rPr>
        <w:t>града,</w:t>
      </w:r>
      <w:r>
        <w:rPr>
          <w:color w:val="231F20"/>
          <w:spacing w:val="-6"/>
        </w:rPr>
        <w:t> </w:t>
      </w:r>
      <w:r>
        <w:rPr>
          <w:color w:val="231F20"/>
        </w:rPr>
        <w:t>пронађена</w:t>
      </w:r>
      <w:r>
        <w:rPr>
          <w:color w:val="231F20"/>
          <w:spacing w:val="-6"/>
        </w:rPr>
        <w:t> </w:t>
      </w:r>
      <w:r>
        <w:rPr>
          <w:color w:val="231F20"/>
        </w:rPr>
        <w:t>је</w:t>
      </w:r>
      <w:r>
        <w:rPr>
          <w:color w:val="231F20"/>
          <w:spacing w:val="-6"/>
        </w:rPr>
        <w:t> </w:t>
      </w:r>
      <w:r>
        <w:rPr>
          <w:color w:val="231F20"/>
          <w:spacing w:val="-3"/>
        </w:rPr>
        <w:t>кула</w:t>
      </w:r>
      <w:r>
        <w:rPr>
          <w:color w:val="231F20"/>
          <w:spacing w:val="-6"/>
        </w:rPr>
        <w:t> </w:t>
      </w:r>
      <w:r>
        <w:rPr>
          <w:color w:val="231F20"/>
        </w:rPr>
        <w:t>и</w:t>
      </w:r>
      <w:r>
        <w:rPr>
          <w:color w:val="231F20"/>
          <w:spacing w:val="-6"/>
        </w:rPr>
        <w:t> </w:t>
      </w:r>
      <w:r>
        <w:rPr>
          <w:color w:val="231F20"/>
        </w:rPr>
        <w:t>једна</w:t>
      </w:r>
      <w:r>
        <w:rPr>
          <w:color w:val="231F20"/>
          <w:spacing w:val="-6"/>
        </w:rPr>
        <w:t> </w:t>
      </w:r>
      <w:r>
        <w:rPr>
          <w:color w:val="231F20"/>
        </w:rPr>
        <w:t>грађевина</w:t>
      </w:r>
      <w:r>
        <w:rPr>
          <w:color w:val="231F20"/>
          <w:spacing w:val="-6"/>
        </w:rPr>
        <w:t> </w:t>
      </w:r>
      <w:r>
        <w:rPr>
          <w:color w:val="231F20"/>
        </w:rPr>
        <w:t>за</w:t>
      </w:r>
      <w:r>
        <w:rPr>
          <w:color w:val="231F20"/>
          <w:spacing w:val="-6"/>
        </w:rPr>
        <w:t> </w:t>
      </w:r>
      <w:r>
        <w:rPr>
          <w:color w:val="231F20"/>
          <w:spacing w:val="-3"/>
        </w:rPr>
        <w:t>коју</w:t>
      </w:r>
      <w:r>
        <w:rPr>
          <w:color w:val="231F20"/>
          <w:spacing w:val="-6"/>
        </w:rPr>
        <w:t> </w:t>
      </w:r>
      <w:r>
        <w:rPr>
          <w:color w:val="231F20"/>
        </w:rPr>
        <w:t>се претпоставља да је била аристократска кућа са</w:t>
      </w:r>
      <w:r>
        <w:rPr>
          <w:color w:val="231F20"/>
          <w:spacing w:val="-12"/>
        </w:rPr>
        <w:t> </w:t>
      </w:r>
      <w:r>
        <w:rPr>
          <w:color w:val="231F20"/>
        </w:rPr>
        <w:t>радионицом.</w:t>
      </w:r>
    </w:p>
    <w:p>
      <w:pPr>
        <w:pStyle w:val="BodyText"/>
        <w:spacing w:line="228" w:lineRule="auto" w:before="2"/>
        <w:ind w:left="452" w:right="1" w:firstLine="397"/>
      </w:pPr>
      <w:r>
        <w:rPr>
          <w:color w:val="231F20"/>
        </w:rPr>
        <w:t>На остацима утврђења браничевског града јасно се уочавају две целине: Мали град где се данас налази црква, и Велики град, који се простире нешто јужније. Главни део утврђења предста- вљао је Мали град, који има скоро квадратни облик.</w:t>
      </w:r>
    </w:p>
    <w:p>
      <w:pPr>
        <w:pStyle w:val="BodyText"/>
        <w:spacing w:line="228" w:lineRule="auto" w:before="1"/>
        <w:ind w:left="453" w:right="1" w:firstLine="396"/>
      </w:pPr>
      <w:r>
        <w:rPr>
          <w:color w:val="231F20"/>
        </w:rPr>
        <w:t>У зони коридора пепеловода од ТЕ „Костолац Б” до одлага- лишта ПК „Ћириковац” налазе се значајна непокретна културна добра, односно, археолошки локалитети:</w:t>
      </w:r>
    </w:p>
    <w:p>
      <w:pPr>
        <w:pStyle w:val="BodyText"/>
        <w:spacing w:line="228" w:lineRule="auto" w:before="1"/>
        <w:ind w:left="453" w:firstLine="397"/>
      </w:pPr>
      <w:r>
        <w:rPr>
          <w:color w:val="231F20"/>
        </w:rPr>
        <w:t>Локалитет „Пећине” – античка некропола представља про- стор</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којег</w:t>
      </w:r>
      <w:r>
        <w:rPr>
          <w:color w:val="231F20"/>
          <w:spacing w:val="-6"/>
        </w:rPr>
        <w:t> </w:t>
      </w:r>
      <w:r>
        <w:rPr>
          <w:color w:val="231F20"/>
        </w:rPr>
        <w:t>се</w:t>
      </w:r>
      <w:r>
        <w:rPr>
          <w:color w:val="231F20"/>
          <w:spacing w:val="-6"/>
        </w:rPr>
        <w:t> </w:t>
      </w:r>
      <w:r>
        <w:rPr>
          <w:color w:val="231F20"/>
        </w:rPr>
        <w:t>налази</w:t>
      </w:r>
      <w:r>
        <w:rPr>
          <w:color w:val="231F20"/>
          <w:spacing w:val="-6"/>
        </w:rPr>
        <w:t> </w:t>
      </w:r>
      <w:r>
        <w:rPr>
          <w:color w:val="231F20"/>
        </w:rPr>
        <w:t>више</w:t>
      </w:r>
      <w:r>
        <w:rPr>
          <w:color w:val="231F20"/>
          <w:spacing w:val="-6"/>
        </w:rPr>
        <w:t> </w:t>
      </w:r>
      <w:r>
        <w:rPr>
          <w:color w:val="231F20"/>
        </w:rPr>
        <w:t>некропола</w:t>
      </w:r>
      <w:r>
        <w:rPr>
          <w:color w:val="231F20"/>
          <w:spacing w:val="-6"/>
        </w:rPr>
        <w:t> </w:t>
      </w:r>
      <w:r>
        <w:rPr>
          <w:color w:val="231F20"/>
        </w:rPr>
        <w:t>(III</w:t>
      </w:r>
      <w:r>
        <w:rPr>
          <w:color w:val="231F20"/>
          <w:spacing w:val="20"/>
        </w:rPr>
        <w:t> </w:t>
      </w:r>
      <w:r>
        <w:rPr>
          <w:color w:val="231F20"/>
        </w:rPr>
        <w:t>–</w:t>
      </w:r>
      <w:r>
        <w:rPr>
          <w:color w:val="231F20"/>
          <w:spacing w:val="-6"/>
        </w:rPr>
        <w:t> </w:t>
      </w:r>
      <w:r>
        <w:rPr>
          <w:color w:val="231F20"/>
        </w:rPr>
        <w:t>IV</w:t>
      </w:r>
      <w:r>
        <w:rPr>
          <w:color w:val="231F20"/>
          <w:spacing w:val="-9"/>
        </w:rPr>
        <w:t> </w:t>
      </w:r>
      <w:r>
        <w:rPr>
          <w:color w:val="231F20"/>
        </w:rPr>
        <w:t>в.п.н.е,</w:t>
      </w:r>
      <w:r>
        <w:rPr>
          <w:color w:val="231F20"/>
          <w:spacing w:val="-6"/>
        </w:rPr>
        <w:t> </w:t>
      </w:r>
      <w:r>
        <w:rPr>
          <w:color w:val="231F20"/>
        </w:rPr>
        <w:t>I</w:t>
      </w:r>
      <w:r>
        <w:rPr>
          <w:color w:val="231F20"/>
          <w:spacing w:val="-20"/>
        </w:rPr>
        <w:t> </w:t>
      </w:r>
      <w:r>
        <w:rPr>
          <w:color w:val="231F20"/>
        </w:rPr>
        <w:t>–V в.н.е., позни V век) </w:t>
      </w:r>
      <w:r>
        <w:rPr>
          <w:color w:val="231F20"/>
          <w:spacing w:val="-3"/>
        </w:rPr>
        <w:t>које </w:t>
      </w:r>
      <w:r>
        <w:rPr>
          <w:color w:val="231F20"/>
        </w:rPr>
        <w:t>су припадале насељима не само доморо- </w:t>
      </w:r>
      <w:r>
        <w:rPr>
          <w:color w:val="231F20"/>
          <w:spacing w:val="-3"/>
        </w:rPr>
        <w:t>дачког </w:t>
      </w:r>
      <w:r>
        <w:rPr>
          <w:color w:val="231F20"/>
        </w:rPr>
        <w:t>становништва, већ и становницима војног логора и града Виминацијума;</w:t>
      </w:r>
    </w:p>
    <w:p>
      <w:pPr>
        <w:pStyle w:val="BodyText"/>
        <w:spacing w:line="228" w:lineRule="auto" w:before="1"/>
        <w:ind w:left="452" w:right="1" w:firstLine="397"/>
      </w:pPr>
      <w:r>
        <w:rPr>
          <w:color w:val="231F20"/>
        </w:rPr>
        <w:t>Занатски</w:t>
      </w:r>
      <w:r>
        <w:rPr>
          <w:color w:val="231F20"/>
          <w:spacing w:val="-15"/>
        </w:rPr>
        <w:t> </w:t>
      </w:r>
      <w:r>
        <w:rPr>
          <w:color w:val="231F20"/>
        </w:rPr>
        <w:t>центар</w:t>
      </w:r>
      <w:r>
        <w:rPr>
          <w:color w:val="231F20"/>
          <w:spacing w:val="-15"/>
        </w:rPr>
        <w:t> </w:t>
      </w:r>
      <w:r>
        <w:rPr>
          <w:color w:val="231F20"/>
        </w:rPr>
        <w:t>(локалитет</w:t>
      </w:r>
      <w:r>
        <w:rPr>
          <w:color w:val="231F20"/>
          <w:spacing w:val="-15"/>
        </w:rPr>
        <w:t> </w:t>
      </w:r>
      <w:r>
        <w:rPr>
          <w:color w:val="231F20"/>
        </w:rPr>
        <w:t>Пећине)</w:t>
      </w:r>
      <w:r>
        <w:rPr>
          <w:color w:val="231F20"/>
          <w:spacing w:val="-15"/>
        </w:rPr>
        <w:t> </w:t>
      </w:r>
      <w:r>
        <w:rPr>
          <w:color w:val="231F20"/>
        </w:rPr>
        <w:t>је</w:t>
      </w:r>
      <w:r>
        <w:rPr>
          <w:color w:val="231F20"/>
          <w:spacing w:val="-15"/>
        </w:rPr>
        <w:t> </w:t>
      </w:r>
      <w:r>
        <w:rPr>
          <w:color w:val="231F20"/>
        </w:rPr>
        <w:t>формиран</w:t>
      </w:r>
      <w:r>
        <w:rPr>
          <w:color w:val="231F20"/>
          <w:spacing w:val="-15"/>
        </w:rPr>
        <w:t> </w:t>
      </w:r>
      <w:r>
        <w:rPr>
          <w:color w:val="231F20"/>
        </w:rPr>
        <w:t>на</w:t>
      </w:r>
      <w:r>
        <w:rPr>
          <w:color w:val="231F20"/>
          <w:spacing w:val="-15"/>
        </w:rPr>
        <w:t> </w:t>
      </w:r>
      <w:r>
        <w:rPr>
          <w:color w:val="231F20"/>
        </w:rPr>
        <w:t>напуште- ним деловима некрополе и у оквиру њега се обављала производ- ња керамичких </w:t>
      </w:r>
      <w:r>
        <w:rPr>
          <w:color w:val="231F20"/>
          <w:spacing w:val="-3"/>
        </w:rPr>
        <w:t>посуда </w:t>
      </w:r>
      <w:r>
        <w:rPr>
          <w:color w:val="231F20"/>
        </w:rPr>
        <w:t>и опека; </w:t>
      </w:r>
      <w:r>
        <w:rPr>
          <w:color w:val="231F20"/>
          <w:spacing w:val="-3"/>
        </w:rPr>
        <w:t>заузима </w:t>
      </w:r>
      <w:r>
        <w:rPr>
          <w:color w:val="231F20"/>
        </w:rPr>
        <w:t>површину </w:t>
      </w:r>
      <w:r>
        <w:rPr>
          <w:color w:val="231F20"/>
          <w:spacing w:val="-3"/>
        </w:rPr>
        <w:t>од </w:t>
      </w:r>
      <w:r>
        <w:rPr>
          <w:color w:val="231F20"/>
          <w:spacing w:val="-4"/>
        </w:rPr>
        <w:t>око </w:t>
      </w:r>
      <w:r>
        <w:rPr>
          <w:color w:val="231F20"/>
        </w:rPr>
        <w:t>1000 m²; откривено је укупно 13 пећи (10 лончарских и три цигларске); у непосредној близини пећи је и бунар са покривеним тремом за из- раду и сушење</w:t>
      </w:r>
      <w:r>
        <w:rPr>
          <w:color w:val="231F20"/>
          <w:spacing w:val="-3"/>
        </w:rPr>
        <w:t> </w:t>
      </w:r>
      <w:r>
        <w:rPr>
          <w:color w:val="231F20"/>
        </w:rPr>
        <w:t>производа;</w:t>
      </w:r>
    </w:p>
    <w:p>
      <w:pPr>
        <w:pStyle w:val="BodyText"/>
        <w:spacing w:line="228" w:lineRule="auto" w:before="2"/>
        <w:ind w:left="849" w:right="650"/>
        <w:jc w:val="left"/>
      </w:pPr>
      <w:r>
        <w:rPr>
          <w:color w:val="231F20"/>
        </w:rPr>
        <w:t>Локалитет „Више гробља” – античка некропола; Локалитет „Бурдељ” – античка некропола; Локалитет „Лугови” – праисторија, антика; Локалитет „Доње Ливаде” – праисторија, антика;</w:t>
      </w:r>
    </w:p>
    <w:p>
      <w:pPr>
        <w:pStyle w:val="BodyText"/>
        <w:spacing w:line="228" w:lineRule="auto" w:before="1"/>
        <w:ind w:left="452" w:right="2" w:firstLine="397"/>
      </w:pPr>
      <w:r>
        <w:rPr>
          <w:color w:val="231F20"/>
        </w:rPr>
        <w:t>Потес Браничевац са локалитетом „Селиште”, где су конста- товани налази од 12. до 14. века;</w:t>
      </w:r>
    </w:p>
    <w:p>
      <w:pPr>
        <w:pStyle w:val="BodyText"/>
        <w:spacing w:line="228" w:lineRule="auto"/>
        <w:ind w:left="849"/>
        <w:jc w:val="left"/>
      </w:pPr>
      <w:r>
        <w:rPr>
          <w:color w:val="231F20"/>
        </w:rPr>
        <w:t>Потес Старци – праисторија, антика, средњи век и Триконхална црква (локалитет Пећине) на којој су констато-</w:t>
      </w:r>
    </w:p>
    <w:p>
      <w:pPr>
        <w:pStyle w:val="BodyText"/>
        <w:spacing w:line="228" w:lineRule="auto" w:before="1"/>
        <w:ind w:left="451" w:right="2"/>
      </w:pPr>
      <w:r>
        <w:rPr>
          <w:color w:val="231F20"/>
        </w:rPr>
        <w:t>ване најмање две грађевинске фазе у архитектури цркве; црква је оријентисана запад – исток са девијацијом </w:t>
      </w:r>
      <w:r>
        <w:rPr>
          <w:color w:val="231F20"/>
          <w:spacing w:val="-3"/>
        </w:rPr>
        <w:t>од </w:t>
      </w:r>
      <w:r>
        <w:rPr>
          <w:color w:val="231F20"/>
        </w:rPr>
        <w:t>220 западним делом ка</w:t>
      </w:r>
      <w:r>
        <w:rPr>
          <w:color w:val="231F20"/>
          <w:spacing w:val="-5"/>
        </w:rPr>
        <w:t> </w:t>
      </w:r>
      <w:r>
        <w:rPr>
          <w:color w:val="231F20"/>
        </w:rPr>
        <w:t>југу;</w:t>
      </w:r>
      <w:r>
        <w:rPr>
          <w:color w:val="231F20"/>
          <w:spacing w:val="-5"/>
        </w:rPr>
        <w:t> </w:t>
      </w:r>
      <w:r>
        <w:rPr>
          <w:color w:val="231F20"/>
          <w:spacing w:val="-3"/>
        </w:rPr>
        <w:t>приликом</w:t>
      </w:r>
      <w:r>
        <w:rPr>
          <w:color w:val="231F20"/>
          <w:spacing w:val="-5"/>
        </w:rPr>
        <w:t> </w:t>
      </w:r>
      <w:r>
        <w:rPr>
          <w:color w:val="231F20"/>
        </w:rPr>
        <w:t>истраживања</w:t>
      </w:r>
      <w:r>
        <w:rPr>
          <w:color w:val="231F20"/>
          <w:spacing w:val="-5"/>
        </w:rPr>
        <w:t> </w:t>
      </w:r>
      <w:r>
        <w:rPr>
          <w:color w:val="231F20"/>
        </w:rPr>
        <w:t>цркве</w:t>
      </w:r>
      <w:r>
        <w:rPr>
          <w:color w:val="231F20"/>
          <w:spacing w:val="-5"/>
        </w:rPr>
        <w:t> </w:t>
      </w:r>
      <w:r>
        <w:rPr>
          <w:color w:val="231F20"/>
        </w:rPr>
        <w:t>откривено</w:t>
      </w:r>
      <w:r>
        <w:rPr>
          <w:color w:val="231F20"/>
          <w:spacing w:val="-5"/>
        </w:rPr>
        <w:t> </w:t>
      </w:r>
      <w:r>
        <w:rPr>
          <w:color w:val="231F20"/>
        </w:rPr>
        <w:t>је</w:t>
      </w:r>
      <w:r>
        <w:rPr>
          <w:color w:val="231F20"/>
          <w:spacing w:val="-5"/>
        </w:rPr>
        <w:t> </w:t>
      </w:r>
      <w:r>
        <w:rPr>
          <w:color w:val="231F20"/>
        </w:rPr>
        <w:t>више</w:t>
      </w:r>
      <w:r>
        <w:rPr>
          <w:color w:val="231F20"/>
          <w:spacing w:val="-5"/>
        </w:rPr>
        <w:t> </w:t>
      </w:r>
      <w:r>
        <w:rPr>
          <w:color w:val="231F20"/>
        </w:rPr>
        <w:t>античких и средњовековних</w:t>
      </w:r>
      <w:r>
        <w:rPr>
          <w:color w:val="231F20"/>
          <w:spacing w:val="-3"/>
        </w:rPr>
        <w:t> </w:t>
      </w:r>
      <w:r>
        <w:rPr>
          <w:color w:val="231F20"/>
        </w:rPr>
        <w:t>гробова.</w:t>
      </w:r>
    </w:p>
    <w:p>
      <w:pPr>
        <w:pStyle w:val="BodyText"/>
        <w:spacing w:before="163"/>
        <w:ind w:left="1840"/>
        <w:jc w:val="left"/>
      </w:pPr>
      <w:r>
        <w:rPr>
          <w:color w:val="231F20"/>
        </w:rPr>
        <w:t>Сакрално споменичко наслеђе</w:t>
      </w:r>
    </w:p>
    <w:p>
      <w:pPr>
        <w:pStyle w:val="BodyText"/>
        <w:spacing w:before="11"/>
        <w:ind w:left="0"/>
        <w:jc w:val="left"/>
        <w:rPr>
          <w:sz w:val="16"/>
        </w:rPr>
      </w:pPr>
    </w:p>
    <w:p>
      <w:pPr>
        <w:pStyle w:val="BodyText"/>
        <w:spacing w:line="228" w:lineRule="auto"/>
        <w:ind w:left="452" w:right="1" w:firstLine="396"/>
      </w:pPr>
      <w:r>
        <w:rPr>
          <w:color w:val="231F20"/>
        </w:rPr>
        <w:t>Сакрални споменици на Планског подручја припадају бога- </w:t>
      </w:r>
      <w:r>
        <w:rPr>
          <w:color w:val="231F20"/>
          <w:spacing w:val="-3"/>
        </w:rPr>
        <w:t>том</w:t>
      </w:r>
      <w:r>
        <w:rPr>
          <w:color w:val="231F20"/>
          <w:spacing w:val="-10"/>
        </w:rPr>
        <w:t> </w:t>
      </w:r>
      <w:r>
        <w:rPr>
          <w:color w:val="231F20"/>
        </w:rPr>
        <w:t>наслеђу</w:t>
      </w:r>
      <w:r>
        <w:rPr>
          <w:color w:val="231F20"/>
          <w:spacing w:val="-10"/>
        </w:rPr>
        <w:t> </w:t>
      </w:r>
      <w:r>
        <w:rPr>
          <w:color w:val="231F20"/>
        </w:rPr>
        <w:t>новијег</w:t>
      </w:r>
      <w:r>
        <w:rPr>
          <w:color w:val="231F20"/>
          <w:spacing w:val="-10"/>
        </w:rPr>
        <w:t> </w:t>
      </w:r>
      <w:r>
        <w:rPr>
          <w:color w:val="231F20"/>
        </w:rPr>
        <w:t>доба.</w:t>
      </w:r>
      <w:r>
        <w:rPr>
          <w:color w:val="231F20"/>
          <w:spacing w:val="-10"/>
        </w:rPr>
        <w:t> </w:t>
      </w:r>
      <w:r>
        <w:rPr>
          <w:color w:val="231F20"/>
        </w:rPr>
        <w:t>Њихова</w:t>
      </w:r>
      <w:r>
        <w:rPr>
          <w:color w:val="231F20"/>
          <w:spacing w:val="-10"/>
        </w:rPr>
        <w:t> </w:t>
      </w:r>
      <w:r>
        <w:rPr>
          <w:color w:val="231F20"/>
        </w:rPr>
        <w:t>стилска</w:t>
      </w:r>
      <w:r>
        <w:rPr>
          <w:color w:val="231F20"/>
          <w:spacing w:val="-10"/>
        </w:rPr>
        <w:t> </w:t>
      </w:r>
      <w:r>
        <w:rPr>
          <w:color w:val="231F20"/>
        </w:rPr>
        <w:t>подударност</w:t>
      </w:r>
      <w:r>
        <w:rPr>
          <w:color w:val="231F20"/>
          <w:spacing w:val="-10"/>
        </w:rPr>
        <w:t> </w:t>
      </w:r>
      <w:r>
        <w:rPr>
          <w:color w:val="231F20"/>
        </w:rPr>
        <w:t>условљена је </w:t>
      </w:r>
      <w:r>
        <w:rPr>
          <w:color w:val="231F20"/>
          <w:spacing w:val="-3"/>
        </w:rPr>
        <w:t>начином </w:t>
      </w:r>
      <w:r>
        <w:rPr>
          <w:color w:val="231F20"/>
        </w:rPr>
        <w:t>градње, средином 19. века. </w:t>
      </w:r>
      <w:r>
        <w:rPr>
          <w:color w:val="231F20"/>
          <w:spacing w:val="-3"/>
        </w:rPr>
        <w:t>Иако </w:t>
      </w:r>
      <w:r>
        <w:rPr>
          <w:color w:val="231F20"/>
        </w:rPr>
        <w:t>најбројнији, споме- ници из овог периода, у поређењу са остатком сакралног фонда, најмање су</w:t>
      </w:r>
      <w:r>
        <w:rPr>
          <w:color w:val="231F20"/>
          <w:spacing w:val="-2"/>
        </w:rPr>
        <w:t> </w:t>
      </w:r>
      <w:r>
        <w:rPr>
          <w:color w:val="231F20"/>
        </w:rPr>
        <w:t>истражени.</w:t>
      </w:r>
    </w:p>
    <w:p>
      <w:pPr>
        <w:spacing w:line="154" w:lineRule="exact" w:before="0"/>
        <w:ind w:left="453" w:right="0" w:firstLine="0"/>
        <w:jc w:val="both"/>
        <w:rPr>
          <w:sz w:val="14"/>
        </w:rPr>
      </w:pPr>
      <w:r>
        <w:rPr>
          <w:color w:val="231F20"/>
          <w:w w:val="66"/>
          <w:sz w:val="14"/>
        </w:rPr>
        <w:t> </w:t>
      </w:r>
      <w:r>
        <w:rPr>
          <w:color w:val="231F20"/>
          <w:w w:val="75"/>
          <w:sz w:val="14"/>
        </w:rPr>
        <w:t>– – – – – – – – – – – – – –</w:t>
      </w:r>
    </w:p>
    <w:p>
      <w:pPr>
        <w:pStyle w:val="ListParagraph"/>
        <w:numPr>
          <w:ilvl w:val="0"/>
          <w:numId w:val="23"/>
        </w:numPr>
        <w:tabs>
          <w:tab w:pos="738" w:val="left" w:leader="none"/>
        </w:tabs>
        <w:spacing w:line="240" w:lineRule="auto" w:before="0" w:after="0"/>
        <w:ind w:left="737" w:right="0" w:hanging="284"/>
        <w:jc w:val="both"/>
        <w:rPr>
          <w:sz w:val="14"/>
        </w:rPr>
      </w:pPr>
      <w:r>
        <w:rPr>
          <w:color w:val="231F20"/>
          <w:sz w:val="14"/>
        </w:rPr>
        <w:t>Из</w:t>
      </w:r>
      <w:r>
        <w:rPr>
          <w:color w:val="231F20"/>
          <w:spacing w:val="-7"/>
          <w:sz w:val="14"/>
        </w:rPr>
        <w:t> </w:t>
      </w:r>
      <w:r>
        <w:rPr>
          <w:color w:val="231F20"/>
          <w:sz w:val="14"/>
        </w:rPr>
        <w:t>необјављене</w:t>
      </w:r>
      <w:r>
        <w:rPr>
          <w:color w:val="231F20"/>
          <w:spacing w:val="-7"/>
          <w:sz w:val="14"/>
        </w:rPr>
        <w:t> </w:t>
      </w:r>
      <w:r>
        <w:rPr>
          <w:color w:val="231F20"/>
          <w:sz w:val="14"/>
        </w:rPr>
        <w:t>монографије</w:t>
      </w:r>
      <w:r>
        <w:rPr>
          <w:color w:val="231F20"/>
          <w:spacing w:val="-6"/>
          <w:sz w:val="14"/>
        </w:rPr>
        <w:t> </w:t>
      </w:r>
      <w:r>
        <w:rPr>
          <w:color w:val="231F20"/>
          <w:sz w:val="14"/>
        </w:rPr>
        <w:t>„Село</w:t>
      </w:r>
      <w:r>
        <w:rPr>
          <w:color w:val="231F20"/>
          <w:spacing w:val="-7"/>
          <w:sz w:val="14"/>
        </w:rPr>
        <w:t> </w:t>
      </w:r>
      <w:r>
        <w:rPr>
          <w:color w:val="231F20"/>
          <w:sz w:val="14"/>
        </w:rPr>
        <w:t>Дрмно</w:t>
      </w:r>
      <w:r>
        <w:rPr>
          <w:color w:val="231F20"/>
          <w:spacing w:val="-7"/>
          <w:sz w:val="14"/>
        </w:rPr>
        <w:t> </w:t>
      </w:r>
      <w:r>
        <w:rPr>
          <w:color w:val="231F20"/>
          <w:sz w:val="14"/>
        </w:rPr>
        <w:t>Топоними”,</w:t>
      </w:r>
      <w:r>
        <w:rPr>
          <w:color w:val="231F20"/>
          <w:spacing w:val="-6"/>
          <w:sz w:val="14"/>
        </w:rPr>
        <w:t> </w:t>
      </w:r>
      <w:r>
        <w:rPr>
          <w:color w:val="231F20"/>
          <w:sz w:val="14"/>
        </w:rPr>
        <w:t>Славољуб</w:t>
      </w:r>
      <w:r>
        <w:rPr>
          <w:color w:val="231F20"/>
          <w:spacing w:val="-6"/>
          <w:sz w:val="14"/>
        </w:rPr>
        <w:t> </w:t>
      </w:r>
      <w:r>
        <w:rPr>
          <w:color w:val="231F20"/>
          <w:sz w:val="14"/>
        </w:rPr>
        <w:t>Стојадиновић</w:t>
      </w:r>
    </w:p>
    <w:p>
      <w:pPr>
        <w:pStyle w:val="BodyText"/>
        <w:spacing w:line="235" w:lineRule="auto" w:before="71"/>
        <w:ind w:left="241" w:right="127" w:firstLine="396"/>
      </w:pPr>
      <w:r>
        <w:rPr/>
        <w:br w:type="column"/>
      </w:r>
      <w:r>
        <w:rPr>
          <w:color w:val="231F20"/>
        </w:rPr>
        <w:t>Одсуство теренских истраживања онемогућава комплетан увид у тачан број сакралних споменика, као и њихове историјске, историјско-уметничке</w:t>
      </w:r>
      <w:r>
        <w:rPr>
          <w:color w:val="231F20"/>
          <w:spacing w:val="-10"/>
        </w:rPr>
        <w:t> </w:t>
      </w:r>
      <w:r>
        <w:rPr>
          <w:color w:val="231F20"/>
        </w:rPr>
        <w:t>и</w:t>
      </w:r>
      <w:r>
        <w:rPr>
          <w:color w:val="231F20"/>
          <w:spacing w:val="-10"/>
        </w:rPr>
        <w:t> </w:t>
      </w:r>
      <w:r>
        <w:rPr>
          <w:color w:val="231F20"/>
        </w:rPr>
        <w:t>архитектонске</w:t>
      </w:r>
      <w:r>
        <w:rPr>
          <w:color w:val="231F20"/>
          <w:spacing w:val="-10"/>
        </w:rPr>
        <w:t> </w:t>
      </w:r>
      <w:r>
        <w:rPr>
          <w:color w:val="231F20"/>
        </w:rPr>
        <w:t>вредности,</w:t>
      </w:r>
      <w:r>
        <w:rPr>
          <w:color w:val="231F20"/>
          <w:spacing w:val="-10"/>
        </w:rPr>
        <w:t> </w:t>
      </w:r>
      <w:r>
        <w:rPr>
          <w:color w:val="231F20"/>
        </w:rPr>
        <w:t>што</w:t>
      </w:r>
      <w:r>
        <w:rPr>
          <w:color w:val="231F20"/>
          <w:spacing w:val="-10"/>
        </w:rPr>
        <w:t> </w:t>
      </w:r>
      <w:r>
        <w:rPr>
          <w:color w:val="231F20"/>
        </w:rPr>
        <w:t>су</w:t>
      </w:r>
      <w:r>
        <w:rPr>
          <w:color w:val="231F20"/>
          <w:spacing w:val="-10"/>
        </w:rPr>
        <w:t> </w:t>
      </w:r>
      <w:r>
        <w:rPr>
          <w:color w:val="231F20"/>
        </w:rPr>
        <w:t>основни критеријуми за одређивање мера заштите, услови чувања, одржа- вања и коришћења. Скоро сва насељена места на </w:t>
      </w:r>
      <w:r>
        <w:rPr>
          <w:color w:val="231F20"/>
          <w:spacing w:val="-3"/>
        </w:rPr>
        <w:t>Планском </w:t>
      </w:r>
      <w:r>
        <w:rPr>
          <w:color w:val="231F20"/>
        </w:rPr>
        <w:t>под- ручју имају бар по један сакрални</w:t>
      </w:r>
      <w:r>
        <w:rPr>
          <w:color w:val="231F20"/>
          <w:spacing w:val="-3"/>
        </w:rPr>
        <w:t> објекат.</w:t>
      </w:r>
    </w:p>
    <w:p>
      <w:pPr>
        <w:pStyle w:val="BodyText"/>
        <w:spacing w:before="164"/>
        <w:ind w:left="1910" w:right="1799"/>
        <w:jc w:val="center"/>
      </w:pPr>
      <w:r>
        <w:rPr>
          <w:color w:val="231F20"/>
        </w:rPr>
        <w:t>Манастир Рукумија</w:t>
      </w:r>
    </w:p>
    <w:p>
      <w:pPr>
        <w:pStyle w:val="BodyText"/>
        <w:spacing w:before="6"/>
        <w:ind w:left="0"/>
        <w:jc w:val="left"/>
        <w:rPr>
          <w:sz w:val="17"/>
        </w:rPr>
      </w:pPr>
    </w:p>
    <w:p>
      <w:pPr>
        <w:pStyle w:val="BodyText"/>
        <w:spacing w:line="235" w:lineRule="auto"/>
        <w:ind w:left="240" w:right="128" w:firstLine="397"/>
      </w:pPr>
      <w:r>
        <w:rPr>
          <w:color w:val="231F20"/>
        </w:rPr>
        <w:t>Рукумија је српски средњевековни православни манастир. Налази се испод Сопота на падини Лештерске греде, у шуми, на левој обали реке Млаве, у селу Брадарац, у непосредној близини површинског </w:t>
      </w:r>
      <w:r>
        <w:rPr>
          <w:color w:val="231F20"/>
          <w:spacing w:val="-3"/>
        </w:rPr>
        <w:t>копа „Ћириковац”. </w:t>
      </w:r>
      <w:r>
        <w:rPr>
          <w:color w:val="231F20"/>
        </w:rPr>
        <w:t>Подизање манастира Рукумија народнo предање приписује кнезу Лазару и везује за </w:t>
      </w:r>
      <w:r>
        <w:rPr>
          <w:color w:val="231F20"/>
          <w:spacing w:val="-3"/>
        </w:rPr>
        <w:t>култ </w:t>
      </w:r>
      <w:r>
        <w:rPr>
          <w:color w:val="231F20"/>
        </w:rPr>
        <w:t>сестре Јелице.</w:t>
      </w:r>
      <w:r>
        <w:rPr>
          <w:color w:val="231F20"/>
          <w:spacing w:val="-9"/>
        </w:rPr>
        <w:t> </w:t>
      </w:r>
      <w:r>
        <w:rPr>
          <w:color w:val="231F20"/>
        </w:rPr>
        <w:t>Историјска</w:t>
      </w:r>
      <w:r>
        <w:rPr>
          <w:color w:val="231F20"/>
          <w:spacing w:val="-9"/>
        </w:rPr>
        <w:t> </w:t>
      </w:r>
      <w:r>
        <w:rPr>
          <w:color w:val="231F20"/>
          <w:spacing w:val="-3"/>
        </w:rPr>
        <w:t>наука,</w:t>
      </w:r>
      <w:r>
        <w:rPr>
          <w:color w:val="231F20"/>
          <w:spacing w:val="-9"/>
        </w:rPr>
        <w:t> </w:t>
      </w:r>
      <w:r>
        <w:rPr>
          <w:color w:val="231F20"/>
        </w:rPr>
        <w:t>пак,</w:t>
      </w:r>
      <w:r>
        <w:rPr>
          <w:color w:val="231F20"/>
          <w:spacing w:val="-9"/>
        </w:rPr>
        <w:t> </w:t>
      </w:r>
      <w:r>
        <w:rPr>
          <w:color w:val="231F20"/>
        </w:rPr>
        <w:t>доводи</w:t>
      </w:r>
      <w:r>
        <w:rPr>
          <w:color w:val="231F20"/>
          <w:spacing w:val="-9"/>
        </w:rPr>
        <w:t> </w:t>
      </w:r>
      <w:r>
        <w:rPr>
          <w:color w:val="231F20"/>
        </w:rPr>
        <w:t>име</w:t>
      </w:r>
      <w:r>
        <w:rPr>
          <w:color w:val="231F20"/>
          <w:spacing w:val="-9"/>
        </w:rPr>
        <w:t> </w:t>
      </w:r>
      <w:r>
        <w:rPr>
          <w:color w:val="231F20"/>
        </w:rPr>
        <w:t>манастира</w:t>
      </w:r>
      <w:r>
        <w:rPr>
          <w:color w:val="231F20"/>
          <w:spacing w:val="-9"/>
        </w:rPr>
        <w:t> </w:t>
      </w:r>
      <w:r>
        <w:rPr>
          <w:color w:val="231F20"/>
        </w:rPr>
        <w:t>у</w:t>
      </w:r>
      <w:r>
        <w:rPr>
          <w:color w:val="231F20"/>
          <w:spacing w:val="-9"/>
        </w:rPr>
        <w:t> </w:t>
      </w:r>
      <w:r>
        <w:rPr>
          <w:color w:val="231F20"/>
        </w:rPr>
        <w:t>везу</w:t>
      </w:r>
      <w:r>
        <w:rPr>
          <w:color w:val="231F20"/>
          <w:spacing w:val="-9"/>
        </w:rPr>
        <w:t> </w:t>
      </w:r>
      <w:r>
        <w:rPr>
          <w:color w:val="231F20"/>
        </w:rPr>
        <w:t>са</w:t>
      </w:r>
      <w:r>
        <w:rPr>
          <w:color w:val="231F20"/>
          <w:spacing w:val="-9"/>
        </w:rPr>
        <w:t> </w:t>
      </w:r>
      <w:r>
        <w:rPr>
          <w:color w:val="231F20"/>
        </w:rPr>
        <w:t>грч- </w:t>
      </w:r>
      <w:r>
        <w:rPr>
          <w:color w:val="231F20"/>
          <w:spacing w:val="-5"/>
        </w:rPr>
        <w:t>ком </w:t>
      </w:r>
      <w:r>
        <w:rPr>
          <w:color w:val="231F20"/>
        </w:rPr>
        <w:t>речи </w:t>
      </w:r>
      <w:r>
        <w:rPr>
          <w:color w:val="231F20"/>
          <w:spacing w:val="-3"/>
        </w:rPr>
        <w:t>Герокомија </w:t>
      </w:r>
      <w:r>
        <w:rPr>
          <w:color w:val="231F20"/>
        </w:rPr>
        <w:t>што значи старачки дом, место </w:t>
      </w:r>
      <w:r>
        <w:rPr>
          <w:color w:val="231F20"/>
          <w:spacing w:val="-4"/>
        </w:rPr>
        <w:t>где </w:t>
      </w:r>
      <w:r>
        <w:rPr>
          <w:color w:val="231F20"/>
        </w:rPr>
        <w:t>се сме- штају остарела лица. Већи средњовековни манастири имали су у свом </w:t>
      </w:r>
      <w:r>
        <w:rPr>
          <w:color w:val="231F20"/>
          <w:spacing w:val="-3"/>
        </w:rPr>
        <w:t>комплексу </w:t>
      </w:r>
      <w:r>
        <w:rPr>
          <w:color w:val="231F20"/>
        </w:rPr>
        <w:t>и одељења за смештај и лечење старих и изнемо- </w:t>
      </w:r>
      <w:r>
        <w:rPr>
          <w:color w:val="231F20"/>
          <w:spacing w:val="-3"/>
        </w:rPr>
        <w:t>глих</w:t>
      </w:r>
      <w:r>
        <w:rPr>
          <w:color w:val="231F20"/>
          <w:spacing w:val="-2"/>
        </w:rPr>
        <w:t> </w:t>
      </w:r>
      <w:r>
        <w:rPr>
          <w:color w:val="231F20"/>
        </w:rPr>
        <w:t>лица.</w:t>
      </w:r>
    </w:p>
    <w:p>
      <w:pPr>
        <w:pStyle w:val="BodyText"/>
        <w:spacing w:before="163"/>
        <w:ind w:left="1909" w:right="1800"/>
        <w:jc w:val="center"/>
      </w:pPr>
      <w:r>
        <w:rPr>
          <w:color w:val="231F20"/>
        </w:rPr>
        <w:t>Манастир Нимник</w:t>
      </w:r>
    </w:p>
    <w:p>
      <w:pPr>
        <w:pStyle w:val="BodyText"/>
        <w:spacing w:before="6"/>
        <w:ind w:left="0"/>
        <w:jc w:val="left"/>
        <w:rPr>
          <w:sz w:val="17"/>
        </w:rPr>
      </w:pPr>
    </w:p>
    <w:p>
      <w:pPr>
        <w:pStyle w:val="BodyText"/>
        <w:spacing w:line="235" w:lineRule="auto"/>
        <w:ind w:left="240" w:right="128" w:firstLine="397"/>
      </w:pPr>
      <w:r>
        <w:rPr>
          <w:color w:val="231F20"/>
        </w:rPr>
        <w:t>У атару села </w:t>
      </w:r>
      <w:r>
        <w:rPr>
          <w:color w:val="231F20"/>
          <w:spacing w:val="-3"/>
        </w:rPr>
        <w:t>Курјаче, </w:t>
      </w:r>
      <w:r>
        <w:rPr>
          <w:color w:val="231F20"/>
        </w:rPr>
        <w:t>налази се средњевековни манастир Нимник. </w:t>
      </w:r>
      <w:r>
        <w:rPr>
          <w:color w:val="231F20"/>
          <w:spacing w:val="-3"/>
        </w:rPr>
        <w:t>Тачно </w:t>
      </w:r>
      <w:r>
        <w:rPr>
          <w:color w:val="231F20"/>
        </w:rPr>
        <w:t>време његове изградње до данас није утврђено, мада се у неким списима наводи 1371. година. Нимник је један   </w:t>
      </w:r>
      <w:r>
        <w:rPr>
          <w:color w:val="231F20"/>
          <w:spacing w:val="-3"/>
        </w:rPr>
        <w:t>од </w:t>
      </w:r>
      <w:r>
        <w:rPr>
          <w:color w:val="231F20"/>
        </w:rPr>
        <w:t>најстаријих манастира Браничевске епархије, а 1981. </w:t>
      </w:r>
      <w:r>
        <w:rPr>
          <w:color w:val="231F20"/>
          <w:spacing w:val="-3"/>
        </w:rPr>
        <w:t>године </w:t>
      </w:r>
      <w:r>
        <w:rPr>
          <w:color w:val="231F20"/>
        </w:rPr>
        <w:t>је проглашен спомеником</w:t>
      </w:r>
      <w:r>
        <w:rPr>
          <w:color w:val="231F20"/>
          <w:spacing w:val="-3"/>
        </w:rPr>
        <w:t> </w:t>
      </w:r>
      <w:r>
        <w:rPr>
          <w:color w:val="231F20"/>
        </w:rPr>
        <w:t>културе.</w:t>
      </w:r>
    </w:p>
    <w:p>
      <w:pPr>
        <w:pStyle w:val="BodyText"/>
        <w:spacing w:before="165"/>
        <w:ind w:left="636" w:hanging="375"/>
        <w:jc w:val="left"/>
      </w:pPr>
      <w:r>
        <w:rPr>
          <w:color w:val="231F20"/>
        </w:rPr>
        <w:t>Локалитет „Тодићева црква – град Браничево” у Старом Костолцу</w:t>
      </w:r>
    </w:p>
    <w:p>
      <w:pPr>
        <w:pStyle w:val="BodyText"/>
        <w:spacing w:before="5"/>
        <w:ind w:left="0"/>
        <w:jc w:val="left"/>
        <w:rPr>
          <w:sz w:val="17"/>
        </w:rPr>
      </w:pPr>
    </w:p>
    <w:p>
      <w:pPr>
        <w:pStyle w:val="BodyText"/>
        <w:spacing w:line="235" w:lineRule="auto" w:before="1"/>
        <w:ind w:left="239" w:right="129" w:firstLine="397"/>
      </w:pPr>
      <w:r>
        <w:rPr>
          <w:color w:val="231F20"/>
          <w:spacing w:val="-3"/>
        </w:rPr>
        <w:t>Тодићева </w:t>
      </w:r>
      <w:r>
        <w:rPr>
          <w:color w:val="231F20"/>
        </w:rPr>
        <w:t>црка у Старом Костолцу је задужбина Драгутина </w:t>
      </w:r>
      <w:r>
        <w:rPr>
          <w:color w:val="231F20"/>
          <w:spacing w:val="-4"/>
        </w:rPr>
        <w:t>Тодића </w:t>
      </w:r>
      <w:r>
        <w:rPr>
          <w:color w:val="231F20"/>
        </w:rPr>
        <w:t>и његове жене Лепосаве и посвећена је Светом </w:t>
      </w:r>
      <w:r>
        <w:rPr>
          <w:color w:val="231F20"/>
          <w:spacing w:val="-4"/>
        </w:rPr>
        <w:t>Георгију. </w:t>
      </w:r>
      <w:r>
        <w:rPr>
          <w:color w:val="231F20"/>
        </w:rPr>
        <w:t>Црква се налази на </w:t>
      </w:r>
      <w:r>
        <w:rPr>
          <w:color w:val="231F20"/>
          <w:spacing w:val="-3"/>
        </w:rPr>
        <w:t>платоу костолачког </w:t>
      </w:r>
      <w:r>
        <w:rPr>
          <w:color w:val="231F20"/>
        </w:rPr>
        <w:t>виса Мали град. Црква је пројектована</w:t>
      </w:r>
      <w:r>
        <w:rPr>
          <w:color w:val="231F20"/>
          <w:spacing w:val="-9"/>
        </w:rPr>
        <w:t> </w:t>
      </w:r>
      <w:r>
        <w:rPr>
          <w:color w:val="231F20"/>
        </w:rPr>
        <w:t>у</w:t>
      </w:r>
      <w:r>
        <w:rPr>
          <w:color w:val="231F20"/>
          <w:spacing w:val="-9"/>
        </w:rPr>
        <w:t> </w:t>
      </w:r>
      <w:r>
        <w:rPr>
          <w:color w:val="231F20"/>
        </w:rPr>
        <w:t>српско-византијском</w:t>
      </w:r>
      <w:r>
        <w:rPr>
          <w:color w:val="231F20"/>
          <w:spacing w:val="-9"/>
        </w:rPr>
        <w:t> </w:t>
      </w:r>
      <w:r>
        <w:rPr>
          <w:color w:val="231F20"/>
        </w:rPr>
        <w:t>стилу</w:t>
      </w:r>
      <w:r>
        <w:rPr>
          <w:color w:val="231F20"/>
          <w:spacing w:val="-9"/>
        </w:rPr>
        <w:t> </w:t>
      </w:r>
      <w:r>
        <w:rPr>
          <w:color w:val="231F20"/>
          <w:spacing w:val="-3"/>
        </w:rPr>
        <w:t>од</w:t>
      </w:r>
      <w:r>
        <w:rPr>
          <w:color w:val="231F20"/>
          <w:spacing w:val="-9"/>
        </w:rPr>
        <w:t> </w:t>
      </w:r>
      <w:r>
        <w:rPr>
          <w:color w:val="231F20"/>
        </w:rPr>
        <w:t>беле</w:t>
      </w:r>
      <w:r>
        <w:rPr>
          <w:color w:val="231F20"/>
          <w:spacing w:val="-9"/>
        </w:rPr>
        <w:t> </w:t>
      </w:r>
      <w:r>
        <w:rPr>
          <w:color w:val="231F20"/>
        </w:rPr>
        <w:t>опеке</w:t>
      </w:r>
      <w:r>
        <w:rPr>
          <w:color w:val="231F20"/>
          <w:spacing w:val="-9"/>
        </w:rPr>
        <w:t> </w:t>
      </w:r>
      <w:r>
        <w:rPr>
          <w:color w:val="231F20"/>
        </w:rPr>
        <w:t>и</w:t>
      </w:r>
      <w:r>
        <w:rPr>
          <w:color w:val="231F20"/>
          <w:spacing w:val="-9"/>
        </w:rPr>
        <w:t> </w:t>
      </w:r>
      <w:r>
        <w:rPr>
          <w:color w:val="231F20"/>
        </w:rPr>
        <w:t>подсећа на</w:t>
      </w:r>
      <w:r>
        <w:rPr>
          <w:color w:val="231F20"/>
          <w:spacing w:val="-7"/>
        </w:rPr>
        <w:t> </w:t>
      </w:r>
      <w:r>
        <w:rPr>
          <w:color w:val="231F20"/>
        </w:rPr>
        <w:t>цркву</w:t>
      </w:r>
      <w:r>
        <w:rPr>
          <w:color w:val="231F20"/>
          <w:spacing w:val="-7"/>
        </w:rPr>
        <w:t> </w:t>
      </w:r>
      <w:r>
        <w:rPr>
          <w:color w:val="231F20"/>
          <w:spacing w:val="-3"/>
        </w:rPr>
        <w:t>Лазарицу.</w:t>
      </w:r>
      <w:r>
        <w:rPr>
          <w:color w:val="231F20"/>
          <w:spacing w:val="-7"/>
        </w:rPr>
        <w:t> </w:t>
      </w:r>
      <w:r>
        <w:rPr>
          <w:color w:val="231F20"/>
        </w:rPr>
        <w:t>Пре</w:t>
      </w:r>
      <w:r>
        <w:rPr>
          <w:color w:val="231F20"/>
          <w:spacing w:val="-7"/>
        </w:rPr>
        <w:t> </w:t>
      </w:r>
      <w:r>
        <w:rPr>
          <w:color w:val="231F20"/>
        </w:rPr>
        <w:t>цркве</w:t>
      </w:r>
      <w:r>
        <w:rPr>
          <w:color w:val="231F20"/>
          <w:spacing w:val="-7"/>
        </w:rPr>
        <w:t> </w:t>
      </w:r>
      <w:r>
        <w:rPr>
          <w:color w:val="231F20"/>
        </w:rPr>
        <w:t>подигнута</w:t>
      </w:r>
      <w:r>
        <w:rPr>
          <w:color w:val="231F20"/>
          <w:spacing w:val="-7"/>
        </w:rPr>
        <w:t> </w:t>
      </w:r>
      <w:r>
        <w:rPr>
          <w:color w:val="231F20"/>
        </w:rPr>
        <w:t>је</w:t>
      </w:r>
      <w:r>
        <w:rPr>
          <w:color w:val="231F20"/>
          <w:spacing w:val="-7"/>
        </w:rPr>
        <w:t> </w:t>
      </w:r>
      <w:r>
        <w:rPr>
          <w:color w:val="231F20"/>
        </w:rPr>
        <w:t>породична</w:t>
      </w:r>
      <w:r>
        <w:rPr>
          <w:color w:val="231F20"/>
          <w:spacing w:val="-7"/>
        </w:rPr>
        <w:t> </w:t>
      </w:r>
      <w:r>
        <w:rPr>
          <w:color w:val="231F20"/>
        </w:rPr>
        <w:t>вила</w:t>
      </w:r>
      <w:r>
        <w:rPr>
          <w:color w:val="231F20"/>
          <w:spacing w:val="-7"/>
        </w:rPr>
        <w:t> </w:t>
      </w:r>
      <w:r>
        <w:rPr>
          <w:color w:val="231F20"/>
        </w:rPr>
        <w:t>„Лепо- сава” (1923. године), </w:t>
      </w:r>
      <w:r>
        <w:rPr>
          <w:color w:val="231F20"/>
          <w:spacing w:val="-3"/>
        </w:rPr>
        <w:t>која </w:t>
      </w:r>
      <w:r>
        <w:rPr>
          <w:color w:val="231F20"/>
        </w:rPr>
        <w:t>се истицала својом архитектуром и до- минантним положајем, а </w:t>
      </w:r>
      <w:r>
        <w:rPr>
          <w:color w:val="231F20"/>
          <w:spacing w:val="-3"/>
        </w:rPr>
        <w:t>након </w:t>
      </w:r>
      <w:r>
        <w:rPr>
          <w:color w:val="231F20"/>
        </w:rPr>
        <w:t>тога</w:t>
      </w:r>
      <w:r>
        <w:rPr>
          <w:color w:val="231F20"/>
          <w:spacing w:val="-2"/>
        </w:rPr>
        <w:t> </w:t>
      </w:r>
      <w:r>
        <w:rPr>
          <w:color w:val="231F20"/>
        </w:rPr>
        <w:t>црква.</w:t>
      </w:r>
    </w:p>
    <w:p>
      <w:pPr>
        <w:pStyle w:val="BodyText"/>
        <w:spacing w:line="432" w:lineRule="auto" w:before="164"/>
        <w:ind w:left="1910" w:right="1800"/>
        <w:jc w:val="center"/>
      </w:pPr>
      <w:r>
        <w:rPr>
          <w:color w:val="231F20"/>
        </w:rPr>
        <w:t>Народно градитељство Етно-парк на Тулби</w:t>
      </w:r>
    </w:p>
    <w:p>
      <w:pPr>
        <w:pStyle w:val="BodyText"/>
        <w:spacing w:line="235" w:lineRule="auto" w:before="35"/>
        <w:ind w:left="239" w:right="128" w:firstLine="396"/>
      </w:pPr>
      <w:r>
        <w:rPr>
          <w:color w:val="231F20"/>
        </w:rPr>
        <w:t>Идеја да се у Пожаревцу формира Музеј народног градитељ- ства потекла је 1963. године, када је урађен елаборат и прва </w:t>
      </w:r>
      <w:r>
        <w:rPr>
          <w:color w:val="231F20"/>
          <w:spacing w:val="-3"/>
        </w:rPr>
        <w:t>кон- </w:t>
      </w:r>
      <w:r>
        <w:rPr>
          <w:color w:val="231F20"/>
        </w:rPr>
        <w:t>цепција поставке. У елаборату је истакнут значај </w:t>
      </w:r>
      <w:r>
        <w:rPr>
          <w:color w:val="231F20"/>
          <w:spacing w:val="-3"/>
        </w:rPr>
        <w:t>пожаревачког </w:t>
      </w:r>
      <w:r>
        <w:rPr>
          <w:color w:val="231F20"/>
        </w:rPr>
        <w:t>краја, односно садашњег браничевског региона, у </w:t>
      </w:r>
      <w:r>
        <w:rPr>
          <w:color w:val="231F20"/>
          <w:spacing w:val="-4"/>
        </w:rPr>
        <w:t>коме </w:t>
      </w:r>
      <w:r>
        <w:rPr>
          <w:color w:val="231F20"/>
        </w:rPr>
        <w:t>се налазе предеоне целине са очуваним објектима народног градитељства, као што су </w:t>
      </w:r>
      <w:r>
        <w:rPr>
          <w:color w:val="231F20"/>
          <w:spacing w:val="-3"/>
        </w:rPr>
        <w:t>Хомоље, </w:t>
      </w:r>
      <w:r>
        <w:rPr>
          <w:color w:val="231F20"/>
        </w:rPr>
        <w:t>Звижд и Млава. </w:t>
      </w:r>
      <w:r>
        <w:rPr>
          <w:color w:val="231F20"/>
          <w:spacing w:val="-4"/>
        </w:rPr>
        <w:t>Указано </w:t>
      </w:r>
      <w:r>
        <w:rPr>
          <w:color w:val="231F20"/>
        </w:rPr>
        <w:t>је на потребу да се традиционалне вредности народне архитектуре прикажу на јед- ном месту и на тај начин сачувају </w:t>
      </w:r>
      <w:r>
        <w:rPr>
          <w:color w:val="231F20"/>
          <w:spacing w:val="-3"/>
        </w:rPr>
        <w:t>од </w:t>
      </w:r>
      <w:r>
        <w:rPr>
          <w:color w:val="231F20"/>
        </w:rPr>
        <w:t>пропадања и уништавања. Одабрана је локација на брду </w:t>
      </w:r>
      <w:r>
        <w:rPr>
          <w:color w:val="231F20"/>
          <w:spacing w:val="-3"/>
        </w:rPr>
        <w:t>Тулба, </w:t>
      </w:r>
      <w:r>
        <w:rPr>
          <w:color w:val="231F20"/>
        </w:rPr>
        <w:t>делу Сопотске косе, на 1 km </w:t>
      </w:r>
      <w:r>
        <w:rPr>
          <w:color w:val="231F20"/>
          <w:spacing w:val="-3"/>
        </w:rPr>
        <w:t>од </w:t>
      </w:r>
      <w:r>
        <w:rPr>
          <w:color w:val="231F20"/>
        </w:rPr>
        <w:t>центра града. Од 1985. до 2006. године, етно-парк није био у функцији. У међувремену, уништена су четири објекта (стаја са казанџиницом, </w:t>
      </w:r>
      <w:r>
        <w:rPr>
          <w:color w:val="231F20"/>
          <w:spacing w:val="-4"/>
        </w:rPr>
        <w:t>кош </w:t>
      </w:r>
      <w:r>
        <w:rPr>
          <w:color w:val="231F20"/>
        </w:rPr>
        <w:t>и бунар). </w:t>
      </w:r>
      <w:r>
        <w:rPr>
          <w:color w:val="231F20"/>
          <w:spacing w:val="-3"/>
        </w:rPr>
        <w:t>Три </w:t>
      </w:r>
      <w:r>
        <w:rPr>
          <w:color w:val="231F20"/>
        </w:rPr>
        <w:t>објекта су заштићена и дели- мично је постављена ограда </w:t>
      </w:r>
      <w:r>
        <w:rPr>
          <w:color w:val="231F20"/>
          <w:spacing w:val="-3"/>
        </w:rPr>
        <w:t>од </w:t>
      </w:r>
      <w:r>
        <w:rPr>
          <w:color w:val="231F20"/>
        </w:rPr>
        <w:t>потплетеног прошћа, </w:t>
      </w:r>
      <w:r>
        <w:rPr>
          <w:color w:val="231F20"/>
          <w:spacing w:val="-3"/>
        </w:rPr>
        <w:t>тако </w:t>
      </w:r>
      <w:r>
        <w:rPr>
          <w:color w:val="231F20"/>
        </w:rPr>
        <w:t>да је ова амбијентална целина поново постала музејска поставка народне архитектуре.</w:t>
      </w:r>
    </w:p>
    <w:p>
      <w:pPr>
        <w:pStyle w:val="BodyText"/>
        <w:spacing w:line="235" w:lineRule="auto"/>
        <w:ind w:left="241" w:right="127" w:firstLine="397"/>
      </w:pPr>
      <w:r>
        <w:rPr>
          <w:color w:val="231F20"/>
        </w:rPr>
        <w:t>На површини </w:t>
      </w:r>
      <w:r>
        <w:rPr>
          <w:color w:val="231F20"/>
          <w:spacing w:val="-3"/>
        </w:rPr>
        <w:t>од </w:t>
      </w:r>
      <w:r>
        <w:rPr>
          <w:color w:val="231F20"/>
        </w:rPr>
        <w:t>8 ha eтно-парк садржи осам објеката народ- ног</w:t>
      </w:r>
      <w:r>
        <w:rPr>
          <w:color w:val="231F20"/>
          <w:spacing w:val="-9"/>
        </w:rPr>
        <w:t> </w:t>
      </w:r>
      <w:r>
        <w:rPr>
          <w:color w:val="231F20"/>
        </w:rPr>
        <w:t>градитељства:</w:t>
      </w:r>
      <w:r>
        <w:rPr>
          <w:color w:val="231F20"/>
          <w:spacing w:val="-9"/>
        </w:rPr>
        <w:t> </w:t>
      </w:r>
      <w:r>
        <w:rPr>
          <w:color w:val="231F20"/>
        </w:rPr>
        <w:t>две</w:t>
      </w:r>
      <w:r>
        <w:rPr>
          <w:color w:val="231F20"/>
          <w:spacing w:val="-9"/>
        </w:rPr>
        <w:t> </w:t>
      </w:r>
      <w:r>
        <w:rPr>
          <w:color w:val="231F20"/>
        </w:rPr>
        <w:t>куће,</w:t>
      </w:r>
      <w:r>
        <w:rPr>
          <w:color w:val="231F20"/>
          <w:spacing w:val="-9"/>
        </w:rPr>
        <w:t> </w:t>
      </w:r>
      <w:r>
        <w:rPr>
          <w:color w:val="231F20"/>
        </w:rPr>
        <w:t>бунар,</w:t>
      </w:r>
      <w:r>
        <w:rPr>
          <w:color w:val="231F20"/>
          <w:spacing w:val="-9"/>
        </w:rPr>
        <w:t> </w:t>
      </w:r>
      <w:r>
        <w:rPr>
          <w:color w:val="231F20"/>
        </w:rPr>
        <w:t>амбар,</w:t>
      </w:r>
      <w:r>
        <w:rPr>
          <w:color w:val="231F20"/>
          <w:spacing w:val="-9"/>
        </w:rPr>
        <w:t> </w:t>
      </w:r>
      <w:r>
        <w:rPr>
          <w:color w:val="231F20"/>
          <w:spacing w:val="-3"/>
        </w:rPr>
        <w:t>кош,</w:t>
      </w:r>
      <w:r>
        <w:rPr>
          <w:color w:val="231F20"/>
          <w:spacing w:val="-9"/>
        </w:rPr>
        <w:t> </w:t>
      </w:r>
      <w:r>
        <w:rPr>
          <w:color w:val="231F20"/>
        </w:rPr>
        <w:t>стају</w:t>
      </w:r>
      <w:r>
        <w:rPr>
          <w:color w:val="231F20"/>
          <w:spacing w:val="-9"/>
        </w:rPr>
        <w:t> </w:t>
      </w:r>
      <w:r>
        <w:rPr>
          <w:color w:val="231F20"/>
        </w:rPr>
        <w:t>са</w:t>
      </w:r>
      <w:r>
        <w:rPr>
          <w:color w:val="231F20"/>
          <w:spacing w:val="-9"/>
        </w:rPr>
        <w:t> </w:t>
      </w:r>
      <w:r>
        <w:rPr>
          <w:color w:val="231F20"/>
        </w:rPr>
        <w:t>казанџини- цом и </w:t>
      </w:r>
      <w:r>
        <w:rPr>
          <w:color w:val="231F20"/>
          <w:spacing w:val="-4"/>
        </w:rPr>
        <w:t>шталу. </w:t>
      </w:r>
      <w:r>
        <w:rPr>
          <w:color w:val="231F20"/>
        </w:rPr>
        <w:t>Сви објекти су дрвене конструкције и представљају народно</w:t>
      </w:r>
      <w:r>
        <w:rPr>
          <w:color w:val="231F20"/>
          <w:spacing w:val="-7"/>
        </w:rPr>
        <w:t> </w:t>
      </w:r>
      <w:r>
        <w:rPr>
          <w:color w:val="231F20"/>
        </w:rPr>
        <w:t>градитељство</w:t>
      </w:r>
      <w:r>
        <w:rPr>
          <w:color w:val="231F20"/>
          <w:spacing w:val="-7"/>
        </w:rPr>
        <w:t> </w:t>
      </w:r>
      <w:r>
        <w:rPr>
          <w:color w:val="231F20"/>
        </w:rPr>
        <w:t>брдско-планинске</w:t>
      </w:r>
      <w:r>
        <w:rPr>
          <w:color w:val="231F20"/>
          <w:spacing w:val="-7"/>
        </w:rPr>
        <w:t> </w:t>
      </w:r>
      <w:r>
        <w:rPr>
          <w:color w:val="231F20"/>
        </w:rPr>
        <w:t>области,</w:t>
      </w:r>
      <w:r>
        <w:rPr>
          <w:color w:val="231F20"/>
          <w:spacing w:val="-7"/>
        </w:rPr>
        <w:t> </w:t>
      </w:r>
      <w:r>
        <w:rPr>
          <w:color w:val="231F20"/>
        </w:rPr>
        <w:t>сем</w:t>
      </w:r>
      <w:r>
        <w:rPr>
          <w:color w:val="231F20"/>
          <w:spacing w:val="-7"/>
        </w:rPr>
        <w:t> </w:t>
      </w:r>
      <w:r>
        <w:rPr>
          <w:color w:val="231F20"/>
        </w:rPr>
        <w:t>амбара</w:t>
      </w:r>
      <w:r>
        <w:rPr>
          <w:color w:val="231F20"/>
          <w:spacing w:val="-7"/>
        </w:rPr>
        <w:t> </w:t>
      </w:r>
      <w:r>
        <w:rPr>
          <w:color w:val="231F20"/>
          <w:spacing w:val="-3"/>
        </w:rPr>
        <w:t>који </w:t>
      </w:r>
      <w:r>
        <w:rPr>
          <w:color w:val="231F20"/>
        </w:rPr>
        <w:t>је</w:t>
      </w:r>
      <w:r>
        <w:rPr>
          <w:color w:val="231F20"/>
          <w:spacing w:val="-5"/>
        </w:rPr>
        <w:t> </w:t>
      </w:r>
      <w:r>
        <w:rPr>
          <w:color w:val="231F20"/>
        </w:rPr>
        <w:t>из</w:t>
      </w:r>
      <w:r>
        <w:rPr>
          <w:color w:val="231F20"/>
          <w:spacing w:val="-5"/>
        </w:rPr>
        <w:t> </w:t>
      </w:r>
      <w:r>
        <w:rPr>
          <w:color w:val="231F20"/>
        </w:rPr>
        <w:t>Поморавља.</w:t>
      </w:r>
      <w:r>
        <w:rPr>
          <w:color w:val="231F20"/>
          <w:spacing w:val="-5"/>
        </w:rPr>
        <w:t> </w:t>
      </w:r>
      <w:r>
        <w:rPr>
          <w:color w:val="231F20"/>
        </w:rPr>
        <w:t>Највише</w:t>
      </w:r>
      <w:r>
        <w:rPr>
          <w:color w:val="231F20"/>
          <w:spacing w:val="-5"/>
        </w:rPr>
        <w:t> </w:t>
      </w:r>
      <w:r>
        <w:rPr>
          <w:color w:val="231F20"/>
        </w:rPr>
        <w:t>објеката</w:t>
      </w:r>
      <w:r>
        <w:rPr>
          <w:color w:val="231F20"/>
          <w:spacing w:val="-5"/>
        </w:rPr>
        <w:t> </w:t>
      </w:r>
      <w:r>
        <w:rPr>
          <w:color w:val="231F20"/>
        </w:rPr>
        <w:t>је</w:t>
      </w:r>
      <w:r>
        <w:rPr>
          <w:color w:val="231F20"/>
          <w:spacing w:val="-5"/>
        </w:rPr>
        <w:t> </w:t>
      </w:r>
      <w:r>
        <w:rPr>
          <w:color w:val="231F20"/>
        </w:rPr>
        <w:t>из</w:t>
      </w:r>
      <w:r>
        <w:rPr>
          <w:color w:val="231F20"/>
          <w:spacing w:val="-5"/>
        </w:rPr>
        <w:t> </w:t>
      </w:r>
      <w:r>
        <w:rPr>
          <w:color w:val="231F20"/>
        </w:rPr>
        <w:t>области</w:t>
      </w:r>
      <w:r>
        <w:rPr>
          <w:color w:val="231F20"/>
          <w:spacing w:val="-5"/>
        </w:rPr>
        <w:t> </w:t>
      </w:r>
      <w:r>
        <w:rPr>
          <w:color w:val="231F20"/>
        </w:rPr>
        <w:t>Млаве,</w:t>
      </w:r>
      <w:r>
        <w:rPr>
          <w:color w:val="231F20"/>
          <w:spacing w:val="-5"/>
        </w:rPr>
        <w:t> </w:t>
      </w:r>
      <w:r>
        <w:rPr>
          <w:color w:val="231F20"/>
        </w:rPr>
        <w:t>четири</w:t>
      </w:r>
      <w:r>
        <w:rPr>
          <w:color w:val="231F20"/>
          <w:spacing w:val="-5"/>
        </w:rPr>
        <w:t> </w:t>
      </w:r>
      <w:r>
        <w:rPr>
          <w:color w:val="231F20"/>
        </w:rPr>
        <w:t>из села Мелнице и један (кош) из Везичева. Један објекат (штала) је из суседне области Звижда. Они су постављени према концепцији </w:t>
      </w:r>
      <w:r>
        <w:rPr>
          <w:color w:val="231F20"/>
          <w:spacing w:val="-3"/>
        </w:rPr>
        <w:t>која</w:t>
      </w:r>
      <w:r>
        <w:rPr>
          <w:color w:val="231F20"/>
          <w:spacing w:val="-5"/>
        </w:rPr>
        <w:t> </w:t>
      </w:r>
      <w:r>
        <w:rPr>
          <w:color w:val="231F20"/>
        </w:rPr>
        <w:t>је</w:t>
      </w:r>
      <w:r>
        <w:rPr>
          <w:color w:val="231F20"/>
          <w:spacing w:val="-5"/>
        </w:rPr>
        <w:t> </w:t>
      </w:r>
      <w:r>
        <w:rPr>
          <w:color w:val="231F20"/>
        </w:rPr>
        <w:t>предвиђала</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у</w:t>
      </w:r>
      <w:r>
        <w:rPr>
          <w:color w:val="231F20"/>
          <w:spacing w:val="-5"/>
        </w:rPr>
        <w:t> </w:t>
      </w:r>
      <w:r>
        <w:rPr>
          <w:color w:val="231F20"/>
        </w:rPr>
        <w:t>етно</w:t>
      </w:r>
      <w:r>
        <w:rPr>
          <w:color w:val="231F20"/>
          <w:spacing w:val="-6"/>
        </w:rPr>
        <w:t> </w:t>
      </w:r>
      <w:r>
        <w:rPr>
          <w:color w:val="231F20"/>
        </w:rPr>
        <w:t>парку</w:t>
      </w:r>
      <w:r>
        <w:rPr>
          <w:color w:val="231F20"/>
          <w:spacing w:val="-5"/>
        </w:rPr>
        <w:t> </w:t>
      </w:r>
      <w:r>
        <w:rPr>
          <w:color w:val="231F20"/>
        </w:rPr>
        <w:t>формирају</w:t>
      </w:r>
      <w:r>
        <w:rPr>
          <w:color w:val="231F20"/>
          <w:spacing w:val="-5"/>
        </w:rPr>
        <w:t> </w:t>
      </w:r>
      <w:r>
        <w:rPr>
          <w:color w:val="231F20"/>
        </w:rPr>
        <w:t>два</w:t>
      </w:r>
      <w:r>
        <w:rPr>
          <w:color w:val="231F20"/>
          <w:spacing w:val="-5"/>
        </w:rPr>
        <w:t> </w:t>
      </w:r>
      <w:r>
        <w:rPr>
          <w:color w:val="231F20"/>
        </w:rPr>
        <w:t>окућнице,</w:t>
      </w:r>
      <w:r>
        <w:rPr>
          <w:color w:val="231F20"/>
          <w:spacing w:val="-6"/>
        </w:rPr>
        <w:t> </w:t>
      </w:r>
      <w:r>
        <w:rPr>
          <w:color w:val="231F20"/>
        </w:rPr>
        <w:t>јед- на</w:t>
      </w:r>
      <w:r>
        <w:rPr>
          <w:color w:val="231F20"/>
          <w:spacing w:val="-7"/>
        </w:rPr>
        <w:t> </w:t>
      </w:r>
      <w:r>
        <w:rPr>
          <w:color w:val="231F20"/>
        </w:rPr>
        <w:t>из</w:t>
      </w:r>
      <w:r>
        <w:rPr>
          <w:color w:val="231F20"/>
          <w:spacing w:val="-7"/>
        </w:rPr>
        <w:t> </w:t>
      </w:r>
      <w:r>
        <w:rPr>
          <w:color w:val="231F20"/>
        </w:rPr>
        <w:t>области</w:t>
      </w:r>
      <w:r>
        <w:rPr>
          <w:color w:val="231F20"/>
          <w:spacing w:val="-7"/>
        </w:rPr>
        <w:t> </w:t>
      </w:r>
      <w:r>
        <w:rPr>
          <w:color w:val="231F20"/>
        </w:rPr>
        <w:t>Млаве</w:t>
      </w:r>
      <w:r>
        <w:rPr>
          <w:color w:val="231F20"/>
          <w:spacing w:val="-7"/>
        </w:rPr>
        <w:t> </w:t>
      </w:r>
      <w:r>
        <w:rPr>
          <w:color w:val="231F20"/>
        </w:rPr>
        <w:t>и</w:t>
      </w:r>
      <w:r>
        <w:rPr>
          <w:color w:val="231F20"/>
          <w:spacing w:val="-7"/>
        </w:rPr>
        <w:t> </w:t>
      </w:r>
      <w:r>
        <w:rPr>
          <w:color w:val="231F20"/>
        </w:rPr>
        <w:t>једна</w:t>
      </w:r>
      <w:r>
        <w:rPr>
          <w:color w:val="231F20"/>
          <w:spacing w:val="-7"/>
        </w:rPr>
        <w:t> </w:t>
      </w:r>
      <w:r>
        <w:rPr>
          <w:color w:val="231F20"/>
        </w:rPr>
        <w:t>из</w:t>
      </w:r>
      <w:r>
        <w:rPr>
          <w:color w:val="231F20"/>
          <w:spacing w:val="-7"/>
        </w:rPr>
        <w:t> </w:t>
      </w:r>
      <w:r>
        <w:rPr>
          <w:color w:val="231F20"/>
        </w:rPr>
        <w:t>Поморавља</w:t>
      </w:r>
      <w:r>
        <w:rPr>
          <w:color w:val="231F20"/>
          <w:spacing w:val="-7"/>
        </w:rPr>
        <w:t> </w:t>
      </w:r>
      <w:r>
        <w:rPr>
          <w:color w:val="231F20"/>
        </w:rPr>
        <w:t>са</w:t>
      </w:r>
      <w:r>
        <w:rPr>
          <w:color w:val="231F20"/>
          <w:spacing w:val="-7"/>
        </w:rPr>
        <w:t> </w:t>
      </w:r>
      <w:r>
        <w:rPr>
          <w:color w:val="231F20"/>
        </w:rPr>
        <w:t>типичним</w:t>
      </w:r>
      <w:r>
        <w:rPr>
          <w:color w:val="231F20"/>
          <w:spacing w:val="-7"/>
        </w:rPr>
        <w:t> </w:t>
      </w:r>
      <w:r>
        <w:rPr>
          <w:color w:val="231F20"/>
        </w:rPr>
        <w:t>објектима </w:t>
      </w:r>
      <w:r>
        <w:rPr>
          <w:color w:val="231F20"/>
          <w:spacing w:val="-3"/>
        </w:rPr>
        <w:t>који </w:t>
      </w:r>
      <w:r>
        <w:rPr>
          <w:color w:val="231F20"/>
        </w:rPr>
        <w:t>представљају традицију народног градитељства ових крајева. У</w:t>
      </w:r>
      <w:r>
        <w:rPr>
          <w:color w:val="231F20"/>
          <w:spacing w:val="-6"/>
        </w:rPr>
        <w:t> </w:t>
      </w:r>
      <w:r>
        <w:rPr>
          <w:color w:val="231F20"/>
        </w:rPr>
        <w:t>оквиру</w:t>
      </w:r>
      <w:r>
        <w:rPr>
          <w:color w:val="231F20"/>
          <w:spacing w:val="-6"/>
        </w:rPr>
        <w:t> </w:t>
      </w:r>
      <w:r>
        <w:rPr>
          <w:color w:val="231F20"/>
        </w:rPr>
        <w:t>овог</w:t>
      </w:r>
      <w:r>
        <w:rPr>
          <w:color w:val="231F20"/>
          <w:spacing w:val="-6"/>
        </w:rPr>
        <w:t> </w:t>
      </w:r>
      <w:r>
        <w:rPr>
          <w:color w:val="231F20"/>
          <w:spacing w:val="-3"/>
        </w:rPr>
        <w:t>комплекса</w:t>
      </w:r>
      <w:r>
        <w:rPr>
          <w:color w:val="231F20"/>
          <w:spacing w:val="-6"/>
        </w:rPr>
        <w:t> </w:t>
      </w:r>
      <w:r>
        <w:rPr>
          <w:color w:val="231F20"/>
        </w:rPr>
        <w:t>налази</w:t>
      </w:r>
      <w:r>
        <w:rPr>
          <w:color w:val="231F20"/>
          <w:spacing w:val="-6"/>
        </w:rPr>
        <w:t> </w:t>
      </w:r>
      <w:r>
        <w:rPr>
          <w:color w:val="231F20"/>
        </w:rPr>
        <w:t>се</w:t>
      </w:r>
      <w:r>
        <w:rPr>
          <w:color w:val="231F20"/>
          <w:spacing w:val="-6"/>
        </w:rPr>
        <w:t> </w:t>
      </w:r>
      <w:r>
        <w:rPr>
          <w:color w:val="231F20"/>
        </w:rPr>
        <w:t>летња</w:t>
      </w:r>
      <w:r>
        <w:rPr>
          <w:color w:val="231F20"/>
          <w:spacing w:val="-6"/>
        </w:rPr>
        <w:t> </w:t>
      </w:r>
      <w:r>
        <w:rPr>
          <w:color w:val="231F20"/>
        </w:rPr>
        <w:t>позорница,</w:t>
      </w:r>
      <w:r>
        <w:rPr>
          <w:color w:val="231F20"/>
          <w:spacing w:val="-6"/>
        </w:rPr>
        <w:t> </w:t>
      </w:r>
      <w:r>
        <w:rPr>
          <w:color w:val="231F20"/>
        </w:rPr>
        <w:t>плато</w:t>
      </w:r>
      <w:r>
        <w:rPr>
          <w:color w:val="231F20"/>
          <w:spacing w:val="-6"/>
        </w:rPr>
        <w:t> </w:t>
      </w:r>
      <w:r>
        <w:rPr>
          <w:color w:val="231F20"/>
        </w:rPr>
        <w:t>са</w:t>
      </w:r>
      <w:r>
        <w:rPr>
          <w:color w:val="231F20"/>
          <w:spacing w:val="-6"/>
        </w:rPr>
        <w:t> </w:t>
      </w:r>
      <w:r>
        <w:rPr>
          <w:color w:val="231F20"/>
          <w:spacing w:val="-4"/>
        </w:rPr>
        <w:t>кога </w:t>
      </w:r>
      <w:r>
        <w:rPr>
          <w:color w:val="231F20"/>
        </w:rPr>
        <w:t>се пружа </w:t>
      </w:r>
      <w:r>
        <w:rPr>
          <w:color w:val="231F20"/>
          <w:spacing w:val="-3"/>
        </w:rPr>
        <w:t>поглед </w:t>
      </w:r>
      <w:r>
        <w:rPr>
          <w:color w:val="231F20"/>
        </w:rPr>
        <w:t>на</w:t>
      </w:r>
      <w:r>
        <w:rPr>
          <w:color w:val="231F20"/>
          <w:spacing w:val="0"/>
        </w:rPr>
        <w:t> </w:t>
      </w:r>
      <w:r>
        <w:rPr>
          <w:color w:val="231F20"/>
        </w:rPr>
        <w:t>град.</w:t>
      </w:r>
    </w:p>
    <w:p>
      <w:pPr>
        <w:pStyle w:val="BodyText"/>
        <w:spacing w:line="235" w:lineRule="auto"/>
        <w:ind w:left="241" w:right="127" w:firstLine="396"/>
      </w:pPr>
      <w:r>
        <w:rPr>
          <w:color w:val="231F20"/>
        </w:rPr>
        <w:t>Парк шума </w:t>
      </w:r>
      <w:r>
        <w:rPr>
          <w:color w:val="231F20"/>
          <w:spacing w:val="-4"/>
        </w:rPr>
        <w:t>Тулба </w:t>
      </w:r>
      <w:r>
        <w:rPr>
          <w:color w:val="231F20"/>
        </w:rPr>
        <w:t>и Табана је неуређена и неопремљена </w:t>
      </w:r>
      <w:r>
        <w:rPr>
          <w:color w:val="231F20"/>
          <w:spacing w:val="-3"/>
        </w:rPr>
        <w:t>иако </w:t>
      </w:r>
      <w:r>
        <w:rPr>
          <w:color w:val="231F20"/>
        </w:rPr>
        <w:t>има изузетне рекреативне и туристичке потенцијале. На локацији </w:t>
      </w:r>
      <w:r>
        <w:rPr>
          <w:color w:val="231F20"/>
          <w:spacing w:val="-3"/>
        </w:rPr>
        <w:t>Тулба, </w:t>
      </w:r>
      <w:r>
        <w:rPr>
          <w:color w:val="231F20"/>
        </w:rPr>
        <w:t>на </w:t>
      </w:r>
      <w:r>
        <w:rPr>
          <w:color w:val="231F20"/>
          <w:spacing w:val="-4"/>
        </w:rPr>
        <w:t>коти </w:t>
      </w:r>
      <w:r>
        <w:rPr>
          <w:color w:val="231F20"/>
        </w:rPr>
        <w:t>124 mnв, налази се резервоар за снабдевање града </w:t>
      </w:r>
      <w:r>
        <w:rPr>
          <w:color w:val="231F20"/>
          <w:spacing w:val="-2"/>
        </w:rPr>
        <w:t>водом,</w:t>
      </w:r>
      <w:r>
        <w:rPr>
          <w:color w:val="231F20"/>
          <w:spacing w:val="-5"/>
        </w:rPr>
        <w:t> </w:t>
      </w:r>
      <w:r>
        <w:rPr>
          <w:color w:val="231F20"/>
        </w:rPr>
        <w:t>стара</w:t>
      </w:r>
      <w:r>
        <w:rPr>
          <w:color w:val="231F20"/>
          <w:spacing w:val="-5"/>
        </w:rPr>
        <w:t> </w:t>
      </w:r>
      <w:r>
        <w:rPr>
          <w:color w:val="231F20"/>
        </w:rPr>
        <w:t>чесма,</w:t>
      </w:r>
      <w:r>
        <w:rPr>
          <w:color w:val="231F20"/>
          <w:spacing w:val="-5"/>
        </w:rPr>
        <w:t> </w:t>
      </w:r>
      <w:r>
        <w:rPr>
          <w:color w:val="231F20"/>
        </w:rPr>
        <w:t>мањи</w:t>
      </w:r>
      <w:r>
        <w:rPr>
          <w:color w:val="231F20"/>
          <w:spacing w:val="-5"/>
        </w:rPr>
        <w:t> </w:t>
      </w:r>
      <w:r>
        <w:rPr>
          <w:color w:val="231F20"/>
        </w:rPr>
        <w:t>базен.</w:t>
      </w:r>
      <w:r>
        <w:rPr>
          <w:color w:val="231F20"/>
          <w:spacing w:val="-5"/>
        </w:rPr>
        <w:t> </w:t>
      </w:r>
      <w:r>
        <w:rPr>
          <w:color w:val="231F20"/>
        </w:rPr>
        <w:t>У</w:t>
      </w:r>
      <w:r>
        <w:rPr>
          <w:color w:val="231F20"/>
          <w:spacing w:val="-5"/>
        </w:rPr>
        <w:t> </w:t>
      </w:r>
      <w:r>
        <w:rPr>
          <w:color w:val="231F20"/>
        </w:rPr>
        <w:t>подножју</w:t>
      </w:r>
      <w:r>
        <w:rPr>
          <w:color w:val="231F20"/>
          <w:spacing w:val="-5"/>
        </w:rPr>
        <w:t> </w:t>
      </w:r>
      <w:r>
        <w:rPr>
          <w:color w:val="231F20"/>
        </w:rPr>
        <w:t>брда</w:t>
      </w:r>
      <w:r>
        <w:rPr>
          <w:color w:val="231F20"/>
          <w:spacing w:val="-5"/>
        </w:rPr>
        <w:t> </w:t>
      </w:r>
      <w:r>
        <w:rPr>
          <w:color w:val="231F20"/>
        </w:rPr>
        <w:t>је</w:t>
      </w:r>
      <w:r>
        <w:rPr>
          <w:color w:val="231F20"/>
          <w:spacing w:val="-5"/>
        </w:rPr>
        <w:t> </w:t>
      </w:r>
      <w:r>
        <w:rPr>
          <w:color w:val="231F20"/>
        </w:rPr>
        <w:t>језеро</w:t>
      </w:r>
      <w:r>
        <w:rPr>
          <w:color w:val="231F20"/>
          <w:spacing w:val="-5"/>
        </w:rPr>
        <w:t> </w:t>
      </w:r>
      <w:r>
        <w:rPr>
          <w:color w:val="231F20"/>
        </w:rPr>
        <w:t>и</w:t>
      </w:r>
      <w:r>
        <w:rPr>
          <w:color w:val="231F20"/>
          <w:spacing w:val="-5"/>
        </w:rPr>
        <w:t> </w:t>
      </w:r>
      <w:r>
        <w:rPr>
          <w:color w:val="231F20"/>
        </w:rPr>
        <w:t>објек- ти </w:t>
      </w:r>
      <w:r>
        <w:rPr>
          <w:color w:val="231F20"/>
          <w:spacing w:val="-3"/>
        </w:rPr>
        <w:t>који </w:t>
      </w:r>
      <w:r>
        <w:rPr>
          <w:color w:val="231F20"/>
        </w:rPr>
        <w:t>би </w:t>
      </w:r>
      <w:r>
        <w:rPr>
          <w:color w:val="231F20"/>
          <w:spacing w:val="-3"/>
        </w:rPr>
        <w:t>могли </w:t>
      </w:r>
      <w:r>
        <w:rPr>
          <w:color w:val="231F20"/>
        </w:rPr>
        <w:t>да се користити у туристичке</w:t>
      </w:r>
      <w:r>
        <w:rPr>
          <w:color w:val="231F20"/>
          <w:spacing w:val="-3"/>
        </w:rPr>
        <w:t> </w:t>
      </w:r>
      <w:r>
        <w:rPr>
          <w:color w:val="231F20"/>
        </w:rPr>
        <w:t>сврхе.</w:t>
      </w:r>
    </w:p>
    <w:p>
      <w:pPr>
        <w:spacing w:after="0" w:line="235" w:lineRule="auto"/>
        <w:sectPr>
          <w:pgSz w:w="12480" w:h="15690"/>
          <w:pgMar w:top="120" w:bottom="280" w:left="680" w:right="720"/>
          <w:cols w:num="2" w:equalWidth="0">
            <w:col w:w="5559" w:space="40"/>
            <w:col w:w="5481"/>
          </w:cols>
        </w:sectPr>
      </w:pPr>
    </w:p>
    <w:p>
      <w:pPr>
        <w:pStyle w:val="BodyText"/>
        <w:spacing w:line="232" w:lineRule="auto" w:before="73"/>
        <w:ind w:right="5797" w:firstLine="396"/>
      </w:pPr>
      <w:r>
        <w:rPr/>
        <w:pict>
          <v:line style="position:absolute;mso-position-horizontal-relative:page;mso-position-vertical-relative:page;z-index:1720" from="304.724396pt,11.942451pt" to="304.724396pt,748.950451pt" stroked="true" strokeweight=".6pt" strokecolor="#231f20">
            <v:stroke dashstyle="solid"/>
            <w10:wrap type="none"/>
          </v:line>
        </w:pict>
      </w:r>
      <w:r>
        <w:rPr/>
        <w:pict>
          <v:shapetype id="_x0000_t202" o:spt="202" coordsize="21600,21600" path="m,l,21600r21600,l21600,xe">
            <v:stroke joinstyle="miter"/>
            <v:path gradientshapeok="t" o:connecttype="rect"/>
          </v:shapetype>
          <v:shape style="position:absolute;margin-left:311.811096pt;margin-top:11.942451pt;width:255.55pt;height:729.85pt;mso-position-horizontal-relative:page;mso-position-vertical-relative:page;z-index:174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091"/>
                    <w:gridCol w:w="1304"/>
                  </w:tblGrid>
                  <w:tr>
                    <w:trPr>
                      <w:trHeight w:val="600" w:hRule="atLeast"/>
                    </w:trPr>
                    <w:tc>
                      <w:tcPr>
                        <w:tcW w:w="1701" w:type="dxa"/>
                      </w:tcPr>
                      <w:p>
                        <w:pPr>
                          <w:pStyle w:val="TableParagraph"/>
                          <w:ind w:left="438" w:right="429"/>
                          <w:jc w:val="center"/>
                          <w:rPr>
                            <w:sz w:val="14"/>
                          </w:rPr>
                        </w:pPr>
                        <w:r>
                          <w:rPr>
                            <w:color w:val="231F20"/>
                            <w:sz w:val="14"/>
                          </w:rPr>
                          <w:t>Насеље</w:t>
                        </w:r>
                      </w:p>
                    </w:tc>
                    <w:tc>
                      <w:tcPr>
                        <w:tcW w:w="2091" w:type="dxa"/>
                      </w:tcPr>
                      <w:p>
                        <w:pPr>
                          <w:pStyle w:val="TableParagraph"/>
                          <w:spacing w:line="297" w:lineRule="auto"/>
                          <w:ind w:left="100" w:right="89"/>
                          <w:jc w:val="center"/>
                          <w:rPr>
                            <w:sz w:val="14"/>
                          </w:rPr>
                        </w:pPr>
                        <w:r>
                          <w:rPr>
                            <w:color w:val="231F20"/>
                            <w:sz w:val="14"/>
                          </w:rPr>
                          <w:t>Непокретна културна добра (категорија/година утврђивања</w:t>
                        </w:r>
                      </w:p>
                      <w:p>
                        <w:pPr>
                          <w:pStyle w:val="TableParagraph"/>
                          <w:spacing w:before="1"/>
                          <w:ind w:left="98" w:right="89"/>
                          <w:jc w:val="center"/>
                          <w:rPr>
                            <w:sz w:val="14"/>
                          </w:rPr>
                        </w:pPr>
                        <w:r>
                          <w:rPr>
                            <w:color w:val="231F20"/>
                            <w:sz w:val="14"/>
                          </w:rPr>
                          <w:t>категорије)</w:t>
                        </w:r>
                      </w:p>
                    </w:tc>
                    <w:tc>
                      <w:tcPr>
                        <w:tcW w:w="1304" w:type="dxa"/>
                      </w:tcPr>
                      <w:p>
                        <w:pPr>
                          <w:pStyle w:val="TableParagraph"/>
                          <w:spacing w:line="297" w:lineRule="auto"/>
                          <w:ind w:left="59" w:right="47"/>
                          <w:jc w:val="center"/>
                          <w:rPr>
                            <w:sz w:val="14"/>
                          </w:rPr>
                        </w:pPr>
                        <w:r>
                          <w:rPr>
                            <w:color w:val="231F20"/>
                            <w:sz w:val="14"/>
                          </w:rPr>
                          <w:t>Број непокретности под претходном</w:t>
                        </w:r>
                      </w:p>
                      <w:p>
                        <w:pPr>
                          <w:pStyle w:val="TableParagraph"/>
                          <w:spacing w:before="1"/>
                          <w:ind w:left="57" w:right="47"/>
                          <w:jc w:val="center"/>
                          <w:rPr>
                            <w:sz w:val="14"/>
                          </w:rPr>
                        </w:pPr>
                        <w:r>
                          <w:rPr>
                            <w:color w:val="231F20"/>
                            <w:sz w:val="14"/>
                          </w:rPr>
                          <w:t>заштитом</w:t>
                        </w:r>
                      </w:p>
                    </w:tc>
                  </w:tr>
                  <w:tr>
                    <w:trPr>
                      <w:trHeight w:val="200" w:hRule="atLeast"/>
                    </w:trPr>
                    <w:tc>
                      <w:tcPr>
                        <w:tcW w:w="1701" w:type="dxa"/>
                      </w:tcPr>
                      <w:p>
                        <w:pPr>
                          <w:pStyle w:val="TableParagraph"/>
                          <w:ind w:left="56"/>
                          <w:jc w:val="left"/>
                          <w:rPr>
                            <w:sz w:val="14"/>
                          </w:rPr>
                        </w:pPr>
                        <w:r>
                          <w:rPr>
                            <w:color w:val="231F20"/>
                            <w:sz w:val="14"/>
                          </w:rPr>
                          <w:t>Батовац</w:t>
                        </w:r>
                      </w:p>
                    </w:tc>
                    <w:tc>
                      <w:tcPr>
                        <w:tcW w:w="2091" w:type="dxa"/>
                      </w:tcPr>
                      <w:p>
                        <w:pPr>
                          <w:pStyle w:val="TableParagraph"/>
                          <w:spacing w:before="0"/>
                          <w:jc w:val="left"/>
                          <w:rPr>
                            <w:sz w:val="12"/>
                          </w:rPr>
                        </w:pPr>
                      </w:p>
                    </w:tc>
                    <w:tc>
                      <w:tcPr>
                        <w:tcW w:w="1304" w:type="dxa"/>
                      </w:tcPr>
                      <w:p>
                        <w:pPr>
                          <w:pStyle w:val="TableParagraph"/>
                          <w:ind w:right="572"/>
                          <w:rPr>
                            <w:sz w:val="14"/>
                          </w:rPr>
                        </w:pPr>
                        <w:r>
                          <w:rPr>
                            <w:color w:val="231F20"/>
                            <w:sz w:val="14"/>
                          </w:rPr>
                          <w:t>11</w:t>
                        </w:r>
                      </w:p>
                    </w:tc>
                  </w:tr>
                  <w:tr>
                    <w:trPr>
                      <w:trHeight w:val="200" w:hRule="atLeast"/>
                    </w:trPr>
                    <w:tc>
                      <w:tcPr>
                        <w:tcW w:w="1701" w:type="dxa"/>
                      </w:tcPr>
                      <w:p>
                        <w:pPr>
                          <w:pStyle w:val="TableParagraph"/>
                          <w:ind w:left="56"/>
                          <w:jc w:val="left"/>
                          <w:rPr>
                            <w:sz w:val="14"/>
                          </w:rPr>
                        </w:pPr>
                        <w:r>
                          <w:rPr>
                            <w:color w:val="231F20"/>
                            <w:sz w:val="14"/>
                          </w:rPr>
                          <w:t>Берање</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12</w:t>
                        </w:r>
                      </w:p>
                    </w:tc>
                  </w:tr>
                  <w:tr>
                    <w:trPr>
                      <w:trHeight w:val="400" w:hRule="atLeast"/>
                    </w:trPr>
                    <w:tc>
                      <w:tcPr>
                        <w:tcW w:w="1701" w:type="dxa"/>
                      </w:tcPr>
                      <w:p>
                        <w:pPr>
                          <w:pStyle w:val="TableParagraph"/>
                          <w:ind w:left="56"/>
                          <w:jc w:val="left"/>
                          <w:rPr>
                            <w:sz w:val="14"/>
                          </w:rPr>
                        </w:pPr>
                        <w:r>
                          <w:rPr>
                            <w:color w:val="231F20"/>
                            <w:sz w:val="14"/>
                          </w:rPr>
                          <w:t>Брадарац</w:t>
                        </w:r>
                      </w:p>
                      <w:p>
                        <w:pPr>
                          <w:pStyle w:val="TableParagraph"/>
                          <w:spacing w:before="39"/>
                          <w:ind w:left="56"/>
                          <w:jc w:val="left"/>
                          <w:rPr>
                            <w:sz w:val="14"/>
                          </w:rPr>
                        </w:pPr>
                        <w:r>
                          <w:rPr>
                            <w:color w:val="231F20"/>
                            <w:w w:val="66"/>
                            <w:sz w:val="14"/>
                          </w:rPr>
                          <w:t> </w:t>
                        </w:r>
                        <w:r>
                          <w:rPr>
                            <w:color w:val="231F20"/>
                            <w:sz w:val="14"/>
                          </w:rPr>
                          <w:t>– Манастир Рукумија</w:t>
                        </w:r>
                      </w:p>
                    </w:tc>
                    <w:tc>
                      <w:tcPr>
                        <w:tcW w:w="2091" w:type="dxa"/>
                      </w:tcPr>
                      <w:p>
                        <w:pPr>
                          <w:pStyle w:val="TableParagraph"/>
                          <w:spacing w:before="0"/>
                          <w:jc w:val="left"/>
                          <w:rPr>
                            <w:sz w:val="16"/>
                          </w:rPr>
                        </w:pPr>
                      </w:p>
                    </w:tc>
                    <w:tc>
                      <w:tcPr>
                        <w:tcW w:w="1304" w:type="dxa"/>
                      </w:tcPr>
                      <w:p>
                        <w:pPr>
                          <w:pStyle w:val="TableParagraph"/>
                          <w:ind w:right="569"/>
                          <w:rPr>
                            <w:sz w:val="14"/>
                          </w:rPr>
                        </w:pPr>
                        <w:r>
                          <w:rPr>
                            <w:color w:val="231F20"/>
                            <w:sz w:val="14"/>
                          </w:rPr>
                          <w:t>21</w:t>
                        </w:r>
                      </w:p>
                    </w:tc>
                  </w:tr>
                  <w:tr>
                    <w:trPr>
                      <w:trHeight w:val="200" w:hRule="atLeast"/>
                    </w:trPr>
                    <w:tc>
                      <w:tcPr>
                        <w:tcW w:w="1701" w:type="dxa"/>
                      </w:tcPr>
                      <w:p>
                        <w:pPr>
                          <w:pStyle w:val="TableParagraph"/>
                          <w:ind w:left="56"/>
                          <w:jc w:val="left"/>
                          <w:rPr>
                            <w:sz w:val="14"/>
                          </w:rPr>
                        </w:pPr>
                        <w:r>
                          <w:rPr>
                            <w:color w:val="231F20"/>
                            <w:sz w:val="14"/>
                          </w:rPr>
                          <w:t>Братинац</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15</w:t>
                        </w:r>
                      </w:p>
                    </w:tc>
                  </w:tr>
                  <w:tr>
                    <w:trPr>
                      <w:trHeight w:val="200" w:hRule="atLeast"/>
                    </w:trPr>
                    <w:tc>
                      <w:tcPr>
                        <w:tcW w:w="1701" w:type="dxa"/>
                      </w:tcPr>
                      <w:p>
                        <w:pPr>
                          <w:pStyle w:val="TableParagraph"/>
                          <w:ind w:left="56"/>
                          <w:jc w:val="left"/>
                          <w:rPr>
                            <w:sz w:val="14"/>
                          </w:rPr>
                        </w:pPr>
                        <w:r>
                          <w:rPr>
                            <w:color w:val="231F20"/>
                            <w:sz w:val="14"/>
                          </w:rPr>
                          <w:t>Брежане</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22</w:t>
                        </w:r>
                      </w:p>
                    </w:tc>
                  </w:tr>
                  <w:tr>
                    <w:trPr>
                      <w:trHeight w:val="200" w:hRule="atLeast"/>
                    </w:trPr>
                    <w:tc>
                      <w:tcPr>
                        <w:tcW w:w="1701" w:type="dxa"/>
                      </w:tcPr>
                      <w:p>
                        <w:pPr>
                          <w:pStyle w:val="TableParagraph"/>
                          <w:ind w:left="57"/>
                          <w:jc w:val="left"/>
                          <w:rPr>
                            <w:sz w:val="14"/>
                          </w:rPr>
                        </w:pPr>
                        <w:r>
                          <w:rPr>
                            <w:color w:val="231F20"/>
                            <w:sz w:val="14"/>
                          </w:rPr>
                          <w:t>Бабушинац</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12</w:t>
                        </w:r>
                      </w:p>
                    </w:tc>
                  </w:tr>
                  <w:tr>
                    <w:trPr>
                      <w:trHeight w:val="200" w:hRule="atLeast"/>
                    </w:trPr>
                    <w:tc>
                      <w:tcPr>
                        <w:tcW w:w="1701" w:type="dxa"/>
                      </w:tcPr>
                      <w:p>
                        <w:pPr>
                          <w:pStyle w:val="TableParagraph"/>
                          <w:ind w:left="57"/>
                          <w:jc w:val="left"/>
                          <w:rPr>
                            <w:sz w:val="14"/>
                          </w:rPr>
                        </w:pPr>
                        <w:r>
                          <w:rPr>
                            <w:color w:val="231F20"/>
                            <w:sz w:val="14"/>
                          </w:rPr>
                          <w:t>Драговац</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15</w:t>
                        </w:r>
                      </w:p>
                    </w:tc>
                  </w:tr>
                  <w:tr>
                    <w:trPr>
                      <w:trHeight w:val="200" w:hRule="atLeast"/>
                    </w:trPr>
                    <w:tc>
                      <w:tcPr>
                        <w:tcW w:w="1701" w:type="dxa"/>
                      </w:tcPr>
                      <w:p>
                        <w:pPr>
                          <w:pStyle w:val="TableParagraph"/>
                          <w:ind w:left="57"/>
                          <w:jc w:val="left"/>
                          <w:rPr>
                            <w:sz w:val="14"/>
                          </w:rPr>
                        </w:pPr>
                        <w:r>
                          <w:rPr>
                            <w:color w:val="231F20"/>
                            <w:sz w:val="14"/>
                          </w:rPr>
                          <w:t>Дрмно</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16</w:t>
                        </w:r>
                      </w:p>
                    </w:tc>
                  </w:tr>
                  <w:tr>
                    <w:trPr>
                      <w:trHeight w:val="200" w:hRule="atLeast"/>
                    </w:trPr>
                    <w:tc>
                      <w:tcPr>
                        <w:tcW w:w="1701" w:type="dxa"/>
                      </w:tcPr>
                      <w:p>
                        <w:pPr>
                          <w:pStyle w:val="TableParagraph"/>
                          <w:ind w:left="57"/>
                          <w:jc w:val="left"/>
                          <w:rPr>
                            <w:sz w:val="14"/>
                          </w:rPr>
                        </w:pPr>
                        <w:r>
                          <w:rPr>
                            <w:color w:val="231F20"/>
                            <w:sz w:val="14"/>
                          </w:rPr>
                          <w:t>Дубравица</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25</w:t>
                        </w:r>
                      </w:p>
                    </w:tc>
                  </w:tr>
                  <w:tr>
                    <w:trPr>
                      <w:trHeight w:val="200" w:hRule="atLeast"/>
                    </w:trPr>
                    <w:tc>
                      <w:tcPr>
                        <w:tcW w:w="1701" w:type="dxa"/>
                      </w:tcPr>
                      <w:p>
                        <w:pPr>
                          <w:pStyle w:val="TableParagraph"/>
                          <w:ind w:left="57"/>
                          <w:jc w:val="left"/>
                          <w:rPr>
                            <w:sz w:val="14"/>
                          </w:rPr>
                        </w:pPr>
                        <w:r>
                          <w:rPr>
                            <w:color w:val="231F20"/>
                            <w:sz w:val="14"/>
                          </w:rPr>
                          <w:t>Живица</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21</w:t>
                        </w:r>
                      </w:p>
                    </w:tc>
                  </w:tr>
                  <w:tr>
                    <w:trPr>
                      <w:trHeight w:val="200" w:hRule="atLeast"/>
                    </w:trPr>
                    <w:tc>
                      <w:tcPr>
                        <w:tcW w:w="1701" w:type="dxa"/>
                      </w:tcPr>
                      <w:p>
                        <w:pPr>
                          <w:pStyle w:val="TableParagraph"/>
                          <w:ind w:left="57"/>
                          <w:jc w:val="left"/>
                          <w:rPr>
                            <w:sz w:val="14"/>
                          </w:rPr>
                        </w:pPr>
                        <w:r>
                          <w:rPr>
                            <w:color w:val="231F20"/>
                            <w:sz w:val="14"/>
                          </w:rPr>
                          <w:t>Касидол</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16</w:t>
                        </w:r>
                      </w:p>
                    </w:tc>
                  </w:tr>
                  <w:tr>
                    <w:trPr>
                      <w:trHeight w:val="200" w:hRule="atLeast"/>
                    </w:trPr>
                    <w:tc>
                      <w:tcPr>
                        <w:tcW w:w="1701" w:type="dxa"/>
                      </w:tcPr>
                      <w:p>
                        <w:pPr>
                          <w:pStyle w:val="TableParagraph"/>
                          <w:ind w:left="57"/>
                          <w:jc w:val="left"/>
                          <w:rPr>
                            <w:sz w:val="14"/>
                          </w:rPr>
                        </w:pPr>
                        <w:r>
                          <w:rPr>
                            <w:color w:val="231F20"/>
                            <w:sz w:val="14"/>
                          </w:rPr>
                          <w:t>Кленовник</w:t>
                        </w:r>
                      </w:p>
                    </w:tc>
                    <w:tc>
                      <w:tcPr>
                        <w:tcW w:w="2091" w:type="dxa"/>
                      </w:tcPr>
                      <w:p>
                        <w:pPr>
                          <w:pStyle w:val="TableParagraph"/>
                          <w:spacing w:before="0"/>
                          <w:jc w:val="left"/>
                          <w:rPr>
                            <w:sz w:val="12"/>
                          </w:rPr>
                        </w:pPr>
                      </w:p>
                    </w:tc>
                    <w:tc>
                      <w:tcPr>
                        <w:tcW w:w="1304" w:type="dxa"/>
                      </w:tcPr>
                      <w:p>
                        <w:pPr>
                          <w:pStyle w:val="TableParagraph"/>
                          <w:ind w:right="569"/>
                          <w:rPr>
                            <w:sz w:val="14"/>
                          </w:rPr>
                        </w:pPr>
                        <w:r>
                          <w:rPr>
                            <w:color w:val="231F20"/>
                            <w:sz w:val="14"/>
                          </w:rPr>
                          <w:t>15</w:t>
                        </w:r>
                      </w:p>
                    </w:tc>
                  </w:tr>
                  <w:tr>
                    <w:trPr>
                      <w:trHeight w:val="600" w:hRule="atLeast"/>
                    </w:trPr>
                    <w:tc>
                      <w:tcPr>
                        <w:tcW w:w="1701" w:type="dxa"/>
                      </w:tcPr>
                      <w:p>
                        <w:pPr>
                          <w:pStyle w:val="TableParagraph"/>
                          <w:ind w:left="57"/>
                          <w:jc w:val="left"/>
                          <w:rPr>
                            <w:sz w:val="14"/>
                          </w:rPr>
                        </w:pPr>
                        <w:r>
                          <w:rPr>
                            <w:color w:val="231F20"/>
                            <w:sz w:val="14"/>
                          </w:rPr>
                          <w:t>Кличевац</w:t>
                        </w:r>
                      </w:p>
                    </w:tc>
                    <w:tc>
                      <w:tcPr>
                        <w:tcW w:w="2091" w:type="dxa"/>
                      </w:tcPr>
                      <w:p>
                        <w:pPr>
                          <w:pStyle w:val="TableParagraph"/>
                          <w:spacing w:line="297" w:lineRule="auto"/>
                          <w:ind w:left="57" w:right="750" w:hanging="1"/>
                          <w:jc w:val="left"/>
                          <w:rPr>
                            <w:sz w:val="14"/>
                          </w:rPr>
                        </w:pPr>
                        <w:r>
                          <w:rPr>
                            <w:color w:val="231F20"/>
                            <w:sz w:val="14"/>
                          </w:rPr>
                          <w:t>Споменик културе Одлука Владе РС бр.</w:t>
                        </w:r>
                      </w:p>
                      <w:p>
                        <w:pPr>
                          <w:pStyle w:val="TableParagraph"/>
                          <w:spacing w:before="0"/>
                          <w:ind w:left="57"/>
                          <w:jc w:val="left"/>
                          <w:rPr>
                            <w:sz w:val="14"/>
                          </w:rPr>
                        </w:pPr>
                        <w:r>
                          <w:rPr>
                            <w:color w:val="231F20"/>
                            <w:sz w:val="14"/>
                          </w:rPr>
                          <w:t>633-4708/99 од 17.02.2000.</w:t>
                        </w:r>
                      </w:p>
                    </w:tc>
                    <w:tc>
                      <w:tcPr>
                        <w:tcW w:w="1304" w:type="dxa"/>
                      </w:tcPr>
                      <w:p>
                        <w:pPr>
                          <w:pStyle w:val="TableParagraph"/>
                          <w:ind w:right="568"/>
                          <w:rPr>
                            <w:sz w:val="14"/>
                          </w:rPr>
                        </w:pPr>
                        <w:r>
                          <w:rPr>
                            <w:color w:val="231F20"/>
                            <w:sz w:val="14"/>
                          </w:rPr>
                          <w:t>24</w:t>
                        </w:r>
                      </w:p>
                    </w:tc>
                  </w:tr>
                  <w:tr>
                    <w:trPr>
                      <w:trHeight w:val="200" w:hRule="atLeast"/>
                    </w:trPr>
                    <w:tc>
                      <w:tcPr>
                        <w:tcW w:w="1701" w:type="dxa"/>
                      </w:tcPr>
                      <w:p>
                        <w:pPr>
                          <w:pStyle w:val="TableParagraph"/>
                          <w:ind w:left="57"/>
                          <w:jc w:val="left"/>
                          <w:rPr>
                            <w:sz w:val="14"/>
                          </w:rPr>
                        </w:pPr>
                        <w:r>
                          <w:rPr>
                            <w:color w:val="231F20"/>
                            <w:sz w:val="14"/>
                          </w:rPr>
                          <w:t>Костолац (укупно)</w:t>
                        </w:r>
                      </w:p>
                    </w:tc>
                    <w:tc>
                      <w:tcPr>
                        <w:tcW w:w="2091" w:type="dxa"/>
                      </w:tcPr>
                      <w:p>
                        <w:pPr>
                          <w:pStyle w:val="TableParagraph"/>
                          <w:ind w:right="997"/>
                          <w:rPr>
                            <w:sz w:val="14"/>
                          </w:rPr>
                        </w:pPr>
                        <w:r>
                          <w:rPr>
                            <w:color w:val="231F20"/>
                            <w:sz w:val="14"/>
                          </w:rPr>
                          <w:t>2</w:t>
                        </w:r>
                      </w:p>
                    </w:tc>
                    <w:tc>
                      <w:tcPr>
                        <w:tcW w:w="1304" w:type="dxa"/>
                      </w:tcPr>
                      <w:p>
                        <w:pPr>
                          <w:pStyle w:val="TableParagraph"/>
                          <w:ind w:right="568"/>
                          <w:rPr>
                            <w:sz w:val="14"/>
                          </w:rPr>
                        </w:pPr>
                        <w:r>
                          <w:rPr>
                            <w:color w:val="231F20"/>
                            <w:sz w:val="14"/>
                          </w:rPr>
                          <w:t>56</w:t>
                        </w:r>
                      </w:p>
                    </w:tc>
                  </w:tr>
                  <w:tr>
                    <w:trPr>
                      <w:trHeight w:val="800" w:hRule="atLeast"/>
                    </w:trPr>
                    <w:tc>
                      <w:tcPr>
                        <w:tcW w:w="1701" w:type="dxa"/>
                      </w:tcPr>
                      <w:p>
                        <w:pPr>
                          <w:pStyle w:val="TableParagraph"/>
                          <w:spacing w:line="297" w:lineRule="auto"/>
                          <w:ind w:left="57" w:right="80"/>
                          <w:jc w:val="left"/>
                          <w:rPr>
                            <w:sz w:val="14"/>
                          </w:rPr>
                        </w:pPr>
                        <w:r>
                          <w:rPr>
                            <w:color w:val="231F20"/>
                            <w:w w:val="66"/>
                            <w:sz w:val="14"/>
                          </w:rPr>
                          <w:t> </w:t>
                        </w:r>
                        <w:r>
                          <w:rPr>
                            <w:color w:val="231F20"/>
                            <w:sz w:val="14"/>
                          </w:rPr>
                          <w:t>– Локалитет Виминацијм у атару села Стари Костолац * (I век)</w:t>
                        </w:r>
                      </w:p>
                    </w:tc>
                    <w:tc>
                      <w:tcPr>
                        <w:tcW w:w="2091" w:type="dxa"/>
                      </w:tcPr>
                      <w:p>
                        <w:pPr>
                          <w:pStyle w:val="TableParagraph"/>
                          <w:spacing w:line="297" w:lineRule="auto"/>
                          <w:ind w:left="57" w:right="180"/>
                          <w:jc w:val="left"/>
                          <w:rPr>
                            <w:sz w:val="14"/>
                          </w:rPr>
                        </w:pPr>
                        <w:r>
                          <w:rPr>
                            <w:color w:val="231F20"/>
                            <w:sz w:val="14"/>
                          </w:rPr>
                          <w:t>Непокретно културно добро </w:t>
                        </w:r>
                        <w:r>
                          <w:rPr>
                            <w:color w:val="231F20"/>
                            <w:spacing w:val="-3"/>
                            <w:sz w:val="14"/>
                          </w:rPr>
                          <w:t>од </w:t>
                        </w:r>
                        <w:r>
                          <w:rPr>
                            <w:color w:val="231F20"/>
                            <w:sz w:val="14"/>
                          </w:rPr>
                          <w:t>изузетног значаја; Одлука Владе РС бр. 633-7797/2009</w:t>
                        </w:r>
                        <w:r>
                          <w:rPr>
                            <w:color w:val="231F20"/>
                            <w:spacing w:val="0"/>
                            <w:sz w:val="14"/>
                          </w:rPr>
                          <w:t> </w:t>
                        </w:r>
                        <w:r>
                          <w:rPr>
                            <w:color w:val="231F20"/>
                            <w:spacing w:val="-3"/>
                            <w:sz w:val="14"/>
                          </w:rPr>
                          <w:t>од</w:t>
                        </w:r>
                      </w:p>
                      <w:p>
                        <w:pPr>
                          <w:pStyle w:val="TableParagraph"/>
                          <w:spacing w:before="1"/>
                          <w:ind w:left="57"/>
                          <w:jc w:val="left"/>
                          <w:rPr>
                            <w:sz w:val="14"/>
                          </w:rPr>
                        </w:pPr>
                        <w:r>
                          <w:rPr>
                            <w:color w:val="231F20"/>
                            <w:sz w:val="14"/>
                          </w:rPr>
                          <w:t>03.12.2009.</w:t>
                        </w:r>
                      </w:p>
                    </w:tc>
                    <w:tc>
                      <w:tcPr>
                        <w:tcW w:w="1304" w:type="dxa"/>
                      </w:tcPr>
                      <w:p>
                        <w:pPr>
                          <w:pStyle w:val="TableParagraph"/>
                          <w:spacing w:before="0"/>
                          <w:jc w:val="left"/>
                          <w:rPr>
                            <w:sz w:val="16"/>
                          </w:rPr>
                        </w:pPr>
                      </w:p>
                    </w:tc>
                  </w:tr>
                  <w:tr>
                    <w:trPr>
                      <w:trHeight w:val="600" w:hRule="atLeast"/>
                    </w:trPr>
                    <w:tc>
                      <w:tcPr>
                        <w:tcW w:w="1701" w:type="dxa"/>
                      </w:tcPr>
                      <w:p>
                        <w:pPr>
                          <w:pStyle w:val="TableParagraph"/>
                          <w:ind w:left="57"/>
                          <w:jc w:val="left"/>
                          <w:rPr>
                            <w:sz w:val="14"/>
                          </w:rPr>
                        </w:pPr>
                        <w:r>
                          <w:rPr>
                            <w:color w:val="231F20"/>
                            <w:w w:val="66"/>
                            <w:sz w:val="14"/>
                          </w:rPr>
                          <w:t> </w:t>
                        </w:r>
                        <w:r>
                          <w:rPr>
                            <w:color w:val="231F20"/>
                            <w:sz w:val="14"/>
                          </w:rPr>
                          <w:t>– Црква св. Георгија*</w:t>
                        </w:r>
                      </w:p>
                    </w:tc>
                    <w:tc>
                      <w:tcPr>
                        <w:tcW w:w="2091" w:type="dxa"/>
                      </w:tcPr>
                      <w:p>
                        <w:pPr>
                          <w:pStyle w:val="TableParagraph"/>
                          <w:spacing w:line="297" w:lineRule="auto"/>
                          <w:ind w:left="57" w:right="750" w:hanging="1"/>
                          <w:jc w:val="left"/>
                          <w:rPr>
                            <w:sz w:val="14"/>
                          </w:rPr>
                        </w:pPr>
                        <w:r>
                          <w:rPr>
                            <w:color w:val="231F20"/>
                            <w:sz w:val="14"/>
                          </w:rPr>
                          <w:t>Споменик културе; Одлука Владе РС бр.</w:t>
                        </w:r>
                      </w:p>
                      <w:p>
                        <w:pPr>
                          <w:pStyle w:val="TableParagraph"/>
                          <w:spacing w:before="1"/>
                          <w:ind w:left="57"/>
                          <w:jc w:val="left"/>
                          <w:rPr>
                            <w:sz w:val="14"/>
                          </w:rPr>
                        </w:pPr>
                        <w:r>
                          <w:rPr>
                            <w:color w:val="231F20"/>
                            <w:sz w:val="14"/>
                          </w:rPr>
                          <w:t>633-4709/99 од 17.02.2000.</w:t>
                        </w:r>
                      </w:p>
                    </w:tc>
                    <w:tc>
                      <w:tcPr>
                        <w:tcW w:w="1304" w:type="dxa"/>
                      </w:tcPr>
                      <w:p>
                        <w:pPr>
                          <w:pStyle w:val="TableParagraph"/>
                          <w:spacing w:before="0"/>
                          <w:jc w:val="left"/>
                          <w:rPr>
                            <w:sz w:val="16"/>
                          </w:rPr>
                        </w:pPr>
                      </w:p>
                    </w:tc>
                  </w:tr>
                  <w:tr>
                    <w:trPr>
                      <w:trHeight w:val="200" w:hRule="atLeast"/>
                    </w:trPr>
                    <w:tc>
                      <w:tcPr>
                        <w:tcW w:w="1701" w:type="dxa"/>
                      </w:tcPr>
                      <w:p>
                        <w:pPr>
                          <w:pStyle w:val="TableParagraph"/>
                          <w:ind w:left="58"/>
                          <w:jc w:val="left"/>
                          <w:rPr>
                            <w:sz w:val="14"/>
                          </w:rPr>
                        </w:pPr>
                        <w:r>
                          <w:rPr>
                            <w:color w:val="231F20"/>
                            <w:sz w:val="14"/>
                          </w:rPr>
                          <w:t>Лучица</w:t>
                        </w:r>
                      </w:p>
                    </w:tc>
                    <w:tc>
                      <w:tcPr>
                        <w:tcW w:w="2091" w:type="dxa"/>
                      </w:tcPr>
                      <w:p>
                        <w:pPr>
                          <w:pStyle w:val="TableParagraph"/>
                          <w:spacing w:before="0"/>
                          <w:jc w:val="left"/>
                          <w:rPr>
                            <w:sz w:val="12"/>
                          </w:rPr>
                        </w:pPr>
                      </w:p>
                    </w:tc>
                    <w:tc>
                      <w:tcPr>
                        <w:tcW w:w="1304" w:type="dxa"/>
                      </w:tcPr>
                      <w:p>
                        <w:pPr>
                          <w:pStyle w:val="TableParagraph"/>
                          <w:ind w:right="568"/>
                          <w:rPr>
                            <w:sz w:val="14"/>
                          </w:rPr>
                        </w:pPr>
                        <w:r>
                          <w:rPr>
                            <w:color w:val="231F20"/>
                            <w:sz w:val="14"/>
                          </w:rPr>
                          <w:t>32</w:t>
                        </w:r>
                      </w:p>
                    </w:tc>
                  </w:tr>
                  <w:tr>
                    <w:trPr>
                      <w:trHeight w:val="200" w:hRule="atLeast"/>
                    </w:trPr>
                    <w:tc>
                      <w:tcPr>
                        <w:tcW w:w="1701" w:type="dxa"/>
                      </w:tcPr>
                      <w:p>
                        <w:pPr>
                          <w:pStyle w:val="TableParagraph"/>
                          <w:ind w:left="58"/>
                          <w:jc w:val="left"/>
                          <w:rPr>
                            <w:sz w:val="14"/>
                          </w:rPr>
                        </w:pPr>
                        <w:r>
                          <w:rPr>
                            <w:color w:val="231F20"/>
                            <w:sz w:val="14"/>
                          </w:rPr>
                          <w:t>Маљуревац</w:t>
                        </w:r>
                      </w:p>
                    </w:tc>
                    <w:tc>
                      <w:tcPr>
                        <w:tcW w:w="2091" w:type="dxa"/>
                      </w:tcPr>
                      <w:p>
                        <w:pPr>
                          <w:pStyle w:val="TableParagraph"/>
                          <w:spacing w:before="0"/>
                          <w:jc w:val="left"/>
                          <w:rPr>
                            <w:sz w:val="12"/>
                          </w:rPr>
                        </w:pPr>
                      </w:p>
                    </w:tc>
                    <w:tc>
                      <w:tcPr>
                        <w:tcW w:w="1304" w:type="dxa"/>
                      </w:tcPr>
                      <w:p>
                        <w:pPr>
                          <w:pStyle w:val="TableParagraph"/>
                          <w:ind w:right="603"/>
                          <w:rPr>
                            <w:sz w:val="14"/>
                          </w:rPr>
                        </w:pPr>
                        <w:r>
                          <w:rPr>
                            <w:color w:val="231F20"/>
                            <w:sz w:val="14"/>
                          </w:rPr>
                          <w:t>8</w:t>
                        </w:r>
                      </w:p>
                    </w:tc>
                  </w:tr>
                  <w:tr>
                    <w:trPr>
                      <w:trHeight w:val="200" w:hRule="atLeast"/>
                    </w:trPr>
                    <w:tc>
                      <w:tcPr>
                        <w:tcW w:w="1701" w:type="dxa"/>
                      </w:tcPr>
                      <w:p>
                        <w:pPr>
                          <w:pStyle w:val="TableParagraph"/>
                          <w:ind w:left="58"/>
                          <w:jc w:val="left"/>
                          <w:rPr>
                            <w:sz w:val="14"/>
                          </w:rPr>
                        </w:pPr>
                        <w:r>
                          <w:rPr>
                            <w:color w:val="231F20"/>
                            <w:sz w:val="14"/>
                          </w:rPr>
                          <w:t>Набрђе</w:t>
                        </w:r>
                      </w:p>
                    </w:tc>
                    <w:tc>
                      <w:tcPr>
                        <w:tcW w:w="2091" w:type="dxa"/>
                      </w:tcPr>
                      <w:p>
                        <w:pPr>
                          <w:pStyle w:val="TableParagraph"/>
                          <w:spacing w:before="0"/>
                          <w:jc w:val="left"/>
                          <w:rPr>
                            <w:sz w:val="12"/>
                          </w:rPr>
                        </w:pPr>
                      </w:p>
                    </w:tc>
                    <w:tc>
                      <w:tcPr>
                        <w:tcW w:w="1304" w:type="dxa"/>
                      </w:tcPr>
                      <w:p>
                        <w:pPr>
                          <w:pStyle w:val="TableParagraph"/>
                          <w:ind w:right="568"/>
                          <w:rPr>
                            <w:sz w:val="14"/>
                          </w:rPr>
                        </w:pPr>
                        <w:r>
                          <w:rPr>
                            <w:color w:val="231F20"/>
                            <w:sz w:val="14"/>
                          </w:rPr>
                          <w:t>12</w:t>
                        </w:r>
                      </w:p>
                    </w:tc>
                  </w:tr>
                  <w:tr>
                    <w:trPr>
                      <w:trHeight w:val="200" w:hRule="atLeast"/>
                    </w:trPr>
                    <w:tc>
                      <w:tcPr>
                        <w:tcW w:w="1701" w:type="dxa"/>
                      </w:tcPr>
                      <w:p>
                        <w:pPr>
                          <w:pStyle w:val="TableParagraph"/>
                          <w:ind w:left="58"/>
                          <w:jc w:val="left"/>
                          <w:rPr>
                            <w:sz w:val="14"/>
                          </w:rPr>
                        </w:pPr>
                        <w:r>
                          <w:rPr>
                            <w:color w:val="231F20"/>
                            <w:sz w:val="14"/>
                          </w:rPr>
                          <w:t>Острово</w:t>
                        </w:r>
                      </w:p>
                    </w:tc>
                    <w:tc>
                      <w:tcPr>
                        <w:tcW w:w="2091" w:type="dxa"/>
                      </w:tcPr>
                      <w:p>
                        <w:pPr>
                          <w:pStyle w:val="TableParagraph"/>
                          <w:spacing w:before="0"/>
                          <w:jc w:val="left"/>
                          <w:rPr>
                            <w:sz w:val="12"/>
                          </w:rPr>
                        </w:pPr>
                      </w:p>
                    </w:tc>
                    <w:tc>
                      <w:tcPr>
                        <w:tcW w:w="1304" w:type="dxa"/>
                      </w:tcPr>
                      <w:p>
                        <w:pPr>
                          <w:pStyle w:val="TableParagraph"/>
                          <w:ind w:right="568"/>
                          <w:rPr>
                            <w:sz w:val="14"/>
                          </w:rPr>
                        </w:pPr>
                        <w:r>
                          <w:rPr>
                            <w:color w:val="231F20"/>
                            <w:sz w:val="14"/>
                          </w:rPr>
                          <w:t>17</w:t>
                        </w:r>
                      </w:p>
                    </w:tc>
                  </w:tr>
                  <w:tr>
                    <w:trPr>
                      <w:trHeight w:val="200" w:hRule="atLeast"/>
                    </w:trPr>
                    <w:tc>
                      <w:tcPr>
                        <w:tcW w:w="1701" w:type="dxa"/>
                      </w:tcPr>
                      <w:p>
                        <w:pPr>
                          <w:pStyle w:val="TableParagraph"/>
                          <w:ind w:left="58"/>
                          <w:jc w:val="left"/>
                          <w:rPr>
                            <w:sz w:val="14"/>
                          </w:rPr>
                        </w:pPr>
                        <w:r>
                          <w:rPr>
                            <w:color w:val="231F20"/>
                            <w:sz w:val="14"/>
                          </w:rPr>
                          <w:t>Петка</w:t>
                        </w:r>
                      </w:p>
                    </w:tc>
                    <w:tc>
                      <w:tcPr>
                        <w:tcW w:w="2091" w:type="dxa"/>
                      </w:tcPr>
                      <w:p>
                        <w:pPr>
                          <w:pStyle w:val="TableParagraph"/>
                          <w:spacing w:before="0"/>
                          <w:jc w:val="left"/>
                          <w:rPr>
                            <w:sz w:val="12"/>
                          </w:rPr>
                        </w:pPr>
                      </w:p>
                    </w:tc>
                    <w:tc>
                      <w:tcPr>
                        <w:tcW w:w="1304" w:type="dxa"/>
                      </w:tcPr>
                      <w:p>
                        <w:pPr>
                          <w:pStyle w:val="TableParagraph"/>
                          <w:ind w:right="568"/>
                          <w:rPr>
                            <w:sz w:val="14"/>
                          </w:rPr>
                        </w:pPr>
                        <w:r>
                          <w:rPr>
                            <w:color w:val="231F20"/>
                            <w:sz w:val="14"/>
                          </w:rPr>
                          <w:t>20</w:t>
                        </w:r>
                      </w:p>
                    </w:tc>
                  </w:tr>
                  <w:tr>
                    <w:trPr>
                      <w:trHeight w:val="200" w:hRule="atLeast"/>
                    </w:trPr>
                    <w:tc>
                      <w:tcPr>
                        <w:tcW w:w="1701" w:type="dxa"/>
                      </w:tcPr>
                      <w:p>
                        <w:pPr>
                          <w:pStyle w:val="TableParagraph"/>
                          <w:ind w:left="58"/>
                          <w:jc w:val="left"/>
                          <w:rPr>
                            <w:sz w:val="14"/>
                          </w:rPr>
                        </w:pPr>
                        <w:r>
                          <w:rPr>
                            <w:color w:val="231F20"/>
                            <w:sz w:val="14"/>
                          </w:rPr>
                          <w:t>Пожаревац (укупно)</w:t>
                        </w:r>
                      </w:p>
                    </w:tc>
                    <w:tc>
                      <w:tcPr>
                        <w:tcW w:w="2091" w:type="dxa"/>
                      </w:tcPr>
                      <w:p>
                        <w:pPr>
                          <w:pStyle w:val="TableParagraph"/>
                          <w:ind w:right="996"/>
                          <w:rPr>
                            <w:sz w:val="14"/>
                          </w:rPr>
                        </w:pPr>
                        <w:r>
                          <w:rPr>
                            <w:color w:val="231F20"/>
                            <w:sz w:val="14"/>
                          </w:rPr>
                          <w:t>8</w:t>
                        </w:r>
                      </w:p>
                    </w:tc>
                    <w:tc>
                      <w:tcPr>
                        <w:tcW w:w="1304" w:type="dxa"/>
                      </w:tcPr>
                      <w:p>
                        <w:pPr>
                          <w:pStyle w:val="TableParagraph"/>
                          <w:ind w:right="533"/>
                          <w:rPr>
                            <w:sz w:val="14"/>
                          </w:rPr>
                        </w:pPr>
                        <w:r>
                          <w:rPr>
                            <w:color w:val="231F20"/>
                            <w:sz w:val="14"/>
                          </w:rPr>
                          <w:t>287</w:t>
                        </w:r>
                      </w:p>
                    </w:tc>
                  </w:tr>
                  <w:tr>
                    <w:trPr>
                      <w:trHeight w:val="800" w:hRule="atLeast"/>
                    </w:trPr>
                    <w:tc>
                      <w:tcPr>
                        <w:tcW w:w="1701" w:type="dxa"/>
                      </w:tcPr>
                      <w:p>
                        <w:pPr>
                          <w:pStyle w:val="TableParagraph"/>
                          <w:spacing w:line="297" w:lineRule="auto"/>
                          <w:ind w:left="58" w:right="77"/>
                          <w:jc w:val="left"/>
                          <w:rPr>
                            <w:sz w:val="14"/>
                          </w:rPr>
                        </w:pPr>
                        <w:r>
                          <w:rPr>
                            <w:color w:val="231F20"/>
                            <w:w w:val="66"/>
                            <w:sz w:val="14"/>
                          </w:rPr>
                          <w:t> </w:t>
                        </w:r>
                        <w:r>
                          <w:rPr>
                            <w:color w:val="231F20"/>
                            <w:sz w:val="14"/>
                          </w:rPr>
                          <w:t>– Згрaдa Окружног нaчeлствa и Градски парк ( (1888-89.)</w:t>
                        </w:r>
                      </w:p>
                    </w:tc>
                    <w:tc>
                      <w:tcPr>
                        <w:tcW w:w="2091" w:type="dxa"/>
                      </w:tcPr>
                      <w:p>
                        <w:pPr>
                          <w:pStyle w:val="TableParagraph"/>
                          <w:spacing w:line="297" w:lineRule="auto"/>
                          <w:ind w:left="58"/>
                          <w:jc w:val="left"/>
                          <w:rPr>
                            <w:sz w:val="14"/>
                          </w:rPr>
                        </w:pPr>
                        <w:r>
                          <w:rPr>
                            <w:color w:val="231F20"/>
                            <w:sz w:val="14"/>
                          </w:rPr>
                          <w:t>Споменик културе од великог значаја</w:t>
                        </w:r>
                      </w:p>
                      <w:p>
                        <w:pPr>
                          <w:pStyle w:val="TableParagraph"/>
                          <w:spacing w:before="1"/>
                          <w:ind w:left="58"/>
                          <w:jc w:val="left"/>
                          <w:rPr>
                            <w:sz w:val="14"/>
                          </w:rPr>
                        </w:pPr>
                        <w:r>
                          <w:rPr>
                            <w:color w:val="231F20"/>
                            <w:sz w:val="14"/>
                          </w:rPr>
                          <w:t>Одлука СО Пожаревац бр.</w:t>
                        </w:r>
                      </w:p>
                      <w:p>
                        <w:pPr>
                          <w:pStyle w:val="TableParagraph"/>
                          <w:spacing w:before="39"/>
                          <w:ind w:left="58"/>
                          <w:jc w:val="left"/>
                          <w:rPr>
                            <w:sz w:val="14"/>
                          </w:rPr>
                        </w:pPr>
                        <w:r>
                          <w:rPr>
                            <w:color w:val="231F20"/>
                            <w:sz w:val="14"/>
                          </w:rPr>
                          <w:t>633-16/80-01 од 30.12.1980.</w:t>
                        </w:r>
                      </w:p>
                    </w:tc>
                    <w:tc>
                      <w:tcPr>
                        <w:tcW w:w="1304" w:type="dxa"/>
                      </w:tcPr>
                      <w:p>
                        <w:pPr>
                          <w:pStyle w:val="TableParagraph"/>
                          <w:spacing w:before="0"/>
                          <w:jc w:val="left"/>
                          <w:rPr>
                            <w:sz w:val="16"/>
                          </w:rPr>
                        </w:pPr>
                      </w:p>
                    </w:tc>
                  </w:tr>
                  <w:tr>
                    <w:trPr>
                      <w:trHeight w:val="1000" w:hRule="atLeast"/>
                    </w:trPr>
                    <w:tc>
                      <w:tcPr>
                        <w:tcW w:w="1701" w:type="dxa"/>
                      </w:tcPr>
                      <w:p>
                        <w:pPr>
                          <w:pStyle w:val="TableParagraph"/>
                          <w:ind w:left="58"/>
                          <w:jc w:val="left"/>
                          <w:rPr>
                            <w:sz w:val="14"/>
                          </w:rPr>
                        </w:pPr>
                        <w:r>
                          <w:rPr>
                            <w:color w:val="231F20"/>
                            <w:w w:val="66"/>
                            <w:sz w:val="14"/>
                          </w:rPr>
                          <w:t> </w:t>
                        </w:r>
                        <w:r>
                          <w:rPr>
                            <w:color w:val="231F20"/>
                            <w:sz w:val="14"/>
                          </w:rPr>
                          <w:t>– Спомeн пaрк</w:t>
                        </w:r>
                      </w:p>
                      <w:p>
                        <w:pPr>
                          <w:pStyle w:val="TableParagraph"/>
                          <w:spacing w:before="39"/>
                          <w:ind w:left="58"/>
                          <w:jc w:val="left"/>
                          <w:rPr>
                            <w:sz w:val="14"/>
                          </w:rPr>
                        </w:pPr>
                        <w:r>
                          <w:rPr>
                            <w:color w:val="231F20"/>
                            <w:sz w:val="14"/>
                          </w:rPr>
                          <w:t>„Чaчaлицa” ** (1942)</w:t>
                        </w:r>
                      </w:p>
                    </w:tc>
                    <w:tc>
                      <w:tcPr>
                        <w:tcW w:w="2091" w:type="dxa"/>
                      </w:tcPr>
                      <w:p>
                        <w:pPr>
                          <w:pStyle w:val="TableParagraph"/>
                          <w:spacing w:line="297" w:lineRule="auto"/>
                          <w:ind w:left="58"/>
                          <w:jc w:val="left"/>
                          <w:rPr>
                            <w:sz w:val="14"/>
                          </w:rPr>
                        </w:pPr>
                        <w:r>
                          <w:rPr>
                            <w:color w:val="231F20"/>
                            <w:sz w:val="14"/>
                          </w:rPr>
                          <w:t>Знаменито место од великог значаја;</w:t>
                        </w:r>
                      </w:p>
                      <w:p>
                        <w:pPr>
                          <w:pStyle w:val="TableParagraph"/>
                          <w:spacing w:line="297" w:lineRule="auto" w:before="1"/>
                          <w:ind w:left="58" w:right="208"/>
                          <w:jc w:val="left"/>
                          <w:rPr>
                            <w:sz w:val="14"/>
                          </w:rPr>
                        </w:pPr>
                        <w:r>
                          <w:rPr>
                            <w:color w:val="231F20"/>
                            <w:sz w:val="14"/>
                          </w:rPr>
                          <w:t>Решење Републичког завода за заштиту споменика</w:t>
                        </w:r>
                        <w:r>
                          <w:rPr>
                            <w:color w:val="231F20"/>
                            <w:spacing w:val="-25"/>
                            <w:sz w:val="14"/>
                          </w:rPr>
                          <w:t> </w:t>
                        </w:r>
                        <w:r>
                          <w:rPr>
                            <w:color w:val="231F20"/>
                            <w:sz w:val="14"/>
                          </w:rPr>
                          <w:t>културе</w:t>
                        </w:r>
                      </w:p>
                      <w:p>
                        <w:pPr>
                          <w:pStyle w:val="TableParagraph"/>
                          <w:spacing w:before="1"/>
                          <w:ind w:left="58"/>
                          <w:jc w:val="left"/>
                          <w:rPr>
                            <w:sz w:val="14"/>
                          </w:rPr>
                        </w:pPr>
                        <w:r>
                          <w:rPr>
                            <w:color w:val="231F20"/>
                            <w:sz w:val="14"/>
                          </w:rPr>
                          <w:t>Београд бр.949/2 од 27.11.1973.</w:t>
                        </w:r>
                      </w:p>
                    </w:tc>
                    <w:tc>
                      <w:tcPr>
                        <w:tcW w:w="1304" w:type="dxa"/>
                      </w:tcPr>
                      <w:p>
                        <w:pPr>
                          <w:pStyle w:val="TableParagraph"/>
                          <w:spacing w:before="0"/>
                          <w:jc w:val="left"/>
                          <w:rPr>
                            <w:sz w:val="16"/>
                          </w:rPr>
                        </w:pPr>
                      </w:p>
                    </w:tc>
                  </w:tr>
                  <w:tr>
                    <w:trPr>
                      <w:trHeight w:val="600" w:hRule="atLeast"/>
                    </w:trPr>
                    <w:tc>
                      <w:tcPr>
                        <w:tcW w:w="1701" w:type="dxa"/>
                      </w:tcPr>
                      <w:p>
                        <w:pPr>
                          <w:pStyle w:val="TableParagraph"/>
                          <w:spacing w:line="297" w:lineRule="auto"/>
                          <w:ind w:left="58"/>
                          <w:jc w:val="left"/>
                          <w:rPr>
                            <w:sz w:val="14"/>
                          </w:rPr>
                        </w:pPr>
                        <w:r>
                          <w:rPr>
                            <w:color w:val="231F20"/>
                            <w:w w:val="66"/>
                            <w:sz w:val="14"/>
                          </w:rPr>
                          <w:t> </w:t>
                        </w:r>
                        <w:r>
                          <w:rPr>
                            <w:color w:val="231F20"/>
                            <w:sz w:val="14"/>
                          </w:rPr>
                          <w:t>– Црквa Св. Николe * (1890)</w:t>
                        </w:r>
                      </w:p>
                    </w:tc>
                    <w:tc>
                      <w:tcPr>
                        <w:tcW w:w="2091" w:type="dxa"/>
                      </w:tcPr>
                      <w:p>
                        <w:pPr>
                          <w:pStyle w:val="TableParagraph"/>
                          <w:ind w:left="58"/>
                          <w:jc w:val="left"/>
                          <w:rPr>
                            <w:sz w:val="14"/>
                          </w:rPr>
                        </w:pPr>
                        <w:r>
                          <w:rPr>
                            <w:color w:val="231F20"/>
                            <w:sz w:val="14"/>
                          </w:rPr>
                          <w:t>Споменик културе</w:t>
                        </w:r>
                      </w:p>
                      <w:p>
                        <w:pPr>
                          <w:pStyle w:val="TableParagraph"/>
                          <w:spacing w:line="200" w:lineRule="atLeast" w:before="0"/>
                          <w:ind w:left="58" w:right="33"/>
                          <w:jc w:val="left"/>
                          <w:rPr>
                            <w:sz w:val="14"/>
                          </w:rPr>
                        </w:pPr>
                        <w:r>
                          <w:rPr>
                            <w:color w:val="231F20"/>
                            <w:sz w:val="14"/>
                          </w:rPr>
                          <w:t>Одлука Владе РС бр.633-4732/99 од 17.02.2000.</w:t>
                        </w:r>
                      </w:p>
                    </w:tc>
                    <w:tc>
                      <w:tcPr>
                        <w:tcW w:w="1304" w:type="dxa"/>
                      </w:tcPr>
                      <w:p>
                        <w:pPr>
                          <w:pStyle w:val="TableParagraph"/>
                          <w:spacing w:before="0"/>
                          <w:jc w:val="left"/>
                          <w:rPr>
                            <w:sz w:val="16"/>
                          </w:rPr>
                        </w:pPr>
                      </w:p>
                    </w:tc>
                  </w:tr>
                  <w:tr>
                    <w:trPr>
                      <w:trHeight w:val="600" w:hRule="atLeast"/>
                    </w:trPr>
                    <w:tc>
                      <w:tcPr>
                        <w:tcW w:w="1701" w:type="dxa"/>
                      </w:tcPr>
                      <w:p>
                        <w:pPr>
                          <w:pStyle w:val="TableParagraph"/>
                          <w:spacing w:line="297" w:lineRule="auto"/>
                          <w:ind w:left="58" w:right="273"/>
                          <w:jc w:val="left"/>
                          <w:rPr>
                            <w:sz w:val="14"/>
                          </w:rPr>
                        </w:pPr>
                        <w:r>
                          <w:rPr>
                            <w:color w:val="231F20"/>
                            <w:w w:val="66"/>
                            <w:sz w:val="14"/>
                          </w:rPr>
                          <w:t> </w:t>
                        </w:r>
                        <w:r>
                          <w:rPr>
                            <w:color w:val="231F20"/>
                            <w:sz w:val="14"/>
                          </w:rPr>
                          <w:t>– Сaборнa црквa св. Aрхaнђeлa * (1818-23)</w:t>
                        </w:r>
                      </w:p>
                    </w:tc>
                    <w:tc>
                      <w:tcPr>
                        <w:tcW w:w="2091" w:type="dxa"/>
                      </w:tcPr>
                      <w:p>
                        <w:pPr>
                          <w:pStyle w:val="TableParagraph"/>
                          <w:ind w:left="58"/>
                          <w:jc w:val="left"/>
                          <w:rPr>
                            <w:sz w:val="14"/>
                          </w:rPr>
                        </w:pPr>
                        <w:r>
                          <w:rPr>
                            <w:color w:val="231F20"/>
                            <w:sz w:val="14"/>
                          </w:rPr>
                          <w:t>Споменик културе</w:t>
                        </w:r>
                      </w:p>
                      <w:p>
                        <w:pPr>
                          <w:pStyle w:val="TableParagraph"/>
                          <w:spacing w:line="200" w:lineRule="atLeast" w:before="0"/>
                          <w:ind w:left="58" w:right="146" w:hanging="1"/>
                          <w:jc w:val="left"/>
                          <w:rPr>
                            <w:sz w:val="14"/>
                          </w:rPr>
                        </w:pPr>
                        <w:r>
                          <w:rPr>
                            <w:color w:val="231F20"/>
                            <w:sz w:val="14"/>
                          </w:rPr>
                          <w:t>Одлука СО Пожаревац бр.633- 25/90-01 од 16.03.1990.</w:t>
                        </w:r>
                      </w:p>
                    </w:tc>
                    <w:tc>
                      <w:tcPr>
                        <w:tcW w:w="1304" w:type="dxa"/>
                      </w:tcPr>
                      <w:p>
                        <w:pPr>
                          <w:pStyle w:val="TableParagraph"/>
                          <w:spacing w:before="0"/>
                          <w:jc w:val="left"/>
                          <w:rPr>
                            <w:sz w:val="16"/>
                          </w:rPr>
                        </w:pPr>
                      </w:p>
                    </w:tc>
                  </w:tr>
                  <w:tr>
                    <w:trPr>
                      <w:trHeight w:val="600" w:hRule="atLeast"/>
                    </w:trPr>
                    <w:tc>
                      <w:tcPr>
                        <w:tcW w:w="1701" w:type="dxa"/>
                      </w:tcPr>
                      <w:p>
                        <w:pPr>
                          <w:pStyle w:val="TableParagraph"/>
                          <w:spacing w:line="297" w:lineRule="auto"/>
                          <w:ind w:left="58" w:right="60"/>
                          <w:jc w:val="left"/>
                          <w:rPr>
                            <w:sz w:val="14"/>
                          </w:rPr>
                        </w:pPr>
                        <w:r>
                          <w:rPr>
                            <w:color w:val="231F20"/>
                            <w:w w:val="66"/>
                            <w:sz w:val="14"/>
                          </w:rPr>
                          <w:t> </w:t>
                        </w:r>
                        <w:r>
                          <w:rPr>
                            <w:color w:val="231F20"/>
                            <w:sz w:val="14"/>
                          </w:rPr>
                          <w:t>– Стари Eпископски двор ( (Крај IXX века)</w:t>
                        </w:r>
                      </w:p>
                    </w:tc>
                    <w:tc>
                      <w:tcPr>
                        <w:tcW w:w="2091" w:type="dxa"/>
                      </w:tcPr>
                      <w:p>
                        <w:pPr>
                          <w:pStyle w:val="TableParagraph"/>
                          <w:ind w:left="58"/>
                          <w:jc w:val="left"/>
                          <w:rPr>
                            <w:sz w:val="14"/>
                          </w:rPr>
                        </w:pPr>
                        <w:r>
                          <w:rPr>
                            <w:color w:val="231F20"/>
                            <w:sz w:val="14"/>
                          </w:rPr>
                          <w:t>Споменик културе;</w:t>
                        </w:r>
                      </w:p>
                      <w:p>
                        <w:pPr>
                          <w:pStyle w:val="TableParagraph"/>
                          <w:spacing w:line="200" w:lineRule="atLeast" w:before="1"/>
                          <w:ind w:left="58" w:hanging="1"/>
                          <w:jc w:val="left"/>
                          <w:rPr>
                            <w:sz w:val="14"/>
                          </w:rPr>
                        </w:pPr>
                        <w:r>
                          <w:rPr>
                            <w:color w:val="231F20"/>
                            <w:sz w:val="14"/>
                          </w:rPr>
                          <w:t>Одлука СО Пожаревац бр.02-06- 68/1 од 20.11.1991.</w:t>
                        </w:r>
                      </w:p>
                    </w:tc>
                    <w:tc>
                      <w:tcPr>
                        <w:tcW w:w="1304" w:type="dxa"/>
                      </w:tcPr>
                      <w:p>
                        <w:pPr>
                          <w:pStyle w:val="TableParagraph"/>
                          <w:spacing w:before="0"/>
                          <w:jc w:val="left"/>
                          <w:rPr>
                            <w:sz w:val="16"/>
                          </w:rPr>
                        </w:pPr>
                      </w:p>
                    </w:tc>
                  </w:tr>
                  <w:tr>
                    <w:trPr>
                      <w:trHeight w:val="800" w:hRule="atLeast"/>
                    </w:trPr>
                    <w:tc>
                      <w:tcPr>
                        <w:tcW w:w="1701" w:type="dxa"/>
                      </w:tcPr>
                      <w:p>
                        <w:pPr>
                          <w:pStyle w:val="TableParagraph"/>
                          <w:spacing w:line="297" w:lineRule="auto" w:before="19"/>
                          <w:ind w:left="59" w:right="273"/>
                          <w:jc w:val="left"/>
                          <w:rPr>
                            <w:sz w:val="14"/>
                          </w:rPr>
                        </w:pPr>
                        <w:r>
                          <w:rPr>
                            <w:color w:val="231F20"/>
                            <w:w w:val="66"/>
                            <w:sz w:val="14"/>
                          </w:rPr>
                          <w:t> </w:t>
                        </w:r>
                        <w:r>
                          <w:rPr>
                            <w:color w:val="231F20"/>
                            <w:sz w:val="14"/>
                          </w:rPr>
                          <w:t>– Двe стaрe згрaдe у Нeмaњиноj бр.31 * (Прва пол. IXX века)</w:t>
                        </w:r>
                      </w:p>
                    </w:tc>
                    <w:tc>
                      <w:tcPr>
                        <w:tcW w:w="2091" w:type="dxa"/>
                      </w:tcPr>
                      <w:p>
                        <w:pPr>
                          <w:pStyle w:val="TableParagraph"/>
                          <w:spacing w:before="19"/>
                          <w:ind w:left="58"/>
                          <w:jc w:val="left"/>
                          <w:rPr>
                            <w:sz w:val="14"/>
                          </w:rPr>
                        </w:pPr>
                        <w:r>
                          <w:rPr>
                            <w:color w:val="231F20"/>
                            <w:sz w:val="14"/>
                          </w:rPr>
                          <w:t>Споменик културе</w:t>
                        </w:r>
                      </w:p>
                      <w:p>
                        <w:pPr>
                          <w:pStyle w:val="TableParagraph"/>
                          <w:spacing w:line="200" w:lineRule="atLeast" w:before="0"/>
                          <w:ind w:left="59" w:hanging="1"/>
                          <w:jc w:val="left"/>
                          <w:rPr>
                            <w:sz w:val="14"/>
                          </w:rPr>
                        </w:pPr>
                        <w:r>
                          <w:rPr>
                            <w:color w:val="231F20"/>
                            <w:sz w:val="14"/>
                          </w:rPr>
                          <w:t>Решење Републичког завода за заштиту споменика културе Бео- град бр.47/1 од 13.01.1969.</w:t>
                        </w:r>
                      </w:p>
                    </w:tc>
                    <w:tc>
                      <w:tcPr>
                        <w:tcW w:w="1304" w:type="dxa"/>
                      </w:tcPr>
                      <w:p>
                        <w:pPr>
                          <w:pStyle w:val="TableParagraph"/>
                          <w:spacing w:before="0"/>
                          <w:jc w:val="left"/>
                          <w:rPr>
                            <w:sz w:val="16"/>
                          </w:rPr>
                        </w:pPr>
                      </w:p>
                    </w:tc>
                  </w:tr>
                  <w:tr>
                    <w:trPr>
                      <w:trHeight w:val="800" w:hRule="atLeast"/>
                    </w:trPr>
                    <w:tc>
                      <w:tcPr>
                        <w:tcW w:w="1701" w:type="dxa"/>
                      </w:tcPr>
                      <w:p>
                        <w:pPr>
                          <w:pStyle w:val="TableParagraph"/>
                          <w:spacing w:line="297" w:lineRule="auto" w:before="19"/>
                          <w:ind w:left="59"/>
                          <w:jc w:val="left"/>
                          <w:rPr>
                            <w:sz w:val="14"/>
                          </w:rPr>
                        </w:pPr>
                        <w:r>
                          <w:rPr>
                            <w:color w:val="231F20"/>
                            <w:w w:val="66"/>
                            <w:sz w:val="14"/>
                          </w:rPr>
                          <w:t> </w:t>
                        </w:r>
                        <w:r>
                          <w:rPr>
                            <w:color w:val="231F20"/>
                            <w:sz w:val="14"/>
                          </w:rPr>
                          <w:t>– Стaрa згрaдa у Нeмaњиноj бр.46 * (Почетак IXX века)</w:t>
                        </w:r>
                      </w:p>
                    </w:tc>
                    <w:tc>
                      <w:tcPr>
                        <w:tcW w:w="2091" w:type="dxa"/>
                      </w:tcPr>
                      <w:p>
                        <w:pPr>
                          <w:pStyle w:val="TableParagraph"/>
                          <w:spacing w:before="19"/>
                          <w:ind w:left="59"/>
                          <w:jc w:val="left"/>
                          <w:rPr>
                            <w:sz w:val="14"/>
                          </w:rPr>
                        </w:pPr>
                        <w:r>
                          <w:rPr>
                            <w:color w:val="231F20"/>
                            <w:sz w:val="14"/>
                          </w:rPr>
                          <w:t>Споменик културе</w:t>
                        </w:r>
                      </w:p>
                      <w:p>
                        <w:pPr>
                          <w:pStyle w:val="TableParagraph"/>
                          <w:spacing w:line="200" w:lineRule="atLeast" w:before="0"/>
                          <w:ind w:left="59" w:hanging="1"/>
                          <w:jc w:val="left"/>
                          <w:rPr>
                            <w:sz w:val="14"/>
                          </w:rPr>
                        </w:pPr>
                        <w:r>
                          <w:rPr>
                            <w:color w:val="231F20"/>
                            <w:sz w:val="14"/>
                          </w:rPr>
                          <w:t>Решење Републичког завода за заштиту споменика културе Бео- град бр.46/1 од 13.01.1969.</w:t>
                        </w:r>
                      </w:p>
                    </w:tc>
                    <w:tc>
                      <w:tcPr>
                        <w:tcW w:w="1304" w:type="dxa"/>
                      </w:tcPr>
                      <w:p>
                        <w:pPr>
                          <w:pStyle w:val="TableParagraph"/>
                          <w:spacing w:before="0"/>
                          <w:jc w:val="left"/>
                          <w:rPr>
                            <w:sz w:val="16"/>
                          </w:rPr>
                        </w:pPr>
                      </w:p>
                    </w:tc>
                  </w:tr>
                  <w:tr>
                    <w:trPr>
                      <w:trHeight w:val="600" w:hRule="atLeast"/>
                    </w:trPr>
                    <w:tc>
                      <w:tcPr>
                        <w:tcW w:w="1701" w:type="dxa"/>
                      </w:tcPr>
                      <w:p>
                        <w:pPr>
                          <w:pStyle w:val="TableParagraph"/>
                          <w:spacing w:line="297" w:lineRule="auto" w:before="19"/>
                          <w:ind w:left="59" w:right="64"/>
                          <w:jc w:val="left"/>
                          <w:rPr>
                            <w:sz w:val="14"/>
                          </w:rPr>
                        </w:pPr>
                        <w:r>
                          <w:rPr>
                            <w:color w:val="231F20"/>
                            <w:w w:val="66"/>
                            <w:sz w:val="14"/>
                          </w:rPr>
                          <w:t> </w:t>
                        </w:r>
                        <w:r>
                          <w:rPr>
                            <w:color w:val="231F20"/>
                            <w:sz w:val="14"/>
                          </w:rPr>
                          <w:t>– Спомeник српском воjнику 1912-18. * (1923.)</w:t>
                        </w:r>
                      </w:p>
                    </w:tc>
                    <w:tc>
                      <w:tcPr>
                        <w:tcW w:w="2091" w:type="dxa"/>
                      </w:tcPr>
                      <w:p>
                        <w:pPr>
                          <w:pStyle w:val="TableParagraph"/>
                          <w:spacing w:before="19"/>
                          <w:ind w:left="59"/>
                          <w:jc w:val="left"/>
                          <w:rPr>
                            <w:sz w:val="14"/>
                          </w:rPr>
                        </w:pPr>
                        <w:r>
                          <w:rPr>
                            <w:color w:val="231F20"/>
                            <w:sz w:val="14"/>
                          </w:rPr>
                          <w:t>Споменик културе</w:t>
                        </w:r>
                      </w:p>
                      <w:p>
                        <w:pPr>
                          <w:pStyle w:val="TableParagraph"/>
                          <w:spacing w:line="200" w:lineRule="atLeast" w:before="0"/>
                          <w:ind w:left="59" w:hanging="1"/>
                          <w:jc w:val="left"/>
                          <w:rPr>
                            <w:sz w:val="14"/>
                          </w:rPr>
                        </w:pPr>
                        <w:r>
                          <w:rPr>
                            <w:color w:val="231F20"/>
                            <w:sz w:val="14"/>
                          </w:rPr>
                          <w:t>Одлука СО Пожаревац бр.02-06- 68/2 од 20.11.1991.</w:t>
                        </w:r>
                      </w:p>
                    </w:tc>
                    <w:tc>
                      <w:tcPr>
                        <w:tcW w:w="1304" w:type="dxa"/>
                      </w:tcPr>
                      <w:p>
                        <w:pPr>
                          <w:pStyle w:val="TableParagraph"/>
                          <w:spacing w:before="0"/>
                          <w:jc w:val="left"/>
                          <w:rPr>
                            <w:sz w:val="16"/>
                          </w:rPr>
                        </w:pPr>
                      </w:p>
                    </w:tc>
                  </w:tr>
                  <w:tr>
                    <w:trPr>
                      <w:trHeight w:val="600" w:hRule="atLeast"/>
                    </w:trPr>
                    <w:tc>
                      <w:tcPr>
                        <w:tcW w:w="1701" w:type="dxa"/>
                      </w:tcPr>
                      <w:p>
                        <w:pPr>
                          <w:pStyle w:val="TableParagraph"/>
                          <w:spacing w:before="19"/>
                          <w:ind w:left="60"/>
                          <w:jc w:val="left"/>
                          <w:rPr>
                            <w:sz w:val="14"/>
                          </w:rPr>
                        </w:pPr>
                        <w:r>
                          <w:rPr>
                            <w:color w:val="231F20"/>
                            <w:sz w:val="14"/>
                          </w:rPr>
                          <w:t>Пољана</w:t>
                        </w:r>
                      </w:p>
                      <w:p>
                        <w:pPr>
                          <w:pStyle w:val="TableParagraph"/>
                          <w:spacing w:line="200" w:lineRule="atLeast" w:before="0"/>
                          <w:ind w:left="60"/>
                          <w:jc w:val="left"/>
                          <w:rPr>
                            <w:sz w:val="14"/>
                          </w:rPr>
                        </w:pPr>
                        <w:r>
                          <w:rPr>
                            <w:color w:val="231F20"/>
                            <w:w w:val="66"/>
                            <w:sz w:val="14"/>
                          </w:rPr>
                          <w:t> </w:t>
                        </w:r>
                        <w:r>
                          <w:rPr>
                            <w:color w:val="231F20"/>
                            <w:sz w:val="14"/>
                          </w:rPr>
                          <w:t>– Црква Св. Вазнесења у Пољани *</w:t>
                        </w:r>
                      </w:p>
                    </w:tc>
                    <w:tc>
                      <w:tcPr>
                        <w:tcW w:w="2091" w:type="dxa"/>
                      </w:tcPr>
                      <w:p>
                        <w:pPr>
                          <w:pStyle w:val="TableParagraph"/>
                          <w:spacing w:line="297" w:lineRule="auto" w:before="19"/>
                          <w:ind w:left="59" w:right="491" w:hanging="1"/>
                          <w:jc w:val="left"/>
                          <w:rPr>
                            <w:sz w:val="14"/>
                          </w:rPr>
                        </w:pPr>
                        <w:r>
                          <w:rPr>
                            <w:color w:val="231F20"/>
                            <w:sz w:val="14"/>
                          </w:rPr>
                          <w:t>Споменик културе Одлука Владе РС бр.633-</w:t>
                        </w:r>
                      </w:p>
                      <w:p>
                        <w:pPr>
                          <w:pStyle w:val="TableParagraph"/>
                          <w:spacing w:line="161" w:lineRule="exact" w:before="1"/>
                          <w:ind w:left="59"/>
                          <w:jc w:val="left"/>
                          <w:rPr>
                            <w:sz w:val="14"/>
                          </w:rPr>
                        </w:pPr>
                        <w:r>
                          <w:rPr>
                            <w:color w:val="231F20"/>
                            <w:sz w:val="14"/>
                          </w:rPr>
                          <w:t>15046/2002 од 31.10.2002</w:t>
                        </w:r>
                      </w:p>
                    </w:tc>
                    <w:tc>
                      <w:tcPr>
                        <w:tcW w:w="1304" w:type="dxa"/>
                      </w:tcPr>
                      <w:p>
                        <w:pPr>
                          <w:pStyle w:val="TableParagraph"/>
                          <w:spacing w:before="19"/>
                          <w:ind w:right="566"/>
                          <w:rPr>
                            <w:sz w:val="14"/>
                          </w:rPr>
                        </w:pPr>
                        <w:r>
                          <w:rPr>
                            <w:color w:val="231F20"/>
                            <w:sz w:val="14"/>
                          </w:rPr>
                          <w:t>21</w:t>
                        </w:r>
                      </w:p>
                    </w:tc>
                  </w:tr>
                  <w:tr>
                    <w:trPr>
                      <w:trHeight w:val="200" w:hRule="atLeast"/>
                    </w:trPr>
                    <w:tc>
                      <w:tcPr>
                        <w:tcW w:w="1701" w:type="dxa"/>
                      </w:tcPr>
                      <w:p>
                        <w:pPr>
                          <w:pStyle w:val="TableParagraph"/>
                          <w:spacing w:line="161" w:lineRule="exact" w:before="19"/>
                          <w:ind w:left="60"/>
                          <w:jc w:val="left"/>
                          <w:rPr>
                            <w:sz w:val="14"/>
                          </w:rPr>
                        </w:pPr>
                        <w:r>
                          <w:rPr>
                            <w:color w:val="231F20"/>
                            <w:sz w:val="14"/>
                          </w:rPr>
                          <w:t>Пругово</w:t>
                        </w:r>
                      </w:p>
                    </w:tc>
                    <w:tc>
                      <w:tcPr>
                        <w:tcW w:w="2091" w:type="dxa"/>
                      </w:tcPr>
                      <w:p>
                        <w:pPr>
                          <w:pStyle w:val="TableParagraph"/>
                          <w:spacing w:before="0"/>
                          <w:jc w:val="left"/>
                          <w:rPr>
                            <w:sz w:val="12"/>
                          </w:rPr>
                        </w:pPr>
                      </w:p>
                    </w:tc>
                    <w:tc>
                      <w:tcPr>
                        <w:tcW w:w="1304" w:type="dxa"/>
                      </w:tcPr>
                      <w:p>
                        <w:pPr>
                          <w:pStyle w:val="TableParagraph"/>
                          <w:spacing w:line="161" w:lineRule="exact" w:before="19"/>
                          <w:ind w:right="566"/>
                          <w:rPr>
                            <w:sz w:val="14"/>
                          </w:rPr>
                        </w:pPr>
                        <w:r>
                          <w:rPr>
                            <w:color w:val="231F20"/>
                            <w:sz w:val="14"/>
                          </w:rPr>
                          <w:t>19</w:t>
                        </w:r>
                      </w:p>
                    </w:tc>
                  </w:tr>
                  <w:tr>
                    <w:trPr>
                      <w:trHeight w:val="200" w:hRule="atLeast"/>
                    </w:trPr>
                    <w:tc>
                      <w:tcPr>
                        <w:tcW w:w="1701" w:type="dxa"/>
                      </w:tcPr>
                      <w:p>
                        <w:pPr>
                          <w:pStyle w:val="TableParagraph"/>
                          <w:spacing w:line="161" w:lineRule="exact" w:before="19"/>
                          <w:ind w:left="60"/>
                          <w:jc w:val="left"/>
                          <w:rPr>
                            <w:sz w:val="14"/>
                          </w:rPr>
                        </w:pPr>
                        <w:r>
                          <w:rPr>
                            <w:color w:val="231F20"/>
                            <w:sz w:val="14"/>
                          </w:rPr>
                          <w:t>Речица</w:t>
                        </w:r>
                      </w:p>
                    </w:tc>
                    <w:tc>
                      <w:tcPr>
                        <w:tcW w:w="2091" w:type="dxa"/>
                      </w:tcPr>
                      <w:p>
                        <w:pPr>
                          <w:pStyle w:val="TableParagraph"/>
                          <w:spacing w:before="0"/>
                          <w:jc w:val="left"/>
                          <w:rPr>
                            <w:sz w:val="12"/>
                          </w:rPr>
                        </w:pPr>
                      </w:p>
                    </w:tc>
                    <w:tc>
                      <w:tcPr>
                        <w:tcW w:w="1304" w:type="dxa"/>
                      </w:tcPr>
                      <w:p>
                        <w:pPr>
                          <w:pStyle w:val="TableParagraph"/>
                          <w:spacing w:line="161" w:lineRule="exact" w:before="19"/>
                          <w:ind w:right="566"/>
                          <w:rPr>
                            <w:sz w:val="14"/>
                          </w:rPr>
                        </w:pPr>
                        <w:r>
                          <w:rPr>
                            <w:color w:val="231F20"/>
                            <w:sz w:val="14"/>
                          </w:rPr>
                          <w:t>15</w:t>
                        </w:r>
                      </w:p>
                    </w:tc>
                  </w:tr>
                  <w:tr>
                    <w:trPr>
                      <w:trHeight w:val="200" w:hRule="atLeast"/>
                    </w:trPr>
                    <w:tc>
                      <w:tcPr>
                        <w:tcW w:w="1701" w:type="dxa"/>
                      </w:tcPr>
                      <w:p>
                        <w:pPr>
                          <w:pStyle w:val="TableParagraph"/>
                          <w:spacing w:before="19"/>
                          <w:ind w:left="60"/>
                          <w:jc w:val="left"/>
                          <w:rPr>
                            <w:sz w:val="14"/>
                          </w:rPr>
                        </w:pPr>
                        <w:r>
                          <w:rPr>
                            <w:color w:val="231F20"/>
                            <w:sz w:val="14"/>
                          </w:rPr>
                          <w:t>Трњане</w:t>
                        </w:r>
                      </w:p>
                    </w:tc>
                    <w:tc>
                      <w:tcPr>
                        <w:tcW w:w="2091" w:type="dxa"/>
                      </w:tcPr>
                      <w:p>
                        <w:pPr>
                          <w:pStyle w:val="TableParagraph"/>
                          <w:spacing w:before="0"/>
                          <w:jc w:val="left"/>
                          <w:rPr>
                            <w:sz w:val="12"/>
                          </w:rPr>
                        </w:pPr>
                      </w:p>
                    </w:tc>
                    <w:tc>
                      <w:tcPr>
                        <w:tcW w:w="1304" w:type="dxa"/>
                      </w:tcPr>
                      <w:p>
                        <w:pPr>
                          <w:pStyle w:val="TableParagraph"/>
                          <w:spacing w:before="19"/>
                          <w:ind w:right="566"/>
                          <w:rPr>
                            <w:sz w:val="14"/>
                          </w:rPr>
                        </w:pPr>
                        <w:r>
                          <w:rPr>
                            <w:color w:val="231F20"/>
                            <w:sz w:val="14"/>
                          </w:rPr>
                          <w:t>26</w:t>
                        </w:r>
                      </w:p>
                    </w:tc>
                  </w:tr>
                  <w:tr>
                    <w:trPr>
                      <w:trHeight w:val="200" w:hRule="atLeast"/>
                    </w:trPr>
                    <w:tc>
                      <w:tcPr>
                        <w:tcW w:w="1701" w:type="dxa"/>
                      </w:tcPr>
                      <w:p>
                        <w:pPr>
                          <w:pStyle w:val="TableParagraph"/>
                          <w:spacing w:before="19"/>
                          <w:ind w:left="60"/>
                          <w:jc w:val="left"/>
                          <w:rPr>
                            <w:sz w:val="14"/>
                          </w:rPr>
                        </w:pPr>
                        <w:r>
                          <w:rPr>
                            <w:color w:val="231F20"/>
                            <w:sz w:val="14"/>
                          </w:rPr>
                          <w:t>Ћириковац</w:t>
                        </w:r>
                      </w:p>
                    </w:tc>
                    <w:tc>
                      <w:tcPr>
                        <w:tcW w:w="2091" w:type="dxa"/>
                      </w:tcPr>
                      <w:p>
                        <w:pPr>
                          <w:pStyle w:val="TableParagraph"/>
                          <w:spacing w:before="0"/>
                          <w:jc w:val="left"/>
                          <w:rPr>
                            <w:sz w:val="12"/>
                          </w:rPr>
                        </w:pPr>
                      </w:p>
                    </w:tc>
                    <w:tc>
                      <w:tcPr>
                        <w:tcW w:w="1304" w:type="dxa"/>
                      </w:tcPr>
                      <w:p>
                        <w:pPr>
                          <w:pStyle w:val="TableParagraph"/>
                          <w:spacing w:before="19"/>
                          <w:ind w:right="566"/>
                          <w:rPr>
                            <w:sz w:val="14"/>
                          </w:rPr>
                        </w:pPr>
                        <w:r>
                          <w:rPr>
                            <w:color w:val="231F20"/>
                            <w:sz w:val="14"/>
                          </w:rPr>
                          <w:t>17</w:t>
                        </w:r>
                      </w:p>
                    </w:tc>
                  </w:tr>
                  <w:tr>
                    <w:trPr>
                      <w:trHeight w:val="400" w:hRule="atLeast"/>
                    </w:trPr>
                    <w:tc>
                      <w:tcPr>
                        <w:tcW w:w="1701" w:type="dxa"/>
                      </w:tcPr>
                      <w:p>
                        <w:pPr>
                          <w:pStyle w:val="TableParagraph"/>
                          <w:spacing w:before="19"/>
                          <w:ind w:left="60"/>
                          <w:jc w:val="left"/>
                          <w:rPr>
                            <w:sz w:val="14"/>
                          </w:rPr>
                        </w:pPr>
                        <w:r>
                          <w:rPr>
                            <w:color w:val="231F20"/>
                            <w:sz w:val="14"/>
                          </w:rPr>
                          <w:t>Општина Велико</w:t>
                        </w:r>
                      </w:p>
                      <w:p>
                        <w:pPr>
                          <w:pStyle w:val="TableParagraph"/>
                          <w:spacing w:before="39"/>
                          <w:ind w:left="60"/>
                          <w:jc w:val="left"/>
                          <w:rPr>
                            <w:sz w:val="14"/>
                          </w:rPr>
                        </w:pPr>
                        <w:r>
                          <w:rPr>
                            <w:color w:val="231F20"/>
                            <w:sz w:val="14"/>
                          </w:rPr>
                          <w:t>Градиште</w:t>
                        </w:r>
                      </w:p>
                    </w:tc>
                    <w:tc>
                      <w:tcPr>
                        <w:tcW w:w="2091" w:type="dxa"/>
                      </w:tcPr>
                      <w:p>
                        <w:pPr>
                          <w:pStyle w:val="TableParagraph"/>
                          <w:spacing w:before="19"/>
                          <w:ind w:right="995"/>
                          <w:rPr>
                            <w:sz w:val="14"/>
                          </w:rPr>
                        </w:pPr>
                        <w:r>
                          <w:rPr>
                            <w:color w:val="231F20"/>
                            <w:sz w:val="14"/>
                          </w:rPr>
                          <w:t>1</w:t>
                        </w:r>
                      </w:p>
                    </w:tc>
                    <w:tc>
                      <w:tcPr>
                        <w:tcW w:w="1304" w:type="dxa"/>
                      </w:tcPr>
                      <w:p>
                        <w:pPr>
                          <w:pStyle w:val="TableParagraph"/>
                          <w:spacing w:before="19"/>
                          <w:ind w:right="566"/>
                          <w:rPr>
                            <w:sz w:val="14"/>
                          </w:rPr>
                        </w:pPr>
                        <w:r>
                          <w:rPr>
                            <w:color w:val="231F20"/>
                            <w:sz w:val="14"/>
                          </w:rPr>
                          <w:t>47</w:t>
                        </w:r>
                      </w:p>
                    </w:tc>
                  </w:tr>
                </w:tbl>
                <w:p>
                  <w:pPr>
                    <w:pStyle w:val="BodyText"/>
                    <w:ind w:left="0"/>
                    <w:jc w:val="left"/>
                  </w:pPr>
                </w:p>
              </w:txbxContent>
            </v:textbox>
            <w10:wrap type="none"/>
          </v:shape>
        </w:pict>
      </w:r>
      <w:r>
        <w:rPr>
          <w:color w:val="231F20"/>
        </w:rPr>
        <w:t>Сеоска  насеља  и  стари  сеоски  центри.  Сеоска  насеља   на овом подручју карактерише спонтано настала матрица са мре- </w:t>
      </w:r>
      <w:r>
        <w:rPr>
          <w:color w:val="231F20"/>
          <w:spacing w:val="-3"/>
        </w:rPr>
        <w:t>жом </w:t>
      </w:r>
      <w:r>
        <w:rPr>
          <w:color w:val="231F20"/>
        </w:rPr>
        <w:t>неправилних комуникација и разноврсном архитектуром стамбених кућа. Стари сеоски центри, као средишта админи- </w:t>
      </w:r>
      <w:r>
        <w:rPr>
          <w:color w:val="231F20"/>
          <w:spacing w:val="-3"/>
        </w:rPr>
        <w:t>стративног, трговачког </w:t>
      </w:r>
      <w:r>
        <w:rPr>
          <w:color w:val="231F20"/>
        </w:rPr>
        <w:t>и друштвеног живота села са наслеђеним зградама јавне намене (старе општинске зграде, </w:t>
      </w:r>
      <w:r>
        <w:rPr>
          <w:color w:val="231F20"/>
          <w:spacing w:val="-3"/>
        </w:rPr>
        <w:t>суднице, </w:t>
      </w:r>
      <w:r>
        <w:rPr>
          <w:color w:val="231F20"/>
        </w:rPr>
        <w:t>механе, </w:t>
      </w:r>
      <w:r>
        <w:rPr>
          <w:color w:val="231F20"/>
          <w:spacing w:val="-3"/>
        </w:rPr>
        <w:t>школске </w:t>
      </w:r>
      <w:r>
        <w:rPr>
          <w:color w:val="231F20"/>
        </w:rPr>
        <w:t>зграде, занатске и </w:t>
      </w:r>
      <w:r>
        <w:rPr>
          <w:color w:val="231F20"/>
          <w:spacing w:val="-3"/>
        </w:rPr>
        <w:t>трговачке </w:t>
      </w:r>
      <w:r>
        <w:rPr>
          <w:color w:val="231F20"/>
        </w:rPr>
        <w:t>радње, као и домови </w:t>
      </w:r>
      <w:r>
        <w:rPr>
          <w:color w:val="231F20"/>
          <w:spacing w:val="-3"/>
        </w:rPr>
        <w:t>културе </w:t>
      </w:r>
      <w:r>
        <w:rPr>
          <w:color w:val="231F20"/>
        </w:rPr>
        <w:t>настали у периоду после Другог светског рата) представљали су просторе неопходне за функционисање сваке самосталне руралне агломерације.</w:t>
      </w:r>
    </w:p>
    <w:p>
      <w:pPr>
        <w:pStyle w:val="BodyText"/>
        <w:spacing w:before="157"/>
        <w:ind w:left="1616"/>
        <w:jc w:val="left"/>
      </w:pPr>
      <w:r>
        <w:rPr>
          <w:color w:val="231F20"/>
        </w:rPr>
        <w:t>Урбано градитељско наслеђе</w:t>
      </w:r>
    </w:p>
    <w:p>
      <w:pPr>
        <w:pStyle w:val="BodyText"/>
        <w:spacing w:before="2"/>
        <w:ind w:left="0"/>
        <w:jc w:val="left"/>
        <w:rPr>
          <w:sz w:val="17"/>
        </w:rPr>
      </w:pPr>
    </w:p>
    <w:p>
      <w:pPr>
        <w:pStyle w:val="BodyText"/>
        <w:spacing w:line="232" w:lineRule="auto"/>
        <w:ind w:right="5796" w:firstLine="397"/>
      </w:pPr>
      <w:r>
        <w:rPr>
          <w:color w:val="231F20"/>
        </w:rPr>
        <w:t>Од расположивих </w:t>
      </w:r>
      <w:r>
        <w:rPr>
          <w:color w:val="231F20"/>
          <w:spacing w:val="-3"/>
        </w:rPr>
        <w:t>студија </w:t>
      </w:r>
      <w:r>
        <w:rPr>
          <w:color w:val="231F20"/>
        </w:rPr>
        <w:t>урбаног градитељског наслеђа ва- жан документ јесте „Предлог валоризације културних добара на територији града Пожаревца” (Зоран Јаковљевић, Југословенски институт</w:t>
      </w:r>
      <w:r>
        <w:rPr>
          <w:color w:val="231F20"/>
          <w:spacing w:val="-5"/>
        </w:rPr>
        <w:t> </w:t>
      </w:r>
      <w:r>
        <w:rPr>
          <w:color w:val="231F20"/>
        </w:rPr>
        <w:t>за</w:t>
      </w:r>
      <w:r>
        <w:rPr>
          <w:color w:val="231F20"/>
          <w:spacing w:val="-5"/>
        </w:rPr>
        <w:t> </w:t>
      </w:r>
      <w:r>
        <w:rPr>
          <w:color w:val="231F20"/>
        </w:rPr>
        <w:t>урбанизам</w:t>
      </w:r>
      <w:r>
        <w:rPr>
          <w:color w:val="231F20"/>
          <w:spacing w:val="-5"/>
        </w:rPr>
        <w:t> </w:t>
      </w:r>
      <w:r>
        <w:rPr>
          <w:color w:val="231F20"/>
        </w:rPr>
        <w:t>и</w:t>
      </w:r>
      <w:r>
        <w:rPr>
          <w:color w:val="231F20"/>
          <w:spacing w:val="-5"/>
        </w:rPr>
        <w:t> </w:t>
      </w:r>
      <w:r>
        <w:rPr>
          <w:color w:val="231F20"/>
        </w:rPr>
        <w:t>становање,</w:t>
      </w:r>
      <w:r>
        <w:rPr>
          <w:color w:val="231F20"/>
          <w:spacing w:val="-5"/>
        </w:rPr>
        <w:t> </w:t>
      </w:r>
      <w:r>
        <w:rPr>
          <w:color w:val="231F20"/>
        </w:rPr>
        <w:t>1979.</w:t>
      </w:r>
      <w:r>
        <w:rPr>
          <w:color w:val="231F20"/>
          <w:spacing w:val="-5"/>
        </w:rPr>
        <w:t> </w:t>
      </w:r>
      <w:r>
        <w:rPr>
          <w:color w:val="231F20"/>
        </w:rPr>
        <w:t>године).</w:t>
      </w:r>
      <w:r>
        <w:rPr>
          <w:color w:val="231F20"/>
          <w:spacing w:val="-5"/>
        </w:rPr>
        <w:t> </w:t>
      </w:r>
      <w:r>
        <w:rPr>
          <w:color w:val="231F20"/>
        </w:rPr>
        <w:t>На</w:t>
      </w:r>
      <w:r>
        <w:rPr>
          <w:color w:val="231F20"/>
          <w:spacing w:val="-5"/>
        </w:rPr>
        <w:t> </w:t>
      </w:r>
      <w:r>
        <w:rPr>
          <w:color w:val="231F20"/>
        </w:rPr>
        <w:t>основу</w:t>
      </w:r>
      <w:r>
        <w:rPr>
          <w:color w:val="231F20"/>
          <w:spacing w:val="-5"/>
        </w:rPr>
        <w:t> </w:t>
      </w:r>
      <w:r>
        <w:rPr>
          <w:color w:val="231F20"/>
        </w:rPr>
        <w:t>овог документа, 1988. године, Регионални завод за заштиту споменика </w:t>
      </w:r>
      <w:r>
        <w:rPr>
          <w:color w:val="231F20"/>
          <w:spacing w:val="-3"/>
        </w:rPr>
        <w:t>културе </w:t>
      </w:r>
      <w:r>
        <w:rPr>
          <w:color w:val="231F20"/>
        </w:rPr>
        <w:t>Смедерево сачинио је елаборат „Евидентиране непокрет- ности </w:t>
      </w:r>
      <w:r>
        <w:rPr>
          <w:color w:val="231F20"/>
          <w:spacing w:val="-3"/>
        </w:rPr>
        <w:t>које </w:t>
      </w:r>
      <w:r>
        <w:rPr>
          <w:color w:val="231F20"/>
        </w:rPr>
        <w:t>уживају претходну заштиту на подручју дела урбани- стичке целине Пожаревца”. Вредне амбијенталне урбане целине налазе се пре свега у</w:t>
      </w:r>
      <w:r>
        <w:rPr>
          <w:color w:val="231F20"/>
          <w:spacing w:val="-4"/>
        </w:rPr>
        <w:t> </w:t>
      </w:r>
      <w:r>
        <w:rPr>
          <w:color w:val="231F20"/>
          <w:spacing w:val="-3"/>
        </w:rPr>
        <w:t>Пожаревцу.</w:t>
      </w:r>
    </w:p>
    <w:p>
      <w:pPr>
        <w:pStyle w:val="BodyText"/>
        <w:spacing w:line="232" w:lineRule="auto"/>
        <w:ind w:right="5796" w:firstLine="396"/>
      </w:pPr>
      <w:r>
        <w:rPr>
          <w:color w:val="231F20"/>
        </w:rPr>
        <w:t>Зграда Окружног начелства подигнута је 1888 – 1889. годи- не у духу бечког академизма са облицима појединих детаља ин- спирисаним италијанском ренесансом. Зграда има подрум, при- земље, спрат и поткровље дограђено после 1955. године. Својом монументалном репрезентативношћу, симетричним распоредом маса главног и бочних трактова, једноставно и функционално ор- ганизованим унутрашњим простором са сликаним композицијама и декоративном пластиком, представља прекретницу у изградњи јавних грађевина у Србији 19. века, тако да је добила статус непо- кретног културног добра од великог значаја. Заједно са парком и околним објектима чини вредну урбану целину Пожаревца.</w:t>
      </w:r>
    </w:p>
    <w:p>
      <w:pPr>
        <w:pStyle w:val="BodyText"/>
        <w:spacing w:line="232" w:lineRule="auto"/>
        <w:ind w:right="5796" w:firstLine="397"/>
      </w:pPr>
      <w:r>
        <w:rPr>
          <w:color w:val="231F20"/>
          <w:spacing w:val="-5"/>
        </w:rPr>
        <w:t>Ту </w:t>
      </w:r>
      <w:r>
        <w:rPr>
          <w:color w:val="231F20"/>
        </w:rPr>
        <w:t>су пешачка </w:t>
      </w:r>
      <w:r>
        <w:rPr>
          <w:color w:val="231F20"/>
          <w:spacing w:val="-3"/>
        </w:rPr>
        <w:t>улица </w:t>
      </w:r>
      <w:r>
        <w:rPr>
          <w:color w:val="231F20"/>
        </w:rPr>
        <w:t>Старо корзо, сплет пешачких пролаза, </w:t>
      </w:r>
      <w:r>
        <w:rPr>
          <w:color w:val="231F20"/>
          <w:spacing w:val="-2"/>
        </w:rPr>
        <w:t>улично </w:t>
      </w:r>
      <w:r>
        <w:rPr>
          <w:color w:val="231F20"/>
        </w:rPr>
        <w:t>и </w:t>
      </w:r>
      <w:r>
        <w:rPr>
          <w:color w:val="231F20"/>
          <w:spacing w:val="-3"/>
        </w:rPr>
        <w:t>парковско </w:t>
      </w:r>
      <w:r>
        <w:rPr>
          <w:color w:val="231F20"/>
        </w:rPr>
        <w:t>зеленило. Сви ови елементи доприносе очува- њу историјског карактера Пожаревца. </w:t>
      </w:r>
      <w:r>
        <w:rPr>
          <w:color w:val="231F20"/>
          <w:spacing w:val="-3"/>
        </w:rPr>
        <w:t>Урбану </w:t>
      </w:r>
      <w:r>
        <w:rPr>
          <w:color w:val="231F20"/>
        </w:rPr>
        <w:t>структуру централ- не зоне Пожаревца допуњује новоформирана пешачка зона, </w:t>
      </w:r>
      <w:r>
        <w:rPr>
          <w:color w:val="231F20"/>
          <w:spacing w:val="-3"/>
        </w:rPr>
        <w:t>тако </w:t>
      </w:r>
      <w:r>
        <w:rPr>
          <w:color w:val="231F20"/>
        </w:rPr>
        <w:t>да су пешачки </w:t>
      </w:r>
      <w:r>
        <w:rPr>
          <w:color w:val="231F20"/>
          <w:spacing w:val="-3"/>
        </w:rPr>
        <w:t>токови </w:t>
      </w:r>
      <w:r>
        <w:rPr>
          <w:color w:val="231F20"/>
        </w:rPr>
        <w:t>и јавни простори намењени пешаку допри- носе бољој доступности и квалитету амбијенталних целина.</w:t>
      </w:r>
    </w:p>
    <w:p>
      <w:pPr>
        <w:pStyle w:val="BodyText"/>
        <w:spacing w:before="145"/>
        <w:ind w:left="1834"/>
        <w:jc w:val="left"/>
      </w:pPr>
      <w:r>
        <w:rPr>
          <w:color w:val="231F20"/>
        </w:rPr>
        <w:t>Спомен-парк Чачалица</w:t>
      </w:r>
    </w:p>
    <w:p>
      <w:pPr>
        <w:pStyle w:val="BodyText"/>
        <w:spacing w:before="2"/>
        <w:ind w:left="0"/>
        <w:jc w:val="left"/>
        <w:rPr>
          <w:sz w:val="17"/>
        </w:rPr>
      </w:pPr>
    </w:p>
    <w:p>
      <w:pPr>
        <w:pStyle w:val="BodyText"/>
        <w:spacing w:line="232" w:lineRule="auto"/>
        <w:ind w:right="5796" w:firstLine="397"/>
      </w:pPr>
      <w:r>
        <w:rPr>
          <w:color w:val="231F20"/>
        </w:rPr>
        <w:t>Чачалица је брдо изнад Пожаревца на коме се налази исто- имени спомен-парк. Проглашено је за непокретно културно до- бро од великог значаја. Сам парк обухвата 28 хектара у коме је засађено више стотина бреза донетих из Русије, а подигнут је и Еколошки дом намењен младима. У првој половини 2011. године извршена је обнова и реконструкција Споменика стрељаним ро- дољубима од 1941 – 1944. године и Спомен-костурнице црвеноар- мејцима из Русије, Украјине и Белорусије палим у борби за осло- бођење Пожаревца 1944. године. Регионални заводу за заштиту споменика културе у Смедереву израдио је пројекат санације Ме- моријалног комплекса на Чачалици. У оквиру ових радова уређе- но је и спомен-обележје стрељаним Јеврејима у Другом светском рату.</w:t>
      </w:r>
    </w:p>
    <w:p>
      <w:pPr>
        <w:pStyle w:val="BodyText"/>
        <w:spacing w:before="155"/>
        <w:ind w:left="1057"/>
        <w:jc w:val="left"/>
      </w:pPr>
      <w:r>
        <w:rPr>
          <w:color w:val="231F20"/>
        </w:rPr>
        <w:t>Амбијентална просторна целина Љубичево</w:t>
      </w:r>
    </w:p>
    <w:p>
      <w:pPr>
        <w:pStyle w:val="BodyText"/>
        <w:spacing w:before="9"/>
        <w:ind w:left="0"/>
        <w:jc w:val="left"/>
        <w:rPr>
          <w:sz w:val="16"/>
        </w:rPr>
      </w:pPr>
    </w:p>
    <w:p>
      <w:pPr>
        <w:pStyle w:val="BodyText"/>
        <w:spacing w:line="203" w:lineRule="exact"/>
        <w:ind w:left="568"/>
        <w:jc w:val="left"/>
      </w:pPr>
      <w:r>
        <w:rPr>
          <w:color w:val="231F20"/>
        </w:rPr>
        <w:t>Предлаже се да се амбијенталној просторној целини ергеле</w:t>
      </w:r>
    </w:p>
    <w:p>
      <w:pPr>
        <w:pStyle w:val="BodyText"/>
        <w:spacing w:line="232" w:lineRule="auto" w:before="2"/>
        <w:ind w:left="171" w:right="5748" w:hanging="1"/>
        <w:jc w:val="left"/>
      </w:pPr>
      <w:r>
        <w:rPr>
          <w:color w:val="231F20"/>
        </w:rPr>
        <w:t>„Љубичево” да значај као легату Књаза Милоша. Ова просторна целина уједно има има велики потенцијал за развој туризма.</w:t>
      </w:r>
    </w:p>
    <w:p>
      <w:pPr>
        <w:pStyle w:val="BodyText"/>
        <w:spacing w:before="163"/>
        <w:ind w:left="1592"/>
        <w:jc w:val="left"/>
      </w:pPr>
      <w:r>
        <w:rPr>
          <w:color w:val="231F20"/>
        </w:rPr>
        <w:t>Трећа и четврта зона заштите</w:t>
      </w:r>
    </w:p>
    <w:p>
      <w:pPr>
        <w:pStyle w:val="BodyText"/>
        <w:spacing w:before="2"/>
        <w:ind w:left="0"/>
        <w:jc w:val="left"/>
        <w:rPr>
          <w:sz w:val="17"/>
        </w:rPr>
      </w:pPr>
    </w:p>
    <w:p>
      <w:pPr>
        <w:pStyle w:val="BodyText"/>
        <w:spacing w:line="232" w:lineRule="auto" w:before="1"/>
        <w:ind w:left="171" w:right="5748" w:firstLine="396"/>
        <w:jc w:val="left"/>
      </w:pPr>
      <w:r>
        <w:rPr>
          <w:color w:val="231F20"/>
        </w:rPr>
        <w:t>Трећа и четврта зона заштите обухватају неистражено под- ручје Костолачког угљеног басена и неистражено дно Дунава.</w:t>
      </w:r>
    </w:p>
    <w:p>
      <w:pPr>
        <w:pStyle w:val="BodyText"/>
        <w:spacing w:before="2"/>
        <w:ind w:left="0"/>
        <w:jc w:val="left"/>
        <w:rPr>
          <w:sz w:val="17"/>
        </w:rPr>
      </w:pPr>
    </w:p>
    <w:p>
      <w:pPr>
        <w:pStyle w:val="BodyText"/>
        <w:spacing w:line="232" w:lineRule="auto" w:before="1" w:after="42"/>
        <w:ind w:left="1010" w:right="6378" w:hanging="840"/>
        <w:jc w:val="left"/>
      </w:pPr>
      <w:r>
        <w:rPr>
          <w:color w:val="231F20"/>
        </w:rPr>
        <w:t>Табела 13. Преглед броја непокретних културних добара на Планском подручју</w:t>
      </w: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091"/>
        <w:gridCol w:w="1304"/>
      </w:tblGrid>
      <w:tr>
        <w:trPr>
          <w:trHeight w:val="600" w:hRule="atLeast"/>
        </w:trPr>
        <w:tc>
          <w:tcPr>
            <w:tcW w:w="1701" w:type="dxa"/>
          </w:tcPr>
          <w:p>
            <w:pPr>
              <w:pStyle w:val="TableParagraph"/>
              <w:ind w:left="438" w:right="429"/>
              <w:jc w:val="center"/>
              <w:rPr>
                <w:sz w:val="14"/>
              </w:rPr>
            </w:pPr>
            <w:r>
              <w:rPr>
                <w:color w:val="231F20"/>
                <w:sz w:val="14"/>
              </w:rPr>
              <w:t>Насеље</w:t>
            </w:r>
          </w:p>
        </w:tc>
        <w:tc>
          <w:tcPr>
            <w:tcW w:w="2091" w:type="dxa"/>
          </w:tcPr>
          <w:p>
            <w:pPr>
              <w:pStyle w:val="TableParagraph"/>
              <w:spacing w:line="297" w:lineRule="auto"/>
              <w:ind w:left="100" w:right="89"/>
              <w:jc w:val="center"/>
              <w:rPr>
                <w:sz w:val="14"/>
              </w:rPr>
            </w:pPr>
            <w:r>
              <w:rPr>
                <w:color w:val="231F20"/>
                <w:sz w:val="14"/>
              </w:rPr>
              <w:t>Непокретна културна добра (категорија/година утврђивања</w:t>
            </w:r>
          </w:p>
          <w:p>
            <w:pPr>
              <w:pStyle w:val="TableParagraph"/>
              <w:spacing w:before="1"/>
              <w:ind w:left="98" w:right="89"/>
              <w:jc w:val="center"/>
              <w:rPr>
                <w:sz w:val="14"/>
              </w:rPr>
            </w:pPr>
            <w:r>
              <w:rPr>
                <w:color w:val="231F20"/>
                <w:sz w:val="14"/>
              </w:rPr>
              <w:t>категорије)</w:t>
            </w:r>
          </w:p>
        </w:tc>
        <w:tc>
          <w:tcPr>
            <w:tcW w:w="1304" w:type="dxa"/>
          </w:tcPr>
          <w:p>
            <w:pPr>
              <w:pStyle w:val="TableParagraph"/>
              <w:ind w:left="177" w:hanging="119"/>
              <w:jc w:val="left"/>
              <w:rPr>
                <w:sz w:val="14"/>
              </w:rPr>
            </w:pPr>
            <w:r>
              <w:rPr>
                <w:color w:val="231F20"/>
                <w:sz w:val="14"/>
              </w:rPr>
              <w:t>Број непокретности</w:t>
            </w:r>
          </w:p>
          <w:p>
            <w:pPr>
              <w:pStyle w:val="TableParagraph"/>
              <w:spacing w:line="200" w:lineRule="atLeast" w:before="0"/>
              <w:ind w:left="59" w:right="47"/>
              <w:jc w:val="center"/>
              <w:rPr>
                <w:sz w:val="14"/>
              </w:rPr>
            </w:pPr>
            <w:r>
              <w:rPr>
                <w:color w:val="231F20"/>
                <w:sz w:val="14"/>
              </w:rPr>
              <w:t>под претходном заштитом</w:t>
            </w:r>
          </w:p>
        </w:tc>
      </w:tr>
      <w:tr>
        <w:trPr>
          <w:trHeight w:val="200" w:hRule="atLeast"/>
        </w:trPr>
        <w:tc>
          <w:tcPr>
            <w:tcW w:w="1701" w:type="dxa"/>
          </w:tcPr>
          <w:p>
            <w:pPr>
              <w:pStyle w:val="TableParagraph"/>
              <w:ind w:left="56"/>
              <w:jc w:val="left"/>
              <w:rPr>
                <w:sz w:val="14"/>
              </w:rPr>
            </w:pPr>
            <w:r>
              <w:rPr>
                <w:color w:val="231F20"/>
                <w:sz w:val="14"/>
              </w:rPr>
              <w:t>Град Пожаревац – укупно</w:t>
            </w:r>
          </w:p>
        </w:tc>
        <w:tc>
          <w:tcPr>
            <w:tcW w:w="2091" w:type="dxa"/>
          </w:tcPr>
          <w:p>
            <w:pPr>
              <w:pStyle w:val="TableParagraph"/>
              <w:ind w:left="99" w:right="89"/>
              <w:jc w:val="center"/>
              <w:rPr>
                <w:sz w:val="14"/>
              </w:rPr>
            </w:pPr>
            <w:r>
              <w:rPr>
                <w:color w:val="231F20"/>
                <w:sz w:val="14"/>
              </w:rPr>
              <w:t>12</w:t>
            </w:r>
          </w:p>
        </w:tc>
        <w:tc>
          <w:tcPr>
            <w:tcW w:w="1304" w:type="dxa"/>
          </w:tcPr>
          <w:p>
            <w:pPr>
              <w:pStyle w:val="TableParagraph"/>
              <w:ind w:left="57" w:right="47"/>
              <w:jc w:val="center"/>
              <w:rPr>
                <w:sz w:val="14"/>
              </w:rPr>
            </w:pPr>
            <w:r>
              <w:rPr>
                <w:color w:val="231F20"/>
                <w:sz w:val="14"/>
              </w:rPr>
              <w:t>779</w:t>
            </w:r>
          </w:p>
        </w:tc>
      </w:tr>
      <w:tr>
        <w:trPr>
          <w:trHeight w:val="200" w:hRule="atLeast"/>
        </w:trPr>
        <w:tc>
          <w:tcPr>
            <w:tcW w:w="1701" w:type="dxa"/>
          </w:tcPr>
          <w:p>
            <w:pPr>
              <w:pStyle w:val="TableParagraph"/>
              <w:ind w:left="56"/>
              <w:jc w:val="left"/>
              <w:rPr>
                <w:sz w:val="14"/>
              </w:rPr>
            </w:pPr>
            <w:r>
              <w:rPr>
                <w:color w:val="231F20"/>
                <w:sz w:val="14"/>
              </w:rPr>
              <w:t>Баре</w:t>
            </w:r>
          </w:p>
        </w:tc>
        <w:tc>
          <w:tcPr>
            <w:tcW w:w="2091" w:type="dxa"/>
          </w:tcPr>
          <w:p>
            <w:pPr>
              <w:pStyle w:val="TableParagraph"/>
              <w:spacing w:before="0"/>
              <w:jc w:val="left"/>
              <w:rPr>
                <w:sz w:val="12"/>
              </w:rPr>
            </w:pPr>
          </w:p>
        </w:tc>
        <w:tc>
          <w:tcPr>
            <w:tcW w:w="1304" w:type="dxa"/>
          </w:tcPr>
          <w:p>
            <w:pPr>
              <w:pStyle w:val="TableParagraph"/>
              <w:ind w:left="57" w:right="47"/>
              <w:jc w:val="center"/>
              <w:rPr>
                <w:sz w:val="14"/>
              </w:rPr>
            </w:pPr>
            <w:r>
              <w:rPr>
                <w:color w:val="231F20"/>
                <w:sz w:val="14"/>
              </w:rPr>
              <w:t>24</w:t>
            </w:r>
          </w:p>
        </w:tc>
      </w:tr>
    </w:tbl>
    <w:p>
      <w:pPr>
        <w:spacing w:after="0"/>
        <w:jc w:val="center"/>
        <w:rPr>
          <w:sz w:val="14"/>
        </w:rPr>
        <w:sectPr>
          <w:pgSz w:w="12480" w:h="15690"/>
          <w:pgMar w:top="120" w:bottom="280" w:left="680" w:right="720"/>
        </w:sect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2091"/>
        <w:gridCol w:w="1304"/>
      </w:tblGrid>
      <w:tr>
        <w:trPr>
          <w:trHeight w:val="600" w:hRule="atLeast"/>
        </w:trPr>
        <w:tc>
          <w:tcPr>
            <w:tcW w:w="1701" w:type="dxa"/>
          </w:tcPr>
          <w:p>
            <w:pPr>
              <w:pStyle w:val="TableParagraph"/>
              <w:spacing w:before="9"/>
              <w:ind w:left="438" w:right="429"/>
              <w:jc w:val="center"/>
              <w:rPr>
                <w:sz w:val="14"/>
              </w:rPr>
            </w:pPr>
            <w:r>
              <w:rPr>
                <w:color w:val="231F20"/>
                <w:sz w:val="14"/>
              </w:rPr>
              <w:t>Насеље</w:t>
            </w:r>
          </w:p>
        </w:tc>
        <w:tc>
          <w:tcPr>
            <w:tcW w:w="2091" w:type="dxa"/>
          </w:tcPr>
          <w:p>
            <w:pPr>
              <w:pStyle w:val="TableParagraph"/>
              <w:spacing w:line="297" w:lineRule="auto" w:before="9"/>
              <w:ind w:left="100" w:right="89"/>
              <w:jc w:val="center"/>
              <w:rPr>
                <w:sz w:val="14"/>
              </w:rPr>
            </w:pPr>
            <w:r>
              <w:rPr>
                <w:color w:val="231F20"/>
                <w:sz w:val="14"/>
              </w:rPr>
              <w:t>Непокретна културна добра (категорија/година утврђивања</w:t>
            </w:r>
          </w:p>
          <w:p>
            <w:pPr>
              <w:pStyle w:val="TableParagraph"/>
              <w:spacing w:before="1"/>
              <w:ind w:left="98" w:right="89"/>
              <w:jc w:val="center"/>
              <w:rPr>
                <w:sz w:val="14"/>
              </w:rPr>
            </w:pPr>
            <w:r>
              <w:rPr>
                <w:color w:val="231F20"/>
                <w:sz w:val="14"/>
              </w:rPr>
              <w:t>категорије)</w:t>
            </w:r>
          </w:p>
        </w:tc>
        <w:tc>
          <w:tcPr>
            <w:tcW w:w="1304" w:type="dxa"/>
          </w:tcPr>
          <w:p>
            <w:pPr>
              <w:pStyle w:val="TableParagraph"/>
              <w:spacing w:line="297" w:lineRule="auto" w:before="9"/>
              <w:ind w:left="59" w:right="47"/>
              <w:jc w:val="center"/>
              <w:rPr>
                <w:sz w:val="14"/>
              </w:rPr>
            </w:pPr>
            <w:r>
              <w:rPr>
                <w:color w:val="231F20"/>
                <w:sz w:val="14"/>
              </w:rPr>
              <w:t>Број непокретности под претходном</w:t>
            </w:r>
          </w:p>
          <w:p>
            <w:pPr>
              <w:pStyle w:val="TableParagraph"/>
              <w:spacing w:before="1"/>
              <w:ind w:left="57" w:right="47"/>
              <w:jc w:val="center"/>
              <w:rPr>
                <w:sz w:val="14"/>
              </w:rPr>
            </w:pPr>
            <w:r>
              <w:rPr>
                <w:color w:val="231F20"/>
                <w:sz w:val="14"/>
              </w:rPr>
              <w:t>заштитом</w:t>
            </w:r>
          </w:p>
        </w:tc>
      </w:tr>
      <w:tr>
        <w:trPr>
          <w:trHeight w:val="600" w:hRule="atLeast"/>
        </w:trPr>
        <w:tc>
          <w:tcPr>
            <w:tcW w:w="1701" w:type="dxa"/>
          </w:tcPr>
          <w:p>
            <w:pPr>
              <w:pStyle w:val="TableParagraph"/>
              <w:spacing w:before="9"/>
              <w:ind w:left="56"/>
              <w:jc w:val="left"/>
              <w:rPr>
                <w:sz w:val="14"/>
              </w:rPr>
            </w:pPr>
            <w:r>
              <w:rPr>
                <w:color w:val="231F20"/>
                <w:sz w:val="14"/>
              </w:rPr>
              <w:t>Курјаче</w:t>
            </w:r>
          </w:p>
          <w:p>
            <w:pPr>
              <w:pStyle w:val="TableParagraph"/>
              <w:spacing w:before="39"/>
              <w:ind w:left="56"/>
              <w:jc w:val="left"/>
              <w:rPr>
                <w:sz w:val="14"/>
              </w:rPr>
            </w:pPr>
            <w:r>
              <w:rPr>
                <w:color w:val="231F20"/>
                <w:w w:val="66"/>
                <w:sz w:val="14"/>
              </w:rPr>
              <w:t> </w:t>
            </w:r>
            <w:r>
              <w:rPr>
                <w:color w:val="231F20"/>
                <w:sz w:val="14"/>
              </w:rPr>
              <w:t>– Манастир Нимник</w:t>
            </w:r>
          </w:p>
        </w:tc>
        <w:tc>
          <w:tcPr>
            <w:tcW w:w="2091" w:type="dxa"/>
          </w:tcPr>
          <w:p>
            <w:pPr>
              <w:pStyle w:val="TableParagraph"/>
              <w:spacing w:before="9"/>
              <w:ind w:left="56"/>
              <w:jc w:val="left"/>
              <w:rPr>
                <w:sz w:val="14"/>
              </w:rPr>
            </w:pPr>
            <w:r>
              <w:rPr>
                <w:color w:val="231F20"/>
                <w:sz w:val="14"/>
              </w:rPr>
              <w:t>Спомеником културе</w:t>
            </w:r>
          </w:p>
          <w:p>
            <w:pPr>
              <w:pStyle w:val="TableParagraph"/>
              <w:spacing w:line="200" w:lineRule="atLeast" w:before="0"/>
              <w:ind w:left="56"/>
              <w:jc w:val="left"/>
              <w:rPr>
                <w:sz w:val="14"/>
              </w:rPr>
            </w:pPr>
            <w:r>
              <w:rPr>
                <w:color w:val="231F20"/>
                <w:sz w:val="14"/>
              </w:rPr>
              <w:t>Одлука СО Велико Градиште од 18.12.1981.</w:t>
            </w:r>
          </w:p>
        </w:tc>
        <w:tc>
          <w:tcPr>
            <w:tcW w:w="1304" w:type="dxa"/>
          </w:tcPr>
          <w:p>
            <w:pPr>
              <w:pStyle w:val="TableParagraph"/>
              <w:spacing w:before="9"/>
              <w:ind w:left="57" w:right="47"/>
              <w:jc w:val="center"/>
              <w:rPr>
                <w:sz w:val="14"/>
              </w:rPr>
            </w:pPr>
            <w:r>
              <w:rPr>
                <w:color w:val="231F20"/>
                <w:sz w:val="14"/>
              </w:rPr>
              <w:t>15</w:t>
            </w:r>
          </w:p>
        </w:tc>
      </w:tr>
      <w:tr>
        <w:trPr>
          <w:trHeight w:val="200" w:hRule="atLeast"/>
        </w:trPr>
        <w:tc>
          <w:tcPr>
            <w:tcW w:w="1701" w:type="dxa"/>
          </w:tcPr>
          <w:p>
            <w:pPr>
              <w:pStyle w:val="TableParagraph"/>
              <w:spacing w:before="9"/>
              <w:ind w:left="57"/>
              <w:jc w:val="left"/>
              <w:rPr>
                <w:sz w:val="14"/>
              </w:rPr>
            </w:pPr>
            <w:r>
              <w:rPr>
                <w:color w:val="231F20"/>
                <w:sz w:val="14"/>
              </w:rPr>
              <w:t>Мајиловац</w:t>
            </w:r>
          </w:p>
        </w:tc>
        <w:tc>
          <w:tcPr>
            <w:tcW w:w="2091" w:type="dxa"/>
          </w:tcPr>
          <w:p>
            <w:pPr>
              <w:pStyle w:val="TableParagraph"/>
              <w:spacing w:before="0"/>
              <w:jc w:val="left"/>
              <w:rPr>
                <w:sz w:val="12"/>
              </w:rPr>
            </w:pPr>
          </w:p>
        </w:tc>
        <w:tc>
          <w:tcPr>
            <w:tcW w:w="1304" w:type="dxa"/>
          </w:tcPr>
          <w:p>
            <w:pPr>
              <w:pStyle w:val="TableParagraph"/>
              <w:spacing w:before="9"/>
              <w:ind w:left="57" w:right="47"/>
              <w:jc w:val="center"/>
              <w:rPr>
                <w:sz w:val="14"/>
              </w:rPr>
            </w:pPr>
            <w:r>
              <w:rPr>
                <w:color w:val="231F20"/>
                <w:sz w:val="14"/>
              </w:rPr>
              <w:t>17</w:t>
            </w:r>
          </w:p>
        </w:tc>
      </w:tr>
      <w:tr>
        <w:trPr>
          <w:trHeight w:val="200" w:hRule="atLeast"/>
        </w:trPr>
        <w:tc>
          <w:tcPr>
            <w:tcW w:w="1701" w:type="dxa"/>
          </w:tcPr>
          <w:p>
            <w:pPr>
              <w:pStyle w:val="TableParagraph"/>
              <w:spacing w:before="9"/>
              <w:ind w:left="57"/>
              <w:jc w:val="left"/>
              <w:rPr>
                <w:sz w:val="14"/>
              </w:rPr>
            </w:pPr>
            <w:r>
              <w:rPr>
                <w:color w:val="231F20"/>
                <w:sz w:val="14"/>
              </w:rPr>
              <w:t>Сираково</w:t>
            </w:r>
          </w:p>
        </w:tc>
        <w:tc>
          <w:tcPr>
            <w:tcW w:w="2091" w:type="dxa"/>
          </w:tcPr>
          <w:p>
            <w:pPr>
              <w:pStyle w:val="TableParagraph"/>
              <w:spacing w:before="0"/>
              <w:jc w:val="left"/>
              <w:rPr>
                <w:sz w:val="12"/>
              </w:rPr>
            </w:pPr>
          </w:p>
        </w:tc>
        <w:tc>
          <w:tcPr>
            <w:tcW w:w="1304" w:type="dxa"/>
          </w:tcPr>
          <w:p>
            <w:pPr>
              <w:pStyle w:val="TableParagraph"/>
              <w:spacing w:before="9"/>
              <w:ind w:left="57" w:right="47"/>
              <w:jc w:val="center"/>
              <w:rPr>
                <w:sz w:val="14"/>
              </w:rPr>
            </w:pPr>
            <w:r>
              <w:rPr>
                <w:color w:val="231F20"/>
                <w:sz w:val="14"/>
              </w:rPr>
              <w:t>15</w:t>
            </w:r>
          </w:p>
        </w:tc>
      </w:tr>
    </w:tbl>
    <w:p>
      <w:pPr>
        <w:spacing w:before="21"/>
        <w:ind w:left="737" w:right="5513" w:hanging="284"/>
        <w:jc w:val="both"/>
        <w:rPr>
          <w:sz w:val="14"/>
        </w:rPr>
      </w:pPr>
      <w:r>
        <w:rPr/>
        <w:pict>
          <v:line style="position:absolute;mso-position-horizontal-relative:page;mso-position-vertical-relative:page;z-index:1768" from="318.897614pt,11.942451pt" to="318.897614pt,748.950451pt" stroked="true" strokeweight=".6pt" strokecolor="#231f20">
            <v:stroke dashstyle="solid"/>
            <w10:wrap type="none"/>
          </v:line>
        </w:pict>
      </w:r>
      <w:r>
        <w:rPr/>
        <w:pict>
          <v:shape style="position:absolute;margin-left:325.984314pt;margin-top:-83.023056pt;width:255.9pt;height:408.45pt;mso-position-horizontal-relative:page;mso-position-vertical-relative:paragraph;z-index:179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78"/>
                          <w:jc w:val="left"/>
                          <w:rPr>
                            <w:sz w:val="14"/>
                          </w:rPr>
                        </w:pPr>
                        <w:r>
                          <w:rPr>
                            <w:color w:val="231F20"/>
                            <w:sz w:val="14"/>
                          </w:rPr>
                          <w:t>МОГУЋНОСТИ</w:t>
                        </w:r>
                      </w:p>
                    </w:tc>
                    <w:tc>
                      <w:tcPr>
                        <w:tcW w:w="2551" w:type="dxa"/>
                      </w:tcPr>
                      <w:p>
                        <w:pPr>
                          <w:pStyle w:val="TableParagraph"/>
                          <w:ind w:left="722" w:right="712"/>
                          <w:jc w:val="center"/>
                          <w:rPr>
                            <w:sz w:val="14"/>
                          </w:rPr>
                        </w:pPr>
                        <w:r>
                          <w:rPr>
                            <w:color w:val="231F20"/>
                            <w:sz w:val="14"/>
                          </w:rPr>
                          <w:t>ПРЕТЊЕ</w:t>
                        </w:r>
                      </w:p>
                    </w:tc>
                  </w:tr>
                  <w:tr>
                    <w:trPr>
                      <w:trHeight w:val="7938" w:hRule="atLeast"/>
                    </w:trPr>
                    <w:tc>
                      <w:tcPr>
                        <w:tcW w:w="2551" w:type="dxa"/>
                      </w:tcPr>
                      <w:p>
                        <w:pPr>
                          <w:pStyle w:val="TableParagraph"/>
                          <w:spacing w:line="218" w:lineRule="auto" w:before="29"/>
                          <w:ind w:left="56" w:right="44"/>
                          <w:jc w:val="both"/>
                          <w:rPr>
                            <w:sz w:val="14"/>
                          </w:rPr>
                        </w:pPr>
                        <w:r>
                          <w:rPr>
                            <w:color w:val="231F20"/>
                            <w:w w:val="66"/>
                            <w:sz w:val="14"/>
                          </w:rPr>
                          <w:t> </w:t>
                        </w:r>
                        <w:r>
                          <w:rPr>
                            <w:color w:val="231F20"/>
                            <w:sz w:val="14"/>
                          </w:rPr>
                          <w:t>– Близина Румуније, могућност кори- шћења суседских програма и</w:t>
                        </w:r>
                        <w:r>
                          <w:rPr>
                            <w:color w:val="231F20"/>
                            <w:spacing w:val="-20"/>
                            <w:sz w:val="14"/>
                          </w:rPr>
                          <w:t> </w:t>
                        </w:r>
                        <w:r>
                          <w:rPr>
                            <w:color w:val="231F20"/>
                            <w:sz w:val="14"/>
                          </w:rPr>
                          <w:t>интензиви- рање и проширење регионалне и међу- народне</w:t>
                        </w:r>
                        <w:r>
                          <w:rPr>
                            <w:color w:val="231F20"/>
                            <w:spacing w:val="-2"/>
                            <w:sz w:val="14"/>
                          </w:rPr>
                          <w:t> </w:t>
                        </w:r>
                        <w:r>
                          <w:rPr>
                            <w:color w:val="231F20"/>
                            <w:sz w:val="14"/>
                          </w:rPr>
                          <w:t>сарадње</w:t>
                        </w:r>
                      </w:p>
                      <w:p>
                        <w:pPr>
                          <w:pStyle w:val="TableParagraph"/>
                          <w:spacing w:line="218" w:lineRule="auto" w:before="0"/>
                          <w:ind w:left="56" w:right="44"/>
                          <w:jc w:val="both"/>
                          <w:rPr>
                            <w:sz w:val="14"/>
                          </w:rPr>
                        </w:pPr>
                        <w:r>
                          <w:rPr>
                            <w:color w:val="231F20"/>
                            <w:w w:val="66"/>
                            <w:sz w:val="14"/>
                          </w:rPr>
                          <w:t> </w:t>
                        </w:r>
                        <w:r>
                          <w:rPr>
                            <w:color w:val="231F20"/>
                            <w:sz w:val="14"/>
                          </w:rPr>
                          <w:t>– Боље коришћење капитала, искустава и других ресурса којима располаже ди- јаспора</w:t>
                        </w:r>
                      </w:p>
                      <w:p>
                        <w:pPr>
                          <w:pStyle w:val="TableParagraph"/>
                          <w:spacing w:line="218" w:lineRule="auto" w:before="0"/>
                          <w:ind w:left="56" w:right="44"/>
                          <w:jc w:val="both"/>
                          <w:rPr>
                            <w:sz w:val="14"/>
                          </w:rPr>
                        </w:pPr>
                        <w:r>
                          <w:rPr>
                            <w:color w:val="231F20"/>
                            <w:w w:val="66"/>
                            <w:sz w:val="14"/>
                          </w:rPr>
                          <w:t> </w:t>
                        </w:r>
                        <w:r>
                          <w:rPr>
                            <w:color w:val="231F20"/>
                            <w:sz w:val="14"/>
                          </w:rPr>
                          <w:t>– Боље позиционирање ширег</w:t>
                        </w:r>
                        <w:r>
                          <w:rPr>
                            <w:color w:val="231F20"/>
                            <w:spacing w:val="-25"/>
                            <w:sz w:val="14"/>
                          </w:rPr>
                          <w:t> </w:t>
                        </w:r>
                        <w:r>
                          <w:rPr>
                            <w:color w:val="231F20"/>
                            <w:sz w:val="14"/>
                          </w:rPr>
                          <w:t>регионал- ног подручја Града Пожаревца у оквиру новог развојног модела</w:t>
                        </w:r>
                        <w:r>
                          <w:rPr>
                            <w:color w:val="231F20"/>
                            <w:spacing w:val="-4"/>
                            <w:sz w:val="14"/>
                          </w:rPr>
                          <w:t> </w:t>
                        </w:r>
                        <w:r>
                          <w:rPr>
                            <w:color w:val="231F20"/>
                            <w:sz w:val="14"/>
                          </w:rPr>
                          <w:t>Србије</w:t>
                        </w:r>
                      </w:p>
                      <w:p>
                        <w:pPr>
                          <w:pStyle w:val="TableParagraph"/>
                          <w:spacing w:line="218" w:lineRule="auto" w:before="0"/>
                          <w:ind w:left="56" w:right="44"/>
                          <w:jc w:val="both"/>
                          <w:rPr>
                            <w:sz w:val="14"/>
                          </w:rPr>
                        </w:pPr>
                        <w:r>
                          <w:rPr>
                            <w:color w:val="231F20"/>
                            <w:w w:val="66"/>
                            <w:sz w:val="14"/>
                          </w:rPr>
                          <w:t> </w:t>
                        </w:r>
                        <w:r>
                          <w:rPr>
                            <w:color w:val="231F20"/>
                            <w:sz w:val="14"/>
                          </w:rPr>
                          <w:t>– Подизање енергетских капацитета уз подршку</w:t>
                        </w:r>
                        <w:r>
                          <w:rPr>
                            <w:color w:val="231F20"/>
                            <w:spacing w:val="-11"/>
                            <w:sz w:val="14"/>
                          </w:rPr>
                          <w:t> </w:t>
                        </w:r>
                        <w:r>
                          <w:rPr>
                            <w:color w:val="231F20"/>
                            <w:sz w:val="14"/>
                          </w:rPr>
                          <w:t>домаћих</w:t>
                        </w:r>
                        <w:r>
                          <w:rPr>
                            <w:color w:val="231F20"/>
                            <w:spacing w:val="-11"/>
                            <w:sz w:val="14"/>
                          </w:rPr>
                          <w:t> </w:t>
                        </w:r>
                        <w:r>
                          <w:rPr>
                            <w:color w:val="231F20"/>
                            <w:sz w:val="14"/>
                          </w:rPr>
                          <w:t>и</w:t>
                        </w:r>
                        <w:r>
                          <w:rPr>
                            <w:color w:val="231F20"/>
                            <w:spacing w:val="-11"/>
                            <w:sz w:val="14"/>
                          </w:rPr>
                          <w:t> </w:t>
                        </w:r>
                        <w:r>
                          <w:rPr>
                            <w:color w:val="231F20"/>
                            <w:sz w:val="14"/>
                          </w:rPr>
                          <w:t>страних</w:t>
                        </w:r>
                        <w:r>
                          <w:rPr>
                            <w:color w:val="231F20"/>
                            <w:spacing w:val="-11"/>
                            <w:sz w:val="14"/>
                          </w:rPr>
                          <w:t> </w:t>
                        </w:r>
                        <w:r>
                          <w:rPr>
                            <w:color w:val="231F20"/>
                            <w:sz w:val="14"/>
                          </w:rPr>
                          <w:t>инвеститора</w:t>
                        </w:r>
                      </w:p>
                      <w:p>
                        <w:pPr>
                          <w:pStyle w:val="TableParagraph"/>
                          <w:spacing w:line="218" w:lineRule="auto" w:before="0"/>
                          <w:ind w:left="56" w:right="44"/>
                          <w:jc w:val="both"/>
                          <w:rPr>
                            <w:sz w:val="14"/>
                          </w:rPr>
                        </w:pPr>
                        <w:r>
                          <w:rPr>
                            <w:color w:val="231F20"/>
                            <w:w w:val="66"/>
                            <w:sz w:val="14"/>
                          </w:rPr>
                          <w:t> </w:t>
                        </w:r>
                        <w:r>
                          <w:rPr>
                            <w:color w:val="231F20"/>
                            <w:sz w:val="14"/>
                          </w:rPr>
                          <w:t>– Повећање искоришћености</w:t>
                        </w:r>
                        <w:r>
                          <w:rPr>
                            <w:color w:val="231F20"/>
                            <w:spacing w:val="-21"/>
                            <w:sz w:val="14"/>
                          </w:rPr>
                          <w:t> </w:t>
                        </w:r>
                        <w:r>
                          <w:rPr>
                            <w:color w:val="231F20"/>
                            <w:sz w:val="14"/>
                          </w:rPr>
                          <w:t>постојећих и изградња нових инфраструктурних си- стема</w:t>
                        </w:r>
                      </w:p>
                      <w:p>
                        <w:pPr>
                          <w:pStyle w:val="TableParagraph"/>
                          <w:spacing w:line="218" w:lineRule="auto" w:before="0"/>
                          <w:ind w:left="56" w:right="44"/>
                          <w:jc w:val="both"/>
                          <w:rPr>
                            <w:sz w:val="14"/>
                          </w:rPr>
                        </w:pPr>
                        <w:r>
                          <w:rPr>
                            <w:color w:val="231F20"/>
                            <w:w w:val="66"/>
                            <w:sz w:val="14"/>
                          </w:rPr>
                          <w:t> </w:t>
                        </w:r>
                        <w:r>
                          <w:rPr>
                            <w:color w:val="231F20"/>
                            <w:sz w:val="14"/>
                          </w:rPr>
                          <w:t>– Рационално и одрживо коришћење природних ресурса и одрживи развој ру- дарско-енергетског комплекса</w:t>
                        </w:r>
                      </w:p>
                      <w:p>
                        <w:pPr>
                          <w:pStyle w:val="TableParagraph"/>
                          <w:spacing w:line="140" w:lineRule="exact" w:before="0"/>
                          <w:ind w:left="56"/>
                          <w:jc w:val="both"/>
                          <w:rPr>
                            <w:sz w:val="14"/>
                          </w:rPr>
                        </w:pPr>
                        <w:r>
                          <w:rPr>
                            <w:color w:val="231F20"/>
                            <w:w w:val="66"/>
                            <w:sz w:val="14"/>
                          </w:rPr>
                          <w:t> </w:t>
                        </w:r>
                        <w:r>
                          <w:rPr>
                            <w:color w:val="231F20"/>
                            <w:sz w:val="14"/>
                          </w:rPr>
                          <w:t>– Коришћење нових технологија</w:t>
                        </w:r>
                      </w:p>
                      <w:p>
                        <w:pPr>
                          <w:pStyle w:val="TableParagraph"/>
                          <w:spacing w:line="146" w:lineRule="exact" w:before="0"/>
                          <w:ind w:left="56"/>
                          <w:jc w:val="both"/>
                          <w:rPr>
                            <w:sz w:val="14"/>
                          </w:rPr>
                        </w:pPr>
                        <w:r>
                          <w:rPr>
                            <w:color w:val="231F20"/>
                            <w:w w:val="66"/>
                            <w:sz w:val="14"/>
                          </w:rPr>
                          <w:t> </w:t>
                        </w:r>
                        <w:r>
                          <w:rPr>
                            <w:color w:val="231F20"/>
                            <w:sz w:val="14"/>
                          </w:rPr>
                          <w:t>–</w:t>
                        </w:r>
                        <w:r>
                          <w:rPr>
                            <w:color w:val="231F20"/>
                            <w:spacing w:val="-11"/>
                            <w:sz w:val="14"/>
                          </w:rPr>
                          <w:t> </w:t>
                        </w:r>
                        <w:r>
                          <w:rPr>
                            <w:color w:val="231F20"/>
                            <w:sz w:val="14"/>
                          </w:rPr>
                          <w:t>Пораст</w:t>
                        </w:r>
                        <w:r>
                          <w:rPr>
                            <w:color w:val="231F20"/>
                            <w:spacing w:val="-11"/>
                            <w:sz w:val="14"/>
                          </w:rPr>
                          <w:t> </w:t>
                        </w:r>
                        <w:r>
                          <w:rPr>
                            <w:color w:val="231F20"/>
                            <w:spacing w:val="-3"/>
                            <w:sz w:val="14"/>
                          </w:rPr>
                          <w:t>улагања</w:t>
                        </w:r>
                        <w:r>
                          <w:rPr>
                            <w:color w:val="231F20"/>
                            <w:spacing w:val="-11"/>
                            <w:sz w:val="14"/>
                          </w:rPr>
                          <w:t> </w:t>
                        </w:r>
                        <w:r>
                          <w:rPr>
                            <w:color w:val="231F20"/>
                            <w:sz w:val="14"/>
                          </w:rPr>
                          <w:t>у</w:t>
                        </w:r>
                        <w:r>
                          <w:rPr>
                            <w:color w:val="231F20"/>
                            <w:spacing w:val="-11"/>
                            <w:sz w:val="14"/>
                          </w:rPr>
                          <w:t> </w:t>
                        </w:r>
                        <w:r>
                          <w:rPr>
                            <w:color w:val="231F20"/>
                            <w:sz w:val="14"/>
                          </w:rPr>
                          <w:t>истраживања</w:t>
                        </w:r>
                        <w:r>
                          <w:rPr>
                            <w:color w:val="231F20"/>
                            <w:spacing w:val="-11"/>
                            <w:sz w:val="14"/>
                          </w:rPr>
                          <w:t> </w:t>
                        </w:r>
                        <w:r>
                          <w:rPr>
                            <w:color w:val="231F20"/>
                            <w:sz w:val="14"/>
                          </w:rPr>
                          <w:t>и</w:t>
                        </w:r>
                        <w:r>
                          <w:rPr>
                            <w:color w:val="231F20"/>
                            <w:spacing w:val="-11"/>
                            <w:sz w:val="14"/>
                          </w:rPr>
                          <w:t> </w:t>
                        </w:r>
                        <w:r>
                          <w:rPr>
                            <w:color w:val="231F20"/>
                            <w:sz w:val="14"/>
                          </w:rPr>
                          <w:t>развој</w:t>
                        </w:r>
                      </w:p>
                      <w:p>
                        <w:pPr>
                          <w:pStyle w:val="TableParagraph"/>
                          <w:spacing w:line="218" w:lineRule="auto" w:before="0"/>
                          <w:ind w:left="56" w:right="44"/>
                          <w:jc w:val="both"/>
                          <w:rPr>
                            <w:sz w:val="14"/>
                          </w:rPr>
                        </w:pPr>
                        <w:r>
                          <w:rPr>
                            <w:color w:val="231F20"/>
                            <w:w w:val="66"/>
                            <w:sz w:val="14"/>
                          </w:rPr>
                          <w:t> </w:t>
                        </w:r>
                        <w:r>
                          <w:rPr>
                            <w:color w:val="231F20"/>
                            <w:sz w:val="14"/>
                          </w:rPr>
                          <w:t>– Подстицај стварању кластера МСП у производном и услужном сектору</w:t>
                        </w:r>
                      </w:p>
                      <w:p>
                        <w:pPr>
                          <w:pStyle w:val="TableParagraph"/>
                          <w:spacing w:line="218" w:lineRule="auto" w:before="0"/>
                          <w:ind w:left="56" w:right="44"/>
                          <w:jc w:val="both"/>
                          <w:rPr>
                            <w:sz w:val="14"/>
                          </w:rPr>
                        </w:pPr>
                        <w:r>
                          <w:rPr>
                            <w:color w:val="231F20"/>
                            <w:w w:val="66"/>
                            <w:sz w:val="14"/>
                          </w:rPr>
                          <w:t> </w:t>
                        </w:r>
                        <w:r>
                          <w:rPr>
                            <w:color w:val="231F20"/>
                            <w:sz w:val="14"/>
                          </w:rPr>
                          <w:t>–</w:t>
                        </w:r>
                        <w:r>
                          <w:rPr>
                            <w:color w:val="231F20"/>
                            <w:spacing w:val="-14"/>
                            <w:sz w:val="14"/>
                          </w:rPr>
                          <w:t> </w:t>
                        </w:r>
                        <w:r>
                          <w:rPr>
                            <w:color w:val="231F20"/>
                            <w:sz w:val="14"/>
                          </w:rPr>
                          <w:t>Подршка</w:t>
                        </w:r>
                        <w:r>
                          <w:rPr>
                            <w:color w:val="231F20"/>
                            <w:spacing w:val="-14"/>
                            <w:sz w:val="14"/>
                          </w:rPr>
                          <w:t> </w:t>
                        </w:r>
                        <w:r>
                          <w:rPr>
                            <w:color w:val="231F20"/>
                            <w:sz w:val="14"/>
                          </w:rPr>
                          <w:t>интензивном</w:t>
                        </w:r>
                        <w:r>
                          <w:rPr>
                            <w:color w:val="231F20"/>
                            <w:spacing w:val="-14"/>
                            <w:sz w:val="14"/>
                          </w:rPr>
                          <w:t> </w:t>
                        </w:r>
                        <w:r>
                          <w:rPr>
                            <w:color w:val="231F20"/>
                            <w:sz w:val="14"/>
                          </w:rPr>
                          <w:t>отварању</w:t>
                        </w:r>
                        <w:r>
                          <w:rPr>
                            <w:color w:val="231F20"/>
                            <w:spacing w:val="-14"/>
                            <w:sz w:val="14"/>
                          </w:rPr>
                          <w:t> </w:t>
                        </w:r>
                        <w:r>
                          <w:rPr>
                            <w:color w:val="231F20"/>
                            <w:sz w:val="14"/>
                          </w:rPr>
                          <w:t>нових предузећа</w:t>
                        </w:r>
                        <w:r>
                          <w:rPr>
                            <w:color w:val="231F20"/>
                            <w:spacing w:val="-8"/>
                            <w:sz w:val="14"/>
                          </w:rPr>
                          <w:t> </w:t>
                        </w:r>
                        <w:r>
                          <w:rPr>
                            <w:color w:val="231F20"/>
                            <w:sz w:val="14"/>
                          </w:rPr>
                          <w:t>и</w:t>
                        </w:r>
                        <w:r>
                          <w:rPr>
                            <w:color w:val="231F20"/>
                            <w:spacing w:val="-8"/>
                            <w:sz w:val="14"/>
                          </w:rPr>
                          <w:t> </w:t>
                        </w:r>
                        <w:r>
                          <w:rPr>
                            <w:color w:val="231F20"/>
                            <w:sz w:val="14"/>
                          </w:rPr>
                          <w:t>самозапошљавању,</w:t>
                        </w:r>
                        <w:r>
                          <w:rPr>
                            <w:color w:val="231F20"/>
                            <w:spacing w:val="-8"/>
                            <w:sz w:val="14"/>
                          </w:rPr>
                          <w:t> </w:t>
                        </w:r>
                        <w:r>
                          <w:rPr>
                            <w:color w:val="231F20"/>
                            <w:sz w:val="14"/>
                          </w:rPr>
                          <w:t>уз</w:t>
                        </w:r>
                        <w:r>
                          <w:rPr>
                            <w:color w:val="231F20"/>
                            <w:spacing w:val="-8"/>
                            <w:sz w:val="14"/>
                          </w:rPr>
                          <w:t> </w:t>
                        </w:r>
                        <w:r>
                          <w:rPr>
                            <w:color w:val="231F20"/>
                            <w:sz w:val="14"/>
                          </w:rPr>
                          <w:t>једно- ставније</w:t>
                        </w:r>
                        <w:r>
                          <w:rPr>
                            <w:color w:val="231F20"/>
                            <w:spacing w:val="-1"/>
                            <w:sz w:val="14"/>
                          </w:rPr>
                          <w:t> </w:t>
                        </w:r>
                        <w:r>
                          <w:rPr>
                            <w:color w:val="231F20"/>
                            <w:sz w:val="14"/>
                          </w:rPr>
                          <w:t>процедуре</w:t>
                        </w:r>
                      </w:p>
                      <w:p>
                        <w:pPr>
                          <w:pStyle w:val="TableParagraph"/>
                          <w:spacing w:line="218" w:lineRule="auto" w:before="0"/>
                          <w:ind w:left="55" w:right="44"/>
                          <w:jc w:val="both"/>
                          <w:rPr>
                            <w:sz w:val="14"/>
                          </w:rPr>
                        </w:pPr>
                        <w:r>
                          <w:rPr>
                            <w:color w:val="231F20"/>
                            <w:w w:val="66"/>
                            <w:sz w:val="14"/>
                          </w:rPr>
                          <w:t> </w:t>
                        </w:r>
                        <w:r>
                          <w:rPr>
                            <w:color w:val="231F20"/>
                            <w:sz w:val="14"/>
                          </w:rPr>
                          <w:t>–</w:t>
                        </w:r>
                        <w:r>
                          <w:rPr>
                            <w:color w:val="231F20"/>
                            <w:spacing w:val="-14"/>
                            <w:sz w:val="14"/>
                          </w:rPr>
                          <w:t> </w:t>
                        </w:r>
                        <w:r>
                          <w:rPr>
                            <w:color w:val="231F20"/>
                            <w:sz w:val="14"/>
                          </w:rPr>
                          <w:t>Подршка</w:t>
                        </w:r>
                        <w:r>
                          <w:rPr>
                            <w:color w:val="231F20"/>
                            <w:spacing w:val="-14"/>
                            <w:sz w:val="14"/>
                          </w:rPr>
                          <w:t> </w:t>
                        </w:r>
                        <w:r>
                          <w:rPr>
                            <w:color w:val="231F20"/>
                            <w:sz w:val="14"/>
                          </w:rPr>
                          <w:t>пољопривредној</w:t>
                        </w:r>
                        <w:r>
                          <w:rPr>
                            <w:color w:val="231F20"/>
                            <w:spacing w:val="-14"/>
                            <w:sz w:val="14"/>
                          </w:rPr>
                          <w:t> </w:t>
                        </w:r>
                        <w:r>
                          <w:rPr>
                            <w:color w:val="231F20"/>
                            <w:sz w:val="14"/>
                          </w:rPr>
                          <w:t>производњи и преради и боље коришћење глобалног тренда пораста тражње за органском храном и општег пораста цена већине стратешких сировина и прехрамбених производа</w:t>
                        </w:r>
                      </w:p>
                      <w:p>
                        <w:pPr>
                          <w:pStyle w:val="TableParagraph"/>
                          <w:spacing w:line="218" w:lineRule="auto" w:before="0"/>
                          <w:ind w:left="55" w:right="45"/>
                          <w:jc w:val="both"/>
                          <w:rPr>
                            <w:sz w:val="14"/>
                          </w:rPr>
                        </w:pPr>
                        <w:r>
                          <w:rPr>
                            <w:color w:val="231F20"/>
                            <w:w w:val="66"/>
                            <w:sz w:val="14"/>
                          </w:rPr>
                          <w:t> </w:t>
                        </w:r>
                        <w:r>
                          <w:rPr>
                            <w:color w:val="231F20"/>
                            <w:sz w:val="14"/>
                          </w:rPr>
                          <w:t>– Планирано значајно повећање тран- спорта на Коридору VII и завршавање техничке</w:t>
                        </w:r>
                        <w:r>
                          <w:rPr>
                            <w:color w:val="231F20"/>
                            <w:spacing w:val="-13"/>
                            <w:sz w:val="14"/>
                          </w:rPr>
                          <w:t> </w:t>
                        </w:r>
                        <w:r>
                          <w:rPr>
                            <w:color w:val="231F20"/>
                            <w:sz w:val="14"/>
                          </w:rPr>
                          <w:t>инфраструктуре</w:t>
                        </w:r>
                        <w:r>
                          <w:rPr>
                            <w:color w:val="231F20"/>
                            <w:spacing w:val="-13"/>
                            <w:sz w:val="14"/>
                          </w:rPr>
                          <w:t> </w:t>
                        </w:r>
                        <w:r>
                          <w:rPr>
                            <w:color w:val="231F20"/>
                            <w:sz w:val="14"/>
                          </w:rPr>
                          <w:t>на</w:t>
                        </w:r>
                        <w:r>
                          <w:rPr>
                            <w:color w:val="231F20"/>
                            <w:spacing w:val="-13"/>
                            <w:sz w:val="14"/>
                          </w:rPr>
                          <w:t> </w:t>
                        </w:r>
                        <w:r>
                          <w:rPr>
                            <w:color w:val="231F20"/>
                            <w:sz w:val="14"/>
                          </w:rPr>
                          <w:t>Коридору</w:t>
                        </w:r>
                        <w:r>
                          <w:rPr>
                            <w:color w:val="231F20"/>
                            <w:spacing w:val="-13"/>
                            <w:sz w:val="14"/>
                          </w:rPr>
                          <w:t> </w:t>
                        </w:r>
                        <w:r>
                          <w:rPr>
                            <w:color w:val="231F20"/>
                            <w:sz w:val="14"/>
                          </w:rPr>
                          <w:t>Х</w:t>
                        </w:r>
                      </w:p>
                      <w:p>
                        <w:pPr>
                          <w:pStyle w:val="TableParagraph"/>
                          <w:spacing w:line="218" w:lineRule="auto" w:before="0"/>
                          <w:ind w:left="55" w:right="45"/>
                          <w:jc w:val="both"/>
                          <w:rPr>
                            <w:sz w:val="14"/>
                          </w:rPr>
                        </w:pPr>
                        <w:r>
                          <w:rPr>
                            <w:color w:val="231F20"/>
                            <w:w w:val="66"/>
                            <w:sz w:val="14"/>
                          </w:rPr>
                          <w:t> </w:t>
                        </w:r>
                        <w:r>
                          <w:rPr>
                            <w:color w:val="231F20"/>
                            <w:sz w:val="14"/>
                          </w:rPr>
                          <w:t>– Повећавање регионалне и локалне конкурентности и извозне оријентације фирми уз веће ангажовање високообра- зованог и високо-квалификованог кадра</w:t>
                        </w:r>
                      </w:p>
                      <w:p>
                        <w:pPr>
                          <w:pStyle w:val="TableParagraph"/>
                          <w:spacing w:line="218" w:lineRule="auto" w:before="0"/>
                          <w:ind w:left="55" w:right="45"/>
                          <w:jc w:val="both"/>
                          <w:rPr>
                            <w:sz w:val="14"/>
                          </w:rPr>
                        </w:pPr>
                        <w:r>
                          <w:rPr>
                            <w:color w:val="231F20"/>
                            <w:w w:val="66"/>
                            <w:sz w:val="14"/>
                          </w:rPr>
                          <w:t> </w:t>
                        </w:r>
                        <w:r>
                          <w:rPr>
                            <w:color w:val="231F20"/>
                            <w:sz w:val="14"/>
                          </w:rPr>
                          <w:t>– Постојање регионалне агенције за раз- вој и јачање јавно-приватно-цивилног партнерства три сектора</w:t>
                        </w:r>
                      </w:p>
                      <w:p>
                        <w:pPr>
                          <w:pStyle w:val="TableParagraph"/>
                          <w:spacing w:line="218" w:lineRule="auto" w:before="0"/>
                          <w:ind w:left="55" w:right="45"/>
                          <w:jc w:val="both"/>
                          <w:rPr>
                            <w:sz w:val="14"/>
                          </w:rPr>
                        </w:pPr>
                        <w:r>
                          <w:rPr>
                            <w:color w:val="231F20"/>
                            <w:w w:val="66"/>
                            <w:sz w:val="14"/>
                          </w:rPr>
                          <w:t> </w:t>
                        </w:r>
                        <w:r>
                          <w:rPr>
                            <w:color w:val="231F20"/>
                            <w:sz w:val="14"/>
                          </w:rPr>
                          <w:t>– Раст потражње МСП сектора и инве- ститора за специфичне услуге, подршке и информисаности</w:t>
                        </w:r>
                      </w:p>
                      <w:p>
                        <w:pPr>
                          <w:pStyle w:val="TableParagraph"/>
                          <w:spacing w:line="218" w:lineRule="auto" w:before="0"/>
                          <w:ind w:left="55" w:right="45"/>
                          <w:jc w:val="both"/>
                          <w:rPr>
                            <w:sz w:val="14"/>
                          </w:rPr>
                        </w:pPr>
                        <w:r>
                          <w:rPr>
                            <w:color w:val="231F20"/>
                            <w:w w:val="66"/>
                            <w:sz w:val="14"/>
                          </w:rPr>
                          <w:t> </w:t>
                        </w:r>
                        <w:r>
                          <w:rPr>
                            <w:color w:val="231F20"/>
                            <w:sz w:val="14"/>
                          </w:rPr>
                          <w:t>–</w:t>
                        </w:r>
                        <w:r>
                          <w:rPr>
                            <w:color w:val="231F20"/>
                            <w:spacing w:val="-5"/>
                            <w:sz w:val="14"/>
                          </w:rPr>
                          <w:t> </w:t>
                        </w:r>
                        <w:r>
                          <w:rPr>
                            <w:color w:val="231F20"/>
                            <w:sz w:val="14"/>
                          </w:rPr>
                          <w:t>Придруживање</w:t>
                        </w:r>
                        <w:r>
                          <w:rPr>
                            <w:color w:val="231F20"/>
                            <w:spacing w:val="-5"/>
                            <w:sz w:val="14"/>
                          </w:rPr>
                          <w:t> </w:t>
                        </w:r>
                        <w:r>
                          <w:rPr>
                            <w:color w:val="231F20"/>
                            <w:sz w:val="14"/>
                          </w:rPr>
                          <w:t>ЕУ</w:t>
                        </w:r>
                        <w:r>
                          <w:rPr>
                            <w:color w:val="231F20"/>
                            <w:spacing w:val="-5"/>
                            <w:sz w:val="14"/>
                          </w:rPr>
                          <w:t> </w:t>
                        </w:r>
                        <w:r>
                          <w:rPr>
                            <w:color w:val="231F20"/>
                            <w:sz w:val="14"/>
                          </w:rPr>
                          <w:t>и</w:t>
                        </w:r>
                        <w:r>
                          <w:rPr>
                            <w:color w:val="231F20"/>
                            <w:spacing w:val="-5"/>
                            <w:sz w:val="14"/>
                          </w:rPr>
                          <w:t> </w:t>
                        </w:r>
                        <w:r>
                          <w:rPr>
                            <w:color w:val="231F20"/>
                            <w:sz w:val="14"/>
                          </w:rPr>
                          <w:t>брже</w:t>
                        </w:r>
                        <w:r>
                          <w:rPr>
                            <w:color w:val="231F20"/>
                            <w:spacing w:val="-5"/>
                            <w:sz w:val="14"/>
                          </w:rPr>
                          <w:t> </w:t>
                        </w:r>
                        <w:r>
                          <w:rPr>
                            <w:color w:val="231F20"/>
                            <w:sz w:val="14"/>
                          </w:rPr>
                          <w:t>и</w:t>
                        </w:r>
                        <w:r>
                          <w:rPr>
                            <w:color w:val="231F20"/>
                            <w:spacing w:val="-5"/>
                            <w:sz w:val="14"/>
                          </w:rPr>
                          <w:t> </w:t>
                        </w:r>
                        <w:r>
                          <w:rPr>
                            <w:color w:val="231F20"/>
                            <w:sz w:val="14"/>
                          </w:rPr>
                          <w:t>шире</w:t>
                        </w:r>
                        <w:r>
                          <w:rPr>
                            <w:color w:val="231F20"/>
                            <w:spacing w:val="-5"/>
                            <w:sz w:val="14"/>
                          </w:rPr>
                          <w:t> </w:t>
                        </w:r>
                        <w:r>
                          <w:rPr>
                            <w:color w:val="231F20"/>
                            <w:sz w:val="14"/>
                          </w:rPr>
                          <w:t>уво- ђење разних европских</w:t>
                        </w:r>
                        <w:r>
                          <w:rPr>
                            <w:color w:val="231F20"/>
                            <w:spacing w:val="-4"/>
                            <w:sz w:val="14"/>
                          </w:rPr>
                          <w:t> </w:t>
                        </w:r>
                        <w:r>
                          <w:rPr>
                            <w:color w:val="231F20"/>
                            <w:sz w:val="14"/>
                          </w:rPr>
                          <w:t>стандарда</w:t>
                        </w:r>
                      </w:p>
                      <w:p>
                        <w:pPr>
                          <w:pStyle w:val="TableParagraph"/>
                          <w:spacing w:line="141" w:lineRule="exact" w:before="0"/>
                          <w:ind w:left="56"/>
                          <w:jc w:val="both"/>
                          <w:rPr>
                            <w:sz w:val="14"/>
                          </w:rPr>
                        </w:pPr>
                        <w:r>
                          <w:rPr>
                            <w:color w:val="231F20"/>
                            <w:w w:val="66"/>
                            <w:sz w:val="14"/>
                          </w:rPr>
                          <w:t> </w:t>
                        </w:r>
                        <w:r>
                          <w:rPr>
                            <w:color w:val="231F20"/>
                            <w:sz w:val="14"/>
                          </w:rPr>
                          <w:t>– Могућна гасификација региона</w:t>
                        </w:r>
                      </w:p>
                      <w:p>
                        <w:pPr>
                          <w:pStyle w:val="TableParagraph"/>
                          <w:spacing w:line="218" w:lineRule="auto" w:before="0"/>
                          <w:ind w:left="56" w:right="44"/>
                          <w:jc w:val="both"/>
                          <w:rPr>
                            <w:sz w:val="14"/>
                          </w:rPr>
                        </w:pPr>
                        <w:r>
                          <w:rPr>
                            <w:color w:val="231F20"/>
                            <w:w w:val="66"/>
                            <w:sz w:val="14"/>
                          </w:rPr>
                          <w:t> </w:t>
                        </w:r>
                        <w:r>
                          <w:rPr>
                            <w:color w:val="231F20"/>
                            <w:sz w:val="14"/>
                          </w:rPr>
                          <w:t>– Подршка регионалној, суседској и ме- ђународној сарадњи, могућност кори- шћења суседских програма</w:t>
                        </w:r>
                      </w:p>
                      <w:p>
                        <w:pPr>
                          <w:pStyle w:val="TableParagraph"/>
                          <w:spacing w:line="218" w:lineRule="auto" w:before="0"/>
                          <w:ind w:left="56" w:right="44"/>
                          <w:jc w:val="both"/>
                          <w:rPr>
                            <w:sz w:val="14"/>
                          </w:rPr>
                        </w:pPr>
                        <w:r>
                          <w:rPr>
                            <w:color w:val="231F20"/>
                            <w:w w:val="66"/>
                            <w:sz w:val="14"/>
                          </w:rPr>
                          <w:t> </w:t>
                        </w:r>
                        <w:r>
                          <w:rPr>
                            <w:color w:val="231F20"/>
                            <w:sz w:val="14"/>
                          </w:rPr>
                          <w:t>– Боље коришћење капитала, искуства  и других ресурса којима располаже ди- јаспора</w:t>
                        </w:r>
                      </w:p>
                      <w:p>
                        <w:pPr>
                          <w:pStyle w:val="TableParagraph"/>
                          <w:spacing w:line="148" w:lineRule="exact" w:before="0"/>
                          <w:ind w:left="56"/>
                          <w:jc w:val="both"/>
                          <w:rPr>
                            <w:sz w:val="14"/>
                          </w:rPr>
                        </w:pPr>
                        <w:r>
                          <w:rPr>
                            <w:color w:val="231F20"/>
                            <w:w w:val="66"/>
                            <w:sz w:val="14"/>
                          </w:rPr>
                          <w:t> </w:t>
                        </w:r>
                        <w:r>
                          <w:rPr>
                            <w:color w:val="231F20"/>
                            <w:sz w:val="14"/>
                          </w:rPr>
                          <w:t>– Приватизација јавног сектора</w:t>
                        </w:r>
                      </w:p>
                    </w:tc>
                    <w:tc>
                      <w:tcPr>
                        <w:tcW w:w="2551" w:type="dxa"/>
                      </w:tcPr>
                      <w:p>
                        <w:pPr>
                          <w:pStyle w:val="TableParagraph"/>
                          <w:spacing w:line="218" w:lineRule="auto" w:before="31"/>
                          <w:ind w:left="56" w:right="44"/>
                          <w:jc w:val="both"/>
                          <w:rPr>
                            <w:sz w:val="14"/>
                          </w:rPr>
                        </w:pPr>
                        <w:r>
                          <w:rPr>
                            <w:color w:val="231F20"/>
                            <w:w w:val="66"/>
                            <w:sz w:val="14"/>
                          </w:rPr>
                          <w:t> </w:t>
                        </w:r>
                        <w:r>
                          <w:rPr>
                            <w:color w:val="231F20"/>
                            <w:sz w:val="14"/>
                          </w:rPr>
                          <w:t>– Неповољне последице продуженог трајања светске и домаће кризе</w:t>
                        </w:r>
                      </w:p>
                      <w:p>
                        <w:pPr>
                          <w:pStyle w:val="TableParagraph"/>
                          <w:spacing w:line="218" w:lineRule="auto" w:before="0"/>
                          <w:ind w:left="56" w:right="44" w:hanging="1"/>
                          <w:jc w:val="both"/>
                          <w:rPr>
                            <w:sz w:val="14"/>
                          </w:rPr>
                        </w:pPr>
                        <w:r>
                          <w:rPr>
                            <w:color w:val="231F20"/>
                            <w:w w:val="66"/>
                            <w:sz w:val="14"/>
                          </w:rPr>
                          <w:t> </w:t>
                        </w:r>
                        <w:r>
                          <w:rPr>
                            <w:color w:val="231F20"/>
                            <w:sz w:val="14"/>
                          </w:rPr>
                          <w:t>– Несаниране последице лоше привати- зације</w:t>
                        </w:r>
                      </w:p>
                      <w:p>
                        <w:pPr>
                          <w:pStyle w:val="TableParagraph"/>
                          <w:spacing w:line="218" w:lineRule="auto" w:before="0"/>
                          <w:ind w:left="56" w:right="44"/>
                          <w:jc w:val="both"/>
                          <w:rPr>
                            <w:sz w:val="14"/>
                          </w:rPr>
                        </w:pPr>
                        <w:r>
                          <w:rPr>
                            <w:color w:val="231F20"/>
                            <w:w w:val="66"/>
                            <w:sz w:val="14"/>
                          </w:rPr>
                          <w:t> </w:t>
                        </w:r>
                        <w:r>
                          <w:rPr>
                            <w:color w:val="231F20"/>
                            <w:sz w:val="14"/>
                          </w:rPr>
                          <w:t>– Нерешени правно-имовински односи између државе и локалне самоуправе, и недовољна имовина и средства локалне самоуправе</w:t>
                        </w:r>
                      </w:p>
                      <w:p>
                        <w:pPr>
                          <w:pStyle w:val="TableParagraph"/>
                          <w:spacing w:line="218" w:lineRule="auto" w:before="0"/>
                          <w:ind w:left="56" w:right="44" w:hanging="1"/>
                          <w:jc w:val="both"/>
                          <w:rPr>
                            <w:sz w:val="14"/>
                          </w:rPr>
                        </w:pPr>
                        <w:r>
                          <w:rPr>
                            <w:color w:val="231F20"/>
                            <w:w w:val="66"/>
                            <w:sz w:val="14"/>
                          </w:rPr>
                          <w:t> </w:t>
                        </w:r>
                        <w:r>
                          <w:rPr>
                            <w:color w:val="231F20"/>
                            <w:sz w:val="14"/>
                          </w:rPr>
                          <w:t>– Настављање „демографске рецесије”, посебно одржавање ниског наталитета, даље старење становништва у сеоским насељима и миграција млађе и/или</w:t>
                        </w:r>
                        <w:r>
                          <w:rPr>
                            <w:color w:val="231F20"/>
                            <w:spacing w:val="-22"/>
                            <w:sz w:val="14"/>
                          </w:rPr>
                          <w:t> </w:t>
                        </w:r>
                        <w:r>
                          <w:rPr>
                            <w:color w:val="231F20"/>
                            <w:sz w:val="14"/>
                          </w:rPr>
                          <w:t>обра- зоване и/или квалификоване</w:t>
                        </w:r>
                        <w:r>
                          <w:rPr>
                            <w:color w:val="231F20"/>
                            <w:spacing w:val="-25"/>
                            <w:sz w:val="14"/>
                          </w:rPr>
                          <w:t> </w:t>
                        </w:r>
                        <w:r>
                          <w:rPr>
                            <w:color w:val="231F20"/>
                            <w:sz w:val="14"/>
                          </w:rPr>
                          <w:t>популације</w:t>
                        </w:r>
                      </w:p>
                      <w:p>
                        <w:pPr>
                          <w:pStyle w:val="TableParagraph"/>
                          <w:spacing w:line="218" w:lineRule="auto" w:before="0"/>
                          <w:ind w:left="56" w:right="44"/>
                          <w:jc w:val="both"/>
                          <w:rPr>
                            <w:sz w:val="14"/>
                          </w:rPr>
                        </w:pPr>
                        <w:r>
                          <w:rPr>
                            <w:color w:val="231F20"/>
                            <w:w w:val="66"/>
                            <w:sz w:val="14"/>
                          </w:rPr>
                          <w:t> </w:t>
                        </w:r>
                        <w:r>
                          <w:rPr>
                            <w:color w:val="231F20"/>
                            <w:sz w:val="14"/>
                          </w:rPr>
                          <w:t>–</w:t>
                        </w:r>
                        <w:r>
                          <w:rPr>
                            <w:color w:val="231F20"/>
                            <w:spacing w:val="-10"/>
                            <w:sz w:val="14"/>
                          </w:rPr>
                          <w:t> </w:t>
                        </w:r>
                        <w:r>
                          <w:rPr>
                            <w:color w:val="231F20"/>
                            <w:sz w:val="14"/>
                          </w:rPr>
                          <w:t>Дефицит</w:t>
                        </w:r>
                        <w:r>
                          <w:rPr>
                            <w:color w:val="231F20"/>
                            <w:spacing w:val="-10"/>
                            <w:sz w:val="14"/>
                          </w:rPr>
                          <w:t> </w:t>
                        </w:r>
                        <w:r>
                          <w:rPr>
                            <w:color w:val="231F20"/>
                            <w:sz w:val="14"/>
                          </w:rPr>
                          <w:t>појединог</w:t>
                        </w:r>
                        <w:r>
                          <w:rPr>
                            <w:color w:val="231F20"/>
                            <w:spacing w:val="-10"/>
                            <w:sz w:val="14"/>
                          </w:rPr>
                          <w:t> </w:t>
                        </w:r>
                        <w:r>
                          <w:rPr>
                            <w:color w:val="231F20"/>
                            <w:sz w:val="14"/>
                          </w:rPr>
                          <w:t>кадра</w:t>
                        </w:r>
                        <w:r>
                          <w:rPr>
                            <w:color w:val="231F20"/>
                            <w:spacing w:val="-10"/>
                            <w:sz w:val="14"/>
                          </w:rPr>
                          <w:t> </w:t>
                        </w:r>
                        <w:r>
                          <w:rPr>
                            <w:color w:val="231F20"/>
                            <w:sz w:val="14"/>
                          </w:rPr>
                          <w:t>и</w:t>
                        </w:r>
                        <w:r>
                          <w:rPr>
                            <w:color w:val="231F20"/>
                            <w:spacing w:val="-10"/>
                            <w:sz w:val="14"/>
                          </w:rPr>
                          <w:t> </w:t>
                        </w:r>
                        <w:r>
                          <w:rPr>
                            <w:color w:val="231F20"/>
                            <w:sz w:val="14"/>
                          </w:rPr>
                          <w:t>недовољни кадровски и организациони капацитети за конкурисање за средства фондова</w:t>
                        </w:r>
                        <w:r>
                          <w:rPr>
                            <w:color w:val="231F20"/>
                            <w:spacing w:val="-18"/>
                            <w:sz w:val="14"/>
                          </w:rPr>
                          <w:t> </w:t>
                        </w:r>
                        <w:r>
                          <w:rPr>
                            <w:color w:val="231F20"/>
                            <w:sz w:val="14"/>
                          </w:rPr>
                          <w:t>ЕУ</w:t>
                        </w:r>
                      </w:p>
                      <w:p>
                        <w:pPr>
                          <w:pStyle w:val="TableParagraph"/>
                          <w:spacing w:line="218" w:lineRule="auto" w:before="0"/>
                          <w:ind w:left="56" w:right="44"/>
                          <w:jc w:val="both"/>
                          <w:rPr>
                            <w:sz w:val="14"/>
                          </w:rPr>
                        </w:pPr>
                        <w:r>
                          <w:rPr>
                            <w:color w:val="231F20"/>
                            <w:w w:val="66"/>
                            <w:sz w:val="14"/>
                          </w:rPr>
                          <w:t> </w:t>
                        </w:r>
                        <w:r>
                          <w:rPr>
                            <w:color w:val="231F20"/>
                            <w:sz w:val="14"/>
                          </w:rPr>
                          <w:t>– Изостајање диверсификације и задр- жавање постојећег обрасца</w:t>
                        </w:r>
                        <w:r>
                          <w:rPr>
                            <w:color w:val="231F20"/>
                            <w:spacing w:val="-15"/>
                            <w:sz w:val="14"/>
                          </w:rPr>
                          <w:t> </w:t>
                        </w:r>
                        <w:r>
                          <w:rPr>
                            <w:color w:val="231F20"/>
                            <w:sz w:val="14"/>
                          </w:rPr>
                          <w:t>„палео-инду- стријског” развоја, уз пратеће</w:t>
                        </w:r>
                        <w:r>
                          <w:rPr>
                            <w:color w:val="231F20"/>
                            <w:spacing w:val="21"/>
                            <w:sz w:val="14"/>
                          </w:rPr>
                          <w:t> </w:t>
                        </w:r>
                        <w:r>
                          <w:rPr>
                            <w:color w:val="231F20"/>
                            <w:sz w:val="14"/>
                          </w:rPr>
                          <w:t>слабљење</w:t>
                        </w:r>
                      </w:p>
                      <w:p>
                        <w:pPr>
                          <w:pStyle w:val="TableParagraph"/>
                          <w:spacing w:line="140" w:lineRule="exact" w:before="0"/>
                          <w:ind w:left="56"/>
                          <w:jc w:val="both"/>
                          <w:rPr>
                            <w:sz w:val="14"/>
                          </w:rPr>
                        </w:pPr>
                        <w:r>
                          <w:rPr>
                            <w:color w:val="231F20"/>
                            <w:sz w:val="14"/>
                          </w:rPr>
                          <w:t>„територијалног капитала”</w:t>
                        </w:r>
                      </w:p>
                      <w:p>
                        <w:pPr>
                          <w:pStyle w:val="TableParagraph"/>
                          <w:spacing w:line="218" w:lineRule="auto" w:before="0"/>
                          <w:ind w:left="56" w:right="44"/>
                          <w:jc w:val="both"/>
                          <w:rPr>
                            <w:sz w:val="14"/>
                          </w:rPr>
                        </w:pPr>
                        <w:r>
                          <w:rPr>
                            <w:color w:val="231F20"/>
                            <w:w w:val="66"/>
                            <w:sz w:val="14"/>
                          </w:rPr>
                          <w:t> </w:t>
                        </w:r>
                        <w:r>
                          <w:rPr>
                            <w:color w:val="231F20"/>
                            <w:sz w:val="14"/>
                          </w:rPr>
                          <w:t>– Изостајање новог развојног циклуса, на принципима и критеријумима одржи- вог развоја</w:t>
                        </w:r>
                      </w:p>
                      <w:p>
                        <w:pPr>
                          <w:pStyle w:val="TableParagraph"/>
                          <w:spacing w:line="218" w:lineRule="auto" w:before="0"/>
                          <w:ind w:left="56" w:right="44"/>
                          <w:jc w:val="both"/>
                          <w:rPr>
                            <w:sz w:val="14"/>
                          </w:rPr>
                        </w:pPr>
                        <w:r>
                          <w:rPr>
                            <w:color w:val="231F20"/>
                            <w:w w:val="66"/>
                            <w:sz w:val="14"/>
                          </w:rPr>
                          <w:t> </w:t>
                        </w:r>
                        <w:r>
                          <w:rPr>
                            <w:color w:val="231F20"/>
                            <w:sz w:val="14"/>
                          </w:rPr>
                          <w:t>– Даљи пораст незапослености, изоста- нак социјално одрживог раста и развоја, пораст сиромаштва</w:t>
                        </w:r>
                      </w:p>
                      <w:p>
                        <w:pPr>
                          <w:pStyle w:val="TableParagraph"/>
                          <w:spacing w:line="218" w:lineRule="auto" w:before="0"/>
                          <w:ind w:left="56" w:right="44" w:hanging="1"/>
                          <w:jc w:val="both"/>
                          <w:rPr>
                            <w:sz w:val="14"/>
                          </w:rPr>
                        </w:pPr>
                        <w:r>
                          <w:rPr>
                            <w:color w:val="231F20"/>
                            <w:w w:val="66"/>
                            <w:sz w:val="14"/>
                          </w:rPr>
                          <w:t> </w:t>
                        </w:r>
                        <w:r>
                          <w:rPr>
                            <w:color w:val="231F20"/>
                            <w:sz w:val="14"/>
                          </w:rPr>
                          <w:t>– Наставак неодрживог реструктурира- ња и приватизације јавног сектора</w:t>
                        </w:r>
                      </w:p>
                      <w:p>
                        <w:pPr>
                          <w:pStyle w:val="TableParagraph"/>
                          <w:spacing w:line="218" w:lineRule="auto" w:before="0"/>
                          <w:ind w:left="56" w:right="44"/>
                          <w:jc w:val="both"/>
                          <w:rPr>
                            <w:sz w:val="14"/>
                          </w:rPr>
                        </w:pPr>
                        <w:r>
                          <w:rPr>
                            <w:color w:val="231F20"/>
                            <w:w w:val="66"/>
                            <w:sz w:val="14"/>
                          </w:rPr>
                          <w:t> </w:t>
                        </w:r>
                        <w:r>
                          <w:rPr>
                            <w:color w:val="231F20"/>
                            <w:sz w:val="14"/>
                          </w:rPr>
                          <w:t>– Даље угрожавање животне средине због очекиваног интензивног развоја производње</w:t>
                        </w:r>
                        <w:r>
                          <w:rPr>
                            <w:color w:val="231F20"/>
                            <w:spacing w:val="-9"/>
                            <w:sz w:val="14"/>
                          </w:rPr>
                          <w:t> </w:t>
                        </w:r>
                        <w:r>
                          <w:rPr>
                            <w:color w:val="231F20"/>
                            <w:sz w:val="14"/>
                          </w:rPr>
                          <w:t>и</w:t>
                        </w:r>
                        <w:r>
                          <w:rPr>
                            <w:color w:val="231F20"/>
                            <w:spacing w:val="-9"/>
                            <w:sz w:val="14"/>
                          </w:rPr>
                          <w:t> </w:t>
                        </w:r>
                        <w:r>
                          <w:rPr>
                            <w:color w:val="231F20"/>
                            <w:sz w:val="14"/>
                          </w:rPr>
                          <w:t>прераде</w:t>
                        </w:r>
                        <w:r>
                          <w:rPr>
                            <w:color w:val="231F20"/>
                            <w:spacing w:val="-9"/>
                            <w:sz w:val="14"/>
                          </w:rPr>
                          <w:t> </w:t>
                        </w:r>
                        <w:r>
                          <w:rPr>
                            <w:color w:val="231F20"/>
                            <w:sz w:val="14"/>
                          </w:rPr>
                          <w:t>угља,</w:t>
                        </w:r>
                        <w:r>
                          <w:rPr>
                            <w:color w:val="231F20"/>
                            <w:spacing w:val="-9"/>
                            <w:sz w:val="14"/>
                          </w:rPr>
                          <w:t> </w:t>
                        </w:r>
                        <w:r>
                          <w:rPr>
                            <w:color w:val="231F20"/>
                            <w:sz w:val="14"/>
                          </w:rPr>
                          <w:t>без</w:t>
                        </w:r>
                        <w:r>
                          <w:rPr>
                            <w:color w:val="231F20"/>
                            <w:spacing w:val="-9"/>
                            <w:sz w:val="14"/>
                          </w:rPr>
                          <w:t> </w:t>
                        </w:r>
                        <w:r>
                          <w:rPr>
                            <w:color w:val="231F20"/>
                            <w:spacing w:val="-3"/>
                            <w:sz w:val="14"/>
                          </w:rPr>
                          <w:t>неопход- </w:t>
                        </w:r>
                        <w:r>
                          <w:rPr>
                            <w:color w:val="231F20"/>
                            <w:sz w:val="14"/>
                          </w:rPr>
                          <w:t>не</w:t>
                        </w:r>
                        <w:r>
                          <w:rPr>
                            <w:color w:val="231F20"/>
                            <w:spacing w:val="-14"/>
                            <w:sz w:val="14"/>
                          </w:rPr>
                          <w:t> </w:t>
                        </w:r>
                        <w:r>
                          <w:rPr>
                            <w:color w:val="231F20"/>
                            <w:sz w:val="14"/>
                          </w:rPr>
                          <w:t>еколошко-просторне</w:t>
                        </w:r>
                        <w:r>
                          <w:rPr>
                            <w:color w:val="231F20"/>
                            <w:spacing w:val="-14"/>
                            <w:sz w:val="14"/>
                          </w:rPr>
                          <w:t> </w:t>
                        </w:r>
                        <w:r>
                          <w:rPr>
                            <w:color w:val="231F20"/>
                            <w:sz w:val="14"/>
                          </w:rPr>
                          <w:t>и</w:t>
                        </w:r>
                        <w:r>
                          <w:rPr>
                            <w:color w:val="231F20"/>
                            <w:spacing w:val="-14"/>
                            <w:sz w:val="14"/>
                          </w:rPr>
                          <w:t> </w:t>
                        </w:r>
                        <w:r>
                          <w:rPr>
                            <w:color w:val="231F20"/>
                            <w:sz w:val="14"/>
                          </w:rPr>
                          <w:t>друге</w:t>
                        </w:r>
                        <w:r>
                          <w:rPr>
                            <w:color w:val="231F20"/>
                            <w:spacing w:val="-14"/>
                            <w:sz w:val="14"/>
                          </w:rPr>
                          <w:t> </w:t>
                        </w:r>
                        <w:r>
                          <w:rPr>
                            <w:color w:val="231F20"/>
                            <w:sz w:val="14"/>
                          </w:rPr>
                          <w:t>контроле</w:t>
                        </w:r>
                      </w:p>
                      <w:p>
                        <w:pPr>
                          <w:pStyle w:val="TableParagraph"/>
                          <w:spacing w:line="218" w:lineRule="auto" w:before="0"/>
                          <w:ind w:left="56" w:right="44"/>
                          <w:jc w:val="both"/>
                          <w:rPr>
                            <w:sz w:val="14"/>
                          </w:rPr>
                        </w:pPr>
                        <w:r>
                          <w:rPr>
                            <w:color w:val="231F20"/>
                            <w:w w:val="66"/>
                            <w:sz w:val="14"/>
                          </w:rPr>
                          <w:t> </w:t>
                        </w:r>
                        <w:r>
                          <w:rPr>
                            <w:color w:val="231F20"/>
                            <w:sz w:val="14"/>
                          </w:rPr>
                          <w:t>– Високи трошкови прилагођавања еко- лошким захтевима и захтевима климат- ских промена (директиве ЕУ о трговању емисијама CO</w:t>
                        </w:r>
                        <w:r>
                          <w:rPr>
                            <w:color w:val="231F20"/>
                            <w:position w:val="-3"/>
                            <w:sz w:val="8"/>
                          </w:rPr>
                          <w:t>2</w:t>
                        </w:r>
                        <w:r>
                          <w:rPr>
                            <w:color w:val="231F20"/>
                            <w:sz w:val="14"/>
                          </w:rPr>
                          <w:t>, CCS, IPPC, ...)</w:t>
                        </w:r>
                      </w:p>
                      <w:p>
                        <w:pPr>
                          <w:pStyle w:val="TableParagraph"/>
                          <w:spacing w:line="111" w:lineRule="exact" w:before="0"/>
                          <w:ind w:left="56"/>
                          <w:jc w:val="both"/>
                          <w:rPr>
                            <w:sz w:val="14"/>
                          </w:rPr>
                        </w:pPr>
                        <w:r>
                          <w:rPr>
                            <w:color w:val="231F20"/>
                            <w:w w:val="66"/>
                            <w:sz w:val="14"/>
                          </w:rPr>
                          <w:t> </w:t>
                        </w:r>
                        <w:r>
                          <w:rPr>
                            <w:color w:val="231F20"/>
                            <w:sz w:val="14"/>
                          </w:rPr>
                          <w:t>– Ограничени финансијски ресурси и</w:t>
                        </w:r>
                      </w:p>
                      <w:p>
                        <w:pPr>
                          <w:pStyle w:val="TableParagraph"/>
                          <w:spacing w:line="218" w:lineRule="auto" w:before="0"/>
                          <w:ind w:left="57" w:right="44"/>
                          <w:jc w:val="both"/>
                          <w:rPr>
                            <w:sz w:val="14"/>
                          </w:rPr>
                        </w:pPr>
                        <w:r>
                          <w:rPr>
                            <w:color w:val="231F20"/>
                            <w:sz w:val="14"/>
                          </w:rPr>
                          <w:t>недостатак јавних финансија за иници- рање и изградњу ИЗ и ИП, неразвијени модалитети јавно-приватног партнер- ства у активирању и коришћењу ресур- са, инвестицијама и друго.</w:t>
                        </w:r>
                      </w:p>
                      <w:p>
                        <w:pPr>
                          <w:pStyle w:val="TableParagraph"/>
                          <w:spacing w:line="218" w:lineRule="auto" w:before="0"/>
                          <w:ind w:left="57" w:right="44"/>
                          <w:jc w:val="both"/>
                          <w:rPr>
                            <w:sz w:val="14"/>
                          </w:rPr>
                        </w:pPr>
                        <w:r>
                          <w:rPr>
                            <w:color w:val="231F20"/>
                            <w:w w:val="66"/>
                            <w:sz w:val="14"/>
                          </w:rPr>
                          <w:t> </w:t>
                        </w:r>
                        <w:r>
                          <w:rPr>
                            <w:color w:val="231F20"/>
                            <w:sz w:val="14"/>
                          </w:rPr>
                          <w:t>– Недовољан развој, ширење и прилаго- ђавања у сектору МСП, и недовољна по- дршка локалне самоуправе развоју МСП</w:t>
                        </w:r>
                      </w:p>
                      <w:p>
                        <w:pPr>
                          <w:pStyle w:val="TableParagraph"/>
                          <w:spacing w:line="218" w:lineRule="auto" w:before="0"/>
                          <w:ind w:left="57" w:right="43"/>
                          <w:jc w:val="both"/>
                          <w:rPr>
                            <w:sz w:val="14"/>
                          </w:rPr>
                        </w:pPr>
                        <w:r>
                          <w:rPr>
                            <w:color w:val="231F20"/>
                            <w:w w:val="66"/>
                            <w:sz w:val="14"/>
                          </w:rPr>
                          <w:t> </w:t>
                        </w:r>
                        <w:r>
                          <w:rPr>
                            <w:color w:val="231F20"/>
                            <w:sz w:val="14"/>
                          </w:rPr>
                          <w:t>– Недостатак средстава за санацију еко- лошких проблема привредних капаците- та и продужена слаба институционална оспособљеност</w:t>
                        </w:r>
                      </w:p>
                      <w:p>
                        <w:pPr>
                          <w:pStyle w:val="TableParagraph"/>
                          <w:spacing w:line="218" w:lineRule="auto" w:before="0"/>
                          <w:ind w:left="57" w:right="43"/>
                          <w:jc w:val="both"/>
                          <w:rPr>
                            <w:sz w:val="14"/>
                          </w:rPr>
                        </w:pPr>
                        <w:r>
                          <w:rPr>
                            <w:color w:val="231F20"/>
                            <w:w w:val="66"/>
                            <w:sz w:val="14"/>
                          </w:rPr>
                          <w:t> </w:t>
                        </w:r>
                        <w:r>
                          <w:rPr>
                            <w:color w:val="231F20"/>
                            <w:sz w:val="14"/>
                          </w:rPr>
                          <w:t>–</w:t>
                        </w:r>
                        <w:r>
                          <w:rPr>
                            <w:color w:val="231F20"/>
                            <w:spacing w:val="-12"/>
                            <w:sz w:val="14"/>
                          </w:rPr>
                          <w:t> </w:t>
                        </w:r>
                        <w:r>
                          <w:rPr>
                            <w:color w:val="231F20"/>
                            <w:spacing w:val="-6"/>
                            <w:sz w:val="14"/>
                          </w:rPr>
                          <w:t>Недефинисане</w:t>
                        </w:r>
                        <w:r>
                          <w:rPr>
                            <w:color w:val="231F20"/>
                            <w:spacing w:val="-12"/>
                            <w:sz w:val="14"/>
                          </w:rPr>
                          <w:t> </w:t>
                        </w:r>
                        <w:r>
                          <w:rPr>
                            <w:color w:val="231F20"/>
                            <w:spacing w:val="-5"/>
                            <w:sz w:val="14"/>
                          </w:rPr>
                          <w:t>мере</w:t>
                        </w:r>
                        <w:r>
                          <w:rPr>
                            <w:color w:val="231F20"/>
                            <w:spacing w:val="-12"/>
                            <w:sz w:val="14"/>
                          </w:rPr>
                          <w:t> </w:t>
                        </w:r>
                        <w:r>
                          <w:rPr>
                            <w:color w:val="231F20"/>
                            <w:spacing w:val="-6"/>
                            <w:sz w:val="14"/>
                          </w:rPr>
                          <w:t>државе</w:t>
                        </w:r>
                        <w:r>
                          <w:rPr>
                            <w:color w:val="231F20"/>
                            <w:spacing w:val="-12"/>
                            <w:sz w:val="14"/>
                          </w:rPr>
                          <w:t> </w:t>
                        </w:r>
                        <w:r>
                          <w:rPr>
                            <w:color w:val="231F20"/>
                            <w:spacing w:val="-3"/>
                            <w:sz w:val="14"/>
                          </w:rPr>
                          <w:t>за</w:t>
                        </w:r>
                        <w:r>
                          <w:rPr>
                            <w:color w:val="231F20"/>
                            <w:spacing w:val="-12"/>
                            <w:sz w:val="14"/>
                          </w:rPr>
                          <w:t> </w:t>
                        </w:r>
                        <w:r>
                          <w:rPr>
                            <w:color w:val="231F20"/>
                            <w:spacing w:val="-6"/>
                            <w:sz w:val="14"/>
                          </w:rPr>
                          <w:t>спровођење националних стратегија развоја </w:t>
                        </w:r>
                        <w:r>
                          <w:rPr>
                            <w:color w:val="231F20"/>
                            <w:sz w:val="14"/>
                          </w:rPr>
                          <w:t>и </w:t>
                        </w:r>
                        <w:r>
                          <w:rPr>
                            <w:color w:val="231F20"/>
                            <w:spacing w:val="-5"/>
                            <w:sz w:val="14"/>
                          </w:rPr>
                          <w:t>слаб </w:t>
                        </w:r>
                        <w:r>
                          <w:rPr>
                            <w:color w:val="231F20"/>
                            <w:spacing w:val="-4"/>
                            <w:sz w:val="14"/>
                          </w:rPr>
                          <w:t>ни- во </w:t>
                        </w:r>
                        <w:r>
                          <w:rPr>
                            <w:color w:val="231F20"/>
                            <w:spacing w:val="-6"/>
                            <w:sz w:val="14"/>
                          </w:rPr>
                          <w:t>развијености имплементацијских, </w:t>
                        </w:r>
                        <w:r>
                          <w:rPr>
                            <w:color w:val="231F20"/>
                            <w:spacing w:val="-5"/>
                            <w:sz w:val="14"/>
                          </w:rPr>
                          <w:t>упра- </w:t>
                        </w:r>
                        <w:r>
                          <w:rPr>
                            <w:color w:val="231F20"/>
                            <w:spacing w:val="-6"/>
                            <w:sz w:val="14"/>
                          </w:rPr>
                          <w:t>вљачких </w:t>
                        </w:r>
                        <w:r>
                          <w:rPr>
                            <w:color w:val="231F20"/>
                            <w:sz w:val="14"/>
                          </w:rPr>
                          <w:t>и </w:t>
                        </w:r>
                        <w:r>
                          <w:rPr>
                            <w:color w:val="231F20"/>
                            <w:spacing w:val="-7"/>
                            <w:sz w:val="14"/>
                          </w:rPr>
                          <w:t>контролних </w:t>
                        </w:r>
                        <w:r>
                          <w:rPr>
                            <w:color w:val="231F20"/>
                            <w:spacing w:val="-6"/>
                            <w:sz w:val="14"/>
                          </w:rPr>
                          <w:t>инструмената </w:t>
                        </w:r>
                        <w:r>
                          <w:rPr>
                            <w:color w:val="231F20"/>
                            <w:sz w:val="14"/>
                          </w:rPr>
                          <w:t>у </w:t>
                        </w:r>
                        <w:r>
                          <w:rPr>
                            <w:color w:val="231F20"/>
                            <w:spacing w:val="-4"/>
                            <w:sz w:val="14"/>
                          </w:rPr>
                          <w:t>реа- </w:t>
                        </w:r>
                        <w:r>
                          <w:rPr>
                            <w:color w:val="231F20"/>
                            <w:spacing w:val="-6"/>
                            <w:sz w:val="14"/>
                          </w:rPr>
                          <w:t>лизацији регионалних </w:t>
                        </w:r>
                        <w:r>
                          <w:rPr>
                            <w:color w:val="231F20"/>
                            <w:sz w:val="14"/>
                          </w:rPr>
                          <w:t>и </w:t>
                        </w:r>
                        <w:r>
                          <w:rPr>
                            <w:color w:val="231F20"/>
                            <w:spacing w:val="-6"/>
                            <w:sz w:val="14"/>
                          </w:rPr>
                          <w:t>локалних</w:t>
                        </w:r>
                        <w:r>
                          <w:rPr>
                            <w:color w:val="231F20"/>
                            <w:spacing w:val="-22"/>
                            <w:sz w:val="14"/>
                          </w:rPr>
                          <w:t> </w:t>
                        </w:r>
                        <w:r>
                          <w:rPr>
                            <w:color w:val="231F20"/>
                            <w:spacing w:val="-6"/>
                            <w:sz w:val="14"/>
                          </w:rPr>
                          <w:t>стратегија</w:t>
                        </w:r>
                      </w:p>
                    </w:tc>
                  </w:tr>
                </w:tbl>
                <w:p>
                  <w:pPr>
                    <w:pStyle w:val="BodyText"/>
                    <w:ind w:left="0"/>
                    <w:jc w:val="left"/>
                  </w:pPr>
                </w:p>
              </w:txbxContent>
            </v:textbox>
            <w10:wrap type="none"/>
          </v:shape>
        </w:pict>
      </w:r>
      <w:r>
        <w:rPr>
          <w:color w:val="231F20"/>
          <w:sz w:val="14"/>
        </w:rPr>
        <w:t>* евидентирана непокретна културна добра (( знаменита места. Категоризација је урађена</w:t>
      </w:r>
      <w:r>
        <w:rPr>
          <w:color w:val="231F20"/>
          <w:spacing w:val="-7"/>
          <w:sz w:val="14"/>
        </w:rPr>
        <w:t> </w:t>
      </w:r>
      <w:r>
        <w:rPr>
          <w:color w:val="231F20"/>
          <w:sz w:val="14"/>
        </w:rPr>
        <w:t>према</w:t>
      </w:r>
      <w:r>
        <w:rPr>
          <w:color w:val="231F20"/>
          <w:spacing w:val="-7"/>
          <w:sz w:val="14"/>
        </w:rPr>
        <w:t> </w:t>
      </w:r>
      <w:r>
        <w:rPr>
          <w:color w:val="231F20"/>
          <w:sz w:val="14"/>
        </w:rPr>
        <w:t>Закону</w:t>
      </w:r>
      <w:r>
        <w:rPr>
          <w:color w:val="231F20"/>
          <w:spacing w:val="-7"/>
          <w:sz w:val="14"/>
        </w:rPr>
        <w:t> </w:t>
      </w:r>
      <w:r>
        <w:rPr>
          <w:color w:val="231F20"/>
          <w:sz w:val="14"/>
        </w:rPr>
        <w:t>о</w:t>
      </w:r>
      <w:r>
        <w:rPr>
          <w:color w:val="231F20"/>
          <w:spacing w:val="-7"/>
          <w:sz w:val="14"/>
        </w:rPr>
        <w:t> </w:t>
      </w:r>
      <w:r>
        <w:rPr>
          <w:color w:val="231F20"/>
          <w:sz w:val="14"/>
        </w:rPr>
        <w:t>заштити</w:t>
      </w:r>
      <w:r>
        <w:rPr>
          <w:color w:val="231F20"/>
          <w:spacing w:val="-7"/>
          <w:sz w:val="14"/>
        </w:rPr>
        <w:t> </w:t>
      </w:r>
      <w:r>
        <w:rPr>
          <w:color w:val="231F20"/>
          <w:sz w:val="14"/>
        </w:rPr>
        <w:t>културних</w:t>
      </w:r>
      <w:r>
        <w:rPr>
          <w:color w:val="231F20"/>
          <w:spacing w:val="-7"/>
          <w:sz w:val="14"/>
        </w:rPr>
        <w:t> </w:t>
      </w:r>
      <w:r>
        <w:rPr>
          <w:color w:val="231F20"/>
          <w:sz w:val="14"/>
        </w:rPr>
        <w:t>добара,</w:t>
      </w:r>
      <w:r>
        <w:rPr>
          <w:color w:val="231F20"/>
          <w:spacing w:val="-7"/>
          <w:sz w:val="14"/>
        </w:rPr>
        <w:t> </w:t>
      </w:r>
      <w:r>
        <w:rPr>
          <w:color w:val="231F20"/>
          <w:sz w:val="14"/>
        </w:rPr>
        <w:t>(„Службени</w:t>
      </w:r>
      <w:r>
        <w:rPr>
          <w:color w:val="231F20"/>
          <w:spacing w:val="-7"/>
          <w:sz w:val="14"/>
        </w:rPr>
        <w:t> </w:t>
      </w:r>
      <w:r>
        <w:rPr>
          <w:color w:val="231F20"/>
          <w:sz w:val="14"/>
        </w:rPr>
        <w:t>гласник</w:t>
      </w:r>
      <w:r>
        <w:rPr>
          <w:color w:val="231F20"/>
          <w:spacing w:val="-7"/>
          <w:sz w:val="14"/>
        </w:rPr>
        <w:t> </w:t>
      </w:r>
      <w:r>
        <w:rPr>
          <w:color w:val="231F20"/>
          <w:sz w:val="14"/>
        </w:rPr>
        <w:t>РС”,</w:t>
      </w:r>
      <w:r>
        <w:rPr>
          <w:color w:val="231F20"/>
          <w:spacing w:val="-7"/>
          <w:sz w:val="14"/>
        </w:rPr>
        <w:t> </w:t>
      </w:r>
      <w:r>
        <w:rPr>
          <w:color w:val="231F20"/>
          <w:sz w:val="14"/>
        </w:rPr>
        <w:t>бр. 71/94)</w:t>
      </w:r>
    </w:p>
    <w:p>
      <w:pPr>
        <w:pStyle w:val="BodyText"/>
        <w:spacing w:before="1"/>
        <w:ind w:left="0"/>
        <w:jc w:val="left"/>
        <w:rPr>
          <w:sz w:val="15"/>
        </w:rPr>
      </w:pPr>
    </w:p>
    <w:p>
      <w:pPr>
        <w:pStyle w:val="Heading1"/>
        <w:spacing w:line="232" w:lineRule="auto" w:before="0"/>
        <w:ind w:left="703" w:right="5748" w:firstLine="12"/>
      </w:pPr>
      <w:r>
        <w:rPr>
          <w:color w:val="231F20"/>
        </w:rPr>
        <w:t>6. Ограничења и потенцијали просторног развоја – swot анализа (предности – слабости, могућности – опасности)</w:t>
      </w:r>
    </w:p>
    <w:p>
      <w:pPr>
        <w:pStyle w:val="BodyText"/>
        <w:spacing w:before="3"/>
        <w:ind w:left="0"/>
        <w:jc w:val="left"/>
        <w:rPr>
          <w:b/>
          <w:sz w:val="17"/>
        </w:rPr>
      </w:pPr>
    </w:p>
    <w:p>
      <w:pPr>
        <w:pStyle w:val="BodyText"/>
        <w:spacing w:line="232" w:lineRule="auto"/>
        <w:ind w:left="453" w:right="5514" w:firstLine="397"/>
      </w:pPr>
      <w:r>
        <w:rPr>
          <w:color w:val="231F20"/>
        </w:rPr>
        <w:t>За анализу стања, потенцијала и ограничења </w:t>
      </w:r>
      <w:r>
        <w:rPr>
          <w:color w:val="231F20"/>
          <w:spacing w:val="-3"/>
        </w:rPr>
        <w:t>Планског под- </w:t>
      </w:r>
      <w:r>
        <w:rPr>
          <w:color w:val="231F20"/>
        </w:rPr>
        <w:t>ручја, примењен је </w:t>
      </w:r>
      <w:r>
        <w:rPr>
          <w:color w:val="231F20"/>
          <w:spacing w:val="-3"/>
        </w:rPr>
        <w:t>комбинован </w:t>
      </w:r>
      <w:r>
        <w:rPr>
          <w:color w:val="231F20"/>
        </w:rPr>
        <w:t>приступ конвенционалне анализе SWOT (Strengths/Предности, Weaknesses/Слабости, Opportunities/ </w:t>
      </w:r>
      <w:r>
        <w:rPr>
          <w:color w:val="231F20"/>
          <w:spacing w:val="-3"/>
        </w:rPr>
        <w:t>Могућност, </w:t>
      </w:r>
      <w:r>
        <w:rPr>
          <w:color w:val="231F20"/>
        </w:rPr>
        <w:t>Threats/Опасност). Поред тога, примењени </w:t>
      </w:r>
      <w:r>
        <w:rPr>
          <w:color w:val="231F20"/>
          <w:spacing w:val="-8"/>
        </w:rPr>
        <w:t>су, </w:t>
      </w:r>
      <w:r>
        <w:rPr>
          <w:color w:val="231F20"/>
        </w:rPr>
        <w:t>у по- једностављеном и </w:t>
      </w:r>
      <w:r>
        <w:rPr>
          <w:color w:val="231F20"/>
          <w:spacing w:val="-3"/>
        </w:rPr>
        <w:t>рудиментарном </w:t>
      </w:r>
      <w:r>
        <w:rPr>
          <w:color w:val="231F20"/>
          <w:spacing w:val="-5"/>
        </w:rPr>
        <w:t>облику, </w:t>
      </w:r>
      <w:r>
        <w:rPr>
          <w:color w:val="231F20"/>
        </w:rPr>
        <w:t>и неки поступци из тзв.</w:t>
      </w:r>
    </w:p>
    <w:p>
      <w:pPr>
        <w:pStyle w:val="BodyText"/>
        <w:spacing w:line="232" w:lineRule="auto"/>
        <w:ind w:left="453" w:right="5513"/>
      </w:pPr>
      <w:r>
        <w:rPr>
          <w:color w:val="231F20"/>
        </w:rPr>
        <w:t>„анализе</w:t>
      </w:r>
      <w:r>
        <w:rPr>
          <w:color w:val="231F20"/>
          <w:spacing w:val="-17"/>
        </w:rPr>
        <w:t> </w:t>
      </w:r>
      <w:r>
        <w:rPr>
          <w:color w:val="231F20"/>
        </w:rPr>
        <w:t>територијално</w:t>
      </w:r>
      <w:r>
        <w:rPr>
          <w:color w:val="231F20"/>
          <w:spacing w:val="-17"/>
        </w:rPr>
        <w:t> </w:t>
      </w:r>
      <w:r>
        <w:rPr>
          <w:color w:val="231F20"/>
        </w:rPr>
        <w:t>утицаја”</w:t>
      </w:r>
      <w:r>
        <w:rPr>
          <w:color w:val="231F20"/>
          <w:spacing w:val="-17"/>
        </w:rPr>
        <w:t> </w:t>
      </w:r>
      <w:r>
        <w:rPr>
          <w:color w:val="231F20"/>
          <w:spacing w:val="-3"/>
        </w:rPr>
        <w:t>(енгл:</w:t>
      </w:r>
      <w:r>
        <w:rPr>
          <w:color w:val="231F20"/>
          <w:spacing w:val="-17"/>
        </w:rPr>
        <w:t> </w:t>
      </w:r>
      <w:r>
        <w:rPr>
          <w:color w:val="231F20"/>
        </w:rPr>
        <w:t>„Territorial</w:t>
      </w:r>
      <w:r>
        <w:rPr>
          <w:color w:val="231F20"/>
          <w:spacing w:val="-17"/>
        </w:rPr>
        <w:t> </w:t>
      </w:r>
      <w:r>
        <w:rPr>
          <w:color w:val="231F20"/>
        </w:rPr>
        <w:t>impact</w:t>
      </w:r>
      <w:r>
        <w:rPr>
          <w:color w:val="231F20"/>
          <w:spacing w:val="-24"/>
        </w:rPr>
        <w:t> </w:t>
      </w:r>
      <w:r>
        <w:rPr>
          <w:color w:val="231F20"/>
        </w:rPr>
        <w:t>Analysis”/ TIA) и „евалуације </w:t>
      </w:r>
      <w:r>
        <w:rPr>
          <w:color w:val="231F20"/>
          <w:spacing w:val="-3"/>
        </w:rPr>
        <w:t>стратешког </w:t>
      </w:r>
      <w:r>
        <w:rPr>
          <w:color w:val="231F20"/>
        </w:rPr>
        <w:t>просторног утицаја </w:t>
      </w:r>
      <w:r>
        <w:rPr>
          <w:color w:val="231F20"/>
          <w:spacing w:val="-3"/>
        </w:rPr>
        <w:t>(енгл:</w:t>
      </w:r>
      <w:r>
        <w:rPr>
          <w:color w:val="231F20"/>
          <w:spacing w:val="-30"/>
        </w:rPr>
        <w:t> </w:t>
      </w:r>
      <w:r>
        <w:rPr>
          <w:color w:val="231F20"/>
        </w:rPr>
        <w:t>„Strategic Spatial Impact Evaluation”/SSIE). На основу ове, припремне грађе, </w:t>
      </w:r>
      <w:r>
        <w:rPr>
          <w:color w:val="231F20"/>
          <w:spacing w:val="-3"/>
        </w:rPr>
        <w:t>након</w:t>
      </w:r>
      <w:r>
        <w:rPr>
          <w:color w:val="231F20"/>
          <w:spacing w:val="-8"/>
        </w:rPr>
        <w:t> </w:t>
      </w:r>
      <w:r>
        <w:rPr>
          <w:color w:val="231F20"/>
        </w:rPr>
        <w:t>доношења</w:t>
      </w:r>
      <w:r>
        <w:rPr>
          <w:color w:val="231F20"/>
          <w:spacing w:val="-7"/>
        </w:rPr>
        <w:t> </w:t>
      </w:r>
      <w:r>
        <w:rPr>
          <w:color w:val="231F20"/>
        </w:rPr>
        <w:t>Плана</w:t>
      </w:r>
      <w:r>
        <w:rPr>
          <w:color w:val="231F20"/>
          <w:spacing w:val="-7"/>
        </w:rPr>
        <w:t> </w:t>
      </w:r>
      <w:r>
        <w:rPr>
          <w:color w:val="231F20"/>
        </w:rPr>
        <w:t>била</w:t>
      </w:r>
      <w:r>
        <w:rPr>
          <w:color w:val="231F20"/>
          <w:spacing w:val="-7"/>
        </w:rPr>
        <w:t> </w:t>
      </w:r>
      <w:r>
        <w:rPr>
          <w:color w:val="231F20"/>
        </w:rPr>
        <w:t>би</w:t>
      </w:r>
      <w:r>
        <w:rPr>
          <w:color w:val="231F20"/>
          <w:spacing w:val="-8"/>
        </w:rPr>
        <w:t> </w:t>
      </w:r>
      <w:r>
        <w:rPr>
          <w:color w:val="231F20"/>
        </w:rPr>
        <w:t>урађена</w:t>
      </w:r>
      <w:r>
        <w:rPr>
          <w:color w:val="231F20"/>
          <w:spacing w:val="-7"/>
        </w:rPr>
        <w:t> </w:t>
      </w:r>
      <w:r>
        <w:rPr>
          <w:color w:val="231F20"/>
        </w:rPr>
        <w:t>тзв.</w:t>
      </w:r>
      <w:r>
        <w:rPr>
          <w:color w:val="231F20"/>
          <w:spacing w:val="-7"/>
        </w:rPr>
        <w:t> </w:t>
      </w:r>
      <w:r>
        <w:rPr>
          <w:color w:val="231F20"/>
        </w:rPr>
        <w:t>„процена</w:t>
      </w:r>
      <w:r>
        <w:rPr>
          <w:color w:val="231F20"/>
          <w:spacing w:val="-7"/>
        </w:rPr>
        <w:t> </w:t>
      </w:r>
      <w:r>
        <w:rPr>
          <w:color w:val="231F20"/>
        </w:rPr>
        <w:t>интегралног </w:t>
      </w:r>
      <w:r>
        <w:rPr>
          <w:color w:val="231F20"/>
          <w:spacing w:val="-3"/>
        </w:rPr>
        <w:t>стратешког </w:t>
      </w:r>
      <w:r>
        <w:rPr>
          <w:color w:val="231F20"/>
        </w:rPr>
        <w:t>утицаја” </w:t>
      </w:r>
      <w:r>
        <w:rPr>
          <w:color w:val="231F20"/>
          <w:spacing w:val="-3"/>
        </w:rPr>
        <w:t>(енгл: </w:t>
      </w:r>
      <w:r>
        <w:rPr>
          <w:color w:val="231F20"/>
        </w:rPr>
        <w:t>„Integrated Strategic Assessment”/ ISA), а </w:t>
      </w:r>
      <w:r>
        <w:rPr>
          <w:color w:val="231F20"/>
          <w:spacing w:val="-4"/>
        </w:rPr>
        <w:t>која </w:t>
      </w:r>
      <w:r>
        <w:rPr>
          <w:color w:val="231F20"/>
        </w:rPr>
        <w:t>ће укључити и </w:t>
      </w:r>
      <w:r>
        <w:rPr>
          <w:color w:val="231F20"/>
          <w:spacing w:val="-3"/>
        </w:rPr>
        <w:t>одговарајуће </w:t>
      </w:r>
      <w:r>
        <w:rPr>
          <w:color w:val="231F20"/>
        </w:rPr>
        <w:t>елементе тзв. „анализе страте- </w:t>
      </w:r>
      <w:r>
        <w:rPr>
          <w:color w:val="231F20"/>
          <w:spacing w:val="-4"/>
        </w:rPr>
        <w:t>шког </w:t>
      </w:r>
      <w:r>
        <w:rPr>
          <w:color w:val="231F20"/>
        </w:rPr>
        <w:t>утицаја на животну средину” </w:t>
      </w:r>
      <w:r>
        <w:rPr>
          <w:color w:val="231F20"/>
          <w:spacing w:val="-3"/>
        </w:rPr>
        <w:t>(енгл: </w:t>
      </w:r>
      <w:r>
        <w:rPr>
          <w:color w:val="231F20"/>
        </w:rPr>
        <w:t>„Strategic Environmental Assessment”/SEA). </w:t>
      </w:r>
      <w:r>
        <w:rPr>
          <w:color w:val="231F20"/>
          <w:spacing w:val="-4"/>
        </w:rPr>
        <w:t>Будући </w:t>
      </w:r>
      <w:r>
        <w:rPr>
          <w:color w:val="231F20"/>
        </w:rPr>
        <w:t>да се дејство већег броја фактора још увек</w:t>
      </w:r>
      <w:r>
        <w:rPr>
          <w:color w:val="231F20"/>
          <w:spacing w:val="-9"/>
        </w:rPr>
        <w:t> </w:t>
      </w:r>
      <w:r>
        <w:rPr>
          <w:color w:val="231F20"/>
        </w:rPr>
        <w:t>не</w:t>
      </w:r>
      <w:r>
        <w:rPr>
          <w:color w:val="231F20"/>
          <w:spacing w:val="-9"/>
        </w:rPr>
        <w:t> </w:t>
      </w:r>
      <w:r>
        <w:rPr>
          <w:color w:val="231F20"/>
          <w:spacing w:val="-3"/>
        </w:rPr>
        <w:t>може</w:t>
      </w:r>
      <w:r>
        <w:rPr>
          <w:color w:val="231F20"/>
          <w:spacing w:val="-9"/>
        </w:rPr>
        <w:t> </w:t>
      </w:r>
      <w:r>
        <w:rPr>
          <w:color w:val="231F20"/>
        </w:rPr>
        <w:t>у</w:t>
      </w:r>
      <w:r>
        <w:rPr>
          <w:color w:val="231F20"/>
          <w:spacing w:val="-9"/>
        </w:rPr>
        <w:t> </w:t>
      </w:r>
      <w:r>
        <w:rPr>
          <w:color w:val="231F20"/>
        </w:rPr>
        <w:t>свему</w:t>
      </w:r>
      <w:r>
        <w:rPr>
          <w:color w:val="231F20"/>
          <w:spacing w:val="-9"/>
        </w:rPr>
        <w:t> </w:t>
      </w:r>
      <w:r>
        <w:rPr>
          <w:color w:val="231F20"/>
        </w:rPr>
        <w:t>једнозначно</w:t>
      </w:r>
      <w:r>
        <w:rPr>
          <w:color w:val="231F20"/>
          <w:spacing w:val="-9"/>
        </w:rPr>
        <w:t> </w:t>
      </w:r>
      <w:r>
        <w:rPr>
          <w:color w:val="231F20"/>
        </w:rPr>
        <w:t>проценити</w:t>
      </w:r>
      <w:r>
        <w:rPr>
          <w:color w:val="231F20"/>
          <w:spacing w:val="-9"/>
        </w:rPr>
        <w:t> </w:t>
      </w:r>
      <w:r>
        <w:rPr>
          <w:color w:val="231F20"/>
        </w:rPr>
        <w:t>и</w:t>
      </w:r>
      <w:r>
        <w:rPr>
          <w:color w:val="231F20"/>
          <w:spacing w:val="-9"/>
        </w:rPr>
        <w:t> </w:t>
      </w:r>
      <w:r>
        <w:rPr>
          <w:color w:val="231F20"/>
        </w:rPr>
        <w:t>укључити</w:t>
      </w:r>
      <w:r>
        <w:rPr>
          <w:color w:val="231F20"/>
          <w:spacing w:val="-9"/>
        </w:rPr>
        <w:t> </w:t>
      </w:r>
      <w:r>
        <w:rPr>
          <w:color w:val="231F20"/>
        </w:rPr>
        <w:t>у</w:t>
      </w:r>
      <w:r>
        <w:rPr>
          <w:color w:val="231F20"/>
          <w:spacing w:val="-9"/>
        </w:rPr>
        <w:t> </w:t>
      </w:r>
      <w:r>
        <w:rPr>
          <w:color w:val="231F20"/>
        </w:rPr>
        <w:t>неки</w:t>
      </w:r>
      <w:r>
        <w:rPr>
          <w:color w:val="231F20"/>
          <w:spacing w:val="-9"/>
        </w:rPr>
        <w:t> </w:t>
      </w:r>
      <w:r>
        <w:rPr>
          <w:color w:val="231F20"/>
          <w:spacing w:val="-4"/>
        </w:rPr>
        <w:t>од </w:t>
      </w:r>
      <w:r>
        <w:rPr>
          <w:color w:val="231F20"/>
        </w:rPr>
        <w:t>стандардних аспеката SWOT анализе, што се у </w:t>
      </w:r>
      <w:r>
        <w:rPr>
          <w:color w:val="231F20"/>
          <w:spacing w:val="-3"/>
        </w:rPr>
        <w:t>првом </w:t>
      </w:r>
      <w:r>
        <w:rPr>
          <w:color w:val="231F20"/>
        </w:rPr>
        <w:t>реду односи на институционални фактор, предстојећу приватизацију у области енергетике и </w:t>
      </w:r>
      <w:r>
        <w:rPr>
          <w:color w:val="231F20"/>
          <w:spacing w:val="-3"/>
        </w:rPr>
        <w:t>изгледно продужено </w:t>
      </w:r>
      <w:r>
        <w:rPr>
          <w:color w:val="231F20"/>
        </w:rPr>
        <w:t>трајање светске и домаће кризе, у</w:t>
      </w:r>
      <w:r>
        <w:rPr>
          <w:color w:val="231F20"/>
          <w:spacing w:val="-8"/>
        </w:rPr>
        <w:t> </w:t>
      </w:r>
      <w:r>
        <w:rPr>
          <w:color w:val="231F20"/>
        </w:rPr>
        <w:t>делу</w:t>
      </w:r>
      <w:r>
        <w:rPr>
          <w:color w:val="231F20"/>
          <w:spacing w:val="-8"/>
        </w:rPr>
        <w:t> </w:t>
      </w:r>
      <w:r>
        <w:rPr>
          <w:color w:val="231F20"/>
        </w:rPr>
        <w:t>о</w:t>
      </w:r>
      <w:r>
        <w:rPr>
          <w:color w:val="231F20"/>
          <w:spacing w:val="-8"/>
        </w:rPr>
        <w:t> </w:t>
      </w:r>
      <w:r>
        <w:rPr>
          <w:color w:val="231F20"/>
        </w:rPr>
        <w:t>имплементацији</w:t>
      </w:r>
      <w:r>
        <w:rPr>
          <w:color w:val="231F20"/>
          <w:spacing w:val="-9"/>
        </w:rPr>
        <w:t> </w:t>
      </w:r>
      <w:r>
        <w:rPr>
          <w:color w:val="231F20"/>
        </w:rPr>
        <w:t>уведен</w:t>
      </w:r>
      <w:r>
        <w:rPr>
          <w:color w:val="231F20"/>
          <w:spacing w:val="-9"/>
        </w:rPr>
        <w:t> </w:t>
      </w:r>
      <w:r>
        <w:rPr>
          <w:color w:val="231F20"/>
        </w:rPr>
        <w:t>је</w:t>
      </w:r>
      <w:r>
        <w:rPr>
          <w:color w:val="231F20"/>
          <w:spacing w:val="-8"/>
        </w:rPr>
        <w:t> </w:t>
      </w:r>
      <w:r>
        <w:rPr>
          <w:color w:val="231F20"/>
        </w:rPr>
        <w:t>још</w:t>
      </w:r>
      <w:r>
        <w:rPr>
          <w:color w:val="231F20"/>
          <w:spacing w:val="-8"/>
        </w:rPr>
        <w:t> </w:t>
      </w:r>
      <w:r>
        <w:rPr>
          <w:color w:val="231F20"/>
        </w:rPr>
        <w:t>један</w:t>
      </w:r>
      <w:r>
        <w:rPr>
          <w:color w:val="231F20"/>
          <w:spacing w:val="-9"/>
        </w:rPr>
        <w:t> </w:t>
      </w:r>
      <w:r>
        <w:rPr>
          <w:color w:val="231F20"/>
        </w:rPr>
        <w:t>приступ</w:t>
      </w:r>
      <w:r>
        <w:rPr>
          <w:color w:val="231F20"/>
          <w:spacing w:val="-9"/>
        </w:rPr>
        <w:t> </w:t>
      </w:r>
      <w:r>
        <w:rPr>
          <w:color w:val="231F20"/>
        </w:rPr>
        <w:t>евалуацији,</w:t>
      </w:r>
      <w:r>
        <w:rPr>
          <w:color w:val="231F20"/>
          <w:spacing w:val="-8"/>
        </w:rPr>
        <w:t> </w:t>
      </w:r>
      <w:r>
        <w:rPr>
          <w:color w:val="231F20"/>
        </w:rPr>
        <w:t>а то је тзв. „утицај ризика и</w:t>
      </w:r>
      <w:r>
        <w:rPr>
          <w:color w:val="231F20"/>
          <w:spacing w:val="-16"/>
        </w:rPr>
        <w:t> </w:t>
      </w:r>
      <w:r>
        <w:rPr>
          <w:color w:val="231F20"/>
        </w:rPr>
        <w:t>неизвесности”.</w:t>
      </w:r>
    </w:p>
    <w:p>
      <w:pPr>
        <w:pStyle w:val="BodyText"/>
        <w:spacing w:before="150"/>
        <w:ind w:left="2324"/>
        <w:jc w:val="left"/>
      </w:pPr>
      <w:r>
        <w:rPr/>
        <w:pict>
          <v:shape style="position:absolute;margin-left:56.693001pt;margin-top:29.923355pt;width:255.9pt;height:365.55pt;mso-position-horizontal-relative:page;mso-position-vertical-relative:paragraph;z-index:181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7080" w:hRule="atLeast"/>
                    </w:trPr>
                    <w:tc>
                      <w:tcPr>
                        <w:tcW w:w="2551" w:type="dxa"/>
                      </w:tcPr>
                      <w:p>
                        <w:pPr>
                          <w:pStyle w:val="TableParagraph"/>
                          <w:ind w:left="56" w:right="44"/>
                          <w:jc w:val="both"/>
                          <w:rPr>
                            <w:sz w:val="14"/>
                          </w:rPr>
                        </w:pPr>
                        <w:r>
                          <w:rPr>
                            <w:color w:val="231F20"/>
                            <w:w w:val="66"/>
                            <w:sz w:val="14"/>
                          </w:rPr>
                          <w:t> </w:t>
                        </w:r>
                        <w:r>
                          <w:rPr>
                            <w:color w:val="231F20"/>
                            <w:sz w:val="14"/>
                          </w:rPr>
                          <w:t>– Веома повољан географски положај, добра саобраћајна доступност и близина тржишта за регионалне и локалне про- изводе</w:t>
                        </w:r>
                      </w:p>
                      <w:p>
                        <w:pPr>
                          <w:pStyle w:val="TableParagraph"/>
                          <w:spacing w:line="237" w:lineRule="auto" w:before="0"/>
                          <w:ind w:left="56" w:right="44"/>
                          <w:jc w:val="both"/>
                          <w:rPr>
                            <w:sz w:val="14"/>
                          </w:rPr>
                        </w:pPr>
                        <w:r>
                          <w:rPr>
                            <w:color w:val="231F20"/>
                            <w:w w:val="66"/>
                            <w:sz w:val="14"/>
                          </w:rPr>
                          <w:t> </w:t>
                        </w:r>
                        <w:r>
                          <w:rPr>
                            <w:color w:val="231F20"/>
                            <w:sz w:val="14"/>
                          </w:rPr>
                          <w:t>– Велики природни (обновљиви и нео- бновљиви) ресурси, људски и културни потенцијали за развој, и богата инду- стријска и друга привредна традиција</w:t>
                        </w:r>
                      </w:p>
                      <w:p>
                        <w:pPr>
                          <w:pStyle w:val="TableParagraph"/>
                          <w:spacing w:before="0"/>
                          <w:ind w:left="56" w:right="44" w:hanging="1"/>
                          <w:jc w:val="both"/>
                          <w:rPr>
                            <w:sz w:val="14"/>
                          </w:rPr>
                        </w:pPr>
                        <w:r>
                          <w:rPr>
                            <w:color w:val="231F20"/>
                            <w:w w:val="66"/>
                            <w:sz w:val="14"/>
                          </w:rPr>
                          <w:t> </w:t>
                        </w:r>
                        <w:r>
                          <w:rPr>
                            <w:color w:val="231F20"/>
                            <w:sz w:val="14"/>
                          </w:rPr>
                          <w:t>– Изграђени привредни капацитети и развијен и јак енергетски сектор и ли- дерска улога ПД ТЕ-КО „Костолац”</w:t>
                        </w:r>
                      </w:p>
                      <w:p>
                        <w:pPr>
                          <w:pStyle w:val="TableParagraph"/>
                          <w:spacing w:line="237" w:lineRule="auto" w:before="0"/>
                          <w:ind w:left="56" w:right="44"/>
                          <w:jc w:val="both"/>
                          <w:rPr>
                            <w:sz w:val="14"/>
                          </w:rPr>
                        </w:pPr>
                        <w:r>
                          <w:rPr>
                            <w:color w:val="231F20"/>
                            <w:w w:val="66"/>
                            <w:sz w:val="14"/>
                          </w:rPr>
                          <w:t> </w:t>
                        </w:r>
                        <w:r>
                          <w:rPr>
                            <w:color w:val="231F20"/>
                            <w:sz w:val="14"/>
                          </w:rPr>
                          <w:t>– Образовано и стручно становништво, релативно висок проценат младих особа и постојање тзв. „креативних ресурса” за</w:t>
                        </w:r>
                        <w:r>
                          <w:rPr>
                            <w:color w:val="231F20"/>
                            <w:spacing w:val="-2"/>
                            <w:sz w:val="14"/>
                          </w:rPr>
                          <w:t> </w:t>
                        </w:r>
                        <w:r>
                          <w:rPr>
                            <w:color w:val="231F20"/>
                            <w:sz w:val="14"/>
                          </w:rPr>
                          <w:t>развој</w:t>
                        </w:r>
                      </w:p>
                      <w:p>
                        <w:pPr>
                          <w:pStyle w:val="TableParagraph"/>
                          <w:spacing w:line="161" w:lineRule="exact" w:before="0"/>
                          <w:ind w:left="56"/>
                          <w:jc w:val="both"/>
                          <w:rPr>
                            <w:sz w:val="14"/>
                          </w:rPr>
                        </w:pPr>
                        <w:r>
                          <w:rPr>
                            <w:color w:val="231F20"/>
                            <w:w w:val="66"/>
                            <w:sz w:val="14"/>
                          </w:rPr>
                          <w:t> </w:t>
                        </w:r>
                        <w:r>
                          <w:rPr>
                            <w:color w:val="231F20"/>
                            <w:sz w:val="14"/>
                          </w:rPr>
                          <w:t>– Натпросечно висок </w:t>
                        </w:r>
                        <w:r>
                          <w:rPr>
                            <w:color w:val="231F20"/>
                            <w:spacing w:val="-3"/>
                            <w:sz w:val="14"/>
                          </w:rPr>
                          <w:t>БДП </w:t>
                        </w:r>
                        <w:r>
                          <w:rPr>
                            <w:color w:val="231F20"/>
                            <w:sz w:val="14"/>
                          </w:rPr>
                          <w:t>по становнику</w:t>
                        </w:r>
                      </w:p>
                      <w:p>
                        <w:pPr>
                          <w:pStyle w:val="TableParagraph"/>
                          <w:spacing w:before="0"/>
                          <w:ind w:left="56" w:right="45"/>
                          <w:jc w:val="both"/>
                          <w:rPr>
                            <w:sz w:val="14"/>
                          </w:rPr>
                        </w:pPr>
                        <w:r>
                          <w:rPr>
                            <w:color w:val="231F20"/>
                            <w:w w:val="66"/>
                            <w:sz w:val="14"/>
                          </w:rPr>
                          <w:t> </w:t>
                        </w:r>
                        <w:r>
                          <w:rPr>
                            <w:color w:val="231F20"/>
                            <w:sz w:val="14"/>
                          </w:rPr>
                          <w:t>– Нижи степен незапослености у односу на републички просек</w:t>
                        </w:r>
                      </w:p>
                      <w:p>
                        <w:pPr>
                          <w:pStyle w:val="TableParagraph"/>
                          <w:spacing w:before="0"/>
                          <w:ind w:left="56" w:right="45"/>
                          <w:jc w:val="both"/>
                          <w:rPr>
                            <w:sz w:val="14"/>
                          </w:rPr>
                        </w:pPr>
                        <w:r>
                          <w:rPr>
                            <w:color w:val="231F20"/>
                            <w:w w:val="66"/>
                            <w:sz w:val="14"/>
                          </w:rPr>
                          <w:t> </w:t>
                        </w:r>
                        <w:r>
                          <w:rPr>
                            <w:color w:val="231F20"/>
                            <w:sz w:val="14"/>
                          </w:rPr>
                          <w:t>– Функције Пожаревца као регионалног центра Браничевског региона и достиг- нути степен привредног и другог</w:t>
                        </w:r>
                        <w:r>
                          <w:rPr>
                            <w:color w:val="231F20"/>
                            <w:spacing w:val="-23"/>
                            <w:sz w:val="14"/>
                          </w:rPr>
                          <w:t> </w:t>
                        </w:r>
                        <w:r>
                          <w:rPr>
                            <w:color w:val="231F20"/>
                            <w:sz w:val="14"/>
                          </w:rPr>
                          <w:t>развоја</w:t>
                        </w:r>
                      </w:p>
                      <w:p>
                        <w:pPr>
                          <w:pStyle w:val="TableParagraph"/>
                          <w:spacing w:line="237" w:lineRule="auto" w:before="0"/>
                          <w:ind w:left="55" w:right="45"/>
                          <w:jc w:val="both"/>
                          <w:rPr>
                            <w:sz w:val="14"/>
                          </w:rPr>
                        </w:pPr>
                        <w:r>
                          <w:rPr>
                            <w:color w:val="231F20"/>
                            <w:w w:val="66"/>
                            <w:sz w:val="14"/>
                          </w:rPr>
                          <w:t> </w:t>
                        </w:r>
                        <w:r>
                          <w:rPr>
                            <w:color w:val="231F20"/>
                            <w:sz w:val="14"/>
                          </w:rPr>
                          <w:t>– Изграђене регионалне и локалне ин- ституције за подршку развоју и посто- јање регионалних и локалних стратегија развоја, мастер планова и др; велик број локалних развојних стратегија у изради</w:t>
                        </w:r>
                      </w:p>
                      <w:p>
                        <w:pPr>
                          <w:pStyle w:val="TableParagraph"/>
                          <w:spacing w:before="0"/>
                          <w:ind w:left="55" w:right="45"/>
                          <w:jc w:val="both"/>
                          <w:rPr>
                            <w:sz w:val="14"/>
                          </w:rPr>
                        </w:pPr>
                        <w:r>
                          <w:rPr>
                            <w:color w:val="231F20"/>
                            <w:w w:val="66"/>
                            <w:sz w:val="14"/>
                          </w:rPr>
                          <w:t> </w:t>
                        </w:r>
                        <w:r>
                          <w:rPr>
                            <w:color w:val="231F20"/>
                            <w:sz w:val="14"/>
                          </w:rPr>
                          <w:t>– Могућност изградње индустријских и пословних зона на новим („greenfield”)</w:t>
                        </w:r>
                        <w:r>
                          <w:rPr>
                            <w:color w:val="231F20"/>
                            <w:spacing w:val="-17"/>
                            <w:sz w:val="14"/>
                          </w:rPr>
                          <w:t> </w:t>
                        </w:r>
                        <w:r>
                          <w:rPr>
                            <w:color w:val="231F20"/>
                            <w:sz w:val="14"/>
                          </w:rPr>
                          <w:t>и запуштеним локацијама</w:t>
                        </w:r>
                        <w:r>
                          <w:rPr>
                            <w:color w:val="231F20"/>
                            <w:spacing w:val="-8"/>
                            <w:sz w:val="14"/>
                          </w:rPr>
                          <w:t> </w:t>
                        </w:r>
                        <w:r>
                          <w:rPr>
                            <w:color w:val="231F20"/>
                            <w:sz w:val="14"/>
                          </w:rPr>
                          <w:t>(„brownfields”)</w:t>
                        </w:r>
                      </w:p>
                      <w:p>
                        <w:pPr>
                          <w:pStyle w:val="TableParagraph"/>
                          <w:spacing w:line="237" w:lineRule="auto" w:before="0"/>
                          <w:ind w:left="55" w:right="45" w:hanging="1"/>
                          <w:jc w:val="both"/>
                          <w:rPr>
                            <w:sz w:val="14"/>
                          </w:rPr>
                        </w:pPr>
                        <w:r>
                          <w:rPr>
                            <w:color w:val="231F20"/>
                            <w:w w:val="66"/>
                            <w:sz w:val="14"/>
                          </w:rPr>
                          <w:t> </w:t>
                        </w:r>
                        <w:r>
                          <w:rPr>
                            <w:color w:val="231F20"/>
                            <w:sz w:val="14"/>
                          </w:rPr>
                          <w:t>– Изграђени урбани садржаји и стамбе- ни фонд и развијене комуналне и јавне службе</w:t>
                        </w:r>
                      </w:p>
                      <w:p>
                        <w:pPr>
                          <w:pStyle w:val="TableParagraph"/>
                          <w:spacing w:before="0"/>
                          <w:ind w:left="55" w:right="45"/>
                          <w:jc w:val="both"/>
                          <w:rPr>
                            <w:sz w:val="14"/>
                          </w:rPr>
                        </w:pPr>
                        <w:r>
                          <w:rPr>
                            <w:color w:val="231F20"/>
                            <w:w w:val="66"/>
                            <w:sz w:val="14"/>
                          </w:rPr>
                          <w:t> </w:t>
                        </w:r>
                        <w:r>
                          <w:rPr>
                            <w:color w:val="231F20"/>
                            <w:sz w:val="14"/>
                          </w:rPr>
                          <w:t>– Постојање стручних школа и удру- жења</w:t>
                        </w:r>
                      </w:p>
                    </w:tc>
                    <w:tc>
                      <w:tcPr>
                        <w:tcW w:w="2551" w:type="dxa"/>
                      </w:tcPr>
                      <w:p>
                        <w:pPr>
                          <w:pStyle w:val="TableParagraph"/>
                          <w:ind w:left="56" w:right="45"/>
                          <w:jc w:val="both"/>
                          <w:rPr>
                            <w:sz w:val="14"/>
                          </w:rPr>
                        </w:pPr>
                        <w:r>
                          <w:rPr>
                            <w:color w:val="231F20"/>
                            <w:w w:val="66"/>
                            <w:sz w:val="14"/>
                          </w:rPr>
                          <w:t> </w:t>
                        </w:r>
                        <w:r>
                          <w:rPr>
                            <w:color w:val="231F20"/>
                            <w:sz w:val="14"/>
                          </w:rPr>
                          <w:t>–</w:t>
                        </w:r>
                        <w:r>
                          <w:rPr>
                            <w:color w:val="231F20"/>
                            <w:spacing w:val="-17"/>
                            <w:sz w:val="14"/>
                          </w:rPr>
                          <w:t> </w:t>
                        </w:r>
                        <w:r>
                          <w:rPr>
                            <w:color w:val="231F20"/>
                            <w:sz w:val="14"/>
                          </w:rPr>
                          <w:t>Недовољна</w:t>
                        </w:r>
                        <w:r>
                          <w:rPr>
                            <w:color w:val="231F20"/>
                            <w:spacing w:val="-17"/>
                            <w:sz w:val="14"/>
                          </w:rPr>
                          <w:t> </w:t>
                        </w:r>
                        <w:r>
                          <w:rPr>
                            <w:color w:val="231F20"/>
                            <w:sz w:val="14"/>
                          </w:rPr>
                          <w:t>искоришћеност</w:t>
                        </w:r>
                        <w:r>
                          <w:rPr>
                            <w:color w:val="231F20"/>
                            <w:spacing w:val="-17"/>
                            <w:sz w:val="14"/>
                          </w:rPr>
                          <w:t> </w:t>
                        </w:r>
                        <w:r>
                          <w:rPr>
                            <w:color w:val="231F20"/>
                            <w:sz w:val="14"/>
                          </w:rPr>
                          <w:t>просторно- саобраћајних</w:t>
                        </w:r>
                        <w:r>
                          <w:rPr>
                            <w:color w:val="231F20"/>
                            <w:spacing w:val="-2"/>
                            <w:sz w:val="14"/>
                          </w:rPr>
                          <w:t> </w:t>
                        </w:r>
                        <w:r>
                          <w:rPr>
                            <w:color w:val="231F20"/>
                            <w:sz w:val="14"/>
                          </w:rPr>
                          <w:t>потенцијала</w:t>
                        </w:r>
                      </w:p>
                      <w:p>
                        <w:pPr>
                          <w:pStyle w:val="TableParagraph"/>
                          <w:spacing w:before="0"/>
                          <w:ind w:left="55" w:right="44"/>
                          <w:jc w:val="both"/>
                          <w:rPr>
                            <w:sz w:val="14"/>
                          </w:rPr>
                        </w:pPr>
                        <w:r>
                          <w:rPr>
                            <w:color w:val="231F20"/>
                            <w:w w:val="66"/>
                            <w:sz w:val="14"/>
                          </w:rPr>
                          <w:t> </w:t>
                        </w:r>
                        <w:r>
                          <w:rPr>
                            <w:color w:val="231F20"/>
                            <w:sz w:val="14"/>
                          </w:rPr>
                          <w:t>– Смањивање становништва (у првом реду сеоског) и продужена емиграција становништва, нарочито млађег струч- ног кадра</w:t>
                        </w:r>
                      </w:p>
                      <w:p>
                        <w:pPr>
                          <w:pStyle w:val="TableParagraph"/>
                          <w:spacing w:line="237" w:lineRule="auto" w:before="0"/>
                          <w:ind w:left="55" w:right="45"/>
                          <w:jc w:val="both"/>
                          <w:rPr>
                            <w:sz w:val="14"/>
                          </w:rPr>
                        </w:pPr>
                        <w:r>
                          <w:rPr>
                            <w:color w:val="231F20"/>
                            <w:w w:val="66"/>
                            <w:sz w:val="14"/>
                          </w:rPr>
                          <w:t> </w:t>
                        </w:r>
                        <w:r>
                          <w:rPr>
                            <w:color w:val="231F20"/>
                            <w:sz w:val="14"/>
                          </w:rPr>
                          <w:t>– „Монофункционална” привредна структура</w:t>
                        </w:r>
                      </w:p>
                      <w:p>
                        <w:pPr>
                          <w:pStyle w:val="TableParagraph"/>
                          <w:spacing w:before="0"/>
                          <w:ind w:left="55" w:right="45"/>
                          <w:jc w:val="both"/>
                          <w:rPr>
                            <w:sz w:val="14"/>
                          </w:rPr>
                        </w:pPr>
                        <w:r>
                          <w:rPr>
                            <w:color w:val="231F20"/>
                            <w:w w:val="66"/>
                            <w:sz w:val="14"/>
                          </w:rPr>
                          <w:t> </w:t>
                        </w:r>
                        <w:r>
                          <w:rPr>
                            <w:color w:val="231F20"/>
                            <w:sz w:val="14"/>
                          </w:rPr>
                          <w:t>– Снажна деиндустријализација и дева- стација индустријом напуштени и неис- коришћени браунфилд локалитети</w:t>
                        </w:r>
                      </w:p>
                      <w:p>
                        <w:pPr>
                          <w:pStyle w:val="TableParagraph"/>
                          <w:spacing w:line="237" w:lineRule="auto" w:before="0"/>
                          <w:ind w:left="55" w:right="45"/>
                          <w:jc w:val="both"/>
                          <w:rPr>
                            <w:sz w:val="14"/>
                          </w:rPr>
                        </w:pPr>
                        <w:r>
                          <w:rPr>
                            <w:color w:val="231F20"/>
                            <w:w w:val="66"/>
                            <w:sz w:val="14"/>
                          </w:rPr>
                          <w:t> </w:t>
                        </w:r>
                        <w:r>
                          <w:rPr>
                            <w:color w:val="231F20"/>
                            <w:sz w:val="14"/>
                          </w:rPr>
                          <w:t>– Неокончана приватизација и</w:t>
                        </w:r>
                        <w:r>
                          <w:rPr>
                            <w:color w:val="231F20"/>
                            <w:spacing w:val="-21"/>
                            <w:sz w:val="14"/>
                          </w:rPr>
                          <w:t> </w:t>
                        </w:r>
                        <w:r>
                          <w:rPr>
                            <w:color w:val="231F20"/>
                            <w:sz w:val="14"/>
                          </w:rPr>
                          <w:t>претежно лоша приватизација до сада непривати- зованих предузећа, уз пратећи стечај и ликвидацију дела</w:t>
                        </w:r>
                        <w:r>
                          <w:rPr>
                            <w:color w:val="231F20"/>
                            <w:spacing w:val="-3"/>
                            <w:sz w:val="14"/>
                          </w:rPr>
                          <w:t> </w:t>
                        </w:r>
                        <w:r>
                          <w:rPr>
                            <w:color w:val="231F20"/>
                            <w:sz w:val="14"/>
                          </w:rPr>
                          <w:t>предузећа</w:t>
                        </w:r>
                      </w:p>
                      <w:p>
                        <w:pPr>
                          <w:pStyle w:val="TableParagraph"/>
                          <w:spacing w:before="0"/>
                          <w:ind w:left="55" w:right="45"/>
                          <w:jc w:val="both"/>
                          <w:rPr>
                            <w:sz w:val="14"/>
                          </w:rPr>
                        </w:pPr>
                        <w:r>
                          <w:rPr>
                            <w:color w:val="231F20"/>
                            <w:w w:val="66"/>
                            <w:sz w:val="14"/>
                          </w:rPr>
                          <w:t> </w:t>
                        </w:r>
                        <w:r>
                          <w:rPr>
                            <w:color w:val="231F20"/>
                            <w:sz w:val="14"/>
                          </w:rPr>
                          <w:t>– Низак степен инвестиција, слаба кон- курентност, недовољно коришћење подстицајних средстава из домаћих и страних</w:t>
                        </w:r>
                        <w:r>
                          <w:rPr>
                            <w:color w:val="231F20"/>
                            <w:spacing w:val="-7"/>
                            <w:sz w:val="14"/>
                          </w:rPr>
                          <w:t> </w:t>
                        </w:r>
                        <w:r>
                          <w:rPr>
                            <w:color w:val="231F20"/>
                            <w:sz w:val="14"/>
                          </w:rPr>
                          <w:t>извора</w:t>
                        </w:r>
                        <w:r>
                          <w:rPr>
                            <w:color w:val="231F20"/>
                            <w:spacing w:val="-7"/>
                            <w:sz w:val="14"/>
                          </w:rPr>
                          <w:t> </w:t>
                        </w:r>
                        <w:r>
                          <w:rPr>
                            <w:color w:val="231F20"/>
                            <w:sz w:val="14"/>
                          </w:rPr>
                          <w:t>и</w:t>
                        </w:r>
                        <w:r>
                          <w:rPr>
                            <w:color w:val="231F20"/>
                            <w:spacing w:val="-7"/>
                            <w:sz w:val="14"/>
                          </w:rPr>
                          <w:t> </w:t>
                        </w:r>
                        <w:r>
                          <w:rPr>
                            <w:color w:val="231F20"/>
                            <w:sz w:val="14"/>
                          </w:rPr>
                          <w:t>недовољна</w:t>
                        </w:r>
                        <w:r>
                          <w:rPr>
                            <w:color w:val="231F20"/>
                            <w:spacing w:val="-7"/>
                            <w:sz w:val="14"/>
                          </w:rPr>
                          <w:t> </w:t>
                        </w:r>
                        <w:r>
                          <w:rPr>
                            <w:color w:val="231F20"/>
                            <w:sz w:val="14"/>
                          </w:rPr>
                          <w:t>сарадња</w:t>
                        </w:r>
                        <w:r>
                          <w:rPr>
                            <w:color w:val="231F20"/>
                            <w:spacing w:val="-7"/>
                            <w:sz w:val="14"/>
                          </w:rPr>
                          <w:t> </w:t>
                        </w:r>
                        <w:r>
                          <w:rPr>
                            <w:color w:val="231F20"/>
                            <w:sz w:val="14"/>
                          </w:rPr>
                          <w:t>ло- калне самоуправе и</w:t>
                        </w:r>
                        <w:r>
                          <w:rPr>
                            <w:color w:val="231F20"/>
                            <w:spacing w:val="-5"/>
                            <w:sz w:val="14"/>
                          </w:rPr>
                          <w:t> </w:t>
                        </w:r>
                        <w:r>
                          <w:rPr>
                            <w:color w:val="231F20"/>
                            <w:sz w:val="14"/>
                          </w:rPr>
                          <w:t>привреде</w:t>
                        </w:r>
                      </w:p>
                      <w:p>
                        <w:pPr>
                          <w:pStyle w:val="TableParagraph"/>
                          <w:spacing w:line="237" w:lineRule="auto" w:before="0"/>
                          <w:ind w:left="55" w:right="45"/>
                          <w:jc w:val="both"/>
                          <w:rPr>
                            <w:sz w:val="14"/>
                          </w:rPr>
                        </w:pPr>
                        <w:r>
                          <w:rPr>
                            <w:color w:val="231F20"/>
                            <w:w w:val="66"/>
                            <w:sz w:val="14"/>
                          </w:rPr>
                          <w:t> </w:t>
                        </w:r>
                        <w:r>
                          <w:rPr>
                            <w:color w:val="231F20"/>
                            <w:sz w:val="14"/>
                          </w:rPr>
                          <w:t>–</w:t>
                        </w:r>
                        <w:r>
                          <w:rPr>
                            <w:color w:val="231F20"/>
                            <w:spacing w:val="-13"/>
                            <w:sz w:val="14"/>
                          </w:rPr>
                          <w:t> </w:t>
                        </w:r>
                        <w:r>
                          <w:rPr>
                            <w:color w:val="231F20"/>
                            <w:sz w:val="14"/>
                          </w:rPr>
                          <w:t>Неплански</w:t>
                        </w:r>
                        <w:r>
                          <w:rPr>
                            <w:color w:val="231F20"/>
                            <w:spacing w:val="-13"/>
                            <w:sz w:val="14"/>
                          </w:rPr>
                          <w:t> </w:t>
                        </w:r>
                        <w:r>
                          <w:rPr>
                            <w:color w:val="231F20"/>
                            <w:sz w:val="14"/>
                          </w:rPr>
                          <w:t>и</w:t>
                        </w:r>
                        <w:r>
                          <w:rPr>
                            <w:color w:val="231F20"/>
                            <w:spacing w:val="-13"/>
                            <w:sz w:val="14"/>
                          </w:rPr>
                          <w:t> </w:t>
                        </w:r>
                        <w:r>
                          <w:rPr>
                            <w:color w:val="231F20"/>
                            <w:sz w:val="14"/>
                          </w:rPr>
                          <w:t>просторно</w:t>
                        </w:r>
                        <w:r>
                          <w:rPr>
                            <w:color w:val="231F20"/>
                            <w:spacing w:val="-13"/>
                            <w:sz w:val="14"/>
                          </w:rPr>
                          <w:t> </w:t>
                        </w:r>
                        <w:r>
                          <w:rPr>
                            <w:color w:val="231F20"/>
                            <w:sz w:val="14"/>
                          </w:rPr>
                          <w:t>неконтролисан развој</w:t>
                        </w:r>
                      </w:p>
                      <w:p>
                        <w:pPr>
                          <w:pStyle w:val="TableParagraph"/>
                          <w:spacing w:line="160" w:lineRule="exact" w:before="0"/>
                          <w:ind w:left="55"/>
                          <w:jc w:val="both"/>
                          <w:rPr>
                            <w:sz w:val="14"/>
                          </w:rPr>
                        </w:pPr>
                        <w:r>
                          <w:rPr>
                            <w:color w:val="231F20"/>
                            <w:w w:val="66"/>
                            <w:sz w:val="14"/>
                          </w:rPr>
                          <w:t> </w:t>
                        </w:r>
                        <w:r>
                          <w:rPr>
                            <w:color w:val="231F20"/>
                            <w:sz w:val="14"/>
                          </w:rPr>
                          <w:t>– Недовољна комунална опремљеност</w:t>
                        </w:r>
                      </w:p>
                      <w:p>
                        <w:pPr>
                          <w:pStyle w:val="TableParagraph"/>
                          <w:spacing w:before="0"/>
                          <w:ind w:left="55" w:right="45"/>
                          <w:jc w:val="both"/>
                          <w:rPr>
                            <w:sz w:val="14"/>
                          </w:rPr>
                        </w:pPr>
                        <w:r>
                          <w:rPr>
                            <w:color w:val="231F20"/>
                            <w:w w:val="66"/>
                            <w:sz w:val="14"/>
                          </w:rPr>
                          <w:t> </w:t>
                        </w:r>
                        <w:r>
                          <w:rPr>
                            <w:color w:val="231F20"/>
                            <w:sz w:val="14"/>
                          </w:rPr>
                          <w:t>– Још увек релативно висока незапосле- ност</w:t>
                        </w:r>
                      </w:p>
                      <w:p>
                        <w:pPr>
                          <w:pStyle w:val="TableParagraph"/>
                          <w:spacing w:before="0"/>
                          <w:ind w:left="55" w:right="45"/>
                          <w:jc w:val="both"/>
                          <w:rPr>
                            <w:sz w:val="14"/>
                          </w:rPr>
                        </w:pPr>
                        <w:r>
                          <w:rPr>
                            <w:color w:val="231F20"/>
                            <w:w w:val="66"/>
                            <w:sz w:val="14"/>
                          </w:rPr>
                          <w:t> </w:t>
                        </w:r>
                        <w:r>
                          <w:rPr>
                            <w:color w:val="231F20"/>
                            <w:sz w:val="14"/>
                          </w:rPr>
                          <w:t>– Одлив квалитетног кадра у иностран- ство и градове и слаба понуда високо- стручног кадра</w:t>
                        </w:r>
                      </w:p>
                      <w:p>
                        <w:pPr>
                          <w:pStyle w:val="TableParagraph"/>
                          <w:spacing w:line="237" w:lineRule="auto" w:before="0"/>
                          <w:ind w:left="55" w:right="45"/>
                          <w:jc w:val="both"/>
                          <w:rPr>
                            <w:sz w:val="14"/>
                          </w:rPr>
                        </w:pPr>
                        <w:r>
                          <w:rPr>
                            <w:color w:val="231F20"/>
                            <w:w w:val="66"/>
                            <w:sz w:val="14"/>
                          </w:rPr>
                          <w:t> </w:t>
                        </w:r>
                        <w:r>
                          <w:rPr>
                            <w:color w:val="231F20"/>
                            <w:sz w:val="14"/>
                          </w:rPr>
                          <w:t>– Еколошки проблеми и угроженост животне средине, нарочито воде у зони експлоатације и прераде угља, као и не- повољан утицај загађивања и</w:t>
                        </w:r>
                        <w:r>
                          <w:rPr>
                            <w:color w:val="231F20"/>
                            <w:spacing w:val="-19"/>
                            <w:sz w:val="14"/>
                          </w:rPr>
                          <w:t> </w:t>
                        </w:r>
                        <w:r>
                          <w:rPr>
                            <w:color w:val="231F20"/>
                            <w:sz w:val="14"/>
                          </w:rPr>
                          <w:t>недовољне контроле на подручју Града</w:t>
                        </w:r>
                        <w:r>
                          <w:rPr>
                            <w:color w:val="231F20"/>
                            <w:spacing w:val="-24"/>
                            <w:sz w:val="14"/>
                          </w:rPr>
                          <w:t> </w:t>
                        </w:r>
                        <w:r>
                          <w:rPr>
                            <w:color w:val="231F20"/>
                            <w:sz w:val="14"/>
                          </w:rPr>
                          <w:t>Пожаревца</w:t>
                        </w:r>
                      </w:p>
                      <w:p>
                        <w:pPr>
                          <w:pStyle w:val="TableParagraph"/>
                          <w:spacing w:before="0"/>
                          <w:ind w:left="55" w:right="45"/>
                          <w:jc w:val="both"/>
                          <w:rPr>
                            <w:sz w:val="14"/>
                          </w:rPr>
                        </w:pPr>
                        <w:r>
                          <w:rPr>
                            <w:color w:val="231F20"/>
                            <w:w w:val="66"/>
                            <w:sz w:val="14"/>
                          </w:rPr>
                          <w:t> </w:t>
                        </w:r>
                        <w:r>
                          <w:rPr>
                            <w:color w:val="231F20"/>
                            <w:sz w:val="14"/>
                          </w:rPr>
                          <w:t>– Недостатак улагања у истраживања и развој</w:t>
                        </w:r>
                      </w:p>
                      <w:p>
                        <w:pPr>
                          <w:pStyle w:val="TableParagraph"/>
                          <w:spacing w:before="0"/>
                          <w:ind w:left="55" w:right="45"/>
                          <w:jc w:val="both"/>
                          <w:rPr>
                            <w:sz w:val="14"/>
                          </w:rPr>
                        </w:pPr>
                        <w:r>
                          <w:rPr>
                            <w:color w:val="231F20"/>
                            <w:w w:val="66"/>
                            <w:sz w:val="14"/>
                          </w:rPr>
                          <w:t> </w:t>
                        </w:r>
                        <w:r>
                          <w:rPr>
                            <w:color w:val="231F20"/>
                            <w:sz w:val="14"/>
                          </w:rPr>
                          <w:t>– Недостатак индустријске инфраструк- туре</w:t>
                        </w:r>
                        <w:r>
                          <w:rPr>
                            <w:color w:val="231F20"/>
                            <w:spacing w:val="-7"/>
                            <w:sz w:val="14"/>
                          </w:rPr>
                          <w:t> </w:t>
                        </w:r>
                        <w:r>
                          <w:rPr>
                            <w:color w:val="231F20"/>
                            <w:sz w:val="14"/>
                          </w:rPr>
                          <w:t>(опремљених</w:t>
                        </w:r>
                        <w:r>
                          <w:rPr>
                            <w:color w:val="231F20"/>
                            <w:spacing w:val="-7"/>
                            <w:sz w:val="14"/>
                          </w:rPr>
                          <w:t> </w:t>
                        </w:r>
                        <w:r>
                          <w:rPr>
                            <w:color w:val="231F20"/>
                            <w:sz w:val="14"/>
                          </w:rPr>
                          <w:t>локација</w:t>
                        </w:r>
                        <w:r>
                          <w:rPr>
                            <w:color w:val="231F20"/>
                            <w:spacing w:val="-7"/>
                            <w:sz w:val="14"/>
                          </w:rPr>
                          <w:t> </w:t>
                        </w:r>
                        <w:r>
                          <w:rPr>
                            <w:color w:val="231F20"/>
                            <w:sz w:val="14"/>
                          </w:rPr>
                          <w:t>и</w:t>
                        </w:r>
                        <w:r>
                          <w:rPr>
                            <w:color w:val="231F20"/>
                            <w:spacing w:val="-7"/>
                            <w:sz w:val="14"/>
                          </w:rPr>
                          <w:t> </w:t>
                        </w:r>
                        <w:r>
                          <w:rPr>
                            <w:color w:val="231F20"/>
                            <w:sz w:val="14"/>
                          </w:rPr>
                          <w:t>зона,</w:t>
                        </w:r>
                        <w:r>
                          <w:rPr>
                            <w:color w:val="231F20"/>
                            <w:spacing w:val="-7"/>
                            <w:sz w:val="14"/>
                          </w:rPr>
                          <w:t> </w:t>
                        </w:r>
                        <w:r>
                          <w:rPr>
                            <w:color w:val="231F20"/>
                            <w:sz w:val="14"/>
                          </w:rPr>
                          <w:t>круп- не регионалне инфраструктуре, саобра- ћајних и ИКТ комуникација, терминала и</w:t>
                        </w:r>
                        <w:r>
                          <w:rPr>
                            <w:color w:val="231F20"/>
                            <w:spacing w:val="-2"/>
                            <w:sz w:val="14"/>
                          </w:rPr>
                          <w:t> </w:t>
                        </w:r>
                        <w:r>
                          <w:rPr>
                            <w:color w:val="231F20"/>
                            <w:sz w:val="14"/>
                          </w:rPr>
                          <w:t>друго)</w:t>
                        </w:r>
                      </w:p>
                      <w:p>
                        <w:pPr>
                          <w:pStyle w:val="TableParagraph"/>
                          <w:spacing w:line="237" w:lineRule="auto" w:before="0"/>
                          <w:ind w:left="55" w:right="45"/>
                          <w:jc w:val="both"/>
                          <w:rPr>
                            <w:sz w:val="14"/>
                          </w:rPr>
                        </w:pPr>
                        <w:r>
                          <w:rPr>
                            <w:color w:val="231F20"/>
                            <w:w w:val="66"/>
                            <w:sz w:val="14"/>
                          </w:rPr>
                          <w:t> </w:t>
                        </w:r>
                        <w:r>
                          <w:rPr>
                            <w:color w:val="231F20"/>
                            <w:sz w:val="14"/>
                          </w:rPr>
                          <w:t>– Заостајање развоја у руралном под- ручју, уситњеност поседа, слаба орга- низованост пласмана пољопривредних производа</w:t>
                        </w:r>
                      </w:p>
                    </w:tc>
                  </w:tr>
                </w:tbl>
                <w:p>
                  <w:pPr>
                    <w:pStyle w:val="BodyText"/>
                    <w:ind w:left="0"/>
                    <w:jc w:val="left"/>
                  </w:pPr>
                </w:p>
              </w:txbxContent>
            </v:textbox>
            <w10:wrap type="none"/>
          </v:shape>
        </w:pict>
      </w:r>
      <w:r>
        <w:rPr>
          <w:color w:val="231F20"/>
        </w:rPr>
        <w:t>Привредни развој</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9"/>
        </w:rPr>
      </w:pPr>
    </w:p>
    <w:p>
      <w:pPr>
        <w:pStyle w:val="BodyText"/>
        <w:spacing w:after="41"/>
        <w:ind w:left="7153"/>
        <w:jc w:val="left"/>
      </w:pPr>
      <w:r>
        <w:rPr>
          <w:color w:val="231F20"/>
        </w:rPr>
        <w:t>Пољопривреда и рурални развој</w:t>
      </w:r>
    </w:p>
    <w:tbl>
      <w:tblPr>
        <w:tblW w:w="0" w:type="auto"/>
        <w:jc w:val="left"/>
        <w:tblInd w:w="58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5960" w:hRule="atLeast"/>
        </w:trPr>
        <w:tc>
          <w:tcPr>
            <w:tcW w:w="2551" w:type="dxa"/>
          </w:tcPr>
          <w:p>
            <w:pPr>
              <w:pStyle w:val="TableParagraph"/>
              <w:spacing w:line="213" w:lineRule="auto" w:before="32"/>
              <w:ind w:left="56" w:right="44"/>
              <w:jc w:val="both"/>
              <w:rPr>
                <w:sz w:val="14"/>
              </w:rPr>
            </w:pPr>
            <w:r>
              <w:rPr>
                <w:color w:val="231F20"/>
                <w:w w:val="66"/>
                <w:sz w:val="14"/>
              </w:rPr>
              <w:t> </w:t>
            </w:r>
            <w:r>
              <w:rPr>
                <w:color w:val="231F20"/>
                <w:sz w:val="14"/>
              </w:rPr>
              <w:t>– Пољопривредна традиција Стига у Браничева</w:t>
            </w:r>
          </w:p>
          <w:p>
            <w:pPr>
              <w:pStyle w:val="TableParagraph"/>
              <w:spacing w:line="213" w:lineRule="auto" w:before="2"/>
              <w:ind w:left="56" w:right="44"/>
              <w:jc w:val="both"/>
              <w:rPr>
                <w:sz w:val="14"/>
              </w:rPr>
            </w:pPr>
            <w:r>
              <w:rPr>
                <w:color w:val="231F20"/>
                <w:w w:val="66"/>
                <w:sz w:val="14"/>
              </w:rPr>
              <w:t> </w:t>
            </w:r>
            <w:r>
              <w:rPr>
                <w:color w:val="231F20"/>
                <w:sz w:val="14"/>
              </w:rPr>
              <w:t>–</w:t>
            </w:r>
            <w:r>
              <w:rPr>
                <w:color w:val="231F20"/>
                <w:spacing w:val="-8"/>
                <w:sz w:val="14"/>
              </w:rPr>
              <w:t> </w:t>
            </w:r>
            <w:r>
              <w:rPr>
                <w:color w:val="231F20"/>
                <w:sz w:val="14"/>
              </w:rPr>
              <w:t>Опредељење</w:t>
            </w:r>
            <w:r>
              <w:rPr>
                <w:color w:val="231F20"/>
                <w:spacing w:val="-8"/>
                <w:sz w:val="14"/>
              </w:rPr>
              <w:t> </w:t>
            </w:r>
            <w:r>
              <w:rPr>
                <w:color w:val="231F20"/>
                <w:sz w:val="14"/>
              </w:rPr>
              <w:t>Републике</w:t>
            </w:r>
            <w:r>
              <w:rPr>
                <w:color w:val="231F20"/>
                <w:spacing w:val="-8"/>
                <w:sz w:val="14"/>
              </w:rPr>
              <w:t> </w:t>
            </w:r>
            <w:r>
              <w:rPr>
                <w:color w:val="231F20"/>
                <w:sz w:val="14"/>
              </w:rPr>
              <w:t>Србије</w:t>
            </w:r>
            <w:r>
              <w:rPr>
                <w:color w:val="231F20"/>
                <w:spacing w:val="-8"/>
                <w:sz w:val="14"/>
              </w:rPr>
              <w:t> </w:t>
            </w:r>
            <w:r>
              <w:rPr>
                <w:color w:val="231F20"/>
                <w:sz w:val="14"/>
              </w:rPr>
              <w:t>за</w:t>
            </w:r>
            <w:r>
              <w:rPr>
                <w:color w:val="231F20"/>
                <w:spacing w:val="-8"/>
                <w:sz w:val="14"/>
              </w:rPr>
              <w:t> </w:t>
            </w:r>
            <w:r>
              <w:rPr>
                <w:color w:val="231F20"/>
                <w:sz w:val="14"/>
              </w:rPr>
              <w:t>при- хватање механизама чистог развоја и</w:t>
            </w:r>
            <w:r>
              <w:rPr>
                <w:color w:val="231F20"/>
                <w:spacing w:val="-21"/>
                <w:sz w:val="14"/>
              </w:rPr>
              <w:t> </w:t>
            </w:r>
            <w:r>
              <w:rPr>
                <w:color w:val="231F20"/>
                <w:sz w:val="14"/>
              </w:rPr>
              <w:t>по- стојање Аграрног</w:t>
            </w:r>
            <w:r>
              <w:rPr>
                <w:color w:val="231F20"/>
                <w:spacing w:val="-3"/>
                <w:sz w:val="14"/>
              </w:rPr>
              <w:t> </w:t>
            </w:r>
            <w:r>
              <w:rPr>
                <w:color w:val="231F20"/>
                <w:sz w:val="14"/>
              </w:rPr>
              <w:t>фонда</w:t>
            </w:r>
          </w:p>
          <w:p>
            <w:pPr>
              <w:pStyle w:val="TableParagraph"/>
              <w:spacing w:line="213" w:lineRule="auto" w:before="2"/>
              <w:ind w:left="56" w:right="44" w:hanging="1"/>
              <w:jc w:val="both"/>
              <w:rPr>
                <w:sz w:val="14"/>
              </w:rPr>
            </w:pPr>
            <w:r>
              <w:rPr>
                <w:color w:val="231F20"/>
                <w:w w:val="66"/>
                <w:sz w:val="14"/>
              </w:rPr>
              <w:t> </w:t>
            </w:r>
            <w:r>
              <w:rPr>
                <w:color w:val="231F20"/>
                <w:sz w:val="14"/>
              </w:rPr>
              <w:t>– Педолошки и други природни услови за конкурентност пољопривредне про- изводње</w:t>
            </w:r>
          </w:p>
          <w:p>
            <w:pPr>
              <w:pStyle w:val="TableParagraph"/>
              <w:spacing w:line="213" w:lineRule="auto" w:before="2"/>
              <w:ind w:left="56" w:right="44"/>
              <w:jc w:val="both"/>
              <w:rPr>
                <w:sz w:val="14"/>
              </w:rPr>
            </w:pPr>
            <w:r>
              <w:rPr>
                <w:color w:val="231F20"/>
                <w:w w:val="66"/>
                <w:sz w:val="14"/>
              </w:rPr>
              <w:t> </w:t>
            </w:r>
            <w:r>
              <w:rPr>
                <w:color w:val="231F20"/>
                <w:sz w:val="14"/>
              </w:rPr>
              <w:t>–</w:t>
            </w:r>
            <w:r>
              <w:rPr>
                <w:color w:val="231F20"/>
                <w:spacing w:val="-11"/>
                <w:sz w:val="14"/>
              </w:rPr>
              <w:t> </w:t>
            </w:r>
            <w:r>
              <w:rPr>
                <w:color w:val="231F20"/>
                <w:sz w:val="14"/>
              </w:rPr>
              <w:t>Повољни</w:t>
            </w:r>
            <w:r>
              <w:rPr>
                <w:color w:val="231F20"/>
                <w:spacing w:val="-11"/>
                <w:sz w:val="14"/>
              </w:rPr>
              <w:t> </w:t>
            </w:r>
            <w:r>
              <w:rPr>
                <w:color w:val="231F20"/>
                <w:sz w:val="14"/>
              </w:rPr>
              <w:t>услови</w:t>
            </w:r>
            <w:r>
              <w:rPr>
                <w:color w:val="231F20"/>
                <w:spacing w:val="-11"/>
                <w:sz w:val="14"/>
              </w:rPr>
              <w:t> </w:t>
            </w:r>
            <w:r>
              <w:rPr>
                <w:color w:val="231F20"/>
                <w:sz w:val="14"/>
              </w:rPr>
              <w:t>за</w:t>
            </w:r>
            <w:r>
              <w:rPr>
                <w:color w:val="231F20"/>
                <w:spacing w:val="-11"/>
                <w:sz w:val="14"/>
              </w:rPr>
              <w:t> </w:t>
            </w:r>
            <w:r>
              <w:rPr>
                <w:color w:val="231F20"/>
                <w:sz w:val="14"/>
              </w:rPr>
              <w:t>развој</w:t>
            </w:r>
            <w:r>
              <w:rPr>
                <w:color w:val="231F20"/>
                <w:spacing w:val="-11"/>
                <w:sz w:val="14"/>
              </w:rPr>
              <w:t> </w:t>
            </w:r>
            <w:r>
              <w:rPr>
                <w:color w:val="231F20"/>
                <w:sz w:val="14"/>
              </w:rPr>
              <w:t>повртарства, воћарства</w:t>
            </w:r>
            <w:r>
              <w:rPr>
                <w:color w:val="231F20"/>
                <w:spacing w:val="-6"/>
                <w:sz w:val="14"/>
              </w:rPr>
              <w:t> </w:t>
            </w:r>
            <w:r>
              <w:rPr>
                <w:color w:val="231F20"/>
                <w:sz w:val="14"/>
              </w:rPr>
              <w:t>и</w:t>
            </w:r>
            <w:r>
              <w:rPr>
                <w:color w:val="231F20"/>
                <w:spacing w:val="-6"/>
                <w:sz w:val="14"/>
              </w:rPr>
              <w:t> </w:t>
            </w:r>
            <w:r>
              <w:rPr>
                <w:color w:val="231F20"/>
                <w:sz w:val="14"/>
              </w:rPr>
              <w:t>ратарства</w:t>
            </w:r>
            <w:r>
              <w:rPr>
                <w:color w:val="231F20"/>
                <w:spacing w:val="-6"/>
                <w:sz w:val="14"/>
              </w:rPr>
              <w:t> </w:t>
            </w:r>
            <w:r>
              <w:rPr>
                <w:color w:val="231F20"/>
                <w:sz w:val="14"/>
              </w:rPr>
              <w:t>у</w:t>
            </w:r>
            <w:r>
              <w:rPr>
                <w:color w:val="231F20"/>
                <w:spacing w:val="-6"/>
                <w:sz w:val="14"/>
              </w:rPr>
              <w:t> </w:t>
            </w:r>
            <w:r>
              <w:rPr>
                <w:color w:val="231F20"/>
                <w:sz w:val="14"/>
              </w:rPr>
              <w:t>системима</w:t>
            </w:r>
            <w:r>
              <w:rPr>
                <w:color w:val="231F20"/>
                <w:spacing w:val="-6"/>
                <w:sz w:val="14"/>
              </w:rPr>
              <w:t> </w:t>
            </w:r>
            <w:r>
              <w:rPr>
                <w:color w:val="231F20"/>
                <w:sz w:val="14"/>
              </w:rPr>
              <w:t>за</w:t>
            </w:r>
            <w:r>
              <w:rPr>
                <w:color w:val="231F20"/>
                <w:spacing w:val="-6"/>
                <w:sz w:val="14"/>
              </w:rPr>
              <w:t> </w:t>
            </w:r>
            <w:r>
              <w:rPr>
                <w:color w:val="231F20"/>
                <w:sz w:val="14"/>
              </w:rPr>
              <w:t>на- водњавање</w:t>
            </w:r>
          </w:p>
          <w:p>
            <w:pPr>
              <w:pStyle w:val="TableParagraph"/>
              <w:spacing w:line="213" w:lineRule="auto" w:before="3"/>
              <w:ind w:left="56" w:right="44"/>
              <w:jc w:val="both"/>
              <w:rPr>
                <w:sz w:val="14"/>
              </w:rPr>
            </w:pPr>
            <w:r>
              <w:rPr>
                <w:color w:val="231F20"/>
                <w:w w:val="66"/>
                <w:sz w:val="14"/>
              </w:rPr>
              <w:t> </w:t>
            </w:r>
            <w:r>
              <w:rPr>
                <w:color w:val="231F20"/>
                <w:sz w:val="14"/>
              </w:rPr>
              <w:t>– Повољни ресурсни и техничко-тех- нолошки услови за минимизирањe губитка у пoвршинама и квалитeту пoљoприврeднoг зeмљишта у поступку експлоатације лигнита</w:t>
            </w:r>
          </w:p>
          <w:p>
            <w:pPr>
              <w:pStyle w:val="TableParagraph"/>
              <w:spacing w:line="213" w:lineRule="auto" w:before="4"/>
              <w:ind w:left="56" w:right="44"/>
              <w:jc w:val="both"/>
              <w:rPr>
                <w:sz w:val="14"/>
              </w:rPr>
            </w:pPr>
            <w:r>
              <w:rPr>
                <w:color w:val="231F20"/>
                <w:w w:val="66"/>
                <w:sz w:val="14"/>
              </w:rPr>
              <w:t> </w:t>
            </w:r>
            <w:r>
              <w:rPr>
                <w:color w:val="231F20"/>
                <w:sz w:val="14"/>
              </w:rPr>
              <w:t>– Релативно велике површине запарло- женог земљишта у државној својини, које могу да буду искоришћене за ком- пензацију експриоприсаних земљишних поседа породичних газдинстава, одно- сно за оснивање плантажа за производ- њу биогорива на равним теренима</w:t>
            </w:r>
          </w:p>
          <w:p>
            <w:pPr>
              <w:pStyle w:val="TableParagraph"/>
              <w:spacing w:line="213" w:lineRule="auto" w:before="5"/>
              <w:ind w:left="56" w:right="45"/>
              <w:jc w:val="both"/>
              <w:rPr>
                <w:sz w:val="14"/>
              </w:rPr>
            </w:pPr>
            <w:r>
              <w:rPr>
                <w:color w:val="231F20"/>
                <w:w w:val="66"/>
                <w:sz w:val="14"/>
              </w:rPr>
              <w:t> </w:t>
            </w:r>
            <w:r>
              <w:rPr>
                <w:color w:val="231F20"/>
                <w:sz w:val="14"/>
              </w:rPr>
              <w:t>– Обиљe тoплe oтпаднe вoдe из тeрмoeлeктрана за развoј рентабилне стаклeничкe и пластeничкe прoизвoдњe</w:t>
            </w:r>
          </w:p>
          <w:p>
            <w:pPr>
              <w:pStyle w:val="TableParagraph"/>
              <w:spacing w:line="140" w:lineRule="exact" w:before="0"/>
              <w:ind w:left="56"/>
              <w:jc w:val="both"/>
              <w:rPr>
                <w:sz w:val="14"/>
              </w:rPr>
            </w:pPr>
            <w:r>
              <w:rPr>
                <w:color w:val="231F20"/>
                <w:w w:val="66"/>
                <w:sz w:val="14"/>
              </w:rPr>
              <w:t> </w:t>
            </w:r>
            <w:r>
              <w:rPr>
                <w:color w:val="231F20"/>
                <w:sz w:val="14"/>
              </w:rPr>
              <w:t>– Постојање прерађивачких капацитета</w:t>
            </w:r>
          </w:p>
          <w:p>
            <w:pPr>
              <w:pStyle w:val="TableParagraph"/>
              <w:spacing w:line="213" w:lineRule="auto" w:before="6"/>
              <w:ind w:left="56" w:right="32"/>
              <w:jc w:val="left"/>
              <w:rPr>
                <w:sz w:val="14"/>
              </w:rPr>
            </w:pPr>
            <w:r>
              <w:rPr>
                <w:color w:val="231F20"/>
                <w:w w:val="66"/>
                <w:sz w:val="14"/>
              </w:rPr>
              <w:t> </w:t>
            </w:r>
            <w:r>
              <w:rPr>
                <w:color w:val="231F20"/>
                <w:sz w:val="14"/>
              </w:rPr>
              <w:t>– Заинтересованост младих пољопривредних произвођача за примену добре пољопривредне праксе и коришћење нових технологија</w:t>
            </w:r>
          </w:p>
        </w:tc>
        <w:tc>
          <w:tcPr>
            <w:tcW w:w="2551" w:type="dxa"/>
          </w:tcPr>
          <w:p>
            <w:pPr>
              <w:pStyle w:val="TableParagraph"/>
              <w:spacing w:line="213" w:lineRule="auto" w:before="34"/>
              <w:ind w:left="56" w:right="44"/>
              <w:jc w:val="both"/>
              <w:rPr>
                <w:sz w:val="14"/>
              </w:rPr>
            </w:pPr>
            <w:r>
              <w:rPr>
                <w:color w:val="231F20"/>
                <w:w w:val="66"/>
                <w:sz w:val="14"/>
              </w:rPr>
              <w:t> </w:t>
            </w:r>
            <w:r>
              <w:rPr>
                <w:color w:val="231F20"/>
                <w:sz w:val="14"/>
              </w:rPr>
              <w:t>– </w:t>
            </w:r>
            <w:r>
              <w:rPr>
                <w:color w:val="231F20"/>
                <w:spacing w:val="-4"/>
                <w:sz w:val="14"/>
              </w:rPr>
              <w:t>Распрострањеност земљишта </w:t>
            </w:r>
            <w:r>
              <w:rPr>
                <w:color w:val="231F20"/>
                <w:spacing w:val="-5"/>
                <w:sz w:val="14"/>
              </w:rPr>
              <w:t>високог </w:t>
            </w:r>
            <w:r>
              <w:rPr>
                <w:color w:val="231F20"/>
                <w:spacing w:val="-4"/>
                <w:sz w:val="14"/>
              </w:rPr>
              <w:t>бонитета изнад лигнитских лежишта, од- </w:t>
            </w:r>
            <w:r>
              <w:rPr>
                <w:color w:val="231F20"/>
                <w:spacing w:val="-3"/>
                <w:sz w:val="14"/>
              </w:rPr>
              <w:t>носно </w:t>
            </w:r>
            <w:r>
              <w:rPr>
                <w:color w:val="231F20"/>
                <w:sz w:val="14"/>
              </w:rPr>
              <w:t>у</w:t>
            </w:r>
            <w:r>
              <w:rPr>
                <w:color w:val="231F20"/>
                <w:spacing w:val="-25"/>
                <w:sz w:val="14"/>
              </w:rPr>
              <w:t> </w:t>
            </w:r>
            <w:r>
              <w:rPr>
                <w:color w:val="231F20"/>
                <w:spacing w:val="-4"/>
                <w:sz w:val="14"/>
              </w:rPr>
              <w:t>зонама </w:t>
            </w:r>
            <w:r>
              <w:rPr>
                <w:color w:val="231F20"/>
                <w:spacing w:val="-5"/>
                <w:sz w:val="14"/>
              </w:rPr>
              <w:t>непланског </w:t>
            </w:r>
            <w:r>
              <w:rPr>
                <w:color w:val="231F20"/>
                <w:spacing w:val="-4"/>
                <w:sz w:val="14"/>
              </w:rPr>
              <w:t>ширења </w:t>
            </w:r>
            <w:r>
              <w:rPr>
                <w:color w:val="231F20"/>
                <w:spacing w:val="-3"/>
                <w:sz w:val="14"/>
              </w:rPr>
              <w:t>насеља</w:t>
            </w:r>
          </w:p>
          <w:p>
            <w:pPr>
              <w:pStyle w:val="TableParagraph"/>
              <w:spacing w:line="213" w:lineRule="auto" w:before="2"/>
              <w:ind w:left="56" w:right="44"/>
              <w:jc w:val="both"/>
              <w:rPr>
                <w:sz w:val="14"/>
              </w:rPr>
            </w:pPr>
            <w:r>
              <w:rPr>
                <w:color w:val="231F20"/>
                <w:w w:val="66"/>
                <w:sz w:val="14"/>
              </w:rPr>
              <w:t> </w:t>
            </w:r>
            <w:r>
              <w:rPr>
                <w:color w:val="231F20"/>
                <w:sz w:val="14"/>
              </w:rPr>
              <w:t>– Непостојање мониторинга загађивања земљишта, воде и ваздуха</w:t>
            </w:r>
          </w:p>
          <w:p>
            <w:pPr>
              <w:pStyle w:val="TableParagraph"/>
              <w:spacing w:line="213" w:lineRule="auto" w:before="2"/>
              <w:ind w:left="56" w:right="44"/>
              <w:jc w:val="both"/>
              <w:rPr>
                <w:sz w:val="14"/>
              </w:rPr>
            </w:pPr>
            <w:r>
              <w:rPr>
                <w:color w:val="231F20"/>
                <w:w w:val="66"/>
                <w:sz w:val="14"/>
              </w:rPr>
              <w:t> </w:t>
            </w:r>
            <w:r>
              <w:rPr>
                <w:color w:val="231F20"/>
                <w:sz w:val="14"/>
              </w:rPr>
              <w:t>– Слабо функционисање тржишта по- љопривредног земљишта, неразвијени институционални капацитети у домену дугорочног закупа, неразрешена сво- јинска права, недефинисане корисничке обавезе, неажурна информатичка основа и слабости земљишне политике</w:t>
            </w:r>
          </w:p>
          <w:p>
            <w:pPr>
              <w:pStyle w:val="TableParagraph"/>
              <w:spacing w:line="213" w:lineRule="auto" w:before="5"/>
              <w:ind w:left="56" w:right="44"/>
              <w:jc w:val="both"/>
              <w:rPr>
                <w:sz w:val="14"/>
              </w:rPr>
            </w:pPr>
            <w:r>
              <w:rPr>
                <w:color w:val="231F20"/>
                <w:w w:val="66"/>
                <w:sz w:val="14"/>
              </w:rPr>
              <w:t> </w:t>
            </w:r>
            <w:r>
              <w:rPr>
                <w:color w:val="231F20"/>
                <w:sz w:val="14"/>
              </w:rPr>
              <w:t>– Слабе мотивације, аспирације, знања и материјалне могућности пољопри- вредних газдинстава за улагања у</w:t>
            </w:r>
            <w:r>
              <w:rPr>
                <w:color w:val="231F20"/>
                <w:spacing w:val="-18"/>
                <w:sz w:val="14"/>
              </w:rPr>
              <w:t> </w:t>
            </w:r>
            <w:r>
              <w:rPr>
                <w:color w:val="231F20"/>
                <w:sz w:val="14"/>
              </w:rPr>
              <w:t>развој, унапређивање и укрупњавање пољопри- вредне</w:t>
            </w:r>
            <w:r>
              <w:rPr>
                <w:color w:val="231F20"/>
                <w:spacing w:val="-2"/>
                <w:sz w:val="14"/>
              </w:rPr>
              <w:t> </w:t>
            </w:r>
            <w:r>
              <w:rPr>
                <w:color w:val="231F20"/>
                <w:sz w:val="14"/>
              </w:rPr>
              <w:t>производње</w:t>
            </w:r>
          </w:p>
          <w:p>
            <w:pPr>
              <w:pStyle w:val="TableParagraph"/>
              <w:spacing w:line="213" w:lineRule="auto" w:before="4"/>
              <w:ind w:left="56" w:right="44"/>
              <w:jc w:val="both"/>
              <w:rPr>
                <w:sz w:val="14"/>
              </w:rPr>
            </w:pPr>
            <w:r>
              <w:rPr>
                <w:color w:val="231F20"/>
                <w:w w:val="66"/>
                <w:sz w:val="14"/>
              </w:rPr>
              <w:t> </w:t>
            </w:r>
            <w:r>
              <w:rPr>
                <w:color w:val="231F20"/>
                <w:sz w:val="14"/>
              </w:rPr>
              <w:t>– Слаба пословна повезаност породич- них газдинстава међусобно и са сфером промета и прераде пољопривредно пре- храмбених производа</w:t>
            </w:r>
          </w:p>
          <w:p>
            <w:pPr>
              <w:pStyle w:val="TableParagraph"/>
              <w:spacing w:line="213" w:lineRule="auto" w:before="3"/>
              <w:ind w:left="56" w:right="44" w:hanging="1"/>
              <w:jc w:val="both"/>
              <w:rPr>
                <w:sz w:val="14"/>
              </w:rPr>
            </w:pPr>
            <w:r>
              <w:rPr>
                <w:color w:val="231F20"/>
                <w:w w:val="66"/>
                <w:sz w:val="14"/>
              </w:rPr>
              <w:t> </w:t>
            </w:r>
            <w:r>
              <w:rPr>
                <w:color w:val="231F20"/>
                <w:sz w:val="14"/>
              </w:rPr>
              <w:t>–</w:t>
            </w:r>
            <w:r>
              <w:rPr>
                <w:color w:val="231F20"/>
                <w:spacing w:val="-11"/>
                <w:sz w:val="14"/>
              </w:rPr>
              <w:t> </w:t>
            </w:r>
            <w:r>
              <w:rPr>
                <w:color w:val="231F20"/>
                <w:sz w:val="14"/>
              </w:rPr>
              <w:t>Недовољна</w:t>
            </w:r>
            <w:r>
              <w:rPr>
                <w:color w:val="231F20"/>
                <w:spacing w:val="-11"/>
                <w:sz w:val="14"/>
              </w:rPr>
              <w:t> </w:t>
            </w:r>
            <w:r>
              <w:rPr>
                <w:color w:val="231F20"/>
                <w:sz w:val="14"/>
              </w:rPr>
              <w:t>искоришћеност</w:t>
            </w:r>
            <w:r>
              <w:rPr>
                <w:color w:val="231F20"/>
                <w:spacing w:val="-10"/>
                <w:sz w:val="14"/>
              </w:rPr>
              <w:t> </w:t>
            </w:r>
            <w:r>
              <w:rPr>
                <w:color w:val="231F20"/>
                <w:sz w:val="14"/>
              </w:rPr>
              <w:t>постојећих пољопривредних природних и технич- ких ресурса</w:t>
            </w:r>
          </w:p>
          <w:p>
            <w:pPr>
              <w:pStyle w:val="TableParagraph"/>
              <w:spacing w:line="213" w:lineRule="auto" w:before="3"/>
              <w:ind w:left="57" w:right="44" w:hanging="1"/>
              <w:jc w:val="both"/>
              <w:rPr>
                <w:sz w:val="14"/>
              </w:rPr>
            </w:pPr>
            <w:r>
              <w:rPr>
                <w:color w:val="231F20"/>
                <w:w w:val="66"/>
                <w:sz w:val="14"/>
              </w:rPr>
              <w:t> </w:t>
            </w:r>
            <w:r>
              <w:rPr>
                <w:color w:val="231F20"/>
                <w:sz w:val="14"/>
              </w:rPr>
              <w:t>– Непостојање удружења и слаба разви- јеност задругарства</w:t>
            </w:r>
          </w:p>
          <w:p>
            <w:pPr>
              <w:pStyle w:val="TableParagraph"/>
              <w:spacing w:line="213" w:lineRule="auto" w:before="1"/>
              <w:ind w:left="57" w:right="44"/>
              <w:jc w:val="both"/>
              <w:rPr>
                <w:sz w:val="14"/>
              </w:rPr>
            </w:pPr>
            <w:r>
              <w:rPr>
                <w:color w:val="231F20"/>
                <w:w w:val="66"/>
                <w:sz w:val="14"/>
              </w:rPr>
              <w:t> </w:t>
            </w:r>
            <w:r>
              <w:rPr>
                <w:color w:val="231F20"/>
                <w:sz w:val="14"/>
              </w:rPr>
              <w:t>– Немотивисаност младих за бављење пољопривредом</w:t>
            </w:r>
          </w:p>
          <w:p>
            <w:pPr>
              <w:pStyle w:val="TableParagraph"/>
              <w:spacing w:line="213" w:lineRule="auto" w:before="2"/>
              <w:ind w:left="57" w:right="44" w:hanging="1"/>
              <w:jc w:val="both"/>
              <w:rPr>
                <w:sz w:val="14"/>
              </w:rPr>
            </w:pPr>
            <w:r>
              <w:rPr>
                <w:color w:val="231F20"/>
                <w:w w:val="66"/>
                <w:sz w:val="14"/>
              </w:rPr>
              <w:t> </w:t>
            </w:r>
            <w:r>
              <w:rPr>
                <w:color w:val="231F20"/>
                <w:sz w:val="14"/>
              </w:rPr>
              <w:t>– Неискоришћење биомасе и обновљи- вих природних ресурса</w:t>
            </w:r>
          </w:p>
          <w:p>
            <w:pPr>
              <w:pStyle w:val="TableParagraph"/>
              <w:spacing w:line="213" w:lineRule="auto" w:before="1"/>
              <w:ind w:left="57" w:right="43"/>
              <w:jc w:val="both"/>
              <w:rPr>
                <w:sz w:val="14"/>
              </w:rPr>
            </w:pPr>
            <w:r>
              <w:rPr>
                <w:color w:val="231F20"/>
                <w:w w:val="66"/>
                <w:sz w:val="14"/>
              </w:rPr>
              <w:t> </w:t>
            </w:r>
            <w:r>
              <w:rPr>
                <w:color w:val="231F20"/>
                <w:sz w:val="14"/>
              </w:rPr>
              <w:t>– Миграција становништва из села у град и иностранство</w:t>
            </w:r>
          </w:p>
          <w:p>
            <w:pPr>
              <w:pStyle w:val="TableParagraph"/>
              <w:spacing w:line="213" w:lineRule="auto" w:before="2"/>
              <w:ind w:left="57" w:right="43"/>
              <w:jc w:val="both"/>
              <w:rPr>
                <w:sz w:val="14"/>
              </w:rPr>
            </w:pPr>
            <w:r>
              <w:rPr>
                <w:color w:val="231F20"/>
                <w:w w:val="66"/>
                <w:sz w:val="14"/>
              </w:rPr>
              <w:t> </w:t>
            </w:r>
            <w:r>
              <w:rPr>
                <w:color w:val="231F20"/>
                <w:sz w:val="14"/>
              </w:rPr>
              <w:t>–</w:t>
            </w:r>
            <w:r>
              <w:rPr>
                <w:color w:val="231F20"/>
                <w:spacing w:val="-12"/>
                <w:sz w:val="14"/>
              </w:rPr>
              <w:t> </w:t>
            </w:r>
            <w:r>
              <w:rPr>
                <w:color w:val="231F20"/>
                <w:sz w:val="14"/>
              </w:rPr>
              <w:t>Недовољна</w:t>
            </w:r>
            <w:r>
              <w:rPr>
                <w:color w:val="231F20"/>
                <w:spacing w:val="-13"/>
                <w:sz w:val="14"/>
              </w:rPr>
              <w:t> </w:t>
            </w:r>
            <w:r>
              <w:rPr>
                <w:color w:val="231F20"/>
                <w:sz w:val="14"/>
              </w:rPr>
              <w:t>знања</w:t>
            </w:r>
            <w:r>
              <w:rPr>
                <w:color w:val="231F20"/>
                <w:spacing w:val="-13"/>
                <w:sz w:val="14"/>
              </w:rPr>
              <w:t> </w:t>
            </w:r>
            <w:r>
              <w:rPr>
                <w:color w:val="231F20"/>
                <w:sz w:val="14"/>
              </w:rPr>
              <w:t>пољопривредника</w:t>
            </w:r>
            <w:r>
              <w:rPr>
                <w:color w:val="231F20"/>
                <w:spacing w:val="-12"/>
                <w:sz w:val="14"/>
              </w:rPr>
              <w:t> </w:t>
            </w:r>
            <w:r>
              <w:rPr>
                <w:color w:val="231F20"/>
                <w:sz w:val="14"/>
              </w:rPr>
              <w:t>за пласман пољопривредних производа на тржиште</w:t>
            </w:r>
          </w:p>
          <w:p>
            <w:pPr>
              <w:pStyle w:val="TableParagraph"/>
              <w:spacing w:line="213" w:lineRule="auto" w:before="2"/>
              <w:ind w:left="57" w:right="43"/>
              <w:jc w:val="both"/>
              <w:rPr>
                <w:sz w:val="14"/>
              </w:rPr>
            </w:pPr>
            <w:r>
              <w:rPr>
                <w:color w:val="231F20"/>
                <w:w w:val="66"/>
                <w:sz w:val="14"/>
              </w:rPr>
              <w:t> </w:t>
            </w:r>
            <w:r>
              <w:rPr>
                <w:color w:val="231F20"/>
                <w:sz w:val="14"/>
              </w:rPr>
              <w:t>–</w:t>
            </w:r>
            <w:r>
              <w:rPr>
                <w:color w:val="231F20"/>
                <w:spacing w:val="-15"/>
                <w:sz w:val="14"/>
              </w:rPr>
              <w:t> </w:t>
            </w:r>
            <w:r>
              <w:rPr>
                <w:color w:val="231F20"/>
                <w:sz w:val="14"/>
              </w:rPr>
              <w:t>Неискоришћеност</w:t>
            </w:r>
            <w:r>
              <w:rPr>
                <w:color w:val="231F20"/>
                <w:spacing w:val="-15"/>
                <w:sz w:val="14"/>
              </w:rPr>
              <w:t> </w:t>
            </w:r>
            <w:r>
              <w:rPr>
                <w:color w:val="231F20"/>
                <w:sz w:val="14"/>
              </w:rPr>
              <w:t>постојећих</w:t>
            </w:r>
            <w:r>
              <w:rPr>
                <w:color w:val="231F20"/>
                <w:spacing w:val="-15"/>
                <w:sz w:val="14"/>
              </w:rPr>
              <w:t> </w:t>
            </w:r>
            <w:r>
              <w:rPr>
                <w:color w:val="231F20"/>
                <w:sz w:val="14"/>
              </w:rPr>
              <w:t>прерађи- вачких</w:t>
            </w:r>
            <w:r>
              <w:rPr>
                <w:color w:val="231F20"/>
                <w:spacing w:val="-1"/>
                <w:sz w:val="14"/>
              </w:rPr>
              <w:t> </w:t>
            </w:r>
            <w:r>
              <w:rPr>
                <w:color w:val="231F20"/>
                <w:sz w:val="14"/>
              </w:rPr>
              <w:t>капацитета</w:t>
            </w:r>
          </w:p>
          <w:p>
            <w:pPr>
              <w:pStyle w:val="TableParagraph"/>
              <w:spacing w:line="213" w:lineRule="auto" w:before="2"/>
              <w:ind w:left="57" w:right="43" w:hanging="1"/>
              <w:jc w:val="both"/>
              <w:rPr>
                <w:sz w:val="14"/>
              </w:rPr>
            </w:pPr>
            <w:r>
              <w:rPr>
                <w:color w:val="231F20"/>
                <w:w w:val="66"/>
                <w:sz w:val="14"/>
              </w:rPr>
              <w:t> </w:t>
            </w:r>
            <w:r>
              <w:rPr>
                <w:color w:val="231F20"/>
                <w:sz w:val="14"/>
              </w:rPr>
              <w:t>– Недостатак финансијских средстава за подршку аграрним програмима</w:t>
            </w:r>
          </w:p>
          <w:p>
            <w:pPr>
              <w:pStyle w:val="TableParagraph"/>
              <w:spacing w:line="213" w:lineRule="auto" w:before="1"/>
              <w:ind w:left="57" w:right="43"/>
              <w:jc w:val="both"/>
              <w:rPr>
                <w:sz w:val="14"/>
              </w:rPr>
            </w:pPr>
            <w:r>
              <w:rPr>
                <w:color w:val="231F20"/>
                <w:w w:val="66"/>
                <w:sz w:val="14"/>
              </w:rPr>
              <w:t> </w:t>
            </w:r>
            <w:r>
              <w:rPr>
                <w:color w:val="231F20"/>
                <w:sz w:val="14"/>
              </w:rPr>
              <w:t>– Недостатак регионалне стратегије раз- воја пољопривреде</w:t>
            </w:r>
          </w:p>
        </w:tc>
      </w:tr>
    </w:tbl>
    <w:p>
      <w:pPr>
        <w:spacing w:after="0" w:line="213" w:lineRule="auto"/>
        <w:jc w:val="both"/>
        <w:rPr>
          <w:sz w:val="14"/>
        </w:rPr>
        <w:sectPr>
          <w:pgSz w:w="12480" w:h="15690"/>
          <w:pgMar w:top="240" w:bottom="280" w:left="680" w:right="720"/>
        </w:sectPr>
      </w:pPr>
    </w:p>
    <w:tbl>
      <w:tblPr>
        <w:tblW w:w="0" w:type="auto"/>
        <w:jc w:val="left"/>
        <w:tblInd w:w="5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spacing w:before="9"/>
              <w:ind w:left="778"/>
              <w:jc w:val="left"/>
              <w:rPr>
                <w:sz w:val="14"/>
              </w:rPr>
            </w:pPr>
            <w:r>
              <w:rPr>
                <w:color w:val="231F20"/>
                <w:sz w:val="14"/>
              </w:rPr>
              <w:t>МОГУЋНОСТИ</w:t>
            </w:r>
          </w:p>
        </w:tc>
        <w:tc>
          <w:tcPr>
            <w:tcW w:w="2551" w:type="dxa"/>
          </w:tcPr>
          <w:p>
            <w:pPr>
              <w:pStyle w:val="TableParagraph"/>
              <w:spacing w:before="9"/>
              <w:ind w:left="722" w:right="712"/>
              <w:jc w:val="center"/>
              <w:rPr>
                <w:sz w:val="14"/>
              </w:rPr>
            </w:pPr>
            <w:r>
              <w:rPr>
                <w:color w:val="231F20"/>
                <w:sz w:val="14"/>
              </w:rPr>
              <w:t>ПРЕТЊЕ</w:t>
            </w:r>
          </w:p>
        </w:tc>
      </w:tr>
      <w:tr>
        <w:trPr>
          <w:trHeight w:val="1320" w:hRule="atLeast"/>
        </w:trPr>
        <w:tc>
          <w:tcPr>
            <w:tcW w:w="2551" w:type="dxa"/>
          </w:tcPr>
          <w:p>
            <w:pPr>
              <w:pStyle w:val="TableParagraph"/>
              <w:spacing w:before="9"/>
              <w:ind w:left="56"/>
              <w:jc w:val="left"/>
              <w:rPr>
                <w:sz w:val="14"/>
              </w:rPr>
            </w:pPr>
            <w:r>
              <w:rPr>
                <w:color w:val="231F20"/>
                <w:w w:val="66"/>
                <w:sz w:val="14"/>
              </w:rPr>
              <w:t> </w:t>
            </w:r>
            <w:r>
              <w:rPr>
                <w:color w:val="231F20"/>
                <w:sz w:val="14"/>
              </w:rPr>
              <w:t>– Укључивање у регионалне и европске програме и пројекте</w:t>
            </w:r>
          </w:p>
          <w:p>
            <w:pPr>
              <w:pStyle w:val="TableParagraph"/>
              <w:spacing w:before="0"/>
              <w:ind w:left="56" w:right="6"/>
              <w:jc w:val="left"/>
              <w:rPr>
                <w:sz w:val="14"/>
              </w:rPr>
            </w:pPr>
            <w:r>
              <w:rPr>
                <w:color w:val="231F20"/>
                <w:w w:val="66"/>
                <w:sz w:val="14"/>
              </w:rPr>
              <w:t> </w:t>
            </w:r>
            <w:r>
              <w:rPr>
                <w:color w:val="231F20"/>
                <w:sz w:val="14"/>
              </w:rPr>
              <w:t>– Боље активирање грађанства и интере- сних група</w:t>
            </w:r>
          </w:p>
          <w:p>
            <w:pPr>
              <w:pStyle w:val="TableParagraph"/>
              <w:spacing w:before="0"/>
              <w:ind w:left="56"/>
              <w:jc w:val="left"/>
              <w:rPr>
                <w:sz w:val="14"/>
              </w:rPr>
            </w:pPr>
            <w:r>
              <w:rPr>
                <w:color w:val="231F20"/>
                <w:w w:val="66"/>
                <w:sz w:val="14"/>
              </w:rPr>
              <w:t> </w:t>
            </w:r>
            <w:r>
              <w:rPr>
                <w:color w:val="231F20"/>
                <w:sz w:val="14"/>
              </w:rPr>
              <w:t>– Успостављање тзв. „одрживог бизни- са” у области ОИЕ</w:t>
            </w:r>
          </w:p>
          <w:p>
            <w:pPr>
              <w:pStyle w:val="TableParagraph"/>
              <w:spacing w:before="0"/>
              <w:ind w:left="56" w:right="17"/>
              <w:jc w:val="left"/>
              <w:rPr>
                <w:sz w:val="14"/>
              </w:rPr>
            </w:pPr>
            <w:r>
              <w:rPr>
                <w:color w:val="231F20"/>
                <w:w w:val="66"/>
                <w:sz w:val="14"/>
              </w:rPr>
              <w:t> </w:t>
            </w:r>
            <w:r>
              <w:rPr>
                <w:color w:val="231F20"/>
                <w:sz w:val="14"/>
              </w:rPr>
              <w:t>– Стварање услова за развој домаће про- изводње опреме за примену ОИЕ</w:t>
            </w:r>
          </w:p>
        </w:tc>
        <w:tc>
          <w:tcPr>
            <w:tcW w:w="2551" w:type="dxa"/>
          </w:tcPr>
          <w:p>
            <w:pPr>
              <w:pStyle w:val="TableParagraph"/>
              <w:spacing w:before="9"/>
              <w:ind w:left="56"/>
              <w:jc w:val="left"/>
              <w:rPr>
                <w:sz w:val="14"/>
              </w:rPr>
            </w:pPr>
            <w:r>
              <w:rPr>
                <w:color w:val="231F20"/>
                <w:w w:val="66"/>
                <w:sz w:val="14"/>
              </w:rPr>
              <w:t> </w:t>
            </w:r>
            <w:r>
              <w:rPr>
                <w:color w:val="231F20"/>
                <w:sz w:val="14"/>
              </w:rPr>
              <w:t>– Непостојање перманентних облика едукације локалног становништва</w:t>
            </w:r>
          </w:p>
          <w:p>
            <w:pPr>
              <w:pStyle w:val="TableParagraph"/>
              <w:spacing w:line="159" w:lineRule="exact" w:before="0"/>
              <w:ind w:left="56"/>
              <w:jc w:val="left"/>
              <w:rPr>
                <w:sz w:val="14"/>
              </w:rPr>
            </w:pPr>
            <w:r>
              <w:rPr>
                <w:color w:val="231F20"/>
                <w:w w:val="66"/>
                <w:sz w:val="14"/>
              </w:rPr>
              <w:t> </w:t>
            </w:r>
            <w:r>
              <w:rPr>
                <w:color w:val="231F20"/>
                <w:sz w:val="14"/>
              </w:rPr>
              <w:t>– Недовољно јасни прописи</w:t>
            </w:r>
          </w:p>
        </w:tc>
      </w:tr>
    </w:tbl>
    <w:p>
      <w:pPr>
        <w:pStyle w:val="BodyText"/>
        <w:spacing w:before="8"/>
        <w:ind w:left="0"/>
        <w:jc w:val="left"/>
        <w:rPr>
          <w:sz w:val="8"/>
        </w:rPr>
      </w:pPr>
    </w:p>
    <w:p>
      <w:pPr>
        <w:spacing w:after="0"/>
        <w:jc w:val="left"/>
        <w:rPr>
          <w:sz w:val="8"/>
        </w:rPr>
        <w:sectPr>
          <w:pgSz w:w="12480" w:h="15690"/>
          <w:pgMar w:top="240" w:bottom="280" w:left="68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63"/>
        <w:ind w:left="652" w:right="537"/>
        <w:jc w:val="center"/>
      </w:pPr>
      <w:r>
        <w:rPr/>
        <w:pict>
          <v:shape style="position:absolute;margin-left:42.519699pt;margin-top:-255.497238pt;width:255.9pt;height:253.55pt;mso-position-horizontal-relative:page;mso-position-vertical-relative:paragraph;z-index:186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78"/>
                          <w:jc w:val="left"/>
                          <w:rPr>
                            <w:sz w:val="14"/>
                          </w:rPr>
                        </w:pPr>
                        <w:r>
                          <w:rPr>
                            <w:color w:val="231F20"/>
                            <w:sz w:val="14"/>
                          </w:rPr>
                          <w:t>МОГУЋНОСТИ</w:t>
                        </w:r>
                      </w:p>
                    </w:tc>
                    <w:tc>
                      <w:tcPr>
                        <w:tcW w:w="2551" w:type="dxa"/>
                      </w:tcPr>
                      <w:p>
                        <w:pPr>
                          <w:pStyle w:val="TableParagraph"/>
                          <w:ind w:left="722" w:right="712"/>
                          <w:jc w:val="center"/>
                          <w:rPr>
                            <w:sz w:val="14"/>
                          </w:rPr>
                        </w:pPr>
                        <w:r>
                          <w:rPr>
                            <w:color w:val="231F20"/>
                            <w:sz w:val="14"/>
                          </w:rPr>
                          <w:t>ПРЕТЊЕ</w:t>
                        </w:r>
                      </w:p>
                    </w:tc>
                  </w:tr>
                  <w:tr>
                    <w:trPr>
                      <w:trHeight w:val="4840" w:hRule="atLeast"/>
                    </w:trPr>
                    <w:tc>
                      <w:tcPr>
                        <w:tcW w:w="2551" w:type="dxa"/>
                      </w:tcPr>
                      <w:p>
                        <w:pPr>
                          <w:pStyle w:val="TableParagraph"/>
                          <w:ind w:left="56" w:right="44"/>
                          <w:jc w:val="both"/>
                          <w:rPr>
                            <w:sz w:val="14"/>
                          </w:rPr>
                        </w:pPr>
                        <w:r>
                          <w:rPr>
                            <w:color w:val="231F20"/>
                            <w:w w:val="66"/>
                            <w:sz w:val="14"/>
                          </w:rPr>
                          <w:t> </w:t>
                        </w:r>
                        <w:r>
                          <w:rPr>
                            <w:color w:val="231F20"/>
                            <w:sz w:val="14"/>
                          </w:rPr>
                          <w:t>– Бољи приступ регионалним и европ- ском тржишту</w:t>
                        </w:r>
                      </w:p>
                      <w:p>
                        <w:pPr>
                          <w:pStyle w:val="TableParagraph"/>
                          <w:spacing w:before="0"/>
                          <w:ind w:left="56" w:right="44"/>
                          <w:jc w:val="both"/>
                          <w:rPr>
                            <w:sz w:val="14"/>
                          </w:rPr>
                        </w:pPr>
                        <w:r>
                          <w:rPr>
                            <w:color w:val="231F20"/>
                            <w:w w:val="66"/>
                            <w:sz w:val="14"/>
                          </w:rPr>
                          <w:t> </w:t>
                        </w:r>
                        <w:r>
                          <w:rPr>
                            <w:color w:val="231F20"/>
                            <w:sz w:val="14"/>
                          </w:rPr>
                          <w:t>– Нови закони и прописи у пољопри- вредној производњи</w:t>
                        </w:r>
                      </w:p>
                      <w:p>
                        <w:pPr>
                          <w:pStyle w:val="TableParagraph"/>
                          <w:spacing w:before="0"/>
                          <w:ind w:left="56" w:right="44"/>
                          <w:jc w:val="both"/>
                          <w:rPr>
                            <w:sz w:val="14"/>
                          </w:rPr>
                        </w:pPr>
                        <w:r>
                          <w:rPr>
                            <w:color w:val="231F20"/>
                            <w:w w:val="66"/>
                            <w:sz w:val="14"/>
                          </w:rPr>
                          <w:t> </w:t>
                        </w:r>
                        <w:r>
                          <w:rPr>
                            <w:color w:val="231F20"/>
                            <w:sz w:val="14"/>
                          </w:rPr>
                          <w:t>– Већа подстицајна средства за пољо- привредни развој из свих извора финан- сирања</w:t>
                        </w:r>
                      </w:p>
                      <w:p>
                        <w:pPr>
                          <w:pStyle w:val="TableParagraph"/>
                          <w:spacing w:line="158" w:lineRule="exact" w:before="0"/>
                          <w:ind w:left="56"/>
                          <w:jc w:val="both"/>
                          <w:rPr>
                            <w:sz w:val="14"/>
                          </w:rPr>
                        </w:pPr>
                        <w:r>
                          <w:rPr>
                            <w:color w:val="231F20"/>
                            <w:w w:val="66"/>
                            <w:sz w:val="14"/>
                          </w:rPr>
                          <w:t> </w:t>
                        </w:r>
                        <w:r>
                          <w:rPr>
                            <w:color w:val="231F20"/>
                            <w:sz w:val="14"/>
                          </w:rPr>
                          <w:t>– Раст тражње за органском храном</w:t>
                        </w:r>
                      </w:p>
                      <w:p>
                        <w:pPr>
                          <w:pStyle w:val="TableParagraph"/>
                          <w:spacing w:before="0"/>
                          <w:ind w:left="56" w:right="44"/>
                          <w:jc w:val="both"/>
                          <w:rPr>
                            <w:sz w:val="14"/>
                          </w:rPr>
                        </w:pPr>
                        <w:r>
                          <w:rPr>
                            <w:color w:val="231F20"/>
                            <w:w w:val="66"/>
                            <w:sz w:val="14"/>
                          </w:rPr>
                          <w:t> </w:t>
                        </w:r>
                        <w:r>
                          <w:rPr>
                            <w:color w:val="231F20"/>
                            <w:sz w:val="14"/>
                          </w:rPr>
                          <w:t>– </w:t>
                        </w:r>
                        <w:r>
                          <w:rPr>
                            <w:color w:val="231F20"/>
                            <w:spacing w:val="-4"/>
                            <w:sz w:val="14"/>
                          </w:rPr>
                          <w:t>Стимулисањe </w:t>
                        </w:r>
                        <w:r>
                          <w:rPr>
                            <w:color w:val="231F20"/>
                            <w:spacing w:val="-3"/>
                            <w:sz w:val="14"/>
                          </w:rPr>
                          <w:t>прoцeса кoнцeнтрацијe зeмљишта, стoкe </w:t>
                        </w:r>
                        <w:r>
                          <w:rPr>
                            <w:color w:val="231F20"/>
                            <w:sz w:val="14"/>
                          </w:rPr>
                          <w:t>и  </w:t>
                        </w:r>
                        <w:r>
                          <w:rPr>
                            <w:color w:val="231F20"/>
                            <w:spacing w:val="-3"/>
                            <w:sz w:val="14"/>
                          </w:rPr>
                          <w:t>тeхничких  срeдстава </w:t>
                        </w:r>
                        <w:r>
                          <w:rPr>
                            <w:color w:val="231F20"/>
                            <w:sz w:val="14"/>
                          </w:rPr>
                          <w:t>у </w:t>
                        </w:r>
                        <w:r>
                          <w:rPr>
                            <w:color w:val="231F20"/>
                            <w:spacing w:val="-4"/>
                            <w:sz w:val="14"/>
                          </w:rPr>
                          <w:t>рукама </w:t>
                        </w:r>
                        <w:r>
                          <w:rPr>
                            <w:color w:val="231F20"/>
                            <w:spacing w:val="-3"/>
                            <w:sz w:val="14"/>
                          </w:rPr>
                          <w:t>младих, образованих </w:t>
                        </w:r>
                        <w:r>
                          <w:rPr>
                            <w:color w:val="231F20"/>
                            <w:sz w:val="14"/>
                          </w:rPr>
                          <w:t>и </w:t>
                        </w:r>
                        <w:r>
                          <w:rPr>
                            <w:color w:val="231F20"/>
                            <w:spacing w:val="-3"/>
                            <w:sz w:val="14"/>
                          </w:rPr>
                          <w:t>предузет- нички оријентисаних</w:t>
                        </w:r>
                        <w:r>
                          <w:rPr>
                            <w:color w:val="231F20"/>
                            <w:spacing w:val="-5"/>
                            <w:sz w:val="14"/>
                          </w:rPr>
                          <w:t> </w:t>
                        </w:r>
                        <w:r>
                          <w:rPr>
                            <w:color w:val="231F20"/>
                            <w:spacing w:val="-3"/>
                            <w:sz w:val="14"/>
                          </w:rPr>
                          <w:t>пољопривредника</w:t>
                        </w:r>
                      </w:p>
                      <w:p>
                        <w:pPr>
                          <w:pStyle w:val="TableParagraph"/>
                          <w:spacing w:line="237" w:lineRule="auto" w:before="0"/>
                          <w:ind w:left="56" w:right="44" w:hanging="1"/>
                          <w:jc w:val="both"/>
                          <w:rPr>
                            <w:sz w:val="14"/>
                          </w:rPr>
                        </w:pPr>
                        <w:r>
                          <w:rPr>
                            <w:color w:val="231F20"/>
                            <w:w w:val="66"/>
                            <w:sz w:val="14"/>
                          </w:rPr>
                          <w:t> </w:t>
                        </w:r>
                        <w:r>
                          <w:rPr>
                            <w:color w:val="231F20"/>
                            <w:sz w:val="14"/>
                          </w:rPr>
                          <w:t>– Јачање економског интереса дела ста- новништва, које је изгубило статус стал- но запослених, за бављење пољопри- вредном производњом на сопственом газдинству</w:t>
                        </w:r>
                      </w:p>
                      <w:p>
                        <w:pPr>
                          <w:pStyle w:val="TableParagraph"/>
                          <w:spacing w:before="0"/>
                          <w:ind w:left="56" w:right="44" w:hanging="1"/>
                          <w:jc w:val="both"/>
                          <w:rPr>
                            <w:sz w:val="14"/>
                          </w:rPr>
                        </w:pPr>
                        <w:r>
                          <w:rPr>
                            <w:color w:val="231F20"/>
                            <w:w w:val="66"/>
                            <w:sz w:val="14"/>
                          </w:rPr>
                          <w:t> </w:t>
                        </w:r>
                        <w:r>
                          <w:rPr>
                            <w:color w:val="231F20"/>
                            <w:sz w:val="14"/>
                          </w:rPr>
                          <w:t>– </w:t>
                        </w:r>
                        <w:r>
                          <w:rPr>
                            <w:color w:val="231F20"/>
                            <w:spacing w:val="-4"/>
                            <w:sz w:val="14"/>
                          </w:rPr>
                          <w:t>Ориjeнтациjа домаће аграрнe пoлитикe </w:t>
                        </w:r>
                        <w:r>
                          <w:rPr>
                            <w:color w:val="231F20"/>
                            <w:sz w:val="14"/>
                          </w:rPr>
                          <w:t>на </w:t>
                        </w:r>
                        <w:r>
                          <w:rPr>
                            <w:color w:val="231F20"/>
                            <w:spacing w:val="-4"/>
                            <w:sz w:val="14"/>
                          </w:rPr>
                          <w:t>прихватањe мoдалитeта, прoцeдура </w:t>
                        </w:r>
                        <w:r>
                          <w:rPr>
                            <w:color w:val="231F20"/>
                            <w:sz w:val="14"/>
                          </w:rPr>
                          <w:t>и </w:t>
                        </w:r>
                        <w:r>
                          <w:rPr>
                            <w:color w:val="231F20"/>
                            <w:spacing w:val="-4"/>
                            <w:sz w:val="14"/>
                          </w:rPr>
                          <w:t>стандарда </w:t>
                        </w:r>
                        <w:r>
                          <w:rPr>
                            <w:color w:val="231F20"/>
                            <w:spacing w:val="-5"/>
                            <w:sz w:val="14"/>
                          </w:rPr>
                          <w:t>Заједничке </w:t>
                        </w:r>
                        <w:r>
                          <w:rPr>
                            <w:color w:val="231F20"/>
                            <w:spacing w:val="-4"/>
                            <w:sz w:val="14"/>
                          </w:rPr>
                          <w:t>аграрне </w:t>
                        </w:r>
                        <w:r>
                          <w:rPr>
                            <w:color w:val="231F20"/>
                            <w:spacing w:val="-5"/>
                            <w:sz w:val="14"/>
                          </w:rPr>
                          <w:t>политике </w:t>
                        </w:r>
                        <w:r>
                          <w:rPr>
                            <w:color w:val="231F20"/>
                            <w:sz w:val="14"/>
                          </w:rPr>
                          <w:t>EУ</w:t>
                        </w:r>
                      </w:p>
                      <w:p>
                        <w:pPr>
                          <w:pStyle w:val="TableParagraph"/>
                          <w:spacing w:line="237" w:lineRule="auto" w:before="0"/>
                          <w:ind w:left="56" w:right="44" w:hanging="1"/>
                          <w:jc w:val="both"/>
                          <w:rPr>
                            <w:sz w:val="14"/>
                          </w:rPr>
                        </w:pPr>
                        <w:r>
                          <w:rPr>
                            <w:color w:val="231F20"/>
                            <w:w w:val="66"/>
                            <w:sz w:val="14"/>
                          </w:rPr>
                          <w:t> </w:t>
                        </w:r>
                        <w:r>
                          <w:rPr>
                            <w:color w:val="231F20"/>
                            <w:sz w:val="14"/>
                          </w:rPr>
                          <w:t>– Еколошки чисте целине у ширем</w:t>
                        </w:r>
                        <w:r>
                          <w:rPr>
                            <w:color w:val="231F20"/>
                            <w:spacing w:val="-25"/>
                            <w:sz w:val="14"/>
                          </w:rPr>
                          <w:t> </w:t>
                        </w:r>
                        <w:r>
                          <w:rPr>
                            <w:color w:val="231F20"/>
                            <w:sz w:val="14"/>
                          </w:rPr>
                          <w:t>реги- оналном</w:t>
                        </w:r>
                        <w:r>
                          <w:rPr>
                            <w:color w:val="231F20"/>
                            <w:spacing w:val="-1"/>
                            <w:sz w:val="14"/>
                          </w:rPr>
                          <w:t> </w:t>
                        </w:r>
                        <w:r>
                          <w:rPr>
                            <w:color w:val="231F20"/>
                            <w:sz w:val="14"/>
                          </w:rPr>
                          <w:t>подручју</w:t>
                        </w:r>
                      </w:p>
                      <w:p>
                        <w:pPr>
                          <w:pStyle w:val="TableParagraph"/>
                          <w:spacing w:before="0"/>
                          <w:ind w:left="56" w:right="44"/>
                          <w:jc w:val="both"/>
                          <w:rPr>
                            <w:sz w:val="14"/>
                          </w:rPr>
                        </w:pPr>
                        <w:r>
                          <w:rPr>
                            <w:color w:val="231F20"/>
                            <w:w w:val="66"/>
                            <w:sz w:val="14"/>
                          </w:rPr>
                          <w:t> </w:t>
                        </w:r>
                        <w:r>
                          <w:rPr>
                            <w:color w:val="231F20"/>
                            <w:sz w:val="14"/>
                          </w:rPr>
                          <w:t>– Раст потреба за социјалним предузет- </w:t>
                        </w:r>
                        <w:r>
                          <w:rPr>
                            <w:color w:val="231F20"/>
                            <w:spacing w:val="-3"/>
                            <w:sz w:val="14"/>
                          </w:rPr>
                          <w:t>ништвом</w:t>
                        </w:r>
                        <w:r>
                          <w:rPr>
                            <w:color w:val="231F20"/>
                            <w:spacing w:val="-15"/>
                            <w:sz w:val="14"/>
                          </w:rPr>
                          <w:t> </w:t>
                        </w:r>
                        <w:r>
                          <w:rPr>
                            <w:color w:val="231F20"/>
                            <w:sz w:val="14"/>
                          </w:rPr>
                          <w:t>(обданишта,</w:t>
                        </w:r>
                        <w:r>
                          <w:rPr>
                            <w:color w:val="231F20"/>
                            <w:spacing w:val="-15"/>
                            <w:sz w:val="14"/>
                          </w:rPr>
                          <w:t> </w:t>
                        </w:r>
                        <w:r>
                          <w:rPr>
                            <w:color w:val="231F20"/>
                            <w:sz w:val="14"/>
                          </w:rPr>
                          <w:t>брига</w:t>
                        </w:r>
                        <w:r>
                          <w:rPr>
                            <w:color w:val="231F20"/>
                            <w:spacing w:val="-15"/>
                            <w:sz w:val="14"/>
                          </w:rPr>
                          <w:t> </w:t>
                        </w:r>
                        <w:r>
                          <w:rPr>
                            <w:color w:val="231F20"/>
                            <w:sz w:val="14"/>
                          </w:rPr>
                          <w:t>за</w:t>
                        </w:r>
                        <w:r>
                          <w:rPr>
                            <w:color w:val="231F20"/>
                            <w:spacing w:val="-15"/>
                            <w:sz w:val="14"/>
                          </w:rPr>
                          <w:t> </w:t>
                        </w:r>
                        <w:r>
                          <w:rPr>
                            <w:color w:val="231F20"/>
                            <w:sz w:val="14"/>
                          </w:rPr>
                          <w:t>старе</w:t>
                        </w:r>
                        <w:r>
                          <w:rPr>
                            <w:color w:val="231F20"/>
                            <w:spacing w:val="-15"/>
                            <w:sz w:val="14"/>
                          </w:rPr>
                          <w:t> </w:t>
                        </w:r>
                        <w:r>
                          <w:rPr>
                            <w:color w:val="231F20"/>
                            <w:sz w:val="14"/>
                          </w:rPr>
                          <w:t>итд.)</w:t>
                        </w:r>
                      </w:p>
                      <w:p>
                        <w:pPr>
                          <w:pStyle w:val="TableParagraph"/>
                          <w:spacing w:before="0"/>
                          <w:ind w:left="56" w:right="44"/>
                          <w:jc w:val="both"/>
                          <w:rPr>
                            <w:sz w:val="14"/>
                          </w:rPr>
                        </w:pPr>
                        <w:r>
                          <w:rPr>
                            <w:color w:val="231F20"/>
                            <w:w w:val="66"/>
                            <w:sz w:val="14"/>
                          </w:rPr>
                          <w:t> </w:t>
                        </w:r>
                        <w:r>
                          <w:rPr>
                            <w:color w:val="231F20"/>
                            <w:sz w:val="14"/>
                          </w:rPr>
                          <w:t>–</w:t>
                        </w:r>
                        <w:r>
                          <w:rPr>
                            <w:color w:val="231F20"/>
                            <w:spacing w:val="-18"/>
                            <w:sz w:val="14"/>
                          </w:rPr>
                          <w:t> </w:t>
                        </w:r>
                        <w:r>
                          <w:rPr>
                            <w:color w:val="231F20"/>
                            <w:sz w:val="14"/>
                          </w:rPr>
                          <w:t>Побољшање</w:t>
                        </w:r>
                        <w:r>
                          <w:rPr>
                            <w:color w:val="231F20"/>
                            <w:spacing w:val="-18"/>
                            <w:sz w:val="14"/>
                          </w:rPr>
                          <w:t> </w:t>
                        </w:r>
                        <w:r>
                          <w:rPr>
                            <w:color w:val="231F20"/>
                            <w:sz w:val="14"/>
                          </w:rPr>
                          <w:t>оспособљености</w:t>
                        </w:r>
                        <w:r>
                          <w:rPr>
                            <w:color w:val="231F20"/>
                            <w:spacing w:val="-18"/>
                            <w:sz w:val="14"/>
                          </w:rPr>
                          <w:t> </w:t>
                        </w:r>
                        <w:r>
                          <w:rPr>
                            <w:color w:val="231F20"/>
                            <w:sz w:val="14"/>
                          </w:rPr>
                          <w:t>носилаца руралног</w:t>
                        </w:r>
                        <w:r>
                          <w:rPr>
                            <w:color w:val="231F20"/>
                            <w:spacing w:val="-12"/>
                            <w:sz w:val="14"/>
                          </w:rPr>
                          <w:t> </w:t>
                        </w:r>
                        <w:r>
                          <w:rPr>
                            <w:color w:val="231F20"/>
                            <w:sz w:val="14"/>
                          </w:rPr>
                          <w:t>развоја</w:t>
                        </w:r>
                        <w:r>
                          <w:rPr>
                            <w:color w:val="231F20"/>
                            <w:spacing w:val="-12"/>
                            <w:sz w:val="14"/>
                          </w:rPr>
                          <w:t> </w:t>
                        </w:r>
                        <w:r>
                          <w:rPr>
                            <w:color w:val="231F20"/>
                            <w:sz w:val="14"/>
                          </w:rPr>
                          <w:t>за</w:t>
                        </w:r>
                        <w:r>
                          <w:rPr>
                            <w:color w:val="231F20"/>
                            <w:spacing w:val="-12"/>
                            <w:sz w:val="14"/>
                          </w:rPr>
                          <w:t> </w:t>
                        </w:r>
                        <w:r>
                          <w:rPr>
                            <w:color w:val="231F20"/>
                            <w:sz w:val="14"/>
                          </w:rPr>
                          <w:t>ефикасно</w:t>
                        </w:r>
                        <w:r>
                          <w:rPr>
                            <w:color w:val="231F20"/>
                            <w:spacing w:val="-12"/>
                            <w:sz w:val="14"/>
                          </w:rPr>
                          <w:t> </w:t>
                        </w:r>
                        <w:r>
                          <w:rPr>
                            <w:color w:val="231F20"/>
                            <w:sz w:val="14"/>
                          </w:rPr>
                          <w:t>коришћење свих развојних фондова </w:t>
                        </w:r>
                        <w:r>
                          <w:rPr>
                            <w:color w:val="231F20"/>
                            <w:spacing w:val="-4"/>
                            <w:sz w:val="14"/>
                          </w:rPr>
                          <w:t>(IPA, </w:t>
                        </w:r>
                        <w:r>
                          <w:rPr>
                            <w:color w:val="231F20"/>
                            <w:sz w:val="14"/>
                          </w:rPr>
                          <w:t>других ЕУ фондова и националних</w:t>
                        </w:r>
                        <w:r>
                          <w:rPr>
                            <w:color w:val="231F20"/>
                            <w:spacing w:val="-11"/>
                            <w:sz w:val="14"/>
                          </w:rPr>
                          <w:t> </w:t>
                        </w:r>
                        <w:r>
                          <w:rPr>
                            <w:color w:val="231F20"/>
                            <w:sz w:val="14"/>
                          </w:rPr>
                          <w:t>фондова)</w:t>
                        </w:r>
                      </w:p>
                      <w:p>
                        <w:pPr>
                          <w:pStyle w:val="TableParagraph"/>
                          <w:spacing w:line="237" w:lineRule="auto" w:before="0"/>
                          <w:ind w:left="56" w:right="44"/>
                          <w:jc w:val="both"/>
                          <w:rPr>
                            <w:sz w:val="14"/>
                          </w:rPr>
                        </w:pPr>
                        <w:r>
                          <w:rPr>
                            <w:color w:val="231F20"/>
                            <w:w w:val="66"/>
                            <w:sz w:val="14"/>
                          </w:rPr>
                          <w:t> </w:t>
                        </w:r>
                        <w:r>
                          <w:rPr>
                            <w:color w:val="231F20"/>
                            <w:sz w:val="14"/>
                          </w:rPr>
                          <w:t>– Укључење у националну мрежу за по- дршку руралном развоју Србије</w:t>
                        </w:r>
                      </w:p>
                    </w:tc>
                    <w:tc>
                      <w:tcPr>
                        <w:tcW w:w="2551" w:type="dxa"/>
                      </w:tcPr>
                      <w:p>
                        <w:pPr>
                          <w:pStyle w:val="TableParagraph"/>
                          <w:ind w:left="57" w:right="44" w:hanging="1"/>
                          <w:jc w:val="both"/>
                          <w:rPr>
                            <w:sz w:val="14"/>
                          </w:rPr>
                        </w:pPr>
                        <w:r>
                          <w:rPr>
                            <w:color w:val="231F20"/>
                            <w:w w:val="66"/>
                            <w:sz w:val="14"/>
                          </w:rPr>
                          <w:t> </w:t>
                        </w:r>
                        <w:r>
                          <w:rPr>
                            <w:color w:val="231F20"/>
                            <w:sz w:val="14"/>
                          </w:rPr>
                          <w:t>– Продужено трајање економских те- шкоћа и неизвесности и неповољне еко- лошко-просторне импликације у</w:t>
                        </w:r>
                        <w:r>
                          <w:rPr>
                            <w:color w:val="231F20"/>
                            <w:spacing w:val="-16"/>
                            <w:sz w:val="14"/>
                          </w:rPr>
                          <w:t> </w:t>
                        </w:r>
                        <w:r>
                          <w:rPr>
                            <w:color w:val="231F20"/>
                            <w:sz w:val="14"/>
                          </w:rPr>
                          <w:t>експло- атацији и преради лигнита коришћењу пољопривредног</w:t>
                        </w:r>
                        <w:r>
                          <w:rPr>
                            <w:color w:val="231F20"/>
                            <w:spacing w:val="-2"/>
                            <w:sz w:val="14"/>
                          </w:rPr>
                          <w:t> </w:t>
                        </w:r>
                        <w:r>
                          <w:rPr>
                            <w:color w:val="231F20"/>
                            <w:sz w:val="14"/>
                          </w:rPr>
                          <w:t>земљишта</w:t>
                        </w:r>
                      </w:p>
                      <w:p>
                        <w:pPr>
                          <w:pStyle w:val="TableParagraph"/>
                          <w:spacing w:line="237" w:lineRule="auto" w:before="0"/>
                          <w:ind w:left="56" w:right="44"/>
                          <w:jc w:val="both"/>
                          <w:rPr>
                            <w:sz w:val="14"/>
                          </w:rPr>
                        </w:pPr>
                        <w:r>
                          <w:rPr>
                            <w:color w:val="231F20"/>
                            <w:w w:val="66"/>
                            <w:sz w:val="14"/>
                          </w:rPr>
                          <w:t> </w:t>
                        </w:r>
                        <w:r>
                          <w:rPr>
                            <w:color w:val="231F20"/>
                            <w:sz w:val="14"/>
                          </w:rPr>
                          <w:t>– Ризици у пoглeду неповољних агрое- колошких пoслeдица рeмeћeња рeжима пoдзeмних вoда рударским радoвима</w:t>
                        </w:r>
                      </w:p>
                      <w:p>
                        <w:pPr>
                          <w:pStyle w:val="TableParagraph"/>
                          <w:spacing w:line="161" w:lineRule="exact" w:before="0"/>
                          <w:ind w:left="57"/>
                          <w:jc w:val="both"/>
                          <w:rPr>
                            <w:sz w:val="14"/>
                          </w:rPr>
                        </w:pPr>
                        <w:r>
                          <w:rPr>
                            <w:color w:val="231F20"/>
                            <w:w w:val="66"/>
                            <w:sz w:val="14"/>
                          </w:rPr>
                          <w:t> </w:t>
                        </w:r>
                        <w:r>
                          <w:rPr>
                            <w:color w:val="231F20"/>
                            <w:sz w:val="14"/>
                          </w:rPr>
                          <w:t>– Неконкурентност на тржишту ЕУ</w:t>
                        </w:r>
                      </w:p>
                      <w:p>
                        <w:pPr>
                          <w:pStyle w:val="TableParagraph"/>
                          <w:spacing w:before="0"/>
                          <w:ind w:left="57" w:right="44" w:hanging="1"/>
                          <w:jc w:val="both"/>
                          <w:rPr>
                            <w:sz w:val="14"/>
                          </w:rPr>
                        </w:pPr>
                        <w:r>
                          <w:rPr>
                            <w:color w:val="231F20"/>
                            <w:w w:val="66"/>
                            <w:sz w:val="14"/>
                          </w:rPr>
                          <w:t> </w:t>
                        </w:r>
                        <w:r>
                          <w:rPr>
                            <w:color w:val="231F20"/>
                            <w:sz w:val="14"/>
                          </w:rPr>
                          <w:t>– Монопол и неуређеност</w:t>
                        </w:r>
                        <w:r>
                          <w:rPr>
                            <w:color w:val="231F20"/>
                            <w:spacing w:val="-24"/>
                            <w:sz w:val="14"/>
                          </w:rPr>
                          <w:t> </w:t>
                        </w:r>
                        <w:r>
                          <w:rPr>
                            <w:color w:val="231F20"/>
                            <w:sz w:val="14"/>
                          </w:rPr>
                          <w:t>пољопривред- ног</w:t>
                        </w:r>
                        <w:r>
                          <w:rPr>
                            <w:color w:val="231F20"/>
                            <w:spacing w:val="-2"/>
                            <w:sz w:val="14"/>
                          </w:rPr>
                          <w:t> </w:t>
                        </w:r>
                        <w:r>
                          <w:rPr>
                            <w:color w:val="231F20"/>
                            <w:sz w:val="14"/>
                          </w:rPr>
                          <w:t>тржишта</w:t>
                        </w:r>
                      </w:p>
                      <w:p>
                        <w:pPr>
                          <w:pStyle w:val="TableParagraph"/>
                          <w:spacing w:before="0"/>
                          <w:ind w:left="57" w:right="44"/>
                          <w:jc w:val="both"/>
                          <w:rPr>
                            <w:sz w:val="14"/>
                          </w:rPr>
                        </w:pPr>
                        <w:r>
                          <w:rPr>
                            <w:color w:val="231F20"/>
                            <w:w w:val="66"/>
                            <w:sz w:val="14"/>
                          </w:rPr>
                          <w:t> </w:t>
                        </w:r>
                        <w:r>
                          <w:rPr>
                            <w:color w:val="231F20"/>
                            <w:sz w:val="14"/>
                          </w:rPr>
                          <w:t>– Последице глобалног загревања и за- висност од временских услова</w:t>
                        </w:r>
                      </w:p>
                      <w:p>
                        <w:pPr>
                          <w:pStyle w:val="TableParagraph"/>
                          <w:spacing w:before="0"/>
                          <w:ind w:left="57" w:right="44"/>
                          <w:jc w:val="both"/>
                          <w:rPr>
                            <w:sz w:val="14"/>
                          </w:rPr>
                        </w:pPr>
                        <w:r>
                          <w:rPr>
                            <w:color w:val="231F20"/>
                            <w:w w:val="66"/>
                            <w:sz w:val="14"/>
                          </w:rPr>
                          <w:t> </w:t>
                        </w:r>
                        <w:r>
                          <w:rPr>
                            <w:color w:val="231F20"/>
                            <w:sz w:val="14"/>
                          </w:rPr>
                          <w:t>– Недостатак радних места за младе у руралним подручјима</w:t>
                        </w:r>
                      </w:p>
                      <w:p>
                        <w:pPr>
                          <w:pStyle w:val="TableParagraph"/>
                          <w:spacing w:before="0"/>
                          <w:ind w:left="56" w:right="44"/>
                          <w:jc w:val="both"/>
                          <w:rPr>
                            <w:sz w:val="14"/>
                          </w:rPr>
                        </w:pPr>
                        <w:r>
                          <w:rPr>
                            <w:color w:val="231F20"/>
                            <w:w w:val="66"/>
                            <w:sz w:val="14"/>
                          </w:rPr>
                          <w:t> </w:t>
                        </w:r>
                        <w:r>
                          <w:rPr>
                            <w:color w:val="231F20"/>
                            <w:sz w:val="14"/>
                          </w:rPr>
                          <w:t>– Недовољна искоришћеност туристич- ких и културних потенцијала за потребе руралног развоја</w:t>
                        </w:r>
                      </w:p>
                      <w:p>
                        <w:pPr>
                          <w:pStyle w:val="TableParagraph"/>
                          <w:spacing w:line="237" w:lineRule="auto" w:before="0"/>
                          <w:ind w:left="56" w:right="44"/>
                          <w:jc w:val="both"/>
                          <w:rPr>
                            <w:sz w:val="14"/>
                          </w:rPr>
                        </w:pPr>
                        <w:r>
                          <w:rPr>
                            <w:color w:val="231F20"/>
                            <w:w w:val="66"/>
                            <w:sz w:val="14"/>
                          </w:rPr>
                          <w:t> </w:t>
                        </w:r>
                        <w:r>
                          <w:rPr>
                            <w:color w:val="231F20"/>
                            <w:sz w:val="14"/>
                          </w:rPr>
                          <w:t>– Недовољно развијен предузетнички дух и непрепознавање потенцијала за развој руралног подручја (туризма, зана- ти, традиционална производња и др)</w:t>
                        </w:r>
                      </w:p>
                      <w:p>
                        <w:pPr>
                          <w:pStyle w:val="TableParagraph"/>
                          <w:spacing w:before="0"/>
                          <w:ind w:left="56" w:right="44" w:hanging="1"/>
                          <w:jc w:val="both"/>
                          <w:rPr>
                            <w:sz w:val="14"/>
                          </w:rPr>
                        </w:pPr>
                        <w:r>
                          <w:rPr>
                            <w:color w:val="231F20"/>
                            <w:w w:val="66"/>
                            <w:sz w:val="14"/>
                          </w:rPr>
                          <w:t> </w:t>
                        </w:r>
                        <w:r>
                          <w:rPr>
                            <w:color w:val="231F20"/>
                            <w:sz w:val="14"/>
                          </w:rPr>
                          <w:t>–</w:t>
                        </w:r>
                        <w:r>
                          <w:rPr>
                            <w:color w:val="231F20"/>
                            <w:spacing w:val="-9"/>
                            <w:sz w:val="14"/>
                          </w:rPr>
                          <w:t> </w:t>
                        </w:r>
                        <w:r>
                          <w:rPr>
                            <w:color w:val="231F20"/>
                            <w:sz w:val="14"/>
                          </w:rPr>
                          <w:t>Низак</w:t>
                        </w:r>
                        <w:r>
                          <w:rPr>
                            <w:color w:val="231F20"/>
                            <w:spacing w:val="-9"/>
                            <w:sz w:val="14"/>
                          </w:rPr>
                          <w:t> </w:t>
                        </w:r>
                        <w:r>
                          <w:rPr>
                            <w:color w:val="231F20"/>
                            <w:sz w:val="14"/>
                          </w:rPr>
                          <w:t>степен</w:t>
                        </w:r>
                        <w:r>
                          <w:rPr>
                            <w:color w:val="231F20"/>
                            <w:spacing w:val="-9"/>
                            <w:sz w:val="14"/>
                          </w:rPr>
                          <w:t> </w:t>
                        </w:r>
                        <w:r>
                          <w:rPr>
                            <w:color w:val="231F20"/>
                            <w:sz w:val="14"/>
                          </w:rPr>
                          <w:t>коришћења</w:t>
                        </w:r>
                        <w:r>
                          <w:rPr>
                            <w:color w:val="231F20"/>
                            <w:spacing w:val="-9"/>
                            <w:sz w:val="14"/>
                          </w:rPr>
                          <w:t> </w:t>
                        </w:r>
                        <w:r>
                          <w:rPr>
                            <w:color w:val="231F20"/>
                            <w:sz w:val="14"/>
                          </w:rPr>
                          <w:t>информатич- ких технологија и доступност ИФ ин- фраструктуре</w:t>
                        </w:r>
                      </w:p>
                      <w:p>
                        <w:pPr>
                          <w:pStyle w:val="TableParagraph"/>
                          <w:spacing w:line="237" w:lineRule="auto" w:before="0"/>
                          <w:ind w:left="57" w:right="44"/>
                          <w:jc w:val="both"/>
                          <w:rPr>
                            <w:sz w:val="14"/>
                          </w:rPr>
                        </w:pPr>
                        <w:r>
                          <w:rPr>
                            <w:color w:val="231F20"/>
                            <w:w w:val="66"/>
                            <w:sz w:val="14"/>
                          </w:rPr>
                          <w:t> </w:t>
                        </w:r>
                        <w:r>
                          <w:rPr>
                            <w:color w:val="231F20"/>
                            <w:sz w:val="14"/>
                          </w:rPr>
                          <w:t>– Неискоришћен потенцијал руралних подручја за предузетништво</w:t>
                        </w:r>
                      </w:p>
                    </w:tc>
                  </w:tr>
                </w:tbl>
                <w:p>
                  <w:pPr>
                    <w:pStyle w:val="BodyText"/>
                    <w:ind w:left="0"/>
                    <w:jc w:val="left"/>
                  </w:pPr>
                </w:p>
              </w:txbxContent>
            </v:textbox>
            <w10:wrap type="none"/>
          </v:shape>
        </w:pict>
      </w:r>
      <w:r>
        <w:rPr>
          <w:color w:val="231F20"/>
        </w:rPr>
        <w:t>Коришћење и заштита вода</w:t>
      </w:r>
    </w:p>
    <w:p>
      <w:pPr>
        <w:pStyle w:val="BodyText"/>
        <w:spacing w:before="7"/>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2600" w:hRule="atLeast"/>
        </w:trPr>
        <w:tc>
          <w:tcPr>
            <w:tcW w:w="2551" w:type="dxa"/>
          </w:tcPr>
          <w:p>
            <w:pPr>
              <w:pStyle w:val="TableParagraph"/>
              <w:ind w:left="56" w:right="44"/>
              <w:jc w:val="both"/>
              <w:rPr>
                <w:sz w:val="14"/>
              </w:rPr>
            </w:pPr>
            <w:r>
              <w:rPr>
                <w:color w:val="231F20"/>
                <w:w w:val="66"/>
                <w:sz w:val="14"/>
              </w:rPr>
              <w:t> </w:t>
            </w:r>
            <w:r>
              <w:rPr>
                <w:color w:val="231F20"/>
                <w:sz w:val="14"/>
              </w:rPr>
              <w:t>– Европске, регионалне и националне стратегије које се односе на Подунавље</w:t>
            </w:r>
          </w:p>
          <w:p>
            <w:pPr>
              <w:pStyle w:val="TableParagraph"/>
              <w:spacing w:before="0"/>
              <w:ind w:left="56" w:right="44"/>
              <w:jc w:val="both"/>
              <w:rPr>
                <w:sz w:val="14"/>
              </w:rPr>
            </w:pPr>
            <w:r>
              <w:rPr>
                <w:color w:val="231F20"/>
                <w:w w:val="66"/>
                <w:sz w:val="14"/>
              </w:rPr>
              <w:t> </w:t>
            </w:r>
            <w:r>
              <w:rPr>
                <w:color w:val="231F20"/>
                <w:sz w:val="14"/>
              </w:rPr>
              <w:t>– Плански документи, програми и акци- они планови (у припреми)</w:t>
            </w:r>
          </w:p>
          <w:p>
            <w:pPr>
              <w:pStyle w:val="TableParagraph"/>
              <w:spacing w:before="0"/>
              <w:ind w:left="56" w:right="45"/>
              <w:jc w:val="both"/>
              <w:rPr>
                <w:sz w:val="14"/>
              </w:rPr>
            </w:pPr>
            <w:r>
              <w:rPr>
                <w:color w:val="231F20"/>
                <w:w w:val="66"/>
                <w:sz w:val="14"/>
              </w:rPr>
              <w:t> </w:t>
            </w:r>
            <w:r>
              <w:rPr>
                <w:color w:val="231F20"/>
                <w:sz w:val="14"/>
              </w:rPr>
              <w:t>– Водни потенцијали за остваривање</w:t>
            </w:r>
            <w:r>
              <w:rPr>
                <w:color w:val="231F20"/>
                <w:spacing w:val="-24"/>
                <w:sz w:val="14"/>
              </w:rPr>
              <w:t> </w:t>
            </w:r>
            <w:r>
              <w:rPr>
                <w:color w:val="231F20"/>
                <w:sz w:val="14"/>
              </w:rPr>
              <w:t>во- допривредних</w:t>
            </w:r>
            <w:r>
              <w:rPr>
                <w:color w:val="231F20"/>
                <w:spacing w:val="-2"/>
                <w:sz w:val="14"/>
              </w:rPr>
              <w:t> </w:t>
            </w:r>
            <w:r>
              <w:rPr>
                <w:color w:val="231F20"/>
                <w:sz w:val="14"/>
              </w:rPr>
              <w:t>програма</w:t>
            </w:r>
          </w:p>
          <w:p>
            <w:pPr>
              <w:pStyle w:val="TableParagraph"/>
              <w:spacing w:before="0"/>
              <w:ind w:left="56" w:right="44"/>
              <w:jc w:val="both"/>
              <w:rPr>
                <w:sz w:val="14"/>
              </w:rPr>
            </w:pPr>
            <w:r>
              <w:rPr>
                <w:color w:val="231F20"/>
                <w:w w:val="66"/>
                <w:sz w:val="14"/>
              </w:rPr>
              <w:t> </w:t>
            </w:r>
            <w:r>
              <w:rPr>
                <w:color w:val="231F20"/>
                <w:sz w:val="14"/>
              </w:rPr>
              <w:t>– </w:t>
            </w:r>
            <w:r>
              <w:rPr>
                <w:color w:val="231F20"/>
                <w:spacing w:val="-6"/>
                <w:sz w:val="14"/>
              </w:rPr>
              <w:t>Постојање значајних водних </w:t>
            </w:r>
            <w:r>
              <w:rPr>
                <w:color w:val="231F20"/>
                <w:spacing w:val="-5"/>
                <w:sz w:val="14"/>
              </w:rPr>
              <w:t>ресурса </w:t>
            </w:r>
            <w:r>
              <w:rPr>
                <w:color w:val="231F20"/>
                <w:spacing w:val="-3"/>
                <w:sz w:val="14"/>
              </w:rPr>
              <w:t>за </w:t>
            </w:r>
            <w:r>
              <w:rPr>
                <w:color w:val="231F20"/>
                <w:spacing w:val="-6"/>
                <w:sz w:val="14"/>
              </w:rPr>
              <w:t>снабдевање </w:t>
            </w:r>
            <w:r>
              <w:rPr>
                <w:color w:val="231F20"/>
                <w:spacing w:val="-7"/>
                <w:sz w:val="14"/>
              </w:rPr>
              <w:t>водом </w:t>
            </w:r>
            <w:r>
              <w:rPr>
                <w:color w:val="231F20"/>
                <w:spacing w:val="-6"/>
                <w:sz w:val="14"/>
              </w:rPr>
              <w:t>становништва </w:t>
            </w:r>
            <w:r>
              <w:rPr>
                <w:color w:val="231F20"/>
                <w:sz w:val="14"/>
              </w:rPr>
              <w:t>и </w:t>
            </w:r>
            <w:r>
              <w:rPr>
                <w:color w:val="231F20"/>
                <w:spacing w:val="-6"/>
                <w:sz w:val="14"/>
              </w:rPr>
              <w:t>привреде</w:t>
            </w:r>
          </w:p>
          <w:p>
            <w:pPr>
              <w:pStyle w:val="TableParagraph"/>
              <w:spacing w:before="0"/>
              <w:ind w:left="56" w:right="44"/>
              <w:jc w:val="both"/>
              <w:rPr>
                <w:sz w:val="14"/>
              </w:rPr>
            </w:pPr>
            <w:r>
              <w:rPr>
                <w:color w:val="231F20"/>
                <w:w w:val="66"/>
                <w:sz w:val="14"/>
              </w:rPr>
              <w:t> </w:t>
            </w:r>
            <w:r>
              <w:rPr>
                <w:color w:val="231F20"/>
                <w:sz w:val="14"/>
              </w:rPr>
              <w:t>– Реализовани заштитни системи за за- штиту од великих вода вероватноће 1% од Дунава, Мораве и Млаве</w:t>
            </w:r>
          </w:p>
          <w:p>
            <w:pPr>
              <w:pStyle w:val="TableParagraph"/>
              <w:spacing w:line="237" w:lineRule="auto" w:before="0"/>
              <w:ind w:left="56" w:right="44"/>
              <w:jc w:val="both"/>
              <w:rPr>
                <w:sz w:val="14"/>
              </w:rPr>
            </w:pPr>
            <w:r>
              <w:rPr>
                <w:color w:val="231F20"/>
                <w:w w:val="66"/>
                <w:sz w:val="14"/>
              </w:rPr>
              <w:t> </w:t>
            </w:r>
            <w:r>
              <w:rPr>
                <w:color w:val="231F20"/>
                <w:sz w:val="14"/>
              </w:rPr>
              <w:t>–  Реализовани  системи  за  заштиту   </w:t>
            </w:r>
            <w:r>
              <w:rPr>
                <w:color w:val="231F20"/>
                <w:spacing w:val="-3"/>
                <w:sz w:val="14"/>
              </w:rPr>
              <w:t>од  </w:t>
            </w:r>
            <w:r>
              <w:rPr>
                <w:color w:val="231F20"/>
                <w:sz w:val="14"/>
              </w:rPr>
              <w:t>унутрашњих  и  провирних   вода дуж читавог дунавског и моравског приобаља који омогућавају да режими подземних вода </w:t>
            </w:r>
            <w:r>
              <w:rPr>
                <w:color w:val="231F20"/>
                <w:spacing w:val="-4"/>
                <w:sz w:val="14"/>
              </w:rPr>
              <w:t>буду </w:t>
            </w:r>
            <w:r>
              <w:rPr>
                <w:color w:val="231F20"/>
                <w:sz w:val="14"/>
              </w:rPr>
              <w:t>управљани</w:t>
            </w:r>
          </w:p>
        </w:tc>
        <w:tc>
          <w:tcPr>
            <w:tcW w:w="2551" w:type="dxa"/>
          </w:tcPr>
          <w:p>
            <w:pPr>
              <w:pStyle w:val="TableParagraph"/>
              <w:ind w:left="56" w:right="44"/>
              <w:jc w:val="both"/>
              <w:rPr>
                <w:sz w:val="14"/>
              </w:rPr>
            </w:pPr>
            <w:r>
              <w:rPr>
                <w:color w:val="231F20"/>
                <w:w w:val="66"/>
                <w:sz w:val="14"/>
              </w:rPr>
              <w:t> </w:t>
            </w:r>
            <w:r>
              <w:rPr>
                <w:color w:val="231F20"/>
                <w:sz w:val="14"/>
              </w:rPr>
              <w:t>–</w:t>
            </w:r>
            <w:r>
              <w:rPr>
                <w:color w:val="231F20"/>
                <w:spacing w:val="-6"/>
                <w:sz w:val="14"/>
              </w:rPr>
              <w:t> </w:t>
            </w:r>
            <w:r>
              <w:rPr>
                <w:color w:val="231F20"/>
                <w:sz w:val="14"/>
              </w:rPr>
              <w:t>Веома</w:t>
            </w:r>
            <w:r>
              <w:rPr>
                <w:color w:val="231F20"/>
                <w:spacing w:val="-6"/>
                <w:sz w:val="14"/>
              </w:rPr>
              <w:t> </w:t>
            </w:r>
            <w:r>
              <w:rPr>
                <w:color w:val="231F20"/>
                <w:sz w:val="14"/>
              </w:rPr>
              <w:t>неравномерни</w:t>
            </w:r>
            <w:r>
              <w:rPr>
                <w:color w:val="231F20"/>
                <w:spacing w:val="-6"/>
                <w:sz w:val="14"/>
              </w:rPr>
              <w:t> </w:t>
            </w:r>
            <w:r>
              <w:rPr>
                <w:color w:val="231F20"/>
                <w:sz w:val="14"/>
              </w:rPr>
              <w:t>водни</w:t>
            </w:r>
            <w:r>
              <w:rPr>
                <w:color w:val="231F20"/>
                <w:spacing w:val="-6"/>
                <w:sz w:val="14"/>
              </w:rPr>
              <w:t> </w:t>
            </w:r>
            <w:r>
              <w:rPr>
                <w:color w:val="231F20"/>
                <w:sz w:val="14"/>
              </w:rPr>
              <w:t>режими</w:t>
            </w:r>
            <w:r>
              <w:rPr>
                <w:color w:val="231F20"/>
                <w:spacing w:val="-6"/>
                <w:sz w:val="14"/>
              </w:rPr>
              <w:t> </w:t>
            </w:r>
            <w:r>
              <w:rPr>
                <w:color w:val="231F20"/>
                <w:sz w:val="14"/>
              </w:rPr>
              <w:t>на свим рекама у зони утицаја чине сложе- ним</w:t>
            </w:r>
            <w:r>
              <w:rPr>
                <w:color w:val="231F20"/>
                <w:spacing w:val="-6"/>
                <w:sz w:val="14"/>
              </w:rPr>
              <w:t> </w:t>
            </w:r>
            <w:r>
              <w:rPr>
                <w:color w:val="231F20"/>
                <w:sz w:val="14"/>
              </w:rPr>
              <w:t>све</w:t>
            </w:r>
            <w:r>
              <w:rPr>
                <w:color w:val="231F20"/>
                <w:spacing w:val="-6"/>
                <w:sz w:val="14"/>
              </w:rPr>
              <w:t> </w:t>
            </w:r>
            <w:r>
              <w:rPr>
                <w:color w:val="231F20"/>
                <w:sz w:val="14"/>
              </w:rPr>
              <w:t>радове</w:t>
            </w:r>
            <w:r>
              <w:rPr>
                <w:color w:val="231F20"/>
                <w:spacing w:val="-6"/>
                <w:sz w:val="14"/>
              </w:rPr>
              <w:t> </w:t>
            </w:r>
            <w:r>
              <w:rPr>
                <w:color w:val="231F20"/>
                <w:sz w:val="14"/>
              </w:rPr>
              <w:t>на</w:t>
            </w:r>
            <w:r>
              <w:rPr>
                <w:color w:val="231F20"/>
                <w:spacing w:val="-6"/>
                <w:sz w:val="14"/>
              </w:rPr>
              <w:t> </w:t>
            </w:r>
            <w:r>
              <w:rPr>
                <w:color w:val="231F20"/>
                <w:sz w:val="14"/>
              </w:rPr>
              <w:t>уређењу</w:t>
            </w:r>
            <w:r>
              <w:rPr>
                <w:color w:val="231F20"/>
                <w:spacing w:val="-6"/>
                <w:sz w:val="14"/>
              </w:rPr>
              <w:t> </w:t>
            </w:r>
            <w:r>
              <w:rPr>
                <w:color w:val="231F20"/>
                <w:sz w:val="14"/>
              </w:rPr>
              <w:t>водних</w:t>
            </w:r>
            <w:r>
              <w:rPr>
                <w:color w:val="231F20"/>
                <w:spacing w:val="-6"/>
                <w:sz w:val="14"/>
              </w:rPr>
              <w:t> </w:t>
            </w:r>
            <w:r>
              <w:rPr>
                <w:color w:val="231F20"/>
                <w:sz w:val="14"/>
              </w:rPr>
              <w:t>режи- ма, заштити </w:t>
            </w:r>
            <w:r>
              <w:rPr>
                <w:color w:val="231F20"/>
                <w:spacing w:val="-3"/>
                <w:sz w:val="14"/>
              </w:rPr>
              <w:t>од </w:t>
            </w:r>
            <w:r>
              <w:rPr>
                <w:color w:val="231F20"/>
                <w:sz w:val="14"/>
              </w:rPr>
              <w:t>вода и коришћењу</w:t>
            </w:r>
            <w:r>
              <w:rPr>
                <w:color w:val="231F20"/>
                <w:spacing w:val="-17"/>
                <w:sz w:val="14"/>
              </w:rPr>
              <w:t> </w:t>
            </w:r>
            <w:r>
              <w:rPr>
                <w:color w:val="231F20"/>
                <w:sz w:val="14"/>
              </w:rPr>
              <w:t>вода</w:t>
            </w:r>
          </w:p>
          <w:p>
            <w:pPr>
              <w:pStyle w:val="TableParagraph"/>
              <w:spacing w:line="237" w:lineRule="auto" w:before="0"/>
              <w:ind w:left="56" w:right="44"/>
              <w:jc w:val="both"/>
              <w:rPr>
                <w:sz w:val="14"/>
              </w:rPr>
            </w:pPr>
            <w:r>
              <w:rPr>
                <w:color w:val="231F20"/>
                <w:w w:val="66"/>
                <w:sz w:val="14"/>
              </w:rPr>
              <w:t> </w:t>
            </w:r>
            <w:r>
              <w:rPr>
                <w:color w:val="231F20"/>
                <w:sz w:val="14"/>
              </w:rPr>
              <w:t>– Погоршавање водних режима на свим рекама</w:t>
            </w:r>
          </w:p>
          <w:p>
            <w:pPr>
              <w:pStyle w:val="TableParagraph"/>
              <w:spacing w:before="0"/>
              <w:ind w:left="56" w:right="44"/>
              <w:jc w:val="both"/>
              <w:rPr>
                <w:sz w:val="14"/>
              </w:rPr>
            </w:pPr>
            <w:r>
              <w:rPr>
                <w:color w:val="231F20"/>
                <w:w w:val="66"/>
                <w:sz w:val="14"/>
              </w:rPr>
              <w:t> </w:t>
            </w:r>
            <w:r>
              <w:rPr>
                <w:color w:val="231F20"/>
                <w:sz w:val="14"/>
              </w:rPr>
              <w:t>– Квалитет воде у рекама </w:t>
            </w:r>
            <w:r>
              <w:rPr>
                <w:color w:val="231F20"/>
                <w:spacing w:val="-3"/>
                <w:sz w:val="14"/>
              </w:rPr>
              <w:t>које </w:t>
            </w:r>
            <w:r>
              <w:rPr>
                <w:color w:val="231F20"/>
                <w:sz w:val="14"/>
              </w:rPr>
              <w:t>уоквирују и</w:t>
            </w:r>
            <w:r>
              <w:rPr>
                <w:color w:val="231F20"/>
                <w:spacing w:val="-9"/>
                <w:sz w:val="14"/>
              </w:rPr>
              <w:t> </w:t>
            </w:r>
            <w:r>
              <w:rPr>
                <w:color w:val="231F20"/>
                <w:sz w:val="14"/>
              </w:rPr>
              <w:t>пресецају</w:t>
            </w:r>
            <w:r>
              <w:rPr>
                <w:color w:val="231F20"/>
                <w:spacing w:val="-9"/>
                <w:sz w:val="14"/>
              </w:rPr>
              <w:t> </w:t>
            </w:r>
            <w:r>
              <w:rPr>
                <w:color w:val="231F20"/>
                <w:sz w:val="14"/>
              </w:rPr>
              <w:t>Планско</w:t>
            </w:r>
            <w:r>
              <w:rPr>
                <w:color w:val="231F20"/>
                <w:spacing w:val="-9"/>
                <w:sz w:val="14"/>
              </w:rPr>
              <w:t> </w:t>
            </w:r>
            <w:r>
              <w:rPr>
                <w:color w:val="231F20"/>
                <w:sz w:val="14"/>
              </w:rPr>
              <w:t>подручје,</w:t>
            </w:r>
            <w:r>
              <w:rPr>
                <w:color w:val="231F20"/>
                <w:spacing w:val="-9"/>
                <w:sz w:val="14"/>
              </w:rPr>
              <w:t> </w:t>
            </w:r>
            <w:r>
              <w:rPr>
                <w:color w:val="231F20"/>
                <w:sz w:val="14"/>
              </w:rPr>
              <w:t>који</w:t>
            </w:r>
            <w:r>
              <w:rPr>
                <w:color w:val="231F20"/>
                <w:spacing w:val="-9"/>
                <w:sz w:val="14"/>
              </w:rPr>
              <w:t> </w:t>
            </w:r>
            <w:r>
              <w:rPr>
                <w:color w:val="231F20"/>
                <w:sz w:val="14"/>
              </w:rPr>
              <w:t>је</w:t>
            </w:r>
            <w:r>
              <w:rPr>
                <w:color w:val="231F20"/>
                <w:spacing w:val="-9"/>
                <w:sz w:val="14"/>
              </w:rPr>
              <w:t> </w:t>
            </w:r>
            <w:r>
              <w:rPr>
                <w:color w:val="231F20"/>
                <w:sz w:val="14"/>
              </w:rPr>
              <w:t>ло- шији </w:t>
            </w:r>
            <w:r>
              <w:rPr>
                <w:color w:val="231F20"/>
                <w:spacing w:val="-3"/>
                <w:sz w:val="14"/>
              </w:rPr>
              <w:t>од </w:t>
            </w:r>
            <w:r>
              <w:rPr>
                <w:color w:val="231F20"/>
                <w:sz w:val="14"/>
              </w:rPr>
              <w:t>захтевних</w:t>
            </w:r>
            <w:r>
              <w:rPr>
                <w:color w:val="231F20"/>
                <w:spacing w:val="0"/>
                <w:sz w:val="14"/>
              </w:rPr>
              <w:t> </w:t>
            </w:r>
            <w:r>
              <w:rPr>
                <w:color w:val="231F20"/>
                <w:sz w:val="14"/>
              </w:rPr>
              <w:t>класа</w:t>
            </w:r>
          </w:p>
          <w:p>
            <w:pPr>
              <w:pStyle w:val="TableParagraph"/>
              <w:spacing w:line="237" w:lineRule="auto" w:before="0"/>
              <w:ind w:left="56" w:right="44"/>
              <w:jc w:val="both"/>
              <w:rPr>
                <w:sz w:val="14"/>
              </w:rPr>
            </w:pPr>
            <w:r>
              <w:rPr>
                <w:color w:val="231F20"/>
                <w:w w:val="66"/>
                <w:sz w:val="14"/>
              </w:rPr>
              <w:t> </w:t>
            </w:r>
            <w:r>
              <w:rPr>
                <w:color w:val="231F20"/>
                <w:sz w:val="14"/>
              </w:rPr>
              <w:t>– Непланско коришћење шљункова и пескова из корита и приобаља Велике Мораве</w:t>
            </w:r>
          </w:p>
        </w:tc>
      </w:tr>
      <w:tr>
        <w:trPr>
          <w:trHeight w:val="200" w:hRule="atLeast"/>
        </w:trPr>
        <w:tc>
          <w:tcPr>
            <w:tcW w:w="2551" w:type="dxa"/>
          </w:tcPr>
          <w:p>
            <w:pPr>
              <w:pStyle w:val="TableParagraph"/>
              <w:ind w:left="722" w:right="712"/>
              <w:jc w:val="center"/>
              <w:rPr>
                <w:sz w:val="14"/>
              </w:rPr>
            </w:pPr>
            <w:r>
              <w:rPr>
                <w:color w:val="231F20"/>
                <w:sz w:val="14"/>
              </w:rPr>
              <w:t>МОГУЋНОСТИ</w:t>
            </w:r>
          </w:p>
        </w:tc>
        <w:tc>
          <w:tcPr>
            <w:tcW w:w="2551" w:type="dxa"/>
          </w:tcPr>
          <w:p>
            <w:pPr>
              <w:pStyle w:val="TableParagraph"/>
              <w:ind w:left="722" w:right="712"/>
              <w:jc w:val="center"/>
              <w:rPr>
                <w:sz w:val="14"/>
              </w:rPr>
            </w:pPr>
            <w:r>
              <w:rPr>
                <w:color w:val="231F20"/>
                <w:sz w:val="14"/>
              </w:rPr>
              <w:t>ПРЕТЊЕ</w:t>
            </w:r>
          </w:p>
        </w:tc>
      </w:tr>
      <w:tr>
        <w:trPr>
          <w:trHeight w:val="1640" w:hRule="atLeast"/>
        </w:trPr>
        <w:tc>
          <w:tcPr>
            <w:tcW w:w="2551" w:type="dxa"/>
          </w:tcPr>
          <w:p>
            <w:pPr>
              <w:pStyle w:val="TableParagraph"/>
              <w:ind w:left="56" w:right="1"/>
              <w:jc w:val="left"/>
              <w:rPr>
                <w:sz w:val="14"/>
              </w:rPr>
            </w:pPr>
            <w:r>
              <w:rPr>
                <w:color w:val="231F20"/>
                <w:w w:val="66"/>
                <w:sz w:val="14"/>
              </w:rPr>
              <w:t> </w:t>
            </w:r>
            <w:r>
              <w:rPr>
                <w:color w:val="231F20"/>
                <w:sz w:val="14"/>
              </w:rPr>
              <w:t>– Коришћење великог водног потенција- ла Дунава, Велике Мораве и Млаве</w:t>
            </w:r>
          </w:p>
          <w:p>
            <w:pPr>
              <w:pStyle w:val="TableParagraph"/>
              <w:spacing w:before="0"/>
              <w:ind w:left="56"/>
              <w:jc w:val="left"/>
              <w:rPr>
                <w:sz w:val="14"/>
              </w:rPr>
            </w:pPr>
            <w:r>
              <w:rPr>
                <w:color w:val="231F20"/>
                <w:w w:val="66"/>
                <w:sz w:val="14"/>
              </w:rPr>
              <w:t> </w:t>
            </w:r>
            <w:r>
              <w:rPr>
                <w:color w:val="231F20"/>
                <w:sz w:val="14"/>
              </w:rPr>
              <w:t>– Коришћење потенцијала подземних вода (изворишта пијаће воде)</w:t>
            </w:r>
          </w:p>
          <w:p>
            <w:pPr>
              <w:pStyle w:val="TableParagraph"/>
              <w:spacing w:before="0"/>
              <w:ind w:left="56"/>
              <w:jc w:val="left"/>
              <w:rPr>
                <w:sz w:val="14"/>
              </w:rPr>
            </w:pPr>
            <w:r>
              <w:rPr>
                <w:color w:val="231F20"/>
                <w:w w:val="66"/>
                <w:sz w:val="14"/>
              </w:rPr>
              <w:t> </w:t>
            </w:r>
            <w:r>
              <w:rPr>
                <w:color w:val="231F20"/>
                <w:sz w:val="14"/>
              </w:rPr>
              <w:t>– Коришћење ресурса термалне и мине- ралне воде</w:t>
            </w:r>
          </w:p>
          <w:p>
            <w:pPr>
              <w:pStyle w:val="TableParagraph"/>
              <w:spacing w:line="159" w:lineRule="exact" w:before="0"/>
              <w:ind w:left="56"/>
              <w:jc w:val="left"/>
              <w:rPr>
                <w:sz w:val="14"/>
              </w:rPr>
            </w:pPr>
            <w:r>
              <w:rPr>
                <w:color w:val="231F20"/>
                <w:w w:val="66"/>
                <w:sz w:val="14"/>
              </w:rPr>
              <w:t> </w:t>
            </w:r>
            <w:r>
              <w:rPr>
                <w:color w:val="231F20"/>
                <w:sz w:val="14"/>
              </w:rPr>
              <w:t>– Даљи развој водопривредних система</w:t>
            </w:r>
          </w:p>
        </w:tc>
        <w:tc>
          <w:tcPr>
            <w:tcW w:w="2551" w:type="dxa"/>
          </w:tcPr>
          <w:p>
            <w:pPr>
              <w:pStyle w:val="TableParagraph"/>
              <w:ind w:left="56" w:right="44"/>
              <w:jc w:val="both"/>
              <w:rPr>
                <w:sz w:val="14"/>
              </w:rPr>
            </w:pPr>
            <w:r>
              <w:rPr>
                <w:color w:val="231F20"/>
                <w:w w:val="66"/>
                <w:sz w:val="14"/>
              </w:rPr>
              <w:t> </w:t>
            </w:r>
            <w:r>
              <w:rPr>
                <w:color w:val="231F20"/>
                <w:sz w:val="14"/>
              </w:rPr>
              <w:t>–</w:t>
            </w:r>
            <w:r>
              <w:rPr>
                <w:color w:val="231F20"/>
                <w:spacing w:val="-10"/>
                <w:sz w:val="14"/>
              </w:rPr>
              <w:t> </w:t>
            </w:r>
            <w:r>
              <w:rPr>
                <w:color w:val="231F20"/>
                <w:sz w:val="14"/>
              </w:rPr>
              <w:t>Неспровођење</w:t>
            </w:r>
            <w:r>
              <w:rPr>
                <w:color w:val="231F20"/>
                <w:spacing w:val="-10"/>
                <w:sz w:val="14"/>
              </w:rPr>
              <w:t> </w:t>
            </w:r>
            <w:r>
              <w:rPr>
                <w:color w:val="231F20"/>
                <w:sz w:val="14"/>
              </w:rPr>
              <w:t>стратешких</w:t>
            </w:r>
            <w:r>
              <w:rPr>
                <w:color w:val="231F20"/>
                <w:spacing w:val="-10"/>
                <w:sz w:val="14"/>
              </w:rPr>
              <w:t> </w:t>
            </w:r>
            <w:r>
              <w:rPr>
                <w:color w:val="231F20"/>
                <w:sz w:val="14"/>
              </w:rPr>
              <w:t>докумената који се односе на шире регионално под- ручје</w:t>
            </w:r>
            <w:r>
              <w:rPr>
                <w:color w:val="231F20"/>
                <w:spacing w:val="-1"/>
                <w:sz w:val="14"/>
              </w:rPr>
              <w:t> </w:t>
            </w:r>
            <w:r>
              <w:rPr>
                <w:color w:val="231F20"/>
                <w:sz w:val="14"/>
              </w:rPr>
              <w:t>(Подунавље)</w:t>
            </w:r>
          </w:p>
          <w:p>
            <w:pPr>
              <w:pStyle w:val="TableParagraph"/>
              <w:spacing w:line="158" w:lineRule="exact" w:before="0"/>
              <w:ind w:left="56"/>
              <w:jc w:val="left"/>
              <w:rPr>
                <w:sz w:val="14"/>
              </w:rPr>
            </w:pPr>
            <w:r>
              <w:rPr>
                <w:color w:val="231F20"/>
                <w:w w:val="66"/>
                <w:sz w:val="14"/>
              </w:rPr>
              <w:t> </w:t>
            </w:r>
            <w:r>
              <w:rPr>
                <w:color w:val="231F20"/>
                <w:sz w:val="14"/>
              </w:rPr>
              <w:t>– Утицај глобалних климатских промена</w:t>
            </w:r>
          </w:p>
          <w:p>
            <w:pPr>
              <w:pStyle w:val="TableParagraph"/>
              <w:spacing w:before="0"/>
              <w:ind w:left="56" w:right="44"/>
              <w:jc w:val="both"/>
              <w:rPr>
                <w:sz w:val="14"/>
              </w:rPr>
            </w:pPr>
            <w:r>
              <w:rPr>
                <w:color w:val="231F20"/>
                <w:w w:val="66"/>
                <w:sz w:val="14"/>
              </w:rPr>
              <w:t> </w:t>
            </w:r>
            <w:r>
              <w:rPr>
                <w:color w:val="231F20"/>
                <w:sz w:val="14"/>
              </w:rPr>
              <w:t>–</w:t>
            </w:r>
            <w:r>
              <w:rPr>
                <w:color w:val="231F20"/>
                <w:spacing w:val="-18"/>
                <w:sz w:val="14"/>
              </w:rPr>
              <w:t> </w:t>
            </w:r>
            <w:r>
              <w:rPr>
                <w:color w:val="231F20"/>
                <w:spacing w:val="-6"/>
                <w:sz w:val="14"/>
              </w:rPr>
              <w:t>Негативан</w:t>
            </w:r>
            <w:r>
              <w:rPr>
                <w:color w:val="231F20"/>
                <w:spacing w:val="-18"/>
                <w:sz w:val="14"/>
              </w:rPr>
              <w:t> </w:t>
            </w:r>
            <w:r>
              <w:rPr>
                <w:color w:val="231F20"/>
                <w:spacing w:val="-5"/>
                <w:sz w:val="14"/>
              </w:rPr>
              <w:t>утицај</w:t>
            </w:r>
            <w:r>
              <w:rPr>
                <w:color w:val="231F20"/>
                <w:spacing w:val="-17"/>
                <w:sz w:val="14"/>
              </w:rPr>
              <w:t> </w:t>
            </w:r>
            <w:r>
              <w:rPr>
                <w:color w:val="231F20"/>
                <w:spacing w:val="-6"/>
                <w:sz w:val="14"/>
              </w:rPr>
              <w:t>експлоатације</w:t>
            </w:r>
            <w:r>
              <w:rPr>
                <w:color w:val="231F20"/>
                <w:spacing w:val="-18"/>
                <w:sz w:val="14"/>
              </w:rPr>
              <w:t> </w:t>
            </w:r>
            <w:r>
              <w:rPr>
                <w:color w:val="231F20"/>
                <w:spacing w:val="-5"/>
                <w:sz w:val="14"/>
              </w:rPr>
              <w:t>угља,</w:t>
            </w:r>
            <w:r>
              <w:rPr>
                <w:color w:val="231F20"/>
                <w:spacing w:val="-18"/>
                <w:sz w:val="14"/>
              </w:rPr>
              <w:t> </w:t>
            </w:r>
            <w:r>
              <w:rPr>
                <w:color w:val="231F20"/>
                <w:spacing w:val="-5"/>
                <w:sz w:val="14"/>
              </w:rPr>
              <w:t>наф- </w:t>
            </w:r>
            <w:r>
              <w:rPr>
                <w:color w:val="231F20"/>
                <w:spacing w:val="-4"/>
                <w:sz w:val="14"/>
              </w:rPr>
              <w:t>те, гаса </w:t>
            </w:r>
            <w:r>
              <w:rPr>
                <w:color w:val="231F20"/>
                <w:sz w:val="14"/>
              </w:rPr>
              <w:t>и </w:t>
            </w:r>
            <w:r>
              <w:rPr>
                <w:color w:val="231F20"/>
                <w:spacing w:val="-6"/>
                <w:sz w:val="14"/>
              </w:rPr>
              <w:t>других минералних сировина. </w:t>
            </w:r>
            <w:r>
              <w:rPr>
                <w:color w:val="231F20"/>
                <w:spacing w:val="-5"/>
                <w:sz w:val="14"/>
              </w:rPr>
              <w:t>као </w:t>
            </w:r>
            <w:r>
              <w:rPr>
                <w:color w:val="231F20"/>
                <w:sz w:val="14"/>
              </w:rPr>
              <w:t>и </w:t>
            </w:r>
            <w:r>
              <w:rPr>
                <w:color w:val="231F20"/>
                <w:spacing w:val="-7"/>
                <w:sz w:val="14"/>
              </w:rPr>
              <w:t>термо-енергетског комплекса </w:t>
            </w:r>
            <w:r>
              <w:rPr>
                <w:color w:val="231F20"/>
                <w:spacing w:val="-3"/>
                <w:sz w:val="14"/>
              </w:rPr>
              <w:t>на </w:t>
            </w:r>
            <w:r>
              <w:rPr>
                <w:color w:val="231F20"/>
                <w:spacing w:val="-5"/>
                <w:sz w:val="14"/>
              </w:rPr>
              <w:t>режим </w:t>
            </w:r>
            <w:r>
              <w:rPr>
                <w:color w:val="231F20"/>
                <w:sz w:val="14"/>
              </w:rPr>
              <w:t>и </w:t>
            </w:r>
            <w:r>
              <w:rPr>
                <w:color w:val="231F20"/>
                <w:spacing w:val="-6"/>
                <w:sz w:val="14"/>
              </w:rPr>
              <w:t>квалитет подземних </w:t>
            </w:r>
            <w:r>
              <w:rPr>
                <w:color w:val="231F20"/>
                <w:sz w:val="14"/>
              </w:rPr>
              <w:t>и</w:t>
            </w:r>
            <w:r>
              <w:rPr>
                <w:color w:val="231F20"/>
                <w:spacing w:val="-25"/>
                <w:sz w:val="14"/>
              </w:rPr>
              <w:t> </w:t>
            </w:r>
            <w:r>
              <w:rPr>
                <w:color w:val="231F20"/>
                <w:spacing w:val="-6"/>
                <w:sz w:val="14"/>
              </w:rPr>
              <w:t>површинских вода</w:t>
            </w:r>
          </w:p>
          <w:p>
            <w:pPr>
              <w:pStyle w:val="TableParagraph"/>
              <w:spacing w:line="237" w:lineRule="auto" w:before="0"/>
              <w:ind w:left="56" w:right="44"/>
              <w:jc w:val="both"/>
              <w:rPr>
                <w:sz w:val="14"/>
              </w:rPr>
            </w:pPr>
            <w:r>
              <w:rPr>
                <w:color w:val="231F20"/>
                <w:w w:val="66"/>
                <w:sz w:val="14"/>
              </w:rPr>
              <w:t> </w:t>
            </w:r>
            <w:r>
              <w:rPr>
                <w:color w:val="231F20"/>
                <w:sz w:val="14"/>
              </w:rPr>
              <w:t>– Недовољна имплементација планских и других документа</w:t>
            </w:r>
          </w:p>
        </w:tc>
      </w:tr>
    </w:tbl>
    <w:p>
      <w:pPr>
        <w:pStyle w:val="BodyText"/>
        <w:spacing w:before="6"/>
        <w:ind w:left="0"/>
        <w:jc w:val="left"/>
        <w:rPr>
          <w:sz w:val="17"/>
        </w:rPr>
      </w:pPr>
    </w:p>
    <w:p>
      <w:pPr>
        <w:pStyle w:val="BodyText"/>
        <w:ind w:left="652" w:right="537"/>
        <w:jc w:val="center"/>
      </w:pPr>
      <w:r>
        <w:rPr/>
        <w:pict>
          <v:shape style="position:absolute;margin-left:42.519699pt;margin-top:12.402351pt;width:255.9pt;height:197.55pt;mso-position-horizontal-relative:page;mso-position-vertical-relative:paragraph;z-index:188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3720" w:hRule="atLeast"/>
                    </w:trPr>
                    <w:tc>
                      <w:tcPr>
                        <w:tcW w:w="2551" w:type="dxa"/>
                      </w:tcPr>
                      <w:p>
                        <w:pPr>
                          <w:pStyle w:val="TableParagraph"/>
                          <w:ind w:left="56" w:hanging="1"/>
                          <w:jc w:val="left"/>
                          <w:rPr>
                            <w:sz w:val="14"/>
                          </w:rPr>
                        </w:pPr>
                        <w:r>
                          <w:rPr>
                            <w:color w:val="231F20"/>
                            <w:w w:val="66"/>
                            <w:sz w:val="14"/>
                          </w:rPr>
                          <w:t> </w:t>
                        </w:r>
                        <w:r>
                          <w:rPr>
                            <w:color w:val="231F20"/>
                            <w:sz w:val="14"/>
                          </w:rPr>
                          <w:t>– Постојање закона и других прописа за регулисање енергетске ефикасности</w:t>
                        </w:r>
                      </w:p>
                      <w:p>
                        <w:pPr>
                          <w:pStyle w:val="TableParagraph"/>
                          <w:spacing w:before="0"/>
                          <w:ind w:left="57" w:hanging="1"/>
                          <w:jc w:val="left"/>
                          <w:rPr>
                            <w:sz w:val="14"/>
                          </w:rPr>
                        </w:pPr>
                        <w:r>
                          <w:rPr>
                            <w:color w:val="231F20"/>
                            <w:w w:val="66"/>
                            <w:sz w:val="14"/>
                          </w:rPr>
                          <w:t> </w:t>
                        </w:r>
                        <w:r>
                          <w:rPr>
                            <w:color w:val="231F20"/>
                            <w:sz w:val="14"/>
                          </w:rPr>
                          <w:t>– Постојање потенцијала (биомаса, сун- це и ветар)</w:t>
                        </w:r>
                      </w:p>
                      <w:p>
                        <w:pPr>
                          <w:pStyle w:val="TableParagraph"/>
                          <w:spacing w:before="0"/>
                          <w:ind w:left="57"/>
                          <w:jc w:val="left"/>
                          <w:rPr>
                            <w:sz w:val="14"/>
                          </w:rPr>
                        </w:pPr>
                        <w:r>
                          <w:rPr>
                            <w:color w:val="231F20"/>
                            <w:w w:val="66"/>
                            <w:sz w:val="14"/>
                          </w:rPr>
                          <w:t> </w:t>
                        </w:r>
                        <w:r>
                          <w:rPr>
                            <w:color w:val="231F20"/>
                            <w:sz w:val="14"/>
                          </w:rPr>
                          <w:t>– Повољна локација производних капа- цитета у близини потрошача</w:t>
                        </w:r>
                      </w:p>
                    </w:tc>
                    <w:tc>
                      <w:tcPr>
                        <w:tcW w:w="2551" w:type="dxa"/>
                      </w:tcPr>
                      <w:p>
                        <w:pPr>
                          <w:pStyle w:val="TableParagraph"/>
                          <w:ind w:left="56" w:right="43"/>
                          <w:jc w:val="both"/>
                          <w:rPr>
                            <w:sz w:val="14"/>
                          </w:rPr>
                        </w:pPr>
                        <w:r>
                          <w:rPr>
                            <w:color w:val="231F20"/>
                            <w:w w:val="66"/>
                            <w:sz w:val="14"/>
                          </w:rPr>
                          <w:t> </w:t>
                        </w:r>
                        <w:r>
                          <w:rPr>
                            <w:color w:val="231F20"/>
                            <w:sz w:val="14"/>
                          </w:rPr>
                          <w:t>– Низак степен енергетске ефикасности, како у производњи и преносу, тако и у дистрибуцији и потрошњи електричне енергије</w:t>
                        </w:r>
                      </w:p>
                      <w:p>
                        <w:pPr>
                          <w:pStyle w:val="TableParagraph"/>
                          <w:spacing w:line="237" w:lineRule="auto" w:before="0"/>
                          <w:ind w:left="56" w:right="44"/>
                          <w:jc w:val="both"/>
                          <w:rPr>
                            <w:sz w:val="14"/>
                          </w:rPr>
                        </w:pPr>
                        <w:r>
                          <w:rPr>
                            <w:color w:val="231F20"/>
                            <w:w w:val="66"/>
                            <w:sz w:val="14"/>
                          </w:rPr>
                          <w:t> </w:t>
                        </w:r>
                        <w:r>
                          <w:rPr>
                            <w:color w:val="231F20"/>
                            <w:sz w:val="14"/>
                          </w:rPr>
                          <w:t>– Застарелост енергетских објеката, опреме и мреже</w:t>
                        </w:r>
                      </w:p>
                      <w:p>
                        <w:pPr>
                          <w:pStyle w:val="TableParagraph"/>
                          <w:spacing w:before="0"/>
                          <w:ind w:left="56" w:right="44"/>
                          <w:jc w:val="both"/>
                          <w:rPr>
                            <w:sz w:val="14"/>
                          </w:rPr>
                        </w:pPr>
                        <w:r>
                          <w:rPr>
                            <w:color w:val="231F20"/>
                            <w:w w:val="66"/>
                            <w:sz w:val="14"/>
                          </w:rPr>
                          <w:t> </w:t>
                        </w:r>
                        <w:r>
                          <w:rPr>
                            <w:color w:val="231F20"/>
                            <w:sz w:val="14"/>
                          </w:rPr>
                          <w:t>– Непоштовање усвојених  докумената и конвенција </w:t>
                        </w:r>
                        <w:r>
                          <w:rPr>
                            <w:color w:val="231F20"/>
                            <w:spacing w:val="-3"/>
                            <w:sz w:val="14"/>
                          </w:rPr>
                          <w:t>од </w:t>
                        </w:r>
                        <w:r>
                          <w:rPr>
                            <w:color w:val="231F20"/>
                            <w:sz w:val="14"/>
                          </w:rPr>
                          <w:t>стране националних и локалних управа у погледу енергетске ефикасности</w:t>
                        </w:r>
                      </w:p>
                      <w:p>
                        <w:pPr>
                          <w:pStyle w:val="TableParagraph"/>
                          <w:spacing w:line="237" w:lineRule="auto" w:before="0"/>
                          <w:ind w:left="57" w:right="44" w:hanging="1"/>
                          <w:jc w:val="both"/>
                          <w:rPr>
                            <w:sz w:val="14"/>
                          </w:rPr>
                        </w:pPr>
                        <w:r>
                          <w:rPr>
                            <w:color w:val="231F20"/>
                            <w:w w:val="66"/>
                            <w:sz w:val="14"/>
                          </w:rPr>
                          <w:t> </w:t>
                        </w:r>
                        <w:r>
                          <w:rPr>
                            <w:color w:val="231F20"/>
                            <w:sz w:val="14"/>
                          </w:rPr>
                          <w:t>– Неадекватност највећег дела постоје- ћег грађевинског фонда у погледу енер- гетске ефикасности</w:t>
                        </w:r>
                      </w:p>
                      <w:p>
                        <w:pPr>
                          <w:pStyle w:val="TableParagraph"/>
                          <w:spacing w:before="0"/>
                          <w:ind w:left="57" w:right="43" w:hanging="1"/>
                          <w:jc w:val="both"/>
                          <w:rPr>
                            <w:sz w:val="14"/>
                          </w:rPr>
                        </w:pPr>
                        <w:r>
                          <w:rPr>
                            <w:color w:val="231F20"/>
                            <w:w w:val="66"/>
                            <w:sz w:val="14"/>
                          </w:rPr>
                          <w:t> </w:t>
                        </w:r>
                        <w:r>
                          <w:rPr>
                            <w:color w:val="231F20"/>
                            <w:sz w:val="14"/>
                          </w:rPr>
                          <w:t>– Непостојање инфраструктуре за при- мену ОИЕ</w:t>
                        </w:r>
                      </w:p>
                      <w:p>
                        <w:pPr>
                          <w:pStyle w:val="TableParagraph"/>
                          <w:spacing w:before="0"/>
                          <w:ind w:left="57" w:right="43"/>
                          <w:jc w:val="both"/>
                          <w:rPr>
                            <w:sz w:val="14"/>
                          </w:rPr>
                        </w:pPr>
                        <w:r>
                          <w:rPr>
                            <w:color w:val="231F20"/>
                            <w:w w:val="66"/>
                            <w:sz w:val="14"/>
                          </w:rPr>
                          <w:t> </w:t>
                        </w:r>
                        <w:r>
                          <w:rPr>
                            <w:color w:val="231F20"/>
                            <w:sz w:val="14"/>
                          </w:rPr>
                          <w:t>– Недовољна истраженост локација за изградњу обновљивих извора енергије</w:t>
                        </w:r>
                      </w:p>
                      <w:p>
                        <w:pPr>
                          <w:pStyle w:val="TableParagraph"/>
                          <w:spacing w:before="0"/>
                          <w:ind w:left="57" w:right="43"/>
                          <w:jc w:val="both"/>
                          <w:rPr>
                            <w:sz w:val="14"/>
                          </w:rPr>
                        </w:pPr>
                        <w:r>
                          <w:rPr>
                            <w:color w:val="231F20"/>
                            <w:w w:val="66"/>
                            <w:sz w:val="14"/>
                          </w:rPr>
                          <w:t> </w:t>
                        </w:r>
                        <w:r>
                          <w:rPr>
                            <w:color w:val="231F20"/>
                            <w:sz w:val="14"/>
                          </w:rPr>
                          <w:t>– Непостојање интегралног енергетског планирања</w:t>
                        </w:r>
                      </w:p>
                      <w:p>
                        <w:pPr>
                          <w:pStyle w:val="TableParagraph"/>
                          <w:spacing w:before="0"/>
                          <w:ind w:left="57" w:right="43"/>
                          <w:jc w:val="both"/>
                          <w:rPr>
                            <w:sz w:val="14"/>
                          </w:rPr>
                        </w:pPr>
                        <w:r>
                          <w:rPr>
                            <w:color w:val="231F20"/>
                            <w:w w:val="66"/>
                            <w:sz w:val="14"/>
                          </w:rPr>
                          <w:t> </w:t>
                        </w:r>
                        <w:r>
                          <w:rPr>
                            <w:color w:val="231F20"/>
                            <w:sz w:val="14"/>
                          </w:rPr>
                          <w:t>– Недовољна информисаност јавности о предностима ОИЕ и недовољна спрем- ност да се примене и прихвате нове тех- нологије</w:t>
                        </w:r>
                      </w:p>
                    </w:tc>
                  </w:tr>
                </w:tbl>
                <w:p>
                  <w:pPr>
                    <w:pStyle w:val="BodyText"/>
                    <w:ind w:left="0"/>
                    <w:jc w:val="left"/>
                  </w:pPr>
                </w:p>
              </w:txbxContent>
            </v:textbox>
            <w10:wrap type="none"/>
          </v:shape>
        </w:pict>
      </w:r>
      <w:r>
        <w:rPr>
          <w:color w:val="231F20"/>
        </w:rPr>
        <w:t>Енергетска ефикасност и обновљиви извори енергије</w:t>
      </w:r>
    </w:p>
    <w:p>
      <w:pPr>
        <w:pStyle w:val="BodyText"/>
        <w:spacing w:before="93"/>
        <w:ind w:left="522" w:right="763"/>
        <w:jc w:val="center"/>
      </w:pPr>
      <w:r>
        <w:rPr/>
        <w:br w:type="column"/>
      </w:r>
      <w:r>
        <w:rPr>
          <w:color w:val="231F20"/>
        </w:rPr>
        <w:t>Развој туризма</w:t>
      </w:r>
    </w:p>
    <w:p>
      <w:pPr>
        <w:pStyle w:val="BodyText"/>
        <w:spacing w:before="11"/>
        <w:ind w:left="0"/>
        <w:jc w:val="left"/>
        <w:rPr>
          <w:sz w:val="20"/>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4200" w:hRule="atLeast"/>
        </w:trPr>
        <w:tc>
          <w:tcPr>
            <w:tcW w:w="2551" w:type="dxa"/>
          </w:tcPr>
          <w:p>
            <w:pPr>
              <w:pStyle w:val="TableParagraph"/>
              <w:ind w:left="56" w:right="44" w:hanging="1"/>
              <w:jc w:val="both"/>
              <w:rPr>
                <w:sz w:val="14"/>
              </w:rPr>
            </w:pPr>
            <w:r>
              <w:rPr>
                <w:color w:val="231F20"/>
                <w:w w:val="66"/>
                <w:sz w:val="14"/>
              </w:rPr>
              <w:t> </w:t>
            </w:r>
            <w:r>
              <w:rPr>
                <w:color w:val="231F20"/>
                <w:sz w:val="14"/>
              </w:rPr>
              <w:t>– Веома повољан географско-саобраћај- ни положај, близина Румуније и повеза- ност са Националним парком „Ђердап”</w:t>
            </w:r>
          </w:p>
          <w:p>
            <w:pPr>
              <w:pStyle w:val="TableParagraph"/>
              <w:spacing w:line="237" w:lineRule="auto" w:before="0"/>
              <w:ind w:left="56" w:right="44"/>
              <w:jc w:val="both"/>
              <w:rPr>
                <w:sz w:val="14"/>
              </w:rPr>
            </w:pPr>
            <w:r>
              <w:rPr>
                <w:color w:val="231F20"/>
                <w:w w:val="66"/>
                <w:sz w:val="14"/>
              </w:rPr>
              <w:t> </w:t>
            </w:r>
            <w:r>
              <w:rPr>
                <w:color w:val="231F20"/>
                <w:sz w:val="14"/>
              </w:rPr>
              <w:t>–</w:t>
            </w:r>
            <w:r>
              <w:rPr>
                <w:color w:val="231F20"/>
                <w:spacing w:val="-10"/>
                <w:sz w:val="14"/>
              </w:rPr>
              <w:t> </w:t>
            </w:r>
            <w:r>
              <w:rPr>
                <w:color w:val="231F20"/>
                <w:sz w:val="14"/>
              </w:rPr>
              <w:t>Природно</w:t>
            </w:r>
            <w:r>
              <w:rPr>
                <w:color w:val="231F20"/>
                <w:spacing w:val="-10"/>
                <w:sz w:val="14"/>
              </w:rPr>
              <w:t> </w:t>
            </w:r>
            <w:r>
              <w:rPr>
                <w:color w:val="231F20"/>
                <w:sz w:val="14"/>
              </w:rPr>
              <w:t>и</w:t>
            </w:r>
            <w:r>
              <w:rPr>
                <w:color w:val="231F20"/>
                <w:spacing w:val="-10"/>
                <w:sz w:val="14"/>
              </w:rPr>
              <w:t> </w:t>
            </w:r>
            <w:r>
              <w:rPr>
                <w:color w:val="231F20"/>
                <w:sz w:val="14"/>
              </w:rPr>
              <w:t>културно</w:t>
            </w:r>
            <w:r>
              <w:rPr>
                <w:color w:val="231F20"/>
                <w:spacing w:val="-10"/>
                <w:sz w:val="14"/>
              </w:rPr>
              <w:t> </w:t>
            </w:r>
            <w:r>
              <w:rPr>
                <w:color w:val="231F20"/>
                <w:sz w:val="14"/>
              </w:rPr>
              <w:t>наслеђе,</w:t>
            </w:r>
            <w:r>
              <w:rPr>
                <w:color w:val="231F20"/>
                <w:spacing w:val="-10"/>
                <w:sz w:val="14"/>
              </w:rPr>
              <w:t> </w:t>
            </w:r>
            <w:r>
              <w:rPr>
                <w:color w:val="231F20"/>
                <w:sz w:val="14"/>
              </w:rPr>
              <w:t>духовна баштина и културни потенцијал Пожа- ревца</w:t>
            </w:r>
          </w:p>
          <w:p>
            <w:pPr>
              <w:pStyle w:val="TableParagraph"/>
              <w:spacing w:line="161" w:lineRule="exact" w:before="0"/>
              <w:ind w:left="56"/>
              <w:jc w:val="left"/>
              <w:rPr>
                <w:sz w:val="14"/>
              </w:rPr>
            </w:pPr>
            <w:r>
              <w:rPr>
                <w:color w:val="231F20"/>
                <w:w w:val="66"/>
                <w:sz w:val="14"/>
              </w:rPr>
              <w:t> </w:t>
            </w:r>
            <w:r>
              <w:rPr>
                <w:color w:val="231F20"/>
                <w:sz w:val="14"/>
              </w:rPr>
              <w:t>– Постојање стручног кадра</w:t>
            </w:r>
          </w:p>
          <w:p>
            <w:pPr>
              <w:pStyle w:val="TableParagraph"/>
              <w:spacing w:before="0"/>
              <w:ind w:left="57" w:right="44" w:hanging="1"/>
              <w:jc w:val="both"/>
              <w:rPr>
                <w:sz w:val="14"/>
              </w:rPr>
            </w:pPr>
            <w:r>
              <w:rPr>
                <w:color w:val="231F20"/>
                <w:w w:val="66"/>
                <w:sz w:val="14"/>
              </w:rPr>
              <w:t> </w:t>
            </w:r>
            <w:r>
              <w:rPr>
                <w:color w:val="231F20"/>
                <w:sz w:val="14"/>
              </w:rPr>
              <w:t>– Постојање </w:t>
            </w:r>
            <w:r>
              <w:rPr>
                <w:color w:val="231F20"/>
                <w:spacing w:val="-3"/>
                <w:sz w:val="14"/>
              </w:rPr>
              <w:t>неколико </w:t>
            </w:r>
            <w:r>
              <w:rPr>
                <w:color w:val="231F20"/>
                <w:sz w:val="14"/>
              </w:rPr>
              <w:t>мастер планова за развој туризма</w:t>
            </w:r>
          </w:p>
          <w:p>
            <w:pPr>
              <w:pStyle w:val="TableParagraph"/>
              <w:spacing w:before="0"/>
              <w:ind w:left="57" w:right="44" w:hanging="1"/>
              <w:jc w:val="both"/>
              <w:rPr>
                <w:sz w:val="14"/>
              </w:rPr>
            </w:pPr>
            <w:r>
              <w:rPr>
                <w:color w:val="231F20"/>
                <w:w w:val="66"/>
                <w:sz w:val="14"/>
              </w:rPr>
              <w:t> </w:t>
            </w:r>
            <w:r>
              <w:rPr>
                <w:color w:val="231F20"/>
                <w:sz w:val="14"/>
              </w:rPr>
              <w:t>– Расположиво слободно земљиште за инвестирање у нове туристичке садр- жаје</w:t>
            </w:r>
          </w:p>
          <w:p>
            <w:pPr>
              <w:pStyle w:val="TableParagraph"/>
              <w:spacing w:line="237" w:lineRule="auto" w:before="0"/>
              <w:ind w:left="57" w:right="44"/>
              <w:jc w:val="both"/>
              <w:rPr>
                <w:sz w:val="14"/>
              </w:rPr>
            </w:pPr>
            <w:r>
              <w:rPr>
                <w:color w:val="231F20"/>
                <w:w w:val="66"/>
                <w:sz w:val="14"/>
              </w:rPr>
              <w:t> </w:t>
            </w:r>
            <w:r>
              <w:rPr>
                <w:color w:val="231F20"/>
                <w:sz w:val="14"/>
              </w:rPr>
              <w:t>– Примери успешног јавно-приватног партнерства у туризму</w:t>
            </w:r>
          </w:p>
          <w:p>
            <w:pPr>
              <w:pStyle w:val="TableParagraph"/>
              <w:spacing w:before="0"/>
              <w:ind w:left="57" w:right="44"/>
              <w:jc w:val="both"/>
              <w:rPr>
                <w:sz w:val="14"/>
              </w:rPr>
            </w:pPr>
            <w:r>
              <w:rPr>
                <w:color w:val="231F20"/>
                <w:w w:val="66"/>
                <w:sz w:val="14"/>
              </w:rPr>
              <w:t> </w:t>
            </w:r>
            <w:r>
              <w:rPr>
                <w:color w:val="231F20"/>
                <w:sz w:val="14"/>
              </w:rPr>
              <w:t>– Велики број туристичких и културних манифестација</w:t>
            </w:r>
          </w:p>
          <w:p>
            <w:pPr>
              <w:pStyle w:val="TableParagraph"/>
              <w:spacing w:line="159" w:lineRule="exact" w:before="0"/>
              <w:ind w:left="57"/>
              <w:jc w:val="left"/>
              <w:rPr>
                <w:sz w:val="14"/>
              </w:rPr>
            </w:pPr>
            <w:r>
              <w:rPr>
                <w:color w:val="231F20"/>
                <w:w w:val="66"/>
                <w:sz w:val="14"/>
              </w:rPr>
              <w:t> </w:t>
            </w:r>
            <w:r>
              <w:rPr>
                <w:color w:val="231F20"/>
                <w:sz w:val="14"/>
              </w:rPr>
              <w:t>– Постојање туристичких организација</w:t>
            </w:r>
          </w:p>
          <w:p>
            <w:pPr>
              <w:pStyle w:val="TableParagraph"/>
              <w:spacing w:before="0"/>
              <w:ind w:left="57" w:right="44" w:hanging="1"/>
              <w:jc w:val="both"/>
              <w:rPr>
                <w:sz w:val="14"/>
              </w:rPr>
            </w:pPr>
            <w:r>
              <w:rPr>
                <w:color w:val="231F20"/>
                <w:w w:val="66"/>
                <w:sz w:val="14"/>
              </w:rPr>
              <w:t> </w:t>
            </w:r>
            <w:r>
              <w:rPr>
                <w:color w:val="231F20"/>
                <w:sz w:val="14"/>
              </w:rPr>
              <w:t>–</w:t>
            </w:r>
            <w:r>
              <w:rPr>
                <w:color w:val="231F20"/>
                <w:spacing w:val="-13"/>
                <w:sz w:val="14"/>
              </w:rPr>
              <w:t> </w:t>
            </w:r>
            <w:r>
              <w:rPr>
                <w:color w:val="231F20"/>
                <w:sz w:val="14"/>
              </w:rPr>
              <w:t>Постојање</w:t>
            </w:r>
            <w:r>
              <w:rPr>
                <w:color w:val="231F20"/>
                <w:spacing w:val="-13"/>
                <w:sz w:val="14"/>
              </w:rPr>
              <w:t> </w:t>
            </w:r>
            <w:r>
              <w:rPr>
                <w:color w:val="231F20"/>
                <w:sz w:val="14"/>
              </w:rPr>
              <w:t>заокружених</w:t>
            </w:r>
            <w:r>
              <w:rPr>
                <w:color w:val="231F20"/>
                <w:spacing w:val="-13"/>
                <w:sz w:val="14"/>
              </w:rPr>
              <w:t> </w:t>
            </w:r>
            <w:r>
              <w:rPr>
                <w:color w:val="231F20"/>
                <w:sz w:val="14"/>
              </w:rPr>
              <w:t>еколошких</w:t>
            </w:r>
            <w:r>
              <w:rPr>
                <w:color w:val="231F20"/>
                <w:spacing w:val="-13"/>
                <w:sz w:val="14"/>
              </w:rPr>
              <w:t> </w:t>
            </w:r>
            <w:r>
              <w:rPr>
                <w:color w:val="231F20"/>
                <w:sz w:val="14"/>
              </w:rPr>
              <w:t>це- лина</w:t>
            </w:r>
          </w:p>
          <w:p>
            <w:pPr>
              <w:pStyle w:val="TableParagraph"/>
              <w:spacing w:before="0"/>
              <w:ind w:left="57" w:right="44"/>
              <w:jc w:val="both"/>
              <w:rPr>
                <w:sz w:val="14"/>
              </w:rPr>
            </w:pPr>
            <w:r>
              <w:rPr>
                <w:color w:val="231F20"/>
                <w:w w:val="66"/>
                <w:sz w:val="14"/>
              </w:rPr>
              <w:t> </w:t>
            </w:r>
            <w:r>
              <w:rPr>
                <w:color w:val="231F20"/>
                <w:sz w:val="14"/>
              </w:rPr>
              <w:t>– Ресурси за производњу квалитетне локалне хране</w:t>
            </w:r>
          </w:p>
        </w:tc>
        <w:tc>
          <w:tcPr>
            <w:tcW w:w="2551" w:type="dxa"/>
          </w:tcPr>
          <w:p>
            <w:pPr>
              <w:pStyle w:val="TableParagraph"/>
              <w:ind w:left="57" w:right="43"/>
              <w:jc w:val="both"/>
              <w:rPr>
                <w:sz w:val="14"/>
              </w:rPr>
            </w:pPr>
            <w:r>
              <w:rPr>
                <w:color w:val="231F20"/>
                <w:w w:val="66"/>
                <w:sz w:val="14"/>
              </w:rPr>
              <w:t> </w:t>
            </w:r>
            <w:r>
              <w:rPr>
                <w:color w:val="231F20"/>
                <w:sz w:val="14"/>
              </w:rPr>
              <w:t>– Недостатак стручног кадра у области туризма са знањем страних језика</w:t>
            </w:r>
          </w:p>
          <w:p>
            <w:pPr>
              <w:pStyle w:val="TableParagraph"/>
              <w:spacing w:before="0"/>
              <w:ind w:left="57" w:right="43"/>
              <w:jc w:val="both"/>
              <w:rPr>
                <w:sz w:val="14"/>
              </w:rPr>
            </w:pPr>
            <w:r>
              <w:rPr>
                <w:color w:val="231F20"/>
                <w:w w:val="66"/>
                <w:sz w:val="14"/>
              </w:rPr>
              <w:t> </w:t>
            </w:r>
            <w:r>
              <w:rPr>
                <w:color w:val="231F20"/>
                <w:sz w:val="14"/>
              </w:rPr>
              <w:t>–</w:t>
            </w:r>
            <w:r>
              <w:rPr>
                <w:color w:val="231F20"/>
                <w:spacing w:val="-8"/>
                <w:sz w:val="14"/>
              </w:rPr>
              <w:t> </w:t>
            </w:r>
            <w:r>
              <w:rPr>
                <w:color w:val="231F20"/>
                <w:sz w:val="14"/>
              </w:rPr>
              <w:t>Недостатак</w:t>
            </w:r>
            <w:r>
              <w:rPr>
                <w:color w:val="231F20"/>
                <w:spacing w:val="-8"/>
                <w:sz w:val="14"/>
              </w:rPr>
              <w:t> </w:t>
            </w:r>
            <w:r>
              <w:rPr>
                <w:color w:val="231F20"/>
                <w:sz w:val="14"/>
              </w:rPr>
              <w:t>смештајних</w:t>
            </w:r>
            <w:r>
              <w:rPr>
                <w:color w:val="231F20"/>
                <w:spacing w:val="-8"/>
                <w:sz w:val="14"/>
              </w:rPr>
              <w:t> </w:t>
            </w:r>
            <w:r>
              <w:rPr>
                <w:color w:val="231F20"/>
                <w:sz w:val="14"/>
              </w:rPr>
              <w:t>и</w:t>
            </w:r>
            <w:r>
              <w:rPr>
                <w:color w:val="231F20"/>
                <w:spacing w:val="-8"/>
                <w:sz w:val="14"/>
              </w:rPr>
              <w:t> </w:t>
            </w:r>
            <w:r>
              <w:rPr>
                <w:color w:val="231F20"/>
                <w:sz w:val="14"/>
              </w:rPr>
              <w:t>других</w:t>
            </w:r>
            <w:r>
              <w:rPr>
                <w:color w:val="231F20"/>
                <w:spacing w:val="-8"/>
                <w:sz w:val="14"/>
              </w:rPr>
              <w:t> </w:t>
            </w:r>
            <w:r>
              <w:rPr>
                <w:color w:val="231F20"/>
                <w:sz w:val="14"/>
              </w:rPr>
              <w:t>тури- стичких</w:t>
            </w:r>
            <w:r>
              <w:rPr>
                <w:color w:val="231F20"/>
                <w:spacing w:val="-1"/>
                <w:sz w:val="14"/>
              </w:rPr>
              <w:t> </w:t>
            </w:r>
            <w:r>
              <w:rPr>
                <w:color w:val="231F20"/>
                <w:sz w:val="14"/>
              </w:rPr>
              <w:t>капацитета</w:t>
            </w:r>
          </w:p>
          <w:p>
            <w:pPr>
              <w:pStyle w:val="TableParagraph"/>
              <w:spacing w:before="0"/>
              <w:ind w:left="56" w:right="43"/>
              <w:jc w:val="both"/>
              <w:rPr>
                <w:sz w:val="14"/>
              </w:rPr>
            </w:pPr>
            <w:r>
              <w:rPr>
                <w:color w:val="231F20"/>
                <w:w w:val="66"/>
                <w:sz w:val="14"/>
              </w:rPr>
              <w:t> </w:t>
            </w:r>
            <w:r>
              <w:rPr>
                <w:color w:val="231F20"/>
                <w:sz w:val="14"/>
              </w:rPr>
              <w:t>– Неплански развој туризма, недовољ- но стратешких планова и техничке до- кументације за регионалне пројекте у туризму</w:t>
            </w:r>
          </w:p>
          <w:p>
            <w:pPr>
              <w:pStyle w:val="TableParagraph"/>
              <w:spacing w:line="237" w:lineRule="auto" w:before="0"/>
              <w:ind w:left="56" w:right="44"/>
              <w:jc w:val="both"/>
              <w:rPr>
                <w:sz w:val="14"/>
              </w:rPr>
            </w:pPr>
            <w:r>
              <w:rPr>
                <w:color w:val="231F20"/>
                <w:w w:val="66"/>
                <w:sz w:val="14"/>
              </w:rPr>
              <w:t> </w:t>
            </w:r>
            <w:r>
              <w:rPr>
                <w:color w:val="231F20"/>
                <w:sz w:val="14"/>
              </w:rPr>
              <w:t>– Неразвијена туристичка инфраструк- тура, информативни систем и сигнали- зација</w:t>
            </w:r>
          </w:p>
          <w:p>
            <w:pPr>
              <w:pStyle w:val="TableParagraph"/>
              <w:spacing w:before="0"/>
              <w:ind w:left="56" w:right="44"/>
              <w:jc w:val="both"/>
              <w:rPr>
                <w:sz w:val="14"/>
              </w:rPr>
            </w:pPr>
            <w:r>
              <w:rPr>
                <w:color w:val="231F20"/>
                <w:w w:val="66"/>
                <w:sz w:val="14"/>
              </w:rPr>
              <w:t> </w:t>
            </w:r>
            <w:r>
              <w:rPr>
                <w:color w:val="231F20"/>
                <w:sz w:val="14"/>
              </w:rPr>
              <w:t>– Недовољно инвестирање у приватизо- ваним хотелима и слаба туристичка ди- версификација</w:t>
            </w:r>
          </w:p>
          <w:p>
            <w:pPr>
              <w:pStyle w:val="TableParagraph"/>
              <w:spacing w:line="237" w:lineRule="auto" w:before="0"/>
              <w:ind w:left="56" w:right="44"/>
              <w:jc w:val="both"/>
              <w:rPr>
                <w:sz w:val="14"/>
              </w:rPr>
            </w:pPr>
            <w:r>
              <w:rPr>
                <w:color w:val="231F20"/>
                <w:w w:val="66"/>
                <w:sz w:val="14"/>
              </w:rPr>
              <w:t> </w:t>
            </w:r>
            <w:r>
              <w:rPr>
                <w:color w:val="231F20"/>
                <w:sz w:val="14"/>
              </w:rPr>
              <w:t>–</w:t>
            </w:r>
            <w:r>
              <w:rPr>
                <w:color w:val="231F20"/>
                <w:spacing w:val="-10"/>
                <w:sz w:val="14"/>
              </w:rPr>
              <w:t> </w:t>
            </w:r>
            <w:r>
              <w:rPr>
                <w:color w:val="231F20"/>
                <w:sz w:val="14"/>
              </w:rPr>
              <w:t>Недовољна</w:t>
            </w:r>
            <w:r>
              <w:rPr>
                <w:color w:val="231F20"/>
                <w:spacing w:val="-10"/>
                <w:sz w:val="14"/>
              </w:rPr>
              <w:t> </w:t>
            </w:r>
            <w:r>
              <w:rPr>
                <w:color w:val="231F20"/>
                <w:sz w:val="14"/>
              </w:rPr>
              <w:t>сарадња</w:t>
            </w:r>
            <w:r>
              <w:rPr>
                <w:color w:val="231F20"/>
                <w:spacing w:val="-10"/>
                <w:sz w:val="14"/>
              </w:rPr>
              <w:t> </w:t>
            </w:r>
            <w:r>
              <w:rPr>
                <w:color w:val="231F20"/>
                <w:sz w:val="14"/>
              </w:rPr>
              <w:t>туристичких</w:t>
            </w:r>
            <w:r>
              <w:rPr>
                <w:color w:val="231F20"/>
                <w:spacing w:val="-10"/>
                <w:sz w:val="14"/>
              </w:rPr>
              <w:t> </w:t>
            </w:r>
            <w:r>
              <w:rPr>
                <w:color w:val="231F20"/>
                <w:sz w:val="14"/>
              </w:rPr>
              <w:t>орга- низација у регији, као и недостатак по- дршке потенцијалним  предузетницима у</w:t>
            </w:r>
            <w:r>
              <w:rPr>
                <w:color w:val="231F20"/>
                <w:spacing w:val="-1"/>
                <w:sz w:val="14"/>
              </w:rPr>
              <w:t> </w:t>
            </w:r>
            <w:r>
              <w:rPr>
                <w:color w:val="231F20"/>
                <w:sz w:val="14"/>
              </w:rPr>
              <w:t>туризму</w:t>
            </w:r>
          </w:p>
          <w:p>
            <w:pPr>
              <w:pStyle w:val="TableParagraph"/>
              <w:spacing w:line="161" w:lineRule="exact" w:before="0"/>
              <w:ind w:left="56"/>
              <w:jc w:val="both"/>
              <w:rPr>
                <w:sz w:val="14"/>
              </w:rPr>
            </w:pPr>
            <w:r>
              <w:rPr>
                <w:color w:val="231F20"/>
                <w:w w:val="66"/>
                <w:sz w:val="14"/>
              </w:rPr>
              <w:t> </w:t>
            </w:r>
            <w:r>
              <w:rPr>
                <w:color w:val="231F20"/>
                <w:sz w:val="14"/>
              </w:rPr>
              <w:t>– Неефикасан туристички маркетинг</w:t>
            </w:r>
          </w:p>
          <w:p>
            <w:pPr>
              <w:pStyle w:val="TableParagraph"/>
              <w:spacing w:before="0"/>
              <w:ind w:left="56" w:right="44"/>
              <w:jc w:val="both"/>
              <w:rPr>
                <w:sz w:val="14"/>
              </w:rPr>
            </w:pPr>
            <w:r>
              <w:rPr>
                <w:color w:val="231F20"/>
                <w:w w:val="66"/>
                <w:sz w:val="14"/>
              </w:rPr>
              <w:t> </w:t>
            </w:r>
            <w:r>
              <w:rPr>
                <w:color w:val="231F20"/>
                <w:sz w:val="14"/>
              </w:rPr>
              <w:t>– Недостатак едукованог кадра (менаџе- ра) и непознавање конкуренције и трен- дова на светском тржишту туризма</w:t>
            </w:r>
          </w:p>
          <w:p>
            <w:pPr>
              <w:pStyle w:val="TableParagraph"/>
              <w:spacing w:line="237" w:lineRule="auto" w:before="0"/>
              <w:ind w:left="56" w:right="44" w:hanging="1"/>
              <w:jc w:val="both"/>
              <w:rPr>
                <w:sz w:val="14"/>
              </w:rPr>
            </w:pPr>
            <w:r>
              <w:rPr>
                <w:color w:val="231F20"/>
                <w:w w:val="66"/>
                <w:sz w:val="14"/>
              </w:rPr>
              <w:t> </w:t>
            </w:r>
            <w:r>
              <w:rPr>
                <w:color w:val="231F20"/>
                <w:sz w:val="14"/>
              </w:rPr>
              <w:t>– Недостатак туристички профилисаних производа и брендова</w:t>
            </w:r>
          </w:p>
          <w:p>
            <w:pPr>
              <w:pStyle w:val="TableParagraph"/>
              <w:spacing w:before="0"/>
              <w:ind w:left="56" w:right="43"/>
              <w:jc w:val="both"/>
              <w:rPr>
                <w:sz w:val="14"/>
              </w:rPr>
            </w:pPr>
            <w:r>
              <w:rPr>
                <w:color w:val="231F20"/>
                <w:w w:val="66"/>
                <w:sz w:val="14"/>
              </w:rPr>
              <w:t> </w:t>
            </w:r>
            <w:r>
              <w:rPr>
                <w:color w:val="231F20"/>
                <w:sz w:val="14"/>
              </w:rPr>
              <w:t>– Недостатак фондова за финансирање пројеката</w:t>
            </w:r>
          </w:p>
        </w:tc>
      </w:tr>
      <w:tr>
        <w:trPr>
          <w:trHeight w:val="200" w:hRule="atLeast"/>
        </w:trPr>
        <w:tc>
          <w:tcPr>
            <w:tcW w:w="2551" w:type="dxa"/>
          </w:tcPr>
          <w:p>
            <w:pPr>
              <w:pStyle w:val="TableParagraph"/>
              <w:spacing w:before="19"/>
              <w:ind w:left="722" w:right="712"/>
              <w:jc w:val="center"/>
              <w:rPr>
                <w:sz w:val="14"/>
              </w:rPr>
            </w:pPr>
            <w:r>
              <w:rPr>
                <w:color w:val="231F20"/>
                <w:sz w:val="14"/>
              </w:rPr>
              <w:t>МОГУЋНОСТИ</w:t>
            </w:r>
          </w:p>
        </w:tc>
        <w:tc>
          <w:tcPr>
            <w:tcW w:w="2551" w:type="dxa"/>
          </w:tcPr>
          <w:p>
            <w:pPr>
              <w:pStyle w:val="TableParagraph"/>
              <w:spacing w:before="19"/>
              <w:ind w:left="722" w:right="712"/>
              <w:jc w:val="center"/>
              <w:rPr>
                <w:sz w:val="14"/>
              </w:rPr>
            </w:pPr>
            <w:r>
              <w:rPr>
                <w:color w:val="231F20"/>
                <w:sz w:val="14"/>
              </w:rPr>
              <w:t>ПРЕТЊЕ</w:t>
            </w:r>
          </w:p>
        </w:tc>
      </w:tr>
      <w:tr>
        <w:trPr>
          <w:trHeight w:val="4200" w:hRule="atLeast"/>
        </w:trPr>
        <w:tc>
          <w:tcPr>
            <w:tcW w:w="2551" w:type="dxa"/>
          </w:tcPr>
          <w:p>
            <w:pPr>
              <w:pStyle w:val="TableParagraph"/>
              <w:spacing w:line="161" w:lineRule="exact" w:before="19"/>
              <w:ind w:left="56"/>
              <w:jc w:val="left"/>
              <w:rPr>
                <w:sz w:val="14"/>
              </w:rPr>
            </w:pPr>
            <w:r>
              <w:rPr>
                <w:color w:val="231F20"/>
                <w:w w:val="66"/>
                <w:sz w:val="14"/>
              </w:rPr>
              <w:t> </w:t>
            </w:r>
            <w:r>
              <w:rPr>
                <w:color w:val="231F20"/>
                <w:sz w:val="14"/>
              </w:rPr>
              <w:t>– Реализација предвиђених пројеката</w:t>
            </w:r>
          </w:p>
          <w:p>
            <w:pPr>
              <w:pStyle w:val="TableParagraph"/>
              <w:spacing w:before="0"/>
              <w:ind w:left="56" w:right="44" w:hanging="1"/>
              <w:jc w:val="both"/>
              <w:rPr>
                <w:sz w:val="14"/>
              </w:rPr>
            </w:pPr>
            <w:r>
              <w:rPr>
                <w:color w:val="231F20"/>
                <w:w w:val="66"/>
                <w:sz w:val="14"/>
              </w:rPr>
              <w:t> </w:t>
            </w:r>
            <w:r>
              <w:rPr>
                <w:color w:val="231F20"/>
                <w:sz w:val="14"/>
              </w:rPr>
              <w:t>–</w:t>
            </w:r>
            <w:r>
              <w:rPr>
                <w:color w:val="231F20"/>
                <w:spacing w:val="-14"/>
                <w:sz w:val="14"/>
              </w:rPr>
              <w:t> </w:t>
            </w:r>
            <w:r>
              <w:rPr>
                <w:color w:val="231F20"/>
                <w:sz w:val="14"/>
              </w:rPr>
              <w:t>Промене</w:t>
            </w:r>
            <w:r>
              <w:rPr>
                <w:color w:val="231F20"/>
                <w:spacing w:val="-14"/>
                <w:sz w:val="14"/>
              </w:rPr>
              <w:t> </w:t>
            </w:r>
            <w:r>
              <w:rPr>
                <w:color w:val="231F20"/>
                <w:sz w:val="14"/>
              </w:rPr>
              <w:t>структуре</w:t>
            </w:r>
            <w:r>
              <w:rPr>
                <w:color w:val="231F20"/>
                <w:spacing w:val="-14"/>
                <w:sz w:val="14"/>
              </w:rPr>
              <w:t> </w:t>
            </w:r>
            <w:r>
              <w:rPr>
                <w:color w:val="231F20"/>
                <w:sz w:val="14"/>
              </w:rPr>
              <w:t>туристичке</w:t>
            </w:r>
            <w:r>
              <w:rPr>
                <w:color w:val="231F20"/>
                <w:spacing w:val="-14"/>
                <w:sz w:val="14"/>
              </w:rPr>
              <w:t> </w:t>
            </w:r>
            <w:r>
              <w:rPr>
                <w:color w:val="231F20"/>
                <w:sz w:val="14"/>
              </w:rPr>
              <w:t>тражње у свету и јачање тзв. „алтернативних” облика</w:t>
            </w:r>
            <w:r>
              <w:rPr>
                <w:color w:val="231F20"/>
                <w:spacing w:val="-1"/>
                <w:sz w:val="14"/>
              </w:rPr>
              <w:t> </w:t>
            </w:r>
            <w:r>
              <w:rPr>
                <w:color w:val="231F20"/>
                <w:sz w:val="14"/>
              </w:rPr>
              <w:t>туризма</w:t>
            </w:r>
          </w:p>
          <w:p>
            <w:pPr>
              <w:pStyle w:val="TableParagraph"/>
              <w:spacing w:line="158" w:lineRule="exact" w:before="0"/>
              <w:ind w:left="56"/>
              <w:jc w:val="left"/>
              <w:rPr>
                <w:sz w:val="14"/>
              </w:rPr>
            </w:pPr>
            <w:r>
              <w:rPr>
                <w:color w:val="231F20"/>
                <w:w w:val="66"/>
                <w:sz w:val="14"/>
              </w:rPr>
              <w:t> </w:t>
            </w:r>
            <w:r>
              <w:rPr>
                <w:color w:val="231F20"/>
                <w:sz w:val="14"/>
              </w:rPr>
              <w:t>– Даљи развој имиџа и брендирања тзв.</w:t>
            </w:r>
          </w:p>
          <w:p>
            <w:pPr>
              <w:pStyle w:val="TableParagraph"/>
              <w:spacing w:line="160" w:lineRule="exact" w:before="0"/>
              <w:ind w:left="56"/>
              <w:jc w:val="left"/>
              <w:rPr>
                <w:sz w:val="14"/>
              </w:rPr>
            </w:pPr>
            <w:r>
              <w:rPr>
                <w:color w:val="231F20"/>
                <w:sz w:val="14"/>
              </w:rPr>
              <w:t>„културно-историјског” туризма</w:t>
            </w:r>
          </w:p>
          <w:p>
            <w:pPr>
              <w:pStyle w:val="TableParagraph"/>
              <w:spacing w:before="0"/>
              <w:ind w:left="56" w:right="44"/>
              <w:jc w:val="both"/>
              <w:rPr>
                <w:sz w:val="14"/>
              </w:rPr>
            </w:pPr>
            <w:r>
              <w:rPr>
                <w:color w:val="231F20"/>
                <w:w w:val="66"/>
                <w:sz w:val="14"/>
              </w:rPr>
              <w:t> </w:t>
            </w:r>
            <w:r>
              <w:rPr>
                <w:color w:val="231F20"/>
                <w:sz w:val="14"/>
              </w:rPr>
              <w:t>– Стварање нових туристичких тржи- шних производа за различите циљне групе</w:t>
            </w:r>
          </w:p>
          <w:p>
            <w:pPr>
              <w:pStyle w:val="TableParagraph"/>
              <w:spacing w:line="237" w:lineRule="auto" w:before="0"/>
              <w:ind w:left="57" w:right="43" w:hanging="1"/>
              <w:jc w:val="both"/>
              <w:rPr>
                <w:sz w:val="14"/>
              </w:rPr>
            </w:pPr>
            <w:r>
              <w:rPr>
                <w:color w:val="231F20"/>
                <w:w w:val="66"/>
                <w:sz w:val="14"/>
              </w:rPr>
              <w:t> </w:t>
            </w:r>
            <w:r>
              <w:rPr>
                <w:color w:val="231F20"/>
                <w:sz w:val="14"/>
              </w:rPr>
              <w:t>–</w:t>
            </w:r>
            <w:r>
              <w:rPr>
                <w:color w:val="231F20"/>
                <w:spacing w:val="-13"/>
                <w:sz w:val="14"/>
              </w:rPr>
              <w:t> </w:t>
            </w:r>
            <w:r>
              <w:rPr>
                <w:color w:val="231F20"/>
                <w:sz w:val="14"/>
              </w:rPr>
              <w:t>Формирање</w:t>
            </w:r>
            <w:r>
              <w:rPr>
                <w:color w:val="231F20"/>
                <w:spacing w:val="-13"/>
                <w:sz w:val="14"/>
              </w:rPr>
              <w:t> </w:t>
            </w:r>
            <w:r>
              <w:rPr>
                <w:color w:val="231F20"/>
                <w:sz w:val="14"/>
              </w:rPr>
              <w:t>саобраћајних</w:t>
            </w:r>
            <w:r>
              <w:rPr>
                <w:color w:val="231F20"/>
                <w:spacing w:val="-13"/>
                <w:sz w:val="14"/>
              </w:rPr>
              <w:t> </w:t>
            </w:r>
            <w:r>
              <w:rPr>
                <w:color w:val="231F20"/>
                <w:sz w:val="14"/>
              </w:rPr>
              <w:t>коридора</w:t>
            </w:r>
            <w:r>
              <w:rPr>
                <w:color w:val="231F20"/>
                <w:spacing w:val="-13"/>
                <w:sz w:val="14"/>
              </w:rPr>
              <w:t> </w:t>
            </w:r>
            <w:r>
              <w:rPr>
                <w:color w:val="231F20"/>
                <w:sz w:val="14"/>
              </w:rPr>
              <w:t>по- ред десне обале Дунава и Пожаревца до Костолца</w:t>
            </w:r>
          </w:p>
          <w:p>
            <w:pPr>
              <w:pStyle w:val="TableParagraph"/>
              <w:spacing w:before="0"/>
              <w:ind w:left="57" w:right="43"/>
              <w:jc w:val="both"/>
              <w:rPr>
                <w:sz w:val="14"/>
              </w:rPr>
            </w:pPr>
            <w:r>
              <w:rPr>
                <w:color w:val="231F20"/>
                <w:w w:val="66"/>
                <w:sz w:val="14"/>
              </w:rPr>
              <w:t> </w:t>
            </w:r>
            <w:r>
              <w:rPr>
                <w:color w:val="231F20"/>
                <w:sz w:val="14"/>
              </w:rPr>
              <w:t>–</w:t>
            </w:r>
            <w:r>
              <w:rPr>
                <w:color w:val="231F20"/>
                <w:spacing w:val="-9"/>
                <w:sz w:val="14"/>
              </w:rPr>
              <w:t> </w:t>
            </w:r>
            <w:r>
              <w:rPr>
                <w:color w:val="231F20"/>
                <w:sz w:val="14"/>
              </w:rPr>
              <w:t>Даља</w:t>
            </w:r>
            <w:r>
              <w:rPr>
                <w:color w:val="231F20"/>
                <w:spacing w:val="-9"/>
                <w:sz w:val="14"/>
              </w:rPr>
              <w:t> </w:t>
            </w:r>
            <w:r>
              <w:rPr>
                <w:color w:val="231F20"/>
                <w:sz w:val="14"/>
              </w:rPr>
              <w:t>професионализација</w:t>
            </w:r>
            <w:r>
              <w:rPr>
                <w:color w:val="231F20"/>
                <w:spacing w:val="-9"/>
                <w:sz w:val="14"/>
              </w:rPr>
              <w:t> </w:t>
            </w:r>
            <w:r>
              <w:rPr>
                <w:color w:val="231F20"/>
                <w:sz w:val="14"/>
              </w:rPr>
              <w:t>и</w:t>
            </w:r>
            <w:r>
              <w:rPr>
                <w:color w:val="231F20"/>
                <w:spacing w:val="-9"/>
                <w:sz w:val="14"/>
              </w:rPr>
              <w:t> </w:t>
            </w:r>
            <w:r>
              <w:rPr>
                <w:color w:val="231F20"/>
                <w:sz w:val="14"/>
              </w:rPr>
              <w:t>побољша- ње квалитета рада туристичких органи- зација, уз донаторску помоћ и размену искуства</w:t>
            </w:r>
          </w:p>
          <w:p>
            <w:pPr>
              <w:pStyle w:val="TableParagraph"/>
              <w:spacing w:line="237" w:lineRule="auto" w:before="0"/>
              <w:ind w:left="57" w:right="43"/>
              <w:jc w:val="both"/>
              <w:rPr>
                <w:sz w:val="14"/>
              </w:rPr>
            </w:pPr>
            <w:r>
              <w:rPr>
                <w:color w:val="231F20"/>
                <w:w w:val="66"/>
                <w:sz w:val="14"/>
              </w:rPr>
              <w:t> </w:t>
            </w:r>
            <w:r>
              <w:rPr>
                <w:color w:val="231F20"/>
                <w:sz w:val="14"/>
              </w:rPr>
              <w:t>– Коришћење искустава конкурентних туристичких дестинација из окружења</w:t>
            </w:r>
          </w:p>
          <w:p>
            <w:pPr>
              <w:pStyle w:val="TableParagraph"/>
              <w:spacing w:before="0"/>
              <w:ind w:left="57" w:right="44"/>
              <w:jc w:val="both"/>
              <w:rPr>
                <w:sz w:val="14"/>
              </w:rPr>
            </w:pPr>
            <w:r>
              <w:rPr>
                <w:color w:val="231F20"/>
                <w:w w:val="66"/>
                <w:sz w:val="14"/>
              </w:rPr>
              <w:t> </w:t>
            </w:r>
            <w:r>
              <w:rPr>
                <w:color w:val="231F20"/>
                <w:sz w:val="14"/>
              </w:rPr>
              <w:t>– Јачање прекограничне сарадње са Ру- мунијом и ЕУ</w:t>
            </w:r>
          </w:p>
          <w:p>
            <w:pPr>
              <w:pStyle w:val="TableParagraph"/>
              <w:spacing w:before="0"/>
              <w:ind w:left="57" w:right="44" w:hanging="1"/>
              <w:jc w:val="both"/>
              <w:rPr>
                <w:sz w:val="14"/>
              </w:rPr>
            </w:pPr>
            <w:r>
              <w:rPr>
                <w:color w:val="231F20"/>
                <w:w w:val="66"/>
                <w:sz w:val="14"/>
              </w:rPr>
              <w:t> </w:t>
            </w:r>
            <w:r>
              <w:rPr>
                <w:color w:val="231F20"/>
                <w:sz w:val="14"/>
              </w:rPr>
              <w:t>– Коришћење ЕУ фондова и НИП-а за развој туризма</w:t>
            </w:r>
          </w:p>
          <w:p>
            <w:pPr>
              <w:pStyle w:val="TableParagraph"/>
              <w:spacing w:before="0"/>
              <w:ind w:left="57" w:right="43" w:hanging="1"/>
              <w:jc w:val="both"/>
              <w:rPr>
                <w:sz w:val="14"/>
              </w:rPr>
            </w:pPr>
            <w:r>
              <w:rPr>
                <w:color w:val="231F20"/>
                <w:w w:val="66"/>
                <w:sz w:val="14"/>
              </w:rPr>
              <w:t> </w:t>
            </w:r>
            <w:r>
              <w:rPr>
                <w:color w:val="231F20"/>
                <w:sz w:val="14"/>
              </w:rPr>
              <w:t>– Отварање граничних прелаза са сусед- ним земљама</w:t>
            </w:r>
          </w:p>
          <w:p>
            <w:pPr>
              <w:pStyle w:val="TableParagraph"/>
              <w:spacing w:line="159" w:lineRule="exact" w:before="0"/>
              <w:ind w:left="57"/>
              <w:jc w:val="both"/>
              <w:rPr>
                <w:sz w:val="14"/>
              </w:rPr>
            </w:pPr>
            <w:r>
              <w:rPr>
                <w:color w:val="231F20"/>
                <w:w w:val="66"/>
                <w:sz w:val="14"/>
              </w:rPr>
              <w:t> </w:t>
            </w:r>
            <w:r>
              <w:rPr>
                <w:color w:val="231F20"/>
                <w:sz w:val="14"/>
              </w:rPr>
              <w:t>– </w:t>
            </w:r>
            <w:r>
              <w:rPr>
                <w:color w:val="231F20"/>
                <w:spacing w:val="-4"/>
                <w:sz w:val="14"/>
              </w:rPr>
              <w:t>Категоризација </w:t>
            </w:r>
            <w:r>
              <w:rPr>
                <w:color w:val="231F20"/>
                <w:sz w:val="14"/>
              </w:rPr>
              <w:t>и </w:t>
            </w:r>
            <w:r>
              <w:rPr>
                <w:color w:val="231F20"/>
                <w:spacing w:val="-3"/>
                <w:sz w:val="14"/>
              </w:rPr>
              <w:t>примена стандарда </w:t>
            </w:r>
            <w:r>
              <w:rPr>
                <w:color w:val="231F20"/>
                <w:sz w:val="14"/>
              </w:rPr>
              <w:t>ЕУ</w:t>
            </w:r>
          </w:p>
          <w:p>
            <w:pPr>
              <w:pStyle w:val="TableParagraph"/>
              <w:spacing w:line="161" w:lineRule="exact" w:before="0"/>
              <w:ind w:left="57"/>
              <w:jc w:val="both"/>
              <w:rPr>
                <w:sz w:val="14"/>
              </w:rPr>
            </w:pPr>
            <w:r>
              <w:rPr>
                <w:color w:val="231F20"/>
                <w:w w:val="66"/>
                <w:sz w:val="14"/>
              </w:rPr>
              <w:t> </w:t>
            </w:r>
            <w:r>
              <w:rPr>
                <w:color w:val="231F20"/>
                <w:sz w:val="14"/>
              </w:rPr>
              <w:t>– </w:t>
            </w:r>
            <w:r>
              <w:rPr>
                <w:color w:val="231F20"/>
                <w:spacing w:val="-3"/>
                <w:sz w:val="14"/>
              </w:rPr>
              <w:t>Боље </w:t>
            </w:r>
            <w:r>
              <w:rPr>
                <w:color w:val="231F20"/>
                <w:spacing w:val="-4"/>
                <w:sz w:val="14"/>
              </w:rPr>
              <w:t>коришћење </w:t>
            </w:r>
            <w:r>
              <w:rPr>
                <w:color w:val="231F20"/>
                <w:spacing w:val="-3"/>
                <w:sz w:val="14"/>
              </w:rPr>
              <w:t>потенцијала дијаспоре</w:t>
            </w:r>
          </w:p>
        </w:tc>
        <w:tc>
          <w:tcPr>
            <w:tcW w:w="2551" w:type="dxa"/>
          </w:tcPr>
          <w:p>
            <w:pPr>
              <w:pStyle w:val="TableParagraph"/>
              <w:spacing w:before="19"/>
              <w:ind w:left="57" w:right="43"/>
              <w:jc w:val="both"/>
              <w:rPr>
                <w:sz w:val="14"/>
              </w:rPr>
            </w:pPr>
            <w:r>
              <w:rPr>
                <w:color w:val="231F20"/>
                <w:w w:val="66"/>
                <w:sz w:val="14"/>
              </w:rPr>
              <w:t> </w:t>
            </w:r>
            <w:r>
              <w:rPr>
                <w:color w:val="231F20"/>
                <w:sz w:val="14"/>
              </w:rPr>
              <w:t>– Наставак домаће и глобалне кризе и слабљење туристичке тражње</w:t>
            </w:r>
          </w:p>
          <w:p>
            <w:pPr>
              <w:pStyle w:val="TableParagraph"/>
              <w:spacing w:before="0"/>
              <w:ind w:left="57" w:right="43" w:hanging="1"/>
              <w:jc w:val="both"/>
              <w:rPr>
                <w:sz w:val="14"/>
              </w:rPr>
            </w:pPr>
            <w:r>
              <w:rPr>
                <w:color w:val="231F20"/>
                <w:w w:val="66"/>
                <w:sz w:val="14"/>
              </w:rPr>
              <w:t> </w:t>
            </w:r>
            <w:r>
              <w:rPr>
                <w:color w:val="231F20"/>
                <w:sz w:val="14"/>
              </w:rPr>
              <w:t>– Недовољна сарадња са републичким органима у дефинисању стратешких оп- ција у туризму</w:t>
            </w:r>
          </w:p>
          <w:p>
            <w:pPr>
              <w:pStyle w:val="TableParagraph"/>
              <w:spacing w:line="237" w:lineRule="auto" w:before="0"/>
              <w:ind w:left="57" w:right="43" w:hanging="1"/>
              <w:jc w:val="both"/>
              <w:rPr>
                <w:sz w:val="14"/>
              </w:rPr>
            </w:pPr>
            <w:r>
              <w:rPr>
                <w:color w:val="231F20"/>
                <w:w w:val="66"/>
                <w:sz w:val="14"/>
              </w:rPr>
              <w:t> </w:t>
            </w:r>
            <w:r>
              <w:rPr>
                <w:color w:val="231F20"/>
                <w:sz w:val="14"/>
              </w:rPr>
              <w:t>– Недовољна брига о животном окруже- њу, уз уништавање природних ресурса (нарочито необновљивих) и запоставља- ње културног наслеђа</w:t>
            </w:r>
          </w:p>
          <w:p>
            <w:pPr>
              <w:pStyle w:val="TableParagraph"/>
              <w:spacing w:before="0"/>
              <w:ind w:left="57" w:right="42"/>
              <w:jc w:val="both"/>
              <w:rPr>
                <w:sz w:val="14"/>
              </w:rPr>
            </w:pPr>
            <w:r>
              <w:rPr>
                <w:color w:val="231F20"/>
                <w:w w:val="66"/>
                <w:sz w:val="14"/>
              </w:rPr>
              <w:t> </w:t>
            </w:r>
            <w:r>
              <w:rPr>
                <w:color w:val="231F20"/>
                <w:sz w:val="14"/>
              </w:rPr>
              <w:t>– Недостатак регионалне понуде инве- ститорима, односно, недовољно и</w:t>
            </w:r>
            <w:r>
              <w:rPr>
                <w:color w:val="231F20"/>
                <w:spacing w:val="-19"/>
                <w:sz w:val="14"/>
              </w:rPr>
              <w:t> </w:t>
            </w:r>
            <w:r>
              <w:rPr>
                <w:color w:val="231F20"/>
                <w:sz w:val="14"/>
              </w:rPr>
              <w:t>неаде- кватно информисање о свим туристич- ким атракцијама и предностима</w:t>
            </w:r>
            <w:r>
              <w:rPr>
                <w:color w:val="231F20"/>
                <w:spacing w:val="-12"/>
                <w:sz w:val="14"/>
              </w:rPr>
              <w:t> </w:t>
            </w:r>
            <w:r>
              <w:rPr>
                <w:color w:val="231F20"/>
                <w:sz w:val="14"/>
              </w:rPr>
              <w:t>региона</w:t>
            </w:r>
          </w:p>
          <w:p>
            <w:pPr>
              <w:pStyle w:val="TableParagraph"/>
              <w:spacing w:line="237" w:lineRule="auto" w:before="0"/>
              <w:ind w:left="58" w:right="42"/>
              <w:jc w:val="both"/>
              <w:rPr>
                <w:sz w:val="14"/>
              </w:rPr>
            </w:pPr>
            <w:r>
              <w:rPr>
                <w:color w:val="231F20"/>
                <w:w w:val="66"/>
                <w:sz w:val="14"/>
              </w:rPr>
              <w:t> </w:t>
            </w:r>
            <w:r>
              <w:rPr>
                <w:color w:val="231F20"/>
                <w:sz w:val="14"/>
              </w:rPr>
              <w:t>– Низак стандард становништва у Ср- бији, односно, ниска стопа потрошње у туризму</w:t>
            </w:r>
          </w:p>
          <w:p>
            <w:pPr>
              <w:pStyle w:val="TableParagraph"/>
              <w:spacing w:before="0"/>
              <w:ind w:left="58" w:right="42" w:hanging="1"/>
              <w:jc w:val="both"/>
              <w:rPr>
                <w:sz w:val="14"/>
              </w:rPr>
            </w:pPr>
            <w:r>
              <w:rPr>
                <w:color w:val="231F20"/>
                <w:w w:val="66"/>
                <w:sz w:val="14"/>
              </w:rPr>
              <w:t> </w:t>
            </w:r>
            <w:r>
              <w:rPr>
                <w:color w:val="231F20"/>
                <w:sz w:val="14"/>
              </w:rPr>
              <w:t>– Заобилажење региона у великим др- жавним инфраструктурним пројектима</w:t>
            </w:r>
          </w:p>
          <w:p>
            <w:pPr>
              <w:pStyle w:val="TableParagraph"/>
              <w:spacing w:before="0"/>
              <w:ind w:left="58" w:right="42"/>
              <w:jc w:val="both"/>
              <w:rPr>
                <w:sz w:val="14"/>
              </w:rPr>
            </w:pPr>
            <w:r>
              <w:rPr>
                <w:color w:val="231F20"/>
                <w:w w:val="66"/>
                <w:sz w:val="14"/>
              </w:rPr>
              <w:t> </w:t>
            </w:r>
            <w:r>
              <w:rPr>
                <w:color w:val="231F20"/>
                <w:sz w:val="14"/>
              </w:rPr>
              <w:t>– Конкуренција других туристичких ре- гиона у Србији и ширем простору (Југо- источној Европи)</w:t>
            </w:r>
          </w:p>
          <w:p>
            <w:pPr>
              <w:pStyle w:val="TableParagraph"/>
              <w:spacing w:line="237" w:lineRule="auto" w:before="0"/>
              <w:ind w:left="58" w:right="43"/>
              <w:jc w:val="both"/>
              <w:rPr>
                <w:sz w:val="14"/>
              </w:rPr>
            </w:pPr>
            <w:r>
              <w:rPr>
                <w:color w:val="231F20"/>
                <w:w w:val="66"/>
                <w:sz w:val="14"/>
              </w:rPr>
              <w:t> </w:t>
            </w:r>
            <w:r>
              <w:rPr>
                <w:color w:val="231F20"/>
                <w:sz w:val="14"/>
              </w:rPr>
              <w:t>– Суспендовање или укидање визног режима за ЕУ</w:t>
            </w:r>
          </w:p>
        </w:tc>
      </w:tr>
    </w:tbl>
    <w:p>
      <w:pPr>
        <w:pStyle w:val="BodyText"/>
        <w:ind w:left="0"/>
        <w:jc w:val="left"/>
      </w:pPr>
    </w:p>
    <w:p>
      <w:pPr>
        <w:pStyle w:val="BodyText"/>
        <w:spacing w:line="232" w:lineRule="auto"/>
        <w:ind w:left="522" w:right="764"/>
        <w:jc w:val="center"/>
      </w:pPr>
      <w:r>
        <w:rPr>
          <w:color w:val="231F20"/>
        </w:rPr>
        <w:t>Становништво, образовање, здравље, социјална питања, запошљавање и друго</w:t>
      </w:r>
    </w:p>
    <w:p>
      <w:pPr>
        <w:spacing w:after="0" w:line="232" w:lineRule="auto"/>
        <w:jc w:val="center"/>
        <w:sectPr>
          <w:type w:val="continuous"/>
          <w:pgSz w:w="12480" w:h="15690"/>
          <w:pgMar w:top="880" w:bottom="280" w:left="680" w:right="720"/>
          <w:cols w:num="2" w:equalWidth="0">
            <w:col w:w="5328" w:space="58"/>
            <w:col w:w="5694"/>
          </w:cols>
        </w:sectPr>
      </w:pPr>
    </w:p>
    <w:p>
      <w:pPr>
        <w:pStyle w:val="BodyText"/>
        <w:ind w:left="0"/>
        <w:jc w:val="left"/>
        <w:rPr>
          <w:sz w:val="21"/>
        </w:rPr>
      </w:pPr>
      <w:r>
        <w:rPr/>
        <w:pict>
          <v:line style="position:absolute;mso-position-horizontal-relative:page;mso-position-vertical-relative:page;z-index:1840" from="304.724396pt,11.942451pt" to="304.724396pt,748.950451pt" stroked="true" strokeweight=".6pt" strokecolor="#231f20">
            <v:stroke dashstyle="solid"/>
            <w10:wrap type="none"/>
          </v:line>
        </w:pict>
      </w:r>
    </w:p>
    <w:tbl>
      <w:tblPr>
        <w:tblW w:w="0" w:type="auto"/>
        <w:jc w:val="left"/>
        <w:tblInd w:w="5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2600" w:hRule="atLeast"/>
        </w:trPr>
        <w:tc>
          <w:tcPr>
            <w:tcW w:w="2551" w:type="dxa"/>
          </w:tcPr>
          <w:p>
            <w:pPr>
              <w:pStyle w:val="TableParagraph"/>
              <w:ind w:left="56" w:right="44"/>
              <w:jc w:val="both"/>
              <w:rPr>
                <w:sz w:val="14"/>
              </w:rPr>
            </w:pPr>
            <w:r>
              <w:rPr>
                <w:color w:val="231F20"/>
                <w:w w:val="66"/>
                <w:sz w:val="14"/>
              </w:rPr>
              <w:t> </w:t>
            </w:r>
            <w:r>
              <w:rPr>
                <w:color w:val="231F20"/>
                <w:sz w:val="14"/>
              </w:rPr>
              <w:t>– Развијена мрежа предшколских уста- нова, која се може проширивати заку- пљивањем одговарајућих простора и решавати садашњи дефицит у пред- школском смештају</w:t>
            </w:r>
          </w:p>
          <w:p>
            <w:pPr>
              <w:pStyle w:val="TableParagraph"/>
              <w:spacing w:line="237" w:lineRule="auto" w:before="0"/>
              <w:ind w:left="56" w:right="44"/>
              <w:jc w:val="both"/>
              <w:rPr>
                <w:sz w:val="14"/>
              </w:rPr>
            </w:pPr>
            <w:r>
              <w:rPr>
                <w:color w:val="231F20"/>
                <w:w w:val="66"/>
                <w:sz w:val="14"/>
              </w:rPr>
              <w:t> </w:t>
            </w:r>
            <w:r>
              <w:rPr>
                <w:color w:val="231F20"/>
                <w:sz w:val="14"/>
              </w:rPr>
              <w:t>– Развијена мрежа објеката основног образовања, релативно добро опремље- них и доступних</w:t>
            </w:r>
          </w:p>
          <w:p>
            <w:pPr>
              <w:pStyle w:val="TableParagraph"/>
              <w:spacing w:before="0"/>
              <w:ind w:left="56" w:right="44"/>
              <w:jc w:val="both"/>
              <w:rPr>
                <w:sz w:val="14"/>
              </w:rPr>
            </w:pPr>
            <w:r>
              <w:rPr>
                <w:color w:val="231F20"/>
                <w:w w:val="66"/>
                <w:sz w:val="14"/>
              </w:rPr>
              <w:t> </w:t>
            </w:r>
            <w:r>
              <w:rPr>
                <w:color w:val="231F20"/>
                <w:sz w:val="14"/>
              </w:rPr>
              <w:t>–</w:t>
            </w:r>
            <w:r>
              <w:rPr>
                <w:color w:val="231F20"/>
                <w:spacing w:val="-7"/>
                <w:sz w:val="14"/>
              </w:rPr>
              <w:t> </w:t>
            </w:r>
            <w:r>
              <w:rPr>
                <w:color w:val="231F20"/>
                <w:sz w:val="14"/>
              </w:rPr>
              <w:t>Добра</w:t>
            </w:r>
            <w:r>
              <w:rPr>
                <w:color w:val="231F20"/>
                <w:spacing w:val="-7"/>
                <w:sz w:val="14"/>
              </w:rPr>
              <w:t> </w:t>
            </w:r>
            <w:r>
              <w:rPr>
                <w:color w:val="231F20"/>
                <w:sz w:val="14"/>
              </w:rPr>
              <w:t>мрежа</w:t>
            </w:r>
            <w:r>
              <w:rPr>
                <w:color w:val="231F20"/>
                <w:spacing w:val="-7"/>
                <w:sz w:val="14"/>
              </w:rPr>
              <w:t> </w:t>
            </w:r>
            <w:r>
              <w:rPr>
                <w:color w:val="231F20"/>
                <w:sz w:val="14"/>
              </w:rPr>
              <w:t>средњих</w:t>
            </w:r>
            <w:r>
              <w:rPr>
                <w:color w:val="231F20"/>
                <w:spacing w:val="-7"/>
                <w:sz w:val="14"/>
              </w:rPr>
              <w:t> </w:t>
            </w:r>
            <w:r>
              <w:rPr>
                <w:color w:val="231F20"/>
                <w:spacing w:val="-3"/>
                <w:sz w:val="14"/>
              </w:rPr>
              <w:t>школа,</w:t>
            </w:r>
            <w:r>
              <w:rPr>
                <w:color w:val="231F20"/>
                <w:spacing w:val="-7"/>
                <w:sz w:val="14"/>
              </w:rPr>
              <w:t> </w:t>
            </w:r>
            <w:r>
              <w:rPr>
                <w:color w:val="231F20"/>
                <w:sz w:val="14"/>
              </w:rPr>
              <w:t>са</w:t>
            </w:r>
            <w:r>
              <w:rPr>
                <w:color w:val="231F20"/>
                <w:spacing w:val="-7"/>
                <w:sz w:val="14"/>
              </w:rPr>
              <w:t> </w:t>
            </w:r>
            <w:r>
              <w:rPr>
                <w:color w:val="231F20"/>
                <w:sz w:val="14"/>
              </w:rPr>
              <w:t>разно- врсном </w:t>
            </w:r>
            <w:r>
              <w:rPr>
                <w:color w:val="231F20"/>
                <w:spacing w:val="-3"/>
                <w:sz w:val="14"/>
              </w:rPr>
              <w:t>понудом </w:t>
            </w:r>
            <w:r>
              <w:rPr>
                <w:color w:val="231F20"/>
                <w:sz w:val="14"/>
              </w:rPr>
              <w:t>образовних</w:t>
            </w:r>
            <w:r>
              <w:rPr>
                <w:color w:val="231F20"/>
                <w:spacing w:val="-1"/>
                <w:sz w:val="14"/>
              </w:rPr>
              <w:t> </w:t>
            </w:r>
            <w:r>
              <w:rPr>
                <w:color w:val="231F20"/>
                <w:sz w:val="14"/>
              </w:rPr>
              <w:t>профила</w:t>
            </w:r>
          </w:p>
          <w:p>
            <w:pPr>
              <w:pStyle w:val="TableParagraph"/>
              <w:spacing w:before="0"/>
              <w:ind w:left="56" w:right="44"/>
              <w:jc w:val="both"/>
              <w:rPr>
                <w:sz w:val="14"/>
              </w:rPr>
            </w:pPr>
            <w:r>
              <w:rPr>
                <w:color w:val="231F20"/>
                <w:w w:val="66"/>
                <w:sz w:val="14"/>
              </w:rPr>
              <w:t> </w:t>
            </w:r>
            <w:r>
              <w:rPr>
                <w:color w:val="231F20"/>
                <w:sz w:val="14"/>
              </w:rPr>
              <w:t>– Релативно висок ниво доступности и опремљености објеката здравствених услуга</w:t>
            </w:r>
          </w:p>
          <w:p>
            <w:pPr>
              <w:pStyle w:val="TableParagraph"/>
              <w:spacing w:line="237" w:lineRule="auto" w:before="0"/>
              <w:ind w:left="56" w:right="44"/>
              <w:jc w:val="both"/>
              <w:rPr>
                <w:sz w:val="14"/>
              </w:rPr>
            </w:pPr>
            <w:r>
              <w:rPr>
                <w:color w:val="231F20"/>
                <w:w w:val="66"/>
                <w:sz w:val="14"/>
              </w:rPr>
              <w:t> </w:t>
            </w:r>
            <w:r>
              <w:rPr>
                <w:color w:val="231F20"/>
                <w:sz w:val="14"/>
              </w:rPr>
              <w:t>– Искусан и квалитетан професионал- ни кадар и оспособљени и акредитова- ни специјалисти у области социјалне</w:t>
            </w:r>
          </w:p>
        </w:tc>
        <w:tc>
          <w:tcPr>
            <w:tcW w:w="2551" w:type="dxa"/>
          </w:tcPr>
          <w:p>
            <w:pPr>
              <w:pStyle w:val="TableParagraph"/>
              <w:spacing w:line="161" w:lineRule="exact"/>
              <w:ind w:left="56"/>
              <w:jc w:val="left"/>
              <w:rPr>
                <w:sz w:val="14"/>
              </w:rPr>
            </w:pPr>
            <w:r>
              <w:rPr>
                <w:color w:val="231F20"/>
                <w:w w:val="66"/>
                <w:sz w:val="14"/>
              </w:rPr>
              <w:t> </w:t>
            </w:r>
            <w:r>
              <w:rPr>
                <w:color w:val="231F20"/>
                <w:sz w:val="14"/>
              </w:rPr>
              <w:t>– Одлазак високообразовног кадра</w:t>
            </w:r>
          </w:p>
          <w:p>
            <w:pPr>
              <w:pStyle w:val="TableParagraph"/>
              <w:spacing w:before="0"/>
              <w:ind w:left="56" w:right="44" w:hanging="1"/>
              <w:jc w:val="both"/>
              <w:rPr>
                <w:sz w:val="14"/>
              </w:rPr>
            </w:pPr>
            <w:r>
              <w:rPr>
                <w:color w:val="231F20"/>
                <w:w w:val="66"/>
                <w:sz w:val="14"/>
              </w:rPr>
              <w:t> </w:t>
            </w:r>
            <w:r>
              <w:rPr>
                <w:color w:val="231F20"/>
                <w:sz w:val="14"/>
              </w:rPr>
              <w:t>– Дефицит школског простора у основ- ном образовању</w:t>
            </w:r>
          </w:p>
          <w:p>
            <w:pPr>
              <w:pStyle w:val="TableParagraph"/>
              <w:spacing w:before="0"/>
              <w:ind w:left="56" w:right="44"/>
              <w:jc w:val="both"/>
              <w:rPr>
                <w:sz w:val="14"/>
              </w:rPr>
            </w:pPr>
            <w:r>
              <w:rPr>
                <w:color w:val="231F20"/>
                <w:w w:val="66"/>
                <w:sz w:val="14"/>
              </w:rPr>
              <w:t> </w:t>
            </w:r>
            <w:r>
              <w:rPr>
                <w:color w:val="231F20"/>
                <w:sz w:val="14"/>
              </w:rPr>
              <w:t>– Ниска доступност школа средњег образовања за децу ван дневне гравита- ционе зоне</w:t>
            </w:r>
          </w:p>
          <w:p>
            <w:pPr>
              <w:pStyle w:val="TableParagraph"/>
              <w:spacing w:line="237" w:lineRule="auto" w:before="0"/>
              <w:ind w:left="56" w:right="44"/>
              <w:jc w:val="both"/>
              <w:rPr>
                <w:sz w:val="14"/>
              </w:rPr>
            </w:pPr>
            <w:r>
              <w:rPr>
                <w:color w:val="231F20"/>
                <w:w w:val="66"/>
                <w:sz w:val="14"/>
              </w:rPr>
              <w:t> </w:t>
            </w:r>
            <w:r>
              <w:rPr>
                <w:color w:val="231F20"/>
                <w:sz w:val="14"/>
              </w:rPr>
              <w:t>– Већи број сеоских насеља у којима не постоји амбуланта са сталним лекаром</w:t>
            </w:r>
          </w:p>
          <w:p>
            <w:pPr>
              <w:pStyle w:val="TableParagraph"/>
              <w:spacing w:before="0"/>
              <w:ind w:left="56" w:right="44"/>
              <w:jc w:val="both"/>
              <w:rPr>
                <w:sz w:val="14"/>
              </w:rPr>
            </w:pPr>
            <w:r>
              <w:rPr>
                <w:color w:val="231F20"/>
                <w:w w:val="66"/>
                <w:sz w:val="14"/>
              </w:rPr>
              <w:t> </w:t>
            </w:r>
            <w:r>
              <w:rPr>
                <w:color w:val="231F20"/>
                <w:sz w:val="14"/>
              </w:rPr>
              <w:t>– Недовољно разноврсно и квалитетно коришћење објеката културе и физичке културе</w:t>
            </w:r>
          </w:p>
          <w:p>
            <w:pPr>
              <w:pStyle w:val="TableParagraph"/>
              <w:spacing w:line="237" w:lineRule="auto" w:before="0"/>
              <w:ind w:left="56" w:right="44"/>
              <w:jc w:val="both"/>
              <w:rPr>
                <w:sz w:val="14"/>
              </w:rPr>
            </w:pPr>
            <w:r>
              <w:rPr>
                <w:color w:val="231F20"/>
                <w:w w:val="66"/>
                <w:sz w:val="14"/>
              </w:rPr>
              <w:t> </w:t>
            </w:r>
            <w:r>
              <w:rPr>
                <w:color w:val="231F20"/>
                <w:sz w:val="14"/>
              </w:rPr>
              <w:t>– Недовољна повезаност и укључивање свих заинтересованих страна у решава- њу проблема</w:t>
            </w:r>
          </w:p>
          <w:p>
            <w:pPr>
              <w:pStyle w:val="TableParagraph"/>
              <w:spacing w:before="0"/>
              <w:ind w:left="56" w:right="44"/>
              <w:jc w:val="both"/>
              <w:rPr>
                <w:sz w:val="14"/>
              </w:rPr>
            </w:pPr>
            <w:r>
              <w:rPr>
                <w:color w:val="231F20"/>
                <w:w w:val="66"/>
                <w:sz w:val="14"/>
              </w:rPr>
              <w:t> </w:t>
            </w:r>
            <w:r>
              <w:rPr>
                <w:color w:val="231F20"/>
                <w:sz w:val="14"/>
              </w:rPr>
              <w:t>– Инертност младих у </w:t>
            </w:r>
            <w:r>
              <w:rPr>
                <w:color w:val="231F20"/>
                <w:spacing w:val="-3"/>
                <w:sz w:val="14"/>
              </w:rPr>
              <w:t>погледу</w:t>
            </w:r>
            <w:r>
              <w:rPr>
                <w:color w:val="231F20"/>
                <w:spacing w:val="-21"/>
                <w:sz w:val="14"/>
              </w:rPr>
              <w:t> </w:t>
            </w:r>
            <w:r>
              <w:rPr>
                <w:color w:val="231F20"/>
                <w:sz w:val="14"/>
              </w:rPr>
              <w:t>запошља- вања</w:t>
            </w:r>
            <w:r>
              <w:rPr>
                <w:color w:val="231F20"/>
                <w:spacing w:val="-11"/>
                <w:sz w:val="14"/>
              </w:rPr>
              <w:t> </w:t>
            </w:r>
            <w:r>
              <w:rPr>
                <w:color w:val="231F20"/>
                <w:sz w:val="14"/>
              </w:rPr>
              <w:t>и</w:t>
            </w:r>
            <w:r>
              <w:rPr>
                <w:color w:val="231F20"/>
                <w:spacing w:val="-11"/>
                <w:sz w:val="14"/>
              </w:rPr>
              <w:t> </w:t>
            </w:r>
            <w:r>
              <w:rPr>
                <w:color w:val="231F20"/>
                <w:sz w:val="14"/>
              </w:rPr>
              <w:t>укључивања</w:t>
            </w:r>
            <w:r>
              <w:rPr>
                <w:color w:val="231F20"/>
                <w:spacing w:val="-11"/>
                <w:sz w:val="14"/>
              </w:rPr>
              <w:t> </w:t>
            </w:r>
            <w:r>
              <w:rPr>
                <w:color w:val="231F20"/>
                <w:sz w:val="14"/>
              </w:rPr>
              <w:t>у</w:t>
            </w:r>
            <w:r>
              <w:rPr>
                <w:color w:val="231F20"/>
                <w:spacing w:val="-11"/>
                <w:sz w:val="14"/>
              </w:rPr>
              <w:t> </w:t>
            </w:r>
            <w:r>
              <w:rPr>
                <w:color w:val="231F20"/>
                <w:sz w:val="14"/>
              </w:rPr>
              <w:t>друштвене</w:t>
            </w:r>
            <w:r>
              <w:rPr>
                <w:color w:val="231F20"/>
                <w:spacing w:val="-11"/>
                <w:sz w:val="14"/>
              </w:rPr>
              <w:t> </w:t>
            </w:r>
            <w:r>
              <w:rPr>
                <w:color w:val="231F20"/>
                <w:sz w:val="14"/>
              </w:rPr>
              <w:t>процесе</w:t>
            </w:r>
          </w:p>
        </w:tc>
      </w:tr>
    </w:tbl>
    <w:p>
      <w:pPr>
        <w:spacing w:after="0"/>
        <w:jc w:val="both"/>
        <w:rPr>
          <w:sz w:val="14"/>
        </w:rPr>
        <w:sectPr>
          <w:type w:val="continuous"/>
          <w:pgSz w:w="12480" w:h="15690"/>
          <w:pgMar w:top="880" w:bottom="280" w:left="680" w:right="720"/>
        </w:sectPr>
      </w:pPr>
    </w:p>
    <w:tbl>
      <w:tblPr>
        <w:tblW w:w="0" w:type="auto"/>
        <w:jc w:val="left"/>
        <w:tblInd w:w="58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440" w:hRule="atLeast"/>
        </w:trPr>
        <w:tc>
          <w:tcPr>
            <w:tcW w:w="2551" w:type="dxa"/>
          </w:tcPr>
          <w:p>
            <w:pPr>
              <w:pStyle w:val="TableParagraph"/>
              <w:spacing w:before="9"/>
              <w:ind w:left="56" w:right="44"/>
              <w:jc w:val="both"/>
              <w:rPr>
                <w:sz w:val="14"/>
              </w:rPr>
            </w:pPr>
            <w:r>
              <w:rPr>
                <w:color w:val="231F20"/>
                <w:w w:val="66"/>
                <w:sz w:val="14"/>
              </w:rPr>
              <w:t> </w:t>
            </w:r>
            <w:r>
              <w:rPr>
                <w:color w:val="231F20"/>
                <w:sz w:val="14"/>
              </w:rPr>
              <w:t>– Веће коришћење обновљивих извора енергије (енергија из биомасе, енергија ветра, соларна енергија)</w:t>
            </w:r>
          </w:p>
          <w:p>
            <w:pPr>
              <w:pStyle w:val="TableParagraph"/>
              <w:spacing w:line="237" w:lineRule="auto" w:before="0"/>
              <w:ind w:left="56" w:right="44"/>
              <w:jc w:val="both"/>
              <w:rPr>
                <w:sz w:val="14"/>
              </w:rPr>
            </w:pPr>
            <w:r>
              <w:rPr>
                <w:color w:val="231F20"/>
                <w:w w:val="66"/>
                <w:sz w:val="14"/>
              </w:rPr>
              <w:t> </w:t>
            </w:r>
            <w:r>
              <w:rPr>
                <w:color w:val="231F20"/>
                <w:sz w:val="14"/>
              </w:rPr>
              <w:t>– Укључивање становништва у развојне процесе кроз едукацију (медијске</w:t>
            </w:r>
            <w:r>
              <w:rPr>
                <w:color w:val="231F20"/>
                <w:spacing w:val="-26"/>
                <w:sz w:val="14"/>
              </w:rPr>
              <w:t> </w:t>
            </w:r>
            <w:r>
              <w:rPr>
                <w:color w:val="231F20"/>
                <w:sz w:val="14"/>
              </w:rPr>
              <w:t>кампа- ње, јавне</w:t>
            </w:r>
            <w:r>
              <w:rPr>
                <w:color w:val="231F20"/>
                <w:spacing w:val="-3"/>
                <w:sz w:val="14"/>
              </w:rPr>
              <w:t> </w:t>
            </w:r>
            <w:r>
              <w:rPr>
                <w:color w:val="231F20"/>
                <w:sz w:val="14"/>
              </w:rPr>
              <w:t>трибине)</w:t>
            </w:r>
          </w:p>
          <w:p>
            <w:pPr>
              <w:pStyle w:val="TableParagraph"/>
              <w:spacing w:before="0"/>
              <w:ind w:left="56" w:right="44"/>
              <w:jc w:val="both"/>
              <w:rPr>
                <w:sz w:val="14"/>
              </w:rPr>
            </w:pPr>
            <w:r>
              <w:rPr>
                <w:color w:val="231F20"/>
                <w:w w:val="66"/>
                <w:sz w:val="14"/>
              </w:rPr>
              <w:t> </w:t>
            </w:r>
            <w:r>
              <w:rPr>
                <w:color w:val="231F20"/>
                <w:sz w:val="14"/>
              </w:rPr>
              <w:t>– Изградња регионалне депоније кому- налног отпада и рециклажног центра.</w:t>
            </w:r>
          </w:p>
          <w:p>
            <w:pPr>
              <w:pStyle w:val="TableParagraph"/>
              <w:spacing w:line="159" w:lineRule="exact" w:before="0"/>
              <w:ind w:left="56"/>
              <w:jc w:val="both"/>
              <w:rPr>
                <w:sz w:val="14"/>
              </w:rPr>
            </w:pPr>
            <w:r>
              <w:rPr>
                <w:color w:val="231F20"/>
                <w:w w:val="66"/>
                <w:sz w:val="14"/>
              </w:rPr>
              <w:t> </w:t>
            </w:r>
            <w:r>
              <w:rPr>
                <w:color w:val="231F20"/>
                <w:sz w:val="14"/>
              </w:rPr>
              <w:t>– Партнерство са НВО и удружењима</w:t>
            </w:r>
          </w:p>
        </w:tc>
        <w:tc>
          <w:tcPr>
            <w:tcW w:w="2551" w:type="dxa"/>
          </w:tcPr>
          <w:p>
            <w:pPr>
              <w:pStyle w:val="TableParagraph"/>
              <w:spacing w:before="9"/>
              <w:ind w:left="56" w:right="44" w:hanging="1"/>
              <w:jc w:val="both"/>
              <w:rPr>
                <w:sz w:val="14"/>
              </w:rPr>
            </w:pPr>
            <w:r>
              <w:rPr>
                <w:color w:val="231F20"/>
                <w:w w:val="66"/>
                <w:sz w:val="14"/>
              </w:rPr>
              <w:t> </w:t>
            </w:r>
            <w:r>
              <w:rPr>
                <w:color w:val="231F20"/>
                <w:sz w:val="14"/>
              </w:rPr>
              <w:t>– Угрожавање квалитета ваздуха, воде и земљишта, самим тим и здравља станов- ништва, од стране великих загађивача (ТЕ КО „Костолац” и друго.)</w:t>
            </w:r>
          </w:p>
          <w:p>
            <w:pPr>
              <w:pStyle w:val="TableParagraph"/>
              <w:spacing w:line="237" w:lineRule="auto" w:before="0"/>
              <w:ind w:left="56" w:right="44" w:hanging="1"/>
              <w:jc w:val="both"/>
              <w:rPr>
                <w:sz w:val="14"/>
              </w:rPr>
            </w:pPr>
            <w:r>
              <w:rPr>
                <w:color w:val="231F20"/>
                <w:w w:val="66"/>
                <w:sz w:val="14"/>
              </w:rPr>
              <w:t> </w:t>
            </w:r>
            <w:r>
              <w:rPr>
                <w:color w:val="231F20"/>
                <w:sz w:val="14"/>
              </w:rPr>
              <w:t>– Развој који не би био заснован на принципима и критеријумима одрживог развоја.</w:t>
            </w:r>
          </w:p>
          <w:p>
            <w:pPr>
              <w:pStyle w:val="TableParagraph"/>
              <w:spacing w:before="0"/>
              <w:ind w:left="56" w:right="44"/>
              <w:jc w:val="both"/>
              <w:rPr>
                <w:sz w:val="14"/>
              </w:rPr>
            </w:pPr>
            <w:r>
              <w:rPr>
                <w:color w:val="231F20"/>
                <w:w w:val="66"/>
                <w:sz w:val="14"/>
              </w:rPr>
              <w:t> </w:t>
            </w:r>
            <w:r>
              <w:rPr>
                <w:color w:val="231F20"/>
                <w:sz w:val="14"/>
              </w:rPr>
              <w:t>– Интензивирање пољопривредне про- изводње без поштовања стандарда о за- штити животне средине, здравља </w:t>
            </w:r>
            <w:r>
              <w:rPr>
                <w:color w:val="231F20"/>
                <w:spacing w:val="-3"/>
                <w:sz w:val="14"/>
              </w:rPr>
              <w:t>људи</w:t>
            </w:r>
            <w:r>
              <w:rPr>
                <w:color w:val="231F20"/>
                <w:spacing w:val="-21"/>
                <w:sz w:val="14"/>
              </w:rPr>
              <w:t> </w:t>
            </w:r>
            <w:r>
              <w:rPr>
                <w:color w:val="231F20"/>
                <w:sz w:val="14"/>
              </w:rPr>
              <w:t>и добробити</w:t>
            </w:r>
            <w:r>
              <w:rPr>
                <w:color w:val="231F20"/>
                <w:spacing w:val="-1"/>
                <w:sz w:val="14"/>
              </w:rPr>
              <w:t> </w:t>
            </w:r>
            <w:r>
              <w:rPr>
                <w:color w:val="231F20"/>
                <w:sz w:val="14"/>
              </w:rPr>
              <w:t>животиња</w:t>
            </w:r>
          </w:p>
          <w:p>
            <w:pPr>
              <w:pStyle w:val="TableParagraph"/>
              <w:spacing w:line="237" w:lineRule="auto" w:before="0"/>
              <w:ind w:left="56" w:right="44"/>
              <w:jc w:val="both"/>
              <w:rPr>
                <w:sz w:val="14"/>
              </w:rPr>
            </w:pPr>
            <w:r>
              <w:rPr>
                <w:color w:val="231F20"/>
                <w:w w:val="66"/>
                <w:sz w:val="14"/>
              </w:rPr>
              <w:t> </w:t>
            </w:r>
            <w:r>
              <w:rPr>
                <w:color w:val="231F20"/>
                <w:sz w:val="14"/>
              </w:rPr>
              <w:t>– Наставак прекомерне и неконтролиса- не експлоатација шљунка и песка и бес- правно изграђени објекти у инундацио- ним зонама</w:t>
            </w:r>
          </w:p>
        </w:tc>
      </w:tr>
    </w:tbl>
    <w:p>
      <w:pPr>
        <w:pStyle w:val="BodyText"/>
        <w:spacing w:before="8"/>
        <w:ind w:left="0"/>
        <w:jc w:val="left"/>
        <w:rPr>
          <w:sz w:val="8"/>
        </w:rPr>
      </w:pPr>
    </w:p>
    <w:p>
      <w:pPr>
        <w:spacing w:after="0"/>
        <w:jc w:val="left"/>
        <w:rPr>
          <w:sz w:val="8"/>
        </w:rPr>
        <w:sectPr>
          <w:pgSz w:w="12480" w:h="15690"/>
          <w:pgMar w:top="240" w:bottom="280" w:left="68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8"/>
        <w:ind w:left="0"/>
        <w:jc w:val="left"/>
        <w:rPr>
          <w:sz w:val="24"/>
        </w:rPr>
      </w:pPr>
    </w:p>
    <w:p>
      <w:pPr>
        <w:pStyle w:val="BodyText"/>
        <w:ind w:left="753"/>
        <w:jc w:val="left"/>
      </w:pPr>
      <w:r>
        <w:rPr/>
        <w:pict>
          <v:shape style="position:absolute;margin-left:56.692902pt;margin-top:-349.670074pt;width:255.9pt;height:339.6pt;mso-position-horizontal-relative:page;mso-position-vertical-relative:paragraph;z-index:193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3200" w:hRule="atLeast"/>
                    </w:trPr>
                    <w:tc>
                      <w:tcPr>
                        <w:tcW w:w="2551" w:type="dxa"/>
                      </w:tcPr>
                      <w:p>
                        <w:pPr>
                          <w:pStyle w:val="TableParagraph"/>
                          <w:spacing w:line="223" w:lineRule="auto" w:before="27"/>
                          <w:ind w:left="56" w:right="44"/>
                          <w:jc w:val="both"/>
                          <w:rPr>
                            <w:sz w:val="14"/>
                          </w:rPr>
                        </w:pPr>
                        <w:r>
                          <w:rPr>
                            <w:color w:val="231F20"/>
                            <w:sz w:val="14"/>
                          </w:rPr>
                          <w:t>заштите, добра сарадња институција со- цијалне заштите са локалним самоупра- вама, постојање Савета за социјалну по- литику и добра координација и сарадња између локалних и републичких органа</w:t>
                        </w:r>
                      </w:p>
                      <w:p>
                        <w:pPr>
                          <w:pStyle w:val="TableParagraph"/>
                          <w:spacing w:line="223" w:lineRule="auto" w:before="1"/>
                          <w:ind w:left="56" w:right="44"/>
                          <w:jc w:val="both"/>
                          <w:rPr>
                            <w:sz w:val="14"/>
                          </w:rPr>
                        </w:pPr>
                        <w:r>
                          <w:rPr>
                            <w:color w:val="231F20"/>
                            <w:w w:val="66"/>
                            <w:sz w:val="14"/>
                          </w:rPr>
                          <w:t> </w:t>
                        </w:r>
                        <w:r>
                          <w:rPr>
                            <w:color w:val="231F20"/>
                            <w:sz w:val="14"/>
                          </w:rPr>
                          <w:t>– Постојање Центра за социјални рад (у оквиру </w:t>
                        </w:r>
                        <w:r>
                          <w:rPr>
                            <w:color w:val="231F20"/>
                            <w:spacing w:val="-3"/>
                            <w:sz w:val="14"/>
                          </w:rPr>
                          <w:t>кога </w:t>
                        </w:r>
                        <w:r>
                          <w:rPr>
                            <w:color w:val="231F20"/>
                            <w:sz w:val="14"/>
                          </w:rPr>
                          <w:t>ради Дневни центар за</w:t>
                        </w:r>
                        <w:r>
                          <w:rPr>
                            <w:color w:val="231F20"/>
                            <w:spacing w:val="-17"/>
                            <w:sz w:val="14"/>
                          </w:rPr>
                          <w:t> </w:t>
                        </w:r>
                        <w:r>
                          <w:rPr>
                            <w:color w:val="231F20"/>
                            <w:sz w:val="14"/>
                          </w:rPr>
                          <w:t>бора- вак деце и омладине ометене у</w:t>
                        </w:r>
                        <w:r>
                          <w:rPr>
                            <w:color w:val="231F20"/>
                            <w:spacing w:val="-14"/>
                            <w:sz w:val="14"/>
                          </w:rPr>
                          <w:t> </w:t>
                        </w:r>
                        <w:r>
                          <w:rPr>
                            <w:color w:val="231F20"/>
                            <w:sz w:val="14"/>
                          </w:rPr>
                          <w:t>развоју)</w:t>
                        </w:r>
                      </w:p>
                      <w:p>
                        <w:pPr>
                          <w:pStyle w:val="TableParagraph"/>
                          <w:spacing w:line="223" w:lineRule="auto" w:before="1"/>
                          <w:ind w:left="56" w:right="45"/>
                          <w:jc w:val="both"/>
                          <w:rPr>
                            <w:sz w:val="14"/>
                          </w:rPr>
                        </w:pPr>
                        <w:r>
                          <w:rPr>
                            <w:color w:val="231F20"/>
                            <w:w w:val="66"/>
                            <w:sz w:val="14"/>
                          </w:rPr>
                          <w:t> </w:t>
                        </w:r>
                        <w:r>
                          <w:rPr>
                            <w:color w:val="231F20"/>
                            <w:sz w:val="14"/>
                          </w:rPr>
                          <w:t>– Усвојена Стратегија развоја социјалне заштите града Пожаревца</w:t>
                        </w:r>
                      </w:p>
                      <w:p>
                        <w:pPr>
                          <w:pStyle w:val="TableParagraph"/>
                          <w:spacing w:line="223" w:lineRule="auto" w:before="0"/>
                          <w:ind w:left="56" w:right="45"/>
                          <w:jc w:val="both"/>
                          <w:rPr>
                            <w:sz w:val="14"/>
                          </w:rPr>
                        </w:pPr>
                        <w:r>
                          <w:rPr>
                            <w:color w:val="231F20"/>
                            <w:w w:val="66"/>
                            <w:sz w:val="14"/>
                          </w:rPr>
                          <w:t> </w:t>
                        </w:r>
                        <w:r>
                          <w:rPr>
                            <w:color w:val="231F20"/>
                            <w:sz w:val="14"/>
                          </w:rPr>
                          <w:t>– Подршка талентима кроз центре за та- ленте, стипендирање дефицитарних за- нимања и друго.</w:t>
                        </w:r>
                      </w:p>
                      <w:p>
                        <w:pPr>
                          <w:pStyle w:val="TableParagraph"/>
                          <w:spacing w:line="223" w:lineRule="auto" w:before="1"/>
                          <w:ind w:left="56" w:right="45" w:hanging="1"/>
                          <w:jc w:val="both"/>
                          <w:rPr>
                            <w:sz w:val="14"/>
                          </w:rPr>
                        </w:pPr>
                        <w:r>
                          <w:rPr>
                            <w:color w:val="231F20"/>
                            <w:w w:val="66"/>
                            <w:sz w:val="14"/>
                          </w:rPr>
                          <w:t> </w:t>
                        </w:r>
                        <w:r>
                          <w:rPr>
                            <w:color w:val="231F20"/>
                            <w:sz w:val="14"/>
                          </w:rPr>
                          <w:t>– Постојање програма и институција за преквалификацију и самозапошљавање</w:t>
                        </w:r>
                      </w:p>
                      <w:p>
                        <w:pPr>
                          <w:pStyle w:val="TableParagraph"/>
                          <w:spacing w:line="223" w:lineRule="auto" w:before="0"/>
                          <w:ind w:left="56" w:right="44" w:hanging="1"/>
                          <w:jc w:val="both"/>
                          <w:rPr>
                            <w:sz w:val="14"/>
                          </w:rPr>
                        </w:pPr>
                        <w:r>
                          <w:rPr>
                            <w:color w:val="231F20"/>
                            <w:w w:val="66"/>
                            <w:sz w:val="14"/>
                          </w:rPr>
                          <w:t> </w:t>
                        </w:r>
                        <w:r>
                          <w:rPr>
                            <w:color w:val="231F20"/>
                            <w:sz w:val="14"/>
                          </w:rPr>
                          <w:t>– Постојање </w:t>
                        </w:r>
                        <w:r>
                          <w:rPr>
                            <w:color w:val="231F20"/>
                            <w:spacing w:val="-3"/>
                            <w:sz w:val="14"/>
                          </w:rPr>
                          <w:t>неколико </w:t>
                        </w:r>
                        <w:r>
                          <w:rPr>
                            <w:color w:val="231F20"/>
                            <w:sz w:val="14"/>
                          </w:rPr>
                          <w:t>научно –истражи- вачких института</w:t>
                        </w:r>
                      </w:p>
                      <w:p>
                        <w:pPr>
                          <w:pStyle w:val="TableParagraph"/>
                          <w:spacing w:line="223" w:lineRule="auto" w:before="1"/>
                          <w:ind w:left="56" w:right="44"/>
                          <w:jc w:val="both"/>
                          <w:rPr>
                            <w:sz w:val="14"/>
                          </w:rPr>
                        </w:pPr>
                        <w:r>
                          <w:rPr>
                            <w:color w:val="231F20"/>
                            <w:w w:val="66"/>
                            <w:sz w:val="14"/>
                          </w:rPr>
                          <w:t> </w:t>
                        </w:r>
                        <w:r>
                          <w:rPr>
                            <w:color w:val="231F20"/>
                            <w:sz w:val="14"/>
                          </w:rPr>
                          <w:t>– Постојање ванинституционалних об- лика социјалне заштите (клубови мла- дих, старих, „Кућа на пола пута”, нега и помоћ у кући итд.)</w:t>
                        </w:r>
                      </w:p>
                    </w:tc>
                    <w:tc>
                      <w:tcPr>
                        <w:tcW w:w="2551" w:type="dxa"/>
                      </w:tcPr>
                      <w:p>
                        <w:pPr>
                          <w:pStyle w:val="TableParagraph"/>
                          <w:spacing w:line="161" w:lineRule="exact" w:before="17"/>
                          <w:ind w:left="56"/>
                          <w:jc w:val="left"/>
                          <w:rPr>
                            <w:sz w:val="14"/>
                          </w:rPr>
                        </w:pPr>
                        <w:r>
                          <w:rPr>
                            <w:color w:val="231F20"/>
                            <w:w w:val="66"/>
                            <w:sz w:val="14"/>
                          </w:rPr>
                          <w:t> </w:t>
                        </w:r>
                        <w:r>
                          <w:rPr>
                            <w:color w:val="231F20"/>
                            <w:sz w:val="14"/>
                          </w:rPr>
                          <w:t>– Недовољна понуда доживотног учења</w:t>
                        </w:r>
                      </w:p>
                      <w:p>
                        <w:pPr>
                          <w:pStyle w:val="TableParagraph"/>
                          <w:spacing w:before="0"/>
                          <w:ind w:left="56" w:right="44"/>
                          <w:jc w:val="both"/>
                          <w:rPr>
                            <w:sz w:val="14"/>
                          </w:rPr>
                        </w:pPr>
                        <w:r>
                          <w:rPr>
                            <w:color w:val="231F20"/>
                            <w:w w:val="66"/>
                            <w:sz w:val="14"/>
                          </w:rPr>
                          <w:t> </w:t>
                        </w:r>
                        <w:r>
                          <w:rPr>
                            <w:color w:val="231F20"/>
                            <w:sz w:val="14"/>
                          </w:rPr>
                          <w:t>– Недостатак институционалне и тех- ничке инфраструктуре и пројеката за спровођење социјалних реформи</w:t>
                        </w:r>
                      </w:p>
                      <w:p>
                        <w:pPr>
                          <w:pStyle w:val="TableParagraph"/>
                          <w:spacing w:line="237" w:lineRule="auto" w:before="0"/>
                          <w:ind w:left="56" w:right="44"/>
                          <w:jc w:val="both"/>
                          <w:rPr>
                            <w:sz w:val="14"/>
                          </w:rPr>
                        </w:pPr>
                        <w:r>
                          <w:rPr>
                            <w:color w:val="231F20"/>
                            <w:w w:val="66"/>
                            <w:sz w:val="14"/>
                          </w:rPr>
                          <w:t> </w:t>
                        </w:r>
                        <w:r>
                          <w:rPr>
                            <w:color w:val="231F20"/>
                            <w:sz w:val="14"/>
                          </w:rPr>
                          <w:t>– Недовољна материјално-техничка опремљеност центара за социјални рад</w:t>
                        </w:r>
                      </w:p>
                      <w:p>
                        <w:pPr>
                          <w:pStyle w:val="TableParagraph"/>
                          <w:spacing w:before="0"/>
                          <w:ind w:left="56" w:right="44"/>
                          <w:jc w:val="both"/>
                          <w:rPr>
                            <w:sz w:val="14"/>
                          </w:rPr>
                        </w:pPr>
                        <w:r>
                          <w:rPr>
                            <w:color w:val="231F20"/>
                            <w:w w:val="66"/>
                            <w:sz w:val="14"/>
                          </w:rPr>
                          <w:t> </w:t>
                        </w:r>
                        <w:r>
                          <w:rPr>
                            <w:color w:val="231F20"/>
                            <w:sz w:val="14"/>
                          </w:rPr>
                          <w:t>– Недовољна укљученост особа са</w:t>
                        </w:r>
                        <w:r>
                          <w:rPr>
                            <w:color w:val="231F20"/>
                            <w:spacing w:val="-17"/>
                            <w:sz w:val="14"/>
                          </w:rPr>
                          <w:t> </w:t>
                        </w:r>
                        <w:r>
                          <w:rPr>
                            <w:color w:val="231F20"/>
                            <w:sz w:val="14"/>
                          </w:rPr>
                          <w:t>инва- лидитетом и посебним потребама за ре- довно</w:t>
                        </w:r>
                        <w:r>
                          <w:rPr>
                            <w:color w:val="231F20"/>
                            <w:spacing w:val="-2"/>
                            <w:sz w:val="14"/>
                          </w:rPr>
                          <w:t> </w:t>
                        </w:r>
                        <w:r>
                          <w:rPr>
                            <w:color w:val="231F20"/>
                            <w:sz w:val="14"/>
                          </w:rPr>
                          <w:t>образовање</w:t>
                        </w:r>
                      </w:p>
                      <w:p>
                        <w:pPr>
                          <w:pStyle w:val="TableParagraph"/>
                          <w:spacing w:line="237" w:lineRule="auto" w:before="0"/>
                          <w:ind w:left="56" w:right="44"/>
                          <w:jc w:val="both"/>
                          <w:rPr>
                            <w:sz w:val="14"/>
                          </w:rPr>
                        </w:pPr>
                        <w:r>
                          <w:rPr>
                            <w:color w:val="231F20"/>
                            <w:w w:val="66"/>
                            <w:sz w:val="14"/>
                          </w:rPr>
                          <w:t> </w:t>
                        </w:r>
                        <w:r>
                          <w:rPr>
                            <w:color w:val="231F20"/>
                            <w:sz w:val="14"/>
                          </w:rPr>
                          <w:t>– Недовољна финансијска средства за унапређење квалитета образовања</w:t>
                        </w:r>
                        <w:r>
                          <w:rPr>
                            <w:color w:val="231F20"/>
                            <w:spacing w:val="-19"/>
                            <w:sz w:val="14"/>
                          </w:rPr>
                          <w:t> </w:t>
                        </w:r>
                        <w:r>
                          <w:rPr>
                            <w:color w:val="231F20"/>
                            <w:sz w:val="14"/>
                          </w:rPr>
                          <w:t>према потребама тржишта</w:t>
                        </w:r>
                        <w:r>
                          <w:rPr>
                            <w:color w:val="231F20"/>
                            <w:spacing w:val="-1"/>
                            <w:sz w:val="14"/>
                          </w:rPr>
                          <w:t> </w:t>
                        </w:r>
                        <w:r>
                          <w:rPr>
                            <w:color w:val="231F20"/>
                            <w:sz w:val="14"/>
                          </w:rPr>
                          <w:t>рада</w:t>
                        </w:r>
                      </w:p>
                      <w:p>
                        <w:pPr>
                          <w:pStyle w:val="TableParagraph"/>
                          <w:spacing w:before="0"/>
                          <w:ind w:left="56" w:right="44" w:hanging="1"/>
                          <w:jc w:val="both"/>
                          <w:rPr>
                            <w:sz w:val="14"/>
                          </w:rPr>
                        </w:pPr>
                        <w:r>
                          <w:rPr>
                            <w:color w:val="231F20"/>
                            <w:w w:val="66"/>
                            <w:sz w:val="14"/>
                          </w:rPr>
                          <w:t> </w:t>
                        </w:r>
                        <w:r>
                          <w:rPr>
                            <w:color w:val="231F20"/>
                            <w:sz w:val="14"/>
                          </w:rPr>
                          <w:t>– Недостатак адекватних пројеката из области социјалне заштите</w:t>
                        </w:r>
                      </w:p>
                    </w:tc>
                  </w:tr>
                  <w:tr>
                    <w:trPr>
                      <w:trHeight w:val="200" w:hRule="atLeast"/>
                    </w:trPr>
                    <w:tc>
                      <w:tcPr>
                        <w:tcW w:w="2551" w:type="dxa"/>
                      </w:tcPr>
                      <w:p>
                        <w:pPr>
                          <w:pStyle w:val="TableParagraph"/>
                          <w:spacing w:before="17"/>
                          <w:ind w:left="778"/>
                          <w:jc w:val="left"/>
                          <w:rPr>
                            <w:sz w:val="14"/>
                          </w:rPr>
                        </w:pPr>
                        <w:r>
                          <w:rPr>
                            <w:color w:val="231F20"/>
                            <w:sz w:val="14"/>
                          </w:rPr>
                          <w:t>МОГУЋНОСТИ</w:t>
                        </w:r>
                      </w:p>
                    </w:tc>
                    <w:tc>
                      <w:tcPr>
                        <w:tcW w:w="2551" w:type="dxa"/>
                      </w:tcPr>
                      <w:p>
                        <w:pPr>
                          <w:pStyle w:val="TableParagraph"/>
                          <w:spacing w:before="17"/>
                          <w:ind w:left="722" w:right="712"/>
                          <w:jc w:val="center"/>
                          <w:rPr>
                            <w:sz w:val="14"/>
                          </w:rPr>
                        </w:pPr>
                        <w:r>
                          <w:rPr>
                            <w:color w:val="231F20"/>
                            <w:sz w:val="14"/>
                          </w:rPr>
                          <w:t>ПРЕТЊЕ</w:t>
                        </w:r>
                      </w:p>
                    </w:tc>
                  </w:tr>
                  <w:tr>
                    <w:trPr>
                      <w:trHeight w:val="3350" w:hRule="atLeast"/>
                    </w:trPr>
                    <w:tc>
                      <w:tcPr>
                        <w:tcW w:w="2551" w:type="dxa"/>
                      </w:tcPr>
                      <w:p>
                        <w:pPr>
                          <w:pStyle w:val="TableParagraph"/>
                          <w:spacing w:line="223" w:lineRule="auto" w:before="26"/>
                          <w:ind w:left="56" w:right="44"/>
                          <w:jc w:val="both"/>
                          <w:rPr>
                            <w:sz w:val="14"/>
                          </w:rPr>
                        </w:pPr>
                        <w:r>
                          <w:rPr>
                            <w:color w:val="231F20"/>
                            <w:w w:val="66"/>
                            <w:sz w:val="14"/>
                          </w:rPr>
                          <w:t> </w:t>
                        </w:r>
                        <w:r>
                          <w:rPr>
                            <w:color w:val="231F20"/>
                            <w:sz w:val="14"/>
                          </w:rPr>
                          <w:t>– Подршка удруживању јавног, приват- ног и цивилног сектора</w:t>
                        </w:r>
                      </w:p>
                      <w:p>
                        <w:pPr>
                          <w:pStyle w:val="TableParagraph"/>
                          <w:spacing w:line="223" w:lineRule="auto" w:before="0"/>
                          <w:ind w:left="56" w:right="44"/>
                          <w:jc w:val="both"/>
                          <w:rPr>
                            <w:sz w:val="14"/>
                          </w:rPr>
                        </w:pPr>
                        <w:r>
                          <w:rPr>
                            <w:color w:val="231F20"/>
                            <w:w w:val="66"/>
                            <w:sz w:val="14"/>
                          </w:rPr>
                          <w:t> </w:t>
                        </w:r>
                        <w:r>
                          <w:rPr>
                            <w:color w:val="231F20"/>
                            <w:sz w:val="14"/>
                          </w:rPr>
                          <w:t>–</w:t>
                        </w:r>
                        <w:r>
                          <w:rPr>
                            <w:color w:val="231F20"/>
                            <w:spacing w:val="-7"/>
                            <w:sz w:val="14"/>
                          </w:rPr>
                          <w:t> </w:t>
                        </w:r>
                        <w:r>
                          <w:rPr>
                            <w:color w:val="231F20"/>
                            <w:sz w:val="14"/>
                          </w:rPr>
                          <w:t>Примена</w:t>
                        </w:r>
                        <w:r>
                          <w:rPr>
                            <w:color w:val="231F20"/>
                            <w:spacing w:val="-7"/>
                            <w:sz w:val="14"/>
                          </w:rPr>
                          <w:t> </w:t>
                        </w:r>
                        <w:r>
                          <w:rPr>
                            <w:color w:val="231F20"/>
                            <w:sz w:val="14"/>
                          </w:rPr>
                          <w:t>нових</w:t>
                        </w:r>
                        <w:r>
                          <w:rPr>
                            <w:color w:val="231F20"/>
                            <w:spacing w:val="-7"/>
                            <w:sz w:val="14"/>
                          </w:rPr>
                          <w:t> </w:t>
                        </w:r>
                        <w:r>
                          <w:rPr>
                            <w:color w:val="231F20"/>
                            <w:sz w:val="14"/>
                          </w:rPr>
                          <w:t>метода</w:t>
                        </w:r>
                        <w:r>
                          <w:rPr>
                            <w:color w:val="231F20"/>
                            <w:spacing w:val="-7"/>
                            <w:sz w:val="14"/>
                          </w:rPr>
                          <w:t> </w:t>
                        </w:r>
                        <w:r>
                          <w:rPr>
                            <w:color w:val="231F20"/>
                            <w:sz w:val="14"/>
                          </w:rPr>
                          <w:t>и</w:t>
                        </w:r>
                        <w:r>
                          <w:rPr>
                            <w:color w:val="231F20"/>
                            <w:spacing w:val="-7"/>
                            <w:sz w:val="14"/>
                          </w:rPr>
                          <w:t> </w:t>
                        </w:r>
                        <w:r>
                          <w:rPr>
                            <w:color w:val="231F20"/>
                            <w:sz w:val="14"/>
                          </w:rPr>
                          <w:t>технологија</w:t>
                        </w:r>
                        <w:r>
                          <w:rPr>
                            <w:color w:val="231F20"/>
                            <w:spacing w:val="-7"/>
                            <w:sz w:val="14"/>
                          </w:rPr>
                          <w:t> </w:t>
                        </w:r>
                        <w:r>
                          <w:rPr>
                            <w:color w:val="231F20"/>
                            <w:sz w:val="14"/>
                          </w:rPr>
                          <w:t>у образовању</w:t>
                        </w:r>
                      </w:p>
                      <w:p>
                        <w:pPr>
                          <w:pStyle w:val="TableParagraph"/>
                          <w:spacing w:line="223" w:lineRule="auto" w:before="1"/>
                          <w:ind w:left="56" w:right="44"/>
                          <w:jc w:val="both"/>
                          <w:rPr>
                            <w:sz w:val="14"/>
                          </w:rPr>
                        </w:pPr>
                        <w:r>
                          <w:rPr>
                            <w:color w:val="231F20"/>
                            <w:w w:val="66"/>
                            <w:sz w:val="14"/>
                          </w:rPr>
                          <w:t> </w:t>
                        </w:r>
                        <w:r>
                          <w:rPr>
                            <w:color w:val="231F20"/>
                            <w:sz w:val="14"/>
                          </w:rPr>
                          <w:t>– Ширење мреже социјалних сервиса и запошљавање кроз специфичне пројекте</w:t>
                        </w:r>
                      </w:p>
                      <w:p>
                        <w:pPr>
                          <w:pStyle w:val="TableParagraph"/>
                          <w:spacing w:line="223" w:lineRule="auto" w:before="0"/>
                          <w:ind w:left="56" w:right="44"/>
                          <w:jc w:val="both"/>
                          <w:rPr>
                            <w:sz w:val="14"/>
                          </w:rPr>
                        </w:pPr>
                        <w:r>
                          <w:rPr>
                            <w:color w:val="231F20"/>
                            <w:w w:val="66"/>
                            <w:sz w:val="14"/>
                          </w:rPr>
                          <w:t> </w:t>
                        </w:r>
                        <w:r>
                          <w:rPr>
                            <w:color w:val="231F20"/>
                            <w:sz w:val="14"/>
                          </w:rPr>
                          <w:t>– Шире укључивање маргинализованих група у образовни систем</w:t>
                        </w:r>
                      </w:p>
                      <w:p>
                        <w:pPr>
                          <w:pStyle w:val="TableParagraph"/>
                          <w:spacing w:line="223" w:lineRule="auto" w:before="1"/>
                          <w:ind w:left="56" w:right="45"/>
                          <w:jc w:val="both"/>
                          <w:rPr>
                            <w:sz w:val="14"/>
                          </w:rPr>
                        </w:pPr>
                        <w:r>
                          <w:rPr>
                            <w:color w:val="231F20"/>
                            <w:w w:val="66"/>
                            <w:sz w:val="14"/>
                          </w:rPr>
                          <w:t> </w:t>
                        </w:r>
                        <w:r>
                          <w:rPr>
                            <w:color w:val="231F20"/>
                            <w:sz w:val="14"/>
                          </w:rPr>
                          <w:t>– Боља информисаност грађана о услу- гама и могућностима у области социјал- не бриге и заштите</w:t>
                        </w:r>
                      </w:p>
                      <w:p>
                        <w:pPr>
                          <w:pStyle w:val="TableParagraph"/>
                          <w:spacing w:line="223" w:lineRule="auto" w:before="0"/>
                          <w:ind w:left="56" w:right="44"/>
                          <w:jc w:val="both"/>
                          <w:rPr>
                            <w:sz w:val="14"/>
                          </w:rPr>
                        </w:pPr>
                        <w:r>
                          <w:rPr>
                            <w:color w:val="231F20"/>
                            <w:w w:val="66"/>
                            <w:sz w:val="14"/>
                          </w:rPr>
                          <w:t> </w:t>
                        </w:r>
                        <w:r>
                          <w:rPr>
                            <w:color w:val="231F20"/>
                            <w:sz w:val="14"/>
                          </w:rPr>
                          <w:t>– Пораст броја јавних радова (за запо- шљавање, пружање социјалних услуга, намиривање</w:t>
                        </w:r>
                        <w:r>
                          <w:rPr>
                            <w:color w:val="231F20"/>
                            <w:spacing w:val="-8"/>
                            <w:sz w:val="14"/>
                          </w:rPr>
                          <w:t> </w:t>
                        </w:r>
                        <w:r>
                          <w:rPr>
                            <w:color w:val="231F20"/>
                            <w:sz w:val="14"/>
                          </w:rPr>
                          <w:t>комуналних</w:t>
                        </w:r>
                        <w:r>
                          <w:rPr>
                            <w:color w:val="231F20"/>
                            <w:spacing w:val="-8"/>
                            <w:sz w:val="14"/>
                          </w:rPr>
                          <w:t> </w:t>
                        </w:r>
                        <w:r>
                          <w:rPr>
                            <w:color w:val="231F20"/>
                            <w:sz w:val="14"/>
                          </w:rPr>
                          <w:t>дугова</w:t>
                        </w:r>
                        <w:r>
                          <w:rPr>
                            <w:color w:val="231F20"/>
                            <w:spacing w:val="-8"/>
                            <w:sz w:val="14"/>
                          </w:rPr>
                          <w:t> </w:t>
                        </w:r>
                        <w:r>
                          <w:rPr>
                            <w:color w:val="231F20"/>
                            <w:sz w:val="14"/>
                          </w:rPr>
                          <w:t>и</w:t>
                        </w:r>
                        <w:r>
                          <w:rPr>
                            <w:color w:val="231F20"/>
                            <w:spacing w:val="-8"/>
                            <w:sz w:val="14"/>
                          </w:rPr>
                          <w:t> </w:t>
                        </w:r>
                        <w:r>
                          <w:rPr>
                            <w:color w:val="231F20"/>
                            <w:sz w:val="14"/>
                          </w:rPr>
                          <w:t>друго)</w:t>
                        </w:r>
                      </w:p>
                      <w:p>
                        <w:pPr>
                          <w:pStyle w:val="TableParagraph"/>
                          <w:spacing w:line="223" w:lineRule="auto" w:before="1"/>
                          <w:ind w:left="55" w:right="45"/>
                          <w:jc w:val="both"/>
                          <w:rPr>
                            <w:sz w:val="14"/>
                          </w:rPr>
                        </w:pPr>
                        <w:r>
                          <w:rPr>
                            <w:color w:val="231F20"/>
                            <w:w w:val="66"/>
                            <w:sz w:val="14"/>
                          </w:rPr>
                          <w:t> </w:t>
                        </w:r>
                        <w:r>
                          <w:rPr>
                            <w:color w:val="231F20"/>
                            <w:sz w:val="14"/>
                          </w:rPr>
                          <w:t>– Стимулисање улагања приватног ка- питала у социјалну заштиту и социјално предузетништво</w:t>
                        </w:r>
                      </w:p>
                      <w:p>
                        <w:pPr>
                          <w:pStyle w:val="TableParagraph"/>
                          <w:spacing w:line="223" w:lineRule="auto" w:before="1"/>
                          <w:ind w:left="55" w:right="45" w:hanging="1"/>
                          <w:jc w:val="both"/>
                          <w:rPr>
                            <w:sz w:val="14"/>
                          </w:rPr>
                        </w:pPr>
                        <w:r>
                          <w:rPr>
                            <w:color w:val="231F20"/>
                            <w:w w:val="66"/>
                            <w:sz w:val="14"/>
                          </w:rPr>
                          <w:t> </w:t>
                        </w:r>
                        <w:r>
                          <w:rPr>
                            <w:color w:val="231F20"/>
                            <w:sz w:val="14"/>
                          </w:rPr>
                          <w:t>–</w:t>
                        </w:r>
                        <w:r>
                          <w:rPr>
                            <w:color w:val="231F20"/>
                            <w:spacing w:val="-8"/>
                            <w:sz w:val="14"/>
                          </w:rPr>
                          <w:t> </w:t>
                        </w:r>
                        <w:r>
                          <w:rPr>
                            <w:color w:val="231F20"/>
                            <w:sz w:val="14"/>
                          </w:rPr>
                          <w:t>Већа</w:t>
                        </w:r>
                        <w:r>
                          <w:rPr>
                            <w:color w:val="231F20"/>
                            <w:spacing w:val="-8"/>
                            <w:sz w:val="14"/>
                          </w:rPr>
                          <w:t> </w:t>
                        </w:r>
                        <w:r>
                          <w:rPr>
                            <w:color w:val="231F20"/>
                            <w:sz w:val="14"/>
                          </w:rPr>
                          <w:t>заинтересованост</w:t>
                        </w:r>
                        <w:r>
                          <w:rPr>
                            <w:color w:val="231F20"/>
                            <w:spacing w:val="-8"/>
                            <w:sz w:val="14"/>
                          </w:rPr>
                          <w:t> </w:t>
                        </w:r>
                        <w:r>
                          <w:rPr>
                            <w:color w:val="231F20"/>
                            <w:sz w:val="14"/>
                          </w:rPr>
                          <w:t>невладиних</w:t>
                        </w:r>
                        <w:r>
                          <w:rPr>
                            <w:color w:val="231F20"/>
                            <w:spacing w:val="-8"/>
                            <w:sz w:val="14"/>
                          </w:rPr>
                          <w:t> </w:t>
                        </w:r>
                        <w:r>
                          <w:rPr>
                            <w:color w:val="231F20"/>
                            <w:sz w:val="14"/>
                          </w:rPr>
                          <w:t>ор- ганизација (у даљем тексту: НВО) за со- цијална</w:t>
                        </w:r>
                        <w:r>
                          <w:rPr>
                            <w:color w:val="231F20"/>
                            <w:spacing w:val="-2"/>
                            <w:sz w:val="14"/>
                          </w:rPr>
                          <w:t> </w:t>
                        </w:r>
                        <w:r>
                          <w:rPr>
                            <w:color w:val="231F20"/>
                            <w:sz w:val="14"/>
                          </w:rPr>
                          <w:t>питања</w:t>
                        </w:r>
                      </w:p>
                      <w:p>
                        <w:pPr>
                          <w:pStyle w:val="TableParagraph"/>
                          <w:spacing w:line="223" w:lineRule="auto" w:before="0"/>
                          <w:ind w:left="55" w:right="45"/>
                          <w:jc w:val="both"/>
                          <w:rPr>
                            <w:sz w:val="14"/>
                          </w:rPr>
                        </w:pPr>
                        <w:r>
                          <w:rPr>
                            <w:color w:val="231F20"/>
                            <w:w w:val="66"/>
                            <w:sz w:val="14"/>
                          </w:rPr>
                          <w:t> </w:t>
                        </w:r>
                        <w:r>
                          <w:rPr>
                            <w:color w:val="231F20"/>
                            <w:sz w:val="14"/>
                          </w:rPr>
                          <w:t>– Јачање међуопштинске сарадње у</w:t>
                        </w:r>
                        <w:r>
                          <w:rPr>
                            <w:color w:val="231F20"/>
                            <w:spacing w:val="-19"/>
                            <w:sz w:val="14"/>
                          </w:rPr>
                          <w:t> </w:t>
                        </w:r>
                        <w:r>
                          <w:rPr>
                            <w:color w:val="231F20"/>
                            <w:sz w:val="14"/>
                          </w:rPr>
                          <w:t>пру- жању услуга социјалне</w:t>
                        </w:r>
                        <w:r>
                          <w:rPr>
                            <w:color w:val="231F20"/>
                            <w:spacing w:val="-5"/>
                            <w:sz w:val="14"/>
                          </w:rPr>
                          <w:t> </w:t>
                        </w:r>
                        <w:r>
                          <w:rPr>
                            <w:color w:val="231F20"/>
                            <w:sz w:val="14"/>
                          </w:rPr>
                          <w:t>заштите</w:t>
                        </w:r>
                      </w:p>
                    </w:tc>
                    <w:tc>
                      <w:tcPr>
                        <w:tcW w:w="2551" w:type="dxa"/>
                      </w:tcPr>
                      <w:p>
                        <w:pPr>
                          <w:pStyle w:val="TableParagraph"/>
                          <w:spacing w:before="16"/>
                          <w:ind w:left="56" w:right="44" w:hanging="1"/>
                          <w:jc w:val="both"/>
                          <w:rPr>
                            <w:sz w:val="14"/>
                          </w:rPr>
                        </w:pPr>
                        <w:r>
                          <w:rPr>
                            <w:color w:val="231F20"/>
                            <w:w w:val="66"/>
                            <w:sz w:val="14"/>
                          </w:rPr>
                          <w:t> </w:t>
                        </w:r>
                        <w:r>
                          <w:rPr>
                            <w:color w:val="231F20"/>
                            <w:sz w:val="14"/>
                          </w:rPr>
                          <w:t>– Настављање „демографске рецесије”, посебно одржавање ниског наталитета и даље старење становништва</w:t>
                        </w:r>
                      </w:p>
                      <w:p>
                        <w:pPr>
                          <w:pStyle w:val="TableParagraph"/>
                          <w:spacing w:line="237" w:lineRule="auto" w:before="0"/>
                          <w:ind w:left="56" w:right="44"/>
                          <w:jc w:val="both"/>
                          <w:rPr>
                            <w:sz w:val="14"/>
                          </w:rPr>
                        </w:pPr>
                        <w:r>
                          <w:rPr>
                            <w:color w:val="231F20"/>
                            <w:w w:val="66"/>
                            <w:sz w:val="14"/>
                          </w:rPr>
                          <w:t> </w:t>
                        </w:r>
                        <w:r>
                          <w:rPr>
                            <w:color w:val="231F20"/>
                            <w:sz w:val="14"/>
                          </w:rPr>
                          <w:t>– Миграција млађе и/или образоване и/ или квалификоване популације (у веће градове и иностранство)</w:t>
                        </w:r>
                      </w:p>
                      <w:p>
                        <w:pPr>
                          <w:pStyle w:val="TableParagraph"/>
                          <w:spacing w:before="0"/>
                          <w:ind w:left="55" w:right="45"/>
                          <w:jc w:val="both"/>
                          <w:rPr>
                            <w:sz w:val="14"/>
                          </w:rPr>
                        </w:pPr>
                        <w:r>
                          <w:rPr>
                            <w:color w:val="231F20"/>
                            <w:w w:val="66"/>
                            <w:sz w:val="14"/>
                          </w:rPr>
                          <w:t> </w:t>
                        </w:r>
                        <w:r>
                          <w:rPr>
                            <w:color w:val="231F20"/>
                            <w:sz w:val="14"/>
                          </w:rPr>
                          <w:t>– Неприлагодљивост институција у</w:t>
                        </w:r>
                        <w:r>
                          <w:rPr>
                            <w:color w:val="231F20"/>
                            <w:spacing w:val="-20"/>
                            <w:sz w:val="14"/>
                          </w:rPr>
                          <w:t> </w:t>
                        </w:r>
                        <w:r>
                          <w:rPr>
                            <w:color w:val="231F20"/>
                            <w:sz w:val="14"/>
                          </w:rPr>
                          <w:t>плу- рализацији социјалних услуга, и отпор према новим трендовима у</w:t>
                        </w:r>
                        <w:r>
                          <w:rPr>
                            <w:color w:val="231F20"/>
                            <w:spacing w:val="-3"/>
                            <w:sz w:val="14"/>
                          </w:rPr>
                          <w:t> </w:t>
                        </w:r>
                        <w:r>
                          <w:rPr>
                            <w:color w:val="231F20"/>
                            <w:sz w:val="14"/>
                          </w:rPr>
                          <w:t>раду</w:t>
                        </w:r>
                      </w:p>
                      <w:p>
                        <w:pPr>
                          <w:pStyle w:val="TableParagraph"/>
                          <w:spacing w:line="237" w:lineRule="auto" w:before="0"/>
                          <w:ind w:left="55" w:right="45"/>
                          <w:jc w:val="both"/>
                          <w:rPr>
                            <w:sz w:val="14"/>
                          </w:rPr>
                        </w:pPr>
                        <w:r>
                          <w:rPr>
                            <w:color w:val="231F20"/>
                            <w:w w:val="66"/>
                            <w:sz w:val="14"/>
                          </w:rPr>
                          <w:t> </w:t>
                        </w:r>
                        <w:r>
                          <w:rPr>
                            <w:color w:val="231F20"/>
                            <w:sz w:val="14"/>
                          </w:rPr>
                          <w:t>–</w:t>
                        </w:r>
                        <w:r>
                          <w:rPr>
                            <w:color w:val="231F20"/>
                            <w:spacing w:val="-8"/>
                            <w:sz w:val="14"/>
                          </w:rPr>
                          <w:t> </w:t>
                        </w:r>
                        <w:r>
                          <w:rPr>
                            <w:color w:val="231F20"/>
                            <w:sz w:val="14"/>
                          </w:rPr>
                          <w:t>Неискоришћеност</w:t>
                        </w:r>
                        <w:r>
                          <w:rPr>
                            <w:color w:val="231F20"/>
                            <w:spacing w:val="-8"/>
                            <w:sz w:val="14"/>
                          </w:rPr>
                          <w:t> </w:t>
                        </w:r>
                        <w:r>
                          <w:rPr>
                            <w:color w:val="231F20"/>
                            <w:sz w:val="14"/>
                          </w:rPr>
                          <w:t>законских</w:t>
                        </w:r>
                        <w:r>
                          <w:rPr>
                            <w:color w:val="231F20"/>
                            <w:spacing w:val="-8"/>
                            <w:sz w:val="14"/>
                          </w:rPr>
                          <w:t> </w:t>
                        </w:r>
                        <w:r>
                          <w:rPr>
                            <w:color w:val="231F20"/>
                            <w:sz w:val="14"/>
                          </w:rPr>
                          <w:t>оквира</w:t>
                        </w:r>
                        <w:r>
                          <w:rPr>
                            <w:color w:val="231F20"/>
                            <w:spacing w:val="-8"/>
                            <w:sz w:val="14"/>
                          </w:rPr>
                          <w:t> </w:t>
                        </w:r>
                        <w:r>
                          <w:rPr>
                            <w:color w:val="231F20"/>
                            <w:sz w:val="14"/>
                          </w:rPr>
                          <w:t>за запошљавање хендикепираних</w:t>
                        </w:r>
                        <w:r>
                          <w:rPr>
                            <w:color w:val="231F20"/>
                            <w:spacing w:val="-7"/>
                            <w:sz w:val="14"/>
                          </w:rPr>
                          <w:t> </w:t>
                        </w:r>
                        <w:r>
                          <w:rPr>
                            <w:color w:val="231F20"/>
                            <w:sz w:val="14"/>
                          </w:rPr>
                          <w:t>лица</w:t>
                        </w:r>
                      </w:p>
                    </w:tc>
                  </w:tr>
                </w:tbl>
                <w:p>
                  <w:pPr>
                    <w:pStyle w:val="BodyText"/>
                    <w:ind w:left="0"/>
                    <w:jc w:val="left"/>
                  </w:pPr>
                </w:p>
              </w:txbxContent>
            </v:textbox>
            <w10:wrap type="none"/>
          </v:shape>
        </w:pict>
      </w:r>
      <w:r>
        <w:rPr/>
        <w:pict>
          <v:shape style="position:absolute;margin-left:56.692902pt;margin-top:22.402332pt;width:255.9pt;height:363.6pt;mso-position-horizontal-relative:page;mso-position-vertical-relative:paragraph;z-index:196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5660" w:hRule="atLeast"/>
                    </w:trPr>
                    <w:tc>
                      <w:tcPr>
                        <w:tcW w:w="2551" w:type="dxa"/>
                      </w:tcPr>
                      <w:p>
                        <w:pPr>
                          <w:pStyle w:val="TableParagraph"/>
                          <w:ind w:left="56" w:right="44"/>
                          <w:jc w:val="both"/>
                          <w:rPr>
                            <w:sz w:val="14"/>
                          </w:rPr>
                        </w:pPr>
                        <w:r>
                          <w:rPr>
                            <w:color w:val="231F20"/>
                            <w:w w:val="66"/>
                            <w:sz w:val="14"/>
                          </w:rPr>
                          <w:t> </w:t>
                        </w:r>
                        <w:r>
                          <w:rPr>
                            <w:color w:val="231F20"/>
                            <w:sz w:val="14"/>
                          </w:rPr>
                          <w:t>– </w:t>
                        </w:r>
                        <w:r>
                          <w:rPr>
                            <w:color w:val="231F20"/>
                            <w:spacing w:val="-4"/>
                            <w:sz w:val="14"/>
                          </w:rPr>
                          <w:t>Постојање богатих природних </w:t>
                        </w:r>
                        <w:r>
                          <w:rPr>
                            <w:color w:val="231F20"/>
                            <w:spacing w:val="-3"/>
                            <w:sz w:val="14"/>
                          </w:rPr>
                          <w:t>ресурса </w:t>
                        </w:r>
                        <w:r>
                          <w:rPr>
                            <w:color w:val="231F20"/>
                            <w:spacing w:val="-4"/>
                            <w:sz w:val="14"/>
                          </w:rPr>
                          <w:t>(угаљ, </w:t>
                        </w:r>
                        <w:r>
                          <w:rPr>
                            <w:color w:val="231F20"/>
                            <w:spacing w:val="-5"/>
                            <w:sz w:val="14"/>
                          </w:rPr>
                          <w:t>вода, </w:t>
                        </w:r>
                        <w:r>
                          <w:rPr>
                            <w:color w:val="231F20"/>
                            <w:spacing w:val="-3"/>
                            <w:sz w:val="14"/>
                          </w:rPr>
                          <w:t>нафта, гас, </w:t>
                        </w:r>
                        <w:r>
                          <w:rPr>
                            <w:color w:val="231F20"/>
                            <w:spacing w:val="-4"/>
                            <w:sz w:val="14"/>
                          </w:rPr>
                          <w:t>шљунак, земљишта </w:t>
                        </w:r>
                        <w:r>
                          <w:rPr>
                            <w:color w:val="231F20"/>
                            <w:sz w:val="14"/>
                          </w:rPr>
                          <w:t>и </w:t>
                        </w:r>
                        <w:r>
                          <w:rPr>
                            <w:color w:val="231F20"/>
                            <w:spacing w:val="-5"/>
                            <w:sz w:val="14"/>
                          </w:rPr>
                          <w:t>друго), њихово </w:t>
                        </w:r>
                        <w:r>
                          <w:rPr>
                            <w:color w:val="231F20"/>
                            <w:spacing w:val="-4"/>
                            <w:sz w:val="14"/>
                          </w:rPr>
                          <w:t>рационално  </w:t>
                        </w:r>
                        <w:r>
                          <w:rPr>
                            <w:color w:val="231F20"/>
                            <w:spacing w:val="-5"/>
                            <w:sz w:val="14"/>
                          </w:rPr>
                          <w:t>коришћење </w:t>
                        </w:r>
                        <w:r>
                          <w:rPr>
                            <w:color w:val="231F20"/>
                            <w:sz w:val="14"/>
                          </w:rPr>
                          <w:t>и </w:t>
                        </w:r>
                        <w:r>
                          <w:rPr>
                            <w:color w:val="231F20"/>
                            <w:spacing w:val="-3"/>
                            <w:sz w:val="14"/>
                          </w:rPr>
                          <w:t>дуга </w:t>
                        </w:r>
                        <w:r>
                          <w:rPr>
                            <w:color w:val="231F20"/>
                            <w:spacing w:val="-5"/>
                            <w:sz w:val="14"/>
                          </w:rPr>
                          <w:t>енергетско-индустријска</w:t>
                        </w:r>
                        <w:r>
                          <w:rPr>
                            <w:color w:val="231F20"/>
                            <w:spacing w:val="-6"/>
                            <w:sz w:val="14"/>
                          </w:rPr>
                          <w:t> </w:t>
                        </w:r>
                        <w:r>
                          <w:rPr>
                            <w:color w:val="231F20"/>
                            <w:spacing w:val="-4"/>
                            <w:sz w:val="14"/>
                          </w:rPr>
                          <w:t>традиција</w:t>
                        </w:r>
                      </w:p>
                      <w:p>
                        <w:pPr>
                          <w:pStyle w:val="TableParagraph"/>
                          <w:spacing w:line="237" w:lineRule="auto" w:before="0"/>
                          <w:ind w:left="56" w:right="44"/>
                          <w:jc w:val="both"/>
                          <w:rPr>
                            <w:sz w:val="14"/>
                          </w:rPr>
                        </w:pPr>
                        <w:r>
                          <w:rPr>
                            <w:color w:val="231F20"/>
                            <w:w w:val="66"/>
                            <w:sz w:val="14"/>
                          </w:rPr>
                          <w:t> </w:t>
                        </w:r>
                        <w:r>
                          <w:rPr>
                            <w:color w:val="231F20"/>
                            <w:sz w:val="14"/>
                          </w:rPr>
                          <w:t>– Постојање квалификованих људских ресурса</w:t>
                        </w:r>
                      </w:p>
                      <w:p>
                        <w:pPr>
                          <w:pStyle w:val="TableParagraph"/>
                          <w:spacing w:before="0"/>
                          <w:ind w:left="56" w:right="44" w:hanging="1"/>
                          <w:jc w:val="both"/>
                          <w:rPr>
                            <w:sz w:val="14"/>
                          </w:rPr>
                        </w:pPr>
                        <w:r>
                          <w:rPr>
                            <w:color w:val="231F20"/>
                            <w:w w:val="66"/>
                            <w:sz w:val="14"/>
                          </w:rPr>
                          <w:t> </w:t>
                        </w:r>
                        <w:r>
                          <w:rPr>
                            <w:color w:val="231F20"/>
                            <w:sz w:val="14"/>
                          </w:rPr>
                          <w:t>– Постојање снажног-рударскоенергет- ског система – ТЕ-КО „Костолац”</w:t>
                        </w:r>
                      </w:p>
                      <w:p>
                        <w:pPr>
                          <w:pStyle w:val="TableParagraph"/>
                          <w:spacing w:before="0"/>
                          <w:ind w:left="56" w:right="44"/>
                          <w:jc w:val="both"/>
                          <w:rPr>
                            <w:sz w:val="14"/>
                          </w:rPr>
                        </w:pPr>
                        <w:r>
                          <w:rPr>
                            <w:color w:val="231F20"/>
                            <w:w w:val="66"/>
                            <w:sz w:val="14"/>
                          </w:rPr>
                          <w:t> </w:t>
                        </w:r>
                        <w:r>
                          <w:rPr>
                            <w:color w:val="231F20"/>
                            <w:sz w:val="14"/>
                          </w:rPr>
                          <w:t>–</w:t>
                        </w:r>
                        <w:r>
                          <w:rPr>
                            <w:color w:val="231F20"/>
                            <w:spacing w:val="-8"/>
                            <w:sz w:val="14"/>
                          </w:rPr>
                          <w:t> </w:t>
                        </w:r>
                        <w:r>
                          <w:rPr>
                            <w:color w:val="231F20"/>
                            <w:sz w:val="14"/>
                          </w:rPr>
                          <w:t>Израда</w:t>
                        </w:r>
                        <w:r>
                          <w:rPr>
                            <w:color w:val="231F20"/>
                            <w:spacing w:val="-8"/>
                            <w:sz w:val="14"/>
                          </w:rPr>
                          <w:t> </w:t>
                        </w:r>
                        <w:r>
                          <w:rPr>
                            <w:color w:val="231F20"/>
                            <w:sz w:val="14"/>
                          </w:rPr>
                          <w:t>и</w:t>
                        </w:r>
                        <w:r>
                          <w:rPr>
                            <w:color w:val="231F20"/>
                            <w:spacing w:val="-8"/>
                            <w:sz w:val="14"/>
                          </w:rPr>
                          <w:t> </w:t>
                        </w:r>
                        <w:r>
                          <w:rPr>
                            <w:color w:val="231F20"/>
                            <w:sz w:val="14"/>
                          </w:rPr>
                          <w:t>доношење</w:t>
                        </w:r>
                        <w:r>
                          <w:rPr>
                            <w:color w:val="231F20"/>
                            <w:spacing w:val="-8"/>
                            <w:sz w:val="14"/>
                          </w:rPr>
                          <w:t> </w:t>
                        </w:r>
                        <w:r>
                          <w:rPr>
                            <w:color w:val="231F20"/>
                            <w:sz w:val="14"/>
                          </w:rPr>
                          <w:t>већег</w:t>
                        </w:r>
                        <w:r>
                          <w:rPr>
                            <w:color w:val="231F20"/>
                            <w:spacing w:val="-8"/>
                            <w:sz w:val="14"/>
                          </w:rPr>
                          <w:t> </w:t>
                        </w:r>
                        <w:r>
                          <w:rPr>
                            <w:color w:val="231F20"/>
                            <w:sz w:val="14"/>
                          </w:rPr>
                          <w:t>броја</w:t>
                        </w:r>
                        <w:r>
                          <w:rPr>
                            <w:color w:val="231F20"/>
                            <w:spacing w:val="-8"/>
                            <w:sz w:val="14"/>
                          </w:rPr>
                          <w:t> </w:t>
                        </w:r>
                        <w:r>
                          <w:rPr>
                            <w:color w:val="231F20"/>
                            <w:sz w:val="14"/>
                          </w:rPr>
                          <w:t>страте- шких и локалних планских</w:t>
                        </w:r>
                        <w:r>
                          <w:rPr>
                            <w:color w:val="231F20"/>
                            <w:spacing w:val="-15"/>
                            <w:sz w:val="14"/>
                          </w:rPr>
                          <w:t> </w:t>
                        </w:r>
                        <w:r>
                          <w:rPr>
                            <w:color w:val="231F20"/>
                            <w:sz w:val="14"/>
                          </w:rPr>
                          <w:t>докумената</w:t>
                        </w:r>
                      </w:p>
                      <w:p>
                        <w:pPr>
                          <w:pStyle w:val="TableParagraph"/>
                          <w:spacing w:before="0"/>
                          <w:ind w:left="56" w:right="44"/>
                          <w:jc w:val="both"/>
                          <w:rPr>
                            <w:sz w:val="14"/>
                          </w:rPr>
                        </w:pPr>
                        <w:r>
                          <w:rPr>
                            <w:color w:val="231F20"/>
                            <w:w w:val="66"/>
                            <w:sz w:val="14"/>
                          </w:rPr>
                          <w:t> </w:t>
                        </w:r>
                        <w:r>
                          <w:rPr>
                            <w:color w:val="231F20"/>
                            <w:sz w:val="14"/>
                          </w:rPr>
                          <w:t>– Израда развојне и техничке докумен- тације</w:t>
                        </w:r>
                      </w:p>
                      <w:p>
                        <w:pPr>
                          <w:pStyle w:val="TableParagraph"/>
                          <w:spacing w:before="0"/>
                          <w:ind w:left="56" w:right="44"/>
                          <w:jc w:val="both"/>
                          <w:rPr>
                            <w:sz w:val="14"/>
                          </w:rPr>
                        </w:pPr>
                        <w:r>
                          <w:rPr>
                            <w:color w:val="231F20"/>
                            <w:w w:val="66"/>
                            <w:sz w:val="14"/>
                          </w:rPr>
                          <w:t> </w:t>
                        </w:r>
                        <w:r>
                          <w:rPr>
                            <w:color w:val="231F20"/>
                            <w:sz w:val="14"/>
                          </w:rPr>
                          <w:t>– Израда и доношење стратегија, про- грама и пројеката у области заштите животне средине, управљања отпадом, рекултивације оштећеног земљишта и друго.</w:t>
                        </w:r>
                      </w:p>
                      <w:p>
                        <w:pPr>
                          <w:pStyle w:val="TableParagraph"/>
                          <w:spacing w:line="237" w:lineRule="auto" w:before="0"/>
                          <w:ind w:left="56" w:right="44"/>
                          <w:jc w:val="both"/>
                          <w:rPr>
                            <w:sz w:val="14"/>
                          </w:rPr>
                        </w:pPr>
                        <w:r>
                          <w:rPr>
                            <w:color w:val="231F20"/>
                            <w:w w:val="66"/>
                            <w:sz w:val="14"/>
                          </w:rPr>
                          <w:t> </w:t>
                        </w:r>
                        <w:r>
                          <w:rPr>
                            <w:color w:val="231F20"/>
                            <w:sz w:val="14"/>
                          </w:rPr>
                          <w:t>– Увођење ЕУ принципа, стандарда и модалитета заштите земљишта у дома- ћу праксу</w:t>
                        </w:r>
                      </w:p>
                      <w:p>
                        <w:pPr>
                          <w:pStyle w:val="TableParagraph"/>
                          <w:spacing w:before="0"/>
                          <w:ind w:left="56" w:right="44"/>
                          <w:jc w:val="both"/>
                          <w:rPr>
                            <w:sz w:val="14"/>
                          </w:rPr>
                        </w:pPr>
                        <w:r>
                          <w:rPr>
                            <w:color w:val="231F20"/>
                            <w:w w:val="66"/>
                            <w:sz w:val="14"/>
                          </w:rPr>
                          <w:t> </w:t>
                        </w:r>
                        <w:r>
                          <w:rPr>
                            <w:color w:val="231F20"/>
                            <w:sz w:val="14"/>
                          </w:rPr>
                          <w:t>– </w:t>
                        </w:r>
                        <w:r>
                          <w:rPr>
                            <w:color w:val="231F20"/>
                            <w:spacing w:val="-3"/>
                            <w:sz w:val="14"/>
                          </w:rPr>
                          <w:t>Увођење </w:t>
                        </w:r>
                        <w:r>
                          <w:rPr>
                            <w:color w:val="231F20"/>
                            <w:sz w:val="14"/>
                          </w:rPr>
                          <w:t>нових, еколошки</w:t>
                        </w:r>
                        <w:r>
                          <w:rPr>
                            <w:color w:val="231F20"/>
                            <w:spacing w:val="-19"/>
                            <w:sz w:val="14"/>
                          </w:rPr>
                          <w:t> </w:t>
                        </w:r>
                        <w:r>
                          <w:rPr>
                            <w:color w:val="231F20"/>
                            <w:sz w:val="14"/>
                          </w:rPr>
                          <w:t>безбеднијих технологија у експлоатацију и прераду лигнита, полазећи </w:t>
                        </w:r>
                        <w:r>
                          <w:rPr>
                            <w:color w:val="231F20"/>
                            <w:spacing w:val="-3"/>
                            <w:sz w:val="14"/>
                          </w:rPr>
                          <w:t>од </w:t>
                        </w:r>
                        <w:r>
                          <w:rPr>
                            <w:color w:val="231F20"/>
                            <w:sz w:val="14"/>
                          </w:rPr>
                          <w:t>домаћих и свет- ских</w:t>
                        </w:r>
                        <w:r>
                          <w:rPr>
                            <w:color w:val="231F20"/>
                            <w:spacing w:val="-1"/>
                            <w:sz w:val="14"/>
                          </w:rPr>
                          <w:t> </w:t>
                        </w:r>
                        <w:r>
                          <w:rPr>
                            <w:color w:val="231F20"/>
                            <w:sz w:val="14"/>
                          </w:rPr>
                          <w:t>искустава</w:t>
                        </w:r>
                      </w:p>
                      <w:p>
                        <w:pPr>
                          <w:pStyle w:val="TableParagraph"/>
                          <w:spacing w:line="237" w:lineRule="auto" w:before="0"/>
                          <w:ind w:left="56" w:right="44"/>
                          <w:jc w:val="both"/>
                          <w:rPr>
                            <w:sz w:val="14"/>
                          </w:rPr>
                        </w:pPr>
                        <w:r>
                          <w:rPr>
                            <w:color w:val="231F20"/>
                            <w:w w:val="66"/>
                            <w:sz w:val="14"/>
                          </w:rPr>
                          <w:t> </w:t>
                        </w:r>
                        <w:r>
                          <w:rPr>
                            <w:color w:val="231F20"/>
                            <w:sz w:val="14"/>
                          </w:rPr>
                          <w:t>– Подршка међународних организација и фондова локалним активностима</w:t>
                        </w:r>
                      </w:p>
                      <w:p>
                        <w:pPr>
                          <w:pStyle w:val="TableParagraph"/>
                          <w:spacing w:before="0"/>
                          <w:ind w:left="56" w:right="44"/>
                          <w:jc w:val="both"/>
                          <w:rPr>
                            <w:sz w:val="14"/>
                          </w:rPr>
                        </w:pPr>
                        <w:r>
                          <w:rPr>
                            <w:color w:val="231F20"/>
                            <w:w w:val="66"/>
                            <w:sz w:val="14"/>
                          </w:rPr>
                          <w:t> </w:t>
                        </w:r>
                        <w:r>
                          <w:rPr>
                            <w:color w:val="231F20"/>
                            <w:sz w:val="14"/>
                          </w:rPr>
                          <w:t>– Усклађеност законодавства у области заштите животне средине са лгислати- вом ЕУ</w:t>
                        </w:r>
                      </w:p>
                      <w:p>
                        <w:pPr>
                          <w:pStyle w:val="TableParagraph"/>
                          <w:spacing w:line="237" w:lineRule="auto" w:before="0"/>
                          <w:ind w:left="56" w:right="44" w:hanging="1"/>
                          <w:jc w:val="both"/>
                          <w:rPr>
                            <w:sz w:val="14"/>
                          </w:rPr>
                        </w:pPr>
                        <w:r>
                          <w:rPr>
                            <w:color w:val="231F20"/>
                            <w:w w:val="66"/>
                            <w:sz w:val="14"/>
                          </w:rPr>
                          <w:t> </w:t>
                        </w:r>
                        <w:r>
                          <w:rPr>
                            <w:color w:val="231F20"/>
                            <w:sz w:val="14"/>
                          </w:rPr>
                          <w:t>– Коришћење постојећег потенцијала вреловода за ширење мреже топлифика- ције у Пожаревцу и Костолцу</w:t>
                        </w:r>
                      </w:p>
                      <w:p>
                        <w:pPr>
                          <w:pStyle w:val="TableParagraph"/>
                          <w:spacing w:before="0"/>
                          <w:ind w:left="56" w:right="44"/>
                          <w:jc w:val="both"/>
                          <w:rPr>
                            <w:sz w:val="14"/>
                          </w:rPr>
                        </w:pPr>
                        <w:r>
                          <w:rPr>
                            <w:color w:val="231F20"/>
                            <w:w w:val="66"/>
                            <w:sz w:val="14"/>
                          </w:rPr>
                          <w:t> </w:t>
                        </w:r>
                        <w:r>
                          <w:rPr>
                            <w:color w:val="231F20"/>
                            <w:sz w:val="14"/>
                          </w:rPr>
                          <w:t>–</w:t>
                        </w:r>
                        <w:r>
                          <w:rPr>
                            <w:color w:val="231F20"/>
                            <w:spacing w:val="-6"/>
                            <w:sz w:val="14"/>
                          </w:rPr>
                          <w:t> </w:t>
                        </w:r>
                        <w:r>
                          <w:rPr>
                            <w:color w:val="231F20"/>
                            <w:sz w:val="14"/>
                          </w:rPr>
                          <w:t>Потенцијал</w:t>
                        </w:r>
                        <w:r>
                          <w:rPr>
                            <w:color w:val="231F20"/>
                            <w:spacing w:val="-6"/>
                            <w:sz w:val="14"/>
                          </w:rPr>
                          <w:t> </w:t>
                        </w:r>
                        <w:r>
                          <w:rPr>
                            <w:color w:val="231F20"/>
                            <w:sz w:val="14"/>
                          </w:rPr>
                          <w:t>за</w:t>
                        </w:r>
                        <w:r>
                          <w:rPr>
                            <w:color w:val="231F20"/>
                            <w:spacing w:val="-6"/>
                            <w:sz w:val="14"/>
                          </w:rPr>
                          <w:t> </w:t>
                        </w:r>
                        <w:r>
                          <w:rPr>
                            <w:color w:val="231F20"/>
                            <w:sz w:val="14"/>
                          </w:rPr>
                          <w:t>развој</w:t>
                        </w:r>
                        <w:r>
                          <w:rPr>
                            <w:color w:val="231F20"/>
                            <w:spacing w:val="-6"/>
                            <w:sz w:val="14"/>
                          </w:rPr>
                          <w:t> </w:t>
                        </w:r>
                        <w:r>
                          <w:rPr>
                            <w:color w:val="231F20"/>
                            <w:sz w:val="14"/>
                          </w:rPr>
                          <w:t>„органске”</w:t>
                        </w:r>
                        <w:r>
                          <w:rPr>
                            <w:color w:val="231F20"/>
                            <w:spacing w:val="-6"/>
                            <w:sz w:val="14"/>
                          </w:rPr>
                          <w:t> </w:t>
                        </w:r>
                        <w:r>
                          <w:rPr>
                            <w:color w:val="231F20"/>
                            <w:sz w:val="14"/>
                          </w:rPr>
                          <w:t>пољо- привреде</w:t>
                        </w:r>
                      </w:p>
                      <w:p>
                        <w:pPr>
                          <w:pStyle w:val="TableParagraph"/>
                          <w:spacing w:line="159" w:lineRule="exact" w:before="0"/>
                          <w:ind w:left="56"/>
                          <w:jc w:val="both"/>
                          <w:rPr>
                            <w:sz w:val="14"/>
                          </w:rPr>
                        </w:pPr>
                        <w:r>
                          <w:rPr>
                            <w:color w:val="231F20"/>
                            <w:w w:val="66"/>
                            <w:sz w:val="14"/>
                          </w:rPr>
                          <w:t> </w:t>
                        </w:r>
                        <w:r>
                          <w:rPr>
                            <w:color w:val="231F20"/>
                            <w:sz w:val="14"/>
                          </w:rPr>
                          <w:t>– Присуство НВО у еколошком сектору</w:t>
                        </w:r>
                      </w:p>
                    </w:tc>
                    <w:tc>
                      <w:tcPr>
                        <w:tcW w:w="2551" w:type="dxa"/>
                      </w:tcPr>
                      <w:p>
                        <w:pPr>
                          <w:pStyle w:val="TableParagraph"/>
                          <w:spacing w:line="232" w:lineRule="auto" w:before="22"/>
                          <w:ind w:left="56" w:right="44"/>
                          <w:jc w:val="both"/>
                          <w:rPr>
                            <w:sz w:val="14"/>
                          </w:rPr>
                        </w:pPr>
                        <w:r>
                          <w:rPr>
                            <w:color w:val="231F20"/>
                            <w:w w:val="66"/>
                            <w:sz w:val="14"/>
                          </w:rPr>
                          <w:t> </w:t>
                        </w:r>
                        <w:r>
                          <w:rPr>
                            <w:color w:val="231F20"/>
                            <w:sz w:val="14"/>
                          </w:rPr>
                          <w:t>– Релативно висок степен загађености средине (тла, воде и ваздуха), у односу на достигнут степен развоја, као после- дица: примене застарелих производних технологија, недовољно ригорозног по- штовања</w:t>
                        </w:r>
                        <w:r>
                          <w:rPr>
                            <w:color w:val="231F20"/>
                            <w:spacing w:val="-9"/>
                            <w:sz w:val="14"/>
                          </w:rPr>
                          <w:t> </w:t>
                        </w:r>
                        <w:r>
                          <w:rPr>
                            <w:color w:val="231F20"/>
                            <w:sz w:val="14"/>
                          </w:rPr>
                          <w:t>еколошких</w:t>
                        </w:r>
                        <w:r>
                          <w:rPr>
                            <w:color w:val="231F20"/>
                            <w:spacing w:val="-9"/>
                            <w:sz w:val="14"/>
                          </w:rPr>
                          <w:t> </w:t>
                        </w:r>
                        <w:r>
                          <w:rPr>
                            <w:color w:val="231F20"/>
                            <w:sz w:val="14"/>
                          </w:rPr>
                          <w:t>прописа</w:t>
                        </w:r>
                        <w:r>
                          <w:rPr>
                            <w:color w:val="231F20"/>
                            <w:spacing w:val="-9"/>
                            <w:sz w:val="14"/>
                          </w:rPr>
                          <w:t> </w:t>
                        </w:r>
                        <w:r>
                          <w:rPr>
                            <w:color w:val="231F20"/>
                            <w:sz w:val="14"/>
                          </w:rPr>
                          <w:t>и</w:t>
                        </w:r>
                        <w:r>
                          <w:rPr>
                            <w:color w:val="231F20"/>
                            <w:spacing w:val="-9"/>
                            <w:sz w:val="14"/>
                          </w:rPr>
                          <w:t> </w:t>
                        </w:r>
                        <w:r>
                          <w:rPr>
                            <w:color w:val="231F20"/>
                            <w:sz w:val="14"/>
                          </w:rPr>
                          <w:t>недовољ- но</w:t>
                        </w:r>
                        <w:r>
                          <w:rPr>
                            <w:color w:val="231F20"/>
                            <w:spacing w:val="-10"/>
                            <w:sz w:val="14"/>
                          </w:rPr>
                          <w:t> </w:t>
                        </w:r>
                        <w:r>
                          <w:rPr>
                            <w:color w:val="231F20"/>
                            <w:sz w:val="14"/>
                          </w:rPr>
                          <w:t>ригорозног</w:t>
                        </w:r>
                        <w:r>
                          <w:rPr>
                            <w:color w:val="231F20"/>
                            <w:spacing w:val="-10"/>
                            <w:sz w:val="14"/>
                          </w:rPr>
                          <w:t> </w:t>
                        </w:r>
                        <w:r>
                          <w:rPr>
                            <w:color w:val="231F20"/>
                            <w:sz w:val="14"/>
                          </w:rPr>
                          <w:t>поштовања</w:t>
                        </w:r>
                        <w:r>
                          <w:rPr>
                            <w:color w:val="231F20"/>
                            <w:spacing w:val="-10"/>
                            <w:sz w:val="14"/>
                          </w:rPr>
                          <w:t> </w:t>
                        </w:r>
                        <w:r>
                          <w:rPr>
                            <w:color w:val="231F20"/>
                            <w:sz w:val="14"/>
                          </w:rPr>
                          <w:t>просторно-ур- банистичких</w:t>
                        </w:r>
                        <w:r>
                          <w:rPr>
                            <w:color w:val="231F20"/>
                            <w:spacing w:val="-1"/>
                            <w:sz w:val="14"/>
                          </w:rPr>
                          <w:t> </w:t>
                        </w:r>
                        <w:r>
                          <w:rPr>
                            <w:color w:val="231F20"/>
                            <w:sz w:val="14"/>
                          </w:rPr>
                          <w:t>прописа</w:t>
                        </w:r>
                      </w:p>
                      <w:p>
                        <w:pPr>
                          <w:pStyle w:val="TableParagraph"/>
                          <w:spacing w:line="232" w:lineRule="auto" w:before="0"/>
                          <w:ind w:left="56" w:right="44"/>
                          <w:jc w:val="both"/>
                          <w:rPr>
                            <w:sz w:val="14"/>
                          </w:rPr>
                        </w:pPr>
                        <w:r>
                          <w:rPr>
                            <w:color w:val="231F20"/>
                            <w:w w:val="66"/>
                            <w:sz w:val="14"/>
                          </w:rPr>
                          <w:t> </w:t>
                        </w:r>
                        <w:r>
                          <w:rPr>
                            <w:color w:val="231F20"/>
                            <w:sz w:val="14"/>
                          </w:rPr>
                          <w:t>– Прекомерна и неконтролисана</w:t>
                        </w:r>
                        <w:r>
                          <w:rPr>
                            <w:color w:val="231F20"/>
                            <w:spacing w:val="-24"/>
                            <w:sz w:val="14"/>
                          </w:rPr>
                          <w:t> </w:t>
                        </w:r>
                        <w:r>
                          <w:rPr>
                            <w:color w:val="231F20"/>
                            <w:sz w:val="14"/>
                          </w:rPr>
                          <w:t>експло- атација шљунка и</w:t>
                        </w:r>
                        <w:r>
                          <w:rPr>
                            <w:color w:val="231F20"/>
                            <w:spacing w:val="-3"/>
                            <w:sz w:val="14"/>
                          </w:rPr>
                          <w:t> </w:t>
                        </w:r>
                        <w:r>
                          <w:rPr>
                            <w:color w:val="231F20"/>
                            <w:sz w:val="14"/>
                          </w:rPr>
                          <w:t>песка</w:t>
                        </w:r>
                      </w:p>
                      <w:p>
                        <w:pPr>
                          <w:pStyle w:val="TableParagraph"/>
                          <w:spacing w:line="232" w:lineRule="auto" w:before="0"/>
                          <w:ind w:left="56" w:right="44"/>
                          <w:jc w:val="both"/>
                          <w:rPr>
                            <w:sz w:val="14"/>
                          </w:rPr>
                        </w:pPr>
                        <w:r>
                          <w:rPr>
                            <w:color w:val="231F20"/>
                            <w:w w:val="66"/>
                            <w:sz w:val="14"/>
                          </w:rPr>
                          <w:t> </w:t>
                        </w:r>
                        <w:r>
                          <w:rPr>
                            <w:color w:val="231F20"/>
                            <w:sz w:val="14"/>
                          </w:rPr>
                          <w:t>– Негативни еколошки утицаји на ши- рем регионалном простору (загађење ваздуха))</w:t>
                        </w:r>
                      </w:p>
                      <w:p>
                        <w:pPr>
                          <w:pStyle w:val="TableParagraph"/>
                          <w:spacing w:line="232" w:lineRule="auto" w:before="0"/>
                          <w:ind w:left="56" w:right="44" w:hanging="1"/>
                          <w:jc w:val="both"/>
                          <w:rPr>
                            <w:sz w:val="14"/>
                          </w:rPr>
                        </w:pPr>
                        <w:r>
                          <w:rPr>
                            <w:color w:val="231F20"/>
                            <w:w w:val="66"/>
                            <w:sz w:val="14"/>
                          </w:rPr>
                          <w:t> </w:t>
                        </w:r>
                        <w:r>
                          <w:rPr>
                            <w:color w:val="231F20"/>
                            <w:sz w:val="14"/>
                          </w:rPr>
                          <w:t>– Недовољно саниране досадашње еко- лошко-просторне штете, као једно од највећих ограничења за живот станов- ника и будући развој Планског подручја</w:t>
                        </w:r>
                      </w:p>
                      <w:p>
                        <w:pPr>
                          <w:pStyle w:val="TableParagraph"/>
                          <w:spacing w:line="232" w:lineRule="auto" w:before="0"/>
                          <w:ind w:left="56" w:right="44"/>
                          <w:jc w:val="both"/>
                          <w:rPr>
                            <w:sz w:val="14"/>
                          </w:rPr>
                        </w:pPr>
                        <w:r>
                          <w:rPr>
                            <w:color w:val="231F20"/>
                            <w:w w:val="66"/>
                            <w:sz w:val="14"/>
                          </w:rPr>
                          <w:t> </w:t>
                        </w:r>
                        <w:r>
                          <w:rPr>
                            <w:color w:val="231F20"/>
                            <w:sz w:val="14"/>
                          </w:rPr>
                          <w:t>– Недовољна финансијска и друга сред- ства за еколошко-просторну санацију, ремедијацију и рехабилитацију</w:t>
                        </w:r>
                      </w:p>
                      <w:p>
                        <w:pPr>
                          <w:pStyle w:val="TableParagraph"/>
                          <w:spacing w:line="232" w:lineRule="auto" w:before="0"/>
                          <w:ind w:left="56" w:right="44"/>
                          <w:jc w:val="both"/>
                          <w:rPr>
                            <w:sz w:val="14"/>
                          </w:rPr>
                        </w:pPr>
                        <w:r>
                          <w:rPr>
                            <w:color w:val="231F20"/>
                            <w:w w:val="66"/>
                            <w:sz w:val="14"/>
                          </w:rPr>
                          <w:t> </w:t>
                        </w:r>
                        <w:r>
                          <w:rPr>
                            <w:color w:val="231F20"/>
                            <w:sz w:val="14"/>
                          </w:rPr>
                          <w:t>– Непостојање катастра загађивача и</w:t>
                        </w:r>
                        <w:r>
                          <w:rPr>
                            <w:color w:val="231F20"/>
                            <w:spacing w:val="-16"/>
                            <w:sz w:val="14"/>
                          </w:rPr>
                          <w:t> </w:t>
                        </w:r>
                        <w:r>
                          <w:rPr>
                            <w:color w:val="231F20"/>
                            <w:sz w:val="14"/>
                          </w:rPr>
                          <w:t>не- довољно развијен систем мониторинга животне</w:t>
                        </w:r>
                        <w:r>
                          <w:rPr>
                            <w:color w:val="231F20"/>
                            <w:spacing w:val="-2"/>
                            <w:sz w:val="14"/>
                          </w:rPr>
                          <w:t> </w:t>
                        </w:r>
                        <w:r>
                          <w:rPr>
                            <w:color w:val="231F20"/>
                            <w:sz w:val="14"/>
                          </w:rPr>
                          <w:t>средине</w:t>
                        </w:r>
                      </w:p>
                      <w:p>
                        <w:pPr>
                          <w:pStyle w:val="TableParagraph"/>
                          <w:spacing w:line="232" w:lineRule="auto" w:before="0"/>
                          <w:ind w:left="56" w:right="44"/>
                          <w:jc w:val="both"/>
                          <w:rPr>
                            <w:sz w:val="14"/>
                          </w:rPr>
                        </w:pPr>
                        <w:r>
                          <w:rPr>
                            <w:color w:val="231F20"/>
                            <w:w w:val="66"/>
                            <w:sz w:val="14"/>
                          </w:rPr>
                          <w:t> </w:t>
                        </w:r>
                        <w:r>
                          <w:rPr>
                            <w:color w:val="231F20"/>
                            <w:sz w:val="14"/>
                          </w:rPr>
                          <w:t>– Неразвијена канализациона мрежа и недостатак уређаја за пречишћавање от- падних вода</w:t>
                        </w:r>
                      </w:p>
                      <w:p>
                        <w:pPr>
                          <w:pStyle w:val="TableParagraph"/>
                          <w:spacing w:line="232" w:lineRule="auto" w:before="0"/>
                          <w:ind w:left="56" w:right="44"/>
                          <w:jc w:val="both"/>
                          <w:rPr>
                            <w:sz w:val="14"/>
                          </w:rPr>
                        </w:pPr>
                        <w:r>
                          <w:rPr>
                            <w:color w:val="231F20"/>
                            <w:w w:val="66"/>
                            <w:sz w:val="14"/>
                          </w:rPr>
                          <w:t> </w:t>
                        </w:r>
                        <w:r>
                          <w:rPr>
                            <w:color w:val="231F20"/>
                            <w:sz w:val="14"/>
                          </w:rPr>
                          <w:t>– Велике тешкоће у управљању земљи- штем, а нарочито у решавању имовин- ско-правних односа у поступку експро- пријације непокретности за потребе експлоатације и прераде угља</w:t>
                        </w:r>
                      </w:p>
                      <w:p>
                        <w:pPr>
                          <w:pStyle w:val="TableParagraph"/>
                          <w:spacing w:line="232" w:lineRule="auto" w:before="0"/>
                          <w:ind w:left="56" w:right="44"/>
                          <w:jc w:val="both"/>
                          <w:rPr>
                            <w:sz w:val="14"/>
                          </w:rPr>
                        </w:pPr>
                        <w:r>
                          <w:rPr>
                            <w:color w:val="231F20"/>
                            <w:w w:val="66"/>
                            <w:sz w:val="14"/>
                          </w:rPr>
                          <w:t> </w:t>
                        </w:r>
                        <w:r>
                          <w:rPr>
                            <w:color w:val="231F20"/>
                            <w:sz w:val="14"/>
                          </w:rPr>
                          <w:t>– Споро доношење урбанистичких пла- нова</w:t>
                        </w:r>
                      </w:p>
                      <w:p>
                        <w:pPr>
                          <w:pStyle w:val="TableParagraph"/>
                          <w:spacing w:line="232" w:lineRule="auto" w:before="0"/>
                          <w:ind w:left="56" w:right="44" w:hanging="1"/>
                          <w:jc w:val="both"/>
                          <w:rPr>
                            <w:sz w:val="14"/>
                          </w:rPr>
                        </w:pPr>
                        <w:r>
                          <w:rPr>
                            <w:color w:val="231F20"/>
                            <w:w w:val="66"/>
                            <w:sz w:val="14"/>
                          </w:rPr>
                          <w:t> </w:t>
                        </w:r>
                        <w:r>
                          <w:rPr>
                            <w:color w:val="231F20"/>
                            <w:sz w:val="14"/>
                          </w:rPr>
                          <w:t>– Неадекватне постојеће санитарне де- поније, као и непостојање регионалне депоније и рециклажних центара</w:t>
                        </w:r>
                      </w:p>
                    </w:tc>
                  </w:tr>
                  <w:tr>
                    <w:trPr>
                      <w:trHeight w:val="200" w:hRule="atLeast"/>
                    </w:trPr>
                    <w:tc>
                      <w:tcPr>
                        <w:tcW w:w="2551" w:type="dxa"/>
                      </w:tcPr>
                      <w:p>
                        <w:pPr>
                          <w:pStyle w:val="TableParagraph"/>
                          <w:spacing w:before="17"/>
                          <w:ind w:left="721" w:right="712"/>
                          <w:jc w:val="center"/>
                          <w:rPr>
                            <w:sz w:val="14"/>
                          </w:rPr>
                        </w:pPr>
                        <w:r>
                          <w:rPr>
                            <w:color w:val="231F20"/>
                            <w:sz w:val="14"/>
                          </w:rPr>
                          <w:t>МОГУЋНОСТИ</w:t>
                        </w:r>
                      </w:p>
                    </w:tc>
                    <w:tc>
                      <w:tcPr>
                        <w:tcW w:w="2551" w:type="dxa"/>
                      </w:tcPr>
                      <w:p>
                        <w:pPr>
                          <w:pStyle w:val="TableParagraph"/>
                          <w:spacing w:before="17"/>
                          <w:ind w:left="722" w:right="712"/>
                          <w:jc w:val="center"/>
                          <w:rPr>
                            <w:sz w:val="14"/>
                          </w:rPr>
                        </w:pPr>
                        <w:r>
                          <w:rPr>
                            <w:color w:val="231F20"/>
                            <w:sz w:val="14"/>
                          </w:rPr>
                          <w:t>ПРЕТЊЕ</w:t>
                        </w:r>
                      </w:p>
                    </w:tc>
                  </w:tr>
                  <w:tr>
                    <w:trPr>
                      <w:trHeight w:val="1160" w:hRule="atLeast"/>
                    </w:trPr>
                    <w:tc>
                      <w:tcPr>
                        <w:tcW w:w="2551" w:type="dxa"/>
                      </w:tcPr>
                      <w:p>
                        <w:pPr>
                          <w:pStyle w:val="TableParagraph"/>
                          <w:spacing w:before="17"/>
                          <w:ind w:left="56" w:right="44" w:hanging="1"/>
                          <w:jc w:val="both"/>
                          <w:rPr>
                            <w:sz w:val="14"/>
                          </w:rPr>
                        </w:pPr>
                        <w:r>
                          <w:rPr>
                            <w:color w:val="231F20"/>
                            <w:w w:val="66"/>
                            <w:sz w:val="14"/>
                          </w:rPr>
                          <w:t> </w:t>
                        </w:r>
                        <w:r>
                          <w:rPr>
                            <w:color w:val="231F20"/>
                            <w:sz w:val="14"/>
                          </w:rPr>
                          <w:t>– </w:t>
                        </w:r>
                        <w:r>
                          <w:rPr>
                            <w:color w:val="231F20"/>
                            <w:spacing w:val="-3"/>
                            <w:sz w:val="14"/>
                          </w:rPr>
                          <w:t>Увођење </w:t>
                        </w:r>
                        <w:r>
                          <w:rPr>
                            <w:color w:val="231F20"/>
                            <w:sz w:val="14"/>
                          </w:rPr>
                          <w:t>диференцираних простор- но-еколошких режима у разним зонама Планског подручја</w:t>
                        </w:r>
                        <w:r>
                          <w:rPr>
                            <w:color w:val="231F20"/>
                            <w:spacing w:val="-27"/>
                            <w:sz w:val="14"/>
                          </w:rPr>
                          <w:t> </w:t>
                        </w:r>
                        <w:r>
                          <w:rPr>
                            <w:color w:val="231F20"/>
                            <w:sz w:val="14"/>
                          </w:rPr>
                          <w:t>(еколошко-просторне Зоне</w:t>
                        </w:r>
                        <w:r>
                          <w:rPr>
                            <w:color w:val="231F20"/>
                            <w:spacing w:val="-2"/>
                            <w:sz w:val="14"/>
                          </w:rPr>
                          <w:t> </w:t>
                        </w:r>
                        <w:r>
                          <w:rPr>
                            <w:color w:val="231F20"/>
                            <w:sz w:val="14"/>
                          </w:rPr>
                          <w:t>I-VI)</w:t>
                        </w:r>
                      </w:p>
                      <w:p>
                        <w:pPr>
                          <w:pStyle w:val="TableParagraph"/>
                          <w:spacing w:line="237" w:lineRule="auto" w:before="0"/>
                          <w:ind w:left="56" w:right="44"/>
                          <w:jc w:val="both"/>
                          <w:rPr>
                            <w:sz w:val="14"/>
                          </w:rPr>
                        </w:pPr>
                        <w:r>
                          <w:rPr>
                            <w:color w:val="231F20"/>
                            <w:w w:val="66"/>
                            <w:sz w:val="14"/>
                          </w:rPr>
                          <w:t> </w:t>
                        </w:r>
                        <w:r>
                          <w:rPr>
                            <w:color w:val="231F20"/>
                            <w:sz w:val="14"/>
                          </w:rPr>
                          <w:t>–</w:t>
                        </w:r>
                        <w:r>
                          <w:rPr>
                            <w:color w:val="231F20"/>
                            <w:spacing w:val="-8"/>
                            <w:sz w:val="14"/>
                          </w:rPr>
                          <w:t> </w:t>
                        </w:r>
                        <w:r>
                          <w:rPr>
                            <w:color w:val="231F20"/>
                            <w:sz w:val="14"/>
                          </w:rPr>
                          <w:t>Израда</w:t>
                        </w:r>
                        <w:r>
                          <w:rPr>
                            <w:color w:val="231F20"/>
                            <w:spacing w:val="-8"/>
                            <w:sz w:val="14"/>
                          </w:rPr>
                          <w:t> </w:t>
                        </w:r>
                        <w:r>
                          <w:rPr>
                            <w:color w:val="231F20"/>
                            <w:sz w:val="14"/>
                          </w:rPr>
                          <w:t>развојних</w:t>
                        </w:r>
                        <w:r>
                          <w:rPr>
                            <w:color w:val="231F20"/>
                            <w:spacing w:val="-8"/>
                            <w:sz w:val="14"/>
                          </w:rPr>
                          <w:t> </w:t>
                        </w:r>
                        <w:r>
                          <w:rPr>
                            <w:color w:val="231F20"/>
                            <w:sz w:val="14"/>
                          </w:rPr>
                          <w:t>пројеката</w:t>
                        </w:r>
                        <w:r>
                          <w:rPr>
                            <w:color w:val="231F20"/>
                            <w:spacing w:val="-8"/>
                            <w:sz w:val="14"/>
                          </w:rPr>
                          <w:t> </w:t>
                        </w:r>
                        <w:r>
                          <w:rPr>
                            <w:color w:val="231F20"/>
                            <w:sz w:val="14"/>
                          </w:rPr>
                          <w:t>у</w:t>
                        </w:r>
                        <w:r>
                          <w:rPr>
                            <w:color w:val="231F20"/>
                            <w:spacing w:val="-8"/>
                            <w:sz w:val="14"/>
                          </w:rPr>
                          <w:t> </w:t>
                        </w:r>
                        <w:r>
                          <w:rPr>
                            <w:color w:val="231F20"/>
                            <w:sz w:val="14"/>
                          </w:rPr>
                          <w:t>складу</w:t>
                        </w:r>
                        <w:r>
                          <w:rPr>
                            <w:color w:val="231F20"/>
                            <w:spacing w:val="-8"/>
                            <w:sz w:val="14"/>
                          </w:rPr>
                          <w:t> </w:t>
                        </w:r>
                        <w:r>
                          <w:rPr>
                            <w:color w:val="231F20"/>
                            <w:sz w:val="14"/>
                          </w:rPr>
                          <w:t>са принципима одрживог развоја и њихова реализација</w:t>
                        </w:r>
                      </w:p>
                    </w:tc>
                    <w:tc>
                      <w:tcPr>
                        <w:tcW w:w="2551" w:type="dxa"/>
                      </w:tcPr>
                      <w:p>
                        <w:pPr>
                          <w:pStyle w:val="TableParagraph"/>
                          <w:spacing w:before="17"/>
                          <w:ind w:left="56" w:right="44"/>
                          <w:jc w:val="both"/>
                          <w:rPr>
                            <w:sz w:val="14"/>
                          </w:rPr>
                        </w:pPr>
                        <w:r>
                          <w:rPr>
                            <w:color w:val="231F20"/>
                            <w:w w:val="66"/>
                            <w:sz w:val="14"/>
                          </w:rPr>
                          <w:t> </w:t>
                        </w:r>
                        <w:r>
                          <w:rPr>
                            <w:color w:val="231F20"/>
                            <w:sz w:val="14"/>
                          </w:rPr>
                          <w:t>– Настављање екстракције и прераде основног енергетског ресурса на сада- шњи начин (еколошки-просторно суп- стандардан)</w:t>
                        </w:r>
                      </w:p>
                      <w:p>
                        <w:pPr>
                          <w:pStyle w:val="TableParagraph"/>
                          <w:spacing w:line="237" w:lineRule="auto" w:before="0"/>
                          <w:ind w:left="56" w:right="44"/>
                          <w:jc w:val="both"/>
                          <w:rPr>
                            <w:sz w:val="14"/>
                          </w:rPr>
                        </w:pPr>
                        <w:r>
                          <w:rPr>
                            <w:color w:val="231F20"/>
                            <w:w w:val="66"/>
                            <w:sz w:val="14"/>
                          </w:rPr>
                          <w:t> </w:t>
                        </w:r>
                        <w:r>
                          <w:rPr>
                            <w:color w:val="231F20"/>
                            <w:sz w:val="14"/>
                          </w:rPr>
                          <w:t>– Непостојање квалитетних национал- них стратегија или лоша имлементација постојећих</w:t>
                        </w:r>
                      </w:p>
                    </w:tc>
                  </w:tr>
                </w:tbl>
                <w:p>
                  <w:pPr>
                    <w:pStyle w:val="BodyText"/>
                    <w:ind w:left="0"/>
                    <w:jc w:val="left"/>
                  </w:pPr>
                </w:p>
              </w:txbxContent>
            </v:textbox>
            <w10:wrap type="none"/>
          </v:shape>
        </w:pict>
      </w:r>
      <w:r>
        <w:rPr>
          <w:color w:val="231F20"/>
        </w:rPr>
        <w:t>Коришћење ресурса, животна средина и уређење простора</w:t>
      </w:r>
    </w:p>
    <w:p>
      <w:pPr>
        <w:pStyle w:val="BodyText"/>
        <w:spacing w:before="93"/>
        <w:ind w:left="1186" w:right="1088"/>
        <w:jc w:val="center"/>
      </w:pPr>
      <w:r>
        <w:rPr/>
        <w:br w:type="column"/>
      </w:r>
      <w:r>
        <w:rPr>
          <w:color w:val="231F20"/>
        </w:rPr>
        <w:t>Техничка инфраструктура</w:t>
      </w:r>
    </w:p>
    <w:p>
      <w:pPr>
        <w:pStyle w:val="BodyText"/>
        <w:spacing w:before="11"/>
        <w:ind w:left="0"/>
        <w:jc w:val="left"/>
        <w:rPr>
          <w:sz w:val="20"/>
        </w:rPr>
      </w:pPr>
    </w:p>
    <w:tbl>
      <w:tblPr>
        <w:tblW w:w="0" w:type="auto"/>
        <w:jc w:val="left"/>
        <w:tblInd w:w="2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3400" w:hRule="atLeast"/>
        </w:trPr>
        <w:tc>
          <w:tcPr>
            <w:tcW w:w="2551" w:type="dxa"/>
          </w:tcPr>
          <w:p>
            <w:pPr>
              <w:pStyle w:val="TableParagraph"/>
              <w:ind w:left="56" w:right="44"/>
              <w:jc w:val="both"/>
              <w:rPr>
                <w:sz w:val="14"/>
              </w:rPr>
            </w:pPr>
            <w:r>
              <w:rPr>
                <w:color w:val="231F20"/>
                <w:w w:val="66"/>
                <w:sz w:val="14"/>
              </w:rPr>
              <w:t> </w:t>
            </w:r>
            <w:r>
              <w:rPr>
                <w:color w:val="231F20"/>
                <w:sz w:val="14"/>
              </w:rPr>
              <w:t>– Покривеност ПТТ мрежом и мрежама мобилних оператера</w:t>
            </w:r>
          </w:p>
          <w:p>
            <w:pPr>
              <w:pStyle w:val="TableParagraph"/>
              <w:spacing w:before="0"/>
              <w:ind w:left="56" w:right="44" w:hanging="1"/>
              <w:jc w:val="both"/>
              <w:rPr>
                <w:sz w:val="14"/>
              </w:rPr>
            </w:pPr>
            <w:r>
              <w:rPr>
                <w:color w:val="231F20"/>
                <w:w w:val="66"/>
                <w:sz w:val="14"/>
              </w:rPr>
              <w:t> </w:t>
            </w:r>
            <w:r>
              <w:rPr>
                <w:color w:val="231F20"/>
                <w:sz w:val="14"/>
              </w:rPr>
              <w:t>– Израђене студије изводљивости за по- једине инфраструктурне пројекте</w:t>
            </w:r>
          </w:p>
          <w:p>
            <w:pPr>
              <w:pStyle w:val="TableParagraph"/>
              <w:spacing w:before="0"/>
              <w:ind w:left="56" w:right="44" w:hanging="1"/>
              <w:jc w:val="both"/>
              <w:rPr>
                <w:sz w:val="14"/>
              </w:rPr>
            </w:pPr>
            <w:r>
              <w:rPr>
                <w:color w:val="231F20"/>
                <w:w w:val="66"/>
                <w:sz w:val="14"/>
              </w:rPr>
              <w:t> </w:t>
            </w:r>
            <w:r>
              <w:rPr>
                <w:color w:val="231F20"/>
                <w:sz w:val="14"/>
              </w:rPr>
              <w:t>– Постојање институционалног оквира за подршку развоја и управљања инфра- структуром</w:t>
            </w:r>
            <w:r>
              <w:rPr>
                <w:color w:val="231F20"/>
                <w:spacing w:val="-12"/>
                <w:sz w:val="14"/>
              </w:rPr>
              <w:t> </w:t>
            </w:r>
            <w:r>
              <w:rPr>
                <w:color w:val="231F20"/>
                <w:sz w:val="14"/>
              </w:rPr>
              <w:t>и</w:t>
            </w:r>
            <w:r>
              <w:rPr>
                <w:color w:val="231F20"/>
                <w:spacing w:val="-12"/>
                <w:sz w:val="14"/>
              </w:rPr>
              <w:t> </w:t>
            </w:r>
            <w:r>
              <w:rPr>
                <w:color w:val="231F20"/>
                <w:sz w:val="14"/>
              </w:rPr>
              <w:t>заштитом</w:t>
            </w:r>
            <w:r>
              <w:rPr>
                <w:color w:val="231F20"/>
                <w:spacing w:val="-12"/>
                <w:sz w:val="14"/>
              </w:rPr>
              <w:t> </w:t>
            </w:r>
            <w:r>
              <w:rPr>
                <w:color w:val="231F20"/>
                <w:sz w:val="14"/>
              </w:rPr>
              <w:t>животне</w:t>
            </w:r>
            <w:r>
              <w:rPr>
                <w:color w:val="231F20"/>
                <w:spacing w:val="-12"/>
                <w:sz w:val="14"/>
              </w:rPr>
              <w:t> </w:t>
            </w:r>
            <w:r>
              <w:rPr>
                <w:color w:val="231F20"/>
                <w:sz w:val="14"/>
              </w:rPr>
              <w:t>средине</w:t>
            </w:r>
          </w:p>
          <w:p>
            <w:pPr>
              <w:pStyle w:val="TableParagraph"/>
              <w:spacing w:line="158" w:lineRule="exact" w:before="0"/>
              <w:ind w:left="57"/>
              <w:jc w:val="left"/>
              <w:rPr>
                <w:sz w:val="14"/>
              </w:rPr>
            </w:pPr>
            <w:r>
              <w:rPr>
                <w:color w:val="231F20"/>
                <w:w w:val="66"/>
                <w:sz w:val="14"/>
              </w:rPr>
              <w:t> </w:t>
            </w:r>
            <w:r>
              <w:rPr>
                <w:color w:val="231F20"/>
                <w:sz w:val="14"/>
              </w:rPr>
              <w:t>– Постојање стручног кадра</w:t>
            </w:r>
          </w:p>
          <w:p>
            <w:pPr>
              <w:pStyle w:val="TableParagraph"/>
              <w:spacing w:before="0"/>
              <w:ind w:left="57" w:right="44"/>
              <w:jc w:val="both"/>
              <w:rPr>
                <w:sz w:val="14"/>
              </w:rPr>
            </w:pPr>
            <w:r>
              <w:rPr>
                <w:color w:val="231F20"/>
                <w:w w:val="66"/>
                <w:sz w:val="14"/>
              </w:rPr>
              <w:t> </w:t>
            </w:r>
            <w:r>
              <w:rPr>
                <w:color w:val="231F20"/>
                <w:sz w:val="14"/>
              </w:rPr>
              <w:t>– Повезаност свих примарних енергет- ских објеката у оквиру, ТЕ-КО „Косто- лац” и града Пожаревца у Технички си- стем веза „ЕПС”-а</w:t>
            </w:r>
          </w:p>
          <w:p>
            <w:pPr>
              <w:pStyle w:val="TableParagraph"/>
              <w:spacing w:line="237" w:lineRule="auto" w:before="0"/>
              <w:ind w:left="57" w:right="43"/>
              <w:jc w:val="both"/>
              <w:rPr>
                <w:sz w:val="14"/>
              </w:rPr>
            </w:pPr>
            <w:r>
              <w:rPr>
                <w:color w:val="231F20"/>
                <w:w w:val="66"/>
                <w:sz w:val="14"/>
              </w:rPr>
              <w:t> </w:t>
            </w:r>
            <w:r>
              <w:rPr>
                <w:color w:val="231F20"/>
                <w:sz w:val="14"/>
              </w:rPr>
              <w:t>– Изграђени магистрални оптички ка- блови и, делимично, приводи, као и ло- кални оптички каблови и приводи</w:t>
            </w:r>
          </w:p>
        </w:tc>
        <w:tc>
          <w:tcPr>
            <w:tcW w:w="2551" w:type="dxa"/>
          </w:tcPr>
          <w:p>
            <w:pPr>
              <w:pStyle w:val="TableParagraph"/>
              <w:ind w:left="57" w:right="43"/>
              <w:jc w:val="both"/>
              <w:rPr>
                <w:sz w:val="14"/>
              </w:rPr>
            </w:pPr>
            <w:r>
              <w:rPr>
                <w:color w:val="231F20"/>
                <w:w w:val="66"/>
                <w:sz w:val="14"/>
              </w:rPr>
              <w:t> </w:t>
            </w:r>
            <w:r>
              <w:rPr>
                <w:color w:val="231F20"/>
                <w:sz w:val="14"/>
              </w:rPr>
              <w:t>– </w:t>
            </w:r>
            <w:r>
              <w:rPr>
                <w:color w:val="231F20"/>
                <w:spacing w:val="-3"/>
                <w:sz w:val="14"/>
              </w:rPr>
              <w:t>Недовољна </w:t>
            </w:r>
            <w:r>
              <w:rPr>
                <w:color w:val="231F20"/>
                <w:sz w:val="14"/>
              </w:rPr>
              <w:t>финансијска </w:t>
            </w:r>
            <w:r>
              <w:rPr>
                <w:color w:val="231F20"/>
                <w:spacing w:val="-3"/>
                <w:sz w:val="14"/>
              </w:rPr>
              <w:t>средства </w:t>
            </w:r>
            <w:r>
              <w:rPr>
                <w:color w:val="231F20"/>
                <w:sz w:val="14"/>
              </w:rPr>
              <w:t>за</w:t>
            </w:r>
            <w:r>
              <w:rPr>
                <w:color w:val="231F20"/>
                <w:spacing w:val="-23"/>
                <w:sz w:val="14"/>
              </w:rPr>
              <w:t> </w:t>
            </w:r>
            <w:r>
              <w:rPr>
                <w:color w:val="231F20"/>
                <w:sz w:val="14"/>
              </w:rPr>
              <w:t>ве- лика </w:t>
            </w:r>
            <w:r>
              <w:rPr>
                <w:color w:val="231F20"/>
                <w:spacing w:val="-3"/>
                <w:sz w:val="14"/>
              </w:rPr>
              <w:t>улагања </w:t>
            </w:r>
            <w:r>
              <w:rPr>
                <w:color w:val="231F20"/>
                <w:sz w:val="14"/>
              </w:rPr>
              <w:t>у </w:t>
            </w:r>
            <w:r>
              <w:rPr>
                <w:color w:val="231F20"/>
                <w:spacing w:val="-3"/>
                <w:sz w:val="14"/>
              </w:rPr>
              <w:t>техничку</w:t>
            </w:r>
            <w:r>
              <w:rPr>
                <w:color w:val="231F20"/>
                <w:sz w:val="14"/>
              </w:rPr>
              <w:t> </w:t>
            </w:r>
            <w:r>
              <w:rPr>
                <w:color w:val="231F20"/>
                <w:spacing w:val="-3"/>
                <w:sz w:val="14"/>
              </w:rPr>
              <w:t>инфраструктуру</w:t>
            </w:r>
          </w:p>
          <w:p>
            <w:pPr>
              <w:pStyle w:val="TableParagraph"/>
              <w:spacing w:before="0"/>
              <w:ind w:left="57" w:right="43" w:hanging="1"/>
              <w:jc w:val="both"/>
              <w:rPr>
                <w:sz w:val="14"/>
              </w:rPr>
            </w:pPr>
            <w:r>
              <w:rPr>
                <w:color w:val="231F20"/>
                <w:w w:val="66"/>
                <w:sz w:val="14"/>
              </w:rPr>
              <w:t> </w:t>
            </w:r>
            <w:r>
              <w:rPr>
                <w:color w:val="231F20"/>
                <w:sz w:val="14"/>
              </w:rPr>
              <w:t>– Недостатак урађених пројеката и тех- ничке документације</w:t>
            </w:r>
          </w:p>
          <w:p>
            <w:pPr>
              <w:pStyle w:val="TableParagraph"/>
              <w:spacing w:before="0"/>
              <w:ind w:left="57" w:right="43" w:hanging="1"/>
              <w:jc w:val="both"/>
              <w:rPr>
                <w:sz w:val="14"/>
              </w:rPr>
            </w:pPr>
            <w:r>
              <w:rPr>
                <w:color w:val="231F20"/>
                <w:w w:val="66"/>
                <w:sz w:val="14"/>
              </w:rPr>
              <w:t> </w:t>
            </w:r>
            <w:r>
              <w:rPr>
                <w:color w:val="231F20"/>
                <w:sz w:val="14"/>
              </w:rPr>
              <w:t>– Недовољно улагање у комуналне си- стеме</w:t>
            </w:r>
          </w:p>
          <w:p>
            <w:pPr>
              <w:pStyle w:val="TableParagraph"/>
              <w:spacing w:before="0"/>
              <w:ind w:left="57" w:right="43"/>
              <w:jc w:val="both"/>
              <w:rPr>
                <w:sz w:val="14"/>
              </w:rPr>
            </w:pPr>
            <w:r>
              <w:rPr>
                <w:color w:val="231F20"/>
                <w:w w:val="66"/>
                <w:sz w:val="14"/>
              </w:rPr>
              <w:t> </w:t>
            </w:r>
            <w:r>
              <w:rPr>
                <w:color w:val="231F20"/>
                <w:sz w:val="14"/>
              </w:rPr>
              <w:t>– Недовољно развијено јавно-приватно партнерство у области техничке инфра- структуре</w:t>
            </w:r>
          </w:p>
          <w:p>
            <w:pPr>
              <w:pStyle w:val="TableParagraph"/>
              <w:spacing w:line="237" w:lineRule="auto" w:before="0"/>
              <w:ind w:left="57" w:right="43" w:hanging="1"/>
              <w:jc w:val="both"/>
              <w:rPr>
                <w:sz w:val="14"/>
              </w:rPr>
            </w:pPr>
            <w:r>
              <w:rPr>
                <w:color w:val="231F20"/>
                <w:w w:val="66"/>
                <w:sz w:val="14"/>
              </w:rPr>
              <w:t> </w:t>
            </w:r>
            <w:r>
              <w:rPr>
                <w:color w:val="231F20"/>
                <w:sz w:val="14"/>
              </w:rPr>
              <w:t>– </w:t>
            </w:r>
            <w:r>
              <w:rPr>
                <w:color w:val="231F20"/>
                <w:spacing w:val="-3"/>
                <w:sz w:val="14"/>
              </w:rPr>
              <w:t>Неизграђена речна инфраструктура </w:t>
            </w:r>
            <w:r>
              <w:rPr>
                <w:color w:val="231F20"/>
                <w:sz w:val="14"/>
              </w:rPr>
              <w:t>и мали </w:t>
            </w:r>
            <w:r>
              <w:rPr>
                <w:color w:val="231F20"/>
                <w:spacing w:val="-3"/>
                <w:sz w:val="14"/>
              </w:rPr>
              <w:t>број царинских испостава </w:t>
            </w:r>
            <w:r>
              <w:rPr>
                <w:color w:val="231F20"/>
                <w:sz w:val="14"/>
              </w:rPr>
              <w:t>на </w:t>
            </w:r>
            <w:r>
              <w:rPr>
                <w:color w:val="231F20"/>
                <w:spacing w:val="-3"/>
                <w:sz w:val="14"/>
              </w:rPr>
              <w:t>Дунаву</w:t>
            </w:r>
          </w:p>
          <w:p>
            <w:pPr>
              <w:pStyle w:val="TableParagraph"/>
              <w:spacing w:before="0"/>
              <w:ind w:left="57" w:right="42" w:hanging="1"/>
              <w:jc w:val="both"/>
              <w:rPr>
                <w:sz w:val="14"/>
              </w:rPr>
            </w:pPr>
            <w:r>
              <w:rPr>
                <w:color w:val="231F20"/>
                <w:w w:val="66"/>
                <w:sz w:val="14"/>
              </w:rPr>
              <w:t> </w:t>
            </w:r>
            <w:r>
              <w:rPr>
                <w:color w:val="231F20"/>
                <w:sz w:val="14"/>
              </w:rPr>
              <w:t>– Непостојање капацитета за прераду отпадних вода, непостојање регионал- них водовода, велики губици воде у во- доводној мрежи (до 50%), и коришћење азбестних цеви у водоводној мрежи</w:t>
            </w:r>
          </w:p>
          <w:p>
            <w:pPr>
              <w:pStyle w:val="TableParagraph"/>
              <w:spacing w:line="237" w:lineRule="auto" w:before="0"/>
              <w:ind w:left="58" w:right="43"/>
              <w:jc w:val="both"/>
              <w:rPr>
                <w:sz w:val="14"/>
              </w:rPr>
            </w:pPr>
            <w:r>
              <w:rPr>
                <w:color w:val="231F20"/>
                <w:w w:val="66"/>
                <w:sz w:val="14"/>
              </w:rPr>
              <w:t> </w:t>
            </w:r>
            <w:r>
              <w:rPr>
                <w:color w:val="231F20"/>
                <w:sz w:val="14"/>
              </w:rPr>
              <w:t>– </w:t>
            </w:r>
            <w:r>
              <w:rPr>
                <w:color w:val="231F20"/>
                <w:spacing w:val="-3"/>
                <w:sz w:val="14"/>
              </w:rPr>
              <w:t>Недовољан </w:t>
            </w:r>
            <w:r>
              <w:rPr>
                <w:color w:val="231F20"/>
                <w:spacing w:val="-4"/>
                <w:sz w:val="14"/>
              </w:rPr>
              <w:t>капацитет </w:t>
            </w:r>
            <w:r>
              <w:rPr>
                <w:color w:val="231F20"/>
                <w:sz w:val="14"/>
              </w:rPr>
              <w:t>и </w:t>
            </w:r>
            <w:r>
              <w:rPr>
                <w:color w:val="231F20"/>
                <w:spacing w:val="-3"/>
                <w:sz w:val="14"/>
              </w:rPr>
              <w:t>број дигитал- </w:t>
            </w:r>
            <w:r>
              <w:rPr>
                <w:color w:val="231F20"/>
                <w:sz w:val="14"/>
              </w:rPr>
              <w:t>них ПТТ </w:t>
            </w:r>
            <w:r>
              <w:rPr>
                <w:color w:val="231F20"/>
                <w:spacing w:val="-3"/>
                <w:sz w:val="14"/>
              </w:rPr>
              <w:t>централа </w:t>
            </w:r>
            <w:r>
              <w:rPr>
                <w:color w:val="231F20"/>
                <w:sz w:val="14"/>
              </w:rPr>
              <w:t>(за </w:t>
            </w:r>
            <w:r>
              <w:rPr>
                <w:color w:val="231F20"/>
                <w:spacing w:val="-3"/>
                <w:sz w:val="14"/>
              </w:rPr>
              <w:t>ширење ADSl): постојање врло </w:t>
            </w:r>
            <w:r>
              <w:rPr>
                <w:color w:val="231F20"/>
                <w:spacing w:val="-4"/>
                <w:sz w:val="14"/>
              </w:rPr>
              <w:t>великог </w:t>
            </w:r>
            <w:r>
              <w:rPr>
                <w:color w:val="231F20"/>
                <w:spacing w:val="-3"/>
                <w:sz w:val="14"/>
              </w:rPr>
              <w:t>броја застарелих </w:t>
            </w:r>
            <w:r>
              <w:rPr>
                <w:color w:val="231F20"/>
                <w:spacing w:val="-4"/>
                <w:sz w:val="14"/>
              </w:rPr>
              <w:t>комутационих </w:t>
            </w:r>
            <w:r>
              <w:rPr>
                <w:color w:val="231F20"/>
                <w:spacing w:val="-3"/>
                <w:sz w:val="14"/>
              </w:rPr>
              <w:t>система типа </w:t>
            </w:r>
            <w:r>
              <w:rPr>
                <w:color w:val="231F20"/>
                <w:spacing w:val="-4"/>
                <w:sz w:val="14"/>
              </w:rPr>
              <w:t>који </w:t>
            </w:r>
            <w:r>
              <w:rPr>
                <w:color w:val="231F20"/>
                <w:sz w:val="14"/>
              </w:rPr>
              <w:t>не </w:t>
            </w:r>
            <w:r>
              <w:rPr>
                <w:color w:val="231F20"/>
                <w:spacing w:val="-4"/>
                <w:sz w:val="14"/>
              </w:rPr>
              <w:t>подр- </w:t>
            </w:r>
            <w:r>
              <w:rPr>
                <w:color w:val="231F20"/>
                <w:spacing w:val="-3"/>
                <w:sz w:val="14"/>
              </w:rPr>
              <w:t>жавају </w:t>
            </w:r>
            <w:r>
              <w:rPr>
                <w:color w:val="231F20"/>
                <w:sz w:val="14"/>
              </w:rPr>
              <w:t>рад </w:t>
            </w:r>
            <w:r>
              <w:rPr>
                <w:color w:val="231F20"/>
                <w:spacing w:val="-4"/>
                <w:sz w:val="14"/>
              </w:rPr>
              <w:t>широкопојасних </w:t>
            </w:r>
            <w:r>
              <w:rPr>
                <w:color w:val="231F20"/>
                <w:spacing w:val="-3"/>
                <w:sz w:val="14"/>
              </w:rPr>
              <w:t>ISDN</w:t>
            </w:r>
            <w:r>
              <w:rPr>
                <w:color w:val="231F20"/>
                <w:spacing w:val="-16"/>
                <w:sz w:val="14"/>
              </w:rPr>
              <w:t> </w:t>
            </w:r>
            <w:r>
              <w:rPr>
                <w:color w:val="231F20"/>
                <w:spacing w:val="-3"/>
                <w:sz w:val="14"/>
              </w:rPr>
              <w:t>система.</w:t>
            </w:r>
          </w:p>
        </w:tc>
      </w:tr>
      <w:tr>
        <w:trPr>
          <w:trHeight w:val="200" w:hRule="atLeast"/>
        </w:trPr>
        <w:tc>
          <w:tcPr>
            <w:tcW w:w="2551" w:type="dxa"/>
          </w:tcPr>
          <w:p>
            <w:pPr>
              <w:pStyle w:val="TableParagraph"/>
              <w:ind w:left="722" w:right="710"/>
              <w:jc w:val="center"/>
              <w:rPr>
                <w:sz w:val="14"/>
              </w:rPr>
            </w:pPr>
            <w:r>
              <w:rPr>
                <w:color w:val="231F20"/>
                <w:sz w:val="14"/>
              </w:rPr>
              <w:t>МОГУЋНОСТИ</w:t>
            </w:r>
          </w:p>
        </w:tc>
        <w:tc>
          <w:tcPr>
            <w:tcW w:w="2551" w:type="dxa"/>
          </w:tcPr>
          <w:p>
            <w:pPr>
              <w:pStyle w:val="TableParagraph"/>
              <w:ind w:left="722" w:right="710"/>
              <w:jc w:val="center"/>
              <w:rPr>
                <w:sz w:val="14"/>
              </w:rPr>
            </w:pPr>
            <w:r>
              <w:rPr>
                <w:color w:val="231F20"/>
                <w:sz w:val="14"/>
              </w:rPr>
              <w:t>ПРЕТЊЕ</w:t>
            </w:r>
          </w:p>
        </w:tc>
      </w:tr>
      <w:tr>
        <w:trPr>
          <w:trHeight w:val="1320" w:hRule="atLeast"/>
        </w:trPr>
        <w:tc>
          <w:tcPr>
            <w:tcW w:w="2551" w:type="dxa"/>
          </w:tcPr>
          <w:p>
            <w:pPr>
              <w:pStyle w:val="TableParagraph"/>
              <w:ind w:left="57" w:right="43"/>
              <w:jc w:val="both"/>
              <w:rPr>
                <w:sz w:val="14"/>
              </w:rPr>
            </w:pPr>
            <w:r>
              <w:rPr>
                <w:color w:val="231F20"/>
                <w:w w:val="66"/>
                <w:sz w:val="14"/>
              </w:rPr>
              <w:t> </w:t>
            </w:r>
            <w:r>
              <w:rPr>
                <w:color w:val="231F20"/>
                <w:sz w:val="14"/>
              </w:rPr>
              <w:t>–</w:t>
            </w:r>
            <w:r>
              <w:rPr>
                <w:color w:val="231F20"/>
                <w:spacing w:val="-6"/>
                <w:sz w:val="14"/>
              </w:rPr>
              <w:t> </w:t>
            </w:r>
            <w:r>
              <w:rPr>
                <w:color w:val="231F20"/>
                <w:sz w:val="14"/>
              </w:rPr>
              <w:t>Боља</w:t>
            </w:r>
            <w:r>
              <w:rPr>
                <w:color w:val="231F20"/>
                <w:spacing w:val="-6"/>
                <w:sz w:val="14"/>
              </w:rPr>
              <w:t> </w:t>
            </w:r>
            <w:r>
              <w:rPr>
                <w:color w:val="231F20"/>
                <w:sz w:val="14"/>
              </w:rPr>
              <w:t>међуопштинска</w:t>
            </w:r>
            <w:r>
              <w:rPr>
                <w:color w:val="231F20"/>
                <w:spacing w:val="-6"/>
                <w:sz w:val="14"/>
              </w:rPr>
              <w:t> </w:t>
            </w:r>
            <w:r>
              <w:rPr>
                <w:color w:val="231F20"/>
                <w:sz w:val="14"/>
              </w:rPr>
              <w:t>и</w:t>
            </w:r>
            <w:r>
              <w:rPr>
                <w:color w:val="231F20"/>
                <w:spacing w:val="-6"/>
                <w:sz w:val="14"/>
              </w:rPr>
              <w:t> </w:t>
            </w:r>
            <w:r>
              <w:rPr>
                <w:color w:val="231F20"/>
                <w:sz w:val="14"/>
              </w:rPr>
              <w:t>регионална</w:t>
            </w:r>
            <w:r>
              <w:rPr>
                <w:color w:val="231F20"/>
                <w:spacing w:val="-6"/>
                <w:sz w:val="14"/>
              </w:rPr>
              <w:t> </w:t>
            </w:r>
            <w:r>
              <w:rPr>
                <w:color w:val="231F20"/>
                <w:sz w:val="14"/>
              </w:rPr>
              <w:t>са- радња у области великих регионалних инфраструктурних пројеката, и успоста- вљање базе података о инфраструкту- ралним</w:t>
            </w:r>
            <w:r>
              <w:rPr>
                <w:color w:val="231F20"/>
                <w:spacing w:val="-2"/>
                <w:sz w:val="14"/>
              </w:rPr>
              <w:t> </w:t>
            </w:r>
            <w:r>
              <w:rPr>
                <w:color w:val="231F20"/>
                <w:sz w:val="14"/>
              </w:rPr>
              <w:t>пројектима</w:t>
            </w:r>
          </w:p>
          <w:p>
            <w:pPr>
              <w:pStyle w:val="TableParagraph"/>
              <w:spacing w:line="237" w:lineRule="auto" w:before="0"/>
              <w:ind w:left="57" w:right="42"/>
              <w:jc w:val="both"/>
              <w:rPr>
                <w:sz w:val="14"/>
              </w:rPr>
            </w:pPr>
            <w:r>
              <w:rPr>
                <w:color w:val="231F20"/>
                <w:w w:val="66"/>
                <w:sz w:val="14"/>
              </w:rPr>
              <w:t> </w:t>
            </w:r>
            <w:r>
              <w:rPr>
                <w:color w:val="231F20"/>
                <w:sz w:val="14"/>
              </w:rPr>
              <w:t>–</w:t>
            </w:r>
            <w:r>
              <w:rPr>
                <w:color w:val="231F20"/>
                <w:spacing w:val="-11"/>
                <w:sz w:val="14"/>
              </w:rPr>
              <w:t> </w:t>
            </w:r>
            <w:r>
              <w:rPr>
                <w:color w:val="231F20"/>
                <w:sz w:val="14"/>
              </w:rPr>
              <w:t>Промишљено,</w:t>
            </w:r>
            <w:r>
              <w:rPr>
                <w:color w:val="231F20"/>
                <w:spacing w:val="-11"/>
                <w:sz w:val="14"/>
              </w:rPr>
              <w:t> </w:t>
            </w:r>
            <w:r>
              <w:rPr>
                <w:color w:val="231F20"/>
                <w:sz w:val="14"/>
              </w:rPr>
              <w:t>програмирано</w:t>
            </w:r>
            <w:r>
              <w:rPr>
                <w:color w:val="231F20"/>
                <w:spacing w:val="-11"/>
                <w:sz w:val="14"/>
              </w:rPr>
              <w:t> </w:t>
            </w:r>
            <w:r>
              <w:rPr>
                <w:color w:val="231F20"/>
                <w:sz w:val="14"/>
              </w:rPr>
              <w:t>и</w:t>
            </w:r>
            <w:r>
              <w:rPr>
                <w:color w:val="231F20"/>
                <w:spacing w:val="-11"/>
                <w:sz w:val="14"/>
              </w:rPr>
              <w:t> </w:t>
            </w:r>
            <w:r>
              <w:rPr>
                <w:color w:val="231F20"/>
                <w:sz w:val="14"/>
              </w:rPr>
              <w:t>контро- лисано реструктурирање и делимична приватизација комуналне</w:t>
            </w:r>
            <w:r>
              <w:rPr>
                <w:color w:val="231F20"/>
                <w:spacing w:val="-7"/>
                <w:sz w:val="14"/>
              </w:rPr>
              <w:t> </w:t>
            </w:r>
            <w:r>
              <w:rPr>
                <w:color w:val="231F20"/>
                <w:sz w:val="14"/>
              </w:rPr>
              <w:t>привреде</w:t>
            </w:r>
          </w:p>
        </w:tc>
        <w:tc>
          <w:tcPr>
            <w:tcW w:w="2551" w:type="dxa"/>
          </w:tcPr>
          <w:p>
            <w:pPr>
              <w:pStyle w:val="TableParagraph"/>
              <w:ind w:left="57" w:right="43"/>
              <w:jc w:val="both"/>
              <w:rPr>
                <w:sz w:val="14"/>
              </w:rPr>
            </w:pPr>
            <w:r>
              <w:rPr>
                <w:color w:val="231F20"/>
                <w:w w:val="66"/>
                <w:sz w:val="14"/>
              </w:rPr>
              <w:t> </w:t>
            </w:r>
            <w:r>
              <w:rPr>
                <w:color w:val="231F20"/>
                <w:sz w:val="14"/>
              </w:rPr>
              <w:t>– Лоша имплементација постојећих планских докумената и аката и спорост у доношењу одлука и имплементацији прописа и/или недоношење</w:t>
            </w:r>
            <w:r>
              <w:rPr>
                <w:color w:val="231F20"/>
                <w:spacing w:val="-6"/>
                <w:sz w:val="14"/>
              </w:rPr>
              <w:t> </w:t>
            </w:r>
            <w:r>
              <w:rPr>
                <w:color w:val="231F20"/>
                <w:sz w:val="14"/>
              </w:rPr>
              <w:t>нових</w:t>
            </w:r>
          </w:p>
          <w:p>
            <w:pPr>
              <w:pStyle w:val="TableParagraph"/>
              <w:spacing w:line="237" w:lineRule="auto" w:before="0"/>
              <w:ind w:left="57" w:right="43" w:hanging="1"/>
              <w:jc w:val="both"/>
              <w:rPr>
                <w:sz w:val="14"/>
              </w:rPr>
            </w:pPr>
            <w:r>
              <w:rPr>
                <w:color w:val="231F20"/>
                <w:w w:val="66"/>
                <w:sz w:val="14"/>
              </w:rPr>
              <w:t> </w:t>
            </w:r>
            <w:r>
              <w:rPr>
                <w:color w:val="231F20"/>
                <w:sz w:val="14"/>
              </w:rPr>
              <w:t>– Смањено улагање у одржавање тех- ничке инфраструктуре (због продужења глобалне и домаће кризе)</w:t>
            </w:r>
          </w:p>
        </w:tc>
      </w:tr>
    </w:tbl>
    <w:p>
      <w:pPr>
        <w:pStyle w:val="BodyText"/>
        <w:spacing w:before="6"/>
        <w:ind w:left="0"/>
        <w:jc w:val="left"/>
        <w:rPr>
          <w:sz w:val="17"/>
        </w:rPr>
      </w:pPr>
    </w:p>
    <w:p>
      <w:pPr>
        <w:pStyle w:val="BodyText"/>
        <w:ind w:left="1186" w:right="1088"/>
        <w:jc w:val="center"/>
      </w:pPr>
      <w:r>
        <w:rPr>
          <w:color w:val="231F20"/>
        </w:rPr>
        <w:t>Саобраћај и саобраћајна инфраструктура</w:t>
      </w:r>
    </w:p>
    <w:p>
      <w:pPr>
        <w:spacing w:after="0"/>
        <w:jc w:val="center"/>
        <w:sectPr>
          <w:type w:val="continuous"/>
          <w:pgSz w:w="12480" w:h="15690"/>
          <w:pgMar w:top="880" w:bottom="280" w:left="680" w:right="720"/>
          <w:cols w:num="2" w:equalWidth="0">
            <w:col w:w="5572" w:space="40"/>
            <w:col w:w="5468"/>
          </w:cols>
        </w:sectPr>
      </w:pPr>
    </w:p>
    <w:p>
      <w:pPr>
        <w:pStyle w:val="BodyText"/>
        <w:ind w:left="0"/>
        <w:jc w:val="left"/>
        <w:rPr>
          <w:sz w:val="21"/>
        </w:rPr>
      </w:pPr>
      <w:r>
        <w:rPr/>
        <w:pict>
          <v:line style="position:absolute;mso-position-horizontal-relative:page;mso-position-vertical-relative:page;z-index:1912" from="318.897614pt,11.942451pt" to="318.897614pt,748.950451pt" stroked="true" strokeweight=".6pt" strokecolor="#231f20">
            <v:stroke dashstyle="solid"/>
            <w10:wrap type="none"/>
          </v:line>
        </w:pict>
      </w:r>
    </w:p>
    <w:tbl>
      <w:tblPr>
        <w:tblW w:w="0" w:type="auto"/>
        <w:jc w:val="left"/>
        <w:tblInd w:w="58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5480" w:hRule="atLeast"/>
        </w:trPr>
        <w:tc>
          <w:tcPr>
            <w:tcW w:w="2551" w:type="dxa"/>
          </w:tcPr>
          <w:p>
            <w:pPr>
              <w:pStyle w:val="TableParagraph"/>
              <w:ind w:left="56" w:right="44" w:hanging="1"/>
              <w:jc w:val="both"/>
              <w:rPr>
                <w:sz w:val="14"/>
              </w:rPr>
            </w:pPr>
            <w:r>
              <w:rPr>
                <w:color w:val="231F20"/>
                <w:w w:val="66"/>
                <w:sz w:val="14"/>
              </w:rPr>
              <w:t> </w:t>
            </w:r>
            <w:r>
              <w:rPr>
                <w:color w:val="231F20"/>
                <w:sz w:val="14"/>
              </w:rPr>
              <w:t>– Добар саобраћајно-географски поло- жај у односу на Коридор VII и Коридор X за повезивање са регионалним и ши- рим европским простором (путним, же- лезничким и речним саобраћајем)</w:t>
            </w:r>
          </w:p>
          <w:p>
            <w:pPr>
              <w:pStyle w:val="TableParagraph"/>
              <w:spacing w:line="237" w:lineRule="auto" w:before="0"/>
              <w:ind w:left="56" w:right="44"/>
              <w:jc w:val="both"/>
              <w:rPr>
                <w:sz w:val="14"/>
              </w:rPr>
            </w:pPr>
            <w:r>
              <w:rPr>
                <w:color w:val="231F20"/>
                <w:w w:val="66"/>
                <w:sz w:val="14"/>
              </w:rPr>
              <w:t> </w:t>
            </w:r>
            <w:r>
              <w:rPr>
                <w:color w:val="231F20"/>
                <w:sz w:val="14"/>
              </w:rPr>
              <w:t>– Добро развијена магистрална и регио- нална путна мрежа</w:t>
            </w:r>
          </w:p>
          <w:p>
            <w:pPr>
              <w:pStyle w:val="TableParagraph"/>
              <w:spacing w:before="0"/>
              <w:ind w:left="56" w:right="44"/>
              <w:jc w:val="both"/>
              <w:rPr>
                <w:sz w:val="14"/>
              </w:rPr>
            </w:pPr>
            <w:r>
              <w:rPr>
                <w:color w:val="231F20"/>
                <w:w w:val="66"/>
                <w:sz w:val="14"/>
              </w:rPr>
              <w:t> </w:t>
            </w:r>
            <w:r>
              <w:rPr>
                <w:color w:val="231F20"/>
                <w:sz w:val="14"/>
              </w:rPr>
              <w:t>– Релативно добро развијена мрежа оп- штинских путева</w:t>
            </w:r>
          </w:p>
          <w:p>
            <w:pPr>
              <w:pStyle w:val="TableParagraph"/>
              <w:spacing w:before="0"/>
              <w:ind w:left="56" w:right="44"/>
              <w:jc w:val="both"/>
              <w:rPr>
                <w:sz w:val="14"/>
              </w:rPr>
            </w:pPr>
            <w:r>
              <w:rPr>
                <w:color w:val="231F20"/>
                <w:w w:val="66"/>
                <w:sz w:val="14"/>
              </w:rPr>
              <w:t> </w:t>
            </w:r>
            <w:r>
              <w:rPr>
                <w:color w:val="231F20"/>
                <w:sz w:val="14"/>
              </w:rPr>
              <w:t>– Висока заступљеност путева са савре- меним коловозним застором</w:t>
            </w:r>
          </w:p>
          <w:p>
            <w:pPr>
              <w:pStyle w:val="TableParagraph"/>
              <w:spacing w:before="0"/>
              <w:ind w:left="57" w:right="44" w:hanging="1"/>
              <w:jc w:val="both"/>
              <w:rPr>
                <w:sz w:val="14"/>
              </w:rPr>
            </w:pPr>
            <w:r>
              <w:rPr>
                <w:color w:val="231F20"/>
                <w:w w:val="66"/>
                <w:sz w:val="14"/>
              </w:rPr>
              <w:t> </w:t>
            </w:r>
            <w:r>
              <w:rPr>
                <w:color w:val="231F20"/>
                <w:sz w:val="14"/>
              </w:rPr>
              <w:t>–</w:t>
            </w:r>
            <w:r>
              <w:rPr>
                <w:color w:val="231F20"/>
                <w:spacing w:val="-11"/>
                <w:sz w:val="14"/>
              </w:rPr>
              <w:t> </w:t>
            </w:r>
            <w:r>
              <w:rPr>
                <w:color w:val="231F20"/>
                <w:sz w:val="14"/>
              </w:rPr>
              <w:t>Постојање</w:t>
            </w:r>
            <w:r>
              <w:rPr>
                <w:color w:val="231F20"/>
                <w:spacing w:val="-11"/>
                <w:sz w:val="14"/>
              </w:rPr>
              <w:t> </w:t>
            </w:r>
            <w:r>
              <w:rPr>
                <w:color w:val="231F20"/>
                <w:sz w:val="14"/>
              </w:rPr>
              <w:t>спортско-туристичког</w:t>
            </w:r>
            <w:r>
              <w:rPr>
                <w:color w:val="231F20"/>
                <w:spacing w:val="-11"/>
                <w:sz w:val="14"/>
              </w:rPr>
              <w:t> </w:t>
            </w:r>
            <w:r>
              <w:rPr>
                <w:color w:val="231F20"/>
                <w:sz w:val="14"/>
              </w:rPr>
              <w:t>аеро- дрома</w:t>
            </w:r>
          </w:p>
          <w:p>
            <w:pPr>
              <w:pStyle w:val="TableParagraph"/>
              <w:spacing w:before="0"/>
              <w:ind w:left="57" w:right="44"/>
              <w:jc w:val="both"/>
              <w:rPr>
                <w:sz w:val="14"/>
              </w:rPr>
            </w:pPr>
            <w:r>
              <w:rPr>
                <w:color w:val="231F20"/>
                <w:w w:val="66"/>
                <w:sz w:val="14"/>
              </w:rPr>
              <w:t> </w:t>
            </w:r>
            <w:r>
              <w:rPr>
                <w:color w:val="231F20"/>
                <w:sz w:val="14"/>
              </w:rPr>
              <w:t>– Погодност терена за изградњу саобраћајне инфраструктуре</w:t>
            </w:r>
          </w:p>
        </w:tc>
        <w:tc>
          <w:tcPr>
            <w:tcW w:w="2551" w:type="dxa"/>
          </w:tcPr>
          <w:p>
            <w:pPr>
              <w:pStyle w:val="TableParagraph"/>
              <w:ind w:left="57" w:right="43" w:hanging="1"/>
              <w:jc w:val="both"/>
              <w:rPr>
                <w:sz w:val="14"/>
              </w:rPr>
            </w:pPr>
            <w:r>
              <w:rPr>
                <w:color w:val="231F20"/>
                <w:w w:val="66"/>
                <w:sz w:val="14"/>
              </w:rPr>
              <w:t> </w:t>
            </w:r>
            <w:r>
              <w:rPr>
                <w:color w:val="231F20"/>
                <w:sz w:val="14"/>
              </w:rPr>
              <w:t>– Недостатак финансијских средстава за изградњу и одржавање саобраћајне ин- фраструктуре</w:t>
            </w:r>
          </w:p>
          <w:p>
            <w:pPr>
              <w:pStyle w:val="TableParagraph"/>
              <w:spacing w:line="237" w:lineRule="auto" w:before="0"/>
              <w:ind w:left="57" w:right="43"/>
              <w:jc w:val="both"/>
              <w:rPr>
                <w:sz w:val="14"/>
              </w:rPr>
            </w:pPr>
            <w:r>
              <w:rPr>
                <w:color w:val="231F20"/>
                <w:w w:val="66"/>
                <w:sz w:val="14"/>
              </w:rPr>
              <w:t> </w:t>
            </w:r>
            <w:r>
              <w:rPr>
                <w:color w:val="231F20"/>
                <w:sz w:val="14"/>
              </w:rPr>
              <w:t>– Непостојање пројектне и планске до- кументације</w:t>
            </w:r>
          </w:p>
          <w:p>
            <w:pPr>
              <w:pStyle w:val="TableParagraph"/>
              <w:spacing w:before="0"/>
              <w:ind w:left="57" w:right="43"/>
              <w:jc w:val="both"/>
              <w:rPr>
                <w:sz w:val="14"/>
              </w:rPr>
            </w:pPr>
            <w:r>
              <w:rPr>
                <w:color w:val="231F20"/>
                <w:w w:val="66"/>
                <w:sz w:val="14"/>
              </w:rPr>
              <w:t> </w:t>
            </w:r>
            <w:r>
              <w:rPr>
                <w:color w:val="231F20"/>
                <w:sz w:val="14"/>
              </w:rPr>
              <w:t>–</w:t>
            </w:r>
            <w:r>
              <w:rPr>
                <w:color w:val="231F20"/>
                <w:spacing w:val="-8"/>
                <w:sz w:val="14"/>
              </w:rPr>
              <w:t> </w:t>
            </w:r>
            <w:r>
              <w:rPr>
                <w:color w:val="231F20"/>
                <w:sz w:val="14"/>
              </w:rPr>
              <w:t>Лоше</w:t>
            </w:r>
            <w:r>
              <w:rPr>
                <w:color w:val="231F20"/>
                <w:spacing w:val="-8"/>
                <w:sz w:val="14"/>
              </w:rPr>
              <w:t> </w:t>
            </w:r>
            <w:r>
              <w:rPr>
                <w:color w:val="231F20"/>
                <w:sz w:val="14"/>
              </w:rPr>
              <w:t>стање</w:t>
            </w:r>
            <w:r>
              <w:rPr>
                <w:color w:val="231F20"/>
                <w:spacing w:val="-8"/>
                <w:sz w:val="14"/>
              </w:rPr>
              <w:t> </w:t>
            </w:r>
            <w:r>
              <w:rPr>
                <w:color w:val="231F20"/>
                <w:sz w:val="14"/>
              </w:rPr>
              <w:t>појединих</w:t>
            </w:r>
            <w:r>
              <w:rPr>
                <w:color w:val="231F20"/>
                <w:spacing w:val="-8"/>
                <w:sz w:val="14"/>
              </w:rPr>
              <w:t> </w:t>
            </w:r>
            <w:r>
              <w:rPr>
                <w:color w:val="231F20"/>
                <w:sz w:val="14"/>
              </w:rPr>
              <w:t>државних</w:t>
            </w:r>
            <w:r>
              <w:rPr>
                <w:color w:val="231F20"/>
                <w:spacing w:val="-8"/>
                <w:sz w:val="14"/>
              </w:rPr>
              <w:t> </w:t>
            </w:r>
            <w:r>
              <w:rPr>
                <w:color w:val="231F20"/>
                <w:sz w:val="14"/>
              </w:rPr>
              <w:t>путе- ва II реда, </w:t>
            </w:r>
            <w:r>
              <w:rPr>
                <w:color w:val="231F20"/>
                <w:spacing w:val="-2"/>
                <w:sz w:val="14"/>
              </w:rPr>
              <w:t>велико </w:t>
            </w:r>
            <w:r>
              <w:rPr>
                <w:color w:val="231F20"/>
                <w:sz w:val="14"/>
              </w:rPr>
              <w:t>саобраћајно оптереће- ње</w:t>
            </w:r>
            <w:r>
              <w:rPr>
                <w:color w:val="231F20"/>
                <w:spacing w:val="-6"/>
                <w:sz w:val="14"/>
              </w:rPr>
              <w:t> </w:t>
            </w:r>
            <w:r>
              <w:rPr>
                <w:color w:val="231F20"/>
                <w:sz w:val="14"/>
              </w:rPr>
              <w:t>(значајан</w:t>
            </w:r>
            <w:r>
              <w:rPr>
                <w:color w:val="231F20"/>
                <w:spacing w:val="-6"/>
                <w:sz w:val="14"/>
              </w:rPr>
              <w:t> </w:t>
            </w:r>
            <w:r>
              <w:rPr>
                <w:color w:val="231F20"/>
                <w:sz w:val="14"/>
              </w:rPr>
              <w:t>део</w:t>
            </w:r>
            <w:r>
              <w:rPr>
                <w:color w:val="231F20"/>
                <w:spacing w:val="-6"/>
                <w:sz w:val="14"/>
              </w:rPr>
              <w:t> </w:t>
            </w:r>
            <w:r>
              <w:rPr>
                <w:color w:val="231F20"/>
                <w:sz w:val="14"/>
              </w:rPr>
              <w:t>у</w:t>
            </w:r>
            <w:r>
              <w:rPr>
                <w:color w:val="231F20"/>
                <w:spacing w:val="-6"/>
                <w:sz w:val="14"/>
              </w:rPr>
              <w:t> </w:t>
            </w:r>
            <w:r>
              <w:rPr>
                <w:color w:val="231F20"/>
                <w:sz w:val="14"/>
              </w:rPr>
              <w:t>транзиту</w:t>
            </w:r>
            <w:r>
              <w:rPr>
                <w:color w:val="231F20"/>
                <w:spacing w:val="-6"/>
                <w:sz w:val="14"/>
              </w:rPr>
              <w:t> </w:t>
            </w:r>
            <w:r>
              <w:rPr>
                <w:color w:val="231F20"/>
                <w:sz w:val="14"/>
              </w:rPr>
              <w:t>кроз</w:t>
            </w:r>
            <w:r>
              <w:rPr>
                <w:color w:val="231F20"/>
                <w:spacing w:val="-6"/>
                <w:sz w:val="14"/>
              </w:rPr>
              <w:t> </w:t>
            </w:r>
            <w:r>
              <w:rPr>
                <w:color w:val="231F20"/>
                <w:sz w:val="14"/>
              </w:rPr>
              <w:t>подруч- је) и висок проценат теретних возила на државним</w:t>
            </w:r>
            <w:r>
              <w:rPr>
                <w:color w:val="231F20"/>
                <w:spacing w:val="-2"/>
                <w:sz w:val="14"/>
              </w:rPr>
              <w:t> </w:t>
            </w:r>
            <w:r>
              <w:rPr>
                <w:color w:val="231F20"/>
                <w:sz w:val="14"/>
              </w:rPr>
              <w:t>путевима</w:t>
            </w:r>
          </w:p>
          <w:p>
            <w:pPr>
              <w:pStyle w:val="TableParagraph"/>
              <w:spacing w:line="237" w:lineRule="auto" w:before="0"/>
              <w:ind w:left="57" w:right="43"/>
              <w:jc w:val="both"/>
              <w:rPr>
                <w:sz w:val="14"/>
              </w:rPr>
            </w:pPr>
            <w:r>
              <w:rPr>
                <w:color w:val="231F20"/>
                <w:w w:val="66"/>
                <w:sz w:val="14"/>
              </w:rPr>
              <w:t> </w:t>
            </w:r>
            <w:r>
              <w:rPr>
                <w:color w:val="231F20"/>
                <w:sz w:val="14"/>
              </w:rPr>
              <w:t>– Нерешен статус изграђених обилазни- ца државних путева ДП-24 и ДП-25.1 </w:t>
            </w:r>
            <w:r>
              <w:rPr>
                <w:color w:val="231F20"/>
                <w:spacing w:val="-3"/>
                <w:sz w:val="14"/>
              </w:rPr>
              <w:t>око </w:t>
            </w:r>
            <w:r>
              <w:rPr>
                <w:color w:val="231F20"/>
                <w:sz w:val="14"/>
              </w:rPr>
              <w:t>градског насеља</w:t>
            </w:r>
            <w:r>
              <w:rPr>
                <w:color w:val="231F20"/>
                <w:spacing w:val="-1"/>
                <w:sz w:val="14"/>
              </w:rPr>
              <w:t> </w:t>
            </w:r>
            <w:r>
              <w:rPr>
                <w:color w:val="231F20"/>
                <w:sz w:val="14"/>
              </w:rPr>
              <w:t>Пожаревац</w:t>
            </w:r>
          </w:p>
          <w:p>
            <w:pPr>
              <w:pStyle w:val="TableParagraph"/>
              <w:spacing w:before="0"/>
              <w:ind w:left="57" w:right="43"/>
              <w:jc w:val="both"/>
              <w:rPr>
                <w:sz w:val="14"/>
              </w:rPr>
            </w:pPr>
            <w:r>
              <w:rPr>
                <w:color w:val="231F20"/>
                <w:w w:val="66"/>
                <w:sz w:val="14"/>
              </w:rPr>
              <w:t> </w:t>
            </w:r>
            <w:r>
              <w:rPr>
                <w:color w:val="231F20"/>
                <w:sz w:val="14"/>
              </w:rPr>
              <w:t>– Недостатак тротоара на деоницама</w:t>
            </w:r>
            <w:r>
              <w:rPr>
                <w:color w:val="231F20"/>
                <w:spacing w:val="-12"/>
                <w:sz w:val="14"/>
              </w:rPr>
              <w:t> </w:t>
            </w:r>
            <w:r>
              <w:rPr>
                <w:color w:val="231F20"/>
                <w:sz w:val="14"/>
              </w:rPr>
              <w:t>др- жавних путева </w:t>
            </w:r>
            <w:r>
              <w:rPr>
                <w:color w:val="231F20"/>
                <w:spacing w:val="-3"/>
                <w:sz w:val="14"/>
              </w:rPr>
              <w:t>који </w:t>
            </w:r>
            <w:r>
              <w:rPr>
                <w:color w:val="231F20"/>
                <w:sz w:val="14"/>
              </w:rPr>
              <w:t>пролазе кроз</w:t>
            </w:r>
            <w:r>
              <w:rPr>
                <w:color w:val="231F20"/>
                <w:spacing w:val="-19"/>
                <w:sz w:val="14"/>
              </w:rPr>
              <w:t> </w:t>
            </w:r>
            <w:r>
              <w:rPr>
                <w:color w:val="231F20"/>
                <w:sz w:val="14"/>
              </w:rPr>
              <w:t>насеља, смањена безбедност учесника у саобр- ћају</w:t>
            </w:r>
          </w:p>
          <w:p>
            <w:pPr>
              <w:pStyle w:val="TableParagraph"/>
              <w:spacing w:line="237" w:lineRule="auto" w:before="0"/>
              <w:ind w:left="57" w:right="43"/>
              <w:jc w:val="both"/>
              <w:rPr>
                <w:sz w:val="14"/>
              </w:rPr>
            </w:pPr>
            <w:r>
              <w:rPr>
                <w:color w:val="231F20"/>
                <w:w w:val="66"/>
                <w:sz w:val="14"/>
              </w:rPr>
              <w:t> </w:t>
            </w:r>
            <w:r>
              <w:rPr>
                <w:color w:val="231F20"/>
                <w:sz w:val="14"/>
              </w:rPr>
              <w:t>– Лоше стање (у погледу техничких</w:t>
            </w:r>
            <w:r>
              <w:rPr>
                <w:color w:val="231F20"/>
                <w:spacing w:val="-20"/>
                <w:sz w:val="14"/>
              </w:rPr>
              <w:t> </w:t>
            </w:r>
            <w:r>
              <w:rPr>
                <w:color w:val="231F20"/>
                <w:sz w:val="14"/>
              </w:rPr>
              <w:t>еле- мената,</w:t>
            </w:r>
            <w:r>
              <w:rPr>
                <w:color w:val="231F20"/>
                <w:spacing w:val="-7"/>
                <w:sz w:val="14"/>
              </w:rPr>
              <w:t> </w:t>
            </w:r>
            <w:r>
              <w:rPr>
                <w:color w:val="231F20"/>
                <w:sz w:val="14"/>
              </w:rPr>
              <w:t>стања</w:t>
            </w:r>
            <w:r>
              <w:rPr>
                <w:color w:val="231F20"/>
                <w:spacing w:val="-7"/>
                <w:sz w:val="14"/>
              </w:rPr>
              <w:t> </w:t>
            </w:r>
            <w:r>
              <w:rPr>
                <w:color w:val="231F20"/>
                <w:sz w:val="14"/>
              </w:rPr>
              <w:t>коловоза</w:t>
            </w:r>
            <w:r>
              <w:rPr>
                <w:color w:val="231F20"/>
                <w:spacing w:val="-7"/>
                <w:sz w:val="14"/>
              </w:rPr>
              <w:t> </w:t>
            </w:r>
            <w:r>
              <w:rPr>
                <w:color w:val="231F20"/>
                <w:sz w:val="14"/>
              </w:rPr>
              <w:t>и</w:t>
            </w:r>
            <w:r>
              <w:rPr>
                <w:color w:val="231F20"/>
                <w:spacing w:val="-7"/>
                <w:sz w:val="14"/>
              </w:rPr>
              <w:t> </w:t>
            </w:r>
            <w:r>
              <w:rPr>
                <w:color w:val="231F20"/>
                <w:sz w:val="14"/>
              </w:rPr>
              <w:t>слично)</w:t>
            </w:r>
            <w:r>
              <w:rPr>
                <w:color w:val="231F20"/>
                <w:spacing w:val="-7"/>
                <w:sz w:val="14"/>
              </w:rPr>
              <w:t> </w:t>
            </w:r>
            <w:r>
              <w:rPr>
                <w:color w:val="231F20"/>
                <w:sz w:val="14"/>
              </w:rPr>
              <w:t>већине постојећих општинских путева и потре- ба за њиховом</w:t>
            </w:r>
            <w:r>
              <w:rPr>
                <w:color w:val="231F20"/>
                <w:spacing w:val="-6"/>
                <w:sz w:val="14"/>
              </w:rPr>
              <w:t> </w:t>
            </w:r>
            <w:r>
              <w:rPr>
                <w:color w:val="231F20"/>
                <w:sz w:val="14"/>
              </w:rPr>
              <w:t>реконструкцијом</w:t>
            </w:r>
          </w:p>
          <w:p>
            <w:pPr>
              <w:pStyle w:val="TableParagraph"/>
              <w:spacing w:before="0"/>
              <w:ind w:left="57" w:right="43"/>
              <w:jc w:val="both"/>
              <w:rPr>
                <w:sz w:val="14"/>
              </w:rPr>
            </w:pPr>
            <w:r>
              <w:rPr>
                <w:color w:val="231F20"/>
                <w:w w:val="66"/>
                <w:sz w:val="14"/>
              </w:rPr>
              <w:t> </w:t>
            </w:r>
            <w:r>
              <w:rPr>
                <w:color w:val="231F20"/>
                <w:sz w:val="14"/>
              </w:rPr>
              <w:t>– Лоше стање или потпуни недостатак саобраћајне сигнализације, посебно на мрежи општинских путева</w:t>
            </w:r>
          </w:p>
          <w:p>
            <w:pPr>
              <w:pStyle w:val="TableParagraph"/>
              <w:spacing w:line="158" w:lineRule="exact" w:before="0"/>
              <w:ind w:left="57"/>
              <w:jc w:val="both"/>
              <w:rPr>
                <w:sz w:val="14"/>
              </w:rPr>
            </w:pPr>
            <w:r>
              <w:rPr>
                <w:color w:val="231F20"/>
                <w:w w:val="66"/>
                <w:sz w:val="14"/>
              </w:rPr>
              <w:t> </w:t>
            </w:r>
            <w:r>
              <w:rPr>
                <w:color w:val="231F20"/>
                <w:sz w:val="14"/>
              </w:rPr>
              <w:t>– Непостојање саобраћајног катастра</w:t>
            </w:r>
          </w:p>
          <w:p>
            <w:pPr>
              <w:pStyle w:val="TableParagraph"/>
              <w:spacing w:before="0"/>
              <w:ind w:left="57" w:right="43"/>
              <w:jc w:val="both"/>
              <w:rPr>
                <w:sz w:val="14"/>
              </w:rPr>
            </w:pPr>
            <w:r>
              <w:rPr>
                <w:color w:val="231F20"/>
                <w:w w:val="66"/>
                <w:sz w:val="14"/>
              </w:rPr>
              <w:t> </w:t>
            </w:r>
            <w:r>
              <w:rPr>
                <w:color w:val="231F20"/>
                <w:sz w:val="14"/>
              </w:rPr>
              <w:t>– Лоше стање железничке инфраструк- туре (јавне мреже), посебно деонице Пожаревац – Берање, као и локалне пру- ге Пожаревац – Костолац; Недовољно искоришћене могућности железничког саобраћаја, посебно у домену транспор- та робе</w:t>
            </w:r>
          </w:p>
          <w:p>
            <w:pPr>
              <w:pStyle w:val="TableParagraph"/>
              <w:spacing w:line="237" w:lineRule="auto" w:before="0"/>
              <w:ind w:left="57" w:right="43"/>
              <w:jc w:val="both"/>
              <w:rPr>
                <w:sz w:val="14"/>
              </w:rPr>
            </w:pPr>
            <w:r>
              <w:rPr>
                <w:color w:val="231F20"/>
                <w:w w:val="66"/>
                <w:sz w:val="14"/>
              </w:rPr>
              <w:t> </w:t>
            </w:r>
            <w:r>
              <w:rPr>
                <w:color w:val="231F20"/>
                <w:sz w:val="14"/>
              </w:rPr>
              <w:t>– Неадекватни и застарели капацитети постојећих објеката речног саобраћаја и</w:t>
            </w:r>
          </w:p>
        </w:tc>
      </w:tr>
    </w:tbl>
    <w:p>
      <w:pPr>
        <w:spacing w:after="0" w:line="237" w:lineRule="auto"/>
        <w:jc w:val="both"/>
        <w:rPr>
          <w:sz w:val="14"/>
        </w:rPr>
        <w:sectPr>
          <w:type w:val="continuous"/>
          <w:pgSz w:w="12480" w:h="15690"/>
          <w:pgMar w:top="880" w:bottom="280" w:left="680" w:right="720"/>
        </w:sectPr>
      </w:pPr>
    </w:p>
    <w:tbl>
      <w:tblPr>
        <w:tblW w:w="0" w:type="auto"/>
        <w:jc w:val="left"/>
        <w:tblInd w:w="5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114" w:hRule="atLeast"/>
        </w:trPr>
        <w:tc>
          <w:tcPr>
            <w:tcW w:w="2551" w:type="dxa"/>
          </w:tcPr>
          <w:p>
            <w:pPr>
              <w:pStyle w:val="TableParagraph"/>
              <w:spacing w:line="259" w:lineRule="auto" w:before="9"/>
              <w:ind w:left="56" w:right="43"/>
              <w:jc w:val="both"/>
              <w:rPr>
                <w:sz w:val="14"/>
              </w:rPr>
            </w:pPr>
            <w:r>
              <w:rPr>
                <w:color w:val="231F20"/>
                <w:sz w:val="14"/>
              </w:rPr>
              <w:t>на локалном и регионалном нивоу, при утврђивању и спрoвoђeњу интегралних стратегија/ програма одрживог развоја пољопривреде и села.</w:t>
            </w:r>
          </w:p>
        </w:tc>
        <w:tc>
          <w:tcPr>
            <w:tcW w:w="2551" w:type="dxa"/>
          </w:tcPr>
          <w:p>
            <w:pPr>
              <w:pStyle w:val="TableParagraph"/>
              <w:spacing w:line="259" w:lineRule="auto" w:before="9"/>
              <w:ind w:left="56" w:right="44"/>
              <w:jc w:val="both"/>
              <w:rPr>
                <w:sz w:val="14"/>
              </w:rPr>
            </w:pPr>
            <w:r>
              <w:rPr>
                <w:color w:val="231F20"/>
                <w:sz w:val="14"/>
              </w:rPr>
              <w:t>материја на пољопривредном земљишту и у каналима за наводњавање, праћења индикатора оцене ризика од деградаци- је тла и поштовања других законских норми</w:t>
            </w:r>
          </w:p>
          <w:p>
            <w:pPr>
              <w:pStyle w:val="TableParagraph"/>
              <w:spacing w:line="259" w:lineRule="auto" w:before="1"/>
              <w:ind w:left="56" w:right="44"/>
              <w:jc w:val="both"/>
              <w:rPr>
                <w:sz w:val="14"/>
              </w:rPr>
            </w:pPr>
            <w:r>
              <w:rPr>
                <w:color w:val="231F20"/>
                <w:w w:val="66"/>
                <w:sz w:val="14"/>
              </w:rPr>
              <w:t> </w:t>
            </w:r>
            <w:r>
              <w:rPr>
                <w:color w:val="231F20"/>
                <w:sz w:val="14"/>
              </w:rPr>
              <w:t>– Изостајање подршке заштити и уна- пређивању природних, пејзажних и функционалних обележја пострударских предела након завршетка спровођења утврђених планова и програма технич- ке и биолошке рекултивације и инфра- структурног опремања.</w:t>
            </w:r>
          </w:p>
        </w:tc>
      </w:tr>
    </w:tbl>
    <w:p>
      <w:pPr>
        <w:pStyle w:val="BodyText"/>
        <w:spacing w:before="6"/>
        <w:ind w:left="0"/>
        <w:jc w:val="left"/>
        <w:rPr>
          <w:sz w:val="23"/>
        </w:rPr>
      </w:pPr>
    </w:p>
    <w:p>
      <w:pPr>
        <w:spacing w:after="0"/>
        <w:jc w:val="left"/>
        <w:rPr>
          <w:sz w:val="23"/>
        </w:rPr>
        <w:sectPr>
          <w:pgSz w:w="12480" w:h="15690"/>
          <w:pgMar w:top="240" w:bottom="280" w:left="680" w:right="72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23"/>
        </w:rPr>
      </w:pPr>
    </w:p>
    <w:p>
      <w:pPr>
        <w:pStyle w:val="BodyText"/>
        <w:ind w:left="1123"/>
        <w:jc w:val="left"/>
      </w:pPr>
      <w:r>
        <w:rPr/>
        <w:pict>
          <v:shape style="position:absolute;margin-left:42.519699pt;margin-top:-226.170044pt;width:255.9pt;height:216.1pt;mso-position-horizontal-relative:page;mso-position-vertical-relative:paragraph;z-index:200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1160" w:hRule="atLeast"/>
                    </w:trPr>
                    <w:tc>
                      <w:tcPr>
                        <w:tcW w:w="2551" w:type="dxa"/>
                      </w:tcPr>
                      <w:p>
                        <w:pPr>
                          <w:pStyle w:val="TableParagraph"/>
                          <w:spacing w:before="0"/>
                          <w:jc w:val="left"/>
                          <w:rPr>
                            <w:sz w:val="14"/>
                          </w:rPr>
                        </w:pPr>
                      </w:p>
                    </w:tc>
                    <w:tc>
                      <w:tcPr>
                        <w:tcW w:w="2551" w:type="dxa"/>
                      </w:tcPr>
                      <w:p>
                        <w:pPr>
                          <w:pStyle w:val="TableParagraph"/>
                          <w:ind w:left="56" w:right="44"/>
                          <w:jc w:val="both"/>
                          <w:rPr>
                            <w:sz w:val="14"/>
                          </w:rPr>
                        </w:pPr>
                        <w:r>
                          <w:rPr>
                            <w:color w:val="231F20"/>
                            <w:sz w:val="14"/>
                          </w:rPr>
                          <w:t>транспорта, недовољна искоришћеност могућности речних токова за развој роб- ног и путничког саобраћаја</w:t>
                        </w:r>
                      </w:p>
                      <w:p>
                        <w:pPr>
                          <w:pStyle w:val="TableParagraph"/>
                          <w:spacing w:line="237" w:lineRule="auto" w:before="0"/>
                          <w:ind w:left="57" w:right="44"/>
                          <w:jc w:val="both"/>
                          <w:rPr>
                            <w:sz w:val="14"/>
                          </w:rPr>
                        </w:pPr>
                        <w:r>
                          <w:rPr>
                            <w:color w:val="231F20"/>
                            <w:w w:val="66"/>
                            <w:sz w:val="14"/>
                          </w:rPr>
                          <w:t> </w:t>
                        </w:r>
                        <w:r>
                          <w:rPr>
                            <w:color w:val="231F20"/>
                            <w:sz w:val="14"/>
                          </w:rPr>
                          <w:t>– Непостојање објеката комбинованог транспорта</w:t>
                        </w:r>
                      </w:p>
                      <w:p>
                        <w:pPr>
                          <w:pStyle w:val="TableParagraph"/>
                          <w:spacing w:before="0"/>
                          <w:ind w:left="57" w:right="44"/>
                          <w:jc w:val="both"/>
                          <w:rPr>
                            <w:sz w:val="14"/>
                          </w:rPr>
                        </w:pPr>
                        <w:r>
                          <w:rPr>
                            <w:color w:val="231F20"/>
                            <w:w w:val="66"/>
                            <w:sz w:val="14"/>
                          </w:rPr>
                          <w:t> </w:t>
                        </w:r>
                        <w:r>
                          <w:rPr>
                            <w:color w:val="231F20"/>
                            <w:sz w:val="14"/>
                          </w:rPr>
                          <w:t>– Непостојање значајнијих капацитета бициклистичког саобраћаја</w:t>
                        </w:r>
                      </w:p>
                    </w:tc>
                  </w:tr>
                  <w:tr>
                    <w:trPr>
                      <w:trHeight w:val="200" w:hRule="atLeast"/>
                    </w:trPr>
                    <w:tc>
                      <w:tcPr>
                        <w:tcW w:w="2551" w:type="dxa"/>
                      </w:tcPr>
                      <w:p>
                        <w:pPr>
                          <w:pStyle w:val="TableParagraph"/>
                          <w:ind w:left="779"/>
                          <w:jc w:val="left"/>
                          <w:rPr>
                            <w:sz w:val="14"/>
                          </w:rPr>
                        </w:pPr>
                        <w:r>
                          <w:rPr>
                            <w:color w:val="231F20"/>
                            <w:sz w:val="14"/>
                          </w:rPr>
                          <w:t>МОГУЋНОСТИ</w:t>
                        </w:r>
                      </w:p>
                    </w:tc>
                    <w:tc>
                      <w:tcPr>
                        <w:tcW w:w="2551" w:type="dxa"/>
                      </w:tcPr>
                      <w:p>
                        <w:pPr>
                          <w:pStyle w:val="TableParagraph"/>
                          <w:ind w:left="722" w:right="712"/>
                          <w:jc w:val="center"/>
                          <w:rPr>
                            <w:sz w:val="14"/>
                          </w:rPr>
                        </w:pPr>
                        <w:r>
                          <w:rPr>
                            <w:color w:val="231F20"/>
                            <w:sz w:val="14"/>
                          </w:rPr>
                          <w:t>ПРЕТЊЕ</w:t>
                        </w:r>
                      </w:p>
                    </w:tc>
                  </w:tr>
                  <w:tr>
                    <w:trPr>
                      <w:trHeight w:val="181" w:hRule="atLeast"/>
                    </w:trPr>
                    <w:tc>
                      <w:tcPr>
                        <w:tcW w:w="2551" w:type="dxa"/>
                        <w:tcBorders>
                          <w:bottom w:val="nil"/>
                        </w:tcBorders>
                      </w:tcPr>
                      <w:p>
                        <w:pPr>
                          <w:pStyle w:val="TableParagraph"/>
                          <w:spacing w:line="144" w:lineRule="exact"/>
                          <w:ind w:left="56"/>
                          <w:jc w:val="left"/>
                          <w:rPr>
                            <w:sz w:val="14"/>
                          </w:rPr>
                        </w:pPr>
                        <w:r>
                          <w:rPr>
                            <w:color w:val="231F20"/>
                            <w:w w:val="66"/>
                            <w:sz w:val="14"/>
                          </w:rPr>
                          <w:t> </w:t>
                        </w:r>
                        <w:r>
                          <w:rPr>
                            <w:color w:val="231F20"/>
                            <w:sz w:val="14"/>
                          </w:rPr>
                          <w:t>– Боље коришћење саобраћајно-географ-</w:t>
                        </w:r>
                      </w:p>
                    </w:tc>
                    <w:tc>
                      <w:tcPr>
                        <w:tcW w:w="2551" w:type="dxa"/>
                        <w:tcBorders>
                          <w:bottom w:val="nil"/>
                        </w:tcBorders>
                      </w:tcPr>
                      <w:p>
                        <w:pPr>
                          <w:pStyle w:val="TableParagraph"/>
                          <w:spacing w:line="143" w:lineRule="exact"/>
                          <w:ind w:left="57"/>
                          <w:jc w:val="left"/>
                          <w:rPr>
                            <w:sz w:val="14"/>
                          </w:rPr>
                        </w:pPr>
                        <w:r>
                          <w:rPr>
                            <w:color w:val="231F20"/>
                            <w:w w:val="66"/>
                            <w:sz w:val="14"/>
                          </w:rPr>
                          <w:t> </w:t>
                        </w:r>
                        <w:r>
                          <w:rPr>
                            <w:color w:val="231F20"/>
                            <w:sz w:val="14"/>
                          </w:rPr>
                          <w:t>– Спорост у доношењу планских и раз-</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ског положаја</w:t>
                        </w:r>
                      </w:p>
                    </w:tc>
                    <w:tc>
                      <w:tcPr>
                        <w:tcW w:w="2551" w:type="dxa"/>
                        <w:tcBorders>
                          <w:top w:val="nil"/>
                          <w:bottom w:val="nil"/>
                        </w:tcBorders>
                      </w:tcPr>
                      <w:p>
                        <w:pPr>
                          <w:pStyle w:val="TableParagraph"/>
                          <w:spacing w:line="140" w:lineRule="exact" w:before="0"/>
                          <w:ind w:left="57"/>
                          <w:jc w:val="left"/>
                          <w:rPr>
                            <w:sz w:val="14"/>
                          </w:rPr>
                        </w:pPr>
                        <w:r>
                          <w:rPr>
                            <w:color w:val="231F20"/>
                            <w:sz w:val="14"/>
                          </w:rPr>
                          <w:t>војних докумената, изради техничке до-</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w w:val="66"/>
                            <w:sz w:val="14"/>
                          </w:rPr>
                          <w:t> </w:t>
                        </w:r>
                        <w:r>
                          <w:rPr>
                            <w:color w:val="231F20"/>
                            <w:sz w:val="14"/>
                          </w:rPr>
                          <w:t>– Боље коришћење домаћих и страних</w:t>
                        </w:r>
                      </w:p>
                    </w:tc>
                    <w:tc>
                      <w:tcPr>
                        <w:tcW w:w="2551" w:type="dxa"/>
                        <w:tcBorders>
                          <w:top w:val="nil"/>
                          <w:bottom w:val="nil"/>
                        </w:tcBorders>
                      </w:tcPr>
                      <w:p>
                        <w:pPr>
                          <w:pStyle w:val="TableParagraph"/>
                          <w:spacing w:line="140" w:lineRule="exact" w:before="0"/>
                          <w:ind w:left="57"/>
                          <w:jc w:val="left"/>
                          <w:rPr>
                            <w:sz w:val="14"/>
                          </w:rPr>
                        </w:pPr>
                        <w:r>
                          <w:rPr>
                            <w:color w:val="231F20"/>
                            <w:sz w:val="14"/>
                          </w:rPr>
                          <w:t>кументације и спровођењу истражних</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средстава, приоритетно за квалитетне</w:t>
                        </w:r>
                      </w:p>
                    </w:tc>
                    <w:tc>
                      <w:tcPr>
                        <w:tcW w:w="2551" w:type="dxa"/>
                        <w:tcBorders>
                          <w:top w:val="nil"/>
                          <w:bottom w:val="nil"/>
                        </w:tcBorders>
                      </w:tcPr>
                      <w:p>
                        <w:pPr>
                          <w:pStyle w:val="TableParagraph"/>
                          <w:spacing w:line="140" w:lineRule="exact" w:before="0"/>
                          <w:ind w:left="57"/>
                          <w:jc w:val="left"/>
                          <w:rPr>
                            <w:sz w:val="14"/>
                          </w:rPr>
                        </w:pPr>
                        <w:r>
                          <w:rPr>
                            <w:color w:val="231F20"/>
                            <w:sz w:val="14"/>
                          </w:rPr>
                          <w:t>радова</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пројекте</w:t>
                        </w:r>
                      </w:p>
                    </w:tc>
                    <w:tc>
                      <w:tcPr>
                        <w:tcW w:w="2551" w:type="dxa"/>
                        <w:tcBorders>
                          <w:top w:val="nil"/>
                          <w:bottom w:val="nil"/>
                        </w:tcBorders>
                      </w:tcPr>
                      <w:p>
                        <w:pPr>
                          <w:pStyle w:val="TableParagraph"/>
                          <w:spacing w:line="140" w:lineRule="exact" w:before="0"/>
                          <w:ind w:left="57"/>
                          <w:jc w:val="left"/>
                          <w:rPr>
                            <w:sz w:val="14"/>
                          </w:rPr>
                        </w:pPr>
                        <w:r>
                          <w:rPr>
                            <w:color w:val="231F20"/>
                            <w:w w:val="66"/>
                            <w:sz w:val="14"/>
                          </w:rPr>
                          <w:t> </w:t>
                        </w:r>
                        <w:r>
                          <w:rPr>
                            <w:color w:val="231F20"/>
                            <w:sz w:val="14"/>
                          </w:rPr>
                          <w:t>– Наставак глобалне кризе, недостатак</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w w:val="66"/>
                            <w:sz w:val="14"/>
                          </w:rPr>
                          <w:t> </w:t>
                        </w:r>
                        <w:r>
                          <w:rPr>
                            <w:color w:val="231F20"/>
                            <w:sz w:val="14"/>
                          </w:rPr>
                          <w:t>– Реконструкција постојеће железничке</w:t>
                        </w:r>
                      </w:p>
                    </w:tc>
                    <w:tc>
                      <w:tcPr>
                        <w:tcW w:w="2551" w:type="dxa"/>
                        <w:tcBorders>
                          <w:top w:val="nil"/>
                          <w:bottom w:val="nil"/>
                        </w:tcBorders>
                      </w:tcPr>
                      <w:p>
                        <w:pPr>
                          <w:pStyle w:val="TableParagraph"/>
                          <w:spacing w:line="140" w:lineRule="exact" w:before="0"/>
                          <w:ind w:left="57"/>
                          <w:jc w:val="left"/>
                          <w:rPr>
                            <w:sz w:val="14"/>
                          </w:rPr>
                        </w:pPr>
                        <w:r>
                          <w:rPr>
                            <w:color w:val="231F20"/>
                            <w:sz w:val="14"/>
                          </w:rPr>
                          <w:t>средстава за инвестиције и даљи пад</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пруге и железничких капацитета, боља</w:t>
                        </w:r>
                      </w:p>
                    </w:tc>
                    <w:tc>
                      <w:tcPr>
                        <w:tcW w:w="2551" w:type="dxa"/>
                        <w:tcBorders>
                          <w:top w:val="nil"/>
                          <w:bottom w:val="nil"/>
                        </w:tcBorders>
                      </w:tcPr>
                      <w:p>
                        <w:pPr>
                          <w:pStyle w:val="TableParagraph"/>
                          <w:spacing w:line="140" w:lineRule="exact" w:before="0"/>
                          <w:ind w:left="57"/>
                          <w:jc w:val="left"/>
                          <w:rPr>
                            <w:sz w:val="14"/>
                          </w:rPr>
                        </w:pPr>
                        <w:r>
                          <w:rPr>
                            <w:color w:val="231F20"/>
                            <w:sz w:val="14"/>
                          </w:rPr>
                          <w:t>стандарда становништва</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повезаност са мрежом магистралних а</w:t>
                        </w:r>
                      </w:p>
                    </w:tc>
                    <w:tc>
                      <w:tcPr>
                        <w:tcW w:w="2551" w:type="dxa"/>
                        <w:tcBorders>
                          <w:top w:val="nil"/>
                          <w:bottom w:val="nil"/>
                        </w:tcBorders>
                      </w:tcPr>
                      <w:p>
                        <w:pPr>
                          <w:pStyle w:val="TableParagraph"/>
                          <w:spacing w:line="140" w:lineRule="exact" w:before="0"/>
                          <w:ind w:left="56"/>
                          <w:jc w:val="left"/>
                          <w:rPr>
                            <w:sz w:val="14"/>
                          </w:rPr>
                        </w:pPr>
                        <w:r>
                          <w:rPr>
                            <w:color w:val="231F20"/>
                            <w:w w:val="66"/>
                            <w:sz w:val="14"/>
                          </w:rPr>
                          <w:t> </w:t>
                        </w:r>
                        <w:r>
                          <w:rPr>
                            <w:color w:val="231F20"/>
                            <w:sz w:val="14"/>
                          </w:rPr>
                          <w:t>– Изостајање прецизнијег дефинисања</w:t>
                        </w: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преко ње и са мрежом европских пруга;</w:t>
                        </w:r>
                      </w:p>
                    </w:tc>
                    <w:tc>
                      <w:tcPr>
                        <w:tcW w:w="2551" w:type="dxa"/>
                        <w:tcBorders>
                          <w:top w:val="nil"/>
                          <w:bottom w:val="nil"/>
                        </w:tcBorders>
                      </w:tcPr>
                      <w:p>
                        <w:pPr>
                          <w:pStyle w:val="TableParagraph"/>
                          <w:spacing w:line="140" w:lineRule="exact" w:before="0"/>
                          <w:ind w:left="56"/>
                          <w:jc w:val="left"/>
                          <w:rPr>
                            <w:sz w:val="14"/>
                          </w:rPr>
                        </w:pPr>
                        <w:r>
                          <w:rPr>
                            <w:color w:val="231F20"/>
                            <w:sz w:val="14"/>
                          </w:rPr>
                          <w:t>државних приоритета</w:t>
                        </w:r>
                      </w:p>
                    </w:tc>
                  </w:tr>
                  <w:tr>
                    <w:trPr>
                      <w:trHeight w:val="159"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изградња индустријских пруга за потре-</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бе ТЕ и експлоатације руде; растерећење</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друмског саобраћаја од теретних возила;</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повећање квалитета животне средине</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w w:val="66"/>
                            <w:sz w:val="14"/>
                          </w:rPr>
                          <w:t> </w:t>
                        </w:r>
                        <w:r>
                          <w:rPr>
                            <w:color w:val="231F20"/>
                            <w:sz w:val="14"/>
                          </w:rPr>
                          <w:t>– Изградња саобраћајног коридора уз</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десну обалу Дунава, директна повеза-</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sz w:val="14"/>
                          </w:rPr>
                          <w:t>ност насеља на обали Дунава;</w:t>
                        </w:r>
                      </w:p>
                    </w:tc>
                    <w:tc>
                      <w:tcPr>
                        <w:tcW w:w="2551" w:type="dxa"/>
                        <w:tcBorders>
                          <w:top w:val="nil"/>
                          <w:bottom w:val="nil"/>
                        </w:tcBorders>
                      </w:tcPr>
                      <w:p>
                        <w:pPr>
                          <w:pStyle w:val="TableParagraph"/>
                          <w:spacing w:before="0"/>
                          <w:jc w:val="left"/>
                          <w:rPr>
                            <w:sz w:val="10"/>
                          </w:rPr>
                        </w:pPr>
                      </w:p>
                    </w:tc>
                  </w:tr>
                  <w:tr>
                    <w:trPr>
                      <w:trHeight w:val="160" w:hRule="atLeast"/>
                    </w:trPr>
                    <w:tc>
                      <w:tcPr>
                        <w:tcW w:w="2551" w:type="dxa"/>
                        <w:tcBorders>
                          <w:top w:val="nil"/>
                          <w:bottom w:val="nil"/>
                        </w:tcBorders>
                      </w:tcPr>
                      <w:p>
                        <w:pPr>
                          <w:pStyle w:val="TableParagraph"/>
                          <w:spacing w:line="140" w:lineRule="exact" w:before="0"/>
                          <w:ind w:left="56"/>
                          <w:jc w:val="left"/>
                          <w:rPr>
                            <w:sz w:val="14"/>
                          </w:rPr>
                        </w:pPr>
                        <w:r>
                          <w:rPr>
                            <w:color w:val="231F20"/>
                            <w:w w:val="66"/>
                            <w:sz w:val="14"/>
                          </w:rPr>
                          <w:t> </w:t>
                        </w:r>
                        <w:r>
                          <w:rPr>
                            <w:color w:val="231F20"/>
                            <w:sz w:val="14"/>
                          </w:rPr>
                          <w:t>– Фаворизовање и даље унапређење тзв.</w:t>
                        </w:r>
                      </w:p>
                    </w:tc>
                    <w:tc>
                      <w:tcPr>
                        <w:tcW w:w="2551" w:type="dxa"/>
                        <w:tcBorders>
                          <w:top w:val="nil"/>
                          <w:bottom w:val="nil"/>
                        </w:tcBorders>
                      </w:tcPr>
                      <w:p>
                        <w:pPr>
                          <w:pStyle w:val="TableParagraph"/>
                          <w:spacing w:before="0"/>
                          <w:jc w:val="left"/>
                          <w:rPr>
                            <w:sz w:val="10"/>
                          </w:rPr>
                        </w:pPr>
                      </w:p>
                    </w:tc>
                  </w:tr>
                  <w:tr>
                    <w:trPr>
                      <w:trHeight w:val="178" w:hRule="atLeast"/>
                    </w:trPr>
                    <w:tc>
                      <w:tcPr>
                        <w:tcW w:w="2551" w:type="dxa"/>
                        <w:tcBorders>
                          <w:top w:val="nil"/>
                        </w:tcBorders>
                      </w:tcPr>
                      <w:p>
                        <w:pPr>
                          <w:pStyle w:val="TableParagraph"/>
                          <w:spacing w:line="158" w:lineRule="exact" w:before="0"/>
                          <w:ind w:left="56"/>
                          <w:jc w:val="left"/>
                          <w:rPr>
                            <w:sz w:val="14"/>
                          </w:rPr>
                        </w:pPr>
                        <w:r>
                          <w:rPr>
                            <w:color w:val="231F20"/>
                            <w:sz w:val="14"/>
                          </w:rPr>
                          <w:t>еколошки „чистијих видова саобраћаја”</w:t>
                        </w:r>
                      </w:p>
                    </w:tc>
                    <w:tc>
                      <w:tcPr>
                        <w:tcW w:w="2551" w:type="dxa"/>
                        <w:tcBorders>
                          <w:top w:val="nil"/>
                        </w:tcBorders>
                      </w:tcPr>
                      <w:p>
                        <w:pPr>
                          <w:pStyle w:val="TableParagraph"/>
                          <w:spacing w:before="0"/>
                          <w:jc w:val="left"/>
                          <w:rPr>
                            <w:sz w:val="12"/>
                          </w:rPr>
                        </w:pPr>
                      </w:p>
                    </w:tc>
                  </w:tr>
                </w:tbl>
                <w:p>
                  <w:pPr>
                    <w:pStyle w:val="BodyText"/>
                    <w:ind w:left="0"/>
                    <w:jc w:val="left"/>
                  </w:pPr>
                </w:p>
              </w:txbxContent>
            </v:textbox>
            <w10:wrap type="none"/>
          </v:shape>
        </w:pict>
      </w:r>
      <w:r>
        <w:rPr/>
        <w:pict>
          <v:shape style="position:absolute;margin-left:42.519699pt;margin-top:22.402363pt;width:255.9pt;height:482.6pt;mso-position-horizontal-relative:page;mso-position-vertical-relative:paragraph;z-index:203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5320" w:hRule="atLeast"/>
                    </w:trPr>
                    <w:tc>
                      <w:tcPr>
                        <w:tcW w:w="2551" w:type="dxa"/>
                      </w:tcPr>
                      <w:p>
                        <w:pPr>
                          <w:pStyle w:val="TableParagraph"/>
                          <w:ind w:left="56" w:right="44"/>
                          <w:jc w:val="both"/>
                          <w:rPr>
                            <w:sz w:val="14"/>
                          </w:rPr>
                        </w:pPr>
                        <w:r>
                          <w:rPr>
                            <w:color w:val="231F20"/>
                            <w:w w:val="66"/>
                            <w:sz w:val="14"/>
                          </w:rPr>
                          <w:t> </w:t>
                        </w:r>
                        <w:r>
                          <w:rPr>
                            <w:color w:val="231F20"/>
                            <w:sz w:val="14"/>
                          </w:rPr>
                          <w:t>– Политичка воља за увођење ЕУ прин- ципа, стандарда и модалитета заштите земљишта у домаћу праксу</w:t>
                        </w:r>
                      </w:p>
                      <w:p>
                        <w:pPr>
                          <w:pStyle w:val="TableParagraph"/>
                          <w:spacing w:line="237" w:lineRule="auto" w:before="0"/>
                          <w:ind w:left="56" w:right="44"/>
                          <w:jc w:val="both"/>
                          <w:rPr>
                            <w:sz w:val="14"/>
                          </w:rPr>
                        </w:pPr>
                        <w:r>
                          <w:rPr>
                            <w:color w:val="231F20"/>
                            <w:w w:val="66"/>
                            <w:sz w:val="14"/>
                          </w:rPr>
                          <w:t> </w:t>
                        </w:r>
                        <w:r>
                          <w:rPr>
                            <w:color w:val="231F20"/>
                            <w:sz w:val="14"/>
                          </w:rPr>
                          <w:t>– </w:t>
                        </w:r>
                        <w:r>
                          <w:rPr>
                            <w:color w:val="231F20"/>
                            <w:spacing w:val="-3"/>
                            <w:sz w:val="14"/>
                          </w:rPr>
                          <w:t>Увођење </w:t>
                        </w:r>
                        <w:r>
                          <w:rPr>
                            <w:color w:val="231F20"/>
                            <w:sz w:val="14"/>
                          </w:rPr>
                          <w:t>нових, еколошки</w:t>
                        </w:r>
                        <w:r>
                          <w:rPr>
                            <w:color w:val="231F20"/>
                            <w:spacing w:val="-19"/>
                            <w:sz w:val="14"/>
                          </w:rPr>
                          <w:t> </w:t>
                        </w:r>
                        <w:r>
                          <w:rPr>
                            <w:color w:val="231F20"/>
                            <w:sz w:val="14"/>
                          </w:rPr>
                          <w:t>безбеднијих технологија у експлоатацију и прераду костолачких</w:t>
                        </w:r>
                        <w:r>
                          <w:rPr>
                            <w:color w:val="231F20"/>
                            <w:spacing w:val="-1"/>
                            <w:sz w:val="14"/>
                          </w:rPr>
                          <w:t> </w:t>
                        </w:r>
                        <w:r>
                          <w:rPr>
                            <w:color w:val="231F20"/>
                            <w:sz w:val="14"/>
                          </w:rPr>
                          <w:t>лигнита</w:t>
                        </w:r>
                      </w:p>
                      <w:p>
                        <w:pPr>
                          <w:pStyle w:val="TableParagraph"/>
                          <w:spacing w:before="0"/>
                          <w:ind w:left="56" w:right="44" w:hanging="1"/>
                          <w:jc w:val="both"/>
                          <w:rPr>
                            <w:sz w:val="14"/>
                          </w:rPr>
                        </w:pPr>
                        <w:r>
                          <w:rPr>
                            <w:color w:val="231F20"/>
                            <w:w w:val="66"/>
                            <w:sz w:val="14"/>
                          </w:rPr>
                          <w:t> </w:t>
                        </w:r>
                        <w:r>
                          <w:rPr>
                            <w:color w:val="231F20"/>
                            <w:sz w:val="14"/>
                          </w:rPr>
                          <w:t>–</w:t>
                        </w:r>
                        <w:r>
                          <w:rPr>
                            <w:color w:val="231F20"/>
                            <w:spacing w:val="-9"/>
                            <w:sz w:val="14"/>
                          </w:rPr>
                          <w:t> </w:t>
                        </w:r>
                        <w:r>
                          <w:rPr>
                            <w:color w:val="231F20"/>
                            <w:sz w:val="14"/>
                          </w:rPr>
                          <w:t>Квалитет</w:t>
                        </w:r>
                        <w:r>
                          <w:rPr>
                            <w:color w:val="231F20"/>
                            <w:spacing w:val="-9"/>
                            <w:sz w:val="14"/>
                          </w:rPr>
                          <w:t> </w:t>
                        </w:r>
                        <w:r>
                          <w:rPr>
                            <w:color w:val="231F20"/>
                            <w:sz w:val="14"/>
                          </w:rPr>
                          <w:t>хумусног</w:t>
                        </w:r>
                        <w:r>
                          <w:rPr>
                            <w:color w:val="231F20"/>
                            <w:spacing w:val="-9"/>
                            <w:sz w:val="14"/>
                          </w:rPr>
                          <w:t> </w:t>
                        </w:r>
                        <w:r>
                          <w:rPr>
                            <w:color w:val="231F20"/>
                            <w:sz w:val="14"/>
                          </w:rPr>
                          <w:t>слоја</w:t>
                        </w:r>
                        <w:r>
                          <w:rPr>
                            <w:color w:val="231F20"/>
                            <w:spacing w:val="-9"/>
                            <w:sz w:val="14"/>
                          </w:rPr>
                          <w:t> </w:t>
                        </w:r>
                        <w:r>
                          <w:rPr>
                            <w:color w:val="231F20"/>
                            <w:sz w:val="14"/>
                          </w:rPr>
                          <w:t>на</w:t>
                        </w:r>
                        <w:r>
                          <w:rPr>
                            <w:color w:val="231F20"/>
                            <w:spacing w:val="-9"/>
                            <w:sz w:val="14"/>
                          </w:rPr>
                          <w:t> </w:t>
                        </w:r>
                        <w:r>
                          <w:rPr>
                            <w:color w:val="231F20"/>
                            <w:sz w:val="14"/>
                          </w:rPr>
                          <w:t>фронту</w:t>
                        </w:r>
                        <w:r>
                          <w:rPr>
                            <w:color w:val="231F20"/>
                            <w:spacing w:val="-9"/>
                            <w:sz w:val="14"/>
                          </w:rPr>
                          <w:t> </w:t>
                        </w:r>
                        <w:r>
                          <w:rPr>
                            <w:color w:val="231F20"/>
                            <w:sz w:val="14"/>
                          </w:rPr>
                          <w:t>на- предовања </w:t>
                        </w:r>
                        <w:r>
                          <w:rPr>
                            <w:color w:val="231F20"/>
                            <w:spacing w:val="-3"/>
                            <w:sz w:val="14"/>
                          </w:rPr>
                          <w:t>копа </w:t>
                        </w:r>
                        <w:r>
                          <w:rPr>
                            <w:color w:val="231F20"/>
                            <w:sz w:val="14"/>
                          </w:rPr>
                          <w:t>„Дрмно”, као извор ква- литетног супстрата за биолошко акти- вирање ригидних земљишта оближњих депонија</w:t>
                        </w:r>
                      </w:p>
                      <w:p>
                        <w:pPr>
                          <w:pStyle w:val="TableParagraph"/>
                          <w:spacing w:line="237" w:lineRule="auto" w:before="0"/>
                          <w:ind w:left="56" w:right="44"/>
                          <w:jc w:val="both"/>
                          <w:rPr>
                            <w:sz w:val="14"/>
                          </w:rPr>
                        </w:pPr>
                        <w:r>
                          <w:rPr>
                            <w:color w:val="231F20"/>
                            <w:w w:val="66"/>
                            <w:sz w:val="14"/>
                          </w:rPr>
                          <w:t> </w:t>
                        </w:r>
                        <w:r>
                          <w:rPr>
                            <w:color w:val="231F20"/>
                            <w:sz w:val="14"/>
                          </w:rPr>
                          <w:t>– Довољно стручног кадра и обезбеђена научно-истраживачка подршка за уна- пређивање постојећих и развој нових поступака којима се обнавља и повећава екосистемски и производно-економски потенцијал деградираних земљишта</w:t>
                        </w:r>
                      </w:p>
                      <w:p>
                        <w:pPr>
                          <w:pStyle w:val="TableParagraph"/>
                          <w:spacing w:before="0"/>
                          <w:ind w:left="56" w:right="44"/>
                          <w:jc w:val="both"/>
                          <w:rPr>
                            <w:sz w:val="14"/>
                          </w:rPr>
                        </w:pPr>
                        <w:r>
                          <w:rPr>
                            <w:color w:val="231F20"/>
                            <w:w w:val="66"/>
                            <w:sz w:val="14"/>
                          </w:rPr>
                          <w:t> </w:t>
                        </w:r>
                        <w:r>
                          <w:rPr>
                            <w:color w:val="231F20"/>
                            <w:sz w:val="14"/>
                          </w:rPr>
                          <w:t>– Светска достигнућа у домену реха- билитације тзв. brown field терена, као   у домаћа искуства рeкултивацијe де- посола пошумљавањем на пoдручју Кoлубарскoг и </w:t>
                        </w:r>
                        <w:r>
                          <w:rPr>
                            <w:color w:val="231F20"/>
                            <w:spacing w:val="-3"/>
                            <w:sz w:val="14"/>
                          </w:rPr>
                          <w:t>Костолачког</w:t>
                        </w:r>
                        <w:r>
                          <w:rPr>
                            <w:color w:val="231F20"/>
                            <w:sz w:val="14"/>
                          </w:rPr>
                          <w:t> басeна;</w:t>
                        </w:r>
                      </w:p>
                      <w:p>
                        <w:pPr>
                          <w:pStyle w:val="TableParagraph"/>
                          <w:spacing w:line="237" w:lineRule="auto" w:before="0"/>
                          <w:ind w:left="56" w:right="44"/>
                          <w:jc w:val="both"/>
                          <w:rPr>
                            <w:sz w:val="14"/>
                          </w:rPr>
                        </w:pPr>
                        <w:r>
                          <w:rPr>
                            <w:color w:val="231F20"/>
                            <w:w w:val="66"/>
                            <w:sz w:val="14"/>
                          </w:rPr>
                          <w:t> </w:t>
                        </w:r>
                        <w:r>
                          <w:rPr>
                            <w:color w:val="231F20"/>
                            <w:sz w:val="14"/>
                          </w:rPr>
                          <w:t>–</w:t>
                        </w:r>
                        <w:r>
                          <w:rPr>
                            <w:color w:val="231F20"/>
                            <w:spacing w:val="-14"/>
                            <w:sz w:val="14"/>
                          </w:rPr>
                          <w:t> </w:t>
                        </w:r>
                        <w:r>
                          <w:rPr>
                            <w:color w:val="231F20"/>
                            <w:sz w:val="14"/>
                          </w:rPr>
                          <w:t>Присуство</w:t>
                        </w:r>
                        <w:r>
                          <w:rPr>
                            <w:color w:val="231F20"/>
                            <w:spacing w:val="-14"/>
                            <w:sz w:val="14"/>
                          </w:rPr>
                          <w:t> </w:t>
                        </w:r>
                        <w:r>
                          <w:rPr>
                            <w:color w:val="231F20"/>
                            <w:sz w:val="14"/>
                          </w:rPr>
                          <w:t>међународних</w:t>
                        </w:r>
                        <w:r>
                          <w:rPr>
                            <w:color w:val="231F20"/>
                            <w:spacing w:val="-14"/>
                            <w:sz w:val="14"/>
                          </w:rPr>
                          <w:t> </w:t>
                        </w:r>
                        <w:r>
                          <w:rPr>
                            <w:color w:val="231F20"/>
                            <w:sz w:val="14"/>
                          </w:rPr>
                          <w:t>организација и фондова у програмима заштите приро- де на локалном нивоу;</w:t>
                        </w:r>
                        <w:r>
                          <w:rPr>
                            <w:color w:val="231F20"/>
                            <w:spacing w:val="-4"/>
                            <w:sz w:val="14"/>
                          </w:rPr>
                          <w:t> </w:t>
                        </w:r>
                        <w:r>
                          <w:rPr>
                            <w:color w:val="231F20"/>
                            <w:sz w:val="14"/>
                          </w:rPr>
                          <w:t>и</w:t>
                        </w:r>
                      </w:p>
                      <w:p>
                        <w:pPr>
                          <w:pStyle w:val="TableParagraph"/>
                          <w:spacing w:before="0"/>
                          <w:ind w:left="56" w:right="44"/>
                          <w:jc w:val="both"/>
                          <w:rPr>
                            <w:sz w:val="14"/>
                          </w:rPr>
                        </w:pPr>
                        <w:r>
                          <w:rPr>
                            <w:color w:val="231F20"/>
                            <w:w w:val="66"/>
                            <w:sz w:val="14"/>
                          </w:rPr>
                          <w:t> </w:t>
                        </w:r>
                        <w:r>
                          <w:rPr>
                            <w:color w:val="231F20"/>
                            <w:sz w:val="14"/>
                          </w:rPr>
                          <w:t>–  Јачање   </w:t>
                        </w:r>
                        <w:r>
                          <w:rPr>
                            <w:color w:val="231F20"/>
                            <w:spacing w:val="-3"/>
                            <w:sz w:val="14"/>
                          </w:rPr>
                          <w:t>еколошке   </w:t>
                        </w:r>
                        <w:r>
                          <w:rPr>
                            <w:color w:val="231F20"/>
                            <w:sz w:val="14"/>
                          </w:rPr>
                          <w:t>свести   грађана   и успостављање јавно-приватних партнерства по питању одрживог</w:t>
                        </w:r>
                        <w:r>
                          <w:rPr>
                            <w:color w:val="231F20"/>
                            <w:spacing w:val="-26"/>
                            <w:sz w:val="14"/>
                          </w:rPr>
                          <w:t> </w:t>
                        </w:r>
                        <w:r>
                          <w:rPr>
                            <w:color w:val="231F20"/>
                            <w:sz w:val="14"/>
                          </w:rPr>
                          <w:t>развоја локалних</w:t>
                        </w:r>
                        <w:r>
                          <w:rPr>
                            <w:color w:val="231F20"/>
                            <w:spacing w:val="-2"/>
                            <w:sz w:val="14"/>
                          </w:rPr>
                          <w:t> </w:t>
                        </w:r>
                        <w:r>
                          <w:rPr>
                            <w:color w:val="231F20"/>
                            <w:sz w:val="14"/>
                          </w:rPr>
                          <w:t>заједница.</w:t>
                        </w:r>
                      </w:p>
                    </w:tc>
                    <w:tc>
                      <w:tcPr>
                        <w:tcW w:w="2551" w:type="dxa"/>
                      </w:tcPr>
                      <w:p>
                        <w:pPr>
                          <w:pStyle w:val="TableParagraph"/>
                          <w:ind w:left="56" w:right="44"/>
                          <w:jc w:val="both"/>
                          <w:rPr>
                            <w:sz w:val="14"/>
                          </w:rPr>
                        </w:pPr>
                        <w:r>
                          <w:rPr>
                            <w:color w:val="231F20"/>
                            <w:w w:val="66"/>
                            <w:sz w:val="14"/>
                          </w:rPr>
                          <w:t> </w:t>
                        </w:r>
                        <w:r>
                          <w:rPr>
                            <w:color w:val="231F20"/>
                            <w:sz w:val="14"/>
                          </w:rPr>
                          <w:t>– Перманентно кашњење у спровођењу рекултивације и ревитализације постру- дарских терена</w:t>
                        </w:r>
                      </w:p>
                      <w:p>
                        <w:pPr>
                          <w:pStyle w:val="TableParagraph"/>
                          <w:spacing w:line="237" w:lineRule="auto" w:before="0"/>
                          <w:ind w:left="56" w:right="44"/>
                          <w:jc w:val="both"/>
                          <w:rPr>
                            <w:sz w:val="14"/>
                          </w:rPr>
                        </w:pPr>
                        <w:r>
                          <w:rPr>
                            <w:color w:val="231F20"/>
                            <w:w w:val="66"/>
                            <w:sz w:val="14"/>
                          </w:rPr>
                          <w:t> </w:t>
                        </w:r>
                        <w:r>
                          <w:rPr>
                            <w:color w:val="231F20"/>
                            <w:sz w:val="14"/>
                          </w:rPr>
                          <w:t>– Невођење рачуна о унапређивању би- олошке и предеоне разноврсности под- ручја Костолачког угљеног басена</w:t>
                        </w:r>
                      </w:p>
                      <w:p>
                        <w:pPr>
                          <w:pStyle w:val="TableParagraph"/>
                          <w:spacing w:before="0"/>
                          <w:ind w:left="56" w:right="44"/>
                          <w:jc w:val="both"/>
                          <w:rPr>
                            <w:sz w:val="14"/>
                          </w:rPr>
                        </w:pPr>
                        <w:r>
                          <w:rPr>
                            <w:color w:val="231F20"/>
                            <w:w w:val="66"/>
                            <w:sz w:val="14"/>
                          </w:rPr>
                          <w:t> </w:t>
                        </w:r>
                        <w:r>
                          <w:rPr>
                            <w:color w:val="231F20"/>
                            <w:sz w:val="14"/>
                          </w:rPr>
                          <w:t>– Фрагментарност и непоузданост пода- така о површинама, наменама, динами- ци и ефектима досадашњих радова на рекултивацији локалитета деградираних костолачким коповима и електранама</w:t>
                        </w:r>
                      </w:p>
                      <w:p>
                        <w:pPr>
                          <w:pStyle w:val="TableParagraph"/>
                          <w:spacing w:line="237" w:lineRule="auto" w:before="0"/>
                          <w:ind w:left="56" w:right="44" w:hanging="1"/>
                          <w:jc w:val="both"/>
                          <w:rPr>
                            <w:sz w:val="14"/>
                          </w:rPr>
                        </w:pPr>
                        <w:r>
                          <w:rPr>
                            <w:color w:val="231F20"/>
                            <w:w w:val="66"/>
                            <w:sz w:val="14"/>
                          </w:rPr>
                          <w:t> </w:t>
                        </w:r>
                        <w:r>
                          <w:rPr>
                            <w:color w:val="231F20"/>
                            <w:sz w:val="14"/>
                          </w:rPr>
                          <w:t>– Непостојање темељно урађених дуго- рочних оперативних планова/пројеката, којима би требало да </w:t>
                        </w:r>
                        <w:r>
                          <w:rPr>
                            <w:color w:val="231F20"/>
                            <w:spacing w:val="-4"/>
                            <w:sz w:val="14"/>
                          </w:rPr>
                          <w:t>буду  </w:t>
                        </w:r>
                        <w:r>
                          <w:rPr>
                            <w:color w:val="231F20"/>
                            <w:sz w:val="14"/>
                          </w:rPr>
                          <w:t>заокружене  и међусобно усклађене све фазе и мере техничке и биолошке рекултивације, </w:t>
                        </w:r>
                        <w:r>
                          <w:rPr>
                            <w:color w:val="231F20"/>
                            <w:spacing w:val="-3"/>
                            <w:sz w:val="14"/>
                          </w:rPr>
                          <w:t>ко- </w:t>
                        </w:r>
                        <w:r>
                          <w:rPr>
                            <w:color w:val="231F20"/>
                            <w:sz w:val="14"/>
                          </w:rPr>
                          <w:t>муналног опремања и комплексног уре- ђења оштећеног</w:t>
                        </w:r>
                        <w:r>
                          <w:rPr>
                            <w:color w:val="231F20"/>
                            <w:spacing w:val="-3"/>
                            <w:sz w:val="14"/>
                          </w:rPr>
                          <w:t> </w:t>
                        </w:r>
                        <w:r>
                          <w:rPr>
                            <w:color w:val="231F20"/>
                            <w:sz w:val="14"/>
                          </w:rPr>
                          <w:t>простора</w:t>
                        </w:r>
                      </w:p>
                      <w:p>
                        <w:pPr>
                          <w:pStyle w:val="TableParagraph"/>
                          <w:spacing w:before="0"/>
                          <w:ind w:left="56" w:right="44"/>
                          <w:jc w:val="both"/>
                          <w:rPr>
                            <w:sz w:val="14"/>
                          </w:rPr>
                        </w:pPr>
                        <w:r>
                          <w:rPr>
                            <w:color w:val="231F20"/>
                            <w:w w:val="66"/>
                            <w:sz w:val="14"/>
                          </w:rPr>
                          <w:t> </w:t>
                        </w:r>
                        <w:r>
                          <w:rPr>
                            <w:color w:val="231F20"/>
                            <w:sz w:val="14"/>
                          </w:rPr>
                          <w:t>– Изостављање селективне откривке (скидања и депоновања хумусног слоја) у досадашњој пракси површинске екс- плоатације лигнита;</w:t>
                        </w:r>
                      </w:p>
                      <w:p>
                        <w:pPr>
                          <w:pStyle w:val="TableParagraph"/>
                          <w:spacing w:line="237" w:lineRule="auto" w:before="0"/>
                          <w:ind w:left="56" w:right="44"/>
                          <w:jc w:val="both"/>
                          <w:rPr>
                            <w:sz w:val="14"/>
                          </w:rPr>
                        </w:pPr>
                        <w:r>
                          <w:rPr>
                            <w:color w:val="231F20"/>
                            <w:w w:val="66"/>
                            <w:sz w:val="14"/>
                          </w:rPr>
                          <w:t> </w:t>
                        </w:r>
                        <w:r>
                          <w:rPr>
                            <w:color w:val="231F20"/>
                            <w:sz w:val="14"/>
                          </w:rPr>
                          <w:t>– Непостојање система за праћење</w:t>
                        </w:r>
                        <w:r>
                          <w:rPr>
                            <w:color w:val="231F20"/>
                            <w:spacing w:val="-19"/>
                            <w:sz w:val="14"/>
                          </w:rPr>
                          <w:t> </w:t>
                        </w:r>
                        <w:r>
                          <w:rPr>
                            <w:color w:val="231F20"/>
                            <w:sz w:val="14"/>
                          </w:rPr>
                          <w:t>усло- ва спољне средине и сукцецивно анали- зирање физичких и хемијских особина откривке </w:t>
                        </w:r>
                        <w:r>
                          <w:rPr>
                            <w:color w:val="231F20"/>
                            <w:spacing w:val="-3"/>
                            <w:sz w:val="14"/>
                          </w:rPr>
                          <w:t>током </w:t>
                        </w:r>
                        <w:r>
                          <w:rPr>
                            <w:color w:val="231F20"/>
                            <w:sz w:val="14"/>
                          </w:rPr>
                          <w:t>целог периода рударске експлоатације;</w:t>
                        </w:r>
                        <w:r>
                          <w:rPr>
                            <w:color w:val="231F20"/>
                            <w:spacing w:val="-1"/>
                            <w:sz w:val="14"/>
                          </w:rPr>
                          <w:t> </w:t>
                        </w:r>
                        <w:r>
                          <w:rPr>
                            <w:color w:val="231F20"/>
                            <w:sz w:val="14"/>
                          </w:rPr>
                          <w:t>и</w:t>
                        </w:r>
                      </w:p>
                      <w:p>
                        <w:pPr>
                          <w:pStyle w:val="TableParagraph"/>
                          <w:spacing w:before="0"/>
                          <w:ind w:left="56" w:right="44"/>
                          <w:jc w:val="both"/>
                          <w:rPr>
                            <w:sz w:val="14"/>
                          </w:rPr>
                        </w:pPr>
                        <w:r>
                          <w:rPr>
                            <w:color w:val="231F20"/>
                            <w:w w:val="66"/>
                            <w:sz w:val="14"/>
                          </w:rPr>
                          <w:t> </w:t>
                        </w:r>
                        <w:r>
                          <w:rPr>
                            <w:color w:val="231F20"/>
                            <w:sz w:val="14"/>
                          </w:rPr>
                          <w:t>– Недовољно развијени институцио- нални капацитети за управљање земљи- штем и слаба координација активности органа извршне власти у домену зашти- те земљишта на републичком и локал- ном нивоу.</w:t>
                        </w:r>
                      </w:p>
                    </w:tc>
                  </w:tr>
                  <w:tr>
                    <w:trPr>
                      <w:trHeight w:val="200" w:hRule="atLeast"/>
                    </w:trPr>
                    <w:tc>
                      <w:tcPr>
                        <w:tcW w:w="2551" w:type="dxa"/>
                      </w:tcPr>
                      <w:p>
                        <w:pPr>
                          <w:pStyle w:val="TableParagraph"/>
                          <w:spacing w:before="19"/>
                          <w:ind w:left="720" w:right="712"/>
                          <w:jc w:val="center"/>
                          <w:rPr>
                            <w:sz w:val="14"/>
                          </w:rPr>
                        </w:pPr>
                        <w:r>
                          <w:rPr>
                            <w:color w:val="231F20"/>
                            <w:sz w:val="14"/>
                          </w:rPr>
                          <w:t>МОГУЋНОСТИ</w:t>
                        </w:r>
                      </w:p>
                    </w:tc>
                    <w:tc>
                      <w:tcPr>
                        <w:tcW w:w="2551" w:type="dxa"/>
                      </w:tcPr>
                      <w:p>
                        <w:pPr>
                          <w:pStyle w:val="TableParagraph"/>
                          <w:spacing w:before="19"/>
                          <w:ind w:left="721" w:right="712"/>
                          <w:jc w:val="center"/>
                          <w:rPr>
                            <w:sz w:val="14"/>
                          </w:rPr>
                        </w:pPr>
                        <w:r>
                          <w:rPr>
                            <w:color w:val="231F20"/>
                            <w:sz w:val="14"/>
                          </w:rPr>
                          <w:t>ПРЕТЊЕ</w:t>
                        </w:r>
                      </w:p>
                    </w:tc>
                  </w:tr>
                  <w:tr>
                    <w:trPr>
                      <w:trHeight w:val="3880" w:hRule="atLeast"/>
                    </w:trPr>
                    <w:tc>
                      <w:tcPr>
                        <w:tcW w:w="2551" w:type="dxa"/>
                      </w:tcPr>
                      <w:p>
                        <w:pPr>
                          <w:pStyle w:val="TableParagraph"/>
                          <w:spacing w:before="19"/>
                          <w:ind w:left="56" w:right="44"/>
                          <w:jc w:val="both"/>
                          <w:rPr>
                            <w:sz w:val="14"/>
                          </w:rPr>
                        </w:pPr>
                        <w:r>
                          <w:rPr>
                            <w:color w:val="231F20"/>
                            <w:w w:val="66"/>
                            <w:sz w:val="14"/>
                          </w:rPr>
                          <w:t> </w:t>
                        </w:r>
                        <w:r>
                          <w:rPr>
                            <w:color w:val="231F20"/>
                            <w:sz w:val="14"/>
                          </w:rPr>
                          <w:t>–</w:t>
                        </w:r>
                        <w:r>
                          <w:rPr>
                            <w:color w:val="231F20"/>
                            <w:spacing w:val="-15"/>
                            <w:sz w:val="14"/>
                          </w:rPr>
                          <w:t> </w:t>
                        </w:r>
                        <w:r>
                          <w:rPr>
                            <w:color w:val="231F20"/>
                            <w:sz w:val="14"/>
                          </w:rPr>
                          <w:t>Укључивање</w:t>
                        </w:r>
                        <w:r>
                          <w:rPr>
                            <w:color w:val="231F20"/>
                            <w:spacing w:val="-15"/>
                            <w:sz w:val="14"/>
                          </w:rPr>
                          <w:t> </w:t>
                        </w:r>
                        <w:r>
                          <w:rPr>
                            <w:color w:val="231F20"/>
                            <w:sz w:val="14"/>
                          </w:rPr>
                          <w:t>програма</w:t>
                        </w:r>
                        <w:r>
                          <w:rPr>
                            <w:color w:val="231F20"/>
                            <w:spacing w:val="-15"/>
                            <w:sz w:val="14"/>
                          </w:rPr>
                          <w:t> </w:t>
                        </w:r>
                        <w:r>
                          <w:rPr>
                            <w:color w:val="231F20"/>
                            <w:sz w:val="14"/>
                          </w:rPr>
                          <w:t>рекултивације</w:t>
                        </w:r>
                        <w:r>
                          <w:rPr>
                            <w:color w:val="231F20"/>
                            <w:spacing w:val="-15"/>
                            <w:sz w:val="14"/>
                          </w:rPr>
                          <w:t> </w:t>
                        </w:r>
                        <w:r>
                          <w:rPr>
                            <w:color w:val="231F20"/>
                            <w:sz w:val="14"/>
                          </w:rPr>
                          <w:t>у систем географске информатике (ГИС), ради праћења и квантитативног оцењи- вања остварених</w:t>
                        </w:r>
                        <w:r>
                          <w:rPr>
                            <w:color w:val="231F20"/>
                            <w:spacing w:val="-4"/>
                            <w:sz w:val="14"/>
                          </w:rPr>
                          <w:t> </w:t>
                        </w:r>
                        <w:r>
                          <w:rPr>
                            <w:color w:val="231F20"/>
                            <w:sz w:val="14"/>
                          </w:rPr>
                          <w:t>резултата</w:t>
                        </w:r>
                      </w:p>
                      <w:p>
                        <w:pPr>
                          <w:pStyle w:val="TableParagraph"/>
                          <w:spacing w:line="237" w:lineRule="auto" w:before="0"/>
                          <w:ind w:left="56" w:right="44"/>
                          <w:jc w:val="both"/>
                          <w:rPr>
                            <w:sz w:val="14"/>
                          </w:rPr>
                        </w:pPr>
                        <w:r>
                          <w:rPr>
                            <w:color w:val="231F20"/>
                            <w:w w:val="66"/>
                            <w:sz w:val="14"/>
                          </w:rPr>
                          <w:t> </w:t>
                        </w:r>
                        <w:r>
                          <w:rPr>
                            <w:color w:val="231F20"/>
                            <w:sz w:val="14"/>
                          </w:rPr>
                          <w:t>– Успостављање система оцене и пра- ћења животне средине, уз примену ме- ђународно прихваћених индикатора и стандарда квалитета земљишта</w:t>
                        </w:r>
                      </w:p>
                      <w:p>
                        <w:pPr>
                          <w:pStyle w:val="TableParagraph"/>
                          <w:spacing w:before="0"/>
                          <w:ind w:left="55" w:right="45"/>
                          <w:jc w:val="both"/>
                          <w:rPr>
                            <w:sz w:val="14"/>
                          </w:rPr>
                        </w:pPr>
                        <w:r>
                          <w:rPr>
                            <w:color w:val="231F20"/>
                            <w:w w:val="66"/>
                            <w:sz w:val="14"/>
                          </w:rPr>
                          <w:t> </w:t>
                        </w:r>
                        <w:r>
                          <w:rPr>
                            <w:color w:val="231F20"/>
                            <w:sz w:val="14"/>
                          </w:rPr>
                          <w:t>– Прецизно одређивање повластица, преференција, концесија и других бени- фиција органима локалне самоуправе, односно приватним предузетницима и другим инвеститорима који су заинтере- совани за улагања у одређене програме рекултивације и функционалног унапре- ђивања пострударских и других дегра- дираних простора</w:t>
                        </w:r>
                      </w:p>
                      <w:p>
                        <w:pPr>
                          <w:pStyle w:val="TableParagraph"/>
                          <w:spacing w:line="237" w:lineRule="auto" w:before="0"/>
                          <w:ind w:left="55" w:right="45"/>
                          <w:jc w:val="both"/>
                          <w:rPr>
                            <w:sz w:val="14"/>
                          </w:rPr>
                        </w:pPr>
                        <w:r>
                          <w:rPr>
                            <w:color w:val="231F20"/>
                            <w:w w:val="66"/>
                            <w:sz w:val="14"/>
                          </w:rPr>
                          <w:t> </w:t>
                        </w:r>
                        <w:r>
                          <w:rPr>
                            <w:color w:val="231F20"/>
                            <w:sz w:val="14"/>
                          </w:rPr>
                          <w:t>– Отклањање законских ограничења за преношење државног власништва над рекултивисаним пољопривредним зе- мљиштем у руке првобитних власника или других газдинстава</w:t>
                        </w:r>
                      </w:p>
                      <w:p>
                        <w:pPr>
                          <w:pStyle w:val="TableParagraph"/>
                          <w:spacing w:line="237" w:lineRule="auto" w:before="0"/>
                          <w:ind w:left="55" w:right="45"/>
                          <w:jc w:val="both"/>
                          <w:rPr>
                            <w:sz w:val="14"/>
                          </w:rPr>
                        </w:pPr>
                        <w:r>
                          <w:rPr>
                            <w:color w:val="231F20"/>
                            <w:w w:val="66"/>
                            <w:sz w:val="14"/>
                          </w:rPr>
                          <w:t> </w:t>
                        </w:r>
                        <w:r>
                          <w:rPr>
                            <w:color w:val="231F20"/>
                            <w:sz w:val="14"/>
                          </w:rPr>
                          <w:t>– Успостављање партнeрства актeра из јавнoг, приватног и цивилнoг сeктoра,</w:t>
                        </w:r>
                      </w:p>
                    </w:tc>
                    <w:tc>
                      <w:tcPr>
                        <w:tcW w:w="2551" w:type="dxa"/>
                      </w:tcPr>
                      <w:p>
                        <w:pPr>
                          <w:pStyle w:val="TableParagraph"/>
                          <w:spacing w:before="19"/>
                          <w:ind w:left="55" w:right="44"/>
                          <w:jc w:val="both"/>
                          <w:rPr>
                            <w:sz w:val="14"/>
                          </w:rPr>
                        </w:pPr>
                        <w:r>
                          <w:rPr>
                            <w:color w:val="231F20"/>
                            <w:w w:val="66"/>
                            <w:sz w:val="14"/>
                          </w:rPr>
                          <w:t> </w:t>
                        </w:r>
                        <w:r>
                          <w:rPr>
                            <w:color w:val="231F20"/>
                            <w:sz w:val="14"/>
                          </w:rPr>
                          <w:t>– Недостатак средстава за спровођење целовитих програма рекултивације зе- мљишта, предеоне рехабилитације и функционалног унапређивања простора деградираног развојем рударства и</w:t>
                        </w:r>
                        <w:r>
                          <w:rPr>
                            <w:color w:val="231F20"/>
                            <w:spacing w:val="-12"/>
                            <w:sz w:val="14"/>
                          </w:rPr>
                          <w:t> </w:t>
                        </w:r>
                        <w:r>
                          <w:rPr>
                            <w:color w:val="231F20"/>
                            <w:sz w:val="14"/>
                          </w:rPr>
                          <w:t>енер- гетике, отпадом и</w:t>
                        </w:r>
                        <w:r>
                          <w:rPr>
                            <w:color w:val="231F20"/>
                            <w:spacing w:val="-3"/>
                            <w:sz w:val="14"/>
                          </w:rPr>
                          <w:t> </w:t>
                        </w:r>
                        <w:r>
                          <w:rPr>
                            <w:color w:val="231F20"/>
                            <w:sz w:val="14"/>
                          </w:rPr>
                          <w:t>слично.</w:t>
                        </w:r>
                      </w:p>
                      <w:p>
                        <w:pPr>
                          <w:pStyle w:val="TableParagraph"/>
                          <w:spacing w:line="237" w:lineRule="auto" w:before="0"/>
                          <w:ind w:left="55" w:right="45"/>
                          <w:jc w:val="both"/>
                          <w:rPr>
                            <w:sz w:val="14"/>
                          </w:rPr>
                        </w:pPr>
                        <w:r>
                          <w:rPr>
                            <w:color w:val="231F20"/>
                            <w:w w:val="66"/>
                            <w:sz w:val="14"/>
                          </w:rPr>
                          <w:t> </w:t>
                        </w:r>
                        <w:r>
                          <w:rPr>
                            <w:color w:val="231F20"/>
                            <w:sz w:val="14"/>
                          </w:rPr>
                          <w:t>– Игнорисање тесних међузависности економских, социјалних и еколошких аспеката одрживог коришћења земљи- шта при доношењу одлука о наменама  и функцијама рекултивисаног</w:t>
                        </w:r>
                        <w:r>
                          <w:rPr>
                            <w:color w:val="231F20"/>
                            <w:spacing w:val="-14"/>
                            <w:sz w:val="14"/>
                          </w:rPr>
                          <w:t> </w:t>
                        </w:r>
                        <w:r>
                          <w:rPr>
                            <w:color w:val="231F20"/>
                            <w:sz w:val="14"/>
                          </w:rPr>
                          <w:t>простора</w:t>
                        </w:r>
                      </w:p>
                      <w:p>
                        <w:pPr>
                          <w:pStyle w:val="TableParagraph"/>
                          <w:spacing w:before="0"/>
                          <w:ind w:left="55" w:right="45"/>
                          <w:jc w:val="both"/>
                          <w:rPr>
                            <w:sz w:val="14"/>
                          </w:rPr>
                        </w:pPr>
                        <w:r>
                          <w:rPr>
                            <w:color w:val="231F20"/>
                            <w:w w:val="66"/>
                            <w:sz w:val="14"/>
                          </w:rPr>
                          <w:t> </w:t>
                        </w:r>
                        <w:r>
                          <w:rPr>
                            <w:color w:val="231F20"/>
                            <w:sz w:val="14"/>
                          </w:rPr>
                          <w:t>– Осиромашење биодиверзитета под утицајем спуштања нивоа подземних вода и других хидролошких поремећаја</w:t>
                        </w:r>
                      </w:p>
                      <w:p>
                        <w:pPr>
                          <w:pStyle w:val="TableParagraph"/>
                          <w:spacing w:line="237" w:lineRule="auto" w:before="0"/>
                          <w:ind w:left="55" w:right="45"/>
                          <w:jc w:val="both"/>
                          <w:rPr>
                            <w:sz w:val="14"/>
                          </w:rPr>
                        </w:pPr>
                        <w:r>
                          <w:rPr>
                            <w:color w:val="231F20"/>
                            <w:w w:val="66"/>
                            <w:sz w:val="14"/>
                          </w:rPr>
                          <w:t> </w:t>
                        </w:r>
                        <w:r>
                          <w:rPr>
                            <w:color w:val="231F20"/>
                            <w:sz w:val="14"/>
                          </w:rPr>
                          <w:t>– Ниска отпорност пострударских би- отопа на климатске промене, праћене ексцесним временским приликама,</w:t>
                        </w:r>
                        <w:r>
                          <w:rPr>
                            <w:color w:val="231F20"/>
                            <w:spacing w:val="-23"/>
                            <w:sz w:val="14"/>
                          </w:rPr>
                          <w:t> </w:t>
                        </w:r>
                        <w:r>
                          <w:rPr>
                            <w:color w:val="231F20"/>
                            <w:sz w:val="14"/>
                          </w:rPr>
                          <w:t>дуго- трајним</w:t>
                        </w:r>
                        <w:r>
                          <w:rPr>
                            <w:color w:val="231F20"/>
                            <w:spacing w:val="-7"/>
                            <w:sz w:val="14"/>
                          </w:rPr>
                          <w:t> </w:t>
                        </w:r>
                        <w:r>
                          <w:rPr>
                            <w:color w:val="231F20"/>
                            <w:sz w:val="14"/>
                          </w:rPr>
                          <w:t>жегама</w:t>
                        </w:r>
                        <w:r>
                          <w:rPr>
                            <w:color w:val="231F20"/>
                            <w:spacing w:val="-7"/>
                            <w:sz w:val="14"/>
                          </w:rPr>
                          <w:t> </w:t>
                        </w:r>
                        <w:r>
                          <w:rPr>
                            <w:color w:val="231F20"/>
                            <w:sz w:val="14"/>
                          </w:rPr>
                          <w:t>и</w:t>
                        </w:r>
                        <w:r>
                          <w:rPr>
                            <w:color w:val="231F20"/>
                            <w:spacing w:val="-7"/>
                            <w:sz w:val="14"/>
                          </w:rPr>
                          <w:t> </w:t>
                        </w:r>
                        <w:r>
                          <w:rPr>
                            <w:color w:val="231F20"/>
                            <w:sz w:val="14"/>
                          </w:rPr>
                          <w:t>бујичним</w:t>
                        </w:r>
                        <w:r>
                          <w:rPr>
                            <w:color w:val="231F20"/>
                            <w:spacing w:val="-7"/>
                            <w:sz w:val="14"/>
                          </w:rPr>
                          <w:t> </w:t>
                        </w:r>
                        <w:r>
                          <w:rPr>
                            <w:color w:val="231F20"/>
                            <w:sz w:val="14"/>
                          </w:rPr>
                          <w:t>пљусковима, развојем биљних болести, ризицима </w:t>
                        </w:r>
                        <w:r>
                          <w:rPr>
                            <w:color w:val="231F20"/>
                            <w:spacing w:val="-3"/>
                            <w:sz w:val="14"/>
                          </w:rPr>
                          <w:t>од </w:t>
                        </w:r>
                        <w:r>
                          <w:rPr>
                            <w:color w:val="231F20"/>
                            <w:sz w:val="14"/>
                          </w:rPr>
                          <w:t>пожара и</w:t>
                        </w:r>
                        <w:r>
                          <w:rPr>
                            <w:color w:val="231F20"/>
                            <w:spacing w:val="-2"/>
                            <w:sz w:val="14"/>
                          </w:rPr>
                          <w:t> </w:t>
                        </w:r>
                        <w:r>
                          <w:rPr>
                            <w:color w:val="231F20"/>
                            <w:sz w:val="14"/>
                          </w:rPr>
                          <w:t>слично.</w:t>
                        </w:r>
                      </w:p>
                      <w:p>
                        <w:pPr>
                          <w:pStyle w:val="TableParagraph"/>
                          <w:spacing w:line="237" w:lineRule="auto" w:before="0"/>
                          <w:ind w:left="55" w:right="45"/>
                          <w:jc w:val="both"/>
                          <w:rPr>
                            <w:sz w:val="14"/>
                          </w:rPr>
                        </w:pPr>
                        <w:r>
                          <w:rPr>
                            <w:color w:val="231F20"/>
                            <w:w w:val="66"/>
                            <w:sz w:val="14"/>
                          </w:rPr>
                          <w:t> </w:t>
                        </w:r>
                        <w:r>
                          <w:rPr>
                            <w:color w:val="231F20"/>
                            <w:sz w:val="14"/>
                          </w:rPr>
                          <w:t>–</w:t>
                        </w:r>
                        <w:r>
                          <w:rPr>
                            <w:color w:val="231F20"/>
                            <w:spacing w:val="-10"/>
                            <w:sz w:val="14"/>
                          </w:rPr>
                          <w:t> </w:t>
                        </w:r>
                        <w:r>
                          <w:rPr>
                            <w:color w:val="231F20"/>
                            <w:sz w:val="14"/>
                          </w:rPr>
                          <w:t>Слаба</w:t>
                        </w:r>
                        <w:r>
                          <w:rPr>
                            <w:color w:val="231F20"/>
                            <w:spacing w:val="-10"/>
                            <w:sz w:val="14"/>
                          </w:rPr>
                          <w:t> </w:t>
                        </w:r>
                        <w:r>
                          <w:rPr>
                            <w:color w:val="231F20"/>
                            <w:sz w:val="14"/>
                          </w:rPr>
                          <w:t>контролна</w:t>
                        </w:r>
                        <w:r>
                          <w:rPr>
                            <w:color w:val="231F20"/>
                            <w:spacing w:val="-10"/>
                            <w:sz w:val="14"/>
                          </w:rPr>
                          <w:t> </w:t>
                        </w:r>
                        <w:r>
                          <w:rPr>
                            <w:color w:val="231F20"/>
                            <w:sz w:val="14"/>
                          </w:rPr>
                          <w:t>и</w:t>
                        </w:r>
                        <w:r>
                          <w:rPr>
                            <w:color w:val="231F20"/>
                            <w:spacing w:val="-10"/>
                            <w:sz w:val="14"/>
                          </w:rPr>
                          <w:t> </w:t>
                        </w:r>
                        <w:r>
                          <w:rPr>
                            <w:color w:val="231F20"/>
                            <w:sz w:val="14"/>
                          </w:rPr>
                          <w:t>извршна</w:t>
                        </w:r>
                        <w:r>
                          <w:rPr>
                            <w:color w:val="231F20"/>
                            <w:spacing w:val="-10"/>
                            <w:sz w:val="14"/>
                          </w:rPr>
                          <w:t> </w:t>
                        </w:r>
                        <w:r>
                          <w:rPr>
                            <w:color w:val="231F20"/>
                            <w:sz w:val="14"/>
                          </w:rPr>
                          <w:t>моћ</w:t>
                        </w:r>
                        <w:r>
                          <w:rPr>
                            <w:color w:val="231F20"/>
                            <w:spacing w:val="-10"/>
                            <w:sz w:val="14"/>
                          </w:rPr>
                          <w:t> </w:t>
                        </w:r>
                        <w:r>
                          <w:rPr>
                            <w:color w:val="231F20"/>
                            <w:sz w:val="14"/>
                          </w:rPr>
                          <w:t>управ- них органа у домену санкционисања за- бране</w:t>
                        </w:r>
                        <w:r>
                          <w:rPr>
                            <w:color w:val="231F20"/>
                            <w:spacing w:val="-9"/>
                            <w:sz w:val="14"/>
                          </w:rPr>
                          <w:t> </w:t>
                        </w:r>
                        <w:r>
                          <w:rPr>
                            <w:color w:val="231F20"/>
                            <w:sz w:val="14"/>
                          </w:rPr>
                          <w:t>испуштања</w:t>
                        </w:r>
                        <w:r>
                          <w:rPr>
                            <w:color w:val="231F20"/>
                            <w:spacing w:val="-9"/>
                            <w:sz w:val="14"/>
                          </w:rPr>
                          <w:t> </w:t>
                        </w:r>
                        <w:r>
                          <w:rPr>
                            <w:color w:val="231F20"/>
                            <w:sz w:val="14"/>
                          </w:rPr>
                          <w:t>и</w:t>
                        </w:r>
                        <w:r>
                          <w:rPr>
                            <w:color w:val="231F20"/>
                            <w:spacing w:val="-9"/>
                            <w:sz w:val="14"/>
                          </w:rPr>
                          <w:t> </w:t>
                        </w:r>
                        <w:r>
                          <w:rPr>
                            <w:color w:val="231F20"/>
                            <w:sz w:val="14"/>
                          </w:rPr>
                          <w:t>одлагања,</w:t>
                        </w:r>
                        <w:r>
                          <w:rPr>
                            <w:color w:val="231F20"/>
                            <w:spacing w:val="-9"/>
                            <w:sz w:val="14"/>
                          </w:rPr>
                          <w:t> </w:t>
                        </w:r>
                        <w:r>
                          <w:rPr>
                            <w:color w:val="231F20"/>
                            <w:sz w:val="14"/>
                          </w:rPr>
                          <w:t>као</w:t>
                        </w:r>
                        <w:r>
                          <w:rPr>
                            <w:color w:val="231F20"/>
                            <w:spacing w:val="-9"/>
                            <w:sz w:val="14"/>
                          </w:rPr>
                          <w:t> </w:t>
                        </w:r>
                        <w:r>
                          <w:rPr>
                            <w:color w:val="231F20"/>
                            <w:sz w:val="14"/>
                          </w:rPr>
                          <w:t>и</w:t>
                        </w:r>
                        <w:r>
                          <w:rPr>
                            <w:color w:val="231F20"/>
                            <w:spacing w:val="-9"/>
                            <w:sz w:val="14"/>
                          </w:rPr>
                          <w:t> </w:t>
                        </w:r>
                        <w:r>
                          <w:rPr>
                            <w:color w:val="231F20"/>
                            <w:sz w:val="14"/>
                          </w:rPr>
                          <w:t>утвр- ђивања присуства опасних и</w:t>
                        </w:r>
                        <w:r>
                          <w:rPr>
                            <w:color w:val="231F20"/>
                            <w:spacing w:val="33"/>
                            <w:sz w:val="14"/>
                          </w:rPr>
                          <w:t> </w:t>
                        </w:r>
                        <w:r>
                          <w:rPr>
                            <w:color w:val="231F20"/>
                            <w:sz w:val="14"/>
                          </w:rPr>
                          <w:t>штетних</w:t>
                        </w:r>
                      </w:p>
                    </w:tc>
                  </w:tr>
                </w:tbl>
                <w:p>
                  <w:pPr>
                    <w:pStyle w:val="BodyText"/>
                    <w:ind w:left="0"/>
                    <w:jc w:val="left"/>
                  </w:pPr>
                </w:p>
              </w:txbxContent>
            </v:textbox>
            <w10:wrap type="none"/>
          </v:shape>
        </w:pict>
      </w:r>
      <w:r>
        <w:rPr>
          <w:color w:val="231F20"/>
        </w:rPr>
        <w:t>Рекултивација и ревитализација простора</w:t>
      </w:r>
    </w:p>
    <w:p>
      <w:pPr>
        <w:pStyle w:val="BodyText"/>
        <w:spacing w:line="232" w:lineRule="auto" w:before="98"/>
        <w:ind w:left="522" w:right="764"/>
        <w:jc w:val="center"/>
      </w:pPr>
      <w:r>
        <w:rPr/>
        <w:br w:type="column"/>
      </w:r>
      <w:r>
        <w:rPr>
          <w:color w:val="231F20"/>
        </w:rPr>
        <w:t>Заштита природе и предела, шума и шумскoг земљиштe, лов и риболов</w:t>
      </w:r>
    </w:p>
    <w:p>
      <w:pPr>
        <w:pStyle w:val="BodyText"/>
        <w:spacing w:before="11"/>
        <w:ind w:left="0"/>
        <w:jc w:val="left"/>
        <w:rPr>
          <w:sz w:val="20"/>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3056" w:hRule="atLeast"/>
        </w:trPr>
        <w:tc>
          <w:tcPr>
            <w:tcW w:w="2551" w:type="dxa"/>
          </w:tcPr>
          <w:p>
            <w:pPr>
              <w:pStyle w:val="TableParagraph"/>
              <w:spacing w:line="249" w:lineRule="auto"/>
              <w:ind w:left="56" w:right="44"/>
              <w:jc w:val="both"/>
              <w:rPr>
                <w:sz w:val="14"/>
              </w:rPr>
            </w:pPr>
            <w:r>
              <w:rPr>
                <w:color w:val="231F20"/>
                <w:w w:val="66"/>
                <w:sz w:val="14"/>
              </w:rPr>
              <w:t> </w:t>
            </w:r>
            <w:r>
              <w:rPr>
                <w:color w:val="231F20"/>
                <w:sz w:val="14"/>
              </w:rPr>
              <w:t>–</w:t>
            </w:r>
            <w:r>
              <w:rPr>
                <w:color w:val="231F20"/>
                <w:spacing w:val="-7"/>
                <w:sz w:val="14"/>
              </w:rPr>
              <w:t> </w:t>
            </w:r>
            <w:r>
              <w:rPr>
                <w:color w:val="231F20"/>
                <w:sz w:val="14"/>
              </w:rPr>
              <w:t>Донети</w:t>
            </w:r>
            <w:r>
              <w:rPr>
                <w:color w:val="231F20"/>
                <w:spacing w:val="-7"/>
                <w:sz w:val="14"/>
              </w:rPr>
              <w:t> </w:t>
            </w:r>
            <w:r>
              <w:rPr>
                <w:color w:val="231F20"/>
                <w:sz w:val="14"/>
              </w:rPr>
              <w:t>поједини</w:t>
            </w:r>
            <w:r>
              <w:rPr>
                <w:color w:val="231F20"/>
                <w:spacing w:val="-7"/>
                <w:sz w:val="14"/>
              </w:rPr>
              <w:t> </w:t>
            </w:r>
            <w:r>
              <w:rPr>
                <w:color w:val="231F20"/>
                <w:sz w:val="14"/>
              </w:rPr>
              <w:t>прописи</w:t>
            </w:r>
            <w:r>
              <w:rPr>
                <w:color w:val="231F20"/>
                <w:spacing w:val="-6"/>
                <w:sz w:val="14"/>
              </w:rPr>
              <w:t> </w:t>
            </w:r>
            <w:r>
              <w:rPr>
                <w:color w:val="231F20"/>
                <w:sz w:val="14"/>
              </w:rPr>
              <w:t>и</w:t>
            </w:r>
            <w:r>
              <w:rPr>
                <w:color w:val="231F20"/>
                <w:spacing w:val="-7"/>
                <w:sz w:val="14"/>
              </w:rPr>
              <w:t> </w:t>
            </w:r>
            <w:r>
              <w:rPr>
                <w:color w:val="231F20"/>
                <w:sz w:val="14"/>
              </w:rPr>
              <w:t>стратешки документи на националном и регионал- ном</w:t>
            </w:r>
            <w:r>
              <w:rPr>
                <w:color w:val="231F20"/>
                <w:spacing w:val="-1"/>
                <w:sz w:val="14"/>
              </w:rPr>
              <w:t> </w:t>
            </w:r>
            <w:r>
              <w:rPr>
                <w:color w:val="231F20"/>
                <w:sz w:val="14"/>
              </w:rPr>
              <w:t>нивоу</w:t>
            </w:r>
          </w:p>
          <w:p>
            <w:pPr>
              <w:pStyle w:val="TableParagraph"/>
              <w:spacing w:line="249" w:lineRule="auto" w:before="1"/>
              <w:ind w:left="56" w:right="44"/>
              <w:jc w:val="both"/>
              <w:rPr>
                <w:sz w:val="14"/>
              </w:rPr>
            </w:pPr>
            <w:r>
              <w:rPr>
                <w:color w:val="231F20"/>
                <w:w w:val="66"/>
                <w:sz w:val="14"/>
              </w:rPr>
              <w:t> </w:t>
            </w:r>
            <w:r>
              <w:rPr>
                <w:color w:val="231F20"/>
                <w:sz w:val="14"/>
              </w:rPr>
              <w:t>–</w:t>
            </w:r>
            <w:r>
              <w:rPr>
                <w:color w:val="231F20"/>
                <w:spacing w:val="-8"/>
                <w:sz w:val="14"/>
              </w:rPr>
              <w:t> </w:t>
            </w:r>
            <w:r>
              <w:rPr>
                <w:color w:val="231F20"/>
                <w:sz w:val="14"/>
              </w:rPr>
              <w:t>Заштићена</w:t>
            </w:r>
            <w:r>
              <w:rPr>
                <w:color w:val="231F20"/>
                <w:spacing w:val="-8"/>
                <w:sz w:val="14"/>
              </w:rPr>
              <w:t> </w:t>
            </w:r>
            <w:r>
              <w:rPr>
                <w:color w:val="231F20"/>
                <w:sz w:val="14"/>
              </w:rPr>
              <w:t>природна</w:t>
            </w:r>
            <w:r>
              <w:rPr>
                <w:color w:val="231F20"/>
                <w:spacing w:val="-8"/>
                <w:sz w:val="14"/>
              </w:rPr>
              <w:t> </w:t>
            </w:r>
            <w:r>
              <w:rPr>
                <w:color w:val="231F20"/>
                <w:sz w:val="14"/>
              </w:rPr>
              <w:t>добра</w:t>
            </w:r>
            <w:r>
              <w:rPr>
                <w:color w:val="231F20"/>
                <w:spacing w:val="-8"/>
                <w:sz w:val="14"/>
              </w:rPr>
              <w:t> </w:t>
            </w:r>
            <w:r>
              <w:rPr>
                <w:color w:val="231F20"/>
                <w:sz w:val="14"/>
              </w:rPr>
              <w:t>и</w:t>
            </w:r>
            <w:r>
              <w:rPr>
                <w:color w:val="231F20"/>
                <w:spacing w:val="-8"/>
                <w:sz w:val="14"/>
              </w:rPr>
              <w:t> </w:t>
            </w:r>
            <w:r>
              <w:rPr>
                <w:color w:val="231F20"/>
                <w:sz w:val="14"/>
              </w:rPr>
              <w:t>подручја, укључујући и она </w:t>
            </w:r>
            <w:r>
              <w:rPr>
                <w:color w:val="231F20"/>
                <w:spacing w:val="-3"/>
                <w:sz w:val="14"/>
              </w:rPr>
              <w:t>од </w:t>
            </w:r>
            <w:r>
              <w:rPr>
                <w:color w:val="231F20"/>
                <w:sz w:val="14"/>
              </w:rPr>
              <w:t>међународног зна- чаја, и укљученост у одговарајуће</w:t>
            </w:r>
            <w:r>
              <w:rPr>
                <w:color w:val="231F20"/>
                <w:spacing w:val="-17"/>
                <w:sz w:val="14"/>
              </w:rPr>
              <w:t> </w:t>
            </w:r>
            <w:r>
              <w:rPr>
                <w:color w:val="231F20"/>
                <w:sz w:val="14"/>
              </w:rPr>
              <w:t>мреже</w:t>
            </w:r>
          </w:p>
          <w:p>
            <w:pPr>
              <w:pStyle w:val="TableParagraph"/>
              <w:spacing w:before="2"/>
              <w:ind w:left="56"/>
              <w:jc w:val="left"/>
              <w:rPr>
                <w:sz w:val="14"/>
              </w:rPr>
            </w:pPr>
            <w:r>
              <w:rPr>
                <w:color w:val="231F20"/>
                <w:w w:val="66"/>
                <w:sz w:val="14"/>
              </w:rPr>
              <w:t> </w:t>
            </w:r>
            <w:r>
              <w:rPr>
                <w:color w:val="231F20"/>
                <w:sz w:val="14"/>
              </w:rPr>
              <w:t>– Богатство дивље фауне</w:t>
            </w:r>
          </w:p>
          <w:p>
            <w:pPr>
              <w:pStyle w:val="TableParagraph"/>
              <w:spacing w:line="249" w:lineRule="auto" w:before="7"/>
              <w:ind w:left="56" w:right="44" w:hanging="1"/>
              <w:jc w:val="both"/>
              <w:rPr>
                <w:sz w:val="14"/>
              </w:rPr>
            </w:pPr>
            <w:r>
              <w:rPr>
                <w:color w:val="231F20"/>
                <w:w w:val="66"/>
                <w:sz w:val="14"/>
              </w:rPr>
              <w:t> </w:t>
            </w:r>
            <w:r>
              <w:rPr>
                <w:color w:val="231F20"/>
                <w:sz w:val="14"/>
              </w:rPr>
              <w:t>– Богатство природних биотопа ихтио- лошки значајних делова (претежно у ду- навском појасу)</w:t>
            </w:r>
          </w:p>
          <w:p>
            <w:pPr>
              <w:pStyle w:val="TableParagraph"/>
              <w:spacing w:before="2"/>
              <w:ind w:left="56"/>
              <w:jc w:val="left"/>
              <w:rPr>
                <w:sz w:val="14"/>
              </w:rPr>
            </w:pPr>
            <w:r>
              <w:rPr>
                <w:color w:val="231F20"/>
                <w:w w:val="66"/>
                <w:sz w:val="14"/>
              </w:rPr>
              <w:t> </w:t>
            </w:r>
            <w:r>
              <w:rPr>
                <w:color w:val="231F20"/>
                <w:sz w:val="14"/>
              </w:rPr>
              <w:t>– Богатство аутохтоне флоре</w:t>
            </w:r>
          </w:p>
          <w:p>
            <w:pPr>
              <w:pStyle w:val="TableParagraph"/>
              <w:spacing w:line="249" w:lineRule="auto" w:before="7"/>
              <w:ind w:left="56" w:right="44"/>
              <w:jc w:val="both"/>
              <w:rPr>
                <w:sz w:val="14"/>
              </w:rPr>
            </w:pPr>
            <w:r>
              <w:rPr>
                <w:color w:val="231F20"/>
                <w:w w:val="66"/>
                <w:sz w:val="14"/>
              </w:rPr>
              <w:t> </w:t>
            </w:r>
            <w:r>
              <w:rPr>
                <w:color w:val="231F20"/>
                <w:sz w:val="14"/>
              </w:rPr>
              <w:t>–</w:t>
            </w:r>
            <w:r>
              <w:rPr>
                <w:color w:val="231F20"/>
                <w:spacing w:val="-6"/>
                <w:sz w:val="14"/>
              </w:rPr>
              <w:t> </w:t>
            </w:r>
            <w:r>
              <w:rPr>
                <w:color w:val="231F20"/>
                <w:sz w:val="14"/>
              </w:rPr>
              <w:t>Контролисана</w:t>
            </w:r>
            <w:r>
              <w:rPr>
                <w:color w:val="231F20"/>
                <w:spacing w:val="-6"/>
                <w:sz w:val="14"/>
              </w:rPr>
              <w:t> </w:t>
            </w:r>
            <w:r>
              <w:rPr>
                <w:color w:val="231F20"/>
                <w:sz w:val="14"/>
              </w:rPr>
              <w:t>ловишта</w:t>
            </w:r>
            <w:r>
              <w:rPr>
                <w:color w:val="231F20"/>
                <w:spacing w:val="-6"/>
                <w:sz w:val="14"/>
              </w:rPr>
              <w:t> </w:t>
            </w:r>
            <w:r>
              <w:rPr>
                <w:color w:val="231F20"/>
                <w:sz w:val="14"/>
              </w:rPr>
              <w:t>„Стиг”</w:t>
            </w:r>
            <w:r>
              <w:rPr>
                <w:color w:val="231F20"/>
                <w:spacing w:val="-6"/>
                <w:sz w:val="14"/>
              </w:rPr>
              <w:t> </w:t>
            </w:r>
            <w:r>
              <w:rPr>
                <w:color w:val="231F20"/>
                <w:sz w:val="14"/>
              </w:rPr>
              <w:t>и</w:t>
            </w:r>
            <w:r>
              <w:rPr>
                <w:color w:val="231F20"/>
                <w:spacing w:val="-6"/>
                <w:sz w:val="14"/>
              </w:rPr>
              <w:t> </w:t>
            </w:r>
            <w:r>
              <w:rPr>
                <w:color w:val="231F20"/>
                <w:sz w:val="14"/>
              </w:rPr>
              <w:t>„Хра- стовача“</w:t>
            </w:r>
          </w:p>
        </w:tc>
        <w:tc>
          <w:tcPr>
            <w:tcW w:w="2551" w:type="dxa"/>
          </w:tcPr>
          <w:p>
            <w:pPr>
              <w:pStyle w:val="TableParagraph"/>
              <w:spacing w:line="249" w:lineRule="auto"/>
              <w:ind w:left="56" w:right="44"/>
              <w:jc w:val="both"/>
              <w:rPr>
                <w:sz w:val="14"/>
              </w:rPr>
            </w:pPr>
            <w:r>
              <w:rPr>
                <w:color w:val="231F20"/>
                <w:w w:val="66"/>
                <w:sz w:val="14"/>
              </w:rPr>
              <w:t> </w:t>
            </w:r>
            <w:r>
              <w:rPr>
                <w:color w:val="231F20"/>
                <w:sz w:val="14"/>
              </w:rPr>
              <w:t>–</w:t>
            </w:r>
            <w:r>
              <w:rPr>
                <w:color w:val="231F20"/>
                <w:spacing w:val="-13"/>
                <w:sz w:val="14"/>
              </w:rPr>
              <w:t> </w:t>
            </w:r>
            <w:r>
              <w:rPr>
                <w:color w:val="231F20"/>
                <w:sz w:val="14"/>
              </w:rPr>
              <w:t>Генерално</w:t>
            </w:r>
            <w:r>
              <w:rPr>
                <w:color w:val="231F20"/>
                <w:spacing w:val="-13"/>
                <w:sz w:val="14"/>
              </w:rPr>
              <w:t> </w:t>
            </w:r>
            <w:r>
              <w:rPr>
                <w:color w:val="231F20"/>
                <w:sz w:val="14"/>
              </w:rPr>
              <w:t>недовољна</w:t>
            </w:r>
            <w:r>
              <w:rPr>
                <w:color w:val="231F20"/>
                <w:spacing w:val="-13"/>
                <w:sz w:val="14"/>
              </w:rPr>
              <w:t> </w:t>
            </w:r>
            <w:r>
              <w:rPr>
                <w:color w:val="231F20"/>
                <w:sz w:val="14"/>
              </w:rPr>
              <w:t>заштита</w:t>
            </w:r>
            <w:r>
              <w:rPr>
                <w:color w:val="231F20"/>
                <w:spacing w:val="-13"/>
                <w:sz w:val="14"/>
              </w:rPr>
              <w:t> </w:t>
            </w:r>
            <w:r>
              <w:rPr>
                <w:color w:val="231F20"/>
                <w:sz w:val="14"/>
              </w:rPr>
              <w:t>природ- не и културне</w:t>
            </w:r>
            <w:r>
              <w:rPr>
                <w:color w:val="231F20"/>
                <w:spacing w:val="-5"/>
                <w:sz w:val="14"/>
              </w:rPr>
              <w:t> </w:t>
            </w:r>
            <w:r>
              <w:rPr>
                <w:color w:val="231F20"/>
                <w:sz w:val="14"/>
              </w:rPr>
              <w:t>баштине</w:t>
            </w:r>
          </w:p>
          <w:p>
            <w:pPr>
              <w:pStyle w:val="TableParagraph"/>
              <w:spacing w:line="249" w:lineRule="auto" w:before="1"/>
              <w:ind w:left="56" w:right="44"/>
              <w:jc w:val="both"/>
              <w:rPr>
                <w:sz w:val="14"/>
              </w:rPr>
            </w:pPr>
            <w:r>
              <w:rPr>
                <w:color w:val="231F20"/>
                <w:w w:val="66"/>
                <w:sz w:val="14"/>
              </w:rPr>
              <w:t> </w:t>
            </w:r>
            <w:r>
              <w:rPr>
                <w:color w:val="231F20"/>
                <w:sz w:val="14"/>
              </w:rPr>
              <w:t>– Неповољни еколошки ефекти укупног економског развоја на локалном, регио- налном и глобалном нивоу</w:t>
            </w:r>
          </w:p>
          <w:p>
            <w:pPr>
              <w:pStyle w:val="TableParagraph"/>
              <w:spacing w:line="249" w:lineRule="auto" w:before="2"/>
              <w:ind w:left="56" w:right="44"/>
              <w:jc w:val="both"/>
              <w:rPr>
                <w:sz w:val="14"/>
              </w:rPr>
            </w:pPr>
            <w:r>
              <w:rPr>
                <w:color w:val="231F20"/>
                <w:w w:val="66"/>
                <w:sz w:val="14"/>
              </w:rPr>
              <w:t> </w:t>
            </w:r>
            <w:r>
              <w:rPr>
                <w:color w:val="231F20"/>
                <w:sz w:val="14"/>
              </w:rPr>
              <w:t>– Низак био- и пејзажни диверзитет, са доминацијом рударско-индустријских постројења и пољопривредне вегетације</w:t>
            </w:r>
          </w:p>
          <w:p>
            <w:pPr>
              <w:pStyle w:val="TableParagraph"/>
              <w:spacing w:line="249" w:lineRule="auto" w:before="1"/>
              <w:ind w:left="56" w:right="45"/>
              <w:jc w:val="both"/>
              <w:rPr>
                <w:sz w:val="14"/>
              </w:rPr>
            </w:pPr>
            <w:r>
              <w:rPr>
                <w:color w:val="231F20"/>
                <w:w w:val="66"/>
                <w:sz w:val="14"/>
              </w:rPr>
              <w:t> </w:t>
            </w:r>
            <w:r>
              <w:rPr>
                <w:color w:val="231F20"/>
                <w:sz w:val="14"/>
              </w:rPr>
              <w:t>– Недовољна шумовитост и неповољ- не карактеристике постојећег шумског фонда</w:t>
            </w:r>
          </w:p>
          <w:p>
            <w:pPr>
              <w:pStyle w:val="TableParagraph"/>
              <w:spacing w:line="249" w:lineRule="auto" w:before="2"/>
              <w:ind w:left="56" w:right="45"/>
              <w:jc w:val="both"/>
              <w:rPr>
                <w:sz w:val="14"/>
              </w:rPr>
            </w:pPr>
            <w:r>
              <w:rPr>
                <w:color w:val="231F20"/>
                <w:w w:val="66"/>
                <w:sz w:val="14"/>
              </w:rPr>
              <w:t> </w:t>
            </w:r>
            <w:r>
              <w:rPr>
                <w:color w:val="231F20"/>
                <w:sz w:val="14"/>
              </w:rPr>
              <w:t>– Недовољна израђеност прописа, раз- војних докумената и методологије за</w:t>
            </w:r>
            <w:r>
              <w:rPr>
                <w:color w:val="231F20"/>
                <w:spacing w:val="-21"/>
                <w:sz w:val="14"/>
              </w:rPr>
              <w:t> </w:t>
            </w:r>
            <w:r>
              <w:rPr>
                <w:color w:val="231F20"/>
                <w:sz w:val="14"/>
              </w:rPr>
              <w:t>ин- тегрално планирање и уређење</w:t>
            </w:r>
            <w:r>
              <w:rPr>
                <w:color w:val="231F20"/>
                <w:spacing w:val="-13"/>
                <w:sz w:val="14"/>
              </w:rPr>
              <w:t> </w:t>
            </w:r>
            <w:r>
              <w:rPr>
                <w:color w:val="231F20"/>
                <w:sz w:val="14"/>
              </w:rPr>
              <w:t>предела</w:t>
            </w:r>
          </w:p>
          <w:p>
            <w:pPr>
              <w:pStyle w:val="TableParagraph"/>
              <w:spacing w:line="249" w:lineRule="auto" w:before="2"/>
              <w:ind w:left="56" w:right="44"/>
              <w:jc w:val="both"/>
              <w:rPr>
                <w:sz w:val="14"/>
              </w:rPr>
            </w:pPr>
            <w:r>
              <w:rPr>
                <w:color w:val="231F20"/>
                <w:w w:val="66"/>
                <w:sz w:val="14"/>
              </w:rPr>
              <w:t> </w:t>
            </w:r>
            <w:r>
              <w:rPr>
                <w:color w:val="231F20"/>
                <w:sz w:val="14"/>
              </w:rPr>
              <w:t>– Недовољна истраживачка и информа- тичка подршка на националном нивоу</w:t>
            </w:r>
          </w:p>
          <w:p>
            <w:pPr>
              <w:pStyle w:val="TableParagraph"/>
              <w:spacing w:before="1"/>
              <w:ind w:left="56"/>
              <w:jc w:val="both"/>
              <w:rPr>
                <w:sz w:val="14"/>
              </w:rPr>
            </w:pPr>
            <w:r>
              <w:rPr>
                <w:color w:val="231F20"/>
                <w:w w:val="66"/>
                <w:sz w:val="14"/>
              </w:rPr>
              <w:t> </w:t>
            </w:r>
            <w:r>
              <w:rPr>
                <w:color w:val="231F20"/>
                <w:sz w:val="14"/>
              </w:rPr>
              <w:t>– Незадовољавајуће стање дивљачи и</w:t>
            </w:r>
          </w:p>
          <w:p>
            <w:pPr>
              <w:pStyle w:val="TableParagraph"/>
              <w:spacing w:before="7"/>
              <w:ind w:left="56"/>
              <w:jc w:val="both"/>
              <w:rPr>
                <w:sz w:val="14"/>
              </w:rPr>
            </w:pPr>
            <w:r>
              <w:rPr>
                <w:color w:val="231F20"/>
                <w:sz w:val="14"/>
              </w:rPr>
              <w:t>неодговарајући прописи о газдовању</w:t>
            </w:r>
          </w:p>
        </w:tc>
      </w:tr>
      <w:tr>
        <w:trPr>
          <w:trHeight w:val="200" w:hRule="atLeast"/>
        </w:trPr>
        <w:tc>
          <w:tcPr>
            <w:tcW w:w="2551" w:type="dxa"/>
          </w:tcPr>
          <w:p>
            <w:pPr>
              <w:pStyle w:val="TableParagraph"/>
              <w:ind w:left="720" w:right="712"/>
              <w:jc w:val="center"/>
              <w:rPr>
                <w:sz w:val="14"/>
              </w:rPr>
            </w:pPr>
            <w:r>
              <w:rPr>
                <w:color w:val="231F20"/>
                <w:sz w:val="14"/>
              </w:rPr>
              <w:t>МОГУЋНОСТИ</w:t>
            </w:r>
          </w:p>
        </w:tc>
        <w:tc>
          <w:tcPr>
            <w:tcW w:w="2551" w:type="dxa"/>
          </w:tcPr>
          <w:p>
            <w:pPr>
              <w:pStyle w:val="TableParagraph"/>
              <w:ind w:left="721" w:right="712"/>
              <w:jc w:val="center"/>
              <w:rPr>
                <w:sz w:val="14"/>
              </w:rPr>
            </w:pPr>
            <w:r>
              <w:rPr>
                <w:color w:val="231F20"/>
                <w:sz w:val="14"/>
              </w:rPr>
              <w:t>ПРЕТЊЕ</w:t>
            </w:r>
          </w:p>
        </w:tc>
      </w:tr>
      <w:tr>
        <w:trPr>
          <w:trHeight w:val="2720" w:hRule="atLeast"/>
        </w:trPr>
        <w:tc>
          <w:tcPr>
            <w:tcW w:w="2551" w:type="dxa"/>
          </w:tcPr>
          <w:p>
            <w:pPr>
              <w:pStyle w:val="TableParagraph"/>
              <w:spacing w:line="249" w:lineRule="auto"/>
              <w:ind w:left="55" w:right="45"/>
              <w:jc w:val="both"/>
              <w:rPr>
                <w:sz w:val="14"/>
              </w:rPr>
            </w:pPr>
            <w:r>
              <w:rPr>
                <w:color w:val="231F20"/>
                <w:w w:val="66"/>
                <w:sz w:val="14"/>
              </w:rPr>
              <w:t> </w:t>
            </w:r>
            <w:r>
              <w:rPr>
                <w:color w:val="231F20"/>
                <w:sz w:val="14"/>
              </w:rPr>
              <w:t>– Реализовање заштите подручја Бара Шугавица и других природних добара</w:t>
            </w:r>
          </w:p>
          <w:p>
            <w:pPr>
              <w:pStyle w:val="TableParagraph"/>
              <w:spacing w:line="249" w:lineRule="auto" w:before="1"/>
              <w:ind w:left="56" w:right="45"/>
              <w:jc w:val="both"/>
              <w:rPr>
                <w:sz w:val="14"/>
              </w:rPr>
            </w:pPr>
            <w:r>
              <w:rPr>
                <w:color w:val="231F20"/>
                <w:w w:val="66"/>
                <w:sz w:val="14"/>
              </w:rPr>
              <w:t> </w:t>
            </w:r>
            <w:r>
              <w:rPr>
                <w:color w:val="231F20"/>
                <w:sz w:val="14"/>
              </w:rPr>
              <w:t>– Интензивније пошумљавање и рекул- тивација угрожених предела, </w:t>
            </w:r>
            <w:r>
              <w:rPr>
                <w:color w:val="231F20"/>
                <w:spacing w:val="-3"/>
                <w:sz w:val="14"/>
              </w:rPr>
              <w:t>како аутох- </w:t>
            </w:r>
            <w:r>
              <w:rPr>
                <w:color w:val="231F20"/>
                <w:sz w:val="14"/>
              </w:rPr>
              <w:t>тоних тако и промењених</w:t>
            </w:r>
          </w:p>
          <w:p>
            <w:pPr>
              <w:pStyle w:val="TableParagraph"/>
              <w:spacing w:line="249" w:lineRule="auto" w:before="2"/>
              <w:ind w:left="56" w:right="45"/>
              <w:jc w:val="both"/>
              <w:rPr>
                <w:sz w:val="14"/>
              </w:rPr>
            </w:pPr>
            <w:r>
              <w:rPr>
                <w:color w:val="231F20"/>
                <w:w w:val="66"/>
                <w:sz w:val="14"/>
              </w:rPr>
              <w:t> </w:t>
            </w:r>
            <w:r>
              <w:rPr>
                <w:color w:val="231F20"/>
                <w:sz w:val="14"/>
              </w:rPr>
              <w:t>– Израда студије „Карактеризација пре- дела“</w:t>
            </w:r>
          </w:p>
          <w:p>
            <w:pPr>
              <w:pStyle w:val="TableParagraph"/>
              <w:spacing w:line="249" w:lineRule="auto" w:before="1"/>
              <w:ind w:left="56" w:right="45"/>
              <w:jc w:val="both"/>
              <w:rPr>
                <w:sz w:val="14"/>
              </w:rPr>
            </w:pPr>
            <w:r>
              <w:rPr>
                <w:color w:val="231F20"/>
                <w:w w:val="66"/>
                <w:sz w:val="14"/>
              </w:rPr>
              <w:t> </w:t>
            </w:r>
            <w:r>
              <w:rPr>
                <w:color w:val="231F20"/>
                <w:sz w:val="14"/>
              </w:rPr>
              <w:t>– Боље активирање грађанства и најши- ре јавности</w:t>
            </w:r>
          </w:p>
        </w:tc>
        <w:tc>
          <w:tcPr>
            <w:tcW w:w="2551" w:type="dxa"/>
          </w:tcPr>
          <w:p>
            <w:pPr>
              <w:pStyle w:val="TableParagraph"/>
              <w:spacing w:line="249" w:lineRule="auto"/>
              <w:ind w:left="56" w:right="44"/>
              <w:jc w:val="both"/>
              <w:rPr>
                <w:sz w:val="14"/>
              </w:rPr>
            </w:pPr>
            <w:r>
              <w:rPr>
                <w:color w:val="231F20"/>
                <w:w w:val="66"/>
                <w:sz w:val="14"/>
              </w:rPr>
              <w:t> </w:t>
            </w:r>
            <w:r>
              <w:rPr>
                <w:color w:val="231F20"/>
                <w:sz w:val="14"/>
              </w:rPr>
              <w:t>– Еколошки-просторно нерегулисане последице изграђених и планираних енергетско-индустријских објеката, кроз континуирану изложеност директним и индиректним утицајима рударско-енер- гетских активности</w:t>
            </w:r>
          </w:p>
          <w:p>
            <w:pPr>
              <w:pStyle w:val="TableParagraph"/>
              <w:spacing w:line="249" w:lineRule="auto" w:before="3"/>
              <w:ind w:left="56" w:right="44" w:hanging="1"/>
              <w:jc w:val="both"/>
              <w:rPr>
                <w:sz w:val="14"/>
              </w:rPr>
            </w:pPr>
            <w:r>
              <w:rPr>
                <w:color w:val="231F20"/>
                <w:w w:val="66"/>
                <w:sz w:val="14"/>
              </w:rPr>
              <w:t> </w:t>
            </w:r>
            <w:r>
              <w:rPr>
                <w:color w:val="231F20"/>
                <w:sz w:val="14"/>
              </w:rPr>
              <w:t>– Настављање лошег одржавања дре- нажних канала и снижавања нивоа и ремећења токова подземних вода, као и других недостатака водопривредне ин- фраструктуре</w:t>
            </w:r>
          </w:p>
          <w:p>
            <w:pPr>
              <w:pStyle w:val="TableParagraph"/>
              <w:spacing w:before="3"/>
              <w:ind w:left="57"/>
              <w:jc w:val="left"/>
              <w:rPr>
                <w:sz w:val="14"/>
              </w:rPr>
            </w:pPr>
            <w:r>
              <w:rPr>
                <w:color w:val="231F20"/>
                <w:w w:val="66"/>
                <w:sz w:val="14"/>
              </w:rPr>
              <w:t> </w:t>
            </w:r>
            <w:r>
              <w:rPr>
                <w:color w:val="231F20"/>
                <w:sz w:val="14"/>
              </w:rPr>
              <w:t>– Нерегулисана ерозија и бујице</w:t>
            </w:r>
          </w:p>
          <w:p>
            <w:pPr>
              <w:pStyle w:val="TableParagraph"/>
              <w:spacing w:line="160" w:lineRule="atLeast" w:before="7"/>
              <w:ind w:left="57" w:right="44"/>
              <w:jc w:val="both"/>
              <w:rPr>
                <w:sz w:val="14"/>
              </w:rPr>
            </w:pPr>
            <w:r>
              <w:rPr>
                <w:color w:val="231F20"/>
                <w:w w:val="66"/>
                <w:sz w:val="14"/>
              </w:rPr>
              <w:t> </w:t>
            </w:r>
            <w:r>
              <w:rPr>
                <w:color w:val="231F20"/>
                <w:sz w:val="14"/>
              </w:rPr>
              <w:t>– Настављање негативних антропоеге- них утицаја (дивљих депонија, бесправ- не градња, деградације и фрагментације станишта и др).</w:t>
            </w:r>
          </w:p>
        </w:tc>
      </w:tr>
    </w:tbl>
    <w:p>
      <w:pPr>
        <w:pStyle w:val="BodyText"/>
        <w:ind w:left="0"/>
        <w:jc w:val="left"/>
        <w:rPr>
          <w:sz w:val="20"/>
        </w:rPr>
      </w:pPr>
    </w:p>
    <w:p>
      <w:pPr>
        <w:pStyle w:val="BodyText"/>
        <w:spacing w:before="142"/>
        <w:ind w:left="522" w:right="763"/>
        <w:jc w:val="center"/>
      </w:pPr>
      <w:r>
        <w:rPr>
          <w:color w:val="231F20"/>
        </w:rPr>
        <w:t>Културно наслеђе</w:t>
      </w:r>
    </w:p>
    <w:p>
      <w:pPr>
        <w:spacing w:after="0"/>
        <w:jc w:val="center"/>
        <w:sectPr>
          <w:type w:val="continuous"/>
          <w:pgSz w:w="12480" w:h="15690"/>
          <w:pgMar w:top="880" w:bottom="280" w:left="680" w:right="720"/>
          <w:cols w:num="2" w:equalWidth="0">
            <w:col w:w="5328" w:space="58"/>
            <w:col w:w="5694"/>
          </w:cols>
        </w:sectPr>
      </w:pPr>
    </w:p>
    <w:p>
      <w:pPr>
        <w:pStyle w:val="BodyText"/>
        <w:spacing w:before="11"/>
        <w:ind w:left="0"/>
        <w:jc w:val="left"/>
        <w:rPr>
          <w:sz w:val="20"/>
        </w:rPr>
      </w:pPr>
      <w:r>
        <w:rPr/>
        <w:pict>
          <v:line style="position:absolute;mso-position-horizontal-relative:page;mso-position-vertical-relative:page;z-index:1984" from="304.724396pt,11.942451pt" to="304.724396pt,748.950451pt" stroked="true" strokeweight=".6pt" strokecolor="#231f20">
            <v:stroke dashstyle="solid"/>
            <w10:wrap type="none"/>
          </v:line>
        </w:pict>
      </w:r>
    </w:p>
    <w:tbl>
      <w:tblPr>
        <w:tblW w:w="0" w:type="auto"/>
        <w:jc w:val="left"/>
        <w:tblInd w:w="55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СНАГЕ</w:t>
            </w:r>
          </w:p>
        </w:tc>
        <w:tc>
          <w:tcPr>
            <w:tcW w:w="2551" w:type="dxa"/>
          </w:tcPr>
          <w:p>
            <w:pPr>
              <w:pStyle w:val="TableParagraph"/>
              <w:ind w:left="722" w:right="712"/>
              <w:jc w:val="center"/>
              <w:rPr>
                <w:sz w:val="14"/>
              </w:rPr>
            </w:pPr>
            <w:r>
              <w:rPr>
                <w:color w:val="231F20"/>
                <w:sz w:val="14"/>
              </w:rPr>
              <w:t>СЛАБОСТИ</w:t>
            </w:r>
          </w:p>
        </w:tc>
      </w:tr>
      <w:tr>
        <w:trPr>
          <w:trHeight w:val="2192" w:hRule="atLeast"/>
        </w:trPr>
        <w:tc>
          <w:tcPr>
            <w:tcW w:w="2551" w:type="dxa"/>
          </w:tcPr>
          <w:p>
            <w:pPr>
              <w:pStyle w:val="TableParagraph"/>
              <w:spacing w:line="247" w:lineRule="auto"/>
              <w:ind w:left="56" w:right="44"/>
              <w:jc w:val="both"/>
              <w:rPr>
                <w:sz w:val="14"/>
              </w:rPr>
            </w:pPr>
            <w:r>
              <w:rPr>
                <w:color w:val="231F20"/>
                <w:w w:val="66"/>
                <w:sz w:val="14"/>
              </w:rPr>
              <w:t> </w:t>
            </w:r>
            <w:r>
              <w:rPr>
                <w:color w:val="231F20"/>
                <w:sz w:val="14"/>
              </w:rPr>
              <w:t>– Разноврсност и квалитет културне ба- штине и њен међународни, национални и регионални значај (у првом реду архе- олошког налазишта Виминацијум)</w:t>
            </w:r>
          </w:p>
          <w:p>
            <w:pPr>
              <w:pStyle w:val="TableParagraph"/>
              <w:spacing w:line="247" w:lineRule="auto" w:before="1"/>
              <w:ind w:left="56" w:right="44"/>
              <w:jc w:val="both"/>
              <w:rPr>
                <w:sz w:val="14"/>
              </w:rPr>
            </w:pPr>
            <w:r>
              <w:rPr>
                <w:color w:val="231F20"/>
                <w:w w:val="66"/>
                <w:sz w:val="14"/>
              </w:rPr>
              <w:t> </w:t>
            </w:r>
            <w:r>
              <w:rPr>
                <w:color w:val="231F20"/>
                <w:sz w:val="14"/>
              </w:rPr>
              <w:t>– Успостављена регионална и европска сарадња и ратификоване поједине међународне конвенције</w:t>
            </w:r>
          </w:p>
        </w:tc>
        <w:tc>
          <w:tcPr>
            <w:tcW w:w="2551" w:type="dxa"/>
          </w:tcPr>
          <w:p>
            <w:pPr>
              <w:pStyle w:val="TableParagraph"/>
              <w:spacing w:line="247" w:lineRule="auto"/>
              <w:ind w:left="56" w:right="44"/>
              <w:jc w:val="both"/>
              <w:rPr>
                <w:sz w:val="14"/>
              </w:rPr>
            </w:pPr>
            <w:r>
              <w:rPr>
                <w:color w:val="231F20"/>
                <w:w w:val="66"/>
                <w:sz w:val="14"/>
              </w:rPr>
              <w:t> </w:t>
            </w:r>
            <w:r>
              <w:rPr>
                <w:color w:val="231F20"/>
                <w:sz w:val="14"/>
              </w:rPr>
              <w:t>– Споро утврђивање статуса и категори- зације непокретних културних добара и застој у стручном рекогносцирању недо- вољно истражених локалитета</w:t>
            </w:r>
          </w:p>
          <w:p>
            <w:pPr>
              <w:pStyle w:val="TableParagraph"/>
              <w:spacing w:line="247" w:lineRule="auto" w:before="1"/>
              <w:ind w:left="56" w:right="44" w:hanging="1"/>
              <w:jc w:val="both"/>
              <w:rPr>
                <w:sz w:val="14"/>
              </w:rPr>
            </w:pPr>
            <w:r>
              <w:rPr>
                <w:color w:val="231F20"/>
                <w:w w:val="66"/>
                <w:sz w:val="14"/>
              </w:rPr>
              <w:t> </w:t>
            </w:r>
            <w:r>
              <w:rPr>
                <w:color w:val="231F20"/>
                <w:sz w:val="14"/>
              </w:rPr>
              <w:t>– Лоше стање највећег броја културних добара</w:t>
            </w:r>
          </w:p>
          <w:p>
            <w:pPr>
              <w:pStyle w:val="TableParagraph"/>
              <w:spacing w:line="247" w:lineRule="auto" w:before="0"/>
              <w:ind w:left="56" w:right="44"/>
              <w:jc w:val="both"/>
              <w:rPr>
                <w:sz w:val="14"/>
              </w:rPr>
            </w:pPr>
            <w:r>
              <w:rPr>
                <w:color w:val="231F20"/>
                <w:w w:val="66"/>
                <w:sz w:val="14"/>
              </w:rPr>
              <w:t> </w:t>
            </w:r>
            <w:r>
              <w:rPr>
                <w:color w:val="231F20"/>
                <w:sz w:val="14"/>
              </w:rPr>
              <w:t>– Недовољна техничка, организациона, информатичка и друга опремљеност и подршка за боље коришћење културне баштине, нарочито у туризму и другом економском коришћењу</w:t>
            </w:r>
          </w:p>
          <w:p>
            <w:pPr>
              <w:pStyle w:val="TableParagraph"/>
              <w:spacing w:before="1"/>
              <w:ind w:left="56"/>
              <w:jc w:val="both"/>
              <w:rPr>
                <w:sz w:val="14"/>
              </w:rPr>
            </w:pPr>
            <w:r>
              <w:rPr>
                <w:color w:val="231F20"/>
                <w:w w:val="66"/>
                <w:sz w:val="14"/>
              </w:rPr>
              <w:t> </w:t>
            </w:r>
            <w:r>
              <w:rPr>
                <w:color w:val="231F20"/>
                <w:sz w:val="14"/>
              </w:rPr>
              <w:t>– Недовољна средства за одржавање и</w:t>
            </w:r>
          </w:p>
          <w:p>
            <w:pPr>
              <w:pStyle w:val="TableParagraph"/>
              <w:spacing w:before="6"/>
              <w:ind w:left="56"/>
              <w:jc w:val="both"/>
              <w:rPr>
                <w:sz w:val="14"/>
              </w:rPr>
            </w:pPr>
            <w:r>
              <w:rPr>
                <w:color w:val="231F20"/>
                <w:sz w:val="14"/>
              </w:rPr>
              <w:t>техничку заштиту културних добара</w:t>
            </w:r>
          </w:p>
        </w:tc>
      </w:tr>
      <w:tr>
        <w:trPr>
          <w:trHeight w:val="200" w:hRule="atLeast"/>
        </w:trPr>
        <w:tc>
          <w:tcPr>
            <w:tcW w:w="2551" w:type="dxa"/>
          </w:tcPr>
          <w:p>
            <w:pPr>
              <w:pStyle w:val="TableParagraph"/>
              <w:ind w:left="721" w:right="712"/>
              <w:jc w:val="center"/>
              <w:rPr>
                <w:sz w:val="14"/>
              </w:rPr>
            </w:pPr>
            <w:r>
              <w:rPr>
                <w:color w:val="231F20"/>
                <w:sz w:val="14"/>
              </w:rPr>
              <w:t>МОГУЋНОСТИ</w:t>
            </w:r>
          </w:p>
        </w:tc>
        <w:tc>
          <w:tcPr>
            <w:tcW w:w="2551" w:type="dxa"/>
          </w:tcPr>
          <w:p>
            <w:pPr>
              <w:pStyle w:val="TableParagraph"/>
              <w:ind w:left="721" w:right="712"/>
              <w:jc w:val="center"/>
              <w:rPr>
                <w:sz w:val="14"/>
              </w:rPr>
            </w:pPr>
            <w:r>
              <w:rPr>
                <w:color w:val="231F20"/>
                <w:sz w:val="14"/>
              </w:rPr>
              <w:t>ПРЕТЊЕ</w:t>
            </w:r>
          </w:p>
        </w:tc>
      </w:tr>
      <w:tr>
        <w:trPr>
          <w:trHeight w:val="1800" w:hRule="atLeast"/>
        </w:trPr>
        <w:tc>
          <w:tcPr>
            <w:tcW w:w="2551" w:type="dxa"/>
          </w:tcPr>
          <w:p>
            <w:pPr>
              <w:pStyle w:val="TableParagraph"/>
              <w:ind w:left="56" w:right="44"/>
              <w:jc w:val="both"/>
              <w:rPr>
                <w:sz w:val="14"/>
              </w:rPr>
            </w:pPr>
            <w:r>
              <w:rPr>
                <w:color w:val="231F20"/>
                <w:w w:val="66"/>
                <w:sz w:val="14"/>
              </w:rPr>
              <w:t> </w:t>
            </w:r>
            <w:r>
              <w:rPr>
                <w:color w:val="231F20"/>
                <w:sz w:val="14"/>
              </w:rPr>
              <w:t>– Увођење савремених концепата кори- шћења и заштите културног наслеђа</w:t>
            </w:r>
          </w:p>
          <w:p>
            <w:pPr>
              <w:pStyle w:val="TableParagraph"/>
              <w:spacing w:before="0"/>
              <w:ind w:left="56" w:right="44"/>
              <w:jc w:val="both"/>
              <w:rPr>
                <w:sz w:val="14"/>
              </w:rPr>
            </w:pPr>
            <w:r>
              <w:rPr>
                <w:color w:val="231F20"/>
                <w:w w:val="66"/>
                <w:sz w:val="14"/>
              </w:rPr>
              <w:t> </w:t>
            </w:r>
            <w:r>
              <w:rPr>
                <w:color w:val="231F20"/>
                <w:sz w:val="14"/>
              </w:rPr>
              <w:t>– Могућност за развој културног тури- зма и укључивање у паневропске кул- турне путеве</w:t>
            </w:r>
          </w:p>
          <w:p>
            <w:pPr>
              <w:pStyle w:val="TableParagraph"/>
              <w:spacing w:line="237" w:lineRule="auto" w:before="0"/>
              <w:ind w:left="56" w:right="44" w:hanging="1"/>
              <w:jc w:val="both"/>
              <w:rPr>
                <w:sz w:val="14"/>
              </w:rPr>
            </w:pPr>
            <w:r>
              <w:rPr>
                <w:color w:val="231F20"/>
                <w:w w:val="66"/>
                <w:sz w:val="14"/>
              </w:rPr>
              <w:t> </w:t>
            </w:r>
            <w:r>
              <w:rPr>
                <w:color w:val="231F20"/>
                <w:sz w:val="14"/>
              </w:rPr>
              <w:t>– Јачање економских аспеката коришће- ња</w:t>
            </w:r>
            <w:r>
              <w:rPr>
                <w:color w:val="231F20"/>
                <w:spacing w:val="-8"/>
                <w:sz w:val="14"/>
              </w:rPr>
              <w:t> </w:t>
            </w:r>
            <w:r>
              <w:rPr>
                <w:color w:val="231F20"/>
                <w:sz w:val="14"/>
              </w:rPr>
              <w:t>културне</w:t>
            </w:r>
            <w:r>
              <w:rPr>
                <w:color w:val="231F20"/>
                <w:spacing w:val="-8"/>
                <w:sz w:val="14"/>
              </w:rPr>
              <w:t> </w:t>
            </w:r>
            <w:r>
              <w:rPr>
                <w:color w:val="231F20"/>
                <w:sz w:val="14"/>
              </w:rPr>
              <w:t>баштине,</w:t>
            </w:r>
            <w:r>
              <w:rPr>
                <w:color w:val="231F20"/>
                <w:spacing w:val="-8"/>
                <w:sz w:val="14"/>
              </w:rPr>
              <w:t> </w:t>
            </w:r>
            <w:r>
              <w:rPr>
                <w:color w:val="231F20"/>
                <w:sz w:val="14"/>
              </w:rPr>
              <w:t>као</w:t>
            </w:r>
            <w:r>
              <w:rPr>
                <w:color w:val="231F20"/>
                <w:spacing w:val="-8"/>
                <w:sz w:val="14"/>
              </w:rPr>
              <w:t> </w:t>
            </w:r>
            <w:r>
              <w:rPr>
                <w:color w:val="231F20"/>
                <w:sz w:val="14"/>
              </w:rPr>
              <w:t>извор</w:t>
            </w:r>
            <w:r>
              <w:rPr>
                <w:color w:val="231F20"/>
                <w:spacing w:val="-8"/>
                <w:sz w:val="14"/>
              </w:rPr>
              <w:t> </w:t>
            </w:r>
            <w:r>
              <w:rPr>
                <w:color w:val="231F20"/>
                <w:sz w:val="14"/>
              </w:rPr>
              <w:t>прихода локалне</w:t>
            </w:r>
            <w:r>
              <w:rPr>
                <w:color w:val="231F20"/>
                <w:spacing w:val="-2"/>
                <w:sz w:val="14"/>
              </w:rPr>
              <w:t> </w:t>
            </w:r>
            <w:r>
              <w:rPr>
                <w:color w:val="231F20"/>
                <w:sz w:val="14"/>
              </w:rPr>
              <w:t>самоуправе</w:t>
            </w:r>
          </w:p>
          <w:p>
            <w:pPr>
              <w:pStyle w:val="TableParagraph"/>
              <w:spacing w:before="0"/>
              <w:ind w:left="56" w:right="44" w:hanging="1"/>
              <w:jc w:val="both"/>
              <w:rPr>
                <w:sz w:val="14"/>
              </w:rPr>
            </w:pPr>
            <w:r>
              <w:rPr>
                <w:color w:val="231F20"/>
                <w:w w:val="66"/>
                <w:sz w:val="14"/>
              </w:rPr>
              <w:t> </w:t>
            </w:r>
            <w:r>
              <w:rPr>
                <w:color w:val="231F20"/>
                <w:sz w:val="14"/>
              </w:rPr>
              <w:t>– Добијање средстава из страних</w:t>
            </w:r>
            <w:r>
              <w:rPr>
                <w:color w:val="231F20"/>
                <w:spacing w:val="-25"/>
                <w:sz w:val="14"/>
              </w:rPr>
              <w:t> </w:t>
            </w:r>
            <w:r>
              <w:rPr>
                <w:color w:val="231F20"/>
                <w:sz w:val="14"/>
              </w:rPr>
              <w:t>фондо- ва и националних</w:t>
            </w:r>
            <w:r>
              <w:rPr>
                <w:color w:val="231F20"/>
                <w:spacing w:val="-3"/>
                <w:sz w:val="14"/>
              </w:rPr>
              <w:t> </w:t>
            </w:r>
            <w:r>
              <w:rPr>
                <w:color w:val="231F20"/>
                <w:sz w:val="14"/>
              </w:rPr>
              <w:t>фондова</w:t>
            </w:r>
          </w:p>
          <w:p>
            <w:pPr>
              <w:pStyle w:val="TableParagraph"/>
              <w:spacing w:line="159" w:lineRule="exact" w:before="0"/>
              <w:ind w:left="56"/>
              <w:jc w:val="both"/>
              <w:rPr>
                <w:sz w:val="14"/>
              </w:rPr>
            </w:pPr>
            <w:r>
              <w:rPr>
                <w:color w:val="231F20"/>
                <w:w w:val="66"/>
                <w:sz w:val="14"/>
              </w:rPr>
              <w:t> </w:t>
            </w:r>
            <w:r>
              <w:rPr>
                <w:color w:val="231F20"/>
                <w:sz w:val="14"/>
              </w:rPr>
              <w:t>– Формирање културних предела</w:t>
            </w:r>
          </w:p>
        </w:tc>
        <w:tc>
          <w:tcPr>
            <w:tcW w:w="2551" w:type="dxa"/>
          </w:tcPr>
          <w:p>
            <w:pPr>
              <w:pStyle w:val="TableParagraph"/>
              <w:spacing w:before="19"/>
              <w:ind w:left="56" w:right="44"/>
              <w:jc w:val="both"/>
              <w:rPr>
                <w:sz w:val="14"/>
              </w:rPr>
            </w:pPr>
            <w:r>
              <w:rPr>
                <w:color w:val="231F20"/>
                <w:w w:val="66"/>
                <w:sz w:val="14"/>
              </w:rPr>
              <w:t> </w:t>
            </w:r>
            <w:r>
              <w:rPr>
                <w:color w:val="231F20"/>
                <w:sz w:val="14"/>
              </w:rPr>
              <w:t>– Споро мењање прописа и праксе у по- гледу заштите, конзервације, презента- ције културних добара итд.</w:t>
            </w:r>
          </w:p>
          <w:p>
            <w:pPr>
              <w:pStyle w:val="TableParagraph"/>
              <w:spacing w:line="237" w:lineRule="auto" w:before="0"/>
              <w:ind w:left="56" w:right="44" w:hanging="1"/>
              <w:jc w:val="both"/>
              <w:rPr>
                <w:sz w:val="14"/>
              </w:rPr>
            </w:pPr>
            <w:r>
              <w:rPr>
                <w:color w:val="231F20"/>
                <w:w w:val="66"/>
                <w:sz w:val="14"/>
              </w:rPr>
              <w:t> </w:t>
            </w:r>
            <w:r>
              <w:rPr>
                <w:color w:val="231F20"/>
                <w:sz w:val="14"/>
              </w:rPr>
              <w:t>– Наставак разградње урбане и руралне културне баштине</w:t>
            </w:r>
          </w:p>
          <w:p>
            <w:pPr>
              <w:pStyle w:val="TableParagraph"/>
              <w:spacing w:before="0"/>
              <w:ind w:left="56" w:right="44"/>
              <w:jc w:val="both"/>
              <w:rPr>
                <w:sz w:val="14"/>
              </w:rPr>
            </w:pPr>
            <w:r>
              <w:rPr>
                <w:color w:val="231F20"/>
                <w:w w:val="66"/>
                <w:sz w:val="14"/>
              </w:rPr>
              <w:t> </w:t>
            </w:r>
            <w:r>
              <w:rPr>
                <w:color w:val="231F20"/>
                <w:sz w:val="14"/>
              </w:rPr>
              <w:t>–</w:t>
            </w:r>
            <w:r>
              <w:rPr>
                <w:color w:val="231F20"/>
                <w:spacing w:val="-13"/>
                <w:sz w:val="14"/>
              </w:rPr>
              <w:t> </w:t>
            </w:r>
            <w:r>
              <w:rPr>
                <w:color w:val="231F20"/>
                <w:sz w:val="14"/>
              </w:rPr>
              <w:t>Губљење</w:t>
            </w:r>
            <w:r>
              <w:rPr>
                <w:color w:val="231F20"/>
                <w:spacing w:val="-13"/>
                <w:sz w:val="14"/>
              </w:rPr>
              <w:t> </w:t>
            </w:r>
            <w:r>
              <w:rPr>
                <w:color w:val="231F20"/>
                <w:sz w:val="14"/>
              </w:rPr>
              <w:t>оригиналних</w:t>
            </w:r>
            <w:r>
              <w:rPr>
                <w:color w:val="231F20"/>
                <w:spacing w:val="-13"/>
                <w:sz w:val="14"/>
              </w:rPr>
              <w:t> </w:t>
            </w:r>
            <w:r>
              <w:rPr>
                <w:color w:val="231F20"/>
                <w:sz w:val="14"/>
              </w:rPr>
              <w:t>функција,</w:t>
            </w:r>
            <w:r>
              <w:rPr>
                <w:color w:val="231F20"/>
                <w:spacing w:val="-13"/>
                <w:sz w:val="14"/>
              </w:rPr>
              <w:t> </w:t>
            </w:r>
            <w:r>
              <w:rPr>
                <w:color w:val="231F20"/>
                <w:sz w:val="14"/>
              </w:rPr>
              <w:t>обли- ка,</w:t>
            </w:r>
            <w:r>
              <w:rPr>
                <w:color w:val="231F20"/>
                <w:spacing w:val="-8"/>
                <w:sz w:val="14"/>
              </w:rPr>
              <w:t> </w:t>
            </w:r>
            <w:r>
              <w:rPr>
                <w:color w:val="231F20"/>
                <w:sz w:val="14"/>
              </w:rPr>
              <w:t>конструкција</w:t>
            </w:r>
            <w:r>
              <w:rPr>
                <w:color w:val="231F20"/>
                <w:spacing w:val="-8"/>
                <w:sz w:val="14"/>
              </w:rPr>
              <w:t> </w:t>
            </w:r>
            <w:r>
              <w:rPr>
                <w:color w:val="231F20"/>
                <w:sz w:val="14"/>
              </w:rPr>
              <w:t>и</w:t>
            </w:r>
            <w:r>
              <w:rPr>
                <w:color w:val="231F20"/>
                <w:spacing w:val="-8"/>
                <w:sz w:val="14"/>
              </w:rPr>
              <w:t> </w:t>
            </w:r>
            <w:r>
              <w:rPr>
                <w:color w:val="231F20"/>
                <w:sz w:val="14"/>
              </w:rPr>
              <w:t>материјала</w:t>
            </w:r>
            <w:r>
              <w:rPr>
                <w:color w:val="231F20"/>
                <w:spacing w:val="-8"/>
                <w:sz w:val="14"/>
              </w:rPr>
              <w:t> </w:t>
            </w:r>
            <w:r>
              <w:rPr>
                <w:color w:val="231F20"/>
                <w:sz w:val="14"/>
              </w:rPr>
              <w:t>културних добара</w:t>
            </w:r>
          </w:p>
          <w:p>
            <w:pPr>
              <w:pStyle w:val="TableParagraph"/>
              <w:spacing w:line="237" w:lineRule="auto" w:before="0"/>
              <w:ind w:left="56" w:right="44"/>
              <w:jc w:val="both"/>
              <w:rPr>
                <w:sz w:val="14"/>
              </w:rPr>
            </w:pPr>
            <w:r>
              <w:rPr>
                <w:color w:val="231F20"/>
                <w:w w:val="66"/>
                <w:sz w:val="14"/>
              </w:rPr>
              <w:t> </w:t>
            </w:r>
            <w:r>
              <w:rPr>
                <w:color w:val="231F20"/>
                <w:sz w:val="14"/>
              </w:rPr>
              <w:t>– Угроженост културног наслеђа од рударских радова</w:t>
            </w:r>
          </w:p>
        </w:tc>
      </w:tr>
    </w:tbl>
    <w:p>
      <w:pPr>
        <w:spacing w:after="0" w:line="237" w:lineRule="auto"/>
        <w:jc w:val="both"/>
        <w:rPr>
          <w:sz w:val="14"/>
        </w:rPr>
        <w:sectPr>
          <w:type w:val="continuous"/>
          <w:pgSz w:w="12480" w:h="15690"/>
          <w:pgMar w:top="880" w:bottom="280" w:left="680" w:right="720"/>
        </w:sectPr>
      </w:pPr>
    </w:p>
    <w:p>
      <w:pPr>
        <w:pStyle w:val="Heading1"/>
        <w:numPr>
          <w:ilvl w:val="0"/>
          <w:numId w:val="24"/>
        </w:numPr>
        <w:tabs>
          <w:tab w:pos="992" w:val="left" w:leader="none"/>
        </w:tabs>
        <w:spacing w:line="232" w:lineRule="auto" w:before="70" w:after="0"/>
        <w:ind w:left="1925" w:right="308" w:hanging="1164"/>
        <w:jc w:val="left"/>
      </w:pPr>
      <w:r>
        <w:rPr/>
        <w:pict>
          <v:line style="position:absolute;mso-position-horizontal-relative:page;mso-position-vertical-relative:page;z-index:2056" from="318.897614pt,11.942451pt" to="318.897614pt,748.950451pt" stroked="true" strokeweight=".6pt" strokecolor="#231f20">
            <v:stroke dashstyle="solid"/>
            <w10:wrap type="none"/>
          </v:line>
        </w:pict>
      </w:r>
      <w:r>
        <w:rPr>
          <w:color w:val="231F20"/>
        </w:rPr>
        <w:t>Принципи, циљеви и општа концепција</w:t>
      </w:r>
      <w:r>
        <w:rPr>
          <w:color w:val="231F20"/>
          <w:spacing w:val="-24"/>
        </w:rPr>
        <w:t> </w:t>
      </w:r>
      <w:r>
        <w:rPr>
          <w:color w:val="231F20"/>
        </w:rPr>
        <w:t>просторног развоја планског</w:t>
      </w:r>
      <w:r>
        <w:rPr>
          <w:color w:val="231F20"/>
          <w:spacing w:val="-2"/>
        </w:rPr>
        <w:t> </w:t>
      </w:r>
      <w:r>
        <w:rPr>
          <w:color w:val="231F20"/>
        </w:rPr>
        <w:t>подручја</w:t>
      </w:r>
    </w:p>
    <w:p>
      <w:pPr>
        <w:pStyle w:val="ListParagraph"/>
        <w:numPr>
          <w:ilvl w:val="1"/>
          <w:numId w:val="24"/>
        </w:numPr>
        <w:tabs>
          <w:tab w:pos="1807" w:val="left" w:leader="none"/>
        </w:tabs>
        <w:spacing w:line="240" w:lineRule="auto" w:before="165" w:after="0"/>
        <w:ind w:left="1806" w:right="0" w:hanging="180"/>
        <w:jc w:val="left"/>
        <w:rPr>
          <w:b/>
          <w:sz w:val="18"/>
        </w:rPr>
      </w:pPr>
      <w:r>
        <w:rPr>
          <w:b/>
          <w:color w:val="231F20"/>
          <w:sz w:val="18"/>
        </w:rPr>
        <w:t>Полазишта Просторног</w:t>
      </w:r>
      <w:r>
        <w:rPr>
          <w:b/>
          <w:color w:val="231F20"/>
          <w:spacing w:val="-3"/>
          <w:sz w:val="18"/>
        </w:rPr>
        <w:t> </w:t>
      </w:r>
      <w:r>
        <w:rPr>
          <w:b/>
          <w:color w:val="231F20"/>
          <w:sz w:val="18"/>
        </w:rPr>
        <w:t>развоја</w:t>
      </w:r>
    </w:p>
    <w:p>
      <w:pPr>
        <w:pStyle w:val="ListParagraph"/>
        <w:numPr>
          <w:ilvl w:val="2"/>
          <w:numId w:val="24"/>
        </w:numPr>
        <w:tabs>
          <w:tab w:pos="1797" w:val="left" w:leader="none"/>
        </w:tabs>
        <w:spacing w:line="240" w:lineRule="auto" w:before="165" w:after="0"/>
        <w:ind w:left="1796" w:right="0" w:hanging="315"/>
        <w:jc w:val="left"/>
        <w:rPr>
          <w:i/>
          <w:sz w:val="18"/>
        </w:rPr>
      </w:pPr>
      <w:r>
        <w:rPr>
          <w:i/>
          <w:color w:val="231F20"/>
          <w:sz w:val="18"/>
        </w:rPr>
        <w:t>Приступ изради Просторног</w:t>
      </w:r>
      <w:r>
        <w:rPr>
          <w:i/>
          <w:color w:val="231F20"/>
          <w:spacing w:val="-3"/>
          <w:sz w:val="18"/>
        </w:rPr>
        <w:t> </w:t>
      </w:r>
      <w:r>
        <w:rPr>
          <w:i/>
          <w:color w:val="231F20"/>
          <w:sz w:val="18"/>
        </w:rPr>
        <w:t>плана</w:t>
      </w:r>
    </w:p>
    <w:p>
      <w:pPr>
        <w:pStyle w:val="BodyText"/>
        <w:spacing w:before="4"/>
        <w:ind w:left="0"/>
        <w:jc w:val="left"/>
        <w:rPr>
          <w:i/>
          <w:sz w:val="17"/>
        </w:rPr>
      </w:pPr>
    </w:p>
    <w:p>
      <w:pPr>
        <w:pStyle w:val="BodyText"/>
        <w:spacing w:line="232" w:lineRule="auto"/>
        <w:ind w:left="453" w:right="1" w:firstLine="396"/>
      </w:pPr>
      <w:r>
        <w:rPr>
          <w:color w:val="231F20"/>
        </w:rPr>
        <w:t>На </w:t>
      </w:r>
      <w:r>
        <w:rPr>
          <w:color w:val="231F20"/>
          <w:spacing w:val="-3"/>
        </w:rPr>
        <w:t>Планском </w:t>
      </w:r>
      <w:r>
        <w:rPr>
          <w:color w:val="231F20"/>
        </w:rPr>
        <w:t>подручју присутан је релативно висок степен конфликтности у просторном </w:t>
      </w:r>
      <w:r>
        <w:rPr>
          <w:color w:val="231F20"/>
          <w:spacing w:val="-3"/>
        </w:rPr>
        <w:t>развоју, који </w:t>
      </w:r>
      <w:r>
        <w:rPr>
          <w:color w:val="231F20"/>
        </w:rPr>
        <w:t>се везује за однос из- међу локалних и ширих друштвених интереса, краткорочних и дугорочних, посебних (гранских) и општих циљева, итд. Основни развојни </w:t>
      </w:r>
      <w:r>
        <w:rPr>
          <w:color w:val="231F20"/>
          <w:spacing w:val="-3"/>
        </w:rPr>
        <w:t>конфликти </w:t>
      </w:r>
      <w:r>
        <w:rPr>
          <w:color w:val="231F20"/>
        </w:rPr>
        <w:t>везани су за однос производног система пре- ма </w:t>
      </w:r>
      <w:r>
        <w:rPr>
          <w:color w:val="231F20"/>
          <w:spacing w:val="-4"/>
        </w:rPr>
        <w:t>окружењу, </w:t>
      </w:r>
      <w:r>
        <w:rPr>
          <w:color w:val="231F20"/>
          <w:spacing w:val="-3"/>
        </w:rPr>
        <w:t>који </w:t>
      </w:r>
      <w:r>
        <w:rPr>
          <w:color w:val="231F20"/>
        </w:rPr>
        <w:t>се манифестују у домену регионалног развоја, некомпатибилних производних функција (рударство – пољопри- вреда), коришћења и уређивања простора, коришћења природних ресурса и деградације средине. </w:t>
      </w:r>
      <w:r>
        <w:rPr>
          <w:color w:val="231F20"/>
          <w:spacing w:val="-5"/>
        </w:rPr>
        <w:t>Услед </w:t>
      </w:r>
      <w:r>
        <w:rPr>
          <w:color w:val="231F20"/>
        </w:rPr>
        <w:t>тога, један </w:t>
      </w:r>
      <w:r>
        <w:rPr>
          <w:color w:val="231F20"/>
          <w:spacing w:val="-3"/>
        </w:rPr>
        <w:t>од </w:t>
      </w:r>
      <w:r>
        <w:rPr>
          <w:color w:val="231F20"/>
        </w:rPr>
        <w:t>најзначајни- јих задатака планирања је идентификација, оцена, сучељавање и усаглашавање различитих интереса и развојних циљева. Задатак планирања је да утврди објективизиране индикаторе (показатеље) о стању развоја, његовим потенцијалима и ограничењима, затим, концепт</w:t>
      </w:r>
      <w:r>
        <w:rPr>
          <w:color w:val="231F20"/>
          <w:spacing w:val="-7"/>
        </w:rPr>
        <w:t> </w:t>
      </w:r>
      <w:r>
        <w:rPr>
          <w:color w:val="231F20"/>
        </w:rPr>
        <w:t>(алтернативних)</w:t>
      </w:r>
      <w:r>
        <w:rPr>
          <w:color w:val="231F20"/>
          <w:spacing w:val="-7"/>
        </w:rPr>
        <w:t> </w:t>
      </w:r>
      <w:r>
        <w:rPr>
          <w:color w:val="231F20"/>
        </w:rPr>
        <w:t>стратегија</w:t>
      </w:r>
      <w:r>
        <w:rPr>
          <w:color w:val="231F20"/>
          <w:spacing w:val="-7"/>
        </w:rPr>
        <w:t> </w:t>
      </w:r>
      <w:r>
        <w:rPr>
          <w:color w:val="231F20"/>
          <w:spacing w:val="-3"/>
        </w:rPr>
        <w:t>будућег</w:t>
      </w:r>
      <w:r>
        <w:rPr>
          <w:color w:val="231F20"/>
          <w:spacing w:val="-7"/>
        </w:rPr>
        <w:t> </w:t>
      </w:r>
      <w:r>
        <w:rPr>
          <w:color w:val="231F20"/>
        </w:rPr>
        <w:t>развоја,</w:t>
      </w:r>
      <w:r>
        <w:rPr>
          <w:color w:val="231F20"/>
          <w:spacing w:val="-7"/>
        </w:rPr>
        <w:t> </w:t>
      </w:r>
      <w:r>
        <w:rPr>
          <w:color w:val="231F20"/>
        </w:rPr>
        <w:t>укључујући</w:t>
      </w:r>
      <w:r>
        <w:rPr>
          <w:color w:val="231F20"/>
          <w:spacing w:val="-7"/>
        </w:rPr>
        <w:t> </w:t>
      </w:r>
      <w:r>
        <w:rPr>
          <w:color w:val="231F20"/>
        </w:rPr>
        <w:t>и њихове могуће ефекте, конверзију друштвених приоритета у кри- теријуме за вредновање развојних стратегија и друго. </w:t>
      </w:r>
      <w:r>
        <w:rPr>
          <w:color w:val="231F20"/>
          <w:spacing w:val="-3"/>
        </w:rPr>
        <w:t>Студијско- </w:t>
      </w:r>
      <w:r>
        <w:rPr>
          <w:color w:val="231F20"/>
        </w:rPr>
        <w:t>аналитичка документација и пропозиције просторног плана треба да послуже као платформа за исказивање и усаглашавање циљева и интереса бројних носилаца развоја и корисника простора у</w:t>
      </w:r>
      <w:r>
        <w:rPr>
          <w:color w:val="231F20"/>
          <w:spacing w:val="-24"/>
        </w:rPr>
        <w:t> </w:t>
      </w:r>
      <w:r>
        <w:rPr>
          <w:color w:val="231F20"/>
        </w:rPr>
        <w:t>овом </w:t>
      </w:r>
      <w:r>
        <w:rPr>
          <w:color w:val="231F20"/>
          <w:spacing w:val="-4"/>
        </w:rPr>
        <w:t>подручју.</w:t>
      </w:r>
    </w:p>
    <w:p>
      <w:pPr>
        <w:pStyle w:val="BodyText"/>
        <w:spacing w:line="232" w:lineRule="auto" w:before="6"/>
        <w:ind w:left="454" w:right="1" w:firstLine="396"/>
      </w:pPr>
      <w:r>
        <w:rPr>
          <w:color w:val="231F20"/>
        </w:rPr>
        <w:t>Досадашња искуства у планирању развоја у подручјима ру- дарских басена везана за решавање специфичних и сложених</w:t>
      </w:r>
      <w:r>
        <w:rPr>
          <w:color w:val="231F20"/>
          <w:spacing w:val="-25"/>
        </w:rPr>
        <w:t> </w:t>
      </w:r>
      <w:r>
        <w:rPr>
          <w:color w:val="231F20"/>
        </w:rPr>
        <w:t>про- сторних и развојних </w:t>
      </w:r>
      <w:r>
        <w:rPr>
          <w:color w:val="231F20"/>
          <w:spacing w:val="-3"/>
        </w:rPr>
        <w:t>конфликта </w:t>
      </w:r>
      <w:r>
        <w:rPr>
          <w:color w:val="231F20"/>
        </w:rPr>
        <w:t>као последице перманентних про- мена</w:t>
      </w:r>
      <w:r>
        <w:rPr>
          <w:color w:val="231F20"/>
          <w:spacing w:val="-10"/>
        </w:rPr>
        <w:t> </w:t>
      </w:r>
      <w:r>
        <w:rPr>
          <w:color w:val="231F20"/>
        </w:rPr>
        <w:t>у</w:t>
      </w:r>
      <w:r>
        <w:rPr>
          <w:color w:val="231F20"/>
          <w:spacing w:val="-9"/>
        </w:rPr>
        <w:t> </w:t>
      </w:r>
      <w:r>
        <w:rPr>
          <w:color w:val="231F20"/>
        </w:rPr>
        <w:t>простору</w:t>
      </w:r>
      <w:r>
        <w:rPr>
          <w:color w:val="231F20"/>
          <w:spacing w:val="-9"/>
        </w:rPr>
        <w:t> </w:t>
      </w:r>
      <w:r>
        <w:rPr>
          <w:color w:val="231F20"/>
        </w:rPr>
        <w:t>у</w:t>
      </w:r>
      <w:r>
        <w:rPr>
          <w:color w:val="231F20"/>
          <w:spacing w:val="-9"/>
        </w:rPr>
        <w:t> </w:t>
      </w:r>
      <w:r>
        <w:rPr>
          <w:color w:val="231F20"/>
        </w:rPr>
        <w:t>дужем</w:t>
      </w:r>
      <w:r>
        <w:rPr>
          <w:color w:val="231F20"/>
          <w:spacing w:val="-9"/>
        </w:rPr>
        <w:t> </w:t>
      </w:r>
      <w:r>
        <w:rPr>
          <w:color w:val="231F20"/>
        </w:rPr>
        <w:t>временском</w:t>
      </w:r>
      <w:r>
        <w:rPr>
          <w:color w:val="231F20"/>
          <w:spacing w:val="-9"/>
        </w:rPr>
        <w:t> </w:t>
      </w:r>
      <w:r>
        <w:rPr>
          <w:color w:val="231F20"/>
        </w:rPr>
        <w:t>периоду</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за</w:t>
      </w:r>
      <w:r>
        <w:rPr>
          <w:color w:val="231F20"/>
          <w:spacing w:val="-9"/>
        </w:rPr>
        <w:t> </w:t>
      </w:r>
      <w:r>
        <w:rPr>
          <w:color w:val="231F20"/>
        </w:rPr>
        <w:t>спровођење ревитализације и рекултивације деградираног земљишта у току   и </w:t>
      </w:r>
      <w:r>
        <w:rPr>
          <w:color w:val="231F20"/>
          <w:spacing w:val="-3"/>
        </w:rPr>
        <w:t>након </w:t>
      </w:r>
      <w:r>
        <w:rPr>
          <w:color w:val="231F20"/>
        </w:rPr>
        <w:t>завршене експлоатације, намеће потребу успостављања специфичног </w:t>
      </w:r>
      <w:r>
        <w:rPr>
          <w:color w:val="231F20"/>
          <w:spacing w:val="-3"/>
        </w:rPr>
        <w:t>интегралног, </w:t>
      </w:r>
      <w:r>
        <w:rPr>
          <w:color w:val="231F20"/>
        </w:rPr>
        <w:t>за наше услове оригиналног приступа у планирању развоја и уређењу простора. У области енергетике, стратешке концепције, а тиме и потреба отварања и пројектована динамика напредовања копова, заснивају се на дугорочно прогно- зираним потребама потрошње (20, 30 па и више година). Непоу- зданост планских предвиђања за </w:t>
      </w:r>
      <w:r>
        <w:rPr>
          <w:color w:val="231F20"/>
          <w:spacing w:val="-3"/>
        </w:rPr>
        <w:t>тако </w:t>
      </w:r>
      <w:r>
        <w:rPr>
          <w:color w:val="231F20"/>
        </w:rPr>
        <w:t>дуги период, превазилази  се </w:t>
      </w:r>
      <w:r>
        <w:rPr>
          <w:color w:val="231F20"/>
          <w:spacing w:val="-3"/>
        </w:rPr>
        <w:t>тако </w:t>
      </w:r>
      <w:r>
        <w:rPr>
          <w:color w:val="231F20"/>
        </w:rPr>
        <w:t>што се у просторно-планској документацији за различите временске хоризонте примењује различит ниво детаљности,</w:t>
      </w:r>
      <w:r>
        <w:rPr>
          <w:color w:val="231F20"/>
          <w:spacing w:val="-27"/>
        </w:rPr>
        <w:t> </w:t>
      </w:r>
      <w:r>
        <w:rPr>
          <w:color w:val="231F20"/>
        </w:rPr>
        <w:t>одно- сно за временски ближе хоризонте утврђују се детаљнија и разра- ђенија</w:t>
      </w:r>
      <w:r>
        <w:rPr>
          <w:color w:val="231F20"/>
          <w:spacing w:val="-8"/>
        </w:rPr>
        <w:t> </w:t>
      </w:r>
      <w:r>
        <w:rPr>
          <w:color w:val="231F20"/>
        </w:rPr>
        <w:t>решења,</w:t>
      </w:r>
      <w:r>
        <w:rPr>
          <w:color w:val="231F20"/>
          <w:spacing w:val="-8"/>
        </w:rPr>
        <w:t> </w:t>
      </w:r>
      <w:r>
        <w:rPr>
          <w:color w:val="231F20"/>
        </w:rPr>
        <w:t>док</w:t>
      </w:r>
      <w:r>
        <w:rPr>
          <w:color w:val="231F20"/>
          <w:spacing w:val="-8"/>
        </w:rPr>
        <w:t> </w:t>
      </w:r>
      <w:r>
        <w:rPr>
          <w:color w:val="231F20"/>
        </w:rPr>
        <w:t>се</w:t>
      </w:r>
      <w:r>
        <w:rPr>
          <w:color w:val="231F20"/>
          <w:spacing w:val="-8"/>
        </w:rPr>
        <w:t> </w:t>
      </w:r>
      <w:r>
        <w:rPr>
          <w:color w:val="231F20"/>
        </w:rPr>
        <w:t>за</w:t>
      </w:r>
      <w:r>
        <w:rPr>
          <w:color w:val="231F20"/>
          <w:spacing w:val="-8"/>
        </w:rPr>
        <w:t> </w:t>
      </w:r>
      <w:r>
        <w:rPr>
          <w:color w:val="231F20"/>
        </w:rPr>
        <w:t>дуже</w:t>
      </w:r>
      <w:r>
        <w:rPr>
          <w:color w:val="231F20"/>
          <w:spacing w:val="-8"/>
        </w:rPr>
        <w:t> </w:t>
      </w:r>
      <w:r>
        <w:rPr>
          <w:color w:val="231F20"/>
        </w:rPr>
        <w:t>временске</w:t>
      </w:r>
      <w:r>
        <w:rPr>
          <w:color w:val="231F20"/>
          <w:spacing w:val="-8"/>
        </w:rPr>
        <w:t> </w:t>
      </w:r>
      <w:r>
        <w:rPr>
          <w:color w:val="231F20"/>
        </w:rPr>
        <w:t>периоде</w:t>
      </w:r>
      <w:r>
        <w:rPr>
          <w:color w:val="231F20"/>
          <w:spacing w:val="-8"/>
        </w:rPr>
        <w:t> </w:t>
      </w:r>
      <w:r>
        <w:rPr>
          <w:color w:val="231F20"/>
        </w:rPr>
        <w:t>предлажу</w:t>
      </w:r>
      <w:r>
        <w:rPr>
          <w:color w:val="231F20"/>
          <w:spacing w:val="-8"/>
        </w:rPr>
        <w:t> </w:t>
      </w:r>
      <w:r>
        <w:rPr>
          <w:color w:val="231F20"/>
        </w:rPr>
        <w:t>општа решења, често у варијантама или само у домену</w:t>
      </w:r>
      <w:r>
        <w:rPr>
          <w:color w:val="231F20"/>
          <w:spacing w:val="-9"/>
        </w:rPr>
        <w:t> </w:t>
      </w:r>
      <w:r>
        <w:rPr>
          <w:color w:val="231F20"/>
        </w:rPr>
        <w:t>циљева.</w:t>
      </w:r>
    </w:p>
    <w:p>
      <w:pPr>
        <w:pStyle w:val="BodyText"/>
        <w:spacing w:line="232" w:lineRule="auto" w:before="5"/>
        <w:ind w:left="455" w:firstLine="396"/>
      </w:pPr>
      <w:r>
        <w:rPr>
          <w:color w:val="231F20"/>
          <w:spacing w:val="-3"/>
        </w:rPr>
        <w:t>Уређивање </w:t>
      </w:r>
      <w:r>
        <w:rPr>
          <w:color w:val="231F20"/>
        </w:rPr>
        <w:t>и обнављање простора у </w:t>
      </w:r>
      <w:r>
        <w:rPr>
          <w:color w:val="231F20"/>
          <w:spacing w:val="-4"/>
        </w:rPr>
        <w:t>рударском </w:t>
      </w:r>
      <w:r>
        <w:rPr>
          <w:color w:val="231F20"/>
        </w:rPr>
        <w:t>басену је про- цес, </w:t>
      </w:r>
      <w:r>
        <w:rPr>
          <w:color w:val="231F20"/>
          <w:spacing w:val="-3"/>
        </w:rPr>
        <w:t>који </w:t>
      </w:r>
      <w:r>
        <w:rPr>
          <w:color w:val="231F20"/>
        </w:rPr>
        <w:t>се одвија по динамици производње угља, односно разво- ја површинске експлоатације и других процеса у </w:t>
      </w:r>
      <w:r>
        <w:rPr>
          <w:color w:val="231F20"/>
          <w:spacing w:val="-3"/>
        </w:rPr>
        <w:t>басену. </w:t>
      </w:r>
      <w:r>
        <w:rPr>
          <w:color w:val="231F20"/>
        </w:rPr>
        <w:t>Проме- не </w:t>
      </w:r>
      <w:r>
        <w:rPr>
          <w:color w:val="231F20"/>
          <w:spacing w:val="-3"/>
        </w:rPr>
        <w:t>које </w:t>
      </w:r>
      <w:r>
        <w:rPr>
          <w:color w:val="231F20"/>
        </w:rPr>
        <w:t>настају су динамичне и могу се усмеравати само развојем динамичног и непрекидног процеса планирања и истраживања. Велико</w:t>
      </w:r>
      <w:r>
        <w:rPr>
          <w:color w:val="231F20"/>
          <w:spacing w:val="-6"/>
        </w:rPr>
        <w:t> </w:t>
      </w:r>
      <w:r>
        <w:rPr>
          <w:color w:val="231F20"/>
        </w:rPr>
        <w:t>простирање</w:t>
      </w:r>
      <w:r>
        <w:rPr>
          <w:color w:val="231F20"/>
          <w:spacing w:val="-6"/>
        </w:rPr>
        <w:t> </w:t>
      </w:r>
      <w:r>
        <w:rPr>
          <w:color w:val="231F20"/>
        </w:rPr>
        <w:t>басена</w:t>
      </w:r>
      <w:r>
        <w:rPr>
          <w:color w:val="231F20"/>
          <w:spacing w:val="-6"/>
        </w:rPr>
        <w:t> </w:t>
      </w:r>
      <w:r>
        <w:rPr>
          <w:color w:val="231F20"/>
        </w:rPr>
        <w:t>и</w:t>
      </w:r>
      <w:r>
        <w:rPr>
          <w:color w:val="231F20"/>
          <w:spacing w:val="-6"/>
        </w:rPr>
        <w:t> </w:t>
      </w:r>
      <w:r>
        <w:rPr>
          <w:color w:val="231F20"/>
        </w:rPr>
        <w:t>потреба</w:t>
      </w:r>
      <w:r>
        <w:rPr>
          <w:color w:val="231F20"/>
          <w:spacing w:val="-6"/>
        </w:rPr>
        <w:t> </w:t>
      </w:r>
      <w:r>
        <w:rPr>
          <w:color w:val="231F20"/>
        </w:rPr>
        <w:t>сагледавања</w:t>
      </w:r>
      <w:r>
        <w:rPr>
          <w:color w:val="231F20"/>
          <w:spacing w:val="-6"/>
        </w:rPr>
        <w:t> </w:t>
      </w:r>
      <w:r>
        <w:rPr>
          <w:color w:val="231F20"/>
        </w:rPr>
        <w:t>укупног</w:t>
      </w:r>
      <w:r>
        <w:rPr>
          <w:color w:val="231F20"/>
          <w:spacing w:val="-6"/>
        </w:rPr>
        <w:t> </w:t>
      </w:r>
      <w:r>
        <w:rPr>
          <w:color w:val="231F20"/>
        </w:rPr>
        <w:t>развоја у регионалним размерама, условљава постојање више нивоа про- сторног и урбанистичког</w:t>
      </w:r>
      <w:r>
        <w:rPr>
          <w:color w:val="231F20"/>
          <w:spacing w:val="-4"/>
        </w:rPr>
        <w:t> </w:t>
      </w:r>
      <w:r>
        <w:rPr>
          <w:color w:val="231F20"/>
        </w:rPr>
        <w:t>планирања.</w:t>
      </w:r>
    </w:p>
    <w:p>
      <w:pPr>
        <w:pStyle w:val="BodyText"/>
        <w:spacing w:line="232" w:lineRule="auto" w:before="2"/>
        <w:ind w:left="455" w:firstLine="397"/>
      </w:pPr>
      <w:r>
        <w:rPr>
          <w:color w:val="231F20"/>
          <w:spacing w:val="-3"/>
        </w:rPr>
        <w:t>Приликом </w:t>
      </w:r>
      <w:r>
        <w:rPr>
          <w:color w:val="231F20"/>
        </w:rPr>
        <w:t>израде Просторног плана примењен је интеграл- ни приступ </w:t>
      </w:r>
      <w:r>
        <w:rPr>
          <w:color w:val="231F20"/>
          <w:spacing w:val="-3"/>
        </w:rPr>
        <w:t>који </w:t>
      </w:r>
      <w:r>
        <w:rPr>
          <w:color w:val="231F20"/>
        </w:rPr>
        <w:t>подразумева обезбеђивање конвергенције, </w:t>
      </w:r>
      <w:r>
        <w:rPr>
          <w:color w:val="231F20"/>
          <w:spacing w:val="-3"/>
        </w:rPr>
        <w:t>коор- </w:t>
      </w:r>
      <w:r>
        <w:rPr>
          <w:color w:val="231F20"/>
        </w:rPr>
        <w:t>динацију и колаборацију између различитих секторских полити- ка и управљачких нивоа, односно целовити интегрални приступ у планирању</w:t>
      </w:r>
      <w:r>
        <w:rPr>
          <w:color w:val="231F20"/>
          <w:spacing w:val="-9"/>
        </w:rPr>
        <w:t> </w:t>
      </w:r>
      <w:r>
        <w:rPr>
          <w:color w:val="231F20"/>
        </w:rPr>
        <w:t>простора</w:t>
      </w:r>
      <w:r>
        <w:rPr>
          <w:color w:val="231F20"/>
          <w:spacing w:val="-9"/>
        </w:rPr>
        <w:t> </w:t>
      </w:r>
      <w:r>
        <w:rPr>
          <w:color w:val="231F20"/>
        </w:rPr>
        <w:t>у</w:t>
      </w:r>
      <w:r>
        <w:rPr>
          <w:color w:val="231F20"/>
          <w:spacing w:val="-9"/>
        </w:rPr>
        <w:t> </w:t>
      </w:r>
      <w:r>
        <w:rPr>
          <w:color w:val="231F20"/>
          <w:spacing w:val="-4"/>
        </w:rPr>
        <w:t>коме</w:t>
      </w:r>
      <w:r>
        <w:rPr>
          <w:color w:val="231F20"/>
          <w:spacing w:val="-9"/>
        </w:rPr>
        <w:t> </w:t>
      </w:r>
      <w:r>
        <w:rPr>
          <w:color w:val="231F20"/>
        </w:rPr>
        <w:t>мета-управљачки</w:t>
      </w:r>
      <w:r>
        <w:rPr>
          <w:color w:val="231F20"/>
          <w:spacing w:val="-9"/>
        </w:rPr>
        <w:t> </w:t>
      </w:r>
      <w:r>
        <w:rPr>
          <w:color w:val="231F20"/>
        </w:rPr>
        <w:t>значај</w:t>
      </w:r>
      <w:r>
        <w:rPr>
          <w:color w:val="231F20"/>
          <w:spacing w:val="-9"/>
        </w:rPr>
        <w:t> </w:t>
      </w:r>
      <w:r>
        <w:rPr>
          <w:color w:val="231F20"/>
        </w:rPr>
        <w:t>у</w:t>
      </w:r>
      <w:r>
        <w:rPr>
          <w:color w:val="231F20"/>
          <w:spacing w:val="-9"/>
        </w:rPr>
        <w:t> </w:t>
      </w:r>
      <w:r>
        <w:rPr>
          <w:color w:val="231F20"/>
        </w:rPr>
        <w:t>интеграцији има координација активности јавног сектора кроз сарадњу разли- читих нивоа управљања и одлучивања. Координација секторских политика/стратегија је један </w:t>
      </w:r>
      <w:r>
        <w:rPr>
          <w:color w:val="231F20"/>
          <w:spacing w:val="-3"/>
        </w:rPr>
        <w:t>од главних </w:t>
      </w:r>
      <w:r>
        <w:rPr>
          <w:color w:val="231F20"/>
        </w:rPr>
        <w:t>циљева планирања про- стора, поред ублажавања просторних разлика, одрживог развоја, </w:t>
      </w:r>
      <w:r>
        <w:rPr>
          <w:color w:val="231F20"/>
          <w:spacing w:val="-3"/>
        </w:rPr>
        <w:t>обликовања </w:t>
      </w:r>
      <w:r>
        <w:rPr>
          <w:color w:val="231F20"/>
        </w:rPr>
        <w:t>политика у складу са над/суб/националним циљевима политика, итд. Примењени плански приступ подразумева корела- ције и споне између </w:t>
      </w:r>
      <w:r>
        <w:rPr>
          <w:color w:val="231F20"/>
          <w:spacing w:val="-3"/>
        </w:rPr>
        <w:t>националног, субрегионалног, </w:t>
      </w:r>
      <w:r>
        <w:rPr>
          <w:color w:val="231F20"/>
        </w:rPr>
        <w:t>регионалног и локалног нивоа на начин да управљачке линије и механизми </w:t>
      </w:r>
      <w:r>
        <w:rPr>
          <w:color w:val="231F20"/>
          <w:spacing w:val="-5"/>
        </w:rPr>
        <w:t>буду </w:t>
      </w:r>
      <w:r>
        <w:rPr>
          <w:color w:val="231F20"/>
        </w:rPr>
        <w:t>у што већој мери усклађени. Овакав приступ се поклапа са новим макрорегионалним</w:t>
      </w:r>
      <w:r>
        <w:rPr>
          <w:color w:val="231F20"/>
          <w:spacing w:val="-10"/>
        </w:rPr>
        <w:t> </w:t>
      </w:r>
      <w:r>
        <w:rPr>
          <w:color w:val="231F20"/>
        </w:rPr>
        <w:t>приступом</w:t>
      </w:r>
      <w:r>
        <w:rPr>
          <w:color w:val="231F20"/>
          <w:spacing w:val="-10"/>
        </w:rPr>
        <w:t> </w:t>
      </w:r>
      <w:r>
        <w:rPr>
          <w:color w:val="231F20"/>
        </w:rPr>
        <w:t>ЕУ</w:t>
      </w:r>
      <w:r>
        <w:rPr>
          <w:color w:val="231F20"/>
          <w:spacing w:val="-10"/>
        </w:rPr>
        <w:t> </w:t>
      </w:r>
      <w:r>
        <w:rPr>
          <w:color w:val="231F20"/>
          <w:spacing w:val="-3"/>
        </w:rPr>
        <w:t>који</w:t>
      </w:r>
      <w:r>
        <w:rPr>
          <w:color w:val="231F20"/>
          <w:spacing w:val="-10"/>
        </w:rPr>
        <w:t> </w:t>
      </w:r>
      <w:r>
        <w:rPr>
          <w:color w:val="231F20"/>
        </w:rPr>
        <w:t>има</w:t>
      </w:r>
      <w:r>
        <w:rPr>
          <w:color w:val="231F20"/>
          <w:spacing w:val="-10"/>
        </w:rPr>
        <w:t> </w:t>
      </w:r>
      <w:r>
        <w:rPr>
          <w:color w:val="231F20"/>
        </w:rPr>
        <w:t>за</w:t>
      </w:r>
      <w:r>
        <w:rPr>
          <w:color w:val="231F20"/>
          <w:spacing w:val="-10"/>
        </w:rPr>
        <w:t> </w:t>
      </w:r>
      <w:r>
        <w:rPr>
          <w:color w:val="231F20"/>
        </w:rPr>
        <w:t>циљ</w:t>
      </w:r>
      <w:r>
        <w:rPr>
          <w:color w:val="231F20"/>
          <w:spacing w:val="-10"/>
        </w:rPr>
        <w:t> </w:t>
      </w:r>
      <w:r>
        <w:rPr>
          <w:color w:val="231F20"/>
        </w:rPr>
        <w:t>јачање</w:t>
      </w:r>
      <w:r>
        <w:rPr>
          <w:color w:val="231F20"/>
          <w:spacing w:val="-10"/>
        </w:rPr>
        <w:t> </w:t>
      </w:r>
      <w:r>
        <w:rPr>
          <w:color w:val="231F20"/>
        </w:rPr>
        <w:t>синерги- је</w:t>
      </w:r>
      <w:r>
        <w:rPr>
          <w:color w:val="231F20"/>
          <w:spacing w:val="-8"/>
        </w:rPr>
        <w:t> </w:t>
      </w:r>
      <w:r>
        <w:rPr>
          <w:color w:val="231F20"/>
        </w:rPr>
        <w:t>између</w:t>
      </w:r>
      <w:r>
        <w:rPr>
          <w:color w:val="231F20"/>
          <w:spacing w:val="-8"/>
        </w:rPr>
        <w:t> </w:t>
      </w:r>
      <w:r>
        <w:rPr>
          <w:color w:val="231F20"/>
        </w:rPr>
        <w:t>општих</w:t>
      </w:r>
      <w:r>
        <w:rPr>
          <w:color w:val="231F20"/>
          <w:spacing w:val="-8"/>
        </w:rPr>
        <w:t> </w:t>
      </w:r>
      <w:r>
        <w:rPr>
          <w:color w:val="231F20"/>
        </w:rPr>
        <w:t>и</w:t>
      </w:r>
      <w:r>
        <w:rPr>
          <w:color w:val="231F20"/>
          <w:spacing w:val="-8"/>
        </w:rPr>
        <w:t> </w:t>
      </w:r>
      <w:r>
        <w:rPr>
          <w:color w:val="231F20"/>
        </w:rPr>
        <w:t>секторских</w:t>
      </w:r>
      <w:r>
        <w:rPr>
          <w:color w:val="231F20"/>
          <w:spacing w:val="-8"/>
        </w:rPr>
        <w:t> </w:t>
      </w:r>
      <w:r>
        <w:rPr>
          <w:color w:val="231F20"/>
        </w:rPr>
        <w:t>политика.</w:t>
      </w:r>
      <w:r>
        <w:rPr>
          <w:color w:val="231F20"/>
          <w:spacing w:val="-8"/>
        </w:rPr>
        <w:t> </w:t>
      </w:r>
      <w:r>
        <w:rPr>
          <w:color w:val="231F20"/>
        </w:rPr>
        <w:t>Приступ</w:t>
      </w:r>
      <w:r>
        <w:rPr>
          <w:color w:val="231F20"/>
          <w:spacing w:val="-8"/>
        </w:rPr>
        <w:t> </w:t>
      </w:r>
      <w:r>
        <w:rPr>
          <w:color w:val="231F20"/>
        </w:rPr>
        <w:t>укључује</w:t>
      </w:r>
      <w:r>
        <w:rPr>
          <w:color w:val="231F20"/>
          <w:spacing w:val="-8"/>
        </w:rPr>
        <w:t> </w:t>
      </w:r>
      <w:r>
        <w:rPr>
          <w:color w:val="231F20"/>
        </w:rPr>
        <w:t>прин- цип инклузивности и координацију широког круга разних актера (регионе, општине, </w:t>
      </w:r>
      <w:r>
        <w:rPr>
          <w:color w:val="231F20"/>
          <w:spacing w:val="-3"/>
        </w:rPr>
        <w:t>економске </w:t>
      </w:r>
      <w:r>
        <w:rPr>
          <w:color w:val="231F20"/>
        </w:rPr>
        <w:t>актере, социјалне актере, цивилно друштво, финансијске институције,  међународне  организаци-  је) ради већег напретка за становнике Планског подручја, јачање сарадње и координације, посебно што се ради о веома атрактив- ном и конкурентном подручју у </w:t>
      </w:r>
      <w:r>
        <w:rPr>
          <w:color w:val="231F20"/>
          <w:spacing w:val="-3"/>
        </w:rPr>
        <w:t>Подунављу. </w:t>
      </w:r>
      <w:r>
        <w:rPr>
          <w:color w:val="231F20"/>
        </w:rPr>
        <w:t>Предложени</w:t>
      </w:r>
      <w:r>
        <w:rPr>
          <w:color w:val="231F20"/>
          <w:spacing w:val="0"/>
        </w:rPr>
        <w:t> </w:t>
      </w:r>
      <w:r>
        <w:rPr>
          <w:color w:val="231F20"/>
        </w:rPr>
        <w:t>приступ</w:t>
      </w:r>
    </w:p>
    <w:p>
      <w:pPr>
        <w:pStyle w:val="BodyText"/>
        <w:spacing w:line="232" w:lineRule="auto" w:before="70"/>
        <w:ind w:left="242" w:right="125"/>
      </w:pPr>
      <w:r>
        <w:rPr/>
        <w:br w:type="column"/>
      </w:r>
      <w:r>
        <w:rPr>
          <w:color w:val="231F20"/>
        </w:rPr>
        <w:t>је теоријски и методолошки утемељен на новој улози регионалне политике </w:t>
      </w:r>
      <w:r>
        <w:rPr>
          <w:color w:val="231F20"/>
          <w:spacing w:val="-3"/>
        </w:rPr>
        <w:t>која </w:t>
      </w:r>
      <w:r>
        <w:rPr>
          <w:color w:val="231F20"/>
        </w:rPr>
        <w:t>подразумева мобилизацију унутрашњих снага и ре- сурса у развоју и ублажавању ефеката глобалне </w:t>
      </w:r>
      <w:r>
        <w:rPr>
          <w:color w:val="231F20"/>
          <w:spacing w:val="-3"/>
        </w:rPr>
        <w:t>економске </w:t>
      </w:r>
      <w:r>
        <w:rPr>
          <w:color w:val="231F20"/>
        </w:rPr>
        <w:t>кризе, уз наглашавање локалне одговорности и јачања јавно-приватног партнерства. Овакав приступ омогућава већу извесност стварања услова за коегзистенцију различитих пројеката у простору као и могућност различитих облика интеграција секторских политика   у просторно-планску политику и територијални развој подручја. Ово је посебно важно због чињенице да повећавање фрагментиса- ности управљачких нивоа чини све тежом и </w:t>
      </w:r>
      <w:r>
        <w:rPr>
          <w:color w:val="231F20"/>
          <w:spacing w:val="-3"/>
        </w:rPr>
        <w:t>комплекснијом </w:t>
      </w:r>
      <w:r>
        <w:rPr>
          <w:color w:val="231F20"/>
        </w:rPr>
        <w:t>инте- грацију политика просторног развоја и доношење планских одлу- ка. Имплементација приступа подразумева уважавање принципа, циљева, стратегије просторног планирања, као и свеобухватно по- везивање</w:t>
      </w:r>
      <w:r>
        <w:rPr>
          <w:color w:val="231F20"/>
          <w:spacing w:val="-6"/>
        </w:rPr>
        <w:t> </w:t>
      </w:r>
      <w:r>
        <w:rPr>
          <w:color w:val="231F20"/>
        </w:rPr>
        <w:t>разних</w:t>
      </w:r>
      <w:r>
        <w:rPr>
          <w:color w:val="231F20"/>
          <w:spacing w:val="-5"/>
        </w:rPr>
        <w:t> </w:t>
      </w:r>
      <w:r>
        <w:rPr>
          <w:color w:val="231F20"/>
        </w:rPr>
        <w:t>учесника</w:t>
      </w:r>
      <w:r>
        <w:rPr>
          <w:color w:val="231F20"/>
          <w:spacing w:val="-6"/>
        </w:rPr>
        <w:t> </w:t>
      </w:r>
      <w:r>
        <w:rPr>
          <w:color w:val="231F20"/>
        </w:rPr>
        <w:t>у</w:t>
      </w:r>
      <w:r>
        <w:rPr>
          <w:color w:val="231F20"/>
          <w:spacing w:val="-6"/>
        </w:rPr>
        <w:t> </w:t>
      </w:r>
      <w:r>
        <w:rPr>
          <w:color w:val="231F20"/>
        </w:rPr>
        <w:t>процесу</w:t>
      </w:r>
      <w:r>
        <w:rPr>
          <w:color w:val="231F20"/>
          <w:spacing w:val="-6"/>
        </w:rPr>
        <w:t> </w:t>
      </w:r>
      <w:r>
        <w:rPr>
          <w:color w:val="231F20"/>
        </w:rPr>
        <w:t>обезбеђења</w:t>
      </w:r>
      <w:r>
        <w:rPr>
          <w:color w:val="231F20"/>
          <w:spacing w:val="-6"/>
        </w:rPr>
        <w:t> </w:t>
      </w:r>
      <w:r>
        <w:rPr>
          <w:color w:val="231F20"/>
        </w:rPr>
        <w:t>услова</w:t>
      </w:r>
      <w:r>
        <w:rPr>
          <w:color w:val="231F20"/>
          <w:spacing w:val="-6"/>
        </w:rPr>
        <w:t> </w:t>
      </w:r>
      <w:r>
        <w:rPr>
          <w:color w:val="231F20"/>
        </w:rPr>
        <w:t>за</w:t>
      </w:r>
      <w:r>
        <w:rPr>
          <w:color w:val="231F20"/>
          <w:spacing w:val="-6"/>
        </w:rPr>
        <w:t> </w:t>
      </w:r>
      <w:r>
        <w:rPr>
          <w:color w:val="231F20"/>
        </w:rPr>
        <w:t>терито- ријалну коегзистенцију на заједничком</w:t>
      </w:r>
      <w:r>
        <w:rPr>
          <w:color w:val="231F20"/>
          <w:spacing w:val="-6"/>
        </w:rPr>
        <w:t> </w:t>
      </w:r>
      <w:r>
        <w:rPr>
          <w:color w:val="231F20"/>
          <w:spacing w:val="-3"/>
        </w:rPr>
        <w:t>простору.</w:t>
      </w:r>
    </w:p>
    <w:p>
      <w:pPr>
        <w:pStyle w:val="ListParagraph"/>
        <w:numPr>
          <w:ilvl w:val="2"/>
          <w:numId w:val="24"/>
        </w:numPr>
        <w:tabs>
          <w:tab w:pos="1794" w:val="left" w:leader="none"/>
        </w:tabs>
        <w:spacing w:line="240" w:lineRule="auto" w:before="169" w:after="0"/>
        <w:ind w:left="1793" w:right="0" w:hanging="315"/>
        <w:jc w:val="left"/>
        <w:rPr>
          <w:i/>
          <w:sz w:val="18"/>
        </w:rPr>
      </w:pPr>
      <w:r>
        <w:rPr>
          <w:i/>
          <w:color w:val="231F20"/>
          <w:sz w:val="18"/>
        </w:rPr>
        <w:t>Принципи просторног</w:t>
      </w:r>
      <w:r>
        <w:rPr>
          <w:i/>
          <w:color w:val="231F20"/>
          <w:spacing w:val="-2"/>
          <w:sz w:val="18"/>
        </w:rPr>
        <w:t> </w:t>
      </w:r>
      <w:r>
        <w:rPr>
          <w:i/>
          <w:color w:val="231F20"/>
          <w:sz w:val="18"/>
        </w:rPr>
        <w:t>развоја</w:t>
      </w:r>
    </w:p>
    <w:p>
      <w:pPr>
        <w:pStyle w:val="BodyText"/>
        <w:spacing w:before="5"/>
        <w:ind w:left="0"/>
        <w:jc w:val="left"/>
        <w:rPr>
          <w:i/>
          <w:sz w:val="17"/>
        </w:rPr>
      </w:pPr>
    </w:p>
    <w:p>
      <w:pPr>
        <w:pStyle w:val="BodyText"/>
        <w:spacing w:line="232" w:lineRule="auto"/>
        <w:ind w:left="241" w:right="126" w:firstLine="397"/>
      </w:pPr>
      <w:r>
        <w:rPr>
          <w:color w:val="231F20"/>
        </w:rPr>
        <w:t>Принципи просторног развоја на </w:t>
      </w:r>
      <w:r>
        <w:rPr>
          <w:color w:val="231F20"/>
          <w:spacing w:val="-3"/>
        </w:rPr>
        <w:t>Планском </w:t>
      </w:r>
      <w:r>
        <w:rPr>
          <w:color w:val="231F20"/>
        </w:rPr>
        <w:t>подручју су: про- моција одрживог </w:t>
      </w:r>
      <w:r>
        <w:rPr>
          <w:color w:val="231F20"/>
          <w:spacing w:val="-3"/>
        </w:rPr>
        <w:t>просторног, </w:t>
      </w:r>
      <w:r>
        <w:rPr>
          <w:color w:val="231F20"/>
        </w:rPr>
        <w:t>социјалног и </w:t>
      </w:r>
      <w:r>
        <w:rPr>
          <w:color w:val="231F20"/>
          <w:spacing w:val="-3"/>
        </w:rPr>
        <w:t>економског </w:t>
      </w:r>
      <w:r>
        <w:rPr>
          <w:color w:val="231F20"/>
        </w:rPr>
        <w:t>развоја; рационално коришћење постојећих ресурса и инфраструктуре; смањење загађивања и прилагођавање климатским променама; инклузивност – антиципирање и партиципација широког круга актера и грађана у креирању и управљању променама у домену економије и социјалног развоја; хоризонтална и вертикална ин- тегрисаност политика; економско-тржишна оправданост и рен- табилност; просторно-еколошка усклађеност; спајање потреба и могућности (локационих захтева и локационих услова); територи- јална </w:t>
      </w:r>
      <w:r>
        <w:rPr>
          <w:color w:val="231F20"/>
          <w:spacing w:val="-3"/>
        </w:rPr>
        <w:t>кохезија </w:t>
      </w:r>
      <w:r>
        <w:rPr>
          <w:color w:val="231F20"/>
        </w:rPr>
        <w:t>ради смањења просторних неравномерности; про- моција </w:t>
      </w:r>
      <w:r>
        <w:rPr>
          <w:color w:val="231F20"/>
          <w:spacing w:val="-3"/>
        </w:rPr>
        <w:t>еколошког </w:t>
      </w:r>
      <w:r>
        <w:rPr>
          <w:color w:val="231F20"/>
        </w:rPr>
        <w:t>квалитета; локационо-еколошка селективност и локациона компатибилност; мешовите намене за различите актив- ности;</w:t>
      </w:r>
      <w:r>
        <w:rPr>
          <w:color w:val="231F20"/>
          <w:spacing w:val="-8"/>
        </w:rPr>
        <w:t> </w:t>
      </w:r>
      <w:r>
        <w:rPr>
          <w:color w:val="231F20"/>
        </w:rPr>
        <w:t>управљање</w:t>
      </w:r>
      <w:r>
        <w:rPr>
          <w:color w:val="231F20"/>
          <w:spacing w:val="-8"/>
        </w:rPr>
        <w:t> </w:t>
      </w:r>
      <w:r>
        <w:rPr>
          <w:color w:val="231F20"/>
        </w:rPr>
        <w:t>транспортом</w:t>
      </w:r>
      <w:r>
        <w:rPr>
          <w:color w:val="231F20"/>
          <w:spacing w:val="-8"/>
        </w:rPr>
        <w:t> </w:t>
      </w:r>
      <w:r>
        <w:rPr>
          <w:color w:val="231F20"/>
        </w:rPr>
        <w:t>и</w:t>
      </w:r>
      <w:r>
        <w:rPr>
          <w:color w:val="231F20"/>
          <w:spacing w:val="-8"/>
        </w:rPr>
        <w:t> </w:t>
      </w:r>
      <w:r>
        <w:rPr>
          <w:color w:val="231F20"/>
        </w:rPr>
        <w:t>повећање</w:t>
      </w:r>
      <w:r>
        <w:rPr>
          <w:color w:val="231F20"/>
          <w:spacing w:val="-8"/>
        </w:rPr>
        <w:t> </w:t>
      </w:r>
      <w:r>
        <w:rPr>
          <w:color w:val="231F20"/>
        </w:rPr>
        <w:t>приступачности;</w:t>
      </w:r>
      <w:r>
        <w:rPr>
          <w:color w:val="231F20"/>
          <w:spacing w:val="-8"/>
        </w:rPr>
        <w:t> </w:t>
      </w:r>
      <w:r>
        <w:rPr>
          <w:color w:val="231F20"/>
        </w:rPr>
        <w:t>енер- гетска ефикасност; одрживост у </w:t>
      </w:r>
      <w:r>
        <w:rPr>
          <w:color w:val="231F20"/>
          <w:spacing w:val="-3"/>
        </w:rPr>
        <w:t>планирању, </w:t>
      </w:r>
      <w:r>
        <w:rPr>
          <w:color w:val="231F20"/>
        </w:rPr>
        <w:t>уређењу и коришће- њу зона; корпоративна социјална и </w:t>
      </w:r>
      <w:r>
        <w:rPr>
          <w:color w:val="231F20"/>
          <w:spacing w:val="-3"/>
        </w:rPr>
        <w:t>еколошка</w:t>
      </w:r>
      <w:r>
        <w:rPr>
          <w:color w:val="231F20"/>
          <w:spacing w:val="-8"/>
        </w:rPr>
        <w:t> </w:t>
      </w:r>
      <w:r>
        <w:rPr>
          <w:color w:val="231F20"/>
          <w:spacing w:val="-3"/>
        </w:rPr>
        <w:t>одговорност.</w:t>
      </w:r>
    </w:p>
    <w:p>
      <w:pPr>
        <w:pStyle w:val="BodyText"/>
        <w:spacing w:line="204" w:lineRule="exact"/>
        <w:ind w:left="638"/>
        <w:jc w:val="left"/>
      </w:pPr>
      <w:r>
        <w:rPr>
          <w:color w:val="231F20"/>
        </w:rPr>
        <w:t>Остали принципи су:</w:t>
      </w:r>
    </w:p>
    <w:p>
      <w:pPr>
        <w:pStyle w:val="BodyText"/>
        <w:spacing w:line="232" w:lineRule="auto" w:before="2"/>
        <w:ind w:left="241" w:right="127" w:firstLine="397"/>
      </w:pPr>
      <w:r>
        <w:rPr>
          <w:color w:val="231F20"/>
          <w:w w:val="66"/>
        </w:rPr>
        <w:t> </w:t>
      </w:r>
      <w:r>
        <w:rPr>
          <w:color w:val="231F20"/>
        </w:rPr>
        <w:t>– територијална ефикасност, територијални квалитет и тери- торијални идентитет као основа за раст територијалне конкурент- ности подручја Костолачког басена;</w:t>
      </w:r>
    </w:p>
    <w:p>
      <w:pPr>
        <w:pStyle w:val="BodyText"/>
        <w:spacing w:line="232" w:lineRule="auto" w:before="1"/>
        <w:ind w:left="241" w:right="127" w:firstLine="397"/>
      </w:pPr>
      <w:r>
        <w:rPr>
          <w:color w:val="231F20"/>
          <w:w w:val="66"/>
        </w:rPr>
        <w:t> </w:t>
      </w:r>
      <w:r>
        <w:rPr>
          <w:color w:val="231F20"/>
        </w:rPr>
        <w:t>–</w:t>
      </w:r>
      <w:r>
        <w:rPr>
          <w:color w:val="231F20"/>
          <w:spacing w:val="-10"/>
        </w:rPr>
        <w:t> </w:t>
      </w:r>
      <w:r>
        <w:rPr>
          <w:color w:val="231F20"/>
        </w:rPr>
        <w:t>примена</w:t>
      </w:r>
      <w:r>
        <w:rPr>
          <w:color w:val="231F20"/>
          <w:spacing w:val="-10"/>
        </w:rPr>
        <w:t> </w:t>
      </w:r>
      <w:r>
        <w:rPr>
          <w:color w:val="231F20"/>
        </w:rPr>
        <w:t>принципа</w:t>
      </w:r>
      <w:r>
        <w:rPr>
          <w:color w:val="231F20"/>
          <w:spacing w:val="-10"/>
        </w:rPr>
        <w:t> </w:t>
      </w:r>
      <w:r>
        <w:rPr>
          <w:color w:val="231F20"/>
        </w:rPr>
        <w:t>„полицентричности”</w:t>
      </w:r>
      <w:r>
        <w:rPr>
          <w:color w:val="231F20"/>
          <w:spacing w:val="-10"/>
        </w:rPr>
        <w:t> </w:t>
      </w:r>
      <w:r>
        <w:rPr>
          <w:color w:val="231F20"/>
        </w:rPr>
        <w:t>и</w:t>
      </w:r>
      <w:r>
        <w:rPr>
          <w:color w:val="231F20"/>
          <w:spacing w:val="-10"/>
        </w:rPr>
        <w:t> </w:t>
      </w:r>
      <w:r>
        <w:rPr>
          <w:color w:val="231F20"/>
        </w:rPr>
        <w:t>принципа</w:t>
      </w:r>
      <w:r>
        <w:rPr>
          <w:color w:val="231F20"/>
          <w:spacing w:val="-10"/>
        </w:rPr>
        <w:t> </w:t>
      </w:r>
      <w:r>
        <w:rPr>
          <w:color w:val="231F20"/>
        </w:rPr>
        <w:t>конти- нуитета позитивних трендова у просторној организацији на свим нивоима;</w:t>
      </w:r>
    </w:p>
    <w:p>
      <w:pPr>
        <w:pStyle w:val="BodyText"/>
        <w:spacing w:line="232" w:lineRule="auto" w:before="1"/>
        <w:ind w:left="241" w:right="127" w:firstLine="396"/>
      </w:pPr>
      <w:r>
        <w:rPr>
          <w:color w:val="231F20"/>
          <w:w w:val="66"/>
        </w:rPr>
        <w:t> </w:t>
      </w:r>
      <w:r>
        <w:rPr>
          <w:color w:val="231F20"/>
        </w:rPr>
        <w:t>– транспарентност, интегративност, флексибилност у пре- вођењу општих и оперативних стратешких циљева просторног развоја у низ политика, приоритета, програма, као и у алокацију земљишта за привлачење тржишних и јавних ресурса и њихово укључивање</w:t>
      </w:r>
      <w:r>
        <w:rPr>
          <w:color w:val="231F20"/>
          <w:spacing w:val="-7"/>
        </w:rPr>
        <w:t> </w:t>
      </w:r>
      <w:r>
        <w:rPr>
          <w:color w:val="231F20"/>
        </w:rPr>
        <w:t>у</w:t>
      </w:r>
      <w:r>
        <w:rPr>
          <w:color w:val="231F20"/>
          <w:spacing w:val="-8"/>
        </w:rPr>
        <w:t> </w:t>
      </w:r>
      <w:r>
        <w:rPr>
          <w:color w:val="231F20"/>
        </w:rPr>
        <w:t>територијални</w:t>
      </w:r>
      <w:r>
        <w:rPr>
          <w:color w:val="231F20"/>
          <w:spacing w:val="-7"/>
        </w:rPr>
        <w:t> </w:t>
      </w:r>
      <w:r>
        <w:rPr>
          <w:color w:val="231F20"/>
        </w:rPr>
        <w:t>развој</w:t>
      </w:r>
      <w:r>
        <w:rPr>
          <w:color w:val="231F20"/>
          <w:spacing w:val="-8"/>
        </w:rPr>
        <w:t> </w:t>
      </w:r>
      <w:r>
        <w:rPr>
          <w:color w:val="231F20"/>
        </w:rPr>
        <w:t>у</w:t>
      </w:r>
      <w:r>
        <w:rPr>
          <w:color w:val="231F20"/>
          <w:spacing w:val="-7"/>
        </w:rPr>
        <w:t> </w:t>
      </w:r>
      <w:r>
        <w:rPr>
          <w:color w:val="231F20"/>
        </w:rPr>
        <w:t>складу</w:t>
      </w:r>
      <w:r>
        <w:rPr>
          <w:color w:val="231F20"/>
          <w:spacing w:val="-7"/>
        </w:rPr>
        <w:t> </w:t>
      </w:r>
      <w:r>
        <w:rPr>
          <w:color w:val="231F20"/>
        </w:rPr>
        <w:t>са</w:t>
      </w:r>
      <w:r>
        <w:rPr>
          <w:color w:val="231F20"/>
          <w:spacing w:val="-8"/>
        </w:rPr>
        <w:t> </w:t>
      </w:r>
      <w:r>
        <w:rPr>
          <w:color w:val="231F20"/>
        </w:rPr>
        <w:t>адекватним/новим институционалним оквиром и имплементацијским</w:t>
      </w:r>
      <w:r>
        <w:rPr>
          <w:color w:val="231F20"/>
          <w:spacing w:val="-12"/>
        </w:rPr>
        <w:t> </w:t>
      </w:r>
      <w:r>
        <w:rPr>
          <w:color w:val="231F20"/>
        </w:rPr>
        <w:t>средствима;</w:t>
      </w:r>
    </w:p>
    <w:p>
      <w:pPr>
        <w:pStyle w:val="BodyText"/>
        <w:spacing w:line="201" w:lineRule="exact"/>
        <w:ind w:left="638"/>
        <w:jc w:val="left"/>
      </w:pPr>
      <w:r>
        <w:rPr>
          <w:color w:val="231F20"/>
          <w:w w:val="66"/>
        </w:rPr>
        <w:t> </w:t>
      </w:r>
      <w:r>
        <w:rPr>
          <w:color w:val="231F20"/>
        </w:rPr>
        <w:t>– примена принципа супстидијарности;</w:t>
      </w:r>
    </w:p>
    <w:p>
      <w:pPr>
        <w:pStyle w:val="BodyText"/>
        <w:spacing w:line="232" w:lineRule="auto" w:before="2"/>
        <w:ind w:left="241" w:right="127" w:firstLine="396"/>
      </w:pPr>
      <w:r>
        <w:rPr>
          <w:color w:val="231F20"/>
          <w:w w:val="66"/>
        </w:rPr>
        <w:t> </w:t>
      </w:r>
      <w:r>
        <w:rPr>
          <w:color w:val="231F20"/>
        </w:rPr>
        <w:t>– принципи отворености и доступности инфраструктури, ко- муникацијама, информацијама и знању;</w:t>
      </w:r>
    </w:p>
    <w:p>
      <w:pPr>
        <w:pStyle w:val="BodyText"/>
        <w:spacing w:line="232" w:lineRule="auto"/>
        <w:ind w:left="241" w:right="127" w:firstLine="397"/>
      </w:pPr>
      <w:r>
        <w:rPr>
          <w:color w:val="231F20"/>
          <w:w w:val="66"/>
        </w:rPr>
        <w:t> </w:t>
      </w:r>
      <w:r>
        <w:rPr>
          <w:color w:val="231F20"/>
        </w:rPr>
        <w:t>– принцип да својина, тржишна вредност, права промета и трансакција са земљиштем и другим непокретностима предста- вљају основе коришћења грађевинског земљишта и у складу са тржишним механизмима и планским решењима и законском ре- гулативом и</w:t>
      </w:r>
    </w:p>
    <w:p>
      <w:pPr>
        <w:pStyle w:val="BodyText"/>
        <w:spacing w:line="232" w:lineRule="auto" w:before="2"/>
        <w:ind w:left="240" w:right="128" w:firstLine="397"/>
      </w:pPr>
      <w:r>
        <w:rPr>
          <w:color w:val="231F20"/>
          <w:w w:val="66"/>
        </w:rPr>
        <w:t> </w:t>
      </w:r>
      <w:r>
        <w:rPr>
          <w:color w:val="231F20"/>
        </w:rPr>
        <w:t>– развијање конзистентног мониторинга и оквира знања за праћење</w:t>
      </w:r>
      <w:r>
        <w:rPr>
          <w:color w:val="231F20"/>
          <w:spacing w:val="-7"/>
        </w:rPr>
        <w:t> </w:t>
      </w:r>
      <w:r>
        <w:rPr>
          <w:color w:val="231F20"/>
        </w:rPr>
        <w:t>и</w:t>
      </w:r>
      <w:r>
        <w:rPr>
          <w:color w:val="231F20"/>
          <w:spacing w:val="-7"/>
        </w:rPr>
        <w:t> </w:t>
      </w:r>
      <w:r>
        <w:rPr>
          <w:color w:val="231F20"/>
        </w:rPr>
        <w:t>анализу</w:t>
      </w:r>
      <w:r>
        <w:rPr>
          <w:color w:val="231F20"/>
          <w:spacing w:val="-7"/>
        </w:rPr>
        <w:t> </w:t>
      </w:r>
      <w:r>
        <w:rPr>
          <w:color w:val="231F20"/>
        </w:rPr>
        <w:t>просторног</w:t>
      </w:r>
      <w:r>
        <w:rPr>
          <w:color w:val="231F20"/>
          <w:spacing w:val="-7"/>
        </w:rPr>
        <w:t> </w:t>
      </w:r>
      <w:r>
        <w:rPr>
          <w:color w:val="231F20"/>
        </w:rPr>
        <w:t>развоја</w:t>
      </w:r>
      <w:r>
        <w:rPr>
          <w:color w:val="231F20"/>
          <w:spacing w:val="-7"/>
        </w:rPr>
        <w:t> </w:t>
      </w:r>
      <w:r>
        <w:rPr>
          <w:color w:val="231F20"/>
        </w:rPr>
        <w:t>на</w:t>
      </w:r>
      <w:r>
        <w:rPr>
          <w:color w:val="231F20"/>
          <w:spacing w:val="-7"/>
        </w:rPr>
        <w:t> </w:t>
      </w:r>
      <w:r>
        <w:rPr>
          <w:color w:val="231F20"/>
        </w:rPr>
        <w:t>локалном</w:t>
      </w:r>
      <w:r>
        <w:rPr>
          <w:color w:val="231F20"/>
          <w:spacing w:val="-7"/>
        </w:rPr>
        <w:t> </w:t>
      </w:r>
      <w:r>
        <w:rPr>
          <w:color w:val="231F20"/>
        </w:rPr>
        <w:t>и</w:t>
      </w:r>
      <w:r>
        <w:rPr>
          <w:color w:val="231F20"/>
          <w:spacing w:val="-7"/>
        </w:rPr>
        <w:t> </w:t>
      </w:r>
      <w:r>
        <w:rPr>
          <w:color w:val="231F20"/>
        </w:rPr>
        <w:t>регионалном </w:t>
      </w:r>
      <w:r>
        <w:rPr>
          <w:color w:val="231F20"/>
          <w:spacing w:val="-5"/>
        </w:rPr>
        <w:t>нивоу.</w:t>
      </w:r>
    </w:p>
    <w:p>
      <w:pPr>
        <w:pStyle w:val="ListParagraph"/>
        <w:numPr>
          <w:ilvl w:val="2"/>
          <w:numId w:val="24"/>
        </w:numPr>
        <w:tabs>
          <w:tab w:pos="560" w:val="left" w:leader="none"/>
        </w:tabs>
        <w:spacing w:line="240" w:lineRule="auto" w:before="166" w:after="0"/>
        <w:ind w:left="559" w:right="0" w:hanging="315"/>
        <w:jc w:val="left"/>
        <w:rPr>
          <w:i/>
          <w:sz w:val="18"/>
        </w:rPr>
      </w:pPr>
      <w:r>
        <w:rPr>
          <w:i/>
          <w:color w:val="231F20"/>
          <w:sz w:val="18"/>
        </w:rPr>
        <w:t>Полазишта за решавање развојних и просторних</w:t>
      </w:r>
      <w:r>
        <w:rPr>
          <w:i/>
          <w:color w:val="231F20"/>
          <w:spacing w:val="-23"/>
          <w:sz w:val="18"/>
        </w:rPr>
        <w:t> </w:t>
      </w:r>
      <w:r>
        <w:rPr>
          <w:i/>
          <w:color w:val="231F20"/>
          <w:sz w:val="18"/>
        </w:rPr>
        <w:t>конфликата</w:t>
      </w:r>
    </w:p>
    <w:p>
      <w:pPr>
        <w:pStyle w:val="BodyText"/>
        <w:spacing w:before="4"/>
        <w:ind w:left="0"/>
        <w:jc w:val="left"/>
        <w:rPr>
          <w:i/>
          <w:sz w:val="17"/>
        </w:rPr>
      </w:pPr>
    </w:p>
    <w:p>
      <w:pPr>
        <w:pStyle w:val="BodyText"/>
        <w:spacing w:line="232" w:lineRule="auto" w:before="1"/>
        <w:ind w:left="240" w:right="128" w:firstLine="397"/>
      </w:pPr>
      <w:r>
        <w:rPr>
          <w:color w:val="231F20"/>
        </w:rPr>
        <w:t>Основни </w:t>
      </w:r>
      <w:r>
        <w:rPr>
          <w:color w:val="231F20"/>
          <w:spacing w:val="-4"/>
        </w:rPr>
        <w:t>конфликт </w:t>
      </w:r>
      <w:r>
        <w:rPr>
          <w:color w:val="231F20"/>
        </w:rPr>
        <w:t>на </w:t>
      </w:r>
      <w:r>
        <w:rPr>
          <w:color w:val="231F20"/>
          <w:spacing w:val="-3"/>
        </w:rPr>
        <w:t>Планском </w:t>
      </w:r>
      <w:r>
        <w:rPr>
          <w:color w:val="231F20"/>
        </w:rPr>
        <w:t>подручју јавља се између </w:t>
      </w:r>
      <w:r>
        <w:rPr>
          <w:color w:val="231F20"/>
          <w:spacing w:val="-3"/>
        </w:rPr>
        <w:t>рударства </w:t>
      </w:r>
      <w:r>
        <w:rPr>
          <w:color w:val="231F20"/>
        </w:rPr>
        <w:t>и пољопривреде, односно, (површинске) експлоатације лигнита и </w:t>
      </w:r>
      <w:r>
        <w:rPr>
          <w:color w:val="231F20"/>
          <w:spacing w:val="-2"/>
        </w:rPr>
        <w:t>коришћења </w:t>
      </w:r>
      <w:r>
        <w:rPr>
          <w:color w:val="231F20"/>
        </w:rPr>
        <w:t>пољопривредног земљишта високе плодно- сти </w:t>
      </w:r>
      <w:r>
        <w:rPr>
          <w:color w:val="231F20"/>
          <w:spacing w:val="-4"/>
        </w:rPr>
        <w:t>које </w:t>
      </w:r>
      <w:r>
        <w:rPr>
          <w:color w:val="231F20"/>
        </w:rPr>
        <w:t>се налази изнад лигнитског лежишта. У </w:t>
      </w:r>
      <w:r>
        <w:rPr>
          <w:color w:val="231F20"/>
          <w:spacing w:val="-3"/>
        </w:rPr>
        <w:t>догледно </w:t>
      </w:r>
      <w:r>
        <w:rPr>
          <w:color w:val="231F20"/>
        </w:rPr>
        <w:t>време не очекује се замена постојеће технологије експлоатације лигнита </w:t>
      </w:r>
      <w:r>
        <w:rPr>
          <w:color w:val="231F20"/>
          <w:spacing w:val="-4"/>
        </w:rPr>
        <w:t>неком </w:t>
      </w:r>
      <w:r>
        <w:rPr>
          <w:color w:val="231F20"/>
        </w:rPr>
        <w:t>новом, </w:t>
      </w:r>
      <w:r>
        <w:rPr>
          <w:color w:val="231F20"/>
          <w:spacing w:val="-4"/>
        </w:rPr>
        <w:t>која </w:t>
      </w:r>
      <w:r>
        <w:rPr>
          <w:color w:val="231F20"/>
        </w:rPr>
        <w:t>би овај </w:t>
      </w:r>
      <w:r>
        <w:rPr>
          <w:color w:val="231F20"/>
          <w:spacing w:val="-4"/>
        </w:rPr>
        <w:t>конфликт </w:t>
      </w:r>
      <w:r>
        <w:rPr>
          <w:color w:val="231F20"/>
        </w:rPr>
        <w:t>ублажила. </w:t>
      </w:r>
      <w:r>
        <w:rPr>
          <w:color w:val="231F20"/>
          <w:spacing w:val="-3"/>
        </w:rPr>
        <w:t>Стога </w:t>
      </w:r>
      <w:r>
        <w:rPr>
          <w:color w:val="231F20"/>
        </w:rPr>
        <w:t>је </w:t>
      </w:r>
      <w:r>
        <w:rPr>
          <w:color w:val="231F20"/>
          <w:spacing w:val="-3"/>
        </w:rPr>
        <w:t>неопходно </w:t>
      </w:r>
      <w:r>
        <w:rPr>
          <w:color w:val="231F20"/>
        </w:rPr>
        <w:t>при</w:t>
      </w:r>
      <w:r>
        <w:rPr>
          <w:color w:val="231F20"/>
          <w:spacing w:val="-13"/>
        </w:rPr>
        <w:t> </w:t>
      </w:r>
      <w:r>
        <w:rPr>
          <w:color w:val="231F20"/>
        </w:rPr>
        <w:t>планирању</w:t>
      </w:r>
      <w:r>
        <w:rPr>
          <w:color w:val="231F20"/>
          <w:spacing w:val="-13"/>
        </w:rPr>
        <w:t> </w:t>
      </w:r>
      <w:r>
        <w:rPr>
          <w:color w:val="231F20"/>
          <w:spacing w:val="-4"/>
        </w:rPr>
        <w:t>будуће</w:t>
      </w:r>
      <w:r>
        <w:rPr>
          <w:color w:val="231F20"/>
          <w:spacing w:val="-13"/>
        </w:rPr>
        <w:t> </w:t>
      </w:r>
      <w:r>
        <w:rPr>
          <w:color w:val="231F20"/>
        </w:rPr>
        <w:t>експлоатације</w:t>
      </w:r>
      <w:r>
        <w:rPr>
          <w:color w:val="231F20"/>
          <w:spacing w:val="-13"/>
        </w:rPr>
        <w:t> </w:t>
      </w:r>
      <w:r>
        <w:rPr>
          <w:color w:val="231F20"/>
          <w:spacing w:val="-3"/>
        </w:rPr>
        <w:t>имати</w:t>
      </w:r>
      <w:r>
        <w:rPr>
          <w:color w:val="231F20"/>
          <w:spacing w:val="-13"/>
        </w:rPr>
        <w:t> </w:t>
      </w:r>
      <w:r>
        <w:rPr>
          <w:color w:val="231F20"/>
        </w:rPr>
        <w:t>у</w:t>
      </w:r>
      <w:r>
        <w:rPr>
          <w:color w:val="231F20"/>
          <w:spacing w:val="-13"/>
        </w:rPr>
        <w:t> </w:t>
      </w:r>
      <w:r>
        <w:rPr>
          <w:color w:val="231F20"/>
        </w:rPr>
        <w:t>виду</w:t>
      </w:r>
      <w:r>
        <w:rPr>
          <w:color w:val="231F20"/>
          <w:spacing w:val="-13"/>
        </w:rPr>
        <w:t> </w:t>
      </w:r>
      <w:r>
        <w:rPr>
          <w:color w:val="231F20"/>
        </w:rPr>
        <w:t>следеће</w:t>
      </w:r>
      <w:r>
        <w:rPr>
          <w:color w:val="231F20"/>
          <w:spacing w:val="-13"/>
        </w:rPr>
        <w:t> </w:t>
      </w:r>
      <w:r>
        <w:rPr>
          <w:color w:val="231F20"/>
        </w:rPr>
        <w:t>захтеве:</w:t>
      </w:r>
    </w:p>
    <w:p>
      <w:pPr>
        <w:pStyle w:val="BodyText"/>
        <w:spacing w:line="232" w:lineRule="auto" w:before="2"/>
        <w:ind w:left="240" w:right="128" w:firstLine="396"/>
      </w:pPr>
      <w:r>
        <w:rPr>
          <w:color w:val="231F20"/>
          <w:w w:val="66"/>
        </w:rPr>
        <w:t> </w:t>
      </w:r>
      <w:r>
        <w:rPr>
          <w:color w:val="231F20"/>
        </w:rPr>
        <w:t>– обезбедити потребне институционалне, организационе, техничко-технолошке и друге претпоставке за што ефикасније спровођење поступака рекултивације оштећеног земљишта и ње- говог што бржег привођења трајној намени;</w:t>
      </w:r>
    </w:p>
    <w:p>
      <w:pPr>
        <w:pStyle w:val="BodyText"/>
        <w:spacing w:line="232" w:lineRule="auto" w:before="1"/>
        <w:ind w:left="240" w:right="128" w:firstLine="396"/>
      </w:pPr>
      <w:r>
        <w:rPr>
          <w:color w:val="231F20"/>
          <w:w w:val="66"/>
        </w:rPr>
        <w:t> </w:t>
      </w:r>
      <w:r>
        <w:rPr>
          <w:color w:val="231F20"/>
        </w:rPr>
        <w:t>– време заузимања земљишта за потребе </w:t>
      </w:r>
      <w:r>
        <w:rPr>
          <w:color w:val="231F20"/>
          <w:spacing w:val="-3"/>
        </w:rPr>
        <w:t>рударства </w:t>
      </w:r>
      <w:r>
        <w:rPr>
          <w:color w:val="231F20"/>
        </w:rPr>
        <w:t>свести на што краћи временски период;</w:t>
      </w:r>
    </w:p>
    <w:p>
      <w:pPr>
        <w:spacing w:after="0" w:line="232" w:lineRule="auto"/>
        <w:sectPr>
          <w:pgSz w:w="12480" w:h="15690"/>
          <w:pgMar w:top="120" w:bottom="280" w:left="680" w:right="720"/>
          <w:cols w:num="2" w:equalWidth="0">
            <w:col w:w="5559" w:space="40"/>
            <w:col w:w="5481"/>
          </w:cols>
        </w:sectPr>
      </w:pPr>
    </w:p>
    <w:p>
      <w:pPr>
        <w:pStyle w:val="BodyText"/>
        <w:spacing w:line="232" w:lineRule="auto" w:before="73"/>
        <w:ind w:right="40" w:firstLine="397"/>
      </w:pPr>
      <w:r>
        <w:rPr/>
        <w:pict>
          <v:line style="position:absolute;mso-position-horizontal-relative:page;mso-position-vertical-relative:page;z-index:2080" from="304.724396pt,11.942451pt" to="304.724396pt,748.950451pt" stroked="true" strokeweight=".6pt" strokecolor="#231f20">
            <v:stroke dashstyle="solid"/>
            <w10:wrap type="none"/>
          </v:line>
        </w:pict>
      </w:r>
      <w:r>
        <w:rPr>
          <w:color w:val="231F20"/>
          <w:w w:val="66"/>
        </w:rPr>
        <w:t> </w:t>
      </w:r>
      <w:r>
        <w:rPr>
          <w:color w:val="231F20"/>
        </w:rPr>
        <w:t>– у наредном периоду користити искључиво унутрашња од- лагалишта за депоновање откривке;</w:t>
      </w:r>
    </w:p>
    <w:p>
      <w:pPr>
        <w:pStyle w:val="BodyText"/>
        <w:spacing w:line="232" w:lineRule="auto"/>
        <w:ind w:right="39" w:firstLine="396"/>
      </w:pPr>
      <w:r>
        <w:rPr>
          <w:color w:val="231F20"/>
          <w:w w:val="66"/>
        </w:rPr>
        <w:t> </w:t>
      </w:r>
      <w:r>
        <w:rPr>
          <w:color w:val="231F20"/>
        </w:rPr>
        <w:t>– размак између фронта откопа и фронта рекултивације све- сти, такође, на неопходни минимум који неће угрозити нормалну производњу и</w:t>
      </w:r>
    </w:p>
    <w:p>
      <w:pPr>
        <w:pStyle w:val="BodyText"/>
        <w:spacing w:line="232" w:lineRule="auto"/>
        <w:ind w:left="169" w:right="40" w:firstLine="397"/>
      </w:pPr>
      <w:r>
        <w:rPr>
          <w:color w:val="231F20"/>
          <w:w w:val="66"/>
        </w:rPr>
        <w:t> </w:t>
      </w:r>
      <w:r>
        <w:rPr>
          <w:color w:val="231F20"/>
        </w:rPr>
        <w:t>–</w:t>
      </w:r>
      <w:r>
        <w:rPr>
          <w:color w:val="231F20"/>
          <w:spacing w:val="-7"/>
        </w:rPr>
        <w:t> </w:t>
      </w:r>
      <w:r>
        <w:rPr>
          <w:color w:val="231F20"/>
        </w:rPr>
        <w:t>процес</w:t>
      </w:r>
      <w:r>
        <w:rPr>
          <w:color w:val="231F20"/>
          <w:spacing w:val="-7"/>
        </w:rPr>
        <w:t> </w:t>
      </w:r>
      <w:r>
        <w:rPr>
          <w:color w:val="231F20"/>
        </w:rPr>
        <w:t>рекултивације</w:t>
      </w:r>
      <w:r>
        <w:rPr>
          <w:color w:val="231F20"/>
          <w:spacing w:val="-7"/>
        </w:rPr>
        <w:t> </w:t>
      </w:r>
      <w:r>
        <w:rPr>
          <w:color w:val="231F20"/>
        </w:rPr>
        <w:t>и</w:t>
      </w:r>
      <w:r>
        <w:rPr>
          <w:color w:val="231F20"/>
          <w:spacing w:val="-7"/>
        </w:rPr>
        <w:t> </w:t>
      </w:r>
      <w:r>
        <w:rPr>
          <w:color w:val="231F20"/>
        </w:rPr>
        <w:t>обнављања</w:t>
      </w:r>
      <w:r>
        <w:rPr>
          <w:color w:val="231F20"/>
          <w:spacing w:val="-7"/>
        </w:rPr>
        <w:t> </w:t>
      </w:r>
      <w:r>
        <w:rPr>
          <w:color w:val="231F20"/>
        </w:rPr>
        <w:t>репродуктивног</w:t>
      </w:r>
      <w:r>
        <w:rPr>
          <w:color w:val="231F20"/>
          <w:spacing w:val="-7"/>
        </w:rPr>
        <w:t> </w:t>
      </w:r>
      <w:r>
        <w:rPr>
          <w:color w:val="231F20"/>
        </w:rPr>
        <w:t>потен- цијала земљишта обављати на основу темељно урађених дугороч- них и оперативних планова и</w:t>
      </w:r>
      <w:r>
        <w:rPr>
          <w:color w:val="231F20"/>
          <w:spacing w:val="-7"/>
        </w:rPr>
        <w:t> </w:t>
      </w:r>
      <w:r>
        <w:rPr>
          <w:color w:val="231F20"/>
        </w:rPr>
        <w:t>пројеката.</w:t>
      </w:r>
    </w:p>
    <w:p>
      <w:pPr>
        <w:pStyle w:val="BodyText"/>
        <w:spacing w:line="232" w:lineRule="auto"/>
        <w:ind w:left="169" w:right="39" w:firstLine="396"/>
      </w:pPr>
      <w:r>
        <w:rPr>
          <w:color w:val="231F20"/>
        </w:rPr>
        <w:t>Други значајан конфликт јавља се између рударства и по- стојећих насеља, као и индустријских, инфраструктурних, водо- привредних, вредних културних (Виминацијум и друго) и других објеката, који се налазе у зонама планиране површинске експлоа- тације.</w:t>
      </w:r>
    </w:p>
    <w:p>
      <w:pPr>
        <w:pStyle w:val="BodyText"/>
        <w:spacing w:line="232" w:lineRule="auto"/>
        <w:ind w:left="169" w:right="40" w:firstLine="396"/>
      </w:pPr>
      <w:r>
        <w:rPr>
          <w:color w:val="231F20"/>
        </w:rPr>
        <w:t>Неопходно је имати у виду неколико принципа као полази- шта за решавање овог проблема:</w:t>
      </w:r>
    </w:p>
    <w:p>
      <w:pPr>
        <w:pStyle w:val="BodyText"/>
        <w:spacing w:line="232" w:lineRule="auto"/>
        <w:ind w:left="169" w:right="40" w:firstLine="396"/>
      </w:pPr>
      <w:r>
        <w:rPr>
          <w:color w:val="231F20"/>
          <w:w w:val="66"/>
        </w:rPr>
        <w:t> </w:t>
      </w:r>
      <w:r>
        <w:rPr>
          <w:color w:val="231F20"/>
        </w:rPr>
        <w:t>– становништву </w:t>
      </w:r>
      <w:r>
        <w:rPr>
          <w:color w:val="231F20"/>
          <w:spacing w:val="-3"/>
        </w:rPr>
        <w:t>које </w:t>
      </w:r>
      <w:r>
        <w:rPr>
          <w:color w:val="231F20"/>
        </w:rPr>
        <w:t>се пресељава и/или остаје без</w:t>
      </w:r>
      <w:r>
        <w:rPr>
          <w:color w:val="231F20"/>
          <w:spacing w:val="-28"/>
        </w:rPr>
        <w:t> </w:t>
      </w:r>
      <w:r>
        <w:rPr>
          <w:color w:val="231F20"/>
        </w:rPr>
        <w:t>пољопри- вредног</w:t>
      </w:r>
      <w:r>
        <w:rPr>
          <w:color w:val="231F20"/>
          <w:spacing w:val="-6"/>
        </w:rPr>
        <w:t> </w:t>
      </w:r>
      <w:r>
        <w:rPr>
          <w:color w:val="231F20"/>
        </w:rPr>
        <w:t>земљишта</w:t>
      </w:r>
      <w:r>
        <w:rPr>
          <w:color w:val="231F20"/>
          <w:spacing w:val="-6"/>
        </w:rPr>
        <w:t> </w:t>
      </w:r>
      <w:r>
        <w:rPr>
          <w:color w:val="231F20"/>
        </w:rPr>
        <w:t>нужно</w:t>
      </w:r>
      <w:r>
        <w:rPr>
          <w:color w:val="231F20"/>
          <w:spacing w:val="-6"/>
        </w:rPr>
        <w:t> </w:t>
      </w:r>
      <w:r>
        <w:rPr>
          <w:color w:val="231F20"/>
        </w:rPr>
        <w:t>је</w:t>
      </w:r>
      <w:r>
        <w:rPr>
          <w:color w:val="231F20"/>
          <w:spacing w:val="-6"/>
        </w:rPr>
        <w:t> </w:t>
      </w:r>
      <w:r>
        <w:rPr>
          <w:color w:val="231F20"/>
        </w:rPr>
        <w:t>понудити</w:t>
      </w:r>
      <w:r>
        <w:rPr>
          <w:color w:val="231F20"/>
          <w:spacing w:val="-6"/>
        </w:rPr>
        <w:t> </w:t>
      </w:r>
      <w:r>
        <w:rPr>
          <w:color w:val="231F20"/>
        </w:rPr>
        <w:t>могућност</w:t>
      </w:r>
      <w:r>
        <w:rPr>
          <w:color w:val="231F20"/>
          <w:spacing w:val="-6"/>
        </w:rPr>
        <w:t> </w:t>
      </w:r>
      <w:r>
        <w:rPr>
          <w:color w:val="231F20"/>
        </w:rPr>
        <w:t>избора</w:t>
      </w:r>
      <w:r>
        <w:rPr>
          <w:color w:val="231F20"/>
          <w:spacing w:val="-6"/>
        </w:rPr>
        <w:t> </w:t>
      </w:r>
      <w:r>
        <w:rPr>
          <w:color w:val="231F20"/>
        </w:rPr>
        <w:t>у</w:t>
      </w:r>
      <w:r>
        <w:rPr>
          <w:color w:val="231F20"/>
          <w:spacing w:val="-6"/>
        </w:rPr>
        <w:t> </w:t>
      </w:r>
      <w:r>
        <w:rPr>
          <w:color w:val="231F20"/>
          <w:spacing w:val="-3"/>
        </w:rPr>
        <w:t>погледу </w:t>
      </w:r>
      <w:r>
        <w:rPr>
          <w:color w:val="231F20"/>
        </w:rPr>
        <w:t>услова накнаде, односно места насељавања, уступања другог по- љопривредног земљишта и</w:t>
      </w:r>
      <w:r>
        <w:rPr>
          <w:color w:val="231F20"/>
          <w:spacing w:val="-3"/>
        </w:rPr>
        <w:t> </w:t>
      </w:r>
      <w:r>
        <w:rPr>
          <w:color w:val="231F20"/>
        </w:rPr>
        <w:t>слично;</w:t>
      </w:r>
    </w:p>
    <w:p>
      <w:pPr>
        <w:pStyle w:val="BodyText"/>
        <w:spacing w:line="232" w:lineRule="auto"/>
        <w:ind w:left="169" w:right="40" w:firstLine="397"/>
      </w:pPr>
      <w:r>
        <w:rPr>
          <w:color w:val="231F20"/>
          <w:w w:val="66"/>
        </w:rPr>
        <w:t> </w:t>
      </w:r>
      <w:r>
        <w:rPr>
          <w:color w:val="231F20"/>
        </w:rPr>
        <w:t>– програм измештања насељских, индустријских, инфра- структурних и других објеката мора да обезбеди функционисање постојећих система до потпуног оспособљавања нових;</w:t>
      </w:r>
    </w:p>
    <w:p>
      <w:pPr>
        <w:pStyle w:val="BodyText"/>
        <w:spacing w:line="232" w:lineRule="auto"/>
        <w:ind w:left="169" w:right="40" w:firstLine="396"/>
      </w:pPr>
      <w:r>
        <w:rPr>
          <w:color w:val="231F20"/>
          <w:w w:val="66"/>
        </w:rPr>
        <w:t> </w:t>
      </w:r>
      <w:r>
        <w:rPr>
          <w:color w:val="231F20"/>
        </w:rPr>
        <w:t>– с обзиром на квалитет пољопривредног земљишта, као и преовлађујући</w:t>
      </w:r>
      <w:r>
        <w:rPr>
          <w:color w:val="231F20"/>
          <w:spacing w:val="-8"/>
        </w:rPr>
        <w:t> </w:t>
      </w:r>
      <w:r>
        <w:rPr>
          <w:color w:val="231F20"/>
          <w:spacing w:val="-3"/>
        </w:rPr>
        <w:t>удео</w:t>
      </w:r>
      <w:r>
        <w:rPr>
          <w:color w:val="231F20"/>
          <w:spacing w:val="-8"/>
        </w:rPr>
        <w:t> </w:t>
      </w:r>
      <w:r>
        <w:rPr>
          <w:color w:val="231F20"/>
        </w:rPr>
        <w:t>пољопривредних</w:t>
      </w:r>
      <w:r>
        <w:rPr>
          <w:color w:val="231F20"/>
          <w:spacing w:val="-8"/>
        </w:rPr>
        <w:t> </w:t>
      </w:r>
      <w:r>
        <w:rPr>
          <w:color w:val="231F20"/>
        </w:rPr>
        <w:t>домаћинстава</w:t>
      </w:r>
      <w:r>
        <w:rPr>
          <w:color w:val="231F20"/>
          <w:spacing w:val="-8"/>
        </w:rPr>
        <w:t> </w:t>
      </w:r>
      <w:r>
        <w:rPr>
          <w:color w:val="231F20"/>
        </w:rPr>
        <w:t>у</w:t>
      </w:r>
      <w:r>
        <w:rPr>
          <w:color w:val="231F20"/>
          <w:spacing w:val="-8"/>
        </w:rPr>
        <w:t> </w:t>
      </w:r>
      <w:r>
        <w:rPr>
          <w:color w:val="231F20"/>
        </w:rPr>
        <w:t>насељима</w:t>
      </w:r>
      <w:r>
        <w:rPr>
          <w:color w:val="231F20"/>
          <w:spacing w:val="-8"/>
        </w:rPr>
        <w:t> </w:t>
      </w:r>
      <w:r>
        <w:rPr>
          <w:color w:val="231F20"/>
        </w:rPr>
        <w:t>на </w:t>
      </w:r>
      <w:r>
        <w:rPr>
          <w:color w:val="231F20"/>
          <w:spacing w:val="-4"/>
        </w:rPr>
        <w:t>лигниту, </w:t>
      </w:r>
      <w:r>
        <w:rPr>
          <w:color w:val="231F20"/>
        </w:rPr>
        <w:t>потребно је обезбедити услове за замену пољопривред- ног земљишта тим домаћинствима</w:t>
      </w:r>
      <w:r>
        <w:rPr>
          <w:color w:val="231F20"/>
          <w:spacing w:val="-3"/>
        </w:rPr>
        <w:t> </w:t>
      </w:r>
      <w:r>
        <w:rPr>
          <w:color w:val="231F20"/>
        </w:rPr>
        <w:t>и</w:t>
      </w:r>
    </w:p>
    <w:p>
      <w:pPr>
        <w:pStyle w:val="BodyText"/>
        <w:spacing w:line="232" w:lineRule="auto"/>
        <w:ind w:left="169" w:right="40" w:firstLine="396"/>
      </w:pPr>
      <w:r>
        <w:rPr>
          <w:color w:val="231F20"/>
          <w:w w:val="66"/>
        </w:rPr>
        <w:t> </w:t>
      </w:r>
      <w:r>
        <w:rPr>
          <w:color w:val="231F20"/>
        </w:rPr>
        <w:t>–</w:t>
      </w:r>
      <w:r>
        <w:rPr>
          <w:color w:val="231F20"/>
          <w:spacing w:val="-7"/>
        </w:rPr>
        <w:t> </w:t>
      </w:r>
      <w:r>
        <w:rPr>
          <w:color w:val="231F20"/>
        </w:rPr>
        <w:t>потребно</w:t>
      </w:r>
      <w:r>
        <w:rPr>
          <w:color w:val="231F20"/>
          <w:spacing w:val="-7"/>
        </w:rPr>
        <w:t> </w:t>
      </w:r>
      <w:r>
        <w:rPr>
          <w:color w:val="231F20"/>
        </w:rPr>
        <w:t>је</w:t>
      </w:r>
      <w:r>
        <w:rPr>
          <w:color w:val="231F20"/>
          <w:spacing w:val="-7"/>
        </w:rPr>
        <w:t> </w:t>
      </w:r>
      <w:r>
        <w:rPr>
          <w:color w:val="231F20"/>
        </w:rPr>
        <w:t>обезбедити</w:t>
      </w:r>
      <w:r>
        <w:rPr>
          <w:color w:val="231F20"/>
          <w:spacing w:val="-7"/>
        </w:rPr>
        <w:t> </w:t>
      </w:r>
      <w:r>
        <w:rPr>
          <w:color w:val="231F20"/>
        </w:rPr>
        <w:t>прихватљиве</w:t>
      </w:r>
      <w:r>
        <w:rPr>
          <w:color w:val="231F20"/>
          <w:spacing w:val="-7"/>
        </w:rPr>
        <w:t> </w:t>
      </w:r>
      <w:r>
        <w:rPr>
          <w:color w:val="231F20"/>
        </w:rPr>
        <w:t>услове</w:t>
      </w:r>
      <w:r>
        <w:rPr>
          <w:color w:val="231F20"/>
          <w:spacing w:val="-7"/>
        </w:rPr>
        <w:t> </w:t>
      </w:r>
      <w:r>
        <w:rPr>
          <w:color w:val="231F20"/>
        </w:rPr>
        <w:t>за</w:t>
      </w:r>
      <w:r>
        <w:rPr>
          <w:color w:val="231F20"/>
          <w:spacing w:val="-7"/>
        </w:rPr>
        <w:t> </w:t>
      </w:r>
      <w:r>
        <w:rPr>
          <w:color w:val="231F20"/>
        </w:rPr>
        <w:t>живот</w:t>
      </w:r>
      <w:r>
        <w:rPr>
          <w:color w:val="231F20"/>
          <w:spacing w:val="-7"/>
        </w:rPr>
        <w:t> </w:t>
      </w:r>
      <w:r>
        <w:rPr>
          <w:color w:val="231F20"/>
        </w:rPr>
        <w:t>и</w:t>
      </w:r>
      <w:r>
        <w:rPr>
          <w:color w:val="231F20"/>
          <w:spacing w:val="-7"/>
        </w:rPr>
        <w:t> </w:t>
      </w:r>
      <w:r>
        <w:rPr>
          <w:color w:val="231F20"/>
        </w:rPr>
        <w:t>рад у насељима </w:t>
      </w:r>
      <w:r>
        <w:rPr>
          <w:color w:val="231F20"/>
          <w:spacing w:val="-3"/>
        </w:rPr>
        <w:t>која </w:t>
      </w:r>
      <w:r>
        <w:rPr>
          <w:color w:val="231F20"/>
        </w:rPr>
        <w:t>се налазе у непосредној близини рударско-енер- гетског</w:t>
      </w:r>
      <w:r>
        <w:rPr>
          <w:color w:val="231F20"/>
          <w:spacing w:val="-1"/>
        </w:rPr>
        <w:t> </w:t>
      </w:r>
      <w:r>
        <w:rPr>
          <w:color w:val="231F20"/>
          <w:spacing w:val="-3"/>
        </w:rPr>
        <w:t>комплекса.</w:t>
      </w:r>
    </w:p>
    <w:p>
      <w:pPr>
        <w:pStyle w:val="BodyText"/>
        <w:spacing w:line="232" w:lineRule="auto"/>
        <w:ind w:left="169" w:right="40" w:firstLine="397"/>
      </w:pPr>
      <w:r>
        <w:rPr>
          <w:color w:val="231F20"/>
          <w:spacing w:val="-3"/>
        </w:rPr>
        <w:t>Археолошко </w:t>
      </w:r>
      <w:r>
        <w:rPr>
          <w:color w:val="231F20"/>
        </w:rPr>
        <w:t>налазиште Виминацијум, као и неки други ло- калитети, налазе се у границама источног и централног лигнит- </w:t>
      </w:r>
      <w:r>
        <w:rPr>
          <w:color w:val="231F20"/>
          <w:spacing w:val="-3"/>
        </w:rPr>
        <w:t>ског </w:t>
      </w:r>
      <w:r>
        <w:rPr>
          <w:color w:val="231F20"/>
        </w:rPr>
        <w:t>лежишта и у истражном и перспективном простору нафте и гаса. </w:t>
      </w:r>
      <w:r>
        <w:rPr>
          <w:color w:val="231F20"/>
          <w:spacing w:val="-3"/>
        </w:rPr>
        <w:t>Одлуком </w:t>
      </w:r>
      <w:r>
        <w:rPr>
          <w:color w:val="231F20"/>
        </w:rPr>
        <w:t>Владе утврђене су границе и режими коришћења подручја</w:t>
      </w:r>
      <w:r>
        <w:rPr>
          <w:color w:val="231F20"/>
          <w:spacing w:val="-7"/>
        </w:rPr>
        <w:t> </w:t>
      </w:r>
      <w:r>
        <w:rPr>
          <w:color w:val="231F20"/>
        </w:rPr>
        <w:t>археолошког</w:t>
      </w:r>
      <w:r>
        <w:rPr>
          <w:color w:val="231F20"/>
          <w:spacing w:val="-6"/>
        </w:rPr>
        <w:t> </w:t>
      </w:r>
      <w:r>
        <w:rPr>
          <w:color w:val="231F20"/>
        </w:rPr>
        <w:t>налазишта</w:t>
      </w:r>
      <w:r>
        <w:rPr>
          <w:color w:val="231F20"/>
          <w:spacing w:val="-6"/>
        </w:rPr>
        <w:t> </w:t>
      </w:r>
      <w:r>
        <w:rPr>
          <w:color w:val="231F20"/>
        </w:rPr>
        <w:t>Виминацијум,</w:t>
      </w:r>
      <w:r>
        <w:rPr>
          <w:color w:val="231F20"/>
          <w:spacing w:val="-6"/>
        </w:rPr>
        <w:t> </w:t>
      </w:r>
      <w:r>
        <w:rPr>
          <w:color w:val="231F20"/>
        </w:rPr>
        <w:t>као</w:t>
      </w:r>
      <w:r>
        <w:rPr>
          <w:color w:val="231F20"/>
          <w:spacing w:val="-6"/>
        </w:rPr>
        <w:t> </w:t>
      </w:r>
      <w:r>
        <w:rPr>
          <w:color w:val="231F20"/>
        </w:rPr>
        <w:t>и</w:t>
      </w:r>
      <w:r>
        <w:rPr>
          <w:color w:val="231F20"/>
          <w:spacing w:val="-7"/>
        </w:rPr>
        <w:t> </w:t>
      </w:r>
      <w:r>
        <w:rPr>
          <w:color w:val="231F20"/>
        </w:rPr>
        <w:t>шира</w:t>
      </w:r>
      <w:r>
        <w:rPr>
          <w:color w:val="231F20"/>
          <w:spacing w:val="-6"/>
        </w:rPr>
        <w:t> </w:t>
      </w:r>
      <w:r>
        <w:rPr>
          <w:color w:val="231F20"/>
        </w:rPr>
        <w:t>зона</w:t>
      </w:r>
      <w:r>
        <w:rPr>
          <w:color w:val="231F20"/>
          <w:spacing w:val="-7"/>
        </w:rPr>
        <w:t> </w:t>
      </w:r>
      <w:r>
        <w:rPr>
          <w:color w:val="231F20"/>
        </w:rPr>
        <w:t>у којој</w:t>
      </w:r>
      <w:r>
        <w:rPr>
          <w:color w:val="231F20"/>
          <w:spacing w:val="-9"/>
        </w:rPr>
        <w:t> </w:t>
      </w:r>
      <w:r>
        <w:rPr>
          <w:color w:val="231F20"/>
        </w:rPr>
        <w:t>ће</w:t>
      </w:r>
      <w:r>
        <w:rPr>
          <w:color w:val="231F20"/>
          <w:spacing w:val="-9"/>
        </w:rPr>
        <w:t> </w:t>
      </w:r>
      <w:r>
        <w:rPr>
          <w:color w:val="231F20"/>
        </w:rPr>
        <w:t>бити</w:t>
      </w:r>
      <w:r>
        <w:rPr>
          <w:color w:val="231F20"/>
          <w:spacing w:val="-9"/>
        </w:rPr>
        <w:t> </w:t>
      </w:r>
      <w:r>
        <w:rPr>
          <w:color w:val="231F20"/>
        </w:rPr>
        <w:t>настављена</w:t>
      </w:r>
      <w:r>
        <w:rPr>
          <w:color w:val="231F20"/>
          <w:spacing w:val="-9"/>
        </w:rPr>
        <w:t> </w:t>
      </w:r>
      <w:r>
        <w:rPr>
          <w:color w:val="231F20"/>
        </w:rPr>
        <w:t>археолошка</w:t>
      </w:r>
      <w:r>
        <w:rPr>
          <w:color w:val="231F20"/>
          <w:spacing w:val="-9"/>
        </w:rPr>
        <w:t> </w:t>
      </w:r>
      <w:r>
        <w:rPr>
          <w:color w:val="231F20"/>
        </w:rPr>
        <w:t>истраживања.</w:t>
      </w:r>
      <w:r>
        <w:rPr>
          <w:color w:val="231F20"/>
          <w:spacing w:val="-9"/>
        </w:rPr>
        <w:t> </w:t>
      </w:r>
      <w:r>
        <w:rPr>
          <w:color w:val="231F20"/>
        </w:rPr>
        <w:t>Постоји,</w:t>
      </w:r>
      <w:r>
        <w:rPr>
          <w:color w:val="231F20"/>
          <w:spacing w:val="-9"/>
        </w:rPr>
        <w:t> </w:t>
      </w:r>
      <w:r>
        <w:rPr>
          <w:color w:val="231F20"/>
        </w:rPr>
        <w:t>тако- ђе, споразум о сарадњи између „ЕПС”-а, односно ПД ТЕ-КО </w:t>
      </w:r>
      <w:r>
        <w:rPr>
          <w:color w:val="231F20"/>
          <w:spacing w:val="-3"/>
        </w:rPr>
        <w:t>„Ко- </w:t>
      </w:r>
      <w:r>
        <w:rPr>
          <w:color w:val="231F20"/>
        </w:rPr>
        <w:t>столац”</w:t>
      </w:r>
      <w:r>
        <w:rPr>
          <w:color w:val="231F20"/>
          <w:spacing w:val="-10"/>
        </w:rPr>
        <w:t> </w:t>
      </w:r>
      <w:r>
        <w:rPr>
          <w:color w:val="231F20"/>
        </w:rPr>
        <w:t>и</w:t>
      </w:r>
      <w:r>
        <w:rPr>
          <w:color w:val="231F20"/>
          <w:spacing w:val="-10"/>
        </w:rPr>
        <w:t> </w:t>
      </w:r>
      <w:r>
        <w:rPr>
          <w:color w:val="231F20"/>
        </w:rPr>
        <w:t>надлежних</w:t>
      </w:r>
      <w:r>
        <w:rPr>
          <w:color w:val="231F20"/>
          <w:spacing w:val="-10"/>
        </w:rPr>
        <w:t> </w:t>
      </w:r>
      <w:r>
        <w:rPr>
          <w:color w:val="231F20"/>
        </w:rPr>
        <w:t>државних</w:t>
      </w:r>
      <w:r>
        <w:rPr>
          <w:color w:val="231F20"/>
          <w:spacing w:val="-10"/>
        </w:rPr>
        <w:t> </w:t>
      </w:r>
      <w:r>
        <w:rPr>
          <w:color w:val="231F20"/>
        </w:rPr>
        <w:t>институција</w:t>
      </w:r>
      <w:r>
        <w:rPr>
          <w:color w:val="231F20"/>
          <w:spacing w:val="-10"/>
        </w:rPr>
        <w:t> </w:t>
      </w:r>
      <w:r>
        <w:rPr>
          <w:color w:val="231F20"/>
        </w:rPr>
        <w:t>за</w:t>
      </w:r>
      <w:r>
        <w:rPr>
          <w:color w:val="231F20"/>
          <w:spacing w:val="-10"/>
        </w:rPr>
        <w:t> </w:t>
      </w:r>
      <w:r>
        <w:rPr>
          <w:color w:val="231F20"/>
        </w:rPr>
        <w:t>заштиту</w:t>
      </w:r>
      <w:r>
        <w:rPr>
          <w:color w:val="231F20"/>
          <w:spacing w:val="-10"/>
        </w:rPr>
        <w:t> </w:t>
      </w:r>
      <w:r>
        <w:rPr>
          <w:color w:val="231F20"/>
        </w:rPr>
        <w:t>споменика </w:t>
      </w:r>
      <w:r>
        <w:rPr>
          <w:color w:val="231F20"/>
          <w:spacing w:val="-3"/>
        </w:rPr>
        <w:t>културе који </w:t>
      </w:r>
      <w:r>
        <w:rPr>
          <w:color w:val="231F20"/>
        </w:rPr>
        <w:t>укључује и заједнички рад на решавању</w:t>
      </w:r>
      <w:r>
        <w:rPr>
          <w:color w:val="231F20"/>
          <w:spacing w:val="3"/>
        </w:rPr>
        <w:t> </w:t>
      </w:r>
      <w:r>
        <w:rPr>
          <w:color w:val="231F20"/>
          <w:spacing w:val="-3"/>
        </w:rPr>
        <w:t>конфликата.</w:t>
      </w:r>
    </w:p>
    <w:p>
      <w:pPr>
        <w:pStyle w:val="BodyText"/>
        <w:spacing w:line="232" w:lineRule="auto"/>
        <w:ind w:left="169" w:right="39" w:firstLine="397"/>
      </w:pPr>
      <w:r>
        <w:rPr>
          <w:color w:val="231F20"/>
        </w:rPr>
        <w:t>Обимна површинска експлоатација има и друге неповољне последице на окружење, као што су: промена режима подземних вода</w:t>
      </w:r>
      <w:r>
        <w:rPr>
          <w:color w:val="231F20"/>
          <w:spacing w:val="-8"/>
        </w:rPr>
        <w:t> </w:t>
      </w:r>
      <w:r>
        <w:rPr>
          <w:color w:val="231F20"/>
        </w:rPr>
        <w:t>у</w:t>
      </w:r>
      <w:r>
        <w:rPr>
          <w:color w:val="231F20"/>
          <w:spacing w:val="-8"/>
        </w:rPr>
        <w:t> </w:t>
      </w:r>
      <w:r>
        <w:rPr>
          <w:color w:val="231F20"/>
        </w:rPr>
        <w:t>близини</w:t>
      </w:r>
      <w:r>
        <w:rPr>
          <w:color w:val="231F20"/>
          <w:spacing w:val="-8"/>
        </w:rPr>
        <w:t> </w:t>
      </w:r>
      <w:r>
        <w:rPr>
          <w:color w:val="231F20"/>
        </w:rPr>
        <w:t>копова,</w:t>
      </w:r>
      <w:r>
        <w:rPr>
          <w:color w:val="231F20"/>
          <w:spacing w:val="-8"/>
        </w:rPr>
        <w:t> </w:t>
      </w:r>
      <w:r>
        <w:rPr>
          <w:color w:val="231F20"/>
        </w:rPr>
        <w:t>нарушавање</w:t>
      </w:r>
      <w:r>
        <w:rPr>
          <w:color w:val="231F20"/>
          <w:spacing w:val="-8"/>
        </w:rPr>
        <w:t> </w:t>
      </w:r>
      <w:r>
        <w:rPr>
          <w:color w:val="231F20"/>
        </w:rPr>
        <w:t>постојећег</w:t>
      </w:r>
      <w:r>
        <w:rPr>
          <w:color w:val="231F20"/>
          <w:spacing w:val="-8"/>
        </w:rPr>
        <w:t> </w:t>
      </w:r>
      <w:r>
        <w:rPr>
          <w:color w:val="231F20"/>
          <w:spacing w:val="-3"/>
        </w:rPr>
        <w:t>еколошког</w:t>
      </w:r>
      <w:r>
        <w:rPr>
          <w:color w:val="231F20"/>
          <w:spacing w:val="-8"/>
        </w:rPr>
        <w:t> </w:t>
      </w:r>
      <w:r>
        <w:rPr>
          <w:color w:val="231F20"/>
        </w:rPr>
        <w:t>система у зони рударских радова, утицај на природна добра и амбијентал- не целине и слично. На подручју </w:t>
      </w:r>
      <w:r>
        <w:rPr>
          <w:color w:val="231F20"/>
          <w:spacing w:val="-3"/>
        </w:rPr>
        <w:t>Костолачког </w:t>
      </w:r>
      <w:r>
        <w:rPr>
          <w:color w:val="231F20"/>
        </w:rPr>
        <w:t>басена ови утицаји морају бити предмет континуираног праћења и проучавања, на- рочито за перспективу повећања производње угља. У вези с тим, неопходно је обезбедити ефикасно спровођење планских решења и мера за отклањање ових последица (заштита изворишта и уред- но снабдевање становништва пијаћом </w:t>
      </w:r>
      <w:r>
        <w:rPr>
          <w:color w:val="231F20"/>
          <w:spacing w:val="-2"/>
        </w:rPr>
        <w:t>водом, </w:t>
      </w:r>
      <w:r>
        <w:rPr>
          <w:color w:val="231F20"/>
        </w:rPr>
        <w:t>саобраћајна доступ- </w:t>
      </w:r>
      <w:r>
        <w:rPr>
          <w:color w:val="231F20"/>
          <w:spacing w:val="-3"/>
        </w:rPr>
        <w:t>ност, </w:t>
      </w:r>
      <w:r>
        <w:rPr>
          <w:color w:val="231F20"/>
        </w:rPr>
        <w:t>наводњавање исушеног земљишта, заштита градитељског и културног наслеђа, заштита природних добара и</w:t>
      </w:r>
      <w:r>
        <w:rPr>
          <w:color w:val="231F20"/>
          <w:spacing w:val="-14"/>
        </w:rPr>
        <w:t> </w:t>
      </w:r>
      <w:r>
        <w:rPr>
          <w:color w:val="231F20"/>
        </w:rPr>
        <w:t>слично).</w:t>
      </w:r>
    </w:p>
    <w:p>
      <w:pPr>
        <w:pStyle w:val="BodyText"/>
        <w:spacing w:line="232" w:lineRule="auto"/>
        <w:ind w:right="38" w:firstLine="396"/>
      </w:pPr>
      <w:r>
        <w:rPr>
          <w:color w:val="231F20"/>
        </w:rPr>
        <w:t>Трећи значајни </w:t>
      </w:r>
      <w:r>
        <w:rPr>
          <w:color w:val="231F20"/>
          <w:spacing w:val="-3"/>
        </w:rPr>
        <w:t>конфликт </w:t>
      </w:r>
      <w:r>
        <w:rPr>
          <w:color w:val="231F20"/>
        </w:rPr>
        <w:t>јавља се као последица развоја и функционисања термо-енергетског </w:t>
      </w:r>
      <w:r>
        <w:rPr>
          <w:color w:val="231F20"/>
          <w:spacing w:val="-3"/>
        </w:rPr>
        <w:t>комплекса. </w:t>
      </w:r>
      <w:r>
        <w:rPr>
          <w:color w:val="231F20"/>
        </w:rPr>
        <w:t>Овај </w:t>
      </w:r>
      <w:r>
        <w:rPr>
          <w:color w:val="231F20"/>
          <w:spacing w:val="-3"/>
        </w:rPr>
        <w:t>конфликт </w:t>
      </w:r>
      <w:r>
        <w:rPr>
          <w:color w:val="231F20"/>
        </w:rPr>
        <w:t>има највећим делом </w:t>
      </w:r>
      <w:r>
        <w:rPr>
          <w:color w:val="231F20"/>
          <w:spacing w:val="-3"/>
        </w:rPr>
        <w:t>еколошке </w:t>
      </w:r>
      <w:r>
        <w:rPr>
          <w:color w:val="231F20"/>
        </w:rPr>
        <w:t>последице. Испољава се кроз загађења ваздуха,</w:t>
      </w:r>
      <w:r>
        <w:rPr>
          <w:color w:val="231F20"/>
          <w:spacing w:val="-7"/>
        </w:rPr>
        <w:t> </w:t>
      </w:r>
      <w:r>
        <w:rPr>
          <w:color w:val="231F20"/>
        </w:rPr>
        <w:t>тла,</w:t>
      </w:r>
      <w:r>
        <w:rPr>
          <w:color w:val="231F20"/>
          <w:spacing w:val="-7"/>
        </w:rPr>
        <w:t> </w:t>
      </w:r>
      <w:r>
        <w:rPr>
          <w:color w:val="231F20"/>
        </w:rPr>
        <w:t>површинских</w:t>
      </w:r>
      <w:r>
        <w:rPr>
          <w:color w:val="231F20"/>
          <w:spacing w:val="-7"/>
        </w:rPr>
        <w:t> </w:t>
      </w:r>
      <w:r>
        <w:rPr>
          <w:color w:val="231F20"/>
        </w:rPr>
        <w:t>и</w:t>
      </w:r>
      <w:r>
        <w:rPr>
          <w:color w:val="231F20"/>
          <w:spacing w:val="-7"/>
        </w:rPr>
        <w:t> </w:t>
      </w:r>
      <w:r>
        <w:rPr>
          <w:color w:val="231F20"/>
        </w:rPr>
        <w:t>подземних</w:t>
      </w:r>
      <w:r>
        <w:rPr>
          <w:color w:val="231F20"/>
          <w:spacing w:val="-7"/>
        </w:rPr>
        <w:t> </w:t>
      </w:r>
      <w:r>
        <w:rPr>
          <w:color w:val="231F20"/>
        </w:rPr>
        <w:t>вода</w:t>
      </w:r>
      <w:r>
        <w:rPr>
          <w:color w:val="231F20"/>
          <w:spacing w:val="-7"/>
        </w:rPr>
        <w:t> </w:t>
      </w:r>
      <w:r>
        <w:rPr>
          <w:color w:val="231F20"/>
          <w:spacing w:val="-3"/>
        </w:rPr>
        <w:t>од</w:t>
      </w:r>
      <w:r>
        <w:rPr>
          <w:color w:val="231F20"/>
          <w:spacing w:val="-7"/>
        </w:rPr>
        <w:t> </w:t>
      </w:r>
      <w:r>
        <w:rPr>
          <w:color w:val="231F20"/>
        </w:rPr>
        <w:t>агресивних</w:t>
      </w:r>
      <w:r>
        <w:rPr>
          <w:color w:val="231F20"/>
          <w:spacing w:val="-7"/>
        </w:rPr>
        <w:t> </w:t>
      </w:r>
      <w:r>
        <w:rPr>
          <w:color w:val="231F20"/>
        </w:rPr>
        <w:t>гасова (СО2, НОx и друго), летећег пепела, пепела и шљаке из лежишта, термалног „оптерећења” средине и друго. Овај проблем се гене- рално решава у два правца: применом прихватљивих техничких решења</w:t>
      </w:r>
      <w:r>
        <w:rPr>
          <w:color w:val="231F20"/>
          <w:spacing w:val="-9"/>
        </w:rPr>
        <w:t> </w:t>
      </w:r>
      <w:r>
        <w:rPr>
          <w:color w:val="231F20"/>
        </w:rPr>
        <w:t>за</w:t>
      </w:r>
      <w:r>
        <w:rPr>
          <w:color w:val="231F20"/>
          <w:spacing w:val="-9"/>
        </w:rPr>
        <w:t> </w:t>
      </w:r>
      <w:r>
        <w:rPr>
          <w:color w:val="231F20"/>
        </w:rPr>
        <w:t>контролу</w:t>
      </w:r>
      <w:r>
        <w:rPr>
          <w:color w:val="231F20"/>
          <w:spacing w:val="-9"/>
        </w:rPr>
        <w:t> </w:t>
      </w:r>
      <w:r>
        <w:rPr>
          <w:color w:val="231F20"/>
        </w:rPr>
        <w:t>агресивних</w:t>
      </w:r>
      <w:r>
        <w:rPr>
          <w:color w:val="231F20"/>
          <w:spacing w:val="-9"/>
        </w:rPr>
        <w:t> </w:t>
      </w:r>
      <w:r>
        <w:rPr>
          <w:color w:val="231F20"/>
        </w:rPr>
        <w:t>материја</w:t>
      </w:r>
      <w:r>
        <w:rPr>
          <w:color w:val="231F20"/>
          <w:spacing w:val="-9"/>
        </w:rPr>
        <w:t> </w:t>
      </w:r>
      <w:r>
        <w:rPr>
          <w:color w:val="231F20"/>
        </w:rPr>
        <w:t>и</w:t>
      </w:r>
      <w:r>
        <w:rPr>
          <w:color w:val="231F20"/>
          <w:spacing w:val="-9"/>
        </w:rPr>
        <w:t> </w:t>
      </w:r>
      <w:r>
        <w:rPr>
          <w:color w:val="231F20"/>
        </w:rPr>
        <w:t>избором</w:t>
      </w:r>
      <w:r>
        <w:rPr>
          <w:color w:val="231F20"/>
          <w:spacing w:val="-9"/>
        </w:rPr>
        <w:t> </w:t>
      </w:r>
      <w:r>
        <w:rPr>
          <w:color w:val="231F20"/>
        </w:rPr>
        <w:t>одговарајућих локација за такве</w:t>
      </w:r>
      <w:r>
        <w:rPr>
          <w:color w:val="231F20"/>
          <w:spacing w:val="-2"/>
        </w:rPr>
        <w:t> </w:t>
      </w:r>
      <w:r>
        <w:rPr>
          <w:color w:val="231F20"/>
        </w:rPr>
        <w:t>објекте.</w:t>
      </w:r>
    </w:p>
    <w:p>
      <w:pPr>
        <w:pStyle w:val="BodyText"/>
        <w:spacing w:line="232" w:lineRule="auto"/>
        <w:ind w:left="171" w:right="38" w:firstLine="396"/>
      </w:pPr>
      <w:r>
        <w:rPr>
          <w:color w:val="231F20"/>
          <w:spacing w:val="-3"/>
        </w:rPr>
        <w:t>Развој </w:t>
      </w:r>
      <w:r>
        <w:rPr>
          <w:color w:val="231F20"/>
        </w:rPr>
        <w:t>и </w:t>
      </w:r>
      <w:r>
        <w:rPr>
          <w:color w:val="231F20"/>
          <w:spacing w:val="-3"/>
        </w:rPr>
        <w:t>изградња насеља </w:t>
      </w:r>
      <w:r>
        <w:rPr>
          <w:color w:val="231F20"/>
          <w:spacing w:val="-5"/>
        </w:rPr>
        <w:t>која </w:t>
      </w:r>
      <w:r>
        <w:rPr>
          <w:color w:val="231F20"/>
        </w:rPr>
        <w:t>се </w:t>
      </w:r>
      <w:r>
        <w:rPr>
          <w:color w:val="231F20"/>
          <w:spacing w:val="-3"/>
        </w:rPr>
        <w:t>налазе изнад </w:t>
      </w:r>
      <w:r>
        <w:rPr>
          <w:color w:val="231F20"/>
          <w:spacing w:val="-4"/>
        </w:rPr>
        <w:t>лигнитског </w:t>
      </w:r>
      <w:r>
        <w:rPr>
          <w:color w:val="231F20"/>
        </w:rPr>
        <w:t>ле- жишта</w:t>
      </w:r>
      <w:r>
        <w:rPr>
          <w:color w:val="231F20"/>
          <w:spacing w:val="-9"/>
        </w:rPr>
        <w:t> </w:t>
      </w:r>
      <w:r>
        <w:rPr>
          <w:color w:val="231F20"/>
        </w:rPr>
        <w:t>је,</w:t>
      </w:r>
      <w:r>
        <w:rPr>
          <w:color w:val="231F20"/>
          <w:spacing w:val="-9"/>
        </w:rPr>
        <w:t> </w:t>
      </w:r>
      <w:r>
        <w:rPr>
          <w:color w:val="231F20"/>
          <w:spacing w:val="-4"/>
        </w:rPr>
        <w:t>такође,</w:t>
      </w:r>
      <w:r>
        <w:rPr>
          <w:color w:val="231F20"/>
          <w:spacing w:val="-9"/>
        </w:rPr>
        <w:t> </w:t>
      </w:r>
      <w:r>
        <w:rPr>
          <w:color w:val="231F20"/>
          <w:spacing w:val="-4"/>
        </w:rPr>
        <w:t>деликатан</w:t>
      </w:r>
      <w:r>
        <w:rPr>
          <w:color w:val="231F20"/>
          <w:spacing w:val="-9"/>
        </w:rPr>
        <w:t> </w:t>
      </w:r>
      <w:r>
        <w:rPr>
          <w:color w:val="231F20"/>
          <w:spacing w:val="-4"/>
        </w:rPr>
        <w:t>проблем</w:t>
      </w:r>
      <w:r>
        <w:rPr>
          <w:color w:val="231F20"/>
          <w:spacing w:val="-9"/>
        </w:rPr>
        <w:t> </w:t>
      </w:r>
      <w:r>
        <w:rPr>
          <w:color w:val="231F20"/>
        </w:rPr>
        <w:t>о</w:t>
      </w:r>
      <w:r>
        <w:rPr>
          <w:color w:val="231F20"/>
          <w:spacing w:val="-9"/>
        </w:rPr>
        <w:t> </w:t>
      </w:r>
      <w:r>
        <w:rPr>
          <w:color w:val="231F20"/>
          <w:spacing w:val="-6"/>
        </w:rPr>
        <w:t>коме</w:t>
      </w:r>
      <w:r>
        <w:rPr>
          <w:color w:val="231F20"/>
          <w:spacing w:val="-9"/>
        </w:rPr>
        <w:t> </w:t>
      </w:r>
      <w:r>
        <w:rPr>
          <w:color w:val="231F20"/>
          <w:spacing w:val="-3"/>
        </w:rPr>
        <w:t>Просторни</w:t>
      </w:r>
      <w:r>
        <w:rPr>
          <w:color w:val="231F20"/>
          <w:spacing w:val="-9"/>
        </w:rPr>
        <w:t> </w:t>
      </w:r>
      <w:r>
        <w:rPr>
          <w:color w:val="231F20"/>
          <w:spacing w:val="-3"/>
        </w:rPr>
        <w:t>план</w:t>
      </w:r>
      <w:r>
        <w:rPr>
          <w:color w:val="231F20"/>
          <w:spacing w:val="-9"/>
        </w:rPr>
        <w:t> </w:t>
      </w:r>
      <w:r>
        <w:rPr>
          <w:color w:val="231F20"/>
          <w:spacing w:val="-3"/>
        </w:rPr>
        <w:t>мора</w:t>
      </w:r>
      <w:r>
        <w:rPr>
          <w:color w:val="231F20"/>
          <w:spacing w:val="-9"/>
        </w:rPr>
        <w:t> </w:t>
      </w:r>
      <w:r>
        <w:rPr>
          <w:color w:val="231F20"/>
        </w:rPr>
        <w:t>да </w:t>
      </w:r>
      <w:r>
        <w:rPr>
          <w:color w:val="231F20"/>
          <w:spacing w:val="-3"/>
        </w:rPr>
        <w:t>има </w:t>
      </w:r>
      <w:r>
        <w:rPr>
          <w:color w:val="231F20"/>
        </w:rPr>
        <w:t>јасан став. </w:t>
      </w:r>
      <w:r>
        <w:rPr>
          <w:color w:val="231F20"/>
          <w:spacing w:val="-5"/>
        </w:rPr>
        <w:t>Конфликт </w:t>
      </w:r>
      <w:r>
        <w:rPr>
          <w:color w:val="231F20"/>
          <w:spacing w:val="-3"/>
        </w:rPr>
        <w:t>произлази </w:t>
      </w:r>
      <w:r>
        <w:rPr>
          <w:color w:val="231F20"/>
        </w:rPr>
        <w:t>из </w:t>
      </w:r>
      <w:r>
        <w:rPr>
          <w:color w:val="231F20"/>
          <w:spacing w:val="-4"/>
        </w:rPr>
        <w:t>захтева </w:t>
      </w:r>
      <w:r>
        <w:rPr>
          <w:color w:val="231F20"/>
        </w:rPr>
        <w:t>да се, </w:t>
      </w:r>
      <w:r>
        <w:rPr>
          <w:color w:val="231F20"/>
          <w:spacing w:val="-4"/>
        </w:rPr>
        <w:t>забраном </w:t>
      </w:r>
      <w:r>
        <w:rPr>
          <w:color w:val="231F20"/>
          <w:spacing w:val="-3"/>
        </w:rPr>
        <w:t>даље изградње </w:t>
      </w:r>
      <w:r>
        <w:rPr>
          <w:color w:val="231F20"/>
        </w:rPr>
        <w:t>и </w:t>
      </w:r>
      <w:r>
        <w:rPr>
          <w:color w:val="231F20"/>
          <w:spacing w:val="-3"/>
        </w:rPr>
        <w:t>насељавања територије изнад </w:t>
      </w:r>
      <w:r>
        <w:rPr>
          <w:color w:val="231F20"/>
          <w:spacing w:val="-4"/>
        </w:rPr>
        <w:t>лигнитског </w:t>
      </w:r>
      <w:r>
        <w:rPr>
          <w:color w:val="231F20"/>
          <w:spacing w:val="-3"/>
        </w:rPr>
        <w:t>лежишта, </w:t>
      </w:r>
      <w:r>
        <w:rPr>
          <w:color w:val="231F20"/>
        </w:rPr>
        <w:t>за- </w:t>
      </w:r>
      <w:r>
        <w:rPr>
          <w:color w:val="231F20"/>
          <w:spacing w:val="-3"/>
        </w:rPr>
        <w:t>штити</w:t>
      </w:r>
      <w:r>
        <w:rPr>
          <w:color w:val="231F20"/>
          <w:spacing w:val="-6"/>
        </w:rPr>
        <w:t> </w:t>
      </w:r>
      <w:r>
        <w:rPr>
          <w:color w:val="231F20"/>
          <w:spacing w:val="-4"/>
        </w:rPr>
        <w:t>значајан</w:t>
      </w:r>
      <w:r>
        <w:rPr>
          <w:color w:val="231F20"/>
          <w:spacing w:val="-6"/>
        </w:rPr>
        <w:t> </w:t>
      </w:r>
      <w:r>
        <w:rPr>
          <w:color w:val="231F20"/>
          <w:spacing w:val="-3"/>
        </w:rPr>
        <w:t>енергетски</w:t>
      </w:r>
      <w:r>
        <w:rPr>
          <w:color w:val="231F20"/>
          <w:spacing w:val="-6"/>
        </w:rPr>
        <w:t> </w:t>
      </w:r>
      <w:r>
        <w:rPr>
          <w:color w:val="231F20"/>
          <w:spacing w:val="-3"/>
        </w:rPr>
        <w:t>ресурс</w:t>
      </w:r>
      <w:r>
        <w:rPr>
          <w:color w:val="231F20"/>
          <w:spacing w:val="-6"/>
        </w:rPr>
        <w:t> </w:t>
      </w:r>
      <w:r>
        <w:rPr>
          <w:color w:val="231F20"/>
          <w:spacing w:val="-3"/>
        </w:rPr>
        <w:t>(угаљ)</w:t>
      </w:r>
      <w:r>
        <w:rPr>
          <w:color w:val="231F20"/>
          <w:spacing w:val="-6"/>
        </w:rPr>
        <w:t> </w:t>
      </w:r>
      <w:r>
        <w:rPr>
          <w:color w:val="231F20"/>
        </w:rPr>
        <w:t>и</w:t>
      </w:r>
      <w:r>
        <w:rPr>
          <w:color w:val="231F20"/>
          <w:spacing w:val="-6"/>
        </w:rPr>
        <w:t> </w:t>
      </w:r>
      <w:r>
        <w:rPr>
          <w:color w:val="231F20"/>
          <w:spacing w:val="-3"/>
        </w:rPr>
        <w:t>потребе</w:t>
      </w:r>
      <w:r>
        <w:rPr>
          <w:color w:val="231F20"/>
          <w:spacing w:val="-6"/>
        </w:rPr>
        <w:t> </w:t>
      </w:r>
      <w:r>
        <w:rPr>
          <w:color w:val="231F20"/>
        </w:rPr>
        <w:t>да</w:t>
      </w:r>
      <w:r>
        <w:rPr>
          <w:color w:val="231F20"/>
          <w:spacing w:val="-6"/>
        </w:rPr>
        <w:t> </w:t>
      </w:r>
      <w:r>
        <w:rPr>
          <w:color w:val="231F20"/>
        </w:rPr>
        <w:t>се</w:t>
      </w:r>
      <w:r>
        <w:rPr>
          <w:color w:val="231F20"/>
          <w:spacing w:val="-6"/>
        </w:rPr>
        <w:t> </w:t>
      </w:r>
      <w:r>
        <w:rPr>
          <w:color w:val="231F20"/>
        </w:rPr>
        <w:t>на</w:t>
      </w:r>
      <w:r>
        <w:rPr>
          <w:color w:val="231F20"/>
          <w:spacing w:val="-6"/>
        </w:rPr>
        <w:t> </w:t>
      </w:r>
      <w:r>
        <w:rPr>
          <w:color w:val="231F20"/>
          <w:spacing w:val="-5"/>
        </w:rPr>
        <w:t>том</w:t>
      </w:r>
      <w:r>
        <w:rPr>
          <w:color w:val="231F20"/>
          <w:spacing w:val="-6"/>
        </w:rPr>
        <w:t> </w:t>
      </w:r>
      <w:r>
        <w:rPr>
          <w:color w:val="231F20"/>
          <w:spacing w:val="-4"/>
        </w:rPr>
        <w:t>под- </w:t>
      </w:r>
      <w:r>
        <w:rPr>
          <w:color w:val="231F20"/>
          <w:spacing w:val="-3"/>
        </w:rPr>
        <w:t>ручју </w:t>
      </w:r>
      <w:r>
        <w:rPr>
          <w:color w:val="231F20"/>
        </w:rPr>
        <w:t>не </w:t>
      </w:r>
      <w:r>
        <w:rPr>
          <w:color w:val="231F20"/>
          <w:spacing w:val="-4"/>
        </w:rPr>
        <w:t>заустави </w:t>
      </w:r>
      <w:r>
        <w:rPr>
          <w:color w:val="231F20"/>
          <w:spacing w:val="-3"/>
        </w:rPr>
        <w:t>развој </w:t>
      </w:r>
      <w:r>
        <w:rPr>
          <w:color w:val="231F20"/>
        </w:rPr>
        <w:t>и </w:t>
      </w:r>
      <w:r>
        <w:rPr>
          <w:color w:val="231F20"/>
          <w:spacing w:val="-4"/>
        </w:rPr>
        <w:t>омогући </w:t>
      </w:r>
      <w:r>
        <w:rPr>
          <w:color w:val="231F20"/>
          <w:spacing w:val="-3"/>
        </w:rPr>
        <w:t>нормалан </w:t>
      </w:r>
      <w:r>
        <w:rPr>
          <w:color w:val="231F20"/>
          <w:spacing w:val="-4"/>
        </w:rPr>
        <w:t>живот </w:t>
      </w:r>
      <w:r>
        <w:rPr>
          <w:color w:val="231F20"/>
          <w:spacing w:val="-5"/>
        </w:rPr>
        <w:t>становништву. </w:t>
      </w:r>
      <w:r>
        <w:rPr>
          <w:color w:val="231F20"/>
          <w:spacing w:val="-4"/>
        </w:rPr>
        <w:t>Неопходно</w:t>
      </w:r>
      <w:r>
        <w:rPr>
          <w:color w:val="231F20"/>
          <w:spacing w:val="-9"/>
        </w:rPr>
        <w:t> </w:t>
      </w:r>
      <w:r>
        <w:rPr>
          <w:color w:val="231F20"/>
        </w:rPr>
        <w:t>је,</w:t>
      </w:r>
      <w:r>
        <w:rPr>
          <w:color w:val="231F20"/>
          <w:spacing w:val="-9"/>
        </w:rPr>
        <w:t> </w:t>
      </w:r>
      <w:r>
        <w:rPr>
          <w:color w:val="231F20"/>
        </w:rPr>
        <w:t>у</w:t>
      </w:r>
      <w:r>
        <w:rPr>
          <w:color w:val="231F20"/>
          <w:spacing w:val="-9"/>
        </w:rPr>
        <w:t> </w:t>
      </w:r>
      <w:r>
        <w:rPr>
          <w:color w:val="231F20"/>
        </w:rPr>
        <w:t>вези</w:t>
      </w:r>
      <w:r>
        <w:rPr>
          <w:color w:val="231F20"/>
          <w:spacing w:val="-9"/>
        </w:rPr>
        <w:t> </w:t>
      </w:r>
      <w:r>
        <w:rPr>
          <w:color w:val="231F20"/>
        </w:rPr>
        <w:t>с</w:t>
      </w:r>
      <w:r>
        <w:rPr>
          <w:color w:val="231F20"/>
          <w:spacing w:val="-9"/>
        </w:rPr>
        <w:t> </w:t>
      </w:r>
      <w:r>
        <w:rPr>
          <w:color w:val="231F20"/>
          <w:spacing w:val="-3"/>
        </w:rPr>
        <w:t>тим,</w:t>
      </w:r>
      <w:r>
        <w:rPr>
          <w:color w:val="231F20"/>
          <w:spacing w:val="-9"/>
        </w:rPr>
        <w:t> </w:t>
      </w:r>
      <w:r>
        <w:rPr>
          <w:color w:val="231F20"/>
          <w:spacing w:val="-4"/>
        </w:rPr>
        <w:t>прихватити</w:t>
      </w:r>
      <w:r>
        <w:rPr>
          <w:color w:val="231F20"/>
          <w:spacing w:val="-9"/>
        </w:rPr>
        <w:t> </w:t>
      </w:r>
      <w:r>
        <w:rPr>
          <w:color w:val="231F20"/>
          <w:spacing w:val="-3"/>
        </w:rPr>
        <w:t>различита</w:t>
      </w:r>
      <w:r>
        <w:rPr>
          <w:color w:val="231F20"/>
          <w:spacing w:val="-9"/>
        </w:rPr>
        <w:t> </w:t>
      </w:r>
      <w:r>
        <w:rPr>
          <w:color w:val="231F20"/>
          <w:spacing w:val="-3"/>
        </w:rPr>
        <w:t>решења</w:t>
      </w:r>
      <w:r>
        <w:rPr>
          <w:color w:val="231F20"/>
          <w:spacing w:val="-9"/>
        </w:rPr>
        <w:t> </w:t>
      </w:r>
      <w:r>
        <w:rPr>
          <w:color w:val="231F20"/>
        </w:rPr>
        <w:t>у</w:t>
      </w:r>
      <w:r>
        <w:rPr>
          <w:color w:val="231F20"/>
          <w:spacing w:val="-9"/>
        </w:rPr>
        <w:t> </w:t>
      </w:r>
      <w:r>
        <w:rPr>
          <w:color w:val="231F20"/>
          <w:spacing w:val="-3"/>
        </w:rPr>
        <w:t>зависно- </w:t>
      </w:r>
      <w:r>
        <w:rPr>
          <w:color w:val="231F20"/>
        </w:rPr>
        <w:t>сти </w:t>
      </w:r>
      <w:r>
        <w:rPr>
          <w:color w:val="231F20"/>
          <w:spacing w:val="-4"/>
        </w:rPr>
        <w:t>од </w:t>
      </w:r>
      <w:r>
        <w:rPr>
          <w:color w:val="231F20"/>
          <w:spacing w:val="-3"/>
        </w:rPr>
        <w:t>планиране </w:t>
      </w:r>
      <w:r>
        <w:rPr>
          <w:color w:val="231F20"/>
          <w:spacing w:val="-4"/>
        </w:rPr>
        <w:t>динамике </w:t>
      </w:r>
      <w:r>
        <w:rPr>
          <w:color w:val="231F20"/>
          <w:spacing w:val="-3"/>
        </w:rPr>
        <w:t>развоја </w:t>
      </w:r>
      <w:r>
        <w:rPr>
          <w:color w:val="231F20"/>
          <w:spacing w:val="-4"/>
        </w:rPr>
        <w:t>површинске</w:t>
      </w:r>
      <w:r>
        <w:rPr>
          <w:color w:val="231F20"/>
          <w:spacing w:val="-15"/>
        </w:rPr>
        <w:t> </w:t>
      </w:r>
      <w:r>
        <w:rPr>
          <w:color w:val="231F20"/>
          <w:spacing w:val="-4"/>
        </w:rPr>
        <w:t>експлоатације.</w:t>
      </w:r>
    </w:p>
    <w:p>
      <w:pPr>
        <w:pStyle w:val="BodyText"/>
        <w:spacing w:line="232" w:lineRule="auto"/>
        <w:ind w:left="171" w:right="38" w:firstLine="397"/>
      </w:pPr>
      <w:r>
        <w:rPr>
          <w:color w:val="231F20"/>
          <w:spacing w:val="-3"/>
        </w:rPr>
        <w:t>Приликом </w:t>
      </w:r>
      <w:r>
        <w:rPr>
          <w:color w:val="231F20"/>
        </w:rPr>
        <w:t>одређивања експлоатационе границе лежишта, неопходно је поред техно-економских, узети у обзир и друге кри- теријуме, као што су: последице поремећаја у функционисању мреже насеља и насељских центара, утицај на споменике културе, вредне предеоне и амбијенталне целине, поремећаје у режиму во- да,</w:t>
      </w:r>
      <w:r>
        <w:rPr>
          <w:color w:val="231F20"/>
          <w:spacing w:val="-9"/>
        </w:rPr>
        <w:t> </w:t>
      </w:r>
      <w:r>
        <w:rPr>
          <w:color w:val="231F20"/>
        </w:rPr>
        <w:t>функционисање</w:t>
      </w:r>
      <w:r>
        <w:rPr>
          <w:color w:val="231F20"/>
          <w:spacing w:val="-9"/>
        </w:rPr>
        <w:t> </w:t>
      </w:r>
      <w:r>
        <w:rPr>
          <w:color w:val="231F20"/>
        </w:rPr>
        <w:t>крупне</w:t>
      </w:r>
      <w:r>
        <w:rPr>
          <w:color w:val="231F20"/>
          <w:spacing w:val="-9"/>
        </w:rPr>
        <w:t> </w:t>
      </w:r>
      <w:r>
        <w:rPr>
          <w:color w:val="231F20"/>
        </w:rPr>
        <w:t>инфраструктуре,</w:t>
      </w:r>
      <w:r>
        <w:rPr>
          <w:color w:val="231F20"/>
          <w:spacing w:val="-9"/>
        </w:rPr>
        <w:t> </w:t>
      </w:r>
      <w:r>
        <w:rPr>
          <w:color w:val="231F20"/>
        </w:rPr>
        <w:t>великих</w:t>
      </w:r>
      <w:r>
        <w:rPr>
          <w:color w:val="231F20"/>
          <w:spacing w:val="-9"/>
        </w:rPr>
        <w:t> </w:t>
      </w:r>
      <w:r>
        <w:rPr>
          <w:color w:val="231F20"/>
        </w:rPr>
        <w:t>производних система и</w:t>
      </w:r>
      <w:r>
        <w:rPr>
          <w:color w:val="231F20"/>
          <w:spacing w:val="-2"/>
        </w:rPr>
        <w:t> </w:t>
      </w:r>
      <w:r>
        <w:rPr>
          <w:color w:val="231F20"/>
        </w:rPr>
        <w:t>друго.</w:t>
      </w:r>
    </w:p>
    <w:p>
      <w:pPr>
        <w:pStyle w:val="BodyText"/>
        <w:spacing w:line="228" w:lineRule="auto" w:before="72"/>
        <w:ind w:left="171" w:right="409" w:firstLine="397"/>
      </w:pPr>
      <w:r>
        <w:rPr/>
        <w:br w:type="column"/>
      </w:r>
      <w:r>
        <w:rPr>
          <w:color w:val="231F20"/>
        </w:rPr>
        <w:t>Велика капитална улагања у енергетику репродукују рела- тивно мали број радних места у примарној производњи. С обзи- ром на изражен проблем незапослености, програм инвестирања у нове енергетске објекте мора да укључи и проблем продуктивног запошљавања</w:t>
      </w:r>
      <w:r>
        <w:rPr>
          <w:color w:val="231F20"/>
          <w:spacing w:val="-5"/>
        </w:rPr>
        <w:t> </w:t>
      </w:r>
      <w:r>
        <w:rPr>
          <w:color w:val="231F20"/>
        </w:rPr>
        <w:t>вишка</w:t>
      </w:r>
      <w:r>
        <w:rPr>
          <w:color w:val="231F20"/>
          <w:spacing w:val="-5"/>
        </w:rPr>
        <w:t> </w:t>
      </w:r>
      <w:r>
        <w:rPr>
          <w:color w:val="231F20"/>
        </w:rPr>
        <w:t>радне</w:t>
      </w:r>
      <w:r>
        <w:rPr>
          <w:color w:val="231F20"/>
          <w:spacing w:val="-5"/>
        </w:rPr>
        <w:t> </w:t>
      </w:r>
      <w:r>
        <w:rPr>
          <w:color w:val="231F20"/>
        </w:rPr>
        <w:t>снаге</w:t>
      </w:r>
      <w:r>
        <w:rPr>
          <w:color w:val="231F20"/>
          <w:spacing w:val="-5"/>
        </w:rPr>
        <w:t> </w:t>
      </w:r>
      <w:r>
        <w:rPr>
          <w:color w:val="231F20"/>
        </w:rPr>
        <w:t>из</w:t>
      </w:r>
      <w:r>
        <w:rPr>
          <w:color w:val="231F20"/>
          <w:spacing w:val="-5"/>
        </w:rPr>
        <w:t> </w:t>
      </w:r>
      <w:r>
        <w:rPr>
          <w:color w:val="231F20"/>
        </w:rPr>
        <w:t>постојећих</w:t>
      </w:r>
      <w:r>
        <w:rPr>
          <w:color w:val="231F20"/>
          <w:spacing w:val="-5"/>
        </w:rPr>
        <w:t> </w:t>
      </w:r>
      <w:r>
        <w:rPr>
          <w:color w:val="231F20"/>
        </w:rPr>
        <w:t>погона,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неза- посленог</w:t>
      </w:r>
      <w:r>
        <w:rPr>
          <w:color w:val="231F20"/>
          <w:spacing w:val="-2"/>
        </w:rPr>
        <w:t> </w:t>
      </w:r>
      <w:r>
        <w:rPr>
          <w:color w:val="231F20"/>
        </w:rPr>
        <w:t>становништва.</w:t>
      </w:r>
    </w:p>
    <w:p>
      <w:pPr>
        <w:pStyle w:val="BodyText"/>
        <w:spacing w:line="228" w:lineRule="auto" w:before="6"/>
        <w:ind w:right="410" w:firstLine="397"/>
      </w:pPr>
      <w:r>
        <w:rPr>
          <w:color w:val="231F20"/>
        </w:rPr>
        <w:t>Присутан је, такође, неравномеран регионални развој и тен- денција концентрације становништва, активности, инвестиција, изградње насеља, привредних, инфраструктурних, јавних и дру- гих објеката у урбаним и индустријским центрима, као и негатив- не</w:t>
      </w:r>
      <w:r>
        <w:rPr>
          <w:color w:val="231F20"/>
          <w:spacing w:val="-6"/>
        </w:rPr>
        <w:t> </w:t>
      </w:r>
      <w:r>
        <w:rPr>
          <w:color w:val="231F20"/>
        </w:rPr>
        <w:t>последице</w:t>
      </w:r>
      <w:r>
        <w:rPr>
          <w:color w:val="231F20"/>
          <w:spacing w:val="-6"/>
        </w:rPr>
        <w:t> </w:t>
      </w:r>
      <w:r>
        <w:rPr>
          <w:color w:val="231F20"/>
        </w:rPr>
        <w:t>таквог</w:t>
      </w:r>
      <w:r>
        <w:rPr>
          <w:color w:val="231F20"/>
          <w:spacing w:val="-6"/>
        </w:rPr>
        <w:t> </w:t>
      </w:r>
      <w:r>
        <w:rPr>
          <w:color w:val="231F20"/>
        </w:rPr>
        <w:t>развоја.</w:t>
      </w:r>
      <w:r>
        <w:rPr>
          <w:color w:val="231F20"/>
          <w:spacing w:val="-6"/>
        </w:rPr>
        <w:t> </w:t>
      </w:r>
      <w:r>
        <w:rPr>
          <w:color w:val="231F20"/>
        </w:rPr>
        <w:t>У</w:t>
      </w:r>
      <w:r>
        <w:rPr>
          <w:color w:val="231F20"/>
          <w:spacing w:val="-6"/>
        </w:rPr>
        <w:t> </w:t>
      </w:r>
      <w:r>
        <w:rPr>
          <w:color w:val="231F20"/>
        </w:rPr>
        <w:t>складу</w:t>
      </w:r>
      <w:r>
        <w:rPr>
          <w:color w:val="231F20"/>
          <w:spacing w:val="-6"/>
        </w:rPr>
        <w:t> </w:t>
      </w:r>
      <w:r>
        <w:rPr>
          <w:color w:val="231F20"/>
        </w:rPr>
        <w:t>са</w:t>
      </w:r>
      <w:r>
        <w:rPr>
          <w:color w:val="231F20"/>
          <w:spacing w:val="-6"/>
        </w:rPr>
        <w:t> </w:t>
      </w:r>
      <w:r>
        <w:rPr>
          <w:color w:val="231F20"/>
        </w:rPr>
        <w:t>концепцијом</w:t>
      </w:r>
      <w:r>
        <w:rPr>
          <w:color w:val="231F20"/>
          <w:spacing w:val="-6"/>
        </w:rPr>
        <w:t> </w:t>
      </w:r>
      <w:r>
        <w:rPr>
          <w:color w:val="231F20"/>
        </w:rPr>
        <w:t>Просторног плана </w:t>
      </w:r>
      <w:r>
        <w:rPr>
          <w:color w:val="231F20"/>
          <w:spacing w:val="-3"/>
        </w:rPr>
        <w:t>Републике </w:t>
      </w:r>
      <w:r>
        <w:rPr>
          <w:color w:val="231F20"/>
        </w:rPr>
        <w:t>Србије, треба подстицати развој мањих центара, као и центара заједнице села. Подстицање развоја сеоских цента- ра може се постићи алокацијом инвестиција, бољим саобраћајним повезивањем, комуналним опремањем и изградњом објеката јав- них служби, пореском </w:t>
      </w:r>
      <w:r>
        <w:rPr>
          <w:color w:val="231F20"/>
          <w:spacing w:val="-3"/>
        </w:rPr>
        <w:t>политиком, политиком </w:t>
      </w:r>
      <w:r>
        <w:rPr>
          <w:color w:val="231F20"/>
        </w:rPr>
        <w:t>ограничавања и/или подстицања инвестиционих улагања и</w:t>
      </w:r>
      <w:r>
        <w:rPr>
          <w:color w:val="231F20"/>
          <w:spacing w:val="-7"/>
        </w:rPr>
        <w:t> </w:t>
      </w:r>
      <w:r>
        <w:rPr>
          <w:color w:val="231F20"/>
        </w:rPr>
        <w:t>слично.</w:t>
      </w:r>
    </w:p>
    <w:p>
      <w:pPr>
        <w:pStyle w:val="Heading1"/>
        <w:numPr>
          <w:ilvl w:val="1"/>
          <w:numId w:val="24"/>
        </w:numPr>
        <w:tabs>
          <w:tab w:pos="1673" w:val="left" w:leader="none"/>
        </w:tabs>
        <w:spacing w:line="240" w:lineRule="auto" w:before="173" w:after="0"/>
        <w:ind w:left="1672" w:right="0" w:hanging="180"/>
        <w:jc w:val="left"/>
      </w:pPr>
      <w:r>
        <w:rPr>
          <w:color w:val="231F20"/>
        </w:rPr>
        <w:t>Циљеви просторног</w:t>
      </w:r>
      <w:r>
        <w:rPr>
          <w:color w:val="231F20"/>
          <w:spacing w:val="-3"/>
        </w:rPr>
        <w:t> </w:t>
      </w:r>
      <w:r>
        <w:rPr>
          <w:color w:val="231F20"/>
        </w:rPr>
        <w:t>развоја</w:t>
      </w:r>
    </w:p>
    <w:p>
      <w:pPr>
        <w:pStyle w:val="BodyText"/>
        <w:spacing w:before="1"/>
        <w:ind w:left="0"/>
        <w:jc w:val="left"/>
        <w:rPr>
          <w:b/>
          <w:sz w:val="17"/>
        </w:rPr>
      </w:pPr>
    </w:p>
    <w:p>
      <w:pPr>
        <w:pStyle w:val="BodyText"/>
        <w:spacing w:line="228" w:lineRule="auto"/>
        <w:ind w:right="411" w:firstLine="396"/>
      </w:pPr>
      <w:r>
        <w:rPr>
          <w:color w:val="231F20"/>
        </w:rPr>
        <w:t>Општи циљеви развоја </w:t>
      </w:r>
      <w:r>
        <w:rPr>
          <w:color w:val="231F20"/>
          <w:spacing w:val="-3"/>
        </w:rPr>
        <w:t>Планског </w:t>
      </w:r>
      <w:r>
        <w:rPr>
          <w:color w:val="231F20"/>
        </w:rPr>
        <w:t>подручја заснивају се на</w:t>
      </w:r>
      <w:r>
        <w:rPr>
          <w:color w:val="231F20"/>
          <w:spacing w:val="-26"/>
        </w:rPr>
        <w:t> </w:t>
      </w:r>
      <w:r>
        <w:rPr>
          <w:color w:val="231F20"/>
        </w:rPr>
        <w:t>оп- штим</w:t>
      </w:r>
      <w:r>
        <w:rPr>
          <w:color w:val="231F20"/>
          <w:spacing w:val="-13"/>
        </w:rPr>
        <w:t> </w:t>
      </w:r>
      <w:r>
        <w:rPr>
          <w:color w:val="231F20"/>
        </w:rPr>
        <w:t>стратешким</w:t>
      </w:r>
      <w:r>
        <w:rPr>
          <w:color w:val="231F20"/>
          <w:spacing w:val="-13"/>
        </w:rPr>
        <w:t> </w:t>
      </w:r>
      <w:r>
        <w:rPr>
          <w:color w:val="231F20"/>
        </w:rPr>
        <w:t>правцима</w:t>
      </w:r>
      <w:r>
        <w:rPr>
          <w:color w:val="231F20"/>
          <w:spacing w:val="-13"/>
        </w:rPr>
        <w:t> </w:t>
      </w:r>
      <w:r>
        <w:rPr>
          <w:color w:val="231F20"/>
        </w:rPr>
        <w:t>и</w:t>
      </w:r>
      <w:r>
        <w:rPr>
          <w:color w:val="231F20"/>
          <w:spacing w:val="-13"/>
        </w:rPr>
        <w:t> </w:t>
      </w:r>
      <w:r>
        <w:rPr>
          <w:color w:val="231F20"/>
        </w:rPr>
        <w:t>циљевима</w:t>
      </w:r>
      <w:r>
        <w:rPr>
          <w:color w:val="231F20"/>
          <w:spacing w:val="-13"/>
        </w:rPr>
        <w:t> </w:t>
      </w:r>
      <w:r>
        <w:rPr>
          <w:color w:val="231F20"/>
        </w:rPr>
        <w:t>развоја</w:t>
      </w:r>
      <w:r>
        <w:rPr>
          <w:color w:val="231F20"/>
          <w:spacing w:val="-13"/>
        </w:rPr>
        <w:t> </w:t>
      </w:r>
      <w:r>
        <w:rPr>
          <w:color w:val="231F20"/>
          <w:spacing w:val="-3"/>
        </w:rPr>
        <w:t>Републике</w:t>
      </w:r>
      <w:r>
        <w:rPr>
          <w:color w:val="231F20"/>
          <w:spacing w:val="-13"/>
        </w:rPr>
        <w:t> </w:t>
      </w:r>
      <w:r>
        <w:rPr>
          <w:color w:val="231F20"/>
        </w:rPr>
        <w:t>Србије.</w:t>
      </w:r>
    </w:p>
    <w:p>
      <w:pPr>
        <w:pStyle w:val="BodyText"/>
        <w:spacing w:line="196" w:lineRule="exact"/>
        <w:ind w:left="567"/>
        <w:jc w:val="left"/>
      </w:pPr>
      <w:r>
        <w:rPr>
          <w:color w:val="231F20"/>
        </w:rPr>
        <w:t>Општи циљеви развоја Планског подручја су:</w:t>
      </w:r>
    </w:p>
    <w:p>
      <w:pPr>
        <w:pStyle w:val="BodyText"/>
        <w:spacing w:line="228" w:lineRule="auto" w:before="4"/>
        <w:ind w:right="411" w:firstLine="397"/>
      </w:pPr>
      <w:r>
        <w:rPr>
          <w:color w:val="231F20"/>
          <w:w w:val="66"/>
        </w:rPr>
        <w:t> </w:t>
      </w:r>
      <w:r>
        <w:rPr>
          <w:color w:val="231F20"/>
        </w:rPr>
        <w:t>– стварање услова за ефикасно активирање, експлоатацију и прераду минералних ресурса (првенствено лигнита), као делатно- сти</w:t>
      </w:r>
      <w:r>
        <w:rPr>
          <w:color w:val="231F20"/>
          <w:spacing w:val="-8"/>
        </w:rPr>
        <w:t> </w:t>
      </w:r>
      <w:r>
        <w:rPr>
          <w:color w:val="231F20"/>
          <w:spacing w:val="-3"/>
        </w:rPr>
        <w:t>која</w:t>
      </w:r>
      <w:r>
        <w:rPr>
          <w:color w:val="231F20"/>
          <w:spacing w:val="-7"/>
        </w:rPr>
        <w:t> </w:t>
      </w:r>
      <w:r>
        <w:rPr>
          <w:color w:val="231F20"/>
        </w:rPr>
        <w:t>чини</w:t>
      </w:r>
      <w:r>
        <w:rPr>
          <w:color w:val="231F20"/>
          <w:spacing w:val="-7"/>
        </w:rPr>
        <w:t> </w:t>
      </w:r>
      <w:r>
        <w:rPr>
          <w:color w:val="231F20"/>
        </w:rPr>
        <w:t>организационофункционални</w:t>
      </w:r>
      <w:r>
        <w:rPr>
          <w:color w:val="231F20"/>
          <w:spacing w:val="-7"/>
        </w:rPr>
        <w:t> </w:t>
      </w:r>
      <w:r>
        <w:rPr>
          <w:color w:val="231F20"/>
        </w:rPr>
        <w:t>део</w:t>
      </w:r>
      <w:r>
        <w:rPr>
          <w:color w:val="231F20"/>
          <w:spacing w:val="-7"/>
        </w:rPr>
        <w:t> </w:t>
      </w:r>
      <w:r>
        <w:rPr>
          <w:color w:val="231F20"/>
        </w:rPr>
        <w:t>енергетског</w:t>
      </w:r>
      <w:r>
        <w:rPr>
          <w:color w:val="231F20"/>
          <w:spacing w:val="-7"/>
        </w:rPr>
        <w:t> </w:t>
      </w:r>
      <w:r>
        <w:rPr>
          <w:color w:val="231F20"/>
        </w:rPr>
        <w:t>систе- ма Србије; ови услови су: 1) институционални; 2)</w:t>
      </w:r>
      <w:r>
        <w:rPr>
          <w:color w:val="231F20"/>
          <w:spacing w:val="10"/>
        </w:rPr>
        <w:t> </w:t>
      </w:r>
      <w:r>
        <w:rPr>
          <w:color w:val="231F20"/>
        </w:rPr>
        <w:t>организациони;</w:t>
      </w:r>
    </w:p>
    <w:p>
      <w:pPr>
        <w:pStyle w:val="ListParagraph"/>
        <w:numPr>
          <w:ilvl w:val="0"/>
          <w:numId w:val="25"/>
        </w:numPr>
        <w:tabs>
          <w:tab w:pos="385" w:val="left" w:leader="none"/>
        </w:tabs>
        <w:spacing w:line="228" w:lineRule="auto" w:before="4" w:after="0"/>
        <w:ind w:left="170" w:right="411" w:firstLine="0"/>
        <w:jc w:val="left"/>
        <w:rPr>
          <w:sz w:val="18"/>
        </w:rPr>
      </w:pPr>
      <w:r>
        <w:rPr>
          <w:color w:val="231F20"/>
          <w:sz w:val="18"/>
        </w:rPr>
        <w:t>правно-имовински; 4) економски; 5) финансијски; 6) простор- но-еколошки; 7)</w:t>
      </w:r>
      <w:r>
        <w:rPr>
          <w:color w:val="231F20"/>
          <w:spacing w:val="-3"/>
          <w:sz w:val="18"/>
        </w:rPr>
        <w:t> </w:t>
      </w:r>
      <w:r>
        <w:rPr>
          <w:color w:val="231F20"/>
          <w:sz w:val="18"/>
        </w:rPr>
        <w:t>инфраструктурни;</w:t>
      </w:r>
    </w:p>
    <w:p>
      <w:pPr>
        <w:pStyle w:val="BodyText"/>
        <w:spacing w:line="228" w:lineRule="auto" w:before="2"/>
        <w:ind w:right="411" w:firstLine="396"/>
      </w:pPr>
      <w:r>
        <w:rPr>
          <w:color w:val="231F20"/>
          <w:w w:val="66"/>
        </w:rPr>
        <w:t> </w:t>
      </w:r>
      <w:r>
        <w:rPr>
          <w:color w:val="231F20"/>
        </w:rPr>
        <w:t>– равномернији територијални развој (постепено смањивање диспропорције у степену развијености између уже зоне каракте- ристичне по високој концентрацији капиталних улагања, и шире зоне која је релативно неразвијена);</w:t>
      </w:r>
    </w:p>
    <w:p>
      <w:pPr>
        <w:pStyle w:val="BodyText"/>
        <w:spacing w:line="228" w:lineRule="auto" w:before="4"/>
        <w:ind w:left="169" w:right="411" w:firstLine="397"/>
      </w:pPr>
      <w:r>
        <w:rPr>
          <w:color w:val="231F20"/>
          <w:w w:val="66"/>
        </w:rPr>
        <w:t> </w:t>
      </w:r>
      <w:r>
        <w:rPr>
          <w:color w:val="231F20"/>
        </w:rPr>
        <w:t>– смањење диспропорције у структури привредног развоја (превазилажење монофункционалне структуре привреде, подсти- цање МСП у секундарном и терцијарном сектору и јавних служби чиме ће се, између осталог, створити и претпоставка за равномер- нији развој читаве територије у зони утицаја ТЕ-КО „Костолац”);</w:t>
      </w:r>
    </w:p>
    <w:p>
      <w:pPr>
        <w:pStyle w:val="BodyText"/>
        <w:spacing w:line="228" w:lineRule="auto" w:before="5"/>
        <w:ind w:left="169" w:right="411" w:firstLine="397"/>
      </w:pPr>
      <w:r>
        <w:rPr>
          <w:color w:val="231F20"/>
          <w:w w:val="66"/>
        </w:rPr>
        <w:t> </w:t>
      </w:r>
      <w:r>
        <w:rPr>
          <w:color w:val="231F20"/>
        </w:rPr>
        <w:t>– реструктурирање привреде, нарочито привреде </w:t>
      </w:r>
      <w:r>
        <w:rPr>
          <w:color w:val="231F20"/>
          <w:spacing w:val="-3"/>
        </w:rPr>
        <w:t>Града </w:t>
      </w:r>
      <w:r>
        <w:rPr>
          <w:color w:val="231F20"/>
        </w:rPr>
        <w:t>По- жаревца, кроз њену диверзификацију, бржи развој терцијарног сектора</w:t>
      </w:r>
      <w:r>
        <w:rPr>
          <w:color w:val="231F20"/>
          <w:spacing w:val="-6"/>
        </w:rPr>
        <w:t> </w:t>
      </w:r>
      <w:r>
        <w:rPr>
          <w:color w:val="231F20"/>
        </w:rPr>
        <w:t>и</w:t>
      </w:r>
      <w:r>
        <w:rPr>
          <w:color w:val="231F20"/>
          <w:spacing w:val="-6"/>
        </w:rPr>
        <w:t> </w:t>
      </w:r>
      <w:r>
        <w:rPr>
          <w:color w:val="231F20"/>
        </w:rPr>
        <w:t>приоритетан</w:t>
      </w:r>
      <w:r>
        <w:rPr>
          <w:color w:val="231F20"/>
          <w:spacing w:val="-6"/>
        </w:rPr>
        <w:t> </w:t>
      </w:r>
      <w:r>
        <w:rPr>
          <w:color w:val="231F20"/>
        </w:rPr>
        <w:t>развој</w:t>
      </w:r>
      <w:r>
        <w:rPr>
          <w:color w:val="231F20"/>
          <w:spacing w:val="-6"/>
        </w:rPr>
        <w:t> </w:t>
      </w:r>
      <w:r>
        <w:rPr>
          <w:color w:val="231F20"/>
        </w:rPr>
        <w:t>пропулзивних</w:t>
      </w:r>
      <w:r>
        <w:rPr>
          <w:color w:val="231F20"/>
          <w:spacing w:val="-6"/>
        </w:rPr>
        <w:t> </w:t>
      </w:r>
      <w:r>
        <w:rPr>
          <w:color w:val="231F20"/>
        </w:rPr>
        <w:t>и/или</w:t>
      </w:r>
      <w:r>
        <w:rPr>
          <w:color w:val="231F20"/>
          <w:spacing w:val="-6"/>
        </w:rPr>
        <w:t> </w:t>
      </w:r>
      <w:r>
        <w:rPr>
          <w:color w:val="231F20"/>
        </w:rPr>
        <w:t>извозно</w:t>
      </w:r>
      <w:r>
        <w:rPr>
          <w:color w:val="231F20"/>
          <w:spacing w:val="-6"/>
        </w:rPr>
        <w:t> </w:t>
      </w:r>
      <w:r>
        <w:rPr>
          <w:color w:val="231F20"/>
        </w:rPr>
        <w:t>оријен- тисаних секундарних делатности, у првом реду малих и средњих предузећа приватног</w:t>
      </w:r>
      <w:r>
        <w:rPr>
          <w:color w:val="231F20"/>
          <w:spacing w:val="-2"/>
        </w:rPr>
        <w:t> </w:t>
      </w:r>
      <w:r>
        <w:rPr>
          <w:color w:val="231F20"/>
        </w:rPr>
        <w:t>сектора;</w:t>
      </w:r>
    </w:p>
    <w:p>
      <w:pPr>
        <w:pStyle w:val="BodyText"/>
        <w:spacing w:line="228" w:lineRule="auto" w:before="5"/>
        <w:ind w:left="169" w:right="411" w:firstLine="396"/>
      </w:pPr>
      <w:r>
        <w:rPr>
          <w:color w:val="231F20"/>
          <w:w w:val="66"/>
        </w:rPr>
        <w:t> </w:t>
      </w:r>
      <w:r>
        <w:rPr>
          <w:color w:val="231F20"/>
        </w:rPr>
        <w:t>– усклађени привредни, социјални и просторни развој Пожа- ревца и унапређење његових регионалних функција;</w:t>
      </w:r>
    </w:p>
    <w:p>
      <w:pPr>
        <w:pStyle w:val="BodyText"/>
        <w:spacing w:line="228" w:lineRule="auto" w:before="2"/>
        <w:ind w:left="169" w:right="411" w:firstLine="396"/>
      </w:pPr>
      <w:r>
        <w:rPr>
          <w:color w:val="231F20"/>
          <w:w w:val="66"/>
        </w:rPr>
        <w:t> </w:t>
      </w:r>
      <w:r>
        <w:rPr>
          <w:color w:val="231F20"/>
        </w:rPr>
        <w:t>– обезбеђење стимулативних услова за останак становни- штва у сеоским насељима, отварањем нових предузећа и радних места у насељима изван Пожаревца и Костолца, као и равномер- нијим просторним развојем, чиме се смањује проблем дневног транспорта запослених (односно дневних радних миграција);</w:t>
      </w:r>
    </w:p>
    <w:p>
      <w:pPr>
        <w:pStyle w:val="BodyText"/>
        <w:spacing w:line="228" w:lineRule="auto" w:before="5"/>
        <w:ind w:left="169" w:right="411" w:firstLine="397"/>
      </w:pPr>
      <w:r>
        <w:rPr>
          <w:color w:val="231F20"/>
          <w:w w:val="66"/>
        </w:rPr>
        <w:t> </w:t>
      </w:r>
      <w:r>
        <w:rPr>
          <w:color w:val="231F20"/>
        </w:rPr>
        <w:t>– обезбеђење веће интегрисаности подручја и повећање мобилности фактора производње и развоја рационалним ин- фраструктурним повезивањем мреже насеља, реконструкцијом постојећих инфраструктурних система, побољшањем њиховог функционисања</w:t>
      </w:r>
      <w:r>
        <w:rPr>
          <w:color w:val="231F20"/>
          <w:spacing w:val="-9"/>
        </w:rPr>
        <w:t> </w:t>
      </w:r>
      <w:r>
        <w:rPr>
          <w:color w:val="231F20"/>
        </w:rPr>
        <w:t>и</w:t>
      </w:r>
      <w:r>
        <w:rPr>
          <w:color w:val="231F20"/>
          <w:spacing w:val="-9"/>
        </w:rPr>
        <w:t> </w:t>
      </w:r>
      <w:r>
        <w:rPr>
          <w:color w:val="231F20"/>
        </w:rPr>
        <w:t>изградњом</w:t>
      </w:r>
      <w:r>
        <w:rPr>
          <w:color w:val="231F20"/>
          <w:spacing w:val="-9"/>
        </w:rPr>
        <w:t> </w:t>
      </w:r>
      <w:r>
        <w:rPr>
          <w:color w:val="231F20"/>
        </w:rPr>
        <w:t>нових</w:t>
      </w:r>
      <w:r>
        <w:rPr>
          <w:color w:val="231F20"/>
          <w:spacing w:val="-9"/>
        </w:rPr>
        <w:t> </w:t>
      </w:r>
      <w:r>
        <w:rPr>
          <w:color w:val="231F20"/>
        </w:rPr>
        <w:t>објеката</w:t>
      </w:r>
      <w:r>
        <w:rPr>
          <w:color w:val="231F20"/>
          <w:spacing w:val="-9"/>
        </w:rPr>
        <w:t> </w:t>
      </w:r>
      <w:r>
        <w:rPr>
          <w:color w:val="231F20"/>
        </w:rPr>
        <w:t>(полазећи</w:t>
      </w:r>
      <w:r>
        <w:rPr>
          <w:color w:val="231F20"/>
          <w:spacing w:val="-9"/>
        </w:rPr>
        <w:t> </w:t>
      </w:r>
      <w:r>
        <w:rPr>
          <w:color w:val="231F20"/>
          <w:spacing w:val="-3"/>
        </w:rPr>
        <w:t>од</w:t>
      </w:r>
      <w:r>
        <w:rPr>
          <w:color w:val="231F20"/>
          <w:spacing w:val="-9"/>
        </w:rPr>
        <w:t> </w:t>
      </w:r>
      <w:r>
        <w:rPr>
          <w:color w:val="231F20"/>
        </w:rPr>
        <w:t>принци- па</w:t>
      </w:r>
      <w:r>
        <w:rPr>
          <w:color w:val="231F20"/>
          <w:spacing w:val="-5"/>
        </w:rPr>
        <w:t> </w:t>
      </w:r>
      <w:r>
        <w:rPr>
          <w:color w:val="231F20"/>
        </w:rPr>
        <w:t>полицентричног</w:t>
      </w:r>
      <w:r>
        <w:rPr>
          <w:color w:val="231F20"/>
          <w:spacing w:val="-5"/>
        </w:rPr>
        <w:t> </w:t>
      </w:r>
      <w:r>
        <w:rPr>
          <w:color w:val="231F20"/>
        </w:rPr>
        <w:t>развоја);</w:t>
      </w:r>
      <w:r>
        <w:rPr>
          <w:color w:val="231F20"/>
          <w:spacing w:val="-5"/>
        </w:rPr>
        <w:t> </w:t>
      </w:r>
      <w:r>
        <w:rPr>
          <w:color w:val="231F20"/>
        </w:rPr>
        <w:t>један</w:t>
      </w:r>
      <w:r>
        <w:rPr>
          <w:color w:val="231F20"/>
          <w:spacing w:val="-5"/>
        </w:rPr>
        <w:t> </w:t>
      </w:r>
      <w:r>
        <w:rPr>
          <w:color w:val="231F20"/>
          <w:spacing w:val="-3"/>
        </w:rPr>
        <w:t>од</w:t>
      </w:r>
      <w:r>
        <w:rPr>
          <w:color w:val="231F20"/>
          <w:spacing w:val="-5"/>
        </w:rPr>
        <w:t> </w:t>
      </w:r>
      <w:r>
        <w:rPr>
          <w:color w:val="231F20"/>
        </w:rPr>
        <w:t>важних</w:t>
      </w:r>
      <w:r>
        <w:rPr>
          <w:color w:val="231F20"/>
          <w:spacing w:val="-5"/>
        </w:rPr>
        <w:t> </w:t>
      </w:r>
      <w:r>
        <w:rPr>
          <w:color w:val="231F20"/>
        </w:rPr>
        <w:t>циљева</w:t>
      </w:r>
      <w:r>
        <w:rPr>
          <w:color w:val="231F20"/>
          <w:spacing w:val="-5"/>
        </w:rPr>
        <w:t> </w:t>
      </w:r>
      <w:r>
        <w:rPr>
          <w:color w:val="231F20"/>
        </w:rPr>
        <w:t>из</w:t>
      </w:r>
      <w:r>
        <w:rPr>
          <w:color w:val="231F20"/>
          <w:spacing w:val="-5"/>
        </w:rPr>
        <w:t> </w:t>
      </w:r>
      <w:r>
        <w:rPr>
          <w:color w:val="231F20"/>
        </w:rPr>
        <w:t>овог</w:t>
      </w:r>
      <w:r>
        <w:rPr>
          <w:color w:val="231F20"/>
          <w:spacing w:val="-5"/>
        </w:rPr>
        <w:t> </w:t>
      </w:r>
      <w:r>
        <w:rPr>
          <w:color w:val="231F20"/>
        </w:rPr>
        <w:t>опсе- га</w:t>
      </w:r>
      <w:r>
        <w:rPr>
          <w:color w:val="231F20"/>
          <w:spacing w:val="-6"/>
        </w:rPr>
        <w:t> </w:t>
      </w:r>
      <w:r>
        <w:rPr>
          <w:color w:val="231F20"/>
        </w:rPr>
        <w:t>јесте</w:t>
      </w:r>
      <w:r>
        <w:rPr>
          <w:color w:val="231F20"/>
          <w:spacing w:val="-6"/>
        </w:rPr>
        <w:t> </w:t>
      </w:r>
      <w:r>
        <w:rPr>
          <w:color w:val="231F20"/>
        </w:rPr>
        <w:t>и</w:t>
      </w:r>
      <w:r>
        <w:rPr>
          <w:color w:val="231F20"/>
          <w:spacing w:val="-6"/>
        </w:rPr>
        <w:t> </w:t>
      </w:r>
      <w:r>
        <w:rPr>
          <w:color w:val="231F20"/>
        </w:rPr>
        <w:t>просторно</w:t>
      </w:r>
      <w:r>
        <w:rPr>
          <w:color w:val="231F20"/>
          <w:spacing w:val="-6"/>
        </w:rPr>
        <w:t> </w:t>
      </w:r>
      <w:r>
        <w:rPr>
          <w:color w:val="231F20"/>
        </w:rPr>
        <w:t>интегрисање</w:t>
      </w:r>
      <w:r>
        <w:rPr>
          <w:color w:val="231F20"/>
          <w:spacing w:val="-6"/>
        </w:rPr>
        <w:t> </w:t>
      </w:r>
      <w:r>
        <w:rPr>
          <w:color w:val="231F20"/>
        </w:rPr>
        <w:t>рударско-енергетског</w:t>
      </w:r>
      <w:r>
        <w:rPr>
          <w:color w:val="231F20"/>
          <w:spacing w:val="-6"/>
        </w:rPr>
        <w:t> </w:t>
      </w:r>
      <w:r>
        <w:rPr>
          <w:color w:val="231F20"/>
          <w:spacing w:val="-3"/>
        </w:rPr>
        <w:t>комплекса </w:t>
      </w:r>
      <w:r>
        <w:rPr>
          <w:color w:val="231F20"/>
        </w:rPr>
        <w:t>са осталим деловима привреде и минимизирање негативних ефе- ката на</w:t>
      </w:r>
      <w:r>
        <w:rPr>
          <w:color w:val="231F20"/>
          <w:spacing w:val="-2"/>
        </w:rPr>
        <w:t> </w:t>
      </w:r>
      <w:r>
        <w:rPr>
          <w:color w:val="231F20"/>
        </w:rPr>
        <w:t>окружење;</w:t>
      </w:r>
    </w:p>
    <w:p>
      <w:pPr>
        <w:pStyle w:val="BodyText"/>
        <w:spacing w:line="228" w:lineRule="auto" w:before="9"/>
        <w:ind w:left="169" w:right="411" w:firstLine="397"/>
      </w:pPr>
      <w:r>
        <w:rPr>
          <w:color w:val="231F20"/>
          <w:w w:val="66"/>
        </w:rPr>
        <w:t> </w:t>
      </w:r>
      <w:r>
        <w:rPr>
          <w:color w:val="231F20"/>
        </w:rPr>
        <w:t>– неутралисање развојних </w:t>
      </w:r>
      <w:r>
        <w:rPr>
          <w:color w:val="231F20"/>
          <w:spacing w:val="-3"/>
        </w:rPr>
        <w:t>конфликата </w:t>
      </w:r>
      <w:r>
        <w:rPr>
          <w:color w:val="231F20"/>
        </w:rPr>
        <w:t>и негативних екстер- них ефеката (промена структуре и просторна дисперзија капитал- них инвестиција, усмеравање позитивних екстерних ефеката у смањење</w:t>
      </w:r>
      <w:r>
        <w:rPr>
          <w:color w:val="231F20"/>
          <w:spacing w:val="-6"/>
        </w:rPr>
        <w:t> </w:t>
      </w:r>
      <w:r>
        <w:rPr>
          <w:color w:val="231F20"/>
        </w:rPr>
        <w:t>деградације</w:t>
      </w:r>
      <w:r>
        <w:rPr>
          <w:color w:val="231F20"/>
          <w:spacing w:val="-6"/>
        </w:rPr>
        <w:t> </w:t>
      </w:r>
      <w:r>
        <w:rPr>
          <w:color w:val="231F20"/>
        </w:rPr>
        <w:t>природе,</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у</w:t>
      </w:r>
      <w:r>
        <w:rPr>
          <w:color w:val="231F20"/>
          <w:spacing w:val="-6"/>
        </w:rPr>
        <w:t> </w:t>
      </w:r>
      <w:r>
        <w:rPr>
          <w:color w:val="231F20"/>
        </w:rPr>
        <w:t>њену</w:t>
      </w:r>
      <w:r>
        <w:rPr>
          <w:color w:val="231F20"/>
          <w:spacing w:val="-6"/>
        </w:rPr>
        <w:t> </w:t>
      </w:r>
      <w:r>
        <w:rPr>
          <w:color w:val="231F20"/>
        </w:rPr>
        <w:t>ревитализацију,</w:t>
      </w:r>
      <w:r>
        <w:rPr>
          <w:color w:val="231F20"/>
          <w:spacing w:val="-6"/>
        </w:rPr>
        <w:t> </w:t>
      </w:r>
      <w:r>
        <w:rPr>
          <w:color w:val="231F20"/>
        </w:rPr>
        <w:t>обна- вљање и уређење простора, рационално искоришћавање лигнита, унапређење технологије и</w:t>
      </w:r>
      <w:r>
        <w:rPr>
          <w:color w:val="231F20"/>
          <w:spacing w:val="-4"/>
        </w:rPr>
        <w:t> </w:t>
      </w:r>
      <w:r>
        <w:rPr>
          <w:color w:val="231F20"/>
        </w:rPr>
        <w:t>слично);</w:t>
      </w:r>
    </w:p>
    <w:p>
      <w:pPr>
        <w:pStyle w:val="BodyText"/>
        <w:spacing w:line="228" w:lineRule="auto" w:before="6"/>
        <w:ind w:left="169" w:right="411" w:firstLine="397"/>
      </w:pPr>
      <w:r>
        <w:rPr>
          <w:color w:val="231F20"/>
          <w:w w:val="66"/>
        </w:rPr>
        <w:t> </w:t>
      </w:r>
      <w:r>
        <w:rPr>
          <w:color w:val="231F20"/>
        </w:rPr>
        <w:t>– заштита квалитета средине и квалитета живљења (обезбе- ђење, у складу са реалним друштвеним могућностима, прихва- тљивих еколошких и амбијенталних стандарда, као и општег ни- воа друштвеног стандарда, доступности јавних сервиса и друго, како на ужем тако и на ширем подручју) и</w:t>
      </w:r>
    </w:p>
    <w:p>
      <w:pPr>
        <w:pStyle w:val="BodyText"/>
        <w:spacing w:line="232" w:lineRule="auto" w:before="6"/>
        <w:ind w:left="169" w:right="412" w:firstLine="397"/>
      </w:pPr>
      <w:r>
        <w:rPr>
          <w:color w:val="231F20"/>
          <w:w w:val="66"/>
        </w:rPr>
        <w:t> </w:t>
      </w:r>
      <w:r>
        <w:rPr>
          <w:color w:val="231F20"/>
        </w:rPr>
        <w:t>– </w:t>
      </w:r>
      <w:r>
        <w:rPr>
          <w:color w:val="231F20"/>
          <w:spacing w:val="-4"/>
        </w:rPr>
        <w:t>обезбеђење сигурности </w:t>
      </w:r>
      <w:r>
        <w:rPr>
          <w:color w:val="231F20"/>
          <w:spacing w:val="-5"/>
        </w:rPr>
        <w:t>од природних </w:t>
      </w:r>
      <w:r>
        <w:rPr>
          <w:color w:val="231F20"/>
        </w:rPr>
        <w:t>и </w:t>
      </w:r>
      <w:r>
        <w:rPr>
          <w:color w:val="231F20"/>
          <w:spacing w:val="-4"/>
        </w:rPr>
        <w:t>створених </w:t>
      </w:r>
      <w:r>
        <w:rPr>
          <w:color w:val="231F20"/>
          <w:spacing w:val="-3"/>
        </w:rPr>
        <w:t>деструк- </w:t>
      </w:r>
      <w:r>
        <w:rPr>
          <w:color w:val="231F20"/>
          <w:spacing w:val="-4"/>
        </w:rPr>
        <w:t>тивних утицаја (уграђивање </w:t>
      </w:r>
      <w:r>
        <w:rPr>
          <w:color w:val="231F20"/>
        </w:rPr>
        <w:t>у </w:t>
      </w:r>
      <w:r>
        <w:rPr>
          <w:color w:val="231F20"/>
          <w:spacing w:val="-5"/>
        </w:rPr>
        <w:t>планске концепције </w:t>
      </w:r>
      <w:r>
        <w:rPr>
          <w:color w:val="231F20"/>
        </w:rPr>
        <w:t>и </w:t>
      </w:r>
      <w:r>
        <w:rPr>
          <w:color w:val="231F20"/>
          <w:spacing w:val="-4"/>
        </w:rPr>
        <w:t>решења критери- јума сигурности </w:t>
      </w:r>
      <w:r>
        <w:rPr>
          <w:color w:val="231F20"/>
          <w:spacing w:val="-6"/>
        </w:rPr>
        <w:t>који </w:t>
      </w:r>
      <w:r>
        <w:rPr>
          <w:color w:val="231F20"/>
        </w:rPr>
        <w:t>ће </w:t>
      </w:r>
      <w:r>
        <w:rPr>
          <w:color w:val="231F20"/>
          <w:spacing w:val="-4"/>
        </w:rPr>
        <w:t>допринети смањивању ризика </w:t>
      </w:r>
      <w:r>
        <w:rPr>
          <w:color w:val="231F20"/>
        </w:rPr>
        <w:t>у </w:t>
      </w:r>
      <w:r>
        <w:rPr>
          <w:color w:val="231F20"/>
          <w:spacing w:val="-4"/>
        </w:rPr>
        <w:t>ванредним </w:t>
      </w:r>
      <w:r>
        <w:rPr>
          <w:color w:val="231F20"/>
          <w:spacing w:val="-5"/>
        </w:rPr>
        <w:t>околностима, </w:t>
      </w:r>
      <w:r>
        <w:rPr>
          <w:color w:val="231F20"/>
          <w:spacing w:val="-4"/>
        </w:rPr>
        <w:t>као </w:t>
      </w:r>
      <w:r>
        <w:rPr>
          <w:color w:val="231F20"/>
        </w:rPr>
        <w:t>и </w:t>
      </w:r>
      <w:r>
        <w:rPr>
          <w:color w:val="231F20"/>
          <w:spacing w:val="-4"/>
        </w:rPr>
        <w:t>смањењу повредивости становништва, насеља, техничких </w:t>
      </w:r>
      <w:r>
        <w:rPr>
          <w:color w:val="231F20"/>
        </w:rPr>
        <w:t>и </w:t>
      </w:r>
      <w:r>
        <w:rPr>
          <w:color w:val="231F20"/>
          <w:spacing w:val="-5"/>
        </w:rPr>
        <w:t>комуналних </w:t>
      </w:r>
      <w:r>
        <w:rPr>
          <w:color w:val="231F20"/>
          <w:spacing w:val="-4"/>
        </w:rPr>
        <w:t>система, </w:t>
      </w:r>
      <w:r>
        <w:rPr>
          <w:color w:val="231F20"/>
          <w:spacing w:val="-5"/>
        </w:rPr>
        <w:t>природне </w:t>
      </w:r>
      <w:r>
        <w:rPr>
          <w:color w:val="231F20"/>
          <w:spacing w:val="-4"/>
        </w:rPr>
        <w:t>средине </w:t>
      </w:r>
      <w:r>
        <w:rPr>
          <w:color w:val="231F20"/>
        </w:rPr>
        <w:t>и </w:t>
      </w:r>
      <w:r>
        <w:rPr>
          <w:color w:val="231F20"/>
          <w:spacing w:val="-5"/>
        </w:rPr>
        <w:t>друго).</w:t>
      </w:r>
    </w:p>
    <w:p>
      <w:pPr>
        <w:spacing w:after="0" w:line="232" w:lineRule="auto"/>
        <w:sectPr>
          <w:pgSz w:w="12480" w:h="15690"/>
          <w:pgMar w:top="120" w:bottom="280" w:left="680" w:right="720"/>
          <w:cols w:num="2" w:equalWidth="0">
            <w:col w:w="5315" w:space="71"/>
            <w:col w:w="5694"/>
          </w:cols>
        </w:sectPr>
      </w:pPr>
    </w:p>
    <w:p>
      <w:pPr>
        <w:pStyle w:val="ListParagraph"/>
        <w:numPr>
          <w:ilvl w:val="1"/>
          <w:numId w:val="26"/>
        </w:numPr>
        <w:tabs>
          <w:tab w:pos="2008" w:val="left" w:leader="none"/>
        </w:tabs>
        <w:spacing w:line="240" w:lineRule="auto" w:before="68" w:after="0"/>
        <w:ind w:left="2007" w:right="0" w:hanging="315"/>
        <w:jc w:val="left"/>
        <w:rPr>
          <w:i/>
          <w:sz w:val="18"/>
        </w:rPr>
      </w:pPr>
      <w:r>
        <w:rPr>
          <w:i/>
          <w:color w:val="231F20"/>
          <w:sz w:val="18"/>
        </w:rPr>
        <w:t>Циљеви развоја по</w:t>
      </w:r>
      <w:r>
        <w:rPr>
          <w:i/>
          <w:color w:val="231F20"/>
          <w:spacing w:val="-3"/>
          <w:sz w:val="18"/>
        </w:rPr>
        <w:t> </w:t>
      </w:r>
      <w:r>
        <w:rPr>
          <w:i/>
          <w:color w:val="231F20"/>
          <w:sz w:val="18"/>
        </w:rPr>
        <w:t>областима</w:t>
      </w:r>
    </w:p>
    <w:p>
      <w:pPr>
        <w:pStyle w:val="ListParagraph"/>
        <w:numPr>
          <w:ilvl w:val="2"/>
          <w:numId w:val="26"/>
        </w:numPr>
        <w:tabs>
          <w:tab w:pos="2106" w:val="left" w:leader="none"/>
        </w:tabs>
        <w:spacing w:line="429" w:lineRule="auto" w:before="163" w:after="0"/>
        <w:ind w:left="2618" w:right="1199" w:hanging="963"/>
        <w:jc w:val="left"/>
        <w:rPr>
          <w:sz w:val="18"/>
        </w:rPr>
      </w:pPr>
      <w:r>
        <w:rPr>
          <w:color w:val="231F20"/>
          <w:spacing w:val="15"/>
          <w:sz w:val="18"/>
        </w:rPr>
        <w:t>Рударство </w:t>
      </w:r>
      <w:r>
        <w:rPr>
          <w:color w:val="231F20"/>
          <w:sz w:val="18"/>
        </w:rPr>
        <w:t>и </w:t>
      </w:r>
      <w:r>
        <w:rPr>
          <w:color w:val="231F20"/>
          <w:spacing w:val="16"/>
          <w:sz w:val="18"/>
        </w:rPr>
        <w:t>енергетика </w:t>
      </w:r>
      <w:r>
        <w:rPr>
          <w:color w:val="231F20"/>
          <w:sz w:val="18"/>
        </w:rPr>
        <w:t>Рударство</w:t>
      </w:r>
    </w:p>
    <w:p>
      <w:pPr>
        <w:pStyle w:val="BodyText"/>
        <w:spacing w:line="230" w:lineRule="auto" w:before="36"/>
        <w:ind w:left="453" w:firstLine="397"/>
      </w:pPr>
      <w:r>
        <w:rPr>
          <w:color w:val="231F20"/>
        </w:rPr>
        <w:t>Основни правци развоја </w:t>
      </w:r>
      <w:r>
        <w:rPr>
          <w:color w:val="231F20"/>
          <w:spacing w:val="-3"/>
        </w:rPr>
        <w:t>Костолачког </w:t>
      </w:r>
      <w:r>
        <w:rPr>
          <w:color w:val="231F20"/>
        </w:rPr>
        <w:t>угљеног басена одре- ђени су стратешким опредељењима развоја енергетике </w:t>
      </w:r>
      <w:r>
        <w:rPr>
          <w:color w:val="231F20"/>
          <w:spacing w:val="-3"/>
        </w:rPr>
        <w:t>Републике </w:t>
      </w:r>
      <w:r>
        <w:rPr>
          <w:color w:val="231F20"/>
        </w:rPr>
        <w:t>Србије. Општи развојни циљ је обезбеђење просторних услова за укупни</w:t>
      </w:r>
      <w:r>
        <w:rPr>
          <w:color w:val="231F20"/>
          <w:spacing w:val="-10"/>
        </w:rPr>
        <w:t> </w:t>
      </w:r>
      <w:r>
        <w:rPr>
          <w:color w:val="231F20"/>
        </w:rPr>
        <w:t>одрживи</w:t>
      </w:r>
      <w:r>
        <w:rPr>
          <w:color w:val="231F20"/>
          <w:spacing w:val="-10"/>
        </w:rPr>
        <w:t> </w:t>
      </w:r>
      <w:r>
        <w:rPr>
          <w:color w:val="231F20"/>
        </w:rPr>
        <w:t>развој</w:t>
      </w:r>
      <w:r>
        <w:rPr>
          <w:color w:val="231F20"/>
          <w:spacing w:val="-10"/>
        </w:rPr>
        <w:t> </w:t>
      </w:r>
      <w:r>
        <w:rPr>
          <w:color w:val="231F20"/>
        </w:rPr>
        <w:t>Планског</w:t>
      </w:r>
      <w:r>
        <w:rPr>
          <w:color w:val="231F20"/>
          <w:spacing w:val="-10"/>
        </w:rPr>
        <w:t> </w:t>
      </w:r>
      <w:r>
        <w:rPr>
          <w:color w:val="231F20"/>
        </w:rPr>
        <w:t>подручја,</w:t>
      </w:r>
      <w:r>
        <w:rPr>
          <w:color w:val="231F20"/>
          <w:spacing w:val="-10"/>
        </w:rPr>
        <w:t> </w:t>
      </w:r>
      <w:r>
        <w:rPr>
          <w:color w:val="231F20"/>
        </w:rPr>
        <w:t>рационалну</w:t>
      </w:r>
      <w:r>
        <w:rPr>
          <w:color w:val="231F20"/>
          <w:spacing w:val="-10"/>
        </w:rPr>
        <w:t> </w:t>
      </w:r>
      <w:r>
        <w:rPr>
          <w:color w:val="231F20"/>
        </w:rPr>
        <w:t>експлоата- цију лежишта лигнита у </w:t>
      </w:r>
      <w:r>
        <w:rPr>
          <w:color w:val="231F20"/>
          <w:spacing w:val="-4"/>
        </w:rPr>
        <w:t>Костолачком </w:t>
      </w:r>
      <w:r>
        <w:rPr>
          <w:color w:val="231F20"/>
          <w:spacing w:val="-3"/>
        </w:rPr>
        <w:t>басену, </w:t>
      </w:r>
      <w:r>
        <w:rPr>
          <w:color w:val="231F20"/>
        </w:rPr>
        <w:t>ефикасно, рационал- но и организовано коришћење људских, природних и изграђених потенцијала, у социоекономском, просторном и </w:t>
      </w:r>
      <w:r>
        <w:rPr>
          <w:color w:val="231F20"/>
          <w:spacing w:val="-4"/>
        </w:rPr>
        <w:t>еколошком </w:t>
      </w:r>
      <w:r>
        <w:rPr>
          <w:color w:val="231F20"/>
          <w:spacing w:val="-3"/>
        </w:rPr>
        <w:t>погле- </w:t>
      </w:r>
      <w:r>
        <w:rPr>
          <w:color w:val="231F20"/>
          <w:spacing w:val="-6"/>
        </w:rPr>
        <w:t>ду. </w:t>
      </w:r>
      <w:r>
        <w:rPr>
          <w:color w:val="231F20"/>
        </w:rPr>
        <w:t>Развојна политика се базира на принципима одрживог развоја у области </w:t>
      </w:r>
      <w:r>
        <w:rPr>
          <w:color w:val="231F20"/>
          <w:spacing w:val="-3"/>
        </w:rPr>
        <w:t>рударства </w:t>
      </w:r>
      <w:r>
        <w:rPr>
          <w:color w:val="231F20"/>
        </w:rPr>
        <w:t>и обухвата три аспекта:</w:t>
      </w:r>
    </w:p>
    <w:p>
      <w:pPr>
        <w:pStyle w:val="ListParagraph"/>
        <w:numPr>
          <w:ilvl w:val="1"/>
          <w:numId w:val="25"/>
        </w:numPr>
        <w:tabs>
          <w:tab w:pos="1046" w:val="left" w:leader="none"/>
        </w:tabs>
        <w:spacing w:line="195" w:lineRule="exact" w:before="0" w:after="0"/>
        <w:ind w:left="1045" w:right="0" w:hanging="195"/>
        <w:jc w:val="left"/>
        <w:rPr>
          <w:sz w:val="18"/>
        </w:rPr>
      </w:pPr>
      <w:r>
        <w:rPr>
          <w:color w:val="231F20"/>
          <w:sz w:val="18"/>
        </w:rPr>
        <w:t>економски:</w:t>
      </w:r>
    </w:p>
    <w:p>
      <w:pPr>
        <w:pStyle w:val="BodyText"/>
        <w:spacing w:line="230" w:lineRule="auto" w:before="2"/>
        <w:ind w:left="453" w:firstLine="397"/>
      </w:pPr>
      <w:r>
        <w:rPr>
          <w:color w:val="231F20"/>
          <w:w w:val="66"/>
        </w:rPr>
        <w:t> </w:t>
      </w:r>
      <w:r>
        <w:rPr>
          <w:color w:val="231F20"/>
        </w:rPr>
        <w:t>– обезбеђење одговарајућег дугорочног економског окруже- ња за истраживање и рударске активности како би се обезбедила експлоатација и испорука угља;</w:t>
      </w:r>
    </w:p>
    <w:p>
      <w:pPr>
        <w:pStyle w:val="BodyText"/>
        <w:spacing w:line="230" w:lineRule="auto"/>
        <w:ind w:left="453" w:firstLine="396"/>
      </w:pPr>
      <w:r>
        <w:rPr>
          <w:color w:val="231F20"/>
          <w:w w:val="66"/>
        </w:rPr>
        <w:t> </w:t>
      </w:r>
      <w:r>
        <w:rPr>
          <w:color w:val="231F20"/>
        </w:rPr>
        <w:t>– заштита ресурса угља кроз планирање коришћења земљи- шта за сигурну будућу доступност и експлоатацију;</w:t>
      </w:r>
    </w:p>
    <w:p>
      <w:pPr>
        <w:pStyle w:val="BodyText"/>
        <w:spacing w:line="230" w:lineRule="auto"/>
        <w:ind w:left="453" w:firstLine="397"/>
      </w:pPr>
      <w:r>
        <w:rPr>
          <w:color w:val="231F20"/>
          <w:w w:val="66"/>
        </w:rPr>
        <w:t> </w:t>
      </w:r>
      <w:r>
        <w:rPr>
          <w:color w:val="231F20"/>
        </w:rPr>
        <w:t>– развој нових технологија у циљу већег (максималног) ис- коришћења лежишта и то у свим фазама од истраживања, преко експлоатације до испоруке потрошачима и</w:t>
      </w:r>
    </w:p>
    <w:p>
      <w:pPr>
        <w:pStyle w:val="BodyText"/>
        <w:spacing w:line="196" w:lineRule="exact"/>
        <w:ind w:left="850"/>
        <w:jc w:val="left"/>
      </w:pPr>
      <w:r>
        <w:rPr>
          <w:color w:val="231F20"/>
          <w:w w:val="66"/>
        </w:rPr>
        <w:t> </w:t>
      </w:r>
      <w:r>
        <w:rPr>
          <w:color w:val="231F20"/>
        </w:rPr>
        <w:t>– промовисање енергетске ефикасности;</w:t>
      </w:r>
    </w:p>
    <w:p>
      <w:pPr>
        <w:pStyle w:val="ListParagraph"/>
        <w:numPr>
          <w:ilvl w:val="1"/>
          <w:numId w:val="25"/>
        </w:numPr>
        <w:tabs>
          <w:tab w:pos="1046" w:val="left" w:leader="none"/>
        </w:tabs>
        <w:spacing w:line="199" w:lineRule="exact" w:before="0" w:after="0"/>
        <w:ind w:left="1045" w:right="0" w:hanging="195"/>
        <w:jc w:val="left"/>
        <w:rPr>
          <w:sz w:val="18"/>
        </w:rPr>
      </w:pPr>
      <w:r>
        <w:rPr>
          <w:color w:val="231F20"/>
          <w:sz w:val="18"/>
        </w:rPr>
        <w:t>социјални:</w:t>
      </w:r>
    </w:p>
    <w:p>
      <w:pPr>
        <w:pStyle w:val="BodyText"/>
        <w:spacing w:line="230" w:lineRule="auto" w:before="2"/>
        <w:ind w:left="453" w:firstLine="397"/>
      </w:pPr>
      <w:r>
        <w:rPr>
          <w:color w:val="231F20"/>
          <w:w w:val="66"/>
        </w:rPr>
        <w:t> </w:t>
      </w:r>
      <w:r>
        <w:rPr>
          <w:color w:val="231F20"/>
        </w:rPr>
        <w:t>– промовисање суштинског доприноса експлоатације угља у друштву;</w:t>
      </w:r>
    </w:p>
    <w:p>
      <w:pPr>
        <w:pStyle w:val="BodyText"/>
        <w:spacing w:line="230" w:lineRule="auto"/>
        <w:ind w:left="452" w:firstLine="397"/>
      </w:pPr>
      <w:r>
        <w:rPr>
          <w:color w:val="231F20"/>
          <w:w w:val="66"/>
        </w:rPr>
        <w:t> </w:t>
      </w:r>
      <w:r>
        <w:rPr>
          <w:color w:val="231F20"/>
        </w:rPr>
        <w:t>– промовисање транспарентности рударско-енергетског сек- тора,</w:t>
      </w:r>
      <w:r>
        <w:rPr>
          <w:color w:val="231F20"/>
          <w:spacing w:val="-6"/>
        </w:rPr>
        <w:t> </w:t>
      </w:r>
      <w:r>
        <w:rPr>
          <w:color w:val="231F20"/>
        </w:rPr>
        <w:t>НВО</w:t>
      </w:r>
      <w:r>
        <w:rPr>
          <w:color w:val="231F20"/>
          <w:spacing w:val="-6"/>
        </w:rPr>
        <w:t> </w:t>
      </w:r>
      <w:r>
        <w:rPr>
          <w:color w:val="231F20"/>
        </w:rPr>
        <w:t>и</w:t>
      </w:r>
      <w:r>
        <w:rPr>
          <w:color w:val="231F20"/>
          <w:spacing w:val="-6"/>
        </w:rPr>
        <w:t> </w:t>
      </w:r>
      <w:r>
        <w:rPr>
          <w:color w:val="231F20"/>
        </w:rPr>
        <w:t>јавности</w:t>
      </w:r>
      <w:r>
        <w:rPr>
          <w:color w:val="231F20"/>
          <w:spacing w:val="-6"/>
        </w:rPr>
        <w:t> </w:t>
      </w:r>
      <w:r>
        <w:rPr>
          <w:color w:val="231F20"/>
        </w:rPr>
        <w:t>(од</w:t>
      </w:r>
      <w:r>
        <w:rPr>
          <w:color w:val="231F20"/>
          <w:spacing w:val="-6"/>
        </w:rPr>
        <w:t> </w:t>
      </w:r>
      <w:r>
        <w:rPr>
          <w:color w:val="231F20"/>
        </w:rPr>
        <w:t>локалног</w:t>
      </w:r>
      <w:r>
        <w:rPr>
          <w:color w:val="231F20"/>
          <w:spacing w:val="-6"/>
        </w:rPr>
        <w:t> </w:t>
      </w:r>
      <w:r>
        <w:rPr>
          <w:color w:val="231F20"/>
        </w:rPr>
        <w:t>до</w:t>
      </w:r>
      <w:r>
        <w:rPr>
          <w:color w:val="231F20"/>
          <w:spacing w:val="-6"/>
        </w:rPr>
        <w:t> </w:t>
      </w:r>
      <w:r>
        <w:rPr>
          <w:color w:val="231F20"/>
        </w:rPr>
        <w:t>националног</w:t>
      </w:r>
      <w:r>
        <w:rPr>
          <w:color w:val="231F20"/>
          <w:spacing w:val="-6"/>
        </w:rPr>
        <w:t> </w:t>
      </w:r>
      <w:r>
        <w:rPr>
          <w:color w:val="231F20"/>
        </w:rPr>
        <w:t>нивоа),</w:t>
      </w:r>
      <w:r>
        <w:rPr>
          <w:color w:val="231F20"/>
          <w:spacing w:val="-6"/>
        </w:rPr>
        <w:t> </w:t>
      </w:r>
      <w:r>
        <w:rPr>
          <w:color w:val="231F20"/>
          <w:spacing w:val="-4"/>
        </w:rPr>
        <w:t>како</w:t>
      </w:r>
      <w:r>
        <w:rPr>
          <w:color w:val="231F20"/>
          <w:spacing w:val="-6"/>
        </w:rPr>
        <w:t> </w:t>
      </w:r>
      <w:r>
        <w:rPr>
          <w:color w:val="231F20"/>
        </w:rPr>
        <w:t>би се</w:t>
      </w:r>
      <w:r>
        <w:rPr>
          <w:color w:val="231F20"/>
          <w:spacing w:val="-7"/>
        </w:rPr>
        <w:t> </w:t>
      </w:r>
      <w:r>
        <w:rPr>
          <w:color w:val="231F20"/>
        </w:rPr>
        <w:t>дала</w:t>
      </w:r>
      <w:r>
        <w:rPr>
          <w:color w:val="231F20"/>
          <w:spacing w:val="-7"/>
        </w:rPr>
        <w:t> </w:t>
      </w:r>
      <w:r>
        <w:rPr>
          <w:color w:val="231F20"/>
        </w:rPr>
        <w:t>подршка</w:t>
      </w:r>
      <w:r>
        <w:rPr>
          <w:color w:val="231F20"/>
          <w:spacing w:val="-7"/>
        </w:rPr>
        <w:t> </w:t>
      </w:r>
      <w:r>
        <w:rPr>
          <w:color w:val="231F20"/>
        </w:rPr>
        <w:t>јасним</w:t>
      </w:r>
      <w:r>
        <w:rPr>
          <w:color w:val="231F20"/>
          <w:spacing w:val="-7"/>
        </w:rPr>
        <w:t> </w:t>
      </w:r>
      <w:r>
        <w:rPr>
          <w:color w:val="231F20"/>
        </w:rPr>
        <w:t>и</w:t>
      </w:r>
      <w:r>
        <w:rPr>
          <w:color w:val="231F20"/>
          <w:spacing w:val="-8"/>
        </w:rPr>
        <w:t> </w:t>
      </w:r>
      <w:r>
        <w:rPr>
          <w:color w:val="231F20"/>
        </w:rPr>
        <w:t>правовремено</w:t>
      </w:r>
      <w:r>
        <w:rPr>
          <w:color w:val="231F20"/>
          <w:spacing w:val="-8"/>
        </w:rPr>
        <w:t> </w:t>
      </w:r>
      <w:r>
        <w:rPr>
          <w:color w:val="231F20"/>
        </w:rPr>
        <w:t>донетим</w:t>
      </w:r>
      <w:r>
        <w:rPr>
          <w:color w:val="231F20"/>
          <w:spacing w:val="-7"/>
        </w:rPr>
        <w:t> </w:t>
      </w:r>
      <w:r>
        <w:rPr>
          <w:color w:val="231F20"/>
        </w:rPr>
        <w:t>одлукама</w:t>
      </w:r>
      <w:r>
        <w:rPr>
          <w:color w:val="231F20"/>
          <w:spacing w:val="-7"/>
        </w:rPr>
        <w:t> </w:t>
      </w:r>
      <w:r>
        <w:rPr>
          <w:color w:val="231F20"/>
        </w:rPr>
        <w:t>у</w:t>
      </w:r>
      <w:r>
        <w:rPr>
          <w:color w:val="231F20"/>
          <w:spacing w:val="-7"/>
        </w:rPr>
        <w:t> </w:t>
      </w:r>
      <w:r>
        <w:rPr>
          <w:color w:val="231F20"/>
        </w:rPr>
        <w:t>обла- сти истраживања, експлоатације и искоришћења</w:t>
      </w:r>
      <w:r>
        <w:rPr>
          <w:color w:val="231F20"/>
          <w:spacing w:val="-10"/>
        </w:rPr>
        <w:t> </w:t>
      </w:r>
      <w:r>
        <w:rPr>
          <w:color w:val="231F20"/>
        </w:rPr>
        <w:t>угља;</w:t>
      </w:r>
    </w:p>
    <w:p>
      <w:pPr>
        <w:pStyle w:val="BodyText"/>
        <w:spacing w:line="195" w:lineRule="exact"/>
        <w:ind w:left="849"/>
        <w:jc w:val="left"/>
      </w:pPr>
      <w:r>
        <w:rPr>
          <w:color w:val="231F20"/>
          <w:w w:val="66"/>
        </w:rPr>
        <w:t> </w:t>
      </w:r>
      <w:r>
        <w:rPr>
          <w:color w:val="231F20"/>
        </w:rPr>
        <w:t>– промовисање корпоративне одговорности </w:t>
      </w:r>
      <w:r>
        <w:rPr>
          <w:color w:val="231F20"/>
          <w:spacing w:val="-3"/>
        </w:rPr>
        <w:t>рударског </w:t>
      </w:r>
      <w:r>
        <w:rPr>
          <w:color w:val="231F20"/>
        </w:rPr>
        <w:t>секто-</w:t>
      </w:r>
    </w:p>
    <w:p>
      <w:pPr>
        <w:pStyle w:val="BodyText"/>
        <w:spacing w:line="199" w:lineRule="exact"/>
        <w:ind w:left="452"/>
        <w:jc w:val="left"/>
      </w:pPr>
      <w:r>
        <w:rPr>
          <w:color w:val="231F20"/>
        </w:rPr>
        <w:t>ра и</w:t>
      </w:r>
    </w:p>
    <w:p>
      <w:pPr>
        <w:pStyle w:val="ListParagraph"/>
        <w:numPr>
          <w:ilvl w:val="1"/>
          <w:numId w:val="25"/>
        </w:numPr>
        <w:tabs>
          <w:tab w:pos="1045" w:val="left" w:leader="none"/>
        </w:tabs>
        <w:spacing w:line="199" w:lineRule="exact" w:before="0" w:after="0"/>
        <w:ind w:left="1044" w:right="0" w:hanging="195"/>
        <w:jc w:val="left"/>
        <w:rPr>
          <w:sz w:val="18"/>
        </w:rPr>
      </w:pPr>
      <w:r>
        <w:rPr>
          <w:color w:val="231F20"/>
          <w:sz w:val="18"/>
        </w:rPr>
        <w:t>аспект животне</w:t>
      </w:r>
      <w:r>
        <w:rPr>
          <w:color w:val="231F20"/>
          <w:spacing w:val="-19"/>
          <w:sz w:val="18"/>
        </w:rPr>
        <w:t> </w:t>
      </w:r>
      <w:r>
        <w:rPr>
          <w:color w:val="231F20"/>
          <w:sz w:val="18"/>
        </w:rPr>
        <w:t>средине:</w:t>
      </w:r>
    </w:p>
    <w:p>
      <w:pPr>
        <w:pStyle w:val="BodyText"/>
        <w:spacing w:line="230" w:lineRule="auto" w:before="2"/>
        <w:ind w:left="452" w:right="1" w:firstLine="396"/>
      </w:pPr>
      <w:r>
        <w:rPr>
          <w:color w:val="231F20"/>
          <w:w w:val="66"/>
        </w:rPr>
        <w:t> </w:t>
      </w:r>
      <w:r>
        <w:rPr>
          <w:color w:val="231F20"/>
        </w:rPr>
        <w:t>– обезбеђење контроле прихватљивог нивоа ризика негатив- них утицаја на животну средину од рударства;</w:t>
      </w:r>
    </w:p>
    <w:p>
      <w:pPr>
        <w:pStyle w:val="BodyText"/>
        <w:spacing w:line="230" w:lineRule="auto"/>
        <w:ind w:left="452" w:right="1" w:firstLine="396"/>
      </w:pPr>
      <w:r>
        <w:rPr>
          <w:color w:val="231F20"/>
          <w:w w:val="66"/>
        </w:rPr>
        <w:t> </w:t>
      </w:r>
      <w:r>
        <w:rPr>
          <w:color w:val="231F20"/>
        </w:rPr>
        <w:t>– промовисање очувања земљишта кроз рекултивацију и праксу континуалног мониторинга и</w:t>
      </w:r>
    </w:p>
    <w:p>
      <w:pPr>
        <w:pStyle w:val="BodyText"/>
        <w:spacing w:line="230" w:lineRule="auto"/>
        <w:ind w:left="452" w:right="1" w:firstLine="397"/>
      </w:pPr>
      <w:r>
        <w:rPr>
          <w:color w:val="231F20"/>
          <w:w w:val="66"/>
        </w:rPr>
        <w:t> </w:t>
      </w:r>
      <w:r>
        <w:rPr>
          <w:color w:val="231F20"/>
        </w:rPr>
        <w:t>–</w:t>
      </w:r>
      <w:r>
        <w:rPr>
          <w:color w:val="231F20"/>
          <w:spacing w:val="-7"/>
        </w:rPr>
        <w:t> </w:t>
      </w:r>
      <w:r>
        <w:rPr>
          <w:color w:val="231F20"/>
        </w:rPr>
        <w:t>промовисање</w:t>
      </w:r>
      <w:r>
        <w:rPr>
          <w:color w:val="231F20"/>
          <w:spacing w:val="-7"/>
        </w:rPr>
        <w:t> </w:t>
      </w:r>
      <w:r>
        <w:rPr>
          <w:color w:val="231F20"/>
        </w:rPr>
        <w:t>истраживања</w:t>
      </w:r>
      <w:r>
        <w:rPr>
          <w:color w:val="231F20"/>
          <w:spacing w:val="-7"/>
        </w:rPr>
        <w:t> </w:t>
      </w:r>
      <w:r>
        <w:rPr>
          <w:color w:val="231F20"/>
        </w:rPr>
        <w:t>и</w:t>
      </w:r>
      <w:r>
        <w:rPr>
          <w:color w:val="231F20"/>
          <w:spacing w:val="-7"/>
        </w:rPr>
        <w:t> </w:t>
      </w:r>
      <w:r>
        <w:rPr>
          <w:color w:val="231F20"/>
        </w:rPr>
        <w:t>развоја</w:t>
      </w:r>
      <w:r>
        <w:rPr>
          <w:color w:val="231F20"/>
          <w:spacing w:val="-7"/>
        </w:rPr>
        <w:t> </w:t>
      </w:r>
      <w:r>
        <w:rPr>
          <w:color w:val="231F20"/>
        </w:rPr>
        <w:t>еколошких</w:t>
      </w:r>
      <w:r>
        <w:rPr>
          <w:color w:val="231F20"/>
          <w:spacing w:val="-7"/>
        </w:rPr>
        <w:t> </w:t>
      </w:r>
      <w:r>
        <w:rPr>
          <w:color w:val="231F20"/>
        </w:rPr>
        <w:t>рударских метода</w:t>
      </w:r>
      <w:r>
        <w:rPr>
          <w:color w:val="231F20"/>
          <w:spacing w:val="-8"/>
        </w:rPr>
        <w:t> </w:t>
      </w:r>
      <w:r>
        <w:rPr>
          <w:color w:val="231F20"/>
        </w:rPr>
        <w:t>(од</w:t>
      </w:r>
      <w:r>
        <w:rPr>
          <w:color w:val="231F20"/>
          <w:spacing w:val="-8"/>
        </w:rPr>
        <w:t> </w:t>
      </w:r>
      <w:r>
        <w:rPr>
          <w:color w:val="231F20"/>
        </w:rPr>
        <w:t>почетка</w:t>
      </w:r>
      <w:r>
        <w:rPr>
          <w:color w:val="231F20"/>
          <w:spacing w:val="-8"/>
        </w:rPr>
        <w:t> </w:t>
      </w:r>
      <w:r>
        <w:rPr>
          <w:color w:val="231F20"/>
        </w:rPr>
        <w:t>до</w:t>
      </w:r>
      <w:r>
        <w:rPr>
          <w:color w:val="231F20"/>
          <w:spacing w:val="-8"/>
        </w:rPr>
        <w:t> </w:t>
      </w:r>
      <w:r>
        <w:rPr>
          <w:color w:val="231F20"/>
        </w:rPr>
        <w:t>краја</w:t>
      </w:r>
      <w:r>
        <w:rPr>
          <w:color w:val="231F20"/>
          <w:spacing w:val="-8"/>
        </w:rPr>
        <w:t> </w:t>
      </w:r>
      <w:r>
        <w:rPr>
          <w:color w:val="231F20"/>
        </w:rPr>
        <w:t>експлоатације),</w:t>
      </w:r>
      <w:r>
        <w:rPr>
          <w:color w:val="231F20"/>
          <w:spacing w:val="-8"/>
        </w:rPr>
        <w:t> </w:t>
      </w:r>
      <w:r>
        <w:rPr>
          <w:color w:val="231F20"/>
        </w:rPr>
        <w:t>ефикасног</w:t>
      </w:r>
      <w:r>
        <w:rPr>
          <w:color w:val="231F20"/>
          <w:spacing w:val="-8"/>
        </w:rPr>
        <w:t> </w:t>
      </w:r>
      <w:r>
        <w:rPr>
          <w:color w:val="231F20"/>
        </w:rPr>
        <w:t>коришћења материјала,</w:t>
      </w:r>
      <w:r>
        <w:rPr>
          <w:color w:val="231F20"/>
          <w:spacing w:val="-11"/>
        </w:rPr>
        <w:t> </w:t>
      </w:r>
      <w:r>
        <w:rPr>
          <w:color w:val="231F20"/>
        </w:rPr>
        <w:t>замене,</w:t>
      </w:r>
      <w:r>
        <w:rPr>
          <w:color w:val="231F20"/>
          <w:spacing w:val="-11"/>
        </w:rPr>
        <w:t> </w:t>
      </w:r>
      <w:r>
        <w:rPr>
          <w:color w:val="231F20"/>
        </w:rPr>
        <w:t>рециклаже</w:t>
      </w:r>
      <w:r>
        <w:rPr>
          <w:color w:val="231F20"/>
          <w:spacing w:val="-11"/>
        </w:rPr>
        <w:t> </w:t>
      </w:r>
      <w:r>
        <w:rPr>
          <w:color w:val="231F20"/>
        </w:rPr>
        <w:t>и</w:t>
      </w:r>
      <w:r>
        <w:rPr>
          <w:color w:val="231F20"/>
          <w:spacing w:val="-11"/>
        </w:rPr>
        <w:t> </w:t>
      </w:r>
      <w:r>
        <w:rPr>
          <w:color w:val="231F20"/>
        </w:rPr>
        <w:t>коришћења</w:t>
      </w:r>
      <w:r>
        <w:rPr>
          <w:color w:val="231F20"/>
          <w:spacing w:val="-11"/>
        </w:rPr>
        <w:t> </w:t>
      </w:r>
      <w:r>
        <w:rPr>
          <w:color w:val="231F20"/>
        </w:rPr>
        <w:t>најбољих</w:t>
      </w:r>
      <w:r>
        <w:rPr>
          <w:color w:val="231F20"/>
          <w:spacing w:val="-11"/>
        </w:rPr>
        <w:t> </w:t>
      </w:r>
      <w:r>
        <w:rPr>
          <w:color w:val="231F20"/>
        </w:rPr>
        <w:t>расположи- вих</w:t>
      </w:r>
      <w:r>
        <w:rPr>
          <w:color w:val="231F20"/>
          <w:spacing w:val="-2"/>
        </w:rPr>
        <w:t> </w:t>
      </w:r>
      <w:r>
        <w:rPr>
          <w:color w:val="231F20"/>
        </w:rPr>
        <w:t>техника.</w:t>
      </w:r>
    </w:p>
    <w:p>
      <w:pPr>
        <w:pStyle w:val="BodyText"/>
        <w:spacing w:line="232" w:lineRule="auto" w:before="76"/>
        <w:ind w:left="241" w:right="129" w:firstLine="396"/>
      </w:pPr>
      <w:r>
        <w:rPr/>
        <w:br w:type="column"/>
      </w:r>
      <w:r>
        <w:rPr>
          <w:color w:val="231F20"/>
        </w:rPr>
        <w:t>Основни и оперативни циљеви развоја и размештаја рудар- ско-енергетског комплекса су:</w:t>
      </w:r>
    </w:p>
    <w:p>
      <w:pPr>
        <w:pStyle w:val="BodyText"/>
        <w:spacing w:line="232" w:lineRule="auto"/>
        <w:ind w:left="241" w:right="130" w:firstLine="397"/>
      </w:pPr>
      <w:r>
        <w:rPr>
          <w:color w:val="231F20"/>
          <w:w w:val="66"/>
        </w:rPr>
        <w:t> </w:t>
      </w:r>
      <w:r>
        <w:rPr>
          <w:color w:val="231F20"/>
        </w:rPr>
        <w:t>–</w:t>
      </w:r>
      <w:r>
        <w:rPr>
          <w:color w:val="231F20"/>
          <w:spacing w:val="-7"/>
        </w:rPr>
        <w:t> </w:t>
      </w:r>
      <w:r>
        <w:rPr>
          <w:color w:val="231F20"/>
        </w:rPr>
        <w:t>даљи</w:t>
      </w:r>
      <w:r>
        <w:rPr>
          <w:color w:val="231F20"/>
          <w:spacing w:val="-7"/>
        </w:rPr>
        <w:t> </w:t>
      </w:r>
      <w:r>
        <w:rPr>
          <w:color w:val="231F20"/>
        </w:rPr>
        <w:t>раст</w:t>
      </w:r>
      <w:r>
        <w:rPr>
          <w:color w:val="231F20"/>
          <w:spacing w:val="-7"/>
        </w:rPr>
        <w:t> </w:t>
      </w:r>
      <w:r>
        <w:rPr>
          <w:color w:val="231F20"/>
        </w:rPr>
        <w:t>производње</w:t>
      </w:r>
      <w:r>
        <w:rPr>
          <w:color w:val="231F20"/>
          <w:spacing w:val="-7"/>
        </w:rPr>
        <w:t> </w:t>
      </w:r>
      <w:r>
        <w:rPr>
          <w:color w:val="231F20"/>
        </w:rPr>
        <w:t>угља</w:t>
      </w:r>
      <w:r>
        <w:rPr>
          <w:color w:val="231F20"/>
          <w:spacing w:val="-7"/>
        </w:rPr>
        <w:t> </w:t>
      </w:r>
      <w:r>
        <w:rPr>
          <w:color w:val="231F20"/>
        </w:rPr>
        <w:t>и</w:t>
      </w:r>
      <w:r>
        <w:rPr>
          <w:color w:val="231F20"/>
          <w:spacing w:val="-7"/>
        </w:rPr>
        <w:t> </w:t>
      </w:r>
      <w:r>
        <w:rPr>
          <w:color w:val="231F20"/>
        </w:rPr>
        <w:t>електричне</w:t>
      </w:r>
      <w:r>
        <w:rPr>
          <w:color w:val="231F20"/>
          <w:spacing w:val="-7"/>
        </w:rPr>
        <w:t> </w:t>
      </w:r>
      <w:r>
        <w:rPr>
          <w:color w:val="231F20"/>
        </w:rPr>
        <w:t>енергије,</w:t>
      </w:r>
      <w:r>
        <w:rPr>
          <w:color w:val="231F20"/>
          <w:spacing w:val="-7"/>
        </w:rPr>
        <w:t> </w:t>
      </w:r>
      <w:r>
        <w:rPr>
          <w:color w:val="231F20"/>
        </w:rPr>
        <w:t>повећа- ње конкурентности, ефикасности и продуктивности, унапређење одржавања, ремонта капацитета, раст енергетске</w:t>
      </w:r>
      <w:r>
        <w:rPr>
          <w:color w:val="231F20"/>
          <w:spacing w:val="-11"/>
        </w:rPr>
        <w:t> </w:t>
      </w:r>
      <w:r>
        <w:rPr>
          <w:color w:val="231F20"/>
        </w:rPr>
        <w:t>ефикасности;</w:t>
      </w:r>
    </w:p>
    <w:p>
      <w:pPr>
        <w:pStyle w:val="BodyText"/>
        <w:spacing w:line="232" w:lineRule="auto"/>
        <w:ind w:left="241" w:right="130" w:firstLine="396"/>
      </w:pPr>
      <w:r>
        <w:rPr>
          <w:color w:val="231F20"/>
          <w:w w:val="66"/>
        </w:rPr>
        <w:t> </w:t>
      </w:r>
      <w:r>
        <w:rPr>
          <w:color w:val="231F20"/>
        </w:rPr>
        <w:t>–</w:t>
      </w:r>
      <w:r>
        <w:rPr>
          <w:color w:val="231F20"/>
          <w:spacing w:val="-10"/>
        </w:rPr>
        <w:t> </w:t>
      </w:r>
      <w:r>
        <w:rPr>
          <w:color w:val="231F20"/>
        </w:rPr>
        <w:t>ефикасно</w:t>
      </w:r>
      <w:r>
        <w:rPr>
          <w:color w:val="231F20"/>
          <w:spacing w:val="-10"/>
        </w:rPr>
        <w:t> </w:t>
      </w:r>
      <w:r>
        <w:rPr>
          <w:color w:val="231F20"/>
        </w:rPr>
        <w:t>пословање</w:t>
      </w:r>
      <w:r>
        <w:rPr>
          <w:color w:val="231F20"/>
          <w:spacing w:val="-10"/>
        </w:rPr>
        <w:t> </w:t>
      </w:r>
      <w:r>
        <w:rPr>
          <w:color w:val="231F20"/>
        </w:rPr>
        <w:t>ПД</w:t>
      </w:r>
      <w:r>
        <w:rPr>
          <w:color w:val="231F20"/>
          <w:spacing w:val="-10"/>
        </w:rPr>
        <w:t> </w:t>
      </w:r>
      <w:r>
        <w:rPr>
          <w:color w:val="231F20"/>
        </w:rPr>
        <w:t>ТЕ-КО</w:t>
      </w:r>
      <w:r>
        <w:rPr>
          <w:color w:val="231F20"/>
          <w:spacing w:val="-10"/>
        </w:rPr>
        <w:t> </w:t>
      </w:r>
      <w:r>
        <w:rPr>
          <w:color w:val="231F20"/>
        </w:rPr>
        <w:t>„Костолац”,</w:t>
      </w:r>
      <w:r>
        <w:rPr>
          <w:color w:val="231F20"/>
          <w:spacing w:val="-10"/>
        </w:rPr>
        <w:t> </w:t>
      </w:r>
      <w:r>
        <w:rPr>
          <w:color w:val="231F20"/>
        </w:rPr>
        <w:t>ревитализаци- ја,</w:t>
      </w:r>
      <w:r>
        <w:rPr>
          <w:color w:val="231F20"/>
          <w:spacing w:val="-9"/>
        </w:rPr>
        <w:t> </w:t>
      </w:r>
      <w:r>
        <w:rPr>
          <w:color w:val="231F20"/>
        </w:rPr>
        <w:t>модернизација</w:t>
      </w:r>
      <w:r>
        <w:rPr>
          <w:color w:val="231F20"/>
          <w:spacing w:val="-9"/>
        </w:rPr>
        <w:t> </w:t>
      </w:r>
      <w:r>
        <w:rPr>
          <w:color w:val="231F20"/>
        </w:rPr>
        <w:t>дела</w:t>
      </w:r>
      <w:r>
        <w:rPr>
          <w:color w:val="231F20"/>
          <w:spacing w:val="-9"/>
        </w:rPr>
        <w:t> </w:t>
      </w:r>
      <w:r>
        <w:rPr>
          <w:color w:val="231F20"/>
        </w:rPr>
        <w:t>постојећих</w:t>
      </w:r>
      <w:r>
        <w:rPr>
          <w:color w:val="231F20"/>
          <w:spacing w:val="-9"/>
        </w:rPr>
        <w:t> </w:t>
      </w:r>
      <w:r>
        <w:rPr>
          <w:color w:val="231F20"/>
        </w:rPr>
        <w:t>производних</w:t>
      </w:r>
      <w:r>
        <w:rPr>
          <w:color w:val="231F20"/>
          <w:spacing w:val="-9"/>
        </w:rPr>
        <w:t> </w:t>
      </w:r>
      <w:r>
        <w:rPr>
          <w:color w:val="231F20"/>
        </w:rPr>
        <w:t>капацитета</w:t>
      </w:r>
      <w:r>
        <w:rPr>
          <w:color w:val="231F20"/>
          <w:spacing w:val="-9"/>
        </w:rPr>
        <w:t> </w:t>
      </w:r>
      <w:r>
        <w:rPr>
          <w:color w:val="231F20"/>
        </w:rPr>
        <w:t>и</w:t>
      </w:r>
      <w:r>
        <w:rPr>
          <w:color w:val="231F20"/>
          <w:spacing w:val="-9"/>
        </w:rPr>
        <w:t> </w:t>
      </w:r>
      <w:r>
        <w:rPr>
          <w:color w:val="231F20"/>
        </w:rPr>
        <w:t>орга- низационе и управљачке структуре, изградња нових производних капацитета и енергетске инфраструктуре, обезбеђење адекватне политике цена енергената на националном </w:t>
      </w:r>
      <w:r>
        <w:rPr>
          <w:color w:val="231F20"/>
          <w:spacing w:val="-3"/>
        </w:rPr>
        <w:t>нивоу </w:t>
      </w:r>
      <w:r>
        <w:rPr>
          <w:color w:val="231F20"/>
        </w:rPr>
        <w:t>као и нових мо- дела јавно-приватног партнерства за улагања у овај</w:t>
      </w:r>
      <w:r>
        <w:rPr>
          <w:color w:val="231F20"/>
          <w:spacing w:val="-21"/>
        </w:rPr>
        <w:t> </w:t>
      </w:r>
      <w:r>
        <w:rPr>
          <w:color w:val="231F20"/>
          <w:spacing w:val="-3"/>
        </w:rPr>
        <w:t>комплекс;</w:t>
      </w:r>
    </w:p>
    <w:p>
      <w:pPr>
        <w:pStyle w:val="BodyText"/>
        <w:spacing w:line="232" w:lineRule="auto"/>
        <w:ind w:left="241" w:right="129" w:firstLine="396"/>
      </w:pPr>
      <w:r>
        <w:rPr>
          <w:color w:val="231F20"/>
          <w:w w:val="66"/>
        </w:rPr>
        <w:t> </w:t>
      </w:r>
      <w:r>
        <w:rPr>
          <w:color w:val="231F20"/>
        </w:rPr>
        <w:t>– обезбеђивање услова за ефикасну просторну организаци- ју и функционисање производних, услужних и инфраструктурних делатности и садржаја у функцији основне намене – утврђивање нових локалитета за смештај </w:t>
      </w:r>
      <w:r>
        <w:rPr>
          <w:color w:val="231F20"/>
          <w:spacing w:val="-3"/>
        </w:rPr>
        <w:t>комплекса </w:t>
      </w:r>
      <w:r>
        <w:rPr>
          <w:color w:val="231F20"/>
        </w:rPr>
        <w:t>рударско-енергетских ка- пацитета и</w:t>
      </w:r>
      <w:r>
        <w:rPr>
          <w:color w:val="231F20"/>
          <w:spacing w:val="-1"/>
        </w:rPr>
        <w:t> </w:t>
      </w:r>
      <w:r>
        <w:rPr>
          <w:color w:val="231F20"/>
        </w:rPr>
        <w:t>садржаја,</w:t>
      </w:r>
    </w:p>
    <w:p>
      <w:pPr>
        <w:pStyle w:val="BodyText"/>
        <w:spacing w:line="232" w:lineRule="auto"/>
        <w:ind w:left="242" w:right="129" w:firstLine="396"/>
      </w:pPr>
      <w:r>
        <w:rPr>
          <w:color w:val="231F20"/>
          <w:w w:val="66"/>
        </w:rPr>
        <w:t> </w:t>
      </w:r>
      <w:r>
        <w:rPr>
          <w:color w:val="231F20"/>
        </w:rPr>
        <w:t>– подизање квалитета саобраћајне доступности </w:t>
      </w:r>
      <w:r>
        <w:rPr>
          <w:color w:val="231F20"/>
          <w:spacing w:val="-3"/>
        </w:rPr>
        <w:t>костолачког </w:t>
      </w:r>
      <w:r>
        <w:rPr>
          <w:color w:val="231F20"/>
        </w:rPr>
        <w:t>подручја улагањем у саобраћајну инфраструктуру и објекте, теле- комуникационе везе и инфраструктуру (боље снабдевање </w:t>
      </w:r>
      <w:r>
        <w:rPr>
          <w:color w:val="231F20"/>
          <w:spacing w:val="-3"/>
        </w:rPr>
        <w:t>водом </w:t>
      </w:r>
      <w:r>
        <w:rPr>
          <w:color w:val="231F20"/>
        </w:rPr>
        <w:t>и енергијом,</w:t>
      </w:r>
      <w:r>
        <w:rPr>
          <w:color w:val="231F20"/>
          <w:spacing w:val="-10"/>
        </w:rPr>
        <w:t> </w:t>
      </w:r>
      <w:r>
        <w:rPr>
          <w:color w:val="231F20"/>
        </w:rPr>
        <w:t>каналисање</w:t>
      </w:r>
      <w:r>
        <w:rPr>
          <w:color w:val="231F20"/>
          <w:spacing w:val="-10"/>
        </w:rPr>
        <w:t> </w:t>
      </w:r>
      <w:r>
        <w:rPr>
          <w:color w:val="231F20"/>
        </w:rPr>
        <w:t>и</w:t>
      </w:r>
      <w:r>
        <w:rPr>
          <w:color w:val="231F20"/>
          <w:spacing w:val="-10"/>
        </w:rPr>
        <w:t> </w:t>
      </w:r>
      <w:r>
        <w:rPr>
          <w:color w:val="231F20"/>
        </w:rPr>
        <w:t>третман</w:t>
      </w:r>
      <w:r>
        <w:rPr>
          <w:color w:val="231F20"/>
          <w:spacing w:val="-10"/>
        </w:rPr>
        <w:t> </w:t>
      </w:r>
      <w:r>
        <w:rPr>
          <w:color w:val="231F20"/>
        </w:rPr>
        <w:t>отпадних</w:t>
      </w:r>
      <w:r>
        <w:rPr>
          <w:color w:val="231F20"/>
          <w:spacing w:val="-10"/>
        </w:rPr>
        <w:t> </w:t>
      </w:r>
      <w:r>
        <w:rPr>
          <w:color w:val="231F20"/>
        </w:rPr>
        <w:t>вода,</w:t>
      </w:r>
      <w:r>
        <w:rPr>
          <w:color w:val="231F20"/>
          <w:spacing w:val="-10"/>
        </w:rPr>
        <w:t> </w:t>
      </w:r>
      <w:r>
        <w:rPr>
          <w:color w:val="231F20"/>
        </w:rPr>
        <w:t>депоновање</w:t>
      </w:r>
      <w:r>
        <w:rPr>
          <w:color w:val="231F20"/>
          <w:spacing w:val="-10"/>
        </w:rPr>
        <w:t> </w:t>
      </w:r>
      <w:r>
        <w:rPr>
          <w:color w:val="231F20"/>
        </w:rPr>
        <w:t>јало- вине, пепела и</w:t>
      </w:r>
      <w:r>
        <w:rPr>
          <w:color w:val="231F20"/>
          <w:spacing w:val="-4"/>
        </w:rPr>
        <w:t> </w:t>
      </w:r>
      <w:r>
        <w:rPr>
          <w:color w:val="231F20"/>
        </w:rPr>
        <w:t>отпада);</w:t>
      </w:r>
    </w:p>
    <w:p>
      <w:pPr>
        <w:pStyle w:val="BodyText"/>
        <w:spacing w:line="232" w:lineRule="auto"/>
        <w:ind w:left="242" w:right="129" w:firstLine="397"/>
      </w:pPr>
      <w:r>
        <w:rPr>
          <w:color w:val="231F20"/>
          <w:w w:val="66"/>
        </w:rPr>
        <w:t> </w:t>
      </w:r>
      <w:r>
        <w:rPr>
          <w:color w:val="231F20"/>
        </w:rPr>
        <w:t>– унапређење заштите животне средине, у складу са регула- тивом и применом европских директива;</w:t>
      </w:r>
    </w:p>
    <w:p>
      <w:pPr>
        <w:pStyle w:val="BodyText"/>
        <w:spacing w:line="232" w:lineRule="auto"/>
        <w:ind w:left="242" w:right="128" w:firstLine="396"/>
      </w:pPr>
      <w:r>
        <w:rPr>
          <w:color w:val="231F20"/>
          <w:w w:val="66"/>
        </w:rPr>
        <w:t> </w:t>
      </w:r>
      <w:r>
        <w:rPr>
          <w:color w:val="231F20"/>
        </w:rPr>
        <w:t>– заштита простора и коридора у планирању нових рудар- ских и термоенергетских активности;</w:t>
      </w:r>
    </w:p>
    <w:p>
      <w:pPr>
        <w:pStyle w:val="BodyText"/>
        <w:spacing w:line="232" w:lineRule="auto"/>
        <w:ind w:left="242" w:right="128" w:firstLine="396"/>
      </w:pPr>
      <w:r>
        <w:rPr>
          <w:color w:val="231F20"/>
          <w:w w:val="66"/>
        </w:rPr>
        <w:t> </w:t>
      </w:r>
      <w:r>
        <w:rPr>
          <w:color w:val="231F20"/>
        </w:rPr>
        <w:t>–</w:t>
      </w:r>
      <w:r>
        <w:rPr>
          <w:color w:val="231F20"/>
          <w:spacing w:val="-9"/>
        </w:rPr>
        <w:t> </w:t>
      </w:r>
      <w:r>
        <w:rPr>
          <w:color w:val="231F20"/>
        </w:rPr>
        <w:t>спречавање</w:t>
      </w:r>
      <w:r>
        <w:rPr>
          <w:color w:val="231F20"/>
          <w:spacing w:val="-9"/>
        </w:rPr>
        <w:t> </w:t>
      </w:r>
      <w:r>
        <w:rPr>
          <w:color w:val="231F20"/>
        </w:rPr>
        <w:t>бесправне</w:t>
      </w:r>
      <w:r>
        <w:rPr>
          <w:color w:val="231F20"/>
          <w:spacing w:val="-9"/>
        </w:rPr>
        <w:t> </w:t>
      </w:r>
      <w:r>
        <w:rPr>
          <w:color w:val="231F20"/>
        </w:rPr>
        <w:t>изградње</w:t>
      </w:r>
      <w:r>
        <w:rPr>
          <w:color w:val="231F20"/>
          <w:spacing w:val="-9"/>
        </w:rPr>
        <w:t> </w:t>
      </w:r>
      <w:r>
        <w:rPr>
          <w:color w:val="231F20"/>
        </w:rPr>
        <w:t>објеката</w:t>
      </w:r>
      <w:r>
        <w:rPr>
          <w:color w:val="231F20"/>
          <w:spacing w:val="-9"/>
        </w:rPr>
        <w:t> </w:t>
      </w:r>
      <w:r>
        <w:rPr>
          <w:color w:val="231F20"/>
        </w:rPr>
        <w:t>на</w:t>
      </w:r>
      <w:r>
        <w:rPr>
          <w:color w:val="231F20"/>
          <w:spacing w:val="-9"/>
        </w:rPr>
        <w:t> </w:t>
      </w:r>
      <w:r>
        <w:rPr>
          <w:color w:val="231F20"/>
        </w:rPr>
        <w:t>лежишту</w:t>
      </w:r>
      <w:r>
        <w:rPr>
          <w:color w:val="231F20"/>
          <w:spacing w:val="-9"/>
        </w:rPr>
        <w:t> </w:t>
      </w:r>
      <w:r>
        <w:rPr>
          <w:color w:val="231F20"/>
        </w:rPr>
        <w:t>угља, рационално коришћење</w:t>
      </w:r>
      <w:r>
        <w:rPr>
          <w:color w:val="231F20"/>
          <w:spacing w:val="-3"/>
        </w:rPr>
        <w:t> </w:t>
      </w:r>
      <w:r>
        <w:rPr>
          <w:color w:val="231F20"/>
        </w:rPr>
        <w:t>земљишта;</w:t>
      </w:r>
    </w:p>
    <w:p>
      <w:pPr>
        <w:pStyle w:val="BodyText"/>
        <w:spacing w:line="232" w:lineRule="auto"/>
        <w:ind w:left="242" w:right="127" w:firstLine="396"/>
      </w:pPr>
      <w:r>
        <w:rPr>
          <w:color w:val="231F20"/>
          <w:w w:val="66"/>
        </w:rPr>
        <w:t> </w:t>
      </w:r>
      <w:r>
        <w:rPr>
          <w:color w:val="231F20"/>
        </w:rPr>
        <w:t>– санациjа оштeћeнe животнe срeдинe, </w:t>
      </w:r>
      <w:r>
        <w:rPr>
          <w:color w:val="231F20"/>
          <w:spacing w:val="-3"/>
        </w:rPr>
        <w:t>eкономско-eкол- </w:t>
      </w:r>
      <w:r>
        <w:rPr>
          <w:color w:val="231F20"/>
        </w:rPr>
        <w:t>ошка рeхабилитациjа дела постоjeћих прерађивачких капацитeта и прeвeнтивни приступ у планирању нових активности, примена eколошки</w:t>
      </w:r>
      <w:r>
        <w:rPr>
          <w:color w:val="231F20"/>
          <w:spacing w:val="-7"/>
        </w:rPr>
        <w:t> </w:t>
      </w:r>
      <w:r>
        <w:rPr>
          <w:color w:val="231F20"/>
        </w:rPr>
        <w:t>eфикасних</w:t>
      </w:r>
      <w:r>
        <w:rPr>
          <w:color w:val="231F20"/>
          <w:spacing w:val="-7"/>
        </w:rPr>
        <w:t> </w:t>
      </w:r>
      <w:r>
        <w:rPr>
          <w:color w:val="231F20"/>
        </w:rPr>
        <w:t>тeхнологиjа,</w:t>
      </w:r>
      <w:r>
        <w:rPr>
          <w:color w:val="231F20"/>
          <w:spacing w:val="-7"/>
        </w:rPr>
        <w:t> </w:t>
      </w:r>
      <w:r>
        <w:rPr>
          <w:color w:val="231F20"/>
        </w:rPr>
        <w:t>смањeње</w:t>
      </w:r>
      <w:r>
        <w:rPr>
          <w:color w:val="231F20"/>
          <w:spacing w:val="-7"/>
        </w:rPr>
        <w:t> </w:t>
      </w:r>
      <w:r>
        <w:rPr>
          <w:color w:val="231F20"/>
        </w:rPr>
        <w:t>јаловине,</w:t>
      </w:r>
      <w:r>
        <w:rPr>
          <w:color w:val="231F20"/>
          <w:spacing w:val="-7"/>
        </w:rPr>
        <w:t> </w:t>
      </w:r>
      <w:r>
        <w:rPr>
          <w:color w:val="231F20"/>
        </w:rPr>
        <w:t>пепела,</w:t>
      </w:r>
      <w:r>
        <w:rPr>
          <w:color w:val="231F20"/>
          <w:spacing w:val="-7"/>
        </w:rPr>
        <w:t> </w:t>
      </w:r>
      <w:r>
        <w:rPr>
          <w:color w:val="231F20"/>
        </w:rPr>
        <w:t>оби- ма транспорта и загађуjућих матeриjа, и</w:t>
      </w:r>
      <w:r>
        <w:rPr>
          <w:color w:val="231F20"/>
          <w:spacing w:val="-8"/>
        </w:rPr>
        <w:t> </w:t>
      </w:r>
      <w:r>
        <w:rPr>
          <w:color w:val="231F20"/>
        </w:rPr>
        <w:t>слично;</w:t>
      </w:r>
    </w:p>
    <w:p>
      <w:pPr>
        <w:pStyle w:val="BodyText"/>
        <w:spacing w:line="232" w:lineRule="auto"/>
        <w:ind w:left="242" w:right="128" w:firstLine="396"/>
      </w:pPr>
      <w:r>
        <w:rPr>
          <w:color w:val="231F20"/>
          <w:w w:val="66"/>
        </w:rPr>
        <w:t> </w:t>
      </w:r>
      <w:r>
        <w:rPr>
          <w:color w:val="231F20"/>
        </w:rPr>
        <w:t>–</w:t>
      </w:r>
      <w:r>
        <w:rPr>
          <w:color w:val="231F20"/>
          <w:spacing w:val="-10"/>
        </w:rPr>
        <w:t> </w:t>
      </w:r>
      <w:r>
        <w:rPr>
          <w:color w:val="231F20"/>
        </w:rPr>
        <w:t>унапређење</w:t>
      </w:r>
      <w:r>
        <w:rPr>
          <w:color w:val="231F20"/>
          <w:spacing w:val="-10"/>
        </w:rPr>
        <w:t> </w:t>
      </w:r>
      <w:r>
        <w:rPr>
          <w:color w:val="231F20"/>
        </w:rPr>
        <w:t>дистрибутивне</w:t>
      </w:r>
      <w:r>
        <w:rPr>
          <w:color w:val="231F20"/>
          <w:spacing w:val="-10"/>
        </w:rPr>
        <w:t> </w:t>
      </w:r>
      <w:r>
        <w:rPr>
          <w:color w:val="231F20"/>
        </w:rPr>
        <w:t>енергетске</w:t>
      </w:r>
      <w:r>
        <w:rPr>
          <w:color w:val="231F20"/>
          <w:spacing w:val="-10"/>
        </w:rPr>
        <w:t> </w:t>
      </w:r>
      <w:r>
        <w:rPr>
          <w:color w:val="231F20"/>
        </w:rPr>
        <w:t>и</w:t>
      </w:r>
      <w:r>
        <w:rPr>
          <w:color w:val="231F20"/>
          <w:spacing w:val="-10"/>
        </w:rPr>
        <w:t> </w:t>
      </w:r>
      <w:r>
        <w:rPr>
          <w:color w:val="231F20"/>
        </w:rPr>
        <w:t>телекомуникацио- не мреже у ТЕ-КО</w:t>
      </w:r>
      <w:r>
        <w:rPr>
          <w:color w:val="231F20"/>
          <w:spacing w:val="-4"/>
        </w:rPr>
        <w:t> </w:t>
      </w:r>
      <w:r>
        <w:rPr>
          <w:color w:val="231F20"/>
        </w:rPr>
        <w:t>„Костолац”;</w:t>
      </w:r>
    </w:p>
    <w:p>
      <w:pPr>
        <w:pStyle w:val="BodyText"/>
        <w:spacing w:line="232" w:lineRule="auto"/>
        <w:ind w:left="242" w:right="128" w:firstLine="396"/>
      </w:pPr>
      <w:r>
        <w:rPr>
          <w:color w:val="231F20"/>
          <w:w w:val="66"/>
        </w:rPr>
        <w:t> </w:t>
      </w:r>
      <w:r>
        <w:rPr>
          <w:color w:val="231F20"/>
        </w:rPr>
        <w:t>– комерцијализација комуналних услуга (преношење надле- жности за топлификацију, снабдевање водом, итд.) на локалне ин- ституције и</w:t>
      </w:r>
    </w:p>
    <w:p>
      <w:pPr>
        <w:pStyle w:val="BodyText"/>
        <w:spacing w:line="232" w:lineRule="auto"/>
        <w:ind w:left="242" w:right="128" w:firstLine="397"/>
      </w:pPr>
      <w:r>
        <w:rPr>
          <w:color w:val="231F20"/>
          <w:w w:val="66"/>
        </w:rPr>
        <w:t> </w:t>
      </w:r>
      <w:r>
        <w:rPr>
          <w:color w:val="231F20"/>
        </w:rPr>
        <w:t>– поступна примена принципа одрживог развоја </w:t>
      </w:r>
      <w:r>
        <w:rPr>
          <w:color w:val="231F20"/>
          <w:spacing w:val="-3"/>
        </w:rPr>
        <w:t>рударства   </w:t>
      </w:r>
      <w:r>
        <w:rPr>
          <w:color w:val="231F20"/>
        </w:rPr>
        <w:t>и енергетике (одрживо пословање) очување животне средине, у складу са домаћим и европским</w:t>
      </w:r>
      <w:r>
        <w:rPr>
          <w:color w:val="231F20"/>
          <w:spacing w:val="-3"/>
        </w:rPr>
        <w:t> </w:t>
      </w:r>
      <w:r>
        <w:rPr>
          <w:color w:val="231F20"/>
        </w:rPr>
        <w:t>стандардима.</w:t>
      </w:r>
    </w:p>
    <w:p>
      <w:pPr>
        <w:pStyle w:val="BodyText"/>
        <w:spacing w:before="162"/>
        <w:ind w:left="1900"/>
        <w:jc w:val="left"/>
      </w:pPr>
      <w:r>
        <w:rPr>
          <w:color w:val="231F20"/>
        </w:rPr>
        <w:t>Енергетска ефикасност</w:t>
      </w:r>
    </w:p>
    <w:p>
      <w:pPr>
        <w:spacing w:after="0"/>
        <w:jc w:val="left"/>
        <w:sectPr>
          <w:pgSz w:w="12480" w:h="15690"/>
          <w:pgMar w:top="120" w:bottom="280" w:left="680" w:right="720"/>
          <w:cols w:num="2" w:equalWidth="0">
            <w:col w:w="5557" w:space="40"/>
            <w:col w:w="5483"/>
          </w:cols>
        </w:sectPr>
      </w:pPr>
    </w:p>
    <w:p>
      <w:pPr>
        <w:pStyle w:val="BodyText"/>
        <w:spacing w:before="162"/>
        <w:ind w:left="2570"/>
        <w:jc w:val="left"/>
      </w:pPr>
      <w:r>
        <w:rPr/>
        <w:pict>
          <v:line style="position:absolute;mso-position-horizontal-relative:page;mso-position-vertical-relative:page;z-index:2104" from="318.897614pt,11.942451pt" to="318.897614pt,748.950451pt" stroked="true" strokeweight=".6pt" strokecolor="#231f20">
            <v:stroke dashstyle="solid"/>
            <w10:wrap type="none"/>
          </v:line>
        </w:pict>
      </w:r>
      <w:r>
        <w:rPr>
          <w:color w:val="231F20"/>
        </w:rPr>
        <w:t>Енергетика</w:t>
      </w:r>
    </w:p>
    <w:p>
      <w:pPr>
        <w:pStyle w:val="BodyText"/>
        <w:spacing w:before="1"/>
        <w:ind w:left="0"/>
        <w:jc w:val="left"/>
        <w:rPr>
          <w:sz w:val="17"/>
        </w:rPr>
      </w:pPr>
    </w:p>
    <w:p>
      <w:pPr>
        <w:pStyle w:val="BodyText"/>
        <w:spacing w:line="230" w:lineRule="auto"/>
        <w:ind w:left="452" w:firstLine="396"/>
      </w:pPr>
      <w:r>
        <w:rPr>
          <w:color w:val="231F20"/>
        </w:rPr>
        <w:t>Основни</w:t>
      </w:r>
      <w:r>
        <w:rPr>
          <w:color w:val="231F20"/>
          <w:spacing w:val="-7"/>
        </w:rPr>
        <w:t> </w:t>
      </w:r>
      <w:r>
        <w:rPr>
          <w:color w:val="231F20"/>
        </w:rPr>
        <w:t>циљ</w:t>
      </w:r>
      <w:r>
        <w:rPr>
          <w:color w:val="231F20"/>
          <w:spacing w:val="-7"/>
        </w:rPr>
        <w:t> </w:t>
      </w:r>
      <w:r>
        <w:rPr>
          <w:color w:val="231F20"/>
        </w:rPr>
        <w:t>развоја</w:t>
      </w:r>
      <w:r>
        <w:rPr>
          <w:color w:val="231F20"/>
          <w:spacing w:val="-7"/>
        </w:rPr>
        <w:t> </w:t>
      </w:r>
      <w:r>
        <w:rPr>
          <w:color w:val="231F20"/>
        </w:rPr>
        <w:t>енергетике</w:t>
      </w:r>
      <w:r>
        <w:rPr>
          <w:color w:val="231F20"/>
          <w:spacing w:val="-7"/>
        </w:rPr>
        <w:t> </w:t>
      </w:r>
      <w:r>
        <w:rPr>
          <w:color w:val="231F20"/>
        </w:rPr>
        <w:t>на</w:t>
      </w:r>
      <w:r>
        <w:rPr>
          <w:color w:val="231F20"/>
          <w:spacing w:val="-7"/>
        </w:rPr>
        <w:t> </w:t>
      </w:r>
      <w:r>
        <w:rPr>
          <w:color w:val="231F20"/>
        </w:rPr>
        <w:t>подручју</w:t>
      </w:r>
      <w:r>
        <w:rPr>
          <w:color w:val="231F20"/>
          <w:spacing w:val="-7"/>
        </w:rPr>
        <w:t> </w:t>
      </w:r>
      <w:r>
        <w:rPr>
          <w:color w:val="231F20"/>
          <w:spacing w:val="-3"/>
        </w:rPr>
        <w:t>Костолачког</w:t>
      </w:r>
      <w:r>
        <w:rPr>
          <w:color w:val="231F20"/>
          <w:spacing w:val="-7"/>
        </w:rPr>
        <w:t> </w:t>
      </w:r>
      <w:r>
        <w:rPr>
          <w:color w:val="231F20"/>
        </w:rPr>
        <w:t>ба- сена је да се омогући њен одрживи развој, усклађен са </w:t>
      </w:r>
      <w:r>
        <w:rPr>
          <w:color w:val="231F20"/>
          <w:spacing w:val="-3"/>
        </w:rPr>
        <w:t>економ- </w:t>
      </w:r>
      <w:r>
        <w:rPr>
          <w:color w:val="231F20"/>
        </w:rPr>
        <w:t>ским, еколошким, просторним и другим локалним специфично- стима.</w:t>
      </w:r>
    </w:p>
    <w:p>
      <w:pPr>
        <w:pStyle w:val="BodyText"/>
        <w:spacing w:line="230" w:lineRule="auto"/>
        <w:ind w:left="452" w:firstLine="396"/>
      </w:pPr>
      <w:r>
        <w:rPr>
          <w:color w:val="231F20"/>
        </w:rPr>
        <w:t>Развој</w:t>
      </w:r>
      <w:r>
        <w:rPr>
          <w:color w:val="231F20"/>
          <w:spacing w:val="-5"/>
        </w:rPr>
        <w:t> </w:t>
      </w:r>
      <w:r>
        <w:rPr>
          <w:color w:val="231F20"/>
        </w:rPr>
        <w:t>енергетско-индустријског</w:t>
      </w:r>
      <w:r>
        <w:rPr>
          <w:color w:val="231F20"/>
          <w:spacing w:val="-5"/>
        </w:rPr>
        <w:t> </w:t>
      </w:r>
      <w:r>
        <w:rPr>
          <w:color w:val="231F20"/>
        </w:rPr>
        <w:t>система</w:t>
      </w:r>
      <w:r>
        <w:rPr>
          <w:color w:val="231F20"/>
          <w:spacing w:val="-5"/>
        </w:rPr>
        <w:t> </w:t>
      </w:r>
      <w:r>
        <w:rPr>
          <w:color w:val="231F20"/>
        </w:rPr>
        <w:t>треба</w:t>
      </w:r>
      <w:r>
        <w:rPr>
          <w:color w:val="231F20"/>
          <w:spacing w:val="-5"/>
        </w:rPr>
        <w:t> </w:t>
      </w:r>
      <w:r>
        <w:rPr>
          <w:color w:val="231F20"/>
        </w:rPr>
        <w:t>да</w:t>
      </w:r>
      <w:r>
        <w:rPr>
          <w:color w:val="231F20"/>
          <w:spacing w:val="-5"/>
        </w:rPr>
        <w:t> </w:t>
      </w:r>
      <w:r>
        <w:rPr>
          <w:color w:val="231F20"/>
        </w:rPr>
        <w:t>је</w:t>
      </w:r>
      <w:r>
        <w:rPr>
          <w:color w:val="231F20"/>
          <w:spacing w:val="-5"/>
        </w:rPr>
        <w:t> </w:t>
      </w:r>
      <w:r>
        <w:rPr>
          <w:color w:val="231F20"/>
        </w:rPr>
        <w:t>у</w:t>
      </w:r>
      <w:r>
        <w:rPr>
          <w:color w:val="231F20"/>
          <w:spacing w:val="-5"/>
        </w:rPr>
        <w:t> </w:t>
      </w:r>
      <w:r>
        <w:rPr>
          <w:color w:val="231F20"/>
        </w:rPr>
        <w:t>складу са реалним енергетским потребама </w:t>
      </w:r>
      <w:r>
        <w:rPr>
          <w:color w:val="231F20"/>
          <w:spacing w:val="-3"/>
        </w:rPr>
        <w:t>Републике </w:t>
      </w:r>
      <w:r>
        <w:rPr>
          <w:color w:val="231F20"/>
        </w:rPr>
        <w:t>Србије и</w:t>
      </w:r>
      <w:r>
        <w:rPr>
          <w:color w:val="231F20"/>
          <w:spacing w:val="-30"/>
        </w:rPr>
        <w:t> </w:t>
      </w:r>
      <w:r>
        <w:rPr>
          <w:color w:val="231F20"/>
        </w:rPr>
        <w:t>принципи- ма рационалног коришћења</w:t>
      </w:r>
      <w:r>
        <w:rPr>
          <w:color w:val="231F20"/>
          <w:spacing w:val="-4"/>
        </w:rPr>
        <w:t> </w:t>
      </w:r>
      <w:r>
        <w:rPr>
          <w:color w:val="231F20"/>
        </w:rPr>
        <w:t>енергије.</w:t>
      </w:r>
    </w:p>
    <w:p>
      <w:pPr>
        <w:pStyle w:val="BodyText"/>
        <w:spacing w:line="230" w:lineRule="auto"/>
        <w:ind w:left="452" w:firstLine="397"/>
      </w:pPr>
      <w:r>
        <w:rPr>
          <w:color w:val="231F20"/>
        </w:rPr>
        <w:t>Неопходно је заштитити просторе изнад потенцијалних руд- них лежишта, како би се смањили будући инвестициони трошко- ви отварања нових површинских копова. Због тога све објекте енергетског програма, као и инфраструктурне системе и све друге објекте трајнијег карактера, треба лоцирати, односно дислоцира- ти, изван потенцијалног рудног блага.</w:t>
      </w:r>
    </w:p>
    <w:p>
      <w:pPr>
        <w:pStyle w:val="BodyText"/>
        <w:spacing w:line="230" w:lineRule="auto"/>
        <w:ind w:left="452" w:firstLine="396"/>
      </w:pPr>
      <w:r>
        <w:rPr>
          <w:color w:val="231F20"/>
        </w:rPr>
        <w:t>Наставити истраживања којима ће се утврдити и заштитити простори за нове енергетске капацитете и енергетске инфраструк- турне системе.</w:t>
      </w:r>
    </w:p>
    <w:p>
      <w:pPr>
        <w:pStyle w:val="BodyText"/>
        <w:spacing w:line="230" w:lineRule="auto"/>
        <w:ind w:left="452" w:firstLine="397"/>
      </w:pPr>
      <w:r>
        <w:rPr>
          <w:color w:val="231F20"/>
        </w:rPr>
        <w:t>При реконструкцији постојећих и изградњи нових енергет- ских и индустријских капацитета, </w:t>
      </w:r>
      <w:r>
        <w:rPr>
          <w:color w:val="231F20"/>
          <w:spacing w:val="-2"/>
        </w:rPr>
        <w:t>неопходно </w:t>
      </w:r>
      <w:r>
        <w:rPr>
          <w:color w:val="231F20"/>
        </w:rPr>
        <w:t>је обезбедити аде- кватну</w:t>
      </w:r>
      <w:r>
        <w:rPr>
          <w:color w:val="231F20"/>
          <w:spacing w:val="-6"/>
        </w:rPr>
        <w:t> </w:t>
      </w:r>
      <w:r>
        <w:rPr>
          <w:color w:val="231F20"/>
        </w:rPr>
        <w:t>заштиту</w:t>
      </w:r>
      <w:r>
        <w:rPr>
          <w:color w:val="231F20"/>
          <w:spacing w:val="-6"/>
        </w:rPr>
        <w:t> </w:t>
      </w:r>
      <w:r>
        <w:rPr>
          <w:color w:val="231F20"/>
        </w:rPr>
        <w:t>животне</w:t>
      </w:r>
      <w:r>
        <w:rPr>
          <w:color w:val="231F20"/>
          <w:spacing w:val="-6"/>
        </w:rPr>
        <w:t> </w:t>
      </w:r>
      <w:r>
        <w:rPr>
          <w:color w:val="231F20"/>
        </w:rPr>
        <w:t>средине,</w:t>
      </w:r>
      <w:r>
        <w:rPr>
          <w:color w:val="231F20"/>
          <w:spacing w:val="-6"/>
        </w:rPr>
        <w:t> </w:t>
      </w:r>
      <w:r>
        <w:rPr>
          <w:color w:val="231F20"/>
        </w:rPr>
        <w:t>посебно</w:t>
      </w:r>
      <w:r>
        <w:rPr>
          <w:color w:val="231F20"/>
          <w:spacing w:val="-6"/>
        </w:rPr>
        <w:t> </w:t>
      </w:r>
      <w:r>
        <w:rPr>
          <w:color w:val="231F20"/>
        </w:rPr>
        <w:t>заштиту</w:t>
      </w:r>
      <w:r>
        <w:rPr>
          <w:color w:val="231F20"/>
          <w:spacing w:val="-6"/>
        </w:rPr>
        <w:t> </w:t>
      </w:r>
      <w:r>
        <w:rPr>
          <w:color w:val="231F20"/>
        </w:rPr>
        <w:t>изворишта</w:t>
      </w:r>
      <w:r>
        <w:rPr>
          <w:color w:val="231F20"/>
          <w:spacing w:val="-6"/>
        </w:rPr>
        <w:t> </w:t>
      </w:r>
      <w:r>
        <w:rPr>
          <w:color w:val="231F20"/>
        </w:rPr>
        <w:t>пи- јаће воде, природних добара, културног наслеђа и</w:t>
      </w:r>
      <w:r>
        <w:rPr>
          <w:color w:val="231F20"/>
          <w:spacing w:val="-16"/>
        </w:rPr>
        <w:t> </w:t>
      </w:r>
      <w:r>
        <w:rPr>
          <w:color w:val="231F20"/>
        </w:rPr>
        <w:t>слично.</w:t>
      </w:r>
    </w:p>
    <w:p>
      <w:pPr>
        <w:pStyle w:val="BodyText"/>
        <w:spacing w:line="230" w:lineRule="auto"/>
        <w:ind w:left="452" w:firstLine="397"/>
      </w:pPr>
      <w:r>
        <w:rPr>
          <w:color w:val="231F20"/>
        </w:rPr>
        <w:t>Надлежни органи Републике Србије треба да обезбеде дово- ђење цена енергије (домаћег угља и електричне енергије) на еко- номски прихватљив ниво, како би се и у Костолачком угљеном басену створили услови за веће учешће сопствених средстава за потребе развоја, заштите животне средине и рекултивације нару- шених простора.</w:t>
      </w:r>
    </w:p>
    <w:p>
      <w:pPr>
        <w:pStyle w:val="BodyText"/>
        <w:spacing w:line="232" w:lineRule="auto"/>
        <w:ind w:left="452" w:right="1" w:firstLine="396"/>
      </w:pPr>
      <w:r>
        <w:rPr>
          <w:color w:val="231F20"/>
        </w:rPr>
        <w:t>Имајући у виду значај истраживања и производње нафте и гаса на подручју Костолачког угљеног басена неопходно је истра- жне просторе заштитити.</w:t>
      </w:r>
    </w:p>
    <w:p>
      <w:pPr>
        <w:pStyle w:val="BodyText"/>
        <w:spacing w:line="232" w:lineRule="auto" w:before="113"/>
        <w:ind w:left="244" w:right="128" w:firstLine="396"/>
      </w:pPr>
      <w:r>
        <w:rPr/>
        <w:br w:type="column"/>
      </w:r>
      <w:r>
        <w:rPr>
          <w:color w:val="231F20"/>
        </w:rPr>
        <w:t>У</w:t>
      </w:r>
      <w:r>
        <w:rPr>
          <w:color w:val="231F20"/>
          <w:spacing w:val="-7"/>
        </w:rPr>
        <w:t> </w:t>
      </w:r>
      <w:r>
        <w:rPr>
          <w:color w:val="231F20"/>
          <w:spacing w:val="-3"/>
        </w:rPr>
        <w:t>оквиру</w:t>
      </w:r>
      <w:r>
        <w:rPr>
          <w:color w:val="231F20"/>
          <w:spacing w:val="-7"/>
        </w:rPr>
        <w:t> </w:t>
      </w:r>
      <w:r>
        <w:rPr>
          <w:color w:val="231F20"/>
          <w:spacing w:val="-4"/>
        </w:rPr>
        <w:t>Планског</w:t>
      </w:r>
      <w:r>
        <w:rPr>
          <w:color w:val="231F20"/>
          <w:spacing w:val="-7"/>
        </w:rPr>
        <w:t> </w:t>
      </w:r>
      <w:r>
        <w:rPr>
          <w:color w:val="231F20"/>
          <w:spacing w:val="-4"/>
        </w:rPr>
        <w:t>подручја</w:t>
      </w:r>
      <w:r>
        <w:rPr>
          <w:color w:val="231F20"/>
          <w:spacing w:val="-7"/>
        </w:rPr>
        <w:t> </w:t>
      </w:r>
      <w:r>
        <w:rPr>
          <w:color w:val="231F20"/>
          <w:spacing w:val="-3"/>
        </w:rPr>
        <w:t>основни</w:t>
      </w:r>
      <w:r>
        <w:rPr>
          <w:color w:val="231F20"/>
          <w:spacing w:val="-7"/>
        </w:rPr>
        <w:t> </w:t>
      </w:r>
      <w:r>
        <w:rPr>
          <w:color w:val="231F20"/>
        </w:rPr>
        <w:t>циљ</w:t>
      </w:r>
      <w:r>
        <w:rPr>
          <w:color w:val="231F20"/>
          <w:spacing w:val="-7"/>
        </w:rPr>
        <w:t> </w:t>
      </w:r>
      <w:r>
        <w:rPr>
          <w:color w:val="231F20"/>
        </w:rPr>
        <w:t>је</w:t>
      </w:r>
      <w:r>
        <w:rPr>
          <w:color w:val="231F20"/>
          <w:spacing w:val="-7"/>
        </w:rPr>
        <w:t> </w:t>
      </w:r>
      <w:r>
        <w:rPr>
          <w:color w:val="231F20"/>
          <w:spacing w:val="-3"/>
        </w:rPr>
        <w:t>повећање</w:t>
      </w:r>
      <w:r>
        <w:rPr>
          <w:color w:val="231F20"/>
          <w:spacing w:val="-7"/>
        </w:rPr>
        <w:t> </w:t>
      </w:r>
      <w:r>
        <w:rPr>
          <w:color w:val="231F20"/>
          <w:spacing w:val="-3"/>
        </w:rPr>
        <w:t>енергет- </w:t>
      </w:r>
      <w:r>
        <w:rPr>
          <w:color w:val="231F20"/>
          <w:spacing w:val="-4"/>
        </w:rPr>
        <w:t>ске </w:t>
      </w:r>
      <w:r>
        <w:rPr>
          <w:color w:val="231F20"/>
          <w:spacing w:val="-3"/>
        </w:rPr>
        <w:t>ефикасности </w:t>
      </w:r>
      <w:r>
        <w:rPr>
          <w:color w:val="231F20"/>
        </w:rPr>
        <w:t>у </w:t>
      </w:r>
      <w:r>
        <w:rPr>
          <w:color w:val="231F20"/>
          <w:spacing w:val="-4"/>
        </w:rPr>
        <w:t>секторима енергетике, </w:t>
      </w:r>
      <w:r>
        <w:rPr>
          <w:color w:val="231F20"/>
          <w:spacing w:val="-3"/>
        </w:rPr>
        <w:t>зградарства, индустрије </w:t>
      </w:r>
      <w:r>
        <w:rPr>
          <w:color w:val="231F20"/>
        </w:rPr>
        <w:t>и </w:t>
      </w:r>
      <w:r>
        <w:rPr>
          <w:color w:val="231F20"/>
          <w:spacing w:val="-3"/>
        </w:rPr>
        <w:t>транспорта, </w:t>
      </w:r>
      <w:r>
        <w:rPr>
          <w:color w:val="231F20"/>
          <w:spacing w:val="-4"/>
        </w:rPr>
        <w:t>одрживи </w:t>
      </w:r>
      <w:r>
        <w:rPr>
          <w:color w:val="231F20"/>
          <w:spacing w:val="-3"/>
        </w:rPr>
        <w:t>развој усклађен </w:t>
      </w:r>
      <w:r>
        <w:rPr>
          <w:color w:val="231F20"/>
        </w:rPr>
        <w:t>са </w:t>
      </w:r>
      <w:r>
        <w:rPr>
          <w:color w:val="231F20"/>
          <w:spacing w:val="-3"/>
        </w:rPr>
        <w:t>енергетским, </w:t>
      </w:r>
      <w:r>
        <w:rPr>
          <w:color w:val="231F20"/>
          <w:spacing w:val="-4"/>
        </w:rPr>
        <w:t>економским, еколошким, </w:t>
      </w:r>
      <w:r>
        <w:rPr>
          <w:color w:val="231F20"/>
          <w:spacing w:val="-3"/>
        </w:rPr>
        <w:t>просторним </w:t>
      </w:r>
      <w:r>
        <w:rPr>
          <w:color w:val="231F20"/>
        </w:rPr>
        <w:t>и </w:t>
      </w:r>
      <w:r>
        <w:rPr>
          <w:color w:val="231F20"/>
          <w:spacing w:val="-3"/>
        </w:rPr>
        <w:t>другим специфичностима</w:t>
      </w:r>
      <w:r>
        <w:rPr>
          <w:color w:val="231F20"/>
          <w:spacing w:val="-16"/>
        </w:rPr>
        <w:t> </w:t>
      </w:r>
      <w:r>
        <w:rPr>
          <w:color w:val="231F20"/>
          <w:spacing w:val="-4"/>
        </w:rPr>
        <w:t>подручја.</w:t>
      </w:r>
    </w:p>
    <w:p>
      <w:pPr>
        <w:pStyle w:val="BodyText"/>
        <w:spacing w:line="232" w:lineRule="auto"/>
        <w:ind w:left="244" w:right="128" w:firstLine="396"/>
      </w:pPr>
      <w:r>
        <w:rPr>
          <w:color w:val="231F20"/>
        </w:rPr>
        <w:t>Дугорочни циљ је, такође, повећање енергетске ефикасности код преноса, дистрибуције и потрошње енергије, доношењем и применом стандарда о енергетској ефикасности, економских ин- струмената и организационих мера.</w:t>
      </w:r>
    </w:p>
    <w:p>
      <w:pPr>
        <w:pStyle w:val="BodyText"/>
        <w:spacing w:line="199" w:lineRule="exact"/>
        <w:ind w:left="641"/>
        <w:jc w:val="left"/>
      </w:pPr>
      <w:r>
        <w:rPr>
          <w:color w:val="231F20"/>
        </w:rPr>
        <w:t>Оперативни циљеви су:</w:t>
      </w:r>
    </w:p>
    <w:p>
      <w:pPr>
        <w:pStyle w:val="BodyText"/>
        <w:spacing w:line="232" w:lineRule="auto" w:before="2"/>
        <w:ind w:left="244" w:right="127" w:firstLine="397"/>
      </w:pPr>
      <w:r>
        <w:rPr>
          <w:color w:val="231F20"/>
          <w:w w:val="66"/>
        </w:rPr>
        <w:t> </w:t>
      </w:r>
      <w:r>
        <w:rPr>
          <w:color w:val="231F20"/>
        </w:rPr>
        <w:t>– утврђивање и задовољавање реалних енергетских потреба по елиминацији свих нерационалности у потрошњи, у складу са принципима рационалног коришћења енергије;</w:t>
      </w:r>
    </w:p>
    <w:p>
      <w:pPr>
        <w:pStyle w:val="BodyText"/>
        <w:spacing w:line="232" w:lineRule="auto"/>
        <w:ind w:left="243" w:right="128" w:firstLine="397"/>
      </w:pPr>
      <w:r>
        <w:rPr>
          <w:color w:val="231F20"/>
          <w:w w:val="66"/>
        </w:rPr>
        <w:t> </w:t>
      </w:r>
      <w:r>
        <w:rPr>
          <w:color w:val="231F20"/>
        </w:rPr>
        <w:t>– одржавање, ревитализација, модернизација и доградња електроенергетске инфраструктуре у складу са принципима енер- гетске ефикасности;</w:t>
      </w:r>
    </w:p>
    <w:p>
      <w:pPr>
        <w:pStyle w:val="BodyText"/>
        <w:spacing w:line="232" w:lineRule="auto"/>
        <w:ind w:left="243" w:right="128" w:firstLine="397"/>
      </w:pPr>
      <w:r>
        <w:rPr>
          <w:color w:val="231F20"/>
          <w:w w:val="66"/>
        </w:rPr>
        <w:t> </w:t>
      </w:r>
      <w:r>
        <w:rPr>
          <w:color w:val="231F20"/>
        </w:rPr>
        <w:t>–</w:t>
      </w:r>
      <w:r>
        <w:rPr>
          <w:color w:val="231F20"/>
          <w:spacing w:val="-6"/>
        </w:rPr>
        <w:t> </w:t>
      </w:r>
      <w:r>
        <w:rPr>
          <w:color w:val="231F20"/>
        </w:rPr>
        <w:t>повећање</w:t>
      </w:r>
      <w:r>
        <w:rPr>
          <w:color w:val="231F20"/>
          <w:spacing w:val="-6"/>
        </w:rPr>
        <w:t> </w:t>
      </w:r>
      <w:r>
        <w:rPr>
          <w:color w:val="231F20"/>
        </w:rPr>
        <w:t>енергетске</w:t>
      </w:r>
      <w:r>
        <w:rPr>
          <w:color w:val="231F20"/>
          <w:spacing w:val="-6"/>
        </w:rPr>
        <w:t> </w:t>
      </w:r>
      <w:r>
        <w:rPr>
          <w:color w:val="231F20"/>
        </w:rPr>
        <w:t>ефикасности</w:t>
      </w:r>
      <w:r>
        <w:rPr>
          <w:color w:val="231F20"/>
          <w:spacing w:val="-6"/>
        </w:rPr>
        <w:t> </w:t>
      </w:r>
      <w:r>
        <w:rPr>
          <w:color w:val="231F20"/>
        </w:rPr>
        <w:t>у</w:t>
      </w:r>
      <w:r>
        <w:rPr>
          <w:color w:val="231F20"/>
          <w:spacing w:val="-6"/>
        </w:rPr>
        <w:t> </w:t>
      </w:r>
      <w:r>
        <w:rPr>
          <w:color w:val="231F20"/>
        </w:rPr>
        <w:t>ТЕ-КО</w:t>
      </w:r>
      <w:r>
        <w:rPr>
          <w:color w:val="231F20"/>
          <w:spacing w:val="-6"/>
        </w:rPr>
        <w:t> </w:t>
      </w:r>
      <w:r>
        <w:rPr>
          <w:color w:val="231F20"/>
        </w:rPr>
        <w:t>„Костолац”</w:t>
      </w:r>
      <w:r>
        <w:rPr>
          <w:color w:val="231F20"/>
          <w:spacing w:val="-6"/>
        </w:rPr>
        <w:t> код </w:t>
      </w:r>
      <w:r>
        <w:rPr>
          <w:color w:val="231F20"/>
        </w:rPr>
        <w:t>производње, преноса, дистрибуције и потрошње енергије</w:t>
      </w:r>
      <w:r>
        <w:rPr>
          <w:color w:val="231F20"/>
          <w:spacing w:val="-34"/>
        </w:rPr>
        <w:t> </w:t>
      </w:r>
      <w:r>
        <w:rPr>
          <w:color w:val="231F20"/>
        </w:rPr>
        <w:t>доноше- њем и обавезном применом стандарда енергетске</w:t>
      </w:r>
      <w:r>
        <w:rPr>
          <w:color w:val="231F20"/>
          <w:spacing w:val="-14"/>
        </w:rPr>
        <w:t> </w:t>
      </w:r>
      <w:r>
        <w:rPr>
          <w:color w:val="231F20"/>
        </w:rPr>
        <w:t>ефикасности;</w:t>
      </w:r>
    </w:p>
    <w:p>
      <w:pPr>
        <w:pStyle w:val="BodyText"/>
        <w:spacing w:line="232" w:lineRule="auto"/>
        <w:ind w:left="243" w:right="128" w:firstLine="396"/>
      </w:pPr>
      <w:r>
        <w:rPr>
          <w:color w:val="231F20"/>
          <w:w w:val="66"/>
        </w:rPr>
        <w:t> </w:t>
      </w:r>
      <w:r>
        <w:rPr>
          <w:color w:val="231F20"/>
        </w:rPr>
        <w:t>– побољшање и модернизација индустријских </w:t>
      </w:r>
      <w:r>
        <w:rPr>
          <w:color w:val="231F20"/>
          <w:spacing w:val="-3"/>
        </w:rPr>
        <w:t>комплекса, </w:t>
      </w:r>
      <w:r>
        <w:rPr>
          <w:color w:val="231F20"/>
        </w:rPr>
        <w:t>транспортних</w:t>
      </w:r>
      <w:r>
        <w:rPr>
          <w:color w:val="231F20"/>
          <w:spacing w:val="-9"/>
        </w:rPr>
        <w:t> </w:t>
      </w:r>
      <w:r>
        <w:rPr>
          <w:color w:val="231F20"/>
        </w:rPr>
        <w:t>услуга</w:t>
      </w:r>
      <w:r>
        <w:rPr>
          <w:color w:val="231F20"/>
          <w:spacing w:val="-9"/>
        </w:rPr>
        <w:t> </w:t>
      </w:r>
      <w:r>
        <w:rPr>
          <w:color w:val="231F20"/>
        </w:rPr>
        <w:t>и</w:t>
      </w:r>
      <w:r>
        <w:rPr>
          <w:color w:val="231F20"/>
          <w:spacing w:val="-9"/>
        </w:rPr>
        <w:t> </w:t>
      </w:r>
      <w:r>
        <w:rPr>
          <w:color w:val="231F20"/>
        </w:rPr>
        <w:t>подршка</w:t>
      </w:r>
      <w:r>
        <w:rPr>
          <w:color w:val="231F20"/>
          <w:spacing w:val="-9"/>
        </w:rPr>
        <w:t> </w:t>
      </w:r>
      <w:r>
        <w:rPr>
          <w:color w:val="231F20"/>
        </w:rPr>
        <w:t>енергетски</w:t>
      </w:r>
      <w:r>
        <w:rPr>
          <w:color w:val="231F20"/>
          <w:spacing w:val="-9"/>
        </w:rPr>
        <w:t> </w:t>
      </w:r>
      <w:r>
        <w:rPr>
          <w:color w:val="231F20"/>
        </w:rPr>
        <w:t>ефикасној</w:t>
      </w:r>
      <w:r>
        <w:rPr>
          <w:color w:val="231F20"/>
          <w:spacing w:val="-9"/>
        </w:rPr>
        <w:t> </w:t>
      </w:r>
      <w:r>
        <w:rPr>
          <w:color w:val="231F20"/>
        </w:rPr>
        <w:t>индустрији, саобраћају и</w:t>
      </w:r>
      <w:r>
        <w:rPr>
          <w:color w:val="231F20"/>
          <w:spacing w:val="-2"/>
        </w:rPr>
        <w:t> </w:t>
      </w:r>
      <w:r>
        <w:rPr>
          <w:color w:val="231F20"/>
        </w:rPr>
        <w:t>зградарству;</w:t>
      </w:r>
    </w:p>
    <w:p>
      <w:pPr>
        <w:pStyle w:val="BodyText"/>
        <w:spacing w:line="232" w:lineRule="auto"/>
        <w:ind w:left="244" w:right="128" w:firstLine="396"/>
      </w:pPr>
      <w:r>
        <w:rPr>
          <w:color w:val="231F20"/>
          <w:w w:val="66"/>
        </w:rPr>
        <w:t> </w:t>
      </w:r>
      <w:r>
        <w:rPr>
          <w:color w:val="231F20"/>
        </w:rPr>
        <w:t>– доношење програма за штедњу енергије и енергетску ефи- касност објеката;</w:t>
      </w:r>
    </w:p>
    <w:p>
      <w:pPr>
        <w:pStyle w:val="BodyText"/>
        <w:spacing w:line="232" w:lineRule="auto"/>
        <w:ind w:left="244" w:right="128" w:firstLine="396"/>
      </w:pPr>
      <w:r>
        <w:rPr>
          <w:color w:val="231F20"/>
          <w:w w:val="66"/>
        </w:rPr>
        <w:t> </w:t>
      </w:r>
      <w:r>
        <w:rPr>
          <w:color w:val="231F20"/>
        </w:rPr>
        <w:t>– утврђивање критеријума за спрегнуто (синергијско) кори- шћење енергије;</w:t>
      </w:r>
    </w:p>
    <w:p>
      <w:pPr>
        <w:pStyle w:val="BodyText"/>
        <w:spacing w:line="232" w:lineRule="auto"/>
        <w:ind w:left="244" w:right="128" w:firstLine="396"/>
      </w:pPr>
      <w:r>
        <w:rPr>
          <w:color w:val="231F20"/>
          <w:w w:val="66"/>
        </w:rPr>
        <w:t> </w:t>
      </w:r>
      <w:r>
        <w:rPr>
          <w:color w:val="231F20"/>
        </w:rPr>
        <w:t>– међусобно усклађени развој производње и потрошње</w:t>
      </w:r>
      <w:r>
        <w:rPr>
          <w:color w:val="231F20"/>
          <w:spacing w:val="-30"/>
        </w:rPr>
        <w:t> </w:t>
      </w:r>
      <w:r>
        <w:rPr>
          <w:color w:val="231F20"/>
        </w:rPr>
        <w:t>енер- гије, уз смањење трошкова и економски прихватљиву и ефикасну супституцију финалних</w:t>
      </w:r>
      <w:r>
        <w:rPr>
          <w:color w:val="231F20"/>
          <w:spacing w:val="-2"/>
        </w:rPr>
        <w:t> </w:t>
      </w:r>
      <w:r>
        <w:rPr>
          <w:color w:val="231F20"/>
        </w:rPr>
        <w:t>енергената;</w:t>
      </w:r>
    </w:p>
    <w:p>
      <w:pPr>
        <w:pStyle w:val="BodyText"/>
        <w:spacing w:line="232" w:lineRule="auto"/>
        <w:ind w:left="244" w:right="128" w:firstLine="397"/>
      </w:pPr>
      <w:r>
        <w:rPr>
          <w:color w:val="231F20"/>
          <w:w w:val="66"/>
        </w:rPr>
        <w:t> </w:t>
      </w:r>
      <w:r>
        <w:rPr>
          <w:color w:val="231F20"/>
        </w:rPr>
        <w:t>–</w:t>
      </w:r>
      <w:r>
        <w:rPr>
          <w:color w:val="231F20"/>
          <w:spacing w:val="-9"/>
        </w:rPr>
        <w:t> </w:t>
      </w:r>
      <w:r>
        <w:rPr>
          <w:color w:val="231F20"/>
        </w:rPr>
        <w:t>повећано</w:t>
      </w:r>
      <w:r>
        <w:rPr>
          <w:color w:val="231F20"/>
          <w:spacing w:val="-9"/>
        </w:rPr>
        <w:t> </w:t>
      </w:r>
      <w:r>
        <w:rPr>
          <w:color w:val="231F20"/>
        </w:rPr>
        <w:t>ослањање</w:t>
      </w:r>
      <w:r>
        <w:rPr>
          <w:color w:val="231F20"/>
          <w:spacing w:val="-9"/>
        </w:rPr>
        <w:t> </w:t>
      </w:r>
      <w:r>
        <w:rPr>
          <w:color w:val="231F20"/>
        </w:rPr>
        <w:t>на</w:t>
      </w:r>
      <w:r>
        <w:rPr>
          <w:color w:val="231F20"/>
          <w:spacing w:val="-9"/>
        </w:rPr>
        <w:t> </w:t>
      </w:r>
      <w:r>
        <w:rPr>
          <w:color w:val="231F20"/>
        </w:rPr>
        <w:t>домаће</w:t>
      </w:r>
      <w:r>
        <w:rPr>
          <w:color w:val="231F20"/>
          <w:spacing w:val="-9"/>
        </w:rPr>
        <w:t> </w:t>
      </w:r>
      <w:r>
        <w:rPr>
          <w:color w:val="231F20"/>
        </w:rPr>
        <w:t>изворе</w:t>
      </w:r>
      <w:r>
        <w:rPr>
          <w:color w:val="231F20"/>
          <w:spacing w:val="-9"/>
        </w:rPr>
        <w:t> </w:t>
      </w:r>
      <w:r>
        <w:rPr>
          <w:color w:val="231F20"/>
        </w:rPr>
        <w:t>енергије</w:t>
      </w:r>
      <w:r>
        <w:rPr>
          <w:color w:val="231F20"/>
          <w:spacing w:val="-9"/>
        </w:rPr>
        <w:t> </w:t>
      </w:r>
      <w:r>
        <w:rPr>
          <w:color w:val="231F20"/>
        </w:rPr>
        <w:t>и</w:t>
      </w:r>
      <w:r>
        <w:rPr>
          <w:color w:val="231F20"/>
          <w:spacing w:val="-9"/>
        </w:rPr>
        <w:t> </w:t>
      </w:r>
      <w:r>
        <w:rPr>
          <w:color w:val="231F20"/>
        </w:rPr>
        <w:t>техничке</w:t>
      </w:r>
      <w:r>
        <w:rPr>
          <w:color w:val="231F20"/>
          <w:spacing w:val="-9"/>
        </w:rPr>
        <w:t> </w:t>
      </w:r>
      <w:r>
        <w:rPr>
          <w:color w:val="231F20"/>
        </w:rPr>
        <w:t>и технолошке иновације </w:t>
      </w:r>
      <w:r>
        <w:rPr>
          <w:color w:val="231F20"/>
          <w:spacing w:val="-3"/>
        </w:rPr>
        <w:t>које </w:t>
      </w:r>
      <w:r>
        <w:rPr>
          <w:color w:val="231F20"/>
        </w:rPr>
        <w:t>омогућавају рационалнију и </w:t>
      </w:r>
      <w:r>
        <w:rPr>
          <w:color w:val="231F20"/>
          <w:spacing w:val="-3"/>
        </w:rPr>
        <w:t>еколошки </w:t>
      </w:r>
      <w:r>
        <w:rPr>
          <w:color w:val="231F20"/>
        </w:rPr>
        <w:t>прихватљивију производњу и потрошњу</w:t>
      </w:r>
      <w:r>
        <w:rPr>
          <w:color w:val="231F20"/>
          <w:spacing w:val="-8"/>
        </w:rPr>
        <w:t> </w:t>
      </w:r>
      <w:r>
        <w:rPr>
          <w:color w:val="231F20"/>
        </w:rPr>
        <w:t>енергије;</w:t>
      </w:r>
    </w:p>
    <w:p>
      <w:pPr>
        <w:spacing w:after="0" w:line="232" w:lineRule="auto"/>
        <w:sectPr>
          <w:type w:val="continuous"/>
          <w:pgSz w:w="12480" w:h="15690"/>
          <w:pgMar w:top="880" w:bottom="280" w:left="680" w:right="720"/>
          <w:cols w:num="2" w:equalWidth="0">
            <w:col w:w="5556" w:space="40"/>
            <w:col w:w="5484"/>
          </w:cols>
        </w:sectPr>
      </w:pPr>
    </w:p>
    <w:p>
      <w:pPr>
        <w:pStyle w:val="BodyText"/>
        <w:spacing w:line="232" w:lineRule="auto" w:before="73"/>
        <w:ind w:right="39" w:firstLine="396"/>
      </w:pPr>
      <w:r>
        <w:rPr/>
        <w:pict>
          <v:line style="position:absolute;mso-position-horizontal-relative:page;mso-position-vertical-relative:page;z-index:2128" from="304.724396pt,11.942451pt" to="304.724396pt,748.950451pt" stroked="true" strokeweight=".6pt" strokecolor="#231f20">
            <v:stroke dashstyle="solid"/>
            <w10:wrap type="none"/>
          </v:line>
        </w:pict>
      </w:r>
      <w:r>
        <w:rPr>
          <w:color w:val="231F20"/>
          <w:w w:val="66"/>
        </w:rPr>
        <w:t> </w:t>
      </w:r>
      <w:r>
        <w:rPr>
          <w:color w:val="231F20"/>
        </w:rPr>
        <w:t>– рационална употреба квалитетних енергената у производ- њи, транспорту и дистрибуцији електричне и топлотне енергије у основним секторима (индустрија, домаћинства, јавне службе и</w:t>
      </w:r>
      <w:r>
        <w:rPr>
          <w:color w:val="231F20"/>
          <w:spacing w:val="-23"/>
        </w:rPr>
        <w:t> </w:t>
      </w:r>
      <w:r>
        <w:rPr>
          <w:color w:val="231F20"/>
          <w:spacing w:val="-4"/>
        </w:rPr>
        <w:t>ко- </w:t>
      </w:r>
      <w:r>
        <w:rPr>
          <w:color w:val="231F20"/>
        </w:rPr>
        <w:t>мерцијалне</w:t>
      </w:r>
      <w:r>
        <w:rPr>
          <w:color w:val="231F20"/>
          <w:spacing w:val="-2"/>
        </w:rPr>
        <w:t> </w:t>
      </w:r>
      <w:r>
        <w:rPr>
          <w:color w:val="231F20"/>
        </w:rPr>
        <w:t>делатности);</w:t>
      </w:r>
    </w:p>
    <w:p>
      <w:pPr>
        <w:pStyle w:val="BodyText"/>
        <w:spacing w:line="230" w:lineRule="auto"/>
        <w:ind w:right="38" w:firstLine="396"/>
      </w:pPr>
      <w:r>
        <w:rPr>
          <w:color w:val="231F20"/>
          <w:w w:val="66"/>
        </w:rPr>
        <w:t> </w:t>
      </w:r>
      <w:r>
        <w:rPr>
          <w:color w:val="231F20"/>
        </w:rPr>
        <w:t>–</w:t>
      </w:r>
      <w:r>
        <w:rPr>
          <w:color w:val="231F20"/>
          <w:spacing w:val="-10"/>
        </w:rPr>
        <w:t> </w:t>
      </w:r>
      <w:r>
        <w:rPr>
          <w:color w:val="231F20"/>
          <w:spacing w:val="-3"/>
        </w:rPr>
        <w:t>побољшање</w:t>
      </w:r>
      <w:r>
        <w:rPr>
          <w:color w:val="231F20"/>
          <w:spacing w:val="-9"/>
        </w:rPr>
        <w:t> </w:t>
      </w:r>
      <w:r>
        <w:rPr>
          <w:color w:val="231F20"/>
          <w:spacing w:val="-3"/>
        </w:rPr>
        <w:t>постојећег</w:t>
      </w:r>
      <w:r>
        <w:rPr>
          <w:color w:val="231F20"/>
          <w:spacing w:val="-10"/>
        </w:rPr>
        <w:t> </w:t>
      </w:r>
      <w:r>
        <w:rPr>
          <w:color w:val="231F20"/>
        </w:rPr>
        <w:t>и</w:t>
      </w:r>
      <w:r>
        <w:rPr>
          <w:color w:val="231F20"/>
          <w:spacing w:val="-10"/>
        </w:rPr>
        <w:t> </w:t>
      </w:r>
      <w:r>
        <w:rPr>
          <w:color w:val="231F20"/>
          <w:spacing w:val="-3"/>
        </w:rPr>
        <w:t>даљи</w:t>
      </w:r>
      <w:r>
        <w:rPr>
          <w:color w:val="231F20"/>
          <w:spacing w:val="-10"/>
        </w:rPr>
        <w:t> </w:t>
      </w:r>
      <w:r>
        <w:rPr>
          <w:color w:val="231F20"/>
          <w:spacing w:val="-3"/>
        </w:rPr>
        <w:t>развој</w:t>
      </w:r>
      <w:r>
        <w:rPr>
          <w:color w:val="231F20"/>
          <w:spacing w:val="-9"/>
        </w:rPr>
        <w:t> </w:t>
      </w:r>
      <w:r>
        <w:rPr>
          <w:color w:val="231F20"/>
          <w:spacing w:val="-3"/>
        </w:rPr>
        <w:t>система</w:t>
      </w:r>
      <w:r>
        <w:rPr>
          <w:color w:val="231F20"/>
          <w:spacing w:val="-9"/>
        </w:rPr>
        <w:t> </w:t>
      </w:r>
      <w:r>
        <w:rPr>
          <w:color w:val="231F20"/>
          <w:spacing w:val="-4"/>
        </w:rPr>
        <w:t>даљинског</w:t>
      </w:r>
      <w:r>
        <w:rPr>
          <w:color w:val="231F20"/>
          <w:spacing w:val="-10"/>
        </w:rPr>
        <w:t> </w:t>
      </w:r>
      <w:r>
        <w:rPr>
          <w:color w:val="231F20"/>
          <w:spacing w:val="-3"/>
        </w:rPr>
        <w:t>гре- јања, развој </w:t>
      </w:r>
      <w:r>
        <w:rPr>
          <w:color w:val="231F20"/>
          <w:spacing w:val="-4"/>
        </w:rPr>
        <w:t>гасоводне </w:t>
      </w:r>
      <w:r>
        <w:rPr>
          <w:color w:val="231F20"/>
          <w:spacing w:val="-3"/>
        </w:rPr>
        <w:t>мреже, </w:t>
      </w:r>
      <w:r>
        <w:rPr>
          <w:color w:val="231F20"/>
          <w:spacing w:val="-5"/>
        </w:rPr>
        <w:t>која </w:t>
      </w:r>
      <w:r>
        <w:rPr>
          <w:color w:val="231F20"/>
        </w:rPr>
        <w:t>ће </w:t>
      </w:r>
      <w:r>
        <w:rPr>
          <w:color w:val="231F20"/>
          <w:spacing w:val="-4"/>
        </w:rPr>
        <w:t>омогућити супституцију </w:t>
      </w:r>
      <w:r>
        <w:rPr>
          <w:color w:val="231F20"/>
          <w:spacing w:val="-5"/>
        </w:rPr>
        <w:t>кори- </w:t>
      </w:r>
      <w:r>
        <w:rPr>
          <w:color w:val="231F20"/>
          <w:spacing w:val="-3"/>
        </w:rPr>
        <w:t>шћења електричне енергије </w:t>
      </w:r>
      <w:r>
        <w:rPr>
          <w:color w:val="231F20"/>
        </w:rPr>
        <w:t>и </w:t>
      </w:r>
      <w:r>
        <w:rPr>
          <w:color w:val="231F20"/>
          <w:spacing w:val="-3"/>
        </w:rPr>
        <w:t>класичних фосилних </w:t>
      </w:r>
      <w:r>
        <w:rPr>
          <w:color w:val="231F20"/>
          <w:spacing w:val="-4"/>
        </w:rPr>
        <w:t>енергената</w:t>
      </w:r>
      <w:r>
        <w:rPr>
          <w:color w:val="231F20"/>
          <w:spacing w:val="-16"/>
        </w:rPr>
        <w:t> </w:t>
      </w:r>
      <w:r>
        <w:rPr>
          <w:color w:val="231F20"/>
        </w:rPr>
        <w:t>и</w:t>
      </w:r>
    </w:p>
    <w:p>
      <w:pPr>
        <w:pStyle w:val="BodyText"/>
        <w:spacing w:line="230" w:lineRule="auto"/>
        <w:ind w:right="38" w:firstLine="396"/>
      </w:pPr>
      <w:r>
        <w:rPr>
          <w:color w:val="231F20"/>
          <w:w w:val="66"/>
        </w:rPr>
        <w:t> </w:t>
      </w:r>
      <w:r>
        <w:rPr>
          <w:color w:val="231F20"/>
        </w:rPr>
        <w:t>–</w:t>
      </w:r>
      <w:r>
        <w:rPr>
          <w:color w:val="231F20"/>
          <w:spacing w:val="-17"/>
        </w:rPr>
        <w:t> </w:t>
      </w:r>
      <w:r>
        <w:rPr>
          <w:color w:val="231F20"/>
          <w:spacing w:val="-6"/>
        </w:rPr>
        <w:t>пројектовање</w:t>
      </w:r>
      <w:r>
        <w:rPr>
          <w:color w:val="231F20"/>
          <w:spacing w:val="-17"/>
        </w:rPr>
        <w:t> </w:t>
      </w:r>
      <w:r>
        <w:rPr>
          <w:color w:val="231F20"/>
          <w:spacing w:val="-5"/>
        </w:rPr>
        <w:t>нових</w:t>
      </w:r>
      <w:r>
        <w:rPr>
          <w:color w:val="231F20"/>
          <w:spacing w:val="-17"/>
        </w:rPr>
        <w:t> </w:t>
      </w:r>
      <w:r>
        <w:rPr>
          <w:color w:val="231F20"/>
          <w:spacing w:val="-6"/>
        </w:rPr>
        <w:t>енергетски</w:t>
      </w:r>
      <w:r>
        <w:rPr>
          <w:color w:val="231F20"/>
          <w:spacing w:val="-17"/>
        </w:rPr>
        <w:t> </w:t>
      </w:r>
      <w:r>
        <w:rPr>
          <w:color w:val="231F20"/>
          <w:spacing w:val="-6"/>
        </w:rPr>
        <w:t>ефикасних</w:t>
      </w:r>
      <w:r>
        <w:rPr>
          <w:color w:val="231F20"/>
          <w:spacing w:val="-17"/>
        </w:rPr>
        <w:t> </w:t>
      </w:r>
      <w:r>
        <w:rPr>
          <w:color w:val="231F20"/>
          <w:spacing w:val="-5"/>
        </w:rPr>
        <w:t>зграда</w:t>
      </w:r>
      <w:r>
        <w:rPr>
          <w:color w:val="231F20"/>
          <w:spacing w:val="-17"/>
        </w:rPr>
        <w:t> </w:t>
      </w:r>
      <w:r>
        <w:rPr>
          <w:color w:val="231F20"/>
        </w:rPr>
        <w:t>и</w:t>
      </w:r>
      <w:r>
        <w:rPr>
          <w:color w:val="231F20"/>
          <w:spacing w:val="-17"/>
        </w:rPr>
        <w:t> </w:t>
      </w:r>
      <w:r>
        <w:rPr>
          <w:color w:val="231F20"/>
          <w:spacing w:val="-7"/>
        </w:rPr>
        <w:t>реконструк- </w:t>
      </w:r>
      <w:r>
        <w:rPr>
          <w:color w:val="231F20"/>
          <w:spacing w:val="-5"/>
        </w:rPr>
        <w:t>ција </w:t>
      </w:r>
      <w:r>
        <w:rPr>
          <w:color w:val="231F20"/>
          <w:spacing w:val="-6"/>
        </w:rPr>
        <w:t>постојећих </w:t>
      </w:r>
      <w:r>
        <w:rPr>
          <w:color w:val="231F20"/>
          <w:spacing w:val="-3"/>
        </w:rPr>
        <w:t>уз </w:t>
      </w:r>
      <w:r>
        <w:rPr>
          <w:color w:val="231F20"/>
          <w:spacing w:val="-6"/>
        </w:rPr>
        <w:t>поштовање принципа енергетске</w:t>
      </w:r>
      <w:r>
        <w:rPr>
          <w:color w:val="231F20"/>
          <w:spacing w:val="-30"/>
        </w:rPr>
        <w:t> </w:t>
      </w:r>
      <w:r>
        <w:rPr>
          <w:color w:val="231F20"/>
          <w:spacing w:val="-6"/>
        </w:rPr>
        <w:t>ефикасности.</w:t>
      </w:r>
    </w:p>
    <w:p>
      <w:pPr>
        <w:pStyle w:val="BodyText"/>
        <w:spacing w:before="161"/>
        <w:ind w:left="1639"/>
        <w:jc w:val="left"/>
      </w:pPr>
      <w:r>
        <w:rPr>
          <w:color w:val="231F20"/>
        </w:rPr>
        <w:t>Обновљиви извори енергије</w:t>
      </w:r>
    </w:p>
    <w:p>
      <w:pPr>
        <w:pStyle w:val="BodyText"/>
        <w:spacing w:before="1"/>
        <w:ind w:left="0"/>
        <w:jc w:val="left"/>
        <w:rPr>
          <w:sz w:val="17"/>
        </w:rPr>
      </w:pPr>
    </w:p>
    <w:p>
      <w:pPr>
        <w:pStyle w:val="BodyText"/>
        <w:spacing w:line="230" w:lineRule="auto"/>
        <w:ind w:right="38" w:firstLine="397"/>
      </w:pPr>
      <w:r>
        <w:rPr>
          <w:color w:val="231F20"/>
        </w:rPr>
        <w:t>Основни циљ на </w:t>
      </w:r>
      <w:r>
        <w:rPr>
          <w:color w:val="231F20"/>
          <w:spacing w:val="-3"/>
        </w:rPr>
        <w:t>Планском </w:t>
      </w:r>
      <w:r>
        <w:rPr>
          <w:color w:val="231F20"/>
        </w:rPr>
        <w:t>подручју је повећање коришће- ња</w:t>
      </w:r>
      <w:r>
        <w:rPr>
          <w:color w:val="231F20"/>
          <w:spacing w:val="-5"/>
        </w:rPr>
        <w:t> </w:t>
      </w:r>
      <w:r>
        <w:rPr>
          <w:color w:val="231F20"/>
        </w:rPr>
        <w:t>ОИЕ,</w:t>
      </w:r>
      <w:r>
        <w:rPr>
          <w:color w:val="231F20"/>
          <w:spacing w:val="-5"/>
        </w:rPr>
        <w:t> </w:t>
      </w:r>
      <w:r>
        <w:rPr>
          <w:color w:val="231F20"/>
        </w:rPr>
        <w:t>уз</w:t>
      </w:r>
      <w:r>
        <w:rPr>
          <w:color w:val="231F20"/>
          <w:spacing w:val="-5"/>
        </w:rPr>
        <w:t> </w:t>
      </w:r>
      <w:r>
        <w:rPr>
          <w:color w:val="231F20"/>
        </w:rPr>
        <w:t>смањење</w:t>
      </w:r>
      <w:r>
        <w:rPr>
          <w:color w:val="231F20"/>
          <w:spacing w:val="-5"/>
        </w:rPr>
        <w:t> </w:t>
      </w:r>
      <w:r>
        <w:rPr>
          <w:color w:val="231F20"/>
        </w:rPr>
        <w:t>негативних</w:t>
      </w:r>
      <w:r>
        <w:rPr>
          <w:color w:val="231F20"/>
          <w:spacing w:val="-5"/>
        </w:rPr>
        <w:t> </w:t>
      </w:r>
      <w:r>
        <w:rPr>
          <w:color w:val="231F20"/>
        </w:rPr>
        <w:t>утицаја</w:t>
      </w:r>
      <w:r>
        <w:rPr>
          <w:color w:val="231F20"/>
          <w:spacing w:val="-5"/>
        </w:rPr>
        <w:t> </w:t>
      </w:r>
      <w:r>
        <w:rPr>
          <w:color w:val="231F20"/>
        </w:rPr>
        <w:t>на</w:t>
      </w:r>
      <w:r>
        <w:rPr>
          <w:color w:val="231F20"/>
          <w:spacing w:val="-5"/>
        </w:rPr>
        <w:t> </w:t>
      </w:r>
      <w:r>
        <w:rPr>
          <w:color w:val="231F20"/>
        </w:rPr>
        <w:t>животну</w:t>
      </w:r>
      <w:r>
        <w:rPr>
          <w:color w:val="231F20"/>
          <w:spacing w:val="-5"/>
        </w:rPr>
        <w:t> </w:t>
      </w:r>
      <w:r>
        <w:rPr>
          <w:color w:val="231F20"/>
          <w:spacing w:val="-3"/>
        </w:rPr>
        <w:t>средину,</w:t>
      </w:r>
      <w:r>
        <w:rPr>
          <w:color w:val="231F20"/>
          <w:spacing w:val="-5"/>
        </w:rPr>
        <w:t> </w:t>
      </w:r>
      <w:r>
        <w:rPr>
          <w:color w:val="231F20"/>
        </w:rPr>
        <w:t>што подразумева:</w:t>
      </w:r>
    </w:p>
    <w:p>
      <w:pPr>
        <w:pStyle w:val="BodyText"/>
        <w:spacing w:line="230" w:lineRule="auto"/>
        <w:ind w:right="38" w:firstLine="397"/>
      </w:pPr>
      <w:r>
        <w:rPr>
          <w:color w:val="231F20"/>
          <w:w w:val="66"/>
        </w:rPr>
        <w:t> </w:t>
      </w:r>
      <w:r>
        <w:rPr>
          <w:color w:val="231F20"/>
        </w:rPr>
        <w:t>– стварање погодног амбијента за примену ОИЕ, примена просторних и еколошких критеријума; коришћење обновљивих извора у производњи примарне енергије и повећање енергије из ОИ; приближавање европским нормама;</w:t>
      </w:r>
    </w:p>
    <w:p>
      <w:pPr>
        <w:pStyle w:val="BodyText"/>
        <w:spacing w:line="230" w:lineRule="auto"/>
        <w:ind w:right="39" w:firstLine="397"/>
      </w:pPr>
      <w:r>
        <w:rPr>
          <w:color w:val="231F20"/>
          <w:w w:val="66"/>
        </w:rPr>
        <w:t> </w:t>
      </w:r>
      <w:r>
        <w:rPr>
          <w:color w:val="231F20"/>
        </w:rPr>
        <w:t>– повећање производње енергије из сопствених извора, пре свега обновљивих, што захтева интензивирање истраживања по- тенцијала;</w:t>
      </w:r>
    </w:p>
    <w:p>
      <w:pPr>
        <w:pStyle w:val="BodyText"/>
        <w:spacing w:line="230" w:lineRule="auto"/>
        <w:ind w:right="39" w:firstLine="396"/>
      </w:pPr>
      <w:r>
        <w:rPr>
          <w:color w:val="231F20"/>
          <w:w w:val="66"/>
        </w:rPr>
        <w:t> </w:t>
      </w:r>
      <w:r>
        <w:rPr>
          <w:color w:val="231F20"/>
        </w:rPr>
        <w:t>–</w:t>
      </w:r>
      <w:r>
        <w:rPr>
          <w:color w:val="231F20"/>
          <w:spacing w:val="-14"/>
        </w:rPr>
        <w:t> </w:t>
      </w:r>
      <w:r>
        <w:rPr>
          <w:color w:val="231F20"/>
        </w:rPr>
        <w:t>побољшање</w:t>
      </w:r>
      <w:r>
        <w:rPr>
          <w:color w:val="231F20"/>
          <w:spacing w:val="-14"/>
        </w:rPr>
        <w:t> </w:t>
      </w:r>
      <w:r>
        <w:rPr>
          <w:color w:val="231F20"/>
        </w:rPr>
        <w:t>техничко-технолошке</w:t>
      </w:r>
      <w:r>
        <w:rPr>
          <w:color w:val="231F20"/>
          <w:spacing w:val="-14"/>
        </w:rPr>
        <w:t> </w:t>
      </w:r>
      <w:r>
        <w:rPr>
          <w:color w:val="231F20"/>
        </w:rPr>
        <w:t>и</w:t>
      </w:r>
      <w:r>
        <w:rPr>
          <w:color w:val="231F20"/>
          <w:spacing w:val="-14"/>
        </w:rPr>
        <w:t> </w:t>
      </w:r>
      <w:r>
        <w:rPr>
          <w:color w:val="231F20"/>
        </w:rPr>
        <w:t>кадровске</w:t>
      </w:r>
      <w:r>
        <w:rPr>
          <w:color w:val="231F20"/>
          <w:spacing w:val="-14"/>
        </w:rPr>
        <w:t> </w:t>
      </w:r>
      <w:r>
        <w:rPr>
          <w:color w:val="231F20"/>
        </w:rPr>
        <w:t>опремљено- сти и брже увођење нових технологија за коришћење обновљивих извора</w:t>
      </w:r>
      <w:r>
        <w:rPr>
          <w:color w:val="231F20"/>
          <w:spacing w:val="-1"/>
        </w:rPr>
        <w:t> </w:t>
      </w:r>
      <w:r>
        <w:rPr>
          <w:color w:val="231F20"/>
        </w:rPr>
        <w:t>енергије;</w:t>
      </w:r>
    </w:p>
    <w:p>
      <w:pPr>
        <w:pStyle w:val="BodyText"/>
        <w:spacing w:line="230" w:lineRule="auto"/>
        <w:ind w:right="39" w:firstLine="396"/>
      </w:pPr>
      <w:r>
        <w:rPr>
          <w:color w:val="231F20"/>
          <w:w w:val="66"/>
        </w:rPr>
        <w:t> </w:t>
      </w:r>
      <w:r>
        <w:rPr>
          <w:color w:val="231F20"/>
        </w:rPr>
        <w:t>– повећање степена истражености извора обновљиве</w:t>
      </w:r>
      <w:r>
        <w:rPr>
          <w:color w:val="231F20"/>
          <w:spacing w:val="-26"/>
        </w:rPr>
        <w:t> </w:t>
      </w:r>
      <w:r>
        <w:rPr>
          <w:color w:val="231F20"/>
        </w:rPr>
        <w:t>енерги- је на </w:t>
      </w:r>
      <w:r>
        <w:rPr>
          <w:color w:val="231F20"/>
          <w:spacing w:val="-3"/>
        </w:rPr>
        <w:t>Планском</w:t>
      </w:r>
      <w:r>
        <w:rPr>
          <w:color w:val="231F20"/>
          <w:spacing w:val="-1"/>
        </w:rPr>
        <w:t> </w:t>
      </w:r>
      <w:r>
        <w:rPr>
          <w:color w:val="231F20"/>
          <w:spacing w:val="-4"/>
        </w:rPr>
        <w:t>подручју.</w:t>
      </w:r>
    </w:p>
    <w:p>
      <w:pPr>
        <w:pStyle w:val="BodyText"/>
        <w:spacing w:line="196" w:lineRule="exact"/>
        <w:ind w:left="567"/>
        <w:jc w:val="left"/>
      </w:pPr>
      <w:r>
        <w:rPr>
          <w:color w:val="231F20"/>
          <w:w w:val="66"/>
        </w:rPr>
        <w:t> </w:t>
      </w:r>
      <w:r>
        <w:rPr>
          <w:color w:val="231F20"/>
        </w:rPr>
        <w:t>– интезивирање едукације и учешћа јавности;</w:t>
      </w:r>
    </w:p>
    <w:p>
      <w:pPr>
        <w:pStyle w:val="BodyText"/>
        <w:spacing w:line="230" w:lineRule="auto" w:before="1"/>
        <w:ind w:right="39" w:firstLine="396"/>
      </w:pPr>
      <w:r>
        <w:rPr>
          <w:color w:val="231F20"/>
          <w:w w:val="66"/>
        </w:rPr>
        <w:t> </w:t>
      </w:r>
      <w:r>
        <w:rPr>
          <w:color w:val="231F20"/>
        </w:rPr>
        <w:t>– побољшање управљања енергијом </w:t>
      </w:r>
      <w:r>
        <w:rPr>
          <w:color w:val="231F20"/>
          <w:spacing w:val="-3"/>
        </w:rPr>
        <w:t>која </w:t>
      </w:r>
      <w:r>
        <w:rPr>
          <w:color w:val="231F20"/>
        </w:rPr>
        <w:t>се производи на</w:t>
      </w:r>
      <w:r>
        <w:rPr>
          <w:color w:val="231F20"/>
          <w:spacing w:val="-33"/>
        </w:rPr>
        <w:t> </w:t>
      </w:r>
      <w:r>
        <w:rPr>
          <w:color w:val="231F20"/>
        </w:rPr>
        <w:t>ло- калном </w:t>
      </w:r>
      <w:r>
        <w:rPr>
          <w:color w:val="231F20"/>
          <w:spacing w:val="-3"/>
        </w:rPr>
        <w:t>нивоу</w:t>
      </w:r>
      <w:r>
        <w:rPr>
          <w:color w:val="231F20"/>
          <w:spacing w:val="-1"/>
        </w:rPr>
        <w:t> </w:t>
      </w:r>
      <w:r>
        <w:rPr>
          <w:color w:val="231F20"/>
        </w:rPr>
        <w:t>и</w:t>
      </w:r>
    </w:p>
    <w:p>
      <w:pPr>
        <w:pStyle w:val="BodyText"/>
        <w:spacing w:line="230" w:lineRule="auto"/>
        <w:ind w:right="39" w:firstLine="396"/>
      </w:pPr>
      <w:r>
        <w:rPr>
          <w:color w:val="231F20"/>
          <w:w w:val="66"/>
        </w:rPr>
        <w:t> </w:t>
      </w:r>
      <w:r>
        <w:rPr>
          <w:color w:val="231F20"/>
        </w:rPr>
        <w:t>– побољшавање квалитета животне средине већим коришће- њем ОИЕ.</w:t>
      </w:r>
    </w:p>
    <w:p>
      <w:pPr>
        <w:pStyle w:val="BodyText"/>
        <w:spacing w:line="208" w:lineRule="auto" w:before="14"/>
        <w:ind w:right="39" w:firstLine="396"/>
      </w:pPr>
      <w:r>
        <w:rPr>
          <w:color w:val="231F20"/>
        </w:rPr>
        <w:t>Један од важних циљева примене ОИЕ је смањење емисије CO</w:t>
      </w:r>
      <w:r>
        <w:rPr>
          <w:color w:val="231F20"/>
          <w:position w:val="-5"/>
          <w:sz w:val="10"/>
        </w:rPr>
        <w:t>2 </w:t>
      </w:r>
      <w:r>
        <w:rPr>
          <w:color w:val="231F20"/>
        </w:rPr>
        <w:t>и других штетних материја које настају коришћењем енергије из фосилних горива.</w:t>
      </w:r>
    </w:p>
    <w:p>
      <w:pPr>
        <w:pStyle w:val="ListParagraph"/>
        <w:numPr>
          <w:ilvl w:val="2"/>
          <w:numId w:val="26"/>
        </w:numPr>
        <w:tabs>
          <w:tab w:pos="2103" w:val="left" w:leader="none"/>
        </w:tabs>
        <w:spacing w:line="240" w:lineRule="auto" w:before="162" w:after="0"/>
        <w:ind w:left="2102" w:right="0" w:hanging="450"/>
        <w:jc w:val="left"/>
        <w:rPr>
          <w:sz w:val="18"/>
        </w:rPr>
      </w:pPr>
      <w:r>
        <w:rPr>
          <w:color w:val="231F20"/>
          <w:spacing w:val="16"/>
          <w:sz w:val="18"/>
        </w:rPr>
        <w:t>Привредни</w:t>
      </w:r>
      <w:r>
        <w:rPr>
          <w:color w:val="231F20"/>
          <w:spacing w:val="43"/>
          <w:sz w:val="18"/>
        </w:rPr>
        <w:t> </w:t>
      </w:r>
      <w:r>
        <w:rPr>
          <w:color w:val="231F20"/>
          <w:spacing w:val="15"/>
          <w:sz w:val="18"/>
        </w:rPr>
        <w:t>развој</w:t>
      </w:r>
    </w:p>
    <w:p>
      <w:pPr>
        <w:pStyle w:val="BodyText"/>
        <w:spacing w:line="398" w:lineRule="exact" w:before="12"/>
        <w:ind w:left="567" w:firstLine="113"/>
        <w:jc w:val="left"/>
      </w:pPr>
      <w:r>
        <w:rPr>
          <w:color w:val="231F20"/>
        </w:rPr>
        <w:t>Привредни развој и просторни размештај индустрије Основни  дугорочни  циљ  привредног  развоја  на  подруч-</w:t>
      </w:r>
    </w:p>
    <w:p>
      <w:pPr>
        <w:pStyle w:val="BodyText"/>
        <w:spacing w:line="153" w:lineRule="exact"/>
        <w:ind w:left="169"/>
        <w:jc w:val="left"/>
      </w:pPr>
      <w:r>
        <w:rPr>
          <w:color w:val="231F20"/>
        </w:rPr>
        <w:t>ју  Костолачког  лигнитског  басена  јесте  остваривање  одрживог</w:t>
      </w:r>
    </w:p>
    <w:p>
      <w:pPr>
        <w:pStyle w:val="BodyText"/>
        <w:spacing w:line="230" w:lineRule="auto" w:before="2"/>
        <w:ind w:left="169" w:right="39" w:hanging="1"/>
      </w:pPr>
      <w:r>
        <w:rPr>
          <w:color w:val="231F20"/>
        </w:rPr>
        <w:t>привредног раста у делатности посебне намене (енергетика и ру- дарство) као и у делатностима које су способне за конкурентски наступ, применом европских принципа индустријске политике и политике развоја предузетништва и МСП, повећање секторске и територијалне конкурентности и запослености обезбеђењем по- вољних општих, инфраструктурних и просторних услова, као и просторна дистрибуција усклађена са потенцијалом костолачког подручја, захтевима привредним актерима због климатских про- мена и смањења притиска на ресурсе.</w:t>
      </w:r>
    </w:p>
    <w:p>
      <w:pPr>
        <w:pStyle w:val="BodyText"/>
        <w:spacing w:line="230" w:lineRule="auto"/>
        <w:ind w:left="169" w:right="38" w:firstLine="397"/>
      </w:pPr>
      <w:r>
        <w:rPr>
          <w:color w:val="231F20"/>
        </w:rPr>
        <w:t>Оперативни циљеви територијалног развоја привреде су: ак- тивирање привредних делатности заснованих на </w:t>
      </w:r>
      <w:r>
        <w:rPr>
          <w:color w:val="231F20"/>
          <w:spacing w:val="-4"/>
        </w:rPr>
        <w:t>знању, </w:t>
      </w:r>
      <w:r>
        <w:rPr>
          <w:color w:val="231F20"/>
        </w:rPr>
        <w:t>подршка иновацијама и усвајању нових технолошких решења и развој про- извода; успостављање одрживе структуре привреде, </w:t>
      </w:r>
      <w:r>
        <w:rPr>
          <w:color w:val="231F20"/>
          <w:spacing w:val="-3"/>
        </w:rPr>
        <w:t>подршком </w:t>
      </w:r>
      <w:r>
        <w:rPr>
          <w:color w:val="231F20"/>
        </w:rPr>
        <w:t>eфикасном</w:t>
      </w:r>
      <w:r>
        <w:rPr>
          <w:color w:val="231F20"/>
          <w:spacing w:val="-11"/>
        </w:rPr>
        <w:t> </w:t>
      </w:r>
      <w:r>
        <w:rPr>
          <w:color w:val="231F20"/>
        </w:rPr>
        <w:t>рeструктуирању</w:t>
      </w:r>
      <w:r>
        <w:rPr>
          <w:color w:val="231F20"/>
          <w:spacing w:val="-11"/>
        </w:rPr>
        <w:t> </w:t>
      </w:r>
      <w:r>
        <w:rPr>
          <w:color w:val="231F20"/>
        </w:rPr>
        <w:t>рударско-енергетског</w:t>
      </w:r>
      <w:r>
        <w:rPr>
          <w:color w:val="231F20"/>
          <w:spacing w:val="-11"/>
        </w:rPr>
        <w:t> </w:t>
      </w:r>
      <w:r>
        <w:rPr>
          <w:color w:val="231F20"/>
        </w:rPr>
        <w:t>и</w:t>
      </w:r>
      <w:r>
        <w:rPr>
          <w:color w:val="231F20"/>
          <w:spacing w:val="-11"/>
        </w:rPr>
        <w:t> </w:t>
      </w:r>
      <w:r>
        <w:rPr>
          <w:color w:val="231F20"/>
        </w:rPr>
        <w:t>индустријског </w:t>
      </w:r>
      <w:r>
        <w:rPr>
          <w:color w:val="231F20"/>
          <w:spacing w:val="-3"/>
        </w:rPr>
        <w:t>комплекса, </w:t>
      </w:r>
      <w:r>
        <w:rPr>
          <w:color w:val="231F20"/>
        </w:rPr>
        <w:t>агро-комплекса и туризма, модeрнизациjи капацитeта у Пожаревцу и Костолцу и на руралном подручју; </w:t>
      </w:r>
      <w:r>
        <w:rPr>
          <w:color w:val="231F20"/>
          <w:spacing w:val="-3"/>
        </w:rPr>
        <w:t>економско-еко- лошко </w:t>
      </w:r>
      <w:r>
        <w:rPr>
          <w:color w:val="231F20"/>
        </w:rPr>
        <w:t>реструктурирање дела постојећих капацитета и повећање учешћа high-tech грана; подстицање развоја индустријских зона, бизнис инкубатора; кластерско </w:t>
      </w:r>
      <w:r>
        <w:rPr>
          <w:color w:val="231F20"/>
          <w:spacing w:val="-3"/>
        </w:rPr>
        <w:t>удруживање </w:t>
      </w:r>
      <w:r>
        <w:rPr>
          <w:color w:val="231F20"/>
        </w:rPr>
        <w:t>и повезивање пред- узећа и интензивни раст пословних инкубатора; модернизација политике запошљавања </w:t>
      </w:r>
      <w:r>
        <w:rPr>
          <w:color w:val="231F20"/>
          <w:spacing w:val="-3"/>
        </w:rPr>
        <w:t>подршком </w:t>
      </w:r>
      <w:r>
        <w:rPr>
          <w:color w:val="231F20"/>
        </w:rPr>
        <w:t>развоју предузетништва и ства- рању амбијента </w:t>
      </w:r>
      <w:r>
        <w:rPr>
          <w:color w:val="231F20"/>
          <w:spacing w:val="-3"/>
        </w:rPr>
        <w:t>који </w:t>
      </w:r>
      <w:r>
        <w:rPr>
          <w:color w:val="231F20"/>
        </w:rPr>
        <w:t>подстиче развој МСП; обезбеђење повољних локација различитог степена опремљености и других послов- но-инвестиционих услова; ревитализација дела постојећих бра- унфилд локација у граду Пожаревцу и Костолцу; равномернији размештај капацитета, у складу са потенцијалима и ограничењи- ма простора; подстицај ефикасном коришћењу ИКТ у привређи- вању; подстицај регионалне и међународне сарадње, пре свега у области нових пројеката, енергетике и туризма; спречавање нера- ционалног коришћења и деградације пољопривредног земљишта; унапређење сарадње између приватног и јавног сектора; и јачањe институциjа општинскe управe ради подршкe локалном развоју уз успостављање партнерства свих</w:t>
      </w:r>
      <w:r>
        <w:rPr>
          <w:color w:val="231F20"/>
          <w:spacing w:val="-2"/>
        </w:rPr>
        <w:t> </w:t>
      </w:r>
      <w:r>
        <w:rPr>
          <w:color w:val="231F20"/>
        </w:rPr>
        <w:t>актера.</w:t>
      </w:r>
    </w:p>
    <w:p>
      <w:pPr>
        <w:pStyle w:val="BodyText"/>
        <w:spacing w:before="66"/>
        <w:ind w:left="1483"/>
        <w:jc w:val="left"/>
      </w:pPr>
      <w:r>
        <w:rPr/>
        <w:br w:type="column"/>
      </w:r>
      <w:r>
        <w:rPr>
          <w:color w:val="231F20"/>
        </w:rPr>
        <w:t>Пољопривреда и рурални развој</w:t>
      </w:r>
    </w:p>
    <w:p>
      <w:pPr>
        <w:pStyle w:val="BodyText"/>
        <w:spacing w:before="5"/>
        <w:ind w:left="0"/>
        <w:jc w:val="left"/>
        <w:rPr>
          <w:sz w:val="17"/>
        </w:rPr>
      </w:pPr>
    </w:p>
    <w:p>
      <w:pPr>
        <w:pStyle w:val="BodyText"/>
        <w:spacing w:line="235" w:lineRule="auto"/>
        <w:ind w:left="169" w:right="410" w:firstLine="396"/>
      </w:pPr>
      <w:r>
        <w:rPr>
          <w:color w:val="231F20"/>
          <w:spacing w:val="-3"/>
        </w:rPr>
        <w:t>Oснoвни дугoрoчни </w:t>
      </w:r>
      <w:r>
        <w:rPr>
          <w:color w:val="231F20"/>
        </w:rPr>
        <w:t>циљ </w:t>
      </w:r>
      <w:r>
        <w:rPr>
          <w:color w:val="231F20"/>
          <w:spacing w:val="-3"/>
        </w:rPr>
        <w:t>управљања просторним развојем пољопривреде </w:t>
      </w:r>
      <w:r>
        <w:rPr>
          <w:color w:val="231F20"/>
        </w:rPr>
        <w:t>и села на </w:t>
      </w:r>
      <w:r>
        <w:rPr>
          <w:color w:val="231F20"/>
          <w:spacing w:val="-5"/>
        </w:rPr>
        <w:t>Планском </w:t>
      </w:r>
      <w:r>
        <w:rPr>
          <w:color w:val="231F20"/>
          <w:spacing w:val="-4"/>
        </w:rPr>
        <w:t>подручју </w:t>
      </w:r>
      <w:r>
        <w:rPr>
          <w:color w:val="231F20"/>
          <w:spacing w:val="-3"/>
        </w:rPr>
        <w:t>jeстe неутралисање неповољних утицаја </w:t>
      </w:r>
      <w:r>
        <w:rPr>
          <w:color w:val="231F20"/>
          <w:spacing w:val="-5"/>
        </w:rPr>
        <w:t>рударско-енергетских </w:t>
      </w:r>
      <w:r>
        <w:rPr>
          <w:color w:val="231F20"/>
          <w:spacing w:val="-3"/>
        </w:rPr>
        <w:t>активности </w:t>
      </w:r>
      <w:r>
        <w:rPr>
          <w:color w:val="231F20"/>
        </w:rPr>
        <w:t>на </w:t>
      </w:r>
      <w:r>
        <w:rPr>
          <w:color w:val="231F20"/>
          <w:spacing w:val="-3"/>
        </w:rPr>
        <w:t>земљи- </w:t>
      </w:r>
      <w:r>
        <w:rPr>
          <w:color w:val="231F20"/>
        </w:rPr>
        <w:t>шне </w:t>
      </w:r>
      <w:r>
        <w:rPr>
          <w:color w:val="231F20"/>
          <w:spacing w:val="-3"/>
        </w:rPr>
        <w:t>ресурсе </w:t>
      </w:r>
      <w:r>
        <w:rPr>
          <w:color w:val="231F20"/>
        </w:rPr>
        <w:t>и </w:t>
      </w:r>
      <w:r>
        <w:rPr>
          <w:color w:val="231F20"/>
          <w:spacing w:val="-4"/>
        </w:rPr>
        <w:t>друге  </w:t>
      </w:r>
      <w:r>
        <w:rPr>
          <w:color w:val="231F20"/>
          <w:spacing w:val="-3"/>
        </w:rPr>
        <w:t>ресурсе </w:t>
      </w:r>
      <w:r>
        <w:rPr>
          <w:color w:val="231F20"/>
        </w:rPr>
        <w:t>и </w:t>
      </w:r>
      <w:r>
        <w:rPr>
          <w:color w:val="231F20"/>
          <w:spacing w:val="-3"/>
        </w:rPr>
        <w:t>услове </w:t>
      </w:r>
      <w:r>
        <w:rPr>
          <w:color w:val="231F20"/>
        </w:rPr>
        <w:t>за </w:t>
      </w:r>
      <w:r>
        <w:rPr>
          <w:color w:val="231F20"/>
          <w:spacing w:val="-3"/>
        </w:rPr>
        <w:t>прoизвoдњу квалитетних  </w:t>
      </w:r>
      <w:r>
        <w:rPr>
          <w:color w:val="231F20"/>
        </w:rPr>
        <w:t>и </w:t>
      </w:r>
      <w:r>
        <w:rPr>
          <w:color w:val="231F20"/>
          <w:spacing w:val="-4"/>
        </w:rPr>
        <w:t>здравствено безбедних пољопривредно-прехрамбених производа, </w:t>
      </w:r>
      <w:r>
        <w:rPr>
          <w:color w:val="231F20"/>
          <w:spacing w:val="-3"/>
        </w:rPr>
        <w:t>упoрeдo</w:t>
      </w:r>
      <w:r>
        <w:rPr>
          <w:color w:val="231F20"/>
          <w:spacing w:val="-9"/>
        </w:rPr>
        <w:t> </w:t>
      </w:r>
      <w:r>
        <w:rPr>
          <w:color w:val="231F20"/>
        </w:rPr>
        <w:t>с</w:t>
      </w:r>
      <w:r>
        <w:rPr>
          <w:color w:val="231F20"/>
          <w:spacing w:val="-9"/>
        </w:rPr>
        <w:t> </w:t>
      </w:r>
      <w:r>
        <w:rPr>
          <w:color w:val="231F20"/>
          <w:spacing w:val="-3"/>
        </w:rPr>
        <w:t>кoнтинуeлним</w:t>
      </w:r>
      <w:r>
        <w:rPr>
          <w:color w:val="231F20"/>
          <w:spacing w:val="-9"/>
        </w:rPr>
        <w:t> </w:t>
      </w:r>
      <w:r>
        <w:rPr>
          <w:color w:val="231F20"/>
          <w:spacing w:val="-3"/>
        </w:rPr>
        <w:t>пoбoљшавањeм</w:t>
      </w:r>
      <w:r>
        <w:rPr>
          <w:color w:val="231F20"/>
          <w:spacing w:val="-9"/>
        </w:rPr>
        <w:t> </w:t>
      </w:r>
      <w:r>
        <w:rPr>
          <w:color w:val="231F20"/>
          <w:spacing w:val="-4"/>
        </w:rPr>
        <w:t>матeриjалних</w:t>
      </w:r>
      <w:r>
        <w:rPr>
          <w:color w:val="231F20"/>
          <w:spacing w:val="-9"/>
        </w:rPr>
        <w:t> </w:t>
      </w:r>
      <w:r>
        <w:rPr>
          <w:color w:val="231F20"/>
        </w:rPr>
        <w:t>и</w:t>
      </w:r>
      <w:r>
        <w:rPr>
          <w:color w:val="231F20"/>
          <w:spacing w:val="-9"/>
        </w:rPr>
        <w:t> </w:t>
      </w:r>
      <w:r>
        <w:rPr>
          <w:color w:val="231F20"/>
          <w:spacing w:val="-3"/>
        </w:rPr>
        <w:t>сoциjалних услoва живљeња </w:t>
      </w:r>
      <w:r>
        <w:rPr>
          <w:color w:val="231F20"/>
        </w:rPr>
        <w:t>на </w:t>
      </w:r>
      <w:r>
        <w:rPr>
          <w:color w:val="231F20"/>
          <w:spacing w:val="-6"/>
        </w:rPr>
        <w:t>сeлу. </w:t>
      </w:r>
      <w:r>
        <w:rPr>
          <w:color w:val="231F20"/>
        </w:rPr>
        <w:t>На </w:t>
      </w:r>
      <w:r>
        <w:rPr>
          <w:color w:val="231F20"/>
          <w:spacing w:val="-3"/>
        </w:rPr>
        <w:t>тој </w:t>
      </w:r>
      <w:r>
        <w:rPr>
          <w:color w:val="231F20"/>
        </w:rPr>
        <w:t>основи </w:t>
      </w:r>
      <w:r>
        <w:rPr>
          <w:color w:val="231F20"/>
          <w:spacing w:val="-3"/>
        </w:rPr>
        <w:t>постављају </w:t>
      </w:r>
      <w:r>
        <w:rPr>
          <w:color w:val="231F20"/>
        </w:rPr>
        <w:t>се </w:t>
      </w:r>
      <w:r>
        <w:rPr>
          <w:color w:val="231F20"/>
          <w:spacing w:val="-3"/>
        </w:rPr>
        <w:t>следећи, про- сторно </w:t>
      </w:r>
      <w:r>
        <w:rPr>
          <w:color w:val="231F20"/>
        </w:rPr>
        <w:t>и </w:t>
      </w:r>
      <w:r>
        <w:rPr>
          <w:color w:val="231F20"/>
          <w:spacing w:val="-3"/>
        </w:rPr>
        <w:t>временски диференцирани, </w:t>
      </w:r>
      <w:r>
        <w:rPr>
          <w:color w:val="231F20"/>
          <w:spacing w:val="-4"/>
        </w:rPr>
        <w:t>оперативни</w:t>
      </w:r>
      <w:r>
        <w:rPr>
          <w:color w:val="231F20"/>
          <w:spacing w:val="-18"/>
        </w:rPr>
        <w:t> </w:t>
      </w:r>
      <w:r>
        <w:rPr>
          <w:color w:val="231F20"/>
          <w:spacing w:val="-3"/>
        </w:rPr>
        <w:t>циљеви:</w:t>
      </w:r>
    </w:p>
    <w:p>
      <w:pPr>
        <w:pStyle w:val="BodyText"/>
        <w:spacing w:line="235" w:lineRule="auto" w:before="2"/>
        <w:ind w:right="409" w:firstLine="396"/>
      </w:pPr>
      <w:r>
        <w:rPr>
          <w:color w:val="231F20"/>
          <w:w w:val="66"/>
        </w:rPr>
        <w:t> </w:t>
      </w:r>
      <w:r>
        <w:rPr>
          <w:color w:val="231F20"/>
        </w:rPr>
        <w:t>– смањити заузимање пoљoприврeдних пoвршина за по- требе рударства и енергетике на тeхнoлoшки минимум и скрати- ти пeриoд oнeспoсoбљавања прoстoра за прoизвoдњу биoмасe, разрадoм одговарајућих рeшeња у фази прoјeктoвања рударскo- eнeргeтских пoстрoјeња;</w:t>
      </w:r>
    </w:p>
    <w:p>
      <w:pPr>
        <w:pStyle w:val="BodyText"/>
        <w:spacing w:line="235" w:lineRule="auto" w:before="1"/>
        <w:ind w:right="409" w:firstLine="396"/>
      </w:pPr>
      <w:r>
        <w:rPr>
          <w:color w:val="231F20"/>
          <w:w w:val="66"/>
        </w:rPr>
        <w:t> </w:t>
      </w:r>
      <w:r>
        <w:rPr>
          <w:color w:val="231F20"/>
        </w:rPr>
        <w:t>– применити сeлeктивно скидањe и дeпoнoвањe хумуснoг слoја у поступку површинске експлоатације угљених лежишта, ради успешног спровођења потоње биолошке рекултивације де- градираног простора;</w:t>
      </w:r>
    </w:p>
    <w:p>
      <w:pPr>
        <w:pStyle w:val="BodyText"/>
        <w:spacing w:line="235" w:lineRule="auto" w:before="1"/>
        <w:ind w:right="410" w:firstLine="397"/>
      </w:pPr>
      <w:r>
        <w:rPr>
          <w:color w:val="231F20"/>
          <w:w w:val="66"/>
        </w:rPr>
        <w:t> </w:t>
      </w:r>
      <w:r>
        <w:rPr>
          <w:color w:val="231F20"/>
        </w:rPr>
        <w:t>– спрeчити, односно поправити последице утицаја </w:t>
      </w:r>
      <w:r>
        <w:rPr>
          <w:color w:val="231F20"/>
          <w:spacing w:val="-3"/>
        </w:rPr>
        <w:t>рударства </w:t>
      </w:r>
      <w:r>
        <w:rPr>
          <w:color w:val="231F20"/>
        </w:rPr>
        <w:t>и eнeргeтикe, као и других штетних антропогених и природних фактора на квалитет пољопривредног земљишта (загађивање опа- сним и штетним материјама, водна и еолска ерозија, закишељава- ње, смањивање садржаја органских материја, сабијање, клизишта и слично), а тиме и на квалитет воде и ваздуха, климатске проме- не, биодиверзитет и здравствену безбедност хране;</w:t>
      </w:r>
    </w:p>
    <w:p>
      <w:pPr>
        <w:pStyle w:val="BodyText"/>
        <w:spacing w:line="235" w:lineRule="auto" w:before="1"/>
        <w:ind w:right="409" w:firstLine="396"/>
      </w:pPr>
      <w:r>
        <w:rPr>
          <w:color w:val="231F20"/>
          <w:w w:val="66"/>
        </w:rPr>
        <w:t> </w:t>
      </w:r>
      <w:r>
        <w:rPr>
          <w:color w:val="231F20"/>
        </w:rPr>
        <w:t>– осигурати опстанак и развој мултифункциoналних поро- дичних газдинстава на теренима у непосредном окружењу </w:t>
      </w:r>
      <w:r>
        <w:rPr>
          <w:color w:val="231F20"/>
          <w:spacing w:val="-3"/>
        </w:rPr>
        <w:t>рудар- </w:t>
      </w:r>
      <w:r>
        <w:rPr>
          <w:color w:val="231F20"/>
        </w:rPr>
        <w:t>ско-енергетских постројења и на другим локацијама с ограниче- њима за остваривање задовољавајућих пољопривредних </w:t>
      </w:r>
      <w:r>
        <w:rPr>
          <w:color w:val="231F20"/>
          <w:spacing w:val="-3"/>
        </w:rPr>
        <w:t>доходака, </w:t>
      </w:r>
      <w:r>
        <w:rPr>
          <w:color w:val="231F20"/>
        </w:rPr>
        <w:t>у</w:t>
      </w:r>
      <w:r>
        <w:rPr>
          <w:color w:val="231F20"/>
          <w:spacing w:val="-7"/>
        </w:rPr>
        <w:t> </w:t>
      </w:r>
      <w:r>
        <w:rPr>
          <w:color w:val="231F20"/>
        </w:rPr>
        <w:t>првом</w:t>
      </w:r>
      <w:r>
        <w:rPr>
          <w:color w:val="231F20"/>
          <w:spacing w:val="-7"/>
        </w:rPr>
        <w:t> </w:t>
      </w:r>
      <w:r>
        <w:rPr>
          <w:color w:val="231F20"/>
          <w:spacing w:val="-5"/>
        </w:rPr>
        <w:t>реду,</w:t>
      </w:r>
      <w:r>
        <w:rPr>
          <w:color w:val="231F20"/>
          <w:spacing w:val="-7"/>
        </w:rPr>
        <w:t> </w:t>
      </w:r>
      <w:r>
        <w:rPr>
          <w:color w:val="231F20"/>
        </w:rPr>
        <w:t>ради</w:t>
      </w:r>
      <w:r>
        <w:rPr>
          <w:color w:val="231F20"/>
          <w:spacing w:val="-7"/>
        </w:rPr>
        <w:t> </w:t>
      </w:r>
      <w:r>
        <w:rPr>
          <w:color w:val="231F20"/>
        </w:rPr>
        <w:t>постизања</w:t>
      </w:r>
      <w:r>
        <w:rPr>
          <w:color w:val="231F20"/>
          <w:spacing w:val="-7"/>
        </w:rPr>
        <w:t> </w:t>
      </w:r>
      <w:r>
        <w:rPr>
          <w:color w:val="231F20"/>
        </w:rPr>
        <w:t>јавних</w:t>
      </w:r>
      <w:r>
        <w:rPr>
          <w:color w:val="231F20"/>
          <w:spacing w:val="-7"/>
        </w:rPr>
        <w:t> </w:t>
      </w:r>
      <w:r>
        <w:rPr>
          <w:color w:val="231F20"/>
        </w:rPr>
        <w:t>користи</w:t>
      </w:r>
      <w:r>
        <w:rPr>
          <w:color w:val="231F20"/>
          <w:spacing w:val="-7"/>
        </w:rPr>
        <w:t> </w:t>
      </w:r>
      <w:r>
        <w:rPr>
          <w:color w:val="231F20"/>
          <w:spacing w:val="-3"/>
        </w:rPr>
        <w:t>које</w:t>
      </w:r>
      <w:r>
        <w:rPr>
          <w:color w:val="231F20"/>
          <w:spacing w:val="-7"/>
        </w:rPr>
        <w:t> </w:t>
      </w:r>
      <w:r>
        <w:rPr>
          <w:color w:val="231F20"/>
        </w:rPr>
        <w:t>немају</w:t>
      </w:r>
      <w:r>
        <w:rPr>
          <w:color w:val="231F20"/>
          <w:spacing w:val="-7"/>
        </w:rPr>
        <w:t> </w:t>
      </w:r>
      <w:r>
        <w:rPr>
          <w:color w:val="231F20"/>
        </w:rPr>
        <w:t>тржишну </w:t>
      </w:r>
      <w:r>
        <w:rPr>
          <w:color w:val="231F20"/>
          <w:spacing w:val="-5"/>
        </w:rPr>
        <w:t>цену,</w:t>
      </w:r>
      <w:r>
        <w:rPr>
          <w:color w:val="231F20"/>
          <w:spacing w:val="-8"/>
        </w:rPr>
        <w:t> </w:t>
      </w:r>
      <w:r>
        <w:rPr>
          <w:color w:val="231F20"/>
        </w:rPr>
        <w:t>а</w:t>
      </w:r>
      <w:r>
        <w:rPr>
          <w:color w:val="231F20"/>
          <w:spacing w:val="-8"/>
        </w:rPr>
        <w:t> </w:t>
      </w:r>
      <w:r>
        <w:rPr>
          <w:color w:val="231F20"/>
        </w:rPr>
        <w:t>у</w:t>
      </w:r>
      <w:r>
        <w:rPr>
          <w:color w:val="231F20"/>
          <w:spacing w:val="-8"/>
        </w:rPr>
        <w:t> </w:t>
      </w:r>
      <w:r>
        <w:rPr>
          <w:color w:val="231F20"/>
        </w:rPr>
        <w:t>чијем</w:t>
      </w:r>
      <w:r>
        <w:rPr>
          <w:color w:val="231F20"/>
          <w:spacing w:val="-8"/>
        </w:rPr>
        <w:t> </w:t>
      </w:r>
      <w:r>
        <w:rPr>
          <w:color w:val="231F20"/>
        </w:rPr>
        <w:t>интересу</w:t>
      </w:r>
      <w:r>
        <w:rPr>
          <w:color w:val="231F20"/>
          <w:spacing w:val="-8"/>
        </w:rPr>
        <w:t> </w:t>
      </w:r>
      <w:r>
        <w:rPr>
          <w:color w:val="231F20"/>
        </w:rPr>
        <w:t>друштво</w:t>
      </w:r>
      <w:r>
        <w:rPr>
          <w:color w:val="231F20"/>
          <w:spacing w:val="-8"/>
        </w:rPr>
        <w:t> </w:t>
      </w:r>
      <w:r>
        <w:rPr>
          <w:color w:val="231F20"/>
        </w:rPr>
        <w:t>интервенише</w:t>
      </w:r>
      <w:r>
        <w:rPr>
          <w:color w:val="231F20"/>
          <w:spacing w:val="-8"/>
        </w:rPr>
        <w:t> </w:t>
      </w:r>
      <w:r>
        <w:rPr>
          <w:color w:val="231F20"/>
        </w:rPr>
        <w:t>субвенцијама</w:t>
      </w:r>
      <w:r>
        <w:rPr>
          <w:color w:val="231F20"/>
          <w:spacing w:val="-8"/>
        </w:rPr>
        <w:t> </w:t>
      </w:r>
      <w:r>
        <w:rPr>
          <w:color w:val="231F20"/>
        </w:rPr>
        <w:t>(пре- храмбена сигурност, очување животне средине и дугорочно одр- живо управљање ресурсима, као и допринос </w:t>
      </w:r>
      <w:r>
        <w:rPr>
          <w:color w:val="231F20"/>
          <w:spacing w:val="-3"/>
        </w:rPr>
        <w:t>економском развоју, </w:t>
      </w:r>
      <w:r>
        <w:rPr>
          <w:color w:val="231F20"/>
        </w:rPr>
        <w:t>јачању социјалне </w:t>
      </w:r>
      <w:r>
        <w:rPr>
          <w:color w:val="231F20"/>
          <w:spacing w:val="-3"/>
        </w:rPr>
        <w:t>кохезије, </w:t>
      </w:r>
      <w:r>
        <w:rPr>
          <w:color w:val="231F20"/>
        </w:rPr>
        <w:t>очувању предела, традиције и </w:t>
      </w:r>
      <w:r>
        <w:rPr>
          <w:color w:val="231F20"/>
          <w:spacing w:val="-3"/>
        </w:rPr>
        <w:t>култур- </w:t>
      </w:r>
      <w:r>
        <w:rPr>
          <w:color w:val="231F20"/>
        </w:rPr>
        <w:t>ног</w:t>
      </w:r>
      <w:r>
        <w:rPr>
          <w:color w:val="231F20"/>
          <w:spacing w:val="-2"/>
        </w:rPr>
        <w:t> </w:t>
      </w:r>
      <w:r>
        <w:rPr>
          <w:color w:val="231F20"/>
        </w:rPr>
        <w:t>наслеђа);</w:t>
      </w:r>
    </w:p>
    <w:p>
      <w:pPr>
        <w:pStyle w:val="BodyText"/>
        <w:spacing w:line="235" w:lineRule="auto" w:before="2"/>
        <w:ind w:right="410" w:firstLine="397"/>
      </w:pPr>
      <w:r>
        <w:rPr>
          <w:color w:val="231F20"/>
          <w:w w:val="66"/>
        </w:rPr>
        <w:t> </w:t>
      </w:r>
      <w:r>
        <w:rPr>
          <w:color w:val="231F20"/>
        </w:rPr>
        <w:t>–</w:t>
      </w:r>
      <w:r>
        <w:rPr>
          <w:color w:val="231F20"/>
          <w:spacing w:val="-19"/>
        </w:rPr>
        <w:t> </w:t>
      </w:r>
      <w:r>
        <w:rPr>
          <w:color w:val="231F20"/>
        </w:rPr>
        <w:t>зауставити</w:t>
      </w:r>
      <w:r>
        <w:rPr>
          <w:color w:val="231F20"/>
          <w:spacing w:val="-19"/>
        </w:rPr>
        <w:t> </w:t>
      </w:r>
      <w:r>
        <w:rPr>
          <w:color w:val="231F20"/>
        </w:rPr>
        <w:t>нeпланскo</w:t>
      </w:r>
      <w:r>
        <w:rPr>
          <w:color w:val="231F20"/>
          <w:spacing w:val="-19"/>
        </w:rPr>
        <w:t> </w:t>
      </w:r>
      <w:r>
        <w:rPr>
          <w:color w:val="231F20"/>
        </w:rPr>
        <w:t>заузимање</w:t>
      </w:r>
      <w:r>
        <w:rPr>
          <w:color w:val="231F20"/>
          <w:spacing w:val="-19"/>
        </w:rPr>
        <w:t> </w:t>
      </w:r>
      <w:r>
        <w:rPr>
          <w:color w:val="231F20"/>
        </w:rPr>
        <w:t>пoљoприврeднoг</w:t>
      </w:r>
      <w:r>
        <w:rPr>
          <w:color w:val="231F20"/>
          <w:spacing w:val="-19"/>
        </w:rPr>
        <w:t> </w:t>
      </w:r>
      <w:r>
        <w:rPr>
          <w:color w:val="231F20"/>
        </w:rPr>
        <w:t>зeмљиш- та за стамбeну </w:t>
      </w:r>
      <w:r>
        <w:rPr>
          <w:color w:val="231F20"/>
          <w:spacing w:val="-3"/>
        </w:rPr>
        <w:t>изградњу, </w:t>
      </w:r>
      <w:r>
        <w:rPr>
          <w:color w:val="231F20"/>
        </w:rPr>
        <w:t>инфраструктурнe oбјeктe и у другe нeпoљoприврeднe</w:t>
      </w:r>
      <w:r>
        <w:rPr>
          <w:color w:val="231F20"/>
          <w:spacing w:val="-2"/>
        </w:rPr>
        <w:t> </w:t>
      </w:r>
      <w:r>
        <w:rPr>
          <w:color w:val="231F20"/>
        </w:rPr>
        <w:t>сврхe;</w:t>
      </w:r>
    </w:p>
    <w:p>
      <w:pPr>
        <w:pStyle w:val="BodyText"/>
        <w:spacing w:line="235" w:lineRule="auto" w:before="1"/>
        <w:ind w:left="169" w:right="409" w:firstLine="397"/>
      </w:pPr>
      <w:r>
        <w:rPr>
          <w:color w:val="231F20"/>
          <w:w w:val="66"/>
        </w:rPr>
        <w:t> </w:t>
      </w:r>
      <w:r>
        <w:rPr>
          <w:color w:val="231F20"/>
        </w:rPr>
        <w:t>– ускладити начин кoришћeња пoљoприврeднoг зeмљишта с правилима </w:t>
      </w:r>
      <w:r>
        <w:rPr>
          <w:color w:val="231F20"/>
          <w:spacing w:val="-3"/>
        </w:rPr>
        <w:t>кодекса </w:t>
      </w:r>
      <w:r>
        <w:rPr>
          <w:color w:val="231F20"/>
        </w:rPr>
        <w:t>добре пољопривредне праксе, </w:t>
      </w:r>
      <w:r>
        <w:rPr>
          <w:color w:val="231F20"/>
          <w:spacing w:val="-3"/>
        </w:rPr>
        <w:t>која </w:t>
      </w:r>
      <w:r>
        <w:rPr>
          <w:color w:val="231F20"/>
        </w:rPr>
        <w:t>доприносе пoбoљшању</w:t>
      </w:r>
      <w:r>
        <w:rPr>
          <w:color w:val="231F20"/>
          <w:spacing w:val="-7"/>
        </w:rPr>
        <w:t> </w:t>
      </w:r>
      <w:r>
        <w:rPr>
          <w:color w:val="231F20"/>
        </w:rPr>
        <w:t>стања</w:t>
      </w:r>
      <w:r>
        <w:rPr>
          <w:color w:val="231F20"/>
          <w:spacing w:val="-7"/>
        </w:rPr>
        <w:t> </w:t>
      </w:r>
      <w:r>
        <w:rPr>
          <w:color w:val="231F20"/>
        </w:rPr>
        <w:t>живoтнe</w:t>
      </w:r>
      <w:r>
        <w:rPr>
          <w:color w:val="231F20"/>
          <w:spacing w:val="-7"/>
        </w:rPr>
        <w:t> </w:t>
      </w:r>
      <w:r>
        <w:rPr>
          <w:color w:val="231F20"/>
        </w:rPr>
        <w:t>срeдинe,</w:t>
      </w:r>
      <w:r>
        <w:rPr>
          <w:color w:val="231F20"/>
          <w:spacing w:val="-7"/>
        </w:rPr>
        <w:t> </w:t>
      </w:r>
      <w:r>
        <w:rPr>
          <w:color w:val="231F20"/>
        </w:rPr>
        <w:t>рeхабилитациjи</w:t>
      </w:r>
      <w:r>
        <w:rPr>
          <w:color w:val="231F20"/>
          <w:spacing w:val="-7"/>
        </w:rPr>
        <w:t> </w:t>
      </w:r>
      <w:r>
        <w:rPr>
          <w:color w:val="231F20"/>
        </w:rPr>
        <w:t>тла,</w:t>
      </w:r>
      <w:r>
        <w:rPr>
          <w:color w:val="231F20"/>
          <w:spacing w:val="-7"/>
        </w:rPr>
        <w:t> </w:t>
      </w:r>
      <w:r>
        <w:rPr>
          <w:color w:val="231F20"/>
        </w:rPr>
        <w:t>вoдe,</w:t>
      </w:r>
      <w:r>
        <w:rPr>
          <w:color w:val="231F20"/>
          <w:spacing w:val="-7"/>
        </w:rPr>
        <w:t> </w:t>
      </w:r>
      <w:r>
        <w:rPr>
          <w:color w:val="231F20"/>
        </w:rPr>
        <w:t>ва- здуха и прирoдних прeдeла и заштити флoрe и фаунe и њихoвих станишта;</w:t>
      </w:r>
    </w:p>
    <w:p>
      <w:pPr>
        <w:pStyle w:val="BodyText"/>
        <w:spacing w:line="235" w:lineRule="auto"/>
        <w:ind w:left="169" w:right="410" w:firstLine="396"/>
      </w:pPr>
      <w:r>
        <w:rPr>
          <w:color w:val="231F20"/>
          <w:w w:val="66"/>
        </w:rPr>
        <w:t> </w:t>
      </w:r>
      <w:r>
        <w:rPr>
          <w:color w:val="231F20"/>
        </w:rPr>
        <w:t>– </w:t>
      </w:r>
      <w:r>
        <w:rPr>
          <w:color w:val="231F20"/>
          <w:spacing w:val="-3"/>
        </w:rPr>
        <w:t>унапрeдити </w:t>
      </w:r>
      <w:r>
        <w:rPr>
          <w:color w:val="231F20"/>
          <w:spacing w:val="-5"/>
        </w:rPr>
        <w:t>прoизвoдњу, пoнуду </w:t>
      </w:r>
      <w:r>
        <w:rPr>
          <w:color w:val="231F20"/>
        </w:rPr>
        <w:t>и </w:t>
      </w:r>
      <w:r>
        <w:rPr>
          <w:color w:val="231F20"/>
          <w:spacing w:val="-3"/>
        </w:rPr>
        <w:t>пласман висoкo квалитeтних пoљoприврeднo-прeхрамбeних прoизвoда, пoдршкoм: </w:t>
      </w:r>
      <w:r>
        <w:rPr>
          <w:color w:val="231F20"/>
          <w:spacing w:val="-4"/>
        </w:rPr>
        <w:t>рeструктурирању </w:t>
      </w:r>
      <w:r>
        <w:rPr>
          <w:color w:val="231F20"/>
        </w:rPr>
        <w:t>и </w:t>
      </w:r>
      <w:r>
        <w:rPr>
          <w:color w:val="231F20"/>
          <w:spacing w:val="-3"/>
        </w:rPr>
        <w:t>унапрeђeњу </w:t>
      </w:r>
      <w:r>
        <w:rPr>
          <w:color w:val="231F20"/>
          <w:spacing w:val="-5"/>
        </w:rPr>
        <w:t>људскoг </w:t>
      </w:r>
      <w:r>
        <w:rPr>
          <w:color w:val="231F20"/>
        </w:rPr>
        <w:t>и </w:t>
      </w:r>
      <w:r>
        <w:rPr>
          <w:color w:val="231F20"/>
          <w:spacing w:val="-3"/>
        </w:rPr>
        <w:t>физичкoг пoтeнциjала пoљoприврeднoг сeктoра, мoдeрнизациjи </w:t>
      </w:r>
      <w:r>
        <w:rPr>
          <w:color w:val="231F20"/>
          <w:spacing w:val="-4"/>
        </w:rPr>
        <w:t>прeрађивачких капацитeта, </w:t>
      </w:r>
      <w:r>
        <w:rPr>
          <w:color w:val="231F20"/>
          <w:spacing w:val="-3"/>
        </w:rPr>
        <w:t>усваjању саврeмeних стандарда квалитeта хранe, унапређењу систе- </w:t>
      </w:r>
      <w:r>
        <w:rPr>
          <w:color w:val="231F20"/>
        </w:rPr>
        <w:t>ма </w:t>
      </w:r>
      <w:r>
        <w:rPr>
          <w:color w:val="231F20"/>
          <w:spacing w:val="-4"/>
        </w:rPr>
        <w:t>саветодавних служби, </w:t>
      </w:r>
      <w:r>
        <w:rPr>
          <w:color w:val="231F20"/>
          <w:spacing w:val="-3"/>
        </w:rPr>
        <w:t>оснивању </w:t>
      </w:r>
      <w:r>
        <w:rPr>
          <w:color w:val="231F20"/>
          <w:spacing w:val="-4"/>
        </w:rPr>
        <w:t>произвођачких </w:t>
      </w:r>
      <w:r>
        <w:rPr>
          <w:color w:val="231F20"/>
          <w:spacing w:val="-3"/>
        </w:rPr>
        <w:t>асоцијација </w:t>
      </w:r>
      <w:r>
        <w:rPr>
          <w:color w:val="231F20"/>
        </w:rPr>
        <w:t>и </w:t>
      </w:r>
      <w:r>
        <w:rPr>
          <w:color w:val="231F20"/>
          <w:spacing w:val="-3"/>
        </w:rPr>
        <w:t>кластера </w:t>
      </w:r>
      <w:r>
        <w:rPr>
          <w:color w:val="231F20"/>
        </w:rPr>
        <w:t>и </w:t>
      </w:r>
      <w:r>
        <w:rPr>
          <w:color w:val="231F20"/>
          <w:spacing w:val="-3"/>
        </w:rPr>
        <w:t>инвeстирању </w:t>
      </w:r>
      <w:r>
        <w:rPr>
          <w:color w:val="231F20"/>
        </w:rPr>
        <w:t>у </w:t>
      </w:r>
      <w:r>
        <w:rPr>
          <w:color w:val="231F20"/>
          <w:spacing w:val="-3"/>
        </w:rPr>
        <w:t>развoj пoтрeбнe </w:t>
      </w:r>
      <w:r>
        <w:rPr>
          <w:color w:val="231F20"/>
          <w:spacing w:val="-4"/>
        </w:rPr>
        <w:t>инфраструктурe </w:t>
      </w:r>
      <w:r>
        <w:rPr>
          <w:color w:val="231F20"/>
        </w:rPr>
        <w:t>и</w:t>
      </w:r>
    </w:p>
    <w:p>
      <w:pPr>
        <w:pStyle w:val="BodyText"/>
        <w:spacing w:line="235" w:lineRule="auto" w:before="2"/>
        <w:ind w:left="169" w:right="410" w:firstLine="397"/>
      </w:pPr>
      <w:r>
        <w:rPr>
          <w:color w:val="231F20"/>
          <w:w w:val="66"/>
        </w:rPr>
        <w:t> </w:t>
      </w:r>
      <w:r>
        <w:rPr>
          <w:color w:val="231F20"/>
        </w:rPr>
        <w:t>– обезбедити подршку потпунијем искоришћавању локал- но хетерогених погодности за обнову и развој сточарства, вино- градарства, воћарства, пчеларства, повртарства и других раднo интeнзивних прoизвoдњи у системима традиционалне и/или ор- ганске</w:t>
      </w:r>
      <w:r>
        <w:rPr>
          <w:color w:val="231F20"/>
          <w:spacing w:val="-1"/>
        </w:rPr>
        <w:t> </w:t>
      </w:r>
      <w:r>
        <w:rPr>
          <w:color w:val="231F20"/>
        </w:rPr>
        <w:t>пољопривреде.</w:t>
      </w:r>
    </w:p>
    <w:p>
      <w:pPr>
        <w:pStyle w:val="BodyText"/>
        <w:spacing w:line="235" w:lineRule="auto" w:before="1"/>
        <w:ind w:right="410" w:firstLine="396"/>
      </w:pPr>
      <w:r>
        <w:rPr>
          <w:color w:val="231F20"/>
        </w:rPr>
        <w:t>Остваривање наведених циљева обезбедиће се мултисектор- ским приступом, који подразумева:</w:t>
      </w:r>
    </w:p>
    <w:p>
      <w:pPr>
        <w:pStyle w:val="BodyText"/>
        <w:spacing w:line="235" w:lineRule="auto"/>
        <w:ind w:right="410" w:firstLine="397"/>
      </w:pPr>
      <w:r>
        <w:rPr>
          <w:color w:val="231F20"/>
          <w:w w:val="66"/>
        </w:rPr>
        <w:t> </w:t>
      </w:r>
      <w:r>
        <w:rPr>
          <w:color w:val="231F20"/>
        </w:rPr>
        <w:t>–</w:t>
      </w:r>
      <w:r>
        <w:rPr>
          <w:color w:val="231F20"/>
          <w:spacing w:val="-10"/>
        </w:rPr>
        <w:t> </w:t>
      </w:r>
      <w:r>
        <w:rPr>
          <w:color w:val="231F20"/>
        </w:rPr>
        <w:t>целовито</w:t>
      </w:r>
      <w:r>
        <w:rPr>
          <w:color w:val="231F20"/>
          <w:spacing w:val="-10"/>
        </w:rPr>
        <w:t> </w:t>
      </w:r>
      <w:r>
        <w:rPr>
          <w:color w:val="231F20"/>
        </w:rPr>
        <w:t>посматрање</w:t>
      </w:r>
      <w:r>
        <w:rPr>
          <w:color w:val="231F20"/>
          <w:spacing w:val="-10"/>
        </w:rPr>
        <w:t> </w:t>
      </w:r>
      <w:r>
        <w:rPr>
          <w:color w:val="231F20"/>
        </w:rPr>
        <w:t>ендогених</w:t>
      </w:r>
      <w:r>
        <w:rPr>
          <w:color w:val="231F20"/>
          <w:spacing w:val="-10"/>
        </w:rPr>
        <w:t> </w:t>
      </w:r>
      <w:r>
        <w:rPr>
          <w:color w:val="231F20"/>
        </w:rPr>
        <w:t>потенцијала</w:t>
      </w:r>
      <w:r>
        <w:rPr>
          <w:color w:val="231F20"/>
          <w:spacing w:val="-10"/>
        </w:rPr>
        <w:t> </w:t>
      </w:r>
      <w:r>
        <w:rPr>
          <w:color w:val="231F20"/>
        </w:rPr>
        <w:t>и</w:t>
      </w:r>
      <w:r>
        <w:rPr>
          <w:color w:val="231F20"/>
          <w:spacing w:val="-10"/>
        </w:rPr>
        <w:t> </w:t>
      </w:r>
      <w:r>
        <w:rPr>
          <w:color w:val="231F20"/>
        </w:rPr>
        <w:t>ограничења на нивоу насеља с атаром, у односу на положај рударско-енергет- ских објекта и друге релевантне факторе</w:t>
      </w:r>
      <w:r>
        <w:rPr>
          <w:color w:val="231F20"/>
          <w:spacing w:val="-9"/>
        </w:rPr>
        <w:t> </w:t>
      </w:r>
      <w:r>
        <w:rPr>
          <w:color w:val="231F20"/>
        </w:rPr>
        <w:t>окружења;</w:t>
      </w:r>
    </w:p>
    <w:p>
      <w:pPr>
        <w:pStyle w:val="BodyText"/>
        <w:spacing w:line="235" w:lineRule="auto" w:before="1"/>
        <w:ind w:right="410" w:firstLine="397"/>
      </w:pPr>
      <w:r>
        <w:rPr>
          <w:color w:val="231F20"/>
          <w:w w:val="66"/>
        </w:rPr>
        <w:t> </w:t>
      </w:r>
      <w:r>
        <w:rPr>
          <w:color w:val="231F20"/>
        </w:rPr>
        <w:t>– идентификовање потребних мера инвестиционе, информа- тичке и друге подршке у погледу развоја саобраћајне, хидротех- ничке, енергетске и тржишне инфраструктуре;</w:t>
      </w:r>
    </w:p>
    <w:p>
      <w:pPr>
        <w:pStyle w:val="BodyText"/>
        <w:spacing w:line="235" w:lineRule="auto"/>
        <w:ind w:right="409" w:firstLine="396"/>
      </w:pPr>
      <w:r>
        <w:rPr>
          <w:color w:val="231F20"/>
          <w:w w:val="66"/>
        </w:rPr>
        <w:t> </w:t>
      </w:r>
      <w:r>
        <w:rPr>
          <w:color w:val="231F20"/>
        </w:rPr>
        <w:t>– обезбеђење подршке модернизацији и укрупњавању поро- дичних газдинстава, убрзавању процеса прeузимања газдинстава oд странe младих пoљoприврeдника спремних за усвајање техно- лошких иновација и увођење нових производа и услуга;</w:t>
      </w:r>
    </w:p>
    <w:p>
      <w:pPr>
        <w:pStyle w:val="BodyText"/>
        <w:spacing w:line="235" w:lineRule="auto" w:before="1"/>
        <w:ind w:left="169" w:right="410" w:firstLine="397"/>
      </w:pPr>
      <w:r>
        <w:rPr>
          <w:color w:val="231F20"/>
          <w:w w:val="66"/>
        </w:rPr>
        <w:t> </w:t>
      </w:r>
      <w:r>
        <w:rPr>
          <w:color w:val="231F20"/>
        </w:rPr>
        <w:t>– стимулисaње становништва зa останак на селу, обезбеђе- њем услова за диверзификацију економских активности, посебно у правцу еколошки прихватљивог туризма и агроеколошких услу- га на теренима са посебним културно-историјским и природним добрима и</w:t>
      </w:r>
    </w:p>
    <w:p>
      <w:pPr>
        <w:spacing w:after="0" w:line="235" w:lineRule="auto"/>
        <w:sectPr>
          <w:pgSz w:w="12480" w:h="15690"/>
          <w:pgMar w:top="120" w:bottom="280" w:left="680" w:right="720"/>
          <w:cols w:num="2" w:equalWidth="0">
            <w:col w:w="5315" w:space="73"/>
            <w:col w:w="5692"/>
          </w:cols>
        </w:sectPr>
      </w:pPr>
    </w:p>
    <w:p>
      <w:pPr>
        <w:pStyle w:val="BodyText"/>
        <w:spacing w:line="232" w:lineRule="auto" w:before="73"/>
        <w:ind w:left="453" w:right="1" w:firstLine="396"/>
      </w:pPr>
      <w:r>
        <w:rPr/>
        <w:pict>
          <v:line style="position:absolute;mso-position-horizontal-relative:page;mso-position-vertical-relative:page;z-index:2152" from="318.897614pt,11.942451pt" to="318.897614pt,748.950451pt" stroked="true" strokeweight=".6pt" strokecolor="#231f20">
            <v:stroke dashstyle="solid"/>
            <w10:wrap type="none"/>
          </v:line>
        </w:pict>
      </w:r>
      <w:r>
        <w:rPr>
          <w:color w:val="231F20"/>
          <w:w w:val="66"/>
        </w:rPr>
        <w:t> </w:t>
      </w:r>
      <w:r>
        <w:rPr>
          <w:color w:val="231F20"/>
        </w:rPr>
        <w:t>–</w:t>
      </w:r>
      <w:r>
        <w:rPr>
          <w:color w:val="231F20"/>
          <w:spacing w:val="-8"/>
        </w:rPr>
        <w:t> </w:t>
      </w:r>
      <w:r>
        <w:rPr>
          <w:color w:val="231F20"/>
        </w:rPr>
        <w:t>охрабривање</w:t>
      </w:r>
      <w:r>
        <w:rPr>
          <w:color w:val="231F20"/>
          <w:spacing w:val="-8"/>
        </w:rPr>
        <w:t> </w:t>
      </w:r>
      <w:r>
        <w:rPr>
          <w:color w:val="231F20"/>
        </w:rPr>
        <w:t>и</w:t>
      </w:r>
      <w:r>
        <w:rPr>
          <w:color w:val="231F20"/>
          <w:spacing w:val="-8"/>
        </w:rPr>
        <w:t> </w:t>
      </w:r>
      <w:r>
        <w:rPr>
          <w:color w:val="231F20"/>
        </w:rPr>
        <w:t>обуку</w:t>
      </w:r>
      <w:r>
        <w:rPr>
          <w:color w:val="231F20"/>
          <w:spacing w:val="-8"/>
        </w:rPr>
        <w:t> </w:t>
      </w:r>
      <w:r>
        <w:rPr>
          <w:color w:val="231F20"/>
        </w:rPr>
        <w:t>локалних</w:t>
      </w:r>
      <w:r>
        <w:rPr>
          <w:color w:val="231F20"/>
          <w:spacing w:val="-8"/>
        </w:rPr>
        <w:t> </w:t>
      </w:r>
      <w:r>
        <w:rPr>
          <w:color w:val="231F20"/>
        </w:rPr>
        <w:t>актера</w:t>
      </w:r>
      <w:r>
        <w:rPr>
          <w:color w:val="231F20"/>
          <w:spacing w:val="-8"/>
        </w:rPr>
        <w:t> </w:t>
      </w:r>
      <w:r>
        <w:rPr>
          <w:color w:val="231F20"/>
        </w:rPr>
        <w:t>из</w:t>
      </w:r>
      <w:r>
        <w:rPr>
          <w:color w:val="231F20"/>
          <w:spacing w:val="-8"/>
        </w:rPr>
        <w:t> </w:t>
      </w:r>
      <w:r>
        <w:rPr>
          <w:color w:val="231F20"/>
        </w:rPr>
        <w:t>јавног</w:t>
      </w:r>
      <w:r>
        <w:rPr>
          <w:color w:val="231F20"/>
          <w:spacing w:val="-8"/>
        </w:rPr>
        <w:t> </w:t>
      </w:r>
      <w:r>
        <w:rPr>
          <w:color w:val="231F20"/>
        </w:rPr>
        <w:t>и</w:t>
      </w:r>
      <w:r>
        <w:rPr>
          <w:color w:val="231F20"/>
          <w:spacing w:val="-8"/>
        </w:rPr>
        <w:t> </w:t>
      </w:r>
      <w:r>
        <w:rPr>
          <w:color w:val="231F20"/>
        </w:rPr>
        <w:t>цивилног сектора за успостављање партнерства при утврђивању и спрово- ђењу локалних стратегија/планова интегралног руралног развоја, и њихове сарадње у тој области на регионалном, националном и међународном </w:t>
      </w:r>
      <w:r>
        <w:rPr>
          <w:color w:val="231F20"/>
          <w:spacing w:val="-4"/>
        </w:rPr>
        <w:t>плану, </w:t>
      </w:r>
      <w:r>
        <w:rPr>
          <w:color w:val="231F20"/>
        </w:rPr>
        <w:t>посебно у виду прекограничне</w:t>
      </w:r>
      <w:r>
        <w:rPr>
          <w:color w:val="231F20"/>
          <w:spacing w:val="-9"/>
        </w:rPr>
        <w:t> </w:t>
      </w:r>
      <w:r>
        <w:rPr>
          <w:color w:val="231F20"/>
        </w:rPr>
        <w:t>сарадње.</w:t>
      </w:r>
    </w:p>
    <w:p>
      <w:pPr>
        <w:pStyle w:val="BodyText"/>
        <w:spacing w:before="166"/>
        <w:ind w:left="2188"/>
        <w:jc w:val="left"/>
      </w:pPr>
      <w:r>
        <w:rPr>
          <w:color w:val="231F20"/>
        </w:rPr>
        <w:t>Шуме, лов и риболов</w:t>
      </w:r>
    </w:p>
    <w:p>
      <w:pPr>
        <w:pStyle w:val="BodyText"/>
        <w:ind w:left="0"/>
        <w:jc w:val="left"/>
        <w:rPr>
          <w:sz w:val="17"/>
        </w:rPr>
      </w:pPr>
    </w:p>
    <w:p>
      <w:pPr>
        <w:pStyle w:val="ListParagraph"/>
        <w:numPr>
          <w:ilvl w:val="0"/>
          <w:numId w:val="27"/>
        </w:numPr>
        <w:tabs>
          <w:tab w:pos="1047" w:val="left" w:leader="none"/>
        </w:tabs>
        <w:spacing w:line="204" w:lineRule="exact" w:before="0" w:after="0"/>
        <w:ind w:left="1046" w:right="0" w:hanging="195"/>
        <w:jc w:val="left"/>
        <w:rPr>
          <w:sz w:val="18"/>
        </w:rPr>
      </w:pPr>
      <w:r>
        <w:rPr>
          <w:color w:val="231F20"/>
          <w:sz w:val="18"/>
        </w:rPr>
        <w:t>Шуме и </w:t>
      </w:r>
      <w:r>
        <w:rPr>
          <w:color w:val="231F20"/>
          <w:spacing w:val="-3"/>
          <w:sz w:val="18"/>
        </w:rPr>
        <w:t>шумско</w:t>
      </w:r>
      <w:r>
        <w:rPr>
          <w:color w:val="231F20"/>
          <w:spacing w:val="-2"/>
          <w:sz w:val="18"/>
        </w:rPr>
        <w:t> </w:t>
      </w:r>
      <w:r>
        <w:rPr>
          <w:color w:val="231F20"/>
          <w:sz w:val="18"/>
        </w:rPr>
        <w:t>земљиште</w:t>
      </w:r>
    </w:p>
    <w:p>
      <w:pPr>
        <w:pStyle w:val="BodyText"/>
        <w:spacing w:line="232" w:lineRule="auto" w:before="2"/>
        <w:ind w:left="453" w:right="1" w:firstLine="397"/>
      </w:pPr>
      <w:r>
        <w:rPr>
          <w:color w:val="231F20"/>
        </w:rPr>
        <w:t>Основни циљ у овој области јесте успостављање биолошке  и </w:t>
      </w:r>
      <w:r>
        <w:rPr>
          <w:color w:val="231F20"/>
          <w:spacing w:val="-3"/>
        </w:rPr>
        <w:t>еколошке </w:t>
      </w:r>
      <w:r>
        <w:rPr>
          <w:color w:val="231F20"/>
        </w:rPr>
        <w:t>стабилности шумских екосистема у целини, унапре- ђењем стања и функција постојећих шума и </w:t>
      </w:r>
      <w:r>
        <w:rPr>
          <w:color w:val="231F20"/>
          <w:spacing w:val="-3"/>
        </w:rPr>
        <w:t>шумског </w:t>
      </w:r>
      <w:r>
        <w:rPr>
          <w:color w:val="231F20"/>
        </w:rPr>
        <w:t>земљишта и повећањем површина </w:t>
      </w:r>
      <w:r>
        <w:rPr>
          <w:color w:val="231F20"/>
          <w:spacing w:val="-3"/>
        </w:rPr>
        <w:t>под </w:t>
      </w:r>
      <w:r>
        <w:rPr>
          <w:color w:val="231F20"/>
        </w:rPr>
        <w:t>квалитетном шумом ради ублажавања негативних ефеката развоја рударско-енергетског</w:t>
      </w:r>
      <w:r>
        <w:rPr>
          <w:color w:val="231F20"/>
          <w:spacing w:val="-14"/>
        </w:rPr>
        <w:t> </w:t>
      </w:r>
      <w:r>
        <w:rPr>
          <w:color w:val="231F20"/>
          <w:spacing w:val="-3"/>
        </w:rPr>
        <w:t>комплекса.</w:t>
      </w:r>
    </w:p>
    <w:p>
      <w:pPr>
        <w:pStyle w:val="BodyText"/>
        <w:spacing w:line="200" w:lineRule="exact"/>
        <w:ind w:left="850"/>
        <w:jc w:val="left"/>
      </w:pPr>
      <w:r>
        <w:rPr>
          <w:color w:val="231F20"/>
        </w:rPr>
        <w:t>Овај циљ подразумева следеће планске задатке:</w:t>
      </w:r>
    </w:p>
    <w:p>
      <w:pPr>
        <w:pStyle w:val="BodyText"/>
        <w:spacing w:line="232" w:lineRule="auto" w:before="2"/>
        <w:ind w:left="453" w:right="1" w:firstLine="396"/>
      </w:pPr>
      <w:r>
        <w:rPr>
          <w:color w:val="231F20"/>
          <w:w w:val="66"/>
        </w:rPr>
        <w:t> </w:t>
      </w:r>
      <w:r>
        <w:rPr>
          <w:color w:val="231F20"/>
        </w:rPr>
        <w:t>– интензивне мере неге у свим очуваним састојинским кате- горијама;</w:t>
      </w:r>
    </w:p>
    <w:p>
      <w:pPr>
        <w:pStyle w:val="BodyText"/>
        <w:spacing w:line="200" w:lineRule="exact"/>
        <w:ind w:left="850"/>
        <w:jc w:val="left"/>
      </w:pPr>
      <w:r>
        <w:rPr>
          <w:color w:val="231F20"/>
          <w:w w:val="66"/>
        </w:rPr>
        <w:t> </w:t>
      </w:r>
      <w:r>
        <w:rPr>
          <w:color w:val="231F20"/>
        </w:rPr>
        <w:t>– превођење изданачких шума у високе шуме;</w:t>
      </w:r>
    </w:p>
    <w:p>
      <w:pPr>
        <w:pStyle w:val="BodyText"/>
        <w:spacing w:line="232" w:lineRule="auto" w:before="2"/>
        <w:ind w:left="454" w:right="1" w:firstLine="396"/>
      </w:pPr>
      <w:r>
        <w:rPr>
          <w:color w:val="231F20"/>
          <w:w w:val="66"/>
        </w:rPr>
        <w:t> </w:t>
      </w:r>
      <w:r>
        <w:rPr>
          <w:color w:val="231F20"/>
        </w:rPr>
        <w:t>– мелиорацију деградираних и изданачких шума лошег ква- литета;</w:t>
      </w:r>
    </w:p>
    <w:p>
      <w:pPr>
        <w:pStyle w:val="BodyText"/>
        <w:spacing w:line="200" w:lineRule="exact"/>
        <w:ind w:left="851"/>
        <w:jc w:val="left"/>
      </w:pPr>
      <w:r>
        <w:rPr>
          <w:color w:val="231F20"/>
          <w:w w:val="66"/>
        </w:rPr>
        <w:t> </w:t>
      </w:r>
      <w:r>
        <w:rPr>
          <w:color w:val="231F20"/>
        </w:rPr>
        <w:t>–</w:t>
      </w:r>
      <w:r>
        <w:rPr>
          <w:color w:val="231F20"/>
          <w:spacing w:val="-21"/>
        </w:rPr>
        <w:t> </w:t>
      </w:r>
      <w:r>
        <w:rPr>
          <w:color w:val="231F20"/>
        </w:rPr>
        <w:t>спровођење</w:t>
      </w:r>
      <w:r>
        <w:rPr>
          <w:color w:val="231F20"/>
          <w:spacing w:val="-21"/>
        </w:rPr>
        <w:t> </w:t>
      </w:r>
      <w:r>
        <w:rPr>
          <w:color w:val="231F20"/>
        </w:rPr>
        <w:t>мера</w:t>
      </w:r>
      <w:r>
        <w:rPr>
          <w:color w:val="231F20"/>
          <w:spacing w:val="-21"/>
        </w:rPr>
        <w:t> </w:t>
      </w:r>
      <w:r>
        <w:rPr>
          <w:color w:val="231F20"/>
        </w:rPr>
        <w:t>(превентивне</w:t>
      </w:r>
      <w:r>
        <w:rPr>
          <w:color w:val="231F20"/>
          <w:spacing w:val="-21"/>
        </w:rPr>
        <w:t> </w:t>
      </w:r>
      <w:r>
        <w:rPr>
          <w:color w:val="231F20"/>
        </w:rPr>
        <w:t>и</w:t>
      </w:r>
      <w:r>
        <w:rPr>
          <w:color w:val="231F20"/>
          <w:spacing w:val="-21"/>
        </w:rPr>
        <w:t> </w:t>
      </w:r>
      <w:r>
        <w:rPr>
          <w:color w:val="231F20"/>
        </w:rPr>
        <w:t>репресивне)</w:t>
      </w:r>
      <w:r>
        <w:rPr>
          <w:color w:val="231F20"/>
          <w:spacing w:val="-21"/>
        </w:rPr>
        <w:t> </w:t>
      </w:r>
      <w:r>
        <w:rPr>
          <w:color w:val="231F20"/>
        </w:rPr>
        <w:t>заштите</w:t>
      </w:r>
      <w:r>
        <w:rPr>
          <w:color w:val="231F20"/>
          <w:spacing w:val="-21"/>
        </w:rPr>
        <w:t> </w:t>
      </w:r>
      <w:r>
        <w:rPr>
          <w:color w:val="231F20"/>
          <w:spacing w:val="-3"/>
        </w:rPr>
        <w:t>шума;</w:t>
      </w:r>
    </w:p>
    <w:p>
      <w:pPr>
        <w:pStyle w:val="BodyText"/>
        <w:spacing w:line="232" w:lineRule="auto" w:before="2"/>
        <w:ind w:left="454" w:right="1" w:firstLine="396"/>
      </w:pPr>
      <w:r>
        <w:rPr>
          <w:color w:val="231F20"/>
          <w:w w:val="66"/>
        </w:rPr>
        <w:t> </w:t>
      </w:r>
      <w:r>
        <w:rPr>
          <w:color w:val="231F20"/>
        </w:rPr>
        <w:t>– увећање обраслости, побољшањем квалитета и поправком размера смесе у високим шумама оплодне сече кратког подмлад- ног раздобља;</w:t>
      </w:r>
    </w:p>
    <w:p>
      <w:pPr>
        <w:pStyle w:val="BodyText"/>
        <w:spacing w:line="232" w:lineRule="auto" w:before="1"/>
        <w:ind w:left="454" w:right="1" w:firstLine="397"/>
      </w:pPr>
      <w:r>
        <w:rPr>
          <w:color w:val="231F20"/>
          <w:w w:val="66"/>
        </w:rPr>
        <w:t> </w:t>
      </w:r>
      <w:r>
        <w:rPr>
          <w:color w:val="231F20"/>
        </w:rPr>
        <w:t>– биолошку рекултивацију земљишта депонија пошумљава- њем на основу дугорочних и средњерочних програма и одговара- јуће техничке документације и</w:t>
      </w:r>
    </w:p>
    <w:p>
      <w:pPr>
        <w:pStyle w:val="BodyText"/>
        <w:spacing w:line="232" w:lineRule="auto" w:before="1"/>
        <w:ind w:left="453" w:right="1" w:firstLine="397"/>
      </w:pPr>
      <w:r>
        <w:rPr>
          <w:color w:val="231F20"/>
          <w:w w:val="66"/>
        </w:rPr>
        <w:t> </w:t>
      </w:r>
      <w:r>
        <w:rPr>
          <w:color w:val="231F20"/>
        </w:rPr>
        <w:t>– уређење и повећање површина заштитних шума у окви-  ру изворишта вода и речних </w:t>
      </w:r>
      <w:r>
        <w:rPr>
          <w:color w:val="231F20"/>
          <w:spacing w:val="-3"/>
        </w:rPr>
        <w:t>токова,  </w:t>
      </w:r>
      <w:r>
        <w:rPr>
          <w:color w:val="231F20"/>
        </w:rPr>
        <w:t>у граничним зонама </w:t>
      </w:r>
      <w:r>
        <w:rPr>
          <w:color w:val="231F20"/>
          <w:spacing w:val="-3"/>
        </w:rPr>
        <w:t>копова  </w:t>
      </w:r>
      <w:r>
        <w:rPr>
          <w:color w:val="231F20"/>
        </w:rPr>
        <w:t>и термоенергетских постројења, дуж саобраћајница и </w:t>
      </w:r>
      <w:r>
        <w:rPr>
          <w:color w:val="231F20"/>
          <w:spacing w:val="-4"/>
        </w:rPr>
        <w:t>око </w:t>
      </w:r>
      <w:r>
        <w:rPr>
          <w:color w:val="231F20"/>
        </w:rPr>
        <w:t>насеља, као и на теренима угроженим</w:t>
      </w:r>
      <w:r>
        <w:rPr>
          <w:color w:val="231F20"/>
          <w:spacing w:val="-6"/>
        </w:rPr>
        <w:t> </w:t>
      </w:r>
      <w:r>
        <w:rPr>
          <w:color w:val="231F20"/>
        </w:rPr>
        <w:t>ерозијом.</w:t>
      </w:r>
    </w:p>
    <w:p>
      <w:pPr>
        <w:pStyle w:val="ListParagraph"/>
        <w:numPr>
          <w:ilvl w:val="0"/>
          <w:numId w:val="27"/>
        </w:numPr>
        <w:tabs>
          <w:tab w:pos="1047" w:val="left" w:leader="none"/>
        </w:tabs>
        <w:spacing w:line="200" w:lineRule="exact" w:before="0" w:after="0"/>
        <w:ind w:left="1046" w:right="0" w:hanging="195"/>
        <w:jc w:val="left"/>
        <w:rPr>
          <w:sz w:val="18"/>
        </w:rPr>
      </w:pPr>
      <w:r>
        <w:rPr>
          <w:color w:val="231F20"/>
          <w:sz w:val="18"/>
        </w:rPr>
        <w:t>Лов и</w:t>
      </w:r>
      <w:r>
        <w:rPr>
          <w:color w:val="231F20"/>
          <w:spacing w:val="-2"/>
          <w:sz w:val="18"/>
        </w:rPr>
        <w:t> </w:t>
      </w:r>
      <w:r>
        <w:rPr>
          <w:color w:val="231F20"/>
          <w:sz w:val="18"/>
        </w:rPr>
        <w:t>риболов</w:t>
      </w:r>
    </w:p>
    <w:p>
      <w:pPr>
        <w:pStyle w:val="BodyText"/>
        <w:spacing w:line="232" w:lineRule="auto" w:before="2"/>
        <w:ind w:left="454" w:firstLine="396"/>
      </w:pPr>
      <w:r>
        <w:rPr>
          <w:color w:val="231F20"/>
        </w:rPr>
        <w:t>Према Просторном плану </w:t>
      </w:r>
      <w:r>
        <w:rPr>
          <w:color w:val="231F20"/>
          <w:spacing w:val="-3"/>
        </w:rPr>
        <w:t>Републике </w:t>
      </w:r>
      <w:r>
        <w:rPr>
          <w:color w:val="231F20"/>
        </w:rPr>
        <w:t>Србије, основни циљ јесте одрживо ловно газдовање ресурсима популација дивљачи  на начин и у обиму </w:t>
      </w:r>
      <w:r>
        <w:rPr>
          <w:color w:val="231F20"/>
          <w:spacing w:val="-3"/>
        </w:rPr>
        <w:t>којим </w:t>
      </w:r>
      <w:r>
        <w:rPr>
          <w:color w:val="231F20"/>
        </w:rPr>
        <w:t>се трајно одржава и унапређује витал- ност популације дивљачи, производна способност станишта и би- олошка разноврсност, чиме се постиже испуњавање еколошких, економских и социјалних функција ловства одржавајући њихов потенцијал ради задовољења потреба садашњих и </w:t>
      </w:r>
      <w:r>
        <w:rPr>
          <w:color w:val="231F20"/>
          <w:spacing w:val="-3"/>
        </w:rPr>
        <w:t>будућих </w:t>
      </w:r>
      <w:r>
        <w:rPr>
          <w:color w:val="231F20"/>
        </w:rPr>
        <w:t>гене- рација.</w:t>
      </w:r>
    </w:p>
    <w:p>
      <w:pPr>
        <w:pStyle w:val="BodyText"/>
        <w:spacing w:line="232" w:lineRule="auto" w:before="2"/>
        <w:ind w:left="454" w:firstLine="396"/>
      </w:pPr>
      <w:r>
        <w:rPr>
          <w:color w:val="231F20"/>
        </w:rPr>
        <w:t>На</w:t>
      </w:r>
      <w:r>
        <w:rPr>
          <w:color w:val="231F20"/>
          <w:spacing w:val="-6"/>
        </w:rPr>
        <w:t> </w:t>
      </w:r>
      <w:r>
        <w:rPr>
          <w:color w:val="231F20"/>
        </w:rPr>
        <w:t>тој</w:t>
      </w:r>
      <w:r>
        <w:rPr>
          <w:color w:val="231F20"/>
          <w:spacing w:val="-6"/>
        </w:rPr>
        <w:t> </w:t>
      </w:r>
      <w:r>
        <w:rPr>
          <w:color w:val="231F20"/>
        </w:rPr>
        <w:t>основи</w:t>
      </w:r>
      <w:r>
        <w:rPr>
          <w:color w:val="231F20"/>
          <w:spacing w:val="-6"/>
        </w:rPr>
        <w:t> </w:t>
      </w:r>
      <w:r>
        <w:rPr>
          <w:color w:val="231F20"/>
        </w:rPr>
        <w:t>се</w:t>
      </w:r>
      <w:r>
        <w:rPr>
          <w:color w:val="231F20"/>
          <w:spacing w:val="-6"/>
        </w:rPr>
        <w:t> </w:t>
      </w:r>
      <w:r>
        <w:rPr>
          <w:color w:val="231F20"/>
        </w:rPr>
        <w:t>постављају</w:t>
      </w:r>
      <w:r>
        <w:rPr>
          <w:color w:val="231F20"/>
          <w:spacing w:val="-6"/>
        </w:rPr>
        <w:t> </w:t>
      </w:r>
      <w:r>
        <w:rPr>
          <w:color w:val="231F20"/>
        </w:rPr>
        <w:t>следећи</w:t>
      </w:r>
      <w:r>
        <w:rPr>
          <w:color w:val="231F20"/>
          <w:spacing w:val="-6"/>
        </w:rPr>
        <w:t> </w:t>
      </w:r>
      <w:r>
        <w:rPr>
          <w:color w:val="231F20"/>
        </w:rPr>
        <w:t>оперативни</w:t>
      </w:r>
      <w:r>
        <w:rPr>
          <w:color w:val="231F20"/>
          <w:spacing w:val="-6"/>
        </w:rPr>
        <w:t> </w:t>
      </w:r>
      <w:r>
        <w:rPr>
          <w:color w:val="231F20"/>
        </w:rPr>
        <w:t>циљеви</w:t>
      </w:r>
      <w:r>
        <w:rPr>
          <w:color w:val="231F20"/>
          <w:spacing w:val="-6"/>
        </w:rPr>
        <w:t> </w:t>
      </w:r>
      <w:r>
        <w:rPr>
          <w:color w:val="231F20"/>
        </w:rPr>
        <w:t>раз- воја ловства на </w:t>
      </w:r>
      <w:r>
        <w:rPr>
          <w:color w:val="231F20"/>
          <w:spacing w:val="-3"/>
        </w:rPr>
        <w:t>Планском </w:t>
      </w:r>
      <w:r>
        <w:rPr>
          <w:color w:val="231F20"/>
        </w:rPr>
        <w:t>подручју:</w:t>
      </w:r>
    </w:p>
    <w:p>
      <w:pPr>
        <w:pStyle w:val="BodyText"/>
        <w:spacing w:line="232" w:lineRule="auto" w:before="1"/>
        <w:ind w:left="454" w:firstLine="396"/>
      </w:pPr>
      <w:r>
        <w:rPr>
          <w:color w:val="231F20"/>
          <w:w w:val="66"/>
        </w:rPr>
        <w:t> </w:t>
      </w:r>
      <w:r>
        <w:rPr>
          <w:color w:val="231F20"/>
        </w:rPr>
        <w:t>–</w:t>
      </w:r>
      <w:r>
        <w:rPr>
          <w:color w:val="231F20"/>
          <w:spacing w:val="-6"/>
        </w:rPr>
        <w:t> </w:t>
      </w:r>
      <w:r>
        <w:rPr>
          <w:color w:val="231F20"/>
        </w:rPr>
        <w:t>постизање</w:t>
      </w:r>
      <w:r>
        <w:rPr>
          <w:color w:val="231F20"/>
          <w:spacing w:val="-7"/>
        </w:rPr>
        <w:t> </w:t>
      </w:r>
      <w:r>
        <w:rPr>
          <w:color w:val="231F20"/>
        </w:rPr>
        <w:t>броја</w:t>
      </w:r>
      <w:r>
        <w:rPr>
          <w:color w:val="231F20"/>
          <w:spacing w:val="-6"/>
        </w:rPr>
        <w:t> </w:t>
      </w:r>
      <w:r>
        <w:rPr>
          <w:color w:val="231F20"/>
        </w:rPr>
        <w:t>јединки</w:t>
      </w:r>
      <w:r>
        <w:rPr>
          <w:color w:val="231F20"/>
          <w:spacing w:val="-6"/>
        </w:rPr>
        <w:t> </w:t>
      </w:r>
      <w:r>
        <w:rPr>
          <w:color w:val="231F20"/>
          <w:spacing w:val="-3"/>
        </w:rPr>
        <w:t>главних</w:t>
      </w:r>
      <w:r>
        <w:rPr>
          <w:color w:val="231F20"/>
          <w:spacing w:val="-7"/>
        </w:rPr>
        <w:t> </w:t>
      </w:r>
      <w:r>
        <w:rPr>
          <w:color w:val="231F20"/>
        </w:rPr>
        <w:t>врста</w:t>
      </w:r>
      <w:r>
        <w:rPr>
          <w:color w:val="231F20"/>
          <w:spacing w:val="-6"/>
        </w:rPr>
        <w:t> </w:t>
      </w:r>
      <w:r>
        <w:rPr>
          <w:color w:val="231F20"/>
        </w:rPr>
        <w:t>дивљачи</w:t>
      </w:r>
      <w:r>
        <w:rPr>
          <w:color w:val="231F20"/>
          <w:spacing w:val="-6"/>
        </w:rPr>
        <w:t> </w:t>
      </w:r>
      <w:r>
        <w:rPr>
          <w:color w:val="231F20"/>
        </w:rPr>
        <w:t>до</w:t>
      </w:r>
      <w:r>
        <w:rPr>
          <w:color w:val="231F20"/>
          <w:spacing w:val="-6"/>
        </w:rPr>
        <w:t> </w:t>
      </w:r>
      <w:r>
        <w:rPr>
          <w:color w:val="231F20"/>
          <w:spacing w:val="-3"/>
        </w:rPr>
        <w:t>економ- ског</w:t>
      </w:r>
      <w:r>
        <w:rPr>
          <w:color w:val="231F20"/>
          <w:spacing w:val="-1"/>
        </w:rPr>
        <w:t> </w:t>
      </w:r>
      <w:r>
        <w:rPr>
          <w:color w:val="231F20"/>
        </w:rPr>
        <w:t>капацитета;</w:t>
      </w:r>
    </w:p>
    <w:p>
      <w:pPr>
        <w:pStyle w:val="BodyText"/>
        <w:spacing w:line="232" w:lineRule="auto"/>
        <w:ind w:left="454" w:firstLine="396"/>
      </w:pPr>
      <w:r>
        <w:rPr>
          <w:color w:val="231F20"/>
          <w:w w:val="66"/>
        </w:rPr>
        <w:t> </w:t>
      </w:r>
      <w:r>
        <w:rPr>
          <w:color w:val="231F20"/>
        </w:rPr>
        <w:t>– постизање одговарајуће полне структуре главних врста</w:t>
      </w:r>
      <w:r>
        <w:rPr>
          <w:color w:val="231F20"/>
          <w:spacing w:val="-30"/>
        </w:rPr>
        <w:t> </w:t>
      </w:r>
      <w:r>
        <w:rPr>
          <w:color w:val="231F20"/>
        </w:rPr>
        <w:t>ди- вљачи;</w:t>
      </w:r>
      <w:r>
        <w:rPr>
          <w:color w:val="231F20"/>
          <w:spacing w:val="-1"/>
        </w:rPr>
        <w:t> </w:t>
      </w:r>
      <w:r>
        <w:rPr>
          <w:color w:val="231F20"/>
        </w:rPr>
        <w:t>и</w:t>
      </w:r>
    </w:p>
    <w:p>
      <w:pPr>
        <w:pStyle w:val="BodyText"/>
        <w:spacing w:line="232" w:lineRule="auto" w:before="1"/>
        <w:ind w:left="454" w:firstLine="396"/>
      </w:pPr>
      <w:r>
        <w:rPr>
          <w:color w:val="231F20"/>
          <w:w w:val="66"/>
        </w:rPr>
        <w:t> </w:t>
      </w:r>
      <w:r>
        <w:rPr>
          <w:color w:val="231F20"/>
        </w:rPr>
        <w:t>– смањење предатора и побољшање услова станишта у ло- вишту.</w:t>
      </w:r>
    </w:p>
    <w:p>
      <w:pPr>
        <w:pStyle w:val="BodyText"/>
        <w:spacing w:line="232" w:lineRule="auto" w:before="1"/>
        <w:ind w:left="454" w:firstLine="396"/>
      </w:pPr>
      <w:r>
        <w:rPr>
          <w:color w:val="231F20"/>
        </w:rPr>
        <w:t>Основни циљ управљања рибарским подручјем, као и ри- бљим фондом је афирмација принципа одрживог коришћења на основу дугорочних и годишњих програма. Сходно томе одрживо управљање рибарским подручјем Дунав III подразумева:</w:t>
      </w:r>
    </w:p>
    <w:p>
      <w:pPr>
        <w:pStyle w:val="BodyText"/>
        <w:spacing w:line="200" w:lineRule="exact"/>
        <w:ind w:left="851"/>
        <w:jc w:val="left"/>
      </w:pPr>
      <w:r>
        <w:rPr>
          <w:color w:val="231F20"/>
          <w:w w:val="66"/>
        </w:rPr>
        <w:t> </w:t>
      </w:r>
      <w:r>
        <w:rPr>
          <w:color w:val="231F20"/>
        </w:rPr>
        <w:t>– процену биомасе и прираста рибљег фонда;</w:t>
      </w:r>
    </w:p>
    <w:p>
      <w:pPr>
        <w:pStyle w:val="BodyText"/>
        <w:spacing w:line="232" w:lineRule="auto" w:before="2"/>
        <w:ind w:left="454" w:firstLine="396"/>
      </w:pPr>
      <w:r>
        <w:rPr>
          <w:color w:val="231F20"/>
          <w:w w:val="66"/>
        </w:rPr>
        <w:t> </w:t>
      </w:r>
      <w:r>
        <w:rPr>
          <w:color w:val="231F20"/>
        </w:rPr>
        <w:t>– утврђивање дозвољеног годишњег и дневног излова рибе по врстама;</w:t>
      </w:r>
    </w:p>
    <w:p>
      <w:pPr>
        <w:pStyle w:val="BodyText"/>
        <w:spacing w:line="232" w:lineRule="auto"/>
        <w:ind w:left="454" w:firstLine="396"/>
      </w:pPr>
      <w:r>
        <w:rPr>
          <w:color w:val="231F20"/>
          <w:w w:val="66"/>
        </w:rPr>
        <w:t> </w:t>
      </w:r>
      <w:r>
        <w:rPr>
          <w:color w:val="231F20"/>
        </w:rPr>
        <w:t>–</w:t>
      </w:r>
      <w:r>
        <w:rPr>
          <w:color w:val="231F20"/>
          <w:spacing w:val="-9"/>
        </w:rPr>
        <w:t> </w:t>
      </w:r>
      <w:r>
        <w:rPr>
          <w:color w:val="231F20"/>
        </w:rPr>
        <w:t>одређивање</w:t>
      </w:r>
      <w:r>
        <w:rPr>
          <w:color w:val="231F20"/>
          <w:spacing w:val="-9"/>
        </w:rPr>
        <w:t> </w:t>
      </w:r>
      <w:r>
        <w:rPr>
          <w:color w:val="231F20"/>
        </w:rPr>
        <w:t>динамике</w:t>
      </w:r>
      <w:r>
        <w:rPr>
          <w:color w:val="231F20"/>
          <w:spacing w:val="-9"/>
        </w:rPr>
        <w:t> </w:t>
      </w:r>
      <w:r>
        <w:rPr>
          <w:color w:val="231F20"/>
        </w:rPr>
        <w:t>порибљавања</w:t>
      </w:r>
      <w:r>
        <w:rPr>
          <w:color w:val="231F20"/>
          <w:spacing w:val="-9"/>
        </w:rPr>
        <w:t> </w:t>
      </w:r>
      <w:r>
        <w:rPr>
          <w:color w:val="231F20"/>
        </w:rPr>
        <w:t>по</w:t>
      </w:r>
      <w:r>
        <w:rPr>
          <w:color w:val="231F20"/>
          <w:spacing w:val="-9"/>
        </w:rPr>
        <w:t> </w:t>
      </w:r>
      <w:r>
        <w:rPr>
          <w:color w:val="231F20"/>
        </w:rPr>
        <w:t>врстама</w:t>
      </w:r>
      <w:r>
        <w:rPr>
          <w:color w:val="231F20"/>
          <w:spacing w:val="-9"/>
        </w:rPr>
        <w:t> </w:t>
      </w:r>
      <w:r>
        <w:rPr>
          <w:color w:val="231F20"/>
        </w:rPr>
        <w:t>и</w:t>
      </w:r>
      <w:r>
        <w:rPr>
          <w:color w:val="231F20"/>
          <w:spacing w:val="-9"/>
        </w:rPr>
        <w:t> </w:t>
      </w:r>
      <w:r>
        <w:rPr>
          <w:color w:val="231F20"/>
          <w:spacing w:val="-3"/>
        </w:rPr>
        <w:t>количини </w:t>
      </w:r>
      <w:r>
        <w:rPr>
          <w:color w:val="231F20"/>
        </w:rPr>
        <w:t>риба, времену и месту порибљавања</w:t>
      </w:r>
      <w:r>
        <w:rPr>
          <w:color w:val="231F20"/>
          <w:spacing w:val="-5"/>
        </w:rPr>
        <w:t> </w:t>
      </w:r>
      <w:r>
        <w:rPr>
          <w:color w:val="231F20"/>
        </w:rPr>
        <w:t>и</w:t>
      </w:r>
    </w:p>
    <w:p>
      <w:pPr>
        <w:pStyle w:val="BodyText"/>
        <w:spacing w:line="232" w:lineRule="auto" w:before="1"/>
        <w:ind w:left="455" w:firstLine="396"/>
      </w:pPr>
      <w:r>
        <w:rPr>
          <w:color w:val="231F20"/>
          <w:w w:val="66"/>
        </w:rPr>
        <w:t> </w:t>
      </w:r>
      <w:r>
        <w:rPr>
          <w:color w:val="231F20"/>
        </w:rPr>
        <w:t>–</w:t>
      </w:r>
      <w:r>
        <w:rPr>
          <w:color w:val="231F20"/>
          <w:spacing w:val="-9"/>
        </w:rPr>
        <w:t> </w:t>
      </w:r>
      <w:r>
        <w:rPr>
          <w:color w:val="231F20"/>
        </w:rPr>
        <w:t>утврђивање</w:t>
      </w:r>
      <w:r>
        <w:rPr>
          <w:color w:val="231F20"/>
          <w:spacing w:val="-10"/>
        </w:rPr>
        <w:t> </w:t>
      </w:r>
      <w:r>
        <w:rPr>
          <w:color w:val="231F20"/>
        </w:rPr>
        <w:t>мера</w:t>
      </w:r>
      <w:r>
        <w:rPr>
          <w:color w:val="231F20"/>
          <w:spacing w:val="-9"/>
        </w:rPr>
        <w:t> </w:t>
      </w:r>
      <w:r>
        <w:rPr>
          <w:color w:val="231F20"/>
        </w:rPr>
        <w:t>и</w:t>
      </w:r>
      <w:r>
        <w:rPr>
          <w:color w:val="231F20"/>
          <w:spacing w:val="-9"/>
        </w:rPr>
        <w:t> </w:t>
      </w:r>
      <w:r>
        <w:rPr>
          <w:color w:val="231F20"/>
        </w:rPr>
        <w:t>начина</w:t>
      </w:r>
      <w:r>
        <w:rPr>
          <w:color w:val="231F20"/>
          <w:spacing w:val="-10"/>
        </w:rPr>
        <w:t> </w:t>
      </w:r>
      <w:r>
        <w:rPr>
          <w:color w:val="231F20"/>
        </w:rPr>
        <w:t>заштите</w:t>
      </w:r>
      <w:r>
        <w:rPr>
          <w:color w:val="231F20"/>
          <w:spacing w:val="-9"/>
        </w:rPr>
        <w:t> </w:t>
      </w:r>
      <w:r>
        <w:rPr>
          <w:color w:val="231F20"/>
        </w:rPr>
        <w:t>рибарског</w:t>
      </w:r>
      <w:r>
        <w:rPr>
          <w:color w:val="231F20"/>
          <w:spacing w:val="-9"/>
        </w:rPr>
        <w:t> </w:t>
      </w:r>
      <w:r>
        <w:rPr>
          <w:color w:val="231F20"/>
        </w:rPr>
        <w:t>подручја,</w:t>
      </w:r>
      <w:r>
        <w:rPr>
          <w:color w:val="231F20"/>
          <w:spacing w:val="-9"/>
        </w:rPr>
        <w:t> </w:t>
      </w:r>
      <w:r>
        <w:rPr>
          <w:color w:val="231F20"/>
        </w:rPr>
        <w:t>као и организовање рада рибочуварске</w:t>
      </w:r>
      <w:r>
        <w:rPr>
          <w:color w:val="231F20"/>
          <w:spacing w:val="-5"/>
        </w:rPr>
        <w:t> </w:t>
      </w:r>
      <w:r>
        <w:rPr>
          <w:color w:val="231F20"/>
        </w:rPr>
        <w:t>службе.</w:t>
      </w:r>
    </w:p>
    <w:p>
      <w:pPr>
        <w:pStyle w:val="BodyText"/>
        <w:spacing w:line="402" w:lineRule="exact" w:before="12"/>
        <w:ind w:left="852" w:right="168" w:firstLine="309"/>
        <w:jc w:val="left"/>
      </w:pPr>
      <w:r>
        <w:rPr>
          <w:color w:val="231F20"/>
        </w:rPr>
        <w:t>Развој туризма и уређење туристичких подручја Општи циљеви туристичког развоја Планског подручја су:</w:t>
      </w:r>
    </w:p>
    <w:p>
      <w:pPr>
        <w:pStyle w:val="BodyText"/>
        <w:spacing w:line="157" w:lineRule="exact"/>
        <w:ind w:left="852"/>
        <w:jc w:val="left"/>
      </w:pPr>
      <w:r>
        <w:rPr>
          <w:color w:val="231F20"/>
          <w:w w:val="66"/>
        </w:rPr>
        <w:t> </w:t>
      </w:r>
      <w:r>
        <w:rPr>
          <w:color w:val="231F20"/>
        </w:rPr>
        <w:t>– одрживи развој туризма, посебно у </w:t>
      </w:r>
      <w:r>
        <w:rPr>
          <w:color w:val="231F20"/>
          <w:spacing w:val="-3"/>
        </w:rPr>
        <w:t>погледу </w:t>
      </w:r>
      <w:r>
        <w:rPr>
          <w:color w:val="231F20"/>
        </w:rPr>
        <w:t>уређења, опре-</w:t>
      </w:r>
    </w:p>
    <w:p>
      <w:pPr>
        <w:pStyle w:val="BodyText"/>
        <w:spacing w:line="232" w:lineRule="auto" w:before="2"/>
        <w:ind w:left="455"/>
      </w:pPr>
      <w:r>
        <w:rPr>
          <w:color w:val="231F20"/>
        </w:rPr>
        <w:t>мања и коришћења простора, уз ефикаснију имплементацију међународних стандарда (у домену пловно-наутичког, културо- лошког, еколошког и других видова туризма као и заштите и уна- пређења природног и културног наслеђа);</w:t>
      </w:r>
    </w:p>
    <w:p>
      <w:pPr>
        <w:pStyle w:val="BodyText"/>
        <w:spacing w:line="232" w:lineRule="auto" w:before="1"/>
        <w:ind w:left="454" w:firstLine="397"/>
      </w:pPr>
      <w:r>
        <w:rPr>
          <w:color w:val="231F20"/>
          <w:w w:val="66"/>
        </w:rPr>
        <w:t> </w:t>
      </w:r>
      <w:r>
        <w:rPr>
          <w:color w:val="231F20"/>
        </w:rPr>
        <w:t>– развој дестинације са знатним учешћем целогодишње по- нуде уз функционалну интеграција понуде „Еколошке зоне Дуна- ва” (са богатством акваторијских и приобалних форми биодивер- зитета), „Историјске зоне Дунава” (са Виминацијумом и осталим културолошким разноврсностима и етно-традиционалним догађа- јима) и града Пожаревца са низом туристичких вредности и</w:t>
      </w:r>
    </w:p>
    <w:p>
      <w:pPr>
        <w:pStyle w:val="BodyText"/>
        <w:spacing w:line="232" w:lineRule="auto" w:before="73"/>
        <w:ind w:left="242" w:right="127" w:firstLine="396"/>
      </w:pPr>
      <w:r>
        <w:rPr/>
        <w:br w:type="column"/>
      </w:r>
      <w:r>
        <w:rPr>
          <w:color w:val="231F20"/>
          <w:w w:val="66"/>
        </w:rPr>
        <w:t> </w:t>
      </w:r>
      <w:r>
        <w:rPr>
          <w:color w:val="231F20"/>
        </w:rPr>
        <w:t>– остваривање партнерства </w:t>
      </w:r>
      <w:r>
        <w:rPr>
          <w:color w:val="231F20"/>
          <w:spacing w:val="-4"/>
        </w:rPr>
        <w:t>приватног, </w:t>
      </w:r>
      <w:r>
        <w:rPr>
          <w:color w:val="231F20"/>
        </w:rPr>
        <w:t>јавног  и  невлади- ног сектора и јачање међуопштинске и регионалне сарадње, као претпоставка ефикасног система организовања свих стејкхолдера, укључујући и локално становништво, за управљање и координа- цију развоја</w:t>
      </w:r>
      <w:r>
        <w:rPr>
          <w:color w:val="231F20"/>
          <w:spacing w:val="-1"/>
        </w:rPr>
        <w:t> </w:t>
      </w:r>
      <w:r>
        <w:rPr>
          <w:color w:val="231F20"/>
        </w:rPr>
        <w:t>туризма;</w:t>
      </w:r>
    </w:p>
    <w:p>
      <w:pPr>
        <w:pStyle w:val="BodyText"/>
        <w:spacing w:line="200" w:lineRule="exact"/>
        <w:ind w:left="639"/>
        <w:jc w:val="left"/>
      </w:pPr>
      <w:r>
        <w:rPr>
          <w:color w:val="231F20"/>
        </w:rPr>
        <w:t>Оперативни циљеви развоја туризма су:</w:t>
      </w:r>
    </w:p>
    <w:p>
      <w:pPr>
        <w:pStyle w:val="BodyText"/>
        <w:spacing w:line="232" w:lineRule="auto" w:before="2"/>
        <w:ind w:left="242" w:right="127" w:firstLine="397"/>
      </w:pPr>
      <w:r>
        <w:rPr>
          <w:color w:val="231F20"/>
          <w:w w:val="66"/>
        </w:rPr>
        <w:t> </w:t>
      </w:r>
      <w:r>
        <w:rPr>
          <w:color w:val="231F20"/>
        </w:rPr>
        <w:t>– активирање туристичких потенцијала у складу са трендо- вима тражње, стандардима тржишта и социо-економским интере- сима локалне средине и Републике Србије;</w:t>
      </w:r>
    </w:p>
    <w:p>
      <w:pPr>
        <w:pStyle w:val="BodyText"/>
        <w:spacing w:line="232" w:lineRule="auto" w:before="1"/>
        <w:ind w:left="242" w:right="127" w:firstLine="396"/>
      </w:pPr>
      <w:r>
        <w:rPr>
          <w:color w:val="231F20"/>
          <w:w w:val="66"/>
        </w:rPr>
        <w:t> </w:t>
      </w:r>
      <w:r>
        <w:rPr>
          <w:color w:val="231F20"/>
        </w:rPr>
        <w:t>– јачање постојећих и развој нових туристичких производа, посебно наутике на Дунаву (стварањем услова за интензивирање пристајања крузинг бродова и увођење услужних и сервисних ак- тивности у функцији пловно-наутичког пута), археолошког тури- зма у Виминацијумом и друго;</w:t>
      </w:r>
    </w:p>
    <w:p>
      <w:pPr>
        <w:pStyle w:val="BodyText"/>
        <w:spacing w:line="232" w:lineRule="auto" w:before="1"/>
        <w:ind w:left="243" w:right="126" w:firstLine="396"/>
      </w:pPr>
      <w:r>
        <w:rPr>
          <w:color w:val="231F20"/>
          <w:w w:val="66"/>
        </w:rPr>
        <w:t> </w:t>
      </w:r>
      <w:r>
        <w:rPr>
          <w:color w:val="231F20"/>
        </w:rPr>
        <w:t>–</w:t>
      </w:r>
      <w:r>
        <w:rPr>
          <w:color w:val="231F20"/>
          <w:spacing w:val="-8"/>
        </w:rPr>
        <w:t> </w:t>
      </w:r>
      <w:r>
        <w:rPr>
          <w:color w:val="231F20"/>
        </w:rPr>
        <w:t>промоција</w:t>
      </w:r>
      <w:r>
        <w:rPr>
          <w:color w:val="231F20"/>
          <w:spacing w:val="-8"/>
        </w:rPr>
        <w:t> </w:t>
      </w:r>
      <w:r>
        <w:rPr>
          <w:color w:val="231F20"/>
        </w:rPr>
        <w:t>значаја</w:t>
      </w:r>
      <w:r>
        <w:rPr>
          <w:color w:val="231F20"/>
          <w:spacing w:val="-8"/>
        </w:rPr>
        <w:t> </w:t>
      </w:r>
      <w:r>
        <w:rPr>
          <w:color w:val="231F20"/>
        </w:rPr>
        <w:t>насеља</w:t>
      </w:r>
      <w:r>
        <w:rPr>
          <w:color w:val="231F20"/>
          <w:spacing w:val="-8"/>
        </w:rPr>
        <w:t> </w:t>
      </w:r>
      <w:r>
        <w:rPr>
          <w:color w:val="231F20"/>
        </w:rPr>
        <w:t>у</w:t>
      </w:r>
      <w:r>
        <w:rPr>
          <w:color w:val="231F20"/>
          <w:spacing w:val="-8"/>
        </w:rPr>
        <w:t> </w:t>
      </w:r>
      <w:r>
        <w:rPr>
          <w:color w:val="231F20"/>
        </w:rPr>
        <w:t>приобаљу</w:t>
      </w:r>
      <w:r>
        <w:rPr>
          <w:color w:val="231F20"/>
          <w:spacing w:val="-8"/>
        </w:rPr>
        <w:t> </w:t>
      </w:r>
      <w:r>
        <w:rPr>
          <w:color w:val="231F20"/>
        </w:rPr>
        <w:t>и</w:t>
      </w:r>
      <w:r>
        <w:rPr>
          <w:color w:val="231F20"/>
          <w:spacing w:val="-8"/>
        </w:rPr>
        <w:t> </w:t>
      </w:r>
      <w:r>
        <w:rPr>
          <w:color w:val="231F20"/>
        </w:rPr>
        <w:t>туристичких</w:t>
      </w:r>
      <w:r>
        <w:rPr>
          <w:color w:val="231F20"/>
          <w:spacing w:val="-8"/>
        </w:rPr>
        <w:t> </w:t>
      </w:r>
      <w:r>
        <w:rPr>
          <w:color w:val="231F20"/>
        </w:rPr>
        <w:t>моти- ва у залеђу Дунава у смислу њиховог отварања према реци, одно- сно привредном и туристичком тржишту</w:t>
      </w:r>
      <w:r>
        <w:rPr>
          <w:color w:val="231F20"/>
          <w:spacing w:val="-7"/>
        </w:rPr>
        <w:t> </w:t>
      </w:r>
      <w:r>
        <w:rPr>
          <w:color w:val="231F20"/>
        </w:rPr>
        <w:t>Европе;</w:t>
      </w:r>
    </w:p>
    <w:p>
      <w:pPr>
        <w:pStyle w:val="BodyText"/>
        <w:spacing w:line="232" w:lineRule="auto" w:before="1"/>
        <w:ind w:left="243" w:right="126" w:firstLine="397"/>
      </w:pPr>
      <w:r>
        <w:rPr>
          <w:color w:val="231F20"/>
          <w:w w:val="66"/>
        </w:rPr>
        <w:t> </w:t>
      </w:r>
      <w:r>
        <w:rPr>
          <w:color w:val="231F20"/>
        </w:rPr>
        <w:t>– правовремена резервација и заштита најатрактивнијих ло- калитета за развој туризма, било да се ради о деловима акваторије и приобаља Дунава (марине, пристани односно чворишта на ушћу Мораве и Млаве), </w:t>
      </w:r>
      <w:r>
        <w:rPr>
          <w:color w:val="231F20"/>
          <w:spacing w:val="-3"/>
        </w:rPr>
        <w:t>археолошком </w:t>
      </w:r>
      <w:r>
        <w:rPr>
          <w:color w:val="231F20"/>
        </w:rPr>
        <w:t>парку Виминацијум, урбаним и еколошки очуваним природним целинама, или коридорима за њи- </w:t>
      </w:r>
      <w:r>
        <w:rPr>
          <w:color w:val="231F20"/>
          <w:spacing w:val="-3"/>
        </w:rPr>
        <w:t>хово </w:t>
      </w:r>
      <w:r>
        <w:rPr>
          <w:color w:val="231F20"/>
        </w:rPr>
        <w:t>повезивање, израдом одговарајуће планске, програмске и ин- вестиционо-техничке документације и друго;</w:t>
      </w:r>
    </w:p>
    <w:p>
      <w:pPr>
        <w:pStyle w:val="BodyText"/>
        <w:spacing w:line="232" w:lineRule="auto" w:before="2"/>
        <w:ind w:left="243" w:right="126" w:firstLine="396"/>
      </w:pPr>
      <w:r>
        <w:rPr>
          <w:color w:val="231F20"/>
          <w:w w:val="66"/>
        </w:rPr>
        <w:t> </w:t>
      </w:r>
      <w:r>
        <w:rPr>
          <w:color w:val="231F20"/>
        </w:rPr>
        <w:t>– реконструкција, изградња и довођење у оптимално стање инфраструктуре</w:t>
      </w:r>
      <w:r>
        <w:rPr>
          <w:color w:val="231F20"/>
          <w:spacing w:val="-10"/>
        </w:rPr>
        <w:t> </w:t>
      </w:r>
      <w:r>
        <w:rPr>
          <w:color w:val="231F20"/>
        </w:rPr>
        <w:t>у</w:t>
      </w:r>
      <w:r>
        <w:rPr>
          <w:color w:val="231F20"/>
          <w:spacing w:val="-10"/>
        </w:rPr>
        <w:t> </w:t>
      </w:r>
      <w:r>
        <w:rPr>
          <w:color w:val="231F20"/>
        </w:rPr>
        <w:t>функцији</w:t>
      </w:r>
      <w:r>
        <w:rPr>
          <w:color w:val="231F20"/>
          <w:spacing w:val="-10"/>
        </w:rPr>
        <w:t> </w:t>
      </w:r>
      <w:r>
        <w:rPr>
          <w:color w:val="231F20"/>
        </w:rPr>
        <w:t>туризма</w:t>
      </w:r>
      <w:r>
        <w:rPr>
          <w:color w:val="231F20"/>
          <w:spacing w:val="-10"/>
        </w:rPr>
        <w:t> </w:t>
      </w:r>
      <w:r>
        <w:rPr>
          <w:color w:val="231F20"/>
          <w:spacing w:val="-4"/>
        </w:rPr>
        <w:t>којом</w:t>
      </w:r>
      <w:r>
        <w:rPr>
          <w:color w:val="231F20"/>
          <w:spacing w:val="-10"/>
        </w:rPr>
        <w:t> </w:t>
      </w:r>
      <w:r>
        <w:rPr>
          <w:color w:val="231F20"/>
        </w:rPr>
        <w:t>се</w:t>
      </w:r>
      <w:r>
        <w:rPr>
          <w:color w:val="231F20"/>
          <w:spacing w:val="-10"/>
        </w:rPr>
        <w:t> </w:t>
      </w:r>
      <w:r>
        <w:rPr>
          <w:color w:val="231F20"/>
        </w:rPr>
        <w:t>обезбеђује</w:t>
      </w:r>
      <w:r>
        <w:rPr>
          <w:color w:val="231F20"/>
          <w:spacing w:val="-10"/>
        </w:rPr>
        <w:t> </w:t>
      </w:r>
      <w:r>
        <w:rPr>
          <w:color w:val="231F20"/>
        </w:rPr>
        <w:t>рационал- нија</w:t>
      </w:r>
      <w:r>
        <w:rPr>
          <w:color w:val="231F20"/>
          <w:spacing w:val="-10"/>
        </w:rPr>
        <w:t> </w:t>
      </w:r>
      <w:r>
        <w:rPr>
          <w:color w:val="231F20"/>
        </w:rPr>
        <w:t>организација,</w:t>
      </w:r>
      <w:r>
        <w:rPr>
          <w:color w:val="231F20"/>
          <w:spacing w:val="-10"/>
        </w:rPr>
        <w:t> </w:t>
      </w:r>
      <w:r>
        <w:rPr>
          <w:color w:val="231F20"/>
        </w:rPr>
        <w:t>уређење</w:t>
      </w:r>
      <w:r>
        <w:rPr>
          <w:color w:val="231F20"/>
          <w:spacing w:val="-10"/>
        </w:rPr>
        <w:t> </w:t>
      </w:r>
      <w:r>
        <w:rPr>
          <w:color w:val="231F20"/>
        </w:rPr>
        <w:t>и</w:t>
      </w:r>
      <w:r>
        <w:rPr>
          <w:color w:val="231F20"/>
          <w:spacing w:val="-10"/>
        </w:rPr>
        <w:t> </w:t>
      </w:r>
      <w:r>
        <w:rPr>
          <w:color w:val="231F20"/>
        </w:rPr>
        <w:t>повезивање</w:t>
      </w:r>
      <w:r>
        <w:rPr>
          <w:color w:val="231F20"/>
          <w:spacing w:val="-10"/>
        </w:rPr>
        <w:t> </w:t>
      </w:r>
      <w:r>
        <w:rPr>
          <w:color w:val="231F20"/>
        </w:rPr>
        <w:t>туристичких</w:t>
      </w:r>
      <w:r>
        <w:rPr>
          <w:color w:val="231F20"/>
          <w:spacing w:val="-10"/>
        </w:rPr>
        <w:t> </w:t>
      </w:r>
      <w:r>
        <w:rPr>
          <w:color w:val="231F20"/>
        </w:rPr>
        <w:t>локалитета;</w:t>
      </w:r>
    </w:p>
    <w:p>
      <w:pPr>
        <w:pStyle w:val="BodyText"/>
        <w:spacing w:line="232" w:lineRule="auto" w:before="1"/>
        <w:ind w:left="243" w:right="126" w:firstLine="397"/>
      </w:pPr>
      <w:r>
        <w:rPr>
          <w:color w:val="231F20"/>
          <w:w w:val="66"/>
        </w:rPr>
        <w:t> </w:t>
      </w:r>
      <w:r>
        <w:rPr>
          <w:color w:val="231F20"/>
        </w:rPr>
        <w:t>– санација, адаптација, реконструкција и модернизација по- стојећих објеката туристичког смештаја и угоститељских објека- та, ради постизања виших и високих категорија, комплетирања постојеће туристичке понуде, повећања степена искоришћености капацитета и ефикасности привређивања;</w:t>
      </w:r>
    </w:p>
    <w:p>
      <w:pPr>
        <w:pStyle w:val="BodyText"/>
        <w:spacing w:line="232" w:lineRule="auto" w:before="1"/>
        <w:ind w:left="243" w:right="126" w:firstLine="396"/>
      </w:pPr>
      <w:r>
        <w:rPr>
          <w:color w:val="231F20"/>
          <w:w w:val="66"/>
        </w:rPr>
        <w:t> </w:t>
      </w:r>
      <w:r>
        <w:rPr>
          <w:color w:val="231F20"/>
        </w:rPr>
        <w:t>–</w:t>
      </w:r>
      <w:r>
        <w:rPr>
          <w:color w:val="231F20"/>
          <w:spacing w:val="-8"/>
        </w:rPr>
        <w:t> </w:t>
      </w:r>
      <w:r>
        <w:rPr>
          <w:color w:val="231F20"/>
        </w:rPr>
        <w:t>активно</w:t>
      </w:r>
      <w:r>
        <w:rPr>
          <w:color w:val="231F20"/>
          <w:spacing w:val="-8"/>
        </w:rPr>
        <w:t> </w:t>
      </w:r>
      <w:r>
        <w:rPr>
          <w:color w:val="231F20"/>
        </w:rPr>
        <w:t>ангажовање</w:t>
      </w:r>
      <w:r>
        <w:rPr>
          <w:color w:val="231F20"/>
          <w:spacing w:val="-8"/>
        </w:rPr>
        <w:t> </w:t>
      </w:r>
      <w:r>
        <w:rPr>
          <w:color w:val="231F20"/>
        </w:rPr>
        <w:t>локалног</w:t>
      </w:r>
      <w:r>
        <w:rPr>
          <w:color w:val="231F20"/>
          <w:spacing w:val="-8"/>
        </w:rPr>
        <w:t> </w:t>
      </w:r>
      <w:r>
        <w:rPr>
          <w:color w:val="231F20"/>
        </w:rPr>
        <w:t>становништва</w:t>
      </w:r>
      <w:r>
        <w:rPr>
          <w:color w:val="231F20"/>
          <w:spacing w:val="-8"/>
        </w:rPr>
        <w:t> </w:t>
      </w:r>
      <w:r>
        <w:rPr>
          <w:color w:val="231F20"/>
        </w:rPr>
        <w:t>уз</w:t>
      </w:r>
      <w:r>
        <w:rPr>
          <w:color w:val="231F20"/>
          <w:spacing w:val="-8"/>
        </w:rPr>
        <w:t> </w:t>
      </w:r>
      <w:r>
        <w:rPr>
          <w:color w:val="231F20"/>
        </w:rPr>
        <w:t>брзу</w:t>
      </w:r>
      <w:r>
        <w:rPr>
          <w:color w:val="231F20"/>
          <w:spacing w:val="-8"/>
        </w:rPr>
        <w:t> </w:t>
      </w:r>
      <w:r>
        <w:rPr>
          <w:color w:val="231F20"/>
        </w:rPr>
        <w:t>и</w:t>
      </w:r>
      <w:r>
        <w:rPr>
          <w:color w:val="231F20"/>
          <w:spacing w:val="-8"/>
        </w:rPr>
        <w:t> </w:t>
      </w:r>
      <w:r>
        <w:rPr>
          <w:color w:val="231F20"/>
        </w:rPr>
        <w:t>ефи- касну едукацију за послове туризма (кроз тематске радионице, се- минаре и курсеве) и</w:t>
      </w:r>
      <w:r>
        <w:rPr>
          <w:color w:val="231F20"/>
          <w:spacing w:val="-3"/>
        </w:rPr>
        <w:t> </w:t>
      </w:r>
      <w:r>
        <w:rPr>
          <w:color w:val="231F20"/>
        </w:rPr>
        <w:t>друго.</w:t>
      </w:r>
    </w:p>
    <w:p>
      <w:pPr>
        <w:pStyle w:val="ListParagraph"/>
        <w:numPr>
          <w:ilvl w:val="2"/>
          <w:numId w:val="26"/>
        </w:numPr>
        <w:tabs>
          <w:tab w:pos="1755" w:val="left" w:leader="none"/>
        </w:tabs>
        <w:spacing w:line="429" w:lineRule="auto" w:before="166" w:after="0"/>
        <w:ind w:left="1219" w:right="1102" w:firstLine="85"/>
        <w:jc w:val="left"/>
        <w:rPr>
          <w:sz w:val="18"/>
        </w:rPr>
      </w:pPr>
      <w:r>
        <w:rPr>
          <w:color w:val="231F20"/>
          <w:spacing w:val="16"/>
          <w:sz w:val="18"/>
        </w:rPr>
        <w:t>Инфраст </w:t>
      </w:r>
      <w:r>
        <w:rPr>
          <w:color w:val="231F20"/>
          <w:spacing w:val="15"/>
          <w:sz w:val="18"/>
        </w:rPr>
        <w:t>руктурни </w:t>
      </w:r>
      <w:r>
        <w:rPr>
          <w:color w:val="231F20"/>
          <w:spacing w:val="16"/>
          <w:sz w:val="18"/>
        </w:rPr>
        <w:t>системи </w:t>
      </w:r>
      <w:r>
        <w:rPr>
          <w:color w:val="231F20"/>
          <w:sz w:val="18"/>
        </w:rPr>
        <w:t>Саобраћај и саобраћајна</w:t>
      </w:r>
      <w:r>
        <w:rPr>
          <w:color w:val="231F20"/>
          <w:spacing w:val="-10"/>
          <w:sz w:val="18"/>
        </w:rPr>
        <w:t> </w:t>
      </w:r>
      <w:r>
        <w:rPr>
          <w:color w:val="231F20"/>
          <w:sz w:val="18"/>
        </w:rPr>
        <w:t>инфраструктура</w:t>
      </w:r>
    </w:p>
    <w:p>
      <w:pPr>
        <w:pStyle w:val="BodyText"/>
        <w:spacing w:line="232" w:lineRule="auto" w:before="38"/>
        <w:ind w:left="243" w:right="126" w:firstLine="396"/>
      </w:pPr>
      <w:r>
        <w:rPr>
          <w:color w:val="231F20"/>
        </w:rPr>
        <w:t>Полазећи од стратешких – националних циљева развоја сао- браћаја који су формулисани у Просторном плану Републике Ср- бије („Службени гласник РС”, број 88/10), општи циљеви развоја саобраћаја на Планском подручју су:</w:t>
      </w:r>
    </w:p>
    <w:p>
      <w:pPr>
        <w:pStyle w:val="BodyText"/>
        <w:spacing w:line="232" w:lineRule="auto" w:before="1"/>
        <w:ind w:left="244" w:right="126" w:firstLine="396"/>
      </w:pPr>
      <w:r>
        <w:rPr>
          <w:color w:val="231F20"/>
          <w:w w:val="66"/>
        </w:rPr>
        <w:t> </w:t>
      </w:r>
      <w:r>
        <w:rPr>
          <w:color w:val="231F20"/>
        </w:rPr>
        <w:t>– постизање боље саобраћајне доступности свим видовима транспортовања људи и добара;</w:t>
      </w:r>
    </w:p>
    <w:p>
      <w:pPr>
        <w:pStyle w:val="BodyText"/>
        <w:spacing w:line="232" w:lineRule="auto"/>
        <w:ind w:left="243" w:right="125" w:firstLine="397"/>
      </w:pPr>
      <w:r>
        <w:rPr>
          <w:color w:val="231F20"/>
          <w:w w:val="66"/>
        </w:rPr>
        <w:t> </w:t>
      </w:r>
      <w:r>
        <w:rPr>
          <w:color w:val="231F20"/>
        </w:rPr>
        <w:t>–</w:t>
      </w:r>
      <w:r>
        <w:rPr>
          <w:color w:val="231F20"/>
          <w:spacing w:val="-8"/>
        </w:rPr>
        <w:t> </w:t>
      </w:r>
      <w:r>
        <w:rPr>
          <w:color w:val="231F20"/>
        </w:rPr>
        <w:t>искоришћавање</w:t>
      </w:r>
      <w:r>
        <w:rPr>
          <w:color w:val="231F20"/>
          <w:spacing w:val="-8"/>
        </w:rPr>
        <w:t> </w:t>
      </w:r>
      <w:r>
        <w:rPr>
          <w:color w:val="231F20"/>
        </w:rPr>
        <w:t>предности</w:t>
      </w:r>
      <w:r>
        <w:rPr>
          <w:color w:val="231F20"/>
          <w:spacing w:val="-8"/>
        </w:rPr>
        <w:t> </w:t>
      </w:r>
      <w:r>
        <w:rPr>
          <w:color w:val="231F20"/>
        </w:rPr>
        <w:t>географског</w:t>
      </w:r>
      <w:r>
        <w:rPr>
          <w:color w:val="231F20"/>
          <w:spacing w:val="-7"/>
        </w:rPr>
        <w:t> </w:t>
      </w:r>
      <w:r>
        <w:rPr>
          <w:color w:val="231F20"/>
        </w:rPr>
        <w:t>положаја</w:t>
      </w:r>
      <w:r>
        <w:rPr>
          <w:color w:val="231F20"/>
          <w:spacing w:val="-8"/>
        </w:rPr>
        <w:t> </w:t>
      </w:r>
      <w:r>
        <w:rPr>
          <w:color w:val="231F20"/>
        </w:rPr>
        <w:t>подручја, путем реализације и унапређења функционалне друмске саобра- ћајне инфраструктуре </w:t>
      </w:r>
      <w:r>
        <w:rPr>
          <w:color w:val="231F20"/>
          <w:spacing w:val="-3"/>
        </w:rPr>
        <w:t>која </w:t>
      </w:r>
      <w:r>
        <w:rPr>
          <w:color w:val="231F20"/>
        </w:rPr>
        <w:t>ће омогућити ефикасно повезивање са осталом</w:t>
      </w:r>
      <w:r>
        <w:rPr>
          <w:color w:val="231F20"/>
          <w:spacing w:val="-8"/>
        </w:rPr>
        <w:t> </w:t>
      </w:r>
      <w:r>
        <w:rPr>
          <w:color w:val="231F20"/>
        </w:rPr>
        <w:t>мрежом</w:t>
      </w:r>
      <w:r>
        <w:rPr>
          <w:color w:val="231F20"/>
          <w:spacing w:val="-8"/>
        </w:rPr>
        <w:t> </w:t>
      </w:r>
      <w:r>
        <w:rPr>
          <w:color w:val="231F20"/>
        </w:rPr>
        <w:t>путева</w:t>
      </w:r>
      <w:r>
        <w:rPr>
          <w:color w:val="231F20"/>
          <w:spacing w:val="-8"/>
        </w:rPr>
        <w:t> </w:t>
      </w:r>
      <w:r>
        <w:rPr>
          <w:color w:val="231F20"/>
        </w:rPr>
        <w:t>магистралног</w:t>
      </w:r>
      <w:r>
        <w:rPr>
          <w:color w:val="231F20"/>
          <w:spacing w:val="-9"/>
        </w:rPr>
        <w:t> </w:t>
      </w:r>
      <w:r>
        <w:rPr>
          <w:color w:val="231F20"/>
        </w:rPr>
        <w:t>и</w:t>
      </w:r>
      <w:r>
        <w:rPr>
          <w:color w:val="231F20"/>
          <w:spacing w:val="-9"/>
        </w:rPr>
        <w:t> </w:t>
      </w:r>
      <w:r>
        <w:rPr>
          <w:color w:val="231F20"/>
        </w:rPr>
        <w:t>регионалног</w:t>
      </w:r>
      <w:r>
        <w:rPr>
          <w:color w:val="231F20"/>
          <w:spacing w:val="-9"/>
        </w:rPr>
        <w:t> </w:t>
      </w:r>
      <w:r>
        <w:rPr>
          <w:color w:val="231F20"/>
        </w:rPr>
        <w:t>значаја,</w:t>
      </w:r>
      <w:r>
        <w:rPr>
          <w:color w:val="231F20"/>
          <w:spacing w:val="-8"/>
        </w:rPr>
        <w:t> </w:t>
      </w:r>
      <w:r>
        <w:rPr>
          <w:color w:val="231F20"/>
        </w:rPr>
        <w:t>као</w:t>
      </w:r>
      <w:r>
        <w:rPr>
          <w:color w:val="231F20"/>
          <w:spacing w:val="-8"/>
        </w:rPr>
        <w:t> </w:t>
      </w:r>
      <w:r>
        <w:rPr>
          <w:color w:val="231F20"/>
        </w:rPr>
        <w:t>и са мрежом европских</w:t>
      </w:r>
      <w:r>
        <w:rPr>
          <w:color w:val="231F20"/>
          <w:spacing w:val="-1"/>
        </w:rPr>
        <w:t> </w:t>
      </w:r>
      <w:r>
        <w:rPr>
          <w:color w:val="231F20"/>
        </w:rPr>
        <w:t>путева;</w:t>
      </w:r>
    </w:p>
    <w:p>
      <w:pPr>
        <w:pStyle w:val="BodyText"/>
        <w:spacing w:line="232" w:lineRule="auto" w:before="2"/>
        <w:ind w:left="244" w:right="126" w:firstLine="396"/>
      </w:pPr>
      <w:r>
        <w:rPr>
          <w:color w:val="231F20"/>
          <w:w w:val="66"/>
        </w:rPr>
        <w:t> </w:t>
      </w:r>
      <w:r>
        <w:rPr>
          <w:color w:val="231F20"/>
        </w:rPr>
        <w:t>–</w:t>
      </w:r>
      <w:r>
        <w:rPr>
          <w:color w:val="231F20"/>
          <w:spacing w:val="-9"/>
        </w:rPr>
        <w:t> </w:t>
      </w:r>
      <w:r>
        <w:rPr>
          <w:color w:val="231F20"/>
        </w:rPr>
        <w:t>довођење</w:t>
      </w:r>
      <w:r>
        <w:rPr>
          <w:color w:val="231F20"/>
          <w:spacing w:val="-9"/>
        </w:rPr>
        <w:t> </w:t>
      </w:r>
      <w:r>
        <w:rPr>
          <w:color w:val="231F20"/>
        </w:rPr>
        <w:t>свих</w:t>
      </w:r>
      <w:r>
        <w:rPr>
          <w:color w:val="231F20"/>
          <w:spacing w:val="-8"/>
        </w:rPr>
        <w:t> </w:t>
      </w:r>
      <w:r>
        <w:rPr>
          <w:color w:val="231F20"/>
        </w:rPr>
        <w:t>путева</w:t>
      </w:r>
      <w:r>
        <w:rPr>
          <w:color w:val="231F20"/>
          <w:spacing w:val="-9"/>
        </w:rPr>
        <w:t> </w:t>
      </w:r>
      <w:r>
        <w:rPr>
          <w:color w:val="231F20"/>
        </w:rPr>
        <w:t>I</w:t>
      </w:r>
      <w:r>
        <w:rPr>
          <w:color w:val="231F20"/>
          <w:spacing w:val="-8"/>
        </w:rPr>
        <w:t> </w:t>
      </w:r>
      <w:r>
        <w:rPr>
          <w:color w:val="231F20"/>
        </w:rPr>
        <w:t>и</w:t>
      </w:r>
      <w:r>
        <w:rPr>
          <w:color w:val="231F20"/>
          <w:spacing w:val="-9"/>
        </w:rPr>
        <w:t> </w:t>
      </w:r>
      <w:r>
        <w:rPr>
          <w:color w:val="231F20"/>
        </w:rPr>
        <w:t>II</w:t>
      </w:r>
      <w:r>
        <w:rPr>
          <w:color w:val="231F20"/>
          <w:spacing w:val="-9"/>
        </w:rPr>
        <w:t> </w:t>
      </w:r>
      <w:r>
        <w:rPr>
          <w:color w:val="231F20"/>
        </w:rPr>
        <w:t>реда</w:t>
      </w:r>
      <w:r>
        <w:rPr>
          <w:color w:val="231F20"/>
          <w:spacing w:val="-8"/>
        </w:rPr>
        <w:t> </w:t>
      </w:r>
      <w:r>
        <w:rPr>
          <w:color w:val="231F20"/>
        </w:rPr>
        <w:t>и</w:t>
      </w:r>
      <w:r>
        <w:rPr>
          <w:color w:val="231F20"/>
          <w:spacing w:val="-9"/>
        </w:rPr>
        <w:t> </w:t>
      </w:r>
      <w:r>
        <w:rPr>
          <w:color w:val="231F20"/>
        </w:rPr>
        <w:t>пруга</w:t>
      </w:r>
      <w:r>
        <w:rPr>
          <w:color w:val="231F20"/>
          <w:spacing w:val="-9"/>
        </w:rPr>
        <w:t> </w:t>
      </w:r>
      <w:r>
        <w:rPr>
          <w:color w:val="231F20"/>
        </w:rPr>
        <w:t>у</w:t>
      </w:r>
      <w:r>
        <w:rPr>
          <w:color w:val="231F20"/>
          <w:spacing w:val="-9"/>
        </w:rPr>
        <w:t> </w:t>
      </w:r>
      <w:r>
        <w:rPr>
          <w:color w:val="231F20"/>
        </w:rPr>
        <w:t>стање</w:t>
      </w:r>
      <w:r>
        <w:rPr>
          <w:color w:val="231F20"/>
          <w:spacing w:val="-9"/>
        </w:rPr>
        <w:t> </w:t>
      </w:r>
      <w:r>
        <w:rPr>
          <w:color w:val="231F20"/>
          <w:spacing w:val="-3"/>
        </w:rPr>
        <w:t>које</w:t>
      </w:r>
      <w:r>
        <w:rPr>
          <w:color w:val="231F20"/>
          <w:spacing w:val="-9"/>
        </w:rPr>
        <w:t> </w:t>
      </w:r>
      <w:r>
        <w:rPr>
          <w:color w:val="231F20"/>
        </w:rPr>
        <w:t>омогу- ћава брзе и ефикасне</w:t>
      </w:r>
      <w:r>
        <w:rPr>
          <w:color w:val="231F20"/>
          <w:spacing w:val="-3"/>
        </w:rPr>
        <w:t> </w:t>
      </w:r>
      <w:r>
        <w:rPr>
          <w:color w:val="231F20"/>
        </w:rPr>
        <w:t>услуге;</w:t>
      </w:r>
    </w:p>
    <w:p>
      <w:pPr>
        <w:pStyle w:val="BodyText"/>
        <w:spacing w:line="232" w:lineRule="auto"/>
        <w:ind w:left="244" w:right="125" w:firstLine="396"/>
      </w:pPr>
      <w:r>
        <w:rPr>
          <w:color w:val="231F20"/>
          <w:w w:val="66"/>
        </w:rPr>
        <w:t> </w:t>
      </w:r>
      <w:r>
        <w:rPr>
          <w:color w:val="231F20"/>
        </w:rPr>
        <w:t>–</w:t>
      </w:r>
      <w:r>
        <w:rPr>
          <w:color w:val="231F20"/>
          <w:spacing w:val="-7"/>
        </w:rPr>
        <w:t> </w:t>
      </w:r>
      <w:r>
        <w:rPr>
          <w:color w:val="231F20"/>
        </w:rPr>
        <w:t>унапређење</w:t>
      </w:r>
      <w:r>
        <w:rPr>
          <w:color w:val="231F20"/>
          <w:spacing w:val="-7"/>
        </w:rPr>
        <w:t> </w:t>
      </w:r>
      <w:r>
        <w:rPr>
          <w:color w:val="231F20"/>
        </w:rPr>
        <w:t>железничког</w:t>
      </w:r>
      <w:r>
        <w:rPr>
          <w:color w:val="231F20"/>
          <w:spacing w:val="-7"/>
        </w:rPr>
        <w:t> </w:t>
      </w:r>
      <w:r>
        <w:rPr>
          <w:color w:val="231F20"/>
        </w:rPr>
        <w:t>саобраћаја</w:t>
      </w:r>
      <w:r>
        <w:rPr>
          <w:color w:val="231F20"/>
          <w:spacing w:val="-7"/>
        </w:rPr>
        <w:t> </w:t>
      </w:r>
      <w:r>
        <w:rPr>
          <w:color w:val="231F20"/>
        </w:rPr>
        <w:t>и</w:t>
      </w:r>
      <w:r>
        <w:rPr>
          <w:color w:val="231F20"/>
          <w:spacing w:val="-7"/>
        </w:rPr>
        <w:t> </w:t>
      </w:r>
      <w:r>
        <w:rPr>
          <w:color w:val="231F20"/>
        </w:rPr>
        <w:t>реафирмација</w:t>
      </w:r>
      <w:r>
        <w:rPr>
          <w:color w:val="231F20"/>
          <w:spacing w:val="-7"/>
        </w:rPr>
        <w:t> </w:t>
      </w:r>
      <w:r>
        <w:rPr>
          <w:color w:val="231F20"/>
        </w:rPr>
        <w:t>њеног значаја и </w:t>
      </w:r>
      <w:r>
        <w:rPr>
          <w:color w:val="231F20"/>
          <w:spacing w:val="-3"/>
        </w:rPr>
        <w:t>улоге </w:t>
      </w:r>
      <w:r>
        <w:rPr>
          <w:color w:val="231F20"/>
        </w:rPr>
        <w:t>у укупном транспортном</w:t>
      </w:r>
      <w:r>
        <w:rPr>
          <w:color w:val="231F20"/>
          <w:spacing w:val="-3"/>
        </w:rPr>
        <w:t> </w:t>
      </w:r>
      <w:r>
        <w:rPr>
          <w:color w:val="231F20"/>
        </w:rPr>
        <w:t>систему;</w:t>
      </w:r>
    </w:p>
    <w:p>
      <w:pPr>
        <w:pStyle w:val="BodyText"/>
        <w:spacing w:line="232" w:lineRule="auto" w:before="1"/>
        <w:ind w:left="244" w:right="125" w:firstLine="396"/>
      </w:pPr>
      <w:r>
        <w:rPr>
          <w:color w:val="231F20"/>
          <w:w w:val="66"/>
        </w:rPr>
        <w:t> </w:t>
      </w:r>
      <w:r>
        <w:rPr>
          <w:color w:val="231F20"/>
        </w:rPr>
        <w:t>– развој мултимодалног транспорта заснованог на еконо- мичности, оптимизацији транспортне мреже, повећању укупне транспортне ефикасности, високом нивоу квалитета транспортне услуге, смањењу трошкова, и еколошкој прихватљивости тран- спортног система и</w:t>
      </w:r>
    </w:p>
    <w:p>
      <w:pPr>
        <w:pStyle w:val="BodyText"/>
        <w:spacing w:line="232" w:lineRule="auto" w:before="1"/>
        <w:ind w:left="244" w:right="125" w:firstLine="396"/>
      </w:pPr>
      <w:r>
        <w:rPr>
          <w:color w:val="231F20"/>
          <w:w w:val="66"/>
        </w:rPr>
        <w:t> </w:t>
      </w:r>
      <w:r>
        <w:rPr>
          <w:color w:val="231F20"/>
        </w:rPr>
        <w:t>– формирање ефикасног система на локалном нивоу у циљу активирања природних и привредних потенцијала.</w:t>
      </w:r>
    </w:p>
    <w:p>
      <w:pPr>
        <w:pStyle w:val="BodyText"/>
        <w:spacing w:line="232" w:lineRule="auto" w:before="1"/>
        <w:ind w:left="244" w:right="125" w:firstLine="397"/>
      </w:pPr>
      <w:r>
        <w:rPr>
          <w:color w:val="231F20"/>
        </w:rPr>
        <w:t>Предвиђа</w:t>
      </w:r>
      <w:r>
        <w:rPr>
          <w:color w:val="231F20"/>
          <w:spacing w:val="-8"/>
        </w:rPr>
        <w:t> </w:t>
      </w:r>
      <w:r>
        <w:rPr>
          <w:color w:val="231F20"/>
        </w:rPr>
        <w:t>се</w:t>
      </w:r>
      <w:r>
        <w:rPr>
          <w:color w:val="231F20"/>
          <w:spacing w:val="-8"/>
        </w:rPr>
        <w:t> </w:t>
      </w:r>
      <w:r>
        <w:rPr>
          <w:color w:val="231F20"/>
        </w:rPr>
        <w:t>да</w:t>
      </w:r>
      <w:r>
        <w:rPr>
          <w:color w:val="231F20"/>
          <w:spacing w:val="-8"/>
        </w:rPr>
        <w:t> </w:t>
      </w:r>
      <w:r>
        <w:rPr>
          <w:color w:val="231F20"/>
        </w:rPr>
        <w:t>ће</w:t>
      </w:r>
      <w:r>
        <w:rPr>
          <w:color w:val="231F20"/>
          <w:spacing w:val="-8"/>
        </w:rPr>
        <w:t> </w:t>
      </w:r>
      <w:r>
        <w:rPr>
          <w:color w:val="231F20"/>
        </w:rPr>
        <w:t>се</w:t>
      </w:r>
      <w:r>
        <w:rPr>
          <w:color w:val="231F20"/>
          <w:spacing w:val="-8"/>
        </w:rPr>
        <w:t> </w:t>
      </w:r>
      <w:r>
        <w:rPr>
          <w:color w:val="231F20"/>
        </w:rPr>
        <w:t>саобраћај</w:t>
      </w:r>
      <w:r>
        <w:rPr>
          <w:color w:val="231F20"/>
          <w:spacing w:val="-8"/>
        </w:rPr>
        <w:t> </w:t>
      </w:r>
      <w:r>
        <w:rPr>
          <w:color w:val="231F20"/>
        </w:rPr>
        <w:t>у</w:t>
      </w:r>
      <w:r>
        <w:rPr>
          <w:color w:val="231F20"/>
          <w:spacing w:val="-8"/>
        </w:rPr>
        <w:t> </w:t>
      </w:r>
      <w:r>
        <w:rPr>
          <w:color w:val="231F20"/>
        </w:rPr>
        <w:t>свим</w:t>
      </w:r>
      <w:r>
        <w:rPr>
          <w:color w:val="231F20"/>
          <w:spacing w:val="-8"/>
        </w:rPr>
        <w:t> </w:t>
      </w:r>
      <w:r>
        <w:rPr>
          <w:color w:val="231F20"/>
        </w:rPr>
        <w:t>појавним</w:t>
      </w:r>
      <w:r>
        <w:rPr>
          <w:color w:val="231F20"/>
          <w:spacing w:val="-8"/>
        </w:rPr>
        <w:t> </w:t>
      </w:r>
      <w:r>
        <w:rPr>
          <w:color w:val="231F20"/>
        </w:rPr>
        <w:t>облицима</w:t>
      </w:r>
      <w:r>
        <w:rPr>
          <w:color w:val="231F20"/>
          <w:spacing w:val="-8"/>
        </w:rPr>
        <w:t> </w:t>
      </w:r>
      <w:r>
        <w:rPr>
          <w:color w:val="231F20"/>
        </w:rPr>
        <w:t>ин- тензивирати у будућности. Планирани развој и повећање живот- ног</w:t>
      </w:r>
      <w:r>
        <w:rPr>
          <w:color w:val="231F20"/>
          <w:spacing w:val="-6"/>
        </w:rPr>
        <w:t> </w:t>
      </w:r>
      <w:r>
        <w:rPr>
          <w:color w:val="231F20"/>
        </w:rPr>
        <w:t>стандарда</w:t>
      </w:r>
      <w:r>
        <w:rPr>
          <w:color w:val="231F20"/>
          <w:spacing w:val="-6"/>
        </w:rPr>
        <w:t> </w:t>
      </w:r>
      <w:r>
        <w:rPr>
          <w:color w:val="231F20"/>
        </w:rPr>
        <w:t>утицаће</w:t>
      </w:r>
      <w:r>
        <w:rPr>
          <w:color w:val="231F20"/>
          <w:spacing w:val="-6"/>
        </w:rPr>
        <w:t> </w:t>
      </w:r>
      <w:r>
        <w:rPr>
          <w:color w:val="231F20"/>
        </w:rPr>
        <w:t>на</w:t>
      </w:r>
      <w:r>
        <w:rPr>
          <w:color w:val="231F20"/>
          <w:spacing w:val="-6"/>
        </w:rPr>
        <w:t> </w:t>
      </w:r>
      <w:r>
        <w:rPr>
          <w:color w:val="231F20"/>
        </w:rPr>
        <w:t>промену</w:t>
      </w:r>
      <w:r>
        <w:rPr>
          <w:color w:val="231F20"/>
          <w:spacing w:val="-6"/>
        </w:rPr>
        <w:t> </w:t>
      </w:r>
      <w:r>
        <w:rPr>
          <w:color w:val="231F20"/>
        </w:rPr>
        <w:t>расподеле</w:t>
      </w:r>
      <w:r>
        <w:rPr>
          <w:color w:val="231F20"/>
          <w:spacing w:val="-6"/>
        </w:rPr>
        <w:t> </w:t>
      </w:r>
      <w:r>
        <w:rPr>
          <w:color w:val="231F20"/>
        </w:rPr>
        <w:t>путовања</w:t>
      </w:r>
      <w:r>
        <w:rPr>
          <w:color w:val="231F20"/>
          <w:spacing w:val="-6"/>
        </w:rPr>
        <w:t> </w:t>
      </w:r>
      <w:r>
        <w:rPr>
          <w:color w:val="231F20"/>
        </w:rPr>
        <w:t>по</w:t>
      </w:r>
      <w:r>
        <w:rPr>
          <w:color w:val="231F20"/>
          <w:spacing w:val="-6"/>
        </w:rPr>
        <w:t> </w:t>
      </w:r>
      <w:r>
        <w:rPr>
          <w:color w:val="231F20"/>
        </w:rPr>
        <w:t>видови- ма</w:t>
      </w:r>
      <w:r>
        <w:rPr>
          <w:color w:val="231F20"/>
          <w:spacing w:val="-6"/>
        </w:rPr>
        <w:t> </w:t>
      </w:r>
      <w:r>
        <w:rPr>
          <w:color w:val="231F20"/>
        </w:rPr>
        <w:t>и</w:t>
      </w:r>
      <w:r>
        <w:rPr>
          <w:color w:val="231F20"/>
          <w:spacing w:val="-6"/>
        </w:rPr>
        <w:t> </w:t>
      </w:r>
      <w:r>
        <w:rPr>
          <w:color w:val="231F20"/>
        </w:rPr>
        <w:t>сврхама,</w:t>
      </w:r>
      <w:r>
        <w:rPr>
          <w:color w:val="231F20"/>
          <w:spacing w:val="-6"/>
        </w:rPr>
        <w:t> </w:t>
      </w:r>
      <w:r>
        <w:rPr>
          <w:color w:val="231F20"/>
        </w:rPr>
        <w:t>што</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одразити</w:t>
      </w:r>
      <w:r>
        <w:rPr>
          <w:color w:val="231F20"/>
          <w:spacing w:val="-6"/>
        </w:rPr>
        <w:t> </w:t>
      </w:r>
      <w:r>
        <w:rPr>
          <w:color w:val="231F20"/>
        </w:rPr>
        <w:t>на</w:t>
      </w:r>
      <w:r>
        <w:rPr>
          <w:color w:val="231F20"/>
          <w:spacing w:val="-6"/>
        </w:rPr>
        <w:t> </w:t>
      </w:r>
      <w:r>
        <w:rPr>
          <w:color w:val="231F20"/>
        </w:rPr>
        <w:t>саобраћај</w:t>
      </w:r>
      <w:r>
        <w:rPr>
          <w:color w:val="231F20"/>
          <w:spacing w:val="-6"/>
        </w:rPr>
        <w:t> </w:t>
      </w:r>
      <w:r>
        <w:rPr>
          <w:color w:val="231F20"/>
        </w:rPr>
        <w:t>у</w:t>
      </w:r>
      <w:r>
        <w:rPr>
          <w:color w:val="231F20"/>
          <w:spacing w:val="-6"/>
        </w:rPr>
        <w:t> </w:t>
      </w:r>
      <w:r>
        <w:rPr>
          <w:color w:val="231F20"/>
        </w:rPr>
        <w:t>целини.</w:t>
      </w:r>
      <w:r>
        <w:rPr>
          <w:color w:val="231F20"/>
          <w:spacing w:val="-6"/>
        </w:rPr>
        <w:t> </w:t>
      </w:r>
      <w:r>
        <w:rPr>
          <w:color w:val="231F20"/>
        </w:rPr>
        <w:t>Повећање мобилности и степена моторизације довешће до повећања укуп- ног броја путовања, што ће утицати на оптерећење путне мреже. Са</w:t>
      </w:r>
      <w:r>
        <w:rPr>
          <w:color w:val="231F20"/>
          <w:spacing w:val="-7"/>
        </w:rPr>
        <w:t> </w:t>
      </w:r>
      <w:r>
        <w:rPr>
          <w:color w:val="231F20"/>
        </w:rPr>
        <w:t>друге</w:t>
      </w:r>
      <w:r>
        <w:rPr>
          <w:color w:val="231F20"/>
          <w:spacing w:val="-7"/>
        </w:rPr>
        <w:t> </w:t>
      </w:r>
      <w:r>
        <w:rPr>
          <w:color w:val="231F20"/>
        </w:rPr>
        <w:t>стране,</w:t>
      </w:r>
      <w:r>
        <w:rPr>
          <w:color w:val="231F20"/>
          <w:spacing w:val="-7"/>
        </w:rPr>
        <w:t> </w:t>
      </w:r>
      <w:r>
        <w:rPr>
          <w:color w:val="231F20"/>
        </w:rPr>
        <w:t>наставак</w:t>
      </w:r>
      <w:r>
        <w:rPr>
          <w:color w:val="231F20"/>
          <w:spacing w:val="-7"/>
        </w:rPr>
        <w:t> </w:t>
      </w:r>
      <w:r>
        <w:rPr>
          <w:color w:val="231F20"/>
        </w:rPr>
        <w:t>развоја</w:t>
      </w:r>
      <w:r>
        <w:rPr>
          <w:color w:val="231F20"/>
          <w:spacing w:val="-7"/>
        </w:rPr>
        <w:t> </w:t>
      </w:r>
      <w:r>
        <w:rPr>
          <w:color w:val="231F20"/>
        </w:rPr>
        <w:t>рударских</w:t>
      </w:r>
      <w:r>
        <w:rPr>
          <w:color w:val="231F20"/>
          <w:spacing w:val="-7"/>
        </w:rPr>
        <w:t> </w:t>
      </w:r>
      <w:r>
        <w:rPr>
          <w:color w:val="231F20"/>
        </w:rPr>
        <w:t>активности</w:t>
      </w:r>
      <w:r>
        <w:rPr>
          <w:color w:val="231F20"/>
          <w:spacing w:val="-7"/>
        </w:rPr>
        <w:t> </w:t>
      </w:r>
      <w:r>
        <w:rPr>
          <w:color w:val="231F20"/>
        </w:rPr>
        <w:t>и</w:t>
      </w:r>
      <w:r>
        <w:rPr>
          <w:color w:val="231F20"/>
          <w:spacing w:val="-7"/>
        </w:rPr>
        <w:t> </w:t>
      </w:r>
      <w:r>
        <w:rPr>
          <w:color w:val="231F20"/>
        </w:rPr>
        <w:t>укупног развоја</w:t>
      </w:r>
      <w:r>
        <w:rPr>
          <w:color w:val="231F20"/>
          <w:spacing w:val="-8"/>
        </w:rPr>
        <w:t> </w:t>
      </w:r>
      <w:r>
        <w:rPr>
          <w:color w:val="231F20"/>
        </w:rPr>
        <w:t>привреде</w:t>
      </w:r>
      <w:r>
        <w:rPr>
          <w:color w:val="231F20"/>
          <w:spacing w:val="-8"/>
        </w:rPr>
        <w:t> </w:t>
      </w:r>
      <w:r>
        <w:rPr>
          <w:color w:val="231F20"/>
        </w:rPr>
        <w:t>захтеваће</w:t>
      </w:r>
      <w:r>
        <w:rPr>
          <w:color w:val="231F20"/>
          <w:spacing w:val="-8"/>
        </w:rPr>
        <w:t> </w:t>
      </w:r>
      <w:r>
        <w:rPr>
          <w:color w:val="231F20"/>
        </w:rPr>
        <w:t>ефикасније,</w:t>
      </w:r>
      <w:r>
        <w:rPr>
          <w:color w:val="231F20"/>
          <w:spacing w:val="-8"/>
        </w:rPr>
        <w:t> </w:t>
      </w:r>
      <w:r>
        <w:rPr>
          <w:color w:val="231F20"/>
        </w:rPr>
        <w:t>масовније</w:t>
      </w:r>
      <w:r>
        <w:rPr>
          <w:color w:val="231F20"/>
          <w:spacing w:val="-8"/>
        </w:rPr>
        <w:t> </w:t>
      </w:r>
      <w:r>
        <w:rPr>
          <w:color w:val="231F20"/>
        </w:rPr>
        <w:t>и</w:t>
      </w:r>
      <w:r>
        <w:rPr>
          <w:color w:val="231F20"/>
          <w:spacing w:val="-8"/>
        </w:rPr>
        <w:t> </w:t>
      </w:r>
      <w:r>
        <w:rPr>
          <w:color w:val="231F20"/>
        </w:rPr>
        <w:t>економски</w:t>
      </w:r>
      <w:r>
        <w:rPr>
          <w:color w:val="231F20"/>
          <w:spacing w:val="-8"/>
        </w:rPr>
        <w:t> </w:t>
      </w:r>
      <w:r>
        <w:rPr>
          <w:color w:val="231F20"/>
        </w:rPr>
        <w:t>ис- плативије системе транспорта робе. На </w:t>
      </w:r>
      <w:r>
        <w:rPr>
          <w:color w:val="231F20"/>
          <w:spacing w:val="-3"/>
        </w:rPr>
        <w:t>Планском </w:t>
      </w:r>
      <w:r>
        <w:rPr>
          <w:color w:val="231F20"/>
        </w:rPr>
        <w:t>подручју посто- ји и значајни потенцијал за интензивнији развој туризма. Имајући у виду </w:t>
      </w:r>
      <w:r>
        <w:rPr>
          <w:color w:val="231F20"/>
          <w:spacing w:val="-2"/>
        </w:rPr>
        <w:t>претходне </w:t>
      </w:r>
      <w:r>
        <w:rPr>
          <w:color w:val="231F20"/>
        </w:rPr>
        <w:t>претпоставке, као оперативни циљеви развоја саобраћајног система Планског подручја могу се</w:t>
      </w:r>
      <w:r>
        <w:rPr>
          <w:color w:val="231F20"/>
          <w:spacing w:val="-15"/>
        </w:rPr>
        <w:t> </w:t>
      </w:r>
      <w:r>
        <w:rPr>
          <w:color w:val="231F20"/>
        </w:rPr>
        <w:t>издвојити:</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right="38" w:firstLine="396"/>
      </w:pPr>
      <w:r>
        <w:rPr/>
        <w:pict>
          <v:line style="position:absolute;mso-position-horizontal-relative:page;mso-position-vertical-relative:page;z-index:2176" from="304.724396pt,11.942451pt" to="304.724396pt,748.950451pt" stroked="true" strokeweight=".6pt" strokecolor="#231f20">
            <v:stroke dashstyle="solid"/>
            <w10:wrap type="none"/>
          </v:line>
        </w:pict>
      </w:r>
      <w:r>
        <w:rPr>
          <w:color w:val="231F20"/>
          <w:w w:val="66"/>
        </w:rPr>
        <w:t> </w:t>
      </w:r>
      <w:r>
        <w:rPr>
          <w:color w:val="231F20"/>
        </w:rPr>
        <w:t>–</w:t>
      </w:r>
      <w:r>
        <w:rPr>
          <w:color w:val="231F20"/>
          <w:spacing w:val="-7"/>
        </w:rPr>
        <w:t> </w:t>
      </w:r>
      <w:r>
        <w:rPr>
          <w:color w:val="231F20"/>
        </w:rPr>
        <w:t>креирање</w:t>
      </w:r>
      <w:r>
        <w:rPr>
          <w:color w:val="231F20"/>
          <w:spacing w:val="-7"/>
        </w:rPr>
        <w:t> </w:t>
      </w:r>
      <w:r>
        <w:rPr>
          <w:color w:val="231F20"/>
        </w:rPr>
        <w:t>таквог</w:t>
      </w:r>
      <w:r>
        <w:rPr>
          <w:color w:val="231F20"/>
          <w:spacing w:val="-7"/>
        </w:rPr>
        <w:t> </w:t>
      </w:r>
      <w:r>
        <w:rPr>
          <w:color w:val="231F20"/>
        </w:rPr>
        <w:t>система</w:t>
      </w:r>
      <w:r>
        <w:rPr>
          <w:color w:val="231F20"/>
          <w:spacing w:val="-7"/>
        </w:rPr>
        <w:t> </w:t>
      </w:r>
      <w:r>
        <w:rPr>
          <w:color w:val="231F20"/>
        </w:rPr>
        <w:t>саобраћаја</w:t>
      </w:r>
      <w:r>
        <w:rPr>
          <w:color w:val="231F20"/>
          <w:spacing w:val="-7"/>
        </w:rPr>
        <w:t> </w:t>
      </w:r>
      <w:r>
        <w:rPr>
          <w:color w:val="231F20"/>
          <w:spacing w:val="-3"/>
        </w:rPr>
        <w:t>који</w:t>
      </w:r>
      <w:r>
        <w:rPr>
          <w:color w:val="231F20"/>
          <w:spacing w:val="-7"/>
        </w:rPr>
        <w:t> </w:t>
      </w:r>
      <w:r>
        <w:rPr>
          <w:color w:val="231F20"/>
        </w:rPr>
        <w:t>омогућава</w:t>
      </w:r>
      <w:r>
        <w:rPr>
          <w:color w:val="231F20"/>
          <w:spacing w:val="-7"/>
        </w:rPr>
        <w:t> </w:t>
      </w:r>
      <w:r>
        <w:rPr>
          <w:color w:val="231F20"/>
        </w:rPr>
        <w:t>одржи- </w:t>
      </w:r>
      <w:r>
        <w:rPr>
          <w:color w:val="231F20"/>
          <w:spacing w:val="-4"/>
        </w:rPr>
        <w:t>ву</w:t>
      </w:r>
      <w:r>
        <w:rPr>
          <w:color w:val="231F20"/>
        </w:rPr>
        <w:t> мобилност;</w:t>
      </w:r>
    </w:p>
    <w:p>
      <w:pPr>
        <w:pStyle w:val="BodyText"/>
        <w:spacing w:line="232" w:lineRule="auto"/>
        <w:ind w:right="38" w:firstLine="396"/>
      </w:pPr>
      <w:r>
        <w:rPr>
          <w:color w:val="231F20"/>
          <w:w w:val="66"/>
        </w:rPr>
        <w:t> </w:t>
      </w:r>
      <w:r>
        <w:rPr>
          <w:color w:val="231F20"/>
        </w:rPr>
        <w:t>– подсистеме саобраћајног система развијати на такав начин да се омогући одговарајућа доступност свим деловима подручја у складу са плановима вишег реда а сразмерно економским могућ- ностима државе и локалне заједнице;</w:t>
      </w:r>
    </w:p>
    <w:p>
      <w:pPr>
        <w:pStyle w:val="BodyText"/>
        <w:spacing w:line="232" w:lineRule="auto"/>
        <w:ind w:right="38" w:firstLine="397"/>
      </w:pPr>
      <w:r>
        <w:rPr>
          <w:color w:val="231F20"/>
          <w:w w:val="66"/>
        </w:rPr>
        <w:t> </w:t>
      </w:r>
      <w:r>
        <w:rPr>
          <w:color w:val="231F20"/>
        </w:rPr>
        <w:t>– растерећење државних путева II реда </w:t>
      </w:r>
      <w:r>
        <w:rPr>
          <w:color w:val="231F20"/>
          <w:spacing w:val="-3"/>
        </w:rPr>
        <w:t>којима </w:t>
      </w:r>
      <w:r>
        <w:rPr>
          <w:color w:val="231F20"/>
        </w:rPr>
        <w:t>се остварује веза</w:t>
      </w:r>
      <w:r>
        <w:rPr>
          <w:color w:val="231F20"/>
          <w:spacing w:val="-5"/>
        </w:rPr>
        <w:t> </w:t>
      </w:r>
      <w:r>
        <w:rPr>
          <w:color w:val="231F20"/>
        </w:rPr>
        <w:t>са</w:t>
      </w:r>
      <w:r>
        <w:rPr>
          <w:color w:val="231F20"/>
          <w:spacing w:val="-5"/>
        </w:rPr>
        <w:t> </w:t>
      </w:r>
      <w:r>
        <w:rPr>
          <w:color w:val="231F20"/>
        </w:rPr>
        <w:t>Костолцем</w:t>
      </w:r>
      <w:r>
        <w:rPr>
          <w:color w:val="231F20"/>
          <w:spacing w:val="-4"/>
        </w:rPr>
        <w:t> </w:t>
      </w:r>
      <w:r>
        <w:rPr>
          <w:color w:val="231F20"/>
          <w:spacing w:val="-3"/>
        </w:rPr>
        <w:t>од</w:t>
      </w:r>
      <w:r>
        <w:rPr>
          <w:color w:val="231F20"/>
          <w:spacing w:val="-5"/>
        </w:rPr>
        <w:t> </w:t>
      </w:r>
      <w:r>
        <w:rPr>
          <w:color w:val="231F20"/>
        </w:rPr>
        <w:t>транзитних</w:t>
      </w:r>
      <w:r>
        <w:rPr>
          <w:color w:val="231F20"/>
          <w:spacing w:val="-5"/>
        </w:rPr>
        <w:t> </w:t>
      </w:r>
      <w:r>
        <w:rPr>
          <w:color w:val="231F20"/>
        </w:rPr>
        <w:t>теретних</w:t>
      </w:r>
      <w:r>
        <w:rPr>
          <w:color w:val="231F20"/>
          <w:spacing w:val="-5"/>
        </w:rPr>
        <w:t> </w:t>
      </w:r>
      <w:r>
        <w:rPr>
          <w:color w:val="231F20"/>
          <w:spacing w:val="-3"/>
        </w:rPr>
        <w:t>токова</w:t>
      </w:r>
      <w:r>
        <w:rPr>
          <w:color w:val="231F20"/>
          <w:spacing w:val="-5"/>
        </w:rPr>
        <w:t> </w:t>
      </w:r>
      <w:r>
        <w:rPr>
          <w:color w:val="231F20"/>
        </w:rPr>
        <w:t>изградњом</w:t>
      </w:r>
      <w:r>
        <w:rPr>
          <w:color w:val="231F20"/>
          <w:spacing w:val="-5"/>
        </w:rPr>
        <w:t> </w:t>
      </w:r>
      <w:r>
        <w:rPr>
          <w:color w:val="231F20"/>
        </w:rPr>
        <w:t>и</w:t>
      </w:r>
      <w:r>
        <w:rPr>
          <w:color w:val="231F20"/>
          <w:spacing w:val="-5"/>
        </w:rPr>
        <w:t> </w:t>
      </w:r>
      <w:r>
        <w:rPr>
          <w:color w:val="231F20"/>
        </w:rPr>
        <w:t>ре- конструкцијом алтернативних праваца, што ће омогућити подиза- ње квалитета и општих услова живота</w:t>
      </w:r>
      <w:r>
        <w:rPr>
          <w:color w:val="231F20"/>
          <w:spacing w:val="-8"/>
        </w:rPr>
        <w:t> </w:t>
      </w:r>
      <w:r>
        <w:rPr>
          <w:color w:val="231F20"/>
        </w:rPr>
        <w:t>становништва;</w:t>
      </w:r>
    </w:p>
    <w:p>
      <w:pPr>
        <w:pStyle w:val="BodyText"/>
        <w:spacing w:line="232" w:lineRule="auto"/>
        <w:ind w:right="38" w:firstLine="396"/>
      </w:pPr>
      <w:r>
        <w:rPr>
          <w:color w:val="231F20"/>
          <w:w w:val="66"/>
        </w:rPr>
        <w:t> </w:t>
      </w:r>
      <w:r>
        <w:rPr>
          <w:color w:val="231F20"/>
        </w:rPr>
        <w:t>– искоришћење предности проласка саобраћајног коридора VII</w:t>
      </w:r>
      <w:r>
        <w:rPr>
          <w:color w:val="231F20"/>
          <w:spacing w:val="-8"/>
        </w:rPr>
        <w:t> </w:t>
      </w:r>
      <w:r>
        <w:rPr>
          <w:color w:val="231F20"/>
        </w:rPr>
        <w:t>(река</w:t>
      </w:r>
      <w:r>
        <w:rPr>
          <w:color w:val="231F20"/>
          <w:spacing w:val="-8"/>
        </w:rPr>
        <w:t> </w:t>
      </w:r>
      <w:r>
        <w:rPr>
          <w:color w:val="231F20"/>
        </w:rPr>
        <w:t>Дунав)</w:t>
      </w:r>
      <w:r>
        <w:rPr>
          <w:color w:val="231F20"/>
          <w:spacing w:val="-8"/>
        </w:rPr>
        <w:t> </w:t>
      </w:r>
      <w:r>
        <w:rPr>
          <w:color w:val="231F20"/>
        </w:rPr>
        <w:t>кроз</w:t>
      </w:r>
      <w:r>
        <w:rPr>
          <w:color w:val="231F20"/>
          <w:spacing w:val="-8"/>
        </w:rPr>
        <w:t> </w:t>
      </w:r>
      <w:r>
        <w:rPr>
          <w:color w:val="231F20"/>
        </w:rPr>
        <w:t>подручје;</w:t>
      </w:r>
      <w:r>
        <w:rPr>
          <w:color w:val="231F20"/>
          <w:spacing w:val="-8"/>
        </w:rPr>
        <w:t> </w:t>
      </w:r>
      <w:r>
        <w:rPr>
          <w:color w:val="231F20"/>
        </w:rPr>
        <w:t>изградња</w:t>
      </w:r>
      <w:r>
        <w:rPr>
          <w:color w:val="231F20"/>
          <w:spacing w:val="-8"/>
        </w:rPr>
        <w:t> </w:t>
      </w:r>
      <w:r>
        <w:rPr>
          <w:color w:val="231F20"/>
        </w:rPr>
        <w:t>саобраћајнице</w:t>
      </w:r>
      <w:r>
        <w:rPr>
          <w:color w:val="231F20"/>
          <w:spacing w:val="-8"/>
        </w:rPr>
        <w:t> </w:t>
      </w:r>
      <w:r>
        <w:rPr>
          <w:color w:val="231F20"/>
        </w:rPr>
        <w:t>регионал- ног карактера, изградња </w:t>
      </w:r>
      <w:r>
        <w:rPr>
          <w:color w:val="231F20"/>
          <w:spacing w:val="-3"/>
        </w:rPr>
        <w:t>пешачко </w:t>
      </w:r>
      <w:r>
        <w:rPr>
          <w:color w:val="231F20"/>
        </w:rPr>
        <w:t>бициклистичких стаза, изградња нових и рехабилитација постојећих капацитета речног транспорта (робна и путничка пристаништа,</w:t>
      </w:r>
      <w:r>
        <w:rPr>
          <w:color w:val="231F20"/>
          <w:spacing w:val="-4"/>
        </w:rPr>
        <w:t> </w:t>
      </w:r>
      <w:r>
        <w:rPr>
          <w:color w:val="231F20"/>
        </w:rPr>
        <w:t>марине);</w:t>
      </w:r>
    </w:p>
    <w:p>
      <w:pPr>
        <w:pStyle w:val="BodyText"/>
        <w:spacing w:line="232" w:lineRule="auto"/>
        <w:ind w:left="169" w:right="38" w:firstLine="397"/>
      </w:pPr>
      <w:r>
        <w:rPr>
          <w:color w:val="231F20"/>
          <w:w w:val="66"/>
        </w:rPr>
        <w:t> </w:t>
      </w:r>
      <w:r>
        <w:rPr>
          <w:color w:val="231F20"/>
        </w:rPr>
        <w:t>– рехабилитација, ревитализација и реконструкција мреже државних путева II реда и саобраћајних објеката; изградња оба- везних тротоара на деоницама државних путева који пролазе кроз насељена места;</w:t>
      </w:r>
    </w:p>
    <w:p>
      <w:pPr>
        <w:pStyle w:val="BodyText"/>
        <w:spacing w:line="232" w:lineRule="auto"/>
        <w:ind w:left="169" w:right="38" w:firstLine="397"/>
      </w:pPr>
      <w:r>
        <w:rPr>
          <w:color w:val="231F20"/>
          <w:w w:val="66"/>
        </w:rPr>
        <w:t> </w:t>
      </w:r>
      <w:r>
        <w:rPr>
          <w:color w:val="231F20"/>
        </w:rPr>
        <w:t>– међусобно повезивање насеља, као и њихово функционал- но повезивање са центром региона; унапређење и развој мреже општинских путева кроз изградњу, реконструкцију и даљу модер- низацију коловоза;</w:t>
      </w:r>
    </w:p>
    <w:p>
      <w:pPr>
        <w:pStyle w:val="BodyText"/>
        <w:spacing w:line="232" w:lineRule="auto"/>
        <w:ind w:left="169" w:right="39" w:firstLine="396"/>
      </w:pPr>
      <w:r>
        <w:rPr>
          <w:color w:val="231F20"/>
          <w:w w:val="66"/>
        </w:rPr>
        <w:t> </w:t>
      </w:r>
      <w:r>
        <w:rPr>
          <w:color w:val="231F20"/>
        </w:rPr>
        <w:t>– стандардизација и модернизација техничких елемената, сигнализације и режима саобраћаја;</w:t>
      </w:r>
    </w:p>
    <w:p>
      <w:pPr>
        <w:pStyle w:val="BodyText"/>
        <w:spacing w:line="199" w:lineRule="exact"/>
        <w:ind w:left="566"/>
        <w:jc w:val="left"/>
      </w:pPr>
      <w:r>
        <w:rPr>
          <w:color w:val="231F20"/>
          <w:w w:val="66"/>
        </w:rPr>
        <w:t> </w:t>
      </w:r>
      <w:r>
        <w:rPr>
          <w:color w:val="231F20"/>
        </w:rPr>
        <w:t>– ефикасно и рационално коришћење превозних капацитета;</w:t>
      </w:r>
    </w:p>
    <w:p>
      <w:pPr>
        <w:pStyle w:val="BodyText"/>
        <w:spacing w:line="232" w:lineRule="auto"/>
        <w:ind w:left="169" w:right="39" w:firstLine="397"/>
      </w:pPr>
      <w:r>
        <w:rPr>
          <w:color w:val="231F20"/>
          <w:w w:val="66"/>
        </w:rPr>
        <w:t> </w:t>
      </w:r>
      <w:r>
        <w:rPr>
          <w:color w:val="231F20"/>
        </w:rPr>
        <w:t>– реконструкција постојећих железничких капацитета, из- градња нових капацитета за потребе развоја костолачког угљеног басена;</w:t>
      </w:r>
    </w:p>
    <w:p>
      <w:pPr>
        <w:pStyle w:val="BodyText"/>
        <w:spacing w:line="232" w:lineRule="auto"/>
        <w:ind w:left="169" w:right="39" w:firstLine="396"/>
      </w:pPr>
      <w:r>
        <w:rPr>
          <w:color w:val="231F20"/>
          <w:w w:val="66"/>
        </w:rPr>
        <w:t> </w:t>
      </w:r>
      <w:r>
        <w:rPr>
          <w:color w:val="231F20"/>
        </w:rPr>
        <w:t>– даљи развој мреже линија приградског превоза у складу са потребама становништва;</w:t>
      </w:r>
    </w:p>
    <w:p>
      <w:pPr>
        <w:pStyle w:val="BodyText"/>
        <w:spacing w:line="199" w:lineRule="exact"/>
        <w:ind w:left="566"/>
        <w:jc w:val="left"/>
      </w:pPr>
      <w:r>
        <w:rPr>
          <w:color w:val="231F20"/>
          <w:w w:val="66"/>
        </w:rPr>
        <w:t> </w:t>
      </w:r>
      <w:r>
        <w:rPr>
          <w:color w:val="231F20"/>
        </w:rPr>
        <w:t>– адекватно опремање стајалишта јавног превоза;</w:t>
      </w:r>
    </w:p>
    <w:p>
      <w:pPr>
        <w:pStyle w:val="BodyText"/>
        <w:spacing w:line="201" w:lineRule="exact"/>
        <w:ind w:left="566"/>
        <w:jc w:val="left"/>
      </w:pPr>
      <w:r>
        <w:rPr>
          <w:color w:val="231F20"/>
          <w:w w:val="66"/>
        </w:rPr>
        <w:t> </w:t>
      </w:r>
      <w:r>
        <w:rPr>
          <w:color w:val="231F20"/>
        </w:rPr>
        <w:t>– даљи развој мреже линија градског превоза путника;</w:t>
      </w:r>
    </w:p>
    <w:p>
      <w:pPr>
        <w:pStyle w:val="BodyText"/>
        <w:spacing w:line="232" w:lineRule="auto" w:before="2"/>
        <w:ind w:left="169" w:right="39" w:firstLine="396"/>
      </w:pPr>
      <w:r>
        <w:rPr>
          <w:color w:val="231F20"/>
          <w:w w:val="66"/>
        </w:rPr>
        <w:t> </w:t>
      </w:r>
      <w:r>
        <w:rPr>
          <w:color w:val="231F20"/>
        </w:rPr>
        <w:t>–</w:t>
      </w:r>
      <w:r>
        <w:rPr>
          <w:color w:val="231F20"/>
          <w:spacing w:val="-10"/>
        </w:rPr>
        <w:t> </w:t>
      </w:r>
      <w:r>
        <w:rPr>
          <w:color w:val="231F20"/>
        </w:rPr>
        <w:t>подизање</w:t>
      </w:r>
      <w:r>
        <w:rPr>
          <w:color w:val="231F20"/>
          <w:spacing w:val="-10"/>
        </w:rPr>
        <w:t> </w:t>
      </w:r>
      <w:r>
        <w:rPr>
          <w:color w:val="231F20"/>
        </w:rPr>
        <w:t>нивоа</w:t>
      </w:r>
      <w:r>
        <w:rPr>
          <w:color w:val="231F20"/>
          <w:spacing w:val="-10"/>
        </w:rPr>
        <w:t> </w:t>
      </w:r>
      <w:r>
        <w:rPr>
          <w:color w:val="231F20"/>
        </w:rPr>
        <w:t>услуге</w:t>
      </w:r>
      <w:r>
        <w:rPr>
          <w:color w:val="231F20"/>
          <w:spacing w:val="-10"/>
        </w:rPr>
        <w:t> </w:t>
      </w:r>
      <w:r>
        <w:rPr>
          <w:color w:val="231F20"/>
        </w:rPr>
        <w:t>и</w:t>
      </w:r>
      <w:r>
        <w:rPr>
          <w:color w:val="231F20"/>
          <w:spacing w:val="-11"/>
        </w:rPr>
        <w:t> </w:t>
      </w:r>
      <w:r>
        <w:rPr>
          <w:color w:val="231F20"/>
        </w:rPr>
        <w:t>повећање</w:t>
      </w:r>
      <w:r>
        <w:rPr>
          <w:color w:val="231F20"/>
          <w:spacing w:val="-10"/>
        </w:rPr>
        <w:t> </w:t>
      </w:r>
      <w:r>
        <w:rPr>
          <w:color w:val="231F20"/>
        </w:rPr>
        <w:t>опште</w:t>
      </w:r>
      <w:r>
        <w:rPr>
          <w:color w:val="231F20"/>
          <w:spacing w:val="-10"/>
        </w:rPr>
        <w:t> </w:t>
      </w:r>
      <w:r>
        <w:rPr>
          <w:color w:val="231F20"/>
        </w:rPr>
        <w:t>безбедности</w:t>
      </w:r>
      <w:r>
        <w:rPr>
          <w:color w:val="231F20"/>
          <w:spacing w:val="-11"/>
        </w:rPr>
        <w:t> </w:t>
      </w:r>
      <w:r>
        <w:rPr>
          <w:color w:val="231F20"/>
        </w:rPr>
        <w:t>у</w:t>
      </w:r>
      <w:r>
        <w:rPr>
          <w:color w:val="231F20"/>
          <w:spacing w:val="-10"/>
        </w:rPr>
        <w:t> </w:t>
      </w:r>
      <w:r>
        <w:rPr>
          <w:color w:val="231F20"/>
        </w:rPr>
        <w:t>са- обраћају</w:t>
      </w:r>
      <w:r>
        <w:rPr>
          <w:color w:val="231F20"/>
          <w:spacing w:val="-1"/>
        </w:rPr>
        <w:t> </w:t>
      </w:r>
      <w:r>
        <w:rPr>
          <w:color w:val="231F20"/>
        </w:rPr>
        <w:t>и</w:t>
      </w:r>
    </w:p>
    <w:p>
      <w:pPr>
        <w:pStyle w:val="BodyText"/>
        <w:spacing w:line="232" w:lineRule="auto"/>
        <w:ind w:left="169" w:right="39" w:firstLine="396"/>
      </w:pPr>
      <w:r>
        <w:rPr>
          <w:color w:val="231F20"/>
          <w:w w:val="66"/>
        </w:rPr>
        <w:t> </w:t>
      </w:r>
      <w:r>
        <w:rPr>
          <w:color w:val="231F20"/>
        </w:rPr>
        <w:t>– стварање информационе базе која ће омогућити даља ис- траживања и мониторинг у области саобраћаја.</w:t>
      </w:r>
    </w:p>
    <w:p>
      <w:pPr>
        <w:pStyle w:val="BodyText"/>
        <w:spacing w:before="164"/>
        <w:ind w:left="811"/>
        <w:jc w:val="left"/>
      </w:pPr>
      <w:r>
        <w:rPr>
          <w:color w:val="231F20"/>
        </w:rPr>
        <w:t>Коришћење вода и водопривреда инфраструктура</w:t>
      </w:r>
    </w:p>
    <w:p>
      <w:pPr>
        <w:pStyle w:val="BodyText"/>
        <w:spacing w:before="4"/>
        <w:ind w:left="0"/>
        <w:jc w:val="left"/>
        <w:rPr>
          <w:sz w:val="17"/>
        </w:rPr>
      </w:pPr>
    </w:p>
    <w:p>
      <w:pPr>
        <w:pStyle w:val="BodyText"/>
        <w:spacing w:line="232" w:lineRule="auto"/>
        <w:ind w:left="169" w:right="39" w:firstLine="396"/>
      </w:pPr>
      <w:r>
        <w:rPr>
          <w:color w:val="231F20"/>
        </w:rPr>
        <w:t>Општи стратешки циљеви у области коришћења и заштите вода су:</w:t>
      </w:r>
    </w:p>
    <w:p>
      <w:pPr>
        <w:pStyle w:val="BodyText"/>
        <w:spacing w:line="232" w:lineRule="auto"/>
        <w:ind w:left="169" w:right="38" w:firstLine="396"/>
      </w:pPr>
      <w:r>
        <w:rPr>
          <w:color w:val="231F20"/>
          <w:w w:val="66"/>
        </w:rPr>
        <w:t> </w:t>
      </w:r>
      <w:r>
        <w:rPr>
          <w:color w:val="231F20"/>
        </w:rPr>
        <w:t>– довршавање и обнова свих објеката за заштиту и уређење тока, обала и приобаља на деоницама два речна система планира- на у оквиру ППРС и ВОС: Дунава у ширем окружењу Планског подручја, и Мораве – у њеном низводном делу;</w:t>
      </w:r>
    </w:p>
    <w:p>
      <w:pPr>
        <w:pStyle w:val="BodyText"/>
        <w:spacing w:line="232" w:lineRule="auto"/>
        <w:ind w:right="38" w:firstLine="396"/>
      </w:pPr>
      <w:r>
        <w:rPr>
          <w:color w:val="231F20"/>
          <w:w w:val="66"/>
        </w:rPr>
        <w:t> </w:t>
      </w:r>
      <w:r>
        <w:rPr>
          <w:color w:val="231F20"/>
        </w:rPr>
        <w:t>– обезбеђење простора свих рударских и енергетских актив- ности у простору Костолца </w:t>
      </w:r>
      <w:r>
        <w:rPr>
          <w:color w:val="231F20"/>
          <w:spacing w:val="-3"/>
        </w:rPr>
        <w:t>од </w:t>
      </w:r>
      <w:r>
        <w:rPr>
          <w:color w:val="231F20"/>
        </w:rPr>
        <w:t>штетног деловања вода, у ширем простору </w:t>
      </w:r>
      <w:r>
        <w:rPr>
          <w:color w:val="231F20"/>
          <w:spacing w:val="-3"/>
        </w:rPr>
        <w:t>од </w:t>
      </w:r>
      <w:r>
        <w:rPr>
          <w:color w:val="231F20"/>
        </w:rPr>
        <w:t>најнеповољнијих коинциденције поводања вероват- ноће 1%, а на појединим виталним деловима система (електране, површински</w:t>
      </w:r>
      <w:r>
        <w:rPr>
          <w:color w:val="231F20"/>
          <w:spacing w:val="-11"/>
        </w:rPr>
        <w:t> </w:t>
      </w:r>
      <w:r>
        <w:rPr>
          <w:color w:val="231F20"/>
        </w:rPr>
        <w:t>копови)</w:t>
      </w:r>
      <w:r>
        <w:rPr>
          <w:color w:val="231F20"/>
          <w:spacing w:val="-11"/>
        </w:rPr>
        <w:t> </w:t>
      </w:r>
      <w:r>
        <w:rPr>
          <w:color w:val="231F20"/>
        </w:rPr>
        <w:t>и</w:t>
      </w:r>
      <w:r>
        <w:rPr>
          <w:color w:val="231F20"/>
          <w:spacing w:val="-11"/>
        </w:rPr>
        <w:t> </w:t>
      </w:r>
      <w:r>
        <w:rPr>
          <w:color w:val="231F20"/>
          <w:spacing w:val="-3"/>
        </w:rPr>
        <w:t>од</w:t>
      </w:r>
      <w:r>
        <w:rPr>
          <w:color w:val="231F20"/>
          <w:spacing w:val="-11"/>
        </w:rPr>
        <w:t> </w:t>
      </w:r>
      <w:r>
        <w:rPr>
          <w:color w:val="231F20"/>
        </w:rPr>
        <w:t>вода</w:t>
      </w:r>
      <w:r>
        <w:rPr>
          <w:color w:val="231F20"/>
          <w:spacing w:val="-11"/>
        </w:rPr>
        <w:t> </w:t>
      </w:r>
      <w:r>
        <w:rPr>
          <w:color w:val="231F20"/>
        </w:rPr>
        <w:t>вероватноће</w:t>
      </w:r>
      <w:r>
        <w:rPr>
          <w:color w:val="231F20"/>
          <w:spacing w:val="-11"/>
        </w:rPr>
        <w:t> </w:t>
      </w:r>
      <w:r>
        <w:rPr>
          <w:color w:val="231F20"/>
        </w:rPr>
        <w:t>јављања</w:t>
      </w:r>
      <w:r>
        <w:rPr>
          <w:color w:val="231F20"/>
          <w:spacing w:val="-11"/>
        </w:rPr>
        <w:t> </w:t>
      </w:r>
      <w:r>
        <w:rPr>
          <w:color w:val="231F20"/>
        </w:rPr>
        <w:t>0,2%</w:t>
      </w:r>
      <w:r>
        <w:rPr>
          <w:color w:val="231F20"/>
          <w:spacing w:val="-11"/>
        </w:rPr>
        <w:t> </w:t>
      </w:r>
      <w:r>
        <w:rPr>
          <w:color w:val="231F20"/>
        </w:rPr>
        <w:t>(копови) и 0,1%</w:t>
      </w:r>
      <w:r>
        <w:rPr>
          <w:color w:val="231F20"/>
          <w:spacing w:val="-2"/>
        </w:rPr>
        <w:t> </w:t>
      </w:r>
      <w:r>
        <w:rPr>
          <w:color w:val="231F20"/>
        </w:rPr>
        <w:t>(електране);</w:t>
      </w:r>
    </w:p>
    <w:p>
      <w:pPr>
        <w:pStyle w:val="BodyText"/>
        <w:spacing w:line="232" w:lineRule="auto"/>
        <w:ind w:right="38" w:firstLine="396"/>
      </w:pPr>
      <w:r>
        <w:rPr>
          <w:color w:val="231F20"/>
          <w:w w:val="66"/>
        </w:rPr>
        <w:t> </w:t>
      </w:r>
      <w:r>
        <w:rPr>
          <w:color w:val="231F20"/>
        </w:rPr>
        <w:t>– трајно решење снабдевања </w:t>
      </w:r>
      <w:r>
        <w:rPr>
          <w:color w:val="231F20"/>
          <w:spacing w:val="-3"/>
        </w:rPr>
        <w:t>водом </w:t>
      </w:r>
      <w:r>
        <w:rPr>
          <w:color w:val="231F20"/>
        </w:rPr>
        <w:t>насеља, са обезбеђено- шћу не мањом </w:t>
      </w:r>
      <w:r>
        <w:rPr>
          <w:color w:val="231F20"/>
          <w:spacing w:val="-3"/>
        </w:rPr>
        <w:t>од </w:t>
      </w:r>
      <w:r>
        <w:rPr>
          <w:color w:val="231F20"/>
        </w:rPr>
        <w:t>97% и са нормама снабдевања </w:t>
      </w:r>
      <w:r>
        <w:rPr>
          <w:color w:val="231F20"/>
          <w:spacing w:val="-3"/>
        </w:rPr>
        <w:t>која </w:t>
      </w:r>
      <w:r>
        <w:rPr>
          <w:color w:val="231F20"/>
        </w:rPr>
        <w:t>се користе у свету</w:t>
      </w:r>
      <w:r>
        <w:rPr>
          <w:color w:val="231F20"/>
          <w:spacing w:val="-7"/>
        </w:rPr>
        <w:t> </w:t>
      </w:r>
      <w:r>
        <w:rPr>
          <w:color w:val="231F20"/>
        </w:rPr>
        <w:t>(250</w:t>
      </w:r>
      <w:r>
        <w:rPr>
          <w:color w:val="231F20"/>
          <w:spacing w:val="-7"/>
        </w:rPr>
        <w:t> </w:t>
      </w:r>
      <w:r>
        <w:rPr>
          <w:color w:val="231F20"/>
        </w:rPr>
        <w:t>l/становник/дан),</w:t>
      </w:r>
      <w:r>
        <w:rPr>
          <w:color w:val="231F20"/>
          <w:spacing w:val="-6"/>
        </w:rPr>
        <w:t> </w:t>
      </w:r>
      <w:r>
        <w:rPr>
          <w:color w:val="231F20"/>
        </w:rPr>
        <w:t>и</w:t>
      </w:r>
      <w:r>
        <w:rPr>
          <w:color w:val="231F20"/>
          <w:spacing w:val="-7"/>
        </w:rPr>
        <w:t> </w:t>
      </w:r>
      <w:r>
        <w:rPr>
          <w:color w:val="231F20"/>
        </w:rPr>
        <w:t>са</w:t>
      </w:r>
      <w:r>
        <w:rPr>
          <w:color w:val="231F20"/>
          <w:spacing w:val="-7"/>
        </w:rPr>
        <w:t> </w:t>
      </w:r>
      <w:r>
        <w:rPr>
          <w:color w:val="231F20"/>
        </w:rPr>
        <w:t>обавезом</w:t>
      </w:r>
      <w:r>
        <w:rPr>
          <w:color w:val="231F20"/>
          <w:spacing w:val="-6"/>
        </w:rPr>
        <w:t> </w:t>
      </w:r>
      <w:r>
        <w:rPr>
          <w:color w:val="231F20"/>
        </w:rPr>
        <w:t>да</w:t>
      </w:r>
      <w:r>
        <w:rPr>
          <w:color w:val="231F20"/>
          <w:spacing w:val="-6"/>
        </w:rPr>
        <w:t> </w:t>
      </w:r>
      <w:r>
        <w:rPr>
          <w:color w:val="231F20"/>
        </w:rPr>
        <w:t>се</w:t>
      </w:r>
      <w:r>
        <w:rPr>
          <w:color w:val="231F20"/>
          <w:spacing w:val="-7"/>
        </w:rPr>
        <w:t> </w:t>
      </w:r>
      <w:r>
        <w:rPr>
          <w:color w:val="231F20"/>
        </w:rPr>
        <w:t>увек,</w:t>
      </w:r>
      <w:r>
        <w:rPr>
          <w:color w:val="231F20"/>
          <w:spacing w:val="-7"/>
        </w:rPr>
        <w:t> </w:t>
      </w:r>
      <w:r>
        <w:rPr>
          <w:color w:val="231F20"/>
        </w:rPr>
        <w:t>и</w:t>
      </w:r>
      <w:r>
        <w:rPr>
          <w:color w:val="231F20"/>
          <w:spacing w:val="-7"/>
        </w:rPr>
        <w:t> </w:t>
      </w:r>
      <w:r>
        <w:rPr>
          <w:color w:val="231F20"/>
        </w:rPr>
        <w:t>у</w:t>
      </w:r>
      <w:r>
        <w:rPr>
          <w:color w:val="231F20"/>
          <w:spacing w:val="-7"/>
        </w:rPr>
        <w:t> </w:t>
      </w:r>
      <w:r>
        <w:rPr>
          <w:color w:val="231F20"/>
        </w:rPr>
        <w:t>условима редукција, обезбеди 70% </w:t>
      </w:r>
      <w:r>
        <w:rPr>
          <w:color w:val="231F20"/>
          <w:spacing w:val="-3"/>
        </w:rPr>
        <w:t>од </w:t>
      </w:r>
      <w:r>
        <w:rPr>
          <w:color w:val="231F20"/>
        </w:rPr>
        <w:t>тражених </w:t>
      </w:r>
      <w:r>
        <w:rPr>
          <w:color w:val="231F20"/>
          <w:spacing w:val="-3"/>
        </w:rPr>
        <w:t>количина </w:t>
      </w:r>
      <w:r>
        <w:rPr>
          <w:color w:val="231F20"/>
        </w:rPr>
        <w:t>воде;</w:t>
      </w:r>
    </w:p>
    <w:p>
      <w:pPr>
        <w:pStyle w:val="BodyText"/>
        <w:spacing w:line="232" w:lineRule="auto"/>
        <w:ind w:right="38" w:firstLine="396"/>
      </w:pPr>
      <w:r>
        <w:rPr>
          <w:color w:val="231F20"/>
          <w:w w:val="66"/>
        </w:rPr>
        <w:t> </w:t>
      </w:r>
      <w:r>
        <w:rPr>
          <w:color w:val="231F20"/>
        </w:rPr>
        <w:t>– развој пожаревачког подсистема у оквиру моравско-млав- ског регионалног система за снабдевање водом насеља, као ауто- номног система који се ослања на властита изворишта подземних вода у алувионима Велике Мораве и Дунава и</w:t>
      </w:r>
    </w:p>
    <w:p>
      <w:pPr>
        <w:pStyle w:val="BodyText"/>
        <w:spacing w:line="232" w:lineRule="auto"/>
        <w:ind w:right="38" w:firstLine="397"/>
      </w:pPr>
      <w:r>
        <w:rPr>
          <w:color w:val="231F20"/>
          <w:w w:val="66"/>
        </w:rPr>
        <w:t> </w:t>
      </w:r>
      <w:r>
        <w:rPr>
          <w:color w:val="231F20"/>
        </w:rPr>
        <w:t>– </w:t>
      </w:r>
      <w:r>
        <w:rPr>
          <w:color w:val="231F20"/>
          <w:spacing w:val="-3"/>
        </w:rPr>
        <w:t>одржавање </w:t>
      </w:r>
      <w:r>
        <w:rPr>
          <w:color w:val="231F20"/>
        </w:rPr>
        <w:t>нивоа заштите </w:t>
      </w:r>
      <w:r>
        <w:rPr>
          <w:color w:val="231F20"/>
          <w:spacing w:val="-4"/>
        </w:rPr>
        <w:t>од </w:t>
      </w:r>
      <w:r>
        <w:rPr>
          <w:color w:val="231F20"/>
        </w:rPr>
        <w:t>спољних </w:t>
      </w:r>
      <w:r>
        <w:rPr>
          <w:color w:val="231F20"/>
          <w:spacing w:val="-4"/>
        </w:rPr>
        <w:t>вода </w:t>
      </w:r>
      <w:r>
        <w:rPr>
          <w:color w:val="231F20"/>
          <w:spacing w:val="-3"/>
        </w:rPr>
        <w:t>Дунава </w:t>
      </w:r>
      <w:r>
        <w:rPr>
          <w:color w:val="231F20"/>
        </w:rPr>
        <w:t>на зах- </w:t>
      </w:r>
      <w:r>
        <w:rPr>
          <w:color w:val="231F20"/>
          <w:spacing w:val="-3"/>
        </w:rPr>
        <w:t>теваном </w:t>
      </w:r>
      <w:r>
        <w:rPr>
          <w:color w:val="231F20"/>
          <w:spacing w:val="-7"/>
        </w:rPr>
        <w:t>нивоу, </w:t>
      </w:r>
      <w:r>
        <w:rPr>
          <w:color w:val="231F20"/>
          <w:spacing w:val="-4"/>
        </w:rPr>
        <w:t>од </w:t>
      </w:r>
      <w:r>
        <w:rPr>
          <w:color w:val="231F20"/>
        </w:rPr>
        <w:t>великих </w:t>
      </w:r>
      <w:r>
        <w:rPr>
          <w:color w:val="231F20"/>
          <w:spacing w:val="-4"/>
        </w:rPr>
        <w:t>вода </w:t>
      </w:r>
      <w:r>
        <w:rPr>
          <w:color w:val="231F20"/>
          <w:spacing w:val="-3"/>
        </w:rPr>
        <w:t>вероватноће </w:t>
      </w:r>
      <w:r>
        <w:rPr>
          <w:color w:val="231F20"/>
        </w:rPr>
        <w:t>1%, уз </w:t>
      </w:r>
      <w:r>
        <w:rPr>
          <w:color w:val="231F20"/>
          <w:spacing w:val="-3"/>
        </w:rPr>
        <w:t>преиспитивање рачунских</w:t>
      </w:r>
      <w:r>
        <w:rPr>
          <w:color w:val="231F20"/>
          <w:spacing w:val="-10"/>
        </w:rPr>
        <w:t> </w:t>
      </w:r>
      <w:r>
        <w:rPr>
          <w:color w:val="231F20"/>
        </w:rPr>
        <w:t>нивоа</w:t>
      </w:r>
      <w:r>
        <w:rPr>
          <w:color w:val="231F20"/>
          <w:spacing w:val="-10"/>
        </w:rPr>
        <w:t> </w:t>
      </w:r>
      <w:r>
        <w:rPr>
          <w:color w:val="231F20"/>
        </w:rPr>
        <w:t>у</w:t>
      </w:r>
      <w:r>
        <w:rPr>
          <w:color w:val="231F20"/>
          <w:spacing w:val="-10"/>
        </w:rPr>
        <w:t> </w:t>
      </w:r>
      <w:r>
        <w:rPr>
          <w:color w:val="231F20"/>
        </w:rPr>
        <w:t>складу</w:t>
      </w:r>
      <w:r>
        <w:rPr>
          <w:color w:val="231F20"/>
          <w:spacing w:val="-10"/>
        </w:rPr>
        <w:t> </w:t>
      </w:r>
      <w:r>
        <w:rPr>
          <w:color w:val="231F20"/>
        </w:rPr>
        <w:t>са</w:t>
      </w:r>
      <w:r>
        <w:rPr>
          <w:color w:val="231F20"/>
          <w:spacing w:val="-10"/>
        </w:rPr>
        <w:t> </w:t>
      </w:r>
      <w:r>
        <w:rPr>
          <w:color w:val="231F20"/>
        </w:rPr>
        <w:t>новим</w:t>
      </w:r>
      <w:r>
        <w:rPr>
          <w:color w:val="231F20"/>
          <w:spacing w:val="-10"/>
        </w:rPr>
        <w:t> </w:t>
      </w:r>
      <w:r>
        <w:rPr>
          <w:color w:val="231F20"/>
          <w:spacing w:val="-3"/>
        </w:rPr>
        <w:t>хидролошким</w:t>
      </w:r>
      <w:r>
        <w:rPr>
          <w:color w:val="231F20"/>
          <w:spacing w:val="-10"/>
        </w:rPr>
        <w:t> </w:t>
      </w:r>
      <w:r>
        <w:rPr>
          <w:color w:val="231F20"/>
          <w:spacing w:val="-3"/>
        </w:rPr>
        <w:t>подацима</w:t>
      </w:r>
      <w:r>
        <w:rPr>
          <w:color w:val="231F20"/>
          <w:spacing w:val="-10"/>
        </w:rPr>
        <w:t> </w:t>
      </w:r>
      <w:r>
        <w:rPr>
          <w:color w:val="231F20"/>
        </w:rPr>
        <w:t>и</w:t>
      </w:r>
      <w:r>
        <w:rPr>
          <w:color w:val="231F20"/>
          <w:spacing w:val="-10"/>
        </w:rPr>
        <w:t> </w:t>
      </w:r>
      <w:r>
        <w:rPr>
          <w:color w:val="231F20"/>
        </w:rPr>
        <w:t>са</w:t>
      </w:r>
      <w:r>
        <w:rPr>
          <w:color w:val="231F20"/>
          <w:spacing w:val="-10"/>
        </w:rPr>
        <w:t> </w:t>
      </w:r>
      <w:r>
        <w:rPr>
          <w:color w:val="231F20"/>
        </w:rPr>
        <w:t>но- </w:t>
      </w:r>
      <w:r>
        <w:rPr>
          <w:color w:val="231F20"/>
          <w:spacing w:val="-4"/>
        </w:rPr>
        <w:t>вом</w:t>
      </w:r>
      <w:r>
        <w:rPr>
          <w:color w:val="231F20"/>
          <w:spacing w:val="-9"/>
        </w:rPr>
        <w:t> </w:t>
      </w:r>
      <w:r>
        <w:rPr>
          <w:color w:val="231F20"/>
          <w:spacing w:val="-3"/>
        </w:rPr>
        <w:t>морфологијом</w:t>
      </w:r>
      <w:r>
        <w:rPr>
          <w:color w:val="231F20"/>
          <w:spacing w:val="-9"/>
        </w:rPr>
        <w:t> </w:t>
      </w:r>
      <w:r>
        <w:rPr>
          <w:color w:val="231F20"/>
          <w:spacing w:val="-3"/>
        </w:rPr>
        <w:t>корита,</w:t>
      </w:r>
      <w:r>
        <w:rPr>
          <w:color w:val="231F20"/>
          <w:spacing w:val="-9"/>
        </w:rPr>
        <w:t> </w:t>
      </w:r>
      <w:r>
        <w:rPr>
          <w:color w:val="231F20"/>
          <w:spacing w:val="-4"/>
        </w:rPr>
        <w:t>која</w:t>
      </w:r>
      <w:r>
        <w:rPr>
          <w:color w:val="231F20"/>
          <w:spacing w:val="-9"/>
        </w:rPr>
        <w:t> </w:t>
      </w:r>
      <w:r>
        <w:rPr>
          <w:color w:val="231F20"/>
        </w:rPr>
        <w:t>се</w:t>
      </w:r>
      <w:r>
        <w:rPr>
          <w:color w:val="231F20"/>
          <w:spacing w:val="-9"/>
        </w:rPr>
        <w:t> </w:t>
      </w:r>
      <w:r>
        <w:rPr>
          <w:color w:val="231F20"/>
          <w:spacing w:val="-3"/>
        </w:rPr>
        <w:t>погоршава</w:t>
      </w:r>
      <w:r>
        <w:rPr>
          <w:color w:val="231F20"/>
          <w:spacing w:val="-9"/>
        </w:rPr>
        <w:t> </w:t>
      </w:r>
      <w:r>
        <w:rPr>
          <w:color w:val="231F20"/>
        </w:rPr>
        <w:t>због</w:t>
      </w:r>
      <w:r>
        <w:rPr>
          <w:color w:val="231F20"/>
          <w:spacing w:val="-9"/>
        </w:rPr>
        <w:t> </w:t>
      </w:r>
      <w:r>
        <w:rPr>
          <w:color w:val="231F20"/>
        </w:rPr>
        <w:t>засипања</w:t>
      </w:r>
      <w:r>
        <w:rPr>
          <w:color w:val="231F20"/>
          <w:spacing w:val="-9"/>
        </w:rPr>
        <w:t> </w:t>
      </w:r>
      <w:r>
        <w:rPr>
          <w:color w:val="231F20"/>
          <w:spacing w:val="-3"/>
        </w:rPr>
        <w:t>Ђердап- ске</w:t>
      </w:r>
      <w:r>
        <w:rPr>
          <w:color w:val="231F20"/>
          <w:spacing w:val="-10"/>
        </w:rPr>
        <w:t> </w:t>
      </w:r>
      <w:r>
        <w:rPr>
          <w:color w:val="231F20"/>
          <w:spacing w:val="-3"/>
        </w:rPr>
        <w:t>акумулације;</w:t>
      </w:r>
      <w:r>
        <w:rPr>
          <w:color w:val="231F20"/>
          <w:spacing w:val="-10"/>
        </w:rPr>
        <w:t> </w:t>
      </w:r>
      <w:r>
        <w:rPr>
          <w:color w:val="231F20"/>
          <w:spacing w:val="-3"/>
        </w:rPr>
        <w:t>одржавање</w:t>
      </w:r>
      <w:r>
        <w:rPr>
          <w:color w:val="231F20"/>
          <w:spacing w:val="-10"/>
        </w:rPr>
        <w:t> </w:t>
      </w:r>
      <w:r>
        <w:rPr>
          <w:color w:val="231F20"/>
        </w:rPr>
        <w:t>и</w:t>
      </w:r>
      <w:r>
        <w:rPr>
          <w:color w:val="231F20"/>
          <w:spacing w:val="-10"/>
        </w:rPr>
        <w:t> </w:t>
      </w:r>
      <w:r>
        <w:rPr>
          <w:color w:val="231F20"/>
          <w:spacing w:val="-3"/>
        </w:rPr>
        <w:t>обнова</w:t>
      </w:r>
      <w:r>
        <w:rPr>
          <w:color w:val="231F20"/>
          <w:spacing w:val="-10"/>
        </w:rPr>
        <w:t> </w:t>
      </w:r>
      <w:r>
        <w:rPr>
          <w:color w:val="231F20"/>
        </w:rPr>
        <w:t>система</w:t>
      </w:r>
      <w:r>
        <w:rPr>
          <w:color w:val="231F20"/>
          <w:spacing w:val="-10"/>
        </w:rPr>
        <w:t> </w:t>
      </w:r>
      <w:r>
        <w:rPr>
          <w:color w:val="231F20"/>
        </w:rPr>
        <w:t>заштите</w:t>
      </w:r>
      <w:r>
        <w:rPr>
          <w:color w:val="231F20"/>
          <w:spacing w:val="-10"/>
        </w:rPr>
        <w:t> </w:t>
      </w:r>
      <w:r>
        <w:rPr>
          <w:color w:val="231F20"/>
        </w:rPr>
        <w:t>приобаља</w:t>
      </w:r>
      <w:r>
        <w:rPr>
          <w:color w:val="231F20"/>
          <w:spacing w:val="-10"/>
        </w:rPr>
        <w:t> </w:t>
      </w:r>
      <w:r>
        <w:rPr>
          <w:color w:val="231F20"/>
          <w:spacing w:val="-4"/>
        </w:rPr>
        <w:t>од </w:t>
      </w:r>
      <w:r>
        <w:rPr>
          <w:color w:val="231F20"/>
        </w:rPr>
        <w:t>унутрашњих </w:t>
      </w:r>
      <w:r>
        <w:rPr>
          <w:color w:val="231F20"/>
          <w:spacing w:val="-4"/>
        </w:rPr>
        <w:t>вода тако </w:t>
      </w:r>
      <w:r>
        <w:rPr>
          <w:color w:val="231F20"/>
        </w:rPr>
        <w:t>да </w:t>
      </w:r>
      <w:r>
        <w:rPr>
          <w:color w:val="231F20"/>
          <w:spacing w:val="-7"/>
        </w:rPr>
        <w:t>буду </w:t>
      </w:r>
      <w:r>
        <w:rPr>
          <w:color w:val="231F20"/>
        </w:rPr>
        <w:t>испуњени </w:t>
      </w:r>
      <w:r>
        <w:rPr>
          <w:color w:val="231F20"/>
          <w:spacing w:val="-3"/>
        </w:rPr>
        <w:t>критеријуми </w:t>
      </w:r>
      <w:r>
        <w:rPr>
          <w:color w:val="231F20"/>
        </w:rPr>
        <w:t>о минимал- </w:t>
      </w:r>
      <w:r>
        <w:rPr>
          <w:color w:val="231F20"/>
          <w:spacing w:val="-3"/>
        </w:rPr>
        <w:t>ном </w:t>
      </w:r>
      <w:r>
        <w:rPr>
          <w:color w:val="231F20"/>
        </w:rPr>
        <w:t>залегању нивоа </w:t>
      </w:r>
      <w:r>
        <w:rPr>
          <w:color w:val="231F20"/>
          <w:spacing w:val="-3"/>
        </w:rPr>
        <w:t>подземних </w:t>
      </w:r>
      <w:r>
        <w:rPr>
          <w:color w:val="231F20"/>
          <w:spacing w:val="-4"/>
        </w:rPr>
        <w:t>вода </w:t>
      </w:r>
      <w:r>
        <w:rPr>
          <w:color w:val="231F20"/>
        </w:rPr>
        <w:t>трајања 1%: 0,8÷1 m за пољо- </w:t>
      </w:r>
      <w:r>
        <w:rPr>
          <w:color w:val="231F20"/>
          <w:spacing w:val="-3"/>
        </w:rPr>
        <w:t>привредно</w:t>
      </w:r>
      <w:r>
        <w:rPr>
          <w:color w:val="231F20"/>
          <w:spacing w:val="-7"/>
        </w:rPr>
        <w:t> </w:t>
      </w:r>
      <w:r>
        <w:rPr>
          <w:color w:val="231F20"/>
        </w:rPr>
        <w:t>земљиште,</w:t>
      </w:r>
      <w:r>
        <w:rPr>
          <w:color w:val="231F20"/>
          <w:spacing w:val="-7"/>
        </w:rPr>
        <w:t> </w:t>
      </w:r>
      <w:r>
        <w:rPr>
          <w:color w:val="231F20"/>
        </w:rPr>
        <w:t>2</w:t>
      </w:r>
      <w:r>
        <w:rPr>
          <w:color w:val="231F20"/>
          <w:spacing w:val="-7"/>
        </w:rPr>
        <w:t> </w:t>
      </w:r>
      <w:r>
        <w:rPr>
          <w:color w:val="231F20"/>
        </w:rPr>
        <w:t>m</w:t>
      </w:r>
      <w:r>
        <w:rPr>
          <w:color w:val="231F20"/>
          <w:spacing w:val="-7"/>
        </w:rPr>
        <w:t> </w:t>
      </w:r>
      <w:r>
        <w:rPr>
          <w:color w:val="231F20"/>
        </w:rPr>
        <w:t>за</w:t>
      </w:r>
      <w:r>
        <w:rPr>
          <w:color w:val="231F20"/>
          <w:spacing w:val="-7"/>
        </w:rPr>
        <w:t> </w:t>
      </w:r>
      <w:r>
        <w:rPr>
          <w:color w:val="231F20"/>
        </w:rPr>
        <w:t>мања</w:t>
      </w:r>
      <w:r>
        <w:rPr>
          <w:color w:val="231F20"/>
          <w:spacing w:val="-7"/>
        </w:rPr>
        <w:t> </w:t>
      </w:r>
      <w:r>
        <w:rPr>
          <w:color w:val="231F20"/>
        </w:rPr>
        <w:t>насеља,</w:t>
      </w:r>
      <w:r>
        <w:rPr>
          <w:color w:val="231F20"/>
          <w:spacing w:val="-7"/>
        </w:rPr>
        <w:t> </w:t>
      </w:r>
      <w:r>
        <w:rPr>
          <w:color w:val="231F20"/>
        </w:rPr>
        <w:t>3</w:t>
      </w:r>
      <w:r>
        <w:rPr>
          <w:color w:val="231F20"/>
          <w:spacing w:val="-7"/>
        </w:rPr>
        <w:t> </w:t>
      </w:r>
      <w:r>
        <w:rPr>
          <w:color w:val="231F20"/>
        </w:rPr>
        <w:t>m</w:t>
      </w:r>
      <w:r>
        <w:rPr>
          <w:color w:val="231F20"/>
          <w:spacing w:val="-7"/>
        </w:rPr>
        <w:t> </w:t>
      </w:r>
      <w:r>
        <w:rPr>
          <w:color w:val="231F20"/>
        </w:rPr>
        <w:t>за</w:t>
      </w:r>
      <w:r>
        <w:rPr>
          <w:color w:val="231F20"/>
          <w:spacing w:val="-7"/>
        </w:rPr>
        <w:t> </w:t>
      </w:r>
      <w:r>
        <w:rPr>
          <w:color w:val="231F20"/>
        </w:rPr>
        <w:t>већа</w:t>
      </w:r>
      <w:r>
        <w:rPr>
          <w:color w:val="231F20"/>
          <w:spacing w:val="-7"/>
        </w:rPr>
        <w:t> </w:t>
      </w:r>
      <w:r>
        <w:rPr>
          <w:color w:val="231F20"/>
        </w:rPr>
        <w:t>насеља.</w:t>
      </w:r>
    </w:p>
    <w:p>
      <w:pPr>
        <w:pStyle w:val="BodyText"/>
        <w:spacing w:line="198" w:lineRule="exact"/>
        <w:ind w:left="567"/>
        <w:jc w:val="left"/>
      </w:pPr>
      <w:r>
        <w:rPr>
          <w:color w:val="231F20"/>
        </w:rPr>
        <w:t>Оперативни циљеви у области вода су:</w:t>
      </w:r>
    </w:p>
    <w:p>
      <w:pPr>
        <w:pStyle w:val="BodyText"/>
        <w:spacing w:line="232" w:lineRule="auto"/>
        <w:ind w:right="38" w:firstLine="397"/>
      </w:pPr>
      <w:r>
        <w:rPr>
          <w:color w:val="231F20"/>
          <w:w w:val="66"/>
        </w:rPr>
        <w:t> </w:t>
      </w:r>
      <w:r>
        <w:rPr>
          <w:color w:val="231F20"/>
        </w:rPr>
        <w:t>– успостављање и стриктно поштовање непосредних и ужих зона заштите свих изворишта Пожаревачког подсистема (Кључ, Ловац, Меминац, Забела, Петка), укључив и извориште Јагодица на Горњем Костолачком острву које је планирано за развој након 2015. године;</w:t>
      </w:r>
    </w:p>
    <w:p>
      <w:pPr>
        <w:pStyle w:val="BodyText"/>
        <w:spacing w:line="232" w:lineRule="auto" w:before="78"/>
        <w:ind w:left="169" w:right="411" w:firstLine="396"/>
      </w:pPr>
      <w:r>
        <w:rPr/>
        <w:br w:type="column"/>
      </w:r>
      <w:r>
        <w:rPr>
          <w:color w:val="231F20"/>
          <w:w w:val="66"/>
        </w:rPr>
        <w:t> </w:t>
      </w:r>
      <w:r>
        <w:rPr>
          <w:color w:val="231F20"/>
        </w:rPr>
        <w:t>– одржавање режима заштите тзв. водног земљишта у про- стору крај Дунава и доњег тока Мораве и заштитних система у тој зони</w:t>
      </w:r>
      <w:r>
        <w:rPr>
          <w:color w:val="231F20"/>
          <w:spacing w:val="-6"/>
        </w:rPr>
        <w:t> </w:t>
      </w:r>
      <w:r>
        <w:rPr>
          <w:color w:val="231F20"/>
        </w:rPr>
        <w:t>и</w:t>
      </w:r>
      <w:r>
        <w:rPr>
          <w:color w:val="231F20"/>
          <w:spacing w:val="-6"/>
        </w:rPr>
        <w:t> </w:t>
      </w:r>
      <w:r>
        <w:rPr>
          <w:color w:val="231F20"/>
        </w:rPr>
        <w:t>уклањање</w:t>
      </w:r>
      <w:r>
        <w:rPr>
          <w:color w:val="231F20"/>
          <w:spacing w:val="-6"/>
        </w:rPr>
        <w:t> </w:t>
      </w:r>
      <w:r>
        <w:rPr>
          <w:color w:val="231F20"/>
        </w:rPr>
        <w:t>свих</w:t>
      </w:r>
      <w:r>
        <w:rPr>
          <w:color w:val="231F20"/>
          <w:spacing w:val="-6"/>
        </w:rPr>
        <w:t> </w:t>
      </w:r>
      <w:r>
        <w:rPr>
          <w:color w:val="231F20"/>
        </w:rPr>
        <w:t>објеката</w:t>
      </w:r>
      <w:r>
        <w:rPr>
          <w:color w:val="231F20"/>
          <w:spacing w:val="-6"/>
        </w:rPr>
        <w:t> </w:t>
      </w:r>
      <w:r>
        <w:rPr>
          <w:color w:val="231F20"/>
          <w:spacing w:val="-3"/>
        </w:rPr>
        <w:t>који</w:t>
      </w:r>
      <w:r>
        <w:rPr>
          <w:color w:val="231F20"/>
          <w:spacing w:val="-6"/>
        </w:rPr>
        <w:t> </w:t>
      </w:r>
      <w:r>
        <w:rPr>
          <w:color w:val="231F20"/>
        </w:rPr>
        <w:t>су</w:t>
      </w:r>
      <w:r>
        <w:rPr>
          <w:color w:val="231F20"/>
          <w:spacing w:val="-6"/>
        </w:rPr>
        <w:t> </w:t>
      </w:r>
      <w:r>
        <w:rPr>
          <w:color w:val="231F20"/>
        </w:rPr>
        <w:t>незаконито</w:t>
      </w:r>
      <w:r>
        <w:rPr>
          <w:color w:val="231F20"/>
          <w:spacing w:val="-6"/>
        </w:rPr>
        <w:t> </w:t>
      </w:r>
      <w:r>
        <w:rPr>
          <w:color w:val="231F20"/>
        </w:rPr>
        <w:t>изграђени</w:t>
      </w:r>
      <w:r>
        <w:rPr>
          <w:color w:val="231F20"/>
          <w:spacing w:val="-6"/>
        </w:rPr>
        <w:t> </w:t>
      </w:r>
      <w:r>
        <w:rPr>
          <w:color w:val="231F20"/>
        </w:rPr>
        <w:t>у</w:t>
      </w:r>
      <w:r>
        <w:rPr>
          <w:color w:val="231F20"/>
          <w:spacing w:val="-6"/>
        </w:rPr>
        <w:t> </w:t>
      </w:r>
      <w:r>
        <w:rPr>
          <w:color w:val="231F20"/>
          <w:spacing w:val="-3"/>
        </w:rPr>
        <w:t>том </w:t>
      </w:r>
      <w:r>
        <w:rPr>
          <w:color w:val="231F20"/>
        </w:rPr>
        <w:t>простору;</w:t>
      </w:r>
    </w:p>
    <w:p>
      <w:pPr>
        <w:pStyle w:val="BodyText"/>
        <w:spacing w:line="230" w:lineRule="auto"/>
        <w:ind w:left="169" w:right="411" w:firstLine="396"/>
      </w:pPr>
      <w:r>
        <w:rPr>
          <w:color w:val="231F20"/>
          <w:w w:val="66"/>
        </w:rPr>
        <w:t> </w:t>
      </w:r>
      <w:r>
        <w:rPr>
          <w:color w:val="231F20"/>
        </w:rPr>
        <w:t>– одржавање заштитних система према нормативима и њи- хова допуна тамо где долази до пробоја показатеља дефинисаних критеријумима заштите; санирање свих недовољно поузданих де- лова I одбрамбене линије насипа, на основу уочених проблема то- ком одбране 2006. године;</w:t>
      </w:r>
    </w:p>
    <w:p>
      <w:pPr>
        <w:pStyle w:val="BodyText"/>
        <w:spacing w:line="230" w:lineRule="auto"/>
        <w:ind w:left="169" w:right="411" w:firstLine="397"/>
      </w:pPr>
      <w:r>
        <w:rPr>
          <w:color w:val="231F20"/>
          <w:w w:val="66"/>
        </w:rPr>
        <w:t> </w:t>
      </w:r>
      <w:r>
        <w:rPr>
          <w:color w:val="231F20"/>
        </w:rPr>
        <w:t>– реализација пројекта за заштиту Старог Костолца </w:t>
      </w:r>
      <w:r>
        <w:rPr>
          <w:color w:val="231F20"/>
          <w:spacing w:val="-3"/>
        </w:rPr>
        <w:t>од </w:t>
      </w:r>
      <w:r>
        <w:rPr>
          <w:color w:val="231F20"/>
        </w:rPr>
        <w:t>по- плавних</w:t>
      </w:r>
      <w:r>
        <w:rPr>
          <w:color w:val="231F20"/>
          <w:spacing w:val="-7"/>
        </w:rPr>
        <w:t> </w:t>
      </w:r>
      <w:r>
        <w:rPr>
          <w:color w:val="231F20"/>
        </w:rPr>
        <w:t>вода</w:t>
      </w:r>
      <w:r>
        <w:rPr>
          <w:color w:val="231F20"/>
          <w:spacing w:val="-7"/>
        </w:rPr>
        <w:t> </w:t>
      </w:r>
      <w:r>
        <w:rPr>
          <w:color w:val="231F20"/>
        </w:rPr>
        <w:t>Млаве</w:t>
      </w:r>
      <w:r>
        <w:rPr>
          <w:color w:val="231F20"/>
          <w:spacing w:val="-7"/>
        </w:rPr>
        <w:t> </w:t>
      </w:r>
      <w:r>
        <w:rPr>
          <w:color w:val="231F20"/>
        </w:rPr>
        <w:t>и</w:t>
      </w:r>
      <w:r>
        <w:rPr>
          <w:color w:val="231F20"/>
          <w:spacing w:val="-7"/>
        </w:rPr>
        <w:t> </w:t>
      </w:r>
      <w:r>
        <w:rPr>
          <w:color w:val="231F20"/>
        </w:rPr>
        <w:t>успора</w:t>
      </w:r>
      <w:r>
        <w:rPr>
          <w:color w:val="231F20"/>
          <w:spacing w:val="-7"/>
        </w:rPr>
        <w:t> </w:t>
      </w:r>
      <w:r>
        <w:rPr>
          <w:color w:val="231F20"/>
        </w:rPr>
        <w:t>Дунава,</w:t>
      </w:r>
      <w:r>
        <w:rPr>
          <w:color w:val="231F20"/>
          <w:spacing w:val="-7"/>
        </w:rPr>
        <w:t> </w:t>
      </w:r>
      <w:r>
        <w:rPr>
          <w:color w:val="231F20"/>
        </w:rPr>
        <w:t>за</w:t>
      </w:r>
      <w:r>
        <w:rPr>
          <w:color w:val="231F20"/>
          <w:spacing w:val="-7"/>
        </w:rPr>
        <w:t> </w:t>
      </w:r>
      <w:r>
        <w:rPr>
          <w:color w:val="231F20"/>
        </w:rPr>
        <w:t>садашњи</w:t>
      </w:r>
      <w:r>
        <w:rPr>
          <w:color w:val="231F20"/>
          <w:spacing w:val="-7"/>
        </w:rPr>
        <w:t> </w:t>
      </w:r>
      <w:r>
        <w:rPr>
          <w:color w:val="231F20"/>
        </w:rPr>
        <w:t>режим</w:t>
      </w:r>
      <w:r>
        <w:rPr>
          <w:color w:val="231F20"/>
          <w:spacing w:val="-7"/>
        </w:rPr>
        <w:t> </w:t>
      </w:r>
      <w:r>
        <w:rPr>
          <w:color w:val="231F20"/>
        </w:rPr>
        <w:t>рада</w:t>
      </w:r>
      <w:r>
        <w:rPr>
          <w:color w:val="231F20"/>
          <w:spacing w:val="-7"/>
        </w:rPr>
        <w:t> </w:t>
      </w:r>
      <w:r>
        <w:rPr>
          <w:color w:val="231F20"/>
          <w:spacing w:val="-3"/>
        </w:rPr>
        <w:t>који </w:t>
      </w:r>
      <w:r>
        <w:rPr>
          <w:color w:val="231F20"/>
        </w:rPr>
        <w:t>допушта успор до </w:t>
      </w:r>
      <w:r>
        <w:rPr>
          <w:color w:val="231F20"/>
          <w:spacing w:val="-4"/>
        </w:rPr>
        <w:t>коте </w:t>
      </w:r>
      <w:r>
        <w:rPr>
          <w:color w:val="231F20"/>
        </w:rPr>
        <w:t>70,40</w:t>
      </w:r>
      <w:r>
        <w:rPr>
          <w:color w:val="231F20"/>
          <w:spacing w:val="3"/>
        </w:rPr>
        <w:t> </w:t>
      </w:r>
      <w:r>
        <w:rPr>
          <w:color w:val="231F20"/>
        </w:rPr>
        <w:t>mnм;</w:t>
      </w:r>
    </w:p>
    <w:p>
      <w:pPr>
        <w:pStyle w:val="BodyText"/>
        <w:spacing w:line="230" w:lineRule="auto"/>
        <w:ind w:left="169" w:right="411" w:firstLine="396"/>
      </w:pPr>
      <w:r>
        <w:rPr>
          <w:color w:val="231F20"/>
          <w:w w:val="66"/>
        </w:rPr>
        <w:t> </w:t>
      </w:r>
      <w:r>
        <w:rPr>
          <w:color w:val="231F20"/>
        </w:rPr>
        <w:t>– чишћење и измуљивање свих канала у оквиру заштитних система на Костолачком острву и у зони ушћа Мораве, као и об- нова и одржавање у сталној погонској спремности свих црпних станица, довођење у планирано стање тих заштитних система у обавези је П.Д. ХЕ Ђердап;</w:t>
      </w:r>
    </w:p>
    <w:p>
      <w:pPr>
        <w:pStyle w:val="BodyText"/>
        <w:spacing w:line="230" w:lineRule="auto"/>
        <w:ind w:left="169" w:right="410" w:firstLine="396"/>
      </w:pPr>
      <w:r>
        <w:rPr>
          <w:color w:val="231F20"/>
          <w:w w:val="66"/>
        </w:rPr>
        <w:t> </w:t>
      </w:r>
      <w:r>
        <w:rPr>
          <w:color w:val="231F20"/>
        </w:rPr>
        <w:t>– реконструкција и проширење обухвата канализационог си- стема за отпадне воде Пожаревца и приградских насеља, по сепа- рационом систему и проширење постојећег ППОВ; проширење обухвата кишне канализације, уређење Брежанског канала који је главни пријемник канализације.</w:t>
      </w:r>
    </w:p>
    <w:p>
      <w:pPr>
        <w:pStyle w:val="BodyText"/>
        <w:spacing w:line="230" w:lineRule="auto"/>
        <w:ind w:right="410" w:firstLine="396"/>
      </w:pPr>
      <w:r>
        <w:rPr>
          <w:color w:val="231F20"/>
          <w:w w:val="66"/>
        </w:rPr>
        <w:t> </w:t>
      </w:r>
      <w:r>
        <w:rPr>
          <w:color w:val="231F20"/>
        </w:rPr>
        <w:t>–</w:t>
      </w:r>
      <w:r>
        <w:rPr>
          <w:color w:val="231F20"/>
          <w:spacing w:val="-9"/>
        </w:rPr>
        <w:t> </w:t>
      </w:r>
      <w:r>
        <w:rPr>
          <w:color w:val="231F20"/>
          <w:spacing w:val="-3"/>
        </w:rPr>
        <w:t>завршетак</w:t>
      </w:r>
      <w:r>
        <w:rPr>
          <w:color w:val="231F20"/>
          <w:spacing w:val="-9"/>
        </w:rPr>
        <w:t> </w:t>
      </w:r>
      <w:r>
        <w:rPr>
          <w:color w:val="231F20"/>
          <w:spacing w:val="-3"/>
        </w:rPr>
        <w:t>локалних</w:t>
      </w:r>
      <w:r>
        <w:rPr>
          <w:color w:val="231F20"/>
          <w:spacing w:val="-9"/>
        </w:rPr>
        <w:t> </w:t>
      </w:r>
      <w:r>
        <w:rPr>
          <w:color w:val="231F20"/>
          <w:spacing w:val="-5"/>
        </w:rPr>
        <w:t>водовода</w:t>
      </w:r>
      <w:r>
        <w:rPr>
          <w:color w:val="231F20"/>
          <w:spacing w:val="-9"/>
        </w:rPr>
        <w:t> </w:t>
      </w:r>
      <w:r>
        <w:rPr>
          <w:color w:val="231F20"/>
          <w:spacing w:val="-3"/>
        </w:rPr>
        <w:t>Маљуревца,</w:t>
      </w:r>
      <w:r>
        <w:rPr>
          <w:color w:val="231F20"/>
          <w:spacing w:val="-9"/>
        </w:rPr>
        <w:t> </w:t>
      </w:r>
      <w:r>
        <w:rPr>
          <w:color w:val="231F20"/>
          <w:spacing w:val="-5"/>
        </w:rPr>
        <w:t>Бубушинца</w:t>
      </w:r>
      <w:r>
        <w:rPr>
          <w:color w:val="231F20"/>
          <w:spacing w:val="-9"/>
        </w:rPr>
        <w:t> </w:t>
      </w:r>
      <w:r>
        <w:rPr>
          <w:color w:val="231F20"/>
        </w:rPr>
        <w:t>и</w:t>
      </w:r>
      <w:r>
        <w:rPr>
          <w:color w:val="231F20"/>
          <w:spacing w:val="-9"/>
        </w:rPr>
        <w:t> </w:t>
      </w:r>
      <w:r>
        <w:rPr>
          <w:color w:val="231F20"/>
          <w:spacing w:val="-3"/>
        </w:rPr>
        <w:t>Кли- чевца, као </w:t>
      </w:r>
      <w:r>
        <w:rPr>
          <w:color w:val="231F20"/>
        </w:rPr>
        <w:t>и </w:t>
      </w:r>
      <w:r>
        <w:rPr>
          <w:color w:val="231F20"/>
          <w:spacing w:val="-3"/>
        </w:rPr>
        <w:t>успостављање зона заштите </w:t>
      </w:r>
      <w:r>
        <w:rPr>
          <w:color w:val="231F20"/>
        </w:rPr>
        <w:t>тих </w:t>
      </w:r>
      <w:r>
        <w:rPr>
          <w:color w:val="231F20"/>
          <w:spacing w:val="-3"/>
        </w:rPr>
        <w:t>локалних</w:t>
      </w:r>
      <w:r>
        <w:rPr>
          <w:color w:val="231F20"/>
          <w:spacing w:val="-23"/>
        </w:rPr>
        <w:t> </w:t>
      </w:r>
      <w:r>
        <w:rPr>
          <w:color w:val="231F20"/>
          <w:spacing w:val="-3"/>
        </w:rPr>
        <w:t>изворишта;</w:t>
      </w:r>
    </w:p>
    <w:p>
      <w:pPr>
        <w:pStyle w:val="BodyText"/>
        <w:spacing w:line="230" w:lineRule="auto"/>
        <w:ind w:right="410" w:firstLine="396"/>
      </w:pPr>
      <w:r>
        <w:rPr>
          <w:color w:val="231F20"/>
          <w:w w:val="66"/>
        </w:rPr>
        <w:t> </w:t>
      </w:r>
      <w:r>
        <w:rPr>
          <w:color w:val="231F20"/>
        </w:rPr>
        <w:t>– обезбеђење воде за технолошке потребе термоелектрана и других индустријских објеката на разматраном подручју са обез- беђеношћу 99% и</w:t>
      </w:r>
    </w:p>
    <w:p>
      <w:pPr>
        <w:pStyle w:val="BodyText"/>
        <w:spacing w:line="230" w:lineRule="auto"/>
        <w:ind w:right="410" w:firstLine="397"/>
      </w:pPr>
      <w:r>
        <w:rPr>
          <w:color w:val="231F20"/>
          <w:w w:val="66"/>
        </w:rPr>
        <w:t> </w:t>
      </w:r>
      <w:r>
        <w:rPr>
          <w:color w:val="231F20"/>
        </w:rPr>
        <w:t>– реализација посебних пристаништа за „белу флоту” за Ви- минацијум и теретног за ТЕ-КО „Костолац”, као и марина на Ду- наву и на току Велике Мораве.</w:t>
      </w:r>
    </w:p>
    <w:p>
      <w:pPr>
        <w:pStyle w:val="BodyText"/>
        <w:spacing w:before="146"/>
        <w:ind w:left="1653"/>
        <w:jc w:val="left"/>
      </w:pPr>
      <w:r>
        <w:rPr>
          <w:color w:val="231F20"/>
        </w:rPr>
        <w:t>Енергетска инфраструктура</w:t>
      </w:r>
    </w:p>
    <w:p>
      <w:pPr>
        <w:pStyle w:val="BodyText"/>
        <w:spacing w:before="1"/>
        <w:ind w:left="0"/>
        <w:jc w:val="left"/>
        <w:rPr>
          <w:sz w:val="17"/>
        </w:rPr>
      </w:pPr>
    </w:p>
    <w:p>
      <w:pPr>
        <w:pStyle w:val="BodyText"/>
        <w:spacing w:line="230" w:lineRule="auto"/>
        <w:ind w:right="410" w:firstLine="396"/>
      </w:pPr>
      <w:r>
        <w:rPr>
          <w:color w:val="231F20"/>
        </w:rPr>
        <w:t>Циљеви развоја енергетске инфраструктуре на Планском подручју су:</w:t>
      </w:r>
    </w:p>
    <w:p>
      <w:pPr>
        <w:pStyle w:val="BodyText"/>
        <w:spacing w:line="230" w:lineRule="auto"/>
        <w:ind w:right="410" w:firstLine="396"/>
      </w:pPr>
      <w:r>
        <w:rPr>
          <w:color w:val="231F20"/>
          <w:w w:val="66"/>
        </w:rPr>
        <w:t> </w:t>
      </w:r>
      <w:r>
        <w:rPr>
          <w:color w:val="231F20"/>
        </w:rPr>
        <w:t>– ревитализација, модернизација и доградња енергетске ин- фраструктуре за довољно, сигурно, квалитетно и економично снабдевање енергијом свих потрошача, уз рационалну употребу енергије и омогућавања даљег привредног развоја;</w:t>
      </w:r>
    </w:p>
    <w:p>
      <w:pPr>
        <w:pStyle w:val="BodyText"/>
        <w:spacing w:line="230" w:lineRule="auto"/>
        <w:ind w:right="410" w:firstLine="396"/>
      </w:pPr>
      <w:r>
        <w:rPr>
          <w:color w:val="231F20"/>
          <w:w w:val="66"/>
        </w:rPr>
        <w:t> </w:t>
      </w:r>
      <w:r>
        <w:rPr>
          <w:color w:val="231F20"/>
        </w:rPr>
        <w:t>–</w:t>
      </w:r>
      <w:r>
        <w:rPr>
          <w:color w:val="231F20"/>
          <w:spacing w:val="-12"/>
        </w:rPr>
        <w:t> </w:t>
      </w:r>
      <w:r>
        <w:rPr>
          <w:color w:val="231F20"/>
        </w:rPr>
        <w:t>обезбеђивање</w:t>
      </w:r>
      <w:r>
        <w:rPr>
          <w:color w:val="231F20"/>
          <w:spacing w:val="-12"/>
        </w:rPr>
        <w:t> </w:t>
      </w:r>
      <w:r>
        <w:rPr>
          <w:color w:val="231F20"/>
        </w:rPr>
        <w:t>измештања</w:t>
      </w:r>
      <w:r>
        <w:rPr>
          <w:color w:val="231F20"/>
          <w:spacing w:val="-12"/>
        </w:rPr>
        <w:t> </w:t>
      </w:r>
      <w:r>
        <w:rPr>
          <w:color w:val="231F20"/>
        </w:rPr>
        <w:t>постојеће</w:t>
      </w:r>
      <w:r>
        <w:rPr>
          <w:color w:val="231F20"/>
          <w:spacing w:val="-12"/>
        </w:rPr>
        <w:t> </w:t>
      </w:r>
      <w:r>
        <w:rPr>
          <w:color w:val="231F20"/>
        </w:rPr>
        <w:t>и</w:t>
      </w:r>
      <w:r>
        <w:rPr>
          <w:color w:val="231F20"/>
          <w:spacing w:val="-12"/>
        </w:rPr>
        <w:t> </w:t>
      </w:r>
      <w:r>
        <w:rPr>
          <w:color w:val="231F20"/>
        </w:rPr>
        <w:t>усклађивање</w:t>
      </w:r>
      <w:r>
        <w:rPr>
          <w:color w:val="231F20"/>
          <w:spacing w:val="-12"/>
        </w:rPr>
        <w:t> </w:t>
      </w:r>
      <w:r>
        <w:rPr>
          <w:color w:val="231F20"/>
        </w:rPr>
        <w:t>грађења нове преносне мреже са динамиком развоја</w:t>
      </w:r>
      <w:r>
        <w:rPr>
          <w:color w:val="231F20"/>
          <w:spacing w:val="-8"/>
        </w:rPr>
        <w:t> </w:t>
      </w:r>
      <w:r>
        <w:rPr>
          <w:color w:val="231F20"/>
        </w:rPr>
        <w:t>копова;</w:t>
      </w:r>
    </w:p>
    <w:p>
      <w:pPr>
        <w:pStyle w:val="BodyText"/>
        <w:spacing w:line="230" w:lineRule="auto"/>
        <w:ind w:left="171" w:right="409" w:firstLine="396"/>
      </w:pPr>
      <w:r>
        <w:rPr>
          <w:color w:val="231F20"/>
          <w:w w:val="66"/>
        </w:rPr>
        <w:t> </w:t>
      </w:r>
      <w:r>
        <w:rPr>
          <w:color w:val="231F20"/>
        </w:rPr>
        <w:t>– одржавање и побољшање квалитета рада и поузданости постојеће електропреносне и дистрибутивне мреже и даљи развој тих мрежа;</w:t>
      </w:r>
    </w:p>
    <w:p>
      <w:pPr>
        <w:pStyle w:val="BodyText"/>
        <w:spacing w:line="230" w:lineRule="auto"/>
        <w:ind w:left="171" w:right="409" w:firstLine="396"/>
      </w:pPr>
      <w:r>
        <w:rPr>
          <w:color w:val="231F20"/>
          <w:w w:val="66"/>
        </w:rPr>
        <w:t> </w:t>
      </w:r>
      <w:r>
        <w:rPr>
          <w:color w:val="231F20"/>
        </w:rPr>
        <w:t>– изградњa нових и проширење постојећих електроенергет- ских објеката и мреже тако да задовоље потребе конзума у енер- гији и снази за плански период, обезбеде сигурност у снабдевању електричном енергијом, не угрозе сигурност људи и имовине;</w:t>
      </w:r>
    </w:p>
    <w:p>
      <w:pPr>
        <w:pStyle w:val="BodyText"/>
        <w:spacing w:line="230" w:lineRule="auto"/>
        <w:ind w:left="171" w:right="409" w:firstLine="396"/>
      </w:pPr>
      <w:r>
        <w:rPr>
          <w:color w:val="231F20"/>
          <w:w w:val="66"/>
        </w:rPr>
        <w:t> </w:t>
      </w:r>
      <w:r>
        <w:rPr>
          <w:color w:val="231F20"/>
        </w:rPr>
        <w:t>– повећање енергетске ефикасности код преноса, дистрибу- ције и потрошње енергије, путем доношења и обавезне примене стандарда енергетске ефикасности, економских инструмената и организационих мера;</w:t>
      </w:r>
    </w:p>
    <w:p>
      <w:pPr>
        <w:pStyle w:val="BodyText"/>
        <w:spacing w:line="230" w:lineRule="auto"/>
        <w:ind w:left="171" w:right="409" w:firstLine="397"/>
      </w:pPr>
      <w:r>
        <w:rPr>
          <w:color w:val="231F20"/>
          <w:w w:val="66"/>
        </w:rPr>
        <w:t> </w:t>
      </w:r>
      <w:r>
        <w:rPr>
          <w:color w:val="231F20"/>
        </w:rPr>
        <w:t>– заштита предвиђених коридора енергетске инфраструкту- ре, у првом реду електроенергетске, топлификационе, за произ- водне гасоводе и нафтоводе до сабирних станица и будуће гасо- водне мреже;</w:t>
      </w:r>
    </w:p>
    <w:p>
      <w:pPr>
        <w:pStyle w:val="BodyText"/>
        <w:spacing w:line="230" w:lineRule="auto"/>
        <w:ind w:left="171" w:right="409" w:firstLine="396"/>
      </w:pPr>
      <w:r>
        <w:rPr>
          <w:color w:val="231F20"/>
          <w:w w:val="66"/>
        </w:rPr>
        <w:t> </w:t>
      </w:r>
      <w:r>
        <w:rPr>
          <w:color w:val="231F20"/>
        </w:rPr>
        <w:t>– даљи развој система централизованог снабдевања топлот- ном енергијом на околна мања насеља и</w:t>
      </w:r>
    </w:p>
    <w:p>
      <w:pPr>
        <w:pStyle w:val="BodyText"/>
        <w:spacing w:line="230" w:lineRule="auto"/>
        <w:ind w:left="171" w:right="409" w:firstLine="396"/>
      </w:pPr>
      <w:r>
        <w:rPr>
          <w:color w:val="231F20"/>
          <w:w w:val="66"/>
        </w:rPr>
        <w:t> </w:t>
      </w:r>
      <w:r>
        <w:rPr>
          <w:color w:val="231F20"/>
        </w:rPr>
        <w:t>– гасификација на подручју </w:t>
      </w:r>
      <w:r>
        <w:rPr>
          <w:color w:val="231F20"/>
          <w:spacing w:val="-3"/>
        </w:rPr>
        <w:t>Костолачког </w:t>
      </w:r>
      <w:r>
        <w:rPr>
          <w:color w:val="231F20"/>
        </w:rPr>
        <w:t>угљеног басена, пу- тем изградње гасоводног система;</w:t>
      </w:r>
    </w:p>
    <w:p>
      <w:pPr>
        <w:pStyle w:val="BodyText"/>
        <w:spacing w:before="149"/>
        <w:ind w:left="1116"/>
        <w:jc w:val="left"/>
      </w:pPr>
      <w:r>
        <w:rPr>
          <w:color w:val="231F20"/>
        </w:rPr>
        <w:t>Телекомуникације и поштански саобраћај</w:t>
      </w:r>
    </w:p>
    <w:p>
      <w:pPr>
        <w:pStyle w:val="BodyText"/>
        <w:ind w:left="0"/>
        <w:jc w:val="left"/>
        <w:rPr>
          <w:sz w:val="17"/>
        </w:rPr>
      </w:pPr>
    </w:p>
    <w:p>
      <w:pPr>
        <w:pStyle w:val="BodyText"/>
        <w:spacing w:line="230" w:lineRule="auto"/>
        <w:ind w:left="171" w:right="409" w:firstLine="396"/>
      </w:pPr>
      <w:r>
        <w:rPr>
          <w:color w:val="231F20"/>
        </w:rPr>
        <w:t>Квалитетна</w:t>
      </w:r>
      <w:r>
        <w:rPr>
          <w:color w:val="231F20"/>
          <w:spacing w:val="-11"/>
        </w:rPr>
        <w:t> </w:t>
      </w:r>
      <w:r>
        <w:rPr>
          <w:color w:val="231F20"/>
        </w:rPr>
        <w:t>телекомуникациона</w:t>
      </w:r>
      <w:r>
        <w:rPr>
          <w:color w:val="231F20"/>
          <w:spacing w:val="-11"/>
        </w:rPr>
        <w:t> </w:t>
      </w:r>
      <w:r>
        <w:rPr>
          <w:color w:val="231F20"/>
        </w:rPr>
        <w:t>мрежа</w:t>
      </w:r>
      <w:r>
        <w:rPr>
          <w:color w:val="231F20"/>
          <w:spacing w:val="-11"/>
        </w:rPr>
        <w:t> </w:t>
      </w:r>
      <w:r>
        <w:rPr>
          <w:color w:val="231F20"/>
        </w:rPr>
        <w:t>један</w:t>
      </w:r>
      <w:r>
        <w:rPr>
          <w:color w:val="231F20"/>
          <w:spacing w:val="-11"/>
        </w:rPr>
        <w:t> </w:t>
      </w:r>
      <w:r>
        <w:rPr>
          <w:color w:val="231F20"/>
        </w:rPr>
        <w:t>је</w:t>
      </w:r>
      <w:r>
        <w:rPr>
          <w:color w:val="231F20"/>
          <w:spacing w:val="-11"/>
        </w:rPr>
        <w:t> </w:t>
      </w:r>
      <w:r>
        <w:rPr>
          <w:color w:val="231F20"/>
          <w:spacing w:val="-3"/>
        </w:rPr>
        <w:t>од</w:t>
      </w:r>
      <w:r>
        <w:rPr>
          <w:color w:val="231F20"/>
          <w:spacing w:val="-11"/>
        </w:rPr>
        <w:t> </w:t>
      </w:r>
      <w:r>
        <w:rPr>
          <w:color w:val="231F20"/>
        </w:rPr>
        <w:t>предуслова развоја и подизања општег стандарда</w:t>
      </w:r>
      <w:r>
        <w:rPr>
          <w:color w:val="231F20"/>
          <w:spacing w:val="-7"/>
        </w:rPr>
        <w:t> </w:t>
      </w:r>
      <w:r>
        <w:rPr>
          <w:color w:val="231F20"/>
        </w:rPr>
        <w:t>живљења.</w:t>
      </w:r>
    </w:p>
    <w:p>
      <w:pPr>
        <w:pStyle w:val="BodyText"/>
        <w:spacing w:line="230" w:lineRule="auto"/>
        <w:ind w:left="171" w:right="408" w:firstLine="396"/>
      </w:pPr>
      <w:r>
        <w:rPr>
          <w:color w:val="231F20"/>
        </w:rPr>
        <w:t>Основни циљ у области телекомуникација подразумева из- градњу и организацију савремене телекомуникационе мреже која ће да обезбеди:</w:t>
      </w:r>
    </w:p>
    <w:p>
      <w:pPr>
        <w:pStyle w:val="BodyText"/>
        <w:spacing w:line="194" w:lineRule="exact"/>
        <w:ind w:left="568"/>
        <w:jc w:val="left"/>
      </w:pPr>
      <w:r>
        <w:rPr>
          <w:color w:val="231F20"/>
          <w:w w:val="66"/>
        </w:rPr>
        <w:t> </w:t>
      </w:r>
      <w:r>
        <w:rPr>
          <w:color w:val="231F20"/>
        </w:rPr>
        <w:t>– универзални сервис сваком домаћинству;</w:t>
      </w:r>
    </w:p>
    <w:p>
      <w:pPr>
        <w:pStyle w:val="BodyText"/>
        <w:spacing w:line="230" w:lineRule="auto" w:before="2"/>
        <w:ind w:left="171" w:right="408" w:firstLine="396"/>
      </w:pPr>
      <w:r>
        <w:rPr>
          <w:color w:val="231F20"/>
          <w:w w:val="66"/>
        </w:rPr>
        <w:t> </w:t>
      </w:r>
      <w:r>
        <w:rPr>
          <w:color w:val="231F20"/>
        </w:rPr>
        <w:t>– широкопојасни приступ мрежи </w:t>
      </w:r>
      <w:r>
        <w:rPr>
          <w:color w:val="231F20"/>
          <w:spacing w:val="-3"/>
        </w:rPr>
        <w:t>сваком </w:t>
      </w:r>
      <w:r>
        <w:rPr>
          <w:color w:val="231F20"/>
        </w:rPr>
        <w:t>привредном субјек- </w:t>
      </w:r>
      <w:r>
        <w:rPr>
          <w:color w:val="231F20"/>
          <w:spacing w:val="-7"/>
        </w:rPr>
        <w:t>ту,</w:t>
      </w:r>
      <w:r>
        <w:rPr>
          <w:color w:val="231F20"/>
          <w:spacing w:val="-5"/>
        </w:rPr>
        <w:t> </w:t>
      </w:r>
      <w:r>
        <w:rPr>
          <w:color w:val="231F20"/>
        </w:rPr>
        <w:t>државним</w:t>
      </w:r>
      <w:r>
        <w:rPr>
          <w:color w:val="231F20"/>
          <w:spacing w:val="-5"/>
        </w:rPr>
        <w:t> </w:t>
      </w:r>
      <w:r>
        <w:rPr>
          <w:color w:val="231F20"/>
        </w:rPr>
        <w:t>установама</w:t>
      </w:r>
      <w:r>
        <w:rPr>
          <w:color w:val="231F20"/>
          <w:spacing w:val="-5"/>
        </w:rPr>
        <w:t> </w:t>
      </w:r>
      <w:r>
        <w:rPr>
          <w:color w:val="231F20"/>
        </w:rPr>
        <w:t>и</w:t>
      </w:r>
      <w:r>
        <w:rPr>
          <w:color w:val="231F20"/>
          <w:spacing w:val="-6"/>
        </w:rPr>
        <w:t> </w:t>
      </w:r>
      <w:r>
        <w:rPr>
          <w:color w:val="231F20"/>
        </w:rPr>
        <w:t>организацијама</w:t>
      </w:r>
      <w:r>
        <w:rPr>
          <w:color w:val="231F20"/>
          <w:spacing w:val="-5"/>
        </w:rPr>
        <w:t> </w:t>
      </w:r>
      <w:r>
        <w:rPr>
          <w:color w:val="231F20"/>
        </w:rPr>
        <w:t>и</w:t>
      </w:r>
      <w:r>
        <w:rPr>
          <w:color w:val="231F20"/>
          <w:spacing w:val="-6"/>
        </w:rPr>
        <w:t> </w:t>
      </w:r>
      <w:r>
        <w:rPr>
          <w:color w:val="231F20"/>
        </w:rPr>
        <w:t>грађанима</w:t>
      </w:r>
      <w:r>
        <w:rPr>
          <w:color w:val="231F20"/>
          <w:spacing w:val="-5"/>
        </w:rPr>
        <w:t> </w:t>
      </w:r>
      <w:r>
        <w:rPr>
          <w:color w:val="231F20"/>
          <w:spacing w:val="-3"/>
        </w:rPr>
        <w:t>који</w:t>
      </w:r>
      <w:r>
        <w:rPr>
          <w:color w:val="231F20"/>
          <w:spacing w:val="-6"/>
        </w:rPr>
        <w:t> </w:t>
      </w:r>
      <w:r>
        <w:rPr>
          <w:color w:val="231F20"/>
        </w:rPr>
        <w:t>то</w:t>
      </w:r>
      <w:r>
        <w:rPr>
          <w:color w:val="231F20"/>
          <w:spacing w:val="-5"/>
        </w:rPr>
        <w:t> </w:t>
      </w:r>
      <w:r>
        <w:rPr>
          <w:color w:val="231F20"/>
        </w:rPr>
        <w:t>за- траже;</w:t>
      </w:r>
    </w:p>
    <w:p>
      <w:pPr>
        <w:pStyle w:val="BodyText"/>
        <w:spacing w:line="197" w:lineRule="exact"/>
        <w:ind w:left="568"/>
        <w:jc w:val="left"/>
      </w:pPr>
      <w:r>
        <w:rPr>
          <w:color w:val="231F20"/>
          <w:w w:val="66"/>
        </w:rPr>
        <w:t> </w:t>
      </w:r>
      <w:r>
        <w:rPr>
          <w:color w:val="231F20"/>
        </w:rPr>
        <w:t>– најмање по један мобилни прикључак сваком грађанину и</w:t>
      </w:r>
    </w:p>
    <w:p>
      <w:pPr>
        <w:pStyle w:val="BodyText"/>
        <w:spacing w:line="232" w:lineRule="auto" w:before="1"/>
        <w:ind w:left="172" w:right="408" w:firstLine="396"/>
      </w:pPr>
      <w:r>
        <w:rPr>
          <w:color w:val="231F20"/>
          <w:w w:val="66"/>
        </w:rPr>
        <w:t> </w:t>
      </w:r>
      <w:r>
        <w:rPr>
          <w:color w:val="231F20"/>
        </w:rPr>
        <w:t>– доступност најмање седам радио – ТВ канала, у дигитал- ном облику, до сваког домаћинства.</w:t>
      </w:r>
    </w:p>
    <w:p>
      <w:pPr>
        <w:spacing w:after="0" w:line="232" w:lineRule="auto"/>
        <w:sectPr>
          <w:pgSz w:w="12480" w:h="15690"/>
          <w:pgMar w:top="120" w:bottom="280" w:left="680" w:right="720"/>
          <w:cols w:num="2" w:equalWidth="0">
            <w:col w:w="5314" w:space="73"/>
            <w:col w:w="5693"/>
          </w:cols>
        </w:sectPr>
      </w:pPr>
    </w:p>
    <w:p>
      <w:pPr>
        <w:pStyle w:val="BodyText"/>
        <w:spacing w:before="68"/>
        <w:ind w:left="1670"/>
        <w:jc w:val="left"/>
      </w:pPr>
      <w:r>
        <w:rPr/>
        <w:pict>
          <v:line style="position:absolute;mso-position-horizontal-relative:page;mso-position-vertical-relative:page;z-index:2200" from="318.897614pt,11.942451pt" to="318.897614pt,748.950451pt" stroked="true" strokeweight=".6pt" strokecolor="#231f20">
            <v:stroke dashstyle="solid"/>
            <w10:wrap type="none"/>
          </v:line>
        </w:pict>
      </w:r>
      <w:r>
        <w:rPr>
          <w:color w:val="231F20"/>
        </w:rPr>
        <w:t>Фиксна телекомуникациона мрежа</w:t>
      </w:r>
    </w:p>
    <w:p>
      <w:pPr>
        <w:pStyle w:val="BodyText"/>
        <w:spacing w:before="4"/>
        <w:ind w:left="0"/>
        <w:jc w:val="left"/>
        <w:rPr>
          <w:sz w:val="17"/>
        </w:rPr>
      </w:pPr>
    </w:p>
    <w:p>
      <w:pPr>
        <w:pStyle w:val="BodyText"/>
        <w:spacing w:line="235" w:lineRule="auto"/>
        <w:ind w:left="453" w:firstLine="397"/>
      </w:pPr>
      <w:r>
        <w:rPr>
          <w:color w:val="231F20"/>
        </w:rPr>
        <w:t>Примарну раван мреже засновати на оптичким кабловима    и широкопојасним транспортним системима, организованим у структурама</w:t>
      </w:r>
      <w:r>
        <w:rPr>
          <w:color w:val="231F20"/>
          <w:spacing w:val="-11"/>
        </w:rPr>
        <w:t> </w:t>
      </w:r>
      <w:r>
        <w:rPr>
          <w:color w:val="231F20"/>
          <w:spacing w:val="-3"/>
        </w:rPr>
        <w:t>који</w:t>
      </w:r>
      <w:r>
        <w:rPr>
          <w:color w:val="231F20"/>
          <w:spacing w:val="-11"/>
        </w:rPr>
        <w:t> </w:t>
      </w:r>
      <w:r>
        <w:rPr>
          <w:color w:val="231F20"/>
        </w:rPr>
        <w:t>обезбеђују</w:t>
      </w:r>
      <w:r>
        <w:rPr>
          <w:color w:val="231F20"/>
          <w:spacing w:val="-11"/>
        </w:rPr>
        <w:t> </w:t>
      </w:r>
      <w:r>
        <w:rPr>
          <w:color w:val="231F20"/>
        </w:rPr>
        <w:t>максималну</w:t>
      </w:r>
      <w:r>
        <w:rPr>
          <w:color w:val="231F20"/>
          <w:spacing w:val="-11"/>
        </w:rPr>
        <w:t> </w:t>
      </w:r>
      <w:r>
        <w:rPr>
          <w:color w:val="231F20"/>
        </w:rPr>
        <w:t>поузданост</w:t>
      </w:r>
      <w:r>
        <w:rPr>
          <w:color w:val="231F20"/>
          <w:spacing w:val="-11"/>
        </w:rPr>
        <w:t> </w:t>
      </w:r>
      <w:r>
        <w:rPr>
          <w:color w:val="231F20"/>
        </w:rPr>
        <w:t>и</w:t>
      </w:r>
      <w:r>
        <w:rPr>
          <w:color w:val="231F20"/>
          <w:spacing w:val="-11"/>
        </w:rPr>
        <w:t> </w:t>
      </w:r>
      <w:r>
        <w:rPr>
          <w:color w:val="231F20"/>
        </w:rPr>
        <w:t>расположи- </w:t>
      </w:r>
      <w:r>
        <w:rPr>
          <w:color w:val="231F20"/>
          <w:spacing w:val="-3"/>
        </w:rPr>
        <w:t>вост,</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постепеном</w:t>
      </w:r>
      <w:r>
        <w:rPr>
          <w:color w:val="231F20"/>
          <w:spacing w:val="-7"/>
        </w:rPr>
        <w:t> </w:t>
      </w:r>
      <w:r>
        <w:rPr>
          <w:color w:val="231F20"/>
        </w:rPr>
        <w:t>преласку</w:t>
      </w:r>
      <w:r>
        <w:rPr>
          <w:color w:val="231F20"/>
          <w:spacing w:val="-7"/>
        </w:rPr>
        <w:t> </w:t>
      </w:r>
      <w:r>
        <w:rPr>
          <w:color w:val="231F20"/>
        </w:rPr>
        <w:t>са</w:t>
      </w:r>
      <w:r>
        <w:rPr>
          <w:color w:val="231F20"/>
          <w:spacing w:val="-7"/>
        </w:rPr>
        <w:t> </w:t>
      </w:r>
      <w:r>
        <w:rPr>
          <w:color w:val="231F20"/>
        </w:rPr>
        <w:t>класичних</w:t>
      </w:r>
      <w:r>
        <w:rPr>
          <w:color w:val="231F20"/>
          <w:spacing w:val="-7"/>
        </w:rPr>
        <w:t> </w:t>
      </w:r>
      <w:r>
        <w:rPr>
          <w:color w:val="231F20"/>
        </w:rPr>
        <w:t>комутираних</w:t>
      </w:r>
      <w:r>
        <w:rPr>
          <w:color w:val="231F20"/>
          <w:spacing w:val="-7"/>
        </w:rPr>
        <w:t> </w:t>
      </w:r>
      <w:r>
        <w:rPr>
          <w:color w:val="231F20"/>
        </w:rPr>
        <w:t>мрежа говорних канала на комутацију</w:t>
      </w:r>
      <w:r>
        <w:rPr>
          <w:color w:val="231F20"/>
          <w:spacing w:val="-6"/>
        </w:rPr>
        <w:t> </w:t>
      </w:r>
      <w:r>
        <w:rPr>
          <w:color w:val="231F20"/>
        </w:rPr>
        <w:t>пакета.</w:t>
      </w:r>
    </w:p>
    <w:p>
      <w:pPr>
        <w:pStyle w:val="BodyText"/>
        <w:spacing w:line="235" w:lineRule="auto"/>
        <w:ind w:left="454" w:firstLine="396"/>
      </w:pPr>
      <w:r>
        <w:rPr>
          <w:color w:val="231F20"/>
        </w:rPr>
        <w:t>Приступну мрежу базирати на мултисервисним приступним чворовима, са значајним уделом оптичких каблова у приступу.</w:t>
      </w:r>
    </w:p>
    <w:p>
      <w:pPr>
        <w:pStyle w:val="BodyText"/>
        <w:spacing w:line="235" w:lineRule="auto"/>
        <w:ind w:left="851"/>
        <w:jc w:val="left"/>
      </w:pPr>
      <w:r>
        <w:rPr>
          <w:color w:val="231F20"/>
          <w:spacing w:val="-4"/>
        </w:rPr>
        <w:t>Створити </w:t>
      </w:r>
      <w:r>
        <w:rPr>
          <w:color w:val="231F20"/>
          <w:spacing w:val="-3"/>
        </w:rPr>
        <w:t>услове </w:t>
      </w:r>
      <w:r>
        <w:rPr>
          <w:color w:val="231F20"/>
        </w:rPr>
        <w:t>за </w:t>
      </w:r>
      <w:r>
        <w:rPr>
          <w:color w:val="231F20"/>
          <w:spacing w:val="-4"/>
        </w:rPr>
        <w:t>максималну </w:t>
      </w:r>
      <w:r>
        <w:rPr>
          <w:color w:val="231F20"/>
          <w:spacing w:val="-3"/>
        </w:rPr>
        <w:t>могућност бежичног</w:t>
      </w:r>
      <w:r>
        <w:rPr>
          <w:color w:val="231F20"/>
          <w:spacing w:val="-28"/>
        </w:rPr>
        <w:t> </w:t>
      </w:r>
      <w:r>
        <w:rPr>
          <w:color w:val="231F20"/>
          <w:spacing w:val="-3"/>
        </w:rPr>
        <w:t>приступа. </w:t>
      </w:r>
      <w:r>
        <w:rPr>
          <w:color w:val="231F20"/>
        </w:rPr>
        <w:t>Јавна мобилна мрежа</w:t>
      </w:r>
      <w:r>
        <w:rPr>
          <w:color w:val="231F20"/>
          <w:spacing w:val="-4"/>
        </w:rPr>
        <w:t> </w:t>
      </w:r>
      <w:r>
        <w:rPr>
          <w:color w:val="231F20"/>
        </w:rPr>
        <w:t>подразумева:</w:t>
      </w:r>
    </w:p>
    <w:p>
      <w:pPr>
        <w:pStyle w:val="BodyText"/>
        <w:spacing w:line="235" w:lineRule="auto"/>
        <w:ind w:left="454" w:firstLine="396"/>
      </w:pPr>
      <w:r>
        <w:rPr>
          <w:color w:val="231F20"/>
          <w:w w:val="66"/>
        </w:rPr>
        <w:t> </w:t>
      </w:r>
      <w:r>
        <w:rPr>
          <w:color w:val="231F20"/>
        </w:rPr>
        <w:t>– сталну модернизацију мреже и увођење нових услуга у складу са светским стандардима;</w:t>
      </w:r>
    </w:p>
    <w:p>
      <w:pPr>
        <w:pStyle w:val="BodyText"/>
        <w:spacing w:line="235" w:lineRule="auto"/>
        <w:ind w:left="454" w:right="1" w:firstLine="396"/>
      </w:pPr>
      <w:r>
        <w:rPr>
          <w:color w:val="231F20"/>
          <w:w w:val="66"/>
        </w:rPr>
        <w:t> </w:t>
      </w:r>
      <w:r>
        <w:rPr>
          <w:color w:val="231F20"/>
        </w:rPr>
        <w:t>–</w:t>
      </w:r>
      <w:r>
        <w:rPr>
          <w:color w:val="231F20"/>
          <w:spacing w:val="-11"/>
        </w:rPr>
        <w:t> </w:t>
      </w:r>
      <w:r>
        <w:rPr>
          <w:color w:val="231F20"/>
        </w:rPr>
        <w:t>обезбеђивање</w:t>
      </w:r>
      <w:r>
        <w:rPr>
          <w:color w:val="231F20"/>
          <w:spacing w:val="-11"/>
        </w:rPr>
        <w:t> </w:t>
      </w:r>
      <w:r>
        <w:rPr>
          <w:color w:val="231F20"/>
        </w:rPr>
        <w:t>услуге</w:t>
      </w:r>
      <w:r>
        <w:rPr>
          <w:color w:val="231F20"/>
          <w:spacing w:val="-11"/>
        </w:rPr>
        <w:t> </w:t>
      </w:r>
      <w:r>
        <w:rPr>
          <w:color w:val="231F20"/>
        </w:rPr>
        <w:t>преносивости</w:t>
      </w:r>
      <w:r>
        <w:rPr>
          <w:color w:val="231F20"/>
          <w:spacing w:val="-11"/>
        </w:rPr>
        <w:t> </w:t>
      </w:r>
      <w:r>
        <w:rPr>
          <w:color w:val="231F20"/>
        </w:rPr>
        <w:t>броја</w:t>
      </w:r>
      <w:r>
        <w:rPr>
          <w:color w:val="231F20"/>
          <w:spacing w:val="-11"/>
        </w:rPr>
        <w:t> </w:t>
      </w:r>
      <w:r>
        <w:rPr>
          <w:color w:val="231F20"/>
        </w:rPr>
        <w:t>за</w:t>
      </w:r>
      <w:r>
        <w:rPr>
          <w:color w:val="231F20"/>
          <w:spacing w:val="-11"/>
        </w:rPr>
        <w:t> </w:t>
      </w:r>
      <w:r>
        <w:rPr>
          <w:color w:val="231F20"/>
        </w:rPr>
        <w:t>мобилне</w:t>
      </w:r>
      <w:r>
        <w:rPr>
          <w:color w:val="231F20"/>
          <w:spacing w:val="-11"/>
        </w:rPr>
        <w:t> </w:t>
      </w:r>
      <w:r>
        <w:rPr>
          <w:color w:val="231F20"/>
        </w:rPr>
        <w:t>и</w:t>
      </w:r>
      <w:r>
        <w:rPr>
          <w:color w:val="231F20"/>
          <w:spacing w:val="-11"/>
        </w:rPr>
        <w:t> </w:t>
      </w:r>
      <w:r>
        <w:rPr>
          <w:color w:val="231F20"/>
        </w:rPr>
        <w:t>фик- сне мреже</w:t>
      </w:r>
      <w:r>
        <w:rPr>
          <w:color w:val="231F20"/>
          <w:spacing w:val="-1"/>
        </w:rPr>
        <w:t> </w:t>
      </w:r>
      <w:r>
        <w:rPr>
          <w:color w:val="231F20"/>
        </w:rPr>
        <w:t>и</w:t>
      </w:r>
    </w:p>
    <w:p>
      <w:pPr>
        <w:pStyle w:val="BodyText"/>
        <w:spacing w:line="199" w:lineRule="exact"/>
        <w:ind w:left="851"/>
        <w:jc w:val="left"/>
      </w:pPr>
      <w:r>
        <w:rPr>
          <w:color w:val="231F20"/>
          <w:w w:val="66"/>
        </w:rPr>
        <w:t> </w:t>
      </w:r>
      <w:r>
        <w:rPr>
          <w:color w:val="231F20"/>
        </w:rPr>
        <w:t>– потпуну покривеност територије сигналом.</w:t>
      </w:r>
    </w:p>
    <w:p>
      <w:pPr>
        <w:pStyle w:val="BodyText"/>
        <w:spacing w:line="235" w:lineRule="auto"/>
        <w:ind w:left="454" w:right="1" w:firstLine="396"/>
      </w:pPr>
      <w:r>
        <w:rPr>
          <w:color w:val="231F20"/>
        </w:rPr>
        <w:t>Мрежу емисионих станица за потребе радиодифузије диги- тализовати и повезати транспортним системима тако да се, поред радиорелејних система изврши повезивање и на оптичке каблове и тако обезбеди максимална поузданост и расположивост мреже.</w:t>
      </w:r>
    </w:p>
    <w:p>
      <w:pPr>
        <w:pStyle w:val="BodyText"/>
        <w:spacing w:before="155"/>
        <w:ind w:left="2304"/>
        <w:jc w:val="left"/>
      </w:pPr>
      <w:r>
        <w:rPr>
          <w:color w:val="231F20"/>
        </w:rPr>
        <w:t>Поштанске услуге</w:t>
      </w:r>
    </w:p>
    <w:p>
      <w:pPr>
        <w:pStyle w:val="BodyText"/>
        <w:spacing w:before="4"/>
        <w:ind w:left="0"/>
        <w:jc w:val="left"/>
        <w:rPr>
          <w:sz w:val="17"/>
        </w:rPr>
      </w:pPr>
    </w:p>
    <w:p>
      <w:pPr>
        <w:pStyle w:val="BodyText"/>
        <w:spacing w:line="235" w:lineRule="auto" w:before="1"/>
        <w:ind w:left="455" w:right="1" w:firstLine="396"/>
      </w:pPr>
      <w:r>
        <w:rPr>
          <w:color w:val="231F20"/>
        </w:rPr>
        <w:t>Основни циљ у области поштанских услуга јесте да се ове услуге учине доступним становништву у удаљенијим насељима и да се уведу нове услуге.</w:t>
      </w:r>
    </w:p>
    <w:p>
      <w:pPr>
        <w:pStyle w:val="BodyText"/>
        <w:spacing w:before="164"/>
        <w:ind w:left="1941"/>
        <w:jc w:val="left"/>
      </w:pPr>
      <w:r>
        <w:rPr>
          <w:color w:val="231F20"/>
        </w:rPr>
        <w:t>Комунална инфраструктура</w:t>
      </w:r>
    </w:p>
    <w:p>
      <w:pPr>
        <w:pStyle w:val="BodyText"/>
        <w:spacing w:before="4"/>
        <w:ind w:left="0"/>
        <w:jc w:val="left"/>
        <w:rPr>
          <w:sz w:val="17"/>
        </w:rPr>
      </w:pPr>
    </w:p>
    <w:p>
      <w:pPr>
        <w:pStyle w:val="BodyText"/>
        <w:spacing w:line="235" w:lineRule="auto" w:before="1"/>
        <w:ind w:left="455" w:right="1" w:firstLine="397"/>
      </w:pPr>
      <w:r>
        <w:rPr>
          <w:color w:val="231F20"/>
        </w:rPr>
        <w:t>Основни циљ развоја комуналнe инфраструктуре је успоста- вљање савременог система управљања отпадом и његово ускла- ђивање са регионалним </w:t>
      </w:r>
      <w:r>
        <w:rPr>
          <w:color w:val="231F20"/>
          <w:spacing w:val="-3"/>
        </w:rPr>
        <w:t>концептом </w:t>
      </w:r>
      <w:r>
        <w:rPr>
          <w:color w:val="231F20"/>
        </w:rPr>
        <w:t>управљања отпадом у складу са препорукама Стратегије управљања отпадом </w:t>
      </w:r>
      <w:r>
        <w:rPr>
          <w:color w:val="231F20"/>
          <w:spacing w:val="-3"/>
        </w:rPr>
        <w:t>Републике </w:t>
      </w:r>
      <w:r>
        <w:rPr>
          <w:color w:val="231F20"/>
        </w:rPr>
        <w:t>Србије 2010</w:t>
      </w:r>
      <w:r>
        <w:rPr>
          <w:color w:val="231F20"/>
          <w:spacing w:val="-19"/>
        </w:rPr>
        <w:t> </w:t>
      </w:r>
      <w:r>
        <w:rPr>
          <w:color w:val="231F20"/>
        </w:rPr>
        <w:t>–2019.</w:t>
      </w:r>
      <w:r>
        <w:rPr>
          <w:color w:val="231F20"/>
          <w:spacing w:val="-7"/>
        </w:rPr>
        <w:t> </w:t>
      </w:r>
      <w:r>
        <w:rPr>
          <w:color w:val="231F20"/>
          <w:spacing w:val="-3"/>
        </w:rPr>
        <w:t>године</w:t>
      </w:r>
      <w:r>
        <w:rPr>
          <w:color w:val="231F20"/>
          <w:spacing w:val="-7"/>
        </w:rPr>
        <w:t> </w:t>
      </w:r>
      <w:r>
        <w:rPr>
          <w:color w:val="231F20"/>
        </w:rPr>
        <w:t>и</w:t>
      </w:r>
      <w:r>
        <w:rPr>
          <w:color w:val="231F20"/>
          <w:spacing w:val="-7"/>
        </w:rPr>
        <w:t> </w:t>
      </w:r>
      <w:r>
        <w:rPr>
          <w:color w:val="231F20"/>
        </w:rPr>
        <w:t>актуелним</w:t>
      </w:r>
      <w:r>
        <w:rPr>
          <w:color w:val="231F20"/>
          <w:spacing w:val="-7"/>
        </w:rPr>
        <w:t> </w:t>
      </w:r>
      <w:r>
        <w:rPr>
          <w:color w:val="231F20"/>
        </w:rPr>
        <w:t>европским</w:t>
      </w:r>
      <w:r>
        <w:rPr>
          <w:color w:val="231F20"/>
          <w:spacing w:val="-7"/>
        </w:rPr>
        <w:t> </w:t>
      </w:r>
      <w:r>
        <w:rPr>
          <w:color w:val="231F20"/>
        </w:rPr>
        <w:t>и</w:t>
      </w:r>
      <w:r>
        <w:rPr>
          <w:color w:val="231F20"/>
          <w:spacing w:val="-7"/>
        </w:rPr>
        <w:t> </w:t>
      </w:r>
      <w:r>
        <w:rPr>
          <w:color w:val="231F20"/>
        </w:rPr>
        <w:t>светским</w:t>
      </w:r>
      <w:r>
        <w:rPr>
          <w:color w:val="231F20"/>
          <w:spacing w:val="-7"/>
        </w:rPr>
        <w:t> </w:t>
      </w:r>
      <w:r>
        <w:rPr>
          <w:color w:val="231F20"/>
        </w:rPr>
        <w:t>трендовима у овој области. До тада ће отпад са Планског подручја бити депо- нован на постојећим депонијским површинама, уз могућност раз- воја</w:t>
      </w:r>
      <w:r>
        <w:rPr>
          <w:color w:val="231F20"/>
          <w:spacing w:val="-5"/>
        </w:rPr>
        <w:t> </w:t>
      </w:r>
      <w:r>
        <w:rPr>
          <w:color w:val="231F20"/>
        </w:rPr>
        <w:t>мобилних</w:t>
      </w:r>
      <w:r>
        <w:rPr>
          <w:color w:val="231F20"/>
          <w:spacing w:val="-6"/>
        </w:rPr>
        <w:t> </w:t>
      </w:r>
      <w:r>
        <w:rPr>
          <w:color w:val="231F20"/>
        </w:rPr>
        <w:t>центара</w:t>
      </w:r>
      <w:r>
        <w:rPr>
          <w:color w:val="231F20"/>
          <w:spacing w:val="-5"/>
        </w:rPr>
        <w:t> </w:t>
      </w:r>
      <w:r>
        <w:rPr>
          <w:color w:val="231F20"/>
        </w:rPr>
        <w:t>(трансфер</w:t>
      </w:r>
      <w:r>
        <w:rPr>
          <w:color w:val="231F20"/>
          <w:spacing w:val="-5"/>
        </w:rPr>
        <w:t> </w:t>
      </w:r>
      <w:r>
        <w:rPr>
          <w:color w:val="231F20"/>
        </w:rPr>
        <w:t>станица)</w:t>
      </w:r>
      <w:r>
        <w:rPr>
          <w:color w:val="231F20"/>
          <w:spacing w:val="-6"/>
        </w:rPr>
        <w:t> </w:t>
      </w:r>
      <w:r>
        <w:rPr>
          <w:color w:val="231F20"/>
        </w:rPr>
        <w:t>за</w:t>
      </w:r>
      <w:r>
        <w:rPr>
          <w:color w:val="231F20"/>
          <w:spacing w:val="-5"/>
        </w:rPr>
        <w:t> </w:t>
      </w:r>
      <w:r>
        <w:rPr>
          <w:color w:val="231F20"/>
        </w:rPr>
        <w:t>прикупљање</w:t>
      </w:r>
      <w:r>
        <w:rPr>
          <w:color w:val="231F20"/>
          <w:spacing w:val="-6"/>
        </w:rPr>
        <w:t> </w:t>
      </w:r>
      <w:r>
        <w:rPr>
          <w:color w:val="231F20"/>
        </w:rPr>
        <w:t>отпада.</w:t>
      </w:r>
    </w:p>
    <w:p>
      <w:pPr>
        <w:pStyle w:val="BodyText"/>
        <w:spacing w:line="194" w:lineRule="exact"/>
        <w:ind w:left="852"/>
        <w:jc w:val="left"/>
      </w:pPr>
      <w:r>
        <w:rPr>
          <w:color w:val="231F20"/>
        </w:rPr>
        <w:t>Посебни циљеви развоја комуналне инфраструктуре су:</w:t>
      </w:r>
    </w:p>
    <w:p>
      <w:pPr>
        <w:pStyle w:val="BodyText"/>
        <w:spacing w:line="235" w:lineRule="auto"/>
        <w:ind w:left="455" w:right="1" w:firstLine="397"/>
      </w:pPr>
      <w:r>
        <w:rPr>
          <w:color w:val="231F20"/>
          <w:w w:val="66"/>
        </w:rPr>
        <w:t> </w:t>
      </w:r>
      <w:r>
        <w:rPr>
          <w:color w:val="231F20"/>
        </w:rPr>
        <w:t>– смањење количине отпада и повећање обима поновне упо- требе;</w:t>
      </w:r>
    </w:p>
    <w:p>
      <w:pPr>
        <w:pStyle w:val="BodyText"/>
        <w:spacing w:line="235" w:lineRule="auto"/>
        <w:ind w:left="455" w:firstLine="396"/>
      </w:pPr>
      <w:r>
        <w:rPr>
          <w:color w:val="231F20"/>
          <w:w w:val="66"/>
        </w:rPr>
        <w:t> </w:t>
      </w:r>
      <w:r>
        <w:rPr>
          <w:color w:val="231F20"/>
        </w:rPr>
        <w:t>–</w:t>
      </w:r>
      <w:r>
        <w:rPr>
          <w:color w:val="231F20"/>
          <w:spacing w:val="-10"/>
        </w:rPr>
        <w:t> </w:t>
      </w:r>
      <w:r>
        <w:rPr>
          <w:color w:val="231F20"/>
        </w:rPr>
        <w:t>затварање,</w:t>
      </w:r>
      <w:r>
        <w:rPr>
          <w:color w:val="231F20"/>
          <w:spacing w:val="-10"/>
        </w:rPr>
        <w:t> </w:t>
      </w:r>
      <w:r>
        <w:rPr>
          <w:color w:val="231F20"/>
        </w:rPr>
        <w:t>санација</w:t>
      </w:r>
      <w:r>
        <w:rPr>
          <w:color w:val="231F20"/>
          <w:spacing w:val="-10"/>
        </w:rPr>
        <w:t> </w:t>
      </w:r>
      <w:r>
        <w:rPr>
          <w:color w:val="231F20"/>
        </w:rPr>
        <w:t>и</w:t>
      </w:r>
      <w:r>
        <w:rPr>
          <w:color w:val="231F20"/>
          <w:spacing w:val="-10"/>
        </w:rPr>
        <w:t> </w:t>
      </w:r>
      <w:r>
        <w:rPr>
          <w:color w:val="231F20"/>
        </w:rPr>
        <w:t>рекултивација</w:t>
      </w:r>
      <w:r>
        <w:rPr>
          <w:color w:val="231F20"/>
          <w:spacing w:val="-10"/>
        </w:rPr>
        <w:t> </w:t>
      </w:r>
      <w:r>
        <w:rPr>
          <w:color w:val="231F20"/>
        </w:rPr>
        <w:t>локалних</w:t>
      </w:r>
      <w:r>
        <w:rPr>
          <w:color w:val="231F20"/>
          <w:spacing w:val="-10"/>
        </w:rPr>
        <w:t> </w:t>
      </w:r>
      <w:r>
        <w:rPr>
          <w:color w:val="231F20"/>
        </w:rPr>
        <w:t>сметлишта</w:t>
      </w:r>
      <w:r>
        <w:rPr>
          <w:color w:val="231F20"/>
          <w:spacing w:val="-10"/>
        </w:rPr>
        <w:t> </w:t>
      </w:r>
      <w:r>
        <w:rPr>
          <w:color w:val="231F20"/>
        </w:rPr>
        <w:t>у руралним подручјима и заустављање тренда просторне дисперзи- је депонија дуж путева, речних </w:t>
      </w:r>
      <w:r>
        <w:rPr>
          <w:color w:val="231F20"/>
          <w:spacing w:val="-3"/>
        </w:rPr>
        <w:t>токова </w:t>
      </w:r>
      <w:r>
        <w:rPr>
          <w:color w:val="231F20"/>
        </w:rPr>
        <w:t>и близини сеоских</w:t>
      </w:r>
      <w:r>
        <w:rPr>
          <w:color w:val="231F20"/>
          <w:spacing w:val="-22"/>
        </w:rPr>
        <w:t> </w:t>
      </w:r>
      <w:r>
        <w:rPr>
          <w:color w:val="231F20"/>
        </w:rPr>
        <w:t>насеља;</w:t>
      </w:r>
    </w:p>
    <w:p>
      <w:pPr>
        <w:pStyle w:val="BodyText"/>
        <w:spacing w:line="235" w:lineRule="auto"/>
        <w:ind w:left="455" w:firstLine="396"/>
      </w:pPr>
      <w:r>
        <w:rPr>
          <w:color w:val="231F20"/>
          <w:w w:val="66"/>
        </w:rPr>
        <w:t> </w:t>
      </w:r>
      <w:r>
        <w:rPr>
          <w:color w:val="231F20"/>
        </w:rPr>
        <w:t>– санитарно безбедан третман депоновања комуналног</w:t>
      </w:r>
      <w:r>
        <w:rPr>
          <w:color w:val="231F20"/>
          <w:spacing w:val="-19"/>
        </w:rPr>
        <w:t> </w:t>
      </w:r>
      <w:r>
        <w:rPr>
          <w:color w:val="231F20"/>
        </w:rPr>
        <w:t>отпа- да</w:t>
      </w:r>
      <w:r>
        <w:rPr>
          <w:color w:val="231F20"/>
          <w:spacing w:val="-5"/>
        </w:rPr>
        <w:t> </w:t>
      </w:r>
      <w:r>
        <w:rPr>
          <w:color w:val="231F20"/>
        </w:rPr>
        <w:t>са</w:t>
      </w:r>
      <w:r>
        <w:rPr>
          <w:color w:val="231F20"/>
          <w:spacing w:val="-5"/>
        </w:rPr>
        <w:t> </w:t>
      </w:r>
      <w:r>
        <w:rPr>
          <w:color w:val="231F20"/>
        </w:rPr>
        <w:t>руралног</w:t>
      </w:r>
      <w:r>
        <w:rPr>
          <w:color w:val="231F20"/>
          <w:spacing w:val="-5"/>
        </w:rPr>
        <w:t> </w:t>
      </w:r>
      <w:r>
        <w:rPr>
          <w:color w:val="231F20"/>
        </w:rPr>
        <w:t>подручја</w:t>
      </w:r>
      <w:r>
        <w:rPr>
          <w:color w:val="231F20"/>
          <w:spacing w:val="-5"/>
        </w:rPr>
        <w:t> </w:t>
      </w:r>
      <w:r>
        <w:rPr>
          <w:color w:val="231F20"/>
        </w:rPr>
        <w:t>на</w:t>
      </w:r>
      <w:r>
        <w:rPr>
          <w:color w:val="231F20"/>
          <w:spacing w:val="-5"/>
        </w:rPr>
        <w:t> </w:t>
      </w:r>
      <w:r>
        <w:rPr>
          <w:color w:val="231F20"/>
        </w:rPr>
        <w:t>сабирне</w:t>
      </w:r>
      <w:r>
        <w:rPr>
          <w:color w:val="231F20"/>
          <w:spacing w:val="-5"/>
        </w:rPr>
        <w:t> </w:t>
      </w:r>
      <w:r>
        <w:rPr>
          <w:color w:val="231F20"/>
        </w:rPr>
        <w:t>трансфер</w:t>
      </w:r>
      <w:r>
        <w:rPr>
          <w:color w:val="231F20"/>
          <w:spacing w:val="-5"/>
        </w:rPr>
        <w:t> </w:t>
      </w:r>
      <w:r>
        <w:rPr>
          <w:color w:val="231F20"/>
        </w:rPr>
        <w:t>станице</w:t>
      </w:r>
      <w:r>
        <w:rPr>
          <w:color w:val="231F20"/>
          <w:spacing w:val="-5"/>
        </w:rPr>
        <w:t> </w:t>
      </w:r>
      <w:r>
        <w:rPr>
          <w:color w:val="231F20"/>
        </w:rPr>
        <w:t>(за</w:t>
      </w:r>
      <w:r>
        <w:rPr>
          <w:color w:val="231F20"/>
          <w:spacing w:val="-5"/>
        </w:rPr>
        <w:t> </w:t>
      </w:r>
      <w:r>
        <w:rPr>
          <w:color w:val="231F20"/>
          <w:spacing w:val="-4"/>
        </w:rPr>
        <w:t>неколико </w:t>
      </w:r>
      <w:r>
        <w:rPr>
          <w:color w:val="231F20"/>
        </w:rPr>
        <w:t>насеља) у близини места настанка, или путем мобилних трансфер станица веће доступности, а </w:t>
      </w:r>
      <w:r>
        <w:rPr>
          <w:color w:val="231F20"/>
          <w:spacing w:val="-3"/>
        </w:rPr>
        <w:t>потом </w:t>
      </w:r>
      <w:r>
        <w:rPr>
          <w:color w:val="231F20"/>
        </w:rPr>
        <w:t>на централну – регионалну де- понију;</w:t>
      </w:r>
    </w:p>
    <w:p>
      <w:pPr>
        <w:pStyle w:val="BodyText"/>
        <w:spacing w:line="235" w:lineRule="auto"/>
        <w:ind w:left="455" w:right="1" w:firstLine="397"/>
      </w:pPr>
      <w:r>
        <w:rPr>
          <w:color w:val="231F20"/>
          <w:w w:val="66"/>
        </w:rPr>
        <w:t> </w:t>
      </w:r>
      <w:r>
        <w:rPr>
          <w:color w:val="231F20"/>
        </w:rPr>
        <w:t>– сакупљање и прерада крупног отпада </w:t>
      </w:r>
      <w:r>
        <w:rPr>
          <w:color w:val="231F20"/>
          <w:spacing w:val="-3"/>
        </w:rPr>
        <w:t>од </w:t>
      </w:r>
      <w:r>
        <w:rPr>
          <w:color w:val="231F20"/>
        </w:rPr>
        <w:t>стране специјали- зованих</w:t>
      </w:r>
      <w:r>
        <w:rPr>
          <w:color w:val="231F20"/>
          <w:spacing w:val="-6"/>
        </w:rPr>
        <w:t> </w:t>
      </w:r>
      <w:r>
        <w:rPr>
          <w:color w:val="231F20"/>
        </w:rPr>
        <w:t>организација,</w:t>
      </w:r>
      <w:r>
        <w:rPr>
          <w:color w:val="231F20"/>
          <w:spacing w:val="-6"/>
        </w:rPr>
        <w:t> </w:t>
      </w:r>
      <w:r>
        <w:rPr>
          <w:color w:val="231F20"/>
          <w:spacing w:val="-3"/>
        </w:rPr>
        <w:t>које</w:t>
      </w:r>
      <w:r>
        <w:rPr>
          <w:color w:val="231F20"/>
          <w:spacing w:val="-6"/>
        </w:rPr>
        <w:t> </w:t>
      </w:r>
      <w:r>
        <w:rPr>
          <w:color w:val="231F20"/>
        </w:rPr>
        <w:t>ће</w:t>
      </w:r>
      <w:r>
        <w:rPr>
          <w:color w:val="231F20"/>
          <w:spacing w:val="-6"/>
        </w:rPr>
        <w:t> </w:t>
      </w:r>
      <w:r>
        <w:rPr>
          <w:color w:val="231F20"/>
        </w:rPr>
        <w:t>га</w:t>
      </w:r>
      <w:r>
        <w:rPr>
          <w:color w:val="231F20"/>
          <w:spacing w:val="-6"/>
        </w:rPr>
        <w:t> </w:t>
      </w:r>
      <w:r>
        <w:rPr>
          <w:color w:val="231F20"/>
        </w:rPr>
        <w:t>као</w:t>
      </w:r>
      <w:r>
        <w:rPr>
          <w:color w:val="231F20"/>
          <w:spacing w:val="-6"/>
        </w:rPr>
        <w:t> </w:t>
      </w:r>
      <w:r>
        <w:rPr>
          <w:color w:val="231F20"/>
        </w:rPr>
        <w:t>сировински</w:t>
      </w:r>
      <w:r>
        <w:rPr>
          <w:color w:val="231F20"/>
          <w:spacing w:val="-6"/>
        </w:rPr>
        <w:t> </w:t>
      </w:r>
      <w:r>
        <w:rPr>
          <w:color w:val="231F20"/>
        </w:rPr>
        <w:t>отпад</w:t>
      </w:r>
      <w:r>
        <w:rPr>
          <w:color w:val="231F20"/>
          <w:spacing w:val="-6"/>
        </w:rPr>
        <w:t> </w:t>
      </w:r>
      <w:r>
        <w:rPr>
          <w:color w:val="231F20"/>
        </w:rPr>
        <w:t>достављати одговарајућим фабрикама на</w:t>
      </w:r>
      <w:r>
        <w:rPr>
          <w:color w:val="231F20"/>
          <w:spacing w:val="-3"/>
        </w:rPr>
        <w:t> </w:t>
      </w:r>
      <w:r>
        <w:rPr>
          <w:color w:val="231F20"/>
        </w:rPr>
        <w:t>прераду;</w:t>
      </w:r>
    </w:p>
    <w:p>
      <w:pPr>
        <w:pStyle w:val="BodyText"/>
        <w:spacing w:line="235" w:lineRule="auto"/>
        <w:ind w:left="455" w:right="1" w:firstLine="396"/>
      </w:pPr>
      <w:r>
        <w:rPr>
          <w:color w:val="231F20"/>
          <w:w w:val="66"/>
        </w:rPr>
        <w:t> </w:t>
      </w:r>
      <w:r>
        <w:rPr>
          <w:color w:val="231F20"/>
        </w:rPr>
        <w:t>– дефинисање правног и институционалног оквира, технич- ких и економских аспеката управљања комуналним отпадом;</w:t>
      </w:r>
    </w:p>
    <w:p>
      <w:pPr>
        <w:pStyle w:val="BodyText"/>
        <w:spacing w:line="235" w:lineRule="auto"/>
        <w:ind w:left="456" w:firstLine="396"/>
      </w:pPr>
      <w:r>
        <w:rPr>
          <w:color w:val="231F20"/>
          <w:w w:val="66"/>
        </w:rPr>
        <w:t> </w:t>
      </w:r>
      <w:r>
        <w:rPr>
          <w:color w:val="231F20"/>
        </w:rPr>
        <w:t>– уређење и комунално опремање градских и сеоских гроба- ља и проширивање постојећих капацитета;</w:t>
      </w:r>
    </w:p>
    <w:p>
      <w:pPr>
        <w:pStyle w:val="BodyText"/>
        <w:spacing w:line="199" w:lineRule="exact"/>
        <w:ind w:left="853"/>
        <w:jc w:val="left"/>
      </w:pPr>
      <w:r>
        <w:rPr>
          <w:color w:val="231F20"/>
          <w:w w:val="66"/>
        </w:rPr>
        <w:t> </w:t>
      </w:r>
      <w:r>
        <w:rPr>
          <w:color w:val="231F20"/>
        </w:rPr>
        <w:t>– изградња капела на сеоским гробљима;</w:t>
      </w:r>
    </w:p>
    <w:p>
      <w:pPr>
        <w:pStyle w:val="BodyText"/>
        <w:spacing w:line="202" w:lineRule="exact"/>
        <w:ind w:left="853"/>
        <w:jc w:val="left"/>
      </w:pPr>
      <w:r>
        <w:rPr>
          <w:color w:val="231F20"/>
          <w:w w:val="66"/>
        </w:rPr>
        <w:t> </w:t>
      </w:r>
      <w:r>
        <w:rPr>
          <w:color w:val="231F20"/>
        </w:rPr>
        <w:t>– изградња сточних гробаља;</w:t>
      </w:r>
    </w:p>
    <w:p>
      <w:pPr>
        <w:pStyle w:val="BodyText"/>
        <w:spacing w:line="235" w:lineRule="auto"/>
        <w:ind w:left="456" w:firstLine="396"/>
      </w:pPr>
      <w:r>
        <w:rPr>
          <w:color w:val="231F20"/>
          <w:w w:val="66"/>
        </w:rPr>
        <w:t> </w:t>
      </w:r>
      <w:r>
        <w:rPr>
          <w:color w:val="231F20"/>
        </w:rPr>
        <w:t>– уређење, комунално опремање и проширење капацитета постојећих зелених и изградња нових сточних пијаца и друго и</w:t>
      </w:r>
    </w:p>
    <w:p>
      <w:pPr>
        <w:pStyle w:val="BodyText"/>
        <w:spacing w:line="235" w:lineRule="auto"/>
        <w:ind w:left="456" w:firstLine="396"/>
      </w:pPr>
      <w:r>
        <w:rPr>
          <w:color w:val="231F20"/>
          <w:w w:val="66"/>
        </w:rPr>
        <w:t> </w:t>
      </w:r>
      <w:r>
        <w:rPr>
          <w:color w:val="231F20"/>
        </w:rPr>
        <w:t>– решење саобраћајне регулације у </w:t>
      </w:r>
      <w:r>
        <w:rPr>
          <w:color w:val="231F20"/>
          <w:spacing w:val="-3"/>
        </w:rPr>
        <w:t>околини </w:t>
      </w:r>
      <w:r>
        <w:rPr>
          <w:color w:val="231F20"/>
        </w:rPr>
        <w:t>пијаца,</w:t>
      </w:r>
      <w:r>
        <w:rPr>
          <w:color w:val="231F20"/>
          <w:spacing w:val="-21"/>
        </w:rPr>
        <w:t> </w:t>
      </w:r>
      <w:r>
        <w:rPr>
          <w:color w:val="231F20"/>
        </w:rPr>
        <w:t>омогућа- вање адекватног приступа доставним возилима и повећање броја паркинг места у непосредној </w:t>
      </w:r>
      <w:r>
        <w:rPr>
          <w:color w:val="231F20"/>
          <w:spacing w:val="-3"/>
        </w:rPr>
        <w:t>околини</w:t>
      </w:r>
      <w:r>
        <w:rPr>
          <w:color w:val="231F20"/>
          <w:spacing w:val="-2"/>
        </w:rPr>
        <w:t> </w:t>
      </w:r>
      <w:r>
        <w:rPr>
          <w:color w:val="231F20"/>
        </w:rPr>
        <w:t>пијаца.</w:t>
      </w:r>
    </w:p>
    <w:p>
      <w:pPr>
        <w:pStyle w:val="ListParagraph"/>
        <w:numPr>
          <w:ilvl w:val="2"/>
          <w:numId w:val="26"/>
        </w:numPr>
        <w:tabs>
          <w:tab w:pos="1665" w:val="left" w:leader="none"/>
        </w:tabs>
        <w:spacing w:line="235" w:lineRule="auto" w:before="154" w:after="0"/>
        <w:ind w:left="2255" w:right="756" w:hanging="1041"/>
        <w:jc w:val="left"/>
        <w:rPr>
          <w:sz w:val="18"/>
        </w:rPr>
      </w:pPr>
      <w:r>
        <w:rPr>
          <w:color w:val="231F20"/>
          <w:spacing w:val="8"/>
          <w:sz w:val="18"/>
        </w:rPr>
        <w:t>Ст </w:t>
      </w:r>
      <w:r>
        <w:rPr>
          <w:color w:val="231F20"/>
          <w:spacing w:val="17"/>
          <w:sz w:val="18"/>
        </w:rPr>
        <w:t>ановништво, </w:t>
      </w:r>
      <w:r>
        <w:rPr>
          <w:color w:val="231F20"/>
          <w:spacing w:val="15"/>
          <w:sz w:val="18"/>
        </w:rPr>
        <w:t>соција </w:t>
      </w:r>
      <w:r>
        <w:rPr>
          <w:color w:val="231F20"/>
          <w:spacing w:val="12"/>
          <w:sz w:val="18"/>
        </w:rPr>
        <w:t>лни </w:t>
      </w:r>
      <w:r>
        <w:rPr>
          <w:color w:val="231F20"/>
          <w:spacing w:val="15"/>
          <w:sz w:val="18"/>
        </w:rPr>
        <w:t>развој </w:t>
      </w:r>
      <w:r>
        <w:rPr>
          <w:color w:val="231F20"/>
          <w:sz w:val="18"/>
        </w:rPr>
        <w:t>и </w:t>
      </w:r>
      <w:r>
        <w:rPr>
          <w:color w:val="231F20"/>
          <w:spacing w:val="15"/>
          <w:sz w:val="18"/>
        </w:rPr>
        <w:t>мрежа </w:t>
      </w:r>
      <w:r>
        <w:rPr>
          <w:color w:val="231F20"/>
          <w:spacing w:val="12"/>
          <w:sz w:val="18"/>
        </w:rPr>
        <w:t>нас</w:t>
      </w:r>
      <w:r>
        <w:rPr>
          <w:color w:val="231F20"/>
          <w:spacing w:val="3"/>
          <w:sz w:val="18"/>
        </w:rPr>
        <w:t> </w:t>
      </w:r>
      <w:r>
        <w:rPr>
          <w:color w:val="231F20"/>
          <w:spacing w:val="12"/>
          <w:sz w:val="18"/>
        </w:rPr>
        <w:t>еља</w:t>
      </w:r>
    </w:p>
    <w:p>
      <w:pPr>
        <w:pStyle w:val="BodyText"/>
        <w:spacing w:before="165"/>
        <w:ind w:left="2420" w:right="1965"/>
        <w:jc w:val="center"/>
      </w:pPr>
      <w:r>
        <w:rPr>
          <w:color w:val="231F20"/>
        </w:rPr>
        <w:t>Становништво</w:t>
      </w:r>
    </w:p>
    <w:p>
      <w:pPr>
        <w:pStyle w:val="BodyText"/>
        <w:spacing w:before="4"/>
        <w:ind w:left="0"/>
        <w:jc w:val="left"/>
        <w:rPr>
          <w:sz w:val="17"/>
        </w:rPr>
      </w:pPr>
    </w:p>
    <w:p>
      <w:pPr>
        <w:pStyle w:val="BodyText"/>
        <w:spacing w:line="235" w:lineRule="auto"/>
        <w:ind w:left="455" w:firstLine="396"/>
      </w:pPr>
      <w:r>
        <w:rPr>
          <w:color w:val="231F20"/>
        </w:rPr>
        <w:t>Општи циљ јесте одржавање популационе виталности и ублажавање негативних тенденција у кретању становништва.</w:t>
      </w:r>
    </w:p>
    <w:p>
      <w:pPr>
        <w:pStyle w:val="BodyText"/>
        <w:spacing w:line="235" w:lineRule="auto"/>
        <w:ind w:left="455" w:firstLine="396"/>
      </w:pPr>
      <w:r>
        <w:rPr>
          <w:color w:val="231F20"/>
        </w:rPr>
        <w:t>Посебни циљеви спецификовани су за поједине групе ста- новништва и њихове интересе и потребе:</w:t>
      </w:r>
    </w:p>
    <w:p>
      <w:pPr>
        <w:pStyle w:val="BodyText"/>
        <w:spacing w:line="235" w:lineRule="auto"/>
        <w:ind w:left="455" w:firstLine="396"/>
      </w:pPr>
      <w:r>
        <w:rPr>
          <w:color w:val="231F20"/>
          <w:w w:val="66"/>
        </w:rPr>
        <w:t> </w:t>
      </w:r>
      <w:r>
        <w:rPr>
          <w:color w:val="231F20"/>
        </w:rPr>
        <w:t>–</w:t>
      </w:r>
      <w:r>
        <w:rPr>
          <w:color w:val="231F20"/>
          <w:spacing w:val="-16"/>
        </w:rPr>
        <w:t> </w:t>
      </w:r>
      <w:r>
        <w:rPr>
          <w:color w:val="231F20"/>
        </w:rPr>
        <w:t>задржавање</w:t>
      </w:r>
      <w:r>
        <w:rPr>
          <w:color w:val="231F20"/>
          <w:spacing w:val="-16"/>
        </w:rPr>
        <w:t> </w:t>
      </w:r>
      <w:r>
        <w:rPr>
          <w:color w:val="231F20"/>
        </w:rPr>
        <w:t>млађих</w:t>
      </w:r>
      <w:r>
        <w:rPr>
          <w:color w:val="231F20"/>
          <w:spacing w:val="-16"/>
        </w:rPr>
        <w:t> </w:t>
      </w:r>
      <w:r>
        <w:rPr>
          <w:color w:val="231F20"/>
          <w:spacing w:val="-3"/>
        </w:rPr>
        <w:t>контингената</w:t>
      </w:r>
      <w:r>
        <w:rPr>
          <w:color w:val="231F20"/>
          <w:spacing w:val="-16"/>
        </w:rPr>
        <w:t> </w:t>
      </w:r>
      <w:r>
        <w:rPr>
          <w:color w:val="231F20"/>
        </w:rPr>
        <w:t>становништва,</w:t>
      </w:r>
      <w:r>
        <w:rPr>
          <w:color w:val="231F20"/>
          <w:spacing w:val="-16"/>
        </w:rPr>
        <w:t> </w:t>
      </w:r>
      <w:r>
        <w:rPr>
          <w:color w:val="231F20"/>
        </w:rPr>
        <w:t>нарочито</w:t>
      </w:r>
      <w:r>
        <w:rPr>
          <w:color w:val="231F20"/>
          <w:spacing w:val="-16"/>
        </w:rPr>
        <w:t> </w:t>
      </w:r>
      <w:r>
        <w:rPr>
          <w:color w:val="231F20"/>
        </w:rPr>
        <w:t>у сеоским подручјима, побољшавањем услова </w:t>
      </w:r>
      <w:r>
        <w:rPr>
          <w:color w:val="231F20"/>
          <w:spacing w:val="-3"/>
        </w:rPr>
        <w:t>школовања</w:t>
      </w:r>
      <w:r>
        <w:rPr>
          <w:color w:val="231F20"/>
          <w:spacing w:val="-22"/>
        </w:rPr>
        <w:t> </w:t>
      </w:r>
      <w:r>
        <w:rPr>
          <w:color w:val="231F20"/>
        </w:rPr>
        <w:t>(основног</w:t>
      </w:r>
    </w:p>
    <w:p>
      <w:pPr>
        <w:pStyle w:val="BodyText"/>
        <w:spacing w:line="232" w:lineRule="auto" w:before="73"/>
        <w:ind w:left="242" w:right="126" w:hanging="1"/>
      </w:pPr>
      <w:r>
        <w:rPr/>
        <w:br w:type="column"/>
      </w:r>
      <w:r>
        <w:rPr>
          <w:color w:val="231F20"/>
        </w:rPr>
        <w:t>и </w:t>
      </w:r>
      <w:r>
        <w:rPr>
          <w:color w:val="231F20"/>
          <w:spacing w:val="-4"/>
        </w:rPr>
        <w:t>средњег, </w:t>
      </w:r>
      <w:r>
        <w:rPr>
          <w:color w:val="231F20"/>
        </w:rPr>
        <w:t>посебни програми </w:t>
      </w:r>
      <w:r>
        <w:rPr>
          <w:color w:val="231F20"/>
          <w:spacing w:val="-3"/>
        </w:rPr>
        <w:t>квалификовања </w:t>
      </w:r>
      <w:r>
        <w:rPr>
          <w:color w:val="231F20"/>
        </w:rPr>
        <w:t>и слично) и различи- тим</w:t>
      </w:r>
      <w:r>
        <w:rPr>
          <w:color w:val="231F20"/>
          <w:spacing w:val="-14"/>
        </w:rPr>
        <w:t> </w:t>
      </w:r>
      <w:r>
        <w:rPr>
          <w:color w:val="231F20"/>
        </w:rPr>
        <w:t>облицима</w:t>
      </w:r>
      <w:r>
        <w:rPr>
          <w:color w:val="231F20"/>
          <w:spacing w:val="-14"/>
        </w:rPr>
        <w:t> </w:t>
      </w:r>
      <w:r>
        <w:rPr>
          <w:color w:val="231F20"/>
        </w:rPr>
        <w:t>финансијске</w:t>
      </w:r>
      <w:r>
        <w:rPr>
          <w:color w:val="231F20"/>
          <w:spacing w:val="-14"/>
        </w:rPr>
        <w:t> </w:t>
      </w:r>
      <w:r>
        <w:rPr>
          <w:color w:val="231F20"/>
          <w:spacing w:val="-3"/>
        </w:rPr>
        <w:t>подршке</w:t>
      </w:r>
      <w:r>
        <w:rPr>
          <w:color w:val="231F20"/>
          <w:spacing w:val="-14"/>
        </w:rPr>
        <w:t> </w:t>
      </w:r>
      <w:r>
        <w:rPr>
          <w:color w:val="231F20"/>
        </w:rPr>
        <w:t>организовању</w:t>
      </w:r>
      <w:r>
        <w:rPr>
          <w:color w:val="231F20"/>
          <w:spacing w:val="-14"/>
        </w:rPr>
        <w:t> </w:t>
      </w:r>
      <w:r>
        <w:rPr>
          <w:color w:val="231F20"/>
        </w:rPr>
        <w:t>пољопривредне производње и приватног предузетништва и</w:t>
      </w:r>
      <w:r>
        <w:rPr>
          <w:color w:val="231F20"/>
          <w:spacing w:val="-19"/>
        </w:rPr>
        <w:t> </w:t>
      </w:r>
      <w:r>
        <w:rPr>
          <w:color w:val="231F20"/>
        </w:rPr>
        <w:t>слично;</w:t>
      </w:r>
    </w:p>
    <w:p>
      <w:pPr>
        <w:pStyle w:val="BodyText"/>
        <w:spacing w:line="232" w:lineRule="auto" w:before="2"/>
        <w:ind w:left="242" w:right="126" w:firstLine="397"/>
      </w:pPr>
      <w:r>
        <w:rPr>
          <w:color w:val="231F20"/>
          <w:w w:val="66"/>
        </w:rPr>
        <w:t> </w:t>
      </w:r>
      <w:r>
        <w:rPr>
          <w:color w:val="231F20"/>
        </w:rPr>
        <w:t>– стимулисање млађег женског становништва за остајање у сеоским насељима, применом специфичних програма за побољ- шање услова живљења ове друштвене групе;</w:t>
      </w:r>
    </w:p>
    <w:p>
      <w:pPr>
        <w:pStyle w:val="BodyText"/>
        <w:spacing w:line="232" w:lineRule="auto" w:before="2"/>
        <w:ind w:left="242" w:right="126" w:firstLine="396"/>
      </w:pPr>
      <w:r>
        <w:rPr>
          <w:color w:val="231F20"/>
          <w:w w:val="66"/>
        </w:rPr>
        <w:t> </w:t>
      </w:r>
      <w:r>
        <w:rPr>
          <w:color w:val="231F20"/>
        </w:rPr>
        <w:t>–</w:t>
      </w:r>
      <w:r>
        <w:rPr>
          <w:color w:val="231F20"/>
          <w:spacing w:val="-8"/>
        </w:rPr>
        <w:t> </w:t>
      </w:r>
      <w:r>
        <w:rPr>
          <w:color w:val="231F20"/>
          <w:spacing w:val="-3"/>
        </w:rPr>
        <w:t>подршка</w:t>
      </w:r>
      <w:r>
        <w:rPr>
          <w:color w:val="231F20"/>
          <w:spacing w:val="-8"/>
        </w:rPr>
        <w:t> </w:t>
      </w:r>
      <w:r>
        <w:rPr>
          <w:color w:val="231F20"/>
        </w:rPr>
        <w:t>мешовитим</w:t>
      </w:r>
      <w:r>
        <w:rPr>
          <w:color w:val="231F20"/>
          <w:spacing w:val="-8"/>
        </w:rPr>
        <w:t> </w:t>
      </w:r>
      <w:r>
        <w:rPr>
          <w:color w:val="231F20"/>
        </w:rPr>
        <w:t>домаћинствима</w:t>
      </w:r>
      <w:r>
        <w:rPr>
          <w:color w:val="231F20"/>
          <w:spacing w:val="-8"/>
        </w:rPr>
        <w:t> </w:t>
      </w:r>
      <w:r>
        <w:rPr>
          <w:color w:val="231F20"/>
        </w:rPr>
        <w:t>на</w:t>
      </w:r>
      <w:r>
        <w:rPr>
          <w:color w:val="231F20"/>
          <w:spacing w:val="-8"/>
        </w:rPr>
        <w:t> </w:t>
      </w:r>
      <w:r>
        <w:rPr>
          <w:color w:val="231F20"/>
        </w:rPr>
        <w:t>руралном</w:t>
      </w:r>
      <w:r>
        <w:rPr>
          <w:color w:val="231F20"/>
          <w:spacing w:val="-8"/>
        </w:rPr>
        <w:t> </w:t>
      </w:r>
      <w:r>
        <w:rPr>
          <w:color w:val="231F20"/>
          <w:spacing w:val="-4"/>
        </w:rPr>
        <w:t>подручју, </w:t>
      </w:r>
      <w:r>
        <w:rPr>
          <w:color w:val="231F20"/>
        </w:rPr>
        <w:t>стимулисањем запошљавања чланова домаћинстава и</w:t>
      </w:r>
      <w:r>
        <w:rPr>
          <w:color w:val="231F20"/>
          <w:spacing w:val="-18"/>
        </w:rPr>
        <w:t> </w:t>
      </w:r>
      <w:r>
        <w:rPr>
          <w:color w:val="231F20"/>
        </w:rPr>
        <w:t>побољшања услова</w:t>
      </w:r>
      <w:r>
        <w:rPr>
          <w:color w:val="231F20"/>
          <w:spacing w:val="-15"/>
        </w:rPr>
        <w:t> </w:t>
      </w:r>
      <w:r>
        <w:rPr>
          <w:color w:val="231F20"/>
        </w:rPr>
        <w:t>за</w:t>
      </w:r>
      <w:r>
        <w:rPr>
          <w:color w:val="231F20"/>
          <w:spacing w:val="-15"/>
        </w:rPr>
        <w:t> </w:t>
      </w:r>
      <w:r>
        <w:rPr>
          <w:color w:val="231F20"/>
        </w:rPr>
        <w:t>обављање</w:t>
      </w:r>
      <w:r>
        <w:rPr>
          <w:color w:val="231F20"/>
          <w:spacing w:val="-15"/>
        </w:rPr>
        <w:t> </w:t>
      </w:r>
      <w:r>
        <w:rPr>
          <w:color w:val="231F20"/>
        </w:rPr>
        <w:t>одговарајућих</w:t>
      </w:r>
      <w:r>
        <w:rPr>
          <w:color w:val="231F20"/>
          <w:spacing w:val="-15"/>
        </w:rPr>
        <w:t> </w:t>
      </w:r>
      <w:r>
        <w:rPr>
          <w:color w:val="231F20"/>
        </w:rPr>
        <w:t>делатности</w:t>
      </w:r>
      <w:r>
        <w:rPr>
          <w:color w:val="231F20"/>
          <w:spacing w:val="-15"/>
        </w:rPr>
        <w:t> </w:t>
      </w:r>
      <w:r>
        <w:rPr>
          <w:color w:val="231F20"/>
        </w:rPr>
        <w:t>и</w:t>
      </w:r>
      <w:r>
        <w:rPr>
          <w:color w:val="231F20"/>
          <w:spacing w:val="-15"/>
        </w:rPr>
        <w:t> </w:t>
      </w:r>
      <w:r>
        <w:rPr>
          <w:color w:val="231F20"/>
        </w:rPr>
        <w:t>самозапошљавање у</w:t>
      </w:r>
      <w:r>
        <w:rPr>
          <w:color w:val="231F20"/>
          <w:spacing w:val="-8"/>
        </w:rPr>
        <w:t> </w:t>
      </w:r>
      <w:r>
        <w:rPr>
          <w:color w:val="231F20"/>
        </w:rPr>
        <w:t>склопу</w:t>
      </w:r>
      <w:r>
        <w:rPr>
          <w:color w:val="231F20"/>
          <w:spacing w:val="-8"/>
        </w:rPr>
        <w:t> </w:t>
      </w:r>
      <w:r>
        <w:rPr>
          <w:color w:val="231F20"/>
        </w:rPr>
        <w:t>домаћинства</w:t>
      </w:r>
      <w:r>
        <w:rPr>
          <w:color w:val="231F20"/>
          <w:spacing w:val="-8"/>
        </w:rPr>
        <w:t> </w:t>
      </w:r>
      <w:r>
        <w:rPr>
          <w:color w:val="231F20"/>
        </w:rPr>
        <w:t>(кредитирање,</w:t>
      </w:r>
      <w:r>
        <w:rPr>
          <w:color w:val="231F20"/>
          <w:spacing w:val="-8"/>
        </w:rPr>
        <w:t> </w:t>
      </w:r>
      <w:r>
        <w:rPr>
          <w:color w:val="231F20"/>
        </w:rPr>
        <w:t>пореске</w:t>
      </w:r>
      <w:r>
        <w:rPr>
          <w:color w:val="231F20"/>
          <w:spacing w:val="-8"/>
        </w:rPr>
        <w:t> </w:t>
      </w:r>
      <w:r>
        <w:rPr>
          <w:color w:val="231F20"/>
        </w:rPr>
        <w:t>олакшице</w:t>
      </w:r>
      <w:r>
        <w:rPr>
          <w:color w:val="231F20"/>
          <w:spacing w:val="-8"/>
        </w:rPr>
        <w:t> </w:t>
      </w:r>
      <w:r>
        <w:rPr>
          <w:color w:val="231F20"/>
        </w:rPr>
        <w:t>и</w:t>
      </w:r>
      <w:r>
        <w:rPr>
          <w:color w:val="231F20"/>
          <w:spacing w:val="-8"/>
        </w:rPr>
        <w:t> </w:t>
      </w:r>
      <w:r>
        <w:rPr>
          <w:color w:val="231F20"/>
          <w:spacing w:val="-3"/>
        </w:rPr>
        <w:t>друго)</w:t>
      </w:r>
      <w:r>
        <w:rPr>
          <w:color w:val="231F20"/>
          <w:spacing w:val="-8"/>
        </w:rPr>
        <w:t> </w:t>
      </w:r>
      <w:r>
        <w:rPr>
          <w:color w:val="231F20"/>
        </w:rPr>
        <w:t>и</w:t>
      </w:r>
    </w:p>
    <w:p>
      <w:pPr>
        <w:pStyle w:val="BodyText"/>
        <w:spacing w:line="232" w:lineRule="auto" w:before="3"/>
        <w:ind w:left="242" w:right="126" w:firstLine="396"/>
      </w:pPr>
      <w:r>
        <w:rPr>
          <w:color w:val="231F20"/>
          <w:w w:val="66"/>
        </w:rPr>
        <w:t> </w:t>
      </w:r>
      <w:r>
        <w:rPr>
          <w:color w:val="231F20"/>
        </w:rPr>
        <w:t>– заштита и помоћ старим грађанима путем усклађених про- грама помоћи и по потреби збрињавање.</w:t>
      </w:r>
    </w:p>
    <w:p>
      <w:pPr>
        <w:pStyle w:val="BodyText"/>
        <w:spacing w:line="404" w:lineRule="exact" w:before="11"/>
        <w:ind w:left="639" w:right="988" w:firstLine="954"/>
        <w:jc w:val="left"/>
      </w:pPr>
      <w:r>
        <w:rPr>
          <w:color w:val="231F20"/>
        </w:rPr>
        <w:t>Социјални развој, јавне службе Основни циљеви у области социјалног развоја су:</w:t>
      </w:r>
    </w:p>
    <w:p>
      <w:pPr>
        <w:pStyle w:val="BodyText"/>
        <w:spacing w:line="156" w:lineRule="exact"/>
        <w:ind w:left="639"/>
        <w:jc w:val="left"/>
      </w:pPr>
      <w:r>
        <w:rPr>
          <w:color w:val="231F20"/>
          <w:w w:val="66"/>
        </w:rPr>
        <w:t> </w:t>
      </w:r>
      <w:r>
        <w:rPr>
          <w:color w:val="231F20"/>
        </w:rPr>
        <w:t>– подизање квалитета живљења, нарочито у сеоским насељи-</w:t>
      </w:r>
    </w:p>
    <w:p>
      <w:pPr>
        <w:pStyle w:val="BodyText"/>
        <w:spacing w:line="201" w:lineRule="exact"/>
        <w:ind w:left="242"/>
        <w:jc w:val="left"/>
      </w:pPr>
      <w:r>
        <w:rPr>
          <w:color w:val="231F20"/>
        </w:rPr>
        <w:t>ма на Планском подручју;</w:t>
      </w:r>
    </w:p>
    <w:p>
      <w:pPr>
        <w:pStyle w:val="BodyText"/>
        <w:spacing w:line="232" w:lineRule="auto" w:before="2"/>
        <w:ind w:left="242" w:right="126" w:firstLine="396"/>
      </w:pPr>
      <w:r>
        <w:rPr>
          <w:color w:val="231F20"/>
          <w:w w:val="66"/>
        </w:rPr>
        <w:t> </w:t>
      </w:r>
      <w:r>
        <w:rPr>
          <w:color w:val="231F20"/>
        </w:rPr>
        <w:t>– побољшање доступности услуга од јавног интереса, наро- чито за грађане у слабије опремљеним насељима;</w:t>
      </w:r>
    </w:p>
    <w:p>
      <w:pPr>
        <w:pStyle w:val="BodyText"/>
        <w:spacing w:line="232" w:lineRule="auto" w:before="1"/>
        <w:ind w:left="243" w:right="126" w:firstLine="396"/>
      </w:pPr>
      <w:r>
        <w:rPr>
          <w:color w:val="231F20"/>
          <w:w w:val="66"/>
        </w:rPr>
        <w:t> </w:t>
      </w:r>
      <w:r>
        <w:rPr>
          <w:color w:val="231F20"/>
        </w:rPr>
        <w:t>– искоришћавање културних и туристичких потенцијала за развој локалних заједница;</w:t>
      </w:r>
    </w:p>
    <w:p>
      <w:pPr>
        <w:pStyle w:val="BodyText"/>
        <w:spacing w:line="232" w:lineRule="auto" w:before="2"/>
        <w:ind w:left="242" w:right="126" w:firstLine="396"/>
      </w:pPr>
      <w:r>
        <w:rPr>
          <w:color w:val="231F20"/>
          <w:w w:val="66"/>
        </w:rPr>
        <w:t> </w:t>
      </w:r>
      <w:r>
        <w:rPr>
          <w:color w:val="231F20"/>
        </w:rPr>
        <w:t>– </w:t>
      </w:r>
      <w:r>
        <w:rPr>
          <w:color w:val="231F20"/>
          <w:spacing w:val="-3"/>
        </w:rPr>
        <w:t>побољшање услова живљења </w:t>
      </w:r>
      <w:r>
        <w:rPr>
          <w:color w:val="231F20"/>
        </w:rPr>
        <w:t>и </w:t>
      </w:r>
      <w:r>
        <w:rPr>
          <w:color w:val="231F20"/>
          <w:spacing w:val="-3"/>
        </w:rPr>
        <w:t>становања </w:t>
      </w:r>
      <w:r>
        <w:rPr>
          <w:color w:val="231F20"/>
        </w:rPr>
        <w:t>посебно осетљи- вих</w:t>
      </w:r>
      <w:r>
        <w:rPr>
          <w:color w:val="231F20"/>
          <w:spacing w:val="-7"/>
        </w:rPr>
        <w:t> </w:t>
      </w:r>
      <w:r>
        <w:rPr>
          <w:color w:val="231F20"/>
          <w:spacing w:val="-4"/>
        </w:rPr>
        <w:t>друштвених</w:t>
      </w:r>
      <w:r>
        <w:rPr>
          <w:color w:val="231F20"/>
          <w:spacing w:val="-7"/>
        </w:rPr>
        <w:t> </w:t>
      </w:r>
      <w:r>
        <w:rPr>
          <w:color w:val="231F20"/>
          <w:spacing w:val="-3"/>
        </w:rPr>
        <w:t>група</w:t>
      </w:r>
      <w:r>
        <w:rPr>
          <w:color w:val="231F20"/>
          <w:spacing w:val="-7"/>
        </w:rPr>
        <w:t> </w:t>
      </w:r>
      <w:r>
        <w:rPr>
          <w:color w:val="231F20"/>
          <w:spacing w:val="-3"/>
        </w:rPr>
        <w:t>(стари,</w:t>
      </w:r>
      <w:r>
        <w:rPr>
          <w:color w:val="231F20"/>
          <w:spacing w:val="-7"/>
        </w:rPr>
        <w:t> </w:t>
      </w:r>
      <w:r>
        <w:rPr>
          <w:color w:val="231F20"/>
          <w:spacing w:val="-3"/>
        </w:rPr>
        <w:t>лица</w:t>
      </w:r>
      <w:r>
        <w:rPr>
          <w:color w:val="231F20"/>
          <w:spacing w:val="-7"/>
        </w:rPr>
        <w:t> </w:t>
      </w:r>
      <w:r>
        <w:rPr>
          <w:color w:val="231F20"/>
        </w:rPr>
        <w:t>са</w:t>
      </w:r>
      <w:r>
        <w:rPr>
          <w:color w:val="231F20"/>
          <w:spacing w:val="-7"/>
        </w:rPr>
        <w:t> </w:t>
      </w:r>
      <w:r>
        <w:rPr>
          <w:color w:val="231F20"/>
        </w:rPr>
        <w:t>посебним</w:t>
      </w:r>
      <w:r>
        <w:rPr>
          <w:color w:val="231F20"/>
          <w:spacing w:val="-7"/>
        </w:rPr>
        <w:t> </w:t>
      </w:r>
      <w:r>
        <w:rPr>
          <w:color w:val="231F20"/>
          <w:spacing w:val="-3"/>
        </w:rPr>
        <w:t>потребама</w:t>
      </w:r>
      <w:r>
        <w:rPr>
          <w:color w:val="231F20"/>
          <w:spacing w:val="-7"/>
        </w:rPr>
        <w:t> </w:t>
      </w:r>
      <w:r>
        <w:rPr>
          <w:color w:val="231F20"/>
        </w:rPr>
        <w:t>и</w:t>
      </w:r>
      <w:r>
        <w:rPr>
          <w:color w:val="231F20"/>
          <w:spacing w:val="-7"/>
        </w:rPr>
        <w:t> </w:t>
      </w:r>
      <w:r>
        <w:rPr>
          <w:color w:val="231F20"/>
          <w:spacing w:val="-4"/>
        </w:rPr>
        <w:t>друго);</w:t>
      </w:r>
    </w:p>
    <w:p>
      <w:pPr>
        <w:pStyle w:val="BodyText"/>
        <w:spacing w:line="232" w:lineRule="auto" w:before="1"/>
        <w:ind w:left="242" w:right="126" w:firstLine="397"/>
      </w:pPr>
      <w:r>
        <w:rPr>
          <w:color w:val="231F20"/>
          <w:w w:val="66"/>
        </w:rPr>
        <w:t> </w:t>
      </w:r>
      <w:r>
        <w:rPr>
          <w:color w:val="231F20"/>
        </w:rPr>
        <w:t>–</w:t>
      </w:r>
      <w:r>
        <w:rPr>
          <w:color w:val="231F20"/>
          <w:spacing w:val="-6"/>
        </w:rPr>
        <w:t> </w:t>
      </w:r>
      <w:r>
        <w:rPr>
          <w:color w:val="231F20"/>
        </w:rPr>
        <w:t>подизање</w:t>
      </w:r>
      <w:r>
        <w:rPr>
          <w:color w:val="231F20"/>
          <w:spacing w:val="-6"/>
        </w:rPr>
        <w:t> </w:t>
      </w:r>
      <w:r>
        <w:rPr>
          <w:color w:val="231F20"/>
        </w:rPr>
        <w:t>социјалног</w:t>
      </w:r>
      <w:r>
        <w:rPr>
          <w:color w:val="231F20"/>
          <w:spacing w:val="-6"/>
        </w:rPr>
        <w:t> </w:t>
      </w:r>
      <w:r>
        <w:rPr>
          <w:color w:val="231F20"/>
        </w:rPr>
        <w:t>капитала</w:t>
      </w:r>
      <w:r>
        <w:rPr>
          <w:color w:val="231F20"/>
          <w:spacing w:val="-6"/>
        </w:rPr>
        <w:t> </w:t>
      </w:r>
      <w:r>
        <w:rPr>
          <w:color w:val="231F20"/>
        </w:rPr>
        <w:t>заједнице</w:t>
      </w:r>
      <w:r>
        <w:rPr>
          <w:color w:val="231F20"/>
          <w:spacing w:val="-6"/>
        </w:rPr>
        <w:t> </w:t>
      </w:r>
      <w:r>
        <w:rPr>
          <w:color w:val="231F20"/>
        </w:rPr>
        <w:t>и</w:t>
      </w:r>
      <w:r>
        <w:rPr>
          <w:color w:val="231F20"/>
          <w:spacing w:val="-6"/>
        </w:rPr>
        <w:t> </w:t>
      </w:r>
      <w:r>
        <w:rPr>
          <w:color w:val="231F20"/>
        </w:rPr>
        <w:t>јачање</w:t>
      </w:r>
      <w:r>
        <w:rPr>
          <w:color w:val="231F20"/>
          <w:spacing w:val="-6"/>
        </w:rPr>
        <w:t> </w:t>
      </w:r>
      <w:r>
        <w:rPr>
          <w:color w:val="231F20"/>
        </w:rPr>
        <w:t>партнер- ских односа у региону</w:t>
      </w:r>
      <w:r>
        <w:rPr>
          <w:color w:val="231F20"/>
          <w:spacing w:val="-2"/>
        </w:rPr>
        <w:t> </w:t>
      </w:r>
      <w:r>
        <w:rPr>
          <w:color w:val="231F20"/>
        </w:rPr>
        <w:t>и</w:t>
      </w:r>
    </w:p>
    <w:p>
      <w:pPr>
        <w:pStyle w:val="BodyText"/>
        <w:spacing w:line="232" w:lineRule="auto" w:before="1"/>
        <w:ind w:left="242" w:right="126" w:firstLine="396"/>
      </w:pPr>
      <w:r>
        <w:rPr>
          <w:color w:val="231F20"/>
          <w:w w:val="66"/>
        </w:rPr>
        <w:t> </w:t>
      </w:r>
      <w:r>
        <w:rPr>
          <w:color w:val="231F20"/>
        </w:rPr>
        <w:t>– формирање доступних, квалитетних и одрживих социјал- них услуга.</w:t>
      </w:r>
    </w:p>
    <w:p>
      <w:pPr>
        <w:pStyle w:val="BodyText"/>
        <w:spacing w:before="166"/>
        <w:ind w:left="1458"/>
        <w:jc w:val="left"/>
      </w:pPr>
      <w:r>
        <w:rPr>
          <w:color w:val="231F20"/>
        </w:rPr>
        <w:t>Мрежа насеља и функција центара</w:t>
      </w:r>
    </w:p>
    <w:p>
      <w:pPr>
        <w:pStyle w:val="BodyText"/>
        <w:spacing w:before="6"/>
        <w:ind w:left="0"/>
        <w:jc w:val="left"/>
        <w:rPr>
          <w:sz w:val="17"/>
        </w:rPr>
      </w:pPr>
    </w:p>
    <w:p>
      <w:pPr>
        <w:pStyle w:val="BodyText"/>
        <w:spacing w:line="232" w:lineRule="auto"/>
        <w:ind w:left="242" w:right="125" w:firstLine="396"/>
      </w:pPr>
      <w:r>
        <w:rPr>
          <w:color w:val="231F20"/>
        </w:rPr>
        <w:t>Пoлaзeћи oд чињeницe дa рудaрствo и eнeргeтикa имajу рaзвojни приoритeт </w:t>
      </w:r>
      <w:r>
        <w:rPr>
          <w:color w:val="231F20"/>
          <w:spacing w:val="-3"/>
        </w:rPr>
        <w:t>од </w:t>
      </w:r>
      <w:r>
        <w:rPr>
          <w:color w:val="231F20"/>
        </w:rPr>
        <w:t>националног значаја, прoстoрнo-плaнскa рeшeњa </w:t>
      </w:r>
      <w:r>
        <w:rPr>
          <w:color w:val="231F20"/>
          <w:spacing w:val="-4"/>
        </w:rPr>
        <w:t>будуће </w:t>
      </w:r>
      <w:r>
        <w:rPr>
          <w:color w:val="231F20"/>
        </w:rPr>
        <w:t>oргaнизaциje и урeђeњa мрeжe нaсeљa и цeнтaрa нa </w:t>
      </w:r>
      <w:r>
        <w:rPr>
          <w:color w:val="231F20"/>
          <w:spacing w:val="-3"/>
        </w:rPr>
        <w:t>Планском </w:t>
      </w:r>
      <w:r>
        <w:rPr>
          <w:color w:val="231F20"/>
        </w:rPr>
        <w:t>подручју трeбa дa oбeзбeдe</w:t>
      </w:r>
      <w:r>
        <w:rPr>
          <w:color w:val="231F20"/>
          <w:spacing w:val="-1"/>
        </w:rPr>
        <w:t> </w:t>
      </w:r>
      <w:r>
        <w:rPr>
          <w:color w:val="231F20"/>
        </w:rPr>
        <w:t>нaрoчитo:</w:t>
      </w:r>
    </w:p>
    <w:p>
      <w:pPr>
        <w:pStyle w:val="BodyText"/>
        <w:spacing w:line="232" w:lineRule="auto" w:before="3"/>
        <w:ind w:left="242" w:right="126" w:firstLine="396"/>
      </w:pPr>
      <w:r>
        <w:rPr>
          <w:color w:val="231F20"/>
          <w:w w:val="66"/>
        </w:rPr>
        <w:t> </w:t>
      </w:r>
      <w:r>
        <w:rPr>
          <w:color w:val="231F20"/>
        </w:rPr>
        <w:t>–  усмeрaвaњe  рaзвoja  нaсeљских  функциja   и   сaдржaja нa прoстoрe извaн нeпoсрeднoг утицaja рудaрскo-eнeргeтскoг кoмплeксa ТЕ-КО</w:t>
      </w:r>
      <w:r>
        <w:rPr>
          <w:color w:val="231F20"/>
          <w:spacing w:val="-2"/>
        </w:rPr>
        <w:t> </w:t>
      </w:r>
      <w:r>
        <w:rPr>
          <w:color w:val="231F20"/>
        </w:rPr>
        <w:t>„Костолац”;</w:t>
      </w:r>
    </w:p>
    <w:p>
      <w:pPr>
        <w:pStyle w:val="BodyText"/>
        <w:spacing w:line="232" w:lineRule="auto" w:before="2"/>
        <w:ind w:left="242" w:right="125" w:firstLine="396"/>
      </w:pPr>
      <w:r>
        <w:rPr>
          <w:color w:val="231F20"/>
          <w:w w:val="66"/>
        </w:rPr>
        <w:t> </w:t>
      </w:r>
      <w:r>
        <w:rPr>
          <w:color w:val="231F20"/>
        </w:rPr>
        <w:t>– oбeзбeђeњe функциoнaлнe флeксибилнoсти/стaбилнoсти локалних заједница у тoку и нaкoн завршене eксплoaтaције угља,</w:t>
      </w:r>
    </w:p>
    <w:p>
      <w:pPr>
        <w:pStyle w:val="BodyText"/>
        <w:spacing w:line="232" w:lineRule="auto" w:before="1"/>
        <w:ind w:left="242" w:right="126" w:firstLine="397"/>
      </w:pPr>
      <w:r>
        <w:rPr>
          <w:color w:val="231F20"/>
          <w:w w:val="66"/>
        </w:rPr>
        <w:t> </w:t>
      </w:r>
      <w:r>
        <w:rPr>
          <w:color w:val="231F20"/>
        </w:rPr>
        <w:t>–</w:t>
      </w:r>
      <w:r>
        <w:rPr>
          <w:color w:val="231F20"/>
          <w:spacing w:val="-7"/>
        </w:rPr>
        <w:t> </w:t>
      </w:r>
      <w:r>
        <w:rPr>
          <w:color w:val="231F20"/>
        </w:rPr>
        <w:t>прaвoврeмeнo</w:t>
      </w:r>
      <w:r>
        <w:rPr>
          <w:color w:val="231F20"/>
          <w:spacing w:val="-7"/>
        </w:rPr>
        <w:t> </w:t>
      </w:r>
      <w:r>
        <w:rPr>
          <w:color w:val="231F20"/>
        </w:rPr>
        <w:t>oбeзбeђeњe</w:t>
      </w:r>
      <w:r>
        <w:rPr>
          <w:color w:val="231F20"/>
          <w:spacing w:val="-7"/>
        </w:rPr>
        <w:t> </w:t>
      </w:r>
      <w:r>
        <w:rPr>
          <w:color w:val="231F20"/>
        </w:rPr>
        <w:t>услoвa</w:t>
      </w:r>
      <w:r>
        <w:rPr>
          <w:color w:val="231F20"/>
          <w:spacing w:val="-7"/>
        </w:rPr>
        <w:t> </w:t>
      </w:r>
      <w:r>
        <w:rPr>
          <w:color w:val="231F20"/>
        </w:rPr>
        <w:t>зa</w:t>
      </w:r>
      <w:r>
        <w:rPr>
          <w:color w:val="231F20"/>
          <w:spacing w:val="-7"/>
        </w:rPr>
        <w:t> </w:t>
      </w:r>
      <w:r>
        <w:rPr>
          <w:color w:val="231F20"/>
        </w:rPr>
        <w:t>eвeнтуaлнo</w:t>
      </w:r>
      <w:r>
        <w:rPr>
          <w:color w:val="231F20"/>
          <w:spacing w:val="-7"/>
        </w:rPr>
        <w:t> </w:t>
      </w:r>
      <w:r>
        <w:rPr>
          <w:color w:val="231F20"/>
        </w:rPr>
        <w:t>прeсeљeњe стaнoвништвa, супституциjу кoмунaлнe инфрaструктурe, сaoбрaћajницa, jaвних служби и</w:t>
      </w:r>
      <w:r>
        <w:rPr>
          <w:color w:val="231F20"/>
          <w:spacing w:val="-3"/>
        </w:rPr>
        <w:t> </w:t>
      </w:r>
      <w:r>
        <w:rPr>
          <w:color w:val="231F20"/>
        </w:rPr>
        <w:t>друго.</w:t>
      </w:r>
    </w:p>
    <w:p>
      <w:pPr>
        <w:pStyle w:val="BodyText"/>
        <w:spacing w:line="232" w:lineRule="auto" w:before="2"/>
        <w:ind w:left="241" w:right="127" w:firstLine="396"/>
      </w:pPr>
      <w:r>
        <w:rPr>
          <w:color w:val="231F20"/>
        </w:rPr>
        <w:t>Плaнскo рeшeњe oргaнизaциje и урeђeњa мрeжe нaсeљa и цeнтaрa прeтпoстaвљa oпeрaциoнaлизaциjу слeдeћих циљeвa:</w:t>
      </w:r>
    </w:p>
    <w:p>
      <w:pPr>
        <w:pStyle w:val="BodyText"/>
        <w:spacing w:line="232" w:lineRule="auto" w:before="1"/>
        <w:ind w:left="241" w:right="126" w:firstLine="396"/>
      </w:pPr>
      <w:r>
        <w:rPr>
          <w:color w:val="231F20"/>
          <w:w w:val="66"/>
        </w:rPr>
        <w:t> </w:t>
      </w:r>
      <w:r>
        <w:rPr>
          <w:color w:val="231F20"/>
        </w:rPr>
        <w:t>– </w:t>
      </w:r>
      <w:r>
        <w:rPr>
          <w:color w:val="231F20"/>
          <w:spacing w:val="-3"/>
        </w:rPr>
        <w:t>рaзвoj нaсeљских </w:t>
      </w:r>
      <w:r>
        <w:rPr>
          <w:color w:val="231F20"/>
          <w:spacing w:val="-4"/>
        </w:rPr>
        <w:t>функциja </w:t>
      </w:r>
      <w:r>
        <w:rPr>
          <w:color w:val="231F20"/>
        </w:rPr>
        <w:t>у </w:t>
      </w:r>
      <w:r>
        <w:rPr>
          <w:color w:val="231F20"/>
          <w:spacing w:val="-3"/>
        </w:rPr>
        <w:t>склaду </w:t>
      </w:r>
      <w:r>
        <w:rPr>
          <w:color w:val="231F20"/>
        </w:rPr>
        <w:t>сa </w:t>
      </w:r>
      <w:r>
        <w:rPr>
          <w:color w:val="231F20"/>
          <w:spacing w:val="-3"/>
        </w:rPr>
        <w:t>националним, </w:t>
      </w:r>
      <w:r>
        <w:rPr>
          <w:color w:val="231F20"/>
          <w:spacing w:val="-4"/>
        </w:rPr>
        <w:t>(суб) </w:t>
      </w:r>
      <w:r>
        <w:rPr>
          <w:color w:val="231F20"/>
          <w:spacing w:val="-3"/>
        </w:rPr>
        <w:t>регионалним </w:t>
      </w:r>
      <w:r>
        <w:rPr>
          <w:color w:val="231F20"/>
        </w:rPr>
        <w:t>и </w:t>
      </w:r>
      <w:r>
        <w:rPr>
          <w:color w:val="231F20"/>
          <w:spacing w:val="-3"/>
        </w:rPr>
        <w:t>локалним </w:t>
      </w:r>
      <w:r>
        <w:rPr>
          <w:color w:val="231F20"/>
          <w:spacing w:val="-4"/>
        </w:rPr>
        <w:t>пoлитикама </w:t>
      </w:r>
      <w:r>
        <w:rPr>
          <w:color w:val="231F20"/>
        </w:rPr>
        <w:t>и посебно </w:t>
      </w:r>
      <w:r>
        <w:rPr>
          <w:color w:val="231F20"/>
          <w:spacing w:val="-3"/>
        </w:rPr>
        <w:t>програмима дeмoгрaфскe </w:t>
      </w:r>
      <w:r>
        <w:rPr>
          <w:color w:val="231F20"/>
        </w:rPr>
        <w:t>и </w:t>
      </w:r>
      <w:r>
        <w:rPr>
          <w:color w:val="231F20"/>
          <w:spacing w:val="-3"/>
        </w:rPr>
        <w:t>сoциoeкoнoмскe рeвитaлизaциje рурaлнoг пoдручja </w:t>
      </w:r>
      <w:r>
        <w:rPr>
          <w:color w:val="231F20"/>
        </w:rPr>
        <w:t>и</w:t>
      </w:r>
    </w:p>
    <w:p>
      <w:pPr>
        <w:pStyle w:val="BodyText"/>
        <w:spacing w:line="232" w:lineRule="auto" w:before="2"/>
        <w:ind w:left="241" w:right="126" w:firstLine="397"/>
      </w:pPr>
      <w:r>
        <w:rPr>
          <w:color w:val="231F20"/>
          <w:w w:val="66"/>
        </w:rPr>
        <w:t> </w:t>
      </w:r>
      <w:r>
        <w:rPr>
          <w:color w:val="231F20"/>
        </w:rPr>
        <w:t>– oбeзбeђeњe прихватљиве дoступнoсти oснoвним jaвним службама, услугама и сервисима, уз једновремено смањење соци- јалне искључености стaнoвништва рурaлнoг пoдручja, маргинал- них група и слично.</w:t>
      </w:r>
    </w:p>
    <w:p>
      <w:pPr>
        <w:pStyle w:val="BodyText"/>
        <w:spacing w:before="168"/>
        <w:ind w:left="1784"/>
        <w:jc w:val="left"/>
      </w:pPr>
      <w:r>
        <w:rPr>
          <w:color w:val="231F20"/>
        </w:rPr>
        <w:t>Пресељење становништва</w:t>
      </w:r>
    </w:p>
    <w:p>
      <w:pPr>
        <w:pStyle w:val="BodyText"/>
        <w:spacing w:before="5"/>
        <w:ind w:left="0"/>
        <w:jc w:val="left"/>
        <w:rPr>
          <w:sz w:val="17"/>
        </w:rPr>
      </w:pPr>
    </w:p>
    <w:p>
      <w:pPr>
        <w:pStyle w:val="BodyText"/>
        <w:spacing w:line="232" w:lineRule="auto"/>
        <w:ind w:left="241" w:right="126" w:firstLine="396"/>
      </w:pPr>
      <w:r>
        <w:rPr>
          <w:color w:val="231F20"/>
        </w:rPr>
        <w:t>Полазећи </w:t>
      </w:r>
      <w:r>
        <w:rPr>
          <w:color w:val="231F20"/>
          <w:spacing w:val="-3"/>
        </w:rPr>
        <w:t>од </w:t>
      </w:r>
      <w:r>
        <w:rPr>
          <w:color w:val="231F20"/>
        </w:rPr>
        <w:t>чињенице да рударство и енергетика имају раз- војни приоритет на </w:t>
      </w:r>
      <w:r>
        <w:rPr>
          <w:color w:val="231F20"/>
          <w:spacing w:val="-3"/>
        </w:rPr>
        <w:t>Планском </w:t>
      </w:r>
      <w:r>
        <w:rPr>
          <w:color w:val="231F20"/>
          <w:spacing w:val="-4"/>
        </w:rPr>
        <w:t>подручју, </w:t>
      </w:r>
      <w:r>
        <w:rPr>
          <w:color w:val="231F20"/>
        </w:rPr>
        <w:t>посебнa обавеза се одно- си</w:t>
      </w:r>
      <w:r>
        <w:rPr>
          <w:color w:val="231F20"/>
          <w:spacing w:val="-7"/>
        </w:rPr>
        <w:t> </w:t>
      </w:r>
      <w:r>
        <w:rPr>
          <w:color w:val="231F20"/>
        </w:rPr>
        <w:t>на</w:t>
      </w:r>
      <w:r>
        <w:rPr>
          <w:color w:val="231F20"/>
          <w:spacing w:val="-7"/>
        </w:rPr>
        <w:t> </w:t>
      </w:r>
      <w:r>
        <w:rPr>
          <w:color w:val="231F20"/>
        </w:rPr>
        <w:t>регулисање</w:t>
      </w:r>
      <w:r>
        <w:rPr>
          <w:color w:val="231F20"/>
          <w:spacing w:val="-7"/>
        </w:rPr>
        <w:t> </w:t>
      </w:r>
      <w:r>
        <w:rPr>
          <w:color w:val="231F20"/>
        </w:rPr>
        <w:t>положаја</w:t>
      </w:r>
      <w:r>
        <w:rPr>
          <w:color w:val="231F20"/>
          <w:spacing w:val="-7"/>
        </w:rPr>
        <w:t> </w:t>
      </w:r>
      <w:r>
        <w:rPr>
          <w:color w:val="231F20"/>
        </w:rPr>
        <w:t>и</w:t>
      </w:r>
      <w:r>
        <w:rPr>
          <w:color w:val="231F20"/>
          <w:spacing w:val="-7"/>
        </w:rPr>
        <w:t> </w:t>
      </w:r>
      <w:r>
        <w:rPr>
          <w:color w:val="231F20"/>
        </w:rPr>
        <w:t>услова</w:t>
      </w:r>
      <w:r>
        <w:rPr>
          <w:color w:val="231F20"/>
          <w:spacing w:val="-7"/>
        </w:rPr>
        <w:t> </w:t>
      </w:r>
      <w:r>
        <w:rPr>
          <w:color w:val="231F20"/>
        </w:rPr>
        <w:t>пресељења</w:t>
      </w:r>
      <w:r>
        <w:rPr>
          <w:color w:val="231F20"/>
          <w:spacing w:val="-7"/>
        </w:rPr>
        <w:t> </w:t>
      </w:r>
      <w:r>
        <w:rPr>
          <w:color w:val="231F20"/>
        </w:rPr>
        <w:t>домаћинстава</w:t>
      </w:r>
      <w:r>
        <w:rPr>
          <w:color w:val="231F20"/>
          <w:spacing w:val="-7"/>
        </w:rPr>
        <w:t> </w:t>
      </w:r>
      <w:r>
        <w:rPr>
          <w:color w:val="231F20"/>
        </w:rPr>
        <w:t>чија имовина је предмет експропријација. </w:t>
      </w:r>
      <w:r>
        <w:rPr>
          <w:color w:val="231F20"/>
          <w:spacing w:val="-7"/>
        </w:rPr>
        <w:t>То </w:t>
      </w:r>
      <w:r>
        <w:rPr>
          <w:color w:val="231F20"/>
        </w:rPr>
        <w:t>подразумева правовреме- ну припрему свих услова за пресељење становништва из зона ши- рења копова, кao и обезбеђивање нормалног одвијања живота до момента пресељења. Од посебне важности је регулисање статуса становникa </w:t>
      </w:r>
      <w:r>
        <w:rPr>
          <w:color w:val="231F20"/>
          <w:spacing w:val="-3"/>
        </w:rPr>
        <w:t>који </w:t>
      </w:r>
      <w:r>
        <w:rPr>
          <w:color w:val="231F20"/>
        </w:rPr>
        <w:t>остају да живе у деловима насеља ван зонe шире- ња копова. У </w:t>
      </w:r>
      <w:r>
        <w:rPr>
          <w:color w:val="231F20"/>
          <w:spacing w:val="-3"/>
        </w:rPr>
        <w:t>том </w:t>
      </w:r>
      <w:r>
        <w:rPr>
          <w:color w:val="231F20"/>
        </w:rPr>
        <w:t>смислу утврђују се следећи циљеви, специфици- рани на основу развојних интереса подручја и потреба појединих група</w:t>
      </w:r>
      <w:r>
        <w:rPr>
          <w:color w:val="231F20"/>
          <w:spacing w:val="-2"/>
        </w:rPr>
        <w:t> </w:t>
      </w:r>
      <w:r>
        <w:rPr>
          <w:color w:val="231F20"/>
        </w:rPr>
        <w:t>становништва:</w:t>
      </w:r>
    </w:p>
    <w:p>
      <w:pPr>
        <w:pStyle w:val="BodyText"/>
        <w:spacing w:line="232" w:lineRule="auto" w:before="7"/>
        <w:ind w:left="242" w:right="126" w:firstLine="396"/>
      </w:pPr>
      <w:r>
        <w:rPr>
          <w:color w:val="231F20"/>
          <w:w w:val="66"/>
        </w:rPr>
        <w:t> </w:t>
      </w:r>
      <w:r>
        <w:rPr>
          <w:color w:val="231F20"/>
        </w:rPr>
        <w:t>–</w:t>
      </w:r>
      <w:r>
        <w:rPr>
          <w:color w:val="231F20"/>
          <w:spacing w:val="-15"/>
        </w:rPr>
        <w:t> </w:t>
      </w:r>
      <w:r>
        <w:rPr>
          <w:color w:val="231F20"/>
        </w:rPr>
        <w:t>благовремено</w:t>
      </w:r>
      <w:r>
        <w:rPr>
          <w:color w:val="231F20"/>
          <w:spacing w:val="-15"/>
        </w:rPr>
        <w:t> </w:t>
      </w:r>
      <w:r>
        <w:rPr>
          <w:color w:val="231F20"/>
        </w:rPr>
        <w:t>доношење</w:t>
      </w:r>
      <w:r>
        <w:rPr>
          <w:color w:val="231F20"/>
          <w:spacing w:val="-15"/>
        </w:rPr>
        <w:t> </w:t>
      </w:r>
      <w:r>
        <w:rPr>
          <w:color w:val="231F20"/>
        </w:rPr>
        <w:t>одговарајућег</w:t>
      </w:r>
      <w:r>
        <w:rPr>
          <w:color w:val="231F20"/>
          <w:spacing w:val="-15"/>
        </w:rPr>
        <w:t> </w:t>
      </w:r>
      <w:r>
        <w:rPr>
          <w:color w:val="231F20"/>
        </w:rPr>
        <w:t>планског</w:t>
      </w:r>
      <w:r>
        <w:rPr>
          <w:color w:val="231F20"/>
          <w:spacing w:val="-15"/>
        </w:rPr>
        <w:t> </w:t>
      </w:r>
      <w:r>
        <w:rPr>
          <w:color w:val="231F20"/>
        </w:rPr>
        <w:t>документа и програма</w:t>
      </w:r>
      <w:r>
        <w:rPr>
          <w:color w:val="231F20"/>
          <w:spacing w:val="-2"/>
        </w:rPr>
        <w:t> </w:t>
      </w:r>
      <w:r>
        <w:rPr>
          <w:color w:val="231F20"/>
        </w:rPr>
        <w:t>пресељења;</w:t>
      </w:r>
    </w:p>
    <w:p>
      <w:pPr>
        <w:pStyle w:val="BodyText"/>
        <w:spacing w:line="232" w:lineRule="auto" w:before="2"/>
        <w:ind w:left="242" w:right="126" w:firstLine="396"/>
      </w:pPr>
      <w:r>
        <w:rPr>
          <w:color w:val="231F20"/>
          <w:w w:val="66"/>
        </w:rPr>
        <w:t> </w:t>
      </w:r>
      <w:r>
        <w:rPr>
          <w:color w:val="231F20"/>
        </w:rPr>
        <w:t>– правовремено пресељење становништва у складу са дина- миком ширења копова и у складу са законским и другим правима;</w:t>
      </w:r>
    </w:p>
    <w:p>
      <w:pPr>
        <w:pStyle w:val="BodyText"/>
        <w:spacing w:line="232" w:lineRule="auto" w:before="1"/>
        <w:ind w:left="242" w:right="126" w:firstLine="396"/>
      </w:pPr>
      <w:r>
        <w:rPr>
          <w:color w:val="231F20"/>
          <w:w w:val="66"/>
        </w:rPr>
        <w:t> </w:t>
      </w:r>
      <w:r>
        <w:rPr>
          <w:color w:val="231F20"/>
        </w:rPr>
        <w:t>– функционисање комуналне инфраструктуре, саобраћај- ница, привредних објеката и јавних служби у време спровођења пресељења, као и финансирање њихове изградњe на новим лока- цијама;</w:t>
      </w:r>
    </w:p>
    <w:p>
      <w:pPr>
        <w:spacing w:after="0" w:line="232" w:lineRule="auto"/>
        <w:sectPr>
          <w:pgSz w:w="12480" w:h="15690"/>
          <w:pgMar w:top="120" w:bottom="280" w:left="680" w:right="720"/>
          <w:cols w:num="2" w:equalWidth="0">
            <w:col w:w="5560" w:space="40"/>
            <w:col w:w="5480"/>
          </w:cols>
        </w:sectPr>
      </w:pPr>
    </w:p>
    <w:p>
      <w:pPr>
        <w:pStyle w:val="BodyText"/>
        <w:spacing w:line="232" w:lineRule="auto" w:before="73"/>
        <w:ind w:right="38" w:firstLine="396"/>
      </w:pPr>
      <w:r>
        <w:rPr/>
        <w:pict>
          <v:line style="position:absolute;mso-position-horizontal-relative:page;mso-position-vertical-relative:page;z-index:2224" from="304.724396pt,11.942451pt" to="304.724396pt,748.950451pt" stroked="true" strokeweight=".6pt" strokecolor="#231f20">
            <v:stroke dashstyle="solid"/>
            <w10:wrap type="none"/>
          </v:line>
        </w:pict>
      </w:r>
      <w:r>
        <w:rPr>
          <w:color w:val="231F20"/>
          <w:w w:val="66"/>
        </w:rPr>
        <w:t> </w:t>
      </w:r>
      <w:r>
        <w:rPr>
          <w:color w:val="231F20"/>
        </w:rPr>
        <w:t>–</w:t>
      </w:r>
      <w:r>
        <w:rPr>
          <w:color w:val="231F20"/>
          <w:spacing w:val="-8"/>
        </w:rPr>
        <w:t> </w:t>
      </w:r>
      <w:r>
        <w:rPr>
          <w:color w:val="231F20"/>
        </w:rPr>
        <w:t>усмеравање</w:t>
      </w:r>
      <w:r>
        <w:rPr>
          <w:color w:val="231F20"/>
          <w:spacing w:val="-8"/>
        </w:rPr>
        <w:t> </w:t>
      </w:r>
      <w:r>
        <w:rPr>
          <w:color w:val="231F20"/>
        </w:rPr>
        <w:t>развоја</w:t>
      </w:r>
      <w:r>
        <w:rPr>
          <w:color w:val="231F20"/>
          <w:spacing w:val="-8"/>
        </w:rPr>
        <w:t> </w:t>
      </w:r>
      <w:r>
        <w:rPr>
          <w:color w:val="231F20"/>
        </w:rPr>
        <w:t>насељских</w:t>
      </w:r>
      <w:r>
        <w:rPr>
          <w:color w:val="231F20"/>
          <w:spacing w:val="-8"/>
        </w:rPr>
        <w:t> </w:t>
      </w:r>
      <w:r>
        <w:rPr>
          <w:color w:val="231F20"/>
        </w:rPr>
        <w:t>функција</w:t>
      </w:r>
      <w:r>
        <w:rPr>
          <w:color w:val="231F20"/>
          <w:spacing w:val="-8"/>
        </w:rPr>
        <w:t> </w:t>
      </w:r>
      <w:r>
        <w:rPr>
          <w:color w:val="231F20"/>
        </w:rPr>
        <w:t>и</w:t>
      </w:r>
      <w:r>
        <w:rPr>
          <w:color w:val="231F20"/>
          <w:spacing w:val="-8"/>
        </w:rPr>
        <w:t> </w:t>
      </w:r>
      <w:r>
        <w:rPr>
          <w:color w:val="231F20"/>
        </w:rPr>
        <w:t>садржаја</w:t>
      </w:r>
      <w:r>
        <w:rPr>
          <w:color w:val="231F20"/>
          <w:spacing w:val="-8"/>
        </w:rPr>
        <w:t> </w:t>
      </w:r>
      <w:r>
        <w:rPr>
          <w:color w:val="231F20"/>
        </w:rPr>
        <w:t>на</w:t>
      </w:r>
      <w:r>
        <w:rPr>
          <w:color w:val="231F20"/>
          <w:spacing w:val="-8"/>
        </w:rPr>
        <w:t> </w:t>
      </w:r>
      <w:r>
        <w:rPr>
          <w:color w:val="231F20"/>
        </w:rPr>
        <w:t>про- сторе изван утицаја рударско-енергетског</w:t>
      </w:r>
      <w:r>
        <w:rPr>
          <w:color w:val="231F20"/>
          <w:spacing w:val="-6"/>
        </w:rPr>
        <w:t> </w:t>
      </w:r>
      <w:r>
        <w:rPr>
          <w:color w:val="231F20"/>
          <w:spacing w:val="-3"/>
        </w:rPr>
        <w:t>комплекса;</w:t>
      </w:r>
    </w:p>
    <w:p>
      <w:pPr>
        <w:pStyle w:val="BodyText"/>
        <w:spacing w:line="232" w:lineRule="auto"/>
        <w:ind w:right="38" w:firstLine="396"/>
      </w:pPr>
      <w:r>
        <w:rPr>
          <w:color w:val="231F20"/>
          <w:w w:val="66"/>
        </w:rPr>
        <w:t> </w:t>
      </w:r>
      <w:r>
        <w:rPr>
          <w:color w:val="231F20"/>
        </w:rPr>
        <w:t>– обезбеђење адекватног приступа јавним службама на но- вим локацијама и</w:t>
      </w:r>
    </w:p>
    <w:p>
      <w:pPr>
        <w:pStyle w:val="BodyText"/>
        <w:spacing w:line="230" w:lineRule="auto"/>
        <w:ind w:right="38" w:firstLine="396"/>
      </w:pPr>
      <w:r>
        <w:rPr>
          <w:color w:val="231F20"/>
          <w:w w:val="66"/>
        </w:rPr>
        <w:t> </w:t>
      </w:r>
      <w:r>
        <w:rPr>
          <w:color w:val="231F20"/>
        </w:rPr>
        <w:t>– заштита и помоћ старијим грађанима, посебно самачким и двочланим старачким домаћинствима и другим рањивим групама становништва.</w:t>
      </w:r>
    </w:p>
    <w:p>
      <w:pPr>
        <w:pStyle w:val="ListParagraph"/>
        <w:numPr>
          <w:ilvl w:val="2"/>
          <w:numId w:val="26"/>
        </w:numPr>
        <w:tabs>
          <w:tab w:pos="1107" w:val="left" w:leader="none"/>
        </w:tabs>
        <w:spacing w:line="427" w:lineRule="auto" w:before="161" w:after="0"/>
        <w:ind w:left="2051" w:right="524" w:hanging="1395"/>
        <w:jc w:val="left"/>
        <w:rPr>
          <w:sz w:val="18"/>
        </w:rPr>
      </w:pPr>
      <w:r>
        <w:rPr>
          <w:color w:val="231F20"/>
          <w:spacing w:val="15"/>
          <w:sz w:val="18"/>
        </w:rPr>
        <w:t>Заштит </w:t>
      </w:r>
      <w:r>
        <w:rPr>
          <w:color w:val="231F20"/>
          <w:sz w:val="18"/>
        </w:rPr>
        <w:t>а и </w:t>
      </w:r>
      <w:r>
        <w:rPr>
          <w:color w:val="231F20"/>
          <w:spacing w:val="16"/>
          <w:sz w:val="18"/>
        </w:rPr>
        <w:t>уређење </w:t>
      </w:r>
      <w:r>
        <w:rPr>
          <w:color w:val="231F20"/>
          <w:spacing w:val="15"/>
          <w:sz w:val="18"/>
        </w:rPr>
        <w:t>Планског подручја </w:t>
      </w:r>
      <w:r>
        <w:rPr>
          <w:color w:val="231F20"/>
          <w:sz w:val="18"/>
        </w:rPr>
        <w:t>Животна</w:t>
      </w:r>
      <w:r>
        <w:rPr>
          <w:color w:val="231F20"/>
          <w:spacing w:val="-2"/>
          <w:sz w:val="18"/>
        </w:rPr>
        <w:t> </w:t>
      </w:r>
      <w:r>
        <w:rPr>
          <w:color w:val="231F20"/>
          <w:sz w:val="18"/>
        </w:rPr>
        <w:t>средина</w:t>
      </w:r>
    </w:p>
    <w:p>
      <w:pPr>
        <w:pStyle w:val="BodyText"/>
        <w:spacing w:line="230" w:lineRule="auto" w:before="36"/>
        <w:ind w:left="169" w:right="38" w:firstLine="397"/>
      </w:pPr>
      <w:r>
        <w:rPr>
          <w:color w:val="231F20"/>
        </w:rPr>
        <w:t>Основни дугорочни циљ заштите животне средине на План- </w:t>
      </w:r>
      <w:r>
        <w:rPr>
          <w:color w:val="231F20"/>
          <w:spacing w:val="-4"/>
        </w:rPr>
        <w:t>ском </w:t>
      </w:r>
      <w:r>
        <w:rPr>
          <w:color w:val="231F20"/>
        </w:rPr>
        <w:t>подручју јесте да се обезбеде контролисани услови експлоа- тације лежишта лигнита и производње електричне енергије, као  и одвијање других привредних активности, </w:t>
      </w:r>
      <w:r>
        <w:rPr>
          <w:color w:val="231F20"/>
          <w:spacing w:val="-3"/>
        </w:rPr>
        <w:t>тако </w:t>
      </w:r>
      <w:r>
        <w:rPr>
          <w:color w:val="231F20"/>
        </w:rPr>
        <w:t>да се спречи или умањи трајна деградација простора и загађивање животне сре- дине. При реализацији постављеног циља у изградњи појединих објеката</w:t>
      </w:r>
      <w:r>
        <w:rPr>
          <w:color w:val="231F20"/>
          <w:spacing w:val="-6"/>
        </w:rPr>
        <w:t> </w:t>
      </w:r>
      <w:r>
        <w:rPr>
          <w:color w:val="231F20"/>
        </w:rPr>
        <w:t>на</w:t>
      </w:r>
      <w:r>
        <w:rPr>
          <w:color w:val="231F20"/>
          <w:spacing w:val="-6"/>
        </w:rPr>
        <w:t> </w:t>
      </w:r>
      <w:r>
        <w:rPr>
          <w:color w:val="231F20"/>
          <w:spacing w:val="-3"/>
        </w:rPr>
        <w:t>Планском</w:t>
      </w:r>
      <w:r>
        <w:rPr>
          <w:color w:val="231F20"/>
          <w:spacing w:val="-6"/>
        </w:rPr>
        <w:t> </w:t>
      </w:r>
      <w:r>
        <w:rPr>
          <w:color w:val="231F20"/>
          <w:spacing w:val="-4"/>
        </w:rPr>
        <w:t>подручју,</w:t>
      </w:r>
      <w:r>
        <w:rPr>
          <w:color w:val="231F20"/>
          <w:spacing w:val="-6"/>
        </w:rPr>
        <w:t> </w:t>
      </w:r>
      <w:r>
        <w:rPr>
          <w:color w:val="231F20"/>
        </w:rPr>
        <w:t>обавезан</w:t>
      </w:r>
      <w:r>
        <w:rPr>
          <w:color w:val="231F20"/>
          <w:spacing w:val="-6"/>
        </w:rPr>
        <w:t> </w:t>
      </w:r>
      <w:r>
        <w:rPr>
          <w:color w:val="231F20"/>
        </w:rPr>
        <w:t>је</w:t>
      </w:r>
      <w:r>
        <w:rPr>
          <w:color w:val="231F20"/>
          <w:spacing w:val="-6"/>
        </w:rPr>
        <w:t> </w:t>
      </w:r>
      <w:r>
        <w:rPr>
          <w:color w:val="231F20"/>
        </w:rPr>
        <w:t>превентивни</w:t>
      </w:r>
      <w:r>
        <w:rPr>
          <w:color w:val="231F20"/>
          <w:spacing w:val="-6"/>
        </w:rPr>
        <w:t> </w:t>
      </w:r>
      <w:r>
        <w:rPr>
          <w:color w:val="231F20"/>
        </w:rPr>
        <w:t>приступ</w:t>
      </w:r>
      <w:r>
        <w:rPr>
          <w:color w:val="231F20"/>
          <w:spacing w:val="-6"/>
        </w:rPr>
        <w:t> </w:t>
      </w:r>
      <w:r>
        <w:rPr>
          <w:color w:val="231F20"/>
        </w:rPr>
        <w:t>у очувању ресурса и заштити животне</w:t>
      </w:r>
      <w:r>
        <w:rPr>
          <w:color w:val="231F20"/>
          <w:spacing w:val="-7"/>
        </w:rPr>
        <w:t> </w:t>
      </w:r>
      <w:r>
        <w:rPr>
          <w:color w:val="231F20"/>
        </w:rPr>
        <w:t>средине.</w:t>
      </w:r>
    </w:p>
    <w:p>
      <w:pPr>
        <w:pStyle w:val="BodyText"/>
        <w:spacing w:line="195" w:lineRule="exact"/>
        <w:ind w:left="566"/>
        <w:jc w:val="left"/>
      </w:pPr>
      <w:r>
        <w:rPr>
          <w:color w:val="231F20"/>
        </w:rPr>
        <w:t>Посебни циљеви у области заштите животне средине су:</w:t>
      </w:r>
    </w:p>
    <w:p>
      <w:pPr>
        <w:pStyle w:val="BodyText"/>
        <w:spacing w:line="230" w:lineRule="auto" w:before="2"/>
        <w:ind w:left="169" w:right="39" w:firstLine="396"/>
      </w:pPr>
      <w:r>
        <w:rPr>
          <w:color w:val="231F20"/>
          <w:w w:val="66"/>
        </w:rPr>
        <w:t> </w:t>
      </w:r>
      <w:r>
        <w:rPr>
          <w:color w:val="231F20"/>
        </w:rPr>
        <w:t>– спречавати даље пропадање природне средине и изграђе- них</w:t>
      </w:r>
      <w:r>
        <w:rPr>
          <w:color w:val="231F20"/>
          <w:spacing w:val="-10"/>
        </w:rPr>
        <w:t> </w:t>
      </w:r>
      <w:r>
        <w:rPr>
          <w:color w:val="231F20"/>
        </w:rPr>
        <w:t>објеката,</w:t>
      </w:r>
      <w:r>
        <w:rPr>
          <w:color w:val="231F20"/>
          <w:spacing w:val="-10"/>
        </w:rPr>
        <w:t> </w:t>
      </w:r>
      <w:r>
        <w:rPr>
          <w:color w:val="231F20"/>
        </w:rPr>
        <w:t>заштитити</w:t>
      </w:r>
      <w:r>
        <w:rPr>
          <w:color w:val="231F20"/>
          <w:spacing w:val="-10"/>
        </w:rPr>
        <w:t> </w:t>
      </w:r>
      <w:r>
        <w:rPr>
          <w:color w:val="231F20"/>
        </w:rPr>
        <w:t>и</w:t>
      </w:r>
      <w:r>
        <w:rPr>
          <w:color w:val="231F20"/>
          <w:spacing w:val="-10"/>
        </w:rPr>
        <w:t> </w:t>
      </w:r>
      <w:r>
        <w:rPr>
          <w:color w:val="231F20"/>
        </w:rPr>
        <w:t>побољшати</w:t>
      </w:r>
      <w:r>
        <w:rPr>
          <w:color w:val="231F20"/>
          <w:spacing w:val="-10"/>
        </w:rPr>
        <w:t> </w:t>
      </w:r>
      <w:r>
        <w:rPr>
          <w:color w:val="231F20"/>
        </w:rPr>
        <w:t>стање</w:t>
      </w:r>
      <w:r>
        <w:rPr>
          <w:color w:val="231F20"/>
          <w:spacing w:val="-10"/>
        </w:rPr>
        <w:t> </w:t>
      </w:r>
      <w:r>
        <w:rPr>
          <w:color w:val="231F20"/>
        </w:rPr>
        <w:t>ваздуха,</w:t>
      </w:r>
      <w:r>
        <w:rPr>
          <w:color w:val="231F20"/>
          <w:spacing w:val="-10"/>
        </w:rPr>
        <w:t> </w:t>
      </w:r>
      <w:r>
        <w:rPr>
          <w:color w:val="231F20"/>
        </w:rPr>
        <w:t>вода,</w:t>
      </w:r>
      <w:r>
        <w:rPr>
          <w:color w:val="231F20"/>
          <w:spacing w:val="-10"/>
        </w:rPr>
        <w:t> </w:t>
      </w:r>
      <w:r>
        <w:rPr>
          <w:color w:val="231F20"/>
        </w:rPr>
        <w:t>земљи- шта и</w:t>
      </w:r>
      <w:r>
        <w:rPr>
          <w:color w:val="231F20"/>
          <w:spacing w:val="-2"/>
        </w:rPr>
        <w:t> </w:t>
      </w:r>
      <w:r>
        <w:rPr>
          <w:color w:val="231F20"/>
        </w:rPr>
        <w:t>екосистема;</w:t>
      </w:r>
    </w:p>
    <w:p>
      <w:pPr>
        <w:pStyle w:val="BodyText"/>
        <w:spacing w:line="230" w:lineRule="auto"/>
        <w:ind w:left="169" w:right="39" w:firstLine="396"/>
      </w:pPr>
      <w:r>
        <w:rPr>
          <w:color w:val="231F20"/>
          <w:w w:val="66"/>
        </w:rPr>
        <w:t> </w:t>
      </w:r>
      <w:r>
        <w:rPr>
          <w:color w:val="231F20"/>
        </w:rPr>
        <w:t>–</w:t>
      </w:r>
      <w:r>
        <w:rPr>
          <w:color w:val="231F20"/>
          <w:spacing w:val="-7"/>
        </w:rPr>
        <w:t> </w:t>
      </w:r>
      <w:r>
        <w:rPr>
          <w:color w:val="231F20"/>
        </w:rPr>
        <w:t>подстицати</w:t>
      </w:r>
      <w:r>
        <w:rPr>
          <w:color w:val="231F20"/>
          <w:spacing w:val="-7"/>
        </w:rPr>
        <w:t> </w:t>
      </w:r>
      <w:r>
        <w:rPr>
          <w:color w:val="231F20"/>
        </w:rPr>
        <w:t>одрживо</w:t>
      </w:r>
      <w:r>
        <w:rPr>
          <w:color w:val="231F20"/>
          <w:spacing w:val="-7"/>
        </w:rPr>
        <w:t> </w:t>
      </w:r>
      <w:r>
        <w:rPr>
          <w:color w:val="231F20"/>
        </w:rPr>
        <w:t>коришћење</w:t>
      </w:r>
      <w:r>
        <w:rPr>
          <w:color w:val="231F20"/>
          <w:spacing w:val="-7"/>
        </w:rPr>
        <w:t> </w:t>
      </w:r>
      <w:r>
        <w:rPr>
          <w:color w:val="231F20"/>
        </w:rPr>
        <w:t>природних</w:t>
      </w:r>
      <w:r>
        <w:rPr>
          <w:color w:val="231F20"/>
          <w:spacing w:val="-7"/>
        </w:rPr>
        <w:t> </w:t>
      </w:r>
      <w:r>
        <w:rPr>
          <w:color w:val="231F20"/>
        </w:rPr>
        <w:t>ресурса</w:t>
      </w:r>
      <w:r>
        <w:rPr>
          <w:color w:val="231F20"/>
          <w:spacing w:val="-7"/>
        </w:rPr>
        <w:t> </w:t>
      </w:r>
      <w:r>
        <w:rPr>
          <w:color w:val="231F20"/>
        </w:rPr>
        <w:t>(угља, нафте, гаса, земљишта и вода) засновано на дугорочној</w:t>
      </w:r>
      <w:r>
        <w:rPr>
          <w:color w:val="231F20"/>
          <w:spacing w:val="-29"/>
        </w:rPr>
        <w:t> </w:t>
      </w:r>
      <w:r>
        <w:rPr>
          <w:color w:val="231F20"/>
        </w:rPr>
        <w:t>стратегији заштите ваздуха, вода и</w:t>
      </w:r>
      <w:r>
        <w:rPr>
          <w:color w:val="231F20"/>
          <w:spacing w:val="-3"/>
        </w:rPr>
        <w:t> </w:t>
      </w:r>
      <w:r>
        <w:rPr>
          <w:color w:val="231F20"/>
        </w:rPr>
        <w:t>земљишта;</w:t>
      </w:r>
    </w:p>
    <w:p>
      <w:pPr>
        <w:pStyle w:val="BodyText"/>
        <w:spacing w:line="230" w:lineRule="auto"/>
        <w:ind w:left="169" w:right="38" w:firstLine="396"/>
      </w:pPr>
      <w:r>
        <w:rPr>
          <w:color w:val="231F20"/>
          <w:w w:val="66"/>
        </w:rPr>
        <w:t> </w:t>
      </w:r>
      <w:r>
        <w:rPr>
          <w:color w:val="231F20"/>
        </w:rPr>
        <w:t>– побољшати заштиту и унапредити квалитет ваздуха, по- вршинских и подземних вода и земљишта, између осталог, при- меном конкретних мера за прогресивно смањење испуштања, емисије и транспорта загађујућих материја у животну средину, а нарочито сумпор диоксида, азотних оксида, пепела и других ток- сичних материја;</w:t>
      </w:r>
    </w:p>
    <w:p>
      <w:pPr>
        <w:pStyle w:val="BodyText"/>
        <w:spacing w:line="230" w:lineRule="auto"/>
        <w:ind w:right="38" w:firstLine="396"/>
      </w:pPr>
      <w:r>
        <w:rPr>
          <w:color w:val="231F20"/>
          <w:w w:val="66"/>
        </w:rPr>
        <w:t> </w:t>
      </w:r>
      <w:r>
        <w:rPr>
          <w:color w:val="231F20"/>
        </w:rPr>
        <w:t>– санирати загађене делове животне средине и деградиране просторе;</w:t>
      </w:r>
    </w:p>
    <w:p>
      <w:pPr>
        <w:pStyle w:val="BodyText"/>
        <w:spacing w:line="230" w:lineRule="auto"/>
        <w:ind w:right="38" w:firstLine="396"/>
      </w:pPr>
      <w:r>
        <w:rPr>
          <w:color w:val="231F20"/>
          <w:w w:val="66"/>
        </w:rPr>
        <w:t> </w:t>
      </w:r>
      <w:r>
        <w:rPr>
          <w:color w:val="231F20"/>
        </w:rPr>
        <w:t>–</w:t>
      </w:r>
      <w:r>
        <w:rPr>
          <w:color w:val="231F20"/>
          <w:spacing w:val="-11"/>
        </w:rPr>
        <w:t> </w:t>
      </w:r>
      <w:r>
        <w:rPr>
          <w:color w:val="231F20"/>
        </w:rPr>
        <w:t>обезбедити</w:t>
      </w:r>
      <w:r>
        <w:rPr>
          <w:color w:val="231F20"/>
          <w:spacing w:val="-11"/>
        </w:rPr>
        <w:t> </w:t>
      </w:r>
      <w:r>
        <w:rPr>
          <w:color w:val="231F20"/>
        </w:rPr>
        <w:t>услове</w:t>
      </w:r>
      <w:r>
        <w:rPr>
          <w:color w:val="231F20"/>
          <w:spacing w:val="-11"/>
        </w:rPr>
        <w:t> </w:t>
      </w:r>
      <w:r>
        <w:rPr>
          <w:color w:val="231F20"/>
        </w:rPr>
        <w:t>рада</w:t>
      </w:r>
      <w:r>
        <w:rPr>
          <w:color w:val="231F20"/>
          <w:spacing w:val="-11"/>
        </w:rPr>
        <w:t> </w:t>
      </w:r>
      <w:r>
        <w:rPr>
          <w:color w:val="231F20"/>
        </w:rPr>
        <w:t>постројења</w:t>
      </w:r>
      <w:r>
        <w:rPr>
          <w:color w:val="231F20"/>
          <w:spacing w:val="-11"/>
        </w:rPr>
        <w:t> </w:t>
      </w:r>
      <w:r>
        <w:rPr>
          <w:color w:val="231F20"/>
        </w:rPr>
        <w:t>и</w:t>
      </w:r>
      <w:r>
        <w:rPr>
          <w:color w:val="231F20"/>
          <w:spacing w:val="-11"/>
        </w:rPr>
        <w:t> </w:t>
      </w:r>
      <w:r>
        <w:rPr>
          <w:color w:val="231F20"/>
        </w:rPr>
        <w:t>коришћења</w:t>
      </w:r>
      <w:r>
        <w:rPr>
          <w:color w:val="231F20"/>
          <w:spacing w:val="-11"/>
        </w:rPr>
        <w:t> </w:t>
      </w:r>
      <w:r>
        <w:rPr>
          <w:color w:val="231F20"/>
        </w:rPr>
        <w:t>објеката</w:t>
      </w:r>
      <w:r>
        <w:rPr>
          <w:color w:val="231F20"/>
          <w:spacing w:val="-11"/>
        </w:rPr>
        <w:t> </w:t>
      </w:r>
      <w:r>
        <w:rPr>
          <w:color w:val="231F20"/>
        </w:rPr>
        <w:t>у границама пројектованих</w:t>
      </w:r>
      <w:r>
        <w:rPr>
          <w:color w:val="231F20"/>
          <w:spacing w:val="-2"/>
        </w:rPr>
        <w:t> </w:t>
      </w:r>
      <w:r>
        <w:rPr>
          <w:color w:val="231F20"/>
        </w:rPr>
        <w:t>режима;</w:t>
      </w:r>
    </w:p>
    <w:p>
      <w:pPr>
        <w:pStyle w:val="BodyText"/>
        <w:spacing w:line="230" w:lineRule="auto"/>
        <w:ind w:right="38" w:firstLine="396"/>
      </w:pPr>
      <w:r>
        <w:rPr>
          <w:color w:val="231F20"/>
          <w:w w:val="66"/>
        </w:rPr>
        <w:t> </w:t>
      </w:r>
      <w:r>
        <w:rPr>
          <w:color w:val="231F20"/>
        </w:rPr>
        <w:t>–</w:t>
      </w:r>
      <w:r>
        <w:rPr>
          <w:color w:val="231F20"/>
          <w:spacing w:val="-15"/>
        </w:rPr>
        <w:t> </w:t>
      </w:r>
      <w:r>
        <w:rPr>
          <w:color w:val="231F20"/>
        </w:rPr>
        <w:t>елиминисати</w:t>
      </w:r>
      <w:r>
        <w:rPr>
          <w:color w:val="231F20"/>
          <w:spacing w:val="-15"/>
        </w:rPr>
        <w:t> </w:t>
      </w:r>
      <w:r>
        <w:rPr>
          <w:color w:val="231F20"/>
        </w:rPr>
        <w:t>„прљаве”</w:t>
      </w:r>
      <w:r>
        <w:rPr>
          <w:color w:val="231F20"/>
          <w:spacing w:val="-15"/>
        </w:rPr>
        <w:t> </w:t>
      </w:r>
      <w:r>
        <w:rPr>
          <w:color w:val="231F20"/>
        </w:rPr>
        <w:t>технологије</w:t>
      </w:r>
      <w:r>
        <w:rPr>
          <w:color w:val="231F20"/>
          <w:spacing w:val="-15"/>
        </w:rPr>
        <w:t> </w:t>
      </w:r>
      <w:r>
        <w:rPr>
          <w:color w:val="231F20"/>
        </w:rPr>
        <w:t>и</w:t>
      </w:r>
      <w:r>
        <w:rPr>
          <w:color w:val="231F20"/>
          <w:spacing w:val="-15"/>
        </w:rPr>
        <w:t> </w:t>
      </w:r>
      <w:r>
        <w:rPr>
          <w:color w:val="231F20"/>
        </w:rPr>
        <w:t>еколошки</w:t>
      </w:r>
      <w:r>
        <w:rPr>
          <w:color w:val="231F20"/>
          <w:spacing w:val="-15"/>
        </w:rPr>
        <w:t> </w:t>
      </w:r>
      <w:r>
        <w:rPr>
          <w:color w:val="231F20"/>
        </w:rPr>
        <w:t>неефикасна постројења;</w:t>
      </w:r>
    </w:p>
    <w:p>
      <w:pPr>
        <w:pStyle w:val="BodyText"/>
        <w:spacing w:line="230" w:lineRule="auto"/>
        <w:ind w:left="169" w:right="38" w:firstLine="397"/>
      </w:pPr>
      <w:r>
        <w:rPr>
          <w:color w:val="231F20"/>
          <w:w w:val="66"/>
        </w:rPr>
        <w:t> </w:t>
      </w:r>
      <w:r>
        <w:rPr>
          <w:color w:val="231F20"/>
        </w:rPr>
        <w:t>– реализовати пројекте из области енергетске  ефикасно-  сти и обновљивих извора енергије применом механизма чистије производње, односно увођењем најбољих доступних технологија (BAТ), </w:t>
      </w:r>
      <w:r>
        <w:rPr>
          <w:color w:val="231F20"/>
          <w:spacing w:val="-3"/>
        </w:rPr>
        <w:t>које </w:t>
      </w:r>
      <w:r>
        <w:rPr>
          <w:color w:val="231F20"/>
        </w:rPr>
        <w:t>ће допринети смањењу емисија CO2 и гасова стаклене баште;</w:t>
      </w:r>
    </w:p>
    <w:p>
      <w:pPr>
        <w:pStyle w:val="BodyText"/>
        <w:spacing w:line="230" w:lineRule="auto"/>
        <w:ind w:left="169" w:right="39" w:firstLine="397"/>
      </w:pPr>
      <w:r>
        <w:rPr>
          <w:color w:val="231F20"/>
          <w:w w:val="66"/>
        </w:rPr>
        <w:t> </w:t>
      </w:r>
      <w:r>
        <w:rPr>
          <w:color w:val="231F20"/>
        </w:rPr>
        <w:t>– применити технологије пречишћавања ваздуха и вода са повећаним степеном ефикасности, које ће омогућити задовољење строжијих захтева Европске уније (у даљем тексту: ЕУ) за зашти- ту животне средине;</w:t>
      </w:r>
    </w:p>
    <w:p>
      <w:pPr>
        <w:pStyle w:val="BodyText"/>
        <w:spacing w:line="230" w:lineRule="auto"/>
        <w:ind w:left="169" w:right="39" w:firstLine="396"/>
      </w:pPr>
      <w:r>
        <w:rPr>
          <w:color w:val="231F20"/>
          <w:w w:val="66"/>
        </w:rPr>
        <w:t> </w:t>
      </w:r>
      <w:r>
        <w:rPr>
          <w:color w:val="231F20"/>
        </w:rPr>
        <w:t>– применити концепт интегралне заштите животне средине на основу биланса загађујућих материја;</w:t>
      </w:r>
    </w:p>
    <w:p>
      <w:pPr>
        <w:pStyle w:val="BodyText"/>
        <w:spacing w:line="230" w:lineRule="auto"/>
        <w:ind w:right="38" w:firstLine="396"/>
      </w:pPr>
      <w:r>
        <w:rPr>
          <w:color w:val="231F20"/>
          <w:w w:val="66"/>
        </w:rPr>
        <w:t> </w:t>
      </w:r>
      <w:r>
        <w:rPr>
          <w:color w:val="231F20"/>
        </w:rPr>
        <w:t>–</w:t>
      </w:r>
      <w:r>
        <w:rPr>
          <w:color w:val="231F20"/>
          <w:spacing w:val="-9"/>
        </w:rPr>
        <w:t> </w:t>
      </w:r>
      <w:r>
        <w:rPr>
          <w:color w:val="231F20"/>
        </w:rPr>
        <w:t>унапредити</w:t>
      </w:r>
      <w:r>
        <w:rPr>
          <w:color w:val="231F20"/>
          <w:spacing w:val="-9"/>
        </w:rPr>
        <w:t> </w:t>
      </w:r>
      <w:r>
        <w:rPr>
          <w:color w:val="231F20"/>
        </w:rPr>
        <w:t>систем</w:t>
      </w:r>
      <w:r>
        <w:rPr>
          <w:color w:val="231F20"/>
          <w:spacing w:val="-9"/>
        </w:rPr>
        <w:t> </w:t>
      </w:r>
      <w:r>
        <w:rPr>
          <w:color w:val="231F20"/>
        </w:rPr>
        <w:t>прикупљања</w:t>
      </w:r>
      <w:r>
        <w:rPr>
          <w:color w:val="231F20"/>
          <w:spacing w:val="-9"/>
        </w:rPr>
        <w:t> </w:t>
      </w:r>
      <w:r>
        <w:rPr>
          <w:color w:val="231F20"/>
        </w:rPr>
        <w:t>и</w:t>
      </w:r>
      <w:r>
        <w:rPr>
          <w:color w:val="231F20"/>
          <w:spacing w:val="-9"/>
        </w:rPr>
        <w:t> </w:t>
      </w:r>
      <w:r>
        <w:rPr>
          <w:color w:val="231F20"/>
        </w:rPr>
        <w:t>одлагања</w:t>
      </w:r>
      <w:r>
        <w:rPr>
          <w:color w:val="231F20"/>
          <w:spacing w:val="-9"/>
        </w:rPr>
        <w:t> </w:t>
      </w:r>
      <w:r>
        <w:rPr>
          <w:color w:val="231F20"/>
        </w:rPr>
        <w:t>чврстог</w:t>
      </w:r>
      <w:r>
        <w:rPr>
          <w:color w:val="231F20"/>
          <w:spacing w:val="-9"/>
        </w:rPr>
        <w:t> </w:t>
      </w:r>
      <w:r>
        <w:rPr>
          <w:color w:val="231F20"/>
        </w:rPr>
        <w:t>отпада и повећати степен рециклирања отпада, кao и примену пепела у грађевинарству;</w:t>
      </w:r>
    </w:p>
    <w:p>
      <w:pPr>
        <w:pStyle w:val="BodyText"/>
        <w:spacing w:line="230" w:lineRule="auto"/>
        <w:ind w:right="38" w:firstLine="396"/>
      </w:pPr>
      <w:r>
        <w:rPr>
          <w:color w:val="231F20"/>
          <w:w w:val="66"/>
        </w:rPr>
        <w:t> </w:t>
      </w:r>
      <w:r>
        <w:rPr>
          <w:color w:val="231F20"/>
        </w:rPr>
        <w:t>– предвидети посебне мере заштите за евентуалне удесе са опасним хемикалијама;</w:t>
      </w:r>
    </w:p>
    <w:p>
      <w:pPr>
        <w:pStyle w:val="BodyText"/>
        <w:spacing w:line="230" w:lineRule="auto"/>
        <w:ind w:right="38" w:firstLine="397"/>
      </w:pPr>
      <w:r>
        <w:rPr>
          <w:color w:val="231F20"/>
          <w:w w:val="66"/>
        </w:rPr>
        <w:t> </w:t>
      </w:r>
      <w:r>
        <w:rPr>
          <w:color w:val="231F20"/>
        </w:rPr>
        <w:t>– предузети системске мере заштите становништва које је угрожено незадовољавајућим квалитетом животне средине у на- сељима;</w:t>
      </w:r>
    </w:p>
    <w:p>
      <w:pPr>
        <w:pStyle w:val="BodyText"/>
        <w:spacing w:line="230" w:lineRule="auto"/>
        <w:ind w:left="169" w:right="39" w:firstLine="397"/>
      </w:pPr>
      <w:r>
        <w:rPr>
          <w:color w:val="231F20"/>
          <w:w w:val="66"/>
        </w:rPr>
        <w:t> </w:t>
      </w:r>
      <w:r>
        <w:rPr>
          <w:color w:val="231F20"/>
        </w:rPr>
        <w:t>– обезбедити услове да се интереси </w:t>
      </w:r>
      <w:r>
        <w:rPr>
          <w:color w:val="231F20"/>
          <w:spacing w:val="-3"/>
        </w:rPr>
        <w:t>који </w:t>
      </w:r>
      <w:r>
        <w:rPr>
          <w:color w:val="231F20"/>
        </w:rPr>
        <w:t>произлазе из </w:t>
      </w:r>
      <w:r>
        <w:rPr>
          <w:color w:val="231F20"/>
          <w:spacing w:val="-3"/>
        </w:rPr>
        <w:t>кон- </w:t>
      </w:r>
      <w:r>
        <w:rPr>
          <w:color w:val="231F20"/>
        </w:rPr>
        <w:t>цепта одрживог развоја и заштите животне средине анализирају  и уважавају </w:t>
      </w:r>
      <w:r>
        <w:rPr>
          <w:color w:val="231F20"/>
          <w:spacing w:val="-3"/>
        </w:rPr>
        <w:t>приликом </w:t>
      </w:r>
      <w:r>
        <w:rPr>
          <w:color w:val="231F20"/>
        </w:rPr>
        <w:t>доношења пословних и развојних</w:t>
      </w:r>
      <w:r>
        <w:rPr>
          <w:color w:val="231F20"/>
          <w:spacing w:val="-14"/>
        </w:rPr>
        <w:t> </w:t>
      </w:r>
      <w:r>
        <w:rPr>
          <w:color w:val="231F20"/>
        </w:rPr>
        <w:t>одлука;</w:t>
      </w:r>
    </w:p>
    <w:p>
      <w:pPr>
        <w:pStyle w:val="BodyText"/>
        <w:spacing w:line="230" w:lineRule="auto"/>
        <w:ind w:left="169" w:right="39" w:firstLine="396"/>
      </w:pPr>
      <w:r>
        <w:rPr>
          <w:color w:val="231F20"/>
          <w:w w:val="66"/>
        </w:rPr>
        <w:t> </w:t>
      </w:r>
      <w:r>
        <w:rPr>
          <w:color w:val="231F20"/>
        </w:rPr>
        <w:t>– планирати и успоставити савремен систем мониторинга животне средине и</w:t>
      </w:r>
    </w:p>
    <w:p>
      <w:pPr>
        <w:pStyle w:val="BodyText"/>
        <w:spacing w:line="230" w:lineRule="auto"/>
        <w:ind w:left="169" w:right="39" w:firstLine="396"/>
      </w:pPr>
      <w:r>
        <w:rPr>
          <w:color w:val="231F20"/>
          <w:w w:val="66"/>
        </w:rPr>
        <w:t> </w:t>
      </w:r>
      <w:r>
        <w:rPr>
          <w:color w:val="231F20"/>
        </w:rPr>
        <w:t>–</w:t>
      </w:r>
      <w:r>
        <w:rPr>
          <w:color w:val="231F20"/>
          <w:spacing w:val="-8"/>
        </w:rPr>
        <w:t> </w:t>
      </w:r>
      <w:r>
        <w:rPr>
          <w:color w:val="231F20"/>
        </w:rPr>
        <w:t>унапредити</w:t>
      </w:r>
      <w:r>
        <w:rPr>
          <w:color w:val="231F20"/>
          <w:spacing w:val="-8"/>
        </w:rPr>
        <w:t> </w:t>
      </w:r>
      <w:r>
        <w:rPr>
          <w:color w:val="231F20"/>
        </w:rPr>
        <w:t>систем</w:t>
      </w:r>
      <w:r>
        <w:rPr>
          <w:color w:val="231F20"/>
          <w:spacing w:val="-8"/>
        </w:rPr>
        <w:t> </w:t>
      </w:r>
      <w:r>
        <w:rPr>
          <w:color w:val="231F20"/>
        </w:rPr>
        <w:t>управљања</w:t>
      </w:r>
      <w:r>
        <w:rPr>
          <w:color w:val="231F20"/>
          <w:spacing w:val="-8"/>
        </w:rPr>
        <w:t> </w:t>
      </w:r>
      <w:r>
        <w:rPr>
          <w:color w:val="231F20"/>
        </w:rPr>
        <w:t>животном</w:t>
      </w:r>
      <w:r>
        <w:rPr>
          <w:color w:val="231F20"/>
          <w:spacing w:val="-8"/>
        </w:rPr>
        <w:t> </w:t>
      </w:r>
      <w:r>
        <w:rPr>
          <w:color w:val="231F20"/>
        </w:rPr>
        <w:t>средином</w:t>
      </w:r>
      <w:r>
        <w:rPr>
          <w:color w:val="231F20"/>
          <w:spacing w:val="-8"/>
        </w:rPr>
        <w:t> </w:t>
      </w:r>
      <w:r>
        <w:rPr>
          <w:color w:val="231F20"/>
        </w:rPr>
        <w:t>у</w:t>
      </w:r>
      <w:r>
        <w:rPr>
          <w:color w:val="231F20"/>
          <w:spacing w:val="-8"/>
        </w:rPr>
        <w:t> </w:t>
      </w:r>
      <w:r>
        <w:rPr>
          <w:color w:val="231F20"/>
        </w:rPr>
        <w:t>окви- ру ПД ТЕ-КО „Костолац” и на </w:t>
      </w:r>
      <w:r>
        <w:rPr>
          <w:color w:val="231F20"/>
          <w:spacing w:val="-3"/>
        </w:rPr>
        <w:t>Планском</w:t>
      </w:r>
      <w:r>
        <w:rPr>
          <w:color w:val="231F20"/>
          <w:spacing w:val="-7"/>
        </w:rPr>
        <w:t> </w:t>
      </w:r>
      <w:r>
        <w:rPr>
          <w:color w:val="231F20"/>
          <w:spacing w:val="-4"/>
        </w:rPr>
        <w:t>подручју.</w:t>
      </w:r>
    </w:p>
    <w:p>
      <w:pPr>
        <w:pStyle w:val="BodyText"/>
        <w:spacing w:before="157"/>
        <w:ind w:left="1122"/>
        <w:jc w:val="left"/>
      </w:pPr>
      <w:r>
        <w:rPr>
          <w:color w:val="231F20"/>
        </w:rPr>
        <w:t>Рекултивација и ревитализација простора</w:t>
      </w:r>
    </w:p>
    <w:p>
      <w:pPr>
        <w:pStyle w:val="BodyText"/>
        <w:spacing w:before="1"/>
        <w:ind w:left="0"/>
        <w:jc w:val="left"/>
        <w:rPr>
          <w:sz w:val="17"/>
        </w:rPr>
      </w:pPr>
    </w:p>
    <w:p>
      <w:pPr>
        <w:pStyle w:val="BodyText"/>
        <w:spacing w:line="230" w:lineRule="auto"/>
        <w:ind w:left="169" w:right="39" w:firstLine="396"/>
      </w:pPr>
      <w:r>
        <w:rPr>
          <w:color w:val="231F20"/>
        </w:rPr>
        <w:t>Полазећи </w:t>
      </w:r>
      <w:r>
        <w:rPr>
          <w:color w:val="231F20"/>
          <w:spacing w:val="-3"/>
        </w:rPr>
        <w:t>од </w:t>
      </w:r>
      <w:r>
        <w:rPr>
          <w:color w:val="231F20"/>
        </w:rPr>
        <w:t>генералног правила да се на пострударским те- ренима мора у што краћем року формирати плодно земљиште и отпоран биљни покривач, </w:t>
      </w:r>
      <w:r>
        <w:rPr>
          <w:color w:val="231F20"/>
          <w:spacing w:val="-3"/>
        </w:rPr>
        <w:t>који </w:t>
      </w:r>
      <w:r>
        <w:rPr>
          <w:color w:val="231F20"/>
        </w:rPr>
        <w:t>по репродуктивним способности- ма неће заостајати за </w:t>
      </w:r>
      <w:r>
        <w:rPr>
          <w:color w:val="231F20"/>
          <w:spacing w:val="-3"/>
        </w:rPr>
        <w:t>аутохтоним </w:t>
      </w:r>
      <w:r>
        <w:rPr>
          <w:color w:val="231F20"/>
        </w:rPr>
        <w:t>земљиштем и биљним врстама у непосредном </w:t>
      </w:r>
      <w:r>
        <w:rPr>
          <w:color w:val="231F20"/>
          <w:spacing w:val="-4"/>
        </w:rPr>
        <w:t>окружењу, </w:t>
      </w:r>
      <w:r>
        <w:rPr>
          <w:color w:val="231F20"/>
        </w:rPr>
        <w:t>утврђују се следећи циљеви и непосред- ни задаци рекултивације и ревитализације простора деградираног експлоатацијом и прерадом </w:t>
      </w:r>
      <w:r>
        <w:rPr>
          <w:color w:val="231F20"/>
          <w:spacing w:val="-3"/>
        </w:rPr>
        <w:t>костолачког </w:t>
      </w:r>
      <w:r>
        <w:rPr>
          <w:color w:val="231F20"/>
        </w:rPr>
        <w:t>угља:</w:t>
      </w:r>
    </w:p>
    <w:p>
      <w:pPr>
        <w:pStyle w:val="BodyText"/>
        <w:spacing w:line="232" w:lineRule="auto" w:before="70"/>
        <w:ind w:left="169" w:right="412" w:firstLine="396"/>
      </w:pPr>
      <w:r>
        <w:rPr/>
        <w:br w:type="column"/>
      </w:r>
      <w:r>
        <w:rPr>
          <w:color w:val="231F20"/>
          <w:w w:val="66"/>
        </w:rPr>
        <w:t> </w:t>
      </w:r>
      <w:r>
        <w:rPr>
          <w:color w:val="231F20"/>
        </w:rPr>
        <w:t>– убрзати техничку и биолошку рекултивацију терена који више нису у функцији рударско-енергетских активности;</w:t>
      </w:r>
    </w:p>
    <w:p>
      <w:pPr>
        <w:pStyle w:val="BodyText"/>
        <w:spacing w:line="232" w:lineRule="auto"/>
        <w:ind w:left="169" w:right="411" w:firstLine="396"/>
      </w:pPr>
      <w:r>
        <w:rPr>
          <w:color w:val="231F20"/>
          <w:w w:val="66"/>
        </w:rPr>
        <w:t> </w:t>
      </w:r>
      <w:r>
        <w:rPr>
          <w:color w:val="231F20"/>
        </w:rPr>
        <w:t>–</w:t>
      </w:r>
      <w:r>
        <w:rPr>
          <w:color w:val="231F20"/>
          <w:spacing w:val="-17"/>
        </w:rPr>
        <w:t> </w:t>
      </w:r>
      <w:r>
        <w:rPr>
          <w:color w:val="231F20"/>
        </w:rPr>
        <w:t>повећати</w:t>
      </w:r>
      <w:r>
        <w:rPr>
          <w:color w:val="231F20"/>
          <w:spacing w:val="-17"/>
        </w:rPr>
        <w:t> </w:t>
      </w:r>
      <w:r>
        <w:rPr>
          <w:color w:val="231F20"/>
        </w:rPr>
        <w:t>еколошки,</w:t>
      </w:r>
      <w:r>
        <w:rPr>
          <w:color w:val="231F20"/>
          <w:spacing w:val="-17"/>
        </w:rPr>
        <w:t> </w:t>
      </w:r>
      <w:r>
        <w:rPr>
          <w:color w:val="231F20"/>
        </w:rPr>
        <w:t>здравствени,</w:t>
      </w:r>
      <w:r>
        <w:rPr>
          <w:color w:val="231F20"/>
          <w:spacing w:val="-17"/>
        </w:rPr>
        <w:t> </w:t>
      </w:r>
      <w:r>
        <w:rPr>
          <w:color w:val="231F20"/>
        </w:rPr>
        <w:t>естетски</w:t>
      </w:r>
      <w:r>
        <w:rPr>
          <w:color w:val="231F20"/>
          <w:spacing w:val="-17"/>
        </w:rPr>
        <w:t> </w:t>
      </w:r>
      <w:r>
        <w:rPr>
          <w:color w:val="231F20"/>
        </w:rPr>
        <w:t>и</w:t>
      </w:r>
      <w:r>
        <w:rPr>
          <w:color w:val="231F20"/>
          <w:spacing w:val="-17"/>
        </w:rPr>
        <w:t> </w:t>
      </w:r>
      <w:r>
        <w:rPr>
          <w:color w:val="231F20"/>
        </w:rPr>
        <w:t>економски</w:t>
      </w:r>
      <w:r>
        <w:rPr>
          <w:color w:val="231F20"/>
          <w:spacing w:val="-17"/>
        </w:rPr>
        <w:t> </w:t>
      </w:r>
      <w:r>
        <w:rPr>
          <w:color w:val="231F20"/>
        </w:rPr>
        <w:t>ква- литета рекултивисаног простора, у односу стање пре привременог заузимања за потребе развоја </w:t>
      </w:r>
      <w:r>
        <w:rPr>
          <w:color w:val="231F20"/>
          <w:spacing w:val="-3"/>
        </w:rPr>
        <w:t>рударства </w:t>
      </w:r>
      <w:r>
        <w:rPr>
          <w:color w:val="231F20"/>
        </w:rPr>
        <w:t>и енергетике, применом међусобно усклађених мера у домену ремедијације и рекултива- ције земљишта, обнове и заштите природе, развоја пољопривред- не производње, пошумљавања, развоја туризма и креирања нових могућности запошљавања на</w:t>
      </w:r>
      <w:r>
        <w:rPr>
          <w:color w:val="231F20"/>
          <w:spacing w:val="-3"/>
        </w:rPr>
        <w:t> </w:t>
      </w:r>
      <w:r>
        <w:rPr>
          <w:color w:val="231F20"/>
        </w:rPr>
        <w:t>селу;</w:t>
      </w:r>
    </w:p>
    <w:p>
      <w:pPr>
        <w:pStyle w:val="BodyText"/>
        <w:spacing w:line="232" w:lineRule="auto"/>
        <w:ind w:left="169" w:right="411" w:firstLine="397"/>
      </w:pPr>
      <w:r>
        <w:rPr>
          <w:color w:val="231F20"/>
          <w:w w:val="66"/>
        </w:rPr>
        <w:t> </w:t>
      </w:r>
      <w:r>
        <w:rPr>
          <w:color w:val="231F20"/>
        </w:rPr>
        <w:t>– смањити/релативизирати основни конфликт између пољо- привреде и рударства, брзим и ефикасним оспособљавањем опти- малног дела оштећених површина за високопродуктивну, рента- билну и стабилну производњу квалитетне и здравствено безбедне хране и аграрних сировина, применом еколошких и економских критеријума евалуације;</w:t>
      </w:r>
    </w:p>
    <w:p>
      <w:pPr>
        <w:pStyle w:val="BodyText"/>
        <w:spacing w:line="232" w:lineRule="auto"/>
        <w:ind w:left="169" w:right="412" w:firstLine="397"/>
      </w:pPr>
      <w:r>
        <w:rPr>
          <w:color w:val="231F20"/>
          <w:w w:val="66"/>
        </w:rPr>
        <w:t> </w:t>
      </w:r>
      <w:r>
        <w:rPr>
          <w:color w:val="231F20"/>
        </w:rPr>
        <w:t>–</w:t>
      </w:r>
      <w:r>
        <w:rPr>
          <w:color w:val="231F20"/>
          <w:spacing w:val="-8"/>
        </w:rPr>
        <w:t> </w:t>
      </w:r>
      <w:r>
        <w:rPr>
          <w:color w:val="231F20"/>
        </w:rPr>
        <w:t>функционално</w:t>
      </w:r>
      <w:r>
        <w:rPr>
          <w:color w:val="231F20"/>
          <w:spacing w:val="-8"/>
        </w:rPr>
        <w:t> </w:t>
      </w:r>
      <w:r>
        <w:rPr>
          <w:color w:val="231F20"/>
        </w:rPr>
        <w:t>и</w:t>
      </w:r>
      <w:r>
        <w:rPr>
          <w:color w:val="231F20"/>
          <w:spacing w:val="-8"/>
        </w:rPr>
        <w:t> </w:t>
      </w:r>
      <w:r>
        <w:rPr>
          <w:color w:val="231F20"/>
        </w:rPr>
        <w:t>развојно</w:t>
      </w:r>
      <w:r>
        <w:rPr>
          <w:color w:val="231F20"/>
          <w:spacing w:val="-8"/>
        </w:rPr>
        <w:t> </w:t>
      </w:r>
      <w:r>
        <w:rPr>
          <w:color w:val="231F20"/>
        </w:rPr>
        <w:t>ускладити</w:t>
      </w:r>
      <w:r>
        <w:rPr>
          <w:color w:val="231F20"/>
          <w:spacing w:val="-8"/>
        </w:rPr>
        <w:t> </w:t>
      </w:r>
      <w:r>
        <w:rPr>
          <w:color w:val="231F20"/>
        </w:rPr>
        <w:t>примењиване</w:t>
      </w:r>
      <w:r>
        <w:rPr>
          <w:color w:val="231F20"/>
          <w:spacing w:val="-8"/>
        </w:rPr>
        <w:t> </w:t>
      </w:r>
      <w:r>
        <w:rPr>
          <w:color w:val="231F20"/>
        </w:rPr>
        <w:t>мере</w:t>
      </w:r>
      <w:r>
        <w:rPr>
          <w:color w:val="231F20"/>
          <w:spacing w:val="-8"/>
        </w:rPr>
        <w:t> </w:t>
      </w:r>
      <w:r>
        <w:rPr>
          <w:color w:val="231F20"/>
        </w:rPr>
        <w:t>це- ловите предеоне рехабилитације одлагалишта пепела и раскривке с планским активностима и мерама за повећање квалитета живље- ња и ефикасности привређивања не само на локалном </w:t>
      </w:r>
      <w:r>
        <w:rPr>
          <w:color w:val="231F20"/>
          <w:spacing w:val="-5"/>
        </w:rPr>
        <w:t>нивоу, </w:t>
      </w:r>
      <w:r>
        <w:rPr>
          <w:color w:val="231F20"/>
        </w:rPr>
        <w:t>већ и на ширем подручју утицаја експлоатације </w:t>
      </w:r>
      <w:r>
        <w:rPr>
          <w:color w:val="231F20"/>
          <w:spacing w:val="-3"/>
        </w:rPr>
        <w:t>Костолачког </w:t>
      </w:r>
      <w:r>
        <w:rPr>
          <w:color w:val="231F20"/>
        </w:rPr>
        <w:t>лигнитског басена;</w:t>
      </w:r>
    </w:p>
    <w:p>
      <w:pPr>
        <w:pStyle w:val="BodyText"/>
        <w:spacing w:line="232" w:lineRule="auto"/>
        <w:ind w:left="169" w:right="412" w:firstLine="397"/>
      </w:pPr>
      <w:r>
        <w:rPr>
          <w:color w:val="231F20"/>
          <w:w w:val="66"/>
        </w:rPr>
        <w:t> </w:t>
      </w:r>
      <w:r>
        <w:rPr>
          <w:color w:val="231F20"/>
        </w:rPr>
        <w:t>–</w:t>
      </w:r>
      <w:r>
        <w:rPr>
          <w:color w:val="231F20"/>
          <w:spacing w:val="-15"/>
        </w:rPr>
        <w:t> </w:t>
      </w:r>
      <w:r>
        <w:rPr>
          <w:color w:val="231F20"/>
        </w:rPr>
        <w:t>обезбедити</w:t>
      </w:r>
      <w:r>
        <w:rPr>
          <w:color w:val="231F20"/>
          <w:spacing w:val="-15"/>
        </w:rPr>
        <w:t> </w:t>
      </w:r>
      <w:r>
        <w:rPr>
          <w:color w:val="231F20"/>
        </w:rPr>
        <w:t>подршку</w:t>
      </w:r>
      <w:r>
        <w:rPr>
          <w:color w:val="231F20"/>
          <w:spacing w:val="-15"/>
        </w:rPr>
        <w:t> </w:t>
      </w:r>
      <w:r>
        <w:rPr>
          <w:color w:val="231F20"/>
        </w:rPr>
        <w:t>повећању</w:t>
      </w:r>
      <w:r>
        <w:rPr>
          <w:color w:val="231F20"/>
          <w:spacing w:val="-15"/>
        </w:rPr>
        <w:t> </w:t>
      </w:r>
      <w:r>
        <w:rPr>
          <w:color w:val="231F20"/>
        </w:rPr>
        <w:t>биокапацитета</w:t>
      </w:r>
      <w:r>
        <w:rPr>
          <w:color w:val="231F20"/>
          <w:spacing w:val="-15"/>
        </w:rPr>
        <w:t> </w:t>
      </w:r>
      <w:r>
        <w:rPr>
          <w:color w:val="231F20"/>
        </w:rPr>
        <w:t>укупног</w:t>
      </w:r>
      <w:r>
        <w:rPr>
          <w:color w:val="231F20"/>
          <w:spacing w:val="-15"/>
        </w:rPr>
        <w:t> </w:t>
      </w:r>
      <w:r>
        <w:rPr>
          <w:color w:val="231F20"/>
        </w:rPr>
        <w:t>про- стора у непосредном окружењу рударских и термоенергетских објеката, уз посебно вођење рачуна о успостављању тзв. тампон зона према заштићеним природним и културним добрима </w:t>
      </w:r>
      <w:r>
        <w:rPr>
          <w:color w:val="231F20"/>
          <w:spacing w:val="-3"/>
        </w:rPr>
        <w:t>која </w:t>
      </w:r>
      <w:r>
        <w:rPr>
          <w:color w:val="231F20"/>
        </w:rPr>
        <w:t>су доминантним делом концентрисана уз Дунав</w:t>
      </w:r>
      <w:r>
        <w:rPr>
          <w:color w:val="231F20"/>
          <w:spacing w:val="-7"/>
        </w:rPr>
        <w:t> </w:t>
      </w:r>
      <w:r>
        <w:rPr>
          <w:color w:val="231F20"/>
        </w:rPr>
        <w:t>и</w:t>
      </w:r>
    </w:p>
    <w:p>
      <w:pPr>
        <w:pStyle w:val="BodyText"/>
        <w:spacing w:line="232" w:lineRule="auto"/>
        <w:ind w:left="169" w:right="411" w:firstLine="396"/>
      </w:pPr>
      <w:r>
        <w:rPr>
          <w:color w:val="231F20"/>
          <w:w w:val="66"/>
        </w:rPr>
        <w:t> </w:t>
      </w:r>
      <w:r>
        <w:rPr>
          <w:color w:val="231F20"/>
        </w:rPr>
        <w:t>– пoвeћати eкoнoмску eфeктивнoст инвeстициoних улагања у тeхничку и биoлoшку рeкултивацију дeградираних пoвршина, разрадoм oдгoварајућих алтeрнативних прoграма кoјима сe дeтаљнo разрађују тeхнoлoшки, друштвeни, eкoлoшки и тржишни ризици и нeизвeснoсти, уз посебно уважавање дугорочних дру- штвених</w:t>
      </w:r>
      <w:r>
        <w:rPr>
          <w:color w:val="231F20"/>
          <w:spacing w:val="-8"/>
        </w:rPr>
        <w:t> </w:t>
      </w:r>
      <w:r>
        <w:rPr>
          <w:color w:val="231F20"/>
        </w:rPr>
        <w:t>интереса/права</w:t>
      </w:r>
      <w:r>
        <w:rPr>
          <w:color w:val="231F20"/>
          <w:spacing w:val="-8"/>
        </w:rPr>
        <w:t> </w:t>
      </w:r>
      <w:r>
        <w:rPr>
          <w:color w:val="231F20"/>
          <w:spacing w:val="-3"/>
        </w:rPr>
        <w:t>будућих</w:t>
      </w:r>
      <w:r>
        <w:rPr>
          <w:color w:val="231F20"/>
          <w:spacing w:val="-8"/>
        </w:rPr>
        <w:t> </w:t>
      </w:r>
      <w:r>
        <w:rPr>
          <w:color w:val="231F20"/>
        </w:rPr>
        <w:t>генерација</w:t>
      </w:r>
      <w:r>
        <w:rPr>
          <w:color w:val="231F20"/>
          <w:spacing w:val="-8"/>
        </w:rPr>
        <w:t> </w:t>
      </w:r>
      <w:r>
        <w:rPr>
          <w:color w:val="231F20"/>
        </w:rPr>
        <w:t>на</w:t>
      </w:r>
      <w:r>
        <w:rPr>
          <w:color w:val="231F20"/>
          <w:spacing w:val="-8"/>
        </w:rPr>
        <w:t> </w:t>
      </w:r>
      <w:r>
        <w:rPr>
          <w:color w:val="231F20"/>
        </w:rPr>
        <w:t>задовољавање</w:t>
      </w:r>
      <w:r>
        <w:rPr>
          <w:color w:val="231F20"/>
          <w:spacing w:val="-8"/>
        </w:rPr>
        <w:t> </w:t>
      </w:r>
      <w:r>
        <w:rPr>
          <w:color w:val="231F20"/>
        </w:rPr>
        <w:t>сво- јих потреба, односно са становишта одрживог</w:t>
      </w:r>
      <w:r>
        <w:rPr>
          <w:color w:val="231F20"/>
          <w:spacing w:val="-4"/>
        </w:rPr>
        <w:t> </w:t>
      </w:r>
      <w:r>
        <w:rPr>
          <w:color w:val="231F20"/>
        </w:rPr>
        <w:t>развоја.</w:t>
      </w:r>
    </w:p>
    <w:p>
      <w:pPr>
        <w:pStyle w:val="BodyText"/>
        <w:spacing w:line="232" w:lineRule="auto"/>
        <w:ind w:right="411" w:firstLine="396"/>
      </w:pPr>
      <w:r>
        <w:rPr>
          <w:color w:val="231F20"/>
        </w:rPr>
        <w:t>Остваривање постављених циљева засниваће се на темељно урађеним дугорочним и оперативним плановима и пројектима. То подразумева и преиспитивање, односно допуну текућих програма техничке и биолошке рекултивације деградираног земљишта.</w:t>
      </w:r>
    </w:p>
    <w:p>
      <w:pPr>
        <w:pStyle w:val="BodyText"/>
        <w:spacing w:before="162"/>
        <w:ind w:left="1666"/>
        <w:jc w:val="left"/>
      </w:pPr>
      <w:r>
        <w:rPr>
          <w:color w:val="231F20"/>
        </w:rPr>
        <w:t>Заштита природе и предела</w:t>
      </w:r>
    </w:p>
    <w:p>
      <w:pPr>
        <w:pStyle w:val="BodyText"/>
        <w:spacing w:before="4"/>
        <w:ind w:left="0"/>
        <w:jc w:val="left"/>
        <w:rPr>
          <w:sz w:val="17"/>
        </w:rPr>
      </w:pPr>
    </w:p>
    <w:p>
      <w:pPr>
        <w:pStyle w:val="BodyText"/>
        <w:spacing w:line="232" w:lineRule="auto"/>
        <w:ind w:right="411" w:firstLine="397"/>
      </w:pPr>
      <w:r>
        <w:rPr>
          <w:color w:val="231F20"/>
        </w:rPr>
        <w:t>Општи циљеви заштите природе и природних добара односе се на очување:</w:t>
      </w:r>
    </w:p>
    <w:p>
      <w:pPr>
        <w:pStyle w:val="BodyText"/>
        <w:spacing w:line="232" w:lineRule="auto"/>
        <w:ind w:right="411" w:firstLine="396"/>
      </w:pPr>
      <w:r>
        <w:rPr>
          <w:color w:val="231F20"/>
          <w:w w:val="66"/>
        </w:rPr>
        <w:t> </w:t>
      </w:r>
      <w:r>
        <w:rPr>
          <w:color w:val="231F20"/>
        </w:rPr>
        <w:t>– биолошке разноврсности (специјског, екосистемског и ге- нетског диверзитета);</w:t>
      </w:r>
    </w:p>
    <w:p>
      <w:pPr>
        <w:pStyle w:val="BodyText"/>
        <w:spacing w:line="232" w:lineRule="auto"/>
        <w:ind w:right="411" w:firstLine="396"/>
      </w:pPr>
      <w:r>
        <w:rPr>
          <w:color w:val="231F20"/>
          <w:w w:val="66"/>
        </w:rPr>
        <w:t> </w:t>
      </w:r>
      <w:r>
        <w:rPr>
          <w:color w:val="231F20"/>
        </w:rPr>
        <w:t>– геонаслеђа (геолошких, геоморфолошких и педолошких феномена);</w:t>
      </w:r>
    </w:p>
    <w:p>
      <w:pPr>
        <w:pStyle w:val="BodyText"/>
        <w:spacing w:line="199" w:lineRule="exact"/>
        <w:ind w:left="567"/>
        <w:jc w:val="left"/>
      </w:pPr>
      <w:r>
        <w:rPr>
          <w:color w:val="231F20"/>
          <w:w w:val="66"/>
        </w:rPr>
        <w:t> </w:t>
      </w:r>
      <w:r>
        <w:rPr>
          <w:color w:val="231F20"/>
        </w:rPr>
        <w:t>– трајности и квалитета есенцијалних природних ресурса и</w:t>
      </w:r>
    </w:p>
    <w:p>
      <w:pPr>
        <w:pStyle w:val="BodyText"/>
        <w:spacing w:line="232" w:lineRule="auto" w:before="2"/>
        <w:ind w:left="567" w:right="343"/>
        <w:jc w:val="left"/>
      </w:pPr>
      <w:r>
        <w:rPr>
          <w:color w:val="231F20"/>
          <w:w w:val="66"/>
        </w:rPr>
        <w:t> </w:t>
      </w:r>
      <w:r>
        <w:rPr>
          <w:color w:val="231F20"/>
        </w:rPr>
        <w:t>– издвојених и заштићених природних вредности. Оперативни циљеви заштите природе су:</w:t>
      </w:r>
    </w:p>
    <w:p>
      <w:pPr>
        <w:pStyle w:val="BodyText"/>
        <w:spacing w:line="232" w:lineRule="auto"/>
        <w:ind w:left="169" w:right="412" w:firstLine="397"/>
      </w:pPr>
      <w:r>
        <w:rPr>
          <w:color w:val="231F20"/>
          <w:w w:val="66"/>
        </w:rPr>
        <w:t> </w:t>
      </w:r>
      <w:r>
        <w:rPr>
          <w:color w:val="231F20"/>
        </w:rPr>
        <w:t>– доследно и строго остваривање законских и планских про- позиција које се односе на заштићена природна добра; чување и одржавање постојећих, раније установљених природних добара;</w:t>
      </w:r>
    </w:p>
    <w:p>
      <w:pPr>
        <w:pStyle w:val="BodyText"/>
        <w:spacing w:line="232" w:lineRule="auto"/>
        <w:ind w:left="169" w:right="412" w:firstLine="397"/>
      </w:pPr>
      <w:r>
        <w:rPr>
          <w:color w:val="231F20"/>
          <w:w w:val="66"/>
        </w:rPr>
        <w:t> </w:t>
      </w:r>
      <w:r>
        <w:rPr>
          <w:color w:val="231F20"/>
        </w:rPr>
        <w:t>– доследно и строго остваривање законских и планских про- позиција</w:t>
      </w:r>
      <w:r>
        <w:rPr>
          <w:color w:val="231F20"/>
          <w:spacing w:val="-12"/>
        </w:rPr>
        <w:t> </w:t>
      </w:r>
      <w:r>
        <w:rPr>
          <w:color w:val="231F20"/>
          <w:spacing w:val="-4"/>
        </w:rPr>
        <w:t>које</w:t>
      </w:r>
      <w:r>
        <w:rPr>
          <w:color w:val="231F20"/>
          <w:spacing w:val="-12"/>
        </w:rPr>
        <w:t> </w:t>
      </w:r>
      <w:r>
        <w:rPr>
          <w:color w:val="231F20"/>
        </w:rPr>
        <w:t>се</w:t>
      </w:r>
      <w:r>
        <w:rPr>
          <w:color w:val="231F20"/>
          <w:spacing w:val="-12"/>
        </w:rPr>
        <w:t> </w:t>
      </w:r>
      <w:r>
        <w:rPr>
          <w:color w:val="231F20"/>
        </w:rPr>
        <w:t>односе</w:t>
      </w:r>
      <w:r>
        <w:rPr>
          <w:color w:val="231F20"/>
          <w:spacing w:val="-12"/>
        </w:rPr>
        <w:t> </w:t>
      </w:r>
      <w:r>
        <w:rPr>
          <w:color w:val="231F20"/>
        </w:rPr>
        <w:t>на</w:t>
      </w:r>
      <w:r>
        <w:rPr>
          <w:color w:val="231F20"/>
          <w:spacing w:val="-12"/>
        </w:rPr>
        <w:t> </w:t>
      </w:r>
      <w:r>
        <w:rPr>
          <w:color w:val="231F20"/>
        </w:rPr>
        <w:t>подручја</w:t>
      </w:r>
      <w:r>
        <w:rPr>
          <w:color w:val="231F20"/>
          <w:spacing w:val="-12"/>
        </w:rPr>
        <w:t> </w:t>
      </w:r>
      <w:r>
        <w:rPr>
          <w:color w:val="231F20"/>
          <w:spacing w:val="-4"/>
        </w:rPr>
        <w:t>од</w:t>
      </w:r>
      <w:r>
        <w:rPr>
          <w:color w:val="231F20"/>
          <w:spacing w:val="-12"/>
        </w:rPr>
        <w:t> </w:t>
      </w:r>
      <w:r>
        <w:rPr>
          <w:color w:val="231F20"/>
        </w:rPr>
        <w:t>међународног</w:t>
      </w:r>
      <w:r>
        <w:rPr>
          <w:color w:val="231F20"/>
          <w:spacing w:val="-12"/>
        </w:rPr>
        <w:t> </w:t>
      </w:r>
      <w:r>
        <w:rPr>
          <w:color w:val="231F20"/>
        </w:rPr>
        <w:t>значаја:</w:t>
      </w:r>
      <w:r>
        <w:rPr>
          <w:color w:val="231F20"/>
          <w:spacing w:val="-12"/>
        </w:rPr>
        <w:t> </w:t>
      </w:r>
      <w:r>
        <w:rPr>
          <w:color w:val="231F20"/>
        </w:rPr>
        <w:t>обала Дунава – IBА, </w:t>
      </w:r>
      <w:r>
        <w:rPr>
          <w:color w:val="231F20"/>
          <w:spacing w:val="-4"/>
        </w:rPr>
        <w:t>Лабудово </w:t>
      </w:r>
      <w:r>
        <w:rPr>
          <w:color w:val="231F20"/>
        </w:rPr>
        <w:t>окно – Рамсар, EMERALD и PBA</w:t>
      </w:r>
      <w:r>
        <w:rPr>
          <w:color w:val="231F20"/>
          <w:spacing w:val="-36"/>
        </w:rPr>
        <w:t> </w:t>
      </w:r>
      <w:r>
        <w:rPr>
          <w:color w:val="231F20"/>
        </w:rPr>
        <w:t>мрежа;</w:t>
      </w:r>
    </w:p>
    <w:p>
      <w:pPr>
        <w:pStyle w:val="BodyText"/>
        <w:spacing w:line="232" w:lineRule="auto"/>
        <w:ind w:left="169" w:right="411" w:firstLine="396"/>
      </w:pPr>
      <w:r>
        <w:rPr>
          <w:color w:val="231F20"/>
          <w:w w:val="66"/>
        </w:rPr>
        <w:t> </w:t>
      </w:r>
      <w:r>
        <w:rPr>
          <w:color w:val="231F20"/>
        </w:rPr>
        <w:t>– увођење у статус заштићених природних добара, у складу са законским и планским одредбама, односно на основу резулта- та научних истраживања нових локалитета од посебне вредности (Бара Шугавица, палеонтолошки локалитет са скелетом мамута – Mammuthus meridionalis и друго.);</w:t>
      </w:r>
    </w:p>
    <w:p>
      <w:pPr>
        <w:pStyle w:val="BodyText"/>
        <w:spacing w:line="232" w:lineRule="auto"/>
        <w:ind w:right="411" w:firstLine="396"/>
      </w:pPr>
      <w:r>
        <w:rPr>
          <w:color w:val="231F20"/>
          <w:w w:val="66"/>
        </w:rPr>
        <w:t> </w:t>
      </w:r>
      <w:r>
        <w:rPr>
          <w:color w:val="231F20"/>
        </w:rPr>
        <w:t>– уређивање за одговарајуће јавне намене и презентација по- стојећих и </w:t>
      </w:r>
      <w:r>
        <w:rPr>
          <w:color w:val="231F20"/>
          <w:spacing w:val="-3"/>
        </w:rPr>
        <w:t>будућих </w:t>
      </w:r>
      <w:r>
        <w:rPr>
          <w:color w:val="231F20"/>
        </w:rPr>
        <w:t>заштићених природних добара; припрема и реализација програма заштите и развоја и пројеката санације, </w:t>
      </w:r>
      <w:r>
        <w:rPr>
          <w:color w:val="231F20"/>
          <w:spacing w:val="-3"/>
        </w:rPr>
        <w:t>кон- </w:t>
      </w:r>
      <w:r>
        <w:rPr>
          <w:color w:val="231F20"/>
        </w:rPr>
        <w:t>зервације и уређење заштићених природних добара и њиховог ре- левантног просторног оквира;</w:t>
      </w:r>
    </w:p>
    <w:p>
      <w:pPr>
        <w:pStyle w:val="BodyText"/>
        <w:spacing w:line="232" w:lineRule="auto"/>
        <w:ind w:right="411" w:firstLine="397"/>
      </w:pPr>
      <w:r>
        <w:rPr>
          <w:color w:val="231F20"/>
          <w:w w:val="66"/>
        </w:rPr>
        <w:t> </w:t>
      </w:r>
      <w:r>
        <w:rPr>
          <w:color w:val="231F20"/>
        </w:rPr>
        <w:t>– одрживо коришћење природних вредности, минимизовање негативних ефеката коришћења основног ресурса и приоритетна санација (рекултивација, ремедијација и слично) најоштећенијих делова простора;</w:t>
      </w:r>
    </w:p>
    <w:p>
      <w:pPr>
        <w:pStyle w:val="BodyText"/>
        <w:spacing w:line="232" w:lineRule="auto"/>
        <w:ind w:right="411" w:firstLine="396"/>
      </w:pPr>
      <w:r>
        <w:rPr>
          <w:color w:val="231F20"/>
          <w:w w:val="66"/>
        </w:rPr>
        <w:t> </w:t>
      </w:r>
      <w:r>
        <w:rPr>
          <w:color w:val="231F20"/>
        </w:rPr>
        <w:t>– очување и заштита естетских, културно-историјских и функционалних обележја предела;</w:t>
      </w:r>
    </w:p>
    <w:p>
      <w:pPr>
        <w:pStyle w:val="BodyText"/>
        <w:spacing w:line="232" w:lineRule="auto"/>
        <w:ind w:right="411" w:firstLine="396"/>
      </w:pPr>
      <w:r>
        <w:rPr>
          <w:color w:val="231F20"/>
          <w:w w:val="66"/>
        </w:rPr>
        <w:t> </w:t>
      </w:r>
      <w:r>
        <w:rPr>
          <w:color w:val="231F20"/>
        </w:rPr>
        <w:t>– чување или пажљиво, ограничено коришћење фонда биљ- них и животињских врста обухваћеним Уредбом о заштити при- родних реткости, уколико се у даљим истраживањима те врсте</w:t>
      </w:r>
    </w:p>
    <w:p>
      <w:pPr>
        <w:spacing w:after="0" w:line="232" w:lineRule="auto"/>
        <w:sectPr>
          <w:pgSz w:w="12480" w:h="15690"/>
          <w:pgMar w:top="120" w:bottom="280" w:left="680" w:right="720"/>
          <w:cols w:num="2" w:equalWidth="0">
            <w:col w:w="5314" w:space="72"/>
            <w:col w:w="5694"/>
          </w:cols>
        </w:sectPr>
      </w:pPr>
    </w:p>
    <w:p>
      <w:pPr>
        <w:pStyle w:val="BodyText"/>
        <w:spacing w:line="232" w:lineRule="auto" w:before="73"/>
        <w:ind w:left="453"/>
      </w:pPr>
      <w:r>
        <w:rPr/>
        <w:pict>
          <v:line style="position:absolute;mso-position-horizontal-relative:page;mso-position-vertical-relative:page;z-index:2248" from="318.897614pt,11.942451pt" to="318.897614pt,748.950451pt" stroked="true" strokeweight=".6pt" strokecolor="#231f20">
            <v:stroke dashstyle="solid"/>
            <w10:wrap type="none"/>
          </v:line>
        </w:pict>
      </w:r>
      <w:r>
        <w:rPr>
          <w:color w:val="231F20"/>
        </w:rPr>
        <w:t>констатују на Планском подручју, као и дивљих врста гљива, ли- шајева, биљака и животиња обухваћених одговарајућим закон- ским и подзаконским актима;</w:t>
      </w:r>
    </w:p>
    <w:p>
      <w:pPr>
        <w:pStyle w:val="BodyText"/>
        <w:spacing w:line="232" w:lineRule="auto"/>
        <w:ind w:left="453" w:firstLine="396"/>
      </w:pPr>
      <w:r>
        <w:rPr>
          <w:color w:val="231F20"/>
          <w:w w:val="66"/>
        </w:rPr>
        <w:t> </w:t>
      </w:r>
      <w:r>
        <w:rPr>
          <w:color w:val="231F20"/>
        </w:rPr>
        <w:t>– обезбеђене ефикасних механизама за комплексну проверу еколошке прихватљивости планом предложених намена просто- ра, укључујући и утицај на вредности биодиверзитета, предела и геонаслеђа кроз одговарајуће студије утицаја на околину и укљу- чивање јавности у доношењу одлука у вези са пројектним актив- ностима и</w:t>
      </w:r>
    </w:p>
    <w:p>
      <w:pPr>
        <w:pStyle w:val="BodyText"/>
        <w:spacing w:line="232" w:lineRule="auto"/>
        <w:ind w:left="454" w:firstLine="396"/>
      </w:pPr>
      <w:r>
        <w:rPr>
          <w:color w:val="231F20"/>
          <w:w w:val="66"/>
        </w:rPr>
        <w:t> </w:t>
      </w:r>
      <w:r>
        <w:rPr>
          <w:color w:val="231F20"/>
        </w:rPr>
        <w:t>– дефинисање односа према посебно вредним природним елементима (појединачна стабла, групе или делови шума).</w:t>
      </w:r>
    </w:p>
    <w:p>
      <w:pPr>
        <w:pStyle w:val="BodyText"/>
        <w:spacing w:line="232" w:lineRule="auto"/>
        <w:ind w:left="453" w:firstLine="397"/>
      </w:pPr>
      <w:r>
        <w:rPr>
          <w:color w:val="231F20"/>
        </w:rPr>
        <w:t>Посебни циљеви заштите, уређења и развоја предела План- ског подручја су:</w:t>
      </w:r>
    </w:p>
    <w:p>
      <w:pPr>
        <w:pStyle w:val="BodyText"/>
        <w:spacing w:line="232" w:lineRule="auto"/>
        <w:ind w:left="453" w:firstLine="396"/>
      </w:pPr>
      <w:r>
        <w:rPr>
          <w:color w:val="231F20"/>
          <w:w w:val="66"/>
        </w:rPr>
        <w:t> </w:t>
      </w:r>
      <w:r>
        <w:rPr>
          <w:color w:val="231F20"/>
        </w:rPr>
        <w:t>– ревитализација и рекултивација подручја која су заузета експлоатацијом лигнита;</w:t>
      </w:r>
    </w:p>
    <w:p>
      <w:pPr>
        <w:pStyle w:val="BodyText"/>
        <w:spacing w:line="232" w:lineRule="auto"/>
        <w:ind w:left="453" w:firstLine="396"/>
      </w:pPr>
      <w:r>
        <w:rPr>
          <w:color w:val="231F20"/>
          <w:w w:val="66"/>
        </w:rPr>
        <w:t> </w:t>
      </w:r>
      <w:r>
        <w:rPr>
          <w:color w:val="231F20"/>
        </w:rPr>
        <w:t>– заштита и унапређење свих идентификованих природних, социјалних и економских потенцијала предела – хабитата, </w:t>
      </w:r>
      <w:r>
        <w:rPr>
          <w:color w:val="231F20"/>
          <w:spacing w:val="-3"/>
        </w:rPr>
        <w:t>култур- </w:t>
      </w:r>
      <w:r>
        <w:rPr>
          <w:color w:val="231F20"/>
        </w:rPr>
        <w:t>но историјских вредности, споменика </w:t>
      </w:r>
      <w:r>
        <w:rPr>
          <w:color w:val="231F20"/>
          <w:spacing w:val="-3"/>
        </w:rPr>
        <w:t>културе </w:t>
      </w:r>
      <w:r>
        <w:rPr>
          <w:color w:val="231F20"/>
        </w:rPr>
        <w:t>и њихове </w:t>
      </w:r>
      <w:r>
        <w:rPr>
          <w:color w:val="231F20"/>
          <w:spacing w:val="-3"/>
        </w:rPr>
        <w:t>околине, </w:t>
      </w:r>
      <w:r>
        <w:rPr>
          <w:color w:val="231F20"/>
        </w:rPr>
        <w:t>природних добара, природних елемената, начина градње типичне за подручје и слично;</w:t>
      </w:r>
    </w:p>
    <w:p>
      <w:pPr>
        <w:pStyle w:val="BodyText"/>
        <w:spacing w:line="232" w:lineRule="auto"/>
        <w:ind w:left="453" w:firstLine="396"/>
      </w:pPr>
      <w:r>
        <w:rPr>
          <w:color w:val="231F20"/>
          <w:w w:val="66"/>
        </w:rPr>
        <w:t> </w:t>
      </w:r>
      <w:r>
        <w:rPr>
          <w:color w:val="231F20"/>
        </w:rPr>
        <w:t>–</w:t>
      </w:r>
      <w:r>
        <w:rPr>
          <w:color w:val="231F20"/>
          <w:spacing w:val="-10"/>
        </w:rPr>
        <w:t> </w:t>
      </w:r>
      <w:r>
        <w:rPr>
          <w:color w:val="231F20"/>
        </w:rPr>
        <w:t>умањење</w:t>
      </w:r>
      <w:r>
        <w:rPr>
          <w:color w:val="231F20"/>
          <w:spacing w:val="-10"/>
        </w:rPr>
        <w:t> </w:t>
      </w:r>
      <w:r>
        <w:rPr>
          <w:color w:val="231F20"/>
        </w:rPr>
        <w:t>негативних</w:t>
      </w:r>
      <w:r>
        <w:rPr>
          <w:color w:val="231F20"/>
          <w:spacing w:val="-10"/>
        </w:rPr>
        <w:t> </w:t>
      </w:r>
      <w:r>
        <w:rPr>
          <w:color w:val="231F20"/>
        </w:rPr>
        <w:t>утицаја</w:t>
      </w:r>
      <w:r>
        <w:rPr>
          <w:color w:val="231F20"/>
          <w:spacing w:val="-10"/>
        </w:rPr>
        <w:t> </w:t>
      </w:r>
      <w:r>
        <w:rPr>
          <w:color w:val="231F20"/>
        </w:rPr>
        <w:t>развоја</w:t>
      </w:r>
      <w:r>
        <w:rPr>
          <w:color w:val="231F20"/>
          <w:spacing w:val="-10"/>
        </w:rPr>
        <w:t> </w:t>
      </w:r>
      <w:r>
        <w:rPr>
          <w:color w:val="231F20"/>
        </w:rPr>
        <w:t>на</w:t>
      </w:r>
      <w:r>
        <w:rPr>
          <w:color w:val="231F20"/>
          <w:spacing w:val="-10"/>
        </w:rPr>
        <w:t> </w:t>
      </w:r>
      <w:r>
        <w:rPr>
          <w:color w:val="231F20"/>
        </w:rPr>
        <w:t>предео</w:t>
      </w:r>
      <w:r>
        <w:rPr>
          <w:color w:val="231F20"/>
          <w:spacing w:val="-10"/>
        </w:rPr>
        <w:t> </w:t>
      </w:r>
      <w:r>
        <w:rPr>
          <w:color w:val="231F20"/>
        </w:rPr>
        <w:t>у</w:t>
      </w:r>
      <w:r>
        <w:rPr>
          <w:color w:val="231F20"/>
          <w:spacing w:val="-10"/>
        </w:rPr>
        <w:t> </w:t>
      </w:r>
      <w:r>
        <w:rPr>
          <w:color w:val="231F20"/>
        </w:rPr>
        <w:t>смислу</w:t>
      </w:r>
      <w:r>
        <w:rPr>
          <w:color w:val="231F20"/>
          <w:spacing w:val="-10"/>
        </w:rPr>
        <w:t> </w:t>
      </w:r>
      <w:r>
        <w:rPr>
          <w:color w:val="231F20"/>
        </w:rPr>
        <w:t>за- државања и очувања постојеће структуре и повезаности међу ста- ништима дивље флоре и </w:t>
      </w:r>
      <w:r>
        <w:rPr>
          <w:color w:val="231F20"/>
          <w:spacing w:val="-3"/>
        </w:rPr>
        <w:t>фауне</w:t>
      </w:r>
      <w:r>
        <w:rPr>
          <w:color w:val="231F20"/>
          <w:spacing w:val="-4"/>
        </w:rPr>
        <w:t> </w:t>
      </w:r>
      <w:r>
        <w:rPr>
          <w:color w:val="231F20"/>
        </w:rPr>
        <w:t>и</w:t>
      </w:r>
    </w:p>
    <w:p>
      <w:pPr>
        <w:pStyle w:val="BodyText"/>
        <w:spacing w:line="232" w:lineRule="auto"/>
        <w:ind w:left="453" w:firstLine="396"/>
      </w:pPr>
      <w:r>
        <w:rPr>
          <w:color w:val="231F20"/>
          <w:w w:val="66"/>
        </w:rPr>
        <w:t> </w:t>
      </w:r>
      <w:r>
        <w:rPr>
          <w:color w:val="231F20"/>
        </w:rPr>
        <w:t>–</w:t>
      </w:r>
      <w:r>
        <w:rPr>
          <w:color w:val="231F20"/>
          <w:spacing w:val="-10"/>
        </w:rPr>
        <w:t> </w:t>
      </w:r>
      <w:r>
        <w:rPr>
          <w:color w:val="231F20"/>
        </w:rPr>
        <w:t>развој</w:t>
      </w:r>
      <w:r>
        <w:rPr>
          <w:color w:val="231F20"/>
          <w:spacing w:val="-10"/>
        </w:rPr>
        <w:t> </w:t>
      </w:r>
      <w:r>
        <w:rPr>
          <w:color w:val="231F20"/>
        </w:rPr>
        <w:t>свести</w:t>
      </w:r>
      <w:r>
        <w:rPr>
          <w:color w:val="231F20"/>
          <w:spacing w:val="-10"/>
        </w:rPr>
        <w:t> </w:t>
      </w:r>
      <w:r>
        <w:rPr>
          <w:color w:val="231F20"/>
        </w:rPr>
        <w:t>о</w:t>
      </w:r>
      <w:r>
        <w:rPr>
          <w:color w:val="231F20"/>
          <w:spacing w:val="-10"/>
        </w:rPr>
        <w:t> </w:t>
      </w:r>
      <w:r>
        <w:rPr>
          <w:color w:val="231F20"/>
        </w:rPr>
        <w:t>вредностима</w:t>
      </w:r>
      <w:r>
        <w:rPr>
          <w:color w:val="231F20"/>
          <w:spacing w:val="-10"/>
        </w:rPr>
        <w:t> </w:t>
      </w:r>
      <w:r>
        <w:rPr>
          <w:color w:val="231F20"/>
        </w:rPr>
        <w:t>и</w:t>
      </w:r>
      <w:r>
        <w:rPr>
          <w:color w:val="231F20"/>
          <w:spacing w:val="-10"/>
        </w:rPr>
        <w:t> </w:t>
      </w:r>
      <w:r>
        <w:rPr>
          <w:color w:val="231F20"/>
        </w:rPr>
        <w:t>значају</w:t>
      </w:r>
      <w:r>
        <w:rPr>
          <w:color w:val="231F20"/>
          <w:spacing w:val="-10"/>
        </w:rPr>
        <w:t> </w:t>
      </w:r>
      <w:r>
        <w:rPr>
          <w:color w:val="231F20"/>
        </w:rPr>
        <w:t>предела</w:t>
      </w:r>
      <w:r>
        <w:rPr>
          <w:color w:val="231F20"/>
          <w:spacing w:val="-10"/>
        </w:rPr>
        <w:t> </w:t>
      </w:r>
      <w:r>
        <w:rPr>
          <w:color w:val="231F20"/>
          <w:spacing w:val="-6"/>
        </w:rPr>
        <w:t>код</w:t>
      </w:r>
      <w:r>
        <w:rPr>
          <w:color w:val="231F20"/>
          <w:spacing w:val="-10"/>
        </w:rPr>
        <w:t> </w:t>
      </w:r>
      <w:r>
        <w:rPr>
          <w:color w:val="231F20"/>
        </w:rPr>
        <w:t>локалног становништва, промовисање програма активне</w:t>
      </w:r>
      <w:r>
        <w:rPr>
          <w:color w:val="231F20"/>
          <w:spacing w:val="-17"/>
        </w:rPr>
        <w:t> </w:t>
      </w:r>
      <w:r>
        <w:rPr>
          <w:color w:val="231F20"/>
        </w:rPr>
        <w:t>партиципације.</w:t>
      </w:r>
    </w:p>
    <w:p>
      <w:pPr>
        <w:pStyle w:val="BodyText"/>
        <w:spacing w:line="232" w:lineRule="auto"/>
        <w:ind w:left="453" w:firstLine="396"/>
      </w:pPr>
      <w:r>
        <w:rPr>
          <w:color w:val="231F20"/>
        </w:rPr>
        <w:t>У складу са прелиминарном типологијом предела оператив- ни циљеви за културни предео су:</w:t>
      </w:r>
    </w:p>
    <w:p>
      <w:pPr>
        <w:pStyle w:val="BodyText"/>
        <w:spacing w:line="232" w:lineRule="auto"/>
        <w:ind w:left="452" w:firstLine="397"/>
      </w:pPr>
      <w:r>
        <w:rPr>
          <w:color w:val="231F20"/>
          <w:w w:val="66"/>
        </w:rPr>
        <w:t> </w:t>
      </w:r>
      <w:r>
        <w:rPr>
          <w:color w:val="231F20"/>
        </w:rPr>
        <w:t>– рурални предели: минимизирање негативних и стимулиса- ње позитивних утицаја развоја пољопривреде на земљиште, воде и ваздух; формулисање мера неге шума и заштите биодиверзите- та; рекултивација подручја заузетих експлоатацијом лигнита и</w:t>
      </w:r>
    </w:p>
    <w:p>
      <w:pPr>
        <w:pStyle w:val="BodyText"/>
        <w:spacing w:line="232" w:lineRule="auto"/>
        <w:ind w:left="453" w:firstLine="396"/>
      </w:pPr>
      <w:r>
        <w:rPr>
          <w:color w:val="231F20"/>
          <w:w w:val="66"/>
        </w:rPr>
        <w:t> </w:t>
      </w:r>
      <w:r>
        <w:rPr>
          <w:color w:val="231F20"/>
        </w:rPr>
        <w:t>– урбани предели: повећање површина </w:t>
      </w:r>
      <w:r>
        <w:rPr>
          <w:color w:val="231F20"/>
          <w:spacing w:val="-3"/>
        </w:rPr>
        <w:t>под </w:t>
      </w:r>
      <w:r>
        <w:rPr>
          <w:color w:val="231F20"/>
        </w:rPr>
        <w:t>зеленилом, за- штита</w:t>
      </w:r>
      <w:r>
        <w:rPr>
          <w:color w:val="231F20"/>
          <w:spacing w:val="-6"/>
        </w:rPr>
        <w:t> </w:t>
      </w:r>
      <w:r>
        <w:rPr>
          <w:color w:val="231F20"/>
        </w:rPr>
        <w:t>природних</w:t>
      </w:r>
      <w:r>
        <w:rPr>
          <w:color w:val="231F20"/>
          <w:spacing w:val="-6"/>
        </w:rPr>
        <w:t> </w:t>
      </w:r>
      <w:r>
        <w:rPr>
          <w:color w:val="231F20"/>
        </w:rPr>
        <w:t>и</w:t>
      </w:r>
      <w:r>
        <w:rPr>
          <w:color w:val="231F20"/>
          <w:spacing w:val="-6"/>
        </w:rPr>
        <w:t> </w:t>
      </w:r>
      <w:r>
        <w:rPr>
          <w:color w:val="231F20"/>
        </w:rPr>
        <w:t>санација</w:t>
      </w:r>
      <w:r>
        <w:rPr>
          <w:color w:val="231F20"/>
          <w:spacing w:val="-6"/>
        </w:rPr>
        <w:t> </w:t>
      </w:r>
      <w:r>
        <w:rPr>
          <w:color w:val="231F20"/>
        </w:rPr>
        <w:t>деградираних</w:t>
      </w:r>
      <w:r>
        <w:rPr>
          <w:color w:val="231F20"/>
          <w:spacing w:val="-6"/>
        </w:rPr>
        <w:t> </w:t>
      </w:r>
      <w:r>
        <w:rPr>
          <w:color w:val="231F20"/>
        </w:rPr>
        <w:t>простора</w:t>
      </w:r>
      <w:r>
        <w:rPr>
          <w:color w:val="231F20"/>
          <w:spacing w:val="-6"/>
        </w:rPr>
        <w:t> </w:t>
      </w:r>
      <w:r>
        <w:rPr>
          <w:color w:val="231F20"/>
        </w:rPr>
        <w:t>унутар</w:t>
      </w:r>
      <w:r>
        <w:rPr>
          <w:color w:val="231F20"/>
          <w:spacing w:val="-6"/>
        </w:rPr>
        <w:t> </w:t>
      </w:r>
      <w:r>
        <w:rPr>
          <w:color w:val="231F20"/>
        </w:rPr>
        <w:t>града.</w:t>
      </w:r>
    </w:p>
    <w:p>
      <w:pPr>
        <w:pStyle w:val="BodyText"/>
        <w:spacing w:before="162"/>
        <w:ind w:left="2325"/>
        <w:jc w:val="left"/>
      </w:pPr>
      <w:r>
        <w:rPr>
          <w:color w:val="231F20"/>
        </w:rPr>
        <w:t>Културно наслеђе</w:t>
      </w:r>
    </w:p>
    <w:p>
      <w:pPr>
        <w:pStyle w:val="BodyText"/>
        <w:spacing w:before="4"/>
        <w:ind w:left="0"/>
        <w:jc w:val="left"/>
        <w:rPr>
          <w:sz w:val="17"/>
        </w:rPr>
      </w:pPr>
    </w:p>
    <w:p>
      <w:pPr>
        <w:pStyle w:val="BodyText"/>
        <w:spacing w:line="232" w:lineRule="auto"/>
        <w:ind w:left="453" w:firstLine="396"/>
      </w:pPr>
      <w:r>
        <w:rPr>
          <w:color w:val="231F20"/>
        </w:rPr>
        <w:t>Према Просторним планом </w:t>
      </w:r>
      <w:r>
        <w:rPr>
          <w:color w:val="231F20"/>
          <w:spacing w:val="-3"/>
        </w:rPr>
        <w:t>Републике </w:t>
      </w:r>
      <w:r>
        <w:rPr>
          <w:color w:val="231F20"/>
        </w:rPr>
        <w:t>Србије основни циљ заштите културног наслеђа је очување културног наслеђа као нео- бновљивог ресурса и његово преношење </w:t>
      </w:r>
      <w:r>
        <w:rPr>
          <w:color w:val="231F20"/>
          <w:spacing w:val="-3"/>
        </w:rPr>
        <w:t>будућим </w:t>
      </w:r>
      <w:r>
        <w:rPr>
          <w:color w:val="231F20"/>
        </w:rPr>
        <w:t>генерацијама. Поред тога, </w:t>
      </w:r>
      <w:r>
        <w:rPr>
          <w:color w:val="231F20"/>
          <w:spacing w:val="-2"/>
        </w:rPr>
        <w:t>културно </w:t>
      </w:r>
      <w:r>
        <w:rPr>
          <w:color w:val="231F20"/>
        </w:rPr>
        <w:t>наслеђе је и развојни ресурс, </w:t>
      </w:r>
      <w:r>
        <w:rPr>
          <w:color w:val="231F20"/>
          <w:spacing w:val="-3"/>
        </w:rPr>
        <w:t>који </w:t>
      </w:r>
      <w:r>
        <w:rPr>
          <w:color w:val="231F20"/>
        </w:rPr>
        <w:t>треба уре- дити и користити на начин </w:t>
      </w:r>
      <w:r>
        <w:rPr>
          <w:color w:val="231F20"/>
          <w:spacing w:val="-3"/>
        </w:rPr>
        <w:t>који </w:t>
      </w:r>
      <w:r>
        <w:rPr>
          <w:color w:val="231F20"/>
        </w:rPr>
        <w:t>ће допринети успостављању реги- оналног и локалног идентитета.</w:t>
      </w:r>
    </w:p>
    <w:p>
      <w:pPr>
        <w:pStyle w:val="BodyText"/>
        <w:spacing w:line="232" w:lineRule="auto"/>
        <w:ind w:left="453" w:firstLine="396"/>
      </w:pPr>
      <w:r>
        <w:rPr>
          <w:color w:val="231F20"/>
        </w:rPr>
        <w:t>Општи циљеви су: очување интегритета културног добра, очување амбијента у којем се културно добро налази и активно укључивање културног добра и његовог окружења у развојне по- литике.</w:t>
      </w:r>
    </w:p>
    <w:p>
      <w:pPr>
        <w:pStyle w:val="BodyText"/>
        <w:spacing w:line="232" w:lineRule="auto"/>
        <w:ind w:left="453" w:firstLine="396"/>
      </w:pPr>
      <w:r>
        <w:rPr>
          <w:color w:val="231F20"/>
        </w:rPr>
        <w:t>Оперативни циљеви заштите, уређења и коришћења култур- ног наслеђа су:</w:t>
      </w:r>
    </w:p>
    <w:p>
      <w:pPr>
        <w:pStyle w:val="BodyText"/>
        <w:spacing w:line="232" w:lineRule="auto"/>
        <w:ind w:left="453" w:firstLine="396"/>
      </w:pPr>
      <w:r>
        <w:rPr>
          <w:color w:val="231F20"/>
          <w:w w:val="66"/>
        </w:rPr>
        <w:t> </w:t>
      </w:r>
      <w:r>
        <w:rPr>
          <w:color w:val="231F20"/>
        </w:rPr>
        <w:t>– заштита, очување и презентација установљених и непо- кретних културних добара предвиђених за заштиту;</w:t>
      </w:r>
    </w:p>
    <w:p>
      <w:pPr>
        <w:pStyle w:val="BodyText"/>
        <w:spacing w:line="232" w:lineRule="auto"/>
        <w:ind w:left="453" w:firstLine="396"/>
      </w:pPr>
      <w:r>
        <w:rPr>
          <w:color w:val="231F20"/>
          <w:w w:val="66"/>
        </w:rPr>
        <w:t> </w:t>
      </w:r>
      <w:r>
        <w:rPr>
          <w:color w:val="231F20"/>
        </w:rPr>
        <w:t>–</w:t>
      </w:r>
      <w:r>
        <w:rPr>
          <w:color w:val="231F20"/>
          <w:spacing w:val="-11"/>
        </w:rPr>
        <w:t> </w:t>
      </w:r>
      <w:r>
        <w:rPr>
          <w:color w:val="231F20"/>
        </w:rPr>
        <w:t>очување</w:t>
      </w:r>
      <w:r>
        <w:rPr>
          <w:color w:val="231F20"/>
          <w:spacing w:val="-11"/>
        </w:rPr>
        <w:t> </w:t>
      </w:r>
      <w:r>
        <w:rPr>
          <w:color w:val="231F20"/>
        </w:rPr>
        <w:t>аутентичности</w:t>
      </w:r>
      <w:r>
        <w:rPr>
          <w:color w:val="231F20"/>
          <w:spacing w:val="-11"/>
        </w:rPr>
        <w:t> </w:t>
      </w:r>
      <w:r>
        <w:rPr>
          <w:color w:val="231F20"/>
        </w:rPr>
        <w:t>непокретног</w:t>
      </w:r>
      <w:r>
        <w:rPr>
          <w:color w:val="231F20"/>
          <w:spacing w:val="-11"/>
        </w:rPr>
        <w:t> </w:t>
      </w:r>
      <w:r>
        <w:rPr>
          <w:color w:val="231F20"/>
        </w:rPr>
        <w:t>културног</w:t>
      </w:r>
      <w:r>
        <w:rPr>
          <w:color w:val="231F20"/>
          <w:spacing w:val="-11"/>
        </w:rPr>
        <w:t> </w:t>
      </w:r>
      <w:r>
        <w:rPr>
          <w:color w:val="231F20"/>
        </w:rPr>
        <w:t>добра</w:t>
      </w:r>
      <w:r>
        <w:rPr>
          <w:color w:val="231F20"/>
          <w:spacing w:val="-11"/>
        </w:rPr>
        <w:t> </w:t>
      </w:r>
      <w:r>
        <w:rPr>
          <w:color w:val="231F20"/>
        </w:rPr>
        <w:t>и</w:t>
      </w:r>
      <w:r>
        <w:rPr>
          <w:color w:val="231F20"/>
          <w:spacing w:val="-11"/>
        </w:rPr>
        <w:t> </w:t>
      </w:r>
      <w:r>
        <w:rPr>
          <w:color w:val="231F20"/>
        </w:rPr>
        <w:t>ње- говог</w:t>
      </w:r>
      <w:r>
        <w:rPr>
          <w:color w:val="231F20"/>
          <w:spacing w:val="-1"/>
        </w:rPr>
        <w:t> </w:t>
      </w:r>
      <w:r>
        <w:rPr>
          <w:color w:val="231F20"/>
        </w:rPr>
        <w:t>окружења;</w:t>
      </w:r>
    </w:p>
    <w:p>
      <w:pPr>
        <w:pStyle w:val="BodyText"/>
        <w:spacing w:line="199" w:lineRule="exact"/>
        <w:ind w:left="850"/>
        <w:jc w:val="left"/>
      </w:pPr>
      <w:r>
        <w:rPr>
          <w:color w:val="231F20"/>
          <w:w w:val="66"/>
        </w:rPr>
        <w:t> </w:t>
      </w:r>
      <w:r>
        <w:rPr>
          <w:color w:val="231F20"/>
        </w:rPr>
        <w:t>– неговање културно-историјског наслеђа у сеоским</w:t>
      </w:r>
      <w:r>
        <w:rPr>
          <w:color w:val="231F20"/>
          <w:spacing w:val="-20"/>
        </w:rPr>
        <w:t> </w:t>
      </w:r>
      <w:r>
        <w:rPr>
          <w:color w:val="231F20"/>
        </w:rPr>
        <w:t>подруч-</w:t>
      </w:r>
    </w:p>
    <w:p>
      <w:pPr>
        <w:pStyle w:val="BodyText"/>
        <w:spacing w:line="201" w:lineRule="exact"/>
        <w:ind w:left="453"/>
      </w:pPr>
      <w:r>
        <w:rPr>
          <w:color w:val="231F20"/>
        </w:rPr>
        <w:t>јима;</w:t>
      </w:r>
    </w:p>
    <w:p>
      <w:pPr>
        <w:pStyle w:val="BodyText"/>
        <w:spacing w:line="201" w:lineRule="exact"/>
        <w:ind w:left="850"/>
        <w:jc w:val="left"/>
      </w:pPr>
      <w:r>
        <w:rPr>
          <w:color w:val="231F20"/>
          <w:w w:val="66"/>
        </w:rPr>
        <w:t> </w:t>
      </w:r>
      <w:r>
        <w:rPr>
          <w:color w:val="231F20"/>
        </w:rPr>
        <w:t>– развој интерпретације културног наслеђа;</w:t>
      </w:r>
    </w:p>
    <w:p>
      <w:pPr>
        <w:pStyle w:val="BodyText"/>
        <w:spacing w:line="232" w:lineRule="auto" w:before="1"/>
        <w:ind w:left="453" w:firstLine="397"/>
      </w:pPr>
      <w:r>
        <w:rPr>
          <w:color w:val="231F20"/>
          <w:w w:val="66"/>
        </w:rPr>
        <w:t> </w:t>
      </w:r>
      <w:r>
        <w:rPr>
          <w:color w:val="231F20"/>
        </w:rPr>
        <w:t>– активирање потенцијала културног наслеђа као развојног ресурса;</w:t>
      </w:r>
    </w:p>
    <w:p>
      <w:pPr>
        <w:pStyle w:val="BodyText"/>
        <w:spacing w:line="232" w:lineRule="auto"/>
        <w:ind w:left="453" w:firstLine="396"/>
      </w:pPr>
      <w:r>
        <w:rPr>
          <w:color w:val="231F20"/>
          <w:w w:val="66"/>
        </w:rPr>
        <w:t> </w:t>
      </w:r>
      <w:r>
        <w:rPr>
          <w:color w:val="231F20"/>
        </w:rPr>
        <w:t>– заштита добара од неконтролисане изградње индустриј- ских и инфраструктурних система и других објеката који могу да угрозе интегритет културног добра и његову околину;</w:t>
      </w:r>
    </w:p>
    <w:p>
      <w:pPr>
        <w:pStyle w:val="BodyText"/>
        <w:spacing w:line="232" w:lineRule="auto"/>
        <w:ind w:left="453" w:firstLine="396"/>
      </w:pPr>
      <w:r>
        <w:rPr>
          <w:color w:val="231F20"/>
          <w:w w:val="66"/>
        </w:rPr>
        <w:t> </w:t>
      </w:r>
      <w:r>
        <w:rPr>
          <w:color w:val="231F20"/>
        </w:rPr>
        <w:t>– стварање услова за бољу регионалну и међународну пове- заност подручја на бази културног идентитета.</w:t>
      </w:r>
    </w:p>
    <w:p>
      <w:pPr>
        <w:pStyle w:val="BodyText"/>
        <w:spacing w:line="232" w:lineRule="auto"/>
        <w:ind w:left="453" w:firstLine="396"/>
      </w:pPr>
      <w:r>
        <w:rPr>
          <w:color w:val="231F20"/>
          <w:w w:val="66"/>
        </w:rPr>
        <w:t> </w:t>
      </w:r>
      <w:r>
        <w:rPr>
          <w:color w:val="231F20"/>
        </w:rPr>
        <w:t>– обезбеђивање услова за еколошки одрживи развој кроз спровођење мера заштите непокретних културних добара.</w:t>
      </w:r>
    </w:p>
    <w:p>
      <w:pPr>
        <w:pStyle w:val="BodyText"/>
        <w:spacing w:line="232" w:lineRule="auto"/>
        <w:ind w:left="453" w:firstLine="397"/>
      </w:pPr>
      <w:r>
        <w:rPr>
          <w:color w:val="231F20"/>
          <w:w w:val="66"/>
        </w:rPr>
        <w:t> </w:t>
      </w:r>
      <w:r>
        <w:rPr>
          <w:color w:val="231F20"/>
        </w:rPr>
        <w:t>– повећање информисаности о </w:t>
      </w:r>
      <w:r>
        <w:rPr>
          <w:color w:val="231F20"/>
          <w:spacing w:val="-3"/>
        </w:rPr>
        <w:t>културном наслеђу, </w:t>
      </w:r>
      <w:r>
        <w:rPr>
          <w:color w:val="231F20"/>
        </w:rPr>
        <w:t>као и</w:t>
      </w:r>
      <w:r>
        <w:rPr>
          <w:color w:val="231F20"/>
          <w:spacing w:val="-25"/>
        </w:rPr>
        <w:t> </w:t>
      </w:r>
      <w:r>
        <w:rPr>
          <w:color w:val="231F20"/>
        </w:rPr>
        <w:t>под- стицање активног укључивања становништва у процес одлучива- ња о развоју културног</w:t>
      </w:r>
      <w:r>
        <w:rPr>
          <w:color w:val="231F20"/>
          <w:spacing w:val="-4"/>
        </w:rPr>
        <w:t> </w:t>
      </w:r>
      <w:r>
        <w:rPr>
          <w:color w:val="231F20"/>
        </w:rPr>
        <w:t>наслеђа;</w:t>
      </w:r>
    </w:p>
    <w:p>
      <w:pPr>
        <w:pStyle w:val="BodyText"/>
        <w:spacing w:line="232" w:lineRule="auto"/>
        <w:ind w:left="453" w:firstLine="396"/>
      </w:pPr>
      <w:r>
        <w:rPr>
          <w:color w:val="231F20"/>
          <w:w w:val="66"/>
        </w:rPr>
        <w:t> </w:t>
      </w:r>
      <w:r>
        <w:rPr>
          <w:color w:val="231F20"/>
        </w:rPr>
        <w:t>– стицање међународног статуса заштите за археолошко на- лазиште Виминацијум и укључивање културног наслеђа у европ- ске путеве културе;</w:t>
      </w:r>
    </w:p>
    <w:p>
      <w:pPr>
        <w:pStyle w:val="BodyText"/>
        <w:spacing w:line="232" w:lineRule="auto"/>
        <w:ind w:left="453" w:firstLine="396"/>
      </w:pPr>
      <w:r>
        <w:rPr>
          <w:color w:val="231F20"/>
          <w:w w:val="66"/>
        </w:rPr>
        <w:t> </w:t>
      </w:r>
      <w:r>
        <w:rPr>
          <w:color w:val="231F20"/>
        </w:rPr>
        <w:t>–</w:t>
      </w:r>
      <w:r>
        <w:rPr>
          <w:color w:val="231F20"/>
          <w:spacing w:val="-8"/>
        </w:rPr>
        <w:t> </w:t>
      </w:r>
      <w:r>
        <w:rPr>
          <w:color w:val="231F20"/>
        </w:rPr>
        <w:t>опремaње</w:t>
      </w:r>
      <w:r>
        <w:rPr>
          <w:color w:val="231F20"/>
          <w:spacing w:val="-8"/>
        </w:rPr>
        <w:t> </w:t>
      </w:r>
      <w:r>
        <w:rPr>
          <w:color w:val="231F20"/>
        </w:rPr>
        <w:t>пристана</w:t>
      </w:r>
      <w:r>
        <w:rPr>
          <w:color w:val="231F20"/>
          <w:spacing w:val="-8"/>
        </w:rPr>
        <w:t> </w:t>
      </w:r>
      <w:r>
        <w:rPr>
          <w:color w:val="231F20"/>
        </w:rPr>
        <w:t>за</w:t>
      </w:r>
      <w:r>
        <w:rPr>
          <w:color w:val="231F20"/>
          <w:spacing w:val="-8"/>
        </w:rPr>
        <w:t> </w:t>
      </w:r>
      <w:r>
        <w:rPr>
          <w:color w:val="231F20"/>
        </w:rPr>
        <w:t>прихват</w:t>
      </w:r>
      <w:r>
        <w:rPr>
          <w:color w:val="231F20"/>
          <w:spacing w:val="-8"/>
        </w:rPr>
        <w:t> </w:t>
      </w:r>
      <w:r>
        <w:rPr>
          <w:color w:val="231F20"/>
        </w:rPr>
        <w:t>туристичких</w:t>
      </w:r>
      <w:r>
        <w:rPr>
          <w:color w:val="231F20"/>
          <w:spacing w:val="-8"/>
        </w:rPr>
        <w:t> </w:t>
      </w:r>
      <w:r>
        <w:rPr>
          <w:color w:val="231F20"/>
        </w:rPr>
        <w:t>бродова</w:t>
      </w:r>
      <w:r>
        <w:rPr>
          <w:color w:val="231F20"/>
          <w:spacing w:val="-8"/>
        </w:rPr>
        <w:t> </w:t>
      </w:r>
      <w:r>
        <w:rPr>
          <w:color w:val="231F20"/>
        </w:rPr>
        <w:t>на</w:t>
      </w:r>
      <w:r>
        <w:rPr>
          <w:color w:val="231F20"/>
          <w:spacing w:val="-8"/>
        </w:rPr>
        <w:t> </w:t>
      </w:r>
      <w:r>
        <w:rPr>
          <w:color w:val="231F20"/>
        </w:rPr>
        <w:t>Ду- наву у близини Виминацијума</w:t>
      </w:r>
      <w:r>
        <w:rPr>
          <w:color w:val="231F20"/>
          <w:spacing w:val="-3"/>
        </w:rPr>
        <w:t> </w:t>
      </w:r>
      <w:r>
        <w:rPr>
          <w:color w:val="231F20"/>
        </w:rPr>
        <w:t>и</w:t>
      </w:r>
    </w:p>
    <w:p>
      <w:pPr>
        <w:pStyle w:val="BodyText"/>
        <w:spacing w:line="232" w:lineRule="auto"/>
        <w:ind w:left="453" w:firstLine="396"/>
      </w:pPr>
      <w:r>
        <w:rPr>
          <w:color w:val="231F20"/>
          <w:w w:val="66"/>
        </w:rPr>
        <w:t> </w:t>
      </w:r>
      <w:r>
        <w:rPr>
          <w:color w:val="231F20"/>
        </w:rPr>
        <w:t>– изградња Музеја рударства и етнопарка у зони рекултива- ције копова.</w:t>
      </w:r>
    </w:p>
    <w:p>
      <w:pPr>
        <w:pStyle w:val="Heading1"/>
        <w:numPr>
          <w:ilvl w:val="1"/>
          <w:numId w:val="24"/>
        </w:numPr>
        <w:tabs>
          <w:tab w:pos="1297" w:val="left" w:leader="none"/>
        </w:tabs>
        <w:spacing w:line="240" w:lineRule="auto" w:before="69" w:after="0"/>
        <w:ind w:left="1296" w:right="0" w:hanging="180"/>
        <w:jc w:val="left"/>
      </w:pPr>
      <w:r>
        <w:rPr>
          <w:color w:val="231F20"/>
        </w:rPr>
        <w:br w:type="column"/>
        <w:t>Општа концепција просторног</w:t>
      </w:r>
      <w:r>
        <w:rPr>
          <w:color w:val="231F20"/>
          <w:spacing w:val="-4"/>
        </w:rPr>
        <w:t> </w:t>
      </w:r>
      <w:r>
        <w:rPr>
          <w:color w:val="231F20"/>
        </w:rPr>
        <w:t>развоја</w:t>
      </w:r>
    </w:p>
    <w:p>
      <w:pPr>
        <w:pStyle w:val="ListParagraph"/>
        <w:numPr>
          <w:ilvl w:val="1"/>
          <w:numId w:val="28"/>
        </w:numPr>
        <w:tabs>
          <w:tab w:pos="860" w:val="left" w:leader="none"/>
        </w:tabs>
        <w:spacing w:line="232" w:lineRule="auto" w:before="169" w:after="0"/>
        <w:ind w:left="397" w:right="284" w:firstLine="147"/>
        <w:jc w:val="left"/>
        <w:rPr>
          <w:i/>
          <w:sz w:val="18"/>
        </w:rPr>
      </w:pPr>
      <w:r>
        <w:rPr>
          <w:i/>
          <w:color w:val="231F20"/>
          <w:sz w:val="18"/>
        </w:rPr>
        <w:t>Одредбе Просторног плана Републике Србије и других </w:t>
      </w:r>
      <w:r>
        <w:rPr>
          <w:i/>
          <w:color w:val="231F20"/>
          <w:sz w:val="18"/>
        </w:rPr>
        <w:t>стратешких</w:t>
      </w:r>
      <w:r>
        <w:rPr>
          <w:i/>
          <w:color w:val="231F20"/>
          <w:spacing w:val="-7"/>
          <w:sz w:val="18"/>
        </w:rPr>
        <w:t> </w:t>
      </w:r>
      <w:r>
        <w:rPr>
          <w:i/>
          <w:color w:val="231F20"/>
          <w:sz w:val="18"/>
        </w:rPr>
        <w:t>докумената</w:t>
      </w:r>
      <w:r>
        <w:rPr>
          <w:i/>
          <w:color w:val="231F20"/>
          <w:spacing w:val="-7"/>
          <w:sz w:val="18"/>
        </w:rPr>
        <w:t> </w:t>
      </w:r>
      <w:r>
        <w:rPr>
          <w:i/>
          <w:color w:val="231F20"/>
          <w:sz w:val="18"/>
        </w:rPr>
        <w:t>републичког</w:t>
      </w:r>
      <w:r>
        <w:rPr>
          <w:i/>
          <w:color w:val="231F20"/>
          <w:spacing w:val="-7"/>
          <w:sz w:val="18"/>
        </w:rPr>
        <w:t> </w:t>
      </w:r>
      <w:r>
        <w:rPr>
          <w:i/>
          <w:color w:val="231F20"/>
          <w:sz w:val="18"/>
        </w:rPr>
        <w:t>нивоа</w:t>
      </w:r>
      <w:r>
        <w:rPr>
          <w:i/>
          <w:color w:val="231F20"/>
          <w:spacing w:val="-7"/>
          <w:sz w:val="18"/>
        </w:rPr>
        <w:t> </w:t>
      </w:r>
      <w:r>
        <w:rPr>
          <w:i/>
          <w:color w:val="231F20"/>
          <w:sz w:val="18"/>
        </w:rPr>
        <w:t>које</w:t>
      </w:r>
      <w:r>
        <w:rPr>
          <w:i/>
          <w:color w:val="231F20"/>
          <w:spacing w:val="-7"/>
          <w:sz w:val="18"/>
        </w:rPr>
        <w:t> </w:t>
      </w:r>
      <w:r>
        <w:rPr>
          <w:i/>
          <w:color w:val="231F20"/>
          <w:sz w:val="18"/>
        </w:rPr>
        <w:t>су</w:t>
      </w:r>
      <w:r>
        <w:rPr>
          <w:i/>
          <w:color w:val="231F20"/>
          <w:spacing w:val="-7"/>
          <w:sz w:val="18"/>
        </w:rPr>
        <w:t> </w:t>
      </w:r>
      <w:r>
        <w:rPr>
          <w:i/>
          <w:color w:val="231F20"/>
          <w:sz w:val="18"/>
        </w:rPr>
        <w:t>од</w:t>
      </w:r>
      <w:r>
        <w:rPr>
          <w:i/>
          <w:color w:val="231F20"/>
          <w:spacing w:val="-7"/>
          <w:sz w:val="18"/>
        </w:rPr>
        <w:t> </w:t>
      </w:r>
      <w:r>
        <w:rPr>
          <w:i/>
          <w:color w:val="231F20"/>
          <w:sz w:val="18"/>
        </w:rPr>
        <w:t>значаја</w:t>
      </w:r>
    </w:p>
    <w:p>
      <w:pPr>
        <w:spacing w:line="202" w:lineRule="exact" w:before="0"/>
        <w:ind w:left="1728" w:right="0" w:firstLine="0"/>
        <w:jc w:val="left"/>
        <w:rPr>
          <w:i/>
          <w:sz w:val="18"/>
        </w:rPr>
      </w:pPr>
      <w:r>
        <w:rPr>
          <w:i/>
          <w:color w:val="231F20"/>
          <w:sz w:val="18"/>
        </w:rPr>
        <w:t>за развој Планског подручја</w:t>
      </w:r>
    </w:p>
    <w:p>
      <w:pPr>
        <w:pStyle w:val="BodyText"/>
        <w:spacing w:before="4"/>
        <w:ind w:left="0"/>
        <w:jc w:val="left"/>
        <w:rPr>
          <w:i/>
          <w:sz w:val="17"/>
        </w:rPr>
      </w:pPr>
    </w:p>
    <w:p>
      <w:pPr>
        <w:pStyle w:val="BodyText"/>
        <w:spacing w:line="232" w:lineRule="auto"/>
        <w:ind w:left="242" w:right="128" w:firstLine="396"/>
      </w:pPr>
      <w:r>
        <w:rPr>
          <w:color w:val="231F20"/>
        </w:rPr>
        <w:t>Већи број одредби Просторног плана </w:t>
      </w:r>
      <w:r>
        <w:rPr>
          <w:color w:val="231F20"/>
          <w:spacing w:val="-3"/>
        </w:rPr>
        <w:t>Републике </w:t>
      </w:r>
      <w:r>
        <w:rPr>
          <w:color w:val="231F20"/>
        </w:rPr>
        <w:t>Србије ди- ректно и индиректно односе се на Планско подручје. У ППРС је идентификована и општа подунавска димензија развоја </w:t>
      </w:r>
      <w:r>
        <w:rPr>
          <w:color w:val="231F20"/>
          <w:spacing w:val="-3"/>
        </w:rPr>
        <w:t>Републике </w:t>
      </w:r>
      <w:r>
        <w:rPr>
          <w:color w:val="231F20"/>
        </w:rPr>
        <w:t>Србије и великог дела њене територије. Њихов заједнички имени- тељ</w:t>
      </w:r>
      <w:r>
        <w:rPr>
          <w:color w:val="231F20"/>
          <w:spacing w:val="-10"/>
        </w:rPr>
        <w:t> </w:t>
      </w:r>
      <w:r>
        <w:rPr>
          <w:color w:val="231F20"/>
        </w:rPr>
        <w:t>чине</w:t>
      </w:r>
      <w:r>
        <w:rPr>
          <w:color w:val="231F20"/>
          <w:spacing w:val="-10"/>
        </w:rPr>
        <w:t> </w:t>
      </w:r>
      <w:r>
        <w:rPr>
          <w:color w:val="231F20"/>
        </w:rPr>
        <w:t>две</w:t>
      </w:r>
      <w:r>
        <w:rPr>
          <w:color w:val="231F20"/>
          <w:spacing w:val="-10"/>
        </w:rPr>
        <w:t> </w:t>
      </w:r>
      <w:r>
        <w:rPr>
          <w:color w:val="231F20"/>
        </w:rPr>
        <w:t>опште</w:t>
      </w:r>
      <w:r>
        <w:rPr>
          <w:color w:val="231F20"/>
          <w:spacing w:val="-10"/>
        </w:rPr>
        <w:t> </w:t>
      </w:r>
      <w:r>
        <w:rPr>
          <w:color w:val="231F20"/>
        </w:rPr>
        <w:t>одреднице:</w:t>
      </w:r>
      <w:r>
        <w:rPr>
          <w:color w:val="231F20"/>
          <w:spacing w:val="-10"/>
        </w:rPr>
        <w:t> </w:t>
      </w:r>
      <w:r>
        <w:rPr>
          <w:color w:val="231F20"/>
        </w:rPr>
        <w:t>на</w:t>
      </w:r>
      <w:r>
        <w:rPr>
          <w:color w:val="231F20"/>
          <w:spacing w:val="-10"/>
        </w:rPr>
        <w:t> </w:t>
      </w:r>
      <w:r>
        <w:rPr>
          <w:color w:val="231F20"/>
        </w:rPr>
        <w:t>једном</w:t>
      </w:r>
      <w:r>
        <w:rPr>
          <w:color w:val="231F20"/>
          <w:spacing w:val="-10"/>
        </w:rPr>
        <w:t> </w:t>
      </w:r>
      <w:r>
        <w:rPr>
          <w:color w:val="231F20"/>
          <w:spacing w:val="-4"/>
        </w:rPr>
        <w:t>крају,</w:t>
      </w:r>
      <w:r>
        <w:rPr>
          <w:color w:val="231F20"/>
          <w:spacing w:val="-10"/>
        </w:rPr>
        <w:t> </w:t>
      </w:r>
      <w:r>
        <w:rPr>
          <w:color w:val="231F20"/>
        </w:rPr>
        <w:t>наглашава</w:t>
      </w:r>
      <w:r>
        <w:rPr>
          <w:color w:val="231F20"/>
          <w:spacing w:val="-10"/>
        </w:rPr>
        <w:t> </w:t>
      </w:r>
      <w:r>
        <w:rPr>
          <w:color w:val="231F20"/>
        </w:rPr>
        <w:t>се</w:t>
      </w:r>
      <w:r>
        <w:rPr>
          <w:color w:val="231F20"/>
          <w:spacing w:val="-10"/>
        </w:rPr>
        <w:t> </w:t>
      </w:r>
      <w:r>
        <w:rPr>
          <w:color w:val="231F20"/>
        </w:rPr>
        <w:t>стра- тешки</w:t>
      </w:r>
      <w:r>
        <w:rPr>
          <w:color w:val="231F20"/>
          <w:spacing w:val="-10"/>
        </w:rPr>
        <w:t> </w:t>
      </w:r>
      <w:r>
        <w:rPr>
          <w:color w:val="231F20"/>
        </w:rPr>
        <w:t>значај</w:t>
      </w:r>
      <w:r>
        <w:rPr>
          <w:color w:val="231F20"/>
          <w:spacing w:val="-11"/>
        </w:rPr>
        <w:t> </w:t>
      </w:r>
      <w:r>
        <w:rPr>
          <w:color w:val="231F20"/>
        </w:rPr>
        <w:t>гео-саобраћајног</w:t>
      </w:r>
      <w:r>
        <w:rPr>
          <w:color w:val="231F20"/>
          <w:spacing w:val="-11"/>
        </w:rPr>
        <w:t> </w:t>
      </w:r>
      <w:r>
        <w:rPr>
          <w:color w:val="231F20"/>
        </w:rPr>
        <w:t>положаја</w:t>
      </w:r>
      <w:r>
        <w:rPr>
          <w:color w:val="231F20"/>
          <w:spacing w:val="-11"/>
        </w:rPr>
        <w:t> </w:t>
      </w:r>
      <w:r>
        <w:rPr>
          <w:color w:val="231F20"/>
        </w:rPr>
        <w:t>Подручја</w:t>
      </w:r>
      <w:r>
        <w:rPr>
          <w:color w:val="231F20"/>
          <w:spacing w:val="-11"/>
        </w:rPr>
        <w:t> </w:t>
      </w:r>
      <w:r>
        <w:rPr>
          <w:color w:val="231F20"/>
        </w:rPr>
        <w:t>и</w:t>
      </w:r>
      <w:r>
        <w:rPr>
          <w:color w:val="231F20"/>
          <w:spacing w:val="-11"/>
        </w:rPr>
        <w:t> </w:t>
      </w:r>
      <w:r>
        <w:rPr>
          <w:color w:val="231F20"/>
        </w:rPr>
        <w:t>ширег</w:t>
      </w:r>
      <w:r>
        <w:rPr>
          <w:color w:val="231F20"/>
          <w:spacing w:val="-10"/>
        </w:rPr>
        <w:t> </w:t>
      </w:r>
      <w:r>
        <w:rPr>
          <w:color w:val="231F20"/>
        </w:rPr>
        <w:t>региона у којем се он налази, односно, на европском Коридору VII и </w:t>
      </w:r>
      <w:r>
        <w:rPr>
          <w:color w:val="231F20"/>
          <w:spacing w:val="-3"/>
        </w:rPr>
        <w:t>Ко- </w:t>
      </w:r>
      <w:r>
        <w:rPr>
          <w:color w:val="231F20"/>
        </w:rPr>
        <w:t>ридору X, као један </w:t>
      </w:r>
      <w:r>
        <w:rPr>
          <w:color w:val="231F20"/>
          <w:spacing w:val="-3"/>
        </w:rPr>
        <w:t>од главних </w:t>
      </w:r>
      <w:r>
        <w:rPr>
          <w:color w:val="231F20"/>
        </w:rPr>
        <w:t>елемената његовог територијалног капитала и развојних потенцијала; на другом, указује се на </w:t>
      </w:r>
      <w:r>
        <w:rPr>
          <w:color w:val="231F20"/>
          <w:spacing w:val="-3"/>
        </w:rPr>
        <w:t>његову </w:t>
      </w:r>
      <w:r>
        <w:rPr>
          <w:color w:val="231F20"/>
        </w:rPr>
        <w:t>исподпросечну развијеност (уз изузетак Пожаревца), што је </w:t>
      </w:r>
      <w:r>
        <w:rPr>
          <w:color w:val="231F20"/>
          <w:spacing w:val="-3"/>
        </w:rPr>
        <w:t>глав- </w:t>
      </w:r>
      <w:r>
        <w:rPr>
          <w:color w:val="231F20"/>
        </w:rPr>
        <w:t>но ограничење </w:t>
      </w:r>
      <w:r>
        <w:rPr>
          <w:color w:val="231F20"/>
          <w:spacing w:val="-3"/>
        </w:rPr>
        <w:t>будућег </w:t>
      </w:r>
      <w:r>
        <w:rPr>
          <w:color w:val="231F20"/>
        </w:rPr>
        <w:t>развоја. Од укупно 287 km магистралних, 712</w:t>
      </w:r>
      <w:r>
        <w:rPr>
          <w:color w:val="231F20"/>
          <w:spacing w:val="-5"/>
        </w:rPr>
        <w:t> </w:t>
      </w:r>
      <w:r>
        <w:rPr>
          <w:color w:val="231F20"/>
        </w:rPr>
        <w:t>km</w:t>
      </w:r>
      <w:r>
        <w:rPr>
          <w:color w:val="231F20"/>
          <w:spacing w:val="-5"/>
        </w:rPr>
        <w:t> </w:t>
      </w:r>
      <w:r>
        <w:rPr>
          <w:color w:val="231F20"/>
        </w:rPr>
        <w:t>регионалних</w:t>
      </w:r>
      <w:r>
        <w:rPr>
          <w:color w:val="231F20"/>
          <w:spacing w:val="-5"/>
        </w:rPr>
        <w:t> </w:t>
      </w:r>
      <w:r>
        <w:rPr>
          <w:color w:val="231F20"/>
        </w:rPr>
        <w:t>путева</w:t>
      </w:r>
      <w:r>
        <w:rPr>
          <w:color w:val="231F20"/>
          <w:spacing w:val="-5"/>
        </w:rPr>
        <w:t> </w:t>
      </w:r>
      <w:r>
        <w:rPr>
          <w:color w:val="231F20"/>
        </w:rPr>
        <w:t>и</w:t>
      </w:r>
      <w:r>
        <w:rPr>
          <w:color w:val="231F20"/>
          <w:spacing w:val="-5"/>
        </w:rPr>
        <w:t> </w:t>
      </w:r>
      <w:r>
        <w:rPr>
          <w:color w:val="231F20"/>
        </w:rPr>
        <w:t>1.433</w:t>
      </w:r>
      <w:r>
        <w:rPr>
          <w:color w:val="231F20"/>
          <w:spacing w:val="-5"/>
        </w:rPr>
        <w:t> </w:t>
      </w:r>
      <w:r>
        <w:rPr>
          <w:color w:val="231F20"/>
        </w:rPr>
        <w:t>km</w:t>
      </w:r>
      <w:r>
        <w:rPr>
          <w:color w:val="231F20"/>
          <w:spacing w:val="-5"/>
        </w:rPr>
        <w:t> </w:t>
      </w:r>
      <w:r>
        <w:rPr>
          <w:color w:val="231F20"/>
        </w:rPr>
        <w:t>локалних</w:t>
      </w:r>
      <w:r>
        <w:rPr>
          <w:color w:val="231F20"/>
          <w:spacing w:val="-5"/>
        </w:rPr>
        <w:t> </w:t>
      </w:r>
      <w:r>
        <w:rPr>
          <w:color w:val="231F20"/>
        </w:rPr>
        <w:t>путева,</w:t>
      </w:r>
      <w:r>
        <w:rPr>
          <w:color w:val="231F20"/>
          <w:spacing w:val="-5"/>
        </w:rPr>
        <w:t> </w:t>
      </w:r>
      <w:r>
        <w:rPr>
          <w:color w:val="231F20"/>
        </w:rPr>
        <w:t>окосницу </w:t>
      </w:r>
      <w:r>
        <w:rPr>
          <w:color w:val="231F20"/>
          <w:spacing w:val="-3"/>
        </w:rPr>
        <w:t>будућег </w:t>
      </w:r>
      <w:r>
        <w:rPr>
          <w:color w:val="231F20"/>
        </w:rPr>
        <w:t>развоја чини</w:t>
      </w:r>
      <w:r>
        <w:rPr>
          <w:color w:val="231F20"/>
          <w:spacing w:val="0"/>
        </w:rPr>
        <w:t> </w:t>
      </w:r>
      <w:r>
        <w:rPr>
          <w:color w:val="231F20"/>
        </w:rPr>
        <w:t>следеће:</w:t>
      </w:r>
    </w:p>
    <w:p>
      <w:pPr>
        <w:pStyle w:val="BodyText"/>
        <w:spacing w:line="232" w:lineRule="auto"/>
        <w:ind w:left="243" w:right="128" w:firstLine="396"/>
      </w:pPr>
      <w:r>
        <w:rPr>
          <w:color w:val="231F20"/>
          <w:w w:val="66"/>
        </w:rPr>
        <w:t> </w:t>
      </w:r>
      <w:r>
        <w:rPr>
          <w:color w:val="231F20"/>
        </w:rPr>
        <w:t>– у </w:t>
      </w:r>
      <w:r>
        <w:rPr>
          <w:color w:val="231F20"/>
          <w:spacing w:val="-3"/>
        </w:rPr>
        <w:t>будућности </w:t>
      </w:r>
      <w:r>
        <w:rPr>
          <w:color w:val="231F20"/>
        </w:rPr>
        <w:t>треба да порасте </w:t>
      </w:r>
      <w:r>
        <w:rPr>
          <w:color w:val="231F20"/>
          <w:spacing w:val="-3"/>
        </w:rPr>
        <w:t>значај </w:t>
      </w:r>
      <w:r>
        <w:rPr>
          <w:color w:val="231F20"/>
        </w:rPr>
        <w:t>три кључна маги- стрална</w:t>
      </w:r>
      <w:r>
        <w:rPr>
          <w:color w:val="231F20"/>
          <w:spacing w:val="-13"/>
        </w:rPr>
        <w:t> </w:t>
      </w:r>
      <w:r>
        <w:rPr>
          <w:color w:val="231F20"/>
        </w:rPr>
        <w:t>правца</w:t>
      </w:r>
      <w:r>
        <w:rPr>
          <w:color w:val="231F20"/>
          <w:spacing w:val="-13"/>
        </w:rPr>
        <w:t> </w:t>
      </w:r>
      <w:r>
        <w:rPr>
          <w:color w:val="231F20"/>
        </w:rPr>
        <w:t>националног</w:t>
      </w:r>
      <w:r>
        <w:rPr>
          <w:color w:val="231F20"/>
          <w:spacing w:val="-13"/>
        </w:rPr>
        <w:t> </w:t>
      </w:r>
      <w:r>
        <w:rPr>
          <w:color w:val="231F20"/>
        </w:rPr>
        <w:t>и</w:t>
      </w:r>
      <w:r>
        <w:rPr>
          <w:color w:val="231F20"/>
          <w:spacing w:val="-13"/>
        </w:rPr>
        <w:t> </w:t>
      </w:r>
      <w:r>
        <w:rPr>
          <w:color w:val="231F20"/>
        </w:rPr>
        <w:t>интернационалног</w:t>
      </w:r>
      <w:r>
        <w:rPr>
          <w:color w:val="231F20"/>
          <w:spacing w:val="-13"/>
        </w:rPr>
        <w:t> </w:t>
      </w:r>
      <w:r>
        <w:rPr>
          <w:color w:val="231F20"/>
        </w:rPr>
        <w:t>значаја,</w:t>
      </w:r>
      <w:r>
        <w:rPr>
          <w:color w:val="231F20"/>
          <w:spacing w:val="-13"/>
        </w:rPr>
        <w:t> </w:t>
      </w:r>
      <w:r>
        <w:rPr>
          <w:color w:val="231F20"/>
          <w:spacing w:val="-4"/>
        </w:rPr>
        <w:t>који</w:t>
      </w:r>
      <w:r>
        <w:rPr>
          <w:color w:val="231F20"/>
          <w:spacing w:val="-13"/>
        </w:rPr>
        <w:t> </w:t>
      </w:r>
      <w:r>
        <w:rPr>
          <w:color w:val="231F20"/>
        </w:rPr>
        <w:t>про- лазе кроз Браничевско-подунавски развојни регион: прво, </w:t>
      </w:r>
      <w:r>
        <w:rPr>
          <w:color w:val="231F20"/>
          <w:spacing w:val="-3"/>
        </w:rPr>
        <w:t>аутопут Будимпешта</w:t>
      </w:r>
      <w:r>
        <w:rPr>
          <w:color w:val="231F20"/>
          <w:spacing w:val="8"/>
        </w:rPr>
        <w:t> </w:t>
      </w:r>
      <w:r>
        <w:rPr>
          <w:color w:val="231F20"/>
        </w:rPr>
        <w:t>–</w:t>
      </w:r>
      <w:r>
        <w:rPr>
          <w:color w:val="231F20"/>
          <w:spacing w:val="-14"/>
        </w:rPr>
        <w:t> </w:t>
      </w:r>
      <w:r>
        <w:rPr>
          <w:color w:val="231F20"/>
        </w:rPr>
        <w:t>Београд</w:t>
      </w:r>
      <w:r>
        <w:rPr>
          <w:color w:val="231F20"/>
          <w:spacing w:val="8"/>
        </w:rPr>
        <w:t> </w:t>
      </w:r>
      <w:r>
        <w:rPr>
          <w:color w:val="231F20"/>
        </w:rPr>
        <w:t>–</w:t>
      </w:r>
      <w:r>
        <w:rPr>
          <w:color w:val="231F20"/>
          <w:spacing w:val="-14"/>
        </w:rPr>
        <w:t> </w:t>
      </w:r>
      <w:r>
        <w:rPr>
          <w:color w:val="231F20"/>
        </w:rPr>
        <w:t>Ниш</w:t>
      </w:r>
      <w:r>
        <w:rPr>
          <w:color w:val="231F20"/>
          <w:spacing w:val="8"/>
        </w:rPr>
        <w:t> </w:t>
      </w:r>
      <w:r>
        <w:rPr>
          <w:color w:val="231F20"/>
        </w:rPr>
        <w:t>–</w:t>
      </w:r>
      <w:r>
        <w:rPr>
          <w:color w:val="231F20"/>
          <w:spacing w:val="-14"/>
        </w:rPr>
        <w:t> </w:t>
      </w:r>
      <w:r>
        <w:rPr>
          <w:color w:val="231F20"/>
        </w:rPr>
        <w:t>Солун</w:t>
      </w:r>
      <w:r>
        <w:rPr>
          <w:color w:val="231F20"/>
          <w:spacing w:val="8"/>
        </w:rPr>
        <w:t> </w:t>
      </w:r>
      <w:r>
        <w:rPr>
          <w:color w:val="231F20"/>
        </w:rPr>
        <w:t>–</w:t>
      </w:r>
      <w:r>
        <w:rPr>
          <w:color w:val="231F20"/>
          <w:spacing w:val="-14"/>
        </w:rPr>
        <w:t> </w:t>
      </w:r>
      <w:r>
        <w:rPr>
          <w:color w:val="231F20"/>
          <w:spacing w:val="-3"/>
        </w:rPr>
        <w:t>Атина</w:t>
      </w:r>
      <w:r>
        <w:rPr>
          <w:color w:val="231F20"/>
          <w:spacing w:val="-14"/>
        </w:rPr>
        <w:t> </w:t>
      </w:r>
      <w:r>
        <w:rPr>
          <w:color w:val="231F20"/>
        </w:rPr>
        <w:t>(Коридор</w:t>
      </w:r>
      <w:r>
        <w:rPr>
          <w:color w:val="231F20"/>
          <w:spacing w:val="-14"/>
        </w:rPr>
        <w:t> </w:t>
      </w:r>
      <w:r>
        <w:rPr>
          <w:color w:val="231F20"/>
        </w:rPr>
        <w:t>X);</w:t>
      </w:r>
      <w:r>
        <w:rPr>
          <w:color w:val="231F20"/>
          <w:spacing w:val="-14"/>
        </w:rPr>
        <w:t> </w:t>
      </w:r>
      <w:r>
        <w:rPr>
          <w:color w:val="231F20"/>
          <w:spacing w:val="-3"/>
        </w:rPr>
        <w:t>друго, </w:t>
      </w:r>
      <w:r>
        <w:rPr>
          <w:color w:val="231F20"/>
        </w:rPr>
        <w:t>железничке линије на </w:t>
      </w:r>
      <w:r>
        <w:rPr>
          <w:color w:val="231F20"/>
          <w:spacing w:val="-3"/>
        </w:rPr>
        <w:t>истом </w:t>
      </w:r>
      <w:r>
        <w:rPr>
          <w:color w:val="231F20"/>
        </w:rPr>
        <w:t>правцу и Дунав ( </w:t>
      </w:r>
      <w:r>
        <w:rPr>
          <w:color w:val="231F20"/>
          <w:spacing w:val="-3"/>
        </w:rPr>
        <w:t>Коридор</w:t>
      </w:r>
      <w:r>
        <w:rPr>
          <w:color w:val="231F20"/>
          <w:spacing w:val="-30"/>
        </w:rPr>
        <w:t> </w:t>
      </w:r>
      <w:r>
        <w:rPr>
          <w:color w:val="231F20"/>
        </w:rPr>
        <w:t>VII);</w:t>
      </w:r>
    </w:p>
    <w:p>
      <w:pPr>
        <w:pStyle w:val="BodyText"/>
        <w:spacing w:line="232" w:lineRule="auto"/>
        <w:ind w:left="242" w:right="128" w:firstLine="396"/>
      </w:pPr>
      <w:r>
        <w:rPr>
          <w:color w:val="231F20"/>
          <w:w w:val="66"/>
        </w:rPr>
        <w:t> </w:t>
      </w:r>
      <w:r>
        <w:rPr>
          <w:color w:val="231F20"/>
        </w:rPr>
        <w:t>– државни пут I реда М-24 („Дунавска магистрала”) пролази кроз Национални парк Ђердап и повезује неколико међународних граничних прелаза са Румунијом и Бугарском;</w:t>
      </w:r>
    </w:p>
    <w:p>
      <w:pPr>
        <w:pStyle w:val="BodyText"/>
        <w:spacing w:line="232" w:lineRule="auto"/>
        <w:ind w:left="242" w:right="128" w:firstLine="396"/>
      </w:pPr>
      <w:r>
        <w:rPr>
          <w:color w:val="231F20"/>
          <w:w w:val="66"/>
        </w:rPr>
        <w:t> </w:t>
      </w:r>
      <w:r>
        <w:rPr>
          <w:color w:val="231F20"/>
        </w:rPr>
        <w:t>– осим тога, привредно важни путеви за регион укључују правце Пожаревац – Кучево – Мајданпек – Ђердап и Петровац – Жагубица – Бор – Зајечар; ови путеви чине главну путну мрежу у региону и</w:t>
      </w:r>
    </w:p>
    <w:p>
      <w:pPr>
        <w:pStyle w:val="BodyText"/>
        <w:spacing w:line="232" w:lineRule="auto"/>
        <w:ind w:left="243" w:right="128" w:firstLine="396"/>
      </w:pPr>
      <w:r>
        <w:rPr>
          <w:color w:val="231F20"/>
          <w:w w:val="66"/>
        </w:rPr>
        <w:t> </w:t>
      </w:r>
      <w:r>
        <w:rPr>
          <w:color w:val="231F20"/>
        </w:rPr>
        <w:t>– док је сада преовлађујуће превозно средство путнички аутомобил, са просеком од 210,6 аутомобила/1000 особа у Брани- чевском управном округу и 164,1 аутомобила/1000 особа у Поду- навском управном округу, уз тренд раста, убудуће треба да јача јавни превоз, нарочито аутобуски и железнички.</w:t>
      </w:r>
    </w:p>
    <w:p>
      <w:pPr>
        <w:pStyle w:val="BodyText"/>
        <w:spacing w:line="232" w:lineRule="auto"/>
        <w:ind w:left="243" w:right="128" w:firstLine="397"/>
      </w:pPr>
      <w:r>
        <w:rPr>
          <w:color w:val="231F20"/>
        </w:rPr>
        <w:t>Међу другим циљевима, у ППРС су дефинисани и они о регионалном развоју Републике Србије, у оквиру саставних кон- цепција уравнотеженог регионалног развоја („веће развојне рав- нотеже”, у којој ће „кључну улогу имати привлачни, конкурент- ни и иновативни/привредни урбани центри, као и њихов степен функционалног повезивања са осталим подручјима”, остварива- ња нове регионализације Републике Србије и њене вишестране и</w:t>
      </w:r>
    </w:p>
    <w:p>
      <w:pPr>
        <w:pStyle w:val="BodyText"/>
        <w:spacing w:line="232" w:lineRule="auto"/>
        <w:ind w:left="241" w:right="129" w:firstLine="1"/>
      </w:pPr>
      <w:r>
        <w:rPr>
          <w:color w:val="231F20"/>
        </w:rPr>
        <w:t>„постепене децентрализације”. У делу о тзв. „функционално-еко- номским</w:t>
      </w:r>
      <w:r>
        <w:rPr>
          <w:color w:val="231F20"/>
          <w:spacing w:val="-5"/>
        </w:rPr>
        <w:t> </w:t>
      </w:r>
      <w:r>
        <w:rPr>
          <w:color w:val="231F20"/>
        </w:rPr>
        <w:t>регионима</w:t>
      </w:r>
      <w:r>
        <w:rPr>
          <w:color w:val="231F20"/>
          <w:spacing w:val="-5"/>
        </w:rPr>
        <w:t> </w:t>
      </w:r>
      <w:r>
        <w:rPr>
          <w:color w:val="231F20"/>
        </w:rPr>
        <w:t>и</w:t>
      </w:r>
      <w:r>
        <w:rPr>
          <w:color w:val="231F20"/>
          <w:spacing w:val="-5"/>
        </w:rPr>
        <w:t> </w:t>
      </w:r>
      <w:r>
        <w:rPr>
          <w:color w:val="231F20"/>
        </w:rPr>
        <w:t>областима”,</w:t>
      </w:r>
      <w:r>
        <w:rPr>
          <w:color w:val="231F20"/>
          <w:spacing w:val="-5"/>
        </w:rPr>
        <w:t> </w:t>
      </w:r>
      <w:r>
        <w:rPr>
          <w:color w:val="231F20"/>
        </w:rPr>
        <w:t>наглашава</w:t>
      </w:r>
      <w:r>
        <w:rPr>
          <w:color w:val="231F20"/>
          <w:spacing w:val="-5"/>
        </w:rPr>
        <w:t> </w:t>
      </w:r>
      <w:r>
        <w:rPr>
          <w:color w:val="231F20"/>
        </w:rPr>
        <w:t>се</w:t>
      </w:r>
      <w:r>
        <w:rPr>
          <w:color w:val="231F20"/>
          <w:spacing w:val="-5"/>
        </w:rPr>
        <w:t> </w:t>
      </w:r>
      <w:r>
        <w:rPr>
          <w:color w:val="231F20"/>
        </w:rPr>
        <w:t>значај</w:t>
      </w:r>
      <w:r>
        <w:rPr>
          <w:color w:val="231F20"/>
          <w:spacing w:val="-5"/>
        </w:rPr>
        <w:t> </w:t>
      </w:r>
      <w:r>
        <w:rPr>
          <w:color w:val="231F20"/>
        </w:rPr>
        <w:t>двеју</w:t>
      </w:r>
      <w:r>
        <w:rPr>
          <w:color w:val="231F20"/>
          <w:spacing w:val="-5"/>
        </w:rPr>
        <w:t> </w:t>
      </w:r>
      <w:r>
        <w:rPr>
          <w:color w:val="231F20"/>
        </w:rPr>
        <w:t>врста регионализације, односно, „концепције статистичке регионали- зације” и „концепције просторне регионализације”, као и, иначе нејасно дефинисане „концепције просторног развоја регионалне организације”. У овом делу је на крају дефинисана веома амбици- озна концепција за остваривање равномернијег распореда актив- ности између развијенијих подручја и оних мање развијених (са мањим степеном конкурентности, али не и без одређених </w:t>
      </w:r>
      <w:r>
        <w:rPr>
          <w:color w:val="231F20"/>
          <w:spacing w:val="-3"/>
        </w:rPr>
        <w:t>компа- </w:t>
      </w:r>
      <w:r>
        <w:rPr>
          <w:color w:val="231F20"/>
        </w:rPr>
        <w:t>ративних предности), </w:t>
      </w:r>
      <w:r>
        <w:rPr>
          <w:color w:val="231F20"/>
          <w:spacing w:val="-3"/>
        </w:rPr>
        <w:t>која </w:t>
      </w:r>
      <w:r>
        <w:rPr>
          <w:color w:val="231F20"/>
        </w:rPr>
        <w:t>сеже с ону страну просторно-планско- развојне</w:t>
      </w:r>
      <w:r>
        <w:rPr>
          <w:color w:val="231F20"/>
          <w:spacing w:val="-6"/>
        </w:rPr>
        <w:t> </w:t>
      </w:r>
      <w:r>
        <w:rPr>
          <w:color w:val="231F20"/>
        </w:rPr>
        <w:t>интервенције,</w:t>
      </w:r>
      <w:r>
        <w:rPr>
          <w:color w:val="231F20"/>
          <w:spacing w:val="-6"/>
        </w:rPr>
        <w:t> </w:t>
      </w:r>
      <w:r>
        <w:rPr>
          <w:color w:val="231F20"/>
        </w:rPr>
        <w:t>већ</w:t>
      </w:r>
      <w:r>
        <w:rPr>
          <w:color w:val="231F20"/>
          <w:spacing w:val="-6"/>
        </w:rPr>
        <w:t> </w:t>
      </w:r>
      <w:r>
        <w:rPr>
          <w:color w:val="231F20"/>
        </w:rPr>
        <w:t>циља</w:t>
      </w:r>
      <w:r>
        <w:rPr>
          <w:color w:val="231F20"/>
          <w:spacing w:val="-6"/>
        </w:rPr>
        <w:t> </w:t>
      </w:r>
      <w:r>
        <w:rPr>
          <w:color w:val="231F20"/>
        </w:rPr>
        <w:t>на</w:t>
      </w:r>
      <w:r>
        <w:rPr>
          <w:color w:val="231F20"/>
          <w:spacing w:val="-6"/>
        </w:rPr>
        <w:t> </w:t>
      </w:r>
      <w:r>
        <w:rPr>
          <w:color w:val="231F20"/>
          <w:spacing w:val="-3"/>
        </w:rPr>
        <w:t>комплексне</w:t>
      </w:r>
      <w:r>
        <w:rPr>
          <w:color w:val="231F20"/>
          <w:spacing w:val="-6"/>
        </w:rPr>
        <w:t> </w:t>
      </w:r>
      <w:r>
        <w:rPr>
          <w:color w:val="231F20"/>
        </w:rPr>
        <w:t>промене</w:t>
      </w:r>
      <w:r>
        <w:rPr>
          <w:color w:val="231F20"/>
          <w:spacing w:val="-6"/>
        </w:rPr>
        <w:t> </w:t>
      </w:r>
      <w:r>
        <w:rPr>
          <w:color w:val="231F20"/>
        </w:rPr>
        <w:t>у</w:t>
      </w:r>
      <w:r>
        <w:rPr>
          <w:color w:val="231F20"/>
          <w:spacing w:val="-6"/>
        </w:rPr>
        <w:t> </w:t>
      </w:r>
      <w:r>
        <w:rPr>
          <w:color w:val="231F20"/>
        </w:rPr>
        <w:t>области интегралног и регионалног развоја, кроз већи број „стратешких интервенција”, у оквиру следећих група: успостављање институ- ционалног</w:t>
      </w:r>
      <w:r>
        <w:rPr>
          <w:color w:val="231F20"/>
          <w:spacing w:val="-7"/>
        </w:rPr>
        <w:t> </w:t>
      </w:r>
      <w:r>
        <w:rPr>
          <w:color w:val="231F20"/>
        </w:rPr>
        <w:t>оквира;</w:t>
      </w:r>
      <w:r>
        <w:rPr>
          <w:color w:val="231F20"/>
          <w:spacing w:val="-7"/>
        </w:rPr>
        <w:t> </w:t>
      </w:r>
      <w:r>
        <w:rPr>
          <w:color w:val="231F20"/>
        </w:rPr>
        <w:t>мере</w:t>
      </w:r>
      <w:r>
        <w:rPr>
          <w:color w:val="231F20"/>
          <w:spacing w:val="-7"/>
        </w:rPr>
        <w:t> </w:t>
      </w:r>
      <w:r>
        <w:rPr>
          <w:color w:val="231F20"/>
        </w:rPr>
        <w:t>фискалне</w:t>
      </w:r>
      <w:r>
        <w:rPr>
          <w:color w:val="231F20"/>
          <w:spacing w:val="-7"/>
        </w:rPr>
        <w:t> </w:t>
      </w:r>
      <w:r>
        <w:rPr>
          <w:color w:val="231F20"/>
        </w:rPr>
        <w:t>политике;</w:t>
      </w:r>
      <w:r>
        <w:rPr>
          <w:color w:val="231F20"/>
          <w:spacing w:val="-7"/>
        </w:rPr>
        <w:t> </w:t>
      </w:r>
      <w:r>
        <w:rPr>
          <w:color w:val="231F20"/>
        </w:rPr>
        <w:t>мере</w:t>
      </w:r>
      <w:r>
        <w:rPr>
          <w:color w:val="231F20"/>
          <w:spacing w:val="-7"/>
        </w:rPr>
        <w:t> </w:t>
      </w:r>
      <w:r>
        <w:rPr>
          <w:color w:val="231F20"/>
        </w:rPr>
        <w:t>политике</w:t>
      </w:r>
      <w:r>
        <w:rPr>
          <w:color w:val="231F20"/>
          <w:spacing w:val="-7"/>
        </w:rPr>
        <w:t> </w:t>
      </w:r>
      <w:r>
        <w:rPr>
          <w:color w:val="231F20"/>
          <w:spacing w:val="-3"/>
        </w:rPr>
        <w:t>конку- </w:t>
      </w:r>
      <w:r>
        <w:rPr>
          <w:color w:val="231F20"/>
        </w:rPr>
        <w:t>рентности; мере инвестиционе политике; мере политике подршке развоју МСП сектора; мере активне политике запошљавања; ме- ре за остваривање пројеката инфраструктуре; мере за подстицање интегралног развоја села; и мере и активности за јачање капаци- тета локалних заједница. Одговарајуће претходне одредбе суми- ране су у делу о „просторној интеграцији </w:t>
      </w:r>
      <w:r>
        <w:rPr>
          <w:color w:val="231F20"/>
          <w:spacing w:val="-3"/>
        </w:rPr>
        <w:t>Републике </w:t>
      </w:r>
      <w:r>
        <w:rPr>
          <w:color w:val="231F20"/>
        </w:rPr>
        <w:t>Србије”, и оне обухватају две повезане групе питања, односно, „просторни и функционални аспект интеграције” и „функционалне везе са ши- рим</w:t>
      </w:r>
      <w:r>
        <w:rPr>
          <w:color w:val="231F20"/>
          <w:spacing w:val="-1"/>
        </w:rPr>
        <w:t> </w:t>
      </w:r>
      <w:r>
        <w:rPr>
          <w:color w:val="231F20"/>
        </w:rPr>
        <w:t>окружењем”.</w:t>
      </w:r>
    </w:p>
    <w:p>
      <w:pPr>
        <w:pStyle w:val="BodyText"/>
        <w:spacing w:line="232" w:lineRule="auto"/>
        <w:ind w:left="241" w:right="129" w:firstLine="396"/>
      </w:pPr>
      <w:r>
        <w:rPr>
          <w:color w:val="231F20"/>
        </w:rPr>
        <w:t>Део о мерама и инструментима за имплементацију Плана („Ка остварењу Плана”) обухвата: обавезе и смернице за планску </w:t>
      </w:r>
      <w:r>
        <w:rPr>
          <w:color w:val="231F20"/>
          <w:spacing w:val="-3"/>
        </w:rPr>
        <w:t>разраду,</w:t>
      </w:r>
      <w:r>
        <w:rPr>
          <w:color w:val="231F20"/>
          <w:spacing w:val="-8"/>
        </w:rPr>
        <w:t> </w:t>
      </w:r>
      <w:r>
        <w:rPr>
          <w:color w:val="231F20"/>
        </w:rPr>
        <w:t>међу</w:t>
      </w:r>
      <w:r>
        <w:rPr>
          <w:color w:val="231F20"/>
          <w:spacing w:val="-8"/>
        </w:rPr>
        <w:t> </w:t>
      </w:r>
      <w:r>
        <w:rPr>
          <w:color w:val="231F20"/>
        </w:rPr>
        <w:t>њима</w:t>
      </w:r>
      <w:r>
        <w:rPr>
          <w:color w:val="231F20"/>
          <w:spacing w:val="-8"/>
        </w:rPr>
        <w:t> </w:t>
      </w:r>
      <w:r>
        <w:rPr>
          <w:color w:val="231F20"/>
        </w:rPr>
        <w:t>и</w:t>
      </w:r>
      <w:r>
        <w:rPr>
          <w:color w:val="231F20"/>
          <w:spacing w:val="-8"/>
        </w:rPr>
        <w:t> </w:t>
      </w:r>
      <w:r>
        <w:rPr>
          <w:color w:val="231F20"/>
        </w:rPr>
        <w:t>оне</w:t>
      </w:r>
      <w:r>
        <w:rPr>
          <w:color w:val="231F20"/>
          <w:spacing w:val="-8"/>
        </w:rPr>
        <w:t> </w:t>
      </w:r>
      <w:r>
        <w:rPr>
          <w:color w:val="231F20"/>
          <w:spacing w:val="-3"/>
        </w:rPr>
        <w:t>које</w:t>
      </w:r>
      <w:r>
        <w:rPr>
          <w:color w:val="231F20"/>
          <w:spacing w:val="-8"/>
        </w:rPr>
        <w:t> </w:t>
      </w:r>
      <w:r>
        <w:rPr>
          <w:color w:val="231F20"/>
        </w:rPr>
        <w:t>се</w:t>
      </w:r>
      <w:r>
        <w:rPr>
          <w:color w:val="231F20"/>
          <w:spacing w:val="-8"/>
        </w:rPr>
        <w:t> </w:t>
      </w:r>
      <w:r>
        <w:rPr>
          <w:color w:val="231F20"/>
        </w:rPr>
        <w:t>односе</w:t>
      </w:r>
      <w:r>
        <w:rPr>
          <w:color w:val="231F20"/>
          <w:spacing w:val="-8"/>
        </w:rPr>
        <w:t> </w:t>
      </w:r>
      <w:r>
        <w:rPr>
          <w:color w:val="231F20"/>
        </w:rPr>
        <w:t>на</w:t>
      </w:r>
      <w:r>
        <w:rPr>
          <w:color w:val="231F20"/>
          <w:spacing w:val="-8"/>
        </w:rPr>
        <w:t> </w:t>
      </w:r>
      <w:r>
        <w:rPr>
          <w:color w:val="231F20"/>
        </w:rPr>
        <w:t>израду</w:t>
      </w:r>
      <w:r>
        <w:rPr>
          <w:color w:val="231F20"/>
          <w:spacing w:val="-8"/>
        </w:rPr>
        <w:t> </w:t>
      </w:r>
      <w:r>
        <w:rPr>
          <w:color w:val="231F20"/>
        </w:rPr>
        <w:t>просторних</w:t>
      </w:r>
      <w:r>
        <w:rPr>
          <w:color w:val="231F20"/>
          <w:spacing w:val="-8"/>
        </w:rPr>
        <w:t> </w:t>
      </w:r>
      <w:r>
        <w:rPr>
          <w:color w:val="231F20"/>
        </w:rPr>
        <w:t>пла- нова подручја посебне намене (за подручја разних – различитих намена, активности или функција); обавезе и смернице за Про- грам имплементације Плана (укључујући и приоритете у оства- ривању циљева Плана и институционално-организационом при- лагођавању);</w:t>
      </w:r>
      <w:r>
        <w:rPr>
          <w:color w:val="231F20"/>
          <w:spacing w:val="16"/>
        </w:rPr>
        <w:t> </w:t>
      </w:r>
      <w:r>
        <w:rPr>
          <w:color w:val="231F20"/>
        </w:rPr>
        <w:t>однос</w:t>
      </w:r>
      <w:r>
        <w:rPr>
          <w:color w:val="231F20"/>
          <w:spacing w:val="16"/>
        </w:rPr>
        <w:t> </w:t>
      </w:r>
      <w:r>
        <w:rPr>
          <w:color w:val="231F20"/>
        </w:rPr>
        <w:t>према</w:t>
      </w:r>
      <w:r>
        <w:rPr>
          <w:color w:val="231F20"/>
          <w:spacing w:val="16"/>
        </w:rPr>
        <w:t> </w:t>
      </w:r>
      <w:r>
        <w:rPr>
          <w:color w:val="231F20"/>
        </w:rPr>
        <w:t>државним</w:t>
      </w:r>
      <w:r>
        <w:rPr>
          <w:color w:val="231F20"/>
          <w:spacing w:val="16"/>
        </w:rPr>
        <w:t> </w:t>
      </w:r>
      <w:r>
        <w:rPr>
          <w:color w:val="231F20"/>
        </w:rPr>
        <w:t>и</w:t>
      </w:r>
      <w:r>
        <w:rPr>
          <w:color w:val="231F20"/>
          <w:spacing w:val="16"/>
        </w:rPr>
        <w:t> </w:t>
      </w:r>
      <w:r>
        <w:rPr>
          <w:color w:val="231F20"/>
        </w:rPr>
        <w:t>регионалним</w:t>
      </w:r>
      <w:r>
        <w:rPr>
          <w:color w:val="231F20"/>
          <w:spacing w:val="16"/>
        </w:rPr>
        <w:t> </w:t>
      </w:r>
      <w:r>
        <w:rPr>
          <w:color w:val="231F20"/>
        </w:rPr>
        <w:t>дугорочним</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right="38"/>
      </w:pPr>
      <w:r>
        <w:rPr/>
        <w:pict>
          <v:line style="position:absolute;mso-position-horizontal-relative:page;mso-position-vertical-relative:page;z-index:2272" from="304.724396pt,11.942451pt" to="304.724396pt,748.950451pt" stroked="true" strokeweight=".6pt" strokecolor="#231f20">
            <v:stroke dashstyle="solid"/>
            <w10:wrap type="none"/>
          </v:line>
        </w:pict>
      </w:r>
      <w:r>
        <w:rPr>
          <w:color w:val="231F20"/>
        </w:rPr>
        <w:t>стратегијама (за разне секторе односно области); и одредбе о ин- формационој подршци остваривању Плана. Код последњег, при- ложена је листа индикатора за мониторинг остваривања кључних приоритета просторног развоја Републике Србије.</w:t>
      </w:r>
    </w:p>
    <w:p>
      <w:pPr>
        <w:pStyle w:val="BodyText"/>
        <w:spacing w:line="225" w:lineRule="auto"/>
        <w:ind w:left="169" w:right="38" w:firstLine="398"/>
      </w:pPr>
      <w:r>
        <w:rPr>
          <w:color w:val="231F20"/>
        </w:rPr>
        <w:t>Предвиђена је и израда Програма имплементације Простор- ног плана </w:t>
      </w:r>
      <w:r>
        <w:rPr>
          <w:color w:val="231F20"/>
          <w:spacing w:val="-3"/>
        </w:rPr>
        <w:t>Републике </w:t>
      </w:r>
      <w:r>
        <w:rPr>
          <w:color w:val="231F20"/>
        </w:rPr>
        <w:t>Србије за подробније дефинисање његовог остваривања („ближе обавезе и смернице”) у </w:t>
      </w:r>
      <w:r>
        <w:rPr>
          <w:color w:val="231F20"/>
          <w:spacing w:val="-3"/>
        </w:rPr>
        <w:t>погледу: </w:t>
      </w:r>
      <w:r>
        <w:rPr>
          <w:color w:val="231F20"/>
        </w:rPr>
        <w:t>приоритет- них пројеката (и динамике њихове израде, њиховог финансирања и</w:t>
      </w:r>
      <w:r>
        <w:rPr>
          <w:color w:val="231F20"/>
          <w:spacing w:val="-6"/>
        </w:rPr>
        <w:t> </w:t>
      </w:r>
      <w:r>
        <w:rPr>
          <w:color w:val="231F20"/>
        </w:rPr>
        <w:t>одговорности</w:t>
      </w:r>
      <w:r>
        <w:rPr>
          <w:color w:val="231F20"/>
          <w:spacing w:val="-5"/>
        </w:rPr>
        <w:t> </w:t>
      </w:r>
      <w:r>
        <w:rPr>
          <w:color w:val="231F20"/>
        </w:rPr>
        <w:t>за</w:t>
      </w:r>
      <w:r>
        <w:rPr>
          <w:color w:val="231F20"/>
          <w:spacing w:val="-6"/>
        </w:rPr>
        <w:t> </w:t>
      </w:r>
      <w:r>
        <w:rPr>
          <w:color w:val="231F20"/>
        </w:rPr>
        <w:t>извршење);</w:t>
      </w:r>
      <w:r>
        <w:rPr>
          <w:color w:val="231F20"/>
          <w:spacing w:val="-6"/>
        </w:rPr>
        <w:t> </w:t>
      </w:r>
      <w:r>
        <w:rPr>
          <w:color w:val="231F20"/>
        </w:rPr>
        <w:t>критеријума</w:t>
      </w:r>
      <w:r>
        <w:rPr>
          <w:color w:val="231F20"/>
          <w:spacing w:val="-5"/>
        </w:rPr>
        <w:t> </w:t>
      </w:r>
      <w:r>
        <w:rPr>
          <w:color w:val="231F20"/>
        </w:rPr>
        <w:t>и</w:t>
      </w:r>
      <w:r>
        <w:rPr>
          <w:color w:val="231F20"/>
          <w:spacing w:val="-6"/>
        </w:rPr>
        <w:t> </w:t>
      </w:r>
      <w:r>
        <w:rPr>
          <w:color w:val="231F20"/>
        </w:rPr>
        <w:t>индикатора</w:t>
      </w:r>
      <w:r>
        <w:rPr>
          <w:color w:val="231F20"/>
          <w:spacing w:val="-5"/>
        </w:rPr>
        <w:t> </w:t>
      </w:r>
      <w:r>
        <w:rPr>
          <w:color w:val="231F20"/>
        </w:rPr>
        <w:t>за</w:t>
      </w:r>
      <w:r>
        <w:rPr>
          <w:color w:val="231F20"/>
          <w:spacing w:val="-6"/>
        </w:rPr>
        <w:t> </w:t>
      </w:r>
      <w:r>
        <w:rPr>
          <w:color w:val="231F20"/>
        </w:rPr>
        <w:t>праће- ње просторних промена; ревизије досад донетих, разних страте- шких докумената на државном </w:t>
      </w:r>
      <w:r>
        <w:rPr>
          <w:color w:val="231F20"/>
          <w:spacing w:val="-3"/>
        </w:rPr>
        <w:t>нивоу; </w:t>
      </w:r>
      <w:r>
        <w:rPr>
          <w:color w:val="231F20"/>
        </w:rPr>
        <w:t>неопходне ревизије </w:t>
      </w:r>
      <w:r>
        <w:rPr>
          <w:color w:val="231F20"/>
          <w:spacing w:val="-3"/>
        </w:rPr>
        <w:t>закона </w:t>
      </w:r>
      <w:r>
        <w:rPr>
          <w:color w:val="231F20"/>
        </w:rPr>
        <w:t>и других прописа; смерница за остваривање Плана кроз друге до- кументе развоја и заштите животне средине; упутстава за прила- гођавање стратешког развоја и управљања на регионалном </w:t>
      </w:r>
      <w:r>
        <w:rPr>
          <w:color w:val="231F20"/>
          <w:spacing w:val="-3"/>
        </w:rPr>
        <w:t>нивоу; </w:t>
      </w:r>
      <w:r>
        <w:rPr>
          <w:color w:val="231F20"/>
        </w:rPr>
        <w:t>просторно-еколошких норми у остваривању Плана; даљег рада на просторно-еколошког развоја и организације и уређења просто- ра у условима продуженог трајања глобалне кризе; приоритета у областима истраживачке подршке, институционалног и органи- зационог прилагођавања, информатичке подршке и израде про- сторних и урбанистичких планова и кључних докумената заштите животне средине; и индикатора за праћење и еx пост евалуације остваривања кључних одредби Плана. Посебно се указује на од- </w:t>
      </w:r>
      <w:r>
        <w:rPr>
          <w:color w:val="231F20"/>
          <w:spacing w:val="-3"/>
        </w:rPr>
        <w:t>редбу </w:t>
      </w:r>
      <w:r>
        <w:rPr>
          <w:color w:val="231F20"/>
        </w:rPr>
        <w:t>о институционалном и организационом </w:t>
      </w:r>
      <w:r>
        <w:rPr>
          <w:color w:val="231F20"/>
          <w:spacing w:val="-3"/>
        </w:rPr>
        <w:t>прилагођавању, </w:t>
      </w:r>
      <w:r>
        <w:rPr>
          <w:color w:val="231F20"/>
        </w:rPr>
        <w:t>јер она чини једну </w:t>
      </w:r>
      <w:r>
        <w:rPr>
          <w:color w:val="231F20"/>
          <w:spacing w:val="-3"/>
        </w:rPr>
        <w:t>од </w:t>
      </w:r>
      <w:r>
        <w:rPr>
          <w:color w:val="231F20"/>
        </w:rPr>
        <w:t>окосница новог стратешког приступа </w:t>
      </w:r>
      <w:r>
        <w:rPr>
          <w:color w:val="231F20"/>
          <w:spacing w:val="-3"/>
        </w:rPr>
        <w:t>развоју, </w:t>
      </w:r>
      <w:r>
        <w:rPr>
          <w:color w:val="231F20"/>
        </w:rPr>
        <w:t>нарочито на разним суб-националним управљачким</w:t>
      </w:r>
      <w:r>
        <w:rPr>
          <w:color w:val="231F20"/>
          <w:spacing w:val="-19"/>
        </w:rPr>
        <w:t> </w:t>
      </w:r>
      <w:r>
        <w:rPr>
          <w:color w:val="231F20"/>
        </w:rPr>
        <w:t>нивоима.</w:t>
      </w:r>
    </w:p>
    <w:p>
      <w:pPr>
        <w:pStyle w:val="BodyText"/>
        <w:spacing w:line="225" w:lineRule="auto"/>
        <w:ind w:left="168" w:right="39" w:firstLine="397"/>
      </w:pPr>
      <w:r>
        <w:rPr>
          <w:color w:val="231F20"/>
        </w:rPr>
        <w:t>Према Националној стратегији одрживог развоја Републике Србије, главни принципи одрживог развоја, који су релевантни и за Планско подручје, су следећи:</w:t>
      </w:r>
    </w:p>
    <w:p>
      <w:pPr>
        <w:pStyle w:val="BodyText"/>
        <w:spacing w:line="225" w:lineRule="auto"/>
        <w:ind w:left="168" w:right="39" w:firstLine="397"/>
      </w:pPr>
      <w:r>
        <w:rPr>
          <w:color w:val="231F20"/>
          <w:w w:val="66"/>
        </w:rPr>
        <w:t> </w:t>
      </w:r>
      <w:r>
        <w:rPr>
          <w:color w:val="231F20"/>
        </w:rPr>
        <w:t>– међугенерацијска солидарност и солидарност унутар гене- рације: задовољити потребе садашњих генерација, али </w:t>
      </w:r>
      <w:r>
        <w:rPr>
          <w:color w:val="231F20"/>
          <w:spacing w:val="-3"/>
        </w:rPr>
        <w:t>тако </w:t>
      </w:r>
      <w:r>
        <w:rPr>
          <w:color w:val="231F20"/>
        </w:rPr>
        <w:t>да се не угрозе права </w:t>
      </w:r>
      <w:r>
        <w:rPr>
          <w:color w:val="231F20"/>
          <w:spacing w:val="-3"/>
        </w:rPr>
        <w:t>будућих </w:t>
      </w:r>
      <w:r>
        <w:rPr>
          <w:color w:val="231F20"/>
        </w:rPr>
        <w:t>генерација да задовоље своје потребе; со- лидарност унутар генерације постићи демократски усаглашеном расподелом природног и створеног капитала </w:t>
      </w:r>
      <w:r>
        <w:rPr>
          <w:color w:val="231F20"/>
          <w:spacing w:val="-3"/>
        </w:rPr>
        <w:t>тако </w:t>
      </w:r>
      <w:r>
        <w:rPr>
          <w:color w:val="231F20"/>
        </w:rPr>
        <w:t>да се обезбеде основне потребе за све друштвене групе;</w:t>
      </w:r>
    </w:p>
    <w:p>
      <w:pPr>
        <w:pStyle w:val="BodyText"/>
        <w:spacing w:line="225" w:lineRule="auto"/>
        <w:ind w:left="168" w:right="39" w:firstLine="396"/>
      </w:pPr>
      <w:r>
        <w:rPr>
          <w:color w:val="231F20"/>
          <w:w w:val="66"/>
        </w:rPr>
        <w:t> </w:t>
      </w:r>
      <w:r>
        <w:rPr>
          <w:color w:val="231F20"/>
        </w:rPr>
        <w:t>– отворено и демократско друштво – учешће грађана у</w:t>
      </w:r>
      <w:r>
        <w:rPr>
          <w:color w:val="231F20"/>
          <w:spacing w:val="-21"/>
        </w:rPr>
        <w:t> </w:t>
      </w:r>
      <w:r>
        <w:rPr>
          <w:color w:val="231F20"/>
        </w:rPr>
        <w:t>одлу- чивању: гарантовати грађанска права, обезбедити приступ инфор- мацијама</w:t>
      </w:r>
      <w:r>
        <w:rPr>
          <w:color w:val="231F20"/>
          <w:spacing w:val="-12"/>
        </w:rPr>
        <w:t> </w:t>
      </w:r>
      <w:r>
        <w:rPr>
          <w:color w:val="231F20"/>
        </w:rPr>
        <w:t>и</w:t>
      </w:r>
      <w:r>
        <w:rPr>
          <w:color w:val="231F20"/>
          <w:spacing w:val="-12"/>
        </w:rPr>
        <w:t> </w:t>
      </w:r>
      <w:r>
        <w:rPr>
          <w:color w:val="231F20"/>
        </w:rPr>
        <w:t>осигурати</w:t>
      </w:r>
      <w:r>
        <w:rPr>
          <w:color w:val="231F20"/>
          <w:spacing w:val="-12"/>
        </w:rPr>
        <w:t> </w:t>
      </w:r>
      <w:r>
        <w:rPr>
          <w:color w:val="231F20"/>
        </w:rPr>
        <w:t>доступност</w:t>
      </w:r>
      <w:r>
        <w:rPr>
          <w:color w:val="231F20"/>
          <w:spacing w:val="-12"/>
        </w:rPr>
        <w:t> </w:t>
      </w:r>
      <w:r>
        <w:rPr>
          <w:color w:val="231F20"/>
        </w:rPr>
        <w:t>правде;</w:t>
      </w:r>
      <w:r>
        <w:rPr>
          <w:color w:val="231F20"/>
          <w:spacing w:val="-12"/>
        </w:rPr>
        <w:t> </w:t>
      </w:r>
      <w:r>
        <w:rPr>
          <w:color w:val="231F20"/>
        </w:rPr>
        <w:t>обезбедити</w:t>
      </w:r>
      <w:r>
        <w:rPr>
          <w:color w:val="231F20"/>
          <w:spacing w:val="-12"/>
        </w:rPr>
        <w:t> </w:t>
      </w:r>
      <w:r>
        <w:rPr>
          <w:color w:val="231F20"/>
        </w:rPr>
        <w:t>одговарајуће </w:t>
      </w:r>
      <w:r>
        <w:rPr>
          <w:color w:val="231F20"/>
          <w:spacing w:val="-2"/>
        </w:rPr>
        <w:t>консултације </w:t>
      </w:r>
      <w:r>
        <w:rPr>
          <w:color w:val="231F20"/>
        </w:rPr>
        <w:t>с грађанима и учешће грађана у доношењу</w:t>
      </w:r>
      <w:r>
        <w:rPr>
          <w:color w:val="231F20"/>
          <w:spacing w:val="-18"/>
        </w:rPr>
        <w:t> </w:t>
      </w:r>
      <w:r>
        <w:rPr>
          <w:color w:val="231F20"/>
        </w:rPr>
        <w:t>одлука;</w:t>
      </w:r>
    </w:p>
    <w:p>
      <w:pPr>
        <w:pStyle w:val="BodyText"/>
        <w:spacing w:line="225" w:lineRule="auto"/>
        <w:ind w:left="169" w:right="39" w:firstLine="396"/>
      </w:pPr>
      <w:r>
        <w:rPr>
          <w:color w:val="231F20"/>
          <w:w w:val="66"/>
        </w:rPr>
        <w:t> </w:t>
      </w:r>
      <w:r>
        <w:rPr>
          <w:color w:val="231F20"/>
        </w:rPr>
        <w:t>– знање као носилац развоја: промовисати просперитетну, иновативну, конкурентну и еколошки ефикасну економију, засно- вану на знању, која обезбеђује висок животни стандард и пуну и висококвалитетну запосленост;</w:t>
      </w:r>
    </w:p>
    <w:p>
      <w:pPr>
        <w:pStyle w:val="BodyText"/>
        <w:spacing w:line="225" w:lineRule="auto"/>
        <w:ind w:left="169" w:right="39" w:firstLine="396"/>
      </w:pPr>
      <w:r>
        <w:rPr>
          <w:color w:val="231F20"/>
          <w:w w:val="66"/>
        </w:rPr>
        <w:t> </w:t>
      </w:r>
      <w:r>
        <w:rPr>
          <w:color w:val="231F20"/>
        </w:rPr>
        <w:t>– укљученост у друштвене процесе: промовисати пуну ин- теграцију грађана у друштво, подстицати једнаке могућности за свакога тако што ће се промовисати људска права, посебно родна равноправност, и борити против свих облика дискриминације ме- рама за маргинализоване групе и смањењем сиромаштва;</w:t>
      </w:r>
    </w:p>
    <w:p>
      <w:pPr>
        <w:pStyle w:val="BodyText"/>
        <w:spacing w:line="225" w:lineRule="auto"/>
        <w:ind w:left="169" w:right="38" w:firstLine="397"/>
      </w:pPr>
      <w:r>
        <w:rPr>
          <w:color w:val="231F20"/>
          <w:w w:val="66"/>
        </w:rPr>
        <w:t> </w:t>
      </w:r>
      <w:r>
        <w:rPr>
          <w:color w:val="231F20"/>
        </w:rPr>
        <w:t>– интегрисање питања животне средине у остале секторске политике: промовисати интеграцију економских, социјалних и еколошких приступа и анализа, те подржати коришћење инстру- мената као што је стратешка процена животне средине; подсти- цати социјални дијалог, друштвено одговорно пословање и јавно- приватно партнерство;</w:t>
      </w:r>
    </w:p>
    <w:p>
      <w:pPr>
        <w:pStyle w:val="BodyText"/>
        <w:spacing w:line="225" w:lineRule="auto"/>
        <w:ind w:left="169" w:right="38" w:firstLine="396"/>
      </w:pPr>
      <w:r>
        <w:rPr>
          <w:color w:val="231F20"/>
          <w:w w:val="66"/>
        </w:rPr>
        <w:t> </w:t>
      </w:r>
      <w:r>
        <w:rPr>
          <w:color w:val="231F20"/>
        </w:rPr>
        <w:t>– предострожност: захтевати очување природне равнотеже када нема поузданих информација о одређеном проблему; свака активност мора бити планирана и спроведена тако да проузрокује најмању могућу промену у животној средини; превентивно дело- вати да би се спречили могући негативни утицаји на животну сре- дину, и ако би била угрожена добробит људи и животиња;</w:t>
      </w:r>
    </w:p>
    <w:p>
      <w:pPr>
        <w:pStyle w:val="BodyText"/>
        <w:spacing w:line="225" w:lineRule="auto"/>
        <w:ind w:left="169" w:right="38" w:firstLine="396"/>
      </w:pPr>
      <w:r>
        <w:rPr>
          <w:color w:val="231F20"/>
          <w:w w:val="66"/>
        </w:rPr>
        <w:t> </w:t>
      </w:r>
      <w:r>
        <w:rPr>
          <w:color w:val="231F20"/>
        </w:rPr>
        <w:t>– загађивач/корисник плаћа – укључење трошкова везаних за животну средину у цену производа: интернализовати трошко- ве везане за животну </w:t>
      </w:r>
      <w:r>
        <w:rPr>
          <w:color w:val="231F20"/>
          <w:spacing w:val="-3"/>
        </w:rPr>
        <w:t>средину, </w:t>
      </w:r>
      <w:r>
        <w:rPr>
          <w:color w:val="231F20"/>
        </w:rPr>
        <w:t>односно укључивати трошкове уништавања животне средине у </w:t>
      </w:r>
      <w:r>
        <w:rPr>
          <w:color w:val="231F20"/>
          <w:spacing w:val="-3"/>
        </w:rPr>
        <w:t>економске </w:t>
      </w:r>
      <w:r>
        <w:rPr>
          <w:color w:val="231F20"/>
        </w:rPr>
        <w:t>трошкове загађивача/ корисника;</w:t>
      </w:r>
      <w:r>
        <w:rPr>
          <w:color w:val="231F20"/>
          <w:spacing w:val="-8"/>
        </w:rPr>
        <w:t> </w:t>
      </w:r>
      <w:r>
        <w:rPr>
          <w:color w:val="231F20"/>
          <w:spacing w:val="-3"/>
        </w:rPr>
        <w:t>тако</w:t>
      </w:r>
      <w:r>
        <w:rPr>
          <w:color w:val="231F20"/>
          <w:spacing w:val="-8"/>
        </w:rPr>
        <w:t> </w:t>
      </w:r>
      <w:r>
        <w:rPr>
          <w:color w:val="231F20"/>
        </w:rPr>
        <w:t>се</w:t>
      </w:r>
      <w:r>
        <w:rPr>
          <w:color w:val="231F20"/>
          <w:spacing w:val="-8"/>
        </w:rPr>
        <w:t> </w:t>
      </w:r>
      <w:r>
        <w:rPr>
          <w:color w:val="231F20"/>
        </w:rPr>
        <w:t>постиже</w:t>
      </w:r>
      <w:r>
        <w:rPr>
          <w:color w:val="231F20"/>
          <w:spacing w:val="-8"/>
        </w:rPr>
        <w:t> </w:t>
      </w:r>
      <w:r>
        <w:rPr>
          <w:color w:val="231F20"/>
        </w:rPr>
        <w:t>пуна</w:t>
      </w:r>
      <w:r>
        <w:rPr>
          <w:color w:val="231F20"/>
          <w:spacing w:val="-8"/>
        </w:rPr>
        <w:t> </w:t>
      </w:r>
      <w:r>
        <w:rPr>
          <w:color w:val="231F20"/>
        </w:rPr>
        <w:t>економска</w:t>
      </w:r>
      <w:r>
        <w:rPr>
          <w:color w:val="231F20"/>
          <w:spacing w:val="-8"/>
        </w:rPr>
        <w:t> </w:t>
      </w:r>
      <w:r>
        <w:rPr>
          <w:color w:val="231F20"/>
        </w:rPr>
        <w:t>цена</w:t>
      </w:r>
      <w:r>
        <w:rPr>
          <w:color w:val="231F20"/>
          <w:spacing w:val="-8"/>
        </w:rPr>
        <w:t> </w:t>
      </w:r>
      <w:r>
        <w:rPr>
          <w:color w:val="231F20"/>
          <w:spacing w:val="-3"/>
        </w:rPr>
        <w:t>која</w:t>
      </w:r>
      <w:r>
        <w:rPr>
          <w:color w:val="231F20"/>
          <w:spacing w:val="-8"/>
        </w:rPr>
        <w:t> </w:t>
      </w:r>
      <w:r>
        <w:rPr>
          <w:color w:val="231F20"/>
        </w:rPr>
        <w:t>покрива</w:t>
      </w:r>
      <w:r>
        <w:rPr>
          <w:color w:val="231F20"/>
          <w:spacing w:val="-8"/>
        </w:rPr>
        <w:t> </w:t>
      </w:r>
      <w:r>
        <w:rPr>
          <w:color w:val="231F20"/>
        </w:rPr>
        <w:t>тро- </w:t>
      </w:r>
      <w:r>
        <w:rPr>
          <w:color w:val="231F20"/>
          <w:spacing w:val="-3"/>
        </w:rPr>
        <w:t>шкове </w:t>
      </w:r>
      <w:r>
        <w:rPr>
          <w:color w:val="231F20"/>
        </w:rPr>
        <w:t>производње, употребе и одлагања производа</w:t>
      </w:r>
      <w:r>
        <w:rPr>
          <w:color w:val="231F20"/>
          <w:spacing w:val="-8"/>
        </w:rPr>
        <w:t> </w:t>
      </w:r>
      <w:r>
        <w:rPr>
          <w:color w:val="231F20"/>
        </w:rPr>
        <w:t>и</w:t>
      </w:r>
    </w:p>
    <w:p>
      <w:pPr>
        <w:pStyle w:val="BodyText"/>
        <w:spacing w:line="225" w:lineRule="auto"/>
        <w:ind w:left="168" w:right="39" w:firstLine="397"/>
      </w:pPr>
      <w:r>
        <w:rPr>
          <w:color w:val="231F20"/>
          <w:w w:val="66"/>
        </w:rPr>
        <w:t> </w:t>
      </w:r>
      <w:r>
        <w:rPr>
          <w:color w:val="231F20"/>
        </w:rPr>
        <w:t>– одржива производња и потрошња: поштовати уравноте- жене односе у експлоатацији природних ресурса и обезбедити заштиту и побољшања квалитета животне средине; смањити за- гађење</w:t>
      </w:r>
      <w:r>
        <w:rPr>
          <w:color w:val="231F20"/>
          <w:spacing w:val="-10"/>
        </w:rPr>
        <w:t> </w:t>
      </w:r>
      <w:r>
        <w:rPr>
          <w:color w:val="231F20"/>
        </w:rPr>
        <w:t>животне</w:t>
      </w:r>
      <w:r>
        <w:rPr>
          <w:color w:val="231F20"/>
          <w:spacing w:val="-10"/>
        </w:rPr>
        <w:t> </w:t>
      </w:r>
      <w:r>
        <w:rPr>
          <w:color w:val="231F20"/>
        </w:rPr>
        <w:t>средине</w:t>
      </w:r>
      <w:r>
        <w:rPr>
          <w:color w:val="231F20"/>
          <w:spacing w:val="-10"/>
        </w:rPr>
        <w:t> </w:t>
      </w:r>
      <w:r>
        <w:rPr>
          <w:color w:val="231F20"/>
        </w:rPr>
        <w:t>и</w:t>
      </w:r>
      <w:r>
        <w:rPr>
          <w:color w:val="231F20"/>
          <w:spacing w:val="-10"/>
        </w:rPr>
        <w:t> </w:t>
      </w:r>
      <w:r>
        <w:rPr>
          <w:color w:val="231F20"/>
        </w:rPr>
        <w:t>промовисати</w:t>
      </w:r>
      <w:r>
        <w:rPr>
          <w:color w:val="231F20"/>
          <w:spacing w:val="-10"/>
        </w:rPr>
        <w:t> </w:t>
      </w:r>
      <w:r>
        <w:rPr>
          <w:color w:val="231F20"/>
        </w:rPr>
        <w:t>одрживу</w:t>
      </w:r>
      <w:r>
        <w:rPr>
          <w:color w:val="231F20"/>
          <w:spacing w:val="-10"/>
        </w:rPr>
        <w:t> </w:t>
      </w:r>
      <w:r>
        <w:rPr>
          <w:color w:val="231F20"/>
        </w:rPr>
        <w:t>потрошњу</w:t>
      </w:r>
      <w:r>
        <w:rPr>
          <w:color w:val="231F20"/>
          <w:spacing w:val="-10"/>
        </w:rPr>
        <w:t> </w:t>
      </w:r>
      <w:r>
        <w:rPr>
          <w:color w:val="231F20"/>
        </w:rPr>
        <w:t>и</w:t>
      </w:r>
      <w:r>
        <w:rPr>
          <w:color w:val="231F20"/>
          <w:spacing w:val="-10"/>
        </w:rPr>
        <w:t> </w:t>
      </w:r>
      <w:r>
        <w:rPr>
          <w:color w:val="231F20"/>
        </w:rPr>
        <w:t>про- </w:t>
      </w:r>
      <w:r>
        <w:rPr>
          <w:color w:val="231F20"/>
          <w:spacing w:val="-4"/>
        </w:rPr>
        <w:t>изводњу.</w:t>
      </w:r>
    </w:p>
    <w:p>
      <w:pPr>
        <w:pStyle w:val="BodyText"/>
        <w:spacing w:line="225" w:lineRule="auto"/>
        <w:ind w:left="168" w:right="39" w:firstLine="396"/>
      </w:pPr>
      <w:r>
        <w:rPr>
          <w:color w:val="231F20"/>
        </w:rPr>
        <w:t>Према Стратегији регионалног развоја </w:t>
      </w:r>
      <w:r>
        <w:rPr>
          <w:color w:val="231F20"/>
          <w:spacing w:val="-3"/>
        </w:rPr>
        <w:t>Републике </w:t>
      </w:r>
      <w:r>
        <w:rPr>
          <w:color w:val="231F20"/>
        </w:rPr>
        <w:t>Србије 2007</w:t>
      </w:r>
      <w:r>
        <w:rPr>
          <w:color w:val="231F20"/>
          <w:spacing w:val="17"/>
        </w:rPr>
        <w:t> </w:t>
      </w:r>
      <w:r>
        <w:rPr>
          <w:color w:val="231F20"/>
        </w:rPr>
        <w:t>–</w:t>
      </w:r>
      <w:r>
        <w:rPr>
          <w:color w:val="231F20"/>
          <w:spacing w:val="-9"/>
        </w:rPr>
        <w:t> </w:t>
      </w:r>
      <w:r>
        <w:rPr>
          <w:color w:val="231F20"/>
        </w:rPr>
        <w:t>2012.</w:t>
      </w:r>
      <w:r>
        <w:rPr>
          <w:color w:val="231F20"/>
          <w:spacing w:val="-9"/>
        </w:rPr>
        <w:t> </w:t>
      </w:r>
      <w:r>
        <w:rPr>
          <w:color w:val="231F20"/>
        </w:rPr>
        <w:t>године,</w:t>
      </w:r>
      <w:r>
        <w:rPr>
          <w:color w:val="231F20"/>
          <w:spacing w:val="-9"/>
        </w:rPr>
        <w:t> </w:t>
      </w:r>
      <w:r>
        <w:rPr>
          <w:color w:val="231F20"/>
          <w:spacing w:val="-3"/>
        </w:rPr>
        <w:t>главни</w:t>
      </w:r>
      <w:r>
        <w:rPr>
          <w:color w:val="231F20"/>
          <w:spacing w:val="-9"/>
        </w:rPr>
        <w:t> </w:t>
      </w:r>
      <w:r>
        <w:rPr>
          <w:color w:val="231F20"/>
        </w:rPr>
        <w:t>циљеви</w:t>
      </w:r>
      <w:r>
        <w:rPr>
          <w:color w:val="231F20"/>
          <w:spacing w:val="-9"/>
        </w:rPr>
        <w:t> </w:t>
      </w:r>
      <w:r>
        <w:rPr>
          <w:color w:val="231F20"/>
        </w:rPr>
        <w:t>и</w:t>
      </w:r>
      <w:r>
        <w:rPr>
          <w:color w:val="231F20"/>
          <w:spacing w:val="-9"/>
        </w:rPr>
        <w:t> </w:t>
      </w:r>
      <w:r>
        <w:rPr>
          <w:color w:val="231F20"/>
        </w:rPr>
        <w:t>стратешки</w:t>
      </w:r>
      <w:r>
        <w:rPr>
          <w:color w:val="231F20"/>
          <w:spacing w:val="-9"/>
        </w:rPr>
        <w:t> </w:t>
      </w:r>
      <w:r>
        <w:rPr>
          <w:color w:val="231F20"/>
        </w:rPr>
        <w:t>правци</w:t>
      </w:r>
      <w:r>
        <w:rPr>
          <w:color w:val="231F20"/>
          <w:spacing w:val="-9"/>
        </w:rPr>
        <w:t> </w:t>
      </w:r>
      <w:r>
        <w:rPr>
          <w:color w:val="231F20"/>
        </w:rPr>
        <w:t>регионал- ног развоја </w:t>
      </w:r>
      <w:r>
        <w:rPr>
          <w:color w:val="231F20"/>
          <w:spacing w:val="-3"/>
        </w:rPr>
        <w:t>Републике </w:t>
      </w:r>
      <w:r>
        <w:rPr>
          <w:color w:val="231F20"/>
        </w:rPr>
        <w:t>Србије обухватају</w:t>
      </w:r>
      <w:r>
        <w:rPr>
          <w:color w:val="231F20"/>
          <w:spacing w:val="-1"/>
        </w:rPr>
        <w:t> </w:t>
      </w:r>
      <w:r>
        <w:rPr>
          <w:color w:val="231F20"/>
        </w:rPr>
        <w:t>следеће:</w:t>
      </w:r>
    </w:p>
    <w:p>
      <w:pPr>
        <w:pStyle w:val="BodyText"/>
        <w:spacing w:line="232" w:lineRule="auto"/>
        <w:ind w:left="168" w:right="39" w:firstLine="397"/>
      </w:pPr>
      <w:r>
        <w:rPr>
          <w:color w:val="231F20"/>
          <w:w w:val="66"/>
        </w:rPr>
        <w:t> </w:t>
      </w:r>
      <w:r>
        <w:rPr>
          <w:color w:val="231F20"/>
        </w:rPr>
        <w:t>– одржив развој, као дугорочно балансирани развој све три компоненте благостања (економске, социјалне и компоненте жи- вотне средине);</w:t>
      </w:r>
    </w:p>
    <w:p>
      <w:pPr>
        <w:pStyle w:val="BodyText"/>
        <w:spacing w:line="242" w:lineRule="auto" w:before="68"/>
        <w:ind w:left="169" w:right="413" w:firstLine="397"/>
      </w:pPr>
      <w:r>
        <w:rPr/>
        <w:br w:type="column"/>
      </w:r>
      <w:r>
        <w:rPr>
          <w:color w:val="231F20"/>
          <w:w w:val="66"/>
        </w:rPr>
        <w:t> </w:t>
      </w:r>
      <w:r>
        <w:rPr>
          <w:color w:val="231F20"/>
        </w:rPr>
        <w:t>– подизање регионалне конкурентности, на основу опти- мално активираних регионалних развојних потенцијала (односно људских, материјалних и природних);</w:t>
      </w:r>
    </w:p>
    <w:p>
      <w:pPr>
        <w:pStyle w:val="BodyText"/>
        <w:spacing w:line="242" w:lineRule="auto" w:before="1"/>
        <w:ind w:left="169" w:right="413" w:firstLine="396"/>
      </w:pPr>
      <w:r>
        <w:rPr>
          <w:color w:val="231F20"/>
          <w:w w:val="66"/>
        </w:rPr>
        <w:t> </w:t>
      </w:r>
      <w:r>
        <w:rPr>
          <w:color w:val="231F20"/>
        </w:rPr>
        <w:t>– смањење регионалних неравномерности и сиромаштва, у условима све продубљенијих територијалних разлика у степену развијености, као и појаве нових подручја неразвијености (Источ- на Србија, делови централне Србије, регионални центри </w:t>
      </w:r>
      <w:r>
        <w:rPr>
          <w:color w:val="231F20"/>
          <w:spacing w:val="-3"/>
        </w:rPr>
        <w:t>рудар- </w:t>
      </w:r>
      <w:r>
        <w:rPr>
          <w:color w:val="231F20"/>
        </w:rPr>
        <w:t>ства</w:t>
      </w:r>
      <w:r>
        <w:rPr>
          <w:color w:val="231F20"/>
          <w:spacing w:val="-6"/>
        </w:rPr>
        <w:t> </w:t>
      </w:r>
      <w:r>
        <w:rPr>
          <w:color w:val="231F20"/>
        </w:rPr>
        <w:t>и</w:t>
      </w:r>
      <w:r>
        <w:rPr>
          <w:color w:val="231F20"/>
          <w:spacing w:val="-6"/>
        </w:rPr>
        <w:t> </w:t>
      </w:r>
      <w:r>
        <w:rPr>
          <w:color w:val="231F20"/>
        </w:rPr>
        <w:t>традиционалне</w:t>
      </w:r>
      <w:r>
        <w:rPr>
          <w:color w:val="231F20"/>
          <w:spacing w:val="-6"/>
        </w:rPr>
        <w:t> </w:t>
      </w:r>
      <w:r>
        <w:rPr>
          <w:color w:val="231F20"/>
        </w:rPr>
        <w:t>индустрије)</w:t>
      </w:r>
      <w:r>
        <w:rPr>
          <w:color w:val="231F20"/>
          <w:spacing w:val="-6"/>
        </w:rPr>
        <w:t> </w:t>
      </w:r>
      <w:r>
        <w:rPr>
          <w:color w:val="231F20"/>
        </w:rPr>
        <w:t>и</w:t>
      </w:r>
      <w:r>
        <w:rPr>
          <w:color w:val="231F20"/>
          <w:spacing w:val="-6"/>
        </w:rPr>
        <w:t> </w:t>
      </w:r>
      <w:r>
        <w:rPr>
          <w:color w:val="231F20"/>
        </w:rPr>
        <w:t>девастираних</w:t>
      </w:r>
      <w:r>
        <w:rPr>
          <w:color w:val="231F20"/>
          <w:spacing w:val="-6"/>
        </w:rPr>
        <w:t> </w:t>
      </w:r>
      <w:r>
        <w:rPr>
          <w:color w:val="231F20"/>
        </w:rPr>
        <w:t>подручја,</w:t>
      </w:r>
      <w:r>
        <w:rPr>
          <w:color w:val="231F20"/>
          <w:spacing w:val="-6"/>
        </w:rPr>
        <w:t> </w:t>
      </w:r>
      <w:r>
        <w:rPr>
          <w:color w:val="231F20"/>
        </w:rPr>
        <w:t>са</w:t>
      </w:r>
      <w:r>
        <w:rPr>
          <w:color w:val="231F20"/>
          <w:spacing w:val="-6"/>
        </w:rPr>
        <w:t> </w:t>
      </w:r>
      <w:r>
        <w:rPr>
          <w:color w:val="231F20"/>
        </w:rPr>
        <w:t>ци- љем да се регионалне диспропорције смање на</w:t>
      </w:r>
      <w:r>
        <w:rPr>
          <w:color w:val="231F20"/>
          <w:spacing w:val="-7"/>
        </w:rPr>
        <w:t> </w:t>
      </w:r>
      <w:r>
        <w:rPr>
          <w:color w:val="231F20"/>
        </w:rPr>
        <w:t>1:3;</w:t>
      </w:r>
    </w:p>
    <w:p>
      <w:pPr>
        <w:pStyle w:val="BodyText"/>
        <w:spacing w:line="242" w:lineRule="auto" w:before="2"/>
        <w:ind w:left="169" w:right="414" w:firstLine="396"/>
      </w:pPr>
      <w:r>
        <w:rPr>
          <w:color w:val="231F20"/>
          <w:w w:val="66"/>
        </w:rPr>
        <w:t> </w:t>
      </w:r>
      <w:r>
        <w:rPr>
          <w:color w:val="231F20"/>
        </w:rPr>
        <w:t>– заустављање негативних демографских кретања, у услови- ма изразите депопулације и наглашеног процеса старења станов- ништва Републике Србије;</w:t>
      </w:r>
    </w:p>
    <w:p>
      <w:pPr>
        <w:pStyle w:val="BodyText"/>
        <w:spacing w:line="242" w:lineRule="auto"/>
        <w:ind w:left="169" w:right="414" w:firstLine="397"/>
      </w:pPr>
      <w:r>
        <w:rPr>
          <w:color w:val="231F20"/>
          <w:w w:val="66"/>
        </w:rPr>
        <w:t> </w:t>
      </w:r>
      <w:r>
        <w:rPr>
          <w:color w:val="231F20"/>
        </w:rPr>
        <w:t>–</w:t>
      </w:r>
      <w:r>
        <w:rPr>
          <w:color w:val="231F20"/>
          <w:spacing w:val="-8"/>
        </w:rPr>
        <w:t> </w:t>
      </w:r>
      <w:r>
        <w:rPr>
          <w:color w:val="231F20"/>
        </w:rPr>
        <w:t>наставак</w:t>
      </w:r>
      <w:r>
        <w:rPr>
          <w:color w:val="231F20"/>
          <w:spacing w:val="-8"/>
        </w:rPr>
        <w:t> </w:t>
      </w:r>
      <w:r>
        <w:rPr>
          <w:color w:val="231F20"/>
        </w:rPr>
        <w:t>процеса</w:t>
      </w:r>
      <w:r>
        <w:rPr>
          <w:color w:val="231F20"/>
          <w:spacing w:val="-8"/>
        </w:rPr>
        <w:t> </w:t>
      </w:r>
      <w:r>
        <w:rPr>
          <w:color w:val="231F20"/>
        </w:rPr>
        <w:t>децентрализације,</w:t>
      </w:r>
      <w:r>
        <w:rPr>
          <w:color w:val="231F20"/>
          <w:spacing w:val="-8"/>
        </w:rPr>
        <w:t> </w:t>
      </w:r>
      <w:r>
        <w:rPr>
          <w:color w:val="231F20"/>
        </w:rPr>
        <w:t>на</w:t>
      </w:r>
      <w:r>
        <w:rPr>
          <w:color w:val="231F20"/>
          <w:spacing w:val="-8"/>
        </w:rPr>
        <w:t> </w:t>
      </w:r>
      <w:r>
        <w:rPr>
          <w:color w:val="231F20"/>
        </w:rPr>
        <w:t>основу</w:t>
      </w:r>
      <w:r>
        <w:rPr>
          <w:color w:val="231F20"/>
          <w:spacing w:val="-8"/>
        </w:rPr>
        <w:t> </w:t>
      </w:r>
      <w:r>
        <w:rPr>
          <w:color w:val="231F20"/>
        </w:rPr>
        <w:t>регионалног развоја и управљања и</w:t>
      </w:r>
      <w:r>
        <w:rPr>
          <w:color w:val="231F20"/>
          <w:spacing w:val="-4"/>
        </w:rPr>
        <w:t> </w:t>
      </w:r>
      <w:r>
        <w:rPr>
          <w:color w:val="231F20"/>
        </w:rPr>
        <w:t>друго.</w:t>
      </w:r>
    </w:p>
    <w:p>
      <w:pPr>
        <w:pStyle w:val="BodyText"/>
        <w:spacing w:line="242" w:lineRule="auto" w:before="1"/>
        <w:ind w:left="169" w:right="414" w:firstLine="396"/>
      </w:pPr>
      <w:r>
        <w:rPr>
          <w:color w:val="231F20"/>
        </w:rPr>
        <w:t>Према</w:t>
      </w:r>
      <w:r>
        <w:rPr>
          <w:color w:val="231F20"/>
          <w:spacing w:val="-9"/>
        </w:rPr>
        <w:t> </w:t>
      </w:r>
      <w:r>
        <w:rPr>
          <w:color w:val="231F20"/>
        </w:rPr>
        <w:t>Закону</w:t>
      </w:r>
      <w:r>
        <w:rPr>
          <w:color w:val="231F20"/>
          <w:spacing w:val="-9"/>
        </w:rPr>
        <w:t> </w:t>
      </w:r>
      <w:r>
        <w:rPr>
          <w:color w:val="231F20"/>
        </w:rPr>
        <w:t>о</w:t>
      </w:r>
      <w:r>
        <w:rPr>
          <w:color w:val="231F20"/>
          <w:spacing w:val="-9"/>
        </w:rPr>
        <w:t> </w:t>
      </w:r>
      <w:r>
        <w:rPr>
          <w:color w:val="231F20"/>
        </w:rPr>
        <w:t>регионалном</w:t>
      </w:r>
      <w:r>
        <w:rPr>
          <w:color w:val="231F20"/>
          <w:spacing w:val="-8"/>
        </w:rPr>
        <w:t> </w:t>
      </w:r>
      <w:r>
        <w:rPr>
          <w:color w:val="231F20"/>
          <w:spacing w:val="-3"/>
        </w:rPr>
        <w:t>развоју,</w:t>
      </w:r>
      <w:r>
        <w:rPr>
          <w:color w:val="231F20"/>
          <w:spacing w:val="-9"/>
        </w:rPr>
        <w:t> </w:t>
      </w:r>
      <w:r>
        <w:rPr>
          <w:color w:val="231F20"/>
        </w:rPr>
        <w:t>циљеви</w:t>
      </w:r>
      <w:r>
        <w:rPr>
          <w:color w:val="231F20"/>
          <w:spacing w:val="-9"/>
        </w:rPr>
        <w:t> </w:t>
      </w:r>
      <w:r>
        <w:rPr>
          <w:color w:val="231F20"/>
        </w:rPr>
        <w:t>подстицања</w:t>
      </w:r>
      <w:r>
        <w:rPr>
          <w:color w:val="231F20"/>
          <w:spacing w:val="-9"/>
        </w:rPr>
        <w:t> </w:t>
      </w:r>
      <w:r>
        <w:rPr>
          <w:color w:val="231F20"/>
        </w:rPr>
        <w:t>ре- гионалног развоја</w:t>
      </w:r>
      <w:r>
        <w:rPr>
          <w:color w:val="231F20"/>
          <w:spacing w:val="-2"/>
        </w:rPr>
        <w:t> </w:t>
      </w:r>
      <w:r>
        <w:rPr>
          <w:color w:val="231F20"/>
        </w:rPr>
        <w:t>су:</w:t>
      </w:r>
    </w:p>
    <w:p>
      <w:pPr>
        <w:pStyle w:val="BodyText"/>
        <w:spacing w:before="1"/>
        <w:ind w:left="566"/>
        <w:jc w:val="left"/>
      </w:pPr>
      <w:r>
        <w:rPr>
          <w:color w:val="231F20"/>
          <w:w w:val="66"/>
        </w:rPr>
        <w:t> </w:t>
      </w:r>
      <w:r>
        <w:rPr>
          <w:color w:val="231F20"/>
        </w:rPr>
        <w:t>– свеукупни друштвено-економски одрживи развој;</w:t>
      </w:r>
    </w:p>
    <w:p>
      <w:pPr>
        <w:pStyle w:val="BodyText"/>
        <w:spacing w:line="242" w:lineRule="auto" w:before="2"/>
        <w:ind w:left="169" w:right="414" w:firstLine="396"/>
      </w:pPr>
      <w:r>
        <w:rPr>
          <w:color w:val="231F20"/>
          <w:w w:val="66"/>
        </w:rPr>
        <w:t> </w:t>
      </w:r>
      <w:r>
        <w:rPr>
          <w:color w:val="231F20"/>
        </w:rPr>
        <w:t>– смањење регионалних и унутар-регионалних диспаритета, у степену друштвено економског развоја и услова живота, са на- гласком на подстицање развоја недовољно развијених, девастира- них индустријских и руралних подручја;</w:t>
      </w:r>
    </w:p>
    <w:p>
      <w:pPr>
        <w:pStyle w:val="BodyText"/>
        <w:spacing w:before="1"/>
        <w:ind w:left="566"/>
        <w:jc w:val="left"/>
      </w:pPr>
      <w:r>
        <w:rPr>
          <w:color w:val="231F20"/>
          <w:w w:val="66"/>
        </w:rPr>
        <w:t> </w:t>
      </w:r>
      <w:r>
        <w:rPr>
          <w:color w:val="231F20"/>
        </w:rPr>
        <w:t>– смањење негативних демографских кретања;</w:t>
      </w:r>
    </w:p>
    <w:p>
      <w:pPr>
        <w:pStyle w:val="BodyText"/>
        <w:spacing w:line="242" w:lineRule="auto" w:before="2"/>
        <w:ind w:left="169" w:right="414" w:firstLine="396"/>
      </w:pPr>
      <w:r>
        <w:rPr>
          <w:color w:val="231F20"/>
          <w:w w:val="66"/>
        </w:rPr>
        <w:t> </w:t>
      </w:r>
      <w:r>
        <w:rPr>
          <w:color w:val="231F20"/>
        </w:rPr>
        <w:t>– развој економије базиране на </w:t>
      </w:r>
      <w:r>
        <w:rPr>
          <w:color w:val="231F20"/>
          <w:spacing w:val="-4"/>
        </w:rPr>
        <w:t>знању, </w:t>
      </w:r>
      <w:r>
        <w:rPr>
          <w:color w:val="231F20"/>
        </w:rPr>
        <w:t>иновативности, савре- меним научно-технолошким достигнућима и организацији упра- вљања;</w:t>
      </w:r>
    </w:p>
    <w:p>
      <w:pPr>
        <w:pStyle w:val="BodyText"/>
        <w:spacing w:before="1"/>
        <w:ind w:left="566"/>
        <w:jc w:val="left"/>
      </w:pPr>
      <w:r>
        <w:rPr>
          <w:color w:val="231F20"/>
          <w:w w:val="66"/>
        </w:rPr>
        <w:t> </w:t>
      </w:r>
      <w:r>
        <w:rPr>
          <w:color w:val="231F20"/>
        </w:rPr>
        <w:t>– развој конкурентности на свим нивоима;</w:t>
      </w:r>
    </w:p>
    <w:p>
      <w:pPr>
        <w:pStyle w:val="BodyText"/>
        <w:spacing w:line="242" w:lineRule="auto" w:before="3"/>
        <w:ind w:left="169" w:right="414" w:firstLine="396"/>
      </w:pPr>
      <w:r>
        <w:rPr>
          <w:color w:val="231F20"/>
          <w:w w:val="66"/>
        </w:rPr>
        <w:t> </w:t>
      </w:r>
      <w:r>
        <w:rPr>
          <w:color w:val="231F20"/>
        </w:rPr>
        <w:t>– успостављање правног и институционалног оквира за пла- нирање, организовање, координирање и реализацију развојних ак- тивности;</w:t>
      </w:r>
    </w:p>
    <w:p>
      <w:pPr>
        <w:pStyle w:val="BodyText"/>
        <w:spacing w:line="242" w:lineRule="auto" w:before="1"/>
        <w:ind w:left="169" w:right="414" w:firstLine="396"/>
      </w:pPr>
      <w:r>
        <w:rPr>
          <w:color w:val="231F20"/>
          <w:w w:val="66"/>
        </w:rPr>
        <w:t> </w:t>
      </w:r>
      <w:r>
        <w:rPr>
          <w:color w:val="231F20"/>
        </w:rPr>
        <w:t>–</w:t>
      </w:r>
      <w:r>
        <w:rPr>
          <w:color w:val="231F20"/>
          <w:spacing w:val="-23"/>
        </w:rPr>
        <w:t> </w:t>
      </w:r>
      <w:r>
        <w:rPr>
          <w:color w:val="231F20"/>
        </w:rPr>
        <w:t>подстицање</w:t>
      </w:r>
      <w:r>
        <w:rPr>
          <w:color w:val="231F20"/>
          <w:spacing w:val="-23"/>
        </w:rPr>
        <w:t> </w:t>
      </w:r>
      <w:r>
        <w:rPr>
          <w:color w:val="231F20"/>
        </w:rPr>
        <w:t>међуопштинске,</w:t>
      </w:r>
      <w:r>
        <w:rPr>
          <w:color w:val="231F20"/>
          <w:spacing w:val="-23"/>
        </w:rPr>
        <w:t> </w:t>
      </w:r>
      <w:r>
        <w:rPr>
          <w:color w:val="231F20"/>
        </w:rPr>
        <w:t>међурегионалне,</w:t>
      </w:r>
      <w:r>
        <w:rPr>
          <w:color w:val="231F20"/>
          <w:spacing w:val="-23"/>
        </w:rPr>
        <w:t> </w:t>
      </w:r>
      <w:r>
        <w:rPr>
          <w:color w:val="231F20"/>
        </w:rPr>
        <w:t>прекогранич- не и међународне сарадње у питањима </w:t>
      </w:r>
      <w:r>
        <w:rPr>
          <w:color w:val="231F20"/>
          <w:spacing w:val="-4"/>
        </w:rPr>
        <w:t>од </w:t>
      </w:r>
      <w:r>
        <w:rPr>
          <w:color w:val="231F20"/>
          <w:spacing w:val="-3"/>
        </w:rPr>
        <w:t>заједничког </w:t>
      </w:r>
      <w:r>
        <w:rPr>
          <w:color w:val="231F20"/>
        </w:rPr>
        <w:t>интереса</w:t>
      </w:r>
      <w:r>
        <w:rPr>
          <w:color w:val="231F20"/>
          <w:spacing w:val="-25"/>
        </w:rPr>
        <w:t> </w:t>
      </w:r>
      <w:r>
        <w:rPr>
          <w:color w:val="231F20"/>
        </w:rPr>
        <w:t>и</w:t>
      </w:r>
    </w:p>
    <w:p>
      <w:pPr>
        <w:pStyle w:val="BodyText"/>
        <w:spacing w:line="242" w:lineRule="auto"/>
        <w:ind w:left="169" w:right="414" w:firstLine="396"/>
      </w:pPr>
      <w:r>
        <w:rPr>
          <w:color w:val="231F20"/>
          <w:w w:val="66"/>
        </w:rPr>
        <w:t> </w:t>
      </w:r>
      <w:r>
        <w:rPr>
          <w:color w:val="231F20"/>
        </w:rPr>
        <w:t>–</w:t>
      </w:r>
      <w:r>
        <w:rPr>
          <w:color w:val="231F20"/>
          <w:spacing w:val="-11"/>
        </w:rPr>
        <w:t> </w:t>
      </w:r>
      <w:r>
        <w:rPr>
          <w:color w:val="231F20"/>
        </w:rPr>
        <w:t>ефикасније</w:t>
      </w:r>
      <w:r>
        <w:rPr>
          <w:color w:val="231F20"/>
          <w:spacing w:val="-11"/>
        </w:rPr>
        <w:t> </w:t>
      </w:r>
      <w:r>
        <w:rPr>
          <w:color w:val="231F20"/>
        </w:rPr>
        <w:t>коришћење</w:t>
      </w:r>
      <w:r>
        <w:rPr>
          <w:color w:val="231F20"/>
          <w:spacing w:val="-11"/>
        </w:rPr>
        <w:t> </w:t>
      </w:r>
      <w:r>
        <w:rPr>
          <w:color w:val="231F20"/>
        </w:rPr>
        <w:t>домаћих</w:t>
      </w:r>
      <w:r>
        <w:rPr>
          <w:color w:val="231F20"/>
          <w:spacing w:val="-11"/>
        </w:rPr>
        <w:t> </w:t>
      </w:r>
      <w:r>
        <w:rPr>
          <w:color w:val="231F20"/>
        </w:rPr>
        <w:t>природних</w:t>
      </w:r>
      <w:r>
        <w:rPr>
          <w:color w:val="231F20"/>
          <w:spacing w:val="-11"/>
        </w:rPr>
        <w:t> </w:t>
      </w:r>
      <w:r>
        <w:rPr>
          <w:color w:val="231F20"/>
        </w:rPr>
        <w:t>ресурса</w:t>
      </w:r>
      <w:r>
        <w:rPr>
          <w:color w:val="231F20"/>
          <w:spacing w:val="-11"/>
        </w:rPr>
        <w:t> </w:t>
      </w:r>
      <w:r>
        <w:rPr>
          <w:color w:val="231F20"/>
        </w:rPr>
        <w:t>и</w:t>
      </w:r>
      <w:r>
        <w:rPr>
          <w:color w:val="231F20"/>
          <w:spacing w:val="-11"/>
        </w:rPr>
        <w:t> </w:t>
      </w:r>
      <w:r>
        <w:rPr>
          <w:color w:val="231F20"/>
        </w:rPr>
        <w:t>доба- ра, као и страних ресурса, на </w:t>
      </w:r>
      <w:r>
        <w:rPr>
          <w:color w:val="231F20"/>
          <w:spacing w:val="-3"/>
        </w:rPr>
        <w:t>републичком, </w:t>
      </w:r>
      <w:r>
        <w:rPr>
          <w:color w:val="231F20"/>
        </w:rPr>
        <w:t>покрајинском, регио- налном и локалном</w:t>
      </w:r>
      <w:r>
        <w:rPr>
          <w:color w:val="231F20"/>
          <w:spacing w:val="-2"/>
        </w:rPr>
        <w:t> </w:t>
      </w:r>
      <w:r>
        <w:rPr>
          <w:color w:val="231F20"/>
          <w:spacing w:val="-5"/>
        </w:rPr>
        <w:t>нивоу.</w:t>
      </w:r>
    </w:p>
    <w:p>
      <w:pPr>
        <w:pStyle w:val="BodyText"/>
        <w:spacing w:line="242" w:lineRule="auto" w:before="1"/>
        <w:ind w:left="168" w:right="414" w:firstLine="397"/>
      </w:pPr>
      <w:r>
        <w:rPr>
          <w:color w:val="231F20"/>
        </w:rPr>
        <w:t>У најновијем </w:t>
      </w:r>
      <w:r>
        <w:rPr>
          <w:color w:val="231F20"/>
          <w:spacing w:val="-3"/>
        </w:rPr>
        <w:t>документу, под </w:t>
      </w:r>
      <w:r>
        <w:rPr>
          <w:color w:val="231F20"/>
        </w:rPr>
        <w:t>називом Посткризни модел </w:t>
      </w:r>
      <w:r>
        <w:rPr>
          <w:color w:val="231F20"/>
          <w:spacing w:val="-3"/>
        </w:rPr>
        <w:t>економског </w:t>
      </w:r>
      <w:r>
        <w:rPr>
          <w:color w:val="231F20"/>
        </w:rPr>
        <w:t>раста и развоја </w:t>
      </w:r>
      <w:r>
        <w:rPr>
          <w:color w:val="231F20"/>
          <w:spacing w:val="-3"/>
        </w:rPr>
        <w:t>Републике </w:t>
      </w:r>
      <w:r>
        <w:rPr>
          <w:color w:val="231F20"/>
        </w:rPr>
        <w:t>Србије 2011 – 2020. </w:t>
      </w:r>
      <w:r>
        <w:rPr>
          <w:color w:val="231F20"/>
          <w:spacing w:val="-3"/>
        </w:rPr>
        <w:t>године </w:t>
      </w:r>
      <w:r>
        <w:rPr>
          <w:color w:val="231F20"/>
        </w:rPr>
        <w:t>(Влада </w:t>
      </w:r>
      <w:r>
        <w:rPr>
          <w:color w:val="231F20"/>
          <w:spacing w:val="-3"/>
        </w:rPr>
        <w:t>Републике </w:t>
      </w:r>
      <w:r>
        <w:rPr>
          <w:color w:val="231F20"/>
        </w:rPr>
        <w:t>Србије, октобар 2010. године), као </w:t>
      </w:r>
      <w:r>
        <w:rPr>
          <w:color w:val="231F20"/>
          <w:spacing w:val="-3"/>
        </w:rPr>
        <w:t>главни </w:t>
      </w:r>
      <w:r>
        <w:rPr>
          <w:color w:val="231F20"/>
        </w:rPr>
        <w:t>ци- љеви наведени су (по оптимистичном сценарију): просечни </w:t>
      </w:r>
      <w:r>
        <w:rPr>
          <w:color w:val="231F20"/>
          <w:spacing w:val="-3"/>
        </w:rPr>
        <w:t>годи- </w:t>
      </w:r>
      <w:r>
        <w:rPr>
          <w:color w:val="231F20"/>
        </w:rPr>
        <w:t>шњи раст БДП-а у десетогодишњем периоду </w:t>
      </w:r>
      <w:r>
        <w:rPr>
          <w:color w:val="231F20"/>
          <w:spacing w:val="-3"/>
        </w:rPr>
        <w:t>од </w:t>
      </w:r>
      <w:r>
        <w:rPr>
          <w:color w:val="231F20"/>
        </w:rPr>
        <w:t>5,9%; раст укупне тражње </w:t>
      </w:r>
      <w:r>
        <w:rPr>
          <w:color w:val="231F20"/>
          <w:spacing w:val="-3"/>
        </w:rPr>
        <w:t>од </w:t>
      </w:r>
      <w:r>
        <w:rPr>
          <w:color w:val="231F20"/>
        </w:rPr>
        <w:t>4,7%; раст запослености по стопи </w:t>
      </w:r>
      <w:r>
        <w:rPr>
          <w:color w:val="231F20"/>
          <w:spacing w:val="-3"/>
        </w:rPr>
        <w:t>од </w:t>
      </w:r>
      <w:r>
        <w:rPr>
          <w:color w:val="231F20"/>
        </w:rPr>
        <w:t>16,9%; раст про- дуктивности </w:t>
      </w:r>
      <w:r>
        <w:rPr>
          <w:color w:val="231F20"/>
          <w:spacing w:val="-3"/>
        </w:rPr>
        <w:t>од </w:t>
      </w:r>
      <w:r>
        <w:rPr>
          <w:color w:val="231F20"/>
        </w:rPr>
        <w:t>50,4%; раст инвестиција по просечној годишњој стопи</w:t>
      </w:r>
      <w:r>
        <w:rPr>
          <w:color w:val="231F20"/>
          <w:spacing w:val="-4"/>
        </w:rPr>
        <w:t> </w:t>
      </w:r>
      <w:r>
        <w:rPr>
          <w:color w:val="231F20"/>
          <w:spacing w:val="-3"/>
        </w:rPr>
        <w:t>од</w:t>
      </w:r>
      <w:r>
        <w:rPr>
          <w:color w:val="231F20"/>
          <w:spacing w:val="-4"/>
        </w:rPr>
        <w:t> </w:t>
      </w:r>
      <w:r>
        <w:rPr>
          <w:color w:val="231F20"/>
        </w:rPr>
        <w:t>9,9%,</w:t>
      </w:r>
      <w:r>
        <w:rPr>
          <w:color w:val="231F20"/>
          <w:spacing w:val="-4"/>
        </w:rPr>
        <w:t> </w:t>
      </w:r>
      <w:r>
        <w:rPr>
          <w:color w:val="231F20"/>
          <w:spacing w:val="-3"/>
        </w:rPr>
        <w:t>тако</w:t>
      </w:r>
      <w:r>
        <w:rPr>
          <w:color w:val="231F20"/>
          <w:spacing w:val="-4"/>
        </w:rPr>
        <w:t> </w:t>
      </w:r>
      <w:r>
        <w:rPr>
          <w:color w:val="231F20"/>
        </w:rPr>
        <w:t>да</w:t>
      </w:r>
      <w:r>
        <w:rPr>
          <w:color w:val="231F20"/>
          <w:spacing w:val="-4"/>
        </w:rPr>
        <w:t> </w:t>
      </w:r>
      <w:r>
        <w:rPr>
          <w:color w:val="231F20"/>
        </w:rPr>
        <w:t>њихово</w:t>
      </w:r>
      <w:r>
        <w:rPr>
          <w:color w:val="231F20"/>
          <w:spacing w:val="-4"/>
        </w:rPr>
        <w:t> </w:t>
      </w:r>
      <w:r>
        <w:rPr>
          <w:color w:val="231F20"/>
        </w:rPr>
        <w:t>учешће</w:t>
      </w:r>
      <w:r>
        <w:rPr>
          <w:color w:val="231F20"/>
          <w:spacing w:val="-4"/>
        </w:rPr>
        <w:t> </w:t>
      </w:r>
      <w:r>
        <w:rPr>
          <w:color w:val="231F20"/>
        </w:rPr>
        <w:t>у</w:t>
      </w:r>
      <w:r>
        <w:rPr>
          <w:color w:val="231F20"/>
          <w:spacing w:val="-4"/>
        </w:rPr>
        <w:t> </w:t>
      </w:r>
      <w:r>
        <w:rPr>
          <w:color w:val="231F20"/>
        </w:rPr>
        <w:t>БДП-у</w:t>
      </w:r>
      <w:r>
        <w:rPr>
          <w:color w:val="231F20"/>
          <w:spacing w:val="-4"/>
        </w:rPr>
        <w:t> </w:t>
      </w:r>
      <w:r>
        <w:rPr>
          <w:color w:val="231F20"/>
        </w:rPr>
        <w:t>порасте</w:t>
      </w:r>
      <w:r>
        <w:rPr>
          <w:color w:val="231F20"/>
          <w:spacing w:val="-4"/>
        </w:rPr>
        <w:t> </w:t>
      </w:r>
      <w:r>
        <w:rPr>
          <w:color w:val="231F20"/>
        </w:rPr>
        <w:t>на</w:t>
      </w:r>
      <w:r>
        <w:rPr>
          <w:color w:val="231F20"/>
          <w:spacing w:val="-4"/>
        </w:rPr>
        <w:t> </w:t>
      </w:r>
      <w:r>
        <w:rPr>
          <w:color w:val="231F20"/>
        </w:rPr>
        <w:t>28%,</w:t>
      </w:r>
      <w:r>
        <w:rPr>
          <w:color w:val="231F20"/>
          <w:spacing w:val="-4"/>
        </w:rPr>
        <w:t> </w:t>
      </w:r>
      <w:r>
        <w:rPr>
          <w:color w:val="231F20"/>
        </w:rPr>
        <w:t>са данашњих 15%, и уз промену структуре, </w:t>
      </w:r>
      <w:r>
        <w:rPr>
          <w:color w:val="231F20"/>
          <w:spacing w:val="-3"/>
        </w:rPr>
        <w:t>тако </w:t>
      </w:r>
      <w:r>
        <w:rPr>
          <w:color w:val="231F20"/>
        </w:rPr>
        <w:t>да учешће домаћих инвестиција </w:t>
      </w:r>
      <w:r>
        <w:rPr>
          <w:color w:val="231F20"/>
          <w:spacing w:val="-5"/>
        </w:rPr>
        <w:t>буде </w:t>
      </w:r>
      <w:r>
        <w:rPr>
          <w:color w:val="231F20"/>
        </w:rPr>
        <w:t>55%, а страних 45%, са садашњих 14% и 86%, респективно, са порастом годишњег износа са садашњих 800 ми- лиона евра на 2,3 милијарде евра у 2012. години; пораст учешћа домаће штедње у инвестицијама, са садашњих 14 на 61%; пораст укупних инвестиција (кумулативно) на 74 милијарде евра, </w:t>
      </w:r>
      <w:r>
        <w:rPr>
          <w:color w:val="231F20"/>
          <w:spacing w:val="-3"/>
        </w:rPr>
        <w:t>од </w:t>
      </w:r>
      <w:r>
        <w:rPr>
          <w:color w:val="231F20"/>
        </w:rPr>
        <w:t>чега 23 милијарди евра директних страних инвестиција, и 51 милијар- ду евра зајмова; раст потрошње 3,5%; раст индустрије </w:t>
      </w:r>
      <w:r>
        <w:rPr>
          <w:color w:val="231F20"/>
          <w:spacing w:val="-3"/>
        </w:rPr>
        <w:t>од </w:t>
      </w:r>
      <w:r>
        <w:rPr>
          <w:color w:val="231F20"/>
        </w:rPr>
        <w:t>6,9%, а пољопривреде </w:t>
      </w:r>
      <w:r>
        <w:rPr>
          <w:color w:val="231F20"/>
          <w:spacing w:val="-3"/>
        </w:rPr>
        <w:t>од </w:t>
      </w:r>
      <w:r>
        <w:rPr>
          <w:color w:val="231F20"/>
        </w:rPr>
        <w:t>3,4%; раст извоза </w:t>
      </w:r>
      <w:r>
        <w:rPr>
          <w:color w:val="231F20"/>
          <w:spacing w:val="-3"/>
        </w:rPr>
        <w:t>од </w:t>
      </w:r>
      <w:r>
        <w:rPr>
          <w:color w:val="231F20"/>
        </w:rPr>
        <w:t>13,5% просечно годишње. Наведене стопе раста треба да доведу до остваривања следећих финалних</w:t>
      </w:r>
      <w:r>
        <w:rPr>
          <w:color w:val="231F20"/>
          <w:spacing w:val="-6"/>
        </w:rPr>
        <w:t> </w:t>
      </w:r>
      <w:r>
        <w:rPr>
          <w:color w:val="231F20"/>
        </w:rPr>
        <w:t>стања</w:t>
      </w:r>
      <w:r>
        <w:rPr>
          <w:color w:val="231F20"/>
          <w:spacing w:val="-6"/>
        </w:rPr>
        <w:t> </w:t>
      </w:r>
      <w:r>
        <w:rPr>
          <w:color w:val="231F20"/>
        </w:rPr>
        <w:t>(циљева)</w:t>
      </w:r>
      <w:r>
        <w:rPr>
          <w:color w:val="231F20"/>
          <w:spacing w:val="-6"/>
        </w:rPr>
        <w:t> </w:t>
      </w:r>
      <w:r>
        <w:rPr>
          <w:color w:val="231F20"/>
        </w:rPr>
        <w:t>у</w:t>
      </w:r>
      <w:r>
        <w:rPr>
          <w:color w:val="231F20"/>
          <w:spacing w:val="-6"/>
        </w:rPr>
        <w:t> </w:t>
      </w:r>
      <w:r>
        <w:rPr>
          <w:color w:val="231F20"/>
        </w:rPr>
        <w:t>2020.</w:t>
      </w:r>
      <w:r>
        <w:rPr>
          <w:color w:val="231F20"/>
          <w:spacing w:val="-6"/>
        </w:rPr>
        <w:t> </w:t>
      </w:r>
      <w:r>
        <w:rPr>
          <w:color w:val="231F20"/>
        </w:rPr>
        <w:t>години:</w:t>
      </w:r>
      <w:r>
        <w:rPr>
          <w:color w:val="231F20"/>
          <w:spacing w:val="-6"/>
        </w:rPr>
        <w:t> </w:t>
      </w:r>
      <w:r>
        <w:rPr>
          <w:color w:val="231F20"/>
          <w:spacing w:val="-3"/>
        </w:rPr>
        <w:t>БДП,</w:t>
      </w:r>
      <w:r>
        <w:rPr>
          <w:color w:val="231F20"/>
          <w:spacing w:val="-6"/>
        </w:rPr>
        <w:t> </w:t>
      </w:r>
      <w:r>
        <w:rPr>
          <w:color w:val="231F20"/>
        </w:rPr>
        <w:t>53</w:t>
      </w:r>
      <w:r>
        <w:rPr>
          <w:color w:val="231F20"/>
          <w:spacing w:val="-6"/>
        </w:rPr>
        <w:t> </w:t>
      </w:r>
      <w:r>
        <w:rPr>
          <w:color w:val="231F20"/>
        </w:rPr>
        <w:t>милијарде</w:t>
      </w:r>
      <w:r>
        <w:rPr>
          <w:color w:val="231F20"/>
          <w:spacing w:val="-6"/>
        </w:rPr>
        <w:t> </w:t>
      </w:r>
      <w:r>
        <w:rPr>
          <w:color w:val="231F20"/>
        </w:rPr>
        <w:t>евра, односно </w:t>
      </w:r>
      <w:r>
        <w:rPr>
          <w:color w:val="231F20"/>
          <w:spacing w:val="-4"/>
        </w:rPr>
        <w:t>око </w:t>
      </w:r>
      <w:r>
        <w:rPr>
          <w:color w:val="231F20"/>
        </w:rPr>
        <w:t>7.500 евра по становнику; број запослених, 3 милио- на, са пратећим смањивањем број незапослених на 340.000; извоз </w:t>
      </w:r>
      <w:r>
        <w:rPr>
          <w:color w:val="231F20"/>
          <w:spacing w:val="-3"/>
        </w:rPr>
        <w:t>од </w:t>
      </w:r>
      <w:r>
        <w:rPr>
          <w:color w:val="231F20"/>
        </w:rPr>
        <w:t>34 милијарде евра, односно пораст његовог учешћа у БДП-у на 65%, са садашњих 27,6%; смањивање учешћа јавне потрошње у БДП-у на 38,5%; смањивање учешћа фискалног дефицита на 0,3% БДП-а; смањивање учешћа јавног дуга на 28,7% БДП-а;</w:t>
      </w:r>
      <w:r>
        <w:rPr>
          <w:color w:val="231F20"/>
          <w:spacing w:val="-24"/>
        </w:rPr>
        <w:t> </w:t>
      </w:r>
      <w:r>
        <w:rPr>
          <w:color w:val="231F20"/>
        </w:rPr>
        <w:t>итд.</w:t>
      </w:r>
    </w:p>
    <w:p>
      <w:pPr>
        <w:pStyle w:val="BodyText"/>
        <w:spacing w:line="242" w:lineRule="auto" w:before="7"/>
        <w:ind w:left="168" w:right="414" w:firstLine="396"/>
      </w:pPr>
      <w:r>
        <w:rPr>
          <w:color w:val="231F20"/>
        </w:rPr>
        <w:t>Главни стратешки циљеви развоја система Електропривреде Србије у наредном периоду су:</w:t>
      </w:r>
    </w:p>
    <w:p>
      <w:pPr>
        <w:pStyle w:val="BodyText"/>
        <w:spacing w:line="242" w:lineRule="auto" w:before="1"/>
        <w:ind w:left="168" w:right="415" w:firstLine="397"/>
      </w:pPr>
      <w:r>
        <w:rPr>
          <w:color w:val="231F20"/>
          <w:w w:val="66"/>
        </w:rPr>
        <w:t> </w:t>
      </w:r>
      <w:r>
        <w:rPr>
          <w:color w:val="231F20"/>
        </w:rPr>
        <w:t>– </w:t>
      </w:r>
      <w:r>
        <w:rPr>
          <w:color w:val="231F20"/>
          <w:spacing w:val="-3"/>
        </w:rPr>
        <w:t>након </w:t>
      </w:r>
      <w:r>
        <w:rPr>
          <w:color w:val="231F20"/>
        </w:rPr>
        <w:t>реализације </w:t>
      </w:r>
      <w:r>
        <w:rPr>
          <w:color w:val="231F20"/>
          <w:spacing w:val="-4"/>
        </w:rPr>
        <w:t>неколико </w:t>
      </w:r>
      <w:r>
        <w:rPr>
          <w:color w:val="231F20"/>
        </w:rPr>
        <w:t>приватних инвестиција у мање ХЕ,</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две</w:t>
      </w:r>
      <w:r>
        <w:rPr>
          <w:color w:val="231F20"/>
          <w:spacing w:val="-5"/>
        </w:rPr>
        <w:t> </w:t>
      </w:r>
      <w:r>
        <w:rPr>
          <w:color w:val="231F20"/>
        </w:rPr>
        <w:t>из</w:t>
      </w:r>
      <w:r>
        <w:rPr>
          <w:color w:val="231F20"/>
          <w:spacing w:val="-5"/>
        </w:rPr>
        <w:t> </w:t>
      </w:r>
      <w:r>
        <w:rPr>
          <w:color w:val="231F20"/>
        </w:rPr>
        <w:t>заједничког</w:t>
      </w:r>
      <w:r>
        <w:rPr>
          <w:color w:val="231F20"/>
          <w:spacing w:val="-5"/>
        </w:rPr>
        <w:t> </w:t>
      </w:r>
      <w:r>
        <w:rPr>
          <w:color w:val="231F20"/>
        </w:rPr>
        <w:t>улагања</w:t>
      </w:r>
      <w:r>
        <w:rPr>
          <w:color w:val="231F20"/>
          <w:spacing w:val="-5"/>
        </w:rPr>
        <w:t> </w:t>
      </w:r>
      <w:r>
        <w:rPr>
          <w:color w:val="231F20"/>
        </w:rPr>
        <w:t>са</w:t>
      </w:r>
      <w:r>
        <w:rPr>
          <w:color w:val="231F20"/>
          <w:spacing w:val="-5"/>
        </w:rPr>
        <w:t> </w:t>
      </w:r>
      <w:r>
        <w:rPr>
          <w:color w:val="231F20"/>
        </w:rPr>
        <w:t>приватним</w:t>
      </w:r>
      <w:r>
        <w:rPr>
          <w:color w:val="231F20"/>
          <w:spacing w:val="-5"/>
        </w:rPr>
        <w:t> </w:t>
      </w:r>
      <w:r>
        <w:rPr>
          <w:color w:val="231F20"/>
        </w:rPr>
        <w:t>капиталом,</w:t>
      </w:r>
      <w:r>
        <w:rPr>
          <w:color w:val="231F20"/>
          <w:spacing w:val="-5"/>
        </w:rPr>
        <w:t> </w:t>
      </w:r>
      <w:r>
        <w:rPr>
          <w:color w:val="231F20"/>
        </w:rPr>
        <w:t>ка- питалом за две ТЕ на угаљ и једне за когенеративну електрану на гас,</w:t>
      </w:r>
      <w:r>
        <w:rPr>
          <w:color w:val="231F20"/>
          <w:spacing w:val="-3"/>
        </w:rPr>
        <w:t> </w:t>
      </w:r>
      <w:r>
        <w:rPr>
          <w:color w:val="231F20"/>
        </w:rPr>
        <w:t>очекује</w:t>
      </w:r>
      <w:r>
        <w:rPr>
          <w:color w:val="231F20"/>
          <w:spacing w:val="-3"/>
        </w:rPr>
        <w:t> </w:t>
      </w:r>
      <w:r>
        <w:rPr>
          <w:color w:val="231F20"/>
        </w:rPr>
        <w:t>се</w:t>
      </w:r>
      <w:r>
        <w:rPr>
          <w:color w:val="231F20"/>
          <w:spacing w:val="-2"/>
        </w:rPr>
        <w:t> </w:t>
      </w:r>
      <w:r>
        <w:rPr>
          <w:color w:val="231F20"/>
        </w:rPr>
        <w:t>да</w:t>
      </w:r>
      <w:r>
        <w:rPr>
          <w:color w:val="231F20"/>
          <w:spacing w:val="-2"/>
        </w:rPr>
        <w:t> </w:t>
      </w:r>
      <w:r>
        <w:rPr>
          <w:color w:val="231F20"/>
        </w:rPr>
        <w:t>за</w:t>
      </w:r>
      <w:r>
        <w:rPr>
          <w:color w:val="231F20"/>
          <w:spacing w:val="-3"/>
        </w:rPr>
        <w:t> </w:t>
      </w:r>
      <w:r>
        <w:rPr>
          <w:color w:val="231F20"/>
        </w:rPr>
        <w:t>3</w:t>
      </w:r>
      <w:r>
        <w:rPr>
          <w:color w:val="231F20"/>
          <w:spacing w:val="-19"/>
        </w:rPr>
        <w:t> </w:t>
      </w:r>
      <w:r>
        <w:rPr>
          <w:color w:val="231F20"/>
        </w:rPr>
        <w:t>–7</w:t>
      </w:r>
      <w:r>
        <w:rPr>
          <w:color w:val="231F20"/>
          <w:spacing w:val="-3"/>
        </w:rPr>
        <w:t> </w:t>
      </w:r>
      <w:r>
        <w:rPr>
          <w:color w:val="231F20"/>
        </w:rPr>
        <w:t>година</w:t>
      </w:r>
      <w:r>
        <w:rPr>
          <w:color w:val="231F20"/>
          <w:spacing w:val="-2"/>
        </w:rPr>
        <w:t> </w:t>
      </w:r>
      <w:r>
        <w:rPr>
          <w:color w:val="231F20"/>
        </w:rPr>
        <w:t>„ЕПС”</w:t>
      </w:r>
      <w:r>
        <w:rPr>
          <w:color w:val="231F20"/>
          <w:spacing w:val="-2"/>
        </w:rPr>
        <w:t> </w:t>
      </w:r>
      <w:r>
        <w:rPr>
          <w:color w:val="231F20"/>
        </w:rPr>
        <w:t>неће</w:t>
      </w:r>
      <w:r>
        <w:rPr>
          <w:color w:val="231F20"/>
          <w:spacing w:val="-3"/>
        </w:rPr>
        <w:t> </w:t>
      </w:r>
      <w:r>
        <w:rPr>
          <w:color w:val="231F20"/>
        </w:rPr>
        <w:t>бити</w:t>
      </w:r>
      <w:r>
        <w:rPr>
          <w:color w:val="231F20"/>
          <w:spacing w:val="-2"/>
        </w:rPr>
        <w:t> </w:t>
      </w:r>
      <w:r>
        <w:rPr>
          <w:color w:val="231F20"/>
        </w:rPr>
        <w:t>више</w:t>
      </w:r>
      <w:r>
        <w:rPr>
          <w:color w:val="231F20"/>
          <w:spacing w:val="-3"/>
        </w:rPr>
        <w:t> </w:t>
      </w:r>
      <w:r>
        <w:rPr>
          <w:color w:val="231F20"/>
        </w:rPr>
        <w:t>ексклузив- ни снабдевач тржишта </w:t>
      </w:r>
      <w:r>
        <w:rPr>
          <w:color w:val="231F20"/>
          <w:spacing w:val="-3"/>
        </w:rPr>
        <w:t>Републике </w:t>
      </w:r>
      <w:r>
        <w:rPr>
          <w:color w:val="231F20"/>
        </w:rPr>
        <w:t>Србије електричном</w:t>
      </w:r>
      <w:r>
        <w:rPr>
          <w:color w:val="231F20"/>
          <w:spacing w:val="-16"/>
        </w:rPr>
        <w:t> </w:t>
      </w:r>
      <w:r>
        <w:rPr>
          <w:color w:val="231F20"/>
        </w:rPr>
        <w:t>енергијом;</w:t>
      </w:r>
    </w:p>
    <w:p>
      <w:pPr>
        <w:pStyle w:val="BodyText"/>
        <w:spacing w:line="232" w:lineRule="auto"/>
        <w:ind w:left="168" w:right="415" w:firstLine="396"/>
      </w:pPr>
      <w:r>
        <w:rPr>
          <w:color w:val="231F20"/>
          <w:w w:val="66"/>
        </w:rPr>
        <w:t> </w:t>
      </w:r>
      <w:r>
        <w:rPr>
          <w:color w:val="231F20"/>
        </w:rPr>
        <w:t>– </w:t>
      </w:r>
      <w:r>
        <w:rPr>
          <w:color w:val="231F20"/>
          <w:spacing w:val="-3"/>
        </w:rPr>
        <w:t>снабдевање </w:t>
      </w:r>
      <w:r>
        <w:rPr>
          <w:color w:val="231F20"/>
        </w:rPr>
        <w:t>ће бити по </w:t>
      </w:r>
      <w:r>
        <w:rPr>
          <w:color w:val="231F20"/>
          <w:spacing w:val="-6"/>
        </w:rPr>
        <w:t>уговору, </w:t>
      </w:r>
      <w:r>
        <w:rPr>
          <w:color w:val="231F20"/>
        </w:rPr>
        <w:t>по </w:t>
      </w:r>
      <w:r>
        <w:rPr>
          <w:color w:val="231F20"/>
          <w:spacing w:val="-2"/>
        </w:rPr>
        <w:t>ценама </w:t>
      </w:r>
      <w:r>
        <w:rPr>
          <w:color w:val="231F20"/>
          <w:spacing w:val="-4"/>
        </w:rPr>
        <w:t>које </w:t>
      </w:r>
      <w:r>
        <w:rPr>
          <w:color w:val="231F20"/>
          <w:spacing w:val="-3"/>
        </w:rPr>
        <w:t>гарантују </w:t>
      </w:r>
      <w:r>
        <w:rPr>
          <w:color w:val="231F20"/>
        </w:rPr>
        <w:t>рентабилност </w:t>
      </w:r>
      <w:r>
        <w:rPr>
          <w:color w:val="231F20"/>
          <w:spacing w:val="-3"/>
        </w:rPr>
        <w:t>улагања, </w:t>
      </w:r>
      <w:r>
        <w:rPr>
          <w:color w:val="231F20"/>
        </w:rPr>
        <w:t>уз више </w:t>
      </w:r>
      <w:r>
        <w:rPr>
          <w:color w:val="231F20"/>
          <w:spacing w:val="-3"/>
        </w:rPr>
        <w:t>произвођачке </w:t>
      </w:r>
      <w:r>
        <w:rPr>
          <w:color w:val="231F20"/>
        </w:rPr>
        <w:t>цене </w:t>
      </w:r>
      <w:r>
        <w:rPr>
          <w:color w:val="231F20"/>
          <w:spacing w:val="-4"/>
        </w:rPr>
        <w:t>које </w:t>
      </w:r>
      <w:r>
        <w:rPr>
          <w:color w:val="231F20"/>
        </w:rPr>
        <w:t>до 2013. </w:t>
      </w:r>
      <w:r>
        <w:rPr>
          <w:color w:val="231F20"/>
          <w:spacing w:val="-3"/>
        </w:rPr>
        <w:t>го- </w:t>
      </w:r>
      <w:r>
        <w:rPr>
          <w:color w:val="231F20"/>
        </w:rPr>
        <w:t>дине треба </w:t>
      </w:r>
      <w:r>
        <w:rPr>
          <w:color w:val="231F20"/>
          <w:spacing w:val="-3"/>
        </w:rPr>
        <w:t>повећати </w:t>
      </w:r>
      <w:r>
        <w:rPr>
          <w:color w:val="231F20"/>
        </w:rPr>
        <w:t>за </w:t>
      </w:r>
      <w:r>
        <w:rPr>
          <w:color w:val="231F20"/>
          <w:spacing w:val="-5"/>
        </w:rPr>
        <w:t>око </w:t>
      </w:r>
      <w:r>
        <w:rPr>
          <w:color w:val="231F20"/>
        </w:rPr>
        <w:t>60%; сада је просечна цена електричне енергије у Србији најнижа у Европи, </w:t>
      </w:r>
      <w:r>
        <w:rPr>
          <w:color w:val="231F20"/>
          <w:spacing w:val="-3"/>
        </w:rPr>
        <w:t>односно </w:t>
      </w:r>
      <w:r>
        <w:rPr>
          <w:color w:val="231F20"/>
        </w:rPr>
        <w:t>0,048 </w:t>
      </w:r>
      <w:r>
        <w:rPr>
          <w:color w:val="231F20"/>
          <w:spacing w:val="-3"/>
        </w:rPr>
        <w:t>еура/КWh, </w:t>
      </w:r>
      <w:r>
        <w:rPr>
          <w:color w:val="231F20"/>
          <w:spacing w:val="-4"/>
        </w:rPr>
        <w:t>од- </w:t>
      </w:r>
      <w:r>
        <w:rPr>
          <w:color w:val="231F20"/>
          <w:spacing w:val="-2"/>
        </w:rPr>
        <w:t>мах </w:t>
      </w:r>
      <w:r>
        <w:rPr>
          <w:color w:val="231F20"/>
        </w:rPr>
        <w:t>иза БиХ и </w:t>
      </w:r>
      <w:r>
        <w:rPr>
          <w:color w:val="231F20"/>
          <w:spacing w:val="-3"/>
        </w:rPr>
        <w:t>Македоније; </w:t>
      </w:r>
      <w:r>
        <w:rPr>
          <w:color w:val="231F20"/>
        </w:rPr>
        <w:t>највеће цене електричне енергије </w:t>
      </w:r>
      <w:r>
        <w:rPr>
          <w:color w:val="231F20"/>
          <w:spacing w:val="-3"/>
        </w:rPr>
        <w:t>су </w:t>
      </w:r>
      <w:r>
        <w:rPr>
          <w:color w:val="231F20"/>
        </w:rPr>
        <w:t>у</w:t>
      </w:r>
    </w:p>
    <w:p>
      <w:pPr>
        <w:spacing w:after="0" w:line="232" w:lineRule="auto"/>
        <w:sectPr>
          <w:pgSz w:w="12480" w:h="15690"/>
          <w:pgMar w:top="120" w:bottom="280" w:left="680" w:right="720"/>
          <w:cols w:num="2" w:equalWidth="0">
            <w:col w:w="5313" w:space="71"/>
            <w:col w:w="5696"/>
          </w:cols>
        </w:sectPr>
      </w:pPr>
    </w:p>
    <w:p>
      <w:pPr>
        <w:pStyle w:val="BodyText"/>
        <w:spacing w:line="232" w:lineRule="auto" w:before="73"/>
        <w:ind w:left="453"/>
      </w:pPr>
      <w:r>
        <w:rPr/>
        <w:pict>
          <v:line style="position:absolute;mso-position-horizontal-relative:page;mso-position-vertical-relative:page;z-index:2296" from="318.897614pt,11.942451pt" to="318.897614pt,748.950451pt" stroked="true" strokeweight=".6pt" strokecolor="#231f20">
            <v:stroke dashstyle="solid"/>
            <w10:wrap type="none"/>
          </v:line>
        </w:pict>
      </w:r>
      <w:r>
        <w:rPr>
          <w:color w:val="231F20"/>
          <w:spacing w:val="-3"/>
        </w:rPr>
        <w:t>Данској, </w:t>
      </w:r>
      <w:r>
        <w:rPr>
          <w:color w:val="231F20"/>
        </w:rPr>
        <w:t>0,2698 </w:t>
      </w:r>
      <w:r>
        <w:rPr>
          <w:color w:val="231F20"/>
          <w:spacing w:val="-3"/>
        </w:rPr>
        <w:t>еура/ </w:t>
      </w:r>
      <w:r>
        <w:rPr>
          <w:color w:val="231F20"/>
        </w:rPr>
        <w:t>КWh, и у </w:t>
      </w:r>
      <w:r>
        <w:rPr>
          <w:color w:val="231F20"/>
          <w:spacing w:val="-4"/>
        </w:rPr>
        <w:t>Немачкој, </w:t>
      </w:r>
      <w:r>
        <w:rPr>
          <w:color w:val="231F20"/>
        </w:rPr>
        <w:t>0,2282 </w:t>
      </w:r>
      <w:r>
        <w:rPr>
          <w:color w:val="231F20"/>
          <w:spacing w:val="-3"/>
        </w:rPr>
        <w:t>еура/ </w:t>
      </w:r>
      <w:r>
        <w:rPr>
          <w:color w:val="231F20"/>
        </w:rPr>
        <w:t>КWh; у</w:t>
      </w:r>
      <w:r>
        <w:rPr>
          <w:color w:val="231F20"/>
          <w:spacing w:val="-22"/>
        </w:rPr>
        <w:t> </w:t>
      </w:r>
      <w:r>
        <w:rPr>
          <w:color w:val="231F20"/>
        </w:rPr>
        <w:t>наве- </w:t>
      </w:r>
      <w:r>
        <w:rPr>
          <w:color w:val="231F20"/>
          <w:spacing w:val="-3"/>
        </w:rPr>
        <w:t>деном </w:t>
      </w:r>
      <w:r>
        <w:rPr>
          <w:color w:val="231F20"/>
          <w:spacing w:val="-5"/>
        </w:rPr>
        <w:t>периоду, </w:t>
      </w:r>
      <w:r>
        <w:rPr>
          <w:color w:val="231F20"/>
        </w:rPr>
        <w:t>цене ће поступно бити усклађене са </w:t>
      </w:r>
      <w:r>
        <w:rPr>
          <w:color w:val="231F20"/>
          <w:spacing w:val="-3"/>
        </w:rPr>
        <w:t>стварним </w:t>
      </w:r>
      <w:r>
        <w:rPr>
          <w:color w:val="231F20"/>
        </w:rPr>
        <w:t>тро- </w:t>
      </w:r>
      <w:r>
        <w:rPr>
          <w:color w:val="231F20"/>
          <w:spacing w:val="-4"/>
        </w:rPr>
        <w:t>шковима </w:t>
      </w:r>
      <w:r>
        <w:rPr>
          <w:color w:val="231F20"/>
          <w:spacing w:val="-3"/>
        </w:rPr>
        <w:t>производње; </w:t>
      </w:r>
      <w:r>
        <w:rPr>
          <w:color w:val="231F20"/>
          <w:spacing w:val="-5"/>
        </w:rPr>
        <w:t>ако </w:t>
      </w:r>
      <w:r>
        <w:rPr>
          <w:color w:val="231F20"/>
          <w:spacing w:val="-3"/>
        </w:rPr>
        <w:t>то </w:t>
      </w:r>
      <w:r>
        <w:rPr>
          <w:color w:val="231F20"/>
        </w:rPr>
        <w:t>не </w:t>
      </w:r>
      <w:r>
        <w:rPr>
          <w:color w:val="231F20"/>
          <w:spacing w:val="-7"/>
        </w:rPr>
        <w:t>буде </w:t>
      </w:r>
      <w:r>
        <w:rPr>
          <w:color w:val="231F20"/>
        </w:rPr>
        <w:t>урађено, </w:t>
      </w:r>
      <w:r>
        <w:rPr>
          <w:color w:val="231F20"/>
          <w:spacing w:val="-4"/>
        </w:rPr>
        <w:t>може </w:t>
      </w:r>
      <w:r>
        <w:rPr>
          <w:color w:val="231F20"/>
        </w:rPr>
        <w:t>се </w:t>
      </w:r>
      <w:r>
        <w:rPr>
          <w:color w:val="231F20"/>
          <w:spacing w:val="-4"/>
        </w:rPr>
        <w:t>очекивати </w:t>
      </w:r>
      <w:r>
        <w:rPr>
          <w:color w:val="231F20"/>
        </w:rPr>
        <w:t>да ће </w:t>
      </w:r>
      <w:r>
        <w:rPr>
          <w:color w:val="231F20"/>
          <w:spacing w:val="-4"/>
        </w:rPr>
        <w:t>компанија </w:t>
      </w:r>
      <w:r>
        <w:rPr>
          <w:color w:val="231F20"/>
        </w:rPr>
        <w:t>и надаље трпети </w:t>
      </w:r>
      <w:r>
        <w:rPr>
          <w:color w:val="231F20"/>
          <w:spacing w:val="-3"/>
        </w:rPr>
        <w:t>велике финансијске губитке </w:t>
      </w:r>
      <w:r>
        <w:rPr>
          <w:color w:val="231F20"/>
        </w:rPr>
        <w:t>и </w:t>
      </w:r>
      <w:r>
        <w:rPr>
          <w:color w:val="231F20"/>
          <w:spacing w:val="-4"/>
        </w:rPr>
        <w:t>гоми- </w:t>
      </w:r>
      <w:r>
        <w:rPr>
          <w:color w:val="231F20"/>
          <w:spacing w:val="-3"/>
        </w:rPr>
        <w:t>лати</w:t>
      </w:r>
      <w:r>
        <w:rPr>
          <w:color w:val="231F20"/>
          <w:spacing w:val="-7"/>
        </w:rPr>
        <w:t> </w:t>
      </w:r>
      <w:r>
        <w:rPr>
          <w:color w:val="231F20"/>
          <w:spacing w:val="-3"/>
        </w:rPr>
        <w:t>укупни</w:t>
      </w:r>
      <w:r>
        <w:rPr>
          <w:color w:val="231F20"/>
          <w:spacing w:val="-7"/>
        </w:rPr>
        <w:t> дуг, </w:t>
      </w:r>
      <w:r>
        <w:rPr>
          <w:color w:val="231F20"/>
          <w:spacing w:val="-3"/>
        </w:rPr>
        <w:t>што</w:t>
      </w:r>
      <w:r>
        <w:rPr>
          <w:color w:val="231F20"/>
          <w:spacing w:val="-7"/>
        </w:rPr>
        <w:t> </w:t>
      </w:r>
      <w:r>
        <w:rPr>
          <w:color w:val="231F20"/>
        </w:rPr>
        <w:t>се</w:t>
      </w:r>
      <w:r>
        <w:rPr>
          <w:color w:val="231F20"/>
          <w:spacing w:val="-7"/>
        </w:rPr>
        <w:t> </w:t>
      </w:r>
      <w:r>
        <w:rPr>
          <w:color w:val="231F20"/>
          <w:spacing w:val="-4"/>
        </w:rPr>
        <w:t>може</w:t>
      </w:r>
      <w:r>
        <w:rPr>
          <w:color w:val="231F20"/>
          <w:spacing w:val="-7"/>
        </w:rPr>
        <w:t> </w:t>
      </w:r>
      <w:r>
        <w:rPr>
          <w:color w:val="231F20"/>
        </w:rPr>
        <w:t>надокнадити</w:t>
      </w:r>
      <w:r>
        <w:rPr>
          <w:color w:val="231F20"/>
          <w:spacing w:val="-7"/>
        </w:rPr>
        <w:t> </w:t>
      </w:r>
      <w:r>
        <w:rPr>
          <w:color w:val="231F20"/>
        </w:rPr>
        <w:t>само</w:t>
      </w:r>
      <w:r>
        <w:rPr>
          <w:color w:val="231F20"/>
          <w:spacing w:val="-7"/>
        </w:rPr>
        <w:t> </w:t>
      </w:r>
      <w:r>
        <w:rPr>
          <w:color w:val="231F20"/>
        </w:rPr>
        <w:t>из</w:t>
      </w:r>
      <w:r>
        <w:rPr>
          <w:color w:val="231F20"/>
          <w:spacing w:val="-7"/>
        </w:rPr>
        <w:t> </w:t>
      </w:r>
      <w:r>
        <w:rPr>
          <w:color w:val="231F20"/>
        </w:rPr>
        <w:t>посебно</w:t>
      </w:r>
      <w:r>
        <w:rPr>
          <w:color w:val="231F20"/>
          <w:spacing w:val="-7"/>
        </w:rPr>
        <w:t> </w:t>
      </w:r>
      <w:r>
        <w:rPr>
          <w:color w:val="231F20"/>
          <w:spacing w:val="-3"/>
        </w:rPr>
        <w:t>одобре- </w:t>
      </w:r>
      <w:r>
        <w:rPr>
          <w:color w:val="231F20"/>
        </w:rPr>
        <w:t>них </w:t>
      </w:r>
      <w:r>
        <w:rPr>
          <w:color w:val="231F20"/>
          <w:spacing w:val="-3"/>
        </w:rPr>
        <w:t>буџетских средстава </w:t>
      </w:r>
      <w:r>
        <w:rPr>
          <w:color w:val="231F20"/>
        </w:rPr>
        <w:t>или/и </w:t>
      </w:r>
      <w:r>
        <w:rPr>
          <w:color w:val="231F20"/>
          <w:spacing w:val="-3"/>
        </w:rPr>
        <w:t>продајом </w:t>
      </w:r>
      <w:r>
        <w:rPr>
          <w:color w:val="231F20"/>
        </w:rPr>
        <w:t>имовине</w:t>
      </w:r>
      <w:r>
        <w:rPr>
          <w:color w:val="231F20"/>
          <w:spacing w:val="-16"/>
        </w:rPr>
        <w:t> </w:t>
      </w:r>
      <w:r>
        <w:rPr>
          <w:color w:val="231F20"/>
          <w:spacing w:val="-4"/>
        </w:rPr>
        <w:t>компаније;</w:t>
      </w:r>
    </w:p>
    <w:p>
      <w:pPr>
        <w:pStyle w:val="BodyText"/>
        <w:spacing w:line="232" w:lineRule="auto"/>
        <w:ind w:left="452" w:firstLine="398"/>
      </w:pPr>
      <w:r>
        <w:rPr>
          <w:color w:val="231F20"/>
          <w:w w:val="66"/>
        </w:rPr>
        <w:t> </w:t>
      </w:r>
      <w:r>
        <w:rPr>
          <w:color w:val="231F20"/>
        </w:rPr>
        <w:t>– </w:t>
      </w:r>
      <w:r>
        <w:rPr>
          <w:color w:val="231F20"/>
          <w:spacing w:val="-4"/>
        </w:rPr>
        <w:t>током </w:t>
      </w:r>
      <w:r>
        <w:rPr>
          <w:color w:val="231F20"/>
        </w:rPr>
        <w:t>наредних </w:t>
      </w:r>
      <w:r>
        <w:rPr>
          <w:color w:val="231F20"/>
          <w:spacing w:val="-4"/>
        </w:rPr>
        <w:t>неколико </w:t>
      </w:r>
      <w:r>
        <w:rPr>
          <w:color w:val="231F20"/>
          <w:spacing w:val="-3"/>
        </w:rPr>
        <w:t>година </w:t>
      </w:r>
      <w:r>
        <w:rPr>
          <w:color w:val="231F20"/>
        </w:rPr>
        <w:t>биће у потпуности оства- рене</w:t>
      </w:r>
      <w:r>
        <w:rPr>
          <w:color w:val="231F20"/>
          <w:spacing w:val="-8"/>
        </w:rPr>
        <w:t> </w:t>
      </w:r>
      <w:r>
        <w:rPr>
          <w:color w:val="231F20"/>
        </w:rPr>
        <w:t>одредбе</w:t>
      </w:r>
      <w:r>
        <w:rPr>
          <w:color w:val="231F20"/>
          <w:spacing w:val="-8"/>
        </w:rPr>
        <w:t> </w:t>
      </w:r>
      <w:r>
        <w:rPr>
          <w:color w:val="231F20"/>
          <w:spacing w:val="-4"/>
        </w:rPr>
        <w:t>Уговора</w:t>
      </w:r>
      <w:r>
        <w:rPr>
          <w:color w:val="231F20"/>
          <w:spacing w:val="-8"/>
        </w:rPr>
        <w:t> </w:t>
      </w:r>
      <w:r>
        <w:rPr>
          <w:color w:val="231F20"/>
        </w:rPr>
        <w:t>о</w:t>
      </w:r>
      <w:r>
        <w:rPr>
          <w:color w:val="231F20"/>
          <w:spacing w:val="-8"/>
        </w:rPr>
        <w:t> </w:t>
      </w:r>
      <w:r>
        <w:rPr>
          <w:color w:val="231F20"/>
        </w:rPr>
        <w:t>оснивању</w:t>
      </w:r>
      <w:r>
        <w:rPr>
          <w:color w:val="231F20"/>
          <w:spacing w:val="-8"/>
        </w:rPr>
        <w:t> </w:t>
      </w:r>
      <w:r>
        <w:rPr>
          <w:color w:val="231F20"/>
        </w:rPr>
        <w:t>Енергетске</w:t>
      </w:r>
      <w:r>
        <w:rPr>
          <w:color w:val="231F20"/>
          <w:spacing w:val="-8"/>
        </w:rPr>
        <w:t> </w:t>
      </w:r>
      <w:r>
        <w:rPr>
          <w:color w:val="231F20"/>
        </w:rPr>
        <w:t>заједнице</w:t>
      </w:r>
      <w:r>
        <w:rPr>
          <w:color w:val="231F20"/>
          <w:spacing w:val="-8"/>
        </w:rPr>
        <w:t> </w:t>
      </w:r>
      <w:r>
        <w:rPr>
          <w:color w:val="231F20"/>
        </w:rPr>
        <w:t>Југоисточ- не Европе, у </w:t>
      </w:r>
      <w:r>
        <w:rPr>
          <w:color w:val="231F20"/>
          <w:spacing w:val="-3"/>
        </w:rPr>
        <w:t>погледу: </w:t>
      </w:r>
      <w:r>
        <w:rPr>
          <w:color w:val="231F20"/>
        </w:rPr>
        <w:t>даљег рада на изради и примени предвиђе- них прописа, заштити животне средине, конкуренцији и јачању тржишта електричне енергије; тиме би „ЕПС” постао у потпу- ности тржишно предузеће, </w:t>
      </w:r>
      <w:r>
        <w:rPr>
          <w:color w:val="231F20"/>
          <w:spacing w:val="-3"/>
        </w:rPr>
        <w:t>које </w:t>
      </w:r>
      <w:r>
        <w:rPr>
          <w:color w:val="231F20"/>
        </w:rPr>
        <w:t>производи потрошну робу као и други произвођачи енергената, а социјална политика у овој обла- сти била би вођена на начин да се не нарушава његова тржишна и развојна позиција; тиме би се постигла тражена равнотежа изме- ђу тзв. квалификованих и тарифних купаца електричне енергије; потпуним отварањем тржишта до 2015. године, сваки купац елек- тричне енергије моћи ће да бира да ли да електричну енергију на- бавља на слободном тржишту (по слободним, односно тржишним ценама), или по регулисаним ценама (кроз примену наведене ме- тодологије и тарифног система); треба, међутим, нагласити да би потпуна и доследна примена овог начела била и надаље</w:t>
      </w:r>
      <w:r>
        <w:rPr>
          <w:color w:val="231F20"/>
          <w:spacing w:val="-25"/>
        </w:rPr>
        <w:t> </w:t>
      </w:r>
      <w:r>
        <w:rPr>
          <w:color w:val="231F20"/>
        </w:rPr>
        <w:t>ограниче- на,</w:t>
      </w:r>
      <w:r>
        <w:rPr>
          <w:color w:val="231F20"/>
          <w:spacing w:val="-6"/>
        </w:rPr>
        <w:t> </w:t>
      </w:r>
      <w:r>
        <w:rPr>
          <w:color w:val="231F20"/>
        </w:rPr>
        <w:t>јер</w:t>
      </w:r>
      <w:r>
        <w:rPr>
          <w:color w:val="231F20"/>
          <w:spacing w:val="-6"/>
        </w:rPr>
        <w:t> </w:t>
      </w:r>
      <w:r>
        <w:rPr>
          <w:color w:val="231F20"/>
        </w:rPr>
        <w:t>није</w:t>
      </w:r>
      <w:r>
        <w:rPr>
          <w:color w:val="231F20"/>
          <w:spacing w:val="-6"/>
        </w:rPr>
        <w:t> </w:t>
      </w:r>
      <w:r>
        <w:rPr>
          <w:color w:val="231F20"/>
        </w:rPr>
        <w:t>основано</w:t>
      </w:r>
      <w:r>
        <w:rPr>
          <w:color w:val="231F20"/>
          <w:spacing w:val="-6"/>
        </w:rPr>
        <w:t> </w:t>
      </w:r>
      <w:r>
        <w:rPr>
          <w:color w:val="231F20"/>
        </w:rPr>
        <w:t>очекивати</w:t>
      </w:r>
      <w:r>
        <w:rPr>
          <w:color w:val="231F20"/>
          <w:spacing w:val="-6"/>
        </w:rPr>
        <w:t> </w:t>
      </w:r>
      <w:r>
        <w:rPr>
          <w:color w:val="231F20"/>
        </w:rPr>
        <w:t>брзо</w:t>
      </w:r>
      <w:r>
        <w:rPr>
          <w:color w:val="231F20"/>
          <w:spacing w:val="-6"/>
        </w:rPr>
        <w:t> </w:t>
      </w:r>
      <w:r>
        <w:rPr>
          <w:color w:val="231F20"/>
        </w:rPr>
        <w:t>побољшање</w:t>
      </w:r>
      <w:r>
        <w:rPr>
          <w:color w:val="231F20"/>
          <w:spacing w:val="-6"/>
        </w:rPr>
        <w:t> </w:t>
      </w:r>
      <w:r>
        <w:rPr>
          <w:color w:val="231F20"/>
        </w:rPr>
        <w:t>моћи</w:t>
      </w:r>
      <w:r>
        <w:rPr>
          <w:color w:val="231F20"/>
          <w:spacing w:val="-6"/>
        </w:rPr>
        <w:t> </w:t>
      </w:r>
      <w:r>
        <w:rPr>
          <w:color w:val="231F20"/>
        </w:rPr>
        <w:t>преносне</w:t>
      </w:r>
      <w:r>
        <w:rPr>
          <w:color w:val="231F20"/>
          <w:spacing w:val="-6"/>
        </w:rPr>
        <w:t> </w:t>
      </w:r>
      <w:r>
        <w:rPr>
          <w:color w:val="231F20"/>
        </w:rPr>
        <w:t>и дистрибутивне мреже, сада ограничене, што је предуслов за</w:t>
      </w:r>
      <w:r>
        <w:rPr>
          <w:color w:val="231F20"/>
          <w:spacing w:val="-25"/>
        </w:rPr>
        <w:t> </w:t>
      </w:r>
      <w:r>
        <w:rPr>
          <w:color w:val="231F20"/>
        </w:rPr>
        <w:t>њего- во</w:t>
      </w:r>
      <w:r>
        <w:rPr>
          <w:color w:val="231F20"/>
          <w:spacing w:val="-1"/>
        </w:rPr>
        <w:t> </w:t>
      </w:r>
      <w:r>
        <w:rPr>
          <w:color w:val="231F20"/>
        </w:rPr>
        <w:t>остваривање;</w:t>
      </w:r>
    </w:p>
    <w:p>
      <w:pPr>
        <w:pStyle w:val="BodyText"/>
        <w:spacing w:line="187" w:lineRule="exact"/>
        <w:ind w:left="850"/>
        <w:jc w:val="left"/>
      </w:pPr>
      <w:r>
        <w:rPr>
          <w:color w:val="231F20"/>
          <w:w w:val="66"/>
        </w:rPr>
        <w:t> </w:t>
      </w:r>
      <w:r>
        <w:rPr>
          <w:color w:val="231F20"/>
        </w:rPr>
        <w:t>–</w:t>
      </w:r>
      <w:r>
        <w:rPr>
          <w:color w:val="231F20"/>
          <w:spacing w:val="-7"/>
        </w:rPr>
        <w:t> </w:t>
      </w:r>
      <w:r>
        <w:rPr>
          <w:color w:val="231F20"/>
        </w:rPr>
        <w:t>рачуна</w:t>
      </w:r>
      <w:r>
        <w:rPr>
          <w:color w:val="231F20"/>
          <w:spacing w:val="-7"/>
        </w:rPr>
        <w:t> </w:t>
      </w:r>
      <w:r>
        <w:rPr>
          <w:color w:val="231F20"/>
        </w:rPr>
        <w:t>се</w:t>
      </w:r>
      <w:r>
        <w:rPr>
          <w:color w:val="231F20"/>
          <w:spacing w:val="-7"/>
        </w:rPr>
        <w:t> </w:t>
      </w:r>
      <w:r>
        <w:rPr>
          <w:color w:val="231F20"/>
        </w:rPr>
        <w:t>на</w:t>
      </w:r>
      <w:r>
        <w:rPr>
          <w:color w:val="231F20"/>
          <w:spacing w:val="-7"/>
        </w:rPr>
        <w:t> </w:t>
      </w:r>
      <w:r>
        <w:rPr>
          <w:color w:val="231F20"/>
        </w:rPr>
        <w:t>радикално</w:t>
      </w:r>
      <w:r>
        <w:rPr>
          <w:color w:val="231F20"/>
          <w:spacing w:val="-7"/>
        </w:rPr>
        <w:t> </w:t>
      </w:r>
      <w:r>
        <w:rPr>
          <w:color w:val="231F20"/>
        </w:rPr>
        <w:t>побољшање</w:t>
      </w:r>
      <w:r>
        <w:rPr>
          <w:color w:val="231F20"/>
          <w:spacing w:val="-7"/>
        </w:rPr>
        <w:t> </w:t>
      </w:r>
      <w:r>
        <w:rPr>
          <w:color w:val="231F20"/>
        </w:rPr>
        <w:t>финансијских</w:t>
      </w:r>
      <w:r>
        <w:rPr>
          <w:color w:val="231F20"/>
          <w:spacing w:val="-7"/>
        </w:rPr>
        <w:t> </w:t>
      </w:r>
      <w:r>
        <w:rPr>
          <w:color w:val="231F20"/>
        </w:rPr>
        <w:t>резулта-</w:t>
      </w:r>
    </w:p>
    <w:p>
      <w:pPr>
        <w:pStyle w:val="BodyText"/>
        <w:spacing w:line="232" w:lineRule="auto"/>
        <w:ind w:left="453" w:hanging="1"/>
      </w:pPr>
      <w:r>
        <w:rPr>
          <w:color w:val="231F20"/>
        </w:rPr>
        <w:t>та „ЕПС”-а. Ликвидност „ЕПС”-а је, ипак, </w:t>
      </w:r>
      <w:r>
        <w:rPr>
          <w:color w:val="231F20"/>
          <w:spacing w:val="-3"/>
        </w:rPr>
        <w:t>како-тако </w:t>
      </w:r>
      <w:r>
        <w:rPr>
          <w:color w:val="231F20"/>
        </w:rPr>
        <w:t>одржавана, на самој граници ликвидности, </w:t>
      </w:r>
      <w:r>
        <w:rPr>
          <w:color w:val="231F20"/>
          <w:spacing w:val="-3"/>
        </w:rPr>
        <w:t>иако након </w:t>
      </w:r>
      <w:r>
        <w:rPr>
          <w:color w:val="231F20"/>
        </w:rPr>
        <w:t>2004. </w:t>
      </w:r>
      <w:r>
        <w:rPr>
          <w:color w:val="231F20"/>
          <w:spacing w:val="-3"/>
        </w:rPr>
        <w:t>године </w:t>
      </w:r>
      <w:r>
        <w:rPr>
          <w:color w:val="231F20"/>
        </w:rPr>
        <w:t>у првом реду захваљујући смањивању оперативних  трошкова  (нарочи-  то трошкова одржавања и ремонта електроенергетске и </w:t>
      </w:r>
      <w:r>
        <w:rPr>
          <w:color w:val="231F20"/>
          <w:spacing w:val="-3"/>
        </w:rPr>
        <w:t>рударске </w:t>
      </w:r>
      <w:r>
        <w:rPr>
          <w:color w:val="231F20"/>
        </w:rPr>
        <w:t>опреме) и смањењу инвестирања; садашња стопа задужености из- носи</w:t>
      </w:r>
      <w:r>
        <w:rPr>
          <w:color w:val="231F20"/>
          <w:spacing w:val="-3"/>
        </w:rPr>
        <w:t> </w:t>
      </w:r>
      <w:r>
        <w:rPr>
          <w:color w:val="231F20"/>
        </w:rPr>
        <w:t>13,3%,</w:t>
      </w:r>
      <w:r>
        <w:rPr>
          <w:color w:val="231F20"/>
          <w:spacing w:val="-3"/>
        </w:rPr>
        <w:t> </w:t>
      </w:r>
      <w:r>
        <w:rPr>
          <w:color w:val="231F20"/>
        </w:rPr>
        <w:t>односно</w:t>
      </w:r>
      <w:r>
        <w:rPr>
          <w:color w:val="231F20"/>
          <w:spacing w:val="-3"/>
        </w:rPr>
        <w:t> </w:t>
      </w:r>
      <w:r>
        <w:rPr>
          <w:color w:val="231F20"/>
        </w:rPr>
        <w:t>ниска</w:t>
      </w:r>
      <w:r>
        <w:rPr>
          <w:color w:val="231F20"/>
          <w:spacing w:val="-3"/>
        </w:rPr>
        <w:t> </w:t>
      </w:r>
      <w:r>
        <w:rPr>
          <w:color w:val="231F20"/>
        </w:rPr>
        <w:t>је,</w:t>
      </w:r>
      <w:r>
        <w:rPr>
          <w:color w:val="231F20"/>
          <w:spacing w:val="-3"/>
        </w:rPr>
        <w:t> </w:t>
      </w:r>
      <w:r>
        <w:rPr>
          <w:color w:val="231F20"/>
        </w:rPr>
        <w:t>па</w:t>
      </w:r>
      <w:r>
        <w:rPr>
          <w:color w:val="231F20"/>
          <w:spacing w:val="-3"/>
        </w:rPr>
        <w:t> </w:t>
      </w:r>
      <w:r>
        <w:rPr>
          <w:color w:val="231F20"/>
        </w:rPr>
        <w:t>се</w:t>
      </w:r>
      <w:r>
        <w:rPr>
          <w:color w:val="231F20"/>
          <w:spacing w:val="-3"/>
        </w:rPr>
        <w:t> </w:t>
      </w:r>
      <w:r>
        <w:rPr>
          <w:color w:val="231F20"/>
        </w:rPr>
        <w:t>рачуна</w:t>
      </w:r>
      <w:r>
        <w:rPr>
          <w:color w:val="231F20"/>
          <w:spacing w:val="-3"/>
        </w:rPr>
        <w:t> </w:t>
      </w:r>
      <w:r>
        <w:rPr>
          <w:color w:val="231F20"/>
        </w:rPr>
        <w:t>да</w:t>
      </w:r>
      <w:r>
        <w:rPr>
          <w:color w:val="231F20"/>
          <w:spacing w:val="-3"/>
        </w:rPr>
        <w:t> </w:t>
      </w:r>
      <w:r>
        <w:rPr>
          <w:color w:val="231F20"/>
        </w:rPr>
        <w:t>она</w:t>
      </w:r>
      <w:r>
        <w:rPr>
          <w:color w:val="231F20"/>
          <w:spacing w:val="-3"/>
        </w:rPr>
        <w:t> </w:t>
      </w:r>
      <w:r>
        <w:rPr>
          <w:color w:val="231F20"/>
        </w:rPr>
        <w:t>не</w:t>
      </w:r>
      <w:r>
        <w:rPr>
          <w:color w:val="231F20"/>
          <w:spacing w:val="-3"/>
        </w:rPr>
        <w:t> </w:t>
      </w:r>
      <w:r>
        <w:rPr>
          <w:color w:val="231F20"/>
        </w:rPr>
        <w:t>би</w:t>
      </w:r>
      <w:r>
        <w:rPr>
          <w:color w:val="231F20"/>
          <w:spacing w:val="-3"/>
        </w:rPr>
        <w:t> </w:t>
      </w:r>
      <w:r>
        <w:rPr>
          <w:color w:val="231F20"/>
        </w:rPr>
        <w:t>била</w:t>
      </w:r>
      <w:r>
        <w:rPr>
          <w:color w:val="231F20"/>
          <w:spacing w:val="-3"/>
        </w:rPr>
        <w:t> </w:t>
      </w:r>
      <w:r>
        <w:rPr>
          <w:color w:val="231F20"/>
        </w:rPr>
        <w:t>знат- није</w:t>
      </w:r>
      <w:r>
        <w:rPr>
          <w:color w:val="231F20"/>
          <w:spacing w:val="-1"/>
        </w:rPr>
        <w:t> </w:t>
      </w:r>
      <w:r>
        <w:rPr>
          <w:color w:val="231F20"/>
        </w:rPr>
        <w:t>повећавана;</w:t>
      </w:r>
    </w:p>
    <w:p>
      <w:pPr>
        <w:pStyle w:val="BodyText"/>
        <w:spacing w:line="232" w:lineRule="auto"/>
        <w:ind w:left="453" w:firstLine="397"/>
      </w:pPr>
      <w:r>
        <w:rPr>
          <w:color w:val="231F20"/>
          <w:w w:val="66"/>
        </w:rPr>
        <w:t> </w:t>
      </w:r>
      <w:r>
        <w:rPr>
          <w:color w:val="231F20"/>
        </w:rPr>
        <w:t>–</w:t>
      </w:r>
      <w:r>
        <w:rPr>
          <w:color w:val="231F20"/>
          <w:spacing w:val="-8"/>
        </w:rPr>
        <w:t> </w:t>
      </w:r>
      <w:r>
        <w:rPr>
          <w:color w:val="231F20"/>
        </w:rPr>
        <w:t>према</w:t>
      </w:r>
      <w:r>
        <w:rPr>
          <w:color w:val="231F20"/>
          <w:spacing w:val="-8"/>
        </w:rPr>
        <w:t> </w:t>
      </w:r>
      <w:r>
        <w:rPr>
          <w:color w:val="231F20"/>
        </w:rPr>
        <w:t>документу</w:t>
      </w:r>
      <w:r>
        <w:rPr>
          <w:color w:val="231F20"/>
          <w:spacing w:val="-8"/>
        </w:rPr>
        <w:t> </w:t>
      </w:r>
      <w:r>
        <w:rPr>
          <w:color w:val="231F20"/>
        </w:rPr>
        <w:t>„ЕПС”-а</w:t>
      </w:r>
      <w:r>
        <w:rPr>
          <w:color w:val="231F20"/>
          <w:spacing w:val="-8"/>
        </w:rPr>
        <w:t> </w:t>
      </w:r>
      <w:r>
        <w:rPr>
          <w:color w:val="231F20"/>
        </w:rPr>
        <w:t>План</w:t>
      </w:r>
      <w:r>
        <w:rPr>
          <w:color w:val="231F20"/>
          <w:spacing w:val="-8"/>
        </w:rPr>
        <w:t> </w:t>
      </w:r>
      <w:r>
        <w:rPr>
          <w:color w:val="231F20"/>
        </w:rPr>
        <w:t>рада</w:t>
      </w:r>
      <w:r>
        <w:rPr>
          <w:color w:val="231F20"/>
          <w:spacing w:val="-8"/>
        </w:rPr>
        <w:t> </w:t>
      </w:r>
      <w:r>
        <w:rPr>
          <w:color w:val="231F20"/>
        </w:rPr>
        <w:t>и</w:t>
      </w:r>
      <w:r>
        <w:rPr>
          <w:color w:val="231F20"/>
          <w:spacing w:val="-8"/>
        </w:rPr>
        <w:t> </w:t>
      </w:r>
      <w:r>
        <w:rPr>
          <w:color w:val="231F20"/>
        </w:rPr>
        <w:t>развоја</w:t>
      </w:r>
      <w:r>
        <w:rPr>
          <w:color w:val="231F20"/>
          <w:spacing w:val="-8"/>
        </w:rPr>
        <w:t> </w:t>
      </w:r>
      <w:r>
        <w:rPr>
          <w:color w:val="231F20"/>
        </w:rPr>
        <w:t>2008</w:t>
      </w:r>
      <w:r>
        <w:rPr>
          <w:color w:val="231F20"/>
          <w:spacing w:val="16"/>
        </w:rPr>
        <w:t> </w:t>
      </w:r>
      <w:r>
        <w:rPr>
          <w:color w:val="231F20"/>
        </w:rPr>
        <w:t>–</w:t>
      </w:r>
      <w:r>
        <w:rPr>
          <w:color w:val="231F20"/>
          <w:spacing w:val="-8"/>
        </w:rPr>
        <w:t> </w:t>
      </w:r>
      <w:r>
        <w:rPr>
          <w:color w:val="231F20"/>
        </w:rPr>
        <w:t>2015, предвиђене су инвестиције </w:t>
      </w:r>
      <w:r>
        <w:rPr>
          <w:color w:val="231F20"/>
          <w:spacing w:val="-3"/>
        </w:rPr>
        <w:t>од преко </w:t>
      </w:r>
      <w:r>
        <w:rPr>
          <w:color w:val="231F20"/>
        </w:rPr>
        <w:t>9 милијарди евра, </w:t>
      </w:r>
      <w:r>
        <w:rPr>
          <w:color w:val="231F20"/>
          <w:spacing w:val="-3"/>
        </w:rPr>
        <w:t>од </w:t>
      </w:r>
      <w:r>
        <w:rPr>
          <w:color w:val="231F20"/>
        </w:rPr>
        <w:t>чега из сопствених средстава компаније 3,4 милијарде, из кредита 3,8 ми- лијарде и из средстава стратешких партнера </w:t>
      </w:r>
      <w:r>
        <w:rPr>
          <w:color w:val="231F20"/>
          <w:spacing w:val="-4"/>
        </w:rPr>
        <w:t>око </w:t>
      </w:r>
      <w:r>
        <w:rPr>
          <w:color w:val="231F20"/>
        </w:rPr>
        <w:t>2 милијарде евра; и </w:t>
      </w:r>
      <w:r>
        <w:rPr>
          <w:color w:val="231F20"/>
          <w:spacing w:val="-6"/>
        </w:rPr>
        <w:t>код </w:t>
      </w:r>
      <w:r>
        <w:rPr>
          <w:color w:val="231F20"/>
        </w:rPr>
        <w:t>израде Плана рачунало се на одговарајуће повећање цена електричне енергије, што, међутим, није остварено, па ће „ЕПС”, уместо предвиђених сопствених средстава, у његовој реализацији морати више да рачуна на средства стратешких партнера и из зај- мова;</w:t>
      </w:r>
      <w:r>
        <w:rPr>
          <w:color w:val="231F20"/>
          <w:spacing w:val="-9"/>
        </w:rPr>
        <w:t> </w:t>
      </w:r>
      <w:r>
        <w:rPr>
          <w:color w:val="231F20"/>
          <w:spacing w:val="-4"/>
        </w:rPr>
        <w:t>убудуће</w:t>
      </w:r>
      <w:r>
        <w:rPr>
          <w:color w:val="231F20"/>
          <w:spacing w:val="-9"/>
        </w:rPr>
        <w:t> </w:t>
      </w:r>
      <w:r>
        <w:rPr>
          <w:color w:val="231F20"/>
        </w:rPr>
        <w:t>ће</w:t>
      </w:r>
      <w:r>
        <w:rPr>
          <w:color w:val="231F20"/>
          <w:spacing w:val="-9"/>
        </w:rPr>
        <w:t> </w:t>
      </w:r>
      <w:r>
        <w:rPr>
          <w:color w:val="231F20"/>
        </w:rPr>
        <w:t>финансијска</w:t>
      </w:r>
      <w:r>
        <w:rPr>
          <w:color w:val="231F20"/>
          <w:spacing w:val="-9"/>
        </w:rPr>
        <w:t> </w:t>
      </w:r>
      <w:r>
        <w:rPr>
          <w:color w:val="231F20"/>
        </w:rPr>
        <w:t>структура</w:t>
      </w:r>
      <w:r>
        <w:rPr>
          <w:color w:val="231F20"/>
          <w:spacing w:val="-9"/>
        </w:rPr>
        <w:t> </w:t>
      </w:r>
      <w:r>
        <w:rPr>
          <w:color w:val="231F20"/>
        </w:rPr>
        <w:t>бити</w:t>
      </w:r>
      <w:r>
        <w:rPr>
          <w:color w:val="231F20"/>
          <w:spacing w:val="-9"/>
        </w:rPr>
        <w:t> </w:t>
      </w:r>
      <w:r>
        <w:rPr>
          <w:color w:val="231F20"/>
        </w:rPr>
        <w:t>знатније</w:t>
      </w:r>
      <w:r>
        <w:rPr>
          <w:color w:val="231F20"/>
          <w:spacing w:val="-9"/>
        </w:rPr>
        <w:t> </w:t>
      </w:r>
      <w:r>
        <w:rPr>
          <w:color w:val="231F20"/>
        </w:rPr>
        <w:t>промењена, јер се не може више рачунати на веће донације, а услови задужи- вања</w:t>
      </w:r>
      <w:r>
        <w:rPr>
          <w:color w:val="231F20"/>
          <w:spacing w:val="-9"/>
        </w:rPr>
        <w:t> </w:t>
      </w:r>
      <w:r>
        <w:rPr>
          <w:color w:val="231F20"/>
        </w:rPr>
        <w:t>су</w:t>
      </w:r>
      <w:r>
        <w:rPr>
          <w:color w:val="231F20"/>
          <w:spacing w:val="-9"/>
        </w:rPr>
        <w:t> </w:t>
      </w:r>
      <w:r>
        <w:rPr>
          <w:color w:val="231F20"/>
        </w:rPr>
        <w:t>погоршани</w:t>
      </w:r>
      <w:r>
        <w:rPr>
          <w:color w:val="231F20"/>
          <w:spacing w:val="-9"/>
        </w:rPr>
        <w:t> </w:t>
      </w:r>
      <w:r>
        <w:rPr>
          <w:color w:val="231F20"/>
        </w:rPr>
        <w:t>и</w:t>
      </w:r>
      <w:r>
        <w:rPr>
          <w:color w:val="231F20"/>
          <w:spacing w:val="-9"/>
        </w:rPr>
        <w:t> </w:t>
      </w:r>
      <w:r>
        <w:rPr>
          <w:color w:val="231F20"/>
        </w:rPr>
        <w:t>даље</w:t>
      </w:r>
      <w:r>
        <w:rPr>
          <w:color w:val="231F20"/>
          <w:spacing w:val="-9"/>
        </w:rPr>
        <w:t> </w:t>
      </w:r>
      <w:r>
        <w:rPr>
          <w:color w:val="231F20"/>
        </w:rPr>
        <w:t>ће</w:t>
      </w:r>
      <w:r>
        <w:rPr>
          <w:color w:val="231F20"/>
          <w:spacing w:val="-9"/>
        </w:rPr>
        <w:t> </w:t>
      </w:r>
      <w:r>
        <w:rPr>
          <w:color w:val="231F20"/>
        </w:rPr>
        <w:t>се</w:t>
      </w:r>
      <w:r>
        <w:rPr>
          <w:color w:val="231F20"/>
          <w:spacing w:val="-9"/>
        </w:rPr>
        <w:t> </w:t>
      </w:r>
      <w:r>
        <w:rPr>
          <w:color w:val="231F20"/>
        </w:rPr>
        <w:t>погоршавати</w:t>
      </w:r>
      <w:r>
        <w:rPr>
          <w:color w:val="231F20"/>
          <w:spacing w:val="-9"/>
        </w:rPr>
        <w:t> </w:t>
      </w:r>
      <w:r>
        <w:rPr>
          <w:color w:val="231F20"/>
        </w:rPr>
        <w:t>у</w:t>
      </w:r>
      <w:r>
        <w:rPr>
          <w:color w:val="231F20"/>
          <w:spacing w:val="-9"/>
        </w:rPr>
        <w:t> </w:t>
      </w:r>
      <w:r>
        <w:rPr>
          <w:color w:val="231F20"/>
        </w:rPr>
        <w:t>наредном</w:t>
      </w:r>
      <w:r>
        <w:rPr>
          <w:color w:val="231F20"/>
          <w:spacing w:val="-8"/>
        </w:rPr>
        <w:t> </w:t>
      </w:r>
      <w:r>
        <w:rPr>
          <w:color w:val="231F20"/>
        </w:rPr>
        <w:t>периоду;</w:t>
      </w:r>
    </w:p>
    <w:p>
      <w:pPr>
        <w:pStyle w:val="BodyText"/>
        <w:spacing w:line="232" w:lineRule="auto"/>
        <w:ind w:left="453" w:firstLine="397"/>
      </w:pPr>
      <w:r>
        <w:rPr>
          <w:color w:val="231F20"/>
          <w:w w:val="66"/>
        </w:rPr>
        <w:t> </w:t>
      </w:r>
      <w:r>
        <w:rPr>
          <w:color w:val="231F20"/>
        </w:rPr>
        <w:t>– рачуна се на битно повећање продуктивности у „ЕПС”-у (мерено односом утрошене радне снаге и производње, на пример, радне снаге на једну произведену тону угља, или на један генери- сани</w:t>
      </w:r>
      <w:r>
        <w:rPr>
          <w:color w:val="231F20"/>
          <w:spacing w:val="-8"/>
        </w:rPr>
        <w:t> </w:t>
      </w:r>
      <w:r>
        <w:rPr>
          <w:color w:val="231F20"/>
        </w:rPr>
        <w:t>КWh),</w:t>
      </w:r>
      <w:r>
        <w:rPr>
          <w:color w:val="231F20"/>
          <w:spacing w:val="-8"/>
        </w:rPr>
        <w:t> </w:t>
      </w:r>
      <w:r>
        <w:rPr>
          <w:color w:val="231F20"/>
          <w:spacing w:val="-3"/>
        </w:rPr>
        <w:t>која</w:t>
      </w:r>
      <w:r>
        <w:rPr>
          <w:color w:val="231F20"/>
          <w:spacing w:val="-8"/>
        </w:rPr>
        <w:t> </w:t>
      </w:r>
      <w:r>
        <w:rPr>
          <w:color w:val="231F20"/>
        </w:rPr>
        <w:t>је</w:t>
      </w:r>
      <w:r>
        <w:rPr>
          <w:color w:val="231F20"/>
          <w:spacing w:val="-8"/>
        </w:rPr>
        <w:t> </w:t>
      </w:r>
      <w:r>
        <w:rPr>
          <w:color w:val="231F20"/>
        </w:rPr>
        <w:t>сада</w:t>
      </w:r>
      <w:r>
        <w:rPr>
          <w:color w:val="231F20"/>
          <w:spacing w:val="-8"/>
        </w:rPr>
        <w:t> </w:t>
      </w:r>
      <w:r>
        <w:rPr>
          <w:color w:val="231F20"/>
        </w:rPr>
        <w:t>знатно</w:t>
      </w:r>
      <w:r>
        <w:rPr>
          <w:color w:val="231F20"/>
          <w:spacing w:val="-8"/>
        </w:rPr>
        <w:t> </w:t>
      </w:r>
      <w:r>
        <w:rPr>
          <w:color w:val="231F20"/>
        </w:rPr>
        <w:t>мање</w:t>
      </w:r>
      <w:r>
        <w:rPr>
          <w:color w:val="231F20"/>
          <w:spacing w:val="-8"/>
        </w:rPr>
        <w:t> </w:t>
      </w:r>
      <w:r>
        <w:rPr>
          <w:color w:val="231F20"/>
          <w:spacing w:val="-3"/>
        </w:rPr>
        <w:t>од</w:t>
      </w:r>
      <w:r>
        <w:rPr>
          <w:color w:val="231F20"/>
          <w:spacing w:val="-8"/>
        </w:rPr>
        <w:t> </w:t>
      </w:r>
      <w:r>
        <w:rPr>
          <w:color w:val="231F20"/>
        </w:rPr>
        <w:t>оне</w:t>
      </w:r>
      <w:r>
        <w:rPr>
          <w:color w:val="231F20"/>
          <w:spacing w:val="-8"/>
        </w:rPr>
        <w:t> </w:t>
      </w:r>
      <w:r>
        <w:rPr>
          <w:color w:val="231F20"/>
          <w:spacing w:val="-6"/>
        </w:rPr>
        <w:t>код</w:t>
      </w:r>
      <w:r>
        <w:rPr>
          <w:color w:val="231F20"/>
          <w:spacing w:val="-8"/>
        </w:rPr>
        <w:t> </w:t>
      </w:r>
      <w:r>
        <w:rPr>
          <w:color w:val="231F20"/>
        </w:rPr>
        <w:t>главних</w:t>
      </w:r>
      <w:r>
        <w:rPr>
          <w:color w:val="231F20"/>
          <w:spacing w:val="-8"/>
        </w:rPr>
        <w:t> </w:t>
      </w:r>
      <w:r>
        <w:rPr>
          <w:color w:val="231F20"/>
        </w:rPr>
        <w:t>конкурена- та у регионалном</w:t>
      </w:r>
      <w:r>
        <w:rPr>
          <w:color w:val="231F20"/>
          <w:spacing w:val="-1"/>
        </w:rPr>
        <w:t> </w:t>
      </w:r>
      <w:r>
        <w:rPr>
          <w:color w:val="231F20"/>
        </w:rPr>
        <w:t>окружењу;</w:t>
      </w:r>
    </w:p>
    <w:p>
      <w:pPr>
        <w:pStyle w:val="BodyText"/>
        <w:spacing w:line="232" w:lineRule="auto"/>
        <w:ind w:left="453" w:firstLine="397"/>
      </w:pPr>
      <w:r>
        <w:rPr>
          <w:color w:val="231F20"/>
          <w:w w:val="66"/>
        </w:rPr>
        <w:t> </w:t>
      </w:r>
      <w:r>
        <w:rPr>
          <w:color w:val="231F20"/>
        </w:rPr>
        <w:t>– да би се побољшала ефикасност и рентабилност система, неопходно је предузети знатнија организациона прилагођавања; уместо постојеће организационе структуре „ЕПС”-а у </w:t>
      </w:r>
      <w:r>
        <w:rPr>
          <w:color w:val="231F20"/>
          <w:spacing w:val="-3"/>
        </w:rPr>
        <w:t>којој </w:t>
      </w:r>
      <w:r>
        <w:rPr>
          <w:color w:val="231F20"/>
        </w:rPr>
        <w:t>се </w:t>
      </w:r>
      <w:r>
        <w:rPr>
          <w:color w:val="231F20"/>
          <w:spacing w:val="-3"/>
        </w:rPr>
        <w:t>тешко </w:t>
      </w:r>
      <w:r>
        <w:rPr>
          <w:color w:val="231F20"/>
        </w:rPr>
        <w:t>постиже организациона и функцијска координација и хар- монизације одлука, као и благовремено финансијско и оператив- но извештавање, </w:t>
      </w:r>
      <w:r>
        <w:rPr>
          <w:color w:val="231F20"/>
          <w:spacing w:val="-4"/>
        </w:rPr>
        <w:t>како </w:t>
      </w:r>
      <w:r>
        <w:rPr>
          <w:color w:val="231F20"/>
        </w:rPr>
        <w:t>на нивоу читавог система, </w:t>
      </w:r>
      <w:r>
        <w:rPr>
          <w:color w:val="231F20"/>
          <w:spacing w:val="-3"/>
        </w:rPr>
        <w:t>тако </w:t>
      </w:r>
      <w:r>
        <w:rPr>
          <w:color w:val="231F20"/>
        </w:rPr>
        <w:t>и на нижим управљачким нивоима – у новој организационој структури треба смањити, па и преполовити број основних организационих це- лина; овоме ће допринети и активирање технолошких иновација  у оквиру телекомуникационе мреже (посебно у оквиру тзв. „па- метне мреже”), </w:t>
      </w:r>
      <w:r>
        <w:rPr>
          <w:color w:val="231F20"/>
          <w:spacing w:val="-3"/>
        </w:rPr>
        <w:t>која </w:t>
      </w:r>
      <w:r>
        <w:rPr>
          <w:color w:val="231F20"/>
        </w:rPr>
        <w:t>је скоро завршена, као и побољшање непо- средног-оперативног менаџмента; у </w:t>
      </w:r>
      <w:r>
        <w:rPr>
          <w:color w:val="231F20"/>
          <w:spacing w:val="-3"/>
        </w:rPr>
        <w:t>погледу </w:t>
      </w:r>
      <w:r>
        <w:rPr>
          <w:color w:val="231F20"/>
        </w:rPr>
        <w:t>својинског статуса, организационе</w:t>
      </w:r>
      <w:r>
        <w:rPr>
          <w:color w:val="231F20"/>
          <w:spacing w:val="-11"/>
        </w:rPr>
        <w:t> </w:t>
      </w:r>
      <w:r>
        <w:rPr>
          <w:color w:val="231F20"/>
        </w:rPr>
        <w:t>промене</w:t>
      </w:r>
      <w:r>
        <w:rPr>
          <w:color w:val="231F20"/>
          <w:spacing w:val="-11"/>
        </w:rPr>
        <w:t> </w:t>
      </w:r>
      <w:r>
        <w:rPr>
          <w:color w:val="231F20"/>
        </w:rPr>
        <w:t>пратиће</w:t>
      </w:r>
      <w:r>
        <w:rPr>
          <w:color w:val="231F20"/>
          <w:spacing w:val="-11"/>
        </w:rPr>
        <w:t> </w:t>
      </w:r>
      <w:r>
        <w:rPr>
          <w:color w:val="231F20"/>
        </w:rPr>
        <w:t>јачање</w:t>
      </w:r>
      <w:r>
        <w:rPr>
          <w:color w:val="231F20"/>
          <w:spacing w:val="-11"/>
        </w:rPr>
        <w:t> </w:t>
      </w:r>
      <w:r>
        <w:rPr>
          <w:color w:val="231F20"/>
        </w:rPr>
        <w:t>корпорацијских</w:t>
      </w:r>
      <w:r>
        <w:rPr>
          <w:color w:val="231F20"/>
          <w:spacing w:val="-11"/>
        </w:rPr>
        <w:t> </w:t>
      </w:r>
      <w:r>
        <w:rPr>
          <w:color w:val="231F20"/>
        </w:rPr>
        <w:t>страна</w:t>
      </w:r>
      <w:r>
        <w:rPr>
          <w:color w:val="231F20"/>
          <w:spacing w:val="-11"/>
        </w:rPr>
        <w:t> </w:t>
      </w:r>
      <w:r>
        <w:rPr>
          <w:color w:val="231F20"/>
        </w:rPr>
        <w:t>по- словања и развоја, као и трансформацију „ЕПС”-а у неки </w:t>
      </w:r>
      <w:r>
        <w:rPr>
          <w:color w:val="231F20"/>
          <w:spacing w:val="-3"/>
        </w:rPr>
        <w:t>од </w:t>
      </w:r>
      <w:r>
        <w:rPr>
          <w:color w:val="231F20"/>
        </w:rPr>
        <w:t>обли- ка акционарског</w:t>
      </w:r>
      <w:r>
        <w:rPr>
          <w:color w:val="231F20"/>
          <w:spacing w:val="-1"/>
        </w:rPr>
        <w:t> </w:t>
      </w:r>
      <w:r>
        <w:rPr>
          <w:color w:val="231F20"/>
        </w:rPr>
        <w:t>друштва;</w:t>
      </w:r>
    </w:p>
    <w:p>
      <w:pPr>
        <w:pStyle w:val="BodyText"/>
        <w:spacing w:line="232" w:lineRule="auto"/>
        <w:ind w:left="452" w:firstLine="397"/>
      </w:pPr>
      <w:r>
        <w:rPr>
          <w:color w:val="231F20"/>
          <w:w w:val="66"/>
        </w:rPr>
        <w:t> </w:t>
      </w:r>
      <w:r>
        <w:rPr>
          <w:color w:val="231F20"/>
        </w:rPr>
        <w:t>–</w:t>
      </w:r>
      <w:r>
        <w:rPr>
          <w:color w:val="231F20"/>
          <w:spacing w:val="-12"/>
        </w:rPr>
        <w:t> </w:t>
      </w:r>
      <w:r>
        <w:rPr>
          <w:color w:val="231F20"/>
        </w:rPr>
        <w:t>у</w:t>
      </w:r>
      <w:r>
        <w:rPr>
          <w:color w:val="231F20"/>
          <w:spacing w:val="-12"/>
        </w:rPr>
        <w:t> </w:t>
      </w:r>
      <w:r>
        <w:rPr>
          <w:color w:val="231F20"/>
        </w:rPr>
        <w:t>пословању</w:t>
      </w:r>
      <w:r>
        <w:rPr>
          <w:color w:val="231F20"/>
          <w:spacing w:val="-12"/>
        </w:rPr>
        <w:t> </w:t>
      </w:r>
      <w:r>
        <w:rPr>
          <w:color w:val="231F20"/>
        </w:rPr>
        <w:t>„ЕПС”-а,</w:t>
      </w:r>
      <w:r>
        <w:rPr>
          <w:color w:val="231F20"/>
          <w:spacing w:val="-12"/>
        </w:rPr>
        <w:t> </w:t>
      </w:r>
      <w:r>
        <w:rPr>
          <w:color w:val="231F20"/>
          <w:spacing w:val="-4"/>
        </w:rPr>
        <w:t>убудуће</w:t>
      </w:r>
      <w:r>
        <w:rPr>
          <w:color w:val="231F20"/>
          <w:spacing w:val="-12"/>
        </w:rPr>
        <w:t> </w:t>
      </w:r>
      <w:r>
        <w:rPr>
          <w:color w:val="231F20"/>
        </w:rPr>
        <w:t>се</w:t>
      </w:r>
      <w:r>
        <w:rPr>
          <w:color w:val="231F20"/>
          <w:spacing w:val="-12"/>
        </w:rPr>
        <w:t> </w:t>
      </w:r>
      <w:r>
        <w:rPr>
          <w:color w:val="231F20"/>
        </w:rPr>
        <w:t>рачуна</w:t>
      </w:r>
      <w:r>
        <w:rPr>
          <w:color w:val="231F20"/>
          <w:spacing w:val="-12"/>
        </w:rPr>
        <w:t> </w:t>
      </w:r>
      <w:r>
        <w:rPr>
          <w:color w:val="231F20"/>
        </w:rPr>
        <w:t>на</w:t>
      </w:r>
      <w:r>
        <w:rPr>
          <w:color w:val="231F20"/>
          <w:spacing w:val="-12"/>
        </w:rPr>
        <w:t> </w:t>
      </w:r>
      <w:r>
        <w:rPr>
          <w:color w:val="231F20"/>
        </w:rPr>
        <w:t>доследно</w:t>
      </w:r>
      <w:r>
        <w:rPr>
          <w:color w:val="231F20"/>
          <w:spacing w:val="-12"/>
        </w:rPr>
        <w:t> </w:t>
      </w:r>
      <w:r>
        <w:rPr>
          <w:color w:val="231F20"/>
        </w:rPr>
        <w:t>оства- ривање стратешких циљева енергетске политике </w:t>
      </w:r>
      <w:r>
        <w:rPr>
          <w:color w:val="231F20"/>
          <w:spacing w:val="-4"/>
        </w:rPr>
        <w:t>Уније </w:t>
      </w:r>
      <w:r>
        <w:rPr>
          <w:color w:val="231F20"/>
        </w:rPr>
        <w:t>из тзв. Зе- лена књиге ЕУ о енергетици, </w:t>
      </w:r>
      <w:r>
        <w:rPr>
          <w:color w:val="231F20"/>
          <w:spacing w:val="-4"/>
        </w:rPr>
        <w:t>где </w:t>
      </w:r>
      <w:r>
        <w:rPr>
          <w:color w:val="231F20"/>
        </w:rPr>
        <w:t>је дефинисан модел „3 плус 20 плус 10”, што ће за „ЕПС” бити дугорочни стратешки циљ: сма- њити емисију гасова тзв. зелене баште за 20%, до 2020. </w:t>
      </w:r>
      <w:r>
        <w:rPr>
          <w:color w:val="231F20"/>
          <w:spacing w:val="-3"/>
        </w:rPr>
        <w:t>године </w:t>
      </w:r>
      <w:r>
        <w:rPr>
          <w:color w:val="231F20"/>
        </w:rPr>
        <w:t>у односу</w:t>
      </w:r>
      <w:r>
        <w:rPr>
          <w:color w:val="231F20"/>
          <w:spacing w:val="-8"/>
        </w:rPr>
        <w:t> </w:t>
      </w:r>
      <w:r>
        <w:rPr>
          <w:color w:val="231F20"/>
        </w:rPr>
        <w:t>на</w:t>
      </w:r>
      <w:r>
        <w:rPr>
          <w:color w:val="231F20"/>
          <w:spacing w:val="-8"/>
        </w:rPr>
        <w:t> </w:t>
      </w:r>
      <w:r>
        <w:rPr>
          <w:color w:val="231F20"/>
        </w:rPr>
        <w:t>1990;</w:t>
      </w:r>
      <w:r>
        <w:rPr>
          <w:color w:val="231F20"/>
          <w:spacing w:val="-8"/>
        </w:rPr>
        <w:t> </w:t>
      </w:r>
      <w:r>
        <w:rPr>
          <w:color w:val="231F20"/>
        </w:rPr>
        <w:t>у</w:t>
      </w:r>
      <w:r>
        <w:rPr>
          <w:color w:val="231F20"/>
          <w:spacing w:val="-8"/>
        </w:rPr>
        <w:t> </w:t>
      </w:r>
      <w:r>
        <w:rPr>
          <w:color w:val="231F20"/>
        </w:rPr>
        <w:t>истом</w:t>
      </w:r>
      <w:r>
        <w:rPr>
          <w:color w:val="231F20"/>
          <w:spacing w:val="-8"/>
        </w:rPr>
        <w:t> </w:t>
      </w:r>
      <w:r>
        <w:rPr>
          <w:color w:val="231F20"/>
        </w:rPr>
        <w:t>периоду</w:t>
      </w:r>
      <w:r>
        <w:rPr>
          <w:color w:val="231F20"/>
          <w:spacing w:val="-8"/>
        </w:rPr>
        <w:t> </w:t>
      </w:r>
      <w:r>
        <w:rPr>
          <w:color w:val="231F20"/>
        </w:rPr>
        <w:t>смањити</w:t>
      </w:r>
      <w:r>
        <w:rPr>
          <w:color w:val="231F20"/>
          <w:spacing w:val="-8"/>
        </w:rPr>
        <w:t> </w:t>
      </w:r>
      <w:r>
        <w:rPr>
          <w:color w:val="231F20"/>
        </w:rPr>
        <w:t>укупну</w:t>
      </w:r>
      <w:r>
        <w:rPr>
          <w:color w:val="231F20"/>
          <w:spacing w:val="-8"/>
        </w:rPr>
        <w:t> </w:t>
      </w:r>
      <w:r>
        <w:rPr>
          <w:color w:val="231F20"/>
        </w:rPr>
        <w:t>потрошњу</w:t>
      </w:r>
      <w:r>
        <w:rPr>
          <w:color w:val="231F20"/>
          <w:spacing w:val="-8"/>
        </w:rPr>
        <w:t> </w:t>
      </w:r>
      <w:r>
        <w:rPr>
          <w:color w:val="231F20"/>
        </w:rPr>
        <w:t>енер- гије за 20%, побољшањем енергетске ефикасности у производњи и потрошњи; повећати учешће обновљивих извора у непосредној потрошњи енергије на 20%; и повећати учешће биогорива у укуп- ној потрошњи бензина и дизела на 10% ( до 2020. године)</w:t>
      </w:r>
      <w:r>
        <w:rPr>
          <w:color w:val="231F20"/>
          <w:spacing w:val="-22"/>
        </w:rPr>
        <w:t> </w:t>
      </w:r>
      <w:r>
        <w:rPr>
          <w:color w:val="231F20"/>
        </w:rPr>
        <w:t>и</w:t>
      </w:r>
    </w:p>
    <w:p>
      <w:pPr>
        <w:pStyle w:val="BodyText"/>
        <w:spacing w:line="232" w:lineRule="auto" w:before="69"/>
        <w:ind w:left="242" w:right="128" w:firstLine="396"/>
      </w:pPr>
      <w:r>
        <w:rPr/>
        <w:br w:type="column"/>
      </w:r>
      <w:r>
        <w:rPr>
          <w:color w:val="231F20"/>
          <w:w w:val="66"/>
        </w:rPr>
        <w:t> </w:t>
      </w:r>
      <w:r>
        <w:rPr>
          <w:color w:val="231F20"/>
        </w:rPr>
        <w:t>– у истом периоду биће предузето систематско увођење по- себних инструмената енергетског менаџмента, у првом реду тзв. енергетског „audit-a” и успостављање и праћење енергетских ин- дикатора: (1) енергетски „audit” („ревизија”) обухвата сакупљање и анализу података и дијагнозу </w:t>
      </w:r>
      <w:r>
        <w:rPr>
          <w:color w:val="231F20"/>
          <w:spacing w:val="-4"/>
        </w:rPr>
        <w:t>стању, </w:t>
      </w:r>
      <w:r>
        <w:rPr>
          <w:color w:val="231F20"/>
        </w:rPr>
        <w:t>и извештавање о њима, као и дефинисање проспекције за следеће радње: сакупљање инфор- мација о коришћењу енергије у производњи и потрошњи; саку- пљање информација о одржавању опреме и инсталација у про- изводњи; дефинисање параметара и успостављање система за њихово трајно праћење у производним процесима; успостављање каталога</w:t>
      </w:r>
      <w:r>
        <w:rPr>
          <w:color w:val="231F20"/>
          <w:spacing w:val="-10"/>
        </w:rPr>
        <w:t> </w:t>
      </w:r>
      <w:r>
        <w:rPr>
          <w:color w:val="231F20"/>
        </w:rPr>
        <w:t>главних</w:t>
      </w:r>
      <w:r>
        <w:rPr>
          <w:color w:val="231F20"/>
          <w:spacing w:val="-10"/>
        </w:rPr>
        <w:t> </w:t>
      </w:r>
      <w:r>
        <w:rPr>
          <w:color w:val="231F20"/>
        </w:rPr>
        <w:t>потрошача</w:t>
      </w:r>
      <w:r>
        <w:rPr>
          <w:color w:val="231F20"/>
          <w:spacing w:val="-10"/>
        </w:rPr>
        <w:t> </w:t>
      </w:r>
      <w:r>
        <w:rPr>
          <w:color w:val="231F20"/>
        </w:rPr>
        <w:t>енергије;</w:t>
      </w:r>
      <w:r>
        <w:rPr>
          <w:color w:val="231F20"/>
          <w:spacing w:val="-10"/>
        </w:rPr>
        <w:t> </w:t>
      </w:r>
      <w:r>
        <w:rPr>
          <w:color w:val="231F20"/>
        </w:rPr>
        <w:t>дефинисање</w:t>
      </w:r>
      <w:r>
        <w:rPr>
          <w:color w:val="231F20"/>
          <w:spacing w:val="-10"/>
        </w:rPr>
        <w:t> </w:t>
      </w:r>
      <w:r>
        <w:rPr>
          <w:color w:val="231F20"/>
        </w:rPr>
        <w:t>„црних</w:t>
      </w:r>
      <w:r>
        <w:rPr>
          <w:color w:val="231F20"/>
          <w:spacing w:val="-10"/>
        </w:rPr>
        <w:t> </w:t>
      </w:r>
      <w:r>
        <w:rPr>
          <w:color w:val="231F20"/>
        </w:rPr>
        <w:t>тачака” („hot spots”), односно места и сегмената </w:t>
      </w:r>
      <w:r>
        <w:rPr>
          <w:color w:val="231F20"/>
          <w:spacing w:val="-4"/>
        </w:rPr>
        <w:t>где </w:t>
      </w:r>
      <w:r>
        <w:rPr>
          <w:color w:val="231F20"/>
        </w:rPr>
        <w:t>су губици </w:t>
      </w:r>
      <w:r>
        <w:rPr>
          <w:color w:val="231F20"/>
          <w:spacing w:val="-3"/>
        </w:rPr>
        <w:t>очиглед- </w:t>
      </w:r>
      <w:r>
        <w:rPr>
          <w:color w:val="231F20"/>
        </w:rPr>
        <w:t>ни; израда прелиминарних и трајних енергетских биланса; успо- стављање система енергетских индикатора, са пратећим системом мерења потрошње енергије; прелиминарно дефинисање система мера за смањење потрошње енергије у привреди и услугама; ис- пробавање система кроз пилот пројекте и подручја; и дефиниса- ње заокруженог система енергетске ефикасности, са дугорочним, средњорочним</w:t>
      </w:r>
      <w:r>
        <w:rPr>
          <w:color w:val="231F20"/>
          <w:spacing w:val="-12"/>
        </w:rPr>
        <w:t> </w:t>
      </w:r>
      <w:r>
        <w:rPr>
          <w:color w:val="231F20"/>
        </w:rPr>
        <w:t>и</w:t>
      </w:r>
      <w:r>
        <w:rPr>
          <w:color w:val="231F20"/>
          <w:spacing w:val="-12"/>
        </w:rPr>
        <w:t> </w:t>
      </w:r>
      <w:r>
        <w:rPr>
          <w:color w:val="231F20"/>
        </w:rPr>
        <w:t>краткорочним</w:t>
      </w:r>
      <w:r>
        <w:rPr>
          <w:color w:val="231F20"/>
          <w:spacing w:val="-12"/>
        </w:rPr>
        <w:t> </w:t>
      </w:r>
      <w:r>
        <w:rPr>
          <w:color w:val="231F20"/>
        </w:rPr>
        <w:t>циљевима</w:t>
      </w:r>
      <w:r>
        <w:rPr>
          <w:color w:val="231F20"/>
          <w:spacing w:val="-12"/>
        </w:rPr>
        <w:t> </w:t>
      </w:r>
      <w:r>
        <w:rPr>
          <w:color w:val="231F20"/>
        </w:rPr>
        <w:t>и</w:t>
      </w:r>
      <w:r>
        <w:rPr>
          <w:color w:val="231F20"/>
          <w:spacing w:val="-12"/>
        </w:rPr>
        <w:t> </w:t>
      </w:r>
      <w:r>
        <w:rPr>
          <w:color w:val="231F20"/>
        </w:rPr>
        <w:t>акционим</w:t>
      </w:r>
      <w:r>
        <w:rPr>
          <w:color w:val="231F20"/>
          <w:spacing w:val="-12"/>
        </w:rPr>
        <w:t> </w:t>
      </w:r>
      <w:r>
        <w:rPr>
          <w:color w:val="231F20"/>
        </w:rPr>
        <w:t>програмима и (2) паралелно успостављање и праћење енергетских индикатора у разним сегментима производње и потрошње</w:t>
      </w:r>
      <w:r>
        <w:rPr>
          <w:color w:val="231F20"/>
          <w:spacing w:val="-11"/>
        </w:rPr>
        <w:t> </w:t>
      </w:r>
      <w:r>
        <w:rPr>
          <w:color w:val="231F20"/>
        </w:rPr>
        <w:t>енергије.</w:t>
      </w:r>
    </w:p>
    <w:p>
      <w:pPr>
        <w:pStyle w:val="BodyText"/>
        <w:spacing w:line="232" w:lineRule="auto"/>
        <w:ind w:left="242" w:right="128" w:firstLine="397"/>
      </w:pPr>
      <w:r>
        <w:rPr>
          <w:color w:val="231F20"/>
        </w:rPr>
        <w:t>Одговарајуће кадровске рационализације, побољшања и</w:t>
      </w:r>
      <w:r>
        <w:rPr>
          <w:color w:val="231F20"/>
          <w:spacing w:val="-32"/>
        </w:rPr>
        <w:t> </w:t>
      </w:r>
      <w:r>
        <w:rPr>
          <w:color w:val="231F20"/>
        </w:rPr>
        <w:t>под- млађивање најстручнијег кадра, као и јачање планско-стратешке функције и одговарајућих служби у дефинисању развоја, треба да помогну „ЕПС”-у да израсте у једног </w:t>
      </w:r>
      <w:r>
        <w:rPr>
          <w:color w:val="231F20"/>
          <w:spacing w:val="-3"/>
        </w:rPr>
        <w:t>од </w:t>
      </w:r>
      <w:r>
        <w:rPr>
          <w:color w:val="231F20"/>
        </w:rPr>
        <w:t>најконкурентнијих „игра- ча” у ширем регионалном окружењу и у највећег извозника у ср- бијанској привреди; развој обновљеног ЕПС-а имао би </w:t>
      </w:r>
      <w:r>
        <w:rPr>
          <w:color w:val="231F20"/>
          <w:spacing w:val="-3"/>
        </w:rPr>
        <w:t>велико </w:t>
      </w:r>
      <w:r>
        <w:rPr>
          <w:color w:val="231F20"/>
        </w:rPr>
        <w:t>ак- целераторско и мултипиликативно дејство на раст и развој већег броја других привредних грана и делатности, а у првом реду ма- шинске, грађевинске и металске</w:t>
      </w:r>
      <w:r>
        <w:rPr>
          <w:color w:val="231F20"/>
          <w:spacing w:val="-4"/>
        </w:rPr>
        <w:t> </w:t>
      </w:r>
      <w:r>
        <w:rPr>
          <w:color w:val="231F20"/>
        </w:rPr>
        <w:t>индустрије.</w:t>
      </w:r>
    </w:p>
    <w:p>
      <w:pPr>
        <w:pStyle w:val="ListParagraph"/>
        <w:numPr>
          <w:ilvl w:val="1"/>
          <w:numId w:val="28"/>
        </w:numPr>
        <w:tabs>
          <w:tab w:pos="873" w:val="left" w:leader="none"/>
        </w:tabs>
        <w:spacing w:line="232" w:lineRule="auto" w:before="168" w:after="0"/>
        <w:ind w:left="2462" w:right="444" w:hanging="1905"/>
        <w:jc w:val="left"/>
        <w:rPr>
          <w:i/>
          <w:sz w:val="18"/>
        </w:rPr>
      </w:pPr>
      <w:r>
        <w:rPr>
          <w:i/>
          <w:color w:val="231F20"/>
          <w:sz w:val="18"/>
        </w:rPr>
        <w:t>Регионални и субрегионални аспекти развоја</w:t>
      </w:r>
      <w:r>
        <w:rPr>
          <w:i/>
          <w:color w:val="231F20"/>
          <w:spacing w:val="-30"/>
          <w:sz w:val="18"/>
        </w:rPr>
        <w:t> </w:t>
      </w:r>
      <w:r>
        <w:rPr>
          <w:i/>
          <w:color w:val="231F20"/>
          <w:sz w:val="18"/>
        </w:rPr>
        <w:t>планског </w:t>
      </w:r>
      <w:r>
        <w:rPr>
          <w:i/>
          <w:color w:val="231F20"/>
          <w:sz w:val="18"/>
        </w:rPr>
        <w:t>подручја</w:t>
      </w:r>
    </w:p>
    <w:p>
      <w:pPr>
        <w:pStyle w:val="BodyText"/>
        <w:spacing w:before="4"/>
        <w:ind w:left="0"/>
        <w:jc w:val="left"/>
        <w:rPr>
          <w:i/>
          <w:sz w:val="17"/>
        </w:rPr>
      </w:pPr>
    </w:p>
    <w:p>
      <w:pPr>
        <w:pStyle w:val="BodyText"/>
        <w:spacing w:line="232" w:lineRule="auto" w:before="1"/>
        <w:ind w:left="241" w:right="129" w:firstLine="397"/>
      </w:pPr>
      <w:r>
        <w:rPr>
          <w:color w:val="231F20"/>
        </w:rPr>
        <w:t>Дугорочно, шире подручје Подунавско-Браничевског развој- ног региона, а у њему и Планско подручје, развијаће се као про- стор </w:t>
      </w:r>
      <w:r>
        <w:rPr>
          <w:color w:val="231F20"/>
          <w:spacing w:val="-3"/>
        </w:rPr>
        <w:t>који  </w:t>
      </w:r>
      <w:r>
        <w:rPr>
          <w:color w:val="231F20"/>
        </w:rPr>
        <w:t>је интегрисан у шири простор </w:t>
      </w:r>
      <w:r>
        <w:rPr>
          <w:color w:val="231F20"/>
          <w:spacing w:val="-3"/>
        </w:rPr>
        <w:t>Републике  </w:t>
      </w:r>
      <w:r>
        <w:rPr>
          <w:color w:val="231F20"/>
        </w:rPr>
        <w:t>Србије, као    и у непосредно и шире регионално и свеевропско окружење, са следећим карактеристикама: друштвена и просторна (регионална) заједница у којој је постигнута равнотежа између </w:t>
      </w:r>
      <w:r>
        <w:rPr>
          <w:color w:val="231F20"/>
          <w:spacing w:val="-3"/>
        </w:rPr>
        <w:t>економске, </w:t>
      </w:r>
      <w:r>
        <w:rPr>
          <w:color w:val="231F20"/>
        </w:rPr>
        <w:t>со- цијалне </w:t>
      </w:r>
      <w:r>
        <w:rPr>
          <w:color w:val="231F20"/>
          <w:spacing w:val="-3"/>
        </w:rPr>
        <w:t>кохезије, </w:t>
      </w:r>
      <w:r>
        <w:rPr>
          <w:color w:val="231F20"/>
        </w:rPr>
        <w:t>а нарочито између </w:t>
      </w:r>
      <w:r>
        <w:rPr>
          <w:color w:val="231F20"/>
          <w:spacing w:val="-3"/>
        </w:rPr>
        <w:t>економског </w:t>
      </w:r>
      <w:r>
        <w:rPr>
          <w:color w:val="231F20"/>
        </w:rPr>
        <w:t>раста, социјалне правичности и заштите животне средине; са повољним параме- трима у </w:t>
      </w:r>
      <w:r>
        <w:rPr>
          <w:color w:val="231F20"/>
          <w:spacing w:val="-3"/>
        </w:rPr>
        <w:t>погледу </w:t>
      </w:r>
      <w:r>
        <w:rPr>
          <w:color w:val="231F20"/>
        </w:rPr>
        <w:t>одрживог развоја, вредности индекса HDI, запо- слености, раширености и дубине сиромаштва и БДП-а; развијена и диверсификована привредна структура; развијено предузетни- штво и друштвено (социјално, еколошки итд.) одговорно корпо- рацијско</w:t>
      </w:r>
      <w:r>
        <w:rPr>
          <w:color w:val="231F20"/>
          <w:spacing w:val="-6"/>
        </w:rPr>
        <w:t> </w:t>
      </w:r>
      <w:r>
        <w:rPr>
          <w:color w:val="231F20"/>
        </w:rPr>
        <w:t>понашање;</w:t>
      </w:r>
      <w:r>
        <w:rPr>
          <w:color w:val="231F20"/>
          <w:spacing w:val="-7"/>
        </w:rPr>
        <w:t> </w:t>
      </w:r>
      <w:r>
        <w:rPr>
          <w:color w:val="231F20"/>
        </w:rPr>
        <w:t>добра</w:t>
      </w:r>
      <w:r>
        <w:rPr>
          <w:color w:val="231F20"/>
          <w:spacing w:val="-6"/>
        </w:rPr>
        <w:t> </w:t>
      </w:r>
      <w:r>
        <w:rPr>
          <w:color w:val="231F20"/>
        </w:rPr>
        <w:t>развијеност</w:t>
      </w:r>
      <w:r>
        <w:rPr>
          <w:color w:val="231F20"/>
          <w:spacing w:val="-6"/>
        </w:rPr>
        <w:t> </w:t>
      </w:r>
      <w:r>
        <w:rPr>
          <w:color w:val="231F20"/>
        </w:rPr>
        <w:t>мреже</w:t>
      </w:r>
      <w:r>
        <w:rPr>
          <w:color w:val="231F20"/>
          <w:spacing w:val="-6"/>
        </w:rPr>
        <w:t> </w:t>
      </w:r>
      <w:r>
        <w:rPr>
          <w:color w:val="231F20"/>
        </w:rPr>
        <w:t>друштвених</w:t>
      </w:r>
      <w:r>
        <w:rPr>
          <w:color w:val="231F20"/>
          <w:spacing w:val="-7"/>
        </w:rPr>
        <w:t> </w:t>
      </w:r>
      <w:r>
        <w:rPr>
          <w:color w:val="231F20"/>
        </w:rPr>
        <w:t>служби (услуга), и повољан просторни размештај објеката; добра изграђе- ност техничке инфраструктуре и њен повољан просторни разме- штај; очувана живoтна средина; ефикасна (локална и регионална) администрација; и богат културни</w:t>
      </w:r>
      <w:r>
        <w:rPr>
          <w:color w:val="231F20"/>
          <w:spacing w:val="-4"/>
        </w:rPr>
        <w:t> живот.</w:t>
      </w:r>
    </w:p>
    <w:p>
      <w:pPr>
        <w:pStyle w:val="BodyText"/>
        <w:spacing w:line="232" w:lineRule="auto"/>
        <w:ind w:left="241" w:right="129" w:firstLine="397"/>
      </w:pPr>
      <w:r>
        <w:rPr>
          <w:color w:val="231F20"/>
        </w:rPr>
        <w:t>Општа развојна оријентација Планског подручја јесте – мак- симизовање његових компаративних предности и минимизовање дејства ограничавајућих развојних и управљачких фактора – са циљем да се ојача његов укупни територијални капитал и </w:t>
      </w:r>
      <w:r>
        <w:rPr>
          <w:color w:val="231F20"/>
          <w:spacing w:val="-3"/>
        </w:rPr>
        <w:t>конку- </w:t>
      </w:r>
      <w:r>
        <w:rPr>
          <w:color w:val="231F20"/>
        </w:rPr>
        <w:t>рентска способност у </w:t>
      </w:r>
      <w:r>
        <w:rPr>
          <w:color w:val="231F20"/>
          <w:spacing w:val="-3"/>
        </w:rPr>
        <w:t>економској, </w:t>
      </w:r>
      <w:r>
        <w:rPr>
          <w:color w:val="231F20"/>
        </w:rPr>
        <w:t>социјалној, културној и другој утакмици,</w:t>
      </w:r>
      <w:r>
        <w:rPr>
          <w:color w:val="231F20"/>
          <w:spacing w:val="-6"/>
        </w:rPr>
        <w:t> </w:t>
      </w:r>
      <w:r>
        <w:rPr>
          <w:color w:val="231F20"/>
        </w:rPr>
        <w:t>с</w:t>
      </w:r>
      <w:r>
        <w:rPr>
          <w:color w:val="231F20"/>
          <w:spacing w:val="-6"/>
        </w:rPr>
        <w:t> </w:t>
      </w:r>
      <w:r>
        <w:rPr>
          <w:color w:val="231F20"/>
        </w:rPr>
        <w:t>једне</w:t>
      </w:r>
      <w:r>
        <w:rPr>
          <w:color w:val="231F20"/>
          <w:spacing w:val="-6"/>
        </w:rPr>
        <w:t> </w:t>
      </w:r>
      <w:r>
        <w:rPr>
          <w:color w:val="231F20"/>
        </w:rPr>
        <w:t>стране,</w:t>
      </w:r>
      <w:r>
        <w:rPr>
          <w:color w:val="231F20"/>
          <w:spacing w:val="-6"/>
        </w:rPr>
        <w:t> </w:t>
      </w:r>
      <w:r>
        <w:rPr>
          <w:color w:val="231F20"/>
        </w:rPr>
        <w:t>и</w:t>
      </w:r>
      <w:r>
        <w:rPr>
          <w:color w:val="231F20"/>
          <w:spacing w:val="-6"/>
        </w:rPr>
        <w:t> </w:t>
      </w:r>
      <w:r>
        <w:rPr>
          <w:color w:val="231F20"/>
        </w:rPr>
        <w:t>да</w:t>
      </w:r>
      <w:r>
        <w:rPr>
          <w:color w:val="231F20"/>
          <w:spacing w:val="-6"/>
        </w:rPr>
        <w:t> </w:t>
      </w:r>
      <w:r>
        <w:rPr>
          <w:color w:val="231F20"/>
        </w:rPr>
        <w:t>се</w:t>
      </w:r>
      <w:r>
        <w:rPr>
          <w:color w:val="231F20"/>
          <w:spacing w:val="-6"/>
        </w:rPr>
        <w:t> </w:t>
      </w:r>
      <w:r>
        <w:rPr>
          <w:color w:val="231F20"/>
        </w:rPr>
        <w:t>напоредо</w:t>
      </w:r>
      <w:r>
        <w:rPr>
          <w:color w:val="231F20"/>
          <w:spacing w:val="-6"/>
        </w:rPr>
        <w:t> </w:t>
      </w:r>
      <w:r>
        <w:rPr>
          <w:color w:val="231F20"/>
        </w:rPr>
        <w:t>прошире</w:t>
      </w:r>
      <w:r>
        <w:rPr>
          <w:color w:val="231F20"/>
          <w:spacing w:val="-6"/>
        </w:rPr>
        <w:t> </w:t>
      </w:r>
      <w:r>
        <w:rPr>
          <w:color w:val="231F20"/>
        </w:rPr>
        <w:t>могућности</w:t>
      </w:r>
      <w:r>
        <w:rPr>
          <w:color w:val="231F20"/>
          <w:spacing w:val="-6"/>
        </w:rPr>
        <w:t> </w:t>
      </w:r>
      <w:r>
        <w:rPr>
          <w:color w:val="231F20"/>
        </w:rPr>
        <w:t>за сарадњу</w:t>
      </w:r>
      <w:r>
        <w:rPr>
          <w:color w:val="231F20"/>
          <w:spacing w:val="-6"/>
        </w:rPr>
        <w:t> </w:t>
      </w:r>
      <w:r>
        <w:rPr>
          <w:color w:val="231F20"/>
        </w:rPr>
        <w:t>са</w:t>
      </w:r>
      <w:r>
        <w:rPr>
          <w:color w:val="231F20"/>
          <w:spacing w:val="-6"/>
        </w:rPr>
        <w:t> </w:t>
      </w:r>
      <w:r>
        <w:rPr>
          <w:color w:val="231F20"/>
        </w:rPr>
        <w:t>разним</w:t>
      </w:r>
      <w:r>
        <w:rPr>
          <w:color w:val="231F20"/>
          <w:spacing w:val="-6"/>
        </w:rPr>
        <w:t> </w:t>
      </w:r>
      <w:r>
        <w:rPr>
          <w:color w:val="231F20"/>
        </w:rPr>
        <w:t>партнерима</w:t>
      </w:r>
      <w:r>
        <w:rPr>
          <w:color w:val="231F20"/>
          <w:spacing w:val="-6"/>
        </w:rPr>
        <w:t> </w:t>
      </w:r>
      <w:r>
        <w:rPr>
          <w:color w:val="231F20"/>
        </w:rPr>
        <w:t>у</w:t>
      </w:r>
      <w:r>
        <w:rPr>
          <w:color w:val="231F20"/>
          <w:spacing w:val="-6"/>
        </w:rPr>
        <w:t> </w:t>
      </w:r>
      <w:r>
        <w:rPr>
          <w:color w:val="231F20"/>
        </w:rPr>
        <w:t>непосредном</w:t>
      </w:r>
      <w:r>
        <w:rPr>
          <w:color w:val="231F20"/>
          <w:spacing w:val="-6"/>
        </w:rPr>
        <w:t> </w:t>
      </w:r>
      <w:r>
        <w:rPr>
          <w:color w:val="231F20"/>
        </w:rPr>
        <w:t>регионалном,</w:t>
      </w:r>
      <w:r>
        <w:rPr>
          <w:color w:val="231F20"/>
          <w:spacing w:val="-6"/>
        </w:rPr>
        <w:t> </w:t>
      </w:r>
      <w:r>
        <w:rPr>
          <w:color w:val="231F20"/>
        </w:rPr>
        <w:t>репу- </w:t>
      </w:r>
      <w:r>
        <w:rPr>
          <w:color w:val="231F20"/>
          <w:spacing w:val="-4"/>
        </w:rPr>
        <w:t>бличком </w:t>
      </w:r>
      <w:r>
        <w:rPr>
          <w:color w:val="231F20"/>
        </w:rPr>
        <w:t>и најширем европском </w:t>
      </w:r>
      <w:r>
        <w:rPr>
          <w:color w:val="231F20"/>
          <w:spacing w:val="-4"/>
        </w:rPr>
        <w:t>окружењу, </w:t>
      </w:r>
      <w:r>
        <w:rPr>
          <w:color w:val="231F20"/>
        </w:rPr>
        <w:t>с</w:t>
      </w:r>
      <w:r>
        <w:rPr>
          <w:color w:val="231F20"/>
          <w:spacing w:val="3"/>
        </w:rPr>
        <w:t> </w:t>
      </w:r>
      <w:r>
        <w:rPr>
          <w:color w:val="231F20"/>
        </w:rPr>
        <w:t>друге.</w:t>
      </w:r>
    </w:p>
    <w:p>
      <w:pPr>
        <w:pStyle w:val="BodyText"/>
        <w:spacing w:line="232" w:lineRule="auto"/>
        <w:ind w:left="241" w:right="129" w:firstLine="396"/>
      </w:pPr>
      <w:r>
        <w:rPr>
          <w:color w:val="231F20"/>
        </w:rPr>
        <w:t>Стратешки</w:t>
      </w:r>
      <w:r>
        <w:rPr>
          <w:color w:val="231F20"/>
          <w:spacing w:val="-8"/>
        </w:rPr>
        <w:t> </w:t>
      </w:r>
      <w:r>
        <w:rPr>
          <w:color w:val="231F20"/>
        </w:rPr>
        <w:t>полазиште</w:t>
      </w:r>
      <w:r>
        <w:rPr>
          <w:color w:val="231F20"/>
          <w:spacing w:val="-8"/>
        </w:rPr>
        <w:t> </w:t>
      </w:r>
      <w:r>
        <w:rPr>
          <w:color w:val="231F20"/>
        </w:rPr>
        <w:t>бр.</w:t>
      </w:r>
      <w:r>
        <w:rPr>
          <w:color w:val="231F20"/>
          <w:spacing w:val="-8"/>
        </w:rPr>
        <w:t> </w:t>
      </w:r>
      <w:r>
        <w:rPr>
          <w:color w:val="231F20"/>
        </w:rPr>
        <w:t>1:</w:t>
      </w:r>
      <w:r>
        <w:rPr>
          <w:color w:val="231F20"/>
          <w:spacing w:val="-8"/>
        </w:rPr>
        <w:t> </w:t>
      </w:r>
      <w:r>
        <w:rPr>
          <w:color w:val="231F20"/>
        </w:rPr>
        <w:t>Развој</w:t>
      </w:r>
      <w:r>
        <w:rPr>
          <w:color w:val="231F20"/>
          <w:spacing w:val="-8"/>
        </w:rPr>
        <w:t> </w:t>
      </w:r>
      <w:r>
        <w:rPr>
          <w:color w:val="231F20"/>
        </w:rPr>
        <w:t>Планског</w:t>
      </w:r>
      <w:r>
        <w:rPr>
          <w:color w:val="231F20"/>
          <w:spacing w:val="-8"/>
        </w:rPr>
        <w:t> </w:t>
      </w:r>
      <w:r>
        <w:rPr>
          <w:color w:val="231F20"/>
        </w:rPr>
        <w:t>подручја</w:t>
      </w:r>
      <w:r>
        <w:rPr>
          <w:color w:val="231F20"/>
          <w:spacing w:val="-8"/>
        </w:rPr>
        <w:t> </w:t>
      </w:r>
      <w:r>
        <w:rPr>
          <w:color w:val="231F20"/>
        </w:rPr>
        <w:t>као</w:t>
      </w:r>
      <w:r>
        <w:rPr>
          <w:color w:val="231F20"/>
          <w:spacing w:val="-8"/>
        </w:rPr>
        <w:t> </w:t>
      </w:r>
      <w:r>
        <w:rPr>
          <w:color w:val="231F20"/>
        </w:rPr>
        <w:t>за- једнице са високим квалитетом животне средине, добром саобра- ћајном</w:t>
      </w:r>
      <w:r>
        <w:rPr>
          <w:color w:val="231F20"/>
          <w:spacing w:val="-8"/>
        </w:rPr>
        <w:t> </w:t>
      </w:r>
      <w:r>
        <w:rPr>
          <w:color w:val="231F20"/>
        </w:rPr>
        <w:t>повезаности</w:t>
      </w:r>
      <w:r>
        <w:rPr>
          <w:color w:val="231F20"/>
          <w:spacing w:val="-8"/>
        </w:rPr>
        <w:t> </w:t>
      </w:r>
      <w:r>
        <w:rPr>
          <w:color w:val="231F20"/>
        </w:rPr>
        <w:t>и</w:t>
      </w:r>
      <w:r>
        <w:rPr>
          <w:color w:val="231F20"/>
          <w:spacing w:val="-8"/>
        </w:rPr>
        <w:t> </w:t>
      </w:r>
      <w:r>
        <w:rPr>
          <w:color w:val="231F20"/>
        </w:rPr>
        <w:t>добром</w:t>
      </w:r>
      <w:r>
        <w:rPr>
          <w:color w:val="231F20"/>
          <w:spacing w:val="-8"/>
        </w:rPr>
        <w:t> </w:t>
      </w:r>
      <w:r>
        <w:rPr>
          <w:color w:val="231F20"/>
        </w:rPr>
        <w:t>комуналном</w:t>
      </w:r>
      <w:r>
        <w:rPr>
          <w:color w:val="231F20"/>
          <w:spacing w:val="-8"/>
        </w:rPr>
        <w:t> </w:t>
      </w:r>
      <w:r>
        <w:rPr>
          <w:color w:val="231F20"/>
        </w:rPr>
        <w:t>опремљеношћу</w:t>
      </w:r>
      <w:r>
        <w:rPr>
          <w:color w:val="231F20"/>
          <w:spacing w:val="-8"/>
        </w:rPr>
        <w:t> </w:t>
      </w:r>
      <w:r>
        <w:rPr>
          <w:color w:val="231F20"/>
        </w:rPr>
        <w:t>насеља, односно:</w:t>
      </w:r>
    </w:p>
    <w:p>
      <w:pPr>
        <w:pStyle w:val="BodyText"/>
        <w:spacing w:line="199" w:lineRule="exact"/>
        <w:ind w:left="638"/>
        <w:jc w:val="left"/>
      </w:pPr>
      <w:r>
        <w:rPr>
          <w:color w:val="231F20"/>
          <w:w w:val="66"/>
        </w:rPr>
        <w:t> </w:t>
      </w:r>
      <w:r>
        <w:rPr>
          <w:color w:val="231F20"/>
        </w:rPr>
        <w:t>– уравнотежен и одржив урбани и регионални развој;</w:t>
      </w:r>
    </w:p>
    <w:p>
      <w:pPr>
        <w:pStyle w:val="BodyText"/>
        <w:spacing w:line="232" w:lineRule="auto"/>
        <w:ind w:left="241" w:right="130" w:firstLine="396"/>
      </w:pPr>
      <w:r>
        <w:rPr>
          <w:color w:val="231F20"/>
          <w:w w:val="66"/>
        </w:rPr>
        <w:t> </w:t>
      </w:r>
      <w:r>
        <w:rPr>
          <w:color w:val="231F20"/>
        </w:rPr>
        <w:t>– одржива експлоатација угља, нафте, гаса и других мине- рални сировина, уз максимизовање позитивних страна и миними- зовање негативних страна;</w:t>
      </w:r>
    </w:p>
    <w:p>
      <w:pPr>
        <w:pStyle w:val="BodyText"/>
        <w:spacing w:line="232" w:lineRule="auto"/>
        <w:ind w:left="241" w:right="129" w:firstLine="396"/>
      </w:pPr>
      <w:r>
        <w:rPr>
          <w:color w:val="231F20"/>
          <w:w w:val="66"/>
        </w:rPr>
        <w:t> </w:t>
      </w:r>
      <w:r>
        <w:rPr>
          <w:color w:val="231F20"/>
        </w:rPr>
        <w:t>– унапређење заштите животне средине (укључујући и ефи- касно управљање отпадом и повећање енергетске ефикасности);</w:t>
      </w:r>
    </w:p>
    <w:p>
      <w:pPr>
        <w:pStyle w:val="BodyText"/>
        <w:spacing w:line="232" w:lineRule="auto"/>
        <w:ind w:left="241" w:right="129" w:firstLine="396"/>
      </w:pPr>
      <w:r>
        <w:rPr>
          <w:color w:val="231F20"/>
          <w:w w:val="66"/>
        </w:rPr>
        <w:t> </w:t>
      </w:r>
      <w:r>
        <w:rPr>
          <w:color w:val="231F20"/>
        </w:rPr>
        <w:t>– оптимално коришћење других природних ресурса,</w:t>
      </w:r>
      <w:r>
        <w:rPr>
          <w:color w:val="231F20"/>
          <w:spacing w:val="-32"/>
        </w:rPr>
        <w:t> </w:t>
      </w:r>
      <w:r>
        <w:rPr>
          <w:color w:val="231F20"/>
        </w:rPr>
        <w:t>природ- не баштине и културног</w:t>
      </w:r>
      <w:r>
        <w:rPr>
          <w:color w:val="231F20"/>
          <w:spacing w:val="-6"/>
        </w:rPr>
        <w:t> </w:t>
      </w:r>
      <w:r>
        <w:rPr>
          <w:color w:val="231F20"/>
        </w:rPr>
        <w:t>наслеђа;</w:t>
      </w:r>
    </w:p>
    <w:p>
      <w:pPr>
        <w:pStyle w:val="BodyText"/>
        <w:spacing w:line="199" w:lineRule="exact"/>
        <w:ind w:left="638"/>
        <w:jc w:val="left"/>
      </w:pPr>
      <w:r>
        <w:rPr>
          <w:color w:val="231F20"/>
          <w:w w:val="66"/>
        </w:rPr>
        <w:t> </w:t>
      </w:r>
      <w:r>
        <w:rPr>
          <w:color w:val="231F20"/>
        </w:rPr>
        <w:t>– развој ИКТ инфраструктуре и</w:t>
      </w:r>
    </w:p>
    <w:p>
      <w:pPr>
        <w:pStyle w:val="BodyText"/>
        <w:spacing w:line="232" w:lineRule="auto" w:before="1"/>
        <w:ind w:left="241" w:right="129" w:firstLine="396"/>
      </w:pPr>
      <w:r>
        <w:rPr>
          <w:color w:val="231F20"/>
          <w:w w:val="66"/>
        </w:rPr>
        <w:t> </w:t>
      </w:r>
      <w:r>
        <w:rPr>
          <w:color w:val="231F20"/>
        </w:rPr>
        <w:t>– приоритетан развој јавног превоза, у оквиру унапређења мреже саобраћајне инфраструктуре.</w:t>
      </w:r>
    </w:p>
    <w:p>
      <w:pPr>
        <w:spacing w:after="0" w:line="232" w:lineRule="auto"/>
        <w:sectPr>
          <w:pgSz w:w="12480" w:h="15690"/>
          <w:pgMar w:top="120" w:bottom="280" w:left="680" w:right="720"/>
          <w:cols w:num="2" w:equalWidth="0">
            <w:col w:w="5557" w:space="40"/>
            <w:col w:w="5483"/>
          </w:cols>
        </w:sectPr>
      </w:pPr>
    </w:p>
    <w:p>
      <w:pPr>
        <w:pStyle w:val="BodyText"/>
        <w:spacing w:before="68"/>
        <w:ind w:right="39" w:firstLine="397"/>
      </w:pPr>
      <w:r>
        <w:rPr>
          <w:color w:val="231F20"/>
        </w:rPr>
        <w:t>Стратешки полазиште бр. 2: Максимално активирање радне снаге, са циљем да се интензивира привредни раст и развој, у пр- вом реду у областима које највише доприносе расту конкурентно- сти Подручја, као и са циљем решавања проблема незапослено- сти, односно:</w:t>
      </w:r>
    </w:p>
    <w:p>
      <w:pPr>
        <w:pStyle w:val="BodyText"/>
        <w:spacing w:before="9"/>
        <w:ind w:right="38" w:firstLine="396"/>
      </w:pPr>
      <w:r>
        <w:rPr>
          <w:color w:val="231F20"/>
          <w:w w:val="66"/>
        </w:rPr>
        <w:t> </w:t>
      </w:r>
      <w:r>
        <w:rPr>
          <w:color w:val="231F20"/>
        </w:rPr>
        <w:t>– успостављање и промовисање финансијске и институцио- налне подршке за развој предузетништва (МСП, пољопривреда, туризам итд.);</w:t>
      </w:r>
    </w:p>
    <w:p>
      <w:pPr>
        <w:pStyle w:val="BodyText"/>
        <w:spacing w:before="5"/>
        <w:ind w:right="38" w:firstLine="396"/>
      </w:pPr>
      <w:r>
        <w:rPr>
          <w:color w:val="231F20"/>
          <w:w w:val="66"/>
        </w:rPr>
        <w:t> </w:t>
      </w:r>
      <w:r>
        <w:rPr>
          <w:color w:val="231F20"/>
        </w:rPr>
        <w:t>– боље повезивање универзитета и привреде, са циљем да се унапреди просторни развој;</w:t>
      </w:r>
    </w:p>
    <w:p>
      <w:pPr>
        <w:pStyle w:val="BodyText"/>
        <w:spacing w:before="4"/>
        <w:ind w:right="38" w:firstLine="396"/>
      </w:pPr>
      <w:r>
        <w:rPr>
          <w:color w:val="231F20"/>
          <w:w w:val="66"/>
        </w:rPr>
        <w:t> </w:t>
      </w:r>
      <w:r>
        <w:rPr>
          <w:color w:val="231F20"/>
        </w:rPr>
        <w:t>– радикалан пораст инвестирања у истраживања и развој на регионалном нивоу и</w:t>
      </w:r>
    </w:p>
    <w:p>
      <w:pPr>
        <w:pStyle w:val="BodyText"/>
        <w:spacing w:before="3"/>
        <w:ind w:left="171" w:right="38" w:firstLine="396"/>
      </w:pPr>
      <w:r>
        <w:rPr>
          <w:color w:val="231F20"/>
          <w:w w:val="66"/>
        </w:rPr>
        <w:t> </w:t>
      </w:r>
      <w:r>
        <w:rPr>
          <w:color w:val="231F20"/>
        </w:rPr>
        <w:t>– промоција предузетништва, програми самозапошљавања и подршка иницијативама.</w:t>
      </w:r>
    </w:p>
    <w:p>
      <w:pPr>
        <w:pStyle w:val="BodyText"/>
        <w:spacing w:before="4"/>
        <w:ind w:left="171" w:right="38" w:firstLine="396"/>
      </w:pPr>
      <w:r>
        <w:rPr>
          <w:color w:val="231F20"/>
        </w:rPr>
        <w:t>Стратешки полазиште бр. 3: Развој Планског подручја као друштвене и просторне заједнице у којој ће сви грађани моћи да искажу и да задовоље своје потребе за припадањем и идентите- том, дружењем и личним развојем, односно:</w:t>
      </w:r>
    </w:p>
    <w:p>
      <w:pPr>
        <w:pStyle w:val="BodyText"/>
        <w:spacing w:before="7"/>
        <w:ind w:left="171" w:right="38" w:firstLine="396"/>
      </w:pPr>
      <w:r>
        <w:rPr>
          <w:color w:val="231F20"/>
          <w:w w:val="66"/>
        </w:rPr>
        <w:t> </w:t>
      </w:r>
      <w:r>
        <w:rPr>
          <w:color w:val="231F20"/>
        </w:rPr>
        <w:t>– отклањање негативних последица досадашњих транзициј- ских прилагођавања;</w:t>
      </w:r>
    </w:p>
    <w:p>
      <w:pPr>
        <w:pStyle w:val="BodyText"/>
        <w:spacing w:before="4"/>
        <w:ind w:left="568"/>
        <w:jc w:val="left"/>
      </w:pPr>
      <w:r>
        <w:rPr>
          <w:color w:val="231F20"/>
          <w:w w:val="66"/>
        </w:rPr>
        <w:t> </w:t>
      </w:r>
      <w:r>
        <w:rPr>
          <w:color w:val="231F20"/>
        </w:rPr>
        <w:t>– </w:t>
      </w:r>
      <w:r>
        <w:rPr>
          <w:color w:val="231F20"/>
          <w:spacing w:val="-3"/>
        </w:rPr>
        <w:t>решавање </w:t>
      </w:r>
      <w:r>
        <w:rPr>
          <w:color w:val="231F20"/>
          <w:spacing w:val="-4"/>
        </w:rPr>
        <w:t>проблема сиромаштва </w:t>
      </w:r>
      <w:r>
        <w:rPr>
          <w:color w:val="231F20"/>
        </w:rPr>
        <w:t>и </w:t>
      </w:r>
      <w:r>
        <w:rPr>
          <w:color w:val="231F20"/>
          <w:spacing w:val="-4"/>
        </w:rPr>
        <w:t>друштвене </w:t>
      </w:r>
      <w:r>
        <w:rPr>
          <w:color w:val="231F20"/>
          <w:spacing w:val="-3"/>
        </w:rPr>
        <w:t>искључености;</w:t>
      </w:r>
    </w:p>
    <w:p>
      <w:pPr>
        <w:pStyle w:val="BodyText"/>
        <w:spacing w:before="2"/>
        <w:ind w:left="171" w:right="38" w:firstLine="396"/>
      </w:pPr>
      <w:r>
        <w:rPr>
          <w:color w:val="231F20"/>
          <w:w w:val="66"/>
        </w:rPr>
        <w:t> </w:t>
      </w:r>
      <w:r>
        <w:rPr>
          <w:color w:val="231F20"/>
        </w:rPr>
        <w:t>– успоравање и, на дужи рок, заустављање негативних демо- графских процеса;</w:t>
      </w:r>
    </w:p>
    <w:p>
      <w:pPr>
        <w:pStyle w:val="BodyText"/>
        <w:spacing w:before="3"/>
        <w:ind w:left="171" w:right="38" w:firstLine="396"/>
      </w:pPr>
      <w:r>
        <w:rPr>
          <w:color w:val="231F20"/>
          <w:w w:val="66"/>
        </w:rPr>
        <w:t> </w:t>
      </w:r>
      <w:r>
        <w:rPr>
          <w:color w:val="231F20"/>
        </w:rPr>
        <w:t>– безбедности и смањења ризика по живот, здравље, имови- ну, социјалну сигурност и становање.</w:t>
      </w:r>
    </w:p>
    <w:p>
      <w:pPr>
        <w:pStyle w:val="BodyText"/>
        <w:spacing w:before="4"/>
        <w:ind w:left="568"/>
        <w:jc w:val="left"/>
      </w:pPr>
      <w:r>
        <w:rPr>
          <w:color w:val="231F20"/>
          <w:w w:val="66"/>
        </w:rPr>
        <w:t> </w:t>
      </w:r>
      <w:r>
        <w:rPr>
          <w:color w:val="231F20"/>
        </w:rPr>
        <w:t>– стварање услова за индивидуални развој и личну афирма-</w:t>
      </w:r>
    </w:p>
    <w:p>
      <w:pPr>
        <w:pStyle w:val="BodyText"/>
        <w:spacing w:line="242" w:lineRule="auto" w:before="68"/>
        <w:ind w:right="410" w:firstLine="1"/>
      </w:pPr>
      <w:r>
        <w:rPr/>
        <w:br w:type="column"/>
      </w:r>
      <w:r>
        <w:rPr>
          <w:color w:val="231F20"/>
        </w:rPr>
        <w:t>има изградња нових мостова, радикално побољшање урбаног транспорта у </w:t>
      </w:r>
      <w:r>
        <w:rPr>
          <w:color w:val="231F20"/>
          <w:spacing w:val="-4"/>
        </w:rPr>
        <w:t>неколико </w:t>
      </w:r>
      <w:r>
        <w:rPr>
          <w:color w:val="231F20"/>
        </w:rPr>
        <w:t>градова приоритетног развоја, набавка реч- не флотиле, изградња бизнис-паркова и других привредних </w:t>
      </w:r>
      <w:r>
        <w:rPr>
          <w:color w:val="231F20"/>
          <w:spacing w:val="-4"/>
        </w:rPr>
        <w:t>ком- </w:t>
      </w:r>
      <w:r>
        <w:rPr>
          <w:color w:val="231F20"/>
        </w:rPr>
        <w:t>плекса (привредних зона, индустријских </w:t>
      </w:r>
      <w:r>
        <w:rPr>
          <w:color w:val="231F20"/>
          <w:spacing w:val="-3"/>
        </w:rPr>
        <w:t>паркова </w:t>
      </w:r>
      <w:r>
        <w:rPr>
          <w:color w:val="231F20"/>
        </w:rPr>
        <w:t>итд.). Већ сада се на </w:t>
      </w:r>
      <w:r>
        <w:rPr>
          <w:color w:val="231F20"/>
          <w:spacing w:val="-3"/>
        </w:rPr>
        <w:t>дунавском </w:t>
      </w:r>
      <w:r>
        <w:rPr>
          <w:color w:val="231F20"/>
        </w:rPr>
        <w:t>правцу остварује </w:t>
      </w:r>
      <w:r>
        <w:rPr>
          <w:color w:val="231F20"/>
          <w:spacing w:val="-4"/>
        </w:rPr>
        <w:t>око </w:t>
      </w:r>
      <w:r>
        <w:rPr>
          <w:color w:val="231F20"/>
        </w:rPr>
        <w:t>8% укупног европског про- мета робе, а са реализацијом нове Дунавске стратегије биће знат- но повећан. Даљем интензивирању допринеће реализација већег броја пројеката, као што је регулисање дела пловног пута између </w:t>
      </w:r>
      <w:r>
        <w:rPr>
          <w:color w:val="231F20"/>
          <w:spacing w:val="-3"/>
        </w:rPr>
        <w:t>Будимпеште </w:t>
      </w:r>
      <w:r>
        <w:rPr>
          <w:color w:val="231F20"/>
        </w:rPr>
        <w:t>и </w:t>
      </w:r>
      <w:r>
        <w:rPr>
          <w:color w:val="231F20"/>
          <w:spacing w:val="-3"/>
        </w:rPr>
        <w:t>Мохача, </w:t>
      </w:r>
      <w:r>
        <w:rPr>
          <w:color w:val="231F20"/>
        </w:rPr>
        <w:t>остваривање потпуне пловности Дунава у Румунији, реализацијом већег броја пројеката </w:t>
      </w:r>
      <w:r>
        <w:rPr>
          <w:color w:val="231F20"/>
          <w:spacing w:val="-3"/>
        </w:rPr>
        <w:t>од </w:t>
      </w:r>
      <w:r>
        <w:rPr>
          <w:color w:val="231F20"/>
        </w:rPr>
        <w:t>Ђердапа до Цр- ног мора. Наведени проблеми, па и они </w:t>
      </w:r>
      <w:r>
        <w:rPr>
          <w:color w:val="231F20"/>
          <w:spacing w:val="-3"/>
        </w:rPr>
        <w:t>који </w:t>
      </w:r>
      <w:r>
        <w:rPr>
          <w:color w:val="231F20"/>
        </w:rPr>
        <w:t>се тичу недостатка средстава за санацију еколошких проблема привредних капаци- тета, или високих трошкова прилагођавања еколошким захтевима и захтевима климатских промена (у складу са одговарајућим ди- рективама Европске уније о трговању емисијама CO2, CCS, IPPC итд.), па и иначе слабе развијености имплементацијских, упра- вљачких и контролних инструмената у реализацији националних и регионалних стратегија, међутим, нису и највећи и најсложени- ји са становишта коришћења територијалног капитала </w:t>
      </w:r>
      <w:r>
        <w:rPr>
          <w:color w:val="231F20"/>
          <w:spacing w:val="-3"/>
        </w:rPr>
        <w:t>Републике </w:t>
      </w:r>
      <w:r>
        <w:rPr>
          <w:color w:val="231F20"/>
        </w:rPr>
        <w:t>Србије. Највећи проблем тиче се отвореног питања (ре)активира- ња</w:t>
      </w:r>
      <w:r>
        <w:rPr>
          <w:color w:val="231F20"/>
          <w:spacing w:val="-6"/>
        </w:rPr>
        <w:t> </w:t>
      </w:r>
      <w:r>
        <w:rPr>
          <w:color w:val="231F20"/>
        </w:rPr>
        <w:t>речних</w:t>
      </w:r>
      <w:r>
        <w:rPr>
          <w:color w:val="231F20"/>
          <w:spacing w:val="-6"/>
        </w:rPr>
        <w:t> </w:t>
      </w:r>
      <w:r>
        <w:rPr>
          <w:color w:val="231F20"/>
        </w:rPr>
        <w:t>лука</w:t>
      </w:r>
      <w:r>
        <w:rPr>
          <w:color w:val="231F20"/>
          <w:spacing w:val="-6"/>
        </w:rPr>
        <w:t> </w:t>
      </w:r>
      <w:r>
        <w:rPr>
          <w:color w:val="231F20"/>
        </w:rPr>
        <w:t>у</w:t>
      </w:r>
      <w:r>
        <w:rPr>
          <w:color w:val="231F20"/>
          <w:spacing w:val="-6"/>
        </w:rPr>
        <w:t> </w:t>
      </w:r>
      <w:r>
        <w:rPr>
          <w:color w:val="231F20"/>
        </w:rPr>
        <w:t>Републици</w:t>
      </w:r>
      <w:r>
        <w:rPr>
          <w:color w:val="231F20"/>
          <w:spacing w:val="-6"/>
        </w:rPr>
        <w:t> </w:t>
      </w:r>
      <w:r>
        <w:rPr>
          <w:color w:val="231F20"/>
        </w:rPr>
        <w:t>Србији,</w:t>
      </w:r>
      <w:r>
        <w:rPr>
          <w:color w:val="231F20"/>
          <w:spacing w:val="-6"/>
        </w:rPr>
        <w:t> </w:t>
      </w:r>
      <w:r>
        <w:rPr>
          <w:color w:val="231F20"/>
          <w:spacing w:val="-3"/>
        </w:rPr>
        <w:t>након</w:t>
      </w:r>
      <w:r>
        <w:rPr>
          <w:color w:val="231F20"/>
          <w:spacing w:val="-6"/>
        </w:rPr>
        <w:t> </w:t>
      </w:r>
      <w:r>
        <w:rPr>
          <w:color w:val="231F20"/>
        </w:rPr>
        <w:t>њихове</w:t>
      </w:r>
      <w:r>
        <w:rPr>
          <w:color w:val="231F20"/>
          <w:spacing w:val="-6"/>
        </w:rPr>
        <w:t> </w:t>
      </w:r>
      <w:r>
        <w:rPr>
          <w:color w:val="231F20"/>
        </w:rPr>
        <w:t>приватизације, а</w:t>
      </w:r>
      <w:r>
        <w:rPr>
          <w:color w:val="231F20"/>
          <w:spacing w:val="-6"/>
        </w:rPr>
        <w:t> </w:t>
      </w:r>
      <w:r>
        <w:rPr>
          <w:color w:val="231F20"/>
        </w:rPr>
        <w:t>нарочито</w:t>
      </w:r>
      <w:r>
        <w:rPr>
          <w:color w:val="231F20"/>
          <w:spacing w:val="-6"/>
        </w:rPr>
        <w:t> </w:t>
      </w:r>
      <w:r>
        <w:rPr>
          <w:color w:val="231F20"/>
          <w:spacing w:val="-3"/>
        </w:rPr>
        <w:t>Луке</w:t>
      </w:r>
      <w:r>
        <w:rPr>
          <w:color w:val="231F20"/>
          <w:spacing w:val="-6"/>
        </w:rPr>
        <w:t> </w:t>
      </w:r>
      <w:r>
        <w:rPr>
          <w:color w:val="231F20"/>
        </w:rPr>
        <w:t>Београд.</w:t>
      </w:r>
      <w:r>
        <w:rPr>
          <w:color w:val="231F20"/>
          <w:spacing w:val="-6"/>
        </w:rPr>
        <w:t> </w:t>
      </w:r>
      <w:r>
        <w:rPr>
          <w:color w:val="231F20"/>
        </w:rPr>
        <w:t>Решавање</w:t>
      </w:r>
      <w:r>
        <w:rPr>
          <w:color w:val="231F20"/>
          <w:spacing w:val="-6"/>
        </w:rPr>
        <w:t> </w:t>
      </w:r>
      <w:r>
        <w:rPr>
          <w:color w:val="231F20"/>
        </w:rPr>
        <w:t>овог</w:t>
      </w:r>
      <w:r>
        <w:rPr>
          <w:color w:val="231F20"/>
          <w:spacing w:val="-6"/>
        </w:rPr>
        <w:t> </w:t>
      </w:r>
      <w:r>
        <w:rPr>
          <w:color w:val="231F20"/>
        </w:rPr>
        <w:t>питања</w:t>
      </w:r>
      <w:r>
        <w:rPr>
          <w:color w:val="231F20"/>
          <w:spacing w:val="-6"/>
        </w:rPr>
        <w:t> </w:t>
      </w:r>
      <w:r>
        <w:rPr>
          <w:color w:val="231F20"/>
        </w:rPr>
        <w:t>имаће,</w:t>
      </w:r>
      <w:r>
        <w:rPr>
          <w:color w:val="231F20"/>
          <w:spacing w:val="-6"/>
        </w:rPr>
        <w:t> </w:t>
      </w:r>
      <w:r>
        <w:rPr>
          <w:color w:val="231F20"/>
        </w:rPr>
        <w:t>индирект- но, и утицаја на коришћење, организацију и уређење простора на подручју града Пожаревца и на ширем регионалном</w:t>
      </w:r>
      <w:r>
        <w:rPr>
          <w:color w:val="231F20"/>
          <w:spacing w:val="-16"/>
        </w:rPr>
        <w:t> </w:t>
      </w:r>
      <w:r>
        <w:rPr>
          <w:color w:val="231F20"/>
          <w:spacing w:val="-3"/>
        </w:rPr>
        <w:t>простору.</w:t>
      </w:r>
    </w:p>
    <w:p>
      <w:pPr>
        <w:pStyle w:val="ListParagraph"/>
        <w:numPr>
          <w:ilvl w:val="1"/>
          <w:numId w:val="28"/>
        </w:numPr>
        <w:tabs>
          <w:tab w:pos="1370" w:val="left" w:leader="none"/>
        </w:tabs>
        <w:spacing w:line="240" w:lineRule="auto" w:before="177" w:after="0"/>
        <w:ind w:left="1369" w:right="0" w:hanging="315"/>
        <w:jc w:val="left"/>
        <w:rPr>
          <w:i/>
          <w:sz w:val="18"/>
        </w:rPr>
      </w:pPr>
      <w:r>
        <w:rPr>
          <w:i/>
          <w:color w:val="231F20"/>
          <w:sz w:val="18"/>
        </w:rPr>
        <w:t>Општа концепција просторног</w:t>
      </w:r>
      <w:r>
        <w:rPr>
          <w:i/>
          <w:color w:val="231F20"/>
          <w:spacing w:val="-2"/>
          <w:sz w:val="18"/>
        </w:rPr>
        <w:t> </w:t>
      </w:r>
      <w:r>
        <w:rPr>
          <w:i/>
          <w:color w:val="231F20"/>
          <w:sz w:val="18"/>
        </w:rPr>
        <w:t>развоја</w:t>
      </w:r>
    </w:p>
    <w:p>
      <w:pPr>
        <w:spacing w:after="0" w:line="240" w:lineRule="auto"/>
        <w:jc w:val="left"/>
        <w:rPr>
          <w:sz w:val="18"/>
        </w:rPr>
        <w:sectPr>
          <w:pgSz w:w="12480" w:h="15690"/>
          <w:pgMar w:top="120" w:bottom="280" w:left="680" w:right="720"/>
          <w:cols w:num="2" w:equalWidth="0">
            <w:col w:w="5314" w:space="72"/>
            <w:col w:w="5694"/>
          </w:cols>
        </w:sectPr>
      </w:pPr>
    </w:p>
    <w:p>
      <w:pPr>
        <w:pStyle w:val="BodyText"/>
        <w:spacing w:before="2"/>
        <w:ind w:left="171"/>
        <w:jc w:val="left"/>
      </w:pPr>
      <w:r>
        <w:rPr>
          <w:color w:val="231F20"/>
          <w:spacing w:val="-1"/>
        </w:rPr>
        <w:t>цију;</w:t>
      </w:r>
    </w:p>
    <w:p>
      <w:pPr>
        <w:pStyle w:val="BodyText"/>
        <w:spacing w:before="4"/>
        <w:ind w:left="0"/>
        <w:jc w:val="left"/>
      </w:pPr>
      <w:r>
        <w:rPr/>
        <w:br w:type="column"/>
      </w:r>
      <w:r>
        <w:rPr/>
      </w:r>
    </w:p>
    <w:p>
      <w:pPr>
        <w:pStyle w:val="BodyText"/>
        <w:ind w:left="-24"/>
        <w:jc w:val="left"/>
      </w:pPr>
      <w:r>
        <w:rPr>
          <w:color w:val="231F20"/>
          <w:w w:val="66"/>
        </w:rPr>
        <w:t> </w:t>
      </w:r>
      <w:r>
        <w:rPr>
          <w:color w:val="231F20"/>
        </w:rPr>
        <w:t>– стварање услова за богат и садржајан друштвени живот и</w:t>
      </w:r>
    </w:p>
    <w:p>
      <w:pPr>
        <w:pStyle w:val="BodyText"/>
        <w:spacing w:line="194" w:lineRule="exact" w:before="2"/>
        <w:ind w:left="-24"/>
        <w:jc w:val="left"/>
      </w:pPr>
      <w:r>
        <w:rPr>
          <w:color w:val="231F20"/>
          <w:w w:val="66"/>
        </w:rPr>
        <w:t> </w:t>
      </w:r>
      <w:r>
        <w:rPr>
          <w:color w:val="231F20"/>
        </w:rPr>
        <w:t>– јачање заједнице кроз укључивање грађана, јачање соли-</w:t>
      </w:r>
    </w:p>
    <w:p>
      <w:pPr>
        <w:pStyle w:val="BodyText"/>
        <w:spacing w:before="3"/>
        <w:ind w:left="0"/>
        <w:jc w:val="left"/>
        <w:rPr>
          <w:sz w:val="16"/>
        </w:rPr>
      </w:pPr>
      <w:r>
        <w:rPr/>
        <w:br w:type="column"/>
      </w:r>
      <w:r>
        <w:rPr>
          <w:sz w:val="16"/>
        </w:rPr>
      </w:r>
    </w:p>
    <w:p>
      <w:pPr>
        <w:pStyle w:val="BodyText"/>
        <w:spacing w:line="242" w:lineRule="auto"/>
        <w:ind w:left="171" w:firstLine="396"/>
        <w:jc w:val="left"/>
      </w:pPr>
      <w:r>
        <w:rPr>
          <w:color w:val="231F20"/>
        </w:rPr>
        <w:t>Основни развојни концепт Планског подручја је ефикасно, организовано и рационално коришћење људских, природних и</w:t>
      </w:r>
    </w:p>
    <w:p>
      <w:pPr>
        <w:spacing w:after="0" w:line="242" w:lineRule="auto"/>
        <w:jc w:val="left"/>
        <w:sectPr>
          <w:type w:val="continuous"/>
          <w:pgSz w:w="12480" w:h="15690"/>
          <w:pgMar w:top="880" w:bottom="280" w:left="680" w:right="720"/>
          <w:cols w:num="3" w:equalWidth="0">
            <w:col w:w="552" w:space="40"/>
            <w:col w:w="4722" w:space="71"/>
            <w:col w:w="5695"/>
          </w:cols>
        </w:sectPr>
      </w:pPr>
    </w:p>
    <w:p>
      <w:pPr>
        <w:pStyle w:val="BodyText"/>
        <w:spacing w:before="15"/>
        <w:ind w:left="171"/>
        <w:jc w:val="left"/>
      </w:pPr>
      <w:r>
        <w:rPr/>
        <w:pict>
          <v:line style="position:absolute;mso-position-horizontal-relative:page;mso-position-vertical-relative:page;z-index:2320" from="304.724396pt,11.942451pt" to="304.724396pt,748.950451pt" stroked="true" strokeweight=".6pt" strokecolor="#231f20">
            <v:stroke dashstyle="solid"/>
            <w10:wrap type="none"/>
          </v:line>
        </w:pict>
      </w:r>
      <w:r>
        <w:rPr>
          <w:color w:val="231F20"/>
        </w:rPr>
        <w:t>дарности и развијање идентитета.</w:t>
      </w:r>
    </w:p>
    <w:p>
      <w:pPr>
        <w:pStyle w:val="BodyText"/>
        <w:spacing w:before="2"/>
        <w:ind w:left="171" w:right="38" w:firstLine="396"/>
      </w:pPr>
      <w:r>
        <w:rPr>
          <w:color w:val="231F20"/>
        </w:rPr>
        <w:t>Стратешки полазиште бр. 4: Управљање просторним разво- јем, односно:</w:t>
      </w:r>
    </w:p>
    <w:p>
      <w:pPr>
        <w:pStyle w:val="BodyText"/>
        <w:spacing w:before="3"/>
        <w:ind w:left="567"/>
        <w:jc w:val="left"/>
      </w:pPr>
      <w:r>
        <w:rPr>
          <w:color w:val="231F20"/>
          <w:w w:val="66"/>
        </w:rPr>
        <w:t> </w:t>
      </w:r>
      <w:r>
        <w:rPr>
          <w:color w:val="231F20"/>
        </w:rPr>
        <w:t>– интеграција институција и сарадња са другим регионима;</w:t>
      </w:r>
    </w:p>
    <w:p>
      <w:pPr>
        <w:pStyle w:val="BodyText"/>
        <w:spacing w:before="2"/>
        <w:ind w:left="171" w:right="38" w:firstLine="396"/>
      </w:pPr>
      <w:r>
        <w:rPr>
          <w:color w:val="231F20"/>
          <w:w w:val="66"/>
        </w:rPr>
        <w:t> </w:t>
      </w:r>
      <w:r>
        <w:rPr>
          <w:color w:val="231F20"/>
        </w:rPr>
        <w:t>–</w:t>
      </w:r>
      <w:r>
        <w:rPr>
          <w:color w:val="231F20"/>
          <w:spacing w:val="-7"/>
        </w:rPr>
        <w:t> </w:t>
      </w:r>
      <w:r>
        <w:rPr>
          <w:color w:val="231F20"/>
        </w:rPr>
        <w:t>радикално</w:t>
      </w:r>
      <w:r>
        <w:rPr>
          <w:color w:val="231F20"/>
          <w:spacing w:val="-7"/>
        </w:rPr>
        <w:t> </w:t>
      </w:r>
      <w:r>
        <w:rPr>
          <w:color w:val="231F20"/>
        </w:rPr>
        <w:t>побољшање</w:t>
      </w:r>
      <w:r>
        <w:rPr>
          <w:color w:val="231F20"/>
          <w:spacing w:val="-7"/>
        </w:rPr>
        <w:t> </w:t>
      </w:r>
      <w:r>
        <w:rPr>
          <w:color w:val="231F20"/>
        </w:rPr>
        <w:t>информатичке</w:t>
      </w:r>
      <w:r>
        <w:rPr>
          <w:color w:val="231F20"/>
          <w:spacing w:val="-7"/>
        </w:rPr>
        <w:t> </w:t>
      </w:r>
      <w:r>
        <w:rPr>
          <w:color w:val="231F20"/>
        </w:rPr>
        <w:t>подршке</w:t>
      </w:r>
      <w:r>
        <w:rPr>
          <w:color w:val="231F20"/>
          <w:spacing w:val="-7"/>
        </w:rPr>
        <w:t> </w:t>
      </w:r>
      <w:r>
        <w:rPr>
          <w:color w:val="231F20"/>
        </w:rPr>
        <w:t>(ГИС,</w:t>
      </w:r>
      <w:r>
        <w:rPr>
          <w:color w:val="231F20"/>
          <w:spacing w:val="-7"/>
        </w:rPr>
        <w:t> </w:t>
      </w:r>
      <w:r>
        <w:rPr>
          <w:color w:val="231F20"/>
        </w:rPr>
        <w:t>ТИС итд.);</w:t>
      </w:r>
    </w:p>
    <w:p>
      <w:pPr>
        <w:pStyle w:val="BodyText"/>
        <w:spacing w:before="4"/>
        <w:ind w:left="567"/>
        <w:jc w:val="left"/>
      </w:pPr>
      <w:r>
        <w:rPr>
          <w:color w:val="231F20"/>
          <w:w w:val="66"/>
        </w:rPr>
        <w:t> </w:t>
      </w:r>
      <w:r>
        <w:rPr>
          <w:color w:val="231F20"/>
        </w:rPr>
        <w:t>– реформа јавног сектора;</w:t>
      </w:r>
    </w:p>
    <w:p>
      <w:pPr>
        <w:pStyle w:val="BodyText"/>
        <w:spacing w:before="1"/>
        <w:ind w:left="171" w:right="38" w:firstLine="396"/>
      </w:pPr>
      <w:r>
        <w:rPr>
          <w:color w:val="231F20"/>
          <w:w w:val="66"/>
        </w:rPr>
        <w:t> </w:t>
      </w:r>
      <w:r>
        <w:rPr>
          <w:color w:val="231F20"/>
        </w:rPr>
        <w:t>– реформа локалне самоуправе, јавних служби и</w:t>
      </w:r>
      <w:r>
        <w:rPr>
          <w:color w:val="231F20"/>
          <w:spacing w:val="-29"/>
        </w:rPr>
        <w:t> </w:t>
      </w:r>
      <w:r>
        <w:rPr>
          <w:color w:val="231F20"/>
        </w:rPr>
        <w:t>привредних институција, и боља координација њиховог</w:t>
      </w:r>
      <w:r>
        <w:rPr>
          <w:color w:val="231F20"/>
          <w:spacing w:val="-8"/>
        </w:rPr>
        <w:t> </w:t>
      </w:r>
      <w:r>
        <w:rPr>
          <w:color w:val="231F20"/>
        </w:rPr>
        <w:t>рада;</w:t>
      </w:r>
    </w:p>
    <w:p>
      <w:pPr>
        <w:pStyle w:val="BodyText"/>
        <w:spacing w:before="4"/>
        <w:ind w:left="568"/>
        <w:jc w:val="left"/>
      </w:pPr>
      <w:r>
        <w:rPr>
          <w:color w:val="231F20"/>
          <w:w w:val="66"/>
        </w:rPr>
        <w:t> </w:t>
      </w:r>
      <w:r>
        <w:rPr>
          <w:color w:val="231F20"/>
        </w:rPr>
        <w:t>– унапређење рада општинских јавних служби;</w:t>
      </w:r>
    </w:p>
    <w:p>
      <w:pPr>
        <w:pStyle w:val="BodyText"/>
        <w:spacing w:before="2"/>
        <w:ind w:left="171" w:right="38" w:firstLine="396"/>
      </w:pPr>
      <w:r>
        <w:rPr>
          <w:color w:val="231F20"/>
          <w:w w:val="66"/>
        </w:rPr>
        <w:t> </w:t>
      </w:r>
      <w:r>
        <w:rPr>
          <w:color w:val="231F20"/>
        </w:rPr>
        <w:t>–</w:t>
      </w:r>
      <w:r>
        <w:rPr>
          <w:color w:val="231F20"/>
          <w:spacing w:val="-12"/>
        </w:rPr>
        <w:t> </w:t>
      </w:r>
      <w:r>
        <w:rPr>
          <w:color w:val="231F20"/>
        </w:rPr>
        <w:t>реформа</w:t>
      </w:r>
      <w:r>
        <w:rPr>
          <w:color w:val="231F20"/>
          <w:spacing w:val="-12"/>
        </w:rPr>
        <w:t> </w:t>
      </w:r>
      <w:r>
        <w:rPr>
          <w:color w:val="231F20"/>
        </w:rPr>
        <w:t>система</w:t>
      </w:r>
      <w:r>
        <w:rPr>
          <w:color w:val="231F20"/>
          <w:spacing w:val="-12"/>
        </w:rPr>
        <w:t> </w:t>
      </w:r>
      <w:r>
        <w:rPr>
          <w:color w:val="231F20"/>
        </w:rPr>
        <w:t>локалне</w:t>
      </w:r>
      <w:r>
        <w:rPr>
          <w:color w:val="231F20"/>
          <w:spacing w:val="-12"/>
        </w:rPr>
        <w:t> </w:t>
      </w:r>
      <w:r>
        <w:rPr>
          <w:color w:val="231F20"/>
        </w:rPr>
        <w:t>самоуправе</w:t>
      </w:r>
      <w:r>
        <w:rPr>
          <w:color w:val="231F20"/>
          <w:spacing w:val="-12"/>
        </w:rPr>
        <w:t> </w:t>
      </w:r>
      <w:r>
        <w:rPr>
          <w:color w:val="231F20"/>
        </w:rPr>
        <w:t>и</w:t>
      </w:r>
      <w:r>
        <w:rPr>
          <w:color w:val="231F20"/>
          <w:spacing w:val="-12"/>
        </w:rPr>
        <w:t> </w:t>
      </w:r>
      <w:r>
        <w:rPr>
          <w:color w:val="231F20"/>
        </w:rPr>
        <w:t>јачање</w:t>
      </w:r>
      <w:r>
        <w:rPr>
          <w:color w:val="231F20"/>
          <w:spacing w:val="-12"/>
        </w:rPr>
        <w:t> </w:t>
      </w:r>
      <w:r>
        <w:rPr>
          <w:color w:val="231F20"/>
        </w:rPr>
        <w:t>институцио- налне</w:t>
      </w:r>
      <w:r>
        <w:rPr>
          <w:color w:val="231F20"/>
          <w:spacing w:val="-1"/>
        </w:rPr>
        <w:t> </w:t>
      </w:r>
      <w:r>
        <w:rPr>
          <w:color w:val="231F20"/>
        </w:rPr>
        <w:t>оспособљености;</w:t>
      </w:r>
    </w:p>
    <w:p>
      <w:pPr>
        <w:pStyle w:val="BodyText"/>
        <w:spacing w:before="4"/>
        <w:ind w:left="171" w:right="38" w:firstLine="396"/>
      </w:pPr>
      <w:r>
        <w:rPr>
          <w:color w:val="231F20"/>
          <w:w w:val="66"/>
        </w:rPr>
        <w:t> </w:t>
      </w:r>
      <w:r>
        <w:rPr>
          <w:color w:val="231F20"/>
        </w:rPr>
        <w:t>– израда концепта обнове стратешког мишљења, истражива- ња и управљања;</w:t>
      </w:r>
    </w:p>
    <w:p>
      <w:pPr>
        <w:pStyle w:val="BodyText"/>
        <w:spacing w:before="3"/>
        <w:ind w:left="171" w:right="38" w:firstLine="396"/>
      </w:pPr>
      <w:r>
        <w:rPr>
          <w:color w:val="231F20"/>
          <w:w w:val="66"/>
        </w:rPr>
        <w:t> </w:t>
      </w:r>
      <w:r>
        <w:rPr>
          <w:color w:val="231F20"/>
        </w:rPr>
        <w:t>– израда модела оптималног управљања развојем Планског подручја и</w:t>
      </w:r>
    </w:p>
    <w:p>
      <w:pPr>
        <w:pStyle w:val="BodyText"/>
        <w:spacing w:before="4"/>
        <w:ind w:left="171" w:right="38" w:firstLine="396"/>
      </w:pPr>
      <w:r>
        <w:rPr>
          <w:color w:val="231F20"/>
          <w:w w:val="66"/>
        </w:rPr>
        <w:t> </w:t>
      </w:r>
      <w:r>
        <w:rPr>
          <w:color w:val="231F20"/>
        </w:rPr>
        <w:t>– дефинисање институционалних и организационих аран- жмана за сарадњу са актерима на супра-регионалном и суб-реги- оналном нивоу.</w:t>
      </w:r>
    </w:p>
    <w:p>
      <w:pPr>
        <w:pStyle w:val="BodyText"/>
        <w:spacing w:before="5"/>
        <w:ind w:left="171" w:right="38" w:firstLine="397"/>
      </w:pPr>
      <w:r>
        <w:rPr>
          <w:color w:val="231F20"/>
        </w:rPr>
        <w:t>Спровођење намера Европске уније о интензивирању речног саобраћаја Дунавом према Констанци имаће многе екстерне</w:t>
      </w:r>
      <w:r>
        <w:rPr>
          <w:color w:val="231F20"/>
          <w:spacing w:val="-26"/>
        </w:rPr>
        <w:t> </w:t>
      </w:r>
      <w:r>
        <w:rPr>
          <w:color w:val="231F20"/>
        </w:rPr>
        <w:t>ефек- те, </w:t>
      </w:r>
      <w:r>
        <w:rPr>
          <w:color w:val="231F20"/>
          <w:spacing w:val="-3"/>
        </w:rPr>
        <w:t>иако </w:t>
      </w:r>
      <w:r>
        <w:rPr>
          <w:color w:val="231F20"/>
        </w:rPr>
        <w:t>је још увек отворено питање </w:t>
      </w:r>
      <w:r>
        <w:rPr>
          <w:color w:val="231F20"/>
          <w:spacing w:val="-5"/>
        </w:rPr>
        <w:t>колико </w:t>
      </w:r>
      <w:r>
        <w:rPr>
          <w:color w:val="231F20"/>
        </w:rPr>
        <w:t>ће тај саобраћај бити интензивиран. Ефекти, позитивни и негативни, биће различити у разним деловима ширег дунавског појаса, али ће их у свим случа- јевима бити неопходно целовито контролисати, кроз међусектор- </w:t>
      </w:r>
      <w:r>
        <w:rPr>
          <w:color w:val="231F20"/>
          <w:spacing w:val="-4"/>
        </w:rPr>
        <w:t>ско</w:t>
      </w:r>
      <w:r>
        <w:rPr>
          <w:color w:val="231F20"/>
          <w:spacing w:val="-6"/>
        </w:rPr>
        <w:t> </w:t>
      </w:r>
      <w:r>
        <w:rPr>
          <w:color w:val="231F20"/>
        </w:rPr>
        <w:t>усклађивање.</w:t>
      </w:r>
      <w:r>
        <w:rPr>
          <w:color w:val="231F20"/>
          <w:spacing w:val="-6"/>
        </w:rPr>
        <w:t> </w:t>
      </w:r>
      <w:r>
        <w:rPr>
          <w:color w:val="231F20"/>
        </w:rPr>
        <w:t>За</w:t>
      </w:r>
      <w:r>
        <w:rPr>
          <w:color w:val="231F20"/>
          <w:spacing w:val="-6"/>
        </w:rPr>
        <w:t> </w:t>
      </w:r>
      <w:r>
        <w:rPr>
          <w:color w:val="231F20"/>
        </w:rPr>
        <w:t>те</w:t>
      </w:r>
      <w:r>
        <w:rPr>
          <w:color w:val="231F20"/>
          <w:spacing w:val="-6"/>
        </w:rPr>
        <w:t> </w:t>
      </w:r>
      <w:r>
        <w:rPr>
          <w:color w:val="231F20"/>
        </w:rPr>
        <w:t>потребе,</w:t>
      </w:r>
      <w:r>
        <w:rPr>
          <w:color w:val="231F20"/>
          <w:spacing w:val="-6"/>
        </w:rPr>
        <w:t> </w:t>
      </w:r>
      <w:r>
        <w:rPr>
          <w:color w:val="231F20"/>
        </w:rPr>
        <w:t>императив</w:t>
      </w:r>
      <w:r>
        <w:rPr>
          <w:color w:val="231F20"/>
          <w:spacing w:val="-6"/>
        </w:rPr>
        <w:t> </w:t>
      </w:r>
      <w:r>
        <w:rPr>
          <w:color w:val="231F20"/>
        </w:rPr>
        <w:t>је</w:t>
      </w:r>
      <w:r>
        <w:rPr>
          <w:color w:val="231F20"/>
          <w:spacing w:val="-6"/>
        </w:rPr>
        <w:t> </w:t>
      </w:r>
      <w:r>
        <w:rPr>
          <w:color w:val="231F20"/>
        </w:rPr>
        <w:t>да</w:t>
      </w:r>
      <w:r>
        <w:rPr>
          <w:color w:val="231F20"/>
          <w:spacing w:val="-6"/>
        </w:rPr>
        <w:t> </w:t>
      </w:r>
      <w:r>
        <w:rPr>
          <w:color w:val="231F20"/>
        </w:rPr>
        <w:t>се</w:t>
      </w:r>
      <w:r>
        <w:rPr>
          <w:color w:val="231F20"/>
          <w:spacing w:val="-6"/>
        </w:rPr>
        <w:t> </w:t>
      </w:r>
      <w:r>
        <w:rPr>
          <w:color w:val="231F20"/>
        </w:rPr>
        <w:t>изграде</w:t>
      </w:r>
      <w:r>
        <w:rPr>
          <w:color w:val="231F20"/>
          <w:spacing w:val="-6"/>
        </w:rPr>
        <w:t> </w:t>
      </w:r>
      <w:r>
        <w:rPr>
          <w:color w:val="231F20"/>
        </w:rPr>
        <w:t>одгова- рајући</w:t>
      </w:r>
      <w:r>
        <w:rPr>
          <w:color w:val="231F20"/>
          <w:spacing w:val="-12"/>
        </w:rPr>
        <w:t> </w:t>
      </w:r>
      <w:r>
        <w:rPr>
          <w:color w:val="231F20"/>
        </w:rPr>
        <w:t>институционално-организациони</w:t>
      </w:r>
      <w:r>
        <w:rPr>
          <w:color w:val="231F20"/>
          <w:spacing w:val="-11"/>
        </w:rPr>
        <w:t> </w:t>
      </w:r>
      <w:r>
        <w:rPr>
          <w:color w:val="231F20"/>
        </w:rPr>
        <w:t>аранжмани</w:t>
      </w:r>
      <w:r>
        <w:rPr>
          <w:color w:val="231F20"/>
          <w:spacing w:val="-11"/>
        </w:rPr>
        <w:t> </w:t>
      </w:r>
      <w:r>
        <w:rPr>
          <w:color w:val="231F20"/>
        </w:rPr>
        <w:t>за</w:t>
      </w:r>
      <w:r>
        <w:rPr>
          <w:color w:val="231F20"/>
          <w:spacing w:val="-12"/>
        </w:rPr>
        <w:t> </w:t>
      </w:r>
      <w:r>
        <w:rPr>
          <w:color w:val="231F20"/>
        </w:rPr>
        <w:t>интегрално управљања Планским подручјем, односно, да се изврше одговара- јућа прилагођавања у постојећим. Осим регионалне компоненте у ужем </w:t>
      </w:r>
      <w:r>
        <w:rPr>
          <w:color w:val="231F20"/>
          <w:spacing w:val="-3"/>
        </w:rPr>
        <w:t>смислу, </w:t>
      </w:r>
      <w:r>
        <w:rPr>
          <w:color w:val="231F20"/>
        </w:rPr>
        <w:t>они треба да садржи и посебне аранжмане за шире регионално подручје (подунавско-браничевски развојни регион), с једна стране, и посебне аранжмане за град Пожаревац, с</w:t>
      </w:r>
      <w:r>
        <w:rPr>
          <w:color w:val="231F20"/>
          <w:spacing w:val="-24"/>
        </w:rPr>
        <w:t> </w:t>
      </w:r>
      <w:r>
        <w:rPr>
          <w:color w:val="231F20"/>
        </w:rPr>
        <w:t>друге.</w:t>
      </w:r>
    </w:p>
    <w:p>
      <w:pPr>
        <w:pStyle w:val="BodyText"/>
        <w:spacing w:before="24"/>
        <w:ind w:left="171" w:right="38" w:firstLine="396"/>
      </w:pPr>
      <w:r>
        <w:rPr>
          <w:color w:val="231F20"/>
        </w:rPr>
        <w:t>У Србији је видно настојање да се национални циљеви у</w:t>
      </w:r>
      <w:r>
        <w:rPr>
          <w:color w:val="231F20"/>
          <w:spacing w:val="-28"/>
        </w:rPr>
        <w:t> </w:t>
      </w:r>
      <w:r>
        <w:rPr>
          <w:color w:val="231F20"/>
        </w:rPr>
        <w:t>овој области ускладе са европским стратешким опредељењима, и да  се при </w:t>
      </w:r>
      <w:r>
        <w:rPr>
          <w:color w:val="231F20"/>
          <w:spacing w:val="-3"/>
        </w:rPr>
        <w:t>том </w:t>
      </w:r>
      <w:r>
        <w:rPr>
          <w:color w:val="231F20"/>
        </w:rPr>
        <w:t>у први план ставе национални приоритети, поготово што је Дунав у Србији потенцијално најквалитетнији за </w:t>
      </w:r>
      <w:r>
        <w:rPr>
          <w:color w:val="231F20"/>
          <w:spacing w:val="-4"/>
        </w:rPr>
        <w:t>пловидбу. </w:t>
      </w:r>
      <w:r>
        <w:rPr>
          <w:color w:val="231F20"/>
        </w:rPr>
        <w:t>Влада Србије предвидела је реализацију великог броја пројеката</w:t>
      </w:r>
      <w:r>
        <w:rPr>
          <w:color w:val="231F20"/>
          <w:spacing w:val="-25"/>
        </w:rPr>
        <w:t> </w:t>
      </w:r>
      <w:r>
        <w:rPr>
          <w:color w:val="231F20"/>
        </w:rPr>
        <w:t>у сливу Дунава, у 24 општине кроз </w:t>
      </w:r>
      <w:r>
        <w:rPr>
          <w:color w:val="231F20"/>
          <w:spacing w:val="-3"/>
        </w:rPr>
        <w:t>које </w:t>
      </w:r>
      <w:r>
        <w:rPr>
          <w:color w:val="231F20"/>
        </w:rPr>
        <w:t>протиче Дунав, и још у 80 других </w:t>
      </w:r>
      <w:r>
        <w:rPr>
          <w:color w:val="231F20"/>
          <w:spacing w:val="-3"/>
        </w:rPr>
        <w:t>које </w:t>
      </w:r>
      <w:r>
        <w:rPr>
          <w:color w:val="231F20"/>
        </w:rPr>
        <w:t>се налазе у сливовима Саве, Тисе, Тимока и Мораве. Развој дунавске пловидбе кроз </w:t>
      </w:r>
      <w:r>
        <w:rPr>
          <w:color w:val="231F20"/>
          <w:spacing w:val="-3"/>
        </w:rPr>
        <w:t>Србију, </w:t>
      </w:r>
      <w:r>
        <w:rPr>
          <w:color w:val="231F20"/>
        </w:rPr>
        <w:t>међутим, није могућан без чишћења (од речних бомби, олупина и др.) и другог оспособљава- ња Дунава за интензивнији саобраћај. Поред</w:t>
      </w:r>
      <w:r>
        <w:rPr>
          <w:color w:val="231F20"/>
          <w:spacing w:val="-33"/>
        </w:rPr>
        <w:t> </w:t>
      </w:r>
      <w:r>
        <w:rPr>
          <w:color w:val="231F20"/>
          <w:spacing w:val="-3"/>
        </w:rPr>
        <w:t>наведеног, </w:t>
      </w:r>
      <w:r>
        <w:rPr>
          <w:color w:val="231F20"/>
        </w:rPr>
        <w:t>приоритет</w:t>
      </w:r>
    </w:p>
    <w:p>
      <w:pPr>
        <w:pStyle w:val="BodyText"/>
        <w:spacing w:line="242" w:lineRule="auto"/>
        <w:ind w:left="171" w:right="410"/>
      </w:pPr>
      <w:r>
        <w:rPr/>
        <w:br w:type="column"/>
      </w:r>
      <w:r>
        <w:rPr>
          <w:color w:val="231F20"/>
        </w:rPr>
        <w:t>изграђених потенцијала, у социоекономском, просторном и </w:t>
      </w:r>
      <w:r>
        <w:rPr>
          <w:color w:val="231F20"/>
          <w:spacing w:val="-3"/>
        </w:rPr>
        <w:t>еко- лошком </w:t>
      </w:r>
      <w:r>
        <w:rPr>
          <w:color w:val="231F20"/>
          <w:spacing w:val="-5"/>
        </w:rPr>
        <w:t>погледу. </w:t>
      </w:r>
      <w:r>
        <w:rPr>
          <w:color w:val="231F20"/>
        </w:rPr>
        <w:t>Од привредних делатности, и надаље највећи значај имаће рударство и енергетика, као носеће области досада- шњег и </w:t>
      </w:r>
      <w:r>
        <w:rPr>
          <w:color w:val="231F20"/>
          <w:spacing w:val="-3"/>
        </w:rPr>
        <w:t>будућег </w:t>
      </w:r>
      <w:r>
        <w:rPr>
          <w:color w:val="231F20"/>
        </w:rPr>
        <w:t>развоја Планског подручја. Од велике важности, нарочито у реконструкцији постојећих капацитета за производњу електричне енергије и планирању развоја нових погона, имаће за- штита животне средине и рекултивација земљишта деградираног експлоатацијом лигнита, и тај значај биће у </w:t>
      </w:r>
      <w:r>
        <w:rPr>
          <w:color w:val="231F20"/>
          <w:spacing w:val="-3"/>
        </w:rPr>
        <w:t>порасту. </w:t>
      </w:r>
      <w:r>
        <w:rPr>
          <w:color w:val="231F20"/>
        </w:rPr>
        <w:t>Структурно прилагођавање Планског подручја, </w:t>
      </w:r>
      <w:r>
        <w:rPr>
          <w:color w:val="231F20"/>
          <w:spacing w:val="-3"/>
        </w:rPr>
        <w:t>које  </w:t>
      </w:r>
      <w:r>
        <w:rPr>
          <w:color w:val="231F20"/>
        </w:rPr>
        <w:t>подразумева  дисперзи- ју економских активности (нарочито у терцијарним делатности- ма) и развој малих и средњих предузећа, такође је </w:t>
      </w:r>
      <w:r>
        <w:rPr>
          <w:color w:val="231F20"/>
          <w:spacing w:val="-3"/>
        </w:rPr>
        <w:t>од </w:t>
      </w:r>
      <w:r>
        <w:rPr>
          <w:color w:val="231F20"/>
        </w:rPr>
        <w:t>велике ва- жности. Хоризонтална и вертикална диверзификација привредне структуре је </w:t>
      </w:r>
      <w:r>
        <w:rPr>
          <w:color w:val="231F20"/>
          <w:spacing w:val="-3"/>
        </w:rPr>
        <w:t>од </w:t>
      </w:r>
      <w:r>
        <w:rPr>
          <w:color w:val="231F20"/>
        </w:rPr>
        <w:t>одлучујуће важности за успостављање просторно уравнотеженијег раста и распореда становништва и привредних и непривредних активности, и за повишавање привлачности План- </w:t>
      </w:r>
      <w:r>
        <w:rPr>
          <w:color w:val="231F20"/>
          <w:spacing w:val="-3"/>
        </w:rPr>
        <w:t>ског </w:t>
      </w:r>
      <w:r>
        <w:rPr>
          <w:color w:val="231F20"/>
        </w:rPr>
        <w:t>подручја за лоцирање нових програма и пројеката у делатно- стима изван основне (односно ископавања и прераде угља). Ова- ква</w:t>
      </w:r>
      <w:r>
        <w:rPr>
          <w:color w:val="231F20"/>
          <w:spacing w:val="-7"/>
        </w:rPr>
        <w:t> </w:t>
      </w:r>
      <w:r>
        <w:rPr>
          <w:color w:val="231F20"/>
        </w:rPr>
        <w:t>планска</w:t>
      </w:r>
      <w:r>
        <w:rPr>
          <w:color w:val="231F20"/>
          <w:spacing w:val="-7"/>
        </w:rPr>
        <w:t> </w:t>
      </w:r>
      <w:r>
        <w:rPr>
          <w:color w:val="231F20"/>
        </w:rPr>
        <w:t>опредељења</w:t>
      </w:r>
      <w:r>
        <w:rPr>
          <w:color w:val="231F20"/>
          <w:spacing w:val="-7"/>
        </w:rPr>
        <w:t> </w:t>
      </w:r>
      <w:r>
        <w:rPr>
          <w:color w:val="231F20"/>
        </w:rPr>
        <w:t>полазе</w:t>
      </w:r>
      <w:r>
        <w:rPr>
          <w:color w:val="231F20"/>
          <w:spacing w:val="-7"/>
        </w:rPr>
        <w:t> </w:t>
      </w:r>
      <w:r>
        <w:rPr>
          <w:color w:val="231F20"/>
          <w:spacing w:val="-3"/>
        </w:rPr>
        <w:t>од</w:t>
      </w:r>
      <w:r>
        <w:rPr>
          <w:color w:val="231F20"/>
          <w:spacing w:val="-7"/>
        </w:rPr>
        <w:t> </w:t>
      </w:r>
      <w:r>
        <w:rPr>
          <w:color w:val="231F20"/>
        </w:rPr>
        <w:t>стратешке</w:t>
      </w:r>
      <w:r>
        <w:rPr>
          <w:color w:val="231F20"/>
          <w:spacing w:val="-7"/>
        </w:rPr>
        <w:t> </w:t>
      </w:r>
      <w:r>
        <w:rPr>
          <w:color w:val="231F20"/>
        </w:rPr>
        <w:t>оријентације</w:t>
      </w:r>
      <w:r>
        <w:rPr>
          <w:color w:val="231F20"/>
          <w:spacing w:val="-7"/>
        </w:rPr>
        <w:t> </w:t>
      </w:r>
      <w:r>
        <w:rPr>
          <w:color w:val="231F20"/>
        </w:rPr>
        <w:t>развоја </w:t>
      </w:r>
      <w:r>
        <w:rPr>
          <w:color w:val="231F20"/>
          <w:spacing w:val="-3"/>
        </w:rPr>
        <w:t>Републике </w:t>
      </w:r>
      <w:r>
        <w:rPr>
          <w:color w:val="231F20"/>
        </w:rPr>
        <w:t>Србије на: 1) транзицију домаће привреде, </w:t>
      </w:r>
      <w:r>
        <w:rPr>
          <w:color w:val="231F20"/>
          <w:spacing w:val="-3"/>
        </w:rPr>
        <w:t>која </w:t>
      </w:r>
      <w:r>
        <w:rPr>
          <w:color w:val="231F20"/>
        </w:rPr>
        <w:t>подра- зумева њено тржишно реформисање, </w:t>
      </w:r>
      <w:r>
        <w:rPr>
          <w:color w:val="231F20"/>
          <w:spacing w:val="-4"/>
        </w:rPr>
        <w:t>где </w:t>
      </w:r>
      <w:r>
        <w:rPr>
          <w:color w:val="231F20"/>
        </w:rPr>
        <w:t>је приватизација процес </w:t>
      </w:r>
      <w:r>
        <w:rPr>
          <w:color w:val="231F20"/>
          <w:spacing w:val="-3"/>
        </w:rPr>
        <w:t>од </w:t>
      </w:r>
      <w:r>
        <w:rPr>
          <w:color w:val="231F20"/>
        </w:rPr>
        <w:t>кључног значаја; 2) структурно прилагођавање привреде, са те- жњом ка бржем развоју терцијарних делатности и растом значаја малих и средњих предузећа у привредној структури; и 3) отвара- ње према свету и укључивање у међународне </w:t>
      </w:r>
      <w:r>
        <w:rPr>
          <w:color w:val="231F20"/>
          <w:spacing w:val="-3"/>
        </w:rPr>
        <w:t>економске токове, </w:t>
      </w:r>
      <w:r>
        <w:rPr>
          <w:color w:val="231F20"/>
        </w:rPr>
        <w:t>уз битно</w:t>
      </w:r>
      <w:r>
        <w:rPr>
          <w:color w:val="231F20"/>
          <w:spacing w:val="-7"/>
        </w:rPr>
        <w:t> </w:t>
      </w:r>
      <w:r>
        <w:rPr>
          <w:color w:val="231F20"/>
        </w:rPr>
        <w:t>повећање</w:t>
      </w:r>
      <w:r>
        <w:rPr>
          <w:color w:val="231F20"/>
          <w:spacing w:val="-7"/>
        </w:rPr>
        <w:t> </w:t>
      </w:r>
      <w:r>
        <w:rPr>
          <w:color w:val="231F20"/>
        </w:rPr>
        <w:t>учешћа</w:t>
      </w:r>
      <w:r>
        <w:rPr>
          <w:color w:val="231F20"/>
          <w:spacing w:val="-7"/>
        </w:rPr>
        <w:t> </w:t>
      </w:r>
      <w:r>
        <w:rPr>
          <w:color w:val="231F20"/>
        </w:rPr>
        <w:t>спољнотрговинске</w:t>
      </w:r>
      <w:r>
        <w:rPr>
          <w:color w:val="231F20"/>
          <w:spacing w:val="-7"/>
        </w:rPr>
        <w:t> </w:t>
      </w:r>
      <w:r>
        <w:rPr>
          <w:color w:val="231F20"/>
        </w:rPr>
        <w:t>размене</w:t>
      </w:r>
      <w:r>
        <w:rPr>
          <w:color w:val="231F20"/>
          <w:spacing w:val="-7"/>
        </w:rPr>
        <w:t> </w:t>
      </w:r>
      <w:r>
        <w:rPr>
          <w:color w:val="231F20"/>
        </w:rPr>
        <w:t>у</w:t>
      </w:r>
      <w:r>
        <w:rPr>
          <w:color w:val="231F20"/>
          <w:spacing w:val="-7"/>
        </w:rPr>
        <w:t> </w:t>
      </w:r>
      <w:r>
        <w:rPr>
          <w:color w:val="231F20"/>
        </w:rPr>
        <w:t>друштвеном производу и раст прилива иностраних</w:t>
      </w:r>
      <w:r>
        <w:rPr>
          <w:color w:val="231F20"/>
          <w:spacing w:val="-6"/>
        </w:rPr>
        <w:t> </w:t>
      </w:r>
      <w:r>
        <w:rPr>
          <w:color w:val="231F20"/>
        </w:rPr>
        <w:t>инвестиција.</w:t>
      </w:r>
    </w:p>
    <w:p>
      <w:pPr>
        <w:pStyle w:val="BodyText"/>
        <w:spacing w:line="242" w:lineRule="auto"/>
        <w:ind w:left="171" w:right="410" w:firstLine="396"/>
      </w:pPr>
      <w:r>
        <w:rPr>
          <w:color w:val="231F20"/>
        </w:rPr>
        <w:t>Од посебног значаја је диферсификација привредног разво- ја Планског подручја, кроз ширење и продубљивање његове при- вредне матрице, и одговарајуће позиционирање шире пожаревач- </w:t>
      </w:r>
      <w:r>
        <w:rPr>
          <w:color w:val="231F20"/>
          <w:spacing w:val="-4"/>
        </w:rPr>
        <w:t>ког</w:t>
      </w:r>
      <w:r>
        <w:rPr>
          <w:color w:val="231F20"/>
          <w:spacing w:val="-6"/>
        </w:rPr>
        <w:t> </w:t>
      </w:r>
      <w:r>
        <w:rPr>
          <w:color w:val="231F20"/>
        </w:rPr>
        <w:t>подручја</w:t>
      </w:r>
      <w:r>
        <w:rPr>
          <w:color w:val="231F20"/>
          <w:spacing w:val="-6"/>
        </w:rPr>
        <w:t> </w:t>
      </w:r>
      <w:r>
        <w:rPr>
          <w:color w:val="231F20"/>
        </w:rPr>
        <w:t>у</w:t>
      </w:r>
      <w:r>
        <w:rPr>
          <w:color w:val="231F20"/>
          <w:spacing w:val="-6"/>
        </w:rPr>
        <w:t> </w:t>
      </w:r>
      <w:r>
        <w:rPr>
          <w:color w:val="231F20"/>
        </w:rPr>
        <w:t>новом</w:t>
      </w:r>
      <w:r>
        <w:rPr>
          <w:color w:val="231F20"/>
          <w:spacing w:val="-6"/>
        </w:rPr>
        <w:t> </w:t>
      </w:r>
      <w:r>
        <w:rPr>
          <w:color w:val="231F20"/>
        </w:rPr>
        <w:t>моделу</w:t>
      </w:r>
      <w:r>
        <w:rPr>
          <w:color w:val="231F20"/>
          <w:spacing w:val="-6"/>
        </w:rPr>
        <w:t> </w:t>
      </w:r>
      <w:r>
        <w:rPr>
          <w:color w:val="231F20"/>
          <w:spacing w:val="-3"/>
        </w:rPr>
        <w:t>економског</w:t>
      </w:r>
      <w:r>
        <w:rPr>
          <w:color w:val="231F20"/>
          <w:spacing w:val="-6"/>
        </w:rPr>
        <w:t> </w:t>
      </w:r>
      <w:r>
        <w:rPr>
          <w:color w:val="231F20"/>
        </w:rPr>
        <w:t>раста</w:t>
      </w:r>
      <w:r>
        <w:rPr>
          <w:color w:val="231F20"/>
          <w:spacing w:val="-6"/>
        </w:rPr>
        <w:t> </w:t>
      </w:r>
      <w:r>
        <w:rPr>
          <w:color w:val="231F20"/>
        </w:rPr>
        <w:t>и</w:t>
      </w:r>
      <w:r>
        <w:rPr>
          <w:color w:val="231F20"/>
          <w:spacing w:val="-6"/>
        </w:rPr>
        <w:t> </w:t>
      </w:r>
      <w:r>
        <w:rPr>
          <w:color w:val="231F20"/>
        </w:rPr>
        <w:t>развоја</w:t>
      </w:r>
      <w:r>
        <w:rPr>
          <w:color w:val="231F20"/>
          <w:spacing w:val="-6"/>
        </w:rPr>
        <w:t> </w:t>
      </w:r>
      <w:r>
        <w:rPr>
          <w:color w:val="231F20"/>
          <w:spacing w:val="-3"/>
        </w:rPr>
        <w:t>Републике </w:t>
      </w:r>
      <w:r>
        <w:rPr>
          <w:color w:val="231F20"/>
        </w:rPr>
        <w:t>Србије.</w:t>
      </w:r>
    </w:p>
    <w:p>
      <w:pPr>
        <w:pStyle w:val="BodyText"/>
        <w:spacing w:line="242" w:lineRule="auto" w:before="1"/>
        <w:ind w:left="171" w:right="409" w:firstLine="396"/>
      </w:pPr>
      <w:r>
        <w:rPr>
          <w:color w:val="231F20"/>
        </w:rPr>
        <w:t>Најзначајнији утицај на концепт просторног развоја План- </w:t>
      </w:r>
      <w:r>
        <w:rPr>
          <w:color w:val="231F20"/>
          <w:spacing w:val="-3"/>
        </w:rPr>
        <w:t>ског </w:t>
      </w:r>
      <w:r>
        <w:rPr>
          <w:color w:val="231F20"/>
        </w:rPr>
        <w:t>подручја има садашњи и </w:t>
      </w:r>
      <w:r>
        <w:rPr>
          <w:color w:val="231F20"/>
          <w:spacing w:val="-4"/>
        </w:rPr>
        <w:t>будући </w:t>
      </w:r>
      <w:r>
        <w:rPr>
          <w:color w:val="231F20"/>
        </w:rPr>
        <w:t>развој: рударско-енергетског </w:t>
      </w:r>
      <w:r>
        <w:rPr>
          <w:color w:val="231F20"/>
          <w:spacing w:val="-3"/>
        </w:rPr>
        <w:t>комплекса;</w:t>
      </w:r>
      <w:r>
        <w:rPr>
          <w:color w:val="231F20"/>
          <w:spacing w:val="-8"/>
        </w:rPr>
        <w:t> </w:t>
      </w:r>
      <w:r>
        <w:rPr>
          <w:color w:val="231F20"/>
        </w:rPr>
        <w:t>Пожаревца</w:t>
      </w:r>
      <w:r>
        <w:rPr>
          <w:color w:val="231F20"/>
          <w:spacing w:val="-8"/>
        </w:rPr>
        <w:t> </w:t>
      </w:r>
      <w:r>
        <w:rPr>
          <w:color w:val="231F20"/>
        </w:rPr>
        <w:t>као</w:t>
      </w:r>
      <w:r>
        <w:rPr>
          <w:color w:val="231F20"/>
          <w:spacing w:val="-8"/>
        </w:rPr>
        <w:t> </w:t>
      </w:r>
      <w:r>
        <w:rPr>
          <w:color w:val="231F20"/>
        </w:rPr>
        <w:t>регионалног</w:t>
      </w:r>
      <w:r>
        <w:rPr>
          <w:color w:val="231F20"/>
          <w:spacing w:val="-8"/>
        </w:rPr>
        <w:t> </w:t>
      </w:r>
      <w:r>
        <w:rPr>
          <w:color w:val="231F20"/>
        </w:rPr>
        <w:t>центра,</w:t>
      </w:r>
      <w:r>
        <w:rPr>
          <w:color w:val="231F20"/>
          <w:spacing w:val="-8"/>
        </w:rPr>
        <w:t> </w:t>
      </w:r>
      <w:r>
        <w:rPr>
          <w:color w:val="231F20"/>
        </w:rPr>
        <w:t>Костолца</w:t>
      </w:r>
      <w:r>
        <w:rPr>
          <w:color w:val="231F20"/>
          <w:spacing w:val="-8"/>
        </w:rPr>
        <w:t> </w:t>
      </w:r>
      <w:r>
        <w:rPr>
          <w:color w:val="231F20"/>
        </w:rPr>
        <w:t>и</w:t>
      </w:r>
      <w:r>
        <w:rPr>
          <w:color w:val="231F20"/>
          <w:spacing w:val="-8"/>
        </w:rPr>
        <w:t> </w:t>
      </w:r>
      <w:r>
        <w:rPr>
          <w:color w:val="231F20"/>
        </w:rPr>
        <w:t>других насеља на </w:t>
      </w:r>
      <w:r>
        <w:rPr>
          <w:color w:val="231F20"/>
          <w:spacing w:val="-3"/>
        </w:rPr>
        <w:t>Планском </w:t>
      </w:r>
      <w:r>
        <w:rPr>
          <w:color w:val="231F20"/>
        </w:rPr>
        <w:t>подручју; реке Дунав (као паневропског вод- </w:t>
      </w:r>
      <w:r>
        <w:rPr>
          <w:color w:val="231F20"/>
          <w:spacing w:val="-6"/>
        </w:rPr>
        <w:t>ног, </w:t>
      </w:r>
      <w:r>
        <w:rPr>
          <w:color w:val="231F20"/>
        </w:rPr>
        <w:t>саобраћајног, привредног и туристичког коридора) и других речних </w:t>
      </w:r>
      <w:r>
        <w:rPr>
          <w:color w:val="231F20"/>
          <w:spacing w:val="-3"/>
        </w:rPr>
        <w:t>токова </w:t>
      </w:r>
      <w:r>
        <w:rPr>
          <w:color w:val="231F20"/>
        </w:rPr>
        <w:t>(Морава, Млава); близина Коридора X и саобраћај- на</w:t>
      </w:r>
      <w:r>
        <w:rPr>
          <w:color w:val="231F20"/>
          <w:spacing w:val="-10"/>
        </w:rPr>
        <w:t> </w:t>
      </w:r>
      <w:r>
        <w:rPr>
          <w:color w:val="231F20"/>
        </w:rPr>
        <w:t>мрежа;</w:t>
      </w:r>
      <w:r>
        <w:rPr>
          <w:color w:val="231F20"/>
          <w:spacing w:val="-11"/>
        </w:rPr>
        <w:t> </w:t>
      </w:r>
      <w:r>
        <w:rPr>
          <w:color w:val="231F20"/>
        </w:rPr>
        <w:t>квалитетно</w:t>
      </w:r>
      <w:r>
        <w:rPr>
          <w:color w:val="231F20"/>
          <w:spacing w:val="-10"/>
        </w:rPr>
        <w:t> </w:t>
      </w:r>
      <w:r>
        <w:rPr>
          <w:color w:val="231F20"/>
        </w:rPr>
        <w:t>пољопривредно</w:t>
      </w:r>
      <w:r>
        <w:rPr>
          <w:color w:val="231F20"/>
          <w:spacing w:val="-10"/>
        </w:rPr>
        <w:t> </w:t>
      </w:r>
      <w:r>
        <w:rPr>
          <w:color w:val="231F20"/>
        </w:rPr>
        <w:t>земљиште</w:t>
      </w:r>
      <w:r>
        <w:rPr>
          <w:color w:val="231F20"/>
          <w:spacing w:val="-11"/>
        </w:rPr>
        <w:t> </w:t>
      </w:r>
      <w:r>
        <w:rPr>
          <w:color w:val="231F20"/>
        </w:rPr>
        <w:t>Стига,</w:t>
      </w:r>
      <w:r>
        <w:rPr>
          <w:color w:val="231F20"/>
          <w:spacing w:val="-10"/>
        </w:rPr>
        <w:t> </w:t>
      </w:r>
      <w:r>
        <w:rPr>
          <w:color w:val="231F20"/>
        </w:rPr>
        <w:t>доњег</w:t>
      </w:r>
      <w:r>
        <w:rPr>
          <w:color w:val="231F20"/>
          <w:spacing w:val="-10"/>
        </w:rPr>
        <w:t> </w:t>
      </w:r>
      <w:r>
        <w:rPr>
          <w:color w:val="231F20"/>
        </w:rPr>
        <w:t>По- моравља</w:t>
      </w:r>
      <w:r>
        <w:rPr>
          <w:color w:val="231F20"/>
          <w:spacing w:val="-5"/>
        </w:rPr>
        <w:t> </w:t>
      </w:r>
      <w:r>
        <w:rPr>
          <w:color w:val="231F20"/>
        </w:rPr>
        <w:t>и</w:t>
      </w:r>
      <w:r>
        <w:rPr>
          <w:color w:val="231F20"/>
          <w:spacing w:val="-5"/>
        </w:rPr>
        <w:t> </w:t>
      </w:r>
      <w:r>
        <w:rPr>
          <w:color w:val="231F20"/>
        </w:rPr>
        <w:t>Браничева;</w:t>
      </w:r>
      <w:r>
        <w:rPr>
          <w:color w:val="231F20"/>
          <w:spacing w:val="-5"/>
        </w:rPr>
        <w:t> </w:t>
      </w:r>
      <w:r>
        <w:rPr>
          <w:color w:val="231F20"/>
          <w:spacing w:val="-2"/>
        </w:rPr>
        <w:t>културна</w:t>
      </w:r>
      <w:r>
        <w:rPr>
          <w:color w:val="231F20"/>
          <w:spacing w:val="-5"/>
        </w:rPr>
        <w:t> </w:t>
      </w:r>
      <w:r>
        <w:rPr>
          <w:color w:val="231F20"/>
        </w:rPr>
        <w:t>и</w:t>
      </w:r>
      <w:r>
        <w:rPr>
          <w:color w:val="231F20"/>
          <w:spacing w:val="-5"/>
        </w:rPr>
        <w:t> </w:t>
      </w:r>
      <w:r>
        <w:rPr>
          <w:color w:val="231F20"/>
        </w:rPr>
        <w:t>природна</w:t>
      </w:r>
      <w:r>
        <w:rPr>
          <w:color w:val="231F20"/>
          <w:spacing w:val="-5"/>
        </w:rPr>
        <w:t> </w:t>
      </w:r>
      <w:r>
        <w:rPr>
          <w:color w:val="231F20"/>
        </w:rPr>
        <w:t>добра</w:t>
      </w:r>
      <w:r>
        <w:rPr>
          <w:color w:val="231F20"/>
          <w:spacing w:val="-5"/>
        </w:rPr>
        <w:t> </w:t>
      </w:r>
      <w:r>
        <w:rPr>
          <w:color w:val="231F20"/>
        </w:rPr>
        <w:t>и</w:t>
      </w:r>
      <w:r>
        <w:rPr>
          <w:color w:val="231F20"/>
          <w:spacing w:val="-5"/>
        </w:rPr>
        <w:t> </w:t>
      </w:r>
      <w:r>
        <w:rPr>
          <w:color w:val="231F20"/>
        </w:rPr>
        <w:t>други</w:t>
      </w:r>
      <w:r>
        <w:rPr>
          <w:color w:val="231F20"/>
          <w:spacing w:val="-5"/>
        </w:rPr>
        <w:t> </w:t>
      </w:r>
      <w:r>
        <w:rPr>
          <w:color w:val="231F20"/>
        </w:rPr>
        <w:t>ресурси и потенцијали</w:t>
      </w:r>
      <w:r>
        <w:rPr>
          <w:color w:val="231F20"/>
          <w:spacing w:val="-3"/>
        </w:rPr>
        <w:t> </w:t>
      </w:r>
      <w:r>
        <w:rPr>
          <w:color w:val="231F20"/>
        </w:rPr>
        <w:t>подручја.</w:t>
      </w:r>
    </w:p>
    <w:p>
      <w:pPr>
        <w:pStyle w:val="BodyText"/>
        <w:spacing w:line="242" w:lineRule="auto" w:before="2"/>
        <w:ind w:left="172" w:right="410" w:firstLine="396"/>
      </w:pPr>
      <w:r>
        <w:rPr>
          <w:color w:val="231F20"/>
        </w:rPr>
        <w:t>Развој рударских радова у наредном периоду везан је за по- вршински коп „Дрмно” и евентуалну експлоатацију западног</w:t>
      </w:r>
    </w:p>
    <w:p>
      <w:pPr>
        <w:spacing w:after="0" w:line="242" w:lineRule="auto"/>
        <w:sectPr>
          <w:type w:val="continuous"/>
          <w:pgSz w:w="12480" w:h="15690"/>
          <w:pgMar w:top="880" w:bottom="280" w:left="680" w:right="720"/>
          <w:cols w:num="2" w:equalWidth="0">
            <w:col w:w="5315" w:space="70"/>
            <w:col w:w="5695"/>
          </w:cols>
        </w:sectPr>
      </w:pPr>
    </w:p>
    <w:p>
      <w:pPr>
        <w:pStyle w:val="BodyText"/>
        <w:spacing w:line="242" w:lineRule="auto" w:before="68"/>
        <w:ind w:left="453"/>
      </w:pPr>
      <w:r>
        <w:rPr/>
        <w:pict>
          <v:line style="position:absolute;mso-position-horizontal-relative:page;mso-position-vertical-relative:page;z-index:2344" from="318.897614pt,11.942451pt" to="318.897614pt,748.950451pt" stroked="true" strokeweight=".6pt" strokecolor="#231f20">
            <v:stroke dashstyle="solid"/>
            <w10:wrap type="none"/>
          </v:line>
        </w:pict>
      </w:r>
      <w:r>
        <w:rPr>
          <w:color w:val="231F20"/>
        </w:rPr>
        <w:t>лежишта „Дубравица”. Накнадно ће бити процењене могућности експлоатације лежишта </w:t>
      </w:r>
      <w:r>
        <w:rPr>
          <w:color w:val="231F20"/>
          <w:spacing w:val="-4"/>
        </w:rPr>
        <w:t>„Ћириковац” </w:t>
      </w:r>
      <w:r>
        <w:rPr>
          <w:color w:val="231F20"/>
        </w:rPr>
        <w:t>и „Петка”. </w:t>
      </w:r>
      <w:r>
        <w:rPr>
          <w:color w:val="231F20"/>
          <w:spacing w:val="-3"/>
        </w:rPr>
        <w:t>Коп </w:t>
      </w:r>
      <w:r>
        <w:rPr>
          <w:color w:val="231F20"/>
        </w:rPr>
        <w:t>„Дрмно” ће у наредном периоду заузети </w:t>
      </w:r>
      <w:r>
        <w:rPr>
          <w:color w:val="231F20"/>
          <w:spacing w:val="-3"/>
        </w:rPr>
        <w:t>преко </w:t>
      </w:r>
      <w:r>
        <w:rPr>
          <w:color w:val="231F20"/>
        </w:rPr>
        <w:t>1.000 ha пољопривредног земљи- шта али неће физички угрозити ниједно постојеће насеље. Посеб- ну</w:t>
      </w:r>
      <w:r>
        <w:rPr>
          <w:color w:val="231F20"/>
          <w:spacing w:val="-7"/>
        </w:rPr>
        <w:t> </w:t>
      </w:r>
      <w:r>
        <w:rPr>
          <w:color w:val="231F20"/>
        </w:rPr>
        <w:t>потешкоћу</w:t>
      </w:r>
      <w:r>
        <w:rPr>
          <w:color w:val="231F20"/>
          <w:spacing w:val="-7"/>
        </w:rPr>
        <w:t> </w:t>
      </w:r>
      <w:r>
        <w:rPr>
          <w:color w:val="231F20"/>
        </w:rPr>
        <w:t>у</w:t>
      </w:r>
      <w:r>
        <w:rPr>
          <w:color w:val="231F20"/>
          <w:spacing w:val="-7"/>
        </w:rPr>
        <w:t> </w:t>
      </w:r>
      <w:r>
        <w:rPr>
          <w:color w:val="231F20"/>
        </w:rPr>
        <w:t>експлоатацији</w:t>
      </w:r>
      <w:r>
        <w:rPr>
          <w:color w:val="231F20"/>
          <w:spacing w:val="-7"/>
        </w:rPr>
        <w:t> </w:t>
      </w:r>
      <w:r>
        <w:rPr>
          <w:color w:val="231F20"/>
        </w:rPr>
        <w:t>лежишта</w:t>
      </w:r>
      <w:r>
        <w:rPr>
          <w:color w:val="231F20"/>
          <w:spacing w:val="-7"/>
        </w:rPr>
        <w:t> </w:t>
      </w:r>
      <w:r>
        <w:rPr>
          <w:color w:val="231F20"/>
        </w:rPr>
        <w:t>представљаће</w:t>
      </w:r>
      <w:r>
        <w:rPr>
          <w:color w:val="231F20"/>
          <w:spacing w:val="-7"/>
        </w:rPr>
        <w:t> </w:t>
      </w:r>
      <w:r>
        <w:rPr>
          <w:color w:val="231F20"/>
        </w:rPr>
        <w:t>одбрана</w:t>
      </w:r>
      <w:r>
        <w:rPr>
          <w:color w:val="231F20"/>
          <w:spacing w:val="-7"/>
        </w:rPr>
        <w:t> </w:t>
      </w:r>
      <w:r>
        <w:rPr>
          <w:color w:val="231F20"/>
          <w:spacing w:val="-4"/>
        </w:rPr>
        <w:t>ко- </w:t>
      </w:r>
      <w:r>
        <w:rPr>
          <w:color w:val="231F20"/>
        </w:rPr>
        <w:t>па </w:t>
      </w:r>
      <w:r>
        <w:rPr>
          <w:color w:val="231F20"/>
          <w:spacing w:val="-3"/>
        </w:rPr>
        <w:t>од </w:t>
      </w:r>
      <w:r>
        <w:rPr>
          <w:color w:val="231F20"/>
        </w:rPr>
        <w:t>површинских и подземних вода, што ће истовремено имати утицаја на режим вода у непосредном</w:t>
      </w:r>
      <w:r>
        <w:rPr>
          <w:color w:val="231F20"/>
          <w:spacing w:val="-3"/>
        </w:rPr>
        <w:t> </w:t>
      </w:r>
      <w:r>
        <w:rPr>
          <w:color w:val="231F20"/>
          <w:spacing w:val="-4"/>
        </w:rPr>
        <w:t>окружењу.</w:t>
      </w:r>
    </w:p>
    <w:p>
      <w:pPr>
        <w:pStyle w:val="BodyText"/>
        <w:ind w:left="454" w:firstLine="396"/>
      </w:pPr>
      <w:r>
        <w:rPr>
          <w:color w:val="231F20"/>
        </w:rPr>
        <w:t>Могућа експлоатација лигнитског лежишта „Дубравица” не очекује</w:t>
      </w:r>
      <w:r>
        <w:rPr>
          <w:color w:val="231F20"/>
          <w:spacing w:val="-6"/>
        </w:rPr>
        <w:t> </w:t>
      </w:r>
      <w:r>
        <w:rPr>
          <w:color w:val="231F20"/>
        </w:rPr>
        <w:t>се</w:t>
      </w:r>
      <w:r>
        <w:rPr>
          <w:color w:val="231F20"/>
          <w:spacing w:val="-6"/>
        </w:rPr>
        <w:t> </w:t>
      </w:r>
      <w:r>
        <w:rPr>
          <w:color w:val="231F20"/>
        </w:rPr>
        <w:t>пре</w:t>
      </w:r>
      <w:r>
        <w:rPr>
          <w:color w:val="231F20"/>
          <w:spacing w:val="-6"/>
        </w:rPr>
        <w:t> </w:t>
      </w:r>
      <w:r>
        <w:rPr>
          <w:color w:val="231F20"/>
        </w:rPr>
        <w:t>2022.</w:t>
      </w:r>
      <w:r>
        <w:rPr>
          <w:color w:val="231F20"/>
          <w:spacing w:val="-6"/>
        </w:rPr>
        <w:t> </w:t>
      </w:r>
      <w:r>
        <w:rPr>
          <w:color w:val="231F20"/>
        </w:rPr>
        <w:t>године.</w:t>
      </w:r>
      <w:r>
        <w:rPr>
          <w:color w:val="231F20"/>
          <w:spacing w:val="-6"/>
        </w:rPr>
        <w:t> </w:t>
      </w:r>
      <w:r>
        <w:rPr>
          <w:color w:val="231F20"/>
        </w:rPr>
        <w:t>Експлоатација</w:t>
      </w:r>
      <w:r>
        <w:rPr>
          <w:color w:val="231F20"/>
          <w:spacing w:val="-6"/>
        </w:rPr>
        <w:t> </w:t>
      </w:r>
      <w:r>
        <w:rPr>
          <w:color w:val="231F20"/>
        </w:rPr>
        <w:t>овог</w:t>
      </w:r>
      <w:r>
        <w:rPr>
          <w:color w:val="231F20"/>
          <w:spacing w:val="-6"/>
        </w:rPr>
        <w:t> </w:t>
      </w:r>
      <w:r>
        <w:rPr>
          <w:color w:val="231F20"/>
        </w:rPr>
        <w:t>лежишта</w:t>
      </w:r>
      <w:r>
        <w:rPr>
          <w:color w:val="231F20"/>
          <w:spacing w:val="-6"/>
        </w:rPr>
        <w:t> </w:t>
      </w:r>
      <w:r>
        <w:rPr>
          <w:color w:val="231F20"/>
        </w:rPr>
        <w:t>имаће</w:t>
      </w:r>
      <w:r>
        <w:rPr>
          <w:color w:val="231F20"/>
          <w:spacing w:val="-6"/>
        </w:rPr>
        <w:t> </w:t>
      </w:r>
      <w:r>
        <w:rPr>
          <w:color w:val="231F20"/>
        </w:rPr>
        <w:t>за последицу пресељење (делова) три насеља (Дубравица, Острово  и</w:t>
      </w:r>
      <w:r>
        <w:rPr>
          <w:color w:val="231F20"/>
          <w:spacing w:val="-2"/>
        </w:rPr>
        <w:t> </w:t>
      </w:r>
      <w:r>
        <w:rPr>
          <w:color w:val="231F20"/>
        </w:rPr>
        <w:t>Батовац).</w:t>
      </w:r>
    </w:p>
    <w:p>
      <w:pPr>
        <w:pStyle w:val="BodyText"/>
        <w:spacing w:line="237" w:lineRule="auto"/>
        <w:ind w:left="454" w:right="1" w:firstLine="396"/>
      </w:pPr>
      <w:r>
        <w:rPr>
          <w:color w:val="231F20"/>
        </w:rPr>
        <w:t>Прекид рударских радова на коповима „Кленовник” и „Ћи- риковац”, као и у делу копа „Дрмно” омогућује да се приступи интензивној рекултивацији унутрашњих и спољашњих одлагали- шта) откривке („јаловине”). Делови копова „Ћириковац” и „Дрм- но” биће искоришћени за депоновање пепела, шљаке и гипса из термоелектрана, а део копа „Кленовник” за (привремено) одлага- ње комуналног отпада.</w:t>
      </w:r>
    </w:p>
    <w:p>
      <w:pPr>
        <w:pStyle w:val="BodyText"/>
        <w:ind w:left="454" w:right="1" w:firstLine="396"/>
      </w:pPr>
      <w:r>
        <w:rPr>
          <w:color w:val="231F20"/>
        </w:rPr>
        <w:t>Термоелектране „Костолац А2” и „Костолац Б1 и Б2” ће пу- тем рехабилитације бити оспособљене за производњу електричне енергије по садашњем предвиђању до 2025., односно 2035. </w:t>
      </w:r>
      <w:r>
        <w:rPr>
          <w:color w:val="231F20"/>
          <w:spacing w:val="-3"/>
        </w:rPr>
        <w:t>годи- </w:t>
      </w:r>
      <w:r>
        <w:rPr>
          <w:color w:val="231F20"/>
        </w:rPr>
        <w:t>не. Предвиђа се изградња новог блока термоелектране „Костолац Б” </w:t>
      </w:r>
      <w:r>
        <w:rPr>
          <w:color w:val="231F20"/>
          <w:spacing w:val="-3"/>
        </w:rPr>
        <w:t>од </w:t>
      </w:r>
      <w:r>
        <w:rPr>
          <w:color w:val="231F20"/>
        </w:rPr>
        <w:t>600 </w:t>
      </w:r>
      <w:r>
        <w:rPr>
          <w:color w:val="231F20"/>
          <w:spacing w:val="-6"/>
        </w:rPr>
        <w:t>MW, </w:t>
      </w:r>
      <w:r>
        <w:rPr>
          <w:color w:val="231F20"/>
        </w:rPr>
        <w:t>алтернативно два блока </w:t>
      </w:r>
      <w:r>
        <w:rPr>
          <w:color w:val="231F20"/>
          <w:spacing w:val="-3"/>
        </w:rPr>
        <w:t>од </w:t>
      </w:r>
      <w:r>
        <w:rPr>
          <w:color w:val="231F20"/>
        </w:rPr>
        <w:t>по 350 </w:t>
      </w:r>
      <w:r>
        <w:rPr>
          <w:color w:val="231F20"/>
          <w:spacing w:val="-6"/>
        </w:rPr>
        <w:t>MW, </w:t>
      </w:r>
      <w:r>
        <w:rPr>
          <w:color w:val="231F20"/>
        </w:rPr>
        <w:t>што ће зах- тевати повећање производње угља на 12 милиона t годишње.</w:t>
      </w:r>
    </w:p>
    <w:p>
      <w:pPr>
        <w:pStyle w:val="BodyText"/>
        <w:spacing w:line="237" w:lineRule="auto"/>
        <w:ind w:left="454" w:right="1" w:firstLine="397"/>
      </w:pPr>
      <w:r>
        <w:rPr>
          <w:color w:val="231F20"/>
        </w:rPr>
        <w:t>Истражни радови и експлоатација лежишта нафте и гаса ве- зани су за северни део територије града Пожаревца и западни део територије општине Велико Градиште. Експлоатација нафте и га- са ангажује релативно мале површине земљишта, међутим, нега- тивни утицаји на животну средину могу да буду значајни, па је неопходно технолошким и другим мерама те утицаје свести на најмању меру.</w:t>
      </w:r>
    </w:p>
    <w:p>
      <w:pPr>
        <w:pStyle w:val="BodyText"/>
        <w:ind w:left="454" w:right="1" w:firstLine="396"/>
      </w:pPr>
      <w:r>
        <w:rPr>
          <w:color w:val="231F20"/>
        </w:rPr>
        <w:t>Привредни развој градског подручја Пожаревца заснован је на ревитализацији постојећих и отварању нових привредних по- гона </w:t>
      </w:r>
      <w:r>
        <w:rPr>
          <w:color w:val="231F20"/>
          <w:spacing w:val="-4"/>
        </w:rPr>
        <w:t>где </w:t>
      </w:r>
      <w:r>
        <w:rPr>
          <w:color w:val="231F20"/>
        </w:rPr>
        <w:t>посебне услове има развој МСП. Пожаревац ће унапре- дити</w:t>
      </w:r>
      <w:r>
        <w:rPr>
          <w:color w:val="231F20"/>
          <w:spacing w:val="-8"/>
        </w:rPr>
        <w:t> </w:t>
      </w:r>
      <w:r>
        <w:rPr>
          <w:color w:val="231F20"/>
        </w:rPr>
        <w:t>своју</w:t>
      </w:r>
      <w:r>
        <w:rPr>
          <w:color w:val="231F20"/>
          <w:spacing w:val="-8"/>
        </w:rPr>
        <w:t> </w:t>
      </w:r>
      <w:r>
        <w:rPr>
          <w:color w:val="231F20"/>
        </w:rPr>
        <w:t>функцију</w:t>
      </w:r>
      <w:r>
        <w:rPr>
          <w:color w:val="231F20"/>
          <w:spacing w:val="-8"/>
        </w:rPr>
        <w:t> </w:t>
      </w:r>
      <w:r>
        <w:rPr>
          <w:color w:val="231F20"/>
        </w:rPr>
        <w:t>регионалног</w:t>
      </w:r>
      <w:r>
        <w:rPr>
          <w:color w:val="231F20"/>
          <w:spacing w:val="-8"/>
        </w:rPr>
        <w:t> </w:t>
      </w:r>
      <w:r>
        <w:rPr>
          <w:color w:val="231F20"/>
        </w:rPr>
        <w:t>центра</w:t>
      </w:r>
      <w:r>
        <w:rPr>
          <w:color w:val="231F20"/>
          <w:spacing w:val="-8"/>
        </w:rPr>
        <w:t> </w:t>
      </w:r>
      <w:r>
        <w:rPr>
          <w:color w:val="231F20"/>
        </w:rPr>
        <w:t>даљим</w:t>
      </w:r>
      <w:r>
        <w:rPr>
          <w:color w:val="231F20"/>
          <w:spacing w:val="-8"/>
        </w:rPr>
        <w:t> </w:t>
      </w:r>
      <w:r>
        <w:rPr>
          <w:color w:val="231F20"/>
        </w:rPr>
        <w:t>развојем</w:t>
      </w:r>
      <w:r>
        <w:rPr>
          <w:color w:val="231F20"/>
          <w:spacing w:val="-8"/>
        </w:rPr>
        <w:t> </w:t>
      </w:r>
      <w:r>
        <w:rPr>
          <w:color w:val="231F20"/>
        </w:rPr>
        <w:t>научних, здравствених, образовних, културних и других</w:t>
      </w:r>
      <w:r>
        <w:rPr>
          <w:color w:val="231F20"/>
          <w:spacing w:val="-19"/>
        </w:rPr>
        <w:t> </w:t>
      </w:r>
      <w:r>
        <w:rPr>
          <w:color w:val="231F20"/>
        </w:rPr>
        <w:t>институција.</w:t>
      </w:r>
    </w:p>
    <w:p>
      <w:pPr>
        <w:pStyle w:val="BodyText"/>
        <w:spacing w:line="237" w:lineRule="auto"/>
        <w:ind w:left="454" w:right="1" w:firstLine="396"/>
      </w:pPr>
      <w:r>
        <w:rPr>
          <w:color w:val="231F20"/>
        </w:rPr>
        <w:t>Демографске пројекције упућују на умерени пораст броја становника у градским насељима (Пожаревац, Костолац) и опа- дање броја становника у сеоским насељима. У вези с тим пред- виђа се мање проширење грађевинских подручја у Пожаревцу и </w:t>
      </w:r>
      <w:r>
        <w:rPr>
          <w:color w:val="231F20"/>
          <w:spacing w:val="-4"/>
        </w:rPr>
        <w:t>Костолцу, </w:t>
      </w:r>
      <w:r>
        <w:rPr>
          <w:color w:val="231F20"/>
        </w:rPr>
        <w:t>док се у сеоским насељима не предвиђа повећање сада- шњих</w:t>
      </w:r>
      <w:r>
        <w:rPr>
          <w:color w:val="231F20"/>
          <w:spacing w:val="-7"/>
        </w:rPr>
        <w:t> </w:t>
      </w:r>
      <w:r>
        <w:rPr>
          <w:color w:val="231F20"/>
        </w:rPr>
        <w:t>грађевинских</w:t>
      </w:r>
      <w:r>
        <w:rPr>
          <w:color w:val="231F20"/>
          <w:spacing w:val="-7"/>
        </w:rPr>
        <w:t> </w:t>
      </w:r>
      <w:r>
        <w:rPr>
          <w:color w:val="231F20"/>
        </w:rPr>
        <w:t>подручја.</w:t>
      </w:r>
      <w:r>
        <w:rPr>
          <w:color w:val="231F20"/>
          <w:spacing w:val="-7"/>
        </w:rPr>
        <w:t> </w:t>
      </w:r>
      <w:r>
        <w:rPr>
          <w:color w:val="231F20"/>
        </w:rPr>
        <w:t>Евентуална</w:t>
      </w:r>
      <w:r>
        <w:rPr>
          <w:color w:val="231F20"/>
          <w:spacing w:val="-7"/>
        </w:rPr>
        <w:t> </w:t>
      </w:r>
      <w:r>
        <w:rPr>
          <w:color w:val="231F20"/>
        </w:rPr>
        <w:t>проширења</w:t>
      </w:r>
      <w:r>
        <w:rPr>
          <w:color w:val="231F20"/>
          <w:spacing w:val="-7"/>
        </w:rPr>
        <w:t> </w:t>
      </w:r>
      <w:r>
        <w:rPr>
          <w:color w:val="231F20"/>
        </w:rPr>
        <w:t>биће</w:t>
      </w:r>
      <w:r>
        <w:rPr>
          <w:color w:val="231F20"/>
          <w:spacing w:val="-7"/>
        </w:rPr>
        <w:t> </w:t>
      </w:r>
      <w:r>
        <w:rPr>
          <w:color w:val="231F20"/>
        </w:rPr>
        <w:t>везана за насеља </w:t>
      </w:r>
      <w:r>
        <w:rPr>
          <w:color w:val="231F20"/>
          <w:spacing w:val="-4"/>
        </w:rPr>
        <w:t>где </w:t>
      </w:r>
      <w:r>
        <w:rPr>
          <w:color w:val="231F20"/>
        </w:rPr>
        <w:t>ће бити пресељено становништво из зоне </w:t>
      </w:r>
      <w:r>
        <w:rPr>
          <w:color w:val="231F20"/>
          <w:spacing w:val="-3"/>
        </w:rPr>
        <w:t>будућих </w:t>
      </w:r>
      <w:r>
        <w:rPr>
          <w:color w:val="231F20"/>
        </w:rPr>
        <w:t>рударских радова, што ће бити утврђено урбанистичким планови- ма тих</w:t>
      </w:r>
      <w:r>
        <w:rPr>
          <w:color w:val="231F20"/>
          <w:spacing w:val="-1"/>
        </w:rPr>
        <w:t> </w:t>
      </w:r>
      <w:r>
        <w:rPr>
          <w:color w:val="231F20"/>
        </w:rPr>
        <w:t>насеља.</w:t>
      </w:r>
    </w:p>
    <w:p>
      <w:pPr>
        <w:pStyle w:val="BodyText"/>
        <w:ind w:left="455" w:firstLine="396"/>
      </w:pPr>
      <w:r>
        <w:rPr>
          <w:color w:val="231F20"/>
          <w:spacing w:val="-3"/>
        </w:rPr>
        <w:t>Уређење </w:t>
      </w:r>
      <w:r>
        <w:rPr>
          <w:color w:val="231F20"/>
        </w:rPr>
        <w:t>приобалног појаса Дунава усклађује се са решењи- ма</w:t>
      </w:r>
      <w:r>
        <w:rPr>
          <w:color w:val="231F20"/>
          <w:spacing w:val="-7"/>
        </w:rPr>
        <w:t> </w:t>
      </w:r>
      <w:r>
        <w:rPr>
          <w:color w:val="231F20"/>
        </w:rPr>
        <w:t>Просторног</w:t>
      </w:r>
      <w:r>
        <w:rPr>
          <w:color w:val="231F20"/>
          <w:spacing w:val="-7"/>
        </w:rPr>
        <w:t> </w:t>
      </w:r>
      <w:r>
        <w:rPr>
          <w:color w:val="231F20"/>
        </w:rPr>
        <w:t>плана</w:t>
      </w:r>
      <w:r>
        <w:rPr>
          <w:color w:val="231F20"/>
          <w:spacing w:val="-7"/>
        </w:rPr>
        <w:t> </w:t>
      </w:r>
      <w:r>
        <w:rPr>
          <w:color w:val="231F20"/>
        </w:rPr>
        <w:t>подручја</w:t>
      </w:r>
      <w:r>
        <w:rPr>
          <w:color w:val="231F20"/>
          <w:spacing w:val="-7"/>
        </w:rPr>
        <w:t> </w:t>
      </w:r>
      <w:r>
        <w:rPr>
          <w:color w:val="231F20"/>
        </w:rPr>
        <w:t>посебне</w:t>
      </w:r>
      <w:r>
        <w:rPr>
          <w:color w:val="231F20"/>
          <w:spacing w:val="-7"/>
        </w:rPr>
        <w:t> </w:t>
      </w:r>
      <w:r>
        <w:rPr>
          <w:color w:val="231F20"/>
        </w:rPr>
        <w:t>намене</w:t>
      </w:r>
      <w:r>
        <w:rPr>
          <w:color w:val="231F20"/>
          <w:spacing w:val="-7"/>
        </w:rPr>
        <w:t> </w:t>
      </w:r>
      <w:r>
        <w:rPr>
          <w:color w:val="231F20"/>
        </w:rPr>
        <w:t>коридора</w:t>
      </w:r>
      <w:r>
        <w:rPr>
          <w:color w:val="231F20"/>
          <w:spacing w:val="-10"/>
        </w:rPr>
        <w:t> </w:t>
      </w:r>
      <w:r>
        <w:rPr>
          <w:color w:val="231F20"/>
        </w:rPr>
        <w:t>VII</w:t>
      </w:r>
      <w:r>
        <w:rPr>
          <w:color w:val="231F20"/>
          <w:spacing w:val="17"/>
        </w:rPr>
        <w:t> </w:t>
      </w:r>
      <w:r>
        <w:rPr>
          <w:color w:val="231F20"/>
        </w:rPr>
        <w:t>–</w:t>
      </w:r>
      <w:r>
        <w:rPr>
          <w:color w:val="231F20"/>
          <w:spacing w:val="-7"/>
        </w:rPr>
        <w:t> </w:t>
      </w:r>
      <w:r>
        <w:rPr>
          <w:color w:val="231F20"/>
        </w:rPr>
        <w:t>Ду- нава. Предвиђена је изградња пристаништа и марина у зони </w:t>
      </w:r>
      <w:r>
        <w:rPr>
          <w:color w:val="231F20"/>
          <w:spacing w:val="-3"/>
        </w:rPr>
        <w:t>Ко- </w:t>
      </w:r>
      <w:r>
        <w:rPr>
          <w:color w:val="231F20"/>
        </w:rPr>
        <w:t>столца</w:t>
      </w:r>
      <w:r>
        <w:rPr>
          <w:color w:val="231F20"/>
          <w:spacing w:val="-10"/>
        </w:rPr>
        <w:t> </w:t>
      </w:r>
      <w:r>
        <w:rPr>
          <w:color w:val="231F20"/>
        </w:rPr>
        <w:t>и</w:t>
      </w:r>
      <w:r>
        <w:rPr>
          <w:color w:val="231F20"/>
          <w:spacing w:val="-10"/>
        </w:rPr>
        <w:t> </w:t>
      </w:r>
      <w:r>
        <w:rPr>
          <w:color w:val="231F20"/>
        </w:rPr>
        <w:t>Љубичева,</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уређење</w:t>
      </w:r>
      <w:r>
        <w:rPr>
          <w:color w:val="231F20"/>
          <w:spacing w:val="-10"/>
        </w:rPr>
        <w:t> </w:t>
      </w:r>
      <w:r>
        <w:rPr>
          <w:color w:val="231F20"/>
        </w:rPr>
        <w:t>постојећег</w:t>
      </w:r>
      <w:r>
        <w:rPr>
          <w:color w:val="231F20"/>
          <w:spacing w:val="-10"/>
        </w:rPr>
        <w:t> </w:t>
      </w:r>
      <w:r>
        <w:rPr>
          <w:color w:val="231F20"/>
        </w:rPr>
        <w:t>спортског</w:t>
      </w:r>
      <w:r>
        <w:rPr>
          <w:color w:val="231F20"/>
          <w:spacing w:val="-10"/>
        </w:rPr>
        <w:t> </w:t>
      </w:r>
      <w:r>
        <w:rPr>
          <w:color w:val="231F20"/>
        </w:rPr>
        <w:t>аеродрома на Средњем </w:t>
      </w:r>
      <w:r>
        <w:rPr>
          <w:color w:val="231F20"/>
          <w:spacing w:val="-4"/>
        </w:rPr>
        <w:t>костолачком</w:t>
      </w:r>
      <w:r>
        <w:rPr>
          <w:color w:val="231F20"/>
          <w:spacing w:val="-2"/>
        </w:rPr>
        <w:t> </w:t>
      </w:r>
      <w:r>
        <w:rPr>
          <w:color w:val="231F20"/>
          <w:spacing w:val="-4"/>
        </w:rPr>
        <w:t>острву.</w:t>
      </w:r>
    </w:p>
    <w:p>
      <w:pPr>
        <w:pStyle w:val="BodyText"/>
        <w:spacing w:line="237" w:lineRule="auto"/>
        <w:ind w:left="455" w:firstLine="396"/>
      </w:pPr>
      <w:r>
        <w:rPr>
          <w:color w:val="231F20"/>
        </w:rPr>
        <w:t>За потребе туристичког развоја резервишу се локације у</w:t>
      </w:r>
      <w:r>
        <w:rPr>
          <w:color w:val="231F20"/>
          <w:spacing w:val="-33"/>
        </w:rPr>
        <w:t> </w:t>
      </w:r>
      <w:r>
        <w:rPr>
          <w:color w:val="231F20"/>
        </w:rPr>
        <w:t>при- обалном појасу Коридора VII – Дунава и Велике Мораве као и у оквиру градског подручја</w:t>
      </w:r>
      <w:r>
        <w:rPr>
          <w:color w:val="231F20"/>
          <w:spacing w:val="-3"/>
        </w:rPr>
        <w:t> </w:t>
      </w:r>
      <w:r>
        <w:rPr>
          <w:color w:val="231F20"/>
        </w:rPr>
        <w:t>Пожаревца.</w:t>
      </w:r>
    </w:p>
    <w:p>
      <w:pPr>
        <w:pStyle w:val="BodyText"/>
        <w:ind w:left="455" w:firstLine="397"/>
      </w:pPr>
      <w:r>
        <w:rPr>
          <w:color w:val="231F20"/>
        </w:rPr>
        <w:t>Привреднo-индустријски развој Планског подручја везан је првенствено за рударско-енергетски комплекс и градско подручје Пожаревца.</w:t>
      </w:r>
    </w:p>
    <w:p>
      <w:pPr>
        <w:pStyle w:val="BodyText"/>
        <w:spacing w:line="237" w:lineRule="auto"/>
        <w:ind w:left="455" w:firstLine="396"/>
      </w:pPr>
      <w:r>
        <w:rPr>
          <w:color w:val="231F20"/>
        </w:rPr>
        <w:t>Саобраћајни систем Планског подручја чини мрежа путних саобраћајница </w:t>
      </w:r>
      <w:r>
        <w:rPr>
          <w:color w:val="231F20"/>
          <w:spacing w:val="-3"/>
        </w:rPr>
        <w:t>магистралног, </w:t>
      </w:r>
      <w:r>
        <w:rPr>
          <w:color w:val="231F20"/>
        </w:rPr>
        <w:t>регионалног и локалног значаја, же- лезничке пруге јавног и локалног значаја и пловни коридори Ду- нава и (евентуално) Велике Мораве. Поред постојећих, предвиђа се нова саобраћајница регионалног значаја поред десне обале Ду- нава</w:t>
      </w:r>
      <w:r>
        <w:rPr>
          <w:color w:val="231F20"/>
          <w:spacing w:val="-8"/>
        </w:rPr>
        <w:t> </w:t>
      </w:r>
      <w:r>
        <w:rPr>
          <w:color w:val="231F20"/>
          <w:spacing w:val="-3"/>
        </w:rPr>
        <w:t>од</w:t>
      </w:r>
      <w:r>
        <w:rPr>
          <w:color w:val="231F20"/>
          <w:spacing w:val="-8"/>
        </w:rPr>
        <w:t> </w:t>
      </w:r>
      <w:r>
        <w:rPr>
          <w:color w:val="231F20"/>
        </w:rPr>
        <w:t>Рама,</w:t>
      </w:r>
      <w:r>
        <w:rPr>
          <w:color w:val="231F20"/>
          <w:spacing w:val="-8"/>
        </w:rPr>
        <w:t> </w:t>
      </w:r>
      <w:r>
        <w:rPr>
          <w:color w:val="231F20"/>
          <w:spacing w:val="-3"/>
        </w:rPr>
        <w:t>преко</w:t>
      </w:r>
      <w:r>
        <w:rPr>
          <w:color w:val="231F20"/>
          <w:spacing w:val="-8"/>
        </w:rPr>
        <w:t> </w:t>
      </w:r>
      <w:r>
        <w:rPr>
          <w:color w:val="231F20"/>
        </w:rPr>
        <w:t>Костолца</w:t>
      </w:r>
      <w:r>
        <w:rPr>
          <w:color w:val="231F20"/>
          <w:spacing w:val="-8"/>
        </w:rPr>
        <w:t> </w:t>
      </w:r>
      <w:r>
        <w:rPr>
          <w:color w:val="231F20"/>
        </w:rPr>
        <w:t>до</w:t>
      </w:r>
      <w:r>
        <w:rPr>
          <w:color w:val="231F20"/>
          <w:spacing w:val="-8"/>
        </w:rPr>
        <w:t> </w:t>
      </w:r>
      <w:r>
        <w:rPr>
          <w:color w:val="231F20"/>
        </w:rPr>
        <w:t>моста</w:t>
      </w:r>
      <w:r>
        <w:rPr>
          <w:color w:val="231F20"/>
          <w:spacing w:val="-8"/>
        </w:rPr>
        <w:t> </w:t>
      </w:r>
      <w:r>
        <w:rPr>
          <w:color w:val="231F20"/>
          <w:spacing w:val="-3"/>
        </w:rPr>
        <w:t>преко</w:t>
      </w:r>
      <w:r>
        <w:rPr>
          <w:color w:val="231F20"/>
          <w:spacing w:val="-8"/>
        </w:rPr>
        <w:t> </w:t>
      </w:r>
      <w:r>
        <w:rPr>
          <w:color w:val="231F20"/>
        </w:rPr>
        <w:t>Дунава</w:t>
      </w:r>
      <w:r>
        <w:rPr>
          <w:color w:val="231F20"/>
          <w:spacing w:val="-8"/>
        </w:rPr>
        <w:t> </w:t>
      </w:r>
      <w:r>
        <w:rPr>
          <w:color w:val="231F20"/>
        </w:rPr>
        <w:t>(Смедерево</w:t>
      </w:r>
      <w:r>
        <w:rPr>
          <w:color w:val="231F20"/>
          <w:spacing w:val="18"/>
        </w:rPr>
        <w:t> </w:t>
      </w:r>
      <w:r>
        <w:rPr>
          <w:color w:val="231F20"/>
        </w:rPr>
        <w:t>– Ковин).</w:t>
      </w:r>
      <w:r>
        <w:rPr>
          <w:color w:val="231F20"/>
          <w:spacing w:val="-9"/>
        </w:rPr>
        <w:t> </w:t>
      </w:r>
      <w:r>
        <w:rPr>
          <w:color w:val="231F20"/>
        </w:rPr>
        <w:t>Ова</w:t>
      </w:r>
      <w:r>
        <w:rPr>
          <w:color w:val="231F20"/>
          <w:spacing w:val="-9"/>
        </w:rPr>
        <w:t> </w:t>
      </w:r>
      <w:r>
        <w:rPr>
          <w:color w:val="231F20"/>
        </w:rPr>
        <w:t>саобраћајница</w:t>
      </w:r>
      <w:r>
        <w:rPr>
          <w:color w:val="231F20"/>
          <w:spacing w:val="-9"/>
        </w:rPr>
        <w:t> </w:t>
      </w:r>
      <w:r>
        <w:rPr>
          <w:color w:val="231F20"/>
        </w:rPr>
        <w:t>ће</w:t>
      </w:r>
      <w:r>
        <w:rPr>
          <w:color w:val="231F20"/>
          <w:spacing w:val="-9"/>
        </w:rPr>
        <w:t> </w:t>
      </w:r>
      <w:r>
        <w:rPr>
          <w:color w:val="231F20"/>
        </w:rPr>
        <w:t>омогућити</w:t>
      </w:r>
      <w:r>
        <w:rPr>
          <w:color w:val="231F20"/>
          <w:spacing w:val="-9"/>
        </w:rPr>
        <w:t> </w:t>
      </w:r>
      <w:r>
        <w:rPr>
          <w:color w:val="231F20"/>
        </w:rPr>
        <w:t>комплетирање</w:t>
      </w:r>
      <w:r>
        <w:rPr>
          <w:color w:val="231F20"/>
          <w:spacing w:val="-9"/>
        </w:rPr>
        <w:t> </w:t>
      </w:r>
      <w:r>
        <w:rPr>
          <w:color w:val="231F20"/>
        </w:rPr>
        <w:t>„дунавске магистрале” и садржаће у </w:t>
      </w:r>
      <w:r>
        <w:rPr>
          <w:color w:val="231F20"/>
          <w:spacing w:val="-3"/>
        </w:rPr>
        <w:t>профилу, </w:t>
      </w:r>
      <w:r>
        <w:rPr>
          <w:color w:val="231F20"/>
        </w:rPr>
        <w:t>поред путног коловоза, бици- клистичку и пешачку</w:t>
      </w:r>
      <w:r>
        <w:rPr>
          <w:color w:val="231F20"/>
          <w:spacing w:val="-2"/>
        </w:rPr>
        <w:t> </w:t>
      </w:r>
      <w:r>
        <w:rPr>
          <w:color w:val="231F20"/>
          <w:spacing w:val="-4"/>
        </w:rPr>
        <w:t>стазу.</w:t>
      </w:r>
    </w:p>
    <w:p>
      <w:pPr>
        <w:pStyle w:val="BodyText"/>
        <w:ind w:left="456" w:firstLine="396"/>
      </w:pPr>
      <w:r>
        <w:rPr>
          <w:color w:val="231F20"/>
          <w:spacing w:val="-3"/>
        </w:rPr>
        <w:t>Археолошко </w:t>
      </w:r>
      <w:r>
        <w:rPr>
          <w:color w:val="231F20"/>
        </w:rPr>
        <w:t>налазиште „Виминацијум” уређује се, користи и штити у складу са </w:t>
      </w:r>
      <w:r>
        <w:rPr>
          <w:color w:val="231F20"/>
          <w:spacing w:val="-3"/>
        </w:rPr>
        <w:t>Законом </w:t>
      </w:r>
      <w:r>
        <w:rPr>
          <w:color w:val="231F20"/>
        </w:rPr>
        <w:t>о културним добрима („Службени гласник РС”, број 71/94) и </w:t>
      </w:r>
      <w:r>
        <w:rPr>
          <w:color w:val="231F20"/>
          <w:spacing w:val="-3"/>
        </w:rPr>
        <w:t>Одлуком </w:t>
      </w:r>
      <w:r>
        <w:rPr>
          <w:color w:val="231F20"/>
        </w:rPr>
        <w:t>о утврђивању локалитета Ви- минацијум</w:t>
      </w:r>
      <w:r>
        <w:rPr>
          <w:color w:val="231F20"/>
          <w:spacing w:val="-5"/>
        </w:rPr>
        <w:t> </w:t>
      </w:r>
      <w:r>
        <w:rPr>
          <w:color w:val="231F20"/>
        </w:rPr>
        <w:t>у</w:t>
      </w:r>
      <w:r>
        <w:rPr>
          <w:color w:val="231F20"/>
          <w:spacing w:val="-5"/>
        </w:rPr>
        <w:t> </w:t>
      </w:r>
      <w:r>
        <w:rPr>
          <w:color w:val="231F20"/>
        </w:rPr>
        <w:t>атару</w:t>
      </w:r>
      <w:r>
        <w:rPr>
          <w:color w:val="231F20"/>
          <w:spacing w:val="-5"/>
        </w:rPr>
        <w:t> </w:t>
      </w:r>
      <w:r>
        <w:rPr>
          <w:color w:val="231F20"/>
        </w:rPr>
        <w:t>села</w:t>
      </w:r>
      <w:r>
        <w:rPr>
          <w:color w:val="231F20"/>
          <w:spacing w:val="-5"/>
        </w:rPr>
        <w:t> </w:t>
      </w:r>
      <w:r>
        <w:rPr>
          <w:color w:val="231F20"/>
        </w:rPr>
        <w:t>Стари</w:t>
      </w:r>
      <w:r>
        <w:rPr>
          <w:color w:val="231F20"/>
          <w:spacing w:val="-5"/>
        </w:rPr>
        <w:t> </w:t>
      </w:r>
      <w:r>
        <w:rPr>
          <w:color w:val="231F20"/>
        </w:rPr>
        <w:t>Костолац</w:t>
      </w:r>
      <w:r>
        <w:rPr>
          <w:color w:val="231F20"/>
          <w:spacing w:val="-5"/>
        </w:rPr>
        <w:t> </w:t>
      </w:r>
      <w:r>
        <w:rPr>
          <w:color w:val="231F20"/>
        </w:rPr>
        <w:t>за</w:t>
      </w:r>
      <w:r>
        <w:rPr>
          <w:color w:val="231F20"/>
          <w:spacing w:val="-5"/>
        </w:rPr>
        <w:t> </w:t>
      </w:r>
      <w:r>
        <w:rPr>
          <w:color w:val="231F20"/>
        </w:rPr>
        <w:t>археолошко</w:t>
      </w:r>
      <w:r>
        <w:rPr>
          <w:color w:val="231F20"/>
          <w:spacing w:val="-5"/>
        </w:rPr>
        <w:t> </w:t>
      </w:r>
      <w:r>
        <w:rPr>
          <w:color w:val="231F20"/>
        </w:rPr>
        <w:t>налазиште („Службени гласник РС”, број 102/09). Саобраћајна доступност археолошког налазишта обезбеђује се мрежом путних саобраћај- ница и формирањем пристаништа и марине на</w:t>
      </w:r>
      <w:r>
        <w:rPr>
          <w:color w:val="231F20"/>
          <w:spacing w:val="-10"/>
        </w:rPr>
        <w:t> </w:t>
      </w:r>
      <w:r>
        <w:rPr>
          <w:color w:val="231F20"/>
          <w:spacing w:val="-4"/>
        </w:rPr>
        <w:t>Дунаву.</w:t>
      </w:r>
    </w:p>
    <w:p>
      <w:pPr>
        <w:pStyle w:val="BodyText"/>
        <w:spacing w:line="237" w:lineRule="auto" w:before="73"/>
        <w:ind w:left="243" w:right="125" w:firstLine="396"/>
      </w:pPr>
      <w:r>
        <w:rPr/>
        <w:br w:type="column"/>
      </w:r>
      <w:r>
        <w:rPr>
          <w:color w:val="231F20"/>
        </w:rPr>
        <w:t>Коришћење пољопривредног земљишта је значајно огра- ничено у зони развоја рударско-енергетског </w:t>
      </w:r>
      <w:r>
        <w:rPr>
          <w:color w:val="231F20"/>
          <w:spacing w:val="-3"/>
        </w:rPr>
        <w:t>комплекса </w:t>
      </w:r>
      <w:r>
        <w:rPr>
          <w:color w:val="231F20"/>
        </w:rPr>
        <w:t>и њеном непосредном </w:t>
      </w:r>
      <w:r>
        <w:rPr>
          <w:color w:val="231F20"/>
          <w:spacing w:val="-4"/>
        </w:rPr>
        <w:t>окружењу. </w:t>
      </w:r>
      <w:r>
        <w:rPr>
          <w:color w:val="231F20"/>
        </w:rPr>
        <w:t>Мерама интензивне рекултивације део земљишта </w:t>
      </w:r>
      <w:r>
        <w:rPr>
          <w:color w:val="231F20"/>
          <w:spacing w:val="-3"/>
        </w:rPr>
        <w:t>који </w:t>
      </w:r>
      <w:r>
        <w:rPr>
          <w:color w:val="231F20"/>
        </w:rPr>
        <w:t>је </w:t>
      </w:r>
      <w:r>
        <w:rPr>
          <w:color w:val="231F20"/>
          <w:spacing w:val="-3"/>
        </w:rPr>
        <w:t>заузет </w:t>
      </w:r>
      <w:r>
        <w:rPr>
          <w:color w:val="231F20"/>
        </w:rPr>
        <w:t>за потребе </w:t>
      </w:r>
      <w:r>
        <w:rPr>
          <w:color w:val="231F20"/>
          <w:spacing w:val="-3"/>
        </w:rPr>
        <w:t>рударства </w:t>
      </w:r>
      <w:r>
        <w:rPr>
          <w:color w:val="231F20"/>
        </w:rPr>
        <w:t>и енергетике биће враћен пољопривреди, део ће бити пошумљен, а у заосталим де- пресијама</w:t>
      </w:r>
      <w:r>
        <w:rPr>
          <w:color w:val="231F20"/>
          <w:spacing w:val="-11"/>
        </w:rPr>
        <w:t> </w:t>
      </w:r>
      <w:r>
        <w:rPr>
          <w:color w:val="231F20"/>
        </w:rPr>
        <w:t>по</w:t>
      </w:r>
      <w:r>
        <w:rPr>
          <w:color w:val="231F20"/>
          <w:spacing w:val="-11"/>
        </w:rPr>
        <w:t> </w:t>
      </w:r>
      <w:r>
        <w:rPr>
          <w:color w:val="231F20"/>
        </w:rPr>
        <w:t>окончању</w:t>
      </w:r>
      <w:r>
        <w:rPr>
          <w:color w:val="231F20"/>
          <w:spacing w:val="-11"/>
        </w:rPr>
        <w:t> </w:t>
      </w:r>
      <w:r>
        <w:rPr>
          <w:color w:val="231F20"/>
        </w:rPr>
        <w:t>рударских</w:t>
      </w:r>
      <w:r>
        <w:rPr>
          <w:color w:val="231F20"/>
          <w:spacing w:val="-11"/>
        </w:rPr>
        <w:t> </w:t>
      </w:r>
      <w:r>
        <w:rPr>
          <w:color w:val="231F20"/>
        </w:rPr>
        <w:t>радова</w:t>
      </w:r>
      <w:r>
        <w:rPr>
          <w:color w:val="231F20"/>
          <w:spacing w:val="-11"/>
        </w:rPr>
        <w:t> </w:t>
      </w:r>
      <w:r>
        <w:rPr>
          <w:color w:val="231F20"/>
        </w:rPr>
        <w:t>биће</w:t>
      </w:r>
      <w:r>
        <w:rPr>
          <w:color w:val="231F20"/>
          <w:spacing w:val="-11"/>
        </w:rPr>
        <w:t> </w:t>
      </w:r>
      <w:r>
        <w:rPr>
          <w:color w:val="231F20"/>
        </w:rPr>
        <w:t>формирана</w:t>
      </w:r>
      <w:r>
        <w:rPr>
          <w:color w:val="231F20"/>
          <w:spacing w:val="-11"/>
        </w:rPr>
        <w:t> </w:t>
      </w:r>
      <w:r>
        <w:rPr>
          <w:color w:val="231F20"/>
        </w:rPr>
        <w:t>вештач- ка</w:t>
      </w:r>
      <w:r>
        <w:rPr>
          <w:color w:val="231F20"/>
          <w:spacing w:val="-1"/>
        </w:rPr>
        <w:t> </w:t>
      </w:r>
      <w:r>
        <w:rPr>
          <w:color w:val="231F20"/>
        </w:rPr>
        <w:t>језера.</w:t>
      </w:r>
    </w:p>
    <w:p>
      <w:pPr>
        <w:pStyle w:val="Heading1"/>
        <w:spacing w:before="165"/>
        <w:ind w:left="1946" w:firstLine="0"/>
      </w:pPr>
      <w:r>
        <w:rPr>
          <w:color w:val="231F20"/>
        </w:rPr>
        <w:t>III. Планска решења</w:t>
      </w:r>
    </w:p>
    <w:p>
      <w:pPr>
        <w:pStyle w:val="ListParagraph"/>
        <w:numPr>
          <w:ilvl w:val="2"/>
          <w:numId w:val="28"/>
        </w:numPr>
        <w:tabs>
          <w:tab w:pos="1923" w:val="left" w:leader="none"/>
        </w:tabs>
        <w:spacing w:line="240" w:lineRule="auto" w:before="168" w:after="0"/>
        <w:ind w:left="1922" w:right="0" w:hanging="180"/>
        <w:jc w:val="left"/>
        <w:rPr>
          <w:b/>
          <w:sz w:val="18"/>
        </w:rPr>
      </w:pPr>
      <w:r>
        <w:rPr>
          <w:b/>
          <w:color w:val="231F20"/>
          <w:sz w:val="18"/>
        </w:rPr>
        <w:t>Рударство и</w:t>
      </w:r>
      <w:r>
        <w:rPr>
          <w:b/>
          <w:color w:val="231F20"/>
          <w:spacing w:val="-3"/>
          <w:sz w:val="18"/>
        </w:rPr>
        <w:t> </w:t>
      </w:r>
      <w:r>
        <w:rPr>
          <w:b/>
          <w:color w:val="231F20"/>
          <w:sz w:val="18"/>
        </w:rPr>
        <w:t>енергетика</w:t>
      </w:r>
    </w:p>
    <w:p>
      <w:pPr>
        <w:pStyle w:val="ListParagraph"/>
        <w:numPr>
          <w:ilvl w:val="3"/>
          <w:numId w:val="28"/>
        </w:numPr>
        <w:tabs>
          <w:tab w:pos="2535" w:val="left" w:leader="none"/>
        </w:tabs>
        <w:spacing w:line="240" w:lineRule="auto" w:before="167" w:after="0"/>
        <w:ind w:left="2534" w:right="0" w:hanging="315"/>
        <w:jc w:val="left"/>
        <w:rPr>
          <w:i/>
          <w:sz w:val="18"/>
        </w:rPr>
      </w:pPr>
      <w:r>
        <w:rPr>
          <w:i/>
          <w:color w:val="231F20"/>
          <w:sz w:val="18"/>
        </w:rPr>
        <w:t>Рударство</w:t>
      </w:r>
    </w:p>
    <w:p>
      <w:pPr>
        <w:pStyle w:val="BodyText"/>
        <w:spacing w:before="8"/>
        <w:ind w:left="0"/>
        <w:jc w:val="left"/>
        <w:rPr>
          <w:i/>
          <w:sz w:val="17"/>
        </w:rPr>
      </w:pPr>
    </w:p>
    <w:p>
      <w:pPr>
        <w:pStyle w:val="BodyText"/>
        <w:spacing w:line="237" w:lineRule="auto"/>
        <w:ind w:left="243" w:right="125" w:firstLine="397"/>
      </w:pPr>
      <w:r>
        <w:rPr>
          <w:color w:val="231F20"/>
        </w:rPr>
        <w:t>Стратегија</w:t>
      </w:r>
      <w:r>
        <w:rPr>
          <w:color w:val="231F20"/>
          <w:spacing w:val="-11"/>
        </w:rPr>
        <w:t> </w:t>
      </w:r>
      <w:r>
        <w:rPr>
          <w:color w:val="231F20"/>
        </w:rPr>
        <w:t>развоја</w:t>
      </w:r>
      <w:r>
        <w:rPr>
          <w:color w:val="231F20"/>
          <w:spacing w:val="-11"/>
        </w:rPr>
        <w:t> </w:t>
      </w:r>
      <w:r>
        <w:rPr>
          <w:color w:val="231F20"/>
        </w:rPr>
        <w:t>енергетике</w:t>
      </w:r>
      <w:r>
        <w:rPr>
          <w:color w:val="231F20"/>
          <w:spacing w:val="-11"/>
        </w:rPr>
        <w:t> </w:t>
      </w:r>
      <w:r>
        <w:rPr>
          <w:color w:val="231F20"/>
          <w:spacing w:val="-3"/>
        </w:rPr>
        <w:t>Републике</w:t>
      </w:r>
      <w:r>
        <w:rPr>
          <w:color w:val="231F20"/>
          <w:spacing w:val="-11"/>
        </w:rPr>
        <w:t> </w:t>
      </w:r>
      <w:r>
        <w:rPr>
          <w:color w:val="231F20"/>
        </w:rPr>
        <w:t>Србије</w:t>
      </w:r>
      <w:r>
        <w:rPr>
          <w:color w:val="231F20"/>
          <w:spacing w:val="-11"/>
        </w:rPr>
        <w:t> </w:t>
      </w:r>
      <w:r>
        <w:rPr>
          <w:color w:val="231F20"/>
        </w:rPr>
        <w:t>са</w:t>
      </w:r>
      <w:r>
        <w:rPr>
          <w:color w:val="231F20"/>
          <w:spacing w:val="-11"/>
        </w:rPr>
        <w:t> </w:t>
      </w:r>
      <w:r>
        <w:rPr>
          <w:color w:val="231F20"/>
        </w:rPr>
        <w:t>дефиниса- ним дугорочним и </w:t>
      </w:r>
      <w:r>
        <w:rPr>
          <w:color w:val="231F20"/>
          <w:spacing w:val="-3"/>
        </w:rPr>
        <w:t>краткорочним </w:t>
      </w:r>
      <w:r>
        <w:rPr>
          <w:color w:val="231F20"/>
        </w:rPr>
        <w:t>циљевима промовише </w:t>
      </w:r>
      <w:r>
        <w:rPr>
          <w:color w:val="231F20"/>
          <w:spacing w:val="-3"/>
        </w:rPr>
        <w:t>рударски </w:t>
      </w:r>
      <w:r>
        <w:rPr>
          <w:color w:val="231F20"/>
        </w:rPr>
        <w:t>сектор и угаљ као незаобилазан фактор укупног привредног раз- воја</w:t>
      </w:r>
      <w:r>
        <w:rPr>
          <w:color w:val="231F20"/>
          <w:spacing w:val="-6"/>
        </w:rPr>
        <w:t> </w:t>
      </w:r>
      <w:r>
        <w:rPr>
          <w:color w:val="231F20"/>
          <w:spacing w:val="-3"/>
        </w:rPr>
        <w:t>Републике</w:t>
      </w:r>
      <w:r>
        <w:rPr>
          <w:color w:val="231F20"/>
          <w:spacing w:val="-6"/>
        </w:rPr>
        <w:t> </w:t>
      </w:r>
      <w:r>
        <w:rPr>
          <w:color w:val="231F20"/>
        </w:rPr>
        <w:t>Србије</w:t>
      </w:r>
      <w:r>
        <w:rPr>
          <w:color w:val="231F20"/>
          <w:spacing w:val="-6"/>
        </w:rPr>
        <w:t> </w:t>
      </w:r>
      <w:r>
        <w:rPr>
          <w:color w:val="231F20"/>
        </w:rPr>
        <w:t>са</w:t>
      </w:r>
      <w:r>
        <w:rPr>
          <w:color w:val="231F20"/>
          <w:spacing w:val="-6"/>
        </w:rPr>
        <w:t> </w:t>
      </w:r>
      <w:r>
        <w:rPr>
          <w:color w:val="231F20"/>
        </w:rPr>
        <w:t>великим</w:t>
      </w:r>
      <w:r>
        <w:rPr>
          <w:color w:val="231F20"/>
          <w:spacing w:val="-6"/>
        </w:rPr>
        <w:t> </w:t>
      </w:r>
      <w:r>
        <w:rPr>
          <w:color w:val="231F20"/>
        </w:rPr>
        <w:t>потенцијалом</w:t>
      </w:r>
      <w:r>
        <w:rPr>
          <w:color w:val="231F20"/>
          <w:spacing w:val="-6"/>
        </w:rPr>
        <w:t> </w:t>
      </w:r>
      <w:r>
        <w:rPr>
          <w:color w:val="231F20"/>
        </w:rPr>
        <w:t>за</w:t>
      </w:r>
      <w:r>
        <w:rPr>
          <w:color w:val="231F20"/>
          <w:spacing w:val="-6"/>
        </w:rPr>
        <w:t> </w:t>
      </w:r>
      <w:r>
        <w:rPr>
          <w:color w:val="231F20"/>
        </w:rPr>
        <w:t>инвестирање.</w:t>
      </w:r>
    </w:p>
    <w:p>
      <w:pPr>
        <w:pStyle w:val="BodyText"/>
        <w:spacing w:line="202" w:lineRule="exact"/>
        <w:ind w:left="640"/>
        <w:jc w:val="left"/>
      </w:pPr>
      <w:r>
        <w:rPr>
          <w:color w:val="231F20"/>
        </w:rPr>
        <w:t>Основни циљеви Стратегије су:</w:t>
      </w:r>
    </w:p>
    <w:p>
      <w:pPr>
        <w:pStyle w:val="BodyText"/>
        <w:spacing w:line="237" w:lineRule="auto" w:before="1"/>
        <w:ind w:left="243" w:right="125" w:firstLine="396"/>
      </w:pPr>
      <w:r>
        <w:rPr>
          <w:color w:val="231F20"/>
          <w:w w:val="66"/>
        </w:rPr>
        <w:t> </w:t>
      </w:r>
      <w:r>
        <w:rPr>
          <w:color w:val="231F20"/>
        </w:rPr>
        <w:t>–</w:t>
      </w:r>
      <w:r>
        <w:rPr>
          <w:color w:val="231F20"/>
          <w:spacing w:val="-12"/>
        </w:rPr>
        <w:t> </w:t>
      </w:r>
      <w:r>
        <w:rPr>
          <w:color w:val="231F20"/>
        </w:rPr>
        <w:t>повећање</w:t>
      </w:r>
      <w:r>
        <w:rPr>
          <w:color w:val="231F20"/>
          <w:spacing w:val="-12"/>
        </w:rPr>
        <w:t> </w:t>
      </w:r>
      <w:r>
        <w:rPr>
          <w:color w:val="231F20"/>
        </w:rPr>
        <w:t>ефикасности</w:t>
      </w:r>
      <w:r>
        <w:rPr>
          <w:color w:val="231F20"/>
          <w:spacing w:val="-12"/>
        </w:rPr>
        <w:t> </w:t>
      </w:r>
      <w:r>
        <w:rPr>
          <w:color w:val="231F20"/>
        </w:rPr>
        <w:t>функционисања</w:t>
      </w:r>
      <w:r>
        <w:rPr>
          <w:color w:val="231F20"/>
          <w:spacing w:val="-12"/>
        </w:rPr>
        <w:t> </w:t>
      </w:r>
      <w:r>
        <w:rPr>
          <w:color w:val="231F20"/>
        </w:rPr>
        <w:t>сложеног</w:t>
      </w:r>
      <w:r>
        <w:rPr>
          <w:color w:val="231F20"/>
          <w:spacing w:val="-12"/>
        </w:rPr>
        <w:t> </w:t>
      </w:r>
      <w:r>
        <w:rPr>
          <w:color w:val="231F20"/>
          <w:spacing w:val="-3"/>
        </w:rPr>
        <w:t>рударско- </w:t>
      </w:r>
      <w:r>
        <w:rPr>
          <w:color w:val="231F20"/>
        </w:rPr>
        <w:t>енергетског</w:t>
      </w:r>
      <w:r>
        <w:rPr>
          <w:color w:val="231F20"/>
          <w:spacing w:val="-1"/>
        </w:rPr>
        <w:t> </w:t>
      </w:r>
      <w:r>
        <w:rPr>
          <w:color w:val="231F20"/>
        </w:rPr>
        <w:t>система;</w:t>
      </w:r>
    </w:p>
    <w:p>
      <w:pPr>
        <w:pStyle w:val="BodyText"/>
        <w:spacing w:line="203" w:lineRule="exact"/>
        <w:ind w:left="640"/>
        <w:jc w:val="left"/>
      </w:pPr>
      <w:r>
        <w:rPr>
          <w:color w:val="231F20"/>
          <w:w w:val="66"/>
        </w:rPr>
        <w:t> </w:t>
      </w:r>
      <w:r>
        <w:rPr>
          <w:color w:val="231F20"/>
        </w:rPr>
        <w:t>– повећање енергетске ефикасности;</w:t>
      </w:r>
    </w:p>
    <w:p>
      <w:pPr>
        <w:pStyle w:val="BodyText"/>
        <w:spacing w:line="237" w:lineRule="auto"/>
        <w:ind w:left="243" w:right="125" w:firstLine="396"/>
      </w:pPr>
      <w:r>
        <w:rPr>
          <w:color w:val="231F20"/>
          <w:w w:val="66"/>
        </w:rPr>
        <w:t> </w:t>
      </w:r>
      <w:r>
        <w:rPr>
          <w:color w:val="231F20"/>
        </w:rPr>
        <w:t>– реализација пројеката развоја и ревитализације енергети- ке у функцији структурно складнијег и равномернијег просторног развоја подручја;</w:t>
      </w:r>
    </w:p>
    <w:p>
      <w:pPr>
        <w:pStyle w:val="BodyText"/>
        <w:spacing w:line="237" w:lineRule="auto"/>
        <w:ind w:left="244" w:right="124" w:firstLine="396"/>
      </w:pPr>
      <w:r>
        <w:rPr>
          <w:color w:val="231F20"/>
          <w:w w:val="66"/>
        </w:rPr>
        <w:t> </w:t>
      </w:r>
      <w:r>
        <w:rPr>
          <w:color w:val="231F20"/>
        </w:rPr>
        <w:t>– неутралисање неповољних ефеката искоришћења ресурса лигнита на садашњем степену техничко-технолошког развоја;</w:t>
      </w:r>
    </w:p>
    <w:p>
      <w:pPr>
        <w:pStyle w:val="BodyText"/>
        <w:spacing w:line="237" w:lineRule="auto"/>
        <w:ind w:left="244" w:right="124" w:firstLine="396"/>
      </w:pPr>
      <w:r>
        <w:rPr>
          <w:color w:val="231F20"/>
          <w:w w:val="66"/>
        </w:rPr>
        <w:t> </w:t>
      </w:r>
      <w:r>
        <w:rPr>
          <w:color w:val="231F20"/>
        </w:rPr>
        <w:t>– структурно прилагођавање и реструктуирање предузећа на подручју и</w:t>
      </w:r>
    </w:p>
    <w:p>
      <w:pPr>
        <w:pStyle w:val="BodyText"/>
        <w:spacing w:line="203" w:lineRule="exact"/>
        <w:ind w:left="641"/>
        <w:jc w:val="left"/>
      </w:pPr>
      <w:r>
        <w:rPr>
          <w:color w:val="231F20"/>
          <w:w w:val="66"/>
        </w:rPr>
        <w:t> </w:t>
      </w:r>
      <w:r>
        <w:rPr>
          <w:color w:val="231F20"/>
        </w:rPr>
        <w:t>– побољшање услова живљења.</w:t>
      </w:r>
    </w:p>
    <w:p>
      <w:pPr>
        <w:pStyle w:val="BodyText"/>
        <w:spacing w:line="237" w:lineRule="auto"/>
        <w:ind w:left="243" w:right="124" w:firstLine="397"/>
      </w:pPr>
      <w:r>
        <w:rPr>
          <w:color w:val="231F20"/>
        </w:rPr>
        <w:t>Најкомплекснија оцена стања, потенцијала и ограничења за површинске </w:t>
      </w:r>
      <w:r>
        <w:rPr>
          <w:color w:val="231F20"/>
          <w:spacing w:val="-3"/>
        </w:rPr>
        <w:t>копове Костолачког </w:t>
      </w:r>
      <w:r>
        <w:rPr>
          <w:color w:val="231F20"/>
        </w:rPr>
        <w:t>угљеног басена дата су „Инови- раним</w:t>
      </w:r>
      <w:r>
        <w:rPr>
          <w:color w:val="231F20"/>
          <w:spacing w:val="-8"/>
        </w:rPr>
        <w:t> </w:t>
      </w:r>
      <w:r>
        <w:rPr>
          <w:color w:val="231F20"/>
        </w:rPr>
        <w:t>дугорочним</w:t>
      </w:r>
      <w:r>
        <w:rPr>
          <w:color w:val="231F20"/>
          <w:spacing w:val="-8"/>
        </w:rPr>
        <w:t> </w:t>
      </w:r>
      <w:r>
        <w:rPr>
          <w:color w:val="231F20"/>
        </w:rPr>
        <w:t>програмом</w:t>
      </w:r>
      <w:r>
        <w:rPr>
          <w:color w:val="231F20"/>
          <w:spacing w:val="-8"/>
        </w:rPr>
        <w:t> </w:t>
      </w:r>
      <w:r>
        <w:rPr>
          <w:color w:val="231F20"/>
        </w:rPr>
        <w:t>развоја</w:t>
      </w:r>
      <w:r>
        <w:rPr>
          <w:color w:val="231F20"/>
          <w:spacing w:val="-8"/>
        </w:rPr>
        <w:t> </w:t>
      </w:r>
      <w:r>
        <w:rPr>
          <w:color w:val="231F20"/>
        </w:rPr>
        <w:t>експлоатације</w:t>
      </w:r>
      <w:r>
        <w:rPr>
          <w:color w:val="231F20"/>
          <w:spacing w:val="-8"/>
        </w:rPr>
        <w:t> </w:t>
      </w:r>
      <w:r>
        <w:rPr>
          <w:color w:val="231F20"/>
        </w:rPr>
        <w:t>угља</w:t>
      </w:r>
      <w:r>
        <w:rPr>
          <w:color w:val="231F20"/>
          <w:spacing w:val="-8"/>
        </w:rPr>
        <w:t> </w:t>
      </w:r>
      <w:r>
        <w:rPr>
          <w:color w:val="231F20"/>
        </w:rPr>
        <w:t>у</w:t>
      </w:r>
      <w:r>
        <w:rPr>
          <w:color w:val="231F20"/>
          <w:spacing w:val="-8"/>
        </w:rPr>
        <w:t> </w:t>
      </w:r>
      <w:r>
        <w:rPr>
          <w:color w:val="231F20"/>
        </w:rPr>
        <w:t>косто- </w:t>
      </w:r>
      <w:r>
        <w:rPr>
          <w:color w:val="231F20"/>
          <w:spacing w:val="-4"/>
        </w:rPr>
        <w:t>лачком </w:t>
      </w:r>
      <w:r>
        <w:rPr>
          <w:color w:val="231F20"/>
        </w:rPr>
        <w:t>угљоносном басену”</w:t>
      </w:r>
      <w:r>
        <w:rPr>
          <w:color w:val="231F20"/>
          <w:spacing w:val="1"/>
        </w:rPr>
        <w:t> </w:t>
      </w:r>
      <w:r>
        <w:rPr>
          <w:color w:val="231F20"/>
        </w:rPr>
        <w:t>(2006).</w:t>
      </w:r>
    </w:p>
    <w:p>
      <w:pPr>
        <w:pStyle w:val="BodyText"/>
        <w:spacing w:line="237" w:lineRule="auto"/>
        <w:ind w:left="242" w:right="125" w:firstLine="397"/>
      </w:pPr>
      <w:r>
        <w:rPr>
          <w:color w:val="231F20"/>
        </w:rPr>
        <w:t>Дефинисање динамике развоја костолачких </w:t>
      </w:r>
      <w:r>
        <w:rPr>
          <w:color w:val="231F20"/>
          <w:spacing w:val="-3"/>
        </w:rPr>
        <w:t>копова </w:t>
      </w:r>
      <w:r>
        <w:rPr>
          <w:color w:val="231F20"/>
        </w:rPr>
        <w:t>и техно- логије експлоатације откривке и угља са одводњавањем и про- меном расподеле основне опреме, извршено је на бази анализе великог броја достављених геолошких и других пратећих подло- га, као и усвојене </w:t>
      </w:r>
      <w:r>
        <w:rPr>
          <w:color w:val="231F20"/>
          <w:spacing w:val="-3"/>
        </w:rPr>
        <w:t>рударске </w:t>
      </w:r>
      <w:r>
        <w:rPr>
          <w:color w:val="231F20"/>
        </w:rPr>
        <w:t>документације. За континуирани рад термоелектрана „Костолац-А” и „Костолац-Б” усвојен је програм развоја површинског </w:t>
      </w:r>
      <w:r>
        <w:rPr>
          <w:color w:val="231F20"/>
          <w:spacing w:val="-3"/>
        </w:rPr>
        <w:t>копа </w:t>
      </w:r>
      <w:r>
        <w:rPr>
          <w:color w:val="231F20"/>
        </w:rPr>
        <w:t>„Дрмно”, </w:t>
      </w:r>
      <w:r>
        <w:rPr>
          <w:color w:val="231F20"/>
          <w:spacing w:val="-3"/>
        </w:rPr>
        <w:t>који </w:t>
      </w:r>
      <w:r>
        <w:rPr>
          <w:color w:val="231F20"/>
        </w:rPr>
        <w:t>предвиђа повећање про- изводње угља са 6,5 на 9,0 милиона t угља годишње. Као </w:t>
      </w:r>
      <w:r>
        <w:rPr>
          <w:color w:val="231F20"/>
          <w:spacing w:val="-3"/>
        </w:rPr>
        <w:t>резул- </w:t>
      </w:r>
      <w:r>
        <w:rPr>
          <w:color w:val="231F20"/>
        </w:rPr>
        <w:t>тат комплетне техно-економске анализе, предложено је подизање годишњег капацитета површинског </w:t>
      </w:r>
      <w:r>
        <w:rPr>
          <w:color w:val="231F20"/>
          <w:spacing w:val="-3"/>
        </w:rPr>
        <w:t>копа  </w:t>
      </w:r>
      <w:r>
        <w:rPr>
          <w:color w:val="231F20"/>
        </w:rPr>
        <w:t>„Дрмно” на 12 милиона t</w:t>
      </w:r>
      <w:r>
        <w:rPr>
          <w:color w:val="231F20"/>
          <w:spacing w:val="-6"/>
        </w:rPr>
        <w:t> </w:t>
      </w:r>
      <w:r>
        <w:rPr>
          <w:color w:val="231F20"/>
        </w:rPr>
        <w:t>угља</w:t>
      </w:r>
      <w:r>
        <w:rPr>
          <w:color w:val="231F20"/>
          <w:spacing w:val="-6"/>
        </w:rPr>
        <w:t> </w:t>
      </w:r>
      <w:r>
        <w:rPr>
          <w:color w:val="231F20"/>
        </w:rPr>
        <w:t>после</w:t>
      </w:r>
      <w:r>
        <w:rPr>
          <w:color w:val="231F20"/>
          <w:spacing w:val="-6"/>
        </w:rPr>
        <w:t> </w:t>
      </w:r>
      <w:r>
        <w:rPr>
          <w:color w:val="231F20"/>
        </w:rPr>
        <w:t>2012.</w:t>
      </w:r>
      <w:r>
        <w:rPr>
          <w:color w:val="231F20"/>
          <w:spacing w:val="-6"/>
        </w:rPr>
        <w:t> </w:t>
      </w:r>
      <w:r>
        <w:rPr>
          <w:color w:val="231F20"/>
          <w:spacing w:val="-3"/>
        </w:rPr>
        <w:t>године</w:t>
      </w:r>
      <w:r>
        <w:rPr>
          <w:color w:val="231F20"/>
          <w:spacing w:val="-6"/>
        </w:rPr>
        <w:t> </w:t>
      </w:r>
      <w:r>
        <w:rPr>
          <w:color w:val="231F20"/>
        </w:rPr>
        <w:t>за</w:t>
      </w:r>
      <w:r>
        <w:rPr>
          <w:color w:val="231F20"/>
          <w:spacing w:val="-6"/>
        </w:rPr>
        <w:t> </w:t>
      </w:r>
      <w:r>
        <w:rPr>
          <w:color w:val="231F20"/>
        </w:rPr>
        <w:t>снабдевање</w:t>
      </w:r>
      <w:r>
        <w:rPr>
          <w:color w:val="231F20"/>
          <w:spacing w:val="-6"/>
        </w:rPr>
        <w:t> </w:t>
      </w:r>
      <w:r>
        <w:rPr>
          <w:color w:val="231F20"/>
        </w:rPr>
        <w:t>угљем</w:t>
      </w:r>
      <w:r>
        <w:rPr>
          <w:color w:val="231F20"/>
          <w:spacing w:val="-6"/>
        </w:rPr>
        <w:t> </w:t>
      </w:r>
      <w:r>
        <w:rPr>
          <w:color w:val="231F20"/>
        </w:rPr>
        <w:t>новог</w:t>
      </w:r>
      <w:r>
        <w:rPr>
          <w:color w:val="231F20"/>
          <w:spacing w:val="-6"/>
        </w:rPr>
        <w:t> </w:t>
      </w:r>
      <w:r>
        <w:rPr>
          <w:color w:val="231F20"/>
        </w:rPr>
        <w:t>блока</w:t>
      </w:r>
      <w:r>
        <w:rPr>
          <w:color w:val="231F20"/>
          <w:spacing w:val="-6"/>
        </w:rPr>
        <w:t> </w:t>
      </w:r>
      <w:r>
        <w:rPr>
          <w:color w:val="231F20"/>
        </w:rPr>
        <w:t>термо- електране</w:t>
      </w:r>
      <w:r>
        <w:rPr>
          <w:color w:val="231F20"/>
          <w:spacing w:val="-9"/>
        </w:rPr>
        <w:t> </w:t>
      </w:r>
      <w:r>
        <w:rPr>
          <w:color w:val="231F20"/>
        </w:rPr>
        <w:t>„Костолац</w:t>
      </w:r>
      <w:r>
        <w:rPr>
          <w:color w:val="231F20"/>
          <w:spacing w:val="-9"/>
        </w:rPr>
        <w:t> </w:t>
      </w:r>
      <w:r>
        <w:rPr>
          <w:color w:val="231F20"/>
        </w:rPr>
        <w:t>Б”,</w:t>
      </w:r>
      <w:r>
        <w:rPr>
          <w:color w:val="231F20"/>
          <w:spacing w:val="-9"/>
        </w:rPr>
        <w:t> </w:t>
      </w:r>
      <w:r>
        <w:rPr>
          <w:color w:val="231F20"/>
        </w:rPr>
        <w:t>сагласно</w:t>
      </w:r>
      <w:r>
        <w:rPr>
          <w:color w:val="231F20"/>
          <w:spacing w:val="-9"/>
        </w:rPr>
        <w:t> </w:t>
      </w:r>
      <w:r>
        <w:rPr>
          <w:color w:val="231F20"/>
        </w:rPr>
        <w:t>је</w:t>
      </w:r>
      <w:r>
        <w:rPr>
          <w:color w:val="231F20"/>
          <w:spacing w:val="-9"/>
        </w:rPr>
        <w:t> </w:t>
      </w:r>
      <w:r>
        <w:rPr>
          <w:color w:val="231F20"/>
        </w:rPr>
        <w:t>Стратегији</w:t>
      </w:r>
      <w:r>
        <w:rPr>
          <w:color w:val="231F20"/>
          <w:spacing w:val="-9"/>
        </w:rPr>
        <w:t> </w:t>
      </w:r>
      <w:r>
        <w:rPr>
          <w:color w:val="231F20"/>
        </w:rPr>
        <w:t>развоја</w:t>
      </w:r>
      <w:r>
        <w:rPr>
          <w:color w:val="231F20"/>
          <w:spacing w:val="-9"/>
        </w:rPr>
        <w:t> </w:t>
      </w:r>
      <w:r>
        <w:rPr>
          <w:color w:val="231F20"/>
        </w:rPr>
        <w:t>енергетике </w:t>
      </w:r>
      <w:r>
        <w:rPr>
          <w:color w:val="231F20"/>
          <w:spacing w:val="-3"/>
        </w:rPr>
        <w:t>Републике</w:t>
      </w:r>
      <w:r>
        <w:rPr>
          <w:color w:val="231F20"/>
        </w:rPr>
        <w:t> Србије.</w:t>
      </w:r>
    </w:p>
    <w:p>
      <w:pPr>
        <w:pStyle w:val="BodyText"/>
        <w:spacing w:line="237" w:lineRule="auto"/>
        <w:ind w:left="242" w:right="126" w:firstLine="397"/>
      </w:pPr>
      <w:r>
        <w:rPr>
          <w:color w:val="231F20"/>
        </w:rPr>
        <w:t>У </w:t>
      </w:r>
      <w:r>
        <w:rPr>
          <w:color w:val="231F20"/>
          <w:spacing w:val="-4"/>
        </w:rPr>
        <w:t>Костолачком </w:t>
      </w:r>
      <w:r>
        <w:rPr>
          <w:color w:val="231F20"/>
          <w:spacing w:val="-3"/>
        </w:rPr>
        <w:t>басену, </w:t>
      </w:r>
      <w:r>
        <w:rPr>
          <w:color w:val="231F20"/>
        </w:rPr>
        <w:t>у оквиру понтске угљоносне серије, развијена</w:t>
      </w:r>
      <w:r>
        <w:rPr>
          <w:color w:val="231F20"/>
          <w:spacing w:val="-6"/>
        </w:rPr>
        <w:t> </w:t>
      </w:r>
      <w:r>
        <w:rPr>
          <w:color w:val="231F20"/>
        </w:rPr>
        <w:t>су</w:t>
      </w:r>
      <w:r>
        <w:rPr>
          <w:color w:val="231F20"/>
          <w:spacing w:val="-6"/>
        </w:rPr>
        <w:t> </w:t>
      </w:r>
      <w:r>
        <w:rPr>
          <w:color w:val="231F20"/>
        </w:rPr>
        <w:t>три</w:t>
      </w:r>
      <w:r>
        <w:rPr>
          <w:color w:val="231F20"/>
          <w:spacing w:val="-6"/>
        </w:rPr>
        <w:t> </w:t>
      </w:r>
      <w:r>
        <w:rPr>
          <w:color w:val="231F20"/>
        </w:rPr>
        <w:t>угљена</w:t>
      </w:r>
      <w:r>
        <w:rPr>
          <w:color w:val="231F20"/>
          <w:spacing w:val="-6"/>
        </w:rPr>
        <w:t> </w:t>
      </w:r>
      <w:r>
        <w:rPr>
          <w:color w:val="231F20"/>
        </w:rPr>
        <w:t>слоја:</w:t>
      </w:r>
      <w:r>
        <w:rPr>
          <w:color w:val="231F20"/>
          <w:spacing w:val="-6"/>
        </w:rPr>
        <w:t> </w:t>
      </w:r>
      <w:r>
        <w:rPr>
          <w:color w:val="231F20"/>
        </w:rPr>
        <w:t>први,</w:t>
      </w:r>
      <w:r>
        <w:rPr>
          <w:color w:val="231F20"/>
          <w:spacing w:val="-6"/>
        </w:rPr>
        <w:t> </w:t>
      </w:r>
      <w:r>
        <w:rPr>
          <w:color w:val="231F20"/>
        </w:rPr>
        <w:t>други</w:t>
      </w:r>
      <w:r>
        <w:rPr>
          <w:color w:val="231F20"/>
          <w:spacing w:val="-6"/>
        </w:rPr>
        <w:t> </w:t>
      </w:r>
      <w:r>
        <w:rPr>
          <w:color w:val="231F20"/>
        </w:rPr>
        <w:t>и</w:t>
      </w:r>
      <w:r>
        <w:rPr>
          <w:color w:val="231F20"/>
          <w:spacing w:val="-6"/>
        </w:rPr>
        <w:t> </w:t>
      </w:r>
      <w:r>
        <w:rPr>
          <w:color w:val="231F20"/>
        </w:rPr>
        <w:t>трећи</w:t>
      </w:r>
      <w:r>
        <w:rPr>
          <w:color w:val="231F20"/>
          <w:spacing w:val="-6"/>
        </w:rPr>
        <w:t> </w:t>
      </w:r>
      <w:r>
        <w:rPr>
          <w:color w:val="231F20"/>
        </w:rPr>
        <w:t>(главни</w:t>
      </w:r>
      <w:r>
        <w:rPr>
          <w:color w:val="231F20"/>
          <w:spacing w:val="-6"/>
        </w:rPr>
        <w:t> </w:t>
      </w:r>
      <w:r>
        <w:rPr>
          <w:color w:val="231F20"/>
        </w:rPr>
        <w:t>угљени слој). У источном делу басена (лежиште „Дрмно”) развијен је тре- ћи</w:t>
      </w:r>
      <w:r>
        <w:rPr>
          <w:color w:val="231F20"/>
          <w:spacing w:val="-5"/>
        </w:rPr>
        <w:t> </w:t>
      </w:r>
      <w:r>
        <w:rPr>
          <w:color w:val="231F20"/>
        </w:rPr>
        <w:t>и</w:t>
      </w:r>
      <w:r>
        <w:rPr>
          <w:color w:val="231F20"/>
          <w:spacing w:val="-5"/>
        </w:rPr>
        <w:t> </w:t>
      </w:r>
      <w:r>
        <w:rPr>
          <w:color w:val="231F20"/>
        </w:rPr>
        <w:t>на</w:t>
      </w:r>
      <w:r>
        <w:rPr>
          <w:color w:val="231F20"/>
          <w:spacing w:val="-5"/>
        </w:rPr>
        <w:t> </w:t>
      </w:r>
      <w:r>
        <w:rPr>
          <w:color w:val="231F20"/>
        </w:rPr>
        <w:t>мањем</w:t>
      </w:r>
      <w:r>
        <w:rPr>
          <w:color w:val="231F20"/>
          <w:spacing w:val="-5"/>
        </w:rPr>
        <w:t> </w:t>
      </w:r>
      <w:r>
        <w:rPr>
          <w:color w:val="231F20"/>
        </w:rPr>
        <w:t>делу</w:t>
      </w:r>
      <w:r>
        <w:rPr>
          <w:color w:val="231F20"/>
          <w:spacing w:val="-5"/>
        </w:rPr>
        <w:t> </w:t>
      </w:r>
      <w:r>
        <w:rPr>
          <w:color w:val="231F20"/>
        </w:rPr>
        <w:t>други</w:t>
      </w:r>
      <w:r>
        <w:rPr>
          <w:color w:val="231F20"/>
          <w:spacing w:val="-5"/>
        </w:rPr>
        <w:t> </w:t>
      </w:r>
      <w:r>
        <w:rPr>
          <w:color w:val="231F20"/>
        </w:rPr>
        <w:t>угљени</w:t>
      </w:r>
      <w:r>
        <w:rPr>
          <w:color w:val="231F20"/>
          <w:spacing w:val="-5"/>
        </w:rPr>
        <w:t> </w:t>
      </w:r>
      <w:r>
        <w:rPr>
          <w:color w:val="231F20"/>
        </w:rPr>
        <w:t>слој.</w:t>
      </w:r>
      <w:r>
        <w:rPr>
          <w:color w:val="231F20"/>
          <w:spacing w:val="-5"/>
        </w:rPr>
        <w:t> </w:t>
      </w:r>
      <w:r>
        <w:rPr>
          <w:color w:val="231F20"/>
        </w:rPr>
        <w:t>Носилац</w:t>
      </w:r>
      <w:r>
        <w:rPr>
          <w:color w:val="231F20"/>
          <w:spacing w:val="-5"/>
        </w:rPr>
        <w:t> </w:t>
      </w:r>
      <w:r>
        <w:rPr>
          <w:color w:val="231F20"/>
        </w:rPr>
        <w:t>до</w:t>
      </w:r>
      <w:r>
        <w:rPr>
          <w:color w:val="231F20"/>
          <w:spacing w:val="-5"/>
        </w:rPr>
        <w:t> </w:t>
      </w:r>
      <w:r>
        <w:rPr>
          <w:color w:val="231F20"/>
        </w:rPr>
        <w:t>сада</w:t>
      </w:r>
      <w:r>
        <w:rPr>
          <w:color w:val="231F20"/>
          <w:spacing w:val="-5"/>
        </w:rPr>
        <w:t> </w:t>
      </w:r>
      <w:r>
        <w:rPr>
          <w:color w:val="231F20"/>
        </w:rPr>
        <w:t>оконтуре- них</w:t>
      </w:r>
      <w:r>
        <w:rPr>
          <w:color w:val="231F20"/>
          <w:spacing w:val="-8"/>
        </w:rPr>
        <w:t> </w:t>
      </w:r>
      <w:r>
        <w:rPr>
          <w:color w:val="231F20"/>
        </w:rPr>
        <w:t>билансних</w:t>
      </w:r>
      <w:r>
        <w:rPr>
          <w:color w:val="231F20"/>
          <w:spacing w:val="-8"/>
        </w:rPr>
        <w:t> </w:t>
      </w:r>
      <w:r>
        <w:rPr>
          <w:color w:val="231F20"/>
        </w:rPr>
        <w:t>резерви</w:t>
      </w:r>
      <w:r>
        <w:rPr>
          <w:color w:val="231F20"/>
          <w:spacing w:val="-8"/>
        </w:rPr>
        <w:t> </w:t>
      </w:r>
      <w:r>
        <w:rPr>
          <w:color w:val="231F20"/>
        </w:rPr>
        <w:t>угља</w:t>
      </w:r>
      <w:r>
        <w:rPr>
          <w:color w:val="231F20"/>
          <w:spacing w:val="-8"/>
        </w:rPr>
        <w:t> </w:t>
      </w:r>
      <w:r>
        <w:rPr>
          <w:color w:val="231F20"/>
        </w:rPr>
        <w:t>(А+Б+Ц1</w:t>
      </w:r>
      <w:r>
        <w:rPr>
          <w:color w:val="231F20"/>
          <w:spacing w:val="-8"/>
        </w:rPr>
        <w:t> </w:t>
      </w:r>
      <w:r>
        <w:rPr>
          <w:color w:val="231F20"/>
        </w:rPr>
        <w:t>категорије)</w:t>
      </w:r>
      <w:r>
        <w:rPr>
          <w:color w:val="231F20"/>
          <w:spacing w:val="-8"/>
        </w:rPr>
        <w:t> </w:t>
      </w:r>
      <w:r>
        <w:rPr>
          <w:color w:val="231F20"/>
        </w:rPr>
        <w:t>је</w:t>
      </w:r>
      <w:r>
        <w:rPr>
          <w:color w:val="231F20"/>
          <w:spacing w:val="-8"/>
        </w:rPr>
        <w:t> </w:t>
      </w:r>
      <w:r>
        <w:rPr>
          <w:color w:val="231F20"/>
        </w:rPr>
        <w:t>трећи</w:t>
      </w:r>
      <w:r>
        <w:rPr>
          <w:color w:val="231F20"/>
          <w:spacing w:val="-8"/>
        </w:rPr>
        <w:t> </w:t>
      </w:r>
      <w:r>
        <w:rPr>
          <w:color w:val="231F20"/>
        </w:rPr>
        <w:t>угљени слој </w:t>
      </w:r>
      <w:r>
        <w:rPr>
          <w:color w:val="231F20"/>
          <w:spacing w:val="-3"/>
        </w:rPr>
        <w:t>који </w:t>
      </w:r>
      <w:r>
        <w:rPr>
          <w:color w:val="231F20"/>
        </w:rPr>
        <w:t>је </w:t>
      </w:r>
      <w:r>
        <w:rPr>
          <w:color w:val="231F20"/>
          <w:spacing w:val="-3"/>
        </w:rPr>
        <w:t>углавном </w:t>
      </w:r>
      <w:r>
        <w:rPr>
          <w:color w:val="231F20"/>
        </w:rPr>
        <w:t>јединствен и компактан, само местимично садржи прослојке угљевитих </w:t>
      </w:r>
      <w:r>
        <w:rPr>
          <w:color w:val="231F20"/>
          <w:spacing w:val="-3"/>
        </w:rPr>
        <w:t>глина  </w:t>
      </w:r>
      <w:r>
        <w:rPr>
          <w:color w:val="231F20"/>
        </w:rPr>
        <w:t>најчешће дебљине 0,5 m до </w:t>
      </w:r>
      <w:r>
        <w:rPr>
          <w:color w:val="231F20"/>
          <w:spacing w:val="21"/>
        </w:rPr>
        <w:t> </w:t>
      </w:r>
      <w:r>
        <w:rPr>
          <w:color w:val="231F20"/>
        </w:rPr>
        <w:t>2</w:t>
      </w:r>
    </w:p>
    <w:p>
      <w:pPr>
        <w:pStyle w:val="BodyText"/>
        <w:spacing w:line="237" w:lineRule="auto"/>
        <w:ind w:left="242" w:right="125"/>
        <w:jc w:val="right"/>
      </w:pPr>
      <w:r>
        <w:rPr>
          <w:color w:val="231F20"/>
        </w:rPr>
        <w:t>m.</w:t>
      </w:r>
      <w:r>
        <w:rPr>
          <w:color w:val="231F20"/>
          <w:spacing w:val="8"/>
        </w:rPr>
        <w:t> </w:t>
      </w:r>
      <w:r>
        <w:rPr>
          <w:color w:val="231F20"/>
        </w:rPr>
        <w:t>Дебљина</w:t>
      </w:r>
      <w:r>
        <w:rPr>
          <w:color w:val="231F20"/>
          <w:spacing w:val="8"/>
        </w:rPr>
        <w:t> </w:t>
      </w:r>
      <w:r>
        <w:rPr>
          <w:color w:val="231F20"/>
        </w:rPr>
        <w:t>трећег</w:t>
      </w:r>
      <w:r>
        <w:rPr>
          <w:color w:val="231F20"/>
          <w:spacing w:val="8"/>
        </w:rPr>
        <w:t> </w:t>
      </w:r>
      <w:r>
        <w:rPr>
          <w:color w:val="231F20"/>
        </w:rPr>
        <w:t>слоја</w:t>
      </w:r>
      <w:r>
        <w:rPr>
          <w:color w:val="231F20"/>
          <w:spacing w:val="8"/>
        </w:rPr>
        <w:t> </w:t>
      </w:r>
      <w:r>
        <w:rPr>
          <w:color w:val="231F20"/>
        </w:rPr>
        <w:t>варира</w:t>
      </w:r>
      <w:r>
        <w:rPr>
          <w:color w:val="231F20"/>
          <w:spacing w:val="8"/>
        </w:rPr>
        <w:t> </w:t>
      </w:r>
      <w:r>
        <w:rPr>
          <w:color w:val="231F20"/>
        </w:rPr>
        <w:t>у</w:t>
      </w:r>
      <w:r>
        <w:rPr>
          <w:color w:val="231F20"/>
          <w:spacing w:val="8"/>
        </w:rPr>
        <w:t> </w:t>
      </w:r>
      <w:r>
        <w:rPr>
          <w:color w:val="231F20"/>
        </w:rPr>
        <w:t>границама</w:t>
      </w:r>
      <w:r>
        <w:rPr>
          <w:color w:val="231F20"/>
          <w:spacing w:val="8"/>
        </w:rPr>
        <w:t> </w:t>
      </w:r>
      <w:r>
        <w:rPr>
          <w:color w:val="231F20"/>
          <w:spacing w:val="-3"/>
        </w:rPr>
        <w:t>од</w:t>
      </w:r>
      <w:r>
        <w:rPr>
          <w:color w:val="231F20"/>
          <w:spacing w:val="8"/>
        </w:rPr>
        <w:t> </w:t>
      </w:r>
      <w:r>
        <w:rPr>
          <w:color w:val="231F20"/>
        </w:rPr>
        <w:t>10</w:t>
      </w:r>
      <w:r>
        <w:rPr>
          <w:color w:val="231F20"/>
          <w:spacing w:val="8"/>
        </w:rPr>
        <w:t> </w:t>
      </w:r>
      <w:r>
        <w:rPr>
          <w:color w:val="231F20"/>
        </w:rPr>
        <w:t>до</w:t>
      </w:r>
      <w:r>
        <w:rPr>
          <w:color w:val="231F20"/>
          <w:spacing w:val="8"/>
        </w:rPr>
        <w:t> </w:t>
      </w:r>
      <w:r>
        <w:rPr>
          <w:color w:val="231F20"/>
        </w:rPr>
        <w:t>25</w:t>
      </w:r>
      <w:r>
        <w:rPr>
          <w:color w:val="231F20"/>
          <w:spacing w:val="8"/>
        </w:rPr>
        <w:t> </w:t>
      </w:r>
      <w:r>
        <w:rPr>
          <w:color w:val="231F20"/>
        </w:rPr>
        <w:t>m</w:t>
      </w:r>
      <w:r>
        <w:rPr>
          <w:color w:val="231F20"/>
          <w:spacing w:val="8"/>
        </w:rPr>
        <w:t> </w:t>
      </w:r>
      <w:r>
        <w:rPr>
          <w:color w:val="231F20"/>
        </w:rPr>
        <w:t>(про- сек 16,30 m). Однос дебљине угљеног слоја и откривке</w:t>
      </w:r>
      <w:r>
        <w:rPr>
          <w:color w:val="231F20"/>
          <w:spacing w:val="1"/>
        </w:rPr>
        <w:t> </w:t>
      </w:r>
      <w:r>
        <w:rPr>
          <w:color w:val="231F20"/>
        </w:rPr>
        <w:t>у контура- ма пројектованог површинског </w:t>
      </w:r>
      <w:r>
        <w:rPr>
          <w:color w:val="231F20"/>
          <w:spacing w:val="-3"/>
        </w:rPr>
        <w:t>копа </w:t>
      </w:r>
      <w:r>
        <w:rPr>
          <w:color w:val="231F20"/>
        </w:rPr>
        <w:t>износи 1:4,3</w:t>
      </w:r>
      <w:r>
        <w:rPr>
          <w:color w:val="231F20"/>
          <w:spacing w:val="37"/>
        </w:rPr>
        <w:t> </w:t>
      </w:r>
      <w:r>
        <w:rPr>
          <w:color w:val="231F20"/>
        </w:rPr>
        <w:t>са</w:t>
      </w:r>
      <w:r>
        <w:rPr>
          <w:color w:val="231F20"/>
          <w:spacing w:val="11"/>
        </w:rPr>
        <w:t> </w:t>
      </w:r>
      <w:r>
        <w:rPr>
          <w:color w:val="231F20"/>
        </w:rPr>
        <w:t>тенденцијом </w:t>
      </w:r>
      <w:r>
        <w:rPr>
          <w:color w:val="231F20"/>
          <w:spacing w:val="-3"/>
        </w:rPr>
        <w:t>наглог</w:t>
      </w:r>
      <w:r>
        <w:rPr>
          <w:color w:val="231F20"/>
          <w:spacing w:val="20"/>
        </w:rPr>
        <w:t> </w:t>
      </w:r>
      <w:r>
        <w:rPr>
          <w:color w:val="231F20"/>
        </w:rPr>
        <w:t>пораста</w:t>
      </w:r>
      <w:r>
        <w:rPr>
          <w:color w:val="231F20"/>
          <w:spacing w:val="20"/>
        </w:rPr>
        <w:t> </w:t>
      </w:r>
      <w:r>
        <w:rPr>
          <w:color w:val="231F20"/>
        </w:rPr>
        <w:t>у</w:t>
      </w:r>
      <w:r>
        <w:rPr>
          <w:color w:val="231F20"/>
          <w:spacing w:val="20"/>
        </w:rPr>
        <w:t> </w:t>
      </w:r>
      <w:r>
        <w:rPr>
          <w:color w:val="231F20"/>
        </w:rPr>
        <w:t>северозападном</w:t>
      </w:r>
      <w:r>
        <w:rPr>
          <w:color w:val="231F20"/>
          <w:spacing w:val="20"/>
        </w:rPr>
        <w:t> </w:t>
      </w:r>
      <w:r>
        <w:rPr>
          <w:color w:val="231F20"/>
        </w:rPr>
        <w:t>и</w:t>
      </w:r>
      <w:r>
        <w:rPr>
          <w:color w:val="231F20"/>
          <w:spacing w:val="20"/>
        </w:rPr>
        <w:t> </w:t>
      </w:r>
      <w:r>
        <w:rPr>
          <w:color w:val="231F20"/>
        </w:rPr>
        <w:t>западном</w:t>
      </w:r>
      <w:r>
        <w:rPr>
          <w:color w:val="231F20"/>
          <w:spacing w:val="20"/>
        </w:rPr>
        <w:t> </w:t>
      </w:r>
      <w:r>
        <w:rPr>
          <w:color w:val="231F20"/>
        </w:rPr>
        <w:t>делу</w:t>
      </w:r>
      <w:r>
        <w:rPr>
          <w:color w:val="231F20"/>
          <w:spacing w:val="20"/>
        </w:rPr>
        <w:t> </w:t>
      </w:r>
      <w:r>
        <w:rPr>
          <w:color w:val="231F20"/>
        </w:rPr>
        <w:t>лежишта</w:t>
      </w:r>
      <w:r>
        <w:rPr>
          <w:color w:val="231F20"/>
          <w:spacing w:val="20"/>
        </w:rPr>
        <w:t> </w:t>
      </w:r>
      <w:r>
        <w:rPr>
          <w:color w:val="231F20"/>
        </w:rPr>
        <w:t>(ло- кално чак и </w:t>
      </w:r>
      <w:r>
        <w:rPr>
          <w:color w:val="231F20"/>
          <w:spacing w:val="-3"/>
        </w:rPr>
        <w:t>преко </w:t>
      </w:r>
      <w:r>
        <w:rPr>
          <w:color w:val="231F20"/>
        </w:rPr>
        <w:t>1:10), </w:t>
      </w:r>
      <w:r>
        <w:rPr>
          <w:color w:val="231F20"/>
          <w:spacing w:val="-4"/>
        </w:rPr>
        <w:t>где </w:t>
      </w:r>
      <w:r>
        <w:rPr>
          <w:color w:val="231F20"/>
        </w:rPr>
        <w:t>трећи угљени слој тоне</w:t>
      </w:r>
      <w:r>
        <w:rPr>
          <w:color w:val="231F20"/>
          <w:spacing w:val="-15"/>
        </w:rPr>
        <w:t> </w:t>
      </w:r>
      <w:r>
        <w:rPr>
          <w:color w:val="231F20"/>
        </w:rPr>
        <w:t>испод</w:t>
      </w:r>
      <w:r>
        <w:rPr>
          <w:color w:val="231F20"/>
          <w:spacing w:val="-2"/>
        </w:rPr>
        <w:t> </w:t>
      </w:r>
      <w:r>
        <w:rPr>
          <w:color w:val="231F20"/>
        </w:rPr>
        <w:t>Дунава. У централном делу басена доказано је постојање</w:t>
      </w:r>
      <w:r>
        <w:rPr>
          <w:color w:val="231F20"/>
          <w:spacing w:val="20"/>
        </w:rPr>
        <w:t> </w:t>
      </w:r>
      <w:r>
        <w:rPr>
          <w:color w:val="231F20"/>
        </w:rPr>
        <w:t>сва</w:t>
      </w:r>
      <w:r>
        <w:rPr>
          <w:color w:val="231F20"/>
          <w:spacing w:val="40"/>
        </w:rPr>
        <w:t> </w:t>
      </w:r>
      <w:r>
        <w:rPr>
          <w:color w:val="231F20"/>
        </w:rPr>
        <w:t>три угљена слоја. Први угљени слој је </w:t>
      </w:r>
      <w:r>
        <w:rPr>
          <w:color w:val="231F20"/>
          <w:spacing w:val="-3"/>
        </w:rPr>
        <w:t>откопан </w:t>
      </w:r>
      <w:r>
        <w:rPr>
          <w:color w:val="231F20"/>
        </w:rPr>
        <w:t>док се </w:t>
      </w:r>
      <w:r>
        <w:rPr>
          <w:color w:val="231F20"/>
          <w:spacing w:val="-3"/>
        </w:rPr>
        <w:t>од</w:t>
      </w:r>
      <w:r>
        <w:rPr>
          <w:color w:val="231F20"/>
          <w:spacing w:val="-26"/>
        </w:rPr>
        <w:t> </w:t>
      </w:r>
      <w:r>
        <w:rPr>
          <w:color w:val="231F20"/>
        </w:rPr>
        <w:t>преостала</w:t>
      </w:r>
      <w:r>
        <w:rPr>
          <w:color w:val="231F20"/>
          <w:spacing w:val="-3"/>
        </w:rPr>
        <w:t> </w:t>
      </w:r>
      <w:r>
        <w:rPr>
          <w:color w:val="231F20"/>
        </w:rPr>
        <w:t>два слоја, трећи има најшире распрострањење и највећим делом</w:t>
      </w:r>
      <w:r>
        <w:rPr>
          <w:color w:val="231F20"/>
          <w:spacing w:val="-6"/>
        </w:rPr>
        <w:t> </w:t>
      </w:r>
      <w:r>
        <w:rPr>
          <w:color w:val="231F20"/>
        </w:rPr>
        <w:t>је</w:t>
      </w:r>
      <w:r>
        <w:rPr>
          <w:color w:val="231F20"/>
          <w:spacing w:val="-1"/>
        </w:rPr>
        <w:t> </w:t>
      </w:r>
      <w:r>
        <w:rPr>
          <w:color w:val="231F20"/>
        </w:rPr>
        <w:t>ра- слојен</w:t>
      </w:r>
      <w:r>
        <w:rPr>
          <w:color w:val="231F20"/>
          <w:spacing w:val="16"/>
        </w:rPr>
        <w:t> </w:t>
      </w:r>
      <w:r>
        <w:rPr>
          <w:color w:val="231F20"/>
        </w:rPr>
        <w:t>на</w:t>
      </w:r>
      <w:r>
        <w:rPr>
          <w:color w:val="231F20"/>
          <w:spacing w:val="16"/>
        </w:rPr>
        <w:t> </w:t>
      </w:r>
      <w:r>
        <w:rPr>
          <w:color w:val="231F20"/>
        </w:rPr>
        <w:t>три</w:t>
      </w:r>
      <w:r>
        <w:rPr>
          <w:color w:val="231F20"/>
          <w:spacing w:val="16"/>
        </w:rPr>
        <w:t> </w:t>
      </w:r>
      <w:r>
        <w:rPr>
          <w:color w:val="231F20"/>
        </w:rPr>
        <w:t>банка.</w:t>
      </w:r>
      <w:r>
        <w:rPr>
          <w:color w:val="231F20"/>
          <w:spacing w:val="16"/>
        </w:rPr>
        <w:t> </w:t>
      </w:r>
      <w:r>
        <w:rPr>
          <w:color w:val="231F20"/>
        </w:rPr>
        <w:t>Дебљина</w:t>
      </w:r>
      <w:r>
        <w:rPr>
          <w:color w:val="231F20"/>
          <w:spacing w:val="16"/>
        </w:rPr>
        <w:t> </w:t>
      </w:r>
      <w:r>
        <w:rPr>
          <w:color w:val="231F20"/>
        </w:rPr>
        <w:t>првог</w:t>
      </w:r>
      <w:r>
        <w:rPr>
          <w:color w:val="231F20"/>
          <w:spacing w:val="16"/>
        </w:rPr>
        <w:t> </w:t>
      </w:r>
      <w:r>
        <w:rPr>
          <w:color w:val="231F20"/>
        </w:rPr>
        <w:t>банка</w:t>
      </w:r>
      <w:r>
        <w:rPr>
          <w:color w:val="231F20"/>
          <w:spacing w:val="16"/>
        </w:rPr>
        <w:t> </w:t>
      </w:r>
      <w:r>
        <w:rPr>
          <w:color w:val="231F20"/>
        </w:rPr>
        <w:t>креће</w:t>
      </w:r>
      <w:r>
        <w:rPr>
          <w:color w:val="231F20"/>
          <w:spacing w:val="16"/>
        </w:rPr>
        <w:t> </w:t>
      </w:r>
      <w:r>
        <w:rPr>
          <w:color w:val="231F20"/>
        </w:rPr>
        <w:t>се</w:t>
      </w:r>
      <w:r>
        <w:rPr>
          <w:color w:val="231F20"/>
          <w:spacing w:val="16"/>
        </w:rPr>
        <w:t> </w:t>
      </w:r>
      <w:r>
        <w:rPr>
          <w:color w:val="231F20"/>
        </w:rPr>
        <w:t>у</w:t>
      </w:r>
      <w:r>
        <w:rPr>
          <w:color w:val="231F20"/>
          <w:spacing w:val="16"/>
        </w:rPr>
        <w:t> </w:t>
      </w:r>
      <w:r>
        <w:rPr>
          <w:color w:val="231F20"/>
        </w:rPr>
        <w:t>границама </w:t>
      </w:r>
      <w:r>
        <w:rPr>
          <w:color w:val="231F20"/>
          <w:spacing w:val="-3"/>
        </w:rPr>
        <w:t>од</w:t>
      </w:r>
      <w:r>
        <w:rPr>
          <w:color w:val="231F20"/>
          <w:spacing w:val="15"/>
        </w:rPr>
        <w:t> </w:t>
      </w:r>
      <w:r>
        <w:rPr>
          <w:color w:val="231F20"/>
        </w:rPr>
        <w:t>5</w:t>
      </w:r>
      <w:r>
        <w:rPr>
          <w:color w:val="231F20"/>
          <w:spacing w:val="15"/>
        </w:rPr>
        <w:t> </w:t>
      </w:r>
      <w:r>
        <w:rPr>
          <w:color w:val="231F20"/>
        </w:rPr>
        <w:t>до</w:t>
      </w:r>
      <w:r>
        <w:rPr>
          <w:color w:val="231F20"/>
          <w:spacing w:val="15"/>
        </w:rPr>
        <w:t> </w:t>
      </w:r>
      <w:r>
        <w:rPr>
          <w:color w:val="231F20"/>
        </w:rPr>
        <w:t>8</w:t>
      </w:r>
      <w:r>
        <w:rPr>
          <w:color w:val="231F20"/>
          <w:spacing w:val="15"/>
        </w:rPr>
        <w:t> </w:t>
      </w:r>
      <w:r>
        <w:rPr>
          <w:color w:val="231F20"/>
        </w:rPr>
        <w:t>m,</w:t>
      </w:r>
      <w:r>
        <w:rPr>
          <w:color w:val="231F20"/>
          <w:spacing w:val="15"/>
        </w:rPr>
        <w:t> </w:t>
      </w:r>
      <w:r>
        <w:rPr>
          <w:color w:val="231F20"/>
        </w:rPr>
        <w:t>другог</w:t>
      </w:r>
      <w:r>
        <w:rPr>
          <w:color w:val="231F20"/>
          <w:spacing w:val="15"/>
        </w:rPr>
        <w:t> </w:t>
      </w:r>
      <w:r>
        <w:rPr>
          <w:color w:val="231F20"/>
        </w:rPr>
        <w:t>банка</w:t>
      </w:r>
      <w:r>
        <w:rPr>
          <w:color w:val="231F20"/>
          <w:spacing w:val="15"/>
        </w:rPr>
        <w:t> </w:t>
      </w:r>
      <w:r>
        <w:rPr>
          <w:color w:val="231F20"/>
          <w:spacing w:val="-3"/>
        </w:rPr>
        <w:t>од</w:t>
      </w:r>
      <w:r>
        <w:rPr>
          <w:color w:val="231F20"/>
          <w:spacing w:val="15"/>
        </w:rPr>
        <w:t> </w:t>
      </w:r>
      <w:r>
        <w:rPr>
          <w:color w:val="231F20"/>
        </w:rPr>
        <w:t>7</w:t>
      </w:r>
      <w:r>
        <w:rPr>
          <w:color w:val="231F20"/>
          <w:spacing w:val="15"/>
        </w:rPr>
        <w:t> </w:t>
      </w:r>
      <w:r>
        <w:rPr>
          <w:color w:val="231F20"/>
        </w:rPr>
        <w:t>до</w:t>
      </w:r>
      <w:r>
        <w:rPr>
          <w:color w:val="231F20"/>
          <w:spacing w:val="15"/>
        </w:rPr>
        <w:t> </w:t>
      </w:r>
      <w:r>
        <w:rPr>
          <w:color w:val="231F20"/>
        </w:rPr>
        <w:t>10</w:t>
      </w:r>
      <w:r>
        <w:rPr>
          <w:color w:val="231F20"/>
          <w:spacing w:val="15"/>
        </w:rPr>
        <w:t> </w:t>
      </w:r>
      <w:r>
        <w:rPr>
          <w:color w:val="231F20"/>
        </w:rPr>
        <w:t>m</w:t>
      </w:r>
      <w:r>
        <w:rPr>
          <w:color w:val="231F20"/>
          <w:spacing w:val="15"/>
        </w:rPr>
        <w:t> </w:t>
      </w:r>
      <w:r>
        <w:rPr>
          <w:color w:val="231F20"/>
        </w:rPr>
        <w:t>и</w:t>
      </w:r>
      <w:r>
        <w:rPr>
          <w:color w:val="231F20"/>
          <w:spacing w:val="15"/>
        </w:rPr>
        <w:t> </w:t>
      </w:r>
      <w:r>
        <w:rPr>
          <w:color w:val="231F20"/>
        </w:rPr>
        <w:t>трећег</w:t>
      </w:r>
      <w:r>
        <w:rPr>
          <w:color w:val="231F20"/>
          <w:spacing w:val="15"/>
        </w:rPr>
        <w:t> </w:t>
      </w:r>
      <w:r>
        <w:rPr>
          <w:color w:val="231F20"/>
        </w:rPr>
        <w:t>банка</w:t>
      </w:r>
      <w:r>
        <w:rPr>
          <w:color w:val="231F20"/>
          <w:spacing w:val="15"/>
        </w:rPr>
        <w:t> </w:t>
      </w:r>
      <w:r>
        <w:rPr>
          <w:color w:val="231F20"/>
        </w:rPr>
        <w:t>3</w:t>
      </w:r>
      <w:r>
        <w:rPr>
          <w:color w:val="231F20"/>
          <w:spacing w:val="15"/>
        </w:rPr>
        <w:t> </w:t>
      </w:r>
      <w:r>
        <w:rPr>
          <w:color w:val="231F20"/>
        </w:rPr>
        <w:t>до</w:t>
      </w:r>
      <w:r>
        <w:rPr>
          <w:color w:val="231F20"/>
          <w:spacing w:val="15"/>
        </w:rPr>
        <w:t> </w:t>
      </w:r>
      <w:r>
        <w:rPr>
          <w:color w:val="231F20"/>
        </w:rPr>
        <w:t>5</w:t>
      </w:r>
      <w:r>
        <w:rPr>
          <w:color w:val="231F20"/>
          <w:spacing w:val="15"/>
        </w:rPr>
        <w:t> </w:t>
      </w:r>
      <w:r>
        <w:rPr>
          <w:color w:val="231F20"/>
        </w:rPr>
        <w:t>m. Распрострањење</w:t>
      </w:r>
      <w:r>
        <w:rPr>
          <w:color w:val="231F20"/>
          <w:spacing w:val="11"/>
        </w:rPr>
        <w:t> </w:t>
      </w:r>
      <w:r>
        <w:rPr>
          <w:color w:val="231F20"/>
        </w:rPr>
        <w:t>другог</w:t>
      </w:r>
      <w:r>
        <w:rPr>
          <w:color w:val="231F20"/>
          <w:spacing w:val="11"/>
        </w:rPr>
        <w:t> </w:t>
      </w:r>
      <w:r>
        <w:rPr>
          <w:color w:val="231F20"/>
        </w:rPr>
        <w:t>угљеног</w:t>
      </w:r>
      <w:r>
        <w:rPr>
          <w:color w:val="231F20"/>
          <w:spacing w:val="11"/>
        </w:rPr>
        <w:t> </w:t>
      </w:r>
      <w:r>
        <w:rPr>
          <w:color w:val="231F20"/>
        </w:rPr>
        <w:t>слоја</w:t>
      </w:r>
      <w:r>
        <w:rPr>
          <w:color w:val="231F20"/>
          <w:spacing w:val="11"/>
        </w:rPr>
        <w:t> </w:t>
      </w:r>
      <w:r>
        <w:rPr>
          <w:color w:val="231F20"/>
        </w:rPr>
        <w:t>у</w:t>
      </w:r>
      <w:r>
        <w:rPr>
          <w:color w:val="231F20"/>
          <w:spacing w:val="11"/>
        </w:rPr>
        <w:t> </w:t>
      </w:r>
      <w:r>
        <w:rPr>
          <w:color w:val="231F20"/>
        </w:rPr>
        <w:t>басену</w:t>
      </w:r>
      <w:r>
        <w:rPr>
          <w:color w:val="231F20"/>
          <w:spacing w:val="11"/>
        </w:rPr>
        <w:t> </w:t>
      </w:r>
      <w:r>
        <w:rPr>
          <w:color w:val="231F20"/>
        </w:rPr>
        <w:t>је</w:t>
      </w:r>
      <w:r>
        <w:rPr>
          <w:color w:val="231F20"/>
          <w:spacing w:val="11"/>
        </w:rPr>
        <w:t> </w:t>
      </w:r>
      <w:r>
        <w:rPr>
          <w:color w:val="231F20"/>
        </w:rPr>
        <w:t>далеко</w:t>
      </w:r>
      <w:r>
        <w:rPr>
          <w:color w:val="231F20"/>
          <w:spacing w:val="11"/>
        </w:rPr>
        <w:t> </w:t>
      </w:r>
      <w:r>
        <w:rPr>
          <w:color w:val="231F20"/>
        </w:rPr>
        <w:t>мање</w:t>
      </w:r>
      <w:r>
        <w:rPr>
          <w:color w:val="231F20"/>
          <w:spacing w:val="11"/>
        </w:rPr>
        <w:t> </w:t>
      </w:r>
      <w:r>
        <w:rPr>
          <w:color w:val="231F20"/>
        </w:rPr>
        <w:t>у односу</w:t>
      </w:r>
      <w:r>
        <w:rPr>
          <w:color w:val="231F20"/>
          <w:spacing w:val="18"/>
        </w:rPr>
        <w:t> </w:t>
      </w:r>
      <w:r>
        <w:rPr>
          <w:color w:val="231F20"/>
        </w:rPr>
        <w:t>на</w:t>
      </w:r>
      <w:r>
        <w:rPr>
          <w:color w:val="231F20"/>
          <w:spacing w:val="18"/>
        </w:rPr>
        <w:t> </w:t>
      </w:r>
      <w:r>
        <w:rPr>
          <w:color w:val="231F20"/>
        </w:rPr>
        <w:t>трећи</w:t>
      </w:r>
      <w:r>
        <w:rPr>
          <w:color w:val="231F20"/>
          <w:spacing w:val="18"/>
        </w:rPr>
        <w:t> </w:t>
      </w:r>
      <w:r>
        <w:rPr>
          <w:color w:val="231F20"/>
        </w:rPr>
        <w:t>угљени</w:t>
      </w:r>
      <w:r>
        <w:rPr>
          <w:color w:val="231F20"/>
          <w:spacing w:val="18"/>
        </w:rPr>
        <w:t> </w:t>
      </w:r>
      <w:r>
        <w:rPr>
          <w:color w:val="231F20"/>
        </w:rPr>
        <w:t>слој.</w:t>
      </w:r>
      <w:r>
        <w:rPr>
          <w:color w:val="231F20"/>
          <w:spacing w:val="18"/>
        </w:rPr>
        <w:t> </w:t>
      </w:r>
      <w:r>
        <w:rPr>
          <w:color w:val="231F20"/>
        </w:rPr>
        <w:t>Дебљина</w:t>
      </w:r>
      <w:r>
        <w:rPr>
          <w:color w:val="231F20"/>
          <w:spacing w:val="18"/>
        </w:rPr>
        <w:t> </w:t>
      </w:r>
      <w:r>
        <w:rPr>
          <w:color w:val="231F20"/>
        </w:rPr>
        <w:t>му</w:t>
      </w:r>
      <w:r>
        <w:rPr>
          <w:color w:val="231F20"/>
          <w:spacing w:val="18"/>
        </w:rPr>
        <w:t> </w:t>
      </w:r>
      <w:r>
        <w:rPr>
          <w:color w:val="231F20"/>
        </w:rPr>
        <w:t>варира</w:t>
      </w:r>
      <w:r>
        <w:rPr>
          <w:color w:val="231F20"/>
          <w:spacing w:val="18"/>
        </w:rPr>
        <w:t> </w:t>
      </w:r>
      <w:r>
        <w:rPr>
          <w:color w:val="231F20"/>
          <w:spacing w:val="-3"/>
        </w:rPr>
        <w:t>од</w:t>
      </w:r>
      <w:r>
        <w:rPr>
          <w:color w:val="231F20"/>
          <w:spacing w:val="18"/>
        </w:rPr>
        <w:t> </w:t>
      </w:r>
      <w:r>
        <w:rPr>
          <w:color w:val="231F20"/>
        </w:rPr>
        <w:t>0,5</w:t>
      </w:r>
      <w:r>
        <w:rPr>
          <w:color w:val="231F20"/>
          <w:spacing w:val="18"/>
        </w:rPr>
        <w:t> </w:t>
      </w:r>
      <w:r>
        <w:rPr>
          <w:color w:val="231F20"/>
        </w:rPr>
        <w:t>до</w:t>
      </w:r>
      <w:r>
        <w:rPr>
          <w:color w:val="231F20"/>
          <w:spacing w:val="18"/>
        </w:rPr>
        <w:t> </w:t>
      </w:r>
      <w:r>
        <w:rPr>
          <w:color w:val="231F20"/>
        </w:rPr>
        <w:t>9</w:t>
      </w:r>
      <w:r>
        <w:rPr>
          <w:color w:val="231F20"/>
          <w:spacing w:val="18"/>
        </w:rPr>
        <w:t> </w:t>
      </w:r>
      <w:r>
        <w:rPr>
          <w:color w:val="231F20"/>
        </w:rPr>
        <w:t>m</w:t>
      </w:r>
    </w:p>
    <w:p>
      <w:pPr>
        <w:pStyle w:val="BodyText"/>
        <w:spacing w:line="199" w:lineRule="exact"/>
        <w:ind w:left="243"/>
        <w:jc w:val="left"/>
      </w:pPr>
      <w:r>
        <w:rPr>
          <w:color w:val="231F20"/>
        </w:rPr>
        <w:t>(просек 6 m).</w:t>
      </w:r>
    </w:p>
    <w:p>
      <w:pPr>
        <w:pStyle w:val="BodyText"/>
        <w:spacing w:line="237" w:lineRule="auto"/>
        <w:ind w:left="243" w:right="125" w:firstLine="396"/>
      </w:pPr>
      <w:r>
        <w:rPr>
          <w:color w:val="231F20"/>
        </w:rPr>
        <w:t>Велика оводњеност источног дела басена (за сада јединог активног дела басена) несумњиво представља важан сегмент у технолошком процесу откопавања угља и има одређен утицај на повећање трошкова експлоатације. Ова карактеристика басена је директна последица неповољних хидрогеолошких особина и по- стојање великих површинских речних токова у овом делу басена.</w:t>
      </w:r>
    </w:p>
    <w:p>
      <w:pPr>
        <w:spacing w:after="0" w:line="237" w:lineRule="auto"/>
        <w:sectPr>
          <w:pgSz w:w="12480" w:h="15690"/>
          <w:pgMar w:top="120" w:bottom="280" w:left="680" w:right="720"/>
          <w:cols w:num="2" w:equalWidth="0">
            <w:col w:w="5560" w:space="40"/>
            <w:col w:w="5480"/>
          </w:cols>
        </w:sectPr>
      </w:pPr>
    </w:p>
    <w:p>
      <w:pPr>
        <w:pStyle w:val="BodyText"/>
        <w:spacing w:before="1"/>
        <w:ind w:left="0"/>
        <w:jc w:val="left"/>
        <w:rPr>
          <w:sz w:val="12"/>
        </w:rPr>
      </w:pPr>
      <w:r>
        <w:rPr/>
        <w:pict>
          <v:line style="position:absolute;mso-position-horizontal-relative:page;mso-position-vertical-relative:page;z-index:2416" from="304.724396pt,11.942451pt" to="304.724396pt,748.950451pt" stroked="true" strokeweight=".6pt" strokecolor="#231f20">
            <v:stroke dashstyle="solid"/>
            <w10:wrap type="none"/>
          </v:line>
        </w:pict>
      </w:r>
    </w:p>
    <w:p>
      <w:pPr>
        <w:pStyle w:val="BodyText"/>
        <w:jc w:val="left"/>
        <w:rPr>
          <w:sz w:val="20"/>
        </w:rPr>
      </w:pPr>
      <w:r>
        <w:rPr>
          <w:sz w:val="20"/>
        </w:rPr>
        <w:drawing>
          <wp:inline distT="0" distB="0" distL="0" distR="0">
            <wp:extent cx="3198424" cy="3413760"/>
            <wp:effectExtent l="0" t="0" r="0" b="0"/>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3198424" cy="3413760"/>
                    </a:xfrm>
                    <a:prstGeom prst="rect">
                      <a:avLst/>
                    </a:prstGeom>
                  </pic:spPr>
                </pic:pic>
              </a:graphicData>
            </a:graphic>
          </wp:inline>
        </w:drawing>
      </w:r>
      <w:r>
        <w:rPr>
          <w:sz w:val="20"/>
        </w:rPr>
      </w:r>
    </w:p>
    <w:p>
      <w:pPr>
        <w:pStyle w:val="BodyText"/>
        <w:spacing w:line="232" w:lineRule="auto" w:before="157"/>
        <w:ind w:right="43" w:firstLine="396"/>
      </w:pPr>
      <w:r>
        <w:rPr>
          <w:color w:val="231F20"/>
        </w:rPr>
        <w:t>Основни </w:t>
      </w:r>
      <w:r>
        <w:rPr>
          <w:color w:val="231F20"/>
          <w:spacing w:val="-3"/>
        </w:rPr>
        <w:t>предуслов </w:t>
      </w:r>
      <w:r>
        <w:rPr>
          <w:color w:val="231F20"/>
        </w:rPr>
        <w:t>повећања </w:t>
      </w:r>
      <w:r>
        <w:rPr>
          <w:color w:val="231F20"/>
          <w:spacing w:val="-3"/>
        </w:rPr>
        <w:t>капацитета </w:t>
      </w:r>
      <w:r>
        <w:rPr>
          <w:color w:val="231F20"/>
        </w:rPr>
        <w:t>на 12 милиона t угља </w:t>
      </w:r>
      <w:r>
        <w:rPr>
          <w:color w:val="231F20"/>
          <w:spacing w:val="-4"/>
        </w:rPr>
        <w:t>годишње </w:t>
      </w:r>
      <w:r>
        <w:rPr>
          <w:color w:val="231F20"/>
        </w:rPr>
        <w:t>је </w:t>
      </w:r>
      <w:r>
        <w:rPr>
          <w:color w:val="231F20"/>
          <w:spacing w:val="-3"/>
        </w:rPr>
        <w:t>набавка </w:t>
      </w:r>
      <w:r>
        <w:rPr>
          <w:color w:val="231F20"/>
        </w:rPr>
        <w:t>новог </w:t>
      </w:r>
      <w:r>
        <w:rPr>
          <w:color w:val="231F20"/>
          <w:spacing w:val="-4"/>
        </w:rPr>
        <w:t>БТО </w:t>
      </w:r>
      <w:r>
        <w:rPr>
          <w:color w:val="231F20"/>
        </w:rPr>
        <w:t>система </w:t>
      </w:r>
      <w:r>
        <w:rPr>
          <w:color w:val="231F20"/>
          <w:spacing w:val="-4"/>
        </w:rPr>
        <w:t>годишњег </w:t>
      </w:r>
      <w:r>
        <w:rPr>
          <w:color w:val="231F20"/>
          <w:spacing w:val="-3"/>
        </w:rPr>
        <w:t>капацитета</w:t>
      </w:r>
    </w:p>
    <w:p>
      <w:pPr>
        <w:pStyle w:val="BodyText"/>
        <w:spacing w:line="232" w:lineRule="auto"/>
        <w:ind w:right="41"/>
      </w:pPr>
      <w:r>
        <w:rPr>
          <w:color w:val="231F20"/>
          <w:spacing w:val="-3"/>
        </w:rPr>
        <w:t>11.000.000 </w:t>
      </w:r>
      <w:r>
        <w:rPr>
          <w:color w:val="231F20"/>
        </w:rPr>
        <w:t>m³. </w:t>
      </w:r>
      <w:r>
        <w:rPr>
          <w:color w:val="231F20"/>
          <w:spacing w:val="-3"/>
        </w:rPr>
        <w:t>Други предуслов </w:t>
      </w:r>
      <w:r>
        <w:rPr>
          <w:color w:val="231F20"/>
        </w:rPr>
        <w:t>је ревитализација и </w:t>
      </w:r>
      <w:r>
        <w:rPr>
          <w:color w:val="231F20"/>
          <w:spacing w:val="-3"/>
        </w:rPr>
        <w:t>модернизација </w:t>
      </w:r>
      <w:r>
        <w:rPr>
          <w:color w:val="231F20"/>
        </w:rPr>
        <w:t>постојеће опреме уз </w:t>
      </w:r>
      <w:r>
        <w:rPr>
          <w:color w:val="231F20"/>
          <w:spacing w:val="-3"/>
        </w:rPr>
        <w:t>набавку </w:t>
      </w:r>
      <w:r>
        <w:rPr>
          <w:color w:val="231F20"/>
          <w:spacing w:val="-4"/>
        </w:rPr>
        <w:t>додатне </w:t>
      </w:r>
      <w:r>
        <w:rPr>
          <w:color w:val="231F20"/>
          <w:spacing w:val="-3"/>
        </w:rPr>
        <w:t>помоћне механизације. Трећи предуслов </w:t>
      </w:r>
      <w:r>
        <w:rPr>
          <w:color w:val="231F20"/>
        </w:rPr>
        <w:t>је </w:t>
      </w:r>
      <w:r>
        <w:rPr>
          <w:color w:val="231F20"/>
          <w:spacing w:val="-3"/>
        </w:rPr>
        <w:t>набавка </w:t>
      </w:r>
      <w:r>
        <w:rPr>
          <w:color w:val="231F20"/>
          <w:spacing w:val="-4"/>
        </w:rPr>
        <w:t>додатног </w:t>
      </w:r>
      <w:r>
        <w:rPr>
          <w:color w:val="231F20"/>
          <w:spacing w:val="-3"/>
        </w:rPr>
        <w:t>капацитета </w:t>
      </w:r>
      <w:r>
        <w:rPr>
          <w:color w:val="231F20"/>
        </w:rPr>
        <w:t>за напајање </w:t>
      </w:r>
      <w:r>
        <w:rPr>
          <w:color w:val="231F20"/>
          <w:spacing w:val="-3"/>
        </w:rPr>
        <w:t>електричном енергијом </w:t>
      </w:r>
      <w:r>
        <w:rPr>
          <w:color w:val="231F20"/>
        </w:rPr>
        <w:t>и инвестирање у </w:t>
      </w:r>
      <w:r>
        <w:rPr>
          <w:color w:val="231F20"/>
          <w:spacing w:val="-4"/>
        </w:rPr>
        <w:t>неопходну </w:t>
      </w:r>
      <w:r>
        <w:rPr>
          <w:color w:val="231F20"/>
        </w:rPr>
        <w:t>опрему за </w:t>
      </w:r>
      <w:r>
        <w:rPr>
          <w:color w:val="231F20"/>
          <w:spacing w:val="-3"/>
        </w:rPr>
        <w:t>телекомуникације </w:t>
      </w:r>
      <w:r>
        <w:rPr>
          <w:color w:val="231F20"/>
        </w:rPr>
        <w:t>и надзор. </w:t>
      </w:r>
      <w:r>
        <w:rPr>
          <w:color w:val="231F20"/>
          <w:spacing w:val="-3"/>
        </w:rPr>
        <w:t>Предвиђено </w:t>
      </w:r>
      <w:r>
        <w:rPr>
          <w:color w:val="231F20"/>
        </w:rPr>
        <w:t>је да на </w:t>
      </w:r>
      <w:r>
        <w:rPr>
          <w:color w:val="231F20"/>
          <w:spacing w:val="-3"/>
        </w:rPr>
        <w:t>откривци </w:t>
      </w:r>
      <w:r>
        <w:rPr>
          <w:color w:val="231F20"/>
        </w:rPr>
        <w:t>ради шест </w:t>
      </w:r>
      <w:r>
        <w:rPr>
          <w:color w:val="231F20"/>
          <w:spacing w:val="-4"/>
        </w:rPr>
        <w:t>БТО </w:t>
      </w:r>
      <w:r>
        <w:rPr>
          <w:color w:val="231F20"/>
        </w:rPr>
        <w:t>система са седам </w:t>
      </w:r>
      <w:r>
        <w:rPr>
          <w:color w:val="231F20"/>
          <w:spacing w:val="-3"/>
        </w:rPr>
        <w:t>багера, </w:t>
      </w:r>
      <w:r>
        <w:rPr>
          <w:color w:val="231F20"/>
          <w:spacing w:val="-4"/>
        </w:rPr>
        <w:t>који </w:t>
      </w:r>
      <w:r>
        <w:rPr>
          <w:color w:val="231F20"/>
        </w:rPr>
        <w:t>треба да реализују минимално </w:t>
      </w:r>
      <w:r>
        <w:rPr>
          <w:color w:val="231F20"/>
          <w:spacing w:val="-4"/>
        </w:rPr>
        <w:t>годишњи </w:t>
      </w:r>
      <w:r>
        <w:rPr>
          <w:color w:val="231F20"/>
          <w:spacing w:val="-3"/>
        </w:rPr>
        <w:t>капаци- </w:t>
      </w:r>
      <w:r>
        <w:rPr>
          <w:color w:val="231F20"/>
        </w:rPr>
        <w:t>тет </w:t>
      </w:r>
      <w:r>
        <w:rPr>
          <w:color w:val="231F20"/>
          <w:spacing w:val="-4"/>
        </w:rPr>
        <w:t>од </w:t>
      </w:r>
      <w:r>
        <w:rPr>
          <w:color w:val="231F20"/>
        </w:rPr>
        <w:t>48.000.000 m³ јаловине и </w:t>
      </w:r>
      <w:r>
        <w:rPr>
          <w:color w:val="231F20"/>
          <w:spacing w:val="-3"/>
        </w:rPr>
        <w:t>два </w:t>
      </w:r>
      <w:r>
        <w:rPr>
          <w:color w:val="231F20"/>
          <w:spacing w:val="-7"/>
        </w:rPr>
        <w:t>БТД </w:t>
      </w:r>
      <w:r>
        <w:rPr>
          <w:color w:val="231F20"/>
          <w:spacing w:val="-3"/>
        </w:rPr>
        <w:t>система </w:t>
      </w:r>
      <w:r>
        <w:rPr>
          <w:color w:val="231F20"/>
        </w:rPr>
        <w:t>са четири </w:t>
      </w:r>
      <w:r>
        <w:rPr>
          <w:color w:val="231F20"/>
          <w:spacing w:val="-3"/>
        </w:rPr>
        <w:t>багера </w:t>
      </w:r>
      <w:r>
        <w:rPr>
          <w:color w:val="231F20"/>
        </w:rPr>
        <w:t>на</w:t>
      </w:r>
      <w:r>
        <w:rPr>
          <w:color w:val="231F20"/>
          <w:spacing w:val="-6"/>
        </w:rPr>
        <w:t> </w:t>
      </w:r>
      <w:r>
        <w:rPr>
          <w:color w:val="231F20"/>
          <w:spacing w:val="-4"/>
        </w:rPr>
        <w:t>откопавању</w:t>
      </w:r>
      <w:r>
        <w:rPr>
          <w:color w:val="231F20"/>
          <w:spacing w:val="-6"/>
        </w:rPr>
        <w:t> </w:t>
      </w:r>
      <w:r>
        <w:rPr>
          <w:color w:val="231F20"/>
        </w:rPr>
        <w:t>12.000.000</w:t>
      </w:r>
      <w:r>
        <w:rPr>
          <w:color w:val="231F20"/>
          <w:spacing w:val="-6"/>
        </w:rPr>
        <w:t> </w:t>
      </w:r>
      <w:r>
        <w:rPr>
          <w:color w:val="231F20"/>
        </w:rPr>
        <w:t>t</w:t>
      </w:r>
      <w:r>
        <w:rPr>
          <w:color w:val="231F20"/>
          <w:spacing w:val="-6"/>
        </w:rPr>
        <w:t> </w:t>
      </w:r>
      <w:r>
        <w:rPr>
          <w:color w:val="231F20"/>
        </w:rPr>
        <w:t>угља</w:t>
      </w:r>
      <w:r>
        <w:rPr>
          <w:color w:val="231F20"/>
          <w:spacing w:val="-6"/>
        </w:rPr>
        <w:t> </w:t>
      </w:r>
      <w:r>
        <w:rPr>
          <w:color w:val="231F20"/>
          <w:spacing w:val="-4"/>
        </w:rPr>
        <w:t>годишње.</w:t>
      </w:r>
      <w:r>
        <w:rPr>
          <w:color w:val="231F20"/>
          <w:spacing w:val="-6"/>
        </w:rPr>
        <w:t> </w:t>
      </w:r>
      <w:r>
        <w:rPr>
          <w:color w:val="231F20"/>
          <w:spacing w:val="-3"/>
        </w:rPr>
        <w:t>Напредовање</w:t>
      </w:r>
      <w:r>
        <w:rPr>
          <w:color w:val="231F20"/>
          <w:spacing w:val="-6"/>
        </w:rPr>
        <w:t> </w:t>
      </w:r>
      <w:r>
        <w:rPr>
          <w:color w:val="231F20"/>
        </w:rPr>
        <w:t>фронта</w:t>
      </w:r>
      <w:r>
        <w:rPr>
          <w:color w:val="231F20"/>
          <w:spacing w:val="-6"/>
        </w:rPr>
        <w:t> </w:t>
      </w:r>
      <w:r>
        <w:rPr>
          <w:color w:val="231F20"/>
          <w:spacing w:val="-3"/>
        </w:rPr>
        <w:t>ру- </w:t>
      </w:r>
      <w:r>
        <w:rPr>
          <w:color w:val="231F20"/>
        </w:rPr>
        <w:t>дарских </w:t>
      </w:r>
      <w:r>
        <w:rPr>
          <w:color w:val="231F20"/>
          <w:spacing w:val="-3"/>
        </w:rPr>
        <w:t>радова </w:t>
      </w:r>
      <w:r>
        <w:rPr>
          <w:color w:val="231F20"/>
        </w:rPr>
        <w:t>на </w:t>
      </w:r>
      <w:r>
        <w:rPr>
          <w:color w:val="231F20"/>
          <w:spacing w:val="-5"/>
        </w:rPr>
        <w:t>откривању, </w:t>
      </w:r>
      <w:r>
        <w:rPr>
          <w:color w:val="231F20"/>
          <w:spacing w:val="-3"/>
        </w:rPr>
        <w:t>експлоатацији </w:t>
      </w:r>
      <w:r>
        <w:rPr>
          <w:color w:val="231F20"/>
        </w:rPr>
        <w:t>и </w:t>
      </w:r>
      <w:r>
        <w:rPr>
          <w:color w:val="231F20"/>
          <w:spacing w:val="-3"/>
        </w:rPr>
        <w:t>одлагању </w:t>
      </w:r>
      <w:r>
        <w:rPr>
          <w:color w:val="231F20"/>
        </w:rPr>
        <w:t>у </w:t>
      </w:r>
      <w:r>
        <w:rPr>
          <w:color w:val="231F20"/>
          <w:spacing w:val="-4"/>
        </w:rPr>
        <w:t>откопа- </w:t>
      </w:r>
      <w:r>
        <w:rPr>
          <w:color w:val="231F20"/>
        </w:rPr>
        <w:t>ни простор </w:t>
      </w:r>
      <w:r>
        <w:rPr>
          <w:color w:val="231F20"/>
          <w:spacing w:val="-2"/>
        </w:rPr>
        <w:t>има </w:t>
      </w:r>
      <w:r>
        <w:rPr>
          <w:color w:val="231F20"/>
          <w:spacing w:val="-3"/>
        </w:rPr>
        <w:t>правац </w:t>
      </w:r>
      <w:r>
        <w:rPr>
          <w:color w:val="231F20"/>
        </w:rPr>
        <w:t>југ – север. Према решењу </w:t>
      </w:r>
      <w:r>
        <w:rPr>
          <w:color w:val="231F20"/>
          <w:spacing w:val="-4"/>
        </w:rPr>
        <w:t>датом </w:t>
      </w:r>
      <w:r>
        <w:rPr>
          <w:color w:val="231F20"/>
        </w:rPr>
        <w:t>за </w:t>
      </w:r>
      <w:r>
        <w:rPr>
          <w:color w:val="231F20"/>
          <w:spacing w:val="-4"/>
        </w:rPr>
        <w:t>одвод- </w:t>
      </w:r>
      <w:r>
        <w:rPr>
          <w:color w:val="231F20"/>
          <w:spacing w:val="-3"/>
        </w:rPr>
        <w:t>њавање површинског </w:t>
      </w:r>
      <w:r>
        <w:rPr>
          <w:color w:val="231F20"/>
          <w:spacing w:val="-4"/>
        </w:rPr>
        <w:t>копа </w:t>
      </w:r>
      <w:r>
        <w:rPr>
          <w:color w:val="231F20"/>
          <w:spacing w:val="-3"/>
        </w:rPr>
        <w:t>„Дрмно”, поред задржавања </w:t>
      </w:r>
      <w:r>
        <w:rPr>
          <w:color w:val="231F20"/>
        </w:rPr>
        <w:t>постојећих стандардних </w:t>
      </w:r>
      <w:r>
        <w:rPr>
          <w:color w:val="231F20"/>
          <w:spacing w:val="-3"/>
        </w:rPr>
        <w:t>метода, предвиђена </w:t>
      </w:r>
      <w:r>
        <w:rPr>
          <w:color w:val="231F20"/>
        </w:rPr>
        <w:t>је </w:t>
      </w:r>
      <w:r>
        <w:rPr>
          <w:color w:val="231F20"/>
          <w:spacing w:val="-4"/>
        </w:rPr>
        <w:t>од </w:t>
      </w:r>
      <w:r>
        <w:rPr>
          <w:color w:val="231F20"/>
        </w:rPr>
        <w:t>2014. </w:t>
      </w:r>
      <w:r>
        <w:rPr>
          <w:color w:val="231F20"/>
          <w:spacing w:val="-4"/>
        </w:rPr>
        <w:t>године </w:t>
      </w:r>
      <w:r>
        <w:rPr>
          <w:color w:val="231F20"/>
        </w:rPr>
        <w:t>израда </w:t>
      </w:r>
      <w:r>
        <w:rPr>
          <w:color w:val="231F20"/>
          <w:spacing w:val="-3"/>
        </w:rPr>
        <w:t>водоне- </w:t>
      </w:r>
      <w:r>
        <w:rPr>
          <w:color w:val="231F20"/>
        </w:rPr>
        <w:t>пропусног екрана </w:t>
      </w:r>
      <w:r>
        <w:rPr>
          <w:color w:val="231F20"/>
          <w:spacing w:val="-3"/>
        </w:rPr>
        <w:t>дуж западне, </w:t>
      </w:r>
      <w:r>
        <w:rPr>
          <w:color w:val="231F20"/>
        </w:rPr>
        <w:t>северне и </w:t>
      </w:r>
      <w:r>
        <w:rPr>
          <w:color w:val="231F20"/>
          <w:spacing w:val="-3"/>
        </w:rPr>
        <w:t>источне </w:t>
      </w:r>
      <w:r>
        <w:rPr>
          <w:color w:val="231F20"/>
          <w:spacing w:val="-4"/>
        </w:rPr>
        <w:t>контуре копа. </w:t>
      </w:r>
      <w:r>
        <w:rPr>
          <w:color w:val="231F20"/>
          <w:spacing w:val="-3"/>
        </w:rPr>
        <w:t>Ре- </w:t>
      </w:r>
      <w:r>
        <w:rPr>
          <w:color w:val="231F20"/>
          <w:spacing w:val="-4"/>
        </w:rPr>
        <w:t>култивацијом </w:t>
      </w:r>
      <w:r>
        <w:rPr>
          <w:color w:val="231F20"/>
          <w:spacing w:val="-3"/>
        </w:rPr>
        <w:t>су обухваћени </w:t>
      </w:r>
      <w:r>
        <w:rPr>
          <w:color w:val="231F20"/>
        </w:rPr>
        <w:t>сви постојећи површински</w:t>
      </w:r>
      <w:r>
        <w:rPr>
          <w:color w:val="231F20"/>
          <w:spacing w:val="-26"/>
        </w:rPr>
        <w:t> </w:t>
      </w:r>
      <w:r>
        <w:rPr>
          <w:color w:val="231F20"/>
          <w:spacing w:val="-3"/>
        </w:rPr>
        <w:t>копови.</w:t>
      </w:r>
    </w:p>
    <w:p>
      <w:pPr>
        <w:pStyle w:val="BodyText"/>
        <w:spacing w:before="4"/>
        <w:ind w:left="0"/>
        <w:jc w:val="left"/>
        <w:rPr>
          <w:sz w:val="16"/>
        </w:rPr>
      </w:pPr>
    </w:p>
    <w:p>
      <w:pPr>
        <w:pStyle w:val="BodyText"/>
        <w:spacing w:line="232" w:lineRule="auto"/>
        <w:ind w:left="1010" w:right="1128" w:hanging="839"/>
        <w:jc w:val="left"/>
      </w:pPr>
      <w:r>
        <w:rPr>
          <w:color w:val="231F20"/>
        </w:rPr>
        <w:t>Табела 15. Динамика откопавања угља и откривке на површинском копу „Дрмно”</w:t>
      </w:r>
    </w:p>
    <w:p>
      <w:pPr>
        <w:pStyle w:val="BodyText"/>
        <w:spacing w:before="7"/>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34"/>
        <w:gridCol w:w="1049"/>
        <w:gridCol w:w="889"/>
        <w:gridCol w:w="906"/>
        <w:gridCol w:w="1410"/>
      </w:tblGrid>
      <w:tr>
        <w:trPr>
          <w:trHeight w:val="200" w:hRule="atLeast"/>
        </w:trPr>
        <w:tc>
          <w:tcPr>
            <w:tcW w:w="834" w:type="dxa"/>
            <w:vMerge w:val="restart"/>
          </w:tcPr>
          <w:p>
            <w:pPr>
              <w:pStyle w:val="TableParagraph"/>
              <w:ind w:left="208"/>
              <w:jc w:val="left"/>
              <w:rPr>
                <w:sz w:val="14"/>
              </w:rPr>
            </w:pPr>
            <w:r>
              <w:rPr>
                <w:color w:val="231F20"/>
                <w:sz w:val="14"/>
              </w:rPr>
              <w:t>Година</w:t>
            </w:r>
          </w:p>
        </w:tc>
        <w:tc>
          <w:tcPr>
            <w:tcW w:w="1049" w:type="dxa"/>
          </w:tcPr>
          <w:p>
            <w:pPr>
              <w:pStyle w:val="TableParagraph"/>
              <w:ind w:right="56"/>
              <w:rPr>
                <w:sz w:val="14"/>
              </w:rPr>
            </w:pPr>
            <w:r>
              <w:rPr>
                <w:color w:val="231F20"/>
                <w:sz w:val="14"/>
              </w:rPr>
              <w:t>Откривка (čm³)</w:t>
            </w:r>
          </w:p>
        </w:tc>
        <w:tc>
          <w:tcPr>
            <w:tcW w:w="1795" w:type="dxa"/>
            <w:gridSpan w:val="2"/>
          </w:tcPr>
          <w:p>
            <w:pPr>
              <w:pStyle w:val="TableParagraph"/>
              <w:ind w:left="635" w:right="621"/>
              <w:jc w:val="center"/>
              <w:rPr>
                <w:sz w:val="14"/>
              </w:rPr>
            </w:pPr>
            <w:r>
              <w:rPr>
                <w:color w:val="231F20"/>
                <w:sz w:val="14"/>
              </w:rPr>
              <w:t>Угаљ (t)</w:t>
            </w:r>
          </w:p>
        </w:tc>
        <w:tc>
          <w:tcPr>
            <w:tcW w:w="1410" w:type="dxa"/>
            <w:vMerge w:val="restart"/>
          </w:tcPr>
          <w:p>
            <w:pPr>
              <w:pStyle w:val="TableParagraph"/>
              <w:ind w:left="231" w:firstLine="89"/>
              <w:jc w:val="left"/>
              <w:rPr>
                <w:sz w:val="14"/>
              </w:rPr>
            </w:pPr>
            <w:r>
              <w:rPr>
                <w:color w:val="231F20"/>
                <w:sz w:val="14"/>
              </w:rPr>
              <w:t>Коефицијент откривке (čm³/t)</w:t>
            </w:r>
          </w:p>
        </w:tc>
      </w:tr>
      <w:tr>
        <w:trPr>
          <w:trHeight w:val="200" w:hRule="atLeast"/>
        </w:trPr>
        <w:tc>
          <w:tcPr>
            <w:tcW w:w="834" w:type="dxa"/>
            <w:vMerge/>
            <w:tcBorders>
              <w:top w:val="nil"/>
            </w:tcBorders>
          </w:tcPr>
          <w:p>
            <w:pPr>
              <w:rPr>
                <w:sz w:val="2"/>
                <w:szCs w:val="2"/>
              </w:rPr>
            </w:pPr>
          </w:p>
        </w:tc>
        <w:tc>
          <w:tcPr>
            <w:tcW w:w="1049" w:type="dxa"/>
          </w:tcPr>
          <w:p>
            <w:pPr>
              <w:pStyle w:val="TableParagraph"/>
              <w:ind w:left="143"/>
              <w:jc w:val="left"/>
              <w:rPr>
                <w:sz w:val="14"/>
              </w:rPr>
            </w:pPr>
            <w:r>
              <w:rPr>
                <w:color w:val="231F20"/>
                <w:sz w:val="14"/>
              </w:rPr>
              <w:t>Појединачно</w:t>
            </w:r>
          </w:p>
        </w:tc>
        <w:tc>
          <w:tcPr>
            <w:tcW w:w="889" w:type="dxa"/>
          </w:tcPr>
          <w:p>
            <w:pPr>
              <w:pStyle w:val="TableParagraph"/>
              <w:ind w:right="49"/>
              <w:rPr>
                <w:sz w:val="14"/>
              </w:rPr>
            </w:pPr>
            <w:r>
              <w:rPr>
                <w:color w:val="231F20"/>
                <w:sz w:val="14"/>
              </w:rPr>
              <w:t>Појединачно</w:t>
            </w:r>
          </w:p>
        </w:tc>
        <w:tc>
          <w:tcPr>
            <w:tcW w:w="906" w:type="dxa"/>
          </w:tcPr>
          <w:p>
            <w:pPr>
              <w:pStyle w:val="TableParagraph"/>
              <w:ind w:right="48"/>
              <w:rPr>
                <w:sz w:val="14"/>
              </w:rPr>
            </w:pPr>
            <w:r>
              <w:rPr>
                <w:color w:val="231F20"/>
                <w:sz w:val="14"/>
              </w:rPr>
              <w:t>Кумулативно</w:t>
            </w:r>
          </w:p>
        </w:tc>
        <w:tc>
          <w:tcPr>
            <w:tcW w:w="1410" w:type="dxa"/>
            <w:vMerge/>
            <w:tcBorders>
              <w:top w:val="nil"/>
            </w:tcBorders>
          </w:tcPr>
          <w:p>
            <w:pPr>
              <w:rPr>
                <w:sz w:val="2"/>
                <w:szCs w:val="2"/>
              </w:rPr>
            </w:pPr>
          </w:p>
        </w:tc>
      </w:tr>
      <w:tr>
        <w:trPr>
          <w:trHeight w:val="200" w:hRule="atLeast"/>
        </w:trPr>
        <w:tc>
          <w:tcPr>
            <w:tcW w:w="834" w:type="dxa"/>
          </w:tcPr>
          <w:p>
            <w:pPr>
              <w:pStyle w:val="TableParagraph"/>
              <w:ind w:left="56"/>
              <w:jc w:val="left"/>
              <w:rPr>
                <w:sz w:val="14"/>
              </w:rPr>
            </w:pPr>
            <w:r>
              <w:rPr>
                <w:color w:val="231F20"/>
                <w:sz w:val="14"/>
              </w:rPr>
              <w:t>2010</w:t>
            </w:r>
          </w:p>
        </w:tc>
        <w:tc>
          <w:tcPr>
            <w:tcW w:w="1049" w:type="dxa"/>
          </w:tcPr>
          <w:p>
            <w:pPr>
              <w:pStyle w:val="TableParagraph"/>
              <w:ind w:right="43"/>
              <w:rPr>
                <w:sz w:val="14"/>
              </w:rPr>
            </w:pPr>
            <w:r>
              <w:rPr>
                <w:color w:val="231F20"/>
                <w:sz w:val="14"/>
              </w:rPr>
              <w:t>42.948.000</w:t>
            </w:r>
          </w:p>
        </w:tc>
        <w:tc>
          <w:tcPr>
            <w:tcW w:w="889" w:type="dxa"/>
          </w:tcPr>
          <w:p>
            <w:pPr>
              <w:pStyle w:val="TableParagraph"/>
              <w:ind w:right="42"/>
              <w:rPr>
                <w:sz w:val="14"/>
              </w:rPr>
            </w:pPr>
            <w:r>
              <w:rPr>
                <w:color w:val="231F20"/>
                <w:sz w:val="14"/>
              </w:rPr>
              <w:t>9.000.000</w:t>
            </w:r>
          </w:p>
        </w:tc>
        <w:tc>
          <w:tcPr>
            <w:tcW w:w="906" w:type="dxa"/>
            <w:vMerge w:val="restart"/>
          </w:tcPr>
          <w:p>
            <w:pPr>
              <w:pStyle w:val="TableParagraph"/>
              <w:ind w:left="222"/>
              <w:jc w:val="left"/>
              <w:rPr>
                <w:sz w:val="14"/>
              </w:rPr>
            </w:pPr>
            <w:r>
              <w:rPr>
                <w:color w:val="231F20"/>
                <w:sz w:val="14"/>
              </w:rPr>
              <w:t>27.000.000</w:t>
            </w:r>
          </w:p>
        </w:tc>
        <w:tc>
          <w:tcPr>
            <w:tcW w:w="1410" w:type="dxa"/>
          </w:tcPr>
          <w:p>
            <w:pPr>
              <w:pStyle w:val="TableParagraph"/>
              <w:ind w:left="565" w:right="548"/>
              <w:jc w:val="center"/>
              <w:rPr>
                <w:sz w:val="14"/>
              </w:rPr>
            </w:pPr>
            <w:r>
              <w:rPr>
                <w:color w:val="231F20"/>
                <w:sz w:val="14"/>
              </w:rPr>
              <w:t>4,77</w:t>
            </w:r>
          </w:p>
        </w:tc>
      </w:tr>
      <w:tr>
        <w:trPr>
          <w:trHeight w:val="200" w:hRule="atLeast"/>
        </w:trPr>
        <w:tc>
          <w:tcPr>
            <w:tcW w:w="834" w:type="dxa"/>
          </w:tcPr>
          <w:p>
            <w:pPr>
              <w:pStyle w:val="TableParagraph"/>
              <w:ind w:left="56"/>
              <w:jc w:val="left"/>
              <w:rPr>
                <w:sz w:val="14"/>
              </w:rPr>
            </w:pPr>
            <w:r>
              <w:rPr>
                <w:color w:val="231F20"/>
                <w:sz w:val="14"/>
              </w:rPr>
              <w:t>2011</w:t>
            </w:r>
          </w:p>
        </w:tc>
        <w:tc>
          <w:tcPr>
            <w:tcW w:w="1049" w:type="dxa"/>
          </w:tcPr>
          <w:p>
            <w:pPr>
              <w:pStyle w:val="TableParagraph"/>
              <w:ind w:right="43"/>
              <w:rPr>
                <w:sz w:val="14"/>
              </w:rPr>
            </w:pPr>
            <w:r>
              <w:rPr>
                <w:color w:val="231F20"/>
                <w:sz w:val="14"/>
              </w:rPr>
              <w:t>42.948.000</w:t>
            </w:r>
          </w:p>
        </w:tc>
        <w:tc>
          <w:tcPr>
            <w:tcW w:w="889" w:type="dxa"/>
          </w:tcPr>
          <w:p>
            <w:pPr>
              <w:pStyle w:val="TableParagraph"/>
              <w:ind w:right="42"/>
              <w:rPr>
                <w:sz w:val="14"/>
              </w:rPr>
            </w:pPr>
            <w:r>
              <w:rPr>
                <w:color w:val="231F20"/>
                <w:sz w:val="14"/>
              </w:rPr>
              <w:t>9.000.000</w:t>
            </w:r>
          </w:p>
        </w:tc>
        <w:tc>
          <w:tcPr>
            <w:tcW w:w="906" w:type="dxa"/>
            <w:vMerge/>
            <w:tcBorders>
              <w:top w:val="nil"/>
            </w:tcBorders>
          </w:tcPr>
          <w:p>
            <w:pPr>
              <w:rPr>
                <w:sz w:val="2"/>
                <w:szCs w:val="2"/>
              </w:rPr>
            </w:pPr>
          </w:p>
        </w:tc>
        <w:tc>
          <w:tcPr>
            <w:tcW w:w="1410" w:type="dxa"/>
          </w:tcPr>
          <w:p>
            <w:pPr>
              <w:pStyle w:val="TableParagraph"/>
              <w:ind w:left="565" w:right="548"/>
              <w:jc w:val="center"/>
              <w:rPr>
                <w:sz w:val="14"/>
              </w:rPr>
            </w:pPr>
            <w:r>
              <w:rPr>
                <w:color w:val="231F20"/>
                <w:sz w:val="14"/>
              </w:rPr>
              <w:t>4,77</w:t>
            </w:r>
          </w:p>
        </w:tc>
      </w:tr>
      <w:tr>
        <w:trPr>
          <w:trHeight w:val="200" w:hRule="atLeast"/>
        </w:trPr>
        <w:tc>
          <w:tcPr>
            <w:tcW w:w="834" w:type="dxa"/>
          </w:tcPr>
          <w:p>
            <w:pPr>
              <w:pStyle w:val="TableParagraph"/>
              <w:ind w:left="56"/>
              <w:jc w:val="left"/>
              <w:rPr>
                <w:sz w:val="14"/>
              </w:rPr>
            </w:pPr>
            <w:r>
              <w:rPr>
                <w:color w:val="231F20"/>
                <w:sz w:val="14"/>
              </w:rPr>
              <w:t>2012</w:t>
            </w:r>
          </w:p>
        </w:tc>
        <w:tc>
          <w:tcPr>
            <w:tcW w:w="1049" w:type="dxa"/>
          </w:tcPr>
          <w:p>
            <w:pPr>
              <w:pStyle w:val="TableParagraph"/>
              <w:ind w:right="43"/>
              <w:rPr>
                <w:sz w:val="14"/>
              </w:rPr>
            </w:pPr>
            <w:r>
              <w:rPr>
                <w:color w:val="231F20"/>
                <w:sz w:val="14"/>
              </w:rPr>
              <w:t>42.948.000</w:t>
            </w:r>
          </w:p>
        </w:tc>
        <w:tc>
          <w:tcPr>
            <w:tcW w:w="889" w:type="dxa"/>
          </w:tcPr>
          <w:p>
            <w:pPr>
              <w:pStyle w:val="TableParagraph"/>
              <w:ind w:right="42"/>
              <w:rPr>
                <w:sz w:val="14"/>
              </w:rPr>
            </w:pPr>
            <w:r>
              <w:rPr>
                <w:color w:val="231F20"/>
                <w:sz w:val="14"/>
              </w:rPr>
              <w:t>9.000.000</w:t>
            </w:r>
          </w:p>
        </w:tc>
        <w:tc>
          <w:tcPr>
            <w:tcW w:w="906" w:type="dxa"/>
            <w:vMerge/>
            <w:tcBorders>
              <w:top w:val="nil"/>
            </w:tcBorders>
          </w:tcPr>
          <w:p>
            <w:pPr>
              <w:rPr>
                <w:sz w:val="2"/>
                <w:szCs w:val="2"/>
              </w:rPr>
            </w:pPr>
          </w:p>
        </w:tc>
        <w:tc>
          <w:tcPr>
            <w:tcW w:w="1410" w:type="dxa"/>
          </w:tcPr>
          <w:p>
            <w:pPr>
              <w:pStyle w:val="TableParagraph"/>
              <w:ind w:left="565" w:right="548"/>
              <w:jc w:val="center"/>
              <w:rPr>
                <w:sz w:val="14"/>
              </w:rPr>
            </w:pPr>
            <w:r>
              <w:rPr>
                <w:color w:val="231F20"/>
                <w:sz w:val="14"/>
              </w:rPr>
              <w:t>4,77</w:t>
            </w:r>
          </w:p>
        </w:tc>
      </w:tr>
      <w:tr>
        <w:trPr>
          <w:trHeight w:val="200" w:hRule="atLeast"/>
        </w:trPr>
        <w:tc>
          <w:tcPr>
            <w:tcW w:w="834" w:type="dxa"/>
          </w:tcPr>
          <w:p>
            <w:pPr>
              <w:pStyle w:val="TableParagraph"/>
              <w:ind w:left="56"/>
              <w:jc w:val="left"/>
              <w:rPr>
                <w:sz w:val="14"/>
              </w:rPr>
            </w:pPr>
            <w:r>
              <w:rPr>
                <w:color w:val="231F20"/>
                <w:sz w:val="14"/>
              </w:rPr>
              <w:t>2013 - 2017</w:t>
            </w:r>
          </w:p>
        </w:tc>
        <w:tc>
          <w:tcPr>
            <w:tcW w:w="1049" w:type="dxa"/>
          </w:tcPr>
          <w:p>
            <w:pPr>
              <w:pStyle w:val="TableParagraph"/>
              <w:ind w:right="43"/>
              <w:rPr>
                <w:sz w:val="14"/>
              </w:rPr>
            </w:pPr>
            <w:r>
              <w:rPr>
                <w:color w:val="231F20"/>
                <w:sz w:val="14"/>
              </w:rPr>
              <w:t>214.740.000</w:t>
            </w:r>
          </w:p>
        </w:tc>
        <w:tc>
          <w:tcPr>
            <w:tcW w:w="889" w:type="dxa"/>
          </w:tcPr>
          <w:p>
            <w:pPr>
              <w:pStyle w:val="TableParagraph"/>
              <w:ind w:right="42"/>
              <w:rPr>
                <w:sz w:val="14"/>
              </w:rPr>
            </w:pPr>
            <w:r>
              <w:rPr>
                <w:color w:val="231F20"/>
                <w:sz w:val="14"/>
              </w:rPr>
              <w:t>9.000.000</w:t>
            </w:r>
          </w:p>
        </w:tc>
        <w:tc>
          <w:tcPr>
            <w:tcW w:w="906" w:type="dxa"/>
          </w:tcPr>
          <w:p>
            <w:pPr>
              <w:pStyle w:val="TableParagraph"/>
              <w:ind w:right="41"/>
              <w:rPr>
                <w:sz w:val="14"/>
              </w:rPr>
            </w:pPr>
            <w:r>
              <w:rPr>
                <w:color w:val="231F20"/>
                <w:sz w:val="14"/>
              </w:rPr>
              <w:t>45.000.000</w:t>
            </w:r>
          </w:p>
        </w:tc>
        <w:tc>
          <w:tcPr>
            <w:tcW w:w="1410" w:type="dxa"/>
          </w:tcPr>
          <w:p>
            <w:pPr>
              <w:pStyle w:val="TableParagraph"/>
              <w:ind w:left="566" w:right="548"/>
              <w:jc w:val="center"/>
              <w:rPr>
                <w:sz w:val="14"/>
              </w:rPr>
            </w:pPr>
            <w:r>
              <w:rPr>
                <w:color w:val="231F20"/>
                <w:sz w:val="14"/>
              </w:rPr>
              <w:t>4,77</w:t>
            </w:r>
          </w:p>
        </w:tc>
      </w:tr>
      <w:tr>
        <w:trPr>
          <w:trHeight w:val="200" w:hRule="atLeast"/>
        </w:trPr>
        <w:tc>
          <w:tcPr>
            <w:tcW w:w="834" w:type="dxa"/>
          </w:tcPr>
          <w:p>
            <w:pPr>
              <w:pStyle w:val="TableParagraph"/>
              <w:ind w:left="56"/>
              <w:jc w:val="left"/>
              <w:rPr>
                <w:sz w:val="14"/>
              </w:rPr>
            </w:pPr>
            <w:r>
              <w:rPr>
                <w:color w:val="231F20"/>
                <w:sz w:val="14"/>
              </w:rPr>
              <w:t>2018 - 2023</w:t>
            </w:r>
          </w:p>
        </w:tc>
        <w:tc>
          <w:tcPr>
            <w:tcW w:w="1049" w:type="dxa"/>
          </w:tcPr>
          <w:p>
            <w:pPr>
              <w:pStyle w:val="TableParagraph"/>
              <w:ind w:right="43"/>
              <w:rPr>
                <w:sz w:val="14"/>
              </w:rPr>
            </w:pPr>
            <w:r>
              <w:rPr>
                <w:color w:val="231F20"/>
                <w:sz w:val="14"/>
              </w:rPr>
              <w:t>343.584.000</w:t>
            </w:r>
          </w:p>
        </w:tc>
        <w:tc>
          <w:tcPr>
            <w:tcW w:w="889" w:type="dxa"/>
          </w:tcPr>
          <w:p>
            <w:pPr>
              <w:pStyle w:val="TableParagraph"/>
              <w:ind w:right="42"/>
              <w:rPr>
                <w:sz w:val="14"/>
              </w:rPr>
            </w:pPr>
            <w:r>
              <w:rPr>
                <w:color w:val="231F20"/>
                <w:sz w:val="14"/>
              </w:rPr>
              <w:t>12.000.000</w:t>
            </w:r>
          </w:p>
        </w:tc>
        <w:tc>
          <w:tcPr>
            <w:tcW w:w="906" w:type="dxa"/>
          </w:tcPr>
          <w:p>
            <w:pPr>
              <w:pStyle w:val="TableParagraph"/>
              <w:ind w:right="40"/>
              <w:rPr>
                <w:sz w:val="14"/>
              </w:rPr>
            </w:pPr>
            <w:r>
              <w:rPr>
                <w:color w:val="231F20"/>
                <w:sz w:val="14"/>
              </w:rPr>
              <w:t>72.000.000</w:t>
            </w:r>
          </w:p>
        </w:tc>
        <w:tc>
          <w:tcPr>
            <w:tcW w:w="1410" w:type="dxa"/>
          </w:tcPr>
          <w:p>
            <w:pPr>
              <w:pStyle w:val="TableParagraph"/>
              <w:ind w:left="566" w:right="548"/>
              <w:jc w:val="center"/>
              <w:rPr>
                <w:sz w:val="14"/>
              </w:rPr>
            </w:pPr>
            <w:r>
              <w:rPr>
                <w:color w:val="231F20"/>
                <w:sz w:val="14"/>
              </w:rPr>
              <w:t>4,77</w:t>
            </w:r>
          </w:p>
        </w:tc>
      </w:tr>
      <w:tr>
        <w:trPr>
          <w:trHeight w:val="200" w:hRule="atLeast"/>
        </w:trPr>
        <w:tc>
          <w:tcPr>
            <w:tcW w:w="834" w:type="dxa"/>
          </w:tcPr>
          <w:p>
            <w:pPr>
              <w:pStyle w:val="TableParagraph"/>
              <w:ind w:left="57"/>
              <w:jc w:val="left"/>
              <w:rPr>
                <w:sz w:val="14"/>
              </w:rPr>
            </w:pPr>
            <w:r>
              <w:rPr>
                <w:color w:val="231F20"/>
                <w:sz w:val="14"/>
              </w:rPr>
              <w:t>2024 - 2038</w:t>
            </w:r>
          </w:p>
        </w:tc>
        <w:tc>
          <w:tcPr>
            <w:tcW w:w="1049" w:type="dxa"/>
          </w:tcPr>
          <w:p>
            <w:pPr>
              <w:pStyle w:val="TableParagraph"/>
              <w:ind w:right="43"/>
              <w:rPr>
                <w:sz w:val="14"/>
              </w:rPr>
            </w:pPr>
            <w:r>
              <w:rPr>
                <w:color w:val="231F20"/>
                <w:sz w:val="14"/>
              </w:rPr>
              <w:t>858.960.000</w:t>
            </w:r>
          </w:p>
        </w:tc>
        <w:tc>
          <w:tcPr>
            <w:tcW w:w="889" w:type="dxa"/>
          </w:tcPr>
          <w:p>
            <w:pPr>
              <w:pStyle w:val="TableParagraph"/>
              <w:ind w:right="41"/>
              <w:rPr>
                <w:sz w:val="14"/>
              </w:rPr>
            </w:pPr>
            <w:r>
              <w:rPr>
                <w:color w:val="231F20"/>
                <w:sz w:val="14"/>
              </w:rPr>
              <w:t>12.000.000</w:t>
            </w:r>
          </w:p>
        </w:tc>
        <w:tc>
          <w:tcPr>
            <w:tcW w:w="906" w:type="dxa"/>
          </w:tcPr>
          <w:p>
            <w:pPr>
              <w:pStyle w:val="TableParagraph"/>
              <w:ind w:right="40"/>
              <w:rPr>
                <w:sz w:val="14"/>
              </w:rPr>
            </w:pPr>
            <w:r>
              <w:rPr>
                <w:color w:val="231F20"/>
                <w:sz w:val="14"/>
              </w:rPr>
              <w:t>180.000.000</w:t>
            </w:r>
          </w:p>
        </w:tc>
        <w:tc>
          <w:tcPr>
            <w:tcW w:w="1410" w:type="dxa"/>
          </w:tcPr>
          <w:p>
            <w:pPr>
              <w:pStyle w:val="TableParagraph"/>
              <w:ind w:left="566" w:right="548"/>
              <w:jc w:val="center"/>
              <w:rPr>
                <w:sz w:val="14"/>
              </w:rPr>
            </w:pPr>
            <w:r>
              <w:rPr>
                <w:color w:val="231F20"/>
                <w:sz w:val="14"/>
              </w:rPr>
              <w:t>4,77</w:t>
            </w:r>
          </w:p>
        </w:tc>
      </w:tr>
      <w:tr>
        <w:trPr>
          <w:trHeight w:val="200" w:hRule="atLeast"/>
        </w:trPr>
        <w:tc>
          <w:tcPr>
            <w:tcW w:w="834" w:type="dxa"/>
          </w:tcPr>
          <w:p>
            <w:pPr>
              <w:pStyle w:val="TableParagraph"/>
              <w:spacing w:before="17"/>
              <w:ind w:left="57"/>
              <w:jc w:val="left"/>
              <w:rPr>
                <w:sz w:val="14"/>
              </w:rPr>
            </w:pPr>
            <w:r>
              <w:rPr>
                <w:color w:val="231F20"/>
                <w:sz w:val="14"/>
              </w:rPr>
              <w:t>2039</w:t>
            </w:r>
          </w:p>
        </w:tc>
        <w:tc>
          <w:tcPr>
            <w:tcW w:w="1049" w:type="dxa"/>
          </w:tcPr>
          <w:p>
            <w:pPr>
              <w:pStyle w:val="TableParagraph"/>
              <w:spacing w:before="17"/>
              <w:ind w:right="42"/>
              <w:rPr>
                <w:sz w:val="14"/>
              </w:rPr>
            </w:pPr>
            <w:r>
              <w:rPr>
                <w:color w:val="231F20"/>
                <w:sz w:val="14"/>
              </w:rPr>
              <w:t>28.553.000</w:t>
            </w:r>
          </w:p>
        </w:tc>
        <w:tc>
          <w:tcPr>
            <w:tcW w:w="889" w:type="dxa"/>
          </w:tcPr>
          <w:p>
            <w:pPr>
              <w:pStyle w:val="TableParagraph"/>
              <w:spacing w:before="17"/>
              <w:ind w:right="41"/>
              <w:rPr>
                <w:sz w:val="14"/>
              </w:rPr>
            </w:pPr>
            <w:r>
              <w:rPr>
                <w:color w:val="231F20"/>
                <w:sz w:val="14"/>
              </w:rPr>
              <w:t>6.000.000</w:t>
            </w:r>
          </w:p>
        </w:tc>
        <w:tc>
          <w:tcPr>
            <w:tcW w:w="906" w:type="dxa"/>
            <w:vMerge w:val="restart"/>
          </w:tcPr>
          <w:p>
            <w:pPr>
              <w:pStyle w:val="TableParagraph"/>
              <w:spacing w:before="17"/>
              <w:ind w:left="223"/>
              <w:jc w:val="left"/>
              <w:rPr>
                <w:sz w:val="14"/>
              </w:rPr>
            </w:pPr>
            <w:r>
              <w:rPr>
                <w:color w:val="231F20"/>
                <w:sz w:val="14"/>
              </w:rPr>
              <w:t>15.000.000</w:t>
            </w:r>
          </w:p>
        </w:tc>
        <w:tc>
          <w:tcPr>
            <w:tcW w:w="1410" w:type="dxa"/>
          </w:tcPr>
          <w:p>
            <w:pPr>
              <w:pStyle w:val="TableParagraph"/>
              <w:spacing w:before="17"/>
              <w:ind w:left="566" w:right="548"/>
              <w:jc w:val="center"/>
              <w:rPr>
                <w:sz w:val="14"/>
              </w:rPr>
            </w:pPr>
            <w:r>
              <w:rPr>
                <w:color w:val="231F20"/>
                <w:sz w:val="14"/>
              </w:rPr>
              <w:t>4,76</w:t>
            </w:r>
          </w:p>
        </w:tc>
      </w:tr>
      <w:tr>
        <w:trPr>
          <w:trHeight w:val="200" w:hRule="atLeast"/>
        </w:trPr>
        <w:tc>
          <w:tcPr>
            <w:tcW w:w="834" w:type="dxa"/>
          </w:tcPr>
          <w:p>
            <w:pPr>
              <w:pStyle w:val="TableParagraph"/>
              <w:spacing w:before="17"/>
              <w:ind w:left="57"/>
              <w:jc w:val="left"/>
              <w:rPr>
                <w:sz w:val="14"/>
              </w:rPr>
            </w:pPr>
            <w:r>
              <w:rPr>
                <w:color w:val="231F20"/>
                <w:sz w:val="14"/>
              </w:rPr>
              <w:t>2040</w:t>
            </w:r>
          </w:p>
        </w:tc>
        <w:tc>
          <w:tcPr>
            <w:tcW w:w="1049" w:type="dxa"/>
          </w:tcPr>
          <w:p>
            <w:pPr>
              <w:pStyle w:val="TableParagraph"/>
              <w:spacing w:before="17"/>
              <w:ind w:right="42"/>
              <w:rPr>
                <w:sz w:val="14"/>
              </w:rPr>
            </w:pPr>
            <w:r>
              <w:rPr>
                <w:color w:val="231F20"/>
                <w:sz w:val="14"/>
              </w:rPr>
              <w:t>15.420.000</w:t>
            </w:r>
          </w:p>
        </w:tc>
        <w:tc>
          <w:tcPr>
            <w:tcW w:w="889" w:type="dxa"/>
          </w:tcPr>
          <w:p>
            <w:pPr>
              <w:pStyle w:val="TableParagraph"/>
              <w:spacing w:before="17"/>
              <w:ind w:right="41"/>
              <w:rPr>
                <w:sz w:val="14"/>
              </w:rPr>
            </w:pPr>
            <w:r>
              <w:rPr>
                <w:color w:val="231F20"/>
                <w:sz w:val="14"/>
              </w:rPr>
              <w:t>6.000.000</w:t>
            </w:r>
          </w:p>
        </w:tc>
        <w:tc>
          <w:tcPr>
            <w:tcW w:w="906" w:type="dxa"/>
            <w:vMerge/>
            <w:tcBorders>
              <w:top w:val="nil"/>
            </w:tcBorders>
          </w:tcPr>
          <w:p>
            <w:pPr>
              <w:rPr>
                <w:sz w:val="2"/>
                <w:szCs w:val="2"/>
              </w:rPr>
            </w:pPr>
          </w:p>
        </w:tc>
        <w:tc>
          <w:tcPr>
            <w:tcW w:w="1410" w:type="dxa"/>
          </w:tcPr>
          <w:p>
            <w:pPr>
              <w:pStyle w:val="TableParagraph"/>
              <w:spacing w:before="17"/>
              <w:ind w:left="566" w:right="547"/>
              <w:jc w:val="center"/>
              <w:rPr>
                <w:sz w:val="14"/>
              </w:rPr>
            </w:pPr>
            <w:r>
              <w:rPr>
                <w:color w:val="231F20"/>
                <w:sz w:val="14"/>
              </w:rPr>
              <w:t>2,57</w:t>
            </w:r>
          </w:p>
        </w:tc>
      </w:tr>
      <w:tr>
        <w:trPr>
          <w:trHeight w:val="200" w:hRule="atLeast"/>
        </w:trPr>
        <w:tc>
          <w:tcPr>
            <w:tcW w:w="834" w:type="dxa"/>
          </w:tcPr>
          <w:p>
            <w:pPr>
              <w:pStyle w:val="TableParagraph"/>
              <w:spacing w:before="17"/>
              <w:ind w:left="57"/>
              <w:jc w:val="left"/>
              <w:rPr>
                <w:sz w:val="14"/>
              </w:rPr>
            </w:pPr>
            <w:r>
              <w:rPr>
                <w:color w:val="231F20"/>
                <w:sz w:val="14"/>
              </w:rPr>
              <w:t>2041</w:t>
            </w:r>
          </w:p>
        </w:tc>
        <w:tc>
          <w:tcPr>
            <w:tcW w:w="1049" w:type="dxa"/>
          </w:tcPr>
          <w:p>
            <w:pPr>
              <w:pStyle w:val="TableParagraph"/>
              <w:spacing w:before="17"/>
              <w:ind w:right="42"/>
              <w:rPr>
                <w:sz w:val="14"/>
              </w:rPr>
            </w:pPr>
            <w:r>
              <w:rPr>
                <w:color w:val="231F20"/>
                <w:sz w:val="14"/>
              </w:rPr>
              <w:t>1.620.000</w:t>
            </w:r>
          </w:p>
        </w:tc>
        <w:tc>
          <w:tcPr>
            <w:tcW w:w="889" w:type="dxa"/>
          </w:tcPr>
          <w:p>
            <w:pPr>
              <w:pStyle w:val="TableParagraph"/>
              <w:spacing w:before="17"/>
              <w:ind w:right="41"/>
              <w:rPr>
                <w:sz w:val="14"/>
              </w:rPr>
            </w:pPr>
            <w:r>
              <w:rPr>
                <w:color w:val="231F20"/>
                <w:sz w:val="14"/>
              </w:rPr>
              <w:t>3.000.000</w:t>
            </w:r>
          </w:p>
        </w:tc>
        <w:tc>
          <w:tcPr>
            <w:tcW w:w="906" w:type="dxa"/>
            <w:vMerge/>
            <w:tcBorders>
              <w:top w:val="nil"/>
            </w:tcBorders>
          </w:tcPr>
          <w:p>
            <w:pPr>
              <w:rPr>
                <w:sz w:val="2"/>
                <w:szCs w:val="2"/>
              </w:rPr>
            </w:pPr>
          </w:p>
        </w:tc>
        <w:tc>
          <w:tcPr>
            <w:tcW w:w="1410" w:type="dxa"/>
          </w:tcPr>
          <w:p>
            <w:pPr>
              <w:pStyle w:val="TableParagraph"/>
              <w:spacing w:before="17"/>
              <w:ind w:left="566" w:right="547"/>
              <w:jc w:val="center"/>
              <w:rPr>
                <w:sz w:val="14"/>
              </w:rPr>
            </w:pPr>
            <w:r>
              <w:rPr>
                <w:color w:val="231F20"/>
                <w:sz w:val="14"/>
              </w:rPr>
              <w:t>0,54</w:t>
            </w:r>
          </w:p>
        </w:tc>
      </w:tr>
      <w:tr>
        <w:trPr>
          <w:trHeight w:val="200" w:hRule="atLeast"/>
        </w:trPr>
        <w:tc>
          <w:tcPr>
            <w:tcW w:w="834" w:type="dxa"/>
          </w:tcPr>
          <w:p>
            <w:pPr>
              <w:pStyle w:val="TableParagraph"/>
              <w:spacing w:before="17"/>
              <w:ind w:left="57"/>
              <w:jc w:val="left"/>
              <w:rPr>
                <w:sz w:val="14"/>
              </w:rPr>
            </w:pPr>
            <w:r>
              <w:rPr>
                <w:color w:val="231F20"/>
                <w:sz w:val="14"/>
              </w:rPr>
              <w:t>УКУПНО</w:t>
            </w:r>
          </w:p>
        </w:tc>
        <w:tc>
          <w:tcPr>
            <w:tcW w:w="1049" w:type="dxa"/>
          </w:tcPr>
          <w:p>
            <w:pPr>
              <w:pStyle w:val="TableParagraph"/>
              <w:spacing w:before="17"/>
              <w:ind w:right="42"/>
              <w:rPr>
                <w:sz w:val="14"/>
              </w:rPr>
            </w:pPr>
            <w:r>
              <w:rPr>
                <w:color w:val="231F20"/>
                <w:sz w:val="14"/>
              </w:rPr>
              <w:t>1.591.721.000</w:t>
            </w:r>
          </w:p>
        </w:tc>
        <w:tc>
          <w:tcPr>
            <w:tcW w:w="889" w:type="dxa"/>
          </w:tcPr>
          <w:p>
            <w:pPr>
              <w:pStyle w:val="TableParagraph"/>
              <w:spacing w:before="17"/>
              <w:ind w:right="41"/>
              <w:rPr>
                <w:sz w:val="14"/>
              </w:rPr>
            </w:pPr>
            <w:r>
              <w:rPr>
                <w:color w:val="231F20"/>
                <w:sz w:val="14"/>
              </w:rPr>
              <w:t>54.000.000</w:t>
            </w:r>
          </w:p>
        </w:tc>
        <w:tc>
          <w:tcPr>
            <w:tcW w:w="906" w:type="dxa"/>
          </w:tcPr>
          <w:p>
            <w:pPr>
              <w:pStyle w:val="TableParagraph"/>
              <w:spacing w:before="17"/>
              <w:ind w:right="40"/>
              <w:rPr>
                <w:sz w:val="14"/>
              </w:rPr>
            </w:pPr>
            <w:r>
              <w:rPr>
                <w:color w:val="231F20"/>
                <w:sz w:val="14"/>
              </w:rPr>
              <w:t>418.500.000</w:t>
            </w:r>
          </w:p>
        </w:tc>
        <w:tc>
          <w:tcPr>
            <w:tcW w:w="1410" w:type="dxa"/>
          </w:tcPr>
          <w:p>
            <w:pPr>
              <w:pStyle w:val="TableParagraph"/>
              <w:spacing w:before="0"/>
              <w:jc w:val="left"/>
              <w:rPr>
                <w:sz w:val="12"/>
              </w:rPr>
            </w:pPr>
          </w:p>
        </w:tc>
      </w:tr>
    </w:tbl>
    <w:p>
      <w:pPr>
        <w:pStyle w:val="BodyText"/>
        <w:spacing w:line="232" w:lineRule="auto" w:before="37"/>
        <w:ind w:right="43" w:firstLine="396"/>
      </w:pPr>
      <w:r>
        <w:rPr>
          <w:color w:val="231F20"/>
        </w:rPr>
        <w:t>Билансне, геолошке и експлоатационе резерве угља омогућују рад површинског копа „Дрмно” до 2054. године.</w:t>
      </w:r>
    </w:p>
    <w:p>
      <w:pPr>
        <w:pStyle w:val="BodyText"/>
        <w:spacing w:line="230" w:lineRule="auto"/>
        <w:ind w:right="42" w:firstLine="396"/>
      </w:pPr>
      <w:r>
        <w:rPr>
          <w:color w:val="231F20"/>
        </w:rPr>
        <w:t>Међутим, укупне геолошке резерве Костолачког угљоносног басена показују да постоје реалне могућности развоја и у дужем временском периоду, уз даље детаљније истраживање лежишта.</w:t>
      </w:r>
    </w:p>
    <w:p>
      <w:pPr>
        <w:pStyle w:val="BodyText"/>
        <w:spacing w:line="194" w:lineRule="exact"/>
        <w:ind w:left="567"/>
        <w:jc w:val="left"/>
      </w:pPr>
      <w:r>
        <w:rPr>
          <w:color w:val="231F20"/>
        </w:rPr>
        <w:t>Како потврђене резерве угља на површинском копу</w:t>
      </w:r>
    </w:p>
    <w:p>
      <w:pPr>
        <w:pStyle w:val="BodyText"/>
        <w:spacing w:line="230" w:lineRule="auto"/>
        <w:ind w:right="42"/>
      </w:pPr>
      <w:r>
        <w:rPr>
          <w:color w:val="231F20"/>
        </w:rPr>
        <w:t>„Дрмно” могу бити недовољне за задовољење потреба нових термоелектрана </w:t>
      </w:r>
      <w:r>
        <w:rPr>
          <w:color w:val="231F20"/>
          <w:spacing w:val="-4"/>
        </w:rPr>
        <w:t>током </w:t>
      </w:r>
      <w:r>
        <w:rPr>
          <w:color w:val="231F20"/>
        </w:rPr>
        <w:t>целог  века  њиховог  рада  у  зависности </w:t>
      </w:r>
      <w:r>
        <w:rPr>
          <w:color w:val="231F20"/>
          <w:spacing w:val="-3"/>
        </w:rPr>
        <w:t>од </w:t>
      </w:r>
      <w:r>
        <w:rPr>
          <w:color w:val="231F20"/>
        </w:rPr>
        <w:t>инсталисане снаге, неопходно је дефинисање простора за отварање нових површинских</w:t>
      </w:r>
      <w:r>
        <w:rPr>
          <w:color w:val="231F20"/>
          <w:spacing w:val="-4"/>
        </w:rPr>
        <w:t> </w:t>
      </w:r>
      <w:r>
        <w:rPr>
          <w:color w:val="231F20"/>
        </w:rPr>
        <w:t>копова.</w:t>
      </w:r>
    </w:p>
    <w:p>
      <w:pPr>
        <w:pStyle w:val="BodyText"/>
        <w:spacing w:line="230" w:lineRule="auto"/>
        <w:ind w:right="42" w:firstLine="396"/>
      </w:pPr>
      <w:r>
        <w:rPr>
          <w:color w:val="231F20"/>
        </w:rPr>
        <w:t>По завршетку обимних геолошких истраживања у централном и источном делу басена, у 2009. години, започети    су истражни радови и у западном-угљоносно потенцијалном  делу Басена. Прва фаза истраживања изведена је 2009.</w:t>
      </w:r>
      <w:r>
        <w:rPr>
          <w:color w:val="231F20"/>
          <w:spacing w:val="2"/>
        </w:rPr>
        <w:t> </w:t>
      </w:r>
      <w:r>
        <w:rPr>
          <w:color w:val="231F20"/>
        </w:rPr>
        <w:t>године</w:t>
      </w:r>
    </w:p>
    <w:p>
      <w:pPr>
        <w:pStyle w:val="BodyText"/>
        <w:spacing w:line="230" w:lineRule="auto" w:before="74"/>
        <w:ind w:left="171" w:right="410"/>
      </w:pPr>
      <w:r>
        <w:rPr/>
        <w:br w:type="column"/>
      </w:r>
      <w:r>
        <w:rPr>
          <w:color w:val="231F20"/>
        </w:rPr>
        <w:t>на локалитету спољњег одлагалишта „Петка”, а преостали део басена је истовремено покривен одговарајућим геофизичким истраживањима. ПД ТЕ-КО „Костолац” је у 2010. години наставило започета истраживања западног дела Басена и то на локалитетима „Дубравица” и „Батовац”, укључујући део лежишта поред леве обале велике Мораве. Ова истраживања су указала на добру перспективност овог лигнитског лежишта за потенцијалну експлоатацију угља.</w:t>
      </w:r>
    </w:p>
    <w:p>
      <w:pPr>
        <w:pStyle w:val="BodyText"/>
        <w:spacing w:before="2"/>
        <w:ind w:left="0"/>
        <w:jc w:val="left"/>
        <w:rPr>
          <w:sz w:val="17"/>
        </w:rPr>
      </w:pPr>
    </w:p>
    <w:p>
      <w:pPr>
        <w:pStyle w:val="BodyText"/>
        <w:spacing w:before="1"/>
        <w:ind w:left="1010" w:right="1540" w:hanging="840"/>
        <w:jc w:val="left"/>
      </w:pPr>
      <w:r>
        <w:rPr>
          <w:color w:val="231F20"/>
        </w:rPr>
        <w:t>Табела 16. Потенцијалне (експлоатационе) резерве у западном делу басена</w:t>
      </w:r>
    </w:p>
    <w:p>
      <w:pPr>
        <w:pStyle w:val="BodyText"/>
        <w:spacing w:before="7"/>
        <w:ind w:left="0"/>
        <w:jc w:val="left"/>
        <w:rPr>
          <w:sz w:val="3"/>
        </w:rPr>
      </w:pPr>
    </w:p>
    <w:tbl>
      <w:tblPr>
        <w:tblW w:w="0" w:type="auto"/>
        <w:jc w:val="left"/>
        <w:tblInd w:w="1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51"/>
        <w:gridCol w:w="2551"/>
      </w:tblGrid>
      <w:tr>
        <w:trPr>
          <w:trHeight w:val="200" w:hRule="atLeast"/>
        </w:trPr>
        <w:tc>
          <w:tcPr>
            <w:tcW w:w="2551" w:type="dxa"/>
          </w:tcPr>
          <w:p>
            <w:pPr>
              <w:pStyle w:val="TableParagraph"/>
              <w:ind w:left="722" w:right="712"/>
              <w:jc w:val="center"/>
              <w:rPr>
                <w:sz w:val="14"/>
              </w:rPr>
            </w:pPr>
            <w:r>
              <w:rPr>
                <w:color w:val="231F20"/>
                <w:sz w:val="14"/>
              </w:rPr>
              <w:t>Угљени слоја</w:t>
            </w:r>
          </w:p>
        </w:tc>
        <w:tc>
          <w:tcPr>
            <w:tcW w:w="2551" w:type="dxa"/>
          </w:tcPr>
          <w:p>
            <w:pPr>
              <w:pStyle w:val="TableParagraph"/>
              <w:ind w:left="466"/>
              <w:jc w:val="left"/>
              <w:rPr>
                <w:sz w:val="14"/>
              </w:rPr>
            </w:pPr>
            <w:r>
              <w:rPr>
                <w:color w:val="231F20"/>
                <w:sz w:val="14"/>
              </w:rPr>
              <w:t>Експлоатационе резерве (t)</w:t>
            </w:r>
          </w:p>
        </w:tc>
      </w:tr>
      <w:tr>
        <w:trPr>
          <w:trHeight w:val="200" w:hRule="atLeast"/>
        </w:trPr>
        <w:tc>
          <w:tcPr>
            <w:tcW w:w="2551" w:type="dxa"/>
          </w:tcPr>
          <w:p>
            <w:pPr>
              <w:pStyle w:val="TableParagraph"/>
              <w:ind w:left="56"/>
              <w:jc w:val="left"/>
              <w:rPr>
                <w:sz w:val="14"/>
              </w:rPr>
            </w:pPr>
            <w:r>
              <w:rPr>
                <w:color w:val="231F20"/>
                <w:sz w:val="14"/>
              </w:rPr>
              <w:t>I угљени слој</w:t>
            </w:r>
          </w:p>
        </w:tc>
        <w:tc>
          <w:tcPr>
            <w:tcW w:w="2551" w:type="dxa"/>
          </w:tcPr>
          <w:p>
            <w:pPr>
              <w:pStyle w:val="TableParagraph"/>
              <w:ind w:right="44"/>
              <w:rPr>
                <w:sz w:val="14"/>
              </w:rPr>
            </w:pPr>
            <w:r>
              <w:rPr>
                <w:color w:val="231F20"/>
                <w:sz w:val="14"/>
              </w:rPr>
              <w:t>494.483.400</w:t>
            </w:r>
          </w:p>
        </w:tc>
      </w:tr>
      <w:tr>
        <w:trPr>
          <w:trHeight w:val="200" w:hRule="atLeast"/>
        </w:trPr>
        <w:tc>
          <w:tcPr>
            <w:tcW w:w="2551" w:type="dxa"/>
          </w:tcPr>
          <w:p>
            <w:pPr>
              <w:pStyle w:val="TableParagraph"/>
              <w:ind w:left="56"/>
              <w:jc w:val="left"/>
              <w:rPr>
                <w:sz w:val="14"/>
              </w:rPr>
            </w:pPr>
            <w:r>
              <w:rPr>
                <w:color w:val="231F20"/>
                <w:sz w:val="14"/>
              </w:rPr>
              <w:t>II угљени слој</w:t>
            </w:r>
          </w:p>
        </w:tc>
        <w:tc>
          <w:tcPr>
            <w:tcW w:w="2551" w:type="dxa"/>
          </w:tcPr>
          <w:p>
            <w:pPr>
              <w:pStyle w:val="TableParagraph"/>
              <w:ind w:right="44"/>
              <w:rPr>
                <w:sz w:val="14"/>
              </w:rPr>
            </w:pPr>
            <w:r>
              <w:rPr>
                <w:color w:val="231F20"/>
                <w:sz w:val="14"/>
              </w:rPr>
              <w:t>185.494.000</w:t>
            </w:r>
          </w:p>
        </w:tc>
      </w:tr>
      <w:tr>
        <w:trPr>
          <w:trHeight w:val="200" w:hRule="atLeast"/>
        </w:trPr>
        <w:tc>
          <w:tcPr>
            <w:tcW w:w="2551" w:type="dxa"/>
          </w:tcPr>
          <w:p>
            <w:pPr>
              <w:pStyle w:val="TableParagraph"/>
              <w:ind w:left="56"/>
              <w:jc w:val="left"/>
              <w:rPr>
                <w:sz w:val="14"/>
              </w:rPr>
            </w:pPr>
            <w:r>
              <w:rPr>
                <w:color w:val="231F20"/>
                <w:sz w:val="14"/>
              </w:rPr>
              <w:t>III угљени слој</w:t>
            </w:r>
          </w:p>
        </w:tc>
        <w:tc>
          <w:tcPr>
            <w:tcW w:w="2551" w:type="dxa"/>
          </w:tcPr>
          <w:p>
            <w:pPr>
              <w:pStyle w:val="TableParagraph"/>
              <w:ind w:right="44"/>
              <w:rPr>
                <w:sz w:val="14"/>
              </w:rPr>
            </w:pPr>
            <w:r>
              <w:rPr>
                <w:color w:val="231F20"/>
                <w:sz w:val="14"/>
              </w:rPr>
              <w:t>241.169.200</w:t>
            </w:r>
          </w:p>
        </w:tc>
      </w:tr>
      <w:tr>
        <w:trPr>
          <w:trHeight w:val="200" w:hRule="atLeast"/>
        </w:trPr>
        <w:tc>
          <w:tcPr>
            <w:tcW w:w="2551" w:type="dxa"/>
          </w:tcPr>
          <w:p>
            <w:pPr>
              <w:pStyle w:val="TableParagraph"/>
              <w:ind w:left="56"/>
              <w:jc w:val="left"/>
              <w:rPr>
                <w:sz w:val="14"/>
              </w:rPr>
            </w:pPr>
            <w:r>
              <w:rPr>
                <w:color w:val="231F20"/>
                <w:sz w:val="14"/>
              </w:rPr>
              <w:t>Укупно</w:t>
            </w:r>
          </w:p>
        </w:tc>
        <w:tc>
          <w:tcPr>
            <w:tcW w:w="2551" w:type="dxa"/>
          </w:tcPr>
          <w:p>
            <w:pPr>
              <w:pStyle w:val="TableParagraph"/>
              <w:ind w:right="44"/>
              <w:rPr>
                <w:sz w:val="14"/>
              </w:rPr>
            </w:pPr>
            <w:r>
              <w:rPr>
                <w:color w:val="231F20"/>
                <w:sz w:val="14"/>
              </w:rPr>
              <w:t>921.146.600</w:t>
            </w:r>
          </w:p>
        </w:tc>
      </w:tr>
    </w:tbl>
    <w:p>
      <w:pPr>
        <w:pStyle w:val="BodyText"/>
        <w:ind w:left="0"/>
        <w:jc w:val="left"/>
        <w:rPr>
          <w:sz w:val="16"/>
        </w:rPr>
      </w:pPr>
      <w:r>
        <w:rPr/>
        <w:drawing>
          <wp:anchor distT="0" distB="0" distL="0" distR="0" allowOverlap="1" layoutInCell="1" locked="0" behindDoc="0" simplePos="0" relativeHeight="2368">
            <wp:simplePos x="0" y="0"/>
            <wp:positionH relativeFrom="page">
              <wp:posOffset>3960000</wp:posOffset>
            </wp:positionH>
            <wp:positionV relativeFrom="paragraph">
              <wp:posOffset>141727</wp:posOffset>
            </wp:positionV>
            <wp:extent cx="3204674" cy="1605534"/>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3204674" cy="1605534"/>
                    </a:xfrm>
                    <a:prstGeom prst="rect">
                      <a:avLst/>
                    </a:prstGeom>
                  </pic:spPr>
                </pic:pic>
              </a:graphicData>
            </a:graphic>
          </wp:anchor>
        </w:drawing>
      </w:r>
    </w:p>
    <w:p>
      <w:pPr>
        <w:pStyle w:val="BodyText"/>
        <w:spacing w:line="208" w:lineRule="exact" w:before="79"/>
        <w:ind w:left="171" w:right="411" w:firstLine="397"/>
      </w:pPr>
      <w:r>
        <w:rPr>
          <w:color w:val="231F20"/>
        </w:rPr>
        <w:t>Приказане потенцијалне билансне (експлоатационе) резерве угља</w:t>
      </w:r>
      <w:r>
        <w:rPr>
          <w:color w:val="231F20"/>
          <w:spacing w:val="-7"/>
        </w:rPr>
        <w:t> </w:t>
      </w:r>
      <w:r>
        <w:rPr>
          <w:color w:val="231F20"/>
        </w:rPr>
        <w:t>у</w:t>
      </w:r>
      <w:r>
        <w:rPr>
          <w:color w:val="231F20"/>
          <w:spacing w:val="-7"/>
        </w:rPr>
        <w:t> </w:t>
      </w:r>
      <w:r>
        <w:rPr>
          <w:color w:val="231F20"/>
        </w:rPr>
        <w:t>овом</w:t>
      </w:r>
      <w:r>
        <w:rPr>
          <w:color w:val="231F20"/>
          <w:spacing w:val="-7"/>
        </w:rPr>
        <w:t> </w:t>
      </w:r>
      <w:r>
        <w:rPr>
          <w:color w:val="231F20"/>
        </w:rPr>
        <w:t>делу</w:t>
      </w:r>
      <w:r>
        <w:rPr>
          <w:color w:val="231F20"/>
          <w:spacing w:val="-7"/>
        </w:rPr>
        <w:t> </w:t>
      </w:r>
      <w:r>
        <w:rPr>
          <w:color w:val="231F20"/>
        </w:rPr>
        <w:t>басена</w:t>
      </w:r>
      <w:r>
        <w:rPr>
          <w:color w:val="231F20"/>
          <w:spacing w:val="-7"/>
        </w:rPr>
        <w:t> </w:t>
      </w:r>
      <w:r>
        <w:rPr>
          <w:color w:val="231F20"/>
          <w:spacing w:val="-3"/>
        </w:rPr>
        <w:t>од</w:t>
      </w:r>
      <w:r>
        <w:rPr>
          <w:color w:val="231F20"/>
          <w:spacing w:val="-7"/>
        </w:rPr>
        <w:t> </w:t>
      </w:r>
      <w:r>
        <w:rPr>
          <w:color w:val="231F20"/>
          <w:spacing w:val="-4"/>
        </w:rPr>
        <w:t>око</w:t>
      </w:r>
      <w:r>
        <w:rPr>
          <w:color w:val="231F20"/>
          <w:spacing w:val="-7"/>
        </w:rPr>
        <w:t> </w:t>
      </w:r>
      <w:r>
        <w:rPr>
          <w:color w:val="231F20"/>
        </w:rPr>
        <w:t>921x10</w:t>
      </w:r>
      <w:r>
        <w:rPr>
          <w:color w:val="231F20"/>
          <w:position w:val="6"/>
          <w:sz w:val="10"/>
        </w:rPr>
        <w:t>6</w:t>
      </w:r>
      <w:r>
        <w:rPr>
          <w:color w:val="231F20"/>
          <w:spacing w:val="-3"/>
          <w:position w:val="6"/>
          <w:sz w:val="10"/>
        </w:rPr>
        <w:t> </w:t>
      </w:r>
      <w:r>
        <w:rPr>
          <w:color w:val="231F20"/>
        </w:rPr>
        <w:t>t</w:t>
      </w:r>
      <w:r>
        <w:rPr>
          <w:color w:val="231F20"/>
          <w:spacing w:val="-7"/>
        </w:rPr>
        <w:t> </w:t>
      </w:r>
      <w:r>
        <w:rPr>
          <w:color w:val="231F20"/>
        </w:rPr>
        <w:t>у</w:t>
      </w:r>
      <w:r>
        <w:rPr>
          <w:color w:val="231F20"/>
          <w:spacing w:val="-7"/>
        </w:rPr>
        <w:t> </w:t>
      </w:r>
      <w:r>
        <w:rPr>
          <w:color w:val="231F20"/>
        </w:rPr>
        <w:t>овом</w:t>
      </w:r>
      <w:r>
        <w:rPr>
          <w:color w:val="231F20"/>
          <w:spacing w:val="-7"/>
        </w:rPr>
        <w:t> </w:t>
      </w:r>
      <w:r>
        <w:rPr>
          <w:color w:val="231F20"/>
        </w:rPr>
        <w:t>моменту</w:t>
      </w:r>
      <w:r>
        <w:rPr>
          <w:color w:val="231F20"/>
          <w:spacing w:val="-7"/>
        </w:rPr>
        <w:t> </w:t>
      </w:r>
      <w:r>
        <w:rPr>
          <w:color w:val="231F20"/>
        </w:rPr>
        <w:t>се</w:t>
      </w:r>
      <w:r>
        <w:rPr>
          <w:color w:val="231F20"/>
          <w:spacing w:val="-7"/>
        </w:rPr>
        <w:t> </w:t>
      </w:r>
      <w:r>
        <w:rPr>
          <w:color w:val="231F20"/>
        </w:rPr>
        <w:t>морају узети са извесном резервом, обзиром да су прорачунате на недо- вољно истраженом делу басена, односно на нивоу C</w:t>
      </w:r>
      <w:r>
        <w:rPr>
          <w:color w:val="231F20"/>
          <w:position w:val="-5"/>
          <w:sz w:val="10"/>
        </w:rPr>
        <w:t>2 </w:t>
      </w:r>
      <w:r>
        <w:rPr>
          <w:color w:val="231F20"/>
        </w:rPr>
        <w:t>категорије резерви, а локалитет спољашњег одлагалишта Петка на нивоу C</w:t>
      </w:r>
      <w:r>
        <w:rPr>
          <w:color w:val="231F20"/>
          <w:position w:val="-5"/>
          <w:sz w:val="10"/>
        </w:rPr>
        <w:t>1 </w:t>
      </w:r>
      <w:r>
        <w:rPr>
          <w:color w:val="231F20"/>
        </w:rPr>
        <w:t>категорије.</w:t>
      </w:r>
    </w:p>
    <w:p>
      <w:pPr>
        <w:pStyle w:val="BodyText"/>
        <w:spacing w:before="11"/>
        <w:ind w:left="0"/>
        <w:jc w:val="left"/>
        <w:rPr>
          <w:sz w:val="12"/>
        </w:rPr>
      </w:pPr>
      <w:r>
        <w:rPr/>
        <w:drawing>
          <wp:anchor distT="0" distB="0" distL="0" distR="0" allowOverlap="1" layoutInCell="1" locked="0" behindDoc="0" simplePos="0" relativeHeight="2392">
            <wp:simplePos x="0" y="0"/>
            <wp:positionH relativeFrom="page">
              <wp:posOffset>3960000</wp:posOffset>
            </wp:positionH>
            <wp:positionV relativeFrom="paragraph">
              <wp:posOffset>119393</wp:posOffset>
            </wp:positionV>
            <wp:extent cx="3197493" cy="186156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3197493" cy="1861566"/>
                    </a:xfrm>
                    <a:prstGeom prst="rect">
                      <a:avLst/>
                    </a:prstGeom>
                  </pic:spPr>
                </pic:pic>
              </a:graphicData>
            </a:graphic>
          </wp:anchor>
        </w:drawing>
      </w:r>
    </w:p>
    <w:p>
      <w:pPr>
        <w:pStyle w:val="BodyText"/>
        <w:spacing w:line="232" w:lineRule="auto" w:before="160"/>
        <w:ind w:left="171" w:right="411" w:firstLine="396"/>
      </w:pPr>
      <w:r>
        <w:rPr>
          <w:color w:val="231F20"/>
        </w:rPr>
        <w:t>У перспективи се може рачунати на експлоатацију мрко-лиг- нитског лежишта „Пољана”, највероватније јамским путем.</w:t>
      </w:r>
    </w:p>
    <w:p>
      <w:pPr>
        <w:pStyle w:val="BodyText"/>
        <w:spacing w:line="242" w:lineRule="auto" w:before="3"/>
        <w:ind w:left="171" w:right="411" w:firstLine="397"/>
      </w:pPr>
      <w:r>
        <w:rPr>
          <w:color w:val="231F20"/>
        </w:rPr>
        <w:t>Хоризонт </w:t>
      </w:r>
      <w:r>
        <w:rPr>
          <w:color w:val="231F20"/>
          <w:spacing w:val="-3"/>
        </w:rPr>
        <w:t>коначног </w:t>
      </w:r>
      <w:r>
        <w:rPr>
          <w:color w:val="231F20"/>
        </w:rPr>
        <w:t>искоришћења </w:t>
      </w:r>
      <w:r>
        <w:rPr>
          <w:color w:val="231F20"/>
          <w:spacing w:val="-3"/>
        </w:rPr>
        <w:t>Костолачког </w:t>
      </w:r>
      <w:r>
        <w:rPr>
          <w:color w:val="231F20"/>
        </w:rPr>
        <w:t>басена усло- вљен</w:t>
      </w:r>
      <w:r>
        <w:rPr>
          <w:color w:val="231F20"/>
          <w:spacing w:val="-8"/>
        </w:rPr>
        <w:t> </w:t>
      </w:r>
      <w:r>
        <w:rPr>
          <w:color w:val="231F20"/>
        </w:rPr>
        <w:t>је</w:t>
      </w:r>
      <w:r>
        <w:rPr>
          <w:color w:val="231F20"/>
          <w:spacing w:val="-8"/>
        </w:rPr>
        <w:t> </w:t>
      </w:r>
      <w:r>
        <w:rPr>
          <w:color w:val="231F20"/>
        </w:rPr>
        <w:t>развијеношћу</w:t>
      </w:r>
      <w:r>
        <w:rPr>
          <w:color w:val="231F20"/>
          <w:spacing w:val="-8"/>
        </w:rPr>
        <w:t> </w:t>
      </w:r>
      <w:r>
        <w:rPr>
          <w:color w:val="231F20"/>
        </w:rPr>
        <w:t>угљене</w:t>
      </w:r>
      <w:r>
        <w:rPr>
          <w:color w:val="231F20"/>
          <w:spacing w:val="-8"/>
        </w:rPr>
        <w:t> </w:t>
      </w:r>
      <w:r>
        <w:rPr>
          <w:color w:val="231F20"/>
        </w:rPr>
        <w:t>серије</w:t>
      </w:r>
      <w:r>
        <w:rPr>
          <w:color w:val="231F20"/>
          <w:spacing w:val="-8"/>
        </w:rPr>
        <w:t> </w:t>
      </w:r>
      <w:r>
        <w:rPr>
          <w:color w:val="231F20"/>
        </w:rPr>
        <w:t>(дебљина</w:t>
      </w:r>
      <w:r>
        <w:rPr>
          <w:color w:val="231F20"/>
          <w:spacing w:val="-8"/>
        </w:rPr>
        <w:t> </w:t>
      </w:r>
      <w:r>
        <w:rPr>
          <w:color w:val="231F20"/>
        </w:rPr>
        <w:t>појединачних</w:t>
      </w:r>
      <w:r>
        <w:rPr>
          <w:color w:val="231F20"/>
          <w:spacing w:val="-8"/>
        </w:rPr>
        <w:t> </w:t>
      </w:r>
      <w:r>
        <w:rPr>
          <w:color w:val="231F20"/>
        </w:rPr>
        <w:t>угље- них слојева, границе простирања угљених слојева, дебљина и учесталост појаве јалових прослојака у вертикалном </w:t>
      </w:r>
      <w:r>
        <w:rPr>
          <w:color w:val="231F20"/>
          <w:spacing w:val="-3"/>
        </w:rPr>
        <w:t>пресеку, </w:t>
      </w:r>
      <w:r>
        <w:rPr>
          <w:color w:val="231F20"/>
        </w:rPr>
        <w:t>ква- литет угља и друго). </w:t>
      </w:r>
      <w:r>
        <w:rPr>
          <w:color w:val="231F20"/>
          <w:spacing w:val="-3"/>
        </w:rPr>
        <w:t>Коначне </w:t>
      </w:r>
      <w:r>
        <w:rPr>
          <w:color w:val="231F20"/>
        </w:rPr>
        <w:t>контуре развоја површинске експло- атације угља у Басену није могуће одредити у овом </w:t>
      </w:r>
      <w:r>
        <w:rPr>
          <w:color w:val="231F20"/>
          <w:spacing w:val="-3"/>
        </w:rPr>
        <w:t>тренутку, </w:t>
      </w:r>
      <w:r>
        <w:rPr>
          <w:color w:val="231F20"/>
        </w:rPr>
        <w:t>због тога су дате само оквирне границе простирања угљених лежишта потенцијалних за</w:t>
      </w:r>
      <w:r>
        <w:rPr>
          <w:color w:val="231F20"/>
          <w:spacing w:val="-2"/>
        </w:rPr>
        <w:t> </w:t>
      </w:r>
      <w:r>
        <w:rPr>
          <w:color w:val="231F20"/>
          <w:spacing w:val="-3"/>
        </w:rPr>
        <w:t>експлоатацију.</w:t>
      </w:r>
    </w:p>
    <w:p>
      <w:pPr>
        <w:pStyle w:val="BodyText"/>
        <w:spacing w:line="242" w:lineRule="auto" w:before="8"/>
        <w:ind w:right="412" w:firstLine="397"/>
      </w:pPr>
      <w:r>
        <w:rPr>
          <w:color w:val="231F20"/>
        </w:rPr>
        <w:t>Базирање производње угља само на једном површинском </w:t>
      </w:r>
      <w:r>
        <w:rPr>
          <w:color w:val="231F20"/>
          <w:spacing w:val="-4"/>
        </w:rPr>
        <w:t>ко- </w:t>
      </w:r>
      <w:r>
        <w:rPr>
          <w:color w:val="231F20"/>
        </w:rPr>
        <w:t>пу има значајне предности, али носи и ризик, с обзиром да нема алтернативног извора снабдевања термоелектрана. Предности су у концентрацији радилишта, смањењу транспортних путева, лак- шем одржавању и високој концентрацији специјалиста из свих области</w:t>
      </w:r>
      <w:r>
        <w:rPr>
          <w:color w:val="231F20"/>
          <w:spacing w:val="-6"/>
        </w:rPr>
        <w:t> </w:t>
      </w:r>
      <w:r>
        <w:rPr>
          <w:color w:val="231F20"/>
        </w:rPr>
        <w:t>на</w:t>
      </w:r>
      <w:r>
        <w:rPr>
          <w:color w:val="231F20"/>
          <w:spacing w:val="-6"/>
        </w:rPr>
        <w:t> </w:t>
      </w:r>
      <w:r>
        <w:rPr>
          <w:color w:val="231F20"/>
        </w:rPr>
        <w:t>једном</w:t>
      </w:r>
      <w:r>
        <w:rPr>
          <w:color w:val="231F20"/>
          <w:spacing w:val="-6"/>
        </w:rPr>
        <w:t> </w:t>
      </w:r>
      <w:r>
        <w:rPr>
          <w:color w:val="231F20"/>
          <w:spacing w:val="-3"/>
        </w:rPr>
        <w:t>објекту.</w:t>
      </w:r>
      <w:r>
        <w:rPr>
          <w:color w:val="231F20"/>
          <w:spacing w:val="-6"/>
        </w:rPr>
        <w:t> </w:t>
      </w:r>
      <w:r>
        <w:rPr>
          <w:color w:val="231F20"/>
        </w:rPr>
        <w:t>Да</w:t>
      </w:r>
      <w:r>
        <w:rPr>
          <w:color w:val="231F20"/>
          <w:spacing w:val="-6"/>
        </w:rPr>
        <w:t> </w:t>
      </w:r>
      <w:r>
        <w:rPr>
          <w:color w:val="231F20"/>
        </w:rPr>
        <w:t>би</w:t>
      </w:r>
      <w:r>
        <w:rPr>
          <w:color w:val="231F20"/>
          <w:spacing w:val="-6"/>
        </w:rPr>
        <w:t> </w:t>
      </w:r>
      <w:r>
        <w:rPr>
          <w:color w:val="231F20"/>
        </w:rPr>
        <w:t>се</w:t>
      </w:r>
      <w:r>
        <w:rPr>
          <w:color w:val="231F20"/>
          <w:spacing w:val="-7"/>
        </w:rPr>
        <w:t> </w:t>
      </w:r>
      <w:r>
        <w:rPr>
          <w:color w:val="231F20"/>
        </w:rPr>
        <w:t>површински</w:t>
      </w:r>
      <w:r>
        <w:rPr>
          <w:color w:val="231F20"/>
          <w:spacing w:val="-7"/>
        </w:rPr>
        <w:t> </w:t>
      </w:r>
      <w:r>
        <w:rPr>
          <w:color w:val="231F20"/>
          <w:spacing w:val="-4"/>
        </w:rPr>
        <w:t>коп</w:t>
      </w:r>
      <w:r>
        <w:rPr>
          <w:color w:val="231F20"/>
          <w:spacing w:val="-6"/>
        </w:rPr>
        <w:t> </w:t>
      </w:r>
      <w:r>
        <w:rPr>
          <w:color w:val="231F20"/>
        </w:rPr>
        <w:t>правилно</w:t>
      </w:r>
      <w:r>
        <w:rPr>
          <w:color w:val="231F20"/>
          <w:spacing w:val="-6"/>
        </w:rPr>
        <w:t> </w:t>
      </w:r>
      <w:r>
        <w:rPr>
          <w:color w:val="231F20"/>
        </w:rPr>
        <w:t>раз- вијао потребно је, поред инвестиција на </w:t>
      </w:r>
      <w:r>
        <w:rPr>
          <w:color w:val="231F20"/>
          <w:spacing w:val="-5"/>
        </w:rPr>
        <w:t>руднику, </w:t>
      </w:r>
      <w:r>
        <w:rPr>
          <w:color w:val="231F20"/>
        </w:rPr>
        <w:t>обезбедити про- стор за депоније пепела, шљаке и гипса и функционисање тран- спортера за снабдевање ТЕ „Костолац</w:t>
      </w:r>
      <w:r>
        <w:rPr>
          <w:color w:val="231F20"/>
          <w:spacing w:val="-7"/>
        </w:rPr>
        <w:t> </w:t>
      </w:r>
      <w:r>
        <w:rPr>
          <w:color w:val="231F20"/>
        </w:rPr>
        <w:t>Б”.</w:t>
      </w:r>
    </w:p>
    <w:p>
      <w:pPr>
        <w:spacing w:after="0" w:line="242" w:lineRule="auto"/>
        <w:sectPr>
          <w:pgSz w:w="12480" w:h="15690"/>
          <w:pgMar w:top="120" w:bottom="280" w:left="680" w:right="720"/>
          <w:cols w:num="2" w:equalWidth="0">
            <w:col w:w="5318" w:space="66"/>
            <w:col w:w="5696"/>
          </w:cols>
        </w:sectPr>
      </w:pPr>
    </w:p>
    <w:p>
      <w:pPr>
        <w:pStyle w:val="ListParagraph"/>
        <w:numPr>
          <w:ilvl w:val="3"/>
          <w:numId w:val="28"/>
        </w:numPr>
        <w:tabs>
          <w:tab w:pos="2710" w:val="left" w:leader="none"/>
        </w:tabs>
        <w:spacing w:line="240" w:lineRule="auto" w:before="68" w:after="0"/>
        <w:ind w:left="2709" w:right="0" w:hanging="315"/>
        <w:jc w:val="left"/>
        <w:rPr>
          <w:i/>
          <w:sz w:val="18"/>
        </w:rPr>
      </w:pPr>
      <w:r>
        <w:rPr/>
        <w:pict>
          <v:line style="position:absolute;mso-position-horizontal-relative:page;mso-position-vertical-relative:page;z-index:2440" from="318.897614pt,11.942451pt" to="318.897614pt,748.950451pt" stroked="true" strokeweight=".6pt" strokecolor="#231f20">
            <v:stroke dashstyle="solid"/>
            <w10:wrap type="none"/>
          </v:line>
        </w:pict>
      </w:r>
      <w:r>
        <w:rPr>
          <w:i/>
          <w:color w:val="231F20"/>
          <w:sz w:val="18"/>
        </w:rPr>
        <w:t>Енергетика</w:t>
      </w:r>
    </w:p>
    <w:p>
      <w:pPr>
        <w:pStyle w:val="BodyText"/>
        <w:spacing w:before="2"/>
        <w:ind w:left="0"/>
        <w:jc w:val="left"/>
        <w:rPr>
          <w:i/>
          <w:sz w:val="17"/>
        </w:rPr>
      </w:pPr>
    </w:p>
    <w:p>
      <w:pPr>
        <w:pStyle w:val="BodyText"/>
        <w:spacing w:line="232" w:lineRule="auto"/>
        <w:ind w:left="452" w:firstLine="397"/>
      </w:pPr>
      <w:r>
        <w:rPr>
          <w:color w:val="231F20"/>
        </w:rPr>
        <w:t>Стратегија развоја енергетике </w:t>
      </w:r>
      <w:r>
        <w:rPr>
          <w:color w:val="231F20"/>
          <w:spacing w:val="-3"/>
        </w:rPr>
        <w:t>Републике </w:t>
      </w:r>
      <w:r>
        <w:rPr>
          <w:color w:val="231F20"/>
        </w:rPr>
        <w:t>Србије до 2015. го- дине дефинисала је раст енергетских потреба и производње елек- тричне енергије уз повећано учешће домаћих енергетских извора. Стратегија предвиђа изградњу нових термоенергетских постро- јења у оквиру трећег (увођење нових енергетски ефикаснијих и еколошки прихватљивих технологија, са циљем да се смањи по- трошња примарне енергије), четвртог (пројекти са </w:t>
      </w:r>
      <w:r>
        <w:rPr>
          <w:color w:val="231F20"/>
          <w:spacing w:val="-2"/>
        </w:rPr>
        <w:t>краткорочним </w:t>
      </w:r>
      <w:r>
        <w:rPr>
          <w:color w:val="231F20"/>
        </w:rPr>
        <w:t>улагањима у нове електроенергетске изворе са гасним технологи- јама /комбиновани гасно-парни циклус/ и спрегнутом производ- њом електричне и топлотне енергије за услове изразито повољног привредно-економског</w:t>
      </w:r>
      <w:r>
        <w:rPr>
          <w:color w:val="231F20"/>
          <w:spacing w:val="-13"/>
        </w:rPr>
        <w:t> </w:t>
      </w:r>
      <w:r>
        <w:rPr>
          <w:color w:val="231F20"/>
        </w:rPr>
        <w:t>развоја</w:t>
      </w:r>
      <w:r>
        <w:rPr>
          <w:color w:val="231F20"/>
          <w:spacing w:val="-13"/>
        </w:rPr>
        <w:t> </w:t>
      </w:r>
      <w:r>
        <w:rPr>
          <w:color w:val="231F20"/>
        </w:rPr>
        <w:t>и</w:t>
      </w:r>
      <w:r>
        <w:rPr>
          <w:color w:val="231F20"/>
          <w:spacing w:val="-14"/>
        </w:rPr>
        <w:t> </w:t>
      </w:r>
      <w:r>
        <w:rPr>
          <w:color w:val="231F20"/>
        </w:rPr>
        <w:t>евентуално</w:t>
      </w:r>
      <w:r>
        <w:rPr>
          <w:color w:val="231F20"/>
          <w:spacing w:val="-13"/>
        </w:rPr>
        <w:t> </w:t>
      </w:r>
      <w:r>
        <w:rPr>
          <w:color w:val="231F20"/>
        </w:rPr>
        <w:t>неповољних</w:t>
      </w:r>
      <w:r>
        <w:rPr>
          <w:color w:val="231F20"/>
          <w:spacing w:val="-13"/>
        </w:rPr>
        <w:t> </w:t>
      </w:r>
      <w:r>
        <w:rPr>
          <w:color w:val="231F20"/>
        </w:rPr>
        <w:t>услова</w:t>
      </w:r>
      <w:r>
        <w:rPr>
          <w:color w:val="231F20"/>
          <w:spacing w:val="-13"/>
        </w:rPr>
        <w:t> </w:t>
      </w:r>
      <w:r>
        <w:rPr>
          <w:color w:val="231F20"/>
        </w:rPr>
        <w:t>за производњу електричне енергије из постојећих електроенергет- ских извора) и петог (односи се на капитално интензивна улагања у нове енергетске објекте и учешће енергетских субјеката Репу- </w:t>
      </w:r>
      <w:r>
        <w:rPr>
          <w:color w:val="231F20"/>
          <w:spacing w:val="-3"/>
        </w:rPr>
        <w:t>блике</w:t>
      </w:r>
      <w:r>
        <w:rPr>
          <w:color w:val="231F20"/>
          <w:spacing w:val="-7"/>
        </w:rPr>
        <w:t> </w:t>
      </w:r>
      <w:r>
        <w:rPr>
          <w:color w:val="231F20"/>
        </w:rPr>
        <w:t>Србије</w:t>
      </w:r>
      <w:r>
        <w:rPr>
          <w:color w:val="231F20"/>
          <w:spacing w:val="-7"/>
        </w:rPr>
        <w:t> </w:t>
      </w:r>
      <w:r>
        <w:rPr>
          <w:color w:val="231F20"/>
        </w:rPr>
        <w:t>у</w:t>
      </w:r>
      <w:r>
        <w:rPr>
          <w:color w:val="231F20"/>
          <w:spacing w:val="-7"/>
        </w:rPr>
        <w:t> </w:t>
      </w:r>
      <w:r>
        <w:rPr>
          <w:color w:val="231F20"/>
        </w:rPr>
        <w:t>планирању</w:t>
      </w:r>
      <w:r>
        <w:rPr>
          <w:color w:val="231F20"/>
          <w:spacing w:val="-7"/>
        </w:rPr>
        <w:t> </w:t>
      </w:r>
      <w:r>
        <w:rPr>
          <w:color w:val="231F20"/>
        </w:rPr>
        <w:t>и</w:t>
      </w:r>
      <w:r>
        <w:rPr>
          <w:color w:val="231F20"/>
          <w:spacing w:val="-7"/>
        </w:rPr>
        <w:t> </w:t>
      </w:r>
      <w:r>
        <w:rPr>
          <w:color w:val="231F20"/>
        </w:rPr>
        <w:t>у</w:t>
      </w:r>
      <w:r>
        <w:rPr>
          <w:color w:val="231F20"/>
          <w:spacing w:val="-7"/>
        </w:rPr>
        <w:t> </w:t>
      </w:r>
      <w:r>
        <w:rPr>
          <w:color w:val="231F20"/>
        </w:rPr>
        <w:t>реализацији</w:t>
      </w:r>
      <w:r>
        <w:rPr>
          <w:color w:val="231F20"/>
          <w:spacing w:val="-7"/>
        </w:rPr>
        <w:t> </w:t>
      </w:r>
      <w:r>
        <w:rPr>
          <w:color w:val="231F20"/>
        </w:rPr>
        <w:t>енергетско-стратешких пројеката на нивоу интерног и регионалног/ паневропског тржи- шта чиме би се на време обезбедили нови и заменски капацитети електроенегетских извора)</w:t>
      </w:r>
      <w:r>
        <w:rPr>
          <w:color w:val="231F20"/>
          <w:spacing w:val="-1"/>
        </w:rPr>
        <w:t> </w:t>
      </w:r>
      <w:r>
        <w:rPr>
          <w:color w:val="231F20"/>
        </w:rPr>
        <w:t>приоритета.</w:t>
      </w:r>
    </w:p>
    <w:p>
      <w:pPr>
        <w:pStyle w:val="BodyText"/>
        <w:spacing w:line="184" w:lineRule="exact"/>
        <w:ind w:left="849"/>
        <w:jc w:val="left"/>
      </w:pPr>
      <w:r>
        <w:rPr>
          <w:color w:val="231F20"/>
        </w:rPr>
        <w:t>Уважавајући све оштрије еколошке захтеве, у новим термое-</w:t>
      </w:r>
    </w:p>
    <w:p>
      <w:pPr>
        <w:pStyle w:val="BodyText"/>
        <w:spacing w:line="232" w:lineRule="auto" w:before="2"/>
        <w:ind w:left="452" w:right="1"/>
      </w:pPr>
      <w:r>
        <w:rPr>
          <w:color w:val="231F20"/>
        </w:rPr>
        <w:t>лектранама</w:t>
      </w:r>
      <w:r>
        <w:rPr>
          <w:color w:val="231F20"/>
          <w:spacing w:val="-8"/>
        </w:rPr>
        <w:t> </w:t>
      </w:r>
      <w:r>
        <w:rPr>
          <w:color w:val="231F20"/>
        </w:rPr>
        <w:t>ће</w:t>
      </w:r>
      <w:r>
        <w:rPr>
          <w:color w:val="231F20"/>
          <w:spacing w:val="-8"/>
        </w:rPr>
        <w:t> </w:t>
      </w:r>
      <w:r>
        <w:rPr>
          <w:color w:val="231F20"/>
        </w:rPr>
        <w:t>се</w:t>
      </w:r>
      <w:r>
        <w:rPr>
          <w:color w:val="231F20"/>
          <w:spacing w:val="-8"/>
        </w:rPr>
        <w:t> </w:t>
      </w:r>
      <w:r>
        <w:rPr>
          <w:color w:val="231F20"/>
        </w:rPr>
        <w:t>применити</w:t>
      </w:r>
      <w:r>
        <w:rPr>
          <w:color w:val="231F20"/>
          <w:spacing w:val="-8"/>
        </w:rPr>
        <w:t> </w:t>
      </w:r>
      <w:r>
        <w:rPr>
          <w:color w:val="231F20"/>
        </w:rPr>
        <w:t>најсавременије</w:t>
      </w:r>
      <w:r>
        <w:rPr>
          <w:color w:val="231F20"/>
          <w:spacing w:val="-8"/>
        </w:rPr>
        <w:t> </w:t>
      </w:r>
      <w:r>
        <w:rPr>
          <w:color w:val="231F20"/>
        </w:rPr>
        <w:t>технологије,</w:t>
      </w:r>
      <w:r>
        <w:rPr>
          <w:color w:val="231F20"/>
          <w:spacing w:val="-8"/>
        </w:rPr>
        <w:t> </w:t>
      </w:r>
      <w:r>
        <w:rPr>
          <w:color w:val="231F20"/>
          <w:spacing w:val="-3"/>
        </w:rPr>
        <w:t>које</w:t>
      </w:r>
      <w:r>
        <w:rPr>
          <w:color w:val="231F20"/>
          <w:spacing w:val="-8"/>
        </w:rPr>
        <w:t> </w:t>
      </w:r>
      <w:r>
        <w:rPr>
          <w:color w:val="231F20"/>
        </w:rPr>
        <w:t>омо- гућавају</w:t>
      </w:r>
      <w:r>
        <w:rPr>
          <w:color w:val="231F20"/>
          <w:spacing w:val="-8"/>
        </w:rPr>
        <w:t> </w:t>
      </w:r>
      <w:r>
        <w:rPr>
          <w:color w:val="231F20"/>
        </w:rPr>
        <w:t>смањење</w:t>
      </w:r>
      <w:r>
        <w:rPr>
          <w:color w:val="231F20"/>
          <w:spacing w:val="-8"/>
        </w:rPr>
        <w:t> </w:t>
      </w:r>
      <w:r>
        <w:rPr>
          <w:color w:val="231F20"/>
        </w:rPr>
        <w:t>специфичне</w:t>
      </w:r>
      <w:r>
        <w:rPr>
          <w:color w:val="231F20"/>
          <w:spacing w:val="-8"/>
        </w:rPr>
        <w:t> </w:t>
      </w:r>
      <w:r>
        <w:rPr>
          <w:color w:val="231F20"/>
        </w:rPr>
        <w:t>потрошње</w:t>
      </w:r>
      <w:r>
        <w:rPr>
          <w:color w:val="231F20"/>
          <w:spacing w:val="-8"/>
        </w:rPr>
        <w:t> </w:t>
      </w:r>
      <w:r>
        <w:rPr>
          <w:color w:val="231F20"/>
        </w:rPr>
        <w:t>угља</w:t>
      </w:r>
      <w:r>
        <w:rPr>
          <w:color w:val="231F20"/>
          <w:spacing w:val="-8"/>
        </w:rPr>
        <w:t> </w:t>
      </w:r>
      <w:r>
        <w:rPr>
          <w:color w:val="231F20"/>
        </w:rPr>
        <w:t>по</w:t>
      </w:r>
      <w:r>
        <w:rPr>
          <w:color w:val="231F20"/>
          <w:spacing w:val="-8"/>
        </w:rPr>
        <w:t> </w:t>
      </w:r>
      <w:r>
        <w:rPr>
          <w:color w:val="231F20"/>
        </w:rPr>
        <w:t>kWh.</w:t>
      </w:r>
      <w:r>
        <w:rPr>
          <w:color w:val="231F20"/>
          <w:spacing w:val="-8"/>
        </w:rPr>
        <w:t> </w:t>
      </w:r>
      <w:r>
        <w:rPr>
          <w:color w:val="231F20"/>
        </w:rPr>
        <w:t>Побољша- њу заштите </w:t>
      </w:r>
      <w:r>
        <w:rPr>
          <w:color w:val="231F20"/>
          <w:spacing w:val="-3"/>
        </w:rPr>
        <w:t>околине </w:t>
      </w:r>
      <w:r>
        <w:rPr>
          <w:color w:val="231F20"/>
        </w:rPr>
        <w:t>ће се посебна пажња посветити и </w:t>
      </w:r>
      <w:r>
        <w:rPr>
          <w:color w:val="231F20"/>
          <w:spacing w:val="-3"/>
        </w:rPr>
        <w:t>приликом </w:t>
      </w:r>
      <w:r>
        <w:rPr>
          <w:color w:val="231F20"/>
        </w:rPr>
        <w:t>ревитализације постојећих</w:t>
      </w:r>
      <w:r>
        <w:rPr>
          <w:color w:val="231F20"/>
          <w:spacing w:val="-1"/>
        </w:rPr>
        <w:t> </w:t>
      </w:r>
      <w:r>
        <w:rPr>
          <w:color w:val="231F20"/>
        </w:rPr>
        <w:t>електрана.</w:t>
      </w:r>
    </w:p>
    <w:p>
      <w:pPr>
        <w:pStyle w:val="BodyText"/>
        <w:spacing w:line="232" w:lineRule="auto"/>
        <w:ind w:left="452" w:firstLine="397"/>
      </w:pPr>
      <w:r>
        <w:rPr>
          <w:color w:val="231F20"/>
        </w:rPr>
        <w:t>Према плановима ЈП „Електропривреда Србије” предвиђе- но је повлачење у резерву блока ТЕ „Костолац А1” 2017. године, као енергетски и еколошки неповољан </w:t>
      </w:r>
      <w:r>
        <w:rPr>
          <w:color w:val="231F20"/>
          <w:spacing w:val="-3"/>
        </w:rPr>
        <w:t>капацитет. </w:t>
      </w:r>
      <w:r>
        <w:rPr>
          <w:color w:val="231F20"/>
        </w:rPr>
        <w:t>Међутим, има- јући у виду да ће блок Б3 бити изграђен у периоду </w:t>
      </w:r>
      <w:r>
        <w:rPr>
          <w:color w:val="231F20"/>
          <w:spacing w:val="-4"/>
        </w:rPr>
        <w:t>око </w:t>
      </w:r>
      <w:r>
        <w:rPr>
          <w:color w:val="231F20"/>
        </w:rPr>
        <w:t>2019/2020 године, претпоставља се да ће до тада остати у погону блок А1. Треба нагласити да постоји могућност да блок А1 настави рад и </w:t>
      </w:r>
      <w:r>
        <w:rPr>
          <w:color w:val="231F20"/>
          <w:spacing w:val="-3"/>
        </w:rPr>
        <w:t>након</w:t>
      </w:r>
      <w:r>
        <w:rPr>
          <w:color w:val="231F20"/>
          <w:spacing w:val="-10"/>
        </w:rPr>
        <w:t> </w:t>
      </w:r>
      <w:r>
        <w:rPr>
          <w:color w:val="231F20"/>
        </w:rPr>
        <w:t>наведених</w:t>
      </w:r>
      <w:r>
        <w:rPr>
          <w:color w:val="231F20"/>
          <w:spacing w:val="-10"/>
        </w:rPr>
        <w:t> </w:t>
      </w:r>
      <w:r>
        <w:rPr>
          <w:color w:val="231F20"/>
          <w:spacing w:val="-3"/>
        </w:rPr>
        <w:t>рокова</w:t>
      </w:r>
      <w:r>
        <w:rPr>
          <w:color w:val="231F20"/>
          <w:spacing w:val="-10"/>
        </w:rPr>
        <w:t> </w:t>
      </w:r>
      <w:r>
        <w:rPr>
          <w:color w:val="231F20"/>
        </w:rPr>
        <w:t>уз</w:t>
      </w:r>
      <w:r>
        <w:rPr>
          <w:color w:val="231F20"/>
          <w:spacing w:val="-10"/>
        </w:rPr>
        <w:t> </w:t>
      </w:r>
      <w:r>
        <w:rPr>
          <w:color w:val="231F20"/>
        </w:rPr>
        <w:t>промењену</w:t>
      </w:r>
      <w:r>
        <w:rPr>
          <w:color w:val="231F20"/>
          <w:spacing w:val="-10"/>
        </w:rPr>
        <w:t> </w:t>
      </w:r>
      <w:r>
        <w:rPr>
          <w:color w:val="231F20"/>
        </w:rPr>
        <w:t>улогу</w:t>
      </w:r>
      <w:r>
        <w:rPr>
          <w:color w:val="231F20"/>
          <w:spacing w:val="-10"/>
        </w:rPr>
        <w:t> </w:t>
      </w:r>
      <w:r>
        <w:rPr>
          <w:color w:val="231F20"/>
        </w:rPr>
        <w:t>у</w:t>
      </w:r>
      <w:r>
        <w:rPr>
          <w:color w:val="231F20"/>
          <w:spacing w:val="-10"/>
        </w:rPr>
        <w:t> </w:t>
      </w:r>
      <w:r>
        <w:rPr>
          <w:color w:val="231F20"/>
        </w:rPr>
        <w:t>електроенергетском систему </w:t>
      </w:r>
      <w:r>
        <w:rPr>
          <w:color w:val="231F20"/>
          <w:spacing w:val="-3"/>
        </w:rPr>
        <w:t>Републике </w:t>
      </w:r>
      <w:r>
        <w:rPr>
          <w:color w:val="231F20"/>
        </w:rPr>
        <w:t>Србије, везано за </w:t>
      </w:r>
      <w:r>
        <w:rPr>
          <w:color w:val="231F20"/>
          <w:spacing w:val="-3"/>
        </w:rPr>
        <w:t>његову </w:t>
      </w:r>
      <w:r>
        <w:rPr>
          <w:color w:val="231F20"/>
        </w:rPr>
        <w:t>улогу у снабдевању Пожаревца и Костолца топлотном енергијом. У </w:t>
      </w:r>
      <w:r>
        <w:rPr>
          <w:color w:val="231F20"/>
          <w:spacing w:val="-3"/>
        </w:rPr>
        <w:t>том </w:t>
      </w:r>
      <w:r>
        <w:rPr>
          <w:color w:val="231F20"/>
        </w:rPr>
        <w:t>периоду би дошло до раста капацитета у </w:t>
      </w:r>
      <w:r>
        <w:rPr>
          <w:color w:val="231F20"/>
          <w:spacing w:val="-3"/>
        </w:rPr>
        <w:t>руднику </w:t>
      </w:r>
      <w:r>
        <w:rPr>
          <w:color w:val="231F20"/>
        </w:rPr>
        <w:t>„Дрмно” на 12 x106 t угља годишње,</w:t>
      </w:r>
      <w:r>
        <w:rPr>
          <w:color w:val="231F20"/>
          <w:spacing w:val="-4"/>
        </w:rPr>
        <w:t> </w:t>
      </w:r>
      <w:r>
        <w:rPr>
          <w:color w:val="231F20"/>
        </w:rPr>
        <w:t>при</w:t>
      </w:r>
      <w:r>
        <w:rPr>
          <w:color w:val="231F20"/>
          <w:spacing w:val="-4"/>
        </w:rPr>
        <w:t> </w:t>
      </w:r>
      <w:r>
        <w:rPr>
          <w:color w:val="231F20"/>
        </w:rPr>
        <w:t>чему</w:t>
      </w:r>
      <w:r>
        <w:rPr>
          <w:color w:val="231F20"/>
          <w:spacing w:val="-4"/>
        </w:rPr>
        <w:t> </w:t>
      </w:r>
      <w:r>
        <w:rPr>
          <w:color w:val="231F20"/>
        </w:rPr>
        <w:t>се</w:t>
      </w:r>
      <w:r>
        <w:rPr>
          <w:color w:val="231F20"/>
          <w:spacing w:val="-4"/>
        </w:rPr>
        <w:t> </w:t>
      </w:r>
      <w:r>
        <w:rPr>
          <w:color w:val="231F20"/>
        </w:rPr>
        <w:t>на</w:t>
      </w:r>
      <w:r>
        <w:rPr>
          <w:color w:val="231F20"/>
          <w:spacing w:val="-4"/>
        </w:rPr>
        <w:t> </w:t>
      </w:r>
      <w:r>
        <w:rPr>
          <w:color w:val="231F20"/>
        </w:rPr>
        <w:t>локацији</w:t>
      </w:r>
      <w:r>
        <w:rPr>
          <w:color w:val="231F20"/>
          <w:spacing w:val="-4"/>
        </w:rPr>
        <w:t> </w:t>
      </w:r>
      <w:r>
        <w:rPr>
          <w:color w:val="231F20"/>
        </w:rPr>
        <w:t>Костолац</w:t>
      </w:r>
      <w:r>
        <w:rPr>
          <w:color w:val="231F20"/>
          <w:spacing w:val="-4"/>
        </w:rPr>
        <w:t> </w:t>
      </w:r>
      <w:r>
        <w:rPr>
          <w:color w:val="231F20"/>
        </w:rPr>
        <w:t>„Б”</w:t>
      </w:r>
      <w:r>
        <w:rPr>
          <w:color w:val="231F20"/>
          <w:spacing w:val="-4"/>
        </w:rPr>
        <w:t> </w:t>
      </w:r>
      <w:r>
        <w:rPr>
          <w:color w:val="231F20"/>
        </w:rPr>
        <w:t>додаје</w:t>
      </w:r>
      <w:r>
        <w:rPr>
          <w:color w:val="231F20"/>
          <w:spacing w:val="-4"/>
        </w:rPr>
        <w:t> </w:t>
      </w:r>
      <w:r>
        <w:rPr>
          <w:color w:val="231F20"/>
        </w:rPr>
        <w:t>блок</w:t>
      </w:r>
      <w:r>
        <w:rPr>
          <w:color w:val="231F20"/>
          <w:spacing w:val="-4"/>
        </w:rPr>
        <w:t> </w:t>
      </w:r>
      <w:r>
        <w:rPr>
          <w:color w:val="231F20"/>
        </w:rPr>
        <w:t>Б3</w:t>
      </w:r>
      <w:r>
        <w:rPr>
          <w:color w:val="231F20"/>
          <w:spacing w:val="-4"/>
        </w:rPr>
        <w:t> </w:t>
      </w:r>
      <w:r>
        <w:rPr>
          <w:color w:val="231F20"/>
          <w:spacing w:val="-3"/>
        </w:rPr>
        <w:t>од </w:t>
      </w:r>
      <w:r>
        <w:rPr>
          <w:color w:val="231F20"/>
        </w:rPr>
        <w:t>500 – 600 МW (алтернатива 2 x 350 МW) надкритичних парамета- ра</w:t>
      </w:r>
      <w:r>
        <w:rPr>
          <w:color w:val="231F20"/>
          <w:spacing w:val="-10"/>
        </w:rPr>
        <w:t> </w:t>
      </w:r>
      <w:r>
        <w:rPr>
          <w:color w:val="231F20"/>
        </w:rPr>
        <w:t>у</w:t>
      </w:r>
      <w:r>
        <w:rPr>
          <w:color w:val="231F20"/>
          <w:spacing w:val="-10"/>
        </w:rPr>
        <w:t> </w:t>
      </w:r>
      <w:r>
        <w:rPr>
          <w:color w:val="231F20"/>
        </w:rPr>
        <w:t>периоду</w:t>
      </w:r>
      <w:r>
        <w:rPr>
          <w:color w:val="231F20"/>
          <w:spacing w:val="-10"/>
        </w:rPr>
        <w:t> </w:t>
      </w:r>
      <w:r>
        <w:rPr>
          <w:color w:val="231F20"/>
        </w:rPr>
        <w:t>2019/2020.</w:t>
      </w:r>
      <w:r>
        <w:rPr>
          <w:color w:val="231F20"/>
          <w:spacing w:val="-10"/>
        </w:rPr>
        <w:t> </w:t>
      </w:r>
      <w:r>
        <w:rPr>
          <w:color w:val="231F20"/>
        </w:rPr>
        <w:t>године.</w:t>
      </w:r>
      <w:r>
        <w:rPr>
          <w:color w:val="231F20"/>
          <w:spacing w:val="-10"/>
        </w:rPr>
        <w:t> </w:t>
      </w:r>
      <w:r>
        <w:rPr>
          <w:color w:val="231F20"/>
        </w:rPr>
        <w:t>Завршетком</w:t>
      </w:r>
      <w:r>
        <w:rPr>
          <w:color w:val="231F20"/>
          <w:spacing w:val="-10"/>
        </w:rPr>
        <w:t> </w:t>
      </w:r>
      <w:r>
        <w:rPr>
          <w:color w:val="231F20"/>
        </w:rPr>
        <w:t>века</w:t>
      </w:r>
      <w:r>
        <w:rPr>
          <w:color w:val="231F20"/>
          <w:spacing w:val="-10"/>
        </w:rPr>
        <w:t> </w:t>
      </w:r>
      <w:r>
        <w:rPr>
          <w:color w:val="231F20"/>
        </w:rPr>
        <w:t>рада</w:t>
      </w:r>
      <w:r>
        <w:rPr>
          <w:color w:val="231F20"/>
          <w:spacing w:val="-10"/>
        </w:rPr>
        <w:t> </w:t>
      </w:r>
      <w:r>
        <w:rPr>
          <w:color w:val="231F20"/>
        </w:rPr>
        <w:t>блока</w:t>
      </w:r>
      <w:r>
        <w:rPr>
          <w:color w:val="231F20"/>
          <w:spacing w:val="-10"/>
        </w:rPr>
        <w:t> </w:t>
      </w:r>
      <w:r>
        <w:rPr>
          <w:color w:val="231F20"/>
        </w:rPr>
        <w:t>А2</w:t>
      </w:r>
      <w:r>
        <w:rPr>
          <w:color w:val="231F20"/>
          <w:spacing w:val="-10"/>
        </w:rPr>
        <w:t> </w:t>
      </w:r>
      <w:r>
        <w:rPr>
          <w:color w:val="231F20"/>
        </w:rPr>
        <w:t>на ТЕ „Костолац А” 2024. године, остају капацитети на локацији</w:t>
      </w:r>
      <w:r>
        <w:rPr>
          <w:color w:val="231F20"/>
          <w:spacing w:val="42"/>
        </w:rPr>
        <w:t> </w:t>
      </w:r>
      <w:r>
        <w:rPr>
          <w:color w:val="231F20"/>
        </w:rPr>
        <w:t>ТЕ</w:t>
      </w:r>
    </w:p>
    <w:p>
      <w:pPr>
        <w:pStyle w:val="BodyText"/>
        <w:spacing w:line="232" w:lineRule="auto"/>
        <w:ind w:left="453"/>
      </w:pPr>
      <w:r>
        <w:rPr>
          <w:color w:val="231F20"/>
        </w:rPr>
        <w:t>„Костолац Б”. На основу садашњих сагледавања претпоставља се да</w:t>
      </w:r>
      <w:r>
        <w:rPr>
          <w:color w:val="231F20"/>
          <w:spacing w:val="-8"/>
        </w:rPr>
        <w:t> </w:t>
      </w:r>
      <w:r>
        <w:rPr>
          <w:color w:val="231F20"/>
        </w:rPr>
        <w:t>ће</w:t>
      </w:r>
      <w:r>
        <w:rPr>
          <w:color w:val="231F20"/>
          <w:spacing w:val="-8"/>
        </w:rPr>
        <w:t> </w:t>
      </w:r>
      <w:r>
        <w:rPr>
          <w:color w:val="231F20"/>
        </w:rPr>
        <w:t>„Костолац</w:t>
      </w:r>
      <w:r>
        <w:rPr>
          <w:color w:val="231F20"/>
          <w:spacing w:val="-8"/>
        </w:rPr>
        <w:t> </w:t>
      </w:r>
      <w:r>
        <w:rPr>
          <w:color w:val="231F20"/>
        </w:rPr>
        <w:t>Б1</w:t>
      </w:r>
      <w:r>
        <w:rPr>
          <w:color w:val="231F20"/>
          <w:spacing w:val="-8"/>
        </w:rPr>
        <w:t> </w:t>
      </w:r>
      <w:r>
        <w:rPr>
          <w:color w:val="231F20"/>
        </w:rPr>
        <w:t>и</w:t>
      </w:r>
      <w:r>
        <w:rPr>
          <w:color w:val="231F20"/>
          <w:spacing w:val="-8"/>
        </w:rPr>
        <w:t> </w:t>
      </w:r>
      <w:r>
        <w:rPr>
          <w:color w:val="231F20"/>
        </w:rPr>
        <w:t>Б2”</w:t>
      </w:r>
      <w:r>
        <w:rPr>
          <w:color w:val="231F20"/>
          <w:spacing w:val="-8"/>
        </w:rPr>
        <w:t> </w:t>
      </w:r>
      <w:r>
        <w:rPr>
          <w:color w:val="231F20"/>
        </w:rPr>
        <w:t>завршити</w:t>
      </w:r>
      <w:r>
        <w:rPr>
          <w:color w:val="231F20"/>
          <w:spacing w:val="-8"/>
        </w:rPr>
        <w:t> </w:t>
      </w:r>
      <w:r>
        <w:rPr>
          <w:color w:val="231F20"/>
        </w:rPr>
        <w:t>своје</w:t>
      </w:r>
      <w:r>
        <w:rPr>
          <w:color w:val="231F20"/>
          <w:spacing w:val="-8"/>
        </w:rPr>
        <w:t> </w:t>
      </w:r>
      <w:r>
        <w:rPr>
          <w:color w:val="231F20"/>
        </w:rPr>
        <w:t>век</w:t>
      </w:r>
      <w:r>
        <w:rPr>
          <w:color w:val="231F20"/>
          <w:spacing w:val="-8"/>
        </w:rPr>
        <w:t> </w:t>
      </w:r>
      <w:r>
        <w:rPr>
          <w:color w:val="231F20"/>
          <w:spacing w:val="-4"/>
        </w:rPr>
        <w:t>око</w:t>
      </w:r>
      <w:r>
        <w:rPr>
          <w:color w:val="231F20"/>
          <w:spacing w:val="-8"/>
        </w:rPr>
        <w:t> </w:t>
      </w:r>
      <w:r>
        <w:rPr>
          <w:color w:val="231F20"/>
        </w:rPr>
        <w:t>2035.</w:t>
      </w:r>
      <w:r>
        <w:rPr>
          <w:color w:val="231F20"/>
          <w:spacing w:val="-8"/>
        </w:rPr>
        <w:t> </w:t>
      </w:r>
      <w:r>
        <w:rPr>
          <w:color w:val="231F20"/>
        </w:rPr>
        <w:t>године,</w:t>
      </w:r>
      <w:r>
        <w:rPr>
          <w:color w:val="231F20"/>
          <w:spacing w:val="-8"/>
        </w:rPr>
        <w:t> </w:t>
      </w:r>
      <w:r>
        <w:rPr>
          <w:color w:val="231F20"/>
        </w:rPr>
        <w:t>што не значи да можда неће преузети </w:t>
      </w:r>
      <w:r>
        <w:rPr>
          <w:color w:val="231F20"/>
          <w:spacing w:val="-3"/>
        </w:rPr>
        <w:t>улогу </w:t>
      </w:r>
      <w:r>
        <w:rPr>
          <w:color w:val="231F20"/>
        </w:rPr>
        <w:t>термоелектране – топлане за снабдевање топлификационог система Пожаревца, али са ма- њим ангажовањем. Блок Б3 испуњава пун радни век </w:t>
      </w:r>
      <w:r>
        <w:rPr>
          <w:color w:val="231F20"/>
          <w:spacing w:val="-3"/>
        </w:rPr>
        <w:t>од </w:t>
      </w:r>
      <w:r>
        <w:rPr>
          <w:color w:val="231F20"/>
        </w:rPr>
        <w:t>40 </w:t>
      </w:r>
      <w:r>
        <w:rPr>
          <w:color w:val="231F20"/>
          <w:spacing w:val="-3"/>
        </w:rPr>
        <w:t>година </w:t>
      </w:r>
      <w:r>
        <w:rPr>
          <w:color w:val="231F20"/>
        </w:rPr>
        <w:t>до 2059. године. Расположиве резерве угља у ПК „Дрмно” омогу- ћавају изградњу блока Б3 и његов рад до потпуног искоришћења резерви на </w:t>
      </w:r>
      <w:r>
        <w:rPr>
          <w:color w:val="231F20"/>
          <w:spacing w:val="-3"/>
        </w:rPr>
        <w:t>копу</w:t>
      </w:r>
      <w:r>
        <w:rPr>
          <w:color w:val="231F20"/>
          <w:spacing w:val="-4"/>
        </w:rPr>
        <w:t> </w:t>
      </w:r>
      <w:r>
        <w:rPr>
          <w:color w:val="231F20"/>
        </w:rPr>
        <w:t>„Дрмно”.</w:t>
      </w:r>
    </w:p>
    <w:p>
      <w:pPr>
        <w:pStyle w:val="BodyText"/>
        <w:spacing w:before="7"/>
        <w:ind w:left="0"/>
        <w:jc w:val="left"/>
        <w:rPr>
          <w:sz w:val="2"/>
        </w:rPr>
      </w:pPr>
    </w:p>
    <w:p>
      <w:pPr>
        <w:pStyle w:val="BodyText"/>
        <w:ind w:left="453"/>
        <w:jc w:val="left"/>
        <w:rPr>
          <w:sz w:val="20"/>
        </w:rPr>
      </w:pPr>
      <w:r>
        <w:rPr>
          <w:sz w:val="20"/>
        </w:rPr>
        <w:drawing>
          <wp:inline distT="0" distB="0" distL="0" distR="0">
            <wp:extent cx="3201218" cy="1344168"/>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3201218" cy="1344168"/>
                    </a:xfrm>
                    <a:prstGeom prst="rect">
                      <a:avLst/>
                    </a:prstGeom>
                  </pic:spPr>
                </pic:pic>
              </a:graphicData>
            </a:graphic>
          </wp:inline>
        </w:drawing>
      </w:r>
      <w:r>
        <w:rPr>
          <w:sz w:val="20"/>
        </w:rPr>
      </w:r>
    </w:p>
    <w:p>
      <w:pPr>
        <w:pStyle w:val="BodyText"/>
        <w:spacing w:before="3"/>
        <w:ind w:left="0"/>
        <w:jc w:val="left"/>
        <w:rPr>
          <w:sz w:val="20"/>
        </w:rPr>
      </w:pPr>
    </w:p>
    <w:p>
      <w:pPr>
        <w:pStyle w:val="BodyText"/>
        <w:spacing w:line="232" w:lineRule="auto"/>
        <w:ind w:left="453" w:firstLine="397"/>
      </w:pPr>
      <w:r>
        <w:rPr>
          <w:color w:val="231F20"/>
        </w:rPr>
        <w:t>Са </w:t>
      </w:r>
      <w:r>
        <w:rPr>
          <w:color w:val="231F20"/>
          <w:spacing w:val="-3"/>
        </w:rPr>
        <w:t>овако </w:t>
      </w:r>
      <w:r>
        <w:rPr>
          <w:color w:val="231F20"/>
        </w:rPr>
        <w:t>предвиђеном динамиком градње и гашења поједи- них </w:t>
      </w:r>
      <w:r>
        <w:rPr>
          <w:color w:val="231F20"/>
          <w:spacing w:val="-3"/>
        </w:rPr>
        <w:t>блокова </w:t>
      </w:r>
      <w:r>
        <w:rPr>
          <w:color w:val="231F20"/>
        </w:rPr>
        <w:t>искористило би се у термоелектранама </w:t>
      </w:r>
      <w:r>
        <w:rPr>
          <w:color w:val="231F20"/>
          <w:spacing w:val="-4"/>
        </w:rPr>
        <w:t>око </w:t>
      </w:r>
      <w:r>
        <w:rPr>
          <w:color w:val="231F20"/>
        </w:rPr>
        <w:t>357 мили- она t угља, што би са предвиђеном </w:t>
      </w:r>
      <w:r>
        <w:rPr>
          <w:color w:val="231F20"/>
          <w:spacing w:val="-3"/>
        </w:rPr>
        <w:t>широком </w:t>
      </w:r>
      <w:r>
        <w:rPr>
          <w:color w:val="231F20"/>
        </w:rPr>
        <w:t>потрошњом у разма- траном</w:t>
      </w:r>
      <w:r>
        <w:rPr>
          <w:color w:val="231F20"/>
          <w:spacing w:val="-7"/>
        </w:rPr>
        <w:t> </w:t>
      </w:r>
      <w:r>
        <w:rPr>
          <w:color w:val="231F20"/>
        </w:rPr>
        <w:t>периоду</w:t>
      </w:r>
      <w:r>
        <w:rPr>
          <w:color w:val="231F20"/>
          <w:spacing w:val="-7"/>
        </w:rPr>
        <w:t> </w:t>
      </w:r>
      <w:r>
        <w:rPr>
          <w:color w:val="231F20"/>
          <w:spacing w:val="-3"/>
        </w:rPr>
        <w:t>од</w:t>
      </w:r>
      <w:r>
        <w:rPr>
          <w:color w:val="231F20"/>
          <w:spacing w:val="-7"/>
        </w:rPr>
        <w:t> </w:t>
      </w:r>
      <w:r>
        <w:rPr>
          <w:color w:val="231F20"/>
        </w:rPr>
        <w:t>23</w:t>
      </w:r>
      <w:r>
        <w:rPr>
          <w:color w:val="231F20"/>
          <w:spacing w:val="-7"/>
        </w:rPr>
        <w:t> </w:t>
      </w:r>
      <w:r>
        <w:rPr>
          <w:color w:val="231F20"/>
        </w:rPr>
        <w:t>милиона</w:t>
      </w:r>
      <w:r>
        <w:rPr>
          <w:color w:val="231F20"/>
          <w:spacing w:val="-7"/>
        </w:rPr>
        <w:t> </w:t>
      </w:r>
      <w:r>
        <w:rPr>
          <w:color w:val="231F20"/>
        </w:rPr>
        <w:t>t,</w:t>
      </w:r>
      <w:r>
        <w:rPr>
          <w:color w:val="231F20"/>
          <w:spacing w:val="-7"/>
        </w:rPr>
        <w:t> </w:t>
      </w:r>
      <w:r>
        <w:rPr>
          <w:color w:val="231F20"/>
        </w:rPr>
        <w:t>изнело</w:t>
      </w:r>
      <w:r>
        <w:rPr>
          <w:color w:val="231F20"/>
          <w:spacing w:val="-7"/>
        </w:rPr>
        <w:t> </w:t>
      </w:r>
      <w:r>
        <w:rPr>
          <w:color w:val="231F20"/>
        </w:rPr>
        <w:t>укупно</w:t>
      </w:r>
      <w:r>
        <w:rPr>
          <w:color w:val="231F20"/>
          <w:spacing w:val="-7"/>
        </w:rPr>
        <w:t> </w:t>
      </w:r>
      <w:r>
        <w:rPr>
          <w:color w:val="231F20"/>
          <w:spacing w:val="-4"/>
        </w:rPr>
        <w:t>око</w:t>
      </w:r>
      <w:r>
        <w:rPr>
          <w:color w:val="231F20"/>
          <w:spacing w:val="-7"/>
        </w:rPr>
        <w:t> </w:t>
      </w:r>
      <w:r>
        <w:rPr>
          <w:color w:val="231F20"/>
        </w:rPr>
        <w:t>380</w:t>
      </w:r>
      <w:r>
        <w:rPr>
          <w:color w:val="231F20"/>
          <w:spacing w:val="-7"/>
        </w:rPr>
        <w:t> </w:t>
      </w:r>
      <w:r>
        <w:rPr>
          <w:color w:val="231F20"/>
        </w:rPr>
        <w:t>милиона</w:t>
      </w:r>
      <w:r>
        <w:rPr>
          <w:color w:val="231F20"/>
          <w:spacing w:val="-7"/>
        </w:rPr>
        <w:t> </w:t>
      </w:r>
      <w:r>
        <w:rPr>
          <w:color w:val="231F20"/>
        </w:rPr>
        <w:t>t, </w:t>
      </w:r>
      <w:r>
        <w:rPr>
          <w:color w:val="231F20"/>
          <w:spacing w:val="-5"/>
        </w:rPr>
        <w:t>колико </w:t>
      </w:r>
      <w:r>
        <w:rPr>
          <w:color w:val="231F20"/>
        </w:rPr>
        <w:t>износе сада сагледане билансне резерве површинског</w:t>
      </w:r>
      <w:r>
        <w:rPr>
          <w:color w:val="231F20"/>
          <w:spacing w:val="6"/>
        </w:rPr>
        <w:t> </w:t>
      </w:r>
      <w:r>
        <w:rPr>
          <w:color w:val="231F20"/>
          <w:spacing w:val="-4"/>
        </w:rPr>
        <w:t>копа</w:t>
      </w:r>
    </w:p>
    <w:p>
      <w:pPr>
        <w:pStyle w:val="BodyText"/>
        <w:spacing w:line="194" w:lineRule="exact"/>
        <w:ind w:left="453"/>
        <w:jc w:val="left"/>
      </w:pPr>
      <w:r>
        <w:rPr>
          <w:color w:val="231F20"/>
        </w:rPr>
        <w:t>„Дрмно”.</w:t>
      </w:r>
    </w:p>
    <w:p>
      <w:pPr>
        <w:pStyle w:val="BodyText"/>
        <w:spacing w:line="232" w:lineRule="auto" w:before="2"/>
        <w:ind w:left="453" w:firstLine="396"/>
      </w:pPr>
      <w:r>
        <w:rPr>
          <w:color w:val="231F20"/>
        </w:rPr>
        <w:t>Планирани простор за изградњу новог блока износи 70 х 280 m и обухвата главни технолошки систем (котловско и турбинско постројење), систем за одсумпоровање димних гасова и електро- филтер са степеном издвајања који омогућава концентрацију на излазу на димњаку не мању од 30 mg/m³. Предвиђено је прошире- ње постојећих постројења хемијске припреме воде, система теч- ног горива и пумпне станице расхладне воде.</w:t>
      </w:r>
    </w:p>
    <w:p>
      <w:pPr>
        <w:pStyle w:val="BodyText"/>
        <w:spacing w:line="232" w:lineRule="auto"/>
        <w:ind w:left="453" w:firstLine="396"/>
      </w:pPr>
      <w:r>
        <w:rPr>
          <w:color w:val="231F20"/>
        </w:rPr>
        <w:t>Лоцирање будуће депоније пепела, шљаке и гипса из новог термоенергетског блока реално је могуће у откопаном простору</w:t>
      </w:r>
    </w:p>
    <w:p>
      <w:pPr>
        <w:pStyle w:val="BodyText"/>
        <w:spacing w:line="232" w:lineRule="auto" w:before="72"/>
        <w:ind w:left="243" w:right="127"/>
      </w:pPr>
      <w:r>
        <w:rPr/>
        <w:br w:type="column"/>
      </w:r>
      <w:r>
        <w:rPr>
          <w:color w:val="231F20"/>
        </w:rPr>
        <w:t>ПК „Дрмно” и </w:t>
      </w:r>
      <w:r>
        <w:rPr>
          <w:color w:val="231F20"/>
          <w:spacing w:val="-3"/>
        </w:rPr>
        <w:t>сходно </w:t>
      </w:r>
      <w:r>
        <w:rPr>
          <w:color w:val="231F20"/>
        </w:rPr>
        <w:t>томе потребно је урадити Анализу могућ- ности</w:t>
      </w:r>
      <w:r>
        <w:rPr>
          <w:color w:val="231F20"/>
          <w:spacing w:val="-9"/>
        </w:rPr>
        <w:t> </w:t>
      </w:r>
      <w:r>
        <w:rPr>
          <w:color w:val="231F20"/>
        </w:rPr>
        <w:t>одлагања</w:t>
      </w:r>
      <w:r>
        <w:rPr>
          <w:color w:val="231F20"/>
          <w:spacing w:val="-9"/>
        </w:rPr>
        <w:t> </w:t>
      </w:r>
      <w:r>
        <w:rPr>
          <w:color w:val="231F20"/>
        </w:rPr>
        <w:t>пепела,</w:t>
      </w:r>
      <w:r>
        <w:rPr>
          <w:color w:val="231F20"/>
          <w:spacing w:val="-9"/>
        </w:rPr>
        <w:t> </w:t>
      </w:r>
      <w:r>
        <w:rPr>
          <w:color w:val="231F20"/>
        </w:rPr>
        <w:t>шљаке</w:t>
      </w:r>
      <w:r>
        <w:rPr>
          <w:color w:val="231F20"/>
          <w:spacing w:val="-9"/>
        </w:rPr>
        <w:t> </w:t>
      </w:r>
      <w:r>
        <w:rPr>
          <w:color w:val="231F20"/>
        </w:rPr>
        <w:t>и</w:t>
      </w:r>
      <w:r>
        <w:rPr>
          <w:color w:val="231F20"/>
          <w:spacing w:val="-9"/>
        </w:rPr>
        <w:t> </w:t>
      </w:r>
      <w:r>
        <w:rPr>
          <w:color w:val="231F20"/>
        </w:rPr>
        <w:t>гипса</w:t>
      </w:r>
      <w:r>
        <w:rPr>
          <w:color w:val="231F20"/>
          <w:spacing w:val="-9"/>
        </w:rPr>
        <w:t> </w:t>
      </w:r>
      <w:r>
        <w:rPr>
          <w:color w:val="231F20"/>
        </w:rPr>
        <w:t>до</w:t>
      </w:r>
      <w:r>
        <w:rPr>
          <w:color w:val="231F20"/>
          <w:spacing w:val="-9"/>
        </w:rPr>
        <w:t> </w:t>
      </w:r>
      <w:r>
        <w:rPr>
          <w:color w:val="231F20"/>
        </w:rPr>
        <w:t>краја</w:t>
      </w:r>
      <w:r>
        <w:rPr>
          <w:color w:val="231F20"/>
          <w:spacing w:val="-9"/>
        </w:rPr>
        <w:t> </w:t>
      </w:r>
      <w:r>
        <w:rPr>
          <w:color w:val="231F20"/>
        </w:rPr>
        <w:t>века</w:t>
      </w:r>
      <w:r>
        <w:rPr>
          <w:color w:val="231F20"/>
          <w:spacing w:val="-9"/>
        </w:rPr>
        <w:t> </w:t>
      </w:r>
      <w:r>
        <w:rPr>
          <w:color w:val="231F20"/>
        </w:rPr>
        <w:t>експлоатације у</w:t>
      </w:r>
      <w:r>
        <w:rPr>
          <w:color w:val="231F20"/>
          <w:spacing w:val="-5"/>
        </w:rPr>
        <w:t> </w:t>
      </w:r>
      <w:r>
        <w:rPr>
          <w:color w:val="231F20"/>
        </w:rPr>
        <w:t>складу</w:t>
      </w:r>
      <w:r>
        <w:rPr>
          <w:color w:val="231F20"/>
          <w:spacing w:val="-5"/>
        </w:rPr>
        <w:t> </w:t>
      </w:r>
      <w:r>
        <w:rPr>
          <w:color w:val="231F20"/>
        </w:rPr>
        <w:t>са</w:t>
      </w:r>
      <w:r>
        <w:rPr>
          <w:color w:val="231F20"/>
          <w:spacing w:val="-5"/>
        </w:rPr>
        <w:t> </w:t>
      </w:r>
      <w:r>
        <w:rPr>
          <w:color w:val="231F20"/>
        </w:rPr>
        <w:t>динамиком</w:t>
      </w:r>
      <w:r>
        <w:rPr>
          <w:color w:val="231F20"/>
          <w:spacing w:val="-5"/>
        </w:rPr>
        <w:t> </w:t>
      </w:r>
      <w:r>
        <w:rPr>
          <w:color w:val="231F20"/>
        </w:rPr>
        <w:t>откопавања</w:t>
      </w:r>
      <w:r>
        <w:rPr>
          <w:color w:val="231F20"/>
          <w:spacing w:val="-5"/>
        </w:rPr>
        <w:t> </w:t>
      </w:r>
      <w:r>
        <w:rPr>
          <w:color w:val="231F20"/>
        </w:rPr>
        <w:t>и</w:t>
      </w:r>
      <w:r>
        <w:rPr>
          <w:color w:val="231F20"/>
          <w:spacing w:val="-5"/>
        </w:rPr>
        <w:t> </w:t>
      </w:r>
      <w:r>
        <w:rPr>
          <w:color w:val="231F20"/>
        </w:rPr>
        <w:t>одлагања</w:t>
      </w:r>
      <w:r>
        <w:rPr>
          <w:color w:val="231F20"/>
          <w:spacing w:val="-5"/>
        </w:rPr>
        <w:t> </w:t>
      </w:r>
      <w:r>
        <w:rPr>
          <w:color w:val="231F20"/>
        </w:rPr>
        <w:t>откривке</w:t>
      </w:r>
      <w:r>
        <w:rPr>
          <w:color w:val="231F20"/>
          <w:spacing w:val="-5"/>
        </w:rPr>
        <w:t> </w:t>
      </w:r>
      <w:r>
        <w:rPr>
          <w:color w:val="231F20"/>
        </w:rPr>
        <w:t>и</w:t>
      </w:r>
      <w:r>
        <w:rPr>
          <w:color w:val="231F20"/>
          <w:spacing w:val="-5"/>
        </w:rPr>
        <w:t> </w:t>
      </w:r>
      <w:r>
        <w:rPr>
          <w:color w:val="231F20"/>
        </w:rPr>
        <w:t>експло- атације угља на ПК „Дрмно”. У анализи је потребно прорачунати нови биланс маса, геометрију </w:t>
      </w:r>
      <w:r>
        <w:rPr>
          <w:color w:val="231F20"/>
          <w:spacing w:val="-3"/>
        </w:rPr>
        <w:t>копа </w:t>
      </w:r>
      <w:r>
        <w:rPr>
          <w:color w:val="231F20"/>
        </w:rPr>
        <w:t>и утврдити </w:t>
      </w:r>
      <w:r>
        <w:rPr>
          <w:color w:val="231F20"/>
          <w:spacing w:val="-5"/>
        </w:rPr>
        <w:t>колико </w:t>
      </w:r>
      <w:r>
        <w:rPr>
          <w:color w:val="231F20"/>
        </w:rPr>
        <w:t>треба над- висити унутрашње одлагалиште у односу на постојећу пројектну документацију.</w:t>
      </w:r>
    </w:p>
    <w:p>
      <w:pPr>
        <w:pStyle w:val="BodyText"/>
        <w:spacing w:line="205" w:lineRule="exact" w:before="3"/>
        <w:ind w:left="640"/>
        <w:jc w:val="left"/>
      </w:pPr>
      <w:r>
        <w:rPr>
          <w:color w:val="231F20"/>
        </w:rPr>
        <w:t>Расположива слободна поља у 400 kV разводном постројењу</w:t>
      </w:r>
    </w:p>
    <w:p>
      <w:pPr>
        <w:pStyle w:val="BodyText"/>
        <w:spacing w:line="235" w:lineRule="auto" w:before="2"/>
        <w:ind w:left="244" w:right="127" w:hanging="1"/>
      </w:pPr>
      <w:r>
        <w:rPr>
          <w:color w:val="231F20"/>
        </w:rPr>
        <w:t>„Дрмно” пружају реалне услове да се нови термоагрегат прикљу- чи овом постројењу.</w:t>
      </w:r>
    </w:p>
    <w:p>
      <w:pPr>
        <w:pStyle w:val="BodyText"/>
        <w:spacing w:line="235" w:lineRule="auto" w:before="1"/>
        <w:ind w:left="244" w:right="126" w:firstLine="396"/>
      </w:pPr>
      <w:r>
        <w:rPr>
          <w:color w:val="231F20"/>
        </w:rPr>
        <w:t>При анализи </w:t>
      </w:r>
      <w:r>
        <w:rPr>
          <w:color w:val="231F20"/>
          <w:spacing w:val="-3"/>
        </w:rPr>
        <w:t>коначног </w:t>
      </w:r>
      <w:r>
        <w:rPr>
          <w:color w:val="231F20"/>
        </w:rPr>
        <w:t>искоришћења </w:t>
      </w:r>
      <w:r>
        <w:rPr>
          <w:color w:val="231F20"/>
          <w:spacing w:val="-3"/>
        </w:rPr>
        <w:t>Костолачког </w:t>
      </w:r>
      <w:r>
        <w:rPr>
          <w:color w:val="231F20"/>
        </w:rPr>
        <w:t>угљеног басена морају се имати у виду и потенцијали и, за сада, недовољ- но истражене резерве, </w:t>
      </w:r>
      <w:r>
        <w:rPr>
          <w:color w:val="231F20"/>
          <w:spacing w:val="-3"/>
        </w:rPr>
        <w:t>која </w:t>
      </w:r>
      <w:r>
        <w:rPr>
          <w:color w:val="231F20"/>
        </w:rPr>
        <w:t>се налазе у западном делу </w:t>
      </w:r>
      <w:r>
        <w:rPr>
          <w:color w:val="231F20"/>
          <w:spacing w:val="-3"/>
        </w:rPr>
        <w:t>Костолачког </w:t>
      </w:r>
      <w:r>
        <w:rPr>
          <w:color w:val="231F20"/>
        </w:rPr>
        <w:t>басена, као и преостале резерве </w:t>
      </w:r>
      <w:r>
        <w:rPr>
          <w:color w:val="231F20"/>
          <w:spacing w:val="-3"/>
        </w:rPr>
        <w:t>копа „Ћириковац” </w:t>
      </w:r>
      <w:r>
        <w:rPr>
          <w:color w:val="231F20"/>
        </w:rPr>
        <w:t>и потенцијалне резерве у лежишту „Пољана”. Због тога није искључена могућ- ност изградња термоблокова на новој локацији, на бази угља из западног дела </w:t>
      </w:r>
      <w:r>
        <w:rPr>
          <w:color w:val="231F20"/>
          <w:spacing w:val="-3"/>
        </w:rPr>
        <w:t>Костолачког </w:t>
      </w:r>
      <w:r>
        <w:rPr>
          <w:color w:val="231F20"/>
        </w:rPr>
        <w:t>угљеног басена и/или из  </w:t>
      </w:r>
      <w:r>
        <w:rPr>
          <w:color w:val="231F20"/>
          <w:spacing w:val="-4"/>
        </w:rPr>
        <w:t>„Ћириков- </w:t>
      </w:r>
      <w:r>
        <w:rPr>
          <w:color w:val="231F20"/>
        </w:rPr>
        <w:t>ца” и „Пољане”, уз одговарајућу припрему у смислу утврђивања технологије експлоатације експлоатационих резерви и квалитета угља. У овом тренутку за то нема довољно елемената за реално сагледавање.</w:t>
      </w:r>
    </w:p>
    <w:p>
      <w:pPr>
        <w:pStyle w:val="BodyText"/>
        <w:spacing w:line="235" w:lineRule="auto" w:before="8"/>
        <w:ind w:left="244" w:right="126" w:firstLine="397"/>
      </w:pPr>
      <w:r>
        <w:rPr>
          <w:color w:val="231F20"/>
        </w:rPr>
        <w:t>На основу „Пројекта геолошких истраживања нафте и гаса на територији </w:t>
      </w:r>
      <w:r>
        <w:rPr>
          <w:color w:val="231F20"/>
          <w:spacing w:val="-3"/>
        </w:rPr>
        <w:t>Републике </w:t>
      </w:r>
      <w:r>
        <w:rPr>
          <w:color w:val="231F20"/>
        </w:rPr>
        <w:t>Србије јужно </w:t>
      </w:r>
      <w:r>
        <w:rPr>
          <w:color w:val="231F20"/>
          <w:spacing w:val="-3"/>
        </w:rPr>
        <w:t>од </w:t>
      </w:r>
      <w:r>
        <w:rPr>
          <w:color w:val="231F20"/>
        </w:rPr>
        <w:t>Саве и Дунава”, одо- брена су НИС-у нафтно-геолошка истраживања на истражном подручју </w:t>
      </w:r>
      <w:r>
        <w:rPr>
          <w:color w:val="231F20"/>
          <w:spacing w:val="-3"/>
        </w:rPr>
        <w:t>Костолачког </w:t>
      </w:r>
      <w:r>
        <w:rPr>
          <w:color w:val="231F20"/>
        </w:rPr>
        <w:t>угљеног басена. Предвиђено је да се у пе- риоду реализације Пројекта до 2020. </w:t>
      </w:r>
      <w:r>
        <w:rPr>
          <w:color w:val="231F20"/>
          <w:spacing w:val="-3"/>
        </w:rPr>
        <w:t>године </w:t>
      </w:r>
      <w:r>
        <w:rPr>
          <w:color w:val="231F20"/>
        </w:rPr>
        <w:t>изврши снимање 900 km рефлективних 2 Д сеизмичких испитивања и гравиметријска  и геомагнетска испитивања у укупном обиму </w:t>
      </w:r>
      <w:r>
        <w:rPr>
          <w:color w:val="231F20"/>
          <w:spacing w:val="-3"/>
        </w:rPr>
        <w:t>од </w:t>
      </w:r>
      <w:r>
        <w:rPr>
          <w:color w:val="231F20"/>
        </w:rPr>
        <w:t>2000 тачака. Ди- намичким планом реализације истражног бушења предвиђено је десет нових истражних</w:t>
      </w:r>
      <w:r>
        <w:rPr>
          <w:color w:val="231F20"/>
          <w:spacing w:val="-2"/>
        </w:rPr>
        <w:t> </w:t>
      </w:r>
      <w:r>
        <w:rPr>
          <w:color w:val="231F20"/>
        </w:rPr>
        <w:t>бушотина.</w:t>
      </w:r>
    </w:p>
    <w:p>
      <w:pPr>
        <w:pStyle w:val="BodyText"/>
        <w:spacing w:line="235" w:lineRule="auto" w:before="7"/>
        <w:ind w:left="244" w:right="126" w:firstLine="396"/>
      </w:pPr>
      <w:r>
        <w:rPr>
          <w:color w:val="231F20"/>
          <w:spacing w:val="-3"/>
        </w:rPr>
        <w:t>Приликом </w:t>
      </w:r>
      <w:r>
        <w:rPr>
          <w:color w:val="231F20"/>
        </w:rPr>
        <w:t>изградње објеката и постројења за експлоатацију и евентуално складиштење нафте и гаса у зони потенцијалних ру- дарских</w:t>
      </w:r>
      <w:r>
        <w:rPr>
          <w:color w:val="231F20"/>
          <w:spacing w:val="-9"/>
        </w:rPr>
        <w:t> </w:t>
      </w:r>
      <w:r>
        <w:rPr>
          <w:color w:val="231F20"/>
        </w:rPr>
        <w:t>активности</w:t>
      </w:r>
      <w:r>
        <w:rPr>
          <w:color w:val="231F20"/>
          <w:spacing w:val="-9"/>
        </w:rPr>
        <w:t> </w:t>
      </w:r>
      <w:r>
        <w:rPr>
          <w:color w:val="231F20"/>
        </w:rPr>
        <w:t>треба</w:t>
      </w:r>
      <w:r>
        <w:rPr>
          <w:color w:val="231F20"/>
          <w:spacing w:val="-9"/>
        </w:rPr>
        <w:t> </w:t>
      </w:r>
      <w:r>
        <w:rPr>
          <w:color w:val="231F20"/>
        </w:rPr>
        <w:t>водити</w:t>
      </w:r>
      <w:r>
        <w:rPr>
          <w:color w:val="231F20"/>
          <w:spacing w:val="-9"/>
        </w:rPr>
        <w:t> </w:t>
      </w:r>
      <w:r>
        <w:rPr>
          <w:color w:val="231F20"/>
        </w:rPr>
        <w:t>рачуна</w:t>
      </w:r>
      <w:r>
        <w:rPr>
          <w:color w:val="231F20"/>
          <w:spacing w:val="-10"/>
        </w:rPr>
        <w:t> </w:t>
      </w:r>
      <w:r>
        <w:rPr>
          <w:color w:val="231F20"/>
        </w:rPr>
        <w:t>о</w:t>
      </w:r>
      <w:r>
        <w:rPr>
          <w:color w:val="231F20"/>
          <w:spacing w:val="-9"/>
        </w:rPr>
        <w:t> </w:t>
      </w:r>
      <w:r>
        <w:rPr>
          <w:color w:val="231F20"/>
        </w:rPr>
        <w:t>заштити</w:t>
      </w:r>
      <w:r>
        <w:rPr>
          <w:color w:val="231F20"/>
          <w:spacing w:val="-9"/>
        </w:rPr>
        <w:t> </w:t>
      </w:r>
      <w:r>
        <w:rPr>
          <w:color w:val="231F20"/>
        </w:rPr>
        <w:t>лигнитског</w:t>
      </w:r>
      <w:r>
        <w:rPr>
          <w:color w:val="231F20"/>
          <w:spacing w:val="-9"/>
        </w:rPr>
        <w:t> </w:t>
      </w:r>
      <w:r>
        <w:rPr>
          <w:color w:val="231F20"/>
        </w:rPr>
        <w:t>ле- жишта (поље</w:t>
      </w:r>
      <w:r>
        <w:rPr>
          <w:color w:val="231F20"/>
          <w:spacing w:val="-2"/>
        </w:rPr>
        <w:t> </w:t>
      </w:r>
      <w:r>
        <w:rPr>
          <w:color w:val="231F20"/>
        </w:rPr>
        <w:t>„Острово”).</w:t>
      </w:r>
    </w:p>
    <w:p>
      <w:pPr>
        <w:pStyle w:val="ListParagraph"/>
        <w:numPr>
          <w:ilvl w:val="3"/>
          <w:numId w:val="28"/>
        </w:numPr>
        <w:tabs>
          <w:tab w:pos="2017" w:val="left" w:leader="none"/>
        </w:tabs>
        <w:spacing w:line="240" w:lineRule="auto" w:before="170" w:after="0"/>
        <w:ind w:left="2016" w:right="0" w:hanging="315"/>
        <w:jc w:val="left"/>
        <w:rPr>
          <w:i/>
          <w:sz w:val="18"/>
        </w:rPr>
      </w:pPr>
      <w:r>
        <w:rPr>
          <w:i/>
          <w:color w:val="231F20"/>
          <w:sz w:val="18"/>
        </w:rPr>
        <w:t>Енергетска</w:t>
      </w:r>
      <w:r>
        <w:rPr>
          <w:i/>
          <w:color w:val="231F20"/>
          <w:spacing w:val="-1"/>
          <w:sz w:val="18"/>
        </w:rPr>
        <w:t> </w:t>
      </w:r>
      <w:r>
        <w:rPr>
          <w:i/>
          <w:color w:val="231F20"/>
          <w:sz w:val="18"/>
        </w:rPr>
        <w:t>ефикасност</w:t>
      </w:r>
    </w:p>
    <w:p>
      <w:pPr>
        <w:pStyle w:val="BodyText"/>
        <w:spacing w:before="8"/>
        <w:ind w:left="0"/>
        <w:jc w:val="left"/>
        <w:rPr>
          <w:i/>
          <w:sz w:val="17"/>
        </w:rPr>
      </w:pPr>
    </w:p>
    <w:p>
      <w:pPr>
        <w:pStyle w:val="BodyText"/>
        <w:spacing w:line="235" w:lineRule="auto"/>
        <w:ind w:left="244" w:right="126" w:firstLine="397"/>
      </w:pPr>
      <w:r>
        <w:rPr>
          <w:color w:val="231F20"/>
        </w:rPr>
        <w:t>Концепција развоја енергетске ефикасности утврђена Стра- тегијом развоја енергетике Републике Србије до 2015. године (2005), програмима и Уредбом о изменама и допунама уредбе о утврђивању програма остваривања Стратегије развоја енергетике РС (2007, 2009, 2010) усмерена ка повећању енергетске ефикасно- сти, може се применити и на Планском подручју.</w:t>
      </w:r>
    </w:p>
    <w:p>
      <w:pPr>
        <w:pStyle w:val="BodyText"/>
        <w:spacing w:line="235" w:lineRule="auto" w:before="4"/>
        <w:ind w:left="244" w:right="126" w:firstLine="397"/>
      </w:pPr>
      <w:r>
        <w:rPr>
          <w:color w:val="231F20"/>
        </w:rPr>
        <w:t>У оквиру Планског подручја мора се приступи повећању енергетске ефикасности и заштити свих природних ресурса, од- носно заштити околине, смањењу зависности од увозне енергије, односно стимулисати замену увозних горива домаћим изворима енергије и укључити обновљиве изворе енергије у програме енер- гетске ефикасности.</w:t>
      </w:r>
    </w:p>
    <w:p>
      <w:pPr>
        <w:pStyle w:val="BodyText"/>
        <w:spacing w:line="235" w:lineRule="auto" w:before="5"/>
        <w:ind w:left="244" w:right="126" w:firstLine="396"/>
      </w:pPr>
      <w:r>
        <w:rPr>
          <w:color w:val="231F20"/>
        </w:rPr>
        <w:t>Мере енергетске ефикасности потребно је применити у згра- дарству, индустријској производњи, експлоатацији, као и у тран- спорту.</w:t>
      </w:r>
    </w:p>
    <w:p>
      <w:pPr>
        <w:pStyle w:val="BodyText"/>
        <w:spacing w:line="235" w:lineRule="auto" w:before="2"/>
        <w:ind w:left="244" w:right="126" w:firstLine="396"/>
      </w:pPr>
      <w:r>
        <w:rPr>
          <w:color w:val="231F20"/>
        </w:rPr>
        <w:t>У сектору рударства, енергетике и индустрије – великим по- трошачима енергије – могуће је остварити смањење потрошње енергије спровођењем следећих мера:</w:t>
      </w:r>
    </w:p>
    <w:p>
      <w:pPr>
        <w:pStyle w:val="BodyText"/>
        <w:spacing w:line="235" w:lineRule="auto" w:before="2"/>
        <w:ind w:left="244" w:right="126" w:firstLine="396"/>
      </w:pPr>
      <w:r>
        <w:rPr>
          <w:color w:val="231F20"/>
          <w:w w:val="66"/>
        </w:rPr>
        <w:t> </w:t>
      </w:r>
      <w:r>
        <w:rPr>
          <w:color w:val="231F20"/>
        </w:rPr>
        <w:t>– побољшањем контроле и регулисања процеса производње и коришћења енергије;</w:t>
      </w:r>
    </w:p>
    <w:p>
      <w:pPr>
        <w:pStyle w:val="BodyText"/>
        <w:spacing w:line="235" w:lineRule="auto" w:before="2"/>
        <w:ind w:left="244" w:right="126" w:firstLine="396"/>
      </w:pPr>
      <w:r>
        <w:rPr>
          <w:color w:val="231F20"/>
          <w:w w:val="66"/>
        </w:rPr>
        <w:t> </w:t>
      </w:r>
      <w:r>
        <w:rPr>
          <w:color w:val="231F20"/>
        </w:rPr>
        <w:t>– коришћењем отпадне топлоте из енергетских постројења и производних процеса;</w:t>
      </w:r>
    </w:p>
    <w:p>
      <w:pPr>
        <w:pStyle w:val="BodyText"/>
        <w:spacing w:line="203" w:lineRule="exact"/>
        <w:ind w:left="641"/>
        <w:jc w:val="left"/>
      </w:pPr>
      <w:r>
        <w:rPr>
          <w:color w:val="231F20"/>
          <w:w w:val="66"/>
        </w:rPr>
        <w:t> </w:t>
      </w:r>
      <w:r>
        <w:rPr>
          <w:color w:val="231F20"/>
        </w:rPr>
        <w:t>– енергетском интеграцијом производног процеса;</w:t>
      </w:r>
    </w:p>
    <w:p>
      <w:pPr>
        <w:pStyle w:val="BodyText"/>
        <w:spacing w:line="235" w:lineRule="auto" w:before="1"/>
        <w:ind w:left="244" w:right="127" w:firstLine="396"/>
      </w:pPr>
      <w:r>
        <w:rPr>
          <w:color w:val="231F20"/>
          <w:w w:val="66"/>
        </w:rPr>
        <w:t> </w:t>
      </w:r>
      <w:r>
        <w:rPr>
          <w:color w:val="231F20"/>
        </w:rPr>
        <w:t>– рационализацијом у технолошком процесу производње и дистрибуције угља (хомогенизација угља на површинским копо- вима, реконструкција утоварних места);</w:t>
      </w:r>
    </w:p>
    <w:p>
      <w:pPr>
        <w:pStyle w:val="BodyText"/>
        <w:spacing w:line="235" w:lineRule="auto" w:before="2"/>
        <w:ind w:left="244" w:right="127" w:firstLine="396"/>
      </w:pPr>
      <w:r>
        <w:rPr>
          <w:color w:val="231F20"/>
          <w:w w:val="66"/>
        </w:rPr>
        <w:t> </w:t>
      </w:r>
      <w:r>
        <w:rPr>
          <w:color w:val="231F20"/>
        </w:rPr>
        <w:t>–</w:t>
      </w:r>
      <w:r>
        <w:rPr>
          <w:color w:val="231F20"/>
          <w:spacing w:val="-10"/>
        </w:rPr>
        <w:t> </w:t>
      </w:r>
      <w:r>
        <w:rPr>
          <w:color w:val="231F20"/>
        </w:rPr>
        <w:t>унапређењем</w:t>
      </w:r>
      <w:r>
        <w:rPr>
          <w:color w:val="231F20"/>
          <w:spacing w:val="-10"/>
        </w:rPr>
        <w:t> </w:t>
      </w:r>
      <w:r>
        <w:rPr>
          <w:color w:val="231F20"/>
        </w:rPr>
        <w:t>технологија</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индустријске</w:t>
      </w:r>
      <w:r>
        <w:rPr>
          <w:color w:val="231F20"/>
          <w:spacing w:val="-10"/>
        </w:rPr>
        <w:t> </w:t>
      </w:r>
      <w:r>
        <w:rPr>
          <w:color w:val="231F20"/>
        </w:rPr>
        <w:t>производ- ње, потрошње и</w:t>
      </w:r>
      <w:r>
        <w:rPr>
          <w:color w:val="231F20"/>
          <w:spacing w:val="-4"/>
        </w:rPr>
        <w:t> </w:t>
      </w:r>
      <w:r>
        <w:rPr>
          <w:color w:val="231F20"/>
        </w:rPr>
        <w:t>дистрибуције;</w:t>
      </w:r>
    </w:p>
    <w:p>
      <w:pPr>
        <w:pStyle w:val="BodyText"/>
        <w:spacing w:line="235" w:lineRule="auto" w:before="2"/>
        <w:ind w:left="243" w:right="127" w:firstLine="397"/>
      </w:pPr>
      <w:r>
        <w:rPr>
          <w:color w:val="231F20"/>
          <w:w w:val="66"/>
        </w:rPr>
        <w:t> </w:t>
      </w:r>
      <w:r>
        <w:rPr>
          <w:color w:val="231F20"/>
        </w:rPr>
        <w:t>– ревитализација оба блока ТЕ „Костолац Б” </w:t>
      </w:r>
      <w:r>
        <w:rPr>
          <w:color w:val="231F20"/>
          <w:spacing w:val="-3"/>
        </w:rPr>
        <w:t>која </w:t>
      </w:r>
      <w:r>
        <w:rPr>
          <w:color w:val="231F20"/>
        </w:rPr>
        <w:t>подразуме- ва</w:t>
      </w:r>
      <w:r>
        <w:rPr>
          <w:color w:val="231F20"/>
          <w:spacing w:val="-9"/>
        </w:rPr>
        <w:t> </w:t>
      </w:r>
      <w:r>
        <w:rPr>
          <w:color w:val="231F20"/>
        </w:rPr>
        <w:t>враћање</w:t>
      </w:r>
      <w:r>
        <w:rPr>
          <w:color w:val="231F20"/>
          <w:spacing w:val="-9"/>
        </w:rPr>
        <w:t> </w:t>
      </w:r>
      <w:r>
        <w:rPr>
          <w:color w:val="231F20"/>
        </w:rPr>
        <w:t>снаге</w:t>
      </w:r>
      <w:r>
        <w:rPr>
          <w:color w:val="231F20"/>
          <w:spacing w:val="-9"/>
        </w:rPr>
        <w:t> </w:t>
      </w:r>
      <w:r>
        <w:rPr>
          <w:color w:val="231F20"/>
        </w:rPr>
        <w:t>блока</w:t>
      </w:r>
      <w:r>
        <w:rPr>
          <w:color w:val="231F20"/>
          <w:spacing w:val="-9"/>
        </w:rPr>
        <w:t> </w:t>
      </w:r>
      <w:r>
        <w:rPr>
          <w:color w:val="231F20"/>
        </w:rPr>
        <w:t>најмање</w:t>
      </w:r>
      <w:r>
        <w:rPr>
          <w:color w:val="231F20"/>
          <w:spacing w:val="-9"/>
        </w:rPr>
        <w:t> </w:t>
      </w:r>
      <w:r>
        <w:rPr>
          <w:color w:val="231F20"/>
        </w:rPr>
        <w:t>на</w:t>
      </w:r>
      <w:r>
        <w:rPr>
          <w:color w:val="231F20"/>
          <w:spacing w:val="-9"/>
        </w:rPr>
        <w:t> </w:t>
      </w:r>
      <w:r>
        <w:rPr>
          <w:color w:val="231F20"/>
        </w:rPr>
        <w:t>пројектне</w:t>
      </w:r>
      <w:r>
        <w:rPr>
          <w:color w:val="231F20"/>
          <w:spacing w:val="-9"/>
        </w:rPr>
        <w:t> </w:t>
      </w:r>
      <w:r>
        <w:rPr>
          <w:color w:val="231F20"/>
        </w:rPr>
        <w:t>параметре,</w:t>
      </w:r>
      <w:r>
        <w:rPr>
          <w:color w:val="231F20"/>
          <w:spacing w:val="-9"/>
        </w:rPr>
        <w:t> </w:t>
      </w:r>
      <w:r>
        <w:rPr>
          <w:color w:val="231F20"/>
        </w:rPr>
        <w:t>пројектне услове рада блока уз побољшање мера заштите животне средине; новим улагањима у опрему значајно ће бити повећана, пре свега, њихова расположивост и</w:t>
      </w:r>
      <w:r>
        <w:rPr>
          <w:color w:val="231F20"/>
          <w:spacing w:val="-3"/>
        </w:rPr>
        <w:t> </w:t>
      </w:r>
      <w:r>
        <w:rPr>
          <w:color w:val="231F20"/>
        </w:rPr>
        <w:t>ефикасност;</w:t>
      </w:r>
    </w:p>
    <w:p>
      <w:pPr>
        <w:pStyle w:val="BodyText"/>
        <w:spacing w:line="235" w:lineRule="auto" w:before="4"/>
        <w:ind w:left="244" w:right="126" w:firstLine="396"/>
      </w:pPr>
      <w:r>
        <w:rPr>
          <w:color w:val="231F20"/>
          <w:w w:val="66"/>
        </w:rPr>
        <w:t> </w:t>
      </w:r>
      <w:r>
        <w:rPr>
          <w:color w:val="231F20"/>
        </w:rPr>
        <w:t>– одсумпоравање димних гасова и ограничење емисије сум- пордиоксида у ТЕ Костолац А2, где постоји велики садржај сум- пора у лигниту (око 1,30%);</w:t>
      </w:r>
    </w:p>
    <w:p>
      <w:pPr>
        <w:spacing w:after="0" w:line="235" w:lineRule="auto"/>
        <w:sectPr>
          <w:pgSz w:w="12480" w:h="15690"/>
          <w:pgMar w:top="120" w:bottom="280" w:left="680" w:right="720"/>
          <w:cols w:num="2" w:equalWidth="0">
            <w:col w:w="5557" w:space="40"/>
            <w:col w:w="5483"/>
          </w:cols>
        </w:sectPr>
      </w:pPr>
    </w:p>
    <w:p>
      <w:pPr>
        <w:pStyle w:val="BodyText"/>
        <w:spacing w:line="232" w:lineRule="auto" w:before="73"/>
        <w:ind w:left="169" w:right="38" w:firstLine="397"/>
      </w:pPr>
      <w:r>
        <w:rPr/>
        <w:pict>
          <v:line style="position:absolute;mso-position-horizontal-relative:page;mso-position-vertical-relative:page;z-index:2464" from="304.724396pt,11.942451pt" to="304.724396pt,748.950451pt" stroked="true" strokeweight=".6pt" strokecolor="#231f20">
            <v:stroke dashstyle="solid"/>
            <w10:wrap type="none"/>
          </v:line>
        </w:pict>
      </w:r>
      <w:r>
        <w:rPr>
          <w:color w:val="231F20"/>
          <w:w w:val="66"/>
        </w:rPr>
        <w:t> </w:t>
      </w:r>
      <w:r>
        <w:rPr>
          <w:color w:val="231F20"/>
        </w:rPr>
        <w:t>– планирано је, такође, одсумпоравање димних гасова ради у ТЕ „Костолац Б”; радови треба да се обаве </w:t>
      </w:r>
      <w:r>
        <w:rPr>
          <w:color w:val="231F20"/>
          <w:spacing w:val="-4"/>
        </w:rPr>
        <w:t>током </w:t>
      </w:r>
      <w:r>
        <w:rPr>
          <w:color w:val="231F20"/>
        </w:rPr>
        <w:t>2012 – 2014. </w:t>
      </w:r>
      <w:r>
        <w:rPr>
          <w:color w:val="231F20"/>
          <w:spacing w:val="-3"/>
        </w:rPr>
        <w:t>године под </w:t>
      </w:r>
      <w:r>
        <w:rPr>
          <w:color w:val="231F20"/>
        </w:rPr>
        <w:t>условом да се оствари реализација кинеског кредита;</w:t>
      </w:r>
      <w:r>
        <w:rPr>
          <w:color w:val="231F20"/>
          <w:spacing w:val="-21"/>
        </w:rPr>
        <w:t> </w:t>
      </w:r>
      <w:r>
        <w:rPr>
          <w:color w:val="231F20"/>
        </w:rPr>
        <w:t>и</w:t>
      </w:r>
    </w:p>
    <w:p>
      <w:pPr>
        <w:pStyle w:val="BodyText"/>
        <w:spacing w:line="232" w:lineRule="auto"/>
        <w:ind w:left="169" w:right="38" w:firstLine="396"/>
      </w:pPr>
      <w:r>
        <w:rPr>
          <w:color w:val="231F20"/>
          <w:w w:val="66"/>
        </w:rPr>
        <w:t> </w:t>
      </w:r>
      <w:r>
        <w:rPr>
          <w:color w:val="231F20"/>
        </w:rPr>
        <w:t>– реконструкција система транспорта и одлагања пепела и шљаке применом унапређене технологије (угушћена пулпа са од- носом воде и пепела 1:1) допринеће повећању ефикасности рада термоелектране</w:t>
      </w:r>
      <w:r>
        <w:rPr>
          <w:color w:val="231F20"/>
          <w:spacing w:val="-7"/>
        </w:rPr>
        <w:t> </w:t>
      </w:r>
      <w:r>
        <w:rPr>
          <w:color w:val="231F20"/>
        </w:rPr>
        <w:t>и</w:t>
      </w:r>
      <w:r>
        <w:rPr>
          <w:color w:val="231F20"/>
          <w:spacing w:val="-7"/>
        </w:rPr>
        <w:t> </w:t>
      </w:r>
      <w:r>
        <w:rPr>
          <w:color w:val="231F20"/>
        </w:rPr>
        <w:t>већој</w:t>
      </w:r>
      <w:r>
        <w:rPr>
          <w:color w:val="231F20"/>
          <w:spacing w:val="-7"/>
        </w:rPr>
        <w:t> </w:t>
      </w:r>
      <w:r>
        <w:rPr>
          <w:color w:val="231F20"/>
        </w:rPr>
        <w:t>заштити</w:t>
      </w:r>
      <w:r>
        <w:rPr>
          <w:color w:val="231F20"/>
          <w:spacing w:val="-7"/>
        </w:rPr>
        <w:t> </w:t>
      </w:r>
      <w:r>
        <w:rPr>
          <w:color w:val="231F20"/>
        </w:rPr>
        <w:t>животне</w:t>
      </w:r>
      <w:r>
        <w:rPr>
          <w:color w:val="231F20"/>
          <w:spacing w:val="-7"/>
        </w:rPr>
        <w:t> </w:t>
      </w:r>
      <w:r>
        <w:rPr>
          <w:color w:val="231F20"/>
        </w:rPr>
        <w:t>средине;</w:t>
      </w:r>
      <w:r>
        <w:rPr>
          <w:color w:val="231F20"/>
          <w:spacing w:val="-7"/>
        </w:rPr>
        <w:t> </w:t>
      </w:r>
      <w:r>
        <w:rPr>
          <w:color w:val="231F20"/>
        </w:rPr>
        <w:t>новом</w:t>
      </w:r>
      <w:r>
        <w:rPr>
          <w:color w:val="231F20"/>
          <w:spacing w:val="-7"/>
        </w:rPr>
        <w:t> </w:t>
      </w:r>
      <w:r>
        <w:rPr>
          <w:color w:val="231F20"/>
        </w:rPr>
        <w:t>техноло- гијом транспорта и одлагања пепела, поред смањења еолске еро- зије пепела, омогућиће се и смањење загађења подземних и повр- шинских</w:t>
      </w:r>
      <w:r>
        <w:rPr>
          <w:color w:val="231F20"/>
          <w:spacing w:val="-1"/>
        </w:rPr>
        <w:t> </w:t>
      </w:r>
      <w:r>
        <w:rPr>
          <w:color w:val="231F20"/>
        </w:rPr>
        <w:t>вода;</w:t>
      </w:r>
    </w:p>
    <w:p>
      <w:pPr>
        <w:pStyle w:val="BodyText"/>
        <w:spacing w:line="232" w:lineRule="auto"/>
        <w:ind w:left="169" w:right="38" w:firstLine="397"/>
      </w:pPr>
      <w:r>
        <w:rPr>
          <w:color w:val="231F20"/>
          <w:spacing w:val="-3"/>
        </w:rPr>
        <w:t>Начин</w:t>
      </w:r>
      <w:r>
        <w:rPr>
          <w:color w:val="231F20"/>
          <w:spacing w:val="-12"/>
        </w:rPr>
        <w:t> </w:t>
      </w:r>
      <w:r>
        <w:rPr>
          <w:color w:val="231F20"/>
          <w:spacing w:val="-2"/>
        </w:rPr>
        <w:t>коришћења</w:t>
      </w:r>
      <w:r>
        <w:rPr>
          <w:color w:val="231F20"/>
          <w:spacing w:val="-12"/>
        </w:rPr>
        <w:t> </w:t>
      </w:r>
      <w:r>
        <w:rPr>
          <w:color w:val="231F20"/>
        </w:rPr>
        <w:t>грађевинског</w:t>
      </w:r>
      <w:r>
        <w:rPr>
          <w:color w:val="231F20"/>
          <w:spacing w:val="-12"/>
        </w:rPr>
        <w:t> </w:t>
      </w:r>
      <w:r>
        <w:rPr>
          <w:color w:val="231F20"/>
        </w:rPr>
        <w:t>земљишта</w:t>
      </w:r>
      <w:r>
        <w:rPr>
          <w:color w:val="231F20"/>
          <w:spacing w:val="-12"/>
        </w:rPr>
        <w:t> </w:t>
      </w:r>
      <w:r>
        <w:rPr>
          <w:color w:val="231F20"/>
        </w:rPr>
        <w:t>и</w:t>
      </w:r>
      <w:r>
        <w:rPr>
          <w:color w:val="231F20"/>
          <w:spacing w:val="-12"/>
        </w:rPr>
        <w:t> </w:t>
      </w:r>
      <w:r>
        <w:rPr>
          <w:color w:val="231F20"/>
        </w:rPr>
        <w:t>структура</w:t>
      </w:r>
      <w:r>
        <w:rPr>
          <w:color w:val="231F20"/>
          <w:spacing w:val="-12"/>
        </w:rPr>
        <w:t> </w:t>
      </w:r>
      <w:r>
        <w:rPr>
          <w:color w:val="231F20"/>
        </w:rPr>
        <w:t>зграда имају велики утицај на рационалну потрошњу енергије у зградар- </w:t>
      </w:r>
      <w:r>
        <w:rPr>
          <w:color w:val="231F20"/>
          <w:spacing w:val="-6"/>
        </w:rPr>
        <w:t>ству. </w:t>
      </w:r>
      <w:r>
        <w:rPr>
          <w:color w:val="231F20"/>
        </w:rPr>
        <w:t>Пажљиво пројектовање појединих зграда, насеља и урбаних структура </w:t>
      </w:r>
      <w:r>
        <w:rPr>
          <w:color w:val="231F20"/>
          <w:spacing w:val="-3"/>
        </w:rPr>
        <w:t>може </w:t>
      </w:r>
      <w:r>
        <w:rPr>
          <w:color w:val="231F20"/>
        </w:rPr>
        <w:t>значајно допринети остварењу овог циља. Веома је битна примена принципа енергетске ефикасности просторним, регионалним и урбанистичким плановима; у планирању изградњи и експлоатацији зграда; у систему </w:t>
      </w:r>
      <w:r>
        <w:rPr>
          <w:color w:val="231F20"/>
          <w:spacing w:val="-3"/>
        </w:rPr>
        <w:t>даљинског </w:t>
      </w:r>
      <w:r>
        <w:rPr>
          <w:color w:val="231F20"/>
        </w:rPr>
        <w:t>грејања</w:t>
      </w:r>
      <w:r>
        <w:rPr>
          <w:color w:val="231F20"/>
          <w:spacing w:val="-22"/>
        </w:rPr>
        <w:t> </w:t>
      </w:r>
      <w:r>
        <w:rPr>
          <w:color w:val="231F20"/>
        </w:rPr>
        <w:t>итд.</w:t>
      </w:r>
    </w:p>
    <w:p>
      <w:pPr>
        <w:pStyle w:val="BodyText"/>
        <w:spacing w:line="232" w:lineRule="auto"/>
        <w:ind w:right="38" w:firstLine="396"/>
      </w:pPr>
      <w:r>
        <w:rPr>
          <w:color w:val="231F20"/>
        </w:rPr>
        <w:t>У сектору зградарства потребно је реализовати следеће ак- тивности:</w:t>
      </w:r>
    </w:p>
    <w:p>
      <w:pPr>
        <w:pStyle w:val="BodyText"/>
        <w:spacing w:line="232" w:lineRule="auto"/>
        <w:ind w:left="169" w:right="38" w:firstLine="396"/>
      </w:pPr>
      <w:r>
        <w:rPr>
          <w:color w:val="231F20"/>
          <w:w w:val="66"/>
        </w:rPr>
        <w:t> </w:t>
      </w:r>
      <w:r>
        <w:rPr>
          <w:color w:val="231F20"/>
        </w:rPr>
        <w:t>– прелазак са грејања на електричну енергију на друге видо- ве енергије;</w:t>
      </w:r>
    </w:p>
    <w:p>
      <w:pPr>
        <w:pStyle w:val="BodyText"/>
        <w:spacing w:line="232" w:lineRule="auto"/>
        <w:ind w:left="169" w:right="38" w:firstLine="397"/>
      </w:pPr>
      <w:r>
        <w:rPr>
          <w:color w:val="231F20"/>
          <w:w w:val="66"/>
        </w:rPr>
        <w:t> </w:t>
      </w:r>
      <w:r>
        <w:rPr>
          <w:color w:val="231F20"/>
        </w:rPr>
        <w:t>– доследна примена Закона о планирању и изградњи („Слу- жбени гласник РС”, бр. 72/09, 81/09 – исправка, 64/10 – УС и 24/11), Правилника о енергетскoj ефикасности зграда („Службени гласник РС”, број 61/11) као и Правилника о условима, садржини и начину издавања сертификата о енергетским својствима зграда („Службени гласник РС”, број 61/11);</w:t>
      </w:r>
    </w:p>
    <w:p>
      <w:pPr>
        <w:pStyle w:val="BodyText"/>
        <w:spacing w:line="232" w:lineRule="auto"/>
        <w:ind w:left="169" w:right="38" w:firstLine="396"/>
      </w:pPr>
      <w:r>
        <w:rPr>
          <w:color w:val="231F20"/>
          <w:w w:val="66"/>
        </w:rPr>
        <w:t> </w:t>
      </w:r>
      <w:r>
        <w:rPr>
          <w:color w:val="231F20"/>
        </w:rPr>
        <w:t>– прелазак са паушалног на обрачун за грејање и припрему топле воде према измереној потрошњи топлотне енергије;</w:t>
      </w:r>
    </w:p>
    <w:p>
      <w:pPr>
        <w:pStyle w:val="BodyText"/>
        <w:spacing w:line="232" w:lineRule="auto"/>
        <w:ind w:left="169" w:right="38" w:firstLine="396"/>
      </w:pPr>
      <w:r>
        <w:rPr>
          <w:color w:val="231F20"/>
          <w:w w:val="66"/>
        </w:rPr>
        <w:t> </w:t>
      </w:r>
      <w:r>
        <w:rPr>
          <w:color w:val="231F20"/>
        </w:rPr>
        <w:t>– оснивање подстицајних фондова за побољшање топлотне заштите постојећих стамбених зграда;</w:t>
      </w:r>
    </w:p>
    <w:p>
      <w:pPr>
        <w:pStyle w:val="BodyText"/>
        <w:spacing w:line="232" w:lineRule="auto"/>
        <w:ind w:left="169" w:right="38" w:firstLine="396"/>
      </w:pPr>
      <w:r>
        <w:rPr>
          <w:color w:val="231F20"/>
          <w:w w:val="66"/>
        </w:rPr>
        <w:t> </w:t>
      </w:r>
      <w:r>
        <w:rPr>
          <w:color w:val="231F20"/>
        </w:rPr>
        <w:t>– за нове зграде, </w:t>
      </w:r>
      <w:r>
        <w:rPr>
          <w:color w:val="231F20"/>
          <w:spacing w:val="-3"/>
        </w:rPr>
        <w:t>које </w:t>
      </w:r>
      <w:r>
        <w:rPr>
          <w:color w:val="231F20"/>
        </w:rPr>
        <w:t>ће се грејати из система даљинског или централног грејања, увести обавезу припреме топле воде у под- станицама и </w:t>
      </w:r>
      <w:r>
        <w:rPr>
          <w:color w:val="231F20"/>
          <w:spacing w:val="-3"/>
        </w:rPr>
        <w:t>котларницама </w:t>
      </w:r>
      <w:r>
        <w:rPr>
          <w:color w:val="231F20"/>
        </w:rPr>
        <w:t>ових система и</w:t>
      </w:r>
    </w:p>
    <w:p>
      <w:pPr>
        <w:pStyle w:val="BodyText"/>
        <w:spacing w:line="232" w:lineRule="auto"/>
        <w:ind w:left="169" w:right="38" w:firstLine="397"/>
      </w:pPr>
      <w:r>
        <w:rPr>
          <w:color w:val="231F20"/>
          <w:w w:val="66"/>
        </w:rPr>
        <w:t> </w:t>
      </w:r>
      <w:r>
        <w:rPr>
          <w:color w:val="231F20"/>
        </w:rPr>
        <w:t>– рационализација и реконструкција осветљења пре свега на јавним зградама (општине, болнице, школе), реконструкција јав- ног осветљења насељених места.</w:t>
      </w:r>
    </w:p>
    <w:p>
      <w:pPr>
        <w:pStyle w:val="BodyText"/>
        <w:spacing w:line="232" w:lineRule="auto"/>
        <w:ind w:left="169" w:right="38" w:firstLine="397"/>
      </w:pPr>
      <w:r>
        <w:rPr>
          <w:color w:val="231F20"/>
        </w:rPr>
        <w:t>Све зграде </w:t>
      </w:r>
      <w:r>
        <w:rPr>
          <w:color w:val="231F20"/>
          <w:spacing w:val="-3"/>
        </w:rPr>
        <w:t>које </w:t>
      </w:r>
      <w:r>
        <w:rPr>
          <w:color w:val="231F20"/>
        </w:rPr>
        <w:t>ће се градити после 2011. </w:t>
      </w:r>
      <w:r>
        <w:rPr>
          <w:color w:val="231F20"/>
          <w:spacing w:val="-3"/>
        </w:rPr>
        <w:t>године </w:t>
      </w:r>
      <w:r>
        <w:rPr>
          <w:color w:val="231F20"/>
        </w:rPr>
        <w:t>треба да </w:t>
      </w:r>
      <w:r>
        <w:rPr>
          <w:color w:val="231F20"/>
          <w:spacing w:val="-3"/>
        </w:rPr>
        <w:t>бу- </w:t>
      </w:r>
      <w:r>
        <w:rPr>
          <w:color w:val="231F20"/>
        </w:rPr>
        <w:t>ду грађене према Акционом плану за енергетску ефикасност, </w:t>
      </w:r>
      <w:r>
        <w:rPr>
          <w:color w:val="231F20"/>
          <w:spacing w:val="-4"/>
        </w:rPr>
        <w:t>ко- </w:t>
      </w:r>
      <w:r>
        <w:rPr>
          <w:color w:val="231F20"/>
        </w:rPr>
        <w:t>ји је 31. јануара 2008. </w:t>
      </w:r>
      <w:r>
        <w:rPr>
          <w:color w:val="231F20"/>
          <w:spacing w:val="-3"/>
        </w:rPr>
        <w:t>године </w:t>
      </w:r>
      <w:r>
        <w:rPr>
          <w:color w:val="231F20"/>
        </w:rPr>
        <w:t>донео Европски парламент у својој резолуцији 2007/2106 (INI). Квалитетан слој изолације, заптивени прозори и врата </w:t>
      </w:r>
      <w:r>
        <w:rPr>
          <w:color w:val="231F20"/>
          <w:spacing w:val="-3"/>
        </w:rPr>
        <w:t>који </w:t>
      </w:r>
      <w:r>
        <w:rPr>
          <w:color w:val="231F20"/>
        </w:rPr>
        <w:t>спречавају губитке топлоте, системи за цир- кулацију ваздуха </w:t>
      </w:r>
      <w:r>
        <w:rPr>
          <w:color w:val="231F20"/>
          <w:spacing w:val="-3"/>
        </w:rPr>
        <w:t>који </w:t>
      </w:r>
      <w:r>
        <w:rPr>
          <w:color w:val="231F20"/>
        </w:rPr>
        <w:t>осим проветравања имају задатак да </w:t>
      </w:r>
      <w:r>
        <w:rPr>
          <w:color w:val="231F20"/>
          <w:spacing w:val="-2"/>
        </w:rPr>
        <w:t>додат- </w:t>
      </w:r>
      <w:r>
        <w:rPr>
          <w:color w:val="231F20"/>
        </w:rPr>
        <w:t>но чувају енергију у унутарњем</w:t>
      </w:r>
      <w:r>
        <w:rPr>
          <w:color w:val="231F20"/>
          <w:spacing w:val="-3"/>
        </w:rPr>
        <w:t> простору.</w:t>
      </w:r>
    </w:p>
    <w:p>
      <w:pPr>
        <w:pStyle w:val="BodyText"/>
        <w:spacing w:line="232" w:lineRule="auto"/>
        <w:ind w:left="168" w:right="39" w:firstLine="397"/>
      </w:pPr>
      <w:r>
        <w:rPr>
          <w:color w:val="231F20"/>
          <w:spacing w:val="-3"/>
        </w:rPr>
        <w:t>Приликом </w:t>
      </w:r>
      <w:r>
        <w:rPr>
          <w:color w:val="231F20"/>
        </w:rPr>
        <w:t>изградње или реконструкције стамбеног и послов- ног простора, односно </w:t>
      </w:r>
      <w:r>
        <w:rPr>
          <w:color w:val="231F20"/>
          <w:spacing w:val="-3"/>
        </w:rPr>
        <w:t>приликом </w:t>
      </w:r>
      <w:r>
        <w:rPr>
          <w:color w:val="231F20"/>
        </w:rPr>
        <w:t>издавања грађевинских дозвола и</w:t>
      </w:r>
      <w:r>
        <w:rPr>
          <w:color w:val="231F20"/>
          <w:spacing w:val="-6"/>
        </w:rPr>
        <w:t> </w:t>
      </w:r>
      <w:r>
        <w:rPr>
          <w:color w:val="231F20"/>
        </w:rPr>
        <w:t>техничког</w:t>
      </w:r>
      <w:r>
        <w:rPr>
          <w:color w:val="231F20"/>
          <w:spacing w:val="-6"/>
        </w:rPr>
        <w:t> </w:t>
      </w:r>
      <w:r>
        <w:rPr>
          <w:color w:val="231F20"/>
        </w:rPr>
        <w:t>пријема</w:t>
      </w:r>
      <w:r>
        <w:rPr>
          <w:color w:val="231F20"/>
          <w:spacing w:val="-6"/>
        </w:rPr>
        <w:t> </w:t>
      </w:r>
      <w:r>
        <w:rPr>
          <w:color w:val="231F20"/>
        </w:rPr>
        <w:t>објеката,</w:t>
      </w:r>
      <w:r>
        <w:rPr>
          <w:color w:val="231F20"/>
          <w:spacing w:val="-6"/>
        </w:rPr>
        <w:t> </w:t>
      </w:r>
      <w:r>
        <w:rPr>
          <w:color w:val="231F20"/>
        </w:rPr>
        <w:t>треба</w:t>
      </w:r>
      <w:r>
        <w:rPr>
          <w:color w:val="231F20"/>
          <w:spacing w:val="-6"/>
        </w:rPr>
        <w:t> </w:t>
      </w:r>
      <w:r>
        <w:rPr>
          <w:color w:val="231F20"/>
        </w:rPr>
        <w:t>контролисати</w:t>
      </w:r>
      <w:r>
        <w:rPr>
          <w:color w:val="231F20"/>
          <w:spacing w:val="-6"/>
        </w:rPr>
        <w:t> </w:t>
      </w:r>
      <w:r>
        <w:rPr>
          <w:color w:val="231F20"/>
        </w:rPr>
        <w:t>да</w:t>
      </w:r>
      <w:r>
        <w:rPr>
          <w:color w:val="231F20"/>
          <w:spacing w:val="-6"/>
        </w:rPr>
        <w:t> </w:t>
      </w:r>
      <w:r>
        <w:rPr>
          <w:color w:val="231F20"/>
        </w:rPr>
        <w:t>ли</w:t>
      </w:r>
      <w:r>
        <w:rPr>
          <w:color w:val="231F20"/>
          <w:spacing w:val="-6"/>
        </w:rPr>
        <w:t> </w:t>
      </w:r>
      <w:r>
        <w:rPr>
          <w:color w:val="231F20"/>
        </w:rPr>
        <w:t>су</w:t>
      </w:r>
      <w:r>
        <w:rPr>
          <w:color w:val="231F20"/>
          <w:spacing w:val="-6"/>
        </w:rPr>
        <w:t> </w:t>
      </w:r>
      <w:r>
        <w:rPr>
          <w:color w:val="231F20"/>
        </w:rPr>
        <w:t>пошто- вани стандарди, прописи и правилници са обавезном применом, односно локалне препоруке и упутства за рационално коришћење енергије.</w:t>
      </w:r>
    </w:p>
    <w:p>
      <w:pPr>
        <w:pStyle w:val="ListParagraph"/>
        <w:numPr>
          <w:ilvl w:val="3"/>
          <w:numId w:val="28"/>
        </w:numPr>
        <w:tabs>
          <w:tab w:pos="1836" w:val="left" w:leader="none"/>
        </w:tabs>
        <w:spacing w:line="240" w:lineRule="auto" w:before="161" w:after="0"/>
        <w:ind w:left="1835" w:right="0" w:hanging="315"/>
        <w:jc w:val="left"/>
        <w:rPr>
          <w:i/>
          <w:sz w:val="18"/>
        </w:rPr>
      </w:pPr>
      <w:r>
        <w:rPr>
          <w:i/>
          <w:color w:val="231F20"/>
          <w:sz w:val="18"/>
        </w:rPr>
        <w:t>Обновљиви извори</w:t>
      </w:r>
      <w:r>
        <w:rPr>
          <w:i/>
          <w:color w:val="231F20"/>
          <w:spacing w:val="-2"/>
          <w:sz w:val="18"/>
        </w:rPr>
        <w:t> </w:t>
      </w:r>
      <w:r>
        <w:rPr>
          <w:i/>
          <w:color w:val="231F20"/>
          <w:sz w:val="18"/>
        </w:rPr>
        <w:t>енергије</w:t>
      </w:r>
    </w:p>
    <w:p>
      <w:pPr>
        <w:pStyle w:val="BodyText"/>
        <w:spacing w:before="3"/>
        <w:ind w:left="0"/>
        <w:jc w:val="left"/>
        <w:rPr>
          <w:i/>
          <w:sz w:val="17"/>
        </w:rPr>
      </w:pPr>
    </w:p>
    <w:p>
      <w:pPr>
        <w:pStyle w:val="BodyText"/>
        <w:spacing w:line="232" w:lineRule="auto" w:before="1"/>
        <w:ind w:left="168" w:right="39" w:firstLine="396"/>
      </w:pPr>
      <w:r>
        <w:rPr>
          <w:color w:val="231F20"/>
        </w:rPr>
        <w:t>Концепција развоја енергетике представља општи оквир и полазну основу за оптимално одрживо коришћење енергије и за- штиту животне средине.</w:t>
      </w:r>
    </w:p>
    <w:p>
      <w:pPr>
        <w:pStyle w:val="BodyText"/>
        <w:spacing w:line="232" w:lineRule="auto"/>
        <w:ind w:left="168" w:right="39" w:firstLine="396"/>
      </w:pPr>
      <w:r>
        <w:rPr>
          <w:color w:val="231F20"/>
        </w:rPr>
        <w:t>Концепција</w:t>
      </w:r>
      <w:r>
        <w:rPr>
          <w:color w:val="231F20"/>
          <w:spacing w:val="-9"/>
        </w:rPr>
        <w:t> </w:t>
      </w:r>
      <w:r>
        <w:rPr>
          <w:color w:val="231F20"/>
        </w:rPr>
        <w:t>даљег</w:t>
      </w:r>
      <w:r>
        <w:rPr>
          <w:color w:val="231F20"/>
          <w:spacing w:val="-9"/>
        </w:rPr>
        <w:t> </w:t>
      </w:r>
      <w:r>
        <w:rPr>
          <w:color w:val="231F20"/>
        </w:rPr>
        <w:t>развоја</w:t>
      </w:r>
      <w:r>
        <w:rPr>
          <w:color w:val="231F20"/>
          <w:spacing w:val="-9"/>
        </w:rPr>
        <w:t> </w:t>
      </w:r>
      <w:r>
        <w:rPr>
          <w:color w:val="231F20"/>
        </w:rPr>
        <w:t>коришћења</w:t>
      </w:r>
      <w:r>
        <w:rPr>
          <w:color w:val="231F20"/>
          <w:spacing w:val="-9"/>
        </w:rPr>
        <w:t> </w:t>
      </w:r>
      <w:r>
        <w:rPr>
          <w:color w:val="231F20"/>
        </w:rPr>
        <w:t>ОИЕ</w:t>
      </w:r>
      <w:r>
        <w:rPr>
          <w:color w:val="231F20"/>
          <w:spacing w:val="-9"/>
        </w:rPr>
        <w:t> </w:t>
      </w:r>
      <w:r>
        <w:rPr>
          <w:color w:val="231F20"/>
        </w:rPr>
        <w:t>заснива</w:t>
      </w:r>
      <w:r>
        <w:rPr>
          <w:color w:val="231F20"/>
          <w:spacing w:val="-9"/>
        </w:rPr>
        <w:t> </w:t>
      </w:r>
      <w:r>
        <w:rPr>
          <w:color w:val="231F20"/>
        </w:rPr>
        <w:t>се</w:t>
      </w:r>
      <w:r>
        <w:rPr>
          <w:color w:val="231F20"/>
          <w:spacing w:val="-9"/>
        </w:rPr>
        <w:t> </w:t>
      </w:r>
      <w:r>
        <w:rPr>
          <w:color w:val="231F20"/>
        </w:rPr>
        <w:t>на</w:t>
      </w:r>
      <w:r>
        <w:rPr>
          <w:color w:val="231F20"/>
          <w:spacing w:val="-9"/>
        </w:rPr>
        <w:t> </w:t>
      </w:r>
      <w:r>
        <w:rPr>
          <w:color w:val="231F20"/>
        </w:rPr>
        <w:t>сле- дећим</w:t>
      </w:r>
      <w:r>
        <w:rPr>
          <w:color w:val="231F20"/>
          <w:spacing w:val="-1"/>
        </w:rPr>
        <w:t> </w:t>
      </w:r>
      <w:r>
        <w:rPr>
          <w:color w:val="231F20"/>
        </w:rPr>
        <w:t>полазиштима:</w:t>
      </w:r>
    </w:p>
    <w:p>
      <w:pPr>
        <w:pStyle w:val="BodyText"/>
        <w:spacing w:line="199" w:lineRule="exact"/>
        <w:ind w:left="565"/>
        <w:jc w:val="left"/>
      </w:pPr>
      <w:r>
        <w:rPr>
          <w:color w:val="231F20"/>
          <w:w w:val="66"/>
        </w:rPr>
        <w:t> </w:t>
      </w:r>
      <w:r>
        <w:rPr>
          <w:color w:val="231F20"/>
        </w:rPr>
        <w:t>– интензивнији развој и примена ОИЕ;</w:t>
      </w:r>
    </w:p>
    <w:p>
      <w:pPr>
        <w:pStyle w:val="BodyText"/>
        <w:spacing w:line="232" w:lineRule="auto" w:before="1"/>
        <w:ind w:left="169" w:right="39" w:firstLine="396"/>
      </w:pPr>
      <w:r>
        <w:rPr>
          <w:color w:val="231F20"/>
          <w:w w:val="66"/>
        </w:rPr>
        <w:t> </w:t>
      </w:r>
      <w:r>
        <w:rPr>
          <w:color w:val="231F20"/>
        </w:rPr>
        <w:t>– побољшавање квалитета животне средине и смањење еми- сија CO</w:t>
      </w:r>
      <w:r>
        <w:rPr>
          <w:color w:val="231F20"/>
          <w:position w:val="-5"/>
          <w:sz w:val="10"/>
        </w:rPr>
        <w:t>2</w:t>
      </w:r>
      <w:r>
        <w:rPr>
          <w:color w:val="231F20"/>
        </w:rPr>
        <w:t>;</w:t>
      </w:r>
    </w:p>
    <w:p>
      <w:pPr>
        <w:pStyle w:val="BodyText"/>
        <w:spacing w:line="152" w:lineRule="exact"/>
        <w:ind w:left="567"/>
        <w:jc w:val="left"/>
      </w:pPr>
      <w:r>
        <w:rPr>
          <w:color w:val="231F20"/>
          <w:w w:val="66"/>
        </w:rPr>
        <w:t> </w:t>
      </w:r>
      <w:r>
        <w:rPr>
          <w:color w:val="231F20"/>
        </w:rPr>
        <w:t>– постепена супституција енергије добијене из фосилних го-</w:t>
      </w:r>
    </w:p>
    <w:p>
      <w:pPr>
        <w:pStyle w:val="BodyText"/>
        <w:spacing w:line="201" w:lineRule="exact"/>
        <w:jc w:val="left"/>
      </w:pPr>
      <w:r>
        <w:rPr>
          <w:color w:val="231F20"/>
        </w:rPr>
        <w:t>рива обновљивом енергијом;</w:t>
      </w:r>
    </w:p>
    <w:p>
      <w:pPr>
        <w:pStyle w:val="BodyText"/>
        <w:spacing w:line="201" w:lineRule="exact"/>
        <w:ind w:left="567"/>
        <w:jc w:val="left"/>
      </w:pPr>
      <w:r>
        <w:rPr>
          <w:color w:val="231F20"/>
          <w:w w:val="66"/>
        </w:rPr>
        <w:t> </w:t>
      </w:r>
      <w:r>
        <w:rPr>
          <w:color w:val="231F20"/>
        </w:rPr>
        <w:t>– развој домаћег инжењерског кадра;</w:t>
      </w:r>
    </w:p>
    <w:p>
      <w:pPr>
        <w:pStyle w:val="BodyText"/>
        <w:spacing w:line="201" w:lineRule="exact"/>
        <w:ind w:left="567"/>
        <w:jc w:val="left"/>
      </w:pPr>
      <w:r>
        <w:rPr>
          <w:color w:val="231F20"/>
          <w:w w:val="66"/>
        </w:rPr>
        <w:t> </w:t>
      </w:r>
      <w:r>
        <w:rPr>
          <w:color w:val="231F20"/>
        </w:rPr>
        <w:t>– јачање свести и знања у погледу коришћења ОИЕ;</w:t>
      </w:r>
    </w:p>
    <w:p>
      <w:pPr>
        <w:pStyle w:val="BodyText"/>
        <w:spacing w:line="232" w:lineRule="auto" w:before="2"/>
        <w:ind w:right="38" w:firstLine="396"/>
      </w:pPr>
      <w:r>
        <w:rPr>
          <w:color w:val="231F20"/>
          <w:w w:val="66"/>
        </w:rPr>
        <w:t> </w:t>
      </w:r>
      <w:r>
        <w:rPr>
          <w:color w:val="231F20"/>
        </w:rPr>
        <w:t>– повећање информисаности потенцијалних инвеститора и произвођача опреме о достигнућима у развијеним земљама;</w:t>
      </w:r>
    </w:p>
    <w:p>
      <w:pPr>
        <w:pStyle w:val="BodyText"/>
        <w:spacing w:line="232" w:lineRule="auto"/>
        <w:ind w:right="38" w:firstLine="396"/>
      </w:pPr>
      <w:r>
        <w:rPr>
          <w:color w:val="231F20"/>
          <w:w w:val="66"/>
        </w:rPr>
        <w:t> </w:t>
      </w:r>
      <w:r>
        <w:rPr>
          <w:color w:val="231F20"/>
        </w:rPr>
        <w:t>– стварање повољног и подстицајног амбијента за</w:t>
      </w:r>
      <w:r>
        <w:rPr>
          <w:color w:val="231F20"/>
          <w:spacing w:val="-26"/>
        </w:rPr>
        <w:t> </w:t>
      </w:r>
      <w:r>
        <w:rPr>
          <w:color w:val="231F20"/>
        </w:rPr>
        <w:t>дугорочан развој</w:t>
      </w:r>
      <w:r>
        <w:rPr>
          <w:color w:val="231F20"/>
          <w:spacing w:val="-1"/>
        </w:rPr>
        <w:t> </w:t>
      </w:r>
      <w:r>
        <w:rPr>
          <w:color w:val="231F20"/>
        </w:rPr>
        <w:t>ОИЕ;</w:t>
      </w:r>
    </w:p>
    <w:p>
      <w:pPr>
        <w:pStyle w:val="BodyText"/>
        <w:spacing w:line="232" w:lineRule="auto"/>
        <w:ind w:right="38" w:firstLine="397"/>
      </w:pPr>
      <w:r>
        <w:rPr>
          <w:color w:val="231F20"/>
          <w:w w:val="66"/>
        </w:rPr>
        <w:t> </w:t>
      </w:r>
      <w:r>
        <w:rPr>
          <w:color w:val="231F20"/>
        </w:rPr>
        <w:t>– стимулације путем дугорочних кредита фонда за енергет- ску ефикасност или других фондова и друго.</w:t>
      </w:r>
    </w:p>
    <w:p>
      <w:pPr>
        <w:pStyle w:val="BodyText"/>
        <w:spacing w:line="232" w:lineRule="auto"/>
        <w:ind w:right="38" w:firstLine="396"/>
      </w:pPr>
      <w:r>
        <w:rPr>
          <w:color w:val="231F20"/>
        </w:rPr>
        <w:t>За остварење већег коришћења ОИЕ неопходно је стимули- сати даље истраживање потенцијала и њихово економско вредно- вање у складу са савременим технолошким решењима. Да би се</w:t>
      </w:r>
    </w:p>
    <w:p>
      <w:pPr>
        <w:pStyle w:val="BodyText"/>
        <w:spacing w:line="232" w:lineRule="auto" w:before="74"/>
        <w:ind w:left="171" w:right="412"/>
      </w:pPr>
      <w:r>
        <w:rPr/>
        <w:br w:type="column"/>
      </w:r>
      <w:r>
        <w:rPr>
          <w:color w:val="231F20"/>
        </w:rPr>
        <w:t>обновљива енергија прихватила потребно је спроводити бројне акције које, између осталог, обухватају рад са јавношћу кроз про- граме перманентне едукације. Циљ је да се прихвати идеја о еко- номским и еколошким предностима примене ОИЕ.</w:t>
      </w:r>
    </w:p>
    <w:p>
      <w:pPr>
        <w:pStyle w:val="BodyText"/>
        <w:spacing w:line="230" w:lineRule="auto"/>
        <w:ind w:right="412" w:firstLine="397"/>
      </w:pPr>
      <w:r>
        <w:rPr>
          <w:color w:val="231F20"/>
        </w:rPr>
        <w:t>Енергетски системи, </w:t>
      </w:r>
      <w:r>
        <w:rPr>
          <w:color w:val="231F20"/>
          <w:spacing w:val="-3"/>
        </w:rPr>
        <w:t>који </w:t>
      </w:r>
      <w:r>
        <w:rPr>
          <w:color w:val="231F20"/>
        </w:rPr>
        <w:t>се заснивају на обновљивим локал- ним енергетским изворима, по </w:t>
      </w:r>
      <w:r>
        <w:rPr>
          <w:color w:val="231F20"/>
          <w:spacing w:val="-3"/>
        </w:rPr>
        <w:t>правилу, </w:t>
      </w:r>
      <w:r>
        <w:rPr>
          <w:color w:val="231F20"/>
        </w:rPr>
        <w:t>имају децентрализовану организациону </w:t>
      </w:r>
      <w:r>
        <w:rPr>
          <w:color w:val="231F20"/>
          <w:spacing w:val="-3"/>
        </w:rPr>
        <w:t>структуру. </w:t>
      </w:r>
      <w:r>
        <w:rPr>
          <w:color w:val="231F20"/>
        </w:rPr>
        <w:t>Обновљиви извори енергије се, пре све- га, користе у близини потрошача </w:t>
      </w:r>
      <w:r>
        <w:rPr>
          <w:color w:val="231F20"/>
          <w:spacing w:val="-4"/>
        </w:rPr>
        <w:t>(уколико </w:t>
      </w:r>
      <w:r>
        <w:rPr>
          <w:color w:val="231F20"/>
        </w:rPr>
        <w:t>нису повезани на енер- гетски систем) и </w:t>
      </w:r>
      <w:r>
        <w:rPr>
          <w:color w:val="231F20"/>
          <w:spacing w:val="-3"/>
        </w:rPr>
        <w:t>углавном </w:t>
      </w:r>
      <w:r>
        <w:rPr>
          <w:color w:val="231F20"/>
        </w:rPr>
        <w:t>није економски оправдан транспорт на велика растојања, па се производња, дистрибуција и коришћење организује на регионалној основи.</w:t>
      </w:r>
    </w:p>
    <w:p>
      <w:pPr>
        <w:pStyle w:val="BodyText"/>
        <w:spacing w:line="230" w:lineRule="auto"/>
        <w:ind w:left="169" w:right="413" w:firstLine="397"/>
      </w:pPr>
      <w:r>
        <w:rPr>
          <w:color w:val="231F20"/>
        </w:rPr>
        <w:t>Спровођење наведене политике ће подстаћи коришћење ло- калних енергетских извора и иницијатива, изградњу одговарајуће техничке и социјалне инфраструктуре, уједначенији развој и уво- ђење интегралног планирања.</w:t>
      </w:r>
    </w:p>
    <w:p>
      <w:pPr>
        <w:pStyle w:val="BodyText"/>
        <w:spacing w:before="155"/>
        <w:ind w:left="2037" w:right="2280"/>
        <w:jc w:val="center"/>
      </w:pPr>
      <w:r>
        <w:rPr>
          <w:color w:val="231F20"/>
        </w:rPr>
        <w:t>Биомаса</w:t>
      </w:r>
    </w:p>
    <w:p>
      <w:pPr>
        <w:pStyle w:val="BodyText"/>
        <w:ind w:left="0"/>
        <w:jc w:val="left"/>
        <w:rPr>
          <w:sz w:val="17"/>
        </w:rPr>
      </w:pPr>
    </w:p>
    <w:p>
      <w:pPr>
        <w:pStyle w:val="BodyText"/>
        <w:spacing w:line="230" w:lineRule="auto"/>
        <w:ind w:left="169" w:right="413" w:firstLine="397"/>
      </w:pPr>
      <w:r>
        <w:rPr>
          <w:color w:val="231F20"/>
        </w:rPr>
        <w:t>На основу Акционог плана за биомасу и Националне стратегијa за укључивање </w:t>
      </w:r>
      <w:r>
        <w:rPr>
          <w:color w:val="231F20"/>
          <w:spacing w:val="-3"/>
        </w:rPr>
        <w:t>Републике </w:t>
      </w:r>
      <w:r>
        <w:rPr>
          <w:color w:val="231F20"/>
        </w:rPr>
        <w:t>Србије у механизам чистог развоја</w:t>
      </w:r>
      <w:r>
        <w:rPr>
          <w:color w:val="231F20"/>
          <w:spacing w:val="-7"/>
        </w:rPr>
        <w:t> </w:t>
      </w:r>
      <w:r>
        <w:rPr>
          <w:color w:val="231F20"/>
        </w:rPr>
        <w:t>(Влада</w:t>
      </w:r>
      <w:r>
        <w:rPr>
          <w:color w:val="231F20"/>
          <w:spacing w:val="-7"/>
        </w:rPr>
        <w:t> </w:t>
      </w:r>
      <w:r>
        <w:rPr>
          <w:color w:val="231F20"/>
          <w:spacing w:val="-3"/>
        </w:rPr>
        <w:t>Републике</w:t>
      </w:r>
      <w:r>
        <w:rPr>
          <w:color w:val="231F20"/>
          <w:spacing w:val="-7"/>
        </w:rPr>
        <w:t> </w:t>
      </w:r>
      <w:r>
        <w:rPr>
          <w:color w:val="231F20"/>
        </w:rPr>
        <w:t>Србије,</w:t>
      </w:r>
      <w:r>
        <w:rPr>
          <w:color w:val="231F20"/>
          <w:spacing w:val="-7"/>
        </w:rPr>
        <w:t> </w:t>
      </w:r>
      <w:r>
        <w:rPr>
          <w:color w:val="231F20"/>
        </w:rPr>
        <w:t>фебруар</w:t>
      </w:r>
      <w:r>
        <w:rPr>
          <w:color w:val="231F20"/>
          <w:spacing w:val="-7"/>
        </w:rPr>
        <w:t> </w:t>
      </w:r>
      <w:r>
        <w:rPr>
          <w:color w:val="231F20"/>
        </w:rPr>
        <w:t>2010.</w:t>
      </w:r>
      <w:r>
        <w:rPr>
          <w:color w:val="231F20"/>
          <w:spacing w:val="-7"/>
        </w:rPr>
        <w:t> </w:t>
      </w:r>
      <w:r>
        <w:rPr>
          <w:color w:val="231F20"/>
        </w:rPr>
        <w:t>године),</w:t>
      </w:r>
      <w:r>
        <w:rPr>
          <w:color w:val="231F20"/>
          <w:spacing w:val="-7"/>
        </w:rPr>
        <w:t> </w:t>
      </w:r>
      <w:r>
        <w:rPr>
          <w:color w:val="231F20"/>
        </w:rPr>
        <w:t>подстичу се пројекти CDМ (Механизми чистог развоја) </w:t>
      </w:r>
      <w:r>
        <w:rPr>
          <w:color w:val="231F20"/>
          <w:spacing w:val="-3"/>
        </w:rPr>
        <w:t>који </w:t>
      </w:r>
      <w:r>
        <w:rPr>
          <w:color w:val="231F20"/>
        </w:rPr>
        <w:t>утичу на убла- жавање и прилагођавање климатским променама. Такви пројекти предвиђају оснивање плантажа за производњу биогорива у дегра- дираним регионима, односно на напуштеним пољопривредним земљиштима, на равним теренима погодним за садњу и </w:t>
      </w:r>
      <w:r>
        <w:rPr>
          <w:color w:val="231F20"/>
          <w:spacing w:val="-5"/>
        </w:rPr>
        <w:t>сечу, </w:t>
      </w:r>
      <w:r>
        <w:rPr>
          <w:color w:val="231F20"/>
        </w:rPr>
        <w:t>уз употребу механизације, брзорастућих шумских врста (топола, ба- грем, липа, врба и слично), </w:t>
      </w:r>
      <w:r>
        <w:rPr>
          <w:color w:val="231F20"/>
          <w:spacing w:val="-3"/>
        </w:rPr>
        <w:t>које </w:t>
      </w:r>
      <w:r>
        <w:rPr>
          <w:color w:val="231F20"/>
        </w:rPr>
        <w:t>обезбеђују оптималну секвестра- цију угљеника и високу стопу повраћаја </w:t>
      </w:r>
      <w:r>
        <w:rPr>
          <w:color w:val="231F20"/>
          <w:spacing w:val="-3"/>
        </w:rPr>
        <w:t>уложених </w:t>
      </w:r>
      <w:r>
        <w:rPr>
          <w:color w:val="231F20"/>
        </w:rPr>
        <w:t>средстава у релативно </w:t>
      </w:r>
      <w:r>
        <w:rPr>
          <w:color w:val="231F20"/>
          <w:spacing w:val="-3"/>
        </w:rPr>
        <w:t>кратком </w:t>
      </w:r>
      <w:r>
        <w:rPr>
          <w:color w:val="231F20"/>
          <w:spacing w:val="-5"/>
        </w:rPr>
        <w:t>року. </w:t>
      </w:r>
      <w:r>
        <w:rPr>
          <w:color w:val="231F20"/>
        </w:rPr>
        <w:t>Сагоревање биомасе и отпадака треба да </w:t>
      </w:r>
      <w:r>
        <w:rPr>
          <w:color w:val="231F20"/>
          <w:spacing w:val="-5"/>
        </w:rPr>
        <w:t>буде </w:t>
      </w:r>
      <w:r>
        <w:rPr>
          <w:color w:val="231F20"/>
        </w:rPr>
        <w:t>у складу са еколошким стандардима за производњу топлотне и електричне</w:t>
      </w:r>
      <w:r>
        <w:rPr>
          <w:color w:val="231F20"/>
          <w:spacing w:val="-3"/>
        </w:rPr>
        <w:t> </w:t>
      </w:r>
      <w:r>
        <w:rPr>
          <w:color w:val="231F20"/>
        </w:rPr>
        <w:t>енергије.</w:t>
      </w:r>
    </w:p>
    <w:p>
      <w:pPr>
        <w:pStyle w:val="BodyText"/>
        <w:spacing w:line="230" w:lineRule="auto"/>
        <w:ind w:left="169" w:right="413" w:firstLine="396"/>
      </w:pPr>
      <w:r>
        <w:rPr>
          <w:color w:val="231F20"/>
        </w:rPr>
        <w:t>За производњу енергије из биомасе најбоље је садити посеб- не плантаже брзорастућег дрвећа (врба, топола и друго).</w:t>
      </w:r>
    </w:p>
    <w:p>
      <w:pPr>
        <w:pStyle w:val="BodyText"/>
        <w:spacing w:line="230" w:lineRule="auto"/>
        <w:ind w:left="169" w:right="412" w:firstLine="396"/>
      </w:pPr>
      <w:r>
        <w:rPr>
          <w:color w:val="231F20"/>
        </w:rPr>
        <w:t>Производња биомасе предвиђа се у приобаљу Дунава и Ве- лике Мораве (посебно у алувионима) и у оквиру просторне цели- не „Долина реке Млаве”, која се налази између леве обале реке Млаве и завршних контура копова „Кленовник” и „Ћириковац”, као и у санитарним зонама око изворишта.</w:t>
      </w:r>
    </w:p>
    <w:p>
      <w:pPr>
        <w:pStyle w:val="BodyText"/>
        <w:spacing w:line="230" w:lineRule="auto"/>
        <w:ind w:left="169" w:right="412" w:firstLine="397"/>
      </w:pPr>
      <w:r>
        <w:rPr>
          <w:color w:val="231F20"/>
        </w:rPr>
        <w:t>Да</w:t>
      </w:r>
      <w:r>
        <w:rPr>
          <w:color w:val="231F20"/>
          <w:spacing w:val="-10"/>
        </w:rPr>
        <w:t> </w:t>
      </w:r>
      <w:r>
        <w:rPr>
          <w:color w:val="231F20"/>
        </w:rPr>
        <w:t>би</w:t>
      </w:r>
      <w:r>
        <w:rPr>
          <w:color w:val="231F20"/>
          <w:spacing w:val="-10"/>
        </w:rPr>
        <w:t> </w:t>
      </w:r>
      <w:r>
        <w:rPr>
          <w:color w:val="231F20"/>
        </w:rPr>
        <w:t>производња</w:t>
      </w:r>
      <w:r>
        <w:rPr>
          <w:color w:val="231F20"/>
          <w:spacing w:val="-10"/>
        </w:rPr>
        <w:t> </w:t>
      </w:r>
      <w:r>
        <w:rPr>
          <w:color w:val="231F20"/>
        </w:rPr>
        <w:t>биогаса</w:t>
      </w:r>
      <w:r>
        <w:rPr>
          <w:color w:val="231F20"/>
          <w:spacing w:val="-10"/>
        </w:rPr>
        <w:t> </w:t>
      </w:r>
      <w:r>
        <w:rPr>
          <w:color w:val="231F20"/>
        </w:rPr>
        <w:t>из</w:t>
      </w:r>
      <w:r>
        <w:rPr>
          <w:color w:val="231F20"/>
          <w:spacing w:val="-10"/>
        </w:rPr>
        <w:t> </w:t>
      </w:r>
      <w:r>
        <w:rPr>
          <w:color w:val="231F20"/>
        </w:rPr>
        <w:t>животињског</w:t>
      </w:r>
      <w:r>
        <w:rPr>
          <w:color w:val="231F20"/>
          <w:spacing w:val="-10"/>
        </w:rPr>
        <w:t> </w:t>
      </w:r>
      <w:r>
        <w:rPr>
          <w:color w:val="231F20"/>
        </w:rPr>
        <w:t>отпада</w:t>
      </w:r>
      <w:r>
        <w:rPr>
          <w:color w:val="231F20"/>
          <w:spacing w:val="-10"/>
        </w:rPr>
        <w:t> </w:t>
      </w:r>
      <w:r>
        <w:rPr>
          <w:color w:val="231F20"/>
        </w:rPr>
        <w:t>била</w:t>
      </w:r>
      <w:r>
        <w:rPr>
          <w:color w:val="231F20"/>
          <w:spacing w:val="-10"/>
        </w:rPr>
        <w:t> </w:t>
      </w:r>
      <w:r>
        <w:rPr>
          <w:color w:val="231F20"/>
        </w:rPr>
        <w:t>раци- онална, потребне су веће фарме. На </w:t>
      </w:r>
      <w:r>
        <w:rPr>
          <w:color w:val="231F20"/>
          <w:spacing w:val="-3"/>
        </w:rPr>
        <w:t>Планском </w:t>
      </w:r>
      <w:r>
        <w:rPr>
          <w:color w:val="231F20"/>
        </w:rPr>
        <w:t>подручју предвиђа се развој сточарства, посебно млечног говедарства, што омогућа- ва коришћење животињског отпада за производњу биогаса. Жи- вотињски отпад, као велики извор емисија метана, пружа широк спектар коришћења. Овај отпад третира се анаеробно, у системи- ма</w:t>
      </w:r>
      <w:r>
        <w:rPr>
          <w:color w:val="231F20"/>
          <w:spacing w:val="-8"/>
        </w:rPr>
        <w:t> </w:t>
      </w:r>
      <w:r>
        <w:rPr>
          <w:color w:val="231F20"/>
        </w:rPr>
        <w:t>као</w:t>
      </w:r>
      <w:r>
        <w:rPr>
          <w:color w:val="231F20"/>
          <w:spacing w:val="-8"/>
        </w:rPr>
        <w:t> </w:t>
      </w:r>
      <w:r>
        <w:rPr>
          <w:color w:val="231F20"/>
        </w:rPr>
        <w:t>што</w:t>
      </w:r>
      <w:r>
        <w:rPr>
          <w:color w:val="231F20"/>
          <w:spacing w:val="-8"/>
        </w:rPr>
        <w:t> </w:t>
      </w:r>
      <w:r>
        <w:rPr>
          <w:color w:val="231F20"/>
        </w:rPr>
        <w:t>су</w:t>
      </w:r>
      <w:r>
        <w:rPr>
          <w:color w:val="231F20"/>
          <w:spacing w:val="-8"/>
        </w:rPr>
        <w:t> </w:t>
      </w:r>
      <w:r>
        <w:rPr>
          <w:color w:val="231F20"/>
        </w:rPr>
        <w:t>лагуне</w:t>
      </w:r>
      <w:r>
        <w:rPr>
          <w:color w:val="231F20"/>
          <w:spacing w:val="-8"/>
        </w:rPr>
        <w:t> </w:t>
      </w:r>
      <w:r>
        <w:rPr>
          <w:color w:val="231F20"/>
        </w:rPr>
        <w:t>или</w:t>
      </w:r>
      <w:r>
        <w:rPr>
          <w:color w:val="231F20"/>
          <w:spacing w:val="-8"/>
        </w:rPr>
        <w:t> </w:t>
      </w:r>
      <w:r>
        <w:rPr>
          <w:color w:val="231F20"/>
        </w:rPr>
        <w:t>отворене</w:t>
      </w:r>
      <w:r>
        <w:rPr>
          <w:color w:val="231F20"/>
          <w:spacing w:val="-8"/>
        </w:rPr>
        <w:t> </w:t>
      </w:r>
      <w:r>
        <w:rPr>
          <w:color w:val="231F20"/>
        </w:rPr>
        <w:t>јаме.</w:t>
      </w:r>
      <w:r>
        <w:rPr>
          <w:color w:val="231F20"/>
          <w:spacing w:val="-8"/>
        </w:rPr>
        <w:t> </w:t>
      </w:r>
      <w:r>
        <w:rPr>
          <w:color w:val="231F20"/>
        </w:rPr>
        <w:t>Произведени</w:t>
      </w:r>
      <w:r>
        <w:rPr>
          <w:color w:val="231F20"/>
          <w:spacing w:val="-8"/>
        </w:rPr>
        <w:t> </w:t>
      </w:r>
      <w:r>
        <w:rPr>
          <w:color w:val="231F20"/>
        </w:rPr>
        <w:t>биогас</w:t>
      </w:r>
      <w:r>
        <w:rPr>
          <w:color w:val="231F20"/>
          <w:spacing w:val="-8"/>
        </w:rPr>
        <w:t> </w:t>
      </w:r>
      <w:r>
        <w:rPr>
          <w:color w:val="231F20"/>
        </w:rPr>
        <w:t>садр- жи велики </w:t>
      </w:r>
      <w:r>
        <w:rPr>
          <w:color w:val="231F20"/>
          <w:spacing w:val="-3"/>
        </w:rPr>
        <w:t>удео </w:t>
      </w:r>
      <w:r>
        <w:rPr>
          <w:color w:val="231F20"/>
        </w:rPr>
        <w:t>метана, </w:t>
      </w:r>
      <w:r>
        <w:rPr>
          <w:color w:val="231F20"/>
          <w:spacing w:val="-3"/>
        </w:rPr>
        <w:t>који </w:t>
      </w:r>
      <w:r>
        <w:rPr>
          <w:color w:val="231F20"/>
        </w:rPr>
        <w:t>се може искористити за производњу топлотне или електричне</w:t>
      </w:r>
      <w:r>
        <w:rPr>
          <w:color w:val="231F20"/>
          <w:spacing w:val="-4"/>
        </w:rPr>
        <w:t> </w:t>
      </w:r>
      <w:r>
        <w:rPr>
          <w:color w:val="231F20"/>
        </w:rPr>
        <w:t>енергије.</w:t>
      </w:r>
    </w:p>
    <w:p>
      <w:pPr>
        <w:pStyle w:val="BodyText"/>
        <w:spacing w:line="230" w:lineRule="auto"/>
        <w:ind w:left="169" w:right="412" w:firstLine="397"/>
      </w:pPr>
      <w:r>
        <w:rPr>
          <w:color w:val="231F20"/>
        </w:rPr>
        <w:t>Најзначајније ограничење за веће коришћење биомасе пред- ставља недовољна расположивост и искуство у коришћењу опре- ме, као и непостојање развијеног тржишта биомасе. Што се тиче коришћења биомасе за производњу топлотне енергије, имајући у виду</w:t>
      </w:r>
      <w:r>
        <w:rPr>
          <w:color w:val="231F20"/>
          <w:spacing w:val="-8"/>
        </w:rPr>
        <w:t> </w:t>
      </w:r>
      <w:r>
        <w:rPr>
          <w:color w:val="231F20"/>
        </w:rPr>
        <w:t>актуелне</w:t>
      </w:r>
      <w:r>
        <w:rPr>
          <w:color w:val="231F20"/>
          <w:spacing w:val="-8"/>
        </w:rPr>
        <w:t> </w:t>
      </w:r>
      <w:r>
        <w:rPr>
          <w:color w:val="231F20"/>
        </w:rPr>
        <w:t>цене</w:t>
      </w:r>
      <w:r>
        <w:rPr>
          <w:color w:val="231F20"/>
          <w:spacing w:val="-8"/>
        </w:rPr>
        <w:t> </w:t>
      </w:r>
      <w:r>
        <w:rPr>
          <w:color w:val="231F20"/>
        </w:rPr>
        <w:t>енергената,</w:t>
      </w:r>
      <w:r>
        <w:rPr>
          <w:color w:val="231F20"/>
          <w:spacing w:val="-8"/>
        </w:rPr>
        <w:t> </w:t>
      </w:r>
      <w:r>
        <w:rPr>
          <w:color w:val="231F20"/>
        </w:rPr>
        <w:t>економски</w:t>
      </w:r>
      <w:r>
        <w:rPr>
          <w:color w:val="231F20"/>
          <w:spacing w:val="-8"/>
        </w:rPr>
        <w:t> </w:t>
      </w:r>
      <w:r>
        <w:rPr>
          <w:color w:val="231F20"/>
        </w:rPr>
        <w:t>је</w:t>
      </w:r>
      <w:r>
        <w:rPr>
          <w:color w:val="231F20"/>
          <w:spacing w:val="-8"/>
        </w:rPr>
        <w:t> </w:t>
      </w:r>
      <w:r>
        <w:rPr>
          <w:color w:val="231F20"/>
        </w:rPr>
        <w:t>оправдано</w:t>
      </w:r>
      <w:r>
        <w:rPr>
          <w:color w:val="231F20"/>
          <w:spacing w:val="-8"/>
        </w:rPr>
        <w:t> </w:t>
      </w:r>
      <w:r>
        <w:rPr>
          <w:color w:val="231F20"/>
        </w:rPr>
        <w:t>користити биомасу као замену за природни гас или течна горива, нарочито лож уља, док ниске цене угља још увек не мотивишу инвеститоре да прелазе са угља на</w:t>
      </w:r>
      <w:r>
        <w:rPr>
          <w:color w:val="231F20"/>
          <w:spacing w:val="-2"/>
        </w:rPr>
        <w:t> </w:t>
      </w:r>
      <w:r>
        <w:rPr>
          <w:color w:val="231F20"/>
          <w:spacing w:val="-4"/>
        </w:rPr>
        <w:t>биомасу.</w:t>
      </w:r>
    </w:p>
    <w:p>
      <w:pPr>
        <w:pStyle w:val="BodyText"/>
        <w:spacing w:line="230" w:lineRule="auto"/>
        <w:ind w:left="169" w:right="413" w:firstLine="397"/>
      </w:pPr>
      <w:r>
        <w:rPr>
          <w:color w:val="231F20"/>
        </w:rPr>
        <w:t>Правилно коришћење биомасе нема негативних утицаја на животну </w:t>
      </w:r>
      <w:r>
        <w:rPr>
          <w:color w:val="231F20"/>
          <w:spacing w:val="-3"/>
        </w:rPr>
        <w:t>средину. </w:t>
      </w:r>
      <w:r>
        <w:rPr>
          <w:color w:val="231F20"/>
        </w:rPr>
        <w:t>У наредном периоду постоје потенцијали и про- сторне</w:t>
      </w:r>
      <w:r>
        <w:rPr>
          <w:color w:val="231F20"/>
          <w:spacing w:val="-8"/>
        </w:rPr>
        <w:t> </w:t>
      </w:r>
      <w:r>
        <w:rPr>
          <w:color w:val="231F20"/>
        </w:rPr>
        <w:t>могућности</w:t>
      </w:r>
      <w:r>
        <w:rPr>
          <w:color w:val="231F20"/>
          <w:spacing w:val="-9"/>
        </w:rPr>
        <w:t> </w:t>
      </w:r>
      <w:r>
        <w:rPr>
          <w:color w:val="231F20"/>
        </w:rPr>
        <w:t>за</w:t>
      </w:r>
      <w:r>
        <w:rPr>
          <w:color w:val="231F20"/>
          <w:spacing w:val="-8"/>
        </w:rPr>
        <w:t> </w:t>
      </w:r>
      <w:r>
        <w:rPr>
          <w:color w:val="231F20"/>
        </w:rPr>
        <w:t>коришћење</w:t>
      </w:r>
      <w:r>
        <w:rPr>
          <w:color w:val="231F20"/>
          <w:spacing w:val="-8"/>
        </w:rPr>
        <w:t> </w:t>
      </w:r>
      <w:r>
        <w:rPr>
          <w:color w:val="231F20"/>
        </w:rPr>
        <w:t>биомасе</w:t>
      </w:r>
      <w:r>
        <w:rPr>
          <w:color w:val="231F20"/>
          <w:spacing w:val="-8"/>
        </w:rPr>
        <w:t> </w:t>
      </w:r>
      <w:r>
        <w:rPr>
          <w:color w:val="231F20"/>
        </w:rPr>
        <w:t>за</w:t>
      </w:r>
      <w:r>
        <w:rPr>
          <w:color w:val="231F20"/>
          <w:spacing w:val="-8"/>
        </w:rPr>
        <w:t> </w:t>
      </w:r>
      <w:r>
        <w:rPr>
          <w:color w:val="231F20"/>
        </w:rPr>
        <w:t>загревање</w:t>
      </w:r>
      <w:r>
        <w:rPr>
          <w:color w:val="231F20"/>
          <w:spacing w:val="-8"/>
        </w:rPr>
        <w:t> </w:t>
      </w:r>
      <w:r>
        <w:rPr>
          <w:color w:val="231F20"/>
        </w:rPr>
        <w:t>простора</w:t>
      </w:r>
      <w:r>
        <w:rPr>
          <w:color w:val="231F20"/>
          <w:spacing w:val="-8"/>
        </w:rPr>
        <w:t> </w:t>
      </w:r>
      <w:r>
        <w:rPr>
          <w:color w:val="231F20"/>
        </w:rPr>
        <w:t>у домаћинствима и зградама коришћењем брикета и пелета </w:t>
      </w:r>
      <w:r>
        <w:rPr>
          <w:color w:val="231F20"/>
          <w:spacing w:val="-3"/>
        </w:rPr>
        <w:t>од </w:t>
      </w:r>
      <w:r>
        <w:rPr>
          <w:color w:val="231F20"/>
        </w:rPr>
        <w:t>био- масе, као и коришћење биомасе у систему даљинског</w:t>
      </w:r>
      <w:r>
        <w:rPr>
          <w:color w:val="231F20"/>
          <w:spacing w:val="-23"/>
        </w:rPr>
        <w:t> </w:t>
      </w:r>
      <w:r>
        <w:rPr>
          <w:color w:val="231F20"/>
        </w:rPr>
        <w:t>грејања.</w:t>
      </w:r>
    </w:p>
    <w:p>
      <w:pPr>
        <w:pStyle w:val="BodyText"/>
        <w:spacing w:before="141"/>
        <w:ind w:left="2038" w:right="2280"/>
        <w:jc w:val="center"/>
      </w:pPr>
      <w:r>
        <w:rPr>
          <w:color w:val="231F20"/>
        </w:rPr>
        <w:t>Соларна енергија</w:t>
      </w:r>
    </w:p>
    <w:p>
      <w:pPr>
        <w:pStyle w:val="BodyText"/>
        <w:ind w:left="0"/>
        <w:jc w:val="left"/>
        <w:rPr>
          <w:sz w:val="17"/>
        </w:rPr>
      </w:pPr>
    </w:p>
    <w:p>
      <w:pPr>
        <w:pStyle w:val="BodyText"/>
        <w:spacing w:line="230" w:lineRule="auto" w:before="1"/>
        <w:ind w:left="169" w:right="413" w:firstLine="397"/>
      </w:pPr>
      <w:r>
        <w:rPr>
          <w:color w:val="231F20"/>
        </w:rPr>
        <w:t>Соларну енергију треба користити за развој активног и па- сивног соларног грејања и хлађења, за складиштење топлотне енергије, као и за развој интегрисаних система коришћења сун- чеве енергије. У наредном периоду је потребно спровести актив- ности усмерене на промоцију коришћења соларне енергије за загревање санитарне воде и просторија, како у јавним, тако и у стамбеним објектима (новим и реконструисаним).</w:t>
      </w:r>
    </w:p>
    <w:p>
      <w:pPr>
        <w:pStyle w:val="BodyText"/>
        <w:spacing w:line="230" w:lineRule="auto"/>
        <w:ind w:left="168" w:right="414" w:firstLine="397"/>
      </w:pPr>
      <w:r>
        <w:rPr>
          <w:color w:val="231F20"/>
        </w:rPr>
        <w:t>Приоритет има конверзија соларне у топлотну </w:t>
      </w:r>
      <w:r>
        <w:rPr>
          <w:color w:val="231F20"/>
          <w:spacing w:val="-3"/>
        </w:rPr>
        <w:t>енергију, </w:t>
      </w:r>
      <w:r>
        <w:rPr>
          <w:color w:val="231F20"/>
        </w:rPr>
        <w:t>пре свега врло економичним уређајима на крововима за загревање во- де</w:t>
      </w:r>
      <w:r>
        <w:rPr>
          <w:color w:val="231F20"/>
          <w:spacing w:val="-6"/>
        </w:rPr>
        <w:t> </w:t>
      </w:r>
      <w:r>
        <w:rPr>
          <w:color w:val="231F20"/>
        </w:rPr>
        <w:t>за</w:t>
      </w:r>
      <w:r>
        <w:rPr>
          <w:color w:val="231F20"/>
          <w:spacing w:val="-6"/>
        </w:rPr>
        <w:t> </w:t>
      </w:r>
      <w:r>
        <w:rPr>
          <w:color w:val="231F20"/>
        </w:rPr>
        <w:t>санитарне</w:t>
      </w:r>
      <w:r>
        <w:rPr>
          <w:color w:val="231F20"/>
          <w:spacing w:val="-6"/>
        </w:rPr>
        <w:t> </w:t>
      </w:r>
      <w:r>
        <w:rPr>
          <w:color w:val="231F20"/>
        </w:rPr>
        <w:t>потребе,</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за</w:t>
      </w:r>
      <w:r>
        <w:rPr>
          <w:color w:val="231F20"/>
          <w:spacing w:val="-6"/>
        </w:rPr>
        <w:t> </w:t>
      </w:r>
      <w:r>
        <w:rPr>
          <w:color w:val="231F20"/>
        </w:rPr>
        <w:t>евентуално</w:t>
      </w:r>
      <w:r>
        <w:rPr>
          <w:color w:val="231F20"/>
          <w:spacing w:val="-6"/>
        </w:rPr>
        <w:t> </w:t>
      </w:r>
      <w:r>
        <w:rPr>
          <w:color w:val="231F20"/>
        </w:rPr>
        <w:t>догревање</w:t>
      </w:r>
      <w:r>
        <w:rPr>
          <w:color w:val="231F20"/>
          <w:spacing w:val="-6"/>
        </w:rPr>
        <w:t> </w:t>
      </w:r>
      <w:r>
        <w:rPr>
          <w:color w:val="231F20"/>
        </w:rPr>
        <w:t>индивиду- алних стамбених</w:t>
      </w:r>
      <w:r>
        <w:rPr>
          <w:color w:val="231F20"/>
          <w:spacing w:val="-3"/>
        </w:rPr>
        <w:t> </w:t>
      </w:r>
      <w:r>
        <w:rPr>
          <w:color w:val="231F20"/>
        </w:rPr>
        <w:t>јединица.</w:t>
      </w:r>
    </w:p>
    <w:p>
      <w:pPr>
        <w:spacing w:after="0" w:line="230" w:lineRule="auto"/>
        <w:sectPr>
          <w:pgSz w:w="12480" w:h="15690"/>
          <w:pgMar w:top="120" w:bottom="280" w:left="680" w:right="720"/>
          <w:cols w:num="2" w:equalWidth="0">
            <w:col w:w="5313" w:space="71"/>
            <w:col w:w="5696"/>
          </w:cols>
        </w:sectPr>
      </w:pPr>
    </w:p>
    <w:p>
      <w:pPr>
        <w:pStyle w:val="BodyText"/>
        <w:spacing w:line="232" w:lineRule="auto" w:before="73"/>
        <w:ind w:left="453" w:firstLine="396"/>
      </w:pPr>
      <w:r>
        <w:rPr/>
        <w:pict>
          <v:line style="position:absolute;mso-position-horizontal-relative:page;mso-position-vertical-relative:page;z-index:2488" from="318.897614pt,11.942451pt" to="318.897614pt,748.950451pt" stroked="true" strokeweight=".6pt" strokecolor="#231f20">
            <v:stroke dashstyle="solid"/>
            <w10:wrap type="none"/>
          </v:line>
        </w:pict>
      </w:r>
      <w:r>
        <w:rPr>
          <w:color w:val="231F20"/>
        </w:rPr>
        <w:t>У оквиру грађевинских подручја насеља могу се користити разне врсте пасивних соларних система (у </w:t>
      </w:r>
      <w:r>
        <w:rPr>
          <w:color w:val="231F20"/>
          <w:spacing w:val="-3"/>
        </w:rPr>
        <w:t>којима </w:t>
      </w:r>
      <w:r>
        <w:rPr>
          <w:color w:val="231F20"/>
        </w:rPr>
        <w:t>објекат пред- ставља пријемник </w:t>
      </w:r>
      <w:r>
        <w:rPr>
          <w:color w:val="231F20"/>
          <w:spacing w:val="-3"/>
        </w:rPr>
        <w:t>који </w:t>
      </w:r>
      <w:r>
        <w:rPr>
          <w:color w:val="231F20"/>
        </w:rPr>
        <w:t>захвата и чува највећи део енергије) као и активни соларни системи </w:t>
      </w:r>
      <w:r>
        <w:rPr>
          <w:color w:val="231F20"/>
          <w:spacing w:val="-3"/>
        </w:rPr>
        <w:t>(који </w:t>
      </w:r>
      <w:r>
        <w:rPr>
          <w:color w:val="231F20"/>
        </w:rPr>
        <w:t>захватају енергију инсталисањем посебне опреме). Ово је посебно важно спровести у оквиру већих насеља и на објектима </w:t>
      </w:r>
      <w:r>
        <w:rPr>
          <w:color w:val="231F20"/>
          <w:spacing w:val="-3"/>
        </w:rPr>
        <w:t>који </w:t>
      </w:r>
      <w:r>
        <w:rPr>
          <w:color w:val="231F20"/>
        </w:rPr>
        <w:t>су велики потрошачи топлотне и елек- тричне енергије.</w:t>
      </w:r>
    </w:p>
    <w:p>
      <w:pPr>
        <w:pStyle w:val="BodyText"/>
        <w:spacing w:line="232" w:lineRule="auto" w:before="4"/>
        <w:ind w:left="454" w:firstLine="396"/>
      </w:pPr>
      <w:r>
        <w:rPr>
          <w:color w:val="231F20"/>
        </w:rPr>
        <w:t>Насеља су </w:t>
      </w:r>
      <w:r>
        <w:rPr>
          <w:color w:val="231F20"/>
          <w:spacing w:val="-3"/>
        </w:rPr>
        <w:t>углавном </w:t>
      </w:r>
      <w:r>
        <w:rPr>
          <w:color w:val="231F20"/>
        </w:rPr>
        <w:t>мале густине, објекти су у већини слу- чајева слободностојећи, без већих препрека приступу сунчевим зрацима, што омогућава коришћење соларне енергије за грејање и производњу</w:t>
      </w:r>
      <w:r>
        <w:rPr>
          <w:color w:val="231F20"/>
          <w:spacing w:val="-5"/>
        </w:rPr>
        <w:t> </w:t>
      </w:r>
      <w:r>
        <w:rPr>
          <w:color w:val="231F20"/>
        </w:rPr>
        <w:t>топле</w:t>
      </w:r>
      <w:r>
        <w:rPr>
          <w:color w:val="231F20"/>
          <w:spacing w:val="-5"/>
        </w:rPr>
        <w:t> </w:t>
      </w:r>
      <w:r>
        <w:rPr>
          <w:color w:val="231F20"/>
        </w:rPr>
        <w:t>воде,</w:t>
      </w:r>
      <w:r>
        <w:rPr>
          <w:color w:val="231F20"/>
          <w:spacing w:val="-5"/>
        </w:rPr>
        <w:t> </w:t>
      </w:r>
      <w:r>
        <w:rPr>
          <w:color w:val="231F20"/>
        </w:rPr>
        <w:t>чиме</w:t>
      </w:r>
      <w:r>
        <w:rPr>
          <w:color w:val="231F20"/>
          <w:spacing w:val="-5"/>
        </w:rPr>
        <w:t> </w:t>
      </w:r>
      <w:r>
        <w:rPr>
          <w:color w:val="231F20"/>
        </w:rPr>
        <w:t>се</w:t>
      </w:r>
      <w:r>
        <w:rPr>
          <w:color w:val="231F20"/>
          <w:spacing w:val="-5"/>
        </w:rPr>
        <w:t> </w:t>
      </w:r>
      <w:r>
        <w:rPr>
          <w:color w:val="231F20"/>
        </w:rPr>
        <w:t>може</w:t>
      </w:r>
      <w:r>
        <w:rPr>
          <w:color w:val="231F20"/>
          <w:spacing w:val="-5"/>
        </w:rPr>
        <w:t> </w:t>
      </w:r>
      <w:r>
        <w:rPr>
          <w:color w:val="231F20"/>
        </w:rPr>
        <w:t>смањити</w:t>
      </w:r>
      <w:r>
        <w:rPr>
          <w:color w:val="231F20"/>
          <w:spacing w:val="-5"/>
        </w:rPr>
        <w:t> </w:t>
      </w:r>
      <w:r>
        <w:rPr>
          <w:color w:val="231F20"/>
        </w:rPr>
        <w:t>потрошња</w:t>
      </w:r>
      <w:r>
        <w:rPr>
          <w:color w:val="231F20"/>
          <w:spacing w:val="-5"/>
        </w:rPr>
        <w:t> </w:t>
      </w:r>
      <w:r>
        <w:rPr>
          <w:color w:val="231F20"/>
        </w:rPr>
        <w:t>класич- них извора енергије. Грејање на бази соларне енергије мора бити повезано</w:t>
      </w:r>
      <w:r>
        <w:rPr>
          <w:color w:val="231F20"/>
          <w:spacing w:val="-10"/>
        </w:rPr>
        <w:t> </w:t>
      </w:r>
      <w:r>
        <w:rPr>
          <w:color w:val="231F20"/>
        </w:rPr>
        <w:t>и</w:t>
      </w:r>
      <w:r>
        <w:rPr>
          <w:color w:val="231F20"/>
          <w:spacing w:val="-10"/>
        </w:rPr>
        <w:t> </w:t>
      </w:r>
      <w:r>
        <w:rPr>
          <w:color w:val="231F20"/>
        </w:rPr>
        <w:t>са</w:t>
      </w:r>
      <w:r>
        <w:rPr>
          <w:color w:val="231F20"/>
          <w:spacing w:val="-10"/>
        </w:rPr>
        <w:t> </w:t>
      </w:r>
      <w:r>
        <w:rPr>
          <w:color w:val="231F20"/>
        </w:rPr>
        <w:t>регулативним</w:t>
      </w:r>
      <w:r>
        <w:rPr>
          <w:color w:val="231F20"/>
          <w:spacing w:val="-10"/>
        </w:rPr>
        <w:t> </w:t>
      </w:r>
      <w:r>
        <w:rPr>
          <w:color w:val="231F20"/>
        </w:rPr>
        <w:t>и</w:t>
      </w:r>
      <w:r>
        <w:rPr>
          <w:color w:val="231F20"/>
          <w:spacing w:val="-10"/>
        </w:rPr>
        <w:t> </w:t>
      </w:r>
      <w:r>
        <w:rPr>
          <w:color w:val="231F20"/>
        </w:rPr>
        <w:t>подстицајним</w:t>
      </w:r>
      <w:r>
        <w:rPr>
          <w:color w:val="231F20"/>
          <w:spacing w:val="-10"/>
        </w:rPr>
        <w:t> </w:t>
      </w:r>
      <w:r>
        <w:rPr>
          <w:color w:val="231F20"/>
        </w:rPr>
        <w:t>мерама</w:t>
      </w:r>
      <w:r>
        <w:rPr>
          <w:color w:val="231F20"/>
          <w:spacing w:val="-10"/>
        </w:rPr>
        <w:t> </w:t>
      </w:r>
      <w:r>
        <w:rPr>
          <w:color w:val="231F20"/>
        </w:rPr>
        <w:t>за</w:t>
      </w:r>
      <w:r>
        <w:rPr>
          <w:color w:val="231F20"/>
          <w:spacing w:val="-10"/>
        </w:rPr>
        <w:t> </w:t>
      </w:r>
      <w:r>
        <w:rPr>
          <w:color w:val="231F20"/>
        </w:rPr>
        <w:t>спровођење програма побољшане топлотне изолације</w:t>
      </w:r>
      <w:r>
        <w:rPr>
          <w:color w:val="231F20"/>
          <w:spacing w:val="-6"/>
        </w:rPr>
        <w:t> </w:t>
      </w:r>
      <w:r>
        <w:rPr>
          <w:color w:val="231F20"/>
        </w:rPr>
        <w:t>зграда.</w:t>
      </w:r>
    </w:p>
    <w:p>
      <w:pPr>
        <w:pStyle w:val="BodyText"/>
        <w:spacing w:before="170"/>
        <w:ind w:left="2309" w:right="1856"/>
        <w:jc w:val="center"/>
      </w:pPr>
      <w:r>
        <w:rPr>
          <w:color w:val="231F20"/>
        </w:rPr>
        <w:t>Енергија ветра</w:t>
      </w:r>
    </w:p>
    <w:p>
      <w:pPr>
        <w:pStyle w:val="BodyText"/>
        <w:spacing w:before="5"/>
        <w:ind w:left="0"/>
        <w:jc w:val="left"/>
        <w:rPr>
          <w:sz w:val="17"/>
        </w:rPr>
      </w:pPr>
    </w:p>
    <w:p>
      <w:pPr>
        <w:pStyle w:val="BodyText"/>
        <w:spacing w:line="232" w:lineRule="auto"/>
        <w:ind w:left="453" w:firstLine="397"/>
      </w:pPr>
      <w:r>
        <w:rPr>
          <w:color w:val="231F20"/>
        </w:rPr>
        <w:t>На </w:t>
      </w:r>
      <w:r>
        <w:rPr>
          <w:color w:val="231F20"/>
          <w:spacing w:val="-3"/>
        </w:rPr>
        <w:t>Планском </w:t>
      </w:r>
      <w:r>
        <w:rPr>
          <w:color w:val="231F20"/>
        </w:rPr>
        <w:t>подручју за производњу електричне енергије предвиђа се коришћење енергије ветра, као еколошки прихватљи- вог облика енергије. Изградња ветроелектрана одговарајуће снаге у потенцијалним зонама биће заснована на одговарајућим истра- живањима и избору микролокација према условима Завода за за- штиту природе (чија се сагласност мора добити за истраживање и грађење ветрогенератора). При свим активностима на плану</w:t>
      </w:r>
      <w:r>
        <w:rPr>
          <w:color w:val="231F20"/>
          <w:spacing w:val="-28"/>
        </w:rPr>
        <w:t> </w:t>
      </w:r>
      <w:r>
        <w:rPr>
          <w:color w:val="231F20"/>
        </w:rPr>
        <w:t>кори- шћења енергије ветра морају се поштовати услови да се за ветро- електране не могу бирати локације </w:t>
      </w:r>
      <w:r>
        <w:rPr>
          <w:color w:val="231F20"/>
          <w:spacing w:val="-3"/>
        </w:rPr>
        <w:t>које </w:t>
      </w:r>
      <w:r>
        <w:rPr>
          <w:color w:val="231F20"/>
        </w:rPr>
        <w:t>имају посебне </w:t>
      </w:r>
      <w:r>
        <w:rPr>
          <w:color w:val="231F20"/>
          <w:spacing w:val="-3"/>
        </w:rPr>
        <w:t>еколошке </w:t>
      </w:r>
      <w:r>
        <w:rPr>
          <w:color w:val="231F20"/>
        </w:rPr>
        <w:t>и амбијенталне</w:t>
      </w:r>
      <w:r>
        <w:rPr>
          <w:color w:val="231F20"/>
          <w:spacing w:val="-2"/>
        </w:rPr>
        <w:t> </w:t>
      </w:r>
      <w:r>
        <w:rPr>
          <w:color w:val="231F20"/>
        </w:rPr>
        <w:t>вредности.</w:t>
      </w:r>
    </w:p>
    <w:p>
      <w:pPr>
        <w:pStyle w:val="BodyText"/>
        <w:spacing w:line="232" w:lineRule="auto" w:before="7"/>
        <w:ind w:left="453" w:right="1" w:firstLine="396"/>
      </w:pPr>
      <w:r>
        <w:rPr>
          <w:color w:val="231F20"/>
        </w:rPr>
        <w:t>Према Закону о планирању и изградњи, ветроелектрани се могу градити и на пољопривредном земљишту, уз претходно при- бављену сагласност органа надлежног за послове пољопривреде и животне средине.</w:t>
      </w:r>
    </w:p>
    <w:p>
      <w:pPr>
        <w:pStyle w:val="BodyText"/>
        <w:spacing w:line="232" w:lineRule="auto" w:before="2"/>
        <w:ind w:left="453" w:firstLine="396"/>
      </w:pPr>
      <w:r>
        <w:rPr>
          <w:color w:val="231F20"/>
        </w:rPr>
        <w:t>Приликом одређивања локације за ветроелектране потребна пажња мора се посветити ризику по животну средину (бука, ути- цај на птице, слепе мишеве и пејсаж) и процени прихватљивости тог ризика са становишта домаћих прописа у области заштите природе и животне средине и европских стандарда и искустава у изградњи ветроелектрана (израда стратешких процена утицаја на животну средину и студија о процени утицаја на животну среди- ну). На заштићеним и еколошки значајним подручјима при реали- зацији пројеката изградње ветроелектрана примењивати одредбе Закона о заштити природе, као и пратећих прописа, докумената и директива које третирају ову област.</w:t>
      </w:r>
    </w:p>
    <w:p>
      <w:pPr>
        <w:pStyle w:val="BodyText"/>
        <w:spacing w:line="232" w:lineRule="auto" w:before="8"/>
        <w:ind w:left="453" w:right="1" w:firstLine="396"/>
      </w:pPr>
      <w:r>
        <w:rPr>
          <w:color w:val="231F20"/>
        </w:rPr>
        <w:t>На основу резултата мерења извршених у </w:t>
      </w:r>
      <w:r>
        <w:rPr>
          <w:color w:val="231F20"/>
          <w:spacing w:val="-3"/>
        </w:rPr>
        <w:t>околини </w:t>
      </w:r>
      <w:r>
        <w:rPr>
          <w:color w:val="231F20"/>
        </w:rPr>
        <w:t>Рама и Брадарца предложене су потенцијалне локације за формирање </w:t>
      </w:r>
      <w:r>
        <w:rPr>
          <w:color w:val="231F20"/>
          <w:spacing w:val="-3"/>
        </w:rPr>
        <w:t>комплекса </w:t>
      </w:r>
      <w:r>
        <w:rPr>
          <w:color w:val="231F20"/>
        </w:rPr>
        <w:t>ветроелектрана. Ближи услови изградње биће утврђени у урбанистичким плановима.</w:t>
      </w:r>
    </w:p>
    <w:p>
      <w:pPr>
        <w:pStyle w:val="BodyText"/>
        <w:spacing w:line="232" w:lineRule="auto" w:before="2"/>
        <w:ind w:left="454" w:firstLine="396"/>
      </w:pPr>
      <w:r>
        <w:rPr>
          <w:color w:val="231F20"/>
        </w:rPr>
        <w:t>На основу метеоролошких мерења и анализе ресурса ветра у ширем рејону Костолачког басена издвојено је 15 потенцијалних локација на којима постоји могућност грађења ветроелектана.</w:t>
      </w:r>
    </w:p>
    <w:p>
      <w:pPr>
        <w:pStyle w:val="BodyText"/>
        <w:spacing w:before="167"/>
        <w:ind w:left="2309" w:right="1856"/>
        <w:jc w:val="center"/>
      </w:pPr>
      <w:r>
        <w:rPr>
          <w:color w:val="231F20"/>
        </w:rPr>
        <w:t>Хидропотенцијал</w:t>
      </w:r>
    </w:p>
    <w:p>
      <w:pPr>
        <w:pStyle w:val="BodyText"/>
        <w:spacing w:before="6"/>
        <w:ind w:left="0"/>
        <w:jc w:val="left"/>
        <w:rPr>
          <w:sz w:val="17"/>
        </w:rPr>
      </w:pPr>
    </w:p>
    <w:p>
      <w:pPr>
        <w:pStyle w:val="BodyText"/>
        <w:spacing w:line="232" w:lineRule="auto"/>
        <w:ind w:left="453" w:firstLine="397"/>
      </w:pPr>
      <w:r>
        <w:rPr>
          <w:color w:val="231F20"/>
        </w:rPr>
        <w:t>Према досадашњим истраживањима на </w:t>
      </w:r>
      <w:r>
        <w:rPr>
          <w:color w:val="231F20"/>
          <w:spacing w:val="-3"/>
        </w:rPr>
        <w:t>Планском </w:t>
      </w:r>
      <w:r>
        <w:rPr>
          <w:color w:val="231F20"/>
        </w:rPr>
        <w:t>подручју не</w:t>
      </w:r>
      <w:r>
        <w:rPr>
          <w:color w:val="231F20"/>
          <w:spacing w:val="-7"/>
        </w:rPr>
        <w:t> </w:t>
      </w:r>
      <w:r>
        <w:rPr>
          <w:color w:val="231F20"/>
        </w:rPr>
        <w:t>постоје</w:t>
      </w:r>
      <w:r>
        <w:rPr>
          <w:color w:val="231F20"/>
          <w:spacing w:val="-7"/>
        </w:rPr>
        <w:t> </w:t>
      </w:r>
      <w:r>
        <w:rPr>
          <w:color w:val="231F20"/>
        </w:rPr>
        <w:t>довољни</w:t>
      </w:r>
      <w:r>
        <w:rPr>
          <w:color w:val="231F20"/>
          <w:spacing w:val="-7"/>
        </w:rPr>
        <w:t> </w:t>
      </w:r>
      <w:r>
        <w:rPr>
          <w:color w:val="231F20"/>
        </w:rPr>
        <w:t>потенцијали</w:t>
      </w:r>
      <w:r>
        <w:rPr>
          <w:color w:val="231F20"/>
          <w:spacing w:val="-7"/>
        </w:rPr>
        <w:t> </w:t>
      </w:r>
      <w:r>
        <w:rPr>
          <w:color w:val="231F20"/>
        </w:rPr>
        <w:t>за</w:t>
      </w:r>
      <w:r>
        <w:rPr>
          <w:color w:val="231F20"/>
          <w:spacing w:val="-7"/>
        </w:rPr>
        <w:t> </w:t>
      </w:r>
      <w:r>
        <w:rPr>
          <w:color w:val="231F20"/>
        </w:rPr>
        <w:t>коришћење</w:t>
      </w:r>
      <w:r>
        <w:rPr>
          <w:color w:val="231F20"/>
          <w:spacing w:val="-7"/>
        </w:rPr>
        <w:t> </w:t>
      </w:r>
      <w:r>
        <w:rPr>
          <w:color w:val="231F20"/>
        </w:rPr>
        <w:t>енергије</w:t>
      </w:r>
      <w:r>
        <w:rPr>
          <w:color w:val="231F20"/>
          <w:spacing w:val="-7"/>
        </w:rPr>
        <w:t> </w:t>
      </w:r>
      <w:r>
        <w:rPr>
          <w:color w:val="231F20"/>
        </w:rPr>
        <w:t>малих</w:t>
      </w:r>
      <w:r>
        <w:rPr>
          <w:color w:val="231F20"/>
          <w:spacing w:val="-7"/>
        </w:rPr>
        <w:t> </w:t>
      </w:r>
      <w:r>
        <w:rPr>
          <w:color w:val="231F20"/>
        </w:rPr>
        <w:t>хи- дроелектрана. Планиране електране на каскадама Велике Мораве не спадају у категорију</w:t>
      </w:r>
      <w:r>
        <w:rPr>
          <w:color w:val="231F20"/>
          <w:spacing w:val="-3"/>
        </w:rPr>
        <w:t> </w:t>
      </w:r>
      <w:r>
        <w:rPr>
          <w:color w:val="231F20"/>
        </w:rPr>
        <w:t>малих.</w:t>
      </w:r>
    </w:p>
    <w:p>
      <w:pPr>
        <w:pStyle w:val="BodyText"/>
        <w:spacing w:line="232" w:lineRule="auto" w:before="2"/>
        <w:ind w:left="454" w:firstLine="396"/>
      </w:pPr>
      <w:r>
        <w:rPr>
          <w:color w:val="231F20"/>
        </w:rPr>
        <w:t>Планом „ЕПС”-а предвиђена је изградња хидро агрегата ма- ле</w:t>
      </w:r>
      <w:r>
        <w:rPr>
          <w:color w:val="231F20"/>
          <w:spacing w:val="-5"/>
        </w:rPr>
        <w:t> </w:t>
      </w:r>
      <w:r>
        <w:rPr>
          <w:color w:val="231F20"/>
        </w:rPr>
        <w:t>снаге,</w:t>
      </w:r>
      <w:r>
        <w:rPr>
          <w:color w:val="231F20"/>
          <w:spacing w:val="-5"/>
        </w:rPr>
        <w:t> </w:t>
      </w:r>
      <w:r>
        <w:rPr>
          <w:color w:val="231F20"/>
        </w:rPr>
        <w:t>на</w:t>
      </w:r>
      <w:r>
        <w:rPr>
          <w:color w:val="231F20"/>
          <w:spacing w:val="-5"/>
        </w:rPr>
        <w:t> </w:t>
      </w:r>
      <w:r>
        <w:rPr>
          <w:color w:val="231F20"/>
        </w:rPr>
        <w:t>преливној</w:t>
      </w:r>
      <w:r>
        <w:rPr>
          <w:color w:val="231F20"/>
          <w:spacing w:val="-5"/>
        </w:rPr>
        <w:t> </w:t>
      </w:r>
      <w:r>
        <w:rPr>
          <w:color w:val="231F20"/>
          <w:spacing w:val="-3"/>
        </w:rPr>
        <w:t>комори</w:t>
      </w:r>
      <w:r>
        <w:rPr>
          <w:color w:val="231F20"/>
          <w:spacing w:val="-5"/>
        </w:rPr>
        <w:t> </w:t>
      </w:r>
      <w:r>
        <w:rPr>
          <w:color w:val="231F20"/>
        </w:rPr>
        <w:t>канала</w:t>
      </w:r>
      <w:r>
        <w:rPr>
          <w:color w:val="231F20"/>
          <w:spacing w:val="-5"/>
        </w:rPr>
        <w:t> </w:t>
      </w:r>
      <w:r>
        <w:rPr>
          <w:color w:val="231F20"/>
        </w:rPr>
        <w:t>топле</w:t>
      </w:r>
      <w:r>
        <w:rPr>
          <w:color w:val="231F20"/>
          <w:spacing w:val="-5"/>
        </w:rPr>
        <w:t> </w:t>
      </w:r>
      <w:r>
        <w:rPr>
          <w:color w:val="231F20"/>
        </w:rPr>
        <w:t>воде</w:t>
      </w:r>
      <w:r>
        <w:rPr>
          <w:color w:val="231F20"/>
          <w:spacing w:val="-5"/>
        </w:rPr>
        <w:t> </w:t>
      </w:r>
      <w:r>
        <w:rPr>
          <w:color w:val="231F20"/>
        </w:rPr>
        <w:t>ТЕ</w:t>
      </w:r>
      <w:r>
        <w:rPr>
          <w:color w:val="231F20"/>
          <w:spacing w:val="-5"/>
        </w:rPr>
        <w:t> </w:t>
      </w:r>
      <w:r>
        <w:rPr>
          <w:color w:val="231F20"/>
        </w:rPr>
        <w:t>„Костолац</w:t>
      </w:r>
      <w:r>
        <w:rPr>
          <w:color w:val="231F20"/>
          <w:spacing w:val="-5"/>
        </w:rPr>
        <w:t> </w:t>
      </w:r>
      <w:r>
        <w:rPr>
          <w:color w:val="231F20"/>
        </w:rPr>
        <w:t>Б”.</w:t>
      </w:r>
    </w:p>
    <w:p>
      <w:pPr>
        <w:pStyle w:val="BodyText"/>
        <w:spacing w:before="167"/>
        <w:ind w:left="2177"/>
        <w:jc w:val="left"/>
      </w:pPr>
      <w:r>
        <w:rPr>
          <w:color w:val="231F20"/>
        </w:rPr>
        <w:t>Геотермална енергија</w:t>
      </w:r>
    </w:p>
    <w:p>
      <w:pPr>
        <w:pStyle w:val="BodyText"/>
        <w:spacing w:before="5"/>
        <w:ind w:left="0"/>
        <w:jc w:val="left"/>
        <w:rPr>
          <w:sz w:val="17"/>
        </w:rPr>
      </w:pPr>
    </w:p>
    <w:p>
      <w:pPr>
        <w:pStyle w:val="BodyText"/>
        <w:spacing w:line="232" w:lineRule="auto"/>
        <w:ind w:left="454" w:firstLine="396"/>
      </w:pPr>
      <w:r>
        <w:rPr>
          <w:color w:val="231F20"/>
        </w:rPr>
        <w:t>На </w:t>
      </w:r>
      <w:r>
        <w:rPr>
          <w:color w:val="231F20"/>
          <w:spacing w:val="-3"/>
        </w:rPr>
        <w:t>Планском </w:t>
      </w:r>
      <w:r>
        <w:rPr>
          <w:color w:val="231F20"/>
        </w:rPr>
        <w:t>подручју постоје потенцијали за коришћење геотермалне енергије. С обзиром на хемијски састав оне се мо-  гу користити за спортско-рекреационе сврхе (спољна употреба)   и донекле за индустријске сврхе за добијање неких елемената из микрокомпонентског састава. Минералне и термоминералне воде могу се користити као лековите (балнеотерапеутске сврхе), енер- гетске, технолошке сврхе, за загревање стакленика и</w:t>
      </w:r>
      <w:r>
        <w:rPr>
          <w:color w:val="231F20"/>
          <w:spacing w:val="-22"/>
        </w:rPr>
        <w:t> </w:t>
      </w:r>
      <w:r>
        <w:rPr>
          <w:color w:val="231F20"/>
        </w:rPr>
        <w:t>слично.</w:t>
      </w:r>
    </w:p>
    <w:p>
      <w:pPr>
        <w:pStyle w:val="BodyText"/>
        <w:spacing w:line="232" w:lineRule="auto" w:before="5"/>
        <w:ind w:left="454" w:firstLine="397"/>
      </w:pPr>
      <w:r>
        <w:rPr>
          <w:color w:val="231F20"/>
        </w:rPr>
        <w:t>У</w:t>
      </w:r>
      <w:r>
        <w:rPr>
          <w:color w:val="231F20"/>
          <w:spacing w:val="-6"/>
        </w:rPr>
        <w:t> </w:t>
      </w:r>
      <w:r>
        <w:rPr>
          <w:color w:val="231F20"/>
        </w:rPr>
        <w:t>централним</w:t>
      </w:r>
      <w:r>
        <w:rPr>
          <w:color w:val="231F20"/>
          <w:spacing w:val="-6"/>
        </w:rPr>
        <w:t> </w:t>
      </w:r>
      <w:r>
        <w:rPr>
          <w:color w:val="231F20"/>
        </w:rPr>
        <w:t>деловима</w:t>
      </w:r>
      <w:r>
        <w:rPr>
          <w:color w:val="231F20"/>
          <w:spacing w:val="-6"/>
        </w:rPr>
        <w:t> </w:t>
      </w:r>
      <w:r>
        <w:rPr>
          <w:color w:val="231F20"/>
        </w:rPr>
        <w:t>Дрмљанске</w:t>
      </w:r>
      <w:r>
        <w:rPr>
          <w:color w:val="231F20"/>
          <w:spacing w:val="-6"/>
        </w:rPr>
        <w:t> </w:t>
      </w:r>
      <w:r>
        <w:rPr>
          <w:color w:val="231F20"/>
        </w:rPr>
        <w:t>депресије,</w:t>
      </w:r>
      <w:r>
        <w:rPr>
          <w:color w:val="231F20"/>
          <w:spacing w:val="-6"/>
        </w:rPr>
        <w:t> </w:t>
      </w:r>
      <w:r>
        <w:rPr>
          <w:color w:val="231F20"/>
          <w:spacing w:val="-4"/>
        </w:rPr>
        <w:t>где</w:t>
      </w:r>
      <w:r>
        <w:rPr>
          <w:color w:val="231F20"/>
          <w:spacing w:val="-6"/>
        </w:rPr>
        <w:t> </w:t>
      </w:r>
      <w:r>
        <w:rPr>
          <w:color w:val="231F20"/>
        </w:rPr>
        <w:t>се</w:t>
      </w:r>
      <w:r>
        <w:rPr>
          <w:color w:val="231F20"/>
          <w:spacing w:val="-6"/>
        </w:rPr>
        <w:t> </w:t>
      </w:r>
      <w:r>
        <w:rPr>
          <w:color w:val="231F20"/>
        </w:rPr>
        <w:t>очекују максималне температуре воде </w:t>
      </w:r>
      <w:r>
        <w:rPr>
          <w:color w:val="231F20"/>
          <w:spacing w:val="-4"/>
        </w:rPr>
        <w:t>око </w:t>
      </w:r>
      <w:r>
        <w:rPr>
          <w:color w:val="231F20"/>
        </w:rPr>
        <w:t>50ºC, оне могу имати широку примену (као минералне у ужем </w:t>
      </w:r>
      <w:r>
        <w:rPr>
          <w:color w:val="231F20"/>
          <w:spacing w:val="-3"/>
        </w:rPr>
        <w:t>смислу, </w:t>
      </w:r>
      <w:r>
        <w:rPr>
          <w:color w:val="231F20"/>
        </w:rPr>
        <w:t>затим у спортско рекре- ационе, балнеолошке, енергетске и технолошке сврхе). </w:t>
      </w:r>
      <w:r>
        <w:rPr>
          <w:color w:val="231F20"/>
          <w:spacing w:val="-3"/>
        </w:rPr>
        <w:t>Употреба </w:t>
      </w:r>
      <w:r>
        <w:rPr>
          <w:color w:val="231F20"/>
        </w:rPr>
        <w:t>ових</w:t>
      </w:r>
      <w:r>
        <w:rPr>
          <w:color w:val="231F20"/>
          <w:spacing w:val="-7"/>
        </w:rPr>
        <w:t> </w:t>
      </w:r>
      <w:r>
        <w:rPr>
          <w:color w:val="231F20"/>
        </w:rPr>
        <w:t>вода</w:t>
      </w:r>
      <w:r>
        <w:rPr>
          <w:color w:val="231F20"/>
          <w:spacing w:val="-7"/>
        </w:rPr>
        <w:t> </w:t>
      </w:r>
      <w:r>
        <w:rPr>
          <w:color w:val="231F20"/>
        </w:rPr>
        <w:t>не</w:t>
      </w:r>
      <w:r>
        <w:rPr>
          <w:color w:val="231F20"/>
          <w:spacing w:val="-7"/>
        </w:rPr>
        <w:t> </w:t>
      </w:r>
      <w:r>
        <w:rPr>
          <w:color w:val="231F20"/>
        </w:rPr>
        <w:t>захтева</w:t>
      </w:r>
      <w:r>
        <w:rPr>
          <w:color w:val="231F20"/>
          <w:spacing w:val="-7"/>
        </w:rPr>
        <w:t> </w:t>
      </w:r>
      <w:r>
        <w:rPr>
          <w:color w:val="231F20"/>
        </w:rPr>
        <w:t>посебне</w:t>
      </w:r>
      <w:r>
        <w:rPr>
          <w:color w:val="231F20"/>
          <w:spacing w:val="-7"/>
        </w:rPr>
        <w:t> </w:t>
      </w:r>
      <w:r>
        <w:rPr>
          <w:color w:val="231F20"/>
        </w:rPr>
        <w:t>мере</w:t>
      </w:r>
      <w:r>
        <w:rPr>
          <w:color w:val="231F20"/>
          <w:spacing w:val="-7"/>
        </w:rPr>
        <w:t> </w:t>
      </w:r>
      <w:r>
        <w:rPr>
          <w:color w:val="231F20"/>
        </w:rPr>
        <w:t>заштите</w:t>
      </w:r>
      <w:r>
        <w:rPr>
          <w:color w:val="231F20"/>
          <w:spacing w:val="-7"/>
        </w:rPr>
        <w:t> </w:t>
      </w:r>
      <w:r>
        <w:rPr>
          <w:color w:val="231F20"/>
        </w:rPr>
        <w:t>у</w:t>
      </w:r>
      <w:r>
        <w:rPr>
          <w:color w:val="231F20"/>
          <w:spacing w:val="-7"/>
        </w:rPr>
        <w:t> </w:t>
      </w:r>
      <w:r>
        <w:rPr>
          <w:color w:val="231F20"/>
          <w:spacing w:val="-3"/>
        </w:rPr>
        <w:t>погледу</w:t>
      </w:r>
      <w:r>
        <w:rPr>
          <w:color w:val="231F20"/>
          <w:spacing w:val="-7"/>
        </w:rPr>
        <w:t> </w:t>
      </w:r>
      <w:r>
        <w:rPr>
          <w:color w:val="231F20"/>
        </w:rPr>
        <w:t>испуштања</w:t>
      </w:r>
      <w:r>
        <w:rPr>
          <w:color w:val="231F20"/>
          <w:spacing w:val="-7"/>
        </w:rPr>
        <w:t> </w:t>
      </w:r>
      <w:r>
        <w:rPr>
          <w:color w:val="231F20"/>
        </w:rPr>
        <w:t>у отворене</w:t>
      </w:r>
      <w:r>
        <w:rPr>
          <w:color w:val="231F20"/>
          <w:spacing w:val="-2"/>
        </w:rPr>
        <w:t> </w:t>
      </w:r>
      <w:r>
        <w:rPr>
          <w:color w:val="231F20"/>
        </w:rPr>
        <w:t>реципијенте.</w:t>
      </w:r>
    </w:p>
    <w:p>
      <w:pPr>
        <w:pStyle w:val="BodyText"/>
        <w:spacing w:line="232" w:lineRule="auto" w:before="68"/>
        <w:ind w:left="242" w:right="127" w:firstLine="397"/>
      </w:pPr>
      <w:r>
        <w:rPr/>
        <w:br w:type="column"/>
      </w:r>
      <w:r>
        <w:rPr>
          <w:color w:val="231F20"/>
        </w:rPr>
        <w:t>Локалитет </w:t>
      </w:r>
      <w:r>
        <w:rPr>
          <w:color w:val="231F20"/>
          <w:spacing w:val="-3"/>
        </w:rPr>
        <w:t>Горњег костолачког </w:t>
      </w:r>
      <w:r>
        <w:rPr>
          <w:color w:val="231F20"/>
        </w:rPr>
        <w:t>острва, </w:t>
      </w:r>
      <w:r>
        <w:rPr>
          <w:color w:val="231F20"/>
          <w:spacing w:val="-4"/>
        </w:rPr>
        <w:t>где </w:t>
      </w:r>
      <w:r>
        <w:rPr>
          <w:color w:val="231F20"/>
        </w:rPr>
        <w:t>је вода темпере </w:t>
      </w:r>
      <w:r>
        <w:rPr>
          <w:color w:val="231F20"/>
          <w:spacing w:val="-4"/>
        </w:rPr>
        <w:t>око </w:t>
      </w:r>
      <w:r>
        <w:rPr>
          <w:color w:val="231F20"/>
        </w:rPr>
        <w:t>50ºC на малим дубинама, представља веома перспективну ло- кацију </w:t>
      </w:r>
      <w:r>
        <w:rPr>
          <w:color w:val="231F20"/>
          <w:spacing w:val="-3"/>
        </w:rPr>
        <w:t>која </w:t>
      </w:r>
      <w:r>
        <w:rPr>
          <w:color w:val="231F20"/>
        </w:rPr>
        <w:t>би </w:t>
      </w:r>
      <w:r>
        <w:rPr>
          <w:color w:val="231F20"/>
          <w:spacing w:val="-3"/>
        </w:rPr>
        <w:t>могла </w:t>
      </w:r>
      <w:r>
        <w:rPr>
          <w:color w:val="231F20"/>
        </w:rPr>
        <w:t>да се користи у енергетске</w:t>
      </w:r>
      <w:r>
        <w:rPr>
          <w:color w:val="231F20"/>
          <w:spacing w:val="-2"/>
        </w:rPr>
        <w:t> </w:t>
      </w:r>
      <w:r>
        <w:rPr>
          <w:color w:val="231F20"/>
        </w:rPr>
        <w:t>сврхе.</w:t>
      </w:r>
    </w:p>
    <w:p>
      <w:pPr>
        <w:pStyle w:val="BodyText"/>
        <w:spacing w:line="232" w:lineRule="auto"/>
        <w:ind w:left="242" w:right="127" w:firstLine="397"/>
      </w:pPr>
      <w:r>
        <w:rPr>
          <w:color w:val="231F20"/>
        </w:rPr>
        <w:t>Висина минерализације и хемијског састава као и темпера- турне карактеристике подземних вода мале минерализације, на ширем подручју Дрмљанске депресије, указују на изузетну потен- цијалност</w:t>
      </w:r>
      <w:r>
        <w:rPr>
          <w:color w:val="231F20"/>
          <w:spacing w:val="-10"/>
        </w:rPr>
        <w:t> </w:t>
      </w:r>
      <w:r>
        <w:rPr>
          <w:color w:val="231F20"/>
        </w:rPr>
        <w:t>ових</w:t>
      </w:r>
      <w:r>
        <w:rPr>
          <w:color w:val="231F20"/>
          <w:spacing w:val="-9"/>
        </w:rPr>
        <w:t> </w:t>
      </w:r>
      <w:r>
        <w:rPr>
          <w:color w:val="231F20"/>
        </w:rPr>
        <w:t>терена</w:t>
      </w:r>
      <w:r>
        <w:rPr>
          <w:color w:val="231F20"/>
          <w:spacing w:val="-10"/>
        </w:rPr>
        <w:t> </w:t>
      </w:r>
      <w:r>
        <w:rPr>
          <w:color w:val="231F20"/>
        </w:rPr>
        <w:t>за</w:t>
      </w:r>
      <w:r>
        <w:rPr>
          <w:color w:val="231F20"/>
          <w:spacing w:val="-10"/>
        </w:rPr>
        <w:t> </w:t>
      </w:r>
      <w:r>
        <w:rPr>
          <w:color w:val="231F20"/>
        </w:rPr>
        <w:t>захватање</w:t>
      </w:r>
      <w:r>
        <w:rPr>
          <w:color w:val="231F20"/>
          <w:spacing w:val="-10"/>
        </w:rPr>
        <w:t> </w:t>
      </w:r>
      <w:r>
        <w:rPr>
          <w:color w:val="231F20"/>
        </w:rPr>
        <w:t>и</w:t>
      </w:r>
      <w:r>
        <w:rPr>
          <w:color w:val="231F20"/>
          <w:spacing w:val="-10"/>
        </w:rPr>
        <w:t> </w:t>
      </w:r>
      <w:r>
        <w:rPr>
          <w:color w:val="231F20"/>
        </w:rPr>
        <w:t>искоришћавање</w:t>
      </w:r>
      <w:r>
        <w:rPr>
          <w:color w:val="231F20"/>
          <w:spacing w:val="-10"/>
        </w:rPr>
        <w:t> </w:t>
      </w:r>
      <w:r>
        <w:rPr>
          <w:color w:val="231F20"/>
        </w:rPr>
        <w:t>квалитетних термоминералних</w:t>
      </w:r>
      <w:r>
        <w:rPr>
          <w:color w:val="231F20"/>
          <w:spacing w:val="-2"/>
        </w:rPr>
        <w:t> </w:t>
      </w:r>
      <w:r>
        <w:rPr>
          <w:color w:val="231F20"/>
        </w:rPr>
        <w:t>вода.</w:t>
      </w:r>
    </w:p>
    <w:p>
      <w:pPr>
        <w:pStyle w:val="BodyText"/>
        <w:spacing w:line="232" w:lineRule="auto" w:before="2"/>
        <w:ind w:left="242" w:right="127" w:firstLine="397"/>
      </w:pPr>
      <w:r>
        <w:rPr>
          <w:color w:val="231F20"/>
        </w:rPr>
        <w:t>Индустријске воде представљају практично сировину за до- бијање широког спектра елемената и једињења због специфич- ности хемијског састава и концентрације елемената </w:t>
      </w:r>
      <w:r>
        <w:rPr>
          <w:color w:val="231F20"/>
          <w:spacing w:val="-3"/>
        </w:rPr>
        <w:t>које </w:t>
      </w:r>
      <w:r>
        <w:rPr>
          <w:color w:val="231F20"/>
        </w:rPr>
        <w:t>прате нафтна и гасна лежишта, у границама </w:t>
      </w:r>
      <w:r>
        <w:rPr>
          <w:color w:val="231F20"/>
          <w:spacing w:val="-3"/>
        </w:rPr>
        <w:t>економске </w:t>
      </w:r>
      <w:r>
        <w:rPr>
          <w:color w:val="231F20"/>
        </w:rPr>
        <w:t>оправданости. Основна могућност се не искључује с обзиром да су бушењима за нафту и гас у </w:t>
      </w:r>
      <w:r>
        <w:rPr>
          <w:color w:val="231F20"/>
          <w:spacing w:val="-4"/>
        </w:rPr>
        <w:t>Костолачком </w:t>
      </w:r>
      <w:r>
        <w:rPr>
          <w:color w:val="231F20"/>
        </w:rPr>
        <w:t>угљоносном </w:t>
      </w:r>
      <w:r>
        <w:rPr>
          <w:color w:val="231F20"/>
          <w:spacing w:val="-3"/>
        </w:rPr>
        <w:t>басену, </w:t>
      </w:r>
      <w:r>
        <w:rPr>
          <w:color w:val="231F20"/>
        </w:rPr>
        <w:t>откривене воде ви- соке минерализације, обично до 25 – 30 g/l па чак и </w:t>
      </w:r>
      <w:r>
        <w:rPr>
          <w:color w:val="231F20"/>
          <w:spacing w:val="-3"/>
        </w:rPr>
        <w:t>преко </w:t>
      </w:r>
      <w:r>
        <w:rPr>
          <w:color w:val="231F20"/>
        </w:rPr>
        <w:t>100 g/l са карактеристичним минералним саставом.</w:t>
      </w:r>
    </w:p>
    <w:p>
      <w:pPr>
        <w:pStyle w:val="Heading1"/>
        <w:numPr>
          <w:ilvl w:val="2"/>
          <w:numId w:val="28"/>
        </w:numPr>
        <w:tabs>
          <w:tab w:pos="2149" w:val="left" w:leader="none"/>
        </w:tabs>
        <w:spacing w:line="240" w:lineRule="auto" w:before="167" w:after="0"/>
        <w:ind w:left="2148" w:right="0" w:hanging="180"/>
        <w:jc w:val="left"/>
      </w:pPr>
      <w:r>
        <w:rPr>
          <w:color w:val="231F20"/>
        </w:rPr>
        <w:t>Привредни</w:t>
      </w:r>
      <w:r>
        <w:rPr>
          <w:color w:val="231F20"/>
          <w:spacing w:val="-2"/>
        </w:rPr>
        <w:t> </w:t>
      </w:r>
      <w:r>
        <w:rPr>
          <w:color w:val="231F20"/>
        </w:rPr>
        <w:t>развој</w:t>
      </w:r>
    </w:p>
    <w:p>
      <w:pPr>
        <w:pStyle w:val="ListParagraph"/>
        <w:numPr>
          <w:ilvl w:val="1"/>
          <w:numId w:val="29"/>
        </w:numPr>
        <w:tabs>
          <w:tab w:pos="871" w:val="left" w:leader="none"/>
        </w:tabs>
        <w:spacing w:line="240" w:lineRule="auto" w:before="164" w:after="0"/>
        <w:ind w:left="870" w:right="0" w:hanging="315"/>
        <w:jc w:val="left"/>
        <w:rPr>
          <w:i/>
          <w:sz w:val="18"/>
        </w:rPr>
      </w:pPr>
      <w:r>
        <w:rPr>
          <w:i/>
          <w:color w:val="231F20"/>
          <w:sz w:val="18"/>
        </w:rPr>
        <w:t>Привредни развој и просторни размештај</w:t>
      </w:r>
      <w:r>
        <w:rPr>
          <w:i/>
          <w:color w:val="231F20"/>
          <w:spacing w:val="-10"/>
          <w:sz w:val="18"/>
        </w:rPr>
        <w:t> </w:t>
      </w:r>
      <w:r>
        <w:rPr>
          <w:i/>
          <w:color w:val="231F20"/>
          <w:sz w:val="18"/>
        </w:rPr>
        <w:t>индустрије</w:t>
      </w:r>
    </w:p>
    <w:p>
      <w:pPr>
        <w:pStyle w:val="BodyText"/>
        <w:spacing w:before="5"/>
        <w:ind w:left="0"/>
        <w:jc w:val="left"/>
        <w:rPr>
          <w:i/>
          <w:sz w:val="17"/>
        </w:rPr>
      </w:pPr>
    </w:p>
    <w:p>
      <w:pPr>
        <w:pStyle w:val="BodyText"/>
        <w:spacing w:line="232" w:lineRule="auto"/>
        <w:ind w:left="241" w:right="127" w:firstLine="397"/>
      </w:pPr>
      <w:r>
        <w:rPr>
          <w:color w:val="231F20"/>
        </w:rPr>
        <w:t>Концепција територијалног развоја привреде на Планском подручју заснива се на опоравку привредних актера, убрзању ре- формских процеса који се односе на реструктурирање, модерни- зацију предузећа, стандардизацију производње, раст конкурент- ности, обезбеђење инфраструктурних услова, што подразумева заснованост на технолошкој, економској и еколошкој ревитализа- цији постојећих и настанку нових капацитета и МСП. У томе ва- жну улогу има повећање иновационог потенцијала подручја, фор- мирање кластера у конкурентним гранама и ефикасна просторна дистрибуција привредних активности. Опредељења стратeшког развоjа привреде су:</w:t>
      </w:r>
    </w:p>
    <w:p>
      <w:pPr>
        <w:pStyle w:val="BodyText"/>
        <w:spacing w:line="232" w:lineRule="auto" w:before="3"/>
        <w:ind w:left="242" w:right="127" w:firstLine="397"/>
      </w:pPr>
      <w:r>
        <w:rPr>
          <w:color w:val="231F20"/>
          <w:w w:val="66"/>
        </w:rPr>
        <w:t> </w:t>
      </w:r>
      <w:r>
        <w:rPr>
          <w:color w:val="231F20"/>
        </w:rPr>
        <w:t>– развој реструктурираног рударско-енергетског </w:t>
      </w:r>
      <w:r>
        <w:rPr>
          <w:color w:val="231F20"/>
          <w:spacing w:val="-3"/>
        </w:rPr>
        <w:t>комплекса </w:t>
      </w:r>
      <w:r>
        <w:rPr>
          <w:color w:val="231F20"/>
        </w:rPr>
        <w:t>ПД</w:t>
      </w:r>
      <w:r>
        <w:rPr>
          <w:color w:val="231F20"/>
          <w:spacing w:val="-10"/>
        </w:rPr>
        <w:t> </w:t>
      </w:r>
      <w:r>
        <w:rPr>
          <w:color w:val="231F20"/>
        </w:rPr>
        <w:t>ТЕ-КО</w:t>
      </w:r>
      <w:r>
        <w:rPr>
          <w:color w:val="231F20"/>
          <w:spacing w:val="-10"/>
        </w:rPr>
        <w:t> </w:t>
      </w:r>
      <w:r>
        <w:rPr>
          <w:color w:val="231F20"/>
        </w:rPr>
        <w:t>„Костолац”</w:t>
      </w:r>
      <w:r>
        <w:rPr>
          <w:color w:val="231F20"/>
          <w:spacing w:val="-10"/>
        </w:rPr>
        <w:t> </w:t>
      </w:r>
      <w:r>
        <w:rPr>
          <w:color w:val="231F20"/>
        </w:rPr>
        <w:t>уз</w:t>
      </w:r>
      <w:r>
        <w:rPr>
          <w:color w:val="231F20"/>
          <w:spacing w:val="-10"/>
        </w:rPr>
        <w:t> </w:t>
      </w:r>
      <w:r>
        <w:rPr>
          <w:color w:val="231F20"/>
        </w:rPr>
        <w:t>интензиван</w:t>
      </w:r>
      <w:r>
        <w:rPr>
          <w:color w:val="231F20"/>
          <w:spacing w:val="-10"/>
        </w:rPr>
        <w:t> </w:t>
      </w:r>
      <w:r>
        <w:rPr>
          <w:color w:val="231F20"/>
        </w:rPr>
        <w:t>раст</w:t>
      </w:r>
      <w:r>
        <w:rPr>
          <w:color w:val="231F20"/>
          <w:spacing w:val="-10"/>
        </w:rPr>
        <w:t> </w:t>
      </w:r>
      <w:r>
        <w:rPr>
          <w:color w:val="231F20"/>
        </w:rPr>
        <w:t>обима</w:t>
      </w:r>
      <w:r>
        <w:rPr>
          <w:color w:val="231F20"/>
          <w:spacing w:val="-10"/>
        </w:rPr>
        <w:t> </w:t>
      </w:r>
      <w:r>
        <w:rPr>
          <w:color w:val="231F20"/>
        </w:rPr>
        <w:t>производње</w:t>
      </w:r>
      <w:r>
        <w:rPr>
          <w:color w:val="231F20"/>
          <w:spacing w:val="-10"/>
        </w:rPr>
        <w:t> </w:t>
      </w:r>
      <w:r>
        <w:rPr>
          <w:color w:val="231F20"/>
        </w:rPr>
        <w:t>угља на површинском </w:t>
      </w:r>
      <w:r>
        <w:rPr>
          <w:color w:val="231F20"/>
          <w:spacing w:val="-3"/>
        </w:rPr>
        <w:t>копу </w:t>
      </w:r>
      <w:r>
        <w:rPr>
          <w:color w:val="231F20"/>
        </w:rPr>
        <w:t>„Дрмно” као и раст производње електрое- нергије на основама образаца одрживог</w:t>
      </w:r>
      <w:r>
        <w:rPr>
          <w:color w:val="231F20"/>
          <w:spacing w:val="-5"/>
        </w:rPr>
        <w:t> </w:t>
      </w:r>
      <w:r>
        <w:rPr>
          <w:color w:val="231F20"/>
        </w:rPr>
        <w:t>развоја;</w:t>
      </w:r>
    </w:p>
    <w:p>
      <w:pPr>
        <w:pStyle w:val="BodyText"/>
        <w:spacing w:line="200" w:lineRule="exact"/>
        <w:ind w:left="639"/>
        <w:jc w:val="left"/>
      </w:pPr>
      <w:r>
        <w:rPr>
          <w:color w:val="231F20"/>
          <w:w w:val="66"/>
        </w:rPr>
        <w:t> </w:t>
      </w:r>
      <w:r>
        <w:rPr>
          <w:color w:val="231F20"/>
        </w:rPr>
        <w:t>– истраживање и експлоатација нафте и природног гаса;</w:t>
      </w:r>
    </w:p>
    <w:p>
      <w:pPr>
        <w:pStyle w:val="BodyText"/>
        <w:spacing w:line="232" w:lineRule="auto" w:before="2"/>
        <w:ind w:left="242" w:right="127" w:firstLine="396"/>
      </w:pPr>
      <w:r>
        <w:rPr>
          <w:color w:val="231F20"/>
          <w:w w:val="66"/>
        </w:rPr>
        <w:t> </w:t>
      </w:r>
      <w:r>
        <w:rPr>
          <w:color w:val="231F20"/>
        </w:rPr>
        <w:t>– развој комплекса прерађивачке индустрије у функцији ру- дарско-енергетског комплекса за потребе одржавања производне опреме и средстава рударског и енергетско-индустријског ком- плекса: прерада метала, производња металних конструкција, ру- дарских машина, репарација рударске опреме, механизације, транспортера, машиноградња, котлоградња, прерада неметала, и друго;</w:t>
      </w:r>
    </w:p>
    <w:p>
      <w:pPr>
        <w:pStyle w:val="BodyText"/>
        <w:spacing w:line="232" w:lineRule="auto" w:before="2"/>
        <w:ind w:left="242" w:right="127" w:firstLine="396"/>
      </w:pPr>
      <w:r>
        <w:rPr>
          <w:color w:val="231F20"/>
          <w:w w:val="66"/>
        </w:rPr>
        <w:t> </w:t>
      </w:r>
      <w:r>
        <w:rPr>
          <w:color w:val="231F20"/>
        </w:rPr>
        <w:t>– повезивање пословања МСП са потрeбама производњe и прeрадe угља и eлeктроeнeргиje;</w:t>
      </w:r>
    </w:p>
    <w:p>
      <w:pPr>
        <w:pStyle w:val="BodyText"/>
        <w:spacing w:line="232" w:lineRule="auto" w:before="1"/>
        <w:ind w:left="242" w:right="127" w:firstLine="397"/>
      </w:pPr>
      <w:r>
        <w:rPr>
          <w:color w:val="231F20"/>
          <w:w w:val="66"/>
        </w:rPr>
        <w:t> </w:t>
      </w:r>
      <w:r>
        <w:rPr>
          <w:color w:val="231F20"/>
        </w:rPr>
        <w:t>– развој прерађивачке индустрије јачањем предузетништва и формирањем МСП у сектору производње прехрамбених про- извода, прераде метала, </w:t>
      </w:r>
      <w:r>
        <w:rPr>
          <w:color w:val="231F20"/>
          <w:spacing w:val="-3"/>
        </w:rPr>
        <w:t>рударске </w:t>
      </w:r>
      <w:r>
        <w:rPr>
          <w:color w:val="231F20"/>
        </w:rPr>
        <w:t>опреме, машина, пољопривред- них машина и опреме, грађевинског материјала, неметала (вађе- ње и сепарација шљунка, песка и слично), традиционалних грана (дрвне – производње намештаја, текстилне, производње обуће, пластике, и друго); развој прeхрамбeног комплeкса захтева стро- </w:t>
      </w:r>
      <w:r>
        <w:rPr>
          <w:color w:val="231F20"/>
          <w:spacing w:val="-3"/>
        </w:rPr>
        <w:t>го </w:t>
      </w:r>
      <w:r>
        <w:rPr>
          <w:color w:val="231F20"/>
        </w:rPr>
        <w:t>поштовање савремених стандарда квалитета хране, с ослон- цем на рeвитализациjу постоjeћих и увођeње нових програма и тeхнологиjа, биотeхнологиjа и</w:t>
      </w:r>
      <w:r>
        <w:rPr>
          <w:color w:val="231F20"/>
          <w:spacing w:val="-6"/>
        </w:rPr>
        <w:t> </w:t>
      </w:r>
      <w:r>
        <w:rPr>
          <w:color w:val="231F20"/>
        </w:rPr>
        <w:t>друго;</w:t>
      </w:r>
    </w:p>
    <w:p>
      <w:pPr>
        <w:pStyle w:val="BodyText"/>
        <w:spacing w:line="232" w:lineRule="auto" w:before="3"/>
        <w:ind w:left="242" w:right="127" w:firstLine="396"/>
      </w:pPr>
      <w:r>
        <w:rPr>
          <w:color w:val="231F20"/>
          <w:w w:val="66"/>
        </w:rPr>
        <w:t> </w:t>
      </w:r>
      <w:r>
        <w:rPr>
          <w:color w:val="231F20"/>
        </w:rPr>
        <w:t>– пољопривреда и агрокомплекс, заснована на ефикасној производњи, малим погонима за прераду, пласману производа, развоју сточарства, ратарства, воћарства, повртарства, виногра- дарства, повећању величине поседа, брендирању производа, удру- живању произвођача;</w:t>
      </w:r>
    </w:p>
    <w:p>
      <w:pPr>
        <w:pStyle w:val="BodyText"/>
        <w:spacing w:line="232" w:lineRule="auto" w:before="1"/>
        <w:ind w:left="242" w:right="127" w:firstLine="396"/>
      </w:pPr>
      <w:r>
        <w:rPr>
          <w:color w:val="231F20"/>
          <w:w w:val="66"/>
        </w:rPr>
        <w:t> </w:t>
      </w:r>
      <w:r>
        <w:rPr>
          <w:color w:val="231F20"/>
        </w:rPr>
        <w:t>– саобраћај и саобраћајне/транспортне услуге, логистичка подршка, сервис и одржавање возила;</w:t>
      </w:r>
    </w:p>
    <w:p>
      <w:pPr>
        <w:pStyle w:val="BodyText"/>
        <w:spacing w:line="232" w:lineRule="auto" w:before="1"/>
        <w:ind w:left="242" w:right="128" w:firstLine="397"/>
      </w:pPr>
      <w:r>
        <w:rPr>
          <w:color w:val="231F20"/>
          <w:w w:val="66"/>
        </w:rPr>
        <w:t> </w:t>
      </w:r>
      <w:r>
        <w:rPr>
          <w:color w:val="231F20"/>
        </w:rPr>
        <w:t>– туризам – бољим ангажовањем свих потенцијала и креира- њем програма њиховог коришћења и</w:t>
      </w:r>
    </w:p>
    <w:p>
      <w:pPr>
        <w:pStyle w:val="BodyText"/>
        <w:spacing w:line="232" w:lineRule="auto"/>
        <w:ind w:left="242" w:right="127" w:firstLine="396"/>
      </w:pPr>
      <w:r>
        <w:rPr>
          <w:color w:val="231F20"/>
          <w:w w:val="66"/>
        </w:rPr>
        <w:t> </w:t>
      </w:r>
      <w:r>
        <w:rPr>
          <w:color w:val="231F20"/>
        </w:rPr>
        <w:t>– афирмисање профитабилне области разноврсних услуга (снабдевање локалне привреде сировинама и репроматеријалом   и пласман производа у регионалном </w:t>
      </w:r>
      <w:r>
        <w:rPr>
          <w:color w:val="231F20"/>
          <w:spacing w:val="-4"/>
        </w:rPr>
        <w:t>окружењу, </w:t>
      </w:r>
      <w:r>
        <w:rPr>
          <w:color w:val="231F20"/>
        </w:rPr>
        <w:t>изградња склади- шних капацитета, дистрибуција грађевинских и других матери- јала, огрева, опреме, угоститељске услуге, послови са некретни- нама, пословно-финансијске, техничке и друге услуге) и јавних служби.</w:t>
      </w:r>
    </w:p>
    <w:p>
      <w:pPr>
        <w:pStyle w:val="BodyText"/>
        <w:spacing w:line="232" w:lineRule="auto" w:before="2"/>
        <w:ind w:left="242" w:right="128" w:firstLine="396"/>
      </w:pPr>
      <w:r>
        <w:rPr>
          <w:color w:val="231F20"/>
        </w:rPr>
        <w:t>Политика </w:t>
      </w:r>
      <w:r>
        <w:rPr>
          <w:color w:val="231F20"/>
          <w:spacing w:val="-3"/>
        </w:rPr>
        <w:t>будућег </w:t>
      </w:r>
      <w:r>
        <w:rPr>
          <w:color w:val="231F20"/>
        </w:rPr>
        <w:t>развоја </w:t>
      </w:r>
      <w:r>
        <w:rPr>
          <w:color w:val="231F20"/>
          <w:spacing w:val="-3"/>
        </w:rPr>
        <w:t>рударства </w:t>
      </w:r>
      <w:r>
        <w:rPr>
          <w:color w:val="231F20"/>
        </w:rPr>
        <w:t>и енергетике обухвата обавезе</w:t>
      </w:r>
      <w:r>
        <w:rPr>
          <w:color w:val="231F20"/>
          <w:spacing w:val="-8"/>
        </w:rPr>
        <w:t> </w:t>
      </w:r>
      <w:r>
        <w:rPr>
          <w:color w:val="231F20"/>
        </w:rPr>
        <w:t>и</w:t>
      </w:r>
      <w:r>
        <w:rPr>
          <w:color w:val="231F20"/>
          <w:spacing w:val="-8"/>
        </w:rPr>
        <w:t> </w:t>
      </w:r>
      <w:r>
        <w:rPr>
          <w:color w:val="231F20"/>
        </w:rPr>
        <w:t>препоруке</w:t>
      </w:r>
      <w:r>
        <w:rPr>
          <w:color w:val="231F20"/>
          <w:spacing w:val="-8"/>
        </w:rPr>
        <w:t> </w:t>
      </w:r>
      <w:r>
        <w:rPr>
          <w:color w:val="231F20"/>
          <w:spacing w:val="-3"/>
        </w:rPr>
        <w:t>које</w:t>
      </w:r>
      <w:r>
        <w:rPr>
          <w:color w:val="231F20"/>
          <w:spacing w:val="-8"/>
        </w:rPr>
        <w:t> </w:t>
      </w:r>
      <w:r>
        <w:rPr>
          <w:color w:val="231F20"/>
        </w:rPr>
        <w:t>произлазе</w:t>
      </w:r>
      <w:r>
        <w:rPr>
          <w:color w:val="231F20"/>
          <w:spacing w:val="-8"/>
        </w:rPr>
        <w:t> </w:t>
      </w:r>
      <w:r>
        <w:rPr>
          <w:color w:val="231F20"/>
        </w:rPr>
        <w:t>из</w:t>
      </w:r>
      <w:r>
        <w:rPr>
          <w:color w:val="231F20"/>
          <w:spacing w:val="-8"/>
        </w:rPr>
        <w:t> </w:t>
      </w:r>
      <w:r>
        <w:rPr>
          <w:color w:val="231F20"/>
        </w:rPr>
        <w:t>међународних</w:t>
      </w:r>
      <w:r>
        <w:rPr>
          <w:color w:val="231F20"/>
          <w:spacing w:val="-8"/>
        </w:rPr>
        <w:t> </w:t>
      </w:r>
      <w:r>
        <w:rPr>
          <w:color w:val="231F20"/>
        </w:rPr>
        <w:t>докумената</w:t>
      </w:r>
      <w:r>
        <w:rPr>
          <w:color w:val="231F20"/>
          <w:spacing w:val="-8"/>
        </w:rPr>
        <w:t> </w:t>
      </w:r>
      <w:r>
        <w:rPr>
          <w:color w:val="231F20"/>
        </w:rPr>
        <w:t>у</w:t>
      </w:r>
    </w:p>
    <w:p>
      <w:pPr>
        <w:spacing w:after="0" w:line="232" w:lineRule="auto"/>
        <w:sectPr>
          <w:pgSz w:w="12480" w:h="15690"/>
          <w:pgMar w:top="120" w:bottom="280" w:left="680" w:right="720"/>
          <w:cols w:num="2" w:equalWidth="0">
            <w:col w:w="5558" w:space="40"/>
            <w:col w:w="5482"/>
          </w:cols>
        </w:sectPr>
      </w:pPr>
    </w:p>
    <w:p>
      <w:pPr>
        <w:pStyle w:val="BodyText"/>
        <w:spacing w:line="235" w:lineRule="auto" w:before="71"/>
        <w:ind w:left="98" w:right="38"/>
        <w:jc w:val="right"/>
      </w:pPr>
      <w:r>
        <w:rPr>
          <w:color w:val="231F20"/>
        </w:rPr>
        <w:t>овој области (аquis communaitare) и регулативе у процесу ширења</w:t>
      </w:r>
      <w:r>
        <w:rPr>
          <w:color w:val="231F20"/>
          <w:spacing w:val="-1"/>
        </w:rPr>
        <w:t> </w:t>
      </w:r>
      <w:r>
        <w:rPr>
          <w:color w:val="231F20"/>
          <w:spacing w:val="-10"/>
        </w:rPr>
        <w:t>ЕУ. </w:t>
      </w:r>
      <w:r>
        <w:rPr>
          <w:color w:val="231F20"/>
        </w:rPr>
        <w:t>Земље кандидати и земље потенцијални кандидати треба да испуне захтеве, међу </w:t>
      </w:r>
      <w:r>
        <w:rPr>
          <w:color w:val="231F20"/>
          <w:spacing w:val="-3"/>
        </w:rPr>
        <w:t>којима </w:t>
      </w:r>
      <w:r>
        <w:rPr>
          <w:color w:val="231F20"/>
        </w:rPr>
        <w:t>је и решавање социјалних, регионал- них и еколошко-просторних последица реструктурирања </w:t>
      </w:r>
      <w:r>
        <w:rPr>
          <w:color w:val="231F20"/>
          <w:spacing w:val="-3"/>
        </w:rPr>
        <w:t>рудника.</w:t>
      </w:r>
      <w:r>
        <w:rPr>
          <w:color w:val="231F20"/>
        </w:rPr>
        <w:t> Обавеза ЈП „ЕПС” је да до 2015. </w:t>
      </w:r>
      <w:r>
        <w:rPr>
          <w:color w:val="231F20"/>
          <w:spacing w:val="-3"/>
        </w:rPr>
        <w:t>године </w:t>
      </w:r>
      <w:r>
        <w:rPr>
          <w:color w:val="231F20"/>
        </w:rPr>
        <w:t>усклади рад својих објеката са одредбама </w:t>
      </w:r>
      <w:r>
        <w:rPr>
          <w:color w:val="231F20"/>
          <w:spacing w:val="-2"/>
        </w:rPr>
        <w:t>закона </w:t>
      </w:r>
      <w:r>
        <w:rPr>
          <w:color w:val="231F20"/>
        </w:rPr>
        <w:t>о заштити животне средине, за нове објекте и за оне </w:t>
      </w:r>
      <w:r>
        <w:rPr>
          <w:color w:val="231F20"/>
          <w:spacing w:val="-3"/>
        </w:rPr>
        <w:t>који </w:t>
      </w:r>
      <w:r>
        <w:rPr>
          <w:color w:val="231F20"/>
        </w:rPr>
        <w:t>се ревитализују. </w:t>
      </w:r>
      <w:r>
        <w:rPr>
          <w:color w:val="231F20"/>
          <w:spacing w:val="-3"/>
        </w:rPr>
        <w:t>Закон </w:t>
      </w:r>
      <w:r>
        <w:rPr>
          <w:color w:val="231F20"/>
        </w:rPr>
        <w:t>о интегрисаној дозволи</w:t>
      </w:r>
      <w:r>
        <w:rPr>
          <w:color w:val="231F20"/>
          <w:spacing w:val="-1"/>
        </w:rPr>
        <w:t> </w:t>
      </w:r>
      <w:r>
        <w:rPr>
          <w:color w:val="231F20"/>
        </w:rPr>
        <w:t>одређује рок до 2015. године, а за енергетски сектор 2017. </w:t>
      </w:r>
      <w:r>
        <w:rPr>
          <w:color w:val="231F20"/>
          <w:spacing w:val="-3"/>
        </w:rPr>
        <w:t>године,</w:t>
      </w:r>
      <w:r>
        <w:rPr>
          <w:color w:val="231F20"/>
          <w:spacing w:val="-1"/>
        </w:rPr>
        <w:t> </w:t>
      </w:r>
      <w:r>
        <w:rPr>
          <w:color w:val="231F20"/>
          <w:spacing w:val="-3"/>
        </w:rPr>
        <w:t>након </w:t>
      </w:r>
      <w:r>
        <w:rPr>
          <w:color w:val="231F20"/>
        </w:rPr>
        <w:t>чега престаје право емитовања прекограничних вредности загађујућих материја у ваздух, воде, земљиште. </w:t>
      </w:r>
      <w:r>
        <w:rPr>
          <w:color w:val="231F20"/>
          <w:spacing w:val="-7"/>
        </w:rPr>
        <w:t>То </w:t>
      </w:r>
      <w:r>
        <w:rPr>
          <w:color w:val="231F20"/>
        </w:rPr>
        <w:t>подразумева да ће ПД ТЕКО у овом периоду ускладити своје пословање на на- чин да загађења сведе на минимум. Са становишта перспективног</w:t>
      </w:r>
      <w:r>
        <w:rPr>
          <w:color w:val="231F20"/>
          <w:spacing w:val="-1"/>
        </w:rPr>
        <w:t> </w:t>
      </w:r>
      <w:r>
        <w:rPr>
          <w:color w:val="231F20"/>
        </w:rPr>
        <w:t>развоја </w:t>
      </w:r>
      <w:r>
        <w:rPr>
          <w:color w:val="231F20"/>
          <w:spacing w:val="-3"/>
        </w:rPr>
        <w:t>комплекса </w:t>
      </w:r>
      <w:r>
        <w:rPr>
          <w:color w:val="231F20"/>
        </w:rPr>
        <w:t>ТЕ „Костолац Б”, у складу са захтевом ратифи- </w:t>
      </w:r>
      <w:r>
        <w:rPr>
          <w:color w:val="231F20"/>
          <w:spacing w:val="-3"/>
        </w:rPr>
        <w:t>кованог </w:t>
      </w:r>
      <w:r>
        <w:rPr>
          <w:color w:val="231F20"/>
        </w:rPr>
        <w:t>Кјото </w:t>
      </w:r>
      <w:r>
        <w:rPr>
          <w:color w:val="231F20"/>
          <w:spacing w:val="-3"/>
        </w:rPr>
        <w:t>протокола </w:t>
      </w:r>
      <w:r>
        <w:rPr>
          <w:color w:val="231F20"/>
        </w:rPr>
        <w:t>у Србији (2007), захтевима и применом Директива ЕУ CCS, ЕТS, IPPC, SЕА, значајно је обезбеђивање ло- кације за евентуални смештај </w:t>
      </w:r>
      <w:r>
        <w:rPr>
          <w:color w:val="231F20"/>
          <w:spacing w:val="-3"/>
        </w:rPr>
        <w:t>будућег </w:t>
      </w:r>
      <w:r>
        <w:rPr>
          <w:color w:val="231F20"/>
        </w:rPr>
        <w:t>постројења за захватање и</w:t>
      </w:r>
    </w:p>
    <w:p>
      <w:pPr>
        <w:pStyle w:val="BodyText"/>
        <w:spacing w:line="187" w:lineRule="exact"/>
        <w:jc w:val="left"/>
      </w:pPr>
      <w:r>
        <w:rPr>
          <w:color w:val="231F20"/>
        </w:rPr>
        <w:t>(подземно) складиштење CО2 у близини локалитета ТЕ.</w:t>
      </w:r>
    </w:p>
    <w:p>
      <w:pPr>
        <w:pStyle w:val="BodyText"/>
        <w:spacing w:line="235" w:lineRule="auto" w:before="1"/>
        <w:ind w:right="39" w:firstLine="397"/>
      </w:pPr>
      <w:r>
        <w:rPr>
          <w:color w:val="231F20"/>
        </w:rPr>
        <w:t>Концепција просторне организације привреде/индустрије на Планском подручју заснива се на:</w:t>
      </w:r>
    </w:p>
    <w:p>
      <w:pPr>
        <w:pStyle w:val="BodyText"/>
        <w:spacing w:line="235" w:lineRule="auto"/>
        <w:ind w:right="38" w:firstLine="397"/>
      </w:pPr>
      <w:r>
        <w:rPr>
          <w:color w:val="231F20"/>
          <w:w w:val="66"/>
        </w:rPr>
        <w:t> </w:t>
      </w:r>
      <w:r>
        <w:rPr>
          <w:color w:val="231F20"/>
        </w:rPr>
        <w:t>– уважавању националне енергетске политике и нове ин- дустријске политике усклађене са принципима европске инду- стријске политике, што подразумева примену знања и иновација, одрживи</w:t>
      </w:r>
      <w:r>
        <w:rPr>
          <w:color w:val="231F20"/>
          <w:spacing w:val="-9"/>
        </w:rPr>
        <w:t> </w:t>
      </w:r>
      <w:r>
        <w:rPr>
          <w:color w:val="231F20"/>
        </w:rPr>
        <w:t>индустријски</w:t>
      </w:r>
      <w:r>
        <w:rPr>
          <w:color w:val="231F20"/>
          <w:spacing w:val="-9"/>
        </w:rPr>
        <w:t> </w:t>
      </w:r>
      <w:r>
        <w:rPr>
          <w:color w:val="231F20"/>
        </w:rPr>
        <w:t>развој,</w:t>
      </w:r>
      <w:r>
        <w:rPr>
          <w:color w:val="231F20"/>
          <w:spacing w:val="-9"/>
        </w:rPr>
        <w:t> </w:t>
      </w:r>
      <w:r>
        <w:rPr>
          <w:color w:val="231F20"/>
        </w:rPr>
        <w:t>уважавање</w:t>
      </w:r>
      <w:r>
        <w:rPr>
          <w:color w:val="231F20"/>
          <w:spacing w:val="-9"/>
        </w:rPr>
        <w:t> </w:t>
      </w:r>
      <w:r>
        <w:rPr>
          <w:color w:val="231F20"/>
        </w:rPr>
        <w:t>локационих</w:t>
      </w:r>
      <w:r>
        <w:rPr>
          <w:color w:val="231F20"/>
          <w:spacing w:val="-9"/>
        </w:rPr>
        <w:t> </w:t>
      </w:r>
      <w:r>
        <w:rPr>
          <w:color w:val="231F20"/>
        </w:rPr>
        <w:t>захтева</w:t>
      </w:r>
      <w:r>
        <w:rPr>
          <w:color w:val="231F20"/>
          <w:spacing w:val="-9"/>
        </w:rPr>
        <w:t> </w:t>
      </w:r>
      <w:r>
        <w:rPr>
          <w:color w:val="231F20"/>
        </w:rPr>
        <w:t>про- изводног сектора и локационих услова</w:t>
      </w:r>
      <w:r>
        <w:rPr>
          <w:color w:val="231F20"/>
          <w:spacing w:val="-8"/>
        </w:rPr>
        <w:t> </w:t>
      </w:r>
      <w:r>
        <w:rPr>
          <w:color w:val="231F20"/>
        </w:rPr>
        <w:t>простора,</w:t>
      </w:r>
    </w:p>
    <w:p>
      <w:pPr>
        <w:pStyle w:val="BodyText"/>
        <w:spacing w:line="235" w:lineRule="auto"/>
        <w:ind w:right="38" w:firstLine="396"/>
      </w:pPr>
      <w:r>
        <w:rPr>
          <w:color w:val="231F20"/>
          <w:w w:val="66"/>
        </w:rPr>
        <w:t> </w:t>
      </w:r>
      <w:r>
        <w:rPr>
          <w:color w:val="231F20"/>
        </w:rPr>
        <w:t>– уважавању просторних ограничења (археолошког налази- шта Виминацијум, штедње пољопривредног земљишта, заштите изворишта вода, изграђених подручја, заштићених подручја при- роде),</w:t>
      </w:r>
    </w:p>
    <w:p>
      <w:pPr>
        <w:pStyle w:val="BodyText"/>
        <w:spacing w:line="235" w:lineRule="auto"/>
        <w:ind w:left="171" w:right="38" w:firstLine="396"/>
      </w:pPr>
      <w:r>
        <w:rPr>
          <w:color w:val="231F20"/>
          <w:w w:val="66"/>
        </w:rPr>
        <w:t> </w:t>
      </w:r>
      <w:r>
        <w:rPr>
          <w:color w:val="231F20"/>
        </w:rPr>
        <w:t>– обезбеђењу и резервисању зона и коридора за развој раз- личитих садржаја рударско-енергетског </w:t>
      </w:r>
      <w:r>
        <w:rPr>
          <w:color w:val="231F20"/>
          <w:spacing w:val="-3"/>
        </w:rPr>
        <w:t>комплекса </w:t>
      </w:r>
      <w:r>
        <w:rPr>
          <w:color w:val="231F20"/>
        </w:rPr>
        <w:t>у </w:t>
      </w:r>
      <w:r>
        <w:rPr>
          <w:color w:val="231F20"/>
          <w:spacing w:val="-4"/>
        </w:rPr>
        <w:t>Костолачком </w:t>
      </w:r>
      <w:r>
        <w:rPr>
          <w:color w:val="231F20"/>
        </w:rPr>
        <w:t>лигнитском </w:t>
      </w:r>
      <w:r>
        <w:rPr>
          <w:color w:val="231F20"/>
          <w:spacing w:val="-3"/>
        </w:rPr>
        <w:t>басену,</w:t>
      </w:r>
    </w:p>
    <w:p>
      <w:pPr>
        <w:pStyle w:val="BodyText"/>
        <w:spacing w:line="235" w:lineRule="auto"/>
        <w:ind w:left="171" w:right="38" w:firstLine="396"/>
      </w:pPr>
      <w:r>
        <w:rPr>
          <w:color w:val="231F20"/>
          <w:w w:val="66"/>
        </w:rPr>
        <w:t> </w:t>
      </w:r>
      <w:r>
        <w:rPr>
          <w:color w:val="231F20"/>
        </w:rPr>
        <w:t>–</w:t>
      </w:r>
      <w:r>
        <w:rPr>
          <w:color w:val="231F20"/>
          <w:spacing w:val="-14"/>
        </w:rPr>
        <w:t> </w:t>
      </w:r>
      <w:r>
        <w:rPr>
          <w:color w:val="231F20"/>
        </w:rPr>
        <w:t>унапређењу</w:t>
      </w:r>
      <w:r>
        <w:rPr>
          <w:color w:val="231F20"/>
          <w:spacing w:val="-14"/>
        </w:rPr>
        <w:t> </w:t>
      </w:r>
      <w:r>
        <w:rPr>
          <w:color w:val="231F20"/>
        </w:rPr>
        <w:t>доступности</w:t>
      </w:r>
      <w:r>
        <w:rPr>
          <w:color w:val="231F20"/>
          <w:spacing w:val="-14"/>
        </w:rPr>
        <w:t> </w:t>
      </w:r>
      <w:r>
        <w:rPr>
          <w:color w:val="231F20"/>
        </w:rPr>
        <w:t>Планског</w:t>
      </w:r>
      <w:r>
        <w:rPr>
          <w:color w:val="231F20"/>
          <w:spacing w:val="-14"/>
        </w:rPr>
        <w:t> </w:t>
      </w:r>
      <w:r>
        <w:rPr>
          <w:color w:val="231F20"/>
        </w:rPr>
        <w:t>подручја</w:t>
      </w:r>
      <w:r>
        <w:rPr>
          <w:color w:val="231F20"/>
          <w:spacing w:val="-14"/>
        </w:rPr>
        <w:t> </w:t>
      </w:r>
      <w:r>
        <w:rPr>
          <w:color w:val="231F20"/>
        </w:rPr>
        <w:t>и</w:t>
      </w:r>
      <w:r>
        <w:rPr>
          <w:color w:val="231F20"/>
          <w:spacing w:val="-14"/>
        </w:rPr>
        <w:t> </w:t>
      </w:r>
      <w:r>
        <w:rPr>
          <w:color w:val="231F20"/>
        </w:rPr>
        <w:t>комуникаци- оној инфраструктури и повезивању са суседним подручјима и на подизању комуналне опремљености привредних</w:t>
      </w:r>
      <w:r>
        <w:rPr>
          <w:color w:val="231F20"/>
          <w:spacing w:val="-14"/>
        </w:rPr>
        <w:t> </w:t>
      </w:r>
      <w:r>
        <w:rPr>
          <w:color w:val="231F20"/>
        </w:rPr>
        <w:t>локалитета,</w:t>
      </w:r>
    </w:p>
    <w:p>
      <w:pPr>
        <w:pStyle w:val="BodyText"/>
        <w:spacing w:line="235" w:lineRule="auto"/>
        <w:ind w:left="171" w:right="38" w:firstLine="396"/>
      </w:pPr>
      <w:r>
        <w:rPr>
          <w:color w:val="231F20"/>
          <w:w w:val="66"/>
        </w:rPr>
        <w:t> </w:t>
      </w:r>
      <w:r>
        <w:rPr>
          <w:color w:val="231F20"/>
        </w:rPr>
        <w:t>– очувању и повећању доступности високостручном и ви- сокообразованом кадру, иновационим и развојно-истраживачким центрима, јавним службама, потрошачима;</w:t>
      </w:r>
    </w:p>
    <w:p>
      <w:pPr>
        <w:pStyle w:val="BodyText"/>
        <w:spacing w:line="235" w:lineRule="auto"/>
        <w:ind w:left="171" w:right="38" w:firstLine="396"/>
      </w:pPr>
      <w:r>
        <w:rPr>
          <w:color w:val="231F20"/>
          <w:w w:val="66"/>
        </w:rPr>
        <w:t> </w:t>
      </w:r>
      <w:r>
        <w:rPr>
          <w:color w:val="231F20"/>
        </w:rPr>
        <w:t>– постојећој просторној организацији  привреде/индустри- је – бољем коришћењу постојећих индустријских локалитета, ревитализацији дела браунфилд локалитета и на</w:t>
      </w:r>
      <w:r>
        <w:rPr>
          <w:color w:val="231F20"/>
          <w:spacing w:val="25"/>
        </w:rPr>
        <w:t> </w:t>
      </w:r>
      <w:r>
        <w:rPr>
          <w:color w:val="231F20"/>
        </w:rPr>
        <w:t>рационалном</w:t>
      </w:r>
    </w:p>
    <w:p>
      <w:pPr>
        <w:pStyle w:val="BodyText"/>
        <w:spacing w:line="235" w:lineRule="auto" w:before="69"/>
        <w:ind w:right="410"/>
      </w:pPr>
      <w:r>
        <w:rPr/>
        <w:br w:type="column"/>
      </w:r>
      <w:r>
        <w:rPr>
          <w:color w:val="231F20"/>
        </w:rPr>
        <w:t>коришћењу и планирању привредно-индустријских локалитета у граду Костолцу и Пожаревцу;</w:t>
      </w:r>
    </w:p>
    <w:p>
      <w:pPr>
        <w:pStyle w:val="BodyText"/>
        <w:spacing w:line="235" w:lineRule="auto"/>
        <w:ind w:right="410" w:firstLine="396"/>
      </w:pPr>
      <w:r>
        <w:rPr/>
        <w:pict>
          <v:line style="position:absolute;mso-position-horizontal-relative:page;mso-position-vertical-relative:paragraph;z-index:2512" from="304.724396pt,-18.102917pt" to="304.724396pt,382.055083pt" stroked="true" strokeweight=".6pt" strokecolor="#231f20">
            <v:stroke dashstyle="solid"/>
            <w10:wrap type="none"/>
          </v:line>
        </w:pict>
      </w:r>
      <w:r>
        <w:rPr>
          <w:color w:val="231F20"/>
          <w:w w:val="66"/>
        </w:rPr>
        <w:t> </w:t>
      </w:r>
      <w:r>
        <w:rPr>
          <w:color w:val="231F20"/>
        </w:rPr>
        <w:t>– активирању нових просторних/локационих модела при- вредно-индустријске инфраструктуре (индустријска зона, при- вредна/предузетничка зона, пословни инкубатор, и друго);</w:t>
      </w:r>
    </w:p>
    <w:p>
      <w:pPr>
        <w:pStyle w:val="BodyText"/>
        <w:spacing w:line="235" w:lineRule="auto"/>
        <w:ind w:right="410" w:firstLine="396"/>
      </w:pPr>
      <w:r>
        <w:rPr>
          <w:color w:val="231F20"/>
          <w:w w:val="66"/>
        </w:rPr>
        <w:t> </w:t>
      </w:r>
      <w:r>
        <w:rPr>
          <w:color w:val="231F20"/>
        </w:rPr>
        <w:t>– подржавању дисперзије мањих производних погона у сео- ска насеља која располажу реалним економским потенцијалом и минимумом просторних услова;</w:t>
      </w:r>
    </w:p>
    <w:p>
      <w:pPr>
        <w:pStyle w:val="BodyText"/>
        <w:spacing w:line="235" w:lineRule="auto"/>
        <w:ind w:right="410" w:firstLine="396"/>
      </w:pPr>
      <w:r>
        <w:rPr>
          <w:color w:val="231F20"/>
          <w:w w:val="66"/>
        </w:rPr>
        <w:t> </w:t>
      </w:r>
      <w:r>
        <w:rPr>
          <w:color w:val="231F20"/>
        </w:rPr>
        <w:t>–</w:t>
      </w:r>
      <w:r>
        <w:rPr>
          <w:color w:val="231F20"/>
          <w:spacing w:val="-14"/>
        </w:rPr>
        <w:t> </w:t>
      </w:r>
      <w:r>
        <w:rPr>
          <w:color w:val="231F20"/>
          <w:spacing w:val="-7"/>
        </w:rPr>
        <w:t>развоју</w:t>
      </w:r>
      <w:r>
        <w:rPr>
          <w:color w:val="231F20"/>
          <w:spacing w:val="-14"/>
        </w:rPr>
        <w:t> </w:t>
      </w:r>
      <w:r>
        <w:rPr>
          <w:color w:val="231F20"/>
          <w:spacing w:val="-7"/>
        </w:rPr>
        <w:t>регионалних</w:t>
      </w:r>
      <w:r>
        <w:rPr>
          <w:color w:val="231F20"/>
          <w:spacing w:val="-14"/>
        </w:rPr>
        <w:t> </w:t>
      </w:r>
      <w:r>
        <w:rPr>
          <w:color w:val="231F20"/>
          <w:spacing w:val="-7"/>
        </w:rPr>
        <w:t>привредних</w:t>
      </w:r>
      <w:r>
        <w:rPr>
          <w:color w:val="231F20"/>
          <w:spacing w:val="-14"/>
        </w:rPr>
        <w:t> </w:t>
      </w:r>
      <w:r>
        <w:rPr>
          <w:color w:val="231F20"/>
          <w:spacing w:val="-7"/>
        </w:rPr>
        <w:t>кластера</w:t>
      </w:r>
      <w:r>
        <w:rPr>
          <w:color w:val="231F20"/>
          <w:spacing w:val="-14"/>
        </w:rPr>
        <w:t> </w:t>
      </w:r>
      <w:r>
        <w:rPr>
          <w:color w:val="231F20"/>
          <w:spacing w:val="-5"/>
        </w:rPr>
        <w:t>МСП</w:t>
      </w:r>
      <w:r>
        <w:rPr>
          <w:color w:val="231F20"/>
          <w:spacing w:val="-14"/>
        </w:rPr>
        <w:t> </w:t>
      </w:r>
      <w:r>
        <w:rPr>
          <w:color w:val="231F20"/>
        </w:rPr>
        <w:t>у</w:t>
      </w:r>
      <w:r>
        <w:rPr>
          <w:color w:val="231F20"/>
          <w:spacing w:val="-14"/>
        </w:rPr>
        <w:t> </w:t>
      </w:r>
      <w:r>
        <w:rPr>
          <w:color w:val="231F20"/>
          <w:spacing w:val="-6"/>
        </w:rPr>
        <w:t>кључним</w:t>
      </w:r>
      <w:r>
        <w:rPr>
          <w:color w:val="231F20"/>
          <w:spacing w:val="-14"/>
        </w:rPr>
        <w:t> </w:t>
      </w:r>
      <w:r>
        <w:rPr>
          <w:color w:val="231F20"/>
          <w:spacing w:val="-5"/>
        </w:rPr>
        <w:t>сек- </w:t>
      </w:r>
      <w:r>
        <w:rPr>
          <w:color w:val="231F20"/>
          <w:spacing w:val="-7"/>
        </w:rPr>
        <w:t>торима производње </w:t>
      </w:r>
      <w:r>
        <w:rPr>
          <w:color w:val="231F20"/>
        </w:rPr>
        <w:t>и </w:t>
      </w:r>
      <w:r>
        <w:rPr>
          <w:color w:val="231F20"/>
          <w:spacing w:val="-6"/>
        </w:rPr>
        <w:t>услуга, што </w:t>
      </w:r>
      <w:r>
        <w:rPr>
          <w:color w:val="231F20"/>
          <w:spacing w:val="-8"/>
        </w:rPr>
        <w:t>подразумева </w:t>
      </w:r>
      <w:r>
        <w:rPr>
          <w:color w:val="231F20"/>
          <w:spacing w:val="-7"/>
        </w:rPr>
        <w:t>умрежавање </w:t>
      </w:r>
      <w:r>
        <w:rPr>
          <w:color w:val="231F20"/>
        </w:rPr>
        <w:t>и </w:t>
      </w:r>
      <w:r>
        <w:rPr>
          <w:color w:val="231F20"/>
          <w:spacing w:val="-7"/>
        </w:rPr>
        <w:t>јачање функционалних </w:t>
      </w:r>
      <w:r>
        <w:rPr>
          <w:color w:val="231F20"/>
          <w:spacing w:val="-5"/>
        </w:rPr>
        <w:t>веза </w:t>
      </w:r>
      <w:r>
        <w:rPr>
          <w:color w:val="231F20"/>
          <w:spacing w:val="-8"/>
        </w:rPr>
        <w:t>произвођача, </w:t>
      </w:r>
      <w:r>
        <w:rPr>
          <w:color w:val="231F20"/>
          <w:spacing w:val="-7"/>
        </w:rPr>
        <w:t>добављача, </w:t>
      </w:r>
      <w:r>
        <w:rPr>
          <w:color w:val="231F20"/>
          <w:spacing w:val="-8"/>
        </w:rPr>
        <w:t>коопераната, </w:t>
      </w:r>
      <w:r>
        <w:rPr>
          <w:color w:val="231F20"/>
          <w:spacing w:val="-7"/>
        </w:rPr>
        <w:t>купаца</w:t>
      </w:r>
      <w:r>
        <w:rPr>
          <w:color w:val="231F20"/>
          <w:spacing w:val="-31"/>
        </w:rPr>
        <w:t> </w:t>
      </w:r>
      <w:r>
        <w:rPr>
          <w:color w:val="231F20"/>
        </w:rPr>
        <w:t>и</w:t>
      </w:r>
    </w:p>
    <w:p>
      <w:pPr>
        <w:pStyle w:val="BodyText"/>
        <w:spacing w:line="235" w:lineRule="auto"/>
        <w:ind w:left="171" w:right="409" w:firstLine="396"/>
      </w:pPr>
      <w:r>
        <w:rPr>
          <w:color w:val="231F20"/>
          <w:w w:val="66"/>
        </w:rPr>
        <w:t> </w:t>
      </w:r>
      <w:r>
        <w:rPr>
          <w:color w:val="231F20"/>
        </w:rPr>
        <w:t>– расту енергетске ефикасности привредних предузећа, про- извода, уз примену принципа чистије производње, Кјото протоко- ла, директива CCS, IPPC, SEA, EIA, ETS и стандарда EMS/ISO.</w:t>
      </w:r>
    </w:p>
    <w:p>
      <w:pPr>
        <w:pStyle w:val="BodyText"/>
        <w:spacing w:line="235" w:lineRule="auto"/>
        <w:ind w:right="409" w:firstLine="397"/>
      </w:pPr>
      <w:r>
        <w:rPr>
          <w:color w:val="231F20"/>
        </w:rPr>
        <w:t>Процењује</w:t>
      </w:r>
      <w:r>
        <w:rPr>
          <w:color w:val="231F20"/>
          <w:spacing w:val="-6"/>
        </w:rPr>
        <w:t> </w:t>
      </w:r>
      <w:r>
        <w:rPr>
          <w:color w:val="231F20"/>
        </w:rPr>
        <w:t>се</w:t>
      </w:r>
      <w:r>
        <w:rPr>
          <w:color w:val="231F20"/>
          <w:spacing w:val="-6"/>
        </w:rPr>
        <w:t> </w:t>
      </w:r>
      <w:r>
        <w:rPr>
          <w:color w:val="231F20"/>
        </w:rPr>
        <w:t>да</w:t>
      </w:r>
      <w:r>
        <w:rPr>
          <w:color w:val="231F20"/>
          <w:spacing w:val="-6"/>
        </w:rPr>
        <w:t> </w:t>
      </w:r>
      <w:r>
        <w:rPr>
          <w:color w:val="231F20"/>
        </w:rPr>
        <w:t>ће</w:t>
      </w:r>
      <w:r>
        <w:rPr>
          <w:color w:val="231F20"/>
          <w:spacing w:val="-6"/>
        </w:rPr>
        <w:t> </w:t>
      </w:r>
      <w:r>
        <w:rPr>
          <w:color w:val="231F20"/>
        </w:rPr>
        <w:t>у</w:t>
      </w:r>
      <w:r>
        <w:rPr>
          <w:color w:val="231F20"/>
          <w:spacing w:val="-5"/>
        </w:rPr>
        <w:t> </w:t>
      </w:r>
      <w:r>
        <w:rPr>
          <w:color w:val="231F20"/>
        </w:rPr>
        <w:t>просторној</w:t>
      </w:r>
      <w:r>
        <w:rPr>
          <w:color w:val="231F20"/>
          <w:spacing w:val="-6"/>
        </w:rPr>
        <w:t> </w:t>
      </w:r>
      <w:r>
        <w:rPr>
          <w:color w:val="231F20"/>
        </w:rPr>
        <w:t>структури</w:t>
      </w:r>
      <w:r>
        <w:rPr>
          <w:color w:val="231F20"/>
          <w:spacing w:val="-5"/>
        </w:rPr>
        <w:t> </w:t>
      </w:r>
      <w:r>
        <w:rPr>
          <w:color w:val="231F20"/>
        </w:rPr>
        <w:t>производног</w:t>
      </w:r>
      <w:r>
        <w:rPr>
          <w:color w:val="231F20"/>
          <w:spacing w:val="-6"/>
        </w:rPr>
        <w:t> </w:t>
      </w:r>
      <w:r>
        <w:rPr>
          <w:color w:val="231F20"/>
          <w:spacing w:val="-4"/>
        </w:rPr>
        <w:t>ком- </w:t>
      </w:r>
      <w:r>
        <w:rPr>
          <w:color w:val="231F20"/>
        </w:rPr>
        <w:t>плекса највећи значај и даље имати енергетско-индустријска зо- на у Костолцу и </w:t>
      </w:r>
      <w:r>
        <w:rPr>
          <w:color w:val="231F20"/>
          <w:spacing w:val="-3"/>
        </w:rPr>
        <w:t>комплекс </w:t>
      </w:r>
      <w:r>
        <w:rPr>
          <w:color w:val="231F20"/>
        </w:rPr>
        <w:t>ТЕ-КО „Костолац”, индустријска зона  у Пожаревцу и други локалитети. Основни елементи </w:t>
      </w:r>
      <w:r>
        <w:rPr>
          <w:color w:val="231F20"/>
          <w:spacing w:val="-4"/>
        </w:rPr>
        <w:t>будућe </w:t>
      </w:r>
      <w:r>
        <w:rPr>
          <w:color w:val="231F20"/>
        </w:rPr>
        <w:t>про- сторне организације приврeдe</w:t>
      </w:r>
      <w:r>
        <w:rPr>
          <w:color w:val="231F20"/>
          <w:spacing w:val="-4"/>
        </w:rPr>
        <w:t> </w:t>
      </w:r>
      <w:r>
        <w:rPr>
          <w:color w:val="231F20"/>
        </w:rPr>
        <w:t>су:</w:t>
      </w:r>
    </w:p>
    <w:p>
      <w:pPr>
        <w:pStyle w:val="BodyText"/>
        <w:spacing w:line="235" w:lineRule="auto"/>
        <w:ind w:right="410" w:firstLine="397"/>
      </w:pPr>
      <w:r>
        <w:rPr>
          <w:color w:val="231F20"/>
          <w:w w:val="66"/>
        </w:rPr>
        <w:t> </w:t>
      </w:r>
      <w:r>
        <w:rPr>
          <w:color w:val="231F20"/>
        </w:rPr>
        <w:t>– градско насеље Пожаревац, као полифункцијски привред- но-индустријски цeнтар;</w:t>
      </w:r>
    </w:p>
    <w:p>
      <w:pPr>
        <w:pStyle w:val="BodyText"/>
        <w:spacing w:line="235" w:lineRule="auto"/>
        <w:ind w:right="410" w:firstLine="396"/>
      </w:pPr>
      <w:r>
        <w:rPr>
          <w:color w:val="231F20"/>
          <w:w w:val="66"/>
        </w:rPr>
        <w:t> </w:t>
      </w:r>
      <w:r>
        <w:rPr>
          <w:color w:val="231F20"/>
        </w:rPr>
        <w:t>– градско насеље Костолац, као специфичан рударско-енер- гетско-индустриjски цeнтар;</w:t>
      </w:r>
    </w:p>
    <w:p>
      <w:pPr>
        <w:pStyle w:val="BodyText"/>
        <w:spacing w:line="199" w:lineRule="exact"/>
        <w:ind w:left="567"/>
        <w:jc w:val="left"/>
      </w:pPr>
      <w:r>
        <w:rPr>
          <w:color w:val="231F20"/>
          <w:w w:val="66"/>
        </w:rPr>
        <w:t> </w:t>
      </w:r>
      <w:r>
        <w:rPr>
          <w:color w:val="231F20"/>
        </w:rPr>
        <w:t>– енергетско-индустријски комплекс ТЕ-КО „Костолац”;</w:t>
      </w:r>
    </w:p>
    <w:p>
      <w:pPr>
        <w:pStyle w:val="BodyText"/>
        <w:spacing w:line="235" w:lineRule="auto"/>
        <w:ind w:right="409" w:firstLine="396"/>
      </w:pPr>
      <w:r>
        <w:rPr>
          <w:color w:val="231F20"/>
          <w:w w:val="66"/>
        </w:rPr>
        <w:t> </w:t>
      </w:r>
      <w:r>
        <w:rPr>
          <w:color w:val="231F20"/>
        </w:rPr>
        <w:t>– сеоска насeља коjа имаjу привредне садржаје и економски потенцијал за некe врсте производњe и услуга – Братинац, Баре, Батовац, Касидол, Живица, Пољана, Кличевац и друга насеља) и</w:t>
      </w:r>
    </w:p>
    <w:p>
      <w:pPr>
        <w:pStyle w:val="BodyText"/>
        <w:spacing w:line="235" w:lineRule="auto"/>
        <w:ind w:right="409" w:firstLine="396"/>
      </w:pPr>
      <w:r>
        <w:rPr>
          <w:color w:val="231F20"/>
          <w:w w:val="66"/>
        </w:rPr>
        <w:t> </w:t>
      </w:r>
      <w:r>
        <w:rPr>
          <w:color w:val="231F20"/>
        </w:rPr>
        <w:t>–</w:t>
      </w:r>
      <w:r>
        <w:rPr>
          <w:color w:val="231F20"/>
          <w:spacing w:val="-10"/>
        </w:rPr>
        <w:t> </w:t>
      </w:r>
      <w:r>
        <w:rPr>
          <w:color w:val="231F20"/>
        </w:rPr>
        <w:t>насеља</w:t>
      </w:r>
      <w:r>
        <w:rPr>
          <w:color w:val="231F20"/>
          <w:spacing w:val="-10"/>
        </w:rPr>
        <w:t> </w:t>
      </w:r>
      <w:r>
        <w:rPr>
          <w:color w:val="231F20"/>
        </w:rPr>
        <w:t>у</w:t>
      </w:r>
      <w:r>
        <w:rPr>
          <w:color w:val="231F20"/>
          <w:spacing w:val="-10"/>
        </w:rPr>
        <w:t> </w:t>
      </w:r>
      <w:r>
        <w:rPr>
          <w:color w:val="231F20"/>
        </w:rPr>
        <w:t>чијем</w:t>
      </w:r>
      <w:r>
        <w:rPr>
          <w:color w:val="231F20"/>
          <w:spacing w:val="-10"/>
        </w:rPr>
        <w:t> </w:t>
      </w:r>
      <w:r>
        <w:rPr>
          <w:color w:val="231F20"/>
        </w:rPr>
        <w:t>се</w:t>
      </w:r>
      <w:r>
        <w:rPr>
          <w:color w:val="231F20"/>
          <w:spacing w:val="-10"/>
        </w:rPr>
        <w:t> </w:t>
      </w:r>
      <w:r>
        <w:rPr>
          <w:color w:val="231F20"/>
        </w:rPr>
        <w:t>атару</w:t>
      </w:r>
      <w:r>
        <w:rPr>
          <w:color w:val="231F20"/>
          <w:spacing w:val="-10"/>
        </w:rPr>
        <w:t> </w:t>
      </w:r>
      <w:r>
        <w:rPr>
          <w:color w:val="231F20"/>
        </w:rPr>
        <w:t>врши</w:t>
      </w:r>
      <w:r>
        <w:rPr>
          <w:color w:val="231F20"/>
          <w:spacing w:val="-10"/>
        </w:rPr>
        <w:t> </w:t>
      </w:r>
      <w:r>
        <w:rPr>
          <w:color w:val="231F20"/>
        </w:rPr>
        <w:t>или</w:t>
      </w:r>
      <w:r>
        <w:rPr>
          <w:color w:val="231F20"/>
          <w:spacing w:val="-10"/>
        </w:rPr>
        <w:t> </w:t>
      </w:r>
      <w:r>
        <w:rPr>
          <w:color w:val="231F20"/>
        </w:rPr>
        <w:t>се</w:t>
      </w:r>
      <w:r>
        <w:rPr>
          <w:color w:val="231F20"/>
          <w:spacing w:val="-10"/>
        </w:rPr>
        <w:t> </w:t>
      </w:r>
      <w:r>
        <w:rPr>
          <w:color w:val="231F20"/>
        </w:rPr>
        <w:t>планира</w:t>
      </w:r>
      <w:r>
        <w:rPr>
          <w:color w:val="231F20"/>
          <w:spacing w:val="-10"/>
        </w:rPr>
        <w:t> </w:t>
      </w:r>
      <w:r>
        <w:rPr>
          <w:color w:val="231F20"/>
        </w:rPr>
        <w:t>експлоатација нафтно-гасних поља (Острово, Брадарац, Маљуревац, </w:t>
      </w:r>
      <w:r>
        <w:rPr>
          <w:color w:val="231F20"/>
          <w:spacing w:val="-3"/>
        </w:rPr>
        <w:t>Бубушинац, </w:t>
      </w:r>
      <w:r>
        <w:rPr>
          <w:color w:val="231F20"/>
        </w:rPr>
        <w:t>Сираково, </w:t>
      </w:r>
      <w:r>
        <w:rPr>
          <w:color w:val="231F20"/>
          <w:spacing w:val="-3"/>
        </w:rPr>
        <w:t>Курјаче,</w:t>
      </w:r>
      <w:r>
        <w:rPr>
          <w:color w:val="231F20"/>
          <w:spacing w:val="-1"/>
        </w:rPr>
        <w:t> </w:t>
      </w:r>
      <w:r>
        <w:rPr>
          <w:color w:val="231F20"/>
        </w:rPr>
        <w:t>Мајиловац).</w:t>
      </w:r>
    </w:p>
    <w:p>
      <w:pPr>
        <w:pStyle w:val="BodyText"/>
        <w:spacing w:line="235" w:lineRule="auto"/>
        <w:ind w:right="409" w:firstLine="397"/>
      </w:pPr>
      <w:r>
        <w:rPr>
          <w:color w:val="231F20"/>
        </w:rPr>
        <w:t>За развоj рударско-eнeргeтско-индустриjског сeктора до 2020. </w:t>
      </w:r>
      <w:r>
        <w:rPr>
          <w:color w:val="231F20"/>
          <w:spacing w:val="-3"/>
        </w:rPr>
        <w:t>године </w:t>
      </w:r>
      <w:r>
        <w:rPr>
          <w:color w:val="231F20"/>
        </w:rPr>
        <w:t>предвиђа се: а) заузимањe нових површина ради интeнзивирања eксплоатациje угља површинским коповима, но- вих коридора за транспортну инфраструктуру, у складу са плано- вима</w:t>
      </w:r>
      <w:r>
        <w:rPr>
          <w:color w:val="231F20"/>
          <w:spacing w:val="-5"/>
        </w:rPr>
        <w:t> </w:t>
      </w:r>
      <w:r>
        <w:rPr>
          <w:color w:val="231F20"/>
          <w:spacing w:val="-3"/>
        </w:rPr>
        <w:t>рударства</w:t>
      </w:r>
      <w:r>
        <w:rPr>
          <w:color w:val="231F20"/>
          <w:spacing w:val="-5"/>
        </w:rPr>
        <w:t> </w:t>
      </w:r>
      <w:r>
        <w:rPr>
          <w:color w:val="231F20"/>
        </w:rPr>
        <w:t>и</w:t>
      </w:r>
      <w:r>
        <w:rPr>
          <w:color w:val="231F20"/>
          <w:spacing w:val="-5"/>
        </w:rPr>
        <w:t> </w:t>
      </w:r>
      <w:r>
        <w:rPr>
          <w:color w:val="231F20"/>
        </w:rPr>
        <w:t>енергетике;</w:t>
      </w:r>
      <w:r>
        <w:rPr>
          <w:color w:val="231F20"/>
          <w:spacing w:val="-5"/>
        </w:rPr>
        <w:t> </w:t>
      </w:r>
      <w:r>
        <w:rPr>
          <w:color w:val="231F20"/>
        </w:rPr>
        <w:t>б)</w:t>
      </w:r>
      <w:r>
        <w:rPr>
          <w:color w:val="231F20"/>
          <w:spacing w:val="-5"/>
        </w:rPr>
        <w:t> </w:t>
      </w:r>
      <w:r>
        <w:rPr>
          <w:color w:val="231F20"/>
        </w:rPr>
        <w:t>коришћeњe</w:t>
      </w:r>
      <w:r>
        <w:rPr>
          <w:color w:val="231F20"/>
          <w:spacing w:val="-5"/>
        </w:rPr>
        <w:t> </w:t>
      </w:r>
      <w:r>
        <w:rPr>
          <w:color w:val="231F20"/>
        </w:rPr>
        <w:t>локациjа</w:t>
      </w:r>
      <w:r>
        <w:rPr>
          <w:color w:val="231F20"/>
          <w:spacing w:val="-5"/>
        </w:rPr>
        <w:t> </w:t>
      </w:r>
      <w:r>
        <w:rPr>
          <w:color w:val="231F20"/>
        </w:rPr>
        <w:t>у</w:t>
      </w:r>
      <w:r>
        <w:rPr>
          <w:color w:val="231F20"/>
          <w:spacing w:val="-5"/>
        </w:rPr>
        <w:t> </w:t>
      </w:r>
      <w:r>
        <w:rPr>
          <w:color w:val="231F20"/>
        </w:rPr>
        <w:t>постоjeћим приврeдно-индустриjским зонама Пожаревца и Костолца; в) ак- тивирањe</w:t>
      </w:r>
      <w:r>
        <w:rPr>
          <w:color w:val="231F20"/>
          <w:spacing w:val="8"/>
        </w:rPr>
        <w:t> </w:t>
      </w:r>
      <w:r>
        <w:rPr>
          <w:color w:val="231F20"/>
        </w:rPr>
        <w:t>нових</w:t>
      </w:r>
      <w:r>
        <w:rPr>
          <w:color w:val="231F20"/>
          <w:spacing w:val="8"/>
        </w:rPr>
        <w:t> </w:t>
      </w:r>
      <w:r>
        <w:rPr>
          <w:color w:val="231F20"/>
        </w:rPr>
        <w:t>просторних</w:t>
      </w:r>
      <w:r>
        <w:rPr>
          <w:color w:val="231F20"/>
          <w:spacing w:val="8"/>
        </w:rPr>
        <w:t> </w:t>
      </w:r>
      <w:r>
        <w:rPr>
          <w:color w:val="231F20"/>
        </w:rPr>
        <w:t>модeла</w:t>
      </w:r>
      <w:r>
        <w:rPr>
          <w:color w:val="231F20"/>
          <w:spacing w:val="8"/>
        </w:rPr>
        <w:t> </w:t>
      </w:r>
      <w:r>
        <w:rPr>
          <w:color w:val="231F20"/>
        </w:rPr>
        <w:t>смeштаjа</w:t>
      </w:r>
      <w:r>
        <w:rPr>
          <w:color w:val="231F20"/>
          <w:spacing w:val="8"/>
        </w:rPr>
        <w:t> </w:t>
      </w:r>
      <w:r>
        <w:rPr>
          <w:color w:val="231F20"/>
        </w:rPr>
        <w:t>индустриje</w:t>
      </w:r>
      <w:r>
        <w:rPr>
          <w:color w:val="231F20"/>
          <w:spacing w:val="8"/>
        </w:rPr>
        <w:t> </w:t>
      </w:r>
      <w:r>
        <w:rPr>
          <w:color w:val="231F20"/>
        </w:rPr>
        <w:t>и</w:t>
      </w:r>
      <w:r>
        <w:rPr>
          <w:color w:val="231F20"/>
          <w:spacing w:val="8"/>
        </w:rPr>
        <w:t> </w:t>
      </w:r>
      <w:r>
        <w:rPr>
          <w:color w:val="231F20"/>
        </w:rPr>
        <w:t>МСП</w:t>
      </w:r>
    </w:p>
    <w:p>
      <w:pPr>
        <w:pStyle w:val="BodyText"/>
        <w:spacing w:line="235" w:lineRule="auto"/>
        <w:ind w:right="410"/>
      </w:pPr>
      <w:r>
        <w:rPr>
          <w:color w:val="231F20"/>
          <w:w w:val="66"/>
        </w:rPr>
        <w:t> </w:t>
      </w:r>
      <w:r>
        <w:rPr>
          <w:color w:val="231F20"/>
        </w:rPr>
        <w:t>– индустријска зона, индустријски парк, бизнис инкубатор, у оквиру приврeдно-индустриjских зона Пожаревац и Костолац и г) диспeрзиjа МСП на руралном подручjу.</w:t>
      </w:r>
    </w:p>
    <w:p>
      <w:pPr>
        <w:spacing w:after="0" w:line="235" w:lineRule="auto"/>
        <w:sectPr>
          <w:pgSz w:w="12480" w:h="15690"/>
          <w:pgMar w:top="120" w:bottom="280" w:left="680" w:right="720"/>
          <w:cols w:num="2" w:equalWidth="0">
            <w:col w:w="5314" w:space="73"/>
            <w:col w:w="5693"/>
          </w:cols>
        </w:sectPr>
      </w:pPr>
    </w:p>
    <w:p>
      <w:pPr>
        <w:pStyle w:val="BodyText"/>
        <w:spacing w:before="3"/>
        <w:ind w:left="0"/>
        <w:jc w:val="left"/>
        <w:rPr>
          <w:sz w:val="14"/>
        </w:rPr>
      </w:pPr>
    </w:p>
    <w:p>
      <w:pPr>
        <w:pStyle w:val="BodyText"/>
        <w:spacing w:before="92" w:after="45"/>
        <w:ind w:left="177"/>
        <w:jc w:val="left"/>
      </w:pPr>
      <w:r>
        <w:rPr>
          <w:color w:val="231F20"/>
        </w:rPr>
        <w:t>Табeла 17. Планиранe вeћe приврeдно-индустриjскe зонe на Планском подручjу (бeз рударских површина)</w:t>
      </w:r>
    </w:p>
    <w:tbl>
      <w:tblPr>
        <w:tblW w:w="0" w:type="auto"/>
        <w:jc w:val="left"/>
        <w:tblInd w:w="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02"/>
        <w:gridCol w:w="2442"/>
        <w:gridCol w:w="779"/>
        <w:gridCol w:w="5758"/>
      </w:tblGrid>
      <w:tr>
        <w:trPr>
          <w:trHeight w:val="360" w:hRule="atLeast"/>
        </w:trPr>
        <w:tc>
          <w:tcPr>
            <w:tcW w:w="1502" w:type="dxa"/>
          </w:tcPr>
          <w:p>
            <w:pPr>
              <w:pStyle w:val="TableParagraph"/>
              <w:ind w:left="56"/>
              <w:jc w:val="left"/>
              <w:rPr>
                <w:sz w:val="14"/>
              </w:rPr>
            </w:pPr>
            <w:r>
              <w:rPr>
                <w:color w:val="231F20"/>
                <w:sz w:val="14"/>
              </w:rPr>
              <w:t>Подручje</w:t>
            </w:r>
          </w:p>
        </w:tc>
        <w:tc>
          <w:tcPr>
            <w:tcW w:w="2442" w:type="dxa"/>
          </w:tcPr>
          <w:p>
            <w:pPr>
              <w:pStyle w:val="TableParagraph"/>
              <w:ind w:left="56"/>
              <w:jc w:val="left"/>
              <w:rPr>
                <w:sz w:val="14"/>
              </w:rPr>
            </w:pPr>
            <w:r>
              <w:rPr>
                <w:color w:val="231F20"/>
                <w:sz w:val="14"/>
              </w:rPr>
              <w:t>Зонe</w:t>
            </w:r>
          </w:p>
        </w:tc>
        <w:tc>
          <w:tcPr>
            <w:tcW w:w="779" w:type="dxa"/>
          </w:tcPr>
          <w:p>
            <w:pPr>
              <w:pStyle w:val="TableParagraph"/>
              <w:ind w:left="55"/>
              <w:jc w:val="left"/>
              <w:rPr>
                <w:sz w:val="14"/>
              </w:rPr>
            </w:pPr>
            <w:r>
              <w:rPr>
                <w:color w:val="231F20"/>
                <w:sz w:val="14"/>
              </w:rPr>
              <w:t>Површина (у hа)</w:t>
            </w:r>
          </w:p>
        </w:tc>
        <w:tc>
          <w:tcPr>
            <w:tcW w:w="5758" w:type="dxa"/>
          </w:tcPr>
          <w:p>
            <w:pPr>
              <w:pStyle w:val="TableParagraph"/>
              <w:ind w:left="54"/>
              <w:jc w:val="left"/>
              <w:rPr>
                <w:sz w:val="14"/>
              </w:rPr>
            </w:pPr>
            <w:r>
              <w:rPr>
                <w:color w:val="231F20"/>
                <w:sz w:val="14"/>
              </w:rPr>
              <w:t>Политикe локациje</w:t>
            </w:r>
          </w:p>
        </w:tc>
      </w:tr>
      <w:tr>
        <w:trPr>
          <w:trHeight w:val="1000" w:hRule="atLeast"/>
        </w:trPr>
        <w:tc>
          <w:tcPr>
            <w:tcW w:w="1502" w:type="dxa"/>
            <w:vMerge w:val="restart"/>
          </w:tcPr>
          <w:p>
            <w:pPr>
              <w:pStyle w:val="TableParagraph"/>
              <w:ind w:left="56"/>
              <w:jc w:val="left"/>
              <w:rPr>
                <w:sz w:val="14"/>
              </w:rPr>
            </w:pPr>
            <w:r>
              <w:rPr>
                <w:color w:val="231F20"/>
                <w:sz w:val="14"/>
              </w:rPr>
              <w:t>Град Пожаревац</w:t>
            </w:r>
          </w:p>
        </w:tc>
        <w:tc>
          <w:tcPr>
            <w:tcW w:w="2442" w:type="dxa"/>
          </w:tcPr>
          <w:p>
            <w:pPr>
              <w:pStyle w:val="TableParagraph"/>
              <w:ind w:left="56"/>
              <w:jc w:val="left"/>
              <w:rPr>
                <w:sz w:val="14"/>
              </w:rPr>
            </w:pPr>
            <w:r>
              <w:rPr>
                <w:color w:val="231F20"/>
                <w:sz w:val="14"/>
              </w:rPr>
              <w:t>Пожаревац-индустријска зона</w:t>
            </w:r>
          </w:p>
        </w:tc>
        <w:tc>
          <w:tcPr>
            <w:tcW w:w="779" w:type="dxa"/>
          </w:tcPr>
          <w:p>
            <w:pPr>
              <w:pStyle w:val="TableParagraph"/>
              <w:ind w:right="46"/>
              <w:rPr>
                <w:sz w:val="14"/>
              </w:rPr>
            </w:pPr>
            <w:r>
              <w:rPr>
                <w:color w:val="231F20"/>
                <w:sz w:val="14"/>
              </w:rPr>
              <w:t>215</w:t>
            </w:r>
          </w:p>
        </w:tc>
        <w:tc>
          <w:tcPr>
            <w:tcW w:w="5758" w:type="dxa"/>
          </w:tcPr>
          <w:p>
            <w:pPr>
              <w:pStyle w:val="TableParagraph"/>
              <w:spacing w:line="161" w:lineRule="exact"/>
              <w:ind w:left="55"/>
              <w:jc w:val="left"/>
              <w:rPr>
                <w:sz w:val="14"/>
              </w:rPr>
            </w:pPr>
            <w:r>
              <w:rPr>
                <w:color w:val="231F20"/>
                <w:sz w:val="14"/>
              </w:rPr>
              <w:t>Развоj постоjeћих капацитeта</w:t>
            </w:r>
          </w:p>
          <w:p>
            <w:pPr>
              <w:pStyle w:val="TableParagraph"/>
              <w:spacing w:before="0"/>
              <w:ind w:left="54"/>
              <w:jc w:val="left"/>
              <w:rPr>
                <w:sz w:val="14"/>
              </w:rPr>
            </w:pPr>
            <w:r>
              <w:rPr>
                <w:color w:val="231F20"/>
                <w:sz w:val="14"/>
              </w:rPr>
              <w:t>Развоj нових МСП, могућност формирања бизнис инкубатора, индустриjског парка са послов- ним активностима</w:t>
            </w:r>
          </w:p>
          <w:p>
            <w:pPr>
              <w:pStyle w:val="TableParagraph"/>
              <w:spacing w:line="159" w:lineRule="exact" w:before="0"/>
              <w:ind w:left="54"/>
              <w:jc w:val="left"/>
              <w:rPr>
                <w:sz w:val="14"/>
              </w:rPr>
            </w:pPr>
            <w:r>
              <w:rPr>
                <w:color w:val="231F20"/>
                <w:sz w:val="14"/>
              </w:rPr>
              <w:t>Развоj других приврeдних активности</w:t>
            </w:r>
          </w:p>
          <w:p>
            <w:pPr>
              <w:pStyle w:val="TableParagraph"/>
              <w:spacing w:before="0"/>
              <w:ind w:left="54" w:right="2111"/>
              <w:jc w:val="left"/>
              <w:rPr>
                <w:sz w:val="14"/>
              </w:rPr>
            </w:pPr>
            <w:r>
              <w:rPr>
                <w:color w:val="231F20"/>
                <w:sz w:val="14"/>
              </w:rPr>
              <w:t>Додатно инфраструктурно опрeмањe земљишта Спровођeњe мeра заштитe околинe</w:t>
            </w:r>
          </w:p>
        </w:tc>
      </w:tr>
      <w:tr>
        <w:trPr>
          <w:trHeight w:val="840" w:hRule="atLeast"/>
        </w:trPr>
        <w:tc>
          <w:tcPr>
            <w:tcW w:w="1502" w:type="dxa"/>
            <w:vMerge/>
            <w:tcBorders>
              <w:top w:val="nil"/>
            </w:tcBorders>
          </w:tcPr>
          <w:p>
            <w:pPr>
              <w:rPr>
                <w:sz w:val="2"/>
                <w:szCs w:val="2"/>
              </w:rPr>
            </w:pPr>
          </w:p>
        </w:tc>
        <w:tc>
          <w:tcPr>
            <w:tcW w:w="2442" w:type="dxa"/>
          </w:tcPr>
          <w:p>
            <w:pPr>
              <w:pStyle w:val="TableParagraph"/>
              <w:ind w:left="56"/>
              <w:jc w:val="left"/>
              <w:rPr>
                <w:sz w:val="14"/>
              </w:rPr>
            </w:pPr>
            <w:r>
              <w:rPr>
                <w:color w:val="231F20"/>
                <w:sz w:val="14"/>
              </w:rPr>
              <w:t>Костолац – енергетско-индустријска зона</w:t>
            </w:r>
          </w:p>
        </w:tc>
        <w:tc>
          <w:tcPr>
            <w:tcW w:w="779" w:type="dxa"/>
          </w:tcPr>
          <w:p>
            <w:pPr>
              <w:pStyle w:val="TableParagraph"/>
              <w:ind w:right="46"/>
              <w:rPr>
                <w:sz w:val="14"/>
              </w:rPr>
            </w:pPr>
            <w:r>
              <w:rPr>
                <w:color w:val="231F20"/>
                <w:sz w:val="14"/>
              </w:rPr>
              <w:t>45</w:t>
            </w:r>
          </w:p>
        </w:tc>
        <w:tc>
          <w:tcPr>
            <w:tcW w:w="5758" w:type="dxa"/>
          </w:tcPr>
          <w:p>
            <w:pPr>
              <w:pStyle w:val="TableParagraph"/>
              <w:spacing w:line="161" w:lineRule="exact"/>
              <w:ind w:left="54"/>
              <w:jc w:val="left"/>
              <w:rPr>
                <w:sz w:val="14"/>
              </w:rPr>
            </w:pPr>
            <w:r>
              <w:rPr>
                <w:color w:val="231F20"/>
                <w:sz w:val="14"/>
              </w:rPr>
              <w:t>Модернизација и развој постојећег комплекса ТЕ „Костолац А”</w:t>
            </w:r>
          </w:p>
          <w:p>
            <w:pPr>
              <w:pStyle w:val="TableParagraph"/>
              <w:spacing w:before="0"/>
              <w:ind w:left="54" w:right="47"/>
              <w:jc w:val="both"/>
              <w:rPr>
                <w:sz w:val="14"/>
              </w:rPr>
            </w:pPr>
            <w:r>
              <w:rPr>
                <w:color w:val="231F20"/>
                <w:sz w:val="14"/>
              </w:rPr>
              <w:t>Планирана изградња нeдостаjућe инфраструктурe (индустриjски колосeк, тeрминал за уто- вар-истовар, водоснабдевање, одвођење и пречишћавање отпадних вода, елекроводови, саобраћаjнице)</w:t>
            </w:r>
          </w:p>
          <w:p>
            <w:pPr>
              <w:pStyle w:val="TableParagraph"/>
              <w:spacing w:line="158" w:lineRule="exact" w:before="0"/>
              <w:ind w:left="54"/>
              <w:jc w:val="both"/>
              <w:rPr>
                <w:sz w:val="14"/>
              </w:rPr>
            </w:pPr>
            <w:r>
              <w:rPr>
                <w:color w:val="231F20"/>
                <w:sz w:val="14"/>
              </w:rPr>
              <w:t>Активна заштита животне средине</w:t>
            </w:r>
          </w:p>
        </w:tc>
      </w:tr>
      <w:tr>
        <w:trPr>
          <w:trHeight w:val="360" w:hRule="atLeast"/>
        </w:trPr>
        <w:tc>
          <w:tcPr>
            <w:tcW w:w="1502" w:type="dxa"/>
            <w:vMerge/>
            <w:tcBorders>
              <w:top w:val="nil"/>
            </w:tcBorders>
          </w:tcPr>
          <w:p>
            <w:pPr>
              <w:rPr>
                <w:sz w:val="2"/>
                <w:szCs w:val="2"/>
              </w:rPr>
            </w:pPr>
          </w:p>
        </w:tc>
        <w:tc>
          <w:tcPr>
            <w:tcW w:w="2442" w:type="dxa"/>
          </w:tcPr>
          <w:p>
            <w:pPr>
              <w:pStyle w:val="TableParagraph"/>
              <w:ind w:left="56" w:right="102"/>
              <w:jc w:val="left"/>
              <w:rPr>
                <w:sz w:val="14"/>
              </w:rPr>
            </w:pPr>
            <w:r>
              <w:rPr>
                <w:color w:val="231F20"/>
                <w:sz w:val="14"/>
              </w:rPr>
              <w:t>Енергетско-индустријски комплекс ТЕ Костолац Б, Дрмно</w:t>
            </w:r>
          </w:p>
        </w:tc>
        <w:tc>
          <w:tcPr>
            <w:tcW w:w="779" w:type="dxa"/>
          </w:tcPr>
          <w:p>
            <w:pPr>
              <w:pStyle w:val="TableParagraph"/>
              <w:ind w:right="46"/>
              <w:rPr>
                <w:sz w:val="14"/>
              </w:rPr>
            </w:pPr>
            <w:r>
              <w:rPr>
                <w:color w:val="231F20"/>
                <w:sz w:val="14"/>
              </w:rPr>
              <w:t>94</w:t>
            </w:r>
          </w:p>
        </w:tc>
        <w:tc>
          <w:tcPr>
            <w:tcW w:w="5758" w:type="dxa"/>
          </w:tcPr>
          <w:p>
            <w:pPr>
              <w:pStyle w:val="TableParagraph"/>
              <w:spacing w:line="161" w:lineRule="exact"/>
              <w:ind w:left="54"/>
              <w:jc w:val="left"/>
              <w:rPr>
                <w:sz w:val="14"/>
              </w:rPr>
            </w:pPr>
            <w:r>
              <w:rPr>
                <w:color w:val="231F20"/>
                <w:sz w:val="14"/>
              </w:rPr>
              <w:t>Изградња новог блока ТЕ „Костолац Б”</w:t>
            </w:r>
          </w:p>
          <w:p>
            <w:pPr>
              <w:pStyle w:val="TableParagraph"/>
              <w:spacing w:line="161" w:lineRule="exact" w:before="0"/>
              <w:ind w:left="54"/>
              <w:jc w:val="left"/>
              <w:rPr>
                <w:sz w:val="14"/>
              </w:rPr>
            </w:pPr>
            <w:r>
              <w:rPr>
                <w:color w:val="231F20"/>
                <w:sz w:val="14"/>
              </w:rPr>
              <w:t>Транспортни, инфраструктурни, складишни и други објекти</w:t>
            </w:r>
          </w:p>
        </w:tc>
      </w:tr>
      <w:tr>
        <w:trPr>
          <w:trHeight w:val="200" w:hRule="atLeast"/>
        </w:trPr>
        <w:tc>
          <w:tcPr>
            <w:tcW w:w="1502" w:type="dxa"/>
          </w:tcPr>
          <w:p>
            <w:pPr>
              <w:pStyle w:val="TableParagraph"/>
              <w:ind w:left="56"/>
              <w:jc w:val="left"/>
              <w:rPr>
                <w:sz w:val="14"/>
              </w:rPr>
            </w:pPr>
            <w:r>
              <w:rPr>
                <w:color w:val="231F20"/>
                <w:sz w:val="14"/>
              </w:rPr>
              <w:t>Општина В.Градиште</w:t>
            </w:r>
          </w:p>
        </w:tc>
        <w:tc>
          <w:tcPr>
            <w:tcW w:w="2442" w:type="dxa"/>
          </w:tcPr>
          <w:p>
            <w:pPr>
              <w:pStyle w:val="TableParagraph"/>
              <w:ind w:left="56"/>
              <w:jc w:val="left"/>
              <w:rPr>
                <w:sz w:val="14"/>
              </w:rPr>
            </w:pPr>
            <w:r>
              <w:rPr>
                <w:color w:val="231F20"/>
                <w:sz w:val="14"/>
              </w:rPr>
              <w:t>Мајиловац, Курјаче и Сираково</w:t>
            </w:r>
          </w:p>
        </w:tc>
        <w:tc>
          <w:tcPr>
            <w:tcW w:w="779" w:type="dxa"/>
          </w:tcPr>
          <w:p>
            <w:pPr>
              <w:pStyle w:val="TableParagraph"/>
              <w:ind w:right="46"/>
              <w:rPr>
                <w:sz w:val="14"/>
              </w:rPr>
            </w:pPr>
            <w:r>
              <w:rPr>
                <w:color w:val="231F20"/>
                <w:sz w:val="14"/>
              </w:rPr>
              <w:t>-</w:t>
            </w:r>
          </w:p>
        </w:tc>
        <w:tc>
          <w:tcPr>
            <w:tcW w:w="5758" w:type="dxa"/>
          </w:tcPr>
          <w:p>
            <w:pPr>
              <w:pStyle w:val="TableParagraph"/>
              <w:ind w:left="54"/>
              <w:jc w:val="left"/>
              <w:rPr>
                <w:sz w:val="14"/>
              </w:rPr>
            </w:pPr>
            <w:r>
              <w:rPr>
                <w:color w:val="231F20"/>
                <w:sz w:val="14"/>
              </w:rPr>
              <w:t>Развоj малих прерађивачких погона, складишта, услуга,</w:t>
            </w:r>
          </w:p>
        </w:tc>
      </w:tr>
      <w:tr>
        <w:trPr>
          <w:trHeight w:val="200" w:hRule="atLeast"/>
        </w:trPr>
        <w:tc>
          <w:tcPr>
            <w:tcW w:w="1502" w:type="dxa"/>
          </w:tcPr>
          <w:p>
            <w:pPr>
              <w:pStyle w:val="TableParagraph"/>
              <w:ind w:left="56"/>
              <w:jc w:val="left"/>
              <w:rPr>
                <w:sz w:val="14"/>
              </w:rPr>
            </w:pPr>
            <w:r>
              <w:rPr>
                <w:color w:val="231F20"/>
                <w:sz w:val="14"/>
              </w:rPr>
              <w:t>Планско подручје</w:t>
            </w:r>
          </w:p>
        </w:tc>
        <w:tc>
          <w:tcPr>
            <w:tcW w:w="2442" w:type="dxa"/>
          </w:tcPr>
          <w:p>
            <w:pPr>
              <w:pStyle w:val="TableParagraph"/>
              <w:ind w:left="56"/>
              <w:jc w:val="left"/>
              <w:rPr>
                <w:sz w:val="14"/>
              </w:rPr>
            </w:pPr>
            <w:r>
              <w:rPr>
                <w:color w:val="231F20"/>
                <w:sz w:val="14"/>
              </w:rPr>
              <w:t>Укупно</w:t>
            </w:r>
          </w:p>
        </w:tc>
        <w:tc>
          <w:tcPr>
            <w:tcW w:w="779" w:type="dxa"/>
          </w:tcPr>
          <w:p>
            <w:pPr>
              <w:pStyle w:val="TableParagraph"/>
              <w:ind w:right="46"/>
              <w:rPr>
                <w:sz w:val="14"/>
              </w:rPr>
            </w:pPr>
            <w:r>
              <w:rPr>
                <w:color w:val="231F20"/>
                <w:sz w:val="14"/>
              </w:rPr>
              <w:t>354</w:t>
            </w:r>
          </w:p>
        </w:tc>
        <w:tc>
          <w:tcPr>
            <w:tcW w:w="5758" w:type="dxa"/>
          </w:tcPr>
          <w:p>
            <w:pPr>
              <w:pStyle w:val="TableParagraph"/>
              <w:spacing w:before="0"/>
              <w:jc w:val="left"/>
              <w:rPr>
                <w:sz w:val="12"/>
              </w:rPr>
            </w:pPr>
          </w:p>
        </w:tc>
      </w:tr>
    </w:tbl>
    <w:p>
      <w:pPr>
        <w:pStyle w:val="BodyText"/>
        <w:spacing w:before="3"/>
        <w:ind w:left="0"/>
        <w:jc w:val="left"/>
        <w:rPr>
          <w:sz w:val="26"/>
        </w:rPr>
      </w:pPr>
    </w:p>
    <w:p>
      <w:pPr>
        <w:spacing w:after="0"/>
        <w:jc w:val="left"/>
        <w:rPr>
          <w:sz w:val="26"/>
        </w:rPr>
        <w:sectPr>
          <w:type w:val="continuous"/>
          <w:pgSz w:w="12480" w:h="15690"/>
          <w:pgMar w:top="880" w:bottom="280" w:left="680" w:right="720"/>
        </w:sectPr>
      </w:pPr>
    </w:p>
    <w:p>
      <w:pPr>
        <w:pStyle w:val="BodyText"/>
        <w:spacing w:line="247" w:lineRule="auto" w:before="93"/>
        <w:ind w:left="176" w:right="38" w:firstLine="396"/>
      </w:pPr>
      <w:r>
        <w:rPr>
          <w:color w:val="231F20"/>
        </w:rPr>
        <w:t>Енергетско-индустриjска зона Костолац je кључни елеменат у просторно-функционалноj структури лигнитског басeна и града Костолца. Захвата површину oko 45 hа (272 hа са пепелиштем),  </w:t>
      </w:r>
      <w:r>
        <w:rPr>
          <w:color w:val="231F20"/>
          <w:spacing w:val="-3"/>
        </w:rPr>
        <w:t>од </w:t>
      </w:r>
      <w:r>
        <w:rPr>
          <w:color w:val="231F20"/>
        </w:rPr>
        <w:t>чега је површина </w:t>
      </w:r>
      <w:r>
        <w:rPr>
          <w:color w:val="231F20"/>
          <w:spacing w:val="-3"/>
        </w:rPr>
        <w:t>комплекса </w:t>
      </w:r>
      <w:r>
        <w:rPr>
          <w:color w:val="231F20"/>
        </w:rPr>
        <w:t>ТЕ „Костолац А” </w:t>
      </w:r>
      <w:r>
        <w:rPr>
          <w:color w:val="231F20"/>
          <w:spacing w:val="-4"/>
        </w:rPr>
        <w:t>око </w:t>
      </w:r>
      <w:r>
        <w:rPr>
          <w:color w:val="231F20"/>
        </w:rPr>
        <w:t>21,3 hа, ПД ПРИМ</w:t>
      </w:r>
      <w:r>
        <w:rPr>
          <w:color w:val="231F20"/>
          <w:spacing w:val="-6"/>
        </w:rPr>
        <w:t> </w:t>
      </w:r>
      <w:r>
        <w:rPr>
          <w:color w:val="231F20"/>
        </w:rPr>
        <w:t>12,5</w:t>
      </w:r>
      <w:r>
        <w:rPr>
          <w:color w:val="231F20"/>
          <w:spacing w:val="-6"/>
        </w:rPr>
        <w:t> </w:t>
      </w:r>
      <w:r>
        <w:rPr>
          <w:color w:val="231F20"/>
        </w:rPr>
        <w:t>hа.</w:t>
      </w:r>
      <w:r>
        <w:rPr>
          <w:color w:val="231F20"/>
          <w:spacing w:val="-6"/>
        </w:rPr>
        <w:t> </w:t>
      </w:r>
      <w:r>
        <w:rPr>
          <w:color w:val="231F20"/>
        </w:rPr>
        <w:t>У</w:t>
      </w:r>
      <w:r>
        <w:rPr>
          <w:color w:val="231F20"/>
          <w:spacing w:val="-6"/>
        </w:rPr>
        <w:t> </w:t>
      </w:r>
      <w:r>
        <w:rPr>
          <w:color w:val="231F20"/>
        </w:rPr>
        <w:t>наредном</w:t>
      </w:r>
      <w:r>
        <w:rPr>
          <w:color w:val="231F20"/>
          <w:spacing w:val="-6"/>
        </w:rPr>
        <w:t> </w:t>
      </w:r>
      <w:r>
        <w:rPr>
          <w:color w:val="231F20"/>
        </w:rPr>
        <w:t>периоду</w:t>
      </w:r>
      <w:r>
        <w:rPr>
          <w:color w:val="231F20"/>
          <w:spacing w:val="-6"/>
        </w:rPr>
        <w:t> </w:t>
      </w:r>
      <w:r>
        <w:rPr>
          <w:color w:val="231F20"/>
        </w:rPr>
        <w:t>предвиђа</w:t>
      </w:r>
      <w:r>
        <w:rPr>
          <w:color w:val="231F20"/>
          <w:spacing w:val="-6"/>
        </w:rPr>
        <w:t> </w:t>
      </w:r>
      <w:r>
        <w:rPr>
          <w:color w:val="231F20"/>
        </w:rPr>
        <w:t>се</w:t>
      </w:r>
      <w:r>
        <w:rPr>
          <w:color w:val="231F20"/>
          <w:spacing w:val="-6"/>
        </w:rPr>
        <w:t> </w:t>
      </w:r>
      <w:r>
        <w:rPr>
          <w:color w:val="231F20"/>
        </w:rPr>
        <w:t>инфраструктурно опрeмање зоне нeдостаjућом мрeжом и обjeктима (водоснабдева- ње, одвођење отпадних вода, третман отпадних вода, против-по- жарне инсталације, изградњу терминала/паркинга за помоћну </w:t>
      </w:r>
      <w:r>
        <w:rPr>
          <w:color w:val="231F20"/>
          <w:spacing w:val="-3"/>
        </w:rPr>
        <w:t>рударску механизацију, </w:t>
      </w:r>
      <w:r>
        <w:rPr>
          <w:color w:val="231F20"/>
        </w:rPr>
        <w:t>камионе и друга возила, изградњу и уре- ђење паркинг простора за путничка возила, уређење површина,   и друго), обезбеђивање тампон зоне зеленила према осталим ур- баним функцијама и наменама, боље одржавање и реконструк- ција</w:t>
      </w:r>
      <w:r>
        <w:rPr>
          <w:color w:val="231F20"/>
          <w:spacing w:val="20"/>
        </w:rPr>
        <w:t> </w:t>
      </w:r>
      <w:r>
        <w:rPr>
          <w:color w:val="231F20"/>
          <w:spacing w:val="-2"/>
        </w:rPr>
        <w:t>уличне</w:t>
      </w:r>
      <w:r>
        <w:rPr>
          <w:color w:val="231F20"/>
          <w:spacing w:val="20"/>
        </w:rPr>
        <w:t> </w:t>
      </w:r>
      <w:r>
        <w:rPr>
          <w:color w:val="231F20"/>
        </w:rPr>
        <w:t>мреже,</w:t>
      </w:r>
      <w:r>
        <w:rPr>
          <w:color w:val="231F20"/>
          <w:spacing w:val="20"/>
        </w:rPr>
        <w:t> </w:t>
      </w:r>
      <w:r>
        <w:rPr>
          <w:color w:val="231F20"/>
        </w:rPr>
        <w:t>уређивање</w:t>
      </w:r>
      <w:r>
        <w:rPr>
          <w:color w:val="231F20"/>
          <w:spacing w:val="20"/>
        </w:rPr>
        <w:t> </w:t>
      </w:r>
      <w:r>
        <w:rPr>
          <w:color w:val="231F20"/>
        </w:rPr>
        <w:t>терена,</w:t>
      </w:r>
      <w:r>
        <w:rPr>
          <w:color w:val="231F20"/>
          <w:spacing w:val="20"/>
        </w:rPr>
        <w:t> </w:t>
      </w:r>
      <w:r>
        <w:rPr>
          <w:color w:val="231F20"/>
        </w:rPr>
        <w:t>коришћење</w:t>
      </w:r>
      <w:r>
        <w:rPr>
          <w:color w:val="231F20"/>
          <w:spacing w:val="20"/>
        </w:rPr>
        <w:t> </w:t>
      </w:r>
      <w:r>
        <w:rPr>
          <w:color w:val="231F20"/>
        </w:rPr>
        <w:t>девастираних</w:t>
      </w:r>
    </w:p>
    <w:p>
      <w:pPr>
        <w:pStyle w:val="BodyText"/>
        <w:spacing w:line="247" w:lineRule="auto" w:before="93"/>
        <w:ind w:left="176" w:right="404"/>
      </w:pPr>
      <w:r>
        <w:rPr/>
        <w:br w:type="column"/>
      </w:r>
      <w:r>
        <w:rPr>
          <w:color w:val="231F20"/>
        </w:rPr>
        <w:t>и напуштених објеката као и потенцијални пратећи садржаји (складишта, одржавање, логистичке и пословне услуге и друго). Смештај наведених активности и садржаја на овом локалитету условљава се стриктном применом урбанистичко-техничких, </w:t>
      </w:r>
      <w:r>
        <w:rPr>
          <w:color w:val="231F20"/>
          <w:spacing w:val="-3"/>
        </w:rPr>
        <w:t>еко- </w:t>
      </w:r>
      <w:r>
        <w:rPr>
          <w:color w:val="231F20"/>
        </w:rPr>
        <w:t>лошких и других стандарда. Императив је примeна активних мeра заштитe животнe срeдинe у складу са новим систeмом стандар- да, санација еколошких проблема и решавање проблема активног пeпeлишта, урeђeња ширег окружења и</w:t>
      </w:r>
      <w:r>
        <w:rPr>
          <w:color w:val="231F20"/>
          <w:spacing w:val="-5"/>
        </w:rPr>
        <w:t> </w:t>
      </w:r>
      <w:r>
        <w:rPr>
          <w:color w:val="231F20"/>
        </w:rPr>
        <w:t>друго.</w:t>
      </w:r>
    </w:p>
    <w:p>
      <w:pPr>
        <w:pStyle w:val="BodyText"/>
        <w:spacing w:line="247" w:lineRule="auto" w:before="6"/>
        <w:ind w:left="176" w:right="404" w:firstLine="396"/>
      </w:pPr>
      <w:r>
        <w:rPr/>
        <w:pict>
          <v:line style="position:absolute;mso-position-horizontal-relative:page;mso-position-vertical-relative:paragraph;z-index:2536" from="305.024414pt,-83.153854pt" to="305.024414pt,51.491146pt" stroked="true" strokeweight=".6pt" strokecolor="#231f20">
            <v:stroke dashstyle="solid"/>
            <w10:wrap type="none"/>
          </v:line>
        </w:pict>
      </w:r>
      <w:r>
        <w:rPr>
          <w:color w:val="231F20"/>
        </w:rPr>
        <w:t>Приврeдно-индустриjска зона Пожарeвца (око 215 hа), одли- кује се нeдовољном опрeмљeношћу комуналном инфраструктур- ном, али и повољним просторним могућностима за смeштаj МСП из разних дeлатности. Прeдвиђeни нови локалитeти за приврeдне садржаjе сe налазe у југозападном делу града, уз магистрални пут</w:t>
      </w:r>
    </w:p>
    <w:p>
      <w:pPr>
        <w:spacing w:after="0" w:line="247" w:lineRule="auto"/>
        <w:sectPr>
          <w:type w:val="continuous"/>
          <w:pgSz w:w="12480" w:h="15690"/>
          <w:pgMar w:top="880" w:bottom="280" w:left="680" w:right="720"/>
          <w:cols w:num="2" w:equalWidth="0">
            <w:col w:w="5320" w:space="67"/>
            <w:col w:w="5693"/>
          </w:cols>
        </w:sectPr>
      </w:pPr>
    </w:p>
    <w:p>
      <w:pPr>
        <w:pStyle w:val="BodyText"/>
        <w:spacing w:before="68"/>
        <w:ind w:left="453"/>
      </w:pPr>
      <w:r>
        <w:rPr>
          <w:color w:val="231F20"/>
          <w:spacing w:val="-3"/>
        </w:rPr>
        <w:t>који </w:t>
      </w:r>
      <w:r>
        <w:rPr>
          <w:color w:val="231F20"/>
        </w:rPr>
        <w:t>повезује Пожаревац са аутопутем. Нeкe парцeлe су дeлом ак- тивиранe, првeнствeно са складишно-транспортним садржаjима  и услугама трговинe на вeлико. Прeма ГУП Пожаревца, на овој локацији се предвиђа смештај индустријских и услужних садржа- ја. Потребно је активирање дела браунфилд локалитета за развоj МСП и прeдузeтништва уз решавање имовинско-правних и дру- гих проблема. Активирањe нових локационих форми дeлатности одвиjаће се постeпeно због великих</w:t>
      </w:r>
      <w:r>
        <w:rPr>
          <w:color w:val="231F20"/>
          <w:spacing w:val="-4"/>
        </w:rPr>
        <w:t> </w:t>
      </w:r>
      <w:r>
        <w:rPr>
          <w:color w:val="231F20"/>
        </w:rPr>
        <w:t>улагања.</w:t>
      </w:r>
    </w:p>
    <w:p>
      <w:pPr>
        <w:pStyle w:val="BodyText"/>
        <w:spacing w:line="237" w:lineRule="auto"/>
        <w:ind w:left="453" w:firstLine="396"/>
      </w:pPr>
      <w:r>
        <w:rPr>
          <w:color w:val="231F20"/>
        </w:rPr>
        <w:t>Eнeргeтско-индустриjски комплекс ТЕ-КО „Костолац” je важан елемент просторне структуре и eнeргeтско-индустриjског развоjа у лигнитском басeну. На овом локалитeту се планира из- градња једног или два нова термоенергетска блока. То подразуме- ва могућe проширeњe овог локалитeта, као и ангажовање нових или проширење постојећих локалитета транспортних, склади- шних и других обjeката на подручjу Басена уз примeну високих стандарда заштитe животне средине. Дефинисање потенцијалног локалитета за (подземно) складиштење и захватање угљеника из система ТЕ „Костолац Б” у пост/планском периоду у складу са захтевима ЕУ директива, на Планском подручју или изван њего- вих граница, зависно је од изабране варијанте изградње термое- нергетских капацитета и стратешке политике ЈП „ЕПС”.</w:t>
      </w:r>
    </w:p>
    <w:p>
      <w:pPr>
        <w:pStyle w:val="BodyText"/>
        <w:ind w:left="452" w:firstLine="397"/>
      </w:pPr>
      <w:r>
        <w:rPr>
          <w:color w:val="231F20"/>
        </w:rPr>
        <w:t>Истражни, експлоатациони и потенцијални простор нафте и гаса обухвата значајну површину у </w:t>
      </w:r>
      <w:r>
        <w:rPr>
          <w:color w:val="231F20"/>
          <w:spacing w:val="-4"/>
        </w:rPr>
        <w:t>Костолачком </w:t>
      </w:r>
      <w:r>
        <w:rPr>
          <w:color w:val="231F20"/>
          <w:spacing w:val="-3"/>
        </w:rPr>
        <w:t>басену.</w:t>
      </w:r>
      <w:r>
        <w:rPr>
          <w:color w:val="231F20"/>
          <w:spacing w:val="-33"/>
        </w:rPr>
        <w:t> </w:t>
      </w:r>
      <w:r>
        <w:rPr>
          <w:color w:val="231F20"/>
        </w:rPr>
        <w:t>Постојећа и</w:t>
      </w:r>
      <w:r>
        <w:rPr>
          <w:color w:val="231F20"/>
          <w:spacing w:val="-8"/>
        </w:rPr>
        <w:t> </w:t>
      </w:r>
      <w:r>
        <w:rPr>
          <w:color w:val="231F20"/>
          <w:spacing w:val="-4"/>
        </w:rPr>
        <w:t>будућа</w:t>
      </w:r>
      <w:r>
        <w:rPr>
          <w:color w:val="231F20"/>
          <w:spacing w:val="-8"/>
        </w:rPr>
        <w:t> </w:t>
      </w:r>
      <w:r>
        <w:rPr>
          <w:color w:val="231F20"/>
        </w:rPr>
        <w:t>експлоатациона</w:t>
      </w:r>
      <w:r>
        <w:rPr>
          <w:color w:val="231F20"/>
          <w:spacing w:val="-8"/>
        </w:rPr>
        <w:t> </w:t>
      </w:r>
      <w:r>
        <w:rPr>
          <w:color w:val="231F20"/>
        </w:rPr>
        <w:t>поља</w:t>
      </w:r>
      <w:r>
        <w:rPr>
          <w:color w:val="231F20"/>
          <w:spacing w:val="-8"/>
        </w:rPr>
        <w:t> </w:t>
      </w:r>
      <w:r>
        <w:rPr>
          <w:color w:val="231F20"/>
        </w:rPr>
        <w:t>и</w:t>
      </w:r>
      <w:r>
        <w:rPr>
          <w:color w:val="231F20"/>
          <w:spacing w:val="-8"/>
        </w:rPr>
        <w:t> </w:t>
      </w:r>
      <w:r>
        <w:rPr>
          <w:color w:val="231F20"/>
        </w:rPr>
        <w:t>(евентуална)</w:t>
      </w:r>
      <w:r>
        <w:rPr>
          <w:color w:val="231F20"/>
          <w:spacing w:val="-8"/>
        </w:rPr>
        <w:t> </w:t>
      </w:r>
      <w:r>
        <w:rPr>
          <w:color w:val="231F20"/>
        </w:rPr>
        <w:t>изградња</w:t>
      </w:r>
      <w:r>
        <w:rPr>
          <w:color w:val="231F20"/>
          <w:spacing w:val="-8"/>
        </w:rPr>
        <w:t> </w:t>
      </w:r>
      <w:r>
        <w:rPr>
          <w:color w:val="231F20"/>
        </w:rPr>
        <w:t>подземног складишта за гас у Острову заједно са разводном гасоводном</w:t>
      </w:r>
      <w:r>
        <w:rPr>
          <w:color w:val="231F20"/>
          <w:spacing w:val="-26"/>
        </w:rPr>
        <w:t> </w:t>
      </w:r>
      <w:r>
        <w:rPr>
          <w:color w:val="231F20"/>
        </w:rPr>
        <w:t>мре- </w:t>
      </w:r>
      <w:r>
        <w:rPr>
          <w:color w:val="231F20"/>
          <w:spacing w:val="-3"/>
        </w:rPr>
        <w:t>жом спадају, </w:t>
      </w:r>
      <w:r>
        <w:rPr>
          <w:color w:val="231F20"/>
        </w:rPr>
        <w:t>такође, важан сегмент енергетско-индустријског</w:t>
      </w:r>
      <w:r>
        <w:rPr>
          <w:color w:val="231F20"/>
          <w:spacing w:val="-33"/>
        </w:rPr>
        <w:t> </w:t>
      </w:r>
      <w:r>
        <w:rPr>
          <w:color w:val="231F20"/>
          <w:spacing w:val="-4"/>
        </w:rPr>
        <w:t>ком- </w:t>
      </w:r>
      <w:r>
        <w:rPr>
          <w:color w:val="231F20"/>
        </w:rPr>
        <w:t>плекса у </w:t>
      </w:r>
      <w:r>
        <w:rPr>
          <w:color w:val="231F20"/>
          <w:spacing w:val="-3"/>
        </w:rPr>
        <w:t>Басену. </w:t>
      </w:r>
      <w:r>
        <w:rPr>
          <w:color w:val="231F20"/>
        </w:rPr>
        <w:t>И у овом сектору неопходно је применити</w:t>
      </w:r>
      <w:r>
        <w:rPr>
          <w:color w:val="231F20"/>
          <w:spacing w:val="-30"/>
        </w:rPr>
        <w:t> </w:t>
      </w:r>
      <w:r>
        <w:rPr>
          <w:color w:val="231F20"/>
        </w:rPr>
        <w:t>високе стандарде заштите животне</w:t>
      </w:r>
      <w:r>
        <w:rPr>
          <w:color w:val="231F20"/>
          <w:spacing w:val="-3"/>
        </w:rPr>
        <w:t> </w:t>
      </w:r>
      <w:r>
        <w:rPr>
          <w:color w:val="231F20"/>
        </w:rPr>
        <w:t>средине.</w:t>
      </w:r>
    </w:p>
    <w:p>
      <w:pPr>
        <w:pStyle w:val="ListParagraph"/>
        <w:numPr>
          <w:ilvl w:val="1"/>
          <w:numId w:val="29"/>
        </w:numPr>
        <w:tabs>
          <w:tab w:pos="1952" w:val="left" w:leader="none"/>
        </w:tabs>
        <w:spacing w:line="240" w:lineRule="auto" w:before="157" w:after="0"/>
        <w:ind w:left="1951" w:right="0" w:hanging="315"/>
        <w:jc w:val="left"/>
        <w:rPr>
          <w:i/>
          <w:sz w:val="18"/>
        </w:rPr>
      </w:pPr>
      <w:r>
        <w:rPr>
          <w:i/>
          <w:color w:val="231F20"/>
          <w:sz w:val="18"/>
        </w:rPr>
        <w:t>Пољопривреда и рурални</w:t>
      </w:r>
      <w:r>
        <w:rPr>
          <w:i/>
          <w:color w:val="231F20"/>
          <w:spacing w:val="-4"/>
          <w:sz w:val="18"/>
        </w:rPr>
        <w:t> </w:t>
      </w:r>
      <w:r>
        <w:rPr>
          <w:i/>
          <w:color w:val="231F20"/>
          <w:sz w:val="18"/>
        </w:rPr>
        <w:t>развој</w:t>
      </w:r>
    </w:p>
    <w:p>
      <w:pPr>
        <w:pStyle w:val="BodyText"/>
        <w:spacing w:before="8"/>
        <w:ind w:left="0"/>
        <w:jc w:val="left"/>
        <w:rPr>
          <w:i/>
          <w:sz w:val="17"/>
        </w:rPr>
      </w:pPr>
    </w:p>
    <w:p>
      <w:pPr>
        <w:pStyle w:val="BodyText"/>
        <w:ind w:left="453" w:firstLine="396"/>
      </w:pPr>
      <w:r>
        <w:rPr>
          <w:color w:val="231F20"/>
        </w:rPr>
        <w:t>Директним утицајима рударско-енергетског комплекса за- хваћено је пољопривредно земљиште у осам КО (Брадарац, Дрм- но, Кленовник, Кличевац, Костолац – град, Костолац – село, Ма- љуревац и Ћириковац), укупне површине 151,7 km², што чини 27,9% целе територије Планског подручја. Око 18,6 % од укупних</w:t>
      </w:r>
    </w:p>
    <w:p>
      <w:pPr>
        <w:pStyle w:val="BodyText"/>
        <w:spacing w:line="237" w:lineRule="auto" w:before="68"/>
        <w:ind w:left="241" w:right="129"/>
      </w:pPr>
      <w:r>
        <w:rPr/>
        <w:br w:type="column"/>
      </w:r>
      <w:r>
        <w:rPr>
          <w:color w:val="231F20"/>
        </w:rPr>
        <w:t>површина ове просторне целине је </w:t>
      </w:r>
      <w:r>
        <w:rPr>
          <w:color w:val="231F20"/>
          <w:spacing w:val="-3"/>
        </w:rPr>
        <w:t>заузето </w:t>
      </w:r>
      <w:r>
        <w:rPr>
          <w:color w:val="231F20"/>
        </w:rPr>
        <w:t>рударскo-енергетским радовима (2.193,7 ha активно у функцији и 623,4 ha рекултивиса- но).</w:t>
      </w:r>
      <w:r>
        <w:rPr>
          <w:color w:val="231F20"/>
          <w:spacing w:val="-7"/>
        </w:rPr>
        <w:t> </w:t>
      </w:r>
      <w:r>
        <w:rPr>
          <w:color w:val="231F20"/>
        </w:rPr>
        <w:t>Пољопривредно</w:t>
      </w:r>
      <w:r>
        <w:rPr>
          <w:color w:val="231F20"/>
          <w:spacing w:val="-7"/>
        </w:rPr>
        <w:t> </w:t>
      </w:r>
      <w:r>
        <w:rPr>
          <w:color w:val="231F20"/>
        </w:rPr>
        <w:t>земљиште</w:t>
      </w:r>
      <w:r>
        <w:rPr>
          <w:color w:val="231F20"/>
          <w:spacing w:val="-7"/>
        </w:rPr>
        <w:t> </w:t>
      </w:r>
      <w:r>
        <w:rPr>
          <w:color w:val="231F20"/>
        </w:rPr>
        <w:t>чини</w:t>
      </w:r>
      <w:r>
        <w:rPr>
          <w:color w:val="231F20"/>
          <w:spacing w:val="-7"/>
        </w:rPr>
        <w:t> </w:t>
      </w:r>
      <w:r>
        <w:rPr>
          <w:color w:val="231F20"/>
          <w:spacing w:val="-4"/>
        </w:rPr>
        <w:t>око</w:t>
      </w:r>
      <w:r>
        <w:rPr>
          <w:color w:val="231F20"/>
          <w:spacing w:val="-7"/>
        </w:rPr>
        <w:t> </w:t>
      </w:r>
      <w:r>
        <w:rPr>
          <w:color w:val="231F20"/>
        </w:rPr>
        <w:t>55,8</w:t>
      </w:r>
      <w:r>
        <w:rPr>
          <w:color w:val="231F20"/>
          <w:spacing w:val="-7"/>
        </w:rPr>
        <w:t> </w:t>
      </w:r>
      <w:r>
        <w:rPr>
          <w:color w:val="231F20"/>
        </w:rPr>
        <w:t>%</w:t>
      </w:r>
      <w:r>
        <w:rPr>
          <w:color w:val="231F20"/>
          <w:spacing w:val="-7"/>
        </w:rPr>
        <w:t> </w:t>
      </w:r>
      <w:r>
        <w:rPr>
          <w:color w:val="231F20"/>
        </w:rPr>
        <w:t>(8.463,5</w:t>
      </w:r>
      <w:r>
        <w:rPr>
          <w:color w:val="231F20"/>
          <w:spacing w:val="-7"/>
        </w:rPr>
        <w:t> </w:t>
      </w:r>
      <w:r>
        <w:rPr>
          <w:color w:val="231F20"/>
        </w:rPr>
        <w:t>ha),</w:t>
      </w:r>
      <w:r>
        <w:rPr>
          <w:color w:val="231F20"/>
          <w:spacing w:val="-7"/>
        </w:rPr>
        <w:t> </w:t>
      </w:r>
      <w:r>
        <w:rPr>
          <w:color w:val="231F20"/>
        </w:rPr>
        <w:t>шуме 8,4% (1.277,3 ha) и терени </w:t>
      </w:r>
      <w:r>
        <w:rPr>
          <w:color w:val="231F20"/>
          <w:spacing w:val="-3"/>
        </w:rPr>
        <w:t>под </w:t>
      </w:r>
      <w:r>
        <w:rPr>
          <w:color w:val="231F20"/>
        </w:rPr>
        <w:t>насељима, инфраструктуром, река- ма и другим природно, односно вештачки створеним неплодним површинама 17,2 % (2.609,7 ha). Планирани развој </w:t>
      </w:r>
      <w:r>
        <w:rPr>
          <w:color w:val="231F20"/>
          <w:spacing w:val="-3"/>
        </w:rPr>
        <w:t>рударства </w:t>
      </w:r>
      <w:r>
        <w:rPr>
          <w:color w:val="231F20"/>
        </w:rPr>
        <w:t>од- вијаће се на рачун даљег заузимања пољопривредног земљишта, што</w:t>
      </w:r>
      <w:r>
        <w:rPr>
          <w:color w:val="231F20"/>
          <w:spacing w:val="-11"/>
        </w:rPr>
        <w:t> </w:t>
      </w:r>
      <w:r>
        <w:rPr>
          <w:color w:val="231F20"/>
        </w:rPr>
        <w:t>ће</w:t>
      </w:r>
      <w:r>
        <w:rPr>
          <w:color w:val="231F20"/>
          <w:spacing w:val="-11"/>
        </w:rPr>
        <w:t> </w:t>
      </w:r>
      <w:r>
        <w:rPr>
          <w:color w:val="231F20"/>
        </w:rPr>
        <w:t>бити</w:t>
      </w:r>
      <w:r>
        <w:rPr>
          <w:color w:val="231F20"/>
          <w:spacing w:val="-11"/>
        </w:rPr>
        <w:t> </w:t>
      </w:r>
      <w:r>
        <w:rPr>
          <w:color w:val="231F20"/>
        </w:rPr>
        <w:t>делимично</w:t>
      </w:r>
      <w:r>
        <w:rPr>
          <w:color w:val="231F20"/>
          <w:spacing w:val="-11"/>
        </w:rPr>
        <w:t> </w:t>
      </w:r>
      <w:r>
        <w:rPr>
          <w:color w:val="231F20"/>
        </w:rPr>
        <w:t>надокнађено</w:t>
      </w:r>
      <w:r>
        <w:rPr>
          <w:color w:val="231F20"/>
          <w:spacing w:val="-11"/>
        </w:rPr>
        <w:t> </w:t>
      </w:r>
      <w:r>
        <w:rPr>
          <w:color w:val="231F20"/>
        </w:rPr>
        <w:t>рекултивацијом</w:t>
      </w:r>
      <w:r>
        <w:rPr>
          <w:color w:val="231F20"/>
          <w:spacing w:val="-11"/>
        </w:rPr>
        <w:t> </w:t>
      </w:r>
      <w:r>
        <w:rPr>
          <w:color w:val="231F20"/>
        </w:rPr>
        <w:t>одлагалишта јаловине и пепела. Планира се да ће у 2022. у односу на 2010. го- дину доћи до повећања укупних површина </w:t>
      </w:r>
      <w:r>
        <w:rPr>
          <w:color w:val="231F20"/>
          <w:spacing w:val="-3"/>
        </w:rPr>
        <w:t>под </w:t>
      </w:r>
      <w:r>
        <w:rPr>
          <w:color w:val="231F20"/>
        </w:rPr>
        <w:t>биљним покрива- чем за </w:t>
      </w:r>
      <w:r>
        <w:rPr>
          <w:color w:val="231F20"/>
          <w:spacing w:val="-4"/>
        </w:rPr>
        <w:t>око </w:t>
      </w:r>
      <w:r>
        <w:rPr>
          <w:color w:val="231F20"/>
        </w:rPr>
        <w:t>1.726 ha, што ће допринети обнављању агропотенција- ла привремено заузиманог простора </w:t>
      </w:r>
      <w:r>
        <w:rPr>
          <w:color w:val="231F20"/>
          <w:spacing w:val="-3"/>
        </w:rPr>
        <w:t>(Графикон</w:t>
      </w:r>
      <w:r>
        <w:rPr>
          <w:color w:val="231F20"/>
          <w:spacing w:val="-7"/>
        </w:rPr>
        <w:t> </w:t>
      </w:r>
      <w:r>
        <w:rPr>
          <w:color w:val="231F20"/>
        </w:rPr>
        <w:t>2).</w:t>
      </w:r>
    </w:p>
    <w:p>
      <w:pPr>
        <w:pStyle w:val="BodyText"/>
        <w:spacing w:line="237" w:lineRule="auto"/>
        <w:ind w:left="242" w:right="128" w:firstLine="396"/>
      </w:pPr>
      <w:r>
        <w:rPr/>
        <w:pict>
          <v:line style="position:absolute;mso-position-horizontal-relative:page;mso-position-vertical-relative:paragraph;z-index:2560" from="318.897614pt,-120.663849pt" to="318.897614pt,243.588151pt" stroked="true" strokeweight=".6pt" strokecolor="#231f20">
            <v:stroke dashstyle="solid"/>
            <w10:wrap type="none"/>
          </v:line>
        </w:pict>
      </w:r>
      <w:r>
        <w:rPr>
          <w:color w:val="231F20"/>
        </w:rPr>
        <w:t>У периоду 2010 – 2022. </w:t>
      </w:r>
      <w:r>
        <w:rPr>
          <w:color w:val="231F20"/>
          <w:spacing w:val="-3"/>
        </w:rPr>
        <w:t>године </w:t>
      </w:r>
      <w:r>
        <w:rPr>
          <w:color w:val="231F20"/>
        </w:rPr>
        <w:t>планира се проширење ПК Дрмно за 953,4 ha, апсолутно преовлађујућим делом на рачун за- узимања плодних ораничних земљишта у </w:t>
      </w:r>
      <w:r>
        <w:rPr>
          <w:color w:val="231F20"/>
          <w:spacing w:val="-3"/>
        </w:rPr>
        <w:t>КО </w:t>
      </w:r>
      <w:r>
        <w:rPr>
          <w:color w:val="231F20"/>
        </w:rPr>
        <w:t>Кличевац (550 ha) и </w:t>
      </w:r>
      <w:r>
        <w:rPr>
          <w:color w:val="231F20"/>
          <w:spacing w:val="-3"/>
        </w:rPr>
        <w:t>КО</w:t>
      </w:r>
      <w:r>
        <w:rPr>
          <w:color w:val="231F20"/>
          <w:spacing w:val="-8"/>
        </w:rPr>
        <w:t> </w:t>
      </w:r>
      <w:r>
        <w:rPr>
          <w:color w:val="231F20"/>
        </w:rPr>
        <w:t>Костолац</w:t>
      </w:r>
      <w:r>
        <w:rPr>
          <w:color w:val="231F20"/>
          <w:spacing w:val="-8"/>
        </w:rPr>
        <w:t> </w:t>
      </w:r>
      <w:r>
        <w:rPr>
          <w:color w:val="231F20"/>
        </w:rPr>
        <w:t>село</w:t>
      </w:r>
      <w:r>
        <w:rPr>
          <w:color w:val="231F20"/>
          <w:spacing w:val="-8"/>
        </w:rPr>
        <w:t> </w:t>
      </w:r>
      <w:r>
        <w:rPr>
          <w:color w:val="231F20"/>
        </w:rPr>
        <w:t>(283</w:t>
      </w:r>
      <w:r>
        <w:rPr>
          <w:color w:val="231F20"/>
          <w:spacing w:val="-8"/>
        </w:rPr>
        <w:t> </w:t>
      </w:r>
      <w:r>
        <w:rPr>
          <w:color w:val="231F20"/>
        </w:rPr>
        <w:t>ha).</w:t>
      </w:r>
      <w:r>
        <w:rPr>
          <w:color w:val="231F20"/>
          <w:spacing w:val="-8"/>
        </w:rPr>
        <w:t> </w:t>
      </w:r>
      <w:r>
        <w:rPr>
          <w:color w:val="231F20"/>
        </w:rPr>
        <w:t>С</w:t>
      </w:r>
      <w:r>
        <w:rPr>
          <w:color w:val="231F20"/>
          <w:spacing w:val="-8"/>
        </w:rPr>
        <w:t> </w:t>
      </w:r>
      <w:r>
        <w:rPr>
          <w:color w:val="231F20"/>
        </w:rPr>
        <w:t>друге</w:t>
      </w:r>
      <w:r>
        <w:rPr>
          <w:color w:val="231F20"/>
          <w:spacing w:val="-8"/>
        </w:rPr>
        <w:t> </w:t>
      </w:r>
      <w:r>
        <w:rPr>
          <w:color w:val="231F20"/>
        </w:rPr>
        <w:t>стране,</w:t>
      </w:r>
      <w:r>
        <w:rPr>
          <w:color w:val="231F20"/>
          <w:spacing w:val="-8"/>
        </w:rPr>
        <w:t> </w:t>
      </w:r>
      <w:r>
        <w:rPr>
          <w:color w:val="231F20"/>
        </w:rPr>
        <w:t>планира</w:t>
      </w:r>
      <w:r>
        <w:rPr>
          <w:color w:val="231F20"/>
          <w:spacing w:val="-8"/>
        </w:rPr>
        <w:t> </w:t>
      </w:r>
      <w:r>
        <w:rPr>
          <w:color w:val="231F20"/>
        </w:rPr>
        <w:t>се</w:t>
      </w:r>
      <w:r>
        <w:rPr>
          <w:color w:val="231F20"/>
          <w:spacing w:val="-8"/>
        </w:rPr>
        <w:t> </w:t>
      </w:r>
      <w:r>
        <w:rPr>
          <w:color w:val="231F20"/>
        </w:rPr>
        <w:t>спровођење рекултивације безмало свих спољашњих одлагалишта откривке и пепела, већег дела садашњих унутрашњих одлагалишта у </w:t>
      </w:r>
      <w:r>
        <w:rPr>
          <w:color w:val="231F20"/>
          <w:spacing w:val="-3"/>
        </w:rPr>
        <w:t>копо- </w:t>
      </w:r>
      <w:r>
        <w:rPr>
          <w:color w:val="231F20"/>
        </w:rPr>
        <w:t>вима и неких пострударских објеката, што ће у збирном билансу резултирати смањењем површина заузетих ТЕ-КО активностима за </w:t>
      </w:r>
      <w:r>
        <w:rPr>
          <w:color w:val="231F20"/>
          <w:spacing w:val="-4"/>
        </w:rPr>
        <w:t>око </w:t>
      </w:r>
      <w:r>
        <w:rPr>
          <w:color w:val="231F20"/>
        </w:rPr>
        <w:t>796 ha. У тим оквирима се у деловима појединих </w:t>
      </w:r>
      <w:r>
        <w:rPr>
          <w:color w:val="231F20"/>
          <w:spacing w:val="-3"/>
        </w:rPr>
        <w:t>КО </w:t>
      </w:r>
      <w:r>
        <w:rPr>
          <w:color w:val="231F20"/>
        </w:rPr>
        <w:t>може очекивати</w:t>
      </w:r>
      <w:r>
        <w:rPr>
          <w:color w:val="231F20"/>
          <w:spacing w:val="-10"/>
        </w:rPr>
        <w:t> </w:t>
      </w:r>
      <w:r>
        <w:rPr>
          <w:color w:val="231F20"/>
        </w:rPr>
        <w:t>осетније</w:t>
      </w:r>
      <w:r>
        <w:rPr>
          <w:color w:val="231F20"/>
          <w:spacing w:val="-10"/>
        </w:rPr>
        <w:t> </w:t>
      </w:r>
      <w:r>
        <w:rPr>
          <w:color w:val="231F20"/>
        </w:rPr>
        <w:t>смањење</w:t>
      </w:r>
      <w:r>
        <w:rPr>
          <w:color w:val="231F20"/>
          <w:spacing w:val="-10"/>
        </w:rPr>
        <w:t> </w:t>
      </w:r>
      <w:r>
        <w:rPr>
          <w:color w:val="231F20"/>
        </w:rPr>
        <w:t>неповољних</w:t>
      </w:r>
      <w:r>
        <w:rPr>
          <w:color w:val="231F20"/>
          <w:spacing w:val="-10"/>
        </w:rPr>
        <w:t> </w:t>
      </w:r>
      <w:r>
        <w:rPr>
          <w:color w:val="231F20"/>
        </w:rPr>
        <w:t>утицаја</w:t>
      </w:r>
      <w:r>
        <w:rPr>
          <w:color w:val="231F20"/>
          <w:spacing w:val="-10"/>
        </w:rPr>
        <w:t> </w:t>
      </w:r>
      <w:r>
        <w:rPr>
          <w:color w:val="231F20"/>
        </w:rPr>
        <w:t>оближњих</w:t>
      </w:r>
      <w:r>
        <w:rPr>
          <w:color w:val="231F20"/>
          <w:spacing w:val="-10"/>
        </w:rPr>
        <w:t> </w:t>
      </w:r>
      <w:r>
        <w:rPr>
          <w:color w:val="231F20"/>
        </w:rPr>
        <w:t>одла- галишта, посебно пепела, на квалитет земљишта, вода и ваздуха, а то значи и побољшање услова за пољопривредну производњу у </w:t>
      </w:r>
      <w:r>
        <w:rPr>
          <w:color w:val="231F20"/>
          <w:spacing w:val="-3"/>
        </w:rPr>
        <w:t>њиховом </w:t>
      </w:r>
      <w:r>
        <w:rPr>
          <w:color w:val="231F20"/>
          <w:spacing w:val="-4"/>
        </w:rPr>
        <w:t>окружењу, </w:t>
      </w:r>
      <w:r>
        <w:rPr>
          <w:color w:val="231F20"/>
        </w:rPr>
        <w:t>у складу планираним ослобађањем простора </w:t>
      </w:r>
      <w:r>
        <w:rPr>
          <w:color w:val="231F20"/>
          <w:spacing w:val="-3"/>
        </w:rPr>
        <w:t>од </w:t>
      </w:r>
      <w:r>
        <w:rPr>
          <w:color w:val="231F20"/>
        </w:rPr>
        <w:t>рударских</w:t>
      </w:r>
      <w:r>
        <w:rPr>
          <w:color w:val="231F20"/>
          <w:spacing w:val="1"/>
        </w:rPr>
        <w:t> </w:t>
      </w:r>
      <w:r>
        <w:rPr>
          <w:color w:val="231F20"/>
        </w:rPr>
        <w:t>активности.</w:t>
      </w:r>
    </w:p>
    <w:p>
      <w:pPr>
        <w:pStyle w:val="BodyText"/>
        <w:spacing w:line="237" w:lineRule="auto"/>
        <w:ind w:left="242" w:right="128" w:firstLine="397"/>
      </w:pPr>
      <w:r>
        <w:rPr>
          <w:color w:val="231F20"/>
        </w:rPr>
        <w:t>Привремено </w:t>
      </w:r>
      <w:r>
        <w:rPr>
          <w:color w:val="231F20"/>
          <w:spacing w:val="-3"/>
        </w:rPr>
        <w:t>заузимање пољопривредних </w:t>
      </w:r>
      <w:r>
        <w:rPr>
          <w:color w:val="231F20"/>
        </w:rPr>
        <w:t>земљишта за потре- </w:t>
      </w:r>
      <w:r>
        <w:rPr>
          <w:color w:val="231F20"/>
          <w:spacing w:val="-3"/>
        </w:rPr>
        <w:t>бе површинске експлоатације </w:t>
      </w:r>
      <w:r>
        <w:rPr>
          <w:color w:val="231F20"/>
        </w:rPr>
        <w:t>лигнита, </w:t>
      </w:r>
      <w:r>
        <w:rPr>
          <w:color w:val="231F20"/>
          <w:spacing w:val="-3"/>
        </w:rPr>
        <w:t>одразиће </w:t>
      </w:r>
      <w:r>
        <w:rPr>
          <w:color w:val="231F20"/>
        </w:rPr>
        <w:t>се на опште </w:t>
      </w:r>
      <w:r>
        <w:rPr>
          <w:color w:val="231F20"/>
          <w:spacing w:val="-3"/>
        </w:rPr>
        <w:t>погор- </w:t>
      </w:r>
      <w:r>
        <w:rPr>
          <w:color w:val="231F20"/>
        </w:rPr>
        <w:t>шање</w:t>
      </w:r>
      <w:r>
        <w:rPr>
          <w:color w:val="231F20"/>
          <w:spacing w:val="-9"/>
        </w:rPr>
        <w:t> </w:t>
      </w:r>
      <w:r>
        <w:rPr>
          <w:color w:val="231F20"/>
          <w:spacing w:val="-3"/>
        </w:rPr>
        <w:t>услова</w:t>
      </w:r>
      <w:r>
        <w:rPr>
          <w:color w:val="231F20"/>
          <w:spacing w:val="-9"/>
        </w:rPr>
        <w:t> </w:t>
      </w:r>
      <w:r>
        <w:rPr>
          <w:color w:val="231F20"/>
          <w:spacing w:val="-3"/>
        </w:rPr>
        <w:t>животне</w:t>
      </w:r>
      <w:r>
        <w:rPr>
          <w:color w:val="231F20"/>
          <w:spacing w:val="-9"/>
        </w:rPr>
        <w:t> </w:t>
      </w:r>
      <w:r>
        <w:rPr>
          <w:color w:val="231F20"/>
          <w:spacing w:val="-3"/>
        </w:rPr>
        <w:t>средине</w:t>
      </w:r>
      <w:r>
        <w:rPr>
          <w:color w:val="231F20"/>
          <w:spacing w:val="-9"/>
        </w:rPr>
        <w:t> </w:t>
      </w:r>
      <w:r>
        <w:rPr>
          <w:color w:val="231F20"/>
        </w:rPr>
        <w:t>у</w:t>
      </w:r>
      <w:r>
        <w:rPr>
          <w:color w:val="231F20"/>
          <w:spacing w:val="-9"/>
        </w:rPr>
        <w:t> </w:t>
      </w:r>
      <w:r>
        <w:rPr>
          <w:color w:val="231F20"/>
          <w:spacing w:val="-3"/>
        </w:rPr>
        <w:t>окружењу</w:t>
      </w:r>
      <w:r>
        <w:rPr>
          <w:color w:val="231F20"/>
          <w:spacing w:val="-9"/>
        </w:rPr>
        <w:t> </w:t>
      </w:r>
      <w:r>
        <w:rPr>
          <w:color w:val="231F20"/>
          <w:spacing w:val="-4"/>
        </w:rPr>
        <w:t>копова.</w:t>
      </w:r>
      <w:r>
        <w:rPr>
          <w:color w:val="231F20"/>
          <w:spacing w:val="-9"/>
        </w:rPr>
        <w:t> </w:t>
      </w:r>
      <w:r>
        <w:rPr>
          <w:color w:val="231F20"/>
        </w:rPr>
        <w:t>Ради</w:t>
      </w:r>
      <w:r>
        <w:rPr>
          <w:color w:val="231F20"/>
          <w:spacing w:val="-9"/>
        </w:rPr>
        <w:t> </w:t>
      </w:r>
      <w:r>
        <w:rPr>
          <w:color w:val="231F20"/>
        </w:rPr>
        <w:t>елиминиса- ња тих </w:t>
      </w:r>
      <w:r>
        <w:rPr>
          <w:color w:val="231F20"/>
          <w:spacing w:val="-3"/>
        </w:rPr>
        <w:t>негативних </w:t>
      </w:r>
      <w:r>
        <w:rPr>
          <w:color w:val="231F20"/>
        </w:rPr>
        <w:t>утицаја, планира се </w:t>
      </w:r>
      <w:r>
        <w:rPr>
          <w:color w:val="231F20"/>
          <w:spacing w:val="-3"/>
        </w:rPr>
        <w:t>подизање </w:t>
      </w:r>
      <w:r>
        <w:rPr>
          <w:color w:val="231F20"/>
        </w:rPr>
        <w:t>имисионих </w:t>
      </w:r>
      <w:r>
        <w:rPr>
          <w:color w:val="231F20"/>
          <w:spacing w:val="-3"/>
        </w:rPr>
        <w:t>шума </w:t>
      </w:r>
      <w:r>
        <w:rPr>
          <w:color w:val="231F20"/>
          <w:spacing w:val="-5"/>
        </w:rPr>
        <w:t>око </w:t>
      </w:r>
      <w:r>
        <w:rPr>
          <w:color w:val="231F20"/>
          <w:spacing w:val="-3"/>
        </w:rPr>
        <w:t>угрожених </w:t>
      </w:r>
      <w:r>
        <w:rPr>
          <w:color w:val="231F20"/>
        </w:rPr>
        <w:t>насеља, појасева заштитног зеленила </w:t>
      </w:r>
      <w:r>
        <w:rPr>
          <w:color w:val="231F20"/>
          <w:spacing w:val="-5"/>
        </w:rPr>
        <w:t>око </w:t>
      </w:r>
      <w:r>
        <w:rPr>
          <w:color w:val="231F20"/>
          <w:spacing w:val="-4"/>
        </w:rPr>
        <w:t>копова, </w:t>
      </w:r>
      <w:r>
        <w:rPr>
          <w:color w:val="231F20"/>
          <w:spacing w:val="-3"/>
        </w:rPr>
        <w:t>дуж </w:t>
      </w:r>
      <w:r>
        <w:rPr>
          <w:color w:val="231F20"/>
        </w:rPr>
        <w:t>саобраћајница и слично. </w:t>
      </w:r>
      <w:r>
        <w:rPr>
          <w:color w:val="231F20"/>
          <w:spacing w:val="-3"/>
        </w:rPr>
        <w:t>Задовољавање </w:t>
      </w:r>
      <w:r>
        <w:rPr>
          <w:color w:val="231F20"/>
        </w:rPr>
        <w:t>ових јавних интереса, укључујући</w:t>
      </w:r>
      <w:r>
        <w:rPr>
          <w:color w:val="231F20"/>
          <w:spacing w:val="-10"/>
        </w:rPr>
        <w:t> </w:t>
      </w:r>
      <w:r>
        <w:rPr>
          <w:color w:val="231F20"/>
          <w:spacing w:val="-3"/>
        </w:rPr>
        <w:t>подизање</w:t>
      </w:r>
      <w:r>
        <w:rPr>
          <w:color w:val="231F20"/>
          <w:spacing w:val="-10"/>
        </w:rPr>
        <w:t> </w:t>
      </w:r>
      <w:r>
        <w:rPr>
          <w:color w:val="231F20"/>
          <w:spacing w:val="-3"/>
        </w:rPr>
        <w:t>шумских</w:t>
      </w:r>
      <w:r>
        <w:rPr>
          <w:color w:val="231F20"/>
          <w:spacing w:val="-10"/>
        </w:rPr>
        <w:t> </w:t>
      </w:r>
      <w:r>
        <w:rPr>
          <w:color w:val="231F20"/>
        </w:rPr>
        <w:t>плантажа</w:t>
      </w:r>
      <w:r>
        <w:rPr>
          <w:color w:val="231F20"/>
          <w:spacing w:val="-10"/>
        </w:rPr>
        <w:t> </w:t>
      </w:r>
      <w:r>
        <w:rPr>
          <w:color w:val="231F20"/>
        </w:rPr>
        <w:t>за</w:t>
      </w:r>
      <w:r>
        <w:rPr>
          <w:color w:val="231F20"/>
          <w:spacing w:val="-10"/>
        </w:rPr>
        <w:t> </w:t>
      </w:r>
      <w:r>
        <w:rPr>
          <w:color w:val="231F20"/>
          <w:spacing w:val="-3"/>
        </w:rPr>
        <w:t>производњу</w:t>
      </w:r>
      <w:r>
        <w:rPr>
          <w:color w:val="231F20"/>
          <w:spacing w:val="-10"/>
        </w:rPr>
        <w:t> </w:t>
      </w:r>
      <w:r>
        <w:rPr>
          <w:color w:val="231F20"/>
          <w:spacing w:val="-3"/>
        </w:rPr>
        <w:t>биогорива, одвијаће</w:t>
      </w:r>
      <w:r>
        <w:rPr>
          <w:color w:val="231F20"/>
          <w:spacing w:val="-12"/>
        </w:rPr>
        <w:t> </w:t>
      </w:r>
      <w:r>
        <w:rPr>
          <w:color w:val="231F20"/>
        </w:rPr>
        <w:t>се</w:t>
      </w:r>
      <w:r>
        <w:rPr>
          <w:color w:val="231F20"/>
          <w:spacing w:val="-12"/>
        </w:rPr>
        <w:t> </w:t>
      </w:r>
      <w:r>
        <w:rPr>
          <w:color w:val="231F20"/>
        </w:rPr>
        <w:t>делимично</w:t>
      </w:r>
      <w:r>
        <w:rPr>
          <w:color w:val="231F20"/>
          <w:spacing w:val="-12"/>
        </w:rPr>
        <w:t> </w:t>
      </w:r>
      <w:r>
        <w:rPr>
          <w:color w:val="231F20"/>
        </w:rPr>
        <w:t>и</w:t>
      </w:r>
      <w:r>
        <w:rPr>
          <w:color w:val="231F20"/>
          <w:spacing w:val="-12"/>
        </w:rPr>
        <w:t> </w:t>
      </w:r>
      <w:r>
        <w:rPr>
          <w:color w:val="231F20"/>
        </w:rPr>
        <w:t>на</w:t>
      </w:r>
      <w:r>
        <w:rPr>
          <w:color w:val="231F20"/>
          <w:spacing w:val="-12"/>
        </w:rPr>
        <w:t> </w:t>
      </w:r>
      <w:r>
        <w:rPr>
          <w:color w:val="231F20"/>
          <w:spacing w:val="-3"/>
        </w:rPr>
        <w:t>рачун</w:t>
      </w:r>
      <w:r>
        <w:rPr>
          <w:color w:val="231F20"/>
          <w:spacing w:val="-12"/>
        </w:rPr>
        <w:t> </w:t>
      </w:r>
      <w:r>
        <w:rPr>
          <w:color w:val="231F20"/>
          <w:spacing w:val="-3"/>
        </w:rPr>
        <w:t>пошумљавања</w:t>
      </w:r>
      <w:r>
        <w:rPr>
          <w:color w:val="231F20"/>
          <w:spacing w:val="-12"/>
        </w:rPr>
        <w:t> </w:t>
      </w:r>
      <w:r>
        <w:rPr>
          <w:color w:val="231F20"/>
        </w:rPr>
        <w:t>најслабијих,</w:t>
      </w:r>
      <w:r>
        <w:rPr>
          <w:color w:val="231F20"/>
          <w:spacing w:val="-12"/>
        </w:rPr>
        <w:t> </w:t>
      </w:r>
      <w:r>
        <w:rPr>
          <w:color w:val="231F20"/>
        </w:rPr>
        <w:t>оште- ћених и деградираних </w:t>
      </w:r>
      <w:r>
        <w:rPr>
          <w:color w:val="231F20"/>
          <w:spacing w:val="-3"/>
        </w:rPr>
        <w:t>пољопривредних </w:t>
      </w:r>
      <w:r>
        <w:rPr>
          <w:color w:val="231F20"/>
        </w:rPr>
        <w:t>земљишта, </w:t>
      </w:r>
      <w:r>
        <w:rPr>
          <w:color w:val="231F20"/>
          <w:spacing w:val="-3"/>
        </w:rPr>
        <w:t>такође </w:t>
      </w:r>
      <w:r>
        <w:rPr>
          <w:color w:val="231F20"/>
        </w:rPr>
        <w:t>на тере- нима </w:t>
      </w:r>
      <w:r>
        <w:rPr>
          <w:color w:val="231F20"/>
          <w:spacing w:val="-4"/>
        </w:rPr>
        <w:t>који </w:t>
      </w:r>
      <w:r>
        <w:rPr>
          <w:color w:val="231F20"/>
          <w:spacing w:val="-3"/>
        </w:rPr>
        <w:t>нису </w:t>
      </w:r>
      <w:r>
        <w:rPr>
          <w:color w:val="231F20"/>
          <w:spacing w:val="-4"/>
        </w:rPr>
        <w:t>под </w:t>
      </w:r>
      <w:r>
        <w:rPr>
          <w:color w:val="231F20"/>
          <w:spacing w:val="-3"/>
        </w:rPr>
        <w:t>директним </w:t>
      </w:r>
      <w:r>
        <w:rPr>
          <w:color w:val="231F20"/>
        </w:rPr>
        <w:t>утицајем </w:t>
      </w:r>
      <w:r>
        <w:rPr>
          <w:color w:val="231F20"/>
          <w:spacing w:val="-3"/>
        </w:rPr>
        <w:t>ТЕ-КО</w:t>
      </w:r>
      <w:r>
        <w:rPr>
          <w:color w:val="231F20"/>
          <w:spacing w:val="-14"/>
        </w:rPr>
        <w:t> </w:t>
      </w:r>
      <w:r>
        <w:rPr>
          <w:color w:val="231F20"/>
          <w:spacing w:val="-4"/>
        </w:rPr>
        <w:t>Костолац.</w:t>
      </w:r>
    </w:p>
    <w:p>
      <w:pPr>
        <w:spacing w:after="0" w:line="237" w:lineRule="auto"/>
        <w:sectPr>
          <w:pgSz w:w="12480" w:h="15690"/>
          <w:pgMar w:top="120" w:bottom="280" w:left="680" w:right="720"/>
          <w:cols w:num="2" w:equalWidth="0">
            <w:col w:w="5557" w:space="40"/>
            <w:col w:w="5483"/>
          </w:cols>
        </w:sectPr>
      </w:pPr>
    </w:p>
    <w:p>
      <w:pPr>
        <w:pStyle w:val="BodyText"/>
        <w:ind w:left="0"/>
        <w:jc w:val="left"/>
        <w:rPr>
          <w:sz w:val="20"/>
        </w:rPr>
      </w:pPr>
    </w:p>
    <w:p>
      <w:pPr>
        <w:pStyle w:val="BodyText"/>
        <w:spacing w:before="8"/>
        <w:ind w:left="0"/>
        <w:jc w:val="left"/>
        <w:rPr>
          <w:sz w:val="25"/>
        </w:rPr>
      </w:pPr>
    </w:p>
    <w:p>
      <w:pPr>
        <w:pStyle w:val="BodyText"/>
        <w:spacing w:before="93" w:after="39"/>
        <w:ind w:left="447"/>
        <w:jc w:val="left"/>
      </w:pPr>
      <w:r>
        <w:rPr>
          <w:color w:val="231F20"/>
        </w:rPr>
        <w:t>Табела 18. Планирано заузимање пољопривредног земљишта за јавне потребе, 2010 –2015 –2022.</w:t>
      </w:r>
    </w:p>
    <w:tbl>
      <w:tblPr>
        <w:tblW w:w="0" w:type="auto"/>
        <w:jc w:val="left"/>
        <w:tblInd w:w="45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33"/>
        <w:gridCol w:w="1034"/>
        <w:gridCol w:w="1403"/>
        <w:gridCol w:w="869"/>
        <w:gridCol w:w="906"/>
        <w:gridCol w:w="912"/>
        <w:gridCol w:w="971"/>
        <w:gridCol w:w="1064"/>
        <w:gridCol w:w="1072"/>
      </w:tblGrid>
      <w:tr>
        <w:trPr>
          <w:trHeight w:val="200" w:hRule="atLeast"/>
        </w:trPr>
        <w:tc>
          <w:tcPr>
            <w:tcW w:w="2233" w:type="dxa"/>
            <w:vMerge w:val="restart"/>
          </w:tcPr>
          <w:p>
            <w:pPr>
              <w:pStyle w:val="TableParagraph"/>
              <w:ind w:left="727"/>
              <w:jc w:val="left"/>
              <w:rPr>
                <w:sz w:val="14"/>
              </w:rPr>
            </w:pPr>
            <w:r>
              <w:rPr>
                <w:color w:val="231F20"/>
                <w:sz w:val="14"/>
              </w:rPr>
              <w:t>Подручје/КО</w:t>
            </w:r>
          </w:p>
        </w:tc>
        <w:tc>
          <w:tcPr>
            <w:tcW w:w="1034" w:type="dxa"/>
            <w:vMerge w:val="restart"/>
          </w:tcPr>
          <w:p>
            <w:pPr>
              <w:pStyle w:val="TableParagraph"/>
              <w:ind w:left="271" w:hanging="5"/>
              <w:jc w:val="left"/>
              <w:rPr>
                <w:sz w:val="14"/>
              </w:rPr>
            </w:pPr>
            <w:r>
              <w:rPr>
                <w:color w:val="231F20"/>
                <w:sz w:val="14"/>
              </w:rPr>
              <w:t>Година - биланси</w:t>
            </w:r>
          </w:p>
        </w:tc>
        <w:tc>
          <w:tcPr>
            <w:tcW w:w="6125" w:type="dxa"/>
            <w:gridSpan w:val="6"/>
          </w:tcPr>
          <w:p>
            <w:pPr>
              <w:pStyle w:val="TableParagraph"/>
              <w:ind w:left="2592" w:right="2583"/>
              <w:jc w:val="center"/>
              <w:rPr>
                <w:sz w:val="14"/>
              </w:rPr>
            </w:pPr>
            <w:r>
              <w:rPr>
                <w:color w:val="231F20"/>
                <w:sz w:val="14"/>
              </w:rPr>
              <w:t>Површине у ha</w:t>
            </w:r>
          </w:p>
        </w:tc>
        <w:tc>
          <w:tcPr>
            <w:tcW w:w="1072" w:type="dxa"/>
            <w:vMerge w:val="restart"/>
          </w:tcPr>
          <w:p>
            <w:pPr>
              <w:pStyle w:val="TableParagraph"/>
              <w:ind w:left="129" w:right="118"/>
              <w:jc w:val="center"/>
              <w:rPr>
                <w:sz w:val="14"/>
              </w:rPr>
            </w:pPr>
            <w:r>
              <w:rPr>
                <w:color w:val="231F20"/>
                <w:sz w:val="14"/>
              </w:rPr>
              <w:t>Удео пољо- привредних у укупним (%)</w:t>
            </w:r>
          </w:p>
        </w:tc>
      </w:tr>
      <w:tr>
        <w:trPr>
          <w:trHeight w:val="360" w:hRule="atLeast"/>
        </w:trPr>
        <w:tc>
          <w:tcPr>
            <w:tcW w:w="2233" w:type="dxa"/>
            <w:vMerge/>
            <w:tcBorders>
              <w:top w:val="nil"/>
            </w:tcBorders>
          </w:tcPr>
          <w:p>
            <w:pPr>
              <w:rPr>
                <w:sz w:val="2"/>
                <w:szCs w:val="2"/>
              </w:rPr>
            </w:pPr>
          </w:p>
        </w:tc>
        <w:tc>
          <w:tcPr>
            <w:tcW w:w="1034" w:type="dxa"/>
            <w:vMerge/>
            <w:tcBorders>
              <w:top w:val="nil"/>
            </w:tcBorders>
          </w:tcPr>
          <w:p>
            <w:pPr>
              <w:rPr>
                <w:sz w:val="2"/>
                <w:szCs w:val="2"/>
              </w:rPr>
            </w:pPr>
          </w:p>
        </w:tc>
        <w:tc>
          <w:tcPr>
            <w:tcW w:w="1403" w:type="dxa"/>
          </w:tcPr>
          <w:p>
            <w:pPr>
              <w:pStyle w:val="TableParagraph"/>
              <w:ind w:left="394" w:right="182" w:hanging="181"/>
              <w:jc w:val="left"/>
              <w:rPr>
                <w:sz w:val="14"/>
              </w:rPr>
            </w:pPr>
            <w:r>
              <w:rPr>
                <w:color w:val="231F20"/>
                <w:sz w:val="14"/>
              </w:rPr>
              <w:t>Пољопривредно земљиште</w:t>
            </w:r>
          </w:p>
        </w:tc>
        <w:tc>
          <w:tcPr>
            <w:tcW w:w="869" w:type="dxa"/>
          </w:tcPr>
          <w:p>
            <w:pPr>
              <w:pStyle w:val="TableParagraph"/>
              <w:ind w:left="254"/>
              <w:jc w:val="left"/>
              <w:rPr>
                <w:sz w:val="14"/>
              </w:rPr>
            </w:pPr>
            <w:r>
              <w:rPr>
                <w:color w:val="231F20"/>
                <w:sz w:val="14"/>
              </w:rPr>
              <w:t>Шуме</w:t>
            </w:r>
          </w:p>
        </w:tc>
        <w:tc>
          <w:tcPr>
            <w:tcW w:w="906" w:type="dxa"/>
          </w:tcPr>
          <w:p>
            <w:pPr>
              <w:pStyle w:val="TableParagraph"/>
              <w:ind w:left="247" w:hanging="55"/>
              <w:jc w:val="left"/>
              <w:rPr>
                <w:sz w:val="14"/>
              </w:rPr>
            </w:pPr>
            <w:r>
              <w:rPr>
                <w:color w:val="231F20"/>
                <w:sz w:val="14"/>
              </w:rPr>
              <w:t>Рекулти- висано</w:t>
            </w:r>
          </w:p>
        </w:tc>
        <w:tc>
          <w:tcPr>
            <w:tcW w:w="912" w:type="dxa"/>
          </w:tcPr>
          <w:p>
            <w:pPr>
              <w:pStyle w:val="TableParagraph"/>
              <w:ind w:left="191" w:hanging="12"/>
              <w:jc w:val="left"/>
              <w:rPr>
                <w:sz w:val="14"/>
              </w:rPr>
            </w:pPr>
            <w:r>
              <w:rPr>
                <w:color w:val="231F20"/>
                <w:sz w:val="14"/>
              </w:rPr>
              <w:t>Копови и депоније</w:t>
            </w:r>
          </w:p>
        </w:tc>
        <w:tc>
          <w:tcPr>
            <w:tcW w:w="971" w:type="dxa"/>
          </w:tcPr>
          <w:p>
            <w:pPr>
              <w:pStyle w:val="TableParagraph"/>
              <w:ind w:left="203" w:firstLine="67"/>
              <w:jc w:val="left"/>
              <w:rPr>
                <w:sz w:val="14"/>
              </w:rPr>
            </w:pPr>
            <w:r>
              <w:rPr>
                <w:color w:val="231F20"/>
                <w:sz w:val="14"/>
              </w:rPr>
              <w:t>Остало неплодно</w:t>
            </w:r>
          </w:p>
        </w:tc>
        <w:tc>
          <w:tcPr>
            <w:tcW w:w="1064" w:type="dxa"/>
          </w:tcPr>
          <w:p>
            <w:pPr>
              <w:pStyle w:val="TableParagraph"/>
              <w:ind w:left="344" w:hanging="205"/>
              <w:jc w:val="left"/>
              <w:rPr>
                <w:sz w:val="14"/>
              </w:rPr>
            </w:pPr>
            <w:r>
              <w:rPr>
                <w:color w:val="231F20"/>
                <w:sz w:val="14"/>
              </w:rPr>
              <w:t>Укупна тери- торија</w:t>
            </w:r>
          </w:p>
        </w:tc>
        <w:tc>
          <w:tcPr>
            <w:tcW w:w="1072" w:type="dxa"/>
            <w:vMerge/>
            <w:tcBorders>
              <w:top w:val="nil"/>
            </w:tcBorders>
          </w:tcPr>
          <w:p>
            <w:pPr>
              <w:rPr>
                <w:sz w:val="2"/>
                <w:szCs w:val="2"/>
              </w:rPr>
            </w:pPr>
          </w:p>
        </w:tc>
      </w:tr>
      <w:tr>
        <w:trPr>
          <w:trHeight w:val="200" w:hRule="atLeast"/>
        </w:trPr>
        <w:tc>
          <w:tcPr>
            <w:tcW w:w="2233" w:type="dxa"/>
            <w:vMerge w:val="restart"/>
          </w:tcPr>
          <w:p>
            <w:pPr>
              <w:pStyle w:val="TableParagraph"/>
              <w:ind w:left="56"/>
              <w:jc w:val="left"/>
              <w:rPr>
                <w:sz w:val="14"/>
              </w:rPr>
            </w:pPr>
            <w:r>
              <w:rPr>
                <w:color w:val="231F20"/>
                <w:sz w:val="14"/>
              </w:rPr>
              <w:t>ПП - свега</w:t>
            </w:r>
          </w:p>
        </w:tc>
        <w:tc>
          <w:tcPr>
            <w:tcW w:w="1034" w:type="dxa"/>
          </w:tcPr>
          <w:p>
            <w:pPr>
              <w:pStyle w:val="TableParagraph"/>
              <w:ind w:left="189" w:right="179"/>
              <w:jc w:val="center"/>
              <w:rPr>
                <w:sz w:val="14"/>
              </w:rPr>
            </w:pPr>
            <w:r>
              <w:rPr>
                <w:color w:val="231F20"/>
                <w:sz w:val="14"/>
              </w:rPr>
              <w:t>2010*</w:t>
            </w:r>
          </w:p>
        </w:tc>
        <w:tc>
          <w:tcPr>
            <w:tcW w:w="1403" w:type="dxa"/>
          </w:tcPr>
          <w:p>
            <w:pPr>
              <w:pStyle w:val="TableParagraph"/>
              <w:ind w:right="44"/>
              <w:rPr>
                <w:sz w:val="14"/>
              </w:rPr>
            </w:pPr>
            <w:r>
              <w:rPr>
                <w:color w:val="231F20"/>
                <w:sz w:val="14"/>
              </w:rPr>
              <w:t>39413,5</w:t>
            </w:r>
          </w:p>
        </w:tc>
        <w:tc>
          <w:tcPr>
            <w:tcW w:w="869" w:type="dxa"/>
          </w:tcPr>
          <w:p>
            <w:pPr>
              <w:pStyle w:val="TableParagraph"/>
              <w:ind w:right="44"/>
              <w:rPr>
                <w:sz w:val="14"/>
              </w:rPr>
            </w:pPr>
            <w:r>
              <w:rPr>
                <w:color w:val="231F20"/>
                <w:sz w:val="14"/>
              </w:rPr>
              <w:t>4629,2</w:t>
            </w:r>
          </w:p>
        </w:tc>
        <w:tc>
          <w:tcPr>
            <w:tcW w:w="906" w:type="dxa"/>
          </w:tcPr>
          <w:p>
            <w:pPr>
              <w:pStyle w:val="TableParagraph"/>
              <w:ind w:right="44"/>
              <w:rPr>
                <w:sz w:val="14"/>
              </w:rPr>
            </w:pPr>
            <w:r>
              <w:rPr>
                <w:color w:val="231F20"/>
                <w:sz w:val="14"/>
              </w:rPr>
              <w:t>623,4</w:t>
            </w:r>
          </w:p>
        </w:tc>
        <w:tc>
          <w:tcPr>
            <w:tcW w:w="912" w:type="dxa"/>
          </w:tcPr>
          <w:p>
            <w:pPr>
              <w:pStyle w:val="TableParagraph"/>
              <w:ind w:right="44"/>
              <w:rPr>
                <w:sz w:val="14"/>
              </w:rPr>
            </w:pPr>
            <w:r>
              <w:rPr>
                <w:color w:val="231F20"/>
                <w:sz w:val="14"/>
              </w:rPr>
              <w:t>2193,7</w:t>
            </w:r>
          </w:p>
        </w:tc>
        <w:tc>
          <w:tcPr>
            <w:tcW w:w="971" w:type="dxa"/>
          </w:tcPr>
          <w:p>
            <w:pPr>
              <w:pStyle w:val="TableParagraph"/>
              <w:ind w:right="44"/>
              <w:rPr>
                <w:sz w:val="14"/>
              </w:rPr>
            </w:pPr>
            <w:r>
              <w:rPr>
                <w:color w:val="231F20"/>
                <w:sz w:val="14"/>
              </w:rPr>
              <w:t>7486,5</w:t>
            </w:r>
          </w:p>
        </w:tc>
        <w:tc>
          <w:tcPr>
            <w:tcW w:w="1064" w:type="dxa"/>
          </w:tcPr>
          <w:p>
            <w:pPr>
              <w:pStyle w:val="TableParagraph"/>
              <w:ind w:right="44"/>
              <w:rPr>
                <w:sz w:val="14"/>
              </w:rPr>
            </w:pPr>
            <w:r>
              <w:rPr>
                <w:color w:val="231F20"/>
                <w:sz w:val="14"/>
              </w:rPr>
              <w:t>54346,3</w:t>
            </w:r>
          </w:p>
        </w:tc>
        <w:tc>
          <w:tcPr>
            <w:tcW w:w="1072" w:type="dxa"/>
          </w:tcPr>
          <w:p>
            <w:pPr>
              <w:pStyle w:val="TableParagraph"/>
              <w:ind w:right="44"/>
              <w:rPr>
                <w:sz w:val="14"/>
              </w:rPr>
            </w:pPr>
            <w:r>
              <w:rPr>
                <w:color w:val="231F20"/>
                <w:sz w:val="14"/>
              </w:rPr>
              <w:t>72,5</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0"/>
              <w:jc w:val="center"/>
              <w:rPr>
                <w:sz w:val="14"/>
              </w:rPr>
            </w:pPr>
            <w:r>
              <w:rPr>
                <w:color w:val="231F20"/>
                <w:sz w:val="14"/>
              </w:rPr>
              <w:t>2015</w:t>
            </w:r>
          </w:p>
        </w:tc>
        <w:tc>
          <w:tcPr>
            <w:tcW w:w="1403" w:type="dxa"/>
          </w:tcPr>
          <w:p>
            <w:pPr>
              <w:pStyle w:val="TableParagraph"/>
              <w:ind w:right="44"/>
              <w:rPr>
                <w:sz w:val="14"/>
              </w:rPr>
            </w:pPr>
            <w:r>
              <w:rPr>
                <w:color w:val="231F20"/>
                <w:sz w:val="14"/>
              </w:rPr>
              <w:t>38963,6</w:t>
            </w:r>
          </w:p>
        </w:tc>
        <w:tc>
          <w:tcPr>
            <w:tcW w:w="869" w:type="dxa"/>
          </w:tcPr>
          <w:p>
            <w:pPr>
              <w:pStyle w:val="TableParagraph"/>
              <w:ind w:right="44"/>
              <w:rPr>
                <w:sz w:val="14"/>
              </w:rPr>
            </w:pPr>
            <w:r>
              <w:rPr>
                <w:color w:val="231F20"/>
                <w:sz w:val="14"/>
              </w:rPr>
              <w:t>4697,6</w:t>
            </w:r>
          </w:p>
        </w:tc>
        <w:tc>
          <w:tcPr>
            <w:tcW w:w="906" w:type="dxa"/>
          </w:tcPr>
          <w:p>
            <w:pPr>
              <w:pStyle w:val="TableParagraph"/>
              <w:ind w:right="44"/>
              <w:rPr>
                <w:sz w:val="14"/>
              </w:rPr>
            </w:pPr>
            <w:r>
              <w:rPr>
                <w:color w:val="231F20"/>
                <w:sz w:val="14"/>
              </w:rPr>
              <w:t>1756,6</w:t>
            </w:r>
          </w:p>
        </w:tc>
        <w:tc>
          <w:tcPr>
            <w:tcW w:w="912" w:type="dxa"/>
          </w:tcPr>
          <w:p>
            <w:pPr>
              <w:pStyle w:val="TableParagraph"/>
              <w:ind w:right="44"/>
              <w:rPr>
                <w:sz w:val="14"/>
              </w:rPr>
            </w:pPr>
            <w:r>
              <w:rPr>
                <w:color w:val="231F20"/>
                <w:sz w:val="14"/>
              </w:rPr>
              <w:t>1401,6</w:t>
            </w:r>
          </w:p>
        </w:tc>
        <w:tc>
          <w:tcPr>
            <w:tcW w:w="971" w:type="dxa"/>
          </w:tcPr>
          <w:p>
            <w:pPr>
              <w:pStyle w:val="TableParagraph"/>
              <w:ind w:right="44"/>
              <w:rPr>
                <w:sz w:val="14"/>
              </w:rPr>
            </w:pPr>
            <w:r>
              <w:rPr>
                <w:color w:val="231F20"/>
                <w:sz w:val="14"/>
              </w:rPr>
              <w:t>7527,0</w:t>
            </w:r>
          </w:p>
        </w:tc>
        <w:tc>
          <w:tcPr>
            <w:tcW w:w="1064" w:type="dxa"/>
          </w:tcPr>
          <w:p>
            <w:pPr>
              <w:pStyle w:val="TableParagraph"/>
              <w:ind w:right="44"/>
              <w:rPr>
                <w:sz w:val="14"/>
              </w:rPr>
            </w:pPr>
            <w:r>
              <w:rPr>
                <w:color w:val="231F20"/>
                <w:sz w:val="14"/>
              </w:rPr>
              <w:t>54346,3</w:t>
            </w:r>
          </w:p>
        </w:tc>
        <w:tc>
          <w:tcPr>
            <w:tcW w:w="1072" w:type="dxa"/>
          </w:tcPr>
          <w:p>
            <w:pPr>
              <w:pStyle w:val="TableParagraph"/>
              <w:ind w:right="44"/>
              <w:rPr>
                <w:sz w:val="14"/>
              </w:rPr>
            </w:pPr>
            <w:r>
              <w:rPr>
                <w:color w:val="231F20"/>
                <w:sz w:val="14"/>
              </w:rPr>
              <w:t>71,7</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0"/>
              <w:jc w:val="center"/>
              <w:rPr>
                <w:sz w:val="14"/>
              </w:rPr>
            </w:pPr>
            <w:r>
              <w:rPr>
                <w:color w:val="231F20"/>
                <w:sz w:val="14"/>
              </w:rPr>
              <w:t>2022</w:t>
            </w:r>
          </w:p>
        </w:tc>
        <w:tc>
          <w:tcPr>
            <w:tcW w:w="1403" w:type="dxa"/>
          </w:tcPr>
          <w:p>
            <w:pPr>
              <w:pStyle w:val="TableParagraph"/>
              <w:ind w:right="45"/>
              <w:rPr>
                <w:sz w:val="14"/>
              </w:rPr>
            </w:pPr>
            <w:r>
              <w:rPr>
                <w:color w:val="231F20"/>
                <w:sz w:val="14"/>
              </w:rPr>
              <w:t>38330,5</w:t>
            </w:r>
          </w:p>
        </w:tc>
        <w:tc>
          <w:tcPr>
            <w:tcW w:w="869" w:type="dxa"/>
          </w:tcPr>
          <w:p>
            <w:pPr>
              <w:pStyle w:val="TableParagraph"/>
              <w:ind w:right="45"/>
              <w:rPr>
                <w:sz w:val="14"/>
              </w:rPr>
            </w:pPr>
            <w:r>
              <w:rPr>
                <w:color w:val="231F20"/>
                <w:sz w:val="14"/>
              </w:rPr>
              <w:t>4775,6</w:t>
            </w:r>
          </w:p>
        </w:tc>
        <w:tc>
          <w:tcPr>
            <w:tcW w:w="906" w:type="dxa"/>
          </w:tcPr>
          <w:p>
            <w:pPr>
              <w:pStyle w:val="TableParagraph"/>
              <w:ind w:right="45"/>
              <w:rPr>
                <w:sz w:val="14"/>
              </w:rPr>
            </w:pPr>
            <w:r>
              <w:rPr>
                <w:color w:val="231F20"/>
                <w:sz w:val="14"/>
              </w:rPr>
              <w:t>2349,5</w:t>
            </w:r>
          </w:p>
        </w:tc>
        <w:tc>
          <w:tcPr>
            <w:tcW w:w="912" w:type="dxa"/>
          </w:tcPr>
          <w:p>
            <w:pPr>
              <w:pStyle w:val="TableParagraph"/>
              <w:ind w:right="45"/>
              <w:rPr>
                <w:sz w:val="14"/>
              </w:rPr>
            </w:pPr>
            <w:r>
              <w:rPr>
                <w:color w:val="231F20"/>
                <w:sz w:val="14"/>
              </w:rPr>
              <w:t>1398,1</w:t>
            </w:r>
          </w:p>
        </w:tc>
        <w:tc>
          <w:tcPr>
            <w:tcW w:w="971" w:type="dxa"/>
          </w:tcPr>
          <w:p>
            <w:pPr>
              <w:pStyle w:val="TableParagraph"/>
              <w:ind w:right="45"/>
              <w:rPr>
                <w:sz w:val="14"/>
              </w:rPr>
            </w:pPr>
            <w:r>
              <w:rPr>
                <w:color w:val="231F20"/>
                <w:sz w:val="14"/>
              </w:rPr>
              <w:t>7492,6</w:t>
            </w:r>
          </w:p>
        </w:tc>
        <w:tc>
          <w:tcPr>
            <w:tcW w:w="1064" w:type="dxa"/>
          </w:tcPr>
          <w:p>
            <w:pPr>
              <w:pStyle w:val="TableParagraph"/>
              <w:ind w:right="45"/>
              <w:rPr>
                <w:sz w:val="14"/>
              </w:rPr>
            </w:pPr>
            <w:r>
              <w:rPr>
                <w:color w:val="231F20"/>
                <w:sz w:val="14"/>
              </w:rPr>
              <w:t>54346,3</w:t>
            </w:r>
          </w:p>
        </w:tc>
        <w:tc>
          <w:tcPr>
            <w:tcW w:w="1072" w:type="dxa"/>
          </w:tcPr>
          <w:p>
            <w:pPr>
              <w:pStyle w:val="TableParagraph"/>
              <w:ind w:right="45"/>
              <w:rPr>
                <w:sz w:val="14"/>
              </w:rPr>
            </w:pPr>
            <w:r>
              <w:rPr>
                <w:color w:val="231F20"/>
                <w:sz w:val="14"/>
              </w:rPr>
              <w:t>70,5</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0"/>
              <w:jc w:val="center"/>
              <w:rPr>
                <w:sz w:val="14"/>
              </w:rPr>
            </w:pPr>
            <w:r>
              <w:rPr>
                <w:color w:val="231F20"/>
                <w:sz w:val="14"/>
              </w:rPr>
              <w:t>2010-2015</w:t>
            </w:r>
          </w:p>
        </w:tc>
        <w:tc>
          <w:tcPr>
            <w:tcW w:w="1403" w:type="dxa"/>
          </w:tcPr>
          <w:p>
            <w:pPr>
              <w:pStyle w:val="TableParagraph"/>
              <w:ind w:right="45"/>
              <w:rPr>
                <w:sz w:val="14"/>
              </w:rPr>
            </w:pPr>
            <w:r>
              <w:rPr>
                <w:color w:val="231F20"/>
                <w:sz w:val="14"/>
              </w:rPr>
              <w:t>-449,9</w:t>
            </w:r>
          </w:p>
        </w:tc>
        <w:tc>
          <w:tcPr>
            <w:tcW w:w="869" w:type="dxa"/>
          </w:tcPr>
          <w:p>
            <w:pPr>
              <w:pStyle w:val="TableParagraph"/>
              <w:ind w:right="45"/>
              <w:rPr>
                <w:sz w:val="14"/>
              </w:rPr>
            </w:pPr>
            <w:r>
              <w:rPr>
                <w:color w:val="231F20"/>
                <w:sz w:val="14"/>
              </w:rPr>
              <w:t>68,3</w:t>
            </w:r>
          </w:p>
        </w:tc>
        <w:tc>
          <w:tcPr>
            <w:tcW w:w="906" w:type="dxa"/>
          </w:tcPr>
          <w:p>
            <w:pPr>
              <w:pStyle w:val="TableParagraph"/>
              <w:ind w:right="45"/>
              <w:rPr>
                <w:sz w:val="14"/>
              </w:rPr>
            </w:pPr>
            <w:r>
              <w:rPr>
                <w:color w:val="231F20"/>
                <w:sz w:val="14"/>
              </w:rPr>
              <w:t>1133,1</w:t>
            </w:r>
          </w:p>
        </w:tc>
        <w:tc>
          <w:tcPr>
            <w:tcW w:w="912" w:type="dxa"/>
          </w:tcPr>
          <w:p>
            <w:pPr>
              <w:pStyle w:val="TableParagraph"/>
              <w:ind w:right="45"/>
              <w:rPr>
                <w:sz w:val="14"/>
              </w:rPr>
            </w:pPr>
            <w:r>
              <w:rPr>
                <w:color w:val="231F20"/>
                <w:sz w:val="14"/>
              </w:rPr>
              <w:t>-792,1</w:t>
            </w:r>
          </w:p>
        </w:tc>
        <w:tc>
          <w:tcPr>
            <w:tcW w:w="971" w:type="dxa"/>
          </w:tcPr>
          <w:p>
            <w:pPr>
              <w:pStyle w:val="TableParagraph"/>
              <w:ind w:right="45"/>
              <w:rPr>
                <w:sz w:val="14"/>
              </w:rPr>
            </w:pPr>
            <w:r>
              <w:rPr>
                <w:color w:val="231F20"/>
                <w:sz w:val="14"/>
              </w:rPr>
              <w:t>40,5</w:t>
            </w:r>
          </w:p>
        </w:tc>
        <w:tc>
          <w:tcPr>
            <w:tcW w:w="1064" w:type="dxa"/>
          </w:tcPr>
          <w:p>
            <w:pPr>
              <w:pStyle w:val="TableParagraph"/>
              <w:ind w:right="45"/>
              <w:rPr>
                <w:sz w:val="14"/>
              </w:rPr>
            </w:pPr>
            <w:r>
              <w:rPr>
                <w:color w:val="231F20"/>
                <w:sz w:val="14"/>
              </w:rPr>
              <w:t>0,0</w:t>
            </w:r>
          </w:p>
        </w:tc>
        <w:tc>
          <w:tcPr>
            <w:tcW w:w="1072" w:type="dxa"/>
          </w:tcPr>
          <w:p>
            <w:pPr>
              <w:pStyle w:val="TableParagraph"/>
              <w:ind w:right="45"/>
              <w:rPr>
                <w:sz w:val="14"/>
              </w:rPr>
            </w:pPr>
            <w:r>
              <w:rPr>
                <w:color w:val="231F20"/>
                <w:sz w:val="14"/>
              </w:rPr>
              <w:t>-</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0"/>
              <w:jc w:val="center"/>
              <w:rPr>
                <w:sz w:val="14"/>
              </w:rPr>
            </w:pPr>
            <w:r>
              <w:rPr>
                <w:color w:val="231F20"/>
                <w:sz w:val="14"/>
              </w:rPr>
              <w:t>2015-2022</w:t>
            </w:r>
          </w:p>
        </w:tc>
        <w:tc>
          <w:tcPr>
            <w:tcW w:w="1403" w:type="dxa"/>
          </w:tcPr>
          <w:p>
            <w:pPr>
              <w:pStyle w:val="TableParagraph"/>
              <w:ind w:right="45"/>
              <w:rPr>
                <w:sz w:val="14"/>
              </w:rPr>
            </w:pPr>
            <w:r>
              <w:rPr>
                <w:color w:val="231F20"/>
                <w:sz w:val="14"/>
              </w:rPr>
              <w:t>-633,1</w:t>
            </w:r>
          </w:p>
        </w:tc>
        <w:tc>
          <w:tcPr>
            <w:tcW w:w="869" w:type="dxa"/>
          </w:tcPr>
          <w:p>
            <w:pPr>
              <w:pStyle w:val="TableParagraph"/>
              <w:ind w:right="45"/>
              <w:rPr>
                <w:sz w:val="14"/>
              </w:rPr>
            </w:pPr>
            <w:r>
              <w:rPr>
                <w:color w:val="231F20"/>
                <w:sz w:val="14"/>
              </w:rPr>
              <w:t>78,0</w:t>
            </w:r>
          </w:p>
        </w:tc>
        <w:tc>
          <w:tcPr>
            <w:tcW w:w="906" w:type="dxa"/>
          </w:tcPr>
          <w:p>
            <w:pPr>
              <w:pStyle w:val="TableParagraph"/>
              <w:ind w:right="45"/>
              <w:rPr>
                <w:sz w:val="14"/>
              </w:rPr>
            </w:pPr>
            <w:r>
              <w:rPr>
                <w:color w:val="231F20"/>
                <w:sz w:val="14"/>
              </w:rPr>
              <w:t>592,9</w:t>
            </w:r>
          </w:p>
        </w:tc>
        <w:tc>
          <w:tcPr>
            <w:tcW w:w="912" w:type="dxa"/>
          </w:tcPr>
          <w:p>
            <w:pPr>
              <w:pStyle w:val="TableParagraph"/>
              <w:ind w:right="45"/>
              <w:rPr>
                <w:sz w:val="14"/>
              </w:rPr>
            </w:pPr>
            <w:r>
              <w:rPr>
                <w:color w:val="231F20"/>
                <w:sz w:val="14"/>
              </w:rPr>
              <w:t>-3,5</w:t>
            </w:r>
          </w:p>
        </w:tc>
        <w:tc>
          <w:tcPr>
            <w:tcW w:w="971" w:type="dxa"/>
          </w:tcPr>
          <w:p>
            <w:pPr>
              <w:pStyle w:val="TableParagraph"/>
              <w:ind w:right="45"/>
              <w:rPr>
                <w:sz w:val="14"/>
              </w:rPr>
            </w:pPr>
            <w:r>
              <w:rPr>
                <w:color w:val="231F20"/>
                <w:sz w:val="14"/>
              </w:rPr>
              <w:t>-34,3</w:t>
            </w:r>
          </w:p>
        </w:tc>
        <w:tc>
          <w:tcPr>
            <w:tcW w:w="1064" w:type="dxa"/>
          </w:tcPr>
          <w:p>
            <w:pPr>
              <w:pStyle w:val="TableParagraph"/>
              <w:ind w:right="45"/>
              <w:rPr>
                <w:sz w:val="14"/>
              </w:rPr>
            </w:pPr>
            <w:r>
              <w:rPr>
                <w:color w:val="231F20"/>
                <w:sz w:val="14"/>
              </w:rPr>
              <w:t>0,0</w:t>
            </w:r>
          </w:p>
        </w:tc>
        <w:tc>
          <w:tcPr>
            <w:tcW w:w="1072" w:type="dxa"/>
          </w:tcPr>
          <w:p>
            <w:pPr>
              <w:pStyle w:val="TableParagraph"/>
              <w:ind w:right="45"/>
              <w:rPr>
                <w:sz w:val="14"/>
              </w:rPr>
            </w:pPr>
            <w:r>
              <w:rPr>
                <w:color w:val="231F20"/>
                <w:sz w:val="14"/>
              </w:rPr>
              <w:t>-</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1"/>
              <w:jc w:val="center"/>
              <w:rPr>
                <w:sz w:val="14"/>
              </w:rPr>
            </w:pPr>
            <w:r>
              <w:rPr>
                <w:color w:val="231F20"/>
                <w:sz w:val="14"/>
              </w:rPr>
              <w:t>2010-2022</w:t>
            </w:r>
          </w:p>
        </w:tc>
        <w:tc>
          <w:tcPr>
            <w:tcW w:w="1403" w:type="dxa"/>
          </w:tcPr>
          <w:p>
            <w:pPr>
              <w:pStyle w:val="TableParagraph"/>
              <w:ind w:right="45"/>
              <w:rPr>
                <w:sz w:val="14"/>
              </w:rPr>
            </w:pPr>
            <w:r>
              <w:rPr>
                <w:color w:val="231F20"/>
                <w:sz w:val="14"/>
              </w:rPr>
              <w:t>-1083,0</w:t>
            </w:r>
          </w:p>
        </w:tc>
        <w:tc>
          <w:tcPr>
            <w:tcW w:w="869" w:type="dxa"/>
          </w:tcPr>
          <w:p>
            <w:pPr>
              <w:pStyle w:val="TableParagraph"/>
              <w:ind w:right="45"/>
              <w:rPr>
                <w:sz w:val="14"/>
              </w:rPr>
            </w:pPr>
            <w:r>
              <w:rPr>
                <w:color w:val="231F20"/>
                <w:sz w:val="14"/>
              </w:rPr>
              <w:t>146,3</w:t>
            </w:r>
          </w:p>
        </w:tc>
        <w:tc>
          <w:tcPr>
            <w:tcW w:w="906" w:type="dxa"/>
          </w:tcPr>
          <w:p>
            <w:pPr>
              <w:pStyle w:val="TableParagraph"/>
              <w:ind w:right="45"/>
              <w:rPr>
                <w:sz w:val="14"/>
              </w:rPr>
            </w:pPr>
            <w:r>
              <w:rPr>
                <w:color w:val="231F20"/>
                <w:sz w:val="14"/>
              </w:rPr>
              <w:t>1726,1</w:t>
            </w:r>
          </w:p>
        </w:tc>
        <w:tc>
          <w:tcPr>
            <w:tcW w:w="912" w:type="dxa"/>
          </w:tcPr>
          <w:p>
            <w:pPr>
              <w:pStyle w:val="TableParagraph"/>
              <w:ind w:right="45"/>
              <w:rPr>
                <w:sz w:val="14"/>
              </w:rPr>
            </w:pPr>
            <w:r>
              <w:rPr>
                <w:color w:val="231F20"/>
                <w:sz w:val="14"/>
              </w:rPr>
              <w:t>-795,6</w:t>
            </w:r>
          </w:p>
        </w:tc>
        <w:tc>
          <w:tcPr>
            <w:tcW w:w="971" w:type="dxa"/>
          </w:tcPr>
          <w:p>
            <w:pPr>
              <w:pStyle w:val="TableParagraph"/>
              <w:ind w:right="45"/>
              <w:rPr>
                <w:sz w:val="14"/>
              </w:rPr>
            </w:pPr>
            <w:r>
              <w:rPr>
                <w:color w:val="231F20"/>
                <w:sz w:val="14"/>
              </w:rPr>
              <w:t>6,1</w:t>
            </w:r>
          </w:p>
        </w:tc>
        <w:tc>
          <w:tcPr>
            <w:tcW w:w="1064" w:type="dxa"/>
          </w:tcPr>
          <w:p>
            <w:pPr>
              <w:pStyle w:val="TableParagraph"/>
              <w:ind w:right="45"/>
              <w:rPr>
                <w:sz w:val="14"/>
              </w:rPr>
            </w:pPr>
            <w:r>
              <w:rPr>
                <w:color w:val="231F20"/>
                <w:sz w:val="14"/>
              </w:rPr>
              <w:t>0,0</w:t>
            </w:r>
          </w:p>
        </w:tc>
        <w:tc>
          <w:tcPr>
            <w:tcW w:w="1072" w:type="dxa"/>
          </w:tcPr>
          <w:p>
            <w:pPr>
              <w:pStyle w:val="TableParagraph"/>
              <w:ind w:right="45"/>
              <w:rPr>
                <w:sz w:val="14"/>
              </w:rPr>
            </w:pPr>
            <w:r>
              <w:rPr>
                <w:color w:val="231F20"/>
                <w:sz w:val="14"/>
              </w:rPr>
              <w:t>-</w:t>
            </w:r>
          </w:p>
        </w:tc>
      </w:tr>
      <w:tr>
        <w:trPr>
          <w:trHeight w:val="200" w:hRule="atLeast"/>
        </w:trPr>
        <w:tc>
          <w:tcPr>
            <w:tcW w:w="2233" w:type="dxa"/>
            <w:vMerge w:val="restart"/>
          </w:tcPr>
          <w:p>
            <w:pPr>
              <w:pStyle w:val="TableParagraph"/>
              <w:ind w:left="56"/>
              <w:jc w:val="left"/>
              <w:rPr>
                <w:sz w:val="14"/>
              </w:rPr>
            </w:pPr>
            <w:r>
              <w:rPr>
                <w:color w:val="231F20"/>
                <w:sz w:val="14"/>
              </w:rPr>
              <w:t>Под директним утицајем ТЕ-КО</w:t>
            </w:r>
          </w:p>
        </w:tc>
        <w:tc>
          <w:tcPr>
            <w:tcW w:w="1034" w:type="dxa"/>
          </w:tcPr>
          <w:p>
            <w:pPr>
              <w:pStyle w:val="TableParagraph"/>
              <w:ind w:left="189" w:right="181"/>
              <w:jc w:val="center"/>
              <w:rPr>
                <w:sz w:val="14"/>
              </w:rPr>
            </w:pPr>
            <w:r>
              <w:rPr>
                <w:color w:val="231F20"/>
                <w:sz w:val="14"/>
              </w:rPr>
              <w:t>2010*</w:t>
            </w:r>
          </w:p>
        </w:tc>
        <w:tc>
          <w:tcPr>
            <w:tcW w:w="1403" w:type="dxa"/>
          </w:tcPr>
          <w:p>
            <w:pPr>
              <w:pStyle w:val="TableParagraph"/>
              <w:ind w:right="45"/>
              <w:rPr>
                <w:sz w:val="14"/>
              </w:rPr>
            </w:pPr>
            <w:r>
              <w:rPr>
                <w:color w:val="231F20"/>
                <w:sz w:val="14"/>
              </w:rPr>
              <w:t>8463,5</w:t>
            </w:r>
          </w:p>
        </w:tc>
        <w:tc>
          <w:tcPr>
            <w:tcW w:w="869" w:type="dxa"/>
          </w:tcPr>
          <w:p>
            <w:pPr>
              <w:pStyle w:val="TableParagraph"/>
              <w:ind w:right="45"/>
              <w:rPr>
                <w:sz w:val="14"/>
              </w:rPr>
            </w:pPr>
            <w:r>
              <w:rPr>
                <w:color w:val="231F20"/>
                <w:sz w:val="14"/>
              </w:rPr>
              <w:t>1277,3</w:t>
            </w:r>
          </w:p>
        </w:tc>
        <w:tc>
          <w:tcPr>
            <w:tcW w:w="906" w:type="dxa"/>
          </w:tcPr>
          <w:p>
            <w:pPr>
              <w:pStyle w:val="TableParagraph"/>
              <w:ind w:right="45"/>
              <w:rPr>
                <w:sz w:val="14"/>
              </w:rPr>
            </w:pPr>
            <w:r>
              <w:rPr>
                <w:color w:val="231F20"/>
                <w:sz w:val="14"/>
              </w:rPr>
              <w:t>623,4</w:t>
            </w:r>
          </w:p>
        </w:tc>
        <w:tc>
          <w:tcPr>
            <w:tcW w:w="912" w:type="dxa"/>
          </w:tcPr>
          <w:p>
            <w:pPr>
              <w:pStyle w:val="TableParagraph"/>
              <w:ind w:right="45"/>
              <w:rPr>
                <w:sz w:val="14"/>
              </w:rPr>
            </w:pPr>
            <w:r>
              <w:rPr>
                <w:color w:val="231F20"/>
                <w:sz w:val="14"/>
              </w:rPr>
              <w:t>2193,7</w:t>
            </w:r>
          </w:p>
        </w:tc>
        <w:tc>
          <w:tcPr>
            <w:tcW w:w="971" w:type="dxa"/>
          </w:tcPr>
          <w:p>
            <w:pPr>
              <w:pStyle w:val="TableParagraph"/>
              <w:ind w:right="45"/>
              <w:rPr>
                <w:sz w:val="14"/>
              </w:rPr>
            </w:pPr>
            <w:r>
              <w:rPr>
                <w:color w:val="231F20"/>
                <w:sz w:val="14"/>
              </w:rPr>
              <w:t>2609,7</w:t>
            </w:r>
          </w:p>
        </w:tc>
        <w:tc>
          <w:tcPr>
            <w:tcW w:w="1064" w:type="dxa"/>
          </w:tcPr>
          <w:p>
            <w:pPr>
              <w:pStyle w:val="TableParagraph"/>
              <w:ind w:right="45"/>
              <w:rPr>
                <w:sz w:val="14"/>
              </w:rPr>
            </w:pPr>
            <w:r>
              <w:rPr>
                <w:color w:val="231F20"/>
                <w:sz w:val="14"/>
              </w:rPr>
              <w:t>15167,6</w:t>
            </w:r>
          </w:p>
        </w:tc>
        <w:tc>
          <w:tcPr>
            <w:tcW w:w="1072" w:type="dxa"/>
          </w:tcPr>
          <w:p>
            <w:pPr>
              <w:pStyle w:val="TableParagraph"/>
              <w:ind w:right="45"/>
              <w:rPr>
                <w:sz w:val="14"/>
              </w:rPr>
            </w:pPr>
            <w:r>
              <w:rPr>
                <w:color w:val="231F20"/>
                <w:sz w:val="14"/>
              </w:rPr>
              <w:t>55,8</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1"/>
              <w:jc w:val="center"/>
              <w:rPr>
                <w:sz w:val="14"/>
              </w:rPr>
            </w:pPr>
            <w:r>
              <w:rPr>
                <w:color w:val="231F20"/>
                <w:sz w:val="14"/>
              </w:rPr>
              <w:t>2015</w:t>
            </w:r>
          </w:p>
        </w:tc>
        <w:tc>
          <w:tcPr>
            <w:tcW w:w="1403" w:type="dxa"/>
          </w:tcPr>
          <w:p>
            <w:pPr>
              <w:pStyle w:val="TableParagraph"/>
              <w:ind w:right="45"/>
              <w:rPr>
                <w:sz w:val="14"/>
              </w:rPr>
            </w:pPr>
            <w:r>
              <w:rPr>
                <w:color w:val="231F20"/>
                <w:sz w:val="14"/>
              </w:rPr>
              <w:t>8144,8</w:t>
            </w:r>
          </w:p>
        </w:tc>
        <w:tc>
          <w:tcPr>
            <w:tcW w:w="869" w:type="dxa"/>
          </w:tcPr>
          <w:p>
            <w:pPr>
              <w:pStyle w:val="TableParagraph"/>
              <w:ind w:right="45"/>
              <w:rPr>
                <w:sz w:val="14"/>
              </w:rPr>
            </w:pPr>
            <w:r>
              <w:rPr>
                <w:color w:val="231F20"/>
                <w:sz w:val="14"/>
              </w:rPr>
              <w:t>1247,6</w:t>
            </w:r>
          </w:p>
        </w:tc>
        <w:tc>
          <w:tcPr>
            <w:tcW w:w="906" w:type="dxa"/>
          </w:tcPr>
          <w:p>
            <w:pPr>
              <w:pStyle w:val="TableParagraph"/>
              <w:ind w:right="45"/>
              <w:rPr>
                <w:sz w:val="14"/>
              </w:rPr>
            </w:pPr>
            <w:r>
              <w:rPr>
                <w:color w:val="231F20"/>
                <w:sz w:val="14"/>
              </w:rPr>
              <w:t>1756,6</w:t>
            </w:r>
          </w:p>
        </w:tc>
        <w:tc>
          <w:tcPr>
            <w:tcW w:w="912" w:type="dxa"/>
          </w:tcPr>
          <w:p>
            <w:pPr>
              <w:pStyle w:val="TableParagraph"/>
              <w:ind w:right="45"/>
              <w:rPr>
                <w:sz w:val="14"/>
              </w:rPr>
            </w:pPr>
            <w:r>
              <w:rPr>
                <w:color w:val="231F20"/>
                <w:sz w:val="14"/>
              </w:rPr>
              <w:t>1401,6</w:t>
            </w:r>
          </w:p>
        </w:tc>
        <w:tc>
          <w:tcPr>
            <w:tcW w:w="971" w:type="dxa"/>
          </w:tcPr>
          <w:p>
            <w:pPr>
              <w:pStyle w:val="TableParagraph"/>
              <w:ind w:right="45"/>
              <w:rPr>
                <w:sz w:val="14"/>
              </w:rPr>
            </w:pPr>
            <w:r>
              <w:rPr>
                <w:color w:val="231F20"/>
                <w:sz w:val="14"/>
              </w:rPr>
              <w:t>2617,0</w:t>
            </w:r>
          </w:p>
        </w:tc>
        <w:tc>
          <w:tcPr>
            <w:tcW w:w="1064" w:type="dxa"/>
          </w:tcPr>
          <w:p>
            <w:pPr>
              <w:pStyle w:val="TableParagraph"/>
              <w:ind w:right="45"/>
              <w:rPr>
                <w:sz w:val="14"/>
              </w:rPr>
            </w:pPr>
            <w:r>
              <w:rPr>
                <w:color w:val="231F20"/>
                <w:sz w:val="14"/>
              </w:rPr>
              <w:t>15167,6</w:t>
            </w:r>
          </w:p>
        </w:tc>
        <w:tc>
          <w:tcPr>
            <w:tcW w:w="1072" w:type="dxa"/>
          </w:tcPr>
          <w:p>
            <w:pPr>
              <w:pStyle w:val="TableParagraph"/>
              <w:ind w:right="45"/>
              <w:rPr>
                <w:sz w:val="14"/>
              </w:rPr>
            </w:pPr>
            <w:r>
              <w:rPr>
                <w:color w:val="231F20"/>
                <w:sz w:val="14"/>
              </w:rPr>
              <w:t>53,7</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1"/>
              <w:jc w:val="center"/>
              <w:rPr>
                <w:sz w:val="14"/>
              </w:rPr>
            </w:pPr>
            <w:r>
              <w:rPr>
                <w:color w:val="231F20"/>
                <w:sz w:val="14"/>
              </w:rPr>
              <w:t>2022</w:t>
            </w:r>
          </w:p>
        </w:tc>
        <w:tc>
          <w:tcPr>
            <w:tcW w:w="1403" w:type="dxa"/>
          </w:tcPr>
          <w:p>
            <w:pPr>
              <w:pStyle w:val="TableParagraph"/>
              <w:ind w:right="45"/>
              <w:rPr>
                <w:sz w:val="14"/>
              </w:rPr>
            </w:pPr>
            <w:r>
              <w:rPr>
                <w:color w:val="231F20"/>
                <w:sz w:val="14"/>
              </w:rPr>
              <w:t>7630,6</w:t>
            </w:r>
          </w:p>
        </w:tc>
        <w:tc>
          <w:tcPr>
            <w:tcW w:w="869" w:type="dxa"/>
          </w:tcPr>
          <w:p>
            <w:pPr>
              <w:pStyle w:val="TableParagraph"/>
              <w:ind w:right="45"/>
              <w:rPr>
                <w:sz w:val="14"/>
              </w:rPr>
            </w:pPr>
            <w:r>
              <w:rPr>
                <w:color w:val="231F20"/>
                <w:sz w:val="14"/>
              </w:rPr>
              <w:t>1206,8</w:t>
            </w:r>
          </w:p>
        </w:tc>
        <w:tc>
          <w:tcPr>
            <w:tcW w:w="906" w:type="dxa"/>
          </w:tcPr>
          <w:p>
            <w:pPr>
              <w:pStyle w:val="TableParagraph"/>
              <w:ind w:right="45"/>
              <w:rPr>
                <w:sz w:val="14"/>
              </w:rPr>
            </w:pPr>
            <w:r>
              <w:rPr>
                <w:color w:val="231F20"/>
                <w:sz w:val="14"/>
              </w:rPr>
              <w:t>2349,5</w:t>
            </w:r>
          </w:p>
        </w:tc>
        <w:tc>
          <w:tcPr>
            <w:tcW w:w="912" w:type="dxa"/>
          </w:tcPr>
          <w:p>
            <w:pPr>
              <w:pStyle w:val="TableParagraph"/>
              <w:ind w:right="45"/>
              <w:rPr>
                <w:sz w:val="14"/>
              </w:rPr>
            </w:pPr>
            <w:r>
              <w:rPr>
                <w:color w:val="231F20"/>
                <w:sz w:val="14"/>
              </w:rPr>
              <w:t>1398,1</w:t>
            </w:r>
          </w:p>
        </w:tc>
        <w:tc>
          <w:tcPr>
            <w:tcW w:w="971" w:type="dxa"/>
          </w:tcPr>
          <w:p>
            <w:pPr>
              <w:pStyle w:val="TableParagraph"/>
              <w:ind w:right="45"/>
              <w:rPr>
                <w:sz w:val="14"/>
              </w:rPr>
            </w:pPr>
            <w:r>
              <w:rPr>
                <w:color w:val="231F20"/>
                <w:sz w:val="14"/>
              </w:rPr>
              <w:t>2582,6</w:t>
            </w:r>
          </w:p>
        </w:tc>
        <w:tc>
          <w:tcPr>
            <w:tcW w:w="1064" w:type="dxa"/>
          </w:tcPr>
          <w:p>
            <w:pPr>
              <w:pStyle w:val="TableParagraph"/>
              <w:ind w:right="45"/>
              <w:rPr>
                <w:sz w:val="14"/>
              </w:rPr>
            </w:pPr>
            <w:r>
              <w:rPr>
                <w:color w:val="231F20"/>
                <w:sz w:val="14"/>
              </w:rPr>
              <w:t>15167,6</w:t>
            </w:r>
          </w:p>
        </w:tc>
        <w:tc>
          <w:tcPr>
            <w:tcW w:w="1072" w:type="dxa"/>
          </w:tcPr>
          <w:p>
            <w:pPr>
              <w:pStyle w:val="TableParagraph"/>
              <w:ind w:right="45"/>
              <w:rPr>
                <w:sz w:val="14"/>
              </w:rPr>
            </w:pPr>
            <w:r>
              <w:rPr>
                <w:color w:val="231F20"/>
                <w:sz w:val="14"/>
              </w:rPr>
              <w:t>50,3</w:t>
            </w:r>
          </w:p>
        </w:tc>
      </w:tr>
      <w:tr>
        <w:trPr>
          <w:trHeight w:val="200" w:hRule="atLeast"/>
        </w:trPr>
        <w:tc>
          <w:tcPr>
            <w:tcW w:w="2233" w:type="dxa"/>
            <w:vMerge/>
            <w:tcBorders>
              <w:top w:val="nil"/>
            </w:tcBorders>
          </w:tcPr>
          <w:p>
            <w:pPr>
              <w:rPr>
                <w:sz w:val="2"/>
                <w:szCs w:val="2"/>
              </w:rPr>
            </w:pPr>
          </w:p>
        </w:tc>
        <w:tc>
          <w:tcPr>
            <w:tcW w:w="1034" w:type="dxa"/>
          </w:tcPr>
          <w:p>
            <w:pPr>
              <w:pStyle w:val="TableParagraph"/>
              <w:ind w:left="189" w:right="182"/>
              <w:jc w:val="center"/>
              <w:rPr>
                <w:sz w:val="14"/>
              </w:rPr>
            </w:pPr>
            <w:r>
              <w:rPr>
                <w:color w:val="231F20"/>
                <w:sz w:val="14"/>
              </w:rPr>
              <w:t>2010-2015</w:t>
            </w:r>
          </w:p>
        </w:tc>
        <w:tc>
          <w:tcPr>
            <w:tcW w:w="1403" w:type="dxa"/>
          </w:tcPr>
          <w:p>
            <w:pPr>
              <w:pStyle w:val="TableParagraph"/>
              <w:ind w:right="45"/>
              <w:rPr>
                <w:sz w:val="14"/>
              </w:rPr>
            </w:pPr>
            <w:r>
              <w:rPr>
                <w:color w:val="231F20"/>
                <w:sz w:val="14"/>
              </w:rPr>
              <w:t>-318,6</w:t>
            </w:r>
          </w:p>
        </w:tc>
        <w:tc>
          <w:tcPr>
            <w:tcW w:w="869" w:type="dxa"/>
          </w:tcPr>
          <w:p>
            <w:pPr>
              <w:pStyle w:val="TableParagraph"/>
              <w:ind w:right="45"/>
              <w:rPr>
                <w:sz w:val="14"/>
              </w:rPr>
            </w:pPr>
            <w:r>
              <w:rPr>
                <w:color w:val="231F20"/>
                <w:sz w:val="14"/>
              </w:rPr>
              <w:t>-29,8</w:t>
            </w:r>
          </w:p>
        </w:tc>
        <w:tc>
          <w:tcPr>
            <w:tcW w:w="906" w:type="dxa"/>
          </w:tcPr>
          <w:p>
            <w:pPr>
              <w:pStyle w:val="TableParagraph"/>
              <w:ind w:right="45"/>
              <w:rPr>
                <w:sz w:val="14"/>
              </w:rPr>
            </w:pPr>
            <w:r>
              <w:rPr>
                <w:color w:val="231F20"/>
                <w:sz w:val="14"/>
              </w:rPr>
              <w:t>1133,1</w:t>
            </w:r>
          </w:p>
        </w:tc>
        <w:tc>
          <w:tcPr>
            <w:tcW w:w="912" w:type="dxa"/>
          </w:tcPr>
          <w:p>
            <w:pPr>
              <w:pStyle w:val="TableParagraph"/>
              <w:ind w:right="45"/>
              <w:rPr>
                <w:sz w:val="14"/>
              </w:rPr>
            </w:pPr>
            <w:r>
              <w:rPr>
                <w:color w:val="231F20"/>
                <w:sz w:val="14"/>
              </w:rPr>
              <w:t>-792,1</w:t>
            </w:r>
          </w:p>
        </w:tc>
        <w:tc>
          <w:tcPr>
            <w:tcW w:w="971" w:type="dxa"/>
          </w:tcPr>
          <w:p>
            <w:pPr>
              <w:pStyle w:val="TableParagraph"/>
              <w:ind w:right="45"/>
              <w:rPr>
                <w:sz w:val="14"/>
              </w:rPr>
            </w:pPr>
            <w:r>
              <w:rPr>
                <w:color w:val="231F20"/>
                <w:sz w:val="14"/>
              </w:rPr>
              <w:t>7,3</w:t>
            </w:r>
          </w:p>
        </w:tc>
        <w:tc>
          <w:tcPr>
            <w:tcW w:w="1064" w:type="dxa"/>
          </w:tcPr>
          <w:p>
            <w:pPr>
              <w:pStyle w:val="TableParagraph"/>
              <w:ind w:right="45"/>
              <w:rPr>
                <w:sz w:val="14"/>
              </w:rPr>
            </w:pPr>
            <w:r>
              <w:rPr>
                <w:color w:val="231F20"/>
                <w:sz w:val="14"/>
              </w:rPr>
              <w:t>0,0</w:t>
            </w:r>
          </w:p>
        </w:tc>
        <w:tc>
          <w:tcPr>
            <w:tcW w:w="1072" w:type="dxa"/>
          </w:tcPr>
          <w:p>
            <w:pPr>
              <w:pStyle w:val="TableParagraph"/>
              <w:ind w:right="45"/>
              <w:rPr>
                <w:sz w:val="14"/>
              </w:rPr>
            </w:pPr>
            <w:r>
              <w:rPr>
                <w:color w:val="231F20"/>
                <w:sz w:val="14"/>
              </w:rPr>
              <w:t>-</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2"/>
              <w:jc w:val="center"/>
              <w:rPr>
                <w:sz w:val="14"/>
              </w:rPr>
            </w:pPr>
            <w:r>
              <w:rPr>
                <w:color w:val="231F20"/>
                <w:sz w:val="14"/>
              </w:rPr>
              <w:t>2015-2022</w:t>
            </w:r>
          </w:p>
        </w:tc>
        <w:tc>
          <w:tcPr>
            <w:tcW w:w="1403" w:type="dxa"/>
          </w:tcPr>
          <w:p>
            <w:pPr>
              <w:pStyle w:val="TableParagraph"/>
              <w:spacing w:before="17"/>
              <w:ind w:right="45"/>
              <w:rPr>
                <w:sz w:val="14"/>
              </w:rPr>
            </w:pPr>
            <w:r>
              <w:rPr>
                <w:color w:val="231F20"/>
                <w:sz w:val="14"/>
              </w:rPr>
              <w:t>-514,3</w:t>
            </w:r>
          </w:p>
        </w:tc>
        <w:tc>
          <w:tcPr>
            <w:tcW w:w="869" w:type="dxa"/>
          </w:tcPr>
          <w:p>
            <w:pPr>
              <w:pStyle w:val="TableParagraph"/>
              <w:spacing w:before="17"/>
              <w:ind w:right="45"/>
              <w:rPr>
                <w:sz w:val="14"/>
              </w:rPr>
            </w:pPr>
            <w:r>
              <w:rPr>
                <w:color w:val="231F20"/>
                <w:sz w:val="14"/>
              </w:rPr>
              <w:t>-40,8</w:t>
            </w:r>
          </w:p>
        </w:tc>
        <w:tc>
          <w:tcPr>
            <w:tcW w:w="906" w:type="dxa"/>
          </w:tcPr>
          <w:p>
            <w:pPr>
              <w:pStyle w:val="TableParagraph"/>
              <w:spacing w:before="17"/>
              <w:ind w:right="45"/>
              <w:rPr>
                <w:sz w:val="14"/>
              </w:rPr>
            </w:pPr>
            <w:r>
              <w:rPr>
                <w:color w:val="231F20"/>
                <w:sz w:val="14"/>
              </w:rPr>
              <w:t>592,9</w:t>
            </w:r>
          </w:p>
        </w:tc>
        <w:tc>
          <w:tcPr>
            <w:tcW w:w="912" w:type="dxa"/>
          </w:tcPr>
          <w:p>
            <w:pPr>
              <w:pStyle w:val="TableParagraph"/>
              <w:spacing w:before="17"/>
              <w:ind w:right="45"/>
              <w:rPr>
                <w:sz w:val="14"/>
              </w:rPr>
            </w:pPr>
            <w:r>
              <w:rPr>
                <w:color w:val="231F20"/>
                <w:sz w:val="14"/>
              </w:rPr>
              <w:t>-3,5</w:t>
            </w:r>
          </w:p>
        </w:tc>
        <w:tc>
          <w:tcPr>
            <w:tcW w:w="971" w:type="dxa"/>
          </w:tcPr>
          <w:p>
            <w:pPr>
              <w:pStyle w:val="TableParagraph"/>
              <w:spacing w:before="17"/>
              <w:ind w:right="45"/>
              <w:rPr>
                <w:sz w:val="14"/>
              </w:rPr>
            </w:pPr>
            <w:r>
              <w:rPr>
                <w:color w:val="231F20"/>
                <w:sz w:val="14"/>
              </w:rPr>
              <w:t>-34,3</w:t>
            </w:r>
          </w:p>
        </w:tc>
        <w:tc>
          <w:tcPr>
            <w:tcW w:w="1064" w:type="dxa"/>
          </w:tcPr>
          <w:p>
            <w:pPr>
              <w:pStyle w:val="TableParagraph"/>
              <w:spacing w:before="17"/>
              <w:ind w:right="45"/>
              <w:rPr>
                <w:sz w:val="14"/>
              </w:rPr>
            </w:pPr>
            <w:r>
              <w:rPr>
                <w:color w:val="231F20"/>
                <w:sz w:val="14"/>
              </w:rPr>
              <w:t>0,0</w:t>
            </w:r>
          </w:p>
        </w:tc>
        <w:tc>
          <w:tcPr>
            <w:tcW w:w="1072" w:type="dxa"/>
          </w:tcPr>
          <w:p>
            <w:pPr>
              <w:pStyle w:val="TableParagraph"/>
              <w:spacing w:before="17"/>
              <w:ind w:right="45"/>
              <w:rPr>
                <w:sz w:val="14"/>
              </w:rPr>
            </w:pPr>
            <w:r>
              <w:rPr>
                <w:color w:val="231F20"/>
                <w:sz w:val="14"/>
              </w:rPr>
              <w:t>-</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2"/>
              <w:jc w:val="center"/>
              <w:rPr>
                <w:sz w:val="14"/>
              </w:rPr>
            </w:pPr>
            <w:r>
              <w:rPr>
                <w:color w:val="231F20"/>
                <w:sz w:val="14"/>
              </w:rPr>
              <w:t>2010-2022</w:t>
            </w:r>
          </w:p>
        </w:tc>
        <w:tc>
          <w:tcPr>
            <w:tcW w:w="1403" w:type="dxa"/>
          </w:tcPr>
          <w:p>
            <w:pPr>
              <w:pStyle w:val="TableParagraph"/>
              <w:spacing w:before="17"/>
              <w:ind w:right="46"/>
              <w:rPr>
                <w:sz w:val="14"/>
              </w:rPr>
            </w:pPr>
            <w:r>
              <w:rPr>
                <w:color w:val="231F20"/>
                <w:sz w:val="14"/>
              </w:rPr>
              <w:t>-832,9</w:t>
            </w:r>
          </w:p>
        </w:tc>
        <w:tc>
          <w:tcPr>
            <w:tcW w:w="869" w:type="dxa"/>
          </w:tcPr>
          <w:p>
            <w:pPr>
              <w:pStyle w:val="TableParagraph"/>
              <w:spacing w:before="17"/>
              <w:ind w:right="46"/>
              <w:rPr>
                <w:sz w:val="14"/>
              </w:rPr>
            </w:pPr>
            <w:r>
              <w:rPr>
                <w:color w:val="231F20"/>
                <w:sz w:val="14"/>
              </w:rPr>
              <w:t>-70,6</w:t>
            </w:r>
          </w:p>
        </w:tc>
        <w:tc>
          <w:tcPr>
            <w:tcW w:w="906" w:type="dxa"/>
          </w:tcPr>
          <w:p>
            <w:pPr>
              <w:pStyle w:val="TableParagraph"/>
              <w:spacing w:before="17"/>
              <w:ind w:right="46"/>
              <w:rPr>
                <w:sz w:val="14"/>
              </w:rPr>
            </w:pPr>
            <w:r>
              <w:rPr>
                <w:color w:val="231F20"/>
                <w:sz w:val="14"/>
              </w:rPr>
              <w:t>1726,1</w:t>
            </w:r>
          </w:p>
        </w:tc>
        <w:tc>
          <w:tcPr>
            <w:tcW w:w="912" w:type="dxa"/>
          </w:tcPr>
          <w:p>
            <w:pPr>
              <w:pStyle w:val="TableParagraph"/>
              <w:spacing w:before="17"/>
              <w:ind w:right="46"/>
              <w:rPr>
                <w:sz w:val="14"/>
              </w:rPr>
            </w:pPr>
            <w:r>
              <w:rPr>
                <w:color w:val="231F20"/>
                <w:sz w:val="14"/>
              </w:rPr>
              <w:t>-795,6</w:t>
            </w:r>
          </w:p>
        </w:tc>
        <w:tc>
          <w:tcPr>
            <w:tcW w:w="971" w:type="dxa"/>
          </w:tcPr>
          <w:p>
            <w:pPr>
              <w:pStyle w:val="TableParagraph"/>
              <w:spacing w:before="17"/>
              <w:ind w:right="46"/>
              <w:rPr>
                <w:sz w:val="14"/>
              </w:rPr>
            </w:pPr>
            <w:r>
              <w:rPr>
                <w:color w:val="231F20"/>
                <w:sz w:val="14"/>
              </w:rPr>
              <w:t>-27,0</w:t>
            </w:r>
          </w:p>
        </w:tc>
        <w:tc>
          <w:tcPr>
            <w:tcW w:w="1064" w:type="dxa"/>
          </w:tcPr>
          <w:p>
            <w:pPr>
              <w:pStyle w:val="TableParagraph"/>
              <w:spacing w:before="17"/>
              <w:ind w:right="46"/>
              <w:rPr>
                <w:sz w:val="14"/>
              </w:rPr>
            </w:pPr>
            <w:r>
              <w:rPr>
                <w:color w:val="231F20"/>
                <w:sz w:val="14"/>
              </w:rPr>
              <w:t>0,0</w:t>
            </w:r>
          </w:p>
        </w:tc>
        <w:tc>
          <w:tcPr>
            <w:tcW w:w="1072" w:type="dxa"/>
          </w:tcPr>
          <w:p>
            <w:pPr>
              <w:pStyle w:val="TableParagraph"/>
              <w:spacing w:before="17"/>
              <w:ind w:right="46"/>
              <w:rPr>
                <w:sz w:val="14"/>
              </w:rPr>
            </w:pPr>
            <w:r>
              <w:rPr>
                <w:color w:val="231F20"/>
                <w:sz w:val="14"/>
              </w:rPr>
              <w:t>-</w:t>
            </w:r>
          </w:p>
        </w:tc>
      </w:tr>
      <w:tr>
        <w:trPr>
          <w:trHeight w:val="200" w:hRule="atLeast"/>
        </w:trPr>
        <w:tc>
          <w:tcPr>
            <w:tcW w:w="2233" w:type="dxa"/>
            <w:vMerge w:val="restart"/>
          </w:tcPr>
          <w:p>
            <w:pPr>
              <w:pStyle w:val="TableParagraph"/>
              <w:spacing w:before="17"/>
              <w:ind w:left="90"/>
              <w:jc w:val="left"/>
              <w:rPr>
                <w:sz w:val="14"/>
              </w:rPr>
            </w:pPr>
            <w:r>
              <w:rPr>
                <w:color w:val="231F20"/>
                <w:sz w:val="14"/>
              </w:rPr>
              <w:t>Брадарац</w:t>
            </w:r>
          </w:p>
        </w:tc>
        <w:tc>
          <w:tcPr>
            <w:tcW w:w="1034" w:type="dxa"/>
          </w:tcPr>
          <w:p>
            <w:pPr>
              <w:pStyle w:val="TableParagraph"/>
              <w:spacing w:before="17"/>
              <w:ind w:left="189" w:right="182"/>
              <w:jc w:val="center"/>
              <w:rPr>
                <w:sz w:val="14"/>
              </w:rPr>
            </w:pPr>
            <w:r>
              <w:rPr>
                <w:color w:val="231F20"/>
                <w:sz w:val="14"/>
              </w:rPr>
              <w:t>2010*</w:t>
            </w:r>
          </w:p>
        </w:tc>
        <w:tc>
          <w:tcPr>
            <w:tcW w:w="1403" w:type="dxa"/>
          </w:tcPr>
          <w:p>
            <w:pPr>
              <w:pStyle w:val="TableParagraph"/>
              <w:spacing w:before="17"/>
              <w:ind w:right="46"/>
              <w:rPr>
                <w:sz w:val="14"/>
              </w:rPr>
            </w:pPr>
            <w:r>
              <w:rPr>
                <w:color w:val="231F20"/>
                <w:sz w:val="14"/>
              </w:rPr>
              <w:t>832,0</w:t>
            </w:r>
          </w:p>
        </w:tc>
        <w:tc>
          <w:tcPr>
            <w:tcW w:w="869" w:type="dxa"/>
          </w:tcPr>
          <w:p>
            <w:pPr>
              <w:pStyle w:val="TableParagraph"/>
              <w:spacing w:before="17"/>
              <w:ind w:right="46"/>
              <w:rPr>
                <w:sz w:val="14"/>
              </w:rPr>
            </w:pPr>
            <w:r>
              <w:rPr>
                <w:color w:val="231F20"/>
                <w:sz w:val="14"/>
              </w:rPr>
              <w:t>22,3</w:t>
            </w:r>
          </w:p>
        </w:tc>
        <w:tc>
          <w:tcPr>
            <w:tcW w:w="906" w:type="dxa"/>
          </w:tcPr>
          <w:p>
            <w:pPr>
              <w:pStyle w:val="TableParagraph"/>
              <w:spacing w:before="17"/>
              <w:ind w:right="46"/>
              <w:rPr>
                <w:sz w:val="14"/>
              </w:rPr>
            </w:pPr>
            <w:r>
              <w:rPr>
                <w:color w:val="231F20"/>
                <w:sz w:val="14"/>
              </w:rPr>
              <w:t>52,3</w:t>
            </w:r>
          </w:p>
        </w:tc>
        <w:tc>
          <w:tcPr>
            <w:tcW w:w="912" w:type="dxa"/>
          </w:tcPr>
          <w:p>
            <w:pPr>
              <w:pStyle w:val="TableParagraph"/>
              <w:spacing w:before="17"/>
              <w:ind w:right="46"/>
              <w:rPr>
                <w:sz w:val="14"/>
              </w:rPr>
            </w:pPr>
            <w:r>
              <w:rPr>
                <w:color w:val="231F20"/>
                <w:sz w:val="14"/>
              </w:rPr>
              <w:t>250,5</w:t>
            </w:r>
          </w:p>
        </w:tc>
        <w:tc>
          <w:tcPr>
            <w:tcW w:w="971" w:type="dxa"/>
          </w:tcPr>
          <w:p>
            <w:pPr>
              <w:pStyle w:val="TableParagraph"/>
              <w:spacing w:before="17"/>
              <w:ind w:right="46"/>
              <w:rPr>
                <w:sz w:val="14"/>
              </w:rPr>
            </w:pPr>
            <w:r>
              <w:rPr>
                <w:color w:val="231F20"/>
                <w:sz w:val="14"/>
              </w:rPr>
              <w:t>211,9</w:t>
            </w:r>
          </w:p>
        </w:tc>
        <w:tc>
          <w:tcPr>
            <w:tcW w:w="1064" w:type="dxa"/>
          </w:tcPr>
          <w:p>
            <w:pPr>
              <w:pStyle w:val="TableParagraph"/>
              <w:spacing w:before="17"/>
              <w:ind w:right="46"/>
              <w:rPr>
                <w:sz w:val="14"/>
              </w:rPr>
            </w:pPr>
            <w:r>
              <w:rPr>
                <w:color w:val="231F20"/>
                <w:sz w:val="14"/>
              </w:rPr>
              <w:t>1368,9</w:t>
            </w:r>
          </w:p>
        </w:tc>
        <w:tc>
          <w:tcPr>
            <w:tcW w:w="1072" w:type="dxa"/>
          </w:tcPr>
          <w:p>
            <w:pPr>
              <w:pStyle w:val="TableParagraph"/>
              <w:spacing w:before="17"/>
              <w:ind w:right="46"/>
              <w:rPr>
                <w:sz w:val="14"/>
              </w:rPr>
            </w:pPr>
            <w:r>
              <w:rPr>
                <w:color w:val="231F20"/>
                <w:sz w:val="14"/>
              </w:rPr>
              <w:t>60,8</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3"/>
              <w:jc w:val="center"/>
              <w:rPr>
                <w:sz w:val="14"/>
              </w:rPr>
            </w:pPr>
            <w:r>
              <w:rPr>
                <w:color w:val="231F20"/>
                <w:sz w:val="14"/>
              </w:rPr>
              <w:t>2015</w:t>
            </w:r>
          </w:p>
        </w:tc>
        <w:tc>
          <w:tcPr>
            <w:tcW w:w="1403" w:type="dxa"/>
          </w:tcPr>
          <w:p>
            <w:pPr>
              <w:pStyle w:val="TableParagraph"/>
              <w:spacing w:before="17"/>
              <w:ind w:right="46"/>
              <w:rPr>
                <w:sz w:val="14"/>
              </w:rPr>
            </w:pPr>
            <w:r>
              <w:rPr>
                <w:color w:val="231F20"/>
                <w:sz w:val="14"/>
              </w:rPr>
              <w:t>832,0</w:t>
            </w:r>
          </w:p>
        </w:tc>
        <w:tc>
          <w:tcPr>
            <w:tcW w:w="869" w:type="dxa"/>
          </w:tcPr>
          <w:p>
            <w:pPr>
              <w:pStyle w:val="TableParagraph"/>
              <w:spacing w:before="17"/>
              <w:ind w:right="46"/>
              <w:rPr>
                <w:sz w:val="14"/>
              </w:rPr>
            </w:pPr>
            <w:r>
              <w:rPr>
                <w:color w:val="231F20"/>
                <w:sz w:val="14"/>
              </w:rPr>
              <w:t>22,3</w:t>
            </w:r>
          </w:p>
        </w:tc>
        <w:tc>
          <w:tcPr>
            <w:tcW w:w="906" w:type="dxa"/>
          </w:tcPr>
          <w:p>
            <w:pPr>
              <w:pStyle w:val="TableParagraph"/>
              <w:spacing w:before="17"/>
              <w:ind w:right="46"/>
              <w:rPr>
                <w:sz w:val="14"/>
              </w:rPr>
            </w:pPr>
            <w:r>
              <w:rPr>
                <w:color w:val="231F20"/>
                <w:sz w:val="14"/>
              </w:rPr>
              <w:t>283,6</w:t>
            </w:r>
          </w:p>
        </w:tc>
        <w:tc>
          <w:tcPr>
            <w:tcW w:w="912" w:type="dxa"/>
          </w:tcPr>
          <w:p>
            <w:pPr>
              <w:pStyle w:val="TableParagraph"/>
              <w:spacing w:before="17"/>
              <w:ind w:right="46"/>
              <w:rPr>
                <w:sz w:val="14"/>
              </w:rPr>
            </w:pPr>
            <w:r>
              <w:rPr>
                <w:color w:val="231F20"/>
                <w:sz w:val="14"/>
              </w:rPr>
              <w:t>19,2</w:t>
            </w:r>
          </w:p>
        </w:tc>
        <w:tc>
          <w:tcPr>
            <w:tcW w:w="971" w:type="dxa"/>
          </w:tcPr>
          <w:p>
            <w:pPr>
              <w:pStyle w:val="TableParagraph"/>
              <w:spacing w:before="17"/>
              <w:ind w:right="46"/>
              <w:rPr>
                <w:sz w:val="14"/>
              </w:rPr>
            </w:pPr>
            <w:r>
              <w:rPr>
                <w:color w:val="231F20"/>
                <w:sz w:val="14"/>
              </w:rPr>
              <w:t>211,9</w:t>
            </w:r>
          </w:p>
        </w:tc>
        <w:tc>
          <w:tcPr>
            <w:tcW w:w="1064" w:type="dxa"/>
          </w:tcPr>
          <w:p>
            <w:pPr>
              <w:pStyle w:val="TableParagraph"/>
              <w:spacing w:before="17"/>
              <w:ind w:right="46"/>
              <w:rPr>
                <w:sz w:val="14"/>
              </w:rPr>
            </w:pPr>
            <w:r>
              <w:rPr>
                <w:color w:val="231F20"/>
                <w:sz w:val="14"/>
              </w:rPr>
              <w:t>1368,9</w:t>
            </w:r>
          </w:p>
        </w:tc>
        <w:tc>
          <w:tcPr>
            <w:tcW w:w="1072" w:type="dxa"/>
          </w:tcPr>
          <w:p>
            <w:pPr>
              <w:pStyle w:val="TableParagraph"/>
              <w:spacing w:before="17"/>
              <w:ind w:right="46"/>
              <w:rPr>
                <w:sz w:val="14"/>
              </w:rPr>
            </w:pPr>
            <w:r>
              <w:rPr>
                <w:color w:val="231F20"/>
                <w:sz w:val="14"/>
              </w:rPr>
              <w:t>60,8</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3"/>
              <w:jc w:val="center"/>
              <w:rPr>
                <w:sz w:val="14"/>
              </w:rPr>
            </w:pPr>
            <w:r>
              <w:rPr>
                <w:color w:val="231F20"/>
                <w:sz w:val="14"/>
              </w:rPr>
              <w:t>2022</w:t>
            </w:r>
          </w:p>
        </w:tc>
        <w:tc>
          <w:tcPr>
            <w:tcW w:w="1403" w:type="dxa"/>
          </w:tcPr>
          <w:p>
            <w:pPr>
              <w:pStyle w:val="TableParagraph"/>
              <w:spacing w:before="17"/>
              <w:ind w:right="46"/>
              <w:rPr>
                <w:sz w:val="14"/>
              </w:rPr>
            </w:pPr>
            <w:r>
              <w:rPr>
                <w:color w:val="231F20"/>
                <w:sz w:val="14"/>
              </w:rPr>
              <w:t>832,0</w:t>
            </w:r>
          </w:p>
        </w:tc>
        <w:tc>
          <w:tcPr>
            <w:tcW w:w="869" w:type="dxa"/>
          </w:tcPr>
          <w:p>
            <w:pPr>
              <w:pStyle w:val="TableParagraph"/>
              <w:spacing w:before="17"/>
              <w:ind w:right="46"/>
              <w:rPr>
                <w:sz w:val="14"/>
              </w:rPr>
            </w:pPr>
            <w:r>
              <w:rPr>
                <w:color w:val="231F20"/>
                <w:sz w:val="14"/>
              </w:rPr>
              <w:t>22,3</w:t>
            </w:r>
          </w:p>
        </w:tc>
        <w:tc>
          <w:tcPr>
            <w:tcW w:w="906" w:type="dxa"/>
          </w:tcPr>
          <w:p>
            <w:pPr>
              <w:pStyle w:val="TableParagraph"/>
              <w:spacing w:before="17"/>
              <w:ind w:right="46"/>
              <w:rPr>
                <w:sz w:val="14"/>
              </w:rPr>
            </w:pPr>
            <w:r>
              <w:rPr>
                <w:color w:val="231F20"/>
                <w:sz w:val="14"/>
              </w:rPr>
              <w:t>283,6</w:t>
            </w:r>
          </w:p>
        </w:tc>
        <w:tc>
          <w:tcPr>
            <w:tcW w:w="912" w:type="dxa"/>
          </w:tcPr>
          <w:p>
            <w:pPr>
              <w:pStyle w:val="TableParagraph"/>
              <w:spacing w:before="17"/>
              <w:ind w:right="46"/>
              <w:rPr>
                <w:sz w:val="14"/>
              </w:rPr>
            </w:pPr>
            <w:r>
              <w:rPr>
                <w:color w:val="231F20"/>
                <w:sz w:val="14"/>
              </w:rPr>
              <w:t>19,2</w:t>
            </w:r>
          </w:p>
        </w:tc>
        <w:tc>
          <w:tcPr>
            <w:tcW w:w="971" w:type="dxa"/>
          </w:tcPr>
          <w:p>
            <w:pPr>
              <w:pStyle w:val="TableParagraph"/>
              <w:spacing w:before="17"/>
              <w:ind w:right="46"/>
              <w:rPr>
                <w:sz w:val="14"/>
              </w:rPr>
            </w:pPr>
            <w:r>
              <w:rPr>
                <w:color w:val="231F20"/>
                <w:sz w:val="14"/>
              </w:rPr>
              <w:t>211,9</w:t>
            </w:r>
          </w:p>
        </w:tc>
        <w:tc>
          <w:tcPr>
            <w:tcW w:w="1064" w:type="dxa"/>
          </w:tcPr>
          <w:p>
            <w:pPr>
              <w:pStyle w:val="TableParagraph"/>
              <w:spacing w:before="17"/>
              <w:ind w:right="46"/>
              <w:rPr>
                <w:sz w:val="14"/>
              </w:rPr>
            </w:pPr>
            <w:r>
              <w:rPr>
                <w:color w:val="231F20"/>
                <w:sz w:val="14"/>
              </w:rPr>
              <w:t>1368,9</w:t>
            </w:r>
          </w:p>
        </w:tc>
        <w:tc>
          <w:tcPr>
            <w:tcW w:w="1072" w:type="dxa"/>
          </w:tcPr>
          <w:p>
            <w:pPr>
              <w:pStyle w:val="TableParagraph"/>
              <w:spacing w:before="17"/>
              <w:ind w:right="46"/>
              <w:rPr>
                <w:sz w:val="14"/>
              </w:rPr>
            </w:pPr>
            <w:r>
              <w:rPr>
                <w:color w:val="231F20"/>
                <w:sz w:val="14"/>
              </w:rPr>
              <w:t>60,8</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3"/>
              <w:jc w:val="center"/>
              <w:rPr>
                <w:sz w:val="14"/>
              </w:rPr>
            </w:pPr>
            <w:r>
              <w:rPr>
                <w:color w:val="231F20"/>
                <w:sz w:val="14"/>
              </w:rPr>
              <w:t>2010-2022</w:t>
            </w:r>
          </w:p>
        </w:tc>
        <w:tc>
          <w:tcPr>
            <w:tcW w:w="1403" w:type="dxa"/>
          </w:tcPr>
          <w:p>
            <w:pPr>
              <w:pStyle w:val="TableParagraph"/>
              <w:spacing w:before="17"/>
              <w:ind w:right="46"/>
              <w:rPr>
                <w:sz w:val="14"/>
              </w:rPr>
            </w:pPr>
            <w:r>
              <w:rPr>
                <w:color w:val="231F20"/>
                <w:sz w:val="14"/>
              </w:rPr>
              <w:t>0,0</w:t>
            </w:r>
          </w:p>
        </w:tc>
        <w:tc>
          <w:tcPr>
            <w:tcW w:w="869" w:type="dxa"/>
          </w:tcPr>
          <w:p>
            <w:pPr>
              <w:pStyle w:val="TableParagraph"/>
              <w:spacing w:before="17"/>
              <w:ind w:right="46"/>
              <w:rPr>
                <w:sz w:val="14"/>
              </w:rPr>
            </w:pPr>
            <w:r>
              <w:rPr>
                <w:color w:val="231F20"/>
                <w:sz w:val="14"/>
              </w:rPr>
              <w:t>0,0</w:t>
            </w:r>
          </w:p>
        </w:tc>
        <w:tc>
          <w:tcPr>
            <w:tcW w:w="906" w:type="dxa"/>
          </w:tcPr>
          <w:p>
            <w:pPr>
              <w:pStyle w:val="TableParagraph"/>
              <w:spacing w:before="17"/>
              <w:ind w:right="46"/>
              <w:rPr>
                <w:sz w:val="14"/>
              </w:rPr>
            </w:pPr>
            <w:r>
              <w:rPr>
                <w:color w:val="231F20"/>
                <w:sz w:val="14"/>
              </w:rPr>
              <w:t>231,3</w:t>
            </w:r>
          </w:p>
        </w:tc>
        <w:tc>
          <w:tcPr>
            <w:tcW w:w="912" w:type="dxa"/>
          </w:tcPr>
          <w:p>
            <w:pPr>
              <w:pStyle w:val="TableParagraph"/>
              <w:spacing w:before="17"/>
              <w:ind w:right="46"/>
              <w:rPr>
                <w:sz w:val="14"/>
              </w:rPr>
            </w:pPr>
            <w:r>
              <w:rPr>
                <w:color w:val="231F20"/>
                <w:sz w:val="14"/>
              </w:rPr>
              <w:t>-231,3</w:t>
            </w:r>
          </w:p>
        </w:tc>
        <w:tc>
          <w:tcPr>
            <w:tcW w:w="971" w:type="dxa"/>
          </w:tcPr>
          <w:p>
            <w:pPr>
              <w:pStyle w:val="TableParagraph"/>
              <w:spacing w:before="17"/>
              <w:ind w:right="46"/>
              <w:rPr>
                <w:sz w:val="14"/>
              </w:rPr>
            </w:pPr>
            <w:r>
              <w:rPr>
                <w:color w:val="231F20"/>
                <w:sz w:val="14"/>
              </w:rPr>
              <w:t>0,0</w:t>
            </w:r>
          </w:p>
        </w:tc>
        <w:tc>
          <w:tcPr>
            <w:tcW w:w="1064" w:type="dxa"/>
          </w:tcPr>
          <w:p>
            <w:pPr>
              <w:pStyle w:val="TableParagraph"/>
              <w:spacing w:before="17"/>
              <w:ind w:right="46"/>
              <w:rPr>
                <w:sz w:val="14"/>
              </w:rPr>
            </w:pPr>
            <w:r>
              <w:rPr>
                <w:color w:val="231F20"/>
                <w:sz w:val="14"/>
              </w:rPr>
              <w:t>0,0</w:t>
            </w:r>
          </w:p>
        </w:tc>
        <w:tc>
          <w:tcPr>
            <w:tcW w:w="1072" w:type="dxa"/>
          </w:tcPr>
          <w:p>
            <w:pPr>
              <w:pStyle w:val="TableParagraph"/>
              <w:spacing w:before="0"/>
              <w:jc w:val="left"/>
              <w:rPr>
                <w:sz w:val="12"/>
              </w:rPr>
            </w:pPr>
          </w:p>
        </w:tc>
      </w:tr>
      <w:tr>
        <w:trPr>
          <w:trHeight w:val="200" w:hRule="atLeast"/>
        </w:trPr>
        <w:tc>
          <w:tcPr>
            <w:tcW w:w="2233" w:type="dxa"/>
            <w:vMerge w:val="restart"/>
          </w:tcPr>
          <w:p>
            <w:pPr>
              <w:pStyle w:val="TableParagraph"/>
              <w:spacing w:before="17"/>
              <w:ind w:left="89"/>
              <w:jc w:val="left"/>
              <w:rPr>
                <w:sz w:val="14"/>
              </w:rPr>
            </w:pPr>
            <w:r>
              <w:rPr>
                <w:color w:val="231F20"/>
                <w:sz w:val="14"/>
              </w:rPr>
              <w:t>Дрмно</w:t>
            </w:r>
          </w:p>
        </w:tc>
        <w:tc>
          <w:tcPr>
            <w:tcW w:w="1034" w:type="dxa"/>
          </w:tcPr>
          <w:p>
            <w:pPr>
              <w:pStyle w:val="TableParagraph"/>
              <w:spacing w:before="17"/>
              <w:ind w:left="189" w:right="183"/>
              <w:jc w:val="center"/>
              <w:rPr>
                <w:sz w:val="14"/>
              </w:rPr>
            </w:pPr>
            <w:r>
              <w:rPr>
                <w:color w:val="231F20"/>
                <w:sz w:val="14"/>
              </w:rPr>
              <w:t>2010*</w:t>
            </w:r>
          </w:p>
        </w:tc>
        <w:tc>
          <w:tcPr>
            <w:tcW w:w="1403" w:type="dxa"/>
          </w:tcPr>
          <w:p>
            <w:pPr>
              <w:pStyle w:val="TableParagraph"/>
              <w:spacing w:before="17"/>
              <w:ind w:right="46"/>
              <w:rPr>
                <w:sz w:val="14"/>
              </w:rPr>
            </w:pPr>
            <w:r>
              <w:rPr>
                <w:color w:val="231F20"/>
                <w:sz w:val="14"/>
              </w:rPr>
              <w:t>370,5</w:t>
            </w:r>
          </w:p>
        </w:tc>
        <w:tc>
          <w:tcPr>
            <w:tcW w:w="869" w:type="dxa"/>
          </w:tcPr>
          <w:p>
            <w:pPr>
              <w:pStyle w:val="TableParagraph"/>
              <w:spacing w:before="17"/>
              <w:ind w:right="46"/>
              <w:rPr>
                <w:sz w:val="14"/>
              </w:rPr>
            </w:pPr>
            <w:r>
              <w:rPr>
                <w:color w:val="231F20"/>
                <w:sz w:val="14"/>
              </w:rPr>
              <w:t>9,1</w:t>
            </w:r>
          </w:p>
        </w:tc>
        <w:tc>
          <w:tcPr>
            <w:tcW w:w="906" w:type="dxa"/>
          </w:tcPr>
          <w:p>
            <w:pPr>
              <w:pStyle w:val="TableParagraph"/>
              <w:spacing w:before="17"/>
              <w:ind w:right="46"/>
              <w:rPr>
                <w:sz w:val="14"/>
              </w:rPr>
            </w:pPr>
            <w:r>
              <w:rPr>
                <w:color w:val="231F20"/>
                <w:sz w:val="14"/>
              </w:rPr>
              <w:t>10,0</w:t>
            </w:r>
          </w:p>
        </w:tc>
        <w:tc>
          <w:tcPr>
            <w:tcW w:w="912" w:type="dxa"/>
          </w:tcPr>
          <w:p>
            <w:pPr>
              <w:pStyle w:val="TableParagraph"/>
              <w:spacing w:before="17"/>
              <w:ind w:right="46"/>
              <w:rPr>
                <w:sz w:val="14"/>
              </w:rPr>
            </w:pPr>
            <w:r>
              <w:rPr>
                <w:color w:val="231F20"/>
                <w:sz w:val="14"/>
              </w:rPr>
              <w:t>589,9</w:t>
            </w:r>
          </w:p>
        </w:tc>
        <w:tc>
          <w:tcPr>
            <w:tcW w:w="971" w:type="dxa"/>
          </w:tcPr>
          <w:p>
            <w:pPr>
              <w:pStyle w:val="TableParagraph"/>
              <w:spacing w:before="17"/>
              <w:ind w:right="46"/>
              <w:rPr>
                <w:sz w:val="14"/>
              </w:rPr>
            </w:pPr>
            <w:r>
              <w:rPr>
                <w:color w:val="231F20"/>
                <w:sz w:val="14"/>
              </w:rPr>
              <w:t>119,7</w:t>
            </w:r>
          </w:p>
        </w:tc>
        <w:tc>
          <w:tcPr>
            <w:tcW w:w="1064" w:type="dxa"/>
          </w:tcPr>
          <w:p>
            <w:pPr>
              <w:pStyle w:val="TableParagraph"/>
              <w:spacing w:before="17"/>
              <w:ind w:right="46"/>
              <w:rPr>
                <w:sz w:val="14"/>
              </w:rPr>
            </w:pPr>
            <w:r>
              <w:rPr>
                <w:color w:val="231F20"/>
                <w:sz w:val="14"/>
              </w:rPr>
              <w:t>1099,2</w:t>
            </w:r>
          </w:p>
        </w:tc>
        <w:tc>
          <w:tcPr>
            <w:tcW w:w="1072" w:type="dxa"/>
          </w:tcPr>
          <w:p>
            <w:pPr>
              <w:pStyle w:val="TableParagraph"/>
              <w:spacing w:before="17"/>
              <w:ind w:right="46"/>
              <w:rPr>
                <w:sz w:val="14"/>
              </w:rPr>
            </w:pPr>
            <w:r>
              <w:rPr>
                <w:color w:val="231F20"/>
                <w:sz w:val="14"/>
              </w:rPr>
              <w:t>33,7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4"/>
              <w:jc w:val="center"/>
              <w:rPr>
                <w:sz w:val="14"/>
              </w:rPr>
            </w:pPr>
            <w:r>
              <w:rPr>
                <w:color w:val="231F20"/>
                <w:sz w:val="14"/>
              </w:rPr>
              <w:t>2015</w:t>
            </w:r>
          </w:p>
        </w:tc>
        <w:tc>
          <w:tcPr>
            <w:tcW w:w="1403" w:type="dxa"/>
          </w:tcPr>
          <w:p>
            <w:pPr>
              <w:pStyle w:val="TableParagraph"/>
              <w:spacing w:before="17"/>
              <w:ind w:right="46"/>
              <w:rPr>
                <w:sz w:val="14"/>
              </w:rPr>
            </w:pPr>
            <w:r>
              <w:rPr>
                <w:color w:val="231F20"/>
                <w:sz w:val="14"/>
              </w:rPr>
              <w:t>370,5</w:t>
            </w:r>
          </w:p>
        </w:tc>
        <w:tc>
          <w:tcPr>
            <w:tcW w:w="869" w:type="dxa"/>
          </w:tcPr>
          <w:p>
            <w:pPr>
              <w:pStyle w:val="TableParagraph"/>
              <w:spacing w:before="0"/>
              <w:jc w:val="left"/>
              <w:rPr>
                <w:sz w:val="12"/>
              </w:rPr>
            </w:pPr>
          </w:p>
        </w:tc>
        <w:tc>
          <w:tcPr>
            <w:tcW w:w="906" w:type="dxa"/>
          </w:tcPr>
          <w:p>
            <w:pPr>
              <w:pStyle w:val="TableParagraph"/>
              <w:spacing w:before="17"/>
              <w:ind w:right="46"/>
              <w:rPr>
                <w:sz w:val="14"/>
              </w:rPr>
            </w:pPr>
            <w:r>
              <w:rPr>
                <w:color w:val="231F20"/>
                <w:sz w:val="14"/>
              </w:rPr>
              <w:t>23,6</w:t>
            </w:r>
          </w:p>
        </w:tc>
        <w:tc>
          <w:tcPr>
            <w:tcW w:w="912" w:type="dxa"/>
          </w:tcPr>
          <w:p>
            <w:pPr>
              <w:pStyle w:val="TableParagraph"/>
              <w:spacing w:before="17"/>
              <w:ind w:right="46"/>
              <w:rPr>
                <w:sz w:val="14"/>
              </w:rPr>
            </w:pPr>
            <w:r>
              <w:rPr>
                <w:color w:val="231F20"/>
                <w:sz w:val="14"/>
              </w:rPr>
              <w:t>576,3</w:t>
            </w:r>
          </w:p>
        </w:tc>
        <w:tc>
          <w:tcPr>
            <w:tcW w:w="971" w:type="dxa"/>
          </w:tcPr>
          <w:p>
            <w:pPr>
              <w:pStyle w:val="TableParagraph"/>
              <w:spacing w:before="17"/>
              <w:ind w:right="46"/>
              <w:rPr>
                <w:sz w:val="14"/>
              </w:rPr>
            </w:pPr>
            <w:r>
              <w:rPr>
                <w:color w:val="231F20"/>
                <w:sz w:val="14"/>
              </w:rPr>
              <w:t>128,8</w:t>
            </w:r>
          </w:p>
        </w:tc>
        <w:tc>
          <w:tcPr>
            <w:tcW w:w="1064" w:type="dxa"/>
          </w:tcPr>
          <w:p>
            <w:pPr>
              <w:pStyle w:val="TableParagraph"/>
              <w:spacing w:before="17"/>
              <w:ind w:right="46"/>
              <w:rPr>
                <w:sz w:val="14"/>
              </w:rPr>
            </w:pPr>
            <w:r>
              <w:rPr>
                <w:color w:val="231F20"/>
                <w:sz w:val="14"/>
              </w:rPr>
              <w:t>1099,2</w:t>
            </w:r>
          </w:p>
        </w:tc>
        <w:tc>
          <w:tcPr>
            <w:tcW w:w="1072" w:type="dxa"/>
          </w:tcPr>
          <w:p>
            <w:pPr>
              <w:pStyle w:val="TableParagraph"/>
              <w:spacing w:before="17"/>
              <w:ind w:right="46"/>
              <w:rPr>
                <w:sz w:val="14"/>
              </w:rPr>
            </w:pPr>
            <w:r>
              <w:rPr>
                <w:color w:val="231F20"/>
                <w:sz w:val="14"/>
              </w:rPr>
              <w:t>33,7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4"/>
              <w:jc w:val="center"/>
              <w:rPr>
                <w:sz w:val="14"/>
              </w:rPr>
            </w:pPr>
            <w:r>
              <w:rPr>
                <w:color w:val="231F20"/>
                <w:sz w:val="14"/>
              </w:rPr>
              <w:t>2022</w:t>
            </w:r>
          </w:p>
        </w:tc>
        <w:tc>
          <w:tcPr>
            <w:tcW w:w="1403" w:type="dxa"/>
          </w:tcPr>
          <w:p>
            <w:pPr>
              <w:pStyle w:val="TableParagraph"/>
              <w:spacing w:before="17"/>
              <w:ind w:right="46"/>
              <w:rPr>
                <w:sz w:val="14"/>
              </w:rPr>
            </w:pPr>
            <w:r>
              <w:rPr>
                <w:color w:val="231F20"/>
                <w:sz w:val="14"/>
              </w:rPr>
              <w:t>370,5</w:t>
            </w:r>
          </w:p>
        </w:tc>
        <w:tc>
          <w:tcPr>
            <w:tcW w:w="869" w:type="dxa"/>
          </w:tcPr>
          <w:p>
            <w:pPr>
              <w:pStyle w:val="TableParagraph"/>
              <w:spacing w:before="0"/>
              <w:jc w:val="left"/>
              <w:rPr>
                <w:sz w:val="12"/>
              </w:rPr>
            </w:pPr>
          </w:p>
        </w:tc>
        <w:tc>
          <w:tcPr>
            <w:tcW w:w="906" w:type="dxa"/>
          </w:tcPr>
          <w:p>
            <w:pPr>
              <w:pStyle w:val="TableParagraph"/>
              <w:spacing w:before="17"/>
              <w:ind w:right="47"/>
              <w:rPr>
                <w:sz w:val="14"/>
              </w:rPr>
            </w:pPr>
            <w:r>
              <w:rPr>
                <w:color w:val="231F20"/>
                <w:sz w:val="14"/>
              </w:rPr>
              <w:t>501,1</w:t>
            </w:r>
          </w:p>
        </w:tc>
        <w:tc>
          <w:tcPr>
            <w:tcW w:w="912" w:type="dxa"/>
          </w:tcPr>
          <w:p>
            <w:pPr>
              <w:pStyle w:val="TableParagraph"/>
              <w:spacing w:before="17"/>
              <w:ind w:right="47"/>
              <w:rPr>
                <w:sz w:val="14"/>
              </w:rPr>
            </w:pPr>
            <w:r>
              <w:rPr>
                <w:color w:val="231F20"/>
                <w:sz w:val="14"/>
              </w:rPr>
              <w:t>98,8</w:t>
            </w:r>
          </w:p>
        </w:tc>
        <w:tc>
          <w:tcPr>
            <w:tcW w:w="971" w:type="dxa"/>
          </w:tcPr>
          <w:p>
            <w:pPr>
              <w:pStyle w:val="TableParagraph"/>
              <w:spacing w:before="17"/>
              <w:ind w:right="47"/>
              <w:rPr>
                <w:sz w:val="14"/>
              </w:rPr>
            </w:pPr>
            <w:r>
              <w:rPr>
                <w:color w:val="231F20"/>
                <w:sz w:val="14"/>
              </w:rPr>
              <w:t>128,8</w:t>
            </w:r>
          </w:p>
        </w:tc>
        <w:tc>
          <w:tcPr>
            <w:tcW w:w="1064" w:type="dxa"/>
          </w:tcPr>
          <w:p>
            <w:pPr>
              <w:pStyle w:val="TableParagraph"/>
              <w:spacing w:before="17"/>
              <w:ind w:right="47"/>
              <w:rPr>
                <w:sz w:val="14"/>
              </w:rPr>
            </w:pPr>
            <w:r>
              <w:rPr>
                <w:color w:val="231F20"/>
                <w:sz w:val="14"/>
              </w:rPr>
              <w:t>1099,2</w:t>
            </w:r>
          </w:p>
        </w:tc>
        <w:tc>
          <w:tcPr>
            <w:tcW w:w="1072" w:type="dxa"/>
          </w:tcPr>
          <w:p>
            <w:pPr>
              <w:pStyle w:val="TableParagraph"/>
              <w:spacing w:before="17"/>
              <w:ind w:right="47"/>
              <w:rPr>
                <w:sz w:val="14"/>
              </w:rPr>
            </w:pPr>
            <w:r>
              <w:rPr>
                <w:color w:val="231F20"/>
                <w:sz w:val="14"/>
              </w:rPr>
              <w:t>33,7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9" w:right="184"/>
              <w:jc w:val="center"/>
              <w:rPr>
                <w:sz w:val="14"/>
              </w:rPr>
            </w:pPr>
            <w:r>
              <w:rPr>
                <w:color w:val="231F20"/>
                <w:sz w:val="14"/>
              </w:rPr>
              <w:t>2010-2022</w:t>
            </w:r>
          </w:p>
        </w:tc>
        <w:tc>
          <w:tcPr>
            <w:tcW w:w="1403" w:type="dxa"/>
          </w:tcPr>
          <w:p>
            <w:pPr>
              <w:pStyle w:val="TableParagraph"/>
              <w:spacing w:before="17"/>
              <w:ind w:right="47"/>
              <w:rPr>
                <w:sz w:val="14"/>
              </w:rPr>
            </w:pPr>
            <w:r>
              <w:rPr>
                <w:color w:val="231F20"/>
                <w:sz w:val="14"/>
              </w:rPr>
              <w:t>0,0</w:t>
            </w:r>
          </w:p>
        </w:tc>
        <w:tc>
          <w:tcPr>
            <w:tcW w:w="869" w:type="dxa"/>
          </w:tcPr>
          <w:p>
            <w:pPr>
              <w:pStyle w:val="TableParagraph"/>
              <w:spacing w:before="17"/>
              <w:ind w:right="47"/>
              <w:rPr>
                <w:sz w:val="14"/>
              </w:rPr>
            </w:pPr>
            <w:r>
              <w:rPr>
                <w:color w:val="231F20"/>
                <w:sz w:val="14"/>
              </w:rPr>
              <w:t>-9,1</w:t>
            </w:r>
          </w:p>
        </w:tc>
        <w:tc>
          <w:tcPr>
            <w:tcW w:w="906" w:type="dxa"/>
          </w:tcPr>
          <w:p>
            <w:pPr>
              <w:pStyle w:val="TableParagraph"/>
              <w:spacing w:before="17"/>
              <w:ind w:right="47"/>
              <w:rPr>
                <w:sz w:val="14"/>
              </w:rPr>
            </w:pPr>
            <w:r>
              <w:rPr>
                <w:color w:val="231F20"/>
                <w:sz w:val="14"/>
              </w:rPr>
              <w:t>491,1</w:t>
            </w:r>
          </w:p>
        </w:tc>
        <w:tc>
          <w:tcPr>
            <w:tcW w:w="912" w:type="dxa"/>
          </w:tcPr>
          <w:p>
            <w:pPr>
              <w:pStyle w:val="TableParagraph"/>
              <w:spacing w:before="17"/>
              <w:ind w:right="47"/>
              <w:rPr>
                <w:sz w:val="14"/>
              </w:rPr>
            </w:pPr>
            <w:r>
              <w:rPr>
                <w:color w:val="231F20"/>
                <w:sz w:val="14"/>
              </w:rPr>
              <w:t>-491,1</w:t>
            </w:r>
          </w:p>
        </w:tc>
        <w:tc>
          <w:tcPr>
            <w:tcW w:w="971" w:type="dxa"/>
          </w:tcPr>
          <w:p>
            <w:pPr>
              <w:pStyle w:val="TableParagraph"/>
              <w:spacing w:before="17"/>
              <w:ind w:right="47"/>
              <w:rPr>
                <w:sz w:val="14"/>
              </w:rPr>
            </w:pPr>
            <w:r>
              <w:rPr>
                <w:color w:val="231F20"/>
                <w:sz w:val="14"/>
              </w:rPr>
              <w:t>9,1</w:t>
            </w:r>
          </w:p>
        </w:tc>
        <w:tc>
          <w:tcPr>
            <w:tcW w:w="1064" w:type="dxa"/>
          </w:tcPr>
          <w:p>
            <w:pPr>
              <w:pStyle w:val="TableParagraph"/>
              <w:spacing w:before="17"/>
              <w:ind w:right="47"/>
              <w:rPr>
                <w:sz w:val="14"/>
              </w:rPr>
            </w:pPr>
            <w:r>
              <w:rPr>
                <w:color w:val="231F20"/>
                <w:sz w:val="14"/>
              </w:rPr>
              <w:t>0,0</w:t>
            </w:r>
          </w:p>
        </w:tc>
        <w:tc>
          <w:tcPr>
            <w:tcW w:w="1072" w:type="dxa"/>
          </w:tcPr>
          <w:p>
            <w:pPr>
              <w:pStyle w:val="TableParagraph"/>
              <w:spacing w:before="17"/>
              <w:ind w:right="47"/>
              <w:rPr>
                <w:sz w:val="14"/>
              </w:rPr>
            </w:pPr>
            <w:r>
              <w:rPr>
                <w:color w:val="231F20"/>
                <w:sz w:val="14"/>
              </w:rPr>
              <w:t>-</w:t>
            </w:r>
          </w:p>
        </w:tc>
      </w:tr>
      <w:tr>
        <w:trPr>
          <w:trHeight w:val="200" w:hRule="atLeast"/>
        </w:trPr>
        <w:tc>
          <w:tcPr>
            <w:tcW w:w="2233" w:type="dxa"/>
            <w:vMerge w:val="restart"/>
          </w:tcPr>
          <w:p>
            <w:pPr>
              <w:pStyle w:val="TableParagraph"/>
              <w:spacing w:before="17"/>
              <w:ind w:left="89"/>
              <w:jc w:val="left"/>
              <w:rPr>
                <w:sz w:val="14"/>
              </w:rPr>
            </w:pPr>
            <w:r>
              <w:rPr>
                <w:color w:val="231F20"/>
                <w:sz w:val="14"/>
              </w:rPr>
              <w:t>Кленовник</w:t>
            </w:r>
          </w:p>
        </w:tc>
        <w:tc>
          <w:tcPr>
            <w:tcW w:w="1034" w:type="dxa"/>
          </w:tcPr>
          <w:p>
            <w:pPr>
              <w:pStyle w:val="TableParagraph"/>
              <w:spacing w:before="17"/>
              <w:ind w:left="188" w:right="184"/>
              <w:jc w:val="center"/>
              <w:rPr>
                <w:sz w:val="14"/>
              </w:rPr>
            </w:pPr>
            <w:r>
              <w:rPr>
                <w:color w:val="231F20"/>
                <w:sz w:val="14"/>
              </w:rPr>
              <w:t>2010*</w:t>
            </w:r>
          </w:p>
        </w:tc>
        <w:tc>
          <w:tcPr>
            <w:tcW w:w="1403" w:type="dxa"/>
          </w:tcPr>
          <w:p>
            <w:pPr>
              <w:pStyle w:val="TableParagraph"/>
              <w:spacing w:before="17"/>
              <w:ind w:right="47"/>
              <w:rPr>
                <w:sz w:val="14"/>
              </w:rPr>
            </w:pPr>
            <w:r>
              <w:rPr>
                <w:color w:val="231F20"/>
                <w:sz w:val="14"/>
              </w:rPr>
              <w:t>533,6</w:t>
            </w:r>
          </w:p>
        </w:tc>
        <w:tc>
          <w:tcPr>
            <w:tcW w:w="869" w:type="dxa"/>
          </w:tcPr>
          <w:p>
            <w:pPr>
              <w:pStyle w:val="TableParagraph"/>
              <w:spacing w:before="17"/>
              <w:ind w:right="47"/>
              <w:rPr>
                <w:sz w:val="14"/>
              </w:rPr>
            </w:pPr>
            <w:r>
              <w:rPr>
                <w:color w:val="231F20"/>
                <w:sz w:val="14"/>
              </w:rPr>
              <w:t>9,3</w:t>
            </w:r>
          </w:p>
        </w:tc>
        <w:tc>
          <w:tcPr>
            <w:tcW w:w="906" w:type="dxa"/>
          </w:tcPr>
          <w:p>
            <w:pPr>
              <w:pStyle w:val="TableParagraph"/>
              <w:spacing w:before="17"/>
              <w:ind w:right="47"/>
              <w:rPr>
                <w:sz w:val="14"/>
              </w:rPr>
            </w:pPr>
            <w:r>
              <w:rPr>
                <w:color w:val="231F20"/>
                <w:sz w:val="14"/>
              </w:rPr>
              <w:t>125,1</w:t>
            </w:r>
          </w:p>
        </w:tc>
        <w:tc>
          <w:tcPr>
            <w:tcW w:w="912" w:type="dxa"/>
          </w:tcPr>
          <w:p>
            <w:pPr>
              <w:pStyle w:val="TableParagraph"/>
              <w:spacing w:before="17"/>
              <w:ind w:right="47"/>
              <w:rPr>
                <w:sz w:val="14"/>
              </w:rPr>
            </w:pPr>
            <w:r>
              <w:rPr>
                <w:color w:val="231F20"/>
                <w:sz w:val="14"/>
              </w:rPr>
              <w:t>294,5</w:t>
            </w:r>
          </w:p>
        </w:tc>
        <w:tc>
          <w:tcPr>
            <w:tcW w:w="971" w:type="dxa"/>
          </w:tcPr>
          <w:p>
            <w:pPr>
              <w:pStyle w:val="TableParagraph"/>
              <w:spacing w:before="17"/>
              <w:ind w:right="47"/>
              <w:rPr>
                <w:sz w:val="14"/>
              </w:rPr>
            </w:pPr>
            <w:r>
              <w:rPr>
                <w:color w:val="231F20"/>
                <w:sz w:val="14"/>
              </w:rPr>
              <w:t>113,0</w:t>
            </w:r>
          </w:p>
        </w:tc>
        <w:tc>
          <w:tcPr>
            <w:tcW w:w="1064" w:type="dxa"/>
          </w:tcPr>
          <w:p>
            <w:pPr>
              <w:pStyle w:val="TableParagraph"/>
              <w:spacing w:before="17"/>
              <w:ind w:right="47"/>
              <w:rPr>
                <w:sz w:val="14"/>
              </w:rPr>
            </w:pPr>
            <w:r>
              <w:rPr>
                <w:color w:val="231F20"/>
                <w:sz w:val="14"/>
              </w:rPr>
              <w:t>1075,5</w:t>
            </w:r>
          </w:p>
        </w:tc>
        <w:tc>
          <w:tcPr>
            <w:tcW w:w="1072" w:type="dxa"/>
          </w:tcPr>
          <w:p>
            <w:pPr>
              <w:pStyle w:val="TableParagraph"/>
              <w:spacing w:before="17"/>
              <w:ind w:right="47"/>
              <w:rPr>
                <w:sz w:val="14"/>
              </w:rPr>
            </w:pPr>
            <w:r>
              <w:rPr>
                <w:color w:val="231F20"/>
                <w:sz w:val="14"/>
              </w:rPr>
              <w:t>49,6</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8" w:right="184"/>
              <w:jc w:val="center"/>
              <w:rPr>
                <w:sz w:val="14"/>
              </w:rPr>
            </w:pPr>
            <w:r>
              <w:rPr>
                <w:color w:val="231F20"/>
                <w:sz w:val="14"/>
              </w:rPr>
              <w:t>2015</w:t>
            </w:r>
          </w:p>
        </w:tc>
        <w:tc>
          <w:tcPr>
            <w:tcW w:w="1403" w:type="dxa"/>
          </w:tcPr>
          <w:p>
            <w:pPr>
              <w:pStyle w:val="TableParagraph"/>
              <w:spacing w:before="17"/>
              <w:ind w:right="47"/>
              <w:rPr>
                <w:sz w:val="14"/>
              </w:rPr>
            </w:pPr>
            <w:r>
              <w:rPr>
                <w:color w:val="231F20"/>
                <w:sz w:val="14"/>
              </w:rPr>
              <w:t>533,6</w:t>
            </w:r>
          </w:p>
        </w:tc>
        <w:tc>
          <w:tcPr>
            <w:tcW w:w="869" w:type="dxa"/>
          </w:tcPr>
          <w:p>
            <w:pPr>
              <w:pStyle w:val="TableParagraph"/>
              <w:spacing w:before="0"/>
              <w:jc w:val="left"/>
              <w:rPr>
                <w:sz w:val="12"/>
              </w:rPr>
            </w:pPr>
          </w:p>
        </w:tc>
        <w:tc>
          <w:tcPr>
            <w:tcW w:w="906" w:type="dxa"/>
          </w:tcPr>
          <w:p>
            <w:pPr>
              <w:pStyle w:val="TableParagraph"/>
              <w:spacing w:before="17"/>
              <w:ind w:right="47"/>
              <w:rPr>
                <w:sz w:val="14"/>
              </w:rPr>
            </w:pPr>
            <w:r>
              <w:rPr>
                <w:color w:val="231F20"/>
                <w:sz w:val="14"/>
              </w:rPr>
              <w:t>399,2</w:t>
            </w:r>
          </w:p>
        </w:tc>
        <w:tc>
          <w:tcPr>
            <w:tcW w:w="912" w:type="dxa"/>
          </w:tcPr>
          <w:p>
            <w:pPr>
              <w:pStyle w:val="TableParagraph"/>
              <w:spacing w:before="17"/>
              <w:ind w:right="47"/>
              <w:rPr>
                <w:sz w:val="14"/>
              </w:rPr>
            </w:pPr>
            <w:r>
              <w:rPr>
                <w:color w:val="231F20"/>
                <w:sz w:val="14"/>
              </w:rPr>
              <w:t>27,3</w:t>
            </w:r>
          </w:p>
        </w:tc>
        <w:tc>
          <w:tcPr>
            <w:tcW w:w="971" w:type="dxa"/>
          </w:tcPr>
          <w:p>
            <w:pPr>
              <w:pStyle w:val="TableParagraph"/>
              <w:spacing w:before="17"/>
              <w:ind w:right="47"/>
              <w:rPr>
                <w:sz w:val="14"/>
              </w:rPr>
            </w:pPr>
            <w:r>
              <w:rPr>
                <w:color w:val="231F20"/>
                <w:sz w:val="14"/>
              </w:rPr>
              <w:t>115,4</w:t>
            </w:r>
          </w:p>
        </w:tc>
        <w:tc>
          <w:tcPr>
            <w:tcW w:w="1064" w:type="dxa"/>
          </w:tcPr>
          <w:p>
            <w:pPr>
              <w:pStyle w:val="TableParagraph"/>
              <w:spacing w:before="17"/>
              <w:ind w:right="47"/>
              <w:rPr>
                <w:sz w:val="14"/>
              </w:rPr>
            </w:pPr>
            <w:r>
              <w:rPr>
                <w:color w:val="231F20"/>
                <w:sz w:val="14"/>
              </w:rPr>
              <w:t>1075,5</w:t>
            </w:r>
          </w:p>
        </w:tc>
        <w:tc>
          <w:tcPr>
            <w:tcW w:w="1072" w:type="dxa"/>
          </w:tcPr>
          <w:p>
            <w:pPr>
              <w:pStyle w:val="TableParagraph"/>
              <w:spacing w:before="17"/>
              <w:ind w:right="47"/>
              <w:rPr>
                <w:sz w:val="14"/>
              </w:rPr>
            </w:pPr>
            <w:r>
              <w:rPr>
                <w:color w:val="231F20"/>
                <w:sz w:val="14"/>
              </w:rPr>
              <w:t>49,6</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8" w:right="184"/>
              <w:jc w:val="center"/>
              <w:rPr>
                <w:sz w:val="14"/>
              </w:rPr>
            </w:pPr>
            <w:r>
              <w:rPr>
                <w:color w:val="231F20"/>
                <w:sz w:val="14"/>
              </w:rPr>
              <w:t>2022</w:t>
            </w:r>
          </w:p>
        </w:tc>
        <w:tc>
          <w:tcPr>
            <w:tcW w:w="1403" w:type="dxa"/>
          </w:tcPr>
          <w:p>
            <w:pPr>
              <w:pStyle w:val="TableParagraph"/>
              <w:spacing w:before="17"/>
              <w:ind w:right="47"/>
              <w:rPr>
                <w:sz w:val="14"/>
              </w:rPr>
            </w:pPr>
            <w:r>
              <w:rPr>
                <w:color w:val="231F20"/>
                <w:sz w:val="14"/>
              </w:rPr>
              <w:t>533,6</w:t>
            </w:r>
          </w:p>
        </w:tc>
        <w:tc>
          <w:tcPr>
            <w:tcW w:w="869" w:type="dxa"/>
          </w:tcPr>
          <w:p>
            <w:pPr>
              <w:pStyle w:val="TableParagraph"/>
              <w:spacing w:before="0"/>
              <w:jc w:val="left"/>
              <w:rPr>
                <w:sz w:val="12"/>
              </w:rPr>
            </w:pPr>
          </w:p>
        </w:tc>
        <w:tc>
          <w:tcPr>
            <w:tcW w:w="906" w:type="dxa"/>
          </w:tcPr>
          <w:p>
            <w:pPr>
              <w:pStyle w:val="TableParagraph"/>
              <w:spacing w:before="17"/>
              <w:ind w:right="47"/>
              <w:rPr>
                <w:sz w:val="14"/>
              </w:rPr>
            </w:pPr>
            <w:r>
              <w:rPr>
                <w:color w:val="231F20"/>
                <w:sz w:val="14"/>
              </w:rPr>
              <w:t>399,2</w:t>
            </w:r>
          </w:p>
        </w:tc>
        <w:tc>
          <w:tcPr>
            <w:tcW w:w="912" w:type="dxa"/>
          </w:tcPr>
          <w:p>
            <w:pPr>
              <w:pStyle w:val="TableParagraph"/>
              <w:spacing w:before="17"/>
              <w:ind w:right="47"/>
              <w:rPr>
                <w:sz w:val="14"/>
              </w:rPr>
            </w:pPr>
            <w:r>
              <w:rPr>
                <w:color w:val="231F20"/>
                <w:sz w:val="14"/>
              </w:rPr>
              <w:t>27,3</w:t>
            </w:r>
          </w:p>
        </w:tc>
        <w:tc>
          <w:tcPr>
            <w:tcW w:w="971" w:type="dxa"/>
          </w:tcPr>
          <w:p>
            <w:pPr>
              <w:pStyle w:val="TableParagraph"/>
              <w:spacing w:before="17"/>
              <w:ind w:right="47"/>
              <w:rPr>
                <w:sz w:val="14"/>
              </w:rPr>
            </w:pPr>
            <w:r>
              <w:rPr>
                <w:color w:val="231F20"/>
                <w:sz w:val="14"/>
              </w:rPr>
              <w:t>115,4</w:t>
            </w:r>
          </w:p>
        </w:tc>
        <w:tc>
          <w:tcPr>
            <w:tcW w:w="1064" w:type="dxa"/>
          </w:tcPr>
          <w:p>
            <w:pPr>
              <w:pStyle w:val="TableParagraph"/>
              <w:spacing w:before="17"/>
              <w:ind w:right="47"/>
              <w:rPr>
                <w:sz w:val="14"/>
              </w:rPr>
            </w:pPr>
            <w:r>
              <w:rPr>
                <w:color w:val="231F20"/>
                <w:sz w:val="14"/>
              </w:rPr>
              <w:t>1075,5</w:t>
            </w:r>
          </w:p>
        </w:tc>
        <w:tc>
          <w:tcPr>
            <w:tcW w:w="1072" w:type="dxa"/>
          </w:tcPr>
          <w:p>
            <w:pPr>
              <w:pStyle w:val="TableParagraph"/>
              <w:spacing w:before="17"/>
              <w:ind w:right="47"/>
              <w:rPr>
                <w:sz w:val="14"/>
              </w:rPr>
            </w:pPr>
            <w:r>
              <w:rPr>
                <w:color w:val="231F20"/>
                <w:sz w:val="14"/>
              </w:rPr>
              <w:t>49,6</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7" w:right="184"/>
              <w:jc w:val="center"/>
              <w:rPr>
                <w:sz w:val="14"/>
              </w:rPr>
            </w:pPr>
            <w:r>
              <w:rPr>
                <w:color w:val="231F20"/>
                <w:sz w:val="14"/>
              </w:rPr>
              <w:t>2010-2022</w:t>
            </w:r>
          </w:p>
        </w:tc>
        <w:tc>
          <w:tcPr>
            <w:tcW w:w="1403" w:type="dxa"/>
          </w:tcPr>
          <w:p>
            <w:pPr>
              <w:pStyle w:val="TableParagraph"/>
              <w:spacing w:before="17"/>
              <w:ind w:right="47"/>
              <w:rPr>
                <w:sz w:val="14"/>
              </w:rPr>
            </w:pPr>
            <w:r>
              <w:rPr>
                <w:color w:val="231F20"/>
                <w:sz w:val="14"/>
              </w:rPr>
              <w:t>0,0</w:t>
            </w:r>
          </w:p>
        </w:tc>
        <w:tc>
          <w:tcPr>
            <w:tcW w:w="869" w:type="dxa"/>
          </w:tcPr>
          <w:p>
            <w:pPr>
              <w:pStyle w:val="TableParagraph"/>
              <w:spacing w:before="17"/>
              <w:ind w:right="47"/>
              <w:rPr>
                <w:sz w:val="14"/>
              </w:rPr>
            </w:pPr>
            <w:r>
              <w:rPr>
                <w:color w:val="231F20"/>
                <w:sz w:val="14"/>
              </w:rPr>
              <w:t>-9,3</w:t>
            </w:r>
          </w:p>
        </w:tc>
        <w:tc>
          <w:tcPr>
            <w:tcW w:w="906" w:type="dxa"/>
          </w:tcPr>
          <w:p>
            <w:pPr>
              <w:pStyle w:val="TableParagraph"/>
              <w:spacing w:before="17"/>
              <w:ind w:right="47"/>
              <w:rPr>
                <w:sz w:val="14"/>
              </w:rPr>
            </w:pPr>
            <w:r>
              <w:rPr>
                <w:color w:val="231F20"/>
                <w:sz w:val="14"/>
              </w:rPr>
              <w:t>274,1</w:t>
            </w:r>
          </w:p>
        </w:tc>
        <w:tc>
          <w:tcPr>
            <w:tcW w:w="912" w:type="dxa"/>
          </w:tcPr>
          <w:p>
            <w:pPr>
              <w:pStyle w:val="TableParagraph"/>
              <w:spacing w:before="17"/>
              <w:ind w:right="47"/>
              <w:rPr>
                <w:sz w:val="14"/>
              </w:rPr>
            </w:pPr>
            <w:r>
              <w:rPr>
                <w:color w:val="231F20"/>
                <w:sz w:val="14"/>
              </w:rPr>
              <w:t>-267,2</w:t>
            </w:r>
          </w:p>
        </w:tc>
        <w:tc>
          <w:tcPr>
            <w:tcW w:w="971" w:type="dxa"/>
          </w:tcPr>
          <w:p>
            <w:pPr>
              <w:pStyle w:val="TableParagraph"/>
              <w:spacing w:before="17"/>
              <w:ind w:right="47"/>
              <w:rPr>
                <w:sz w:val="14"/>
              </w:rPr>
            </w:pPr>
            <w:r>
              <w:rPr>
                <w:color w:val="231F20"/>
                <w:sz w:val="14"/>
              </w:rPr>
              <w:t>2,4</w:t>
            </w:r>
          </w:p>
        </w:tc>
        <w:tc>
          <w:tcPr>
            <w:tcW w:w="1064" w:type="dxa"/>
          </w:tcPr>
          <w:p>
            <w:pPr>
              <w:pStyle w:val="TableParagraph"/>
              <w:spacing w:before="17"/>
              <w:ind w:right="47"/>
              <w:rPr>
                <w:sz w:val="14"/>
              </w:rPr>
            </w:pPr>
            <w:r>
              <w:rPr>
                <w:color w:val="231F20"/>
                <w:sz w:val="14"/>
              </w:rPr>
              <w:t>0,0</w:t>
            </w:r>
          </w:p>
        </w:tc>
        <w:tc>
          <w:tcPr>
            <w:tcW w:w="1072" w:type="dxa"/>
          </w:tcPr>
          <w:p>
            <w:pPr>
              <w:pStyle w:val="TableParagraph"/>
              <w:spacing w:before="17"/>
              <w:ind w:right="47"/>
              <w:rPr>
                <w:sz w:val="14"/>
              </w:rPr>
            </w:pPr>
            <w:r>
              <w:rPr>
                <w:color w:val="231F20"/>
                <w:sz w:val="14"/>
              </w:rPr>
              <w:t>-</w:t>
            </w:r>
          </w:p>
        </w:tc>
      </w:tr>
      <w:tr>
        <w:trPr>
          <w:trHeight w:val="200" w:hRule="atLeast"/>
        </w:trPr>
        <w:tc>
          <w:tcPr>
            <w:tcW w:w="2233" w:type="dxa"/>
            <w:vMerge w:val="restart"/>
          </w:tcPr>
          <w:p>
            <w:pPr>
              <w:pStyle w:val="TableParagraph"/>
              <w:spacing w:before="17"/>
              <w:ind w:left="88"/>
              <w:jc w:val="left"/>
              <w:rPr>
                <w:sz w:val="14"/>
              </w:rPr>
            </w:pPr>
            <w:r>
              <w:rPr>
                <w:color w:val="231F20"/>
                <w:sz w:val="14"/>
              </w:rPr>
              <w:t>Кличевац</w:t>
            </w:r>
          </w:p>
        </w:tc>
        <w:tc>
          <w:tcPr>
            <w:tcW w:w="1034" w:type="dxa"/>
          </w:tcPr>
          <w:p>
            <w:pPr>
              <w:pStyle w:val="TableParagraph"/>
              <w:spacing w:before="17"/>
              <w:ind w:left="187" w:right="184"/>
              <w:jc w:val="center"/>
              <w:rPr>
                <w:sz w:val="14"/>
              </w:rPr>
            </w:pPr>
            <w:r>
              <w:rPr>
                <w:color w:val="231F20"/>
                <w:sz w:val="14"/>
              </w:rPr>
              <w:t>2010*</w:t>
            </w:r>
          </w:p>
        </w:tc>
        <w:tc>
          <w:tcPr>
            <w:tcW w:w="1403" w:type="dxa"/>
          </w:tcPr>
          <w:p>
            <w:pPr>
              <w:pStyle w:val="TableParagraph"/>
              <w:spacing w:before="17"/>
              <w:ind w:right="47"/>
              <w:rPr>
                <w:sz w:val="14"/>
              </w:rPr>
            </w:pPr>
            <w:r>
              <w:rPr>
                <w:color w:val="231F20"/>
                <w:sz w:val="14"/>
              </w:rPr>
              <w:t>2422,8</w:t>
            </w:r>
          </w:p>
        </w:tc>
        <w:tc>
          <w:tcPr>
            <w:tcW w:w="869" w:type="dxa"/>
          </w:tcPr>
          <w:p>
            <w:pPr>
              <w:pStyle w:val="TableParagraph"/>
              <w:spacing w:before="17"/>
              <w:ind w:right="47"/>
              <w:rPr>
                <w:sz w:val="14"/>
              </w:rPr>
            </w:pPr>
            <w:r>
              <w:rPr>
                <w:color w:val="231F20"/>
                <w:sz w:val="14"/>
              </w:rPr>
              <w:t>253,4</w:t>
            </w:r>
          </w:p>
        </w:tc>
        <w:tc>
          <w:tcPr>
            <w:tcW w:w="906" w:type="dxa"/>
          </w:tcPr>
          <w:p>
            <w:pPr>
              <w:pStyle w:val="TableParagraph"/>
              <w:spacing w:before="0"/>
              <w:jc w:val="left"/>
              <w:rPr>
                <w:sz w:val="12"/>
              </w:rPr>
            </w:pPr>
          </w:p>
        </w:tc>
        <w:tc>
          <w:tcPr>
            <w:tcW w:w="912" w:type="dxa"/>
          </w:tcPr>
          <w:p>
            <w:pPr>
              <w:pStyle w:val="TableParagraph"/>
              <w:spacing w:before="17"/>
              <w:ind w:right="47"/>
              <w:rPr>
                <w:sz w:val="14"/>
              </w:rPr>
            </w:pPr>
            <w:r>
              <w:rPr>
                <w:color w:val="231F20"/>
                <w:sz w:val="14"/>
              </w:rPr>
              <w:t>306,3</w:t>
            </w:r>
          </w:p>
        </w:tc>
        <w:tc>
          <w:tcPr>
            <w:tcW w:w="971" w:type="dxa"/>
          </w:tcPr>
          <w:p>
            <w:pPr>
              <w:pStyle w:val="TableParagraph"/>
              <w:spacing w:before="17"/>
              <w:ind w:right="47"/>
              <w:rPr>
                <w:sz w:val="14"/>
              </w:rPr>
            </w:pPr>
            <w:r>
              <w:rPr>
                <w:color w:val="231F20"/>
                <w:sz w:val="14"/>
              </w:rPr>
              <w:t>209,3</w:t>
            </w:r>
          </w:p>
        </w:tc>
        <w:tc>
          <w:tcPr>
            <w:tcW w:w="1064" w:type="dxa"/>
          </w:tcPr>
          <w:p>
            <w:pPr>
              <w:pStyle w:val="TableParagraph"/>
              <w:spacing w:before="17"/>
              <w:ind w:right="47"/>
              <w:rPr>
                <w:sz w:val="14"/>
              </w:rPr>
            </w:pPr>
            <w:r>
              <w:rPr>
                <w:color w:val="231F20"/>
                <w:sz w:val="14"/>
              </w:rPr>
              <w:t>3191,8</w:t>
            </w:r>
          </w:p>
        </w:tc>
        <w:tc>
          <w:tcPr>
            <w:tcW w:w="1072" w:type="dxa"/>
          </w:tcPr>
          <w:p>
            <w:pPr>
              <w:pStyle w:val="TableParagraph"/>
              <w:spacing w:before="17"/>
              <w:ind w:right="47"/>
              <w:rPr>
                <w:sz w:val="14"/>
              </w:rPr>
            </w:pPr>
            <w:r>
              <w:rPr>
                <w:color w:val="231F20"/>
                <w:sz w:val="14"/>
              </w:rPr>
              <w:t>75,9</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7" w:right="184"/>
              <w:jc w:val="center"/>
              <w:rPr>
                <w:sz w:val="14"/>
              </w:rPr>
            </w:pPr>
            <w:r>
              <w:rPr>
                <w:color w:val="231F20"/>
                <w:sz w:val="14"/>
              </w:rPr>
              <w:t>2015</w:t>
            </w:r>
          </w:p>
        </w:tc>
        <w:tc>
          <w:tcPr>
            <w:tcW w:w="1403" w:type="dxa"/>
          </w:tcPr>
          <w:p>
            <w:pPr>
              <w:pStyle w:val="TableParagraph"/>
              <w:spacing w:before="17"/>
              <w:ind w:right="47"/>
              <w:rPr>
                <w:sz w:val="14"/>
              </w:rPr>
            </w:pPr>
            <w:r>
              <w:rPr>
                <w:color w:val="231F20"/>
                <w:sz w:val="14"/>
              </w:rPr>
              <w:t>2136,4</w:t>
            </w:r>
          </w:p>
        </w:tc>
        <w:tc>
          <w:tcPr>
            <w:tcW w:w="869" w:type="dxa"/>
          </w:tcPr>
          <w:p>
            <w:pPr>
              <w:pStyle w:val="TableParagraph"/>
              <w:spacing w:before="17"/>
              <w:ind w:right="47"/>
              <w:rPr>
                <w:sz w:val="14"/>
              </w:rPr>
            </w:pPr>
            <w:r>
              <w:rPr>
                <w:color w:val="231F20"/>
                <w:sz w:val="14"/>
              </w:rPr>
              <w:t>242,0</w:t>
            </w:r>
          </w:p>
        </w:tc>
        <w:tc>
          <w:tcPr>
            <w:tcW w:w="906" w:type="dxa"/>
          </w:tcPr>
          <w:p>
            <w:pPr>
              <w:pStyle w:val="TableParagraph"/>
              <w:spacing w:before="0"/>
              <w:jc w:val="left"/>
              <w:rPr>
                <w:sz w:val="12"/>
              </w:rPr>
            </w:pPr>
          </w:p>
        </w:tc>
        <w:tc>
          <w:tcPr>
            <w:tcW w:w="912" w:type="dxa"/>
          </w:tcPr>
          <w:p>
            <w:pPr>
              <w:pStyle w:val="TableParagraph"/>
              <w:spacing w:before="17"/>
              <w:ind w:right="48"/>
              <w:rPr>
                <w:sz w:val="14"/>
              </w:rPr>
            </w:pPr>
            <w:r>
              <w:rPr>
                <w:color w:val="231F20"/>
                <w:sz w:val="14"/>
              </w:rPr>
              <w:t>608,1</w:t>
            </w:r>
          </w:p>
        </w:tc>
        <w:tc>
          <w:tcPr>
            <w:tcW w:w="971" w:type="dxa"/>
          </w:tcPr>
          <w:p>
            <w:pPr>
              <w:pStyle w:val="TableParagraph"/>
              <w:spacing w:before="17"/>
              <w:ind w:right="48"/>
              <w:rPr>
                <w:sz w:val="14"/>
              </w:rPr>
            </w:pPr>
            <w:r>
              <w:rPr>
                <w:color w:val="231F20"/>
                <w:sz w:val="14"/>
              </w:rPr>
              <w:t>205,3</w:t>
            </w:r>
          </w:p>
        </w:tc>
        <w:tc>
          <w:tcPr>
            <w:tcW w:w="1064" w:type="dxa"/>
          </w:tcPr>
          <w:p>
            <w:pPr>
              <w:pStyle w:val="TableParagraph"/>
              <w:spacing w:before="17"/>
              <w:ind w:right="48"/>
              <w:rPr>
                <w:sz w:val="14"/>
              </w:rPr>
            </w:pPr>
            <w:r>
              <w:rPr>
                <w:color w:val="231F20"/>
                <w:sz w:val="14"/>
              </w:rPr>
              <w:t>3191,8</w:t>
            </w:r>
          </w:p>
        </w:tc>
        <w:tc>
          <w:tcPr>
            <w:tcW w:w="1072" w:type="dxa"/>
          </w:tcPr>
          <w:p>
            <w:pPr>
              <w:pStyle w:val="TableParagraph"/>
              <w:spacing w:before="17"/>
              <w:ind w:right="48"/>
              <w:rPr>
                <w:sz w:val="14"/>
              </w:rPr>
            </w:pPr>
            <w:r>
              <w:rPr>
                <w:color w:val="231F20"/>
                <w:sz w:val="14"/>
              </w:rPr>
              <w:t>66,9</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7" w:right="184"/>
              <w:jc w:val="center"/>
              <w:rPr>
                <w:sz w:val="14"/>
              </w:rPr>
            </w:pPr>
            <w:r>
              <w:rPr>
                <w:color w:val="231F20"/>
                <w:sz w:val="14"/>
              </w:rPr>
              <w:t>2022</w:t>
            </w:r>
          </w:p>
        </w:tc>
        <w:tc>
          <w:tcPr>
            <w:tcW w:w="1403" w:type="dxa"/>
          </w:tcPr>
          <w:p>
            <w:pPr>
              <w:pStyle w:val="TableParagraph"/>
              <w:spacing w:before="17"/>
              <w:ind w:right="48"/>
              <w:rPr>
                <w:sz w:val="14"/>
              </w:rPr>
            </w:pPr>
            <w:r>
              <w:rPr>
                <w:color w:val="231F20"/>
                <w:sz w:val="14"/>
              </w:rPr>
              <w:t>1872,8</w:t>
            </w:r>
          </w:p>
        </w:tc>
        <w:tc>
          <w:tcPr>
            <w:tcW w:w="869" w:type="dxa"/>
          </w:tcPr>
          <w:p>
            <w:pPr>
              <w:pStyle w:val="TableParagraph"/>
              <w:spacing w:before="17"/>
              <w:ind w:right="48"/>
              <w:rPr>
                <w:sz w:val="14"/>
              </w:rPr>
            </w:pPr>
            <w:r>
              <w:rPr>
                <w:color w:val="231F20"/>
                <w:sz w:val="14"/>
              </w:rPr>
              <w:t>226,6</w:t>
            </w:r>
          </w:p>
        </w:tc>
        <w:tc>
          <w:tcPr>
            <w:tcW w:w="906" w:type="dxa"/>
          </w:tcPr>
          <w:p>
            <w:pPr>
              <w:pStyle w:val="TableParagraph"/>
              <w:spacing w:before="17"/>
              <w:ind w:right="48"/>
              <w:rPr>
                <w:sz w:val="14"/>
              </w:rPr>
            </w:pPr>
            <w:r>
              <w:rPr>
                <w:color w:val="231F20"/>
                <w:sz w:val="14"/>
              </w:rPr>
              <w:t>115,4</w:t>
            </w:r>
          </w:p>
        </w:tc>
        <w:tc>
          <w:tcPr>
            <w:tcW w:w="912" w:type="dxa"/>
          </w:tcPr>
          <w:p>
            <w:pPr>
              <w:pStyle w:val="TableParagraph"/>
              <w:spacing w:before="17"/>
              <w:ind w:right="48"/>
              <w:rPr>
                <w:sz w:val="14"/>
              </w:rPr>
            </w:pPr>
            <w:r>
              <w:rPr>
                <w:color w:val="231F20"/>
                <w:sz w:val="14"/>
              </w:rPr>
              <w:t>777,0</w:t>
            </w:r>
          </w:p>
        </w:tc>
        <w:tc>
          <w:tcPr>
            <w:tcW w:w="971" w:type="dxa"/>
          </w:tcPr>
          <w:p>
            <w:pPr>
              <w:pStyle w:val="TableParagraph"/>
              <w:spacing w:before="17"/>
              <w:ind w:right="48"/>
              <w:rPr>
                <w:sz w:val="14"/>
              </w:rPr>
            </w:pPr>
            <w:r>
              <w:rPr>
                <w:color w:val="231F20"/>
                <w:sz w:val="14"/>
              </w:rPr>
              <w:t>200,0</w:t>
            </w:r>
          </w:p>
        </w:tc>
        <w:tc>
          <w:tcPr>
            <w:tcW w:w="1064" w:type="dxa"/>
          </w:tcPr>
          <w:p>
            <w:pPr>
              <w:pStyle w:val="TableParagraph"/>
              <w:spacing w:before="17"/>
              <w:ind w:right="48"/>
              <w:rPr>
                <w:sz w:val="14"/>
              </w:rPr>
            </w:pPr>
            <w:r>
              <w:rPr>
                <w:color w:val="231F20"/>
                <w:sz w:val="14"/>
              </w:rPr>
              <w:t>3191,8</w:t>
            </w:r>
          </w:p>
        </w:tc>
        <w:tc>
          <w:tcPr>
            <w:tcW w:w="1072" w:type="dxa"/>
          </w:tcPr>
          <w:p>
            <w:pPr>
              <w:pStyle w:val="TableParagraph"/>
              <w:spacing w:before="17"/>
              <w:ind w:right="48"/>
              <w:rPr>
                <w:sz w:val="14"/>
              </w:rPr>
            </w:pPr>
            <w:r>
              <w:rPr>
                <w:color w:val="231F20"/>
                <w:sz w:val="14"/>
              </w:rPr>
              <w:t>58,7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17"/>
              <w:ind w:left="187" w:right="184"/>
              <w:jc w:val="center"/>
              <w:rPr>
                <w:sz w:val="14"/>
              </w:rPr>
            </w:pPr>
            <w:r>
              <w:rPr>
                <w:color w:val="231F20"/>
                <w:sz w:val="14"/>
              </w:rPr>
              <w:t>2010-2022</w:t>
            </w:r>
          </w:p>
        </w:tc>
        <w:tc>
          <w:tcPr>
            <w:tcW w:w="1403" w:type="dxa"/>
          </w:tcPr>
          <w:p>
            <w:pPr>
              <w:pStyle w:val="TableParagraph"/>
              <w:spacing w:before="17"/>
              <w:ind w:right="48"/>
              <w:rPr>
                <w:sz w:val="14"/>
              </w:rPr>
            </w:pPr>
            <w:r>
              <w:rPr>
                <w:color w:val="231F20"/>
                <w:sz w:val="14"/>
              </w:rPr>
              <w:t>-550,0</w:t>
            </w:r>
          </w:p>
        </w:tc>
        <w:tc>
          <w:tcPr>
            <w:tcW w:w="869" w:type="dxa"/>
          </w:tcPr>
          <w:p>
            <w:pPr>
              <w:pStyle w:val="TableParagraph"/>
              <w:spacing w:before="17"/>
              <w:ind w:right="48"/>
              <w:rPr>
                <w:sz w:val="14"/>
              </w:rPr>
            </w:pPr>
            <w:r>
              <w:rPr>
                <w:color w:val="231F20"/>
                <w:sz w:val="14"/>
              </w:rPr>
              <w:t>-26,8</w:t>
            </w:r>
          </w:p>
        </w:tc>
        <w:tc>
          <w:tcPr>
            <w:tcW w:w="906" w:type="dxa"/>
          </w:tcPr>
          <w:p>
            <w:pPr>
              <w:pStyle w:val="TableParagraph"/>
              <w:spacing w:before="17"/>
              <w:ind w:right="48"/>
              <w:rPr>
                <w:sz w:val="14"/>
              </w:rPr>
            </w:pPr>
            <w:r>
              <w:rPr>
                <w:color w:val="231F20"/>
                <w:sz w:val="14"/>
              </w:rPr>
              <w:t>115,4</w:t>
            </w:r>
          </w:p>
        </w:tc>
        <w:tc>
          <w:tcPr>
            <w:tcW w:w="912" w:type="dxa"/>
          </w:tcPr>
          <w:p>
            <w:pPr>
              <w:pStyle w:val="TableParagraph"/>
              <w:spacing w:before="17"/>
              <w:ind w:right="48"/>
              <w:rPr>
                <w:sz w:val="14"/>
              </w:rPr>
            </w:pPr>
            <w:r>
              <w:rPr>
                <w:color w:val="231F20"/>
                <w:sz w:val="14"/>
              </w:rPr>
              <w:t>470,7</w:t>
            </w:r>
          </w:p>
        </w:tc>
        <w:tc>
          <w:tcPr>
            <w:tcW w:w="971" w:type="dxa"/>
          </w:tcPr>
          <w:p>
            <w:pPr>
              <w:pStyle w:val="TableParagraph"/>
              <w:spacing w:before="17"/>
              <w:ind w:right="48"/>
              <w:rPr>
                <w:sz w:val="14"/>
              </w:rPr>
            </w:pPr>
            <w:r>
              <w:rPr>
                <w:color w:val="231F20"/>
                <w:sz w:val="14"/>
              </w:rPr>
              <w:t>-9,3</w:t>
            </w:r>
          </w:p>
        </w:tc>
        <w:tc>
          <w:tcPr>
            <w:tcW w:w="1064" w:type="dxa"/>
          </w:tcPr>
          <w:p>
            <w:pPr>
              <w:pStyle w:val="TableParagraph"/>
              <w:spacing w:before="17"/>
              <w:ind w:right="48"/>
              <w:rPr>
                <w:sz w:val="14"/>
              </w:rPr>
            </w:pPr>
            <w:r>
              <w:rPr>
                <w:color w:val="231F20"/>
                <w:sz w:val="14"/>
              </w:rPr>
              <w:t>0,0</w:t>
            </w:r>
          </w:p>
        </w:tc>
        <w:tc>
          <w:tcPr>
            <w:tcW w:w="1072" w:type="dxa"/>
          </w:tcPr>
          <w:p>
            <w:pPr>
              <w:pStyle w:val="TableParagraph"/>
              <w:spacing w:before="17"/>
              <w:ind w:right="48"/>
              <w:rPr>
                <w:sz w:val="14"/>
              </w:rPr>
            </w:pPr>
            <w:r>
              <w:rPr>
                <w:color w:val="231F20"/>
                <w:sz w:val="14"/>
              </w:rPr>
              <w:t>-</w:t>
            </w:r>
          </w:p>
        </w:tc>
      </w:tr>
    </w:tbl>
    <w:p>
      <w:pPr>
        <w:spacing w:after="0"/>
        <w:rPr>
          <w:sz w:val="14"/>
        </w:rPr>
        <w:sectPr>
          <w:type w:val="continuous"/>
          <w:pgSz w:w="12480" w:h="15690"/>
          <w:pgMar w:top="880" w:bottom="280" w:left="680" w:right="720"/>
        </w:sect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33"/>
        <w:gridCol w:w="1034"/>
        <w:gridCol w:w="1403"/>
        <w:gridCol w:w="869"/>
        <w:gridCol w:w="906"/>
        <w:gridCol w:w="912"/>
        <w:gridCol w:w="971"/>
        <w:gridCol w:w="1064"/>
        <w:gridCol w:w="1072"/>
      </w:tblGrid>
      <w:tr>
        <w:trPr>
          <w:trHeight w:val="200" w:hRule="atLeast"/>
        </w:trPr>
        <w:tc>
          <w:tcPr>
            <w:tcW w:w="2233" w:type="dxa"/>
            <w:vMerge w:val="restart"/>
          </w:tcPr>
          <w:p>
            <w:pPr>
              <w:pStyle w:val="TableParagraph"/>
              <w:spacing w:before="9"/>
              <w:ind w:left="727"/>
              <w:jc w:val="left"/>
              <w:rPr>
                <w:sz w:val="14"/>
              </w:rPr>
            </w:pPr>
            <w:r>
              <w:rPr>
                <w:color w:val="231F20"/>
                <w:sz w:val="14"/>
              </w:rPr>
              <w:t>Подручје/КО</w:t>
            </w:r>
          </w:p>
        </w:tc>
        <w:tc>
          <w:tcPr>
            <w:tcW w:w="1034" w:type="dxa"/>
            <w:vMerge w:val="restart"/>
          </w:tcPr>
          <w:p>
            <w:pPr>
              <w:pStyle w:val="TableParagraph"/>
              <w:spacing w:before="9"/>
              <w:ind w:left="271" w:hanging="5"/>
              <w:jc w:val="left"/>
              <w:rPr>
                <w:sz w:val="14"/>
              </w:rPr>
            </w:pPr>
            <w:r>
              <w:rPr>
                <w:color w:val="231F20"/>
                <w:sz w:val="14"/>
              </w:rPr>
              <w:t>Година - биланси</w:t>
            </w:r>
          </w:p>
        </w:tc>
        <w:tc>
          <w:tcPr>
            <w:tcW w:w="6125" w:type="dxa"/>
            <w:gridSpan w:val="6"/>
          </w:tcPr>
          <w:p>
            <w:pPr>
              <w:pStyle w:val="TableParagraph"/>
              <w:spacing w:before="9"/>
              <w:ind w:left="2592" w:right="2583"/>
              <w:jc w:val="center"/>
              <w:rPr>
                <w:sz w:val="14"/>
              </w:rPr>
            </w:pPr>
            <w:r>
              <w:rPr>
                <w:color w:val="231F20"/>
                <w:sz w:val="14"/>
              </w:rPr>
              <w:t>Површине у ha</w:t>
            </w:r>
          </w:p>
        </w:tc>
        <w:tc>
          <w:tcPr>
            <w:tcW w:w="1072" w:type="dxa"/>
            <w:vMerge w:val="restart"/>
          </w:tcPr>
          <w:p>
            <w:pPr>
              <w:pStyle w:val="TableParagraph"/>
              <w:spacing w:before="9"/>
              <w:ind w:left="129" w:right="118"/>
              <w:jc w:val="center"/>
              <w:rPr>
                <w:sz w:val="14"/>
              </w:rPr>
            </w:pPr>
            <w:r>
              <w:rPr>
                <w:color w:val="231F20"/>
                <w:sz w:val="14"/>
              </w:rPr>
              <w:t>Удео пољо- привредних у укупним (%)</w:t>
            </w:r>
          </w:p>
        </w:tc>
      </w:tr>
      <w:tr>
        <w:trPr>
          <w:trHeight w:val="360" w:hRule="atLeast"/>
        </w:trPr>
        <w:tc>
          <w:tcPr>
            <w:tcW w:w="2233" w:type="dxa"/>
            <w:vMerge/>
            <w:tcBorders>
              <w:top w:val="nil"/>
            </w:tcBorders>
          </w:tcPr>
          <w:p>
            <w:pPr>
              <w:rPr>
                <w:sz w:val="2"/>
                <w:szCs w:val="2"/>
              </w:rPr>
            </w:pPr>
          </w:p>
        </w:tc>
        <w:tc>
          <w:tcPr>
            <w:tcW w:w="1034" w:type="dxa"/>
            <w:vMerge/>
            <w:tcBorders>
              <w:top w:val="nil"/>
            </w:tcBorders>
          </w:tcPr>
          <w:p>
            <w:pPr>
              <w:rPr>
                <w:sz w:val="2"/>
                <w:szCs w:val="2"/>
              </w:rPr>
            </w:pPr>
          </w:p>
        </w:tc>
        <w:tc>
          <w:tcPr>
            <w:tcW w:w="1403" w:type="dxa"/>
          </w:tcPr>
          <w:p>
            <w:pPr>
              <w:pStyle w:val="TableParagraph"/>
              <w:spacing w:before="9"/>
              <w:ind w:left="394" w:right="182" w:hanging="181"/>
              <w:jc w:val="left"/>
              <w:rPr>
                <w:sz w:val="14"/>
              </w:rPr>
            </w:pPr>
            <w:r>
              <w:rPr>
                <w:color w:val="231F20"/>
                <w:sz w:val="14"/>
              </w:rPr>
              <w:t>Пољопривредно земљиште</w:t>
            </w:r>
          </w:p>
        </w:tc>
        <w:tc>
          <w:tcPr>
            <w:tcW w:w="869" w:type="dxa"/>
          </w:tcPr>
          <w:p>
            <w:pPr>
              <w:pStyle w:val="TableParagraph"/>
              <w:spacing w:before="9"/>
              <w:ind w:left="254"/>
              <w:jc w:val="left"/>
              <w:rPr>
                <w:sz w:val="14"/>
              </w:rPr>
            </w:pPr>
            <w:r>
              <w:rPr>
                <w:color w:val="231F20"/>
                <w:sz w:val="14"/>
              </w:rPr>
              <w:t>Шуме</w:t>
            </w:r>
          </w:p>
        </w:tc>
        <w:tc>
          <w:tcPr>
            <w:tcW w:w="906" w:type="dxa"/>
          </w:tcPr>
          <w:p>
            <w:pPr>
              <w:pStyle w:val="TableParagraph"/>
              <w:spacing w:before="9"/>
              <w:ind w:left="247" w:hanging="55"/>
              <w:jc w:val="left"/>
              <w:rPr>
                <w:sz w:val="14"/>
              </w:rPr>
            </w:pPr>
            <w:r>
              <w:rPr>
                <w:color w:val="231F20"/>
                <w:sz w:val="14"/>
              </w:rPr>
              <w:t>Рекулти- висано</w:t>
            </w:r>
          </w:p>
        </w:tc>
        <w:tc>
          <w:tcPr>
            <w:tcW w:w="912" w:type="dxa"/>
          </w:tcPr>
          <w:p>
            <w:pPr>
              <w:pStyle w:val="TableParagraph"/>
              <w:spacing w:before="9"/>
              <w:ind w:left="191" w:hanging="12"/>
              <w:jc w:val="left"/>
              <w:rPr>
                <w:sz w:val="14"/>
              </w:rPr>
            </w:pPr>
            <w:r>
              <w:rPr>
                <w:color w:val="231F20"/>
                <w:sz w:val="14"/>
              </w:rPr>
              <w:t>Копови и депоније</w:t>
            </w:r>
          </w:p>
        </w:tc>
        <w:tc>
          <w:tcPr>
            <w:tcW w:w="971" w:type="dxa"/>
          </w:tcPr>
          <w:p>
            <w:pPr>
              <w:pStyle w:val="TableParagraph"/>
              <w:spacing w:before="9"/>
              <w:ind w:left="203" w:firstLine="67"/>
              <w:jc w:val="left"/>
              <w:rPr>
                <w:sz w:val="14"/>
              </w:rPr>
            </w:pPr>
            <w:r>
              <w:rPr>
                <w:color w:val="231F20"/>
                <w:sz w:val="14"/>
              </w:rPr>
              <w:t>Остало неплодно</w:t>
            </w:r>
          </w:p>
        </w:tc>
        <w:tc>
          <w:tcPr>
            <w:tcW w:w="1064" w:type="dxa"/>
          </w:tcPr>
          <w:p>
            <w:pPr>
              <w:pStyle w:val="TableParagraph"/>
              <w:spacing w:before="9"/>
              <w:ind w:left="344" w:hanging="205"/>
              <w:jc w:val="left"/>
              <w:rPr>
                <w:sz w:val="14"/>
              </w:rPr>
            </w:pPr>
            <w:r>
              <w:rPr>
                <w:color w:val="231F20"/>
                <w:sz w:val="14"/>
              </w:rPr>
              <w:t>Укупна тери- торија</w:t>
            </w:r>
          </w:p>
        </w:tc>
        <w:tc>
          <w:tcPr>
            <w:tcW w:w="1072" w:type="dxa"/>
            <w:vMerge/>
            <w:tcBorders>
              <w:top w:val="nil"/>
            </w:tcBorders>
          </w:tcPr>
          <w:p>
            <w:pPr>
              <w:rPr>
                <w:sz w:val="2"/>
                <w:szCs w:val="2"/>
              </w:rPr>
            </w:pPr>
          </w:p>
        </w:tc>
      </w:tr>
      <w:tr>
        <w:trPr>
          <w:trHeight w:val="200" w:hRule="atLeast"/>
        </w:trPr>
        <w:tc>
          <w:tcPr>
            <w:tcW w:w="2233" w:type="dxa"/>
            <w:vMerge w:val="restart"/>
          </w:tcPr>
          <w:p>
            <w:pPr>
              <w:pStyle w:val="TableParagraph"/>
              <w:spacing w:before="9"/>
              <w:ind w:left="91"/>
              <w:jc w:val="left"/>
              <w:rPr>
                <w:sz w:val="14"/>
              </w:rPr>
            </w:pPr>
            <w:r>
              <w:rPr>
                <w:color w:val="231F20"/>
                <w:sz w:val="14"/>
              </w:rPr>
              <w:t>Костолац -град</w:t>
            </w:r>
          </w:p>
        </w:tc>
        <w:tc>
          <w:tcPr>
            <w:tcW w:w="1034" w:type="dxa"/>
          </w:tcPr>
          <w:p>
            <w:pPr>
              <w:pStyle w:val="TableParagraph"/>
              <w:spacing w:before="9"/>
              <w:ind w:left="189" w:right="179"/>
              <w:jc w:val="center"/>
              <w:rPr>
                <w:sz w:val="14"/>
              </w:rPr>
            </w:pPr>
            <w:r>
              <w:rPr>
                <w:color w:val="231F20"/>
                <w:sz w:val="14"/>
              </w:rPr>
              <w:t>2010*</w:t>
            </w:r>
          </w:p>
        </w:tc>
        <w:tc>
          <w:tcPr>
            <w:tcW w:w="1403" w:type="dxa"/>
          </w:tcPr>
          <w:p>
            <w:pPr>
              <w:pStyle w:val="TableParagraph"/>
              <w:spacing w:before="9"/>
              <w:ind w:right="44"/>
              <w:rPr>
                <w:sz w:val="14"/>
              </w:rPr>
            </w:pPr>
            <w:r>
              <w:rPr>
                <w:color w:val="231F20"/>
                <w:sz w:val="14"/>
              </w:rPr>
              <w:t>118,4</w:t>
            </w:r>
          </w:p>
        </w:tc>
        <w:tc>
          <w:tcPr>
            <w:tcW w:w="869" w:type="dxa"/>
          </w:tcPr>
          <w:p>
            <w:pPr>
              <w:pStyle w:val="TableParagraph"/>
              <w:spacing w:before="9"/>
              <w:ind w:right="44"/>
              <w:rPr>
                <w:sz w:val="14"/>
              </w:rPr>
            </w:pPr>
            <w:r>
              <w:rPr>
                <w:color w:val="231F20"/>
                <w:sz w:val="14"/>
              </w:rPr>
              <w:t>113,7</w:t>
            </w:r>
          </w:p>
        </w:tc>
        <w:tc>
          <w:tcPr>
            <w:tcW w:w="906" w:type="dxa"/>
          </w:tcPr>
          <w:p>
            <w:pPr>
              <w:pStyle w:val="TableParagraph"/>
              <w:spacing w:before="9"/>
              <w:ind w:right="44"/>
              <w:rPr>
                <w:sz w:val="14"/>
              </w:rPr>
            </w:pPr>
            <w:r>
              <w:rPr>
                <w:color w:val="231F20"/>
                <w:sz w:val="14"/>
              </w:rPr>
              <w:t>131,4</w:t>
            </w:r>
          </w:p>
        </w:tc>
        <w:tc>
          <w:tcPr>
            <w:tcW w:w="912" w:type="dxa"/>
          </w:tcPr>
          <w:p>
            <w:pPr>
              <w:pStyle w:val="TableParagraph"/>
              <w:spacing w:before="9"/>
              <w:ind w:right="44"/>
              <w:rPr>
                <w:sz w:val="14"/>
              </w:rPr>
            </w:pPr>
            <w:r>
              <w:rPr>
                <w:color w:val="231F20"/>
                <w:sz w:val="14"/>
              </w:rPr>
              <w:t>254,5</w:t>
            </w:r>
          </w:p>
        </w:tc>
        <w:tc>
          <w:tcPr>
            <w:tcW w:w="971" w:type="dxa"/>
          </w:tcPr>
          <w:p>
            <w:pPr>
              <w:pStyle w:val="TableParagraph"/>
              <w:spacing w:before="9"/>
              <w:ind w:right="44"/>
              <w:rPr>
                <w:sz w:val="14"/>
              </w:rPr>
            </w:pPr>
            <w:r>
              <w:rPr>
                <w:color w:val="231F20"/>
                <w:sz w:val="14"/>
              </w:rPr>
              <w:t>430,1</w:t>
            </w:r>
          </w:p>
        </w:tc>
        <w:tc>
          <w:tcPr>
            <w:tcW w:w="1064" w:type="dxa"/>
          </w:tcPr>
          <w:p>
            <w:pPr>
              <w:pStyle w:val="TableParagraph"/>
              <w:spacing w:before="9"/>
              <w:ind w:right="44"/>
              <w:rPr>
                <w:sz w:val="14"/>
              </w:rPr>
            </w:pPr>
            <w:r>
              <w:rPr>
                <w:color w:val="231F20"/>
                <w:sz w:val="14"/>
              </w:rPr>
              <w:t>1048,2</w:t>
            </w:r>
          </w:p>
        </w:tc>
        <w:tc>
          <w:tcPr>
            <w:tcW w:w="1072" w:type="dxa"/>
          </w:tcPr>
          <w:p>
            <w:pPr>
              <w:pStyle w:val="TableParagraph"/>
              <w:spacing w:before="9"/>
              <w:ind w:right="44"/>
              <w:rPr>
                <w:sz w:val="14"/>
              </w:rPr>
            </w:pPr>
            <w:r>
              <w:rPr>
                <w:color w:val="231F20"/>
                <w:sz w:val="14"/>
              </w:rPr>
              <w:t>11,3</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0"/>
              <w:jc w:val="center"/>
              <w:rPr>
                <w:sz w:val="14"/>
              </w:rPr>
            </w:pPr>
            <w:r>
              <w:rPr>
                <w:color w:val="231F20"/>
                <w:sz w:val="14"/>
              </w:rPr>
              <w:t>2015</w:t>
            </w:r>
          </w:p>
        </w:tc>
        <w:tc>
          <w:tcPr>
            <w:tcW w:w="1403" w:type="dxa"/>
          </w:tcPr>
          <w:p>
            <w:pPr>
              <w:pStyle w:val="TableParagraph"/>
              <w:spacing w:before="9"/>
              <w:ind w:right="44"/>
              <w:rPr>
                <w:sz w:val="14"/>
              </w:rPr>
            </w:pPr>
            <w:r>
              <w:rPr>
                <w:color w:val="231F20"/>
                <w:sz w:val="14"/>
              </w:rPr>
              <w:t>118,4</w:t>
            </w:r>
          </w:p>
        </w:tc>
        <w:tc>
          <w:tcPr>
            <w:tcW w:w="869" w:type="dxa"/>
          </w:tcPr>
          <w:p>
            <w:pPr>
              <w:pStyle w:val="TableParagraph"/>
              <w:spacing w:before="9"/>
              <w:ind w:right="44"/>
              <w:rPr>
                <w:sz w:val="14"/>
              </w:rPr>
            </w:pPr>
            <w:r>
              <w:rPr>
                <w:color w:val="231F20"/>
                <w:sz w:val="14"/>
              </w:rPr>
              <w:t>113,7</w:t>
            </w:r>
          </w:p>
        </w:tc>
        <w:tc>
          <w:tcPr>
            <w:tcW w:w="906" w:type="dxa"/>
          </w:tcPr>
          <w:p>
            <w:pPr>
              <w:pStyle w:val="TableParagraph"/>
              <w:spacing w:before="9"/>
              <w:ind w:right="44"/>
              <w:rPr>
                <w:sz w:val="14"/>
              </w:rPr>
            </w:pPr>
            <w:r>
              <w:rPr>
                <w:color w:val="231F20"/>
                <w:sz w:val="14"/>
              </w:rPr>
              <w:t>329,0</w:t>
            </w:r>
          </w:p>
        </w:tc>
        <w:tc>
          <w:tcPr>
            <w:tcW w:w="912" w:type="dxa"/>
          </w:tcPr>
          <w:p>
            <w:pPr>
              <w:pStyle w:val="TableParagraph"/>
              <w:spacing w:before="9"/>
              <w:ind w:right="44"/>
              <w:rPr>
                <w:sz w:val="14"/>
              </w:rPr>
            </w:pPr>
            <w:r>
              <w:rPr>
                <w:color w:val="231F20"/>
                <w:sz w:val="14"/>
              </w:rPr>
              <w:t>57,0</w:t>
            </w:r>
          </w:p>
        </w:tc>
        <w:tc>
          <w:tcPr>
            <w:tcW w:w="971" w:type="dxa"/>
          </w:tcPr>
          <w:p>
            <w:pPr>
              <w:pStyle w:val="TableParagraph"/>
              <w:spacing w:before="9"/>
              <w:ind w:right="44"/>
              <w:rPr>
                <w:sz w:val="14"/>
              </w:rPr>
            </w:pPr>
            <w:r>
              <w:rPr>
                <w:color w:val="231F20"/>
                <w:sz w:val="14"/>
              </w:rPr>
              <w:t>430,1</w:t>
            </w:r>
          </w:p>
        </w:tc>
        <w:tc>
          <w:tcPr>
            <w:tcW w:w="1064" w:type="dxa"/>
          </w:tcPr>
          <w:p>
            <w:pPr>
              <w:pStyle w:val="TableParagraph"/>
              <w:spacing w:before="9"/>
              <w:ind w:right="44"/>
              <w:rPr>
                <w:sz w:val="14"/>
              </w:rPr>
            </w:pPr>
            <w:r>
              <w:rPr>
                <w:color w:val="231F20"/>
                <w:sz w:val="14"/>
              </w:rPr>
              <w:t>1048,2</w:t>
            </w:r>
          </w:p>
        </w:tc>
        <w:tc>
          <w:tcPr>
            <w:tcW w:w="1072" w:type="dxa"/>
          </w:tcPr>
          <w:p>
            <w:pPr>
              <w:pStyle w:val="TableParagraph"/>
              <w:spacing w:before="9"/>
              <w:ind w:right="44"/>
              <w:rPr>
                <w:sz w:val="14"/>
              </w:rPr>
            </w:pPr>
            <w:r>
              <w:rPr>
                <w:color w:val="231F20"/>
                <w:sz w:val="14"/>
              </w:rPr>
              <w:t>11,3</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0"/>
              <w:jc w:val="center"/>
              <w:rPr>
                <w:sz w:val="14"/>
              </w:rPr>
            </w:pPr>
            <w:r>
              <w:rPr>
                <w:color w:val="231F20"/>
                <w:sz w:val="14"/>
              </w:rPr>
              <w:t>2022</w:t>
            </w:r>
          </w:p>
        </w:tc>
        <w:tc>
          <w:tcPr>
            <w:tcW w:w="1403" w:type="dxa"/>
          </w:tcPr>
          <w:p>
            <w:pPr>
              <w:pStyle w:val="TableParagraph"/>
              <w:spacing w:before="9"/>
              <w:ind w:right="45"/>
              <w:rPr>
                <w:sz w:val="14"/>
              </w:rPr>
            </w:pPr>
            <w:r>
              <w:rPr>
                <w:color w:val="231F20"/>
                <w:sz w:val="14"/>
              </w:rPr>
              <w:t>118,4</w:t>
            </w:r>
          </w:p>
        </w:tc>
        <w:tc>
          <w:tcPr>
            <w:tcW w:w="869" w:type="dxa"/>
          </w:tcPr>
          <w:p>
            <w:pPr>
              <w:pStyle w:val="TableParagraph"/>
              <w:spacing w:before="9"/>
              <w:ind w:right="45"/>
              <w:rPr>
                <w:sz w:val="14"/>
              </w:rPr>
            </w:pPr>
            <w:r>
              <w:rPr>
                <w:color w:val="231F20"/>
                <w:sz w:val="14"/>
              </w:rPr>
              <w:t>113,7</w:t>
            </w:r>
          </w:p>
        </w:tc>
        <w:tc>
          <w:tcPr>
            <w:tcW w:w="906" w:type="dxa"/>
          </w:tcPr>
          <w:p>
            <w:pPr>
              <w:pStyle w:val="TableParagraph"/>
              <w:spacing w:before="9"/>
              <w:ind w:right="45"/>
              <w:rPr>
                <w:sz w:val="14"/>
              </w:rPr>
            </w:pPr>
            <w:r>
              <w:rPr>
                <w:color w:val="231F20"/>
                <w:sz w:val="14"/>
              </w:rPr>
              <w:t>329,0</w:t>
            </w:r>
          </w:p>
        </w:tc>
        <w:tc>
          <w:tcPr>
            <w:tcW w:w="912" w:type="dxa"/>
          </w:tcPr>
          <w:p>
            <w:pPr>
              <w:pStyle w:val="TableParagraph"/>
              <w:spacing w:before="9"/>
              <w:ind w:right="45"/>
              <w:rPr>
                <w:sz w:val="14"/>
              </w:rPr>
            </w:pPr>
            <w:r>
              <w:rPr>
                <w:color w:val="231F20"/>
                <w:sz w:val="14"/>
              </w:rPr>
              <w:t>57,0</w:t>
            </w:r>
          </w:p>
        </w:tc>
        <w:tc>
          <w:tcPr>
            <w:tcW w:w="971" w:type="dxa"/>
          </w:tcPr>
          <w:p>
            <w:pPr>
              <w:pStyle w:val="TableParagraph"/>
              <w:spacing w:before="9"/>
              <w:ind w:right="45"/>
              <w:rPr>
                <w:sz w:val="14"/>
              </w:rPr>
            </w:pPr>
            <w:r>
              <w:rPr>
                <w:color w:val="231F20"/>
                <w:sz w:val="14"/>
              </w:rPr>
              <w:t>430,1</w:t>
            </w:r>
          </w:p>
        </w:tc>
        <w:tc>
          <w:tcPr>
            <w:tcW w:w="1064" w:type="dxa"/>
          </w:tcPr>
          <w:p>
            <w:pPr>
              <w:pStyle w:val="TableParagraph"/>
              <w:spacing w:before="9"/>
              <w:ind w:right="45"/>
              <w:rPr>
                <w:sz w:val="14"/>
              </w:rPr>
            </w:pPr>
            <w:r>
              <w:rPr>
                <w:color w:val="231F20"/>
                <w:sz w:val="14"/>
              </w:rPr>
              <w:t>1048,2</w:t>
            </w:r>
          </w:p>
        </w:tc>
        <w:tc>
          <w:tcPr>
            <w:tcW w:w="1072" w:type="dxa"/>
          </w:tcPr>
          <w:p>
            <w:pPr>
              <w:pStyle w:val="TableParagraph"/>
              <w:spacing w:before="9"/>
              <w:ind w:right="45"/>
              <w:rPr>
                <w:sz w:val="14"/>
              </w:rPr>
            </w:pPr>
            <w:r>
              <w:rPr>
                <w:color w:val="231F20"/>
                <w:sz w:val="14"/>
              </w:rPr>
              <w:t>11,3</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0"/>
              <w:jc w:val="center"/>
              <w:rPr>
                <w:sz w:val="14"/>
              </w:rPr>
            </w:pPr>
            <w:r>
              <w:rPr>
                <w:color w:val="231F20"/>
                <w:sz w:val="14"/>
              </w:rPr>
              <w:t>2010-2022</w:t>
            </w:r>
          </w:p>
        </w:tc>
        <w:tc>
          <w:tcPr>
            <w:tcW w:w="1403" w:type="dxa"/>
          </w:tcPr>
          <w:p>
            <w:pPr>
              <w:pStyle w:val="TableParagraph"/>
              <w:spacing w:before="9"/>
              <w:ind w:right="45"/>
              <w:rPr>
                <w:sz w:val="14"/>
              </w:rPr>
            </w:pPr>
            <w:r>
              <w:rPr>
                <w:color w:val="231F20"/>
                <w:sz w:val="14"/>
              </w:rPr>
              <w:t>0,0</w:t>
            </w:r>
          </w:p>
        </w:tc>
        <w:tc>
          <w:tcPr>
            <w:tcW w:w="869" w:type="dxa"/>
          </w:tcPr>
          <w:p>
            <w:pPr>
              <w:pStyle w:val="TableParagraph"/>
              <w:spacing w:before="9"/>
              <w:ind w:right="45"/>
              <w:rPr>
                <w:sz w:val="14"/>
              </w:rPr>
            </w:pPr>
            <w:r>
              <w:rPr>
                <w:color w:val="231F20"/>
                <w:sz w:val="14"/>
              </w:rPr>
              <w:t>0,0</w:t>
            </w:r>
          </w:p>
        </w:tc>
        <w:tc>
          <w:tcPr>
            <w:tcW w:w="906" w:type="dxa"/>
          </w:tcPr>
          <w:p>
            <w:pPr>
              <w:pStyle w:val="TableParagraph"/>
              <w:spacing w:before="9"/>
              <w:ind w:right="45"/>
              <w:rPr>
                <w:sz w:val="14"/>
              </w:rPr>
            </w:pPr>
            <w:r>
              <w:rPr>
                <w:color w:val="231F20"/>
                <w:sz w:val="14"/>
              </w:rPr>
              <w:t>197,6</w:t>
            </w:r>
          </w:p>
        </w:tc>
        <w:tc>
          <w:tcPr>
            <w:tcW w:w="912" w:type="dxa"/>
          </w:tcPr>
          <w:p>
            <w:pPr>
              <w:pStyle w:val="TableParagraph"/>
              <w:spacing w:before="9"/>
              <w:ind w:right="45"/>
              <w:rPr>
                <w:sz w:val="14"/>
              </w:rPr>
            </w:pPr>
            <w:r>
              <w:rPr>
                <w:color w:val="231F20"/>
                <w:sz w:val="14"/>
              </w:rPr>
              <w:t>-197,5</w:t>
            </w:r>
          </w:p>
        </w:tc>
        <w:tc>
          <w:tcPr>
            <w:tcW w:w="971" w:type="dxa"/>
          </w:tcPr>
          <w:p>
            <w:pPr>
              <w:pStyle w:val="TableParagraph"/>
              <w:spacing w:before="9"/>
              <w:ind w:right="45"/>
              <w:rPr>
                <w:sz w:val="14"/>
              </w:rPr>
            </w:pPr>
            <w:r>
              <w:rPr>
                <w:color w:val="231F20"/>
                <w:sz w:val="14"/>
              </w:rPr>
              <w:t>0,0</w:t>
            </w:r>
          </w:p>
        </w:tc>
        <w:tc>
          <w:tcPr>
            <w:tcW w:w="1064" w:type="dxa"/>
          </w:tcPr>
          <w:p>
            <w:pPr>
              <w:pStyle w:val="TableParagraph"/>
              <w:spacing w:before="9"/>
              <w:ind w:right="45"/>
              <w:rPr>
                <w:sz w:val="14"/>
              </w:rPr>
            </w:pPr>
            <w:r>
              <w:rPr>
                <w:color w:val="231F20"/>
                <w:sz w:val="14"/>
              </w:rPr>
              <w:t>0,0</w:t>
            </w:r>
          </w:p>
        </w:tc>
        <w:tc>
          <w:tcPr>
            <w:tcW w:w="1072" w:type="dxa"/>
          </w:tcPr>
          <w:p>
            <w:pPr>
              <w:pStyle w:val="TableParagraph"/>
              <w:spacing w:before="9"/>
              <w:ind w:right="45"/>
              <w:rPr>
                <w:sz w:val="14"/>
              </w:rPr>
            </w:pPr>
            <w:r>
              <w:rPr>
                <w:color w:val="231F20"/>
                <w:sz w:val="14"/>
              </w:rPr>
              <w:t>-</w:t>
            </w:r>
          </w:p>
        </w:tc>
      </w:tr>
      <w:tr>
        <w:trPr>
          <w:trHeight w:val="200" w:hRule="atLeast"/>
        </w:trPr>
        <w:tc>
          <w:tcPr>
            <w:tcW w:w="2233" w:type="dxa"/>
            <w:vMerge w:val="restart"/>
          </w:tcPr>
          <w:p>
            <w:pPr>
              <w:pStyle w:val="TableParagraph"/>
              <w:spacing w:before="9"/>
              <w:ind w:left="91"/>
              <w:jc w:val="left"/>
              <w:rPr>
                <w:sz w:val="14"/>
              </w:rPr>
            </w:pPr>
            <w:r>
              <w:rPr>
                <w:color w:val="231F20"/>
                <w:sz w:val="14"/>
              </w:rPr>
              <w:t>Костолац-село</w:t>
            </w:r>
          </w:p>
        </w:tc>
        <w:tc>
          <w:tcPr>
            <w:tcW w:w="1034" w:type="dxa"/>
          </w:tcPr>
          <w:p>
            <w:pPr>
              <w:pStyle w:val="TableParagraph"/>
              <w:spacing w:before="9"/>
              <w:ind w:left="189" w:right="181"/>
              <w:jc w:val="center"/>
              <w:rPr>
                <w:sz w:val="14"/>
              </w:rPr>
            </w:pPr>
            <w:r>
              <w:rPr>
                <w:color w:val="231F20"/>
                <w:sz w:val="14"/>
              </w:rPr>
              <w:t>2010*</w:t>
            </w:r>
          </w:p>
        </w:tc>
        <w:tc>
          <w:tcPr>
            <w:tcW w:w="1403" w:type="dxa"/>
          </w:tcPr>
          <w:p>
            <w:pPr>
              <w:pStyle w:val="TableParagraph"/>
              <w:spacing w:before="9"/>
              <w:ind w:right="45"/>
              <w:rPr>
                <w:sz w:val="14"/>
              </w:rPr>
            </w:pPr>
            <w:r>
              <w:rPr>
                <w:color w:val="231F20"/>
                <w:sz w:val="14"/>
              </w:rPr>
              <w:t>2379,5</w:t>
            </w:r>
          </w:p>
        </w:tc>
        <w:tc>
          <w:tcPr>
            <w:tcW w:w="869" w:type="dxa"/>
          </w:tcPr>
          <w:p>
            <w:pPr>
              <w:pStyle w:val="TableParagraph"/>
              <w:spacing w:before="9"/>
              <w:ind w:right="45"/>
              <w:rPr>
                <w:sz w:val="14"/>
              </w:rPr>
            </w:pPr>
            <w:r>
              <w:rPr>
                <w:color w:val="231F20"/>
                <w:sz w:val="14"/>
              </w:rPr>
              <w:t>825,6</w:t>
            </w:r>
          </w:p>
        </w:tc>
        <w:tc>
          <w:tcPr>
            <w:tcW w:w="906" w:type="dxa"/>
          </w:tcPr>
          <w:p>
            <w:pPr>
              <w:pStyle w:val="TableParagraph"/>
              <w:spacing w:before="9"/>
              <w:ind w:right="45"/>
              <w:rPr>
                <w:sz w:val="14"/>
              </w:rPr>
            </w:pPr>
            <w:r>
              <w:rPr>
                <w:color w:val="231F20"/>
                <w:sz w:val="14"/>
              </w:rPr>
              <w:t>78,6</w:t>
            </w:r>
          </w:p>
        </w:tc>
        <w:tc>
          <w:tcPr>
            <w:tcW w:w="912" w:type="dxa"/>
          </w:tcPr>
          <w:p>
            <w:pPr>
              <w:pStyle w:val="TableParagraph"/>
              <w:spacing w:before="9"/>
              <w:ind w:right="45"/>
              <w:rPr>
                <w:sz w:val="14"/>
              </w:rPr>
            </w:pPr>
            <w:r>
              <w:rPr>
                <w:color w:val="231F20"/>
                <w:sz w:val="14"/>
              </w:rPr>
              <w:t>227,5</w:t>
            </w:r>
          </w:p>
        </w:tc>
        <w:tc>
          <w:tcPr>
            <w:tcW w:w="971" w:type="dxa"/>
          </w:tcPr>
          <w:p>
            <w:pPr>
              <w:pStyle w:val="TableParagraph"/>
              <w:spacing w:before="9"/>
              <w:ind w:right="45"/>
              <w:rPr>
                <w:sz w:val="14"/>
              </w:rPr>
            </w:pPr>
            <w:r>
              <w:rPr>
                <w:color w:val="231F20"/>
                <w:sz w:val="14"/>
              </w:rPr>
              <w:t>1279,1</w:t>
            </w:r>
          </w:p>
        </w:tc>
        <w:tc>
          <w:tcPr>
            <w:tcW w:w="1064" w:type="dxa"/>
          </w:tcPr>
          <w:p>
            <w:pPr>
              <w:pStyle w:val="TableParagraph"/>
              <w:spacing w:before="9"/>
              <w:ind w:right="45"/>
              <w:rPr>
                <w:sz w:val="14"/>
              </w:rPr>
            </w:pPr>
            <w:r>
              <w:rPr>
                <w:color w:val="231F20"/>
                <w:sz w:val="14"/>
              </w:rPr>
              <w:t>4790,2</w:t>
            </w:r>
          </w:p>
        </w:tc>
        <w:tc>
          <w:tcPr>
            <w:tcW w:w="1072" w:type="dxa"/>
          </w:tcPr>
          <w:p>
            <w:pPr>
              <w:pStyle w:val="TableParagraph"/>
              <w:spacing w:before="9"/>
              <w:ind w:right="45"/>
              <w:rPr>
                <w:sz w:val="14"/>
              </w:rPr>
            </w:pPr>
            <w:r>
              <w:rPr>
                <w:color w:val="231F20"/>
                <w:sz w:val="14"/>
              </w:rPr>
              <w:t>49,7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1"/>
              <w:jc w:val="center"/>
              <w:rPr>
                <w:sz w:val="14"/>
              </w:rPr>
            </w:pPr>
            <w:r>
              <w:rPr>
                <w:color w:val="231F20"/>
                <w:sz w:val="14"/>
              </w:rPr>
              <w:t>2015</w:t>
            </w:r>
          </w:p>
        </w:tc>
        <w:tc>
          <w:tcPr>
            <w:tcW w:w="1403" w:type="dxa"/>
          </w:tcPr>
          <w:p>
            <w:pPr>
              <w:pStyle w:val="TableParagraph"/>
              <w:spacing w:before="9"/>
              <w:ind w:right="45"/>
              <w:rPr>
                <w:sz w:val="14"/>
              </w:rPr>
            </w:pPr>
            <w:r>
              <w:rPr>
                <w:color w:val="231F20"/>
                <w:sz w:val="14"/>
              </w:rPr>
              <w:t>2347,3</w:t>
            </w:r>
          </w:p>
        </w:tc>
        <w:tc>
          <w:tcPr>
            <w:tcW w:w="869" w:type="dxa"/>
          </w:tcPr>
          <w:p>
            <w:pPr>
              <w:pStyle w:val="TableParagraph"/>
              <w:spacing w:before="9"/>
              <w:ind w:right="45"/>
              <w:rPr>
                <w:sz w:val="14"/>
              </w:rPr>
            </w:pPr>
            <w:r>
              <w:rPr>
                <w:color w:val="231F20"/>
                <w:sz w:val="14"/>
              </w:rPr>
              <w:t>825,6</w:t>
            </w:r>
          </w:p>
        </w:tc>
        <w:tc>
          <w:tcPr>
            <w:tcW w:w="906" w:type="dxa"/>
          </w:tcPr>
          <w:p>
            <w:pPr>
              <w:pStyle w:val="TableParagraph"/>
              <w:spacing w:before="9"/>
              <w:ind w:right="45"/>
              <w:rPr>
                <w:sz w:val="14"/>
              </w:rPr>
            </w:pPr>
            <w:r>
              <w:rPr>
                <w:color w:val="231F20"/>
                <w:sz w:val="14"/>
              </w:rPr>
              <w:t>282,8</w:t>
            </w:r>
          </w:p>
        </w:tc>
        <w:tc>
          <w:tcPr>
            <w:tcW w:w="912" w:type="dxa"/>
          </w:tcPr>
          <w:p>
            <w:pPr>
              <w:pStyle w:val="TableParagraph"/>
              <w:spacing w:before="9"/>
              <w:ind w:right="45"/>
              <w:rPr>
                <w:sz w:val="14"/>
              </w:rPr>
            </w:pPr>
            <w:r>
              <w:rPr>
                <w:color w:val="231F20"/>
                <w:sz w:val="14"/>
              </w:rPr>
              <w:t>55,5</w:t>
            </w:r>
          </w:p>
        </w:tc>
        <w:tc>
          <w:tcPr>
            <w:tcW w:w="971" w:type="dxa"/>
          </w:tcPr>
          <w:p>
            <w:pPr>
              <w:pStyle w:val="TableParagraph"/>
              <w:spacing w:before="9"/>
              <w:ind w:right="45"/>
              <w:rPr>
                <w:sz w:val="14"/>
              </w:rPr>
            </w:pPr>
            <w:r>
              <w:rPr>
                <w:color w:val="231F20"/>
                <w:sz w:val="14"/>
              </w:rPr>
              <w:t>1279,1</w:t>
            </w:r>
          </w:p>
        </w:tc>
        <w:tc>
          <w:tcPr>
            <w:tcW w:w="1064" w:type="dxa"/>
          </w:tcPr>
          <w:p>
            <w:pPr>
              <w:pStyle w:val="TableParagraph"/>
              <w:spacing w:before="9"/>
              <w:ind w:right="45"/>
              <w:rPr>
                <w:sz w:val="14"/>
              </w:rPr>
            </w:pPr>
            <w:r>
              <w:rPr>
                <w:color w:val="231F20"/>
                <w:sz w:val="14"/>
              </w:rPr>
              <w:t>4790,2</w:t>
            </w:r>
          </w:p>
        </w:tc>
        <w:tc>
          <w:tcPr>
            <w:tcW w:w="1072" w:type="dxa"/>
          </w:tcPr>
          <w:p>
            <w:pPr>
              <w:pStyle w:val="TableParagraph"/>
              <w:spacing w:before="9"/>
              <w:ind w:right="45"/>
              <w:rPr>
                <w:sz w:val="14"/>
              </w:rPr>
            </w:pPr>
            <w:r>
              <w:rPr>
                <w:color w:val="231F20"/>
                <w:sz w:val="14"/>
              </w:rPr>
              <w:t>49,0</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1"/>
              <w:jc w:val="center"/>
              <w:rPr>
                <w:sz w:val="14"/>
              </w:rPr>
            </w:pPr>
            <w:r>
              <w:rPr>
                <w:color w:val="231F20"/>
                <w:sz w:val="14"/>
              </w:rPr>
              <w:t>2022</w:t>
            </w:r>
          </w:p>
        </w:tc>
        <w:tc>
          <w:tcPr>
            <w:tcW w:w="1403" w:type="dxa"/>
          </w:tcPr>
          <w:p>
            <w:pPr>
              <w:pStyle w:val="TableParagraph"/>
              <w:spacing w:before="9"/>
              <w:ind w:right="45"/>
              <w:rPr>
                <w:sz w:val="14"/>
              </w:rPr>
            </w:pPr>
            <w:r>
              <w:rPr>
                <w:color w:val="231F20"/>
                <w:sz w:val="14"/>
              </w:rPr>
              <w:t>2096,6</w:t>
            </w:r>
          </w:p>
        </w:tc>
        <w:tc>
          <w:tcPr>
            <w:tcW w:w="869" w:type="dxa"/>
          </w:tcPr>
          <w:p>
            <w:pPr>
              <w:pStyle w:val="TableParagraph"/>
              <w:spacing w:before="9"/>
              <w:ind w:right="45"/>
              <w:rPr>
                <w:sz w:val="14"/>
              </w:rPr>
            </w:pPr>
            <w:r>
              <w:rPr>
                <w:color w:val="231F20"/>
                <w:sz w:val="14"/>
              </w:rPr>
              <w:t>800,2</w:t>
            </w:r>
          </w:p>
        </w:tc>
        <w:tc>
          <w:tcPr>
            <w:tcW w:w="906" w:type="dxa"/>
          </w:tcPr>
          <w:p>
            <w:pPr>
              <w:pStyle w:val="TableParagraph"/>
              <w:spacing w:before="9"/>
              <w:ind w:right="45"/>
              <w:rPr>
                <w:sz w:val="14"/>
              </w:rPr>
            </w:pPr>
            <w:r>
              <w:rPr>
                <w:color w:val="231F20"/>
                <w:sz w:val="14"/>
              </w:rPr>
              <w:t>282,8</w:t>
            </w:r>
          </w:p>
        </w:tc>
        <w:tc>
          <w:tcPr>
            <w:tcW w:w="912" w:type="dxa"/>
          </w:tcPr>
          <w:p>
            <w:pPr>
              <w:pStyle w:val="TableParagraph"/>
              <w:spacing w:before="9"/>
              <w:ind w:right="45"/>
              <w:rPr>
                <w:sz w:val="14"/>
              </w:rPr>
            </w:pPr>
            <w:r>
              <w:rPr>
                <w:color w:val="231F20"/>
                <w:sz w:val="14"/>
              </w:rPr>
              <w:t>360,6</w:t>
            </w:r>
          </w:p>
        </w:tc>
        <w:tc>
          <w:tcPr>
            <w:tcW w:w="971" w:type="dxa"/>
          </w:tcPr>
          <w:p>
            <w:pPr>
              <w:pStyle w:val="TableParagraph"/>
              <w:spacing w:before="9"/>
              <w:ind w:right="45"/>
              <w:rPr>
                <w:sz w:val="14"/>
              </w:rPr>
            </w:pPr>
            <w:r>
              <w:rPr>
                <w:color w:val="231F20"/>
                <w:sz w:val="14"/>
              </w:rPr>
              <w:t>1250,0</w:t>
            </w:r>
          </w:p>
        </w:tc>
        <w:tc>
          <w:tcPr>
            <w:tcW w:w="1064" w:type="dxa"/>
          </w:tcPr>
          <w:p>
            <w:pPr>
              <w:pStyle w:val="TableParagraph"/>
              <w:spacing w:before="9"/>
              <w:ind w:right="45"/>
              <w:rPr>
                <w:sz w:val="14"/>
              </w:rPr>
            </w:pPr>
            <w:r>
              <w:rPr>
                <w:color w:val="231F20"/>
                <w:sz w:val="14"/>
              </w:rPr>
              <w:t>4790,2</w:t>
            </w:r>
          </w:p>
        </w:tc>
        <w:tc>
          <w:tcPr>
            <w:tcW w:w="1072" w:type="dxa"/>
          </w:tcPr>
          <w:p>
            <w:pPr>
              <w:pStyle w:val="TableParagraph"/>
              <w:spacing w:before="9"/>
              <w:ind w:right="45"/>
              <w:rPr>
                <w:sz w:val="14"/>
              </w:rPr>
            </w:pPr>
            <w:r>
              <w:rPr>
                <w:color w:val="231F20"/>
                <w:sz w:val="14"/>
              </w:rPr>
              <w:t>43,8</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2"/>
              <w:jc w:val="center"/>
              <w:rPr>
                <w:sz w:val="14"/>
              </w:rPr>
            </w:pPr>
            <w:r>
              <w:rPr>
                <w:color w:val="231F20"/>
                <w:sz w:val="14"/>
              </w:rPr>
              <w:t>2010-2022</w:t>
            </w:r>
          </w:p>
        </w:tc>
        <w:tc>
          <w:tcPr>
            <w:tcW w:w="1403" w:type="dxa"/>
          </w:tcPr>
          <w:p>
            <w:pPr>
              <w:pStyle w:val="TableParagraph"/>
              <w:spacing w:before="9"/>
              <w:ind w:right="45"/>
              <w:rPr>
                <w:sz w:val="14"/>
              </w:rPr>
            </w:pPr>
            <w:r>
              <w:rPr>
                <w:color w:val="231F20"/>
                <w:sz w:val="14"/>
              </w:rPr>
              <w:t>-282,9</w:t>
            </w:r>
          </w:p>
        </w:tc>
        <w:tc>
          <w:tcPr>
            <w:tcW w:w="869" w:type="dxa"/>
          </w:tcPr>
          <w:p>
            <w:pPr>
              <w:pStyle w:val="TableParagraph"/>
              <w:spacing w:before="9"/>
              <w:ind w:right="45"/>
              <w:rPr>
                <w:sz w:val="14"/>
              </w:rPr>
            </w:pPr>
            <w:r>
              <w:rPr>
                <w:color w:val="231F20"/>
                <w:sz w:val="14"/>
              </w:rPr>
              <w:t>-25,4</w:t>
            </w:r>
          </w:p>
        </w:tc>
        <w:tc>
          <w:tcPr>
            <w:tcW w:w="906" w:type="dxa"/>
          </w:tcPr>
          <w:p>
            <w:pPr>
              <w:pStyle w:val="TableParagraph"/>
              <w:spacing w:before="9"/>
              <w:ind w:right="45"/>
              <w:rPr>
                <w:sz w:val="14"/>
              </w:rPr>
            </w:pPr>
            <w:r>
              <w:rPr>
                <w:color w:val="231F20"/>
                <w:sz w:val="14"/>
              </w:rPr>
              <w:t>204,2</w:t>
            </w:r>
          </w:p>
        </w:tc>
        <w:tc>
          <w:tcPr>
            <w:tcW w:w="912" w:type="dxa"/>
          </w:tcPr>
          <w:p>
            <w:pPr>
              <w:pStyle w:val="TableParagraph"/>
              <w:spacing w:before="9"/>
              <w:ind w:right="45"/>
              <w:rPr>
                <w:sz w:val="14"/>
              </w:rPr>
            </w:pPr>
            <w:r>
              <w:rPr>
                <w:color w:val="231F20"/>
                <w:sz w:val="14"/>
              </w:rPr>
              <w:t>133,1</w:t>
            </w:r>
          </w:p>
        </w:tc>
        <w:tc>
          <w:tcPr>
            <w:tcW w:w="971" w:type="dxa"/>
          </w:tcPr>
          <w:p>
            <w:pPr>
              <w:pStyle w:val="TableParagraph"/>
              <w:spacing w:before="9"/>
              <w:ind w:right="45"/>
              <w:rPr>
                <w:sz w:val="14"/>
              </w:rPr>
            </w:pPr>
            <w:r>
              <w:rPr>
                <w:color w:val="231F20"/>
                <w:sz w:val="14"/>
              </w:rPr>
              <w:t>-29,1</w:t>
            </w:r>
          </w:p>
        </w:tc>
        <w:tc>
          <w:tcPr>
            <w:tcW w:w="1064" w:type="dxa"/>
          </w:tcPr>
          <w:p>
            <w:pPr>
              <w:pStyle w:val="TableParagraph"/>
              <w:spacing w:before="9"/>
              <w:ind w:right="45"/>
              <w:rPr>
                <w:sz w:val="14"/>
              </w:rPr>
            </w:pPr>
            <w:r>
              <w:rPr>
                <w:color w:val="231F20"/>
                <w:sz w:val="14"/>
              </w:rPr>
              <w:t>0,0</w:t>
            </w:r>
          </w:p>
        </w:tc>
        <w:tc>
          <w:tcPr>
            <w:tcW w:w="1072" w:type="dxa"/>
          </w:tcPr>
          <w:p>
            <w:pPr>
              <w:pStyle w:val="TableParagraph"/>
              <w:spacing w:before="9"/>
              <w:ind w:right="45"/>
              <w:rPr>
                <w:sz w:val="14"/>
              </w:rPr>
            </w:pPr>
            <w:r>
              <w:rPr>
                <w:color w:val="231F20"/>
                <w:sz w:val="14"/>
              </w:rPr>
              <w:t>-</w:t>
            </w:r>
          </w:p>
        </w:tc>
      </w:tr>
      <w:tr>
        <w:trPr>
          <w:trHeight w:val="200" w:hRule="atLeast"/>
        </w:trPr>
        <w:tc>
          <w:tcPr>
            <w:tcW w:w="2233" w:type="dxa"/>
            <w:vMerge w:val="restart"/>
          </w:tcPr>
          <w:p>
            <w:pPr>
              <w:pStyle w:val="TableParagraph"/>
              <w:spacing w:before="9"/>
              <w:ind w:left="90"/>
              <w:jc w:val="left"/>
              <w:rPr>
                <w:sz w:val="14"/>
              </w:rPr>
            </w:pPr>
            <w:r>
              <w:rPr>
                <w:color w:val="231F20"/>
                <w:sz w:val="14"/>
              </w:rPr>
              <w:t>Маљуревац</w:t>
            </w:r>
          </w:p>
        </w:tc>
        <w:tc>
          <w:tcPr>
            <w:tcW w:w="1034" w:type="dxa"/>
          </w:tcPr>
          <w:p>
            <w:pPr>
              <w:pStyle w:val="TableParagraph"/>
              <w:spacing w:before="9"/>
              <w:ind w:left="189" w:right="182"/>
              <w:jc w:val="center"/>
              <w:rPr>
                <w:sz w:val="14"/>
              </w:rPr>
            </w:pPr>
            <w:r>
              <w:rPr>
                <w:color w:val="231F20"/>
                <w:sz w:val="14"/>
              </w:rPr>
              <w:t>2010*</w:t>
            </w:r>
          </w:p>
        </w:tc>
        <w:tc>
          <w:tcPr>
            <w:tcW w:w="1403" w:type="dxa"/>
          </w:tcPr>
          <w:p>
            <w:pPr>
              <w:pStyle w:val="TableParagraph"/>
              <w:spacing w:before="9"/>
              <w:ind w:right="45"/>
              <w:rPr>
                <w:sz w:val="14"/>
              </w:rPr>
            </w:pPr>
            <w:r>
              <w:rPr>
                <w:color w:val="231F20"/>
                <w:sz w:val="14"/>
              </w:rPr>
              <w:t>499,2</w:t>
            </w:r>
          </w:p>
        </w:tc>
        <w:tc>
          <w:tcPr>
            <w:tcW w:w="869" w:type="dxa"/>
          </w:tcPr>
          <w:p>
            <w:pPr>
              <w:pStyle w:val="TableParagraph"/>
              <w:spacing w:before="9"/>
              <w:ind w:right="45"/>
              <w:rPr>
                <w:sz w:val="14"/>
              </w:rPr>
            </w:pPr>
            <w:r>
              <w:rPr>
                <w:color w:val="231F20"/>
                <w:sz w:val="14"/>
              </w:rPr>
              <w:t>32,6</w:t>
            </w:r>
          </w:p>
        </w:tc>
        <w:tc>
          <w:tcPr>
            <w:tcW w:w="906" w:type="dxa"/>
          </w:tcPr>
          <w:p>
            <w:pPr>
              <w:pStyle w:val="TableParagraph"/>
              <w:spacing w:before="9"/>
              <w:ind w:right="45"/>
              <w:rPr>
                <w:sz w:val="14"/>
              </w:rPr>
            </w:pPr>
            <w:r>
              <w:rPr>
                <w:color w:val="231F20"/>
                <w:sz w:val="14"/>
              </w:rPr>
              <w:t>14,0</w:t>
            </w:r>
          </w:p>
        </w:tc>
        <w:tc>
          <w:tcPr>
            <w:tcW w:w="912" w:type="dxa"/>
          </w:tcPr>
          <w:p>
            <w:pPr>
              <w:pStyle w:val="TableParagraph"/>
              <w:spacing w:before="9"/>
              <w:ind w:right="45"/>
              <w:rPr>
                <w:sz w:val="14"/>
              </w:rPr>
            </w:pPr>
            <w:r>
              <w:rPr>
                <w:color w:val="231F20"/>
                <w:sz w:val="14"/>
              </w:rPr>
              <w:t>118,1</w:t>
            </w:r>
          </w:p>
        </w:tc>
        <w:tc>
          <w:tcPr>
            <w:tcW w:w="971" w:type="dxa"/>
          </w:tcPr>
          <w:p>
            <w:pPr>
              <w:pStyle w:val="TableParagraph"/>
              <w:spacing w:before="9"/>
              <w:ind w:right="45"/>
              <w:rPr>
                <w:sz w:val="14"/>
              </w:rPr>
            </w:pPr>
            <w:r>
              <w:rPr>
                <w:color w:val="231F20"/>
                <w:sz w:val="14"/>
              </w:rPr>
              <w:t>73,7</w:t>
            </w:r>
          </w:p>
        </w:tc>
        <w:tc>
          <w:tcPr>
            <w:tcW w:w="1064" w:type="dxa"/>
          </w:tcPr>
          <w:p>
            <w:pPr>
              <w:pStyle w:val="TableParagraph"/>
              <w:spacing w:before="9"/>
              <w:ind w:right="45"/>
              <w:rPr>
                <w:sz w:val="14"/>
              </w:rPr>
            </w:pPr>
            <w:r>
              <w:rPr>
                <w:color w:val="231F20"/>
                <w:sz w:val="14"/>
              </w:rPr>
              <w:t>737,6</w:t>
            </w:r>
          </w:p>
        </w:tc>
        <w:tc>
          <w:tcPr>
            <w:tcW w:w="1072" w:type="dxa"/>
          </w:tcPr>
          <w:p>
            <w:pPr>
              <w:pStyle w:val="TableParagraph"/>
              <w:spacing w:before="9"/>
              <w:ind w:right="45"/>
              <w:rPr>
                <w:sz w:val="14"/>
              </w:rPr>
            </w:pPr>
            <w:r>
              <w:rPr>
                <w:color w:val="231F20"/>
                <w:sz w:val="14"/>
              </w:rPr>
              <w:t>67,7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2"/>
              <w:jc w:val="center"/>
              <w:rPr>
                <w:sz w:val="14"/>
              </w:rPr>
            </w:pPr>
            <w:r>
              <w:rPr>
                <w:color w:val="231F20"/>
                <w:sz w:val="14"/>
              </w:rPr>
              <w:t>2015</w:t>
            </w:r>
          </w:p>
        </w:tc>
        <w:tc>
          <w:tcPr>
            <w:tcW w:w="1403" w:type="dxa"/>
          </w:tcPr>
          <w:p>
            <w:pPr>
              <w:pStyle w:val="TableParagraph"/>
              <w:spacing w:before="9"/>
              <w:ind w:right="45"/>
              <w:rPr>
                <w:sz w:val="14"/>
              </w:rPr>
            </w:pPr>
            <w:r>
              <w:rPr>
                <w:color w:val="231F20"/>
                <w:sz w:val="14"/>
              </w:rPr>
              <w:t>499,2</w:t>
            </w:r>
          </w:p>
        </w:tc>
        <w:tc>
          <w:tcPr>
            <w:tcW w:w="869" w:type="dxa"/>
          </w:tcPr>
          <w:p>
            <w:pPr>
              <w:pStyle w:val="TableParagraph"/>
              <w:spacing w:before="9"/>
              <w:ind w:right="46"/>
              <w:rPr>
                <w:sz w:val="14"/>
              </w:rPr>
            </w:pPr>
            <w:r>
              <w:rPr>
                <w:color w:val="231F20"/>
                <w:sz w:val="14"/>
              </w:rPr>
              <w:t>32,6</w:t>
            </w:r>
          </w:p>
        </w:tc>
        <w:tc>
          <w:tcPr>
            <w:tcW w:w="906" w:type="dxa"/>
          </w:tcPr>
          <w:p>
            <w:pPr>
              <w:pStyle w:val="TableParagraph"/>
              <w:spacing w:before="9"/>
              <w:ind w:right="46"/>
              <w:rPr>
                <w:sz w:val="14"/>
              </w:rPr>
            </w:pPr>
            <w:r>
              <w:rPr>
                <w:color w:val="231F20"/>
                <w:sz w:val="14"/>
              </w:rPr>
              <w:t>88,4</w:t>
            </w:r>
          </w:p>
        </w:tc>
        <w:tc>
          <w:tcPr>
            <w:tcW w:w="912" w:type="dxa"/>
          </w:tcPr>
          <w:p>
            <w:pPr>
              <w:pStyle w:val="TableParagraph"/>
              <w:spacing w:before="9"/>
              <w:ind w:right="46"/>
              <w:rPr>
                <w:sz w:val="14"/>
              </w:rPr>
            </w:pPr>
            <w:r>
              <w:rPr>
                <w:color w:val="231F20"/>
                <w:sz w:val="14"/>
              </w:rPr>
              <w:t>43,8</w:t>
            </w:r>
          </w:p>
        </w:tc>
        <w:tc>
          <w:tcPr>
            <w:tcW w:w="971" w:type="dxa"/>
          </w:tcPr>
          <w:p>
            <w:pPr>
              <w:pStyle w:val="TableParagraph"/>
              <w:spacing w:before="9"/>
              <w:ind w:right="46"/>
              <w:rPr>
                <w:sz w:val="14"/>
              </w:rPr>
            </w:pPr>
            <w:r>
              <w:rPr>
                <w:color w:val="231F20"/>
                <w:sz w:val="14"/>
              </w:rPr>
              <w:t>73,6</w:t>
            </w:r>
          </w:p>
        </w:tc>
        <w:tc>
          <w:tcPr>
            <w:tcW w:w="1064" w:type="dxa"/>
          </w:tcPr>
          <w:p>
            <w:pPr>
              <w:pStyle w:val="TableParagraph"/>
              <w:spacing w:before="9"/>
              <w:ind w:right="46"/>
              <w:rPr>
                <w:sz w:val="14"/>
              </w:rPr>
            </w:pPr>
            <w:r>
              <w:rPr>
                <w:color w:val="231F20"/>
                <w:sz w:val="14"/>
              </w:rPr>
              <w:t>737,6</w:t>
            </w:r>
          </w:p>
        </w:tc>
        <w:tc>
          <w:tcPr>
            <w:tcW w:w="1072" w:type="dxa"/>
          </w:tcPr>
          <w:p>
            <w:pPr>
              <w:pStyle w:val="TableParagraph"/>
              <w:spacing w:before="9"/>
              <w:ind w:right="46"/>
              <w:rPr>
                <w:sz w:val="14"/>
              </w:rPr>
            </w:pPr>
            <w:r>
              <w:rPr>
                <w:color w:val="231F20"/>
                <w:sz w:val="14"/>
              </w:rPr>
              <w:t>67,7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2"/>
              <w:jc w:val="center"/>
              <w:rPr>
                <w:sz w:val="14"/>
              </w:rPr>
            </w:pPr>
            <w:r>
              <w:rPr>
                <w:color w:val="231F20"/>
                <w:sz w:val="14"/>
              </w:rPr>
              <w:t>2022</w:t>
            </w:r>
          </w:p>
        </w:tc>
        <w:tc>
          <w:tcPr>
            <w:tcW w:w="1403" w:type="dxa"/>
          </w:tcPr>
          <w:p>
            <w:pPr>
              <w:pStyle w:val="TableParagraph"/>
              <w:spacing w:before="9"/>
              <w:ind w:right="46"/>
              <w:rPr>
                <w:sz w:val="14"/>
              </w:rPr>
            </w:pPr>
            <w:r>
              <w:rPr>
                <w:color w:val="231F20"/>
                <w:sz w:val="14"/>
              </w:rPr>
              <w:t>499,2</w:t>
            </w:r>
          </w:p>
        </w:tc>
        <w:tc>
          <w:tcPr>
            <w:tcW w:w="869" w:type="dxa"/>
          </w:tcPr>
          <w:p>
            <w:pPr>
              <w:pStyle w:val="TableParagraph"/>
              <w:spacing w:before="9"/>
              <w:ind w:right="46"/>
              <w:rPr>
                <w:sz w:val="14"/>
              </w:rPr>
            </w:pPr>
            <w:r>
              <w:rPr>
                <w:color w:val="231F20"/>
                <w:sz w:val="14"/>
              </w:rPr>
              <w:t>32,6</w:t>
            </w:r>
          </w:p>
        </w:tc>
        <w:tc>
          <w:tcPr>
            <w:tcW w:w="906" w:type="dxa"/>
          </w:tcPr>
          <w:p>
            <w:pPr>
              <w:pStyle w:val="TableParagraph"/>
              <w:spacing w:before="9"/>
              <w:ind w:right="46"/>
              <w:rPr>
                <w:sz w:val="14"/>
              </w:rPr>
            </w:pPr>
            <w:r>
              <w:rPr>
                <w:color w:val="231F20"/>
                <w:sz w:val="14"/>
              </w:rPr>
              <w:t>88,4</w:t>
            </w:r>
          </w:p>
        </w:tc>
        <w:tc>
          <w:tcPr>
            <w:tcW w:w="912" w:type="dxa"/>
          </w:tcPr>
          <w:p>
            <w:pPr>
              <w:pStyle w:val="TableParagraph"/>
              <w:spacing w:before="9"/>
              <w:ind w:right="46"/>
              <w:rPr>
                <w:sz w:val="14"/>
              </w:rPr>
            </w:pPr>
            <w:r>
              <w:rPr>
                <w:color w:val="231F20"/>
                <w:sz w:val="14"/>
              </w:rPr>
              <w:t>43,8</w:t>
            </w:r>
          </w:p>
        </w:tc>
        <w:tc>
          <w:tcPr>
            <w:tcW w:w="971" w:type="dxa"/>
          </w:tcPr>
          <w:p>
            <w:pPr>
              <w:pStyle w:val="TableParagraph"/>
              <w:spacing w:before="9"/>
              <w:ind w:right="46"/>
              <w:rPr>
                <w:sz w:val="14"/>
              </w:rPr>
            </w:pPr>
            <w:r>
              <w:rPr>
                <w:color w:val="231F20"/>
                <w:sz w:val="14"/>
              </w:rPr>
              <w:t>73,6</w:t>
            </w:r>
          </w:p>
        </w:tc>
        <w:tc>
          <w:tcPr>
            <w:tcW w:w="1064" w:type="dxa"/>
          </w:tcPr>
          <w:p>
            <w:pPr>
              <w:pStyle w:val="TableParagraph"/>
              <w:spacing w:before="9"/>
              <w:ind w:right="46"/>
              <w:rPr>
                <w:sz w:val="14"/>
              </w:rPr>
            </w:pPr>
            <w:r>
              <w:rPr>
                <w:color w:val="231F20"/>
                <w:sz w:val="14"/>
              </w:rPr>
              <w:t>737,6</w:t>
            </w:r>
          </w:p>
        </w:tc>
        <w:tc>
          <w:tcPr>
            <w:tcW w:w="1072" w:type="dxa"/>
          </w:tcPr>
          <w:p>
            <w:pPr>
              <w:pStyle w:val="TableParagraph"/>
              <w:spacing w:before="9"/>
              <w:ind w:right="46"/>
              <w:rPr>
                <w:sz w:val="14"/>
              </w:rPr>
            </w:pPr>
            <w:r>
              <w:rPr>
                <w:color w:val="231F20"/>
                <w:sz w:val="14"/>
              </w:rPr>
              <w:t>67,7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3"/>
              <w:jc w:val="center"/>
              <w:rPr>
                <w:sz w:val="14"/>
              </w:rPr>
            </w:pPr>
            <w:r>
              <w:rPr>
                <w:color w:val="231F20"/>
                <w:sz w:val="14"/>
              </w:rPr>
              <w:t>2010-2022</w:t>
            </w:r>
          </w:p>
        </w:tc>
        <w:tc>
          <w:tcPr>
            <w:tcW w:w="1403" w:type="dxa"/>
          </w:tcPr>
          <w:p>
            <w:pPr>
              <w:pStyle w:val="TableParagraph"/>
              <w:spacing w:before="9"/>
              <w:ind w:right="46"/>
              <w:rPr>
                <w:sz w:val="14"/>
              </w:rPr>
            </w:pPr>
            <w:r>
              <w:rPr>
                <w:color w:val="231F20"/>
                <w:sz w:val="14"/>
              </w:rPr>
              <w:t>0,0</w:t>
            </w:r>
          </w:p>
        </w:tc>
        <w:tc>
          <w:tcPr>
            <w:tcW w:w="869" w:type="dxa"/>
          </w:tcPr>
          <w:p>
            <w:pPr>
              <w:pStyle w:val="TableParagraph"/>
              <w:spacing w:before="9"/>
              <w:ind w:right="46"/>
              <w:rPr>
                <w:sz w:val="14"/>
              </w:rPr>
            </w:pPr>
            <w:r>
              <w:rPr>
                <w:color w:val="231F20"/>
                <w:sz w:val="14"/>
              </w:rPr>
              <w:t>0,0</w:t>
            </w:r>
          </w:p>
        </w:tc>
        <w:tc>
          <w:tcPr>
            <w:tcW w:w="906" w:type="dxa"/>
          </w:tcPr>
          <w:p>
            <w:pPr>
              <w:pStyle w:val="TableParagraph"/>
              <w:spacing w:before="9"/>
              <w:ind w:right="46"/>
              <w:rPr>
                <w:sz w:val="14"/>
              </w:rPr>
            </w:pPr>
            <w:r>
              <w:rPr>
                <w:color w:val="231F20"/>
                <w:sz w:val="14"/>
              </w:rPr>
              <w:t>74,4</w:t>
            </w:r>
          </w:p>
        </w:tc>
        <w:tc>
          <w:tcPr>
            <w:tcW w:w="912" w:type="dxa"/>
          </w:tcPr>
          <w:p>
            <w:pPr>
              <w:pStyle w:val="TableParagraph"/>
              <w:spacing w:before="9"/>
              <w:ind w:right="46"/>
              <w:rPr>
                <w:sz w:val="14"/>
              </w:rPr>
            </w:pPr>
            <w:r>
              <w:rPr>
                <w:color w:val="231F20"/>
                <w:sz w:val="14"/>
              </w:rPr>
              <w:t>-74,3</w:t>
            </w:r>
          </w:p>
        </w:tc>
        <w:tc>
          <w:tcPr>
            <w:tcW w:w="971" w:type="dxa"/>
          </w:tcPr>
          <w:p>
            <w:pPr>
              <w:pStyle w:val="TableParagraph"/>
              <w:spacing w:before="9"/>
              <w:ind w:right="46"/>
              <w:rPr>
                <w:sz w:val="14"/>
              </w:rPr>
            </w:pPr>
            <w:r>
              <w:rPr>
                <w:color w:val="231F20"/>
                <w:sz w:val="14"/>
              </w:rPr>
              <w:t>0,0</w:t>
            </w:r>
          </w:p>
        </w:tc>
        <w:tc>
          <w:tcPr>
            <w:tcW w:w="1064" w:type="dxa"/>
          </w:tcPr>
          <w:p>
            <w:pPr>
              <w:pStyle w:val="TableParagraph"/>
              <w:spacing w:before="9"/>
              <w:ind w:right="46"/>
              <w:rPr>
                <w:sz w:val="14"/>
              </w:rPr>
            </w:pPr>
            <w:r>
              <w:rPr>
                <w:color w:val="231F20"/>
                <w:sz w:val="14"/>
              </w:rPr>
              <w:t>0,0</w:t>
            </w:r>
          </w:p>
        </w:tc>
        <w:tc>
          <w:tcPr>
            <w:tcW w:w="1072" w:type="dxa"/>
          </w:tcPr>
          <w:p>
            <w:pPr>
              <w:pStyle w:val="TableParagraph"/>
              <w:spacing w:before="9"/>
              <w:ind w:right="46"/>
              <w:rPr>
                <w:sz w:val="14"/>
              </w:rPr>
            </w:pPr>
            <w:r>
              <w:rPr>
                <w:color w:val="231F20"/>
                <w:sz w:val="14"/>
              </w:rPr>
              <w:t>-</w:t>
            </w:r>
          </w:p>
        </w:tc>
      </w:tr>
      <w:tr>
        <w:trPr>
          <w:trHeight w:val="200" w:hRule="atLeast"/>
        </w:trPr>
        <w:tc>
          <w:tcPr>
            <w:tcW w:w="2233" w:type="dxa"/>
            <w:vMerge w:val="restart"/>
          </w:tcPr>
          <w:p>
            <w:pPr>
              <w:pStyle w:val="TableParagraph"/>
              <w:spacing w:before="9"/>
              <w:ind w:left="90"/>
              <w:jc w:val="left"/>
              <w:rPr>
                <w:sz w:val="14"/>
              </w:rPr>
            </w:pPr>
            <w:r>
              <w:rPr>
                <w:color w:val="231F20"/>
                <w:sz w:val="14"/>
              </w:rPr>
              <w:t>Ћириковац</w:t>
            </w:r>
          </w:p>
        </w:tc>
        <w:tc>
          <w:tcPr>
            <w:tcW w:w="1034" w:type="dxa"/>
          </w:tcPr>
          <w:p>
            <w:pPr>
              <w:pStyle w:val="TableParagraph"/>
              <w:spacing w:before="9"/>
              <w:ind w:left="189" w:right="183"/>
              <w:jc w:val="center"/>
              <w:rPr>
                <w:sz w:val="14"/>
              </w:rPr>
            </w:pPr>
            <w:r>
              <w:rPr>
                <w:color w:val="231F20"/>
                <w:sz w:val="14"/>
              </w:rPr>
              <w:t>2010*</w:t>
            </w:r>
          </w:p>
        </w:tc>
        <w:tc>
          <w:tcPr>
            <w:tcW w:w="1403" w:type="dxa"/>
          </w:tcPr>
          <w:p>
            <w:pPr>
              <w:pStyle w:val="TableParagraph"/>
              <w:spacing w:before="9"/>
              <w:ind w:right="46"/>
              <w:rPr>
                <w:sz w:val="14"/>
              </w:rPr>
            </w:pPr>
            <w:r>
              <w:rPr>
                <w:color w:val="231F20"/>
                <w:sz w:val="14"/>
              </w:rPr>
              <w:t>1307,5</w:t>
            </w:r>
          </w:p>
        </w:tc>
        <w:tc>
          <w:tcPr>
            <w:tcW w:w="869" w:type="dxa"/>
          </w:tcPr>
          <w:p>
            <w:pPr>
              <w:pStyle w:val="TableParagraph"/>
              <w:spacing w:before="9"/>
              <w:ind w:right="46"/>
              <w:rPr>
                <w:sz w:val="14"/>
              </w:rPr>
            </w:pPr>
            <w:r>
              <w:rPr>
                <w:color w:val="231F20"/>
                <w:sz w:val="14"/>
              </w:rPr>
              <w:t>11,4</w:t>
            </w:r>
          </w:p>
        </w:tc>
        <w:tc>
          <w:tcPr>
            <w:tcW w:w="906" w:type="dxa"/>
          </w:tcPr>
          <w:p>
            <w:pPr>
              <w:pStyle w:val="TableParagraph"/>
              <w:spacing w:before="9"/>
              <w:ind w:right="46"/>
              <w:rPr>
                <w:sz w:val="14"/>
              </w:rPr>
            </w:pPr>
            <w:r>
              <w:rPr>
                <w:color w:val="231F20"/>
                <w:sz w:val="14"/>
              </w:rPr>
              <w:t>212,1</w:t>
            </w:r>
          </w:p>
        </w:tc>
        <w:tc>
          <w:tcPr>
            <w:tcW w:w="912" w:type="dxa"/>
          </w:tcPr>
          <w:p>
            <w:pPr>
              <w:pStyle w:val="TableParagraph"/>
              <w:spacing w:before="9"/>
              <w:ind w:right="46"/>
              <w:rPr>
                <w:sz w:val="14"/>
              </w:rPr>
            </w:pPr>
            <w:r>
              <w:rPr>
                <w:color w:val="231F20"/>
                <w:sz w:val="14"/>
              </w:rPr>
              <w:t>152,3</w:t>
            </w:r>
          </w:p>
        </w:tc>
        <w:tc>
          <w:tcPr>
            <w:tcW w:w="971" w:type="dxa"/>
          </w:tcPr>
          <w:p>
            <w:pPr>
              <w:pStyle w:val="TableParagraph"/>
              <w:spacing w:before="9"/>
              <w:ind w:right="46"/>
              <w:rPr>
                <w:sz w:val="14"/>
              </w:rPr>
            </w:pPr>
            <w:r>
              <w:rPr>
                <w:color w:val="231F20"/>
                <w:sz w:val="14"/>
              </w:rPr>
              <w:t>172,9</w:t>
            </w:r>
          </w:p>
        </w:tc>
        <w:tc>
          <w:tcPr>
            <w:tcW w:w="1064" w:type="dxa"/>
          </w:tcPr>
          <w:p>
            <w:pPr>
              <w:pStyle w:val="TableParagraph"/>
              <w:spacing w:before="9"/>
              <w:ind w:right="46"/>
              <w:rPr>
                <w:sz w:val="14"/>
              </w:rPr>
            </w:pPr>
            <w:r>
              <w:rPr>
                <w:color w:val="231F20"/>
                <w:sz w:val="14"/>
              </w:rPr>
              <w:t>1856,2</w:t>
            </w:r>
          </w:p>
        </w:tc>
        <w:tc>
          <w:tcPr>
            <w:tcW w:w="1072" w:type="dxa"/>
          </w:tcPr>
          <w:p>
            <w:pPr>
              <w:pStyle w:val="TableParagraph"/>
              <w:spacing w:before="9"/>
              <w:ind w:right="46"/>
              <w:rPr>
                <w:sz w:val="14"/>
              </w:rPr>
            </w:pPr>
            <w:r>
              <w:rPr>
                <w:color w:val="231F20"/>
                <w:sz w:val="14"/>
              </w:rPr>
              <w:t>70,4</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3"/>
              <w:jc w:val="center"/>
              <w:rPr>
                <w:sz w:val="14"/>
              </w:rPr>
            </w:pPr>
            <w:r>
              <w:rPr>
                <w:color w:val="231F20"/>
                <w:sz w:val="14"/>
              </w:rPr>
              <w:t>2015</w:t>
            </w:r>
          </w:p>
        </w:tc>
        <w:tc>
          <w:tcPr>
            <w:tcW w:w="1403" w:type="dxa"/>
          </w:tcPr>
          <w:p>
            <w:pPr>
              <w:pStyle w:val="TableParagraph"/>
              <w:spacing w:before="9"/>
              <w:ind w:right="46"/>
              <w:rPr>
                <w:sz w:val="14"/>
              </w:rPr>
            </w:pPr>
            <w:r>
              <w:rPr>
                <w:color w:val="231F20"/>
                <w:sz w:val="14"/>
              </w:rPr>
              <w:t>1307,5</w:t>
            </w:r>
          </w:p>
        </w:tc>
        <w:tc>
          <w:tcPr>
            <w:tcW w:w="869" w:type="dxa"/>
          </w:tcPr>
          <w:p>
            <w:pPr>
              <w:pStyle w:val="TableParagraph"/>
              <w:spacing w:before="9"/>
              <w:ind w:right="46"/>
              <w:rPr>
                <w:sz w:val="14"/>
              </w:rPr>
            </w:pPr>
            <w:r>
              <w:rPr>
                <w:color w:val="231F20"/>
                <w:sz w:val="14"/>
              </w:rPr>
              <w:t>11,4</w:t>
            </w:r>
          </w:p>
        </w:tc>
        <w:tc>
          <w:tcPr>
            <w:tcW w:w="906" w:type="dxa"/>
          </w:tcPr>
          <w:p>
            <w:pPr>
              <w:pStyle w:val="TableParagraph"/>
              <w:spacing w:before="9"/>
              <w:ind w:right="46"/>
              <w:rPr>
                <w:sz w:val="14"/>
              </w:rPr>
            </w:pPr>
            <w:r>
              <w:rPr>
                <w:color w:val="231F20"/>
                <w:sz w:val="14"/>
              </w:rPr>
              <w:t>350,0</w:t>
            </w:r>
          </w:p>
        </w:tc>
        <w:tc>
          <w:tcPr>
            <w:tcW w:w="912" w:type="dxa"/>
          </w:tcPr>
          <w:p>
            <w:pPr>
              <w:pStyle w:val="TableParagraph"/>
              <w:spacing w:before="9"/>
              <w:ind w:right="46"/>
              <w:rPr>
                <w:sz w:val="14"/>
              </w:rPr>
            </w:pPr>
            <w:r>
              <w:rPr>
                <w:color w:val="231F20"/>
                <w:sz w:val="14"/>
              </w:rPr>
              <w:t>14,4</w:t>
            </w:r>
          </w:p>
        </w:tc>
        <w:tc>
          <w:tcPr>
            <w:tcW w:w="971" w:type="dxa"/>
          </w:tcPr>
          <w:p>
            <w:pPr>
              <w:pStyle w:val="TableParagraph"/>
              <w:spacing w:before="9"/>
              <w:ind w:right="46"/>
              <w:rPr>
                <w:sz w:val="14"/>
              </w:rPr>
            </w:pPr>
            <w:r>
              <w:rPr>
                <w:color w:val="231F20"/>
                <w:sz w:val="14"/>
              </w:rPr>
              <w:t>172,9</w:t>
            </w:r>
          </w:p>
        </w:tc>
        <w:tc>
          <w:tcPr>
            <w:tcW w:w="1064" w:type="dxa"/>
          </w:tcPr>
          <w:p>
            <w:pPr>
              <w:pStyle w:val="TableParagraph"/>
              <w:spacing w:before="9"/>
              <w:ind w:right="46"/>
              <w:rPr>
                <w:sz w:val="14"/>
              </w:rPr>
            </w:pPr>
            <w:r>
              <w:rPr>
                <w:color w:val="231F20"/>
                <w:sz w:val="14"/>
              </w:rPr>
              <w:t>1856,2</w:t>
            </w:r>
          </w:p>
        </w:tc>
        <w:tc>
          <w:tcPr>
            <w:tcW w:w="1072" w:type="dxa"/>
          </w:tcPr>
          <w:p>
            <w:pPr>
              <w:pStyle w:val="TableParagraph"/>
              <w:spacing w:before="9"/>
              <w:ind w:right="46"/>
              <w:rPr>
                <w:sz w:val="14"/>
              </w:rPr>
            </w:pPr>
            <w:r>
              <w:rPr>
                <w:color w:val="231F20"/>
                <w:sz w:val="14"/>
              </w:rPr>
              <w:t>70,4</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9"/>
              <w:ind w:left="189" w:right="183"/>
              <w:jc w:val="center"/>
              <w:rPr>
                <w:sz w:val="14"/>
              </w:rPr>
            </w:pPr>
            <w:r>
              <w:rPr>
                <w:color w:val="231F20"/>
                <w:sz w:val="14"/>
              </w:rPr>
              <w:t>2022</w:t>
            </w:r>
          </w:p>
        </w:tc>
        <w:tc>
          <w:tcPr>
            <w:tcW w:w="1403" w:type="dxa"/>
          </w:tcPr>
          <w:p>
            <w:pPr>
              <w:pStyle w:val="TableParagraph"/>
              <w:spacing w:before="9"/>
              <w:ind w:right="46"/>
              <w:rPr>
                <w:sz w:val="14"/>
              </w:rPr>
            </w:pPr>
            <w:r>
              <w:rPr>
                <w:color w:val="231F20"/>
                <w:sz w:val="14"/>
              </w:rPr>
              <w:t>1307,5</w:t>
            </w:r>
          </w:p>
        </w:tc>
        <w:tc>
          <w:tcPr>
            <w:tcW w:w="869" w:type="dxa"/>
          </w:tcPr>
          <w:p>
            <w:pPr>
              <w:pStyle w:val="TableParagraph"/>
              <w:spacing w:before="9"/>
              <w:ind w:right="46"/>
              <w:rPr>
                <w:sz w:val="14"/>
              </w:rPr>
            </w:pPr>
            <w:r>
              <w:rPr>
                <w:color w:val="231F20"/>
                <w:sz w:val="14"/>
              </w:rPr>
              <w:t>11,4</w:t>
            </w:r>
          </w:p>
        </w:tc>
        <w:tc>
          <w:tcPr>
            <w:tcW w:w="906" w:type="dxa"/>
          </w:tcPr>
          <w:p>
            <w:pPr>
              <w:pStyle w:val="TableParagraph"/>
              <w:spacing w:before="9"/>
              <w:ind w:right="46"/>
              <w:rPr>
                <w:sz w:val="14"/>
              </w:rPr>
            </w:pPr>
            <w:r>
              <w:rPr>
                <w:color w:val="231F20"/>
                <w:sz w:val="14"/>
              </w:rPr>
              <w:t>350,0</w:t>
            </w:r>
          </w:p>
        </w:tc>
        <w:tc>
          <w:tcPr>
            <w:tcW w:w="912" w:type="dxa"/>
          </w:tcPr>
          <w:p>
            <w:pPr>
              <w:pStyle w:val="TableParagraph"/>
              <w:spacing w:before="9"/>
              <w:ind w:right="46"/>
              <w:rPr>
                <w:sz w:val="14"/>
              </w:rPr>
            </w:pPr>
            <w:r>
              <w:rPr>
                <w:color w:val="231F20"/>
                <w:sz w:val="14"/>
              </w:rPr>
              <w:t>14,4</w:t>
            </w:r>
          </w:p>
        </w:tc>
        <w:tc>
          <w:tcPr>
            <w:tcW w:w="971" w:type="dxa"/>
          </w:tcPr>
          <w:p>
            <w:pPr>
              <w:pStyle w:val="TableParagraph"/>
              <w:spacing w:before="9"/>
              <w:ind w:right="46"/>
              <w:rPr>
                <w:sz w:val="14"/>
              </w:rPr>
            </w:pPr>
            <w:r>
              <w:rPr>
                <w:color w:val="231F20"/>
                <w:sz w:val="14"/>
              </w:rPr>
              <w:t>172,9</w:t>
            </w:r>
          </w:p>
        </w:tc>
        <w:tc>
          <w:tcPr>
            <w:tcW w:w="1064" w:type="dxa"/>
          </w:tcPr>
          <w:p>
            <w:pPr>
              <w:pStyle w:val="TableParagraph"/>
              <w:spacing w:before="9"/>
              <w:ind w:right="46"/>
              <w:rPr>
                <w:sz w:val="14"/>
              </w:rPr>
            </w:pPr>
            <w:r>
              <w:rPr>
                <w:color w:val="231F20"/>
                <w:sz w:val="14"/>
              </w:rPr>
              <w:t>1856,2</w:t>
            </w:r>
          </w:p>
        </w:tc>
        <w:tc>
          <w:tcPr>
            <w:tcW w:w="1072" w:type="dxa"/>
          </w:tcPr>
          <w:p>
            <w:pPr>
              <w:pStyle w:val="TableParagraph"/>
              <w:spacing w:before="9"/>
              <w:ind w:right="46"/>
              <w:rPr>
                <w:sz w:val="14"/>
              </w:rPr>
            </w:pPr>
            <w:r>
              <w:rPr>
                <w:color w:val="231F20"/>
                <w:sz w:val="14"/>
              </w:rPr>
              <w:t>70,4</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9" w:right="184"/>
              <w:jc w:val="center"/>
              <w:rPr>
                <w:sz w:val="14"/>
              </w:rPr>
            </w:pPr>
            <w:r>
              <w:rPr>
                <w:color w:val="231F20"/>
                <w:sz w:val="14"/>
              </w:rPr>
              <w:t>2010-2022</w:t>
            </w:r>
          </w:p>
        </w:tc>
        <w:tc>
          <w:tcPr>
            <w:tcW w:w="1403" w:type="dxa"/>
          </w:tcPr>
          <w:p>
            <w:pPr>
              <w:pStyle w:val="TableParagraph"/>
              <w:spacing w:before="8"/>
              <w:ind w:right="46"/>
              <w:rPr>
                <w:sz w:val="14"/>
              </w:rPr>
            </w:pPr>
            <w:r>
              <w:rPr>
                <w:color w:val="231F20"/>
                <w:sz w:val="14"/>
              </w:rPr>
              <w:t>0,0</w:t>
            </w:r>
          </w:p>
        </w:tc>
        <w:tc>
          <w:tcPr>
            <w:tcW w:w="869" w:type="dxa"/>
          </w:tcPr>
          <w:p>
            <w:pPr>
              <w:pStyle w:val="TableParagraph"/>
              <w:spacing w:before="8"/>
              <w:ind w:right="46"/>
              <w:rPr>
                <w:sz w:val="14"/>
              </w:rPr>
            </w:pPr>
            <w:r>
              <w:rPr>
                <w:color w:val="231F20"/>
                <w:sz w:val="14"/>
              </w:rPr>
              <w:t>0,0</w:t>
            </w:r>
          </w:p>
        </w:tc>
        <w:tc>
          <w:tcPr>
            <w:tcW w:w="906" w:type="dxa"/>
          </w:tcPr>
          <w:p>
            <w:pPr>
              <w:pStyle w:val="TableParagraph"/>
              <w:spacing w:before="8"/>
              <w:ind w:right="46"/>
              <w:rPr>
                <w:sz w:val="14"/>
              </w:rPr>
            </w:pPr>
            <w:r>
              <w:rPr>
                <w:color w:val="231F20"/>
                <w:sz w:val="14"/>
              </w:rPr>
              <w:t>137,9</w:t>
            </w:r>
          </w:p>
        </w:tc>
        <w:tc>
          <w:tcPr>
            <w:tcW w:w="912" w:type="dxa"/>
          </w:tcPr>
          <w:p>
            <w:pPr>
              <w:pStyle w:val="TableParagraph"/>
              <w:spacing w:before="8"/>
              <w:ind w:right="46"/>
              <w:rPr>
                <w:sz w:val="14"/>
              </w:rPr>
            </w:pPr>
            <w:r>
              <w:rPr>
                <w:color w:val="231F20"/>
                <w:sz w:val="14"/>
              </w:rPr>
              <w:t>-137,9</w:t>
            </w:r>
          </w:p>
        </w:tc>
        <w:tc>
          <w:tcPr>
            <w:tcW w:w="971" w:type="dxa"/>
          </w:tcPr>
          <w:p>
            <w:pPr>
              <w:pStyle w:val="TableParagraph"/>
              <w:spacing w:before="8"/>
              <w:ind w:right="46"/>
              <w:rPr>
                <w:sz w:val="14"/>
              </w:rPr>
            </w:pPr>
            <w:r>
              <w:rPr>
                <w:color w:val="231F20"/>
                <w:sz w:val="14"/>
              </w:rPr>
              <w:t>0,0</w:t>
            </w:r>
          </w:p>
        </w:tc>
        <w:tc>
          <w:tcPr>
            <w:tcW w:w="1064" w:type="dxa"/>
          </w:tcPr>
          <w:p>
            <w:pPr>
              <w:pStyle w:val="TableParagraph"/>
              <w:spacing w:before="8"/>
              <w:ind w:right="46"/>
              <w:rPr>
                <w:sz w:val="14"/>
              </w:rPr>
            </w:pPr>
            <w:r>
              <w:rPr>
                <w:color w:val="231F20"/>
                <w:sz w:val="14"/>
              </w:rPr>
              <w:t>0,0</w:t>
            </w:r>
          </w:p>
        </w:tc>
        <w:tc>
          <w:tcPr>
            <w:tcW w:w="1072" w:type="dxa"/>
          </w:tcPr>
          <w:p>
            <w:pPr>
              <w:pStyle w:val="TableParagraph"/>
              <w:spacing w:before="0"/>
              <w:jc w:val="left"/>
              <w:rPr>
                <w:sz w:val="12"/>
              </w:rPr>
            </w:pPr>
          </w:p>
        </w:tc>
      </w:tr>
      <w:tr>
        <w:trPr>
          <w:trHeight w:val="200" w:hRule="atLeast"/>
        </w:trPr>
        <w:tc>
          <w:tcPr>
            <w:tcW w:w="2233" w:type="dxa"/>
            <w:vMerge w:val="restart"/>
          </w:tcPr>
          <w:p>
            <w:pPr>
              <w:pStyle w:val="TableParagraph"/>
              <w:spacing w:before="8"/>
              <w:ind w:left="54"/>
              <w:jc w:val="left"/>
              <w:rPr>
                <w:sz w:val="14"/>
              </w:rPr>
            </w:pPr>
            <w:r>
              <w:rPr>
                <w:color w:val="231F20"/>
                <w:sz w:val="14"/>
              </w:rPr>
              <w:t>Изван директног утицаја ТЕ-КО</w:t>
            </w:r>
          </w:p>
        </w:tc>
        <w:tc>
          <w:tcPr>
            <w:tcW w:w="1034" w:type="dxa"/>
          </w:tcPr>
          <w:p>
            <w:pPr>
              <w:pStyle w:val="TableParagraph"/>
              <w:spacing w:before="8"/>
              <w:ind w:left="189" w:right="184"/>
              <w:jc w:val="center"/>
              <w:rPr>
                <w:sz w:val="14"/>
              </w:rPr>
            </w:pPr>
            <w:r>
              <w:rPr>
                <w:color w:val="231F20"/>
                <w:sz w:val="14"/>
              </w:rPr>
              <w:t>2010*</w:t>
            </w:r>
          </w:p>
        </w:tc>
        <w:tc>
          <w:tcPr>
            <w:tcW w:w="1403" w:type="dxa"/>
          </w:tcPr>
          <w:p>
            <w:pPr>
              <w:pStyle w:val="TableParagraph"/>
              <w:spacing w:before="8"/>
              <w:ind w:right="46"/>
              <w:rPr>
                <w:sz w:val="14"/>
              </w:rPr>
            </w:pPr>
            <w:r>
              <w:rPr>
                <w:color w:val="231F20"/>
                <w:sz w:val="14"/>
              </w:rPr>
              <w:t>30950,0</w:t>
            </w:r>
          </w:p>
        </w:tc>
        <w:tc>
          <w:tcPr>
            <w:tcW w:w="869" w:type="dxa"/>
          </w:tcPr>
          <w:p>
            <w:pPr>
              <w:pStyle w:val="TableParagraph"/>
              <w:spacing w:before="8"/>
              <w:ind w:right="46"/>
              <w:rPr>
                <w:sz w:val="14"/>
              </w:rPr>
            </w:pPr>
            <w:r>
              <w:rPr>
                <w:color w:val="231F20"/>
                <w:sz w:val="14"/>
              </w:rPr>
              <w:t>3351,9</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4876,8</w:t>
            </w:r>
          </w:p>
        </w:tc>
        <w:tc>
          <w:tcPr>
            <w:tcW w:w="1064" w:type="dxa"/>
          </w:tcPr>
          <w:p>
            <w:pPr>
              <w:pStyle w:val="TableParagraph"/>
              <w:spacing w:before="8"/>
              <w:ind w:right="47"/>
              <w:rPr>
                <w:sz w:val="14"/>
              </w:rPr>
            </w:pPr>
            <w:r>
              <w:rPr>
                <w:color w:val="231F20"/>
                <w:sz w:val="14"/>
              </w:rPr>
              <w:t>39178,8</w:t>
            </w:r>
          </w:p>
        </w:tc>
        <w:tc>
          <w:tcPr>
            <w:tcW w:w="1072" w:type="dxa"/>
          </w:tcPr>
          <w:p>
            <w:pPr>
              <w:pStyle w:val="TableParagraph"/>
              <w:spacing w:before="8"/>
              <w:ind w:right="47"/>
              <w:rPr>
                <w:sz w:val="14"/>
              </w:rPr>
            </w:pPr>
            <w:r>
              <w:rPr>
                <w:color w:val="231F20"/>
                <w:sz w:val="14"/>
              </w:rPr>
              <w:t>79,0</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9" w:right="184"/>
              <w:jc w:val="center"/>
              <w:rPr>
                <w:sz w:val="14"/>
              </w:rPr>
            </w:pPr>
            <w:r>
              <w:rPr>
                <w:color w:val="231F20"/>
                <w:sz w:val="14"/>
              </w:rPr>
              <w:t>2015</w:t>
            </w:r>
          </w:p>
        </w:tc>
        <w:tc>
          <w:tcPr>
            <w:tcW w:w="1403" w:type="dxa"/>
          </w:tcPr>
          <w:p>
            <w:pPr>
              <w:pStyle w:val="TableParagraph"/>
              <w:spacing w:before="8"/>
              <w:ind w:right="47"/>
              <w:rPr>
                <w:sz w:val="14"/>
              </w:rPr>
            </w:pPr>
            <w:r>
              <w:rPr>
                <w:color w:val="231F20"/>
                <w:sz w:val="14"/>
              </w:rPr>
              <w:t>30818,8</w:t>
            </w:r>
          </w:p>
        </w:tc>
        <w:tc>
          <w:tcPr>
            <w:tcW w:w="869" w:type="dxa"/>
          </w:tcPr>
          <w:p>
            <w:pPr>
              <w:pStyle w:val="TableParagraph"/>
              <w:spacing w:before="8"/>
              <w:ind w:right="47"/>
              <w:rPr>
                <w:sz w:val="14"/>
              </w:rPr>
            </w:pPr>
            <w:r>
              <w:rPr>
                <w:color w:val="231F20"/>
                <w:sz w:val="14"/>
              </w:rPr>
              <w:t>3450,0</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4910,0</w:t>
            </w:r>
          </w:p>
        </w:tc>
        <w:tc>
          <w:tcPr>
            <w:tcW w:w="1064" w:type="dxa"/>
          </w:tcPr>
          <w:p>
            <w:pPr>
              <w:pStyle w:val="TableParagraph"/>
              <w:spacing w:before="8"/>
              <w:ind w:right="47"/>
              <w:rPr>
                <w:sz w:val="14"/>
              </w:rPr>
            </w:pPr>
            <w:r>
              <w:rPr>
                <w:color w:val="231F20"/>
                <w:sz w:val="14"/>
              </w:rPr>
              <w:t>39178,8</w:t>
            </w:r>
          </w:p>
        </w:tc>
        <w:tc>
          <w:tcPr>
            <w:tcW w:w="1072" w:type="dxa"/>
          </w:tcPr>
          <w:p>
            <w:pPr>
              <w:pStyle w:val="TableParagraph"/>
              <w:spacing w:before="8"/>
              <w:ind w:right="47"/>
              <w:rPr>
                <w:sz w:val="14"/>
              </w:rPr>
            </w:pPr>
            <w:r>
              <w:rPr>
                <w:color w:val="231F20"/>
                <w:sz w:val="14"/>
              </w:rPr>
              <w:t>78,7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8" w:right="184"/>
              <w:jc w:val="center"/>
              <w:rPr>
                <w:sz w:val="14"/>
              </w:rPr>
            </w:pPr>
            <w:r>
              <w:rPr>
                <w:color w:val="231F20"/>
                <w:sz w:val="14"/>
              </w:rPr>
              <w:t>2022</w:t>
            </w:r>
          </w:p>
        </w:tc>
        <w:tc>
          <w:tcPr>
            <w:tcW w:w="1403" w:type="dxa"/>
          </w:tcPr>
          <w:p>
            <w:pPr>
              <w:pStyle w:val="TableParagraph"/>
              <w:spacing w:before="8"/>
              <w:ind w:right="47"/>
              <w:rPr>
                <w:sz w:val="14"/>
              </w:rPr>
            </w:pPr>
            <w:r>
              <w:rPr>
                <w:color w:val="231F20"/>
                <w:sz w:val="14"/>
              </w:rPr>
              <w:t>30700,0</w:t>
            </w:r>
          </w:p>
        </w:tc>
        <w:tc>
          <w:tcPr>
            <w:tcW w:w="869" w:type="dxa"/>
          </w:tcPr>
          <w:p>
            <w:pPr>
              <w:pStyle w:val="TableParagraph"/>
              <w:spacing w:before="8"/>
              <w:ind w:right="47"/>
              <w:rPr>
                <w:sz w:val="14"/>
              </w:rPr>
            </w:pPr>
            <w:r>
              <w:rPr>
                <w:color w:val="231F20"/>
                <w:sz w:val="14"/>
              </w:rPr>
              <w:t>3568,8</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4910,0</w:t>
            </w:r>
          </w:p>
        </w:tc>
        <w:tc>
          <w:tcPr>
            <w:tcW w:w="1064" w:type="dxa"/>
          </w:tcPr>
          <w:p>
            <w:pPr>
              <w:pStyle w:val="TableParagraph"/>
              <w:spacing w:before="8"/>
              <w:ind w:right="47"/>
              <w:rPr>
                <w:sz w:val="14"/>
              </w:rPr>
            </w:pPr>
            <w:r>
              <w:rPr>
                <w:color w:val="231F20"/>
                <w:sz w:val="14"/>
              </w:rPr>
              <w:t>39178,8</w:t>
            </w:r>
          </w:p>
        </w:tc>
        <w:tc>
          <w:tcPr>
            <w:tcW w:w="1072" w:type="dxa"/>
          </w:tcPr>
          <w:p>
            <w:pPr>
              <w:pStyle w:val="TableParagraph"/>
              <w:spacing w:before="8"/>
              <w:ind w:right="47"/>
              <w:rPr>
                <w:sz w:val="14"/>
              </w:rPr>
            </w:pPr>
            <w:r>
              <w:rPr>
                <w:color w:val="231F20"/>
                <w:sz w:val="14"/>
              </w:rPr>
              <w:t>78,4</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8" w:right="184"/>
              <w:jc w:val="center"/>
              <w:rPr>
                <w:sz w:val="14"/>
              </w:rPr>
            </w:pPr>
            <w:r>
              <w:rPr>
                <w:color w:val="231F20"/>
                <w:sz w:val="14"/>
              </w:rPr>
              <w:t>2010-2015</w:t>
            </w:r>
          </w:p>
        </w:tc>
        <w:tc>
          <w:tcPr>
            <w:tcW w:w="1403" w:type="dxa"/>
          </w:tcPr>
          <w:p>
            <w:pPr>
              <w:pStyle w:val="TableParagraph"/>
              <w:spacing w:before="8"/>
              <w:ind w:right="47"/>
              <w:rPr>
                <w:sz w:val="14"/>
              </w:rPr>
            </w:pPr>
            <w:r>
              <w:rPr>
                <w:color w:val="231F20"/>
                <w:sz w:val="14"/>
              </w:rPr>
              <w:t>-131,3</w:t>
            </w:r>
          </w:p>
        </w:tc>
        <w:tc>
          <w:tcPr>
            <w:tcW w:w="869" w:type="dxa"/>
          </w:tcPr>
          <w:p>
            <w:pPr>
              <w:pStyle w:val="TableParagraph"/>
              <w:spacing w:before="8"/>
              <w:ind w:right="47"/>
              <w:rPr>
                <w:sz w:val="14"/>
              </w:rPr>
            </w:pPr>
            <w:r>
              <w:rPr>
                <w:color w:val="231F20"/>
                <w:sz w:val="14"/>
              </w:rPr>
              <w:t>98,1</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33,2</w:t>
            </w:r>
          </w:p>
        </w:tc>
        <w:tc>
          <w:tcPr>
            <w:tcW w:w="1064" w:type="dxa"/>
          </w:tcPr>
          <w:p>
            <w:pPr>
              <w:pStyle w:val="TableParagraph"/>
              <w:spacing w:before="8"/>
              <w:ind w:right="47"/>
              <w:rPr>
                <w:sz w:val="14"/>
              </w:rPr>
            </w:pPr>
            <w:r>
              <w:rPr>
                <w:color w:val="231F20"/>
                <w:sz w:val="14"/>
              </w:rPr>
              <w:t>0,0</w:t>
            </w:r>
          </w:p>
        </w:tc>
        <w:tc>
          <w:tcPr>
            <w:tcW w:w="1072" w:type="dxa"/>
          </w:tcPr>
          <w:p>
            <w:pPr>
              <w:pStyle w:val="TableParagraph"/>
              <w:spacing w:before="8"/>
              <w:ind w:right="47"/>
              <w:rPr>
                <w:sz w:val="14"/>
              </w:rPr>
            </w:pPr>
            <w:r>
              <w:rPr>
                <w:color w:val="231F20"/>
                <w:sz w:val="14"/>
              </w:rPr>
              <w:t>-</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8" w:right="184"/>
              <w:jc w:val="center"/>
              <w:rPr>
                <w:sz w:val="14"/>
              </w:rPr>
            </w:pPr>
            <w:r>
              <w:rPr>
                <w:color w:val="231F20"/>
                <w:sz w:val="14"/>
              </w:rPr>
              <w:t>2015-2022</w:t>
            </w:r>
          </w:p>
        </w:tc>
        <w:tc>
          <w:tcPr>
            <w:tcW w:w="1403" w:type="dxa"/>
          </w:tcPr>
          <w:p>
            <w:pPr>
              <w:pStyle w:val="TableParagraph"/>
              <w:spacing w:before="8"/>
              <w:ind w:right="47"/>
              <w:rPr>
                <w:sz w:val="14"/>
              </w:rPr>
            </w:pPr>
            <w:r>
              <w:rPr>
                <w:color w:val="231F20"/>
                <w:sz w:val="14"/>
              </w:rPr>
              <w:t>-118,8</w:t>
            </w:r>
          </w:p>
        </w:tc>
        <w:tc>
          <w:tcPr>
            <w:tcW w:w="869" w:type="dxa"/>
          </w:tcPr>
          <w:p>
            <w:pPr>
              <w:pStyle w:val="TableParagraph"/>
              <w:spacing w:before="8"/>
              <w:ind w:right="47"/>
              <w:rPr>
                <w:sz w:val="14"/>
              </w:rPr>
            </w:pPr>
            <w:r>
              <w:rPr>
                <w:color w:val="231F20"/>
                <w:sz w:val="14"/>
              </w:rPr>
              <w:t>118,8</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0,0</w:t>
            </w:r>
          </w:p>
        </w:tc>
        <w:tc>
          <w:tcPr>
            <w:tcW w:w="1064" w:type="dxa"/>
          </w:tcPr>
          <w:p>
            <w:pPr>
              <w:pStyle w:val="TableParagraph"/>
              <w:spacing w:before="8"/>
              <w:ind w:right="47"/>
              <w:rPr>
                <w:sz w:val="14"/>
              </w:rPr>
            </w:pPr>
            <w:r>
              <w:rPr>
                <w:color w:val="231F20"/>
                <w:sz w:val="14"/>
              </w:rPr>
              <w:t>0,0</w:t>
            </w:r>
          </w:p>
        </w:tc>
        <w:tc>
          <w:tcPr>
            <w:tcW w:w="1072" w:type="dxa"/>
          </w:tcPr>
          <w:p>
            <w:pPr>
              <w:pStyle w:val="TableParagraph"/>
              <w:spacing w:before="0"/>
              <w:jc w:val="left"/>
              <w:rPr>
                <w:sz w:val="12"/>
              </w:rPr>
            </w:pP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7" w:right="184"/>
              <w:jc w:val="center"/>
              <w:rPr>
                <w:sz w:val="14"/>
              </w:rPr>
            </w:pPr>
            <w:r>
              <w:rPr>
                <w:color w:val="231F20"/>
                <w:sz w:val="14"/>
              </w:rPr>
              <w:t>2010-2022</w:t>
            </w:r>
          </w:p>
        </w:tc>
        <w:tc>
          <w:tcPr>
            <w:tcW w:w="1403" w:type="dxa"/>
          </w:tcPr>
          <w:p>
            <w:pPr>
              <w:pStyle w:val="TableParagraph"/>
              <w:spacing w:before="8"/>
              <w:ind w:right="47"/>
              <w:rPr>
                <w:sz w:val="14"/>
              </w:rPr>
            </w:pPr>
            <w:r>
              <w:rPr>
                <w:color w:val="231F20"/>
                <w:sz w:val="14"/>
              </w:rPr>
              <w:t>-250,1</w:t>
            </w:r>
          </w:p>
        </w:tc>
        <w:tc>
          <w:tcPr>
            <w:tcW w:w="869" w:type="dxa"/>
          </w:tcPr>
          <w:p>
            <w:pPr>
              <w:pStyle w:val="TableParagraph"/>
              <w:spacing w:before="8"/>
              <w:ind w:right="47"/>
              <w:rPr>
                <w:sz w:val="14"/>
              </w:rPr>
            </w:pPr>
            <w:r>
              <w:rPr>
                <w:color w:val="231F20"/>
                <w:sz w:val="14"/>
              </w:rPr>
              <w:t>216,9</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33,2</w:t>
            </w:r>
          </w:p>
        </w:tc>
        <w:tc>
          <w:tcPr>
            <w:tcW w:w="1064" w:type="dxa"/>
          </w:tcPr>
          <w:p>
            <w:pPr>
              <w:pStyle w:val="TableParagraph"/>
              <w:spacing w:before="8"/>
              <w:ind w:right="47"/>
              <w:rPr>
                <w:sz w:val="14"/>
              </w:rPr>
            </w:pPr>
            <w:r>
              <w:rPr>
                <w:color w:val="231F20"/>
                <w:sz w:val="14"/>
              </w:rPr>
              <w:t>0,0</w:t>
            </w:r>
          </w:p>
        </w:tc>
        <w:tc>
          <w:tcPr>
            <w:tcW w:w="1072" w:type="dxa"/>
          </w:tcPr>
          <w:p>
            <w:pPr>
              <w:pStyle w:val="TableParagraph"/>
              <w:spacing w:before="8"/>
              <w:ind w:right="47"/>
              <w:rPr>
                <w:sz w:val="14"/>
              </w:rPr>
            </w:pPr>
            <w:r>
              <w:rPr>
                <w:color w:val="231F20"/>
                <w:sz w:val="14"/>
              </w:rPr>
              <w:t>-</w:t>
            </w:r>
          </w:p>
        </w:tc>
      </w:tr>
      <w:tr>
        <w:trPr>
          <w:trHeight w:val="200" w:hRule="atLeast"/>
        </w:trPr>
        <w:tc>
          <w:tcPr>
            <w:tcW w:w="2233" w:type="dxa"/>
            <w:vMerge w:val="restart"/>
          </w:tcPr>
          <w:p>
            <w:pPr>
              <w:pStyle w:val="TableParagraph"/>
              <w:spacing w:before="8"/>
              <w:ind w:left="53"/>
              <w:jc w:val="left"/>
              <w:rPr>
                <w:sz w:val="14"/>
              </w:rPr>
            </w:pPr>
            <w:r>
              <w:rPr>
                <w:color w:val="231F20"/>
                <w:sz w:val="14"/>
              </w:rPr>
              <w:t>Град Пожаревац</w:t>
            </w:r>
          </w:p>
        </w:tc>
        <w:tc>
          <w:tcPr>
            <w:tcW w:w="1034" w:type="dxa"/>
          </w:tcPr>
          <w:p>
            <w:pPr>
              <w:pStyle w:val="TableParagraph"/>
              <w:spacing w:before="8"/>
              <w:ind w:left="187" w:right="184"/>
              <w:jc w:val="center"/>
              <w:rPr>
                <w:sz w:val="14"/>
              </w:rPr>
            </w:pPr>
            <w:r>
              <w:rPr>
                <w:color w:val="231F20"/>
                <w:sz w:val="14"/>
              </w:rPr>
              <w:t>2010*</w:t>
            </w:r>
          </w:p>
        </w:tc>
        <w:tc>
          <w:tcPr>
            <w:tcW w:w="1403" w:type="dxa"/>
          </w:tcPr>
          <w:p>
            <w:pPr>
              <w:pStyle w:val="TableParagraph"/>
              <w:spacing w:before="8"/>
              <w:ind w:right="47"/>
              <w:rPr>
                <w:sz w:val="14"/>
              </w:rPr>
            </w:pPr>
            <w:r>
              <w:rPr>
                <w:color w:val="231F20"/>
                <w:sz w:val="14"/>
              </w:rPr>
              <w:t>26332,3</w:t>
            </w:r>
          </w:p>
        </w:tc>
        <w:tc>
          <w:tcPr>
            <w:tcW w:w="869" w:type="dxa"/>
          </w:tcPr>
          <w:p>
            <w:pPr>
              <w:pStyle w:val="TableParagraph"/>
              <w:spacing w:before="8"/>
              <w:ind w:right="47"/>
              <w:rPr>
                <w:sz w:val="14"/>
              </w:rPr>
            </w:pPr>
            <w:r>
              <w:rPr>
                <w:color w:val="231F20"/>
                <w:sz w:val="14"/>
              </w:rPr>
              <w:t>2708,9</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7"/>
              <w:rPr>
                <w:sz w:val="14"/>
              </w:rPr>
            </w:pPr>
            <w:r>
              <w:rPr>
                <w:color w:val="231F20"/>
                <w:sz w:val="14"/>
              </w:rPr>
              <w:t>4568,9</w:t>
            </w:r>
          </w:p>
        </w:tc>
        <w:tc>
          <w:tcPr>
            <w:tcW w:w="1064" w:type="dxa"/>
          </w:tcPr>
          <w:p>
            <w:pPr>
              <w:pStyle w:val="TableParagraph"/>
              <w:spacing w:before="8"/>
              <w:ind w:right="47"/>
              <w:rPr>
                <w:sz w:val="14"/>
              </w:rPr>
            </w:pPr>
            <w:r>
              <w:rPr>
                <w:color w:val="231F20"/>
                <w:sz w:val="14"/>
              </w:rPr>
              <w:t>33610,2</w:t>
            </w:r>
          </w:p>
        </w:tc>
        <w:tc>
          <w:tcPr>
            <w:tcW w:w="1072" w:type="dxa"/>
          </w:tcPr>
          <w:p>
            <w:pPr>
              <w:pStyle w:val="TableParagraph"/>
              <w:spacing w:before="8"/>
              <w:ind w:right="47"/>
              <w:rPr>
                <w:sz w:val="14"/>
              </w:rPr>
            </w:pPr>
            <w:r>
              <w:rPr>
                <w:color w:val="231F20"/>
                <w:sz w:val="14"/>
              </w:rPr>
              <w:t>78,3</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7" w:right="184"/>
              <w:jc w:val="center"/>
              <w:rPr>
                <w:sz w:val="14"/>
              </w:rPr>
            </w:pPr>
            <w:r>
              <w:rPr>
                <w:color w:val="231F20"/>
                <w:sz w:val="14"/>
              </w:rPr>
              <w:t>2015</w:t>
            </w:r>
          </w:p>
        </w:tc>
        <w:tc>
          <w:tcPr>
            <w:tcW w:w="1403" w:type="dxa"/>
          </w:tcPr>
          <w:p>
            <w:pPr>
              <w:pStyle w:val="TableParagraph"/>
              <w:spacing w:before="8"/>
              <w:ind w:right="47"/>
              <w:rPr>
                <w:sz w:val="14"/>
              </w:rPr>
            </w:pPr>
            <w:r>
              <w:rPr>
                <w:color w:val="231F20"/>
                <w:sz w:val="14"/>
              </w:rPr>
              <w:t>26210,2</w:t>
            </w:r>
          </w:p>
        </w:tc>
        <w:tc>
          <w:tcPr>
            <w:tcW w:w="869" w:type="dxa"/>
          </w:tcPr>
          <w:p>
            <w:pPr>
              <w:pStyle w:val="TableParagraph"/>
              <w:spacing w:before="8"/>
              <w:ind w:right="47"/>
              <w:rPr>
                <w:sz w:val="14"/>
              </w:rPr>
            </w:pPr>
            <w:r>
              <w:rPr>
                <w:color w:val="231F20"/>
                <w:sz w:val="14"/>
              </w:rPr>
              <w:t>2800,0</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4600,0</w:t>
            </w:r>
          </w:p>
        </w:tc>
        <w:tc>
          <w:tcPr>
            <w:tcW w:w="1064" w:type="dxa"/>
          </w:tcPr>
          <w:p>
            <w:pPr>
              <w:pStyle w:val="TableParagraph"/>
              <w:spacing w:before="8"/>
              <w:ind w:right="48"/>
              <w:rPr>
                <w:sz w:val="14"/>
              </w:rPr>
            </w:pPr>
            <w:r>
              <w:rPr>
                <w:color w:val="231F20"/>
                <w:sz w:val="14"/>
              </w:rPr>
              <w:t>33610,2</w:t>
            </w:r>
          </w:p>
        </w:tc>
        <w:tc>
          <w:tcPr>
            <w:tcW w:w="1072" w:type="dxa"/>
          </w:tcPr>
          <w:p>
            <w:pPr>
              <w:pStyle w:val="TableParagraph"/>
              <w:spacing w:before="8"/>
              <w:ind w:right="48"/>
              <w:rPr>
                <w:sz w:val="14"/>
              </w:rPr>
            </w:pPr>
            <w:r>
              <w:rPr>
                <w:color w:val="231F20"/>
                <w:sz w:val="14"/>
              </w:rPr>
              <w:t>78,0</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7" w:right="184"/>
              <w:jc w:val="center"/>
              <w:rPr>
                <w:sz w:val="14"/>
              </w:rPr>
            </w:pPr>
            <w:r>
              <w:rPr>
                <w:color w:val="231F20"/>
                <w:sz w:val="14"/>
              </w:rPr>
              <w:t>2022</w:t>
            </w:r>
          </w:p>
        </w:tc>
        <w:tc>
          <w:tcPr>
            <w:tcW w:w="1403" w:type="dxa"/>
          </w:tcPr>
          <w:p>
            <w:pPr>
              <w:pStyle w:val="TableParagraph"/>
              <w:spacing w:before="8"/>
              <w:ind w:right="48"/>
              <w:rPr>
                <w:sz w:val="14"/>
              </w:rPr>
            </w:pPr>
            <w:r>
              <w:rPr>
                <w:color w:val="231F20"/>
                <w:sz w:val="14"/>
              </w:rPr>
              <w:t>26110,0</w:t>
            </w:r>
          </w:p>
        </w:tc>
        <w:tc>
          <w:tcPr>
            <w:tcW w:w="869" w:type="dxa"/>
          </w:tcPr>
          <w:p>
            <w:pPr>
              <w:pStyle w:val="TableParagraph"/>
              <w:spacing w:before="8"/>
              <w:ind w:right="48"/>
              <w:rPr>
                <w:sz w:val="14"/>
              </w:rPr>
            </w:pPr>
            <w:r>
              <w:rPr>
                <w:color w:val="231F20"/>
                <w:sz w:val="14"/>
              </w:rPr>
              <w:t>2900,2</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4600,0</w:t>
            </w:r>
          </w:p>
        </w:tc>
        <w:tc>
          <w:tcPr>
            <w:tcW w:w="1064" w:type="dxa"/>
          </w:tcPr>
          <w:p>
            <w:pPr>
              <w:pStyle w:val="TableParagraph"/>
              <w:spacing w:before="8"/>
              <w:ind w:right="48"/>
              <w:rPr>
                <w:sz w:val="14"/>
              </w:rPr>
            </w:pPr>
            <w:r>
              <w:rPr>
                <w:color w:val="231F20"/>
                <w:sz w:val="14"/>
              </w:rPr>
              <w:t>33610,2</w:t>
            </w:r>
          </w:p>
        </w:tc>
        <w:tc>
          <w:tcPr>
            <w:tcW w:w="1072" w:type="dxa"/>
          </w:tcPr>
          <w:p>
            <w:pPr>
              <w:pStyle w:val="TableParagraph"/>
              <w:spacing w:before="8"/>
              <w:ind w:right="48"/>
              <w:rPr>
                <w:sz w:val="14"/>
              </w:rPr>
            </w:pPr>
            <w:r>
              <w:rPr>
                <w:color w:val="231F20"/>
                <w:sz w:val="14"/>
              </w:rPr>
              <w:t>77,7</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6" w:right="184"/>
              <w:jc w:val="center"/>
              <w:rPr>
                <w:sz w:val="14"/>
              </w:rPr>
            </w:pPr>
            <w:r>
              <w:rPr>
                <w:color w:val="231F20"/>
                <w:sz w:val="14"/>
              </w:rPr>
              <w:t>2010-2022</w:t>
            </w:r>
          </w:p>
        </w:tc>
        <w:tc>
          <w:tcPr>
            <w:tcW w:w="1403" w:type="dxa"/>
          </w:tcPr>
          <w:p>
            <w:pPr>
              <w:pStyle w:val="TableParagraph"/>
              <w:spacing w:before="8"/>
              <w:ind w:right="48"/>
              <w:rPr>
                <w:sz w:val="14"/>
              </w:rPr>
            </w:pPr>
            <w:r>
              <w:rPr>
                <w:color w:val="231F20"/>
                <w:sz w:val="14"/>
              </w:rPr>
              <w:t>-222,4</w:t>
            </w:r>
          </w:p>
        </w:tc>
        <w:tc>
          <w:tcPr>
            <w:tcW w:w="869" w:type="dxa"/>
          </w:tcPr>
          <w:p>
            <w:pPr>
              <w:pStyle w:val="TableParagraph"/>
              <w:spacing w:before="8"/>
              <w:ind w:right="48"/>
              <w:rPr>
                <w:sz w:val="14"/>
              </w:rPr>
            </w:pPr>
            <w:r>
              <w:rPr>
                <w:color w:val="231F20"/>
                <w:sz w:val="14"/>
              </w:rPr>
              <w:t>191,3</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31,1</w:t>
            </w:r>
          </w:p>
        </w:tc>
        <w:tc>
          <w:tcPr>
            <w:tcW w:w="1064" w:type="dxa"/>
          </w:tcPr>
          <w:p>
            <w:pPr>
              <w:pStyle w:val="TableParagraph"/>
              <w:spacing w:before="8"/>
              <w:ind w:right="48"/>
              <w:rPr>
                <w:sz w:val="14"/>
              </w:rPr>
            </w:pPr>
            <w:r>
              <w:rPr>
                <w:color w:val="231F20"/>
                <w:sz w:val="14"/>
              </w:rPr>
              <w:t>0,0</w:t>
            </w:r>
          </w:p>
        </w:tc>
        <w:tc>
          <w:tcPr>
            <w:tcW w:w="1072" w:type="dxa"/>
          </w:tcPr>
          <w:p>
            <w:pPr>
              <w:pStyle w:val="TableParagraph"/>
              <w:spacing w:before="8"/>
              <w:ind w:right="48"/>
              <w:rPr>
                <w:sz w:val="14"/>
              </w:rPr>
            </w:pPr>
            <w:r>
              <w:rPr>
                <w:color w:val="231F20"/>
                <w:sz w:val="14"/>
              </w:rPr>
              <w:t>-</w:t>
            </w:r>
          </w:p>
        </w:tc>
      </w:tr>
      <w:tr>
        <w:trPr>
          <w:trHeight w:val="200" w:hRule="atLeast"/>
        </w:trPr>
        <w:tc>
          <w:tcPr>
            <w:tcW w:w="2233" w:type="dxa"/>
            <w:vMerge w:val="restart"/>
          </w:tcPr>
          <w:p>
            <w:pPr>
              <w:pStyle w:val="TableParagraph"/>
              <w:spacing w:before="8"/>
              <w:ind w:left="53"/>
              <w:jc w:val="left"/>
              <w:rPr>
                <w:sz w:val="14"/>
              </w:rPr>
            </w:pPr>
            <w:r>
              <w:rPr>
                <w:color w:val="231F20"/>
                <w:sz w:val="14"/>
              </w:rPr>
              <w:t>Општина Велико Градиште</w:t>
            </w:r>
          </w:p>
        </w:tc>
        <w:tc>
          <w:tcPr>
            <w:tcW w:w="1034" w:type="dxa"/>
          </w:tcPr>
          <w:p>
            <w:pPr>
              <w:pStyle w:val="TableParagraph"/>
              <w:spacing w:before="8"/>
              <w:ind w:left="186" w:right="184"/>
              <w:jc w:val="center"/>
              <w:rPr>
                <w:sz w:val="14"/>
              </w:rPr>
            </w:pPr>
            <w:r>
              <w:rPr>
                <w:color w:val="231F20"/>
                <w:sz w:val="14"/>
              </w:rPr>
              <w:t>2010*</w:t>
            </w:r>
          </w:p>
        </w:tc>
        <w:tc>
          <w:tcPr>
            <w:tcW w:w="1403" w:type="dxa"/>
          </w:tcPr>
          <w:p>
            <w:pPr>
              <w:pStyle w:val="TableParagraph"/>
              <w:spacing w:before="8"/>
              <w:ind w:right="48"/>
              <w:rPr>
                <w:sz w:val="14"/>
              </w:rPr>
            </w:pPr>
            <w:r>
              <w:rPr>
                <w:color w:val="231F20"/>
                <w:sz w:val="14"/>
              </w:rPr>
              <w:t>4617,7</w:t>
            </w:r>
          </w:p>
        </w:tc>
        <w:tc>
          <w:tcPr>
            <w:tcW w:w="869" w:type="dxa"/>
          </w:tcPr>
          <w:p>
            <w:pPr>
              <w:pStyle w:val="TableParagraph"/>
              <w:spacing w:before="8"/>
              <w:ind w:right="48"/>
              <w:rPr>
                <w:sz w:val="14"/>
              </w:rPr>
            </w:pPr>
            <w:r>
              <w:rPr>
                <w:color w:val="231F20"/>
                <w:sz w:val="14"/>
              </w:rPr>
              <w:t>643,0</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307,9</w:t>
            </w:r>
          </w:p>
        </w:tc>
        <w:tc>
          <w:tcPr>
            <w:tcW w:w="1064" w:type="dxa"/>
          </w:tcPr>
          <w:p>
            <w:pPr>
              <w:pStyle w:val="TableParagraph"/>
              <w:spacing w:before="8"/>
              <w:ind w:right="48"/>
              <w:rPr>
                <w:sz w:val="14"/>
              </w:rPr>
            </w:pPr>
            <w:r>
              <w:rPr>
                <w:color w:val="231F20"/>
                <w:sz w:val="14"/>
              </w:rPr>
              <w:t>5568,6</w:t>
            </w:r>
          </w:p>
        </w:tc>
        <w:tc>
          <w:tcPr>
            <w:tcW w:w="1072" w:type="dxa"/>
          </w:tcPr>
          <w:p>
            <w:pPr>
              <w:pStyle w:val="TableParagraph"/>
              <w:spacing w:before="8"/>
              <w:ind w:right="48"/>
              <w:rPr>
                <w:sz w:val="14"/>
              </w:rPr>
            </w:pPr>
            <w:r>
              <w:rPr>
                <w:color w:val="231F20"/>
                <w:sz w:val="14"/>
              </w:rPr>
              <w:t>82,9</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6" w:right="184"/>
              <w:jc w:val="center"/>
              <w:rPr>
                <w:sz w:val="14"/>
              </w:rPr>
            </w:pPr>
            <w:r>
              <w:rPr>
                <w:color w:val="231F20"/>
                <w:sz w:val="14"/>
              </w:rPr>
              <w:t>2015</w:t>
            </w:r>
          </w:p>
        </w:tc>
        <w:tc>
          <w:tcPr>
            <w:tcW w:w="1403" w:type="dxa"/>
          </w:tcPr>
          <w:p>
            <w:pPr>
              <w:pStyle w:val="TableParagraph"/>
              <w:spacing w:before="8"/>
              <w:ind w:right="48"/>
              <w:rPr>
                <w:sz w:val="14"/>
              </w:rPr>
            </w:pPr>
            <w:r>
              <w:rPr>
                <w:color w:val="231F20"/>
                <w:sz w:val="14"/>
              </w:rPr>
              <w:t>4608,6</w:t>
            </w:r>
          </w:p>
        </w:tc>
        <w:tc>
          <w:tcPr>
            <w:tcW w:w="869" w:type="dxa"/>
          </w:tcPr>
          <w:p>
            <w:pPr>
              <w:pStyle w:val="TableParagraph"/>
              <w:spacing w:before="8"/>
              <w:ind w:right="48"/>
              <w:rPr>
                <w:sz w:val="14"/>
              </w:rPr>
            </w:pPr>
            <w:r>
              <w:rPr>
                <w:color w:val="231F20"/>
                <w:sz w:val="14"/>
              </w:rPr>
              <w:t>650,0</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310,0</w:t>
            </w:r>
          </w:p>
        </w:tc>
        <w:tc>
          <w:tcPr>
            <w:tcW w:w="1064" w:type="dxa"/>
          </w:tcPr>
          <w:p>
            <w:pPr>
              <w:pStyle w:val="TableParagraph"/>
              <w:spacing w:before="8"/>
              <w:ind w:right="48"/>
              <w:rPr>
                <w:sz w:val="14"/>
              </w:rPr>
            </w:pPr>
            <w:r>
              <w:rPr>
                <w:color w:val="231F20"/>
                <w:sz w:val="14"/>
              </w:rPr>
              <w:t>5568,6</w:t>
            </w:r>
          </w:p>
        </w:tc>
        <w:tc>
          <w:tcPr>
            <w:tcW w:w="1072" w:type="dxa"/>
          </w:tcPr>
          <w:p>
            <w:pPr>
              <w:pStyle w:val="TableParagraph"/>
              <w:spacing w:before="8"/>
              <w:ind w:right="48"/>
              <w:rPr>
                <w:sz w:val="14"/>
              </w:rPr>
            </w:pPr>
            <w:r>
              <w:rPr>
                <w:color w:val="231F20"/>
                <w:sz w:val="14"/>
              </w:rPr>
              <w:t>82,8</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6" w:right="184"/>
              <w:jc w:val="center"/>
              <w:rPr>
                <w:sz w:val="14"/>
              </w:rPr>
            </w:pPr>
            <w:r>
              <w:rPr>
                <w:color w:val="231F20"/>
                <w:sz w:val="14"/>
              </w:rPr>
              <w:t>2022</w:t>
            </w:r>
          </w:p>
        </w:tc>
        <w:tc>
          <w:tcPr>
            <w:tcW w:w="1403" w:type="dxa"/>
          </w:tcPr>
          <w:p>
            <w:pPr>
              <w:pStyle w:val="TableParagraph"/>
              <w:spacing w:before="8"/>
              <w:ind w:right="48"/>
              <w:rPr>
                <w:sz w:val="14"/>
              </w:rPr>
            </w:pPr>
            <w:r>
              <w:rPr>
                <w:color w:val="231F20"/>
                <w:sz w:val="14"/>
              </w:rPr>
              <w:t>4590,0</w:t>
            </w:r>
          </w:p>
        </w:tc>
        <w:tc>
          <w:tcPr>
            <w:tcW w:w="869" w:type="dxa"/>
          </w:tcPr>
          <w:p>
            <w:pPr>
              <w:pStyle w:val="TableParagraph"/>
              <w:spacing w:before="8"/>
              <w:ind w:right="48"/>
              <w:rPr>
                <w:sz w:val="14"/>
              </w:rPr>
            </w:pPr>
            <w:r>
              <w:rPr>
                <w:color w:val="231F20"/>
                <w:sz w:val="14"/>
              </w:rPr>
              <w:t>668,6</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310,0</w:t>
            </w:r>
          </w:p>
        </w:tc>
        <w:tc>
          <w:tcPr>
            <w:tcW w:w="1064" w:type="dxa"/>
          </w:tcPr>
          <w:p>
            <w:pPr>
              <w:pStyle w:val="TableParagraph"/>
              <w:spacing w:before="8"/>
              <w:ind w:right="48"/>
              <w:rPr>
                <w:sz w:val="14"/>
              </w:rPr>
            </w:pPr>
            <w:r>
              <w:rPr>
                <w:color w:val="231F20"/>
                <w:sz w:val="14"/>
              </w:rPr>
              <w:t>5568,6</w:t>
            </w:r>
          </w:p>
        </w:tc>
        <w:tc>
          <w:tcPr>
            <w:tcW w:w="1072" w:type="dxa"/>
          </w:tcPr>
          <w:p>
            <w:pPr>
              <w:pStyle w:val="TableParagraph"/>
              <w:spacing w:before="8"/>
              <w:ind w:right="48"/>
              <w:rPr>
                <w:sz w:val="14"/>
              </w:rPr>
            </w:pPr>
            <w:r>
              <w:rPr>
                <w:color w:val="231F20"/>
                <w:sz w:val="14"/>
              </w:rPr>
              <w:t>82,4</w:t>
            </w:r>
          </w:p>
        </w:tc>
      </w:tr>
      <w:tr>
        <w:trPr>
          <w:trHeight w:val="200" w:hRule="atLeast"/>
        </w:trPr>
        <w:tc>
          <w:tcPr>
            <w:tcW w:w="2233" w:type="dxa"/>
            <w:vMerge/>
            <w:tcBorders>
              <w:top w:val="nil"/>
            </w:tcBorders>
          </w:tcPr>
          <w:p>
            <w:pPr>
              <w:rPr>
                <w:sz w:val="2"/>
                <w:szCs w:val="2"/>
              </w:rPr>
            </w:pPr>
          </w:p>
        </w:tc>
        <w:tc>
          <w:tcPr>
            <w:tcW w:w="1034" w:type="dxa"/>
          </w:tcPr>
          <w:p>
            <w:pPr>
              <w:pStyle w:val="TableParagraph"/>
              <w:spacing w:before="8"/>
              <w:ind w:left="185" w:right="184"/>
              <w:jc w:val="center"/>
              <w:rPr>
                <w:sz w:val="14"/>
              </w:rPr>
            </w:pPr>
            <w:r>
              <w:rPr>
                <w:color w:val="231F20"/>
                <w:sz w:val="14"/>
              </w:rPr>
              <w:t>2010-2022</w:t>
            </w:r>
          </w:p>
        </w:tc>
        <w:tc>
          <w:tcPr>
            <w:tcW w:w="1403" w:type="dxa"/>
          </w:tcPr>
          <w:p>
            <w:pPr>
              <w:pStyle w:val="TableParagraph"/>
              <w:spacing w:before="8"/>
              <w:ind w:right="48"/>
              <w:rPr>
                <w:sz w:val="14"/>
              </w:rPr>
            </w:pPr>
            <w:r>
              <w:rPr>
                <w:color w:val="231F20"/>
                <w:sz w:val="14"/>
              </w:rPr>
              <w:t>-27,7</w:t>
            </w:r>
          </w:p>
        </w:tc>
        <w:tc>
          <w:tcPr>
            <w:tcW w:w="869" w:type="dxa"/>
          </w:tcPr>
          <w:p>
            <w:pPr>
              <w:pStyle w:val="TableParagraph"/>
              <w:spacing w:before="8"/>
              <w:ind w:right="48"/>
              <w:rPr>
                <w:sz w:val="14"/>
              </w:rPr>
            </w:pPr>
            <w:r>
              <w:rPr>
                <w:color w:val="231F20"/>
                <w:sz w:val="14"/>
              </w:rPr>
              <w:t>25,6</w:t>
            </w:r>
          </w:p>
        </w:tc>
        <w:tc>
          <w:tcPr>
            <w:tcW w:w="906" w:type="dxa"/>
          </w:tcPr>
          <w:p>
            <w:pPr>
              <w:pStyle w:val="TableParagraph"/>
              <w:spacing w:before="0"/>
              <w:jc w:val="left"/>
              <w:rPr>
                <w:sz w:val="12"/>
              </w:rPr>
            </w:pPr>
          </w:p>
        </w:tc>
        <w:tc>
          <w:tcPr>
            <w:tcW w:w="912" w:type="dxa"/>
          </w:tcPr>
          <w:p>
            <w:pPr>
              <w:pStyle w:val="TableParagraph"/>
              <w:spacing w:before="0"/>
              <w:jc w:val="left"/>
              <w:rPr>
                <w:sz w:val="12"/>
              </w:rPr>
            </w:pPr>
          </w:p>
        </w:tc>
        <w:tc>
          <w:tcPr>
            <w:tcW w:w="971" w:type="dxa"/>
          </w:tcPr>
          <w:p>
            <w:pPr>
              <w:pStyle w:val="TableParagraph"/>
              <w:spacing w:before="8"/>
              <w:ind w:right="48"/>
              <w:rPr>
                <w:sz w:val="14"/>
              </w:rPr>
            </w:pPr>
            <w:r>
              <w:rPr>
                <w:color w:val="231F20"/>
                <w:sz w:val="14"/>
              </w:rPr>
              <w:t>2,1</w:t>
            </w:r>
          </w:p>
        </w:tc>
        <w:tc>
          <w:tcPr>
            <w:tcW w:w="1064" w:type="dxa"/>
          </w:tcPr>
          <w:p>
            <w:pPr>
              <w:pStyle w:val="TableParagraph"/>
              <w:spacing w:before="8"/>
              <w:ind w:right="48"/>
              <w:rPr>
                <w:sz w:val="14"/>
              </w:rPr>
            </w:pPr>
            <w:r>
              <w:rPr>
                <w:color w:val="231F20"/>
                <w:sz w:val="14"/>
              </w:rPr>
              <w:t>0,0</w:t>
            </w:r>
          </w:p>
        </w:tc>
        <w:tc>
          <w:tcPr>
            <w:tcW w:w="1072" w:type="dxa"/>
          </w:tcPr>
          <w:p>
            <w:pPr>
              <w:pStyle w:val="TableParagraph"/>
              <w:spacing w:before="8"/>
              <w:ind w:right="48"/>
              <w:rPr>
                <w:sz w:val="14"/>
              </w:rPr>
            </w:pPr>
            <w:r>
              <w:rPr>
                <w:color w:val="231F20"/>
                <w:sz w:val="14"/>
              </w:rPr>
              <w:t>-</w:t>
            </w:r>
          </w:p>
        </w:tc>
      </w:tr>
    </w:tbl>
    <w:p>
      <w:pPr>
        <w:spacing w:before="19"/>
        <w:ind w:left="166" w:right="0" w:firstLine="0"/>
        <w:jc w:val="left"/>
        <w:rPr>
          <w:sz w:val="14"/>
        </w:rPr>
      </w:pPr>
      <w:r>
        <w:rPr>
          <w:color w:val="231F20"/>
          <w:sz w:val="14"/>
        </w:rPr>
        <w:t>*/ Подаци РГЗ (2011), који су код КО Дрмно, Кличевац и Маљуревац кориговани према ортофотоснимцима.</w:t>
      </w:r>
    </w:p>
    <w:p>
      <w:pPr>
        <w:pStyle w:val="BodyText"/>
        <w:ind w:left="0"/>
        <w:jc w:val="left"/>
        <w:rPr>
          <w:sz w:val="20"/>
        </w:rPr>
      </w:pPr>
    </w:p>
    <w:p>
      <w:pPr>
        <w:pStyle w:val="BodyText"/>
        <w:spacing w:before="1"/>
        <w:ind w:left="0"/>
        <w:jc w:val="left"/>
        <w:rPr>
          <w:sz w:val="16"/>
        </w:rPr>
      </w:pPr>
    </w:p>
    <w:p>
      <w:pPr>
        <w:spacing w:after="0"/>
        <w:jc w:val="left"/>
        <w:rPr>
          <w:sz w:val="16"/>
        </w:rPr>
        <w:sectPr>
          <w:pgSz w:w="12480" w:h="15690"/>
          <w:pgMar w:top="240" w:bottom="280" w:left="680" w:right="720"/>
        </w:sectPr>
      </w:pPr>
    </w:p>
    <w:p>
      <w:pPr>
        <w:pStyle w:val="BodyText"/>
        <w:spacing w:line="230" w:lineRule="auto" w:before="99"/>
        <w:ind w:right="38" w:firstLine="396"/>
      </w:pPr>
      <w:r>
        <w:rPr>
          <w:color w:val="231F20"/>
        </w:rPr>
        <w:t>С обзиром на сложене и, по </w:t>
      </w:r>
      <w:r>
        <w:rPr>
          <w:color w:val="231F20"/>
          <w:spacing w:val="-3"/>
        </w:rPr>
        <w:t>правилу, </w:t>
      </w:r>
      <w:r>
        <w:rPr>
          <w:color w:val="231F20"/>
        </w:rPr>
        <w:t>дуготрајне мере пољо- привредне рекултивације, у изнетим билансима није дата </w:t>
      </w:r>
      <w:r>
        <w:rPr>
          <w:color w:val="231F20"/>
          <w:spacing w:val="-4"/>
        </w:rPr>
        <w:t>коначна </w:t>
      </w:r>
      <w:r>
        <w:rPr>
          <w:color w:val="231F20"/>
        </w:rPr>
        <w:t>намена коришћења рекултивисаног земљишта. Полазећи, међу- тим, </w:t>
      </w:r>
      <w:r>
        <w:rPr>
          <w:color w:val="231F20"/>
          <w:spacing w:val="-3"/>
        </w:rPr>
        <w:t>од </w:t>
      </w:r>
      <w:r>
        <w:rPr>
          <w:color w:val="231F20"/>
        </w:rPr>
        <w:t>генералног правила да се косине одлагалишта пошумља- </w:t>
      </w:r>
      <w:r>
        <w:rPr>
          <w:color w:val="231F20"/>
          <w:spacing w:val="-5"/>
        </w:rPr>
        <w:t>вају, </w:t>
      </w:r>
      <w:r>
        <w:rPr>
          <w:color w:val="231F20"/>
        </w:rPr>
        <w:t>а површи оспособљавају за пољопривредну </w:t>
      </w:r>
      <w:r>
        <w:rPr>
          <w:color w:val="231F20"/>
          <w:spacing w:val="-3"/>
        </w:rPr>
        <w:t>производњу, </w:t>
      </w:r>
      <w:r>
        <w:rPr>
          <w:color w:val="231F20"/>
        </w:rPr>
        <w:t>про- цењује се да до 2022. </w:t>
      </w:r>
      <w:r>
        <w:rPr>
          <w:color w:val="231F20"/>
          <w:spacing w:val="-3"/>
        </w:rPr>
        <w:t>године </w:t>
      </w:r>
      <w:r>
        <w:rPr>
          <w:color w:val="231F20"/>
        </w:rPr>
        <w:t>пољопривредним наменама требало би вратити </w:t>
      </w:r>
      <w:r>
        <w:rPr>
          <w:color w:val="231F20"/>
          <w:spacing w:val="-4"/>
        </w:rPr>
        <w:t>око </w:t>
      </w:r>
      <w:r>
        <w:rPr>
          <w:color w:val="231F20"/>
        </w:rPr>
        <w:t>1.200 ha рекултивисаних одлагалишта откривке, односно две трећине </w:t>
      </w:r>
      <w:r>
        <w:rPr>
          <w:color w:val="231F20"/>
          <w:spacing w:val="-3"/>
        </w:rPr>
        <w:t>од </w:t>
      </w:r>
      <w:r>
        <w:rPr>
          <w:color w:val="231F20"/>
        </w:rPr>
        <w:t>укупно 1.726 ha површина на </w:t>
      </w:r>
      <w:r>
        <w:rPr>
          <w:color w:val="231F20"/>
          <w:spacing w:val="-3"/>
        </w:rPr>
        <w:t>којима </w:t>
      </w:r>
      <w:r>
        <w:rPr>
          <w:color w:val="231F20"/>
        </w:rPr>
        <w:t>се планира спровођење рекултивације и ревитализације.</w:t>
      </w:r>
    </w:p>
    <w:p>
      <w:pPr>
        <w:pStyle w:val="BodyText"/>
        <w:spacing w:line="230" w:lineRule="auto" w:before="5"/>
        <w:ind w:left="169" w:right="38" w:firstLine="397"/>
      </w:pPr>
      <w:r>
        <w:rPr>
          <w:color w:val="231F20"/>
        </w:rPr>
        <w:t>Примарни значај за очување, односно обнову агроеколошког потенцијала атара у којима се одвијају рударско-енергетске ак- тивности има доследно поштовање прописа и стандарда заштите животне средине u пословању ТЕ-КО „Костолац”. Са становишта мера аграрне политике, посебну подршку треба обезбедити пове- ћању апсорптивне моћи пољопривредног земљишта:</w:t>
      </w:r>
    </w:p>
    <w:p>
      <w:pPr>
        <w:pStyle w:val="BodyText"/>
        <w:spacing w:line="230" w:lineRule="auto" w:before="3"/>
        <w:ind w:left="168" w:right="39" w:firstLine="397"/>
      </w:pPr>
      <w:r>
        <w:rPr>
          <w:color w:val="231F20"/>
          <w:w w:val="66"/>
        </w:rPr>
        <w:t> </w:t>
      </w:r>
      <w:r>
        <w:rPr>
          <w:color w:val="231F20"/>
        </w:rPr>
        <w:t>– континуирањем производње у систему традиционалне по- љопривреде, који доприноси биолошкој заштити од болести и штеточина, погодује опстанку и развоју организама који подржа- вају производњу биомасе и повећавање садржаја органских мате- рија у земљишту;</w:t>
      </w:r>
    </w:p>
    <w:p>
      <w:pPr>
        <w:pStyle w:val="BodyText"/>
        <w:spacing w:line="230" w:lineRule="auto" w:before="3"/>
        <w:ind w:left="168" w:right="39" w:firstLine="396"/>
      </w:pPr>
      <w:r>
        <w:rPr>
          <w:color w:val="231F20"/>
          <w:w w:val="66"/>
        </w:rPr>
        <w:t> </w:t>
      </w:r>
      <w:r>
        <w:rPr>
          <w:color w:val="231F20"/>
        </w:rPr>
        <w:t>– успoстављањeм eкoлoшки oптималних oднoса измeђу пoљoприврeдних и шумских пoвршина; заштитoм прирoдних  или пoлуприрoдних eнклава (барe, мoчварe, шумарци, забрани, шушњари и слично), умрeжавањeм  пoљoприврeднoг  зeмљиш-  та у разнe  видoвe  заштитнoг  зeлeнила  (шумски  пoљoзаш- титни пoјасeви, антиeрoзиoнe, oднoснo вoдoзаштитнe живицe, мeђe и друга прирoдна станишта дивљe флoрe и фаунe дуж пoљских путeва, каналскe мрeжe, рeчних тoкoва и слично), схoднo кoнфигурацији тeрeна, хидрoлoшким услoвима, </w:t>
      </w:r>
      <w:r>
        <w:rPr>
          <w:color w:val="231F20"/>
          <w:spacing w:val="-2"/>
        </w:rPr>
        <w:t>начину </w:t>
      </w:r>
      <w:r>
        <w:rPr>
          <w:color w:val="231F20"/>
        </w:rPr>
        <w:t>кoришћeња зeмљишта и</w:t>
      </w:r>
      <w:r>
        <w:rPr>
          <w:color w:val="231F20"/>
          <w:spacing w:val="-2"/>
        </w:rPr>
        <w:t> </w:t>
      </w:r>
      <w:r>
        <w:rPr>
          <w:color w:val="231F20"/>
        </w:rPr>
        <w:t>слично;</w:t>
      </w:r>
    </w:p>
    <w:p>
      <w:pPr>
        <w:pStyle w:val="BodyText"/>
        <w:spacing w:line="230" w:lineRule="auto" w:before="6"/>
        <w:ind w:left="169" w:right="39" w:firstLine="396"/>
      </w:pPr>
      <w:r>
        <w:rPr>
          <w:color w:val="231F20"/>
          <w:w w:val="66"/>
        </w:rPr>
        <w:t> </w:t>
      </w:r>
      <w:r>
        <w:rPr>
          <w:color w:val="231F20"/>
        </w:rPr>
        <w:t>–</w:t>
      </w:r>
      <w:r>
        <w:rPr>
          <w:color w:val="231F20"/>
          <w:spacing w:val="-7"/>
        </w:rPr>
        <w:t> </w:t>
      </w:r>
      <w:r>
        <w:rPr>
          <w:color w:val="231F20"/>
        </w:rPr>
        <w:t>местимичном</w:t>
      </w:r>
      <w:r>
        <w:rPr>
          <w:color w:val="231F20"/>
          <w:spacing w:val="-7"/>
        </w:rPr>
        <w:t> </w:t>
      </w:r>
      <w:r>
        <w:rPr>
          <w:color w:val="231F20"/>
        </w:rPr>
        <w:t>применом</w:t>
      </w:r>
      <w:r>
        <w:rPr>
          <w:color w:val="231F20"/>
          <w:spacing w:val="-7"/>
        </w:rPr>
        <w:t> </w:t>
      </w:r>
      <w:r>
        <w:rPr>
          <w:color w:val="231F20"/>
        </w:rPr>
        <w:t>конзервационих</w:t>
      </w:r>
      <w:r>
        <w:rPr>
          <w:color w:val="231F20"/>
          <w:spacing w:val="-7"/>
        </w:rPr>
        <w:t> </w:t>
      </w:r>
      <w:r>
        <w:rPr>
          <w:color w:val="231F20"/>
        </w:rPr>
        <w:t>метода</w:t>
      </w:r>
      <w:r>
        <w:rPr>
          <w:color w:val="231F20"/>
          <w:spacing w:val="-7"/>
        </w:rPr>
        <w:t> </w:t>
      </w:r>
      <w:r>
        <w:rPr>
          <w:color w:val="231F20"/>
        </w:rPr>
        <w:t>обраде</w:t>
      </w:r>
      <w:r>
        <w:rPr>
          <w:color w:val="231F20"/>
          <w:spacing w:val="-7"/>
        </w:rPr>
        <w:t> </w:t>
      </w:r>
      <w:r>
        <w:rPr>
          <w:color w:val="231F20"/>
        </w:rPr>
        <w:t>зе- мљишта, </w:t>
      </w:r>
      <w:r>
        <w:rPr>
          <w:color w:val="231F20"/>
          <w:spacing w:val="-3"/>
        </w:rPr>
        <w:t>који </w:t>
      </w:r>
      <w:r>
        <w:rPr>
          <w:color w:val="231F20"/>
        </w:rPr>
        <w:t>укључују плодоред, увођење заштитних/покривају- ћих усева (caver crops) у постојеће плодореде, редуковано орање, малчирање,</w:t>
      </w:r>
      <w:r>
        <w:rPr>
          <w:color w:val="231F20"/>
          <w:spacing w:val="-10"/>
        </w:rPr>
        <w:t> </w:t>
      </w:r>
      <w:r>
        <w:rPr>
          <w:color w:val="231F20"/>
        </w:rPr>
        <w:t>угарoвање,</w:t>
      </w:r>
      <w:r>
        <w:rPr>
          <w:color w:val="231F20"/>
          <w:spacing w:val="-10"/>
        </w:rPr>
        <w:t> </w:t>
      </w:r>
      <w:r>
        <w:rPr>
          <w:color w:val="231F20"/>
        </w:rPr>
        <w:t>затрављивање</w:t>
      </w:r>
      <w:r>
        <w:rPr>
          <w:color w:val="231F20"/>
          <w:spacing w:val="-10"/>
        </w:rPr>
        <w:t> </w:t>
      </w:r>
      <w:r>
        <w:rPr>
          <w:color w:val="231F20"/>
        </w:rPr>
        <w:t>маргиналних</w:t>
      </w:r>
      <w:r>
        <w:rPr>
          <w:color w:val="231F20"/>
          <w:spacing w:val="-10"/>
        </w:rPr>
        <w:t> </w:t>
      </w:r>
      <w:r>
        <w:rPr>
          <w:color w:val="231F20"/>
        </w:rPr>
        <w:t>ораничних</w:t>
      </w:r>
      <w:r>
        <w:rPr>
          <w:color w:val="231F20"/>
          <w:spacing w:val="-10"/>
        </w:rPr>
        <w:t> </w:t>
      </w:r>
      <w:r>
        <w:rPr>
          <w:color w:val="231F20"/>
        </w:rPr>
        <w:t>по- вршина, одржавање ливада и пашњака, као и рециклирање</w:t>
      </w:r>
      <w:r>
        <w:rPr>
          <w:color w:val="231F20"/>
          <w:spacing w:val="-25"/>
        </w:rPr>
        <w:t> </w:t>
      </w:r>
      <w:r>
        <w:rPr>
          <w:color w:val="231F20"/>
        </w:rPr>
        <w:t>инпута у комбинованој биљно-сточарској производњи</w:t>
      </w:r>
      <w:r>
        <w:rPr>
          <w:color w:val="231F20"/>
          <w:spacing w:val="-9"/>
        </w:rPr>
        <w:t> </w:t>
      </w:r>
      <w:r>
        <w:rPr>
          <w:color w:val="231F20"/>
        </w:rPr>
        <w:t>и</w:t>
      </w:r>
    </w:p>
    <w:p>
      <w:pPr>
        <w:pStyle w:val="BodyText"/>
        <w:spacing w:before="95"/>
        <w:ind w:left="169" w:right="413" w:firstLine="397"/>
      </w:pPr>
      <w:r>
        <w:rPr/>
        <w:br w:type="column"/>
      </w:r>
      <w:r>
        <w:rPr>
          <w:color w:val="231F20"/>
          <w:w w:val="66"/>
        </w:rPr>
        <w:t> </w:t>
      </w:r>
      <w:r>
        <w:rPr>
          <w:color w:val="231F20"/>
        </w:rPr>
        <w:t>– редуковањем употребе минералних ђубрива и пестицида у биљној производњи, </w:t>
      </w:r>
      <w:r>
        <w:rPr>
          <w:color w:val="231F20"/>
          <w:spacing w:val="-3"/>
        </w:rPr>
        <w:t>подршком </w:t>
      </w:r>
      <w:r>
        <w:rPr>
          <w:color w:val="231F20"/>
        </w:rPr>
        <w:t>развоју сточарске производње, уз истовремено вођење рачуна о тзв. тачкастим загађењима </w:t>
      </w:r>
      <w:r>
        <w:rPr>
          <w:color w:val="231F20"/>
          <w:spacing w:val="-3"/>
        </w:rPr>
        <w:t>од </w:t>
      </w:r>
      <w:r>
        <w:rPr>
          <w:color w:val="231F20"/>
        </w:rPr>
        <w:t>пре- </w:t>
      </w:r>
      <w:r>
        <w:rPr>
          <w:color w:val="231F20"/>
          <w:spacing w:val="-3"/>
        </w:rPr>
        <w:t>комерне </w:t>
      </w:r>
      <w:r>
        <w:rPr>
          <w:color w:val="231F20"/>
        </w:rPr>
        <w:t>концентрације стоке, као и промовисањем других мера и активности </w:t>
      </w:r>
      <w:r>
        <w:rPr>
          <w:color w:val="231F20"/>
          <w:spacing w:val="-3"/>
        </w:rPr>
        <w:t>које </w:t>
      </w:r>
      <w:r>
        <w:rPr>
          <w:color w:val="231F20"/>
        </w:rPr>
        <w:t>су условљене захтевима за хармонизацију дома- ћих</w:t>
      </w:r>
      <w:r>
        <w:rPr>
          <w:color w:val="231F20"/>
          <w:spacing w:val="-6"/>
        </w:rPr>
        <w:t> </w:t>
      </w:r>
      <w:r>
        <w:rPr>
          <w:color w:val="231F20"/>
        </w:rPr>
        <w:t>прописа</w:t>
      </w:r>
      <w:r>
        <w:rPr>
          <w:color w:val="231F20"/>
          <w:spacing w:val="-7"/>
        </w:rPr>
        <w:t> </w:t>
      </w:r>
      <w:r>
        <w:rPr>
          <w:color w:val="231F20"/>
        </w:rPr>
        <w:t>и</w:t>
      </w:r>
      <w:r>
        <w:rPr>
          <w:color w:val="231F20"/>
          <w:spacing w:val="-7"/>
        </w:rPr>
        <w:t> </w:t>
      </w:r>
      <w:r>
        <w:rPr>
          <w:color w:val="231F20"/>
        </w:rPr>
        <w:t>праксе</w:t>
      </w:r>
      <w:r>
        <w:rPr>
          <w:color w:val="231F20"/>
          <w:spacing w:val="-7"/>
        </w:rPr>
        <w:t> </w:t>
      </w:r>
      <w:r>
        <w:rPr>
          <w:color w:val="231F20"/>
        </w:rPr>
        <w:t>са</w:t>
      </w:r>
      <w:r>
        <w:rPr>
          <w:color w:val="231F20"/>
          <w:spacing w:val="-7"/>
        </w:rPr>
        <w:t> </w:t>
      </w:r>
      <w:r>
        <w:rPr>
          <w:color w:val="231F20"/>
        </w:rPr>
        <w:t>стандардима</w:t>
      </w:r>
      <w:r>
        <w:rPr>
          <w:color w:val="231F20"/>
          <w:spacing w:val="-7"/>
        </w:rPr>
        <w:t> </w:t>
      </w:r>
      <w:r>
        <w:rPr>
          <w:color w:val="231F20"/>
          <w:spacing w:val="-10"/>
        </w:rPr>
        <w:t>ЕУ,</w:t>
      </w:r>
      <w:r>
        <w:rPr>
          <w:color w:val="231F20"/>
          <w:spacing w:val="-6"/>
        </w:rPr>
        <w:t> </w:t>
      </w:r>
      <w:r>
        <w:rPr>
          <w:color w:val="231F20"/>
        </w:rPr>
        <w:t>посебно</w:t>
      </w:r>
      <w:r>
        <w:rPr>
          <w:color w:val="231F20"/>
          <w:spacing w:val="-6"/>
        </w:rPr>
        <w:t> </w:t>
      </w:r>
      <w:r>
        <w:rPr>
          <w:color w:val="231F20"/>
        </w:rPr>
        <w:t>Директиве</w:t>
      </w:r>
      <w:r>
        <w:rPr>
          <w:color w:val="231F20"/>
          <w:spacing w:val="-7"/>
        </w:rPr>
        <w:t> </w:t>
      </w:r>
      <w:r>
        <w:rPr>
          <w:color w:val="231F20"/>
        </w:rPr>
        <w:t>о</w:t>
      </w:r>
      <w:r>
        <w:rPr>
          <w:color w:val="231F20"/>
          <w:spacing w:val="-6"/>
        </w:rPr>
        <w:t> </w:t>
      </w:r>
      <w:r>
        <w:rPr>
          <w:color w:val="231F20"/>
        </w:rPr>
        <w:t>ни- тратима и Директиве о употреби отпадних</w:t>
      </w:r>
      <w:r>
        <w:rPr>
          <w:color w:val="231F20"/>
          <w:spacing w:val="-33"/>
        </w:rPr>
        <w:t> </w:t>
      </w:r>
      <w:r>
        <w:rPr>
          <w:color w:val="231F20"/>
        </w:rPr>
        <w:t>вода у пољопривреди.</w:t>
      </w:r>
    </w:p>
    <w:p>
      <w:pPr>
        <w:pStyle w:val="BodyText"/>
        <w:spacing w:line="192" w:lineRule="exact"/>
        <w:ind w:left="565"/>
        <w:jc w:val="left"/>
      </w:pPr>
      <w:r>
        <w:rPr/>
        <w:pict>
          <v:line style="position:absolute;mso-position-horizontal-relative:page;mso-position-vertical-relative:paragraph;z-index:2584" from="304.724396pt,-70.427414pt" to="304.724396pt,284.377586pt" stroked="true" strokeweight=".6pt" strokecolor="#231f20">
            <v:stroke dashstyle="solid"/>
            <w10:wrap type="none"/>
          </v:line>
        </w:pict>
      </w:r>
      <w:r>
        <w:rPr>
          <w:color w:val="231F20"/>
        </w:rPr>
        <w:t>Будући да северну границу простора директно захваћеног ру-</w:t>
      </w:r>
    </w:p>
    <w:p>
      <w:pPr>
        <w:pStyle w:val="BodyText"/>
        <w:ind w:left="168" w:right="413"/>
      </w:pPr>
      <w:r>
        <w:rPr>
          <w:color w:val="231F20"/>
        </w:rPr>
        <w:t>дарско-енергетским</w:t>
      </w:r>
      <w:r>
        <w:rPr>
          <w:color w:val="231F20"/>
          <w:spacing w:val="-8"/>
        </w:rPr>
        <w:t> </w:t>
      </w:r>
      <w:r>
        <w:rPr>
          <w:color w:val="231F20"/>
        </w:rPr>
        <w:t>делатностима,</w:t>
      </w:r>
      <w:r>
        <w:rPr>
          <w:color w:val="231F20"/>
          <w:spacing w:val="-8"/>
        </w:rPr>
        <w:t> </w:t>
      </w:r>
      <w:r>
        <w:rPr>
          <w:color w:val="231F20"/>
        </w:rPr>
        <w:t>чини</w:t>
      </w:r>
      <w:r>
        <w:rPr>
          <w:color w:val="231F20"/>
          <w:spacing w:val="-8"/>
        </w:rPr>
        <w:t> </w:t>
      </w:r>
      <w:r>
        <w:rPr>
          <w:color w:val="231F20"/>
        </w:rPr>
        <w:t>река</w:t>
      </w:r>
      <w:r>
        <w:rPr>
          <w:color w:val="231F20"/>
          <w:spacing w:val="-8"/>
        </w:rPr>
        <w:t> </w:t>
      </w:r>
      <w:r>
        <w:rPr>
          <w:color w:val="231F20"/>
        </w:rPr>
        <w:t>Дунав,</w:t>
      </w:r>
      <w:r>
        <w:rPr>
          <w:color w:val="231F20"/>
          <w:spacing w:val="-8"/>
        </w:rPr>
        <w:t> </w:t>
      </w:r>
      <w:r>
        <w:rPr>
          <w:color w:val="231F20"/>
        </w:rPr>
        <w:t>а</w:t>
      </w:r>
      <w:r>
        <w:rPr>
          <w:color w:val="231F20"/>
          <w:spacing w:val="-8"/>
        </w:rPr>
        <w:t> </w:t>
      </w:r>
      <w:r>
        <w:rPr>
          <w:color w:val="231F20"/>
        </w:rPr>
        <w:t>западна</w:t>
      </w:r>
      <w:r>
        <w:rPr>
          <w:color w:val="231F20"/>
          <w:spacing w:val="-8"/>
        </w:rPr>
        <w:t> </w:t>
      </w:r>
      <w:r>
        <w:rPr>
          <w:color w:val="231F20"/>
        </w:rPr>
        <w:t>иде долином</w:t>
      </w:r>
      <w:r>
        <w:rPr>
          <w:color w:val="231F20"/>
          <w:spacing w:val="-6"/>
        </w:rPr>
        <w:t> </w:t>
      </w:r>
      <w:r>
        <w:rPr>
          <w:color w:val="231F20"/>
        </w:rPr>
        <w:t>Млаве,</w:t>
      </w:r>
      <w:r>
        <w:rPr>
          <w:color w:val="231F20"/>
          <w:spacing w:val="-6"/>
        </w:rPr>
        <w:t> </w:t>
      </w:r>
      <w:r>
        <w:rPr>
          <w:color w:val="231F20"/>
        </w:rPr>
        <w:t>спровођење</w:t>
      </w:r>
      <w:r>
        <w:rPr>
          <w:color w:val="231F20"/>
          <w:spacing w:val="-6"/>
        </w:rPr>
        <w:t> </w:t>
      </w:r>
      <w:r>
        <w:rPr>
          <w:color w:val="231F20"/>
        </w:rPr>
        <w:t>наведених</w:t>
      </w:r>
      <w:r>
        <w:rPr>
          <w:color w:val="231F20"/>
          <w:spacing w:val="-6"/>
        </w:rPr>
        <w:t> </w:t>
      </w:r>
      <w:r>
        <w:rPr>
          <w:color w:val="231F20"/>
        </w:rPr>
        <w:t>решења</w:t>
      </w:r>
      <w:r>
        <w:rPr>
          <w:color w:val="231F20"/>
          <w:spacing w:val="-6"/>
        </w:rPr>
        <w:t> </w:t>
      </w:r>
      <w:r>
        <w:rPr>
          <w:color w:val="231F20"/>
        </w:rPr>
        <w:t>је,</w:t>
      </w:r>
      <w:r>
        <w:rPr>
          <w:color w:val="231F20"/>
          <w:spacing w:val="-6"/>
        </w:rPr>
        <w:t> </w:t>
      </w:r>
      <w:r>
        <w:rPr>
          <w:color w:val="231F20"/>
        </w:rPr>
        <w:t>такође,</w:t>
      </w:r>
      <w:r>
        <w:rPr>
          <w:color w:val="231F20"/>
          <w:spacing w:val="-6"/>
        </w:rPr>
        <w:t> </w:t>
      </w:r>
      <w:r>
        <w:rPr>
          <w:color w:val="231F20"/>
        </w:rPr>
        <w:t>у</w:t>
      </w:r>
      <w:r>
        <w:rPr>
          <w:color w:val="231F20"/>
          <w:spacing w:val="-6"/>
        </w:rPr>
        <w:t> </w:t>
      </w:r>
      <w:r>
        <w:rPr>
          <w:color w:val="231F20"/>
        </w:rPr>
        <w:t>функ- цији испуњавања међународних обавеза </w:t>
      </w:r>
      <w:r>
        <w:rPr>
          <w:color w:val="231F20"/>
          <w:spacing w:val="-3"/>
        </w:rPr>
        <w:t>које </w:t>
      </w:r>
      <w:r>
        <w:rPr>
          <w:color w:val="231F20"/>
        </w:rPr>
        <w:t>је Република Србија прихвата у области заштите природних добара, посебно у вези са заштитом воде, ваздуха и климе </w:t>
      </w:r>
      <w:r>
        <w:rPr>
          <w:color w:val="231F20"/>
          <w:spacing w:val="-3"/>
        </w:rPr>
        <w:t>од </w:t>
      </w:r>
      <w:r>
        <w:rPr>
          <w:color w:val="231F20"/>
        </w:rPr>
        <w:t>загађења проузрокованих оба- вљањем пољопривредне делатности. </w:t>
      </w:r>
      <w:r>
        <w:rPr>
          <w:color w:val="231F20"/>
          <w:spacing w:val="-3"/>
        </w:rPr>
        <w:t>Реч </w:t>
      </w:r>
      <w:r>
        <w:rPr>
          <w:color w:val="231F20"/>
        </w:rPr>
        <w:t>је о тзв. агроеколошким услугама, </w:t>
      </w:r>
      <w:r>
        <w:rPr>
          <w:color w:val="231F20"/>
          <w:spacing w:val="-3"/>
        </w:rPr>
        <w:t>које </w:t>
      </w:r>
      <w:r>
        <w:rPr>
          <w:color w:val="231F20"/>
        </w:rPr>
        <w:t>морају бити адекватно плаћене из заједничких (бу- џетских) средстава, или посебних фондова ТЕ-КО „Костолац”. У складу с европским </w:t>
      </w:r>
      <w:r>
        <w:rPr>
          <w:color w:val="231F20"/>
          <w:spacing w:val="-3"/>
        </w:rPr>
        <w:t>концептом </w:t>
      </w:r>
      <w:r>
        <w:rPr>
          <w:color w:val="231F20"/>
        </w:rPr>
        <w:t>заштите и уређења амбијенталних целина културно-историјских споменика, односно заштићених природних добара, подршка примени мера својствених традици- оналној пољопривреди, прикладна је и за рурални предео архео- лошког налазишта Виминацијум (Костолац) и окружење других археолошких локалитета (Маргум, Рукумија, Малинац и друго), односно споменика природе у </w:t>
      </w:r>
      <w:r>
        <w:rPr>
          <w:color w:val="231F20"/>
          <w:spacing w:val="-5"/>
        </w:rPr>
        <w:t>Пругову, </w:t>
      </w:r>
      <w:r>
        <w:rPr>
          <w:color w:val="231F20"/>
          <w:spacing w:val="-3"/>
        </w:rPr>
        <w:t>Драговцу, </w:t>
      </w:r>
      <w:r>
        <w:rPr>
          <w:color w:val="231F20"/>
        </w:rPr>
        <w:t>Љубичеву и за друге туристички атрактивне дестинације. Старање о очувању агробиодиверзитета и аутентичног лика руралних предела произ- води изузетно значајне користи за друштво у</w:t>
      </w:r>
      <w:r>
        <w:rPr>
          <w:color w:val="231F20"/>
          <w:spacing w:val="-15"/>
        </w:rPr>
        <w:t> </w:t>
      </w:r>
      <w:r>
        <w:rPr>
          <w:color w:val="231F20"/>
        </w:rPr>
        <w:t>целини.</w:t>
      </w:r>
    </w:p>
    <w:p>
      <w:pPr>
        <w:pStyle w:val="BodyText"/>
        <w:spacing w:line="171" w:lineRule="exact"/>
        <w:ind w:left="566"/>
        <w:jc w:val="left"/>
      </w:pPr>
      <w:r>
        <w:rPr>
          <w:color w:val="231F20"/>
        </w:rPr>
        <w:t>Нарочито треба водити рачуна о заштити пољопривредног зе-</w:t>
      </w:r>
    </w:p>
    <w:p>
      <w:pPr>
        <w:pStyle w:val="BodyText"/>
        <w:ind w:left="169" w:right="413"/>
      </w:pPr>
      <w:r>
        <w:rPr>
          <w:color w:val="231F20"/>
        </w:rPr>
        <w:t>мљишта у зонама истражних поља и експлоатације нафте и гаса, </w:t>
      </w:r>
      <w:r>
        <w:rPr>
          <w:color w:val="231F20"/>
          <w:spacing w:val="-4"/>
        </w:rPr>
        <w:t>које </w:t>
      </w:r>
      <w:r>
        <w:rPr>
          <w:color w:val="231F20"/>
        </w:rPr>
        <w:t>се налазе у северним атарима града Пожаревац и у деловима општине </w:t>
      </w:r>
      <w:r>
        <w:rPr>
          <w:color w:val="231F20"/>
          <w:spacing w:val="-3"/>
        </w:rPr>
        <w:t>Велико Градиште, </w:t>
      </w:r>
      <w:r>
        <w:rPr>
          <w:color w:val="231F20"/>
          <w:spacing w:val="-4"/>
        </w:rPr>
        <w:t>који </w:t>
      </w:r>
      <w:r>
        <w:rPr>
          <w:color w:val="231F20"/>
        </w:rPr>
        <w:t>су у границама </w:t>
      </w:r>
      <w:r>
        <w:rPr>
          <w:color w:val="231F20"/>
          <w:spacing w:val="-3"/>
        </w:rPr>
        <w:t>Планског под- </w:t>
      </w:r>
      <w:r>
        <w:rPr>
          <w:color w:val="231F20"/>
        </w:rPr>
        <w:t>ручја. С обзиром на планиране даље и обимније истражне радо- ве на откривеним лежиштима нафте и гаса као и на изналажењу нових резерви, у овим зонама је </w:t>
      </w:r>
      <w:r>
        <w:rPr>
          <w:color w:val="231F20"/>
          <w:spacing w:val="-3"/>
        </w:rPr>
        <w:t>неопходно </w:t>
      </w:r>
      <w:r>
        <w:rPr>
          <w:color w:val="231F20"/>
        </w:rPr>
        <w:t>спречити дисперзно/ </w:t>
      </w:r>
      <w:r>
        <w:rPr>
          <w:color w:val="231F20"/>
          <w:spacing w:val="-3"/>
        </w:rPr>
        <w:t>тачкасто </w:t>
      </w:r>
      <w:r>
        <w:rPr>
          <w:color w:val="231F20"/>
        </w:rPr>
        <w:t>распоређено </w:t>
      </w:r>
      <w:r>
        <w:rPr>
          <w:color w:val="231F20"/>
          <w:spacing w:val="-3"/>
        </w:rPr>
        <w:t>прекомерно </w:t>
      </w:r>
      <w:r>
        <w:rPr>
          <w:color w:val="231F20"/>
        </w:rPr>
        <w:t>уништавања </w:t>
      </w:r>
      <w:r>
        <w:rPr>
          <w:color w:val="231F20"/>
          <w:spacing w:val="-3"/>
        </w:rPr>
        <w:t>педолошког </w:t>
      </w:r>
      <w:r>
        <w:rPr>
          <w:color w:val="231F20"/>
        </w:rPr>
        <w:t>покри- </w:t>
      </w:r>
      <w:r>
        <w:rPr>
          <w:color w:val="231F20"/>
          <w:spacing w:val="-4"/>
        </w:rPr>
        <w:t>вача</w:t>
      </w:r>
      <w:r>
        <w:rPr>
          <w:color w:val="231F20"/>
          <w:spacing w:val="22"/>
        </w:rPr>
        <w:t> </w:t>
      </w:r>
      <w:r>
        <w:rPr>
          <w:color w:val="231F20"/>
        </w:rPr>
        <w:t>и</w:t>
      </w:r>
      <w:r>
        <w:rPr>
          <w:color w:val="231F20"/>
          <w:spacing w:val="22"/>
        </w:rPr>
        <w:t> </w:t>
      </w:r>
      <w:r>
        <w:rPr>
          <w:color w:val="231F20"/>
        </w:rPr>
        <w:t>вегетације,</w:t>
      </w:r>
      <w:r>
        <w:rPr>
          <w:color w:val="231F20"/>
          <w:spacing w:val="22"/>
        </w:rPr>
        <w:t> </w:t>
      </w:r>
      <w:r>
        <w:rPr>
          <w:color w:val="231F20"/>
        </w:rPr>
        <w:t>као</w:t>
      </w:r>
      <w:r>
        <w:rPr>
          <w:color w:val="231F20"/>
          <w:spacing w:val="22"/>
        </w:rPr>
        <w:t> </w:t>
      </w:r>
      <w:r>
        <w:rPr>
          <w:color w:val="231F20"/>
        </w:rPr>
        <w:t>и</w:t>
      </w:r>
      <w:r>
        <w:rPr>
          <w:color w:val="231F20"/>
          <w:spacing w:val="22"/>
        </w:rPr>
        <w:t> </w:t>
      </w:r>
      <w:r>
        <w:rPr>
          <w:color w:val="231F20"/>
        </w:rPr>
        <w:t>пратеће</w:t>
      </w:r>
      <w:r>
        <w:rPr>
          <w:color w:val="231F20"/>
          <w:spacing w:val="22"/>
        </w:rPr>
        <w:t> </w:t>
      </w:r>
      <w:r>
        <w:rPr>
          <w:color w:val="231F20"/>
        </w:rPr>
        <w:t>загађивање</w:t>
      </w:r>
      <w:r>
        <w:rPr>
          <w:color w:val="231F20"/>
          <w:spacing w:val="22"/>
        </w:rPr>
        <w:t> </w:t>
      </w:r>
      <w:r>
        <w:rPr>
          <w:color w:val="231F20"/>
        </w:rPr>
        <w:t>тла,</w:t>
      </w:r>
      <w:r>
        <w:rPr>
          <w:color w:val="231F20"/>
          <w:spacing w:val="22"/>
        </w:rPr>
        <w:t> </w:t>
      </w:r>
      <w:r>
        <w:rPr>
          <w:color w:val="231F20"/>
          <w:spacing w:val="-3"/>
        </w:rPr>
        <w:t>вода</w:t>
      </w:r>
      <w:r>
        <w:rPr>
          <w:color w:val="231F20"/>
          <w:spacing w:val="22"/>
        </w:rPr>
        <w:t> </w:t>
      </w:r>
      <w:r>
        <w:rPr>
          <w:color w:val="231F20"/>
        </w:rPr>
        <w:t>и</w:t>
      </w:r>
      <w:r>
        <w:rPr>
          <w:color w:val="231F20"/>
          <w:spacing w:val="22"/>
        </w:rPr>
        <w:t> </w:t>
      </w:r>
      <w:r>
        <w:rPr>
          <w:color w:val="231F20"/>
          <w:spacing w:val="-3"/>
        </w:rPr>
        <w:t>ваздуха,</w:t>
      </w:r>
    </w:p>
    <w:p>
      <w:pPr>
        <w:spacing w:after="0"/>
        <w:sectPr>
          <w:type w:val="continuous"/>
          <w:pgSz w:w="12480" w:h="15690"/>
          <w:pgMar w:top="880" w:bottom="280" w:left="680" w:right="720"/>
          <w:cols w:num="2" w:equalWidth="0">
            <w:col w:w="5314" w:space="71"/>
            <w:col w:w="5695"/>
          </w:cols>
        </w:sectPr>
      </w:pPr>
    </w:p>
    <w:p>
      <w:pPr>
        <w:pStyle w:val="BodyText"/>
        <w:spacing w:line="232" w:lineRule="auto" w:before="73"/>
        <w:ind w:left="389" w:hanging="1"/>
        <w:jc w:val="right"/>
      </w:pPr>
      <w:r>
        <w:rPr/>
        <w:pict>
          <v:line style="position:absolute;mso-position-horizontal-relative:page;mso-position-vertical-relative:page;z-index:2608" from="318.897614pt,11.942451pt" to="318.897614pt,748.950451pt" stroked="true" strokeweight=".6pt" strokecolor="#231f20">
            <v:stroke dashstyle="solid"/>
            <w10:wrap type="none"/>
          </v:line>
        </w:pict>
      </w:r>
      <w:r>
        <w:rPr>
          <w:color w:val="231F20"/>
        </w:rPr>
        <w:t>успостављањем појачане </w:t>
      </w:r>
      <w:r>
        <w:rPr>
          <w:color w:val="231F20"/>
          <w:spacing w:val="-3"/>
        </w:rPr>
        <w:t>контроле </w:t>
      </w:r>
      <w:r>
        <w:rPr>
          <w:color w:val="231F20"/>
        </w:rPr>
        <w:t>поштовања забране испуштања и одлагања опасних и штетних материја на пољопривредном зе- </w:t>
      </w:r>
      <w:r>
        <w:rPr>
          <w:color w:val="231F20"/>
          <w:spacing w:val="-4"/>
        </w:rPr>
        <w:t>мљишту, </w:t>
      </w:r>
      <w:r>
        <w:rPr>
          <w:color w:val="231F20"/>
          <w:spacing w:val="-2"/>
        </w:rPr>
        <w:t>коришћења </w:t>
      </w:r>
      <w:r>
        <w:rPr>
          <w:color w:val="231F20"/>
        </w:rPr>
        <w:t>биолошки неразградиве фолије, уништавања и оштећења усева, садница, стабала и пољопривредне механизаци- је на имањима, изазивања оштећења </w:t>
      </w:r>
      <w:r>
        <w:rPr>
          <w:color w:val="231F20"/>
          <w:spacing w:val="-4"/>
        </w:rPr>
        <w:t>која </w:t>
      </w:r>
      <w:r>
        <w:rPr>
          <w:color w:val="231F20"/>
          <w:spacing w:val="-2"/>
        </w:rPr>
        <w:t>доводе </w:t>
      </w:r>
      <w:r>
        <w:rPr>
          <w:color w:val="231F20"/>
        </w:rPr>
        <w:t>до смањења про- дуктивности, структуре и слојева, као и свих других оштећења пе- </w:t>
      </w:r>
      <w:r>
        <w:rPr>
          <w:color w:val="231F20"/>
          <w:spacing w:val="-3"/>
        </w:rPr>
        <w:t>долошког </w:t>
      </w:r>
      <w:r>
        <w:rPr>
          <w:color w:val="231F20"/>
        </w:rPr>
        <w:t>слоја, у складу са </w:t>
      </w:r>
      <w:r>
        <w:rPr>
          <w:color w:val="231F20"/>
          <w:spacing w:val="-3"/>
        </w:rPr>
        <w:t>Законом </w:t>
      </w:r>
      <w:r>
        <w:rPr>
          <w:color w:val="231F20"/>
        </w:rPr>
        <w:t>о пољопривредном </w:t>
      </w:r>
      <w:r>
        <w:rPr>
          <w:color w:val="231F20"/>
          <w:spacing w:val="-4"/>
        </w:rPr>
        <w:t>земљишту.</w:t>
      </w:r>
      <w:r>
        <w:rPr>
          <w:color w:val="231F20"/>
        </w:rPr>
        <w:t> Посебну пажњу треба посветити заштити земљишта </w:t>
      </w:r>
      <w:r>
        <w:rPr>
          <w:color w:val="231F20"/>
          <w:spacing w:val="-3"/>
        </w:rPr>
        <w:t>од </w:t>
      </w:r>
      <w:r>
        <w:rPr>
          <w:color w:val="231F20"/>
        </w:rPr>
        <w:t>еро-</w:t>
      </w:r>
    </w:p>
    <w:p>
      <w:pPr>
        <w:pStyle w:val="BodyText"/>
        <w:spacing w:line="198" w:lineRule="exact"/>
        <w:ind w:left="454"/>
        <w:jc w:val="left"/>
      </w:pPr>
      <w:r>
        <w:rPr>
          <w:color w:val="231F20"/>
        </w:rPr>
        <w:t>зије у складу са локалним плановима противерозивне заштите.</w:t>
      </w:r>
    </w:p>
    <w:p>
      <w:pPr>
        <w:pStyle w:val="BodyText"/>
        <w:spacing w:line="232" w:lineRule="auto" w:before="2"/>
        <w:ind w:left="453" w:firstLine="397"/>
      </w:pPr>
      <w:r>
        <w:rPr>
          <w:color w:val="231F20"/>
        </w:rPr>
        <w:t>У</w:t>
      </w:r>
      <w:r>
        <w:rPr>
          <w:color w:val="231F20"/>
          <w:spacing w:val="-10"/>
        </w:rPr>
        <w:t> </w:t>
      </w:r>
      <w:r>
        <w:rPr>
          <w:color w:val="231F20"/>
        </w:rPr>
        <w:t>деловима</w:t>
      </w:r>
      <w:r>
        <w:rPr>
          <w:color w:val="231F20"/>
          <w:spacing w:val="-10"/>
        </w:rPr>
        <w:t> </w:t>
      </w:r>
      <w:r>
        <w:rPr>
          <w:color w:val="231F20"/>
        </w:rPr>
        <w:t>Планског</w:t>
      </w:r>
      <w:r>
        <w:rPr>
          <w:color w:val="231F20"/>
          <w:spacing w:val="-10"/>
        </w:rPr>
        <w:t> </w:t>
      </w:r>
      <w:r>
        <w:rPr>
          <w:color w:val="231F20"/>
        </w:rPr>
        <w:t>подручја,</w:t>
      </w:r>
      <w:r>
        <w:rPr>
          <w:color w:val="231F20"/>
          <w:spacing w:val="-10"/>
        </w:rPr>
        <w:t> </w:t>
      </w:r>
      <w:r>
        <w:rPr>
          <w:color w:val="231F20"/>
          <w:spacing w:val="-3"/>
        </w:rPr>
        <w:t>који</w:t>
      </w:r>
      <w:r>
        <w:rPr>
          <w:color w:val="231F20"/>
          <w:spacing w:val="-10"/>
        </w:rPr>
        <w:t> </w:t>
      </w:r>
      <w:r>
        <w:rPr>
          <w:color w:val="231F20"/>
        </w:rPr>
        <w:t>су</w:t>
      </w:r>
      <w:r>
        <w:rPr>
          <w:color w:val="231F20"/>
          <w:spacing w:val="-10"/>
        </w:rPr>
        <w:t> </w:t>
      </w:r>
      <w:r>
        <w:rPr>
          <w:color w:val="231F20"/>
        </w:rPr>
        <w:t>поштеђени</w:t>
      </w:r>
      <w:r>
        <w:rPr>
          <w:color w:val="231F20"/>
          <w:spacing w:val="-10"/>
        </w:rPr>
        <w:t> </w:t>
      </w:r>
      <w:r>
        <w:rPr>
          <w:color w:val="231F20"/>
        </w:rPr>
        <w:t>директних утицаја ТЕ-КО активности на стање животне средине, а </w:t>
      </w:r>
      <w:r>
        <w:rPr>
          <w:color w:val="231F20"/>
          <w:spacing w:val="-3"/>
        </w:rPr>
        <w:t>који </w:t>
      </w:r>
      <w:r>
        <w:rPr>
          <w:color w:val="231F20"/>
        </w:rPr>
        <w:t>обу- хватају </w:t>
      </w:r>
      <w:r>
        <w:rPr>
          <w:color w:val="231F20"/>
          <w:spacing w:val="-4"/>
        </w:rPr>
        <w:t>око </w:t>
      </w:r>
      <w:r>
        <w:rPr>
          <w:color w:val="231F20"/>
        </w:rPr>
        <w:t>72 % његових укупних, односно 78 % пољопривред- них површина, не постоје ограничења за развој пољопривреде у систему конвенционалне производње, кориговане поштовањем стандарда</w:t>
      </w:r>
      <w:r>
        <w:rPr>
          <w:color w:val="231F20"/>
          <w:spacing w:val="-6"/>
        </w:rPr>
        <w:t> </w:t>
      </w:r>
      <w:r>
        <w:rPr>
          <w:color w:val="231F20"/>
        </w:rPr>
        <w:t>квалитета</w:t>
      </w:r>
      <w:r>
        <w:rPr>
          <w:color w:val="231F20"/>
          <w:spacing w:val="-6"/>
        </w:rPr>
        <w:t> </w:t>
      </w:r>
      <w:r>
        <w:rPr>
          <w:color w:val="231F20"/>
        </w:rPr>
        <w:t>животне</w:t>
      </w:r>
      <w:r>
        <w:rPr>
          <w:color w:val="231F20"/>
          <w:spacing w:val="-6"/>
        </w:rPr>
        <w:t> </w:t>
      </w:r>
      <w:r>
        <w:rPr>
          <w:color w:val="231F20"/>
        </w:rPr>
        <w:t>средине,</w:t>
      </w:r>
      <w:r>
        <w:rPr>
          <w:color w:val="231F20"/>
          <w:spacing w:val="-6"/>
        </w:rPr>
        <w:t> </w:t>
      </w:r>
      <w:r>
        <w:rPr>
          <w:color w:val="231F20"/>
        </w:rPr>
        <w:t>заштите</w:t>
      </w:r>
      <w:r>
        <w:rPr>
          <w:color w:val="231F20"/>
          <w:spacing w:val="-6"/>
        </w:rPr>
        <w:t> </w:t>
      </w:r>
      <w:r>
        <w:rPr>
          <w:color w:val="231F20"/>
        </w:rPr>
        <w:t>здравља</w:t>
      </w:r>
      <w:r>
        <w:rPr>
          <w:color w:val="231F20"/>
          <w:spacing w:val="-6"/>
        </w:rPr>
        <w:t> </w:t>
      </w:r>
      <w:r>
        <w:rPr>
          <w:color w:val="231F20"/>
          <w:spacing w:val="-3"/>
        </w:rPr>
        <w:t>људи,</w:t>
      </w:r>
      <w:r>
        <w:rPr>
          <w:color w:val="231F20"/>
          <w:spacing w:val="-6"/>
        </w:rPr>
        <w:t> </w:t>
      </w:r>
      <w:r>
        <w:rPr>
          <w:color w:val="231F20"/>
        </w:rPr>
        <w:t>жи- вотиња и биљака, добробити животиња и заштите пољопривред- ног земљишта, уз местимично искоришћавање локалних агроеко- лошких</w:t>
      </w:r>
      <w:r>
        <w:rPr>
          <w:color w:val="231F20"/>
          <w:spacing w:val="-11"/>
        </w:rPr>
        <w:t> </w:t>
      </w:r>
      <w:r>
        <w:rPr>
          <w:color w:val="231F20"/>
        </w:rPr>
        <w:t>погодности</w:t>
      </w:r>
      <w:r>
        <w:rPr>
          <w:color w:val="231F20"/>
          <w:spacing w:val="-11"/>
        </w:rPr>
        <w:t> </w:t>
      </w:r>
      <w:r>
        <w:rPr>
          <w:color w:val="231F20"/>
        </w:rPr>
        <w:t>за</w:t>
      </w:r>
      <w:r>
        <w:rPr>
          <w:color w:val="231F20"/>
          <w:spacing w:val="-11"/>
        </w:rPr>
        <w:t> </w:t>
      </w:r>
      <w:r>
        <w:rPr>
          <w:color w:val="231F20"/>
        </w:rPr>
        <w:t>развој</w:t>
      </w:r>
      <w:r>
        <w:rPr>
          <w:color w:val="231F20"/>
          <w:spacing w:val="-11"/>
        </w:rPr>
        <w:t> </w:t>
      </w:r>
      <w:r>
        <w:rPr>
          <w:color w:val="231F20"/>
        </w:rPr>
        <w:t>органске</w:t>
      </w:r>
      <w:r>
        <w:rPr>
          <w:color w:val="231F20"/>
          <w:spacing w:val="-11"/>
        </w:rPr>
        <w:t> </w:t>
      </w:r>
      <w:r>
        <w:rPr>
          <w:color w:val="231F20"/>
        </w:rPr>
        <w:t>или</w:t>
      </w:r>
      <w:r>
        <w:rPr>
          <w:color w:val="231F20"/>
          <w:spacing w:val="-11"/>
        </w:rPr>
        <w:t> </w:t>
      </w:r>
      <w:r>
        <w:rPr>
          <w:color w:val="231F20"/>
        </w:rPr>
        <w:t>интегралне</w:t>
      </w:r>
      <w:r>
        <w:rPr>
          <w:color w:val="231F20"/>
          <w:spacing w:val="-11"/>
        </w:rPr>
        <w:t> </w:t>
      </w:r>
      <w:r>
        <w:rPr>
          <w:color w:val="231F20"/>
        </w:rPr>
        <w:t>производње хране и пића високе биолошке</w:t>
      </w:r>
      <w:r>
        <w:rPr>
          <w:color w:val="231F20"/>
          <w:spacing w:val="-5"/>
        </w:rPr>
        <w:t> </w:t>
      </w:r>
      <w:r>
        <w:rPr>
          <w:color w:val="231F20"/>
        </w:rPr>
        <w:t>вредности.</w:t>
      </w:r>
    </w:p>
    <w:p>
      <w:pPr>
        <w:pStyle w:val="BodyText"/>
        <w:spacing w:line="232" w:lineRule="auto"/>
        <w:ind w:left="452" w:right="1" w:firstLine="397"/>
      </w:pPr>
      <w:r>
        <w:rPr>
          <w:color w:val="231F20"/>
        </w:rPr>
        <w:t>На теренима конвенционалне пољопривреде приоритетна је подршка унапређењу конкурентности пољопривредног сектора (обука произвођача за примену нових знања и вештина у произ- водњи; укрупњавање поседа и техничко-технолошка модерниза- ција породичних газдинстава; приватизација и реструктурирање пољопривредних предузећа и задруга; стандардизација производ- ње семенског и садног материјала; унапређење сортног састава и повећање приноса; уређење и заштита пољопривредног земљи- шта;</w:t>
      </w:r>
      <w:r>
        <w:rPr>
          <w:color w:val="231F20"/>
          <w:spacing w:val="-6"/>
        </w:rPr>
        <w:t> </w:t>
      </w:r>
      <w:r>
        <w:rPr>
          <w:color w:val="231F20"/>
        </w:rPr>
        <w:t>изградња</w:t>
      </w:r>
      <w:r>
        <w:rPr>
          <w:color w:val="231F20"/>
          <w:spacing w:val="-7"/>
        </w:rPr>
        <w:t> </w:t>
      </w:r>
      <w:r>
        <w:rPr>
          <w:color w:val="231F20"/>
        </w:rPr>
        <w:t>система</w:t>
      </w:r>
      <w:r>
        <w:rPr>
          <w:color w:val="231F20"/>
          <w:spacing w:val="-6"/>
        </w:rPr>
        <w:t> </w:t>
      </w:r>
      <w:r>
        <w:rPr>
          <w:color w:val="231F20"/>
        </w:rPr>
        <w:t>за</w:t>
      </w:r>
      <w:r>
        <w:rPr>
          <w:color w:val="231F20"/>
          <w:spacing w:val="-7"/>
        </w:rPr>
        <w:t> </w:t>
      </w:r>
      <w:r>
        <w:rPr>
          <w:color w:val="231F20"/>
        </w:rPr>
        <w:t>наводњавање</w:t>
      </w:r>
      <w:r>
        <w:rPr>
          <w:color w:val="231F20"/>
          <w:spacing w:val="-7"/>
        </w:rPr>
        <w:t> </w:t>
      </w:r>
      <w:r>
        <w:rPr>
          <w:color w:val="231F20"/>
        </w:rPr>
        <w:t>и</w:t>
      </w:r>
      <w:r>
        <w:rPr>
          <w:color w:val="231F20"/>
          <w:spacing w:val="-7"/>
        </w:rPr>
        <w:t> </w:t>
      </w:r>
      <w:r>
        <w:rPr>
          <w:color w:val="231F20"/>
        </w:rPr>
        <w:t>одводњавање;</w:t>
      </w:r>
      <w:r>
        <w:rPr>
          <w:color w:val="231F20"/>
          <w:spacing w:val="-7"/>
        </w:rPr>
        <w:t> </w:t>
      </w:r>
      <w:r>
        <w:rPr>
          <w:color w:val="231F20"/>
        </w:rPr>
        <w:t>увођење</w:t>
      </w:r>
      <w:r>
        <w:rPr>
          <w:color w:val="231F20"/>
          <w:spacing w:val="-7"/>
        </w:rPr>
        <w:t> </w:t>
      </w:r>
      <w:r>
        <w:rPr>
          <w:color w:val="231F20"/>
        </w:rPr>
        <w:t>и сертификација система квалитета и безбедности хране; формира- ње </w:t>
      </w:r>
      <w:r>
        <w:rPr>
          <w:color w:val="231F20"/>
          <w:spacing w:val="-3"/>
        </w:rPr>
        <w:t>удружења </w:t>
      </w:r>
      <w:r>
        <w:rPr>
          <w:color w:val="231F20"/>
        </w:rPr>
        <w:t>произвођача и кластера; и унапређење тржишних и кредитних институција и механизама). </w:t>
      </w:r>
      <w:r>
        <w:rPr>
          <w:color w:val="231F20"/>
          <w:spacing w:val="-3"/>
        </w:rPr>
        <w:t>Упоредо </w:t>
      </w:r>
      <w:r>
        <w:rPr>
          <w:color w:val="231F20"/>
        </w:rPr>
        <w:t>с тим потребно је јачање активности усмерених на одрживо коришћење природних ресурса, заштиту животне средине и предела (доношење и приме- на</w:t>
      </w:r>
      <w:r>
        <w:rPr>
          <w:color w:val="231F20"/>
          <w:spacing w:val="-10"/>
        </w:rPr>
        <w:t> </w:t>
      </w:r>
      <w:r>
        <w:rPr>
          <w:color w:val="231F20"/>
          <w:spacing w:val="-3"/>
        </w:rPr>
        <w:t>кодекса</w:t>
      </w:r>
      <w:r>
        <w:rPr>
          <w:color w:val="231F20"/>
          <w:spacing w:val="-10"/>
        </w:rPr>
        <w:t> </w:t>
      </w:r>
      <w:r>
        <w:rPr>
          <w:color w:val="231F20"/>
        </w:rPr>
        <w:t>добре</w:t>
      </w:r>
      <w:r>
        <w:rPr>
          <w:color w:val="231F20"/>
          <w:spacing w:val="-10"/>
        </w:rPr>
        <w:t> </w:t>
      </w:r>
      <w:r>
        <w:rPr>
          <w:color w:val="231F20"/>
        </w:rPr>
        <w:t>пољопривредне</w:t>
      </w:r>
      <w:r>
        <w:rPr>
          <w:color w:val="231F20"/>
          <w:spacing w:val="-10"/>
        </w:rPr>
        <w:t> </w:t>
      </w:r>
      <w:r>
        <w:rPr>
          <w:color w:val="231F20"/>
        </w:rPr>
        <w:t>праксе,</w:t>
      </w:r>
      <w:r>
        <w:rPr>
          <w:color w:val="231F20"/>
          <w:spacing w:val="-10"/>
        </w:rPr>
        <w:t> </w:t>
      </w:r>
      <w:r>
        <w:rPr>
          <w:color w:val="231F20"/>
        </w:rPr>
        <w:t>ремедијација</w:t>
      </w:r>
      <w:r>
        <w:rPr>
          <w:color w:val="231F20"/>
          <w:spacing w:val="-10"/>
        </w:rPr>
        <w:t> </w:t>
      </w:r>
      <w:r>
        <w:rPr>
          <w:color w:val="231F20"/>
        </w:rPr>
        <w:t>контамини- раног и дефектног земљишта, интегрално управљање применом агрохемикалија, производња биогорива и очување станишта и предеоних вредности отвореног простора, нарочито у периурба- ним</w:t>
      </w:r>
      <w:r>
        <w:rPr>
          <w:color w:val="231F20"/>
          <w:spacing w:val="-11"/>
        </w:rPr>
        <w:t> </w:t>
      </w:r>
      <w:r>
        <w:rPr>
          <w:color w:val="231F20"/>
        </w:rPr>
        <w:t>подручјима).</w:t>
      </w:r>
      <w:r>
        <w:rPr>
          <w:color w:val="231F20"/>
          <w:spacing w:val="-11"/>
        </w:rPr>
        <w:t> </w:t>
      </w:r>
      <w:r>
        <w:rPr>
          <w:color w:val="231F20"/>
        </w:rPr>
        <w:t>Значајан</w:t>
      </w:r>
      <w:r>
        <w:rPr>
          <w:color w:val="231F20"/>
          <w:spacing w:val="-11"/>
        </w:rPr>
        <w:t> </w:t>
      </w:r>
      <w:r>
        <w:rPr>
          <w:color w:val="231F20"/>
        </w:rPr>
        <w:t>допринос</w:t>
      </w:r>
      <w:r>
        <w:rPr>
          <w:color w:val="231F20"/>
          <w:spacing w:val="-11"/>
        </w:rPr>
        <w:t> </w:t>
      </w:r>
      <w:r>
        <w:rPr>
          <w:color w:val="231F20"/>
        </w:rPr>
        <w:t>управљању</w:t>
      </w:r>
      <w:r>
        <w:rPr>
          <w:color w:val="231F20"/>
          <w:spacing w:val="-11"/>
        </w:rPr>
        <w:t> </w:t>
      </w:r>
      <w:r>
        <w:rPr>
          <w:color w:val="231F20"/>
        </w:rPr>
        <w:t>пољопривредним земљиштем може се очекивати </w:t>
      </w:r>
      <w:r>
        <w:rPr>
          <w:color w:val="231F20"/>
          <w:spacing w:val="-3"/>
        </w:rPr>
        <w:t>од </w:t>
      </w:r>
      <w:r>
        <w:rPr>
          <w:color w:val="231F20"/>
        </w:rPr>
        <w:t>јачања локалних партнерстава и њиховог умрежавања, као и </w:t>
      </w:r>
      <w:r>
        <w:rPr>
          <w:color w:val="231F20"/>
          <w:spacing w:val="-3"/>
        </w:rPr>
        <w:t>од </w:t>
      </w:r>
      <w:r>
        <w:rPr>
          <w:color w:val="231F20"/>
        </w:rPr>
        <w:t>унапређења транснационалне и регионалне сарадње, посебно у </w:t>
      </w:r>
      <w:r>
        <w:rPr>
          <w:color w:val="231F20"/>
          <w:spacing w:val="-3"/>
        </w:rPr>
        <w:t>погледу </w:t>
      </w:r>
      <w:r>
        <w:rPr>
          <w:color w:val="231F20"/>
        </w:rPr>
        <w:t>усавршавања институци- оналног оквира за развој МСП, произвођачких асоцијација и кла- стера, унапређење квалитета и безбедности хране, увођење</w:t>
      </w:r>
      <w:r>
        <w:rPr>
          <w:color w:val="231F20"/>
          <w:spacing w:val="-28"/>
        </w:rPr>
        <w:t> </w:t>
      </w:r>
      <w:r>
        <w:rPr>
          <w:color w:val="231F20"/>
        </w:rPr>
        <w:t>инова- ција, јачање рурално-урбаних релација и ефикаснију заштиту </w:t>
      </w:r>
      <w:r>
        <w:rPr>
          <w:color w:val="231F20"/>
          <w:spacing w:val="-3"/>
        </w:rPr>
        <w:t>од </w:t>
      </w:r>
      <w:r>
        <w:rPr>
          <w:color w:val="231F20"/>
        </w:rPr>
        <w:t>поплава и прекограничних</w:t>
      </w:r>
      <w:r>
        <w:rPr>
          <w:color w:val="231F20"/>
          <w:spacing w:val="-4"/>
        </w:rPr>
        <w:t> </w:t>
      </w:r>
      <w:r>
        <w:rPr>
          <w:color w:val="231F20"/>
        </w:rPr>
        <w:t>загађења.</w:t>
      </w:r>
    </w:p>
    <w:p>
      <w:pPr>
        <w:pStyle w:val="ListParagraph"/>
        <w:numPr>
          <w:ilvl w:val="1"/>
          <w:numId w:val="29"/>
        </w:numPr>
        <w:tabs>
          <w:tab w:pos="2373" w:val="left" w:leader="none"/>
        </w:tabs>
        <w:spacing w:line="240" w:lineRule="auto" w:before="162" w:after="0"/>
        <w:ind w:left="2372" w:right="0" w:hanging="315"/>
        <w:jc w:val="left"/>
        <w:rPr>
          <w:i/>
          <w:sz w:val="18"/>
        </w:rPr>
      </w:pPr>
      <w:r>
        <w:rPr>
          <w:i/>
          <w:color w:val="231F20"/>
          <w:sz w:val="18"/>
        </w:rPr>
        <w:t>Шуме, лов и</w:t>
      </w:r>
      <w:r>
        <w:rPr>
          <w:i/>
          <w:color w:val="231F20"/>
          <w:spacing w:val="-2"/>
          <w:sz w:val="18"/>
        </w:rPr>
        <w:t> </w:t>
      </w:r>
      <w:r>
        <w:rPr>
          <w:i/>
          <w:color w:val="231F20"/>
          <w:sz w:val="18"/>
        </w:rPr>
        <w:t>риболов</w:t>
      </w:r>
    </w:p>
    <w:p>
      <w:pPr>
        <w:pStyle w:val="BodyText"/>
        <w:spacing w:before="10"/>
        <w:ind w:left="0"/>
        <w:jc w:val="left"/>
        <w:rPr>
          <w:i/>
          <w:sz w:val="16"/>
        </w:rPr>
      </w:pPr>
    </w:p>
    <w:p>
      <w:pPr>
        <w:pStyle w:val="ListParagraph"/>
        <w:numPr>
          <w:ilvl w:val="0"/>
          <w:numId w:val="30"/>
        </w:numPr>
        <w:tabs>
          <w:tab w:pos="1045" w:val="left" w:leader="none"/>
        </w:tabs>
        <w:spacing w:line="204" w:lineRule="exact" w:before="0" w:after="0"/>
        <w:ind w:left="1044" w:right="0" w:hanging="195"/>
        <w:jc w:val="left"/>
        <w:rPr>
          <w:sz w:val="18"/>
        </w:rPr>
      </w:pPr>
      <w:r>
        <w:rPr>
          <w:color w:val="231F20"/>
          <w:sz w:val="18"/>
        </w:rPr>
        <w:t>Шуме и </w:t>
      </w:r>
      <w:r>
        <w:rPr>
          <w:color w:val="231F20"/>
          <w:spacing w:val="-3"/>
          <w:sz w:val="18"/>
        </w:rPr>
        <w:t>шумско</w:t>
      </w:r>
      <w:r>
        <w:rPr>
          <w:color w:val="231F20"/>
          <w:spacing w:val="-2"/>
          <w:sz w:val="18"/>
        </w:rPr>
        <w:t> </w:t>
      </w:r>
      <w:r>
        <w:rPr>
          <w:color w:val="231F20"/>
          <w:sz w:val="18"/>
        </w:rPr>
        <w:t>земљиште</w:t>
      </w:r>
    </w:p>
    <w:p>
      <w:pPr>
        <w:pStyle w:val="BodyText"/>
        <w:spacing w:line="232" w:lineRule="auto" w:before="2"/>
        <w:ind w:left="452" w:right="1" w:firstLine="396"/>
      </w:pPr>
      <w:r>
        <w:rPr>
          <w:color w:val="231F20"/>
        </w:rPr>
        <w:t>Претежан део Планског подручја одликује се недовољном шумовитошћу и неповољним карактеристикама постојећег шум- </w:t>
      </w:r>
      <w:r>
        <w:rPr>
          <w:color w:val="231F20"/>
          <w:spacing w:val="-3"/>
        </w:rPr>
        <w:t>ског </w:t>
      </w:r>
      <w:r>
        <w:rPr>
          <w:color w:val="231F20"/>
        </w:rPr>
        <w:t>фонда. Ограничења за подизање шумских </w:t>
      </w:r>
      <w:r>
        <w:rPr>
          <w:color w:val="231F20"/>
          <w:spacing w:val="-3"/>
        </w:rPr>
        <w:t>култура </w:t>
      </w:r>
      <w:r>
        <w:rPr>
          <w:color w:val="231F20"/>
        </w:rPr>
        <w:t>су мини- мална.</w:t>
      </w:r>
      <w:r>
        <w:rPr>
          <w:color w:val="231F20"/>
          <w:spacing w:val="-9"/>
        </w:rPr>
        <w:t> </w:t>
      </w:r>
      <w:r>
        <w:rPr>
          <w:color w:val="231F20"/>
        </w:rPr>
        <w:t>Као</w:t>
      </w:r>
      <w:r>
        <w:rPr>
          <w:color w:val="231F20"/>
          <w:spacing w:val="-9"/>
        </w:rPr>
        <w:t> </w:t>
      </w:r>
      <w:r>
        <w:rPr>
          <w:color w:val="231F20"/>
        </w:rPr>
        <w:t>озбиљан</w:t>
      </w:r>
      <w:r>
        <w:rPr>
          <w:color w:val="231F20"/>
          <w:spacing w:val="-9"/>
        </w:rPr>
        <w:t> </w:t>
      </w:r>
      <w:r>
        <w:rPr>
          <w:color w:val="231F20"/>
        </w:rPr>
        <w:t>лимитирајући</w:t>
      </w:r>
      <w:r>
        <w:rPr>
          <w:color w:val="231F20"/>
          <w:spacing w:val="-9"/>
        </w:rPr>
        <w:t> </w:t>
      </w:r>
      <w:r>
        <w:rPr>
          <w:color w:val="231F20"/>
        </w:rPr>
        <w:t>фактор</w:t>
      </w:r>
      <w:r>
        <w:rPr>
          <w:color w:val="231F20"/>
          <w:spacing w:val="-9"/>
        </w:rPr>
        <w:t> </w:t>
      </w:r>
      <w:r>
        <w:rPr>
          <w:color w:val="231F20"/>
        </w:rPr>
        <w:t>издваја</w:t>
      </w:r>
      <w:r>
        <w:rPr>
          <w:color w:val="231F20"/>
          <w:spacing w:val="-9"/>
        </w:rPr>
        <w:t> </w:t>
      </w:r>
      <w:r>
        <w:rPr>
          <w:color w:val="231F20"/>
        </w:rPr>
        <w:t>се</w:t>
      </w:r>
      <w:r>
        <w:rPr>
          <w:color w:val="231F20"/>
          <w:spacing w:val="-9"/>
        </w:rPr>
        <w:t> </w:t>
      </w:r>
      <w:r>
        <w:rPr>
          <w:color w:val="231F20"/>
        </w:rPr>
        <w:t>само</w:t>
      </w:r>
      <w:r>
        <w:rPr>
          <w:color w:val="231F20"/>
          <w:spacing w:val="-9"/>
        </w:rPr>
        <w:t> </w:t>
      </w:r>
      <w:r>
        <w:rPr>
          <w:color w:val="231F20"/>
        </w:rPr>
        <w:t>очување фонда пољопривредног земљишта. Пошто изграђени и планирани енергетско-индустријски објекти емитују и изазивају знатно нега- тивно имисионо дејство (SO2, NOx, и друго), </w:t>
      </w:r>
      <w:r>
        <w:rPr>
          <w:color w:val="231F20"/>
          <w:spacing w:val="-3"/>
        </w:rPr>
        <w:t>преко </w:t>
      </w:r>
      <w:r>
        <w:rPr>
          <w:color w:val="231F20"/>
        </w:rPr>
        <w:t>је потребно повећање површина </w:t>
      </w:r>
      <w:r>
        <w:rPr>
          <w:color w:val="231F20"/>
          <w:spacing w:val="-3"/>
        </w:rPr>
        <w:t>под </w:t>
      </w:r>
      <w:r>
        <w:rPr>
          <w:color w:val="231F20"/>
        </w:rPr>
        <w:t>шумама.</w:t>
      </w:r>
    </w:p>
    <w:p>
      <w:pPr>
        <w:pStyle w:val="BodyText"/>
        <w:spacing w:line="198" w:lineRule="exact"/>
        <w:ind w:left="850"/>
        <w:jc w:val="left"/>
      </w:pPr>
      <w:r>
        <w:rPr>
          <w:color w:val="231F20"/>
        </w:rPr>
        <w:t>Потенцијални простори за подизање нових шума јесу:</w:t>
      </w:r>
    </w:p>
    <w:p>
      <w:pPr>
        <w:pStyle w:val="BodyText"/>
        <w:spacing w:line="232" w:lineRule="auto" w:before="2"/>
        <w:ind w:left="452" w:right="1" w:firstLine="397"/>
      </w:pPr>
      <w:r>
        <w:rPr>
          <w:color w:val="231F20"/>
          <w:w w:val="66"/>
        </w:rPr>
        <w:t> </w:t>
      </w:r>
      <w:r>
        <w:rPr>
          <w:color w:val="231F20"/>
        </w:rPr>
        <w:t>– терени заузети екплоатацијом и прерадом лигнита су по- годни за рекултивацију земљишта пошумљавањем;</w:t>
      </w:r>
    </w:p>
    <w:p>
      <w:pPr>
        <w:pStyle w:val="BodyText"/>
        <w:spacing w:line="232" w:lineRule="auto"/>
        <w:ind w:left="452" w:right="1" w:firstLine="396"/>
      </w:pPr>
      <w:r>
        <w:rPr>
          <w:color w:val="231F20"/>
          <w:w w:val="66"/>
        </w:rPr>
        <w:t> </w:t>
      </w:r>
      <w:r>
        <w:rPr>
          <w:color w:val="231F20"/>
        </w:rPr>
        <w:t>–</w:t>
      </w:r>
      <w:r>
        <w:rPr>
          <w:color w:val="231F20"/>
          <w:spacing w:val="-9"/>
        </w:rPr>
        <w:t> </w:t>
      </w:r>
      <w:r>
        <w:rPr>
          <w:color w:val="231F20"/>
        </w:rPr>
        <w:t>терени</w:t>
      </w:r>
      <w:r>
        <w:rPr>
          <w:color w:val="231F20"/>
          <w:spacing w:val="-9"/>
        </w:rPr>
        <w:t> </w:t>
      </w:r>
      <w:r>
        <w:rPr>
          <w:color w:val="231F20"/>
        </w:rPr>
        <w:t>у</w:t>
      </w:r>
      <w:r>
        <w:rPr>
          <w:color w:val="231F20"/>
          <w:spacing w:val="-9"/>
        </w:rPr>
        <w:t> </w:t>
      </w:r>
      <w:r>
        <w:rPr>
          <w:color w:val="231F20"/>
        </w:rPr>
        <w:t>алувијалним</w:t>
      </w:r>
      <w:r>
        <w:rPr>
          <w:color w:val="231F20"/>
          <w:spacing w:val="-9"/>
        </w:rPr>
        <w:t> </w:t>
      </w:r>
      <w:r>
        <w:rPr>
          <w:color w:val="231F20"/>
        </w:rPr>
        <w:t>равнима</w:t>
      </w:r>
      <w:r>
        <w:rPr>
          <w:color w:val="231F20"/>
          <w:spacing w:val="-9"/>
        </w:rPr>
        <w:t> </w:t>
      </w:r>
      <w:r>
        <w:rPr>
          <w:color w:val="231F20"/>
        </w:rPr>
        <w:t>уз</w:t>
      </w:r>
      <w:r>
        <w:rPr>
          <w:color w:val="231F20"/>
          <w:spacing w:val="-9"/>
        </w:rPr>
        <w:t> </w:t>
      </w:r>
      <w:r>
        <w:rPr>
          <w:color w:val="231F20"/>
        </w:rPr>
        <w:t>реке,</w:t>
      </w:r>
      <w:r>
        <w:rPr>
          <w:color w:val="231F20"/>
          <w:spacing w:val="-9"/>
        </w:rPr>
        <w:t> </w:t>
      </w:r>
      <w:r>
        <w:rPr>
          <w:color w:val="231F20"/>
          <w:spacing w:val="-4"/>
        </w:rPr>
        <w:t>где</w:t>
      </w:r>
      <w:r>
        <w:rPr>
          <w:color w:val="231F20"/>
          <w:spacing w:val="-9"/>
        </w:rPr>
        <w:t> </w:t>
      </w:r>
      <w:r>
        <w:rPr>
          <w:color w:val="231F20"/>
        </w:rPr>
        <w:t>високе</w:t>
      </w:r>
      <w:r>
        <w:rPr>
          <w:color w:val="231F20"/>
          <w:spacing w:val="-9"/>
        </w:rPr>
        <w:t> </w:t>
      </w:r>
      <w:r>
        <w:rPr>
          <w:color w:val="231F20"/>
        </w:rPr>
        <w:t>подземне воде погодују узгоју хидрофилних</w:t>
      </w:r>
      <w:r>
        <w:rPr>
          <w:color w:val="231F20"/>
          <w:spacing w:val="-4"/>
        </w:rPr>
        <w:t> </w:t>
      </w:r>
      <w:r>
        <w:rPr>
          <w:color w:val="231F20"/>
        </w:rPr>
        <w:t>врста;</w:t>
      </w:r>
    </w:p>
    <w:p>
      <w:pPr>
        <w:pStyle w:val="BodyText"/>
        <w:spacing w:line="232" w:lineRule="auto"/>
        <w:ind w:left="452" w:right="1" w:firstLine="396"/>
      </w:pPr>
      <w:r>
        <w:rPr>
          <w:color w:val="231F20"/>
          <w:w w:val="66"/>
        </w:rPr>
        <w:t> </w:t>
      </w:r>
      <w:r>
        <w:rPr>
          <w:color w:val="231F20"/>
        </w:rPr>
        <w:t>–</w:t>
      </w:r>
      <w:r>
        <w:rPr>
          <w:color w:val="231F20"/>
          <w:spacing w:val="-9"/>
        </w:rPr>
        <w:t> </w:t>
      </w:r>
      <w:r>
        <w:rPr>
          <w:color w:val="231F20"/>
        </w:rPr>
        <w:t>терени</w:t>
      </w:r>
      <w:r>
        <w:rPr>
          <w:color w:val="231F20"/>
          <w:spacing w:val="-9"/>
        </w:rPr>
        <w:t> </w:t>
      </w:r>
      <w:r>
        <w:rPr>
          <w:color w:val="231F20"/>
        </w:rPr>
        <w:t>живих</w:t>
      </w:r>
      <w:r>
        <w:rPr>
          <w:color w:val="231F20"/>
          <w:spacing w:val="-9"/>
        </w:rPr>
        <w:t> </w:t>
      </w:r>
      <w:r>
        <w:rPr>
          <w:color w:val="231F20"/>
        </w:rPr>
        <w:t>пескова</w:t>
      </w:r>
      <w:r>
        <w:rPr>
          <w:color w:val="231F20"/>
          <w:spacing w:val="-9"/>
        </w:rPr>
        <w:t> </w:t>
      </w:r>
      <w:r>
        <w:rPr>
          <w:color w:val="231F20"/>
        </w:rPr>
        <w:t>ка</w:t>
      </w:r>
      <w:r>
        <w:rPr>
          <w:color w:val="231F20"/>
          <w:spacing w:val="-9"/>
        </w:rPr>
        <w:t> </w:t>
      </w:r>
      <w:r>
        <w:rPr>
          <w:color w:val="231F20"/>
        </w:rPr>
        <w:t>Раму</w:t>
      </w:r>
      <w:r>
        <w:rPr>
          <w:color w:val="231F20"/>
          <w:spacing w:val="-9"/>
        </w:rPr>
        <w:t> </w:t>
      </w:r>
      <w:r>
        <w:rPr>
          <w:color w:val="231F20"/>
        </w:rPr>
        <w:t>(пошумљавање</w:t>
      </w:r>
      <w:r>
        <w:rPr>
          <w:color w:val="231F20"/>
          <w:spacing w:val="-9"/>
        </w:rPr>
        <w:t> </w:t>
      </w:r>
      <w:r>
        <w:rPr>
          <w:color w:val="231F20"/>
        </w:rPr>
        <w:t>са</w:t>
      </w:r>
      <w:r>
        <w:rPr>
          <w:color w:val="231F20"/>
          <w:spacing w:val="-9"/>
        </w:rPr>
        <w:t> </w:t>
      </w:r>
      <w:r>
        <w:rPr>
          <w:color w:val="231F20"/>
        </w:rPr>
        <w:t>циљем</w:t>
      </w:r>
      <w:r>
        <w:rPr>
          <w:color w:val="231F20"/>
          <w:spacing w:val="-9"/>
        </w:rPr>
        <w:t> </w:t>
      </w:r>
      <w:r>
        <w:rPr>
          <w:color w:val="231F20"/>
        </w:rPr>
        <w:t>ве- зивања и спречавања неповољног дејства ерозије)</w:t>
      </w:r>
      <w:r>
        <w:rPr>
          <w:color w:val="231F20"/>
          <w:spacing w:val="-10"/>
        </w:rPr>
        <w:t> </w:t>
      </w:r>
      <w:r>
        <w:rPr>
          <w:color w:val="231F20"/>
        </w:rPr>
        <w:t>и</w:t>
      </w:r>
    </w:p>
    <w:p>
      <w:pPr>
        <w:pStyle w:val="BodyText"/>
        <w:spacing w:line="199" w:lineRule="exact"/>
        <w:ind w:left="849"/>
        <w:jc w:val="left"/>
      </w:pPr>
      <w:r>
        <w:rPr>
          <w:color w:val="231F20"/>
          <w:w w:val="66"/>
        </w:rPr>
        <w:t> </w:t>
      </w:r>
      <w:r>
        <w:rPr>
          <w:color w:val="231F20"/>
        </w:rPr>
        <w:t>– земљишта угрожена ерозијом.</w:t>
      </w:r>
    </w:p>
    <w:p>
      <w:pPr>
        <w:pStyle w:val="BodyText"/>
        <w:spacing w:line="232" w:lineRule="auto" w:before="1"/>
        <w:ind w:left="452" w:firstLine="396"/>
      </w:pPr>
      <w:r>
        <w:rPr>
          <w:color w:val="231F20"/>
        </w:rPr>
        <w:t>Пошумљавање депосола засниваће се на дугорочним и сред- њерочним програмима и одговарајућој техничкој документацији, уважавајући резултате истраживања о досадашњој реализацији рекултивације (домаћа и инострана); утицаје угрожавајућих фак- тора на шумске екосистеме (CO2, NOx и тешким метала); међу- зависности програма пошумљавања и програма целовитог уређе- ња ревитализованог простора; могућности за проширење спектра дендрофлоре – пoрeд дoсад примeњeних врста дрвeћа (вајмутoв бoр – Pinus strobus, дуглазија – Pseudotsuga taxifolia, јавoр – Acer</w:t>
      </w:r>
    </w:p>
    <w:p>
      <w:pPr>
        <w:pStyle w:val="BodyText"/>
        <w:spacing w:line="232" w:lineRule="auto" w:before="78"/>
        <w:ind w:left="242" w:right="127"/>
      </w:pPr>
      <w:r>
        <w:rPr/>
        <w:br w:type="column"/>
      </w:r>
      <w:r>
        <w:rPr>
          <w:color w:val="231F20"/>
        </w:rPr>
        <w:t>pseudoplatanus, црвeни храст – Quercus rubra, бeли јасeн – Fraxinus excelsior, црни бoр – Pinus nigra, ариш – Larix europea и друго), пoвoљнe изглeдe имају брeза (Betula verucosa), липe (Tilia tomen- tosa, Т. grandifolia, Т. parvifolia), лeскe (Corulus avellana, C. colur- na), различити храстoви (Quercus sp.), црна јoва (Alnus glutinosa) и дивљe вoћкарицe; потребу заштите појединих врста дрвећа, жбу- ња и жбунастих биљака које су се спонтано појавиле на депосоли- ма; и осетљивост косина на ерозију.</w:t>
      </w:r>
    </w:p>
    <w:p>
      <w:pPr>
        <w:pStyle w:val="BodyText"/>
        <w:spacing w:line="232" w:lineRule="auto"/>
        <w:ind w:left="243" w:right="127" w:firstLine="396"/>
      </w:pPr>
      <w:r>
        <w:rPr>
          <w:color w:val="231F20"/>
        </w:rPr>
        <w:t>Ради елиминисања/ублажавања присутне загађености про- стора,</w:t>
      </w:r>
      <w:r>
        <w:rPr>
          <w:color w:val="231F20"/>
          <w:spacing w:val="-6"/>
        </w:rPr>
        <w:t> </w:t>
      </w:r>
      <w:r>
        <w:rPr>
          <w:color w:val="231F20"/>
        </w:rPr>
        <w:t>планирано</w:t>
      </w:r>
      <w:r>
        <w:rPr>
          <w:color w:val="231F20"/>
          <w:spacing w:val="-6"/>
        </w:rPr>
        <w:t> </w:t>
      </w:r>
      <w:r>
        <w:rPr>
          <w:color w:val="231F20"/>
        </w:rPr>
        <w:t>је</w:t>
      </w:r>
      <w:r>
        <w:rPr>
          <w:color w:val="231F20"/>
          <w:spacing w:val="-7"/>
        </w:rPr>
        <w:t> </w:t>
      </w:r>
      <w:r>
        <w:rPr>
          <w:color w:val="231F20"/>
        </w:rPr>
        <w:t>подизање</w:t>
      </w:r>
      <w:r>
        <w:rPr>
          <w:color w:val="231F20"/>
          <w:spacing w:val="-6"/>
        </w:rPr>
        <w:t> </w:t>
      </w:r>
      <w:r>
        <w:rPr>
          <w:color w:val="231F20"/>
        </w:rPr>
        <w:t>имисионих</w:t>
      </w:r>
      <w:r>
        <w:rPr>
          <w:color w:val="231F20"/>
          <w:spacing w:val="-6"/>
        </w:rPr>
        <w:t> </w:t>
      </w:r>
      <w:r>
        <w:rPr>
          <w:color w:val="231F20"/>
        </w:rPr>
        <w:t>(заштитних)</w:t>
      </w:r>
      <w:r>
        <w:rPr>
          <w:color w:val="231F20"/>
          <w:spacing w:val="-6"/>
        </w:rPr>
        <w:t> </w:t>
      </w:r>
      <w:r>
        <w:rPr>
          <w:color w:val="231F20"/>
        </w:rPr>
        <w:t>шума</w:t>
      </w:r>
      <w:r>
        <w:rPr>
          <w:color w:val="231F20"/>
          <w:spacing w:val="-6"/>
        </w:rPr>
        <w:t> </w:t>
      </w:r>
      <w:r>
        <w:rPr>
          <w:color w:val="231F20"/>
        </w:rPr>
        <w:t>у</w:t>
      </w:r>
      <w:r>
        <w:rPr>
          <w:color w:val="231F20"/>
          <w:spacing w:val="-6"/>
        </w:rPr>
        <w:t> </w:t>
      </w:r>
      <w:r>
        <w:rPr>
          <w:color w:val="231F20"/>
        </w:rPr>
        <w:t>гра- ничним зонама, према насељима, </w:t>
      </w:r>
      <w:r>
        <w:rPr>
          <w:color w:val="231F20"/>
          <w:spacing w:val="-4"/>
        </w:rPr>
        <w:t>око </w:t>
      </w:r>
      <w:r>
        <w:rPr>
          <w:color w:val="231F20"/>
        </w:rPr>
        <w:t>термоелектрана, површин- ских </w:t>
      </w:r>
      <w:r>
        <w:rPr>
          <w:color w:val="231F20"/>
          <w:spacing w:val="-3"/>
        </w:rPr>
        <w:t>копова </w:t>
      </w:r>
      <w:r>
        <w:rPr>
          <w:color w:val="231F20"/>
        </w:rPr>
        <w:t>и</w:t>
      </w:r>
      <w:r>
        <w:rPr>
          <w:color w:val="231F20"/>
          <w:spacing w:val="0"/>
        </w:rPr>
        <w:t> </w:t>
      </w:r>
      <w:r>
        <w:rPr>
          <w:color w:val="231F20"/>
        </w:rPr>
        <w:t>одлагалишта.</w:t>
      </w:r>
    </w:p>
    <w:p>
      <w:pPr>
        <w:pStyle w:val="BodyText"/>
        <w:spacing w:line="232" w:lineRule="auto"/>
        <w:ind w:left="243" w:right="127" w:firstLine="396"/>
      </w:pPr>
      <w:r>
        <w:rPr>
          <w:color w:val="231F20"/>
        </w:rPr>
        <w:t>Поред рекултивације депонија и подизања имисионих шума, пошумљавање се усмерава, углавном, на терене захваћене ерози- јом, као и на алувијалне депресије поред река за производњу би- омасе.</w:t>
      </w:r>
    </w:p>
    <w:p>
      <w:pPr>
        <w:pStyle w:val="BodyText"/>
        <w:spacing w:line="232" w:lineRule="auto"/>
        <w:ind w:left="243" w:right="127" w:firstLine="396"/>
      </w:pPr>
      <w:r>
        <w:rPr>
          <w:color w:val="231F20"/>
        </w:rPr>
        <w:t>У циљу ублажавања негативних утицаја рударства на квали- тет пољопривредног земљишта, као и у функцији антиерозионе заштите укупног простора, планирано је подизање пољозаштит- них шумских појаса. Површине пољозаштитних појаса на орани- цама не улазе у укупан биланс површина за пошумљавање.</w:t>
      </w:r>
    </w:p>
    <w:p>
      <w:pPr>
        <w:pStyle w:val="BodyText"/>
        <w:spacing w:line="232" w:lineRule="auto"/>
        <w:ind w:left="166" w:right="126" w:firstLine="396"/>
        <w:jc w:val="right"/>
      </w:pPr>
      <w:r>
        <w:rPr>
          <w:color w:val="231F20"/>
        </w:rPr>
        <w:t>Избор врста за пошумљавање засниваће се на досадашњим позитивним искуствима при спровођењу рекултивације, уз мести- мично </w:t>
      </w:r>
      <w:r>
        <w:rPr>
          <w:color w:val="231F20"/>
          <w:spacing w:val="-2"/>
        </w:rPr>
        <w:t>коришћење </w:t>
      </w:r>
      <w:r>
        <w:rPr>
          <w:color w:val="231F20"/>
        </w:rPr>
        <w:t>пионирских врста као што су багрем и црни бор. У вештачки подигнутим састојинама извршиће се постепено</w:t>
      </w:r>
      <w:r>
        <w:rPr>
          <w:color w:val="231F20"/>
          <w:spacing w:val="-1"/>
        </w:rPr>
        <w:t> </w:t>
      </w:r>
      <w:r>
        <w:rPr>
          <w:color w:val="231F20"/>
        </w:rPr>
        <w:t>уклањање алохтоних врста, </w:t>
      </w:r>
      <w:r>
        <w:rPr>
          <w:color w:val="231F20"/>
          <w:spacing w:val="-4"/>
        </w:rPr>
        <w:t>како </w:t>
      </w:r>
      <w:r>
        <w:rPr>
          <w:color w:val="231F20"/>
        </w:rPr>
        <w:t>би се допустило спонтано насе- љавање </w:t>
      </w:r>
      <w:r>
        <w:rPr>
          <w:color w:val="231F20"/>
          <w:spacing w:val="-3"/>
        </w:rPr>
        <w:t>аутохтоних </w:t>
      </w:r>
      <w:r>
        <w:rPr>
          <w:color w:val="231F20"/>
        </w:rPr>
        <w:t>врста шума, уз наставак процеса њихове фаво-</w:t>
      </w:r>
    </w:p>
    <w:p>
      <w:pPr>
        <w:pStyle w:val="BodyText"/>
        <w:spacing w:line="195" w:lineRule="exact"/>
        <w:ind w:left="244"/>
        <w:jc w:val="left"/>
      </w:pPr>
      <w:r>
        <w:rPr>
          <w:color w:val="231F20"/>
        </w:rPr>
        <w:t>ризације (реституције).</w:t>
      </w:r>
    </w:p>
    <w:p>
      <w:pPr>
        <w:pStyle w:val="BodyText"/>
        <w:spacing w:line="232" w:lineRule="auto"/>
        <w:ind w:left="244" w:right="125" w:firstLine="396"/>
      </w:pPr>
      <w:r>
        <w:rPr>
          <w:color w:val="231F20"/>
        </w:rPr>
        <w:t>У аутохтоним шумама (Querco-fraxinetum serbicum), где по- стоји насељавање адвентивних врста (багрем и друго), посебно ће се водити рачуна о газдовању тим врстама, што подразумева ме- ре неге и уклањања, фаворизовањем насељавања подмлатка пле- менитих лишћара (храст, бели јасен, пољски јасен, јавор, брест и друго), ради добијања квалитетних, а тиме и стабилних шумских екосистема.</w:t>
      </w:r>
    </w:p>
    <w:p>
      <w:pPr>
        <w:pStyle w:val="BodyText"/>
        <w:spacing w:line="232" w:lineRule="auto"/>
        <w:ind w:left="245" w:right="125" w:firstLine="396"/>
      </w:pPr>
      <w:r>
        <w:rPr>
          <w:color w:val="231F20"/>
        </w:rPr>
        <w:t>Нарочита пажња биће посвећена очувању уског појаса</w:t>
      </w:r>
      <w:r>
        <w:rPr>
          <w:color w:val="231F20"/>
          <w:spacing w:val="-31"/>
        </w:rPr>
        <w:t> </w:t>
      </w:r>
      <w:r>
        <w:rPr>
          <w:color w:val="231F20"/>
          <w:spacing w:val="-3"/>
        </w:rPr>
        <w:t>аутох- </w:t>
      </w:r>
      <w:r>
        <w:rPr>
          <w:color w:val="231F20"/>
        </w:rPr>
        <w:t>тоне вегетације Salicetum albae крај река, </w:t>
      </w:r>
      <w:r>
        <w:rPr>
          <w:color w:val="231F20"/>
          <w:spacing w:val="-3"/>
        </w:rPr>
        <w:t>који </w:t>
      </w:r>
      <w:r>
        <w:rPr>
          <w:color w:val="231F20"/>
        </w:rPr>
        <w:t>треба оставити као интактне површине, </w:t>
      </w:r>
      <w:r>
        <w:rPr>
          <w:color w:val="231F20"/>
          <w:spacing w:val="-4"/>
        </w:rPr>
        <w:t>како </w:t>
      </w:r>
      <w:r>
        <w:rPr>
          <w:color w:val="231F20"/>
        </w:rPr>
        <w:t>би приобални делови простора имали довољно зелене масе и одређену заштиту </w:t>
      </w:r>
      <w:r>
        <w:rPr>
          <w:color w:val="231F20"/>
          <w:spacing w:val="-3"/>
        </w:rPr>
        <w:t>од </w:t>
      </w:r>
      <w:r>
        <w:rPr>
          <w:color w:val="231F20"/>
        </w:rPr>
        <w:t>процеса</w:t>
      </w:r>
      <w:r>
        <w:rPr>
          <w:color w:val="231F20"/>
          <w:spacing w:val="-11"/>
        </w:rPr>
        <w:t> </w:t>
      </w:r>
      <w:r>
        <w:rPr>
          <w:color w:val="231F20"/>
        </w:rPr>
        <w:t>ерозије.</w:t>
      </w:r>
    </w:p>
    <w:p>
      <w:pPr>
        <w:pStyle w:val="BodyText"/>
        <w:spacing w:line="232" w:lineRule="auto"/>
        <w:ind w:left="245" w:right="125" w:firstLine="397"/>
      </w:pPr>
      <w:r>
        <w:rPr>
          <w:color w:val="231F20"/>
        </w:rPr>
        <w:t>Реализацијом планираних активности, степен шумовитости простора ће се повећати са 8,5% на 8,8% односно површине под шумама око 146 ha. Поред тога, од укупно 1.719 ha површина на којима се планира рекултивација и ревитализација, уважавајући генерално правило да се косине одлагалишта пошумљавају, про- цењује се да ће до 2022. године око 500 ha бити рекултивисано подизањем шумских засада.</w:t>
      </w:r>
    </w:p>
    <w:p>
      <w:pPr>
        <w:pStyle w:val="BodyText"/>
        <w:spacing w:line="194" w:lineRule="exact"/>
        <w:ind w:left="642"/>
        <w:jc w:val="left"/>
      </w:pPr>
      <w:r>
        <w:rPr>
          <w:color w:val="231F20"/>
          <w:spacing w:val="-5"/>
        </w:rPr>
        <w:t>Такође, </w:t>
      </w:r>
      <w:r>
        <w:rPr>
          <w:color w:val="231F20"/>
          <w:spacing w:val="-3"/>
        </w:rPr>
        <w:t>потребно </w:t>
      </w:r>
      <w:r>
        <w:rPr>
          <w:color w:val="231F20"/>
        </w:rPr>
        <w:t>је </w:t>
      </w:r>
      <w:r>
        <w:rPr>
          <w:color w:val="231F20"/>
          <w:spacing w:val="-4"/>
        </w:rPr>
        <w:t>унапређивање </w:t>
      </w:r>
      <w:r>
        <w:rPr>
          <w:color w:val="231F20"/>
        </w:rPr>
        <w:t>стања </w:t>
      </w:r>
      <w:r>
        <w:rPr>
          <w:color w:val="231F20"/>
          <w:spacing w:val="-3"/>
        </w:rPr>
        <w:t>постојећих </w:t>
      </w:r>
      <w:r>
        <w:rPr>
          <w:color w:val="231F20"/>
          <w:spacing w:val="-4"/>
        </w:rPr>
        <w:t>шума </w:t>
      </w:r>
      <w:r>
        <w:rPr>
          <w:color w:val="231F20"/>
        </w:rPr>
        <w:t>и </w:t>
      </w:r>
      <w:r>
        <w:rPr>
          <w:color w:val="231F20"/>
          <w:spacing w:val="-3"/>
        </w:rPr>
        <w:t>то:</w:t>
      </w:r>
    </w:p>
    <w:p>
      <w:pPr>
        <w:pStyle w:val="BodyText"/>
        <w:spacing w:line="232" w:lineRule="auto"/>
        <w:ind w:left="245" w:right="125" w:firstLine="396"/>
      </w:pPr>
      <w:r>
        <w:rPr>
          <w:color w:val="231F20"/>
          <w:w w:val="66"/>
        </w:rPr>
        <w:t> </w:t>
      </w:r>
      <w:r>
        <w:rPr>
          <w:color w:val="231F20"/>
        </w:rPr>
        <w:t>– интензивним мерама неге у свим очуваним састојинским категоријама;</w:t>
      </w:r>
    </w:p>
    <w:p>
      <w:pPr>
        <w:pStyle w:val="BodyText"/>
        <w:spacing w:line="232" w:lineRule="auto"/>
        <w:ind w:left="245" w:right="125" w:firstLine="396"/>
      </w:pPr>
      <w:r>
        <w:rPr>
          <w:color w:val="231F20"/>
          <w:w w:val="66"/>
        </w:rPr>
        <w:t> </w:t>
      </w:r>
      <w:r>
        <w:rPr>
          <w:color w:val="231F20"/>
        </w:rPr>
        <w:t>–</w:t>
      </w:r>
      <w:r>
        <w:rPr>
          <w:color w:val="231F20"/>
          <w:spacing w:val="-11"/>
        </w:rPr>
        <w:t> </w:t>
      </w:r>
      <w:r>
        <w:rPr>
          <w:color w:val="231F20"/>
        </w:rPr>
        <w:t>мелиорацијом</w:t>
      </w:r>
      <w:r>
        <w:rPr>
          <w:color w:val="231F20"/>
          <w:spacing w:val="-11"/>
        </w:rPr>
        <w:t> </w:t>
      </w:r>
      <w:r>
        <w:rPr>
          <w:color w:val="231F20"/>
        </w:rPr>
        <w:t>деградираних</w:t>
      </w:r>
      <w:r>
        <w:rPr>
          <w:color w:val="231F20"/>
          <w:spacing w:val="-11"/>
        </w:rPr>
        <w:t> </w:t>
      </w:r>
      <w:r>
        <w:rPr>
          <w:color w:val="231F20"/>
        </w:rPr>
        <w:t>и</w:t>
      </w:r>
      <w:r>
        <w:rPr>
          <w:color w:val="231F20"/>
          <w:spacing w:val="-11"/>
        </w:rPr>
        <w:t> </w:t>
      </w:r>
      <w:r>
        <w:rPr>
          <w:color w:val="231F20"/>
        </w:rPr>
        <w:t>изданачких</w:t>
      </w:r>
      <w:r>
        <w:rPr>
          <w:color w:val="231F20"/>
          <w:spacing w:val="-11"/>
        </w:rPr>
        <w:t> </w:t>
      </w:r>
      <w:r>
        <w:rPr>
          <w:color w:val="231F20"/>
        </w:rPr>
        <w:t>шума</w:t>
      </w:r>
      <w:r>
        <w:rPr>
          <w:color w:val="231F20"/>
          <w:spacing w:val="-11"/>
        </w:rPr>
        <w:t> </w:t>
      </w:r>
      <w:r>
        <w:rPr>
          <w:color w:val="231F20"/>
        </w:rPr>
        <w:t>лошег</w:t>
      </w:r>
      <w:r>
        <w:rPr>
          <w:color w:val="231F20"/>
          <w:spacing w:val="-11"/>
        </w:rPr>
        <w:t> </w:t>
      </w:r>
      <w:r>
        <w:rPr>
          <w:color w:val="231F20"/>
        </w:rPr>
        <w:t>ква- литета;</w:t>
      </w:r>
    </w:p>
    <w:p>
      <w:pPr>
        <w:pStyle w:val="BodyText"/>
        <w:spacing w:line="232" w:lineRule="auto"/>
        <w:ind w:left="245" w:right="125" w:firstLine="397"/>
      </w:pPr>
      <w:r>
        <w:rPr>
          <w:color w:val="231F20"/>
          <w:w w:val="66"/>
        </w:rPr>
        <w:t> </w:t>
      </w:r>
      <w:r>
        <w:rPr>
          <w:color w:val="231F20"/>
        </w:rPr>
        <w:t>– спровођењем мера (превентивне и репресивне) заштите шума и</w:t>
      </w:r>
    </w:p>
    <w:p>
      <w:pPr>
        <w:pStyle w:val="BodyText"/>
        <w:spacing w:line="232" w:lineRule="auto"/>
        <w:ind w:left="245" w:right="125" w:firstLine="396"/>
      </w:pPr>
      <w:r>
        <w:rPr>
          <w:color w:val="231F20"/>
          <w:w w:val="66"/>
        </w:rPr>
        <w:t> </w:t>
      </w:r>
      <w:r>
        <w:rPr>
          <w:color w:val="231F20"/>
        </w:rPr>
        <w:t>– увећањем обраслости, побољшањем квалитета и поправ- ком размера смесе у високим шумама.</w:t>
      </w:r>
    </w:p>
    <w:p>
      <w:pPr>
        <w:pStyle w:val="BodyText"/>
        <w:spacing w:line="232" w:lineRule="auto"/>
        <w:ind w:left="245" w:right="125" w:firstLine="397"/>
      </w:pPr>
      <w:r>
        <w:rPr>
          <w:color w:val="231F20"/>
        </w:rPr>
        <w:t>Газдовање шумама (нега, обнова, пошумљавање и експлоа- тација) спроводиће се на основу дугорочних и средњерочних про- грама – шумских основа, као и одговарајуће техничке документа- ције, засниване на резултатима досадашњих домаћих и страних истраживања, позитивним примерима из праксе и поставкама са- временог концепта одрживог развоја.</w:t>
      </w:r>
    </w:p>
    <w:p>
      <w:pPr>
        <w:pStyle w:val="ListParagraph"/>
        <w:numPr>
          <w:ilvl w:val="0"/>
          <w:numId w:val="30"/>
        </w:numPr>
        <w:tabs>
          <w:tab w:pos="838" w:val="left" w:leader="none"/>
        </w:tabs>
        <w:spacing w:line="195" w:lineRule="exact" w:before="0" w:after="0"/>
        <w:ind w:left="837" w:right="0" w:hanging="194"/>
        <w:jc w:val="left"/>
        <w:rPr>
          <w:sz w:val="18"/>
        </w:rPr>
      </w:pPr>
      <w:r>
        <w:rPr>
          <w:color w:val="231F20"/>
          <w:sz w:val="18"/>
        </w:rPr>
        <w:t>Лов и</w:t>
      </w:r>
      <w:r>
        <w:rPr>
          <w:color w:val="231F20"/>
          <w:spacing w:val="-2"/>
          <w:sz w:val="18"/>
        </w:rPr>
        <w:t> </w:t>
      </w:r>
      <w:r>
        <w:rPr>
          <w:color w:val="231F20"/>
          <w:sz w:val="18"/>
        </w:rPr>
        <w:t>риболов</w:t>
      </w:r>
    </w:p>
    <w:p>
      <w:pPr>
        <w:pStyle w:val="BodyText"/>
        <w:spacing w:line="232" w:lineRule="auto"/>
        <w:ind w:left="246" w:right="124" w:firstLine="396"/>
      </w:pPr>
      <w:r>
        <w:rPr>
          <w:color w:val="231F20"/>
        </w:rPr>
        <w:t>Одрживо газдовање шумама у свим сегментима (планирање, реализација, располагање), истовремено подразумева одрживо га- здовање фондом дивљачи, односно стварање оптималних услова за унапређивање стања </w:t>
      </w:r>
      <w:r>
        <w:rPr>
          <w:color w:val="231F20"/>
          <w:spacing w:val="-3"/>
        </w:rPr>
        <w:t>аутохтоне </w:t>
      </w:r>
      <w:r>
        <w:rPr>
          <w:color w:val="231F20"/>
        </w:rPr>
        <w:t>дивљачи и реитродукцију </w:t>
      </w:r>
      <w:r>
        <w:rPr>
          <w:color w:val="231F20"/>
          <w:spacing w:val="-3"/>
        </w:rPr>
        <w:t>аутох- </w:t>
      </w:r>
      <w:r>
        <w:rPr>
          <w:color w:val="231F20"/>
        </w:rPr>
        <w:t>тоне дивљачи.</w:t>
      </w:r>
    </w:p>
    <w:p>
      <w:pPr>
        <w:pStyle w:val="BodyText"/>
        <w:spacing w:line="232" w:lineRule="auto"/>
        <w:ind w:left="246" w:right="124" w:firstLine="396"/>
      </w:pPr>
      <w:r>
        <w:rPr>
          <w:color w:val="231F20"/>
        </w:rPr>
        <w:t>Заштита, гајење, лов и коришћење дивљачи обавља се на основу ловне основе и годишњих планова газдовања ловиштем. Основна концепција заштите, гајења, лова и коришћења дивљачи подразумева:</w:t>
      </w:r>
    </w:p>
    <w:p>
      <w:pPr>
        <w:pStyle w:val="BodyText"/>
        <w:spacing w:line="232" w:lineRule="auto"/>
        <w:ind w:left="246" w:right="124" w:firstLine="396"/>
      </w:pPr>
      <w:r>
        <w:rPr>
          <w:color w:val="231F20"/>
          <w:w w:val="66"/>
        </w:rPr>
        <w:t> </w:t>
      </w:r>
      <w:r>
        <w:rPr>
          <w:color w:val="231F20"/>
        </w:rPr>
        <w:t>–</w:t>
      </w:r>
      <w:r>
        <w:rPr>
          <w:color w:val="231F20"/>
          <w:spacing w:val="-8"/>
        </w:rPr>
        <w:t> </w:t>
      </w:r>
      <w:r>
        <w:rPr>
          <w:color w:val="231F20"/>
        </w:rPr>
        <w:t>планирање</w:t>
      </w:r>
      <w:r>
        <w:rPr>
          <w:color w:val="231F20"/>
          <w:spacing w:val="-8"/>
        </w:rPr>
        <w:t> </w:t>
      </w:r>
      <w:r>
        <w:rPr>
          <w:color w:val="231F20"/>
        </w:rPr>
        <w:t>и</w:t>
      </w:r>
      <w:r>
        <w:rPr>
          <w:color w:val="231F20"/>
          <w:spacing w:val="-8"/>
        </w:rPr>
        <w:t> </w:t>
      </w:r>
      <w:r>
        <w:rPr>
          <w:color w:val="231F20"/>
        </w:rPr>
        <w:t>праћење</w:t>
      </w:r>
      <w:r>
        <w:rPr>
          <w:color w:val="231F20"/>
          <w:spacing w:val="-8"/>
        </w:rPr>
        <w:t> </w:t>
      </w:r>
      <w:r>
        <w:rPr>
          <w:color w:val="231F20"/>
        </w:rPr>
        <w:t>динамике</w:t>
      </w:r>
      <w:r>
        <w:rPr>
          <w:color w:val="231F20"/>
          <w:spacing w:val="-7"/>
        </w:rPr>
        <w:t> </w:t>
      </w:r>
      <w:r>
        <w:rPr>
          <w:color w:val="231F20"/>
        </w:rPr>
        <w:t>развоја</w:t>
      </w:r>
      <w:r>
        <w:rPr>
          <w:color w:val="231F20"/>
          <w:spacing w:val="-7"/>
        </w:rPr>
        <w:t> </w:t>
      </w:r>
      <w:r>
        <w:rPr>
          <w:color w:val="231F20"/>
        </w:rPr>
        <w:t>популације</w:t>
      </w:r>
      <w:r>
        <w:rPr>
          <w:color w:val="231F20"/>
          <w:spacing w:val="-7"/>
        </w:rPr>
        <w:t> </w:t>
      </w:r>
      <w:r>
        <w:rPr>
          <w:color w:val="231F20"/>
        </w:rPr>
        <w:t>гајених врста</w:t>
      </w:r>
      <w:r>
        <w:rPr>
          <w:color w:val="231F20"/>
          <w:spacing w:val="-1"/>
        </w:rPr>
        <w:t> </w:t>
      </w:r>
      <w:r>
        <w:rPr>
          <w:color w:val="231F20"/>
        </w:rPr>
        <w:t>дивљачи;</w:t>
      </w:r>
    </w:p>
    <w:p>
      <w:pPr>
        <w:pStyle w:val="BodyText"/>
        <w:spacing w:line="201" w:lineRule="exact"/>
        <w:ind w:left="643"/>
        <w:jc w:val="left"/>
      </w:pPr>
      <w:r>
        <w:rPr>
          <w:color w:val="231F20"/>
          <w:w w:val="66"/>
        </w:rPr>
        <w:t> </w:t>
      </w:r>
      <w:r>
        <w:rPr>
          <w:color w:val="231F20"/>
        </w:rPr>
        <w:t>– обезбеђење хране и воде за дивљач;</w:t>
      </w:r>
    </w:p>
    <w:p>
      <w:pPr>
        <w:spacing w:after="0" w:line="201" w:lineRule="exact"/>
        <w:jc w:val="left"/>
        <w:sectPr>
          <w:pgSz w:w="12480" w:h="15690"/>
          <w:pgMar w:top="120" w:bottom="280" w:left="680" w:right="720"/>
          <w:cols w:num="2" w:equalWidth="0">
            <w:col w:w="5557" w:space="40"/>
            <w:col w:w="5483"/>
          </w:cols>
        </w:sectPr>
      </w:pPr>
    </w:p>
    <w:p>
      <w:pPr>
        <w:pStyle w:val="BodyText"/>
        <w:spacing w:line="204" w:lineRule="exact" w:before="68"/>
        <w:ind w:left="567"/>
        <w:jc w:val="left"/>
      </w:pPr>
      <w:r>
        <w:rPr/>
        <w:pict>
          <v:line style="position:absolute;mso-position-horizontal-relative:page;mso-position-vertical-relative:page;z-index:2632" from="304.724396pt,11.942451pt" to="304.724396pt,748.950451pt" stroked="true" strokeweight=".6pt" strokecolor="#231f20">
            <v:stroke dashstyle="solid"/>
            <w10:wrap type="none"/>
          </v:line>
        </w:pict>
      </w:r>
      <w:r>
        <w:rPr>
          <w:color w:val="231F20"/>
          <w:w w:val="66"/>
        </w:rPr>
        <w:t> </w:t>
      </w:r>
      <w:r>
        <w:rPr>
          <w:color w:val="231F20"/>
        </w:rPr>
        <w:t>– изградњу ловно-техничких и ловних објеката;</w:t>
      </w:r>
    </w:p>
    <w:p>
      <w:pPr>
        <w:pStyle w:val="BodyText"/>
        <w:spacing w:line="201" w:lineRule="exact"/>
        <w:ind w:left="567"/>
        <w:jc w:val="left"/>
      </w:pPr>
      <w:r>
        <w:rPr>
          <w:color w:val="231F20"/>
          <w:w w:val="66"/>
        </w:rPr>
        <w:t> </w:t>
      </w:r>
      <w:r>
        <w:rPr>
          <w:color w:val="231F20"/>
        </w:rPr>
        <w:t>– производњу, гајење и заштиту дивљачи;</w:t>
      </w:r>
    </w:p>
    <w:p>
      <w:pPr>
        <w:pStyle w:val="BodyText"/>
        <w:spacing w:line="232" w:lineRule="auto" w:before="2"/>
        <w:ind w:right="39" w:firstLine="396"/>
      </w:pPr>
      <w:r>
        <w:rPr>
          <w:color w:val="231F20"/>
          <w:w w:val="66"/>
        </w:rPr>
        <w:t> </w:t>
      </w:r>
      <w:r>
        <w:rPr>
          <w:color w:val="231F20"/>
        </w:rPr>
        <w:t>–</w:t>
      </w:r>
      <w:r>
        <w:rPr>
          <w:color w:val="231F20"/>
          <w:spacing w:val="-7"/>
        </w:rPr>
        <w:t> </w:t>
      </w:r>
      <w:r>
        <w:rPr>
          <w:color w:val="231F20"/>
        </w:rPr>
        <w:t>заштиту</w:t>
      </w:r>
      <w:r>
        <w:rPr>
          <w:color w:val="231F20"/>
          <w:spacing w:val="-7"/>
        </w:rPr>
        <w:t> </w:t>
      </w:r>
      <w:r>
        <w:rPr>
          <w:color w:val="231F20"/>
        </w:rPr>
        <w:t>ретких</w:t>
      </w:r>
      <w:r>
        <w:rPr>
          <w:color w:val="231F20"/>
          <w:spacing w:val="-7"/>
        </w:rPr>
        <w:t> </w:t>
      </w:r>
      <w:r>
        <w:rPr>
          <w:color w:val="231F20"/>
        </w:rPr>
        <w:t>и</w:t>
      </w:r>
      <w:r>
        <w:rPr>
          <w:color w:val="231F20"/>
          <w:spacing w:val="-7"/>
        </w:rPr>
        <w:t> </w:t>
      </w:r>
      <w:r>
        <w:rPr>
          <w:color w:val="231F20"/>
        </w:rPr>
        <w:t>угрожених</w:t>
      </w:r>
      <w:r>
        <w:rPr>
          <w:color w:val="231F20"/>
          <w:spacing w:val="-7"/>
        </w:rPr>
        <w:t> </w:t>
      </w:r>
      <w:r>
        <w:rPr>
          <w:color w:val="231F20"/>
        </w:rPr>
        <w:t>врста</w:t>
      </w:r>
      <w:r>
        <w:rPr>
          <w:color w:val="231F20"/>
          <w:spacing w:val="-7"/>
        </w:rPr>
        <w:t> </w:t>
      </w:r>
      <w:r>
        <w:rPr>
          <w:color w:val="231F20"/>
        </w:rPr>
        <w:t>дивљачи</w:t>
      </w:r>
      <w:r>
        <w:rPr>
          <w:color w:val="231F20"/>
          <w:spacing w:val="-7"/>
        </w:rPr>
        <w:t> </w:t>
      </w:r>
      <w:r>
        <w:rPr>
          <w:color w:val="231F20"/>
        </w:rPr>
        <w:t>и</w:t>
      </w:r>
      <w:r>
        <w:rPr>
          <w:color w:val="231F20"/>
          <w:spacing w:val="-7"/>
        </w:rPr>
        <w:t> </w:t>
      </w:r>
      <w:r>
        <w:rPr>
          <w:color w:val="231F20"/>
        </w:rPr>
        <w:t>животне</w:t>
      </w:r>
      <w:r>
        <w:rPr>
          <w:color w:val="231F20"/>
          <w:spacing w:val="-7"/>
        </w:rPr>
        <w:t> </w:t>
      </w:r>
      <w:r>
        <w:rPr>
          <w:color w:val="231F20"/>
        </w:rPr>
        <w:t>сре- дине</w:t>
      </w:r>
      <w:r>
        <w:rPr>
          <w:color w:val="231F20"/>
          <w:spacing w:val="-2"/>
        </w:rPr>
        <w:t> </w:t>
      </w:r>
      <w:r>
        <w:rPr>
          <w:color w:val="231F20"/>
        </w:rPr>
        <w:t>и</w:t>
      </w:r>
    </w:p>
    <w:p>
      <w:pPr>
        <w:pStyle w:val="BodyText"/>
        <w:spacing w:line="199" w:lineRule="exact"/>
        <w:ind w:left="567"/>
        <w:jc w:val="left"/>
      </w:pPr>
      <w:r>
        <w:rPr>
          <w:color w:val="231F20"/>
          <w:w w:val="66"/>
        </w:rPr>
        <w:t> </w:t>
      </w:r>
      <w:r>
        <w:rPr>
          <w:color w:val="231F20"/>
        </w:rPr>
        <w:t>– организовано коришћење ловишта, дивљачи.</w:t>
      </w:r>
    </w:p>
    <w:p>
      <w:pPr>
        <w:pStyle w:val="BodyText"/>
        <w:spacing w:line="232" w:lineRule="auto" w:before="1"/>
        <w:ind w:left="169" w:right="39" w:firstLine="397"/>
      </w:pPr>
      <w:r>
        <w:rPr>
          <w:color w:val="231F20"/>
        </w:rPr>
        <w:t>За ловиште „Стиг” неопходно је предвидети меру стављања популације</w:t>
      </w:r>
      <w:r>
        <w:rPr>
          <w:color w:val="231F20"/>
          <w:spacing w:val="-9"/>
        </w:rPr>
        <w:t> </w:t>
      </w:r>
      <w:r>
        <w:rPr>
          <w:color w:val="231F20"/>
        </w:rPr>
        <w:t>шакала</w:t>
      </w:r>
      <w:r>
        <w:rPr>
          <w:color w:val="231F20"/>
          <w:spacing w:val="-9"/>
        </w:rPr>
        <w:t> </w:t>
      </w:r>
      <w:r>
        <w:rPr>
          <w:color w:val="231F20"/>
          <w:spacing w:val="-3"/>
        </w:rPr>
        <w:t>под</w:t>
      </w:r>
      <w:r>
        <w:rPr>
          <w:color w:val="231F20"/>
          <w:spacing w:val="-9"/>
        </w:rPr>
        <w:t> </w:t>
      </w:r>
      <w:r>
        <w:rPr>
          <w:color w:val="231F20"/>
        </w:rPr>
        <w:t>контролу</w:t>
      </w:r>
      <w:r>
        <w:rPr>
          <w:color w:val="231F20"/>
          <w:spacing w:val="-9"/>
        </w:rPr>
        <w:t> </w:t>
      </w:r>
      <w:r>
        <w:rPr>
          <w:color w:val="231F20"/>
        </w:rPr>
        <w:t>и</w:t>
      </w:r>
      <w:r>
        <w:rPr>
          <w:color w:val="231F20"/>
          <w:spacing w:val="-9"/>
        </w:rPr>
        <w:t> </w:t>
      </w:r>
      <w:r>
        <w:rPr>
          <w:color w:val="231F20"/>
        </w:rPr>
        <w:t>организовано</w:t>
      </w:r>
      <w:r>
        <w:rPr>
          <w:color w:val="231F20"/>
          <w:spacing w:val="-9"/>
        </w:rPr>
        <w:t> </w:t>
      </w:r>
      <w:r>
        <w:rPr>
          <w:color w:val="231F20"/>
        </w:rPr>
        <w:t>коришћење</w:t>
      </w:r>
      <w:r>
        <w:rPr>
          <w:color w:val="231F20"/>
          <w:spacing w:val="-9"/>
        </w:rPr>
        <w:t> </w:t>
      </w:r>
      <w:r>
        <w:rPr>
          <w:color w:val="231F20"/>
        </w:rPr>
        <w:t>фаза- на на уређеној</w:t>
      </w:r>
      <w:r>
        <w:rPr>
          <w:color w:val="231F20"/>
          <w:spacing w:val="-4"/>
        </w:rPr>
        <w:t> </w:t>
      </w:r>
      <w:r>
        <w:rPr>
          <w:color w:val="231F20"/>
        </w:rPr>
        <w:t>површини.</w:t>
      </w:r>
    </w:p>
    <w:p>
      <w:pPr>
        <w:pStyle w:val="BodyText"/>
        <w:spacing w:line="232" w:lineRule="auto"/>
        <w:ind w:left="169" w:right="39" w:firstLine="396"/>
      </w:pPr>
      <w:r>
        <w:rPr>
          <w:color w:val="231F20"/>
          <w:spacing w:val="-3"/>
        </w:rPr>
        <w:t>Приликом </w:t>
      </w:r>
      <w:r>
        <w:rPr>
          <w:color w:val="231F20"/>
        </w:rPr>
        <w:t>спровођења мера ревитализације и рекултиваци- је треба обезбедити просторе за лов и узгој дивљачи, узимајући у обзир и параметре за планирање ловних подручја (близина воде, мир и друго) </w:t>
      </w:r>
      <w:r>
        <w:rPr>
          <w:color w:val="231F20"/>
          <w:spacing w:val="-3"/>
        </w:rPr>
        <w:t>Такође, </w:t>
      </w:r>
      <w:r>
        <w:rPr>
          <w:color w:val="231F20"/>
        </w:rPr>
        <w:t>треба обезбедити побољшање информисања и едукације локалног становништва и јачање надзора свих </w:t>
      </w:r>
      <w:r>
        <w:rPr>
          <w:color w:val="231F20"/>
          <w:spacing w:val="-3"/>
        </w:rPr>
        <w:t>кори- </w:t>
      </w:r>
      <w:r>
        <w:rPr>
          <w:color w:val="231F20"/>
        </w:rPr>
        <w:t>сника ловишта </w:t>
      </w:r>
      <w:r>
        <w:rPr>
          <w:color w:val="231F20"/>
          <w:spacing w:val="-3"/>
        </w:rPr>
        <w:t>од </w:t>
      </w:r>
      <w:r>
        <w:rPr>
          <w:color w:val="231F20"/>
        </w:rPr>
        <w:t>стране ловне</w:t>
      </w:r>
      <w:r>
        <w:rPr>
          <w:color w:val="231F20"/>
          <w:spacing w:val="-1"/>
        </w:rPr>
        <w:t> </w:t>
      </w:r>
      <w:r>
        <w:rPr>
          <w:color w:val="231F20"/>
        </w:rPr>
        <w:t>инспекције.</w:t>
      </w:r>
    </w:p>
    <w:p>
      <w:pPr>
        <w:pStyle w:val="BodyText"/>
        <w:spacing w:line="232" w:lineRule="auto"/>
        <w:ind w:right="39" w:firstLine="396"/>
      </w:pPr>
      <w:r>
        <w:rPr>
          <w:color w:val="231F20"/>
        </w:rPr>
        <w:t>На локацијама резервисаним за посебне намена ловишта ни- је дозвољена изградња објеката и инфраструктуре који би могли негативно утицати на њихову реализацију.</w:t>
      </w:r>
    </w:p>
    <w:p>
      <w:pPr>
        <w:pStyle w:val="BodyText"/>
        <w:spacing w:line="232" w:lineRule="auto"/>
        <w:ind w:right="38" w:firstLine="396"/>
      </w:pPr>
      <w:r>
        <w:rPr>
          <w:color w:val="231F20"/>
        </w:rPr>
        <w:t>Основни концепт развоја риболова подразумева унапређење, очување</w:t>
      </w:r>
      <w:r>
        <w:rPr>
          <w:color w:val="231F20"/>
          <w:spacing w:val="-7"/>
        </w:rPr>
        <w:t> </w:t>
      </w:r>
      <w:r>
        <w:rPr>
          <w:color w:val="231F20"/>
        </w:rPr>
        <w:t>и</w:t>
      </w:r>
      <w:r>
        <w:rPr>
          <w:color w:val="231F20"/>
          <w:spacing w:val="-7"/>
        </w:rPr>
        <w:t> </w:t>
      </w:r>
      <w:r>
        <w:rPr>
          <w:color w:val="231F20"/>
        </w:rPr>
        <w:t>заштиту</w:t>
      </w:r>
      <w:r>
        <w:rPr>
          <w:color w:val="231F20"/>
          <w:spacing w:val="-7"/>
        </w:rPr>
        <w:t> </w:t>
      </w:r>
      <w:r>
        <w:rPr>
          <w:color w:val="231F20"/>
        </w:rPr>
        <w:t>постојећих</w:t>
      </w:r>
      <w:r>
        <w:rPr>
          <w:color w:val="231F20"/>
          <w:spacing w:val="-7"/>
        </w:rPr>
        <w:t> </w:t>
      </w:r>
      <w:r>
        <w:rPr>
          <w:color w:val="231F20"/>
        </w:rPr>
        <w:t>рибљих</w:t>
      </w:r>
      <w:r>
        <w:rPr>
          <w:color w:val="231F20"/>
          <w:spacing w:val="-7"/>
        </w:rPr>
        <w:t> </w:t>
      </w:r>
      <w:r>
        <w:rPr>
          <w:color w:val="231F20"/>
        </w:rPr>
        <w:t>врста</w:t>
      </w:r>
      <w:r>
        <w:rPr>
          <w:color w:val="231F20"/>
          <w:spacing w:val="-7"/>
        </w:rPr>
        <w:t> </w:t>
      </w:r>
      <w:r>
        <w:rPr>
          <w:color w:val="231F20"/>
        </w:rPr>
        <w:t>и</w:t>
      </w:r>
      <w:r>
        <w:rPr>
          <w:color w:val="231F20"/>
          <w:spacing w:val="-7"/>
        </w:rPr>
        <w:t> </w:t>
      </w:r>
      <w:r>
        <w:rPr>
          <w:color w:val="231F20"/>
        </w:rPr>
        <w:t>њихових</w:t>
      </w:r>
      <w:r>
        <w:rPr>
          <w:color w:val="231F20"/>
          <w:spacing w:val="-7"/>
        </w:rPr>
        <w:t> </w:t>
      </w:r>
      <w:r>
        <w:rPr>
          <w:color w:val="231F20"/>
        </w:rPr>
        <w:t>станишта. Посебни услови су усмерени ка очувању хемијског квалитета и хидробиолошких карактеристика воде у прописаним границама. Планираним мерама заштите природе, земљишта, вода и других компоненти животне средине обезбеђује се заштита станишта за развој</w:t>
      </w:r>
      <w:r>
        <w:rPr>
          <w:color w:val="231F20"/>
          <w:spacing w:val="-1"/>
        </w:rPr>
        <w:t> </w:t>
      </w:r>
      <w:r>
        <w:rPr>
          <w:color w:val="231F20"/>
        </w:rPr>
        <w:t>риболова.</w:t>
      </w:r>
    </w:p>
    <w:p>
      <w:pPr>
        <w:pStyle w:val="BodyText"/>
        <w:spacing w:line="232" w:lineRule="auto"/>
        <w:ind w:right="38" w:firstLine="396"/>
      </w:pPr>
      <w:r>
        <w:rPr>
          <w:color w:val="231F20"/>
        </w:rPr>
        <w:t>Привредни, рекреативни и спортски риболов је </w:t>
      </w:r>
      <w:r>
        <w:rPr>
          <w:color w:val="231F20"/>
          <w:spacing w:val="-3"/>
        </w:rPr>
        <w:t>неопходно </w:t>
      </w:r>
      <w:r>
        <w:rPr>
          <w:color w:val="231F20"/>
        </w:rPr>
        <w:t>обављати према </w:t>
      </w:r>
      <w:r>
        <w:rPr>
          <w:color w:val="231F20"/>
          <w:spacing w:val="-3"/>
        </w:rPr>
        <w:t>законом </w:t>
      </w:r>
      <w:r>
        <w:rPr>
          <w:color w:val="231F20"/>
        </w:rPr>
        <w:t>прописаним условима. Предвиђа се да  се привредни риболов обавља на унапред прописаним местима и алатима, а спортски тек </w:t>
      </w:r>
      <w:r>
        <w:rPr>
          <w:color w:val="231F20"/>
          <w:spacing w:val="-3"/>
        </w:rPr>
        <w:t>након </w:t>
      </w:r>
      <w:r>
        <w:rPr>
          <w:color w:val="231F20"/>
        </w:rPr>
        <w:t>израђених </w:t>
      </w:r>
      <w:r>
        <w:rPr>
          <w:color w:val="231F20"/>
          <w:spacing w:val="-3"/>
        </w:rPr>
        <w:t>студија </w:t>
      </w:r>
      <w:r>
        <w:rPr>
          <w:color w:val="231F20"/>
        </w:rPr>
        <w:t>и на означеним местима и у одређеном </w:t>
      </w:r>
      <w:r>
        <w:rPr>
          <w:color w:val="231F20"/>
          <w:spacing w:val="-4"/>
        </w:rPr>
        <w:t>периоду. </w:t>
      </w:r>
      <w:r>
        <w:rPr>
          <w:color w:val="231F20"/>
        </w:rPr>
        <w:t>Забрањено је, између осталог:</w:t>
      </w:r>
      <w:r>
        <w:rPr>
          <w:color w:val="231F20"/>
          <w:spacing w:val="-32"/>
        </w:rPr>
        <w:t> </w:t>
      </w:r>
      <w:r>
        <w:rPr>
          <w:color w:val="231F20"/>
        </w:rPr>
        <w:t>ло- вити,</w:t>
      </w:r>
      <w:r>
        <w:rPr>
          <w:color w:val="231F20"/>
          <w:spacing w:val="-6"/>
        </w:rPr>
        <w:t> </w:t>
      </w:r>
      <w:r>
        <w:rPr>
          <w:color w:val="231F20"/>
        </w:rPr>
        <w:t>поседовати</w:t>
      </w:r>
      <w:r>
        <w:rPr>
          <w:color w:val="231F20"/>
          <w:spacing w:val="-7"/>
        </w:rPr>
        <w:t> </w:t>
      </w:r>
      <w:r>
        <w:rPr>
          <w:color w:val="231F20"/>
        </w:rPr>
        <w:t>и</w:t>
      </w:r>
      <w:r>
        <w:rPr>
          <w:color w:val="231F20"/>
          <w:spacing w:val="-7"/>
        </w:rPr>
        <w:t> </w:t>
      </w:r>
      <w:r>
        <w:rPr>
          <w:color w:val="231F20"/>
        </w:rPr>
        <w:t>уништавати</w:t>
      </w:r>
      <w:r>
        <w:rPr>
          <w:color w:val="231F20"/>
          <w:spacing w:val="-7"/>
        </w:rPr>
        <w:t> </w:t>
      </w:r>
      <w:r>
        <w:rPr>
          <w:color w:val="231F20"/>
        </w:rPr>
        <w:t>рибљу</w:t>
      </w:r>
      <w:r>
        <w:rPr>
          <w:color w:val="231F20"/>
          <w:spacing w:val="-7"/>
        </w:rPr>
        <w:t> </w:t>
      </w:r>
      <w:r>
        <w:rPr>
          <w:color w:val="231F20"/>
        </w:rPr>
        <w:t>млађ</w:t>
      </w:r>
      <w:r>
        <w:rPr>
          <w:color w:val="231F20"/>
          <w:spacing w:val="-7"/>
        </w:rPr>
        <w:t> </w:t>
      </w:r>
      <w:r>
        <w:rPr>
          <w:color w:val="231F20"/>
        </w:rPr>
        <w:t>као</w:t>
      </w:r>
      <w:r>
        <w:rPr>
          <w:color w:val="231F20"/>
          <w:spacing w:val="-6"/>
        </w:rPr>
        <w:t> </w:t>
      </w:r>
      <w:r>
        <w:rPr>
          <w:color w:val="231F20"/>
        </w:rPr>
        <w:t>и</w:t>
      </w:r>
      <w:r>
        <w:rPr>
          <w:color w:val="231F20"/>
          <w:spacing w:val="-7"/>
        </w:rPr>
        <w:t> </w:t>
      </w:r>
      <w:r>
        <w:rPr>
          <w:color w:val="231F20"/>
        </w:rPr>
        <w:t>примерке</w:t>
      </w:r>
      <w:r>
        <w:rPr>
          <w:color w:val="231F20"/>
          <w:spacing w:val="-6"/>
        </w:rPr>
        <w:t> </w:t>
      </w:r>
      <w:r>
        <w:rPr>
          <w:color w:val="231F20"/>
        </w:rPr>
        <w:t>рибе</w:t>
      </w:r>
      <w:r>
        <w:rPr>
          <w:color w:val="231F20"/>
          <w:spacing w:val="-6"/>
        </w:rPr>
        <w:t> </w:t>
      </w:r>
      <w:r>
        <w:rPr>
          <w:color w:val="231F20"/>
        </w:rPr>
        <w:t>у време</w:t>
      </w:r>
      <w:r>
        <w:rPr>
          <w:color w:val="231F20"/>
          <w:spacing w:val="-6"/>
        </w:rPr>
        <w:t> </w:t>
      </w:r>
      <w:r>
        <w:rPr>
          <w:color w:val="231F20"/>
        </w:rPr>
        <w:t>мреста</w:t>
      </w:r>
      <w:r>
        <w:rPr>
          <w:color w:val="231F20"/>
          <w:spacing w:val="-6"/>
        </w:rPr>
        <w:t> </w:t>
      </w:r>
      <w:r>
        <w:rPr>
          <w:color w:val="231F20"/>
        </w:rPr>
        <w:t>и</w:t>
      </w:r>
      <w:r>
        <w:rPr>
          <w:color w:val="231F20"/>
          <w:spacing w:val="-6"/>
        </w:rPr>
        <w:t> </w:t>
      </w:r>
      <w:r>
        <w:rPr>
          <w:color w:val="231F20"/>
        </w:rPr>
        <w:t>ловостаја,</w:t>
      </w:r>
      <w:r>
        <w:rPr>
          <w:color w:val="231F20"/>
          <w:spacing w:val="-6"/>
        </w:rPr>
        <w:t> </w:t>
      </w:r>
      <w:r>
        <w:rPr>
          <w:color w:val="231F20"/>
        </w:rPr>
        <w:t>ловити</w:t>
      </w:r>
      <w:r>
        <w:rPr>
          <w:color w:val="231F20"/>
          <w:spacing w:val="-6"/>
        </w:rPr>
        <w:t> </w:t>
      </w:r>
      <w:r>
        <w:rPr>
          <w:color w:val="231F20"/>
        </w:rPr>
        <w:t>рибу</w:t>
      </w:r>
      <w:r>
        <w:rPr>
          <w:color w:val="231F20"/>
          <w:spacing w:val="-6"/>
        </w:rPr>
        <w:t> </w:t>
      </w:r>
      <w:r>
        <w:rPr>
          <w:color w:val="231F20"/>
          <w:spacing w:val="-3"/>
        </w:rPr>
        <w:t>руком,</w:t>
      </w:r>
      <w:r>
        <w:rPr>
          <w:color w:val="231F20"/>
          <w:spacing w:val="-6"/>
        </w:rPr>
        <w:t> </w:t>
      </w:r>
      <w:r>
        <w:rPr>
          <w:color w:val="231F20"/>
        </w:rPr>
        <w:t>експлозивом,</w:t>
      </w:r>
      <w:r>
        <w:rPr>
          <w:color w:val="231F20"/>
          <w:spacing w:val="-6"/>
        </w:rPr>
        <w:t> </w:t>
      </w:r>
      <w:r>
        <w:rPr>
          <w:color w:val="231F20"/>
        </w:rPr>
        <w:t>харпу- ном, воденом </w:t>
      </w:r>
      <w:r>
        <w:rPr>
          <w:color w:val="231F20"/>
          <w:spacing w:val="-3"/>
        </w:rPr>
        <w:t>пушком, </w:t>
      </w:r>
      <w:r>
        <w:rPr>
          <w:color w:val="231F20"/>
        </w:rPr>
        <w:t>струјом, вештачким извором светлости</w:t>
      </w:r>
      <w:r>
        <w:rPr>
          <w:color w:val="231F20"/>
          <w:spacing w:val="-31"/>
        </w:rPr>
        <w:t> </w:t>
      </w:r>
      <w:r>
        <w:rPr>
          <w:color w:val="231F20"/>
        </w:rPr>
        <w:t>или хемијским</w:t>
      </w:r>
      <w:r>
        <w:rPr>
          <w:color w:val="231F20"/>
          <w:spacing w:val="-1"/>
        </w:rPr>
        <w:t> </w:t>
      </w:r>
      <w:r>
        <w:rPr>
          <w:color w:val="231F20"/>
        </w:rPr>
        <w:t>средствима.</w:t>
      </w:r>
    </w:p>
    <w:p>
      <w:pPr>
        <w:pStyle w:val="BodyText"/>
        <w:spacing w:line="232" w:lineRule="auto"/>
        <w:ind w:right="39" w:firstLine="397"/>
      </w:pPr>
      <w:r>
        <w:rPr>
          <w:color w:val="231F20"/>
        </w:rPr>
        <w:t>Реализација основне концепције одрживог коришћења ри- бљег фонда захтева:</w:t>
      </w:r>
    </w:p>
    <w:p>
      <w:pPr>
        <w:pStyle w:val="BodyText"/>
        <w:spacing w:line="232" w:lineRule="auto"/>
        <w:ind w:right="38" w:firstLine="397"/>
      </w:pPr>
      <w:r>
        <w:rPr>
          <w:color w:val="231F20"/>
          <w:w w:val="66"/>
        </w:rPr>
        <w:t> </w:t>
      </w:r>
      <w:r>
        <w:rPr>
          <w:color w:val="231F20"/>
        </w:rPr>
        <w:t>– обележавање границе рибарског подручја према законом прописаним условима (таблама са називом рибарског подручја, контакт корисника и удаљеност граница) и категоризацију рибо- ловних вода;</w:t>
      </w:r>
    </w:p>
    <w:p>
      <w:pPr>
        <w:pStyle w:val="BodyText"/>
        <w:spacing w:line="232" w:lineRule="auto"/>
        <w:ind w:right="39" w:firstLine="397"/>
      </w:pPr>
      <w:r>
        <w:rPr>
          <w:color w:val="231F20"/>
          <w:w w:val="66"/>
        </w:rPr>
        <w:t> </w:t>
      </w:r>
      <w:r>
        <w:rPr>
          <w:color w:val="231F20"/>
        </w:rPr>
        <w:t>– обављање рекреативног риболова прописаним алатима (удичарским) са обале, без употребе чамаца или других сличних пловидбених</w:t>
      </w:r>
      <w:r>
        <w:rPr>
          <w:color w:val="231F20"/>
          <w:spacing w:val="-9"/>
        </w:rPr>
        <w:t> </w:t>
      </w:r>
      <w:r>
        <w:rPr>
          <w:color w:val="231F20"/>
        </w:rPr>
        <w:t>објеката</w:t>
      </w:r>
      <w:r>
        <w:rPr>
          <w:color w:val="231F20"/>
          <w:spacing w:val="-9"/>
        </w:rPr>
        <w:t> </w:t>
      </w:r>
      <w:r>
        <w:rPr>
          <w:color w:val="231F20"/>
        </w:rPr>
        <w:t>осим</w:t>
      </w:r>
      <w:r>
        <w:rPr>
          <w:color w:val="231F20"/>
          <w:spacing w:val="-9"/>
        </w:rPr>
        <w:t> </w:t>
      </w:r>
      <w:r>
        <w:rPr>
          <w:color w:val="231F20"/>
        </w:rPr>
        <w:t>у</w:t>
      </w:r>
      <w:r>
        <w:rPr>
          <w:color w:val="231F20"/>
          <w:spacing w:val="-9"/>
        </w:rPr>
        <w:t> </w:t>
      </w:r>
      <w:r>
        <w:rPr>
          <w:color w:val="231F20"/>
        </w:rPr>
        <w:t>случају</w:t>
      </w:r>
      <w:r>
        <w:rPr>
          <w:color w:val="231F20"/>
          <w:spacing w:val="-9"/>
        </w:rPr>
        <w:t> </w:t>
      </w:r>
      <w:r>
        <w:rPr>
          <w:color w:val="231F20"/>
          <w:spacing w:val="-4"/>
        </w:rPr>
        <w:t>ако</w:t>
      </w:r>
      <w:r>
        <w:rPr>
          <w:color w:val="231F20"/>
          <w:spacing w:val="-9"/>
        </w:rPr>
        <w:t> </w:t>
      </w:r>
      <w:r>
        <w:rPr>
          <w:color w:val="231F20"/>
        </w:rPr>
        <w:t>је</w:t>
      </w:r>
      <w:r>
        <w:rPr>
          <w:color w:val="231F20"/>
          <w:spacing w:val="-9"/>
        </w:rPr>
        <w:t> </w:t>
      </w:r>
      <w:r>
        <w:rPr>
          <w:color w:val="231F20"/>
        </w:rPr>
        <w:t>то</w:t>
      </w:r>
      <w:r>
        <w:rPr>
          <w:color w:val="231F20"/>
          <w:spacing w:val="-9"/>
        </w:rPr>
        <w:t> </w:t>
      </w:r>
      <w:r>
        <w:rPr>
          <w:color w:val="231F20"/>
        </w:rPr>
        <w:t>корисник</w:t>
      </w:r>
      <w:r>
        <w:rPr>
          <w:color w:val="231F20"/>
          <w:spacing w:val="-9"/>
        </w:rPr>
        <w:t> </w:t>
      </w:r>
      <w:r>
        <w:rPr>
          <w:color w:val="231F20"/>
        </w:rPr>
        <w:t>предвидео привременим програмом, односно, програмом управљања рибар- </w:t>
      </w:r>
      <w:r>
        <w:rPr>
          <w:color w:val="231F20"/>
          <w:spacing w:val="-3"/>
        </w:rPr>
        <w:t>ског</w:t>
      </w:r>
      <w:r>
        <w:rPr>
          <w:color w:val="231F20"/>
          <w:spacing w:val="-1"/>
        </w:rPr>
        <w:t> </w:t>
      </w:r>
      <w:r>
        <w:rPr>
          <w:color w:val="231F20"/>
        </w:rPr>
        <w:t>подручја;</w:t>
      </w:r>
    </w:p>
    <w:p>
      <w:pPr>
        <w:pStyle w:val="BodyText"/>
        <w:spacing w:line="232" w:lineRule="auto"/>
        <w:ind w:left="171" w:right="38" w:firstLine="396"/>
      </w:pPr>
      <w:r>
        <w:rPr>
          <w:color w:val="231F20"/>
          <w:w w:val="66"/>
        </w:rPr>
        <w:t> </w:t>
      </w:r>
      <w:r>
        <w:rPr>
          <w:color w:val="231F20"/>
        </w:rPr>
        <w:t>–</w:t>
      </w:r>
      <w:r>
        <w:rPr>
          <w:color w:val="231F20"/>
          <w:spacing w:val="-14"/>
        </w:rPr>
        <w:t> </w:t>
      </w:r>
      <w:r>
        <w:rPr>
          <w:color w:val="231F20"/>
        </w:rPr>
        <w:t>обављање</w:t>
      </w:r>
      <w:r>
        <w:rPr>
          <w:color w:val="231F20"/>
          <w:spacing w:val="-14"/>
        </w:rPr>
        <w:t> </w:t>
      </w:r>
      <w:r>
        <w:rPr>
          <w:color w:val="231F20"/>
        </w:rPr>
        <w:t>привредног</w:t>
      </w:r>
      <w:r>
        <w:rPr>
          <w:color w:val="231F20"/>
          <w:spacing w:val="-13"/>
        </w:rPr>
        <w:t> </w:t>
      </w:r>
      <w:r>
        <w:rPr>
          <w:color w:val="231F20"/>
        </w:rPr>
        <w:t>риболова</w:t>
      </w:r>
      <w:r>
        <w:rPr>
          <w:color w:val="231F20"/>
          <w:spacing w:val="-14"/>
        </w:rPr>
        <w:t> </w:t>
      </w:r>
      <w:r>
        <w:rPr>
          <w:color w:val="231F20"/>
        </w:rPr>
        <w:t>мрежарским,</w:t>
      </w:r>
      <w:r>
        <w:rPr>
          <w:color w:val="231F20"/>
          <w:spacing w:val="-14"/>
        </w:rPr>
        <w:t> </w:t>
      </w:r>
      <w:r>
        <w:rPr>
          <w:color w:val="231F20"/>
        </w:rPr>
        <w:t>удичарским</w:t>
      </w:r>
      <w:r>
        <w:rPr>
          <w:color w:val="231F20"/>
          <w:spacing w:val="-14"/>
        </w:rPr>
        <w:t> </w:t>
      </w:r>
      <w:r>
        <w:rPr>
          <w:color w:val="231F20"/>
        </w:rPr>
        <w:t>и самоловним алатима и</w:t>
      </w:r>
      <w:r>
        <w:rPr>
          <w:color w:val="231F20"/>
          <w:spacing w:val="-4"/>
        </w:rPr>
        <w:t> </w:t>
      </w:r>
      <w:r>
        <w:rPr>
          <w:color w:val="231F20"/>
        </w:rPr>
        <w:t>средствима;</w:t>
      </w:r>
    </w:p>
    <w:p>
      <w:pPr>
        <w:pStyle w:val="BodyText"/>
        <w:spacing w:line="232" w:lineRule="auto"/>
        <w:ind w:right="39" w:firstLine="397"/>
      </w:pPr>
      <w:r>
        <w:rPr>
          <w:color w:val="231F20"/>
          <w:w w:val="66"/>
        </w:rPr>
        <w:t> </w:t>
      </w:r>
      <w:r>
        <w:rPr>
          <w:color w:val="231F20"/>
        </w:rPr>
        <w:t>– испитати могућност производње топловодних риба у каве- зима на каналима са топлом водом;</w:t>
      </w:r>
    </w:p>
    <w:p>
      <w:pPr>
        <w:pStyle w:val="BodyText"/>
        <w:spacing w:line="232" w:lineRule="auto"/>
        <w:ind w:right="39" w:firstLine="396"/>
      </w:pPr>
      <w:r>
        <w:rPr>
          <w:color w:val="231F20"/>
          <w:w w:val="66"/>
        </w:rPr>
        <w:t> </w:t>
      </w:r>
      <w:r>
        <w:rPr>
          <w:color w:val="231F20"/>
        </w:rPr>
        <w:t>– формулисање програма мониторинга према Правилнику о програму мониторинга ради праћења стања рибљег фонда у рибо- ловним водама („Службени гласник РС”, број 71/10) и</w:t>
      </w:r>
    </w:p>
    <w:p>
      <w:pPr>
        <w:pStyle w:val="BodyText"/>
        <w:spacing w:line="232" w:lineRule="auto"/>
        <w:ind w:left="567" w:right="16"/>
        <w:jc w:val="left"/>
      </w:pPr>
      <w:r>
        <w:rPr>
          <w:color w:val="231F20"/>
          <w:w w:val="66"/>
        </w:rPr>
        <w:t> </w:t>
      </w:r>
      <w:r>
        <w:rPr>
          <w:color w:val="231F20"/>
        </w:rPr>
        <w:t>– промовисање научно-истраживачког рада у овој области. Места за плодишта се одређују на основу програма управља-</w:t>
      </w:r>
    </w:p>
    <w:p>
      <w:pPr>
        <w:pStyle w:val="BodyText"/>
        <w:spacing w:line="232" w:lineRule="auto"/>
        <w:ind w:right="38"/>
      </w:pPr>
      <w:r>
        <w:rPr>
          <w:color w:val="231F20"/>
        </w:rPr>
        <w:t>ња. Погодна места су </w:t>
      </w:r>
      <w:r>
        <w:rPr>
          <w:color w:val="231F20"/>
          <w:spacing w:val="-3"/>
        </w:rPr>
        <w:t>Стојкова </w:t>
      </w:r>
      <w:r>
        <w:rPr>
          <w:color w:val="231F20"/>
        </w:rPr>
        <w:t>ада и бара Шугавица. У каналима за испуштање топле воде из ТЕ могуће је узгајање риба у кавези- ма.</w:t>
      </w:r>
      <w:r>
        <w:rPr>
          <w:color w:val="231F20"/>
          <w:spacing w:val="-5"/>
        </w:rPr>
        <w:t> </w:t>
      </w:r>
      <w:r>
        <w:rPr>
          <w:color w:val="231F20"/>
        </w:rPr>
        <w:t>Ове</w:t>
      </w:r>
      <w:r>
        <w:rPr>
          <w:color w:val="231F20"/>
          <w:spacing w:val="-5"/>
        </w:rPr>
        <w:t> </w:t>
      </w:r>
      <w:r>
        <w:rPr>
          <w:color w:val="231F20"/>
        </w:rPr>
        <w:t>просторе</w:t>
      </w:r>
      <w:r>
        <w:rPr>
          <w:color w:val="231F20"/>
          <w:spacing w:val="-5"/>
        </w:rPr>
        <w:t> </w:t>
      </w:r>
      <w:r>
        <w:rPr>
          <w:color w:val="231F20"/>
        </w:rPr>
        <w:t>неопходно</w:t>
      </w:r>
      <w:r>
        <w:rPr>
          <w:color w:val="231F20"/>
          <w:spacing w:val="-5"/>
        </w:rPr>
        <w:t> </w:t>
      </w:r>
      <w:r>
        <w:rPr>
          <w:color w:val="231F20"/>
        </w:rPr>
        <w:t>је</w:t>
      </w:r>
      <w:r>
        <w:rPr>
          <w:color w:val="231F20"/>
          <w:spacing w:val="-5"/>
        </w:rPr>
        <w:t> </w:t>
      </w:r>
      <w:r>
        <w:rPr>
          <w:color w:val="231F20"/>
        </w:rPr>
        <w:t>да</w:t>
      </w:r>
      <w:r>
        <w:rPr>
          <w:color w:val="231F20"/>
          <w:spacing w:val="-5"/>
        </w:rPr>
        <w:t> </w:t>
      </w:r>
      <w:r>
        <w:rPr>
          <w:color w:val="231F20"/>
        </w:rPr>
        <w:t>корисник</w:t>
      </w:r>
      <w:r>
        <w:rPr>
          <w:color w:val="231F20"/>
          <w:spacing w:val="-5"/>
        </w:rPr>
        <w:t> </w:t>
      </w:r>
      <w:r>
        <w:rPr>
          <w:color w:val="231F20"/>
        </w:rPr>
        <w:t>видно</w:t>
      </w:r>
      <w:r>
        <w:rPr>
          <w:color w:val="231F20"/>
          <w:spacing w:val="-5"/>
        </w:rPr>
        <w:t> </w:t>
      </w:r>
      <w:r>
        <w:rPr>
          <w:color w:val="231F20"/>
        </w:rPr>
        <w:t>обележи,</w:t>
      </w:r>
      <w:r>
        <w:rPr>
          <w:color w:val="231F20"/>
          <w:spacing w:val="-5"/>
        </w:rPr>
        <w:t> </w:t>
      </w:r>
      <w:r>
        <w:rPr>
          <w:color w:val="231F20"/>
        </w:rPr>
        <w:t>истак- не забрану риболова, кретања без овлашћења као и забрану узне- миравања риба и предузимање свих неопходних мера </w:t>
      </w:r>
      <w:r>
        <w:rPr>
          <w:color w:val="231F20"/>
          <w:spacing w:val="-4"/>
        </w:rPr>
        <w:t>како </w:t>
      </w:r>
      <w:r>
        <w:rPr>
          <w:color w:val="231F20"/>
        </w:rPr>
        <w:t>би се обезбедио несметан прилив и одлив воде из</w:t>
      </w:r>
      <w:r>
        <w:rPr>
          <w:color w:val="231F20"/>
          <w:spacing w:val="-13"/>
        </w:rPr>
        <w:t> </w:t>
      </w:r>
      <w:r>
        <w:rPr>
          <w:color w:val="231F20"/>
        </w:rPr>
        <w:t>плодишта.</w:t>
      </w:r>
    </w:p>
    <w:p>
      <w:pPr>
        <w:pStyle w:val="ListParagraph"/>
        <w:numPr>
          <w:ilvl w:val="1"/>
          <w:numId w:val="29"/>
        </w:numPr>
        <w:tabs>
          <w:tab w:pos="1003" w:val="left" w:leader="none"/>
        </w:tabs>
        <w:spacing w:line="240" w:lineRule="auto" w:before="161" w:after="0"/>
        <w:ind w:left="1002" w:right="0" w:hanging="315"/>
        <w:jc w:val="left"/>
        <w:rPr>
          <w:i/>
          <w:sz w:val="18"/>
        </w:rPr>
      </w:pPr>
      <w:r>
        <w:rPr>
          <w:i/>
          <w:color w:val="231F20"/>
          <w:sz w:val="18"/>
        </w:rPr>
        <w:t>Развој туризма и уређење туристичких</w:t>
      </w:r>
      <w:r>
        <w:rPr>
          <w:i/>
          <w:color w:val="231F20"/>
          <w:spacing w:val="-14"/>
          <w:sz w:val="18"/>
        </w:rPr>
        <w:t> </w:t>
      </w:r>
      <w:r>
        <w:rPr>
          <w:i/>
          <w:color w:val="231F20"/>
          <w:sz w:val="18"/>
        </w:rPr>
        <w:t>подручја</w:t>
      </w:r>
    </w:p>
    <w:p>
      <w:pPr>
        <w:pStyle w:val="BodyText"/>
        <w:spacing w:before="4"/>
        <w:ind w:left="0"/>
        <w:jc w:val="left"/>
        <w:rPr>
          <w:i/>
          <w:sz w:val="17"/>
        </w:rPr>
      </w:pPr>
    </w:p>
    <w:p>
      <w:pPr>
        <w:pStyle w:val="BodyText"/>
        <w:spacing w:line="232" w:lineRule="auto"/>
        <w:ind w:left="171" w:right="38" w:firstLine="396"/>
      </w:pPr>
      <w:r>
        <w:rPr>
          <w:color w:val="231F20"/>
        </w:rPr>
        <w:t>Туристичка </w:t>
      </w:r>
      <w:r>
        <w:rPr>
          <w:color w:val="231F20"/>
          <w:spacing w:val="-3"/>
        </w:rPr>
        <w:t>понуда </w:t>
      </w:r>
      <w:r>
        <w:rPr>
          <w:color w:val="231F20"/>
        </w:rPr>
        <w:t>на </w:t>
      </w:r>
      <w:r>
        <w:rPr>
          <w:color w:val="231F20"/>
          <w:spacing w:val="-3"/>
        </w:rPr>
        <w:t>Планском </w:t>
      </w:r>
      <w:r>
        <w:rPr>
          <w:color w:val="231F20"/>
          <w:spacing w:val="-4"/>
        </w:rPr>
        <w:t>подручју, </w:t>
      </w:r>
      <w:r>
        <w:rPr>
          <w:color w:val="231F20"/>
        </w:rPr>
        <w:t>засниваће се на: атрактивним природним ресурсима акваторије и приобаља Дуна- ва, </w:t>
      </w:r>
      <w:r>
        <w:rPr>
          <w:color w:val="231F20"/>
          <w:spacing w:val="-3"/>
        </w:rPr>
        <w:t>који </w:t>
      </w:r>
      <w:r>
        <w:rPr>
          <w:color w:val="231F20"/>
        </w:rPr>
        <w:t>се у дужини </w:t>
      </w:r>
      <w:r>
        <w:rPr>
          <w:color w:val="231F20"/>
          <w:spacing w:val="-3"/>
        </w:rPr>
        <w:t>од </w:t>
      </w:r>
      <w:r>
        <w:rPr>
          <w:color w:val="231F20"/>
          <w:spacing w:val="-4"/>
        </w:rPr>
        <w:t>око </w:t>
      </w:r>
      <w:r>
        <w:rPr>
          <w:color w:val="231F20"/>
        </w:rPr>
        <w:t>30 km пружају северном зоном про- стора (са могућношћу пристајања крузинг туристичких бродова  и развоја </w:t>
      </w:r>
      <w:r>
        <w:rPr>
          <w:color w:val="231F20"/>
          <w:spacing w:val="-3"/>
        </w:rPr>
        <w:t>наутичког </w:t>
      </w:r>
      <w:r>
        <w:rPr>
          <w:color w:val="231F20"/>
        </w:rPr>
        <w:t>и других видова туризма на води), </w:t>
      </w:r>
      <w:r>
        <w:rPr>
          <w:color w:val="231F20"/>
          <w:spacing w:val="-3"/>
        </w:rPr>
        <w:t>културно </w:t>
      </w:r>
      <w:r>
        <w:rPr>
          <w:color w:val="231F20"/>
        </w:rPr>
        <w:t>историјским знаменитостима археолошког парка Виминацијум и других споменика културе, заштићеним природним вредностима, као и </w:t>
      </w:r>
      <w:r>
        <w:rPr>
          <w:color w:val="231F20"/>
          <w:spacing w:val="-3"/>
        </w:rPr>
        <w:t>понуди </w:t>
      </w:r>
      <w:r>
        <w:rPr>
          <w:color w:val="231F20"/>
        </w:rPr>
        <w:t>града Пожаревца са непосредним окружењем, </w:t>
      </w:r>
      <w:r>
        <w:rPr>
          <w:color w:val="231F20"/>
          <w:spacing w:val="-3"/>
        </w:rPr>
        <w:t>која </w:t>
      </w:r>
      <w:r>
        <w:rPr>
          <w:color w:val="231F20"/>
        </w:rPr>
        <w:t>мотивски и садржајно обогаћује туристичку </w:t>
      </w:r>
      <w:r>
        <w:rPr>
          <w:color w:val="231F20"/>
          <w:spacing w:val="-3"/>
        </w:rPr>
        <w:t>понуду; </w:t>
      </w:r>
      <w:r>
        <w:rPr>
          <w:color w:val="231F20"/>
        </w:rPr>
        <w:t>и повољном гео-саобраћајном положају подручја (на деоници паневропског водног коридора VII – </w:t>
      </w:r>
      <w:r>
        <w:rPr>
          <w:color w:val="231F20"/>
          <w:spacing w:val="-4"/>
        </w:rPr>
        <w:t>Дунаву, </w:t>
      </w:r>
      <w:r>
        <w:rPr>
          <w:color w:val="231F20"/>
        </w:rPr>
        <w:t>и гравитационој зони паневроп- </w:t>
      </w:r>
      <w:r>
        <w:rPr>
          <w:color w:val="231F20"/>
          <w:spacing w:val="-3"/>
        </w:rPr>
        <w:t>ског </w:t>
      </w:r>
      <w:r>
        <w:rPr>
          <w:color w:val="231F20"/>
        </w:rPr>
        <w:t>копненог коридора ауто-пута Е-75, деоница Београд –</w:t>
      </w:r>
      <w:r>
        <w:rPr>
          <w:color w:val="231F20"/>
          <w:spacing w:val="-5"/>
        </w:rPr>
        <w:t> </w:t>
      </w:r>
      <w:r>
        <w:rPr>
          <w:color w:val="231F20"/>
        </w:rPr>
        <w:t>Ниш).</w:t>
      </w:r>
    </w:p>
    <w:p>
      <w:pPr>
        <w:pStyle w:val="BodyText"/>
        <w:spacing w:line="232" w:lineRule="auto" w:before="78"/>
        <w:ind w:right="410"/>
      </w:pPr>
      <w:r>
        <w:rPr/>
        <w:br w:type="column"/>
      </w:r>
      <w:r>
        <w:rPr>
          <w:color w:val="231F20"/>
          <w:spacing w:val="-3"/>
        </w:rPr>
        <w:t>Туристичко </w:t>
      </w:r>
      <w:r>
        <w:rPr>
          <w:color w:val="231F20"/>
        </w:rPr>
        <w:t>подручје конципирано је и као велики регионални из- летнички </w:t>
      </w:r>
      <w:r>
        <w:rPr>
          <w:color w:val="231F20"/>
          <w:spacing w:val="-3"/>
        </w:rPr>
        <w:t>комплекс </w:t>
      </w:r>
      <w:r>
        <w:rPr>
          <w:color w:val="231F20"/>
        </w:rPr>
        <w:t>Београда (у дневној изохрони, са 90-минутном вожњом аутопутем, односно </w:t>
      </w:r>
      <w:r>
        <w:rPr>
          <w:color w:val="231F20"/>
          <w:spacing w:val="-4"/>
        </w:rPr>
        <w:t>неколико </w:t>
      </w:r>
      <w:r>
        <w:rPr>
          <w:color w:val="231F20"/>
        </w:rPr>
        <w:t>сати вожње бродом).</w:t>
      </w:r>
    </w:p>
    <w:p>
      <w:pPr>
        <w:pStyle w:val="BodyText"/>
        <w:spacing w:line="232" w:lineRule="auto"/>
        <w:ind w:right="410" w:firstLine="397"/>
      </w:pPr>
      <w:r>
        <w:rPr>
          <w:color w:val="231F20"/>
        </w:rPr>
        <w:t>Наведени ресурси предодређују коришћење овог простора за:</w:t>
      </w:r>
      <w:r>
        <w:rPr>
          <w:color w:val="231F20"/>
          <w:spacing w:val="-8"/>
        </w:rPr>
        <w:t> </w:t>
      </w:r>
      <w:r>
        <w:rPr>
          <w:color w:val="231F20"/>
        </w:rPr>
        <w:t>наутички,</w:t>
      </w:r>
      <w:r>
        <w:rPr>
          <w:color w:val="231F20"/>
          <w:spacing w:val="-8"/>
        </w:rPr>
        <w:t> </w:t>
      </w:r>
      <w:r>
        <w:rPr>
          <w:color w:val="231F20"/>
          <w:spacing w:val="-4"/>
        </w:rPr>
        <w:t>туринг,</w:t>
      </w:r>
      <w:r>
        <w:rPr>
          <w:color w:val="231F20"/>
          <w:spacing w:val="-8"/>
        </w:rPr>
        <w:t> </w:t>
      </w:r>
      <w:r>
        <w:rPr>
          <w:color w:val="231F20"/>
        </w:rPr>
        <w:t>манифестациони,</w:t>
      </w:r>
      <w:r>
        <w:rPr>
          <w:color w:val="231F20"/>
          <w:spacing w:val="-8"/>
        </w:rPr>
        <w:t> </w:t>
      </w:r>
      <w:r>
        <w:rPr>
          <w:color w:val="231F20"/>
        </w:rPr>
        <w:t>излетнички</w:t>
      </w:r>
      <w:r>
        <w:rPr>
          <w:color w:val="231F20"/>
          <w:spacing w:val="-8"/>
        </w:rPr>
        <w:t> </w:t>
      </w:r>
      <w:r>
        <w:rPr>
          <w:color w:val="231F20"/>
        </w:rPr>
        <w:t>и</w:t>
      </w:r>
      <w:r>
        <w:rPr>
          <w:color w:val="231F20"/>
          <w:spacing w:val="-8"/>
        </w:rPr>
        <w:t> </w:t>
      </w:r>
      <w:r>
        <w:rPr>
          <w:color w:val="231F20"/>
        </w:rPr>
        <w:t>еколошки</w:t>
      </w:r>
      <w:r>
        <w:rPr>
          <w:color w:val="231F20"/>
          <w:spacing w:val="-8"/>
        </w:rPr>
        <w:t> </w:t>
      </w:r>
      <w:r>
        <w:rPr>
          <w:color w:val="231F20"/>
        </w:rPr>
        <w:t>ту- ризам и рекреацију и за туризам „специјалних интереса”, првен- ствено</w:t>
      </w:r>
      <w:r>
        <w:rPr>
          <w:color w:val="231F20"/>
          <w:spacing w:val="-6"/>
        </w:rPr>
        <w:t> </w:t>
      </w:r>
      <w:r>
        <w:rPr>
          <w:color w:val="231F20"/>
        </w:rPr>
        <w:t>регионалног</w:t>
      </w:r>
      <w:r>
        <w:rPr>
          <w:color w:val="231F20"/>
          <w:spacing w:val="-6"/>
        </w:rPr>
        <w:t> </w:t>
      </w:r>
      <w:r>
        <w:rPr>
          <w:color w:val="231F20"/>
        </w:rPr>
        <w:t>и</w:t>
      </w:r>
      <w:r>
        <w:rPr>
          <w:color w:val="231F20"/>
          <w:spacing w:val="-6"/>
        </w:rPr>
        <w:t> </w:t>
      </w:r>
      <w:r>
        <w:rPr>
          <w:color w:val="231F20"/>
        </w:rPr>
        <w:t>националног</w:t>
      </w:r>
      <w:r>
        <w:rPr>
          <w:color w:val="231F20"/>
          <w:spacing w:val="-6"/>
        </w:rPr>
        <w:t> </w:t>
      </w:r>
      <w:r>
        <w:rPr>
          <w:color w:val="231F20"/>
        </w:rPr>
        <w:t>а</w:t>
      </w:r>
      <w:r>
        <w:rPr>
          <w:color w:val="231F20"/>
          <w:spacing w:val="-6"/>
        </w:rPr>
        <w:t> </w:t>
      </w:r>
      <w:r>
        <w:rPr>
          <w:color w:val="231F20"/>
        </w:rPr>
        <w:t>делом</w:t>
      </w:r>
      <w:r>
        <w:rPr>
          <w:color w:val="231F20"/>
          <w:spacing w:val="-6"/>
        </w:rPr>
        <w:t> </w:t>
      </w:r>
      <w:r>
        <w:rPr>
          <w:color w:val="231F20"/>
        </w:rPr>
        <w:t>и</w:t>
      </w:r>
      <w:r>
        <w:rPr>
          <w:color w:val="231F20"/>
          <w:spacing w:val="-6"/>
        </w:rPr>
        <w:t> </w:t>
      </w:r>
      <w:r>
        <w:rPr>
          <w:color w:val="231F20"/>
        </w:rPr>
        <w:t>међународног</w:t>
      </w:r>
      <w:r>
        <w:rPr>
          <w:color w:val="231F20"/>
          <w:spacing w:val="-6"/>
        </w:rPr>
        <w:t> </w:t>
      </w:r>
      <w:r>
        <w:rPr>
          <w:color w:val="231F20"/>
        </w:rPr>
        <w:t>нивоа; као</w:t>
      </w:r>
      <w:r>
        <w:rPr>
          <w:color w:val="231F20"/>
          <w:spacing w:val="-8"/>
        </w:rPr>
        <w:t> </w:t>
      </w:r>
      <w:r>
        <w:rPr>
          <w:color w:val="231F20"/>
        </w:rPr>
        <w:t>и</w:t>
      </w:r>
      <w:r>
        <w:rPr>
          <w:color w:val="231F20"/>
          <w:spacing w:val="-8"/>
        </w:rPr>
        <w:t> </w:t>
      </w:r>
      <w:r>
        <w:rPr>
          <w:color w:val="231F20"/>
        </w:rPr>
        <w:t>за</w:t>
      </w:r>
      <w:r>
        <w:rPr>
          <w:color w:val="231F20"/>
          <w:spacing w:val="-8"/>
        </w:rPr>
        <w:t> </w:t>
      </w:r>
      <w:r>
        <w:rPr>
          <w:color w:val="231F20"/>
        </w:rPr>
        <w:t>реализацију</w:t>
      </w:r>
      <w:r>
        <w:rPr>
          <w:color w:val="231F20"/>
          <w:spacing w:val="-8"/>
        </w:rPr>
        <w:t> </w:t>
      </w:r>
      <w:r>
        <w:rPr>
          <w:color w:val="231F20"/>
        </w:rPr>
        <w:t>атрактивних</w:t>
      </w:r>
      <w:r>
        <w:rPr>
          <w:color w:val="231F20"/>
          <w:spacing w:val="-8"/>
        </w:rPr>
        <w:t> </w:t>
      </w:r>
      <w:r>
        <w:rPr>
          <w:color w:val="231F20"/>
        </w:rPr>
        <w:t>програма</w:t>
      </w:r>
      <w:r>
        <w:rPr>
          <w:color w:val="231F20"/>
          <w:spacing w:val="-8"/>
        </w:rPr>
        <w:t> </w:t>
      </w:r>
      <w:r>
        <w:rPr>
          <w:color w:val="231F20"/>
        </w:rPr>
        <w:t>активирања</w:t>
      </w:r>
      <w:r>
        <w:rPr>
          <w:color w:val="231F20"/>
          <w:spacing w:val="-8"/>
        </w:rPr>
        <w:t> </w:t>
      </w:r>
      <w:r>
        <w:rPr>
          <w:color w:val="231F20"/>
        </w:rPr>
        <w:t>развоја</w:t>
      </w:r>
      <w:r>
        <w:rPr>
          <w:color w:val="231F20"/>
          <w:spacing w:val="-8"/>
        </w:rPr>
        <w:t> </w:t>
      </w:r>
      <w:r>
        <w:rPr>
          <w:color w:val="231F20"/>
        </w:rPr>
        <w:t>ту- ризма</w:t>
      </w:r>
      <w:r>
        <w:rPr>
          <w:color w:val="231F20"/>
          <w:spacing w:val="-8"/>
        </w:rPr>
        <w:t> </w:t>
      </w:r>
      <w:r>
        <w:rPr>
          <w:color w:val="231F20"/>
        </w:rPr>
        <w:t>и</w:t>
      </w:r>
      <w:r>
        <w:rPr>
          <w:color w:val="231F20"/>
          <w:spacing w:val="-8"/>
        </w:rPr>
        <w:t> </w:t>
      </w:r>
      <w:r>
        <w:rPr>
          <w:color w:val="231F20"/>
        </w:rPr>
        <w:t>комплементарних</w:t>
      </w:r>
      <w:r>
        <w:rPr>
          <w:color w:val="231F20"/>
          <w:spacing w:val="-8"/>
        </w:rPr>
        <w:t> </w:t>
      </w:r>
      <w:r>
        <w:rPr>
          <w:color w:val="231F20"/>
        </w:rPr>
        <w:t>делатности</w:t>
      </w:r>
      <w:r>
        <w:rPr>
          <w:color w:val="231F20"/>
          <w:spacing w:val="-8"/>
        </w:rPr>
        <w:t> </w:t>
      </w:r>
      <w:r>
        <w:rPr>
          <w:color w:val="231F20"/>
        </w:rPr>
        <w:t>у</w:t>
      </w:r>
      <w:r>
        <w:rPr>
          <w:color w:val="231F20"/>
          <w:spacing w:val="-8"/>
        </w:rPr>
        <w:t> </w:t>
      </w:r>
      <w:r>
        <w:rPr>
          <w:color w:val="231F20"/>
        </w:rPr>
        <w:t>корелацији</w:t>
      </w:r>
      <w:r>
        <w:rPr>
          <w:color w:val="231F20"/>
          <w:spacing w:val="-8"/>
        </w:rPr>
        <w:t> </w:t>
      </w:r>
      <w:r>
        <w:rPr>
          <w:color w:val="231F20"/>
        </w:rPr>
        <w:t>са</w:t>
      </w:r>
      <w:r>
        <w:rPr>
          <w:color w:val="231F20"/>
          <w:spacing w:val="-8"/>
        </w:rPr>
        <w:t> </w:t>
      </w:r>
      <w:r>
        <w:rPr>
          <w:color w:val="231F20"/>
        </w:rPr>
        <w:t>програмима заштите животне средине, природног и културног наслеђа и </w:t>
      </w:r>
      <w:r>
        <w:rPr>
          <w:color w:val="231F20"/>
          <w:spacing w:val="-3"/>
        </w:rPr>
        <w:t>одго- </w:t>
      </w:r>
      <w:r>
        <w:rPr>
          <w:color w:val="231F20"/>
        </w:rPr>
        <w:t>варајућим развојним политикама </w:t>
      </w:r>
      <w:r>
        <w:rPr>
          <w:color w:val="231F20"/>
          <w:spacing w:val="-3"/>
        </w:rPr>
        <w:t>Републике </w:t>
      </w:r>
      <w:r>
        <w:rPr>
          <w:color w:val="231F20"/>
        </w:rPr>
        <w:t>Србије.</w:t>
      </w:r>
    </w:p>
    <w:p>
      <w:pPr>
        <w:pStyle w:val="BodyText"/>
        <w:spacing w:line="232" w:lineRule="auto"/>
        <w:ind w:right="410" w:firstLine="397"/>
      </w:pPr>
      <w:r>
        <w:rPr>
          <w:color w:val="231F20"/>
        </w:rPr>
        <w:t>Основна опредељења дугорочног концепта развоја туризма</w:t>
      </w:r>
      <w:r>
        <w:rPr>
          <w:color w:val="231F20"/>
          <w:spacing w:val="-29"/>
        </w:rPr>
        <w:t> </w:t>
      </w:r>
      <w:r>
        <w:rPr>
          <w:color w:val="231F20"/>
        </w:rPr>
        <w:t>и рекреације</w:t>
      </w:r>
      <w:r>
        <w:rPr>
          <w:color w:val="231F20"/>
          <w:spacing w:val="-1"/>
        </w:rPr>
        <w:t> </w:t>
      </w:r>
      <w:r>
        <w:rPr>
          <w:color w:val="231F20"/>
        </w:rPr>
        <w:t>су:</w:t>
      </w:r>
    </w:p>
    <w:p>
      <w:pPr>
        <w:pStyle w:val="BodyText"/>
        <w:spacing w:line="232" w:lineRule="auto"/>
        <w:ind w:right="410" w:firstLine="397"/>
      </w:pPr>
      <w:r>
        <w:rPr>
          <w:color w:val="231F20"/>
          <w:w w:val="66"/>
        </w:rPr>
        <w:t> </w:t>
      </w:r>
      <w:r>
        <w:rPr>
          <w:color w:val="231F20"/>
        </w:rPr>
        <w:t>– развој субдестинације са знатним учешћем целогодишње понуде;</w:t>
      </w:r>
      <w:r>
        <w:rPr>
          <w:color w:val="231F20"/>
          <w:spacing w:val="-10"/>
        </w:rPr>
        <w:t> </w:t>
      </w:r>
      <w:r>
        <w:rPr>
          <w:color w:val="231F20"/>
        </w:rPr>
        <w:t>туризам</w:t>
      </w:r>
      <w:r>
        <w:rPr>
          <w:color w:val="231F20"/>
          <w:spacing w:val="-10"/>
        </w:rPr>
        <w:t> </w:t>
      </w:r>
      <w:r>
        <w:rPr>
          <w:color w:val="231F20"/>
        </w:rPr>
        <w:t>ће</w:t>
      </w:r>
      <w:r>
        <w:rPr>
          <w:color w:val="231F20"/>
          <w:spacing w:val="-10"/>
        </w:rPr>
        <w:t> </w:t>
      </w:r>
      <w:r>
        <w:rPr>
          <w:color w:val="231F20"/>
        </w:rPr>
        <w:t>бити</w:t>
      </w:r>
      <w:r>
        <w:rPr>
          <w:color w:val="231F20"/>
          <w:spacing w:val="-10"/>
        </w:rPr>
        <w:t> </w:t>
      </w:r>
      <w:r>
        <w:rPr>
          <w:color w:val="231F20"/>
        </w:rPr>
        <w:t>важан</w:t>
      </w:r>
      <w:r>
        <w:rPr>
          <w:color w:val="231F20"/>
          <w:spacing w:val="-10"/>
        </w:rPr>
        <w:t> </w:t>
      </w:r>
      <w:r>
        <w:rPr>
          <w:color w:val="231F20"/>
        </w:rPr>
        <w:t>сегмент</w:t>
      </w:r>
      <w:r>
        <w:rPr>
          <w:color w:val="231F20"/>
          <w:spacing w:val="-10"/>
        </w:rPr>
        <w:t> </w:t>
      </w:r>
      <w:r>
        <w:rPr>
          <w:color w:val="231F20"/>
        </w:rPr>
        <w:t>развоја</w:t>
      </w:r>
      <w:r>
        <w:rPr>
          <w:color w:val="231F20"/>
          <w:spacing w:val="-10"/>
        </w:rPr>
        <w:t> </w:t>
      </w:r>
      <w:r>
        <w:rPr>
          <w:color w:val="231F20"/>
        </w:rPr>
        <w:t>дела</w:t>
      </w:r>
      <w:r>
        <w:rPr>
          <w:color w:val="231F20"/>
          <w:spacing w:val="-10"/>
        </w:rPr>
        <w:t> </w:t>
      </w:r>
      <w:r>
        <w:rPr>
          <w:color w:val="231F20"/>
        </w:rPr>
        <w:t>Планског</w:t>
      </w:r>
      <w:r>
        <w:rPr>
          <w:color w:val="231F20"/>
          <w:spacing w:val="-10"/>
        </w:rPr>
        <w:t> </w:t>
      </w:r>
      <w:r>
        <w:rPr>
          <w:color w:val="231F20"/>
        </w:rPr>
        <w:t>под- ручја, </w:t>
      </w:r>
      <w:r>
        <w:rPr>
          <w:color w:val="231F20"/>
          <w:spacing w:val="-3"/>
        </w:rPr>
        <w:t>који </w:t>
      </w:r>
      <w:r>
        <w:rPr>
          <w:color w:val="231F20"/>
        </w:rPr>
        <w:t>располаже потенцијалима и мотивима за туристичку и рекреативну</w:t>
      </w:r>
      <w:r>
        <w:rPr>
          <w:color w:val="231F20"/>
          <w:spacing w:val="-7"/>
        </w:rPr>
        <w:t> </w:t>
      </w:r>
      <w:r>
        <w:rPr>
          <w:color w:val="231F20"/>
        </w:rPr>
        <w:t>тражњу</w:t>
      </w:r>
      <w:r>
        <w:rPr>
          <w:color w:val="231F20"/>
          <w:spacing w:val="-7"/>
        </w:rPr>
        <w:t> </w:t>
      </w:r>
      <w:r>
        <w:rPr>
          <w:color w:val="231F20"/>
        </w:rPr>
        <w:t>клијентеле</w:t>
      </w:r>
      <w:r>
        <w:rPr>
          <w:color w:val="231F20"/>
          <w:spacing w:val="-7"/>
        </w:rPr>
        <w:t> </w:t>
      </w:r>
      <w:r>
        <w:rPr>
          <w:color w:val="231F20"/>
        </w:rPr>
        <w:t>из</w:t>
      </w:r>
      <w:r>
        <w:rPr>
          <w:color w:val="231F20"/>
          <w:spacing w:val="-7"/>
        </w:rPr>
        <w:t> </w:t>
      </w:r>
      <w:r>
        <w:rPr>
          <w:color w:val="231F20"/>
        </w:rPr>
        <w:t>Београда</w:t>
      </w:r>
      <w:r>
        <w:rPr>
          <w:color w:val="231F20"/>
          <w:spacing w:val="-7"/>
        </w:rPr>
        <w:t> </w:t>
      </w:r>
      <w:r>
        <w:rPr>
          <w:color w:val="231F20"/>
        </w:rPr>
        <w:t>и</w:t>
      </w:r>
      <w:r>
        <w:rPr>
          <w:color w:val="231F20"/>
          <w:spacing w:val="-7"/>
        </w:rPr>
        <w:t> </w:t>
      </w:r>
      <w:r>
        <w:rPr>
          <w:color w:val="231F20"/>
        </w:rPr>
        <w:t>других</w:t>
      </w:r>
      <w:r>
        <w:rPr>
          <w:color w:val="231F20"/>
          <w:spacing w:val="-7"/>
        </w:rPr>
        <w:t> </w:t>
      </w:r>
      <w:r>
        <w:rPr>
          <w:color w:val="231F20"/>
        </w:rPr>
        <w:t>већих</w:t>
      </w:r>
      <w:r>
        <w:rPr>
          <w:color w:val="231F20"/>
          <w:spacing w:val="-7"/>
        </w:rPr>
        <w:t> </w:t>
      </w:r>
      <w:r>
        <w:rPr>
          <w:color w:val="231F20"/>
        </w:rPr>
        <w:t>и</w:t>
      </w:r>
      <w:r>
        <w:rPr>
          <w:color w:val="231F20"/>
          <w:spacing w:val="-7"/>
        </w:rPr>
        <w:t> </w:t>
      </w:r>
      <w:r>
        <w:rPr>
          <w:color w:val="231F20"/>
        </w:rPr>
        <w:t>бли- жих градова, као и из иностранства, пре свега са међународних крузинг бродова (наутички, </w:t>
      </w:r>
      <w:r>
        <w:rPr>
          <w:color w:val="231F20"/>
          <w:spacing w:val="-4"/>
        </w:rPr>
        <w:t>турнинг, </w:t>
      </w:r>
      <w:r>
        <w:rPr>
          <w:color w:val="231F20"/>
        </w:rPr>
        <w:t>манифестациони, излетнич- ки, еколошки туризам и рекреација, као и за туризам специјалних интереса везан за </w:t>
      </w:r>
      <w:r>
        <w:rPr>
          <w:color w:val="231F20"/>
          <w:spacing w:val="-3"/>
        </w:rPr>
        <w:t>археологију, </w:t>
      </w:r>
      <w:r>
        <w:rPr>
          <w:color w:val="231F20"/>
        </w:rPr>
        <w:t>бициклистичке путеве, лов и рибо- лов, посматрање птица, и</w:t>
      </w:r>
      <w:r>
        <w:rPr>
          <w:color w:val="231F20"/>
          <w:spacing w:val="-6"/>
        </w:rPr>
        <w:t> </w:t>
      </w:r>
      <w:r>
        <w:rPr>
          <w:color w:val="231F20"/>
        </w:rPr>
        <w:t>друго);</w:t>
      </w:r>
    </w:p>
    <w:p>
      <w:pPr>
        <w:pStyle w:val="BodyText"/>
        <w:spacing w:line="232" w:lineRule="auto"/>
        <w:ind w:left="169" w:right="410" w:firstLine="397"/>
      </w:pPr>
      <w:r>
        <w:rPr>
          <w:color w:val="231F20"/>
          <w:w w:val="66"/>
        </w:rPr>
        <w:t> </w:t>
      </w:r>
      <w:r>
        <w:rPr>
          <w:color w:val="231F20"/>
        </w:rPr>
        <w:t>–</w:t>
      </w:r>
      <w:r>
        <w:rPr>
          <w:color w:val="231F20"/>
          <w:spacing w:val="-7"/>
        </w:rPr>
        <w:t> </w:t>
      </w:r>
      <w:r>
        <w:rPr>
          <w:color w:val="231F20"/>
        </w:rPr>
        <w:t>према</w:t>
      </w:r>
      <w:r>
        <w:rPr>
          <w:color w:val="231F20"/>
          <w:spacing w:val="-7"/>
        </w:rPr>
        <w:t> </w:t>
      </w:r>
      <w:r>
        <w:rPr>
          <w:color w:val="231F20"/>
        </w:rPr>
        <w:t>природним</w:t>
      </w:r>
      <w:r>
        <w:rPr>
          <w:color w:val="231F20"/>
          <w:spacing w:val="-7"/>
        </w:rPr>
        <w:t> </w:t>
      </w:r>
      <w:r>
        <w:rPr>
          <w:color w:val="231F20"/>
        </w:rPr>
        <w:t>и</w:t>
      </w:r>
      <w:r>
        <w:rPr>
          <w:color w:val="231F20"/>
          <w:spacing w:val="-7"/>
        </w:rPr>
        <w:t> </w:t>
      </w:r>
      <w:r>
        <w:rPr>
          <w:color w:val="231F20"/>
        </w:rPr>
        <w:t>створеним</w:t>
      </w:r>
      <w:r>
        <w:rPr>
          <w:color w:val="231F20"/>
          <w:spacing w:val="-7"/>
        </w:rPr>
        <w:t> </w:t>
      </w:r>
      <w:r>
        <w:rPr>
          <w:color w:val="231F20"/>
        </w:rPr>
        <w:t>потенцијалима,</w:t>
      </w:r>
      <w:r>
        <w:rPr>
          <w:color w:val="231F20"/>
          <w:spacing w:val="-7"/>
        </w:rPr>
        <w:t> </w:t>
      </w:r>
      <w:r>
        <w:rPr>
          <w:color w:val="231F20"/>
        </w:rPr>
        <w:t>развој</w:t>
      </w:r>
      <w:r>
        <w:rPr>
          <w:color w:val="231F20"/>
          <w:spacing w:val="-7"/>
        </w:rPr>
        <w:t> </w:t>
      </w:r>
      <w:r>
        <w:rPr>
          <w:color w:val="231F20"/>
        </w:rPr>
        <w:t>тури- зма и рекреације засниваће се на интегрисаној</w:t>
      </w:r>
      <w:r>
        <w:rPr>
          <w:color w:val="231F20"/>
          <w:spacing w:val="-32"/>
        </w:rPr>
        <w:t> </w:t>
      </w:r>
      <w:r>
        <w:rPr>
          <w:color w:val="231F20"/>
        </w:rPr>
        <w:t>туристичко-рекреа- тивној </w:t>
      </w:r>
      <w:r>
        <w:rPr>
          <w:color w:val="231F20"/>
          <w:spacing w:val="-3"/>
        </w:rPr>
        <w:t>понуди </w:t>
      </w:r>
      <w:r>
        <w:rPr>
          <w:color w:val="231F20"/>
        </w:rPr>
        <w:t>акваторије и приобаља Дунава, археолошког парка Виминацијум</w:t>
      </w:r>
      <w:r>
        <w:rPr>
          <w:color w:val="231F20"/>
          <w:spacing w:val="-10"/>
        </w:rPr>
        <w:t> </w:t>
      </w:r>
      <w:r>
        <w:rPr>
          <w:color w:val="231F20"/>
        </w:rPr>
        <w:t>и</w:t>
      </w:r>
      <w:r>
        <w:rPr>
          <w:color w:val="231F20"/>
          <w:spacing w:val="-10"/>
        </w:rPr>
        <w:t> </w:t>
      </w:r>
      <w:r>
        <w:rPr>
          <w:color w:val="231F20"/>
        </w:rPr>
        <w:t>других</w:t>
      </w:r>
      <w:r>
        <w:rPr>
          <w:color w:val="231F20"/>
          <w:spacing w:val="-10"/>
        </w:rPr>
        <w:t> </w:t>
      </w:r>
      <w:r>
        <w:rPr>
          <w:color w:val="231F20"/>
        </w:rPr>
        <w:t>историјских</w:t>
      </w:r>
      <w:r>
        <w:rPr>
          <w:color w:val="231F20"/>
          <w:spacing w:val="-10"/>
        </w:rPr>
        <w:t> </w:t>
      </w:r>
      <w:r>
        <w:rPr>
          <w:color w:val="231F20"/>
        </w:rPr>
        <w:t>знаменитости,</w:t>
      </w:r>
      <w:r>
        <w:rPr>
          <w:color w:val="231F20"/>
          <w:spacing w:val="-10"/>
        </w:rPr>
        <w:t> </w:t>
      </w:r>
      <w:r>
        <w:rPr>
          <w:color w:val="231F20"/>
        </w:rPr>
        <w:t>града</w:t>
      </w:r>
      <w:r>
        <w:rPr>
          <w:color w:val="231F20"/>
          <w:spacing w:val="-10"/>
        </w:rPr>
        <w:t> </w:t>
      </w:r>
      <w:r>
        <w:rPr>
          <w:color w:val="231F20"/>
        </w:rPr>
        <w:t>Пожарев- ца,</w:t>
      </w:r>
      <w:r>
        <w:rPr>
          <w:color w:val="231F20"/>
          <w:spacing w:val="-9"/>
        </w:rPr>
        <w:t> </w:t>
      </w:r>
      <w:r>
        <w:rPr>
          <w:color w:val="231F20"/>
        </w:rPr>
        <w:t>села,</w:t>
      </w:r>
      <w:r>
        <w:rPr>
          <w:color w:val="231F20"/>
          <w:spacing w:val="-9"/>
        </w:rPr>
        <w:t> </w:t>
      </w:r>
      <w:r>
        <w:rPr>
          <w:color w:val="231F20"/>
        </w:rPr>
        <w:t>ловишта</w:t>
      </w:r>
      <w:r>
        <w:rPr>
          <w:color w:val="231F20"/>
          <w:spacing w:val="-9"/>
        </w:rPr>
        <w:t> </w:t>
      </w:r>
      <w:r>
        <w:rPr>
          <w:color w:val="231F20"/>
        </w:rPr>
        <w:t>(укуључујући</w:t>
      </w:r>
      <w:r>
        <w:rPr>
          <w:color w:val="231F20"/>
          <w:spacing w:val="-9"/>
        </w:rPr>
        <w:t> </w:t>
      </w:r>
      <w:r>
        <w:rPr>
          <w:color w:val="231F20"/>
        </w:rPr>
        <w:t>и</w:t>
      </w:r>
      <w:r>
        <w:rPr>
          <w:color w:val="231F20"/>
          <w:spacing w:val="-9"/>
        </w:rPr>
        <w:t> </w:t>
      </w:r>
      <w:r>
        <w:rPr>
          <w:color w:val="231F20"/>
        </w:rPr>
        <w:t>рекултивисане</w:t>
      </w:r>
      <w:r>
        <w:rPr>
          <w:color w:val="231F20"/>
          <w:spacing w:val="-9"/>
        </w:rPr>
        <w:t> </w:t>
      </w:r>
      <w:r>
        <w:rPr>
          <w:color w:val="231F20"/>
        </w:rPr>
        <w:t>површине</w:t>
      </w:r>
      <w:r>
        <w:rPr>
          <w:color w:val="231F20"/>
          <w:spacing w:val="-9"/>
        </w:rPr>
        <w:t> </w:t>
      </w:r>
      <w:r>
        <w:rPr>
          <w:color w:val="231F20"/>
          <w:spacing w:val="-3"/>
        </w:rPr>
        <w:t>копова </w:t>
      </w:r>
      <w:r>
        <w:rPr>
          <w:color w:val="231F20"/>
        </w:rPr>
        <w:t>лигнитског басена) и друго, </w:t>
      </w:r>
      <w:r>
        <w:rPr>
          <w:color w:val="231F20"/>
          <w:spacing w:val="-3"/>
        </w:rPr>
        <w:t>којима </w:t>
      </w:r>
      <w:r>
        <w:rPr>
          <w:color w:val="231F20"/>
        </w:rPr>
        <w:t>ће уједно бити обухваћене и све значајне вредности непосредног</w:t>
      </w:r>
      <w:r>
        <w:rPr>
          <w:color w:val="231F20"/>
          <w:spacing w:val="-6"/>
        </w:rPr>
        <w:t> </w:t>
      </w:r>
      <w:r>
        <w:rPr>
          <w:color w:val="231F20"/>
        </w:rPr>
        <w:t>окружења;</w:t>
      </w:r>
    </w:p>
    <w:p>
      <w:pPr>
        <w:pStyle w:val="BodyText"/>
        <w:spacing w:line="232" w:lineRule="auto"/>
        <w:ind w:right="410" w:firstLine="397"/>
      </w:pPr>
      <w:r>
        <w:rPr>
          <w:color w:val="231F20"/>
          <w:w w:val="66"/>
        </w:rPr>
        <w:t> </w:t>
      </w:r>
      <w:r>
        <w:rPr>
          <w:color w:val="231F20"/>
        </w:rPr>
        <w:t>–</w:t>
      </w:r>
      <w:r>
        <w:rPr>
          <w:color w:val="231F20"/>
          <w:spacing w:val="-13"/>
        </w:rPr>
        <w:t> </w:t>
      </w:r>
      <w:r>
        <w:rPr>
          <w:color w:val="231F20"/>
        </w:rPr>
        <w:t>туризам</w:t>
      </w:r>
      <w:r>
        <w:rPr>
          <w:color w:val="231F20"/>
          <w:spacing w:val="-13"/>
        </w:rPr>
        <w:t> </w:t>
      </w:r>
      <w:r>
        <w:rPr>
          <w:color w:val="231F20"/>
        </w:rPr>
        <w:t>ће</w:t>
      </w:r>
      <w:r>
        <w:rPr>
          <w:color w:val="231F20"/>
          <w:spacing w:val="-13"/>
        </w:rPr>
        <w:t> </w:t>
      </w:r>
      <w:r>
        <w:rPr>
          <w:color w:val="231F20"/>
        </w:rPr>
        <w:t>активирати</w:t>
      </w:r>
      <w:r>
        <w:rPr>
          <w:color w:val="231F20"/>
          <w:spacing w:val="-13"/>
        </w:rPr>
        <w:t> </w:t>
      </w:r>
      <w:r>
        <w:rPr>
          <w:color w:val="231F20"/>
        </w:rPr>
        <w:t>развој</w:t>
      </w:r>
      <w:r>
        <w:rPr>
          <w:color w:val="231F20"/>
          <w:spacing w:val="-13"/>
        </w:rPr>
        <w:t> </w:t>
      </w:r>
      <w:r>
        <w:rPr>
          <w:color w:val="231F20"/>
        </w:rPr>
        <w:t>комплементарних</w:t>
      </w:r>
      <w:r>
        <w:rPr>
          <w:color w:val="231F20"/>
          <w:spacing w:val="-13"/>
        </w:rPr>
        <w:t> </w:t>
      </w:r>
      <w:r>
        <w:rPr>
          <w:color w:val="231F20"/>
        </w:rPr>
        <w:t>активности и структура (пољопривреде, мале привреде, јавних служби и обје- ката,</w:t>
      </w:r>
      <w:r>
        <w:rPr>
          <w:color w:val="231F20"/>
          <w:spacing w:val="-11"/>
        </w:rPr>
        <w:t> </w:t>
      </w:r>
      <w:r>
        <w:rPr>
          <w:color w:val="231F20"/>
        </w:rPr>
        <w:t>инфраструктуре</w:t>
      </w:r>
      <w:r>
        <w:rPr>
          <w:color w:val="231F20"/>
          <w:spacing w:val="-11"/>
        </w:rPr>
        <w:t> </w:t>
      </w:r>
      <w:r>
        <w:rPr>
          <w:color w:val="231F20"/>
        </w:rPr>
        <w:t>и</w:t>
      </w:r>
      <w:r>
        <w:rPr>
          <w:color w:val="231F20"/>
          <w:spacing w:val="-11"/>
        </w:rPr>
        <w:t> </w:t>
      </w:r>
      <w:r>
        <w:rPr>
          <w:color w:val="231F20"/>
        </w:rPr>
        <w:t>друго),</w:t>
      </w:r>
      <w:r>
        <w:rPr>
          <w:color w:val="231F20"/>
          <w:spacing w:val="-11"/>
        </w:rPr>
        <w:t> </w:t>
      </w:r>
      <w:r>
        <w:rPr>
          <w:color w:val="231F20"/>
        </w:rPr>
        <w:t>подржати</w:t>
      </w:r>
      <w:r>
        <w:rPr>
          <w:color w:val="231F20"/>
          <w:spacing w:val="-11"/>
        </w:rPr>
        <w:t> </w:t>
      </w:r>
      <w:r>
        <w:rPr>
          <w:color w:val="231F20"/>
        </w:rPr>
        <w:t>запошљавање</w:t>
      </w:r>
      <w:r>
        <w:rPr>
          <w:color w:val="231F20"/>
          <w:spacing w:val="-11"/>
        </w:rPr>
        <w:t> </w:t>
      </w:r>
      <w:r>
        <w:rPr>
          <w:color w:val="231F20"/>
        </w:rPr>
        <w:t>и</w:t>
      </w:r>
      <w:r>
        <w:rPr>
          <w:color w:val="231F20"/>
          <w:spacing w:val="-11"/>
        </w:rPr>
        <w:t> </w:t>
      </w:r>
      <w:r>
        <w:rPr>
          <w:color w:val="231F20"/>
        </w:rPr>
        <w:t>стандард живљења локалног становништва (представљати вид компензаци- је локалном становништву за различита ограничења у развоју) и унапредити заштиту и презентацију природних и културних вред- ности пре свега Дунава, археолошког парка Виминацијум и друго као темељних ресурса и услова развоја више видова туризма, про- изводње еко-хране и</w:t>
      </w:r>
      <w:r>
        <w:rPr>
          <w:color w:val="231F20"/>
          <w:spacing w:val="-5"/>
        </w:rPr>
        <w:t> </w:t>
      </w:r>
      <w:r>
        <w:rPr>
          <w:color w:val="231F20"/>
        </w:rPr>
        <w:t>слично;</w:t>
      </w:r>
    </w:p>
    <w:p>
      <w:pPr>
        <w:pStyle w:val="BodyText"/>
        <w:spacing w:line="232" w:lineRule="auto"/>
        <w:ind w:right="410" w:firstLine="397"/>
      </w:pPr>
      <w:r>
        <w:rPr>
          <w:color w:val="231F20"/>
          <w:w w:val="66"/>
        </w:rPr>
        <w:t> </w:t>
      </w:r>
      <w:r>
        <w:rPr>
          <w:color w:val="231F20"/>
        </w:rPr>
        <w:t>–</w:t>
      </w:r>
      <w:r>
        <w:rPr>
          <w:color w:val="231F20"/>
          <w:spacing w:val="-6"/>
        </w:rPr>
        <w:t> </w:t>
      </w:r>
      <w:r>
        <w:rPr>
          <w:color w:val="231F20"/>
        </w:rPr>
        <w:t>у</w:t>
      </w:r>
      <w:r>
        <w:rPr>
          <w:color w:val="231F20"/>
          <w:spacing w:val="-6"/>
        </w:rPr>
        <w:t> </w:t>
      </w:r>
      <w:r>
        <w:rPr>
          <w:color w:val="231F20"/>
        </w:rPr>
        <w:t>циљу</w:t>
      </w:r>
      <w:r>
        <w:rPr>
          <w:color w:val="231F20"/>
          <w:spacing w:val="-6"/>
        </w:rPr>
        <w:t> </w:t>
      </w:r>
      <w:r>
        <w:rPr>
          <w:color w:val="231F20"/>
        </w:rPr>
        <w:t>допуне</w:t>
      </w:r>
      <w:r>
        <w:rPr>
          <w:color w:val="231F20"/>
          <w:spacing w:val="-6"/>
        </w:rPr>
        <w:t> </w:t>
      </w:r>
      <w:r>
        <w:rPr>
          <w:color w:val="231F20"/>
        </w:rPr>
        <w:t>туристичке</w:t>
      </w:r>
      <w:r>
        <w:rPr>
          <w:color w:val="231F20"/>
          <w:spacing w:val="-6"/>
        </w:rPr>
        <w:t> </w:t>
      </w:r>
      <w:r>
        <w:rPr>
          <w:color w:val="231F20"/>
          <w:spacing w:val="-3"/>
        </w:rPr>
        <w:t>понуде</w:t>
      </w:r>
      <w:r>
        <w:rPr>
          <w:color w:val="231F20"/>
          <w:spacing w:val="-6"/>
        </w:rPr>
        <w:t> </w:t>
      </w:r>
      <w:r>
        <w:rPr>
          <w:color w:val="231F20"/>
        </w:rPr>
        <w:t>површински</w:t>
      </w:r>
      <w:r>
        <w:rPr>
          <w:color w:val="231F20"/>
          <w:spacing w:val="-6"/>
        </w:rPr>
        <w:t> </w:t>
      </w:r>
      <w:r>
        <w:rPr>
          <w:color w:val="231F20"/>
          <w:spacing w:val="-2"/>
        </w:rPr>
        <w:t>копови</w:t>
      </w:r>
      <w:r>
        <w:rPr>
          <w:color w:val="231F20"/>
          <w:spacing w:val="-6"/>
        </w:rPr>
        <w:t> </w:t>
      </w:r>
      <w:r>
        <w:rPr>
          <w:color w:val="231F20"/>
        </w:rPr>
        <w:t>лиг- нитског басена, </w:t>
      </w:r>
      <w:r>
        <w:rPr>
          <w:color w:val="231F20"/>
          <w:spacing w:val="-3"/>
        </w:rPr>
        <w:t>који </w:t>
      </w:r>
      <w:r>
        <w:rPr>
          <w:color w:val="231F20"/>
        </w:rPr>
        <w:t>су завршили </w:t>
      </w:r>
      <w:r>
        <w:rPr>
          <w:color w:val="231F20"/>
          <w:spacing w:val="-3"/>
        </w:rPr>
        <w:t>експлоатацију, </w:t>
      </w:r>
      <w:r>
        <w:rPr>
          <w:color w:val="231F20"/>
        </w:rPr>
        <w:t>постепено ће се рекултивисати као језерски и шумско-ливадски простори за спорт и</w:t>
      </w:r>
      <w:r>
        <w:rPr>
          <w:color w:val="231F20"/>
          <w:spacing w:val="26"/>
        </w:rPr>
        <w:t> </w:t>
      </w:r>
      <w:r>
        <w:rPr>
          <w:color w:val="231F20"/>
        </w:rPr>
        <w:t>рекреацију,</w:t>
      </w:r>
      <w:r>
        <w:rPr>
          <w:color w:val="231F20"/>
          <w:spacing w:val="26"/>
        </w:rPr>
        <w:t> </w:t>
      </w:r>
      <w:r>
        <w:rPr>
          <w:color w:val="231F20"/>
        </w:rPr>
        <w:t>спортски</w:t>
      </w:r>
      <w:r>
        <w:rPr>
          <w:color w:val="231F20"/>
          <w:spacing w:val="26"/>
        </w:rPr>
        <w:t> </w:t>
      </w:r>
      <w:r>
        <w:rPr>
          <w:color w:val="231F20"/>
        </w:rPr>
        <w:t>риболов</w:t>
      </w:r>
      <w:r>
        <w:rPr>
          <w:color w:val="231F20"/>
          <w:spacing w:val="26"/>
        </w:rPr>
        <w:t> </w:t>
      </w:r>
      <w:r>
        <w:rPr>
          <w:color w:val="231F20"/>
        </w:rPr>
        <w:t>и</w:t>
      </w:r>
      <w:r>
        <w:rPr>
          <w:color w:val="231F20"/>
          <w:spacing w:val="26"/>
        </w:rPr>
        <w:t> </w:t>
      </w:r>
      <w:r>
        <w:rPr>
          <w:color w:val="231F20"/>
        </w:rPr>
        <w:t>лов;</w:t>
      </w:r>
      <w:r>
        <w:rPr>
          <w:color w:val="231F20"/>
          <w:spacing w:val="26"/>
        </w:rPr>
        <w:t> </w:t>
      </w:r>
      <w:r>
        <w:rPr>
          <w:color w:val="231F20"/>
        </w:rPr>
        <w:t>могуће</w:t>
      </w:r>
      <w:r>
        <w:rPr>
          <w:color w:val="231F20"/>
          <w:spacing w:val="26"/>
        </w:rPr>
        <w:t> </w:t>
      </w:r>
      <w:r>
        <w:rPr>
          <w:color w:val="231F20"/>
        </w:rPr>
        <w:t>је</w:t>
      </w:r>
      <w:r>
        <w:rPr>
          <w:color w:val="231F20"/>
          <w:spacing w:val="26"/>
        </w:rPr>
        <w:t> </w:t>
      </w:r>
      <w:r>
        <w:rPr>
          <w:color w:val="231F20"/>
        </w:rPr>
        <w:t>у</w:t>
      </w:r>
      <w:r>
        <w:rPr>
          <w:color w:val="231F20"/>
          <w:spacing w:val="26"/>
        </w:rPr>
        <w:t> </w:t>
      </w:r>
      <w:r>
        <w:rPr>
          <w:color w:val="231F20"/>
        </w:rPr>
        <w:t>зони</w:t>
      </w:r>
      <w:r>
        <w:rPr>
          <w:color w:val="231F20"/>
          <w:spacing w:val="26"/>
        </w:rPr>
        <w:t> </w:t>
      </w:r>
      <w:r>
        <w:rPr>
          <w:color w:val="231F20"/>
        </w:rPr>
        <w:t>ТЕ-КО</w:t>
      </w:r>
    </w:p>
    <w:p>
      <w:pPr>
        <w:pStyle w:val="BodyText"/>
        <w:spacing w:line="196" w:lineRule="exact"/>
        <w:jc w:val="left"/>
      </w:pPr>
      <w:r>
        <w:rPr>
          <w:color w:val="231F20"/>
        </w:rPr>
        <w:t>„Костолац” развити тзв. „индустријски туризам”;</w:t>
      </w:r>
    </w:p>
    <w:p>
      <w:pPr>
        <w:pStyle w:val="BodyText"/>
        <w:spacing w:line="232" w:lineRule="auto"/>
        <w:ind w:right="410" w:firstLine="396"/>
      </w:pPr>
      <w:r>
        <w:rPr>
          <w:color w:val="231F20"/>
          <w:w w:val="66"/>
        </w:rPr>
        <w:t> </w:t>
      </w:r>
      <w:r>
        <w:rPr>
          <w:color w:val="231F20"/>
        </w:rPr>
        <w:t>–</w:t>
      </w:r>
      <w:r>
        <w:rPr>
          <w:color w:val="231F20"/>
          <w:spacing w:val="-6"/>
        </w:rPr>
        <w:t> </w:t>
      </w:r>
      <w:r>
        <w:rPr>
          <w:color w:val="231F20"/>
        </w:rPr>
        <w:t>промовисаће</w:t>
      </w:r>
      <w:r>
        <w:rPr>
          <w:color w:val="231F20"/>
          <w:spacing w:val="-6"/>
        </w:rPr>
        <w:t> </w:t>
      </w:r>
      <w:r>
        <w:rPr>
          <w:color w:val="231F20"/>
        </w:rPr>
        <w:t>се</w:t>
      </w:r>
      <w:r>
        <w:rPr>
          <w:color w:val="231F20"/>
          <w:spacing w:val="-6"/>
        </w:rPr>
        <w:t> </w:t>
      </w:r>
      <w:r>
        <w:rPr>
          <w:color w:val="231F20"/>
        </w:rPr>
        <w:t>атрактивни,</w:t>
      </w:r>
      <w:r>
        <w:rPr>
          <w:color w:val="231F20"/>
          <w:spacing w:val="-6"/>
        </w:rPr>
        <w:t> </w:t>
      </w:r>
      <w:r>
        <w:rPr>
          <w:color w:val="231F20"/>
        </w:rPr>
        <w:t>профитабилни</w:t>
      </w:r>
      <w:r>
        <w:rPr>
          <w:color w:val="231F20"/>
          <w:spacing w:val="-6"/>
        </w:rPr>
        <w:t> </w:t>
      </w:r>
      <w:r>
        <w:rPr>
          <w:color w:val="231F20"/>
        </w:rPr>
        <w:t>и</w:t>
      </w:r>
      <w:r>
        <w:rPr>
          <w:color w:val="231F20"/>
          <w:spacing w:val="-6"/>
        </w:rPr>
        <w:t> </w:t>
      </w:r>
      <w:r>
        <w:rPr>
          <w:color w:val="231F20"/>
        </w:rPr>
        <w:t>одрживи</w:t>
      </w:r>
      <w:r>
        <w:rPr>
          <w:color w:val="231F20"/>
          <w:spacing w:val="-6"/>
        </w:rPr>
        <w:t> </w:t>
      </w:r>
      <w:r>
        <w:rPr>
          <w:color w:val="231F20"/>
        </w:rPr>
        <w:t>про- грами постојеће и нове туристичке </w:t>
      </w:r>
      <w:r>
        <w:rPr>
          <w:color w:val="231F20"/>
          <w:spacing w:val="-3"/>
        </w:rPr>
        <w:t>понуде </w:t>
      </w:r>
      <w:r>
        <w:rPr>
          <w:color w:val="231F20"/>
        </w:rPr>
        <w:t>ради привлачења капи- тала;</w:t>
      </w:r>
    </w:p>
    <w:p>
      <w:pPr>
        <w:pStyle w:val="BodyText"/>
        <w:spacing w:line="232" w:lineRule="auto"/>
        <w:ind w:right="409" w:firstLine="396"/>
      </w:pPr>
      <w:r>
        <w:rPr>
          <w:color w:val="231F20"/>
          <w:w w:val="66"/>
        </w:rPr>
        <w:t> </w:t>
      </w:r>
      <w:r>
        <w:rPr>
          <w:color w:val="231F20"/>
        </w:rPr>
        <w:t>– квалитативна реконструкција и опремање постојећих сме- штајних капацитета (ради њиховог реструктурирања и повећања категоризације) и изградња нових смештајних капацитета (мањих хотела и породичних пансиона); ограничавање изградње викенди- ца у зони приобаља Дунава и Мораве и усмеравање градње у ру- ралном залеђу; и друго.</w:t>
      </w:r>
    </w:p>
    <w:p>
      <w:pPr>
        <w:pStyle w:val="BodyText"/>
        <w:spacing w:line="232" w:lineRule="auto"/>
        <w:ind w:left="171" w:right="409" w:firstLine="397"/>
      </w:pPr>
      <w:r>
        <w:rPr>
          <w:color w:val="231F20"/>
        </w:rPr>
        <w:t>У Просторном плану дате се основне смернице туристичког развоја,</w:t>
      </w:r>
      <w:r>
        <w:rPr>
          <w:color w:val="231F20"/>
          <w:spacing w:val="-10"/>
        </w:rPr>
        <w:t> </w:t>
      </w:r>
      <w:r>
        <w:rPr>
          <w:color w:val="231F20"/>
        </w:rPr>
        <w:t>без</w:t>
      </w:r>
      <w:r>
        <w:rPr>
          <w:color w:val="231F20"/>
          <w:spacing w:val="-10"/>
        </w:rPr>
        <w:t> </w:t>
      </w:r>
      <w:r>
        <w:rPr>
          <w:color w:val="231F20"/>
        </w:rPr>
        <w:t>утврђивања</w:t>
      </w:r>
      <w:r>
        <w:rPr>
          <w:color w:val="231F20"/>
          <w:spacing w:val="-10"/>
        </w:rPr>
        <w:t> </w:t>
      </w:r>
      <w:r>
        <w:rPr>
          <w:color w:val="231F20"/>
        </w:rPr>
        <w:t>капацитета</w:t>
      </w:r>
      <w:r>
        <w:rPr>
          <w:color w:val="231F20"/>
          <w:spacing w:val="-10"/>
        </w:rPr>
        <w:t> </w:t>
      </w:r>
      <w:r>
        <w:rPr>
          <w:color w:val="231F20"/>
        </w:rPr>
        <w:t>и</w:t>
      </w:r>
      <w:r>
        <w:rPr>
          <w:color w:val="231F20"/>
          <w:spacing w:val="-10"/>
        </w:rPr>
        <w:t> </w:t>
      </w:r>
      <w:r>
        <w:rPr>
          <w:color w:val="231F20"/>
        </w:rPr>
        <w:t>начина</w:t>
      </w:r>
      <w:r>
        <w:rPr>
          <w:color w:val="231F20"/>
          <w:spacing w:val="-10"/>
        </w:rPr>
        <w:t> </w:t>
      </w:r>
      <w:r>
        <w:rPr>
          <w:color w:val="231F20"/>
        </w:rPr>
        <w:t>уређења</w:t>
      </w:r>
      <w:r>
        <w:rPr>
          <w:color w:val="231F20"/>
          <w:spacing w:val="-10"/>
        </w:rPr>
        <w:t> </w:t>
      </w:r>
      <w:r>
        <w:rPr>
          <w:color w:val="231F20"/>
        </w:rPr>
        <w:t>туристичких локалитета,</w:t>
      </w:r>
      <w:r>
        <w:rPr>
          <w:color w:val="231F20"/>
          <w:spacing w:val="-7"/>
        </w:rPr>
        <w:t> </w:t>
      </w:r>
      <w:r>
        <w:rPr>
          <w:color w:val="231F20"/>
          <w:spacing w:val="-3"/>
        </w:rPr>
        <w:t>који</w:t>
      </w:r>
      <w:r>
        <w:rPr>
          <w:color w:val="231F20"/>
          <w:spacing w:val="-7"/>
        </w:rPr>
        <w:t> </w:t>
      </w:r>
      <w:r>
        <w:rPr>
          <w:color w:val="231F20"/>
        </w:rPr>
        <w:t>ће</w:t>
      </w:r>
      <w:r>
        <w:rPr>
          <w:color w:val="231F20"/>
          <w:spacing w:val="-7"/>
        </w:rPr>
        <w:t> </w:t>
      </w:r>
      <w:r>
        <w:rPr>
          <w:color w:val="231F20"/>
        </w:rPr>
        <w:t>ближе</w:t>
      </w:r>
      <w:r>
        <w:rPr>
          <w:color w:val="231F20"/>
          <w:spacing w:val="-7"/>
        </w:rPr>
        <w:t> </w:t>
      </w:r>
      <w:r>
        <w:rPr>
          <w:color w:val="231F20"/>
        </w:rPr>
        <w:t>бити</w:t>
      </w:r>
      <w:r>
        <w:rPr>
          <w:color w:val="231F20"/>
          <w:spacing w:val="-7"/>
        </w:rPr>
        <w:t> </w:t>
      </w:r>
      <w:r>
        <w:rPr>
          <w:color w:val="231F20"/>
        </w:rPr>
        <w:t>дефинисани</w:t>
      </w:r>
      <w:r>
        <w:rPr>
          <w:color w:val="231F20"/>
          <w:spacing w:val="-7"/>
        </w:rPr>
        <w:t> </w:t>
      </w:r>
      <w:r>
        <w:rPr>
          <w:color w:val="231F20"/>
        </w:rPr>
        <w:t>у</w:t>
      </w:r>
      <w:r>
        <w:rPr>
          <w:color w:val="231F20"/>
          <w:spacing w:val="-7"/>
        </w:rPr>
        <w:t> </w:t>
      </w:r>
      <w:r>
        <w:rPr>
          <w:color w:val="231F20"/>
        </w:rPr>
        <w:t>одговарајућим</w:t>
      </w:r>
      <w:r>
        <w:rPr>
          <w:color w:val="231F20"/>
          <w:spacing w:val="-7"/>
        </w:rPr>
        <w:t> </w:t>
      </w:r>
      <w:r>
        <w:rPr>
          <w:color w:val="231F20"/>
        </w:rPr>
        <w:t>урба- нистичким плановима. Садржаји туризма и рекреације биће зони- рани и организовани у функционално интегрисаним просторним целинама/зонама, и обухватиће туристичкa места, тематске тури- стичке паркове – </w:t>
      </w:r>
      <w:r>
        <w:rPr>
          <w:color w:val="231F20"/>
          <w:spacing w:val="-3"/>
        </w:rPr>
        <w:t>комплексе </w:t>
      </w:r>
      <w:r>
        <w:rPr>
          <w:color w:val="231F20"/>
        </w:rPr>
        <w:t>и пунктове, као и објекте у склопу по- себне – туристичке инфраструктуре (пристан, </w:t>
      </w:r>
      <w:r>
        <w:rPr>
          <w:color w:val="231F20"/>
          <w:spacing w:val="-4"/>
        </w:rPr>
        <w:t>марину, </w:t>
      </w:r>
      <w:r>
        <w:rPr>
          <w:color w:val="231F20"/>
        </w:rPr>
        <w:t>излетничке и бициклистичке стазе, спортски аеродром и друго). Полазећи </w:t>
      </w:r>
      <w:r>
        <w:rPr>
          <w:color w:val="231F20"/>
          <w:spacing w:val="-3"/>
        </w:rPr>
        <w:t>од </w:t>
      </w:r>
      <w:r>
        <w:rPr>
          <w:color w:val="231F20"/>
        </w:rPr>
        <w:t>анализе природних и антропогених туристичких потенцијала, као и основних туристичких тачака и коридора </w:t>
      </w:r>
      <w:r>
        <w:rPr>
          <w:color w:val="231F20"/>
          <w:spacing w:val="-3"/>
        </w:rPr>
        <w:t>који </w:t>
      </w:r>
      <w:r>
        <w:rPr>
          <w:color w:val="231F20"/>
        </w:rPr>
        <w:t>омогућавају </w:t>
      </w:r>
      <w:r>
        <w:rPr>
          <w:color w:val="231F20"/>
          <w:spacing w:val="-3"/>
        </w:rPr>
        <w:t>кон- </w:t>
      </w:r>
      <w:r>
        <w:rPr>
          <w:color w:val="231F20"/>
        </w:rPr>
        <w:t>такт са природним и предеоним целинама и насељима, издвојене су три просторне целине/зоне које, према доминантним одликама и међусобном </w:t>
      </w:r>
      <w:r>
        <w:rPr>
          <w:color w:val="231F20"/>
          <w:spacing w:val="-3"/>
        </w:rPr>
        <w:t>прожимању, </w:t>
      </w:r>
      <w:r>
        <w:rPr>
          <w:color w:val="231F20"/>
        </w:rPr>
        <w:t>представљају сегменте специфичне ту- ристичке </w:t>
      </w:r>
      <w:r>
        <w:rPr>
          <w:color w:val="231F20"/>
          <w:spacing w:val="-3"/>
        </w:rPr>
        <w:t>понуде </w:t>
      </w:r>
      <w:r>
        <w:rPr>
          <w:color w:val="231F20"/>
        </w:rPr>
        <w:t>Планског подручја, и</w:t>
      </w:r>
      <w:r>
        <w:rPr>
          <w:color w:val="231F20"/>
          <w:spacing w:val="-2"/>
        </w:rPr>
        <w:t> </w:t>
      </w:r>
      <w:r>
        <w:rPr>
          <w:color w:val="231F20"/>
        </w:rPr>
        <w:t>то:</w:t>
      </w:r>
    </w:p>
    <w:p>
      <w:pPr>
        <w:pStyle w:val="BodyText"/>
        <w:spacing w:line="232" w:lineRule="auto"/>
        <w:ind w:left="171" w:right="409" w:firstLine="396"/>
      </w:pPr>
      <w:r>
        <w:rPr>
          <w:color w:val="231F20"/>
          <w:w w:val="66"/>
        </w:rPr>
        <w:t> </w:t>
      </w:r>
      <w:r>
        <w:rPr>
          <w:color w:val="231F20"/>
        </w:rPr>
        <w:t>– урбана зона града Пожаревца, представља веома значајну целину за развој културно-манифестационог, рекреативног, еко- лошког и других видова туризма, обухвата низ туристичких вред- ности у граду (Саборна црква, Народни музеј, Галерија Милене Павловић Барили, Градски парк, спомен парк Чачалица, Зграда начелства и суда, Етно парк Тулба и традиционална туристичко- спортска манифестација „Љубичевске коњичке игре” и друго) и</w:t>
      </w:r>
    </w:p>
    <w:p>
      <w:pPr>
        <w:spacing w:after="0" w:line="232" w:lineRule="auto"/>
        <w:sectPr>
          <w:pgSz w:w="12480" w:h="15690"/>
          <w:pgMar w:top="120" w:bottom="280" w:left="680" w:right="720"/>
          <w:cols w:num="2" w:equalWidth="0">
            <w:col w:w="5315" w:space="72"/>
            <w:col w:w="5693"/>
          </w:cols>
        </w:sectPr>
      </w:pPr>
    </w:p>
    <w:p>
      <w:pPr>
        <w:pStyle w:val="BodyText"/>
        <w:spacing w:line="235" w:lineRule="auto" w:before="71"/>
        <w:ind w:left="454" w:right="1" w:hanging="1"/>
      </w:pPr>
      <w:r>
        <w:rPr/>
        <w:pict>
          <v:line style="position:absolute;mso-position-horizontal-relative:page;mso-position-vertical-relative:page;z-index:2656" from="318.897614pt,11.942451pt" to="318.897614pt,748.950451pt" stroked="true" strokeweight=".6pt" strokecolor="#231f20">
            <v:stroke dashstyle="solid"/>
            <w10:wrap type="none"/>
          </v:line>
        </w:pict>
      </w:r>
      <w:r>
        <w:rPr>
          <w:color w:val="231F20"/>
        </w:rPr>
        <w:t>непосредном окружењу (села, ловишта, риболовне стазе, делови </w:t>
      </w:r>
      <w:r>
        <w:rPr>
          <w:color w:val="231F20"/>
          <w:spacing w:val="-3"/>
        </w:rPr>
        <w:t>токова </w:t>
      </w:r>
      <w:r>
        <w:rPr>
          <w:color w:val="231F20"/>
        </w:rPr>
        <w:t>Мораве и Млаве, сегменти туристичких путева, заштићене природне вредности – парк природе Пругово, споменици природе у Драговцу и Љубичеву и </w:t>
      </w:r>
      <w:r>
        <w:rPr>
          <w:color w:val="231F20"/>
          <w:spacing w:val="-4"/>
        </w:rPr>
        <w:t>неколико </w:t>
      </w:r>
      <w:r>
        <w:rPr>
          <w:color w:val="231F20"/>
        </w:rPr>
        <w:t>предела посебних природних одлика); посебан туристички потенцијал има ергела „Љубичево” уз допуну спортско-рекреативних, смештајних и угоститељских садржаја</w:t>
      </w:r>
      <w:r>
        <w:rPr>
          <w:color w:val="231F20"/>
          <w:spacing w:val="-6"/>
        </w:rPr>
        <w:t> </w:t>
      </w:r>
      <w:r>
        <w:rPr>
          <w:color w:val="231F20"/>
        </w:rPr>
        <w:t>и</w:t>
      </w:r>
      <w:r>
        <w:rPr>
          <w:color w:val="231F20"/>
          <w:spacing w:val="-6"/>
        </w:rPr>
        <w:t> </w:t>
      </w:r>
      <w:r>
        <w:rPr>
          <w:color w:val="231F20"/>
        </w:rPr>
        <w:t>изградњу</w:t>
      </w:r>
      <w:r>
        <w:rPr>
          <w:color w:val="231F20"/>
          <w:spacing w:val="-6"/>
        </w:rPr>
        <w:t> </w:t>
      </w:r>
      <w:r>
        <w:rPr>
          <w:color w:val="231F20"/>
        </w:rPr>
        <w:t>пристаништа</w:t>
      </w:r>
      <w:r>
        <w:rPr>
          <w:color w:val="231F20"/>
          <w:spacing w:val="-6"/>
        </w:rPr>
        <w:t> </w:t>
      </w:r>
      <w:r>
        <w:rPr>
          <w:color w:val="231F20"/>
        </w:rPr>
        <w:t>и</w:t>
      </w:r>
      <w:r>
        <w:rPr>
          <w:color w:val="231F20"/>
          <w:spacing w:val="-6"/>
        </w:rPr>
        <w:t> </w:t>
      </w:r>
      <w:r>
        <w:rPr>
          <w:color w:val="231F20"/>
        </w:rPr>
        <w:t>марине</w:t>
      </w:r>
      <w:r>
        <w:rPr>
          <w:color w:val="231F20"/>
          <w:spacing w:val="-6"/>
        </w:rPr>
        <w:t> </w:t>
      </w:r>
      <w:r>
        <w:rPr>
          <w:color w:val="231F20"/>
        </w:rPr>
        <w:t>на</w:t>
      </w:r>
      <w:r>
        <w:rPr>
          <w:color w:val="231F20"/>
          <w:spacing w:val="-6"/>
        </w:rPr>
        <w:t> </w:t>
      </w:r>
      <w:r>
        <w:rPr>
          <w:color w:val="231F20"/>
        </w:rPr>
        <w:t>десној</w:t>
      </w:r>
      <w:r>
        <w:rPr>
          <w:color w:val="231F20"/>
          <w:spacing w:val="-6"/>
        </w:rPr>
        <w:t> </w:t>
      </w:r>
      <w:r>
        <w:rPr>
          <w:color w:val="231F20"/>
        </w:rPr>
        <w:t>обали</w:t>
      </w:r>
      <w:r>
        <w:rPr>
          <w:color w:val="231F20"/>
          <w:spacing w:val="-6"/>
        </w:rPr>
        <w:t> </w:t>
      </w:r>
      <w:r>
        <w:rPr>
          <w:color w:val="231F20"/>
        </w:rPr>
        <w:t>Вели- </w:t>
      </w:r>
      <w:r>
        <w:rPr>
          <w:color w:val="231F20"/>
          <w:spacing w:val="-3"/>
        </w:rPr>
        <w:t>ке </w:t>
      </w:r>
      <w:r>
        <w:rPr>
          <w:color w:val="231F20"/>
        </w:rPr>
        <w:t>Мораве, у непосредној близини;</w:t>
      </w:r>
    </w:p>
    <w:p>
      <w:pPr>
        <w:pStyle w:val="BodyText"/>
        <w:spacing w:line="230" w:lineRule="auto"/>
        <w:ind w:left="454" w:right="1" w:firstLine="396"/>
      </w:pPr>
      <w:r>
        <w:rPr>
          <w:color w:val="231F20"/>
          <w:w w:val="66"/>
        </w:rPr>
        <w:t> </w:t>
      </w:r>
      <w:r>
        <w:rPr>
          <w:color w:val="231F20"/>
        </w:rPr>
        <w:t>–</w:t>
      </w:r>
      <w:r>
        <w:rPr>
          <w:color w:val="231F20"/>
          <w:spacing w:val="-10"/>
        </w:rPr>
        <w:t> </w:t>
      </w:r>
      <w:r>
        <w:rPr>
          <w:color w:val="231F20"/>
        </w:rPr>
        <w:t>акваторија</w:t>
      </w:r>
      <w:r>
        <w:rPr>
          <w:color w:val="231F20"/>
          <w:spacing w:val="-10"/>
        </w:rPr>
        <w:t> </w:t>
      </w:r>
      <w:r>
        <w:rPr>
          <w:color w:val="231F20"/>
        </w:rPr>
        <w:t>и</w:t>
      </w:r>
      <w:r>
        <w:rPr>
          <w:color w:val="231F20"/>
          <w:spacing w:val="-10"/>
        </w:rPr>
        <w:t> </w:t>
      </w:r>
      <w:r>
        <w:rPr>
          <w:color w:val="231F20"/>
        </w:rPr>
        <w:t>приобаље</w:t>
      </w:r>
      <w:r>
        <w:rPr>
          <w:color w:val="231F20"/>
          <w:spacing w:val="-10"/>
        </w:rPr>
        <w:t> </w:t>
      </w:r>
      <w:r>
        <w:rPr>
          <w:color w:val="231F20"/>
        </w:rPr>
        <w:t>Дунава</w:t>
      </w:r>
      <w:r>
        <w:rPr>
          <w:color w:val="231F20"/>
          <w:spacing w:val="-10"/>
        </w:rPr>
        <w:t> </w:t>
      </w:r>
      <w:r>
        <w:rPr>
          <w:color w:val="231F20"/>
        </w:rPr>
        <w:t>(на</w:t>
      </w:r>
      <w:r>
        <w:rPr>
          <w:color w:val="231F20"/>
          <w:spacing w:val="-10"/>
        </w:rPr>
        <w:t> </w:t>
      </w:r>
      <w:r>
        <w:rPr>
          <w:color w:val="231F20"/>
        </w:rPr>
        <w:t>сектору</w:t>
      </w:r>
      <w:r>
        <w:rPr>
          <w:color w:val="231F20"/>
          <w:spacing w:val="-10"/>
        </w:rPr>
        <w:t> </w:t>
      </w:r>
      <w:r>
        <w:rPr>
          <w:color w:val="231F20"/>
          <w:spacing w:val="-3"/>
        </w:rPr>
        <w:t>од</w:t>
      </w:r>
      <w:r>
        <w:rPr>
          <w:color w:val="231F20"/>
          <w:spacing w:val="-10"/>
        </w:rPr>
        <w:t> </w:t>
      </w:r>
      <w:r>
        <w:rPr>
          <w:color w:val="231F20"/>
        </w:rPr>
        <w:t>Дубравице</w:t>
      </w:r>
      <w:r>
        <w:rPr>
          <w:color w:val="231F20"/>
          <w:spacing w:val="-10"/>
        </w:rPr>
        <w:t> </w:t>
      </w:r>
      <w:r>
        <w:rPr>
          <w:color w:val="231F20"/>
        </w:rPr>
        <w:t>до Речице), са атрактивним природним туристичким потенцијалима, представља претежно </w:t>
      </w:r>
      <w:r>
        <w:rPr>
          <w:color w:val="231F20"/>
          <w:spacing w:val="-3"/>
        </w:rPr>
        <w:t>еколошку </w:t>
      </w:r>
      <w:r>
        <w:rPr>
          <w:color w:val="231F20"/>
        </w:rPr>
        <w:t>зону </w:t>
      </w:r>
      <w:r>
        <w:rPr>
          <w:color w:val="231F20"/>
          <w:spacing w:val="-5"/>
        </w:rPr>
        <w:t>наутичког, </w:t>
      </w:r>
      <w:r>
        <w:rPr>
          <w:color w:val="231F20"/>
          <w:spacing w:val="-3"/>
        </w:rPr>
        <w:t>рекреативног, </w:t>
      </w:r>
      <w:r>
        <w:rPr>
          <w:color w:val="231F20"/>
        </w:rPr>
        <w:t>ру- </w:t>
      </w:r>
      <w:r>
        <w:rPr>
          <w:color w:val="231F20"/>
          <w:spacing w:val="-4"/>
        </w:rPr>
        <w:t>ралног, ловног, </w:t>
      </w:r>
      <w:r>
        <w:rPr>
          <w:color w:val="231F20"/>
        </w:rPr>
        <w:t>риболовног и других видова туризма (са ушћима Мораве и Млаве, четири речне аде – Чибуклијска, Жилова, Стој- </w:t>
      </w:r>
      <w:r>
        <w:rPr>
          <w:color w:val="231F20"/>
          <w:spacing w:val="-4"/>
        </w:rPr>
        <w:t>кова </w:t>
      </w:r>
      <w:r>
        <w:rPr>
          <w:color w:val="231F20"/>
        </w:rPr>
        <w:t>и Завојска, сегментима излетничких и бициклистичких стаза, спортским аеродромом и друго) на деловима атара насеља Дубра- вица, Батовац, Острово, села Костолац, Речица и градског насе- ља Костолац; контакт са Дунавом омогућава приступ „пловећих туриста” (са међународних крузинг бродова и домаћих излетни- ка на сезонским линијама из Београда) чији је један </w:t>
      </w:r>
      <w:r>
        <w:rPr>
          <w:color w:val="231F20"/>
          <w:spacing w:val="-3"/>
        </w:rPr>
        <w:t>од </w:t>
      </w:r>
      <w:r>
        <w:rPr>
          <w:color w:val="231F20"/>
        </w:rPr>
        <w:t>итинерера обилазак археолошког парка Виминацијум (као дела културнои- сторијске руте „Пута римских царева”); у циљу иницирања</w:t>
      </w:r>
      <w:r>
        <w:rPr>
          <w:color w:val="231F20"/>
          <w:spacing w:val="-29"/>
        </w:rPr>
        <w:t> </w:t>
      </w:r>
      <w:r>
        <w:rPr>
          <w:color w:val="231F20"/>
        </w:rPr>
        <w:t>основ- ног </w:t>
      </w:r>
      <w:r>
        <w:rPr>
          <w:color w:val="231F20"/>
          <w:spacing w:val="-3"/>
        </w:rPr>
        <w:t>наутичког </w:t>
      </w:r>
      <w:r>
        <w:rPr>
          <w:color w:val="231F20"/>
        </w:rPr>
        <w:t>пута Дунавом кроз </w:t>
      </w:r>
      <w:r>
        <w:rPr>
          <w:color w:val="231F20"/>
          <w:spacing w:val="-3"/>
        </w:rPr>
        <w:t>Србију, </w:t>
      </w:r>
      <w:r>
        <w:rPr>
          <w:color w:val="231F20"/>
        </w:rPr>
        <w:t>овај сектор акваторија и приобаље Дунава, са атрактивним садржајима туристичке </w:t>
      </w:r>
      <w:r>
        <w:rPr>
          <w:color w:val="231F20"/>
          <w:spacing w:val="-3"/>
        </w:rPr>
        <w:t>понуде, </w:t>
      </w:r>
      <w:r>
        <w:rPr>
          <w:color w:val="231F20"/>
        </w:rPr>
        <w:t>испуњава критеријуме за избор локација приоритетних</w:t>
      </w:r>
      <w:r>
        <w:rPr>
          <w:color w:val="231F20"/>
          <w:spacing w:val="-27"/>
        </w:rPr>
        <w:t> </w:t>
      </w:r>
      <w:r>
        <w:rPr>
          <w:color w:val="231F20"/>
        </w:rPr>
        <w:t>наутичких пунктова – марине и пристана</w:t>
      </w:r>
      <w:r>
        <w:rPr>
          <w:color w:val="231F20"/>
          <w:spacing w:val="-23"/>
        </w:rPr>
        <w:t> </w:t>
      </w:r>
      <w:r>
        <w:rPr>
          <w:color w:val="231F20"/>
        </w:rPr>
        <w:t>и</w:t>
      </w:r>
    </w:p>
    <w:p>
      <w:pPr>
        <w:pStyle w:val="BodyText"/>
        <w:spacing w:line="181" w:lineRule="exact"/>
        <w:ind w:left="851"/>
        <w:jc w:val="left"/>
      </w:pPr>
      <w:r>
        <w:rPr>
          <w:color w:val="231F20"/>
          <w:w w:val="66"/>
        </w:rPr>
        <w:t> </w:t>
      </w:r>
      <w:r>
        <w:rPr>
          <w:color w:val="231F20"/>
        </w:rPr>
        <w:t>– </w:t>
      </w:r>
      <w:r>
        <w:rPr>
          <w:color w:val="231F20"/>
          <w:spacing w:val="-3"/>
        </w:rPr>
        <w:t>историјска </w:t>
      </w:r>
      <w:r>
        <w:rPr>
          <w:color w:val="231F20"/>
        </w:rPr>
        <w:t>зона </w:t>
      </w:r>
      <w:r>
        <w:rPr>
          <w:color w:val="231F20"/>
          <w:spacing w:val="-3"/>
        </w:rPr>
        <w:t>Виминацијума, </w:t>
      </w:r>
      <w:r>
        <w:rPr>
          <w:color w:val="231F20"/>
        </w:rPr>
        <w:t>са </w:t>
      </w:r>
      <w:r>
        <w:rPr>
          <w:color w:val="231F20"/>
          <w:spacing w:val="-3"/>
        </w:rPr>
        <w:t>атрактивним </w:t>
      </w:r>
      <w:r>
        <w:rPr>
          <w:color w:val="231F20"/>
        </w:rPr>
        <w:t>антропоге-</w:t>
      </w:r>
    </w:p>
    <w:p>
      <w:pPr>
        <w:pStyle w:val="BodyText"/>
        <w:spacing w:line="230" w:lineRule="auto"/>
        <w:ind w:left="454" w:right="1"/>
      </w:pPr>
      <w:r>
        <w:rPr>
          <w:color w:val="231F20"/>
        </w:rPr>
        <w:t>ним </w:t>
      </w:r>
      <w:r>
        <w:rPr>
          <w:color w:val="231F20"/>
          <w:spacing w:val="-3"/>
        </w:rPr>
        <w:t>туристичким </w:t>
      </w:r>
      <w:r>
        <w:rPr>
          <w:color w:val="231F20"/>
        </w:rPr>
        <w:t>потенцијалим и </w:t>
      </w:r>
      <w:r>
        <w:rPr>
          <w:color w:val="231F20"/>
          <w:spacing w:val="-4"/>
        </w:rPr>
        <w:t>културно </w:t>
      </w:r>
      <w:r>
        <w:rPr>
          <w:color w:val="231F20"/>
          <w:spacing w:val="-3"/>
        </w:rPr>
        <w:t>историјским спомени- </w:t>
      </w:r>
      <w:r>
        <w:rPr>
          <w:color w:val="231F20"/>
        </w:rPr>
        <w:t>цима представља претежно зону </w:t>
      </w:r>
      <w:r>
        <w:rPr>
          <w:color w:val="231F20"/>
          <w:spacing w:val="-4"/>
        </w:rPr>
        <w:t>културолошког </w:t>
      </w:r>
      <w:r>
        <w:rPr>
          <w:color w:val="231F20"/>
        </w:rPr>
        <w:t>и </w:t>
      </w:r>
      <w:r>
        <w:rPr>
          <w:color w:val="231F20"/>
          <w:spacing w:val="-4"/>
        </w:rPr>
        <w:t>археолошког </w:t>
      </w:r>
      <w:r>
        <w:rPr>
          <w:color w:val="231F20"/>
          <w:spacing w:val="-3"/>
        </w:rPr>
        <w:t>ту- ризма </w:t>
      </w:r>
      <w:r>
        <w:rPr>
          <w:color w:val="231F20"/>
        </w:rPr>
        <w:t>са </w:t>
      </w:r>
      <w:r>
        <w:rPr>
          <w:color w:val="231F20"/>
          <w:spacing w:val="-3"/>
        </w:rPr>
        <w:t>сегментима туристичких путева </w:t>
      </w:r>
      <w:r>
        <w:rPr>
          <w:color w:val="231F20"/>
        </w:rPr>
        <w:t>на деловима </w:t>
      </w:r>
      <w:r>
        <w:rPr>
          <w:color w:val="231F20"/>
          <w:spacing w:val="-3"/>
        </w:rPr>
        <w:t>атара градске </w:t>
      </w:r>
      <w:r>
        <w:rPr>
          <w:color w:val="231F20"/>
        </w:rPr>
        <w:t>општине </w:t>
      </w:r>
      <w:r>
        <w:rPr>
          <w:color w:val="231F20"/>
          <w:spacing w:val="-4"/>
        </w:rPr>
        <w:t>Костолац </w:t>
      </w:r>
      <w:r>
        <w:rPr>
          <w:color w:val="231F20"/>
        </w:rPr>
        <w:t>и насеља села </w:t>
      </w:r>
      <w:r>
        <w:rPr>
          <w:color w:val="231F20"/>
          <w:spacing w:val="-4"/>
        </w:rPr>
        <w:t>Костолац, </w:t>
      </w:r>
      <w:r>
        <w:rPr>
          <w:color w:val="231F20"/>
          <w:spacing w:val="-3"/>
        </w:rPr>
        <w:t>Дрмно </w:t>
      </w:r>
      <w:r>
        <w:rPr>
          <w:color w:val="231F20"/>
        </w:rPr>
        <w:t>и </w:t>
      </w:r>
      <w:r>
        <w:rPr>
          <w:color w:val="231F20"/>
          <w:spacing w:val="-3"/>
        </w:rPr>
        <w:t>Кличевац.</w:t>
      </w:r>
    </w:p>
    <w:p>
      <w:pPr>
        <w:pStyle w:val="BodyText"/>
        <w:spacing w:line="230" w:lineRule="auto"/>
        <w:ind w:left="454" w:right="1" w:firstLine="396"/>
      </w:pPr>
      <w:r>
        <w:rPr>
          <w:color w:val="231F20"/>
        </w:rPr>
        <w:t>Предуслов за развој, односно активирање туристичких ком- плекса и места јесте њихова функцијска интеграција, у складу са положајем и значајем. То подразумева развој специфичне тури- стичке понуде и њено обједињавање, формирањем комбинованих туристичких токова и побољшањем квалитета саобраћајних веза. Повећање саобраћајне доступности, повезивање и интегрисање туристичке понуде омогућиће:</w:t>
      </w:r>
    </w:p>
    <w:p>
      <w:pPr>
        <w:pStyle w:val="BodyText"/>
        <w:spacing w:line="230" w:lineRule="auto"/>
        <w:ind w:left="454" w:right="1" w:firstLine="396"/>
      </w:pPr>
      <w:r>
        <w:rPr>
          <w:color w:val="231F20"/>
          <w:w w:val="66"/>
        </w:rPr>
        <w:t> </w:t>
      </w:r>
      <w:r>
        <w:rPr>
          <w:color w:val="231F20"/>
        </w:rPr>
        <w:t>– изградња новог пристана за бродове на Дунаву и на Вели- </w:t>
      </w:r>
      <w:r>
        <w:rPr>
          <w:color w:val="231F20"/>
          <w:spacing w:val="-4"/>
        </w:rPr>
        <w:t>кој </w:t>
      </w:r>
      <w:r>
        <w:rPr>
          <w:color w:val="231F20"/>
        </w:rPr>
        <w:t>Морави </w:t>
      </w:r>
      <w:r>
        <w:rPr>
          <w:color w:val="231F20"/>
          <w:spacing w:val="-6"/>
        </w:rPr>
        <w:t>код </w:t>
      </w:r>
      <w:r>
        <w:rPr>
          <w:color w:val="231F20"/>
        </w:rPr>
        <w:t>Љубичева и опремање одговарајућом инфраструк- туром</w:t>
      </w:r>
      <w:r>
        <w:rPr>
          <w:color w:val="231F20"/>
          <w:spacing w:val="-5"/>
        </w:rPr>
        <w:t> </w:t>
      </w:r>
      <w:r>
        <w:rPr>
          <w:color w:val="231F20"/>
        </w:rPr>
        <w:t>за</w:t>
      </w:r>
      <w:r>
        <w:rPr>
          <w:color w:val="231F20"/>
          <w:spacing w:val="-5"/>
        </w:rPr>
        <w:t> </w:t>
      </w:r>
      <w:r>
        <w:rPr>
          <w:color w:val="231F20"/>
        </w:rPr>
        <w:t>рад</w:t>
      </w:r>
      <w:r>
        <w:rPr>
          <w:color w:val="231F20"/>
          <w:spacing w:val="-5"/>
        </w:rPr>
        <w:t> </w:t>
      </w:r>
      <w:r>
        <w:rPr>
          <w:color w:val="231F20"/>
        </w:rPr>
        <w:t>царине</w:t>
      </w:r>
      <w:r>
        <w:rPr>
          <w:color w:val="231F20"/>
          <w:spacing w:val="-5"/>
        </w:rPr>
        <w:t> </w:t>
      </w:r>
      <w:r>
        <w:rPr>
          <w:color w:val="231F20"/>
        </w:rPr>
        <w:t>и</w:t>
      </w:r>
      <w:r>
        <w:rPr>
          <w:color w:val="231F20"/>
          <w:spacing w:val="-5"/>
        </w:rPr>
        <w:t> </w:t>
      </w:r>
      <w:r>
        <w:rPr>
          <w:color w:val="231F20"/>
        </w:rPr>
        <w:t>полиције,</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прилазним</w:t>
      </w:r>
      <w:r>
        <w:rPr>
          <w:color w:val="231F20"/>
          <w:spacing w:val="-5"/>
        </w:rPr>
        <w:t> </w:t>
      </w:r>
      <w:r>
        <w:rPr>
          <w:color w:val="231F20"/>
        </w:rPr>
        <w:t>местом</w:t>
      </w:r>
      <w:r>
        <w:rPr>
          <w:color w:val="231F20"/>
          <w:spacing w:val="-5"/>
        </w:rPr>
        <w:t> </w:t>
      </w:r>
      <w:r>
        <w:rPr>
          <w:color w:val="231F20"/>
        </w:rPr>
        <w:t>за</w:t>
      </w:r>
      <w:r>
        <w:rPr>
          <w:color w:val="231F20"/>
          <w:spacing w:val="-5"/>
        </w:rPr>
        <w:t> </w:t>
      </w:r>
      <w:r>
        <w:rPr>
          <w:color w:val="231F20"/>
        </w:rPr>
        <w:t>укрцај путника у </w:t>
      </w:r>
      <w:r>
        <w:rPr>
          <w:color w:val="231F20"/>
          <w:spacing w:val="-3"/>
        </w:rPr>
        <w:t>аутобусе;</w:t>
      </w:r>
    </w:p>
    <w:p>
      <w:pPr>
        <w:pStyle w:val="BodyText"/>
        <w:spacing w:line="230" w:lineRule="auto"/>
        <w:ind w:left="454" w:right="1" w:firstLine="397"/>
      </w:pPr>
      <w:r>
        <w:rPr>
          <w:color w:val="231F20"/>
          <w:w w:val="66"/>
        </w:rPr>
        <w:t> </w:t>
      </w:r>
      <w:r>
        <w:rPr>
          <w:color w:val="231F20"/>
        </w:rPr>
        <w:t>– реализација новог државног пута поред десне обале Дуна- ва и новог државног пута од Костолца до Пожаревца са везама на правцу од речног пристана до археолошког парка, ради повезива- ња туристичких комплекса Дунава, Пожаревца и Виминацијума, као и уређење постојећих и изградња нових излетничких и бици- клистичких стаза и</w:t>
      </w:r>
    </w:p>
    <w:p>
      <w:pPr>
        <w:pStyle w:val="BodyText"/>
        <w:spacing w:line="230" w:lineRule="auto"/>
        <w:ind w:left="454" w:right="1" w:firstLine="397"/>
      </w:pPr>
      <w:r>
        <w:rPr>
          <w:color w:val="231F20"/>
          <w:w w:val="66"/>
        </w:rPr>
        <w:t> </w:t>
      </w:r>
      <w:r>
        <w:rPr>
          <w:color w:val="231F20"/>
        </w:rPr>
        <w:t>– изградња нове марине на Дунаву (и Великој Морави) као прихватног наутичког пункта (са основним функцијама безбедног веза, преноћишта, снабдевања, сервиса и друго) за стационарна и транзитна пловила.</w:t>
      </w:r>
    </w:p>
    <w:p>
      <w:pPr>
        <w:pStyle w:val="BodyText"/>
        <w:spacing w:line="230" w:lineRule="auto"/>
        <w:ind w:left="453" w:right="1" w:firstLine="397"/>
      </w:pPr>
      <w:r>
        <w:rPr>
          <w:color w:val="231F20"/>
        </w:rPr>
        <w:t>У зависности </w:t>
      </w:r>
      <w:r>
        <w:rPr>
          <w:color w:val="231F20"/>
          <w:spacing w:val="-3"/>
        </w:rPr>
        <w:t>од </w:t>
      </w:r>
      <w:r>
        <w:rPr>
          <w:color w:val="231F20"/>
        </w:rPr>
        <w:t>мотивисаности транзитних туриста, задржа- вање може бити </w:t>
      </w:r>
      <w:r>
        <w:rPr>
          <w:color w:val="231F20"/>
          <w:spacing w:val="-4"/>
        </w:rPr>
        <w:t>неколико </w:t>
      </w:r>
      <w:r>
        <w:rPr>
          <w:color w:val="231F20"/>
        </w:rPr>
        <w:t>сати до једног дана (доступност основ- них функција или обилазак Виминацијума) или </w:t>
      </w:r>
      <w:r>
        <w:rPr>
          <w:color w:val="231F20"/>
          <w:spacing w:val="-4"/>
        </w:rPr>
        <w:t>неколико </w:t>
      </w:r>
      <w:r>
        <w:rPr>
          <w:color w:val="231F20"/>
        </w:rPr>
        <w:t>дана </w:t>
      </w:r>
      <w:r>
        <w:rPr>
          <w:color w:val="231F20"/>
          <w:spacing w:val="-4"/>
        </w:rPr>
        <w:t>(уколико </w:t>
      </w:r>
      <w:r>
        <w:rPr>
          <w:color w:val="231F20"/>
        </w:rPr>
        <w:t>подручје представља предмет специјалних интересовања </w:t>
      </w:r>
      <w:r>
        <w:rPr>
          <w:color w:val="231F20"/>
          <w:spacing w:val="-3"/>
        </w:rPr>
        <w:t>које </w:t>
      </w:r>
      <w:r>
        <w:rPr>
          <w:color w:val="231F20"/>
        </w:rPr>
        <w:t>могу бити циљ путовања; поред доступности основних функ- ција </w:t>
      </w:r>
      <w:r>
        <w:rPr>
          <w:color w:val="231F20"/>
          <w:spacing w:val="-2"/>
        </w:rPr>
        <w:t>неопходно </w:t>
      </w:r>
      <w:r>
        <w:rPr>
          <w:color w:val="231F20"/>
        </w:rPr>
        <w:t>је обезбедити посебне службе за изнајмљивање чунова, теренских и путничких возила, бицикала, мотоцикала, ја- хаћих </w:t>
      </w:r>
      <w:r>
        <w:rPr>
          <w:color w:val="231F20"/>
          <w:spacing w:val="-3"/>
        </w:rPr>
        <w:t>коња, </w:t>
      </w:r>
      <w:r>
        <w:rPr>
          <w:color w:val="231F20"/>
        </w:rPr>
        <w:t>запрега као и риболовне и </w:t>
      </w:r>
      <w:r>
        <w:rPr>
          <w:color w:val="231F20"/>
          <w:spacing w:val="-3"/>
        </w:rPr>
        <w:t>ловачке </w:t>
      </w:r>
      <w:r>
        <w:rPr>
          <w:color w:val="231F20"/>
        </w:rPr>
        <w:t>опреме).</w:t>
      </w:r>
    </w:p>
    <w:p>
      <w:pPr>
        <w:pStyle w:val="Heading1"/>
        <w:numPr>
          <w:ilvl w:val="2"/>
          <w:numId w:val="28"/>
        </w:numPr>
        <w:tabs>
          <w:tab w:pos="1993" w:val="left" w:leader="none"/>
        </w:tabs>
        <w:spacing w:line="240" w:lineRule="auto" w:before="129" w:after="0"/>
        <w:ind w:left="1992" w:right="0" w:hanging="180"/>
        <w:jc w:val="left"/>
      </w:pPr>
      <w:r>
        <w:rPr>
          <w:color w:val="231F20"/>
        </w:rPr>
        <w:t>Инфраструктурни</w:t>
      </w:r>
      <w:r>
        <w:rPr>
          <w:color w:val="231F20"/>
          <w:spacing w:val="-2"/>
        </w:rPr>
        <w:t> </w:t>
      </w:r>
      <w:r>
        <w:rPr>
          <w:color w:val="231F20"/>
        </w:rPr>
        <w:t>системи</w:t>
      </w:r>
    </w:p>
    <w:p>
      <w:pPr>
        <w:pStyle w:val="ListParagraph"/>
        <w:numPr>
          <w:ilvl w:val="1"/>
          <w:numId w:val="31"/>
        </w:numPr>
        <w:tabs>
          <w:tab w:pos="1521" w:val="left" w:leader="none"/>
        </w:tabs>
        <w:spacing w:line="240" w:lineRule="auto" w:before="160" w:after="0"/>
        <w:ind w:left="1520" w:right="0" w:hanging="315"/>
        <w:jc w:val="left"/>
        <w:rPr>
          <w:i/>
          <w:sz w:val="18"/>
        </w:rPr>
      </w:pPr>
      <w:r>
        <w:rPr>
          <w:i/>
          <w:color w:val="231F20"/>
          <w:sz w:val="18"/>
        </w:rPr>
        <w:t>Саобраћај и саобраћајна</w:t>
      </w:r>
      <w:r>
        <w:rPr>
          <w:i/>
          <w:color w:val="231F20"/>
          <w:spacing w:val="-6"/>
          <w:sz w:val="18"/>
        </w:rPr>
        <w:t> </w:t>
      </w:r>
      <w:r>
        <w:rPr>
          <w:i/>
          <w:color w:val="231F20"/>
          <w:sz w:val="18"/>
        </w:rPr>
        <w:t>инфраструктура</w:t>
      </w:r>
    </w:p>
    <w:p>
      <w:pPr>
        <w:pStyle w:val="BodyText"/>
        <w:ind w:left="0"/>
        <w:jc w:val="left"/>
        <w:rPr>
          <w:i/>
          <w:sz w:val="17"/>
        </w:rPr>
      </w:pPr>
    </w:p>
    <w:p>
      <w:pPr>
        <w:pStyle w:val="BodyText"/>
        <w:spacing w:line="230" w:lineRule="auto" w:before="1"/>
        <w:ind w:left="454" w:firstLine="396"/>
      </w:pPr>
      <w:r>
        <w:rPr>
          <w:color w:val="231F20"/>
        </w:rPr>
        <w:t>У складу са планираним развојем подручја, динамиком при- вредног развоја и популационим развојем, планиран је и развој елемената саобраћајне инфраструктуре </w:t>
      </w:r>
      <w:r>
        <w:rPr>
          <w:color w:val="231F20"/>
          <w:spacing w:val="-3"/>
        </w:rPr>
        <w:t>тако </w:t>
      </w:r>
      <w:r>
        <w:rPr>
          <w:color w:val="231F20"/>
        </w:rPr>
        <w:t>да се задовоље зах- теви </w:t>
      </w:r>
      <w:r>
        <w:rPr>
          <w:color w:val="231F20"/>
          <w:spacing w:val="-3"/>
        </w:rPr>
        <w:t>који </w:t>
      </w:r>
      <w:r>
        <w:rPr>
          <w:color w:val="231F20"/>
        </w:rPr>
        <w:t>ће се поставити пред саобраћајни и транспортни систем подручја. Саобраћајно-транспортни систем формирају постојећи и планирани елементи </w:t>
      </w:r>
      <w:r>
        <w:rPr>
          <w:color w:val="231F20"/>
          <w:spacing w:val="-3"/>
        </w:rPr>
        <w:t>који </w:t>
      </w:r>
      <w:r>
        <w:rPr>
          <w:color w:val="231F20"/>
        </w:rPr>
        <w:t>су у функцији интегралног и одржи- вог развоја. План развоја саобраћајног система заснива се на та- квом приступу у </w:t>
      </w:r>
      <w:r>
        <w:rPr>
          <w:color w:val="231F20"/>
          <w:spacing w:val="-4"/>
        </w:rPr>
        <w:t>коме </w:t>
      </w:r>
      <w:r>
        <w:rPr>
          <w:color w:val="231F20"/>
        </w:rPr>
        <w:t>се реконструкција постојећих елемената и изградња нових просторно синхронизује са развојем рударских активности али и са развојем и унапређењем туристичке </w:t>
      </w:r>
      <w:r>
        <w:rPr>
          <w:color w:val="231F20"/>
          <w:spacing w:val="-3"/>
        </w:rPr>
        <w:t>понуде, </w:t>
      </w:r>
      <w:r>
        <w:rPr>
          <w:color w:val="231F20"/>
        </w:rPr>
        <w:t>развојем привредних и осталих активности на подручју </w:t>
      </w:r>
      <w:r>
        <w:rPr>
          <w:color w:val="231F20"/>
          <w:spacing w:val="-3"/>
        </w:rPr>
        <w:t>које </w:t>
      </w:r>
      <w:r>
        <w:rPr>
          <w:color w:val="231F20"/>
        </w:rPr>
        <w:t>је</w:t>
      </w:r>
      <w:r>
        <w:rPr>
          <w:color w:val="231F20"/>
          <w:spacing w:val="-19"/>
        </w:rPr>
        <w:t> </w:t>
      </w:r>
      <w:r>
        <w:rPr>
          <w:color w:val="231F20"/>
        </w:rPr>
        <w:t>ван</w:t>
      </w:r>
    </w:p>
    <w:p>
      <w:pPr>
        <w:pStyle w:val="BodyText"/>
        <w:spacing w:line="228" w:lineRule="auto" w:before="73"/>
        <w:ind w:left="242" w:right="126"/>
      </w:pPr>
      <w:r>
        <w:rPr/>
        <w:br w:type="column"/>
      </w:r>
      <w:r>
        <w:rPr>
          <w:color w:val="231F20"/>
        </w:rPr>
        <w:t>непосредног</w:t>
      </w:r>
      <w:r>
        <w:rPr>
          <w:color w:val="231F20"/>
          <w:spacing w:val="-11"/>
        </w:rPr>
        <w:t> </w:t>
      </w:r>
      <w:r>
        <w:rPr>
          <w:color w:val="231F20"/>
        </w:rPr>
        <w:t>утицаја</w:t>
      </w:r>
      <w:r>
        <w:rPr>
          <w:color w:val="231F20"/>
          <w:spacing w:val="-11"/>
        </w:rPr>
        <w:t> </w:t>
      </w:r>
      <w:r>
        <w:rPr>
          <w:color w:val="231F20"/>
        </w:rPr>
        <w:t>рударских</w:t>
      </w:r>
      <w:r>
        <w:rPr>
          <w:color w:val="231F20"/>
          <w:spacing w:val="-11"/>
        </w:rPr>
        <w:t> </w:t>
      </w:r>
      <w:r>
        <w:rPr>
          <w:color w:val="231F20"/>
        </w:rPr>
        <w:t>активности.</w:t>
      </w:r>
      <w:r>
        <w:rPr>
          <w:color w:val="231F20"/>
          <w:spacing w:val="-11"/>
        </w:rPr>
        <w:t> </w:t>
      </w:r>
      <w:r>
        <w:rPr>
          <w:color w:val="231F20"/>
        </w:rPr>
        <w:t>Планом</w:t>
      </w:r>
      <w:r>
        <w:rPr>
          <w:color w:val="231F20"/>
          <w:spacing w:val="-11"/>
        </w:rPr>
        <w:t> </w:t>
      </w:r>
      <w:r>
        <w:rPr>
          <w:color w:val="231F20"/>
        </w:rPr>
        <w:t>развоја</w:t>
      </w:r>
      <w:r>
        <w:rPr>
          <w:color w:val="231F20"/>
          <w:spacing w:val="-11"/>
        </w:rPr>
        <w:t> </w:t>
      </w:r>
      <w:r>
        <w:rPr>
          <w:color w:val="231F20"/>
          <w:spacing w:val="-3"/>
        </w:rPr>
        <w:t>рудар- </w:t>
      </w:r>
      <w:r>
        <w:rPr>
          <w:color w:val="231F20"/>
        </w:rPr>
        <w:t>ско-енергетског система у </w:t>
      </w:r>
      <w:r>
        <w:rPr>
          <w:color w:val="231F20"/>
          <w:spacing w:val="-3"/>
        </w:rPr>
        <w:t>планском </w:t>
      </w:r>
      <w:r>
        <w:rPr>
          <w:color w:val="231F20"/>
          <w:spacing w:val="-4"/>
        </w:rPr>
        <w:t>периоду, </w:t>
      </w:r>
      <w:r>
        <w:rPr>
          <w:color w:val="231F20"/>
        </w:rPr>
        <w:t>постојећи саобраћај- ни коридори на </w:t>
      </w:r>
      <w:r>
        <w:rPr>
          <w:color w:val="231F20"/>
          <w:spacing w:val="-3"/>
        </w:rPr>
        <w:t>Планском </w:t>
      </w:r>
      <w:r>
        <w:rPr>
          <w:color w:val="231F20"/>
        </w:rPr>
        <w:t>подручју нису непосредно угрожени (изузев</w:t>
      </w:r>
      <w:r>
        <w:rPr>
          <w:color w:val="231F20"/>
          <w:spacing w:val="-5"/>
        </w:rPr>
        <w:t> </w:t>
      </w:r>
      <w:r>
        <w:rPr>
          <w:color w:val="231F20"/>
        </w:rPr>
        <w:t>дела</w:t>
      </w:r>
      <w:r>
        <w:rPr>
          <w:color w:val="231F20"/>
          <w:spacing w:val="-5"/>
        </w:rPr>
        <w:t> </w:t>
      </w:r>
      <w:r>
        <w:rPr>
          <w:color w:val="231F20"/>
        </w:rPr>
        <w:t>општинског</w:t>
      </w:r>
      <w:r>
        <w:rPr>
          <w:color w:val="231F20"/>
          <w:spacing w:val="-5"/>
        </w:rPr>
        <w:t> </w:t>
      </w:r>
      <w:r>
        <w:rPr>
          <w:color w:val="231F20"/>
        </w:rPr>
        <w:t>пута</w:t>
      </w:r>
      <w:r>
        <w:rPr>
          <w:color w:val="231F20"/>
          <w:spacing w:val="-5"/>
        </w:rPr>
        <w:t> </w:t>
      </w:r>
      <w:r>
        <w:rPr>
          <w:color w:val="231F20"/>
        </w:rPr>
        <w:t>ОП-10</w:t>
      </w:r>
      <w:r>
        <w:rPr>
          <w:color w:val="231F20"/>
          <w:spacing w:val="-5"/>
        </w:rPr>
        <w:t> </w:t>
      </w:r>
      <w:r>
        <w:rPr>
          <w:color w:val="231F20"/>
        </w:rPr>
        <w:t>у</w:t>
      </w:r>
      <w:r>
        <w:rPr>
          <w:color w:val="231F20"/>
          <w:spacing w:val="-5"/>
        </w:rPr>
        <w:t> </w:t>
      </w:r>
      <w:r>
        <w:rPr>
          <w:color w:val="231F20"/>
        </w:rPr>
        <w:t>зони</w:t>
      </w:r>
      <w:r>
        <w:rPr>
          <w:color w:val="231F20"/>
          <w:spacing w:val="-5"/>
        </w:rPr>
        <w:t> </w:t>
      </w:r>
      <w:r>
        <w:rPr>
          <w:color w:val="231F20"/>
        </w:rPr>
        <w:t>насеља</w:t>
      </w:r>
      <w:r>
        <w:rPr>
          <w:color w:val="231F20"/>
          <w:spacing w:val="-5"/>
        </w:rPr>
        <w:t> </w:t>
      </w:r>
      <w:r>
        <w:rPr>
          <w:color w:val="231F20"/>
        </w:rPr>
        <w:t>Дрмно)</w:t>
      </w:r>
      <w:r>
        <w:rPr>
          <w:color w:val="231F20"/>
          <w:spacing w:val="-5"/>
        </w:rPr>
        <w:t> </w:t>
      </w:r>
      <w:r>
        <w:rPr>
          <w:color w:val="231F20"/>
        </w:rPr>
        <w:t>али</w:t>
      </w:r>
      <w:r>
        <w:rPr>
          <w:color w:val="231F20"/>
          <w:spacing w:val="-5"/>
        </w:rPr>
        <w:t> </w:t>
      </w:r>
      <w:r>
        <w:rPr>
          <w:color w:val="231F20"/>
        </w:rPr>
        <w:t>је, у</w:t>
      </w:r>
      <w:r>
        <w:rPr>
          <w:color w:val="231F20"/>
          <w:spacing w:val="-5"/>
        </w:rPr>
        <w:t> </w:t>
      </w:r>
      <w:r>
        <w:rPr>
          <w:color w:val="231F20"/>
        </w:rPr>
        <w:t>складу</w:t>
      </w:r>
      <w:r>
        <w:rPr>
          <w:color w:val="231F20"/>
          <w:spacing w:val="-5"/>
        </w:rPr>
        <w:t> </w:t>
      </w:r>
      <w:r>
        <w:rPr>
          <w:color w:val="231F20"/>
        </w:rPr>
        <w:t>са</w:t>
      </w:r>
      <w:r>
        <w:rPr>
          <w:color w:val="231F20"/>
          <w:spacing w:val="-5"/>
        </w:rPr>
        <w:t> </w:t>
      </w:r>
      <w:r>
        <w:rPr>
          <w:color w:val="231F20"/>
        </w:rPr>
        <w:t>општим</w:t>
      </w:r>
      <w:r>
        <w:rPr>
          <w:color w:val="231F20"/>
          <w:spacing w:val="-5"/>
        </w:rPr>
        <w:t> </w:t>
      </w:r>
      <w:r>
        <w:rPr>
          <w:color w:val="231F20"/>
        </w:rPr>
        <w:t>циљевима</w:t>
      </w:r>
      <w:r>
        <w:rPr>
          <w:color w:val="231F20"/>
          <w:spacing w:val="-5"/>
        </w:rPr>
        <w:t> </w:t>
      </w:r>
      <w:r>
        <w:rPr>
          <w:color w:val="231F20"/>
        </w:rPr>
        <w:t>развоја</w:t>
      </w:r>
      <w:r>
        <w:rPr>
          <w:color w:val="231F20"/>
          <w:spacing w:val="-5"/>
        </w:rPr>
        <w:t> </w:t>
      </w:r>
      <w:r>
        <w:rPr>
          <w:color w:val="231F20"/>
        </w:rPr>
        <w:t>саобраћајног</w:t>
      </w:r>
      <w:r>
        <w:rPr>
          <w:color w:val="231F20"/>
          <w:spacing w:val="-5"/>
        </w:rPr>
        <w:t> </w:t>
      </w:r>
      <w:r>
        <w:rPr>
          <w:color w:val="231F20"/>
        </w:rPr>
        <w:t>система,</w:t>
      </w:r>
      <w:r>
        <w:rPr>
          <w:color w:val="231F20"/>
          <w:spacing w:val="-5"/>
        </w:rPr>
        <w:t> </w:t>
      </w:r>
      <w:r>
        <w:rPr>
          <w:color w:val="231F20"/>
        </w:rPr>
        <w:t>акце- нат стављен на дефинисању коридора и објеката </w:t>
      </w:r>
      <w:r>
        <w:rPr>
          <w:color w:val="231F20"/>
          <w:spacing w:val="-3"/>
        </w:rPr>
        <w:t>који </w:t>
      </w:r>
      <w:r>
        <w:rPr>
          <w:color w:val="231F20"/>
        </w:rPr>
        <w:t>омогућавају ефикаснији транспорт робе и путника, и посебно подизање квали- тета животне средине у зонама постојећих</w:t>
      </w:r>
      <w:r>
        <w:rPr>
          <w:color w:val="231F20"/>
          <w:spacing w:val="-8"/>
        </w:rPr>
        <w:t> </w:t>
      </w:r>
      <w:r>
        <w:rPr>
          <w:color w:val="231F20"/>
        </w:rPr>
        <w:t>коридора.</w:t>
      </w:r>
    </w:p>
    <w:p>
      <w:pPr>
        <w:pStyle w:val="BodyText"/>
        <w:spacing w:before="164"/>
        <w:ind w:left="1910" w:right="1795"/>
        <w:jc w:val="center"/>
      </w:pPr>
      <w:r>
        <w:rPr>
          <w:color w:val="231F20"/>
        </w:rPr>
        <w:t>Развој моторизације</w:t>
      </w:r>
    </w:p>
    <w:p>
      <w:pPr>
        <w:pStyle w:val="BodyText"/>
        <w:spacing w:before="3"/>
        <w:ind w:left="0"/>
        <w:jc w:val="left"/>
        <w:rPr>
          <w:sz w:val="17"/>
        </w:rPr>
      </w:pPr>
    </w:p>
    <w:p>
      <w:pPr>
        <w:pStyle w:val="BodyText"/>
        <w:spacing w:line="232" w:lineRule="auto"/>
        <w:ind w:left="243" w:right="126" w:firstLine="396"/>
      </w:pPr>
      <w:r>
        <w:rPr>
          <w:color w:val="231F20"/>
        </w:rPr>
        <w:t>Степен моторизације је битан за процене будућег обима кре- тања становништва и представља основу за процене потенцијал- них извора средстава за финансирање развоја путне мреже.</w:t>
      </w:r>
    </w:p>
    <w:p>
      <w:pPr>
        <w:pStyle w:val="BodyText"/>
        <w:spacing w:line="230" w:lineRule="auto"/>
        <w:ind w:left="243" w:right="126" w:firstLine="396"/>
      </w:pPr>
      <w:r>
        <w:rPr>
          <w:color w:val="231F20"/>
        </w:rPr>
        <w:t>За поузданије процене тренда развоја индивидуалне мотори- зације </w:t>
      </w:r>
      <w:r>
        <w:rPr>
          <w:color w:val="231F20"/>
          <w:spacing w:val="-3"/>
        </w:rPr>
        <w:t>неког </w:t>
      </w:r>
      <w:r>
        <w:rPr>
          <w:color w:val="231F20"/>
        </w:rPr>
        <w:t>подручја </w:t>
      </w:r>
      <w:r>
        <w:rPr>
          <w:color w:val="231F20"/>
          <w:spacing w:val="-2"/>
        </w:rPr>
        <w:t>неопходно </w:t>
      </w:r>
      <w:r>
        <w:rPr>
          <w:color w:val="231F20"/>
        </w:rPr>
        <w:t>је познавање читавог низа разли- читих фактора развоја, не само на локалном, већ и на ширем под- </w:t>
      </w:r>
      <w:r>
        <w:rPr>
          <w:color w:val="231F20"/>
          <w:spacing w:val="-4"/>
        </w:rPr>
        <w:t>ручју, </w:t>
      </w:r>
      <w:r>
        <w:rPr>
          <w:color w:val="231F20"/>
        </w:rPr>
        <w:t>територији државе, региона и друго. Међутим, околности у </w:t>
      </w:r>
      <w:r>
        <w:rPr>
          <w:color w:val="231F20"/>
          <w:spacing w:val="-3"/>
        </w:rPr>
        <w:t>којима </w:t>
      </w:r>
      <w:r>
        <w:rPr>
          <w:color w:val="231F20"/>
        </w:rPr>
        <w:t>се налазила Србија у протеклом периоду (процес транзи- ције, слабљење </w:t>
      </w:r>
      <w:r>
        <w:rPr>
          <w:color w:val="231F20"/>
          <w:spacing w:val="-3"/>
        </w:rPr>
        <w:t>економске </w:t>
      </w:r>
      <w:r>
        <w:rPr>
          <w:color w:val="231F20"/>
        </w:rPr>
        <w:t>моћи становништва, пораст броја не- запослених, неизвесност </w:t>
      </w:r>
      <w:r>
        <w:rPr>
          <w:color w:val="231F20"/>
          <w:spacing w:val="-3"/>
        </w:rPr>
        <w:t>уласка </w:t>
      </w:r>
      <w:r>
        <w:rPr>
          <w:color w:val="231F20"/>
        </w:rPr>
        <w:t>у Европску </w:t>
      </w:r>
      <w:r>
        <w:rPr>
          <w:color w:val="231F20"/>
          <w:spacing w:val="-3"/>
        </w:rPr>
        <w:t>унију, </w:t>
      </w:r>
      <w:r>
        <w:rPr>
          <w:color w:val="231F20"/>
        </w:rPr>
        <w:t>ефекти светске </w:t>
      </w:r>
      <w:r>
        <w:rPr>
          <w:color w:val="231F20"/>
          <w:spacing w:val="-3"/>
        </w:rPr>
        <w:t>економске</w:t>
      </w:r>
      <w:r>
        <w:rPr>
          <w:color w:val="231F20"/>
          <w:spacing w:val="-7"/>
        </w:rPr>
        <w:t> </w:t>
      </w:r>
      <w:r>
        <w:rPr>
          <w:color w:val="231F20"/>
        </w:rPr>
        <w:t>кризе</w:t>
      </w:r>
      <w:r>
        <w:rPr>
          <w:color w:val="231F20"/>
          <w:spacing w:val="-7"/>
        </w:rPr>
        <w:t> </w:t>
      </w:r>
      <w:r>
        <w:rPr>
          <w:color w:val="231F20"/>
        </w:rPr>
        <w:t>и</w:t>
      </w:r>
      <w:r>
        <w:rPr>
          <w:color w:val="231F20"/>
          <w:spacing w:val="-7"/>
        </w:rPr>
        <w:t> </w:t>
      </w:r>
      <w:r>
        <w:rPr>
          <w:color w:val="231F20"/>
        </w:rPr>
        <w:t>слично)</w:t>
      </w:r>
      <w:r>
        <w:rPr>
          <w:color w:val="231F20"/>
          <w:spacing w:val="-7"/>
        </w:rPr>
        <w:t> </w:t>
      </w:r>
      <w:r>
        <w:rPr>
          <w:color w:val="231F20"/>
        </w:rPr>
        <w:t>онемогућавају</w:t>
      </w:r>
      <w:r>
        <w:rPr>
          <w:color w:val="231F20"/>
          <w:spacing w:val="-7"/>
        </w:rPr>
        <w:t> </w:t>
      </w:r>
      <w:r>
        <w:rPr>
          <w:color w:val="231F20"/>
        </w:rPr>
        <w:t>поуздану</w:t>
      </w:r>
      <w:r>
        <w:rPr>
          <w:color w:val="231F20"/>
          <w:spacing w:val="-7"/>
        </w:rPr>
        <w:t> </w:t>
      </w:r>
      <w:r>
        <w:rPr>
          <w:color w:val="231F20"/>
        </w:rPr>
        <w:t>прогнозу</w:t>
      </w:r>
      <w:r>
        <w:rPr>
          <w:color w:val="231F20"/>
          <w:spacing w:val="-7"/>
        </w:rPr>
        <w:t> </w:t>
      </w:r>
      <w:r>
        <w:rPr>
          <w:color w:val="231F20"/>
        </w:rPr>
        <w:t>трен- да развоја моторизације. Имајући све околности у виду и тренд пораста у претходних седам година, реално је очекивати наставак малог раста степена</w:t>
      </w:r>
      <w:r>
        <w:rPr>
          <w:color w:val="231F20"/>
          <w:spacing w:val="-3"/>
        </w:rPr>
        <w:t> </w:t>
      </w:r>
      <w:r>
        <w:rPr>
          <w:color w:val="231F20"/>
        </w:rPr>
        <w:t>моторизације.</w:t>
      </w:r>
    </w:p>
    <w:p>
      <w:pPr>
        <w:pStyle w:val="BodyText"/>
        <w:spacing w:line="230" w:lineRule="auto"/>
        <w:ind w:left="243" w:right="125" w:firstLine="396"/>
      </w:pPr>
      <w:r>
        <w:rPr>
          <w:color w:val="231F20"/>
          <w:spacing w:val="-6"/>
        </w:rPr>
        <w:t>Уколико </w:t>
      </w:r>
      <w:r>
        <w:rPr>
          <w:color w:val="231F20"/>
        </w:rPr>
        <w:t>се постојећи тренд развоја задржи и у наредном пе- </w:t>
      </w:r>
      <w:r>
        <w:rPr>
          <w:color w:val="231F20"/>
          <w:spacing w:val="-5"/>
        </w:rPr>
        <w:t>риоду,</w:t>
      </w:r>
      <w:r>
        <w:rPr>
          <w:color w:val="231F20"/>
          <w:spacing w:val="-8"/>
        </w:rPr>
        <w:t> </w:t>
      </w:r>
      <w:r>
        <w:rPr>
          <w:color w:val="231F20"/>
        </w:rPr>
        <w:t>за</w:t>
      </w:r>
      <w:r>
        <w:rPr>
          <w:color w:val="231F20"/>
          <w:spacing w:val="-8"/>
        </w:rPr>
        <w:t> </w:t>
      </w:r>
      <w:r>
        <w:rPr>
          <w:color w:val="231F20"/>
        </w:rPr>
        <w:t>плански</w:t>
      </w:r>
      <w:r>
        <w:rPr>
          <w:color w:val="231F20"/>
          <w:spacing w:val="-8"/>
        </w:rPr>
        <w:t> </w:t>
      </w:r>
      <w:r>
        <w:rPr>
          <w:color w:val="231F20"/>
        </w:rPr>
        <w:t>хоризонт</w:t>
      </w:r>
      <w:r>
        <w:rPr>
          <w:color w:val="231F20"/>
          <w:spacing w:val="-8"/>
        </w:rPr>
        <w:t> </w:t>
      </w:r>
      <w:r>
        <w:rPr>
          <w:color w:val="231F20"/>
        </w:rPr>
        <w:t>се</w:t>
      </w:r>
      <w:r>
        <w:rPr>
          <w:color w:val="231F20"/>
          <w:spacing w:val="-8"/>
        </w:rPr>
        <w:t> </w:t>
      </w:r>
      <w:r>
        <w:rPr>
          <w:color w:val="231F20"/>
        </w:rPr>
        <w:t>може</w:t>
      </w:r>
      <w:r>
        <w:rPr>
          <w:color w:val="231F20"/>
          <w:spacing w:val="-8"/>
        </w:rPr>
        <w:t> </w:t>
      </w:r>
      <w:r>
        <w:rPr>
          <w:color w:val="231F20"/>
        </w:rPr>
        <w:t>очекивати</w:t>
      </w:r>
      <w:r>
        <w:rPr>
          <w:color w:val="231F20"/>
          <w:spacing w:val="-8"/>
        </w:rPr>
        <w:t> </w:t>
      </w:r>
      <w:r>
        <w:rPr>
          <w:color w:val="231F20"/>
        </w:rPr>
        <w:t>степен</w:t>
      </w:r>
      <w:r>
        <w:rPr>
          <w:color w:val="231F20"/>
          <w:spacing w:val="-8"/>
        </w:rPr>
        <w:t> </w:t>
      </w:r>
      <w:r>
        <w:rPr>
          <w:color w:val="231F20"/>
        </w:rPr>
        <w:t>моторизаци- је приказан у наредној</w:t>
      </w:r>
      <w:r>
        <w:rPr>
          <w:color w:val="231F20"/>
          <w:spacing w:val="-4"/>
        </w:rPr>
        <w:t> </w:t>
      </w:r>
      <w:r>
        <w:rPr>
          <w:color w:val="231F20"/>
        </w:rPr>
        <w:t>табели.</w:t>
      </w:r>
    </w:p>
    <w:p>
      <w:pPr>
        <w:pStyle w:val="BodyText"/>
        <w:spacing w:before="10"/>
        <w:ind w:left="0"/>
        <w:jc w:val="left"/>
        <w:rPr>
          <w:sz w:val="16"/>
        </w:rPr>
      </w:pPr>
    </w:p>
    <w:p>
      <w:pPr>
        <w:pStyle w:val="BodyText"/>
        <w:spacing w:line="230" w:lineRule="auto" w:before="1"/>
        <w:ind w:left="1083" w:right="816" w:hanging="840"/>
        <w:jc w:val="left"/>
      </w:pPr>
      <w:r>
        <w:rPr>
          <w:color w:val="231F20"/>
        </w:rPr>
        <w:t>Табела 20. Очекиване вредности степена индивидуалне моторизације на територији града Пожаревца и општине Велико Градиште</w:t>
      </w:r>
    </w:p>
    <w:p>
      <w:pPr>
        <w:pStyle w:val="BodyText"/>
        <w:spacing w:before="10"/>
        <w:ind w:left="0"/>
        <w:jc w:val="left"/>
        <w:rPr>
          <w:sz w:val="3"/>
        </w:rPr>
      </w:pPr>
    </w:p>
    <w:tbl>
      <w:tblPr>
        <w:tblW w:w="0" w:type="auto"/>
        <w:jc w:val="left"/>
        <w:tblInd w:w="2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28"/>
        <w:gridCol w:w="567"/>
        <w:gridCol w:w="567"/>
        <w:gridCol w:w="567"/>
        <w:gridCol w:w="567"/>
      </w:tblGrid>
      <w:tr>
        <w:trPr>
          <w:trHeight w:val="360" w:hRule="atLeast"/>
        </w:trPr>
        <w:tc>
          <w:tcPr>
            <w:tcW w:w="2828" w:type="dxa"/>
            <w:vMerge w:val="restart"/>
          </w:tcPr>
          <w:p>
            <w:pPr>
              <w:pStyle w:val="TableParagraph"/>
              <w:ind w:left="1117" w:right="1107"/>
              <w:jc w:val="center"/>
              <w:rPr>
                <w:sz w:val="14"/>
              </w:rPr>
            </w:pPr>
            <w:r>
              <w:rPr>
                <w:color w:val="231F20"/>
                <w:sz w:val="14"/>
              </w:rPr>
              <w:t>Подручје</w:t>
            </w:r>
          </w:p>
        </w:tc>
        <w:tc>
          <w:tcPr>
            <w:tcW w:w="2268" w:type="dxa"/>
            <w:gridSpan w:val="4"/>
          </w:tcPr>
          <w:p>
            <w:pPr>
              <w:pStyle w:val="TableParagraph"/>
              <w:ind w:left="471" w:hanging="409"/>
              <w:jc w:val="left"/>
              <w:rPr>
                <w:sz w:val="14"/>
              </w:rPr>
            </w:pPr>
            <w:r>
              <w:rPr>
                <w:color w:val="231F20"/>
                <w:sz w:val="14"/>
              </w:rPr>
              <w:t>Степен индивидуалне моторизације (ПА/1000 становника)</w:t>
            </w:r>
          </w:p>
        </w:tc>
      </w:tr>
      <w:tr>
        <w:trPr>
          <w:trHeight w:val="200" w:hRule="atLeast"/>
        </w:trPr>
        <w:tc>
          <w:tcPr>
            <w:tcW w:w="2828" w:type="dxa"/>
            <w:vMerge/>
            <w:tcBorders>
              <w:top w:val="nil"/>
            </w:tcBorders>
          </w:tcPr>
          <w:p>
            <w:pPr>
              <w:rPr>
                <w:sz w:val="2"/>
                <w:szCs w:val="2"/>
              </w:rPr>
            </w:pPr>
          </w:p>
        </w:tc>
        <w:tc>
          <w:tcPr>
            <w:tcW w:w="567" w:type="dxa"/>
          </w:tcPr>
          <w:p>
            <w:pPr>
              <w:pStyle w:val="TableParagraph"/>
              <w:ind w:left="126"/>
              <w:jc w:val="left"/>
              <w:rPr>
                <w:sz w:val="14"/>
              </w:rPr>
            </w:pPr>
            <w:r>
              <w:rPr>
                <w:color w:val="231F20"/>
                <w:sz w:val="14"/>
              </w:rPr>
              <w:t>2010.</w:t>
            </w:r>
          </w:p>
        </w:tc>
        <w:tc>
          <w:tcPr>
            <w:tcW w:w="567" w:type="dxa"/>
          </w:tcPr>
          <w:p>
            <w:pPr>
              <w:pStyle w:val="TableParagraph"/>
              <w:ind w:right="114"/>
              <w:rPr>
                <w:sz w:val="14"/>
              </w:rPr>
            </w:pPr>
            <w:r>
              <w:rPr>
                <w:color w:val="231F20"/>
                <w:sz w:val="14"/>
              </w:rPr>
              <w:t>2015.</w:t>
            </w:r>
          </w:p>
        </w:tc>
        <w:tc>
          <w:tcPr>
            <w:tcW w:w="567" w:type="dxa"/>
          </w:tcPr>
          <w:p>
            <w:pPr>
              <w:pStyle w:val="TableParagraph"/>
              <w:ind w:right="114"/>
              <w:rPr>
                <w:sz w:val="14"/>
              </w:rPr>
            </w:pPr>
            <w:r>
              <w:rPr>
                <w:color w:val="231F20"/>
                <w:sz w:val="14"/>
              </w:rPr>
              <w:t>2020.</w:t>
            </w:r>
          </w:p>
        </w:tc>
        <w:tc>
          <w:tcPr>
            <w:tcW w:w="567" w:type="dxa"/>
          </w:tcPr>
          <w:p>
            <w:pPr>
              <w:pStyle w:val="TableParagraph"/>
              <w:ind w:left="125"/>
              <w:jc w:val="left"/>
              <w:rPr>
                <w:sz w:val="14"/>
              </w:rPr>
            </w:pPr>
            <w:r>
              <w:rPr>
                <w:color w:val="231F20"/>
                <w:sz w:val="14"/>
              </w:rPr>
              <w:t>2022.</w:t>
            </w:r>
          </w:p>
        </w:tc>
      </w:tr>
      <w:tr>
        <w:trPr>
          <w:trHeight w:val="200" w:hRule="atLeast"/>
        </w:trPr>
        <w:tc>
          <w:tcPr>
            <w:tcW w:w="2828" w:type="dxa"/>
          </w:tcPr>
          <w:p>
            <w:pPr>
              <w:pStyle w:val="TableParagraph"/>
              <w:ind w:left="56"/>
              <w:jc w:val="left"/>
              <w:rPr>
                <w:sz w:val="14"/>
              </w:rPr>
            </w:pPr>
            <w:r>
              <w:rPr>
                <w:color w:val="231F20"/>
                <w:sz w:val="14"/>
              </w:rPr>
              <w:t>Општина Велико Градиште</w:t>
            </w:r>
          </w:p>
        </w:tc>
        <w:tc>
          <w:tcPr>
            <w:tcW w:w="567" w:type="dxa"/>
          </w:tcPr>
          <w:p>
            <w:pPr>
              <w:pStyle w:val="TableParagraph"/>
              <w:ind w:right="44"/>
              <w:rPr>
                <w:sz w:val="14"/>
              </w:rPr>
            </w:pPr>
            <w:r>
              <w:rPr>
                <w:color w:val="231F20"/>
                <w:sz w:val="14"/>
              </w:rPr>
              <w:t>208,5</w:t>
            </w:r>
          </w:p>
        </w:tc>
        <w:tc>
          <w:tcPr>
            <w:tcW w:w="567" w:type="dxa"/>
          </w:tcPr>
          <w:p>
            <w:pPr>
              <w:pStyle w:val="TableParagraph"/>
              <w:ind w:right="45"/>
              <w:rPr>
                <w:sz w:val="14"/>
              </w:rPr>
            </w:pPr>
            <w:r>
              <w:rPr>
                <w:color w:val="231F20"/>
                <w:sz w:val="14"/>
              </w:rPr>
              <w:t>220,2</w:t>
            </w:r>
          </w:p>
        </w:tc>
        <w:tc>
          <w:tcPr>
            <w:tcW w:w="567" w:type="dxa"/>
          </w:tcPr>
          <w:p>
            <w:pPr>
              <w:pStyle w:val="TableParagraph"/>
              <w:ind w:right="45"/>
              <w:rPr>
                <w:sz w:val="14"/>
              </w:rPr>
            </w:pPr>
            <w:r>
              <w:rPr>
                <w:color w:val="231F20"/>
                <w:sz w:val="14"/>
              </w:rPr>
              <w:t>232,6</w:t>
            </w:r>
          </w:p>
        </w:tc>
        <w:tc>
          <w:tcPr>
            <w:tcW w:w="567" w:type="dxa"/>
          </w:tcPr>
          <w:p>
            <w:pPr>
              <w:pStyle w:val="TableParagraph"/>
              <w:ind w:right="45"/>
              <w:rPr>
                <w:sz w:val="14"/>
              </w:rPr>
            </w:pPr>
            <w:r>
              <w:rPr>
                <w:color w:val="231F20"/>
                <w:sz w:val="14"/>
              </w:rPr>
              <w:t>237,8</w:t>
            </w:r>
          </w:p>
        </w:tc>
      </w:tr>
      <w:tr>
        <w:trPr>
          <w:trHeight w:val="200" w:hRule="atLeast"/>
        </w:trPr>
        <w:tc>
          <w:tcPr>
            <w:tcW w:w="2828" w:type="dxa"/>
          </w:tcPr>
          <w:p>
            <w:pPr>
              <w:pStyle w:val="TableParagraph"/>
              <w:ind w:left="56"/>
              <w:jc w:val="left"/>
              <w:rPr>
                <w:sz w:val="14"/>
              </w:rPr>
            </w:pPr>
            <w:r>
              <w:rPr>
                <w:color w:val="231F20"/>
                <w:sz w:val="14"/>
              </w:rPr>
              <w:t>Град Пожаревац</w:t>
            </w:r>
          </w:p>
        </w:tc>
        <w:tc>
          <w:tcPr>
            <w:tcW w:w="567" w:type="dxa"/>
          </w:tcPr>
          <w:p>
            <w:pPr>
              <w:pStyle w:val="TableParagraph"/>
              <w:ind w:right="45"/>
              <w:rPr>
                <w:sz w:val="14"/>
              </w:rPr>
            </w:pPr>
            <w:r>
              <w:rPr>
                <w:color w:val="231F20"/>
                <w:sz w:val="14"/>
              </w:rPr>
              <w:t>248,3</w:t>
            </w:r>
          </w:p>
        </w:tc>
        <w:tc>
          <w:tcPr>
            <w:tcW w:w="567" w:type="dxa"/>
          </w:tcPr>
          <w:p>
            <w:pPr>
              <w:pStyle w:val="TableParagraph"/>
              <w:ind w:right="45"/>
              <w:rPr>
                <w:sz w:val="14"/>
              </w:rPr>
            </w:pPr>
            <w:r>
              <w:rPr>
                <w:color w:val="231F20"/>
                <w:sz w:val="14"/>
              </w:rPr>
              <w:t>272,9</w:t>
            </w:r>
          </w:p>
        </w:tc>
        <w:tc>
          <w:tcPr>
            <w:tcW w:w="567" w:type="dxa"/>
          </w:tcPr>
          <w:p>
            <w:pPr>
              <w:pStyle w:val="TableParagraph"/>
              <w:ind w:right="45"/>
              <w:rPr>
                <w:sz w:val="14"/>
              </w:rPr>
            </w:pPr>
            <w:r>
              <w:rPr>
                <w:color w:val="231F20"/>
                <w:sz w:val="14"/>
              </w:rPr>
              <w:t>299,8</w:t>
            </w:r>
          </w:p>
        </w:tc>
        <w:tc>
          <w:tcPr>
            <w:tcW w:w="567" w:type="dxa"/>
          </w:tcPr>
          <w:p>
            <w:pPr>
              <w:pStyle w:val="TableParagraph"/>
              <w:ind w:right="45"/>
              <w:rPr>
                <w:sz w:val="14"/>
              </w:rPr>
            </w:pPr>
            <w:r>
              <w:rPr>
                <w:color w:val="231F20"/>
                <w:sz w:val="14"/>
              </w:rPr>
              <w:t>311,3</w:t>
            </w:r>
          </w:p>
        </w:tc>
      </w:tr>
    </w:tbl>
    <w:p>
      <w:pPr>
        <w:pStyle w:val="BodyText"/>
        <w:spacing w:line="230" w:lineRule="auto" w:before="38"/>
        <w:ind w:left="241" w:right="128" w:firstLine="397"/>
      </w:pPr>
      <w:r>
        <w:rPr>
          <w:color w:val="231F20"/>
        </w:rPr>
        <w:t>Циљ </w:t>
      </w:r>
      <w:r>
        <w:rPr>
          <w:color w:val="231F20"/>
          <w:spacing w:val="-3"/>
        </w:rPr>
        <w:t>сваког </w:t>
      </w:r>
      <w:r>
        <w:rPr>
          <w:color w:val="231F20"/>
        </w:rPr>
        <w:t>друштва је да достигне степен моторизације </w:t>
      </w:r>
      <w:r>
        <w:rPr>
          <w:color w:val="231F20"/>
          <w:spacing w:val="-3"/>
        </w:rPr>
        <w:t>од  </w:t>
      </w:r>
      <w:r>
        <w:rPr>
          <w:color w:val="231F20"/>
        </w:rPr>
        <w:t>1 ПА по домаћинству (или </w:t>
      </w:r>
      <w:r>
        <w:rPr>
          <w:color w:val="231F20"/>
          <w:spacing w:val="-4"/>
        </w:rPr>
        <w:t>око </w:t>
      </w:r>
      <w:r>
        <w:rPr>
          <w:color w:val="231F20"/>
        </w:rPr>
        <w:t>330 ПА на 1.000 становника). У условима бржег </w:t>
      </w:r>
      <w:r>
        <w:rPr>
          <w:color w:val="231F20"/>
          <w:spacing w:val="-3"/>
        </w:rPr>
        <w:t>економског </w:t>
      </w:r>
      <w:r>
        <w:rPr>
          <w:color w:val="231F20"/>
        </w:rPr>
        <w:t>опоравка државе, повећања животног стандарда</w:t>
      </w:r>
      <w:r>
        <w:rPr>
          <w:color w:val="231F20"/>
          <w:spacing w:val="-5"/>
        </w:rPr>
        <w:t> </w:t>
      </w:r>
      <w:r>
        <w:rPr>
          <w:color w:val="231F20"/>
        </w:rPr>
        <w:t>становништва</w:t>
      </w:r>
      <w:r>
        <w:rPr>
          <w:color w:val="231F20"/>
          <w:spacing w:val="-5"/>
        </w:rPr>
        <w:t> </w:t>
      </w:r>
      <w:r>
        <w:rPr>
          <w:color w:val="231F20"/>
        </w:rPr>
        <w:t>и</w:t>
      </w:r>
      <w:r>
        <w:rPr>
          <w:color w:val="231F20"/>
          <w:spacing w:val="-5"/>
        </w:rPr>
        <w:t> </w:t>
      </w:r>
      <w:r>
        <w:rPr>
          <w:color w:val="231F20"/>
        </w:rPr>
        <w:t>слично,</w:t>
      </w:r>
      <w:r>
        <w:rPr>
          <w:color w:val="231F20"/>
          <w:spacing w:val="-5"/>
        </w:rPr>
        <w:t> </w:t>
      </w:r>
      <w:r>
        <w:rPr>
          <w:color w:val="231F20"/>
        </w:rPr>
        <w:t>може</w:t>
      </w:r>
      <w:r>
        <w:rPr>
          <w:color w:val="231F20"/>
          <w:spacing w:val="-5"/>
        </w:rPr>
        <w:t> </w:t>
      </w:r>
      <w:r>
        <w:rPr>
          <w:color w:val="231F20"/>
        </w:rPr>
        <w:t>се</w:t>
      </w:r>
      <w:r>
        <w:rPr>
          <w:color w:val="231F20"/>
          <w:spacing w:val="-5"/>
        </w:rPr>
        <w:t> </w:t>
      </w:r>
      <w:r>
        <w:rPr>
          <w:color w:val="231F20"/>
        </w:rPr>
        <w:t>очекивати</w:t>
      </w:r>
      <w:r>
        <w:rPr>
          <w:color w:val="231F20"/>
          <w:spacing w:val="-5"/>
        </w:rPr>
        <w:t> </w:t>
      </w:r>
      <w:r>
        <w:rPr>
          <w:color w:val="231F20"/>
        </w:rPr>
        <w:t>већи</w:t>
      </w:r>
      <w:r>
        <w:rPr>
          <w:color w:val="231F20"/>
          <w:spacing w:val="-5"/>
        </w:rPr>
        <w:t> </w:t>
      </w:r>
      <w:r>
        <w:rPr>
          <w:color w:val="231F20"/>
        </w:rPr>
        <w:t>пораст степена индивидуалне моторизације </w:t>
      </w:r>
      <w:r>
        <w:rPr>
          <w:color w:val="231F20"/>
          <w:spacing w:val="-3"/>
        </w:rPr>
        <w:t>од приказаног, </w:t>
      </w:r>
      <w:r>
        <w:rPr>
          <w:color w:val="231F20"/>
        </w:rPr>
        <w:t>а онда се мора рачунати и са знатним порастом кретања путничких аутомобила у локалним оквирима што мора да </w:t>
      </w:r>
      <w:r>
        <w:rPr>
          <w:color w:val="231F20"/>
          <w:spacing w:val="-5"/>
        </w:rPr>
        <w:t>буде </w:t>
      </w:r>
      <w:r>
        <w:rPr>
          <w:color w:val="231F20"/>
        </w:rPr>
        <w:t>праћено адекватним разво- јем путне мреже, пре свега на локалном</w:t>
      </w:r>
      <w:r>
        <w:rPr>
          <w:color w:val="231F20"/>
          <w:spacing w:val="-8"/>
        </w:rPr>
        <w:t> </w:t>
      </w:r>
      <w:r>
        <w:rPr>
          <w:color w:val="231F20"/>
          <w:spacing w:val="-5"/>
        </w:rPr>
        <w:t>нивоу.</w:t>
      </w:r>
    </w:p>
    <w:p>
      <w:pPr>
        <w:pStyle w:val="BodyText"/>
        <w:spacing w:line="396" w:lineRule="exact" w:before="12"/>
        <w:ind w:left="638" w:firstLine="363"/>
        <w:jc w:val="left"/>
      </w:pPr>
      <w:r>
        <w:rPr>
          <w:color w:val="231F20"/>
        </w:rPr>
        <w:t>Саобраћајно оптерећење основне путне мреже Прогнозирано саобраћајно оптерећење основне путне мре-</w:t>
      </w:r>
    </w:p>
    <w:p>
      <w:pPr>
        <w:pStyle w:val="BodyText"/>
        <w:spacing w:line="155" w:lineRule="exact"/>
        <w:ind w:left="241"/>
        <w:jc w:val="left"/>
      </w:pPr>
      <w:r>
        <w:rPr>
          <w:color w:val="231F20"/>
        </w:rPr>
        <w:t>же на Планском подручју, урађено је на основу анализе и оцене</w:t>
      </w:r>
    </w:p>
    <w:p>
      <w:pPr>
        <w:pStyle w:val="BodyText"/>
        <w:spacing w:line="230" w:lineRule="auto" w:before="3"/>
        <w:ind w:left="242" w:right="126" w:hanging="1"/>
      </w:pPr>
      <w:r>
        <w:rPr>
          <w:color w:val="231F20"/>
        </w:rPr>
        <w:t>доступних података о обиму саобраћаја за период 2000 – 2009. године, а приказано је кроз просечни годишњи дневни саобраћај (ПГДС) на мрежи постојећих државних путева I и II реда за пери- од 2010 – 2022. година, по петогодишњим пресецима. Вредности саобраћајног оптерећења дате су у распону – горње (више) вред- ности представљају прогнозне величине ПГДС-а добијене тако што је претпостављено да ће се пораст саобраћаја одвијати по ис- тој стопи раста као и у претходном периоду, док доње вредности представљају резултат нешто умеренијег раста (Табела 21).</w:t>
      </w:r>
    </w:p>
    <w:p>
      <w:pPr>
        <w:pStyle w:val="BodyText"/>
        <w:spacing w:before="3"/>
        <w:ind w:left="0"/>
        <w:jc w:val="left"/>
        <w:rPr>
          <w:sz w:val="17"/>
        </w:rPr>
      </w:pPr>
    </w:p>
    <w:p>
      <w:pPr>
        <w:pStyle w:val="BodyText"/>
        <w:spacing w:line="232" w:lineRule="auto"/>
        <w:ind w:left="1082" w:hanging="840"/>
        <w:jc w:val="left"/>
      </w:pPr>
      <w:r>
        <w:rPr>
          <w:color w:val="231F20"/>
        </w:rPr>
        <w:t>Табела 21. Процена вредности ПГДС-а на деоницама државних путева Планског подручја – период 2010 – 2022.</w:t>
      </w:r>
    </w:p>
    <w:p>
      <w:pPr>
        <w:pStyle w:val="BodyText"/>
        <w:spacing w:before="7"/>
        <w:ind w:left="0"/>
        <w:jc w:val="left"/>
        <w:rPr>
          <w:sz w:val="3"/>
        </w:rPr>
      </w:pPr>
    </w:p>
    <w:tbl>
      <w:tblPr>
        <w:tblW w:w="0" w:type="auto"/>
        <w:jc w:val="left"/>
        <w:tblInd w:w="2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3"/>
        <w:gridCol w:w="907"/>
        <w:gridCol w:w="907"/>
        <w:gridCol w:w="907"/>
        <w:gridCol w:w="907"/>
      </w:tblGrid>
      <w:tr>
        <w:trPr>
          <w:trHeight w:val="200" w:hRule="atLeast"/>
        </w:trPr>
        <w:tc>
          <w:tcPr>
            <w:tcW w:w="1453" w:type="dxa"/>
            <w:vMerge w:val="restart"/>
          </w:tcPr>
          <w:p>
            <w:pPr>
              <w:pStyle w:val="TableParagraph"/>
              <w:ind w:left="95"/>
              <w:jc w:val="left"/>
              <w:rPr>
                <w:sz w:val="14"/>
              </w:rPr>
            </w:pPr>
            <w:r>
              <w:rPr>
                <w:color w:val="231F20"/>
                <w:sz w:val="14"/>
              </w:rPr>
              <w:t>Саобраћајна деоница</w:t>
            </w:r>
          </w:p>
        </w:tc>
        <w:tc>
          <w:tcPr>
            <w:tcW w:w="3628" w:type="dxa"/>
            <w:gridSpan w:val="4"/>
          </w:tcPr>
          <w:p>
            <w:pPr>
              <w:pStyle w:val="TableParagraph"/>
              <w:ind w:left="1325" w:right="1314"/>
              <w:jc w:val="center"/>
              <w:rPr>
                <w:sz w:val="14"/>
              </w:rPr>
            </w:pPr>
            <w:r>
              <w:rPr>
                <w:color w:val="231F20"/>
                <w:sz w:val="14"/>
              </w:rPr>
              <w:t>ПГДС (воз/дан)</w:t>
            </w:r>
          </w:p>
        </w:tc>
      </w:tr>
      <w:tr>
        <w:trPr>
          <w:trHeight w:val="200" w:hRule="atLeast"/>
        </w:trPr>
        <w:tc>
          <w:tcPr>
            <w:tcW w:w="1453" w:type="dxa"/>
            <w:vMerge/>
            <w:tcBorders>
              <w:top w:val="nil"/>
            </w:tcBorders>
          </w:tcPr>
          <w:p>
            <w:pPr>
              <w:rPr>
                <w:sz w:val="2"/>
                <w:szCs w:val="2"/>
              </w:rPr>
            </w:pPr>
          </w:p>
        </w:tc>
        <w:tc>
          <w:tcPr>
            <w:tcW w:w="907" w:type="dxa"/>
          </w:tcPr>
          <w:p>
            <w:pPr>
              <w:pStyle w:val="TableParagraph"/>
              <w:ind w:left="296"/>
              <w:jc w:val="left"/>
              <w:rPr>
                <w:sz w:val="14"/>
              </w:rPr>
            </w:pPr>
            <w:r>
              <w:rPr>
                <w:color w:val="231F20"/>
                <w:sz w:val="14"/>
              </w:rPr>
              <w:t>2010.</w:t>
            </w:r>
          </w:p>
        </w:tc>
        <w:tc>
          <w:tcPr>
            <w:tcW w:w="907" w:type="dxa"/>
          </w:tcPr>
          <w:p>
            <w:pPr>
              <w:pStyle w:val="TableParagraph"/>
              <w:ind w:left="296"/>
              <w:jc w:val="left"/>
              <w:rPr>
                <w:sz w:val="14"/>
              </w:rPr>
            </w:pPr>
            <w:r>
              <w:rPr>
                <w:color w:val="231F20"/>
                <w:sz w:val="14"/>
              </w:rPr>
              <w:t>2015.</w:t>
            </w:r>
          </w:p>
        </w:tc>
        <w:tc>
          <w:tcPr>
            <w:tcW w:w="907" w:type="dxa"/>
          </w:tcPr>
          <w:p>
            <w:pPr>
              <w:pStyle w:val="TableParagraph"/>
              <w:ind w:left="296"/>
              <w:jc w:val="left"/>
              <w:rPr>
                <w:sz w:val="14"/>
              </w:rPr>
            </w:pPr>
            <w:r>
              <w:rPr>
                <w:color w:val="231F20"/>
                <w:sz w:val="14"/>
              </w:rPr>
              <w:t>2020.</w:t>
            </w:r>
          </w:p>
        </w:tc>
        <w:tc>
          <w:tcPr>
            <w:tcW w:w="907" w:type="dxa"/>
          </w:tcPr>
          <w:p>
            <w:pPr>
              <w:pStyle w:val="TableParagraph"/>
              <w:ind w:left="296"/>
              <w:jc w:val="left"/>
              <w:rPr>
                <w:sz w:val="14"/>
              </w:rPr>
            </w:pPr>
            <w:r>
              <w:rPr>
                <w:color w:val="231F20"/>
                <w:sz w:val="14"/>
              </w:rPr>
              <w:t>2022.</w:t>
            </w:r>
          </w:p>
        </w:tc>
      </w:tr>
      <w:tr>
        <w:trPr>
          <w:trHeight w:val="200" w:hRule="atLeast"/>
        </w:trPr>
        <w:tc>
          <w:tcPr>
            <w:tcW w:w="5081" w:type="dxa"/>
            <w:gridSpan w:val="5"/>
          </w:tcPr>
          <w:p>
            <w:pPr>
              <w:pStyle w:val="TableParagraph"/>
              <w:ind w:left="1958" w:right="1948"/>
              <w:jc w:val="center"/>
              <w:rPr>
                <w:sz w:val="14"/>
              </w:rPr>
            </w:pPr>
            <w:r>
              <w:rPr>
                <w:color w:val="231F20"/>
                <w:sz w:val="14"/>
              </w:rPr>
              <w:t>Број пута: ДП-24</w:t>
            </w:r>
          </w:p>
        </w:tc>
      </w:tr>
      <w:tr>
        <w:trPr>
          <w:trHeight w:val="360" w:hRule="atLeast"/>
        </w:trPr>
        <w:tc>
          <w:tcPr>
            <w:tcW w:w="1453" w:type="dxa"/>
          </w:tcPr>
          <w:p>
            <w:pPr>
              <w:pStyle w:val="TableParagraph"/>
              <w:ind w:left="56" w:hanging="1"/>
              <w:jc w:val="left"/>
              <w:rPr>
                <w:sz w:val="14"/>
              </w:rPr>
            </w:pPr>
            <w:r>
              <w:rPr>
                <w:color w:val="231F20"/>
                <w:sz w:val="14"/>
              </w:rPr>
              <w:t>Мала Крсна – улаз у Пожаревац</w:t>
            </w:r>
          </w:p>
        </w:tc>
        <w:tc>
          <w:tcPr>
            <w:tcW w:w="907" w:type="dxa"/>
          </w:tcPr>
          <w:p>
            <w:pPr>
              <w:pStyle w:val="TableParagraph"/>
              <w:ind w:left="244"/>
              <w:jc w:val="left"/>
              <w:rPr>
                <w:sz w:val="14"/>
              </w:rPr>
            </w:pPr>
            <w:r>
              <w:rPr>
                <w:color w:val="231F20"/>
                <w:sz w:val="14"/>
              </w:rPr>
              <w:t>9300-9500</w:t>
            </w:r>
          </w:p>
        </w:tc>
        <w:tc>
          <w:tcPr>
            <w:tcW w:w="907" w:type="dxa"/>
          </w:tcPr>
          <w:p>
            <w:pPr>
              <w:pStyle w:val="TableParagraph"/>
              <w:ind w:right="44"/>
              <w:rPr>
                <w:sz w:val="14"/>
              </w:rPr>
            </w:pPr>
            <w:r>
              <w:rPr>
                <w:color w:val="231F20"/>
                <w:sz w:val="14"/>
              </w:rPr>
              <w:t>11000-12100</w:t>
            </w:r>
          </w:p>
        </w:tc>
        <w:tc>
          <w:tcPr>
            <w:tcW w:w="907" w:type="dxa"/>
          </w:tcPr>
          <w:p>
            <w:pPr>
              <w:pStyle w:val="TableParagraph"/>
              <w:ind w:right="43"/>
              <w:rPr>
                <w:sz w:val="14"/>
              </w:rPr>
            </w:pPr>
            <w:r>
              <w:rPr>
                <w:color w:val="231F20"/>
                <w:sz w:val="14"/>
              </w:rPr>
              <w:t>13000-15400</w:t>
            </w:r>
          </w:p>
        </w:tc>
        <w:tc>
          <w:tcPr>
            <w:tcW w:w="907" w:type="dxa"/>
          </w:tcPr>
          <w:p>
            <w:pPr>
              <w:pStyle w:val="TableParagraph"/>
              <w:ind w:right="43"/>
              <w:rPr>
                <w:sz w:val="14"/>
              </w:rPr>
            </w:pPr>
            <w:r>
              <w:rPr>
                <w:color w:val="231F20"/>
                <w:sz w:val="14"/>
              </w:rPr>
              <w:t>13900-17000</w:t>
            </w:r>
          </w:p>
        </w:tc>
      </w:tr>
      <w:tr>
        <w:trPr>
          <w:trHeight w:val="360" w:hRule="atLeast"/>
        </w:trPr>
        <w:tc>
          <w:tcPr>
            <w:tcW w:w="1453" w:type="dxa"/>
          </w:tcPr>
          <w:p>
            <w:pPr>
              <w:pStyle w:val="TableParagraph"/>
              <w:ind w:left="56"/>
              <w:jc w:val="left"/>
              <w:rPr>
                <w:sz w:val="14"/>
              </w:rPr>
            </w:pPr>
            <w:r>
              <w:rPr>
                <w:color w:val="231F20"/>
                <w:sz w:val="14"/>
              </w:rPr>
              <w:t>Пожаревац (Орљево) - Салаковац</w:t>
            </w:r>
          </w:p>
        </w:tc>
        <w:tc>
          <w:tcPr>
            <w:tcW w:w="907" w:type="dxa"/>
          </w:tcPr>
          <w:p>
            <w:pPr>
              <w:pStyle w:val="TableParagraph"/>
              <w:ind w:left="244"/>
              <w:jc w:val="left"/>
              <w:rPr>
                <w:sz w:val="14"/>
              </w:rPr>
            </w:pPr>
            <w:r>
              <w:rPr>
                <w:color w:val="231F20"/>
                <w:sz w:val="14"/>
              </w:rPr>
              <w:t>3100-3200</w:t>
            </w:r>
          </w:p>
        </w:tc>
        <w:tc>
          <w:tcPr>
            <w:tcW w:w="907" w:type="dxa"/>
          </w:tcPr>
          <w:p>
            <w:pPr>
              <w:pStyle w:val="TableParagraph"/>
              <w:ind w:right="44"/>
              <w:rPr>
                <w:sz w:val="14"/>
              </w:rPr>
            </w:pPr>
            <w:r>
              <w:rPr>
                <w:color w:val="231F20"/>
                <w:sz w:val="14"/>
              </w:rPr>
              <w:t>3700-4100</w:t>
            </w:r>
          </w:p>
        </w:tc>
        <w:tc>
          <w:tcPr>
            <w:tcW w:w="907" w:type="dxa"/>
          </w:tcPr>
          <w:p>
            <w:pPr>
              <w:pStyle w:val="TableParagraph"/>
              <w:ind w:right="43"/>
              <w:rPr>
                <w:sz w:val="14"/>
              </w:rPr>
            </w:pPr>
            <w:r>
              <w:rPr>
                <w:color w:val="231F20"/>
                <w:sz w:val="14"/>
              </w:rPr>
              <w:t>4400-5200</w:t>
            </w:r>
          </w:p>
        </w:tc>
        <w:tc>
          <w:tcPr>
            <w:tcW w:w="907" w:type="dxa"/>
          </w:tcPr>
          <w:p>
            <w:pPr>
              <w:pStyle w:val="TableParagraph"/>
              <w:ind w:right="43"/>
              <w:rPr>
                <w:sz w:val="14"/>
              </w:rPr>
            </w:pPr>
            <w:r>
              <w:rPr>
                <w:color w:val="231F20"/>
                <w:sz w:val="14"/>
              </w:rPr>
              <w:t>4800-5700</w:t>
            </w:r>
          </w:p>
        </w:tc>
      </w:tr>
      <w:tr>
        <w:trPr>
          <w:trHeight w:val="200" w:hRule="atLeast"/>
        </w:trPr>
        <w:tc>
          <w:tcPr>
            <w:tcW w:w="5081" w:type="dxa"/>
            <w:gridSpan w:val="5"/>
          </w:tcPr>
          <w:p>
            <w:pPr>
              <w:pStyle w:val="TableParagraph"/>
              <w:ind w:left="1958" w:right="1948"/>
              <w:jc w:val="center"/>
              <w:rPr>
                <w:sz w:val="14"/>
              </w:rPr>
            </w:pPr>
            <w:r>
              <w:rPr>
                <w:color w:val="231F20"/>
                <w:sz w:val="14"/>
              </w:rPr>
              <w:t>Број пута: ДП-25.1</w:t>
            </w:r>
          </w:p>
        </w:tc>
      </w:tr>
      <w:tr>
        <w:trPr>
          <w:trHeight w:val="200" w:hRule="atLeast"/>
        </w:trPr>
        <w:tc>
          <w:tcPr>
            <w:tcW w:w="1453" w:type="dxa"/>
          </w:tcPr>
          <w:p>
            <w:pPr>
              <w:pStyle w:val="TableParagraph"/>
              <w:ind w:left="56"/>
              <w:jc w:val="left"/>
              <w:rPr>
                <w:sz w:val="14"/>
              </w:rPr>
            </w:pPr>
            <w:r>
              <w:rPr>
                <w:color w:val="231F20"/>
                <w:sz w:val="14"/>
              </w:rPr>
              <w:t>Тополовик – Берање</w:t>
            </w:r>
          </w:p>
        </w:tc>
        <w:tc>
          <w:tcPr>
            <w:tcW w:w="907" w:type="dxa"/>
          </w:tcPr>
          <w:p>
            <w:pPr>
              <w:pStyle w:val="TableParagraph"/>
              <w:ind w:left="244"/>
              <w:jc w:val="left"/>
              <w:rPr>
                <w:sz w:val="14"/>
              </w:rPr>
            </w:pPr>
            <w:r>
              <w:rPr>
                <w:color w:val="231F20"/>
                <w:sz w:val="14"/>
              </w:rPr>
              <w:t>3000-3100</w:t>
            </w:r>
          </w:p>
        </w:tc>
        <w:tc>
          <w:tcPr>
            <w:tcW w:w="907" w:type="dxa"/>
          </w:tcPr>
          <w:p>
            <w:pPr>
              <w:pStyle w:val="TableParagraph"/>
              <w:ind w:right="44"/>
              <w:rPr>
                <w:sz w:val="14"/>
              </w:rPr>
            </w:pPr>
            <w:r>
              <w:rPr>
                <w:color w:val="231F20"/>
                <w:sz w:val="14"/>
              </w:rPr>
              <w:t>3200-3600</w:t>
            </w:r>
          </w:p>
        </w:tc>
        <w:tc>
          <w:tcPr>
            <w:tcW w:w="907" w:type="dxa"/>
          </w:tcPr>
          <w:p>
            <w:pPr>
              <w:pStyle w:val="TableParagraph"/>
              <w:ind w:right="44"/>
              <w:rPr>
                <w:sz w:val="14"/>
              </w:rPr>
            </w:pPr>
            <w:r>
              <w:rPr>
                <w:color w:val="231F20"/>
                <w:sz w:val="14"/>
              </w:rPr>
              <w:t>3400-4300</w:t>
            </w:r>
          </w:p>
        </w:tc>
        <w:tc>
          <w:tcPr>
            <w:tcW w:w="907" w:type="dxa"/>
          </w:tcPr>
          <w:p>
            <w:pPr>
              <w:pStyle w:val="TableParagraph"/>
              <w:ind w:right="44"/>
              <w:rPr>
                <w:sz w:val="14"/>
              </w:rPr>
            </w:pPr>
            <w:r>
              <w:rPr>
                <w:color w:val="231F20"/>
                <w:sz w:val="14"/>
              </w:rPr>
              <w:t>3500-4600</w:t>
            </w:r>
          </w:p>
        </w:tc>
      </w:tr>
      <w:tr>
        <w:trPr>
          <w:trHeight w:val="200" w:hRule="atLeast"/>
        </w:trPr>
        <w:tc>
          <w:tcPr>
            <w:tcW w:w="1453" w:type="dxa"/>
          </w:tcPr>
          <w:p>
            <w:pPr>
              <w:pStyle w:val="TableParagraph"/>
              <w:ind w:left="56"/>
              <w:jc w:val="left"/>
              <w:rPr>
                <w:sz w:val="14"/>
              </w:rPr>
            </w:pPr>
            <w:r>
              <w:rPr>
                <w:color w:val="231F20"/>
                <w:sz w:val="14"/>
              </w:rPr>
              <w:t>Берање – Братинац</w:t>
            </w:r>
          </w:p>
        </w:tc>
        <w:tc>
          <w:tcPr>
            <w:tcW w:w="907" w:type="dxa"/>
          </w:tcPr>
          <w:p>
            <w:pPr>
              <w:pStyle w:val="TableParagraph"/>
              <w:ind w:left="244"/>
              <w:jc w:val="left"/>
              <w:rPr>
                <w:sz w:val="14"/>
              </w:rPr>
            </w:pPr>
            <w:r>
              <w:rPr>
                <w:color w:val="231F20"/>
                <w:sz w:val="14"/>
              </w:rPr>
              <w:t>3200-3330</w:t>
            </w:r>
          </w:p>
        </w:tc>
        <w:tc>
          <w:tcPr>
            <w:tcW w:w="907" w:type="dxa"/>
          </w:tcPr>
          <w:p>
            <w:pPr>
              <w:pStyle w:val="TableParagraph"/>
              <w:ind w:right="44"/>
              <w:rPr>
                <w:sz w:val="14"/>
              </w:rPr>
            </w:pPr>
            <w:r>
              <w:rPr>
                <w:color w:val="231F20"/>
                <w:sz w:val="14"/>
              </w:rPr>
              <w:t>3470-3900</w:t>
            </w:r>
          </w:p>
        </w:tc>
        <w:tc>
          <w:tcPr>
            <w:tcW w:w="907" w:type="dxa"/>
          </w:tcPr>
          <w:p>
            <w:pPr>
              <w:pStyle w:val="TableParagraph"/>
              <w:ind w:right="44"/>
              <w:rPr>
                <w:sz w:val="14"/>
              </w:rPr>
            </w:pPr>
            <w:r>
              <w:rPr>
                <w:color w:val="231F20"/>
                <w:sz w:val="14"/>
              </w:rPr>
              <w:t>3700-4600</w:t>
            </w:r>
          </w:p>
        </w:tc>
        <w:tc>
          <w:tcPr>
            <w:tcW w:w="907" w:type="dxa"/>
          </w:tcPr>
          <w:p>
            <w:pPr>
              <w:pStyle w:val="TableParagraph"/>
              <w:ind w:right="44"/>
              <w:rPr>
                <w:sz w:val="14"/>
              </w:rPr>
            </w:pPr>
            <w:r>
              <w:rPr>
                <w:color w:val="231F20"/>
                <w:sz w:val="14"/>
              </w:rPr>
              <w:t>3800-4900</w:t>
            </w:r>
          </w:p>
        </w:tc>
      </w:tr>
      <w:tr>
        <w:trPr>
          <w:trHeight w:val="360" w:hRule="atLeast"/>
        </w:trPr>
        <w:tc>
          <w:tcPr>
            <w:tcW w:w="1453" w:type="dxa"/>
          </w:tcPr>
          <w:p>
            <w:pPr>
              <w:pStyle w:val="TableParagraph"/>
              <w:ind w:left="56" w:hanging="1"/>
              <w:jc w:val="left"/>
              <w:rPr>
                <w:sz w:val="14"/>
              </w:rPr>
            </w:pPr>
            <w:r>
              <w:rPr>
                <w:color w:val="231F20"/>
                <w:sz w:val="14"/>
              </w:rPr>
              <w:t>За Рам (Братинац) – Пожаревац 1</w:t>
            </w:r>
          </w:p>
        </w:tc>
        <w:tc>
          <w:tcPr>
            <w:tcW w:w="907" w:type="dxa"/>
          </w:tcPr>
          <w:p>
            <w:pPr>
              <w:pStyle w:val="TableParagraph"/>
              <w:ind w:left="244"/>
              <w:jc w:val="left"/>
              <w:rPr>
                <w:sz w:val="14"/>
              </w:rPr>
            </w:pPr>
            <w:r>
              <w:rPr>
                <w:color w:val="231F20"/>
                <w:sz w:val="14"/>
              </w:rPr>
              <w:t>6500-6620</w:t>
            </w:r>
          </w:p>
        </w:tc>
        <w:tc>
          <w:tcPr>
            <w:tcW w:w="907" w:type="dxa"/>
          </w:tcPr>
          <w:p>
            <w:pPr>
              <w:pStyle w:val="TableParagraph"/>
              <w:ind w:right="44"/>
              <w:rPr>
                <w:sz w:val="14"/>
              </w:rPr>
            </w:pPr>
            <w:r>
              <w:rPr>
                <w:color w:val="231F20"/>
                <w:sz w:val="14"/>
              </w:rPr>
              <w:t>7700-8000</w:t>
            </w:r>
          </w:p>
        </w:tc>
        <w:tc>
          <w:tcPr>
            <w:tcW w:w="907" w:type="dxa"/>
          </w:tcPr>
          <w:p>
            <w:pPr>
              <w:pStyle w:val="TableParagraph"/>
              <w:ind w:right="44"/>
              <w:rPr>
                <w:sz w:val="14"/>
              </w:rPr>
            </w:pPr>
            <w:r>
              <w:rPr>
                <w:color w:val="231F20"/>
                <w:sz w:val="14"/>
              </w:rPr>
              <w:t>9200-9800</w:t>
            </w:r>
          </w:p>
        </w:tc>
        <w:tc>
          <w:tcPr>
            <w:tcW w:w="907" w:type="dxa"/>
          </w:tcPr>
          <w:p>
            <w:pPr>
              <w:pStyle w:val="TableParagraph"/>
              <w:ind w:right="44"/>
              <w:rPr>
                <w:sz w:val="14"/>
              </w:rPr>
            </w:pPr>
            <w:r>
              <w:rPr>
                <w:color w:val="231F20"/>
                <w:sz w:val="14"/>
              </w:rPr>
              <w:t>9800-10600</w:t>
            </w:r>
          </w:p>
        </w:tc>
      </w:tr>
    </w:tbl>
    <w:p>
      <w:pPr>
        <w:spacing w:after="0"/>
        <w:rPr>
          <w:sz w:val="14"/>
        </w:rPr>
        <w:sectPr>
          <w:pgSz w:w="12480" w:h="15690"/>
          <w:pgMar w:top="120" w:bottom="280" w:left="680" w:right="720"/>
          <w:cols w:num="2" w:equalWidth="0">
            <w:col w:w="5559" w:space="40"/>
            <w:col w:w="5481"/>
          </w:cols>
        </w:sectPr>
      </w:pPr>
    </w:p>
    <w:p>
      <w:pPr>
        <w:pStyle w:val="BodyText"/>
        <w:spacing w:before="7"/>
        <w:ind w:left="0"/>
        <w:jc w:val="left"/>
        <w:rPr>
          <w:sz w:val="9"/>
        </w:rPr>
      </w:pPr>
      <w:r>
        <w:rPr/>
        <w:pict>
          <v:line style="position:absolute;mso-position-horizontal-relative:page;mso-position-vertical-relative:page;z-index:2680" from="304.724396pt,11.942451pt" to="304.724396pt,748.950451pt" stroked="true" strokeweight=".6pt" strokecolor="#231f20">
            <v:stroke dashstyle="solid"/>
            <w10:wrap type="none"/>
          </v:line>
        </w:pict>
      </w: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53"/>
        <w:gridCol w:w="907"/>
        <w:gridCol w:w="907"/>
        <w:gridCol w:w="907"/>
        <w:gridCol w:w="907"/>
      </w:tblGrid>
      <w:tr>
        <w:trPr>
          <w:trHeight w:val="200" w:hRule="atLeast"/>
        </w:trPr>
        <w:tc>
          <w:tcPr>
            <w:tcW w:w="5081" w:type="dxa"/>
            <w:gridSpan w:val="5"/>
          </w:tcPr>
          <w:p>
            <w:pPr>
              <w:pStyle w:val="TableParagraph"/>
              <w:ind w:left="1958" w:right="1948"/>
              <w:jc w:val="center"/>
              <w:rPr>
                <w:sz w:val="14"/>
              </w:rPr>
            </w:pPr>
            <w:r>
              <w:rPr>
                <w:color w:val="231F20"/>
                <w:sz w:val="14"/>
              </w:rPr>
              <w:t>Број пута: ДП-103</w:t>
            </w:r>
          </w:p>
        </w:tc>
      </w:tr>
      <w:tr>
        <w:trPr>
          <w:trHeight w:val="360" w:hRule="atLeast"/>
        </w:trPr>
        <w:tc>
          <w:tcPr>
            <w:tcW w:w="1453" w:type="dxa"/>
          </w:tcPr>
          <w:p>
            <w:pPr>
              <w:pStyle w:val="TableParagraph"/>
              <w:ind w:left="56"/>
              <w:jc w:val="left"/>
              <w:rPr>
                <w:sz w:val="14"/>
              </w:rPr>
            </w:pPr>
            <w:r>
              <w:rPr>
                <w:color w:val="231F20"/>
                <w:sz w:val="14"/>
              </w:rPr>
              <w:t>Костолац – Пожаре- вац 1</w:t>
            </w:r>
          </w:p>
        </w:tc>
        <w:tc>
          <w:tcPr>
            <w:tcW w:w="907" w:type="dxa"/>
          </w:tcPr>
          <w:p>
            <w:pPr>
              <w:pStyle w:val="TableParagraph"/>
              <w:ind w:right="44"/>
              <w:rPr>
                <w:sz w:val="14"/>
              </w:rPr>
            </w:pPr>
            <w:r>
              <w:rPr>
                <w:color w:val="231F20"/>
                <w:sz w:val="14"/>
              </w:rPr>
              <w:t>3000-3170</w:t>
            </w:r>
          </w:p>
        </w:tc>
        <w:tc>
          <w:tcPr>
            <w:tcW w:w="907" w:type="dxa"/>
          </w:tcPr>
          <w:p>
            <w:pPr>
              <w:pStyle w:val="TableParagraph"/>
              <w:ind w:right="44"/>
              <w:rPr>
                <w:sz w:val="14"/>
              </w:rPr>
            </w:pPr>
            <w:r>
              <w:rPr>
                <w:color w:val="231F20"/>
                <w:sz w:val="14"/>
              </w:rPr>
              <w:t>3600-4600</w:t>
            </w:r>
          </w:p>
        </w:tc>
        <w:tc>
          <w:tcPr>
            <w:tcW w:w="907" w:type="dxa"/>
          </w:tcPr>
          <w:p>
            <w:pPr>
              <w:pStyle w:val="TableParagraph"/>
              <w:ind w:right="44"/>
              <w:rPr>
                <w:sz w:val="14"/>
              </w:rPr>
            </w:pPr>
            <w:r>
              <w:rPr>
                <w:color w:val="231F20"/>
                <w:sz w:val="14"/>
              </w:rPr>
              <w:t>4300-6700</w:t>
            </w:r>
          </w:p>
        </w:tc>
        <w:tc>
          <w:tcPr>
            <w:tcW w:w="907" w:type="dxa"/>
          </w:tcPr>
          <w:p>
            <w:pPr>
              <w:pStyle w:val="TableParagraph"/>
              <w:ind w:right="44"/>
              <w:rPr>
                <w:sz w:val="14"/>
              </w:rPr>
            </w:pPr>
            <w:r>
              <w:rPr>
                <w:color w:val="231F20"/>
                <w:sz w:val="14"/>
              </w:rPr>
              <w:t>4500-7800</w:t>
            </w:r>
          </w:p>
        </w:tc>
      </w:tr>
      <w:tr>
        <w:trPr>
          <w:trHeight w:val="360" w:hRule="atLeast"/>
        </w:trPr>
        <w:tc>
          <w:tcPr>
            <w:tcW w:w="1453" w:type="dxa"/>
          </w:tcPr>
          <w:p>
            <w:pPr>
              <w:pStyle w:val="TableParagraph"/>
              <w:ind w:left="56" w:right="39" w:hanging="1"/>
              <w:jc w:val="left"/>
              <w:rPr>
                <w:sz w:val="14"/>
              </w:rPr>
            </w:pPr>
            <w:r>
              <w:rPr>
                <w:color w:val="231F20"/>
                <w:sz w:val="14"/>
              </w:rPr>
              <w:t>Пожаревац - Алексан- дровац</w:t>
            </w:r>
          </w:p>
        </w:tc>
        <w:tc>
          <w:tcPr>
            <w:tcW w:w="907" w:type="dxa"/>
          </w:tcPr>
          <w:p>
            <w:pPr>
              <w:pStyle w:val="TableParagraph"/>
              <w:ind w:right="44"/>
              <w:rPr>
                <w:sz w:val="14"/>
              </w:rPr>
            </w:pPr>
            <w:r>
              <w:rPr>
                <w:color w:val="231F20"/>
                <w:sz w:val="14"/>
              </w:rPr>
              <w:t>3700-3800</w:t>
            </w:r>
          </w:p>
        </w:tc>
        <w:tc>
          <w:tcPr>
            <w:tcW w:w="907" w:type="dxa"/>
          </w:tcPr>
          <w:p>
            <w:pPr>
              <w:pStyle w:val="TableParagraph"/>
              <w:ind w:right="44"/>
              <w:rPr>
                <w:sz w:val="14"/>
              </w:rPr>
            </w:pPr>
            <w:r>
              <w:rPr>
                <w:color w:val="231F20"/>
                <w:sz w:val="14"/>
              </w:rPr>
              <w:t>4330-4410</w:t>
            </w:r>
          </w:p>
        </w:tc>
        <w:tc>
          <w:tcPr>
            <w:tcW w:w="907" w:type="dxa"/>
          </w:tcPr>
          <w:p>
            <w:pPr>
              <w:pStyle w:val="TableParagraph"/>
              <w:ind w:right="44"/>
              <w:rPr>
                <w:sz w:val="14"/>
              </w:rPr>
            </w:pPr>
            <w:r>
              <w:rPr>
                <w:color w:val="231F20"/>
                <w:sz w:val="14"/>
              </w:rPr>
              <w:t>5000-5200</w:t>
            </w:r>
          </w:p>
        </w:tc>
        <w:tc>
          <w:tcPr>
            <w:tcW w:w="907" w:type="dxa"/>
          </w:tcPr>
          <w:p>
            <w:pPr>
              <w:pStyle w:val="TableParagraph"/>
              <w:ind w:right="44"/>
              <w:rPr>
                <w:sz w:val="14"/>
              </w:rPr>
            </w:pPr>
            <w:r>
              <w:rPr>
                <w:color w:val="231F20"/>
                <w:sz w:val="14"/>
              </w:rPr>
              <w:t>5360-5600</w:t>
            </w:r>
          </w:p>
        </w:tc>
      </w:tr>
      <w:tr>
        <w:trPr>
          <w:trHeight w:val="200" w:hRule="atLeast"/>
        </w:trPr>
        <w:tc>
          <w:tcPr>
            <w:tcW w:w="5081" w:type="dxa"/>
            <w:gridSpan w:val="5"/>
          </w:tcPr>
          <w:p>
            <w:pPr>
              <w:pStyle w:val="TableParagraph"/>
              <w:ind w:left="1958" w:right="1948"/>
              <w:jc w:val="center"/>
              <w:rPr>
                <w:sz w:val="14"/>
              </w:rPr>
            </w:pPr>
            <w:r>
              <w:rPr>
                <w:color w:val="231F20"/>
                <w:sz w:val="14"/>
              </w:rPr>
              <w:t>Број пута: ДП-105</w:t>
            </w:r>
          </w:p>
        </w:tc>
      </w:tr>
      <w:tr>
        <w:trPr>
          <w:trHeight w:val="360" w:hRule="atLeast"/>
        </w:trPr>
        <w:tc>
          <w:tcPr>
            <w:tcW w:w="1453" w:type="dxa"/>
          </w:tcPr>
          <w:p>
            <w:pPr>
              <w:pStyle w:val="TableParagraph"/>
              <w:ind w:left="56"/>
              <w:jc w:val="left"/>
              <w:rPr>
                <w:sz w:val="14"/>
              </w:rPr>
            </w:pPr>
            <w:r>
              <w:rPr>
                <w:color w:val="231F20"/>
                <w:sz w:val="14"/>
              </w:rPr>
              <w:t>Рам – за Рам (Брати- нац)</w:t>
            </w:r>
          </w:p>
        </w:tc>
        <w:tc>
          <w:tcPr>
            <w:tcW w:w="907" w:type="dxa"/>
          </w:tcPr>
          <w:p>
            <w:pPr>
              <w:pStyle w:val="TableParagraph"/>
              <w:ind w:right="44"/>
              <w:rPr>
                <w:sz w:val="14"/>
              </w:rPr>
            </w:pPr>
            <w:r>
              <w:rPr>
                <w:color w:val="231F20"/>
                <w:sz w:val="14"/>
              </w:rPr>
              <w:t>2000-2100</w:t>
            </w:r>
          </w:p>
        </w:tc>
        <w:tc>
          <w:tcPr>
            <w:tcW w:w="907" w:type="dxa"/>
          </w:tcPr>
          <w:p>
            <w:pPr>
              <w:pStyle w:val="TableParagraph"/>
              <w:ind w:right="44"/>
              <w:rPr>
                <w:sz w:val="14"/>
              </w:rPr>
            </w:pPr>
            <w:r>
              <w:rPr>
                <w:color w:val="231F20"/>
                <w:sz w:val="14"/>
              </w:rPr>
              <w:t>2270-2400</w:t>
            </w:r>
          </w:p>
        </w:tc>
        <w:tc>
          <w:tcPr>
            <w:tcW w:w="907" w:type="dxa"/>
          </w:tcPr>
          <w:p>
            <w:pPr>
              <w:pStyle w:val="TableParagraph"/>
              <w:ind w:right="44"/>
              <w:rPr>
                <w:sz w:val="14"/>
              </w:rPr>
            </w:pPr>
            <w:r>
              <w:rPr>
                <w:color w:val="231F20"/>
                <w:sz w:val="14"/>
              </w:rPr>
              <w:t>2570-2850</w:t>
            </w:r>
          </w:p>
        </w:tc>
        <w:tc>
          <w:tcPr>
            <w:tcW w:w="907" w:type="dxa"/>
          </w:tcPr>
          <w:p>
            <w:pPr>
              <w:pStyle w:val="TableParagraph"/>
              <w:ind w:right="44"/>
              <w:rPr>
                <w:sz w:val="14"/>
              </w:rPr>
            </w:pPr>
            <w:r>
              <w:rPr>
                <w:color w:val="231F20"/>
                <w:sz w:val="14"/>
              </w:rPr>
              <w:t>2700-3000</w:t>
            </w:r>
          </w:p>
        </w:tc>
      </w:tr>
      <w:tr>
        <w:trPr>
          <w:trHeight w:val="200" w:hRule="atLeast"/>
        </w:trPr>
        <w:tc>
          <w:tcPr>
            <w:tcW w:w="1453" w:type="dxa"/>
          </w:tcPr>
          <w:p>
            <w:pPr>
              <w:pStyle w:val="TableParagraph"/>
              <w:ind w:left="56"/>
              <w:jc w:val="left"/>
              <w:rPr>
                <w:sz w:val="14"/>
              </w:rPr>
            </w:pPr>
            <w:r>
              <w:rPr>
                <w:color w:val="231F20"/>
                <w:sz w:val="14"/>
              </w:rPr>
              <w:t>Братинац – Салаковац</w:t>
            </w:r>
          </w:p>
        </w:tc>
        <w:tc>
          <w:tcPr>
            <w:tcW w:w="907" w:type="dxa"/>
          </w:tcPr>
          <w:p>
            <w:pPr>
              <w:pStyle w:val="TableParagraph"/>
              <w:ind w:right="44"/>
              <w:rPr>
                <w:sz w:val="14"/>
              </w:rPr>
            </w:pPr>
            <w:r>
              <w:rPr>
                <w:color w:val="231F20"/>
                <w:sz w:val="14"/>
              </w:rPr>
              <w:t>4300-4400</w:t>
            </w:r>
          </w:p>
        </w:tc>
        <w:tc>
          <w:tcPr>
            <w:tcW w:w="907" w:type="dxa"/>
          </w:tcPr>
          <w:p>
            <w:pPr>
              <w:pStyle w:val="TableParagraph"/>
              <w:ind w:right="44"/>
              <w:rPr>
                <w:sz w:val="14"/>
              </w:rPr>
            </w:pPr>
            <w:r>
              <w:rPr>
                <w:color w:val="231F20"/>
                <w:sz w:val="14"/>
              </w:rPr>
              <w:t>5100-5200</w:t>
            </w:r>
          </w:p>
        </w:tc>
        <w:tc>
          <w:tcPr>
            <w:tcW w:w="907" w:type="dxa"/>
          </w:tcPr>
          <w:p>
            <w:pPr>
              <w:pStyle w:val="TableParagraph"/>
              <w:ind w:right="44"/>
              <w:rPr>
                <w:sz w:val="14"/>
              </w:rPr>
            </w:pPr>
            <w:r>
              <w:rPr>
                <w:color w:val="231F20"/>
                <w:sz w:val="14"/>
              </w:rPr>
              <w:t>6000-6100</w:t>
            </w:r>
          </w:p>
        </w:tc>
        <w:tc>
          <w:tcPr>
            <w:tcW w:w="907" w:type="dxa"/>
          </w:tcPr>
          <w:p>
            <w:pPr>
              <w:pStyle w:val="TableParagraph"/>
              <w:ind w:right="44"/>
              <w:rPr>
                <w:sz w:val="14"/>
              </w:rPr>
            </w:pPr>
            <w:r>
              <w:rPr>
                <w:color w:val="231F20"/>
                <w:sz w:val="14"/>
              </w:rPr>
              <w:t>6400-6500</w:t>
            </w:r>
          </w:p>
        </w:tc>
      </w:tr>
    </w:tbl>
    <w:p>
      <w:pPr>
        <w:pStyle w:val="BodyText"/>
        <w:spacing w:line="232" w:lineRule="auto" w:before="37"/>
        <w:ind w:right="39" w:firstLine="396"/>
      </w:pPr>
      <w:r>
        <w:rPr>
          <w:color w:val="231F20"/>
        </w:rPr>
        <w:t>Приказане процене саобраћајног оптерећења државних</w:t>
      </w:r>
      <w:r>
        <w:rPr>
          <w:color w:val="231F20"/>
          <w:spacing w:val="-24"/>
        </w:rPr>
        <w:t> </w:t>
      </w:r>
      <w:r>
        <w:rPr>
          <w:color w:val="231F20"/>
        </w:rPr>
        <w:t>путе- ва</w:t>
      </w:r>
      <w:r>
        <w:rPr>
          <w:color w:val="231F20"/>
          <w:spacing w:val="-5"/>
        </w:rPr>
        <w:t> </w:t>
      </w:r>
      <w:r>
        <w:rPr>
          <w:color w:val="231F20"/>
        </w:rPr>
        <w:t>су</w:t>
      </w:r>
      <w:r>
        <w:rPr>
          <w:color w:val="231F20"/>
          <w:spacing w:val="-5"/>
        </w:rPr>
        <w:t> </w:t>
      </w:r>
      <w:r>
        <w:rPr>
          <w:color w:val="231F20"/>
        </w:rPr>
        <w:t>оријентационе</w:t>
      </w:r>
      <w:r>
        <w:rPr>
          <w:color w:val="231F20"/>
          <w:spacing w:val="-5"/>
        </w:rPr>
        <w:t> </w:t>
      </w:r>
      <w:r>
        <w:rPr>
          <w:color w:val="231F20"/>
        </w:rPr>
        <w:t>и</w:t>
      </w:r>
      <w:r>
        <w:rPr>
          <w:color w:val="231F20"/>
          <w:spacing w:val="-5"/>
        </w:rPr>
        <w:t> </w:t>
      </w:r>
      <w:r>
        <w:rPr>
          <w:color w:val="231F20"/>
        </w:rPr>
        <w:t>могу</w:t>
      </w:r>
      <w:r>
        <w:rPr>
          <w:color w:val="231F20"/>
          <w:spacing w:val="-5"/>
        </w:rPr>
        <w:t> </w:t>
      </w:r>
      <w:r>
        <w:rPr>
          <w:color w:val="231F20"/>
        </w:rPr>
        <w:t>се</w:t>
      </w:r>
      <w:r>
        <w:rPr>
          <w:color w:val="231F20"/>
          <w:spacing w:val="-5"/>
        </w:rPr>
        <w:t> </w:t>
      </w:r>
      <w:r>
        <w:rPr>
          <w:color w:val="231F20"/>
        </w:rPr>
        <w:t>користити</w:t>
      </w:r>
      <w:r>
        <w:rPr>
          <w:color w:val="231F20"/>
          <w:spacing w:val="-5"/>
        </w:rPr>
        <w:t> </w:t>
      </w:r>
      <w:r>
        <w:rPr>
          <w:color w:val="231F20"/>
        </w:rPr>
        <w:t>само</w:t>
      </w:r>
      <w:r>
        <w:rPr>
          <w:color w:val="231F20"/>
          <w:spacing w:val="-5"/>
        </w:rPr>
        <w:t> </w:t>
      </w:r>
      <w:r>
        <w:rPr>
          <w:color w:val="231F20"/>
        </w:rPr>
        <w:t>као</w:t>
      </w:r>
      <w:r>
        <w:rPr>
          <w:color w:val="231F20"/>
          <w:spacing w:val="-5"/>
        </w:rPr>
        <w:t> </w:t>
      </w:r>
      <w:r>
        <w:rPr>
          <w:color w:val="231F20"/>
        </w:rPr>
        <w:t>индикација</w:t>
      </w:r>
      <w:r>
        <w:rPr>
          <w:color w:val="231F20"/>
          <w:spacing w:val="-5"/>
        </w:rPr>
        <w:t> </w:t>
      </w:r>
      <w:r>
        <w:rPr>
          <w:color w:val="231F20"/>
        </w:rPr>
        <w:t>зна- чаја појединих путних праваца и грубе процене одређивања прио- ритетних активности и интервенција на</w:t>
      </w:r>
      <w:r>
        <w:rPr>
          <w:color w:val="231F20"/>
          <w:spacing w:val="-6"/>
        </w:rPr>
        <w:t> </w:t>
      </w:r>
      <w:r>
        <w:rPr>
          <w:color w:val="231F20"/>
        </w:rPr>
        <w:t>мрежи.</w:t>
      </w:r>
    </w:p>
    <w:p>
      <w:pPr>
        <w:pStyle w:val="BodyText"/>
        <w:spacing w:line="232" w:lineRule="auto"/>
        <w:ind w:left="169" w:right="40" w:firstLine="397"/>
      </w:pPr>
      <w:r>
        <w:rPr>
          <w:color w:val="231F20"/>
        </w:rPr>
        <w:t>Под претпоставком да ће се раст саобраћаја одвијати према проценама приказаним у претходној табели, на појединим деони- цама државних путева (посебно II реда) доћи ће до битног смање- ња нивоа саобраћајне услуге.</w:t>
      </w:r>
    </w:p>
    <w:p>
      <w:pPr>
        <w:pStyle w:val="BodyText"/>
        <w:spacing w:line="232" w:lineRule="auto"/>
        <w:ind w:right="39" w:firstLine="396"/>
      </w:pPr>
      <w:r>
        <w:rPr>
          <w:color w:val="231F20"/>
          <w:spacing w:val="-4"/>
        </w:rPr>
        <w:t>Како </w:t>
      </w:r>
      <w:r>
        <w:rPr>
          <w:color w:val="231F20"/>
        </w:rPr>
        <w:t>се у наредном периоду очекује и даље високо учешће теретних возила, то ће услови одвијања саобраћаја бити додатно отежани. Адекватно решење за растерећење појединих деоница државних путева је изналажење алтернативних путних праваца, као и повећање учешћа железничког и других видова саобраћаја  у превозу</w:t>
      </w:r>
      <w:r>
        <w:rPr>
          <w:color w:val="231F20"/>
          <w:spacing w:val="-1"/>
        </w:rPr>
        <w:t> </w:t>
      </w:r>
      <w:r>
        <w:rPr>
          <w:color w:val="231F20"/>
        </w:rPr>
        <w:t>робе.</w:t>
      </w:r>
    </w:p>
    <w:p>
      <w:pPr>
        <w:pStyle w:val="BodyText"/>
        <w:spacing w:line="429" w:lineRule="auto" w:before="164"/>
        <w:ind w:left="2218" w:right="1253" w:hanging="814"/>
        <w:jc w:val="left"/>
      </w:pPr>
      <w:r>
        <w:rPr>
          <w:color w:val="231F20"/>
        </w:rPr>
        <w:t>План саобраћајне инфраструктуре Путна мрежа</w:t>
      </w:r>
    </w:p>
    <w:p>
      <w:pPr>
        <w:pStyle w:val="BodyText"/>
        <w:spacing w:line="232" w:lineRule="auto" w:before="37"/>
        <w:ind w:left="171" w:right="38" w:firstLine="396"/>
      </w:pPr>
      <w:r>
        <w:rPr>
          <w:color w:val="231F20"/>
        </w:rPr>
        <w:t>План развоја путне мреже Планском подручју заснован је на поставкама Просторног плана Републике Србије, односно на пла- нираном дугорочном развоју мреже државних путева Република Србије као и на поставкама развоја привредних и других активно- сти подручја. При томе, концепт примарне путне мреже заснован је на повећању саобраћајне приступачности свим привредним, ту- ристичким, развојним и насељским центрима чиме се омогућава проходност подручја у свим правцима.</w:t>
      </w:r>
    </w:p>
    <w:p>
      <w:pPr>
        <w:pStyle w:val="BodyText"/>
        <w:spacing w:line="232" w:lineRule="auto"/>
        <w:ind w:left="172" w:right="38" w:firstLine="396"/>
      </w:pPr>
      <w:r>
        <w:rPr>
          <w:color w:val="231F20"/>
        </w:rPr>
        <w:t>Планираном путном мрежом потребно је остварити и конти- нуитет</w:t>
      </w:r>
      <w:r>
        <w:rPr>
          <w:color w:val="231F20"/>
          <w:spacing w:val="-10"/>
        </w:rPr>
        <w:t> </w:t>
      </w:r>
      <w:r>
        <w:rPr>
          <w:color w:val="231F20"/>
        </w:rPr>
        <w:t>у</w:t>
      </w:r>
      <w:r>
        <w:rPr>
          <w:color w:val="231F20"/>
          <w:spacing w:val="-10"/>
        </w:rPr>
        <w:t> </w:t>
      </w:r>
      <w:r>
        <w:rPr>
          <w:color w:val="231F20"/>
        </w:rPr>
        <w:t>кретању</w:t>
      </w:r>
      <w:r>
        <w:rPr>
          <w:color w:val="231F20"/>
          <w:spacing w:val="-10"/>
        </w:rPr>
        <w:t> </w:t>
      </w:r>
      <w:r>
        <w:rPr>
          <w:color w:val="231F20"/>
        </w:rPr>
        <w:t>мрежом</w:t>
      </w:r>
      <w:r>
        <w:rPr>
          <w:color w:val="231F20"/>
          <w:spacing w:val="-10"/>
        </w:rPr>
        <w:t> </w:t>
      </w:r>
      <w:r>
        <w:rPr>
          <w:color w:val="231F20"/>
        </w:rPr>
        <w:t>путева</w:t>
      </w:r>
      <w:r>
        <w:rPr>
          <w:color w:val="231F20"/>
          <w:spacing w:val="-10"/>
        </w:rPr>
        <w:t> </w:t>
      </w:r>
      <w:r>
        <w:rPr>
          <w:color w:val="231F20"/>
        </w:rPr>
        <w:t>унутар</w:t>
      </w:r>
      <w:r>
        <w:rPr>
          <w:color w:val="231F20"/>
          <w:spacing w:val="-10"/>
        </w:rPr>
        <w:t> </w:t>
      </w:r>
      <w:r>
        <w:rPr>
          <w:color w:val="231F20"/>
        </w:rPr>
        <w:t>подручја,</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континуи- тет у транзитним везама са суседним општинама и</w:t>
      </w:r>
      <w:r>
        <w:rPr>
          <w:color w:val="231F20"/>
          <w:spacing w:val="-10"/>
        </w:rPr>
        <w:t> </w:t>
      </w:r>
      <w:r>
        <w:rPr>
          <w:color w:val="231F20"/>
        </w:rPr>
        <w:t>шире.</w:t>
      </w:r>
    </w:p>
    <w:p>
      <w:pPr>
        <w:pStyle w:val="BodyText"/>
        <w:spacing w:line="232" w:lineRule="auto"/>
        <w:ind w:left="171" w:right="38" w:firstLine="396"/>
      </w:pPr>
      <w:r>
        <w:rPr>
          <w:color w:val="231F20"/>
        </w:rPr>
        <w:t>У</w:t>
      </w:r>
      <w:r>
        <w:rPr>
          <w:color w:val="231F20"/>
          <w:spacing w:val="-7"/>
        </w:rPr>
        <w:t> </w:t>
      </w:r>
      <w:r>
        <w:rPr>
          <w:color w:val="231F20"/>
          <w:spacing w:val="-3"/>
        </w:rPr>
        <w:t>планском</w:t>
      </w:r>
      <w:r>
        <w:rPr>
          <w:color w:val="231F20"/>
          <w:spacing w:val="-7"/>
        </w:rPr>
        <w:t> </w:t>
      </w:r>
      <w:r>
        <w:rPr>
          <w:color w:val="231F20"/>
          <w:spacing w:val="-4"/>
        </w:rPr>
        <w:t>периоду,</w:t>
      </w:r>
      <w:r>
        <w:rPr>
          <w:color w:val="231F20"/>
          <w:spacing w:val="-7"/>
        </w:rPr>
        <w:t> </w:t>
      </w:r>
      <w:r>
        <w:rPr>
          <w:color w:val="231F20"/>
        </w:rPr>
        <w:t>на</w:t>
      </w:r>
      <w:r>
        <w:rPr>
          <w:color w:val="231F20"/>
          <w:spacing w:val="-7"/>
        </w:rPr>
        <w:t> </w:t>
      </w:r>
      <w:r>
        <w:rPr>
          <w:color w:val="231F20"/>
        </w:rPr>
        <w:t>путној</w:t>
      </w:r>
      <w:r>
        <w:rPr>
          <w:color w:val="231F20"/>
          <w:spacing w:val="-7"/>
        </w:rPr>
        <w:t> </w:t>
      </w:r>
      <w:r>
        <w:rPr>
          <w:color w:val="231F20"/>
        </w:rPr>
        <w:t>мрежи</w:t>
      </w:r>
      <w:r>
        <w:rPr>
          <w:color w:val="231F20"/>
          <w:spacing w:val="-7"/>
        </w:rPr>
        <w:t> </w:t>
      </w:r>
      <w:r>
        <w:rPr>
          <w:color w:val="231F20"/>
        </w:rPr>
        <w:t>неопходно</w:t>
      </w:r>
      <w:r>
        <w:rPr>
          <w:color w:val="231F20"/>
          <w:spacing w:val="-7"/>
        </w:rPr>
        <w:t> </w:t>
      </w:r>
      <w:r>
        <w:rPr>
          <w:color w:val="231F20"/>
        </w:rPr>
        <w:t>је</w:t>
      </w:r>
      <w:r>
        <w:rPr>
          <w:color w:val="231F20"/>
          <w:spacing w:val="-7"/>
        </w:rPr>
        <w:t> </w:t>
      </w:r>
      <w:r>
        <w:rPr>
          <w:color w:val="231F20"/>
        </w:rPr>
        <w:t>извршити следеће активности и</w:t>
      </w:r>
      <w:r>
        <w:rPr>
          <w:color w:val="231F20"/>
          <w:spacing w:val="-2"/>
        </w:rPr>
        <w:t> </w:t>
      </w:r>
      <w:r>
        <w:rPr>
          <w:color w:val="231F20"/>
        </w:rPr>
        <w:t>интервенције:</w:t>
      </w:r>
    </w:p>
    <w:p>
      <w:pPr>
        <w:pStyle w:val="BodyText"/>
        <w:spacing w:line="232" w:lineRule="auto"/>
        <w:ind w:left="171" w:right="38" w:firstLine="396"/>
      </w:pPr>
      <w:r>
        <w:rPr>
          <w:color w:val="231F20"/>
          <w:w w:val="66"/>
        </w:rPr>
        <w:t> </w:t>
      </w:r>
      <w:r>
        <w:rPr>
          <w:color w:val="231F20"/>
        </w:rPr>
        <w:t>– израда неопходне планско-техничке документације и дру- ге активности које ће створити предуслов за увођење изграђених обилазница државних путева I реда број 24 и 25.1 у референтни систем државних путева Републике Србије чиме ће се створити услови за потпуно измештање транзитних токова из градског под- ручја Пожаревца;</w:t>
      </w:r>
    </w:p>
    <w:p>
      <w:pPr>
        <w:pStyle w:val="BodyText"/>
        <w:spacing w:line="232" w:lineRule="auto"/>
        <w:ind w:left="172" w:right="38" w:firstLine="396"/>
      </w:pPr>
      <w:r>
        <w:rPr>
          <w:color w:val="231F20"/>
          <w:w w:val="66"/>
        </w:rPr>
        <w:t> </w:t>
      </w:r>
      <w:r>
        <w:rPr>
          <w:color w:val="231F20"/>
        </w:rPr>
        <w:t>– прекатегоризација постојећих траса државних путева I ре- да (ДП-24 и ДП-25.1) и II реда (ДП-103 и ДП-107б) кроз градско подручје Пожаревца у општинске путеве – улице што ће доприне- ти поједностављењу управљања, одржавања и даљег развоја</w:t>
      </w:r>
      <w:r>
        <w:rPr>
          <w:color w:val="231F20"/>
          <w:spacing w:val="-32"/>
        </w:rPr>
        <w:t> </w:t>
      </w:r>
      <w:r>
        <w:rPr>
          <w:color w:val="231F20"/>
        </w:rPr>
        <w:t>пред- метних путева –</w:t>
      </w:r>
      <w:r>
        <w:rPr>
          <w:color w:val="231F20"/>
          <w:spacing w:val="-18"/>
        </w:rPr>
        <w:t> </w:t>
      </w:r>
      <w:r>
        <w:rPr>
          <w:color w:val="231F20"/>
          <w:spacing w:val="-3"/>
        </w:rPr>
        <w:t>улица;</w:t>
      </w:r>
    </w:p>
    <w:p>
      <w:pPr>
        <w:pStyle w:val="BodyText"/>
        <w:spacing w:line="232" w:lineRule="auto"/>
        <w:ind w:left="171" w:right="38" w:firstLine="397"/>
      </w:pPr>
      <w:r>
        <w:rPr>
          <w:color w:val="231F20"/>
          <w:w w:val="66"/>
        </w:rPr>
        <w:t> </w:t>
      </w:r>
      <w:r>
        <w:rPr>
          <w:color w:val="231F20"/>
        </w:rPr>
        <w:t>– реконструкција, рехабилитација, доградња и остале актив- ности на побољшању постојећег државног пута I реда број 24 на потезу Пожаревац – Кучево – Мајданпек – граница са Бугарском, којима ће се омогућити да се на постојећем правцу добије високо- капацитетна, квалитетна саобраћајница са ширим профилом (че- тири саобраћајне траке – две по смеру). Разрада неопходних ин- тервенција биће утврђена кроз израду детаљне планско-техничке документације;</w:t>
      </w:r>
    </w:p>
    <w:p>
      <w:pPr>
        <w:pStyle w:val="BodyText"/>
        <w:spacing w:line="232" w:lineRule="auto"/>
        <w:ind w:left="171" w:right="38" w:firstLine="397"/>
      </w:pPr>
      <w:r>
        <w:rPr>
          <w:color w:val="231F20"/>
          <w:w w:val="66"/>
        </w:rPr>
        <w:t> </w:t>
      </w:r>
      <w:r>
        <w:rPr>
          <w:color w:val="231F20"/>
        </w:rPr>
        <w:t>– изградња новог саобраћајног коридора на десној обали</w:t>
      </w:r>
      <w:r>
        <w:rPr>
          <w:color w:val="231F20"/>
          <w:spacing w:val="-31"/>
        </w:rPr>
        <w:t> </w:t>
      </w:r>
      <w:r>
        <w:rPr>
          <w:color w:val="231F20"/>
        </w:rPr>
        <w:t>Ду- нава </w:t>
      </w:r>
      <w:r>
        <w:rPr>
          <w:color w:val="231F20"/>
          <w:spacing w:val="-3"/>
        </w:rPr>
        <w:t>од Ковинског </w:t>
      </w:r>
      <w:r>
        <w:rPr>
          <w:color w:val="231F20"/>
        </w:rPr>
        <w:t>моста на територији града Смедерева до Рама (општина Велико Градиште) чиме би се повезала насеља и добио јединствен коридор дуж десне обале Дунава </w:t>
      </w:r>
      <w:r>
        <w:rPr>
          <w:color w:val="231F20"/>
          <w:spacing w:val="-3"/>
        </w:rPr>
        <w:t>од </w:t>
      </w:r>
      <w:r>
        <w:rPr>
          <w:color w:val="231F20"/>
        </w:rPr>
        <w:t>Београда до наци- оналног парка Ђердап; у границама Планског подручја нови </w:t>
      </w:r>
      <w:r>
        <w:rPr>
          <w:color w:val="231F20"/>
          <w:spacing w:val="-4"/>
        </w:rPr>
        <w:t>пут, </w:t>
      </w:r>
      <w:r>
        <w:rPr>
          <w:color w:val="231F20"/>
        </w:rPr>
        <w:t>са техничким елементима </w:t>
      </w:r>
      <w:r>
        <w:rPr>
          <w:color w:val="231F20"/>
          <w:spacing w:val="-3"/>
        </w:rPr>
        <w:t>који </w:t>
      </w:r>
      <w:r>
        <w:rPr>
          <w:color w:val="231F20"/>
        </w:rPr>
        <w:t>одговарају рангу државног пута II реда, има оријентациону дужину </w:t>
      </w:r>
      <w:r>
        <w:rPr>
          <w:color w:val="231F20"/>
          <w:spacing w:val="-3"/>
        </w:rPr>
        <w:t>од </w:t>
      </w:r>
      <w:r>
        <w:rPr>
          <w:color w:val="231F20"/>
          <w:spacing w:val="-4"/>
        </w:rPr>
        <w:t>око </w:t>
      </w:r>
      <w:r>
        <w:rPr>
          <w:color w:val="231F20"/>
        </w:rPr>
        <w:t>28,5 km а </w:t>
      </w:r>
      <w:r>
        <w:rPr>
          <w:color w:val="231F20"/>
          <w:spacing w:val="-3"/>
        </w:rPr>
        <w:t>од </w:t>
      </w:r>
      <w:r>
        <w:rPr>
          <w:color w:val="231F20"/>
        </w:rPr>
        <w:t>насеља Ша- линац (територија града Смедерево) пролази поред новог скел- </w:t>
      </w:r>
      <w:r>
        <w:rPr>
          <w:color w:val="231F20"/>
          <w:spacing w:val="-3"/>
        </w:rPr>
        <w:t>ског </w:t>
      </w:r>
      <w:r>
        <w:rPr>
          <w:color w:val="231F20"/>
        </w:rPr>
        <w:t>прелаза Дубравица, поред насеља Острово, у наставку поред градског насеља Костолац (мостом </w:t>
      </w:r>
      <w:r>
        <w:rPr>
          <w:color w:val="231F20"/>
          <w:spacing w:val="-3"/>
        </w:rPr>
        <w:t>преко </w:t>
      </w:r>
      <w:r>
        <w:rPr>
          <w:color w:val="231F20"/>
        </w:rPr>
        <w:t>дунавског канала), по- ред насеља Стари Костолац, затим уз северну проширену границу археолошког налазишта Виминацијум и у наставку уз обалу Ду- нава према насељу Рам; у оквиру овог коридора, на целој дужи- ни, планирана је и изградња пешачко-бициклистичке стазе;</w:t>
      </w:r>
      <w:r>
        <w:rPr>
          <w:color w:val="231F20"/>
          <w:spacing w:val="25"/>
        </w:rPr>
        <w:t> </w:t>
      </w:r>
      <w:r>
        <w:rPr>
          <w:color w:val="231F20"/>
        </w:rPr>
        <w:t>тачан</w:t>
      </w:r>
    </w:p>
    <w:p>
      <w:pPr>
        <w:pStyle w:val="BodyText"/>
        <w:spacing w:line="232" w:lineRule="auto" w:before="70"/>
        <w:ind w:right="409" w:hanging="1"/>
      </w:pPr>
      <w:r>
        <w:rPr/>
        <w:br w:type="column"/>
      </w:r>
      <w:r>
        <w:rPr>
          <w:color w:val="231F20"/>
        </w:rPr>
        <w:t>положај,</w:t>
      </w:r>
      <w:r>
        <w:rPr>
          <w:color w:val="231F20"/>
          <w:spacing w:val="-9"/>
        </w:rPr>
        <w:t> </w:t>
      </w:r>
      <w:r>
        <w:rPr>
          <w:color w:val="231F20"/>
        </w:rPr>
        <w:t>провера</w:t>
      </w:r>
      <w:r>
        <w:rPr>
          <w:color w:val="231F20"/>
          <w:spacing w:val="-9"/>
        </w:rPr>
        <w:t> </w:t>
      </w:r>
      <w:r>
        <w:rPr>
          <w:color w:val="231F20"/>
        </w:rPr>
        <w:t>и</w:t>
      </w:r>
      <w:r>
        <w:rPr>
          <w:color w:val="231F20"/>
          <w:spacing w:val="-9"/>
        </w:rPr>
        <w:t> </w:t>
      </w:r>
      <w:r>
        <w:rPr>
          <w:color w:val="231F20"/>
        </w:rPr>
        <w:t>потврда</w:t>
      </w:r>
      <w:r>
        <w:rPr>
          <w:color w:val="231F20"/>
          <w:spacing w:val="-9"/>
        </w:rPr>
        <w:t> </w:t>
      </w:r>
      <w:r>
        <w:rPr>
          <w:color w:val="231F20"/>
        </w:rPr>
        <w:t>изводљивости</w:t>
      </w:r>
      <w:r>
        <w:rPr>
          <w:color w:val="231F20"/>
          <w:spacing w:val="-9"/>
        </w:rPr>
        <w:t> </w:t>
      </w:r>
      <w:r>
        <w:rPr>
          <w:color w:val="231F20"/>
        </w:rPr>
        <w:t>и</w:t>
      </w:r>
      <w:r>
        <w:rPr>
          <w:color w:val="231F20"/>
          <w:spacing w:val="-9"/>
        </w:rPr>
        <w:t> </w:t>
      </w:r>
      <w:r>
        <w:rPr>
          <w:color w:val="231F20"/>
        </w:rPr>
        <w:t>оправданости</w:t>
      </w:r>
      <w:r>
        <w:rPr>
          <w:color w:val="231F20"/>
          <w:spacing w:val="-9"/>
        </w:rPr>
        <w:t> </w:t>
      </w:r>
      <w:r>
        <w:rPr>
          <w:color w:val="231F20"/>
        </w:rPr>
        <w:t>предло- жене</w:t>
      </w:r>
      <w:r>
        <w:rPr>
          <w:color w:val="231F20"/>
          <w:spacing w:val="-5"/>
        </w:rPr>
        <w:t> </w:t>
      </w:r>
      <w:r>
        <w:rPr>
          <w:color w:val="231F20"/>
        </w:rPr>
        <w:t>трасе</w:t>
      </w:r>
      <w:r>
        <w:rPr>
          <w:color w:val="231F20"/>
          <w:spacing w:val="-5"/>
        </w:rPr>
        <w:t> </w:t>
      </w:r>
      <w:r>
        <w:rPr>
          <w:color w:val="231F20"/>
        </w:rPr>
        <w:t>у</w:t>
      </w:r>
      <w:r>
        <w:rPr>
          <w:color w:val="231F20"/>
          <w:spacing w:val="-5"/>
        </w:rPr>
        <w:t> </w:t>
      </w:r>
      <w:r>
        <w:rPr>
          <w:color w:val="231F20"/>
        </w:rPr>
        <w:t>оквиру</w:t>
      </w:r>
      <w:r>
        <w:rPr>
          <w:color w:val="231F20"/>
          <w:spacing w:val="-5"/>
        </w:rPr>
        <w:t> </w:t>
      </w:r>
      <w:r>
        <w:rPr>
          <w:color w:val="231F20"/>
        </w:rPr>
        <w:t>датог</w:t>
      </w:r>
      <w:r>
        <w:rPr>
          <w:color w:val="231F20"/>
          <w:spacing w:val="-5"/>
        </w:rPr>
        <w:t> </w:t>
      </w:r>
      <w:r>
        <w:rPr>
          <w:color w:val="231F20"/>
        </w:rPr>
        <w:t>ширег</w:t>
      </w:r>
      <w:r>
        <w:rPr>
          <w:color w:val="231F20"/>
          <w:spacing w:val="-5"/>
        </w:rPr>
        <w:t> </w:t>
      </w:r>
      <w:r>
        <w:rPr>
          <w:color w:val="231F20"/>
        </w:rPr>
        <w:t>коридора</w:t>
      </w:r>
      <w:r>
        <w:rPr>
          <w:color w:val="231F20"/>
          <w:spacing w:val="-5"/>
        </w:rPr>
        <w:t> </w:t>
      </w:r>
      <w:r>
        <w:rPr>
          <w:color w:val="231F20"/>
        </w:rPr>
        <w:t>биће</w:t>
      </w:r>
      <w:r>
        <w:rPr>
          <w:color w:val="231F20"/>
          <w:spacing w:val="-5"/>
        </w:rPr>
        <w:t> </w:t>
      </w:r>
      <w:r>
        <w:rPr>
          <w:color w:val="231F20"/>
        </w:rPr>
        <w:t>утврђени</w:t>
      </w:r>
      <w:r>
        <w:rPr>
          <w:color w:val="231F20"/>
          <w:spacing w:val="-5"/>
        </w:rPr>
        <w:t> </w:t>
      </w:r>
      <w:r>
        <w:rPr>
          <w:color w:val="231F20"/>
        </w:rPr>
        <w:t>израдом одговарајуће планске и студијско-техничке</w:t>
      </w:r>
      <w:r>
        <w:rPr>
          <w:color w:val="231F20"/>
          <w:spacing w:val="-16"/>
        </w:rPr>
        <w:t> </w:t>
      </w:r>
      <w:r>
        <w:rPr>
          <w:color w:val="231F20"/>
        </w:rPr>
        <w:t>документације;</w:t>
      </w:r>
    </w:p>
    <w:p>
      <w:pPr>
        <w:pStyle w:val="BodyText"/>
        <w:spacing w:line="232" w:lineRule="auto"/>
        <w:ind w:right="409" w:firstLine="396"/>
      </w:pPr>
      <w:r>
        <w:rPr>
          <w:color w:val="231F20"/>
          <w:w w:val="66"/>
        </w:rPr>
        <w:t> </w:t>
      </w:r>
      <w:r>
        <w:rPr>
          <w:color w:val="231F20"/>
        </w:rPr>
        <w:t>– изградња пута са техничким елементима државног пута II реда на потезу од постојеће обилазнице државног пута I реда број</w:t>
      </w:r>
    </w:p>
    <w:p>
      <w:pPr>
        <w:pStyle w:val="BodyText"/>
        <w:spacing w:line="232" w:lineRule="auto"/>
        <w:ind w:left="171" w:right="408" w:hanging="1"/>
      </w:pPr>
      <w:r>
        <w:rPr>
          <w:color w:val="231F20"/>
        </w:rPr>
        <w:t>25.1</w:t>
      </w:r>
      <w:r>
        <w:rPr>
          <w:color w:val="231F20"/>
          <w:spacing w:val="-4"/>
        </w:rPr>
        <w:t> </w:t>
      </w:r>
      <w:r>
        <w:rPr>
          <w:color w:val="231F20"/>
        </w:rPr>
        <w:t>према</w:t>
      </w:r>
      <w:r>
        <w:rPr>
          <w:color w:val="231F20"/>
          <w:spacing w:val="-5"/>
        </w:rPr>
        <w:t> </w:t>
      </w:r>
      <w:r>
        <w:rPr>
          <w:color w:val="231F20"/>
        </w:rPr>
        <w:t>насељу</w:t>
      </w:r>
      <w:r>
        <w:rPr>
          <w:color w:val="231F20"/>
          <w:spacing w:val="-4"/>
        </w:rPr>
        <w:t> </w:t>
      </w:r>
      <w:r>
        <w:rPr>
          <w:color w:val="231F20"/>
        </w:rPr>
        <w:t>Петка</w:t>
      </w:r>
      <w:r>
        <w:rPr>
          <w:color w:val="231F20"/>
          <w:spacing w:val="-4"/>
        </w:rPr>
        <w:t> </w:t>
      </w:r>
      <w:r>
        <w:rPr>
          <w:color w:val="231F20"/>
        </w:rPr>
        <w:t>и</w:t>
      </w:r>
      <w:r>
        <w:rPr>
          <w:color w:val="231F20"/>
          <w:spacing w:val="-5"/>
        </w:rPr>
        <w:t> </w:t>
      </w:r>
      <w:r>
        <w:rPr>
          <w:color w:val="231F20"/>
        </w:rPr>
        <w:t>у</w:t>
      </w:r>
      <w:r>
        <w:rPr>
          <w:color w:val="231F20"/>
          <w:spacing w:val="-4"/>
        </w:rPr>
        <w:t> </w:t>
      </w:r>
      <w:r>
        <w:rPr>
          <w:color w:val="231F20"/>
        </w:rPr>
        <w:t>наставку</w:t>
      </w:r>
      <w:r>
        <w:rPr>
          <w:color w:val="231F20"/>
          <w:spacing w:val="-4"/>
        </w:rPr>
        <w:t> </w:t>
      </w:r>
      <w:r>
        <w:rPr>
          <w:color w:val="231F20"/>
        </w:rPr>
        <w:t>до</w:t>
      </w:r>
      <w:r>
        <w:rPr>
          <w:color w:val="231F20"/>
          <w:spacing w:val="-5"/>
        </w:rPr>
        <w:t> </w:t>
      </w:r>
      <w:r>
        <w:rPr>
          <w:color w:val="231F20"/>
        </w:rPr>
        <w:t>новог</w:t>
      </w:r>
      <w:r>
        <w:rPr>
          <w:color w:val="231F20"/>
          <w:spacing w:val="-4"/>
        </w:rPr>
        <w:t> </w:t>
      </w:r>
      <w:r>
        <w:rPr>
          <w:color w:val="231F20"/>
        </w:rPr>
        <w:t>саобраћајног</w:t>
      </w:r>
      <w:r>
        <w:rPr>
          <w:color w:val="231F20"/>
          <w:spacing w:val="-4"/>
        </w:rPr>
        <w:t> </w:t>
      </w:r>
      <w:r>
        <w:rPr>
          <w:color w:val="231F20"/>
          <w:spacing w:val="-3"/>
        </w:rPr>
        <w:t>кори- </w:t>
      </w:r>
      <w:r>
        <w:rPr>
          <w:color w:val="231F20"/>
        </w:rPr>
        <w:t>дора </w:t>
      </w:r>
      <w:r>
        <w:rPr>
          <w:color w:val="231F20"/>
          <w:spacing w:val="-3"/>
        </w:rPr>
        <w:t>који </w:t>
      </w:r>
      <w:r>
        <w:rPr>
          <w:color w:val="231F20"/>
        </w:rPr>
        <w:t>се протеже уз обалу Дунава укупне дужине </w:t>
      </w:r>
      <w:r>
        <w:rPr>
          <w:color w:val="231F20"/>
          <w:spacing w:val="-3"/>
        </w:rPr>
        <w:t>од </w:t>
      </w:r>
      <w:r>
        <w:rPr>
          <w:color w:val="231F20"/>
          <w:spacing w:val="-4"/>
        </w:rPr>
        <w:t>око </w:t>
      </w:r>
      <w:r>
        <w:rPr>
          <w:color w:val="231F20"/>
        </w:rPr>
        <w:t>9 km; траса новог пута у делу </w:t>
      </w:r>
      <w:r>
        <w:rPr>
          <w:color w:val="231F20"/>
          <w:spacing w:val="-3"/>
        </w:rPr>
        <w:t>од </w:t>
      </w:r>
      <w:r>
        <w:rPr>
          <w:color w:val="231F20"/>
        </w:rPr>
        <w:t>насеља Петка према северу користи део трасе постојећег општинског пута ОП4 </w:t>
      </w:r>
      <w:r>
        <w:rPr>
          <w:color w:val="231F20"/>
          <w:spacing w:val="-3"/>
        </w:rPr>
        <w:t>(око </w:t>
      </w:r>
      <w:r>
        <w:rPr>
          <w:color w:val="231F20"/>
        </w:rPr>
        <w:t>1 km) </w:t>
      </w:r>
      <w:r>
        <w:rPr>
          <w:color w:val="231F20"/>
          <w:spacing w:val="-3"/>
        </w:rPr>
        <w:t>који </w:t>
      </w:r>
      <w:r>
        <w:rPr>
          <w:color w:val="231F20"/>
        </w:rPr>
        <w:t>тре-  ба реконструисати </w:t>
      </w:r>
      <w:r>
        <w:rPr>
          <w:color w:val="231F20"/>
          <w:spacing w:val="-3"/>
        </w:rPr>
        <w:t>тако </w:t>
      </w:r>
      <w:r>
        <w:rPr>
          <w:color w:val="231F20"/>
        </w:rPr>
        <w:t>да задовољи техничке елементе државних путева II реда; укрштање новог пута, постојећег државног пута II реда бр. 107б и изграђене обилазнице државног пута 25.1 треба решити кроз израду одговарајуће пројектно-техничке документа- ције уз максимално поштовање критеријума безбедности саобра- ћаја и у складу са законима и техничким прописима за укрштање државних</w:t>
      </w:r>
      <w:r>
        <w:rPr>
          <w:color w:val="231F20"/>
          <w:spacing w:val="-2"/>
        </w:rPr>
        <w:t> </w:t>
      </w:r>
      <w:r>
        <w:rPr>
          <w:color w:val="231F20"/>
        </w:rPr>
        <w:t>путева;</w:t>
      </w:r>
    </w:p>
    <w:p>
      <w:pPr>
        <w:pStyle w:val="BodyText"/>
        <w:spacing w:line="232" w:lineRule="auto"/>
        <w:ind w:left="171" w:right="408" w:firstLine="396"/>
      </w:pPr>
      <w:r>
        <w:rPr>
          <w:color w:val="231F20"/>
          <w:w w:val="66"/>
        </w:rPr>
        <w:t> </w:t>
      </w:r>
      <w:r>
        <w:rPr>
          <w:color w:val="231F20"/>
        </w:rPr>
        <w:t>– деоница државног пута ДП-103 </w:t>
      </w:r>
      <w:r>
        <w:rPr>
          <w:color w:val="231F20"/>
          <w:spacing w:val="-3"/>
        </w:rPr>
        <w:t>од </w:t>
      </w:r>
      <w:r>
        <w:rPr>
          <w:color w:val="231F20"/>
        </w:rPr>
        <w:t>градског насеља Косто- лац до обилазнице ДП-25.1 по функционалним карактеристикама постаје општински </w:t>
      </w:r>
      <w:r>
        <w:rPr>
          <w:color w:val="231F20"/>
          <w:spacing w:val="-4"/>
        </w:rPr>
        <w:t>пут, </w:t>
      </w:r>
      <w:r>
        <w:rPr>
          <w:color w:val="231F20"/>
        </w:rPr>
        <w:t>односно </w:t>
      </w:r>
      <w:r>
        <w:rPr>
          <w:color w:val="231F20"/>
          <w:spacing w:val="-3"/>
        </w:rPr>
        <w:t>улице </w:t>
      </w:r>
      <w:r>
        <w:rPr>
          <w:color w:val="231F20"/>
        </w:rPr>
        <w:t>у насељима Костолац, Кле- новник и Ћириковац, у укупној дужини </w:t>
      </w:r>
      <w:r>
        <w:rPr>
          <w:color w:val="231F20"/>
          <w:spacing w:val="-3"/>
        </w:rPr>
        <w:t>од </w:t>
      </w:r>
      <w:r>
        <w:rPr>
          <w:color w:val="231F20"/>
          <w:spacing w:val="-4"/>
        </w:rPr>
        <w:t>око </w:t>
      </w:r>
      <w:r>
        <w:rPr>
          <w:color w:val="231F20"/>
        </w:rPr>
        <w:t>7,4 km</w:t>
      </w:r>
    </w:p>
    <w:p>
      <w:pPr>
        <w:pStyle w:val="BodyText"/>
        <w:spacing w:line="232" w:lineRule="auto"/>
        <w:ind w:left="171" w:right="408" w:firstLine="397"/>
      </w:pPr>
      <w:r>
        <w:rPr>
          <w:color w:val="231F20"/>
          <w:w w:val="66"/>
        </w:rPr>
        <w:t> </w:t>
      </w:r>
      <w:r>
        <w:rPr>
          <w:color w:val="231F20"/>
        </w:rPr>
        <w:t>–</w:t>
      </w:r>
      <w:r>
        <w:rPr>
          <w:color w:val="231F20"/>
          <w:spacing w:val="-6"/>
        </w:rPr>
        <w:t> </w:t>
      </w:r>
      <w:r>
        <w:rPr>
          <w:color w:val="231F20"/>
        </w:rPr>
        <w:t>реконструкција</w:t>
      </w:r>
      <w:r>
        <w:rPr>
          <w:color w:val="231F20"/>
          <w:spacing w:val="-6"/>
        </w:rPr>
        <w:t> </w:t>
      </w:r>
      <w:r>
        <w:rPr>
          <w:color w:val="231F20"/>
        </w:rPr>
        <w:t>петље</w:t>
      </w:r>
      <w:r>
        <w:rPr>
          <w:color w:val="231F20"/>
          <w:spacing w:val="-6"/>
        </w:rPr>
        <w:t> </w:t>
      </w:r>
      <w:r>
        <w:rPr>
          <w:color w:val="231F20"/>
        </w:rPr>
        <w:t>обилазнице</w:t>
      </w:r>
      <w:r>
        <w:rPr>
          <w:color w:val="231F20"/>
          <w:spacing w:val="-6"/>
        </w:rPr>
        <w:t> </w:t>
      </w:r>
      <w:r>
        <w:rPr>
          <w:color w:val="231F20"/>
        </w:rPr>
        <w:t>25.1</w:t>
      </w:r>
      <w:r>
        <w:rPr>
          <w:color w:val="231F20"/>
          <w:spacing w:val="-6"/>
        </w:rPr>
        <w:t> </w:t>
      </w:r>
      <w:r>
        <w:rPr>
          <w:color w:val="231F20"/>
        </w:rPr>
        <w:t>и</w:t>
      </w:r>
      <w:r>
        <w:rPr>
          <w:color w:val="231F20"/>
          <w:spacing w:val="-6"/>
        </w:rPr>
        <w:t> </w:t>
      </w:r>
      <w:r>
        <w:rPr>
          <w:color w:val="231F20"/>
        </w:rPr>
        <w:t>постојећег</w:t>
      </w:r>
      <w:r>
        <w:rPr>
          <w:color w:val="231F20"/>
          <w:spacing w:val="-6"/>
        </w:rPr>
        <w:t> </w:t>
      </w:r>
      <w:r>
        <w:rPr>
          <w:color w:val="231F20"/>
        </w:rPr>
        <w:t>држав- ног пута број 103 (изградња недостајућих улива/излива); </w:t>
      </w:r>
      <w:r>
        <w:rPr>
          <w:color w:val="231F20"/>
          <w:spacing w:val="-2"/>
        </w:rPr>
        <w:t>рекон- </w:t>
      </w:r>
      <w:r>
        <w:rPr>
          <w:color w:val="231F20"/>
        </w:rPr>
        <w:t>струкција осталих укрштања путева са обилазницом 25.1, према урађеним</w:t>
      </w:r>
      <w:r>
        <w:rPr>
          <w:color w:val="231F20"/>
          <w:spacing w:val="-2"/>
        </w:rPr>
        <w:t> </w:t>
      </w:r>
      <w:r>
        <w:rPr>
          <w:color w:val="231F20"/>
        </w:rPr>
        <w:t>пројектима;</w:t>
      </w:r>
    </w:p>
    <w:p>
      <w:pPr>
        <w:pStyle w:val="BodyText"/>
        <w:spacing w:line="232" w:lineRule="auto"/>
        <w:ind w:left="171" w:right="408" w:firstLine="396"/>
      </w:pPr>
      <w:r>
        <w:rPr>
          <w:color w:val="231F20"/>
          <w:w w:val="66"/>
        </w:rPr>
        <w:t> </w:t>
      </w:r>
      <w:r>
        <w:rPr>
          <w:color w:val="231F20"/>
        </w:rPr>
        <w:t>–</w:t>
      </w:r>
      <w:r>
        <w:rPr>
          <w:color w:val="231F20"/>
          <w:spacing w:val="-10"/>
        </w:rPr>
        <w:t> </w:t>
      </w:r>
      <w:r>
        <w:rPr>
          <w:color w:val="231F20"/>
        </w:rPr>
        <w:t>реконструкција,</w:t>
      </w:r>
      <w:r>
        <w:rPr>
          <w:color w:val="231F20"/>
          <w:spacing w:val="-10"/>
        </w:rPr>
        <w:t> </w:t>
      </w:r>
      <w:r>
        <w:rPr>
          <w:color w:val="231F20"/>
        </w:rPr>
        <w:t>рехабилитација</w:t>
      </w:r>
      <w:r>
        <w:rPr>
          <w:color w:val="231F20"/>
          <w:spacing w:val="-10"/>
        </w:rPr>
        <w:t> </w:t>
      </w:r>
      <w:r>
        <w:rPr>
          <w:color w:val="231F20"/>
        </w:rPr>
        <w:t>и</w:t>
      </w:r>
      <w:r>
        <w:rPr>
          <w:color w:val="231F20"/>
          <w:spacing w:val="-10"/>
        </w:rPr>
        <w:t> </w:t>
      </w:r>
      <w:r>
        <w:rPr>
          <w:color w:val="231F20"/>
        </w:rPr>
        <w:t>остале</w:t>
      </w:r>
      <w:r>
        <w:rPr>
          <w:color w:val="231F20"/>
          <w:spacing w:val="-10"/>
        </w:rPr>
        <w:t> </w:t>
      </w:r>
      <w:r>
        <w:rPr>
          <w:color w:val="231F20"/>
        </w:rPr>
        <w:t>активности</w:t>
      </w:r>
      <w:r>
        <w:rPr>
          <w:color w:val="231F20"/>
          <w:spacing w:val="-10"/>
        </w:rPr>
        <w:t> </w:t>
      </w:r>
      <w:r>
        <w:rPr>
          <w:color w:val="231F20"/>
        </w:rPr>
        <w:t>на</w:t>
      </w:r>
      <w:r>
        <w:rPr>
          <w:color w:val="231F20"/>
          <w:spacing w:val="-10"/>
        </w:rPr>
        <w:t> </w:t>
      </w:r>
      <w:r>
        <w:rPr>
          <w:color w:val="231F20"/>
        </w:rPr>
        <w:t>по- бољшању постојећег државног пута I реда број 25.1 Пожаревац – Велико Градиште – </w:t>
      </w:r>
      <w:r>
        <w:rPr>
          <w:color w:val="231F20"/>
          <w:spacing w:val="-4"/>
        </w:rPr>
        <w:t>Голубац </w:t>
      </w:r>
      <w:r>
        <w:rPr>
          <w:color w:val="231F20"/>
        </w:rPr>
        <w:t>– Доњи Милановац – Ђердап I</w:t>
      </w:r>
      <w:r>
        <w:rPr>
          <w:color w:val="231F20"/>
          <w:spacing w:val="-27"/>
        </w:rPr>
        <w:t> </w:t>
      </w:r>
      <w:r>
        <w:rPr>
          <w:color w:val="231F20"/>
        </w:rPr>
        <w:t>(Руму- нија) у постојећем</w:t>
      </w:r>
      <w:r>
        <w:rPr>
          <w:color w:val="231F20"/>
          <w:spacing w:val="-1"/>
        </w:rPr>
        <w:t> </w:t>
      </w:r>
      <w:r>
        <w:rPr>
          <w:color w:val="231F20"/>
        </w:rPr>
        <w:t>коридору;</w:t>
      </w:r>
    </w:p>
    <w:p>
      <w:pPr>
        <w:pStyle w:val="BodyText"/>
        <w:spacing w:line="232" w:lineRule="auto"/>
        <w:ind w:left="171" w:right="408" w:firstLine="396"/>
      </w:pPr>
      <w:r>
        <w:rPr>
          <w:color w:val="231F20"/>
          <w:w w:val="66"/>
        </w:rPr>
        <w:t> </w:t>
      </w:r>
      <w:r>
        <w:rPr>
          <w:color w:val="231F20"/>
        </w:rPr>
        <w:t>– реконструкција, рехабилитација и опремање државних путева II реда (у постојећим коридорима) на Планском подручју довођењем свих елемената на ниво који одговара датом рангу а у складу са економским могућностима; као приоритет се издвајају деонице постојећег пута број 105 (са евентуалним разматрањем могућности прекатегоризације, уз проверу и сагласност управља- ча државних путева) као и путеви број 103 и 214а;</w:t>
      </w:r>
    </w:p>
    <w:p>
      <w:pPr>
        <w:pStyle w:val="BodyText"/>
        <w:spacing w:line="232" w:lineRule="auto"/>
        <w:ind w:left="171" w:right="408" w:firstLine="397"/>
      </w:pPr>
      <w:r>
        <w:rPr>
          <w:color w:val="231F20"/>
          <w:w w:val="66"/>
        </w:rPr>
        <w:t> </w:t>
      </w:r>
      <w:r>
        <w:rPr>
          <w:color w:val="231F20"/>
        </w:rPr>
        <w:t>– провера (кроз израду студијско-техничке  документаци- је) неопходности изградње и изналажење најповољније позиције новог </w:t>
      </w:r>
      <w:r>
        <w:rPr>
          <w:color w:val="231F20"/>
          <w:spacing w:val="-3"/>
        </w:rPr>
        <w:t>друмског </w:t>
      </w:r>
      <w:r>
        <w:rPr>
          <w:color w:val="231F20"/>
        </w:rPr>
        <w:t>моста на Дунаву (на потезу између Дубравице и Рама); нови мост би омогућио знатно побољшање саобраћајне по- везаности подручја са Војводином као и са суседном државом Ру- мунијом;</w:t>
      </w:r>
    </w:p>
    <w:p>
      <w:pPr>
        <w:pStyle w:val="BodyText"/>
        <w:spacing w:line="232" w:lineRule="auto"/>
        <w:ind w:left="172" w:right="407" w:firstLine="397"/>
      </w:pPr>
      <w:r>
        <w:rPr>
          <w:color w:val="231F20"/>
          <w:w w:val="66"/>
        </w:rPr>
        <w:t> </w:t>
      </w:r>
      <w:r>
        <w:rPr>
          <w:color w:val="231F20"/>
        </w:rPr>
        <w:t>– изградња тротоара на деоницама јавних путева кроз насе- љена места (приоритетно на деоницама државних путева); уређе- ње стајалишта јавног превоза у складу са законом и важећим про- писима (изградња ниша);</w:t>
      </w:r>
    </w:p>
    <w:p>
      <w:pPr>
        <w:pStyle w:val="BodyText"/>
        <w:spacing w:line="232" w:lineRule="auto"/>
        <w:ind w:left="172" w:right="408" w:firstLine="396"/>
      </w:pPr>
      <w:r>
        <w:rPr>
          <w:color w:val="231F20"/>
          <w:w w:val="66"/>
        </w:rPr>
        <w:t> </w:t>
      </w:r>
      <w:r>
        <w:rPr>
          <w:color w:val="231F20"/>
        </w:rPr>
        <w:t>– измештање дела општинског пута ОП10 због изградње ин- дустријског колосека у зони насеља Дрмно (у дужини од око 1,4 km); изградња алтернативног правца приближно исте дужине;</w:t>
      </w:r>
    </w:p>
    <w:p>
      <w:pPr>
        <w:pStyle w:val="BodyText"/>
        <w:spacing w:line="232" w:lineRule="auto"/>
        <w:ind w:left="172" w:right="407" w:firstLine="396"/>
      </w:pPr>
      <w:r>
        <w:rPr>
          <w:color w:val="231F20"/>
          <w:w w:val="66"/>
        </w:rPr>
        <w:t> </w:t>
      </w:r>
      <w:r>
        <w:rPr>
          <w:color w:val="231F20"/>
        </w:rPr>
        <w:t>– изградња новог општинског пута од насеља Драговац до државног пута број 24 дужине око 1,4 km; оријентациона стацио- нажа прикључка новог општинског пута на државни пут I реда је km 274+803;</w:t>
      </w:r>
    </w:p>
    <w:p>
      <w:pPr>
        <w:pStyle w:val="BodyText"/>
        <w:spacing w:line="232" w:lineRule="auto"/>
        <w:ind w:left="171" w:right="407" w:firstLine="397"/>
      </w:pPr>
      <w:r>
        <w:rPr>
          <w:color w:val="231F20"/>
          <w:w w:val="66"/>
        </w:rPr>
        <w:t> </w:t>
      </w:r>
      <w:r>
        <w:rPr>
          <w:color w:val="231F20"/>
        </w:rPr>
        <w:t>–</w:t>
      </w:r>
      <w:r>
        <w:rPr>
          <w:color w:val="231F20"/>
          <w:spacing w:val="-15"/>
        </w:rPr>
        <w:t> </w:t>
      </w:r>
      <w:r>
        <w:rPr>
          <w:color w:val="231F20"/>
        </w:rPr>
        <w:t>изградња</w:t>
      </w:r>
      <w:r>
        <w:rPr>
          <w:color w:val="231F20"/>
          <w:spacing w:val="-15"/>
        </w:rPr>
        <w:t> </w:t>
      </w:r>
      <w:r>
        <w:rPr>
          <w:color w:val="231F20"/>
        </w:rPr>
        <w:t>новог</w:t>
      </w:r>
      <w:r>
        <w:rPr>
          <w:color w:val="231F20"/>
          <w:spacing w:val="-15"/>
        </w:rPr>
        <w:t> </w:t>
      </w:r>
      <w:r>
        <w:rPr>
          <w:color w:val="231F20"/>
        </w:rPr>
        <w:t>општинског</w:t>
      </w:r>
      <w:r>
        <w:rPr>
          <w:color w:val="231F20"/>
          <w:spacing w:val="-15"/>
        </w:rPr>
        <w:t> </w:t>
      </w:r>
      <w:r>
        <w:rPr>
          <w:color w:val="231F20"/>
        </w:rPr>
        <w:t>пута</w:t>
      </w:r>
      <w:r>
        <w:rPr>
          <w:color w:val="231F20"/>
          <w:spacing w:val="-15"/>
        </w:rPr>
        <w:t> </w:t>
      </w:r>
      <w:r>
        <w:rPr>
          <w:color w:val="231F20"/>
        </w:rPr>
        <w:t>(по</w:t>
      </w:r>
      <w:r>
        <w:rPr>
          <w:color w:val="231F20"/>
          <w:spacing w:val="-15"/>
        </w:rPr>
        <w:t> </w:t>
      </w:r>
      <w:r>
        <w:rPr>
          <w:color w:val="231F20"/>
        </w:rPr>
        <w:t>траси</w:t>
      </w:r>
      <w:r>
        <w:rPr>
          <w:color w:val="231F20"/>
          <w:spacing w:val="-15"/>
        </w:rPr>
        <w:t> </w:t>
      </w:r>
      <w:r>
        <w:rPr>
          <w:color w:val="231F20"/>
        </w:rPr>
        <w:t>постојећих</w:t>
      </w:r>
      <w:r>
        <w:rPr>
          <w:color w:val="231F20"/>
          <w:spacing w:val="-15"/>
        </w:rPr>
        <w:t> </w:t>
      </w:r>
      <w:r>
        <w:rPr>
          <w:color w:val="231F20"/>
        </w:rPr>
        <w:t>нека- тегорисаних, шумских и пољских путева) </w:t>
      </w:r>
      <w:r>
        <w:rPr>
          <w:color w:val="231F20"/>
          <w:spacing w:val="-4"/>
        </w:rPr>
        <w:t>од </w:t>
      </w:r>
      <w:r>
        <w:rPr>
          <w:color w:val="231F20"/>
        </w:rPr>
        <w:t>Манастира Рукумија (веза са општинским путем ОП8) до насеља Кленовник у дужини </w:t>
      </w:r>
      <w:r>
        <w:rPr>
          <w:color w:val="231F20"/>
          <w:spacing w:val="-4"/>
        </w:rPr>
        <w:t>од</w:t>
      </w:r>
      <w:r>
        <w:rPr>
          <w:color w:val="231F20"/>
          <w:spacing w:val="-11"/>
        </w:rPr>
        <w:t> </w:t>
      </w:r>
      <w:r>
        <w:rPr>
          <w:color w:val="231F20"/>
          <w:spacing w:val="-4"/>
        </w:rPr>
        <w:t>око</w:t>
      </w:r>
      <w:r>
        <w:rPr>
          <w:color w:val="231F20"/>
          <w:spacing w:val="-11"/>
        </w:rPr>
        <w:t> </w:t>
      </w:r>
      <w:r>
        <w:rPr>
          <w:color w:val="231F20"/>
        </w:rPr>
        <w:t>3,0</w:t>
      </w:r>
      <w:r>
        <w:rPr>
          <w:color w:val="231F20"/>
          <w:spacing w:val="-11"/>
        </w:rPr>
        <w:t> </w:t>
      </w:r>
      <w:r>
        <w:rPr>
          <w:color w:val="231F20"/>
        </w:rPr>
        <w:t>km;</w:t>
      </w:r>
      <w:r>
        <w:rPr>
          <w:color w:val="231F20"/>
          <w:spacing w:val="-11"/>
        </w:rPr>
        <w:t> </w:t>
      </w:r>
      <w:r>
        <w:rPr>
          <w:color w:val="231F20"/>
        </w:rPr>
        <w:t>изградњом</w:t>
      </w:r>
      <w:r>
        <w:rPr>
          <w:color w:val="231F20"/>
          <w:spacing w:val="-11"/>
        </w:rPr>
        <w:t> </w:t>
      </w:r>
      <w:r>
        <w:rPr>
          <w:color w:val="231F20"/>
        </w:rPr>
        <w:t>овог</w:t>
      </w:r>
      <w:r>
        <w:rPr>
          <w:color w:val="231F20"/>
          <w:spacing w:val="-11"/>
        </w:rPr>
        <w:t> </w:t>
      </w:r>
      <w:r>
        <w:rPr>
          <w:color w:val="231F20"/>
        </w:rPr>
        <w:t>пута</w:t>
      </w:r>
      <w:r>
        <w:rPr>
          <w:color w:val="231F20"/>
          <w:spacing w:val="-11"/>
        </w:rPr>
        <w:t> </w:t>
      </w:r>
      <w:r>
        <w:rPr>
          <w:color w:val="231F20"/>
        </w:rPr>
        <w:t>остварује</w:t>
      </w:r>
      <w:r>
        <w:rPr>
          <w:color w:val="231F20"/>
          <w:spacing w:val="-11"/>
        </w:rPr>
        <w:t> </w:t>
      </w:r>
      <w:r>
        <w:rPr>
          <w:color w:val="231F20"/>
        </w:rPr>
        <w:t>се</w:t>
      </w:r>
      <w:r>
        <w:rPr>
          <w:color w:val="231F20"/>
          <w:spacing w:val="-11"/>
        </w:rPr>
        <w:t> </w:t>
      </w:r>
      <w:r>
        <w:rPr>
          <w:color w:val="231F20"/>
        </w:rPr>
        <w:t>континуитет</w:t>
      </w:r>
      <w:r>
        <w:rPr>
          <w:color w:val="231F20"/>
          <w:spacing w:val="-11"/>
        </w:rPr>
        <w:t> </w:t>
      </w:r>
      <w:r>
        <w:rPr>
          <w:color w:val="231F20"/>
        </w:rPr>
        <w:t>у</w:t>
      </w:r>
      <w:r>
        <w:rPr>
          <w:color w:val="231F20"/>
          <w:spacing w:val="-11"/>
        </w:rPr>
        <w:t> </w:t>
      </w:r>
      <w:r>
        <w:rPr>
          <w:color w:val="231F20"/>
        </w:rPr>
        <w:t>кре- тању на правцу Брадарац – Манастир Рукумија –</w:t>
      </w:r>
      <w:r>
        <w:rPr>
          <w:color w:val="231F20"/>
          <w:spacing w:val="-4"/>
        </w:rPr>
        <w:t> </w:t>
      </w:r>
      <w:r>
        <w:rPr>
          <w:color w:val="231F20"/>
        </w:rPr>
        <w:t>Кленовник;</w:t>
      </w:r>
    </w:p>
    <w:p>
      <w:pPr>
        <w:pStyle w:val="BodyText"/>
        <w:spacing w:line="232" w:lineRule="auto"/>
        <w:ind w:left="171" w:right="408" w:firstLine="397"/>
      </w:pPr>
      <w:r>
        <w:rPr>
          <w:color w:val="231F20"/>
          <w:w w:val="66"/>
        </w:rPr>
        <w:t> </w:t>
      </w:r>
      <w:r>
        <w:rPr>
          <w:color w:val="231F20"/>
        </w:rPr>
        <w:t>– изградња новог општинског пута од новог пута Рукумија – Кленовник, источним и североисточним ободом копа у затварању Кленовник, и даље, према насељу Костолац село у дужини од око 3,0 km; реконструкција и побољшање саобраћајница у насељу Ко- столац село у дужини од око 0,7 km, чиме ће се остварити повези- вање новог општинског пута са постојећим путем ОП5;</w:t>
      </w:r>
    </w:p>
    <w:p>
      <w:pPr>
        <w:pStyle w:val="BodyText"/>
        <w:spacing w:line="232" w:lineRule="auto"/>
        <w:ind w:left="172" w:right="407" w:firstLine="396"/>
      </w:pPr>
      <w:r>
        <w:rPr>
          <w:color w:val="231F20"/>
          <w:w w:val="66"/>
        </w:rPr>
        <w:t> </w:t>
      </w:r>
      <w:r>
        <w:rPr>
          <w:color w:val="231F20"/>
        </w:rPr>
        <w:t>–</w:t>
      </w:r>
      <w:r>
        <w:rPr>
          <w:color w:val="231F20"/>
          <w:spacing w:val="-12"/>
        </w:rPr>
        <w:t> </w:t>
      </w:r>
      <w:r>
        <w:rPr>
          <w:color w:val="231F20"/>
        </w:rPr>
        <w:t>изградња</w:t>
      </w:r>
      <w:r>
        <w:rPr>
          <w:color w:val="231F20"/>
          <w:spacing w:val="-12"/>
        </w:rPr>
        <w:t> </w:t>
      </w:r>
      <w:r>
        <w:rPr>
          <w:color w:val="231F20"/>
        </w:rPr>
        <w:t>новог</w:t>
      </w:r>
      <w:r>
        <w:rPr>
          <w:color w:val="231F20"/>
          <w:spacing w:val="-12"/>
        </w:rPr>
        <w:t> </w:t>
      </w:r>
      <w:r>
        <w:rPr>
          <w:color w:val="231F20"/>
        </w:rPr>
        <w:t>општинског</w:t>
      </w:r>
      <w:r>
        <w:rPr>
          <w:color w:val="231F20"/>
          <w:spacing w:val="-12"/>
        </w:rPr>
        <w:t> </w:t>
      </w:r>
      <w:r>
        <w:rPr>
          <w:color w:val="231F20"/>
        </w:rPr>
        <w:t>пута</w:t>
      </w:r>
      <w:r>
        <w:rPr>
          <w:color w:val="231F20"/>
          <w:spacing w:val="-12"/>
        </w:rPr>
        <w:t> </w:t>
      </w:r>
      <w:r>
        <w:rPr>
          <w:color w:val="231F20"/>
        </w:rPr>
        <w:t>између</w:t>
      </w:r>
      <w:r>
        <w:rPr>
          <w:color w:val="231F20"/>
          <w:spacing w:val="-12"/>
        </w:rPr>
        <w:t> </w:t>
      </w:r>
      <w:r>
        <w:rPr>
          <w:color w:val="231F20"/>
        </w:rPr>
        <w:t>насеља</w:t>
      </w:r>
      <w:r>
        <w:rPr>
          <w:color w:val="231F20"/>
          <w:spacing w:val="-12"/>
        </w:rPr>
        <w:t> </w:t>
      </w:r>
      <w:r>
        <w:rPr>
          <w:color w:val="231F20"/>
        </w:rPr>
        <w:t>Кленовник и планираног пута са техничким елементима државног пута II </w:t>
      </w:r>
      <w:r>
        <w:rPr>
          <w:color w:val="231F20"/>
          <w:spacing w:val="-3"/>
        </w:rPr>
        <w:t>(од </w:t>
      </w:r>
      <w:r>
        <w:rPr>
          <w:color w:val="231F20"/>
        </w:rPr>
        <w:t>постојеће</w:t>
      </w:r>
      <w:r>
        <w:rPr>
          <w:color w:val="231F20"/>
          <w:spacing w:val="-9"/>
        </w:rPr>
        <w:t> </w:t>
      </w:r>
      <w:r>
        <w:rPr>
          <w:color w:val="231F20"/>
        </w:rPr>
        <w:t>обилазнице</w:t>
      </w:r>
      <w:r>
        <w:rPr>
          <w:color w:val="231F20"/>
          <w:spacing w:val="-9"/>
        </w:rPr>
        <w:t> </w:t>
      </w:r>
      <w:r>
        <w:rPr>
          <w:color w:val="231F20"/>
        </w:rPr>
        <w:t>пута</w:t>
      </w:r>
      <w:r>
        <w:rPr>
          <w:color w:val="231F20"/>
          <w:spacing w:val="-9"/>
        </w:rPr>
        <w:t> </w:t>
      </w:r>
      <w:r>
        <w:rPr>
          <w:color w:val="231F20"/>
        </w:rPr>
        <w:t>број</w:t>
      </w:r>
      <w:r>
        <w:rPr>
          <w:color w:val="231F20"/>
          <w:spacing w:val="-9"/>
        </w:rPr>
        <w:t> </w:t>
      </w:r>
      <w:r>
        <w:rPr>
          <w:color w:val="231F20"/>
        </w:rPr>
        <w:t>25.1</w:t>
      </w:r>
      <w:r>
        <w:rPr>
          <w:color w:val="231F20"/>
          <w:spacing w:val="-9"/>
        </w:rPr>
        <w:t> </w:t>
      </w:r>
      <w:r>
        <w:rPr>
          <w:color w:val="231F20"/>
        </w:rPr>
        <w:t>према</w:t>
      </w:r>
      <w:r>
        <w:rPr>
          <w:color w:val="231F20"/>
          <w:spacing w:val="-9"/>
        </w:rPr>
        <w:t> </w:t>
      </w:r>
      <w:r>
        <w:rPr>
          <w:color w:val="231F20"/>
        </w:rPr>
        <w:t>насељу</w:t>
      </w:r>
      <w:r>
        <w:rPr>
          <w:color w:val="231F20"/>
          <w:spacing w:val="-9"/>
        </w:rPr>
        <w:t> </w:t>
      </w:r>
      <w:r>
        <w:rPr>
          <w:color w:val="231F20"/>
        </w:rPr>
        <w:t>Петка)</w:t>
      </w:r>
      <w:r>
        <w:rPr>
          <w:color w:val="231F20"/>
          <w:spacing w:val="-9"/>
        </w:rPr>
        <w:t> </w:t>
      </w:r>
      <w:r>
        <w:rPr>
          <w:color w:val="231F20"/>
        </w:rPr>
        <w:t>у</w:t>
      </w:r>
      <w:r>
        <w:rPr>
          <w:color w:val="231F20"/>
          <w:spacing w:val="-9"/>
        </w:rPr>
        <w:t> </w:t>
      </w:r>
      <w:r>
        <w:rPr>
          <w:color w:val="231F20"/>
        </w:rPr>
        <w:t>правцу исток</w:t>
      </w:r>
      <w:r>
        <w:rPr>
          <w:color w:val="231F20"/>
          <w:spacing w:val="7"/>
        </w:rPr>
        <w:t> </w:t>
      </w:r>
      <w:r>
        <w:rPr>
          <w:color w:val="231F20"/>
        </w:rPr>
        <w:t>–</w:t>
      </w:r>
      <w:r>
        <w:rPr>
          <w:color w:val="231F20"/>
          <w:spacing w:val="-15"/>
        </w:rPr>
        <w:t> </w:t>
      </w:r>
      <w:r>
        <w:rPr>
          <w:color w:val="231F20"/>
        </w:rPr>
        <w:t>запад,</w:t>
      </w:r>
      <w:r>
        <w:rPr>
          <w:color w:val="231F20"/>
          <w:spacing w:val="-15"/>
        </w:rPr>
        <w:t> </w:t>
      </w:r>
      <w:r>
        <w:rPr>
          <w:color w:val="231F20"/>
        </w:rPr>
        <w:t>оријентационе</w:t>
      </w:r>
      <w:r>
        <w:rPr>
          <w:color w:val="231F20"/>
          <w:spacing w:val="-15"/>
        </w:rPr>
        <w:t> </w:t>
      </w:r>
      <w:r>
        <w:rPr>
          <w:color w:val="231F20"/>
        </w:rPr>
        <w:t>дужине</w:t>
      </w:r>
      <w:r>
        <w:rPr>
          <w:color w:val="231F20"/>
          <w:spacing w:val="-15"/>
        </w:rPr>
        <w:t> </w:t>
      </w:r>
      <w:r>
        <w:rPr>
          <w:color w:val="231F20"/>
        </w:rPr>
        <w:t>1,5</w:t>
      </w:r>
      <w:r>
        <w:rPr>
          <w:color w:val="231F20"/>
          <w:spacing w:val="-15"/>
        </w:rPr>
        <w:t> </w:t>
      </w:r>
      <w:r>
        <w:rPr>
          <w:color w:val="231F20"/>
        </w:rPr>
        <w:t>km;</w:t>
      </w:r>
      <w:r>
        <w:rPr>
          <w:color w:val="231F20"/>
          <w:spacing w:val="-15"/>
        </w:rPr>
        <w:t> </w:t>
      </w:r>
      <w:r>
        <w:rPr>
          <w:color w:val="231F20"/>
        </w:rPr>
        <w:t>стационажа</w:t>
      </w:r>
      <w:r>
        <w:rPr>
          <w:color w:val="231F20"/>
          <w:spacing w:val="-15"/>
        </w:rPr>
        <w:t> </w:t>
      </w:r>
      <w:r>
        <w:rPr>
          <w:color w:val="231F20"/>
        </w:rPr>
        <w:t>прикључ- ка</w:t>
      </w:r>
      <w:r>
        <w:rPr>
          <w:color w:val="231F20"/>
          <w:spacing w:val="-5"/>
        </w:rPr>
        <w:t> </w:t>
      </w:r>
      <w:r>
        <w:rPr>
          <w:color w:val="231F20"/>
        </w:rPr>
        <w:t>новог</w:t>
      </w:r>
      <w:r>
        <w:rPr>
          <w:color w:val="231F20"/>
          <w:spacing w:val="-5"/>
        </w:rPr>
        <w:t> </w:t>
      </w:r>
      <w:r>
        <w:rPr>
          <w:color w:val="231F20"/>
        </w:rPr>
        <w:t>пута</w:t>
      </w:r>
      <w:r>
        <w:rPr>
          <w:color w:val="231F20"/>
          <w:spacing w:val="-5"/>
        </w:rPr>
        <w:t> </w:t>
      </w:r>
      <w:r>
        <w:rPr>
          <w:color w:val="231F20"/>
        </w:rPr>
        <w:t>на</w:t>
      </w:r>
      <w:r>
        <w:rPr>
          <w:color w:val="231F20"/>
          <w:spacing w:val="-5"/>
        </w:rPr>
        <w:t> </w:t>
      </w:r>
      <w:r>
        <w:rPr>
          <w:color w:val="231F20"/>
        </w:rPr>
        <w:t>постојећи</w:t>
      </w:r>
      <w:r>
        <w:rPr>
          <w:color w:val="231F20"/>
          <w:spacing w:val="-5"/>
        </w:rPr>
        <w:t> </w:t>
      </w:r>
      <w:r>
        <w:rPr>
          <w:color w:val="231F20"/>
        </w:rPr>
        <w:t>државни</w:t>
      </w:r>
      <w:r>
        <w:rPr>
          <w:color w:val="231F20"/>
          <w:spacing w:val="-5"/>
        </w:rPr>
        <w:t> </w:t>
      </w:r>
      <w:r>
        <w:rPr>
          <w:color w:val="231F20"/>
        </w:rPr>
        <w:t>пут</w:t>
      </w:r>
      <w:r>
        <w:rPr>
          <w:color w:val="231F20"/>
          <w:spacing w:val="-5"/>
        </w:rPr>
        <w:t> </w:t>
      </w:r>
      <w:r>
        <w:rPr>
          <w:color w:val="231F20"/>
        </w:rPr>
        <w:t>ДП-103</w:t>
      </w:r>
      <w:r>
        <w:rPr>
          <w:color w:val="231F20"/>
          <w:spacing w:val="-5"/>
        </w:rPr>
        <w:t> </w:t>
      </w:r>
      <w:r>
        <w:rPr>
          <w:color w:val="231F20"/>
        </w:rPr>
        <w:t>је</w:t>
      </w:r>
      <w:r>
        <w:rPr>
          <w:color w:val="231F20"/>
          <w:spacing w:val="-5"/>
        </w:rPr>
        <w:t> </w:t>
      </w:r>
      <w:r>
        <w:rPr>
          <w:color w:val="231F20"/>
          <w:spacing w:val="-4"/>
        </w:rPr>
        <w:t>око</w:t>
      </w:r>
      <w:r>
        <w:rPr>
          <w:color w:val="231F20"/>
          <w:spacing w:val="-5"/>
        </w:rPr>
        <w:t> </w:t>
      </w:r>
      <w:r>
        <w:rPr>
          <w:color w:val="231F20"/>
        </w:rPr>
        <w:t>km</w:t>
      </w:r>
      <w:r>
        <w:rPr>
          <w:color w:val="231F20"/>
          <w:spacing w:val="-5"/>
        </w:rPr>
        <w:t> </w:t>
      </w:r>
      <w:r>
        <w:rPr>
          <w:color w:val="231F20"/>
        </w:rPr>
        <w:t>2+442;</w:t>
      </w:r>
    </w:p>
    <w:p>
      <w:pPr>
        <w:pStyle w:val="BodyText"/>
        <w:spacing w:line="232" w:lineRule="auto"/>
        <w:ind w:left="172" w:right="407" w:firstLine="396"/>
      </w:pPr>
      <w:r>
        <w:rPr>
          <w:color w:val="231F20"/>
          <w:w w:val="66"/>
        </w:rPr>
        <w:t> </w:t>
      </w:r>
      <w:r>
        <w:rPr>
          <w:color w:val="231F20"/>
        </w:rPr>
        <w:t>– реконструкција постојећег пута између старог Костолца и градског насеља Костолац (попречна веза општинског пута ОП5 – поред паровода), у дужини од око 1,7 km, чиме се стварају услови за добијање функционалног ранга општинског пута; изградњом/ продужењем овог пута у дужини од око 0,3 km остварује се веза и са новим путем регионалног значаја на десној обали Дунава</w:t>
      </w:r>
    </w:p>
    <w:p>
      <w:pPr>
        <w:spacing w:after="0" w:line="232" w:lineRule="auto"/>
        <w:sectPr>
          <w:pgSz w:w="12480" w:h="15690"/>
          <w:pgMar w:top="120" w:bottom="280" w:left="680" w:right="720"/>
          <w:cols w:num="2" w:equalWidth="0">
            <w:col w:w="5315" w:space="73"/>
            <w:col w:w="5692"/>
          </w:cols>
        </w:sectPr>
      </w:pPr>
    </w:p>
    <w:p>
      <w:pPr>
        <w:pStyle w:val="BodyText"/>
        <w:spacing w:line="232" w:lineRule="auto" w:before="73"/>
        <w:ind w:left="453" w:right="1" w:firstLine="396"/>
      </w:pPr>
      <w:r>
        <w:rPr/>
        <w:pict>
          <v:line style="position:absolute;mso-position-horizontal-relative:page;mso-position-vertical-relative:page;z-index:2704" from="318.897614pt,11.942451pt" to="318.897614pt,748.950451pt" stroked="true" strokeweight=".6pt" strokecolor="#231f20">
            <v:stroke dashstyle="solid"/>
            <w10:wrap type="none"/>
          </v:line>
        </w:pict>
      </w:r>
      <w:r>
        <w:rPr>
          <w:color w:val="231F20"/>
          <w:w w:val="66"/>
        </w:rPr>
        <w:t> </w:t>
      </w:r>
      <w:r>
        <w:rPr>
          <w:color w:val="231F20"/>
        </w:rPr>
        <w:t>– изградња новог општинског пута, по траси некатегори- саног пута, између насеља </w:t>
      </w:r>
      <w:r>
        <w:rPr>
          <w:color w:val="231F20"/>
          <w:spacing w:val="-4"/>
        </w:rPr>
        <w:t>Курјаче  </w:t>
      </w:r>
      <w:r>
        <w:rPr>
          <w:color w:val="231F20"/>
        </w:rPr>
        <w:t>(општина Велико Градиште)  и Кличевца (оријентациона дужина </w:t>
      </w:r>
      <w:r>
        <w:rPr>
          <w:color w:val="231F20"/>
          <w:spacing w:val="-4"/>
        </w:rPr>
        <w:t>око </w:t>
      </w:r>
      <w:r>
        <w:rPr>
          <w:color w:val="231F20"/>
        </w:rPr>
        <w:t>4 km); стационажа при- кључка новог општинског пута на постојећи државни пут ДП-105 је </w:t>
      </w:r>
      <w:r>
        <w:rPr>
          <w:color w:val="231F20"/>
          <w:spacing w:val="-4"/>
        </w:rPr>
        <w:t>око </w:t>
      </w:r>
      <w:r>
        <w:rPr>
          <w:color w:val="231F20"/>
        </w:rPr>
        <w:t>km 7+095</w:t>
      </w:r>
      <w:r>
        <w:rPr>
          <w:color w:val="231F20"/>
          <w:spacing w:val="3"/>
        </w:rPr>
        <w:t> </w:t>
      </w:r>
      <w:r>
        <w:rPr>
          <w:color w:val="231F20"/>
        </w:rPr>
        <w:t>и</w:t>
      </w:r>
    </w:p>
    <w:p>
      <w:pPr>
        <w:pStyle w:val="BodyText"/>
        <w:spacing w:line="230" w:lineRule="auto" w:before="4"/>
        <w:ind w:left="453" w:right="1" w:firstLine="396"/>
      </w:pPr>
      <w:r>
        <w:rPr>
          <w:color w:val="231F20"/>
          <w:w w:val="66"/>
        </w:rPr>
        <w:t> </w:t>
      </w:r>
      <w:r>
        <w:rPr>
          <w:color w:val="231F20"/>
        </w:rPr>
        <w:t>– изградња општинског пута у јужном делу Планског под- ручја између насеља Пољана (са оријентационом стационажом прикључка на државни пут ДП-103 km 18+988) и насеља Шљиво- вац (општина Мало Црниће) са дужином од око 2,1 km.</w:t>
      </w:r>
    </w:p>
    <w:p>
      <w:pPr>
        <w:pStyle w:val="BodyText"/>
        <w:spacing w:line="230" w:lineRule="auto" w:before="3"/>
        <w:ind w:left="453" w:right="1" w:firstLine="397"/>
      </w:pPr>
      <w:r>
        <w:rPr>
          <w:color w:val="231F20"/>
        </w:rPr>
        <w:t>Приликом пројектовања и изградње нових општинских пу- тева користити принцип максималног коришћења постојећих некатегорисаних путева са минимизацијом новог заузимања по- љопривредног, шумског земљишта и слично али са обезбеђењем елемената за безбедна кретања корисника.</w:t>
      </w:r>
    </w:p>
    <w:p>
      <w:pPr>
        <w:pStyle w:val="BodyText"/>
        <w:spacing w:line="230" w:lineRule="auto" w:before="5"/>
        <w:ind w:left="453" w:right="1" w:firstLine="396"/>
      </w:pPr>
      <w:r>
        <w:rPr>
          <w:color w:val="231F20"/>
        </w:rPr>
        <w:t>Реконструкција и рехабилитација постојећих општинских путева</w:t>
      </w:r>
      <w:r>
        <w:rPr>
          <w:color w:val="231F20"/>
          <w:spacing w:val="-6"/>
        </w:rPr>
        <w:t> </w:t>
      </w:r>
      <w:r>
        <w:rPr>
          <w:color w:val="231F20"/>
        </w:rPr>
        <w:t>реализоваће</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постојећим</w:t>
      </w:r>
      <w:r>
        <w:rPr>
          <w:color w:val="231F20"/>
          <w:spacing w:val="-6"/>
        </w:rPr>
        <w:t> </w:t>
      </w:r>
      <w:r>
        <w:rPr>
          <w:color w:val="231F20"/>
        </w:rPr>
        <w:t>коридорима,</w:t>
      </w:r>
      <w:r>
        <w:rPr>
          <w:color w:val="231F20"/>
          <w:spacing w:val="-6"/>
        </w:rPr>
        <w:t> </w:t>
      </w:r>
      <w:r>
        <w:rPr>
          <w:color w:val="231F20"/>
        </w:rPr>
        <w:t>по</w:t>
      </w:r>
      <w:r>
        <w:rPr>
          <w:color w:val="231F20"/>
          <w:spacing w:val="-6"/>
        </w:rPr>
        <w:t> </w:t>
      </w:r>
      <w:r>
        <w:rPr>
          <w:color w:val="231F20"/>
        </w:rPr>
        <w:t>приоритетима одређеним кроз планове јединица локалне самоуправе и у складу са економским могућностима локалне</w:t>
      </w:r>
      <w:r>
        <w:rPr>
          <w:color w:val="231F20"/>
          <w:spacing w:val="-5"/>
        </w:rPr>
        <w:t> </w:t>
      </w:r>
      <w:r>
        <w:rPr>
          <w:color w:val="231F20"/>
        </w:rPr>
        <w:t>заједнице.</w:t>
      </w:r>
    </w:p>
    <w:p>
      <w:pPr>
        <w:pStyle w:val="BodyText"/>
        <w:spacing w:line="230" w:lineRule="auto" w:before="3"/>
        <w:ind w:left="453" w:right="1" w:firstLine="396"/>
      </w:pPr>
      <w:r>
        <w:rPr>
          <w:color w:val="231F20"/>
        </w:rPr>
        <w:t>За период после 2022. године и потенцијалног измештања насеља Острово, Батовац и Дубравица (због евентуалне експлоа- тације западног лигнитског лежишта „Дубравица”), резервише се и коридор за изградњу општинског пута дужине од око 3,1 km, на потезу између постојећег државног пута I реда бр.107б и насеља Брежане, чиме ће се остварити континуитет у локалним кретањи- ма на правцу Костолац – Петка – Брежане.</w:t>
      </w:r>
    </w:p>
    <w:p>
      <w:pPr>
        <w:pStyle w:val="BodyText"/>
        <w:spacing w:line="230" w:lineRule="auto" w:before="7"/>
        <w:ind w:left="453" w:right="1" w:firstLine="396"/>
      </w:pPr>
      <w:r>
        <w:rPr>
          <w:color w:val="231F20"/>
        </w:rPr>
        <w:t>Изградња нових путева, као и реконструкција постојећих треба да буде у складу са важећим законима, условима и технич- ким прописима за пројектовање ванградских путева предвиђеног ранга (Табела 22).</w:t>
      </w:r>
    </w:p>
    <w:p>
      <w:pPr>
        <w:pStyle w:val="BodyText"/>
        <w:spacing w:before="1"/>
        <w:ind w:left="0"/>
        <w:jc w:val="left"/>
        <w:rPr>
          <w:sz w:val="17"/>
        </w:rPr>
      </w:pPr>
    </w:p>
    <w:p>
      <w:pPr>
        <w:pStyle w:val="BodyText"/>
        <w:ind w:left="454"/>
        <w:jc w:val="left"/>
      </w:pPr>
      <w:r>
        <w:rPr>
          <w:color w:val="231F20"/>
        </w:rPr>
        <w:t>Табела 22. Услови за пројектовање мреже ванградских путева*</w:t>
      </w:r>
    </w:p>
    <w:p>
      <w:pPr>
        <w:pStyle w:val="BodyText"/>
        <w:spacing w:before="9"/>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02"/>
        <w:gridCol w:w="950"/>
        <w:gridCol w:w="950"/>
        <w:gridCol w:w="950"/>
        <w:gridCol w:w="950"/>
      </w:tblGrid>
      <w:tr>
        <w:trPr>
          <w:trHeight w:val="200" w:hRule="atLeast"/>
        </w:trPr>
        <w:tc>
          <w:tcPr>
            <w:tcW w:w="1302" w:type="dxa"/>
            <w:vMerge w:val="restart"/>
          </w:tcPr>
          <w:p>
            <w:pPr>
              <w:pStyle w:val="TableParagraph"/>
              <w:ind w:left="469" w:right="173" w:hanging="267"/>
              <w:jc w:val="left"/>
              <w:rPr>
                <w:sz w:val="14"/>
              </w:rPr>
            </w:pPr>
            <w:r>
              <w:rPr>
                <w:color w:val="231F20"/>
                <w:sz w:val="14"/>
              </w:rPr>
              <w:t>Пројектни еле- менти</w:t>
            </w:r>
          </w:p>
        </w:tc>
        <w:tc>
          <w:tcPr>
            <w:tcW w:w="3800" w:type="dxa"/>
            <w:gridSpan w:val="4"/>
          </w:tcPr>
          <w:p>
            <w:pPr>
              <w:pStyle w:val="TableParagraph"/>
              <w:ind w:left="1401" w:right="1393"/>
              <w:jc w:val="center"/>
              <w:rPr>
                <w:sz w:val="14"/>
              </w:rPr>
            </w:pPr>
            <w:r>
              <w:rPr>
                <w:color w:val="231F20"/>
                <w:sz w:val="14"/>
              </w:rPr>
              <w:t>Категорија пута</w:t>
            </w:r>
          </w:p>
        </w:tc>
      </w:tr>
      <w:tr>
        <w:trPr>
          <w:trHeight w:val="200" w:hRule="atLeast"/>
        </w:trPr>
        <w:tc>
          <w:tcPr>
            <w:tcW w:w="1302" w:type="dxa"/>
            <w:vMerge/>
            <w:tcBorders>
              <w:top w:val="nil"/>
            </w:tcBorders>
          </w:tcPr>
          <w:p>
            <w:pPr>
              <w:rPr>
                <w:sz w:val="2"/>
                <w:szCs w:val="2"/>
              </w:rPr>
            </w:pPr>
          </w:p>
        </w:tc>
        <w:tc>
          <w:tcPr>
            <w:tcW w:w="1900" w:type="dxa"/>
            <w:gridSpan w:val="2"/>
          </w:tcPr>
          <w:p>
            <w:pPr>
              <w:pStyle w:val="TableParagraph"/>
              <w:ind w:left="266"/>
              <w:jc w:val="left"/>
              <w:rPr>
                <w:sz w:val="14"/>
              </w:rPr>
            </w:pPr>
            <w:r>
              <w:rPr>
                <w:color w:val="231F20"/>
                <w:sz w:val="14"/>
              </w:rPr>
              <w:t>Државни путеви I реда</w:t>
            </w:r>
          </w:p>
        </w:tc>
        <w:tc>
          <w:tcPr>
            <w:tcW w:w="950" w:type="dxa"/>
            <w:vMerge w:val="restart"/>
          </w:tcPr>
          <w:p>
            <w:pPr>
              <w:pStyle w:val="TableParagraph"/>
              <w:ind w:left="269" w:right="176" w:hanging="66"/>
              <w:jc w:val="left"/>
              <w:rPr>
                <w:sz w:val="14"/>
              </w:rPr>
            </w:pPr>
            <w:r>
              <w:rPr>
                <w:color w:val="231F20"/>
                <w:sz w:val="14"/>
              </w:rPr>
              <w:t>Државни путеви II реда</w:t>
            </w:r>
          </w:p>
        </w:tc>
        <w:tc>
          <w:tcPr>
            <w:tcW w:w="950" w:type="dxa"/>
            <w:vMerge w:val="restart"/>
          </w:tcPr>
          <w:p>
            <w:pPr>
              <w:pStyle w:val="TableParagraph"/>
              <w:ind w:left="268" w:right="98" w:hanging="146"/>
              <w:jc w:val="left"/>
              <w:rPr>
                <w:sz w:val="14"/>
              </w:rPr>
            </w:pPr>
            <w:r>
              <w:rPr>
                <w:color w:val="231F20"/>
                <w:sz w:val="14"/>
              </w:rPr>
              <w:t>Општински путеви</w:t>
            </w:r>
          </w:p>
        </w:tc>
      </w:tr>
      <w:tr>
        <w:trPr>
          <w:trHeight w:val="520" w:hRule="atLeast"/>
        </w:trPr>
        <w:tc>
          <w:tcPr>
            <w:tcW w:w="1302" w:type="dxa"/>
            <w:vMerge/>
            <w:tcBorders>
              <w:top w:val="nil"/>
            </w:tcBorders>
          </w:tcPr>
          <w:p>
            <w:pPr>
              <w:rPr>
                <w:sz w:val="2"/>
                <w:szCs w:val="2"/>
              </w:rPr>
            </w:pPr>
          </w:p>
        </w:tc>
        <w:tc>
          <w:tcPr>
            <w:tcW w:w="950" w:type="dxa"/>
          </w:tcPr>
          <w:p>
            <w:pPr>
              <w:pStyle w:val="TableParagraph"/>
              <w:ind w:left="123"/>
              <w:jc w:val="left"/>
              <w:rPr>
                <w:sz w:val="14"/>
              </w:rPr>
            </w:pPr>
            <w:r>
              <w:rPr>
                <w:color w:val="231F20"/>
                <w:sz w:val="14"/>
              </w:rPr>
              <w:t>Аутопутеви</w:t>
            </w:r>
          </w:p>
        </w:tc>
        <w:tc>
          <w:tcPr>
            <w:tcW w:w="950" w:type="dxa"/>
          </w:tcPr>
          <w:p>
            <w:pPr>
              <w:pStyle w:val="TableParagraph"/>
              <w:ind w:left="64" w:right="54"/>
              <w:jc w:val="center"/>
              <w:rPr>
                <w:sz w:val="14"/>
              </w:rPr>
            </w:pPr>
            <w:r>
              <w:rPr>
                <w:color w:val="231F20"/>
                <w:sz w:val="14"/>
              </w:rPr>
              <w:t>Остали др- жавни путеви I реда</w:t>
            </w:r>
          </w:p>
        </w:tc>
        <w:tc>
          <w:tcPr>
            <w:tcW w:w="950" w:type="dxa"/>
            <w:vMerge/>
            <w:tcBorders>
              <w:top w:val="nil"/>
            </w:tcBorders>
          </w:tcPr>
          <w:p>
            <w:pPr>
              <w:rPr>
                <w:sz w:val="2"/>
                <w:szCs w:val="2"/>
              </w:rPr>
            </w:pPr>
          </w:p>
        </w:tc>
        <w:tc>
          <w:tcPr>
            <w:tcW w:w="950" w:type="dxa"/>
            <w:vMerge/>
            <w:tcBorders>
              <w:top w:val="nil"/>
            </w:tcBorders>
          </w:tcPr>
          <w:p>
            <w:pPr>
              <w:rPr>
                <w:sz w:val="2"/>
                <w:szCs w:val="2"/>
              </w:rPr>
            </w:pPr>
          </w:p>
        </w:tc>
      </w:tr>
      <w:tr>
        <w:trPr>
          <w:trHeight w:val="360" w:hRule="atLeast"/>
        </w:trPr>
        <w:tc>
          <w:tcPr>
            <w:tcW w:w="1302" w:type="dxa"/>
          </w:tcPr>
          <w:p>
            <w:pPr>
              <w:pStyle w:val="TableParagraph"/>
              <w:ind w:left="56" w:right="173"/>
              <w:jc w:val="left"/>
              <w:rPr>
                <w:sz w:val="14"/>
              </w:rPr>
            </w:pPr>
            <w:r>
              <w:rPr>
                <w:color w:val="231F20"/>
                <w:sz w:val="14"/>
              </w:rPr>
              <w:t>Рачунска брзина Вмин (km/h)</w:t>
            </w:r>
          </w:p>
        </w:tc>
        <w:tc>
          <w:tcPr>
            <w:tcW w:w="950" w:type="dxa"/>
          </w:tcPr>
          <w:p>
            <w:pPr>
              <w:pStyle w:val="TableParagraph"/>
              <w:ind w:right="45"/>
              <w:rPr>
                <w:sz w:val="14"/>
              </w:rPr>
            </w:pPr>
            <w:r>
              <w:rPr>
                <w:color w:val="231F20"/>
                <w:sz w:val="14"/>
              </w:rPr>
              <w:t>&gt;100</w:t>
            </w:r>
          </w:p>
        </w:tc>
        <w:tc>
          <w:tcPr>
            <w:tcW w:w="950" w:type="dxa"/>
          </w:tcPr>
          <w:p>
            <w:pPr>
              <w:pStyle w:val="TableParagraph"/>
              <w:ind w:right="45"/>
              <w:rPr>
                <w:sz w:val="14"/>
              </w:rPr>
            </w:pPr>
            <w:r>
              <w:rPr>
                <w:color w:val="231F20"/>
                <w:sz w:val="14"/>
              </w:rPr>
              <w:t>100 (80)</w:t>
            </w:r>
          </w:p>
        </w:tc>
        <w:tc>
          <w:tcPr>
            <w:tcW w:w="950" w:type="dxa"/>
          </w:tcPr>
          <w:p>
            <w:pPr>
              <w:pStyle w:val="TableParagraph"/>
              <w:ind w:right="46"/>
              <w:rPr>
                <w:sz w:val="14"/>
              </w:rPr>
            </w:pPr>
            <w:r>
              <w:rPr>
                <w:color w:val="231F20"/>
                <w:sz w:val="14"/>
              </w:rPr>
              <w:t>80(60)</w:t>
            </w:r>
          </w:p>
        </w:tc>
        <w:tc>
          <w:tcPr>
            <w:tcW w:w="950" w:type="dxa"/>
          </w:tcPr>
          <w:p>
            <w:pPr>
              <w:pStyle w:val="TableParagraph"/>
              <w:ind w:right="46"/>
              <w:rPr>
                <w:sz w:val="14"/>
              </w:rPr>
            </w:pPr>
            <w:r>
              <w:rPr>
                <w:color w:val="231F20"/>
                <w:sz w:val="14"/>
              </w:rPr>
              <w:t>60(40)</w:t>
            </w:r>
          </w:p>
        </w:tc>
      </w:tr>
      <w:tr>
        <w:trPr>
          <w:trHeight w:val="360" w:hRule="atLeast"/>
        </w:trPr>
        <w:tc>
          <w:tcPr>
            <w:tcW w:w="1302" w:type="dxa"/>
          </w:tcPr>
          <w:p>
            <w:pPr>
              <w:pStyle w:val="TableParagraph"/>
              <w:ind w:left="56"/>
              <w:jc w:val="left"/>
              <w:rPr>
                <w:sz w:val="14"/>
              </w:rPr>
            </w:pPr>
            <w:r>
              <w:rPr>
                <w:color w:val="231F20"/>
                <w:sz w:val="14"/>
              </w:rPr>
              <w:t>Хоризонталне кри- вине Рмин (m)</w:t>
            </w:r>
          </w:p>
        </w:tc>
        <w:tc>
          <w:tcPr>
            <w:tcW w:w="950" w:type="dxa"/>
          </w:tcPr>
          <w:p>
            <w:pPr>
              <w:pStyle w:val="TableParagraph"/>
              <w:ind w:right="45"/>
              <w:rPr>
                <w:sz w:val="14"/>
              </w:rPr>
            </w:pPr>
            <w:r>
              <w:rPr>
                <w:color w:val="231F20"/>
                <w:sz w:val="14"/>
              </w:rPr>
              <w:t>&gt;450</w:t>
            </w:r>
          </w:p>
        </w:tc>
        <w:tc>
          <w:tcPr>
            <w:tcW w:w="950" w:type="dxa"/>
          </w:tcPr>
          <w:p>
            <w:pPr>
              <w:pStyle w:val="TableParagraph"/>
              <w:ind w:right="45"/>
              <w:rPr>
                <w:sz w:val="14"/>
              </w:rPr>
            </w:pPr>
            <w:r>
              <w:rPr>
                <w:color w:val="231F20"/>
                <w:sz w:val="14"/>
              </w:rPr>
              <w:t>450 (250)</w:t>
            </w:r>
          </w:p>
        </w:tc>
        <w:tc>
          <w:tcPr>
            <w:tcW w:w="950" w:type="dxa"/>
          </w:tcPr>
          <w:p>
            <w:pPr>
              <w:pStyle w:val="TableParagraph"/>
              <w:ind w:right="45"/>
              <w:rPr>
                <w:sz w:val="14"/>
              </w:rPr>
            </w:pPr>
            <w:r>
              <w:rPr>
                <w:color w:val="231F20"/>
                <w:sz w:val="14"/>
              </w:rPr>
              <w:t>250 (120)</w:t>
            </w:r>
          </w:p>
        </w:tc>
        <w:tc>
          <w:tcPr>
            <w:tcW w:w="950" w:type="dxa"/>
          </w:tcPr>
          <w:p>
            <w:pPr>
              <w:pStyle w:val="TableParagraph"/>
              <w:ind w:right="46"/>
              <w:rPr>
                <w:sz w:val="14"/>
              </w:rPr>
            </w:pPr>
            <w:r>
              <w:rPr>
                <w:color w:val="231F20"/>
                <w:sz w:val="14"/>
              </w:rPr>
              <w:t>120 (45)</w:t>
            </w:r>
          </w:p>
        </w:tc>
      </w:tr>
      <w:tr>
        <w:trPr>
          <w:trHeight w:val="360" w:hRule="atLeast"/>
        </w:trPr>
        <w:tc>
          <w:tcPr>
            <w:tcW w:w="1302" w:type="dxa"/>
          </w:tcPr>
          <w:p>
            <w:pPr>
              <w:pStyle w:val="TableParagraph"/>
              <w:ind w:left="56" w:right="173"/>
              <w:jc w:val="left"/>
              <w:rPr>
                <w:sz w:val="14"/>
              </w:rPr>
            </w:pPr>
            <w:r>
              <w:rPr>
                <w:color w:val="231F20"/>
                <w:sz w:val="14"/>
              </w:rPr>
              <w:t>Подужни нагиб iмакс(%)</w:t>
            </w:r>
          </w:p>
        </w:tc>
        <w:tc>
          <w:tcPr>
            <w:tcW w:w="950" w:type="dxa"/>
          </w:tcPr>
          <w:p>
            <w:pPr>
              <w:pStyle w:val="TableParagraph"/>
              <w:ind w:right="45"/>
              <w:rPr>
                <w:sz w:val="14"/>
              </w:rPr>
            </w:pPr>
            <w:r>
              <w:rPr>
                <w:color w:val="231F20"/>
                <w:sz w:val="14"/>
              </w:rPr>
              <w:t>5</w:t>
            </w:r>
          </w:p>
        </w:tc>
        <w:tc>
          <w:tcPr>
            <w:tcW w:w="950" w:type="dxa"/>
          </w:tcPr>
          <w:p>
            <w:pPr>
              <w:pStyle w:val="TableParagraph"/>
              <w:ind w:right="45"/>
              <w:rPr>
                <w:sz w:val="14"/>
              </w:rPr>
            </w:pPr>
            <w:r>
              <w:rPr>
                <w:color w:val="231F20"/>
                <w:sz w:val="14"/>
              </w:rPr>
              <w:t>5(6)</w:t>
            </w:r>
          </w:p>
        </w:tc>
        <w:tc>
          <w:tcPr>
            <w:tcW w:w="950" w:type="dxa"/>
          </w:tcPr>
          <w:p>
            <w:pPr>
              <w:pStyle w:val="TableParagraph"/>
              <w:ind w:right="45"/>
              <w:rPr>
                <w:sz w:val="14"/>
              </w:rPr>
            </w:pPr>
            <w:r>
              <w:rPr>
                <w:color w:val="231F20"/>
                <w:sz w:val="14"/>
              </w:rPr>
              <w:t>6(8)</w:t>
            </w:r>
          </w:p>
        </w:tc>
        <w:tc>
          <w:tcPr>
            <w:tcW w:w="950" w:type="dxa"/>
          </w:tcPr>
          <w:p>
            <w:pPr>
              <w:pStyle w:val="TableParagraph"/>
              <w:ind w:right="46"/>
              <w:rPr>
                <w:sz w:val="14"/>
              </w:rPr>
            </w:pPr>
            <w:r>
              <w:rPr>
                <w:color w:val="231F20"/>
                <w:sz w:val="14"/>
              </w:rPr>
              <w:t>8(10)</w:t>
            </w:r>
          </w:p>
        </w:tc>
      </w:tr>
      <w:tr>
        <w:trPr>
          <w:trHeight w:val="360" w:hRule="atLeast"/>
        </w:trPr>
        <w:tc>
          <w:tcPr>
            <w:tcW w:w="1302" w:type="dxa"/>
          </w:tcPr>
          <w:p>
            <w:pPr>
              <w:pStyle w:val="TableParagraph"/>
              <w:ind w:left="56"/>
              <w:jc w:val="left"/>
              <w:rPr>
                <w:sz w:val="14"/>
              </w:rPr>
            </w:pPr>
            <w:r>
              <w:rPr>
                <w:color w:val="231F20"/>
                <w:sz w:val="14"/>
              </w:rPr>
              <w:t>Ширина коловоза (m)</w:t>
            </w:r>
          </w:p>
        </w:tc>
        <w:tc>
          <w:tcPr>
            <w:tcW w:w="950" w:type="dxa"/>
          </w:tcPr>
          <w:p>
            <w:pPr>
              <w:pStyle w:val="TableParagraph"/>
              <w:spacing w:line="161" w:lineRule="exact"/>
              <w:ind w:left="64"/>
              <w:jc w:val="left"/>
              <w:rPr>
                <w:sz w:val="14"/>
              </w:rPr>
            </w:pPr>
            <w:r>
              <w:rPr>
                <w:color w:val="231F20"/>
                <w:sz w:val="14"/>
              </w:rPr>
              <w:t>2х3,75 (2х3,5)</w:t>
            </w:r>
          </w:p>
          <w:p>
            <w:pPr>
              <w:pStyle w:val="TableParagraph"/>
              <w:spacing w:line="161" w:lineRule="exact" w:before="0"/>
              <w:ind w:left="362"/>
              <w:jc w:val="left"/>
              <w:rPr>
                <w:sz w:val="14"/>
              </w:rPr>
            </w:pPr>
            <w:r>
              <w:rPr>
                <w:color w:val="231F20"/>
                <w:sz w:val="14"/>
              </w:rPr>
              <w:t>по смеру</w:t>
            </w:r>
          </w:p>
        </w:tc>
        <w:tc>
          <w:tcPr>
            <w:tcW w:w="950" w:type="dxa"/>
          </w:tcPr>
          <w:p>
            <w:pPr>
              <w:pStyle w:val="TableParagraph"/>
              <w:ind w:right="45"/>
              <w:rPr>
                <w:sz w:val="14"/>
              </w:rPr>
            </w:pPr>
            <w:r>
              <w:rPr>
                <w:color w:val="231F20"/>
                <w:sz w:val="14"/>
              </w:rPr>
              <w:t>2х3,5 (2х3,25)</w:t>
            </w:r>
          </w:p>
        </w:tc>
        <w:tc>
          <w:tcPr>
            <w:tcW w:w="950" w:type="dxa"/>
          </w:tcPr>
          <w:p>
            <w:pPr>
              <w:pStyle w:val="TableParagraph"/>
              <w:ind w:right="45"/>
              <w:rPr>
                <w:sz w:val="14"/>
              </w:rPr>
            </w:pPr>
            <w:r>
              <w:rPr>
                <w:color w:val="231F20"/>
                <w:sz w:val="14"/>
              </w:rPr>
              <w:t>2х3,25 (2х3,0)</w:t>
            </w:r>
          </w:p>
        </w:tc>
        <w:tc>
          <w:tcPr>
            <w:tcW w:w="950" w:type="dxa"/>
          </w:tcPr>
          <w:p>
            <w:pPr>
              <w:pStyle w:val="TableParagraph"/>
              <w:ind w:right="46"/>
              <w:rPr>
                <w:sz w:val="14"/>
              </w:rPr>
            </w:pPr>
            <w:r>
              <w:rPr>
                <w:color w:val="231F20"/>
                <w:sz w:val="14"/>
              </w:rPr>
              <w:t>2х2,75</w:t>
            </w:r>
          </w:p>
        </w:tc>
      </w:tr>
      <w:tr>
        <w:trPr>
          <w:trHeight w:val="360" w:hRule="atLeast"/>
        </w:trPr>
        <w:tc>
          <w:tcPr>
            <w:tcW w:w="1302" w:type="dxa"/>
          </w:tcPr>
          <w:p>
            <w:pPr>
              <w:pStyle w:val="TableParagraph"/>
              <w:ind w:left="56" w:right="259"/>
              <w:jc w:val="left"/>
              <w:rPr>
                <w:sz w:val="14"/>
              </w:rPr>
            </w:pPr>
            <w:r>
              <w:rPr>
                <w:color w:val="231F20"/>
                <w:sz w:val="14"/>
              </w:rPr>
              <w:t>Ширина ивичне траке (m)</w:t>
            </w:r>
          </w:p>
        </w:tc>
        <w:tc>
          <w:tcPr>
            <w:tcW w:w="950" w:type="dxa"/>
          </w:tcPr>
          <w:p>
            <w:pPr>
              <w:pStyle w:val="TableParagraph"/>
              <w:ind w:right="44"/>
              <w:rPr>
                <w:sz w:val="14"/>
              </w:rPr>
            </w:pPr>
            <w:r>
              <w:rPr>
                <w:color w:val="231F20"/>
                <w:sz w:val="14"/>
              </w:rPr>
              <w:t>0,5-1,0</w:t>
            </w:r>
          </w:p>
        </w:tc>
        <w:tc>
          <w:tcPr>
            <w:tcW w:w="950" w:type="dxa"/>
          </w:tcPr>
          <w:p>
            <w:pPr>
              <w:pStyle w:val="TableParagraph"/>
              <w:ind w:right="45"/>
              <w:rPr>
                <w:sz w:val="14"/>
              </w:rPr>
            </w:pPr>
            <w:r>
              <w:rPr>
                <w:color w:val="231F20"/>
                <w:sz w:val="14"/>
              </w:rPr>
              <w:t>0,35</w:t>
            </w:r>
          </w:p>
        </w:tc>
        <w:tc>
          <w:tcPr>
            <w:tcW w:w="950" w:type="dxa"/>
          </w:tcPr>
          <w:p>
            <w:pPr>
              <w:pStyle w:val="TableParagraph"/>
              <w:ind w:right="45"/>
              <w:rPr>
                <w:sz w:val="14"/>
              </w:rPr>
            </w:pPr>
            <w:r>
              <w:rPr>
                <w:color w:val="231F20"/>
                <w:sz w:val="14"/>
              </w:rPr>
              <w:t>0,25-0,35</w:t>
            </w:r>
          </w:p>
        </w:tc>
        <w:tc>
          <w:tcPr>
            <w:tcW w:w="950" w:type="dxa"/>
          </w:tcPr>
          <w:p>
            <w:pPr>
              <w:pStyle w:val="TableParagraph"/>
              <w:ind w:right="45"/>
              <w:rPr>
                <w:sz w:val="14"/>
              </w:rPr>
            </w:pPr>
            <w:r>
              <w:rPr>
                <w:color w:val="231F20"/>
                <w:sz w:val="14"/>
              </w:rPr>
              <w:t>0,25 (0,20)</w:t>
            </w:r>
          </w:p>
        </w:tc>
      </w:tr>
      <w:tr>
        <w:trPr>
          <w:trHeight w:val="360" w:hRule="atLeast"/>
        </w:trPr>
        <w:tc>
          <w:tcPr>
            <w:tcW w:w="1302" w:type="dxa"/>
          </w:tcPr>
          <w:p>
            <w:pPr>
              <w:pStyle w:val="TableParagraph"/>
              <w:ind w:left="57" w:right="193"/>
              <w:jc w:val="left"/>
              <w:rPr>
                <w:sz w:val="14"/>
              </w:rPr>
            </w:pPr>
            <w:r>
              <w:rPr>
                <w:color w:val="231F20"/>
                <w:sz w:val="14"/>
              </w:rPr>
              <w:t>Ширина банкине (m)</w:t>
            </w:r>
          </w:p>
        </w:tc>
        <w:tc>
          <w:tcPr>
            <w:tcW w:w="950" w:type="dxa"/>
          </w:tcPr>
          <w:p>
            <w:pPr>
              <w:pStyle w:val="TableParagraph"/>
              <w:ind w:right="44"/>
              <w:rPr>
                <w:sz w:val="14"/>
              </w:rPr>
            </w:pPr>
            <w:r>
              <w:rPr>
                <w:color w:val="231F20"/>
                <w:sz w:val="14"/>
              </w:rPr>
              <w:t>2х1,5</w:t>
            </w:r>
          </w:p>
        </w:tc>
        <w:tc>
          <w:tcPr>
            <w:tcW w:w="950" w:type="dxa"/>
          </w:tcPr>
          <w:p>
            <w:pPr>
              <w:pStyle w:val="TableParagraph"/>
              <w:ind w:right="45"/>
              <w:rPr>
                <w:sz w:val="14"/>
              </w:rPr>
            </w:pPr>
            <w:r>
              <w:rPr>
                <w:color w:val="231F20"/>
                <w:sz w:val="14"/>
              </w:rPr>
              <w:t>2х1,5</w:t>
            </w:r>
          </w:p>
        </w:tc>
        <w:tc>
          <w:tcPr>
            <w:tcW w:w="950" w:type="dxa"/>
          </w:tcPr>
          <w:p>
            <w:pPr>
              <w:pStyle w:val="TableParagraph"/>
              <w:ind w:right="45"/>
              <w:rPr>
                <w:sz w:val="14"/>
              </w:rPr>
            </w:pPr>
            <w:r>
              <w:rPr>
                <w:color w:val="231F20"/>
                <w:sz w:val="14"/>
              </w:rPr>
              <w:t>2х1,5</w:t>
            </w:r>
          </w:p>
        </w:tc>
        <w:tc>
          <w:tcPr>
            <w:tcW w:w="950" w:type="dxa"/>
          </w:tcPr>
          <w:p>
            <w:pPr>
              <w:pStyle w:val="TableParagraph"/>
              <w:ind w:right="45"/>
              <w:rPr>
                <w:sz w:val="14"/>
              </w:rPr>
            </w:pPr>
            <w:r>
              <w:rPr>
                <w:color w:val="231F20"/>
                <w:sz w:val="14"/>
              </w:rPr>
              <w:t>2х(1,00-1,25)</w:t>
            </w:r>
          </w:p>
        </w:tc>
      </w:tr>
      <w:tr>
        <w:trPr>
          <w:trHeight w:val="200" w:hRule="atLeast"/>
        </w:trPr>
        <w:tc>
          <w:tcPr>
            <w:tcW w:w="1302" w:type="dxa"/>
          </w:tcPr>
          <w:p>
            <w:pPr>
              <w:pStyle w:val="TableParagraph"/>
              <w:ind w:left="57"/>
              <w:jc w:val="left"/>
              <w:rPr>
                <w:sz w:val="14"/>
              </w:rPr>
            </w:pPr>
            <w:r>
              <w:rPr>
                <w:color w:val="231F20"/>
                <w:sz w:val="14"/>
              </w:rPr>
              <w:t>Ширина риголе (m)</w:t>
            </w:r>
          </w:p>
        </w:tc>
        <w:tc>
          <w:tcPr>
            <w:tcW w:w="950" w:type="dxa"/>
          </w:tcPr>
          <w:p>
            <w:pPr>
              <w:pStyle w:val="TableParagraph"/>
              <w:ind w:right="44"/>
              <w:rPr>
                <w:sz w:val="14"/>
              </w:rPr>
            </w:pPr>
            <w:r>
              <w:rPr>
                <w:color w:val="231F20"/>
                <w:sz w:val="14"/>
              </w:rPr>
              <w:t>2х(0,6-1,0)</w:t>
            </w:r>
          </w:p>
        </w:tc>
        <w:tc>
          <w:tcPr>
            <w:tcW w:w="950" w:type="dxa"/>
          </w:tcPr>
          <w:p>
            <w:pPr>
              <w:pStyle w:val="TableParagraph"/>
              <w:ind w:right="44"/>
              <w:rPr>
                <w:sz w:val="14"/>
              </w:rPr>
            </w:pPr>
            <w:r>
              <w:rPr>
                <w:color w:val="231F20"/>
                <w:sz w:val="14"/>
              </w:rPr>
              <w:t>2х(0,6-1,0)</w:t>
            </w:r>
          </w:p>
        </w:tc>
        <w:tc>
          <w:tcPr>
            <w:tcW w:w="950" w:type="dxa"/>
          </w:tcPr>
          <w:p>
            <w:pPr>
              <w:pStyle w:val="TableParagraph"/>
              <w:ind w:right="45"/>
              <w:rPr>
                <w:sz w:val="14"/>
              </w:rPr>
            </w:pPr>
            <w:r>
              <w:rPr>
                <w:color w:val="231F20"/>
                <w:sz w:val="14"/>
              </w:rPr>
              <w:t>2х(0,6-1,0)</w:t>
            </w:r>
          </w:p>
        </w:tc>
        <w:tc>
          <w:tcPr>
            <w:tcW w:w="950" w:type="dxa"/>
          </w:tcPr>
          <w:p>
            <w:pPr>
              <w:pStyle w:val="TableParagraph"/>
              <w:ind w:right="45"/>
              <w:rPr>
                <w:sz w:val="14"/>
              </w:rPr>
            </w:pPr>
            <w:r>
              <w:rPr>
                <w:color w:val="231F20"/>
                <w:sz w:val="14"/>
              </w:rPr>
              <w:t>2х(0,6-1,0)</w:t>
            </w:r>
          </w:p>
        </w:tc>
      </w:tr>
      <w:tr>
        <w:trPr>
          <w:trHeight w:val="360" w:hRule="atLeast"/>
        </w:trPr>
        <w:tc>
          <w:tcPr>
            <w:tcW w:w="1302" w:type="dxa"/>
          </w:tcPr>
          <w:p>
            <w:pPr>
              <w:pStyle w:val="TableParagraph"/>
              <w:ind w:left="57" w:right="173"/>
              <w:jc w:val="left"/>
              <w:rPr>
                <w:sz w:val="14"/>
              </w:rPr>
            </w:pPr>
            <w:r>
              <w:rPr>
                <w:color w:val="231F20"/>
                <w:sz w:val="14"/>
              </w:rPr>
              <w:t>Коловозна кон- струкција</w:t>
            </w:r>
          </w:p>
        </w:tc>
        <w:tc>
          <w:tcPr>
            <w:tcW w:w="950" w:type="dxa"/>
          </w:tcPr>
          <w:p>
            <w:pPr>
              <w:pStyle w:val="TableParagraph"/>
              <w:ind w:left="119" w:firstLine="161"/>
              <w:jc w:val="left"/>
              <w:rPr>
                <w:sz w:val="14"/>
              </w:rPr>
            </w:pPr>
            <w:r>
              <w:rPr>
                <w:color w:val="231F20"/>
                <w:sz w:val="14"/>
              </w:rPr>
              <w:t>савремена флексибилна</w:t>
            </w:r>
          </w:p>
        </w:tc>
        <w:tc>
          <w:tcPr>
            <w:tcW w:w="950" w:type="dxa"/>
          </w:tcPr>
          <w:p>
            <w:pPr>
              <w:pStyle w:val="TableParagraph"/>
              <w:ind w:left="119" w:firstLine="161"/>
              <w:jc w:val="left"/>
              <w:rPr>
                <w:sz w:val="14"/>
              </w:rPr>
            </w:pPr>
            <w:r>
              <w:rPr>
                <w:color w:val="231F20"/>
                <w:sz w:val="14"/>
              </w:rPr>
              <w:t>савремена флексибилна</w:t>
            </w:r>
          </w:p>
        </w:tc>
        <w:tc>
          <w:tcPr>
            <w:tcW w:w="950" w:type="dxa"/>
          </w:tcPr>
          <w:p>
            <w:pPr>
              <w:pStyle w:val="TableParagraph"/>
              <w:ind w:left="118" w:firstLine="161"/>
              <w:jc w:val="left"/>
              <w:rPr>
                <w:sz w:val="14"/>
              </w:rPr>
            </w:pPr>
            <w:r>
              <w:rPr>
                <w:color w:val="231F20"/>
                <w:sz w:val="14"/>
              </w:rPr>
              <w:t>савремена флексибилна</w:t>
            </w:r>
          </w:p>
        </w:tc>
        <w:tc>
          <w:tcPr>
            <w:tcW w:w="950" w:type="dxa"/>
          </w:tcPr>
          <w:p>
            <w:pPr>
              <w:pStyle w:val="TableParagraph"/>
              <w:ind w:left="118" w:firstLine="161"/>
              <w:jc w:val="left"/>
              <w:rPr>
                <w:sz w:val="14"/>
              </w:rPr>
            </w:pPr>
            <w:r>
              <w:rPr>
                <w:color w:val="231F20"/>
                <w:sz w:val="14"/>
              </w:rPr>
              <w:t>савремена флексибилна</w:t>
            </w:r>
          </w:p>
        </w:tc>
      </w:tr>
      <w:tr>
        <w:trPr>
          <w:trHeight w:val="520" w:hRule="atLeast"/>
        </w:trPr>
        <w:tc>
          <w:tcPr>
            <w:tcW w:w="1302" w:type="dxa"/>
          </w:tcPr>
          <w:p>
            <w:pPr>
              <w:pStyle w:val="TableParagraph"/>
              <w:ind w:left="57" w:right="56"/>
              <w:jc w:val="left"/>
              <w:rPr>
                <w:sz w:val="14"/>
              </w:rPr>
            </w:pPr>
            <w:r>
              <w:rPr>
                <w:color w:val="231F20"/>
                <w:sz w:val="14"/>
              </w:rPr>
              <w:t>Ширина заштитног појаса са обе стра- не пута (m)</w:t>
            </w:r>
          </w:p>
        </w:tc>
        <w:tc>
          <w:tcPr>
            <w:tcW w:w="950" w:type="dxa"/>
          </w:tcPr>
          <w:p>
            <w:pPr>
              <w:pStyle w:val="TableParagraph"/>
              <w:ind w:right="44"/>
              <w:rPr>
                <w:sz w:val="14"/>
              </w:rPr>
            </w:pPr>
            <w:r>
              <w:rPr>
                <w:color w:val="231F20"/>
                <w:sz w:val="14"/>
              </w:rPr>
              <w:t>40</w:t>
            </w:r>
          </w:p>
        </w:tc>
        <w:tc>
          <w:tcPr>
            <w:tcW w:w="950" w:type="dxa"/>
          </w:tcPr>
          <w:p>
            <w:pPr>
              <w:pStyle w:val="TableParagraph"/>
              <w:ind w:right="44"/>
              <w:rPr>
                <w:sz w:val="14"/>
              </w:rPr>
            </w:pPr>
            <w:r>
              <w:rPr>
                <w:color w:val="231F20"/>
                <w:sz w:val="14"/>
              </w:rPr>
              <w:t>20</w:t>
            </w:r>
          </w:p>
        </w:tc>
        <w:tc>
          <w:tcPr>
            <w:tcW w:w="950" w:type="dxa"/>
          </w:tcPr>
          <w:p>
            <w:pPr>
              <w:pStyle w:val="TableParagraph"/>
              <w:ind w:right="45"/>
              <w:rPr>
                <w:sz w:val="14"/>
              </w:rPr>
            </w:pPr>
            <w:r>
              <w:rPr>
                <w:color w:val="231F20"/>
                <w:sz w:val="14"/>
              </w:rPr>
              <w:t>10</w:t>
            </w:r>
          </w:p>
        </w:tc>
        <w:tc>
          <w:tcPr>
            <w:tcW w:w="950" w:type="dxa"/>
          </w:tcPr>
          <w:p>
            <w:pPr>
              <w:pStyle w:val="TableParagraph"/>
              <w:ind w:right="45"/>
              <w:rPr>
                <w:sz w:val="14"/>
              </w:rPr>
            </w:pPr>
            <w:r>
              <w:rPr>
                <w:color w:val="231F20"/>
                <w:sz w:val="14"/>
              </w:rPr>
              <w:t>5</w:t>
            </w:r>
          </w:p>
        </w:tc>
      </w:tr>
    </w:tbl>
    <w:p>
      <w:pPr>
        <w:spacing w:before="29"/>
        <w:ind w:left="738" w:right="0" w:hanging="284"/>
        <w:jc w:val="both"/>
        <w:rPr>
          <w:sz w:val="14"/>
        </w:rPr>
      </w:pPr>
      <w:r>
        <w:rPr>
          <w:color w:val="231F20"/>
          <w:sz w:val="14"/>
        </w:rPr>
        <w:t>*  Напомена: Основни елементи предложени су на основу Закона о јавним путеви- ма </w:t>
      </w:r>
      <w:r>
        <w:rPr>
          <w:color w:val="231F20"/>
          <w:spacing w:val="-3"/>
          <w:sz w:val="14"/>
        </w:rPr>
        <w:t>(С.Г.РС </w:t>
      </w:r>
      <w:r>
        <w:rPr>
          <w:color w:val="231F20"/>
          <w:sz w:val="14"/>
        </w:rPr>
        <w:t>бр. 101/05 и 123/07) и Правилника о условима </w:t>
      </w:r>
      <w:r>
        <w:rPr>
          <w:color w:val="231F20"/>
          <w:spacing w:val="-3"/>
          <w:sz w:val="14"/>
        </w:rPr>
        <w:t>које </w:t>
      </w:r>
      <w:r>
        <w:rPr>
          <w:color w:val="231F20"/>
          <w:sz w:val="14"/>
        </w:rPr>
        <w:t>са аспекта безбед- ности саобраћаја морају да испуњавају путни објекти и други елементи јавног пута </w:t>
      </w:r>
      <w:r>
        <w:rPr>
          <w:color w:val="231F20"/>
          <w:spacing w:val="-3"/>
          <w:sz w:val="14"/>
        </w:rPr>
        <w:t>(С.Г.РС </w:t>
      </w:r>
      <w:r>
        <w:rPr>
          <w:color w:val="231F20"/>
          <w:sz w:val="14"/>
        </w:rPr>
        <w:t>број</w:t>
      </w:r>
      <w:r>
        <w:rPr>
          <w:color w:val="231F20"/>
          <w:spacing w:val="2"/>
          <w:sz w:val="14"/>
        </w:rPr>
        <w:t> </w:t>
      </w:r>
      <w:r>
        <w:rPr>
          <w:color w:val="231F20"/>
          <w:sz w:val="14"/>
        </w:rPr>
        <w:t>50/11)</w:t>
      </w:r>
    </w:p>
    <w:p>
      <w:pPr>
        <w:pStyle w:val="BodyText"/>
        <w:spacing w:before="8"/>
        <w:ind w:left="0"/>
        <w:jc w:val="left"/>
        <w:rPr>
          <w:sz w:val="17"/>
        </w:rPr>
      </w:pPr>
    </w:p>
    <w:p>
      <w:pPr>
        <w:pStyle w:val="BodyText"/>
        <w:spacing w:line="230" w:lineRule="auto" w:before="1"/>
        <w:ind w:left="453" w:right="1" w:firstLine="396"/>
      </w:pPr>
      <w:r>
        <w:rPr>
          <w:color w:val="231F20"/>
        </w:rPr>
        <w:t>Осим изградње, </w:t>
      </w:r>
      <w:r>
        <w:rPr>
          <w:color w:val="231F20"/>
          <w:spacing w:val="-3"/>
        </w:rPr>
        <w:t>реконструкције </w:t>
      </w:r>
      <w:r>
        <w:rPr>
          <w:color w:val="231F20"/>
        </w:rPr>
        <w:t>и </w:t>
      </w:r>
      <w:r>
        <w:rPr>
          <w:color w:val="231F20"/>
          <w:spacing w:val="-3"/>
        </w:rPr>
        <w:t>рехабилитације путева, </w:t>
      </w:r>
      <w:r>
        <w:rPr>
          <w:color w:val="231F20"/>
        </w:rPr>
        <w:t>на целој</w:t>
      </w:r>
      <w:r>
        <w:rPr>
          <w:color w:val="231F20"/>
          <w:spacing w:val="-13"/>
        </w:rPr>
        <w:t> </w:t>
      </w:r>
      <w:r>
        <w:rPr>
          <w:color w:val="231F20"/>
        </w:rPr>
        <w:t>мрежи</w:t>
      </w:r>
      <w:r>
        <w:rPr>
          <w:color w:val="231F20"/>
          <w:spacing w:val="-13"/>
        </w:rPr>
        <w:t> </w:t>
      </w:r>
      <w:r>
        <w:rPr>
          <w:color w:val="231F20"/>
        </w:rPr>
        <w:t>(посебно</w:t>
      </w:r>
      <w:r>
        <w:rPr>
          <w:color w:val="231F20"/>
          <w:spacing w:val="-13"/>
        </w:rPr>
        <w:t> </w:t>
      </w:r>
      <w:r>
        <w:rPr>
          <w:color w:val="231F20"/>
        </w:rPr>
        <w:t>на</w:t>
      </w:r>
      <w:r>
        <w:rPr>
          <w:color w:val="231F20"/>
          <w:spacing w:val="-13"/>
        </w:rPr>
        <w:t> </w:t>
      </w:r>
      <w:r>
        <w:rPr>
          <w:color w:val="231F20"/>
        </w:rPr>
        <w:t>мрежи</w:t>
      </w:r>
      <w:r>
        <w:rPr>
          <w:color w:val="231F20"/>
          <w:spacing w:val="-13"/>
        </w:rPr>
        <w:t> </w:t>
      </w:r>
      <w:r>
        <w:rPr>
          <w:color w:val="231F20"/>
        </w:rPr>
        <w:t>општинских</w:t>
      </w:r>
      <w:r>
        <w:rPr>
          <w:color w:val="231F20"/>
          <w:spacing w:val="-13"/>
        </w:rPr>
        <w:t> </w:t>
      </w:r>
      <w:r>
        <w:rPr>
          <w:color w:val="231F20"/>
          <w:spacing w:val="-3"/>
        </w:rPr>
        <w:t>путева)</w:t>
      </w:r>
      <w:r>
        <w:rPr>
          <w:color w:val="231F20"/>
          <w:spacing w:val="-13"/>
        </w:rPr>
        <w:t> </w:t>
      </w:r>
      <w:r>
        <w:rPr>
          <w:color w:val="231F20"/>
        </w:rPr>
        <w:t>треба</w:t>
      </w:r>
      <w:r>
        <w:rPr>
          <w:color w:val="231F20"/>
          <w:spacing w:val="-13"/>
        </w:rPr>
        <w:t> </w:t>
      </w:r>
      <w:r>
        <w:rPr>
          <w:color w:val="231F20"/>
        </w:rPr>
        <w:t>изврши- ти</w:t>
      </w:r>
      <w:r>
        <w:rPr>
          <w:color w:val="231F20"/>
          <w:spacing w:val="-16"/>
        </w:rPr>
        <w:t> </w:t>
      </w:r>
      <w:r>
        <w:rPr>
          <w:color w:val="231F20"/>
        </w:rPr>
        <w:t>успостављање</w:t>
      </w:r>
      <w:r>
        <w:rPr>
          <w:color w:val="231F20"/>
          <w:spacing w:val="-16"/>
        </w:rPr>
        <w:t> </w:t>
      </w:r>
      <w:r>
        <w:rPr>
          <w:color w:val="231F20"/>
        </w:rPr>
        <w:t>или</w:t>
      </w:r>
      <w:r>
        <w:rPr>
          <w:color w:val="231F20"/>
          <w:spacing w:val="-16"/>
        </w:rPr>
        <w:t> </w:t>
      </w:r>
      <w:r>
        <w:rPr>
          <w:color w:val="231F20"/>
        </w:rPr>
        <w:t>замену</w:t>
      </w:r>
      <w:r>
        <w:rPr>
          <w:color w:val="231F20"/>
          <w:spacing w:val="-16"/>
        </w:rPr>
        <w:t> </w:t>
      </w:r>
      <w:r>
        <w:rPr>
          <w:color w:val="231F20"/>
        </w:rPr>
        <w:t>дотрајале</w:t>
      </w:r>
      <w:r>
        <w:rPr>
          <w:color w:val="231F20"/>
          <w:spacing w:val="-16"/>
        </w:rPr>
        <w:t> </w:t>
      </w:r>
      <w:r>
        <w:rPr>
          <w:color w:val="231F20"/>
        </w:rPr>
        <w:t>саобраћајне</w:t>
      </w:r>
      <w:r>
        <w:rPr>
          <w:color w:val="231F20"/>
          <w:spacing w:val="-16"/>
        </w:rPr>
        <w:t> </w:t>
      </w:r>
      <w:r>
        <w:rPr>
          <w:color w:val="231F20"/>
        </w:rPr>
        <w:t>сигнализације.</w:t>
      </w:r>
    </w:p>
    <w:p>
      <w:pPr>
        <w:pStyle w:val="BodyText"/>
        <w:spacing w:line="230" w:lineRule="auto" w:before="2"/>
        <w:ind w:left="453" w:right="1" w:firstLine="397"/>
      </w:pPr>
      <w:r>
        <w:rPr>
          <w:color w:val="231F20"/>
        </w:rPr>
        <w:t>У</w:t>
      </w:r>
      <w:r>
        <w:rPr>
          <w:color w:val="231F20"/>
          <w:spacing w:val="-4"/>
        </w:rPr>
        <w:t> </w:t>
      </w:r>
      <w:r>
        <w:rPr>
          <w:color w:val="231F20"/>
        </w:rPr>
        <w:t>Табели</w:t>
      </w:r>
      <w:r>
        <w:rPr>
          <w:color w:val="231F20"/>
          <w:spacing w:val="-4"/>
        </w:rPr>
        <w:t> </w:t>
      </w:r>
      <w:r>
        <w:rPr>
          <w:color w:val="231F20"/>
        </w:rPr>
        <w:t>23.</w:t>
      </w:r>
      <w:r>
        <w:rPr>
          <w:color w:val="231F20"/>
          <w:spacing w:val="-4"/>
        </w:rPr>
        <w:t> </w:t>
      </w:r>
      <w:r>
        <w:rPr>
          <w:color w:val="231F20"/>
        </w:rPr>
        <w:t>дате</w:t>
      </w:r>
      <w:r>
        <w:rPr>
          <w:color w:val="231F20"/>
          <w:spacing w:val="-4"/>
        </w:rPr>
        <w:t> </w:t>
      </w:r>
      <w:r>
        <w:rPr>
          <w:color w:val="231F20"/>
        </w:rPr>
        <w:t>су</w:t>
      </w:r>
      <w:r>
        <w:rPr>
          <w:color w:val="231F20"/>
          <w:spacing w:val="-4"/>
        </w:rPr>
        <w:t> </w:t>
      </w:r>
      <w:r>
        <w:rPr>
          <w:color w:val="231F20"/>
        </w:rPr>
        <w:t>укупне</w:t>
      </w:r>
      <w:r>
        <w:rPr>
          <w:color w:val="231F20"/>
          <w:spacing w:val="-4"/>
        </w:rPr>
        <w:t> </w:t>
      </w:r>
      <w:r>
        <w:rPr>
          <w:color w:val="231F20"/>
        </w:rPr>
        <w:t>дужине</w:t>
      </w:r>
      <w:r>
        <w:rPr>
          <w:color w:val="231F20"/>
          <w:spacing w:val="-4"/>
        </w:rPr>
        <w:t> </w:t>
      </w:r>
      <w:r>
        <w:rPr>
          <w:color w:val="231F20"/>
        </w:rPr>
        <w:t>државних</w:t>
      </w:r>
      <w:r>
        <w:rPr>
          <w:color w:val="231F20"/>
          <w:spacing w:val="-4"/>
        </w:rPr>
        <w:t> </w:t>
      </w:r>
      <w:r>
        <w:rPr>
          <w:color w:val="231F20"/>
        </w:rPr>
        <w:t>и</w:t>
      </w:r>
      <w:r>
        <w:rPr>
          <w:color w:val="231F20"/>
          <w:spacing w:val="-4"/>
        </w:rPr>
        <w:t> </w:t>
      </w:r>
      <w:r>
        <w:rPr>
          <w:color w:val="231F20"/>
        </w:rPr>
        <w:t>општинских путева на </w:t>
      </w:r>
      <w:r>
        <w:rPr>
          <w:color w:val="231F20"/>
          <w:spacing w:val="-3"/>
        </w:rPr>
        <w:t>којима </w:t>
      </w:r>
      <w:r>
        <w:rPr>
          <w:color w:val="231F20"/>
        </w:rPr>
        <w:t>треба извршити интервенције као и оријентаци- они биланс површина за изградњу нових деоница путева у план- </w:t>
      </w:r>
      <w:r>
        <w:rPr>
          <w:color w:val="231F20"/>
          <w:spacing w:val="-4"/>
        </w:rPr>
        <w:t>ском</w:t>
      </w:r>
      <w:r>
        <w:rPr>
          <w:color w:val="231F20"/>
        </w:rPr>
        <w:t> </w:t>
      </w:r>
      <w:r>
        <w:rPr>
          <w:color w:val="231F20"/>
          <w:spacing w:val="-4"/>
        </w:rPr>
        <w:t>периоду.</w:t>
      </w:r>
    </w:p>
    <w:p>
      <w:pPr>
        <w:pStyle w:val="BodyText"/>
        <w:spacing w:line="230" w:lineRule="auto" w:before="4"/>
        <w:ind w:left="453" w:right="1" w:firstLine="396"/>
      </w:pPr>
      <w:r>
        <w:rPr>
          <w:color w:val="231F20"/>
        </w:rPr>
        <w:t>Реализацијом предложеног концепта развоја путне мреже, укупна дужина државних путева на Планском подручју износиће око 132 km, од чега је око 38 km I, а око 94 km II реда. Мрежа оп- штинских путева ће се са постојећих 77 km повећати на око 120 km, али треба имати у виду да је значајан део општинских путева настао прекатегоризацијом државних путева (око 28 km).</w:t>
      </w:r>
    </w:p>
    <w:p>
      <w:pPr>
        <w:pStyle w:val="BodyText"/>
        <w:spacing w:line="232" w:lineRule="auto" w:before="6"/>
        <w:ind w:left="453" w:right="1" w:firstLine="397"/>
      </w:pPr>
      <w:r>
        <w:rPr>
          <w:color w:val="231F20"/>
          <w:spacing w:val="-4"/>
        </w:rPr>
        <w:t>Укупна </w:t>
      </w:r>
      <w:r>
        <w:rPr>
          <w:color w:val="231F20"/>
        </w:rPr>
        <w:t>категорисана путна мрежа на </w:t>
      </w:r>
      <w:r>
        <w:rPr>
          <w:color w:val="231F20"/>
          <w:spacing w:val="-3"/>
        </w:rPr>
        <w:t>Планском </w:t>
      </w:r>
      <w:r>
        <w:rPr>
          <w:color w:val="231F20"/>
        </w:rPr>
        <w:t>подручју</w:t>
      </w:r>
      <w:r>
        <w:rPr>
          <w:color w:val="231F20"/>
          <w:spacing w:val="-28"/>
        </w:rPr>
        <w:t> </w:t>
      </w:r>
      <w:r>
        <w:rPr>
          <w:color w:val="231F20"/>
        </w:rPr>
        <w:t>(др- жавни и општински путеви) имаће дужину </w:t>
      </w:r>
      <w:r>
        <w:rPr>
          <w:color w:val="231F20"/>
          <w:spacing w:val="-3"/>
        </w:rPr>
        <w:t>од </w:t>
      </w:r>
      <w:r>
        <w:rPr>
          <w:color w:val="231F20"/>
          <w:spacing w:val="-4"/>
        </w:rPr>
        <w:t>око </w:t>
      </w:r>
      <w:r>
        <w:rPr>
          <w:color w:val="231F20"/>
        </w:rPr>
        <w:t>252 km, а густи- на мреже ће са постојећих 36,2 km/100 km² бити повећана на </w:t>
      </w:r>
      <w:r>
        <w:rPr>
          <w:color w:val="231F20"/>
          <w:spacing w:val="-4"/>
        </w:rPr>
        <w:t>око </w:t>
      </w:r>
      <w:r>
        <w:rPr>
          <w:color w:val="231F20"/>
        </w:rPr>
        <w:t>46,2 km/100 km².</w:t>
      </w:r>
    </w:p>
    <w:p>
      <w:pPr>
        <w:pStyle w:val="BodyText"/>
        <w:spacing w:line="232" w:lineRule="auto" w:before="72"/>
        <w:ind w:left="1080" w:hanging="839"/>
        <w:jc w:val="left"/>
      </w:pPr>
      <w:r>
        <w:rPr/>
        <w:br w:type="column"/>
      </w:r>
      <w:r>
        <w:rPr>
          <w:color w:val="231F20"/>
        </w:rPr>
        <w:t>Табела 23. Планиране интервенције на путној мрежи у планском периоду и оријентациони биланс површина</w:t>
      </w:r>
    </w:p>
    <w:p>
      <w:pPr>
        <w:pStyle w:val="BodyText"/>
        <w:spacing w:before="10"/>
        <w:ind w:left="0"/>
        <w:jc w:val="left"/>
        <w:rPr>
          <w:sz w:val="3"/>
        </w:rPr>
      </w:pP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17"/>
        <w:gridCol w:w="588"/>
        <w:gridCol w:w="660"/>
        <w:gridCol w:w="742"/>
        <w:gridCol w:w="628"/>
        <w:gridCol w:w="754"/>
      </w:tblGrid>
      <w:tr>
        <w:trPr>
          <w:trHeight w:val="200" w:hRule="atLeast"/>
        </w:trPr>
        <w:tc>
          <w:tcPr>
            <w:tcW w:w="1717" w:type="dxa"/>
          </w:tcPr>
          <w:p>
            <w:pPr>
              <w:pStyle w:val="TableParagraph"/>
              <w:spacing w:before="0"/>
              <w:jc w:val="left"/>
              <w:rPr>
                <w:sz w:val="12"/>
              </w:rPr>
            </w:pPr>
          </w:p>
        </w:tc>
        <w:tc>
          <w:tcPr>
            <w:tcW w:w="588" w:type="dxa"/>
          </w:tcPr>
          <w:p>
            <w:pPr>
              <w:pStyle w:val="TableParagraph"/>
              <w:spacing w:before="0"/>
              <w:jc w:val="left"/>
              <w:rPr>
                <w:sz w:val="12"/>
              </w:rPr>
            </w:pPr>
          </w:p>
        </w:tc>
        <w:tc>
          <w:tcPr>
            <w:tcW w:w="1402" w:type="dxa"/>
            <w:gridSpan w:val="2"/>
          </w:tcPr>
          <w:p>
            <w:pPr>
              <w:pStyle w:val="TableParagraph"/>
              <w:ind w:left="293"/>
              <w:jc w:val="left"/>
              <w:rPr>
                <w:sz w:val="14"/>
              </w:rPr>
            </w:pPr>
            <w:r>
              <w:rPr>
                <w:color w:val="231F20"/>
                <w:sz w:val="14"/>
              </w:rPr>
              <w:t>Коридор пута</w:t>
            </w:r>
          </w:p>
        </w:tc>
        <w:tc>
          <w:tcPr>
            <w:tcW w:w="1382" w:type="dxa"/>
            <w:gridSpan w:val="2"/>
          </w:tcPr>
          <w:p>
            <w:pPr>
              <w:pStyle w:val="TableParagraph"/>
              <w:ind w:left="338"/>
              <w:jc w:val="left"/>
              <w:rPr>
                <w:sz w:val="14"/>
              </w:rPr>
            </w:pPr>
            <w:r>
              <w:rPr>
                <w:color w:val="231F20"/>
                <w:sz w:val="14"/>
              </w:rPr>
              <w:t>Појас пута*</w:t>
            </w:r>
          </w:p>
        </w:tc>
      </w:tr>
      <w:tr>
        <w:trPr>
          <w:trHeight w:val="360" w:hRule="atLeast"/>
        </w:trPr>
        <w:tc>
          <w:tcPr>
            <w:tcW w:w="1717" w:type="dxa"/>
          </w:tcPr>
          <w:p>
            <w:pPr>
              <w:pStyle w:val="TableParagraph"/>
              <w:spacing w:before="0"/>
              <w:jc w:val="left"/>
              <w:rPr>
                <w:sz w:val="16"/>
              </w:rPr>
            </w:pPr>
          </w:p>
        </w:tc>
        <w:tc>
          <w:tcPr>
            <w:tcW w:w="588" w:type="dxa"/>
          </w:tcPr>
          <w:p>
            <w:pPr>
              <w:pStyle w:val="TableParagraph"/>
              <w:ind w:left="158" w:right="26" w:hanging="101"/>
              <w:jc w:val="left"/>
              <w:rPr>
                <w:sz w:val="14"/>
              </w:rPr>
            </w:pPr>
            <w:r>
              <w:rPr>
                <w:color w:val="231F20"/>
                <w:sz w:val="14"/>
              </w:rPr>
              <w:t>Дужина (km)</w:t>
            </w:r>
          </w:p>
        </w:tc>
        <w:tc>
          <w:tcPr>
            <w:tcW w:w="660" w:type="dxa"/>
          </w:tcPr>
          <w:p>
            <w:pPr>
              <w:pStyle w:val="TableParagraph"/>
              <w:ind w:left="229" w:right="50" w:hanging="148"/>
              <w:jc w:val="left"/>
              <w:rPr>
                <w:sz w:val="14"/>
              </w:rPr>
            </w:pPr>
            <w:r>
              <w:rPr>
                <w:color w:val="231F20"/>
                <w:sz w:val="14"/>
              </w:rPr>
              <w:t>Ширина (m)</w:t>
            </w:r>
          </w:p>
        </w:tc>
        <w:tc>
          <w:tcPr>
            <w:tcW w:w="742" w:type="dxa"/>
          </w:tcPr>
          <w:p>
            <w:pPr>
              <w:pStyle w:val="TableParagraph"/>
              <w:ind w:left="259" w:right="27" w:hanging="201"/>
              <w:jc w:val="left"/>
              <w:rPr>
                <w:sz w:val="14"/>
              </w:rPr>
            </w:pPr>
            <w:r>
              <w:rPr>
                <w:color w:val="231F20"/>
                <w:sz w:val="14"/>
              </w:rPr>
              <w:t>Површина (ha)</w:t>
            </w:r>
          </w:p>
        </w:tc>
        <w:tc>
          <w:tcPr>
            <w:tcW w:w="628" w:type="dxa"/>
          </w:tcPr>
          <w:p>
            <w:pPr>
              <w:pStyle w:val="TableParagraph"/>
              <w:ind w:left="214" w:right="33" w:hanging="148"/>
              <w:jc w:val="left"/>
              <w:rPr>
                <w:sz w:val="14"/>
              </w:rPr>
            </w:pPr>
            <w:r>
              <w:rPr>
                <w:color w:val="231F20"/>
                <w:sz w:val="14"/>
              </w:rPr>
              <w:t>Ширина (m)</w:t>
            </w:r>
          </w:p>
        </w:tc>
        <w:tc>
          <w:tcPr>
            <w:tcW w:w="754" w:type="dxa"/>
          </w:tcPr>
          <w:p>
            <w:pPr>
              <w:pStyle w:val="TableParagraph"/>
              <w:ind w:left="267" w:right="31" w:hanging="201"/>
              <w:jc w:val="left"/>
              <w:rPr>
                <w:sz w:val="14"/>
              </w:rPr>
            </w:pPr>
            <w:r>
              <w:rPr>
                <w:color w:val="231F20"/>
                <w:sz w:val="14"/>
              </w:rPr>
              <w:t>Површина (ha)</w:t>
            </w:r>
          </w:p>
        </w:tc>
      </w:tr>
      <w:tr>
        <w:trPr>
          <w:trHeight w:val="200" w:hRule="atLeast"/>
        </w:trPr>
        <w:tc>
          <w:tcPr>
            <w:tcW w:w="5089" w:type="dxa"/>
            <w:gridSpan w:val="6"/>
          </w:tcPr>
          <w:p>
            <w:pPr>
              <w:pStyle w:val="TableParagraph"/>
              <w:ind w:left="56"/>
              <w:jc w:val="left"/>
              <w:rPr>
                <w:sz w:val="14"/>
              </w:rPr>
            </w:pPr>
            <w:r>
              <w:rPr>
                <w:color w:val="231F20"/>
                <w:sz w:val="14"/>
              </w:rPr>
              <w:t>Путеви које треба изградити</w:t>
            </w:r>
          </w:p>
        </w:tc>
      </w:tr>
      <w:tr>
        <w:trPr>
          <w:trHeight w:val="520" w:hRule="atLeast"/>
        </w:trPr>
        <w:tc>
          <w:tcPr>
            <w:tcW w:w="1717" w:type="dxa"/>
          </w:tcPr>
          <w:p>
            <w:pPr>
              <w:pStyle w:val="TableParagraph"/>
              <w:ind w:left="56" w:right="54"/>
              <w:jc w:val="left"/>
              <w:rPr>
                <w:sz w:val="14"/>
              </w:rPr>
            </w:pPr>
            <w:r>
              <w:rPr>
                <w:color w:val="231F20"/>
                <w:sz w:val="14"/>
              </w:rPr>
              <w:t>Државни пут II реда са пешачко-бициклистичком стазом</w:t>
            </w:r>
          </w:p>
        </w:tc>
        <w:tc>
          <w:tcPr>
            <w:tcW w:w="588" w:type="dxa"/>
          </w:tcPr>
          <w:p>
            <w:pPr>
              <w:pStyle w:val="TableParagraph"/>
              <w:ind w:right="44"/>
              <w:rPr>
                <w:sz w:val="14"/>
              </w:rPr>
            </w:pPr>
            <w:r>
              <w:rPr>
                <w:color w:val="231F20"/>
                <w:sz w:val="14"/>
              </w:rPr>
              <w:t>28,5</w:t>
            </w:r>
          </w:p>
        </w:tc>
        <w:tc>
          <w:tcPr>
            <w:tcW w:w="660" w:type="dxa"/>
          </w:tcPr>
          <w:p>
            <w:pPr>
              <w:pStyle w:val="TableParagraph"/>
              <w:ind w:right="44"/>
              <w:rPr>
                <w:sz w:val="14"/>
              </w:rPr>
            </w:pPr>
            <w:r>
              <w:rPr>
                <w:color w:val="231F20"/>
                <w:sz w:val="14"/>
              </w:rPr>
              <w:t>200</w:t>
            </w:r>
          </w:p>
        </w:tc>
        <w:tc>
          <w:tcPr>
            <w:tcW w:w="742" w:type="dxa"/>
          </w:tcPr>
          <w:p>
            <w:pPr>
              <w:pStyle w:val="TableParagraph"/>
              <w:ind w:right="43"/>
              <w:rPr>
                <w:sz w:val="14"/>
              </w:rPr>
            </w:pPr>
            <w:r>
              <w:rPr>
                <w:color w:val="231F20"/>
                <w:sz w:val="14"/>
              </w:rPr>
              <w:t>570,00</w:t>
            </w:r>
          </w:p>
        </w:tc>
        <w:tc>
          <w:tcPr>
            <w:tcW w:w="628" w:type="dxa"/>
          </w:tcPr>
          <w:p>
            <w:pPr>
              <w:pStyle w:val="TableParagraph"/>
              <w:ind w:right="42"/>
              <w:rPr>
                <w:sz w:val="14"/>
              </w:rPr>
            </w:pPr>
            <w:r>
              <w:rPr>
                <w:color w:val="231F20"/>
                <w:sz w:val="14"/>
              </w:rPr>
              <w:t>Око 25</w:t>
            </w:r>
          </w:p>
        </w:tc>
        <w:tc>
          <w:tcPr>
            <w:tcW w:w="754" w:type="dxa"/>
          </w:tcPr>
          <w:p>
            <w:pPr>
              <w:pStyle w:val="TableParagraph"/>
              <w:ind w:right="41"/>
              <w:rPr>
                <w:sz w:val="14"/>
              </w:rPr>
            </w:pPr>
            <w:r>
              <w:rPr>
                <w:color w:val="231F20"/>
                <w:sz w:val="14"/>
              </w:rPr>
              <w:t>71,25</w:t>
            </w:r>
          </w:p>
        </w:tc>
      </w:tr>
      <w:tr>
        <w:trPr>
          <w:trHeight w:val="360" w:hRule="atLeast"/>
        </w:trPr>
        <w:tc>
          <w:tcPr>
            <w:tcW w:w="1717" w:type="dxa"/>
          </w:tcPr>
          <w:p>
            <w:pPr>
              <w:pStyle w:val="TableParagraph"/>
              <w:ind w:left="56"/>
              <w:jc w:val="left"/>
              <w:rPr>
                <w:sz w:val="14"/>
              </w:rPr>
            </w:pPr>
            <w:r>
              <w:rPr>
                <w:color w:val="231F20"/>
                <w:sz w:val="14"/>
              </w:rPr>
              <w:t>Државни пут II реда</w:t>
            </w:r>
          </w:p>
        </w:tc>
        <w:tc>
          <w:tcPr>
            <w:tcW w:w="588" w:type="dxa"/>
          </w:tcPr>
          <w:p>
            <w:pPr>
              <w:pStyle w:val="TableParagraph"/>
              <w:ind w:right="44"/>
              <w:rPr>
                <w:sz w:val="14"/>
              </w:rPr>
            </w:pPr>
            <w:r>
              <w:rPr>
                <w:color w:val="231F20"/>
                <w:sz w:val="14"/>
              </w:rPr>
              <w:t>9,0</w:t>
            </w:r>
          </w:p>
        </w:tc>
        <w:tc>
          <w:tcPr>
            <w:tcW w:w="660" w:type="dxa"/>
          </w:tcPr>
          <w:p>
            <w:pPr>
              <w:pStyle w:val="TableParagraph"/>
              <w:ind w:right="44"/>
              <w:rPr>
                <w:sz w:val="14"/>
              </w:rPr>
            </w:pPr>
            <w:r>
              <w:rPr>
                <w:color w:val="231F20"/>
                <w:sz w:val="14"/>
              </w:rPr>
              <w:t>40</w:t>
            </w:r>
          </w:p>
        </w:tc>
        <w:tc>
          <w:tcPr>
            <w:tcW w:w="742" w:type="dxa"/>
          </w:tcPr>
          <w:p>
            <w:pPr>
              <w:pStyle w:val="TableParagraph"/>
              <w:ind w:right="43"/>
              <w:rPr>
                <w:sz w:val="14"/>
              </w:rPr>
            </w:pPr>
            <w:r>
              <w:rPr>
                <w:color w:val="231F20"/>
                <w:sz w:val="14"/>
              </w:rPr>
              <w:t>36,00</w:t>
            </w:r>
          </w:p>
        </w:tc>
        <w:tc>
          <w:tcPr>
            <w:tcW w:w="628" w:type="dxa"/>
          </w:tcPr>
          <w:p>
            <w:pPr>
              <w:pStyle w:val="TableParagraph"/>
              <w:ind w:right="42"/>
              <w:rPr>
                <w:sz w:val="14"/>
              </w:rPr>
            </w:pPr>
            <w:r>
              <w:rPr>
                <w:color w:val="231F20"/>
                <w:sz w:val="14"/>
              </w:rPr>
              <w:t>20</w:t>
            </w:r>
          </w:p>
        </w:tc>
        <w:tc>
          <w:tcPr>
            <w:tcW w:w="754" w:type="dxa"/>
          </w:tcPr>
          <w:p>
            <w:pPr>
              <w:pStyle w:val="TableParagraph"/>
              <w:ind w:right="41"/>
              <w:rPr>
                <w:sz w:val="14"/>
              </w:rPr>
            </w:pPr>
            <w:r>
              <w:rPr>
                <w:color w:val="231F20"/>
                <w:sz w:val="14"/>
              </w:rPr>
              <w:t>18,00</w:t>
            </w:r>
          </w:p>
        </w:tc>
      </w:tr>
      <w:tr>
        <w:trPr>
          <w:trHeight w:val="200" w:hRule="atLeast"/>
        </w:trPr>
        <w:tc>
          <w:tcPr>
            <w:tcW w:w="1717" w:type="dxa"/>
          </w:tcPr>
          <w:p>
            <w:pPr>
              <w:pStyle w:val="TableParagraph"/>
              <w:ind w:left="56"/>
              <w:jc w:val="left"/>
              <w:rPr>
                <w:sz w:val="14"/>
              </w:rPr>
            </w:pPr>
            <w:r>
              <w:rPr>
                <w:color w:val="231F20"/>
                <w:sz w:val="14"/>
              </w:rPr>
              <w:t>Општински пут</w:t>
            </w:r>
          </w:p>
        </w:tc>
        <w:tc>
          <w:tcPr>
            <w:tcW w:w="588" w:type="dxa"/>
          </w:tcPr>
          <w:p>
            <w:pPr>
              <w:pStyle w:val="TableParagraph"/>
              <w:ind w:right="44"/>
              <w:rPr>
                <w:sz w:val="14"/>
              </w:rPr>
            </w:pPr>
            <w:r>
              <w:rPr>
                <w:color w:val="231F20"/>
                <w:sz w:val="14"/>
              </w:rPr>
              <w:t>14,6</w:t>
            </w:r>
          </w:p>
        </w:tc>
        <w:tc>
          <w:tcPr>
            <w:tcW w:w="660" w:type="dxa"/>
          </w:tcPr>
          <w:p>
            <w:pPr>
              <w:pStyle w:val="TableParagraph"/>
              <w:ind w:right="44"/>
              <w:rPr>
                <w:sz w:val="14"/>
              </w:rPr>
            </w:pPr>
            <w:r>
              <w:rPr>
                <w:color w:val="231F20"/>
                <w:sz w:val="14"/>
              </w:rPr>
              <w:t>20</w:t>
            </w:r>
          </w:p>
        </w:tc>
        <w:tc>
          <w:tcPr>
            <w:tcW w:w="742" w:type="dxa"/>
          </w:tcPr>
          <w:p>
            <w:pPr>
              <w:pStyle w:val="TableParagraph"/>
              <w:ind w:right="43"/>
              <w:rPr>
                <w:sz w:val="14"/>
              </w:rPr>
            </w:pPr>
            <w:r>
              <w:rPr>
                <w:color w:val="231F20"/>
                <w:sz w:val="14"/>
              </w:rPr>
              <w:t>29,20</w:t>
            </w:r>
          </w:p>
        </w:tc>
        <w:tc>
          <w:tcPr>
            <w:tcW w:w="628" w:type="dxa"/>
          </w:tcPr>
          <w:p>
            <w:pPr>
              <w:pStyle w:val="TableParagraph"/>
              <w:ind w:right="42"/>
              <w:rPr>
                <w:sz w:val="14"/>
              </w:rPr>
            </w:pPr>
            <w:r>
              <w:rPr>
                <w:color w:val="231F20"/>
                <w:sz w:val="14"/>
              </w:rPr>
              <w:t>10</w:t>
            </w:r>
          </w:p>
        </w:tc>
        <w:tc>
          <w:tcPr>
            <w:tcW w:w="754" w:type="dxa"/>
          </w:tcPr>
          <w:p>
            <w:pPr>
              <w:pStyle w:val="TableParagraph"/>
              <w:ind w:right="41"/>
              <w:rPr>
                <w:sz w:val="14"/>
              </w:rPr>
            </w:pPr>
            <w:r>
              <w:rPr>
                <w:color w:val="231F20"/>
                <w:sz w:val="14"/>
              </w:rPr>
              <w:t>14,60</w:t>
            </w:r>
          </w:p>
        </w:tc>
      </w:tr>
      <w:tr>
        <w:trPr>
          <w:trHeight w:val="200" w:hRule="atLeast"/>
        </w:trPr>
        <w:tc>
          <w:tcPr>
            <w:tcW w:w="1717" w:type="dxa"/>
          </w:tcPr>
          <w:p>
            <w:pPr>
              <w:pStyle w:val="TableParagraph"/>
              <w:ind w:left="56"/>
              <w:jc w:val="left"/>
              <w:rPr>
                <w:sz w:val="14"/>
              </w:rPr>
            </w:pPr>
            <w:r>
              <w:rPr>
                <w:color w:val="231F20"/>
                <w:sz w:val="14"/>
              </w:rPr>
              <w:t>Укупно</w:t>
            </w:r>
          </w:p>
        </w:tc>
        <w:tc>
          <w:tcPr>
            <w:tcW w:w="588" w:type="dxa"/>
          </w:tcPr>
          <w:p>
            <w:pPr>
              <w:pStyle w:val="TableParagraph"/>
              <w:ind w:right="44"/>
              <w:rPr>
                <w:sz w:val="14"/>
              </w:rPr>
            </w:pPr>
            <w:r>
              <w:rPr>
                <w:color w:val="231F20"/>
                <w:sz w:val="14"/>
              </w:rPr>
              <w:t>52,1</w:t>
            </w:r>
          </w:p>
        </w:tc>
        <w:tc>
          <w:tcPr>
            <w:tcW w:w="660" w:type="dxa"/>
          </w:tcPr>
          <w:p>
            <w:pPr>
              <w:pStyle w:val="TableParagraph"/>
              <w:spacing w:before="0"/>
              <w:jc w:val="left"/>
              <w:rPr>
                <w:sz w:val="12"/>
              </w:rPr>
            </w:pPr>
          </w:p>
        </w:tc>
        <w:tc>
          <w:tcPr>
            <w:tcW w:w="742" w:type="dxa"/>
          </w:tcPr>
          <w:p>
            <w:pPr>
              <w:pStyle w:val="TableParagraph"/>
              <w:ind w:right="43"/>
              <w:rPr>
                <w:sz w:val="14"/>
              </w:rPr>
            </w:pPr>
            <w:r>
              <w:rPr>
                <w:color w:val="231F20"/>
                <w:sz w:val="14"/>
              </w:rPr>
              <w:t>635,20</w:t>
            </w:r>
          </w:p>
        </w:tc>
        <w:tc>
          <w:tcPr>
            <w:tcW w:w="628" w:type="dxa"/>
          </w:tcPr>
          <w:p>
            <w:pPr>
              <w:pStyle w:val="TableParagraph"/>
              <w:spacing w:before="0"/>
              <w:jc w:val="left"/>
              <w:rPr>
                <w:sz w:val="12"/>
              </w:rPr>
            </w:pPr>
          </w:p>
        </w:tc>
        <w:tc>
          <w:tcPr>
            <w:tcW w:w="754" w:type="dxa"/>
          </w:tcPr>
          <w:p>
            <w:pPr>
              <w:pStyle w:val="TableParagraph"/>
              <w:ind w:right="41"/>
              <w:rPr>
                <w:sz w:val="14"/>
              </w:rPr>
            </w:pPr>
            <w:r>
              <w:rPr>
                <w:color w:val="231F20"/>
                <w:sz w:val="14"/>
              </w:rPr>
              <w:t>103,85</w:t>
            </w:r>
          </w:p>
        </w:tc>
      </w:tr>
      <w:tr>
        <w:trPr>
          <w:trHeight w:val="200" w:hRule="atLeast"/>
        </w:trPr>
        <w:tc>
          <w:tcPr>
            <w:tcW w:w="5089" w:type="dxa"/>
            <w:gridSpan w:val="6"/>
          </w:tcPr>
          <w:p>
            <w:pPr>
              <w:pStyle w:val="TableParagraph"/>
              <w:ind w:left="56"/>
              <w:jc w:val="left"/>
              <w:rPr>
                <w:sz w:val="14"/>
              </w:rPr>
            </w:pPr>
            <w:r>
              <w:rPr>
                <w:color w:val="231F20"/>
                <w:sz w:val="14"/>
              </w:rPr>
              <w:t>Путеви које треба укинути/изместити</w:t>
            </w:r>
          </w:p>
        </w:tc>
      </w:tr>
      <w:tr>
        <w:trPr>
          <w:trHeight w:val="200" w:hRule="atLeast"/>
        </w:trPr>
        <w:tc>
          <w:tcPr>
            <w:tcW w:w="1717" w:type="dxa"/>
          </w:tcPr>
          <w:p>
            <w:pPr>
              <w:pStyle w:val="TableParagraph"/>
              <w:ind w:left="56"/>
              <w:jc w:val="left"/>
              <w:rPr>
                <w:sz w:val="14"/>
              </w:rPr>
            </w:pPr>
            <w:r>
              <w:rPr>
                <w:color w:val="231F20"/>
                <w:sz w:val="14"/>
              </w:rPr>
              <w:t>Општински</w:t>
            </w:r>
          </w:p>
        </w:tc>
        <w:tc>
          <w:tcPr>
            <w:tcW w:w="588" w:type="dxa"/>
          </w:tcPr>
          <w:p>
            <w:pPr>
              <w:pStyle w:val="TableParagraph"/>
              <w:ind w:right="44"/>
              <w:rPr>
                <w:sz w:val="14"/>
              </w:rPr>
            </w:pPr>
            <w:r>
              <w:rPr>
                <w:color w:val="231F20"/>
                <w:sz w:val="14"/>
              </w:rPr>
              <w:t>3,6</w:t>
            </w:r>
          </w:p>
        </w:tc>
        <w:tc>
          <w:tcPr>
            <w:tcW w:w="660" w:type="dxa"/>
          </w:tcPr>
          <w:p>
            <w:pPr>
              <w:pStyle w:val="TableParagraph"/>
              <w:ind w:right="44"/>
              <w:rPr>
                <w:sz w:val="14"/>
              </w:rPr>
            </w:pPr>
            <w:r>
              <w:rPr>
                <w:color w:val="231F20"/>
                <w:sz w:val="14"/>
              </w:rPr>
              <w:t>-</w:t>
            </w:r>
          </w:p>
        </w:tc>
        <w:tc>
          <w:tcPr>
            <w:tcW w:w="742" w:type="dxa"/>
          </w:tcPr>
          <w:p>
            <w:pPr>
              <w:pStyle w:val="TableParagraph"/>
              <w:spacing w:before="0"/>
              <w:jc w:val="left"/>
              <w:rPr>
                <w:sz w:val="12"/>
              </w:rPr>
            </w:pPr>
          </w:p>
        </w:tc>
        <w:tc>
          <w:tcPr>
            <w:tcW w:w="628" w:type="dxa"/>
          </w:tcPr>
          <w:p>
            <w:pPr>
              <w:pStyle w:val="TableParagraph"/>
              <w:ind w:right="42"/>
              <w:rPr>
                <w:sz w:val="14"/>
              </w:rPr>
            </w:pPr>
            <w:r>
              <w:rPr>
                <w:color w:val="231F20"/>
                <w:sz w:val="14"/>
              </w:rPr>
              <w:t>-</w:t>
            </w:r>
          </w:p>
        </w:tc>
        <w:tc>
          <w:tcPr>
            <w:tcW w:w="754" w:type="dxa"/>
          </w:tcPr>
          <w:p>
            <w:pPr>
              <w:pStyle w:val="TableParagraph"/>
              <w:spacing w:before="0"/>
              <w:jc w:val="left"/>
              <w:rPr>
                <w:sz w:val="12"/>
              </w:rPr>
            </w:pPr>
          </w:p>
        </w:tc>
      </w:tr>
      <w:tr>
        <w:trPr>
          <w:trHeight w:val="200" w:hRule="atLeast"/>
        </w:trPr>
        <w:tc>
          <w:tcPr>
            <w:tcW w:w="5089" w:type="dxa"/>
            <w:gridSpan w:val="6"/>
          </w:tcPr>
          <w:p>
            <w:pPr>
              <w:pStyle w:val="TableParagraph"/>
              <w:ind w:left="56"/>
              <w:jc w:val="left"/>
              <w:rPr>
                <w:sz w:val="14"/>
              </w:rPr>
            </w:pPr>
            <w:r>
              <w:rPr>
                <w:color w:val="231F20"/>
                <w:sz w:val="14"/>
              </w:rPr>
              <w:t>Путеви које треба реконструисати</w:t>
            </w:r>
          </w:p>
        </w:tc>
      </w:tr>
      <w:tr>
        <w:trPr>
          <w:trHeight w:val="360" w:hRule="atLeast"/>
        </w:trPr>
        <w:tc>
          <w:tcPr>
            <w:tcW w:w="1717" w:type="dxa"/>
          </w:tcPr>
          <w:p>
            <w:pPr>
              <w:pStyle w:val="TableParagraph"/>
              <w:spacing w:before="17"/>
              <w:ind w:left="55" w:right="638"/>
              <w:jc w:val="left"/>
              <w:rPr>
                <w:sz w:val="14"/>
              </w:rPr>
            </w:pPr>
            <w:r>
              <w:rPr>
                <w:color w:val="231F20"/>
                <w:sz w:val="14"/>
              </w:rPr>
              <w:t>Некатегорисани у општински</w:t>
            </w:r>
          </w:p>
        </w:tc>
        <w:tc>
          <w:tcPr>
            <w:tcW w:w="588" w:type="dxa"/>
          </w:tcPr>
          <w:p>
            <w:pPr>
              <w:pStyle w:val="TableParagraph"/>
              <w:spacing w:before="17"/>
              <w:ind w:right="45"/>
              <w:rPr>
                <w:sz w:val="14"/>
              </w:rPr>
            </w:pPr>
            <w:r>
              <w:rPr>
                <w:color w:val="231F20"/>
                <w:sz w:val="14"/>
              </w:rPr>
              <w:t>3,0</w:t>
            </w:r>
          </w:p>
        </w:tc>
        <w:tc>
          <w:tcPr>
            <w:tcW w:w="660" w:type="dxa"/>
          </w:tcPr>
          <w:p>
            <w:pPr>
              <w:pStyle w:val="TableParagraph"/>
              <w:spacing w:before="17"/>
              <w:ind w:right="44"/>
              <w:rPr>
                <w:sz w:val="14"/>
              </w:rPr>
            </w:pPr>
            <w:r>
              <w:rPr>
                <w:color w:val="231F20"/>
                <w:sz w:val="14"/>
              </w:rPr>
              <w:t>20</w:t>
            </w:r>
          </w:p>
        </w:tc>
        <w:tc>
          <w:tcPr>
            <w:tcW w:w="742" w:type="dxa"/>
          </w:tcPr>
          <w:p>
            <w:pPr>
              <w:pStyle w:val="TableParagraph"/>
              <w:spacing w:before="17"/>
              <w:ind w:right="43"/>
              <w:rPr>
                <w:sz w:val="14"/>
              </w:rPr>
            </w:pPr>
            <w:r>
              <w:rPr>
                <w:color w:val="231F20"/>
                <w:sz w:val="14"/>
              </w:rPr>
              <w:t>6,00</w:t>
            </w:r>
          </w:p>
        </w:tc>
        <w:tc>
          <w:tcPr>
            <w:tcW w:w="628" w:type="dxa"/>
          </w:tcPr>
          <w:p>
            <w:pPr>
              <w:pStyle w:val="TableParagraph"/>
              <w:spacing w:before="17"/>
              <w:ind w:right="42"/>
              <w:rPr>
                <w:sz w:val="14"/>
              </w:rPr>
            </w:pPr>
            <w:r>
              <w:rPr>
                <w:color w:val="231F20"/>
                <w:sz w:val="14"/>
              </w:rPr>
              <w:t>10</w:t>
            </w:r>
          </w:p>
        </w:tc>
        <w:tc>
          <w:tcPr>
            <w:tcW w:w="754" w:type="dxa"/>
          </w:tcPr>
          <w:p>
            <w:pPr>
              <w:pStyle w:val="TableParagraph"/>
              <w:spacing w:before="17"/>
              <w:ind w:right="42"/>
              <w:rPr>
                <w:sz w:val="14"/>
              </w:rPr>
            </w:pPr>
            <w:r>
              <w:rPr>
                <w:color w:val="231F20"/>
                <w:sz w:val="14"/>
              </w:rPr>
              <w:t>3,00</w:t>
            </w:r>
          </w:p>
        </w:tc>
      </w:tr>
      <w:tr>
        <w:trPr>
          <w:trHeight w:val="360" w:hRule="atLeast"/>
        </w:trPr>
        <w:tc>
          <w:tcPr>
            <w:tcW w:w="1717" w:type="dxa"/>
          </w:tcPr>
          <w:p>
            <w:pPr>
              <w:pStyle w:val="TableParagraph"/>
              <w:spacing w:before="17"/>
              <w:ind w:left="55" w:right="54"/>
              <w:jc w:val="left"/>
              <w:rPr>
                <w:sz w:val="14"/>
              </w:rPr>
            </w:pPr>
            <w:r>
              <w:rPr>
                <w:color w:val="231F20"/>
                <w:sz w:val="14"/>
              </w:rPr>
              <w:t>Укупно на Планском подручју</w:t>
            </w:r>
          </w:p>
        </w:tc>
        <w:tc>
          <w:tcPr>
            <w:tcW w:w="588" w:type="dxa"/>
          </w:tcPr>
          <w:p>
            <w:pPr>
              <w:pStyle w:val="TableParagraph"/>
              <w:spacing w:before="0"/>
              <w:jc w:val="left"/>
              <w:rPr>
                <w:sz w:val="16"/>
              </w:rPr>
            </w:pPr>
          </w:p>
        </w:tc>
        <w:tc>
          <w:tcPr>
            <w:tcW w:w="660" w:type="dxa"/>
          </w:tcPr>
          <w:p>
            <w:pPr>
              <w:pStyle w:val="TableParagraph"/>
              <w:spacing w:before="0"/>
              <w:jc w:val="left"/>
              <w:rPr>
                <w:sz w:val="16"/>
              </w:rPr>
            </w:pPr>
          </w:p>
        </w:tc>
        <w:tc>
          <w:tcPr>
            <w:tcW w:w="742" w:type="dxa"/>
          </w:tcPr>
          <w:p>
            <w:pPr>
              <w:pStyle w:val="TableParagraph"/>
              <w:spacing w:before="17"/>
              <w:ind w:right="43"/>
              <w:rPr>
                <w:sz w:val="14"/>
              </w:rPr>
            </w:pPr>
            <w:r>
              <w:rPr>
                <w:color w:val="231F20"/>
                <w:sz w:val="14"/>
              </w:rPr>
              <w:t>641,20</w:t>
            </w:r>
          </w:p>
        </w:tc>
        <w:tc>
          <w:tcPr>
            <w:tcW w:w="628" w:type="dxa"/>
          </w:tcPr>
          <w:p>
            <w:pPr>
              <w:pStyle w:val="TableParagraph"/>
              <w:spacing w:before="0"/>
              <w:jc w:val="left"/>
              <w:rPr>
                <w:sz w:val="16"/>
              </w:rPr>
            </w:pPr>
          </w:p>
        </w:tc>
        <w:tc>
          <w:tcPr>
            <w:tcW w:w="754" w:type="dxa"/>
          </w:tcPr>
          <w:p>
            <w:pPr>
              <w:pStyle w:val="TableParagraph"/>
              <w:spacing w:before="17"/>
              <w:ind w:right="42"/>
              <w:rPr>
                <w:sz w:val="14"/>
              </w:rPr>
            </w:pPr>
            <w:r>
              <w:rPr>
                <w:color w:val="231F20"/>
                <w:sz w:val="14"/>
              </w:rPr>
              <w:t>106,85</w:t>
            </w:r>
          </w:p>
        </w:tc>
      </w:tr>
    </w:tbl>
    <w:p>
      <w:pPr>
        <w:tabs>
          <w:tab w:pos="524" w:val="left" w:leader="none"/>
        </w:tabs>
        <w:spacing w:before="30"/>
        <w:ind w:left="241" w:right="0" w:firstLine="0"/>
        <w:jc w:val="left"/>
        <w:rPr>
          <w:sz w:val="14"/>
        </w:rPr>
      </w:pPr>
      <w:r>
        <w:rPr>
          <w:color w:val="231F20"/>
          <w:sz w:val="14"/>
        </w:rPr>
        <w:t>*</w:t>
        <w:tab/>
        <w:t>Напомена: Ширина путног појаса је</w:t>
      </w:r>
      <w:r>
        <w:rPr>
          <w:color w:val="231F20"/>
          <w:spacing w:val="-5"/>
          <w:sz w:val="14"/>
        </w:rPr>
        <w:t> </w:t>
      </w:r>
      <w:r>
        <w:rPr>
          <w:color w:val="231F20"/>
          <w:sz w:val="14"/>
        </w:rPr>
        <w:t>оријентациона</w:t>
      </w:r>
    </w:p>
    <w:p>
      <w:pPr>
        <w:pStyle w:val="BodyText"/>
        <w:spacing w:before="8"/>
        <w:ind w:left="0"/>
        <w:jc w:val="left"/>
        <w:rPr>
          <w:sz w:val="17"/>
        </w:rPr>
      </w:pPr>
    </w:p>
    <w:p>
      <w:pPr>
        <w:pStyle w:val="BodyText"/>
        <w:ind w:left="242"/>
        <w:jc w:val="left"/>
      </w:pPr>
      <w:r>
        <w:rPr>
          <w:color w:val="231F20"/>
        </w:rPr>
        <w:t>Табела 24. Дужина категорисане путне мреже 2008/2022. године</w:t>
      </w:r>
    </w:p>
    <w:p>
      <w:pPr>
        <w:pStyle w:val="BodyText"/>
        <w:spacing w:before="8"/>
        <w:ind w:left="0"/>
        <w:jc w:val="left"/>
        <w:rPr>
          <w:sz w:val="3"/>
        </w:rPr>
      </w:pP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479"/>
        <w:gridCol w:w="454"/>
        <w:gridCol w:w="454"/>
        <w:gridCol w:w="454"/>
        <w:gridCol w:w="454"/>
        <w:gridCol w:w="454"/>
        <w:gridCol w:w="454"/>
        <w:gridCol w:w="454"/>
        <w:gridCol w:w="454"/>
      </w:tblGrid>
      <w:tr>
        <w:trPr>
          <w:trHeight w:val="520" w:hRule="atLeast"/>
        </w:trPr>
        <w:tc>
          <w:tcPr>
            <w:tcW w:w="1479" w:type="dxa"/>
            <w:vMerge w:val="restart"/>
          </w:tcPr>
          <w:p>
            <w:pPr>
              <w:pStyle w:val="TableParagraph"/>
              <w:ind w:left="465"/>
              <w:jc w:val="left"/>
              <w:rPr>
                <w:sz w:val="14"/>
              </w:rPr>
            </w:pPr>
            <w:r>
              <w:rPr>
                <w:color w:val="231F20"/>
                <w:sz w:val="14"/>
              </w:rPr>
              <w:t>Подручје</w:t>
            </w:r>
          </w:p>
        </w:tc>
        <w:tc>
          <w:tcPr>
            <w:tcW w:w="908" w:type="dxa"/>
            <w:gridSpan w:val="2"/>
          </w:tcPr>
          <w:p>
            <w:pPr>
              <w:pStyle w:val="TableParagraph"/>
              <w:ind w:left="145" w:hanging="21"/>
              <w:jc w:val="left"/>
              <w:rPr>
                <w:sz w:val="14"/>
              </w:rPr>
            </w:pPr>
            <w:r>
              <w:rPr>
                <w:color w:val="231F20"/>
                <w:sz w:val="14"/>
              </w:rPr>
              <w:t>Укупна ду- жина (km)</w:t>
            </w:r>
          </w:p>
        </w:tc>
        <w:tc>
          <w:tcPr>
            <w:tcW w:w="908" w:type="dxa"/>
            <w:gridSpan w:val="2"/>
          </w:tcPr>
          <w:p>
            <w:pPr>
              <w:pStyle w:val="TableParagraph"/>
              <w:ind w:left="67" w:right="58"/>
              <w:jc w:val="center"/>
              <w:rPr>
                <w:sz w:val="14"/>
              </w:rPr>
            </w:pPr>
            <w:r>
              <w:rPr>
                <w:color w:val="231F20"/>
                <w:sz w:val="14"/>
              </w:rPr>
              <w:t>Државни пу- теви I реда (km)</w:t>
            </w:r>
          </w:p>
        </w:tc>
        <w:tc>
          <w:tcPr>
            <w:tcW w:w="908" w:type="dxa"/>
            <w:gridSpan w:val="2"/>
          </w:tcPr>
          <w:p>
            <w:pPr>
              <w:pStyle w:val="TableParagraph"/>
              <w:ind w:left="66" w:right="60"/>
              <w:jc w:val="center"/>
              <w:rPr>
                <w:sz w:val="14"/>
              </w:rPr>
            </w:pPr>
            <w:r>
              <w:rPr>
                <w:color w:val="231F20"/>
                <w:sz w:val="14"/>
              </w:rPr>
              <w:t>Државни пу- теви II реда (km)</w:t>
            </w:r>
          </w:p>
        </w:tc>
        <w:tc>
          <w:tcPr>
            <w:tcW w:w="908" w:type="dxa"/>
            <w:gridSpan w:val="2"/>
          </w:tcPr>
          <w:p>
            <w:pPr>
              <w:pStyle w:val="TableParagraph"/>
              <w:ind w:left="106" w:right="101"/>
              <w:jc w:val="center"/>
              <w:rPr>
                <w:sz w:val="14"/>
              </w:rPr>
            </w:pPr>
            <w:r>
              <w:rPr>
                <w:color w:val="231F20"/>
                <w:spacing w:val="-1"/>
                <w:sz w:val="14"/>
              </w:rPr>
              <w:t>Општински </w:t>
            </w:r>
            <w:r>
              <w:rPr>
                <w:color w:val="231F20"/>
                <w:sz w:val="14"/>
              </w:rPr>
              <w:t>путеви (km)</w:t>
            </w:r>
          </w:p>
        </w:tc>
      </w:tr>
      <w:tr>
        <w:trPr>
          <w:trHeight w:val="200" w:hRule="atLeast"/>
        </w:trPr>
        <w:tc>
          <w:tcPr>
            <w:tcW w:w="1479" w:type="dxa"/>
            <w:vMerge/>
            <w:tcBorders>
              <w:top w:val="nil"/>
            </w:tcBorders>
          </w:tcPr>
          <w:p>
            <w:pPr>
              <w:rPr>
                <w:sz w:val="2"/>
                <w:szCs w:val="2"/>
              </w:rPr>
            </w:pPr>
          </w:p>
        </w:tc>
        <w:tc>
          <w:tcPr>
            <w:tcW w:w="454" w:type="dxa"/>
          </w:tcPr>
          <w:p>
            <w:pPr>
              <w:pStyle w:val="TableParagraph"/>
              <w:ind w:right="58"/>
              <w:rPr>
                <w:sz w:val="14"/>
              </w:rPr>
            </w:pPr>
            <w:r>
              <w:rPr>
                <w:color w:val="231F20"/>
                <w:sz w:val="14"/>
              </w:rPr>
              <w:t>2008.</w:t>
            </w:r>
          </w:p>
        </w:tc>
        <w:tc>
          <w:tcPr>
            <w:tcW w:w="454" w:type="dxa"/>
          </w:tcPr>
          <w:p>
            <w:pPr>
              <w:pStyle w:val="TableParagraph"/>
              <w:ind w:right="58"/>
              <w:rPr>
                <w:sz w:val="14"/>
              </w:rPr>
            </w:pPr>
            <w:r>
              <w:rPr>
                <w:color w:val="231F20"/>
                <w:sz w:val="14"/>
              </w:rPr>
              <w:t>2022.</w:t>
            </w:r>
          </w:p>
        </w:tc>
        <w:tc>
          <w:tcPr>
            <w:tcW w:w="454" w:type="dxa"/>
          </w:tcPr>
          <w:p>
            <w:pPr>
              <w:pStyle w:val="TableParagraph"/>
              <w:ind w:right="58"/>
              <w:rPr>
                <w:sz w:val="14"/>
              </w:rPr>
            </w:pPr>
            <w:r>
              <w:rPr>
                <w:color w:val="231F20"/>
                <w:sz w:val="14"/>
              </w:rPr>
              <w:t>2008.</w:t>
            </w:r>
          </w:p>
        </w:tc>
        <w:tc>
          <w:tcPr>
            <w:tcW w:w="454" w:type="dxa"/>
          </w:tcPr>
          <w:p>
            <w:pPr>
              <w:pStyle w:val="TableParagraph"/>
              <w:ind w:right="59"/>
              <w:rPr>
                <w:sz w:val="14"/>
              </w:rPr>
            </w:pPr>
            <w:r>
              <w:rPr>
                <w:color w:val="231F20"/>
                <w:sz w:val="14"/>
              </w:rPr>
              <w:t>2022.</w:t>
            </w:r>
          </w:p>
        </w:tc>
        <w:tc>
          <w:tcPr>
            <w:tcW w:w="454" w:type="dxa"/>
          </w:tcPr>
          <w:p>
            <w:pPr>
              <w:pStyle w:val="TableParagraph"/>
              <w:ind w:right="59"/>
              <w:rPr>
                <w:sz w:val="14"/>
              </w:rPr>
            </w:pPr>
            <w:r>
              <w:rPr>
                <w:color w:val="231F20"/>
                <w:sz w:val="14"/>
              </w:rPr>
              <w:t>2008.</w:t>
            </w:r>
          </w:p>
        </w:tc>
        <w:tc>
          <w:tcPr>
            <w:tcW w:w="454" w:type="dxa"/>
          </w:tcPr>
          <w:p>
            <w:pPr>
              <w:pStyle w:val="TableParagraph"/>
              <w:ind w:right="60"/>
              <w:rPr>
                <w:sz w:val="14"/>
              </w:rPr>
            </w:pPr>
            <w:r>
              <w:rPr>
                <w:color w:val="231F20"/>
                <w:sz w:val="14"/>
              </w:rPr>
              <w:t>2022.</w:t>
            </w:r>
          </w:p>
        </w:tc>
        <w:tc>
          <w:tcPr>
            <w:tcW w:w="454" w:type="dxa"/>
          </w:tcPr>
          <w:p>
            <w:pPr>
              <w:pStyle w:val="TableParagraph"/>
              <w:ind w:right="60"/>
              <w:rPr>
                <w:sz w:val="14"/>
              </w:rPr>
            </w:pPr>
            <w:r>
              <w:rPr>
                <w:color w:val="231F20"/>
                <w:sz w:val="14"/>
              </w:rPr>
              <w:t>2008.</w:t>
            </w:r>
          </w:p>
        </w:tc>
        <w:tc>
          <w:tcPr>
            <w:tcW w:w="454" w:type="dxa"/>
          </w:tcPr>
          <w:p>
            <w:pPr>
              <w:pStyle w:val="TableParagraph"/>
              <w:ind w:right="60"/>
              <w:rPr>
                <w:sz w:val="14"/>
              </w:rPr>
            </w:pPr>
            <w:r>
              <w:rPr>
                <w:color w:val="231F20"/>
                <w:sz w:val="14"/>
              </w:rPr>
              <w:t>2022.</w:t>
            </w:r>
          </w:p>
        </w:tc>
      </w:tr>
      <w:tr>
        <w:trPr>
          <w:trHeight w:val="200" w:hRule="atLeast"/>
        </w:trPr>
        <w:tc>
          <w:tcPr>
            <w:tcW w:w="1479" w:type="dxa"/>
          </w:tcPr>
          <w:p>
            <w:pPr>
              <w:pStyle w:val="TableParagraph"/>
              <w:ind w:left="56"/>
              <w:jc w:val="left"/>
              <w:rPr>
                <w:sz w:val="14"/>
              </w:rPr>
            </w:pPr>
            <w:r>
              <w:rPr>
                <w:color w:val="231F20"/>
                <w:sz w:val="14"/>
              </w:rPr>
              <w:t>Град Пожаревац</w:t>
            </w:r>
          </w:p>
        </w:tc>
        <w:tc>
          <w:tcPr>
            <w:tcW w:w="454" w:type="dxa"/>
          </w:tcPr>
          <w:p>
            <w:pPr>
              <w:pStyle w:val="TableParagraph"/>
              <w:ind w:right="45"/>
              <w:rPr>
                <w:sz w:val="14"/>
              </w:rPr>
            </w:pPr>
            <w:r>
              <w:rPr>
                <w:color w:val="231F20"/>
                <w:sz w:val="14"/>
              </w:rPr>
              <w:t>179</w:t>
            </w:r>
          </w:p>
        </w:tc>
        <w:tc>
          <w:tcPr>
            <w:tcW w:w="454" w:type="dxa"/>
          </w:tcPr>
          <w:p>
            <w:pPr>
              <w:pStyle w:val="TableParagraph"/>
              <w:ind w:right="45"/>
              <w:rPr>
                <w:sz w:val="14"/>
              </w:rPr>
            </w:pPr>
            <w:r>
              <w:rPr>
                <w:color w:val="231F20"/>
                <w:sz w:val="14"/>
              </w:rPr>
              <w:t>234</w:t>
            </w:r>
          </w:p>
        </w:tc>
        <w:tc>
          <w:tcPr>
            <w:tcW w:w="454" w:type="dxa"/>
          </w:tcPr>
          <w:p>
            <w:pPr>
              <w:pStyle w:val="TableParagraph"/>
              <w:ind w:right="45"/>
              <w:rPr>
                <w:sz w:val="14"/>
              </w:rPr>
            </w:pPr>
            <w:r>
              <w:rPr>
                <w:color w:val="231F20"/>
                <w:sz w:val="14"/>
              </w:rPr>
              <w:t>43</w:t>
            </w:r>
          </w:p>
        </w:tc>
        <w:tc>
          <w:tcPr>
            <w:tcW w:w="454" w:type="dxa"/>
          </w:tcPr>
          <w:p>
            <w:pPr>
              <w:pStyle w:val="TableParagraph"/>
              <w:ind w:right="46"/>
              <w:rPr>
                <w:sz w:val="14"/>
              </w:rPr>
            </w:pPr>
            <w:r>
              <w:rPr>
                <w:color w:val="231F20"/>
                <w:sz w:val="14"/>
              </w:rPr>
              <w:t>32</w:t>
            </w:r>
          </w:p>
        </w:tc>
        <w:tc>
          <w:tcPr>
            <w:tcW w:w="454" w:type="dxa"/>
          </w:tcPr>
          <w:p>
            <w:pPr>
              <w:pStyle w:val="TableParagraph"/>
              <w:ind w:right="46"/>
              <w:rPr>
                <w:sz w:val="14"/>
              </w:rPr>
            </w:pPr>
            <w:r>
              <w:rPr>
                <w:color w:val="231F20"/>
                <w:sz w:val="14"/>
              </w:rPr>
              <w:t>71</w:t>
            </w:r>
          </w:p>
        </w:tc>
        <w:tc>
          <w:tcPr>
            <w:tcW w:w="454" w:type="dxa"/>
          </w:tcPr>
          <w:p>
            <w:pPr>
              <w:pStyle w:val="TableParagraph"/>
              <w:ind w:right="47"/>
              <w:rPr>
                <w:sz w:val="14"/>
              </w:rPr>
            </w:pPr>
            <w:r>
              <w:rPr>
                <w:color w:val="231F20"/>
                <w:sz w:val="14"/>
              </w:rPr>
              <w:t>94</w:t>
            </w:r>
          </w:p>
        </w:tc>
        <w:tc>
          <w:tcPr>
            <w:tcW w:w="454" w:type="dxa"/>
          </w:tcPr>
          <w:p>
            <w:pPr>
              <w:pStyle w:val="TableParagraph"/>
              <w:ind w:right="47"/>
              <w:rPr>
                <w:sz w:val="14"/>
              </w:rPr>
            </w:pPr>
            <w:r>
              <w:rPr>
                <w:color w:val="231F20"/>
                <w:sz w:val="14"/>
              </w:rPr>
              <w:t>65</w:t>
            </w:r>
          </w:p>
        </w:tc>
        <w:tc>
          <w:tcPr>
            <w:tcW w:w="454" w:type="dxa"/>
          </w:tcPr>
          <w:p>
            <w:pPr>
              <w:pStyle w:val="TableParagraph"/>
              <w:ind w:right="47"/>
              <w:rPr>
                <w:sz w:val="14"/>
              </w:rPr>
            </w:pPr>
            <w:r>
              <w:rPr>
                <w:color w:val="231F20"/>
                <w:sz w:val="14"/>
              </w:rPr>
              <w:t>108</w:t>
            </w:r>
          </w:p>
        </w:tc>
      </w:tr>
      <w:tr>
        <w:trPr>
          <w:trHeight w:val="520" w:hRule="atLeast"/>
        </w:trPr>
        <w:tc>
          <w:tcPr>
            <w:tcW w:w="1479" w:type="dxa"/>
          </w:tcPr>
          <w:p>
            <w:pPr>
              <w:pStyle w:val="TableParagraph"/>
              <w:ind w:left="57"/>
              <w:jc w:val="left"/>
              <w:rPr>
                <w:sz w:val="14"/>
              </w:rPr>
            </w:pPr>
            <w:r>
              <w:rPr>
                <w:color w:val="231F20"/>
                <w:sz w:val="14"/>
              </w:rPr>
              <w:t>Општина Велико Градиште (Ко Курјаче, Мајиловац, Сираково)</w:t>
            </w:r>
          </w:p>
        </w:tc>
        <w:tc>
          <w:tcPr>
            <w:tcW w:w="454" w:type="dxa"/>
          </w:tcPr>
          <w:p>
            <w:pPr>
              <w:pStyle w:val="TableParagraph"/>
              <w:ind w:right="44"/>
              <w:rPr>
                <w:sz w:val="14"/>
              </w:rPr>
            </w:pPr>
            <w:r>
              <w:rPr>
                <w:color w:val="231F20"/>
                <w:sz w:val="14"/>
              </w:rPr>
              <w:t>18</w:t>
            </w:r>
          </w:p>
        </w:tc>
        <w:tc>
          <w:tcPr>
            <w:tcW w:w="454" w:type="dxa"/>
          </w:tcPr>
          <w:p>
            <w:pPr>
              <w:pStyle w:val="TableParagraph"/>
              <w:ind w:right="45"/>
              <w:rPr>
                <w:sz w:val="14"/>
              </w:rPr>
            </w:pPr>
            <w:r>
              <w:rPr>
                <w:color w:val="231F20"/>
                <w:sz w:val="14"/>
              </w:rPr>
              <w:t>18</w:t>
            </w:r>
          </w:p>
        </w:tc>
        <w:tc>
          <w:tcPr>
            <w:tcW w:w="454" w:type="dxa"/>
          </w:tcPr>
          <w:p>
            <w:pPr>
              <w:pStyle w:val="TableParagraph"/>
              <w:ind w:right="45"/>
              <w:rPr>
                <w:sz w:val="14"/>
              </w:rPr>
            </w:pPr>
            <w:r>
              <w:rPr>
                <w:color w:val="231F20"/>
                <w:sz w:val="14"/>
              </w:rPr>
              <w:t>6</w:t>
            </w:r>
          </w:p>
        </w:tc>
        <w:tc>
          <w:tcPr>
            <w:tcW w:w="454" w:type="dxa"/>
          </w:tcPr>
          <w:p>
            <w:pPr>
              <w:pStyle w:val="TableParagraph"/>
              <w:ind w:right="45"/>
              <w:rPr>
                <w:sz w:val="14"/>
              </w:rPr>
            </w:pPr>
            <w:r>
              <w:rPr>
                <w:color w:val="231F20"/>
                <w:sz w:val="14"/>
              </w:rPr>
              <w:t>6</w:t>
            </w:r>
          </w:p>
        </w:tc>
        <w:tc>
          <w:tcPr>
            <w:tcW w:w="454" w:type="dxa"/>
          </w:tcPr>
          <w:p>
            <w:pPr>
              <w:pStyle w:val="TableParagraph"/>
              <w:ind w:right="46"/>
              <w:rPr>
                <w:sz w:val="14"/>
              </w:rPr>
            </w:pPr>
            <w:r>
              <w:rPr>
                <w:color w:val="231F20"/>
                <w:sz w:val="14"/>
              </w:rPr>
              <w:t>-</w:t>
            </w:r>
          </w:p>
        </w:tc>
        <w:tc>
          <w:tcPr>
            <w:tcW w:w="454" w:type="dxa"/>
          </w:tcPr>
          <w:p>
            <w:pPr>
              <w:pStyle w:val="TableParagraph"/>
              <w:ind w:right="46"/>
              <w:rPr>
                <w:sz w:val="14"/>
              </w:rPr>
            </w:pPr>
            <w:r>
              <w:rPr>
                <w:color w:val="231F20"/>
                <w:sz w:val="14"/>
              </w:rPr>
              <w:t>-</w:t>
            </w:r>
          </w:p>
        </w:tc>
        <w:tc>
          <w:tcPr>
            <w:tcW w:w="454" w:type="dxa"/>
          </w:tcPr>
          <w:p>
            <w:pPr>
              <w:pStyle w:val="TableParagraph"/>
              <w:ind w:right="47"/>
              <w:rPr>
                <w:sz w:val="14"/>
              </w:rPr>
            </w:pPr>
            <w:r>
              <w:rPr>
                <w:color w:val="231F20"/>
                <w:sz w:val="14"/>
              </w:rPr>
              <w:t>12</w:t>
            </w:r>
          </w:p>
        </w:tc>
        <w:tc>
          <w:tcPr>
            <w:tcW w:w="454" w:type="dxa"/>
          </w:tcPr>
          <w:p>
            <w:pPr>
              <w:pStyle w:val="TableParagraph"/>
              <w:ind w:right="47"/>
              <w:rPr>
                <w:sz w:val="14"/>
              </w:rPr>
            </w:pPr>
            <w:r>
              <w:rPr>
                <w:color w:val="231F20"/>
                <w:sz w:val="14"/>
              </w:rPr>
              <w:t>12</w:t>
            </w:r>
          </w:p>
        </w:tc>
      </w:tr>
      <w:tr>
        <w:trPr>
          <w:trHeight w:val="360" w:hRule="atLeast"/>
        </w:trPr>
        <w:tc>
          <w:tcPr>
            <w:tcW w:w="1479" w:type="dxa"/>
          </w:tcPr>
          <w:p>
            <w:pPr>
              <w:pStyle w:val="TableParagraph"/>
              <w:ind w:left="57"/>
              <w:jc w:val="left"/>
              <w:rPr>
                <w:sz w:val="14"/>
              </w:rPr>
            </w:pPr>
            <w:r>
              <w:rPr>
                <w:color w:val="231F20"/>
                <w:sz w:val="14"/>
              </w:rPr>
              <w:t>Укупно Планско подручје</w:t>
            </w:r>
          </w:p>
        </w:tc>
        <w:tc>
          <w:tcPr>
            <w:tcW w:w="454" w:type="dxa"/>
          </w:tcPr>
          <w:p>
            <w:pPr>
              <w:pStyle w:val="TableParagraph"/>
              <w:ind w:right="44"/>
              <w:rPr>
                <w:sz w:val="14"/>
              </w:rPr>
            </w:pPr>
            <w:r>
              <w:rPr>
                <w:color w:val="231F20"/>
                <w:sz w:val="14"/>
              </w:rPr>
              <w:t>197</w:t>
            </w:r>
          </w:p>
        </w:tc>
        <w:tc>
          <w:tcPr>
            <w:tcW w:w="454" w:type="dxa"/>
          </w:tcPr>
          <w:p>
            <w:pPr>
              <w:pStyle w:val="TableParagraph"/>
              <w:ind w:right="44"/>
              <w:rPr>
                <w:sz w:val="14"/>
              </w:rPr>
            </w:pPr>
            <w:r>
              <w:rPr>
                <w:color w:val="231F20"/>
                <w:sz w:val="14"/>
              </w:rPr>
              <w:t>252</w:t>
            </w:r>
          </w:p>
        </w:tc>
        <w:tc>
          <w:tcPr>
            <w:tcW w:w="454" w:type="dxa"/>
          </w:tcPr>
          <w:p>
            <w:pPr>
              <w:pStyle w:val="TableParagraph"/>
              <w:ind w:right="45"/>
              <w:rPr>
                <w:sz w:val="14"/>
              </w:rPr>
            </w:pPr>
            <w:r>
              <w:rPr>
                <w:color w:val="231F20"/>
                <w:sz w:val="14"/>
              </w:rPr>
              <w:t>49</w:t>
            </w:r>
          </w:p>
        </w:tc>
        <w:tc>
          <w:tcPr>
            <w:tcW w:w="454" w:type="dxa"/>
          </w:tcPr>
          <w:p>
            <w:pPr>
              <w:pStyle w:val="TableParagraph"/>
              <w:ind w:right="45"/>
              <w:rPr>
                <w:sz w:val="14"/>
              </w:rPr>
            </w:pPr>
            <w:r>
              <w:rPr>
                <w:color w:val="231F20"/>
                <w:sz w:val="14"/>
              </w:rPr>
              <w:t>38</w:t>
            </w:r>
          </w:p>
        </w:tc>
        <w:tc>
          <w:tcPr>
            <w:tcW w:w="454" w:type="dxa"/>
          </w:tcPr>
          <w:p>
            <w:pPr>
              <w:pStyle w:val="TableParagraph"/>
              <w:ind w:right="45"/>
              <w:rPr>
                <w:sz w:val="14"/>
              </w:rPr>
            </w:pPr>
            <w:r>
              <w:rPr>
                <w:color w:val="231F20"/>
                <w:sz w:val="14"/>
              </w:rPr>
              <w:t>71</w:t>
            </w:r>
          </w:p>
        </w:tc>
        <w:tc>
          <w:tcPr>
            <w:tcW w:w="454" w:type="dxa"/>
          </w:tcPr>
          <w:p>
            <w:pPr>
              <w:pStyle w:val="TableParagraph"/>
              <w:ind w:right="46"/>
              <w:rPr>
                <w:sz w:val="14"/>
              </w:rPr>
            </w:pPr>
            <w:r>
              <w:rPr>
                <w:color w:val="231F20"/>
                <w:sz w:val="14"/>
              </w:rPr>
              <w:t>94</w:t>
            </w:r>
          </w:p>
        </w:tc>
        <w:tc>
          <w:tcPr>
            <w:tcW w:w="454" w:type="dxa"/>
          </w:tcPr>
          <w:p>
            <w:pPr>
              <w:pStyle w:val="TableParagraph"/>
              <w:ind w:right="46"/>
              <w:rPr>
                <w:sz w:val="14"/>
              </w:rPr>
            </w:pPr>
            <w:r>
              <w:rPr>
                <w:color w:val="231F20"/>
                <w:sz w:val="14"/>
              </w:rPr>
              <w:t>77</w:t>
            </w:r>
          </w:p>
        </w:tc>
        <w:tc>
          <w:tcPr>
            <w:tcW w:w="454" w:type="dxa"/>
          </w:tcPr>
          <w:p>
            <w:pPr>
              <w:pStyle w:val="TableParagraph"/>
              <w:ind w:right="47"/>
              <w:rPr>
                <w:sz w:val="14"/>
              </w:rPr>
            </w:pPr>
            <w:r>
              <w:rPr>
                <w:color w:val="231F20"/>
                <w:sz w:val="14"/>
              </w:rPr>
              <w:t>120</w:t>
            </w:r>
          </w:p>
        </w:tc>
      </w:tr>
    </w:tbl>
    <w:p>
      <w:pPr>
        <w:pStyle w:val="BodyText"/>
        <w:spacing w:line="230" w:lineRule="auto" w:before="38"/>
        <w:ind w:left="242" w:right="126" w:firstLine="396"/>
      </w:pPr>
      <w:r>
        <w:rPr>
          <w:color w:val="231F20"/>
        </w:rPr>
        <w:t>Када су у питању остали објекти саобраћајне инфраструкту- ре, везани за развој друмског саобраћаја, овим Планом задржавају се постојеће локације станица за снабдевање горивом а изградња нових није планирана. Уколико се у наредном планском периоду укаже потреба за изградњом нових станица за снабдевање гори- вом, њихов положај и капацитети ће бити одређени кроз израду одговарајуће планске документације.</w:t>
      </w:r>
    </w:p>
    <w:p>
      <w:pPr>
        <w:pStyle w:val="BodyText"/>
        <w:spacing w:line="230" w:lineRule="auto" w:before="2"/>
        <w:ind w:left="243" w:right="126" w:firstLine="397"/>
      </w:pPr>
      <w:r>
        <w:rPr>
          <w:color w:val="231F20"/>
          <w:spacing w:val="-3"/>
        </w:rPr>
        <w:t>Осим</w:t>
      </w:r>
      <w:r>
        <w:rPr>
          <w:color w:val="231F20"/>
          <w:spacing w:val="-10"/>
        </w:rPr>
        <w:t> </w:t>
      </w:r>
      <w:r>
        <w:rPr>
          <w:color w:val="231F20"/>
          <w:spacing w:val="-4"/>
        </w:rPr>
        <w:t>развоја</w:t>
      </w:r>
      <w:r>
        <w:rPr>
          <w:color w:val="231F20"/>
          <w:spacing w:val="-10"/>
        </w:rPr>
        <w:t> </w:t>
      </w:r>
      <w:r>
        <w:rPr>
          <w:color w:val="231F20"/>
          <w:spacing w:val="-4"/>
        </w:rPr>
        <w:t>мреже</w:t>
      </w:r>
      <w:r>
        <w:rPr>
          <w:color w:val="231F20"/>
          <w:spacing w:val="-10"/>
        </w:rPr>
        <w:t> </w:t>
      </w:r>
      <w:r>
        <w:rPr>
          <w:color w:val="231F20"/>
          <w:spacing w:val="-4"/>
        </w:rPr>
        <w:t>путева,</w:t>
      </w:r>
      <w:r>
        <w:rPr>
          <w:color w:val="231F20"/>
          <w:spacing w:val="-10"/>
        </w:rPr>
        <w:t> </w:t>
      </w:r>
      <w:r>
        <w:rPr>
          <w:color w:val="231F20"/>
          <w:spacing w:val="-4"/>
        </w:rPr>
        <w:t>планиран</w:t>
      </w:r>
      <w:r>
        <w:rPr>
          <w:color w:val="231F20"/>
          <w:spacing w:val="-10"/>
        </w:rPr>
        <w:t> </w:t>
      </w:r>
      <w:r>
        <w:rPr>
          <w:color w:val="231F20"/>
        </w:rPr>
        <w:t>је</w:t>
      </w:r>
      <w:r>
        <w:rPr>
          <w:color w:val="231F20"/>
          <w:spacing w:val="-10"/>
        </w:rPr>
        <w:t> </w:t>
      </w:r>
      <w:r>
        <w:rPr>
          <w:color w:val="231F20"/>
        </w:rPr>
        <w:t>и</w:t>
      </w:r>
      <w:r>
        <w:rPr>
          <w:color w:val="231F20"/>
          <w:spacing w:val="-10"/>
        </w:rPr>
        <w:t> </w:t>
      </w:r>
      <w:r>
        <w:rPr>
          <w:color w:val="231F20"/>
          <w:spacing w:val="-3"/>
        </w:rPr>
        <w:t>даљи</w:t>
      </w:r>
      <w:r>
        <w:rPr>
          <w:color w:val="231F20"/>
          <w:spacing w:val="-10"/>
        </w:rPr>
        <w:t> </w:t>
      </w:r>
      <w:r>
        <w:rPr>
          <w:color w:val="231F20"/>
          <w:spacing w:val="-4"/>
        </w:rPr>
        <w:t>развој</w:t>
      </w:r>
      <w:r>
        <w:rPr>
          <w:color w:val="231F20"/>
          <w:spacing w:val="-10"/>
        </w:rPr>
        <w:t> </w:t>
      </w:r>
      <w:r>
        <w:rPr>
          <w:color w:val="231F20"/>
        </w:rPr>
        <w:t>и</w:t>
      </w:r>
      <w:r>
        <w:rPr>
          <w:color w:val="231F20"/>
          <w:spacing w:val="-10"/>
        </w:rPr>
        <w:t> </w:t>
      </w:r>
      <w:r>
        <w:rPr>
          <w:color w:val="231F20"/>
          <w:spacing w:val="-4"/>
        </w:rPr>
        <w:t>унапре- </w:t>
      </w:r>
      <w:r>
        <w:rPr>
          <w:color w:val="231F20"/>
          <w:spacing w:val="-3"/>
        </w:rPr>
        <w:t>ђење </w:t>
      </w:r>
      <w:r>
        <w:rPr>
          <w:color w:val="231F20"/>
          <w:spacing w:val="-4"/>
        </w:rPr>
        <w:t>јавног </w:t>
      </w:r>
      <w:r>
        <w:rPr>
          <w:color w:val="231F20"/>
          <w:spacing w:val="-6"/>
        </w:rPr>
        <w:t>друмског </w:t>
      </w:r>
      <w:r>
        <w:rPr>
          <w:color w:val="231F20"/>
          <w:spacing w:val="-5"/>
        </w:rPr>
        <w:t>путничког </w:t>
      </w:r>
      <w:r>
        <w:rPr>
          <w:color w:val="231F20"/>
          <w:spacing w:val="-4"/>
        </w:rPr>
        <w:t>саобраћаја </w:t>
      </w:r>
      <w:r>
        <w:rPr>
          <w:color w:val="231F20"/>
          <w:spacing w:val="-5"/>
        </w:rPr>
        <w:t>(приградског </w:t>
      </w:r>
      <w:r>
        <w:rPr>
          <w:color w:val="231F20"/>
        </w:rPr>
        <w:t>и </w:t>
      </w:r>
      <w:r>
        <w:rPr>
          <w:color w:val="231F20"/>
          <w:spacing w:val="-5"/>
        </w:rPr>
        <w:t>градског) </w:t>
      </w:r>
      <w:r>
        <w:rPr>
          <w:color w:val="231F20"/>
          <w:spacing w:val="-3"/>
        </w:rPr>
        <w:t>кроз </w:t>
      </w:r>
      <w:r>
        <w:rPr>
          <w:color w:val="231F20"/>
          <w:spacing w:val="-4"/>
        </w:rPr>
        <w:t>увођење нових линија </w:t>
      </w:r>
      <w:r>
        <w:rPr>
          <w:color w:val="231F20"/>
        </w:rPr>
        <w:t>и </w:t>
      </w:r>
      <w:r>
        <w:rPr>
          <w:color w:val="231F20"/>
          <w:spacing w:val="-5"/>
        </w:rPr>
        <w:t>прилагођавање </w:t>
      </w:r>
      <w:r>
        <w:rPr>
          <w:color w:val="231F20"/>
          <w:spacing w:val="-4"/>
        </w:rPr>
        <w:t>редова </w:t>
      </w:r>
      <w:r>
        <w:rPr>
          <w:color w:val="231F20"/>
          <w:spacing w:val="-5"/>
        </w:rPr>
        <w:t>вожње </w:t>
      </w:r>
      <w:r>
        <w:rPr>
          <w:color w:val="231F20"/>
          <w:spacing w:val="-4"/>
        </w:rPr>
        <w:t>циљним </w:t>
      </w:r>
      <w:r>
        <w:rPr>
          <w:color w:val="231F20"/>
          <w:spacing w:val="-5"/>
        </w:rPr>
        <w:t>корисницима </w:t>
      </w:r>
      <w:r>
        <w:rPr>
          <w:color w:val="231F20"/>
          <w:spacing w:val="-6"/>
        </w:rPr>
        <w:t>(школска </w:t>
      </w:r>
      <w:r>
        <w:rPr>
          <w:color w:val="231F20"/>
          <w:spacing w:val="-5"/>
        </w:rPr>
        <w:t>популација, </w:t>
      </w:r>
      <w:r>
        <w:rPr>
          <w:color w:val="231F20"/>
          <w:spacing w:val="-4"/>
        </w:rPr>
        <w:t>радни </w:t>
      </w:r>
      <w:r>
        <w:rPr>
          <w:color w:val="231F20"/>
          <w:spacing w:val="-5"/>
        </w:rPr>
        <w:t>контигент </w:t>
      </w:r>
      <w:r>
        <w:rPr>
          <w:color w:val="231F20"/>
        </w:rPr>
        <w:t>и </w:t>
      </w:r>
      <w:r>
        <w:rPr>
          <w:color w:val="231F20"/>
          <w:spacing w:val="-4"/>
        </w:rPr>
        <w:t>слично). </w:t>
      </w:r>
      <w:r>
        <w:rPr>
          <w:color w:val="231F20"/>
          <w:spacing w:val="-7"/>
        </w:rPr>
        <w:t>Уна- </w:t>
      </w:r>
      <w:r>
        <w:rPr>
          <w:color w:val="231F20"/>
          <w:spacing w:val="-4"/>
        </w:rPr>
        <w:t>пређење </w:t>
      </w:r>
      <w:r>
        <w:rPr>
          <w:color w:val="231F20"/>
        </w:rPr>
        <w:t>и </w:t>
      </w:r>
      <w:r>
        <w:rPr>
          <w:color w:val="231F20"/>
          <w:spacing w:val="-4"/>
        </w:rPr>
        <w:t>фаворизовање јавног превоза путника </w:t>
      </w:r>
      <w:r>
        <w:rPr>
          <w:color w:val="231F20"/>
          <w:spacing w:val="-5"/>
        </w:rPr>
        <w:t>дугорочно може утицати </w:t>
      </w:r>
      <w:r>
        <w:rPr>
          <w:color w:val="231F20"/>
        </w:rPr>
        <w:t>на </w:t>
      </w:r>
      <w:r>
        <w:rPr>
          <w:color w:val="231F20"/>
          <w:spacing w:val="-4"/>
        </w:rPr>
        <w:t>видовну </w:t>
      </w:r>
      <w:r>
        <w:rPr>
          <w:color w:val="231F20"/>
          <w:spacing w:val="-5"/>
        </w:rPr>
        <w:t>расподелу </w:t>
      </w:r>
      <w:r>
        <w:rPr>
          <w:color w:val="231F20"/>
          <w:spacing w:val="-4"/>
        </w:rPr>
        <w:t>путовања становника </w:t>
      </w:r>
      <w:r>
        <w:rPr>
          <w:color w:val="231F20"/>
        </w:rPr>
        <w:t>и </w:t>
      </w:r>
      <w:r>
        <w:rPr>
          <w:color w:val="231F20"/>
          <w:spacing w:val="-4"/>
        </w:rPr>
        <w:t>смањење </w:t>
      </w:r>
      <w:r>
        <w:rPr>
          <w:color w:val="231F20"/>
          <w:spacing w:val="-3"/>
        </w:rPr>
        <w:t>упо- </w:t>
      </w:r>
      <w:r>
        <w:rPr>
          <w:color w:val="231F20"/>
          <w:spacing w:val="-4"/>
        </w:rPr>
        <w:t>требе путничких </w:t>
      </w:r>
      <w:r>
        <w:rPr>
          <w:color w:val="231F20"/>
          <w:spacing w:val="-5"/>
        </w:rPr>
        <w:t>аутомобила, </w:t>
      </w:r>
      <w:r>
        <w:rPr>
          <w:color w:val="231F20"/>
          <w:spacing w:val="-4"/>
        </w:rPr>
        <w:t>што </w:t>
      </w:r>
      <w:r>
        <w:rPr>
          <w:color w:val="231F20"/>
        </w:rPr>
        <w:t>ће </w:t>
      </w:r>
      <w:r>
        <w:rPr>
          <w:color w:val="231F20"/>
          <w:spacing w:val="-4"/>
        </w:rPr>
        <w:t>допринети смањењу </w:t>
      </w:r>
      <w:r>
        <w:rPr>
          <w:color w:val="231F20"/>
          <w:spacing w:val="-5"/>
        </w:rPr>
        <w:t>негативних </w:t>
      </w:r>
      <w:r>
        <w:rPr>
          <w:color w:val="231F20"/>
          <w:spacing w:val="-4"/>
        </w:rPr>
        <w:t>ефеката </w:t>
      </w:r>
      <w:r>
        <w:rPr>
          <w:color w:val="231F20"/>
          <w:spacing w:val="-6"/>
        </w:rPr>
        <w:t>које </w:t>
      </w:r>
      <w:r>
        <w:rPr>
          <w:color w:val="231F20"/>
          <w:spacing w:val="-4"/>
        </w:rPr>
        <w:t>индивидуални друмски саобраћај </w:t>
      </w:r>
      <w:r>
        <w:rPr>
          <w:color w:val="231F20"/>
        </w:rPr>
        <w:t>носи са </w:t>
      </w:r>
      <w:r>
        <w:rPr>
          <w:color w:val="231F20"/>
          <w:spacing w:val="-4"/>
        </w:rPr>
        <w:t>собом (смање- </w:t>
      </w:r>
      <w:r>
        <w:rPr>
          <w:color w:val="231F20"/>
        </w:rPr>
        <w:t>ње </w:t>
      </w:r>
      <w:r>
        <w:rPr>
          <w:color w:val="231F20"/>
          <w:spacing w:val="-6"/>
        </w:rPr>
        <w:t>буке, </w:t>
      </w:r>
      <w:r>
        <w:rPr>
          <w:color w:val="231F20"/>
          <w:spacing w:val="-4"/>
        </w:rPr>
        <w:t>аерозагађења </w:t>
      </w:r>
      <w:r>
        <w:rPr>
          <w:color w:val="231F20"/>
        </w:rPr>
        <w:t>и </w:t>
      </w:r>
      <w:r>
        <w:rPr>
          <w:color w:val="231F20"/>
          <w:spacing w:val="-4"/>
        </w:rPr>
        <w:t>слично). </w:t>
      </w:r>
      <w:r>
        <w:rPr>
          <w:color w:val="231F20"/>
        </w:rPr>
        <w:t>У </w:t>
      </w:r>
      <w:r>
        <w:rPr>
          <w:color w:val="231F20"/>
          <w:spacing w:val="-4"/>
        </w:rPr>
        <w:t>складу </w:t>
      </w:r>
      <w:r>
        <w:rPr>
          <w:color w:val="231F20"/>
        </w:rPr>
        <w:t>са </w:t>
      </w:r>
      <w:r>
        <w:rPr>
          <w:color w:val="231F20"/>
          <w:spacing w:val="-6"/>
        </w:rPr>
        <w:t>Законом </w:t>
      </w:r>
      <w:r>
        <w:rPr>
          <w:color w:val="231F20"/>
        </w:rPr>
        <w:t>о </w:t>
      </w:r>
      <w:r>
        <w:rPr>
          <w:color w:val="231F20"/>
          <w:spacing w:val="-4"/>
        </w:rPr>
        <w:t>јавним путе- вима </w:t>
      </w:r>
      <w:r>
        <w:rPr>
          <w:color w:val="231F20"/>
        </w:rPr>
        <w:t>и </w:t>
      </w:r>
      <w:r>
        <w:rPr>
          <w:color w:val="231F20"/>
          <w:spacing w:val="-5"/>
        </w:rPr>
        <w:t>пратећим подзаконским </w:t>
      </w:r>
      <w:r>
        <w:rPr>
          <w:color w:val="231F20"/>
          <w:spacing w:val="-4"/>
        </w:rPr>
        <w:t>актима, предвиђена </w:t>
      </w:r>
      <w:r>
        <w:rPr>
          <w:color w:val="231F20"/>
        </w:rPr>
        <w:t>је и </w:t>
      </w:r>
      <w:r>
        <w:rPr>
          <w:color w:val="231F20"/>
          <w:spacing w:val="-4"/>
        </w:rPr>
        <w:t>изградња </w:t>
      </w:r>
      <w:r>
        <w:rPr>
          <w:color w:val="231F20"/>
        </w:rPr>
        <w:t>и </w:t>
      </w:r>
      <w:r>
        <w:rPr>
          <w:color w:val="231F20"/>
          <w:spacing w:val="-4"/>
        </w:rPr>
        <w:t>опремање </w:t>
      </w:r>
      <w:r>
        <w:rPr>
          <w:color w:val="231F20"/>
          <w:spacing w:val="-3"/>
        </w:rPr>
        <w:t>ниша </w:t>
      </w:r>
      <w:r>
        <w:rPr>
          <w:color w:val="231F20"/>
        </w:rPr>
        <w:t>на </w:t>
      </w:r>
      <w:r>
        <w:rPr>
          <w:color w:val="231F20"/>
          <w:spacing w:val="-4"/>
        </w:rPr>
        <w:t>стајалиштима јавног превоза </w:t>
      </w:r>
      <w:r>
        <w:rPr>
          <w:color w:val="231F20"/>
        </w:rPr>
        <w:t>у </w:t>
      </w:r>
      <w:r>
        <w:rPr>
          <w:color w:val="231F20"/>
          <w:spacing w:val="-5"/>
        </w:rPr>
        <w:t>коридорима </w:t>
      </w:r>
      <w:r>
        <w:rPr>
          <w:color w:val="231F20"/>
          <w:spacing w:val="-4"/>
        </w:rPr>
        <w:t>јавних путева. Изградња </w:t>
      </w:r>
      <w:r>
        <w:rPr>
          <w:color w:val="231F20"/>
          <w:spacing w:val="-3"/>
        </w:rPr>
        <w:t>ниша </w:t>
      </w:r>
      <w:r>
        <w:rPr>
          <w:color w:val="231F20"/>
        </w:rPr>
        <w:t>ће </w:t>
      </w:r>
      <w:r>
        <w:rPr>
          <w:color w:val="231F20"/>
          <w:spacing w:val="-5"/>
        </w:rPr>
        <w:t>утицати </w:t>
      </w:r>
      <w:r>
        <w:rPr>
          <w:color w:val="231F20"/>
        </w:rPr>
        <w:t>на </w:t>
      </w:r>
      <w:r>
        <w:rPr>
          <w:color w:val="231F20"/>
          <w:spacing w:val="-4"/>
        </w:rPr>
        <w:t>ефикасније </w:t>
      </w:r>
      <w:r>
        <w:rPr>
          <w:color w:val="231F20"/>
          <w:spacing w:val="-5"/>
        </w:rPr>
        <w:t>одвијање </w:t>
      </w:r>
      <w:r>
        <w:rPr>
          <w:color w:val="231F20"/>
          <w:spacing w:val="-4"/>
        </w:rPr>
        <w:t>јавног превоза </w:t>
      </w:r>
      <w:r>
        <w:rPr>
          <w:color w:val="231F20"/>
        </w:rPr>
        <w:t>и </w:t>
      </w:r>
      <w:r>
        <w:rPr>
          <w:color w:val="231F20"/>
          <w:spacing w:val="-4"/>
        </w:rPr>
        <w:t>повећање безбедности </w:t>
      </w:r>
      <w:r>
        <w:rPr>
          <w:color w:val="231F20"/>
          <w:spacing w:val="-3"/>
        </w:rPr>
        <w:t>свих </w:t>
      </w:r>
      <w:r>
        <w:rPr>
          <w:color w:val="231F20"/>
          <w:spacing w:val="-4"/>
        </w:rPr>
        <w:t>учесника </w:t>
      </w:r>
      <w:r>
        <w:rPr>
          <w:color w:val="231F20"/>
        </w:rPr>
        <w:t>у</w:t>
      </w:r>
      <w:r>
        <w:rPr>
          <w:color w:val="231F20"/>
          <w:spacing w:val="-30"/>
        </w:rPr>
        <w:t> </w:t>
      </w:r>
      <w:r>
        <w:rPr>
          <w:color w:val="231F20"/>
          <w:spacing w:val="-6"/>
        </w:rPr>
        <w:t>саобраћају.</w:t>
      </w:r>
    </w:p>
    <w:p>
      <w:pPr>
        <w:pStyle w:val="BodyText"/>
        <w:spacing w:before="169"/>
        <w:ind w:left="1767"/>
        <w:jc w:val="left"/>
      </w:pPr>
      <w:r>
        <w:rPr>
          <w:color w:val="231F20"/>
        </w:rPr>
        <w:t>Мрежа железничких пруга</w:t>
      </w:r>
    </w:p>
    <w:p>
      <w:pPr>
        <w:pStyle w:val="BodyText"/>
        <w:spacing w:before="2"/>
        <w:ind w:left="0"/>
        <w:jc w:val="left"/>
        <w:rPr>
          <w:sz w:val="17"/>
        </w:rPr>
      </w:pPr>
    </w:p>
    <w:p>
      <w:pPr>
        <w:pStyle w:val="BodyText"/>
        <w:spacing w:line="230" w:lineRule="auto"/>
        <w:ind w:left="243" w:right="127" w:firstLine="396"/>
      </w:pPr>
      <w:r>
        <w:rPr>
          <w:color w:val="231F20"/>
        </w:rPr>
        <w:t>У складу са Просторним планом Републике Србије („Слу- жбени гласник РС”, број 88/10) и развојним плановима ЈП „Же- лезнице Србије”, на Планском подручју, у дугорочном периоду, предвиђено је следеће:</w:t>
      </w:r>
    </w:p>
    <w:p>
      <w:pPr>
        <w:pStyle w:val="BodyText"/>
        <w:spacing w:line="230" w:lineRule="auto" w:before="2"/>
        <w:ind w:left="243" w:right="127" w:firstLine="396"/>
      </w:pPr>
      <w:r>
        <w:rPr>
          <w:color w:val="231F20"/>
          <w:w w:val="66"/>
        </w:rPr>
        <w:t> </w:t>
      </w:r>
      <w:r>
        <w:rPr>
          <w:color w:val="231F20"/>
        </w:rPr>
        <w:t>– реконструкција и модернизација железничке  пруге  Ма- ла Крсна – Пожаревац – Бор – Распутница 2 (Вражогрнац) у по- стојећем </w:t>
      </w:r>
      <w:r>
        <w:rPr>
          <w:color w:val="231F20"/>
          <w:spacing w:val="-4"/>
        </w:rPr>
        <w:t>коридору, </w:t>
      </w:r>
      <w:r>
        <w:rPr>
          <w:color w:val="231F20"/>
          <w:spacing w:val="-3"/>
        </w:rPr>
        <w:t>која </w:t>
      </w:r>
      <w:r>
        <w:rPr>
          <w:color w:val="231F20"/>
        </w:rPr>
        <w:t>подразумева грађевинску реконструкцију и изградњу стабилних постројења електричне вуче, </w:t>
      </w:r>
      <w:r>
        <w:rPr>
          <w:color w:val="231F20"/>
          <w:spacing w:val="-4"/>
        </w:rPr>
        <w:t>како </w:t>
      </w:r>
      <w:r>
        <w:rPr>
          <w:color w:val="231F20"/>
        </w:rPr>
        <w:t>би она постала електрифицирана железничка пруга на целој својој дужи- ни; неопходно је и подизање нивоа осигурања у регулисању же- лезничког саобраћаја увођењем АПБ </w:t>
      </w:r>
      <w:r>
        <w:rPr>
          <w:color w:val="231F20"/>
          <w:spacing w:val="-3"/>
        </w:rPr>
        <w:t>(аутоматски </w:t>
      </w:r>
      <w:r>
        <w:rPr>
          <w:color w:val="231F20"/>
        </w:rPr>
        <w:t>пружни блок) система</w:t>
      </w:r>
      <w:r>
        <w:rPr>
          <w:color w:val="231F20"/>
          <w:spacing w:val="-1"/>
        </w:rPr>
        <w:t> </w:t>
      </w:r>
      <w:r>
        <w:rPr>
          <w:color w:val="231F20"/>
        </w:rPr>
        <w:t>осигурања;</w:t>
      </w:r>
    </w:p>
    <w:p>
      <w:pPr>
        <w:pStyle w:val="BodyText"/>
        <w:spacing w:line="230" w:lineRule="auto" w:before="3"/>
        <w:ind w:left="242" w:right="127" w:firstLine="397"/>
      </w:pPr>
      <w:r>
        <w:rPr>
          <w:color w:val="231F20"/>
          <w:w w:val="66"/>
        </w:rPr>
        <w:t> </w:t>
      </w:r>
      <w:r>
        <w:rPr>
          <w:color w:val="231F20"/>
        </w:rPr>
        <w:t>– реконструкцијом и модернизацијом регионалне пруге Ма- ла Крсна – Вражогрнац (деонице </w:t>
      </w:r>
      <w:r>
        <w:rPr>
          <w:color w:val="231F20"/>
          <w:spacing w:val="-3"/>
        </w:rPr>
        <w:t>од </w:t>
      </w:r>
      <w:r>
        <w:rPr>
          <w:color w:val="231F20"/>
        </w:rPr>
        <w:t>Пожаревца) треба омогућити следеће:</w:t>
      </w:r>
      <w:r>
        <w:rPr>
          <w:color w:val="231F20"/>
          <w:spacing w:val="-5"/>
        </w:rPr>
        <w:t> </w:t>
      </w:r>
      <w:r>
        <w:rPr>
          <w:color w:val="231F20"/>
        </w:rPr>
        <w:t>слободан</w:t>
      </w:r>
      <w:r>
        <w:rPr>
          <w:color w:val="231F20"/>
          <w:spacing w:val="-5"/>
        </w:rPr>
        <w:t> </w:t>
      </w:r>
      <w:r>
        <w:rPr>
          <w:color w:val="231F20"/>
        </w:rPr>
        <w:t>профил</w:t>
      </w:r>
      <w:r>
        <w:rPr>
          <w:color w:val="231F20"/>
          <w:spacing w:val="-5"/>
        </w:rPr>
        <w:t> </w:t>
      </w:r>
      <w:r>
        <w:rPr>
          <w:color w:val="231F20"/>
        </w:rPr>
        <w:t>за</w:t>
      </w:r>
      <w:r>
        <w:rPr>
          <w:color w:val="231F20"/>
          <w:spacing w:val="-5"/>
        </w:rPr>
        <w:t> </w:t>
      </w:r>
      <w:r>
        <w:rPr>
          <w:color w:val="231F20"/>
        </w:rPr>
        <w:t>саобраћај</w:t>
      </w:r>
      <w:r>
        <w:rPr>
          <w:color w:val="231F20"/>
          <w:spacing w:val="-5"/>
        </w:rPr>
        <w:t> </w:t>
      </w:r>
      <w:r>
        <w:rPr>
          <w:color w:val="231F20"/>
        </w:rPr>
        <w:t>возила</w:t>
      </w:r>
      <w:r>
        <w:rPr>
          <w:color w:val="231F20"/>
          <w:spacing w:val="-5"/>
        </w:rPr>
        <w:t> </w:t>
      </w:r>
      <w:r>
        <w:rPr>
          <w:color w:val="231F20"/>
        </w:rPr>
        <w:t>са</w:t>
      </w:r>
      <w:r>
        <w:rPr>
          <w:color w:val="231F20"/>
          <w:spacing w:val="-5"/>
        </w:rPr>
        <w:t> </w:t>
      </w:r>
      <w:r>
        <w:rPr>
          <w:color w:val="231F20"/>
        </w:rPr>
        <w:t>товарним</w:t>
      </w:r>
      <w:r>
        <w:rPr>
          <w:color w:val="231F20"/>
          <w:spacing w:val="-5"/>
        </w:rPr>
        <w:t> </w:t>
      </w:r>
      <w:r>
        <w:rPr>
          <w:color w:val="231F20"/>
        </w:rPr>
        <w:t>профи- лом УИЦ-ГЦ и лаке моторне путничке возове, највећи дозвољени притисак по осовини возила 22,5 t, највећи дозвољени притисак по пружном метру 8,0 t, највећу дозвољену брзину за саобраћај путничких моторних возова 100 km/h;</w:t>
      </w:r>
      <w:r>
        <w:rPr>
          <w:color w:val="231F20"/>
          <w:spacing w:val="-3"/>
        </w:rPr>
        <w:t> </w:t>
      </w:r>
      <w:r>
        <w:rPr>
          <w:color w:val="231F20"/>
        </w:rPr>
        <w:t>и</w:t>
      </w:r>
    </w:p>
    <w:p>
      <w:pPr>
        <w:spacing w:after="0" w:line="230" w:lineRule="auto"/>
        <w:sectPr>
          <w:pgSz w:w="12480" w:h="15690"/>
          <w:pgMar w:top="120" w:bottom="280" w:left="680" w:right="720"/>
          <w:cols w:num="2" w:equalWidth="0">
            <w:col w:w="5558" w:space="40"/>
            <w:col w:w="5482"/>
          </w:cols>
        </w:sectPr>
      </w:pPr>
    </w:p>
    <w:p>
      <w:pPr>
        <w:pStyle w:val="BodyText"/>
        <w:spacing w:line="232" w:lineRule="auto" w:before="73"/>
        <w:ind w:right="38" w:firstLine="396"/>
      </w:pPr>
      <w:r>
        <w:rPr/>
        <w:pict>
          <v:line style="position:absolute;mso-position-horizontal-relative:page;mso-position-vertical-relative:page;z-index:2728" from="304.724396pt,11.942451pt" to="304.724396pt,748.950451pt" stroked="true" strokeweight=".6pt" strokecolor="#231f20">
            <v:stroke dashstyle="solid"/>
            <w10:wrap type="none"/>
          </v:line>
        </w:pict>
      </w:r>
      <w:r>
        <w:rPr>
          <w:color w:val="231F20"/>
          <w:w w:val="66"/>
        </w:rPr>
        <w:t> </w:t>
      </w:r>
      <w:r>
        <w:rPr>
          <w:color w:val="231F20"/>
        </w:rPr>
        <w:t>– железница задржава железничко земљиште и коридоре свих раније укинутих пруга.</w:t>
      </w:r>
    </w:p>
    <w:p>
      <w:pPr>
        <w:pStyle w:val="BodyText"/>
        <w:spacing w:line="232" w:lineRule="auto"/>
        <w:ind w:right="38" w:firstLine="396"/>
      </w:pPr>
      <w:r>
        <w:rPr>
          <w:color w:val="231F20"/>
        </w:rPr>
        <w:t>Реконструкција и модернизација железничких капацитета (пруга и постројења) треба да буде урађена уз поштовање свих услова и норматива из Закона о железници („Службени гласник РС”, број 18/05) и одговарајућих пратећих правилника.</w:t>
      </w:r>
    </w:p>
    <w:p>
      <w:pPr>
        <w:pStyle w:val="BodyText"/>
        <w:spacing w:line="232" w:lineRule="auto" w:before="1"/>
        <w:ind w:left="169" w:right="38" w:firstLine="397"/>
      </w:pPr>
      <w:r>
        <w:rPr>
          <w:color w:val="231F20"/>
        </w:rPr>
        <w:t>ЈП</w:t>
      </w:r>
      <w:r>
        <w:rPr>
          <w:color w:val="231F20"/>
          <w:spacing w:val="-6"/>
        </w:rPr>
        <w:t> </w:t>
      </w:r>
      <w:r>
        <w:rPr>
          <w:color w:val="231F20"/>
        </w:rPr>
        <w:t>„Железнице</w:t>
      </w:r>
      <w:r>
        <w:rPr>
          <w:color w:val="231F20"/>
          <w:spacing w:val="-6"/>
        </w:rPr>
        <w:t> </w:t>
      </w:r>
      <w:r>
        <w:rPr>
          <w:color w:val="231F20"/>
        </w:rPr>
        <w:t>Србије”</w:t>
      </w:r>
      <w:r>
        <w:rPr>
          <w:color w:val="231F20"/>
          <w:spacing w:val="-6"/>
        </w:rPr>
        <w:t> </w:t>
      </w:r>
      <w:r>
        <w:rPr>
          <w:color w:val="231F20"/>
        </w:rPr>
        <w:t>није</w:t>
      </w:r>
      <w:r>
        <w:rPr>
          <w:color w:val="231F20"/>
          <w:spacing w:val="-6"/>
        </w:rPr>
        <w:t> </w:t>
      </w:r>
      <w:r>
        <w:rPr>
          <w:color w:val="231F20"/>
        </w:rPr>
        <w:t>исказала</w:t>
      </w:r>
      <w:r>
        <w:rPr>
          <w:color w:val="231F20"/>
          <w:spacing w:val="-6"/>
        </w:rPr>
        <w:t> </w:t>
      </w:r>
      <w:r>
        <w:rPr>
          <w:color w:val="231F20"/>
        </w:rPr>
        <w:t>интерес</w:t>
      </w:r>
      <w:r>
        <w:rPr>
          <w:color w:val="231F20"/>
          <w:spacing w:val="-6"/>
        </w:rPr>
        <w:t> </w:t>
      </w:r>
      <w:r>
        <w:rPr>
          <w:color w:val="231F20"/>
        </w:rPr>
        <w:t>за</w:t>
      </w:r>
      <w:r>
        <w:rPr>
          <w:color w:val="231F20"/>
          <w:spacing w:val="-6"/>
        </w:rPr>
        <w:t> </w:t>
      </w:r>
      <w:r>
        <w:rPr>
          <w:color w:val="231F20"/>
        </w:rPr>
        <w:t>реконструк- цију локалне железничке пруге Пожаревац – Костолац (у складу са условима надлежног јавног предузећа, железница задржава </w:t>
      </w:r>
      <w:r>
        <w:rPr>
          <w:color w:val="231F20"/>
          <w:spacing w:val="-4"/>
        </w:rPr>
        <w:t>ко- </w:t>
      </w:r>
      <w:r>
        <w:rPr>
          <w:color w:val="231F20"/>
        </w:rPr>
        <w:t>ридоре свих укинутих пруга па је на графичким прилозима овог Плана приказана постојећа траса), међутим постоји заинтере- сованост субјеката електропривреде и </w:t>
      </w:r>
      <w:r>
        <w:rPr>
          <w:color w:val="231F20"/>
          <w:spacing w:val="-3"/>
        </w:rPr>
        <w:t>рударства </w:t>
      </w:r>
      <w:r>
        <w:rPr>
          <w:color w:val="231F20"/>
        </w:rPr>
        <w:t>за поновно ста- вљање ове јавне пруге у </w:t>
      </w:r>
      <w:r>
        <w:rPr>
          <w:color w:val="231F20"/>
          <w:spacing w:val="-3"/>
        </w:rPr>
        <w:t>функцију. </w:t>
      </w:r>
      <w:r>
        <w:rPr>
          <w:color w:val="231F20"/>
        </w:rPr>
        <w:t>Оспособљавање локалне пруге за саобраћај (реконструкцијом, рехабилитацијом и изградњом), поред економичнијег вида транспортовања робе, ефекте би има- ло и на целокупни транспортни систем Планског подручја, јер би дошло до прерасподеле дела транспорта робе и </w:t>
      </w:r>
      <w:r>
        <w:rPr>
          <w:color w:val="231F20"/>
          <w:spacing w:val="-4"/>
        </w:rPr>
        <w:t>људи </w:t>
      </w:r>
      <w:r>
        <w:rPr>
          <w:color w:val="231F20"/>
        </w:rPr>
        <w:t>са </w:t>
      </w:r>
      <w:r>
        <w:rPr>
          <w:color w:val="231F20"/>
          <w:spacing w:val="-3"/>
        </w:rPr>
        <w:t>друмског </w:t>
      </w:r>
      <w:r>
        <w:rPr>
          <w:color w:val="231F20"/>
        </w:rPr>
        <w:t>на железнички саобраћај. На постојећој путној мрежи дошло би до ослобађања </w:t>
      </w:r>
      <w:r>
        <w:rPr>
          <w:color w:val="231F20"/>
          <w:spacing w:val="-3"/>
        </w:rPr>
        <w:t>од </w:t>
      </w:r>
      <w:r>
        <w:rPr>
          <w:color w:val="231F20"/>
        </w:rPr>
        <w:t>дела теретних </w:t>
      </w:r>
      <w:r>
        <w:rPr>
          <w:color w:val="231F20"/>
          <w:spacing w:val="-3"/>
        </w:rPr>
        <w:t>токова </w:t>
      </w:r>
      <w:r>
        <w:rPr>
          <w:color w:val="231F20"/>
        </w:rPr>
        <w:t>а самим тим би дошло и до знатног повећања квалитета животне средине у непосредном </w:t>
      </w:r>
      <w:r>
        <w:rPr>
          <w:color w:val="231F20"/>
          <w:spacing w:val="-4"/>
        </w:rPr>
        <w:t>окружењу.</w:t>
      </w:r>
    </w:p>
    <w:p>
      <w:pPr>
        <w:pStyle w:val="BodyText"/>
        <w:spacing w:line="232" w:lineRule="auto" w:before="5"/>
        <w:ind w:left="168" w:right="39" w:firstLine="397"/>
      </w:pPr>
      <w:r>
        <w:rPr>
          <w:color w:val="231F20"/>
        </w:rPr>
        <w:t>Евентуална реконструкција, модернизација и изградња ло- калне пруге (Пожаревац) – распутница Сопот Пожаревачки – Ко- столац, као и продужење пруге до будућег робног пристаништа код ТЕ „Костолац А”, биће дефинисана разрадом кроз одговарају- ћу планску и техничку документацију, уз услов да предметна пру- га не пролази кроз централни део насеља Костолац и да број укр- штаја са путном инфраструктуром буде сведен на минимум.</w:t>
      </w:r>
    </w:p>
    <w:p>
      <w:pPr>
        <w:pStyle w:val="BodyText"/>
        <w:spacing w:line="232" w:lineRule="auto" w:before="2"/>
        <w:ind w:left="168" w:right="39" w:firstLine="397"/>
      </w:pPr>
      <w:r>
        <w:rPr>
          <w:color w:val="231F20"/>
        </w:rPr>
        <w:t>У складу са развојним плановима експлоатације угља у </w:t>
      </w:r>
      <w:r>
        <w:rPr>
          <w:color w:val="231F20"/>
          <w:spacing w:val="-4"/>
        </w:rPr>
        <w:t>Ко- столачком </w:t>
      </w:r>
      <w:r>
        <w:rPr>
          <w:color w:val="231F20"/>
        </w:rPr>
        <w:t>басену и производње електричне енергије, планирано је повезивање ТЕ „Костолац Б” на постојећу железничку мрежу индустријском </w:t>
      </w:r>
      <w:r>
        <w:rPr>
          <w:color w:val="231F20"/>
          <w:spacing w:val="-3"/>
        </w:rPr>
        <w:t>пругом која </w:t>
      </w:r>
      <w:r>
        <w:rPr>
          <w:color w:val="231F20"/>
        </w:rPr>
        <w:t>почиње </w:t>
      </w:r>
      <w:r>
        <w:rPr>
          <w:color w:val="231F20"/>
          <w:spacing w:val="-3"/>
        </w:rPr>
        <w:t>од </w:t>
      </w:r>
      <w:r>
        <w:rPr>
          <w:color w:val="231F20"/>
        </w:rPr>
        <w:t>станице </w:t>
      </w:r>
      <w:r>
        <w:rPr>
          <w:color w:val="231F20"/>
          <w:spacing w:val="-6"/>
        </w:rPr>
        <w:t>Стиг, </w:t>
      </w:r>
      <w:r>
        <w:rPr>
          <w:color w:val="231F20"/>
        </w:rPr>
        <w:t>прелази </w:t>
      </w:r>
      <w:r>
        <w:rPr>
          <w:color w:val="231F20"/>
          <w:spacing w:val="-3"/>
        </w:rPr>
        <w:t>преко благо </w:t>
      </w:r>
      <w:r>
        <w:rPr>
          <w:color w:val="231F20"/>
        </w:rPr>
        <w:t>нагнуте равнице према </w:t>
      </w:r>
      <w:r>
        <w:rPr>
          <w:color w:val="231F20"/>
          <w:spacing w:val="-4"/>
        </w:rPr>
        <w:t>Дрмну, </w:t>
      </w:r>
      <w:r>
        <w:rPr>
          <w:color w:val="231F20"/>
        </w:rPr>
        <w:t>користећи постојећи простор бившег индустријског колосека у дужини </w:t>
      </w:r>
      <w:r>
        <w:rPr>
          <w:color w:val="231F20"/>
          <w:spacing w:val="-3"/>
        </w:rPr>
        <w:t>од </w:t>
      </w:r>
      <w:r>
        <w:rPr>
          <w:color w:val="231F20"/>
          <w:spacing w:val="-4"/>
        </w:rPr>
        <w:t>око </w:t>
      </w:r>
      <w:r>
        <w:rPr>
          <w:color w:val="231F20"/>
        </w:rPr>
        <w:t>7 km. </w:t>
      </w:r>
      <w:r>
        <w:rPr>
          <w:color w:val="231F20"/>
          <w:spacing w:val="-3"/>
        </w:rPr>
        <w:t>Након </w:t>
      </w:r>
      <w:r>
        <w:rPr>
          <w:color w:val="231F20"/>
        </w:rPr>
        <w:t>на- пуштања</w:t>
      </w:r>
      <w:r>
        <w:rPr>
          <w:color w:val="231F20"/>
          <w:spacing w:val="-6"/>
        </w:rPr>
        <w:t> </w:t>
      </w:r>
      <w:r>
        <w:rPr>
          <w:color w:val="231F20"/>
        </w:rPr>
        <w:t>локације</w:t>
      </w:r>
      <w:r>
        <w:rPr>
          <w:color w:val="231F20"/>
          <w:spacing w:val="-6"/>
        </w:rPr>
        <w:t> </w:t>
      </w:r>
      <w:r>
        <w:rPr>
          <w:color w:val="231F20"/>
        </w:rPr>
        <w:t>бившег</w:t>
      </w:r>
      <w:r>
        <w:rPr>
          <w:color w:val="231F20"/>
          <w:spacing w:val="-6"/>
        </w:rPr>
        <w:t> </w:t>
      </w:r>
      <w:r>
        <w:rPr>
          <w:color w:val="231F20"/>
        </w:rPr>
        <w:t>колосека</w:t>
      </w:r>
      <w:r>
        <w:rPr>
          <w:color w:val="231F20"/>
          <w:spacing w:val="-6"/>
        </w:rPr>
        <w:t> </w:t>
      </w:r>
      <w:r>
        <w:rPr>
          <w:color w:val="231F20"/>
        </w:rPr>
        <w:t>траса</w:t>
      </w:r>
      <w:r>
        <w:rPr>
          <w:color w:val="231F20"/>
          <w:spacing w:val="-6"/>
        </w:rPr>
        <w:t> </w:t>
      </w:r>
      <w:r>
        <w:rPr>
          <w:color w:val="231F20"/>
        </w:rPr>
        <w:t>иде</w:t>
      </w:r>
      <w:r>
        <w:rPr>
          <w:color w:val="231F20"/>
          <w:spacing w:val="-6"/>
        </w:rPr>
        <w:t> </w:t>
      </w:r>
      <w:r>
        <w:rPr>
          <w:color w:val="231F20"/>
        </w:rPr>
        <w:t>паралелно</w:t>
      </w:r>
      <w:r>
        <w:rPr>
          <w:color w:val="231F20"/>
          <w:spacing w:val="-6"/>
        </w:rPr>
        <w:t> </w:t>
      </w:r>
      <w:r>
        <w:rPr>
          <w:color w:val="231F20"/>
        </w:rPr>
        <w:t>са</w:t>
      </w:r>
      <w:r>
        <w:rPr>
          <w:color w:val="231F20"/>
          <w:spacing w:val="-6"/>
        </w:rPr>
        <w:t> </w:t>
      </w:r>
      <w:r>
        <w:rPr>
          <w:color w:val="231F20"/>
        </w:rPr>
        <w:t>монта- жним плацем, а у наставку поред насеља Дрмно, обилазећи га са западно-северозападне стране, до ТЕ „Костолац Б”. </w:t>
      </w:r>
      <w:r>
        <w:rPr>
          <w:color w:val="231F20"/>
          <w:spacing w:val="-4"/>
        </w:rPr>
        <w:t>Укупна </w:t>
      </w:r>
      <w:r>
        <w:rPr>
          <w:color w:val="231F20"/>
        </w:rPr>
        <w:t>дужи- на планиране индустријске пруге износи </w:t>
      </w:r>
      <w:r>
        <w:rPr>
          <w:color w:val="231F20"/>
          <w:spacing w:val="-4"/>
        </w:rPr>
        <w:t>око </w:t>
      </w:r>
      <w:r>
        <w:rPr>
          <w:color w:val="231F20"/>
        </w:rPr>
        <w:t>14 km, а укуључују- ћи и све колосеке у оквиру ТЕ „Костолац Б”, </w:t>
      </w:r>
      <w:r>
        <w:rPr>
          <w:color w:val="231F20"/>
          <w:spacing w:val="-4"/>
        </w:rPr>
        <w:t>око </w:t>
      </w:r>
      <w:r>
        <w:rPr>
          <w:color w:val="231F20"/>
        </w:rPr>
        <w:t>23 km. Електри- фикација нове индустријске пруге није</w:t>
      </w:r>
      <w:r>
        <w:rPr>
          <w:color w:val="231F20"/>
          <w:spacing w:val="-5"/>
        </w:rPr>
        <w:t> </w:t>
      </w:r>
      <w:r>
        <w:rPr>
          <w:color w:val="231F20"/>
        </w:rPr>
        <w:t>планирана.</w:t>
      </w:r>
    </w:p>
    <w:p>
      <w:pPr>
        <w:pStyle w:val="BodyText"/>
        <w:spacing w:line="232" w:lineRule="auto" w:before="3"/>
        <w:ind w:left="168" w:right="38" w:firstLine="397"/>
      </w:pPr>
      <w:r>
        <w:rPr>
          <w:color w:val="231F20"/>
        </w:rPr>
        <w:t>За повезивање енергетских </w:t>
      </w:r>
      <w:r>
        <w:rPr>
          <w:color w:val="231F20"/>
          <w:spacing w:val="-3"/>
        </w:rPr>
        <w:t>комплекса </w:t>
      </w:r>
      <w:r>
        <w:rPr>
          <w:color w:val="231F20"/>
        </w:rPr>
        <w:t>на јавну железничку пругу урађена је Претходна </w:t>
      </w:r>
      <w:r>
        <w:rPr>
          <w:color w:val="231F20"/>
          <w:spacing w:val="-3"/>
        </w:rPr>
        <w:t>студија </w:t>
      </w:r>
      <w:r>
        <w:rPr>
          <w:color w:val="231F20"/>
        </w:rPr>
        <w:t>оправданости са Генералним пројектом изградње индустријског колосека </w:t>
      </w:r>
      <w:r>
        <w:rPr>
          <w:color w:val="231F20"/>
          <w:spacing w:val="-3"/>
        </w:rPr>
        <w:t>од </w:t>
      </w:r>
      <w:r>
        <w:rPr>
          <w:color w:val="231F20"/>
        </w:rPr>
        <w:t>ТЕ „Костолац Б” до постојеће железничке мреже за потребе ПД </w:t>
      </w:r>
      <w:r>
        <w:rPr>
          <w:color w:val="231F20"/>
          <w:spacing w:val="-3"/>
        </w:rPr>
        <w:t>„Термоелектране   </w:t>
      </w:r>
      <w:r>
        <w:rPr>
          <w:color w:val="231F20"/>
        </w:rPr>
        <w:t>и </w:t>
      </w:r>
      <w:r>
        <w:rPr>
          <w:color w:val="231F20"/>
          <w:spacing w:val="-2"/>
        </w:rPr>
        <w:t>копови </w:t>
      </w:r>
      <w:r>
        <w:rPr>
          <w:color w:val="231F20"/>
        </w:rPr>
        <w:t>Костолац” а детаљна разрада коридора предвиђене ин- дустријске пруге Стиг – Дрмно – ТЕ „Костолац Б” је саставни део овог</w:t>
      </w:r>
      <w:r>
        <w:rPr>
          <w:color w:val="231F20"/>
          <w:spacing w:val="-1"/>
        </w:rPr>
        <w:t> </w:t>
      </w:r>
      <w:r>
        <w:rPr>
          <w:color w:val="231F20"/>
        </w:rPr>
        <w:t>Плана.</w:t>
      </w:r>
    </w:p>
    <w:p>
      <w:pPr>
        <w:pStyle w:val="BodyText"/>
        <w:spacing w:before="167"/>
        <w:ind w:left="1057"/>
        <w:jc w:val="left"/>
      </w:pPr>
      <w:r>
        <w:rPr>
          <w:color w:val="231F20"/>
        </w:rPr>
        <w:t>Железнички робно транспортни терминали</w:t>
      </w:r>
    </w:p>
    <w:p>
      <w:pPr>
        <w:pStyle w:val="BodyText"/>
        <w:spacing w:before="5"/>
        <w:ind w:left="0"/>
        <w:jc w:val="left"/>
        <w:rPr>
          <w:sz w:val="17"/>
        </w:rPr>
      </w:pPr>
    </w:p>
    <w:p>
      <w:pPr>
        <w:pStyle w:val="BodyText"/>
        <w:spacing w:line="232" w:lineRule="auto"/>
        <w:ind w:left="169" w:right="38" w:firstLine="396"/>
      </w:pPr>
      <w:r>
        <w:rPr>
          <w:color w:val="231F20"/>
        </w:rPr>
        <w:t>Свака железничка станица отворена за пријем и отпрему ро- бе на прузи Мала Крсна – Пожаревац – Бор – Распутница 2 (Вра- жогрнац) представља потенцијални робни терминал.</w:t>
      </w:r>
    </w:p>
    <w:p>
      <w:pPr>
        <w:pStyle w:val="BodyText"/>
        <w:spacing w:line="232" w:lineRule="auto" w:before="1"/>
        <w:ind w:left="169" w:right="38" w:firstLine="396"/>
      </w:pPr>
      <w:r>
        <w:rPr>
          <w:color w:val="231F20"/>
        </w:rPr>
        <w:t>Железница има на располагању велике површине земљишта и складишног простора на квалитетним локацијама у непосред- ној близини постојећих железничких станица. Развојем друштва  и транспорта дошло је до промене структуре и обима превоза железницом, па самим тим и до промене потражње за железнич- ким превозним услугама. Промене на транспортном тржишту же- лезница тежи да прати својим прилагођавањем (организационим променама) потребама корисника</w:t>
      </w:r>
      <w:r>
        <w:rPr>
          <w:color w:val="231F20"/>
          <w:spacing w:val="-3"/>
        </w:rPr>
        <w:t> </w:t>
      </w:r>
      <w:r>
        <w:rPr>
          <w:color w:val="231F20"/>
        </w:rPr>
        <w:t>превоза.</w:t>
      </w:r>
    </w:p>
    <w:p>
      <w:pPr>
        <w:pStyle w:val="BodyText"/>
        <w:spacing w:line="232" w:lineRule="auto" w:before="2"/>
        <w:ind w:left="169" w:right="38" w:firstLine="396"/>
      </w:pPr>
      <w:r>
        <w:rPr>
          <w:color w:val="231F20"/>
        </w:rPr>
        <w:t>Планира се да се на постојећим железничким станицама, на местима где тржиште то захтева, организују железнички робно транспортни терминали, намењени за пружање складишних, ма- нипулативних и превозних услуга локалној привреди, као и мо- гућност комбинованог и контејнерског транспорта, уз употребу мобилних контенерских манипулатора, а све због пружања ком- плетних железничких превозних услуга.</w:t>
      </w:r>
    </w:p>
    <w:p>
      <w:pPr>
        <w:pStyle w:val="BodyText"/>
        <w:spacing w:before="167"/>
        <w:ind w:left="1912" w:right="1784"/>
        <w:jc w:val="center"/>
      </w:pPr>
      <w:r>
        <w:rPr>
          <w:color w:val="231F20"/>
        </w:rPr>
        <w:t>Луке и пристаништа</w:t>
      </w:r>
    </w:p>
    <w:p>
      <w:pPr>
        <w:pStyle w:val="BodyText"/>
        <w:spacing w:before="5"/>
        <w:ind w:left="0"/>
        <w:jc w:val="left"/>
        <w:rPr>
          <w:sz w:val="17"/>
        </w:rPr>
      </w:pPr>
    </w:p>
    <w:p>
      <w:pPr>
        <w:pStyle w:val="BodyText"/>
        <w:spacing w:line="232" w:lineRule="auto"/>
        <w:ind w:left="169" w:right="38" w:firstLine="396"/>
      </w:pPr>
      <w:r>
        <w:rPr>
          <w:color w:val="231F20"/>
        </w:rPr>
        <w:t>Планско подручје има изванредан положај у погледу могућ- ностима за развој, како путничког, тако и теретног речног саобра- ћаја и транспорта. Као своје границе има реку Дунав на северу</w:t>
      </w:r>
    </w:p>
    <w:p>
      <w:pPr>
        <w:pStyle w:val="BodyText"/>
        <w:spacing w:line="232" w:lineRule="auto" w:before="73"/>
        <w:ind w:left="168" w:right="411"/>
      </w:pPr>
      <w:r>
        <w:rPr/>
        <w:br w:type="column"/>
      </w:r>
      <w:r>
        <w:rPr>
          <w:color w:val="231F20"/>
        </w:rPr>
        <w:t>(део европског коридора VII) која је пловна на целој својој ду- жини, реку Велику Мораву на западу, која је у границама Плана, такође, пловна и у одређеној мери се може искористити за развој речног саобраћаја, а кроз подручје протиче и река Млава која се одређеним технолошким решењима у делу тока од ТЕ „Костолац Б” до ушћа у Дунав, такође, може користити за развој овог вида саобраћаја.</w:t>
      </w:r>
    </w:p>
    <w:p>
      <w:pPr>
        <w:pStyle w:val="BodyText"/>
        <w:spacing w:line="232" w:lineRule="auto"/>
        <w:ind w:left="169" w:right="411" w:firstLine="396"/>
      </w:pPr>
      <w:r>
        <w:rPr>
          <w:color w:val="231F20"/>
        </w:rPr>
        <w:t>Према</w:t>
      </w:r>
      <w:r>
        <w:rPr>
          <w:color w:val="231F20"/>
          <w:spacing w:val="-7"/>
        </w:rPr>
        <w:t> </w:t>
      </w:r>
      <w:r>
        <w:rPr>
          <w:color w:val="231F20"/>
        </w:rPr>
        <w:t>Просторном</w:t>
      </w:r>
      <w:r>
        <w:rPr>
          <w:color w:val="231F20"/>
          <w:spacing w:val="-7"/>
        </w:rPr>
        <w:t> </w:t>
      </w:r>
      <w:r>
        <w:rPr>
          <w:color w:val="231F20"/>
        </w:rPr>
        <w:t>плану</w:t>
      </w:r>
      <w:r>
        <w:rPr>
          <w:color w:val="231F20"/>
          <w:spacing w:val="-7"/>
        </w:rPr>
        <w:t> </w:t>
      </w:r>
      <w:r>
        <w:rPr>
          <w:color w:val="231F20"/>
          <w:spacing w:val="-3"/>
        </w:rPr>
        <w:t>Републике</w:t>
      </w:r>
      <w:r>
        <w:rPr>
          <w:color w:val="231F20"/>
          <w:spacing w:val="-7"/>
        </w:rPr>
        <w:t> </w:t>
      </w:r>
      <w:r>
        <w:rPr>
          <w:color w:val="231F20"/>
        </w:rPr>
        <w:t>Србије,</w:t>
      </w:r>
      <w:r>
        <w:rPr>
          <w:color w:val="231F20"/>
          <w:spacing w:val="-7"/>
        </w:rPr>
        <w:t> </w:t>
      </w:r>
      <w:r>
        <w:rPr>
          <w:color w:val="231F20"/>
        </w:rPr>
        <w:t>на</w:t>
      </w:r>
      <w:r>
        <w:rPr>
          <w:color w:val="231F20"/>
          <w:spacing w:val="-7"/>
        </w:rPr>
        <w:t> </w:t>
      </w:r>
      <w:r>
        <w:rPr>
          <w:color w:val="231F20"/>
        </w:rPr>
        <w:t>овом</w:t>
      </w:r>
      <w:r>
        <w:rPr>
          <w:color w:val="231F20"/>
          <w:spacing w:val="-7"/>
        </w:rPr>
        <w:t> </w:t>
      </w:r>
      <w:r>
        <w:rPr>
          <w:color w:val="231F20"/>
        </w:rPr>
        <w:t>подруч- ју није планирана изградња јавних лука и пристаништа </w:t>
      </w:r>
      <w:r>
        <w:rPr>
          <w:color w:val="231F20"/>
          <w:spacing w:val="-3"/>
        </w:rPr>
        <w:t>од </w:t>
      </w:r>
      <w:r>
        <w:rPr>
          <w:color w:val="231F20"/>
          <w:spacing w:val="-4"/>
        </w:rPr>
        <w:t>ширег, </w:t>
      </w:r>
      <w:r>
        <w:rPr>
          <w:color w:val="231F20"/>
        </w:rPr>
        <w:t>међународног</w:t>
      </w:r>
      <w:r>
        <w:rPr>
          <w:color w:val="231F20"/>
          <w:spacing w:val="-8"/>
        </w:rPr>
        <w:t> </w:t>
      </w:r>
      <w:r>
        <w:rPr>
          <w:color w:val="231F20"/>
        </w:rPr>
        <w:t>и</w:t>
      </w:r>
      <w:r>
        <w:rPr>
          <w:color w:val="231F20"/>
          <w:spacing w:val="-8"/>
        </w:rPr>
        <w:t> </w:t>
      </w:r>
      <w:r>
        <w:rPr>
          <w:color w:val="231F20"/>
        </w:rPr>
        <w:t>државног</w:t>
      </w:r>
      <w:r>
        <w:rPr>
          <w:color w:val="231F20"/>
          <w:spacing w:val="-8"/>
        </w:rPr>
        <w:t> </w:t>
      </w:r>
      <w:r>
        <w:rPr>
          <w:color w:val="231F20"/>
        </w:rPr>
        <w:t>значаја,</w:t>
      </w:r>
      <w:r>
        <w:rPr>
          <w:color w:val="231F20"/>
          <w:spacing w:val="-8"/>
        </w:rPr>
        <w:t> </w:t>
      </w:r>
      <w:r>
        <w:rPr>
          <w:color w:val="231F20"/>
        </w:rPr>
        <w:t>али</w:t>
      </w:r>
      <w:r>
        <w:rPr>
          <w:color w:val="231F20"/>
          <w:spacing w:val="-8"/>
        </w:rPr>
        <w:t> </w:t>
      </w:r>
      <w:r>
        <w:rPr>
          <w:color w:val="231F20"/>
        </w:rPr>
        <w:t>је</w:t>
      </w:r>
      <w:r>
        <w:rPr>
          <w:color w:val="231F20"/>
          <w:spacing w:val="-8"/>
        </w:rPr>
        <w:t> </w:t>
      </w:r>
      <w:r>
        <w:rPr>
          <w:color w:val="231F20"/>
        </w:rPr>
        <w:t>истакнута</w:t>
      </w:r>
      <w:r>
        <w:rPr>
          <w:color w:val="231F20"/>
          <w:spacing w:val="-8"/>
        </w:rPr>
        <w:t> </w:t>
      </w:r>
      <w:r>
        <w:rPr>
          <w:color w:val="231F20"/>
        </w:rPr>
        <w:t>потреба</w:t>
      </w:r>
      <w:r>
        <w:rPr>
          <w:color w:val="231F20"/>
          <w:spacing w:val="-8"/>
        </w:rPr>
        <w:t> </w:t>
      </w:r>
      <w:r>
        <w:rPr>
          <w:color w:val="231F20"/>
        </w:rPr>
        <w:t>за</w:t>
      </w:r>
      <w:r>
        <w:rPr>
          <w:color w:val="231F20"/>
          <w:spacing w:val="-8"/>
        </w:rPr>
        <w:t> </w:t>
      </w:r>
      <w:r>
        <w:rPr>
          <w:color w:val="231F20"/>
        </w:rPr>
        <w:t>уна- пређење и развој речног транспорта кроз изградњу јавних лука и пристаништа </w:t>
      </w:r>
      <w:r>
        <w:rPr>
          <w:color w:val="231F20"/>
          <w:spacing w:val="-3"/>
        </w:rPr>
        <w:t>од </w:t>
      </w:r>
      <w:r>
        <w:rPr>
          <w:color w:val="231F20"/>
        </w:rPr>
        <w:t>значаја за локалне заједнице и</w:t>
      </w:r>
      <w:r>
        <w:rPr>
          <w:color w:val="231F20"/>
          <w:spacing w:val="-7"/>
        </w:rPr>
        <w:t> </w:t>
      </w:r>
      <w:r>
        <w:rPr>
          <w:color w:val="231F20"/>
        </w:rPr>
        <w:t>то:</w:t>
      </w:r>
    </w:p>
    <w:p>
      <w:pPr>
        <w:pStyle w:val="BodyText"/>
        <w:spacing w:line="232" w:lineRule="auto"/>
        <w:ind w:left="169" w:right="411" w:firstLine="396"/>
      </w:pPr>
      <w:r>
        <w:rPr>
          <w:color w:val="231F20"/>
          <w:w w:val="66"/>
        </w:rPr>
        <w:t> </w:t>
      </w:r>
      <w:r>
        <w:rPr>
          <w:color w:val="231F20"/>
        </w:rPr>
        <w:t>– луке за сопствене потребе – луке које би градила инду- стријска предузећа, које су националног значаја; и</w:t>
      </w:r>
    </w:p>
    <w:p>
      <w:pPr>
        <w:pStyle w:val="BodyText"/>
        <w:spacing w:line="232" w:lineRule="auto"/>
        <w:ind w:left="169" w:right="412" w:firstLine="396"/>
      </w:pPr>
      <w:r>
        <w:rPr>
          <w:color w:val="231F20"/>
          <w:w w:val="66"/>
        </w:rPr>
        <w:t> </w:t>
      </w:r>
      <w:r>
        <w:rPr>
          <w:color w:val="231F20"/>
        </w:rPr>
        <w:t>– луке за мале бродове – марине, које би се градиле приват- ним капиталом.</w:t>
      </w:r>
    </w:p>
    <w:p>
      <w:pPr>
        <w:pStyle w:val="BodyText"/>
        <w:spacing w:line="232" w:lineRule="auto"/>
        <w:ind w:left="168" w:right="412" w:firstLine="397"/>
      </w:pPr>
      <w:r>
        <w:rPr>
          <w:color w:val="231F20"/>
        </w:rPr>
        <w:t>У складу са развојним плановима рударских активности и плановима ТЕ-КО „Костолац”, као и у складу са плановима ак- тивирања и валоризације туристичких потенцијала, на Планском подручју је предвиђена изградња следећих објеката речног тран- спорта:</w:t>
      </w:r>
    </w:p>
    <w:p>
      <w:pPr>
        <w:pStyle w:val="BodyText"/>
        <w:spacing w:line="232" w:lineRule="auto"/>
        <w:ind w:left="169" w:right="412" w:firstLine="396"/>
      </w:pPr>
      <w:r>
        <w:rPr>
          <w:color w:val="231F20"/>
          <w:w w:val="66"/>
        </w:rPr>
        <w:t> </w:t>
      </w:r>
      <w:r>
        <w:rPr>
          <w:color w:val="231F20"/>
        </w:rPr>
        <w:t>–</w:t>
      </w:r>
      <w:r>
        <w:rPr>
          <w:color w:val="231F20"/>
          <w:spacing w:val="-8"/>
        </w:rPr>
        <w:t> </w:t>
      </w:r>
      <w:r>
        <w:rPr>
          <w:color w:val="231F20"/>
        </w:rPr>
        <w:t>робно</w:t>
      </w:r>
      <w:r>
        <w:rPr>
          <w:color w:val="231F20"/>
          <w:spacing w:val="-8"/>
        </w:rPr>
        <w:t> </w:t>
      </w:r>
      <w:r>
        <w:rPr>
          <w:color w:val="231F20"/>
        </w:rPr>
        <w:t>пристаниште</w:t>
      </w:r>
      <w:r>
        <w:rPr>
          <w:color w:val="231F20"/>
          <w:spacing w:val="-8"/>
        </w:rPr>
        <w:t> </w:t>
      </w:r>
      <w:r>
        <w:rPr>
          <w:color w:val="231F20"/>
        </w:rPr>
        <w:t>на</w:t>
      </w:r>
      <w:r>
        <w:rPr>
          <w:color w:val="231F20"/>
          <w:spacing w:val="-8"/>
        </w:rPr>
        <w:t> </w:t>
      </w:r>
      <w:r>
        <w:rPr>
          <w:color w:val="231F20"/>
        </w:rPr>
        <w:t>дунавском</w:t>
      </w:r>
      <w:r>
        <w:rPr>
          <w:color w:val="231F20"/>
          <w:spacing w:val="-8"/>
        </w:rPr>
        <w:t> </w:t>
      </w:r>
      <w:r>
        <w:rPr>
          <w:color w:val="231F20"/>
        </w:rPr>
        <w:t>каналу</w:t>
      </w:r>
      <w:r>
        <w:rPr>
          <w:color w:val="231F20"/>
          <w:spacing w:val="-8"/>
        </w:rPr>
        <w:t> </w:t>
      </w:r>
      <w:r>
        <w:rPr>
          <w:color w:val="231F20"/>
        </w:rPr>
        <w:t>у</w:t>
      </w:r>
      <w:r>
        <w:rPr>
          <w:color w:val="231F20"/>
          <w:spacing w:val="-8"/>
        </w:rPr>
        <w:t> </w:t>
      </w:r>
      <w:r>
        <w:rPr>
          <w:color w:val="231F20"/>
          <w:spacing w:val="-4"/>
        </w:rPr>
        <w:t>Костолцу,</w:t>
      </w:r>
      <w:r>
        <w:rPr>
          <w:color w:val="231F20"/>
          <w:spacing w:val="-8"/>
        </w:rPr>
        <w:t> </w:t>
      </w:r>
      <w:r>
        <w:rPr>
          <w:color w:val="231F20"/>
        </w:rPr>
        <w:t>поред ТЕ „Костолац</w:t>
      </w:r>
      <w:r>
        <w:rPr>
          <w:color w:val="231F20"/>
          <w:spacing w:val="-2"/>
        </w:rPr>
        <w:t> </w:t>
      </w:r>
      <w:r>
        <w:rPr>
          <w:color w:val="231F20"/>
        </w:rPr>
        <w:t>А”;</w:t>
      </w:r>
    </w:p>
    <w:p>
      <w:pPr>
        <w:pStyle w:val="BodyText"/>
        <w:spacing w:line="232" w:lineRule="auto"/>
        <w:ind w:left="169" w:right="412" w:firstLine="396"/>
      </w:pPr>
      <w:r>
        <w:rPr>
          <w:color w:val="231F20"/>
          <w:w w:val="66"/>
        </w:rPr>
        <w:t> </w:t>
      </w:r>
      <w:r>
        <w:rPr>
          <w:color w:val="231F20"/>
        </w:rPr>
        <w:t>– путничко пристаниште на Дунаву, у непосредној близини постојећег спортско-туристичког аеродрома (реконструкција, ре- хабилитација и осавремењавање постојећег пристаништа);</w:t>
      </w:r>
    </w:p>
    <w:p>
      <w:pPr>
        <w:pStyle w:val="BodyText"/>
        <w:spacing w:line="199" w:lineRule="exact"/>
        <w:ind w:left="566"/>
        <w:jc w:val="left"/>
      </w:pPr>
      <w:r>
        <w:rPr>
          <w:color w:val="231F20"/>
          <w:w w:val="66"/>
        </w:rPr>
        <w:t> </w:t>
      </w:r>
      <w:r>
        <w:rPr>
          <w:color w:val="231F20"/>
        </w:rPr>
        <w:t>– марина на Дунаву, низводно поред путничког пристаништа;</w:t>
      </w:r>
    </w:p>
    <w:p>
      <w:pPr>
        <w:pStyle w:val="BodyText"/>
        <w:spacing w:line="201" w:lineRule="exact"/>
        <w:ind w:left="565"/>
        <w:jc w:val="left"/>
      </w:pPr>
      <w:r>
        <w:rPr>
          <w:color w:val="231F20"/>
          <w:w w:val="66"/>
        </w:rPr>
        <w:t> </w:t>
      </w:r>
      <w:r>
        <w:rPr>
          <w:color w:val="231F20"/>
        </w:rPr>
        <w:t>– прелаз за скеле на Дунаву (на локацији Дубравица); и</w:t>
      </w:r>
    </w:p>
    <w:p>
      <w:pPr>
        <w:pStyle w:val="BodyText"/>
        <w:spacing w:line="232" w:lineRule="auto"/>
        <w:ind w:left="168" w:right="412" w:firstLine="397"/>
      </w:pPr>
      <w:r>
        <w:rPr>
          <w:color w:val="231F20"/>
          <w:w w:val="66"/>
        </w:rPr>
        <w:t> </w:t>
      </w:r>
      <w:r>
        <w:rPr>
          <w:color w:val="231F20"/>
        </w:rPr>
        <w:t>–</w:t>
      </w:r>
      <w:r>
        <w:rPr>
          <w:color w:val="231F20"/>
          <w:spacing w:val="-9"/>
        </w:rPr>
        <w:t> </w:t>
      </w:r>
      <w:r>
        <w:rPr>
          <w:color w:val="231F20"/>
        </w:rPr>
        <w:t>путничко</w:t>
      </w:r>
      <w:r>
        <w:rPr>
          <w:color w:val="231F20"/>
          <w:spacing w:val="-9"/>
        </w:rPr>
        <w:t> </w:t>
      </w:r>
      <w:r>
        <w:rPr>
          <w:color w:val="231F20"/>
        </w:rPr>
        <w:t>пристаниште</w:t>
      </w:r>
      <w:r>
        <w:rPr>
          <w:color w:val="231F20"/>
          <w:spacing w:val="-9"/>
        </w:rPr>
        <w:t> </w:t>
      </w:r>
      <w:r>
        <w:rPr>
          <w:color w:val="231F20"/>
        </w:rPr>
        <w:t>и</w:t>
      </w:r>
      <w:r>
        <w:rPr>
          <w:color w:val="231F20"/>
          <w:spacing w:val="-9"/>
        </w:rPr>
        <w:t> </w:t>
      </w:r>
      <w:r>
        <w:rPr>
          <w:color w:val="231F20"/>
        </w:rPr>
        <w:t>марина</w:t>
      </w:r>
      <w:r>
        <w:rPr>
          <w:color w:val="231F20"/>
          <w:spacing w:val="-9"/>
        </w:rPr>
        <w:t> </w:t>
      </w:r>
      <w:r>
        <w:rPr>
          <w:color w:val="231F20"/>
        </w:rPr>
        <w:t>на</w:t>
      </w:r>
      <w:r>
        <w:rPr>
          <w:color w:val="231F20"/>
          <w:spacing w:val="-9"/>
        </w:rPr>
        <w:t> </w:t>
      </w:r>
      <w:r>
        <w:rPr>
          <w:color w:val="231F20"/>
        </w:rPr>
        <w:t>обали</w:t>
      </w:r>
      <w:r>
        <w:rPr>
          <w:color w:val="231F20"/>
          <w:spacing w:val="-9"/>
        </w:rPr>
        <w:t> </w:t>
      </w:r>
      <w:r>
        <w:rPr>
          <w:color w:val="231F20"/>
        </w:rPr>
        <w:t>Велике</w:t>
      </w:r>
      <w:r>
        <w:rPr>
          <w:color w:val="231F20"/>
          <w:spacing w:val="-9"/>
        </w:rPr>
        <w:t> </w:t>
      </w:r>
      <w:r>
        <w:rPr>
          <w:color w:val="231F20"/>
        </w:rPr>
        <w:t>Мораве</w:t>
      </w:r>
      <w:r>
        <w:rPr>
          <w:color w:val="231F20"/>
          <w:spacing w:val="-9"/>
        </w:rPr>
        <w:t> </w:t>
      </w:r>
      <w:r>
        <w:rPr>
          <w:color w:val="231F20"/>
        </w:rPr>
        <w:t>у близини Љубичевског друмско-железничког</w:t>
      </w:r>
      <w:r>
        <w:rPr>
          <w:color w:val="231F20"/>
          <w:spacing w:val="-7"/>
        </w:rPr>
        <w:t> </w:t>
      </w:r>
      <w:r>
        <w:rPr>
          <w:color w:val="231F20"/>
        </w:rPr>
        <w:t>моста.</w:t>
      </w:r>
    </w:p>
    <w:p>
      <w:pPr>
        <w:pStyle w:val="BodyText"/>
        <w:spacing w:line="232" w:lineRule="auto"/>
        <w:ind w:left="168" w:right="413" w:firstLine="397"/>
      </w:pPr>
      <w:r>
        <w:rPr>
          <w:color w:val="231F20"/>
        </w:rPr>
        <w:t>Оптимални капацитети, микро локација и потребне површи- не за изградњу планираних пристаништа и марина на подручју Плана дефинисаће се одговарајућом планском и техничком доку- ментацијом.</w:t>
      </w:r>
    </w:p>
    <w:p>
      <w:pPr>
        <w:pStyle w:val="BodyText"/>
        <w:spacing w:line="232" w:lineRule="auto"/>
        <w:ind w:left="168" w:right="412" w:firstLine="396"/>
      </w:pPr>
      <w:r>
        <w:rPr>
          <w:color w:val="231F20"/>
        </w:rPr>
        <w:t>Већина предложених локација за изградњу нових и осавре- мењавање постојећих путничких пристаништа и марина је</w:t>
      </w:r>
      <w:r>
        <w:rPr>
          <w:color w:val="231F20"/>
          <w:spacing w:val="-34"/>
        </w:rPr>
        <w:t> </w:t>
      </w:r>
      <w:r>
        <w:rPr>
          <w:color w:val="231F20"/>
        </w:rPr>
        <w:t>повеза- на</w:t>
      </w:r>
      <w:r>
        <w:rPr>
          <w:color w:val="231F20"/>
          <w:spacing w:val="-8"/>
        </w:rPr>
        <w:t> </w:t>
      </w:r>
      <w:r>
        <w:rPr>
          <w:color w:val="231F20"/>
        </w:rPr>
        <w:t>постојећим</w:t>
      </w:r>
      <w:r>
        <w:rPr>
          <w:color w:val="231F20"/>
          <w:spacing w:val="-8"/>
        </w:rPr>
        <w:t> </w:t>
      </w:r>
      <w:r>
        <w:rPr>
          <w:color w:val="231F20"/>
        </w:rPr>
        <w:t>или</w:t>
      </w:r>
      <w:r>
        <w:rPr>
          <w:color w:val="231F20"/>
          <w:spacing w:val="-8"/>
        </w:rPr>
        <w:t> </w:t>
      </w:r>
      <w:r>
        <w:rPr>
          <w:color w:val="231F20"/>
        </w:rPr>
        <w:t>планираним</w:t>
      </w:r>
      <w:r>
        <w:rPr>
          <w:color w:val="231F20"/>
          <w:spacing w:val="-7"/>
        </w:rPr>
        <w:t> </w:t>
      </w:r>
      <w:r>
        <w:rPr>
          <w:color w:val="231F20"/>
        </w:rPr>
        <w:t>јавних</w:t>
      </w:r>
      <w:r>
        <w:rPr>
          <w:color w:val="231F20"/>
          <w:spacing w:val="-8"/>
        </w:rPr>
        <w:t> </w:t>
      </w:r>
      <w:r>
        <w:rPr>
          <w:color w:val="231F20"/>
        </w:rPr>
        <w:t>путевима.</w:t>
      </w:r>
      <w:r>
        <w:rPr>
          <w:color w:val="231F20"/>
          <w:spacing w:val="-8"/>
        </w:rPr>
        <w:t> </w:t>
      </w:r>
      <w:r>
        <w:rPr>
          <w:color w:val="231F20"/>
        </w:rPr>
        <w:t>Планирана</w:t>
      </w:r>
      <w:r>
        <w:rPr>
          <w:color w:val="231F20"/>
          <w:spacing w:val="-8"/>
        </w:rPr>
        <w:t> </w:t>
      </w:r>
      <w:r>
        <w:rPr>
          <w:color w:val="231F20"/>
        </w:rPr>
        <w:t>робна пристаништа </w:t>
      </w:r>
      <w:r>
        <w:rPr>
          <w:color w:val="231F20"/>
          <w:spacing w:val="-7"/>
        </w:rPr>
        <w:t>су, </w:t>
      </w:r>
      <w:r>
        <w:rPr>
          <w:color w:val="231F20"/>
        </w:rPr>
        <w:t>првенствено, намењена за потребе термоенергет- </w:t>
      </w:r>
      <w:r>
        <w:rPr>
          <w:color w:val="231F20"/>
          <w:spacing w:val="-3"/>
        </w:rPr>
        <w:t>ског комплекса </w:t>
      </w:r>
      <w:r>
        <w:rPr>
          <w:color w:val="231F20"/>
        </w:rPr>
        <w:t>(допремање и отпремање робе), а повезаност при- станишних капацитета и објеката термоелектрана биће остварена изградњом интерних</w:t>
      </w:r>
      <w:r>
        <w:rPr>
          <w:color w:val="231F20"/>
          <w:spacing w:val="-2"/>
        </w:rPr>
        <w:t> </w:t>
      </w:r>
      <w:r>
        <w:rPr>
          <w:color w:val="231F20"/>
        </w:rPr>
        <w:t>саобраћајница.</w:t>
      </w:r>
    </w:p>
    <w:p>
      <w:pPr>
        <w:pStyle w:val="BodyText"/>
        <w:spacing w:before="164"/>
        <w:ind w:left="1717"/>
        <w:jc w:val="left"/>
      </w:pPr>
      <w:r>
        <w:rPr>
          <w:color w:val="231F20"/>
        </w:rPr>
        <w:t>Остали видови саобраћаја</w:t>
      </w:r>
    </w:p>
    <w:p>
      <w:pPr>
        <w:pStyle w:val="BodyText"/>
        <w:spacing w:before="4"/>
        <w:ind w:left="0"/>
        <w:jc w:val="left"/>
        <w:rPr>
          <w:sz w:val="17"/>
        </w:rPr>
      </w:pPr>
    </w:p>
    <w:p>
      <w:pPr>
        <w:pStyle w:val="BodyText"/>
        <w:spacing w:line="232" w:lineRule="auto"/>
        <w:ind w:left="169" w:right="412" w:firstLine="396"/>
      </w:pPr>
      <w:r>
        <w:rPr>
          <w:color w:val="231F20"/>
        </w:rPr>
        <w:t>Када је у питању развој осталих видова саобраћаја на План- ском подручју, планирано је следеће:</w:t>
      </w:r>
    </w:p>
    <w:p>
      <w:pPr>
        <w:pStyle w:val="BodyText"/>
        <w:spacing w:line="232" w:lineRule="auto"/>
        <w:ind w:left="169" w:right="410" w:firstLine="396"/>
      </w:pPr>
      <w:r>
        <w:rPr>
          <w:color w:val="231F20"/>
          <w:w w:val="66"/>
        </w:rPr>
        <w:t> </w:t>
      </w:r>
      <w:r>
        <w:rPr>
          <w:color w:val="231F20"/>
        </w:rPr>
        <w:t>– постојећи спортско-туристички аеродром, лоциран између </w:t>
      </w:r>
      <w:r>
        <w:rPr>
          <w:color w:val="231F20"/>
          <w:spacing w:val="-3"/>
        </w:rPr>
        <w:t>Костолачког </w:t>
      </w:r>
      <w:r>
        <w:rPr>
          <w:color w:val="231F20"/>
        </w:rPr>
        <w:t>рукавца и десне обале Дунава, задржава се на посто- јећој локацији и са постојећом функцијом; у наредном </w:t>
      </w:r>
      <w:r>
        <w:rPr>
          <w:color w:val="231F20"/>
          <w:spacing w:val="-3"/>
        </w:rPr>
        <w:t>планском </w:t>
      </w:r>
      <w:r>
        <w:rPr>
          <w:color w:val="231F20"/>
          <w:spacing w:val="-4"/>
        </w:rPr>
        <w:t>периоду, </w:t>
      </w:r>
      <w:r>
        <w:rPr>
          <w:color w:val="231F20"/>
        </w:rPr>
        <w:t>у складу са општим развојем и могућностима, потребно је извршити рехабилитацију полетно-слетне стазе и осавремења- вање техничких уређаја и опреме; предвиђена је израда претходне </w:t>
      </w:r>
      <w:r>
        <w:rPr>
          <w:color w:val="231F20"/>
          <w:spacing w:val="-3"/>
        </w:rPr>
        <w:t>студије </w:t>
      </w:r>
      <w:r>
        <w:rPr>
          <w:color w:val="231F20"/>
        </w:rPr>
        <w:t>оправданости за нови спортско-туристички аеродром на локацији</w:t>
      </w:r>
      <w:r>
        <w:rPr>
          <w:color w:val="231F20"/>
          <w:spacing w:val="-11"/>
        </w:rPr>
        <w:t> </w:t>
      </w:r>
      <w:r>
        <w:rPr>
          <w:color w:val="231F20"/>
        </w:rPr>
        <w:t>у</w:t>
      </w:r>
      <w:r>
        <w:rPr>
          <w:color w:val="231F20"/>
          <w:spacing w:val="-11"/>
        </w:rPr>
        <w:t> </w:t>
      </w:r>
      <w:r>
        <w:rPr>
          <w:color w:val="231F20"/>
        </w:rPr>
        <w:t>близини</w:t>
      </w:r>
      <w:r>
        <w:rPr>
          <w:color w:val="231F20"/>
          <w:spacing w:val="-11"/>
        </w:rPr>
        <w:t> </w:t>
      </w:r>
      <w:r>
        <w:rPr>
          <w:color w:val="231F20"/>
        </w:rPr>
        <w:t>Љубичева;</w:t>
      </w:r>
      <w:r>
        <w:rPr>
          <w:color w:val="231F20"/>
          <w:spacing w:val="-11"/>
        </w:rPr>
        <w:t> </w:t>
      </w:r>
      <w:r>
        <w:rPr>
          <w:color w:val="231F20"/>
        </w:rPr>
        <w:t>планирана</w:t>
      </w:r>
      <w:r>
        <w:rPr>
          <w:color w:val="231F20"/>
          <w:spacing w:val="-11"/>
        </w:rPr>
        <w:t> </w:t>
      </w:r>
      <w:r>
        <w:rPr>
          <w:color w:val="231F20"/>
        </w:rPr>
        <w:t>је</w:t>
      </w:r>
      <w:r>
        <w:rPr>
          <w:color w:val="231F20"/>
          <w:spacing w:val="-11"/>
        </w:rPr>
        <w:t> </w:t>
      </w:r>
      <w:r>
        <w:rPr>
          <w:color w:val="231F20"/>
        </w:rPr>
        <w:t>и</w:t>
      </w:r>
      <w:r>
        <w:rPr>
          <w:color w:val="231F20"/>
          <w:spacing w:val="-11"/>
        </w:rPr>
        <w:t> </w:t>
      </w:r>
      <w:r>
        <w:rPr>
          <w:color w:val="231F20"/>
        </w:rPr>
        <w:t>изградња</w:t>
      </w:r>
      <w:r>
        <w:rPr>
          <w:color w:val="231F20"/>
          <w:spacing w:val="-11"/>
        </w:rPr>
        <w:t> </w:t>
      </w:r>
      <w:r>
        <w:rPr>
          <w:color w:val="231F20"/>
        </w:rPr>
        <w:t>хелидрома у оквиру грађевинског подручја Пожаревца и грађевинског под- ручја Костолца а тачне локације ће бити утврђене у сарадњи ло- калне управе и Директората цивилног ваздухопловства </w:t>
      </w:r>
      <w:r>
        <w:rPr>
          <w:color w:val="231F20"/>
          <w:spacing w:val="-3"/>
        </w:rPr>
        <w:t>Републике </w:t>
      </w:r>
      <w:r>
        <w:rPr>
          <w:color w:val="231F20"/>
        </w:rPr>
        <w:t>Србије;</w:t>
      </w:r>
    </w:p>
    <w:p>
      <w:pPr>
        <w:pStyle w:val="BodyText"/>
        <w:spacing w:line="232" w:lineRule="auto"/>
        <w:ind w:right="410" w:firstLine="396"/>
      </w:pPr>
      <w:r>
        <w:rPr>
          <w:color w:val="231F20"/>
          <w:w w:val="66"/>
        </w:rPr>
        <w:t> </w:t>
      </w:r>
      <w:r>
        <w:rPr>
          <w:color w:val="231F20"/>
        </w:rPr>
        <w:t>–</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планираног</w:t>
      </w:r>
      <w:r>
        <w:rPr>
          <w:color w:val="231F20"/>
          <w:spacing w:val="-10"/>
        </w:rPr>
        <w:t> </w:t>
      </w:r>
      <w:r>
        <w:rPr>
          <w:color w:val="231F20"/>
        </w:rPr>
        <w:t>саобраћајног</w:t>
      </w:r>
      <w:r>
        <w:rPr>
          <w:color w:val="231F20"/>
          <w:spacing w:val="-10"/>
        </w:rPr>
        <w:t> </w:t>
      </w:r>
      <w:r>
        <w:rPr>
          <w:color w:val="231F20"/>
        </w:rPr>
        <w:t>коридора</w:t>
      </w:r>
      <w:r>
        <w:rPr>
          <w:color w:val="231F20"/>
          <w:spacing w:val="-10"/>
        </w:rPr>
        <w:t> </w:t>
      </w:r>
      <w:r>
        <w:rPr>
          <w:color w:val="231F20"/>
          <w:spacing w:val="-3"/>
        </w:rPr>
        <w:t>који</w:t>
      </w:r>
      <w:r>
        <w:rPr>
          <w:color w:val="231F20"/>
          <w:spacing w:val="-11"/>
        </w:rPr>
        <w:t> </w:t>
      </w:r>
      <w:r>
        <w:rPr>
          <w:color w:val="231F20"/>
        </w:rPr>
        <w:t>се</w:t>
      </w:r>
      <w:r>
        <w:rPr>
          <w:color w:val="231F20"/>
          <w:spacing w:val="-10"/>
        </w:rPr>
        <w:t> </w:t>
      </w:r>
      <w:r>
        <w:rPr>
          <w:color w:val="231F20"/>
        </w:rPr>
        <w:t>прости- ре уз десну обалу Дунава, </w:t>
      </w:r>
      <w:r>
        <w:rPr>
          <w:color w:val="231F20"/>
          <w:spacing w:val="-3"/>
        </w:rPr>
        <w:t>од </w:t>
      </w:r>
      <w:r>
        <w:rPr>
          <w:color w:val="231F20"/>
        </w:rPr>
        <w:t>границе са територијом града Сме- дерево према Раму у општини Велико Градиште, предвиђена је и изградња </w:t>
      </w:r>
      <w:r>
        <w:rPr>
          <w:color w:val="231F20"/>
          <w:spacing w:val="-3"/>
        </w:rPr>
        <w:t>пешачко </w:t>
      </w:r>
      <w:r>
        <w:rPr>
          <w:color w:val="231F20"/>
        </w:rPr>
        <w:t>– бициклистичке стазе у циљу фаворизовања </w:t>
      </w:r>
      <w:r>
        <w:rPr>
          <w:color w:val="231F20"/>
          <w:spacing w:val="-4"/>
        </w:rPr>
        <w:t>излетничког, </w:t>
      </w:r>
      <w:r>
        <w:rPr>
          <w:color w:val="231F20"/>
        </w:rPr>
        <w:t>рекреативног и туристичког саобраћаја; изградњом ове стазе до Рама оствариће се веза са основном трасом транс- европске бициклистичке руте (Еуровело 6) </w:t>
      </w:r>
      <w:r>
        <w:rPr>
          <w:color w:val="231F20"/>
          <w:spacing w:val="-3"/>
        </w:rPr>
        <w:t>која </w:t>
      </w:r>
      <w:r>
        <w:rPr>
          <w:color w:val="231F20"/>
        </w:rPr>
        <w:t>се пружа левом обалом Дунава до Ковина, а у наставку рута се пружа десном оба- лом Дунава према Црном мору;</w:t>
      </w:r>
      <w:r>
        <w:rPr>
          <w:color w:val="231F20"/>
          <w:spacing w:val="-3"/>
        </w:rPr>
        <w:t> </w:t>
      </w:r>
      <w:r>
        <w:rPr>
          <w:color w:val="231F20"/>
        </w:rPr>
        <w:t>и</w:t>
      </w:r>
    </w:p>
    <w:p>
      <w:pPr>
        <w:pStyle w:val="BodyText"/>
        <w:spacing w:line="232" w:lineRule="auto"/>
        <w:ind w:right="410" w:firstLine="397"/>
      </w:pPr>
      <w:r>
        <w:rPr>
          <w:color w:val="231F20"/>
          <w:w w:val="66"/>
        </w:rPr>
        <w:t> </w:t>
      </w:r>
      <w:r>
        <w:rPr>
          <w:color w:val="231F20"/>
        </w:rPr>
        <w:t>– дугорочно, поред изградње бициклистичких стаза на под- ручју града Пожаревца и градског насеља Костолац (разрада кроз одговарајућу планску и урбанистичку документацију), предвиђа се развој бициклистичког саобраћаја изградњом стаза које ће по- везивати градско подручје Пожаревца са планираном стазом на десној обали Дунава; трасе бициклистичких коридора утврдиће се одговарајућим плановима.</w:t>
      </w:r>
    </w:p>
    <w:p>
      <w:pPr>
        <w:spacing w:after="0" w:line="232" w:lineRule="auto"/>
        <w:sectPr>
          <w:pgSz w:w="12480" w:h="15690"/>
          <w:pgMar w:top="120" w:bottom="280" w:left="680" w:right="720"/>
          <w:cols w:num="2" w:equalWidth="0">
            <w:col w:w="5313" w:space="73"/>
            <w:col w:w="5694"/>
          </w:cols>
        </w:sectPr>
      </w:pPr>
    </w:p>
    <w:p>
      <w:pPr>
        <w:pStyle w:val="ListParagraph"/>
        <w:numPr>
          <w:ilvl w:val="1"/>
          <w:numId w:val="31"/>
        </w:numPr>
        <w:tabs>
          <w:tab w:pos="1179" w:val="left" w:leader="none"/>
        </w:tabs>
        <w:spacing w:line="240" w:lineRule="auto" w:before="68" w:after="0"/>
        <w:ind w:left="1178" w:right="0" w:hanging="315"/>
        <w:jc w:val="left"/>
        <w:rPr>
          <w:i/>
          <w:sz w:val="18"/>
        </w:rPr>
      </w:pPr>
      <w:r>
        <w:rPr/>
        <w:pict>
          <v:line style="position:absolute;mso-position-horizontal-relative:page;mso-position-vertical-relative:page;z-index:2752" from="318.897614pt,11.942451pt" to="318.897614pt,748.950451pt" stroked="true" strokeweight=".6pt" strokecolor="#231f20">
            <v:stroke dashstyle="solid"/>
            <w10:wrap type="none"/>
          </v:line>
        </w:pict>
      </w:r>
      <w:r>
        <w:rPr>
          <w:i/>
          <w:color w:val="231F20"/>
          <w:sz w:val="18"/>
        </w:rPr>
        <w:t>Коришћење вода и водопривредна</w:t>
      </w:r>
      <w:r>
        <w:rPr>
          <w:i/>
          <w:color w:val="231F20"/>
          <w:spacing w:val="-14"/>
          <w:sz w:val="18"/>
        </w:rPr>
        <w:t> </w:t>
      </w:r>
      <w:r>
        <w:rPr>
          <w:i/>
          <w:color w:val="231F20"/>
          <w:sz w:val="18"/>
        </w:rPr>
        <w:t>инфраструктура</w:t>
      </w:r>
    </w:p>
    <w:p>
      <w:pPr>
        <w:pStyle w:val="BodyText"/>
        <w:spacing w:before="3"/>
        <w:ind w:left="0"/>
        <w:jc w:val="left"/>
        <w:rPr>
          <w:i/>
          <w:sz w:val="17"/>
        </w:rPr>
      </w:pPr>
    </w:p>
    <w:p>
      <w:pPr>
        <w:pStyle w:val="BodyText"/>
        <w:spacing w:line="232" w:lineRule="auto" w:before="1"/>
        <w:ind w:left="453" w:firstLine="396"/>
      </w:pPr>
      <w:r>
        <w:rPr>
          <w:color w:val="231F20"/>
        </w:rPr>
        <w:t>Концепција развоја хидротехничких система је усклађена са стратегијом</w:t>
      </w:r>
      <w:r>
        <w:rPr>
          <w:color w:val="231F20"/>
          <w:spacing w:val="-10"/>
        </w:rPr>
        <w:t> </w:t>
      </w:r>
      <w:r>
        <w:rPr>
          <w:color w:val="231F20"/>
        </w:rPr>
        <w:t>ППРС</w:t>
      </w:r>
      <w:r>
        <w:rPr>
          <w:color w:val="231F20"/>
          <w:spacing w:val="-10"/>
        </w:rPr>
        <w:t> </w:t>
      </w:r>
      <w:r>
        <w:rPr>
          <w:color w:val="231F20"/>
        </w:rPr>
        <w:t>и</w:t>
      </w:r>
      <w:r>
        <w:rPr>
          <w:color w:val="231F20"/>
          <w:spacing w:val="-10"/>
        </w:rPr>
        <w:t> </w:t>
      </w:r>
      <w:r>
        <w:rPr>
          <w:color w:val="231F20"/>
        </w:rPr>
        <w:t>ВОС</w:t>
      </w:r>
      <w:r>
        <w:rPr>
          <w:color w:val="231F20"/>
          <w:spacing w:val="-10"/>
        </w:rPr>
        <w:t> </w:t>
      </w:r>
      <w:r>
        <w:rPr>
          <w:color w:val="231F20"/>
        </w:rPr>
        <w:t>према</w:t>
      </w:r>
      <w:r>
        <w:rPr>
          <w:color w:val="231F20"/>
          <w:spacing w:val="-10"/>
        </w:rPr>
        <w:t> </w:t>
      </w:r>
      <w:r>
        <w:rPr>
          <w:color w:val="231F20"/>
        </w:rPr>
        <w:t>којој</w:t>
      </w:r>
      <w:r>
        <w:rPr>
          <w:color w:val="231F20"/>
          <w:spacing w:val="-10"/>
        </w:rPr>
        <w:t> </w:t>
      </w:r>
      <w:r>
        <w:rPr>
          <w:color w:val="231F20"/>
        </w:rPr>
        <w:t>се</w:t>
      </w:r>
      <w:r>
        <w:rPr>
          <w:color w:val="231F20"/>
          <w:spacing w:val="-10"/>
        </w:rPr>
        <w:t> </w:t>
      </w:r>
      <w:r>
        <w:rPr>
          <w:color w:val="231F20"/>
        </w:rPr>
        <w:t>на</w:t>
      </w:r>
      <w:r>
        <w:rPr>
          <w:color w:val="231F20"/>
          <w:spacing w:val="-10"/>
        </w:rPr>
        <w:t> </w:t>
      </w:r>
      <w:r>
        <w:rPr>
          <w:color w:val="231F20"/>
        </w:rPr>
        <w:t>јединственом</w:t>
      </w:r>
      <w:r>
        <w:rPr>
          <w:color w:val="231F20"/>
          <w:spacing w:val="-10"/>
        </w:rPr>
        <w:t> </w:t>
      </w:r>
      <w:r>
        <w:rPr>
          <w:color w:val="231F20"/>
        </w:rPr>
        <w:t>водопри- вредном простору </w:t>
      </w:r>
      <w:r>
        <w:rPr>
          <w:color w:val="231F20"/>
          <w:spacing w:val="-3"/>
        </w:rPr>
        <w:t>Републике </w:t>
      </w:r>
      <w:r>
        <w:rPr>
          <w:color w:val="231F20"/>
        </w:rPr>
        <w:t>Србије развијају две класе система: регионални системи за снабдевање </w:t>
      </w:r>
      <w:r>
        <w:rPr>
          <w:color w:val="231F20"/>
          <w:spacing w:val="-3"/>
        </w:rPr>
        <w:t>водом </w:t>
      </w:r>
      <w:r>
        <w:rPr>
          <w:color w:val="231F20"/>
        </w:rPr>
        <w:t>насеља и речни систе- ми – у оквиру којих се реализују објекти и мере за интегрално </w:t>
      </w:r>
      <w:r>
        <w:rPr>
          <w:color w:val="231F20"/>
          <w:spacing w:val="-4"/>
        </w:rPr>
        <w:t>ко- </w:t>
      </w:r>
      <w:r>
        <w:rPr>
          <w:color w:val="231F20"/>
        </w:rPr>
        <w:t>ришћење, уређење и заштиту вода. На </w:t>
      </w:r>
      <w:r>
        <w:rPr>
          <w:color w:val="231F20"/>
          <w:spacing w:val="-3"/>
        </w:rPr>
        <w:t>Планском </w:t>
      </w:r>
      <w:r>
        <w:rPr>
          <w:color w:val="231F20"/>
        </w:rPr>
        <w:t>подручју су већ оформљени подсистеми у оквиру поменуте две класе</w:t>
      </w:r>
      <w:r>
        <w:rPr>
          <w:color w:val="231F20"/>
          <w:spacing w:val="-16"/>
        </w:rPr>
        <w:t> </w:t>
      </w:r>
      <w:r>
        <w:rPr>
          <w:color w:val="231F20"/>
        </w:rPr>
        <w:t>система.</w:t>
      </w:r>
    </w:p>
    <w:p>
      <w:pPr>
        <w:pStyle w:val="ListParagraph"/>
        <w:numPr>
          <w:ilvl w:val="0"/>
          <w:numId w:val="32"/>
        </w:numPr>
        <w:tabs>
          <w:tab w:pos="1069" w:val="left" w:leader="none"/>
        </w:tabs>
        <w:spacing w:line="232" w:lineRule="auto" w:before="0" w:after="0"/>
        <w:ind w:left="454" w:right="0" w:firstLine="397"/>
        <w:jc w:val="both"/>
        <w:rPr>
          <w:sz w:val="18"/>
        </w:rPr>
      </w:pPr>
      <w:r>
        <w:rPr>
          <w:color w:val="231F20"/>
          <w:sz w:val="18"/>
        </w:rPr>
        <w:t>Пожаревачки водоводни подсистем формира се у оквиру Моравско-млавског регионалног система за обезбеђивање </w:t>
      </w:r>
      <w:r>
        <w:rPr>
          <w:color w:val="231F20"/>
          <w:spacing w:val="-3"/>
          <w:sz w:val="18"/>
        </w:rPr>
        <w:t>водом </w:t>
      </w:r>
      <w:r>
        <w:rPr>
          <w:color w:val="231F20"/>
          <w:sz w:val="18"/>
        </w:rPr>
        <w:t>насеља. Основна конфигурација </w:t>
      </w:r>
      <w:r>
        <w:rPr>
          <w:color w:val="231F20"/>
          <w:spacing w:val="-3"/>
          <w:sz w:val="18"/>
        </w:rPr>
        <w:t>Пожаревачког </w:t>
      </w:r>
      <w:r>
        <w:rPr>
          <w:color w:val="231F20"/>
          <w:sz w:val="18"/>
        </w:rPr>
        <w:t>водоводног под- система је већ реализована, те су даље активности – проширење обухвата водоводног система на нова насеља и изворишта – </w:t>
      </w:r>
      <w:r>
        <w:rPr>
          <w:color w:val="231F20"/>
          <w:spacing w:val="-3"/>
          <w:sz w:val="18"/>
        </w:rPr>
        <w:t>кон- </w:t>
      </w:r>
      <w:r>
        <w:rPr>
          <w:color w:val="231F20"/>
          <w:sz w:val="18"/>
        </w:rPr>
        <w:t>цепцијски потпуно усклађене са развојем Моравско-млавског ре- гионалног</w:t>
      </w:r>
      <w:r>
        <w:rPr>
          <w:color w:val="231F20"/>
          <w:spacing w:val="-2"/>
          <w:sz w:val="18"/>
        </w:rPr>
        <w:t> </w:t>
      </w:r>
      <w:r>
        <w:rPr>
          <w:color w:val="231F20"/>
          <w:sz w:val="18"/>
        </w:rPr>
        <w:t>система.</w:t>
      </w:r>
    </w:p>
    <w:p>
      <w:pPr>
        <w:pStyle w:val="ListParagraph"/>
        <w:numPr>
          <w:ilvl w:val="0"/>
          <w:numId w:val="32"/>
        </w:numPr>
        <w:tabs>
          <w:tab w:pos="1049" w:val="left" w:leader="none"/>
        </w:tabs>
        <w:spacing w:line="232" w:lineRule="auto" w:before="0" w:after="0"/>
        <w:ind w:left="454" w:right="1" w:firstLine="397"/>
        <w:jc w:val="both"/>
        <w:rPr>
          <w:sz w:val="18"/>
        </w:rPr>
      </w:pPr>
      <w:r>
        <w:rPr>
          <w:color w:val="231F20"/>
          <w:sz w:val="18"/>
        </w:rPr>
        <w:t>У оквиру Речног система Велике Мораве, на подручју</w:t>
      </w:r>
      <w:r>
        <w:rPr>
          <w:color w:val="231F20"/>
          <w:spacing w:val="-27"/>
          <w:sz w:val="18"/>
        </w:rPr>
        <w:t> </w:t>
      </w:r>
      <w:r>
        <w:rPr>
          <w:color w:val="231F20"/>
          <w:sz w:val="18"/>
        </w:rPr>
        <w:t>гра- да Пожаревца реализује се подсистем на најнизводнијој деоници Велике Мораве, </w:t>
      </w:r>
      <w:r>
        <w:rPr>
          <w:color w:val="231F20"/>
          <w:spacing w:val="-3"/>
          <w:sz w:val="18"/>
        </w:rPr>
        <w:t>коју </w:t>
      </w:r>
      <w:r>
        <w:rPr>
          <w:color w:val="231F20"/>
          <w:sz w:val="18"/>
        </w:rPr>
        <w:t>уоквирују пет заштитних касета: на десној обали – Дубровачка касета и касете Брежане и Драговац, на левој обали две касете – </w:t>
      </w:r>
      <w:r>
        <w:rPr>
          <w:color w:val="231F20"/>
          <w:spacing w:val="-3"/>
          <w:sz w:val="18"/>
        </w:rPr>
        <w:t>Годоминска </w:t>
      </w:r>
      <w:r>
        <w:rPr>
          <w:color w:val="231F20"/>
          <w:sz w:val="18"/>
        </w:rPr>
        <w:t>касета и касета Осипаоница – Ло- зовик. Тај подсистем доњег тока Велике Мораве има заокружену конфигурацију са гледишта објеката заштите </w:t>
      </w:r>
      <w:r>
        <w:rPr>
          <w:color w:val="231F20"/>
          <w:spacing w:val="-3"/>
          <w:sz w:val="18"/>
        </w:rPr>
        <w:t>од </w:t>
      </w:r>
      <w:r>
        <w:rPr>
          <w:color w:val="231F20"/>
          <w:sz w:val="18"/>
        </w:rPr>
        <w:t>поплава (насипи, дренажни</w:t>
      </w:r>
      <w:r>
        <w:rPr>
          <w:color w:val="231F20"/>
          <w:spacing w:val="-5"/>
          <w:sz w:val="18"/>
        </w:rPr>
        <w:t> </w:t>
      </w:r>
      <w:r>
        <w:rPr>
          <w:color w:val="231F20"/>
          <w:sz w:val="18"/>
        </w:rPr>
        <w:t>системи),</w:t>
      </w:r>
      <w:r>
        <w:rPr>
          <w:color w:val="231F20"/>
          <w:spacing w:val="-5"/>
          <w:sz w:val="18"/>
        </w:rPr>
        <w:t> </w:t>
      </w:r>
      <w:r>
        <w:rPr>
          <w:color w:val="231F20"/>
          <w:sz w:val="18"/>
        </w:rPr>
        <w:t>а</w:t>
      </w:r>
      <w:r>
        <w:rPr>
          <w:color w:val="231F20"/>
          <w:spacing w:val="-5"/>
          <w:sz w:val="18"/>
        </w:rPr>
        <w:t> </w:t>
      </w:r>
      <w:r>
        <w:rPr>
          <w:color w:val="231F20"/>
          <w:sz w:val="18"/>
        </w:rPr>
        <w:t>биће</w:t>
      </w:r>
      <w:r>
        <w:rPr>
          <w:color w:val="231F20"/>
          <w:spacing w:val="-5"/>
          <w:sz w:val="18"/>
        </w:rPr>
        <w:t> </w:t>
      </w:r>
      <w:r>
        <w:rPr>
          <w:color w:val="231F20"/>
          <w:sz w:val="18"/>
        </w:rPr>
        <w:t>допуњаван</w:t>
      </w:r>
      <w:r>
        <w:rPr>
          <w:color w:val="231F20"/>
          <w:spacing w:val="-5"/>
          <w:sz w:val="18"/>
        </w:rPr>
        <w:t> </w:t>
      </w:r>
      <w:r>
        <w:rPr>
          <w:color w:val="231F20"/>
          <w:sz w:val="18"/>
        </w:rPr>
        <w:t>радовима</w:t>
      </w:r>
      <w:r>
        <w:rPr>
          <w:color w:val="231F20"/>
          <w:spacing w:val="-5"/>
          <w:sz w:val="18"/>
        </w:rPr>
        <w:t> </w:t>
      </w:r>
      <w:r>
        <w:rPr>
          <w:color w:val="231F20"/>
          <w:spacing w:val="-3"/>
          <w:sz w:val="18"/>
        </w:rPr>
        <w:t>који</w:t>
      </w:r>
      <w:r>
        <w:rPr>
          <w:color w:val="231F20"/>
          <w:spacing w:val="-5"/>
          <w:sz w:val="18"/>
        </w:rPr>
        <w:t> </w:t>
      </w:r>
      <w:r>
        <w:rPr>
          <w:color w:val="231F20"/>
          <w:sz w:val="18"/>
        </w:rPr>
        <w:t>треба</w:t>
      </w:r>
      <w:r>
        <w:rPr>
          <w:color w:val="231F20"/>
          <w:spacing w:val="-5"/>
          <w:sz w:val="18"/>
        </w:rPr>
        <w:t> </w:t>
      </w:r>
      <w:r>
        <w:rPr>
          <w:color w:val="231F20"/>
          <w:sz w:val="18"/>
        </w:rPr>
        <w:t>да</w:t>
      </w:r>
      <w:r>
        <w:rPr>
          <w:color w:val="231F20"/>
          <w:spacing w:val="-5"/>
          <w:sz w:val="18"/>
        </w:rPr>
        <w:t> </w:t>
      </w:r>
      <w:r>
        <w:rPr>
          <w:color w:val="231F20"/>
          <w:sz w:val="18"/>
        </w:rPr>
        <w:t>пра- те планирану изградњу ХЕ Љубичево у оквиру моравског</w:t>
      </w:r>
      <w:r>
        <w:rPr>
          <w:color w:val="231F20"/>
          <w:spacing w:val="-27"/>
          <w:sz w:val="18"/>
        </w:rPr>
        <w:t> </w:t>
      </w:r>
      <w:r>
        <w:rPr>
          <w:color w:val="231F20"/>
          <w:sz w:val="18"/>
        </w:rPr>
        <w:t>система хидроелектрана. Ради се о надвишењу и ојачању већ постојећих заштитних насипа да могу да приме трајан успор, допуни систе- ма за контролу режима подземних вода у приобаљу (магистрални дренажни канал дуж насипа), као и мерама заштите вода. Кључна мера заштите квалитета вода је реконструкција и проширење ка- нализационог система Пожаревца, обнова и повећање капацитета ППОВ Пожаревца, као и регулационо и </w:t>
      </w:r>
      <w:r>
        <w:rPr>
          <w:color w:val="231F20"/>
          <w:spacing w:val="-4"/>
          <w:sz w:val="18"/>
        </w:rPr>
        <w:t>еколошко </w:t>
      </w:r>
      <w:r>
        <w:rPr>
          <w:color w:val="231F20"/>
          <w:sz w:val="18"/>
        </w:rPr>
        <w:t>уређење реци- пијента – канала Пожаревац – Брежане. У мере заштите квалите- та вода спада и </w:t>
      </w:r>
      <w:r>
        <w:rPr>
          <w:color w:val="231F20"/>
          <w:spacing w:val="-2"/>
          <w:sz w:val="18"/>
        </w:rPr>
        <w:t>неопходна </w:t>
      </w:r>
      <w:r>
        <w:rPr>
          <w:color w:val="231F20"/>
          <w:sz w:val="18"/>
        </w:rPr>
        <w:t>санитација и каналисање више мањих насеља.</w:t>
      </w:r>
    </w:p>
    <w:p>
      <w:pPr>
        <w:pStyle w:val="ListParagraph"/>
        <w:numPr>
          <w:ilvl w:val="0"/>
          <w:numId w:val="32"/>
        </w:numPr>
        <w:tabs>
          <w:tab w:pos="1062" w:val="left" w:leader="none"/>
        </w:tabs>
        <w:spacing w:line="232" w:lineRule="auto" w:before="0" w:after="0"/>
        <w:ind w:left="455" w:right="0" w:firstLine="397"/>
        <w:jc w:val="both"/>
        <w:rPr>
          <w:sz w:val="18"/>
        </w:rPr>
      </w:pPr>
      <w:r>
        <w:rPr>
          <w:color w:val="231F20"/>
          <w:sz w:val="18"/>
        </w:rPr>
        <w:t>У оквиру Речног система </w:t>
      </w:r>
      <w:r>
        <w:rPr>
          <w:color w:val="231F20"/>
          <w:spacing w:val="-5"/>
          <w:sz w:val="18"/>
        </w:rPr>
        <w:t>Ток </w:t>
      </w:r>
      <w:r>
        <w:rPr>
          <w:color w:val="231F20"/>
          <w:sz w:val="18"/>
        </w:rPr>
        <w:t>Дунава потпуно је дефини- сан систем коришћења вода, уређења корита и приобаља на чита- </w:t>
      </w:r>
      <w:r>
        <w:rPr>
          <w:color w:val="231F20"/>
          <w:spacing w:val="-2"/>
          <w:sz w:val="18"/>
        </w:rPr>
        <w:t>вом </w:t>
      </w:r>
      <w:r>
        <w:rPr>
          <w:color w:val="231F20"/>
          <w:sz w:val="18"/>
        </w:rPr>
        <w:t>меродавном потезу Дунава. Тај заштитни систем, </w:t>
      </w:r>
      <w:r>
        <w:rPr>
          <w:color w:val="231F20"/>
          <w:spacing w:val="-3"/>
          <w:sz w:val="18"/>
        </w:rPr>
        <w:t>кога </w:t>
      </w:r>
      <w:r>
        <w:rPr>
          <w:color w:val="231F20"/>
          <w:sz w:val="18"/>
        </w:rPr>
        <w:t>чине насипи димензионисани за заштиту </w:t>
      </w:r>
      <w:r>
        <w:rPr>
          <w:color w:val="231F20"/>
          <w:spacing w:val="-3"/>
          <w:sz w:val="18"/>
        </w:rPr>
        <w:t>од </w:t>
      </w:r>
      <w:r>
        <w:rPr>
          <w:color w:val="231F20"/>
          <w:sz w:val="18"/>
        </w:rPr>
        <w:t>поводња Дунава вероват- ноће 1% и системи заштите приобаља, у будућности ће се само обнављати и допуњавати, </w:t>
      </w:r>
      <w:r>
        <w:rPr>
          <w:color w:val="231F20"/>
          <w:spacing w:val="-4"/>
          <w:sz w:val="18"/>
        </w:rPr>
        <w:t>како </w:t>
      </w:r>
      <w:r>
        <w:rPr>
          <w:color w:val="231F20"/>
          <w:sz w:val="18"/>
        </w:rPr>
        <w:t>би се остваривали захтевани кри- теријуми заштите. </w:t>
      </w:r>
      <w:r>
        <w:rPr>
          <w:color w:val="231F20"/>
          <w:spacing w:val="-3"/>
          <w:sz w:val="18"/>
        </w:rPr>
        <w:t>Та </w:t>
      </w:r>
      <w:r>
        <w:rPr>
          <w:color w:val="231F20"/>
          <w:sz w:val="18"/>
        </w:rPr>
        <w:t>деоница речног система Дунава допуњаваће се објектима за заштиту квалитета вода – реализацијом ППОВ у </w:t>
      </w:r>
      <w:r>
        <w:rPr>
          <w:color w:val="231F20"/>
          <w:spacing w:val="-4"/>
          <w:sz w:val="18"/>
        </w:rPr>
        <w:t>Костолцу, </w:t>
      </w:r>
      <w:r>
        <w:rPr>
          <w:color w:val="231F20"/>
          <w:sz w:val="18"/>
        </w:rPr>
        <w:t>али и у меродавном ширем окружењу (ППОВ Смеде- рево, US Steel). У делу приобаља Дунава </w:t>
      </w:r>
      <w:r>
        <w:rPr>
          <w:color w:val="231F20"/>
          <w:spacing w:val="-4"/>
          <w:sz w:val="18"/>
        </w:rPr>
        <w:t>где </w:t>
      </w:r>
      <w:r>
        <w:rPr>
          <w:color w:val="231F20"/>
          <w:sz w:val="18"/>
        </w:rPr>
        <w:t>се предвиђа развој површинског </w:t>
      </w:r>
      <w:r>
        <w:rPr>
          <w:color w:val="231F20"/>
          <w:spacing w:val="-3"/>
          <w:sz w:val="18"/>
        </w:rPr>
        <w:t>копа </w:t>
      </w:r>
      <w:r>
        <w:rPr>
          <w:color w:val="231F20"/>
          <w:sz w:val="18"/>
        </w:rPr>
        <w:t>„Дрмно” потребно је извршити реконструкцију система одбране приобаља </w:t>
      </w:r>
      <w:r>
        <w:rPr>
          <w:color w:val="231F20"/>
          <w:spacing w:val="-3"/>
          <w:sz w:val="18"/>
        </w:rPr>
        <w:t>од </w:t>
      </w:r>
      <w:r>
        <w:rPr>
          <w:color w:val="231F20"/>
          <w:sz w:val="18"/>
        </w:rPr>
        <w:t>успора вода Дунава кроз синхрони- зовану израду техничке документације за водопривредне и </w:t>
      </w:r>
      <w:r>
        <w:rPr>
          <w:color w:val="231F20"/>
          <w:spacing w:val="-3"/>
          <w:sz w:val="18"/>
        </w:rPr>
        <w:t>рудар- </w:t>
      </w:r>
      <w:r>
        <w:rPr>
          <w:color w:val="231F20"/>
          <w:sz w:val="18"/>
        </w:rPr>
        <w:t>ске</w:t>
      </w:r>
      <w:r>
        <w:rPr>
          <w:color w:val="231F20"/>
          <w:spacing w:val="-1"/>
          <w:sz w:val="18"/>
        </w:rPr>
        <w:t> </w:t>
      </w:r>
      <w:r>
        <w:rPr>
          <w:color w:val="231F20"/>
          <w:sz w:val="18"/>
        </w:rPr>
        <w:t>активности.</w:t>
      </w:r>
    </w:p>
    <w:p>
      <w:pPr>
        <w:pStyle w:val="BodyText"/>
        <w:spacing w:before="161"/>
        <w:ind w:left="2290"/>
        <w:jc w:val="left"/>
      </w:pPr>
      <w:r>
        <w:rPr>
          <w:color w:val="231F20"/>
        </w:rPr>
        <w:t>Снабдевање водом</w:t>
      </w:r>
    </w:p>
    <w:p>
      <w:pPr>
        <w:pStyle w:val="BodyText"/>
        <w:spacing w:before="4"/>
        <w:ind w:left="0"/>
        <w:jc w:val="left"/>
        <w:rPr>
          <w:sz w:val="17"/>
        </w:rPr>
      </w:pPr>
    </w:p>
    <w:p>
      <w:pPr>
        <w:pStyle w:val="BodyText"/>
        <w:spacing w:line="232" w:lineRule="auto"/>
        <w:ind w:left="455" w:firstLine="396"/>
      </w:pPr>
      <w:r>
        <w:rPr>
          <w:color w:val="231F20"/>
        </w:rPr>
        <w:t>У зони утицаја површинских </w:t>
      </w:r>
      <w:r>
        <w:rPr>
          <w:color w:val="231F20"/>
          <w:spacing w:val="-3"/>
        </w:rPr>
        <w:t>копова </w:t>
      </w:r>
      <w:r>
        <w:rPr>
          <w:color w:val="231F20"/>
        </w:rPr>
        <w:t>и њихових система за одводњавање дошло је до поремећаја режима површинских вода. </w:t>
      </w:r>
      <w:r>
        <w:rPr>
          <w:color w:val="231F20"/>
          <w:spacing w:val="-3"/>
        </w:rPr>
        <w:t>Ти </w:t>
      </w:r>
      <w:r>
        <w:rPr>
          <w:color w:val="231F20"/>
        </w:rPr>
        <w:t>поремећаји у низу сеоских насеља отежавају или онемогућа- вају индивидуално снабдевање водом. Тај процес ће се временом погоршавати у зони </w:t>
      </w:r>
      <w:r>
        <w:rPr>
          <w:color w:val="231F20"/>
          <w:spacing w:val="-3"/>
        </w:rPr>
        <w:t>копа </w:t>
      </w:r>
      <w:r>
        <w:rPr>
          <w:color w:val="231F20"/>
        </w:rPr>
        <w:t>„Дрмно” (Кличевац), док ће се стање поправити </w:t>
      </w:r>
      <w:r>
        <w:rPr>
          <w:color w:val="231F20"/>
          <w:spacing w:val="-3"/>
        </w:rPr>
        <w:t>након </w:t>
      </w:r>
      <w:r>
        <w:rPr>
          <w:color w:val="231F20"/>
        </w:rPr>
        <w:t>рекултивације у зонама </w:t>
      </w:r>
      <w:r>
        <w:rPr>
          <w:color w:val="231F20"/>
          <w:spacing w:val="-4"/>
        </w:rPr>
        <w:t>где </w:t>
      </w:r>
      <w:r>
        <w:rPr>
          <w:color w:val="231F20"/>
        </w:rPr>
        <w:t>су завршене </w:t>
      </w:r>
      <w:r>
        <w:rPr>
          <w:color w:val="231F20"/>
          <w:spacing w:val="-3"/>
        </w:rPr>
        <w:t>рудар- </w:t>
      </w:r>
      <w:r>
        <w:rPr>
          <w:color w:val="231F20"/>
        </w:rPr>
        <w:t>ске активности. </w:t>
      </w:r>
      <w:r>
        <w:rPr>
          <w:color w:val="231F20"/>
          <w:spacing w:val="-7"/>
        </w:rPr>
        <w:t>То </w:t>
      </w:r>
      <w:r>
        <w:rPr>
          <w:color w:val="231F20"/>
        </w:rPr>
        <w:t>ће се решавати истовременим деловањем у два правца: 1) даљи развој </w:t>
      </w:r>
      <w:r>
        <w:rPr>
          <w:color w:val="231F20"/>
          <w:spacing w:val="-3"/>
        </w:rPr>
        <w:t>Пожаревачког </w:t>
      </w:r>
      <w:r>
        <w:rPr>
          <w:color w:val="231F20"/>
        </w:rPr>
        <w:t>водовода и његово прераста- ње у Пожаревачки подсистем у оквиру Моравско-млавског регио- налног система за снабдевање </w:t>
      </w:r>
      <w:r>
        <w:rPr>
          <w:color w:val="231F20"/>
          <w:spacing w:val="-3"/>
        </w:rPr>
        <w:t>водом </w:t>
      </w:r>
      <w:r>
        <w:rPr>
          <w:color w:val="231F20"/>
        </w:rPr>
        <w:t>насеља и 2) реализација ло- калних водовода тамо </w:t>
      </w:r>
      <w:r>
        <w:rPr>
          <w:color w:val="231F20"/>
          <w:spacing w:val="-4"/>
        </w:rPr>
        <w:t>где </w:t>
      </w:r>
      <w:r>
        <w:rPr>
          <w:color w:val="231F20"/>
        </w:rPr>
        <w:t>се могу обезбедити локална изворишта доброг квалитета (Брадарац, Маљуревац, Бубушница, Кличевац и друга насеља).</w:t>
      </w:r>
    </w:p>
    <w:p>
      <w:pPr>
        <w:pStyle w:val="BodyText"/>
        <w:spacing w:line="232" w:lineRule="auto"/>
        <w:ind w:left="456" w:firstLine="396"/>
      </w:pPr>
      <w:r>
        <w:rPr>
          <w:color w:val="231F20"/>
        </w:rPr>
        <w:t>Пожаревачки водоводни систем, </w:t>
      </w:r>
      <w:r>
        <w:rPr>
          <w:color w:val="231F20"/>
          <w:spacing w:val="-3"/>
        </w:rPr>
        <w:t>који </w:t>
      </w:r>
      <w:r>
        <w:rPr>
          <w:color w:val="231F20"/>
        </w:rPr>
        <w:t>сада снабдева Пожаре- вац</w:t>
      </w:r>
      <w:r>
        <w:rPr>
          <w:color w:val="231F20"/>
          <w:spacing w:val="-8"/>
        </w:rPr>
        <w:t> </w:t>
      </w:r>
      <w:r>
        <w:rPr>
          <w:color w:val="231F20"/>
        </w:rPr>
        <w:t>и</w:t>
      </w:r>
      <w:r>
        <w:rPr>
          <w:color w:val="231F20"/>
          <w:spacing w:val="-8"/>
        </w:rPr>
        <w:t> </w:t>
      </w:r>
      <w:r>
        <w:rPr>
          <w:color w:val="231F20"/>
        </w:rPr>
        <w:t>Костолац,</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села</w:t>
      </w:r>
      <w:r>
        <w:rPr>
          <w:color w:val="231F20"/>
          <w:spacing w:val="-8"/>
        </w:rPr>
        <w:t> </w:t>
      </w:r>
      <w:r>
        <w:rPr>
          <w:color w:val="231F20"/>
        </w:rPr>
        <w:t>Ћириковац,</w:t>
      </w:r>
      <w:r>
        <w:rPr>
          <w:color w:val="231F20"/>
          <w:spacing w:val="-8"/>
        </w:rPr>
        <w:t> </w:t>
      </w:r>
      <w:r>
        <w:rPr>
          <w:color w:val="231F20"/>
        </w:rPr>
        <w:t>Кленовник,</w:t>
      </w:r>
      <w:r>
        <w:rPr>
          <w:color w:val="231F20"/>
          <w:spacing w:val="-8"/>
        </w:rPr>
        <w:t> </w:t>
      </w:r>
      <w:r>
        <w:rPr>
          <w:color w:val="231F20"/>
        </w:rPr>
        <w:t>Петка,</w:t>
      </w:r>
      <w:r>
        <w:rPr>
          <w:color w:val="231F20"/>
          <w:spacing w:val="-8"/>
        </w:rPr>
        <w:t> </w:t>
      </w:r>
      <w:r>
        <w:rPr>
          <w:color w:val="231F20"/>
        </w:rPr>
        <w:t>село</w:t>
      </w:r>
      <w:r>
        <w:rPr>
          <w:color w:val="231F20"/>
          <w:spacing w:val="-8"/>
        </w:rPr>
        <w:t> </w:t>
      </w:r>
      <w:r>
        <w:rPr>
          <w:color w:val="231F20"/>
          <w:spacing w:val="-3"/>
        </w:rPr>
        <w:t>Ко- </w:t>
      </w:r>
      <w:r>
        <w:rPr>
          <w:color w:val="231F20"/>
        </w:rPr>
        <w:t>столац и Дрмно, и даље ће се наслањати на следећа изворишта:</w:t>
      </w:r>
      <w:r>
        <w:rPr>
          <w:color w:val="231F20"/>
          <w:spacing w:val="2"/>
        </w:rPr>
        <w:t> </w:t>
      </w:r>
      <w:r>
        <w:rPr>
          <w:color w:val="231F20"/>
        </w:rPr>
        <w:t>1)</w:t>
      </w:r>
    </w:p>
    <w:p>
      <w:pPr>
        <w:pStyle w:val="BodyText"/>
        <w:spacing w:line="232" w:lineRule="auto"/>
        <w:ind w:left="455"/>
      </w:pPr>
      <w:r>
        <w:rPr>
          <w:color w:val="231F20"/>
        </w:rPr>
        <w:t>„Кључ”, у моравском </w:t>
      </w:r>
      <w:r>
        <w:rPr>
          <w:color w:val="231F20"/>
          <w:spacing w:val="-3"/>
        </w:rPr>
        <w:t>алувиону, </w:t>
      </w:r>
      <w:r>
        <w:rPr>
          <w:color w:val="231F20"/>
        </w:rPr>
        <w:t>укупног </w:t>
      </w:r>
      <w:r>
        <w:rPr>
          <w:color w:val="231F20"/>
          <w:spacing w:val="-3"/>
        </w:rPr>
        <w:t>рачунског </w:t>
      </w:r>
      <w:r>
        <w:rPr>
          <w:color w:val="231F20"/>
        </w:rPr>
        <w:t>квалитета </w:t>
      </w:r>
      <w:r>
        <w:rPr>
          <w:color w:val="231F20"/>
          <w:spacing w:val="-4"/>
        </w:rPr>
        <w:t>око </w:t>
      </w:r>
      <w:r>
        <w:rPr>
          <w:color w:val="231F20"/>
        </w:rPr>
        <w:t>300 l/s, у </w:t>
      </w:r>
      <w:r>
        <w:rPr>
          <w:color w:val="231F20"/>
          <w:spacing w:val="-4"/>
        </w:rPr>
        <w:t>коме </w:t>
      </w:r>
      <w:r>
        <w:rPr>
          <w:color w:val="231F20"/>
        </w:rPr>
        <w:t>су већ успостављени прописани режими заштите на </w:t>
      </w:r>
      <w:r>
        <w:rPr>
          <w:color w:val="231F20"/>
          <w:spacing w:val="-4"/>
        </w:rPr>
        <w:t>око </w:t>
      </w:r>
      <w:r>
        <w:rPr>
          <w:color w:val="231F20"/>
        </w:rPr>
        <w:t>40 ha; 2) „Ловац”, у алувиону Дунава оквирног капацитета </w:t>
      </w:r>
      <w:r>
        <w:rPr>
          <w:color w:val="231F20"/>
          <w:spacing w:val="-4"/>
        </w:rPr>
        <w:t>око </w:t>
      </w:r>
      <w:r>
        <w:rPr>
          <w:color w:val="231F20"/>
        </w:rPr>
        <w:t>100 l/s; „Меминац”, </w:t>
      </w:r>
      <w:r>
        <w:rPr>
          <w:color w:val="231F20"/>
          <w:spacing w:val="-3"/>
        </w:rPr>
        <w:t>које </w:t>
      </w:r>
      <w:r>
        <w:rPr>
          <w:color w:val="231F20"/>
        </w:rPr>
        <w:t>се сада не користи, али </w:t>
      </w:r>
      <w:r>
        <w:rPr>
          <w:color w:val="231F20"/>
          <w:spacing w:val="-3"/>
        </w:rPr>
        <w:t>кога </w:t>
      </w:r>
      <w:r>
        <w:rPr>
          <w:color w:val="231F20"/>
        </w:rPr>
        <w:t>и даље треба штитити као потенцијално извориште, јер је могућа његова ревитализација; 3)  „Петка”, </w:t>
      </w:r>
      <w:r>
        <w:rPr>
          <w:color w:val="231F20"/>
          <w:spacing w:val="-3"/>
        </w:rPr>
        <w:t>које  </w:t>
      </w:r>
      <w:r>
        <w:rPr>
          <w:color w:val="231F20"/>
        </w:rPr>
        <w:t>је сада угрожено радовима, </w:t>
      </w:r>
      <w:r>
        <w:rPr>
          <w:color w:val="231F20"/>
          <w:spacing w:val="30"/>
        </w:rPr>
        <w:t> </w:t>
      </w:r>
      <w:r>
        <w:rPr>
          <w:color w:val="231F20"/>
        </w:rPr>
        <w:t>али</w:t>
      </w:r>
    </w:p>
    <w:p>
      <w:pPr>
        <w:pStyle w:val="BodyText"/>
        <w:spacing w:line="204" w:lineRule="exact" w:before="72"/>
        <w:ind w:left="242"/>
        <w:jc w:val="left"/>
      </w:pPr>
      <w:r>
        <w:rPr/>
        <w:br w:type="column"/>
      </w:r>
      <w:r>
        <w:rPr>
          <w:color w:val="231F20"/>
        </w:rPr>
        <w:t>које и даље треба штитити, као потенцијално важно извориште;</w:t>
      </w:r>
    </w:p>
    <w:p>
      <w:pPr>
        <w:pStyle w:val="ListParagraph"/>
        <w:numPr>
          <w:ilvl w:val="0"/>
          <w:numId w:val="32"/>
        </w:numPr>
        <w:tabs>
          <w:tab w:pos="452" w:val="left" w:leader="none"/>
        </w:tabs>
        <w:spacing w:line="232" w:lineRule="auto" w:before="3" w:after="0"/>
        <w:ind w:left="241" w:right="127" w:firstLine="0"/>
        <w:jc w:val="both"/>
        <w:rPr>
          <w:sz w:val="18"/>
        </w:rPr>
      </w:pPr>
      <w:r>
        <w:rPr>
          <w:color w:val="231F20"/>
          <w:sz w:val="18"/>
        </w:rPr>
        <w:t>„Забела”, капацитета </w:t>
      </w:r>
      <w:r>
        <w:rPr>
          <w:color w:val="231F20"/>
          <w:spacing w:val="-4"/>
          <w:sz w:val="18"/>
        </w:rPr>
        <w:t>око </w:t>
      </w:r>
      <w:r>
        <w:rPr>
          <w:color w:val="231F20"/>
          <w:sz w:val="18"/>
        </w:rPr>
        <w:t>30 l/s, </w:t>
      </w:r>
      <w:r>
        <w:rPr>
          <w:color w:val="231F20"/>
          <w:spacing w:val="-3"/>
          <w:sz w:val="18"/>
        </w:rPr>
        <w:t>које  </w:t>
      </w:r>
      <w:r>
        <w:rPr>
          <w:color w:val="231F20"/>
          <w:sz w:val="18"/>
        </w:rPr>
        <w:t>ће се временом укључити у обједињени систем ПВ; и 5) „Јагодица”, на горњем </w:t>
      </w:r>
      <w:r>
        <w:rPr>
          <w:color w:val="231F20"/>
          <w:spacing w:val="-4"/>
          <w:sz w:val="18"/>
        </w:rPr>
        <w:t>Костолачком острву. </w:t>
      </w:r>
      <w:r>
        <w:rPr>
          <w:color w:val="231F20"/>
          <w:sz w:val="18"/>
        </w:rPr>
        <w:t>С обзиром на потенцијалне резерве угља, нафте и гаса на </w:t>
      </w:r>
      <w:r>
        <w:rPr>
          <w:color w:val="231F20"/>
          <w:spacing w:val="-3"/>
          <w:sz w:val="18"/>
        </w:rPr>
        <w:t>Горњем </w:t>
      </w:r>
      <w:r>
        <w:rPr>
          <w:color w:val="231F20"/>
          <w:spacing w:val="-4"/>
          <w:sz w:val="18"/>
        </w:rPr>
        <w:t>Костолачком </w:t>
      </w:r>
      <w:r>
        <w:rPr>
          <w:color w:val="231F20"/>
          <w:sz w:val="18"/>
        </w:rPr>
        <w:t>острву </w:t>
      </w:r>
      <w:r>
        <w:rPr>
          <w:color w:val="231F20"/>
          <w:spacing w:val="-3"/>
          <w:sz w:val="18"/>
        </w:rPr>
        <w:t>приликом </w:t>
      </w:r>
      <w:r>
        <w:rPr>
          <w:color w:val="231F20"/>
          <w:sz w:val="18"/>
        </w:rPr>
        <w:t>избора локације за објекте ППВ-а, резервоара и пумпне станице за коришћење воде из изво- ришта „Јагодица” обезбедити сарадњу са органима надлежним за рударство и</w:t>
      </w:r>
      <w:r>
        <w:rPr>
          <w:color w:val="231F20"/>
          <w:spacing w:val="-2"/>
          <w:sz w:val="18"/>
        </w:rPr>
        <w:t> </w:t>
      </w:r>
      <w:r>
        <w:rPr>
          <w:color w:val="231F20"/>
          <w:spacing w:val="-3"/>
          <w:sz w:val="18"/>
        </w:rPr>
        <w:t>енергетику.</w:t>
      </w:r>
    </w:p>
    <w:p>
      <w:pPr>
        <w:pStyle w:val="BodyText"/>
        <w:spacing w:line="232" w:lineRule="auto" w:before="6"/>
        <w:ind w:left="241" w:right="127" w:firstLine="396"/>
      </w:pPr>
      <w:r>
        <w:rPr>
          <w:color w:val="231F20"/>
        </w:rPr>
        <w:t>Треба имати у виду и могућност коришћења релативно ве- ликих </w:t>
      </w:r>
      <w:r>
        <w:rPr>
          <w:color w:val="231F20"/>
          <w:spacing w:val="-3"/>
        </w:rPr>
        <w:t>количина </w:t>
      </w:r>
      <w:r>
        <w:rPr>
          <w:color w:val="231F20"/>
        </w:rPr>
        <w:t>вода </w:t>
      </w:r>
      <w:r>
        <w:rPr>
          <w:color w:val="231F20"/>
          <w:spacing w:val="-3"/>
        </w:rPr>
        <w:t>које </w:t>
      </w:r>
      <w:r>
        <w:rPr>
          <w:color w:val="231F20"/>
        </w:rPr>
        <w:t>се из дренажних бунара, распоређених по ободу </w:t>
      </w:r>
      <w:r>
        <w:rPr>
          <w:color w:val="231F20"/>
          <w:spacing w:val="-3"/>
        </w:rPr>
        <w:t>копа, </w:t>
      </w:r>
      <w:r>
        <w:rPr>
          <w:color w:val="231F20"/>
        </w:rPr>
        <w:t>испумпавају из подземних слојева и упуштају у ре- цидијент водотока, уз </w:t>
      </w:r>
      <w:r>
        <w:rPr>
          <w:color w:val="231F20"/>
          <w:spacing w:val="-2"/>
        </w:rPr>
        <w:t>неопходне </w:t>
      </w:r>
      <w:r>
        <w:rPr>
          <w:color w:val="231F20"/>
        </w:rPr>
        <w:t>провере квалитета вода, услова коришћења и начина управљања извориштем и контроле санитар- но-хигијенских параметара.</w:t>
      </w:r>
    </w:p>
    <w:p>
      <w:pPr>
        <w:pStyle w:val="BodyText"/>
        <w:spacing w:line="232" w:lineRule="auto" w:before="5"/>
        <w:ind w:left="240" w:right="126" w:firstLine="397"/>
      </w:pPr>
      <w:r>
        <w:rPr>
          <w:color w:val="231F20"/>
        </w:rPr>
        <w:t>Пожаревачки </w:t>
      </w:r>
      <w:r>
        <w:rPr>
          <w:color w:val="231F20"/>
          <w:spacing w:val="-3"/>
        </w:rPr>
        <w:t>водовод </w:t>
      </w:r>
      <w:r>
        <w:rPr>
          <w:color w:val="231F20"/>
        </w:rPr>
        <w:t>имаће прстенасту структуру у језгру </w:t>
      </w:r>
      <w:r>
        <w:rPr>
          <w:color w:val="231F20"/>
          <w:spacing w:val="-3"/>
        </w:rPr>
        <w:t>конзумног </w:t>
      </w:r>
      <w:r>
        <w:rPr>
          <w:color w:val="231F20"/>
        </w:rPr>
        <w:t>подручја, са извориштима </w:t>
      </w:r>
      <w:r>
        <w:rPr>
          <w:color w:val="231F20"/>
          <w:spacing w:val="-3"/>
        </w:rPr>
        <w:t>која </w:t>
      </w:r>
      <w:r>
        <w:rPr>
          <w:color w:val="231F20"/>
        </w:rPr>
        <w:t>се налазе на крајевима система и са магистралним крацима према насељима по </w:t>
      </w:r>
      <w:r>
        <w:rPr>
          <w:color w:val="231F20"/>
          <w:spacing w:val="-4"/>
        </w:rPr>
        <w:t>ободу. </w:t>
      </w:r>
      <w:r>
        <w:rPr>
          <w:color w:val="231F20"/>
        </w:rPr>
        <w:t>Системом резервоара у оквиру основног водоводног прстена и на главним магистрални одвајцима, оствариваће се добра </w:t>
      </w:r>
      <w:r>
        <w:rPr>
          <w:color w:val="231F20"/>
          <w:spacing w:val="-3"/>
        </w:rPr>
        <w:t>хидраулич- </w:t>
      </w:r>
      <w:r>
        <w:rPr>
          <w:color w:val="231F20"/>
        </w:rPr>
        <w:t>ка стабилност система. Треба остварити укупну запремину резер- воара такву да специфична запремина по кориснику не </w:t>
      </w:r>
      <w:r>
        <w:rPr>
          <w:color w:val="231F20"/>
          <w:spacing w:val="-5"/>
        </w:rPr>
        <w:t>буде </w:t>
      </w:r>
      <w:r>
        <w:rPr>
          <w:color w:val="231F20"/>
        </w:rPr>
        <w:t>мања </w:t>
      </w:r>
      <w:r>
        <w:rPr>
          <w:color w:val="231F20"/>
          <w:spacing w:val="-3"/>
        </w:rPr>
        <w:t>од </w:t>
      </w:r>
      <w:r>
        <w:rPr>
          <w:color w:val="231F20"/>
        </w:rPr>
        <w:t>300 l. Обновом мреже Пожаревачки </w:t>
      </w:r>
      <w:r>
        <w:rPr>
          <w:color w:val="231F20"/>
          <w:spacing w:val="-3"/>
        </w:rPr>
        <w:t>водовод </w:t>
      </w:r>
      <w:r>
        <w:rPr>
          <w:color w:val="231F20"/>
        </w:rPr>
        <w:t>треба да губитке сведе на мање </w:t>
      </w:r>
      <w:r>
        <w:rPr>
          <w:color w:val="231F20"/>
          <w:spacing w:val="-3"/>
        </w:rPr>
        <w:t>од </w:t>
      </w:r>
      <w:r>
        <w:rPr>
          <w:color w:val="231F20"/>
        </w:rPr>
        <w:t>20% и да специфичну потрошњу доведе у гра- нице не веће </w:t>
      </w:r>
      <w:r>
        <w:rPr>
          <w:color w:val="231F20"/>
          <w:spacing w:val="-3"/>
        </w:rPr>
        <w:t>од </w:t>
      </w:r>
      <w:r>
        <w:rPr>
          <w:color w:val="231F20"/>
          <w:spacing w:val="-4"/>
        </w:rPr>
        <w:t>око </w:t>
      </w:r>
      <w:r>
        <w:rPr>
          <w:color w:val="231F20"/>
        </w:rPr>
        <w:t>250 l/корисник∙дан. </w:t>
      </w:r>
      <w:r>
        <w:rPr>
          <w:color w:val="231F20"/>
          <w:spacing w:val="-8"/>
        </w:rPr>
        <w:t>Уз </w:t>
      </w:r>
      <w:r>
        <w:rPr>
          <w:color w:val="231F20"/>
        </w:rPr>
        <w:t>такве услове, </w:t>
      </w:r>
      <w:r>
        <w:rPr>
          <w:color w:val="231F20"/>
          <w:spacing w:val="-3"/>
        </w:rPr>
        <w:t>који </w:t>
      </w:r>
      <w:r>
        <w:rPr>
          <w:color w:val="231F20"/>
        </w:rPr>
        <w:t>су реални и оствариви </w:t>
      </w:r>
      <w:r>
        <w:rPr>
          <w:color w:val="231F20"/>
          <w:spacing w:val="-3"/>
        </w:rPr>
        <w:t>након </w:t>
      </w:r>
      <w:r>
        <w:rPr>
          <w:color w:val="231F20"/>
        </w:rPr>
        <w:t>реконструкција система, али и </w:t>
      </w:r>
      <w:r>
        <w:rPr>
          <w:color w:val="231F20"/>
          <w:spacing w:val="-3"/>
        </w:rPr>
        <w:t>након </w:t>
      </w:r>
      <w:r>
        <w:rPr>
          <w:color w:val="231F20"/>
        </w:rPr>
        <w:t>увођења реалне цене воде</w:t>
      </w:r>
      <w:r>
        <w:rPr>
          <w:color w:val="231F20"/>
          <w:position w:val="6"/>
          <w:sz w:val="10"/>
        </w:rPr>
        <w:t>13</w:t>
      </w:r>
      <w:r>
        <w:rPr>
          <w:color w:val="231F20"/>
        </w:rPr>
        <w:t>, оцењује се да ПВ може и </w:t>
      </w:r>
      <w:r>
        <w:rPr>
          <w:color w:val="231F20"/>
          <w:spacing w:val="-4"/>
        </w:rPr>
        <w:t>око </w:t>
      </w:r>
      <w:r>
        <w:rPr>
          <w:color w:val="231F20"/>
        </w:rPr>
        <w:t>2022. </w:t>
      </w:r>
      <w:r>
        <w:rPr>
          <w:color w:val="231F20"/>
          <w:spacing w:val="-3"/>
        </w:rPr>
        <w:t>године </w:t>
      </w:r>
      <w:r>
        <w:rPr>
          <w:color w:val="231F20"/>
        </w:rPr>
        <w:t>да са захтеваном </w:t>
      </w:r>
      <w:r>
        <w:rPr>
          <w:color w:val="231F20"/>
          <w:spacing w:val="-3"/>
        </w:rPr>
        <w:t>високом </w:t>
      </w:r>
      <w:r>
        <w:rPr>
          <w:color w:val="231F20"/>
        </w:rPr>
        <w:t>обезбеђеношћу подмирује потре- бе тог важног водоводног система искључиво из подземних вода. Очекује се да би у </w:t>
      </w:r>
      <w:r>
        <w:rPr>
          <w:color w:val="231F20"/>
          <w:spacing w:val="-3"/>
        </w:rPr>
        <w:t>том </w:t>
      </w:r>
      <w:r>
        <w:rPr>
          <w:color w:val="231F20"/>
        </w:rPr>
        <w:t>временском пресеку захтев </w:t>
      </w:r>
      <w:r>
        <w:rPr>
          <w:color w:val="231F20"/>
          <w:spacing w:val="-3"/>
        </w:rPr>
        <w:t>конзума </w:t>
      </w:r>
      <w:r>
        <w:rPr>
          <w:color w:val="231F20"/>
        </w:rPr>
        <w:t>у дану максималне потрошње био не већи </w:t>
      </w:r>
      <w:r>
        <w:rPr>
          <w:color w:val="231F20"/>
          <w:spacing w:val="-3"/>
        </w:rPr>
        <w:t>од </w:t>
      </w:r>
      <w:r>
        <w:rPr>
          <w:color w:val="231F20"/>
        </w:rPr>
        <w:t>560 l/s.</w:t>
      </w:r>
    </w:p>
    <w:p>
      <w:pPr>
        <w:pStyle w:val="BodyText"/>
        <w:spacing w:line="232" w:lineRule="auto" w:before="8"/>
        <w:ind w:left="240" w:right="127" w:firstLine="397"/>
      </w:pPr>
      <w:r>
        <w:rPr>
          <w:color w:val="231F20"/>
        </w:rPr>
        <w:t>За развој Пожаревачког водовода (ПВ) важни су и следећи услови: 1) уколико се на ПВ прикључује насеље које је до тада имало властити локални водовод, чије се извориште коповима физички не уништава, то извориште треба сачувати за коришће- ње у евентуалним хаваријским ситуацијама; 2) сви потрошачи у систему треба да имају своје водомере; и 3) мерним системом у чворовима и гранама система треба систем учинити хидраулички осмотривим, како би се обезбедило стално праћење потрошње у појединим деловима система и губици у мрежи.</w:t>
      </w:r>
    </w:p>
    <w:p>
      <w:pPr>
        <w:pStyle w:val="BodyText"/>
        <w:spacing w:before="172"/>
        <w:ind w:left="1405"/>
        <w:jc w:val="left"/>
      </w:pPr>
      <w:r>
        <w:rPr>
          <w:color w:val="231F20"/>
        </w:rPr>
        <w:t>Каналисања насеља и квалитет вода</w:t>
      </w:r>
    </w:p>
    <w:p>
      <w:pPr>
        <w:pStyle w:val="BodyText"/>
        <w:spacing w:before="6"/>
        <w:ind w:left="0"/>
        <w:jc w:val="left"/>
        <w:rPr>
          <w:sz w:val="17"/>
        </w:rPr>
      </w:pPr>
    </w:p>
    <w:p>
      <w:pPr>
        <w:pStyle w:val="BodyText"/>
        <w:spacing w:line="232" w:lineRule="auto"/>
        <w:ind w:left="241" w:right="127" w:firstLine="397"/>
      </w:pPr>
      <w:r>
        <w:rPr>
          <w:color w:val="231F20"/>
        </w:rPr>
        <w:t>Полазишта су: 1) принцип стриктне сепарације канализаци- ја; 2) реконструкција и проширење обухвата канализације за от- падне воде градског насеља Пожаревац и гравитирајућих насеља;</w:t>
      </w:r>
    </w:p>
    <w:p>
      <w:pPr>
        <w:pStyle w:val="BodyText"/>
        <w:spacing w:line="202" w:lineRule="exact"/>
        <w:ind w:left="241"/>
        <w:jc w:val="left"/>
      </w:pPr>
      <w:r>
        <w:rPr>
          <w:color w:val="231F20"/>
        </w:rPr>
        <w:t>3) проширење кишне канализације; 4) уређења канала Пожаревац</w:t>
      </w:r>
    </w:p>
    <w:p>
      <w:pPr>
        <w:pStyle w:val="BodyText"/>
        <w:spacing w:line="232" w:lineRule="auto" w:before="3"/>
        <w:ind w:left="241" w:right="126"/>
      </w:pPr>
      <w:r>
        <w:rPr>
          <w:color w:val="231F20"/>
          <w:w w:val="66"/>
        </w:rPr>
        <w:t> </w:t>
      </w:r>
      <w:r>
        <w:rPr>
          <w:color w:val="231F20"/>
        </w:rPr>
        <w:t>– Брежане као главног одводника; 5) реконструкција и прошире- ње ППОВ, са механичким и биолошким пречишћавањем; 6) ре- конструкција</w:t>
      </w:r>
      <w:r>
        <w:rPr>
          <w:color w:val="231F20"/>
          <w:spacing w:val="-7"/>
        </w:rPr>
        <w:t> </w:t>
      </w:r>
      <w:r>
        <w:rPr>
          <w:color w:val="231F20"/>
        </w:rPr>
        <w:t>и</w:t>
      </w:r>
      <w:r>
        <w:rPr>
          <w:color w:val="231F20"/>
          <w:spacing w:val="-7"/>
        </w:rPr>
        <w:t> </w:t>
      </w:r>
      <w:r>
        <w:rPr>
          <w:color w:val="231F20"/>
        </w:rPr>
        <w:t>проширење</w:t>
      </w:r>
      <w:r>
        <w:rPr>
          <w:color w:val="231F20"/>
          <w:spacing w:val="-7"/>
        </w:rPr>
        <w:t> </w:t>
      </w:r>
      <w:r>
        <w:rPr>
          <w:color w:val="231F20"/>
        </w:rPr>
        <w:t>обухвата</w:t>
      </w:r>
      <w:r>
        <w:rPr>
          <w:color w:val="231F20"/>
          <w:spacing w:val="-7"/>
        </w:rPr>
        <w:t> </w:t>
      </w:r>
      <w:r>
        <w:rPr>
          <w:color w:val="231F20"/>
        </w:rPr>
        <w:t>канализације</w:t>
      </w:r>
      <w:r>
        <w:rPr>
          <w:color w:val="231F20"/>
          <w:spacing w:val="-7"/>
        </w:rPr>
        <w:t> </w:t>
      </w:r>
      <w:r>
        <w:rPr>
          <w:color w:val="231F20"/>
        </w:rPr>
        <w:t>за</w:t>
      </w:r>
      <w:r>
        <w:rPr>
          <w:color w:val="231F20"/>
          <w:spacing w:val="-7"/>
        </w:rPr>
        <w:t> </w:t>
      </w:r>
      <w:r>
        <w:rPr>
          <w:color w:val="231F20"/>
        </w:rPr>
        <w:t>отпадне</w:t>
      </w:r>
      <w:r>
        <w:rPr>
          <w:color w:val="231F20"/>
          <w:spacing w:val="-7"/>
        </w:rPr>
        <w:t> </w:t>
      </w:r>
      <w:r>
        <w:rPr>
          <w:color w:val="231F20"/>
        </w:rPr>
        <w:t>воде насеља Костолац и гравитирајућих насеља Кленовник и Петка; 7) реализација ППОВ Костолац на планираном месту крај канала за одвођење</w:t>
      </w:r>
      <w:r>
        <w:rPr>
          <w:color w:val="231F20"/>
          <w:spacing w:val="-4"/>
        </w:rPr>
        <w:t> </w:t>
      </w:r>
      <w:r>
        <w:rPr>
          <w:color w:val="231F20"/>
        </w:rPr>
        <w:t>топле</w:t>
      </w:r>
      <w:r>
        <w:rPr>
          <w:color w:val="231F20"/>
          <w:spacing w:val="-4"/>
        </w:rPr>
        <w:t> </w:t>
      </w:r>
      <w:r>
        <w:rPr>
          <w:color w:val="231F20"/>
        </w:rPr>
        <w:t>воде</w:t>
      </w:r>
      <w:r>
        <w:rPr>
          <w:color w:val="231F20"/>
          <w:spacing w:val="-4"/>
        </w:rPr>
        <w:t> </w:t>
      </w:r>
      <w:r>
        <w:rPr>
          <w:color w:val="231F20"/>
        </w:rPr>
        <w:t>из</w:t>
      </w:r>
      <w:r>
        <w:rPr>
          <w:color w:val="231F20"/>
          <w:spacing w:val="-4"/>
        </w:rPr>
        <w:t> </w:t>
      </w:r>
      <w:r>
        <w:rPr>
          <w:color w:val="231F20"/>
        </w:rPr>
        <w:t>ТЕ;</w:t>
      </w:r>
      <w:r>
        <w:rPr>
          <w:color w:val="231F20"/>
          <w:spacing w:val="-4"/>
        </w:rPr>
        <w:t> </w:t>
      </w:r>
      <w:r>
        <w:rPr>
          <w:color w:val="231F20"/>
        </w:rPr>
        <w:t>8)</w:t>
      </w:r>
      <w:r>
        <w:rPr>
          <w:color w:val="231F20"/>
          <w:spacing w:val="-4"/>
        </w:rPr>
        <w:t> </w:t>
      </w:r>
      <w:r>
        <w:rPr>
          <w:color w:val="231F20"/>
        </w:rPr>
        <w:t>предузећа</w:t>
      </w:r>
      <w:r>
        <w:rPr>
          <w:color w:val="231F20"/>
          <w:spacing w:val="-4"/>
        </w:rPr>
        <w:t> </w:t>
      </w:r>
      <w:r>
        <w:rPr>
          <w:color w:val="231F20"/>
        </w:rPr>
        <w:t>из</w:t>
      </w:r>
      <w:r>
        <w:rPr>
          <w:color w:val="231F20"/>
          <w:spacing w:val="-4"/>
        </w:rPr>
        <w:t> </w:t>
      </w:r>
      <w:r>
        <w:rPr>
          <w:color w:val="231F20"/>
        </w:rPr>
        <w:t>индустријске</w:t>
      </w:r>
      <w:r>
        <w:rPr>
          <w:color w:val="231F20"/>
          <w:spacing w:val="-4"/>
        </w:rPr>
        <w:t> </w:t>
      </w:r>
      <w:r>
        <w:rPr>
          <w:color w:val="231F20"/>
        </w:rPr>
        <w:t>зоне</w:t>
      </w:r>
      <w:r>
        <w:rPr>
          <w:color w:val="231F20"/>
          <w:spacing w:val="-4"/>
        </w:rPr>
        <w:t> </w:t>
      </w:r>
      <w:r>
        <w:rPr>
          <w:color w:val="231F20"/>
        </w:rPr>
        <w:t>По- жаревца могу да упуштају отпадне воде у градски </w:t>
      </w:r>
      <w:r>
        <w:rPr>
          <w:color w:val="231F20"/>
          <w:spacing w:val="-3"/>
        </w:rPr>
        <w:t>колектор који </w:t>
      </w:r>
      <w:r>
        <w:rPr>
          <w:color w:val="231F20"/>
        </w:rPr>
        <w:t>води према ППОВ, </w:t>
      </w:r>
      <w:r>
        <w:rPr>
          <w:color w:val="231F20"/>
          <w:spacing w:val="-3"/>
        </w:rPr>
        <w:t>под </w:t>
      </w:r>
      <w:r>
        <w:rPr>
          <w:color w:val="231F20"/>
        </w:rPr>
        <w:t>условом да предтретманом исте доведу до нивоа МДК </w:t>
      </w:r>
      <w:r>
        <w:rPr>
          <w:color w:val="231F20"/>
          <w:spacing w:val="-3"/>
        </w:rPr>
        <w:t>који </w:t>
      </w:r>
      <w:r>
        <w:rPr>
          <w:color w:val="231F20"/>
        </w:rPr>
        <w:t>је прописан Правилником; 9) предузећа </w:t>
      </w:r>
      <w:r>
        <w:rPr>
          <w:color w:val="231F20"/>
          <w:spacing w:val="-3"/>
        </w:rPr>
        <w:t>која </w:t>
      </w:r>
      <w:r>
        <w:rPr>
          <w:color w:val="231F20"/>
        </w:rPr>
        <w:t>про- меном</w:t>
      </w:r>
      <w:r>
        <w:rPr>
          <w:color w:val="231F20"/>
          <w:spacing w:val="-7"/>
        </w:rPr>
        <w:t> </w:t>
      </w:r>
      <w:r>
        <w:rPr>
          <w:color w:val="231F20"/>
        </w:rPr>
        <w:t>пречишћавањем</w:t>
      </w:r>
      <w:r>
        <w:rPr>
          <w:color w:val="231F20"/>
          <w:spacing w:val="-7"/>
        </w:rPr>
        <w:t> </w:t>
      </w:r>
      <w:r>
        <w:rPr>
          <w:color w:val="231F20"/>
        </w:rPr>
        <w:t>отпадних</w:t>
      </w:r>
      <w:r>
        <w:rPr>
          <w:color w:val="231F20"/>
          <w:spacing w:val="-7"/>
        </w:rPr>
        <w:t> </w:t>
      </w:r>
      <w:r>
        <w:rPr>
          <w:color w:val="231F20"/>
        </w:rPr>
        <w:t>вода</w:t>
      </w:r>
      <w:r>
        <w:rPr>
          <w:color w:val="231F20"/>
          <w:spacing w:val="-7"/>
        </w:rPr>
        <w:t> </w:t>
      </w:r>
      <w:r>
        <w:rPr>
          <w:color w:val="231F20"/>
        </w:rPr>
        <w:t>у</w:t>
      </w:r>
      <w:r>
        <w:rPr>
          <w:color w:val="231F20"/>
          <w:spacing w:val="-7"/>
        </w:rPr>
        <w:t> </w:t>
      </w:r>
      <w:r>
        <w:rPr>
          <w:color w:val="231F20"/>
        </w:rPr>
        <w:t>свом</w:t>
      </w:r>
      <w:r>
        <w:rPr>
          <w:color w:val="231F20"/>
          <w:spacing w:val="-7"/>
        </w:rPr>
        <w:t> </w:t>
      </w:r>
      <w:r>
        <w:rPr>
          <w:color w:val="231F20"/>
        </w:rPr>
        <w:t>кругу</w:t>
      </w:r>
      <w:r>
        <w:rPr>
          <w:color w:val="231F20"/>
          <w:spacing w:val="-7"/>
        </w:rPr>
        <w:t> </w:t>
      </w:r>
      <w:r>
        <w:rPr>
          <w:color w:val="231F20"/>
        </w:rPr>
        <w:t>исте</w:t>
      </w:r>
      <w:r>
        <w:rPr>
          <w:color w:val="231F20"/>
          <w:spacing w:val="-7"/>
        </w:rPr>
        <w:t> </w:t>
      </w:r>
      <w:r>
        <w:rPr>
          <w:color w:val="231F20"/>
        </w:rPr>
        <w:t>доведе</w:t>
      </w:r>
      <w:r>
        <w:rPr>
          <w:color w:val="231F20"/>
          <w:spacing w:val="-7"/>
        </w:rPr>
        <w:t> </w:t>
      </w:r>
      <w:r>
        <w:rPr>
          <w:color w:val="231F20"/>
        </w:rPr>
        <w:t>до нивоа МДК </w:t>
      </w:r>
      <w:r>
        <w:rPr>
          <w:color w:val="231F20"/>
          <w:spacing w:val="-3"/>
        </w:rPr>
        <w:t>који </w:t>
      </w:r>
      <w:r>
        <w:rPr>
          <w:color w:val="231F20"/>
        </w:rPr>
        <w:t>је прописан за IIб </w:t>
      </w:r>
      <w:r>
        <w:rPr>
          <w:color w:val="231F20"/>
          <w:spacing w:val="-4"/>
        </w:rPr>
        <w:t>класу, </w:t>
      </w:r>
      <w:r>
        <w:rPr>
          <w:color w:val="231F20"/>
        </w:rPr>
        <w:t>могу пречишћене воде упуштати непосредно у Брежански канал; 10) сеоска насеља, по- себно она </w:t>
      </w:r>
      <w:r>
        <w:rPr>
          <w:color w:val="231F20"/>
          <w:spacing w:val="-3"/>
        </w:rPr>
        <w:t>која </w:t>
      </w:r>
      <w:r>
        <w:rPr>
          <w:color w:val="231F20"/>
        </w:rPr>
        <w:t>се налазе у низу дуж обале Млаве могу реализова- ти</w:t>
      </w:r>
      <w:r>
        <w:rPr>
          <w:color w:val="231F20"/>
          <w:spacing w:val="-7"/>
        </w:rPr>
        <w:t> </w:t>
      </w:r>
      <w:r>
        <w:rPr>
          <w:color w:val="231F20"/>
        </w:rPr>
        <w:t>заједничке</w:t>
      </w:r>
      <w:r>
        <w:rPr>
          <w:color w:val="231F20"/>
          <w:spacing w:val="-7"/>
        </w:rPr>
        <w:t> </w:t>
      </w:r>
      <w:r>
        <w:rPr>
          <w:color w:val="231F20"/>
        </w:rPr>
        <w:t>групне</w:t>
      </w:r>
      <w:r>
        <w:rPr>
          <w:color w:val="231F20"/>
          <w:spacing w:val="-7"/>
        </w:rPr>
        <w:t> </w:t>
      </w:r>
      <w:r>
        <w:rPr>
          <w:color w:val="231F20"/>
        </w:rPr>
        <w:t>канализационе</w:t>
      </w:r>
      <w:r>
        <w:rPr>
          <w:color w:val="231F20"/>
          <w:spacing w:val="-7"/>
        </w:rPr>
        <w:t> </w:t>
      </w:r>
      <w:r>
        <w:rPr>
          <w:color w:val="231F20"/>
        </w:rPr>
        <w:t>системе</w:t>
      </w:r>
      <w:r>
        <w:rPr>
          <w:color w:val="231F20"/>
          <w:spacing w:val="-7"/>
        </w:rPr>
        <w:t> </w:t>
      </w:r>
      <w:r>
        <w:rPr>
          <w:color w:val="231F20"/>
        </w:rPr>
        <w:t>са</w:t>
      </w:r>
      <w:r>
        <w:rPr>
          <w:color w:val="231F20"/>
          <w:spacing w:val="-7"/>
        </w:rPr>
        <w:t> </w:t>
      </w:r>
      <w:r>
        <w:rPr>
          <w:color w:val="231F20"/>
        </w:rPr>
        <w:t>ППОВ</w:t>
      </w:r>
      <w:r>
        <w:rPr>
          <w:color w:val="231F20"/>
          <w:spacing w:val="-7"/>
        </w:rPr>
        <w:t> </w:t>
      </w:r>
      <w:r>
        <w:rPr>
          <w:color w:val="231F20"/>
          <w:spacing w:val="-3"/>
        </w:rPr>
        <w:t>компактног </w:t>
      </w:r>
      <w:r>
        <w:rPr>
          <w:color w:val="231F20"/>
        </w:rPr>
        <w:t>типа;</w:t>
      </w:r>
      <w:r>
        <w:rPr>
          <w:color w:val="231F20"/>
          <w:spacing w:val="-4"/>
        </w:rPr>
        <w:t> </w:t>
      </w:r>
      <w:r>
        <w:rPr>
          <w:color w:val="231F20"/>
        </w:rPr>
        <w:t>и</w:t>
      </w:r>
      <w:r>
        <w:rPr>
          <w:color w:val="231F20"/>
          <w:spacing w:val="-4"/>
        </w:rPr>
        <w:t> </w:t>
      </w:r>
      <w:r>
        <w:rPr>
          <w:color w:val="231F20"/>
          <w:spacing w:val="-3"/>
        </w:rPr>
        <w:t>11)</w:t>
      </w:r>
      <w:r>
        <w:rPr>
          <w:color w:val="231F20"/>
          <w:spacing w:val="-4"/>
        </w:rPr>
        <w:t> </w:t>
      </w:r>
      <w:r>
        <w:rPr>
          <w:color w:val="231F20"/>
        </w:rPr>
        <w:t>домаћинства</w:t>
      </w:r>
      <w:r>
        <w:rPr>
          <w:color w:val="231F20"/>
          <w:spacing w:val="-4"/>
        </w:rPr>
        <w:t> </w:t>
      </w:r>
      <w:r>
        <w:rPr>
          <w:color w:val="231F20"/>
          <w:spacing w:val="-3"/>
        </w:rPr>
        <w:t>која</w:t>
      </w:r>
      <w:r>
        <w:rPr>
          <w:color w:val="231F20"/>
          <w:spacing w:val="-4"/>
        </w:rPr>
        <w:t> </w:t>
      </w:r>
      <w:r>
        <w:rPr>
          <w:color w:val="231F20"/>
        </w:rPr>
        <w:t>због</w:t>
      </w:r>
      <w:r>
        <w:rPr>
          <w:color w:val="231F20"/>
          <w:spacing w:val="-4"/>
        </w:rPr>
        <w:t> </w:t>
      </w:r>
      <w:r>
        <w:rPr>
          <w:color w:val="231F20"/>
        </w:rPr>
        <w:t>свог</w:t>
      </w:r>
      <w:r>
        <w:rPr>
          <w:color w:val="231F20"/>
          <w:spacing w:val="-4"/>
        </w:rPr>
        <w:t> </w:t>
      </w:r>
      <w:r>
        <w:rPr>
          <w:color w:val="231F20"/>
        </w:rPr>
        <w:t>положаја</w:t>
      </w:r>
      <w:r>
        <w:rPr>
          <w:color w:val="231F20"/>
          <w:spacing w:val="-4"/>
        </w:rPr>
        <w:t> </w:t>
      </w:r>
      <w:r>
        <w:rPr>
          <w:color w:val="231F20"/>
        </w:rPr>
        <w:t>не</w:t>
      </w:r>
      <w:r>
        <w:rPr>
          <w:color w:val="231F20"/>
          <w:spacing w:val="-4"/>
        </w:rPr>
        <w:t> </w:t>
      </w:r>
      <w:r>
        <w:rPr>
          <w:color w:val="231F20"/>
        </w:rPr>
        <w:t>могу</w:t>
      </w:r>
      <w:r>
        <w:rPr>
          <w:color w:val="231F20"/>
          <w:spacing w:val="-4"/>
        </w:rPr>
        <w:t> </w:t>
      </w:r>
      <w:r>
        <w:rPr>
          <w:color w:val="231F20"/>
        </w:rPr>
        <w:t>да</w:t>
      </w:r>
      <w:r>
        <w:rPr>
          <w:color w:val="231F20"/>
          <w:spacing w:val="-4"/>
        </w:rPr>
        <w:t> </w:t>
      </w:r>
      <w:r>
        <w:rPr>
          <w:color w:val="231F20"/>
        </w:rPr>
        <w:t>се</w:t>
      </w:r>
      <w:r>
        <w:rPr>
          <w:color w:val="231F20"/>
          <w:spacing w:val="-4"/>
        </w:rPr>
        <w:t> </w:t>
      </w:r>
      <w:r>
        <w:rPr>
          <w:color w:val="231F20"/>
        </w:rPr>
        <w:t>при- кључе на канализационе системе обавезна су да проблем отпад- них вода реше прописним вододрживим септичким</w:t>
      </w:r>
      <w:r>
        <w:rPr>
          <w:color w:val="231F20"/>
          <w:spacing w:val="-16"/>
        </w:rPr>
        <w:t> </w:t>
      </w:r>
      <w:r>
        <w:rPr>
          <w:color w:val="231F20"/>
        </w:rPr>
        <w:t>јамама.</w:t>
      </w:r>
    </w:p>
    <w:p>
      <w:pPr>
        <w:pStyle w:val="BodyText"/>
        <w:spacing w:before="179"/>
        <w:ind w:left="1703"/>
        <w:jc w:val="left"/>
      </w:pPr>
      <w:r>
        <w:rPr>
          <w:color w:val="231F20"/>
        </w:rPr>
        <w:t>Вода за технолошке потребе</w:t>
      </w:r>
    </w:p>
    <w:p>
      <w:pPr>
        <w:pStyle w:val="BodyText"/>
        <w:spacing w:before="5"/>
        <w:ind w:left="0"/>
        <w:jc w:val="left"/>
        <w:rPr>
          <w:sz w:val="17"/>
        </w:rPr>
      </w:pPr>
    </w:p>
    <w:p>
      <w:pPr>
        <w:pStyle w:val="BodyText"/>
        <w:spacing w:line="232" w:lineRule="auto"/>
        <w:ind w:left="241" w:right="127" w:firstLine="397"/>
      </w:pPr>
      <w:r>
        <w:rPr>
          <w:color w:val="231F20"/>
        </w:rPr>
        <w:t>Начин снабдевања </w:t>
      </w:r>
      <w:r>
        <w:rPr>
          <w:color w:val="231F20"/>
          <w:spacing w:val="-3"/>
        </w:rPr>
        <w:t>водом </w:t>
      </w:r>
      <w:r>
        <w:rPr>
          <w:color w:val="231F20"/>
        </w:rPr>
        <w:t>технолошких корисника (термое- лектрана и индустрије) прописан је у ППРС: За те потребе вода  се</w:t>
      </w:r>
      <w:r>
        <w:rPr>
          <w:color w:val="231F20"/>
          <w:spacing w:val="11"/>
        </w:rPr>
        <w:t> </w:t>
      </w:r>
      <w:r>
        <w:rPr>
          <w:color w:val="231F20"/>
        </w:rPr>
        <w:t>захвата</w:t>
      </w:r>
      <w:r>
        <w:rPr>
          <w:color w:val="231F20"/>
          <w:spacing w:val="11"/>
        </w:rPr>
        <w:t> </w:t>
      </w:r>
      <w:r>
        <w:rPr>
          <w:color w:val="231F20"/>
        </w:rPr>
        <w:t>из</w:t>
      </w:r>
      <w:r>
        <w:rPr>
          <w:color w:val="231F20"/>
          <w:spacing w:val="11"/>
        </w:rPr>
        <w:t> </w:t>
      </w:r>
      <w:r>
        <w:rPr>
          <w:color w:val="231F20"/>
        </w:rPr>
        <w:t>речних</w:t>
      </w:r>
      <w:r>
        <w:rPr>
          <w:color w:val="231F20"/>
          <w:spacing w:val="11"/>
        </w:rPr>
        <w:t> </w:t>
      </w:r>
      <w:r>
        <w:rPr>
          <w:color w:val="231F20"/>
        </w:rPr>
        <w:t>система</w:t>
      </w:r>
      <w:r>
        <w:rPr>
          <w:color w:val="231F20"/>
          <w:spacing w:val="11"/>
        </w:rPr>
        <w:t> </w:t>
      </w:r>
      <w:r>
        <w:rPr>
          <w:color w:val="231F20"/>
        </w:rPr>
        <w:t>и</w:t>
      </w:r>
      <w:r>
        <w:rPr>
          <w:color w:val="231F20"/>
          <w:spacing w:val="11"/>
        </w:rPr>
        <w:t> </w:t>
      </w:r>
      <w:r>
        <w:rPr>
          <w:color w:val="231F20"/>
        </w:rPr>
        <w:t>за</w:t>
      </w:r>
      <w:r>
        <w:rPr>
          <w:color w:val="231F20"/>
          <w:spacing w:val="11"/>
        </w:rPr>
        <w:t> </w:t>
      </w:r>
      <w:r>
        <w:rPr>
          <w:color w:val="231F20"/>
        </w:rPr>
        <w:t>ту</w:t>
      </w:r>
      <w:r>
        <w:rPr>
          <w:color w:val="231F20"/>
          <w:spacing w:val="11"/>
        </w:rPr>
        <w:t> </w:t>
      </w:r>
      <w:r>
        <w:rPr>
          <w:color w:val="231F20"/>
        </w:rPr>
        <w:t>сврху</w:t>
      </w:r>
      <w:r>
        <w:rPr>
          <w:color w:val="231F20"/>
          <w:spacing w:val="11"/>
        </w:rPr>
        <w:t> </w:t>
      </w:r>
      <w:r>
        <w:rPr>
          <w:color w:val="231F20"/>
        </w:rPr>
        <w:t>се</w:t>
      </w:r>
      <w:r>
        <w:rPr>
          <w:color w:val="231F20"/>
          <w:spacing w:val="11"/>
        </w:rPr>
        <w:t> </w:t>
      </w:r>
      <w:r>
        <w:rPr>
          <w:color w:val="231F20"/>
        </w:rPr>
        <w:t>не</w:t>
      </w:r>
      <w:r>
        <w:rPr>
          <w:color w:val="231F20"/>
          <w:spacing w:val="11"/>
        </w:rPr>
        <w:t> </w:t>
      </w:r>
      <w:r>
        <w:rPr>
          <w:color w:val="231F20"/>
        </w:rPr>
        <w:t>могу</w:t>
      </w:r>
      <w:r>
        <w:rPr>
          <w:color w:val="231F20"/>
          <w:spacing w:val="11"/>
        </w:rPr>
        <w:t> </w:t>
      </w:r>
      <w:r>
        <w:rPr>
          <w:color w:val="231F20"/>
        </w:rPr>
        <w:t>користити</w:t>
      </w:r>
    </w:p>
    <w:p>
      <w:pPr>
        <w:spacing w:line="156" w:lineRule="exact" w:before="0"/>
        <w:ind w:left="240" w:right="0" w:firstLine="0"/>
        <w:jc w:val="left"/>
        <w:rPr>
          <w:sz w:val="14"/>
        </w:rPr>
      </w:pPr>
      <w:r>
        <w:rPr>
          <w:color w:val="231F20"/>
          <w:w w:val="66"/>
          <w:sz w:val="14"/>
        </w:rPr>
        <w:t> </w:t>
      </w:r>
      <w:r>
        <w:rPr>
          <w:color w:val="231F20"/>
          <w:w w:val="75"/>
          <w:sz w:val="14"/>
        </w:rPr>
        <w:t>– – – – – – – – – – – – – –</w:t>
      </w:r>
    </w:p>
    <w:p>
      <w:pPr>
        <w:pStyle w:val="ListParagraph"/>
        <w:numPr>
          <w:ilvl w:val="0"/>
          <w:numId w:val="23"/>
        </w:numPr>
        <w:tabs>
          <w:tab w:pos="525" w:val="left" w:leader="none"/>
        </w:tabs>
        <w:spacing w:line="240" w:lineRule="auto" w:before="1" w:after="0"/>
        <w:ind w:left="524" w:right="128" w:hanging="284"/>
        <w:jc w:val="both"/>
        <w:rPr>
          <w:sz w:val="14"/>
        </w:rPr>
      </w:pPr>
      <w:r>
        <w:rPr>
          <w:color w:val="231F20"/>
          <w:sz w:val="14"/>
        </w:rPr>
        <w:t>Реална цена воде је обавезујући услов, без </w:t>
      </w:r>
      <w:r>
        <w:rPr>
          <w:color w:val="231F20"/>
          <w:spacing w:val="-3"/>
          <w:sz w:val="14"/>
        </w:rPr>
        <w:t>кога </w:t>
      </w:r>
      <w:r>
        <w:rPr>
          <w:color w:val="231F20"/>
          <w:sz w:val="14"/>
        </w:rPr>
        <w:t>се не могу остварити циљни зах- теви у домену снабдевања насеља водом. Та цена подразумева да се њоме по- кривају сви трошкови просте репродукције, трошкови заштите изворишта, као  и </w:t>
      </w:r>
      <w:r>
        <w:rPr>
          <w:color w:val="231F20"/>
          <w:spacing w:val="-3"/>
          <w:sz w:val="14"/>
        </w:rPr>
        <w:t>око </w:t>
      </w:r>
      <w:r>
        <w:rPr>
          <w:color w:val="231F20"/>
          <w:sz w:val="14"/>
        </w:rPr>
        <w:t>30% </w:t>
      </w:r>
      <w:r>
        <w:rPr>
          <w:color w:val="231F20"/>
          <w:spacing w:val="-3"/>
          <w:sz w:val="14"/>
        </w:rPr>
        <w:t>од </w:t>
      </w:r>
      <w:r>
        <w:rPr>
          <w:color w:val="231F20"/>
          <w:sz w:val="14"/>
        </w:rPr>
        <w:t>трошкова проширене репродукције, </w:t>
      </w:r>
      <w:r>
        <w:rPr>
          <w:color w:val="231F20"/>
          <w:spacing w:val="-3"/>
          <w:sz w:val="14"/>
        </w:rPr>
        <w:t>како </w:t>
      </w:r>
      <w:r>
        <w:rPr>
          <w:color w:val="231F20"/>
          <w:sz w:val="14"/>
        </w:rPr>
        <w:t>би се покрили трошкови истраживања и</w:t>
      </w:r>
      <w:r>
        <w:rPr>
          <w:color w:val="231F20"/>
          <w:spacing w:val="-3"/>
          <w:sz w:val="14"/>
        </w:rPr>
        <w:t> </w:t>
      </w:r>
      <w:r>
        <w:rPr>
          <w:color w:val="231F20"/>
          <w:sz w:val="14"/>
        </w:rPr>
        <w:t>пројектовања.</w:t>
      </w:r>
    </w:p>
    <w:p>
      <w:pPr>
        <w:spacing w:after="0" w:line="240" w:lineRule="auto"/>
        <w:jc w:val="both"/>
        <w:rPr>
          <w:sz w:val="14"/>
        </w:rPr>
        <w:sectPr>
          <w:pgSz w:w="12480" w:h="15690"/>
          <w:pgMar w:top="120" w:bottom="280" w:left="680" w:right="720"/>
          <w:cols w:num="2" w:equalWidth="0">
            <w:col w:w="5560" w:space="40"/>
            <w:col w:w="5480"/>
          </w:cols>
        </w:sectPr>
      </w:pPr>
    </w:p>
    <w:p>
      <w:pPr>
        <w:pStyle w:val="BodyText"/>
        <w:spacing w:line="232" w:lineRule="auto" w:before="73"/>
        <w:ind w:right="41" w:hanging="1"/>
      </w:pPr>
      <w:r>
        <w:rPr/>
        <w:pict>
          <v:line style="position:absolute;mso-position-horizontal-relative:page;mso-position-vertical-relative:page;z-index:2776" from="304.724396pt,11.942451pt" to="304.724396pt,748.950451pt" stroked="true" strokeweight=".6pt" strokecolor="#231f20">
            <v:stroke dashstyle="solid"/>
            <w10:wrap type="none"/>
          </v:line>
        </w:pict>
      </w:r>
      <w:r>
        <w:rPr>
          <w:color w:val="231F20"/>
        </w:rPr>
        <w:t>аквифери воде </w:t>
      </w:r>
      <w:r>
        <w:rPr>
          <w:color w:val="231F20"/>
          <w:spacing w:val="-3"/>
        </w:rPr>
        <w:t>која </w:t>
      </w:r>
      <w:r>
        <w:rPr>
          <w:color w:val="231F20"/>
        </w:rPr>
        <w:t>имају карактер изворишта за снабдевање на- сеља. Начин обезбеђења воде за снабдевање термоенергетике је успешно</w:t>
      </w:r>
      <w:r>
        <w:rPr>
          <w:color w:val="231F20"/>
          <w:spacing w:val="-8"/>
        </w:rPr>
        <w:t> </w:t>
      </w:r>
      <w:r>
        <w:rPr>
          <w:color w:val="231F20"/>
        </w:rPr>
        <w:t>решен</w:t>
      </w:r>
      <w:r>
        <w:rPr>
          <w:color w:val="231F20"/>
          <w:spacing w:val="-8"/>
        </w:rPr>
        <w:t> </w:t>
      </w:r>
      <w:r>
        <w:rPr>
          <w:color w:val="231F20"/>
        </w:rPr>
        <w:t>на</w:t>
      </w:r>
      <w:r>
        <w:rPr>
          <w:color w:val="231F20"/>
          <w:spacing w:val="-8"/>
        </w:rPr>
        <w:t> </w:t>
      </w:r>
      <w:r>
        <w:rPr>
          <w:color w:val="231F20"/>
        </w:rPr>
        <w:t>постојећим</w:t>
      </w:r>
      <w:r>
        <w:rPr>
          <w:color w:val="231F20"/>
          <w:spacing w:val="-8"/>
        </w:rPr>
        <w:t> </w:t>
      </w:r>
      <w:r>
        <w:rPr>
          <w:color w:val="231F20"/>
        </w:rPr>
        <w:t>ТЕ</w:t>
      </w:r>
      <w:r>
        <w:rPr>
          <w:color w:val="231F20"/>
          <w:spacing w:val="17"/>
        </w:rPr>
        <w:t> </w:t>
      </w:r>
      <w:r>
        <w:rPr>
          <w:color w:val="231F20"/>
        </w:rPr>
        <w:t>–</w:t>
      </w:r>
      <w:r>
        <w:rPr>
          <w:color w:val="231F20"/>
          <w:spacing w:val="-8"/>
        </w:rPr>
        <w:t> </w:t>
      </w:r>
      <w:r>
        <w:rPr>
          <w:color w:val="231F20"/>
        </w:rPr>
        <w:t>довођењем</w:t>
      </w:r>
      <w:r>
        <w:rPr>
          <w:color w:val="231F20"/>
          <w:spacing w:val="-8"/>
        </w:rPr>
        <w:t> </w:t>
      </w:r>
      <w:r>
        <w:rPr>
          <w:color w:val="231F20"/>
        </w:rPr>
        <w:t>воде</w:t>
      </w:r>
      <w:r>
        <w:rPr>
          <w:color w:val="231F20"/>
          <w:spacing w:val="-8"/>
        </w:rPr>
        <w:t> </w:t>
      </w:r>
      <w:r>
        <w:rPr>
          <w:color w:val="231F20"/>
        </w:rPr>
        <w:t>из</w:t>
      </w:r>
      <w:r>
        <w:rPr>
          <w:color w:val="231F20"/>
          <w:spacing w:val="-8"/>
        </w:rPr>
        <w:t> </w:t>
      </w:r>
      <w:r>
        <w:rPr>
          <w:color w:val="231F20"/>
        </w:rPr>
        <w:t>главног</w:t>
      </w:r>
      <w:r>
        <w:rPr>
          <w:color w:val="231F20"/>
          <w:spacing w:val="-8"/>
        </w:rPr>
        <w:t> </w:t>
      </w:r>
      <w:r>
        <w:rPr>
          <w:color w:val="231F20"/>
        </w:rPr>
        <w:t>то- ка</w:t>
      </w:r>
      <w:r>
        <w:rPr>
          <w:color w:val="231F20"/>
          <w:spacing w:val="-6"/>
        </w:rPr>
        <w:t> </w:t>
      </w:r>
      <w:r>
        <w:rPr>
          <w:color w:val="231F20"/>
        </w:rPr>
        <w:t>Дунава</w:t>
      </w:r>
      <w:r>
        <w:rPr>
          <w:color w:val="231F20"/>
          <w:spacing w:val="-6"/>
        </w:rPr>
        <w:t> </w:t>
      </w:r>
      <w:r>
        <w:rPr>
          <w:color w:val="231F20"/>
        </w:rPr>
        <w:t>једним,</w:t>
      </w:r>
      <w:r>
        <w:rPr>
          <w:color w:val="231F20"/>
          <w:spacing w:val="-6"/>
        </w:rPr>
        <w:t> </w:t>
      </w:r>
      <w:r>
        <w:rPr>
          <w:color w:val="231F20"/>
        </w:rPr>
        <w:t>а</w:t>
      </w:r>
      <w:r>
        <w:rPr>
          <w:color w:val="231F20"/>
          <w:spacing w:val="-6"/>
        </w:rPr>
        <w:t> </w:t>
      </w:r>
      <w:r>
        <w:rPr>
          <w:color w:val="231F20"/>
        </w:rPr>
        <w:t>одвођење</w:t>
      </w:r>
      <w:r>
        <w:rPr>
          <w:color w:val="231F20"/>
          <w:spacing w:val="-6"/>
        </w:rPr>
        <w:t> </w:t>
      </w:r>
      <w:r>
        <w:rPr>
          <w:color w:val="231F20"/>
        </w:rPr>
        <w:t>загрејане</w:t>
      </w:r>
      <w:r>
        <w:rPr>
          <w:color w:val="231F20"/>
          <w:spacing w:val="-6"/>
        </w:rPr>
        <w:t> </w:t>
      </w:r>
      <w:r>
        <w:rPr>
          <w:color w:val="231F20"/>
        </w:rPr>
        <w:t>воде</w:t>
      </w:r>
      <w:r>
        <w:rPr>
          <w:color w:val="231F20"/>
          <w:spacing w:val="-6"/>
        </w:rPr>
        <w:t> </w:t>
      </w:r>
      <w:r>
        <w:rPr>
          <w:color w:val="231F20"/>
        </w:rPr>
        <w:t>другим,</w:t>
      </w:r>
      <w:r>
        <w:rPr>
          <w:color w:val="231F20"/>
          <w:spacing w:val="-6"/>
        </w:rPr>
        <w:t> </w:t>
      </w:r>
      <w:r>
        <w:rPr>
          <w:color w:val="231F20"/>
        </w:rPr>
        <w:t>посебним</w:t>
      </w:r>
      <w:r>
        <w:rPr>
          <w:color w:val="231F20"/>
          <w:spacing w:val="-6"/>
        </w:rPr>
        <w:t> </w:t>
      </w:r>
      <w:r>
        <w:rPr>
          <w:color w:val="231F20"/>
          <w:spacing w:val="-4"/>
        </w:rPr>
        <w:t>ко- </w:t>
      </w:r>
      <w:r>
        <w:rPr>
          <w:color w:val="231F20"/>
        </w:rPr>
        <w:t>ритом. Тај начин снабдевања </w:t>
      </w:r>
      <w:r>
        <w:rPr>
          <w:color w:val="231F20"/>
          <w:spacing w:val="-3"/>
        </w:rPr>
        <w:t>водом </w:t>
      </w:r>
      <w:r>
        <w:rPr>
          <w:color w:val="231F20"/>
        </w:rPr>
        <w:t>се задржава и при</w:t>
      </w:r>
      <w:r>
        <w:rPr>
          <w:color w:val="231F20"/>
          <w:spacing w:val="-25"/>
        </w:rPr>
        <w:t> </w:t>
      </w:r>
      <w:r>
        <w:rPr>
          <w:color w:val="231F20"/>
        </w:rPr>
        <w:t>проширењу термоенергетских</w:t>
      </w:r>
      <w:r>
        <w:rPr>
          <w:color w:val="231F20"/>
          <w:spacing w:val="-1"/>
        </w:rPr>
        <w:t> </w:t>
      </w:r>
      <w:r>
        <w:rPr>
          <w:color w:val="231F20"/>
        </w:rPr>
        <w:t>капацитета.</w:t>
      </w:r>
    </w:p>
    <w:p>
      <w:pPr>
        <w:pStyle w:val="BodyText"/>
        <w:spacing w:before="165"/>
        <w:ind w:left="1406"/>
        <w:jc w:val="left"/>
      </w:pPr>
      <w:r>
        <w:rPr>
          <w:color w:val="231F20"/>
        </w:rPr>
        <w:t>Хидроенергетско коришћење вода</w:t>
      </w:r>
    </w:p>
    <w:p>
      <w:pPr>
        <w:pStyle w:val="BodyText"/>
        <w:spacing w:before="5"/>
        <w:ind w:left="0"/>
        <w:jc w:val="left"/>
        <w:rPr>
          <w:sz w:val="17"/>
        </w:rPr>
      </w:pPr>
    </w:p>
    <w:p>
      <w:pPr>
        <w:pStyle w:val="BodyText"/>
        <w:spacing w:line="235" w:lineRule="auto"/>
        <w:ind w:right="41" w:firstLine="396"/>
      </w:pPr>
      <w:r>
        <w:rPr>
          <w:color w:val="231F20"/>
        </w:rPr>
        <w:t>Услови хидроенергетског коришћења Дунава су потпуно де- терминисани Конвенцијом о експлоатацији система по режиму</w:t>
      </w:r>
    </w:p>
    <w:p>
      <w:pPr>
        <w:pStyle w:val="BodyText"/>
        <w:spacing w:line="235" w:lineRule="auto"/>
        <w:ind w:right="41"/>
      </w:pPr>
      <w:r>
        <w:rPr>
          <w:color w:val="231F20"/>
        </w:rPr>
        <w:t>„69,5 и више”, </w:t>
      </w:r>
      <w:r>
        <w:rPr>
          <w:color w:val="231F20"/>
          <w:spacing w:val="-3"/>
        </w:rPr>
        <w:t>који </w:t>
      </w:r>
      <w:r>
        <w:rPr>
          <w:color w:val="231F20"/>
        </w:rPr>
        <w:t>предвиђа могућност подизања успора на ушћу Нере</w:t>
      </w:r>
      <w:r>
        <w:rPr>
          <w:color w:val="231F20"/>
          <w:spacing w:val="-9"/>
        </w:rPr>
        <w:t> </w:t>
      </w:r>
      <w:r>
        <w:rPr>
          <w:color w:val="231F20"/>
        </w:rPr>
        <w:t>до</w:t>
      </w:r>
      <w:r>
        <w:rPr>
          <w:color w:val="231F20"/>
          <w:spacing w:val="-9"/>
        </w:rPr>
        <w:t> </w:t>
      </w:r>
      <w:r>
        <w:rPr>
          <w:color w:val="231F20"/>
          <w:spacing w:val="-4"/>
        </w:rPr>
        <w:t>коте</w:t>
      </w:r>
      <w:r>
        <w:rPr>
          <w:color w:val="231F20"/>
          <w:spacing w:val="-9"/>
        </w:rPr>
        <w:t> </w:t>
      </w:r>
      <w:r>
        <w:rPr>
          <w:color w:val="231F20"/>
        </w:rPr>
        <w:t>70,40</w:t>
      </w:r>
      <w:r>
        <w:rPr>
          <w:color w:val="231F20"/>
          <w:spacing w:val="-9"/>
        </w:rPr>
        <w:t> </w:t>
      </w:r>
      <w:r>
        <w:rPr>
          <w:color w:val="231F20"/>
        </w:rPr>
        <w:t>mnм.</w:t>
      </w:r>
      <w:r>
        <w:rPr>
          <w:color w:val="231F20"/>
          <w:spacing w:val="-9"/>
        </w:rPr>
        <w:t> </w:t>
      </w:r>
      <w:r>
        <w:rPr>
          <w:color w:val="231F20"/>
        </w:rPr>
        <w:t>За</w:t>
      </w:r>
      <w:r>
        <w:rPr>
          <w:color w:val="231F20"/>
          <w:spacing w:val="-9"/>
        </w:rPr>
        <w:t> </w:t>
      </w:r>
      <w:r>
        <w:rPr>
          <w:color w:val="231F20"/>
        </w:rPr>
        <w:t>хидроенергетско</w:t>
      </w:r>
      <w:r>
        <w:rPr>
          <w:color w:val="231F20"/>
          <w:spacing w:val="-9"/>
        </w:rPr>
        <w:t> </w:t>
      </w:r>
      <w:r>
        <w:rPr>
          <w:color w:val="231F20"/>
        </w:rPr>
        <w:t>коришћење</w:t>
      </w:r>
      <w:r>
        <w:rPr>
          <w:color w:val="231F20"/>
          <w:spacing w:val="-9"/>
        </w:rPr>
        <w:t> </w:t>
      </w:r>
      <w:r>
        <w:rPr>
          <w:color w:val="231F20"/>
        </w:rPr>
        <w:t>је</w:t>
      </w:r>
      <w:r>
        <w:rPr>
          <w:color w:val="231F20"/>
          <w:spacing w:val="-9"/>
        </w:rPr>
        <w:t> </w:t>
      </w:r>
      <w:r>
        <w:rPr>
          <w:color w:val="231F20"/>
        </w:rPr>
        <w:t>предви- ђена и Велика Морава, </w:t>
      </w:r>
      <w:r>
        <w:rPr>
          <w:color w:val="231F20"/>
          <w:spacing w:val="-4"/>
        </w:rPr>
        <w:t>где </w:t>
      </w:r>
      <w:r>
        <w:rPr>
          <w:color w:val="231F20"/>
        </w:rPr>
        <w:t>се као најнизводнија у каскади </w:t>
      </w:r>
      <w:r>
        <w:rPr>
          <w:color w:val="231F20"/>
          <w:spacing w:val="-3"/>
        </w:rPr>
        <w:t>од </w:t>
      </w:r>
      <w:r>
        <w:rPr>
          <w:color w:val="231F20"/>
        </w:rPr>
        <w:t>пет планираних ХЕ на Великој Морави предвиђа изградња ХЕ „Љу- бичево” на km 25+00. Планиран успор </w:t>
      </w:r>
      <w:r>
        <w:rPr>
          <w:color w:val="231F20"/>
          <w:spacing w:val="-3"/>
        </w:rPr>
        <w:t>од </w:t>
      </w:r>
      <w:r>
        <w:rPr>
          <w:color w:val="231F20"/>
        </w:rPr>
        <w:t>ХЕ Љубичево нема хи- </w:t>
      </w:r>
      <w:r>
        <w:rPr>
          <w:color w:val="231F20"/>
          <w:spacing w:val="-3"/>
        </w:rPr>
        <w:t>драуличке </w:t>
      </w:r>
      <w:r>
        <w:rPr>
          <w:color w:val="231F20"/>
        </w:rPr>
        <w:t>интеракције са зоном у </w:t>
      </w:r>
      <w:r>
        <w:rPr>
          <w:color w:val="231F20"/>
          <w:spacing w:val="-3"/>
        </w:rPr>
        <w:t>којој </w:t>
      </w:r>
      <w:r>
        <w:rPr>
          <w:color w:val="231F20"/>
        </w:rPr>
        <w:t>се реализују површински копови.</w:t>
      </w:r>
    </w:p>
    <w:p>
      <w:pPr>
        <w:pStyle w:val="BodyText"/>
        <w:spacing w:before="167"/>
        <w:ind w:left="1615"/>
        <w:jc w:val="left"/>
      </w:pPr>
      <w:r>
        <w:rPr>
          <w:color w:val="231F20"/>
        </w:rPr>
        <w:t>Пловидбена инфраструктура</w:t>
      </w:r>
    </w:p>
    <w:p>
      <w:pPr>
        <w:pStyle w:val="BodyText"/>
        <w:spacing w:before="7"/>
        <w:ind w:left="0"/>
        <w:jc w:val="left"/>
        <w:rPr>
          <w:sz w:val="17"/>
        </w:rPr>
      </w:pPr>
    </w:p>
    <w:p>
      <w:pPr>
        <w:pStyle w:val="BodyText"/>
        <w:spacing w:line="235" w:lineRule="auto"/>
        <w:ind w:left="169" w:right="42" w:firstLine="397"/>
      </w:pPr>
      <w:r>
        <w:rPr>
          <w:color w:val="231F20"/>
        </w:rPr>
        <w:t>Повољни пловидбени услови на Дунаву омогућавају изград- њу: 1) луке за ТЕ-КО „Костолац”, са опцијама: на току Дунава, у зони села Костолац; у каналу за довод хладне воде до ТЕ, баге- ровањем оспособљеном за ту сврху; на Великој Морави </w:t>
      </w:r>
      <w:r>
        <w:rPr>
          <w:color w:val="231F20"/>
          <w:spacing w:val="-6"/>
        </w:rPr>
        <w:t>код </w:t>
      </w:r>
      <w:r>
        <w:rPr>
          <w:color w:val="231F20"/>
        </w:rPr>
        <w:t>Љу- бичевског моста; 2) пристаништа за „белу флоту” на </w:t>
      </w:r>
      <w:r>
        <w:rPr>
          <w:color w:val="231F20"/>
          <w:spacing w:val="-4"/>
        </w:rPr>
        <w:t>Костолачком </w:t>
      </w:r>
      <w:r>
        <w:rPr>
          <w:color w:val="231F20"/>
        </w:rPr>
        <w:t>острву у близини спортског аеродрома; 3) марина: на Дунаву на </w:t>
      </w:r>
      <w:r>
        <w:rPr>
          <w:color w:val="231F20"/>
          <w:spacing w:val="-4"/>
        </w:rPr>
        <w:t>Костолачком </w:t>
      </w:r>
      <w:r>
        <w:rPr>
          <w:color w:val="231F20"/>
        </w:rPr>
        <w:t>острву наспрам </w:t>
      </w:r>
      <w:r>
        <w:rPr>
          <w:color w:val="231F20"/>
          <w:spacing w:val="-3"/>
        </w:rPr>
        <w:t>Стојкове </w:t>
      </w:r>
      <w:r>
        <w:rPr>
          <w:color w:val="231F20"/>
        </w:rPr>
        <w:t>аде; и у </w:t>
      </w:r>
      <w:r>
        <w:rPr>
          <w:color w:val="231F20"/>
          <w:spacing w:val="-3"/>
        </w:rPr>
        <w:t>некој од </w:t>
      </w:r>
      <w:r>
        <w:rPr>
          <w:color w:val="231F20"/>
        </w:rPr>
        <w:t>старача Ве- лике Мораве, наменски уређене за ту</w:t>
      </w:r>
      <w:r>
        <w:rPr>
          <w:color w:val="231F20"/>
          <w:spacing w:val="-5"/>
        </w:rPr>
        <w:t> сврху.</w:t>
      </w:r>
    </w:p>
    <w:p>
      <w:pPr>
        <w:pStyle w:val="BodyText"/>
        <w:spacing w:before="167"/>
        <w:ind w:left="1893" w:right="1769"/>
        <w:jc w:val="center"/>
      </w:pPr>
      <w:r>
        <w:rPr>
          <w:color w:val="231F20"/>
        </w:rPr>
        <w:t>Заштита од вода</w:t>
      </w:r>
    </w:p>
    <w:p>
      <w:pPr>
        <w:pStyle w:val="BodyText"/>
        <w:spacing w:before="6"/>
        <w:ind w:left="0"/>
        <w:jc w:val="left"/>
        <w:rPr>
          <w:sz w:val="17"/>
        </w:rPr>
      </w:pPr>
    </w:p>
    <w:p>
      <w:pPr>
        <w:pStyle w:val="BodyText"/>
        <w:spacing w:line="235" w:lineRule="auto" w:before="1"/>
        <w:ind w:left="169" w:right="42" w:firstLine="397"/>
      </w:pPr>
      <w:r>
        <w:rPr>
          <w:color w:val="231F20"/>
        </w:rPr>
        <w:t>Систем заштите </w:t>
      </w:r>
      <w:r>
        <w:rPr>
          <w:color w:val="231F20"/>
          <w:spacing w:val="-3"/>
        </w:rPr>
        <w:t>од </w:t>
      </w:r>
      <w:r>
        <w:rPr>
          <w:color w:val="231F20"/>
        </w:rPr>
        <w:t>вода је реализован и потребни су радови на одржавању и на допуни система – </w:t>
      </w:r>
      <w:r>
        <w:rPr>
          <w:color w:val="231F20"/>
          <w:spacing w:val="-4"/>
        </w:rPr>
        <w:t>уколико </w:t>
      </w:r>
      <w:r>
        <w:rPr>
          <w:color w:val="231F20"/>
        </w:rPr>
        <w:t>дође до погоршања режима великих вода. Насипи Дунава и доњег тока Велике Мора- ве су димензионисани за поводањ вероватноће 1%. Заштитна ви- сина насипа је реализована у опсегу 1,2÷1,7 m, али су делом већ смањене због деловања процеса засипања и морфолошких дефор- мација корита. Исте критеријуме треба спровести и на В. Морави. Треба поново анализирати рачунске велике воде (ранија анализа је рађена </w:t>
      </w:r>
      <w:r>
        <w:rPr>
          <w:color w:val="231F20"/>
          <w:spacing w:val="-4"/>
        </w:rPr>
        <w:t>током </w:t>
      </w:r>
      <w:r>
        <w:rPr>
          <w:color w:val="231F20"/>
        </w:rPr>
        <w:t>пројектовања ХЕ Ђердап 1 и преиспитати поузда- ност</w:t>
      </w:r>
      <w:r>
        <w:rPr>
          <w:color w:val="231F20"/>
          <w:spacing w:val="-6"/>
        </w:rPr>
        <w:t> </w:t>
      </w:r>
      <w:r>
        <w:rPr>
          <w:color w:val="231F20"/>
        </w:rPr>
        <w:t>заштитних</w:t>
      </w:r>
      <w:r>
        <w:rPr>
          <w:color w:val="231F20"/>
          <w:spacing w:val="-6"/>
        </w:rPr>
        <w:t> </w:t>
      </w:r>
      <w:r>
        <w:rPr>
          <w:color w:val="231F20"/>
        </w:rPr>
        <w:t>система.</w:t>
      </w:r>
      <w:r>
        <w:rPr>
          <w:color w:val="231F20"/>
          <w:spacing w:val="-6"/>
        </w:rPr>
        <w:t> </w:t>
      </w:r>
      <w:r>
        <w:rPr>
          <w:color w:val="231F20"/>
        </w:rPr>
        <w:t>Заштита</w:t>
      </w:r>
      <w:r>
        <w:rPr>
          <w:color w:val="231F20"/>
          <w:spacing w:val="-6"/>
        </w:rPr>
        <w:t> </w:t>
      </w:r>
      <w:r>
        <w:rPr>
          <w:color w:val="231F20"/>
        </w:rPr>
        <w:t>приобаља</w:t>
      </w:r>
      <w:r>
        <w:rPr>
          <w:color w:val="231F20"/>
          <w:spacing w:val="-6"/>
        </w:rPr>
        <w:t> </w:t>
      </w:r>
      <w:r>
        <w:rPr>
          <w:color w:val="231F20"/>
          <w:spacing w:val="-3"/>
        </w:rPr>
        <w:t>од</w:t>
      </w:r>
      <w:r>
        <w:rPr>
          <w:color w:val="231F20"/>
          <w:spacing w:val="-6"/>
        </w:rPr>
        <w:t> </w:t>
      </w:r>
      <w:r>
        <w:rPr>
          <w:color w:val="231F20"/>
        </w:rPr>
        <w:t>великих</w:t>
      </w:r>
      <w:r>
        <w:rPr>
          <w:color w:val="231F20"/>
          <w:spacing w:val="-6"/>
        </w:rPr>
        <w:t> </w:t>
      </w:r>
      <w:r>
        <w:rPr>
          <w:color w:val="231F20"/>
        </w:rPr>
        <w:t>вода</w:t>
      </w:r>
      <w:r>
        <w:rPr>
          <w:color w:val="231F20"/>
          <w:spacing w:val="-6"/>
        </w:rPr>
        <w:t> </w:t>
      </w:r>
      <w:r>
        <w:rPr>
          <w:color w:val="231F20"/>
        </w:rPr>
        <w:t>Мла- ве треба да има исти степен поузданости (1%), а </w:t>
      </w:r>
      <w:r>
        <w:rPr>
          <w:color w:val="231F20"/>
          <w:spacing w:val="-3"/>
        </w:rPr>
        <w:t>копове </w:t>
      </w:r>
      <w:r>
        <w:rPr>
          <w:color w:val="231F20"/>
        </w:rPr>
        <w:t>локално бранити </w:t>
      </w:r>
      <w:r>
        <w:rPr>
          <w:color w:val="231F20"/>
          <w:spacing w:val="-3"/>
        </w:rPr>
        <w:t>од </w:t>
      </w:r>
      <w:r>
        <w:rPr>
          <w:color w:val="231F20"/>
        </w:rPr>
        <w:t>поводања вероватноће 0,2%. Због планираних </w:t>
      </w:r>
      <w:r>
        <w:rPr>
          <w:color w:val="231F20"/>
          <w:spacing w:val="-3"/>
        </w:rPr>
        <w:t>рудар- </w:t>
      </w:r>
      <w:r>
        <w:rPr>
          <w:color w:val="231F20"/>
        </w:rPr>
        <w:t>ских радова у близини десне обале Дунава, </w:t>
      </w:r>
      <w:r>
        <w:rPr>
          <w:color w:val="231F20"/>
          <w:spacing w:val="-2"/>
        </w:rPr>
        <w:t>неопходно </w:t>
      </w:r>
      <w:r>
        <w:rPr>
          <w:color w:val="231F20"/>
        </w:rPr>
        <w:t>је изврши- ти</w:t>
      </w:r>
      <w:r>
        <w:rPr>
          <w:color w:val="231F20"/>
          <w:spacing w:val="-9"/>
        </w:rPr>
        <w:t> </w:t>
      </w:r>
      <w:r>
        <w:rPr>
          <w:color w:val="231F20"/>
        </w:rPr>
        <w:t>преиспитивање</w:t>
      </w:r>
      <w:r>
        <w:rPr>
          <w:color w:val="231F20"/>
          <w:spacing w:val="-9"/>
        </w:rPr>
        <w:t> </w:t>
      </w:r>
      <w:r>
        <w:rPr>
          <w:color w:val="231F20"/>
        </w:rPr>
        <w:t>и</w:t>
      </w:r>
      <w:r>
        <w:rPr>
          <w:color w:val="231F20"/>
          <w:spacing w:val="-9"/>
        </w:rPr>
        <w:t> </w:t>
      </w:r>
      <w:r>
        <w:rPr>
          <w:color w:val="231F20"/>
        </w:rPr>
        <w:t>реконструкцију</w:t>
      </w:r>
      <w:r>
        <w:rPr>
          <w:color w:val="231F20"/>
          <w:spacing w:val="-9"/>
        </w:rPr>
        <w:t> </w:t>
      </w:r>
      <w:r>
        <w:rPr>
          <w:color w:val="231F20"/>
        </w:rPr>
        <w:t>система</w:t>
      </w:r>
      <w:r>
        <w:rPr>
          <w:color w:val="231F20"/>
          <w:spacing w:val="-9"/>
        </w:rPr>
        <w:t> </w:t>
      </w:r>
      <w:r>
        <w:rPr>
          <w:color w:val="231F20"/>
        </w:rPr>
        <w:t>заштите</w:t>
      </w:r>
      <w:r>
        <w:rPr>
          <w:color w:val="231F20"/>
          <w:spacing w:val="-9"/>
        </w:rPr>
        <w:t> </w:t>
      </w:r>
      <w:r>
        <w:rPr>
          <w:color w:val="231F20"/>
        </w:rPr>
        <w:t>приобаља</w:t>
      </w:r>
      <w:r>
        <w:rPr>
          <w:color w:val="231F20"/>
          <w:spacing w:val="-9"/>
        </w:rPr>
        <w:t> </w:t>
      </w:r>
      <w:r>
        <w:rPr>
          <w:color w:val="231F20"/>
          <w:spacing w:val="-3"/>
        </w:rPr>
        <w:t>од </w:t>
      </w:r>
      <w:r>
        <w:rPr>
          <w:color w:val="231F20"/>
        </w:rPr>
        <w:t>успора вода</w:t>
      </w:r>
      <w:r>
        <w:rPr>
          <w:color w:val="231F20"/>
          <w:spacing w:val="-1"/>
        </w:rPr>
        <w:t> </w:t>
      </w:r>
      <w:r>
        <w:rPr>
          <w:color w:val="231F20"/>
        </w:rPr>
        <w:t>Дунава.</w:t>
      </w:r>
    </w:p>
    <w:p>
      <w:pPr>
        <w:pStyle w:val="ListParagraph"/>
        <w:numPr>
          <w:ilvl w:val="1"/>
          <w:numId w:val="31"/>
        </w:numPr>
        <w:tabs>
          <w:tab w:pos="1744" w:val="left" w:leader="none"/>
        </w:tabs>
        <w:spacing w:line="240" w:lineRule="auto" w:before="167" w:after="0"/>
        <w:ind w:left="1743" w:right="0" w:hanging="315"/>
        <w:jc w:val="left"/>
        <w:rPr>
          <w:i/>
          <w:sz w:val="18"/>
        </w:rPr>
      </w:pPr>
      <w:r>
        <w:rPr>
          <w:i/>
          <w:color w:val="231F20"/>
          <w:sz w:val="18"/>
        </w:rPr>
        <w:t>Енергетска</w:t>
      </w:r>
      <w:r>
        <w:rPr>
          <w:i/>
          <w:color w:val="231F20"/>
          <w:spacing w:val="-1"/>
          <w:sz w:val="18"/>
        </w:rPr>
        <w:t> </w:t>
      </w:r>
      <w:r>
        <w:rPr>
          <w:i/>
          <w:color w:val="231F20"/>
          <w:sz w:val="18"/>
        </w:rPr>
        <w:t>инфраструктура</w:t>
      </w:r>
    </w:p>
    <w:p>
      <w:pPr>
        <w:pStyle w:val="BodyText"/>
        <w:spacing w:before="166"/>
        <w:ind w:left="1324"/>
        <w:jc w:val="left"/>
      </w:pPr>
      <w:r>
        <w:rPr>
          <w:color w:val="231F20"/>
        </w:rPr>
        <w:t>Електро-енергетска инфраструктура</w:t>
      </w:r>
    </w:p>
    <w:p>
      <w:pPr>
        <w:pStyle w:val="BodyText"/>
        <w:spacing w:before="6"/>
        <w:ind w:left="0"/>
        <w:jc w:val="left"/>
        <w:rPr>
          <w:sz w:val="17"/>
        </w:rPr>
      </w:pPr>
    </w:p>
    <w:p>
      <w:pPr>
        <w:pStyle w:val="BodyText"/>
        <w:spacing w:line="235" w:lineRule="auto"/>
        <w:ind w:left="169" w:right="41" w:firstLine="396"/>
      </w:pPr>
      <w:r>
        <w:rPr>
          <w:color w:val="231F20"/>
          <w:spacing w:val="-3"/>
        </w:rPr>
        <w:t>Будући </w:t>
      </w:r>
      <w:r>
        <w:rPr>
          <w:color w:val="231F20"/>
        </w:rPr>
        <w:t>развој енергетске инфраструктуре треба да </w:t>
      </w:r>
      <w:r>
        <w:rPr>
          <w:color w:val="231F20"/>
          <w:spacing w:val="-5"/>
        </w:rPr>
        <w:t>буде </w:t>
      </w:r>
      <w:r>
        <w:rPr>
          <w:color w:val="231F20"/>
        </w:rPr>
        <w:t>под- ређен остваривању циљева просторног развоја и еколошко-про- сторне заштите и уређења на Планском </w:t>
      </w:r>
      <w:r>
        <w:rPr>
          <w:color w:val="231F20"/>
          <w:spacing w:val="-3"/>
        </w:rPr>
        <w:t>подручју. </w:t>
      </w:r>
      <w:r>
        <w:rPr>
          <w:color w:val="231F20"/>
        </w:rPr>
        <w:t>У свим инфра- структурним системима (електроводови, топловоди, нафтоводи, гасоводи), пренос, дистрибуција и коришћење енергије треба да се одвијају у складу с принципима и критеријумима одрживог развоја.</w:t>
      </w:r>
    </w:p>
    <w:p>
      <w:pPr>
        <w:pStyle w:val="BodyText"/>
        <w:spacing w:line="235" w:lineRule="auto"/>
        <w:ind w:right="38" w:firstLine="397"/>
      </w:pPr>
      <w:r>
        <w:rPr>
          <w:color w:val="231F20"/>
        </w:rPr>
        <w:t>Развој преносне мреже на Планском подручју мора да прати растуће потребе за електричном енергијом. У циљу сигурнијег и поузданијег снабдевања потрошача у планском периоду до 2015. године наставиће се даљи развој реконструкцијом ТС 110/35 kV Пожаревац и далековода 110 kV Београд 3 – Костолац.</w:t>
      </w:r>
    </w:p>
    <w:p>
      <w:pPr>
        <w:pStyle w:val="BodyText"/>
        <w:spacing w:line="232" w:lineRule="auto"/>
        <w:ind w:left="171" w:right="38" w:firstLine="396"/>
      </w:pPr>
      <w:r>
        <w:rPr>
          <w:color w:val="231F20"/>
        </w:rPr>
        <w:t>У периоду до 2022. године, доћи ће до </w:t>
      </w:r>
      <w:r>
        <w:rPr>
          <w:color w:val="231F20"/>
          <w:spacing w:val="-3"/>
        </w:rPr>
        <w:t>уласка </w:t>
      </w:r>
      <w:r>
        <w:rPr>
          <w:color w:val="231F20"/>
        </w:rPr>
        <w:t>у погон новог блока</w:t>
      </w:r>
      <w:r>
        <w:rPr>
          <w:color w:val="231F20"/>
          <w:spacing w:val="-10"/>
        </w:rPr>
        <w:t> </w:t>
      </w:r>
      <w:r>
        <w:rPr>
          <w:color w:val="231F20"/>
          <w:spacing w:val="-3"/>
        </w:rPr>
        <w:t>од</w:t>
      </w:r>
      <w:r>
        <w:rPr>
          <w:color w:val="231F20"/>
          <w:spacing w:val="-10"/>
        </w:rPr>
        <w:t> </w:t>
      </w:r>
      <w:r>
        <w:rPr>
          <w:color w:val="231F20"/>
        </w:rPr>
        <w:t>600</w:t>
      </w:r>
      <w:r>
        <w:rPr>
          <w:color w:val="231F20"/>
          <w:spacing w:val="-10"/>
        </w:rPr>
        <w:t> </w:t>
      </w:r>
      <w:r>
        <w:rPr>
          <w:color w:val="231F20"/>
          <w:spacing w:val="-6"/>
        </w:rPr>
        <w:t>MW,</w:t>
      </w:r>
      <w:r>
        <w:rPr>
          <w:color w:val="231F20"/>
          <w:spacing w:val="-10"/>
        </w:rPr>
        <w:t> </w:t>
      </w:r>
      <w:r>
        <w:rPr>
          <w:color w:val="231F20"/>
        </w:rPr>
        <w:t>алтернативно</w:t>
      </w:r>
      <w:r>
        <w:rPr>
          <w:color w:val="231F20"/>
          <w:spacing w:val="-10"/>
        </w:rPr>
        <w:t> </w:t>
      </w:r>
      <w:r>
        <w:rPr>
          <w:color w:val="231F20"/>
        </w:rPr>
        <w:t>2</w:t>
      </w:r>
      <w:r>
        <w:rPr>
          <w:color w:val="231F20"/>
          <w:spacing w:val="-10"/>
        </w:rPr>
        <w:t> </w:t>
      </w:r>
      <w:r>
        <w:rPr>
          <w:color w:val="231F20"/>
        </w:rPr>
        <w:t>x</w:t>
      </w:r>
      <w:r>
        <w:rPr>
          <w:color w:val="231F20"/>
          <w:spacing w:val="-10"/>
        </w:rPr>
        <w:t> </w:t>
      </w:r>
      <w:r>
        <w:rPr>
          <w:color w:val="231F20"/>
        </w:rPr>
        <w:t>350</w:t>
      </w:r>
      <w:r>
        <w:rPr>
          <w:color w:val="231F20"/>
          <w:spacing w:val="-10"/>
        </w:rPr>
        <w:t> </w:t>
      </w:r>
      <w:r>
        <w:rPr>
          <w:color w:val="231F20"/>
        </w:rPr>
        <w:t>MW</w:t>
      </w:r>
      <w:r>
        <w:rPr>
          <w:color w:val="231F20"/>
          <w:spacing w:val="-13"/>
        </w:rPr>
        <w:t> </w:t>
      </w:r>
      <w:r>
        <w:rPr>
          <w:color w:val="231F20"/>
        </w:rPr>
        <w:t>(2019/2020.</w:t>
      </w:r>
      <w:r>
        <w:rPr>
          <w:color w:val="231F20"/>
          <w:spacing w:val="-10"/>
        </w:rPr>
        <w:t> </w:t>
      </w:r>
      <w:r>
        <w:rPr>
          <w:color w:val="231F20"/>
        </w:rPr>
        <w:t>године)</w:t>
      </w:r>
      <w:r>
        <w:rPr>
          <w:color w:val="231F20"/>
          <w:spacing w:val="-10"/>
        </w:rPr>
        <w:t> </w:t>
      </w:r>
      <w:r>
        <w:rPr>
          <w:color w:val="231F20"/>
        </w:rPr>
        <w:t>са надкритичним параметрима. Расположива слободна поља 400 kV у разводном постројењу „Дрмно” омогућавају да се прикључи но- ви блок. За његово прикључење потребно је опремити поља бр. 3. разводног</w:t>
      </w:r>
      <w:r>
        <w:rPr>
          <w:color w:val="231F20"/>
          <w:spacing w:val="-9"/>
        </w:rPr>
        <w:t> </w:t>
      </w:r>
      <w:r>
        <w:rPr>
          <w:color w:val="231F20"/>
        </w:rPr>
        <w:t>постројења</w:t>
      </w:r>
      <w:r>
        <w:rPr>
          <w:color w:val="231F20"/>
          <w:spacing w:val="-9"/>
        </w:rPr>
        <w:t> </w:t>
      </w:r>
      <w:r>
        <w:rPr>
          <w:color w:val="231F20"/>
        </w:rPr>
        <w:t>новом</w:t>
      </w:r>
      <w:r>
        <w:rPr>
          <w:color w:val="231F20"/>
          <w:spacing w:val="-9"/>
        </w:rPr>
        <w:t> </w:t>
      </w:r>
      <w:r>
        <w:rPr>
          <w:color w:val="231F20"/>
        </w:rPr>
        <w:t>опремом,</w:t>
      </w:r>
      <w:r>
        <w:rPr>
          <w:color w:val="231F20"/>
          <w:spacing w:val="-9"/>
        </w:rPr>
        <w:t> </w:t>
      </w:r>
      <w:r>
        <w:rPr>
          <w:color w:val="231F20"/>
        </w:rPr>
        <w:t>на</w:t>
      </w:r>
      <w:r>
        <w:rPr>
          <w:color w:val="231F20"/>
          <w:spacing w:val="-9"/>
        </w:rPr>
        <w:t> </w:t>
      </w:r>
      <w:r>
        <w:rPr>
          <w:color w:val="231F20"/>
        </w:rPr>
        <w:t>начин</w:t>
      </w:r>
      <w:r>
        <w:rPr>
          <w:color w:val="231F20"/>
          <w:spacing w:val="-9"/>
        </w:rPr>
        <w:t> </w:t>
      </w:r>
      <w:r>
        <w:rPr>
          <w:color w:val="231F20"/>
        </w:rPr>
        <w:t>да</w:t>
      </w:r>
      <w:r>
        <w:rPr>
          <w:color w:val="231F20"/>
          <w:spacing w:val="-9"/>
        </w:rPr>
        <w:t> </w:t>
      </w:r>
      <w:r>
        <w:rPr>
          <w:color w:val="231F20"/>
        </w:rPr>
        <w:t>се</w:t>
      </w:r>
      <w:r>
        <w:rPr>
          <w:color w:val="231F20"/>
          <w:spacing w:val="-9"/>
        </w:rPr>
        <w:t> </w:t>
      </w:r>
      <w:r>
        <w:rPr>
          <w:color w:val="231F20"/>
        </w:rPr>
        <w:t>оформи</w:t>
      </w:r>
      <w:r>
        <w:rPr>
          <w:color w:val="231F20"/>
          <w:spacing w:val="-9"/>
        </w:rPr>
        <w:t> </w:t>
      </w:r>
      <w:r>
        <w:rPr>
          <w:color w:val="231F20"/>
        </w:rPr>
        <w:t>ново генераторско</w:t>
      </w:r>
      <w:r>
        <w:rPr>
          <w:color w:val="231F20"/>
          <w:spacing w:val="-8"/>
        </w:rPr>
        <w:t> </w:t>
      </w:r>
      <w:r>
        <w:rPr>
          <w:color w:val="231F20"/>
        </w:rPr>
        <w:t>поље</w:t>
      </w:r>
      <w:r>
        <w:rPr>
          <w:color w:val="231F20"/>
          <w:spacing w:val="-8"/>
        </w:rPr>
        <w:t> </w:t>
      </w:r>
      <w:r>
        <w:rPr>
          <w:color w:val="231F20"/>
        </w:rPr>
        <w:t>прикључено</w:t>
      </w:r>
      <w:r>
        <w:rPr>
          <w:color w:val="231F20"/>
          <w:spacing w:val="-8"/>
        </w:rPr>
        <w:t> </w:t>
      </w:r>
      <w:r>
        <w:rPr>
          <w:color w:val="231F20"/>
        </w:rPr>
        <w:t>на</w:t>
      </w:r>
      <w:r>
        <w:rPr>
          <w:color w:val="231F20"/>
          <w:spacing w:val="-8"/>
        </w:rPr>
        <w:t> </w:t>
      </w:r>
      <w:r>
        <w:rPr>
          <w:color w:val="231F20"/>
        </w:rPr>
        <w:t>оба</w:t>
      </w:r>
      <w:r>
        <w:rPr>
          <w:color w:val="231F20"/>
          <w:spacing w:val="-8"/>
        </w:rPr>
        <w:t> </w:t>
      </w:r>
      <w:r>
        <w:rPr>
          <w:color w:val="231F20"/>
        </w:rPr>
        <w:t>сабирничка</w:t>
      </w:r>
      <w:r>
        <w:rPr>
          <w:color w:val="231F20"/>
          <w:spacing w:val="-8"/>
        </w:rPr>
        <w:t> </w:t>
      </w:r>
      <w:r>
        <w:rPr>
          <w:color w:val="231F20"/>
        </w:rPr>
        <w:t>система.</w:t>
      </w:r>
      <w:r>
        <w:rPr>
          <w:color w:val="231F20"/>
          <w:spacing w:val="-8"/>
        </w:rPr>
        <w:t> </w:t>
      </w:r>
      <w:r>
        <w:rPr>
          <w:color w:val="231F20"/>
        </w:rPr>
        <w:t>У</w:t>
      </w:r>
      <w:r>
        <w:rPr>
          <w:color w:val="231F20"/>
          <w:spacing w:val="-8"/>
        </w:rPr>
        <w:t> </w:t>
      </w:r>
      <w:r>
        <w:rPr>
          <w:color w:val="231F20"/>
        </w:rPr>
        <w:t>ова- </w:t>
      </w:r>
      <w:r>
        <w:rPr>
          <w:color w:val="231F20"/>
          <w:spacing w:val="-5"/>
        </w:rPr>
        <w:t>ко </w:t>
      </w:r>
      <w:r>
        <w:rPr>
          <w:color w:val="231F20"/>
        </w:rPr>
        <w:t>опремљено поље увела би се спојна веза према одговарајућем блок-трансформатору нове генераторске јединице, и извршило прикључење новог термо-блока на преносну</w:t>
      </w:r>
      <w:r>
        <w:rPr>
          <w:color w:val="231F20"/>
          <w:spacing w:val="-5"/>
        </w:rPr>
        <w:t> </w:t>
      </w:r>
      <w:r>
        <w:rPr>
          <w:color w:val="231F20"/>
          <w:spacing w:val="-4"/>
        </w:rPr>
        <w:t>мрежу.</w:t>
      </w:r>
    </w:p>
    <w:p>
      <w:pPr>
        <w:pStyle w:val="BodyText"/>
        <w:spacing w:line="232" w:lineRule="auto" w:before="69"/>
        <w:ind w:left="169" w:right="409" w:firstLine="397"/>
      </w:pPr>
      <w:r>
        <w:rPr/>
        <w:br w:type="column"/>
      </w:r>
      <w:r>
        <w:rPr>
          <w:color w:val="231F20"/>
        </w:rPr>
        <w:t>Анализе у Студији перспективног развоја високонапонске преносне мреже ЕМС у периоду 2020/2025. годинe показале су да сагледавани расплет 400 kV далековода из РП „Дрмно” омогућава задовољавајући ниво сигурности у пласману снаге ТЕ „Костолац Б”, и у периоду када буде изграђен трећи блок.</w:t>
      </w:r>
    </w:p>
    <w:p>
      <w:pPr>
        <w:pStyle w:val="BodyText"/>
        <w:spacing w:line="232" w:lineRule="auto"/>
        <w:ind w:left="169" w:right="409" w:firstLine="396"/>
      </w:pPr>
      <w:r>
        <w:rPr>
          <w:color w:val="231F20"/>
        </w:rPr>
        <w:t>Када су у питању прикључни далеководи указује се да ће да- леководи 400 kV (ДВ 401/1 и ДВ 401/2), који данас повезују РП</w:t>
      </w:r>
    </w:p>
    <w:p>
      <w:pPr>
        <w:pStyle w:val="BodyText"/>
        <w:spacing w:line="232" w:lineRule="auto"/>
        <w:ind w:left="169" w:right="409"/>
      </w:pPr>
      <w:r>
        <w:rPr>
          <w:color w:val="231F20"/>
        </w:rPr>
        <w:t>„Дрмно” са ТС Београд 8 и ХЕ Ђердап 1, због старости морати   да се ревитализују, </w:t>
      </w:r>
      <w:r>
        <w:rPr>
          <w:color w:val="231F20"/>
          <w:spacing w:val="-4"/>
        </w:rPr>
        <w:t>како </w:t>
      </w:r>
      <w:r>
        <w:rPr>
          <w:color w:val="231F20"/>
        </w:rPr>
        <w:t>би се повећала њихова поузданост у екс- плоатацији и истовремено омогућили услови за несметан пласман производње </w:t>
      </w:r>
      <w:r>
        <w:rPr>
          <w:color w:val="231F20"/>
          <w:spacing w:val="-6"/>
        </w:rPr>
        <w:t>„ТЕ </w:t>
      </w:r>
      <w:r>
        <w:rPr>
          <w:color w:val="231F20"/>
        </w:rPr>
        <w:t>Костолац Б” у</w:t>
      </w:r>
      <w:r>
        <w:rPr>
          <w:color w:val="231F20"/>
          <w:spacing w:val="-2"/>
        </w:rPr>
        <w:t> </w:t>
      </w:r>
      <w:r>
        <w:rPr>
          <w:color w:val="231F20"/>
        </w:rPr>
        <w:t>будућности.</w:t>
      </w:r>
    </w:p>
    <w:p>
      <w:pPr>
        <w:pStyle w:val="BodyText"/>
        <w:spacing w:line="232" w:lineRule="auto"/>
        <w:ind w:left="169" w:right="409" w:firstLine="397"/>
      </w:pPr>
      <w:r>
        <w:rPr>
          <w:color w:val="231F20"/>
        </w:rPr>
        <w:t>На основу „Студије перспективног развоја” која је урадио Институт „Никола Тесла” из Београда показује се неопходност што хитније изградње ТС 110/35/10 kV „Пожаревац 2” са при- кључним двоструким 110 kV водом.</w:t>
      </w:r>
    </w:p>
    <w:p>
      <w:pPr>
        <w:pStyle w:val="BodyText"/>
        <w:spacing w:line="232" w:lineRule="auto"/>
        <w:ind w:left="169" w:right="408" w:firstLine="397"/>
      </w:pPr>
      <w:r>
        <w:rPr>
          <w:color w:val="231F20"/>
        </w:rPr>
        <w:t>Локација ТС 110/35/10 kV „Пожаревац 2” планирана је </w:t>
      </w:r>
      <w:r>
        <w:rPr>
          <w:color w:val="231F20"/>
          <w:spacing w:val="-6"/>
        </w:rPr>
        <w:t>код </w:t>
      </w:r>
      <w:r>
        <w:rPr>
          <w:color w:val="231F20"/>
        </w:rPr>
        <w:t>хиподрома у Пожаревцу на катастарској парцели бр. 6874/4 к.о. Пожаревац.</w:t>
      </w:r>
      <w:r>
        <w:rPr>
          <w:color w:val="231F20"/>
          <w:spacing w:val="-7"/>
        </w:rPr>
        <w:t> </w:t>
      </w:r>
      <w:r>
        <w:rPr>
          <w:color w:val="231F20"/>
        </w:rPr>
        <w:t>На</w:t>
      </w:r>
      <w:r>
        <w:rPr>
          <w:color w:val="231F20"/>
          <w:spacing w:val="-7"/>
        </w:rPr>
        <w:t> </w:t>
      </w:r>
      <w:r>
        <w:rPr>
          <w:color w:val="231F20"/>
          <w:spacing w:val="-3"/>
        </w:rPr>
        <w:t>110</w:t>
      </w:r>
      <w:r>
        <w:rPr>
          <w:color w:val="231F20"/>
          <w:spacing w:val="-7"/>
        </w:rPr>
        <w:t> </w:t>
      </w:r>
      <w:r>
        <w:rPr>
          <w:color w:val="231F20"/>
        </w:rPr>
        <w:t>kV</w:t>
      </w:r>
      <w:r>
        <w:rPr>
          <w:color w:val="231F20"/>
          <w:spacing w:val="-10"/>
        </w:rPr>
        <w:t> </w:t>
      </w:r>
      <w:r>
        <w:rPr>
          <w:color w:val="231F20"/>
          <w:spacing w:val="-3"/>
        </w:rPr>
        <w:t>напонском</w:t>
      </w:r>
      <w:r>
        <w:rPr>
          <w:color w:val="231F20"/>
          <w:spacing w:val="-7"/>
        </w:rPr>
        <w:t> </w:t>
      </w:r>
      <w:r>
        <w:rPr>
          <w:color w:val="231F20"/>
          <w:spacing w:val="-3"/>
        </w:rPr>
        <w:t>нивоу</w:t>
      </w:r>
      <w:r>
        <w:rPr>
          <w:color w:val="231F20"/>
          <w:spacing w:val="-7"/>
        </w:rPr>
        <w:t> </w:t>
      </w:r>
      <w:r>
        <w:rPr>
          <w:color w:val="231F20"/>
        </w:rPr>
        <w:t>ТС</w:t>
      </w:r>
      <w:r>
        <w:rPr>
          <w:color w:val="231F20"/>
          <w:spacing w:val="-7"/>
        </w:rPr>
        <w:t> </w:t>
      </w:r>
      <w:r>
        <w:rPr>
          <w:color w:val="231F20"/>
        </w:rPr>
        <w:t>110/35/10</w:t>
      </w:r>
      <w:r>
        <w:rPr>
          <w:color w:val="231F20"/>
          <w:spacing w:val="-7"/>
        </w:rPr>
        <w:t> </w:t>
      </w:r>
      <w:r>
        <w:rPr>
          <w:color w:val="231F20"/>
        </w:rPr>
        <w:t>kV</w:t>
      </w:r>
      <w:r>
        <w:rPr>
          <w:color w:val="231F20"/>
          <w:spacing w:val="-10"/>
        </w:rPr>
        <w:t> </w:t>
      </w:r>
      <w:r>
        <w:rPr>
          <w:color w:val="231F20"/>
        </w:rPr>
        <w:t>„Пожаре- вац</w:t>
      </w:r>
      <w:r>
        <w:rPr>
          <w:color w:val="231F20"/>
          <w:spacing w:val="-7"/>
        </w:rPr>
        <w:t> </w:t>
      </w:r>
      <w:r>
        <w:rPr>
          <w:color w:val="231F20"/>
        </w:rPr>
        <w:t>2”</w:t>
      </w:r>
      <w:r>
        <w:rPr>
          <w:color w:val="231F20"/>
          <w:spacing w:val="-7"/>
        </w:rPr>
        <w:t> </w:t>
      </w:r>
      <w:r>
        <w:rPr>
          <w:color w:val="231F20"/>
        </w:rPr>
        <w:t>предвиђено</w:t>
      </w:r>
      <w:r>
        <w:rPr>
          <w:color w:val="231F20"/>
          <w:spacing w:val="-7"/>
        </w:rPr>
        <w:t> </w:t>
      </w:r>
      <w:r>
        <w:rPr>
          <w:color w:val="231F20"/>
        </w:rPr>
        <w:t>је</w:t>
      </w:r>
      <w:r>
        <w:rPr>
          <w:color w:val="231F20"/>
          <w:spacing w:val="-7"/>
        </w:rPr>
        <w:t> </w:t>
      </w:r>
      <w:r>
        <w:rPr>
          <w:color w:val="231F20"/>
        </w:rPr>
        <w:t>спољно</w:t>
      </w:r>
      <w:r>
        <w:rPr>
          <w:color w:val="231F20"/>
          <w:spacing w:val="-7"/>
        </w:rPr>
        <w:t> </w:t>
      </w:r>
      <w:r>
        <w:rPr>
          <w:color w:val="231F20"/>
        </w:rPr>
        <w:t>постројење</w:t>
      </w:r>
      <w:r>
        <w:rPr>
          <w:color w:val="231F20"/>
          <w:spacing w:val="-7"/>
        </w:rPr>
        <w:t> </w:t>
      </w:r>
      <w:r>
        <w:rPr>
          <w:color w:val="231F20"/>
        </w:rPr>
        <w:t>са</w:t>
      </w:r>
      <w:r>
        <w:rPr>
          <w:color w:val="231F20"/>
          <w:spacing w:val="-7"/>
        </w:rPr>
        <w:t> </w:t>
      </w:r>
      <w:r>
        <w:rPr>
          <w:color w:val="231F20"/>
        </w:rPr>
        <w:t>два</w:t>
      </w:r>
      <w:r>
        <w:rPr>
          <w:color w:val="231F20"/>
          <w:spacing w:val="-7"/>
        </w:rPr>
        <w:t> </w:t>
      </w:r>
      <w:r>
        <w:rPr>
          <w:color w:val="231F20"/>
        </w:rPr>
        <w:t>система</w:t>
      </w:r>
      <w:r>
        <w:rPr>
          <w:color w:val="231F20"/>
          <w:spacing w:val="-7"/>
        </w:rPr>
        <w:t> </w:t>
      </w:r>
      <w:r>
        <w:rPr>
          <w:color w:val="231F20"/>
        </w:rPr>
        <w:t>сабирница и</w:t>
      </w:r>
      <w:r>
        <w:rPr>
          <w:color w:val="231F20"/>
          <w:spacing w:val="-6"/>
        </w:rPr>
        <w:t> </w:t>
      </w:r>
      <w:r>
        <w:rPr>
          <w:color w:val="231F20"/>
        </w:rPr>
        <w:t>укупно</w:t>
      </w:r>
      <w:r>
        <w:rPr>
          <w:color w:val="231F20"/>
          <w:spacing w:val="-5"/>
        </w:rPr>
        <w:t> </w:t>
      </w:r>
      <w:r>
        <w:rPr>
          <w:color w:val="231F20"/>
        </w:rPr>
        <w:t>пет</w:t>
      </w:r>
      <w:r>
        <w:rPr>
          <w:color w:val="231F20"/>
          <w:spacing w:val="-6"/>
        </w:rPr>
        <w:t> </w:t>
      </w:r>
      <w:r>
        <w:rPr>
          <w:color w:val="231F20"/>
        </w:rPr>
        <w:t>поља</w:t>
      </w:r>
      <w:r>
        <w:rPr>
          <w:color w:val="231F20"/>
          <w:spacing w:val="-6"/>
        </w:rPr>
        <w:t> </w:t>
      </w:r>
      <w:r>
        <w:rPr>
          <w:color w:val="231F20"/>
        </w:rPr>
        <w:t>(2ТР</w:t>
      </w:r>
      <w:r>
        <w:rPr>
          <w:color w:val="231F20"/>
          <w:spacing w:val="-5"/>
        </w:rPr>
        <w:t> </w:t>
      </w:r>
      <w:r>
        <w:rPr>
          <w:color w:val="231F20"/>
        </w:rPr>
        <w:t>+</w:t>
      </w:r>
      <w:r>
        <w:rPr>
          <w:color w:val="231F20"/>
          <w:spacing w:val="-5"/>
        </w:rPr>
        <w:t> </w:t>
      </w:r>
      <w:r>
        <w:rPr>
          <w:color w:val="231F20"/>
        </w:rPr>
        <w:t>2ДВ</w:t>
      </w:r>
      <w:r>
        <w:rPr>
          <w:color w:val="231F20"/>
          <w:spacing w:val="-5"/>
        </w:rPr>
        <w:t> </w:t>
      </w:r>
      <w:r>
        <w:rPr>
          <w:color w:val="231F20"/>
        </w:rPr>
        <w:t>+</w:t>
      </w:r>
      <w:r>
        <w:rPr>
          <w:color w:val="231F20"/>
          <w:spacing w:val="-5"/>
        </w:rPr>
        <w:t> </w:t>
      </w:r>
      <w:r>
        <w:rPr>
          <w:color w:val="231F20"/>
        </w:rPr>
        <w:t>1РЕЗ).</w:t>
      </w:r>
      <w:r>
        <w:rPr>
          <w:color w:val="231F20"/>
          <w:spacing w:val="-6"/>
        </w:rPr>
        <w:t> </w:t>
      </w:r>
      <w:r>
        <w:rPr>
          <w:color w:val="231F20"/>
        </w:rPr>
        <w:t>Трансформација</w:t>
      </w:r>
      <w:r>
        <w:rPr>
          <w:color w:val="231F20"/>
          <w:spacing w:val="-6"/>
        </w:rPr>
        <w:t> </w:t>
      </w:r>
      <w:r>
        <w:rPr>
          <w:color w:val="231F20"/>
        </w:rPr>
        <w:t>110/35/10 kV је са два енергетска трансформатора снаге 31,5/31,5/10,5 </w:t>
      </w:r>
      <w:r>
        <w:rPr>
          <w:color w:val="231F20"/>
          <w:spacing w:val="-7"/>
        </w:rPr>
        <w:t>MVA. </w:t>
      </w:r>
      <w:r>
        <w:rPr>
          <w:color w:val="231F20"/>
        </w:rPr>
        <w:t>Постројења 35 kV и 10 kV предвиђена су за унутрашњу </w:t>
      </w:r>
      <w:r>
        <w:rPr>
          <w:color w:val="231F20"/>
          <w:spacing w:val="-3"/>
        </w:rPr>
        <w:t>монтажу. </w:t>
      </w:r>
      <w:r>
        <w:rPr>
          <w:color w:val="231F20"/>
        </w:rPr>
        <w:t>Постројење 35 kV предвиђено је са 20 ћелија (2ТР + 2М + 1СП + 8ДВ + 7РЕЗ), а постројење 10 kV са 40 ћелија (2ТР + 2М + 1СП + 2КТМ + 19ДВ + 14РЕЗ). ТС 110/35/10 kV „Пожаревац 2” се при- кључује на постојећи дупли </w:t>
      </w:r>
      <w:r>
        <w:rPr>
          <w:color w:val="231F20"/>
          <w:spacing w:val="-3"/>
        </w:rPr>
        <w:t>110 </w:t>
      </w:r>
      <w:r>
        <w:rPr>
          <w:color w:val="231F20"/>
        </w:rPr>
        <w:t>kV надземни </w:t>
      </w:r>
      <w:r>
        <w:rPr>
          <w:color w:val="231F20"/>
          <w:spacing w:val="-3"/>
        </w:rPr>
        <w:t>вод </w:t>
      </w:r>
      <w:r>
        <w:rPr>
          <w:color w:val="231F20"/>
        </w:rPr>
        <w:t>ТЕ Костолац – ТС 220/110 kV „Смедерево 3” (постојећи </w:t>
      </w:r>
      <w:r>
        <w:rPr>
          <w:color w:val="231F20"/>
          <w:spacing w:val="-3"/>
        </w:rPr>
        <w:t>далековод 110 </w:t>
      </w:r>
      <w:r>
        <w:rPr>
          <w:color w:val="231F20"/>
        </w:rPr>
        <w:t>kV 1144  А и 1144 Б) између сеоских насеља Живица и Брежане. Од по- стојећег дуплог </w:t>
      </w:r>
      <w:r>
        <w:rPr>
          <w:color w:val="231F20"/>
          <w:spacing w:val="-3"/>
        </w:rPr>
        <w:t>110 </w:t>
      </w:r>
      <w:r>
        <w:rPr>
          <w:color w:val="231F20"/>
        </w:rPr>
        <w:t>kV надземног вода ТЕ Костолац – ТС 220/110 kV „Смедерево 3” до ТС 110/35/10 kV „Пожаревац 2” потребно је изградити дупли </w:t>
      </w:r>
      <w:r>
        <w:rPr>
          <w:color w:val="231F20"/>
          <w:spacing w:val="-3"/>
        </w:rPr>
        <w:t>далековод 110 </w:t>
      </w:r>
      <w:r>
        <w:rPr>
          <w:color w:val="231F20"/>
        </w:rPr>
        <w:t>kV на челично-решеткастим сту- бовима 2 x (3 x Ал/Че 240/40 mm²) са OPGW ужетом. </w:t>
      </w:r>
      <w:r>
        <w:rPr>
          <w:color w:val="231F20"/>
          <w:spacing w:val="-4"/>
        </w:rPr>
        <w:t>Укупна </w:t>
      </w:r>
      <w:r>
        <w:rPr>
          <w:color w:val="231F20"/>
        </w:rPr>
        <w:t>ду- жина прикључног дуплог </w:t>
      </w:r>
      <w:r>
        <w:rPr>
          <w:color w:val="231F20"/>
          <w:spacing w:val="-3"/>
        </w:rPr>
        <w:t>110 </w:t>
      </w:r>
      <w:r>
        <w:rPr>
          <w:color w:val="231F20"/>
        </w:rPr>
        <w:t>kV надземног вода за ТС 110/35/10 kV „Пожаревац 2” износи </w:t>
      </w:r>
      <w:r>
        <w:rPr>
          <w:color w:val="231F20"/>
          <w:spacing w:val="-4"/>
        </w:rPr>
        <w:t>око </w:t>
      </w:r>
      <w:r>
        <w:rPr>
          <w:color w:val="231F20"/>
        </w:rPr>
        <w:t>6</w:t>
      </w:r>
      <w:r>
        <w:rPr>
          <w:color w:val="231F20"/>
          <w:spacing w:val="-1"/>
        </w:rPr>
        <w:t> </w:t>
      </w:r>
      <w:r>
        <w:rPr>
          <w:color w:val="231F20"/>
        </w:rPr>
        <w:t>km.</w:t>
      </w:r>
    </w:p>
    <w:p>
      <w:pPr>
        <w:pStyle w:val="BodyText"/>
        <w:spacing w:line="187" w:lineRule="exact"/>
        <w:ind w:left="567"/>
        <w:jc w:val="left"/>
      </w:pPr>
      <w:r>
        <w:rPr>
          <w:color w:val="231F20"/>
        </w:rPr>
        <w:t>Трафостаница је предвиђена за потребе напајања електрич-</w:t>
      </w:r>
    </w:p>
    <w:p>
      <w:pPr>
        <w:pStyle w:val="BodyText"/>
        <w:spacing w:line="232" w:lineRule="auto"/>
        <w:ind w:right="407" w:hanging="1"/>
      </w:pPr>
      <w:r>
        <w:rPr>
          <w:color w:val="231F20"/>
        </w:rPr>
        <w:t>ном</w:t>
      </w:r>
      <w:r>
        <w:rPr>
          <w:color w:val="231F20"/>
          <w:spacing w:val="-5"/>
        </w:rPr>
        <w:t> </w:t>
      </w:r>
      <w:r>
        <w:rPr>
          <w:color w:val="231F20"/>
        </w:rPr>
        <w:t>енергијом</w:t>
      </w:r>
      <w:r>
        <w:rPr>
          <w:color w:val="231F20"/>
          <w:spacing w:val="-5"/>
        </w:rPr>
        <w:t> </w:t>
      </w:r>
      <w:r>
        <w:rPr>
          <w:color w:val="231F20"/>
        </w:rPr>
        <w:t>индустријске</w:t>
      </w:r>
      <w:r>
        <w:rPr>
          <w:color w:val="231F20"/>
          <w:spacing w:val="-5"/>
        </w:rPr>
        <w:t> </w:t>
      </w:r>
      <w:r>
        <w:rPr>
          <w:color w:val="231F20"/>
        </w:rPr>
        <w:t>зоне</w:t>
      </w:r>
      <w:r>
        <w:rPr>
          <w:color w:val="231F20"/>
          <w:spacing w:val="-5"/>
        </w:rPr>
        <w:t> </w:t>
      </w:r>
      <w:r>
        <w:rPr>
          <w:color w:val="231F20"/>
        </w:rPr>
        <w:t>града</w:t>
      </w:r>
      <w:r>
        <w:rPr>
          <w:color w:val="231F20"/>
          <w:spacing w:val="-5"/>
        </w:rPr>
        <w:t> </w:t>
      </w:r>
      <w:r>
        <w:rPr>
          <w:color w:val="231F20"/>
        </w:rPr>
        <w:t>Пожаревца,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двостру- </w:t>
      </w:r>
      <w:r>
        <w:rPr>
          <w:color w:val="231F20"/>
          <w:spacing w:val="-4"/>
        </w:rPr>
        <w:t>ког </w:t>
      </w:r>
      <w:r>
        <w:rPr>
          <w:color w:val="231F20"/>
        </w:rPr>
        <w:t>напајања</w:t>
      </w:r>
      <w:r>
        <w:rPr>
          <w:color w:val="231F20"/>
          <w:spacing w:val="-4"/>
        </w:rPr>
        <w:t> </w:t>
      </w:r>
      <w:r>
        <w:rPr>
          <w:color w:val="231F20"/>
        </w:rPr>
        <w:t>постојећих</w:t>
      </w:r>
      <w:r>
        <w:rPr>
          <w:color w:val="231F20"/>
          <w:spacing w:val="-4"/>
        </w:rPr>
        <w:t> </w:t>
      </w:r>
      <w:r>
        <w:rPr>
          <w:color w:val="231F20"/>
        </w:rPr>
        <w:t>ТС</w:t>
      </w:r>
      <w:r>
        <w:rPr>
          <w:color w:val="231F20"/>
          <w:spacing w:val="-4"/>
        </w:rPr>
        <w:t> </w:t>
      </w:r>
      <w:r>
        <w:rPr>
          <w:color w:val="231F20"/>
        </w:rPr>
        <w:t>35/10</w:t>
      </w:r>
      <w:r>
        <w:rPr>
          <w:color w:val="231F20"/>
          <w:spacing w:val="-4"/>
        </w:rPr>
        <w:t> </w:t>
      </w:r>
      <w:r>
        <w:rPr>
          <w:color w:val="231F20"/>
        </w:rPr>
        <w:t>kV</w:t>
      </w:r>
      <w:r>
        <w:rPr>
          <w:color w:val="231F20"/>
          <w:spacing w:val="-7"/>
        </w:rPr>
        <w:t> </w:t>
      </w:r>
      <w:r>
        <w:rPr>
          <w:color w:val="231F20"/>
        </w:rPr>
        <w:t>у</w:t>
      </w:r>
      <w:r>
        <w:rPr>
          <w:color w:val="231F20"/>
          <w:spacing w:val="-4"/>
        </w:rPr>
        <w:t> </w:t>
      </w:r>
      <w:r>
        <w:rPr>
          <w:color w:val="231F20"/>
        </w:rPr>
        <w:t>граду</w:t>
      </w:r>
      <w:r>
        <w:rPr>
          <w:color w:val="231F20"/>
          <w:spacing w:val="-4"/>
        </w:rPr>
        <w:t> </w:t>
      </w:r>
      <w:r>
        <w:rPr>
          <w:color w:val="231F20"/>
        </w:rPr>
        <w:t>Пожаревцу</w:t>
      </w:r>
      <w:r>
        <w:rPr>
          <w:color w:val="231F20"/>
          <w:spacing w:val="-4"/>
        </w:rPr>
        <w:t> </w:t>
      </w:r>
      <w:r>
        <w:rPr>
          <w:color w:val="231F20"/>
        </w:rPr>
        <w:t>и</w:t>
      </w:r>
      <w:r>
        <w:rPr>
          <w:color w:val="231F20"/>
          <w:spacing w:val="-4"/>
        </w:rPr>
        <w:t> </w:t>
      </w:r>
      <w:r>
        <w:rPr>
          <w:color w:val="231F20"/>
        </w:rPr>
        <w:t>побољ- шања</w:t>
      </w:r>
      <w:r>
        <w:rPr>
          <w:color w:val="231F20"/>
          <w:spacing w:val="-8"/>
        </w:rPr>
        <w:t> </w:t>
      </w:r>
      <w:r>
        <w:rPr>
          <w:color w:val="231F20"/>
        </w:rPr>
        <w:t>напајања</w:t>
      </w:r>
      <w:r>
        <w:rPr>
          <w:color w:val="231F20"/>
          <w:spacing w:val="-8"/>
        </w:rPr>
        <w:t> </w:t>
      </w:r>
      <w:r>
        <w:rPr>
          <w:color w:val="231F20"/>
        </w:rPr>
        <w:t>потрошача</w:t>
      </w:r>
      <w:r>
        <w:rPr>
          <w:color w:val="231F20"/>
          <w:spacing w:val="-8"/>
        </w:rPr>
        <w:t> </w:t>
      </w:r>
      <w:r>
        <w:rPr>
          <w:color w:val="231F20"/>
        </w:rPr>
        <w:t>на</w:t>
      </w:r>
      <w:r>
        <w:rPr>
          <w:color w:val="231F20"/>
          <w:spacing w:val="-8"/>
        </w:rPr>
        <w:t> </w:t>
      </w:r>
      <w:r>
        <w:rPr>
          <w:color w:val="231F20"/>
        </w:rPr>
        <w:t>ширем</w:t>
      </w:r>
      <w:r>
        <w:rPr>
          <w:color w:val="231F20"/>
          <w:spacing w:val="-8"/>
        </w:rPr>
        <w:t> </w:t>
      </w:r>
      <w:r>
        <w:rPr>
          <w:color w:val="231F20"/>
        </w:rPr>
        <w:t>подручју</w:t>
      </w:r>
      <w:r>
        <w:rPr>
          <w:color w:val="231F20"/>
          <w:spacing w:val="-8"/>
        </w:rPr>
        <w:t> </w:t>
      </w:r>
      <w:r>
        <w:rPr>
          <w:color w:val="231F20"/>
        </w:rPr>
        <w:t>града</w:t>
      </w:r>
      <w:r>
        <w:rPr>
          <w:color w:val="231F20"/>
          <w:spacing w:val="-8"/>
        </w:rPr>
        <w:t> </w:t>
      </w:r>
      <w:r>
        <w:rPr>
          <w:color w:val="231F20"/>
        </w:rPr>
        <w:t>Пожаревца.</w:t>
      </w:r>
      <w:r>
        <w:rPr>
          <w:color w:val="231F20"/>
          <w:spacing w:val="-8"/>
        </w:rPr>
        <w:t> </w:t>
      </w:r>
      <w:r>
        <w:rPr>
          <w:color w:val="231F20"/>
        </w:rPr>
        <w:t>У првој</w:t>
      </w:r>
      <w:r>
        <w:rPr>
          <w:color w:val="231F20"/>
          <w:spacing w:val="-6"/>
        </w:rPr>
        <w:t> </w:t>
      </w:r>
      <w:r>
        <w:rPr>
          <w:color w:val="231F20"/>
        </w:rPr>
        <w:t>фази</w:t>
      </w:r>
      <w:r>
        <w:rPr>
          <w:color w:val="231F20"/>
          <w:spacing w:val="-6"/>
        </w:rPr>
        <w:t> </w:t>
      </w:r>
      <w:r>
        <w:rPr>
          <w:color w:val="231F20"/>
        </w:rPr>
        <w:t>предвиђено</w:t>
      </w:r>
      <w:r>
        <w:rPr>
          <w:color w:val="231F20"/>
          <w:spacing w:val="-6"/>
        </w:rPr>
        <w:t> </w:t>
      </w:r>
      <w:r>
        <w:rPr>
          <w:color w:val="231F20"/>
        </w:rPr>
        <w:t>је</w:t>
      </w:r>
      <w:r>
        <w:rPr>
          <w:color w:val="231F20"/>
          <w:spacing w:val="-5"/>
        </w:rPr>
        <w:t> </w:t>
      </w:r>
      <w:r>
        <w:rPr>
          <w:color w:val="231F20"/>
        </w:rPr>
        <w:t>напајање</w:t>
      </w:r>
      <w:r>
        <w:rPr>
          <w:color w:val="231F20"/>
          <w:spacing w:val="-6"/>
        </w:rPr>
        <w:t> </w:t>
      </w:r>
      <w:r>
        <w:rPr>
          <w:color w:val="231F20"/>
        </w:rPr>
        <w:t>постојећих</w:t>
      </w:r>
      <w:r>
        <w:rPr>
          <w:color w:val="231F20"/>
          <w:spacing w:val="-6"/>
        </w:rPr>
        <w:t> </w:t>
      </w:r>
      <w:r>
        <w:rPr>
          <w:color w:val="231F20"/>
        </w:rPr>
        <w:t>трафостаница</w:t>
      </w:r>
      <w:r>
        <w:rPr>
          <w:color w:val="231F20"/>
          <w:spacing w:val="-6"/>
        </w:rPr>
        <w:t> </w:t>
      </w:r>
      <w:r>
        <w:rPr>
          <w:color w:val="231F20"/>
        </w:rPr>
        <w:t>35/10 kV и 10/0,4 kV у </w:t>
      </w:r>
      <w:r>
        <w:rPr>
          <w:color w:val="231F20"/>
          <w:spacing w:val="-3"/>
        </w:rPr>
        <w:t>Пожаревцу, </w:t>
      </w:r>
      <w:r>
        <w:rPr>
          <w:color w:val="231F20"/>
        </w:rPr>
        <w:t>са укупном једновременом снагом  </w:t>
      </w:r>
      <w:r>
        <w:rPr>
          <w:color w:val="231F20"/>
          <w:spacing w:val="-3"/>
        </w:rPr>
        <w:t>од </w:t>
      </w:r>
      <w:r>
        <w:rPr>
          <w:color w:val="231F20"/>
        </w:rPr>
        <w:t>18 </w:t>
      </w:r>
      <w:r>
        <w:rPr>
          <w:color w:val="231F20"/>
          <w:spacing w:val="-6"/>
        </w:rPr>
        <w:t>MW. </w:t>
      </w:r>
      <w:r>
        <w:rPr>
          <w:color w:val="231F20"/>
        </w:rPr>
        <w:t>У другој фази предвиђа се напајање </w:t>
      </w:r>
      <w:r>
        <w:rPr>
          <w:color w:val="231F20"/>
          <w:spacing w:val="-4"/>
        </w:rPr>
        <w:t>будуће </w:t>
      </w:r>
      <w:r>
        <w:rPr>
          <w:color w:val="231F20"/>
        </w:rPr>
        <w:t>нове ин- дустријске зоне </w:t>
      </w:r>
      <w:r>
        <w:rPr>
          <w:color w:val="231F20"/>
          <w:spacing w:val="-3"/>
        </w:rPr>
        <w:t>која </w:t>
      </w:r>
      <w:r>
        <w:rPr>
          <w:color w:val="231F20"/>
        </w:rPr>
        <w:t>се процењује на додатних једновремених 20 </w:t>
      </w:r>
      <w:r>
        <w:rPr>
          <w:color w:val="231F20"/>
          <w:spacing w:val="-6"/>
        </w:rPr>
        <w:t>MW. </w:t>
      </w:r>
      <w:r>
        <w:rPr>
          <w:color w:val="231F20"/>
        </w:rPr>
        <w:t>Тиме би се знатно растеретила ТС 110/35 kV „Пожаревац 1” са тренутним режимом оптерећења </w:t>
      </w:r>
      <w:r>
        <w:rPr>
          <w:color w:val="231F20"/>
          <w:spacing w:val="-3"/>
        </w:rPr>
        <w:t>од </w:t>
      </w:r>
      <w:r>
        <w:rPr>
          <w:color w:val="231F20"/>
        </w:rPr>
        <w:t>55 </w:t>
      </w:r>
      <w:r>
        <w:rPr>
          <w:color w:val="231F20"/>
          <w:spacing w:val="-6"/>
        </w:rPr>
        <w:t>МW, </w:t>
      </w:r>
      <w:r>
        <w:rPr>
          <w:color w:val="231F20"/>
        </w:rPr>
        <w:t>а </w:t>
      </w:r>
      <w:r>
        <w:rPr>
          <w:color w:val="231F20"/>
          <w:spacing w:val="-3"/>
        </w:rPr>
        <w:t>које </w:t>
      </w:r>
      <w:r>
        <w:rPr>
          <w:color w:val="231F20"/>
        </w:rPr>
        <w:t>у појединим периодима</w:t>
      </w:r>
      <w:r>
        <w:rPr>
          <w:color w:val="231F20"/>
          <w:spacing w:val="-5"/>
        </w:rPr>
        <w:t> </w:t>
      </w:r>
      <w:r>
        <w:rPr>
          <w:color w:val="231F20"/>
        </w:rPr>
        <w:t>превазилази</w:t>
      </w:r>
      <w:r>
        <w:rPr>
          <w:color w:val="231F20"/>
          <w:spacing w:val="-5"/>
        </w:rPr>
        <w:t> </w:t>
      </w:r>
      <w:r>
        <w:rPr>
          <w:color w:val="231F20"/>
        </w:rPr>
        <w:t>и</w:t>
      </w:r>
      <w:r>
        <w:rPr>
          <w:color w:val="231F20"/>
          <w:spacing w:val="-5"/>
        </w:rPr>
        <w:t> </w:t>
      </w:r>
      <w:r>
        <w:rPr>
          <w:color w:val="231F20"/>
        </w:rPr>
        <w:t>90%</w:t>
      </w:r>
      <w:r>
        <w:rPr>
          <w:color w:val="231F20"/>
          <w:spacing w:val="-5"/>
        </w:rPr>
        <w:t> </w:t>
      </w:r>
      <w:r>
        <w:rPr>
          <w:color w:val="231F20"/>
        </w:rPr>
        <w:t>инсталисане</w:t>
      </w:r>
      <w:r>
        <w:rPr>
          <w:color w:val="231F20"/>
          <w:spacing w:val="-5"/>
        </w:rPr>
        <w:t> </w:t>
      </w:r>
      <w:r>
        <w:rPr>
          <w:color w:val="231F20"/>
        </w:rPr>
        <w:t>снаге.</w:t>
      </w:r>
      <w:r>
        <w:rPr>
          <w:color w:val="231F20"/>
          <w:spacing w:val="-5"/>
        </w:rPr>
        <w:t> </w:t>
      </w:r>
      <w:r>
        <w:rPr>
          <w:color w:val="231F20"/>
        </w:rPr>
        <w:t>С</w:t>
      </w:r>
      <w:r>
        <w:rPr>
          <w:color w:val="231F20"/>
          <w:spacing w:val="-5"/>
        </w:rPr>
        <w:t> </w:t>
      </w:r>
      <w:r>
        <w:rPr>
          <w:color w:val="231F20"/>
        </w:rPr>
        <w:t>обзиром</w:t>
      </w:r>
      <w:r>
        <w:rPr>
          <w:color w:val="231F20"/>
          <w:spacing w:val="-5"/>
        </w:rPr>
        <w:t> </w:t>
      </w:r>
      <w:r>
        <w:rPr>
          <w:color w:val="231F20"/>
        </w:rPr>
        <w:t>на</w:t>
      </w:r>
      <w:r>
        <w:rPr>
          <w:color w:val="231F20"/>
          <w:spacing w:val="-5"/>
        </w:rPr>
        <w:t> </w:t>
      </w:r>
      <w:r>
        <w:rPr>
          <w:color w:val="231F20"/>
        </w:rPr>
        <w:t>то да ТС 110/35kV „Пожаревац 1” не карактерише фактор сигурно- сти N-1, изградњом ТС 110/35/10kV „Пожаревац 2” би се значајно побољшала поузданост напајања</w:t>
      </w:r>
      <w:r>
        <w:rPr>
          <w:color w:val="231F20"/>
          <w:spacing w:val="-5"/>
        </w:rPr>
        <w:t> </w:t>
      </w:r>
      <w:r>
        <w:rPr>
          <w:color w:val="231F20"/>
        </w:rPr>
        <w:t>потрошача.</w:t>
      </w:r>
    </w:p>
    <w:p>
      <w:pPr>
        <w:pStyle w:val="BodyText"/>
        <w:spacing w:line="232" w:lineRule="auto"/>
        <w:ind w:left="172" w:right="406" w:firstLine="396"/>
      </w:pPr>
      <w:r>
        <w:rPr>
          <w:color w:val="231F20"/>
        </w:rPr>
        <w:t>У циљу двостраног напајања ТС 110/35 kV „Велико </w:t>
      </w:r>
      <w:r>
        <w:rPr>
          <w:color w:val="231F20"/>
          <w:spacing w:val="-3"/>
        </w:rPr>
        <w:t>Гради- </w:t>
      </w:r>
      <w:r>
        <w:rPr>
          <w:color w:val="231F20"/>
        </w:rPr>
        <w:t>ште”</w:t>
      </w:r>
      <w:r>
        <w:rPr>
          <w:color w:val="231F20"/>
          <w:spacing w:val="-6"/>
        </w:rPr>
        <w:t> </w:t>
      </w:r>
      <w:r>
        <w:rPr>
          <w:color w:val="231F20"/>
        </w:rPr>
        <w:t>једна</w:t>
      </w:r>
      <w:r>
        <w:rPr>
          <w:color w:val="231F20"/>
          <w:spacing w:val="-6"/>
        </w:rPr>
        <w:t> </w:t>
      </w:r>
      <w:r>
        <w:rPr>
          <w:color w:val="231F20"/>
          <w:spacing w:val="-3"/>
        </w:rPr>
        <w:t>од</w:t>
      </w:r>
      <w:r>
        <w:rPr>
          <w:color w:val="231F20"/>
          <w:spacing w:val="-6"/>
        </w:rPr>
        <w:t> </w:t>
      </w:r>
      <w:r>
        <w:rPr>
          <w:color w:val="231F20"/>
        </w:rPr>
        <w:t>варијанти</w:t>
      </w:r>
      <w:r>
        <w:rPr>
          <w:color w:val="231F20"/>
          <w:spacing w:val="-6"/>
        </w:rPr>
        <w:t> </w:t>
      </w:r>
      <w:r>
        <w:rPr>
          <w:color w:val="231F20"/>
        </w:rPr>
        <w:t>је</w:t>
      </w:r>
      <w:r>
        <w:rPr>
          <w:color w:val="231F20"/>
          <w:spacing w:val="-6"/>
        </w:rPr>
        <w:t> </w:t>
      </w:r>
      <w:r>
        <w:rPr>
          <w:color w:val="231F20"/>
        </w:rPr>
        <w:t>изградња</w:t>
      </w:r>
      <w:r>
        <w:rPr>
          <w:color w:val="231F20"/>
          <w:spacing w:val="-6"/>
        </w:rPr>
        <w:t> </w:t>
      </w:r>
      <w:r>
        <w:rPr>
          <w:color w:val="231F20"/>
          <w:spacing w:val="-3"/>
        </w:rPr>
        <w:t>110</w:t>
      </w:r>
      <w:r>
        <w:rPr>
          <w:color w:val="231F20"/>
          <w:spacing w:val="-6"/>
        </w:rPr>
        <w:t> </w:t>
      </w:r>
      <w:r>
        <w:rPr>
          <w:color w:val="231F20"/>
        </w:rPr>
        <w:t>kV</w:t>
      </w:r>
      <w:r>
        <w:rPr>
          <w:color w:val="231F20"/>
          <w:spacing w:val="-9"/>
        </w:rPr>
        <w:t> </w:t>
      </w:r>
      <w:r>
        <w:rPr>
          <w:color w:val="231F20"/>
        </w:rPr>
        <w:t>надземног</w:t>
      </w:r>
      <w:r>
        <w:rPr>
          <w:color w:val="231F20"/>
          <w:spacing w:val="-6"/>
        </w:rPr>
        <w:t> </w:t>
      </w:r>
      <w:r>
        <w:rPr>
          <w:color w:val="231F20"/>
        </w:rPr>
        <w:t>вода</w:t>
      </w:r>
      <w:r>
        <w:rPr>
          <w:color w:val="231F20"/>
          <w:spacing w:val="-6"/>
        </w:rPr>
        <w:t> </w:t>
      </w:r>
      <w:r>
        <w:rPr>
          <w:color w:val="231F20"/>
        </w:rPr>
        <w:t>Дрмно</w:t>
      </w:r>
    </w:p>
    <w:p>
      <w:pPr>
        <w:pStyle w:val="BodyText"/>
        <w:spacing w:line="232" w:lineRule="auto"/>
        <w:ind w:left="172" w:right="403"/>
      </w:pPr>
      <w:r>
        <w:rPr>
          <w:color w:val="231F20"/>
          <w:w w:val="66"/>
        </w:rPr>
        <w:t> </w:t>
      </w:r>
      <w:r>
        <w:rPr>
          <w:color w:val="231F20"/>
        </w:rPr>
        <w:t>– Велико Градиште чија би траса највећим делом била паралелна са трасом постојећег </w:t>
      </w:r>
      <w:r>
        <w:rPr>
          <w:color w:val="231F20"/>
          <w:spacing w:val="-3"/>
        </w:rPr>
        <w:t>110 </w:t>
      </w:r>
      <w:r>
        <w:rPr>
          <w:color w:val="231F20"/>
        </w:rPr>
        <w:t>kV надземног вода, којим се напаја ТС 110/35</w:t>
      </w:r>
      <w:r>
        <w:rPr>
          <w:color w:val="231F20"/>
          <w:spacing w:val="-9"/>
        </w:rPr>
        <w:t> </w:t>
      </w:r>
      <w:r>
        <w:rPr>
          <w:color w:val="231F20"/>
        </w:rPr>
        <w:t>kV</w:t>
      </w:r>
      <w:r>
        <w:rPr>
          <w:color w:val="231F20"/>
          <w:spacing w:val="-12"/>
        </w:rPr>
        <w:t> </w:t>
      </w:r>
      <w:r>
        <w:rPr>
          <w:color w:val="231F20"/>
        </w:rPr>
        <w:t>„Велико</w:t>
      </w:r>
      <w:r>
        <w:rPr>
          <w:color w:val="231F20"/>
          <w:spacing w:val="-9"/>
        </w:rPr>
        <w:t> </w:t>
      </w:r>
      <w:r>
        <w:rPr>
          <w:color w:val="231F20"/>
        </w:rPr>
        <w:t>Градиште”.</w:t>
      </w:r>
      <w:r>
        <w:rPr>
          <w:color w:val="231F20"/>
          <w:spacing w:val="-9"/>
        </w:rPr>
        <w:t> </w:t>
      </w:r>
      <w:r>
        <w:rPr>
          <w:color w:val="231F20"/>
        </w:rPr>
        <w:t>Друга</w:t>
      </w:r>
      <w:r>
        <w:rPr>
          <w:color w:val="231F20"/>
          <w:spacing w:val="-9"/>
        </w:rPr>
        <w:t> </w:t>
      </w:r>
      <w:r>
        <w:rPr>
          <w:color w:val="231F20"/>
        </w:rPr>
        <w:t>варијанта</w:t>
      </w:r>
      <w:r>
        <w:rPr>
          <w:color w:val="231F20"/>
          <w:spacing w:val="-9"/>
        </w:rPr>
        <w:t> </w:t>
      </w:r>
      <w:r>
        <w:rPr>
          <w:color w:val="231F20"/>
        </w:rPr>
        <w:t>је</w:t>
      </w:r>
      <w:r>
        <w:rPr>
          <w:color w:val="231F20"/>
          <w:spacing w:val="-9"/>
        </w:rPr>
        <w:t> </w:t>
      </w:r>
      <w:r>
        <w:rPr>
          <w:color w:val="231F20"/>
        </w:rPr>
        <w:t>изградња</w:t>
      </w:r>
      <w:r>
        <w:rPr>
          <w:color w:val="231F20"/>
          <w:spacing w:val="-9"/>
        </w:rPr>
        <w:t> </w:t>
      </w:r>
      <w:r>
        <w:rPr>
          <w:color w:val="231F20"/>
          <w:spacing w:val="-3"/>
        </w:rPr>
        <w:t>110</w:t>
      </w:r>
      <w:r>
        <w:rPr>
          <w:color w:val="231F20"/>
          <w:spacing w:val="-9"/>
        </w:rPr>
        <w:t> </w:t>
      </w:r>
      <w:r>
        <w:rPr>
          <w:color w:val="231F20"/>
        </w:rPr>
        <w:t>kV надземног вода Нересница – Велико</w:t>
      </w:r>
      <w:r>
        <w:rPr>
          <w:color w:val="231F20"/>
          <w:spacing w:val="-27"/>
        </w:rPr>
        <w:t> </w:t>
      </w:r>
      <w:r>
        <w:rPr>
          <w:color w:val="231F20"/>
        </w:rPr>
        <w:t>Градиште.</w:t>
      </w:r>
    </w:p>
    <w:p>
      <w:pPr>
        <w:pStyle w:val="BodyText"/>
        <w:spacing w:line="232" w:lineRule="auto"/>
        <w:ind w:left="172" w:right="403" w:firstLine="397"/>
      </w:pPr>
      <w:r>
        <w:rPr>
          <w:color w:val="231F20"/>
        </w:rPr>
        <w:t>На 35 kV </w:t>
      </w:r>
      <w:r>
        <w:rPr>
          <w:color w:val="231F20"/>
          <w:spacing w:val="-3"/>
        </w:rPr>
        <w:t>напонском </w:t>
      </w:r>
      <w:r>
        <w:rPr>
          <w:color w:val="231F20"/>
        </w:rPr>
        <w:t>нивоу планирана је изградња 35 kV над- земног вода </w:t>
      </w:r>
      <w:r>
        <w:rPr>
          <w:color w:val="231F20"/>
          <w:spacing w:val="-3"/>
        </w:rPr>
        <w:t>од </w:t>
      </w:r>
      <w:r>
        <w:rPr>
          <w:color w:val="231F20"/>
        </w:rPr>
        <w:t>трафостанице 110/35 kV „Пожаревац 1” до тра- фостанице 35/10 kV „Костолац 2” коридором </w:t>
      </w:r>
      <w:r>
        <w:rPr>
          <w:color w:val="231F20"/>
          <w:spacing w:val="-4"/>
        </w:rPr>
        <w:t>„Ћириковац </w:t>
      </w:r>
      <w:r>
        <w:rPr>
          <w:color w:val="231F20"/>
        </w:rPr>
        <w:t>– </w:t>
      </w:r>
      <w:r>
        <w:rPr>
          <w:color w:val="231F20"/>
          <w:spacing w:val="-3"/>
        </w:rPr>
        <w:t>Ко- </w:t>
      </w:r>
      <w:r>
        <w:rPr>
          <w:color w:val="231F20"/>
        </w:rPr>
        <w:t>столац”. </w:t>
      </w:r>
      <w:r>
        <w:rPr>
          <w:color w:val="231F20"/>
          <w:spacing w:val="-3"/>
        </w:rPr>
        <w:t>Такође, </w:t>
      </w:r>
      <w:r>
        <w:rPr>
          <w:color w:val="231F20"/>
        </w:rPr>
        <w:t>постоји и варијанта изградње нове ТС 35/10 kV</w:t>
      </w:r>
    </w:p>
    <w:p>
      <w:pPr>
        <w:pStyle w:val="BodyText"/>
        <w:spacing w:line="232" w:lineRule="auto"/>
        <w:ind w:left="172" w:right="403"/>
      </w:pPr>
      <w:r>
        <w:rPr>
          <w:color w:val="231F20"/>
        </w:rPr>
        <w:t>„Звезда” са 2 х 8 МVА, лоцирана северно </w:t>
      </w:r>
      <w:r>
        <w:rPr>
          <w:color w:val="231F20"/>
          <w:spacing w:val="-3"/>
        </w:rPr>
        <w:t>од </w:t>
      </w:r>
      <w:r>
        <w:rPr>
          <w:color w:val="231F20"/>
        </w:rPr>
        <w:t>града, и </w:t>
      </w:r>
      <w:r>
        <w:rPr>
          <w:color w:val="231F20"/>
          <w:spacing w:val="-3"/>
        </w:rPr>
        <w:t>кабловског </w:t>
      </w:r>
      <w:r>
        <w:rPr>
          <w:color w:val="231F20"/>
        </w:rPr>
        <w:t>вода </w:t>
      </w:r>
      <w:r>
        <w:rPr>
          <w:color w:val="231F20"/>
          <w:spacing w:val="-3"/>
        </w:rPr>
        <w:t>од </w:t>
      </w:r>
      <w:r>
        <w:rPr>
          <w:color w:val="231F20"/>
        </w:rPr>
        <w:t>ТС 110/35 kV „Пожаревац 1” дужине 7 km. У циљу пове- ћања сигурности и квалитета у снабдевању електричном енерги- јом планирана је изградња трафостаница 10/0,4 </w:t>
      </w:r>
      <w:r>
        <w:rPr>
          <w:color w:val="231F20"/>
          <w:spacing w:val="-8"/>
        </w:rPr>
        <w:t>kV, </w:t>
      </w:r>
      <w:r>
        <w:rPr>
          <w:color w:val="231F20"/>
        </w:rPr>
        <w:t>10 kV надзем- них водова, као и реконструкција постојеће нисконапонске мреже 0,4 kV </w:t>
      </w:r>
      <w:r>
        <w:rPr>
          <w:color w:val="231F20"/>
          <w:spacing w:val="-3"/>
        </w:rPr>
        <w:t>која </w:t>
      </w:r>
      <w:r>
        <w:rPr>
          <w:color w:val="231F20"/>
        </w:rPr>
        <w:t>подразумева замену дрвених стубова бетонским, као  и проводника </w:t>
      </w:r>
      <w:r>
        <w:rPr>
          <w:color w:val="231F20"/>
          <w:spacing w:val="-3"/>
        </w:rPr>
        <w:t>од </w:t>
      </w:r>
      <w:r>
        <w:rPr>
          <w:color w:val="231F20"/>
        </w:rPr>
        <w:t>AЛ/ЧЕ ужета самоносивим кабловским снопом. Из трафостанице 35/10 kV „Костолац 2” предвиђени су радови на прикључењу појединих 10 kV водова, </w:t>
      </w:r>
      <w:r>
        <w:rPr>
          <w:color w:val="231F20"/>
          <w:spacing w:val="-3"/>
        </w:rPr>
        <w:t>који </w:t>
      </w:r>
      <w:r>
        <w:rPr>
          <w:color w:val="231F20"/>
        </w:rPr>
        <w:t>се тренутно напајају из трафостанице 35/10 kV „Костолац 1” (веза трафостаница 35/10</w:t>
      </w:r>
      <w:r>
        <w:rPr>
          <w:color w:val="231F20"/>
          <w:spacing w:val="-7"/>
        </w:rPr>
        <w:t> </w:t>
      </w:r>
      <w:r>
        <w:rPr>
          <w:color w:val="231F20"/>
        </w:rPr>
        <w:t>kV</w:t>
      </w:r>
    </w:p>
    <w:p>
      <w:pPr>
        <w:pStyle w:val="BodyText"/>
        <w:spacing w:line="232" w:lineRule="auto"/>
        <w:ind w:left="172" w:right="406"/>
      </w:pPr>
      <w:r>
        <w:rPr>
          <w:color w:val="231F20"/>
        </w:rPr>
        <w:t>„Костолац 2” – 10/0,4 kV „Југ”, веза трафостаница 35/10 kV „Ко- столац 2” – ЦС Колиште).</w:t>
      </w:r>
    </w:p>
    <w:p>
      <w:pPr>
        <w:pStyle w:val="BodyText"/>
        <w:spacing w:line="232" w:lineRule="auto"/>
        <w:ind w:left="172" w:right="406" w:firstLine="396"/>
      </w:pPr>
      <w:r>
        <w:rPr>
          <w:color w:val="231F20"/>
          <w:spacing w:val="-3"/>
        </w:rPr>
        <w:t>Због </w:t>
      </w:r>
      <w:r>
        <w:rPr>
          <w:color w:val="231F20"/>
          <w:spacing w:val="-4"/>
        </w:rPr>
        <w:t>потребе развоја </w:t>
      </w:r>
      <w:r>
        <w:rPr>
          <w:color w:val="231F20"/>
          <w:spacing w:val="-5"/>
        </w:rPr>
        <w:t>површинског </w:t>
      </w:r>
      <w:r>
        <w:rPr>
          <w:color w:val="231F20"/>
          <w:spacing w:val="-6"/>
        </w:rPr>
        <w:t>копа </w:t>
      </w:r>
      <w:r>
        <w:rPr>
          <w:color w:val="231F20"/>
          <w:spacing w:val="-4"/>
        </w:rPr>
        <w:t>„Дрмно”, односно, </w:t>
      </w:r>
      <w:r>
        <w:rPr>
          <w:color w:val="231F20"/>
          <w:spacing w:val="-3"/>
        </w:rPr>
        <w:t>по- </w:t>
      </w:r>
      <w:r>
        <w:rPr>
          <w:color w:val="231F20"/>
          <w:spacing w:val="-4"/>
        </w:rPr>
        <w:t>дизања капацитета </w:t>
      </w:r>
      <w:r>
        <w:rPr>
          <w:color w:val="231F20"/>
        </w:rPr>
        <w:t>са </w:t>
      </w:r>
      <w:r>
        <w:rPr>
          <w:color w:val="231F20"/>
          <w:spacing w:val="-4"/>
        </w:rPr>
        <w:t>садашњих </w:t>
      </w:r>
      <w:r>
        <w:rPr>
          <w:color w:val="231F20"/>
        </w:rPr>
        <w:t>9 на 12 </w:t>
      </w:r>
      <w:r>
        <w:rPr>
          <w:color w:val="231F20"/>
          <w:spacing w:val="-4"/>
        </w:rPr>
        <w:t>милиона </w:t>
      </w:r>
      <w:r>
        <w:rPr>
          <w:color w:val="231F20"/>
        </w:rPr>
        <w:t>t </w:t>
      </w:r>
      <w:r>
        <w:rPr>
          <w:color w:val="231F20"/>
          <w:spacing w:val="-3"/>
        </w:rPr>
        <w:t>угља </w:t>
      </w:r>
      <w:r>
        <w:rPr>
          <w:color w:val="231F20"/>
          <w:spacing w:val="-5"/>
        </w:rPr>
        <w:t>годишње </w:t>
      </w:r>
      <w:r>
        <w:rPr>
          <w:color w:val="231F20"/>
        </w:rPr>
        <w:t>у </w:t>
      </w:r>
      <w:r>
        <w:rPr>
          <w:color w:val="231F20"/>
          <w:spacing w:val="-4"/>
        </w:rPr>
        <w:t>2018. </w:t>
      </w:r>
      <w:r>
        <w:rPr>
          <w:color w:val="231F20"/>
          <w:spacing w:val="-5"/>
        </w:rPr>
        <w:t>години, </w:t>
      </w:r>
      <w:r>
        <w:rPr>
          <w:color w:val="231F20"/>
          <w:spacing w:val="-4"/>
        </w:rPr>
        <w:t>потребно </w:t>
      </w:r>
      <w:r>
        <w:rPr>
          <w:color w:val="231F20"/>
        </w:rPr>
        <w:t>је </w:t>
      </w:r>
      <w:r>
        <w:rPr>
          <w:color w:val="231F20"/>
          <w:spacing w:val="-4"/>
        </w:rPr>
        <w:t>изградити нове </w:t>
      </w:r>
      <w:r>
        <w:rPr>
          <w:color w:val="231F20"/>
          <w:spacing w:val="-3"/>
        </w:rPr>
        <w:t>трафостанице </w:t>
      </w:r>
      <w:r>
        <w:rPr>
          <w:color w:val="231F20"/>
        </w:rPr>
        <w:t>на </w:t>
      </w:r>
      <w:r>
        <w:rPr>
          <w:color w:val="231F20"/>
          <w:spacing w:val="-5"/>
        </w:rPr>
        <w:t>одговара- </w:t>
      </w:r>
      <w:r>
        <w:rPr>
          <w:color w:val="231F20"/>
          <w:spacing w:val="-4"/>
        </w:rPr>
        <w:t>јућим</w:t>
      </w:r>
      <w:r>
        <w:rPr>
          <w:color w:val="231F20"/>
          <w:spacing w:val="-11"/>
        </w:rPr>
        <w:t> </w:t>
      </w:r>
      <w:r>
        <w:rPr>
          <w:color w:val="231F20"/>
          <w:spacing w:val="-4"/>
        </w:rPr>
        <w:t>локацијама.</w:t>
      </w:r>
      <w:r>
        <w:rPr>
          <w:color w:val="231F20"/>
          <w:spacing w:val="-11"/>
        </w:rPr>
        <w:t> </w:t>
      </w:r>
      <w:r>
        <w:rPr>
          <w:color w:val="231F20"/>
          <w:spacing w:val="-3"/>
        </w:rPr>
        <w:t>Списак</w:t>
      </w:r>
      <w:r>
        <w:rPr>
          <w:color w:val="231F20"/>
          <w:spacing w:val="-11"/>
        </w:rPr>
        <w:t> </w:t>
      </w:r>
      <w:r>
        <w:rPr>
          <w:color w:val="231F20"/>
          <w:spacing w:val="-4"/>
        </w:rPr>
        <w:t>нових</w:t>
      </w:r>
      <w:r>
        <w:rPr>
          <w:color w:val="231F20"/>
          <w:spacing w:val="-11"/>
        </w:rPr>
        <w:t> </w:t>
      </w:r>
      <w:r>
        <w:rPr>
          <w:color w:val="231F20"/>
          <w:spacing w:val="-3"/>
        </w:rPr>
        <w:t>трафостаница</w:t>
      </w:r>
      <w:r>
        <w:rPr>
          <w:color w:val="231F20"/>
          <w:spacing w:val="-11"/>
        </w:rPr>
        <w:t> </w:t>
      </w:r>
      <w:r>
        <w:rPr>
          <w:color w:val="231F20"/>
        </w:rPr>
        <w:t>се</w:t>
      </w:r>
      <w:r>
        <w:rPr>
          <w:color w:val="231F20"/>
          <w:spacing w:val="-11"/>
        </w:rPr>
        <w:t> </w:t>
      </w:r>
      <w:r>
        <w:rPr>
          <w:color w:val="231F20"/>
          <w:spacing w:val="-3"/>
        </w:rPr>
        <w:t>налази</w:t>
      </w:r>
      <w:r>
        <w:rPr>
          <w:color w:val="231F20"/>
          <w:spacing w:val="-11"/>
        </w:rPr>
        <w:t> </w:t>
      </w:r>
      <w:r>
        <w:rPr>
          <w:color w:val="231F20"/>
        </w:rPr>
        <w:t>у</w:t>
      </w:r>
      <w:r>
        <w:rPr>
          <w:color w:val="231F20"/>
          <w:spacing w:val="-11"/>
        </w:rPr>
        <w:t> </w:t>
      </w:r>
      <w:r>
        <w:rPr>
          <w:color w:val="231F20"/>
          <w:spacing w:val="-5"/>
        </w:rPr>
        <w:t>Табели</w:t>
      </w:r>
      <w:r>
        <w:rPr>
          <w:color w:val="231F20"/>
          <w:spacing w:val="-11"/>
        </w:rPr>
        <w:t> </w:t>
      </w:r>
      <w:r>
        <w:rPr>
          <w:color w:val="231F20"/>
          <w:spacing w:val="-3"/>
        </w:rPr>
        <w:t>25.</w:t>
      </w:r>
    </w:p>
    <w:p>
      <w:pPr>
        <w:spacing w:after="0" w:line="232" w:lineRule="auto"/>
        <w:sectPr>
          <w:pgSz w:w="12480" w:h="15690"/>
          <w:pgMar w:top="120" w:bottom="280" w:left="680" w:right="720"/>
          <w:cols w:num="2" w:equalWidth="0">
            <w:col w:w="5317" w:space="71"/>
            <w:col w:w="5692"/>
          </w:cols>
        </w:sectPr>
      </w:pPr>
    </w:p>
    <w:p>
      <w:pPr>
        <w:pStyle w:val="BodyText"/>
        <w:spacing w:line="232" w:lineRule="auto" w:before="73"/>
        <w:ind w:left="1292" w:right="245" w:hanging="839"/>
        <w:jc w:val="left"/>
      </w:pPr>
      <w:r>
        <w:rPr/>
        <w:pict>
          <v:line style="position:absolute;mso-position-horizontal-relative:page;mso-position-vertical-relative:page;z-index:2800" from="318.897614pt,11.942451pt" to="318.897614pt,748.950451pt" stroked="true" strokeweight=".6pt" strokecolor="#231f20">
            <v:stroke dashstyle="solid"/>
            <w10:wrap type="none"/>
          </v:line>
        </w:pict>
      </w:r>
      <w:r>
        <w:rPr>
          <w:color w:val="231F20"/>
        </w:rPr>
        <w:t>Табела 25. Списак ТС које ће бити изграђене до 2022. године на подручју рударског басена</w:t>
      </w:r>
    </w:p>
    <w:p>
      <w:pPr>
        <w:pStyle w:val="BodyText"/>
        <w:spacing w:before="9"/>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90"/>
        <w:gridCol w:w="1091"/>
        <w:gridCol w:w="808"/>
        <w:gridCol w:w="513"/>
        <w:gridCol w:w="753"/>
        <w:gridCol w:w="947"/>
        <w:gridCol w:w="591"/>
      </w:tblGrid>
      <w:tr>
        <w:trPr>
          <w:trHeight w:val="360" w:hRule="atLeast"/>
        </w:trPr>
        <w:tc>
          <w:tcPr>
            <w:tcW w:w="390" w:type="dxa"/>
          </w:tcPr>
          <w:p>
            <w:pPr>
              <w:pStyle w:val="TableParagraph"/>
              <w:ind w:left="107" w:hanging="34"/>
              <w:jc w:val="left"/>
              <w:rPr>
                <w:sz w:val="14"/>
              </w:rPr>
            </w:pPr>
            <w:r>
              <w:rPr>
                <w:color w:val="231F20"/>
                <w:sz w:val="14"/>
              </w:rPr>
              <w:t>Ред. бр.</w:t>
            </w:r>
          </w:p>
        </w:tc>
        <w:tc>
          <w:tcPr>
            <w:tcW w:w="1091" w:type="dxa"/>
          </w:tcPr>
          <w:p>
            <w:pPr>
              <w:pStyle w:val="TableParagraph"/>
              <w:ind w:left="329" w:hanging="74"/>
              <w:jc w:val="left"/>
              <w:rPr>
                <w:sz w:val="14"/>
              </w:rPr>
            </w:pPr>
            <w:r>
              <w:rPr>
                <w:color w:val="231F20"/>
                <w:sz w:val="14"/>
              </w:rPr>
              <w:t>Корисник објекта</w:t>
            </w:r>
          </w:p>
        </w:tc>
        <w:tc>
          <w:tcPr>
            <w:tcW w:w="808" w:type="dxa"/>
          </w:tcPr>
          <w:p>
            <w:pPr>
              <w:pStyle w:val="TableParagraph"/>
              <w:ind w:left="110"/>
              <w:jc w:val="left"/>
              <w:rPr>
                <w:sz w:val="14"/>
              </w:rPr>
            </w:pPr>
            <w:r>
              <w:rPr>
                <w:color w:val="231F20"/>
                <w:sz w:val="14"/>
              </w:rPr>
              <w:t>ОБЈЕКАТ</w:t>
            </w:r>
          </w:p>
        </w:tc>
        <w:tc>
          <w:tcPr>
            <w:tcW w:w="513" w:type="dxa"/>
          </w:tcPr>
          <w:p>
            <w:pPr>
              <w:pStyle w:val="TableParagraph"/>
              <w:ind w:left="44" w:right="34"/>
              <w:jc w:val="center"/>
              <w:rPr>
                <w:sz w:val="14"/>
              </w:rPr>
            </w:pPr>
            <w:r>
              <w:rPr>
                <w:color w:val="231F20"/>
                <w:sz w:val="14"/>
              </w:rPr>
              <w:t>Бр. ТР</w:t>
            </w:r>
          </w:p>
        </w:tc>
        <w:tc>
          <w:tcPr>
            <w:tcW w:w="753" w:type="dxa"/>
          </w:tcPr>
          <w:p>
            <w:pPr>
              <w:pStyle w:val="TableParagraph"/>
              <w:ind w:left="202" w:right="53" w:hanging="123"/>
              <w:jc w:val="left"/>
              <w:rPr>
                <w:sz w:val="14"/>
              </w:rPr>
            </w:pPr>
            <w:r>
              <w:rPr>
                <w:color w:val="231F20"/>
                <w:sz w:val="14"/>
              </w:rPr>
              <w:t>Преносни однос</w:t>
            </w:r>
          </w:p>
        </w:tc>
        <w:tc>
          <w:tcPr>
            <w:tcW w:w="947" w:type="dxa"/>
          </w:tcPr>
          <w:p>
            <w:pPr>
              <w:pStyle w:val="TableParagraph"/>
              <w:ind w:left="94" w:right="57" w:hanging="8"/>
              <w:jc w:val="left"/>
              <w:rPr>
                <w:sz w:val="14"/>
              </w:rPr>
            </w:pPr>
            <w:r>
              <w:rPr>
                <w:color w:val="231F20"/>
                <w:sz w:val="14"/>
              </w:rPr>
              <w:t>Инсталисана снага (МВА)</w:t>
            </w:r>
          </w:p>
        </w:tc>
        <w:tc>
          <w:tcPr>
            <w:tcW w:w="591" w:type="dxa"/>
          </w:tcPr>
          <w:p>
            <w:pPr>
              <w:pStyle w:val="TableParagraph"/>
              <w:ind w:left="136" w:hanging="67"/>
              <w:jc w:val="left"/>
              <w:rPr>
                <w:sz w:val="14"/>
              </w:rPr>
            </w:pPr>
            <w:r>
              <w:rPr>
                <w:color w:val="231F20"/>
                <w:sz w:val="14"/>
              </w:rPr>
              <w:t>У пого- ну од</w:t>
            </w:r>
          </w:p>
        </w:tc>
      </w:tr>
      <w:tr>
        <w:trPr>
          <w:trHeight w:val="200" w:hRule="atLeast"/>
        </w:trPr>
        <w:tc>
          <w:tcPr>
            <w:tcW w:w="5093" w:type="dxa"/>
            <w:gridSpan w:val="7"/>
          </w:tcPr>
          <w:p>
            <w:pPr>
              <w:pStyle w:val="TableParagraph"/>
              <w:ind w:left="56"/>
              <w:jc w:val="left"/>
              <w:rPr>
                <w:sz w:val="14"/>
              </w:rPr>
            </w:pPr>
            <w:r>
              <w:rPr>
                <w:color w:val="231F20"/>
                <w:sz w:val="14"/>
              </w:rPr>
              <w:t>ТС 110 kV и 35 kV</w:t>
            </w:r>
          </w:p>
        </w:tc>
      </w:tr>
      <w:tr>
        <w:trPr>
          <w:trHeight w:val="200" w:hRule="atLeast"/>
        </w:trPr>
        <w:tc>
          <w:tcPr>
            <w:tcW w:w="390" w:type="dxa"/>
          </w:tcPr>
          <w:p>
            <w:pPr>
              <w:pStyle w:val="TableParagraph"/>
              <w:ind w:left="56"/>
              <w:jc w:val="left"/>
              <w:rPr>
                <w:sz w:val="14"/>
              </w:rPr>
            </w:pPr>
            <w:r>
              <w:rPr>
                <w:color w:val="231F20"/>
                <w:sz w:val="14"/>
              </w:rPr>
              <w:t>1.</w:t>
            </w:r>
          </w:p>
        </w:tc>
        <w:tc>
          <w:tcPr>
            <w:tcW w:w="1091" w:type="dxa"/>
          </w:tcPr>
          <w:p>
            <w:pPr>
              <w:pStyle w:val="TableParagraph"/>
              <w:ind w:left="32" w:right="42"/>
              <w:jc w:val="center"/>
              <w:rPr>
                <w:sz w:val="14"/>
              </w:rPr>
            </w:pPr>
            <w:r>
              <w:rPr>
                <w:color w:val="231F20"/>
                <w:sz w:val="14"/>
              </w:rPr>
              <w:t>РБ КОСТОЛАЦ</w:t>
            </w:r>
          </w:p>
        </w:tc>
        <w:tc>
          <w:tcPr>
            <w:tcW w:w="808" w:type="dxa"/>
          </w:tcPr>
          <w:p>
            <w:pPr>
              <w:pStyle w:val="TableParagraph"/>
              <w:ind w:left="57"/>
              <w:jc w:val="left"/>
              <w:rPr>
                <w:sz w:val="14"/>
              </w:rPr>
            </w:pPr>
            <w:r>
              <w:rPr>
                <w:color w:val="231F20"/>
                <w:sz w:val="14"/>
              </w:rPr>
              <w:t>РУДНИК 4</w:t>
            </w:r>
          </w:p>
        </w:tc>
        <w:tc>
          <w:tcPr>
            <w:tcW w:w="513" w:type="dxa"/>
          </w:tcPr>
          <w:p>
            <w:pPr>
              <w:pStyle w:val="TableParagraph"/>
              <w:ind w:left="44" w:right="34"/>
              <w:jc w:val="center"/>
              <w:rPr>
                <w:sz w:val="14"/>
              </w:rPr>
            </w:pPr>
            <w:r>
              <w:rPr>
                <w:color w:val="231F20"/>
                <w:sz w:val="14"/>
              </w:rPr>
              <w:t>ТР1</w:t>
            </w:r>
          </w:p>
        </w:tc>
        <w:tc>
          <w:tcPr>
            <w:tcW w:w="753" w:type="dxa"/>
          </w:tcPr>
          <w:p>
            <w:pPr>
              <w:pStyle w:val="TableParagraph"/>
              <w:ind w:right="44"/>
              <w:rPr>
                <w:sz w:val="14"/>
              </w:rPr>
            </w:pPr>
            <w:r>
              <w:rPr>
                <w:color w:val="231F20"/>
                <w:sz w:val="14"/>
              </w:rPr>
              <w:t>110/6,3</w:t>
            </w:r>
          </w:p>
        </w:tc>
        <w:tc>
          <w:tcPr>
            <w:tcW w:w="947" w:type="dxa"/>
          </w:tcPr>
          <w:p>
            <w:pPr>
              <w:pStyle w:val="TableParagraph"/>
              <w:ind w:right="45"/>
              <w:rPr>
                <w:sz w:val="14"/>
              </w:rPr>
            </w:pPr>
            <w:r>
              <w:rPr>
                <w:color w:val="231F20"/>
                <w:sz w:val="14"/>
              </w:rPr>
              <w:t>16,0</w:t>
            </w:r>
          </w:p>
        </w:tc>
        <w:tc>
          <w:tcPr>
            <w:tcW w:w="591" w:type="dxa"/>
          </w:tcPr>
          <w:p>
            <w:pPr>
              <w:pStyle w:val="TableParagraph"/>
              <w:ind w:right="45"/>
              <w:rPr>
                <w:sz w:val="14"/>
              </w:rPr>
            </w:pPr>
            <w:r>
              <w:rPr>
                <w:color w:val="231F20"/>
                <w:sz w:val="14"/>
              </w:rPr>
              <w:t>2013</w:t>
            </w:r>
          </w:p>
        </w:tc>
      </w:tr>
      <w:tr>
        <w:trPr>
          <w:trHeight w:val="200" w:hRule="atLeast"/>
        </w:trPr>
        <w:tc>
          <w:tcPr>
            <w:tcW w:w="390" w:type="dxa"/>
          </w:tcPr>
          <w:p>
            <w:pPr>
              <w:pStyle w:val="TableParagraph"/>
              <w:spacing w:before="0"/>
              <w:jc w:val="left"/>
              <w:rPr>
                <w:sz w:val="12"/>
              </w:rPr>
            </w:pPr>
          </w:p>
        </w:tc>
        <w:tc>
          <w:tcPr>
            <w:tcW w:w="1091" w:type="dxa"/>
          </w:tcPr>
          <w:p>
            <w:pPr>
              <w:pStyle w:val="TableParagraph"/>
              <w:spacing w:before="0"/>
              <w:jc w:val="left"/>
              <w:rPr>
                <w:sz w:val="12"/>
              </w:rPr>
            </w:pPr>
          </w:p>
        </w:tc>
        <w:tc>
          <w:tcPr>
            <w:tcW w:w="808" w:type="dxa"/>
          </w:tcPr>
          <w:p>
            <w:pPr>
              <w:pStyle w:val="TableParagraph"/>
              <w:spacing w:before="0"/>
              <w:jc w:val="left"/>
              <w:rPr>
                <w:sz w:val="12"/>
              </w:rPr>
            </w:pPr>
          </w:p>
        </w:tc>
        <w:tc>
          <w:tcPr>
            <w:tcW w:w="513" w:type="dxa"/>
          </w:tcPr>
          <w:p>
            <w:pPr>
              <w:pStyle w:val="TableParagraph"/>
              <w:ind w:left="44" w:right="34"/>
              <w:jc w:val="center"/>
              <w:rPr>
                <w:sz w:val="14"/>
              </w:rPr>
            </w:pPr>
            <w:r>
              <w:rPr>
                <w:color w:val="231F20"/>
                <w:sz w:val="14"/>
              </w:rPr>
              <w:t>ТР2</w:t>
            </w:r>
          </w:p>
        </w:tc>
        <w:tc>
          <w:tcPr>
            <w:tcW w:w="753" w:type="dxa"/>
          </w:tcPr>
          <w:p>
            <w:pPr>
              <w:pStyle w:val="TableParagraph"/>
              <w:ind w:right="44"/>
              <w:rPr>
                <w:sz w:val="14"/>
              </w:rPr>
            </w:pPr>
            <w:r>
              <w:rPr>
                <w:color w:val="231F20"/>
                <w:sz w:val="14"/>
              </w:rPr>
              <w:t>110/6,3</w:t>
            </w:r>
          </w:p>
        </w:tc>
        <w:tc>
          <w:tcPr>
            <w:tcW w:w="947" w:type="dxa"/>
          </w:tcPr>
          <w:p>
            <w:pPr>
              <w:pStyle w:val="TableParagraph"/>
              <w:ind w:right="45"/>
              <w:rPr>
                <w:sz w:val="14"/>
              </w:rPr>
            </w:pPr>
            <w:r>
              <w:rPr>
                <w:color w:val="231F20"/>
                <w:sz w:val="14"/>
              </w:rPr>
              <w:t>16,0</w:t>
            </w:r>
          </w:p>
        </w:tc>
        <w:tc>
          <w:tcPr>
            <w:tcW w:w="591" w:type="dxa"/>
          </w:tcPr>
          <w:p>
            <w:pPr>
              <w:pStyle w:val="TableParagraph"/>
              <w:ind w:right="45"/>
              <w:rPr>
                <w:sz w:val="14"/>
              </w:rPr>
            </w:pPr>
            <w:r>
              <w:rPr>
                <w:color w:val="231F20"/>
                <w:sz w:val="14"/>
              </w:rPr>
              <w:t>2013</w:t>
            </w:r>
          </w:p>
        </w:tc>
      </w:tr>
      <w:tr>
        <w:trPr>
          <w:trHeight w:val="200" w:hRule="atLeast"/>
        </w:trPr>
        <w:tc>
          <w:tcPr>
            <w:tcW w:w="390" w:type="dxa"/>
          </w:tcPr>
          <w:p>
            <w:pPr>
              <w:pStyle w:val="TableParagraph"/>
              <w:ind w:left="56"/>
              <w:jc w:val="left"/>
              <w:rPr>
                <w:sz w:val="14"/>
              </w:rPr>
            </w:pPr>
            <w:r>
              <w:rPr>
                <w:color w:val="231F20"/>
                <w:sz w:val="14"/>
              </w:rPr>
              <w:t>2.</w:t>
            </w:r>
          </w:p>
        </w:tc>
        <w:tc>
          <w:tcPr>
            <w:tcW w:w="1091" w:type="dxa"/>
          </w:tcPr>
          <w:p>
            <w:pPr>
              <w:pStyle w:val="TableParagraph"/>
              <w:ind w:left="32" w:right="42"/>
              <w:jc w:val="center"/>
              <w:rPr>
                <w:sz w:val="14"/>
              </w:rPr>
            </w:pPr>
            <w:r>
              <w:rPr>
                <w:color w:val="231F20"/>
                <w:sz w:val="14"/>
              </w:rPr>
              <w:t>РБ КОСТОЛАЦ</w:t>
            </w:r>
          </w:p>
        </w:tc>
        <w:tc>
          <w:tcPr>
            <w:tcW w:w="808" w:type="dxa"/>
          </w:tcPr>
          <w:p>
            <w:pPr>
              <w:pStyle w:val="TableParagraph"/>
              <w:ind w:left="57"/>
              <w:jc w:val="left"/>
              <w:rPr>
                <w:sz w:val="14"/>
              </w:rPr>
            </w:pPr>
            <w:r>
              <w:rPr>
                <w:color w:val="231F20"/>
                <w:sz w:val="14"/>
              </w:rPr>
              <w:t>РУДНИК 5</w:t>
            </w:r>
          </w:p>
        </w:tc>
        <w:tc>
          <w:tcPr>
            <w:tcW w:w="513" w:type="dxa"/>
          </w:tcPr>
          <w:p>
            <w:pPr>
              <w:pStyle w:val="TableParagraph"/>
              <w:ind w:left="44" w:right="34"/>
              <w:jc w:val="center"/>
              <w:rPr>
                <w:sz w:val="14"/>
              </w:rPr>
            </w:pPr>
            <w:r>
              <w:rPr>
                <w:color w:val="231F20"/>
                <w:sz w:val="14"/>
              </w:rPr>
              <w:t>ТР1</w:t>
            </w:r>
          </w:p>
        </w:tc>
        <w:tc>
          <w:tcPr>
            <w:tcW w:w="753" w:type="dxa"/>
          </w:tcPr>
          <w:p>
            <w:pPr>
              <w:pStyle w:val="TableParagraph"/>
              <w:ind w:right="44"/>
              <w:rPr>
                <w:sz w:val="14"/>
              </w:rPr>
            </w:pPr>
            <w:r>
              <w:rPr>
                <w:color w:val="231F20"/>
                <w:sz w:val="14"/>
              </w:rPr>
              <w:t>110/6,3</w:t>
            </w:r>
          </w:p>
        </w:tc>
        <w:tc>
          <w:tcPr>
            <w:tcW w:w="947" w:type="dxa"/>
          </w:tcPr>
          <w:p>
            <w:pPr>
              <w:pStyle w:val="TableParagraph"/>
              <w:ind w:right="45"/>
              <w:rPr>
                <w:sz w:val="14"/>
              </w:rPr>
            </w:pPr>
            <w:r>
              <w:rPr>
                <w:color w:val="231F20"/>
                <w:sz w:val="14"/>
              </w:rPr>
              <w:t>16,0</w:t>
            </w:r>
          </w:p>
        </w:tc>
        <w:tc>
          <w:tcPr>
            <w:tcW w:w="591" w:type="dxa"/>
          </w:tcPr>
          <w:p>
            <w:pPr>
              <w:pStyle w:val="TableParagraph"/>
              <w:ind w:right="45"/>
              <w:rPr>
                <w:sz w:val="14"/>
              </w:rPr>
            </w:pPr>
            <w:r>
              <w:rPr>
                <w:color w:val="231F20"/>
                <w:sz w:val="14"/>
              </w:rPr>
              <w:t>2016</w:t>
            </w:r>
          </w:p>
        </w:tc>
      </w:tr>
      <w:tr>
        <w:trPr>
          <w:trHeight w:val="360" w:hRule="atLeast"/>
        </w:trPr>
        <w:tc>
          <w:tcPr>
            <w:tcW w:w="390" w:type="dxa"/>
          </w:tcPr>
          <w:p>
            <w:pPr>
              <w:pStyle w:val="TableParagraph"/>
              <w:spacing w:before="0"/>
              <w:jc w:val="left"/>
              <w:rPr>
                <w:sz w:val="16"/>
              </w:rPr>
            </w:pPr>
          </w:p>
        </w:tc>
        <w:tc>
          <w:tcPr>
            <w:tcW w:w="1091" w:type="dxa"/>
          </w:tcPr>
          <w:p>
            <w:pPr>
              <w:pStyle w:val="TableParagraph"/>
              <w:spacing w:before="0"/>
              <w:jc w:val="left"/>
              <w:rPr>
                <w:sz w:val="16"/>
              </w:rPr>
            </w:pPr>
          </w:p>
        </w:tc>
        <w:tc>
          <w:tcPr>
            <w:tcW w:w="808" w:type="dxa"/>
          </w:tcPr>
          <w:p>
            <w:pPr>
              <w:pStyle w:val="TableParagraph"/>
              <w:spacing w:before="0"/>
              <w:jc w:val="left"/>
              <w:rPr>
                <w:sz w:val="16"/>
              </w:rPr>
            </w:pPr>
          </w:p>
        </w:tc>
        <w:tc>
          <w:tcPr>
            <w:tcW w:w="513" w:type="dxa"/>
          </w:tcPr>
          <w:p>
            <w:pPr>
              <w:pStyle w:val="TableParagraph"/>
              <w:ind w:left="139" w:right="110"/>
              <w:jc w:val="left"/>
              <w:rPr>
                <w:sz w:val="14"/>
              </w:rPr>
            </w:pPr>
            <w:r>
              <w:rPr>
                <w:color w:val="231F20"/>
                <w:sz w:val="14"/>
              </w:rPr>
              <w:t>ТР2 ТР3</w:t>
            </w:r>
          </w:p>
        </w:tc>
        <w:tc>
          <w:tcPr>
            <w:tcW w:w="753" w:type="dxa"/>
          </w:tcPr>
          <w:p>
            <w:pPr>
              <w:pStyle w:val="TableParagraph"/>
              <w:spacing w:line="161" w:lineRule="exact"/>
              <w:ind w:left="277"/>
              <w:jc w:val="left"/>
              <w:rPr>
                <w:sz w:val="14"/>
              </w:rPr>
            </w:pPr>
            <w:r>
              <w:rPr>
                <w:color w:val="231F20"/>
                <w:sz w:val="14"/>
              </w:rPr>
              <w:t>110/6,3</w:t>
            </w:r>
          </w:p>
          <w:p>
            <w:pPr>
              <w:pStyle w:val="TableParagraph"/>
              <w:spacing w:line="161" w:lineRule="exact" w:before="0"/>
              <w:ind w:left="277"/>
              <w:jc w:val="left"/>
              <w:rPr>
                <w:sz w:val="14"/>
              </w:rPr>
            </w:pPr>
            <w:r>
              <w:rPr>
                <w:color w:val="231F20"/>
                <w:sz w:val="14"/>
              </w:rPr>
              <w:t>110/6,3</w:t>
            </w:r>
          </w:p>
        </w:tc>
        <w:tc>
          <w:tcPr>
            <w:tcW w:w="947" w:type="dxa"/>
          </w:tcPr>
          <w:p>
            <w:pPr>
              <w:pStyle w:val="TableParagraph"/>
              <w:spacing w:line="161" w:lineRule="exact"/>
              <w:ind w:right="45"/>
              <w:rPr>
                <w:sz w:val="14"/>
              </w:rPr>
            </w:pPr>
            <w:r>
              <w:rPr>
                <w:color w:val="231F20"/>
                <w:sz w:val="14"/>
              </w:rPr>
              <w:t>16,0</w:t>
            </w:r>
          </w:p>
          <w:p>
            <w:pPr>
              <w:pStyle w:val="TableParagraph"/>
              <w:spacing w:line="161" w:lineRule="exact" w:before="0"/>
              <w:ind w:right="45"/>
              <w:rPr>
                <w:sz w:val="14"/>
              </w:rPr>
            </w:pPr>
            <w:r>
              <w:rPr>
                <w:color w:val="231F20"/>
                <w:sz w:val="14"/>
              </w:rPr>
              <w:t>16,0</w:t>
            </w:r>
          </w:p>
        </w:tc>
        <w:tc>
          <w:tcPr>
            <w:tcW w:w="591" w:type="dxa"/>
          </w:tcPr>
          <w:p>
            <w:pPr>
              <w:pStyle w:val="TableParagraph"/>
              <w:spacing w:line="161" w:lineRule="exact"/>
              <w:ind w:left="253"/>
              <w:jc w:val="left"/>
              <w:rPr>
                <w:sz w:val="14"/>
              </w:rPr>
            </w:pPr>
            <w:r>
              <w:rPr>
                <w:color w:val="231F20"/>
                <w:sz w:val="14"/>
              </w:rPr>
              <w:t>2016</w:t>
            </w:r>
          </w:p>
          <w:p>
            <w:pPr>
              <w:pStyle w:val="TableParagraph"/>
              <w:spacing w:line="161" w:lineRule="exact" w:before="0"/>
              <w:ind w:left="253"/>
              <w:jc w:val="left"/>
              <w:rPr>
                <w:sz w:val="14"/>
              </w:rPr>
            </w:pPr>
            <w:r>
              <w:rPr>
                <w:color w:val="231F20"/>
                <w:sz w:val="14"/>
              </w:rPr>
              <w:t>2016</w:t>
            </w:r>
          </w:p>
        </w:tc>
      </w:tr>
      <w:tr>
        <w:trPr>
          <w:trHeight w:val="360" w:hRule="atLeast"/>
        </w:trPr>
        <w:tc>
          <w:tcPr>
            <w:tcW w:w="390" w:type="dxa"/>
          </w:tcPr>
          <w:p>
            <w:pPr>
              <w:pStyle w:val="TableParagraph"/>
              <w:ind w:left="56"/>
              <w:jc w:val="left"/>
              <w:rPr>
                <w:sz w:val="14"/>
              </w:rPr>
            </w:pPr>
            <w:r>
              <w:rPr>
                <w:color w:val="231F20"/>
                <w:sz w:val="14"/>
              </w:rPr>
              <w:t>3.</w:t>
            </w:r>
          </w:p>
        </w:tc>
        <w:tc>
          <w:tcPr>
            <w:tcW w:w="1091" w:type="dxa"/>
          </w:tcPr>
          <w:p>
            <w:pPr>
              <w:pStyle w:val="TableParagraph"/>
              <w:ind w:left="32" w:right="43"/>
              <w:jc w:val="center"/>
              <w:rPr>
                <w:sz w:val="14"/>
              </w:rPr>
            </w:pPr>
            <w:r>
              <w:rPr>
                <w:color w:val="231F20"/>
                <w:sz w:val="14"/>
              </w:rPr>
              <w:t>РБ КОСТОЛАЦ</w:t>
            </w:r>
          </w:p>
        </w:tc>
        <w:tc>
          <w:tcPr>
            <w:tcW w:w="808" w:type="dxa"/>
          </w:tcPr>
          <w:p>
            <w:pPr>
              <w:pStyle w:val="TableParagraph"/>
              <w:ind w:left="56"/>
              <w:jc w:val="left"/>
              <w:rPr>
                <w:sz w:val="14"/>
              </w:rPr>
            </w:pPr>
            <w:r>
              <w:rPr>
                <w:color w:val="231F20"/>
                <w:sz w:val="14"/>
              </w:rPr>
              <w:t>ТС МО2</w:t>
            </w:r>
          </w:p>
        </w:tc>
        <w:tc>
          <w:tcPr>
            <w:tcW w:w="513" w:type="dxa"/>
          </w:tcPr>
          <w:p>
            <w:pPr>
              <w:pStyle w:val="TableParagraph"/>
              <w:ind w:left="139" w:right="110"/>
              <w:jc w:val="left"/>
              <w:rPr>
                <w:sz w:val="14"/>
              </w:rPr>
            </w:pPr>
            <w:r>
              <w:rPr>
                <w:color w:val="231F20"/>
                <w:sz w:val="14"/>
              </w:rPr>
              <w:t>ТР1 ТР2</w:t>
            </w:r>
          </w:p>
        </w:tc>
        <w:tc>
          <w:tcPr>
            <w:tcW w:w="753" w:type="dxa"/>
          </w:tcPr>
          <w:p>
            <w:pPr>
              <w:pStyle w:val="TableParagraph"/>
              <w:spacing w:line="161" w:lineRule="exact"/>
              <w:ind w:left="341"/>
              <w:jc w:val="left"/>
              <w:rPr>
                <w:sz w:val="14"/>
              </w:rPr>
            </w:pPr>
            <w:r>
              <w:rPr>
                <w:color w:val="231F20"/>
                <w:sz w:val="14"/>
              </w:rPr>
              <w:t>35/6,3</w:t>
            </w:r>
          </w:p>
          <w:p>
            <w:pPr>
              <w:pStyle w:val="TableParagraph"/>
              <w:spacing w:line="161" w:lineRule="exact" w:before="0"/>
              <w:ind w:left="341"/>
              <w:jc w:val="left"/>
              <w:rPr>
                <w:sz w:val="14"/>
              </w:rPr>
            </w:pPr>
            <w:r>
              <w:rPr>
                <w:color w:val="231F20"/>
                <w:sz w:val="14"/>
              </w:rPr>
              <w:t>35/6,3</w:t>
            </w:r>
          </w:p>
        </w:tc>
        <w:tc>
          <w:tcPr>
            <w:tcW w:w="947" w:type="dxa"/>
          </w:tcPr>
          <w:p>
            <w:pPr>
              <w:pStyle w:val="TableParagraph"/>
              <w:spacing w:line="161" w:lineRule="exact"/>
              <w:ind w:right="45"/>
              <w:rPr>
                <w:sz w:val="14"/>
              </w:rPr>
            </w:pPr>
            <w:r>
              <w:rPr>
                <w:color w:val="231F20"/>
                <w:sz w:val="14"/>
              </w:rPr>
              <w:t>6,3</w:t>
            </w:r>
          </w:p>
          <w:p>
            <w:pPr>
              <w:pStyle w:val="TableParagraph"/>
              <w:spacing w:line="161" w:lineRule="exact" w:before="0"/>
              <w:ind w:right="45"/>
              <w:rPr>
                <w:sz w:val="14"/>
              </w:rPr>
            </w:pPr>
            <w:r>
              <w:rPr>
                <w:color w:val="231F20"/>
                <w:sz w:val="14"/>
              </w:rPr>
              <w:t>6,3</w:t>
            </w:r>
          </w:p>
        </w:tc>
        <w:tc>
          <w:tcPr>
            <w:tcW w:w="591" w:type="dxa"/>
          </w:tcPr>
          <w:p>
            <w:pPr>
              <w:pStyle w:val="TableParagraph"/>
              <w:spacing w:line="161" w:lineRule="exact"/>
              <w:ind w:left="258"/>
              <w:jc w:val="left"/>
              <w:rPr>
                <w:sz w:val="14"/>
              </w:rPr>
            </w:pPr>
            <w:r>
              <w:rPr>
                <w:color w:val="231F20"/>
                <w:sz w:val="14"/>
              </w:rPr>
              <w:t>2011</w:t>
            </w:r>
          </w:p>
          <w:p>
            <w:pPr>
              <w:pStyle w:val="TableParagraph"/>
              <w:spacing w:line="161" w:lineRule="exact" w:before="0"/>
              <w:ind w:left="258"/>
              <w:jc w:val="left"/>
              <w:rPr>
                <w:sz w:val="14"/>
              </w:rPr>
            </w:pPr>
            <w:r>
              <w:rPr>
                <w:color w:val="231F20"/>
                <w:sz w:val="14"/>
              </w:rPr>
              <w:t>2011</w:t>
            </w:r>
          </w:p>
        </w:tc>
      </w:tr>
      <w:tr>
        <w:trPr>
          <w:trHeight w:val="200" w:hRule="atLeast"/>
        </w:trPr>
        <w:tc>
          <w:tcPr>
            <w:tcW w:w="390" w:type="dxa"/>
          </w:tcPr>
          <w:p>
            <w:pPr>
              <w:pStyle w:val="TableParagraph"/>
              <w:ind w:left="56"/>
              <w:jc w:val="left"/>
              <w:rPr>
                <w:sz w:val="14"/>
              </w:rPr>
            </w:pPr>
            <w:r>
              <w:rPr>
                <w:color w:val="231F20"/>
                <w:sz w:val="14"/>
              </w:rPr>
              <w:t>4.</w:t>
            </w:r>
          </w:p>
        </w:tc>
        <w:tc>
          <w:tcPr>
            <w:tcW w:w="1091" w:type="dxa"/>
          </w:tcPr>
          <w:p>
            <w:pPr>
              <w:pStyle w:val="TableParagraph"/>
              <w:ind w:left="32" w:right="43"/>
              <w:jc w:val="center"/>
              <w:rPr>
                <w:sz w:val="14"/>
              </w:rPr>
            </w:pPr>
            <w:r>
              <w:rPr>
                <w:color w:val="231F20"/>
                <w:sz w:val="14"/>
              </w:rPr>
              <w:t>РБ КОСТОЛАЦ</w:t>
            </w:r>
          </w:p>
        </w:tc>
        <w:tc>
          <w:tcPr>
            <w:tcW w:w="808" w:type="dxa"/>
          </w:tcPr>
          <w:p>
            <w:pPr>
              <w:pStyle w:val="TableParagraph"/>
              <w:ind w:left="56"/>
              <w:jc w:val="left"/>
              <w:rPr>
                <w:sz w:val="14"/>
              </w:rPr>
            </w:pPr>
            <w:r>
              <w:rPr>
                <w:color w:val="231F20"/>
                <w:sz w:val="14"/>
              </w:rPr>
              <w:t>ТС МО3</w:t>
            </w:r>
          </w:p>
        </w:tc>
        <w:tc>
          <w:tcPr>
            <w:tcW w:w="513" w:type="dxa"/>
          </w:tcPr>
          <w:p>
            <w:pPr>
              <w:pStyle w:val="TableParagraph"/>
              <w:ind w:left="43" w:right="34"/>
              <w:jc w:val="center"/>
              <w:rPr>
                <w:sz w:val="14"/>
              </w:rPr>
            </w:pPr>
            <w:r>
              <w:rPr>
                <w:color w:val="231F20"/>
                <w:sz w:val="14"/>
              </w:rPr>
              <w:t>ТР1</w:t>
            </w:r>
          </w:p>
        </w:tc>
        <w:tc>
          <w:tcPr>
            <w:tcW w:w="753" w:type="dxa"/>
          </w:tcPr>
          <w:p>
            <w:pPr>
              <w:pStyle w:val="TableParagraph"/>
              <w:ind w:right="45"/>
              <w:rPr>
                <w:sz w:val="14"/>
              </w:rPr>
            </w:pPr>
            <w:r>
              <w:rPr>
                <w:color w:val="231F20"/>
                <w:sz w:val="14"/>
              </w:rPr>
              <w:t>35/6,3</w:t>
            </w:r>
          </w:p>
        </w:tc>
        <w:tc>
          <w:tcPr>
            <w:tcW w:w="947" w:type="dxa"/>
          </w:tcPr>
          <w:p>
            <w:pPr>
              <w:pStyle w:val="TableParagraph"/>
              <w:ind w:right="45"/>
              <w:rPr>
                <w:sz w:val="14"/>
              </w:rPr>
            </w:pPr>
            <w:r>
              <w:rPr>
                <w:color w:val="231F20"/>
                <w:sz w:val="14"/>
              </w:rPr>
              <w:t>6,3</w:t>
            </w:r>
          </w:p>
        </w:tc>
        <w:tc>
          <w:tcPr>
            <w:tcW w:w="591" w:type="dxa"/>
          </w:tcPr>
          <w:p>
            <w:pPr>
              <w:pStyle w:val="TableParagraph"/>
              <w:ind w:right="46"/>
              <w:rPr>
                <w:sz w:val="14"/>
              </w:rPr>
            </w:pPr>
            <w:r>
              <w:rPr>
                <w:color w:val="231F20"/>
                <w:sz w:val="14"/>
              </w:rPr>
              <w:t>2019</w:t>
            </w:r>
          </w:p>
        </w:tc>
      </w:tr>
    </w:tbl>
    <w:p>
      <w:pPr>
        <w:pStyle w:val="BodyText"/>
        <w:spacing w:line="232" w:lineRule="auto" w:before="39"/>
        <w:ind w:left="453" w:firstLine="396"/>
      </w:pPr>
      <w:r>
        <w:rPr>
          <w:color w:val="231F20"/>
        </w:rPr>
        <w:t>У случају изградње </w:t>
      </w:r>
      <w:r>
        <w:rPr>
          <w:color w:val="231F20"/>
          <w:spacing w:val="-5"/>
        </w:rPr>
        <w:t>РХЕ </w:t>
      </w:r>
      <w:r>
        <w:rPr>
          <w:color w:val="231F20"/>
          <w:spacing w:val="-4"/>
        </w:rPr>
        <w:t>„Ђердап  </w:t>
      </w:r>
      <w:r>
        <w:rPr>
          <w:color w:val="231F20"/>
        </w:rPr>
        <w:t>3” на Дунаву она би би-  ла повезана на мрежу са два далековода 400 kV </w:t>
      </w:r>
      <w:r>
        <w:rPr>
          <w:color w:val="231F20"/>
          <w:spacing w:val="-3"/>
        </w:rPr>
        <w:t>од којих </w:t>
      </w:r>
      <w:r>
        <w:rPr>
          <w:color w:val="231F20"/>
        </w:rPr>
        <w:t>би један ишао до планираног разводног постројења 400 kV „Пожаревац” чија локација би била на месту увођења далековода 400 kV Бео- град – Ђердап 1 у РП</w:t>
      </w:r>
      <w:r>
        <w:rPr>
          <w:color w:val="231F20"/>
          <w:spacing w:val="-23"/>
        </w:rPr>
        <w:t> </w:t>
      </w:r>
      <w:r>
        <w:rPr>
          <w:color w:val="231F20"/>
        </w:rPr>
        <w:t>„Дрмно”.</w:t>
      </w:r>
    </w:p>
    <w:p>
      <w:pPr>
        <w:pStyle w:val="BodyText"/>
        <w:spacing w:line="235" w:lineRule="auto" w:before="4"/>
        <w:ind w:left="453" w:firstLine="397"/>
      </w:pPr>
      <w:r>
        <w:rPr>
          <w:color w:val="231F20"/>
        </w:rPr>
        <w:t>У случају изградње ветропаркова веће снаге у овом подруч- ју потребно је изградити </w:t>
      </w:r>
      <w:r>
        <w:rPr>
          <w:color w:val="231F20"/>
          <w:spacing w:val="-3"/>
        </w:rPr>
        <w:t>далековод 110 </w:t>
      </w:r>
      <w:r>
        <w:rPr>
          <w:color w:val="231F20"/>
        </w:rPr>
        <w:t>kV за њихово прикључе- ње на преносну електро енергетску </w:t>
      </w:r>
      <w:r>
        <w:rPr>
          <w:color w:val="231F20"/>
          <w:spacing w:val="-4"/>
        </w:rPr>
        <w:t>мрежу. </w:t>
      </w:r>
      <w:r>
        <w:rPr>
          <w:color w:val="231F20"/>
        </w:rPr>
        <w:t>ЈП „ЕМС” планира да обезбеди двострано напајање ТС 110/35 Велико Градиште изград- њом далековода </w:t>
      </w:r>
      <w:r>
        <w:rPr>
          <w:color w:val="231F20"/>
          <w:spacing w:val="-3"/>
        </w:rPr>
        <w:t>110 </w:t>
      </w:r>
      <w:r>
        <w:rPr>
          <w:color w:val="231F20"/>
        </w:rPr>
        <w:t>kV Бела Црква – Велико Градиште (са прела- </w:t>
      </w:r>
      <w:r>
        <w:rPr>
          <w:color w:val="231F20"/>
          <w:spacing w:val="-2"/>
        </w:rPr>
        <w:t>зом </w:t>
      </w:r>
      <w:r>
        <w:rPr>
          <w:color w:val="231F20"/>
        </w:rPr>
        <w:t>Дунава), као и замену електромонтажне опреме на постојећем далеководу 102АБ/2.</w:t>
      </w:r>
    </w:p>
    <w:p>
      <w:pPr>
        <w:pStyle w:val="BodyText"/>
        <w:spacing w:before="172"/>
        <w:ind w:left="1970"/>
        <w:jc w:val="left"/>
      </w:pPr>
      <w:r>
        <w:rPr>
          <w:color w:val="231F20"/>
        </w:rPr>
        <w:t>Гасоводна инфраструктура</w:t>
      </w:r>
    </w:p>
    <w:p>
      <w:pPr>
        <w:pStyle w:val="BodyText"/>
        <w:spacing w:before="7"/>
        <w:ind w:left="0"/>
        <w:jc w:val="left"/>
        <w:rPr>
          <w:sz w:val="17"/>
        </w:rPr>
      </w:pPr>
    </w:p>
    <w:p>
      <w:pPr>
        <w:pStyle w:val="BodyText"/>
        <w:spacing w:line="235" w:lineRule="auto"/>
        <w:ind w:left="453" w:firstLine="396"/>
      </w:pPr>
      <w:r>
        <w:rPr>
          <w:color w:val="231F20"/>
        </w:rPr>
        <w:t>У </w:t>
      </w:r>
      <w:r>
        <w:rPr>
          <w:color w:val="231F20"/>
          <w:spacing w:val="-3"/>
        </w:rPr>
        <w:t>„Студији </w:t>
      </w:r>
      <w:r>
        <w:rPr>
          <w:color w:val="231F20"/>
        </w:rPr>
        <w:t>гасификације Пожаревца, Стига и </w:t>
      </w:r>
      <w:r>
        <w:rPr>
          <w:color w:val="231F20"/>
          <w:spacing w:val="-3"/>
        </w:rPr>
        <w:t>Кучева” </w:t>
      </w:r>
      <w:r>
        <w:rPr>
          <w:color w:val="231F20"/>
          <w:spacing w:val="-5"/>
        </w:rPr>
        <w:t>(Удру- </w:t>
      </w:r>
      <w:r>
        <w:rPr>
          <w:color w:val="231F20"/>
        </w:rPr>
        <w:t>жење</w:t>
      </w:r>
      <w:r>
        <w:rPr>
          <w:color w:val="231F20"/>
          <w:spacing w:val="-10"/>
        </w:rPr>
        <w:t> </w:t>
      </w:r>
      <w:r>
        <w:rPr>
          <w:color w:val="231F20"/>
        </w:rPr>
        <w:t>за</w:t>
      </w:r>
      <w:r>
        <w:rPr>
          <w:color w:val="231F20"/>
          <w:spacing w:val="-10"/>
        </w:rPr>
        <w:t> </w:t>
      </w:r>
      <w:r>
        <w:rPr>
          <w:color w:val="231F20"/>
        </w:rPr>
        <w:t>гас,</w:t>
      </w:r>
      <w:r>
        <w:rPr>
          <w:color w:val="231F20"/>
          <w:spacing w:val="-10"/>
        </w:rPr>
        <w:t> </w:t>
      </w:r>
      <w:r>
        <w:rPr>
          <w:color w:val="231F20"/>
        </w:rPr>
        <w:t>Београд,</w:t>
      </w:r>
      <w:r>
        <w:rPr>
          <w:color w:val="231F20"/>
          <w:spacing w:val="-10"/>
        </w:rPr>
        <w:t> </w:t>
      </w:r>
      <w:r>
        <w:rPr>
          <w:color w:val="231F20"/>
        </w:rPr>
        <w:t>1999.</w:t>
      </w:r>
      <w:r>
        <w:rPr>
          <w:color w:val="231F20"/>
          <w:spacing w:val="-10"/>
        </w:rPr>
        <w:t> </w:t>
      </w:r>
      <w:r>
        <w:rPr>
          <w:color w:val="231F20"/>
        </w:rPr>
        <w:t>године)</w:t>
      </w:r>
      <w:r>
        <w:rPr>
          <w:color w:val="231F20"/>
          <w:spacing w:val="-10"/>
        </w:rPr>
        <w:t> </w:t>
      </w:r>
      <w:r>
        <w:rPr>
          <w:color w:val="231F20"/>
        </w:rPr>
        <w:t>снабдевање</w:t>
      </w:r>
      <w:r>
        <w:rPr>
          <w:color w:val="231F20"/>
          <w:spacing w:val="-10"/>
        </w:rPr>
        <w:t> </w:t>
      </w:r>
      <w:r>
        <w:rPr>
          <w:color w:val="231F20"/>
        </w:rPr>
        <w:t>подручја</w:t>
      </w:r>
      <w:r>
        <w:rPr>
          <w:color w:val="231F20"/>
          <w:spacing w:val="-10"/>
        </w:rPr>
        <w:t> </w:t>
      </w:r>
      <w:r>
        <w:rPr>
          <w:color w:val="231F20"/>
        </w:rPr>
        <w:t>града</w:t>
      </w:r>
      <w:r>
        <w:rPr>
          <w:color w:val="231F20"/>
          <w:spacing w:val="-10"/>
        </w:rPr>
        <w:t> </w:t>
      </w:r>
      <w:r>
        <w:rPr>
          <w:color w:val="231F20"/>
        </w:rPr>
        <w:t>По- жаревца гасом разматрано је из два правца: северног и</w:t>
      </w:r>
      <w:r>
        <w:rPr>
          <w:color w:val="231F20"/>
          <w:spacing w:val="-19"/>
        </w:rPr>
        <w:t> </w:t>
      </w:r>
      <w:r>
        <w:rPr>
          <w:color w:val="231F20"/>
          <w:spacing w:val="-4"/>
        </w:rPr>
        <w:t>јужног.</w:t>
      </w:r>
    </w:p>
    <w:p>
      <w:pPr>
        <w:pStyle w:val="BodyText"/>
        <w:spacing w:line="235" w:lineRule="auto" w:before="3"/>
        <w:ind w:left="454" w:right="1" w:firstLine="396"/>
      </w:pPr>
      <w:r>
        <w:rPr>
          <w:color w:val="231F20"/>
        </w:rPr>
        <w:t>Северни правац је везан за магистрални прстен</w:t>
      </w:r>
      <w:r>
        <w:rPr>
          <w:color w:val="231F20"/>
          <w:spacing w:val="-31"/>
        </w:rPr>
        <w:t> </w:t>
      </w:r>
      <w:r>
        <w:rPr>
          <w:color w:val="231F20"/>
        </w:rPr>
        <w:t>(магистрални гасовод) Сента – Мокрин – Елемир – Панчево – Смедерево веза магистрални гасовод Велика Плана. Тај гасовод ДН 300 је на де- оници Панчево –Смедерево изграђен за радни притисак </w:t>
      </w:r>
      <w:r>
        <w:rPr>
          <w:color w:val="231F20"/>
          <w:spacing w:val="-3"/>
        </w:rPr>
        <w:t>од </w:t>
      </w:r>
      <w:r>
        <w:rPr>
          <w:color w:val="231F20"/>
        </w:rPr>
        <w:t>40 ба- ра. Подизање притиска до максималних вредности на тој деоници није могуће због нелегално изграђеног насеља у заштитној зони гасовода.</w:t>
      </w:r>
    </w:p>
    <w:p>
      <w:pPr>
        <w:pStyle w:val="BodyText"/>
        <w:spacing w:line="235" w:lineRule="auto" w:before="5"/>
        <w:ind w:left="455" w:right="1" w:firstLine="396"/>
      </w:pPr>
      <w:r>
        <w:rPr>
          <w:color w:val="231F20"/>
        </w:rPr>
        <w:t>Због тога је изабрана јужна варијанта снабдевања са маги- стралног гасовода у Великој Плани путем већ изграђеног гасо- вода РГ 08-01 пречника ДН 300 и максималног притиска 50 бара који служи за снабдевање Смедерева. Узимајући у обзир положај РГ 08-01 Велика Плана – Смедерево, најповољнија локација при- кључка на разводном гасоводу РГ 08-01 је код ГРЧ Осипаоница.</w:t>
      </w:r>
    </w:p>
    <w:p>
      <w:pPr>
        <w:pStyle w:val="BodyText"/>
        <w:spacing w:line="235" w:lineRule="auto" w:before="4"/>
        <w:ind w:left="455" w:firstLine="397"/>
      </w:pPr>
      <w:r>
        <w:rPr>
          <w:color w:val="231F20"/>
        </w:rPr>
        <w:t>На </w:t>
      </w:r>
      <w:r>
        <w:rPr>
          <w:color w:val="231F20"/>
          <w:spacing w:val="-3"/>
        </w:rPr>
        <w:t>Планском </w:t>
      </w:r>
      <w:r>
        <w:rPr>
          <w:color w:val="231F20"/>
        </w:rPr>
        <w:t>подручју планирају се коридори разводних га- совода, максималног притиска 50 бара (деонице РГ 08-05 и то: ГРЧ</w:t>
      </w:r>
      <w:r>
        <w:rPr>
          <w:color w:val="231F20"/>
          <w:spacing w:val="-13"/>
        </w:rPr>
        <w:t> </w:t>
      </w:r>
      <w:r>
        <w:rPr>
          <w:color w:val="231F20"/>
        </w:rPr>
        <w:t>Осипаоница</w:t>
      </w:r>
      <w:r>
        <w:rPr>
          <w:color w:val="231F20"/>
          <w:spacing w:val="-27"/>
        </w:rPr>
        <w:t> </w:t>
      </w:r>
      <w:r>
        <w:rPr>
          <w:color w:val="231F20"/>
        </w:rPr>
        <w:t>–ГМРС</w:t>
      </w:r>
      <w:r>
        <w:rPr>
          <w:color w:val="231F20"/>
          <w:spacing w:val="-13"/>
        </w:rPr>
        <w:t> </w:t>
      </w:r>
      <w:r>
        <w:rPr>
          <w:color w:val="231F20"/>
        </w:rPr>
        <w:t>Осипаоница</w:t>
      </w:r>
      <w:r>
        <w:rPr>
          <w:color w:val="231F20"/>
          <w:spacing w:val="-27"/>
        </w:rPr>
        <w:t> </w:t>
      </w:r>
      <w:r>
        <w:rPr>
          <w:color w:val="231F20"/>
        </w:rPr>
        <w:t>–ГРЧ</w:t>
      </w:r>
      <w:r>
        <w:rPr>
          <w:color w:val="231F20"/>
          <w:spacing w:val="-13"/>
        </w:rPr>
        <w:t> </w:t>
      </w:r>
      <w:r>
        <w:rPr>
          <w:color w:val="231F20"/>
        </w:rPr>
        <w:t>Пожаревац</w:t>
      </w:r>
      <w:r>
        <w:rPr>
          <w:color w:val="231F20"/>
          <w:spacing w:val="-27"/>
        </w:rPr>
        <w:t> </w:t>
      </w:r>
      <w:r>
        <w:rPr>
          <w:color w:val="231F20"/>
        </w:rPr>
        <w:t>–ГМРС</w:t>
      </w:r>
      <w:r>
        <w:rPr>
          <w:color w:val="231F20"/>
          <w:spacing w:val="-13"/>
        </w:rPr>
        <w:t> </w:t>
      </w:r>
      <w:r>
        <w:rPr>
          <w:color w:val="231F20"/>
        </w:rPr>
        <w:t>По- жаревац, пречника 323,9 mm; ГМРС Пожаревац – Острово и део- ница гасовода за Петровац и </w:t>
      </w:r>
      <w:r>
        <w:rPr>
          <w:color w:val="231F20"/>
          <w:spacing w:val="-3"/>
        </w:rPr>
        <w:t>Кучево), </w:t>
      </w:r>
      <w:r>
        <w:rPr>
          <w:color w:val="231F20"/>
        </w:rPr>
        <w:t>и коридори дистрибутивних гасовода средњег притиска ГМ 08-05, максимално 16 бара и</w:t>
      </w:r>
      <w:r>
        <w:rPr>
          <w:color w:val="231F20"/>
          <w:spacing w:val="-25"/>
        </w:rPr>
        <w:t> </w:t>
      </w:r>
      <w:r>
        <w:rPr>
          <w:color w:val="231F20"/>
        </w:rPr>
        <w:t>гасни објекти (ГРЧ Пожаревац и ГМРС Пожаревац и МРС). Дистрибу- тивни гасовод се грана у три</w:t>
      </w:r>
      <w:r>
        <w:rPr>
          <w:color w:val="231F20"/>
          <w:spacing w:val="-4"/>
        </w:rPr>
        <w:t> </w:t>
      </w:r>
      <w:r>
        <w:rPr>
          <w:color w:val="231F20"/>
        </w:rPr>
        <w:t>правца:</w:t>
      </w:r>
    </w:p>
    <w:p>
      <w:pPr>
        <w:pStyle w:val="BodyText"/>
        <w:spacing w:line="235" w:lineRule="auto" w:before="6"/>
        <w:ind w:left="455" w:firstLine="397"/>
      </w:pPr>
      <w:r>
        <w:rPr>
          <w:color w:val="231F20"/>
          <w:w w:val="66"/>
        </w:rPr>
        <w:t> </w:t>
      </w:r>
      <w:r>
        <w:rPr>
          <w:color w:val="231F20"/>
        </w:rPr>
        <w:t>– северни – планиране су две МРС, из којих би се преко ди- стрибутивне гасоводне мреже ниског притиска до 4 бара, снабде- вали потрошачи у насељима у западном и северном делу подручја града Пожаревца;</w:t>
      </w:r>
    </w:p>
    <w:p>
      <w:pPr>
        <w:pStyle w:val="BodyText"/>
        <w:spacing w:line="235" w:lineRule="auto" w:before="3"/>
        <w:ind w:left="455" w:firstLine="397"/>
      </w:pPr>
      <w:r>
        <w:rPr>
          <w:color w:val="231F20"/>
          <w:w w:val="66"/>
        </w:rPr>
        <w:t> </w:t>
      </w:r>
      <w:r>
        <w:rPr>
          <w:color w:val="231F20"/>
        </w:rPr>
        <w:t>– јужни – планира се снабдевање потрошача у</w:t>
      </w:r>
      <w:r>
        <w:rPr>
          <w:color w:val="231F20"/>
          <w:spacing w:val="-21"/>
        </w:rPr>
        <w:t> </w:t>
      </w:r>
      <w:r>
        <w:rPr>
          <w:color w:val="231F20"/>
        </w:rPr>
        <w:t>индустријској зони, као и две МРС, из </w:t>
      </w:r>
      <w:r>
        <w:rPr>
          <w:color w:val="231F20"/>
          <w:spacing w:val="-3"/>
        </w:rPr>
        <w:t>којих </w:t>
      </w:r>
      <w:r>
        <w:rPr>
          <w:color w:val="231F20"/>
        </w:rPr>
        <w:t>би се </w:t>
      </w:r>
      <w:r>
        <w:rPr>
          <w:color w:val="231F20"/>
          <w:spacing w:val="-3"/>
        </w:rPr>
        <w:t>преко </w:t>
      </w:r>
      <w:r>
        <w:rPr>
          <w:color w:val="231F20"/>
        </w:rPr>
        <w:t>дистрибутивне гасо- водне мреже ниског притиска до 4 бара, снабдевали потрошачи у јужном делу градског подручја Пожаревца и насељима у јужном делу подручја града Пожаревца;</w:t>
      </w:r>
      <w:r>
        <w:rPr>
          <w:color w:val="231F20"/>
          <w:spacing w:val="-4"/>
        </w:rPr>
        <w:t> </w:t>
      </w:r>
      <w:r>
        <w:rPr>
          <w:color w:val="231F20"/>
        </w:rPr>
        <w:t>и</w:t>
      </w:r>
    </w:p>
    <w:p>
      <w:pPr>
        <w:pStyle w:val="BodyText"/>
        <w:spacing w:line="235" w:lineRule="auto" w:before="4"/>
        <w:ind w:left="455" w:firstLine="396"/>
      </w:pPr>
      <w:r>
        <w:rPr>
          <w:color w:val="231F20"/>
          <w:w w:val="66"/>
        </w:rPr>
        <w:t> </w:t>
      </w:r>
      <w:r>
        <w:rPr>
          <w:color w:val="231F20"/>
        </w:rPr>
        <w:t>– источни – планирано је пет МРС, са две ће се снабдевати потрошачи</w:t>
      </w:r>
      <w:r>
        <w:rPr>
          <w:color w:val="231F20"/>
          <w:spacing w:val="-9"/>
        </w:rPr>
        <w:t> </w:t>
      </w:r>
      <w:r>
        <w:rPr>
          <w:color w:val="231F20"/>
        </w:rPr>
        <w:t>у</w:t>
      </w:r>
      <w:r>
        <w:rPr>
          <w:color w:val="231F20"/>
          <w:spacing w:val="-9"/>
        </w:rPr>
        <w:t> </w:t>
      </w:r>
      <w:r>
        <w:rPr>
          <w:color w:val="231F20"/>
        </w:rPr>
        <w:t>северном</w:t>
      </w:r>
      <w:r>
        <w:rPr>
          <w:color w:val="231F20"/>
          <w:spacing w:val="-9"/>
        </w:rPr>
        <w:t> </w:t>
      </w:r>
      <w:r>
        <w:rPr>
          <w:color w:val="231F20"/>
        </w:rPr>
        <w:t>и</w:t>
      </w:r>
      <w:r>
        <w:rPr>
          <w:color w:val="231F20"/>
          <w:spacing w:val="-9"/>
        </w:rPr>
        <w:t> </w:t>
      </w:r>
      <w:r>
        <w:rPr>
          <w:color w:val="231F20"/>
        </w:rPr>
        <w:t>источном</w:t>
      </w:r>
      <w:r>
        <w:rPr>
          <w:color w:val="231F20"/>
          <w:spacing w:val="-9"/>
        </w:rPr>
        <w:t> </w:t>
      </w:r>
      <w:r>
        <w:rPr>
          <w:color w:val="231F20"/>
        </w:rPr>
        <w:t>делу</w:t>
      </w:r>
      <w:r>
        <w:rPr>
          <w:color w:val="231F20"/>
          <w:spacing w:val="-9"/>
        </w:rPr>
        <w:t> </w:t>
      </w:r>
      <w:r>
        <w:rPr>
          <w:color w:val="231F20"/>
        </w:rPr>
        <w:t>градског</w:t>
      </w:r>
      <w:r>
        <w:rPr>
          <w:color w:val="231F20"/>
          <w:spacing w:val="-9"/>
        </w:rPr>
        <w:t> </w:t>
      </w:r>
      <w:r>
        <w:rPr>
          <w:color w:val="231F20"/>
        </w:rPr>
        <w:t>насеља</w:t>
      </w:r>
      <w:r>
        <w:rPr>
          <w:color w:val="231F20"/>
          <w:spacing w:val="-9"/>
        </w:rPr>
        <w:t> </w:t>
      </w:r>
      <w:r>
        <w:rPr>
          <w:color w:val="231F20"/>
        </w:rPr>
        <w:t>Пожарев- ца,</w:t>
      </w:r>
      <w:r>
        <w:rPr>
          <w:color w:val="231F20"/>
          <w:spacing w:val="-4"/>
        </w:rPr>
        <w:t> </w:t>
      </w:r>
      <w:r>
        <w:rPr>
          <w:color w:val="231F20"/>
        </w:rPr>
        <w:t>а</w:t>
      </w:r>
      <w:r>
        <w:rPr>
          <w:color w:val="231F20"/>
          <w:spacing w:val="-4"/>
        </w:rPr>
        <w:t> </w:t>
      </w:r>
      <w:r>
        <w:rPr>
          <w:color w:val="231F20"/>
        </w:rPr>
        <w:t>са</w:t>
      </w:r>
      <w:r>
        <w:rPr>
          <w:color w:val="231F20"/>
          <w:spacing w:val="-4"/>
        </w:rPr>
        <w:t> </w:t>
      </w:r>
      <w:r>
        <w:rPr>
          <w:color w:val="231F20"/>
        </w:rPr>
        <w:t>остале</w:t>
      </w:r>
      <w:r>
        <w:rPr>
          <w:color w:val="231F20"/>
          <w:spacing w:val="-4"/>
        </w:rPr>
        <w:t> </w:t>
      </w:r>
      <w:r>
        <w:rPr>
          <w:color w:val="231F20"/>
        </w:rPr>
        <w:t>три</w:t>
      </w:r>
      <w:r>
        <w:rPr>
          <w:color w:val="231F20"/>
          <w:spacing w:val="-4"/>
        </w:rPr>
        <w:t> </w:t>
      </w:r>
      <w:r>
        <w:rPr>
          <w:color w:val="231F20"/>
        </w:rPr>
        <w:t>потрошачи</w:t>
      </w:r>
      <w:r>
        <w:rPr>
          <w:color w:val="231F20"/>
          <w:spacing w:val="-4"/>
        </w:rPr>
        <w:t> </w:t>
      </w:r>
      <w:r>
        <w:rPr>
          <w:color w:val="231F20"/>
        </w:rPr>
        <w:t>у</w:t>
      </w:r>
      <w:r>
        <w:rPr>
          <w:color w:val="231F20"/>
          <w:spacing w:val="-4"/>
        </w:rPr>
        <w:t> </w:t>
      </w:r>
      <w:r>
        <w:rPr>
          <w:color w:val="231F20"/>
        </w:rPr>
        <w:t>источном</w:t>
      </w:r>
      <w:r>
        <w:rPr>
          <w:color w:val="231F20"/>
          <w:spacing w:val="-4"/>
        </w:rPr>
        <w:t> </w:t>
      </w:r>
      <w:r>
        <w:rPr>
          <w:color w:val="231F20"/>
        </w:rPr>
        <w:t>делу</w:t>
      </w:r>
      <w:r>
        <w:rPr>
          <w:color w:val="231F20"/>
          <w:spacing w:val="-4"/>
        </w:rPr>
        <w:t> </w:t>
      </w:r>
      <w:r>
        <w:rPr>
          <w:color w:val="231F20"/>
        </w:rPr>
        <w:t>подручја</w:t>
      </w:r>
      <w:r>
        <w:rPr>
          <w:color w:val="231F20"/>
          <w:spacing w:val="-4"/>
        </w:rPr>
        <w:t> </w:t>
      </w:r>
      <w:r>
        <w:rPr>
          <w:color w:val="231F20"/>
        </w:rPr>
        <w:t>града</w:t>
      </w:r>
      <w:r>
        <w:rPr>
          <w:color w:val="231F20"/>
          <w:spacing w:val="-4"/>
        </w:rPr>
        <w:t> </w:t>
      </w:r>
      <w:r>
        <w:rPr>
          <w:color w:val="231F20"/>
        </w:rPr>
        <w:t>По- жаревца.</w:t>
      </w:r>
    </w:p>
    <w:p>
      <w:pPr>
        <w:pStyle w:val="BodyText"/>
        <w:spacing w:line="235" w:lineRule="auto" w:before="3"/>
        <w:ind w:left="456" w:firstLine="396"/>
      </w:pPr>
      <w:r>
        <w:rPr>
          <w:color w:val="231F20"/>
        </w:rPr>
        <w:t>Из гасног лежишта Острово за потребе Железаре Смедерево предвиђа се изградња разводног гасовода Острово – Смедерево,  а за супституцију мазута и подршку ватре у ТЕ „Костолац А и Б” градња разводног гасовода Острово-ТЕ „Костолац А и</w:t>
      </w:r>
      <w:r>
        <w:rPr>
          <w:color w:val="231F20"/>
          <w:spacing w:val="-18"/>
        </w:rPr>
        <w:t> </w:t>
      </w:r>
      <w:r>
        <w:rPr>
          <w:color w:val="231F20"/>
        </w:rPr>
        <w:t>Б”.</w:t>
      </w:r>
    </w:p>
    <w:p>
      <w:pPr>
        <w:pStyle w:val="BodyText"/>
        <w:spacing w:line="232" w:lineRule="auto" w:before="2"/>
        <w:ind w:left="456" w:firstLine="396"/>
      </w:pPr>
      <w:r>
        <w:rPr>
          <w:color w:val="231F20"/>
        </w:rPr>
        <w:t>Постоји могућност изградње подземног складишта гаса на локацији у близини поља „Острово” што ће захтевати додатна ис- траживања везана за избор локације, могући капацитет и услове производње.</w:t>
      </w:r>
    </w:p>
    <w:p>
      <w:pPr>
        <w:pStyle w:val="BodyText"/>
        <w:spacing w:before="71"/>
        <w:ind w:left="1703"/>
        <w:jc w:val="left"/>
      </w:pPr>
      <w:r>
        <w:rPr/>
        <w:br w:type="column"/>
      </w:r>
      <w:r>
        <w:rPr>
          <w:color w:val="231F20"/>
        </w:rPr>
        <w:t>Топловодна инфраструктура</w:t>
      </w:r>
    </w:p>
    <w:p>
      <w:pPr>
        <w:pStyle w:val="BodyText"/>
        <w:spacing w:before="3"/>
        <w:ind w:left="0"/>
        <w:jc w:val="left"/>
        <w:rPr>
          <w:sz w:val="17"/>
        </w:rPr>
      </w:pPr>
    </w:p>
    <w:p>
      <w:pPr>
        <w:pStyle w:val="BodyText"/>
        <w:spacing w:line="232" w:lineRule="auto" w:before="1"/>
        <w:ind w:left="243" w:right="125" w:firstLine="396"/>
      </w:pPr>
      <w:r>
        <w:rPr>
          <w:color w:val="231F20"/>
        </w:rPr>
        <w:t>Да би се топлификациони систем градова Пожаревца и Ко- столца изградио до коначног конзума од 315 МW треба урадити следеће:</w:t>
      </w:r>
    </w:p>
    <w:p>
      <w:pPr>
        <w:pStyle w:val="BodyText"/>
        <w:spacing w:line="232" w:lineRule="auto"/>
        <w:ind w:left="243" w:right="125" w:firstLine="397"/>
      </w:pPr>
      <w:r>
        <w:rPr>
          <w:color w:val="231F20"/>
          <w:w w:val="66"/>
        </w:rPr>
        <w:t> </w:t>
      </w:r>
      <w:r>
        <w:rPr>
          <w:color w:val="231F20"/>
        </w:rPr>
        <w:t>– изградити станицу за подизање притиска, </w:t>
      </w:r>
      <w:r>
        <w:rPr>
          <w:color w:val="231F20"/>
          <w:spacing w:val="-3"/>
        </w:rPr>
        <w:t>која  </w:t>
      </w:r>
      <w:r>
        <w:rPr>
          <w:color w:val="231F20"/>
        </w:rPr>
        <w:t>се смешта  у насељу Ћириковац, на 9 km </w:t>
      </w:r>
      <w:r>
        <w:rPr>
          <w:color w:val="231F20"/>
          <w:spacing w:val="-3"/>
        </w:rPr>
        <w:t>од </w:t>
      </w:r>
      <w:r>
        <w:rPr>
          <w:color w:val="231F20"/>
        </w:rPr>
        <w:t>топлотног извора; у њој се граде два реда паралелно повезаних пумпи, на потисном и повратном магистралном цевоводу; ове пумпе дижу притисак мрежној води на потребну вредност, у зависности </w:t>
      </w:r>
      <w:r>
        <w:rPr>
          <w:color w:val="231F20"/>
          <w:spacing w:val="-3"/>
        </w:rPr>
        <w:t>од </w:t>
      </w:r>
      <w:r>
        <w:rPr>
          <w:color w:val="231F20"/>
        </w:rPr>
        <w:t>хидрауличких карактери- стика целокупне мреже</w:t>
      </w:r>
      <w:r>
        <w:rPr>
          <w:color w:val="231F20"/>
          <w:spacing w:val="-2"/>
        </w:rPr>
        <w:t> </w:t>
      </w:r>
      <w:r>
        <w:rPr>
          <w:color w:val="231F20"/>
        </w:rPr>
        <w:t>и</w:t>
      </w:r>
    </w:p>
    <w:p>
      <w:pPr>
        <w:pStyle w:val="BodyText"/>
        <w:spacing w:line="232" w:lineRule="auto"/>
        <w:ind w:left="243" w:right="125" w:firstLine="396"/>
      </w:pPr>
      <w:r>
        <w:rPr>
          <w:color w:val="231F20"/>
          <w:w w:val="66"/>
        </w:rPr>
        <w:t> </w:t>
      </w:r>
      <w:r>
        <w:rPr>
          <w:color w:val="231F20"/>
        </w:rPr>
        <w:t>– проширити градску мрежу Пожаревца и Костолца са окол- ним насељима Кленовник и Ћириковац.</w:t>
      </w:r>
    </w:p>
    <w:p>
      <w:pPr>
        <w:pStyle w:val="BodyText"/>
        <w:spacing w:line="232" w:lineRule="auto"/>
        <w:ind w:left="242" w:right="125" w:firstLine="397"/>
      </w:pPr>
      <w:r>
        <w:rPr>
          <w:color w:val="231F20"/>
        </w:rPr>
        <w:t>Перспективно, на топлификациони систем Пожаревца мо-  гу се прикључити зоне на </w:t>
      </w:r>
      <w:r>
        <w:rPr>
          <w:color w:val="231F20"/>
          <w:spacing w:val="-3"/>
        </w:rPr>
        <w:t>којима </w:t>
      </w:r>
      <w:r>
        <w:rPr>
          <w:color w:val="231F20"/>
        </w:rPr>
        <w:t>је густина насељености већа </w:t>
      </w:r>
      <w:r>
        <w:rPr>
          <w:color w:val="231F20"/>
          <w:spacing w:val="-3"/>
        </w:rPr>
        <w:t>од </w:t>
      </w:r>
      <w:r>
        <w:rPr>
          <w:color w:val="231F20"/>
        </w:rPr>
        <w:t>55 становника/hа, а степен изграђености већи </w:t>
      </w:r>
      <w:r>
        <w:rPr>
          <w:color w:val="231F20"/>
          <w:spacing w:val="-3"/>
        </w:rPr>
        <w:t>од </w:t>
      </w:r>
      <w:r>
        <w:rPr>
          <w:color w:val="231F20"/>
        </w:rPr>
        <w:t>50%. Реална то- плотна снага потрошача </w:t>
      </w:r>
      <w:r>
        <w:rPr>
          <w:color w:val="231F20"/>
          <w:spacing w:val="-3"/>
        </w:rPr>
        <w:t>који </w:t>
      </w:r>
      <w:r>
        <w:rPr>
          <w:color w:val="231F20"/>
        </w:rPr>
        <w:t>се (на основу досадашњег искуства) прикључују</w:t>
      </w:r>
      <w:r>
        <w:rPr>
          <w:color w:val="231F20"/>
          <w:spacing w:val="-5"/>
        </w:rPr>
        <w:t> </w:t>
      </w:r>
      <w:r>
        <w:rPr>
          <w:color w:val="231F20"/>
        </w:rPr>
        <w:t>на</w:t>
      </w:r>
      <w:r>
        <w:rPr>
          <w:color w:val="231F20"/>
          <w:spacing w:val="-5"/>
        </w:rPr>
        <w:t> </w:t>
      </w:r>
      <w:r>
        <w:rPr>
          <w:color w:val="231F20"/>
        </w:rPr>
        <w:t>топлификациони</w:t>
      </w:r>
      <w:r>
        <w:rPr>
          <w:color w:val="231F20"/>
          <w:spacing w:val="-5"/>
        </w:rPr>
        <w:t> </w:t>
      </w:r>
      <w:r>
        <w:rPr>
          <w:color w:val="231F20"/>
        </w:rPr>
        <w:t>систем</w:t>
      </w:r>
      <w:r>
        <w:rPr>
          <w:color w:val="231F20"/>
          <w:spacing w:val="-5"/>
        </w:rPr>
        <w:t> </w:t>
      </w:r>
      <w:r>
        <w:rPr>
          <w:color w:val="231F20"/>
        </w:rPr>
        <w:t>се</w:t>
      </w:r>
      <w:r>
        <w:rPr>
          <w:color w:val="231F20"/>
          <w:spacing w:val="-5"/>
        </w:rPr>
        <w:t> </w:t>
      </w:r>
      <w:r>
        <w:rPr>
          <w:color w:val="231F20"/>
        </w:rPr>
        <w:t>процењује</w:t>
      </w:r>
      <w:r>
        <w:rPr>
          <w:color w:val="231F20"/>
          <w:spacing w:val="-5"/>
        </w:rPr>
        <w:t> </w:t>
      </w:r>
      <w:r>
        <w:rPr>
          <w:color w:val="231F20"/>
        </w:rPr>
        <w:t>на</w:t>
      </w:r>
      <w:r>
        <w:rPr>
          <w:color w:val="231F20"/>
          <w:spacing w:val="-5"/>
        </w:rPr>
        <w:t> </w:t>
      </w:r>
      <w:r>
        <w:rPr>
          <w:color w:val="231F20"/>
        </w:rPr>
        <w:t>456</w:t>
      </w:r>
      <w:r>
        <w:rPr>
          <w:color w:val="231F20"/>
          <w:spacing w:val="-5"/>
        </w:rPr>
        <w:t> </w:t>
      </w:r>
      <w:r>
        <w:rPr>
          <w:color w:val="231F20"/>
        </w:rPr>
        <w:t>MWt. Измењивачко-пумпна станица у термоелектрани „Костолац А”, oсим</w:t>
      </w:r>
      <w:r>
        <w:rPr>
          <w:color w:val="231F20"/>
          <w:spacing w:val="-10"/>
        </w:rPr>
        <w:t> </w:t>
      </w:r>
      <w:r>
        <w:rPr>
          <w:color w:val="231F20"/>
        </w:rPr>
        <w:t>Пожаревца,</w:t>
      </w:r>
      <w:r>
        <w:rPr>
          <w:color w:val="231F20"/>
          <w:spacing w:val="-10"/>
        </w:rPr>
        <w:t> </w:t>
      </w:r>
      <w:r>
        <w:rPr>
          <w:color w:val="231F20"/>
        </w:rPr>
        <w:t>треба</w:t>
      </w:r>
      <w:r>
        <w:rPr>
          <w:color w:val="231F20"/>
          <w:spacing w:val="-10"/>
        </w:rPr>
        <w:t> </w:t>
      </w:r>
      <w:r>
        <w:rPr>
          <w:color w:val="231F20"/>
        </w:rPr>
        <w:t>да</w:t>
      </w:r>
      <w:r>
        <w:rPr>
          <w:color w:val="231F20"/>
          <w:spacing w:val="-10"/>
        </w:rPr>
        <w:t> </w:t>
      </w:r>
      <w:r>
        <w:rPr>
          <w:color w:val="231F20"/>
        </w:rPr>
        <w:t>снабдева</w:t>
      </w:r>
      <w:r>
        <w:rPr>
          <w:color w:val="231F20"/>
          <w:spacing w:val="-10"/>
        </w:rPr>
        <w:t> </w:t>
      </w:r>
      <w:r>
        <w:rPr>
          <w:color w:val="231F20"/>
        </w:rPr>
        <w:t>топлотном</w:t>
      </w:r>
      <w:r>
        <w:rPr>
          <w:color w:val="231F20"/>
          <w:spacing w:val="-10"/>
        </w:rPr>
        <w:t> </w:t>
      </w:r>
      <w:r>
        <w:rPr>
          <w:color w:val="231F20"/>
        </w:rPr>
        <w:t>енергијом</w:t>
      </w:r>
      <w:r>
        <w:rPr>
          <w:color w:val="231F20"/>
          <w:spacing w:val="-10"/>
        </w:rPr>
        <w:t> </w:t>
      </w:r>
      <w:r>
        <w:rPr>
          <w:color w:val="231F20"/>
        </w:rPr>
        <w:t>и</w:t>
      </w:r>
      <w:r>
        <w:rPr>
          <w:color w:val="231F20"/>
          <w:spacing w:val="-10"/>
        </w:rPr>
        <w:t> </w:t>
      </w:r>
      <w:r>
        <w:rPr>
          <w:color w:val="231F20"/>
        </w:rPr>
        <w:t>насеља Стари Костолац, Костолац, Петка, Кленовник и Ћириковац, чиме ће се остварити укупна снага потрошача </w:t>
      </w:r>
      <w:r>
        <w:rPr>
          <w:color w:val="231F20"/>
          <w:spacing w:val="-3"/>
        </w:rPr>
        <w:t>од </w:t>
      </w:r>
      <w:r>
        <w:rPr>
          <w:color w:val="231F20"/>
        </w:rPr>
        <w:t>543</w:t>
      </w:r>
      <w:r>
        <w:rPr>
          <w:color w:val="231F20"/>
          <w:spacing w:val="-5"/>
        </w:rPr>
        <w:t> </w:t>
      </w:r>
      <w:r>
        <w:rPr>
          <w:color w:val="231F20"/>
        </w:rPr>
        <w:t>МWt.</w:t>
      </w:r>
    </w:p>
    <w:p>
      <w:pPr>
        <w:pStyle w:val="ListParagraph"/>
        <w:numPr>
          <w:ilvl w:val="1"/>
          <w:numId w:val="31"/>
        </w:numPr>
        <w:tabs>
          <w:tab w:pos="1349" w:val="left" w:leader="none"/>
        </w:tabs>
        <w:spacing w:line="240" w:lineRule="auto" w:before="163" w:after="0"/>
        <w:ind w:left="1348" w:right="0" w:hanging="315"/>
        <w:jc w:val="left"/>
        <w:rPr>
          <w:i/>
          <w:sz w:val="18"/>
        </w:rPr>
      </w:pPr>
      <w:r>
        <w:rPr>
          <w:i/>
          <w:color w:val="231F20"/>
          <w:sz w:val="18"/>
        </w:rPr>
        <w:t>Телекомуникације и поштански</w:t>
      </w:r>
      <w:r>
        <w:rPr>
          <w:i/>
          <w:color w:val="231F20"/>
          <w:spacing w:val="-5"/>
          <w:sz w:val="18"/>
        </w:rPr>
        <w:t> </w:t>
      </w:r>
      <w:r>
        <w:rPr>
          <w:i/>
          <w:color w:val="231F20"/>
          <w:sz w:val="18"/>
        </w:rPr>
        <w:t>саобраћај</w:t>
      </w:r>
    </w:p>
    <w:p>
      <w:pPr>
        <w:pStyle w:val="BodyText"/>
        <w:spacing w:before="10"/>
        <w:ind w:left="0"/>
        <w:jc w:val="left"/>
        <w:rPr>
          <w:i/>
          <w:sz w:val="16"/>
        </w:rPr>
      </w:pPr>
    </w:p>
    <w:p>
      <w:pPr>
        <w:pStyle w:val="ListParagraph"/>
        <w:numPr>
          <w:ilvl w:val="1"/>
          <w:numId w:val="23"/>
        </w:numPr>
        <w:tabs>
          <w:tab w:pos="835" w:val="left" w:leader="none"/>
        </w:tabs>
        <w:spacing w:line="204" w:lineRule="exact" w:before="1" w:after="0"/>
        <w:ind w:left="834" w:right="0" w:hanging="195"/>
        <w:jc w:val="left"/>
        <w:rPr>
          <w:sz w:val="18"/>
        </w:rPr>
      </w:pPr>
      <w:r>
        <w:rPr>
          <w:color w:val="231F20"/>
          <w:sz w:val="18"/>
        </w:rPr>
        <w:t>Телекомуникације</w:t>
      </w:r>
    </w:p>
    <w:p>
      <w:pPr>
        <w:pStyle w:val="BodyText"/>
        <w:spacing w:line="232" w:lineRule="auto" w:before="2"/>
        <w:ind w:left="243" w:right="125" w:firstLine="396"/>
      </w:pPr>
      <w:r>
        <w:rPr>
          <w:color w:val="231F20"/>
        </w:rPr>
        <w:t>Средњорочне, а посебно, дугорочнe прогнозе и пројекције развоја телекомуникација и информационе технике представља деликатан задатак с обзиром да су промене и иновације у овој области веома брзе. Имајући у виду значајно заостајање Републи- </w:t>
      </w:r>
      <w:r>
        <w:rPr>
          <w:color w:val="231F20"/>
          <w:spacing w:val="-3"/>
        </w:rPr>
        <w:t>ке </w:t>
      </w:r>
      <w:r>
        <w:rPr>
          <w:color w:val="231F20"/>
        </w:rPr>
        <w:t>Србије у овој областима, као полазиште за предвиђање може  да послужи развој телекомуникација у претходних 20 </w:t>
      </w:r>
      <w:r>
        <w:rPr>
          <w:color w:val="231F20"/>
          <w:spacing w:val="-3"/>
        </w:rPr>
        <w:t>година </w:t>
      </w:r>
      <w:r>
        <w:rPr>
          <w:color w:val="231F20"/>
        </w:rPr>
        <w:t>у Европској</w:t>
      </w:r>
      <w:r>
        <w:rPr>
          <w:color w:val="231F20"/>
          <w:spacing w:val="-1"/>
        </w:rPr>
        <w:t> </w:t>
      </w:r>
      <w:r>
        <w:rPr>
          <w:color w:val="231F20"/>
        </w:rPr>
        <w:t>унији.</w:t>
      </w:r>
    </w:p>
    <w:p>
      <w:pPr>
        <w:pStyle w:val="BodyText"/>
        <w:spacing w:line="232" w:lineRule="auto"/>
        <w:ind w:left="243" w:right="125" w:firstLine="397"/>
      </w:pPr>
      <w:r>
        <w:rPr>
          <w:color w:val="231F20"/>
        </w:rPr>
        <w:t>Полазећи од те претпоставке, а на основу пројекције о крета- њу становништва, дате су прогнозе развоја телекомуникација на Планском подручју:</w:t>
      </w:r>
    </w:p>
    <w:p>
      <w:pPr>
        <w:pStyle w:val="BodyText"/>
        <w:spacing w:before="10"/>
        <w:ind w:left="0"/>
        <w:jc w:val="left"/>
        <w:rPr>
          <w:sz w:val="16"/>
        </w:rPr>
      </w:pPr>
    </w:p>
    <w:p>
      <w:pPr>
        <w:pStyle w:val="BodyText"/>
        <w:ind w:left="243"/>
        <w:jc w:val="left"/>
      </w:pPr>
      <w:r>
        <w:rPr>
          <w:color w:val="231F20"/>
        </w:rPr>
        <w:t>Табела 26. Број телефонских прикључака</w:t>
      </w:r>
    </w:p>
    <w:p>
      <w:pPr>
        <w:pStyle w:val="BodyText"/>
        <w:spacing w:before="4"/>
        <w:ind w:left="0"/>
        <w:jc w:val="left"/>
        <w:rPr>
          <w:sz w:val="3"/>
        </w:rPr>
      </w:pPr>
    </w:p>
    <w:tbl>
      <w:tblPr>
        <w:tblW w:w="0" w:type="auto"/>
        <w:jc w:val="left"/>
        <w:tblInd w:w="24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828"/>
        <w:gridCol w:w="567"/>
        <w:gridCol w:w="567"/>
        <w:gridCol w:w="1130"/>
      </w:tblGrid>
      <w:tr>
        <w:trPr>
          <w:trHeight w:val="360" w:hRule="atLeast"/>
        </w:trPr>
        <w:tc>
          <w:tcPr>
            <w:tcW w:w="2828" w:type="dxa"/>
          </w:tcPr>
          <w:p>
            <w:pPr>
              <w:pStyle w:val="TableParagraph"/>
              <w:ind w:left="733"/>
              <w:jc w:val="left"/>
              <w:rPr>
                <w:sz w:val="14"/>
              </w:rPr>
            </w:pPr>
            <w:r>
              <w:rPr>
                <w:color w:val="231F20"/>
                <w:sz w:val="14"/>
              </w:rPr>
              <w:t>ВРСТА ПРИКЉУЧКА</w:t>
            </w:r>
          </w:p>
        </w:tc>
        <w:tc>
          <w:tcPr>
            <w:tcW w:w="567" w:type="dxa"/>
          </w:tcPr>
          <w:p>
            <w:pPr>
              <w:pStyle w:val="TableParagraph"/>
              <w:ind w:left="126"/>
              <w:jc w:val="left"/>
              <w:rPr>
                <w:sz w:val="14"/>
              </w:rPr>
            </w:pPr>
            <w:r>
              <w:rPr>
                <w:color w:val="231F20"/>
                <w:sz w:val="14"/>
              </w:rPr>
              <w:t>2015.</w:t>
            </w:r>
          </w:p>
        </w:tc>
        <w:tc>
          <w:tcPr>
            <w:tcW w:w="567" w:type="dxa"/>
          </w:tcPr>
          <w:p>
            <w:pPr>
              <w:pStyle w:val="TableParagraph"/>
              <w:ind w:right="113"/>
              <w:rPr>
                <w:sz w:val="14"/>
              </w:rPr>
            </w:pPr>
            <w:r>
              <w:rPr>
                <w:color w:val="231F20"/>
                <w:sz w:val="14"/>
              </w:rPr>
              <w:t>2022.</w:t>
            </w:r>
          </w:p>
        </w:tc>
        <w:tc>
          <w:tcPr>
            <w:tcW w:w="1130" w:type="dxa"/>
          </w:tcPr>
          <w:p>
            <w:pPr>
              <w:pStyle w:val="TableParagraph"/>
              <w:ind w:left="207" w:right="195" w:firstLine="144"/>
              <w:jc w:val="left"/>
              <w:rPr>
                <w:sz w:val="14"/>
              </w:rPr>
            </w:pPr>
            <w:r>
              <w:rPr>
                <w:color w:val="231F20"/>
                <w:sz w:val="14"/>
              </w:rPr>
              <w:t>укупно за</w:t>
            </w:r>
            <w:r>
              <w:rPr>
                <w:color w:val="231F20"/>
                <w:spacing w:val="-7"/>
                <w:sz w:val="14"/>
              </w:rPr>
              <w:t> </w:t>
            </w:r>
            <w:r>
              <w:rPr>
                <w:color w:val="231F20"/>
                <w:sz w:val="14"/>
              </w:rPr>
              <w:t>изградњу</w:t>
            </w:r>
          </w:p>
        </w:tc>
      </w:tr>
      <w:tr>
        <w:trPr>
          <w:trHeight w:val="200" w:hRule="atLeast"/>
        </w:trPr>
        <w:tc>
          <w:tcPr>
            <w:tcW w:w="2828" w:type="dxa"/>
          </w:tcPr>
          <w:p>
            <w:pPr>
              <w:pStyle w:val="TableParagraph"/>
              <w:ind w:left="56"/>
              <w:jc w:val="left"/>
              <w:rPr>
                <w:sz w:val="14"/>
              </w:rPr>
            </w:pPr>
            <w:r>
              <w:rPr>
                <w:color w:val="231F20"/>
                <w:sz w:val="14"/>
              </w:rPr>
              <w:t>1. Телефонски</w:t>
            </w:r>
          </w:p>
        </w:tc>
        <w:tc>
          <w:tcPr>
            <w:tcW w:w="567" w:type="dxa"/>
          </w:tcPr>
          <w:p>
            <w:pPr>
              <w:pStyle w:val="TableParagraph"/>
              <w:spacing w:before="0"/>
              <w:jc w:val="left"/>
              <w:rPr>
                <w:sz w:val="12"/>
              </w:rPr>
            </w:pPr>
          </w:p>
        </w:tc>
        <w:tc>
          <w:tcPr>
            <w:tcW w:w="567" w:type="dxa"/>
          </w:tcPr>
          <w:p>
            <w:pPr>
              <w:pStyle w:val="TableParagraph"/>
              <w:spacing w:before="0"/>
              <w:jc w:val="left"/>
              <w:rPr>
                <w:sz w:val="12"/>
              </w:rPr>
            </w:pPr>
          </w:p>
        </w:tc>
        <w:tc>
          <w:tcPr>
            <w:tcW w:w="1130" w:type="dxa"/>
          </w:tcPr>
          <w:p>
            <w:pPr>
              <w:pStyle w:val="TableParagraph"/>
              <w:spacing w:before="0"/>
              <w:jc w:val="left"/>
              <w:rPr>
                <w:sz w:val="12"/>
              </w:rPr>
            </w:pPr>
          </w:p>
        </w:tc>
      </w:tr>
      <w:tr>
        <w:trPr>
          <w:trHeight w:val="200" w:hRule="atLeast"/>
        </w:trPr>
        <w:tc>
          <w:tcPr>
            <w:tcW w:w="2828" w:type="dxa"/>
          </w:tcPr>
          <w:p>
            <w:pPr>
              <w:pStyle w:val="TableParagraph"/>
              <w:ind w:left="56"/>
              <w:jc w:val="left"/>
              <w:rPr>
                <w:sz w:val="14"/>
              </w:rPr>
            </w:pPr>
            <w:r>
              <w:rPr>
                <w:color w:val="231F20"/>
                <w:sz w:val="14"/>
              </w:rPr>
              <w:t>Укупан број прикључака</w:t>
            </w:r>
          </w:p>
        </w:tc>
        <w:tc>
          <w:tcPr>
            <w:tcW w:w="567" w:type="dxa"/>
          </w:tcPr>
          <w:p>
            <w:pPr>
              <w:pStyle w:val="TableParagraph"/>
              <w:ind w:left="125"/>
              <w:jc w:val="left"/>
              <w:rPr>
                <w:sz w:val="14"/>
              </w:rPr>
            </w:pPr>
            <w:r>
              <w:rPr>
                <w:color w:val="231F20"/>
                <w:sz w:val="14"/>
              </w:rPr>
              <w:t>31.700</w:t>
            </w:r>
          </w:p>
        </w:tc>
        <w:tc>
          <w:tcPr>
            <w:tcW w:w="567" w:type="dxa"/>
          </w:tcPr>
          <w:p>
            <w:pPr>
              <w:pStyle w:val="TableParagraph"/>
              <w:ind w:right="44"/>
              <w:rPr>
                <w:sz w:val="14"/>
              </w:rPr>
            </w:pPr>
            <w:r>
              <w:rPr>
                <w:color w:val="231F20"/>
                <w:sz w:val="14"/>
              </w:rPr>
              <w:t>46.200</w:t>
            </w:r>
          </w:p>
        </w:tc>
        <w:tc>
          <w:tcPr>
            <w:tcW w:w="1130" w:type="dxa"/>
          </w:tcPr>
          <w:p>
            <w:pPr>
              <w:pStyle w:val="TableParagraph"/>
              <w:spacing w:before="0"/>
              <w:jc w:val="left"/>
              <w:rPr>
                <w:sz w:val="12"/>
              </w:rPr>
            </w:pPr>
          </w:p>
        </w:tc>
      </w:tr>
      <w:tr>
        <w:trPr>
          <w:trHeight w:val="200" w:hRule="atLeast"/>
        </w:trPr>
        <w:tc>
          <w:tcPr>
            <w:tcW w:w="2828" w:type="dxa"/>
          </w:tcPr>
          <w:p>
            <w:pPr>
              <w:pStyle w:val="TableParagraph"/>
              <w:ind w:left="56"/>
              <w:jc w:val="left"/>
              <w:rPr>
                <w:sz w:val="14"/>
              </w:rPr>
            </w:pPr>
            <w:r>
              <w:rPr>
                <w:color w:val="231F20"/>
                <w:sz w:val="14"/>
              </w:rPr>
              <w:t>за изградњу у периоду 2011-2015 / 2015-2022</w:t>
            </w:r>
          </w:p>
        </w:tc>
        <w:tc>
          <w:tcPr>
            <w:tcW w:w="567" w:type="dxa"/>
          </w:tcPr>
          <w:p>
            <w:pPr>
              <w:pStyle w:val="TableParagraph"/>
              <w:ind w:left="130"/>
              <w:jc w:val="left"/>
              <w:rPr>
                <w:sz w:val="14"/>
              </w:rPr>
            </w:pPr>
            <w:r>
              <w:rPr>
                <w:color w:val="231F20"/>
                <w:sz w:val="14"/>
              </w:rPr>
              <w:t>11.200</w:t>
            </w:r>
          </w:p>
        </w:tc>
        <w:tc>
          <w:tcPr>
            <w:tcW w:w="567" w:type="dxa"/>
          </w:tcPr>
          <w:p>
            <w:pPr>
              <w:pStyle w:val="TableParagraph"/>
              <w:ind w:right="44"/>
              <w:rPr>
                <w:sz w:val="14"/>
              </w:rPr>
            </w:pPr>
            <w:r>
              <w:rPr>
                <w:color w:val="231F20"/>
                <w:sz w:val="14"/>
              </w:rPr>
              <w:t>14.500</w:t>
            </w:r>
          </w:p>
        </w:tc>
        <w:tc>
          <w:tcPr>
            <w:tcW w:w="1130" w:type="dxa"/>
          </w:tcPr>
          <w:p>
            <w:pPr>
              <w:pStyle w:val="TableParagraph"/>
              <w:ind w:right="44"/>
              <w:rPr>
                <w:sz w:val="14"/>
              </w:rPr>
            </w:pPr>
            <w:r>
              <w:rPr>
                <w:color w:val="231F20"/>
                <w:sz w:val="14"/>
              </w:rPr>
              <w:t>25.700</w:t>
            </w:r>
          </w:p>
        </w:tc>
      </w:tr>
      <w:tr>
        <w:trPr>
          <w:trHeight w:val="200" w:hRule="atLeast"/>
        </w:trPr>
        <w:tc>
          <w:tcPr>
            <w:tcW w:w="2828" w:type="dxa"/>
          </w:tcPr>
          <w:p>
            <w:pPr>
              <w:pStyle w:val="TableParagraph"/>
              <w:ind w:left="56"/>
              <w:jc w:val="left"/>
              <w:rPr>
                <w:sz w:val="14"/>
              </w:rPr>
            </w:pPr>
            <w:r>
              <w:rPr>
                <w:color w:val="231F20"/>
                <w:sz w:val="14"/>
              </w:rPr>
              <w:t>2. ИСДН - широкопојасни</w:t>
            </w:r>
          </w:p>
        </w:tc>
        <w:tc>
          <w:tcPr>
            <w:tcW w:w="567" w:type="dxa"/>
          </w:tcPr>
          <w:p>
            <w:pPr>
              <w:pStyle w:val="TableParagraph"/>
              <w:spacing w:before="0"/>
              <w:jc w:val="left"/>
              <w:rPr>
                <w:sz w:val="12"/>
              </w:rPr>
            </w:pPr>
          </w:p>
        </w:tc>
        <w:tc>
          <w:tcPr>
            <w:tcW w:w="567" w:type="dxa"/>
          </w:tcPr>
          <w:p>
            <w:pPr>
              <w:pStyle w:val="TableParagraph"/>
              <w:spacing w:before="0"/>
              <w:jc w:val="left"/>
              <w:rPr>
                <w:sz w:val="12"/>
              </w:rPr>
            </w:pPr>
          </w:p>
        </w:tc>
        <w:tc>
          <w:tcPr>
            <w:tcW w:w="1130" w:type="dxa"/>
          </w:tcPr>
          <w:p>
            <w:pPr>
              <w:pStyle w:val="TableParagraph"/>
              <w:spacing w:before="0"/>
              <w:jc w:val="left"/>
              <w:rPr>
                <w:sz w:val="12"/>
              </w:rPr>
            </w:pPr>
          </w:p>
        </w:tc>
      </w:tr>
      <w:tr>
        <w:trPr>
          <w:trHeight w:val="200" w:hRule="atLeast"/>
        </w:trPr>
        <w:tc>
          <w:tcPr>
            <w:tcW w:w="2828" w:type="dxa"/>
          </w:tcPr>
          <w:p>
            <w:pPr>
              <w:pStyle w:val="TableParagraph"/>
              <w:ind w:left="56"/>
              <w:jc w:val="left"/>
              <w:rPr>
                <w:sz w:val="14"/>
              </w:rPr>
            </w:pPr>
            <w:r>
              <w:rPr>
                <w:color w:val="231F20"/>
                <w:sz w:val="14"/>
              </w:rPr>
              <w:t>Укупан број прикључака</w:t>
            </w:r>
          </w:p>
        </w:tc>
        <w:tc>
          <w:tcPr>
            <w:tcW w:w="567" w:type="dxa"/>
          </w:tcPr>
          <w:p>
            <w:pPr>
              <w:pStyle w:val="TableParagraph"/>
              <w:ind w:left="125"/>
              <w:jc w:val="left"/>
              <w:rPr>
                <w:sz w:val="14"/>
              </w:rPr>
            </w:pPr>
            <w:r>
              <w:rPr>
                <w:color w:val="231F20"/>
                <w:sz w:val="14"/>
              </w:rPr>
              <w:t>15.800</w:t>
            </w:r>
          </w:p>
        </w:tc>
        <w:tc>
          <w:tcPr>
            <w:tcW w:w="567" w:type="dxa"/>
          </w:tcPr>
          <w:p>
            <w:pPr>
              <w:pStyle w:val="TableParagraph"/>
              <w:ind w:right="44"/>
              <w:rPr>
                <w:sz w:val="14"/>
              </w:rPr>
            </w:pPr>
            <w:r>
              <w:rPr>
                <w:color w:val="231F20"/>
                <w:sz w:val="14"/>
              </w:rPr>
              <w:t>23.100</w:t>
            </w:r>
          </w:p>
        </w:tc>
        <w:tc>
          <w:tcPr>
            <w:tcW w:w="1130" w:type="dxa"/>
          </w:tcPr>
          <w:p>
            <w:pPr>
              <w:pStyle w:val="TableParagraph"/>
              <w:spacing w:before="0"/>
              <w:jc w:val="left"/>
              <w:rPr>
                <w:sz w:val="12"/>
              </w:rPr>
            </w:pPr>
          </w:p>
        </w:tc>
      </w:tr>
      <w:tr>
        <w:trPr>
          <w:trHeight w:val="200" w:hRule="atLeast"/>
        </w:trPr>
        <w:tc>
          <w:tcPr>
            <w:tcW w:w="2828" w:type="dxa"/>
          </w:tcPr>
          <w:p>
            <w:pPr>
              <w:pStyle w:val="TableParagraph"/>
              <w:ind w:left="56"/>
              <w:jc w:val="left"/>
              <w:rPr>
                <w:sz w:val="14"/>
              </w:rPr>
            </w:pPr>
            <w:r>
              <w:rPr>
                <w:color w:val="231F20"/>
                <w:sz w:val="14"/>
              </w:rPr>
              <w:t>за изградњу у периоду 2011-2015 / 2015-2022</w:t>
            </w:r>
          </w:p>
        </w:tc>
        <w:tc>
          <w:tcPr>
            <w:tcW w:w="567" w:type="dxa"/>
          </w:tcPr>
          <w:p>
            <w:pPr>
              <w:pStyle w:val="TableParagraph"/>
              <w:ind w:left="195"/>
              <w:jc w:val="left"/>
              <w:rPr>
                <w:sz w:val="14"/>
              </w:rPr>
            </w:pPr>
            <w:r>
              <w:rPr>
                <w:color w:val="231F20"/>
                <w:sz w:val="14"/>
              </w:rPr>
              <w:t>7.600</w:t>
            </w:r>
          </w:p>
        </w:tc>
        <w:tc>
          <w:tcPr>
            <w:tcW w:w="567" w:type="dxa"/>
          </w:tcPr>
          <w:p>
            <w:pPr>
              <w:pStyle w:val="TableParagraph"/>
              <w:ind w:right="44"/>
              <w:rPr>
                <w:sz w:val="14"/>
              </w:rPr>
            </w:pPr>
            <w:r>
              <w:rPr>
                <w:color w:val="231F20"/>
                <w:sz w:val="14"/>
              </w:rPr>
              <w:t>7.300</w:t>
            </w:r>
          </w:p>
        </w:tc>
        <w:tc>
          <w:tcPr>
            <w:tcW w:w="1130" w:type="dxa"/>
          </w:tcPr>
          <w:p>
            <w:pPr>
              <w:pStyle w:val="TableParagraph"/>
              <w:ind w:right="44"/>
              <w:rPr>
                <w:sz w:val="14"/>
              </w:rPr>
            </w:pPr>
            <w:r>
              <w:rPr>
                <w:color w:val="231F20"/>
                <w:sz w:val="14"/>
              </w:rPr>
              <w:t>14.900</w:t>
            </w:r>
          </w:p>
        </w:tc>
      </w:tr>
    </w:tbl>
    <w:p>
      <w:pPr>
        <w:pStyle w:val="BodyText"/>
        <w:spacing w:before="7"/>
        <w:ind w:left="0"/>
        <w:jc w:val="left"/>
        <w:rPr>
          <w:sz w:val="17"/>
        </w:rPr>
      </w:pPr>
    </w:p>
    <w:p>
      <w:pPr>
        <w:pStyle w:val="BodyText"/>
        <w:ind w:left="1971" w:right="1861"/>
        <w:jc w:val="center"/>
      </w:pPr>
      <w:r>
        <w:rPr>
          <w:color w:val="231F20"/>
        </w:rPr>
        <w:t>Фиксна телефонија</w:t>
      </w:r>
    </w:p>
    <w:p>
      <w:pPr>
        <w:pStyle w:val="BodyText"/>
        <w:spacing w:before="4"/>
        <w:ind w:left="0"/>
        <w:jc w:val="left"/>
        <w:rPr>
          <w:sz w:val="17"/>
        </w:rPr>
      </w:pPr>
    </w:p>
    <w:p>
      <w:pPr>
        <w:pStyle w:val="BodyText"/>
        <w:spacing w:line="232" w:lineRule="auto"/>
        <w:ind w:left="240" w:right="128" w:firstLine="396"/>
      </w:pPr>
      <w:r>
        <w:rPr>
          <w:color w:val="231F20"/>
        </w:rPr>
        <w:t>Предвиђени број прикључака захтева набавку нових комута- ционих уређаја, изградњу и реконструкцију приступних мрежа, са знатно већим </w:t>
      </w:r>
      <w:r>
        <w:rPr>
          <w:color w:val="231F20"/>
          <w:spacing w:val="-3"/>
        </w:rPr>
        <w:t>уделом </w:t>
      </w:r>
      <w:r>
        <w:rPr>
          <w:color w:val="231F20"/>
        </w:rPr>
        <w:t>оптичких каблова, као и организацију мреже за бежични приступ.</w:t>
      </w:r>
    </w:p>
    <w:p>
      <w:pPr>
        <w:pStyle w:val="BodyText"/>
        <w:spacing w:before="165"/>
        <w:ind w:left="1971" w:right="1861"/>
        <w:jc w:val="center"/>
      </w:pPr>
      <w:r>
        <w:rPr>
          <w:color w:val="231F20"/>
        </w:rPr>
        <w:t>Мобилна телефонија</w:t>
      </w:r>
    </w:p>
    <w:p>
      <w:pPr>
        <w:pStyle w:val="BodyText"/>
        <w:spacing w:before="10"/>
        <w:ind w:left="0"/>
        <w:jc w:val="left"/>
        <w:rPr>
          <w:sz w:val="16"/>
        </w:rPr>
      </w:pPr>
    </w:p>
    <w:p>
      <w:pPr>
        <w:pStyle w:val="BodyText"/>
        <w:spacing w:line="204" w:lineRule="exact" w:before="1"/>
        <w:ind w:left="637"/>
        <w:jc w:val="left"/>
      </w:pPr>
      <w:r>
        <w:rPr>
          <w:color w:val="231F20"/>
        </w:rPr>
        <w:t>У области мобилне телефоније може се очекивати следеће:</w:t>
      </w:r>
    </w:p>
    <w:p>
      <w:pPr>
        <w:pStyle w:val="BodyText"/>
        <w:spacing w:line="232" w:lineRule="auto" w:before="1"/>
        <w:ind w:left="240" w:right="128" w:firstLine="396"/>
      </w:pPr>
      <w:r>
        <w:rPr>
          <w:color w:val="231F20"/>
          <w:w w:val="66"/>
        </w:rPr>
        <w:t> </w:t>
      </w:r>
      <w:r>
        <w:rPr>
          <w:color w:val="231F20"/>
        </w:rPr>
        <w:t>– до 2015. године, потпуна доступност услуга треће генера- ције мобилне телефоније, што ће захтевати изградњу нових ба- зних станица минимално у двоструком броју од постојећих; и</w:t>
      </w:r>
    </w:p>
    <w:p>
      <w:pPr>
        <w:pStyle w:val="BodyText"/>
        <w:spacing w:line="232" w:lineRule="auto"/>
        <w:ind w:left="240" w:right="128" w:firstLine="396"/>
      </w:pPr>
      <w:r>
        <w:rPr>
          <w:color w:val="231F20"/>
          <w:w w:val="66"/>
        </w:rPr>
        <w:t> </w:t>
      </w:r>
      <w:r>
        <w:rPr>
          <w:color w:val="231F20"/>
        </w:rPr>
        <w:t>– до 2022. године, потпуна доступност услуга четврте гене- рације мобилне телефоније, што ће захтевати изградњу знатног броја нових базних станица.</w:t>
      </w:r>
    </w:p>
    <w:p>
      <w:pPr>
        <w:pStyle w:val="BodyText"/>
        <w:spacing w:before="165"/>
        <w:ind w:left="1971" w:right="1861"/>
        <w:jc w:val="center"/>
      </w:pPr>
      <w:r>
        <w:rPr>
          <w:color w:val="231F20"/>
        </w:rPr>
        <w:t>Радиодифузија</w:t>
      </w:r>
    </w:p>
    <w:p>
      <w:pPr>
        <w:pStyle w:val="BodyText"/>
        <w:spacing w:before="4"/>
        <w:ind w:left="0"/>
        <w:jc w:val="left"/>
        <w:rPr>
          <w:sz w:val="17"/>
        </w:rPr>
      </w:pPr>
    </w:p>
    <w:p>
      <w:pPr>
        <w:pStyle w:val="BodyText"/>
        <w:spacing w:line="232" w:lineRule="auto"/>
        <w:ind w:left="240" w:right="127" w:firstLine="396"/>
      </w:pPr>
      <w:r>
        <w:rPr>
          <w:color w:val="231F20"/>
          <w:spacing w:val="-3"/>
        </w:rPr>
        <w:t>Дигитализација постојеће мреже емисионих </w:t>
      </w:r>
      <w:r>
        <w:rPr>
          <w:color w:val="231F20"/>
        </w:rPr>
        <w:t>и </w:t>
      </w:r>
      <w:r>
        <w:rPr>
          <w:color w:val="231F20"/>
          <w:spacing w:val="-3"/>
        </w:rPr>
        <w:t>репетиторских станица</w:t>
      </w:r>
      <w:r>
        <w:rPr>
          <w:color w:val="231F20"/>
          <w:spacing w:val="-9"/>
        </w:rPr>
        <w:t> </w:t>
      </w:r>
      <w:r>
        <w:rPr>
          <w:color w:val="231F20"/>
          <w:spacing w:val="-3"/>
        </w:rPr>
        <w:t>предвиђена</w:t>
      </w:r>
      <w:r>
        <w:rPr>
          <w:color w:val="231F20"/>
          <w:spacing w:val="-9"/>
        </w:rPr>
        <w:t> </w:t>
      </w:r>
      <w:r>
        <w:rPr>
          <w:color w:val="231F20"/>
        </w:rPr>
        <w:t>је</w:t>
      </w:r>
      <w:r>
        <w:rPr>
          <w:color w:val="231F20"/>
          <w:spacing w:val="-9"/>
        </w:rPr>
        <w:t> </w:t>
      </w:r>
      <w:r>
        <w:rPr>
          <w:color w:val="231F20"/>
        </w:rPr>
        <w:t>до</w:t>
      </w:r>
      <w:r>
        <w:rPr>
          <w:color w:val="231F20"/>
          <w:spacing w:val="-9"/>
        </w:rPr>
        <w:t> </w:t>
      </w:r>
      <w:r>
        <w:rPr>
          <w:color w:val="231F20"/>
          <w:spacing w:val="-3"/>
        </w:rPr>
        <w:t>2012.</w:t>
      </w:r>
      <w:r>
        <w:rPr>
          <w:color w:val="231F20"/>
          <w:spacing w:val="-9"/>
        </w:rPr>
        <w:t> </w:t>
      </w:r>
      <w:r>
        <w:rPr>
          <w:color w:val="231F20"/>
          <w:spacing w:val="-5"/>
        </w:rPr>
        <w:t>године</w:t>
      </w:r>
      <w:r>
        <w:rPr>
          <w:color w:val="231F20"/>
          <w:spacing w:val="-9"/>
        </w:rPr>
        <w:t> </w:t>
      </w:r>
      <w:r>
        <w:rPr>
          <w:color w:val="231F20"/>
        </w:rPr>
        <w:t>па</w:t>
      </w:r>
      <w:r>
        <w:rPr>
          <w:color w:val="231F20"/>
          <w:spacing w:val="-9"/>
        </w:rPr>
        <w:t> </w:t>
      </w:r>
      <w:r>
        <w:rPr>
          <w:color w:val="231F20"/>
        </w:rPr>
        <w:t>се,</w:t>
      </w:r>
      <w:r>
        <w:rPr>
          <w:color w:val="231F20"/>
          <w:spacing w:val="-9"/>
        </w:rPr>
        <w:t> </w:t>
      </w:r>
      <w:r>
        <w:rPr>
          <w:color w:val="231F20"/>
          <w:spacing w:val="-3"/>
        </w:rPr>
        <w:t>поред</w:t>
      </w:r>
      <w:r>
        <w:rPr>
          <w:color w:val="231F20"/>
          <w:spacing w:val="-9"/>
        </w:rPr>
        <w:t> </w:t>
      </w:r>
      <w:r>
        <w:rPr>
          <w:color w:val="231F20"/>
          <w:spacing w:val="-3"/>
        </w:rPr>
        <w:t>тога,</w:t>
      </w:r>
      <w:r>
        <w:rPr>
          <w:color w:val="231F20"/>
          <w:spacing w:val="-9"/>
        </w:rPr>
        <w:t> </w:t>
      </w:r>
      <w:r>
        <w:rPr>
          <w:color w:val="231F20"/>
          <w:spacing w:val="-5"/>
        </w:rPr>
        <w:t>може</w:t>
      </w:r>
      <w:r>
        <w:rPr>
          <w:color w:val="231F20"/>
          <w:spacing w:val="-9"/>
        </w:rPr>
        <w:t> </w:t>
      </w:r>
      <w:r>
        <w:rPr>
          <w:color w:val="231F20"/>
          <w:spacing w:val="-4"/>
        </w:rPr>
        <w:t>очеки- </w:t>
      </w:r>
      <w:r>
        <w:rPr>
          <w:color w:val="231F20"/>
          <w:spacing w:val="-5"/>
        </w:rPr>
        <w:t>вати </w:t>
      </w:r>
      <w:r>
        <w:rPr>
          <w:color w:val="231F20"/>
          <w:spacing w:val="-3"/>
        </w:rPr>
        <w:t>изградња нових станица </w:t>
      </w:r>
      <w:r>
        <w:rPr>
          <w:color w:val="231F20"/>
        </w:rPr>
        <w:t>на </w:t>
      </w:r>
      <w:r>
        <w:rPr>
          <w:color w:val="231F20"/>
          <w:spacing w:val="-5"/>
        </w:rPr>
        <w:t>Планском </w:t>
      </w:r>
      <w:r>
        <w:rPr>
          <w:color w:val="231F20"/>
          <w:spacing w:val="-4"/>
        </w:rPr>
        <w:t>подручју </w:t>
      </w:r>
      <w:r>
        <w:rPr>
          <w:color w:val="231F20"/>
        </w:rPr>
        <w:t>до </w:t>
      </w:r>
      <w:r>
        <w:rPr>
          <w:color w:val="231F20"/>
          <w:spacing w:val="-3"/>
        </w:rPr>
        <w:t>2015.</w:t>
      </w:r>
      <w:r>
        <w:rPr>
          <w:color w:val="231F20"/>
          <w:spacing w:val="-12"/>
        </w:rPr>
        <w:t> </w:t>
      </w:r>
      <w:r>
        <w:rPr>
          <w:color w:val="231F20"/>
          <w:spacing w:val="-4"/>
        </w:rPr>
        <w:t>године.</w:t>
      </w:r>
    </w:p>
    <w:p>
      <w:pPr>
        <w:pStyle w:val="BodyText"/>
        <w:spacing w:before="165"/>
        <w:ind w:left="1971" w:right="1861"/>
        <w:jc w:val="center"/>
      </w:pPr>
      <w:r>
        <w:rPr>
          <w:color w:val="231F20"/>
        </w:rPr>
        <w:t>Планска решења</w:t>
      </w:r>
    </w:p>
    <w:p>
      <w:pPr>
        <w:pStyle w:val="BodyText"/>
        <w:spacing w:before="4"/>
        <w:ind w:left="0"/>
        <w:jc w:val="left"/>
        <w:rPr>
          <w:sz w:val="17"/>
        </w:rPr>
      </w:pPr>
    </w:p>
    <w:p>
      <w:pPr>
        <w:pStyle w:val="BodyText"/>
        <w:spacing w:line="232" w:lineRule="auto"/>
        <w:ind w:left="241" w:right="127" w:firstLine="396"/>
      </w:pPr>
      <w:r>
        <w:rPr>
          <w:color w:val="231F20"/>
        </w:rPr>
        <w:t>Да би се остварили циљеви развоја предвиђају се следећа планска решења:</w:t>
      </w:r>
    </w:p>
    <w:p>
      <w:pPr>
        <w:spacing w:after="0" w:line="232" w:lineRule="auto"/>
        <w:sectPr>
          <w:pgSz w:w="12480" w:h="15690"/>
          <w:pgMar w:top="120" w:bottom="280" w:left="680" w:right="720"/>
          <w:cols w:num="2" w:equalWidth="0">
            <w:col w:w="5560" w:space="40"/>
            <w:col w:w="5480"/>
          </w:cols>
        </w:sectPr>
      </w:pPr>
    </w:p>
    <w:p>
      <w:pPr>
        <w:pStyle w:val="BodyText"/>
        <w:spacing w:line="204" w:lineRule="exact" w:before="68"/>
        <w:ind w:left="567"/>
        <w:jc w:val="left"/>
      </w:pPr>
      <w:r>
        <w:rPr/>
        <w:pict>
          <v:line style="position:absolute;mso-position-horizontal-relative:page;mso-position-vertical-relative:page;z-index:2824" from="304.724396pt,11.942451pt" to="304.724396pt,748.950451pt" stroked="true" strokeweight=".6pt" strokecolor="#231f20">
            <v:stroke dashstyle="solid"/>
            <w10:wrap type="none"/>
          </v:line>
        </w:pict>
      </w:r>
      <w:r>
        <w:rPr>
          <w:color w:val="231F20"/>
        </w:rPr>
        <w:t>У области фиксне телефоније:</w:t>
      </w:r>
    </w:p>
    <w:p>
      <w:pPr>
        <w:pStyle w:val="BodyText"/>
        <w:spacing w:line="232" w:lineRule="auto" w:before="2"/>
        <w:ind w:right="45" w:firstLine="396"/>
      </w:pPr>
      <w:r>
        <w:rPr>
          <w:color w:val="231F20"/>
          <w:w w:val="66"/>
        </w:rPr>
        <w:t> </w:t>
      </w:r>
      <w:r>
        <w:rPr>
          <w:color w:val="231F20"/>
        </w:rPr>
        <w:t>– побољшање постојећег стања: замена постојећих, заста- релих дигиталних комутација (централа), као и осавремењивање приступних мрежа, посебно у Пожаревцу;</w:t>
      </w:r>
    </w:p>
    <w:p>
      <w:pPr>
        <w:pStyle w:val="BodyText"/>
        <w:spacing w:line="201" w:lineRule="exact"/>
        <w:ind w:left="567"/>
        <w:jc w:val="left"/>
      </w:pPr>
      <w:r>
        <w:rPr>
          <w:color w:val="231F20"/>
          <w:w w:val="66"/>
        </w:rPr>
        <w:t> </w:t>
      </w:r>
      <w:r>
        <w:rPr>
          <w:color w:val="231F20"/>
        </w:rPr>
        <w:t>– изградња новог комутационог објеката у насељу Курјаче;</w:t>
      </w:r>
    </w:p>
    <w:p>
      <w:pPr>
        <w:pStyle w:val="BodyText"/>
        <w:spacing w:line="201" w:lineRule="exact"/>
        <w:ind w:left="567"/>
        <w:jc w:val="left"/>
      </w:pPr>
      <w:r>
        <w:rPr>
          <w:color w:val="231F20"/>
          <w:w w:val="66"/>
        </w:rPr>
        <w:t> </w:t>
      </w:r>
      <w:r>
        <w:rPr>
          <w:color w:val="231F20"/>
        </w:rPr>
        <w:t>–</w:t>
      </w:r>
      <w:r>
        <w:rPr>
          <w:color w:val="231F20"/>
          <w:spacing w:val="-10"/>
        </w:rPr>
        <w:t> </w:t>
      </w:r>
      <w:r>
        <w:rPr>
          <w:color w:val="231F20"/>
        </w:rPr>
        <w:t>изградња</w:t>
      </w:r>
      <w:r>
        <w:rPr>
          <w:color w:val="231F20"/>
          <w:spacing w:val="-10"/>
        </w:rPr>
        <w:t> </w:t>
      </w:r>
      <w:r>
        <w:rPr>
          <w:color w:val="231F20"/>
        </w:rPr>
        <w:t>оптичких</w:t>
      </w:r>
      <w:r>
        <w:rPr>
          <w:color w:val="231F20"/>
          <w:spacing w:val="-10"/>
        </w:rPr>
        <w:t> </w:t>
      </w:r>
      <w:r>
        <w:rPr>
          <w:color w:val="231F20"/>
          <w:spacing w:val="-4"/>
        </w:rPr>
        <w:t>каблова</w:t>
      </w:r>
      <w:r>
        <w:rPr>
          <w:color w:val="231F20"/>
          <w:spacing w:val="-10"/>
        </w:rPr>
        <w:t> </w:t>
      </w:r>
      <w:r>
        <w:rPr>
          <w:color w:val="231F20"/>
        </w:rPr>
        <w:t>до</w:t>
      </w:r>
      <w:r>
        <w:rPr>
          <w:color w:val="231F20"/>
          <w:spacing w:val="-10"/>
        </w:rPr>
        <w:t> </w:t>
      </w:r>
      <w:r>
        <w:rPr>
          <w:color w:val="231F20"/>
        </w:rPr>
        <w:t>насеља</w:t>
      </w:r>
      <w:r>
        <w:rPr>
          <w:color w:val="231F20"/>
          <w:spacing w:val="-10"/>
        </w:rPr>
        <w:t> </w:t>
      </w:r>
      <w:r>
        <w:rPr>
          <w:color w:val="231F20"/>
          <w:spacing w:val="-3"/>
        </w:rPr>
        <w:t>Кличевац</w:t>
      </w:r>
      <w:r>
        <w:rPr>
          <w:color w:val="231F20"/>
          <w:spacing w:val="-10"/>
        </w:rPr>
        <w:t> </w:t>
      </w:r>
      <w:r>
        <w:rPr>
          <w:color w:val="231F20"/>
        </w:rPr>
        <w:t>и</w:t>
      </w:r>
      <w:r>
        <w:rPr>
          <w:color w:val="231F20"/>
          <w:spacing w:val="-10"/>
        </w:rPr>
        <w:t> </w:t>
      </w:r>
      <w:r>
        <w:rPr>
          <w:color w:val="231F20"/>
          <w:spacing w:val="-5"/>
        </w:rPr>
        <w:t>Курјаче;</w:t>
      </w:r>
      <w:r>
        <w:rPr>
          <w:color w:val="231F20"/>
          <w:spacing w:val="-10"/>
        </w:rPr>
        <w:t> </w:t>
      </w:r>
      <w:r>
        <w:rPr>
          <w:color w:val="231F20"/>
        </w:rPr>
        <w:t>и</w:t>
      </w:r>
    </w:p>
    <w:p>
      <w:pPr>
        <w:pStyle w:val="BodyText"/>
        <w:spacing w:line="232" w:lineRule="auto" w:before="2"/>
        <w:ind w:left="171" w:right="45" w:firstLine="396"/>
      </w:pPr>
      <w:r>
        <w:rPr>
          <w:color w:val="231F20"/>
          <w:w w:val="66"/>
        </w:rPr>
        <w:t> </w:t>
      </w:r>
      <w:r>
        <w:rPr>
          <w:color w:val="231F20"/>
        </w:rPr>
        <w:t>– код реконструкције магистралних оптичких каблова пове- ћати број влакана за успутна насеља.</w:t>
      </w:r>
    </w:p>
    <w:p>
      <w:pPr>
        <w:pStyle w:val="BodyText"/>
        <w:spacing w:line="232" w:lineRule="auto" w:before="1"/>
        <w:ind w:left="171" w:right="45" w:firstLine="396"/>
      </w:pPr>
      <w:r>
        <w:rPr>
          <w:color w:val="231F20"/>
          <w:spacing w:val="-3"/>
        </w:rPr>
        <w:t>Планом </w:t>
      </w:r>
      <w:r>
        <w:rPr>
          <w:color w:val="231F20"/>
          <w:spacing w:val="-7"/>
        </w:rPr>
        <w:t>„Телекома </w:t>
      </w:r>
      <w:r>
        <w:rPr>
          <w:color w:val="231F20"/>
        </w:rPr>
        <w:t>Србија”, до 2015. </w:t>
      </w:r>
      <w:r>
        <w:rPr>
          <w:color w:val="231F20"/>
          <w:spacing w:val="-4"/>
        </w:rPr>
        <w:t>године, </w:t>
      </w:r>
      <w:r>
        <w:rPr>
          <w:color w:val="231F20"/>
          <w:spacing w:val="-3"/>
        </w:rPr>
        <w:t>предвиђена </w:t>
      </w:r>
      <w:r>
        <w:rPr>
          <w:color w:val="231F20"/>
        </w:rPr>
        <w:t>је на- </w:t>
      </w:r>
      <w:r>
        <w:rPr>
          <w:color w:val="231F20"/>
          <w:spacing w:val="-3"/>
        </w:rPr>
        <w:t>бавка </w:t>
      </w:r>
      <w:r>
        <w:rPr>
          <w:color w:val="231F20"/>
        </w:rPr>
        <w:t>и уградња савремених</w:t>
      </w:r>
      <w:r>
        <w:rPr>
          <w:color w:val="231F20"/>
          <w:spacing w:val="-31"/>
        </w:rPr>
        <w:t> </w:t>
      </w:r>
      <w:r>
        <w:rPr>
          <w:color w:val="231F20"/>
          <w:spacing w:val="-3"/>
        </w:rPr>
        <w:t>мултисервисних приступних чворова </w:t>
      </w:r>
      <w:r>
        <w:rPr>
          <w:color w:val="231F20"/>
        </w:rPr>
        <w:t>и дигиталних </w:t>
      </w:r>
      <w:r>
        <w:rPr>
          <w:color w:val="231F20"/>
          <w:spacing w:val="-3"/>
        </w:rPr>
        <w:t>приступних мултиплексера </w:t>
      </w:r>
      <w:r>
        <w:rPr>
          <w:color w:val="231F20"/>
        </w:rPr>
        <w:t>(у даљем </w:t>
      </w:r>
      <w:r>
        <w:rPr>
          <w:color w:val="231F20"/>
          <w:spacing w:val="-4"/>
        </w:rPr>
        <w:t>тексту: </w:t>
      </w:r>
      <w:r>
        <w:rPr>
          <w:color w:val="231F20"/>
          <w:spacing w:val="-3"/>
        </w:rPr>
        <w:t>ДСЛАМ), </w:t>
      </w:r>
      <w:r>
        <w:rPr>
          <w:color w:val="231F20"/>
          <w:spacing w:val="-4"/>
        </w:rPr>
        <w:t>који </w:t>
      </w:r>
      <w:r>
        <w:rPr>
          <w:color w:val="231F20"/>
          <w:spacing w:val="-3"/>
        </w:rPr>
        <w:t>обезбеђују потпуну </w:t>
      </w:r>
      <w:r>
        <w:rPr>
          <w:color w:val="231F20"/>
        </w:rPr>
        <w:t>децентрализацију </w:t>
      </w:r>
      <w:r>
        <w:rPr>
          <w:color w:val="231F20"/>
          <w:spacing w:val="-3"/>
        </w:rPr>
        <w:t>приступне мреже </w:t>
      </w:r>
      <w:r>
        <w:rPr>
          <w:color w:val="231F20"/>
        </w:rPr>
        <w:t>и реа- лизацију свих савремених </w:t>
      </w:r>
      <w:r>
        <w:rPr>
          <w:color w:val="231F20"/>
          <w:spacing w:val="-3"/>
        </w:rPr>
        <w:t>телекомуникационих</w:t>
      </w:r>
      <w:r>
        <w:rPr>
          <w:color w:val="231F20"/>
          <w:spacing w:val="-23"/>
        </w:rPr>
        <w:t> </w:t>
      </w:r>
      <w:r>
        <w:rPr>
          <w:color w:val="231F20"/>
        </w:rPr>
        <w:t>услуга.</w:t>
      </w:r>
    </w:p>
    <w:p>
      <w:pPr>
        <w:pStyle w:val="BodyText"/>
        <w:spacing w:line="232" w:lineRule="auto" w:before="4"/>
        <w:ind w:left="171" w:right="44" w:firstLine="396"/>
      </w:pPr>
      <w:r>
        <w:rPr>
          <w:color w:val="231F20"/>
        </w:rPr>
        <w:t>У </w:t>
      </w:r>
      <w:r>
        <w:rPr>
          <w:color w:val="231F20"/>
          <w:spacing w:val="-3"/>
        </w:rPr>
        <w:t>Пожаревцу, </w:t>
      </w:r>
      <w:r>
        <w:rPr>
          <w:color w:val="231F20"/>
        </w:rPr>
        <w:t>поред постојећих 8 чворова, предвиђена је уградња још 13 </w:t>
      </w:r>
      <w:r>
        <w:rPr>
          <w:color w:val="231F20"/>
          <w:spacing w:val="-3"/>
        </w:rPr>
        <w:t>МСАН </w:t>
      </w:r>
      <w:r>
        <w:rPr>
          <w:color w:val="231F20"/>
        </w:rPr>
        <w:t>уређаја на локацијама: Бамби, Мадона, Бу- сије, Крушка, Млеки, Чачалица, Невесињска, </w:t>
      </w:r>
      <w:r>
        <w:rPr>
          <w:color w:val="231F20"/>
          <w:spacing w:val="-3"/>
        </w:rPr>
        <w:t>Тријангл, </w:t>
      </w:r>
      <w:r>
        <w:rPr>
          <w:color w:val="231F20"/>
        </w:rPr>
        <w:t>ПТТ Га- ража 1, ПТТ </w:t>
      </w:r>
      <w:r>
        <w:rPr>
          <w:color w:val="231F20"/>
          <w:spacing w:val="-3"/>
        </w:rPr>
        <w:t>Гража </w:t>
      </w:r>
      <w:r>
        <w:rPr>
          <w:color w:val="231F20"/>
        </w:rPr>
        <w:t>2, Градиштански пут и Вртић, као и значајно проширење постојећег ДСЛАМ Пожаревац.</w:t>
      </w:r>
    </w:p>
    <w:p>
      <w:pPr>
        <w:pStyle w:val="BodyText"/>
        <w:spacing w:line="232" w:lineRule="auto" w:before="3"/>
        <w:ind w:left="172" w:right="44" w:firstLine="396"/>
      </w:pPr>
      <w:r>
        <w:rPr>
          <w:color w:val="231F20"/>
        </w:rPr>
        <w:t>Предвиђена је и уградња савремених уређаја, </w:t>
      </w:r>
      <w:r>
        <w:rPr>
          <w:color w:val="231F20"/>
          <w:spacing w:val="-3"/>
        </w:rPr>
        <w:t>који </w:t>
      </w:r>
      <w:r>
        <w:rPr>
          <w:color w:val="231F20"/>
        </w:rPr>
        <w:t>омогућа- вају широкопојасни приступ и у мањим местима и то: а) дигитал- них приступних мултиплексера Костолац, Лучица и Ћириковац   и б) мултисервисних приступних чворова Кленовник, Драговац, Брежане, Дубравица, Пругово, Пољана, Стари Костолац, Дрмно, Петка, Острово, Живица, Баре, Кличевац, Трњане, Брадарац и Братинац.</w:t>
      </w:r>
    </w:p>
    <w:p>
      <w:pPr>
        <w:pStyle w:val="BodyText"/>
        <w:spacing w:line="232" w:lineRule="auto" w:before="4"/>
        <w:ind w:left="171" w:right="38" w:firstLine="396"/>
      </w:pPr>
      <w:r>
        <w:rPr>
          <w:color w:val="231F20"/>
        </w:rPr>
        <w:t>У области мобилне телефоније предвиђена је изградња пла- нираних базних станице мобилних оператера Телеком-МТС, VIP и</w:t>
      </w:r>
      <w:r>
        <w:rPr>
          <w:color w:val="231F20"/>
          <w:spacing w:val="-5"/>
        </w:rPr>
        <w:t> </w:t>
      </w:r>
      <w:r>
        <w:rPr>
          <w:color w:val="231F20"/>
        </w:rPr>
        <w:t>Telenor;</w:t>
      </w:r>
    </w:p>
    <w:p>
      <w:pPr>
        <w:pStyle w:val="BodyText"/>
        <w:spacing w:line="232" w:lineRule="auto" w:before="2"/>
        <w:ind w:left="171" w:right="44" w:firstLine="397"/>
      </w:pPr>
      <w:r>
        <w:rPr>
          <w:color w:val="231F20"/>
        </w:rPr>
        <w:t>У области радиодифузије предвиђа се дигитализација свих постојећих емисионих и репетиторских станица радио дифузне мреже и, у складу са техничким захтевом нове дифузије, изврши- ти изградњу потребног броја нових;</w:t>
      </w:r>
    </w:p>
    <w:p>
      <w:pPr>
        <w:pStyle w:val="BodyText"/>
        <w:spacing w:line="232" w:lineRule="auto" w:before="3"/>
        <w:ind w:left="171" w:right="44" w:firstLine="397"/>
      </w:pPr>
      <w:r>
        <w:rPr>
          <w:color w:val="231F20"/>
        </w:rPr>
        <w:t>У систему веза у зони ТЕ-КО „Костолац” треба завршити за- мену постојећих комутационих елемената унутар ТЕ-КО „Косто- лац” уградњом савремених дигиталних мултисервисних платфор- ми и одговарајућих рутера и извршити повезивање исте са јавном телекомуникационом мрежом.</w:t>
      </w:r>
    </w:p>
    <w:p>
      <w:pPr>
        <w:pStyle w:val="BodyText"/>
        <w:spacing w:before="168"/>
        <w:ind w:left="1894"/>
        <w:jc w:val="left"/>
      </w:pPr>
      <w:r>
        <w:rPr>
          <w:color w:val="231F20"/>
        </w:rPr>
        <w:t>Поштански саобраћај</w:t>
      </w:r>
    </w:p>
    <w:p>
      <w:pPr>
        <w:pStyle w:val="BodyText"/>
        <w:spacing w:before="1"/>
        <w:ind w:left="0"/>
        <w:jc w:val="left"/>
        <w:rPr>
          <w:sz w:val="17"/>
        </w:rPr>
      </w:pPr>
    </w:p>
    <w:p>
      <w:pPr>
        <w:pStyle w:val="BodyText"/>
        <w:spacing w:line="204" w:lineRule="exact"/>
        <w:ind w:left="568"/>
        <w:jc w:val="left"/>
      </w:pPr>
      <w:r>
        <w:rPr>
          <w:color w:val="231F20"/>
        </w:rPr>
        <w:t>У циљу побољшања постојећег стања, предвиђено је:</w:t>
      </w:r>
    </w:p>
    <w:p>
      <w:pPr>
        <w:pStyle w:val="BodyText"/>
        <w:spacing w:line="201" w:lineRule="exact"/>
        <w:ind w:left="569"/>
        <w:jc w:val="left"/>
      </w:pPr>
      <w:r>
        <w:rPr>
          <w:color w:val="231F20"/>
          <w:w w:val="66"/>
        </w:rPr>
        <w:t> </w:t>
      </w:r>
      <w:r>
        <w:rPr>
          <w:color w:val="231F20"/>
        </w:rPr>
        <w:t>– отворити нове поштанске јединице у већим насељима и</w:t>
      </w:r>
    </w:p>
    <w:p>
      <w:pPr>
        <w:pStyle w:val="BodyText"/>
        <w:spacing w:line="232" w:lineRule="auto" w:before="2"/>
        <w:ind w:left="171" w:right="45" w:firstLine="397"/>
      </w:pPr>
      <w:r>
        <w:rPr>
          <w:color w:val="231F20"/>
          <w:w w:val="66"/>
        </w:rPr>
        <w:t> </w:t>
      </w:r>
      <w:r>
        <w:rPr>
          <w:color w:val="231F20"/>
        </w:rPr>
        <w:t>– </w:t>
      </w:r>
      <w:r>
        <w:rPr>
          <w:color w:val="231F20"/>
          <w:spacing w:val="-3"/>
        </w:rPr>
        <w:t>испитати </w:t>
      </w:r>
      <w:r>
        <w:rPr>
          <w:color w:val="231F20"/>
        </w:rPr>
        <w:t>могућност </w:t>
      </w:r>
      <w:r>
        <w:rPr>
          <w:color w:val="231F20"/>
          <w:spacing w:val="-3"/>
        </w:rPr>
        <w:t>функционисања </w:t>
      </w:r>
      <w:r>
        <w:rPr>
          <w:color w:val="231F20"/>
        </w:rPr>
        <w:t>дела поштанских </w:t>
      </w:r>
      <w:r>
        <w:rPr>
          <w:color w:val="231F20"/>
          <w:spacing w:val="-3"/>
        </w:rPr>
        <w:t>једи- </w:t>
      </w:r>
      <w:r>
        <w:rPr>
          <w:color w:val="231F20"/>
        </w:rPr>
        <w:t>ница</w:t>
      </w:r>
      <w:r>
        <w:rPr>
          <w:color w:val="231F20"/>
          <w:spacing w:val="-10"/>
        </w:rPr>
        <w:t> </w:t>
      </w:r>
      <w:r>
        <w:rPr>
          <w:color w:val="231F20"/>
          <w:spacing w:val="-3"/>
        </w:rPr>
        <w:t>као</w:t>
      </w:r>
      <w:r>
        <w:rPr>
          <w:color w:val="231F20"/>
          <w:spacing w:val="-10"/>
        </w:rPr>
        <w:t> </w:t>
      </w:r>
      <w:r>
        <w:rPr>
          <w:color w:val="231F20"/>
          <w:spacing w:val="-3"/>
        </w:rPr>
        <w:t>уговорних</w:t>
      </w:r>
      <w:r>
        <w:rPr>
          <w:color w:val="231F20"/>
          <w:spacing w:val="-10"/>
        </w:rPr>
        <w:t> </w:t>
      </w:r>
      <w:r>
        <w:rPr>
          <w:color w:val="231F20"/>
        </w:rPr>
        <w:t>пошти</w:t>
      </w:r>
      <w:r>
        <w:rPr>
          <w:color w:val="231F20"/>
          <w:spacing w:val="-10"/>
        </w:rPr>
        <w:t> </w:t>
      </w:r>
      <w:r>
        <w:rPr>
          <w:color w:val="231F20"/>
        </w:rPr>
        <w:t>или</w:t>
      </w:r>
      <w:r>
        <w:rPr>
          <w:color w:val="231F20"/>
          <w:spacing w:val="-10"/>
        </w:rPr>
        <w:t> </w:t>
      </w:r>
      <w:r>
        <w:rPr>
          <w:color w:val="231F20"/>
        </w:rPr>
        <w:t>увођење</w:t>
      </w:r>
      <w:r>
        <w:rPr>
          <w:color w:val="231F20"/>
          <w:spacing w:val="-10"/>
        </w:rPr>
        <w:t> </w:t>
      </w:r>
      <w:r>
        <w:rPr>
          <w:color w:val="231F20"/>
        </w:rPr>
        <w:t>мобилног</w:t>
      </w:r>
      <w:r>
        <w:rPr>
          <w:color w:val="231F20"/>
          <w:spacing w:val="-10"/>
        </w:rPr>
        <w:t> </w:t>
      </w:r>
      <w:r>
        <w:rPr>
          <w:color w:val="231F20"/>
          <w:spacing w:val="-3"/>
        </w:rPr>
        <w:t>поштанског</w:t>
      </w:r>
      <w:r>
        <w:rPr>
          <w:color w:val="231F20"/>
          <w:spacing w:val="-10"/>
        </w:rPr>
        <w:t> </w:t>
      </w:r>
      <w:r>
        <w:rPr>
          <w:color w:val="231F20"/>
        </w:rPr>
        <w:t>шал- тера</w:t>
      </w:r>
      <w:r>
        <w:rPr>
          <w:color w:val="231F20"/>
          <w:spacing w:val="-7"/>
        </w:rPr>
        <w:t> </w:t>
      </w:r>
      <w:r>
        <w:rPr>
          <w:color w:val="231F20"/>
          <w:spacing w:val="-4"/>
        </w:rPr>
        <w:t>који</w:t>
      </w:r>
      <w:r>
        <w:rPr>
          <w:color w:val="231F20"/>
          <w:spacing w:val="-7"/>
        </w:rPr>
        <w:t> </w:t>
      </w:r>
      <w:r>
        <w:rPr>
          <w:color w:val="231F20"/>
        </w:rPr>
        <w:t>би,</w:t>
      </w:r>
      <w:r>
        <w:rPr>
          <w:color w:val="231F20"/>
          <w:spacing w:val="-7"/>
        </w:rPr>
        <w:t> </w:t>
      </w:r>
      <w:r>
        <w:rPr>
          <w:color w:val="231F20"/>
        </w:rPr>
        <w:t>по</w:t>
      </w:r>
      <w:r>
        <w:rPr>
          <w:color w:val="231F20"/>
          <w:spacing w:val="-7"/>
        </w:rPr>
        <w:t> </w:t>
      </w:r>
      <w:r>
        <w:rPr>
          <w:color w:val="231F20"/>
          <w:spacing w:val="-3"/>
        </w:rPr>
        <w:t>одређеном</w:t>
      </w:r>
      <w:r>
        <w:rPr>
          <w:color w:val="231F20"/>
          <w:spacing w:val="-7"/>
        </w:rPr>
        <w:t> </w:t>
      </w:r>
      <w:r>
        <w:rPr>
          <w:color w:val="231F20"/>
          <w:spacing w:val="-4"/>
        </w:rPr>
        <w:t>распореду,</w:t>
      </w:r>
      <w:r>
        <w:rPr>
          <w:color w:val="231F20"/>
          <w:spacing w:val="-7"/>
        </w:rPr>
        <w:t> </w:t>
      </w:r>
      <w:r>
        <w:rPr>
          <w:color w:val="231F20"/>
        </w:rPr>
        <w:t>обилазио</w:t>
      </w:r>
      <w:r>
        <w:rPr>
          <w:color w:val="231F20"/>
          <w:spacing w:val="-7"/>
        </w:rPr>
        <w:t> </w:t>
      </w:r>
      <w:r>
        <w:rPr>
          <w:color w:val="231F20"/>
          <w:spacing w:val="-4"/>
        </w:rPr>
        <w:t>удаљенија</w:t>
      </w:r>
      <w:r>
        <w:rPr>
          <w:color w:val="231F20"/>
          <w:spacing w:val="-7"/>
        </w:rPr>
        <w:t> </w:t>
      </w:r>
      <w:r>
        <w:rPr>
          <w:color w:val="231F20"/>
        </w:rPr>
        <w:t>насеља.</w:t>
      </w:r>
    </w:p>
    <w:p>
      <w:pPr>
        <w:pStyle w:val="ListParagraph"/>
        <w:numPr>
          <w:ilvl w:val="1"/>
          <w:numId w:val="31"/>
        </w:numPr>
        <w:tabs>
          <w:tab w:pos="1780" w:val="left" w:leader="none"/>
        </w:tabs>
        <w:spacing w:line="240" w:lineRule="auto" w:before="167" w:after="0"/>
        <w:ind w:left="1779" w:right="0" w:hanging="315"/>
        <w:jc w:val="left"/>
        <w:rPr>
          <w:i/>
          <w:sz w:val="18"/>
        </w:rPr>
      </w:pPr>
      <w:r>
        <w:rPr>
          <w:i/>
          <w:color w:val="231F20"/>
          <w:sz w:val="18"/>
        </w:rPr>
        <w:t>Комунална</w:t>
      </w:r>
      <w:r>
        <w:rPr>
          <w:i/>
          <w:color w:val="231F20"/>
          <w:spacing w:val="-3"/>
          <w:sz w:val="18"/>
        </w:rPr>
        <w:t> </w:t>
      </w:r>
      <w:r>
        <w:rPr>
          <w:i/>
          <w:color w:val="231F20"/>
          <w:sz w:val="18"/>
        </w:rPr>
        <w:t>инфраструктура</w:t>
      </w:r>
    </w:p>
    <w:p>
      <w:pPr>
        <w:pStyle w:val="BodyText"/>
        <w:spacing w:before="165"/>
        <w:ind w:left="2025" w:right="1901"/>
        <w:jc w:val="center"/>
      </w:pPr>
      <w:r>
        <w:rPr>
          <w:color w:val="231F20"/>
        </w:rPr>
        <w:t>Комунални отпад</w:t>
      </w:r>
    </w:p>
    <w:p>
      <w:pPr>
        <w:pStyle w:val="BodyText"/>
        <w:spacing w:before="5"/>
        <w:ind w:left="0"/>
        <w:jc w:val="left"/>
        <w:rPr>
          <w:sz w:val="17"/>
        </w:rPr>
      </w:pPr>
    </w:p>
    <w:p>
      <w:pPr>
        <w:pStyle w:val="BodyText"/>
        <w:spacing w:line="232" w:lineRule="auto"/>
        <w:ind w:left="171" w:right="44" w:firstLine="396"/>
      </w:pPr>
      <w:r>
        <w:rPr>
          <w:color w:val="231F20"/>
        </w:rPr>
        <w:t>Основно планско решење у </w:t>
      </w:r>
      <w:r>
        <w:rPr>
          <w:color w:val="231F20"/>
          <w:spacing w:val="-3"/>
        </w:rPr>
        <w:t>погледу </w:t>
      </w:r>
      <w:r>
        <w:rPr>
          <w:color w:val="231F20"/>
        </w:rPr>
        <w:t>третмана комуналног</w:t>
      </w:r>
      <w:r>
        <w:rPr>
          <w:color w:val="231F20"/>
          <w:spacing w:val="-30"/>
        </w:rPr>
        <w:t> </w:t>
      </w:r>
      <w:r>
        <w:rPr>
          <w:color w:val="231F20"/>
        </w:rPr>
        <w:t>от- пада јесте затварање свих постојећих несанитарних депонија (и градских и локалних сметлишта), као и чишћење речних корита  и инфраструктурних коридора </w:t>
      </w:r>
      <w:r>
        <w:rPr>
          <w:color w:val="231F20"/>
          <w:spacing w:val="-3"/>
        </w:rPr>
        <w:t>од </w:t>
      </w:r>
      <w:r>
        <w:rPr>
          <w:color w:val="231F20"/>
        </w:rPr>
        <w:t>нелегално одложеног комунал- ног отпада. Неопходно је зауставити тренд формирања дивљих депонија дуж путева, речних </w:t>
      </w:r>
      <w:r>
        <w:rPr>
          <w:color w:val="231F20"/>
          <w:spacing w:val="-3"/>
        </w:rPr>
        <w:t>токова </w:t>
      </w:r>
      <w:r>
        <w:rPr>
          <w:color w:val="231F20"/>
        </w:rPr>
        <w:t>и у близини сеоских насеља имплементацијом пројеката изградње трансфер станица, што ће детаљније бити прецизирано у плановима локалних</w:t>
      </w:r>
      <w:r>
        <w:rPr>
          <w:color w:val="231F20"/>
          <w:spacing w:val="-23"/>
        </w:rPr>
        <w:t> </w:t>
      </w:r>
      <w:r>
        <w:rPr>
          <w:color w:val="231F20"/>
        </w:rPr>
        <w:t>самоуправа.</w:t>
      </w:r>
    </w:p>
    <w:p>
      <w:pPr>
        <w:pStyle w:val="BodyText"/>
        <w:spacing w:line="232" w:lineRule="auto" w:before="5"/>
        <w:ind w:left="171" w:right="46" w:firstLine="397"/>
      </w:pPr>
      <w:r>
        <w:rPr>
          <w:color w:val="231F20"/>
        </w:rPr>
        <w:t>У току је низ активности на успостављању регионалног си- стема управљања отпадом за Браничевски регион. Постоји пред- лог локације за изградњу регионалне депоније – локација „Раша- нац” на подручју општине Петровац на Млави. Према Стратегији управљања</w:t>
      </w:r>
      <w:r>
        <w:rPr>
          <w:color w:val="231F20"/>
          <w:spacing w:val="-12"/>
        </w:rPr>
        <w:t> </w:t>
      </w:r>
      <w:r>
        <w:rPr>
          <w:color w:val="231F20"/>
        </w:rPr>
        <w:t>отпадом</w:t>
      </w:r>
      <w:r>
        <w:rPr>
          <w:color w:val="231F20"/>
          <w:spacing w:val="-12"/>
        </w:rPr>
        <w:t> </w:t>
      </w:r>
      <w:r>
        <w:rPr>
          <w:color w:val="231F20"/>
          <w:spacing w:val="-3"/>
        </w:rPr>
        <w:t>Републике</w:t>
      </w:r>
      <w:r>
        <w:rPr>
          <w:color w:val="231F20"/>
          <w:spacing w:val="-12"/>
        </w:rPr>
        <w:t> </w:t>
      </w:r>
      <w:r>
        <w:rPr>
          <w:color w:val="231F20"/>
        </w:rPr>
        <w:t>Србије</w:t>
      </w:r>
      <w:r>
        <w:rPr>
          <w:color w:val="231F20"/>
          <w:spacing w:val="-12"/>
        </w:rPr>
        <w:t> </w:t>
      </w:r>
      <w:r>
        <w:rPr>
          <w:color w:val="231F20"/>
        </w:rPr>
        <w:t>2010</w:t>
      </w:r>
      <w:r>
        <w:rPr>
          <w:color w:val="231F20"/>
          <w:spacing w:val="13"/>
        </w:rPr>
        <w:t> </w:t>
      </w:r>
      <w:r>
        <w:rPr>
          <w:color w:val="231F20"/>
        </w:rPr>
        <w:t>–</w:t>
      </w:r>
      <w:r>
        <w:rPr>
          <w:color w:val="231F20"/>
          <w:spacing w:val="-12"/>
        </w:rPr>
        <w:t> </w:t>
      </w:r>
      <w:r>
        <w:rPr>
          <w:color w:val="231F20"/>
        </w:rPr>
        <w:t>2019.</w:t>
      </w:r>
      <w:r>
        <w:rPr>
          <w:color w:val="231F20"/>
          <w:spacing w:val="-12"/>
        </w:rPr>
        <w:t> </w:t>
      </w:r>
      <w:r>
        <w:rPr>
          <w:color w:val="231F20"/>
        </w:rPr>
        <w:t>године,</w:t>
      </w:r>
      <w:r>
        <w:rPr>
          <w:color w:val="231F20"/>
          <w:spacing w:val="-12"/>
        </w:rPr>
        <w:t> </w:t>
      </w:r>
      <w:r>
        <w:rPr>
          <w:color w:val="231F20"/>
        </w:rPr>
        <w:t>на</w:t>
      </w:r>
      <w:r>
        <w:rPr>
          <w:color w:val="231F20"/>
          <w:spacing w:val="-12"/>
        </w:rPr>
        <w:t> </w:t>
      </w:r>
      <w:r>
        <w:rPr>
          <w:color w:val="231F20"/>
        </w:rPr>
        <w:t>под- ручју регионалне депоније „Рашанац” биће реализован и пројект изградње рециклажног постројења са системом трансфер станица на територији Браничевског управног</w:t>
      </w:r>
      <w:r>
        <w:rPr>
          <w:color w:val="231F20"/>
          <w:spacing w:val="-6"/>
        </w:rPr>
        <w:t> </w:t>
      </w:r>
      <w:r>
        <w:rPr>
          <w:color w:val="231F20"/>
        </w:rPr>
        <w:t>округа.</w:t>
      </w:r>
    </w:p>
    <w:p>
      <w:pPr>
        <w:pStyle w:val="BodyText"/>
        <w:spacing w:line="232" w:lineRule="auto" w:before="6"/>
        <w:ind w:left="171" w:right="45" w:firstLine="397"/>
      </w:pPr>
      <w:r>
        <w:rPr>
          <w:color w:val="231F20"/>
        </w:rPr>
        <w:t>Целокупан систем заснован је на дефинисању мреже тран- сфер станица у свакој општини – граду, из којих би се отпад пре- возио на место прераде и коначног одлагања. Општинске управе би требало саме да одреде локације трансфер станица на својим територијама, које ће бити у складу са постојећим пројектима за депоније. Могуће је, да се за изградњу трансфер станица искори- сте постојеће локације санитарних и/или дивљих одлагалишта ко- муналног отпада.</w:t>
      </w:r>
    </w:p>
    <w:p>
      <w:pPr>
        <w:pStyle w:val="BodyText"/>
        <w:spacing w:line="235" w:lineRule="auto" w:before="66"/>
        <w:ind w:left="171" w:right="410" w:firstLine="397"/>
      </w:pPr>
      <w:r>
        <w:rPr/>
        <w:br w:type="column"/>
      </w:r>
      <w:r>
        <w:rPr>
          <w:color w:val="231F20"/>
        </w:rPr>
        <w:t>У </w:t>
      </w:r>
      <w:r>
        <w:rPr>
          <w:color w:val="231F20"/>
          <w:spacing w:val="-3"/>
        </w:rPr>
        <w:t>циљу ефикасније реализације система </w:t>
      </w:r>
      <w:r>
        <w:rPr>
          <w:color w:val="231F20"/>
          <w:spacing w:val="-4"/>
        </w:rPr>
        <w:t>евакуације </w:t>
      </w:r>
      <w:r>
        <w:rPr>
          <w:color w:val="231F20"/>
          <w:spacing w:val="-3"/>
        </w:rPr>
        <w:t>отпада </w:t>
      </w:r>
      <w:r>
        <w:rPr>
          <w:color w:val="231F20"/>
        </w:rPr>
        <w:t>са </w:t>
      </w:r>
      <w:r>
        <w:rPr>
          <w:color w:val="231F20"/>
          <w:spacing w:val="-4"/>
        </w:rPr>
        <w:t>Планског подручја, неопходно </w:t>
      </w:r>
      <w:r>
        <w:rPr>
          <w:color w:val="231F20"/>
        </w:rPr>
        <w:t>је у </w:t>
      </w:r>
      <w:r>
        <w:rPr>
          <w:color w:val="231F20"/>
          <w:spacing w:val="-5"/>
        </w:rPr>
        <w:t>планском </w:t>
      </w:r>
      <w:r>
        <w:rPr>
          <w:color w:val="231F20"/>
          <w:spacing w:val="-4"/>
        </w:rPr>
        <w:t>периоду </w:t>
      </w:r>
      <w:r>
        <w:rPr>
          <w:color w:val="231F20"/>
          <w:spacing w:val="-3"/>
        </w:rPr>
        <w:t>извршити </w:t>
      </w:r>
      <w:r>
        <w:rPr>
          <w:color w:val="231F20"/>
        </w:rPr>
        <w:t>за- </w:t>
      </w:r>
      <w:r>
        <w:rPr>
          <w:color w:val="231F20"/>
          <w:spacing w:val="-3"/>
        </w:rPr>
        <w:t>тварање свих депонијских простора </w:t>
      </w:r>
      <w:r>
        <w:rPr>
          <w:color w:val="231F20"/>
        </w:rPr>
        <w:t>и </w:t>
      </w:r>
      <w:r>
        <w:rPr>
          <w:color w:val="231F20"/>
          <w:spacing w:val="-4"/>
        </w:rPr>
        <w:t>рекултивацију </w:t>
      </w:r>
      <w:r>
        <w:rPr>
          <w:color w:val="231F20"/>
          <w:spacing w:val="-3"/>
        </w:rPr>
        <w:t>земљишта ради привођења новим наменама. </w:t>
      </w:r>
      <w:r>
        <w:rPr>
          <w:color w:val="231F20"/>
          <w:spacing w:val="-5"/>
        </w:rPr>
        <w:t>Рекултивација </w:t>
      </w:r>
      <w:r>
        <w:rPr>
          <w:color w:val="231F20"/>
          <w:spacing w:val="-3"/>
        </w:rPr>
        <w:t>депоније </w:t>
      </w:r>
      <w:r>
        <w:rPr>
          <w:color w:val="231F20"/>
        </w:rPr>
        <w:t>би </w:t>
      </w:r>
      <w:r>
        <w:rPr>
          <w:color w:val="231F20"/>
          <w:spacing w:val="-3"/>
        </w:rPr>
        <w:t>требало </w:t>
      </w:r>
      <w:r>
        <w:rPr>
          <w:color w:val="231F20"/>
        </w:rPr>
        <w:t>да се </w:t>
      </w:r>
      <w:r>
        <w:rPr>
          <w:color w:val="231F20"/>
          <w:spacing w:val="-3"/>
        </w:rPr>
        <w:t>обави </w:t>
      </w:r>
      <w:r>
        <w:rPr>
          <w:color w:val="231F20"/>
        </w:rPr>
        <w:t>у </w:t>
      </w:r>
      <w:r>
        <w:rPr>
          <w:color w:val="231F20"/>
          <w:spacing w:val="-4"/>
        </w:rPr>
        <w:t>периоду од </w:t>
      </w:r>
      <w:r>
        <w:rPr>
          <w:color w:val="231F20"/>
          <w:spacing w:val="-3"/>
        </w:rPr>
        <w:t>једне </w:t>
      </w:r>
      <w:r>
        <w:rPr>
          <w:color w:val="231F20"/>
        </w:rPr>
        <w:t>до три </w:t>
      </w:r>
      <w:r>
        <w:rPr>
          <w:color w:val="231F20"/>
          <w:spacing w:val="-5"/>
        </w:rPr>
        <w:t>године након </w:t>
      </w:r>
      <w:r>
        <w:rPr>
          <w:color w:val="231F20"/>
          <w:spacing w:val="-4"/>
        </w:rPr>
        <w:t>затварања </w:t>
      </w:r>
      <w:r>
        <w:rPr>
          <w:color w:val="231F20"/>
          <w:spacing w:val="-3"/>
        </w:rPr>
        <w:t>депоније (заједно </w:t>
      </w:r>
      <w:r>
        <w:rPr>
          <w:color w:val="231F20"/>
        </w:rPr>
        <w:t>са </w:t>
      </w:r>
      <w:r>
        <w:rPr>
          <w:color w:val="231F20"/>
          <w:spacing w:val="-3"/>
        </w:rPr>
        <w:t>истраживањима). </w:t>
      </w:r>
      <w:r>
        <w:rPr>
          <w:color w:val="231F20"/>
          <w:spacing w:val="-4"/>
        </w:rPr>
        <w:t>Период затварања </w:t>
      </w:r>
      <w:r>
        <w:rPr>
          <w:color w:val="231F20"/>
          <w:spacing w:val="-3"/>
        </w:rPr>
        <w:t>општинских депони- </w:t>
      </w:r>
      <w:r>
        <w:rPr>
          <w:color w:val="231F20"/>
        </w:rPr>
        <w:t>ја, </w:t>
      </w:r>
      <w:r>
        <w:rPr>
          <w:color w:val="231F20"/>
          <w:spacing w:val="-3"/>
        </w:rPr>
        <w:t>због просторног </w:t>
      </w:r>
      <w:r>
        <w:rPr>
          <w:color w:val="231F20"/>
          <w:spacing w:val="-5"/>
        </w:rPr>
        <w:t>обухвата, </w:t>
      </w:r>
      <w:r>
        <w:rPr>
          <w:color w:val="231F20"/>
          <w:spacing w:val="-3"/>
        </w:rPr>
        <w:t>могуће </w:t>
      </w:r>
      <w:r>
        <w:rPr>
          <w:color w:val="231F20"/>
        </w:rPr>
        <w:t>је </w:t>
      </w:r>
      <w:r>
        <w:rPr>
          <w:color w:val="231F20"/>
          <w:spacing w:val="-4"/>
        </w:rPr>
        <w:t>продужити </w:t>
      </w:r>
      <w:r>
        <w:rPr>
          <w:color w:val="231F20"/>
        </w:rPr>
        <w:t>на пет </w:t>
      </w:r>
      <w:r>
        <w:rPr>
          <w:color w:val="231F20"/>
          <w:spacing w:val="-4"/>
        </w:rPr>
        <w:t>година.</w:t>
      </w:r>
    </w:p>
    <w:p>
      <w:pPr>
        <w:pStyle w:val="BodyText"/>
        <w:spacing w:before="160"/>
        <w:ind w:left="2435"/>
        <w:jc w:val="left"/>
      </w:pPr>
      <w:r>
        <w:rPr>
          <w:color w:val="231F20"/>
        </w:rPr>
        <w:t>Гробља</w:t>
      </w:r>
    </w:p>
    <w:p>
      <w:pPr>
        <w:pStyle w:val="BodyText"/>
        <w:spacing w:before="5"/>
        <w:ind w:left="0"/>
        <w:jc w:val="left"/>
        <w:rPr>
          <w:sz w:val="17"/>
        </w:rPr>
      </w:pPr>
    </w:p>
    <w:p>
      <w:pPr>
        <w:pStyle w:val="BodyText"/>
        <w:spacing w:line="235" w:lineRule="auto"/>
        <w:ind w:left="172" w:right="409" w:firstLine="396"/>
      </w:pPr>
      <w:r>
        <w:rPr>
          <w:color w:val="231F20"/>
        </w:rPr>
        <w:t>Основно планско опредељење јесте планско уређење, пре свега сеоских гробља. Неопходно је сва сеоска гробља уредити    и комунално опремити. Ширење постојећих или изградња нових гробаља на другим локацијама усмераваће се на основу одговара- јућег урбанистичког плана, </w:t>
      </w:r>
      <w:r>
        <w:rPr>
          <w:color w:val="231F20"/>
          <w:spacing w:val="-4"/>
        </w:rPr>
        <w:t>како </w:t>
      </w:r>
      <w:r>
        <w:rPr>
          <w:color w:val="231F20"/>
        </w:rPr>
        <w:t>би се обезбедило њихово функ- ционисање, уређење и одржавање у складу са правилима за </w:t>
      </w:r>
      <w:r>
        <w:rPr>
          <w:color w:val="231F20"/>
          <w:spacing w:val="-3"/>
        </w:rPr>
        <w:t>ову </w:t>
      </w:r>
      <w:r>
        <w:rPr>
          <w:color w:val="231F20"/>
        </w:rPr>
        <w:t>врсту комуналних</w:t>
      </w:r>
      <w:r>
        <w:rPr>
          <w:color w:val="231F20"/>
          <w:spacing w:val="-2"/>
        </w:rPr>
        <w:t> </w:t>
      </w:r>
      <w:r>
        <w:rPr>
          <w:color w:val="231F20"/>
        </w:rPr>
        <w:t>објеката.</w:t>
      </w:r>
    </w:p>
    <w:p>
      <w:pPr>
        <w:pStyle w:val="BodyText"/>
        <w:spacing w:line="235" w:lineRule="auto"/>
        <w:ind w:left="173" w:right="409" w:firstLine="396"/>
      </w:pPr>
      <w:r>
        <w:rPr>
          <w:color w:val="231F20"/>
        </w:rPr>
        <w:t>Поједина гробља захтевају проширење, које на постојећим локацијама није могуће остварити без озбиљних инвестиција. За сваки појединачни случај треба размотрити оправданост успоста- вљања нових локација гробаља.</w:t>
      </w:r>
    </w:p>
    <w:p>
      <w:pPr>
        <w:pStyle w:val="BodyText"/>
        <w:spacing w:before="157"/>
        <w:ind w:left="2458"/>
        <w:jc w:val="left"/>
      </w:pPr>
      <w:r>
        <w:rPr>
          <w:color w:val="231F20"/>
        </w:rPr>
        <w:t>Пијаце</w:t>
      </w:r>
    </w:p>
    <w:p>
      <w:pPr>
        <w:pStyle w:val="BodyText"/>
        <w:spacing w:before="5"/>
        <w:ind w:left="0"/>
        <w:jc w:val="left"/>
        <w:rPr>
          <w:sz w:val="17"/>
        </w:rPr>
      </w:pPr>
    </w:p>
    <w:p>
      <w:pPr>
        <w:pStyle w:val="BodyText"/>
        <w:spacing w:line="235" w:lineRule="auto"/>
        <w:ind w:left="173" w:right="409" w:firstLine="396"/>
      </w:pPr>
      <w:r>
        <w:rPr>
          <w:color w:val="231F20"/>
          <w:spacing w:val="-3"/>
        </w:rPr>
        <w:t>Будући </w:t>
      </w:r>
      <w:r>
        <w:rPr>
          <w:color w:val="231F20"/>
        </w:rPr>
        <w:t>да постојећи број пијаца не задовољава потребе, нео- </w:t>
      </w:r>
      <w:r>
        <w:rPr>
          <w:color w:val="231F20"/>
          <w:spacing w:val="-3"/>
        </w:rPr>
        <w:t>пходно </w:t>
      </w:r>
      <w:r>
        <w:rPr>
          <w:color w:val="231F20"/>
        </w:rPr>
        <w:t>је </w:t>
      </w:r>
      <w:r>
        <w:rPr>
          <w:color w:val="231F20"/>
          <w:spacing w:val="-3"/>
        </w:rPr>
        <w:t>планском </w:t>
      </w:r>
      <w:r>
        <w:rPr>
          <w:color w:val="231F20"/>
        </w:rPr>
        <w:t>и пројектном документацијом предвидети но- ве локације за изградњу зелених и сточних пијаца, побољшати хигијенске услове и уредити пијаце према утврђеним стандарди- ма. Размотрити потребу успостављања специјализованих пијаца  у градским насељима (рибље, млечне и слично) У селима треба определити нове локације сточних</w:t>
      </w:r>
      <w:r>
        <w:rPr>
          <w:color w:val="231F20"/>
          <w:spacing w:val="-4"/>
        </w:rPr>
        <w:t> </w:t>
      </w:r>
      <w:r>
        <w:rPr>
          <w:color w:val="231F20"/>
        </w:rPr>
        <w:t>пијаца.</w:t>
      </w:r>
    </w:p>
    <w:p>
      <w:pPr>
        <w:pStyle w:val="Heading1"/>
        <w:numPr>
          <w:ilvl w:val="2"/>
          <w:numId w:val="28"/>
        </w:numPr>
        <w:tabs>
          <w:tab w:pos="787" w:val="left" w:leader="none"/>
        </w:tabs>
        <w:spacing w:line="240" w:lineRule="auto" w:before="161" w:after="0"/>
        <w:ind w:left="786" w:right="0" w:hanging="180"/>
        <w:jc w:val="left"/>
      </w:pPr>
      <w:r>
        <w:rPr>
          <w:color w:val="231F20"/>
        </w:rPr>
        <w:t>Становништво, социјални развој и мрежа</w:t>
      </w:r>
      <w:r>
        <w:rPr>
          <w:color w:val="231F20"/>
          <w:spacing w:val="-8"/>
        </w:rPr>
        <w:t> </w:t>
      </w:r>
      <w:r>
        <w:rPr>
          <w:color w:val="231F20"/>
        </w:rPr>
        <w:t>насеља</w:t>
      </w:r>
    </w:p>
    <w:p>
      <w:pPr>
        <w:pStyle w:val="ListParagraph"/>
        <w:numPr>
          <w:ilvl w:val="3"/>
          <w:numId w:val="28"/>
        </w:numPr>
        <w:tabs>
          <w:tab w:pos="2276" w:val="left" w:leader="none"/>
        </w:tabs>
        <w:spacing w:line="240" w:lineRule="auto" w:before="165" w:after="0"/>
        <w:ind w:left="832" w:right="0" w:firstLine="1128"/>
        <w:jc w:val="left"/>
        <w:rPr>
          <w:i/>
          <w:sz w:val="18"/>
        </w:rPr>
      </w:pPr>
      <w:r>
        <w:rPr>
          <w:i/>
          <w:color w:val="231F20"/>
          <w:sz w:val="18"/>
        </w:rPr>
        <w:t>Становништво</w:t>
      </w:r>
    </w:p>
    <w:p>
      <w:pPr>
        <w:pStyle w:val="BodyText"/>
        <w:spacing w:before="4"/>
        <w:ind w:left="0"/>
        <w:jc w:val="left"/>
        <w:rPr>
          <w:i/>
          <w:sz w:val="17"/>
        </w:rPr>
      </w:pPr>
    </w:p>
    <w:p>
      <w:pPr>
        <w:pStyle w:val="BodyText"/>
        <w:spacing w:line="235" w:lineRule="auto"/>
        <w:ind w:left="173" w:right="409" w:firstLine="396"/>
      </w:pPr>
      <w:r>
        <w:rPr>
          <w:color w:val="231F20"/>
        </w:rPr>
        <w:t>На основу анализе досадашњих демографских промена на </w:t>
      </w:r>
      <w:r>
        <w:rPr>
          <w:color w:val="231F20"/>
          <w:spacing w:val="-3"/>
        </w:rPr>
        <w:t>Планском </w:t>
      </w:r>
      <w:r>
        <w:rPr>
          <w:color w:val="231F20"/>
          <w:spacing w:val="-4"/>
        </w:rPr>
        <w:t>подручју, </w:t>
      </w:r>
      <w:r>
        <w:rPr>
          <w:color w:val="231F20"/>
        </w:rPr>
        <w:t>урађене су процене броја становника до 2022. </w:t>
      </w:r>
      <w:r>
        <w:rPr>
          <w:color w:val="231F20"/>
          <w:spacing w:val="-3"/>
        </w:rPr>
        <w:t>године </w:t>
      </w:r>
      <w:r>
        <w:rPr>
          <w:color w:val="231F20"/>
        </w:rPr>
        <w:t>у две варијанте. Прва варијанта је урађена комбинацијом метода трендова и анализе кретања у последњих тридесет </w:t>
      </w:r>
      <w:r>
        <w:rPr>
          <w:color w:val="231F20"/>
          <w:spacing w:val="-3"/>
        </w:rPr>
        <w:t>година. </w:t>
      </w:r>
      <w:r>
        <w:rPr>
          <w:color w:val="231F20"/>
        </w:rPr>
        <w:t>Друга варијанта представља корекцију резултата прве варијанте укључивањем становништва </w:t>
      </w:r>
      <w:r>
        <w:rPr>
          <w:color w:val="231F20"/>
          <w:spacing w:val="-3"/>
        </w:rPr>
        <w:t>које </w:t>
      </w:r>
      <w:r>
        <w:rPr>
          <w:color w:val="231F20"/>
        </w:rPr>
        <w:t>живи у иностранству, односно претпоставке да ће се одређени проценат ових лица вратити у зе- мљу по завршетку радног века.</w:t>
      </w:r>
    </w:p>
    <w:p>
      <w:pPr>
        <w:pStyle w:val="BodyText"/>
        <w:spacing w:line="235" w:lineRule="auto"/>
        <w:ind w:left="172" w:right="409" w:firstLine="397"/>
      </w:pPr>
      <w:r>
        <w:rPr>
          <w:color w:val="231F20"/>
        </w:rPr>
        <w:t>Према</w:t>
      </w:r>
      <w:r>
        <w:rPr>
          <w:color w:val="231F20"/>
          <w:spacing w:val="-6"/>
        </w:rPr>
        <w:t> </w:t>
      </w:r>
      <w:r>
        <w:rPr>
          <w:color w:val="231F20"/>
        </w:rPr>
        <w:t>проценама</w:t>
      </w:r>
      <w:r>
        <w:rPr>
          <w:color w:val="231F20"/>
          <w:spacing w:val="-6"/>
        </w:rPr>
        <w:t> </w:t>
      </w:r>
      <w:r>
        <w:rPr>
          <w:color w:val="231F20"/>
        </w:rPr>
        <w:t>до</w:t>
      </w:r>
      <w:r>
        <w:rPr>
          <w:color w:val="231F20"/>
          <w:spacing w:val="-5"/>
        </w:rPr>
        <w:t> </w:t>
      </w:r>
      <w:r>
        <w:rPr>
          <w:color w:val="231F20"/>
        </w:rPr>
        <w:t>2022.</w:t>
      </w:r>
      <w:r>
        <w:rPr>
          <w:color w:val="231F20"/>
          <w:spacing w:val="-6"/>
        </w:rPr>
        <w:t> </w:t>
      </w:r>
      <w:r>
        <w:rPr>
          <w:color w:val="231F20"/>
          <w:spacing w:val="-3"/>
        </w:rPr>
        <w:t>године</w:t>
      </w:r>
      <w:r>
        <w:rPr>
          <w:color w:val="231F20"/>
          <w:spacing w:val="-6"/>
        </w:rPr>
        <w:t> </w:t>
      </w:r>
      <w:r>
        <w:rPr>
          <w:color w:val="231F20"/>
        </w:rPr>
        <w:t>број</w:t>
      </w:r>
      <w:r>
        <w:rPr>
          <w:color w:val="231F20"/>
          <w:spacing w:val="-5"/>
        </w:rPr>
        <w:t> </w:t>
      </w:r>
      <w:r>
        <w:rPr>
          <w:color w:val="231F20"/>
        </w:rPr>
        <w:t>становника</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(пре- ма првој варијанти) незнатно смањити/стагнирати, </w:t>
      </w:r>
      <w:r>
        <w:rPr>
          <w:color w:val="231F20"/>
          <w:spacing w:val="-3"/>
        </w:rPr>
        <w:t>тако </w:t>
      </w:r>
      <w:r>
        <w:rPr>
          <w:color w:val="231F20"/>
        </w:rPr>
        <w:t>да ће на </w:t>
      </w:r>
      <w:r>
        <w:rPr>
          <w:color w:val="231F20"/>
          <w:spacing w:val="-3"/>
        </w:rPr>
        <w:t>Планском</w:t>
      </w:r>
      <w:r>
        <w:rPr>
          <w:color w:val="231F20"/>
          <w:spacing w:val="20"/>
        </w:rPr>
        <w:t> </w:t>
      </w:r>
      <w:r>
        <w:rPr>
          <w:color w:val="231F20"/>
        </w:rPr>
        <w:t>подручју</w:t>
      </w:r>
      <w:r>
        <w:rPr>
          <w:color w:val="231F20"/>
          <w:spacing w:val="20"/>
        </w:rPr>
        <w:t> </w:t>
      </w:r>
      <w:r>
        <w:rPr>
          <w:color w:val="231F20"/>
        </w:rPr>
        <w:t>живети</w:t>
      </w:r>
      <w:r>
        <w:rPr>
          <w:color w:val="231F20"/>
          <w:spacing w:val="20"/>
        </w:rPr>
        <w:t> </w:t>
      </w:r>
      <w:r>
        <w:rPr>
          <w:color w:val="231F20"/>
          <w:spacing w:val="-4"/>
        </w:rPr>
        <w:t>око</w:t>
      </w:r>
      <w:r>
        <w:rPr>
          <w:color w:val="231F20"/>
          <w:spacing w:val="20"/>
        </w:rPr>
        <w:t> </w:t>
      </w:r>
      <w:r>
        <w:rPr>
          <w:color w:val="231F20"/>
        </w:rPr>
        <w:t>76.100,</w:t>
      </w:r>
      <w:r>
        <w:rPr>
          <w:color w:val="231F20"/>
          <w:spacing w:val="20"/>
        </w:rPr>
        <w:t> </w:t>
      </w:r>
      <w:r>
        <w:rPr>
          <w:color w:val="231F20"/>
        </w:rPr>
        <w:t>односно</w:t>
      </w:r>
      <w:r>
        <w:rPr>
          <w:color w:val="231F20"/>
          <w:spacing w:val="20"/>
        </w:rPr>
        <w:t> </w:t>
      </w:r>
      <w:r>
        <w:rPr>
          <w:color w:val="231F20"/>
        </w:rPr>
        <w:t>повећати</w:t>
      </w:r>
      <w:r>
        <w:rPr>
          <w:color w:val="231F20"/>
          <w:spacing w:val="20"/>
        </w:rPr>
        <w:t> </w:t>
      </w:r>
      <w:r>
        <w:rPr>
          <w:color w:val="231F20"/>
        </w:rPr>
        <w:t>на</w:t>
      </w:r>
      <w:r>
        <w:rPr>
          <w:color w:val="231F20"/>
          <w:spacing w:val="20"/>
        </w:rPr>
        <w:t> </w:t>
      </w:r>
      <w:r>
        <w:rPr>
          <w:color w:val="231F20"/>
          <w:spacing w:val="-4"/>
        </w:rPr>
        <w:t>око</w:t>
      </w:r>
    </w:p>
    <w:p>
      <w:pPr>
        <w:pStyle w:val="BodyText"/>
        <w:spacing w:line="235" w:lineRule="auto"/>
        <w:ind w:left="171" w:right="410"/>
      </w:pPr>
      <w:r>
        <w:rPr>
          <w:color w:val="231F20"/>
        </w:rPr>
        <w:t>79.000 према другој варијанти. Повећање становништва се очеку- је у градским насељима, с обзиром на садашње популационе по- тенцијале, старосну </w:t>
      </w:r>
      <w:r>
        <w:rPr>
          <w:color w:val="231F20"/>
          <w:spacing w:val="-3"/>
        </w:rPr>
        <w:t>структуру, </w:t>
      </w:r>
      <w:r>
        <w:rPr>
          <w:color w:val="231F20"/>
        </w:rPr>
        <w:t>учешће фертилног становништва и број расељеног и </w:t>
      </w:r>
      <w:r>
        <w:rPr>
          <w:color w:val="231F20"/>
          <w:spacing w:val="-3"/>
        </w:rPr>
        <w:t>избеглог </w:t>
      </w:r>
      <w:r>
        <w:rPr>
          <w:color w:val="231F20"/>
        </w:rPr>
        <w:t>становништва </w:t>
      </w:r>
      <w:r>
        <w:rPr>
          <w:color w:val="231F20"/>
          <w:spacing w:val="-3"/>
        </w:rPr>
        <w:t>које </w:t>
      </w:r>
      <w:r>
        <w:rPr>
          <w:color w:val="231F20"/>
        </w:rPr>
        <w:t>се населило у ова насеља. </w:t>
      </w:r>
      <w:r>
        <w:rPr>
          <w:color w:val="231F20"/>
          <w:spacing w:val="-3"/>
        </w:rPr>
        <w:t>Такође, </w:t>
      </w:r>
      <w:r>
        <w:rPr>
          <w:color w:val="231F20"/>
        </w:rPr>
        <w:t>миграције ће и у наредном периоду бити значајна одредница</w:t>
      </w:r>
      <w:r>
        <w:rPr>
          <w:color w:val="231F20"/>
          <w:spacing w:val="-6"/>
        </w:rPr>
        <w:t> </w:t>
      </w:r>
      <w:r>
        <w:rPr>
          <w:color w:val="231F20"/>
        </w:rPr>
        <w:t>демографских</w:t>
      </w:r>
      <w:r>
        <w:rPr>
          <w:color w:val="231F20"/>
          <w:spacing w:val="-6"/>
        </w:rPr>
        <w:t> </w:t>
      </w:r>
      <w:r>
        <w:rPr>
          <w:color w:val="231F20"/>
        </w:rPr>
        <w:t>промена.</w:t>
      </w:r>
      <w:r>
        <w:rPr>
          <w:color w:val="231F20"/>
          <w:spacing w:val="-6"/>
        </w:rPr>
        <w:t> </w:t>
      </w:r>
      <w:r>
        <w:rPr>
          <w:color w:val="231F20"/>
        </w:rPr>
        <w:t>До</w:t>
      </w:r>
      <w:r>
        <w:rPr>
          <w:color w:val="231F20"/>
          <w:spacing w:val="-6"/>
        </w:rPr>
        <w:t> </w:t>
      </w:r>
      <w:r>
        <w:rPr>
          <w:color w:val="231F20"/>
        </w:rPr>
        <w:t>2022.</w:t>
      </w:r>
      <w:r>
        <w:rPr>
          <w:color w:val="231F20"/>
          <w:spacing w:val="-6"/>
        </w:rPr>
        <w:t> </w:t>
      </w:r>
      <w:r>
        <w:rPr>
          <w:color w:val="231F20"/>
          <w:spacing w:val="-3"/>
        </w:rPr>
        <w:t>године</w:t>
      </w:r>
      <w:r>
        <w:rPr>
          <w:color w:val="231F20"/>
          <w:spacing w:val="-6"/>
        </w:rPr>
        <w:t> </w:t>
      </w:r>
      <w:r>
        <w:rPr>
          <w:color w:val="231F20"/>
        </w:rPr>
        <w:t>број</w:t>
      </w:r>
      <w:r>
        <w:rPr>
          <w:color w:val="231F20"/>
          <w:spacing w:val="-6"/>
        </w:rPr>
        <w:t> </w:t>
      </w:r>
      <w:r>
        <w:rPr>
          <w:color w:val="231F20"/>
        </w:rPr>
        <w:t>становни- ка</w:t>
      </w:r>
      <w:r>
        <w:rPr>
          <w:color w:val="231F20"/>
          <w:spacing w:val="10"/>
        </w:rPr>
        <w:t> </w:t>
      </w:r>
      <w:r>
        <w:rPr>
          <w:color w:val="231F20"/>
        </w:rPr>
        <w:t>у</w:t>
      </w:r>
      <w:r>
        <w:rPr>
          <w:color w:val="231F20"/>
          <w:spacing w:val="10"/>
        </w:rPr>
        <w:t> </w:t>
      </w:r>
      <w:r>
        <w:rPr>
          <w:color w:val="231F20"/>
        </w:rPr>
        <w:t>овим</w:t>
      </w:r>
      <w:r>
        <w:rPr>
          <w:color w:val="231F20"/>
          <w:spacing w:val="10"/>
        </w:rPr>
        <w:t> </w:t>
      </w:r>
      <w:r>
        <w:rPr>
          <w:color w:val="231F20"/>
        </w:rPr>
        <w:t>насељима</w:t>
      </w:r>
      <w:r>
        <w:rPr>
          <w:color w:val="231F20"/>
          <w:spacing w:val="10"/>
        </w:rPr>
        <w:t> </w:t>
      </w:r>
      <w:r>
        <w:rPr>
          <w:color w:val="231F20"/>
        </w:rPr>
        <w:t>ће</w:t>
      </w:r>
      <w:r>
        <w:rPr>
          <w:color w:val="231F20"/>
          <w:spacing w:val="10"/>
        </w:rPr>
        <w:t> </w:t>
      </w:r>
      <w:r>
        <w:rPr>
          <w:color w:val="231F20"/>
        </w:rPr>
        <w:t>се</w:t>
      </w:r>
      <w:r>
        <w:rPr>
          <w:color w:val="231F20"/>
          <w:spacing w:val="10"/>
        </w:rPr>
        <w:t> </w:t>
      </w:r>
      <w:r>
        <w:rPr>
          <w:color w:val="231F20"/>
        </w:rPr>
        <w:t>повећати</w:t>
      </w:r>
      <w:r>
        <w:rPr>
          <w:color w:val="231F20"/>
          <w:spacing w:val="10"/>
        </w:rPr>
        <w:t> </w:t>
      </w:r>
      <w:r>
        <w:rPr>
          <w:color w:val="231F20"/>
        </w:rPr>
        <w:t>на</w:t>
      </w:r>
      <w:r>
        <w:rPr>
          <w:color w:val="231F20"/>
          <w:spacing w:val="10"/>
        </w:rPr>
        <w:t> </w:t>
      </w:r>
      <w:r>
        <w:rPr>
          <w:color w:val="231F20"/>
          <w:spacing w:val="-4"/>
        </w:rPr>
        <w:t>око</w:t>
      </w:r>
      <w:r>
        <w:rPr>
          <w:color w:val="231F20"/>
          <w:spacing w:val="10"/>
        </w:rPr>
        <w:t> </w:t>
      </w:r>
      <w:r>
        <w:rPr>
          <w:color w:val="231F20"/>
        </w:rPr>
        <w:t>55.000</w:t>
      </w:r>
      <w:r>
        <w:rPr>
          <w:color w:val="231F20"/>
          <w:spacing w:val="10"/>
        </w:rPr>
        <w:t> </w:t>
      </w:r>
      <w:r>
        <w:rPr>
          <w:color w:val="231F20"/>
        </w:rPr>
        <w:t>односно</w:t>
      </w:r>
      <w:r>
        <w:rPr>
          <w:color w:val="231F20"/>
          <w:spacing w:val="8"/>
        </w:rPr>
        <w:t> </w:t>
      </w:r>
      <w:r>
        <w:rPr>
          <w:color w:val="231F20"/>
        </w:rPr>
        <w:t>на</w:t>
      </w:r>
      <w:r>
        <w:rPr>
          <w:color w:val="231F20"/>
          <w:spacing w:val="10"/>
        </w:rPr>
        <w:t> </w:t>
      </w:r>
      <w:r>
        <w:rPr>
          <w:color w:val="231F20"/>
          <w:spacing w:val="-4"/>
        </w:rPr>
        <w:t>око</w:t>
      </w:r>
    </w:p>
    <w:p>
      <w:pPr>
        <w:pStyle w:val="BodyText"/>
        <w:spacing w:line="195" w:lineRule="exact"/>
        <w:ind w:left="171"/>
        <w:jc w:val="left"/>
      </w:pPr>
      <w:r>
        <w:rPr>
          <w:color w:val="231F20"/>
        </w:rPr>
        <w:t>56.500 према другој варијанти.</w:t>
      </w:r>
    </w:p>
    <w:p>
      <w:pPr>
        <w:pStyle w:val="BodyText"/>
        <w:spacing w:line="235" w:lineRule="auto"/>
        <w:ind w:left="171" w:right="410" w:firstLine="396"/>
      </w:pPr>
      <w:r>
        <w:rPr>
          <w:color w:val="231F20"/>
        </w:rPr>
        <w:t>Процес депопулације регистрован у сеоским насељима већ </w:t>
      </w:r>
      <w:r>
        <w:rPr>
          <w:color w:val="231F20"/>
          <w:spacing w:val="-3"/>
        </w:rPr>
        <w:t>од </w:t>
      </w:r>
      <w:r>
        <w:rPr>
          <w:color w:val="231F20"/>
        </w:rPr>
        <w:t>средине 1970-тих година, а интензивиран 1990-тих, биће </w:t>
      </w:r>
      <w:r>
        <w:rPr>
          <w:color w:val="231F20"/>
          <w:spacing w:val="-3"/>
        </w:rPr>
        <w:t>кон- </w:t>
      </w:r>
      <w:r>
        <w:rPr>
          <w:color w:val="231F20"/>
        </w:rPr>
        <w:t>тинуирано присутан и у периоду до 2022. године, с обзиром да не постоје реалне могућности за преокрет у популационој динамици </w:t>
      </w:r>
      <w:r>
        <w:rPr>
          <w:color w:val="231F20"/>
          <w:spacing w:val="-3"/>
        </w:rPr>
        <w:t>која </w:t>
      </w:r>
      <w:r>
        <w:rPr>
          <w:color w:val="231F20"/>
        </w:rPr>
        <w:t>је резултат снажног дејства тзв. демографске инерције, одно- сно утицаја наслеђене, неповољне, старосне структуре на </w:t>
      </w:r>
      <w:r>
        <w:rPr>
          <w:color w:val="231F20"/>
          <w:spacing w:val="-4"/>
        </w:rPr>
        <w:t>будуће </w:t>
      </w:r>
      <w:r>
        <w:rPr>
          <w:color w:val="231F20"/>
        </w:rPr>
        <w:t>демографске процесе. Несумњиво је да у наредним деценијама треба очекивати такве модификације старосне структуре </w:t>
      </w:r>
      <w:r>
        <w:rPr>
          <w:color w:val="231F20"/>
          <w:spacing w:val="-3"/>
        </w:rPr>
        <w:t>које </w:t>
      </w:r>
      <w:r>
        <w:rPr>
          <w:color w:val="231F20"/>
        </w:rPr>
        <w:t>ће водити ка даљем старењу становништва, односно погоршању де- мографске</w:t>
      </w:r>
      <w:r>
        <w:rPr>
          <w:color w:val="231F20"/>
          <w:spacing w:val="-1"/>
        </w:rPr>
        <w:t> </w:t>
      </w:r>
      <w:r>
        <w:rPr>
          <w:color w:val="231F20"/>
        </w:rPr>
        <w:t>слике.</w:t>
      </w:r>
    </w:p>
    <w:p>
      <w:pPr>
        <w:pStyle w:val="BodyText"/>
        <w:spacing w:line="235" w:lineRule="auto"/>
        <w:ind w:right="411" w:firstLine="397"/>
      </w:pPr>
      <w:r>
        <w:rPr>
          <w:color w:val="231F20"/>
        </w:rPr>
        <w:t>У</w:t>
      </w:r>
      <w:r>
        <w:rPr>
          <w:color w:val="231F20"/>
          <w:spacing w:val="-5"/>
        </w:rPr>
        <w:t> </w:t>
      </w:r>
      <w:r>
        <w:rPr>
          <w:color w:val="231F20"/>
        </w:rPr>
        <w:t>периоду</w:t>
      </w:r>
      <w:r>
        <w:rPr>
          <w:color w:val="231F20"/>
          <w:spacing w:val="-6"/>
        </w:rPr>
        <w:t> </w:t>
      </w:r>
      <w:r>
        <w:rPr>
          <w:color w:val="231F20"/>
        </w:rPr>
        <w:t>до</w:t>
      </w:r>
      <w:r>
        <w:rPr>
          <w:color w:val="231F20"/>
          <w:spacing w:val="-5"/>
        </w:rPr>
        <w:t> </w:t>
      </w:r>
      <w:r>
        <w:rPr>
          <w:color w:val="231F20"/>
        </w:rPr>
        <w:t>2022.</w:t>
      </w:r>
      <w:r>
        <w:rPr>
          <w:color w:val="231F20"/>
          <w:spacing w:val="-5"/>
        </w:rPr>
        <w:t> </w:t>
      </w:r>
      <w:r>
        <w:rPr>
          <w:color w:val="231F20"/>
          <w:spacing w:val="-3"/>
        </w:rPr>
        <w:t>године</w:t>
      </w:r>
      <w:r>
        <w:rPr>
          <w:color w:val="231F20"/>
          <w:spacing w:val="-5"/>
        </w:rPr>
        <w:t> </w:t>
      </w:r>
      <w:r>
        <w:rPr>
          <w:color w:val="231F20"/>
        </w:rPr>
        <w:t>очекује</w:t>
      </w:r>
      <w:r>
        <w:rPr>
          <w:color w:val="231F20"/>
          <w:spacing w:val="-5"/>
        </w:rPr>
        <w:t> </w:t>
      </w:r>
      <w:r>
        <w:rPr>
          <w:color w:val="231F20"/>
        </w:rPr>
        <w:t>се</w:t>
      </w:r>
      <w:r>
        <w:rPr>
          <w:color w:val="231F20"/>
          <w:spacing w:val="-5"/>
        </w:rPr>
        <w:t> </w:t>
      </w:r>
      <w:r>
        <w:rPr>
          <w:color w:val="231F20"/>
        </w:rPr>
        <w:t>смањење</w:t>
      </w:r>
      <w:r>
        <w:rPr>
          <w:color w:val="231F20"/>
          <w:spacing w:val="-5"/>
        </w:rPr>
        <w:t> </w:t>
      </w:r>
      <w:r>
        <w:rPr>
          <w:color w:val="231F20"/>
        </w:rPr>
        <w:t>становништва у</w:t>
      </w:r>
      <w:r>
        <w:rPr>
          <w:color w:val="231F20"/>
          <w:spacing w:val="-7"/>
        </w:rPr>
        <w:t> </w:t>
      </w:r>
      <w:r>
        <w:rPr>
          <w:color w:val="231F20"/>
        </w:rPr>
        <w:t>сеоским</w:t>
      </w:r>
      <w:r>
        <w:rPr>
          <w:color w:val="231F20"/>
          <w:spacing w:val="-7"/>
        </w:rPr>
        <w:t> </w:t>
      </w:r>
      <w:r>
        <w:rPr>
          <w:color w:val="231F20"/>
        </w:rPr>
        <w:t>насељима</w:t>
      </w:r>
      <w:r>
        <w:rPr>
          <w:color w:val="231F20"/>
          <w:spacing w:val="-7"/>
        </w:rPr>
        <w:t> </w:t>
      </w:r>
      <w:r>
        <w:rPr>
          <w:color w:val="231F20"/>
        </w:rPr>
        <w:t>на</w:t>
      </w:r>
      <w:r>
        <w:rPr>
          <w:color w:val="231F20"/>
          <w:spacing w:val="-7"/>
        </w:rPr>
        <w:t> </w:t>
      </w:r>
      <w:r>
        <w:rPr>
          <w:color w:val="231F20"/>
          <w:spacing w:val="-4"/>
        </w:rPr>
        <w:t>око</w:t>
      </w:r>
      <w:r>
        <w:rPr>
          <w:color w:val="231F20"/>
          <w:spacing w:val="-7"/>
        </w:rPr>
        <w:t> </w:t>
      </w:r>
      <w:r>
        <w:rPr>
          <w:color w:val="231F20"/>
        </w:rPr>
        <w:t>20.500,</w:t>
      </w:r>
      <w:r>
        <w:rPr>
          <w:color w:val="231F20"/>
          <w:spacing w:val="-7"/>
        </w:rPr>
        <w:t> </w:t>
      </w:r>
      <w:r>
        <w:rPr>
          <w:color w:val="231F20"/>
        </w:rPr>
        <w:t>што</w:t>
      </w:r>
      <w:r>
        <w:rPr>
          <w:color w:val="231F20"/>
          <w:spacing w:val="-7"/>
        </w:rPr>
        <w:t> </w:t>
      </w:r>
      <w:r>
        <w:rPr>
          <w:color w:val="231F20"/>
        </w:rPr>
        <w:t>је</w:t>
      </w:r>
      <w:r>
        <w:rPr>
          <w:color w:val="231F20"/>
          <w:spacing w:val="-7"/>
        </w:rPr>
        <w:t> </w:t>
      </w:r>
      <w:r>
        <w:rPr>
          <w:color w:val="231F20"/>
        </w:rPr>
        <w:t>у</w:t>
      </w:r>
      <w:r>
        <w:rPr>
          <w:color w:val="231F20"/>
          <w:spacing w:val="-7"/>
        </w:rPr>
        <w:t> </w:t>
      </w:r>
      <w:r>
        <w:rPr>
          <w:color w:val="231F20"/>
        </w:rPr>
        <w:t>односу</w:t>
      </w:r>
      <w:r>
        <w:rPr>
          <w:color w:val="231F20"/>
          <w:spacing w:val="-7"/>
        </w:rPr>
        <w:t> </w:t>
      </w:r>
      <w:r>
        <w:rPr>
          <w:color w:val="231F20"/>
        </w:rPr>
        <w:t>на</w:t>
      </w:r>
      <w:r>
        <w:rPr>
          <w:color w:val="231F20"/>
          <w:spacing w:val="-7"/>
        </w:rPr>
        <w:t> </w:t>
      </w:r>
      <w:r>
        <w:rPr>
          <w:color w:val="231F20"/>
        </w:rPr>
        <w:t>2002.</w:t>
      </w:r>
      <w:r>
        <w:rPr>
          <w:color w:val="231F20"/>
          <w:spacing w:val="-7"/>
        </w:rPr>
        <w:t> </w:t>
      </w:r>
      <w:r>
        <w:rPr>
          <w:color w:val="231F20"/>
          <w:spacing w:val="-3"/>
        </w:rPr>
        <w:t>годину </w:t>
      </w:r>
      <w:r>
        <w:rPr>
          <w:color w:val="231F20"/>
        </w:rPr>
        <w:t>смањење за </w:t>
      </w:r>
      <w:r>
        <w:rPr>
          <w:color w:val="231F20"/>
          <w:spacing w:val="-4"/>
        </w:rPr>
        <w:t>око </w:t>
      </w:r>
      <w:r>
        <w:rPr>
          <w:color w:val="231F20"/>
        </w:rPr>
        <w:t>6.200. Процена становништва по другој варијан- ти, заснива се на претпоставци да ће биолошка депопулација бити ублажена </w:t>
      </w:r>
      <w:r>
        <w:rPr>
          <w:color w:val="231F20"/>
          <w:spacing w:val="-4"/>
        </w:rPr>
        <w:t>уколико </w:t>
      </w:r>
      <w:r>
        <w:rPr>
          <w:color w:val="231F20"/>
        </w:rPr>
        <w:t>се програмима </w:t>
      </w:r>
      <w:r>
        <w:rPr>
          <w:color w:val="231F20"/>
          <w:spacing w:val="-3"/>
        </w:rPr>
        <w:t>економског </w:t>
      </w:r>
      <w:r>
        <w:rPr>
          <w:color w:val="231F20"/>
        </w:rPr>
        <w:t>и социјалног развоја оствари</w:t>
      </w:r>
      <w:r>
        <w:rPr>
          <w:color w:val="231F20"/>
          <w:spacing w:val="-5"/>
        </w:rPr>
        <w:t> </w:t>
      </w:r>
      <w:r>
        <w:rPr>
          <w:color w:val="231F20"/>
        </w:rPr>
        <w:t>бољи</w:t>
      </w:r>
      <w:r>
        <w:rPr>
          <w:color w:val="231F20"/>
          <w:spacing w:val="-5"/>
        </w:rPr>
        <w:t> </w:t>
      </w:r>
      <w:r>
        <w:rPr>
          <w:color w:val="231F20"/>
        </w:rPr>
        <w:t>квалитет</w:t>
      </w:r>
      <w:r>
        <w:rPr>
          <w:color w:val="231F20"/>
          <w:spacing w:val="-5"/>
        </w:rPr>
        <w:t> </w:t>
      </w:r>
      <w:r>
        <w:rPr>
          <w:color w:val="231F20"/>
        </w:rPr>
        <w:t>живљења</w:t>
      </w:r>
      <w:r>
        <w:rPr>
          <w:color w:val="231F20"/>
          <w:spacing w:val="-5"/>
        </w:rPr>
        <w:t> </w:t>
      </w:r>
      <w:r>
        <w:rPr>
          <w:color w:val="231F20"/>
        </w:rPr>
        <w:t>и</w:t>
      </w:r>
      <w:r>
        <w:rPr>
          <w:color w:val="231F20"/>
          <w:spacing w:val="-5"/>
        </w:rPr>
        <w:t> </w:t>
      </w:r>
      <w:r>
        <w:rPr>
          <w:color w:val="231F20"/>
        </w:rPr>
        <w:t>да</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одређени</w:t>
      </w:r>
      <w:r>
        <w:rPr>
          <w:color w:val="231F20"/>
          <w:spacing w:val="-5"/>
        </w:rPr>
        <w:t> </w:t>
      </w:r>
      <w:r>
        <w:rPr>
          <w:color w:val="231F20"/>
        </w:rPr>
        <w:t>проценат</w:t>
      </w:r>
      <w:r>
        <w:rPr>
          <w:color w:val="231F20"/>
          <w:spacing w:val="-5"/>
        </w:rPr>
        <w:t> </w:t>
      </w:r>
      <w:r>
        <w:rPr>
          <w:color w:val="231F20"/>
        </w:rPr>
        <w:t>ли- ца </w:t>
      </w:r>
      <w:r>
        <w:rPr>
          <w:color w:val="231F20"/>
          <w:spacing w:val="-3"/>
        </w:rPr>
        <w:t>која </w:t>
      </w:r>
      <w:r>
        <w:rPr>
          <w:color w:val="231F20"/>
        </w:rPr>
        <w:t>раде/бораве у иностранству вратити у </w:t>
      </w:r>
      <w:r>
        <w:rPr>
          <w:color w:val="231F20"/>
          <w:spacing w:val="-4"/>
        </w:rPr>
        <w:t>земљу. </w:t>
      </w:r>
      <w:r>
        <w:rPr>
          <w:color w:val="231F20"/>
        </w:rPr>
        <w:t>Према овој варијанти број становника у сеоским насељима ће се смањити на </w:t>
      </w:r>
      <w:r>
        <w:rPr>
          <w:color w:val="231F20"/>
          <w:spacing w:val="-4"/>
        </w:rPr>
        <w:t>око </w:t>
      </w:r>
      <w:r>
        <w:rPr>
          <w:color w:val="231F20"/>
        </w:rPr>
        <w:t>22.500, односно за </w:t>
      </w:r>
      <w:r>
        <w:rPr>
          <w:color w:val="231F20"/>
          <w:spacing w:val="-4"/>
        </w:rPr>
        <w:t>око </w:t>
      </w:r>
      <w:r>
        <w:rPr>
          <w:color w:val="231F20"/>
        </w:rPr>
        <w:t>4.200 лица у односу на 2002.</w:t>
      </w:r>
      <w:r>
        <w:rPr>
          <w:color w:val="231F20"/>
          <w:spacing w:val="0"/>
        </w:rPr>
        <w:t> </w:t>
      </w:r>
      <w:r>
        <w:rPr>
          <w:color w:val="231F20"/>
          <w:spacing w:val="-5"/>
        </w:rPr>
        <w:t>годину.</w:t>
      </w:r>
    </w:p>
    <w:p>
      <w:pPr>
        <w:spacing w:after="0" w:line="235" w:lineRule="auto"/>
        <w:sectPr>
          <w:pgSz w:w="12480" w:h="15690"/>
          <w:pgMar w:top="120" w:bottom="280" w:left="680" w:right="720"/>
          <w:cols w:num="2" w:equalWidth="0">
            <w:col w:w="5322" w:space="63"/>
            <w:col w:w="5695"/>
          </w:cols>
        </w:sectPr>
      </w:pPr>
    </w:p>
    <w:p>
      <w:pPr>
        <w:pStyle w:val="BodyText"/>
        <w:spacing w:before="68" w:after="41"/>
        <w:ind w:left="453"/>
        <w:jc w:val="left"/>
      </w:pPr>
      <w:r>
        <w:rPr>
          <w:color w:val="231F20"/>
        </w:rPr>
        <w:t>Табела 27. Процена броја становника до 2022. године</w:t>
      </w: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182"/>
        <w:gridCol w:w="635"/>
        <w:gridCol w:w="636"/>
        <w:gridCol w:w="636"/>
        <w:gridCol w:w="636"/>
        <w:gridCol w:w="636"/>
        <w:gridCol w:w="741"/>
        <w:gridCol w:w="878"/>
        <w:gridCol w:w="955"/>
        <w:gridCol w:w="636"/>
        <w:gridCol w:w="636"/>
        <w:gridCol w:w="636"/>
        <w:gridCol w:w="636"/>
      </w:tblGrid>
      <w:tr>
        <w:trPr>
          <w:trHeight w:val="360" w:hRule="atLeast"/>
        </w:trPr>
        <w:tc>
          <w:tcPr>
            <w:tcW w:w="2182" w:type="dxa"/>
            <w:vMerge w:val="restart"/>
          </w:tcPr>
          <w:p>
            <w:pPr>
              <w:pStyle w:val="TableParagraph"/>
              <w:spacing w:before="0"/>
              <w:jc w:val="left"/>
              <w:rPr>
                <w:sz w:val="16"/>
              </w:rPr>
            </w:pPr>
          </w:p>
          <w:p>
            <w:pPr>
              <w:pStyle w:val="TableParagraph"/>
              <w:spacing w:before="124"/>
              <w:ind w:left="584"/>
              <w:jc w:val="left"/>
              <w:rPr>
                <w:sz w:val="14"/>
              </w:rPr>
            </w:pPr>
            <w:r>
              <w:rPr>
                <w:color w:val="231F20"/>
                <w:sz w:val="14"/>
              </w:rPr>
              <w:t>Подручје/насеље</w:t>
            </w:r>
          </w:p>
        </w:tc>
        <w:tc>
          <w:tcPr>
            <w:tcW w:w="1907" w:type="dxa"/>
            <w:gridSpan w:val="3"/>
            <w:vMerge w:val="restart"/>
          </w:tcPr>
          <w:p>
            <w:pPr>
              <w:pStyle w:val="TableParagraph"/>
              <w:spacing w:before="43"/>
              <w:ind w:left="439" w:right="427" w:firstLine="28"/>
              <w:jc w:val="both"/>
              <w:rPr>
                <w:sz w:val="14"/>
              </w:rPr>
            </w:pPr>
            <w:r>
              <w:rPr>
                <w:color w:val="231F20"/>
                <w:sz w:val="14"/>
              </w:rPr>
              <w:t>Брoj стaнoвникa (по</w:t>
            </w:r>
            <w:r>
              <w:rPr>
                <w:color w:val="231F20"/>
                <w:spacing w:val="-12"/>
                <w:sz w:val="14"/>
              </w:rPr>
              <w:t> </w:t>
            </w:r>
            <w:r>
              <w:rPr>
                <w:color w:val="231F20"/>
                <w:sz w:val="14"/>
              </w:rPr>
              <w:t>методологији ранијих</w:t>
            </w:r>
            <w:r>
              <w:rPr>
                <w:color w:val="231F20"/>
                <w:spacing w:val="-2"/>
                <w:sz w:val="14"/>
              </w:rPr>
              <w:t> </w:t>
            </w:r>
            <w:r>
              <w:rPr>
                <w:color w:val="231F20"/>
                <w:sz w:val="14"/>
              </w:rPr>
              <w:t>пописа)</w:t>
            </w:r>
          </w:p>
        </w:tc>
        <w:tc>
          <w:tcPr>
            <w:tcW w:w="1272" w:type="dxa"/>
            <w:gridSpan w:val="2"/>
            <w:vMerge w:val="restart"/>
          </w:tcPr>
          <w:p>
            <w:pPr>
              <w:pStyle w:val="TableParagraph"/>
              <w:spacing w:before="7"/>
              <w:jc w:val="left"/>
              <w:rPr>
                <w:sz w:val="17"/>
              </w:rPr>
            </w:pPr>
          </w:p>
          <w:p>
            <w:pPr>
              <w:pStyle w:val="TableParagraph"/>
              <w:spacing w:before="1"/>
              <w:ind w:left="75"/>
              <w:jc w:val="left"/>
              <w:rPr>
                <w:sz w:val="14"/>
              </w:rPr>
            </w:pPr>
            <w:r>
              <w:rPr>
                <w:color w:val="231F20"/>
                <w:sz w:val="14"/>
              </w:rPr>
              <w:t>Нова методологија</w:t>
            </w:r>
          </w:p>
        </w:tc>
        <w:tc>
          <w:tcPr>
            <w:tcW w:w="2574" w:type="dxa"/>
            <w:gridSpan w:val="3"/>
          </w:tcPr>
          <w:p>
            <w:pPr>
              <w:pStyle w:val="TableParagraph"/>
              <w:ind w:left="636" w:right="381" w:firstLine="187"/>
              <w:jc w:val="left"/>
              <w:rPr>
                <w:sz w:val="14"/>
              </w:rPr>
            </w:pPr>
            <w:r>
              <w:rPr>
                <w:color w:val="231F20"/>
                <w:sz w:val="14"/>
              </w:rPr>
              <w:t>Први резултати Пописа 2011. године*</w:t>
            </w:r>
          </w:p>
        </w:tc>
        <w:tc>
          <w:tcPr>
            <w:tcW w:w="2544" w:type="dxa"/>
            <w:gridSpan w:val="4"/>
          </w:tcPr>
          <w:p>
            <w:pPr>
              <w:pStyle w:val="TableParagraph"/>
              <w:spacing w:before="98"/>
              <w:ind w:left="484"/>
              <w:jc w:val="left"/>
              <w:rPr>
                <w:sz w:val="14"/>
              </w:rPr>
            </w:pPr>
            <w:r>
              <w:rPr>
                <w:color w:val="231F20"/>
                <w:sz w:val="14"/>
              </w:rPr>
              <w:t>Процена броја становника</w:t>
            </w:r>
          </w:p>
        </w:tc>
      </w:tr>
      <w:tr>
        <w:trPr>
          <w:trHeight w:val="200" w:hRule="atLeast"/>
        </w:trPr>
        <w:tc>
          <w:tcPr>
            <w:tcW w:w="2182" w:type="dxa"/>
            <w:vMerge/>
            <w:tcBorders>
              <w:top w:val="nil"/>
            </w:tcBorders>
          </w:tcPr>
          <w:p>
            <w:pPr>
              <w:rPr>
                <w:sz w:val="2"/>
                <w:szCs w:val="2"/>
              </w:rPr>
            </w:pPr>
          </w:p>
        </w:tc>
        <w:tc>
          <w:tcPr>
            <w:tcW w:w="1907" w:type="dxa"/>
            <w:gridSpan w:val="3"/>
            <w:vMerge/>
            <w:tcBorders>
              <w:top w:val="nil"/>
            </w:tcBorders>
          </w:tcPr>
          <w:p>
            <w:pPr>
              <w:rPr>
                <w:sz w:val="2"/>
                <w:szCs w:val="2"/>
              </w:rPr>
            </w:pPr>
          </w:p>
        </w:tc>
        <w:tc>
          <w:tcPr>
            <w:tcW w:w="1272" w:type="dxa"/>
            <w:gridSpan w:val="2"/>
            <w:vMerge/>
            <w:tcBorders>
              <w:top w:val="nil"/>
            </w:tcBorders>
          </w:tcPr>
          <w:p>
            <w:pPr>
              <w:rPr>
                <w:sz w:val="2"/>
                <w:szCs w:val="2"/>
              </w:rPr>
            </w:pPr>
          </w:p>
        </w:tc>
        <w:tc>
          <w:tcPr>
            <w:tcW w:w="741" w:type="dxa"/>
            <w:vMerge w:val="restart"/>
          </w:tcPr>
          <w:p>
            <w:pPr>
              <w:pStyle w:val="TableParagraph"/>
              <w:spacing w:before="123"/>
              <w:ind w:left="87"/>
              <w:jc w:val="left"/>
              <w:rPr>
                <w:sz w:val="14"/>
              </w:rPr>
            </w:pPr>
            <w:r>
              <w:rPr>
                <w:color w:val="231F20"/>
                <w:sz w:val="14"/>
              </w:rPr>
              <w:t>пописано</w:t>
            </w:r>
          </w:p>
        </w:tc>
        <w:tc>
          <w:tcPr>
            <w:tcW w:w="878" w:type="dxa"/>
            <w:vMerge w:val="restart"/>
          </w:tcPr>
          <w:p>
            <w:pPr>
              <w:pStyle w:val="TableParagraph"/>
              <w:spacing w:before="43"/>
              <w:ind w:left="100" w:right="71" w:firstLine="180"/>
              <w:jc w:val="left"/>
              <w:rPr>
                <w:sz w:val="14"/>
              </w:rPr>
            </w:pPr>
            <w:r>
              <w:rPr>
                <w:color w:val="231F20"/>
                <w:sz w:val="14"/>
              </w:rPr>
              <w:t>укуп. становника</w:t>
            </w:r>
          </w:p>
        </w:tc>
        <w:tc>
          <w:tcPr>
            <w:tcW w:w="955" w:type="dxa"/>
            <w:vMerge w:val="restart"/>
          </w:tcPr>
          <w:p>
            <w:pPr>
              <w:pStyle w:val="TableParagraph"/>
              <w:spacing w:before="43"/>
              <w:ind w:left="104" w:right="81" w:firstLine="179"/>
              <w:jc w:val="left"/>
              <w:rPr>
                <w:sz w:val="14"/>
              </w:rPr>
            </w:pPr>
            <w:r>
              <w:rPr>
                <w:color w:val="231F20"/>
                <w:sz w:val="14"/>
              </w:rPr>
              <w:t>лица у иностранств</w:t>
            </w:r>
          </w:p>
        </w:tc>
        <w:tc>
          <w:tcPr>
            <w:tcW w:w="1272" w:type="dxa"/>
            <w:gridSpan w:val="2"/>
          </w:tcPr>
          <w:p>
            <w:pPr>
              <w:pStyle w:val="TableParagraph"/>
              <w:ind w:left="308"/>
              <w:jc w:val="left"/>
              <w:rPr>
                <w:sz w:val="14"/>
              </w:rPr>
            </w:pPr>
            <w:r>
              <w:rPr>
                <w:color w:val="231F20"/>
                <w:sz w:val="14"/>
              </w:rPr>
              <w:t>I варијанта</w:t>
            </w:r>
          </w:p>
        </w:tc>
        <w:tc>
          <w:tcPr>
            <w:tcW w:w="1272" w:type="dxa"/>
            <w:gridSpan w:val="2"/>
          </w:tcPr>
          <w:p>
            <w:pPr>
              <w:pStyle w:val="TableParagraph"/>
              <w:ind w:left="285"/>
              <w:jc w:val="left"/>
              <w:rPr>
                <w:sz w:val="14"/>
              </w:rPr>
            </w:pPr>
            <w:r>
              <w:rPr>
                <w:color w:val="231F20"/>
                <w:sz w:val="14"/>
              </w:rPr>
              <w:t>II варијанта</w:t>
            </w:r>
          </w:p>
        </w:tc>
      </w:tr>
      <w:tr>
        <w:trPr>
          <w:trHeight w:val="200" w:hRule="atLeast"/>
        </w:trPr>
        <w:tc>
          <w:tcPr>
            <w:tcW w:w="2182" w:type="dxa"/>
            <w:vMerge/>
            <w:tcBorders>
              <w:top w:val="nil"/>
            </w:tcBorders>
          </w:tcPr>
          <w:p>
            <w:pPr>
              <w:rPr>
                <w:sz w:val="2"/>
                <w:szCs w:val="2"/>
              </w:rPr>
            </w:pPr>
          </w:p>
        </w:tc>
        <w:tc>
          <w:tcPr>
            <w:tcW w:w="635" w:type="dxa"/>
          </w:tcPr>
          <w:p>
            <w:pPr>
              <w:pStyle w:val="TableParagraph"/>
              <w:ind w:left="176"/>
              <w:jc w:val="left"/>
              <w:rPr>
                <w:sz w:val="14"/>
              </w:rPr>
            </w:pPr>
            <w:r>
              <w:rPr>
                <w:color w:val="231F20"/>
                <w:sz w:val="14"/>
              </w:rPr>
              <w:t>1981</w:t>
            </w:r>
          </w:p>
        </w:tc>
        <w:tc>
          <w:tcPr>
            <w:tcW w:w="636" w:type="dxa"/>
          </w:tcPr>
          <w:p>
            <w:pPr>
              <w:pStyle w:val="TableParagraph"/>
              <w:ind w:left="177"/>
              <w:jc w:val="left"/>
              <w:rPr>
                <w:sz w:val="14"/>
              </w:rPr>
            </w:pPr>
            <w:r>
              <w:rPr>
                <w:color w:val="231F20"/>
                <w:sz w:val="14"/>
              </w:rPr>
              <w:t>1991</w:t>
            </w:r>
          </w:p>
        </w:tc>
        <w:tc>
          <w:tcPr>
            <w:tcW w:w="636" w:type="dxa"/>
          </w:tcPr>
          <w:p>
            <w:pPr>
              <w:pStyle w:val="TableParagraph"/>
              <w:ind w:left="177"/>
              <w:jc w:val="left"/>
              <w:rPr>
                <w:sz w:val="14"/>
              </w:rPr>
            </w:pPr>
            <w:r>
              <w:rPr>
                <w:color w:val="231F20"/>
                <w:sz w:val="14"/>
              </w:rPr>
              <w:t>2002</w:t>
            </w:r>
          </w:p>
        </w:tc>
        <w:tc>
          <w:tcPr>
            <w:tcW w:w="636" w:type="dxa"/>
          </w:tcPr>
          <w:p>
            <w:pPr>
              <w:pStyle w:val="TableParagraph"/>
              <w:ind w:left="177"/>
              <w:jc w:val="left"/>
              <w:rPr>
                <w:sz w:val="14"/>
              </w:rPr>
            </w:pPr>
            <w:r>
              <w:rPr>
                <w:color w:val="231F20"/>
                <w:sz w:val="14"/>
              </w:rPr>
              <w:t>1991</w:t>
            </w:r>
          </w:p>
        </w:tc>
        <w:tc>
          <w:tcPr>
            <w:tcW w:w="636" w:type="dxa"/>
          </w:tcPr>
          <w:p>
            <w:pPr>
              <w:pStyle w:val="TableParagraph"/>
              <w:ind w:left="177"/>
              <w:jc w:val="left"/>
              <w:rPr>
                <w:sz w:val="14"/>
              </w:rPr>
            </w:pPr>
            <w:r>
              <w:rPr>
                <w:color w:val="231F20"/>
                <w:sz w:val="14"/>
              </w:rPr>
              <w:t>2002</w:t>
            </w:r>
          </w:p>
        </w:tc>
        <w:tc>
          <w:tcPr>
            <w:tcW w:w="741" w:type="dxa"/>
            <w:vMerge/>
            <w:tcBorders>
              <w:top w:val="nil"/>
            </w:tcBorders>
          </w:tcPr>
          <w:p>
            <w:pPr>
              <w:rPr>
                <w:sz w:val="2"/>
                <w:szCs w:val="2"/>
              </w:rPr>
            </w:pPr>
          </w:p>
        </w:tc>
        <w:tc>
          <w:tcPr>
            <w:tcW w:w="878" w:type="dxa"/>
            <w:vMerge/>
            <w:tcBorders>
              <w:top w:val="nil"/>
            </w:tcBorders>
          </w:tcPr>
          <w:p>
            <w:pPr>
              <w:rPr>
                <w:sz w:val="2"/>
                <w:szCs w:val="2"/>
              </w:rPr>
            </w:pPr>
          </w:p>
        </w:tc>
        <w:tc>
          <w:tcPr>
            <w:tcW w:w="955" w:type="dxa"/>
            <w:vMerge/>
            <w:tcBorders>
              <w:top w:val="nil"/>
            </w:tcBorders>
          </w:tcPr>
          <w:p>
            <w:pPr>
              <w:rPr>
                <w:sz w:val="2"/>
                <w:szCs w:val="2"/>
              </w:rPr>
            </w:pPr>
          </w:p>
        </w:tc>
        <w:tc>
          <w:tcPr>
            <w:tcW w:w="636" w:type="dxa"/>
          </w:tcPr>
          <w:p>
            <w:pPr>
              <w:pStyle w:val="TableParagraph"/>
              <w:ind w:left="177"/>
              <w:jc w:val="left"/>
              <w:rPr>
                <w:sz w:val="14"/>
              </w:rPr>
            </w:pPr>
            <w:r>
              <w:rPr>
                <w:color w:val="231F20"/>
                <w:sz w:val="14"/>
              </w:rPr>
              <w:t>2015</w:t>
            </w:r>
          </w:p>
        </w:tc>
        <w:tc>
          <w:tcPr>
            <w:tcW w:w="636" w:type="dxa"/>
          </w:tcPr>
          <w:p>
            <w:pPr>
              <w:pStyle w:val="TableParagraph"/>
              <w:ind w:left="177"/>
              <w:jc w:val="left"/>
              <w:rPr>
                <w:sz w:val="14"/>
              </w:rPr>
            </w:pPr>
            <w:r>
              <w:rPr>
                <w:color w:val="231F20"/>
                <w:sz w:val="14"/>
              </w:rPr>
              <w:t>2022</w:t>
            </w:r>
          </w:p>
        </w:tc>
        <w:tc>
          <w:tcPr>
            <w:tcW w:w="636" w:type="dxa"/>
          </w:tcPr>
          <w:p>
            <w:pPr>
              <w:pStyle w:val="TableParagraph"/>
              <w:ind w:left="177"/>
              <w:jc w:val="left"/>
              <w:rPr>
                <w:sz w:val="14"/>
              </w:rPr>
            </w:pPr>
            <w:r>
              <w:rPr>
                <w:color w:val="231F20"/>
                <w:sz w:val="14"/>
              </w:rPr>
              <w:t>2015</w:t>
            </w:r>
          </w:p>
        </w:tc>
        <w:tc>
          <w:tcPr>
            <w:tcW w:w="636" w:type="dxa"/>
          </w:tcPr>
          <w:p>
            <w:pPr>
              <w:pStyle w:val="TableParagraph"/>
              <w:ind w:left="177"/>
              <w:jc w:val="left"/>
              <w:rPr>
                <w:sz w:val="14"/>
              </w:rPr>
            </w:pPr>
            <w:r>
              <w:rPr>
                <w:color w:val="231F20"/>
                <w:sz w:val="14"/>
              </w:rPr>
              <w:t>2022</w:t>
            </w:r>
          </w:p>
        </w:tc>
      </w:tr>
      <w:tr>
        <w:trPr>
          <w:trHeight w:val="200" w:hRule="atLeast"/>
        </w:trPr>
        <w:tc>
          <w:tcPr>
            <w:tcW w:w="2182" w:type="dxa"/>
          </w:tcPr>
          <w:p>
            <w:pPr>
              <w:pStyle w:val="TableParagraph"/>
              <w:ind w:left="56"/>
              <w:jc w:val="left"/>
              <w:rPr>
                <w:sz w:val="14"/>
              </w:rPr>
            </w:pPr>
            <w:r>
              <w:rPr>
                <w:color w:val="231F20"/>
                <w:sz w:val="14"/>
              </w:rPr>
              <w:t>ПОДРУЧЈЕ ПЛАНА</w:t>
            </w:r>
          </w:p>
        </w:tc>
        <w:tc>
          <w:tcPr>
            <w:tcW w:w="635" w:type="dxa"/>
          </w:tcPr>
          <w:p>
            <w:pPr>
              <w:pStyle w:val="TableParagraph"/>
              <w:ind w:right="45"/>
              <w:rPr>
                <w:sz w:val="14"/>
              </w:rPr>
            </w:pPr>
            <w:r>
              <w:rPr>
                <w:color w:val="231F20"/>
                <w:sz w:val="14"/>
              </w:rPr>
              <w:t>85323</w:t>
            </w:r>
          </w:p>
        </w:tc>
        <w:tc>
          <w:tcPr>
            <w:tcW w:w="636" w:type="dxa"/>
          </w:tcPr>
          <w:p>
            <w:pPr>
              <w:pStyle w:val="TableParagraph"/>
              <w:ind w:right="45"/>
              <w:rPr>
                <w:sz w:val="14"/>
              </w:rPr>
            </w:pPr>
            <w:r>
              <w:rPr>
                <w:color w:val="231F20"/>
                <w:sz w:val="14"/>
              </w:rPr>
              <w:t>88683</w:t>
            </w:r>
          </w:p>
        </w:tc>
        <w:tc>
          <w:tcPr>
            <w:tcW w:w="636" w:type="dxa"/>
          </w:tcPr>
          <w:p>
            <w:pPr>
              <w:pStyle w:val="TableParagraph"/>
              <w:ind w:right="45"/>
              <w:rPr>
                <w:sz w:val="14"/>
              </w:rPr>
            </w:pPr>
            <w:r>
              <w:rPr>
                <w:color w:val="231F20"/>
                <w:sz w:val="14"/>
              </w:rPr>
              <w:t>86943</w:t>
            </w:r>
          </w:p>
        </w:tc>
        <w:tc>
          <w:tcPr>
            <w:tcW w:w="636" w:type="dxa"/>
          </w:tcPr>
          <w:p>
            <w:pPr>
              <w:pStyle w:val="TableParagraph"/>
              <w:ind w:right="45"/>
              <w:rPr>
                <w:sz w:val="14"/>
              </w:rPr>
            </w:pPr>
            <w:r>
              <w:rPr>
                <w:color w:val="231F20"/>
                <w:sz w:val="14"/>
              </w:rPr>
              <w:t>81351</w:t>
            </w:r>
          </w:p>
        </w:tc>
        <w:tc>
          <w:tcPr>
            <w:tcW w:w="636" w:type="dxa"/>
          </w:tcPr>
          <w:p>
            <w:pPr>
              <w:pStyle w:val="TableParagraph"/>
              <w:ind w:right="45"/>
              <w:rPr>
                <w:sz w:val="14"/>
              </w:rPr>
            </w:pPr>
            <w:r>
              <w:rPr>
                <w:color w:val="231F20"/>
                <w:sz w:val="14"/>
              </w:rPr>
              <w:t>77784</w:t>
            </w:r>
          </w:p>
        </w:tc>
        <w:tc>
          <w:tcPr>
            <w:tcW w:w="741" w:type="dxa"/>
          </w:tcPr>
          <w:p>
            <w:pPr>
              <w:pStyle w:val="TableParagraph"/>
              <w:ind w:right="45"/>
              <w:rPr>
                <w:sz w:val="14"/>
              </w:rPr>
            </w:pPr>
            <w:r>
              <w:rPr>
                <w:color w:val="231F20"/>
                <w:sz w:val="14"/>
              </w:rPr>
              <w:t>87329</w:t>
            </w:r>
          </w:p>
        </w:tc>
        <w:tc>
          <w:tcPr>
            <w:tcW w:w="878" w:type="dxa"/>
          </w:tcPr>
          <w:p>
            <w:pPr>
              <w:pStyle w:val="TableParagraph"/>
              <w:ind w:right="45"/>
              <w:rPr>
                <w:sz w:val="14"/>
              </w:rPr>
            </w:pPr>
            <w:r>
              <w:rPr>
                <w:color w:val="231F20"/>
                <w:sz w:val="14"/>
              </w:rPr>
              <w:t>76160</w:t>
            </w:r>
          </w:p>
        </w:tc>
        <w:tc>
          <w:tcPr>
            <w:tcW w:w="955" w:type="dxa"/>
          </w:tcPr>
          <w:p>
            <w:pPr>
              <w:pStyle w:val="TableParagraph"/>
              <w:ind w:right="45"/>
              <w:rPr>
                <w:sz w:val="14"/>
              </w:rPr>
            </w:pPr>
            <w:r>
              <w:rPr>
                <w:color w:val="231F20"/>
                <w:sz w:val="14"/>
              </w:rPr>
              <w:t>9648</w:t>
            </w:r>
          </w:p>
        </w:tc>
        <w:tc>
          <w:tcPr>
            <w:tcW w:w="636" w:type="dxa"/>
          </w:tcPr>
          <w:p>
            <w:pPr>
              <w:pStyle w:val="TableParagraph"/>
              <w:ind w:right="45"/>
              <w:rPr>
                <w:sz w:val="14"/>
              </w:rPr>
            </w:pPr>
            <w:r>
              <w:rPr>
                <w:color w:val="231F20"/>
                <w:sz w:val="14"/>
              </w:rPr>
              <w:t>77175</w:t>
            </w:r>
          </w:p>
        </w:tc>
        <w:tc>
          <w:tcPr>
            <w:tcW w:w="636" w:type="dxa"/>
          </w:tcPr>
          <w:p>
            <w:pPr>
              <w:pStyle w:val="TableParagraph"/>
              <w:ind w:right="45"/>
              <w:rPr>
                <w:sz w:val="14"/>
              </w:rPr>
            </w:pPr>
            <w:r>
              <w:rPr>
                <w:color w:val="231F20"/>
                <w:sz w:val="14"/>
              </w:rPr>
              <w:t>76140</w:t>
            </w:r>
          </w:p>
        </w:tc>
        <w:tc>
          <w:tcPr>
            <w:tcW w:w="636" w:type="dxa"/>
          </w:tcPr>
          <w:p>
            <w:pPr>
              <w:pStyle w:val="TableParagraph"/>
              <w:ind w:right="45"/>
              <w:rPr>
                <w:sz w:val="14"/>
              </w:rPr>
            </w:pPr>
            <w:r>
              <w:rPr>
                <w:color w:val="231F20"/>
                <w:sz w:val="14"/>
              </w:rPr>
              <w:t>79440</w:t>
            </w:r>
          </w:p>
        </w:tc>
        <w:tc>
          <w:tcPr>
            <w:tcW w:w="636" w:type="dxa"/>
          </w:tcPr>
          <w:p>
            <w:pPr>
              <w:pStyle w:val="TableParagraph"/>
              <w:ind w:right="45"/>
              <w:rPr>
                <w:sz w:val="14"/>
              </w:rPr>
            </w:pPr>
            <w:r>
              <w:rPr>
                <w:color w:val="231F20"/>
                <w:sz w:val="14"/>
              </w:rPr>
              <w:t>78900</w:t>
            </w:r>
          </w:p>
        </w:tc>
      </w:tr>
      <w:tr>
        <w:trPr>
          <w:trHeight w:val="200" w:hRule="atLeast"/>
        </w:trPr>
        <w:tc>
          <w:tcPr>
            <w:tcW w:w="2182" w:type="dxa"/>
          </w:tcPr>
          <w:p>
            <w:pPr>
              <w:pStyle w:val="TableParagraph"/>
              <w:ind w:left="56"/>
              <w:jc w:val="left"/>
              <w:rPr>
                <w:sz w:val="14"/>
              </w:rPr>
            </w:pPr>
            <w:r>
              <w:rPr>
                <w:color w:val="231F20"/>
                <w:sz w:val="14"/>
              </w:rPr>
              <w:t>градска насеља</w:t>
            </w:r>
          </w:p>
        </w:tc>
        <w:tc>
          <w:tcPr>
            <w:tcW w:w="635" w:type="dxa"/>
          </w:tcPr>
          <w:p>
            <w:pPr>
              <w:pStyle w:val="TableParagraph"/>
              <w:ind w:right="45"/>
              <w:rPr>
                <w:sz w:val="14"/>
              </w:rPr>
            </w:pPr>
            <w:r>
              <w:rPr>
                <w:color w:val="231F20"/>
                <w:sz w:val="14"/>
              </w:rPr>
              <w:t>48381</w:t>
            </w:r>
          </w:p>
        </w:tc>
        <w:tc>
          <w:tcPr>
            <w:tcW w:w="636" w:type="dxa"/>
          </w:tcPr>
          <w:p>
            <w:pPr>
              <w:pStyle w:val="TableParagraph"/>
              <w:ind w:right="45"/>
              <w:rPr>
                <w:sz w:val="14"/>
              </w:rPr>
            </w:pPr>
            <w:r>
              <w:rPr>
                <w:color w:val="231F20"/>
                <w:sz w:val="14"/>
              </w:rPr>
              <w:t>54250</w:t>
            </w:r>
          </w:p>
        </w:tc>
        <w:tc>
          <w:tcPr>
            <w:tcW w:w="636" w:type="dxa"/>
          </w:tcPr>
          <w:p>
            <w:pPr>
              <w:pStyle w:val="TableParagraph"/>
              <w:ind w:right="45"/>
              <w:rPr>
                <w:sz w:val="14"/>
              </w:rPr>
            </w:pPr>
            <w:r>
              <w:rPr>
                <w:color w:val="231F20"/>
                <w:sz w:val="14"/>
              </w:rPr>
              <w:t>54406</w:t>
            </w:r>
          </w:p>
        </w:tc>
        <w:tc>
          <w:tcPr>
            <w:tcW w:w="636" w:type="dxa"/>
          </w:tcPr>
          <w:p>
            <w:pPr>
              <w:pStyle w:val="TableParagraph"/>
              <w:ind w:right="44"/>
              <w:rPr>
                <w:sz w:val="14"/>
              </w:rPr>
            </w:pPr>
            <w:r>
              <w:rPr>
                <w:color w:val="231F20"/>
                <w:sz w:val="14"/>
              </w:rPr>
              <w:t>51471</w:t>
            </w:r>
          </w:p>
        </w:tc>
        <w:tc>
          <w:tcPr>
            <w:tcW w:w="636" w:type="dxa"/>
          </w:tcPr>
          <w:p>
            <w:pPr>
              <w:pStyle w:val="TableParagraph"/>
              <w:ind w:right="44"/>
              <w:rPr>
                <w:sz w:val="14"/>
              </w:rPr>
            </w:pPr>
            <w:r>
              <w:rPr>
                <w:color w:val="231F20"/>
                <w:sz w:val="14"/>
              </w:rPr>
              <w:t>51049</w:t>
            </w:r>
          </w:p>
        </w:tc>
        <w:tc>
          <w:tcPr>
            <w:tcW w:w="741" w:type="dxa"/>
          </w:tcPr>
          <w:p>
            <w:pPr>
              <w:pStyle w:val="TableParagraph"/>
              <w:ind w:right="44"/>
              <w:rPr>
                <w:sz w:val="14"/>
              </w:rPr>
            </w:pPr>
            <w:r>
              <w:rPr>
                <w:color w:val="231F20"/>
                <w:sz w:val="14"/>
              </w:rPr>
              <w:t>56778</w:t>
            </w:r>
          </w:p>
        </w:tc>
        <w:tc>
          <w:tcPr>
            <w:tcW w:w="878" w:type="dxa"/>
          </w:tcPr>
          <w:p>
            <w:pPr>
              <w:pStyle w:val="TableParagraph"/>
              <w:ind w:right="45"/>
              <w:rPr>
                <w:sz w:val="14"/>
              </w:rPr>
            </w:pPr>
            <w:r>
              <w:rPr>
                <w:color w:val="231F20"/>
                <w:sz w:val="14"/>
              </w:rPr>
              <w:t>52227</w:t>
            </w:r>
          </w:p>
        </w:tc>
        <w:tc>
          <w:tcPr>
            <w:tcW w:w="955" w:type="dxa"/>
          </w:tcPr>
          <w:p>
            <w:pPr>
              <w:pStyle w:val="TableParagraph"/>
              <w:ind w:right="45"/>
              <w:rPr>
                <w:sz w:val="14"/>
              </w:rPr>
            </w:pPr>
            <w:r>
              <w:rPr>
                <w:color w:val="231F20"/>
                <w:sz w:val="14"/>
              </w:rPr>
              <w:t>3487</w:t>
            </w:r>
          </w:p>
        </w:tc>
        <w:tc>
          <w:tcPr>
            <w:tcW w:w="636" w:type="dxa"/>
          </w:tcPr>
          <w:p>
            <w:pPr>
              <w:pStyle w:val="TableParagraph"/>
              <w:ind w:right="45"/>
              <w:rPr>
                <w:sz w:val="14"/>
              </w:rPr>
            </w:pPr>
            <w:r>
              <w:rPr>
                <w:color w:val="231F20"/>
                <w:sz w:val="14"/>
              </w:rPr>
              <w:t>54960</w:t>
            </w:r>
          </w:p>
        </w:tc>
        <w:tc>
          <w:tcPr>
            <w:tcW w:w="636" w:type="dxa"/>
          </w:tcPr>
          <w:p>
            <w:pPr>
              <w:pStyle w:val="TableParagraph"/>
              <w:ind w:right="45"/>
              <w:rPr>
                <w:sz w:val="14"/>
              </w:rPr>
            </w:pPr>
            <w:r>
              <w:rPr>
                <w:color w:val="231F20"/>
                <w:sz w:val="14"/>
              </w:rPr>
              <w:t>55610</w:t>
            </w:r>
          </w:p>
        </w:tc>
        <w:tc>
          <w:tcPr>
            <w:tcW w:w="636" w:type="dxa"/>
          </w:tcPr>
          <w:p>
            <w:pPr>
              <w:pStyle w:val="TableParagraph"/>
              <w:ind w:right="45"/>
              <w:rPr>
                <w:sz w:val="14"/>
              </w:rPr>
            </w:pPr>
            <w:r>
              <w:rPr>
                <w:color w:val="231F20"/>
                <w:sz w:val="14"/>
              </w:rPr>
              <w:t>55530</w:t>
            </w:r>
          </w:p>
        </w:tc>
        <w:tc>
          <w:tcPr>
            <w:tcW w:w="636" w:type="dxa"/>
          </w:tcPr>
          <w:p>
            <w:pPr>
              <w:pStyle w:val="TableParagraph"/>
              <w:ind w:right="44"/>
              <w:rPr>
                <w:sz w:val="14"/>
              </w:rPr>
            </w:pPr>
            <w:r>
              <w:rPr>
                <w:color w:val="231F20"/>
                <w:sz w:val="14"/>
              </w:rPr>
              <w:t>56400</w:t>
            </w:r>
          </w:p>
        </w:tc>
      </w:tr>
      <w:tr>
        <w:trPr>
          <w:trHeight w:val="200" w:hRule="atLeast"/>
        </w:trPr>
        <w:tc>
          <w:tcPr>
            <w:tcW w:w="2182" w:type="dxa"/>
          </w:tcPr>
          <w:p>
            <w:pPr>
              <w:pStyle w:val="TableParagraph"/>
              <w:ind w:left="56"/>
              <w:jc w:val="left"/>
              <w:rPr>
                <w:sz w:val="14"/>
              </w:rPr>
            </w:pPr>
            <w:r>
              <w:rPr>
                <w:color w:val="231F20"/>
                <w:sz w:val="14"/>
              </w:rPr>
              <w:t>остала/сеоска насеља</w:t>
            </w:r>
          </w:p>
        </w:tc>
        <w:tc>
          <w:tcPr>
            <w:tcW w:w="635" w:type="dxa"/>
          </w:tcPr>
          <w:p>
            <w:pPr>
              <w:pStyle w:val="TableParagraph"/>
              <w:ind w:right="44"/>
              <w:rPr>
                <w:sz w:val="14"/>
              </w:rPr>
            </w:pPr>
            <w:r>
              <w:rPr>
                <w:color w:val="231F20"/>
                <w:sz w:val="14"/>
              </w:rPr>
              <w:t>36942</w:t>
            </w:r>
          </w:p>
        </w:tc>
        <w:tc>
          <w:tcPr>
            <w:tcW w:w="636" w:type="dxa"/>
          </w:tcPr>
          <w:p>
            <w:pPr>
              <w:pStyle w:val="TableParagraph"/>
              <w:ind w:right="44"/>
              <w:rPr>
                <w:sz w:val="14"/>
              </w:rPr>
            </w:pPr>
            <w:r>
              <w:rPr>
                <w:color w:val="231F20"/>
                <w:sz w:val="14"/>
              </w:rPr>
              <w:t>34433</w:t>
            </w:r>
          </w:p>
        </w:tc>
        <w:tc>
          <w:tcPr>
            <w:tcW w:w="636" w:type="dxa"/>
          </w:tcPr>
          <w:p>
            <w:pPr>
              <w:pStyle w:val="TableParagraph"/>
              <w:ind w:right="44"/>
              <w:rPr>
                <w:sz w:val="14"/>
              </w:rPr>
            </w:pPr>
            <w:r>
              <w:rPr>
                <w:color w:val="231F20"/>
                <w:sz w:val="14"/>
              </w:rPr>
              <w:t>32573</w:t>
            </w:r>
          </w:p>
        </w:tc>
        <w:tc>
          <w:tcPr>
            <w:tcW w:w="636" w:type="dxa"/>
          </w:tcPr>
          <w:p>
            <w:pPr>
              <w:pStyle w:val="TableParagraph"/>
              <w:ind w:right="44"/>
              <w:rPr>
                <w:sz w:val="14"/>
              </w:rPr>
            </w:pPr>
            <w:r>
              <w:rPr>
                <w:color w:val="231F20"/>
                <w:sz w:val="14"/>
              </w:rPr>
              <w:t>29880</w:t>
            </w:r>
          </w:p>
        </w:tc>
        <w:tc>
          <w:tcPr>
            <w:tcW w:w="636" w:type="dxa"/>
          </w:tcPr>
          <w:p>
            <w:pPr>
              <w:pStyle w:val="TableParagraph"/>
              <w:ind w:right="44"/>
              <w:rPr>
                <w:sz w:val="14"/>
              </w:rPr>
            </w:pPr>
            <w:r>
              <w:rPr>
                <w:color w:val="231F20"/>
                <w:sz w:val="14"/>
              </w:rPr>
              <w:t>26735</w:t>
            </w:r>
          </w:p>
        </w:tc>
        <w:tc>
          <w:tcPr>
            <w:tcW w:w="741" w:type="dxa"/>
          </w:tcPr>
          <w:p>
            <w:pPr>
              <w:pStyle w:val="TableParagraph"/>
              <w:ind w:right="44"/>
              <w:rPr>
                <w:sz w:val="14"/>
              </w:rPr>
            </w:pPr>
            <w:r>
              <w:rPr>
                <w:color w:val="231F20"/>
                <w:sz w:val="14"/>
              </w:rPr>
              <w:t>30551</w:t>
            </w:r>
          </w:p>
        </w:tc>
        <w:tc>
          <w:tcPr>
            <w:tcW w:w="878" w:type="dxa"/>
          </w:tcPr>
          <w:p>
            <w:pPr>
              <w:pStyle w:val="TableParagraph"/>
              <w:ind w:right="44"/>
              <w:rPr>
                <w:sz w:val="14"/>
              </w:rPr>
            </w:pPr>
            <w:r>
              <w:rPr>
                <w:color w:val="231F20"/>
                <w:sz w:val="14"/>
              </w:rPr>
              <w:t>23933</w:t>
            </w:r>
          </w:p>
        </w:tc>
        <w:tc>
          <w:tcPr>
            <w:tcW w:w="955" w:type="dxa"/>
          </w:tcPr>
          <w:p>
            <w:pPr>
              <w:pStyle w:val="TableParagraph"/>
              <w:ind w:right="44"/>
              <w:rPr>
                <w:sz w:val="14"/>
              </w:rPr>
            </w:pPr>
            <w:r>
              <w:rPr>
                <w:color w:val="231F20"/>
                <w:sz w:val="14"/>
              </w:rPr>
              <w:t>6161</w:t>
            </w:r>
          </w:p>
        </w:tc>
        <w:tc>
          <w:tcPr>
            <w:tcW w:w="636" w:type="dxa"/>
          </w:tcPr>
          <w:p>
            <w:pPr>
              <w:pStyle w:val="TableParagraph"/>
              <w:ind w:right="44"/>
              <w:rPr>
                <w:sz w:val="14"/>
              </w:rPr>
            </w:pPr>
            <w:r>
              <w:rPr>
                <w:color w:val="231F20"/>
                <w:sz w:val="14"/>
              </w:rPr>
              <w:t>22215</w:t>
            </w:r>
          </w:p>
        </w:tc>
        <w:tc>
          <w:tcPr>
            <w:tcW w:w="636" w:type="dxa"/>
          </w:tcPr>
          <w:p>
            <w:pPr>
              <w:pStyle w:val="TableParagraph"/>
              <w:ind w:right="44"/>
              <w:rPr>
                <w:sz w:val="14"/>
              </w:rPr>
            </w:pPr>
            <w:r>
              <w:rPr>
                <w:color w:val="231F20"/>
                <w:sz w:val="14"/>
              </w:rPr>
              <w:t>20530</w:t>
            </w:r>
          </w:p>
        </w:tc>
        <w:tc>
          <w:tcPr>
            <w:tcW w:w="636" w:type="dxa"/>
          </w:tcPr>
          <w:p>
            <w:pPr>
              <w:pStyle w:val="TableParagraph"/>
              <w:ind w:right="44"/>
              <w:rPr>
                <w:sz w:val="14"/>
              </w:rPr>
            </w:pPr>
            <w:r>
              <w:rPr>
                <w:color w:val="231F20"/>
                <w:sz w:val="14"/>
              </w:rPr>
              <w:t>23910</w:t>
            </w:r>
          </w:p>
        </w:tc>
        <w:tc>
          <w:tcPr>
            <w:tcW w:w="636" w:type="dxa"/>
          </w:tcPr>
          <w:p>
            <w:pPr>
              <w:pStyle w:val="TableParagraph"/>
              <w:ind w:right="44"/>
              <w:rPr>
                <w:sz w:val="14"/>
              </w:rPr>
            </w:pPr>
            <w:r>
              <w:rPr>
                <w:color w:val="231F20"/>
                <w:sz w:val="14"/>
              </w:rPr>
              <w:t>22500</w:t>
            </w:r>
          </w:p>
        </w:tc>
      </w:tr>
      <w:tr>
        <w:trPr>
          <w:trHeight w:val="200" w:hRule="atLeast"/>
        </w:trPr>
        <w:tc>
          <w:tcPr>
            <w:tcW w:w="2182" w:type="dxa"/>
          </w:tcPr>
          <w:p>
            <w:pPr>
              <w:pStyle w:val="TableParagraph"/>
              <w:ind w:left="56"/>
              <w:jc w:val="left"/>
              <w:rPr>
                <w:sz w:val="14"/>
              </w:rPr>
            </w:pPr>
            <w:r>
              <w:rPr>
                <w:color w:val="231F20"/>
                <w:sz w:val="14"/>
              </w:rPr>
              <w:t>Град Пожаревац</w:t>
            </w:r>
          </w:p>
        </w:tc>
        <w:tc>
          <w:tcPr>
            <w:tcW w:w="635" w:type="dxa"/>
          </w:tcPr>
          <w:p>
            <w:pPr>
              <w:pStyle w:val="TableParagraph"/>
              <w:ind w:right="44"/>
              <w:rPr>
                <w:sz w:val="14"/>
              </w:rPr>
            </w:pPr>
            <w:r>
              <w:rPr>
                <w:color w:val="231F20"/>
                <w:sz w:val="14"/>
              </w:rPr>
              <w:t>81123</w:t>
            </w:r>
          </w:p>
        </w:tc>
        <w:tc>
          <w:tcPr>
            <w:tcW w:w="636" w:type="dxa"/>
          </w:tcPr>
          <w:p>
            <w:pPr>
              <w:pStyle w:val="TableParagraph"/>
              <w:ind w:right="44"/>
              <w:rPr>
                <w:sz w:val="14"/>
              </w:rPr>
            </w:pPr>
            <w:r>
              <w:rPr>
                <w:color w:val="231F20"/>
                <w:sz w:val="14"/>
              </w:rPr>
              <w:t>84678</w:t>
            </w:r>
          </w:p>
        </w:tc>
        <w:tc>
          <w:tcPr>
            <w:tcW w:w="636" w:type="dxa"/>
          </w:tcPr>
          <w:p>
            <w:pPr>
              <w:pStyle w:val="TableParagraph"/>
              <w:ind w:right="44"/>
              <w:rPr>
                <w:sz w:val="14"/>
              </w:rPr>
            </w:pPr>
            <w:r>
              <w:rPr>
                <w:color w:val="231F20"/>
                <w:sz w:val="14"/>
              </w:rPr>
              <w:t>83097</w:t>
            </w:r>
          </w:p>
        </w:tc>
        <w:tc>
          <w:tcPr>
            <w:tcW w:w="636" w:type="dxa"/>
          </w:tcPr>
          <w:p>
            <w:pPr>
              <w:pStyle w:val="TableParagraph"/>
              <w:ind w:right="44"/>
              <w:rPr>
                <w:sz w:val="14"/>
              </w:rPr>
            </w:pPr>
            <w:r>
              <w:rPr>
                <w:color w:val="231F20"/>
                <w:sz w:val="14"/>
              </w:rPr>
              <w:t>78054</w:t>
            </w:r>
          </w:p>
        </w:tc>
        <w:tc>
          <w:tcPr>
            <w:tcW w:w="636" w:type="dxa"/>
          </w:tcPr>
          <w:p>
            <w:pPr>
              <w:pStyle w:val="TableParagraph"/>
              <w:ind w:right="44"/>
              <w:rPr>
                <w:sz w:val="14"/>
              </w:rPr>
            </w:pPr>
            <w:r>
              <w:rPr>
                <w:color w:val="231F20"/>
                <w:sz w:val="14"/>
              </w:rPr>
              <w:t>74902</w:t>
            </w:r>
          </w:p>
        </w:tc>
        <w:tc>
          <w:tcPr>
            <w:tcW w:w="741" w:type="dxa"/>
          </w:tcPr>
          <w:p>
            <w:pPr>
              <w:pStyle w:val="TableParagraph"/>
              <w:ind w:right="44"/>
              <w:rPr>
                <w:sz w:val="14"/>
              </w:rPr>
            </w:pPr>
            <w:r>
              <w:rPr>
                <w:color w:val="231F20"/>
                <w:sz w:val="14"/>
              </w:rPr>
              <w:t>84109</w:t>
            </w:r>
          </w:p>
        </w:tc>
        <w:tc>
          <w:tcPr>
            <w:tcW w:w="878" w:type="dxa"/>
          </w:tcPr>
          <w:p>
            <w:pPr>
              <w:pStyle w:val="TableParagraph"/>
              <w:ind w:right="44"/>
              <w:rPr>
                <w:sz w:val="14"/>
              </w:rPr>
            </w:pPr>
            <w:r>
              <w:rPr>
                <w:color w:val="231F20"/>
                <w:sz w:val="14"/>
              </w:rPr>
              <w:t>74070</w:t>
            </w:r>
          </w:p>
        </w:tc>
        <w:tc>
          <w:tcPr>
            <w:tcW w:w="955" w:type="dxa"/>
          </w:tcPr>
          <w:p>
            <w:pPr>
              <w:pStyle w:val="TableParagraph"/>
              <w:ind w:right="44"/>
              <w:rPr>
                <w:sz w:val="14"/>
              </w:rPr>
            </w:pPr>
            <w:r>
              <w:rPr>
                <w:color w:val="231F20"/>
                <w:sz w:val="14"/>
              </w:rPr>
              <w:t>8533</w:t>
            </w:r>
          </w:p>
        </w:tc>
        <w:tc>
          <w:tcPr>
            <w:tcW w:w="636" w:type="dxa"/>
          </w:tcPr>
          <w:p>
            <w:pPr>
              <w:pStyle w:val="TableParagraph"/>
              <w:ind w:right="44"/>
              <w:rPr>
                <w:sz w:val="14"/>
              </w:rPr>
            </w:pPr>
            <w:r>
              <w:rPr>
                <w:color w:val="231F20"/>
                <w:sz w:val="14"/>
              </w:rPr>
              <w:t>75205</w:t>
            </w:r>
          </w:p>
        </w:tc>
        <w:tc>
          <w:tcPr>
            <w:tcW w:w="636" w:type="dxa"/>
          </w:tcPr>
          <w:p>
            <w:pPr>
              <w:pStyle w:val="TableParagraph"/>
              <w:ind w:right="44"/>
              <w:rPr>
                <w:sz w:val="14"/>
              </w:rPr>
            </w:pPr>
            <w:r>
              <w:rPr>
                <w:color w:val="231F20"/>
                <w:sz w:val="14"/>
              </w:rPr>
              <w:t>74330</w:t>
            </w:r>
          </w:p>
        </w:tc>
        <w:tc>
          <w:tcPr>
            <w:tcW w:w="636" w:type="dxa"/>
          </w:tcPr>
          <w:p>
            <w:pPr>
              <w:pStyle w:val="TableParagraph"/>
              <w:ind w:right="44"/>
              <w:rPr>
                <w:sz w:val="14"/>
              </w:rPr>
            </w:pPr>
            <w:r>
              <w:rPr>
                <w:color w:val="231F20"/>
                <w:sz w:val="14"/>
              </w:rPr>
              <w:t>77160</w:t>
            </w:r>
          </w:p>
        </w:tc>
        <w:tc>
          <w:tcPr>
            <w:tcW w:w="636" w:type="dxa"/>
          </w:tcPr>
          <w:p>
            <w:pPr>
              <w:pStyle w:val="TableParagraph"/>
              <w:ind w:right="44"/>
              <w:rPr>
                <w:sz w:val="14"/>
              </w:rPr>
            </w:pPr>
            <w:r>
              <w:rPr>
                <w:color w:val="231F20"/>
                <w:sz w:val="14"/>
              </w:rPr>
              <w:t>76810</w:t>
            </w:r>
          </w:p>
        </w:tc>
      </w:tr>
      <w:tr>
        <w:trPr>
          <w:trHeight w:val="200" w:hRule="atLeast"/>
        </w:trPr>
        <w:tc>
          <w:tcPr>
            <w:tcW w:w="2182" w:type="dxa"/>
          </w:tcPr>
          <w:p>
            <w:pPr>
              <w:pStyle w:val="TableParagraph"/>
              <w:ind w:left="56"/>
              <w:jc w:val="left"/>
              <w:rPr>
                <w:sz w:val="14"/>
              </w:rPr>
            </w:pPr>
            <w:r>
              <w:rPr>
                <w:color w:val="231F20"/>
                <w:sz w:val="14"/>
              </w:rPr>
              <w:t>Градска општина Костолац</w:t>
            </w:r>
          </w:p>
        </w:tc>
        <w:tc>
          <w:tcPr>
            <w:tcW w:w="635" w:type="dxa"/>
          </w:tcPr>
          <w:p>
            <w:pPr>
              <w:pStyle w:val="TableParagraph"/>
              <w:ind w:right="44"/>
              <w:rPr>
                <w:sz w:val="14"/>
              </w:rPr>
            </w:pPr>
            <w:r>
              <w:rPr>
                <w:color w:val="231F20"/>
                <w:sz w:val="14"/>
              </w:rPr>
              <w:t>13642</w:t>
            </w:r>
          </w:p>
        </w:tc>
        <w:tc>
          <w:tcPr>
            <w:tcW w:w="636" w:type="dxa"/>
          </w:tcPr>
          <w:p>
            <w:pPr>
              <w:pStyle w:val="TableParagraph"/>
              <w:ind w:right="44"/>
              <w:rPr>
                <w:sz w:val="14"/>
              </w:rPr>
            </w:pPr>
            <w:r>
              <w:rPr>
                <w:color w:val="231F20"/>
                <w:sz w:val="14"/>
              </w:rPr>
              <w:t>14840</w:t>
            </w:r>
          </w:p>
        </w:tc>
        <w:tc>
          <w:tcPr>
            <w:tcW w:w="636" w:type="dxa"/>
          </w:tcPr>
          <w:p>
            <w:pPr>
              <w:pStyle w:val="TableParagraph"/>
              <w:ind w:right="44"/>
              <w:rPr>
                <w:sz w:val="14"/>
              </w:rPr>
            </w:pPr>
            <w:r>
              <w:rPr>
                <w:color w:val="231F20"/>
                <w:sz w:val="14"/>
              </w:rPr>
              <w:t>14204</w:t>
            </w:r>
          </w:p>
        </w:tc>
        <w:tc>
          <w:tcPr>
            <w:tcW w:w="636" w:type="dxa"/>
          </w:tcPr>
          <w:p>
            <w:pPr>
              <w:pStyle w:val="TableParagraph"/>
              <w:ind w:right="44"/>
              <w:rPr>
                <w:sz w:val="14"/>
              </w:rPr>
            </w:pPr>
            <w:r>
              <w:rPr>
                <w:color w:val="231F20"/>
                <w:sz w:val="14"/>
              </w:rPr>
              <w:t>14163</w:t>
            </w:r>
          </w:p>
        </w:tc>
        <w:tc>
          <w:tcPr>
            <w:tcW w:w="636" w:type="dxa"/>
          </w:tcPr>
          <w:p>
            <w:pPr>
              <w:pStyle w:val="TableParagraph"/>
              <w:ind w:right="44"/>
              <w:rPr>
                <w:sz w:val="14"/>
              </w:rPr>
            </w:pPr>
            <w:r>
              <w:rPr>
                <w:color w:val="231F20"/>
                <w:sz w:val="14"/>
              </w:rPr>
              <w:t>13500</w:t>
            </w:r>
          </w:p>
        </w:tc>
        <w:tc>
          <w:tcPr>
            <w:tcW w:w="741" w:type="dxa"/>
          </w:tcPr>
          <w:p>
            <w:pPr>
              <w:pStyle w:val="TableParagraph"/>
              <w:ind w:right="44"/>
              <w:rPr>
                <w:sz w:val="14"/>
              </w:rPr>
            </w:pPr>
            <w:r>
              <w:rPr>
                <w:color w:val="231F20"/>
                <w:sz w:val="14"/>
              </w:rPr>
              <w:t>14344</w:t>
            </w:r>
          </w:p>
        </w:tc>
        <w:tc>
          <w:tcPr>
            <w:tcW w:w="878" w:type="dxa"/>
          </w:tcPr>
          <w:p>
            <w:pPr>
              <w:pStyle w:val="TableParagraph"/>
              <w:ind w:right="44"/>
              <w:rPr>
                <w:sz w:val="14"/>
              </w:rPr>
            </w:pPr>
            <w:r>
              <w:rPr>
                <w:color w:val="231F20"/>
                <w:sz w:val="14"/>
              </w:rPr>
              <w:t>13327</w:t>
            </w:r>
          </w:p>
        </w:tc>
        <w:tc>
          <w:tcPr>
            <w:tcW w:w="955" w:type="dxa"/>
          </w:tcPr>
          <w:p>
            <w:pPr>
              <w:pStyle w:val="TableParagraph"/>
              <w:ind w:right="44"/>
              <w:rPr>
                <w:sz w:val="14"/>
              </w:rPr>
            </w:pPr>
            <w:r>
              <w:rPr>
                <w:color w:val="231F20"/>
                <w:sz w:val="14"/>
              </w:rPr>
              <w:t>807</w:t>
            </w:r>
          </w:p>
        </w:tc>
        <w:tc>
          <w:tcPr>
            <w:tcW w:w="636" w:type="dxa"/>
          </w:tcPr>
          <w:p>
            <w:pPr>
              <w:pStyle w:val="TableParagraph"/>
              <w:ind w:right="44"/>
              <w:rPr>
                <w:sz w:val="14"/>
              </w:rPr>
            </w:pPr>
            <w:r>
              <w:rPr>
                <w:color w:val="231F20"/>
                <w:sz w:val="14"/>
              </w:rPr>
              <w:t>13700</w:t>
            </w:r>
          </w:p>
        </w:tc>
        <w:tc>
          <w:tcPr>
            <w:tcW w:w="636" w:type="dxa"/>
          </w:tcPr>
          <w:p>
            <w:pPr>
              <w:pStyle w:val="TableParagraph"/>
              <w:ind w:right="44"/>
              <w:rPr>
                <w:sz w:val="14"/>
              </w:rPr>
            </w:pPr>
            <w:r>
              <w:rPr>
                <w:color w:val="231F20"/>
                <w:sz w:val="14"/>
              </w:rPr>
              <w:t>13610</w:t>
            </w:r>
          </w:p>
        </w:tc>
        <w:tc>
          <w:tcPr>
            <w:tcW w:w="636" w:type="dxa"/>
          </w:tcPr>
          <w:p>
            <w:pPr>
              <w:pStyle w:val="TableParagraph"/>
              <w:ind w:right="44"/>
              <w:rPr>
                <w:sz w:val="14"/>
              </w:rPr>
            </w:pPr>
            <w:r>
              <w:rPr>
                <w:color w:val="231F20"/>
                <w:sz w:val="14"/>
              </w:rPr>
              <w:t>14000</w:t>
            </w:r>
          </w:p>
        </w:tc>
        <w:tc>
          <w:tcPr>
            <w:tcW w:w="636" w:type="dxa"/>
          </w:tcPr>
          <w:p>
            <w:pPr>
              <w:pStyle w:val="TableParagraph"/>
              <w:ind w:right="44"/>
              <w:rPr>
                <w:sz w:val="14"/>
              </w:rPr>
            </w:pPr>
            <w:r>
              <w:rPr>
                <w:color w:val="231F20"/>
                <w:sz w:val="14"/>
              </w:rPr>
              <w:t>13970</w:t>
            </w:r>
          </w:p>
        </w:tc>
      </w:tr>
      <w:tr>
        <w:trPr>
          <w:trHeight w:val="200" w:hRule="atLeast"/>
        </w:trPr>
        <w:tc>
          <w:tcPr>
            <w:tcW w:w="2182" w:type="dxa"/>
          </w:tcPr>
          <w:p>
            <w:pPr>
              <w:pStyle w:val="TableParagraph"/>
              <w:ind w:left="56"/>
              <w:jc w:val="left"/>
              <w:rPr>
                <w:sz w:val="14"/>
              </w:rPr>
            </w:pPr>
            <w:r>
              <w:rPr>
                <w:color w:val="231F20"/>
                <w:sz w:val="14"/>
              </w:rPr>
              <w:t>Градска општина Пожаревац</w:t>
            </w:r>
          </w:p>
        </w:tc>
        <w:tc>
          <w:tcPr>
            <w:tcW w:w="635" w:type="dxa"/>
          </w:tcPr>
          <w:p>
            <w:pPr>
              <w:pStyle w:val="TableParagraph"/>
              <w:ind w:right="44"/>
              <w:rPr>
                <w:sz w:val="14"/>
              </w:rPr>
            </w:pPr>
            <w:r>
              <w:rPr>
                <w:color w:val="231F20"/>
                <w:sz w:val="14"/>
              </w:rPr>
              <w:t>67481</w:t>
            </w:r>
          </w:p>
        </w:tc>
        <w:tc>
          <w:tcPr>
            <w:tcW w:w="636" w:type="dxa"/>
          </w:tcPr>
          <w:p>
            <w:pPr>
              <w:pStyle w:val="TableParagraph"/>
              <w:ind w:right="44"/>
              <w:rPr>
                <w:sz w:val="14"/>
              </w:rPr>
            </w:pPr>
            <w:r>
              <w:rPr>
                <w:color w:val="231F20"/>
                <w:sz w:val="14"/>
              </w:rPr>
              <w:t>69838</w:t>
            </w:r>
          </w:p>
        </w:tc>
        <w:tc>
          <w:tcPr>
            <w:tcW w:w="636" w:type="dxa"/>
          </w:tcPr>
          <w:p>
            <w:pPr>
              <w:pStyle w:val="TableParagraph"/>
              <w:ind w:right="44"/>
              <w:rPr>
                <w:sz w:val="14"/>
              </w:rPr>
            </w:pPr>
            <w:r>
              <w:rPr>
                <w:color w:val="231F20"/>
                <w:sz w:val="14"/>
              </w:rPr>
              <w:t>68893</w:t>
            </w:r>
          </w:p>
        </w:tc>
        <w:tc>
          <w:tcPr>
            <w:tcW w:w="636" w:type="dxa"/>
          </w:tcPr>
          <w:p>
            <w:pPr>
              <w:pStyle w:val="TableParagraph"/>
              <w:ind w:right="44"/>
              <w:rPr>
                <w:sz w:val="14"/>
              </w:rPr>
            </w:pPr>
            <w:r>
              <w:rPr>
                <w:color w:val="231F20"/>
                <w:sz w:val="14"/>
              </w:rPr>
              <w:t>63891</w:t>
            </w:r>
          </w:p>
        </w:tc>
        <w:tc>
          <w:tcPr>
            <w:tcW w:w="636" w:type="dxa"/>
          </w:tcPr>
          <w:p>
            <w:pPr>
              <w:pStyle w:val="TableParagraph"/>
              <w:ind w:right="44"/>
              <w:rPr>
                <w:sz w:val="14"/>
              </w:rPr>
            </w:pPr>
            <w:r>
              <w:rPr>
                <w:color w:val="231F20"/>
                <w:sz w:val="14"/>
              </w:rPr>
              <w:t>61402</w:t>
            </w:r>
          </w:p>
        </w:tc>
        <w:tc>
          <w:tcPr>
            <w:tcW w:w="741" w:type="dxa"/>
          </w:tcPr>
          <w:p>
            <w:pPr>
              <w:pStyle w:val="TableParagraph"/>
              <w:ind w:right="44"/>
              <w:rPr>
                <w:sz w:val="14"/>
              </w:rPr>
            </w:pPr>
            <w:r>
              <w:rPr>
                <w:color w:val="231F20"/>
                <w:sz w:val="14"/>
              </w:rPr>
              <w:t>69765</w:t>
            </w:r>
          </w:p>
        </w:tc>
        <w:tc>
          <w:tcPr>
            <w:tcW w:w="878" w:type="dxa"/>
          </w:tcPr>
          <w:p>
            <w:pPr>
              <w:pStyle w:val="TableParagraph"/>
              <w:ind w:right="44"/>
              <w:rPr>
                <w:sz w:val="14"/>
              </w:rPr>
            </w:pPr>
            <w:r>
              <w:rPr>
                <w:color w:val="231F20"/>
                <w:sz w:val="14"/>
              </w:rPr>
              <w:t>60743</w:t>
            </w:r>
          </w:p>
        </w:tc>
        <w:tc>
          <w:tcPr>
            <w:tcW w:w="955" w:type="dxa"/>
          </w:tcPr>
          <w:p>
            <w:pPr>
              <w:pStyle w:val="TableParagraph"/>
              <w:ind w:right="44"/>
              <w:rPr>
                <w:sz w:val="14"/>
              </w:rPr>
            </w:pPr>
            <w:r>
              <w:rPr>
                <w:color w:val="231F20"/>
                <w:sz w:val="14"/>
              </w:rPr>
              <w:t>7726</w:t>
            </w:r>
          </w:p>
        </w:tc>
        <w:tc>
          <w:tcPr>
            <w:tcW w:w="636" w:type="dxa"/>
          </w:tcPr>
          <w:p>
            <w:pPr>
              <w:pStyle w:val="TableParagraph"/>
              <w:ind w:right="44"/>
              <w:rPr>
                <w:sz w:val="14"/>
              </w:rPr>
            </w:pPr>
            <w:r>
              <w:rPr>
                <w:color w:val="231F20"/>
                <w:sz w:val="14"/>
              </w:rPr>
              <w:t>61505</w:t>
            </w:r>
          </w:p>
        </w:tc>
        <w:tc>
          <w:tcPr>
            <w:tcW w:w="636" w:type="dxa"/>
          </w:tcPr>
          <w:p>
            <w:pPr>
              <w:pStyle w:val="TableParagraph"/>
              <w:ind w:right="44"/>
              <w:rPr>
                <w:sz w:val="14"/>
              </w:rPr>
            </w:pPr>
            <w:r>
              <w:rPr>
                <w:color w:val="231F20"/>
                <w:sz w:val="14"/>
              </w:rPr>
              <w:t>60720</w:t>
            </w:r>
          </w:p>
        </w:tc>
        <w:tc>
          <w:tcPr>
            <w:tcW w:w="636" w:type="dxa"/>
          </w:tcPr>
          <w:p>
            <w:pPr>
              <w:pStyle w:val="TableParagraph"/>
              <w:ind w:right="44"/>
              <w:rPr>
                <w:sz w:val="14"/>
              </w:rPr>
            </w:pPr>
            <w:r>
              <w:rPr>
                <w:color w:val="231F20"/>
                <w:sz w:val="14"/>
              </w:rPr>
              <w:t>63160</w:t>
            </w:r>
          </w:p>
        </w:tc>
        <w:tc>
          <w:tcPr>
            <w:tcW w:w="636" w:type="dxa"/>
          </w:tcPr>
          <w:p>
            <w:pPr>
              <w:pStyle w:val="TableParagraph"/>
              <w:ind w:right="44"/>
              <w:rPr>
                <w:sz w:val="14"/>
              </w:rPr>
            </w:pPr>
            <w:r>
              <w:rPr>
                <w:color w:val="231F20"/>
                <w:sz w:val="14"/>
              </w:rPr>
              <w:t>62840</w:t>
            </w:r>
          </w:p>
        </w:tc>
      </w:tr>
      <w:tr>
        <w:trPr>
          <w:trHeight w:val="200" w:hRule="atLeast"/>
        </w:trPr>
        <w:tc>
          <w:tcPr>
            <w:tcW w:w="2182" w:type="dxa"/>
          </w:tcPr>
          <w:p>
            <w:pPr>
              <w:pStyle w:val="TableParagraph"/>
              <w:ind w:left="57"/>
              <w:jc w:val="left"/>
              <w:rPr>
                <w:sz w:val="14"/>
              </w:rPr>
            </w:pPr>
            <w:r>
              <w:rPr>
                <w:color w:val="231F20"/>
                <w:sz w:val="14"/>
              </w:rPr>
              <w:t>Градска насеља</w:t>
            </w:r>
          </w:p>
        </w:tc>
        <w:tc>
          <w:tcPr>
            <w:tcW w:w="635" w:type="dxa"/>
          </w:tcPr>
          <w:p>
            <w:pPr>
              <w:pStyle w:val="TableParagraph"/>
              <w:ind w:right="44"/>
              <w:rPr>
                <w:sz w:val="14"/>
              </w:rPr>
            </w:pPr>
            <w:r>
              <w:rPr>
                <w:color w:val="231F20"/>
                <w:sz w:val="14"/>
              </w:rPr>
              <w:t>48381</w:t>
            </w:r>
          </w:p>
        </w:tc>
        <w:tc>
          <w:tcPr>
            <w:tcW w:w="636" w:type="dxa"/>
          </w:tcPr>
          <w:p>
            <w:pPr>
              <w:pStyle w:val="TableParagraph"/>
              <w:ind w:right="44"/>
              <w:rPr>
                <w:sz w:val="14"/>
              </w:rPr>
            </w:pPr>
            <w:r>
              <w:rPr>
                <w:color w:val="231F20"/>
                <w:sz w:val="14"/>
              </w:rPr>
              <w:t>54250</w:t>
            </w:r>
          </w:p>
        </w:tc>
        <w:tc>
          <w:tcPr>
            <w:tcW w:w="636" w:type="dxa"/>
          </w:tcPr>
          <w:p>
            <w:pPr>
              <w:pStyle w:val="TableParagraph"/>
              <w:ind w:right="44"/>
              <w:rPr>
                <w:sz w:val="14"/>
              </w:rPr>
            </w:pPr>
            <w:r>
              <w:rPr>
                <w:color w:val="231F20"/>
                <w:sz w:val="14"/>
              </w:rPr>
              <w:t>54406</w:t>
            </w:r>
          </w:p>
        </w:tc>
        <w:tc>
          <w:tcPr>
            <w:tcW w:w="636" w:type="dxa"/>
          </w:tcPr>
          <w:p>
            <w:pPr>
              <w:pStyle w:val="TableParagraph"/>
              <w:ind w:right="44"/>
              <w:rPr>
                <w:sz w:val="14"/>
              </w:rPr>
            </w:pPr>
            <w:r>
              <w:rPr>
                <w:color w:val="231F20"/>
                <w:sz w:val="14"/>
              </w:rPr>
              <w:t>51471</w:t>
            </w:r>
          </w:p>
        </w:tc>
        <w:tc>
          <w:tcPr>
            <w:tcW w:w="636" w:type="dxa"/>
          </w:tcPr>
          <w:p>
            <w:pPr>
              <w:pStyle w:val="TableParagraph"/>
              <w:ind w:right="44"/>
              <w:rPr>
                <w:sz w:val="14"/>
              </w:rPr>
            </w:pPr>
            <w:r>
              <w:rPr>
                <w:color w:val="231F20"/>
                <w:sz w:val="14"/>
              </w:rPr>
              <w:t>51049</w:t>
            </w:r>
          </w:p>
        </w:tc>
        <w:tc>
          <w:tcPr>
            <w:tcW w:w="741" w:type="dxa"/>
          </w:tcPr>
          <w:p>
            <w:pPr>
              <w:pStyle w:val="TableParagraph"/>
              <w:ind w:right="44"/>
              <w:rPr>
                <w:sz w:val="14"/>
              </w:rPr>
            </w:pPr>
            <w:r>
              <w:rPr>
                <w:color w:val="231F20"/>
                <w:sz w:val="14"/>
              </w:rPr>
              <w:t>56778</w:t>
            </w:r>
          </w:p>
        </w:tc>
        <w:tc>
          <w:tcPr>
            <w:tcW w:w="878" w:type="dxa"/>
          </w:tcPr>
          <w:p>
            <w:pPr>
              <w:pStyle w:val="TableParagraph"/>
              <w:ind w:right="44"/>
              <w:rPr>
                <w:sz w:val="14"/>
              </w:rPr>
            </w:pPr>
            <w:r>
              <w:rPr>
                <w:color w:val="231F20"/>
                <w:sz w:val="14"/>
              </w:rPr>
              <w:t>52227</w:t>
            </w:r>
          </w:p>
        </w:tc>
        <w:tc>
          <w:tcPr>
            <w:tcW w:w="955" w:type="dxa"/>
          </w:tcPr>
          <w:p>
            <w:pPr>
              <w:pStyle w:val="TableParagraph"/>
              <w:ind w:right="44"/>
              <w:rPr>
                <w:sz w:val="14"/>
              </w:rPr>
            </w:pPr>
            <w:r>
              <w:rPr>
                <w:color w:val="231F20"/>
                <w:sz w:val="14"/>
              </w:rPr>
              <w:t>3487</w:t>
            </w:r>
          </w:p>
        </w:tc>
        <w:tc>
          <w:tcPr>
            <w:tcW w:w="636" w:type="dxa"/>
          </w:tcPr>
          <w:p>
            <w:pPr>
              <w:pStyle w:val="TableParagraph"/>
              <w:ind w:right="44"/>
              <w:rPr>
                <w:sz w:val="14"/>
              </w:rPr>
            </w:pPr>
            <w:r>
              <w:rPr>
                <w:color w:val="231F20"/>
                <w:sz w:val="14"/>
              </w:rPr>
              <w:t>54960</w:t>
            </w:r>
          </w:p>
        </w:tc>
        <w:tc>
          <w:tcPr>
            <w:tcW w:w="636" w:type="dxa"/>
          </w:tcPr>
          <w:p>
            <w:pPr>
              <w:pStyle w:val="TableParagraph"/>
              <w:ind w:right="44"/>
              <w:rPr>
                <w:sz w:val="14"/>
              </w:rPr>
            </w:pPr>
            <w:r>
              <w:rPr>
                <w:color w:val="231F20"/>
                <w:sz w:val="14"/>
              </w:rPr>
              <w:t>55610</w:t>
            </w:r>
          </w:p>
        </w:tc>
        <w:tc>
          <w:tcPr>
            <w:tcW w:w="636" w:type="dxa"/>
          </w:tcPr>
          <w:p>
            <w:pPr>
              <w:pStyle w:val="TableParagraph"/>
              <w:ind w:right="44"/>
              <w:rPr>
                <w:sz w:val="14"/>
              </w:rPr>
            </w:pPr>
            <w:r>
              <w:rPr>
                <w:color w:val="231F20"/>
                <w:sz w:val="14"/>
              </w:rPr>
              <w:t>55530</w:t>
            </w:r>
          </w:p>
        </w:tc>
        <w:tc>
          <w:tcPr>
            <w:tcW w:w="636" w:type="dxa"/>
          </w:tcPr>
          <w:p>
            <w:pPr>
              <w:pStyle w:val="TableParagraph"/>
              <w:ind w:right="44"/>
              <w:rPr>
                <w:sz w:val="14"/>
              </w:rPr>
            </w:pPr>
            <w:r>
              <w:rPr>
                <w:color w:val="231F20"/>
                <w:sz w:val="14"/>
              </w:rPr>
              <w:t>56400</w:t>
            </w:r>
          </w:p>
        </w:tc>
      </w:tr>
      <w:tr>
        <w:trPr>
          <w:trHeight w:val="200" w:hRule="atLeast"/>
        </w:trPr>
        <w:tc>
          <w:tcPr>
            <w:tcW w:w="2182" w:type="dxa"/>
          </w:tcPr>
          <w:p>
            <w:pPr>
              <w:pStyle w:val="TableParagraph"/>
              <w:ind w:left="57"/>
              <w:jc w:val="left"/>
              <w:rPr>
                <w:sz w:val="14"/>
              </w:rPr>
            </w:pPr>
            <w:r>
              <w:rPr>
                <w:color w:val="231F20"/>
                <w:sz w:val="14"/>
              </w:rPr>
              <w:t>Остала/сеоска насеља</w:t>
            </w:r>
          </w:p>
        </w:tc>
        <w:tc>
          <w:tcPr>
            <w:tcW w:w="635" w:type="dxa"/>
          </w:tcPr>
          <w:p>
            <w:pPr>
              <w:pStyle w:val="TableParagraph"/>
              <w:ind w:right="44"/>
              <w:rPr>
                <w:sz w:val="14"/>
              </w:rPr>
            </w:pPr>
            <w:r>
              <w:rPr>
                <w:color w:val="231F20"/>
                <w:sz w:val="14"/>
              </w:rPr>
              <w:t>32742</w:t>
            </w:r>
          </w:p>
        </w:tc>
        <w:tc>
          <w:tcPr>
            <w:tcW w:w="636" w:type="dxa"/>
          </w:tcPr>
          <w:p>
            <w:pPr>
              <w:pStyle w:val="TableParagraph"/>
              <w:ind w:right="44"/>
              <w:rPr>
                <w:sz w:val="14"/>
              </w:rPr>
            </w:pPr>
            <w:r>
              <w:rPr>
                <w:color w:val="231F20"/>
                <w:sz w:val="14"/>
              </w:rPr>
              <w:t>30428</w:t>
            </w:r>
          </w:p>
        </w:tc>
        <w:tc>
          <w:tcPr>
            <w:tcW w:w="636" w:type="dxa"/>
          </w:tcPr>
          <w:p>
            <w:pPr>
              <w:pStyle w:val="TableParagraph"/>
              <w:ind w:right="44"/>
              <w:rPr>
                <w:sz w:val="14"/>
              </w:rPr>
            </w:pPr>
            <w:r>
              <w:rPr>
                <w:color w:val="231F20"/>
                <w:sz w:val="14"/>
              </w:rPr>
              <w:t>28691</w:t>
            </w:r>
          </w:p>
        </w:tc>
        <w:tc>
          <w:tcPr>
            <w:tcW w:w="636" w:type="dxa"/>
          </w:tcPr>
          <w:p>
            <w:pPr>
              <w:pStyle w:val="TableParagraph"/>
              <w:ind w:right="44"/>
              <w:rPr>
                <w:sz w:val="14"/>
              </w:rPr>
            </w:pPr>
            <w:r>
              <w:rPr>
                <w:color w:val="231F20"/>
                <w:sz w:val="14"/>
              </w:rPr>
              <w:t>26583</w:t>
            </w:r>
          </w:p>
        </w:tc>
        <w:tc>
          <w:tcPr>
            <w:tcW w:w="636" w:type="dxa"/>
          </w:tcPr>
          <w:p>
            <w:pPr>
              <w:pStyle w:val="TableParagraph"/>
              <w:ind w:right="44"/>
              <w:rPr>
                <w:sz w:val="14"/>
              </w:rPr>
            </w:pPr>
            <w:r>
              <w:rPr>
                <w:color w:val="231F20"/>
                <w:sz w:val="14"/>
              </w:rPr>
              <w:t>23853</w:t>
            </w:r>
          </w:p>
        </w:tc>
        <w:tc>
          <w:tcPr>
            <w:tcW w:w="741" w:type="dxa"/>
          </w:tcPr>
          <w:p>
            <w:pPr>
              <w:pStyle w:val="TableParagraph"/>
              <w:ind w:right="44"/>
              <w:rPr>
                <w:sz w:val="14"/>
              </w:rPr>
            </w:pPr>
            <w:r>
              <w:rPr>
                <w:color w:val="231F20"/>
                <w:sz w:val="14"/>
              </w:rPr>
              <w:t>26025</w:t>
            </w:r>
          </w:p>
        </w:tc>
        <w:tc>
          <w:tcPr>
            <w:tcW w:w="878" w:type="dxa"/>
          </w:tcPr>
          <w:p>
            <w:pPr>
              <w:pStyle w:val="TableParagraph"/>
              <w:ind w:right="44"/>
              <w:rPr>
                <w:sz w:val="14"/>
              </w:rPr>
            </w:pPr>
            <w:r>
              <w:rPr>
                <w:color w:val="231F20"/>
                <w:sz w:val="14"/>
              </w:rPr>
              <w:t>20658</w:t>
            </w:r>
          </w:p>
        </w:tc>
        <w:tc>
          <w:tcPr>
            <w:tcW w:w="955" w:type="dxa"/>
          </w:tcPr>
          <w:p>
            <w:pPr>
              <w:pStyle w:val="TableParagraph"/>
              <w:ind w:right="44"/>
              <w:rPr>
                <w:sz w:val="14"/>
              </w:rPr>
            </w:pPr>
            <w:r>
              <w:rPr>
                <w:color w:val="231F20"/>
                <w:sz w:val="14"/>
              </w:rPr>
              <w:t>4927</w:t>
            </w:r>
          </w:p>
        </w:tc>
        <w:tc>
          <w:tcPr>
            <w:tcW w:w="636" w:type="dxa"/>
          </w:tcPr>
          <w:p>
            <w:pPr>
              <w:pStyle w:val="TableParagraph"/>
              <w:ind w:right="44"/>
              <w:rPr>
                <w:sz w:val="14"/>
              </w:rPr>
            </w:pPr>
            <w:r>
              <w:rPr>
                <w:color w:val="231F20"/>
                <w:sz w:val="14"/>
              </w:rPr>
              <w:t>20245</w:t>
            </w:r>
          </w:p>
        </w:tc>
        <w:tc>
          <w:tcPr>
            <w:tcW w:w="636" w:type="dxa"/>
          </w:tcPr>
          <w:p>
            <w:pPr>
              <w:pStyle w:val="TableParagraph"/>
              <w:ind w:right="44"/>
              <w:rPr>
                <w:sz w:val="14"/>
              </w:rPr>
            </w:pPr>
            <w:r>
              <w:rPr>
                <w:color w:val="231F20"/>
                <w:sz w:val="14"/>
              </w:rPr>
              <w:t>18720</w:t>
            </w:r>
          </w:p>
        </w:tc>
        <w:tc>
          <w:tcPr>
            <w:tcW w:w="636" w:type="dxa"/>
          </w:tcPr>
          <w:p>
            <w:pPr>
              <w:pStyle w:val="TableParagraph"/>
              <w:ind w:right="44"/>
              <w:rPr>
                <w:sz w:val="14"/>
              </w:rPr>
            </w:pPr>
            <w:r>
              <w:rPr>
                <w:color w:val="231F20"/>
                <w:sz w:val="14"/>
              </w:rPr>
              <w:t>21630</w:t>
            </w:r>
          </w:p>
        </w:tc>
        <w:tc>
          <w:tcPr>
            <w:tcW w:w="636" w:type="dxa"/>
          </w:tcPr>
          <w:p>
            <w:pPr>
              <w:pStyle w:val="TableParagraph"/>
              <w:ind w:right="44"/>
              <w:rPr>
                <w:sz w:val="14"/>
              </w:rPr>
            </w:pPr>
            <w:r>
              <w:rPr>
                <w:color w:val="231F20"/>
                <w:sz w:val="14"/>
              </w:rPr>
              <w:t>20410</w:t>
            </w:r>
          </w:p>
        </w:tc>
      </w:tr>
      <w:tr>
        <w:trPr>
          <w:trHeight w:val="200" w:hRule="atLeast"/>
        </w:trPr>
        <w:tc>
          <w:tcPr>
            <w:tcW w:w="2182" w:type="dxa"/>
          </w:tcPr>
          <w:p>
            <w:pPr>
              <w:pStyle w:val="TableParagraph"/>
              <w:ind w:left="92"/>
              <w:jc w:val="left"/>
              <w:rPr>
                <w:sz w:val="14"/>
              </w:rPr>
            </w:pPr>
            <w:r>
              <w:rPr>
                <w:color w:val="231F20"/>
                <w:sz w:val="14"/>
              </w:rPr>
              <w:t>1. Бaрe</w:t>
            </w:r>
          </w:p>
        </w:tc>
        <w:tc>
          <w:tcPr>
            <w:tcW w:w="635" w:type="dxa"/>
          </w:tcPr>
          <w:p>
            <w:pPr>
              <w:pStyle w:val="TableParagraph"/>
              <w:ind w:right="44"/>
              <w:rPr>
                <w:sz w:val="14"/>
              </w:rPr>
            </w:pPr>
            <w:r>
              <w:rPr>
                <w:color w:val="231F20"/>
                <w:sz w:val="14"/>
              </w:rPr>
              <w:t>1466</w:t>
            </w:r>
          </w:p>
        </w:tc>
        <w:tc>
          <w:tcPr>
            <w:tcW w:w="636" w:type="dxa"/>
          </w:tcPr>
          <w:p>
            <w:pPr>
              <w:pStyle w:val="TableParagraph"/>
              <w:ind w:right="44"/>
              <w:rPr>
                <w:sz w:val="14"/>
              </w:rPr>
            </w:pPr>
            <w:r>
              <w:rPr>
                <w:color w:val="231F20"/>
                <w:sz w:val="14"/>
              </w:rPr>
              <w:t>1313</w:t>
            </w:r>
          </w:p>
        </w:tc>
        <w:tc>
          <w:tcPr>
            <w:tcW w:w="636" w:type="dxa"/>
          </w:tcPr>
          <w:p>
            <w:pPr>
              <w:pStyle w:val="TableParagraph"/>
              <w:ind w:right="44"/>
              <w:rPr>
                <w:sz w:val="14"/>
              </w:rPr>
            </w:pPr>
            <w:r>
              <w:rPr>
                <w:color w:val="231F20"/>
                <w:sz w:val="14"/>
              </w:rPr>
              <w:t>1272</w:t>
            </w:r>
          </w:p>
        </w:tc>
        <w:tc>
          <w:tcPr>
            <w:tcW w:w="636" w:type="dxa"/>
          </w:tcPr>
          <w:p>
            <w:pPr>
              <w:pStyle w:val="TableParagraph"/>
              <w:ind w:right="44"/>
              <w:rPr>
                <w:sz w:val="14"/>
              </w:rPr>
            </w:pPr>
            <w:r>
              <w:rPr>
                <w:color w:val="231F20"/>
                <w:sz w:val="14"/>
              </w:rPr>
              <w:t>1119</w:t>
            </w:r>
          </w:p>
        </w:tc>
        <w:tc>
          <w:tcPr>
            <w:tcW w:w="636" w:type="dxa"/>
          </w:tcPr>
          <w:p>
            <w:pPr>
              <w:pStyle w:val="TableParagraph"/>
              <w:ind w:right="43"/>
              <w:rPr>
                <w:sz w:val="14"/>
              </w:rPr>
            </w:pPr>
            <w:r>
              <w:rPr>
                <w:color w:val="231F20"/>
                <w:sz w:val="14"/>
              </w:rPr>
              <w:t>923</w:t>
            </w:r>
          </w:p>
        </w:tc>
        <w:tc>
          <w:tcPr>
            <w:tcW w:w="741" w:type="dxa"/>
          </w:tcPr>
          <w:p>
            <w:pPr>
              <w:pStyle w:val="TableParagraph"/>
              <w:ind w:right="43"/>
              <w:rPr>
                <w:sz w:val="14"/>
              </w:rPr>
            </w:pPr>
            <w:r>
              <w:rPr>
                <w:color w:val="231F20"/>
                <w:sz w:val="14"/>
              </w:rPr>
              <w:t>984</w:t>
            </w:r>
          </w:p>
        </w:tc>
        <w:tc>
          <w:tcPr>
            <w:tcW w:w="878" w:type="dxa"/>
          </w:tcPr>
          <w:p>
            <w:pPr>
              <w:pStyle w:val="TableParagraph"/>
              <w:ind w:right="44"/>
              <w:rPr>
                <w:sz w:val="14"/>
              </w:rPr>
            </w:pPr>
            <w:r>
              <w:rPr>
                <w:color w:val="231F20"/>
                <w:sz w:val="14"/>
              </w:rPr>
              <w:t>595</w:t>
            </w:r>
          </w:p>
        </w:tc>
        <w:tc>
          <w:tcPr>
            <w:tcW w:w="955" w:type="dxa"/>
          </w:tcPr>
          <w:p>
            <w:pPr>
              <w:pStyle w:val="TableParagraph"/>
              <w:ind w:right="44"/>
              <w:rPr>
                <w:sz w:val="14"/>
              </w:rPr>
            </w:pPr>
            <w:r>
              <w:rPr>
                <w:color w:val="231F20"/>
                <w:sz w:val="14"/>
              </w:rPr>
              <w:t>279</w:t>
            </w:r>
          </w:p>
        </w:tc>
        <w:tc>
          <w:tcPr>
            <w:tcW w:w="636" w:type="dxa"/>
          </w:tcPr>
          <w:p>
            <w:pPr>
              <w:pStyle w:val="TableParagraph"/>
              <w:ind w:right="44"/>
              <w:rPr>
                <w:sz w:val="14"/>
              </w:rPr>
            </w:pPr>
            <w:r>
              <w:rPr>
                <w:color w:val="231F20"/>
                <w:sz w:val="14"/>
              </w:rPr>
              <w:t>670</w:t>
            </w:r>
          </w:p>
        </w:tc>
        <w:tc>
          <w:tcPr>
            <w:tcW w:w="636" w:type="dxa"/>
          </w:tcPr>
          <w:p>
            <w:pPr>
              <w:pStyle w:val="TableParagraph"/>
              <w:ind w:right="44"/>
              <w:rPr>
                <w:sz w:val="14"/>
              </w:rPr>
            </w:pPr>
            <w:r>
              <w:rPr>
                <w:color w:val="231F20"/>
                <w:sz w:val="14"/>
              </w:rPr>
              <w:t>610</w:t>
            </w:r>
          </w:p>
        </w:tc>
        <w:tc>
          <w:tcPr>
            <w:tcW w:w="636" w:type="dxa"/>
          </w:tcPr>
          <w:p>
            <w:pPr>
              <w:pStyle w:val="TableParagraph"/>
              <w:ind w:right="44"/>
              <w:rPr>
                <w:sz w:val="14"/>
              </w:rPr>
            </w:pPr>
            <w:r>
              <w:rPr>
                <w:color w:val="231F20"/>
                <w:sz w:val="14"/>
              </w:rPr>
              <w:t>750</w:t>
            </w:r>
          </w:p>
        </w:tc>
        <w:tc>
          <w:tcPr>
            <w:tcW w:w="636" w:type="dxa"/>
          </w:tcPr>
          <w:p>
            <w:pPr>
              <w:pStyle w:val="TableParagraph"/>
              <w:ind w:right="44"/>
              <w:rPr>
                <w:sz w:val="14"/>
              </w:rPr>
            </w:pPr>
            <w:r>
              <w:rPr>
                <w:color w:val="231F20"/>
                <w:sz w:val="14"/>
              </w:rPr>
              <w:t>720</w:t>
            </w:r>
          </w:p>
        </w:tc>
      </w:tr>
      <w:tr>
        <w:trPr>
          <w:trHeight w:val="200" w:hRule="atLeast"/>
        </w:trPr>
        <w:tc>
          <w:tcPr>
            <w:tcW w:w="2182" w:type="dxa"/>
          </w:tcPr>
          <w:p>
            <w:pPr>
              <w:pStyle w:val="TableParagraph"/>
              <w:ind w:left="92"/>
              <w:jc w:val="left"/>
              <w:rPr>
                <w:sz w:val="14"/>
              </w:rPr>
            </w:pPr>
            <w:r>
              <w:rPr>
                <w:color w:val="231F20"/>
                <w:sz w:val="14"/>
              </w:rPr>
              <w:t>2. Бaтoвaц</w:t>
            </w:r>
          </w:p>
        </w:tc>
        <w:tc>
          <w:tcPr>
            <w:tcW w:w="635" w:type="dxa"/>
          </w:tcPr>
          <w:p>
            <w:pPr>
              <w:pStyle w:val="TableParagraph"/>
              <w:ind w:right="43"/>
              <w:rPr>
                <w:sz w:val="14"/>
              </w:rPr>
            </w:pPr>
            <w:r>
              <w:rPr>
                <w:color w:val="231F20"/>
                <w:sz w:val="14"/>
              </w:rPr>
              <w:t>951</w:t>
            </w:r>
          </w:p>
        </w:tc>
        <w:tc>
          <w:tcPr>
            <w:tcW w:w="636" w:type="dxa"/>
          </w:tcPr>
          <w:p>
            <w:pPr>
              <w:pStyle w:val="TableParagraph"/>
              <w:ind w:right="43"/>
              <w:rPr>
                <w:sz w:val="14"/>
              </w:rPr>
            </w:pPr>
            <w:r>
              <w:rPr>
                <w:color w:val="231F20"/>
                <w:sz w:val="14"/>
              </w:rPr>
              <w:t>920</w:t>
            </w:r>
          </w:p>
        </w:tc>
        <w:tc>
          <w:tcPr>
            <w:tcW w:w="636" w:type="dxa"/>
          </w:tcPr>
          <w:p>
            <w:pPr>
              <w:pStyle w:val="TableParagraph"/>
              <w:ind w:right="43"/>
              <w:rPr>
                <w:sz w:val="14"/>
              </w:rPr>
            </w:pPr>
            <w:r>
              <w:rPr>
                <w:color w:val="231F20"/>
                <w:sz w:val="14"/>
              </w:rPr>
              <w:t>834</w:t>
            </w:r>
          </w:p>
        </w:tc>
        <w:tc>
          <w:tcPr>
            <w:tcW w:w="636" w:type="dxa"/>
          </w:tcPr>
          <w:p>
            <w:pPr>
              <w:pStyle w:val="TableParagraph"/>
              <w:ind w:right="43"/>
              <w:rPr>
                <w:sz w:val="14"/>
              </w:rPr>
            </w:pPr>
            <w:r>
              <w:rPr>
                <w:color w:val="231F20"/>
                <w:sz w:val="14"/>
              </w:rPr>
              <w:t>668</w:t>
            </w:r>
          </w:p>
        </w:tc>
        <w:tc>
          <w:tcPr>
            <w:tcW w:w="636" w:type="dxa"/>
          </w:tcPr>
          <w:p>
            <w:pPr>
              <w:pStyle w:val="TableParagraph"/>
              <w:ind w:right="43"/>
              <w:rPr>
                <w:sz w:val="14"/>
              </w:rPr>
            </w:pPr>
            <w:r>
              <w:rPr>
                <w:color w:val="231F20"/>
                <w:sz w:val="14"/>
              </w:rPr>
              <w:t>596</w:t>
            </w:r>
          </w:p>
        </w:tc>
        <w:tc>
          <w:tcPr>
            <w:tcW w:w="741" w:type="dxa"/>
          </w:tcPr>
          <w:p>
            <w:pPr>
              <w:pStyle w:val="TableParagraph"/>
              <w:ind w:right="43"/>
              <w:rPr>
                <w:sz w:val="14"/>
              </w:rPr>
            </w:pPr>
            <w:r>
              <w:rPr>
                <w:color w:val="231F20"/>
                <w:sz w:val="14"/>
              </w:rPr>
              <w:t>782</w:t>
            </w:r>
          </w:p>
        </w:tc>
        <w:tc>
          <w:tcPr>
            <w:tcW w:w="878" w:type="dxa"/>
          </w:tcPr>
          <w:p>
            <w:pPr>
              <w:pStyle w:val="TableParagraph"/>
              <w:ind w:right="43"/>
              <w:rPr>
                <w:sz w:val="14"/>
              </w:rPr>
            </w:pPr>
            <w:r>
              <w:rPr>
                <w:color w:val="231F20"/>
                <w:sz w:val="14"/>
              </w:rPr>
              <w:t>539</w:t>
            </w:r>
          </w:p>
        </w:tc>
        <w:tc>
          <w:tcPr>
            <w:tcW w:w="955" w:type="dxa"/>
          </w:tcPr>
          <w:p>
            <w:pPr>
              <w:pStyle w:val="TableParagraph"/>
              <w:ind w:right="43"/>
              <w:rPr>
                <w:sz w:val="14"/>
              </w:rPr>
            </w:pPr>
            <w:r>
              <w:rPr>
                <w:color w:val="231F20"/>
                <w:sz w:val="14"/>
              </w:rPr>
              <w:t>242</w:t>
            </w:r>
          </w:p>
        </w:tc>
        <w:tc>
          <w:tcPr>
            <w:tcW w:w="636" w:type="dxa"/>
          </w:tcPr>
          <w:p>
            <w:pPr>
              <w:pStyle w:val="TableParagraph"/>
              <w:ind w:right="43"/>
              <w:rPr>
                <w:sz w:val="14"/>
              </w:rPr>
            </w:pPr>
            <w:r>
              <w:rPr>
                <w:color w:val="231F20"/>
                <w:sz w:val="14"/>
              </w:rPr>
              <w:t>510</w:t>
            </w:r>
          </w:p>
        </w:tc>
        <w:tc>
          <w:tcPr>
            <w:tcW w:w="636" w:type="dxa"/>
          </w:tcPr>
          <w:p>
            <w:pPr>
              <w:pStyle w:val="TableParagraph"/>
              <w:ind w:right="43"/>
              <w:rPr>
                <w:sz w:val="14"/>
              </w:rPr>
            </w:pPr>
            <w:r>
              <w:rPr>
                <w:color w:val="231F20"/>
                <w:sz w:val="14"/>
              </w:rPr>
              <w:t>450</w:t>
            </w:r>
          </w:p>
        </w:tc>
        <w:tc>
          <w:tcPr>
            <w:tcW w:w="636" w:type="dxa"/>
          </w:tcPr>
          <w:p>
            <w:pPr>
              <w:pStyle w:val="TableParagraph"/>
              <w:ind w:right="43"/>
              <w:rPr>
                <w:sz w:val="14"/>
              </w:rPr>
            </w:pPr>
            <w:r>
              <w:rPr>
                <w:color w:val="231F20"/>
                <w:sz w:val="14"/>
              </w:rPr>
              <w:t>560</w:t>
            </w:r>
          </w:p>
        </w:tc>
        <w:tc>
          <w:tcPr>
            <w:tcW w:w="636" w:type="dxa"/>
          </w:tcPr>
          <w:p>
            <w:pPr>
              <w:pStyle w:val="TableParagraph"/>
              <w:ind w:right="43"/>
              <w:rPr>
                <w:sz w:val="14"/>
              </w:rPr>
            </w:pPr>
            <w:r>
              <w:rPr>
                <w:color w:val="231F20"/>
                <w:sz w:val="14"/>
              </w:rPr>
              <w:t>500</w:t>
            </w:r>
          </w:p>
        </w:tc>
      </w:tr>
      <w:tr>
        <w:trPr>
          <w:trHeight w:val="200" w:hRule="atLeast"/>
        </w:trPr>
        <w:tc>
          <w:tcPr>
            <w:tcW w:w="2182" w:type="dxa"/>
          </w:tcPr>
          <w:p>
            <w:pPr>
              <w:pStyle w:val="TableParagraph"/>
              <w:ind w:left="92"/>
              <w:jc w:val="left"/>
              <w:rPr>
                <w:sz w:val="14"/>
              </w:rPr>
            </w:pPr>
            <w:r>
              <w:rPr>
                <w:color w:val="231F20"/>
                <w:sz w:val="14"/>
              </w:rPr>
              <w:t>3. Бeрaњe</w:t>
            </w:r>
          </w:p>
        </w:tc>
        <w:tc>
          <w:tcPr>
            <w:tcW w:w="635" w:type="dxa"/>
          </w:tcPr>
          <w:p>
            <w:pPr>
              <w:pStyle w:val="TableParagraph"/>
              <w:ind w:right="43"/>
              <w:rPr>
                <w:sz w:val="14"/>
              </w:rPr>
            </w:pPr>
            <w:r>
              <w:rPr>
                <w:color w:val="231F20"/>
                <w:sz w:val="14"/>
              </w:rPr>
              <w:t>827</w:t>
            </w:r>
          </w:p>
        </w:tc>
        <w:tc>
          <w:tcPr>
            <w:tcW w:w="636" w:type="dxa"/>
          </w:tcPr>
          <w:p>
            <w:pPr>
              <w:pStyle w:val="TableParagraph"/>
              <w:ind w:right="43"/>
              <w:rPr>
                <w:sz w:val="14"/>
              </w:rPr>
            </w:pPr>
            <w:r>
              <w:rPr>
                <w:color w:val="231F20"/>
                <w:sz w:val="14"/>
              </w:rPr>
              <w:t>759</w:t>
            </w:r>
          </w:p>
        </w:tc>
        <w:tc>
          <w:tcPr>
            <w:tcW w:w="636" w:type="dxa"/>
          </w:tcPr>
          <w:p>
            <w:pPr>
              <w:pStyle w:val="TableParagraph"/>
              <w:ind w:right="43"/>
              <w:rPr>
                <w:sz w:val="14"/>
              </w:rPr>
            </w:pPr>
            <w:r>
              <w:rPr>
                <w:color w:val="231F20"/>
                <w:sz w:val="14"/>
              </w:rPr>
              <w:t>689</w:t>
            </w:r>
          </w:p>
        </w:tc>
        <w:tc>
          <w:tcPr>
            <w:tcW w:w="636" w:type="dxa"/>
          </w:tcPr>
          <w:p>
            <w:pPr>
              <w:pStyle w:val="TableParagraph"/>
              <w:ind w:right="43"/>
              <w:rPr>
                <w:sz w:val="14"/>
              </w:rPr>
            </w:pPr>
            <w:r>
              <w:rPr>
                <w:color w:val="231F20"/>
                <w:sz w:val="14"/>
              </w:rPr>
              <w:t>616</w:t>
            </w:r>
          </w:p>
        </w:tc>
        <w:tc>
          <w:tcPr>
            <w:tcW w:w="636" w:type="dxa"/>
          </w:tcPr>
          <w:p>
            <w:pPr>
              <w:pStyle w:val="TableParagraph"/>
              <w:ind w:right="43"/>
              <w:rPr>
                <w:sz w:val="14"/>
              </w:rPr>
            </w:pPr>
            <w:r>
              <w:rPr>
                <w:color w:val="231F20"/>
                <w:sz w:val="14"/>
              </w:rPr>
              <w:t>491</w:t>
            </w:r>
          </w:p>
        </w:tc>
        <w:tc>
          <w:tcPr>
            <w:tcW w:w="741" w:type="dxa"/>
          </w:tcPr>
          <w:p>
            <w:pPr>
              <w:pStyle w:val="TableParagraph"/>
              <w:ind w:right="43"/>
              <w:rPr>
                <w:sz w:val="14"/>
              </w:rPr>
            </w:pPr>
            <w:r>
              <w:rPr>
                <w:color w:val="231F20"/>
                <w:sz w:val="14"/>
              </w:rPr>
              <w:t>573</w:t>
            </w:r>
          </w:p>
        </w:tc>
        <w:tc>
          <w:tcPr>
            <w:tcW w:w="878" w:type="dxa"/>
          </w:tcPr>
          <w:p>
            <w:pPr>
              <w:pStyle w:val="TableParagraph"/>
              <w:ind w:right="43"/>
              <w:rPr>
                <w:sz w:val="14"/>
              </w:rPr>
            </w:pPr>
            <w:r>
              <w:rPr>
                <w:color w:val="231F20"/>
                <w:sz w:val="14"/>
              </w:rPr>
              <w:t>392</w:t>
            </w:r>
          </w:p>
        </w:tc>
        <w:tc>
          <w:tcPr>
            <w:tcW w:w="955" w:type="dxa"/>
          </w:tcPr>
          <w:p>
            <w:pPr>
              <w:pStyle w:val="TableParagraph"/>
              <w:ind w:right="43"/>
              <w:rPr>
                <w:sz w:val="14"/>
              </w:rPr>
            </w:pPr>
            <w:r>
              <w:rPr>
                <w:color w:val="231F20"/>
                <w:sz w:val="14"/>
              </w:rPr>
              <w:t>175</w:t>
            </w:r>
          </w:p>
        </w:tc>
        <w:tc>
          <w:tcPr>
            <w:tcW w:w="636" w:type="dxa"/>
          </w:tcPr>
          <w:p>
            <w:pPr>
              <w:pStyle w:val="TableParagraph"/>
              <w:ind w:right="43"/>
              <w:rPr>
                <w:sz w:val="14"/>
              </w:rPr>
            </w:pPr>
            <w:r>
              <w:rPr>
                <w:color w:val="231F20"/>
                <w:sz w:val="14"/>
              </w:rPr>
              <w:t>350</w:t>
            </w:r>
          </w:p>
        </w:tc>
        <w:tc>
          <w:tcPr>
            <w:tcW w:w="636" w:type="dxa"/>
          </w:tcPr>
          <w:p>
            <w:pPr>
              <w:pStyle w:val="TableParagraph"/>
              <w:ind w:right="43"/>
              <w:rPr>
                <w:sz w:val="14"/>
              </w:rPr>
            </w:pPr>
            <w:r>
              <w:rPr>
                <w:color w:val="231F20"/>
                <w:sz w:val="14"/>
              </w:rPr>
              <w:t>300</w:t>
            </w:r>
          </w:p>
        </w:tc>
        <w:tc>
          <w:tcPr>
            <w:tcW w:w="636" w:type="dxa"/>
          </w:tcPr>
          <w:p>
            <w:pPr>
              <w:pStyle w:val="TableParagraph"/>
              <w:ind w:right="43"/>
              <w:rPr>
                <w:sz w:val="14"/>
              </w:rPr>
            </w:pPr>
            <w:r>
              <w:rPr>
                <w:color w:val="231F20"/>
                <w:sz w:val="14"/>
              </w:rPr>
              <w:t>410</w:t>
            </w:r>
          </w:p>
        </w:tc>
        <w:tc>
          <w:tcPr>
            <w:tcW w:w="636" w:type="dxa"/>
          </w:tcPr>
          <w:p>
            <w:pPr>
              <w:pStyle w:val="TableParagraph"/>
              <w:ind w:right="43"/>
              <w:rPr>
                <w:sz w:val="14"/>
              </w:rPr>
            </w:pPr>
            <w:r>
              <w:rPr>
                <w:color w:val="231F20"/>
                <w:sz w:val="14"/>
              </w:rPr>
              <w:t>380</w:t>
            </w:r>
          </w:p>
        </w:tc>
      </w:tr>
      <w:tr>
        <w:trPr>
          <w:trHeight w:val="200" w:hRule="atLeast"/>
        </w:trPr>
        <w:tc>
          <w:tcPr>
            <w:tcW w:w="2182" w:type="dxa"/>
          </w:tcPr>
          <w:p>
            <w:pPr>
              <w:pStyle w:val="TableParagraph"/>
              <w:ind w:left="92"/>
              <w:jc w:val="left"/>
              <w:rPr>
                <w:sz w:val="14"/>
              </w:rPr>
            </w:pPr>
            <w:r>
              <w:rPr>
                <w:color w:val="231F20"/>
                <w:sz w:val="14"/>
              </w:rPr>
              <w:t>4. Брaдaрaц</w:t>
            </w:r>
          </w:p>
        </w:tc>
        <w:tc>
          <w:tcPr>
            <w:tcW w:w="635" w:type="dxa"/>
          </w:tcPr>
          <w:p>
            <w:pPr>
              <w:pStyle w:val="TableParagraph"/>
              <w:ind w:right="43"/>
              <w:rPr>
                <w:sz w:val="14"/>
              </w:rPr>
            </w:pPr>
            <w:r>
              <w:rPr>
                <w:color w:val="231F20"/>
                <w:sz w:val="14"/>
              </w:rPr>
              <w:t>1191</w:t>
            </w:r>
          </w:p>
        </w:tc>
        <w:tc>
          <w:tcPr>
            <w:tcW w:w="636" w:type="dxa"/>
          </w:tcPr>
          <w:p>
            <w:pPr>
              <w:pStyle w:val="TableParagraph"/>
              <w:ind w:right="43"/>
              <w:rPr>
                <w:sz w:val="14"/>
              </w:rPr>
            </w:pPr>
            <w:r>
              <w:rPr>
                <w:color w:val="231F20"/>
                <w:sz w:val="14"/>
              </w:rPr>
              <w:t>1106</w:t>
            </w:r>
          </w:p>
        </w:tc>
        <w:tc>
          <w:tcPr>
            <w:tcW w:w="636" w:type="dxa"/>
          </w:tcPr>
          <w:p>
            <w:pPr>
              <w:pStyle w:val="TableParagraph"/>
              <w:ind w:right="43"/>
              <w:rPr>
                <w:sz w:val="14"/>
              </w:rPr>
            </w:pPr>
            <w:r>
              <w:rPr>
                <w:color w:val="231F20"/>
                <w:sz w:val="14"/>
              </w:rPr>
              <w:t>1034</w:t>
            </w:r>
          </w:p>
        </w:tc>
        <w:tc>
          <w:tcPr>
            <w:tcW w:w="636" w:type="dxa"/>
          </w:tcPr>
          <w:p>
            <w:pPr>
              <w:pStyle w:val="TableParagraph"/>
              <w:ind w:right="43"/>
              <w:rPr>
                <w:sz w:val="14"/>
              </w:rPr>
            </w:pPr>
            <w:r>
              <w:rPr>
                <w:color w:val="231F20"/>
                <w:sz w:val="14"/>
              </w:rPr>
              <w:t>969</w:t>
            </w:r>
          </w:p>
        </w:tc>
        <w:tc>
          <w:tcPr>
            <w:tcW w:w="636" w:type="dxa"/>
          </w:tcPr>
          <w:p>
            <w:pPr>
              <w:pStyle w:val="TableParagraph"/>
              <w:ind w:right="43"/>
              <w:rPr>
                <w:sz w:val="14"/>
              </w:rPr>
            </w:pPr>
            <w:r>
              <w:rPr>
                <w:color w:val="231F20"/>
                <w:sz w:val="14"/>
              </w:rPr>
              <w:t>874</w:t>
            </w:r>
          </w:p>
        </w:tc>
        <w:tc>
          <w:tcPr>
            <w:tcW w:w="741" w:type="dxa"/>
          </w:tcPr>
          <w:p>
            <w:pPr>
              <w:pStyle w:val="TableParagraph"/>
              <w:ind w:right="43"/>
              <w:rPr>
                <w:sz w:val="14"/>
              </w:rPr>
            </w:pPr>
            <w:r>
              <w:rPr>
                <w:color w:val="231F20"/>
                <w:sz w:val="14"/>
              </w:rPr>
              <w:t>970</w:t>
            </w:r>
          </w:p>
        </w:tc>
        <w:tc>
          <w:tcPr>
            <w:tcW w:w="878" w:type="dxa"/>
          </w:tcPr>
          <w:p>
            <w:pPr>
              <w:pStyle w:val="TableParagraph"/>
              <w:ind w:right="43"/>
              <w:rPr>
                <w:sz w:val="14"/>
              </w:rPr>
            </w:pPr>
            <w:r>
              <w:rPr>
                <w:color w:val="231F20"/>
                <w:sz w:val="14"/>
              </w:rPr>
              <w:t>750</w:t>
            </w:r>
          </w:p>
        </w:tc>
        <w:tc>
          <w:tcPr>
            <w:tcW w:w="955" w:type="dxa"/>
          </w:tcPr>
          <w:p>
            <w:pPr>
              <w:pStyle w:val="TableParagraph"/>
              <w:ind w:right="43"/>
              <w:rPr>
                <w:sz w:val="14"/>
              </w:rPr>
            </w:pPr>
            <w:r>
              <w:rPr>
                <w:color w:val="231F20"/>
                <w:sz w:val="14"/>
              </w:rPr>
              <w:t>209</w:t>
            </w:r>
          </w:p>
        </w:tc>
        <w:tc>
          <w:tcPr>
            <w:tcW w:w="636" w:type="dxa"/>
          </w:tcPr>
          <w:p>
            <w:pPr>
              <w:pStyle w:val="TableParagraph"/>
              <w:ind w:right="43"/>
              <w:rPr>
                <w:sz w:val="14"/>
              </w:rPr>
            </w:pPr>
            <w:r>
              <w:rPr>
                <w:color w:val="231F20"/>
                <w:sz w:val="14"/>
              </w:rPr>
              <w:t>720</w:t>
            </w:r>
          </w:p>
        </w:tc>
        <w:tc>
          <w:tcPr>
            <w:tcW w:w="636" w:type="dxa"/>
          </w:tcPr>
          <w:p>
            <w:pPr>
              <w:pStyle w:val="TableParagraph"/>
              <w:ind w:right="43"/>
              <w:rPr>
                <w:sz w:val="14"/>
              </w:rPr>
            </w:pPr>
            <w:r>
              <w:rPr>
                <w:color w:val="231F20"/>
                <w:sz w:val="14"/>
              </w:rPr>
              <w:t>680</w:t>
            </w:r>
          </w:p>
        </w:tc>
        <w:tc>
          <w:tcPr>
            <w:tcW w:w="636" w:type="dxa"/>
          </w:tcPr>
          <w:p>
            <w:pPr>
              <w:pStyle w:val="TableParagraph"/>
              <w:ind w:right="43"/>
              <w:rPr>
                <w:sz w:val="14"/>
              </w:rPr>
            </w:pPr>
            <w:r>
              <w:rPr>
                <w:color w:val="231F20"/>
                <w:sz w:val="14"/>
              </w:rPr>
              <w:t>790</w:t>
            </w:r>
          </w:p>
        </w:tc>
        <w:tc>
          <w:tcPr>
            <w:tcW w:w="636" w:type="dxa"/>
          </w:tcPr>
          <w:p>
            <w:pPr>
              <w:pStyle w:val="TableParagraph"/>
              <w:ind w:right="43"/>
              <w:rPr>
                <w:sz w:val="14"/>
              </w:rPr>
            </w:pPr>
            <w:r>
              <w:rPr>
                <w:color w:val="231F20"/>
                <w:sz w:val="14"/>
              </w:rPr>
              <w:t>730</w:t>
            </w:r>
          </w:p>
        </w:tc>
      </w:tr>
      <w:tr>
        <w:trPr>
          <w:trHeight w:val="200" w:hRule="atLeast"/>
        </w:trPr>
        <w:tc>
          <w:tcPr>
            <w:tcW w:w="2182" w:type="dxa"/>
          </w:tcPr>
          <w:p>
            <w:pPr>
              <w:pStyle w:val="TableParagraph"/>
              <w:spacing w:before="17"/>
              <w:ind w:left="92"/>
              <w:jc w:val="left"/>
              <w:rPr>
                <w:sz w:val="14"/>
              </w:rPr>
            </w:pPr>
            <w:r>
              <w:rPr>
                <w:color w:val="231F20"/>
                <w:sz w:val="14"/>
              </w:rPr>
              <w:t>5. Брaтинaц</w:t>
            </w:r>
          </w:p>
        </w:tc>
        <w:tc>
          <w:tcPr>
            <w:tcW w:w="635" w:type="dxa"/>
          </w:tcPr>
          <w:p>
            <w:pPr>
              <w:pStyle w:val="TableParagraph"/>
              <w:spacing w:before="17"/>
              <w:ind w:right="43"/>
              <w:rPr>
                <w:sz w:val="14"/>
              </w:rPr>
            </w:pPr>
            <w:r>
              <w:rPr>
                <w:color w:val="231F20"/>
                <w:sz w:val="14"/>
              </w:rPr>
              <w:t>859</w:t>
            </w:r>
          </w:p>
        </w:tc>
        <w:tc>
          <w:tcPr>
            <w:tcW w:w="636" w:type="dxa"/>
          </w:tcPr>
          <w:p>
            <w:pPr>
              <w:pStyle w:val="TableParagraph"/>
              <w:spacing w:before="17"/>
              <w:ind w:right="43"/>
              <w:rPr>
                <w:sz w:val="14"/>
              </w:rPr>
            </w:pPr>
            <w:r>
              <w:rPr>
                <w:color w:val="231F20"/>
                <w:sz w:val="14"/>
              </w:rPr>
              <w:t>776</w:t>
            </w:r>
          </w:p>
        </w:tc>
        <w:tc>
          <w:tcPr>
            <w:tcW w:w="636" w:type="dxa"/>
          </w:tcPr>
          <w:p>
            <w:pPr>
              <w:pStyle w:val="TableParagraph"/>
              <w:spacing w:before="17"/>
              <w:ind w:right="43"/>
              <w:rPr>
                <w:sz w:val="14"/>
              </w:rPr>
            </w:pPr>
            <w:r>
              <w:rPr>
                <w:color w:val="231F20"/>
                <w:sz w:val="14"/>
              </w:rPr>
              <w:t>781</w:t>
            </w:r>
          </w:p>
        </w:tc>
        <w:tc>
          <w:tcPr>
            <w:tcW w:w="636" w:type="dxa"/>
          </w:tcPr>
          <w:p>
            <w:pPr>
              <w:pStyle w:val="TableParagraph"/>
              <w:spacing w:before="17"/>
              <w:ind w:right="43"/>
              <w:rPr>
                <w:sz w:val="14"/>
              </w:rPr>
            </w:pPr>
            <w:r>
              <w:rPr>
                <w:color w:val="231F20"/>
                <w:sz w:val="14"/>
              </w:rPr>
              <w:t>688</w:t>
            </w:r>
          </w:p>
        </w:tc>
        <w:tc>
          <w:tcPr>
            <w:tcW w:w="636" w:type="dxa"/>
          </w:tcPr>
          <w:p>
            <w:pPr>
              <w:pStyle w:val="TableParagraph"/>
              <w:spacing w:before="17"/>
              <w:ind w:right="43"/>
              <w:rPr>
                <w:sz w:val="14"/>
              </w:rPr>
            </w:pPr>
            <w:r>
              <w:rPr>
                <w:color w:val="231F20"/>
                <w:sz w:val="14"/>
              </w:rPr>
              <w:t>629</w:t>
            </w:r>
          </w:p>
        </w:tc>
        <w:tc>
          <w:tcPr>
            <w:tcW w:w="741" w:type="dxa"/>
          </w:tcPr>
          <w:p>
            <w:pPr>
              <w:pStyle w:val="TableParagraph"/>
              <w:spacing w:before="17"/>
              <w:ind w:right="43"/>
              <w:rPr>
                <w:sz w:val="14"/>
              </w:rPr>
            </w:pPr>
            <w:r>
              <w:rPr>
                <w:color w:val="231F20"/>
                <w:sz w:val="14"/>
              </w:rPr>
              <w:t>658</w:t>
            </w:r>
          </w:p>
        </w:tc>
        <w:tc>
          <w:tcPr>
            <w:tcW w:w="878" w:type="dxa"/>
          </w:tcPr>
          <w:p>
            <w:pPr>
              <w:pStyle w:val="TableParagraph"/>
              <w:spacing w:before="17"/>
              <w:ind w:right="43"/>
              <w:rPr>
                <w:sz w:val="14"/>
              </w:rPr>
            </w:pPr>
            <w:r>
              <w:rPr>
                <w:color w:val="231F20"/>
                <w:sz w:val="14"/>
              </w:rPr>
              <w:t>489</w:t>
            </w:r>
          </w:p>
        </w:tc>
        <w:tc>
          <w:tcPr>
            <w:tcW w:w="955" w:type="dxa"/>
          </w:tcPr>
          <w:p>
            <w:pPr>
              <w:pStyle w:val="TableParagraph"/>
              <w:spacing w:before="17"/>
              <w:ind w:right="43"/>
              <w:rPr>
                <w:sz w:val="14"/>
              </w:rPr>
            </w:pPr>
            <w:r>
              <w:rPr>
                <w:color w:val="231F20"/>
                <w:sz w:val="14"/>
              </w:rPr>
              <w:t>169</w:t>
            </w:r>
          </w:p>
        </w:tc>
        <w:tc>
          <w:tcPr>
            <w:tcW w:w="636" w:type="dxa"/>
          </w:tcPr>
          <w:p>
            <w:pPr>
              <w:pStyle w:val="TableParagraph"/>
              <w:spacing w:before="17"/>
              <w:ind w:right="43"/>
              <w:rPr>
                <w:sz w:val="14"/>
              </w:rPr>
            </w:pPr>
            <w:r>
              <w:rPr>
                <w:color w:val="231F20"/>
                <w:sz w:val="14"/>
              </w:rPr>
              <w:t>470</w:t>
            </w:r>
          </w:p>
        </w:tc>
        <w:tc>
          <w:tcPr>
            <w:tcW w:w="636" w:type="dxa"/>
          </w:tcPr>
          <w:p>
            <w:pPr>
              <w:pStyle w:val="TableParagraph"/>
              <w:spacing w:before="17"/>
              <w:ind w:right="43"/>
              <w:rPr>
                <w:sz w:val="14"/>
              </w:rPr>
            </w:pPr>
            <w:r>
              <w:rPr>
                <w:color w:val="231F20"/>
                <w:sz w:val="14"/>
              </w:rPr>
              <w:t>410</w:t>
            </w:r>
          </w:p>
        </w:tc>
        <w:tc>
          <w:tcPr>
            <w:tcW w:w="636" w:type="dxa"/>
          </w:tcPr>
          <w:p>
            <w:pPr>
              <w:pStyle w:val="TableParagraph"/>
              <w:spacing w:before="17"/>
              <w:ind w:right="43"/>
              <w:rPr>
                <w:sz w:val="14"/>
              </w:rPr>
            </w:pPr>
            <w:r>
              <w:rPr>
                <w:color w:val="231F20"/>
                <w:sz w:val="14"/>
              </w:rPr>
              <w:t>500</w:t>
            </w:r>
          </w:p>
        </w:tc>
        <w:tc>
          <w:tcPr>
            <w:tcW w:w="636" w:type="dxa"/>
          </w:tcPr>
          <w:p>
            <w:pPr>
              <w:pStyle w:val="TableParagraph"/>
              <w:spacing w:before="17"/>
              <w:ind w:right="43"/>
              <w:rPr>
                <w:sz w:val="14"/>
              </w:rPr>
            </w:pPr>
            <w:r>
              <w:rPr>
                <w:color w:val="231F20"/>
                <w:sz w:val="14"/>
              </w:rPr>
              <w:t>460</w:t>
            </w:r>
          </w:p>
        </w:tc>
      </w:tr>
      <w:tr>
        <w:trPr>
          <w:trHeight w:val="200" w:hRule="atLeast"/>
        </w:trPr>
        <w:tc>
          <w:tcPr>
            <w:tcW w:w="2182" w:type="dxa"/>
          </w:tcPr>
          <w:p>
            <w:pPr>
              <w:pStyle w:val="TableParagraph"/>
              <w:spacing w:before="17"/>
              <w:ind w:left="93"/>
              <w:jc w:val="left"/>
              <w:rPr>
                <w:sz w:val="14"/>
              </w:rPr>
            </w:pPr>
            <w:r>
              <w:rPr>
                <w:color w:val="231F20"/>
                <w:sz w:val="14"/>
              </w:rPr>
              <w:t>6. Брeжaнe</w:t>
            </w:r>
          </w:p>
        </w:tc>
        <w:tc>
          <w:tcPr>
            <w:tcW w:w="635" w:type="dxa"/>
          </w:tcPr>
          <w:p>
            <w:pPr>
              <w:pStyle w:val="TableParagraph"/>
              <w:spacing w:before="17"/>
              <w:ind w:right="43"/>
              <w:rPr>
                <w:sz w:val="14"/>
              </w:rPr>
            </w:pPr>
            <w:r>
              <w:rPr>
                <w:color w:val="231F20"/>
                <w:sz w:val="14"/>
              </w:rPr>
              <w:t>1362</w:t>
            </w:r>
          </w:p>
        </w:tc>
        <w:tc>
          <w:tcPr>
            <w:tcW w:w="636" w:type="dxa"/>
          </w:tcPr>
          <w:p>
            <w:pPr>
              <w:pStyle w:val="TableParagraph"/>
              <w:spacing w:before="17"/>
              <w:ind w:right="43"/>
              <w:rPr>
                <w:sz w:val="14"/>
              </w:rPr>
            </w:pPr>
            <w:r>
              <w:rPr>
                <w:color w:val="231F20"/>
                <w:sz w:val="14"/>
              </w:rPr>
              <w:t>1216</w:t>
            </w:r>
          </w:p>
        </w:tc>
        <w:tc>
          <w:tcPr>
            <w:tcW w:w="636" w:type="dxa"/>
          </w:tcPr>
          <w:p>
            <w:pPr>
              <w:pStyle w:val="TableParagraph"/>
              <w:spacing w:before="17"/>
              <w:ind w:right="43"/>
              <w:rPr>
                <w:sz w:val="14"/>
              </w:rPr>
            </w:pPr>
            <w:r>
              <w:rPr>
                <w:color w:val="231F20"/>
                <w:sz w:val="14"/>
              </w:rPr>
              <w:t>1151</w:t>
            </w:r>
          </w:p>
        </w:tc>
        <w:tc>
          <w:tcPr>
            <w:tcW w:w="636" w:type="dxa"/>
          </w:tcPr>
          <w:p>
            <w:pPr>
              <w:pStyle w:val="TableParagraph"/>
              <w:spacing w:before="17"/>
              <w:ind w:right="43"/>
              <w:rPr>
                <w:sz w:val="14"/>
              </w:rPr>
            </w:pPr>
            <w:r>
              <w:rPr>
                <w:color w:val="231F20"/>
                <w:sz w:val="14"/>
              </w:rPr>
              <w:t>1129</w:t>
            </w:r>
          </w:p>
        </w:tc>
        <w:tc>
          <w:tcPr>
            <w:tcW w:w="636" w:type="dxa"/>
          </w:tcPr>
          <w:p>
            <w:pPr>
              <w:pStyle w:val="TableParagraph"/>
              <w:spacing w:before="17"/>
              <w:ind w:right="43"/>
              <w:rPr>
                <w:sz w:val="14"/>
              </w:rPr>
            </w:pPr>
            <w:r>
              <w:rPr>
                <w:color w:val="231F20"/>
                <w:sz w:val="14"/>
              </w:rPr>
              <w:t>1017</w:t>
            </w:r>
          </w:p>
        </w:tc>
        <w:tc>
          <w:tcPr>
            <w:tcW w:w="741" w:type="dxa"/>
          </w:tcPr>
          <w:p>
            <w:pPr>
              <w:pStyle w:val="TableParagraph"/>
              <w:spacing w:before="17"/>
              <w:ind w:right="43"/>
              <w:rPr>
                <w:sz w:val="14"/>
              </w:rPr>
            </w:pPr>
            <w:r>
              <w:rPr>
                <w:color w:val="231F20"/>
                <w:sz w:val="14"/>
              </w:rPr>
              <w:t>952</w:t>
            </w:r>
          </w:p>
        </w:tc>
        <w:tc>
          <w:tcPr>
            <w:tcW w:w="878" w:type="dxa"/>
          </w:tcPr>
          <w:p>
            <w:pPr>
              <w:pStyle w:val="TableParagraph"/>
              <w:spacing w:before="17"/>
              <w:ind w:right="43"/>
              <w:rPr>
                <w:sz w:val="14"/>
              </w:rPr>
            </w:pPr>
            <w:r>
              <w:rPr>
                <w:color w:val="231F20"/>
                <w:sz w:val="14"/>
              </w:rPr>
              <w:t>845</w:t>
            </w:r>
          </w:p>
        </w:tc>
        <w:tc>
          <w:tcPr>
            <w:tcW w:w="955" w:type="dxa"/>
          </w:tcPr>
          <w:p>
            <w:pPr>
              <w:pStyle w:val="TableParagraph"/>
              <w:spacing w:before="17"/>
              <w:ind w:right="43"/>
              <w:rPr>
                <w:sz w:val="14"/>
              </w:rPr>
            </w:pPr>
            <w:r>
              <w:rPr>
                <w:color w:val="231F20"/>
                <w:sz w:val="14"/>
              </w:rPr>
              <w:t>87</w:t>
            </w:r>
          </w:p>
        </w:tc>
        <w:tc>
          <w:tcPr>
            <w:tcW w:w="636" w:type="dxa"/>
          </w:tcPr>
          <w:p>
            <w:pPr>
              <w:pStyle w:val="TableParagraph"/>
              <w:spacing w:before="17"/>
              <w:ind w:right="43"/>
              <w:rPr>
                <w:sz w:val="14"/>
              </w:rPr>
            </w:pPr>
            <w:r>
              <w:rPr>
                <w:color w:val="231F20"/>
                <w:sz w:val="14"/>
              </w:rPr>
              <w:t>815</w:t>
            </w:r>
          </w:p>
        </w:tc>
        <w:tc>
          <w:tcPr>
            <w:tcW w:w="636" w:type="dxa"/>
          </w:tcPr>
          <w:p>
            <w:pPr>
              <w:pStyle w:val="TableParagraph"/>
              <w:spacing w:before="17"/>
              <w:ind w:right="43"/>
              <w:rPr>
                <w:sz w:val="14"/>
              </w:rPr>
            </w:pPr>
            <w:r>
              <w:rPr>
                <w:color w:val="231F20"/>
                <w:sz w:val="14"/>
              </w:rPr>
              <w:t>750</w:t>
            </w:r>
          </w:p>
        </w:tc>
        <w:tc>
          <w:tcPr>
            <w:tcW w:w="636" w:type="dxa"/>
          </w:tcPr>
          <w:p>
            <w:pPr>
              <w:pStyle w:val="TableParagraph"/>
              <w:spacing w:before="17"/>
              <w:ind w:right="43"/>
              <w:rPr>
                <w:sz w:val="14"/>
              </w:rPr>
            </w:pPr>
            <w:r>
              <w:rPr>
                <w:color w:val="231F20"/>
                <w:sz w:val="14"/>
              </w:rPr>
              <w:t>870</w:t>
            </w:r>
          </w:p>
        </w:tc>
        <w:tc>
          <w:tcPr>
            <w:tcW w:w="636" w:type="dxa"/>
          </w:tcPr>
          <w:p>
            <w:pPr>
              <w:pStyle w:val="TableParagraph"/>
              <w:spacing w:before="17"/>
              <w:ind w:right="43"/>
              <w:rPr>
                <w:sz w:val="14"/>
              </w:rPr>
            </w:pPr>
            <w:r>
              <w:rPr>
                <w:color w:val="231F20"/>
                <w:sz w:val="14"/>
              </w:rPr>
              <w:t>810</w:t>
            </w:r>
          </w:p>
        </w:tc>
      </w:tr>
      <w:tr>
        <w:trPr>
          <w:trHeight w:val="200" w:hRule="atLeast"/>
        </w:trPr>
        <w:tc>
          <w:tcPr>
            <w:tcW w:w="2182" w:type="dxa"/>
          </w:tcPr>
          <w:p>
            <w:pPr>
              <w:pStyle w:val="TableParagraph"/>
              <w:spacing w:before="17"/>
              <w:ind w:left="93"/>
              <w:jc w:val="left"/>
              <w:rPr>
                <w:sz w:val="14"/>
              </w:rPr>
            </w:pPr>
            <w:r>
              <w:rPr>
                <w:color w:val="231F20"/>
                <w:sz w:val="14"/>
              </w:rPr>
              <w:t>7. Бубушинaц</w:t>
            </w:r>
          </w:p>
        </w:tc>
        <w:tc>
          <w:tcPr>
            <w:tcW w:w="635" w:type="dxa"/>
          </w:tcPr>
          <w:p>
            <w:pPr>
              <w:pStyle w:val="TableParagraph"/>
              <w:spacing w:before="17"/>
              <w:ind w:right="43"/>
              <w:rPr>
                <w:sz w:val="14"/>
              </w:rPr>
            </w:pPr>
            <w:r>
              <w:rPr>
                <w:color w:val="231F20"/>
                <w:sz w:val="14"/>
              </w:rPr>
              <w:t>1122</w:t>
            </w:r>
          </w:p>
        </w:tc>
        <w:tc>
          <w:tcPr>
            <w:tcW w:w="636" w:type="dxa"/>
          </w:tcPr>
          <w:p>
            <w:pPr>
              <w:pStyle w:val="TableParagraph"/>
              <w:spacing w:before="17"/>
              <w:ind w:right="43"/>
              <w:rPr>
                <w:sz w:val="14"/>
              </w:rPr>
            </w:pPr>
            <w:r>
              <w:rPr>
                <w:color w:val="231F20"/>
                <w:sz w:val="14"/>
              </w:rPr>
              <w:t>1039</w:t>
            </w:r>
          </w:p>
        </w:tc>
        <w:tc>
          <w:tcPr>
            <w:tcW w:w="636" w:type="dxa"/>
          </w:tcPr>
          <w:p>
            <w:pPr>
              <w:pStyle w:val="TableParagraph"/>
              <w:spacing w:before="17"/>
              <w:ind w:right="43"/>
              <w:rPr>
                <w:sz w:val="14"/>
              </w:rPr>
            </w:pPr>
            <w:r>
              <w:rPr>
                <w:color w:val="231F20"/>
                <w:sz w:val="14"/>
              </w:rPr>
              <w:t>992</w:t>
            </w:r>
          </w:p>
        </w:tc>
        <w:tc>
          <w:tcPr>
            <w:tcW w:w="636" w:type="dxa"/>
          </w:tcPr>
          <w:p>
            <w:pPr>
              <w:pStyle w:val="TableParagraph"/>
              <w:spacing w:before="17"/>
              <w:ind w:right="43"/>
              <w:rPr>
                <w:sz w:val="14"/>
              </w:rPr>
            </w:pPr>
            <w:r>
              <w:rPr>
                <w:color w:val="231F20"/>
                <w:sz w:val="14"/>
              </w:rPr>
              <w:t>908</w:t>
            </w:r>
          </w:p>
        </w:tc>
        <w:tc>
          <w:tcPr>
            <w:tcW w:w="636" w:type="dxa"/>
          </w:tcPr>
          <w:p>
            <w:pPr>
              <w:pStyle w:val="TableParagraph"/>
              <w:spacing w:before="17"/>
              <w:ind w:right="43"/>
              <w:rPr>
                <w:sz w:val="14"/>
              </w:rPr>
            </w:pPr>
            <w:r>
              <w:rPr>
                <w:color w:val="231F20"/>
                <w:sz w:val="14"/>
              </w:rPr>
              <w:t>844</w:t>
            </w:r>
          </w:p>
        </w:tc>
        <w:tc>
          <w:tcPr>
            <w:tcW w:w="741" w:type="dxa"/>
          </w:tcPr>
          <w:p>
            <w:pPr>
              <w:pStyle w:val="TableParagraph"/>
              <w:spacing w:before="17"/>
              <w:ind w:right="43"/>
              <w:rPr>
                <w:sz w:val="14"/>
              </w:rPr>
            </w:pPr>
            <w:r>
              <w:rPr>
                <w:color w:val="231F20"/>
                <w:sz w:val="14"/>
              </w:rPr>
              <w:t>921</w:t>
            </w:r>
          </w:p>
        </w:tc>
        <w:tc>
          <w:tcPr>
            <w:tcW w:w="878" w:type="dxa"/>
          </w:tcPr>
          <w:p>
            <w:pPr>
              <w:pStyle w:val="TableParagraph"/>
              <w:spacing w:before="17"/>
              <w:ind w:right="43"/>
              <w:rPr>
                <w:sz w:val="14"/>
              </w:rPr>
            </w:pPr>
            <w:r>
              <w:rPr>
                <w:color w:val="231F20"/>
                <w:sz w:val="14"/>
              </w:rPr>
              <w:t>728</w:t>
            </w:r>
          </w:p>
        </w:tc>
        <w:tc>
          <w:tcPr>
            <w:tcW w:w="955" w:type="dxa"/>
          </w:tcPr>
          <w:p>
            <w:pPr>
              <w:pStyle w:val="TableParagraph"/>
              <w:spacing w:before="17"/>
              <w:ind w:right="43"/>
              <w:rPr>
                <w:sz w:val="14"/>
              </w:rPr>
            </w:pPr>
            <w:r>
              <w:rPr>
                <w:color w:val="231F20"/>
                <w:sz w:val="14"/>
              </w:rPr>
              <w:t>188</w:t>
            </w:r>
          </w:p>
        </w:tc>
        <w:tc>
          <w:tcPr>
            <w:tcW w:w="636" w:type="dxa"/>
          </w:tcPr>
          <w:p>
            <w:pPr>
              <w:pStyle w:val="TableParagraph"/>
              <w:spacing w:before="17"/>
              <w:ind w:right="43"/>
              <w:rPr>
                <w:sz w:val="14"/>
              </w:rPr>
            </w:pPr>
            <w:r>
              <w:rPr>
                <w:color w:val="231F20"/>
                <w:sz w:val="14"/>
              </w:rPr>
              <w:t>710</w:t>
            </w:r>
          </w:p>
        </w:tc>
        <w:tc>
          <w:tcPr>
            <w:tcW w:w="636" w:type="dxa"/>
          </w:tcPr>
          <w:p>
            <w:pPr>
              <w:pStyle w:val="TableParagraph"/>
              <w:spacing w:before="17"/>
              <w:ind w:right="43"/>
              <w:rPr>
                <w:sz w:val="14"/>
              </w:rPr>
            </w:pPr>
            <w:r>
              <w:rPr>
                <w:color w:val="231F20"/>
                <w:sz w:val="14"/>
              </w:rPr>
              <w:t>640</w:t>
            </w:r>
          </w:p>
        </w:tc>
        <w:tc>
          <w:tcPr>
            <w:tcW w:w="636" w:type="dxa"/>
          </w:tcPr>
          <w:p>
            <w:pPr>
              <w:pStyle w:val="TableParagraph"/>
              <w:spacing w:before="17"/>
              <w:ind w:right="43"/>
              <w:rPr>
                <w:sz w:val="14"/>
              </w:rPr>
            </w:pPr>
            <w:r>
              <w:rPr>
                <w:color w:val="231F20"/>
                <w:sz w:val="14"/>
              </w:rPr>
              <w:t>760</w:t>
            </w:r>
          </w:p>
        </w:tc>
        <w:tc>
          <w:tcPr>
            <w:tcW w:w="636" w:type="dxa"/>
          </w:tcPr>
          <w:p>
            <w:pPr>
              <w:pStyle w:val="TableParagraph"/>
              <w:spacing w:before="17"/>
              <w:ind w:right="43"/>
              <w:rPr>
                <w:sz w:val="14"/>
              </w:rPr>
            </w:pPr>
            <w:r>
              <w:rPr>
                <w:color w:val="231F20"/>
                <w:sz w:val="14"/>
              </w:rPr>
              <w:t>690</w:t>
            </w:r>
          </w:p>
        </w:tc>
      </w:tr>
      <w:tr>
        <w:trPr>
          <w:trHeight w:val="200" w:hRule="atLeast"/>
        </w:trPr>
        <w:tc>
          <w:tcPr>
            <w:tcW w:w="2182" w:type="dxa"/>
          </w:tcPr>
          <w:p>
            <w:pPr>
              <w:pStyle w:val="TableParagraph"/>
              <w:spacing w:before="17"/>
              <w:ind w:left="93"/>
              <w:jc w:val="left"/>
              <w:rPr>
                <w:sz w:val="14"/>
              </w:rPr>
            </w:pPr>
            <w:r>
              <w:rPr>
                <w:color w:val="231F20"/>
                <w:sz w:val="14"/>
              </w:rPr>
              <w:t>8. Дрaгoвaц</w:t>
            </w:r>
          </w:p>
        </w:tc>
        <w:tc>
          <w:tcPr>
            <w:tcW w:w="635" w:type="dxa"/>
          </w:tcPr>
          <w:p>
            <w:pPr>
              <w:pStyle w:val="TableParagraph"/>
              <w:spacing w:before="17"/>
              <w:ind w:right="43"/>
              <w:rPr>
                <w:sz w:val="14"/>
              </w:rPr>
            </w:pPr>
            <w:r>
              <w:rPr>
                <w:color w:val="231F20"/>
                <w:sz w:val="14"/>
              </w:rPr>
              <w:t>1196</w:t>
            </w:r>
          </w:p>
        </w:tc>
        <w:tc>
          <w:tcPr>
            <w:tcW w:w="636" w:type="dxa"/>
          </w:tcPr>
          <w:p>
            <w:pPr>
              <w:pStyle w:val="TableParagraph"/>
              <w:spacing w:before="17"/>
              <w:ind w:right="43"/>
              <w:rPr>
                <w:sz w:val="14"/>
              </w:rPr>
            </w:pPr>
            <w:r>
              <w:rPr>
                <w:color w:val="231F20"/>
                <w:sz w:val="14"/>
              </w:rPr>
              <w:t>1166</w:t>
            </w:r>
          </w:p>
        </w:tc>
        <w:tc>
          <w:tcPr>
            <w:tcW w:w="636" w:type="dxa"/>
          </w:tcPr>
          <w:p>
            <w:pPr>
              <w:pStyle w:val="TableParagraph"/>
              <w:spacing w:before="17"/>
              <w:ind w:right="43"/>
              <w:rPr>
                <w:sz w:val="14"/>
              </w:rPr>
            </w:pPr>
            <w:r>
              <w:rPr>
                <w:color w:val="231F20"/>
                <w:sz w:val="14"/>
              </w:rPr>
              <w:t>1053</w:t>
            </w:r>
          </w:p>
        </w:tc>
        <w:tc>
          <w:tcPr>
            <w:tcW w:w="636" w:type="dxa"/>
          </w:tcPr>
          <w:p>
            <w:pPr>
              <w:pStyle w:val="TableParagraph"/>
              <w:spacing w:before="17"/>
              <w:ind w:right="43"/>
              <w:rPr>
                <w:sz w:val="14"/>
              </w:rPr>
            </w:pPr>
            <w:r>
              <w:rPr>
                <w:color w:val="231F20"/>
                <w:sz w:val="14"/>
              </w:rPr>
              <w:t>1036</w:t>
            </w:r>
          </w:p>
        </w:tc>
        <w:tc>
          <w:tcPr>
            <w:tcW w:w="636" w:type="dxa"/>
          </w:tcPr>
          <w:p>
            <w:pPr>
              <w:pStyle w:val="TableParagraph"/>
              <w:spacing w:before="17"/>
              <w:ind w:right="43"/>
              <w:rPr>
                <w:sz w:val="14"/>
              </w:rPr>
            </w:pPr>
            <w:r>
              <w:rPr>
                <w:color w:val="231F20"/>
                <w:sz w:val="14"/>
              </w:rPr>
              <w:t>910</w:t>
            </w:r>
          </w:p>
        </w:tc>
        <w:tc>
          <w:tcPr>
            <w:tcW w:w="741" w:type="dxa"/>
          </w:tcPr>
          <w:p>
            <w:pPr>
              <w:pStyle w:val="TableParagraph"/>
              <w:spacing w:before="17"/>
              <w:ind w:right="42"/>
              <w:rPr>
                <w:sz w:val="14"/>
              </w:rPr>
            </w:pPr>
            <w:r>
              <w:rPr>
                <w:color w:val="231F20"/>
                <w:sz w:val="14"/>
              </w:rPr>
              <w:t>938</w:t>
            </w:r>
          </w:p>
        </w:tc>
        <w:tc>
          <w:tcPr>
            <w:tcW w:w="878" w:type="dxa"/>
          </w:tcPr>
          <w:p>
            <w:pPr>
              <w:pStyle w:val="TableParagraph"/>
              <w:spacing w:before="17"/>
              <w:ind w:right="43"/>
              <w:rPr>
                <w:sz w:val="14"/>
              </w:rPr>
            </w:pPr>
            <w:r>
              <w:rPr>
                <w:color w:val="231F20"/>
                <w:sz w:val="14"/>
              </w:rPr>
              <w:t>834</w:t>
            </w:r>
          </w:p>
        </w:tc>
        <w:tc>
          <w:tcPr>
            <w:tcW w:w="955" w:type="dxa"/>
          </w:tcPr>
          <w:p>
            <w:pPr>
              <w:pStyle w:val="TableParagraph"/>
              <w:spacing w:before="17"/>
              <w:ind w:right="43"/>
              <w:rPr>
                <w:sz w:val="14"/>
              </w:rPr>
            </w:pPr>
            <w:r>
              <w:rPr>
                <w:color w:val="231F20"/>
                <w:sz w:val="14"/>
              </w:rPr>
              <w:t>97</w:t>
            </w:r>
          </w:p>
        </w:tc>
        <w:tc>
          <w:tcPr>
            <w:tcW w:w="636" w:type="dxa"/>
          </w:tcPr>
          <w:p>
            <w:pPr>
              <w:pStyle w:val="TableParagraph"/>
              <w:spacing w:before="17"/>
              <w:ind w:right="43"/>
              <w:rPr>
                <w:sz w:val="14"/>
              </w:rPr>
            </w:pPr>
            <w:r>
              <w:rPr>
                <w:color w:val="231F20"/>
                <w:sz w:val="14"/>
              </w:rPr>
              <w:t>800</w:t>
            </w:r>
          </w:p>
        </w:tc>
        <w:tc>
          <w:tcPr>
            <w:tcW w:w="636" w:type="dxa"/>
          </w:tcPr>
          <w:p>
            <w:pPr>
              <w:pStyle w:val="TableParagraph"/>
              <w:spacing w:before="17"/>
              <w:ind w:right="43"/>
              <w:rPr>
                <w:sz w:val="14"/>
              </w:rPr>
            </w:pPr>
            <w:r>
              <w:rPr>
                <w:color w:val="231F20"/>
                <w:sz w:val="14"/>
              </w:rPr>
              <w:t>740</w:t>
            </w:r>
          </w:p>
        </w:tc>
        <w:tc>
          <w:tcPr>
            <w:tcW w:w="636" w:type="dxa"/>
          </w:tcPr>
          <w:p>
            <w:pPr>
              <w:pStyle w:val="TableParagraph"/>
              <w:spacing w:before="17"/>
              <w:ind w:right="43"/>
              <w:rPr>
                <w:sz w:val="14"/>
              </w:rPr>
            </w:pPr>
            <w:r>
              <w:rPr>
                <w:color w:val="231F20"/>
                <w:sz w:val="14"/>
              </w:rPr>
              <w:t>840</w:t>
            </w:r>
          </w:p>
        </w:tc>
        <w:tc>
          <w:tcPr>
            <w:tcW w:w="636" w:type="dxa"/>
          </w:tcPr>
          <w:p>
            <w:pPr>
              <w:pStyle w:val="TableParagraph"/>
              <w:spacing w:before="17"/>
              <w:ind w:right="43"/>
              <w:rPr>
                <w:sz w:val="14"/>
              </w:rPr>
            </w:pPr>
            <w:r>
              <w:rPr>
                <w:color w:val="231F20"/>
                <w:sz w:val="14"/>
              </w:rPr>
              <w:t>770</w:t>
            </w:r>
          </w:p>
        </w:tc>
      </w:tr>
      <w:tr>
        <w:trPr>
          <w:trHeight w:val="200" w:hRule="atLeast"/>
        </w:trPr>
        <w:tc>
          <w:tcPr>
            <w:tcW w:w="2182" w:type="dxa"/>
          </w:tcPr>
          <w:p>
            <w:pPr>
              <w:pStyle w:val="TableParagraph"/>
              <w:spacing w:before="17"/>
              <w:ind w:left="93"/>
              <w:jc w:val="left"/>
              <w:rPr>
                <w:sz w:val="14"/>
              </w:rPr>
            </w:pPr>
            <w:r>
              <w:rPr>
                <w:color w:val="231F20"/>
                <w:sz w:val="14"/>
              </w:rPr>
              <w:t>9. Дрмнo</w:t>
            </w:r>
          </w:p>
        </w:tc>
        <w:tc>
          <w:tcPr>
            <w:tcW w:w="635" w:type="dxa"/>
          </w:tcPr>
          <w:p>
            <w:pPr>
              <w:pStyle w:val="TableParagraph"/>
              <w:spacing w:before="17"/>
              <w:ind w:right="42"/>
              <w:rPr>
                <w:sz w:val="14"/>
              </w:rPr>
            </w:pPr>
            <w:r>
              <w:rPr>
                <w:color w:val="231F20"/>
                <w:sz w:val="14"/>
              </w:rPr>
              <w:t>1313</w:t>
            </w:r>
          </w:p>
        </w:tc>
        <w:tc>
          <w:tcPr>
            <w:tcW w:w="636" w:type="dxa"/>
          </w:tcPr>
          <w:p>
            <w:pPr>
              <w:pStyle w:val="TableParagraph"/>
              <w:spacing w:before="17"/>
              <w:ind w:right="42"/>
              <w:rPr>
                <w:sz w:val="14"/>
              </w:rPr>
            </w:pPr>
            <w:r>
              <w:rPr>
                <w:color w:val="231F20"/>
                <w:sz w:val="14"/>
              </w:rPr>
              <w:t>1252</w:t>
            </w:r>
          </w:p>
        </w:tc>
        <w:tc>
          <w:tcPr>
            <w:tcW w:w="636" w:type="dxa"/>
          </w:tcPr>
          <w:p>
            <w:pPr>
              <w:pStyle w:val="TableParagraph"/>
              <w:spacing w:before="17"/>
              <w:ind w:right="42"/>
              <w:rPr>
                <w:sz w:val="14"/>
              </w:rPr>
            </w:pPr>
            <w:r>
              <w:rPr>
                <w:color w:val="231F20"/>
                <w:sz w:val="14"/>
              </w:rPr>
              <w:t>1235</w:t>
            </w:r>
          </w:p>
        </w:tc>
        <w:tc>
          <w:tcPr>
            <w:tcW w:w="636" w:type="dxa"/>
          </w:tcPr>
          <w:p>
            <w:pPr>
              <w:pStyle w:val="TableParagraph"/>
              <w:spacing w:before="17"/>
              <w:ind w:right="42"/>
              <w:rPr>
                <w:sz w:val="14"/>
              </w:rPr>
            </w:pPr>
            <w:r>
              <w:rPr>
                <w:color w:val="231F20"/>
                <w:sz w:val="14"/>
              </w:rPr>
              <w:t>1140</w:t>
            </w:r>
          </w:p>
        </w:tc>
        <w:tc>
          <w:tcPr>
            <w:tcW w:w="636" w:type="dxa"/>
          </w:tcPr>
          <w:p>
            <w:pPr>
              <w:pStyle w:val="TableParagraph"/>
              <w:spacing w:before="17"/>
              <w:ind w:right="42"/>
              <w:rPr>
                <w:sz w:val="14"/>
              </w:rPr>
            </w:pPr>
            <w:r>
              <w:rPr>
                <w:color w:val="231F20"/>
                <w:sz w:val="14"/>
              </w:rPr>
              <w:t>1046</w:t>
            </w:r>
          </w:p>
        </w:tc>
        <w:tc>
          <w:tcPr>
            <w:tcW w:w="741" w:type="dxa"/>
          </w:tcPr>
          <w:p>
            <w:pPr>
              <w:pStyle w:val="TableParagraph"/>
              <w:spacing w:before="17"/>
              <w:ind w:right="42"/>
              <w:rPr>
                <w:sz w:val="14"/>
              </w:rPr>
            </w:pPr>
            <w:r>
              <w:rPr>
                <w:color w:val="231F20"/>
                <w:sz w:val="14"/>
              </w:rPr>
              <w:t>995</w:t>
            </w:r>
          </w:p>
        </w:tc>
        <w:tc>
          <w:tcPr>
            <w:tcW w:w="878" w:type="dxa"/>
          </w:tcPr>
          <w:p>
            <w:pPr>
              <w:pStyle w:val="TableParagraph"/>
              <w:spacing w:before="17"/>
              <w:ind w:right="42"/>
              <w:rPr>
                <w:sz w:val="14"/>
              </w:rPr>
            </w:pPr>
            <w:r>
              <w:rPr>
                <w:color w:val="231F20"/>
                <w:sz w:val="14"/>
              </w:rPr>
              <w:t>872</w:t>
            </w:r>
          </w:p>
        </w:tc>
        <w:tc>
          <w:tcPr>
            <w:tcW w:w="955" w:type="dxa"/>
          </w:tcPr>
          <w:p>
            <w:pPr>
              <w:pStyle w:val="TableParagraph"/>
              <w:spacing w:before="17"/>
              <w:ind w:right="42"/>
              <w:rPr>
                <w:sz w:val="14"/>
              </w:rPr>
            </w:pPr>
            <w:r>
              <w:rPr>
                <w:color w:val="231F20"/>
                <w:sz w:val="14"/>
              </w:rPr>
              <w:t>123</w:t>
            </w:r>
          </w:p>
        </w:tc>
        <w:tc>
          <w:tcPr>
            <w:tcW w:w="636" w:type="dxa"/>
          </w:tcPr>
          <w:p>
            <w:pPr>
              <w:pStyle w:val="TableParagraph"/>
              <w:spacing w:before="17"/>
              <w:ind w:right="42"/>
              <w:rPr>
                <w:sz w:val="14"/>
              </w:rPr>
            </w:pPr>
            <w:r>
              <w:rPr>
                <w:color w:val="231F20"/>
                <w:sz w:val="14"/>
              </w:rPr>
              <w:t>850</w:t>
            </w:r>
          </w:p>
        </w:tc>
        <w:tc>
          <w:tcPr>
            <w:tcW w:w="636" w:type="dxa"/>
          </w:tcPr>
          <w:p>
            <w:pPr>
              <w:pStyle w:val="TableParagraph"/>
              <w:spacing w:before="17"/>
              <w:ind w:right="42"/>
              <w:rPr>
                <w:sz w:val="14"/>
              </w:rPr>
            </w:pPr>
            <w:r>
              <w:rPr>
                <w:color w:val="231F20"/>
                <w:sz w:val="14"/>
              </w:rPr>
              <w:t>770</w:t>
            </w:r>
          </w:p>
        </w:tc>
        <w:tc>
          <w:tcPr>
            <w:tcW w:w="636" w:type="dxa"/>
          </w:tcPr>
          <w:p>
            <w:pPr>
              <w:pStyle w:val="TableParagraph"/>
              <w:spacing w:before="17"/>
              <w:ind w:right="42"/>
              <w:rPr>
                <w:sz w:val="14"/>
              </w:rPr>
            </w:pPr>
            <w:r>
              <w:rPr>
                <w:color w:val="231F20"/>
                <w:sz w:val="14"/>
              </w:rPr>
              <w:t>900</w:t>
            </w:r>
          </w:p>
        </w:tc>
        <w:tc>
          <w:tcPr>
            <w:tcW w:w="636" w:type="dxa"/>
          </w:tcPr>
          <w:p>
            <w:pPr>
              <w:pStyle w:val="TableParagraph"/>
              <w:spacing w:before="17"/>
              <w:ind w:right="42"/>
              <w:rPr>
                <w:sz w:val="14"/>
              </w:rPr>
            </w:pPr>
            <w:r>
              <w:rPr>
                <w:color w:val="231F20"/>
                <w:sz w:val="14"/>
              </w:rPr>
              <w:t>840</w:t>
            </w:r>
          </w:p>
        </w:tc>
      </w:tr>
      <w:tr>
        <w:trPr>
          <w:trHeight w:val="200" w:hRule="atLeast"/>
        </w:trPr>
        <w:tc>
          <w:tcPr>
            <w:tcW w:w="2182" w:type="dxa"/>
          </w:tcPr>
          <w:p>
            <w:pPr>
              <w:pStyle w:val="TableParagraph"/>
              <w:spacing w:before="17"/>
              <w:ind w:left="58"/>
              <w:jc w:val="left"/>
              <w:rPr>
                <w:sz w:val="14"/>
              </w:rPr>
            </w:pPr>
            <w:r>
              <w:rPr>
                <w:color w:val="231F20"/>
                <w:sz w:val="14"/>
              </w:rPr>
              <w:t>10. Дубрaвицa</w:t>
            </w:r>
          </w:p>
        </w:tc>
        <w:tc>
          <w:tcPr>
            <w:tcW w:w="635" w:type="dxa"/>
          </w:tcPr>
          <w:p>
            <w:pPr>
              <w:pStyle w:val="TableParagraph"/>
              <w:spacing w:before="17"/>
              <w:ind w:right="42"/>
              <w:rPr>
                <w:sz w:val="14"/>
              </w:rPr>
            </w:pPr>
            <w:r>
              <w:rPr>
                <w:color w:val="231F20"/>
                <w:sz w:val="14"/>
              </w:rPr>
              <w:t>1606</w:t>
            </w:r>
          </w:p>
        </w:tc>
        <w:tc>
          <w:tcPr>
            <w:tcW w:w="636" w:type="dxa"/>
          </w:tcPr>
          <w:p>
            <w:pPr>
              <w:pStyle w:val="TableParagraph"/>
              <w:spacing w:before="17"/>
              <w:ind w:right="42"/>
              <w:rPr>
                <w:sz w:val="14"/>
              </w:rPr>
            </w:pPr>
            <w:r>
              <w:rPr>
                <w:color w:val="231F20"/>
                <w:sz w:val="14"/>
              </w:rPr>
              <w:t>1521</w:t>
            </w:r>
          </w:p>
        </w:tc>
        <w:tc>
          <w:tcPr>
            <w:tcW w:w="636" w:type="dxa"/>
          </w:tcPr>
          <w:p>
            <w:pPr>
              <w:pStyle w:val="TableParagraph"/>
              <w:spacing w:before="17"/>
              <w:ind w:right="42"/>
              <w:rPr>
                <w:sz w:val="14"/>
              </w:rPr>
            </w:pPr>
            <w:r>
              <w:rPr>
                <w:color w:val="231F20"/>
                <w:sz w:val="14"/>
              </w:rPr>
              <w:t>1414</w:t>
            </w:r>
          </w:p>
        </w:tc>
        <w:tc>
          <w:tcPr>
            <w:tcW w:w="636" w:type="dxa"/>
          </w:tcPr>
          <w:p>
            <w:pPr>
              <w:pStyle w:val="TableParagraph"/>
              <w:spacing w:before="17"/>
              <w:ind w:right="42"/>
              <w:rPr>
                <w:sz w:val="14"/>
              </w:rPr>
            </w:pPr>
            <w:r>
              <w:rPr>
                <w:color w:val="231F20"/>
                <w:sz w:val="14"/>
              </w:rPr>
              <w:t>1321</w:t>
            </w:r>
          </w:p>
        </w:tc>
        <w:tc>
          <w:tcPr>
            <w:tcW w:w="636" w:type="dxa"/>
          </w:tcPr>
          <w:p>
            <w:pPr>
              <w:pStyle w:val="TableParagraph"/>
              <w:spacing w:before="17"/>
              <w:ind w:right="42"/>
              <w:rPr>
                <w:sz w:val="14"/>
              </w:rPr>
            </w:pPr>
            <w:r>
              <w:rPr>
                <w:color w:val="231F20"/>
                <w:sz w:val="14"/>
              </w:rPr>
              <w:t>1225</w:t>
            </w:r>
          </w:p>
        </w:tc>
        <w:tc>
          <w:tcPr>
            <w:tcW w:w="741" w:type="dxa"/>
          </w:tcPr>
          <w:p>
            <w:pPr>
              <w:pStyle w:val="TableParagraph"/>
              <w:spacing w:before="17"/>
              <w:ind w:right="42"/>
              <w:rPr>
                <w:sz w:val="14"/>
              </w:rPr>
            </w:pPr>
            <w:r>
              <w:rPr>
                <w:color w:val="231F20"/>
                <w:sz w:val="14"/>
              </w:rPr>
              <w:t>1193</w:t>
            </w:r>
          </w:p>
        </w:tc>
        <w:tc>
          <w:tcPr>
            <w:tcW w:w="878" w:type="dxa"/>
          </w:tcPr>
          <w:p>
            <w:pPr>
              <w:pStyle w:val="TableParagraph"/>
              <w:spacing w:before="17"/>
              <w:ind w:right="42"/>
              <w:rPr>
                <w:sz w:val="14"/>
              </w:rPr>
            </w:pPr>
            <w:r>
              <w:rPr>
                <w:color w:val="231F20"/>
                <w:sz w:val="14"/>
              </w:rPr>
              <w:t>1033</w:t>
            </w:r>
          </w:p>
        </w:tc>
        <w:tc>
          <w:tcPr>
            <w:tcW w:w="955" w:type="dxa"/>
          </w:tcPr>
          <w:p>
            <w:pPr>
              <w:pStyle w:val="TableParagraph"/>
              <w:spacing w:before="17"/>
              <w:ind w:right="42"/>
              <w:rPr>
                <w:sz w:val="14"/>
              </w:rPr>
            </w:pPr>
            <w:r>
              <w:rPr>
                <w:color w:val="231F20"/>
                <w:sz w:val="14"/>
              </w:rPr>
              <w:t>160</w:t>
            </w:r>
          </w:p>
        </w:tc>
        <w:tc>
          <w:tcPr>
            <w:tcW w:w="636" w:type="dxa"/>
          </w:tcPr>
          <w:p>
            <w:pPr>
              <w:pStyle w:val="TableParagraph"/>
              <w:spacing w:before="17"/>
              <w:ind w:right="42"/>
              <w:rPr>
                <w:sz w:val="14"/>
              </w:rPr>
            </w:pPr>
            <w:r>
              <w:rPr>
                <w:color w:val="231F20"/>
                <w:sz w:val="14"/>
              </w:rPr>
              <w:t>1000</w:t>
            </w:r>
          </w:p>
        </w:tc>
        <w:tc>
          <w:tcPr>
            <w:tcW w:w="636" w:type="dxa"/>
          </w:tcPr>
          <w:p>
            <w:pPr>
              <w:pStyle w:val="TableParagraph"/>
              <w:spacing w:before="17"/>
              <w:ind w:right="42"/>
              <w:rPr>
                <w:sz w:val="14"/>
              </w:rPr>
            </w:pPr>
            <w:r>
              <w:rPr>
                <w:color w:val="231F20"/>
                <w:sz w:val="14"/>
              </w:rPr>
              <w:t>950</w:t>
            </w:r>
          </w:p>
        </w:tc>
        <w:tc>
          <w:tcPr>
            <w:tcW w:w="636" w:type="dxa"/>
          </w:tcPr>
          <w:p>
            <w:pPr>
              <w:pStyle w:val="TableParagraph"/>
              <w:spacing w:before="17"/>
              <w:ind w:right="42"/>
              <w:rPr>
                <w:sz w:val="14"/>
              </w:rPr>
            </w:pPr>
            <w:r>
              <w:rPr>
                <w:color w:val="231F20"/>
                <w:sz w:val="14"/>
              </w:rPr>
              <w:t>1050</w:t>
            </w:r>
          </w:p>
        </w:tc>
        <w:tc>
          <w:tcPr>
            <w:tcW w:w="636" w:type="dxa"/>
          </w:tcPr>
          <w:p>
            <w:pPr>
              <w:pStyle w:val="TableParagraph"/>
              <w:spacing w:before="17"/>
              <w:ind w:right="42"/>
              <w:rPr>
                <w:sz w:val="14"/>
              </w:rPr>
            </w:pPr>
            <w:r>
              <w:rPr>
                <w:color w:val="231F20"/>
                <w:sz w:val="14"/>
              </w:rPr>
              <w:t>980</w:t>
            </w:r>
          </w:p>
        </w:tc>
      </w:tr>
      <w:tr>
        <w:trPr>
          <w:trHeight w:val="200" w:hRule="atLeast"/>
        </w:trPr>
        <w:tc>
          <w:tcPr>
            <w:tcW w:w="2182" w:type="dxa"/>
          </w:tcPr>
          <w:p>
            <w:pPr>
              <w:pStyle w:val="TableParagraph"/>
              <w:spacing w:before="17"/>
              <w:ind w:left="58"/>
              <w:jc w:val="left"/>
              <w:rPr>
                <w:sz w:val="14"/>
              </w:rPr>
            </w:pPr>
            <w:r>
              <w:rPr>
                <w:color w:val="231F20"/>
                <w:sz w:val="14"/>
              </w:rPr>
              <w:t>11. Живицa</w:t>
            </w:r>
          </w:p>
        </w:tc>
        <w:tc>
          <w:tcPr>
            <w:tcW w:w="635" w:type="dxa"/>
          </w:tcPr>
          <w:p>
            <w:pPr>
              <w:pStyle w:val="TableParagraph"/>
              <w:spacing w:before="17"/>
              <w:ind w:right="42"/>
              <w:rPr>
                <w:sz w:val="14"/>
              </w:rPr>
            </w:pPr>
            <w:r>
              <w:rPr>
                <w:color w:val="231F20"/>
                <w:sz w:val="14"/>
              </w:rPr>
              <w:t>964</w:t>
            </w:r>
          </w:p>
        </w:tc>
        <w:tc>
          <w:tcPr>
            <w:tcW w:w="636" w:type="dxa"/>
          </w:tcPr>
          <w:p>
            <w:pPr>
              <w:pStyle w:val="TableParagraph"/>
              <w:spacing w:before="17"/>
              <w:ind w:right="42"/>
              <w:rPr>
                <w:sz w:val="14"/>
              </w:rPr>
            </w:pPr>
            <w:r>
              <w:rPr>
                <w:color w:val="231F20"/>
                <w:sz w:val="14"/>
              </w:rPr>
              <w:t>914</w:t>
            </w:r>
          </w:p>
        </w:tc>
        <w:tc>
          <w:tcPr>
            <w:tcW w:w="636" w:type="dxa"/>
          </w:tcPr>
          <w:p>
            <w:pPr>
              <w:pStyle w:val="TableParagraph"/>
              <w:spacing w:before="17"/>
              <w:ind w:right="42"/>
              <w:rPr>
                <w:sz w:val="14"/>
              </w:rPr>
            </w:pPr>
            <w:r>
              <w:rPr>
                <w:color w:val="231F20"/>
                <w:sz w:val="14"/>
              </w:rPr>
              <w:t>867</w:t>
            </w:r>
          </w:p>
        </w:tc>
        <w:tc>
          <w:tcPr>
            <w:tcW w:w="636" w:type="dxa"/>
          </w:tcPr>
          <w:p>
            <w:pPr>
              <w:pStyle w:val="TableParagraph"/>
              <w:spacing w:before="17"/>
              <w:ind w:right="42"/>
              <w:rPr>
                <w:sz w:val="14"/>
              </w:rPr>
            </w:pPr>
            <w:r>
              <w:rPr>
                <w:color w:val="231F20"/>
                <w:sz w:val="14"/>
              </w:rPr>
              <w:t>819</w:t>
            </w:r>
          </w:p>
        </w:tc>
        <w:tc>
          <w:tcPr>
            <w:tcW w:w="636" w:type="dxa"/>
          </w:tcPr>
          <w:p>
            <w:pPr>
              <w:pStyle w:val="TableParagraph"/>
              <w:spacing w:before="17"/>
              <w:ind w:right="42"/>
              <w:rPr>
                <w:sz w:val="14"/>
              </w:rPr>
            </w:pPr>
            <w:r>
              <w:rPr>
                <w:color w:val="231F20"/>
                <w:sz w:val="14"/>
              </w:rPr>
              <w:t>728</w:t>
            </w:r>
          </w:p>
        </w:tc>
        <w:tc>
          <w:tcPr>
            <w:tcW w:w="741" w:type="dxa"/>
          </w:tcPr>
          <w:p>
            <w:pPr>
              <w:pStyle w:val="TableParagraph"/>
              <w:spacing w:before="17"/>
              <w:ind w:right="42"/>
              <w:rPr>
                <w:sz w:val="14"/>
              </w:rPr>
            </w:pPr>
            <w:r>
              <w:rPr>
                <w:color w:val="231F20"/>
                <w:sz w:val="14"/>
              </w:rPr>
              <w:t>749</w:t>
            </w:r>
          </w:p>
        </w:tc>
        <w:tc>
          <w:tcPr>
            <w:tcW w:w="878" w:type="dxa"/>
          </w:tcPr>
          <w:p>
            <w:pPr>
              <w:pStyle w:val="TableParagraph"/>
              <w:spacing w:before="17"/>
              <w:ind w:right="42"/>
              <w:rPr>
                <w:sz w:val="14"/>
              </w:rPr>
            </w:pPr>
            <w:r>
              <w:rPr>
                <w:color w:val="231F20"/>
                <w:sz w:val="14"/>
              </w:rPr>
              <w:t>652</w:t>
            </w:r>
          </w:p>
        </w:tc>
        <w:tc>
          <w:tcPr>
            <w:tcW w:w="955" w:type="dxa"/>
          </w:tcPr>
          <w:p>
            <w:pPr>
              <w:pStyle w:val="TableParagraph"/>
              <w:spacing w:before="17"/>
              <w:ind w:right="42"/>
              <w:rPr>
                <w:sz w:val="14"/>
              </w:rPr>
            </w:pPr>
            <w:r>
              <w:rPr>
                <w:color w:val="231F20"/>
                <w:sz w:val="14"/>
              </w:rPr>
              <w:t>97</w:t>
            </w:r>
          </w:p>
        </w:tc>
        <w:tc>
          <w:tcPr>
            <w:tcW w:w="636" w:type="dxa"/>
          </w:tcPr>
          <w:p>
            <w:pPr>
              <w:pStyle w:val="TableParagraph"/>
              <w:spacing w:before="17"/>
              <w:ind w:right="42"/>
              <w:rPr>
                <w:sz w:val="14"/>
              </w:rPr>
            </w:pPr>
            <w:r>
              <w:rPr>
                <w:color w:val="231F20"/>
                <w:sz w:val="14"/>
              </w:rPr>
              <w:t>630</w:t>
            </w:r>
          </w:p>
        </w:tc>
        <w:tc>
          <w:tcPr>
            <w:tcW w:w="636" w:type="dxa"/>
          </w:tcPr>
          <w:p>
            <w:pPr>
              <w:pStyle w:val="TableParagraph"/>
              <w:spacing w:before="17"/>
              <w:ind w:right="42"/>
              <w:rPr>
                <w:sz w:val="14"/>
              </w:rPr>
            </w:pPr>
            <w:r>
              <w:rPr>
                <w:color w:val="231F20"/>
                <w:sz w:val="14"/>
              </w:rPr>
              <w:t>570</w:t>
            </w:r>
          </w:p>
        </w:tc>
        <w:tc>
          <w:tcPr>
            <w:tcW w:w="636" w:type="dxa"/>
          </w:tcPr>
          <w:p>
            <w:pPr>
              <w:pStyle w:val="TableParagraph"/>
              <w:spacing w:before="17"/>
              <w:ind w:right="42"/>
              <w:rPr>
                <w:sz w:val="14"/>
              </w:rPr>
            </w:pPr>
            <w:r>
              <w:rPr>
                <w:color w:val="231F20"/>
                <w:sz w:val="14"/>
              </w:rPr>
              <w:t>680</w:t>
            </w:r>
          </w:p>
        </w:tc>
        <w:tc>
          <w:tcPr>
            <w:tcW w:w="636" w:type="dxa"/>
          </w:tcPr>
          <w:p>
            <w:pPr>
              <w:pStyle w:val="TableParagraph"/>
              <w:spacing w:before="17"/>
              <w:ind w:right="42"/>
              <w:rPr>
                <w:sz w:val="14"/>
              </w:rPr>
            </w:pPr>
            <w:r>
              <w:rPr>
                <w:color w:val="231F20"/>
                <w:sz w:val="14"/>
              </w:rPr>
              <w:t>620</w:t>
            </w:r>
          </w:p>
        </w:tc>
      </w:tr>
      <w:tr>
        <w:trPr>
          <w:trHeight w:val="200" w:hRule="atLeast"/>
        </w:trPr>
        <w:tc>
          <w:tcPr>
            <w:tcW w:w="2182" w:type="dxa"/>
          </w:tcPr>
          <w:p>
            <w:pPr>
              <w:pStyle w:val="TableParagraph"/>
              <w:spacing w:before="17"/>
              <w:ind w:left="58"/>
              <w:jc w:val="left"/>
              <w:rPr>
                <w:sz w:val="14"/>
              </w:rPr>
            </w:pPr>
            <w:r>
              <w:rPr>
                <w:color w:val="231F20"/>
                <w:sz w:val="14"/>
              </w:rPr>
              <w:t>12. Кaсидoл</w:t>
            </w:r>
          </w:p>
        </w:tc>
        <w:tc>
          <w:tcPr>
            <w:tcW w:w="635" w:type="dxa"/>
          </w:tcPr>
          <w:p>
            <w:pPr>
              <w:pStyle w:val="TableParagraph"/>
              <w:spacing w:before="17"/>
              <w:ind w:right="42"/>
              <w:rPr>
                <w:sz w:val="14"/>
              </w:rPr>
            </w:pPr>
            <w:r>
              <w:rPr>
                <w:color w:val="231F20"/>
                <w:sz w:val="14"/>
              </w:rPr>
              <w:t>1227</w:t>
            </w:r>
          </w:p>
        </w:tc>
        <w:tc>
          <w:tcPr>
            <w:tcW w:w="636" w:type="dxa"/>
          </w:tcPr>
          <w:p>
            <w:pPr>
              <w:pStyle w:val="TableParagraph"/>
              <w:spacing w:before="17"/>
              <w:ind w:right="42"/>
              <w:rPr>
                <w:sz w:val="14"/>
              </w:rPr>
            </w:pPr>
            <w:r>
              <w:rPr>
                <w:color w:val="231F20"/>
                <w:sz w:val="14"/>
              </w:rPr>
              <w:t>1144</w:t>
            </w:r>
          </w:p>
        </w:tc>
        <w:tc>
          <w:tcPr>
            <w:tcW w:w="636" w:type="dxa"/>
          </w:tcPr>
          <w:p>
            <w:pPr>
              <w:pStyle w:val="TableParagraph"/>
              <w:spacing w:before="17"/>
              <w:ind w:right="42"/>
              <w:rPr>
                <w:sz w:val="14"/>
              </w:rPr>
            </w:pPr>
            <w:r>
              <w:rPr>
                <w:color w:val="231F20"/>
                <w:sz w:val="14"/>
              </w:rPr>
              <w:t>1064</w:t>
            </w:r>
          </w:p>
        </w:tc>
        <w:tc>
          <w:tcPr>
            <w:tcW w:w="636" w:type="dxa"/>
          </w:tcPr>
          <w:p>
            <w:pPr>
              <w:pStyle w:val="TableParagraph"/>
              <w:spacing w:before="17"/>
              <w:ind w:right="42"/>
              <w:rPr>
                <w:sz w:val="14"/>
              </w:rPr>
            </w:pPr>
            <w:r>
              <w:rPr>
                <w:color w:val="231F20"/>
                <w:sz w:val="14"/>
              </w:rPr>
              <w:t>927</w:t>
            </w:r>
          </w:p>
        </w:tc>
        <w:tc>
          <w:tcPr>
            <w:tcW w:w="636" w:type="dxa"/>
          </w:tcPr>
          <w:p>
            <w:pPr>
              <w:pStyle w:val="TableParagraph"/>
              <w:spacing w:before="17"/>
              <w:ind w:right="42"/>
              <w:rPr>
                <w:sz w:val="14"/>
              </w:rPr>
            </w:pPr>
            <w:r>
              <w:rPr>
                <w:color w:val="231F20"/>
                <w:sz w:val="14"/>
              </w:rPr>
              <w:t>744</w:t>
            </w:r>
          </w:p>
        </w:tc>
        <w:tc>
          <w:tcPr>
            <w:tcW w:w="741" w:type="dxa"/>
          </w:tcPr>
          <w:p>
            <w:pPr>
              <w:pStyle w:val="TableParagraph"/>
              <w:spacing w:before="17"/>
              <w:ind w:right="42"/>
              <w:rPr>
                <w:sz w:val="14"/>
              </w:rPr>
            </w:pPr>
            <w:r>
              <w:rPr>
                <w:color w:val="231F20"/>
                <w:sz w:val="14"/>
              </w:rPr>
              <w:t>899</w:t>
            </w:r>
          </w:p>
        </w:tc>
        <w:tc>
          <w:tcPr>
            <w:tcW w:w="878" w:type="dxa"/>
          </w:tcPr>
          <w:p>
            <w:pPr>
              <w:pStyle w:val="TableParagraph"/>
              <w:spacing w:before="17"/>
              <w:ind w:right="42"/>
              <w:rPr>
                <w:sz w:val="14"/>
              </w:rPr>
            </w:pPr>
            <w:r>
              <w:rPr>
                <w:color w:val="231F20"/>
                <w:sz w:val="14"/>
              </w:rPr>
              <w:t>563</w:t>
            </w:r>
          </w:p>
        </w:tc>
        <w:tc>
          <w:tcPr>
            <w:tcW w:w="955" w:type="dxa"/>
          </w:tcPr>
          <w:p>
            <w:pPr>
              <w:pStyle w:val="TableParagraph"/>
              <w:spacing w:before="17"/>
              <w:ind w:right="42"/>
              <w:rPr>
                <w:sz w:val="14"/>
              </w:rPr>
            </w:pPr>
            <w:r>
              <w:rPr>
                <w:color w:val="231F20"/>
                <w:sz w:val="14"/>
              </w:rPr>
              <w:t>336</w:t>
            </w:r>
          </w:p>
        </w:tc>
        <w:tc>
          <w:tcPr>
            <w:tcW w:w="636" w:type="dxa"/>
          </w:tcPr>
          <w:p>
            <w:pPr>
              <w:pStyle w:val="TableParagraph"/>
              <w:spacing w:before="17"/>
              <w:ind w:right="42"/>
              <w:rPr>
                <w:sz w:val="14"/>
              </w:rPr>
            </w:pPr>
            <w:r>
              <w:rPr>
                <w:color w:val="231F20"/>
                <w:sz w:val="14"/>
              </w:rPr>
              <w:t>520</w:t>
            </w:r>
          </w:p>
        </w:tc>
        <w:tc>
          <w:tcPr>
            <w:tcW w:w="636" w:type="dxa"/>
          </w:tcPr>
          <w:p>
            <w:pPr>
              <w:pStyle w:val="TableParagraph"/>
              <w:spacing w:before="17"/>
              <w:ind w:right="42"/>
              <w:rPr>
                <w:sz w:val="14"/>
              </w:rPr>
            </w:pPr>
            <w:r>
              <w:rPr>
                <w:color w:val="231F20"/>
                <w:sz w:val="14"/>
              </w:rPr>
              <w:t>470</w:t>
            </w:r>
          </w:p>
        </w:tc>
        <w:tc>
          <w:tcPr>
            <w:tcW w:w="636" w:type="dxa"/>
          </w:tcPr>
          <w:p>
            <w:pPr>
              <w:pStyle w:val="TableParagraph"/>
              <w:spacing w:before="17"/>
              <w:ind w:right="42"/>
              <w:rPr>
                <w:sz w:val="14"/>
              </w:rPr>
            </w:pPr>
            <w:r>
              <w:rPr>
                <w:color w:val="231F20"/>
                <w:sz w:val="14"/>
              </w:rPr>
              <w:t>600</w:t>
            </w:r>
          </w:p>
        </w:tc>
        <w:tc>
          <w:tcPr>
            <w:tcW w:w="636" w:type="dxa"/>
          </w:tcPr>
          <w:p>
            <w:pPr>
              <w:pStyle w:val="TableParagraph"/>
              <w:spacing w:before="17"/>
              <w:ind w:right="42"/>
              <w:rPr>
                <w:sz w:val="14"/>
              </w:rPr>
            </w:pPr>
            <w:r>
              <w:rPr>
                <w:color w:val="231F20"/>
                <w:sz w:val="14"/>
              </w:rPr>
              <w:t>550</w:t>
            </w:r>
          </w:p>
        </w:tc>
      </w:tr>
      <w:tr>
        <w:trPr>
          <w:trHeight w:val="200" w:hRule="atLeast"/>
        </w:trPr>
        <w:tc>
          <w:tcPr>
            <w:tcW w:w="2182" w:type="dxa"/>
          </w:tcPr>
          <w:p>
            <w:pPr>
              <w:pStyle w:val="TableParagraph"/>
              <w:spacing w:before="17"/>
              <w:ind w:left="59"/>
              <w:jc w:val="left"/>
              <w:rPr>
                <w:sz w:val="14"/>
              </w:rPr>
            </w:pPr>
            <w:r>
              <w:rPr>
                <w:color w:val="231F20"/>
                <w:sz w:val="14"/>
              </w:rPr>
              <w:t>13. Клeнoвник</w:t>
            </w:r>
          </w:p>
        </w:tc>
        <w:tc>
          <w:tcPr>
            <w:tcW w:w="635" w:type="dxa"/>
          </w:tcPr>
          <w:p>
            <w:pPr>
              <w:pStyle w:val="TableParagraph"/>
              <w:spacing w:before="17"/>
              <w:ind w:right="42"/>
              <w:rPr>
                <w:sz w:val="14"/>
              </w:rPr>
            </w:pPr>
            <w:r>
              <w:rPr>
                <w:color w:val="231F20"/>
                <w:sz w:val="14"/>
              </w:rPr>
              <w:t>1163</w:t>
            </w:r>
          </w:p>
        </w:tc>
        <w:tc>
          <w:tcPr>
            <w:tcW w:w="636" w:type="dxa"/>
          </w:tcPr>
          <w:p>
            <w:pPr>
              <w:pStyle w:val="TableParagraph"/>
              <w:spacing w:before="17"/>
              <w:ind w:right="42"/>
              <w:rPr>
                <w:sz w:val="14"/>
              </w:rPr>
            </w:pPr>
            <w:r>
              <w:rPr>
                <w:color w:val="231F20"/>
                <w:sz w:val="14"/>
              </w:rPr>
              <w:t>1024</w:t>
            </w:r>
          </w:p>
        </w:tc>
        <w:tc>
          <w:tcPr>
            <w:tcW w:w="636" w:type="dxa"/>
          </w:tcPr>
          <w:p>
            <w:pPr>
              <w:pStyle w:val="TableParagraph"/>
              <w:spacing w:before="17"/>
              <w:ind w:right="42"/>
              <w:rPr>
                <w:sz w:val="14"/>
              </w:rPr>
            </w:pPr>
            <w:r>
              <w:rPr>
                <w:color w:val="231F20"/>
                <w:sz w:val="14"/>
              </w:rPr>
              <w:t>978</w:t>
            </w:r>
          </w:p>
        </w:tc>
        <w:tc>
          <w:tcPr>
            <w:tcW w:w="636" w:type="dxa"/>
          </w:tcPr>
          <w:p>
            <w:pPr>
              <w:pStyle w:val="TableParagraph"/>
              <w:spacing w:before="17"/>
              <w:ind w:right="42"/>
              <w:rPr>
                <w:sz w:val="14"/>
              </w:rPr>
            </w:pPr>
            <w:r>
              <w:rPr>
                <w:color w:val="231F20"/>
                <w:sz w:val="14"/>
              </w:rPr>
              <w:t>969</w:t>
            </w:r>
          </w:p>
        </w:tc>
        <w:tc>
          <w:tcPr>
            <w:tcW w:w="636" w:type="dxa"/>
          </w:tcPr>
          <w:p>
            <w:pPr>
              <w:pStyle w:val="TableParagraph"/>
              <w:spacing w:before="17"/>
              <w:ind w:right="42"/>
              <w:rPr>
                <w:sz w:val="14"/>
              </w:rPr>
            </w:pPr>
            <w:r>
              <w:rPr>
                <w:color w:val="231F20"/>
                <w:sz w:val="14"/>
              </w:rPr>
              <w:t>904</w:t>
            </w:r>
          </w:p>
        </w:tc>
        <w:tc>
          <w:tcPr>
            <w:tcW w:w="741" w:type="dxa"/>
          </w:tcPr>
          <w:p>
            <w:pPr>
              <w:pStyle w:val="TableParagraph"/>
              <w:spacing w:before="17"/>
              <w:ind w:right="42"/>
              <w:rPr>
                <w:sz w:val="14"/>
              </w:rPr>
            </w:pPr>
            <w:r>
              <w:rPr>
                <w:color w:val="231F20"/>
                <w:sz w:val="14"/>
              </w:rPr>
              <w:t>1126</w:t>
            </w:r>
          </w:p>
        </w:tc>
        <w:tc>
          <w:tcPr>
            <w:tcW w:w="878" w:type="dxa"/>
          </w:tcPr>
          <w:p>
            <w:pPr>
              <w:pStyle w:val="TableParagraph"/>
              <w:spacing w:before="17"/>
              <w:ind w:right="42"/>
              <w:rPr>
                <w:sz w:val="14"/>
              </w:rPr>
            </w:pPr>
            <w:r>
              <w:rPr>
                <w:color w:val="231F20"/>
                <w:sz w:val="14"/>
              </w:rPr>
              <w:t>1027</w:t>
            </w:r>
          </w:p>
        </w:tc>
        <w:tc>
          <w:tcPr>
            <w:tcW w:w="955" w:type="dxa"/>
          </w:tcPr>
          <w:p>
            <w:pPr>
              <w:pStyle w:val="TableParagraph"/>
              <w:spacing w:before="17"/>
              <w:ind w:right="42"/>
              <w:rPr>
                <w:sz w:val="14"/>
              </w:rPr>
            </w:pPr>
            <w:r>
              <w:rPr>
                <w:color w:val="231F20"/>
                <w:sz w:val="14"/>
              </w:rPr>
              <w:t>98</w:t>
            </w:r>
          </w:p>
        </w:tc>
        <w:tc>
          <w:tcPr>
            <w:tcW w:w="636" w:type="dxa"/>
          </w:tcPr>
          <w:p>
            <w:pPr>
              <w:pStyle w:val="TableParagraph"/>
              <w:spacing w:before="17"/>
              <w:ind w:right="42"/>
              <w:rPr>
                <w:sz w:val="14"/>
              </w:rPr>
            </w:pPr>
            <w:r>
              <w:rPr>
                <w:color w:val="231F20"/>
                <w:sz w:val="14"/>
              </w:rPr>
              <w:t>990</w:t>
            </w:r>
          </w:p>
        </w:tc>
        <w:tc>
          <w:tcPr>
            <w:tcW w:w="636" w:type="dxa"/>
          </w:tcPr>
          <w:p>
            <w:pPr>
              <w:pStyle w:val="TableParagraph"/>
              <w:spacing w:before="17"/>
              <w:ind w:right="42"/>
              <w:rPr>
                <w:sz w:val="14"/>
              </w:rPr>
            </w:pPr>
            <w:r>
              <w:rPr>
                <w:color w:val="231F20"/>
                <w:sz w:val="14"/>
              </w:rPr>
              <w:t>940</w:t>
            </w:r>
          </w:p>
        </w:tc>
        <w:tc>
          <w:tcPr>
            <w:tcW w:w="636" w:type="dxa"/>
          </w:tcPr>
          <w:p>
            <w:pPr>
              <w:pStyle w:val="TableParagraph"/>
              <w:spacing w:before="17"/>
              <w:ind w:right="42"/>
              <w:rPr>
                <w:sz w:val="14"/>
              </w:rPr>
            </w:pPr>
            <w:r>
              <w:rPr>
                <w:color w:val="231F20"/>
                <w:sz w:val="14"/>
              </w:rPr>
              <w:t>1000</w:t>
            </w:r>
          </w:p>
        </w:tc>
        <w:tc>
          <w:tcPr>
            <w:tcW w:w="636" w:type="dxa"/>
          </w:tcPr>
          <w:p>
            <w:pPr>
              <w:pStyle w:val="TableParagraph"/>
              <w:spacing w:before="17"/>
              <w:ind w:right="42"/>
              <w:rPr>
                <w:sz w:val="14"/>
              </w:rPr>
            </w:pPr>
            <w:r>
              <w:rPr>
                <w:color w:val="231F20"/>
                <w:sz w:val="14"/>
              </w:rPr>
              <w:t>950</w:t>
            </w:r>
          </w:p>
        </w:tc>
      </w:tr>
      <w:tr>
        <w:trPr>
          <w:trHeight w:val="200" w:hRule="atLeast"/>
        </w:trPr>
        <w:tc>
          <w:tcPr>
            <w:tcW w:w="2182" w:type="dxa"/>
          </w:tcPr>
          <w:p>
            <w:pPr>
              <w:pStyle w:val="TableParagraph"/>
              <w:spacing w:before="17"/>
              <w:ind w:left="59"/>
              <w:jc w:val="left"/>
              <w:rPr>
                <w:sz w:val="14"/>
              </w:rPr>
            </w:pPr>
            <w:r>
              <w:rPr>
                <w:color w:val="231F20"/>
                <w:sz w:val="14"/>
              </w:rPr>
              <w:t>14. Кличeвaц</w:t>
            </w:r>
          </w:p>
        </w:tc>
        <w:tc>
          <w:tcPr>
            <w:tcW w:w="635" w:type="dxa"/>
          </w:tcPr>
          <w:p>
            <w:pPr>
              <w:pStyle w:val="TableParagraph"/>
              <w:spacing w:before="17"/>
              <w:ind w:right="42"/>
              <w:rPr>
                <w:sz w:val="14"/>
              </w:rPr>
            </w:pPr>
            <w:r>
              <w:rPr>
                <w:color w:val="231F20"/>
                <w:sz w:val="14"/>
              </w:rPr>
              <w:t>2242</w:t>
            </w:r>
          </w:p>
        </w:tc>
        <w:tc>
          <w:tcPr>
            <w:tcW w:w="636" w:type="dxa"/>
          </w:tcPr>
          <w:p>
            <w:pPr>
              <w:pStyle w:val="TableParagraph"/>
              <w:spacing w:before="17"/>
              <w:ind w:right="42"/>
              <w:rPr>
                <w:sz w:val="14"/>
              </w:rPr>
            </w:pPr>
            <w:r>
              <w:rPr>
                <w:color w:val="231F20"/>
                <w:sz w:val="14"/>
              </w:rPr>
              <w:t>2084</w:t>
            </w:r>
          </w:p>
        </w:tc>
        <w:tc>
          <w:tcPr>
            <w:tcW w:w="636" w:type="dxa"/>
          </w:tcPr>
          <w:p>
            <w:pPr>
              <w:pStyle w:val="TableParagraph"/>
              <w:spacing w:before="17"/>
              <w:ind w:right="42"/>
              <w:rPr>
                <w:sz w:val="14"/>
              </w:rPr>
            </w:pPr>
            <w:r>
              <w:rPr>
                <w:color w:val="231F20"/>
                <w:sz w:val="14"/>
              </w:rPr>
              <w:t>1832</w:t>
            </w:r>
          </w:p>
        </w:tc>
        <w:tc>
          <w:tcPr>
            <w:tcW w:w="636" w:type="dxa"/>
          </w:tcPr>
          <w:p>
            <w:pPr>
              <w:pStyle w:val="TableParagraph"/>
              <w:spacing w:before="17"/>
              <w:ind w:right="42"/>
              <w:rPr>
                <w:sz w:val="14"/>
              </w:rPr>
            </w:pPr>
            <w:r>
              <w:rPr>
                <w:color w:val="231F20"/>
                <w:sz w:val="14"/>
              </w:rPr>
              <w:t>1717</w:t>
            </w:r>
          </w:p>
        </w:tc>
        <w:tc>
          <w:tcPr>
            <w:tcW w:w="636" w:type="dxa"/>
          </w:tcPr>
          <w:p>
            <w:pPr>
              <w:pStyle w:val="TableParagraph"/>
              <w:spacing w:before="17"/>
              <w:ind w:right="42"/>
              <w:rPr>
                <w:sz w:val="14"/>
              </w:rPr>
            </w:pPr>
            <w:r>
              <w:rPr>
                <w:color w:val="231F20"/>
                <w:sz w:val="14"/>
              </w:rPr>
              <w:t>1329</w:t>
            </w:r>
          </w:p>
        </w:tc>
        <w:tc>
          <w:tcPr>
            <w:tcW w:w="741" w:type="dxa"/>
          </w:tcPr>
          <w:p>
            <w:pPr>
              <w:pStyle w:val="TableParagraph"/>
              <w:spacing w:before="17"/>
              <w:ind w:right="42"/>
              <w:rPr>
                <w:sz w:val="14"/>
              </w:rPr>
            </w:pPr>
            <w:r>
              <w:rPr>
                <w:color w:val="231F20"/>
                <w:sz w:val="14"/>
              </w:rPr>
              <w:t>1586</w:t>
            </w:r>
          </w:p>
        </w:tc>
        <w:tc>
          <w:tcPr>
            <w:tcW w:w="878" w:type="dxa"/>
          </w:tcPr>
          <w:p>
            <w:pPr>
              <w:pStyle w:val="TableParagraph"/>
              <w:spacing w:before="17"/>
              <w:ind w:right="42"/>
              <w:rPr>
                <w:sz w:val="14"/>
              </w:rPr>
            </w:pPr>
            <w:r>
              <w:rPr>
                <w:color w:val="231F20"/>
                <w:sz w:val="14"/>
              </w:rPr>
              <w:t>1075</w:t>
            </w:r>
          </w:p>
        </w:tc>
        <w:tc>
          <w:tcPr>
            <w:tcW w:w="955" w:type="dxa"/>
          </w:tcPr>
          <w:p>
            <w:pPr>
              <w:pStyle w:val="TableParagraph"/>
              <w:spacing w:before="17"/>
              <w:ind w:right="42"/>
              <w:rPr>
                <w:sz w:val="14"/>
              </w:rPr>
            </w:pPr>
            <w:r>
              <w:rPr>
                <w:color w:val="231F20"/>
                <w:sz w:val="14"/>
              </w:rPr>
              <w:t>508</w:t>
            </w:r>
          </w:p>
        </w:tc>
        <w:tc>
          <w:tcPr>
            <w:tcW w:w="636" w:type="dxa"/>
          </w:tcPr>
          <w:p>
            <w:pPr>
              <w:pStyle w:val="TableParagraph"/>
              <w:spacing w:before="17"/>
              <w:ind w:right="42"/>
              <w:rPr>
                <w:sz w:val="14"/>
              </w:rPr>
            </w:pPr>
            <w:r>
              <w:rPr>
                <w:color w:val="231F20"/>
                <w:sz w:val="14"/>
              </w:rPr>
              <w:t>1020</w:t>
            </w:r>
          </w:p>
        </w:tc>
        <w:tc>
          <w:tcPr>
            <w:tcW w:w="636" w:type="dxa"/>
          </w:tcPr>
          <w:p>
            <w:pPr>
              <w:pStyle w:val="TableParagraph"/>
              <w:spacing w:before="17"/>
              <w:ind w:right="42"/>
              <w:rPr>
                <w:sz w:val="14"/>
              </w:rPr>
            </w:pPr>
            <w:r>
              <w:rPr>
                <w:color w:val="231F20"/>
                <w:sz w:val="14"/>
              </w:rPr>
              <w:t>960</w:t>
            </w:r>
          </w:p>
        </w:tc>
        <w:tc>
          <w:tcPr>
            <w:tcW w:w="636" w:type="dxa"/>
          </w:tcPr>
          <w:p>
            <w:pPr>
              <w:pStyle w:val="TableParagraph"/>
              <w:spacing w:before="17"/>
              <w:ind w:right="42"/>
              <w:rPr>
                <w:sz w:val="14"/>
              </w:rPr>
            </w:pPr>
            <w:r>
              <w:rPr>
                <w:color w:val="231F20"/>
                <w:sz w:val="14"/>
              </w:rPr>
              <w:t>1150</w:t>
            </w:r>
          </w:p>
        </w:tc>
        <w:tc>
          <w:tcPr>
            <w:tcW w:w="636" w:type="dxa"/>
          </w:tcPr>
          <w:p>
            <w:pPr>
              <w:pStyle w:val="TableParagraph"/>
              <w:spacing w:before="17"/>
              <w:ind w:right="42"/>
              <w:rPr>
                <w:sz w:val="14"/>
              </w:rPr>
            </w:pPr>
            <w:r>
              <w:rPr>
                <w:color w:val="231F20"/>
                <w:sz w:val="14"/>
              </w:rPr>
              <w:t>1110</w:t>
            </w:r>
          </w:p>
        </w:tc>
      </w:tr>
      <w:tr>
        <w:trPr>
          <w:trHeight w:val="200" w:hRule="atLeast"/>
        </w:trPr>
        <w:tc>
          <w:tcPr>
            <w:tcW w:w="2182" w:type="dxa"/>
          </w:tcPr>
          <w:p>
            <w:pPr>
              <w:pStyle w:val="TableParagraph"/>
              <w:spacing w:before="17"/>
              <w:ind w:left="59"/>
              <w:jc w:val="left"/>
              <w:rPr>
                <w:sz w:val="14"/>
              </w:rPr>
            </w:pPr>
            <w:r>
              <w:rPr>
                <w:color w:val="231F20"/>
                <w:sz w:val="14"/>
              </w:rPr>
              <w:t>15. Кoстoлaц</w:t>
            </w:r>
          </w:p>
        </w:tc>
        <w:tc>
          <w:tcPr>
            <w:tcW w:w="635" w:type="dxa"/>
          </w:tcPr>
          <w:p>
            <w:pPr>
              <w:pStyle w:val="TableParagraph"/>
              <w:spacing w:before="17"/>
              <w:ind w:right="42"/>
              <w:rPr>
                <w:sz w:val="14"/>
              </w:rPr>
            </w:pPr>
            <w:r>
              <w:rPr>
                <w:color w:val="231F20"/>
                <w:sz w:val="14"/>
              </w:rPr>
              <w:t>8646</w:t>
            </w:r>
          </w:p>
        </w:tc>
        <w:tc>
          <w:tcPr>
            <w:tcW w:w="636" w:type="dxa"/>
          </w:tcPr>
          <w:p>
            <w:pPr>
              <w:pStyle w:val="TableParagraph"/>
              <w:spacing w:before="17"/>
              <w:ind w:right="42"/>
              <w:rPr>
                <w:sz w:val="14"/>
              </w:rPr>
            </w:pPr>
            <w:r>
              <w:rPr>
                <w:color w:val="231F20"/>
                <w:sz w:val="14"/>
              </w:rPr>
              <w:t>10365</w:t>
            </w:r>
          </w:p>
        </w:tc>
        <w:tc>
          <w:tcPr>
            <w:tcW w:w="636" w:type="dxa"/>
          </w:tcPr>
          <w:p>
            <w:pPr>
              <w:pStyle w:val="TableParagraph"/>
              <w:spacing w:before="17"/>
              <w:ind w:right="42"/>
              <w:rPr>
                <w:sz w:val="14"/>
              </w:rPr>
            </w:pPr>
            <w:r>
              <w:rPr>
                <w:color w:val="231F20"/>
                <w:sz w:val="14"/>
              </w:rPr>
              <w:t>9631</w:t>
            </w:r>
          </w:p>
        </w:tc>
        <w:tc>
          <w:tcPr>
            <w:tcW w:w="636" w:type="dxa"/>
          </w:tcPr>
          <w:p>
            <w:pPr>
              <w:pStyle w:val="TableParagraph"/>
              <w:spacing w:before="17"/>
              <w:ind w:right="42"/>
              <w:rPr>
                <w:sz w:val="14"/>
              </w:rPr>
            </w:pPr>
            <w:r>
              <w:rPr>
                <w:color w:val="231F20"/>
                <w:sz w:val="14"/>
              </w:rPr>
              <w:t>9993</w:t>
            </w:r>
          </w:p>
        </w:tc>
        <w:tc>
          <w:tcPr>
            <w:tcW w:w="636" w:type="dxa"/>
          </w:tcPr>
          <w:p>
            <w:pPr>
              <w:pStyle w:val="TableParagraph"/>
              <w:spacing w:before="17"/>
              <w:ind w:right="42"/>
              <w:rPr>
                <w:sz w:val="14"/>
              </w:rPr>
            </w:pPr>
            <w:r>
              <w:rPr>
                <w:color w:val="231F20"/>
                <w:sz w:val="14"/>
              </w:rPr>
              <w:t>9313</w:t>
            </w:r>
          </w:p>
        </w:tc>
        <w:tc>
          <w:tcPr>
            <w:tcW w:w="741" w:type="dxa"/>
          </w:tcPr>
          <w:p>
            <w:pPr>
              <w:pStyle w:val="TableParagraph"/>
              <w:spacing w:before="17"/>
              <w:ind w:right="42"/>
              <w:rPr>
                <w:sz w:val="14"/>
              </w:rPr>
            </w:pPr>
            <w:r>
              <w:rPr>
                <w:color w:val="231F20"/>
                <w:sz w:val="14"/>
              </w:rPr>
              <w:t>9779</w:t>
            </w:r>
          </w:p>
        </w:tc>
        <w:tc>
          <w:tcPr>
            <w:tcW w:w="878" w:type="dxa"/>
          </w:tcPr>
          <w:p>
            <w:pPr>
              <w:pStyle w:val="TableParagraph"/>
              <w:spacing w:before="17"/>
              <w:ind w:right="42"/>
              <w:rPr>
                <w:sz w:val="14"/>
              </w:rPr>
            </w:pPr>
            <w:r>
              <w:rPr>
                <w:color w:val="231F20"/>
                <w:sz w:val="14"/>
              </w:rPr>
              <w:t>9264</w:t>
            </w:r>
          </w:p>
        </w:tc>
        <w:tc>
          <w:tcPr>
            <w:tcW w:w="955" w:type="dxa"/>
          </w:tcPr>
          <w:p>
            <w:pPr>
              <w:pStyle w:val="TableParagraph"/>
              <w:spacing w:before="17"/>
              <w:ind w:right="42"/>
              <w:rPr>
                <w:sz w:val="14"/>
              </w:rPr>
            </w:pPr>
            <w:r>
              <w:rPr>
                <w:color w:val="231F20"/>
                <w:sz w:val="14"/>
              </w:rPr>
              <w:t>321</w:t>
            </w:r>
          </w:p>
        </w:tc>
        <w:tc>
          <w:tcPr>
            <w:tcW w:w="636" w:type="dxa"/>
          </w:tcPr>
          <w:p>
            <w:pPr>
              <w:pStyle w:val="TableParagraph"/>
              <w:spacing w:before="17"/>
              <w:ind w:right="42"/>
              <w:rPr>
                <w:sz w:val="14"/>
              </w:rPr>
            </w:pPr>
            <w:r>
              <w:rPr>
                <w:color w:val="231F20"/>
                <w:sz w:val="14"/>
              </w:rPr>
              <w:t>9780</w:t>
            </w:r>
          </w:p>
        </w:tc>
        <w:tc>
          <w:tcPr>
            <w:tcW w:w="636" w:type="dxa"/>
          </w:tcPr>
          <w:p>
            <w:pPr>
              <w:pStyle w:val="TableParagraph"/>
              <w:spacing w:before="17"/>
              <w:ind w:right="42"/>
              <w:rPr>
                <w:sz w:val="14"/>
              </w:rPr>
            </w:pPr>
            <w:r>
              <w:rPr>
                <w:color w:val="231F20"/>
                <w:sz w:val="14"/>
              </w:rPr>
              <w:t>9950</w:t>
            </w:r>
          </w:p>
        </w:tc>
        <w:tc>
          <w:tcPr>
            <w:tcW w:w="636" w:type="dxa"/>
          </w:tcPr>
          <w:p>
            <w:pPr>
              <w:pStyle w:val="TableParagraph"/>
              <w:spacing w:before="17"/>
              <w:ind w:right="42"/>
              <w:rPr>
                <w:sz w:val="14"/>
              </w:rPr>
            </w:pPr>
            <w:r>
              <w:rPr>
                <w:color w:val="231F20"/>
                <w:sz w:val="14"/>
              </w:rPr>
              <w:t>9950</w:t>
            </w:r>
          </w:p>
        </w:tc>
        <w:tc>
          <w:tcPr>
            <w:tcW w:w="636" w:type="dxa"/>
          </w:tcPr>
          <w:p>
            <w:pPr>
              <w:pStyle w:val="TableParagraph"/>
              <w:spacing w:before="17"/>
              <w:ind w:right="42"/>
              <w:rPr>
                <w:sz w:val="14"/>
              </w:rPr>
            </w:pPr>
            <w:r>
              <w:rPr>
                <w:color w:val="231F20"/>
                <w:sz w:val="14"/>
              </w:rPr>
              <w:t>10130</w:t>
            </w:r>
          </w:p>
        </w:tc>
      </w:tr>
      <w:tr>
        <w:trPr>
          <w:trHeight w:val="200" w:hRule="atLeast"/>
        </w:trPr>
        <w:tc>
          <w:tcPr>
            <w:tcW w:w="2182" w:type="dxa"/>
          </w:tcPr>
          <w:p>
            <w:pPr>
              <w:pStyle w:val="TableParagraph"/>
              <w:spacing w:before="17"/>
              <w:ind w:left="59"/>
              <w:jc w:val="left"/>
              <w:rPr>
                <w:sz w:val="14"/>
              </w:rPr>
            </w:pPr>
            <w:r>
              <w:rPr>
                <w:color w:val="231F20"/>
                <w:sz w:val="14"/>
              </w:rPr>
              <w:t>16. Лучицa</w:t>
            </w:r>
          </w:p>
        </w:tc>
        <w:tc>
          <w:tcPr>
            <w:tcW w:w="635" w:type="dxa"/>
          </w:tcPr>
          <w:p>
            <w:pPr>
              <w:pStyle w:val="TableParagraph"/>
              <w:spacing w:before="17"/>
              <w:ind w:right="42"/>
              <w:rPr>
                <w:sz w:val="14"/>
              </w:rPr>
            </w:pPr>
            <w:r>
              <w:rPr>
                <w:color w:val="231F20"/>
                <w:sz w:val="14"/>
              </w:rPr>
              <w:t>2798</w:t>
            </w:r>
          </w:p>
        </w:tc>
        <w:tc>
          <w:tcPr>
            <w:tcW w:w="636" w:type="dxa"/>
          </w:tcPr>
          <w:p>
            <w:pPr>
              <w:pStyle w:val="TableParagraph"/>
              <w:spacing w:before="17"/>
              <w:ind w:right="42"/>
              <w:rPr>
                <w:sz w:val="14"/>
              </w:rPr>
            </w:pPr>
            <w:r>
              <w:rPr>
                <w:color w:val="231F20"/>
                <w:sz w:val="14"/>
              </w:rPr>
              <w:t>2779</w:t>
            </w:r>
          </w:p>
        </w:tc>
        <w:tc>
          <w:tcPr>
            <w:tcW w:w="636" w:type="dxa"/>
          </w:tcPr>
          <w:p>
            <w:pPr>
              <w:pStyle w:val="TableParagraph"/>
              <w:spacing w:before="17"/>
              <w:ind w:right="42"/>
              <w:rPr>
                <w:sz w:val="14"/>
              </w:rPr>
            </w:pPr>
            <w:r>
              <w:rPr>
                <w:color w:val="231F20"/>
                <w:sz w:val="14"/>
              </w:rPr>
              <w:t>2400</w:t>
            </w:r>
          </w:p>
        </w:tc>
        <w:tc>
          <w:tcPr>
            <w:tcW w:w="636" w:type="dxa"/>
          </w:tcPr>
          <w:p>
            <w:pPr>
              <w:pStyle w:val="TableParagraph"/>
              <w:spacing w:before="17"/>
              <w:ind w:right="42"/>
              <w:rPr>
                <w:sz w:val="14"/>
              </w:rPr>
            </w:pPr>
            <w:r>
              <w:rPr>
                <w:color w:val="231F20"/>
                <w:sz w:val="14"/>
              </w:rPr>
              <w:t>2571</w:t>
            </w:r>
          </w:p>
        </w:tc>
        <w:tc>
          <w:tcPr>
            <w:tcW w:w="636" w:type="dxa"/>
          </w:tcPr>
          <w:p>
            <w:pPr>
              <w:pStyle w:val="TableParagraph"/>
              <w:spacing w:before="17"/>
              <w:ind w:right="42"/>
              <w:rPr>
                <w:sz w:val="14"/>
              </w:rPr>
            </w:pPr>
            <w:r>
              <w:rPr>
                <w:color w:val="231F20"/>
                <w:sz w:val="14"/>
              </w:rPr>
              <w:t>2192</w:t>
            </w:r>
          </w:p>
        </w:tc>
        <w:tc>
          <w:tcPr>
            <w:tcW w:w="741" w:type="dxa"/>
          </w:tcPr>
          <w:p>
            <w:pPr>
              <w:pStyle w:val="TableParagraph"/>
              <w:spacing w:before="17"/>
              <w:ind w:right="42"/>
              <w:rPr>
                <w:sz w:val="14"/>
              </w:rPr>
            </w:pPr>
            <w:r>
              <w:rPr>
                <w:color w:val="231F20"/>
                <w:sz w:val="14"/>
              </w:rPr>
              <w:t>2582</w:t>
            </w:r>
          </w:p>
        </w:tc>
        <w:tc>
          <w:tcPr>
            <w:tcW w:w="878" w:type="dxa"/>
          </w:tcPr>
          <w:p>
            <w:pPr>
              <w:pStyle w:val="TableParagraph"/>
              <w:spacing w:before="17"/>
              <w:ind w:right="42"/>
              <w:rPr>
                <w:sz w:val="14"/>
              </w:rPr>
            </w:pPr>
            <w:r>
              <w:rPr>
                <w:color w:val="231F20"/>
                <w:sz w:val="14"/>
              </w:rPr>
              <w:t>1991</w:t>
            </w:r>
          </w:p>
        </w:tc>
        <w:tc>
          <w:tcPr>
            <w:tcW w:w="955" w:type="dxa"/>
          </w:tcPr>
          <w:p>
            <w:pPr>
              <w:pStyle w:val="TableParagraph"/>
              <w:spacing w:before="17"/>
              <w:ind w:right="42"/>
              <w:rPr>
                <w:sz w:val="14"/>
              </w:rPr>
            </w:pPr>
            <w:r>
              <w:rPr>
                <w:color w:val="231F20"/>
                <w:sz w:val="14"/>
              </w:rPr>
              <w:t>514</w:t>
            </w:r>
          </w:p>
        </w:tc>
        <w:tc>
          <w:tcPr>
            <w:tcW w:w="636" w:type="dxa"/>
          </w:tcPr>
          <w:p>
            <w:pPr>
              <w:pStyle w:val="TableParagraph"/>
              <w:spacing w:before="17"/>
              <w:ind w:right="42"/>
              <w:rPr>
                <w:sz w:val="14"/>
              </w:rPr>
            </w:pPr>
            <w:r>
              <w:rPr>
                <w:color w:val="231F20"/>
                <w:sz w:val="14"/>
              </w:rPr>
              <w:t>2040</w:t>
            </w:r>
          </w:p>
        </w:tc>
        <w:tc>
          <w:tcPr>
            <w:tcW w:w="636" w:type="dxa"/>
          </w:tcPr>
          <w:p>
            <w:pPr>
              <w:pStyle w:val="TableParagraph"/>
              <w:spacing w:before="17"/>
              <w:ind w:right="42"/>
              <w:rPr>
                <w:sz w:val="14"/>
              </w:rPr>
            </w:pPr>
            <w:r>
              <w:rPr>
                <w:color w:val="231F20"/>
                <w:sz w:val="14"/>
              </w:rPr>
              <w:t>1970</w:t>
            </w:r>
          </w:p>
        </w:tc>
        <w:tc>
          <w:tcPr>
            <w:tcW w:w="636" w:type="dxa"/>
          </w:tcPr>
          <w:p>
            <w:pPr>
              <w:pStyle w:val="TableParagraph"/>
              <w:spacing w:before="17"/>
              <w:ind w:right="42"/>
              <w:rPr>
                <w:sz w:val="14"/>
              </w:rPr>
            </w:pPr>
            <w:r>
              <w:rPr>
                <w:color w:val="231F20"/>
                <w:sz w:val="14"/>
              </w:rPr>
              <w:t>2130</w:t>
            </w:r>
          </w:p>
        </w:tc>
        <w:tc>
          <w:tcPr>
            <w:tcW w:w="636" w:type="dxa"/>
          </w:tcPr>
          <w:p>
            <w:pPr>
              <w:pStyle w:val="TableParagraph"/>
              <w:spacing w:before="17"/>
              <w:ind w:right="42"/>
              <w:rPr>
                <w:sz w:val="14"/>
              </w:rPr>
            </w:pPr>
            <w:r>
              <w:rPr>
                <w:color w:val="231F20"/>
                <w:sz w:val="14"/>
              </w:rPr>
              <w:t>2170</w:t>
            </w:r>
          </w:p>
        </w:tc>
      </w:tr>
      <w:tr>
        <w:trPr>
          <w:trHeight w:val="200" w:hRule="atLeast"/>
        </w:trPr>
        <w:tc>
          <w:tcPr>
            <w:tcW w:w="2182" w:type="dxa"/>
          </w:tcPr>
          <w:p>
            <w:pPr>
              <w:pStyle w:val="TableParagraph"/>
              <w:spacing w:before="17"/>
              <w:ind w:left="59"/>
              <w:jc w:val="left"/>
              <w:rPr>
                <w:sz w:val="14"/>
              </w:rPr>
            </w:pPr>
            <w:r>
              <w:rPr>
                <w:color w:val="231F20"/>
                <w:sz w:val="14"/>
              </w:rPr>
              <w:t>17. Мaљурeвaц</w:t>
            </w:r>
          </w:p>
        </w:tc>
        <w:tc>
          <w:tcPr>
            <w:tcW w:w="635" w:type="dxa"/>
          </w:tcPr>
          <w:p>
            <w:pPr>
              <w:pStyle w:val="TableParagraph"/>
              <w:spacing w:before="17"/>
              <w:ind w:right="41"/>
              <w:rPr>
                <w:sz w:val="14"/>
              </w:rPr>
            </w:pPr>
            <w:r>
              <w:rPr>
                <w:color w:val="231F20"/>
                <w:sz w:val="14"/>
              </w:rPr>
              <w:t>751</w:t>
            </w:r>
          </w:p>
        </w:tc>
        <w:tc>
          <w:tcPr>
            <w:tcW w:w="636" w:type="dxa"/>
          </w:tcPr>
          <w:p>
            <w:pPr>
              <w:pStyle w:val="TableParagraph"/>
              <w:spacing w:before="17"/>
              <w:ind w:right="41"/>
              <w:rPr>
                <w:sz w:val="14"/>
              </w:rPr>
            </w:pPr>
            <w:r>
              <w:rPr>
                <w:color w:val="231F20"/>
                <w:sz w:val="14"/>
              </w:rPr>
              <w:t>668</w:t>
            </w:r>
          </w:p>
        </w:tc>
        <w:tc>
          <w:tcPr>
            <w:tcW w:w="636" w:type="dxa"/>
          </w:tcPr>
          <w:p>
            <w:pPr>
              <w:pStyle w:val="TableParagraph"/>
              <w:spacing w:before="17"/>
              <w:ind w:right="41"/>
              <w:rPr>
                <w:sz w:val="14"/>
              </w:rPr>
            </w:pPr>
            <w:r>
              <w:rPr>
                <w:color w:val="231F20"/>
                <w:sz w:val="14"/>
              </w:rPr>
              <w:t>604</w:t>
            </w:r>
          </w:p>
        </w:tc>
        <w:tc>
          <w:tcPr>
            <w:tcW w:w="636" w:type="dxa"/>
          </w:tcPr>
          <w:p>
            <w:pPr>
              <w:pStyle w:val="TableParagraph"/>
              <w:spacing w:before="17"/>
              <w:ind w:right="41"/>
              <w:rPr>
                <w:sz w:val="14"/>
              </w:rPr>
            </w:pPr>
            <w:r>
              <w:rPr>
                <w:color w:val="231F20"/>
                <w:sz w:val="14"/>
              </w:rPr>
              <w:t>609</w:t>
            </w:r>
          </w:p>
        </w:tc>
        <w:tc>
          <w:tcPr>
            <w:tcW w:w="636" w:type="dxa"/>
          </w:tcPr>
          <w:p>
            <w:pPr>
              <w:pStyle w:val="TableParagraph"/>
              <w:spacing w:before="17"/>
              <w:ind w:right="41"/>
              <w:rPr>
                <w:sz w:val="14"/>
              </w:rPr>
            </w:pPr>
            <w:r>
              <w:rPr>
                <w:color w:val="231F20"/>
                <w:sz w:val="14"/>
              </w:rPr>
              <w:t>548</w:t>
            </w:r>
          </w:p>
        </w:tc>
        <w:tc>
          <w:tcPr>
            <w:tcW w:w="741" w:type="dxa"/>
          </w:tcPr>
          <w:p>
            <w:pPr>
              <w:pStyle w:val="TableParagraph"/>
              <w:spacing w:before="17"/>
              <w:ind w:right="41"/>
              <w:rPr>
                <w:sz w:val="14"/>
              </w:rPr>
            </w:pPr>
            <w:r>
              <w:rPr>
                <w:color w:val="231F20"/>
                <w:sz w:val="14"/>
              </w:rPr>
              <w:t>555</w:t>
            </w:r>
          </w:p>
        </w:tc>
        <w:tc>
          <w:tcPr>
            <w:tcW w:w="878" w:type="dxa"/>
          </w:tcPr>
          <w:p>
            <w:pPr>
              <w:pStyle w:val="TableParagraph"/>
              <w:spacing w:before="17"/>
              <w:ind w:right="41"/>
              <w:rPr>
                <w:sz w:val="14"/>
              </w:rPr>
            </w:pPr>
            <w:r>
              <w:rPr>
                <w:color w:val="231F20"/>
                <w:sz w:val="14"/>
              </w:rPr>
              <w:t>473</w:t>
            </w:r>
          </w:p>
        </w:tc>
        <w:tc>
          <w:tcPr>
            <w:tcW w:w="955" w:type="dxa"/>
          </w:tcPr>
          <w:p>
            <w:pPr>
              <w:pStyle w:val="TableParagraph"/>
              <w:spacing w:before="17"/>
              <w:ind w:right="41"/>
              <w:rPr>
                <w:sz w:val="14"/>
              </w:rPr>
            </w:pPr>
            <w:r>
              <w:rPr>
                <w:color w:val="231F20"/>
                <w:sz w:val="14"/>
              </w:rPr>
              <w:t>82</w:t>
            </w:r>
          </w:p>
        </w:tc>
        <w:tc>
          <w:tcPr>
            <w:tcW w:w="636" w:type="dxa"/>
          </w:tcPr>
          <w:p>
            <w:pPr>
              <w:pStyle w:val="TableParagraph"/>
              <w:spacing w:before="17"/>
              <w:ind w:right="41"/>
              <w:rPr>
                <w:sz w:val="14"/>
              </w:rPr>
            </w:pPr>
            <w:r>
              <w:rPr>
                <w:color w:val="231F20"/>
                <w:sz w:val="14"/>
              </w:rPr>
              <w:t>440</w:t>
            </w:r>
          </w:p>
        </w:tc>
        <w:tc>
          <w:tcPr>
            <w:tcW w:w="636" w:type="dxa"/>
          </w:tcPr>
          <w:p>
            <w:pPr>
              <w:pStyle w:val="TableParagraph"/>
              <w:spacing w:before="17"/>
              <w:ind w:right="41"/>
              <w:rPr>
                <w:sz w:val="14"/>
              </w:rPr>
            </w:pPr>
            <w:r>
              <w:rPr>
                <w:color w:val="231F20"/>
                <w:sz w:val="14"/>
              </w:rPr>
              <w:t>370</w:t>
            </w:r>
          </w:p>
        </w:tc>
        <w:tc>
          <w:tcPr>
            <w:tcW w:w="636" w:type="dxa"/>
          </w:tcPr>
          <w:p>
            <w:pPr>
              <w:pStyle w:val="TableParagraph"/>
              <w:spacing w:before="17"/>
              <w:ind w:right="41"/>
              <w:rPr>
                <w:sz w:val="14"/>
              </w:rPr>
            </w:pPr>
            <w:r>
              <w:rPr>
                <w:color w:val="231F20"/>
                <w:sz w:val="14"/>
              </w:rPr>
              <w:t>450</w:t>
            </w:r>
          </w:p>
        </w:tc>
        <w:tc>
          <w:tcPr>
            <w:tcW w:w="636" w:type="dxa"/>
          </w:tcPr>
          <w:p>
            <w:pPr>
              <w:pStyle w:val="TableParagraph"/>
              <w:spacing w:before="17"/>
              <w:ind w:right="41"/>
              <w:rPr>
                <w:sz w:val="14"/>
              </w:rPr>
            </w:pPr>
            <w:r>
              <w:rPr>
                <w:color w:val="231F20"/>
                <w:sz w:val="14"/>
              </w:rPr>
              <w:t>400</w:t>
            </w:r>
          </w:p>
        </w:tc>
      </w:tr>
      <w:tr>
        <w:trPr>
          <w:trHeight w:val="200" w:hRule="atLeast"/>
        </w:trPr>
        <w:tc>
          <w:tcPr>
            <w:tcW w:w="2182" w:type="dxa"/>
          </w:tcPr>
          <w:p>
            <w:pPr>
              <w:pStyle w:val="TableParagraph"/>
              <w:spacing w:before="17"/>
              <w:ind w:left="59"/>
              <w:jc w:val="left"/>
              <w:rPr>
                <w:sz w:val="14"/>
              </w:rPr>
            </w:pPr>
            <w:r>
              <w:rPr>
                <w:color w:val="231F20"/>
                <w:sz w:val="14"/>
              </w:rPr>
              <w:t>18. Нaбрђe</w:t>
            </w:r>
          </w:p>
        </w:tc>
        <w:tc>
          <w:tcPr>
            <w:tcW w:w="635" w:type="dxa"/>
          </w:tcPr>
          <w:p>
            <w:pPr>
              <w:pStyle w:val="TableParagraph"/>
              <w:spacing w:before="17"/>
              <w:ind w:right="41"/>
              <w:rPr>
                <w:sz w:val="14"/>
              </w:rPr>
            </w:pPr>
            <w:r>
              <w:rPr>
                <w:color w:val="231F20"/>
                <w:sz w:val="14"/>
              </w:rPr>
              <w:t>449</w:t>
            </w:r>
          </w:p>
        </w:tc>
        <w:tc>
          <w:tcPr>
            <w:tcW w:w="636" w:type="dxa"/>
          </w:tcPr>
          <w:p>
            <w:pPr>
              <w:pStyle w:val="TableParagraph"/>
              <w:spacing w:before="17"/>
              <w:ind w:right="41"/>
              <w:rPr>
                <w:sz w:val="14"/>
              </w:rPr>
            </w:pPr>
            <w:r>
              <w:rPr>
                <w:color w:val="231F20"/>
                <w:sz w:val="14"/>
              </w:rPr>
              <w:t>392</w:t>
            </w:r>
          </w:p>
        </w:tc>
        <w:tc>
          <w:tcPr>
            <w:tcW w:w="636" w:type="dxa"/>
          </w:tcPr>
          <w:p>
            <w:pPr>
              <w:pStyle w:val="TableParagraph"/>
              <w:spacing w:before="17"/>
              <w:ind w:right="41"/>
              <w:rPr>
                <w:sz w:val="14"/>
              </w:rPr>
            </w:pPr>
            <w:r>
              <w:rPr>
                <w:color w:val="231F20"/>
                <w:sz w:val="14"/>
              </w:rPr>
              <w:t>386</w:t>
            </w:r>
          </w:p>
        </w:tc>
        <w:tc>
          <w:tcPr>
            <w:tcW w:w="636" w:type="dxa"/>
          </w:tcPr>
          <w:p>
            <w:pPr>
              <w:pStyle w:val="TableParagraph"/>
              <w:spacing w:before="17"/>
              <w:ind w:right="41"/>
              <w:rPr>
                <w:sz w:val="14"/>
              </w:rPr>
            </w:pPr>
            <w:r>
              <w:rPr>
                <w:color w:val="231F20"/>
                <w:sz w:val="14"/>
              </w:rPr>
              <w:t>360</w:t>
            </w:r>
          </w:p>
        </w:tc>
        <w:tc>
          <w:tcPr>
            <w:tcW w:w="636" w:type="dxa"/>
          </w:tcPr>
          <w:p>
            <w:pPr>
              <w:pStyle w:val="TableParagraph"/>
              <w:spacing w:before="17"/>
              <w:ind w:right="41"/>
              <w:rPr>
                <w:sz w:val="14"/>
              </w:rPr>
            </w:pPr>
            <w:r>
              <w:rPr>
                <w:color w:val="231F20"/>
                <w:sz w:val="14"/>
              </w:rPr>
              <w:t>346</w:t>
            </w:r>
          </w:p>
        </w:tc>
        <w:tc>
          <w:tcPr>
            <w:tcW w:w="741" w:type="dxa"/>
          </w:tcPr>
          <w:p>
            <w:pPr>
              <w:pStyle w:val="TableParagraph"/>
              <w:spacing w:before="17"/>
              <w:ind w:right="41"/>
              <w:rPr>
                <w:sz w:val="14"/>
              </w:rPr>
            </w:pPr>
            <w:r>
              <w:rPr>
                <w:color w:val="231F20"/>
                <w:sz w:val="14"/>
              </w:rPr>
              <w:t>367</w:t>
            </w:r>
          </w:p>
        </w:tc>
        <w:tc>
          <w:tcPr>
            <w:tcW w:w="878" w:type="dxa"/>
          </w:tcPr>
          <w:p>
            <w:pPr>
              <w:pStyle w:val="TableParagraph"/>
              <w:spacing w:before="17"/>
              <w:ind w:right="41"/>
              <w:rPr>
                <w:sz w:val="14"/>
              </w:rPr>
            </w:pPr>
            <w:r>
              <w:rPr>
                <w:color w:val="231F20"/>
                <w:sz w:val="14"/>
              </w:rPr>
              <w:t>182</w:t>
            </w:r>
          </w:p>
        </w:tc>
        <w:tc>
          <w:tcPr>
            <w:tcW w:w="955" w:type="dxa"/>
          </w:tcPr>
          <w:p>
            <w:pPr>
              <w:pStyle w:val="TableParagraph"/>
              <w:spacing w:before="17"/>
              <w:ind w:right="41"/>
              <w:rPr>
                <w:sz w:val="14"/>
              </w:rPr>
            </w:pPr>
            <w:r>
              <w:rPr>
                <w:color w:val="231F20"/>
                <w:sz w:val="14"/>
              </w:rPr>
              <w:t>30</w:t>
            </w:r>
          </w:p>
        </w:tc>
        <w:tc>
          <w:tcPr>
            <w:tcW w:w="636" w:type="dxa"/>
          </w:tcPr>
          <w:p>
            <w:pPr>
              <w:pStyle w:val="TableParagraph"/>
              <w:spacing w:before="17"/>
              <w:ind w:right="41"/>
              <w:rPr>
                <w:sz w:val="14"/>
              </w:rPr>
            </w:pPr>
            <w:r>
              <w:rPr>
                <w:color w:val="231F20"/>
                <w:sz w:val="14"/>
              </w:rPr>
              <w:t>310</w:t>
            </w:r>
          </w:p>
        </w:tc>
        <w:tc>
          <w:tcPr>
            <w:tcW w:w="636" w:type="dxa"/>
          </w:tcPr>
          <w:p>
            <w:pPr>
              <w:pStyle w:val="TableParagraph"/>
              <w:spacing w:before="17"/>
              <w:ind w:right="41"/>
              <w:rPr>
                <w:sz w:val="14"/>
              </w:rPr>
            </w:pPr>
            <w:r>
              <w:rPr>
                <w:color w:val="231F20"/>
                <w:sz w:val="14"/>
              </w:rPr>
              <w:t>260</w:t>
            </w:r>
          </w:p>
        </w:tc>
        <w:tc>
          <w:tcPr>
            <w:tcW w:w="636" w:type="dxa"/>
          </w:tcPr>
          <w:p>
            <w:pPr>
              <w:pStyle w:val="TableParagraph"/>
              <w:spacing w:before="17"/>
              <w:ind w:right="41"/>
              <w:rPr>
                <w:sz w:val="14"/>
              </w:rPr>
            </w:pPr>
            <w:r>
              <w:rPr>
                <w:color w:val="231F20"/>
                <w:sz w:val="14"/>
              </w:rPr>
              <w:t>320</w:t>
            </w:r>
          </w:p>
        </w:tc>
        <w:tc>
          <w:tcPr>
            <w:tcW w:w="636" w:type="dxa"/>
          </w:tcPr>
          <w:p>
            <w:pPr>
              <w:pStyle w:val="TableParagraph"/>
              <w:spacing w:before="17"/>
              <w:ind w:right="41"/>
              <w:rPr>
                <w:sz w:val="14"/>
              </w:rPr>
            </w:pPr>
            <w:r>
              <w:rPr>
                <w:color w:val="231F20"/>
                <w:sz w:val="14"/>
              </w:rPr>
              <w:t>280</w:t>
            </w:r>
          </w:p>
        </w:tc>
      </w:tr>
      <w:tr>
        <w:trPr>
          <w:trHeight w:val="200" w:hRule="atLeast"/>
        </w:trPr>
        <w:tc>
          <w:tcPr>
            <w:tcW w:w="2182" w:type="dxa"/>
          </w:tcPr>
          <w:p>
            <w:pPr>
              <w:pStyle w:val="TableParagraph"/>
              <w:spacing w:before="17"/>
              <w:ind w:left="59"/>
              <w:jc w:val="left"/>
              <w:rPr>
                <w:sz w:val="14"/>
              </w:rPr>
            </w:pPr>
            <w:r>
              <w:rPr>
                <w:color w:val="231F20"/>
                <w:sz w:val="14"/>
              </w:rPr>
              <w:t>19. Oстрoвo</w:t>
            </w:r>
          </w:p>
        </w:tc>
        <w:tc>
          <w:tcPr>
            <w:tcW w:w="635" w:type="dxa"/>
          </w:tcPr>
          <w:p>
            <w:pPr>
              <w:pStyle w:val="TableParagraph"/>
              <w:spacing w:before="17"/>
              <w:ind w:right="41"/>
              <w:rPr>
                <w:sz w:val="14"/>
              </w:rPr>
            </w:pPr>
            <w:r>
              <w:rPr>
                <w:color w:val="231F20"/>
                <w:sz w:val="14"/>
              </w:rPr>
              <w:t>886</w:t>
            </w:r>
          </w:p>
        </w:tc>
        <w:tc>
          <w:tcPr>
            <w:tcW w:w="636" w:type="dxa"/>
          </w:tcPr>
          <w:p>
            <w:pPr>
              <w:pStyle w:val="TableParagraph"/>
              <w:spacing w:before="17"/>
              <w:ind w:right="41"/>
              <w:rPr>
                <w:sz w:val="14"/>
              </w:rPr>
            </w:pPr>
            <w:r>
              <w:rPr>
                <w:color w:val="231F20"/>
                <w:sz w:val="14"/>
              </w:rPr>
              <w:t>798</w:t>
            </w:r>
          </w:p>
        </w:tc>
        <w:tc>
          <w:tcPr>
            <w:tcW w:w="636" w:type="dxa"/>
          </w:tcPr>
          <w:p>
            <w:pPr>
              <w:pStyle w:val="TableParagraph"/>
              <w:spacing w:before="17"/>
              <w:ind w:right="41"/>
              <w:rPr>
                <w:sz w:val="14"/>
              </w:rPr>
            </w:pPr>
            <w:r>
              <w:rPr>
                <w:color w:val="231F20"/>
                <w:sz w:val="14"/>
              </w:rPr>
              <w:t>719</w:t>
            </w:r>
          </w:p>
        </w:tc>
        <w:tc>
          <w:tcPr>
            <w:tcW w:w="636" w:type="dxa"/>
          </w:tcPr>
          <w:p>
            <w:pPr>
              <w:pStyle w:val="TableParagraph"/>
              <w:spacing w:before="17"/>
              <w:ind w:right="41"/>
              <w:rPr>
                <w:sz w:val="14"/>
              </w:rPr>
            </w:pPr>
            <w:r>
              <w:rPr>
                <w:color w:val="231F20"/>
                <w:sz w:val="14"/>
              </w:rPr>
              <w:t>771</w:t>
            </w:r>
          </w:p>
        </w:tc>
        <w:tc>
          <w:tcPr>
            <w:tcW w:w="636" w:type="dxa"/>
          </w:tcPr>
          <w:p>
            <w:pPr>
              <w:pStyle w:val="TableParagraph"/>
              <w:spacing w:before="17"/>
              <w:ind w:right="41"/>
              <w:rPr>
                <w:sz w:val="14"/>
              </w:rPr>
            </w:pPr>
            <w:r>
              <w:rPr>
                <w:color w:val="231F20"/>
                <w:sz w:val="14"/>
              </w:rPr>
              <w:t>685</w:t>
            </w:r>
          </w:p>
        </w:tc>
        <w:tc>
          <w:tcPr>
            <w:tcW w:w="741" w:type="dxa"/>
          </w:tcPr>
          <w:p>
            <w:pPr>
              <w:pStyle w:val="TableParagraph"/>
              <w:spacing w:before="17"/>
              <w:ind w:right="41"/>
              <w:rPr>
                <w:sz w:val="14"/>
              </w:rPr>
            </w:pPr>
            <w:r>
              <w:rPr>
                <w:color w:val="231F20"/>
                <w:sz w:val="14"/>
              </w:rPr>
              <w:t>732</w:t>
            </w:r>
          </w:p>
        </w:tc>
        <w:tc>
          <w:tcPr>
            <w:tcW w:w="878" w:type="dxa"/>
          </w:tcPr>
          <w:p>
            <w:pPr>
              <w:pStyle w:val="TableParagraph"/>
              <w:spacing w:before="17"/>
              <w:ind w:right="41"/>
              <w:rPr>
                <w:sz w:val="14"/>
              </w:rPr>
            </w:pPr>
            <w:r>
              <w:rPr>
                <w:color w:val="231F20"/>
                <w:sz w:val="14"/>
              </w:rPr>
              <w:t>684</w:t>
            </w:r>
          </w:p>
        </w:tc>
        <w:tc>
          <w:tcPr>
            <w:tcW w:w="955" w:type="dxa"/>
          </w:tcPr>
          <w:p>
            <w:pPr>
              <w:pStyle w:val="TableParagraph"/>
              <w:spacing w:before="17"/>
              <w:ind w:right="41"/>
              <w:rPr>
                <w:sz w:val="14"/>
              </w:rPr>
            </w:pPr>
            <w:r>
              <w:rPr>
                <w:color w:val="231F20"/>
                <w:sz w:val="14"/>
              </w:rPr>
              <w:t>48</w:t>
            </w:r>
          </w:p>
        </w:tc>
        <w:tc>
          <w:tcPr>
            <w:tcW w:w="636" w:type="dxa"/>
          </w:tcPr>
          <w:p>
            <w:pPr>
              <w:pStyle w:val="TableParagraph"/>
              <w:spacing w:before="17"/>
              <w:ind w:right="41"/>
              <w:rPr>
                <w:sz w:val="14"/>
              </w:rPr>
            </w:pPr>
            <w:r>
              <w:rPr>
                <w:color w:val="231F20"/>
                <w:sz w:val="14"/>
              </w:rPr>
              <w:t>620</w:t>
            </w:r>
          </w:p>
        </w:tc>
        <w:tc>
          <w:tcPr>
            <w:tcW w:w="636" w:type="dxa"/>
          </w:tcPr>
          <w:p>
            <w:pPr>
              <w:pStyle w:val="TableParagraph"/>
              <w:spacing w:before="17"/>
              <w:ind w:right="41"/>
              <w:rPr>
                <w:sz w:val="14"/>
              </w:rPr>
            </w:pPr>
            <w:r>
              <w:rPr>
                <w:color w:val="231F20"/>
                <w:sz w:val="14"/>
              </w:rPr>
              <w:t>570</w:t>
            </w:r>
          </w:p>
        </w:tc>
        <w:tc>
          <w:tcPr>
            <w:tcW w:w="636" w:type="dxa"/>
          </w:tcPr>
          <w:p>
            <w:pPr>
              <w:pStyle w:val="TableParagraph"/>
              <w:spacing w:before="17"/>
              <w:ind w:right="41"/>
              <w:rPr>
                <w:sz w:val="14"/>
              </w:rPr>
            </w:pPr>
            <w:r>
              <w:rPr>
                <w:color w:val="231F20"/>
                <w:sz w:val="14"/>
              </w:rPr>
              <w:t>640</w:t>
            </w:r>
          </w:p>
        </w:tc>
        <w:tc>
          <w:tcPr>
            <w:tcW w:w="636" w:type="dxa"/>
          </w:tcPr>
          <w:p>
            <w:pPr>
              <w:pStyle w:val="TableParagraph"/>
              <w:spacing w:before="17"/>
              <w:ind w:right="41"/>
              <w:rPr>
                <w:sz w:val="14"/>
              </w:rPr>
            </w:pPr>
            <w:r>
              <w:rPr>
                <w:color w:val="231F20"/>
                <w:sz w:val="14"/>
              </w:rPr>
              <w:t>590</w:t>
            </w:r>
          </w:p>
        </w:tc>
      </w:tr>
      <w:tr>
        <w:trPr>
          <w:trHeight w:val="200" w:hRule="atLeast"/>
        </w:trPr>
        <w:tc>
          <w:tcPr>
            <w:tcW w:w="2182" w:type="dxa"/>
          </w:tcPr>
          <w:p>
            <w:pPr>
              <w:pStyle w:val="TableParagraph"/>
              <w:spacing w:before="17"/>
              <w:ind w:left="59"/>
              <w:jc w:val="left"/>
              <w:rPr>
                <w:sz w:val="14"/>
              </w:rPr>
            </w:pPr>
            <w:r>
              <w:rPr>
                <w:color w:val="231F20"/>
                <w:sz w:val="14"/>
              </w:rPr>
              <w:t>20. Пeткa</w:t>
            </w:r>
          </w:p>
        </w:tc>
        <w:tc>
          <w:tcPr>
            <w:tcW w:w="635" w:type="dxa"/>
          </w:tcPr>
          <w:p>
            <w:pPr>
              <w:pStyle w:val="TableParagraph"/>
              <w:spacing w:before="17"/>
              <w:ind w:right="41"/>
              <w:rPr>
                <w:sz w:val="14"/>
              </w:rPr>
            </w:pPr>
            <w:r>
              <w:rPr>
                <w:color w:val="231F20"/>
                <w:sz w:val="14"/>
              </w:rPr>
              <w:t>1733</w:t>
            </w:r>
          </w:p>
        </w:tc>
        <w:tc>
          <w:tcPr>
            <w:tcW w:w="636" w:type="dxa"/>
          </w:tcPr>
          <w:p>
            <w:pPr>
              <w:pStyle w:val="TableParagraph"/>
              <w:spacing w:before="17"/>
              <w:ind w:right="41"/>
              <w:rPr>
                <w:sz w:val="14"/>
              </w:rPr>
            </w:pPr>
            <w:r>
              <w:rPr>
                <w:color w:val="231F20"/>
                <w:sz w:val="14"/>
              </w:rPr>
              <w:t>1604</w:t>
            </w:r>
          </w:p>
        </w:tc>
        <w:tc>
          <w:tcPr>
            <w:tcW w:w="636" w:type="dxa"/>
          </w:tcPr>
          <w:p>
            <w:pPr>
              <w:pStyle w:val="TableParagraph"/>
              <w:spacing w:before="17"/>
              <w:ind w:right="41"/>
              <w:rPr>
                <w:sz w:val="14"/>
              </w:rPr>
            </w:pPr>
            <w:r>
              <w:rPr>
                <w:color w:val="231F20"/>
                <w:sz w:val="14"/>
              </w:rPr>
              <w:t>1495</w:t>
            </w:r>
          </w:p>
        </w:tc>
        <w:tc>
          <w:tcPr>
            <w:tcW w:w="636" w:type="dxa"/>
          </w:tcPr>
          <w:p>
            <w:pPr>
              <w:pStyle w:val="TableParagraph"/>
              <w:spacing w:before="17"/>
              <w:ind w:right="41"/>
              <w:rPr>
                <w:sz w:val="14"/>
              </w:rPr>
            </w:pPr>
            <w:r>
              <w:rPr>
                <w:color w:val="231F20"/>
                <w:sz w:val="14"/>
              </w:rPr>
              <w:t>1430</w:t>
            </w:r>
          </w:p>
        </w:tc>
        <w:tc>
          <w:tcPr>
            <w:tcW w:w="636" w:type="dxa"/>
          </w:tcPr>
          <w:p>
            <w:pPr>
              <w:pStyle w:val="TableParagraph"/>
              <w:spacing w:before="17"/>
              <w:ind w:right="41"/>
              <w:rPr>
                <w:sz w:val="14"/>
              </w:rPr>
            </w:pPr>
            <w:r>
              <w:rPr>
                <w:color w:val="231F20"/>
                <w:sz w:val="14"/>
              </w:rPr>
              <w:t>1285</w:t>
            </w:r>
          </w:p>
        </w:tc>
        <w:tc>
          <w:tcPr>
            <w:tcW w:w="741" w:type="dxa"/>
          </w:tcPr>
          <w:p>
            <w:pPr>
              <w:pStyle w:val="TableParagraph"/>
              <w:spacing w:before="17"/>
              <w:ind w:right="41"/>
              <w:rPr>
                <w:sz w:val="14"/>
              </w:rPr>
            </w:pPr>
            <w:r>
              <w:rPr>
                <w:color w:val="231F20"/>
                <w:sz w:val="14"/>
              </w:rPr>
              <w:t>1402</w:t>
            </w:r>
          </w:p>
        </w:tc>
        <w:tc>
          <w:tcPr>
            <w:tcW w:w="878" w:type="dxa"/>
          </w:tcPr>
          <w:p>
            <w:pPr>
              <w:pStyle w:val="TableParagraph"/>
              <w:spacing w:before="17"/>
              <w:ind w:right="41"/>
              <w:rPr>
                <w:sz w:val="14"/>
              </w:rPr>
            </w:pPr>
            <w:r>
              <w:rPr>
                <w:color w:val="231F20"/>
                <w:sz w:val="14"/>
              </w:rPr>
              <w:t>1164</w:t>
            </w:r>
          </w:p>
        </w:tc>
        <w:tc>
          <w:tcPr>
            <w:tcW w:w="955" w:type="dxa"/>
          </w:tcPr>
          <w:p>
            <w:pPr>
              <w:pStyle w:val="TableParagraph"/>
              <w:spacing w:before="17"/>
              <w:ind w:right="41"/>
              <w:rPr>
                <w:sz w:val="14"/>
              </w:rPr>
            </w:pPr>
            <w:r>
              <w:rPr>
                <w:color w:val="231F20"/>
                <w:sz w:val="14"/>
              </w:rPr>
              <w:t>238</w:t>
            </w:r>
          </w:p>
        </w:tc>
        <w:tc>
          <w:tcPr>
            <w:tcW w:w="636" w:type="dxa"/>
          </w:tcPr>
          <w:p>
            <w:pPr>
              <w:pStyle w:val="TableParagraph"/>
              <w:spacing w:before="17"/>
              <w:ind w:right="41"/>
              <w:rPr>
                <w:sz w:val="14"/>
              </w:rPr>
            </w:pPr>
            <w:r>
              <w:rPr>
                <w:color w:val="231F20"/>
                <w:sz w:val="14"/>
              </w:rPr>
              <w:t>1120</w:t>
            </w:r>
          </w:p>
        </w:tc>
        <w:tc>
          <w:tcPr>
            <w:tcW w:w="636" w:type="dxa"/>
          </w:tcPr>
          <w:p>
            <w:pPr>
              <w:pStyle w:val="TableParagraph"/>
              <w:spacing w:before="17"/>
              <w:ind w:right="41"/>
              <w:rPr>
                <w:sz w:val="14"/>
              </w:rPr>
            </w:pPr>
            <w:r>
              <w:rPr>
                <w:color w:val="231F20"/>
                <w:sz w:val="14"/>
              </w:rPr>
              <w:t>1040</w:t>
            </w:r>
          </w:p>
        </w:tc>
        <w:tc>
          <w:tcPr>
            <w:tcW w:w="636" w:type="dxa"/>
          </w:tcPr>
          <w:p>
            <w:pPr>
              <w:pStyle w:val="TableParagraph"/>
              <w:spacing w:before="17"/>
              <w:ind w:right="41"/>
              <w:rPr>
                <w:sz w:val="14"/>
              </w:rPr>
            </w:pPr>
            <w:r>
              <w:rPr>
                <w:color w:val="231F20"/>
                <w:sz w:val="14"/>
              </w:rPr>
              <w:t>1190</w:t>
            </w:r>
          </w:p>
        </w:tc>
        <w:tc>
          <w:tcPr>
            <w:tcW w:w="636" w:type="dxa"/>
          </w:tcPr>
          <w:p>
            <w:pPr>
              <w:pStyle w:val="TableParagraph"/>
              <w:spacing w:before="17"/>
              <w:ind w:right="41"/>
              <w:rPr>
                <w:sz w:val="14"/>
              </w:rPr>
            </w:pPr>
            <w:r>
              <w:rPr>
                <w:color w:val="231F20"/>
                <w:sz w:val="14"/>
              </w:rPr>
              <w:t>1130</w:t>
            </w:r>
          </w:p>
        </w:tc>
      </w:tr>
      <w:tr>
        <w:trPr>
          <w:trHeight w:val="200" w:hRule="atLeast"/>
        </w:trPr>
        <w:tc>
          <w:tcPr>
            <w:tcW w:w="2182" w:type="dxa"/>
          </w:tcPr>
          <w:p>
            <w:pPr>
              <w:pStyle w:val="TableParagraph"/>
              <w:spacing w:before="17"/>
              <w:ind w:left="60"/>
              <w:jc w:val="left"/>
              <w:rPr>
                <w:sz w:val="14"/>
              </w:rPr>
            </w:pPr>
            <w:r>
              <w:rPr>
                <w:color w:val="231F20"/>
                <w:sz w:val="14"/>
              </w:rPr>
              <w:t>21. Пoжaрeвaц</w:t>
            </w:r>
          </w:p>
        </w:tc>
        <w:tc>
          <w:tcPr>
            <w:tcW w:w="635" w:type="dxa"/>
          </w:tcPr>
          <w:p>
            <w:pPr>
              <w:pStyle w:val="TableParagraph"/>
              <w:spacing w:before="17"/>
              <w:ind w:right="41"/>
              <w:rPr>
                <w:sz w:val="14"/>
              </w:rPr>
            </w:pPr>
            <w:r>
              <w:rPr>
                <w:color w:val="231F20"/>
                <w:sz w:val="14"/>
              </w:rPr>
              <w:t>39735</w:t>
            </w:r>
          </w:p>
        </w:tc>
        <w:tc>
          <w:tcPr>
            <w:tcW w:w="636" w:type="dxa"/>
          </w:tcPr>
          <w:p>
            <w:pPr>
              <w:pStyle w:val="TableParagraph"/>
              <w:spacing w:before="17"/>
              <w:ind w:right="41"/>
              <w:rPr>
                <w:sz w:val="14"/>
              </w:rPr>
            </w:pPr>
            <w:r>
              <w:rPr>
                <w:color w:val="231F20"/>
                <w:sz w:val="14"/>
              </w:rPr>
              <w:t>43885</w:t>
            </w:r>
          </w:p>
        </w:tc>
        <w:tc>
          <w:tcPr>
            <w:tcW w:w="636" w:type="dxa"/>
          </w:tcPr>
          <w:p>
            <w:pPr>
              <w:pStyle w:val="TableParagraph"/>
              <w:spacing w:before="17"/>
              <w:ind w:right="41"/>
              <w:rPr>
                <w:sz w:val="14"/>
              </w:rPr>
            </w:pPr>
            <w:r>
              <w:rPr>
                <w:color w:val="231F20"/>
                <w:sz w:val="14"/>
              </w:rPr>
              <w:t>44775</w:t>
            </w:r>
          </w:p>
        </w:tc>
        <w:tc>
          <w:tcPr>
            <w:tcW w:w="636" w:type="dxa"/>
          </w:tcPr>
          <w:p>
            <w:pPr>
              <w:pStyle w:val="TableParagraph"/>
              <w:spacing w:before="17"/>
              <w:ind w:right="41"/>
              <w:rPr>
                <w:sz w:val="14"/>
              </w:rPr>
            </w:pPr>
            <w:r>
              <w:rPr>
                <w:color w:val="231F20"/>
                <w:sz w:val="14"/>
              </w:rPr>
              <w:t>41478</w:t>
            </w:r>
          </w:p>
        </w:tc>
        <w:tc>
          <w:tcPr>
            <w:tcW w:w="636" w:type="dxa"/>
          </w:tcPr>
          <w:p>
            <w:pPr>
              <w:pStyle w:val="TableParagraph"/>
              <w:spacing w:before="17"/>
              <w:ind w:right="41"/>
              <w:rPr>
                <w:sz w:val="14"/>
              </w:rPr>
            </w:pPr>
            <w:r>
              <w:rPr>
                <w:color w:val="231F20"/>
                <w:sz w:val="14"/>
              </w:rPr>
              <w:t>41736</w:t>
            </w:r>
          </w:p>
        </w:tc>
        <w:tc>
          <w:tcPr>
            <w:tcW w:w="741" w:type="dxa"/>
          </w:tcPr>
          <w:p>
            <w:pPr>
              <w:pStyle w:val="TableParagraph"/>
              <w:spacing w:before="17"/>
              <w:ind w:right="41"/>
              <w:rPr>
                <w:sz w:val="14"/>
              </w:rPr>
            </w:pPr>
            <w:r>
              <w:rPr>
                <w:color w:val="231F20"/>
                <w:sz w:val="14"/>
              </w:rPr>
              <w:t>46999</w:t>
            </w:r>
          </w:p>
        </w:tc>
        <w:tc>
          <w:tcPr>
            <w:tcW w:w="878" w:type="dxa"/>
          </w:tcPr>
          <w:p>
            <w:pPr>
              <w:pStyle w:val="TableParagraph"/>
              <w:ind w:right="44"/>
              <w:rPr>
                <w:sz w:val="14"/>
              </w:rPr>
            </w:pPr>
            <w:r>
              <w:rPr>
                <w:color w:val="231F20"/>
                <w:sz w:val="14"/>
              </w:rPr>
              <w:t>42963</w:t>
            </w:r>
          </w:p>
        </w:tc>
        <w:tc>
          <w:tcPr>
            <w:tcW w:w="955" w:type="dxa"/>
          </w:tcPr>
          <w:p>
            <w:pPr>
              <w:pStyle w:val="TableParagraph"/>
              <w:ind w:right="44"/>
              <w:rPr>
                <w:sz w:val="14"/>
              </w:rPr>
            </w:pPr>
            <w:r>
              <w:rPr>
                <w:color w:val="231F20"/>
                <w:sz w:val="14"/>
              </w:rPr>
              <w:t>3166</w:t>
            </w:r>
          </w:p>
        </w:tc>
        <w:tc>
          <w:tcPr>
            <w:tcW w:w="636" w:type="dxa"/>
          </w:tcPr>
          <w:p>
            <w:pPr>
              <w:pStyle w:val="TableParagraph"/>
              <w:ind w:right="44"/>
              <w:rPr>
                <w:sz w:val="14"/>
              </w:rPr>
            </w:pPr>
            <w:r>
              <w:rPr>
                <w:color w:val="231F20"/>
                <w:sz w:val="14"/>
              </w:rPr>
              <w:t>45180</w:t>
            </w:r>
          </w:p>
        </w:tc>
        <w:tc>
          <w:tcPr>
            <w:tcW w:w="636" w:type="dxa"/>
          </w:tcPr>
          <w:p>
            <w:pPr>
              <w:pStyle w:val="TableParagraph"/>
              <w:ind w:right="44"/>
              <w:rPr>
                <w:sz w:val="14"/>
              </w:rPr>
            </w:pPr>
            <w:r>
              <w:rPr>
                <w:color w:val="231F20"/>
                <w:sz w:val="14"/>
              </w:rPr>
              <w:t>45660</w:t>
            </w:r>
          </w:p>
        </w:tc>
        <w:tc>
          <w:tcPr>
            <w:tcW w:w="636" w:type="dxa"/>
          </w:tcPr>
          <w:p>
            <w:pPr>
              <w:pStyle w:val="TableParagraph"/>
              <w:ind w:right="44"/>
              <w:rPr>
                <w:sz w:val="14"/>
              </w:rPr>
            </w:pPr>
            <w:r>
              <w:rPr>
                <w:color w:val="231F20"/>
                <w:sz w:val="14"/>
              </w:rPr>
              <w:t>45580</w:t>
            </w:r>
          </w:p>
        </w:tc>
        <w:tc>
          <w:tcPr>
            <w:tcW w:w="636" w:type="dxa"/>
          </w:tcPr>
          <w:p>
            <w:pPr>
              <w:pStyle w:val="TableParagraph"/>
              <w:ind w:right="44"/>
              <w:rPr>
                <w:sz w:val="14"/>
              </w:rPr>
            </w:pPr>
            <w:r>
              <w:rPr>
                <w:color w:val="231F20"/>
                <w:sz w:val="14"/>
              </w:rPr>
              <w:t>46270</w:t>
            </w:r>
          </w:p>
        </w:tc>
      </w:tr>
      <w:tr>
        <w:trPr>
          <w:trHeight w:val="200" w:hRule="atLeast"/>
        </w:trPr>
        <w:tc>
          <w:tcPr>
            <w:tcW w:w="2182" w:type="dxa"/>
          </w:tcPr>
          <w:p>
            <w:pPr>
              <w:pStyle w:val="TableParagraph"/>
              <w:ind w:left="56"/>
              <w:jc w:val="left"/>
              <w:rPr>
                <w:sz w:val="14"/>
              </w:rPr>
            </w:pPr>
            <w:r>
              <w:rPr>
                <w:color w:val="231F20"/>
                <w:sz w:val="14"/>
              </w:rPr>
              <w:t>22. Пoљaнa</w:t>
            </w:r>
          </w:p>
        </w:tc>
        <w:tc>
          <w:tcPr>
            <w:tcW w:w="635" w:type="dxa"/>
          </w:tcPr>
          <w:p>
            <w:pPr>
              <w:pStyle w:val="TableParagraph"/>
              <w:ind w:right="44"/>
              <w:rPr>
                <w:sz w:val="14"/>
              </w:rPr>
            </w:pPr>
            <w:r>
              <w:rPr>
                <w:color w:val="231F20"/>
                <w:sz w:val="14"/>
              </w:rPr>
              <w:t>2302</w:t>
            </w:r>
          </w:p>
        </w:tc>
        <w:tc>
          <w:tcPr>
            <w:tcW w:w="636" w:type="dxa"/>
          </w:tcPr>
          <w:p>
            <w:pPr>
              <w:pStyle w:val="TableParagraph"/>
              <w:ind w:right="44"/>
              <w:rPr>
                <w:sz w:val="14"/>
              </w:rPr>
            </w:pPr>
            <w:r>
              <w:rPr>
                <w:color w:val="231F20"/>
                <w:sz w:val="14"/>
              </w:rPr>
              <w:t>2153</w:t>
            </w:r>
          </w:p>
        </w:tc>
        <w:tc>
          <w:tcPr>
            <w:tcW w:w="636" w:type="dxa"/>
          </w:tcPr>
          <w:p>
            <w:pPr>
              <w:pStyle w:val="TableParagraph"/>
              <w:ind w:right="44"/>
              <w:rPr>
                <w:sz w:val="14"/>
              </w:rPr>
            </w:pPr>
            <w:r>
              <w:rPr>
                <w:color w:val="231F20"/>
                <w:sz w:val="14"/>
              </w:rPr>
              <w:t>2040</w:t>
            </w:r>
          </w:p>
        </w:tc>
        <w:tc>
          <w:tcPr>
            <w:tcW w:w="636" w:type="dxa"/>
          </w:tcPr>
          <w:p>
            <w:pPr>
              <w:pStyle w:val="TableParagraph"/>
              <w:ind w:right="44"/>
              <w:rPr>
                <w:sz w:val="14"/>
              </w:rPr>
            </w:pPr>
            <w:r>
              <w:rPr>
                <w:color w:val="231F20"/>
                <w:sz w:val="14"/>
              </w:rPr>
              <w:t>1833</w:t>
            </w:r>
          </w:p>
        </w:tc>
        <w:tc>
          <w:tcPr>
            <w:tcW w:w="636" w:type="dxa"/>
          </w:tcPr>
          <w:p>
            <w:pPr>
              <w:pStyle w:val="TableParagraph"/>
              <w:ind w:right="44"/>
              <w:rPr>
                <w:sz w:val="14"/>
              </w:rPr>
            </w:pPr>
            <w:r>
              <w:rPr>
                <w:color w:val="231F20"/>
                <w:sz w:val="14"/>
              </w:rPr>
              <w:t>1610</w:t>
            </w:r>
          </w:p>
        </w:tc>
        <w:tc>
          <w:tcPr>
            <w:tcW w:w="741" w:type="dxa"/>
          </w:tcPr>
          <w:p>
            <w:pPr>
              <w:pStyle w:val="TableParagraph"/>
              <w:ind w:right="44"/>
              <w:rPr>
                <w:sz w:val="14"/>
              </w:rPr>
            </w:pPr>
            <w:r>
              <w:rPr>
                <w:color w:val="231F20"/>
                <w:sz w:val="14"/>
              </w:rPr>
              <w:t>1723</w:t>
            </w:r>
          </w:p>
        </w:tc>
        <w:tc>
          <w:tcPr>
            <w:tcW w:w="878" w:type="dxa"/>
          </w:tcPr>
          <w:p>
            <w:pPr>
              <w:pStyle w:val="TableParagraph"/>
              <w:ind w:right="44"/>
              <w:rPr>
                <w:sz w:val="14"/>
              </w:rPr>
            </w:pPr>
            <w:r>
              <w:rPr>
                <w:color w:val="231F20"/>
                <w:sz w:val="14"/>
              </w:rPr>
              <w:t>1411</w:t>
            </w:r>
          </w:p>
        </w:tc>
        <w:tc>
          <w:tcPr>
            <w:tcW w:w="955" w:type="dxa"/>
          </w:tcPr>
          <w:p>
            <w:pPr>
              <w:pStyle w:val="TableParagraph"/>
              <w:ind w:right="44"/>
              <w:rPr>
                <w:sz w:val="14"/>
              </w:rPr>
            </w:pPr>
            <w:r>
              <w:rPr>
                <w:color w:val="231F20"/>
                <w:sz w:val="14"/>
              </w:rPr>
              <w:t>302</w:t>
            </w:r>
          </w:p>
        </w:tc>
        <w:tc>
          <w:tcPr>
            <w:tcW w:w="636" w:type="dxa"/>
          </w:tcPr>
          <w:p>
            <w:pPr>
              <w:pStyle w:val="TableParagraph"/>
              <w:ind w:right="44"/>
              <w:rPr>
                <w:sz w:val="14"/>
              </w:rPr>
            </w:pPr>
            <w:r>
              <w:rPr>
                <w:color w:val="231F20"/>
                <w:sz w:val="14"/>
              </w:rPr>
              <w:t>1380</w:t>
            </w:r>
          </w:p>
        </w:tc>
        <w:tc>
          <w:tcPr>
            <w:tcW w:w="636" w:type="dxa"/>
          </w:tcPr>
          <w:p>
            <w:pPr>
              <w:pStyle w:val="TableParagraph"/>
              <w:ind w:right="44"/>
              <w:rPr>
                <w:sz w:val="14"/>
              </w:rPr>
            </w:pPr>
            <w:r>
              <w:rPr>
                <w:color w:val="231F20"/>
                <w:sz w:val="14"/>
              </w:rPr>
              <w:t>1320</w:t>
            </w:r>
          </w:p>
        </w:tc>
        <w:tc>
          <w:tcPr>
            <w:tcW w:w="636" w:type="dxa"/>
          </w:tcPr>
          <w:p>
            <w:pPr>
              <w:pStyle w:val="TableParagraph"/>
              <w:ind w:right="44"/>
              <w:rPr>
                <w:sz w:val="14"/>
              </w:rPr>
            </w:pPr>
            <w:r>
              <w:rPr>
                <w:color w:val="231F20"/>
                <w:sz w:val="14"/>
              </w:rPr>
              <w:t>1460</w:t>
            </w:r>
          </w:p>
        </w:tc>
        <w:tc>
          <w:tcPr>
            <w:tcW w:w="636" w:type="dxa"/>
          </w:tcPr>
          <w:p>
            <w:pPr>
              <w:pStyle w:val="TableParagraph"/>
              <w:ind w:right="44"/>
              <w:rPr>
                <w:sz w:val="14"/>
              </w:rPr>
            </w:pPr>
            <w:r>
              <w:rPr>
                <w:color w:val="231F20"/>
                <w:sz w:val="14"/>
              </w:rPr>
              <w:t>1410</w:t>
            </w:r>
          </w:p>
        </w:tc>
      </w:tr>
      <w:tr>
        <w:trPr>
          <w:trHeight w:val="200" w:hRule="atLeast"/>
        </w:trPr>
        <w:tc>
          <w:tcPr>
            <w:tcW w:w="2182" w:type="dxa"/>
          </w:tcPr>
          <w:p>
            <w:pPr>
              <w:pStyle w:val="TableParagraph"/>
              <w:ind w:left="57"/>
              <w:jc w:val="left"/>
              <w:rPr>
                <w:sz w:val="14"/>
              </w:rPr>
            </w:pPr>
            <w:r>
              <w:rPr>
                <w:color w:val="231F20"/>
                <w:sz w:val="14"/>
              </w:rPr>
              <w:t>23. Пругoвo</w:t>
            </w:r>
          </w:p>
        </w:tc>
        <w:tc>
          <w:tcPr>
            <w:tcW w:w="635" w:type="dxa"/>
          </w:tcPr>
          <w:p>
            <w:pPr>
              <w:pStyle w:val="TableParagraph"/>
              <w:ind w:right="44"/>
              <w:rPr>
                <w:sz w:val="14"/>
              </w:rPr>
            </w:pPr>
            <w:r>
              <w:rPr>
                <w:color w:val="231F20"/>
                <w:sz w:val="14"/>
              </w:rPr>
              <w:t>1117</w:t>
            </w:r>
          </w:p>
        </w:tc>
        <w:tc>
          <w:tcPr>
            <w:tcW w:w="636" w:type="dxa"/>
          </w:tcPr>
          <w:p>
            <w:pPr>
              <w:pStyle w:val="TableParagraph"/>
              <w:ind w:right="44"/>
              <w:rPr>
                <w:sz w:val="14"/>
              </w:rPr>
            </w:pPr>
            <w:r>
              <w:rPr>
                <w:color w:val="231F20"/>
                <w:sz w:val="14"/>
              </w:rPr>
              <w:t>1049</w:t>
            </w:r>
          </w:p>
        </w:tc>
        <w:tc>
          <w:tcPr>
            <w:tcW w:w="636" w:type="dxa"/>
          </w:tcPr>
          <w:p>
            <w:pPr>
              <w:pStyle w:val="TableParagraph"/>
              <w:ind w:right="44"/>
              <w:rPr>
                <w:sz w:val="14"/>
              </w:rPr>
            </w:pPr>
            <w:r>
              <w:rPr>
                <w:color w:val="231F20"/>
                <w:sz w:val="14"/>
              </w:rPr>
              <w:t>937</w:t>
            </w:r>
          </w:p>
        </w:tc>
        <w:tc>
          <w:tcPr>
            <w:tcW w:w="636" w:type="dxa"/>
          </w:tcPr>
          <w:p>
            <w:pPr>
              <w:pStyle w:val="TableParagraph"/>
              <w:ind w:right="44"/>
              <w:rPr>
                <w:sz w:val="14"/>
              </w:rPr>
            </w:pPr>
            <w:r>
              <w:rPr>
                <w:color w:val="231F20"/>
                <w:sz w:val="14"/>
              </w:rPr>
              <w:t>869</w:t>
            </w:r>
          </w:p>
        </w:tc>
        <w:tc>
          <w:tcPr>
            <w:tcW w:w="636" w:type="dxa"/>
          </w:tcPr>
          <w:p>
            <w:pPr>
              <w:pStyle w:val="TableParagraph"/>
              <w:ind w:right="44"/>
              <w:rPr>
                <w:sz w:val="14"/>
              </w:rPr>
            </w:pPr>
            <w:r>
              <w:rPr>
                <w:color w:val="231F20"/>
                <w:sz w:val="14"/>
              </w:rPr>
              <w:t>774</w:t>
            </w:r>
          </w:p>
        </w:tc>
        <w:tc>
          <w:tcPr>
            <w:tcW w:w="741" w:type="dxa"/>
          </w:tcPr>
          <w:p>
            <w:pPr>
              <w:pStyle w:val="TableParagraph"/>
              <w:ind w:right="44"/>
              <w:rPr>
                <w:sz w:val="14"/>
              </w:rPr>
            </w:pPr>
            <w:r>
              <w:rPr>
                <w:color w:val="231F20"/>
                <w:sz w:val="14"/>
              </w:rPr>
              <w:t>825</w:t>
            </w:r>
          </w:p>
        </w:tc>
        <w:tc>
          <w:tcPr>
            <w:tcW w:w="878" w:type="dxa"/>
          </w:tcPr>
          <w:p>
            <w:pPr>
              <w:pStyle w:val="TableParagraph"/>
              <w:ind w:right="44"/>
              <w:rPr>
                <w:sz w:val="14"/>
              </w:rPr>
            </w:pPr>
            <w:r>
              <w:rPr>
                <w:color w:val="231F20"/>
                <w:sz w:val="14"/>
              </w:rPr>
              <w:t>674</w:t>
            </w:r>
          </w:p>
        </w:tc>
        <w:tc>
          <w:tcPr>
            <w:tcW w:w="955" w:type="dxa"/>
          </w:tcPr>
          <w:p>
            <w:pPr>
              <w:pStyle w:val="TableParagraph"/>
              <w:ind w:right="44"/>
              <w:rPr>
                <w:sz w:val="14"/>
              </w:rPr>
            </w:pPr>
            <w:r>
              <w:rPr>
                <w:color w:val="231F20"/>
                <w:sz w:val="14"/>
              </w:rPr>
              <w:t>138</w:t>
            </w:r>
          </w:p>
        </w:tc>
        <w:tc>
          <w:tcPr>
            <w:tcW w:w="636" w:type="dxa"/>
          </w:tcPr>
          <w:p>
            <w:pPr>
              <w:pStyle w:val="TableParagraph"/>
              <w:ind w:right="44"/>
              <w:rPr>
                <w:sz w:val="14"/>
              </w:rPr>
            </w:pPr>
            <w:r>
              <w:rPr>
                <w:color w:val="231F20"/>
                <w:sz w:val="14"/>
              </w:rPr>
              <w:t>660</w:t>
            </w:r>
          </w:p>
        </w:tc>
        <w:tc>
          <w:tcPr>
            <w:tcW w:w="636" w:type="dxa"/>
          </w:tcPr>
          <w:p>
            <w:pPr>
              <w:pStyle w:val="TableParagraph"/>
              <w:ind w:right="44"/>
              <w:rPr>
                <w:sz w:val="14"/>
              </w:rPr>
            </w:pPr>
            <w:r>
              <w:rPr>
                <w:color w:val="231F20"/>
                <w:sz w:val="14"/>
              </w:rPr>
              <w:t>580</w:t>
            </w:r>
          </w:p>
        </w:tc>
        <w:tc>
          <w:tcPr>
            <w:tcW w:w="636" w:type="dxa"/>
          </w:tcPr>
          <w:p>
            <w:pPr>
              <w:pStyle w:val="TableParagraph"/>
              <w:ind w:right="44"/>
              <w:rPr>
                <w:sz w:val="14"/>
              </w:rPr>
            </w:pPr>
            <w:r>
              <w:rPr>
                <w:color w:val="231F20"/>
                <w:sz w:val="14"/>
              </w:rPr>
              <w:t>720</w:t>
            </w:r>
          </w:p>
        </w:tc>
        <w:tc>
          <w:tcPr>
            <w:tcW w:w="636" w:type="dxa"/>
          </w:tcPr>
          <w:p>
            <w:pPr>
              <w:pStyle w:val="TableParagraph"/>
              <w:ind w:right="44"/>
              <w:rPr>
                <w:sz w:val="14"/>
              </w:rPr>
            </w:pPr>
            <w:r>
              <w:rPr>
                <w:color w:val="231F20"/>
                <w:sz w:val="14"/>
              </w:rPr>
              <w:t>650</w:t>
            </w:r>
          </w:p>
        </w:tc>
      </w:tr>
      <w:tr>
        <w:trPr>
          <w:trHeight w:val="200" w:hRule="atLeast"/>
        </w:trPr>
        <w:tc>
          <w:tcPr>
            <w:tcW w:w="2182" w:type="dxa"/>
          </w:tcPr>
          <w:p>
            <w:pPr>
              <w:pStyle w:val="TableParagraph"/>
              <w:ind w:left="57"/>
              <w:jc w:val="left"/>
              <w:rPr>
                <w:sz w:val="14"/>
              </w:rPr>
            </w:pPr>
            <w:r>
              <w:rPr>
                <w:color w:val="231F20"/>
                <w:sz w:val="14"/>
              </w:rPr>
              <w:t>24. Рeчицa</w:t>
            </w:r>
          </w:p>
        </w:tc>
        <w:tc>
          <w:tcPr>
            <w:tcW w:w="635" w:type="dxa"/>
          </w:tcPr>
          <w:p>
            <w:pPr>
              <w:pStyle w:val="TableParagraph"/>
              <w:ind w:right="44"/>
              <w:rPr>
                <w:sz w:val="14"/>
              </w:rPr>
            </w:pPr>
            <w:r>
              <w:rPr>
                <w:color w:val="231F20"/>
                <w:sz w:val="14"/>
              </w:rPr>
              <w:t>883</w:t>
            </w:r>
          </w:p>
        </w:tc>
        <w:tc>
          <w:tcPr>
            <w:tcW w:w="636" w:type="dxa"/>
          </w:tcPr>
          <w:p>
            <w:pPr>
              <w:pStyle w:val="TableParagraph"/>
              <w:ind w:right="44"/>
              <w:rPr>
                <w:sz w:val="14"/>
              </w:rPr>
            </w:pPr>
            <w:r>
              <w:rPr>
                <w:color w:val="231F20"/>
                <w:sz w:val="14"/>
              </w:rPr>
              <w:t>816</w:t>
            </w:r>
          </w:p>
        </w:tc>
        <w:tc>
          <w:tcPr>
            <w:tcW w:w="636" w:type="dxa"/>
          </w:tcPr>
          <w:p>
            <w:pPr>
              <w:pStyle w:val="TableParagraph"/>
              <w:ind w:right="44"/>
              <w:rPr>
                <w:sz w:val="14"/>
              </w:rPr>
            </w:pPr>
            <w:r>
              <w:rPr>
                <w:color w:val="231F20"/>
                <w:sz w:val="14"/>
              </w:rPr>
              <w:t>735</w:t>
            </w:r>
          </w:p>
        </w:tc>
        <w:tc>
          <w:tcPr>
            <w:tcW w:w="636" w:type="dxa"/>
          </w:tcPr>
          <w:p>
            <w:pPr>
              <w:pStyle w:val="TableParagraph"/>
              <w:ind w:right="44"/>
              <w:rPr>
                <w:sz w:val="14"/>
              </w:rPr>
            </w:pPr>
            <w:r>
              <w:rPr>
                <w:color w:val="231F20"/>
                <w:sz w:val="14"/>
              </w:rPr>
              <w:t>636</w:t>
            </w:r>
          </w:p>
        </w:tc>
        <w:tc>
          <w:tcPr>
            <w:tcW w:w="636" w:type="dxa"/>
          </w:tcPr>
          <w:p>
            <w:pPr>
              <w:pStyle w:val="TableParagraph"/>
              <w:ind w:right="44"/>
              <w:rPr>
                <w:sz w:val="14"/>
              </w:rPr>
            </w:pPr>
            <w:r>
              <w:rPr>
                <w:color w:val="231F20"/>
                <w:sz w:val="14"/>
              </w:rPr>
              <w:t>518</w:t>
            </w:r>
          </w:p>
        </w:tc>
        <w:tc>
          <w:tcPr>
            <w:tcW w:w="741" w:type="dxa"/>
          </w:tcPr>
          <w:p>
            <w:pPr>
              <w:pStyle w:val="TableParagraph"/>
              <w:ind w:right="44"/>
              <w:rPr>
                <w:sz w:val="14"/>
              </w:rPr>
            </w:pPr>
            <w:r>
              <w:rPr>
                <w:color w:val="231F20"/>
                <w:sz w:val="14"/>
              </w:rPr>
              <w:t>756</w:t>
            </w:r>
          </w:p>
        </w:tc>
        <w:tc>
          <w:tcPr>
            <w:tcW w:w="878" w:type="dxa"/>
          </w:tcPr>
          <w:p>
            <w:pPr>
              <w:pStyle w:val="TableParagraph"/>
              <w:ind w:right="44"/>
              <w:rPr>
                <w:sz w:val="14"/>
              </w:rPr>
            </w:pPr>
            <w:r>
              <w:rPr>
                <w:color w:val="231F20"/>
                <w:sz w:val="14"/>
              </w:rPr>
              <w:t>465</w:t>
            </w:r>
          </w:p>
        </w:tc>
        <w:tc>
          <w:tcPr>
            <w:tcW w:w="955" w:type="dxa"/>
          </w:tcPr>
          <w:p>
            <w:pPr>
              <w:pStyle w:val="TableParagraph"/>
              <w:ind w:right="44"/>
              <w:rPr>
                <w:sz w:val="14"/>
              </w:rPr>
            </w:pPr>
            <w:r>
              <w:rPr>
                <w:color w:val="231F20"/>
                <w:sz w:val="14"/>
              </w:rPr>
              <w:t>287</w:t>
            </w:r>
          </w:p>
        </w:tc>
        <w:tc>
          <w:tcPr>
            <w:tcW w:w="636" w:type="dxa"/>
          </w:tcPr>
          <w:p>
            <w:pPr>
              <w:pStyle w:val="TableParagraph"/>
              <w:ind w:right="44"/>
              <w:rPr>
                <w:sz w:val="14"/>
              </w:rPr>
            </w:pPr>
            <w:r>
              <w:rPr>
                <w:color w:val="231F20"/>
                <w:sz w:val="14"/>
              </w:rPr>
              <w:t>450</w:t>
            </w:r>
          </w:p>
        </w:tc>
        <w:tc>
          <w:tcPr>
            <w:tcW w:w="636" w:type="dxa"/>
          </w:tcPr>
          <w:p>
            <w:pPr>
              <w:pStyle w:val="TableParagraph"/>
              <w:ind w:right="44"/>
              <w:rPr>
                <w:sz w:val="14"/>
              </w:rPr>
            </w:pPr>
            <w:r>
              <w:rPr>
                <w:color w:val="231F20"/>
                <w:sz w:val="14"/>
              </w:rPr>
              <w:t>390</w:t>
            </w:r>
          </w:p>
        </w:tc>
        <w:tc>
          <w:tcPr>
            <w:tcW w:w="636" w:type="dxa"/>
          </w:tcPr>
          <w:p>
            <w:pPr>
              <w:pStyle w:val="TableParagraph"/>
              <w:ind w:right="44"/>
              <w:rPr>
                <w:sz w:val="14"/>
              </w:rPr>
            </w:pPr>
            <w:r>
              <w:rPr>
                <w:color w:val="231F20"/>
                <w:sz w:val="14"/>
              </w:rPr>
              <w:t>500</w:t>
            </w:r>
          </w:p>
        </w:tc>
        <w:tc>
          <w:tcPr>
            <w:tcW w:w="636" w:type="dxa"/>
          </w:tcPr>
          <w:p>
            <w:pPr>
              <w:pStyle w:val="TableParagraph"/>
              <w:ind w:right="44"/>
              <w:rPr>
                <w:sz w:val="14"/>
              </w:rPr>
            </w:pPr>
            <w:r>
              <w:rPr>
                <w:color w:val="231F20"/>
                <w:sz w:val="14"/>
              </w:rPr>
              <w:t>450</w:t>
            </w:r>
          </w:p>
        </w:tc>
      </w:tr>
      <w:tr>
        <w:trPr>
          <w:trHeight w:val="200" w:hRule="atLeast"/>
        </w:trPr>
        <w:tc>
          <w:tcPr>
            <w:tcW w:w="2182" w:type="dxa"/>
          </w:tcPr>
          <w:p>
            <w:pPr>
              <w:pStyle w:val="TableParagraph"/>
              <w:ind w:left="57"/>
              <w:jc w:val="left"/>
              <w:rPr>
                <w:sz w:val="14"/>
              </w:rPr>
            </w:pPr>
            <w:r>
              <w:rPr>
                <w:color w:val="231F20"/>
                <w:sz w:val="14"/>
              </w:rPr>
              <w:t>25. Сeлo Кoстoлaц</w:t>
            </w:r>
          </w:p>
        </w:tc>
        <w:tc>
          <w:tcPr>
            <w:tcW w:w="635" w:type="dxa"/>
          </w:tcPr>
          <w:p>
            <w:pPr>
              <w:pStyle w:val="TableParagraph"/>
              <w:ind w:right="44"/>
              <w:rPr>
                <w:sz w:val="14"/>
              </w:rPr>
            </w:pPr>
            <w:r>
              <w:rPr>
                <w:color w:val="231F20"/>
                <w:sz w:val="14"/>
              </w:rPr>
              <w:t>1214</w:t>
            </w:r>
          </w:p>
        </w:tc>
        <w:tc>
          <w:tcPr>
            <w:tcW w:w="636" w:type="dxa"/>
          </w:tcPr>
          <w:p>
            <w:pPr>
              <w:pStyle w:val="TableParagraph"/>
              <w:ind w:right="44"/>
              <w:rPr>
                <w:sz w:val="14"/>
              </w:rPr>
            </w:pPr>
            <w:r>
              <w:rPr>
                <w:color w:val="231F20"/>
                <w:sz w:val="14"/>
              </w:rPr>
              <w:t>1049</w:t>
            </w:r>
          </w:p>
        </w:tc>
        <w:tc>
          <w:tcPr>
            <w:tcW w:w="636" w:type="dxa"/>
          </w:tcPr>
          <w:p>
            <w:pPr>
              <w:pStyle w:val="TableParagraph"/>
              <w:ind w:right="44"/>
              <w:rPr>
                <w:sz w:val="14"/>
              </w:rPr>
            </w:pPr>
            <w:r>
              <w:rPr>
                <w:color w:val="231F20"/>
                <w:sz w:val="14"/>
              </w:rPr>
              <w:t>1381</w:t>
            </w:r>
          </w:p>
        </w:tc>
        <w:tc>
          <w:tcPr>
            <w:tcW w:w="636" w:type="dxa"/>
          </w:tcPr>
          <w:p>
            <w:pPr>
              <w:pStyle w:val="TableParagraph"/>
              <w:ind w:right="44"/>
              <w:rPr>
                <w:sz w:val="14"/>
              </w:rPr>
            </w:pPr>
            <w:r>
              <w:rPr>
                <w:color w:val="231F20"/>
                <w:sz w:val="14"/>
              </w:rPr>
              <w:t>1000</w:t>
            </w:r>
          </w:p>
        </w:tc>
        <w:tc>
          <w:tcPr>
            <w:tcW w:w="636" w:type="dxa"/>
          </w:tcPr>
          <w:p>
            <w:pPr>
              <w:pStyle w:val="TableParagraph"/>
              <w:ind w:right="44"/>
              <w:rPr>
                <w:sz w:val="14"/>
              </w:rPr>
            </w:pPr>
            <w:r>
              <w:rPr>
                <w:color w:val="231F20"/>
                <w:sz w:val="14"/>
              </w:rPr>
              <w:t>1313</w:t>
            </w:r>
          </w:p>
        </w:tc>
        <w:tc>
          <w:tcPr>
            <w:tcW w:w="741" w:type="dxa"/>
          </w:tcPr>
          <w:p>
            <w:pPr>
              <w:pStyle w:val="TableParagraph"/>
              <w:ind w:right="44"/>
              <w:rPr>
                <w:sz w:val="14"/>
              </w:rPr>
            </w:pPr>
            <w:r>
              <w:rPr>
                <w:color w:val="231F20"/>
                <w:sz w:val="14"/>
              </w:rPr>
              <w:t>1305</w:t>
            </w:r>
          </w:p>
        </w:tc>
        <w:tc>
          <w:tcPr>
            <w:tcW w:w="878" w:type="dxa"/>
          </w:tcPr>
          <w:p>
            <w:pPr>
              <w:pStyle w:val="TableParagraph"/>
              <w:ind w:right="43"/>
              <w:rPr>
                <w:sz w:val="14"/>
              </w:rPr>
            </w:pPr>
            <w:r>
              <w:rPr>
                <w:color w:val="231F20"/>
                <w:sz w:val="14"/>
              </w:rPr>
              <w:t>1188</w:t>
            </w:r>
          </w:p>
        </w:tc>
        <w:tc>
          <w:tcPr>
            <w:tcW w:w="955" w:type="dxa"/>
          </w:tcPr>
          <w:p>
            <w:pPr>
              <w:pStyle w:val="TableParagraph"/>
              <w:ind w:right="44"/>
              <w:rPr>
                <w:sz w:val="14"/>
              </w:rPr>
            </w:pPr>
            <w:r>
              <w:rPr>
                <w:color w:val="231F20"/>
                <w:sz w:val="14"/>
              </w:rPr>
              <w:t>102</w:t>
            </w:r>
          </w:p>
        </w:tc>
        <w:tc>
          <w:tcPr>
            <w:tcW w:w="636" w:type="dxa"/>
          </w:tcPr>
          <w:p>
            <w:pPr>
              <w:pStyle w:val="TableParagraph"/>
              <w:ind w:right="45"/>
              <w:rPr>
                <w:sz w:val="14"/>
              </w:rPr>
            </w:pPr>
            <w:r>
              <w:rPr>
                <w:color w:val="231F20"/>
                <w:sz w:val="14"/>
              </w:rPr>
              <w:t>1190</w:t>
            </w:r>
          </w:p>
        </w:tc>
        <w:tc>
          <w:tcPr>
            <w:tcW w:w="636" w:type="dxa"/>
          </w:tcPr>
          <w:p>
            <w:pPr>
              <w:pStyle w:val="TableParagraph"/>
              <w:ind w:right="43"/>
              <w:rPr>
                <w:sz w:val="14"/>
              </w:rPr>
            </w:pPr>
            <w:r>
              <w:rPr>
                <w:color w:val="231F20"/>
                <w:sz w:val="14"/>
              </w:rPr>
              <w:t>1110</w:t>
            </w:r>
          </w:p>
        </w:tc>
        <w:tc>
          <w:tcPr>
            <w:tcW w:w="636" w:type="dxa"/>
          </w:tcPr>
          <w:p>
            <w:pPr>
              <w:pStyle w:val="TableParagraph"/>
              <w:ind w:right="43"/>
              <w:rPr>
                <w:sz w:val="14"/>
              </w:rPr>
            </w:pPr>
            <w:r>
              <w:rPr>
                <w:color w:val="231F20"/>
                <w:sz w:val="14"/>
              </w:rPr>
              <w:t>1220</w:t>
            </w:r>
          </w:p>
        </w:tc>
        <w:tc>
          <w:tcPr>
            <w:tcW w:w="636" w:type="dxa"/>
          </w:tcPr>
          <w:p>
            <w:pPr>
              <w:pStyle w:val="TableParagraph"/>
              <w:ind w:right="43"/>
              <w:rPr>
                <w:sz w:val="14"/>
              </w:rPr>
            </w:pPr>
            <w:r>
              <w:rPr>
                <w:color w:val="231F20"/>
                <w:sz w:val="14"/>
              </w:rPr>
              <w:t>1170</w:t>
            </w:r>
          </w:p>
        </w:tc>
      </w:tr>
      <w:tr>
        <w:trPr>
          <w:trHeight w:val="200" w:hRule="atLeast"/>
        </w:trPr>
        <w:tc>
          <w:tcPr>
            <w:tcW w:w="2182" w:type="dxa"/>
          </w:tcPr>
          <w:p>
            <w:pPr>
              <w:pStyle w:val="TableParagraph"/>
              <w:ind w:left="57"/>
              <w:jc w:val="left"/>
              <w:rPr>
                <w:sz w:val="14"/>
              </w:rPr>
            </w:pPr>
            <w:r>
              <w:rPr>
                <w:color w:val="231F20"/>
                <w:sz w:val="14"/>
              </w:rPr>
              <w:t>26. Трњaнe</w:t>
            </w:r>
          </w:p>
        </w:tc>
        <w:tc>
          <w:tcPr>
            <w:tcW w:w="635" w:type="dxa"/>
          </w:tcPr>
          <w:p>
            <w:pPr>
              <w:pStyle w:val="TableParagraph"/>
              <w:ind w:right="43"/>
              <w:rPr>
                <w:sz w:val="14"/>
              </w:rPr>
            </w:pPr>
            <w:r>
              <w:rPr>
                <w:color w:val="231F20"/>
                <w:sz w:val="14"/>
              </w:rPr>
              <w:t>1376</w:t>
            </w:r>
          </w:p>
        </w:tc>
        <w:tc>
          <w:tcPr>
            <w:tcW w:w="636" w:type="dxa"/>
          </w:tcPr>
          <w:p>
            <w:pPr>
              <w:pStyle w:val="TableParagraph"/>
              <w:ind w:right="43"/>
              <w:rPr>
                <w:sz w:val="14"/>
              </w:rPr>
            </w:pPr>
            <w:r>
              <w:rPr>
                <w:color w:val="231F20"/>
                <w:sz w:val="14"/>
              </w:rPr>
              <w:t>1241</w:t>
            </w:r>
          </w:p>
        </w:tc>
        <w:tc>
          <w:tcPr>
            <w:tcW w:w="636" w:type="dxa"/>
          </w:tcPr>
          <w:p>
            <w:pPr>
              <w:pStyle w:val="TableParagraph"/>
              <w:ind w:right="43"/>
              <w:rPr>
                <w:sz w:val="14"/>
              </w:rPr>
            </w:pPr>
            <w:r>
              <w:rPr>
                <w:color w:val="231F20"/>
                <w:sz w:val="14"/>
              </w:rPr>
              <w:t>1225</w:t>
            </w:r>
          </w:p>
        </w:tc>
        <w:tc>
          <w:tcPr>
            <w:tcW w:w="636" w:type="dxa"/>
          </w:tcPr>
          <w:p>
            <w:pPr>
              <w:pStyle w:val="TableParagraph"/>
              <w:ind w:right="43"/>
              <w:rPr>
                <w:sz w:val="14"/>
              </w:rPr>
            </w:pPr>
            <w:r>
              <w:rPr>
                <w:color w:val="231F20"/>
                <w:sz w:val="14"/>
              </w:rPr>
              <w:t>989</w:t>
            </w:r>
          </w:p>
        </w:tc>
        <w:tc>
          <w:tcPr>
            <w:tcW w:w="636" w:type="dxa"/>
          </w:tcPr>
          <w:p>
            <w:pPr>
              <w:pStyle w:val="TableParagraph"/>
              <w:ind w:right="43"/>
              <w:rPr>
                <w:sz w:val="14"/>
              </w:rPr>
            </w:pPr>
            <w:r>
              <w:rPr>
                <w:color w:val="231F20"/>
                <w:sz w:val="14"/>
              </w:rPr>
              <w:t>915</w:t>
            </w:r>
          </w:p>
        </w:tc>
        <w:tc>
          <w:tcPr>
            <w:tcW w:w="741" w:type="dxa"/>
          </w:tcPr>
          <w:p>
            <w:pPr>
              <w:pStyle w:val="TableParagraph"/>
              <w:ind w:right="43"/>
              <w:rPr>
                <w:sz w:val="14"/>
              </w:rPr>
            </w:pPr>
            <w:r>
              <w:rPr>
                <w:color w:val="231F20"/>
                <w:sz w:val="14"/>
              </w:rPr>
              <w:t>1058</w:t>
            </w:r>
          </w:p>
        </w:tc>
        <w:tc>
          <w:tcPr>
            <w:tcW w:w="878" w:type="dxa"/>
          </w:tcPr>
          <w:p>
            <w:pPr>
              <w:pStyle w:val="TableParagraph"/>
              <w:ind w:right="43"/>
              <w:rPr>
                <w:sz w:val="14"/>
              </w:rPr>
            </w:pPr>
            <w:r>
              <w:rPr>
                <w:color w:val="231F20"/>
                <w:sz w:val="14"/>
              </w:rPr>
              <w:t>782</w:t>
            </w:r>
          </w:p>
        </w:tc>
        <w:tc>
          <w:tcPr>
            <w:tcW w:w="955" w:type="dxa"/>
          </w:tcPr>
          <w:p>
            <w:pPr>
              <w:pStyle w:val="TableParagraph"/>
              <w:ind w:right="43"/>
              <w:rPr>
                <w:sz w:val="14"/>
              </w:rPr>
            </w:pPr>
            <w:r>
              <w:rPr>
                <w:color w:val="231F20"/>
                <w:sz w:val="14"/>
              </w:rPr>
              <w:t>275</w:t>
            </w:r>
          </w:p>
        </w:tc>
        <w:tc>
          <w:tcPr>
            <w:tcW w:w="636" w:type="dxa"/>
          </w:tcPr>
          <w:p>
            <w:pPr>
              <w:pStyle w:val="TableParagraph"/>
              <w:ind w:right="43"/>
              <w:rPr>
                <w:sz w:val="14"/>
              </w:rPr>
            </w:pPr>
            <w:r>
              <w:rPr>
                <w:color w:val="231F20"/>
                <w:sz w:val="14"/>
              </w:rPr>
              <w:t>750</w:t>
            </w:r>
          </w:p>
        </w:tc>
        <w:tc>
          <w:tcPr>
            <w:tcW w:w="636" w:type="dxa"/>
          </w:tcPr>
          <w:p>
            <w:pPr>
              <w:pStyle w:val="TableParagraph"/>
              <w:ind w:right="43"/>
              <w:rPr>
                <w:sz w:val="14"/>
              </w:rPr>
            </w:pPr>
            <w:r>
              <w:rPr>
                <w:color w:val="231F20"/>
                <w:sz w:val="14"/>
              </w:rPr>
              <w:t>700</w:t>
            </w:r>
          </w:p>
        </w:tc>
        <w:tc>
          <w:tcPr>
            <w:tcW w:w="636" w:type="dxa"/>
          </w:tcPr>
          <w:p>
            <w:pPr>
              <w:pStyle w:val="TableParagraph"/>
              <w:ind w:right="43"/>
              <w:rPr>
                <w:sz w:val="14"/>
              </w:rPr>
            </w:pPr>
            <w:r>
              <w:rPr>
                <w:color w:val="231F20"/>
                <w:sz w:val="14"/>
              </w:rPr>
              <w:t>860</w:t>
            </w:r>
          </w:p>
        </w:tc>
        <w:tc>
          <w:tcPr>
            <w:tcW w:w="636" w:type="dxa"/>
          </w:tcPr>
          <w:p>
            <w:pPr>
              <w:pStyle w:val="TableParagraph"/>
              <w:ind w:right="43"/>
              <w:rPr>
                <w:sz w:val="14"/>
              </w:rPr>
            </w:pPr>
            <w:r>
              <w:rPr>
                <w:color w:val="231F20"/>
                <w:sz w:val="14"/>
              </w:rPr>
              <w:t>800</w:t>
            </w:r>
          </w:p>
        </w:tc>
      </w:tr>
      <w:tr>
        <w:trPr>
          <w:trHeight w:val="200" w:hRule="atLeast"/>
        </w:trPr>
        <w:tc>
          <w:tcPr>
            <w:tcW w:w="2182" w:type="dxa"/>
          </w:tcPr>
          <w:p>
            <w:pPr>
              <w:pStyle w:val="TableParagraph"/>
              <w:ind w:left="57"/>
              <w:jc w:val="left"/>
              <w:rPr>
                <w:sz w:val="14"/>
              </w:rPr>
            </w:pPr>
            <w:r>
              <w:rPr>
                <w:color w:val="231F20"/>
                <w:sz w:val="14"/>
              </w:rPr>
              <w:t>27. Ћирикoвaц</w:t>
            </w:r>
          </w:p>
        </w:tc>
        <w:tc>
          <w:tcPr>
            <w:tcW w:w="635" w:type="dxa"/>
          </w:tcPr>
          <w:p>
            <w:pPr>
              <w:pStyle w:val="TableParagraph"/>
              <w:ind w:right="43"/>
              <w:rPr>
                <w:sz w:val="14"/>
              </w:rPr>
            </w:pPr>
            <w:r>
              <w:rPr>
                <w:color w:val="231F20"/>
                <w:sz w:val="14"/>
              </w:rPr>
              <w:t>1744</w:t>
            </w:r>
          </w:p>
        </w:tc>
        <w:tc>
          <w:tcPr>
            <w:tcW w:w="636" w:type="dxa"/>
          </w:tcPr>
          <w:p>
            <w:pPr>
              <w:pStyle w:val="TableParagraph"/>
              <w:ind w:right="43"/>
              <w:rPr>
                <w:sz w:val="14"/>
              </w:rPr>
            </w:pPr>
            <w:r>
              <w:rPr>
                <w:color w:val="231F20"/>
                <w:sz w:val="14"/>
              </w:rPr>
              <w:t>1645</w:t>
            </w:r>
          </w:p>
        </w:tc>
        <w:tc>
          <w:tcPr>
            <w:tcW w:w="636" w:type="dxa"/>
          </w:tcPr>
          <w:p>
            <w:pPr>
              <w:pStyle w:val="TableParagraph"/>
              <w:ind w:right="43"/>
              <w:rPr>
                <w:sz w:val="14"/>
              </w:rPr>
            </w:pPr>
            <w:r>
              <w:rPr>
                <w:color w:val="231F20"/>
                <w:sz w:val="14"/>
              </w:rPr>
              <w:t>1573</w:t>
            </w:r>
          </w:p>
        </w:tc>
        <w:tc>
          <w:tcPr>
            <w:tcW w:w="636" w:type="dxa"/>
          </w:tcPr>
          <w:p>
            <w:pPr>
              <w:pStyle w:val="TableParagraph"/>
              <w:ind w:right="43"/>
              <w:rPr>
                <w:sz w:val="14"/>
              </w:rPr>
            </w:pPr>
            <w:r>
              <w:rPr>
                <w:color w:val="231F20"/>
                <w:sz w:val="14"/>
              </w:rPr>
              <w:t>1489</w:t>
            </w:r>
          </w:p>
        </w:tc>
        <w:tc>
          <w:tcPr>
            <w:tcW w:w="636" w:type="dxa"/>
          </w:tcPr>
          <w:p>
            <w:pPr>
              <w:pStyle w:val="TableParagraph"/>
              <w:ind w:right="43"/>
              <w:rPr>
                <w:sz w:val="14"/>
              </w:rPr>
            </w:pPr>
            <w:r>
              <w:rPr>
                <w:color w:val="231F20"/>
                <w:sz w:val="14"/>
              </w:rPr>
              <w:t>1407</w:t>
            </w:r>
          </w:p>
        </w:tc>
        <w:tc>
          <w:tcPr>
            <w:tcW w:w="741" w:type="dxa"/>
          </w:tcPr>
          <w:p>
            <w:pPr>
              <w:pStyle w:val="TableParagraph"/>
              <w:ind w:right="43"/>
              <w:rPr>
                <w:sz w:val="14"/>
              </w:rPr>
            </w:pPr>
            <w:r>
              <w:rPr>
                <w:color w:val="231F20"/>
                <w:sz w:val="14"/>
              </w:rPr>
              <w:t>1394</w:t>
            </w:r>
          </w:p>
        </w:tc>
        <w:tc>
          <w:tcPr>
            <w:tcW w:w="878" w:type="dxa"/>
          </w:tcPr>
          <w:p>
            <w:pPr>
              <w:pStyle w:val="TableParagraph"/>
              <w:ind w:right="43"/>
              <w:rPr>
                <w:sz w:val="14"/>
              </w:rPr>
            </w:pPr>
            <w:r>
              <w:rPr>
                <w:color w:val="231F20"/>
                <w:sz w:val="14"/>
              </w:rPr>
              <w:t>1250</w:t>
            </w:r>
          </w:p>
        </w:tc>
        <w:tc>
          <w:tcPr>
            <w:tcW w:w="955" w:type="dxa"/>
          </w:tcPr>
          <w:p>
            <w:pPr>
              <w:pStyle w:val="TableParagraph"/>
              <w:ind w:right="43"/>
              <w:rPr>
                <w:sz w:val="14"/>
              </w:rPr>
            </w:pPr>
            <w:r>
              <w:rPr>
                <w:color w:val="231F20"/>
                <w:sz w:val="14"/>
              </w:rPr>
              <w:t>143</w:t>
            </w:r>
          </w:p>
        </w:tc>
        <w:tc>
          <w:tcPr>
            <w:tcW w:w="636" w:type="dxa"/>
          </w:tcPr>
          <w:p>
            <w:pPr>
              <w:pStyle w:val="TableParagraph"/>
              <w:ind w:right="43"/>
              <w:rPr>
                <w:sz w:val="14"/>
              </w:rPr>
            </w:pPr>
            <w:r>
              <w:rPr>
                <w:color w:val="231F20"/>
                <w:sz w:val="14"/>
              </w:rPr>
              <w:t>1230</w:t>
            </w:r>
          </w:p>
        </w:tc>
        <w:tc>
          <w:tcPr>
            <w:tcW w:w="636" w:type="dxa"/>
          </w:tcPr>
          <w:p>
            <w:pPr>
              <w:pStyle w:val="TableParagraph"/>
              <w:ind w:right="43"/>
              <w:rPr>
                <w:sz w:val="14"/>
              </w:rPr>
            </w:pPr>
            <w:r>
              <w:rPr>
                <w:color w:val="231F20"/>
                <w:sz w:val="14"/>
              </w:rPr>
              <w:t>1170</w:t>
            </w:r>
          </w:p>
        </w:tc>
        <w:tc>
          <w:tcPr>
            <w:tcW w:w="636" w:type="dxa"/>
          </w:tcPr>
          <w:p>
            <w:pPr>
              <w:pStyle w:val="TableParagraph"/>
              <w:ind w:right="43"/>
              <w:rPr>
                <w:sz w:val="14"/>
              </w:rPr>
            </w:pPr>
            <w:r>
              <w:rPr>
                <w:color w:val="231F20"/>
                <w:sz w:val="14"/>
              </w:rPr>
              <w:t>1280</w:t>
            </w:r>
          </w:p>
        </w:tc>
        <w:tc>
          <w:tcPr>
            <w:tcW w:w="636" w:type="dxa"/>
          </w:tcPr>
          <w:p>
            <w:pPr>
              <w:pStyle w:val="TableParagraph"/>
              <w:ind w:right="43"/>
              <w:rPr>
                <w:sz w:val="14"/>
              </w:rPr>
            </w:pPr>
            <w:r>
              <w:rPr>
                <w:color w:val="231F20"/>
                <w:sz w:val="14"/>
              </w:rPr>
              <w:t>1250</w:t>
            </w:r>
          </w:p>
        </w:tc>
      </w:tr>
      <w:tr>
        <w:trPr>
          <w:trHeight w:val="200" w:hRule="atLeast"/>
        </w:trPr>
        <w:tc>
          <w:tcPr>
            <w:tcW w:w="2182" w:type="dxa"/>
          </w:tcPr>
          <w:p>
            <w:pPr>
              <w:pStyle w:val="TableParagraph"/>
              <w:ind w:left="57"/>
              <w:jc w:val="left"/>
              <w:rPr>
                <w:sz w:val="14"/>
              </w:rPr>
            </w:pPr>
            <w:r>
              <w:rPr>
                <w:color w:val="231F20"/>
                <w:sz w:val="14"/>
              </w:rPr>
              <w:t>НЕРАСПОРЕЂЕНИ</w:t>
            </w:r>
          </w:p>
        </w:tc>
        <w:tc>
          <w:tcPr>
            <w:tcW w:w="635" w:type="dxa"/>
          </w:tcPr>
          <w:p>
            <w:pPr>
              <w:pStyle w:val="TableParagraph"/>
              <w:spacing w:before="0"/>
              <w:jc w:val="left"/>
              <w:rPr>
                <w:sz w:val="12"/>
              </w:rPr>
            </w:pP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c>
          <w:tcPr>
            <w:tcW w:w="741" w:type="dxa"/>
          </w:tcPr>
          <w:p>
            <w:pPr>
              <w:pStyle w:val="TableParagraph"/>
              <w:ind w:right="43"/>
              <w:rPr>
                <w:sz w:val="14"/>
              </w:rPr>
            </w:pPr>
            <w:r>
              <w:rPr>
                <w:color w:val="231F20"/>
                <w:sz w:val="14"/>
              </w:rPr>
              <w:t>1306</w:t>
            </w:r>
          </w:p>
        </w:tc>
        <w:tc>
          <w:tcPr>
            <w:tcW w:w="878" w:type="dxa"/>
          </w:tcPr>
          <w:p>
            <w:pPr>
              <w:pStyle w:val="TableParagraph"/>
              <w:ind w:right="43"/>
              <w:rPr>
                <w:sz w:val="14"/>
              </w:rPr>
            </w:pPr>
            <w:r>
              <w:rPr>
                <w:color w:val="231F20"/>
                <w:sz w:val="14"/>
              </w:rPr>
              <w:t>1185</w:t>
            </w:r>
          </w:p>
        </w:tc>
        <w:tc>
          <w:tcPr>
            <w:tcW w:w="955" w:type="dxa"/>
          </w:tcPr>
          <w:p>
            <w:pPr>
              <w:pStyle w:val="TableParagraph"/>
              <w:ind w:right="43"/>
              <w:rPr>
                <w:sz w:val="14"/>
              </w:rPr>
            </w:pPr>
            <w:r>
              <w:rPr>
                <w:color w:val="231F20"/>
                <w:sz w:val="14"/>
              </w:rPr>
              <w:t>119</w:t>
            </w: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c>
          <w:tcPr>
            <w:tcW w:w="636" w:type="dxa"/>
          </w:tcPr>
          <w:p>
            <w:pPr>
              <w:pStyle w:val="TableParagraph"/>
              <w:spacing w:before="0"/>
              <w:jc w:val="left"/>
              <w:rPr>
                <w:sz w:val="12"/>
              </w:rPr>
            </w:pPr>
          </w:p>
        </w:tc>
      </w:tr>
      <w:tr>
        <w:trPr>
          <w:trHeight w:val="360" w:hRule="atLeast"/>
        </w:trPr>
        <w:tc>
          <w:tcPr>
            <w:tcW w:w="2182" w:type="dxa"/>
          </w:tcPr>
          <w:p>
            <w:pPr>
              <w:pStyle w:val="TableParagraph"/>
              <w:spacing w:before="17"/>
              <w:ind w:left="57"/>
              <w:jc w:val="left"/>
              <w:rPr>
                <w:sz w:val="14"/>
              </w:rPr>
            </w:pPr>
            <w:r>
              <w:rPr>
                <w:color w:val="231F20"/>
                <w:sz w:val="14"/>
              </w:rPr>
              <w:t>Насеља општине В. Градиште на Планском подручју</w:t>
            </w:r>
          </w:p>
        </w:tc>
        <w:tc>
          <w:tcPr>
            <w:tcW w:w="635" w:type="dxa"/>
          </w:tcPr>
          <w:p>
            <w:pPr>
              <w:pStyle w:val="TableParagraph"/>
              <w:spacing w:before="17"/>
              <w:ind w:right="43"/>
              <w:rPr>
                <w:sz w:val="14"/>
              </w:rPr>
            </w:pPr>
            <w:r>
              <w:rPr>
                <w:color w:val="231F20"/>
                <w:sz w:val="14"/>
              </w:rPr>
              <w:t>4200</w:t>
            </w:r>
          </w:p>
        </w:tc>
        <w:tc>
          <w:tcPr>
            <w:tcW w:w="636" w:type="dxa"/>
          </w:tcPr>
          <w:p>
            <w:pPr>
              <w:pStyle w:val="TableParagraph"/>
              <w:spacing w:before="17"/>
              <w:ind w:right="43"/>
              <w:rPr>
                <w:sz w:val="14"/>
              </w:rPr>
            </w:pPr>
            <w:r>
              <w:rPr>
                <w:color w:val="231F20"/>
                <w:sz w:val="14"/>
              </w:rPr>
              <w:t>4005</w:t>
            </w:r>
          </w:p>
        </w:tc>
        <w:tc>
          <w:tcPr>
            <w:tcW w:w="636" w:type="dxa"/>
          </w:tcPr>
          <w:p>
            <w:pPr>
              <w:pStyle w:val="TableParagraph"/>
              <w:spacing w:before="17"/>
              <w:ind w:right="43"/>
              <w:rPr>
                <w:sz w:val="14"/>
              </w:rPr>
            </w:pPr>
            <w:r>
              <w:rPr>
                <w:color w:val="231F20"/>
                <w:sz w:val="14"/>
              </w:rPr>
              <w:t>3846</w:t>
            </w:r>
          </w:p>
        </w:tc>
        <w:tc>
          <w:tcPr>
            <w:tcW w:w="636" w:type="dxa"/>
          </w:tcPr>
          <w:p>
            <w:pPr>
              <w:pStyle w:val="TableParagraph"/>
              <w:spacing w:before="17"/>
              <w:ind w:right="43"/>
              <w:rPr>
                <w:sz w:val="14"/>
              </w:rPr>
            </w:pPr>
            <w:r>
              <w:rPr>
                <w:color w:val="231F20"/>
                <w:sz w:val="14"/>
              </w:rPr>
              <w:t>3297</w:t>
            </w:r>
          </w:p>
        </w:tc>
        <w:tc>
          <w:tcPr>
            <w:tcW w:w="636" w:type="dxa"/>
          </w:tcPr>
          <w:p>
            <w:pPr>
              <w:pStyle w:val="TableParagraph"/>
              <w:spacing w:before="17"/>
              <w:ind w:right="43"/>
              <w:rPr>
                <w:sz w:val="14"/>
              </w:rPr>
            </w:pPr>
            <w:r>
              <w:rPr>
                <w:color w:val="231F20"/>
                <w:sz w:val="14"/>
              </w:rPr>
              <w:t>2882</w:t>
            </w:r>
          </w:p>
        </w:tc>
        <w:tc>
          <w:tcPr>
            <w:tcW w:w="741" w:type="dxa"/>
          </w:tcPr>
          <w:p>
            <w:pPr>
              <w:pStyle w:val="TableParagraph"/>
              <w:spacing w:before="17"/>
              <w:ind w:right="43"/>
              <w:rPr>
                <w:sz w:val="14"/>
              </w:rPr>
            </w:pPr>
            <w:r>
              <w:rPr>
                <w:color w:val="231F20"/>
                <w:sz w:val="14"/>
              </w:rPr>
              <w:t>3220</w:t>
            </w:r>
          </w:p>
        </w:tc>
        <w:tc>
          <w:tcPr>
            <w:tcW w:w="878" w:type="dxa"/>
          </w:tcPr>
          <w:p>
            <w:pPr>
              <w:pStyle w:val="TableParagraph"/>
              <w:spacing w:before="17"/>
              <w:ind w:right="43"/>
              <w:rPr>
                <w:sz w:val="14"/>
              </w:rPr>
            </w:pPr>
            <w:r>
              <w:rPr>
                <w:color w:val="231F20"/>
                <w:sz w:val="14"/>
              </w:rPr>
              <w:t>2090</w:t>
            </w:r>
          </w:p>
        </w:tc>
        <w:tc>
          <w:tcPr>
            <w:tcW w:w="955" w:type="dxa"/>
          </w:tcPr>
          <w:p>
            <w:pPr>
              <w:pStyle w:val="TableParagraph"/>
              <w:spacing w:before="17"/>
              <w:ind w:right="43"/>
              <w:rPr>
                <w:sz w:val="14"/>
              </w:rPr>
            </w:pPr>
            <w:r>
              <w:rPr>
                <w:color w:val="231F20"/>
                <w:sz w:val="14"/>
              </w:rPr>
              <w:t>1115</w:t>
            </w:r>
          </w:p>
        </w:tc>
        <w:tc>
          <w:tcPr>
            <w:tcW w:w="636" w:type="dxa"/>
          </w:tcPr>
          <w:p>
            <w:pPr>
              <w:pStyle w:val="TableParagraph"/>
              <w:spacing w:before="17"/>
              <w:ind w:right="43"/>
              <w:rPr>
                <w:sz w:val="14"/>
              </w:rPr>
            </w:pPr>
            <w:r>
              <w:rPr>
                <w:color w:val="231F20"/>
                <w:sz w:val="14"/>
              </w:rPr>
              <w:t>1970</w:t>
            </w:r>
          </w:p>
        </w:tc>
        <w:tc>
          <w:tcPr>
            <w:tcW w:w="636" w:type="dxa"/>
          </w:tcPr>
          <w:p>
            <w:pPr>
              <w:pStyle w:val="TableParagraph"/>
              <w:spacing w:before="17"/>
              <w:ind w:right="43"/>
              <w:rPr>
                <w:sz w:val="14"/>
              </w:rPr>
            </w:pPr>
            <w:r>
              <w:rPr>
                <w:color w:val="231F20"/>
                <w:sz w:val="14"/>
              </w:rPr>
              <w:t>1810</w:t>
            </w:r>
          </w:p>
        </w:tc>
        <w:tc>
          <w:tcPr>
            <w:tcW w:w="636" w:type="dxa"/>
          </w:tcPr>
          <w:p>
            <w:pPr>
              <w:pStyle w:val="TableParagraph"/>
              <w:spacing w:before="17"/>
              <w:ind w:right="43"/>
              <w:rPr>
                <w:sz w:val="14"/>
              </w:rPr>
            </w:pPr>
            <w:r>
              <w:rPr>
                <w:color w:val="231F20"/>
                <w:sz w:val="14"/>
              </w:rPr>
              <w:t>2280</w:t>
            </w:r>
          </w:p>
        </w:tc>
        <w:tc>
          <w:tcPr>
            <w:tcW w:w="636" w:type="dxa"/>
          </w:tcPr>
          <w:p>
            <w:pPr>
              <w:pStyle w:val="TableParagraph"/>
              <w:spacing w:before="17"/>
              <w:ind w:right="43"/>
              <w:rPr>
                <w:sz w:val="14"/>
              </w:rPr>
            </w:pPr>
            <w:r>
              <w:rPr>
                <w:color w:val="231F20"/>
                <w:sz w:val="14"/>
              </w:rPr>
              <w:t>2090</w:t>
            </w:r>
          </w:p>
        </w:tc>
      </w:tr>
      <w:tr>
        <w:trPr>
          <w:trHeight w:val="200" w:hRule="atLeast"/>
        </w:trPr>
        <w:tc>
          <w:tcPr>
            <w:tcW w:w="2182" w:type="dxa"/>
          </w:tcPr>
          <w:p>
            <w:pPr>
              <w:pStyle w:val="TableParagraph"/>
              <w:spacing w:before="17"/>
              <w:ind w:left="58"/>
              <w:jc w:val="left"/>
              <w:rPr>
                <w:sz w:val="14"/>
              </w:rPr>
            </w:pPr>
            <w:r>
              <w:rPr>
                <w:color w:val="231F20"/>
                <w:sz w:val="14"/>
              </w:rPr>
              <w:t>28. Курјаче</w:t>
            </w:r>
          </w:p>
        </w:tc>
        <w:tc>
          <w:tcPr>
            <w:tcW w:w="635" w:type="dxa"/>
          </w:tcPr>
          <w:p>
            <w:pPr>
              <w:pStyle w:val="TableParagraph"/>
              <w:spacing w:before="17"/>
              <w:ind w:right="43"/>
              <w:rPr>
                <w:sz w:val="14"/>
              </w:rPr>
            </w:pPr>
            <w:r>
              <w:rPr>
                <w:color w:val="231F20"/>
                <w:sz w:val="14"/>
              </w:rPr>
              <w:t>1378</w:t>
            </w:r>
          </w:p>
        </w:tc>
        <w:tc>
          <w:tcPr>
            <w:tcW w:w="636" w:type="dxa"/>
          </w:tcPr>
          <w:p>
            <w:pPr>
              <w:pStyle w:val="TableParagraph"/>
              <w:spacing w:before="17"/>
              <w:ind w:right="43"/>
              <w:rPr>
                <w:sz w:val="14"/>
              </w:rPr>
            </w:pPr>
            <w:r>
              <w:rPr>
                <w:color w:val="231F20"/>
                <w:sz w:val="14"/>
              </w:rPr>
              <w:t>1335</w:t>
            </w:r>
          </w:p>
        </w:tc>
        <w:tc>
          <w:tcPr>
            <w:tcW w:w="636" w:type="dxa"/>
          </w:tcPr>
          <w:p>
            <w:pPr>
              <w:pStyle w:val="TableParagraph"/>
              <w:spacing w:before="17"/>
              <w:ind w:right="43"/>
              <w:rPr>
                <w:sz w:val="14"/>
              </w:rPr>
            </w:pPr>
            <w:r>
              <w:rPr>
                <w:color w:val="231F20"/>
                <w:sz w:val="14"/>
              </w:rPr>
              <w:t>1247</w:t>
            </w:r>
          </w:p>
        </w:tc>
        <w:tc>
          <w:tcPr>
            <w:tcW w:w="636" w:type="dxa"/>
          </w:tcPr>
          <w:p>
            <w:pPr>
              <w:pStyle w:val="TableParagraph"/>
              <w:spacing w:before="17"/>
              <w:ind w:right="43"/>
              <w:rPr>
                <w:sz w:val="14"/>
              </w:rPr>
            </w:pPr>
            <w:r>
              <w:rPr>
                <w:color w:val="231F20"/>
                <w:sz w:val="14"/>
              </w:rPr>
              <w:t>1123</w:t>
            </w:r>
          </w:p>
        </w:tc>
        <w:tc>
          <w:tcPr>
            <w:tcW w:w="636" w:type="dxa"/>
          </w:tcPr>
          <w:p>
            <w:pPr>
              <w:pStyle w:val="TableParagraph"/>
              <w:spacing w:before="17"/>
              <w:ind w:right="43"/>
              <w:rPr>
                <w:sz w:val="14"/>
              </w:rPr>
            </w:pPr>
            <w:r>
              <w:rPr>
                <w:color w:val="231F20"/>
                <w:sz w:val="14"/>
              </w:rPr>
              <w:t>964</w:t>
            </w:r>
          </w:p>
        </w:tc>
        <w:tc>
          <w:tcPr>
            <w:tcW w:w="741" w:type="dxa"/>
          </w:tcPr>
          <w:p>
            <w:pPr>
              <w:pStyle w:val="TableParagraph"/>
              <w:spacing w:before="17"/>
              <w:ind w:right="43"/>
              <w:rPr>
                <w:sz w:val="14"/>
              </w:rPr>
            </w:pPr>
            <w:r>
              <w:rPr>
                <w:color w:val="231F20"/>
                <w:sz w:val="14"/>
              </w:rPr>
              <w:t>1107</w:t>
            </w:r>
          </w:p>
        </w:tc>
        <w:tc>
          <w:tcPr>
            <w:tcW w:w="878" w:type="dxa"/>
          </w:tcPr>
          <w:p>
            <w:pPr>
              <w:pStyle w:val="TableParagraph"/>
              <w:spacing w:before="17"/>
              <w:ind w:right="43"/>
              <w:rPr>
                <w:sz w:val="14"/>
              </w:rPr>
            </w:pPr>
            <w:r>
              <w:rPr>
                <w:color w:val="231F20"/>
                <w:sz w:val="14"/>
              </w:rPr>
              <w:t>730</w:t>
            </w:r>
          </w:p>
        </w:tc>
        <w:tc>
          <w:tcPr>
            <w:tcW w:w="955" w:type="dxa"/>
          </w:tcPr>
          <w:p>
            <w:pPr>
              <w:pStyle w:val="TableParagraph"/>
              <w:spacing w:before="17"/>
              <w:ind w:right="43"/>
              <w:rPr>
                <w:sz w:val="14"/>
              </w:rPr>
            </w:pPr>
            <w:r>
              <w:rPr>
                <w:color w:val="231F20"/>
                <w:sz w:val="14"/>
              </w:rPr>
              <w:t>372</w:t>
            </w:r>
          </w:p>
        </w:tc>
        <w:tc>
          <w:tcPr>
            <w:tcW w:w="636" w:type="dxa"/>
          </w:tcPr>
          <w:p>
            <w:pPr>
              <w:pStyle w:val="TableParagraph"/>
              <w:spacing w:before="17"/>
              <w:ind w:right="43"/>
              <w:rPr>
                <w:sz w:val="14"/>
              </w:rPr>
            </w:pPr>
            <w:r>
              <w:rPr>
                <w:color w:val="231F20"/>
                <w:sz w:val="14"/>
              </w:rPr>
              <w:t>700</w:t>
            </w:r>
          </w:p>
        </w:tc>
        <w:tc>
          <w:tcPr>
            <w:tcW w:w="636" w:type="dxa"/>
          </w:tcPr>
          <w:p>
            <w:pPr>
              <w:pStyle w:val="TableParagraph"/>
              <w:spacing w:before="17"/>
              <w:ind w:right="43"/>
              <w:rPr>
                <w:sz w:val="14"/>
              </w:rPr>
            </w:pPr>
            <w:r>
              <w:rPr>
                <w:color w:val="231F20"/>
                <w:sz w:val="14"/>
              </w:rPr>
              <w:t>650</w:t>
            </w:r>
          </w:p>
        </w:tc>
        <w:tc>
          <w:tcPr>
            <w:tcW w:w="636" w:type="dxa"/>
          </w:tcPr>
          <w:p>
            <w:pPr>
              <w:pStyle w:val="TableParagraph"/>
              <w:spacing w:before="17"/>
              <w:ind w:right="43"/>
              <w:rPr>
                <w:sz w:val="14"/>
              </w:rPr>
            </w:pPr>
            <w:r>
              <w:rPr>
                <w:color w:val="231F20"/>
                <w:sz w:val="14"/>
              </w:rPr>
              <w:t>790</w:t>
            </w:r>
          </w:p>
        </w:tc>
        <w:tc>
          <w:tcPr>
            <w:tcW w:w="636" w:type="dxa"/>
          </w:tcPr>
          <w:p>
            <w:pPr>
              <w:pStyle w:val="TableParagraph"/>
              <w:spacing w:before="17"/>
              <w:ind w:right="43"/>
              <w:rPr>
                <w:sz w:val="14"/>
              </w:rPr>
            </w:pPr>
            <w:r>
              <w:rPr>
                <w:color w:val="231F20"/>
                <w:sz w:val="14"/>
              </w:rPr>
              <w:t>720</w:t>
            </w:r>
          </w:p>
        </w:tc>
      </w:tr>
      <w:tr>
        <w:trPr>
          <w:trHeight w:val="200" w:hRule="atLeast"/>
        </w:trPr>
        <w:tc>
          <w:tcPr>
            <w:tcW w:w="2182" w:type="dxa"/>
          </w:tcPr>
          <w:p>
            <w:pPr>
              <w:pStyle w:val="TableParagraph"/>
              <w:spacing w:before="17"/>
              <w:ind w:left="58"/>
              <w:jc w:val="left"/>
              <w:rPr>
                <w:sz w:val="14"/>
              </w:rPr>
            </w:pPr>
            <w:r>
              <w:rPr>
                <w:color w:val="231F20"/>
                <w:sz w:val="14"/>
              </w:rPr>
              <w:t>29. Мајиловац</w:t>
            </w:r>
          </w:p>
        </w:tc>
        <w:tc>
          <w:tcPr>
            <w:tcW w:w="635" w:type="dxa"/>
          </w:tcPr>
          <w:p>
            <w:pPr>
              <w:pStyle w:val="TableParagraph"/>
              <w:spacing w:before="17"/>
              <w:ind w:right="43"/>
              <w:rPr>
                <w:sz w:val="14"/>
              </w:rPr>
            </w:pPr>
            <w:r>
              <w:rPr>
                <w:color w:val="231F20"/>
                <w:sz w:val="14"/>
              </w:rPr>
              <w:t>1548</w:t>
            </w:r>
          </w:p>
        </w:tc>
        <w:tc>
          <w:tcPr>
            <w:tcW w:w="636" w:type="dxa"/>
          </w:tcPr>
          <w:p>
            <w:pPr>
              <w:pStyle w:val="TableParagraph"/>
              <w:spacing w:before="17"/>
              <w:ind w:right="43"/>
              <w:rPr>
                <w:sz w:val="14"/>
              </w:rPr>
            </w:pPr>
            <w:r>
              <w:rPr>
                <w:color w:val="231F20"/>
                <w:sz w:val="14"/>
              </w:rPr>
              <w:t>1469</w:t>
            </w:r>
          </w:p>
        </w:tc>
        <w:tc>
          <w:tcPr>
            <w:tcW w:w="636" w:type="dxa"/>
          </w:tcPr>
          <w:p>
            <w:pPr>
              <w:pStyle w:val="TableParagraph"/>
              <w:spacing w:before="17"/>
              <w:ind w:right="43"/>
              <w:rPr>
                <w:sz w:val="14"/>
              </w:rPr>
            </w:pPr>
            <w:r>
              <w:rPr>
                <w:color w:val="231F20"/>
                <w:sz w:val="14"/>
              </w:rPr>
              <w:t>1434</w:t>
            </w:r>
          </w:p>
        </w:tc>
        <w:tc>
          <w:tcPr>
            <w:tcW w:w="636" w:type="dxa"/>
          </w:tcPr>
          <w:p>
            <w:pPr>
              <w:pStyle w:val="TableParagraph"/>
              <w:spacing w:before="17"/>
              <w:ind w:right="43"/>
              <w:rPr>
                <w:sz w:val="14"/>
              </w:rPr>
            </w:pPr>
            <w:r>
              <w:rPr>
                <w:color w:val="231F20"/>
                <w:sz w:val="14"/>
              </w:rPr>
              <w:t>1143</w:t>
            </w:r>
          </w:p>
        </w:tc>
        <w:tc>
          <w:tcPr>
            <w:tcW w:w="636" w:type="dxa"/>
          </w:tcPr>
          <w:p>
            <w:pPr>
              <w:pStyle w:val="TableParagraph"/>
              <w:spacing w:before="17"/>
              <w:ind w:right="43"/>
              <w:rPr>
                <w:sz w:val="14"/>
              </w:rPr>
            </w:pPr>
            <w:r>
              <w:rPr>
                <w:color w:val="231F20"/>
                <w:sz w:val="14"/>
              </w:rPr>
              <w:t>1024</w:t>
            </w:r>
          </w:p>
        </w:tc>
        <w:tc>
          <w:tcPr>
            <w:tcW w:w="741" w:type="dxa"/>
          </w:tcPr>
          <w:p>
            <w:pPr>
              <w:pStyle w:val="TableParagraph"/>
              <w:spacing w:before="17"/>
              <w:ind w:right="43"/>
              <w:rPr>
                <w:sz w:val="14"/>
              </w:rPr>
            </w:pPr>
            <w:r>
              <w:rPr>
                <w:color w:val="231F20"/>
                <w:sz w:val="14"/>
              </w:rPr>
              <w:t>1178</w:t>
            </w:r>
          </w:p>
        </w:tc>
        <w:tc>
          <w:tcPr>
            <w:tcW w:w="878" w:type="dxa"/>
          </w:tcPr>
          <w:p>
            <w:pPr>
              <w:pStyle w:val="TableParagraph"/>
              <w:spacing w:before="17"/>
              <w:ind w:right="43"/>
              <w:rPr>
                <w:sz w:val="14"/>
              </w:rPr>
            </w:pPr>
            <w:r>
              <w:rPr>
                <w:color w:val="231F20"/>
                <w:sz w:val="14"/>
              </w:rPr>
              <w:t>770</w:t>
            </w:r>
          </w:p>
        </w:tc>
        <w:tc>
          <w:tcPr>
            <w:tcW w:w="955" w:type="dxa"/>
          </w:tcPr>
          <w:p>
            <w:pPr>
              <w:pStyle w:val="TableParagraph"/>
              <w:spacing w:before="17"/>
              <w:ind w:right="43"/>
              <w:rPr>
                <w:sz w:val="14"/>
              </w:rPr>
            </w:pPr>
            <w:r>
              <w:rPr>
                <w:color w:val="231F20"/>
                <w:sz w:val="14"/>
              </w:rPr>
              <w:t>400</w:t>
            </w:r>
          </w:p>
        </w:tc>
        <w:tc>
          <w:tcPr>
            <w:tcW w:w="636" w:type="dxa"/>
          </w:tcPr>
          <w:p>
            <w:pPr>
              <w:pStyle w:val="TableParagraph"/>
              <w:spacing w:before="17"/>
              <w:ind w:right="43"/>
              <w:rPr>
                <w:sz w:val="14"/>
              </w:rPr>
            </w:pPr>
            <w:r>
              <w:rPr>
                <w:color w:val="231F20"/>
                <w:sz w:val="14"/>
              </w:rPr>
              <w:t>730</w:t>
            </w:r>
          </w:p>
        </w:tc>
        <w:tc>
          <w:tcPr>
            <w:tcW w:w="636" w:type="dxa"/>
          </w:tcPr>
          <w:p>
            <w:pPr>
              <w:pStyle w:val="TableParagraph"/>
              <w:spacing w:before="17"/>
              <w:ind w:right="43"/>
              <w:rPr>
                <w:sz w:val="14"/>
              </w:rPr>
            </w:pPr>
            <w:r>
              <w:rPr>
                <w:color w:val="231F20"/>
                <w:sz w:val="14"/>
              </w:rPr>
              <w:t>680</w:t>
            </w:r>
          </w:p>
        </w:tc>
        <w:tc>
          <w:tcPr>
            <w:tcW w:w="636" w:type="dxa"/>
          </w:tcPr>
          <w:p>
            <w:pPr>
              <w:pStyle w:val="TableParagraph"/>
              <w:spacing w:before="17"/>
              <w:ind w:right="43"/>
              <w:rPr>
                <w:sz w:val="14"/>
              </w:rPr>
            </w:pPr>
            <w:r>
              <w:rPr>
                <w:color w:val="231F20"/>
                <w:sz w:val="14"/>
              </w:rPr>
              <w:t>840</w:t>
            </w:r>
          </w:p>
        </w:tc>
        <w:tc>
          <w:tcPr>
            <w:tcW w:w="636" w:type="dxa"/>
          </w:tcPr>
          <w:p>
            <w:pPr>
              <w:pStyle w:val="TableParagraph"/>
              <w:spacing w:before="17"/>
              <w:ind w:right="43"/>
              <w:rPr>
                <w:sz w:val="14"/>
              </w:rPr>
            </w:pPr>
            <w:r>
              <w:rPr>
                <w:color w:val="231F20"/>
                <w:sz w:val="14"/>
              </w:rPr>
              <w:t>790</w:t>
            </w:r>
          </w:p>
        </w:tc>
      </w:tr>
      <w:tr>
        <w:trPr>
          <w:trHeight w:val="200" w:hRule="atLeast"/>
        </w:trPr>
        <w:tc>
          <w:tcPr>
            <w:tcW w:w="2182" w:type="dxa"/>
          </w:tcPr>
          <w:p>
            <w:pPr>
              <w:pStyle w:val="TableParagraph"/>
              <w:spacing w:before="17"/>
              <w:ind w:left="58"/>
              <w:jc w:val="left"/>
              <w:rPr>
                <w:sz w:val="14"/>
              </w:rPr>
            </w:pPr>
            <w:r>
              <w:rPr>
                <w:color w:val="231F20"/>
                <w:sz w:val="14"/>
              </w:rPr>
              <w:t>30. Сираково</w:t>
            </w:r>
          </w:p>
        </w:tc>
        <w:tc>
          <w:tcPr>
            <w:tcW w:w="635" w:type="dxa"/>
          </w:tcPr>
          <w:p>
            <w:pPr>
              <w:pStyle w:val="TableParagraph"/>
              <w:spacing w:before="17"/>
              <w:ind w:right="43"/>
              <w:rPr>
                <w:sz w:val="14"/>
              </w:rPr>
            </w:pPr>
            <w:r>
              <w:rPr>
                <w:color w:val="231F20"/>
                <w:sz w:val="14"/>
              </w:rPr>
              <w:t>1274</w:t>
            </w:r>
          </w:p>
        </w:tc>
        <w:tc>
          <w:tcPr>
            <w:tcW w:w="636" w:type="dxa"/>
          </w:tcPr>
          <w:p>
            <w:pPr>
              <w:pStyle w:val="TableParagraph"/>
              <w:spacing w:before="17"/>
              <w:ind w:right="44"/>
              <w:rPr>
                <w:sz w:val="14"/>
              </w:rPr>
            </w:pPr>
            <w:r>
              <w:rPr>
                <w:color w:val="231F20"/>
                <w:sz w:val="14"/>
              </w:rPr>
              <w:t>1201</w:t>
            </w:r>
          </w:p>
        </w:tc>
        <w:tc>
          <w:tcPr>
            <w:tcW w:w="636" w:type="dxa"/>
          </w:tcPr>
          <w:p>
            <w:pPr>
              <w:pStyle w:val="TableParagraph"/>
              <w:spacing w:before="17"/>
              <w:ind w:right="42"/>
              <w:rPr>
                <w:sz w:val="14"/>
              </w:rPr>
            </w:pPr>
            <w:r>
              <w:rPr>
                <w:color w:val="231F20"/>
                <w:sz w:val="14"/>
              </w:rPr>
              <w:t>1165</w:t>
            </w:r>
          </w:p>
        </w:tc>
        <w:tc>
          <w:tcPr>
            <w:tcW w:w="636" w:type="dxa"/>
          </w:tcPr>
          <w:p>
            <w:pPr>
              <w:pStyle w:val="TableParagraph"/>
              <w:spacing w:before="17"/>
              <w:ind w:right="42"/>
              <w:rPr>
                <w:sz w:val="14"/>
              </w:rPr>
            </w:pPr>
            <w:r>
              <w:rPr>
                <w:color w:val="231F20"/>
                <w:sz w:val="14"/>
              </w:rPr>
              <w:t>1031</w:t>
            </w:r>
          </w:p>
        </w:tc>
        <w:tc>
          <w:tcPr>
            <w:tcW w:w="636" w:type="dxa"/>
          </w:tcPr>
          <w:p>
            <w:pPr>
              <w:pStyle w:val="TableParagraph"/>
              <w:spacing w:before="17"/>
              <w:ind w:right="42"/>
              <w:rPr>
                <w:sz w:val="14"/>
              </w:rPr>
            </w:pPr>
            <w:r>
              <w:rPr>
                <w:color w:val="231F20"/>
                <w:sz w:val="14"/>
              </w:rPr>
              <w:t>894</w:t>
            </w:r>
          </w:p>
        </w:tc>
        <w:tc>
          <w:tcPr>
            <w:tcW w:w="741" w:type="dxa"/>
          </w:tcPr>
          <w:p>
            <w:pPr>
              <w:pStyle w:val="TableParagraph"/>
              <w:spacing w:before="17"/>
              <w:ind w:right="42"/>
              <w:rPr>
                <w:sz w:val="14"/>
              </w:rPr>
            </w:pPr>
            <w:r>
              <w:rPr>
                <w:color w:val="231F20"/>
                <w:sz w:val="14"/>
              </w:rPr>
              <w:t>935</w:t>
            </w:r>
          </w:p>
        </w:tc>
        <w:tc>
          <w:tcPr>
            <w:tcW w:w="878" w:type="dxa"/>
          </w:tcPr>
          <w:p>
            <w:pPr>
              <w:pStyle w:val="TableParagraph"/>
              <w:spacing w:before="17"/>
              <w:ind w:right="42"/>
              <w:rPr>
                <w:sz w:val="14"/>
              </w:rPr>
            </w:pPr>
            <w:r>
              <w:rPr>
                <w:color w:val="231F20"/>
                <w:sz w:val="14"/>
              </w:rPr>
              <w:t>590</w:t>
            </w:r>
          </w:p>
        </w:tc>
        <w:tc>
          <w:tcPr>
            <w:tcW w:w="955" w:type="dxa"/>
          </w:tcPr>
          <w:p>
            <w:pPr>
              <w:pStyle w:val="TableParagraph"/>
              <w:spacing w:before="17"/>
              <w:ind w:right="43"/>
              <w:rPr>
                <w:sz w:val="14"/>
              </w:rPr>
            </w:pPr>
            <w:r>
              <w:rPr>
                <w:color w:val="231F20"/>
                <w:sz w:val="14"/>
              </w:rPr>
              <w:t>343</w:t>
            </w:r>
          </w:p>
        </w:tc>
        <w:tc>
          <w:tcPr>
            <w:tcW w:w="636" w:type="dxa"/>
          </w:tcPr>
          <w:p>
            <w:pPr>
              <w:pStyle w:val="TableParagraph"/>
              <w:spacing w:before="17"/>
              <w:ind w:right="43"/>
              <w:rPr>
                <w:sz w:val="14"/>
              </w:rPr>
            </w:pPr>
            <w:r>
              <w:rPr>
                <w:color w:val="231F20"/>
                <w:sz w:val="14"/>
              </w:rPr>
              <w:t>540</w:t>
            </w:r>
          </w:p>
        </w:tc>
        <w:tc>
          <w:tcPr>
            <w:tcW w:w="636" w:type="dxa"/>
          </w:tcPr>
          <w:p>
            <w:pPr>
              <w:pStyle w:val="TableParagraph"/>
              <w:spacing w:before="17"/>
              <w:ind w:right="44"/>
              <w:rPr>
                <w:sz w:val="14"/>
              </w:rPr>
            </w:pPr>
            <w:r>
              <w:rPr>
                <w:color w:val="231F20"/>
                <w:sz w:val="14"/>
              </w:rPr>
              <w:t>480</w:t>
            </w:r>
          </w:p>
        </w:tc>
        <w:tc>
          <w:tcPr>
            <w:tcW w:w="636" w:type="dxa"/>
          </w:tcPr>
          <w:p>
            <w:pPr>
              <w:pStyle w:val="TableParagraph"/>
              <w:spacing w:before="17"/>
              <w:ind w:right="42"/>
              <w:rPr>
                <w:sz w:val="14"/>
              </w:rPr>
            </w:pPr>
            <w:r>
              <w:rPr>
                <w:color w:val="231F20"/>
                <w:sz w:val="14"/>
              </w:rPr>
              <w:t>650</w:t>
            </w:r>
          </w:p>
        </w:tc>
        <w:tc>
          <w:tcPr>
            <w:tcW w:w="636" w:type="dxa"/>
          </w:tcPr>
          <w:p>
            <w:pPr>
              <w:pStyle w:val="TableParagraph"/>
              <w:spacing w:before="17"/>
              <w:ind w:right="42"/>
              <w:rPr>
                <w:sz w:val="14"/>
              </w:rPr>
            </w:pPr>
            <w:r>
              <w:rPr>
                <w:color w:val="231F20"/>
                <w:sz w:val="14"/>
              </w:rPr>
              <w:t>580</w:t>
            </w:r>
          </w:p>
        </w:tc>
      </w:tr>
    </w:tbl>
    <w:p>
      <w:pPr>
        <w:spacing w:before="29"/>
        <w:ind w:left="738" w:right="126" w:hanging="284"/>
        <w:jc w:val="both"/>
        <w:rPr>
          <w:sz w:val="14"/>
        </w:rPr>
      </w:pPr>
      <w:r>
        <w:rPr>
          <w:color w:val="231F20"/>
          <w:sz w:val="14"/>
        </w:rPr>
        <w:t>*  Приликом израчунавања првих резултата Пописа 2011. године нису узети у обзир сви параметри </w:t>
      </w:r>
      <w:r>
        <w:rPr>
          <w:color w:val="231F20"/>
          <w:spacing w:val="-3"/>
          <w:sz w:val="14"/>
        </w:rPr>
        <w:t>који </w:t>
      </w:r>
      <w:r>
        <w:rPr>
          <w:color w:val="231F20"/>
          <w:sz w:val="14"/>
        </w:rPr>
        <w:t>ће се применити у </w:t>
      </w:r>
      <w:r>
        <w:rPr>
          <w:color w:val="231F20"/>
          <w:spacing w:val="-3"/>
          <w:sz w:val="14"/>
        </w:rPr>
        <w:t>коначном обрачуну. </w:t>
      </w:r>
      <w:r>
        <w:rPr>
          <w:color w:val="231F20"/>
          <w:sz w:val="14"/>
        </w:rPr>
        <w:t>Збир укупног броја становни- ка</w:t>
      </w:r>
      <w:r>
        <w:rPr>
          <w:color w:val="231F20"/>
          <w:spacing w:val="-8"/>
          <w:sz w:val="14"/>
        </w:rPr>
        <w:t> </w:t>
      </w:r>
      <w:r>
        <w:rPr>
          <w:color w:val="231F20"/>
          <w:sz w:val="14"/>
        </w:rPr>
        <w:t>и</w:t>
      </w:r>
      <w:r>
        <w:rPr>
          <w:color w:val="231F20"/>
          <w:spacing w:val="-8"/>
          <w:sz w:val="14"/>
        </w:rPr>
        <w:t> </w:t>
      </w:r>
      <w:r>
        <w:rPr>
          <w:color w:val="231F20"/>
          <w:sz w:val="14"/>
        </w:rPr>
        <w:t>лица</w:t>
      </w:r>
      <w:r>
        <w:rPr>
          <w:color w:val="231F20"/>
          <w:spacing w:val="-8"/>
          <w:sz w:val="14"/>
        </w:rPr>
        <w:t> </w:t>
      </w:r>
      <w:r>
        <w:rPr>
          <w:color w:val="231F20"/>
          <w:sz w:val="14"/>
        </w:rPr>
        <w:t>у</w:t>
      </w:r>
      <w:r>
        <w:rPr>
          <w:color w:val="231F20"/>
          <w:spacing w:val="-8"/>
          <w:sz w:val="14"/>
        </w:rPr>
        <w:t> </w:t>
      </w:r>
      <w:r>
        <w:rPr>
          <w:color w:val="231F20"/>
          <w:sz w:val="14"/>
        </w:rPr>
        <w:t>иностранству,</w:t>
      </w:r>
      <w:r>
        <w:rPr>
          <w:color w:val="231F20"/>
          <w:spacing w:val="-8"/>
          <w:sz w:val="14"/>
        </w:rPr>
        <w:t> </w:t>
      </w:r>
      <w:r>
        <w:rPr>
          <w:color w:val="231F20"/>
          <w:sz w:val="14"/>
        </w:rPr>
        <w:t>чије</w:t>
      </w:r>
      <w:r>
        <w:rPr>
          <w:color w:val="231F20"/>
          <w:spacing w:val="-8"/>
          <w:sz w:val="14"/>
        </w:rPr>
        <w:t> </w:t>
      </w:r>
      <w:r>
        <w:rPr>
          <w:color w:val="231F20"/>
          <w:sz w:val="14"/>
        </w:rPr>
        <w:t>је</w:t>
      </w:r>
      <w:r>
        <w:rPr>
          <w:color w:val="231F20"/>
          <w:spacing w:val="-8"/>
          <w:sz w:val="14"/>
        </w:rPr>
        <w:t> </w:t>
      </w:r>
      <w:r>
        <w:rPr>
          <w:color w:val="231F20"/>
          <w:sz w:val="14"/>
        </w:rPr>
        <w:t>учешће</w:t>
      </w:r>
      <w:r>
        <w:rPr>
          <w:color w:val="231F20"/>
          <w:spacing w:val="-8"/>
          <w:sz w:val="14"/>
        </w:rPr>
        <w:t> </w:t>
      </w:r>
      <w:r>
        <w:rPr>
          <w:color w:val="231F20"/>
          <w:sz w:val="14"/>
        </w:rPr>
        <w:t>на</w:t>
      </w:r>
      <w:r>
        <w:rPr>
          <w:color w:val="231F20"/>
          <w:spacing w:val="-8"/>
          <w:sz w:val="14"/>
        </w:rPr>
        <w:t> </w:t>
      </w:r>
      <w:r>
        <w:rPr>
          <w:color w:val="231F20"/>
          <w:sz w:val="14"/>
        </w:rPr>
        <w:t>Планском</w:t>
      </w:r>
      <w:r>
        <w:rPr>
          <w:color w:val="231F20"/>
          <w:spacing w:val="-8"/>
          <w:sz w:val="14"/>
        </w:rPr>
        <w:t> </w:t>
      </w:r>
      <w:r>
        <w:rPr>
          <w:color w:val="231F20"/>
          <w:sz w:val="14"/>
        </w:rPr>
        <w:t>подручју</w:t>
      </w:r>
      <w:r>
        <w:rPr>
          <w:color w:val="231F20"/>
          <w:spacing w:val="-8"/>
          <w:sz w:val="14"/>
        </w:rPr>
        <w:t> </w:t>
      </w:r>
      <w:r>
        <w:rPr>
          <w:color w:val="231F20"/>
          <w:sz w:val="14"/>
        </w:rPr>
        <w:t>веома</w:t>
      </w:r>
      <w:r>
        <w:rPr>
          <w:color w:val="231F20"/>
          <w:spacing w:val="-8"/>
          <w:sz w:val="14"/>
        </w:rPr>
        <w:t> </w:t>
      </w:r>
      <w:r>
        <w:rPr>
          <w:color w:val="231F20"/>
          <w:sz w:val="14"/>
        </w:rPr>
        <w:t>значајно</w:t>
      </w:r>
      <w:r>
        <w:rPr>
          <w:color w:val="231F20"/>
          <w:spacing w:val="-8"/>
          <w:sz w:val="14"/>
        </w:rPr>
        <w:t> </w:t>
      </w:r>
      <w:r>
        <w:rPr>
          <w:color w:val="231F20"/>
          <w:sz w:val="14"/>
        </w:rPr>
        <w:t>(око</w:t>
      </w:r>
      <w:r>
        <w:rPr>
          <w:color w:val="231F20"/>
          <w:spacing w:val="-8"/>
          <w:sz w:val="14"/>
        </w:rPr>
        <w:t> </w:t>
      </w:r>
      <w:r>
        <w:rPr>
          <w:color w:val="231F20"/>
          <w:sz w:val="14"/>
        </w:rPr>
        <w:t>13%),</w:t>
      </w:r>
      <w:r>
        <w:rPr>
          <w:color w:val="231F20"/>
          <w:spacing w:val="-8"/>
          <w:sz w:val="14"/>
        </w:rPr>
        <w:t> </w:t>
      </w:r>
      <w:r>
        <w:rPr>
          <w:color w:val="231F20"/>
          <w:spacing w:val="-5"/>
          <w:sz w:val="14"/>
        </w:rPr>
        <w:t>код</w:t>
      </w:r>
      <w:r>
        <w:rPr>
          <w:color w:val="231F20"/>
          <w:spacing w:val="-8"/>
          <w:sz w:val="14"/>
        </w:rPr>
        <w:t> </w:t>
      </w:r>
      <w:r>
        <w:rPr>
          <w:color w:val="231F20"/>
          <w:sz w:val="14"/>
        </w:rPr>
        <w:t>већине</w:t>
      </w:r>
      <w:r>
        <w:rPr>
          <w:color w:val="231F20"/>
          <w:spacing w:val="-8"/>
          <w:sz w:val="14"/>
        </w:rPr>
        <w:t> </w:t>
      </w:r>
      <w:r>
        <w:rPr>
          <w:color w:val="231F20"/>
          <w:sz w:val="14"/>
        </w:rPr>
        <w:t>насеља</w:t>
      </w:r>
      <w:r>
        <w:rPr>
          <w:color w:val="231F20"/>
          <w:spacing w:val="-8"/>
          <w:sz w:val="14"/>
        </w:rPr>
        <w:t> </w:t>
      </w:r>
      <w:r>
        <w:rPr>
          <w:color w:val="231F20"/>
          <w:sz w:val="14"/>
        </w:rPr>
        <w:t>не</w:t>
      </w:r>
      <w:r>
        <w:rPr>
          <w:color w:val="231F20"/>
          <w:spacing w:val="-8"/>
          <w:sz w:val="14"/>
        </w:rPr>
        <w:t> </w:t>
      </w:r>
      <w:r>
        <w:rPr>
          <w:color w:val="231F20"/>
          <w:sz w:val="14"/>
        </w:rPr>
        <w:t>одговара</w:t>
      </w:r>
      <w:r>
        <w:rPr>
          <w:color w:val="231F20"/>
          <w:spacing w:val="-8"/>
          <w:sz w:val="14"/>
        </w:rPr>
        <w:t> </w:t>
      </w:r>
      <w:r>
        <w:rPr>
          <w:color w:val="231F20"/>
          <w:sz w:val="14"/>
        </w:rPr>
        <w:t>броју</w:t>
      </w:r>
      <w:r>
        <w:rPr>
          <w:color w:val="231F20"/>
          <w:spacing w:val="-8"/>
          <w:sz w:val="14"/>
        </w:rPr>
        <w:t> </w:t>
      </w:r>
      <w:r>
        <w:rPr>
          <w:color w:val="231F20"/>
          <w:sz w:val="14"/>
        </w:rPr>
        <w:t>пописаних</w:t>
      </w:r>
      <w:r>
        <w:rPr>
          <w:color w:val="231F20"/>
          <w:spacing w:val="-8"/>
          <w:sz w:val="14"/>
        </w:rPr>
        <w:t> </w:t>
      </w:r>
      <w:r>
        <w:rPr>
          <w:color w:val="231F20"/>
          <w:sz w:val="14"/>
        </w:rPr>
        <w:t>лица.</w:t>
      </w:r>
      <w:r>
        <w:rPr>
          <w:color w:val="231F20"/>
          <w:spacing w:val="-8"/>
          <w:sz w:val="14"/>
        </w:rPr>
        <w:t> </w:t>
      </w:r>
      <w:r>
        <w:rPr>
          <w:color w:val="231F20"/>
          <w:sz w:val="14"/>
        </w:rPr>
        <w:t>Такође,</w:t>
      </w:r>
      <w:r>
        <w:rPr>
          <w:color w:val="231F20"/>
          <w:spacing w:val="-8"/>
          <w:sz w:val="14"/>
        </w:rPr>
        <w:t> </w:t>
      </w:r>
      <w:r>
        <w:rPr>
          <w:color w:val="231F20"/>
          <w:sz w:val="14"/>
        </w:rPr>
        <w:t>одређени</w:t>
      </w:r>
      <w:r>
        <w:rPr>
          <w:color w:val="231F20"/>
          <w:spacing w:val="-8"/>
          <w:sz w:val="14"/>
        </w:rPr>
        <w:t> </w:t>
      </w:r>
      <w:r>
        <w:rPr>
          <w:color w:val="231F20"/>
          <w:sz w:val="14"/>
        </w:rPr>
        <w:t>број</w:t>
      </w:r>
      <w:r>
        <w:rPr>
          <w:color w:val="231F20"/>
          <w:spacing w:val="-8"/>
          <w:sz w:val="14"/>
        </w:rPr>
        <w:t> </w:t>
      </w:r>
      <w:r>
        <w:rPr>
          <w:color w:val="231F20"/>
          <w:sz w:val="14"/>
        </w:rPr>
        <w:t>лица сврстан је у категорију „нераспоређени” (око 1.200 лица на Планском подручју). С тог разлога ови подаци су прихваћени</w:t>
      </w:r>
      <w:r>
        <w:rPr>
          <w:color w:val="231F20"/>
          <w:spacing w:val="-21"/>
          <w:sz w:val="14"/>
        </w:rPr>
        <w:t> </w:t>
      </w:r>
      <w:r>
        <w:rPr>
          <w:color w:val="231F20"/>
          <w:sz w:val="14"/>
        </w:rPr>
        <w:t>оквирно.</w:t>
      </w:r>
    </w:p>
    <w:p>
      <w:pPr>
        <w:spacing w:line="158" w:lineRule="exact" w:before="0"/>
        <w:ind w:left="455" w:right="0" w:firstLine="0"/>
        <w:jc w:val="left"/>
        <w:rPr>
          <w:sz w:val="14"/>
        </w:rPr>
      </w:pPr>
      <w:r>
        <w:rPr>
          <w:color w:val="231F20"/>
          <w:sz w:val="14"/>
        </w:rPr>
        <w:t>** II варијанта заснива се на претпоставци да ће се одређени број лица који борави у иностранству вратити у насеље</w:t>
      </w:r>
    </w:p>
    <w:p>
      <w:pPr>
        <w:pStyle w:val="BodyText"/>
        <w:spacing w:before="4"/>
        <w:ind w:left="0"/>
        <w:jc w:val="left"/>
        <w:rPr>
          <w:sz w:val="27"/>
        </w:rPr>
      </w:pPr>
    </w:p>
    <w:p>
      <w:pPr>
        <w:spacing w:after="0"/>
        <w:jc w:val="left"/>
        <w:rPr>
          <w:sz w:val="27"/>
        </w:rPr>
        <w:sectPr>
          <w:pgSz w:w="12480" w:h="15690"/>
          <w:pgMar w:top="120" w:bottom="280" w:left="680" w:right="720"/>
        </w:sectPr>
      </w:pPr>
    </w:p>
    <w:p>
      <w:pPr>
        <w:pStyle w:val="ListParagraph"/>
        <w:numPr>
          <w:ilvl w:val="3"/>
          <w:numId w:val="28"/>
        </w:numPr>
        <w:tabs>
          <w:tab w:pos="1968" w:val="left" w:leader="none"/>
        </w:tabs>
        <w:spacing w:line="240" w:lineRule="auto" w:before="93" w:after="0"/>
        <w:ind w:left="1967" w:right="0" w:hanging="315"/>
        <w:jc w:val="left"/>
        <w:rPr>
          <w:i/>
          <w:sz w:val="18"/>
        </w:rPr>
      </w:pPr>
      <w:r>
        <w:rPr>
          <w:i/>
          <w:color w:val="231F20"/>
          <w:sz w:val="18"/>
        </w:rPr>
        <w:t>Социјални развој, јавне</w:t>
      </w:r>
      <w:r>
        <w:rPr>
          <w:i/>
          <w:color w:val="231F20"/>
          <w:spacing w:val="-4"/>
          <w:sz w:val="18"/>
        </w:rPr>
        <w:t> </w:t>
      </w:r>
      <w:r>
        <w:rPr>
          <w:i/>
          <w:color w:val="231F20"/>
          <w:sz w:val="18"/>
        </w:rPr>
        <w:t>службе</w:t>
      </w:r>
    </w:p>
    <w:p>
      <w:pPr>
        <w:pStyle w:val="BodyText"/>
        <w:spacing w:before="9"/>
        <w:ind w:left="0"/>
        <w:jc w:val="left"/>
        <w:rPr>
          <w:i/>
          <w:sz w:val="17"/>
        </w:rPr>
      </w:pPr>
    </w:p>
    <w:p>
      <w:pPr>
        <w:pStyle w:val="BodyText"/>
        <w:ind w:left="453" w:firstLine="397"/>
      </w:pPr>
      <w:r>
        <w:rPr>
          <w:color w:val="231F20"/>
          <w:spacing w:val="-3"/>
        </w:rPr>
        <w:t>Предшколско </w:t>
      </w:r>
      <w:r>
        <w:rPr>
          <w:color w:val="231F20"/>
        </w:rPr>
        <w:t>образовање и васпитање деце се помера из сек- тора социјалне заштите ка сектору образовања. Начела једнаких шанси за остваривање образовања упућују на непрекидно пове- ћање обухвата </w:t>
      </w:r>
      <w:r>
        <w:rPr>
          <w:color w:val="231F20"/>
          <w:spacing w:val="-3"/>
        </w:rPr>
        <w:t>предшколског </w:t>
      </w:r>
      <w:r>
        <w:rPr>
          <w:color w:val="231F20"/>
        </w:rPr>
        <w:t>контингента овим видом образова- ња и васпитања. Проширење мреже објеката треба планирати и   у сеоским насељима, а нарочито у центрима заједница насеља. Потребни капацитети могу се обезбедити коришћењем простора основних </w:t>
      </w:r>
      <w:r>
        <w:rPr>
          <w:color w:val="231F20"/>
          <w:spacing w:val="-3"/>
        </w:rPr>
        <w:t>школа </w:t>
      </w:r>
      <w:r>
        <w:rPr>
          <w:color w:val="231F20"/>
        </w:rPr>
        <w:t>(које располажу потребним простором) или дру- гим јавним објектима, као и закупљивањем приватних објеката, уз одговарајућу </w:t>
      </w:r>
      <w:r>
        <w:rPr>
          <w:color w:val="231F20"/>
          <w:spacing w:val="-3"/>
        </w:rPr>
        <w:t>здравствену, </w:t>
      </w:r>
      <w:r>
        <w:rPr>
          <w:color w:val="231F20"/>
        </w:rPr>
        <w:t>хигијенску и педагошку </w:t>
      </w:r>
      <w:r>
        <w:rPr>
          <w:color w:val="231F20"/>
          <w:spacing w:val="-3"/>
        </w:rPr>
        <w:t>супервизију. </w:t>
      </w:r>
      <w:r>
        <w:rPr>
          <w:color w:val="231F20"/>
        </w:rPr>
        <w:t>Организационе</w:t>
      </w:r>
      <w:r>
        <w:rPr>
          <w:color w:val="231F20"/>
          <w:spacing w:val="-8"/>
        </w:rPr>
        <w:t> </w:t>
      </w:r>
      <w:r>
        <w:rPr>
          <w:color w:val="231F20"/>
        </w:rPr>
        <w:t>форме</w:t>
      </w:r>
      <w:r>
        <w:rPr>
          <w:color w:val="231F20"/>
          <w:spacing w:val="-8"/>
        </w:rPr>
        <w:t> </w:t>
      </w:r>
      <w:r>
        <w:rPr>
          <w:color w:val="231F20"/>
        </w:rPr>
        <w:t>предшколских</w:t>
      </w:r>
      <w:r>
        <w:rPr>
          <w:color w:val="231F20"/>
          <w:spacing w:val="-8"/>
        </w:rPr>
        <w:t> </w:t>
      </w:r>
      <w:r>
        <w:rPr>
          <w:color w:val="231F20"/>
        </w:rPr>
        <w:t>установа</w:t>
      </w:r>
      <w:r>
        <w:rPr>
          <w:color w:val="231F20"/>
          <w:spacing w:val="-8"/>
        </w:rPr>
        <w:t> </w:t>
      </w:r>
      <w:r>
        <w:rPr>
          <w:color w:val="231F20"/>
        </w:rPr>
        <w:t>се</w:t>
      </w:r>
      <w:r>
        <w:rPr>
          <w:color w:val="231F20"/>
          <w:spacing w:val="-8"/>
        </w:rPr>
        <w:t> </w:t>
      </w:r>
      <w:r>
        <w:rPr>
          <w:color w:val="231F20"/>
        </w:rPr>
        <w:t>могу</w:t>
      </w:r>
      <w:r>
        <w:rPr>
          <w:color w:val="231F20"/>
          <w:spacing w:val="-8"/>
        </w:rPr>
        <w:t> </w:t>
      </w:r>
      <w:r>
        <w:rPr>
          <w:color w:val="231F20"/>
        </w:rPr>
        <w:t>прилагоди- ти потребама с обзиром на број заинтересоване деце, удаљеност </w:t>
      </w:r>
      <w:r>
        <w:rPr>
          <w:color w:val="231F20"/>
          <w:spacing w:val="-3"/>
        </w:rPr>
        <w:t>од </w:t>
      </w:r>
      <w:r>
        <w:rPr>
          <w:color w:val="231F20"/>
        </w:rPr>
        <w:t>места становања и друго. У систему мобилних служби треба подржати формирање мобилних, путујућих дечијих вртића </w:t>
      </w:r>
      <w:r>
        <w:rPr>
          <w:color w:val="231F20"/>
          <w:spacing w:val="-3"/>
        </w:rPr>
        <w:t>који </w:t>
      </w:r>
      <w:r>
        <w:rPr>
          <w:color w:val="231F20"/>
        </w:rPr>
        <w:t>једном или два пута недељно раде са децом у сеоским насељима са малим бројем деце. У свим облицима организовања треба обез- бедити услове (посебне програме) за укључивање деце са посеб- ним</w:t>
      </w:r>
      <w:r>
        <w:rPr>
          <w:color w:val="231F20"/>
          <w:spacing w:val="12"/>
        </w:rPr>
        <w:t> </w:t>
      </w:r>
      <w:r>
        <w:rPr>
          <w:color w:val="231F20"/>
        </w:rPr>
        <w:t>потребама</w:t>
      </w:r>
      <w:r>
        <w:rPr>
          <w:color w:val="231F20"/>
          <w:spacing w:val="12"/>
        </w:rPr>
        <w:t> </w:t>
      </w:r>
      <w:r>
        <w:rPr>
          <w:color w:val="231F20"/>
        </w:rPr>
        <w:t>уз</w:t>
      </w:r>
      <w:r>
        <w:rPr>
          <w:color w:val="231F20"/>
          <w:spacing w:val="12"/>
        </w:rPr>
        <w:t> </w:t>
      </w:r>
      <w:r>
        <w:rPr>
          <w:color w:val="231F20"/>
        </w:rPr>
        <w:t>обезбеђивање</w:t>
      </w:r>
      <w:r>
        <w:rPr>
          <w:color w:val="231F20"/>
          <w:spacing w:val="12"/>
        </w:rPr>
        <w:t> </w:t>
      </w:r>
      <w:r>
        <w:rPr>
          <w:color w:val="231F20"/>
        </w:rPr>
        <w:t>специјализованог</w:t>
      </w:r>
      <w:r>
        <w:rPr>
          <w:color w:val="231F20"/>
          <w:spacing w:val="12"/>
        </w:rPr>
        <w:t> </w:t>
      </w:r>
      <w:r>
        <w:rPr>
          <w:color w:val="231F20"/>
        </w:rPr>
        <w:t>превоза,</w:t>
      </w:r>
      <w:r>
        <w:rPr>
          <w:color w:val="231F20"/>
          <w:spacing w:val="12"/>
        </w:rPr>
        <w:t> </w:t>
      </w:r>
      <w:r>
        <w:rPr>
          <w:color w:val="231F20"/>
        </w:rPr>
        <w:t>као</w:t>
      </w:r>
      <w:r>
        <w:rPr>
          <w:color w:val="231F20"/>
          <w:spacing w:val="12"/>
        </w:rPr>
        <w:t> </w:t>
      </w:r>
      <w:r>
        <w:rPr>
          <w:color w:val="231F20"/>
        </w:rPr>
        <w:t>и</w:t>
      </w:r>
    </w:p>
    <w:p>
      <w:pPr>
        <w:pStyle w:val="BodyText"/>
        <w:spacing w:before="92"/>
        <w:ind w:left="242" w:right="129"/>
        <w:jc w:val="left"/>
      </w:pPr>
      <w:r>
        <w:rPr/>
        <w:br w:type="column"/>
      </w:r>
      <w:r>
        <w:rPr>
          <w:color w:val="231F20"/>
        </w:rPr>
        <w:t>ромске деце. Радно време предшколских установа прилагођавати и усклађивати са радним временом и потребама родитеља.</w:t>
      </w:r>
    </w:p>
    <w:p>
      <w:pPr>
        <w:pStyle w:val="BodyText"/>
        <w:spacing w:before="172"/>
        <w:ind w:left="1995"/>
        <w:jc w:val="left"/>
      </w:pPr>
      <w:r>
        <w:rPr/>
        <w:pict>
          <v:line style="position:absolute;mso-position-horizontal-relative:page;mso-position-vertical-relative:paragraph;z-index:2848" from="318.897614pt,-18.489952pt" to="318.897614pt,183.244048pt" stroked="true" strokeweight=".6pt" strokecolor="#231f20">
            <v:stroke dashstyle="solid"/>
            <w10:wrap type="none"/>
          </v:line>
        </w:pict>
      </w:r>
      <w:r>
        <w:rPr>
          <w:color w:val="231F20"/>
        </w:rPr>
        <w:t>Основно образовање</w:t>
      </w:r>
    </w:p>
    <w:p>
      <w:pPr>
        <w:pStyle w:val="BodyText"/>
        <w:spacing w:before="2"/>
        <w:ind w:left="0"/>
        <w:jc w:val="left"/>
      </w:pPr>
    </w:p>
    <w:p>
      <w:pPr>
        <w:pStyle w:val="BodyText"/>
        <w:ind w:left="242" w:right="127" w:firstLine="396"/>
      </w:pPr>
      <w:r>
        <w:rPr>
          <w:color w:val="231F20"/>
          <w:spacing w:val="-3"/>
        </w:rPr>
        <w:t>Два су </w:t>
      </w:r>
      <w:r>
        <w:rPr>
          <w:color w:val="231F20"/>
        </w:rPr>
        <w:t>кључна </w:t>
      </w:r>
      <w:r>
        <w:rPr>
          <w:color w:val="231F20"/>
          <w:spacing w:val="-3"/>
        </w:rPr>
        <w:t>проблема </w:t>
      </w:r>
      <w:r>
        <w:rPr>
          <w:color w:val="231F20"/>
        </w:rPr>
        <w:t>у </w:t>
      </w:r>
      <w:r>
        <w:rPr>
          <w:color w:val="231F20"/>
          <w:spacing w:val="-3"/>
        </w:rPr>
        <w:t>области </w:t>
      </w:r>
      <w:r>
        <w:rPr>
          <w:color w:val="231F20"/>
        </w:rPr>
        <w:t>основног </w:t>
      </w:r>
      <w:r>
        <w:rPr>
          <w:color w:val="231F20"/>
          <w:spacing w:val="-3"/>
        </w:rPr>
        <w:t>образовања </w:t>
      </w:r>
      <w:r>
        <w:rPr>
          <w:color w:val="231F20"/>
        </w:rPr>
        <w:t>на </w:t>
      </w:r>
      <w:r>
        <w:rPr>
          <w:color w:val="231F20"/>
          <w:spacing w:val="-4"/>
        </w:rPr>
        <w:t>Планском </w:t>
      </w:r>
      <w:r>
        <w:rPr>
          <w:color w:val="231F20"/>
          <w:spacing w:val="-5"/>
        </w:rPr>
        <w:t>подручју. </w:t>
      </w:r>
      <w:r>
        <w:rPr>
          <w:color w:val="231F20"/>
        </w:rPr>
        <w:t>Први је да </w:t>
      </w:r>
      <w:r>
        <w:rPr>
          <w:color w:val="231F20"/>
          <w:spacing w:val="-3"/>
        </w:rPr>
        <w:t>релативно </w:t>
      </w:r>
      <w:r>
        <w:rPr>
          <w:color w:val="231F20"/>
        </w:rPr>
        <w:t>велики број </w:t>
      </w:r>
      <w:r>
        <w:rPr>
          <w:color w:val="231F20"/>
          <w:spacing w:val="-4"/>
        </w:rPr>
        <w:t>школа </w:t>
      </w:r>
      <w:r>
        <w:rPr>
          <w:color w:val="231F20"/>
        </w:rPr>
        <w:t>још увек раде у две смене, укључујући и </w:t>
      </w:r>
      <w:r>
        <w:rPr>
          <w:color w:val="231F20"/>
          <w:spacing w:val="-5"/>
        </w:rPr>
        <w:t>неколико </w:t>
      </w:r>
      <w:r>
        <w:rPr>
          <w:color w:val="231F20"/>
          <w:spacing w:val="-4"/>
        </w:rPr>
        <w:t>школа </w:t>
      </w:r>
      <w:r>
        <w:rPr>
          <w:color w:val="231F20"/>
        </w:rPr>
        <w:t>у сеоским на- сељима.</w:t>
      </w:r>
      <w:r>
        <w:rPr>
          <w:color w:val="231F20"/>
          <w:spacing w:val="-14"/>
        </w:rPr>
        <w:t> </w:t>
      </w:r>
      <w:r>
        <w:rPr>
          <w:color w:val="231F20"/>
          <w:spacing w:val="-3"/>
        </w:rPr>
        <w:t>Треба</w:t>
      </w:r>
      <w:r>
        <w:rPr>
          <w:color w:val="231F20"/>
          <w:spacing w:val="-14"/>
        </w:rPr>
        <w:t> </w:t>
      </w:r>
      <w:r>
        <w:rPr>
          <w:color w:val="231F20"/>
          <w:spacing w:val="-4"/>
        </w:rPr>
        <w:t>очекивати</w:t>
      </w:r>
      <w:r>
        <w:rPr>
          <w:color w:val="231F20"/>
          <w:spacing w:val="-14"/>
        </w:rPr>
        <w:t> </w:t>
      </w:r>
      <w:r>
        <w:rPr>
          <w:color w:val="231F20"/>
        </w:rPr>
        <w:t>примену</w:t>
      </w:r>
      <w:r>
        <w:rPr>
          <w:color w:val="231F20"/>
          <w:spacing w:val="-14"/>
        </w:rPr>
        <w:t> </w:t>
      </w:r>
      <w:r>
        <w:rPr>
          <w:color w:val="231F20"/>
        </w:rPr>
        <w:t>европских</w:t>
      </w:r>
      <w:r>
        <w:rPr>
          <w:color w:val="231F20"/>
          <w:spacing w:val="-14"/>
        </w:rPr>
        <w:t> </w:t>
      </w:r>
      <w:r>
        <w:rPr>
          <w:color w:val="231F20"/>
        </w:rPr>
        <w:t>стандарда</w:t>
      </w:r>
      <w:r>
        <w:rPr>
          <w:color w:val="231F20"/>
          <w:spacing w:val="-14"/>
        </w:rPr>
        <w:t> </w:t>
      </w:r>
      <w:r>
        <w:rPr>
          <w:color w:val="231F20"/>
        </w:rPr>
        <w:t>о</w:t>
      </w:r>
      <w:r>
        <w:rPr>
          <w:color w:val="231F20"/>
          <w:spacing w:val="-14"/>
        </w:rPr>
        <w:t> </w:t>
      </w:r>
      <w:r>
        <w:rPr>
          <w:color w:val="231F20"/>
        </w:rPr>
        <w:t>раду</w:t>
      </w:r>
      <w:r>
        <w:rPr>
          <w:color w:val="231F20"/>
          <w:spacing w:val="-14"/>
        </w:rPr>
        <w:t> </w:t>
      </w:r>
      <w:r>
        <w:rPr>
          <w:color w:val="231F20"/>
          <w:spacing w:val="-4"/>
        </w:rPr>
        <w:t>шко- </w:t>
      </w:r>
      <w:r>
        <w:rPr>
          <w:color w:val="231F20"/>
        </w:rPr>
        <w:t>ле</w:t>
      </w:r>
      <w:r>
        <w:rPr>
          <w:color w:val="231F20"/>
          <w:spacing w:val="-14"/>
        </w:rPr>
        <w:t> </w:t>
      </w:r>
      <w:r>
        <w:rPr>
          <w:color w:val="231F20"/>
        </w:rPr>
        <w:t>у</w:t>
      </w:r>
      <w:r>
        <w:rPr>
          <w:color w:val="231F20"/>
          <w:spacing w:val="-14"/>
        </w:rPr>
        <w:t> </w:t>
      </w:r>
      <w:r>
        <w:rPr>
          <w:color w:val="231F20"/>
          <w:spacing w:val="-3"/>
        </w:rPr>
        <w:t>једној</w:t>
      </w:r>
      <w:r>
        <w:rPr>
          <w:color w:val="231F20"/>
          <w:spacing w:val="-14"/>
        </w:rPr>
        <w:t> </w:t>
      </w:r>
      <w:r>
        <w:rPr>
          <w:color w:val="231F20"/>
        </w:rPr>
        <w:t>смени.</w:t>
      </w:r>
      <w:r>
        <w:rPr>
          <w:color w:val="231F20"/>
          <w:spacing w:val="-14"/>
        </w:rPr>
        <w:t> </w:t>
      </w:r>
      <w:r>
        <w:rPr>
          <w:color w:val="231F20"/>
        </w:rPr>
        <w:t>Потреба</w:t>
      </w:r>
      <w:r>
        <w:rPr>
          <w:color w:val="231F20"/>
          <w:spacing w:val="-14"/>
        </w:rPr>
        <w:t> </w:t>
      </w:r>
      <w:r>
        <w:rPr>
          <w:color w:val="231F20"/>
        </w:rPr>
        <w:t>за</w:t>
      </w:r>
      <w:r>
        <w:rPr>
          <w:color w:val="231F20"/>
          <w:spacing w:val="-14"/>
        </w:rPr>
        <w:t> </w:t>
      </w:r>
      <w:r>
        <w:rPr>
          <w:color w:val="231F20"/>
        </w:rPr>
        <w:t>повећањем</w:t>
      </w:r>
      <w:r>
        <w:rPr>
          <w:color w:val="231F20"/>
          <w:spacing w:val="-14"/>
        </w:rPr>
        <w:t> </w:t>
      </w:r>
      <w:r>
        <w:rPr>
          <w:color w:val="231F20"/>
          <w:spacing w:val="-5"/>
        </w:rPr>
        <w:t>школског</w:t>
      </w:r>
      <w:r>
        <w:rPr>
          <w:color w:val="231F20"/>
          <w:spacing w:val="-14"/>
        </w:rPr>
        <w:t> </w:t>
      </w:r>
      <w:r>
        <w:rPr>
          <w:color w:val="231F20"/>
        </w:rPr>
        <w:t>простора</w:t>
      </w:r>
      <w:r>
        <w:rPr>
          <w:color w:val="231F20"/>
          <w:spacing w:val="-14"/>
        </w:rPr>
        <w:t> </w:t>
      </w:r>
      <w:r>
        <w:rPr>
          <w:color w:val="231F20"/>
          <w:spacing w:val="-3"/>
        </w:rPr>
        <w:t>уследи- </w:t>
      </w:r>
      <w:r>
        <w:rPr>
          <w:color w:val="231F20"/>
        </w:rPr>
        <w:t>ће и због потенцијалног </w:t>
      </w:r>
      <w:r>
        <w:rPr>
          <w:color w:val="231F20"/>
          <w:spacing w:val="-3"/>
        </w:rPr>
        <w:t>продужења </w:t>
      </w:r>
      <w:r>
        <w:rPr>
          <w:color w:val="231F20"/>
        </w:rPr>
        <w:t>трајања обавезног </w:t>
      </w:r>
      <w:r>
        <w:rPr>
          <w:color w:val="231F20"/>
          <w:spacing w:val="-3"/>
        </w:rPr>
        <w:t>образовања </w:t>
      </w:r>
      <w:r>
        <w:rPr>
          <w:color w:val="231F20"/>
        </w:rPr>
        <w:t>на најмање девет </w:t>
      </w:r>
      <w:r>
        <w:rPr>
          <w:color w:val="231F20"/>
          <w:spacing w:val="-4"/>
        </w:rPr>
        <w:t>година. </w:t>
      </w:r>
      <w:r>
        <w:rPr>
          <w:color w:val="231F20"/>
          <w:spacing w:val="-3"/>
        </w:rPr>
        <w:t>Други проблем </w:t>
      </w:r>
      <w:r>
        <w:rPr>
          <w:color w:val="231F20"/>
        </w:rPr>
        <w:t>се </w:t>
      </w:r>
      <w:r>
        <w:rPr>
          <w:color w:val="231F20"/>
          <w:spacing w:val="-3"/>
        </w:rPr>
        <w:t>односи </w:t>
      </w:r>
      <w:r>
        <w:rPr>
          <w:color w:val="231F20"/>
        </w:rPr>
        <w:t>на </w:t>
      </w:r>
      <w:r>
        <w:rPr>
          <w:color w:val="231F20"/>
          <w:spacing w:val="-3"/>
        </w:rPr>
        <w:t>потребу </w:t>
      </w:r>
      <w:r>
        <w:rPr>
          <w:color w:val="231F20"/>
        </w:rPr>
        <w:t>по- дизања квалитета наставе и побољшања </w:t>
      </w:r>
      <w:r>
        <w:rPr>
          <w:color w:val="231F20"/>
          <w:spacing w:val="-3"/>
        </w:rPr>
        <w:t>грађевинског </w:t>
      </w:r>
      <w:r>
        <w:rPr>
          <w:color w:val="231F20"/>
        </w:rPr>
        <w:t>бонитета и опремљености </w:t>
      </w:r>
      <w:r>
        <w:rPr>
          <w:color w:val="231F20"/>
          <w:spacing w:val="-4"/>
        </w:rPr>
        <w:t>школа </w:t>
      </w:r>
      <w:r>
        <w:rPr>
          <w:color w:val="231F20"/>
          <w:spacing w:val="-3"/>
        </w:rPr>
        <w:t>нарочито </w:t>
      </w:r>
      <w:r>
        <w:rPr>
          <w:color w:val="231F20"/>
        </w:rPr>
        <w:t>у сеоским </w:t>
      </w:r>
      <w:r>
        <w:rPr>
          <w:color w:val="231F20"/>
          <w:spacing w:val="-3"/>
        </w:rPr>
        <w:t>подручјима. </w:t>
      </w:r>
      <w:r>
        <w:rPr>
          <w:color w:val="231F20"/>
        </w:rPr>
        <w:t>Специфич- ни </w:t>
      </w:r>
      <w:r>
        <w:rPr>
          <w:color w:val="231F20"/>
          <w:spacing w:val="-3"/>
        </w:rPr>
        <w:t>проблеми </w:t>
      </w:r>
      <w:r>
        <w:rPr>
          <w:color w:val="231F20"/>
        </w:rPr>
        <w:t>основног </w:t>
      </w:r>
      <w:r>
        <w:rPr>
          <w:color w:val="231F20"/>
          <w:spacing w:val="-3"/>
        </w:rPr>
        <w:t>образовања </w:t>
      </w:r>
      <w:r>
        <w:rPr>
          <w:color w:val="231F20"/>
        </w:rPr>
        <w:t>у приградским </w:t>
      </w:r>
      <w:r>
        <w:rPr>
          <w:color w:val="231F20"/>
          <w:spacing w:val="-3"/>
        </w:rPr>
        <w:t>подручјима </w:t>
      </w:r>
      <w:r>
        <w:rPr>
          <w:color w:val="231F20"/>
        </w:rPr>
        <w:t>и се- оским насељима могу се </w:t>
      </w:r>
      <w:r>
        <w:rPr>
          <w:color w:val="231F20"/>
          <w:spacing w:val="-3"/>
        </w:rPr>
        <w:t>решавати </w:t>
      </w:r>
      <w:r>
        <w:rPr>
          <w:color w:val="231F20"/>
        </w:rPr>
        <w:t>на различите </w:t>
      </w:r>
      <w:r>
        <w:rPr>
          <w:color w:val="231F20"/>
          <w:spacing w:val="-3"/>
        </w:rPr>
        <w:t>начине, </w:t>
      </w:r>
      <w:r>
        <w:rPr>
          <w:color w:val="231F20"/>
        </w:rPr>
        <w:t>али увек </w:t>
      </w:r>
      <w:r>
        <w:rPr>
          <w:color w:val="231F20"/>
          <w:spacing w:val="-3"/>
        </w:rPr>
        <w:t>координираним </w:t>
      </w:r>
      <w:r>
        <w:rPr>
          <w:color w:val="231F20"/>
        </w:rPr>
        <w:t>активностима </w:t>
      </w:r>
      <w:r>
        <w:rPr>
          <w:color w:val="231F20"/>
          <w:spacing w:val="-3"/>
        </w:rPr>
        <w:t>републичких </w:t>
      </w:r>
      <w:r>
        <w:rPr>
          <w:color w:val="231F20"/>
        </w:rPr>
        <w:t>и локалних </w:t>
      </w:r>
      <w:r>
        <w:rPr>
          <w:color w:val="231F20"/>
          <w:spacing w:val="-3"/>
        </w:rPr>
        <w:t>власти </w:t>
      </w:r>
      <w:r>
        <w:rPr>
          <w:color w:val="231F20"/>
        </w:rPr>
        <w:t>и  уз примену </w:t>
      </w:r>
      <w:r>
        <w:rPr>
          <w:color w:val="231F20"/>
          <w:spacing w:val="-3"/>
        </w:rPr>
        <w:t>модалитета прилагођених </w:t>
      </w:r>
      <w:r>
        <w:rPr>
          <w:color w:val="231F20"/>
        </w:rPr>
        <w:t>особеностима локалних сре- дина. Извесно је да квалитетно </w:t>
      </w:r>
      <w:r>
        <w:rPr>
          <w:color w:val="231F20"/>
          <w:spacing w:val="-4"/>
        </w:rPr>
        <w:t>школовање </w:t>
      </w:r>
      <w:r>
        <w:rPr>
          <w:color w:val="231F20"/>
        </w:rPr>
        <w:t>у насељима са ниским </w:t>
      </w:r>
      <w:r>
        <w:rPr>
          <w:color w:val="231F20"/>
          <w:spacing w:val="-2"/>
        </w:rPr>
        <w:t>густинама </w:t>
      </w:r>
      <w:r>
        <w:rPr>
          <w:color w:val="231F20"/>
        </w:rPr>
        <w:t>насељености мора бити </w:t>
      </w:r>
      <w:r>
        <w:rPr>
          <w:color w:val="231F20"/>
          <w:spacing w:val="-3"/>
        </w:rPr>
        <w:t>скупље него </w:t>
      </w:r>
      <w:r>
        <w:rPr>
          <w:color w:val="231F20"/>
        </w:rPr>
        <w:t>у</w:t>
      </w:r>
      <w:r>
        <w:rPr>
          <w:color w:val="231F20"/>
          <w:spacing w:val="17"/>
        </w:rPr>
        <w:t> </w:t>
      </w:r>
      <w:r>
        <w:rPr>
          <w:color w:val="231F20"/>
        </w:rPr>
        <w:t>стандардним</w:t>
      </w:r>
    </w:p>
    <w:p>
      <w:pPr>
        <w:spacing w:after="0"/>
        <w:sectPr>
          <w:type w:val="continuous"/>
          <w:pgSz w:w="12480" w:h="15690"/>
          <w:pgMar w:top="880" w:bottom="280" w:left="680" w:right="720"/>
          <w:cols w:num="2" w:equalWidth="0">
            <w:col w:w="5557" w:space="40"/>
            <w:col w:w="5483"/>
          </w:cols>
        </w:sectPr>
      </w:pPr>
    </w:p>
    <w:p>
      <w:pPr>
        <w:pStyle w:val="BodyText"/>
        <w:spacing w:line="232" w:lineRule="auto" w:before="73"/>
        <w:ind w:right="40"/>
      </w:pPr>
      <w:r>
        <w:rPr/>
        <w:pict>
          <v:line style="position:absolute;mso-position-horizontal-relative:page;mso-position-vertical-relative:page;z-index:2872" from="304.724396pt,11.942451pt" to="304.724396pt,748.950451pt" stroked="true" strokeweight=".6pt" strokecolor="#231f20">
            <v:stroke dashstyle="solid"/>
            <w10:wrap type="none"/>
          </v:line>
        </w:pict>
      </w:r>
      <w:r>
        <w:rPr>
          <w:color w:val="231F20"/>
        </w:rPr>
        <w:t>градским</w:t>
      </w:r>
      <w:r>
        <w:rPr>
          <w:color w:val="231F20"/>
          <w:spacing w:val="-6"/>
        </w:rPr>
        <w:t> </w:t>
      </w:r>
      <w:r>
        <w:rPr>
          <w:color w:val="231F20"/>
          <w:spacing w:val="-3"/>
        </w:rPr>
        <w:t>срединама.</w:t>
      </w:r>
      <w:r>
        <w:rPr>
          <w:color w:val="231F20"/>
          <w:spacing w:val="-6"/>
        </w:rPr>
        <w:t> </w:t>
      </w:r>
      <w:r>
        <w:rPr>
          <w:color w:val="231F20"/>
          <w:spacing w:val="-8"/>
        </w:rPr>
        <w:t>То</w:t>
      </w:r>
      <w:r>
        <w:rPr>
          <w:color w:val="231F20"/>
          <w:spacing w:val="-6"/>
        </w:rPr>
        <w:t> </w:t>
      </w:r>
      <w:r>
        <w:rPr>
          <w:color w:val="231F20"/>
        </w:rPr>
        <w:t>је</w:t>
      </w:r>
      <w:r>
        <w:rPr>
          <w:color w:val="231F20"/>
          <w:spacing w:val="-6"/>
        </w:rPr>
        <w:t> </w:t>
      </w:r>
      <w:r>
        <w:rPr>
          <w:color w:val="231F20"/>
        </w:rPr>
        <w:t>чињеница</w:t>
      </w:r>
      <w:r>
        <w:rPr>
          <w:color w:val="231F20"/>
          <w:spacing w:val="-6"/>
        </w:rPr>
        <w:t> </w:t>
      </w:r>
      <w:r>
        <w:rPr>
          <w:color w:val="231F20"/>
        </w:rPr>
        <w:t>са</w:t>
      </w:r>
      <w:r>
        <w:rPr>
          <w:color w:val="231F20"/>
          <w:spacing w:val="-6"/>
        </w:rPr>
        <w:t> </w:t>
      </w:r>
      <w:r>
        <w:rPr>
          <w:color w:val="231F20"/>
          <w:spacing w:val="-5"/>
        </w:rPr>
        <w:t>којом</w:t>
      </w:r>
      <w:r>
        <w:rPr>
          <w:color w:val="231F20"/>
          <w:spacing w:val="-6"/>
        </w:rPr>
        <w:t> </w:t>
      </w:r>
      <w:r>
        <w:rPr>
          <w:color w:val="231F20"/>
        </w:rPr>
        <w:t>се</w:t>
      </w:r>
      <w:r>
        <w:rPr>
          <w:color w:val="231F20"/>
          <w:spacing w:val="-6"/>
        </w:rPr>
        <w:t> </w:t>
      </w:r>
      <w:r>
        <w:rPr>
          <w:color w:val="231F20"/>
          <w:spacing w:val="-4"/>
        </w:rPr>
        <w:t>суочавају</w:t>
      </w:r>
      <w:r>
        <w:rPr>
          <w:color w:val="231F20"/>
          <w:spacing w:val="-6"/>
        </w:rPr>
        <w:t> </w:t>
      </w:r>
      <w:r>
        <w:rPr>
          <w:color w:val="231F20"/>
        </w:rPr>
        <w:t>све</w:t>
      </w:r>
      <w:r>
        <w:rPr>
          <w:color w:val="231F20"/>
          <w:spacing w:val="-6"/>
        </w:rPr>
        <w:t> </w:t>
      </w:r>
      <w:r>
        <w:rPr>
          <w:color w:val="231F20"/>
          <w:spacing w:val="-3"/>
        </w:rPr>
        <w:t>друге </w:t>
      </w:r>
      <w:r>
        <w:rPr>
          <w:color w:val="231F20"/>
        </w:rPr>
        <w:t>државе</w:t>
      </w:r>
      <w:r>
        <w:rPr>
          <w:color w:val="231F20"/>
          <w:spacing w:val="-13"/>
        </w:rPr>
        <w:t> </w:t>
      </w:r>
      <w:r>
        <w:rPr>
          <w:color w:val="231F20"/>
        </w:rPr>
        <w:t>и</w:t>
      </w:r>
      <w:r>
        <w:rPr>
          <w:color w:val="231F20"/>
          <w:spacing w:val="-12"/>
        </w:rPr>
        <w:t> </w:t>
      </w:r>
      <w:r>
        <w:rPr>
          <w:color w:val="231F20"/>
        </w:rPr>
        <w:t>није</w:t>
      </w:r>
      <w:r>
        <w:rPr>
          <w:color w:val="231F20"/>
          <w:spacing w:val="-12"/>
        </w:rPr>
        <w:t> </w:t>
      </w:r>
      <w:r>
        <w:rPr>
          <w:color w:val="231F20"/>
          <w:spacing w:val="-3"/>
        </w:rPr>
        <w:t>никаква</w:t>
      </w:r>
      <w:r>
        <w:rPr>
          <w:color w:val="231F20"/>
          <w:spacing w:val="-12"/>
        </w:rPr>
        <w:t> </w:t>
      </w:r>
      <w:r>
        <w:rPr>
          <w:color w:val="231F20"/>
        </w:rPr>
        <w:t>специфичност</w:t>
      </w:r>
      <w:r>
        <w:rPr>
          <w:color w:val="231F20"/>
          <w:spacing w:val="-12"/>
        </w:rPr>
        <w:t> </w:t>
      </w:r>
      <w:r>
        <w:rPr>
          <w:color w:val="231F20"/>
        </w:rPr>
        <w:t>наше</w:t>
      </w:r>
      <w:r>
        <w:rPr>
          <w:color w:val="231F20"/>
          <w:spacing w:val="-12"/>
        </w:rPr>
        <w:t> </w:t>
      </w:r>
      <w:r>
        <w:rPr>
          <w:color w:val="231F20"/>
        </w:rPr>
        <w:t>земље.</w:t>
      </w:r>
      <w:r>
        <w:rPr>
          <w:color w:val="231F20"/>
          <w:spacing w:val="-12"/>
        </w:rPr>
        <w:t> </w:t>
      </w:r>
      <w:r>
        <w:rPr>
          <w:color w:val="231F20"/>
        </w:rPr>
        <w:t>У</w:t>
      </w:r>
      <w:r>
        <w:rPr>
          <w:color w:val="231F20"/>
          <w:spacing w:val="-12"/>
        </w:rPr>
        <w:t> </w:t>
      </w:r>
      <w:r>
        <w:rPr>
          <w:color w:val="231F20"/>
          <w:spacing w:val="-3"/>
        </w:rPr>
        <w:t>решавању</w:t>
      </w:r>
      <w:r>
        <w:rPr>
          <w:color w:val="231F20"/>
          <w:spacing w:val="-12"/>
        </w:rPr>
        <w:t> </w:t>
      </w:r>
      <w:r>
        <w:rPr>
          <w:color w:val="231F20"/>
        </w:rPr>
        <w:t>овог </w:t>
      </w:r>
      <w:r>
        <w:rPr>
          <w:color w:val="231F20"/>
          <w:spacing w:val="-3"/>
        </w:rPr>
        <w:t>проблема </w:t>
      </w:r>
      <w:r>
        <w:rPr>
          <w:color w:val="231F20"/>
        </w:rPr>
        <w:t>за сада се виде </w:t>
      </w:r>
      <w:r>
        <w:rPr>
          <w:color w:val="231F20"/>
          <w:spacing w:val="-3"/>
        </w:rPr>
        <w:t>два </w:t>
      </w:r>
      <w:r>
        <w:rPr>
          <w:color w:val="231F20"/>
        </w:rPr>
        <w:t>могућа решења: прво је </w:t>
      </w:r>
      <w:r>
        <w:rPr>
          <w:color w:val="231F20"/>
          <w:spacing w:val="-3"/>
        </w:rPr>
        <w:t>укрупњавање </w:t>
      </w:r>
      <w:r>
        <w:rPr>
          <w:color w:val="231F20"/>
        </w:rPr>
        <w:t>основних – </w:t>
      </w:r>
      <w:r>
        <w:rPr>
          <w:color w:val="231F20"/>
          <w:spacing w:val="-3"/>
        </w:rPr>
        <w:t>подручних </w:t>
      </w:r>
      <w:r>
        <w:rPr>
          <w:color w:val="231F20"/>
          <w:spacing w:val="-4"/>
        </w:rPr>
        <w:t>школа, </w:t>
      </w:r>
      <w:r>
        <w:rPr>
          <w:color w:val="231F20"/>
        </w:rPr>
        <w:t>а </w:t>
      </w:r>
      <w:r>
        <w:rPr>
          <w:color w:val="231F20"/>
          <w:spacing w:val="-4"/>
        </w:rPr>
        <w:t>друго </w:t>
      </w:r>
      <w:r>
        <w:rPr>
          <w:color w:val="231F20"/>
        </w:rPr>
        <w:t>је </w:t>
      </w:r>
      <w:r>
        <w:rPr>
          <w:color w:val="231F20"/>
          <w:spacing w:val="-3"/>
        </w:rPr>
        <w:t>задржавање </w:t>
      </w:r>
      <w:r>
        <w:rPr>
          <w:color w:val="231F20"/>
        </w:rPr>
        <w:t>постојеће </w:t>
      </w:r>
      <w:r>
        <w:rPr>
          <w:color w:val="231F20"/>
          <w:spacing w:val="-4"/>
        </w:rPr>
        <w:t>схе- </w:t>
      </w:r>
      <w:r>
        <w:rPr>
          <w:color w:val="231F20"/>
        </w:rPr>
        <w:t>ме </w:t>
      </w:r>
      <w:r>
        <w:rPr>
          <w:color w:val="231F20"/>
          <w:spacing w:val="-3"/>
        </w:rPr>
        <w:t>подручних </w:t>
      </w:r>
      <w:r>
        <w:rPr>
          <w:color w:val="231F20"/>
          <w:spacing w:val="-4"/>
        </w:rPr>
        <w:t>школа </w:t>
      </w:r>
      <w:r>
        <w:rPr>
          <w:color w:val="231F20"/>
        </w:rPr>
        <w:t>са увођењем нових програма </w:t>
      </w:r>
      <w:r>
        <w:rPr>
          <w:color w:val="231F20"/>
          <w:spacing w:val="-4"/>
        </w:rPr>
        <w:t>којима </w:t>
      </w:r>
      <w:r>
        <w:rPr>
          <w:color w:val="231F20"/>
        </w:rPr>
        <w:t>би се по- бољшао</w:t>
      </w:r>
      <w:r>
        <w:rPr>
          <w:color w:val="231F20"/>
          <w:spacing w:val="-9"/>
        </w:rPr>
        <w:t> </w:t>
      </w:r>
      <w:r>
        <w:rPr>
          <w:color w:val="231F20"/>
        </w:rPr>
        <w:t>квалитет</w:t>
      </w:r>
      <w:r>
        <w:rPr>
          <w:color w:val="231F20"/>
          <w:spacing w:val="-9"/>
        </w:rPr>
        <w:t> </w:t>
      </w:r>
      <w:r>
        <w:rPr>
          <w:color w:val="231F20"/>
        </w:rPr>
        <w:t>наставе</w:t>
      </w:r>
      <w:r>
        <w:rPr>
          <w:color w:val="231F20"/>
          <w:spacing w:val="-9"/>
        </w:rPr>
        <w:t> </w:t>
      </w:r>
      <w:r>
        <w:rPr>
          <w:color w:val="231F20"/>
        </w:rPr>
        <w:t>у</w:t>
      </w:r>
      <w:r>
        <w:rPr>
          <w:color w:val="231F20"/>
          <w:spacing w:val="-9"/>
        </w:rPr>
        <w:t> </w:t>
      </w:r>
      <w:r>
        <w:rPr>
          <w:color w:val="231F20"/>
          <w:spacing w:val="-3"/>
        </w:rPr>
        <w:t>подручним</w:t>
      </w:r>
      <w:r>
        <w:rPr>
          <w:color w:val="231F20"/>
          <w:spacing w:val="-9"/>
        </w:rPr>
        <w:t> </w:t>
      </w:r>
      <w:r>
        <w:rPr>
          <w:color w:val="231F20"/>
          <w:spacing w:val="-4"/>
        </w:rPr>
        <w:t>школама</w:t>
      </w:r>
      <w:r>
        <w:rPr>
          <w:color w:val="231F20"/>
          <w:spacing w:val="-9"/>
        </w:rPr>
        <w:t> </w:t>
      </w:r>
      <w:r>
        <w:rPr>
          <w:color w:val="231F20"/>
        </w:rPr>
        <w:t>(мобилне</w:t>
      </w:r>
      <w:r>
        <w:rPr>
          <w:color w:val="231F20"/>
          <w:spacing w:val="-9"/>
        </w:rPr>
        <w:t> </w:t>
      </w:r>
      <w:r>
        <w:rPr>
          <w:color w:val="231F20"/>
        </w:rPr>
        <w:t>наставне екипе </w:t>
      </w:r>
      <w:r>
        <w:rPr>
          <w:color w:val="231F20"/>
          <w:spacing w:val="-3"/>
        </w:rPr>
        <w:t>специјализоване </w:t>
      </w:r>
      <w:r>
        <w:rPr>
          <w:color w:val="231F20"/>
        </w:rPr>
        <w:t>за </w:t>
      </w:r>
      <w:r>
        <w:rPr>
          <w:color w:val="231F20"/>
          <w:spacing w:val="-3"/>
        </w:rPr>
        <w:t>поједине </w:t>
      </w:r>
      <w:r>
        <w:rPr>
          <w:color w:val="231F20"/>
        </w:rPr>
        <w:t>програме и слично). Програми </w:t>
      </w:r>
      <w:r>
        <w:rPr>
          <w:color w:val="231F20"/>
          <w:spacing w:val="-3"/>
        </w:rPr>
        <w:t>реконструкције </w:t>
      </w:r>
      <w:r>
        <w:rPr>
          <w:color w:val="231F20"/>
        </w:rPr>
        <w:t>и обнове </w:t>
      </w:r>
      <w:r>
        <w:rPr>
          <w:color w:val="231F20"/>
          <w:spacing w:val="-3"/>
        </w:rPr>
        <w:t>подручних </w:t>
      </w:r>
      <w:r>
        <w:rPr>
          <w:color w:val="231F20"/>
          <w:spacing w:val="-4"/>
        </w:rPr>
        <w:t>школа </w:t>
      </w:r>
      <w:r>
        <w:rPr>
          <w:color w:val="231F20"/>
          <w:spacing w:val="-3"/>
        </w:rPr>
        <w:t>су </w:t>
      </w:r>
      <w:r>
        <w:rPr>
          <w:color w:val="231F20"/>
          <w:spacing w:val="-4"/>
        </w:rPr>
        <w:t>неопходни </w:t>
      </w:r>
      <w:r>
        <w:rPr>
          <w:color w:val="231F20"/>
        </w:rPr>
        <w:t>због по- бољшања </w:t>
      </w:r>
      <w:r>
        <w:rPr>
          <w:color w:val="231F20"/>
          <w:spacing w:val="-3"/>
        </w:rPr>
        <w:t>услова </w:t>
      </w:r>
      <w:r>
        <w:rPr>
          <w:color w:val="231F20"/>
        </w:rPr>
        <w:t>наставе и </w:t>
      </w:r>
      <w:r>
        <w:rPr>
          <w:color w:val="231F20"/>
          <w:spacing w:val="-3"/>
        </w:rPr>
        <w:t>боравка </w:t>
      </w:r>
      <w:r>
        <w:rPr>
          <w:color w:val="231F20"/>
        </w:rPr>
        <w:t>деце у</w:t>
      </w:r>
      <w:r>
        <w:rPr>
          <w:color w:val="231F20"/>
          <w:spacing w:val="-25"/>
        </w:rPr>
        <w:t> </w:t>
      </w:r>
      <w:r>
        <w:rPr>
          <w:color w:val="231F20"/>
          <w:spacing w:val="-4"/>
        </w:rPr>
        <w:t>школама.</w:t>
      </w:r>
    </w:p>
    <w:p>
      <w:pPr>
        <w:pStyle w:val="BodyText"/>
        <w:spacing w:before="158"/>
        <w:ind w:left="1898" w:right="1769"/>
        <w:jc w:val="center"/>
      </w:pPr>
      <w:r>
        <w:rPr>
          <w:color w:val="231F20"/>
        </w:rPr>
        <w:t>Средње образовање</w:t>
      </w:r>
    </w:p>
    <w:p>
      <w:pPr>
        <w:pStyle w:val="BodyText"/>
        <w:spacing w:before="2"/>
        <w:ind w:left="0"/>
        <w:jc w:val="left"/>
        <w:rPr>
          <w:sz w:val="17"/>
        </w:rPr>
      </w:pPr>
    </w:p>
    <w:p>
      <w:pPr>
        <w:pStyle w:val="BodyText"/>
        <w:spacing w:line="232" w:lineRule="auto"/>
        <w:ind w:left="172" w:right="38" w:firstLine="396"/>
      </w:pPr>
      <w:r>
        <w:rPr>
          <w:color w:val="231F20"/>
          <w:spacing w:val="-3"/>
        </w:rPr>
        <w:t>Јачање </w:t>
      </w:r>
      <w:r>
        <w:rPr>
          <w:color w:val="231F20"/>
        </w:rPr>
        <w:t>постојећих </w:t>
      </w:r>
      <w:r>
        <w:rPr>
          <w:color w:val="231F20"/>
          <w:spacing w:val="-3"/>
        </w:rPr>
        <w:t>средњошколских </w:t>
      </w:r>
      <w:r>
        <w:rPr>
          <w:color w:val="231F20"/>
        </w:rPr>
        <w:t>центара и евентуално отварање нових </w:t>
      </w:r>
      <w:r>
        <w:rPr>
          <w:color w:val="231F20"/>
          <w:spacing w:val="-3"/>
        </w:rPr>
        <w:t>подразумева </w:t>
      </w:r>
      <w:r>
        <w:rPr>
          <w:color w:val="231F20"/>
        </w:rPr>
        <w:t>увођење неких нових обележја ових </w:t>
      </w:r>
      <w:r>
        <w:rPr>
          <w:color w:val="231F20"/>
          <w:spacing w:val="-3"/>
        </w:rPr>
        <w:t>школа. </w:t>
      </w:r>
      <w:r>
        <w:rPr>
          <w:color w:val="231F20"/>
        </w:rPr>
        <w:t>Нужно је, пре свега, повећати гравитационо подручје ових </w:t>
      </w:r>
      <w:r>
        <w:rPr>
          <w:color w:val="231F20"/>
          <w:spacing w:val="-3"/>
        </w:rPr>
        <w:t>школа, </w:t>
      </w:r>
      <w:r>
        <w:rPr>
          <w:color w:val="231F20"/>
        </w:rPr>
        <w:t>чиме се повећава број кандидата </w:t>
      </w:r>
      <w:r>
        <w:rPr>
          <w:color w:val="231F20"/>
          <w:spacing w:val="-4"/>
        </w:rPr>
        <w:t>који </w:t>
      </w:r>
      <w:r>
        <w:rPr>
          <w:color w:val="231F20"/>
        </w:rPr>
        <w:t>ће </w:t>
      </w:r>
      <w:r>
        <w:rPr>
          <w:color w:val="231F20"/>
          <w:spacing w:val="-3"/>
        </w:rPr>
        <w:t>конкурисати </w:t>
      </w:r>
      <w:r>
        <w:rPr>
          <w:color w:val="231F20"/>
        </w:rPr>
        <w:t>за </w:t>
      </w:r>
      <w:r>
        <w:rPr>
          <w:color w:val="231F20"/>
          <w:spacing w:val="-3"/>
        </w:rPr>
        <w:t>школовање </w:t>
      </w:r>
      <w:r>
        <w:rPr>
          <w:color w:val="231F20"/>
        </w:rPr>
        <w:t>у овим </w:t>
      </w:r>
      <w:r>
        <w:rPr>
          <w:color w:val="231F20"/>
          <w:spacing w:val="-3"/>
        </w:rPr>
        <w:t>школама, </w:t>
      </w:r>
      <w:r>
        <w:rPr>
          <w:color w:val="231F20"/>
        </w:rPr>
        <w:t>а самим тим ће критеријуми селекци- је моћи да </w:t>
      </w:r>
      <w:r>
        <w:rPr>
          <w:color w:val="231F20"/>
          <w:spacing w:val="-6"/>
        </w:rPr>
        <w:t>буду </w:t>
      </w:r>
      <w:r>
        <w:rPr>
          <w:color w:val="231F20"/>
        </w:rPr>
        <w:t>строжи и објективнији. Предуслови повећања гра- витационог подручја </w:t>
      </w:r>
      <w:r>
        <w:rPr>
          <w:color w:val="231F20"/>
          <w:spacing w:val="-4"/>
        </w:rPr>
        <w:t>школе </w:t>
      </w:r>
      <w:r>
        <w:rPr>
          <w:color w:val="231F20"/>
        </w:rPr>
        <w:t>су </w:t>
      </w:r>
      <w:r>
        <w:rPr>
          <w:color w:val="231F20"/>
          <w:spacing w:val="-3"/>
        </w:rPr>
        <w:t>неколики: </w:t>
      </w:r>
      <w:r>
        <w:rPr>
          <w:color w:val="231F20"/>
        </w:rPr>
        <w:t>1) организовање </w:t>
      </w:r>
      <w:r>
        <w:rPr>
          <w:color w:val="231F20"/>
          <w:spacing w:val="-4"/>
        </w:rPr>
        <w:t>ђачког </w:t>
      </w:r>
      <w:r>
        <w:rPr>
          <w:color w:val="231F20"/>
        </w:rPr>
        <w:t>интерната при </w:t>
      </w:r>
      <w:r>
        <w:rPr>
          <w:color w:val="231F20"/>
          <w:spacing w:val="-4"/>
        </w:rPr>
        <w:t>школи </w:t>
      </w:r>
      <w:r>
        <w:rPr>
          <w:color w:val="231F20"/>
        </w:rPr>
        <w:t>и постепена трансформација </w:t>
      </w:r>
      <w:r>
        <w:rPr>
          <w:color w:val="231F20"/>
          <w:spacing w:val="-4"/>
        </w:rPr>
        <w:t>школа </w:t>
      </w:r>
      <w:r>
        <w:rPr>
          <w:color w:val="231F20"/>
        </w:rPr>
        <w:t>ка кам- пус </w:t>
      </w:r>
      <w:r>
        <w:rPr>
          <w:color w:val="231F20"/>
          <w:spacing w:val="-4"/>
        </w:rPr>
        <w:t>систему, </w:t>
      </w:r>
      <w:r>
        <w:rPr>
          <w:color w:val="231F20"/>
          <w:spacing w:val="-3"/>
        </w:rPr>
        <w:t>тако </w:t>
      </w:r>
      <w:r>
        <w:rPr>
          <w:color w:val="231F20"/>
        </w:rPr>
        <w:t>да </w:t>
      </w:r>
      <w:r>
        <w:rPr>
          <w:color w:val="231F20"/>
          <w:spacing w:val="-4"/>
        </w:rPr>
        <w:t>школу </w:t>
      </w:r>
      <w:r>
        <w:rPr>
          <w:color w:val="231F20"/>
        </w:rPr>
        <w:t>могу да похађају </w:t>
      </w:r>
      <w:r>
        <w:rPr>
          <w:color w:val="231F20"/>
          <w:spacing w:val="-3"/>
        </w:rPr>
        <w:t>средњошколци </w:t>
      </w:r>
      <w:r>
        <w:rPr>
          <w:color w:val="231F20"/>
          <w:spacing w:val="-4"/>
        </w:rPr>
        <w:t>који </w:t>
      </w:r>
      <w:r>
        <w:rPr>
          <w:color w:val="231F20"/>
        </w:rPr>
        <w:t>не живе на дневној гравитационој изохрони </w:t>
      </w:r>
      <w:r>
        <w:rPr>
          <w:color w:val="231F20"/>
          <w:spacing w:val="-4"/>
        </w:rPr>
        <w:t>од </w:t>
      </w:r>
      <w:r>
        <w:rPr>
          <w:color w:val="231F20"/>
          <w:spacing w:val="-3"/>
        </w:rPr>
        <w:t>школе; </w:t>
      </w:r>
      <w:r>
        <w:rPr>
          <w:color w:val="231F20"/>
        </w:rPr>
        <w:t>2) умрежен и</w:t>
      </w:r>
      <w:r>
        <w:rPr>
          <w:color w:val="231F20"/>
          <w:spacing w:val="-6"/>
        </w:rPr>
        <w:t> </w:t>
      </w:r>
      <w:r>
        <w:rPr>
          <w:color w:val="231F20"/>
        </w:rPr>
        <w:t>организован</w:t>
      </w:r>
      <w:r>
        <w:rPr>
          <w:color w:val="231F20"/>
          <w:spacing w:val="-6"/>
        </w:rPr>
        <w:t> </w:t>
      </w:r>
      <w:r>
        <w:rPr>
          <w:color w:val="231F20"/>
        </w:rPr>
        <w:t>систем</w:t>
      </w:r>
      <w:r>
        <w:rPr>
          <w:color w:val="231F20"/>
          <w:spacing w:val="-6"/>
        </w:rPr>
        <w:t> </w:t>
      </w:r>
      <w:r>
        <w:rPr>
          <w:color w:val="231F20"/>
        </w:rPr>
        <w:t>приватних</w:t>
      </w:r>
      <w:r>
        <w:rPr>
          <w:color w:val="231F20"/>
          <w:spacing w:val="-6"/>
        </w:rPr>
        <w:t> </w:t>
      </w:r>
      <w:r>
        <w:rPr>
          <w:color w:val="231F20"/>
        </w:rPr>
        <w:t>станодаваца,</w:t>
      </w:r>
      <w:r>
        <w:rPr>
          <w:color w:val="231F20"/>
          <w:spacing w:val="-6"/>
        </w:rPr>
        <w:t> </w:t>
      </w:r>
      <w:r>
        <w:rPr>
          <w:color w:val="231F20"/>
          <w:spacing w:val="-4"/>
        </w:rPr>
        <w:t>који</w:t>
      </w:r>
      <w:r>
        <w:rPr>
          <w:color w:val="231F20"/>
          <w:spacing w:val="-6"/>
        </w:rPr>
        <w:t> </w:t>
      </w:r>
      <w:r>
        <w:rPr>
          <w:color w:val="231F20"/>
        </w:rPr>
        <w:t>ће</w:t>
      </w:r>
      <w:r>
        <w:rPr>
          <w:color w:val="231F20"/>
          <w:spacing w:val="-6"/>
        </w:rPr>
        <w:t> </w:t>
      </w:r>
      <w:r>
        <w:rPr>
          <w:color w:val="231F20"/>
        </w:rPr>
        <w:t>на</w:t>
      </w:r>
      <w:r>
        <w:rPr>
          <w:color w:val="231F20"/>
          <w:spacing w:val="-6"/>
        </w:rPr>
        <w:t> </w:t>
      </w:r>
      <w:r>
        <w:rPr>
          <w:color w:val="231F20"/>
        </w:rPr>
        <w:t>уговорној основи </w:t>
      </w:r>
      <w:r>
        <w:rPr>
          <w:color w:val="231F20"/>
          <w:spacing w:val="-3"/>
        </w:rPr>
        <w:t>издавати </w:t>
      </w:r>
      <w:r>
        <w:rPr>
          <w:color w:val="231F20"/>
        </w:rPr>
        <w:t>собе </w:t>
      </w:r>
      <w:r>
        <w:rPr>
          <w:color w:val="231F20"/>
          <w:spacing w:val="-3"/>
        </w:rPr>
        <w:t>средњошколцима </w:t>
      </w:r>
      <w:r>
        <w:rPr>
          <w:color w:val="231F20"/>
        </w:rPr>
        <w:t>и </w:t>
      </w:r>
      <w:r>
        <w:rPr>
          <w:color w:val="231F20"/>
          <w:spacing w:val="-3"/>
        </w:rPr>
        <w:t>имати </w:t>
      </w:r>
      <w:r>
        <w:rPr>
          <w:color w:val="231F20"/>
        </w:rPr>
        <w:t>одређене могућно- сти и обавезе </w:t>
      </w:r>
      <w:r>
        <w:rPr>
          <w:color w:val="231F20"/>
          <w:spacing w:val="-3"/>
        </w:rPr>
        <w:t>контроле </w:t>
      </w:r>
      <w:r>
        <w:rPr>
          <w:color w:val="231F20"/>
        </w:rPr>
        <w:t>понашања ученика </w:t>
      </w:r>
      <w:r>
        <w:rPr>
          <w:color w:val="231F20"/>
          <w:spacing w:val="-3"/>
        </w:rPr>
        <w:t>којима </w:t>
      </w:r>
      <w:r>
        <w:rPr>
          <w:color w:val="231F20"/>
        </w:rPr>
        <w:t>дају </w:t>
      </w:r>
      <w:r>
        <w:rPr>
          <w:color w:val="231F20"/>
          <w:spacing w:val="-3"/>
        </w:rPr>
        <w:t>собу </w:t>
      </w:r>
      <w:r>
        <w:rPr>
          <w:color w:val="231F20"/>
        </w:rPr>
        <w:t>у за- куп;</w:t>
      </w:r>
      <w:r>
        <w:rPr>
          <w:color w:val="231F20"/>
          <w:spacing w:val="-11"/>
        </w:rPr>
        <w:t> </w:t>
      </w:r>
      <w:r>
        <w:rPr>
          <w:color w:val="231F20"/>
        </w:rPr>
        <w:t>3)</w:t>
      </w:r>
      <w:r>
        <w:rPr>
          <w:color w:val="231F20"/>
          <w:spacing w:val="-11"/>
        </w:rPr>
        <w:t> </w:t>
      </w:r>
      <w:r>
        <w:rPr>
          <w:color w:val="231F20"/>
        </w:rPr>
        <w:t>опремљеност</w:t>
      </w:r>
      <w:r>
        <w:rPr>
          <w:color w:val="231F20"/>
          <w:spacing w:val="-11"/>
        </w:rPr>
        <w:t> </w:t>
      </w:r>
      <w:r>
        <w:rPr>
          <w:color w:val="231F20"/>
          <w:spacing w:val="-4"/>
        </w:rPr>
        <w:t>школе</w:t>
      </w:r>
      <w:r>
        <w:rPr>
          <w:color w:val="231F20"/>
          <w:spacing w:val="-11"/>
        </w:rPr>
        <w:t> </w:t>
      </w:r>
      <w:r>
        <w:rPr>
          <w:color w:val="231F20"/>
        </w:rPr>
        <w:t>потребним</w:t>
      </w:r>
      <w:r>
        <w:rPr>
          <w:color w:val="231F20"/>
          <w:spacing w:val="-11"/>
        </w:rPr>
        <w:t> </w:t>
      </w:r>
      <w:r>
        <w:rPr>
          <w:color w:val="231F20"/>
        </w:rPr>
        <w:t>садржајима,</w:t>
      </w:r>
      <w:r>
        <w:rPr>
          <w:color w:val="231F20"/>
          <w:spacing w:val="-11"/>
        </w:rPr>
        <w:t> </w:t>
      </w:r>
      <w:r>
        <w:rPr>
          <w:color w:val="231F20"/>
        </w:rPr>
        <w:t>као</w:t>
      </w:r>
      <w:r>
        <w:rPr>
          <w:color w:val="231F20"/>
          <w:spacing w:val="-11"/>
        </w:rPr>
        <w:t> </w:t>
      </w:r>
      <w:r>
        <w:rPr>
          <w:color w:val="231F20"/>
        </w:rPr>
        <w:t>што</w:t>
      </w:r>
      <w:r>
        <w:rPr>
          <w:color w:val="231F20"/>
          <w:spacing w:val="-11"/>
        </w:rPr>
        <w:t> </w:t>
      </w:r>
      <w:r>
        <w:rPr>
          <w:color w:val="231F20"/>
        </w:rPr>
        <w:t>су</w:t>
      </w:r>
      <w:r>
        <w:rPr>
          <w:color w:val="231F20"/>
          <w:spacing w:val="-11"/>
        </w:rPr>
        <w:t> </w:t>
      </w:r>
      <w:r>
        <w:rPr>
          <w:color w:val="231F20"/>
        </w:rPr>
        <w:t>спе- цијалне наставне просторије, </w:t>
      </w:r>
      <w:r>
        <w:rPr>
          <w:color w:val="231F20"/>
          <w:spacing w:val="-3"/>
        </w:rPr>
        <w:t>библиотеке, </w:t>
      </w:r>
      <w:r>
        <w:rPr>
          <w:color w:val="231F20"/>
        </w:rPr>
        <w:t>трпезарије и ресторани, спортски</w:t>
      </w:r>
      <w:r>
        <w:rPr>
          <w:color w:val="231F20"/>
          <w:spacing w:val="-6"/>
        </w:rPr>
        <w:t> </w:t>
      </w:r>
      <w:r>
        <w:rPr>
          <w:color w:val="231F20"/>
        </w:rPr>
        <w:t>терени</w:t>
      </w:r>
      <w:r>
        <w:rPr>
          <w:color w:val="231F20"/>
          <w:spacing w:val="-6"/>
        </w:rPr>
        <w:t> </w:t>
      </w:r>
      <w:r>
        <w:rPr>
          <w:color w:val="231F20"/>
        </w:rPr>
        <w:t>и</w:t>
      </w:r>
      <w:r>
        <w:rPr>
          <w:color w:val="231F20"/>
          <w:spacing w:val="-6"/>
        </w:rPr>
        <w:t> </w:t>
      </w:r>
      <w:r>
        <w:rPr>
          <w:color w:val="231F20"/>
        </w:rPr>
        <w:t>простори</w:t>
      </w:r>
      <w:r>
        <w:rPr>
          <w:color w:val="231F20"/>
          <w:spacing w:val="-6"/>
        </w:rPr>
        <w:t> </w:t>
      </w:r>
      <w:r>
        <w:rPr>
          <w:color w:val="231F20"/>
        </w:rPr>
        <w:t>и</w:t>
      </w:r>
      <w:r>
        <w:rPr>
          <w:color w:val="231F20"/>
          <w:spacing w:val="-6"/>
        </w:rPr>
        <w:t> </w:t>
      </w:r>
      <w:r>
        <w:rPr>
          <w:color w:val="231F20"/>
        </w:rPr>
        <w:t>остале</w:t>
      </w:r>
      <w:r>
        <w:rPr>
          <w:color w:val="231F20"/>
          <w:spacing w:val="-5"/>
        </w:rPr>
        <w:t> </w:t>
      </w:r>
      <w:r>
        <w:rPr>
          <w:color w:val="231F20"/>
        </w:rPr>
        <w:t>пратеће</w:t>
      </w:r>
      <w:r>
        <w:rPr>
          <w:color w:val="231F20"/>
          <w:spacing w:val="-5"/>
        </w:rPr>
        <w:t> </w:t>
      </w:r>
      <w:r>
        <w:rPr>
          <w:color w:val="231F20"/>
        </w:rPr>
        <w:t>услуге;</w:t>
      </w:r>
      <w:r>
        <w:rPr>
          <w:color w:val="231F20"/>
          <w:spacing w:val="-5"/>
        </w:rPr>
        <w:t> </w:t>
      </w:r>
      <w:r>
        <w:rPr>
          <w:color w:val="231F20"/>
        </w:rPr>
        <w:t>4)</w:t>
      </w:r>
      <w:r>
        <w:rPr>
          <w:color w:val="231F20"/>
          <w:spacing w:val="-5"/>
        </w:rPr>
        <w:t> </w:t>
      </w:r>
      <w:r>
        <w:rPr>
          <w:color w:val="231F20"/>
        </w:rPr>
        <w:t>побољшан квалитет</w:t>
      </w:r>
      <w:r>
        <w:rPr>
          <w:color w:val="231F20"/>
          <w:spacing w:val="-7"/>
        </w:rPr>
        <w:t> </w:t>
      </w:r>
      <w:r>
        <w:rPr>
          <w:color w:val="231F20"/>
        </w:rPr>
        <w:t>наставе</w:t>
      </w:r>
      <w:r>
        <w:rPr>
          <w:color w:val="231F20"/>
          <w:spacing w:val="-7"/>
        </w:rPr>
        <w:t> </w:t>
      </w:r>
      <w:r>
        <w:rPr>
          <w:color w:val="231F20"/>
        </w:rPr>
        <w:t>и</w:t>
      </w:r>
      <w:r>
        <w:rPr>
          <w:color w:val="231F20"/>
          <w:spacing w:val="-7"/>
        </w:rPr>
        <w:t> </w:t>
      </w:r>
      <w:r>
        <w:rPr>
          <w:color w:val="231F20"/>
          <w:spacing w:val="-3"/>
        </w:rPr>
        <w:t>понуда</w:t>
      </w:r>
      <w:r>
        <w:rPr>
          <w:color w:val="231F20"/>
          <w:spacing w:val="-7"/>
        </w:rPr>
        <w:t> </w:t>
      </w:r>
      <w:r>
        <w:rPr>
          <w:color w:val="231F20"/>
        </w:rPr>
        <w:t>адекватног</w:t>
      </w:r>
      <w:r>
        <w:rPr>
          <w:color w:val="231F20"/>
          <w:spacing w:val="-7"/>
        </w:rPr>
        <w:t> </w:t>
      </w:r>
      <w:r>
        <w:rPr>
          <w:color w:val="231F20"/>
        </w:rPr>
        <w:t>и</w:t>
      </w:r>
      <w:r>
        <w:rPr>
          <w:color w:val="231F20"/>
          <w:spacing w:val="-7"/>
        </w:rPr>
        <w:t> </w:t>
      </w:r>
      <w:r>
        <w:rPr>
          <w:color w:val="231F20"/>
        </w:rPr>
        <w:t>модерног</w:t>
      </w:r>
      <w:r>
        <w:rPr>
          <w:color w:val="231F20"/>
          <w:spacing w:val="-7"/>
        </w:rPr>
        <w:t> </w:t>
      </w:r>
      <w:r>
        <w:rPr>
          <w:color w:val="231F20"/>
        </w:rPr>
        <w:t>знања</w:t>
      </w:r>
      <w:r>
        <w:rPr>
          <w:color w:val="231F20"/>
          <w:spacing w:val="-7"/>
        </w:rPr>
        <w:t> </w:t>
      </w:r>
      <w:r>
        <w:rPr>
          <w:color w:val="231F20"/>
        </w:rPr>
        <w:t>и</w:t>
      </w:r>
      <w:r>
        <w:rPr>
          <w:color w:val="231F20"/>
          <w:spacing w:val="-7"/>
        </w:rPr>
        <w:t> </w:t>
      </w:r>
      <w:r>
        <w:rPr>
          <w:color w:val="231F20"/>
        </w:rPr>
        <w:t>вештина 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савременим</w:t>
      </w:r>
      <w:r>
        <w:rPr>
          <w:color w:val="231F20"/>
          <w:spacing w:val="-8"/>
        </w:rPr>
        <w:t> </w:t>
      </w:r>
      <w:r>
        <w:rPr>
          <w:color w:val="231F20"/>
          <w:spacing w:val="-3"/>
        </w:rPr>
        <w:t>средњошколским</w:t>
      </w:r>
      <w:r>
        <w:rPr>
          <w:color w:val="231F20"/>
          <w:spacing w:val="-8"/>
        </w:rPr>
        <w:t> </w:t>
      </w:r>
      <w:r>
        <w:rPr>
          <w:color w:val="231F20"/>
        </w:rPr>
        <w:t>образовањем,</w:t>
      </w:r>
      <w:r>
        <w:rPr>
          <w:color w:val="231F20"/>
          <w:spacing w:val="-8"/>
        </w:rPr>
        <w:t> </w:t>
      </w:r>
      <w:r>
        <w:rPr>
          <w:color w:val="231F20"/>
        </w:rPr>
        <w:t>5)</w:t>
      </w:r>
      <w:r>
        <w:rPr>
          <w:color w:val="231F20"/>
          <w:spacing w:val="-8"/>
        </w:rPr>
        <w:t> </w:t>
      </w:r>
      <w:r>
        <w:rPr>
          <w:color w:val="231F20"/>
        </w:rPr>
        <w:t>увођење приватних средњих </w:t>
      </w:r>
      <w:r>
        <w:rPr>
          <w:color w:val="231F20"/>
          <w:spacing w:val="-4"/>
        </w:rPr>
        <w:t>школа </w:t>
      </w:r>
      <w:r>
        <w:rPr>
          <w:color w:val="231F20"/>
        </w:rPr>
        <w:t>специфичних профила и знања, 6) </w:t>
      </w:r>
      <w:r>
        <w:rPr>
          <w:color w:val="231F20"/>
          <w:spacing w:val="-3"/>
        </w:rPr>
        <w:t>под- </w:t>
      </w:r>
      <w:r>
        <w:rPr>
          <w:color w:val="231F20"/>
        </w:rPr>
        <w:t>стицање донаторства за обезбеђивање стипендија, и најзад, али не и најмање важно 7) формирање </w:t>
      </w:r>
      <w:r>
        <w:rPr>
          <w:color w:val="231F20"/>
          <w:spacing w:val="-3"/>
        </w:rPr>
        <w:t>комплетних </w:t>
      </w:r>
      <w:r>
        <w:rPr>
          <w:color w:val="231F20"/>
          <w:spacing w:val="-4"/>
        </w:rPr>
        <w:t>школа које </w:t>
      </w:r>
      <w:r>
        <w:rPr>
          <w:color w:val="231F20"/>
        </w:rPr>
        <w:t>ће</w:t>
      </w:r>
      <w:r>
        <w:rPr>
          <w:color w:val="231F20"/>
          <w:spacing w:val="-33"/>
        </w:rPr>
        <w:t> </w:t>
      </w:r>
      <w:r>
        <w:rPr>
          <w:color w:val="231F20"/>
        </w:rPr>
        <w:t>пружити не само квалитетна знања и </w:t>
      </w:r>
      <w:r>
        <w:rPr>
          <w:color w:val="231F20"/>
          <w:spacing w:val="-4"/>
        </w:rPr>
        <w:t>комфор </w:t>
      </w:r>
      <w:r>
        <w:rPr>
          <w:color w:val="231F20"/>
        </w:rPr>
        <w:t>ученицима, него обезбедити </w:t>
      </w:r>
      <w:r>
        <w:rPr>
          <w:color w:val="231F20"/>
          <w:spacing w:val="-4"/>
        </w:rPr>
        <w:t>бригу, </w:t>
      </w:r>
      <w:r>
        <w:rPr>
          <w:color w:val="231F20"/>
        </w:rPr>
        <w:t>старање, надзор и социјалну </w:t>
      </w:r>
      <w:r>
        <w:rPr>
          <w:color w:val="231F20"/>
          <w:spacing w:val="-4"/>
        </w:rPr>
        <w:t>кохезију</w:t>
      </w:r>
      <w:r>
        <w:rPr>
          <w:color w:val="231F20"/>
          <w:spacing w:val="-11"/>
        </w:rPr>
        <w:t> </w:t>
      </w:r>
      <w:r>
        <w:rPr>
          <w:color w:val="231F20"/>
        </w:rPr>
        <w:t>младих.</w:t>
      </w:r>
    </w:p>
    <w:p>
      <w:pPr>
        <w:pStyle w:val="BodyText"/>
        <w:spacing w:line="180" w:lineRule="exact"/>
        <w:ind w:left="570"/>
        <w:jc w:val="left"/>
      </w:pPr>
      <w:r>
        <w:rPr>
          <w:color w:val="231F20"/>
        </w:rPr>
        <w:t>Приметна тенденција у европским државама је продужење</w:t>
      </w:r>
    </w:p>
    <w:p>
      <w:pPr>
        <w:pStyle w:val="BodyText"/>
        <w:spacing w:line="232" w:lineRule="auto" w:before="2"/>
        <w:ind w:left="173" w:right="38"/>
      </w:pPr>
      <w:r>
        <w:rPr>
          <w:color w:val="231F20"/>
        </w:rPr>
        <w:t>обавезног образовања и на средњошколски ниво, специјализаци- ја образовања, знања и вештина </w:t>
      </w:r>
      <w:r>
        <w:rPr>
          <w:color w:val="231F20"/>
          <w:spacing w:val="-3"/>
        </w:rPr>
        <w:t>који </w:t>
      </w:r>
      <w:r>
        <w:rPr>
          <w:color w:val="231F20"/>
        </w:rPr>
        <w:t>се на </w:t>
      </w:r>
      <w:r>
        <w:rPr>
          <w:color w:val="231F20"/>
          <w:spacing w:val="-3"/>
        </w:rPr>
        <w:t>том нивоу остварују, </w:t>
      </w:r>
      <w:r>
        <w:rPr>
          <w:color w:val="231F20"/>
        </w:rPr>
        <w:t>као</w:t>
      </w:r>
      <w:r>
        <w:rPr>
          <w:color w:val="231F20"/>
          <w:spacing w:val="-5"/>
        </w:rPr>
        <w:t> </w:t>
      </w:r>
      <w:r>
        <w:rPr>
          <w:color w:val="231F20"/>
        </w:rPr>
        <w:t>и</w:t>
      </w:r>
      <w:r>
        <w:rPr>
          <w:color w:val="231F20"/>
          <w:spacing w:val="-5"/>
        </w:rPr>
        <w:t> </w:t>
      </w:r>
      <w:r>
        <w:rPr>
          <w:color w:val="231F20"/>
        </w:rPr>
        <w:t>опадање</w:t>
      </w:r>
      <w:r>
        <w:rPr>
          <w:color w:val="231F20"/>
          <w:spacing w:val="-5"/>
        </w:rPr>
        <w:t> </w:t>
      </w:r>
      <w:r>
        <w:rPr>
          <w:color w:val="231F20"/>
        </w:rPr>
        <w:t>интересовања</w:t>
      </w:r>
      <w:r>
        <w:rPr>
          <w:color w:val="231F20"/>
          <w:spacing w:val="-5"/>
        </w:rPr>
        <w:t> </w:t>
      </w:r>
      <w:r>
        <w:rPr>
          <w:color w:val="231F20"/>
        </w:rPr>
        <w:t>за</w:t>
      </w:r>
      <w:r>
        <w:rPr>
          <w:color w:val="231F20"/>
          <w:spacing w:val="-5"/>
        </w:rPr>
        <w:t> </w:t>
      </w:r>
      <w:r>
        <w:rPr>
          <w:color w:val="231F20"/>
        </w:rPr>
        <w:t>настављање</w:t>
      </w:r>
      <w:r>
        <w:rPr>
          <w:color w:val="231F20"/>
          <w:spacing w:val="-5"/>
        </w:rPr>
        <w:t> </w:t>
      </w:r>
      <w:r>
        <w:rPr>
          <w:color w:val="231F20"/>
          <w:spacing w:val="-3"/>
        </w:rPr>
        <w:t>школовања</w:t>
      </w:r>
      <w:r>
        <w:rPr>
          <w:color w:val="231F20"/>
          <w:spacing w:val="-5"/>
        </w:rPr>
        <w:t> </w:t>
      </w:r>
      <w:r>
        <w:rPr>
          <w:color w:val="231F20"/>
        </w:rPr>
        <w:t>на</w:t>
      </w:r>
      <w:r>
        <w:rPr>
          <w:color w:val="231F20"/>
          <w:spacing w:val="-5"/>
        </w:rPr>
        <w:t> </w:t>
      </w:r>
      <w:r>
        <w:rPr>
          <w:color w:val="231F20"/>
        </w:rPr>
        <w:t>универ- зитетима. Према информацијама са терена, релативно мали број ученика из сеоских насеља </w:t>
      </w:r>
      <w:r>
        <w:rPr>
          <w:color w:val="231F20"/>
          <w:spacing w:val="-3"/>
        </w:rPr>
        <w:t>који </w:t>
      </w:r>
      <w:r>
        <w:rPr>
          <w:color w:val="231F20"/>
        </w:rPr>
        <w:t>заврше основну </w:t>
      </w:r>
      <w:r>
        <w:rPr>
          <w:color w:val="231F20"/>
          <w:spacing w:val="-3"/>
        </w:rPr>
        <w:t>школу </w:t>
      </w:r>
      <w:r>
        <w:rPr>
          <w:color w:val="231F20"/>
        </w:rPr>
        <w:t>наставља </w:t>
      </w:r>
      <w:r>
        <w:rPr>
          <w:color w:val="231F20"/>
          <w:spacing w:val="-2"/>
        </w:rPr>
        <w:t>школовање. </w:t>
      </w:r>
      <w:r>
        <w:rPr>
          <w:color w:val="231F20"/>
        </w:rPr>
        <w:t>Нужно је стимулисати повећање образовног нивоа грађана из сеоских подручја, </w:t>
      </w:r>
      <w:r>
        <w:rPr>
          <w:color w:val="231F20"/>
          <w:spacing w:val="-4"/>
        </w:rPr>
        <w:t>будући </w:t>
      </w:r>
      <w:r>
        <w:rPr>
          <w:color w:val="231F20"/>
        </w:rPr>
        <w:t>да без образованог и квали- фикованог кадра не може доћи до квалитативне реструктурације </w:t>
      </w:r>
      <w:r>
        <w:rPr>
          <w:color w:val="231F20"/>
          <w:spacing w:val="-3"/>
        </w:rPr>
        <w:t>економског </w:t>
      </w:r>
      <w:r>
        <w:rPr>
          <w:color w:val="231F20"/>
        </w:rPr>
        <w:t>и социјалног развоја села.</w:t>
      </w:r>
    </w:p>
    <w:p>
      <w:pPr>
        <w:pStyle w:val="BodyText"/>
        <w:spacing w:before="158"/>
        <w:ind w:left="1901" w:right="1769"/>
        <w:jc w:val="center"/>
      </w:pPr>
      <w:r>
        <w:rPr>
          <w:color w:val="231F20"/>
        </w:rPr>
        <w:t>Заштита старих</w:t>
      </w:r>
    </w:p>
    <w:p>
      <w:pPr>
        <w:pStyle w:val="BodyText"/>
        <w:spacing w:before="2"/>
        <w:ind w:left="0"/>
        <w:jc w:val="left"/>
        <w:rPr>
          <w:sz w:val="17"/>
        </w:rPr>
      </w:pPr>
    </w:p>
    <w:p>
      <w:pPr>
        <w:pStyle w:val="BodyText"/>
        <w:spacing w:line="232" w:lineRule="auto"/>
        <w:ind w:left="173" w:right="38" w:firstLine="396"/>
      </w:pPr>
      <w:r>
        <w:rPr>
          <w:color w:val="231F20"/>
        </w:rPr>
        <w:t>Потребе за различитим облицима заштите старих повећава- ће се најмање из следећих разлога: (1) већ сада је просечна доб становништва релативно висока, нарочито у сеоским насељима, а демографске пројекције указују на настављање трендова старења становништва; и (2) повећава се </w:t>
      </w:r>
      <w:r>
        <w:rPr>
          <w:color w:val="231F20"/>
          <w:spacing w:val="-4"/>
        </w:rPr>
        <w:t>удео </w:t>
      </w:r>
      <w:r>
        <w:rPr>
          <w:color w:val="231F20"/>
        </w:rPr>
        <w:t>старачких (самачких и дво- чланих) домаћинстава </w:t>
      </w:r>
      <w:r>
        <w:rPr>
          <w:color w:val="231F20"/>
          <w:spacing w:val="-4"/>
        </w:rPr>
        <w:t>која </w:t>
      </w:r>
      <w:r>
        <w:rPr>
          <w:color w:val="231F20"/>
        </w:rPr>
        <w:t>ће све теже решавати текуће проблеме </w:t>
      </w:r>
      <w:r>
        <w:rPr>
          <w:color w:val="231F20"/>
          <w:spacing w:val="-3"/>
        </w:rPr>
        <w:t>свакодневног </w:t>
      </w:r>
      <w:r>
        <w:rPr>
          <w:color w:val="231F20"/>
        </w:rPr>
        <w:t>живота (снабдевање, здравствена заштита, друге вр- сте</w:t>
      </w:r>
      <w:r>
        <w:rPr>
          <w:color w:val="231F20"/>
          <w:spacing w:val="-6"/>
        </w:rPr>
        <w:t> </w:t>
      </w:r>
      <w:r>
        <w:rPr>
          <w:color w:val="231F20"/>
        </w:rPr>
        <w:t>услуга</w:t>
      </w:r>
      <w:r>
        <w:rPr>
          <w:color w:val="231F20"/>
          <w:spacing w:val="-6"/>
        </w:rPr>
        <w:t> </w:t>
      </w:r>
      <w:r>
        <w:rPr>
          <w:color w:val="231F20"/>
        </w:rPr>
        <w:t>и</w:t>
      </w:r>
      <w:r>
        <w:rPr>
          <w:color w:val="231F20"/>
          <w:spacing w:val="-6"/>
        </w:rPr>
        <w:t> </w:t>
      </w:r>
      <w:r>
        <w:rPr>
          <w:color w:val="231F20"/>
        </w:rPr>
        <w:t>слично).</w:t>
      </w:r>
      <w:r>
        <w:rPr>
          <w:color w:val="231F20"/>
          <w:spacing w:val="-6"/>
        </w:rPr>
        <w:t> </w:t>
      </w:r>
      <w:r>
        <w:rPr>
          <w:color w:val="231F20"/>
        </w:rPr>
        <w:t>Локална</w:t>
      </w:r>
      <w:r>
        <w:rPr>
          <w:color w:val="231F20"/>
          <w:spacing w:val="-6"/>
        </w:rPr>
        <w:t> </w:t>
      </w:r>
      <w:r>
        <w:rPr>
          <w:color w:val="231F20"/>
        </w:rPr>
        <w:t>управа</w:t>
      </w:r>
      <w:r>
        <w:rPr>
          <w:color w:val="231F20"/>
          <w:spacing w:val="-6"/>
        </w:rPr>
        <w:t> </w:t>
      </w:r>
      <w:r>
        <w:rPr>
          <w:color w:val="231F20"/>
        </w:rPr>
        <w:t>у</w:t>
      </w:r>
      <w:r>
        <w:rPr>
          <w:color w:val="231F20"/>
          <w:spacing w:val="-6"/>
        </w:rPr>
        <w:t> </w:t>
      </w:r>
      <w:r>
        <w:rPr>
          <w:color w:val="231F20"/>
        </w:rPr>
        <w:t>сарадњи</w:t>
      </w:r>
      <w:r>
        <w:rPr>
          <w:color w:val="231F20"/>
          <w:spacing w:val="-6"/>
        </w:rPr>
        <w:t> </w:t>
      </w:r>
      <w:r>
        <w:rPr>
          <w:color w:val="231F20"/>
        </w:rPr>
        <w:t>са</w:t>
      </w:r>
      <w:r>
        <w:rPr>
          <w:color w:val="231F20"/>
          <w:spacing w:val="-6"/>
        </w:rPr>
        <w:t> </w:t>
      </w:r>
      <w:r>
        <w:rPr>
          <w:color w:val="231F20"/>
        </w:rPr>
        <w:t>приватним</w:t>
      </w:r>
      <w:r>
        <w:rPr>
          <w:color w:val="231F20"/>
          <w:spacing w:val="-6"/>
        </w:rPr>
        <w:t> </w:t>
      </w:r>
      <w:r>
        <w:rPr>
          <w:color w:val="231F20"/>
        </w:rPr>
        <w:t>сек- </w:t>
      </w:r>
      <w:r>
        <w:rPr>
          <w:color w:val="231F20"/>
          <w:spacing w:val="-3"/>
        </w:rPr>
        <w:t>тором може </w:t>
      </w:r>
      <w:r>
        <w:rPr>
          <w:color w:val="231F20"/>
        </w:rPr>
        <w:t>да </w:t>
      </w:r>
      <w:r>
        <w:rPr>
          <w:color w:val="231F20"/>
          <w:spacing w:val="-3"/>
        </w:rPr>
        <w:t>понуди </w:t>
      </w:r>
      <w:r>
        <w:rPr>
          <w:color w:val="231F20"/>
        </w:rPr>
        <w:t>различите модалитете смештаја, заштите и бриге</w:t>
      </w:r>
      <w:r>
        <w:rPr>
          <w:color w:val="231F20"/>
          <w:spacing w:val="-10"/>
        </w:rPr>
        <w:t> </w:t>
      </w:r>
      <w:r>
        <w:rPr>
          <w:color w:val="231F20"/>
        </w:rPr>
        <w:t>пензионерима</w:t>
      </w:r>
      <w:r>
        <w:rPr>
          <w:color w:val="231F20"/>
          <w:spacing w:val="-10"/>
        </w:rPr>
        <w:t> </w:t>
      </w:r>
      <w:r>
        <w:rPr>
          <w:color w:val="231F20"/>
        </w:rPr>
        <w:t>и</w:t>
      </w:r>
      <w:r>
        <w:rPr>
          <w:color w:val="231F20"/>
          <w:spacing w:val="-10"/>
        </w:rPr>
        <w:t> </w:t>
      </w:r>
      <w:r>
        <w:rPr>
          <w:color w:val="231F20"/>
        </w:rPr>
        <w:t>старим</w:t>
      </w:r>
      <w:r>
        <w:rPr>
          <w:color w:val="231F20"/>
          <w:spacing w:val="-10"/>
        </w:rPr>
        <w:t> </w:t>
      </w:r>
      <w:r>
        <w:rPr>
          <w:color w:val="231F20"/>
        </w:rPr>
        <w:t>лицима</w:t>
      </w:r>
      <w:r>
        <w:rPr>
          <w:color w:val="231F20"/>
          <w:spacing w:val="-10"/>
        </w:rPr>
        <w:t> </w:t>
      </w:r>
      <w:r>
        <w:rPr>
          <w:color w:val="231F20"/>
        </w:rPr>
        <w:t>(заједнице</w:t>
      </w:r>
      <w:r>
        <w:rPr>
          <w:color w:val="231F20"/>
          <w:spacing w:val="-10"/>
        </w:rPr>
        <w:t> </w:t>
      </w:r>
      <w:r>
        <w:rPr>
          <w:color w:val="231F20"/>
        </w:rPr>
        <w:t>становања</w:t>
      </w:r>
      <w:r>
        <w:rPr>
          <w:color w:val="231F20"/>
          <w:spacing w:val="-10"/>
        </w:rPr>
        <w:t> </w:t>
      </w:r>
      <w:r>
        <w:rPr>
          <w:color w:val="231F20"/>
        </w:rPr>
        <w:t>старих </w:t>
      </w:r>
      <w:r>
        <w:rPr>
          <w:color w:val="231F20"/>
          <w:spacing w:val="-4"/>
        </w:rPr>
        <w:t>људи, </w:t>
      </w:r>
      <w:r>
        <w:rPr>
          <w:color w:val="231F20"/>
          <w:spacing w:val="-3"/>
        </w:rPr>
        <w:t>модификовани </w:t>
      </w:r>
      <w:r>
        <w:rPr>
          <w:color w:val="231F20"/>
        </w:rPr>
        <w:t>типови </w:t>
      </w:r>
      <w:r>
        <w:rPr>
          <w:color w:val="231F20"/>
          <w:spacing w:val="-2"/>
        </w:rPr>
        <w:t>домова </w:t>
      </w:r>
      <w:r>
        <w:rPr>
          <w:color w:val="231F20"/>
        </w:rPr>
        <w:t>за старе, форме доживотног издржавања</w:t>
      </w:r>
      <w:r>
        <w:rPr>
          <w:color w:val="231F20"/>
          <w:spacing w:val="-12"/>
        </w:rPr>
        <w:t> </w:t>
      </w:r>
      <w:r>
        <w:rPr>
          <w:color w:val="231F20"/>
        </w:rPr>
        <w:t>уз</w:t>
      </w:r>
      <w:r>
        <w:rPr>
          <w:color w:val="231F20"/>
          <w:spacing w:val="-12"/>
        </w:rPr>
        <w:t> </w:t>
      </w:r>
      <w:r>
        <w:rPr>
          <w:color w:val="231F20"/>
          <w:spacing w:val="-3"/>
        </w:rPr>
        <w:t>контролу</w:t>
      </w:r>
      <w:r>
        <w:rPr>
          <w:color w:val="231F20"/>
          <w:spacing w:val="-12"/>
        </w:rPr>
        <w:t> </w:t>
      </w:r>
      <w:r>
        <w:rPr>
          <w:color w:val="231F20"/>
        </w:rPr>
        <w:t>и</w:t>
      </w:r>
      <w:r>
        <w:rPr>
          <w:color w:val="231F20"/>
          <w:spacing w:val="-12"/>
        </w:rPr>
        <w:t> </w:t>
      </w:r>
      <w:r>
        <w:rPr>
          <w:color w:val="231F20"/>
        </w:rPr>
        <w:t>супервизију</w:t>
      </w:r>
      <w:r>
        <w:rPr>
          <w:color w:val="231F20"/>
          <w:spacing w:val="-12"/>
        </w:rPr>
        <w:t> </w:t>
      </w:r>
      <w:r>
        <w:rPr>
          <w:color w:val="231F20"/>
        </w:rPr>
        <w:t>надлежних</w:t>
      </w:r>
      <w:r>
        <w:rPr>
          <w:color w:val="231F20"/>
          <w:spacing w:val="-12"/>
        </w:rPr>
        <w:t> </w:t>
      </w:r>
      <w:r>
        <w:rPr>
          <w:color w:val="231F20"/>
        </w:rPr>
        <w:t>служби</w:t>
      </w:r>
      <w:r>
        <w:rPr>
          <w:color w:val="231F20"/>
          <w:spacing w:val="-12"/>
        </w:rPr>
        <w:t> </w:t>
      </w:r>
      <w:r>
        <w:rPr>
          <w:color w:val="231F20"/>
        </w:rPr>
        <w:t>и</w:t>
      </w:r>
      <w:r>
        <w:rPr>
          <w:color w:val="231F20"/>
          <w:spacing w:val="-12"/>
        </w:rPr>
        <w:t> </w:t>
      </w:r>
      <w:r>
        <w:rPr>
          <w:color w:val="231F20"/>
        </w:rPr>
        <w:t>специ- јализованих организација, мобилне екипе </w:t>
      </w:r>
      <w:r>
        <w:rPr>
          <w:color w:val="231F20"/>
          <w:spacing w:val="-4"/>
        </w:rPr>
        <w:t>које </w:t>
      </w:r>
      <w:r>
        <w:rPr>
          <w:color w:val="231F20"/>
        </w:rPr>
        <w:t>би радиле на</w:t>
      </w:r>
      <w:r>
        <w:rPr>
          <w:color w:val="231F20"/>
          <w:spacing w:val="-27"/>
        </w:rPr>
        <w:t> </w:t>
      </w:r>
      <w:r>
        <w:rPr>
          <w:color w:val="231F20"/>
        </w:rPr>
        <w:t>непро- фитној основи) </w:t>
      </w:r>
      <w:r>
        <w:rPr>
          <w:color w:val="231F20"/>
          <w:spacing w:val="-4"/>
        </w:rPr>
        <w:t>које </w:t>
      </w:r>
      <w:r>
        <w:rPr>
          <w:color w:val="231F20"/>
        </w:rPr>
        <w:t>би биле </w:t>
      </w:r>
      <w:r>
        <w:rPr>
          <w:color w:val="231F20"/>
          <w:spacing w:val="-3"/>
        </w:rPr>
        <w:t>економски </w:t>
      </w:r>
      <w:r>
        <w:rPr>
          <w:color w:val="231F20"/>
        </w:rPr>
        <w:t>исплативе и</w:t>
      </w:r>
      <w:r>
        <w:rPr>
          <w:color w:val="231F20"/>
          <w:spacing w:val="-24"/>
        </w:rPr>
        <w:t> </w:t>
      </w:r>
      <w:r>
        <w:rPr>
          <w:color w:val="231F20"/>
        </w:rPr>
        <w:t>одрживе.</w:t>
      </w:r>
    </w:p>
    <w:p>
      <w:pPr>
        <w:pStyle w:val="BodyText"/>
        <w:spacing w:before="154"/>
        <w:ind w:left="1902" w:right="1769"/>
        <w:jc w:val="center"/>
      </w:pPr>
      <w:r>
        <w:rPr>
          <w:color w:val="231F20"/>
        </w:rPr>
        <w:t>Здравствена заштита</w:t>
      </w:r>
    </w:p>
    <w:p>
      <w:pPr>
        <w:pStyle w:val="BodyText"/>
        <w:spacing w:before="2"/>
        <w:ind w:left="0"/>
        <w:jc w:val="left"/>
        <w:rPr>
          <w:sz w:val="17"/>
        </w:rPr>
      </w:pPr>
    </w:p>
    <w:p>
      <w:pPr>
        <w:pStyle w:val="BodyText"/>
        <w:spacing w:line="232" w:lineRule="auto" w:before="1"/>
        <w:ind w:left="173" w:right="38" w:firstLine="397"/>
      </w:pPr>
      <w:r>
        <w:rPr>
          <w:color w:val="231F20"/>
        </w:rPr>
        <w:t>Виши квалитет </w:t>
      </w:r>
      <w:r>
        <w:rPr>
          <w:color w:val="231F20"/>
          <w:spacing w:val="-3"/>
        </w:rPr>
        <w:t>здравствене </w:t>
      </w:r>
      <w:r>
        <w:rPr>
          <w:color w:val="231F20"/>
        </w:rPr>
        <w:t>заштите и </w:t>
      </w:r>
      <w:r>
        <w:rPr>
          <w:color w:val="231F20"/>
          <w:spacing w:val="-3"/>
        </w:rPr>
        <w:t>обезбеђивање </w:t>
      </w:r>
      <w:r>
        <w:rPr>
          <w:color w:val="231F20"/>
        </w:rPr>
        <w:t>правич- ног и </w:t>
      </w:r>
      <w:r>
        <w:rPr>
          <w:color w:val="231F20"/>
          <w:spacing w:val="-4"/>
        </w:rPr>
        <w:t>једнаког </w:t>
      </w:r>
      <w:r>
        <w:rPr>
          <w:color w:val="231F20"/>
          <w:spacing w:val="-3"/>
        </w:rPr>
        <w:t>приступа </w:t>
      </w:r>
      <w:r>
        <w:rPr>
          <w:color w:val="231F20"/>
        </w:rPr>
        <w:t>за све </w:t>
      </w:r>
      <w:r>
        <w:rPr>
          <w:color w:val="231F20"/>
          <w:spacing w:val="-3"/>
        </w:rPr>
        <w:t>становнике Планског подручја под- разумева прилагођавање </w:t>
      </w:r>
      <w:r>
        <w:rPr>
          <w:color w:val="231F20"/>
        </w:rPr>
        <w:t>рада </w:t>
      </w:r>
      <w:r>
        <w:rPr>
          <w:color w:val="231F20"/>
          <w:spacing w:val="-3"/>
        </w:rPr>
        <w:t>здравствених служби потребама </w:t>
      </w:r>
      <w:r>
        <w:rPr>
          <w:color w:val="231F20"/>
        </w:rPr>
        <w:t>и специфичностима локалних </w:t>
      </w:r>
      <w:r>
        <w:rPr>
          <w:color w:val="231F20"/>
          <w:spacing w:val="-3"/>
        </w:rPr>
        <w:t>средина. </w:t>
      </w:r>
      <w:r>
        <w:rPr>
          <w:color w:val="231F20"/>
          <w:spacing w:val="-5"/>
        </w:rPr>
        <w:t>Будући </w:t>
      </w:r>
      <w:r>
        <w:rPr>
          <w:color w:val="231F20"/>
        </w:rPr>
        <w:t>да већи број сеоских насеља нема </w:t>
      </w:r>
      <w:r>
        <w:rPr>
          <w:color w:val="231F20"/>
          <w:spacing w:val="-3"/>
        </w:rPr>
        <w:t>активну </w:t>
      </w:r>
      <w:r>
        <w:rPr>
          <w:color w:val="231F20"/>
          <w:spacing w:val="-6"/>
        </w:rPr>
        <w:t>амбуланту, </w:t>
      </w:r>
      <w:r>
        <w:rPr>
          <w:color w:val="231F20"/>
        </w:rPr>
        <w:t>локална </w:t>
      </w:r>
      <w:r>
        <w:rPr>
          <w:color w:val="231F20"/>
          <w:spacing w:val="-3"/>
        </w:rPr>
        <w:t>управа </w:t>
      </w:r>
      <w:r>
        <w:rPr>
          <w:color w:val="231F20"/>
          <w:spacing w:val="-4"/>
        </w:rPr>
        <w:t>може </w:t>
      </w:r>
      <w:r>
        <w:rPr>
          <w:color w:val="231F20"/>
        </w:rPr>
        <w:t>да </w:t>
      </w:r>
      <w:r>
        <w:rPr>
          <w:color w:val="231F20"/>
          <w:spacing w:val="-3"/>
        </w:rPr>
        <w:t>стимули- </w:t>
      </w:r>
      <w:r>
        <w:rPr>
          <w:color w:val="231F20"/>
        </w:rPr>
        <w:t>ше </w:t>
      </w:r>
      <w:r>
        <w:rPr>
          <w:color w:val="231F20"/>
          <w:spacing w:val="-3"/>
        </w:rPr>
        <w:t>отварање приватних </w:t>
      </w:r>
      <w:r>
        <w:rPr>
          <w:color w:val="231F20"/>
          <w:spacing w:val="-4"/>
        </w:rPr>
        <w:t>амбуланти које </w:t>
      </w:r>
      <w:r>
        <w:rPr>
          <w:color w:val="231F20"/>
        </w:rPr>
        <w:t>би биле у саставу </w:t>
      </w:r>
      <w:r>
        <w:rPr>
          <w:color w:val="231F20"/>
          <w:spacing w:val="-3"/>
        </w:rPr>
        <w:t>домова здравља,</w:t>
      </w:r>
      <w:r>
        <w:rPr>
          <w:color w:val="231F20"/>
          <w:spacing w:val="-6"/>
        </w:rPr>
        <w:t> </w:t>
      </w:r>
      <w:r>
        <w:rPr>
          <w:color w:val="231F20"/>
        </w:rPr>
        <w:t>а</w:t>
      </w:r>
      <w:r>
        <w:rPr>
          <w:color w:val="231F20"/>
          <w:spacing w:val="-6"/>
        </w:rPr>
        <w:t> </w:t>
      </w:r>
      <w:r>
        <w:rPr>
          <w:color w:val="231F20"/>
        </w:rPr>
        <w:t>део</w:t>
      </w:r>
      <w:r>
        <w:rPr>
          <w:color w:val="231F20"/>
          <w:spacing w:val="-6"/>
        </w:rPr>
        <w:t> </w:t>
      </w:r>
      <w:r>
        <w:rPr>
          <w:color w:val="231F20"/>
          <w:spacing w:val="-3"/>
        </w:rPr>
        <w:t>средстава</w:t>
      </w:r>
      <w:r>
        <w:rPr>
          <w:color w:val="231F20"/>
          <w:spacing w:val="-6"/>
        </w:rPr>
        <w:t> </w:t>
      </w:r>
      <w:r>
        <w:rPr>
          <w:color w:val="231F20"/>
        </w:rPr>
        <w:t>да</w:t>
      </w:r>
      <w:r>
        <w:rPr>
          <w:color w:val="231F20"/>
          <w:spacing w:val="-6"/>
        </w:rPr>
        <w:t> </w:t>
      </w:r>
      <w:r>
        <w:rPr>
          <w:color w:val="231F20"/>
          <w:spacing w:val="-3"/>
        </w:rPr>
        <w:t>остварује</w:t>
      </w:r>
      <w:r>
        <w:rPr>
          <w:color w:val="231F20"/>
          <w:spacing w:val="-6"/>
        </w:rPr>
        <w:t> </w:t>
      </w:r>
      <w:r>
        <w:rPr>
          <w:color w:val="231F20"/>
        </w:rPr>
        <w:t>из</w:t>
      </w:r>
      <w:r>
        <w:rPr>
          <w:color w:val="231F20"/>
          <w:spacing w:val="-6"/>
        </w:rPr>
        <w:t> </w:t>
      </w:r>
      <w:r>
        <w:rPr>
          <w:color w:val="231F20"/>
        </w:rPr>
        <w:t>јавних</w:t>
      </w:r>
      <w:r>
        <w:rPr>
          <w:color w:val="231F20"/>
          <w:spacing w:val="-6"/>
        </w:rPr>
        <w:t> </w:t>
      </w:r>
      <w:r>
        <w:rPr>
          <w:color w:val="231F20"/>
          <w:spacing w:val="-3"/>
        </w:rPr>
        <w:t>фондова</w:t>
      </w:r>
      <w:r>
        <w:rPr>
          <w:color w:val="231F20"/>
          <w:spacing w:val="-6"/>
        </w:rPr>
        <w:t> </w:t>
      </w:r>
      <w:r>
        <w:rPr>
          <w:color w:val="231F20"/>
        </w:rPr>
        <w:t>намењених примарној </w:t>
      </w:r>
      <w:r>
        <w:rPr>
          <w:color w:val="231F20"/>
          <w:spacing w:val="-3"/>
        </w:rPr>
        <w:t>здравственој </w:t>
      </w:r>
      <w:r>
        <w:rPr>
          <w:color w:val="231F20"/>
        </w:rPr>
        <w:t>заштити. </w:t>
      </w:r>
      <w:r>
        <w:rPr>
          <w:color w:val="231F20"/>
          <w:spacing w:val="-4"/>
        </w:rPr>
        <w:t>Такође, </w:t>
      </w:r>
      <w:r>
        <w:rPr>
          <w:color w:val="231F20"/>
          <w:spacing w:val="-3"/>
        </w:rPr>
        <w:t>обезбеђивање </w:t>
      </w:r>
      <w:r>
        <w:rPr>
          <w:color w:val="231F20"/>
        </w:rPr>
        <w:t>веће до- ступности услуга примарне </w:t>
      </w:r>
      <w:r>
        <w:rPr>
          <w:color w:val="231F20"/>
          <w:spacing w:val="-3"/>
        </w:rPr>
        <w:t>здравствене </w:t>
      </w:r>
      <w:r>
        <w:rPr>
          <w:color w:val="231F20"/>
        </w:rPr>
        <w:t>заштите </w:t>
      </w:r>
      <w:r>
        <w:rPr>
          <w:color w:val="231F20"/>
          <w:spacing w:val="-3"/>
        </w:rPr>
        <w:t>становништву</w:t>
      </w:r>
      <w:r>
        <w:rPr>
          <w:color w:val="231F20"/>
          <w:spacing w:val="2"/>
        </w:rPr>
        <w:t> </w:t>
      </w:r>
      <w:r>
        <w:rPr>
          <w:color w:val="231F20"/>
        </w:rPr>
        <w:t>на</w:t>
      </w:r>
    </w:p>
    <w:p>
      <w:pPr>
        <w:pStyle w:val="BodyText"/>
        <w:spacing w:line="232" w:lineRule="auto" w:before="71"/>
        <w:ind w:right="408" w:hanging="1"/>
      </w:pPr>
      <w:r>
        <w:rPr/>
        <w:br w:type="column"/>
      </w:r>
      <w:r>
        <w:rPr>
          <w:color w:val="231F20"/>
          <w:spacing w:val="-3"/>
        </w:rPr>
        <w:t>руралном подручју </w:t>
      </w:r>
      <w:r>
        <w:rPr>
          <w:color w:val="231F20"/>
        </w:rPr>
        <w:t>укључује и </w:t>
      </w:r>
      <w:r>
        <w:rPr>
          <w:color w:val="231F20"/>
          <w:spacing w:val="-3"/>
        </w:rPr>
        <w:t>организовање </w:t>
      </w:r>
      <w:r>
        <w:rPr>
          <w:color w:val="231F20"/>
        </w:rPr>
        <w:t>мобилних </w:t>
      </w:r>
      <w:r>
        <w:rPr>
          <w:color w:val="231F20"/>
          <w:spacing w:val="-3"/>
        </w:rPr>
        <w:t>здравстве- </w:t>
      </w:r>
      <w:r>
        <w:rPr>
          <w:color w:val="231F20"/>
        </w:rPr>
        <w:t>них </w:t>
      </w:r>
      <w:r>
        <w:rPr>
          <w:color w:val="231F20"/>
          <w:spacing w:val="-3"/>
        </w:rPr>
        <w:t>тимова </w:t>
      </w:r>
      <w:r>
        <w:rPr>
          <w:color w:val="231F20"/>
        </w:rPr>
        <w:t>– </w:t>
      </w:r>
      <w:r>
        <w:rPr>
          <w:color w:val="231F20"/>
          <w:spacing w:val="-3"/>
        </w:rPr>
        <w:t>формирање мултидисциплинарних тимова </w:t>
      </w:r>
      <w:r>
        <w:rPr>
          <w:color w:val="231F20"/>
        </w:rPr>
        <w:t>повезива- њем</w:t>
      </w:r>
      <w:r>
        <w:rPr>
          <w:color w:val="231F20"/>
          <w:spacing w:val="-9"/>
        </w:rPr>
        <w:t> </w:t>
      </w:r>
      <w:r>
        <w:rPr>
          <w:color w:val="231F20"/>
        </w:rPr>
        <w:t>примарне</w:t>
      </w:r>
      <w:r>
        <w:rPr>
          <w:color w:val="231F20"/>
          <w:spacing w:val="-9"/>
        </w:rPr>
        <w:t> </w:t>
      </w:r>
      <w:r>
        <w:rPr>
          <w:color w:val="231F20"/>
          <w:spacing w:val="-3"/>
        </w:rPr>
        <w:t>здравствене</w:t>
      </w:r>
      <w:r>
        <w:rPr>
          <w:color w:val="231F20"/>
          <w:spacing w:val="-9"/>
        </w:rPr>
        <w:t> </w:t>
      </w:r>
      <w:r>
        <w:rPr>
          <w:color w:val="231F20"/>
        </w:rPr>
        <w:t>заштите</w:t>
      </w:r>
      <w:r>
        <w:rPr>
          <w:color w:val="231F20"/>
          <w:spacing w:val="-9"/>
        </w:rPr>
        <w:t> </w:t>
      </w:r>
      <w:r>
        <w:rPr>
          <w:color w:val="231F20"/>
          <w:spacing w:val="-3"/>
        </w:rPr>
        <w:t>(дом</w:t>
      </w:r>
      <w:r>
        <w:rPr>
          <w:color w:val="231F20"/>
          <w:spacing w:val="-9"/>
        </w:rPr>
        <w:t> </w:t>
      </w:r>
      <w:r>
        <w:rPr>
          <w:color w:val="231F20"/>
          <w:spacing w:val="-3"/>
        </w:rPr>
        <w:t>здравља)</w:t>
      </w:r>
      <w:r>
        <w:rPr>
          <w:color w:val="231F20"/>
          <w:spacing w:val="-9"/>
        </w:rPr>
        <w:t> </w:t>
      </w:r>
      <w:r>
        <w:rPr>
          <w:color w:val="231F20"/>
        </w:rPr>
        <w:t>са</w:t>
      </w:r>
      <w:r>
        <w:rPr>
          <w:color w:val="231F20"/>
          <w:spacing w:val="-9"/>
        </w:rPr>
        <w:t> </w:t>
      </w:r>
      <w:r>
        <w:rPr>
          <w:color w:val="231F20"/>
          <w:spacing w:val="-3"/>
        </w:rPr>
        <w:t>институцијама </w:t>
      </w:r>
      <w:r>
        <w:rPr>
          <w:color w:val="231F20"/>
        </w:rPr>
        <w:t>социјалне</w:t>
      </w:r>
      <w:r>
        <w:rPr>
          <w:color w:val="231F20"/>
          <w:spacing w:val="-5"/>
        </w:rPr>
        <w:t> </w:t>
      </w:r>
      <w:r>
        <w:rPr>
          <w:color w:val="231F20"/>
        </w:rPr>
        <w:t>заштите</w:t>
      </w:r>
      <w:r>
        <w:rPr>
          <w:color w:val="231F20"/>
          <w:spacing w:val="-5"/>
        </w:rPr>
        <w:t> </w:t>
      </w:r>
      <w:r>
        <w:rPr>
          <w:color w:val="231F20"/>
        </w:rPr>
        <w:t>(центар</w:t>
      </w:r>
      <w:r>
        <w:rPr>
          <w:color w:val="231F20"/>
          <w:spacing w:val="-5"/>
        </w:rPr>
        <w:t> </w:t>
      </w:r>
      <w:r>
        <w:rPr>
          <w:color w:val="231F20"/>
        </w:rPr>
        <w:t>за</w:t>
      </w:r>
      <w:r>
        <w:rPr>
          <w:color w:val="231F20"/>
          <w:spacing w:val="-5"/>
        </w:rPr>
        <w:t> </w:t>
      </w:r>
      <w:r>
        <w:rPr>
          <w:color w:val="231F20"/>
        </w:rPr>
        <w:t>социјални</w:t>
      </w:r>
      <w:r>
        <w:rPr>
          <w:color w:val="231F20"/>
          <w:spacing w:val="-5"/>
        </w:rPr>
        <w:t> </w:t>
      </w:r>
      <w:r>
        <w:rPr>
          <w:color w:val="231F20"/>
        </w:rPr>
        <w:t>рад)</w:t>
      </w:r>
      <w:r>
        <w:rPr>
          <w:color w:val="231F20"/>
          <w:spacing w:val="-5"/>
        </w:rPr>
        <w:t> </w:t>
      </w:r>
      <w:r>
        <w:rPr>
          <w:color w:val="231F20"/>
        </w:rPr>
        <w:t>и</w:t>
      </w:r>
      <w:r>
        <w:rPr>
          <w:color w:val="231F20"/>
          <w:spacing w:val="-5"/>
        </w:rPr>
        <w:t> </w:t>
      </w:r>
      <w:r>
        <w:rPr>
          <w:color w:val="231F20"/>
          <w:spacing w:val="-4"/>
        </w:rPr>
        <w:t>апотекарске</w:t>
      </w:r>
      <w:r>
        <w:rPr>
          <w:color w:val="231F20"/>
          <w:spacing w:val="-5"/>
        </w:rPr>
        <w:t> </w:t>
      </w:r>
      <w:r>
        <w:rPr>
          <w:color w:val="231F20"/>
        </w:rPr>
        <w:t>устано- ве. У делу секундарне </w:t>
      </w:r>
      <w:r>
        <w:rPr>
          <w:color w:val="231F20"/>
          <w:spacing w:val="-3"/>
        </w:rPr>
        <w:t>здравствене </w:t>
      </w:r>
      <w:r>
        <w:rPr>
          <w:color w:val="231F20"/>
        </w:rPr>
        <w:t>заштите </w:t>
      </w:r>
      <w:r>
        <w:rPr>
          <w:color w:val="231F20"/>
          <w:spacing w:val="-3"/>
        </w:rPr>
        <w:t>очекује </w:t>
      </w:r>
      <w:r>
        <w:rPr>
          <w:color w:val="231F20"/>
        </w:rPr>
        <w:t>се побољшање квалитета с </w:t>
      </w:r>
      <w:r>
        <w:rPr>
          <w:color w:val="231F20"/>
          <w:spacing w:val="-3"/>
        </w:rPr>
        <w:t>обзиром </w:t>
      </w:r>
      <w:r>
        <w:rPr>
          <w:color w:val="231F20"/>
        </w:rPr>
        <w:t>да </w:t>
      </w:r>
      <w:r>
        <w:rPr>
          <w:color w:val="231F20"/>
          <w:spacing w:val="-3"/>
        </w:rPr>
        <w:t>су </w:t>
      </w:r>
      <w:r>
        <w:rPr>
          <w:color w:val="231F20"/>
        </w:rPr>
        <w:t>у </w:t>
      </w:r>
      <w:r>
        <w:rPr>
          <w:color w:val="231F20"/>
          <w:spacing w:val="-3"/>
        </w:rPr>
        <w:t>току </w:t>
      </w:r>
      <w:r>
        <w:rPr>
          <w:color w:val="231F20"/>
        </w:rPr>
        <w:t>активности на </w:t>
      </w:r>
      <w:r>
        <w:rPr>
          <w:color w:val="231F20"/>
          <w:spacing w:val="-3"/>
        </w:rPr>
        <w:t>завршавању </w:t>
      </w:r>
      <w:r>
        <w:rPr>
          <w:color w:val="231F20"/>
        </w:rPr>
        <w:t>и пре- намени</w:t>
      </w:r>
      <w:r>
        <w:rPr>
          <w:color w:val="231F20"/>
          <w:spacing w:val="-7"/>
        </w:rPr>
        <w:t> </w:t>
      </w:r>
      <w:r>
        <w:rPr>
          <w:color w:val="231F20"/>
        </w:rPr>
        <w:t>новоизграђеног</w:t>
      </w:r>
      <w:r>
        <w:rPr>
          <w:color w:val="231F20"/>
          <w:spacing w:val="-7"/>
        </w:rPr>
        <w:t> </w:t>
      </w:r>
      <w:r>
        <w:rPr>
          <w:color w:val="231F20"/>
          <w:spacing w:val="-4"/>
        </w:rPr>
        <w:t>блока</w:t>
      </w:r>
      <w:r>
        <w:rPr>
          <w:color w:val="231F20"/>
          <w:spacing w:val="-7"/>
        </w:rPr>
        <w:t> </w:t>
      </w:r>
      <w:r>
        <w:rPr>
          <w:color w:val="231F20"/>
        </w:rPr>
        <w:t>регионалне</w:t>
      </w:r>
      <w:r>
        <w:rPr>
          <w:color w:val="231F20"/>
          <w:spacing w:val="-7"/>
        </w:rPr>
        <w:t> </w:t>
      </w:r>
      <w:r>
        <w:rPr>
          <w:color w:val="231F20"/>
          <w:spacing w:val="-3"/>
        </w:rPr>
        <w:t>болнице</w:t>
      </w:r>
      <w:r>
        <w:rPr>
          <w:color w:val="231F20"/>
          <w:spacing w:val="-7"/>
        </w:rPr>
        <w:t> </w:t>
      </w:r>
      <w:r>
        <w:rPr>
          <w:color w:val="231F20"/>
        </w:rPr>
        <w:t>у</w:t>
      </w:r>
      <w:r>
        <w:rPr>
          <w:color w:val="231F20"/>
          <w:spacing w:val="-7"/>
        </w:rPr>
        <w:t> </w:t>
      </w:r>
      <w:r>
        <w:rPr>
          <w:color w:val="231F20"/>
          <w:spacing w:val="-5"/>
        </w:rPr>
        <w:t>Пожаревцу.</w:t>
      </w:r>
    </w:p>
    <w:p>
      <w:pPr>
        <w:pStyle w:val="BodyText"/>
        <w:spacing w:before="160"/>
        <w:ind w:left="1684"/>
        <w:jc w:val="left"/>
      </w:pPr>
      <w:r>
        <w:rPr>
          <w:color w:val="231F20"/>
        </w:rPr>
        <w:t>Култура и физичка култура</w:t>
      </w:r>
    </w:p>
    <w:p>
      <w:pPr>
        <w:pStyle w:val="BodyText"/>
        <w:spacing w:before="3"/>
        <w:ind w:left="0"/>
        <w:jc w:val="left"/>
        <w:rPr>
          <w:sz w:val="17"/>
        </w:rPr>
      </w:pPr>
    </w:p>
    <w:p>
      <w:pPr>
        <w:pStyle w:val="BodyText"/>
        <w:spacing w:line="235" w:lineRule="auto"/>
        <w:ind w:right="407" w:firstLine="396"/>
      </w:pPr>
      <w:r>
        <w:rPr>
          <w:color w:val="231F20"/>
        </w:rPr>
        <w:t>У области </w:t>
      </w:r>
      <w:r>
        <w:rPr>
          <w:color w:val="231F20"/>
          <w:spacing w:val="-3"/>
        </w:rPr>
        <w:t>културе рачуна </w:t>
      </w:r>
      <w:r>
        <w:rPr>
          <w:color w:val="231F20"/>
        </w:rPr>
        <w:t>се на увођење нових механизама и организационих</w:t>
      </w:r>
      <w:r>
        <w:rPr>
          <w:color w:val="231F20"/>
          <w:spacing w:val="-7"/>
        </w:rPr>
        <w:t> </w:t>
      </w:r>
      <w:r>
        <w:rPr>
          <w:color w:val="231F20"/>
        </w:rPr>
        <w:t>форми</w:t>
      </w:r>
      <w:r>
        <w:rPr>
          <w:color w:val="231F20"/>
          <w:spacing w:val="-7"/>
        </w:rPr>
        <w:t> </w:t>
      </w:r>
      <w:r>
        <w:rPr>
          <w:color w:val="231F20"/>
          <w:spacing w:val="-3"/>
        </w:rPr>
        <w:t>културне</w:t>
      </w:r>
      <w:r>
        <w:rPr>
          <w:color w:val="231F20"/>
          <w:spacing w:val="-7"/>
        </w:rPr>
        <w:t> </w:t>
      </w:r>
      <w:r>
        <w:rPr>
          <w:color w:val="231F20"/>
        </w:rPr>
        <w:t>политике</w:t>
      </w:r>
      <w:r>
        <w:rPr>
          <w:color w:val="231F20"/>
          <w:spacing w:val="-7"/>
        </w:rPr>
        <w:t> </w:t>
      </w:r>
      <w:r>
        <w:rPr>
          <w:color w:val="231F20"/>
        </w:rPr>
        <w:t>и</w:t>
      </w:r>
      <w:r>
        <w:rPr>
          <w:color w:val="231F20"/>
          <w:spacing w:val="-7"/>
        </w:rPr>
        <w:t> </w:t>
      </w:r>
      <w:r>
        <w:rPr>
          <w:color w:val="231F20"/>
        </w:rPr>
        <w:t>стварање</w:t>
      </w:r>
      <w:r>
        <w:rPr>
          <w:color w:val="231F20"/>
          <w:spacing w:val="-7"/>
        </w:rPr>
        <w:t> </w:t>
      </w:r>
      <w:r>
        <w:rPr>
          <w:color w:val="231F20"/>
          <w:spacing w:val="-3"/>
        </w:rPr>
        <w:t>кохерентног </w:t>
      </w:r>
      <w:r>
        <w:rPr>
          <w:color w:val="231F20"/>
        </w:rPr>
        <w:t>система</w:t>
      </w:r>
      <w:r>
        <w:rPr>
          <w:color w:val="231F20"/>
          <w:spacing w:val="-9"/>
        </w:rPr>
        <w:t> </w:t>
      </w:r>
      <w:r>
        <w:rPr>
          <w:color w:val="231F20"/>
          <w:spacing w:val="-4"/>
        </w:rPr>
        <w:t>који</w:t>
      </w:r>
      <w:r>
        <w:rPr>
          <w:color w:val="231F20"/>
          <w:spacing w:val="-9"/>
        </w:rPr>
        <w:t> </w:t>
      </w:r>
      <w:r>
        <w:rPr>
          <w:color w:val="231F20"/>
        </w:rPr>
        <w:t>ће</w:t>
      </w:r>
      <w:r>
        <w:rPr>
          <w:color w:val="231F20"/>
          <w:spacing w:val="-9"/>
        </w:rPr>
        <w:t> </w:t>
      </w:r>
      <w:r>
        <w:rPr>
          <w:color w:val="231F20"/>
        </w:rPr>
        <w:t>уравнотежити</w:t>
      </w:r>
      <w:r>
        <w:rPr>
          <w:color w:val="231F20"/>
          <w:spacing w:val="-9"/>
        </w:rPr>
        <w:t> </w:t>
      </w:r>
      <w:r>
        <w:rPr>
          <w:color w:val="231F20"/>
        </w:rPr>
        <w:t>приватне</w:t>
      </w:r>
      <w:r>
        <w:rPr>
          <w:color w:val="231F20"/>
          <w:spacing w:val="-9"/>
        </w:rPr>
        <w:t> </w:t>
      </w:r>
      <w:r>
        <w:rPr>
          <w:color w:val="231F20"/>
        </w:rPr>
        <w:t>и</w:t>
      </w:r>
      <w:r>
        <w:rPr>
          <w:color w:val="231F20"/>
          <w:spacing w:val="-9"/>
        </w:rPr>
        <w:t> </w:t>
      </w:r>
      <w:r>
        <w:rPr>
          <w:color w:val="231F20"/>
        </w:rPr>
        <w:t>јавне</w:t>
      </w:r>
      <w:r>
        <w:rPr>
          <w:color w:val="231F20"/>
          <w:spacing w:val="-9"/>
        </w:rPr>
        <w:t> </w:t>
      </w:r>
      <w:r>
        <w:rPr>
          <w:color w:val="231F20"/>
        </w:rPr>
        <w:t>иницијативе</w:t>
      </w:r>
      <w:r>
        <w:rPr>
          <w:color w:val="231F20"/>
          <w:spacing w:val="-9"/>
        </w:rPr>
        <w:t> </w:t>
      </w:r>
      <w:r>
        <w:rPr>
          <w:color w:val="231F20"/>
        </w:rPr>
        <w:t>и</w:t>
      </w:r>
      <w:r>
        <w:rPr>
          <w:color w:val="231F20"/>
          <w:spacing w:val="-9"/>
        </w:rPr>
        <w:t> </w:t>
      </w:r>
      <w:r>
        <w:rPr>
          <w:color w:val="231F20"/>
        </w:rPr>
        <w:t>омо- гућити интерсекторску </w:t>
      </w:r>
      <w:r>
        <w:rPr>
          <w:color w:val="231F20"/>
          <w:spacing w:val="-4"/>
        </w:rPr>
        <w:t>сарадњу. </w:t>
      </w:r>
      <w:r>
        <w:rPr>
          <w:color w:val="231F20"/>
        </w:rPr>
        <w:t>Од посебног значаја за овај про- стор</w:t>
      </w:r>
      <w:r>
        <w:rPr>
          <w:color w:val="231F20"/>
          <w:spacing w:val="-6"/>
        </w:rPr>
        <w:t> </w:t>
      </w:r>
      <w:r>
        <w:rPr>
          <w:color w:val="231F20"/>
        </w:rPr>
        <w:t>су</w:t>
      </w:r>
      <w:r>
        <w:rPr>
          <w:color w:val="231F20"/>
          <w:spacing w:val="-6"/>
        </w:rPr>
        <w:t> </w:t>
      </w:r>
      <w:r>
        <w:rPr>
          <w:color w:val="231F20"/>
          <w:spacing w:val="-3"/>
        </w:rPr>
        <w:t>културни</w:t>
      </w:r>
      <w:r>
        <w:rPr>
          <w:color w:val="231F20"/>
          <w:spacing w:val="-6"/>
        </w:rPr>
        <w:t> </w:t>
      </w:r>
      <w:r>
        <w:rPr>
          <w:color w:val="231F20"/>
        </w:rPr>
        <w:t>артефакти</w:t>
      </w:r>
      <w:r>
        <w:rPr>
          <w:color w:val="231F20"/>
          <w:spacing w:val="-6"/>
        </w:rPr>
        <w:t> </w:t>
      </w:r>
      <w:r>
        <w:rPr>
          <w:color w:val="231F20"/>
        </w:rPr>
        <w:t>међународног</w:t>
      </w:r>
      <w:r>
        <w:rPr>
          <w:color w:val="231F20"/>
          <w:spacing w:val="-6"/>
        </w:rPr>
        <w:t> </w:t>
      </w:r>
      <w:r>
        <w:rPr>
          <w:color w:val="231F20"/>
        </w:rPr>
        <w:t>значаја,</w:t>
      </w:r>
      <w:r>
        <w:rPr>
          <w:color w:val="231F20"/>
          <w:spacing w:val="-6"/>
        </w:rPr>
        <w:t> </w:t>
      </w:r>
      <w:r>
        <w:rPr>
          <w:color w:val="231F20"/>
          <w:spacing w:val="-4"/>
        </w:rPr>
        <w:t>који</w:t>
      </w:r>
      <w:r>
        <w:rPr>
          <w:color w:val="231F20"/>
          <w:spacing w:val="-6"/>
        </w:rPr>
        <w:t> </w:t>
      </w:r>
      <w:r>
        <w:rPr>
          <w:color w:val="231F20"/>
        </w:rPr>
        <w:t>могу</w:t>
      </w:r>
      <w:r>
        <w:rPr>
          <w:color w:val="231F20"/>
          <w:spacing w:val="-6"/>
        </w:rPr>
        <w:t> </w:t>
      </w:r>
      <w:r>
        <w:rPr>
          <w:color w:val="231F20"/>
        </w:rPr>
        <w:t>да</w:t>
      </w:r>
      <w:r>
        <w:rPr>
          <w:color w:val="231F20"/>
          <w:spacing w:val="-6"/>
        </w:rPr>
        <w:t> </w:t>
      </w:r>
      <w:r>
        <w:rPr>
          <w:color w:val="231F20"/>
        </w:rPr>
        <w:t>ак- тивирају</w:t>
      </w:r>
      <w:r>
        <w:rPr>
          <w:color w:val="231F20"/>
          <w:spacing w:val="-7"/>
        </w:rPr>
        <w:t> </w:t>
      </w:r>
      <w:r>
        <w:rPr>
          <w:color w:val="231F20"/>
        </w:rPr>
        <w:t>и</w:t>
      </w:r>
      <w:r>
        <w:rPr>
          <w:color w:val="231F20"/>
          <w:spacing w:val="-7"/>
        </w:rPr>
        <w:t> </w:t>
      </w:r>
      <w:r>
        <w:rPr>
          <w:color w:val="231F20"/>
          <w:spacing w:val="-4"/>
        </w:rPr>
        <w:t>околни</w:t>
      </w:r>
      <w:r>
        <w:rPr>
          <w:color w:val="231F20"/>
          <w:spacing w:val="-7"/>
        </w:rPr>
        <w:t> </w:t>
      </w:r>
      <w:r>
        <w:rPr>
          <w:color w:val="231F20"/>
        </w:rPr>
        <w:t>простор.</w:t>
      </w:r>
      <w:r>
        <w:rPr>
          <w:color w:val="231F20"/>
          <w:spacing w:val="-7"/>
        </w:rPr>
        <w:t> </w:t>
      </w:r>
      <w:r>
        <w:rPr>
          <w:color w:val="231F20"/>
        </w:rPr>
        <w:t>Локална</w:t>
      </w:r>
      <w:r>
        <w:rPr>
          <w:color w:val="231F20"/>
          <w:spacing w:val="-7"/>
        </w:rPr>
        <w:t> </w:t>
      </w:r>
      <w:r>
        <w:rPr>
          <w:color w:val="231F20"/>
        </w:rPr>
        <w:t>управа</w:t>
      </w:r>
      <w:r>
        <w:rPr>
          <w:color w:val="231F20"/>
          <w:spacing w:val="-7"/>
        </w:rPr>
        <w:t> </w:t>
      </w:r>
      <w:r>
        <w:rPr>
          <w:color w:val="231F20"/>
        </w:rPr>
        <w:t>има</w:t>
      </w:r>
      <w:r>
        <w:rPr>
          <w:color w:val="231F20"/>
          <w:spacing w:val="-7"/>
        </w:rPr>
        <w:t> </w:t>
      </w:r>
      <w:r>
        <w:rPr>
          <w:color w:val="231F20"/>
        </w:rPr>
        <w:t>интерес</w:t>
      </w:r>
      <w:r>
        <w:rPr>
          <w:color w:val="231F20"/>
          <w:spacing w:val="-7"/>
        </w:rPr>
        <w:t> </w:t>
      </w:r>
      <w:r>
        <w:rPr>
          <w:color w:val="231F20"/>
        </w:rPr>
        <w:t>да</w:t>
      </w:r>
      <w:r>
        <w:rPr>
          <w:color w:val="231F20"/>
          <w:spacing w:val="-7"/>
        </w:rPr>
        <w:t> </w:t>
      </w:r>
      <w:r>
        <w:rPr>
          <w:color w:val="231F20"/>
        </w:rPr>
        <w:t>олакша приступ и </w:t>
      </w:r>
      <w:r>
        <w:rPr>
          <w:color w:val="231F20"/>
          <w:spacing w:val="-2"/>
        </w:rPr>
        <w:t>коришћење </w:t>
      </w:r>
      <w:r>
        <w:rPr>
          <w:color w:val="231F20"/>
        </w:rPr>
        <w:t>објеката у власништву </w:t>
      </w:r>
      <w:r>
        <w:rPr>
          <w:color w:val="231F20"/>
          <w:spacing w:val="-4"/>
        </w:rPr>
        <w:t>Града </w:t>
      </w:r>
      <w:r>
        <w:rPr>
          <w:color w:val="231F20"/>
        </w:rPr>
        <w:t>и општине, и да дефинише </w:t>
      </w:r>
      <w:r>
        <w:rPr>
          <w:color w:val="231F20"/>
          <w:spacing w:val="-2"/>
        </w:rPr>
        <w:t>статус </w:t>
      </w:r>
      <w:r>
        <w:rPr>
          <w:color w:val="231F20"/>
          <w:spacing w:val="-3"/>
        </w:rPr>
        <w:t>културних </w:t>
      </w:r>
      <w:r>
        <w:rPr>
          <w:color w:val="231F20"/>
        </w:rPr>
        <w:t>активности као непрофитних. Раз- вој </w:t>
      </w:r>
      <w:r>
        <w:rPr>
          <w:color w:val="231F20"/>
          <w:spacing w:val="-3"/>
        </w:rPr>
        <w:t>културе </w:t>
      </w:r>
      <w:r>
        <w:rPr>
          <w:color w:val="231F20"/>
        </w:rPr>
        <w:t>у „квартовима” и локалним заједницама унапређењем простора за </w:t>
      </w:r>
      <w:r>
        <w:rPr>
          <w:color w:val="231F20"/>
          <w:spacing w:val="-3"/>
        </w:rPr>
        <w:t>културне </w:t>
      </w:r>
      <w:r>
        <w:rPr>
          <w:color w:val="231F20"/>
        </w:rPr>
        <w:t>активности свих генерација је модел </w:t>
      </w:r>
      <w:r>
        <w:rPr>
          <w:color w:val="231F20"/>
          <w:spacing w:val="-4"/>
        </w:rPr>
        <w:t>који </w:t>
      </w:r>
      <w:r>
        <w:rPr>
          <w:color w:val="231F20"/>
        </w:rPr>
        <w:t>се показао продуктивним у свим врстама локалних</w:t>
      </w:r>
      <w:r>
        <w:rPr>
          <w:color w:val="231F20"/>
          <w:spacing w:val="-30"/>
        </w:rPr>
        <w:t> </w:t>
      </w:r>
      <w:r>
        <w:rPr>
          <w:color w:val="231F20"/>
        </w:rPr>
        <w:t>заједница.</w:t>
      </w:r>
    </w:p>
    <w:p>
      <w:pPr>
        <w:pStyle w:val="BodyText"/>
        <w:spacing w:line="235" w:lineRule="auto"/>
        <w:ind w:right="407" w:firstLine="396"/>
      </w:pPr>
      <w:r>
        <w:rPr>
          <w:color w:val="231F20"/>
        </w:rPr>
        <w:t>Тежиште физичке </w:t>
      </w:r>
      <w:r>
        <w:rPr>
          <w:color w:val="231F20"/>
          <w:spacing w:val="-3"/>
        </w:rPr>
        <w:t>културе </w:t>
      </w:r>
      <w:r>
        <w:rPr>
          <w:color w:val="231F20"/>
        </w:rPr>
        <w:t>је на </w:t>
      </w:r>
      <w:r>
        <w:rPr>
          <w:color w:val="231F20"/>
          <w:spacing w:val="-5"/>
        </w:rPr>
        <w:t>школском </w:t>
      </w:r>
      <w:r>
        <w:rPr>
          <w:color w:val="231F20"/>
        </w:rPr>
        <w:t>спорту и</w:t>
      </w:r>
      <w:r>
        <w:rPr>
          <w:color w:val="231F20"/>
          <w:spacing w:val="-23"/>
        </w:rPr>
        <w:t> </w:t>
      </w:r>
      <w:r>
        <w:rPr>
          <w:color w:val="231F20"/>
        </w:rPr>
        <w:t>опремању простора</w:t>
      </w:r>
      <w:r>
        <w:rPr>
          <w:color w:val="231F20"/>
          <w:spacing w:val="-9"/>
        </w:rPr>
        <w:t> </w:t>
      </w:r>
      <w:r>
        <w:rPr>
          <w:color w:val="231F20"/>
        </w:rPr>
        <w:t>у</w:t>
      </w:r>
      <w:r>
        <w:rPr>
          <w:color w:val="231F20"/>
          <w:spacing w:val="-9"/>
        </w:rPr>
        <w:t> </w:t>
      </w:r>
      <w:r>
        <w:rPr>
          <w:color w:val="231F20"/>
        </w:rPr>
        <w:t>оквиру</w:t>
      </w:r>
      <w:r>
        <w:rPr>
          <w:color w:val="231F20"/>
          <w:spacing w:val="-9"/>
        </w:rPr>
        <w:t> </w:t>
      </w:r>
      <w:r>
        <w:rPr>
          <w:color w:val="231F20"/>
          <w:spacing w:val="-3"/>
        </w:rPr>
        <w:t>школских</w:t>
      </w:r>
      <w:r>
        <w:rPr>
          <w:color w:val="231F20"/>
          <w:spacing w:val="-9"/>
        </w:rPr>
        <w:t> </w:t>
      </w:r>
      <w:r>
        <w:rPr>
          <w:color w:val="231F20"/>
        </w:rPr>
        <w:t>објеката,</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spacing w:val="-3"/>
        </w:rPr>
        <w:t>подршка</w:t>
      </w:r>
      <w:r>
        <w:rPr>
          <w:color w:val="231F20"/>
          <w:spacing w:val="-9"/>
        </w:rPr>
        <w:t> </w:t>
      </w:r>
      <w:r>
        <w:rPr>
          <w:color w:val="231F20"/>
        </w:rPr>
        <w:t>месним</w:t>
      </w:r>
      <w:r>
        <w:rPr>
          <w:color w:val="231F20"/>
          <w:spacing w:val="-9"/>
        </w:rPr>
        <w:t> </w:t>
      </w:r>
      <w:r>
        <w:rPr>
          <w:color w:val="231F20"/>
        </w:rPr>
        <w:t>зајед- ницама и </w:t>
      </w:r>
      <w:r>
        <w:rPr>
          <w:color w:val="231F20"/>
          <w:spacing w:val="-4"/>
        </w:rPr>
        <w:t>удружењима </w:t>
      </w:r>
      <w:r>
        <w:rPr>
          <w:color w:val="231F20"/>
        </w:rPr>
        <w:t>грађана да активирају и одржавају</w:t>
      </w:r>
      <w:r>
        <w:rPr>
          <w:color w:val="231F20"/>
          <w:spacing w:val="-32"/>
        </w:rPr>
        <w:t> </w:t>
      </w:r>
      <w:r>
        <w:rPr>
          <w:color w:val="231F20"/>
        </w:rPr>
        <w:t>отворене просторе</w:t>
      </w:r>
      <w:r>
        <w:rPr>
          <w:color w:val="231F20"/>
          <w:spacing w:val="-6"/>
        </w:rPr>
        <w:t> </w:t>
      </w:r>
      <w:r>
        <w:rPr>
          <w:color w:val="231F20"/>
        </w:rPr>
        <w:t>у</w:t>
      </w:r>
      <w:r>
        <w:rPr>
          <w:color w:val="231F20"/>
          <w:spacing w:val="-6"/>
        </w:rPr>
        <w:t> </w:t>
      </w:r>
      <w:r>
        <w:rPr>
          <w:color w:val="231F20"/>
          <w:spacing w:val="-3"/>
        </w:rPr>
        <w:t>околини</w:t>
      </w:r>
      <w:r>
        <w:rPr>
          <w:color w:val="231F20"/>
          <w:spacing w:val="-6"/>
        </w:rPr>
        <w:t> </w:t>
      </w:r>
      <w:r>
        <w:rPr>
          <w:color w:val="231F20"/>
        </w:rPr>
        <w:t>стамбених</w:t>
      </w:r>
      <w:r>
        <w:rPr>
          <w:color w:val="231F20"/>
          <w:spacing w:val="-6"/>
        </w:rPr>
        <w:t> </w:t>
      </w:r>
      <w:r>
        <w:rPr>
          <w:color w:val="231F20"/>
        </w:rPr>
        <w:t>објеката</w:t>
      </w:r>
      <w:r>
        <w:rPr>
          <w:color w:val="231F20"/>
          <w:spacing w:val="-6"/>
        </w:rPr>
        <w:t> </w:t>
      </w:r>
      <w:r>
        <w:rPr>
          <w:color w:val="231F20"/>
        </w:rPr>
        <w:t>за</w:t>
      </w:r>
      <w:r>
        <w:rPr>
          <w:color w:val="231F20"/>
          <w:spacing w:val="-6"/>
        </w:rPr>
        <w:t> </w:t>
      </w:r>
      <w:r>
        <w:rPr>
          <w:color w:val="231F20"/>
        </w:rPr>
        <w:t>спортске</w:t>
      </w:r>
      <w:r>
        <w:rPr>
          <w:color w:val="231F20"/>
          <w:spacing w:val="-6"/>
        </w:rPr>
        <w:t> </w:t>
      </w:r>
      <w:r>
        <w:rPr>
          <w:color w:val="231F20"/>
        </w:rPr>
        <w:t>активности.</w:t>
      </w:r>
    </w:p>
    <w:p>
      <w:pPr>
        <w:pStyle w:val="ListParagraph"/>
        <w:numPr>
          <w:ilvl w:val="3"/>
          <w:numId w:val="28"/>
        </w:numPr>
        <w:tabs>
          <w:tab w:pos="1510" w:val="left" w:leader="none"/>
        </w:tabs>
        <w:spacing w:line="240" w:lineRule="auto" w:before="153" w:after="0"/>
        <w:ind w:left="1509" w:right="0" w:hanging="315"/>
        <w:jc w:val="left"/>
        <w:rPr>
          <w:i/>
          <w:sz w:val="18"/>
        </w:rPr>
      </w:pPr>
      <w:r>
        <w:rPr>
          <w:i/>
          <w:color w:val="231F20"/>
          <w:sz w:val="18"/>
        </w:rPr>
        <w:t>Мрежа насеља и функције</w:t>
      </w:r>
      <w:r>
        <w:rPr>
          <w:i/>
          <w:color w:val="231F20"/>
          <w:spacing w:val="-3"/>
          <w:sz w:val="18"/>
        </w:rPr>
        <w:t> </w:t>
      </w:r>
      <w:r>
        <w:rPr>
          <w:i/>
          <w:color w:val="231F20"/>
          <w:sz w:val="18"/>
        </w:rPr>
        <w:t>центара</w:t>
      </w:r>
    </w:p>
    <w:p>
      <w:pPr>
        <w:pStyle w:val="BodyText"/>
        <w:spacing w:before="5"/>
        <w:ind w:left="0"/>
        <w:jc w:val="left"/>
        <w:rPr>
          <w:i/>
          <w:sz w:val="17"/>
        </w:rPr>
      </w:pPr>
    </w:p>
    <w:p>
      <w:pPr>
        <w:pStyle w:val="BodyText"/>
        <w:spacing w:line="235" w:lineRule="auto"/>
        <w:ind w:left="171" w:right="407" w:firstLine="396"/>
      </w:pPr>
      <w:r>
        <w:rPr>
          <w:color w:val="231F20"/>
          <w:spacing w:val="-8"/>
        </w:rPr>
        <w:t>Град </w:t>
      </w:r>
      <w:r>
        <w:rPr>
          <w:color w:val="231F20"/>
          <w:spacing w:val="-7"/>
        </w:rPr>
        <w:t>Пожаревац </w:t>
      </w:r>
      <w:r>
        <w:rPr>
          <w:color w:val="231F20"/>
          <w:spacing w:val="-4"/>
        </w:rPr>
        <w:t>је </w:t>
      </w:r>
      <w:r>
        <w:rPr>
          <w:color w:val="231F20"/>
          <w:spacing w:val="-6"/>
        </w:rPr>
        <w:t>Просторним </w:t>
      </w:r>
      <w:r>
        <w:rPr>
          <w:color w:val="231F20"/>
          <w:spacing w:val="-7"/>
        </w:rPr>
        <w:t>планом </w:t>
      </w:r>
      <w:r>
        <w:rPr>
          <w:color w:val="231F20"/>
          <w:spacing w:val="-8"/>
        </w:rPr>
        <w:t>Републике </w:t>
      </w:r>
      <w:r>
        <w:rPr>
          <w:color w:val="231F20"/>
          <w:spacing w:val="-6"/>
        </w:rPr>
        <w:t>Србије </w:t>
      </w:r>
      <w:r>
        <w:rPr>
          <w:color w:val="231F20"/>
          <w:spacing w:val="-4"/>
        </w:rPr>
        <w:t>на </w:t>
      </w:r>
      <w:r>
        <w:rPr>
          <w:color w:val="231F20"/>
          <w:spacing w:val="-5"/>
        </w:rPr>
        <w:t>ре- </w:t>
      </w:r>
      <w:r>
        <w:rPr>
          <w:color w:val="231F20"/>
          <w:spacing w:val="-7"/>
        </w:rPr>
        <w:t>гионалном </w:t>
      </w:r>
      <w:r>
        <w:rPr>
          <w:color w:val="231F20"/>
          <w:spacing w:val="-8"/>
        </w:rPr>
        <w:t>нивоу </w:t>
      </w:r>
      <w:r>
        <w:rPr>
          <w:color w:val="231F20"/>
          <w:spacing w:val="-7"/>
        </w:rPr>
        <w:t>развојно позициониран </w:t>
      </w:r>
      <w:r>
        <w:rPr>
          <w:color w:val="231F20"/>
          <w:spacing w:val="-6"/>
        </w:rPr>
        <w:t>као </w:t>
      </w:r>
      <w:r>
        <w:rPr>
          <w:color w:val="231F20"/>
          <w:spacing w:val="-7"/>
        </w:rPr>
        <w:t>потенцијални </w:t>
      </w:r>
      <w:r>
        <w:rPr>
          <w:color w:val="231F20"/>
          <w:spacing w:val="-6"/>
        </w:rPr>
        <w:t>центар </w:t>
      </w:r>
      <w:r>
        <w:rPr>
          <w:color w:val="231F20"/>
          <w:spacing w:val="-7"/>
        </w:rPr>
        <w:t>функционалног </w:t>
      </w:r>
      <w:r>
        <w:rPr>
          <w:color w:val="231F20"/>
          <w:spacing w:val="-6"/>
        </w:rPr>
        <w:t>урбаног </w:t>
      </w:r>
      <w:r>
        <w:rPr>
          <w:color w:val="231F20"/>
          <w:spacing w:val="-7"/>
        </w:rPr>
        <w:t>подручја националног значаја, </w:t>
      </w:r>
      <w:r>
        <w:rPr>
          <w:color w:val="231F20"/>
          <w:spacing w:val="-9"/>
        </w:rPr>
        <w:t>коме </w:t>
      </w:r>
      <w:r>
        <w:rPr>
          <w:color w:val="231F20"/>
          <w:spacing w:val="-7"/>
        </w:rPr>
        <w:t>гравити- </w:t>
      </w:r>
      <w:r>
        <w:rPr>
          <w:color w:val="231F20"/>
          <w:spacing w:val="-6"/>
        </w:rPr>
        <w:t>рају општине </w:t>
      </w:r>
      <w:r>
        <w:rPr>
          <w:color w:val="231F20"/>
          <w:spacing w:val="-4"/>
        </w:rPr>
        <w:t>из </w:t>
      </w:r>
      <w:r>
        <w:rPr>
          <w:color w:val="231F20"/>
          <w:spacing w:val="-7"/>
        </w:rPr>
        <w:t>окружења. </w:t>
      </w:r>
      <w:r>
        <w:rPr>
          <w:color w:val="231F20"/>
          <w:spacing w:val="-6"/>
        </w:rPr>
        <w:t>Основни </w:t>
      </w:r>
      <w:r>
        <w:rPr>
          <w:color w:val="231F20"/>
          <w:spacing w:val="-7"/>
        </w:rPr>
        <w:t>развојни потенцијал подручја </w:t>
      </w:r>
      <w:r>
        <w:rPr>
          <w:color w:val="231F20"/>
          <w:spacing w:val="-4"/>
        </w:rPr>
        <w:t>са- </w:t>
      </w:r>
      <w:r>
        <w:rPr>
          <w:color w:val="231F20"/>
          <w:spacing w:val="-8"/>
        </w:rPr>
        <w:t>гледан </w:t>
      </w:r>
      <w:r>
        <w:rPr>
          <w:color w:val="231F20"/>
          <w:spacing w:val="-4"/>
        </w:rPr>
        <w:t>је на </w:t>
      </w:r>
      <w:r>
        <w:rPr>
          <w:color w:val="231F20"/>
          <w:spacing w:val="-6"/>
        </w:rPr>
        <w:t>основу </w:t>
      </w:r>
      <w:r>
        <w:rPr>
          <w:color w:val="231F20"/>
          <w:spacing w:val="-7"/>
        </w:rPr>
        <w:t>положаја </w:t>
      </w:r>
      <w:r>
        <w:rPr>
          <w:color w:val="231F20"/>
        </w:rPr>
        <w:t>у </w:t>
      </w:r>
      <w:r>
        <w:rPr>
          <w:color w:val="231F20"/>
          <w:spacing w:val="-7"/>
        </w:rPr>
        <w:t>односу </w:t>
      </w:r>
      <w:r>
        <w:rPr>
          <w:color w:val="231F20"/>
          <w:spacing w:val="-4"/>
        </w:rPr>
        <w:t>на </w:t>
      </w:r>
      <w:r>
        <w:rPr>
          <w:color w:val="231F20"/>
          <w:spacing w:val="-7"/>
        </w:rPr>
        <w:t>саобраћајне </w:t>
      </w:r>
      <w:r>
        <w:rPr>
          <w:color w:val="231F20"/>
          <w:spacing w:val="-8"/>
        </w:rPr>
        <w:t>коридоре </w:t>
      </w:r>
      <w:r>
        <w:rPr>
          <w:color w:val="231F20"/>
          <w:spacing w:val="-5"/>
        </w:rPr>
        <w:t>VII </w:t>
      </w:r>
      <w:r>
        <w:rPr>
          <w:color w:val="231F20"/>
        </w:rPr>
        <w:t>и </w:t>
      </w:r>
      <w:r>
        <w:rPr>
          <w:color w:val="231F20"/>
          <w:spacing w:val="-4"/>
        </w:rPr>
        <w:t>X. </w:t>
      </w:r>
      <w:r>
        <w:rPr>
          <w:color w:val="231F20"/>
        </w:rPr>
        <w:t>У </w:t>
      </w:r>
      <w:r>
        <w:rPr>
          <w:color w:val="231F20"/>
          <w:spacing w:val="-7"/>
        </w:rPr>
        <w:t>том </w:t>
      </w:r>
      <w:r>
        <w:rPr>
          <w:color w:val="231F20"/>
          <w:spacing w:val="-9"/>
        </w:rPr>
        <w:t>смислу, </w:t>
      </w:r>
      <w:r>
        <w:rPr>
          <w:color w:val="231F20"/>
          <w:spacing w:val="-6"/>
        </w:rPr>
        <w:t>рaзвoj </w:t>
      </w:r>
      <w:r>
        <w:rPr>
          <w:color w:val="231F20"/>
          <w:spacing w:val="-8"/>
        </w:rPr>
        <w:t>градског </w:t>
      </w:r>
      <w:r>
        <w:rPr>
          <w:color w:val="231F20"/>
          <w:spacing w:val="-6"/>
        </w:rPr>
        <w:t>центра </w:t>
      </w:r>
      <w:r>
        <w:rPr>
          <w:color w:val="231F20"/>
          <w:spacing w:val="-7"/>
        </w:rPr>
        <w:t>Пoжaрeвцa </w:t>
      </w:r>
      <w:r>
        <w:rPr>
          <w:color w:val="231F20"/>
          <w:spacing w:val="-4"/>
        </w:rPr>
        <w:t>ће </w:t>
      </w:r>
      <w:r>
        <w:rPr>
          <w:color w:val="231F20"/>
          <w:spacing w:val="-3"/>
        </w:rPr>
        <w:t>се </w:t>
      </w:r>
      <w:r>
        <w:rPr>
          <w:color w:val="231F20"/>
          <w:spacing w:val="-7"/>
        </w:rPr>
        <w:t>усмеравати </w:t>
      </w:r>
      <w:r>
        <w:rPr>
          <w:color w:val="231F20"/>
          <w:spacing w:val="-5"/>
        </w:rPr>
        <w:t>ка </w:t>
      </w:r>
      <w:r>
        <w:rPr>
          <w:color w:val="231F20"/>
          <w:spacing w:val="-7"/>
        </w:rPr>
        <w:t>унапређењу </w:t>
      </w:r>
      <w:r>
        <w:rPr>
          <w:color w:val="231F20"/>
          <w:spacing w:val="-6"/>
        </w:rPr>
        <w:t>садржаја </w:t>
      </w:r>
      <w:r>
        <w:rPr>
          <w:color w:val="231F20"/>
        </w:rPr>
        <w:t>и </w:t>
      </w:r>
      <w:r>
        <w:rPr>
          <w:color w:val="231F20"/>
          <w:spacing w:val="-7"/>
        </w:rPr>
        <w:t>функциja </w:t>
      </w:r>
      <w:r>
        <w:rPr>
          <w:color w:val="231F20"/>
          <w:spacing w:val="-9"/>
        </w:rPr>
        <w:t>рeгиoнaлнoг, </w:t>
      </w:r>
      <w:r>
        <w:rPr>
          <w:color w:val="231F20"/>
        </w:rPr>
        <w:t>а </w:t>
      </w:r>
      <w:r>
        <w:rPr>
          <w:color w:val="231F20"/>
          <w:spacing w:val="-7"/>
        </w:rPr>
        <w:t>перспективно </w:t>
      </w:r>
      <w:r>
        <w:rPr>
          <w:color w:val="231F20"/>
        </w:rPr>
        <w:t>и </w:t>
      </w:r>
      <w:r>
        <w:rPr>
          <w:color w:val="231F20"/>
          <w:spacing w:val="-6"/>
        </w:rPr>
        <w:t>држав- ног/ </w:t>
      </w:r>
      <w:r>
        <w:rPr>
          <w:color w:val="231F20"/>
          <w:spacing w:val="-7"/>
        </w:rPr>
        <w:t>националног знaчaja, </w:t>
      </w:r>
      <w:r>
        <w:rPr>
          <w:color w:val="231F20"/>
        </w:rPr>
        <w:t>у </w:t>
      </w:r>
      <w:r>
        <w:rPr>
          <w:color w:val="231F20"/>
          <w:spacing w:val="-6"/>
        </w:rPr>
        <w:t>првoм рeду </w:t>
      </w:r>
      <w:r>
        <w:rPr>
          <w:color w:val="231F20"/>
          <w:spacing w:val="-7"/>
        </w:rPr>
        <w:t>развојем </w:t>
      </w:r>
      <w:r>
        <w:rPr>
          <w:color w:val="231F20"/>
          <w:spacing w:val="-6"/>
        </w:rPr>
        <w:t>јавних </w:t>
      </w:r>
      <w:r>
        <w:rPr>
          <w:color w:val="231F20"/>
          <w:spacing w:val="-7"/>
        </w:rPr>
        <w:t>служби </w:t>
      </w:r>
      <w:r>
        <w:rPr>
          <w:color w:val="231F20"/>
        </w:rPr>
        <w:t>и </w:t>
      </w:r>
      <w:r>
        <w:rPr>
          <w:color w:val="231F20"/>
          <w:spacing w:val="-6"/>
        </w:rPr>
        <w:t>услу- </w:t>
      </w:r>
      <w:r>
        <w:rPr>
          <w:color w:val="231F20"/>
          <w:spacing w:val="-4"/>
        </w:rPr>
        <w:t>га </w:t>
      </w:r>
      <w:r>
        <w:rPr>
          <w:color w:val="231F20"/>
          <w:spacing w:val="-7"/>
        </w:rPr>
        <w:t>(образовање, здрaвство, </w:t>
      </w:r>
      <w:r>
        <w:rPr>
          <w:color w:val="231F20"/>
          <w:spacing w:val="-8"/>
        </w:rPr>
        <w:t>култура, </w:t>
      </w:r>
      <w:r>
        <w:rPr>
          <w:color w:val="231F20"/>
          <w:spacing w:val="-7"/>
        </w:rPr>
        <w:t>инфoрмaтика </w:t>
      </w:r>
      <w:r>
        <w:rPr>
          <w:color w:val="231F20"/>
        </w:rPr>
        <w:t>и </w:t>
      </w:r>
      <w:r>
        <w:rPr>
          <w:color w:val="231F20"/>
          <w:spacing w:val="-6"/>
        </w:rPr>
        <w:t>сличне </w:t>
      </w:r>
      <w:r>
        <w:rPr>
          <w:color w:val="231F20"/>
          <w:spacing w:val="-7"/>
        </w:rPr>
        <w:t>дeлaтнoсти). Капацитети </w:t>
      </w:r>
      <w:r>
        <w:rPr>
          <w:color w:val="231F20"/>
        </w:rPr>
        <w:t>и </w:t>
      </w:r>
      <w:r>
        <w:rPr>
          <w:color w:val="231F20"/>
          <w:spacing w:val="-7"/>
        </w:rPr>
        <w:t>структура </w:t>
      </w:r>
      <w:r>
        <w:rPr>
          <w:color w:val="231F20"/>
          <w:spacing w:val="-6"/>
        </w:rPr>
        <w:t>централних </w:t>
      </w:r>
      <w:r>
        <w:rPr>
          <w:color w:val="231F20"/>
          <w:spacing w:val="-7"/>
        </w:rPr>
        <w:t>функција </w:t>
      </w:r>
      <w:r>
        <w:rPr>
          <w:color w:val="231F20"/>
          <w:spacing w:val="-6"/>
        </w:rPr>
        <w:t>треба </w:t>
      </w:r>
      <w:r>
        <w:rPr>
          <w:color w:val="231F20"/>
          <w:spacing w:val="-4"/>
        </w:rPr>
        <w:t>да </w:t>
      </w:r>
      <w:r>
        <w:rPr>
          <w:color w:val="231F20"/>
          <w:spacing w:val="-10"/>
        </w:rPr>
        <w:t>буду </w:t>
      </w:r>
      <w:r>
        <w:rPr>
          <w:color w:val="231F20"/>
          <w:spacing w:val="-7"/>
        </w:rPr>
        <w:t>усаглаше- </w:t>
      </w:r>
      <w:r>
        <w:rPr>
          <w:color w:val="231F20"/>
          <w:spacing w:val="-4"/>
        </w:rPr>
        <w:t>ни </w:t>
      </w:r>
      <w:r>
        <w:rPr>
          <w:color w:val="231F20"/>
          <w:spacing w:val="-3"/>
        </w:rPr>
        <w:t>са </w:t>
      </w:r>
      <w:r>
        <w:rPr>
          <w:color w:val="231F20"/>
          <w:spacing w:val="-6"/>
        </w:rPr>
        <w:t>бројем </w:t>
      </w:r>
      <w:r>
        <w:rPr>
          <w:color w:val="231F20"/>
          <w:spacing w:val="-8"/>
        </w:rPr>
        <w:t>корисника </w:t>
      </w:r>
      <w:r>
        <w:rPr>
          <w:color w:val="231F20"/>
        </w:rPr>
        <w:t>у </w:t>
      </w:r>
      <w:r>
        <w:rPr>
          <w:color w:val="231F20"/>
          <w:spacing w:val="-8"/>
        </w:rPr>
        <w:t>обухвату </w:t>
      </w:r>
      <w:r>
        <w:rPr>
          <w:color w:val="231F20"/>
          <w:spacing w:val="-7"/>
        </w:rPr>
        <w:t>функционалног </w:t>
      </w:r>
      <w:r>
        <w:rPr>
          <w:color w:val="231F20"/>
          <w:spacing w:val="-6"/>
        </w:rPr>
        <w:t>урбаног </w:t>
      </w:r>
      <w:r>
        <w:rPr>
          <w:color w:val="231F20"/>
          <w:spacing w:val="-7"/>
        </w:rPr>
        <w:t>подручја.</w:t>
      </w:r>
    </w:p>
    <w:p>
      <w:pPr>
        <w:pStyle w:val="BodyText"/>
        <w:spacing w:line="235" w:lineRule="auto"/>
        <w:ind w:left="171" w:right="407" w:firstLine="396"/>
      </w:pPr>
      <w:r>
        <w:rPr>
          <w:color w:val="231F20"/>
        </w:rPr>
        <w:t>У</w:t>
      </w:r>
      <w:r>
        <w:rPr>
          <w:color w:val="231F20"/>
          <w:spacing w:val="-9"/>
        </w:rPr>
        <w:t> </w:t>
      </w:r>
      <w:r>
        <w:rPr>
          <w:color w:val="231F20"/>
          <w:spacing w:val="-3"/>
        </w:rPr>
        <w:t>погледу</w:t>
      </w:r>
      <w:r>
        <w:rPr>
          <w:color w:val="231F20"/>
          <w:spacing w:val="-8"/>
        </w:rPr>
        <w:t> </w:t>
      </w:r>
      <w:r>
        <w:rPr>
          <w:color w:val="231F20"/>
        </w:rPr>
        <w:t>структуре</w:t>
      </w:r>
      <w:r>
        <w:rPr>
          <w:color w:val="231F20"/>
          <w:spacing w:val="-9"/>
        </w:rPr>
        <w:t> </w:t>
      </w:r>
      <w:r>
        <w:rPr>
          <w:color w:val="231F20"/>
        </w:rPr>
        <w:t>центара,</w:t>
      </w:r>
      <w:r>
        <w:rPr>
          <w:color w:val="231F20"/>
          <w:spacing w:val="-9"/>
        </w:rPr>
        <w:t> </w:t>
      </w:r>
      <w:r>
        <w:rPr>
          <w:color w:val="231F20"/>
        </w:rPr>
        <w:t>предвиђена</w:t>
      </w:r>
      <w:r>
        <w:rPr>
          <w:color w:val="231F20"/>
          <w:spacing w:val="-9"/>
        </w:rPr>
        <w:t> </w:t>
      </w:r>
      <w:r>
        <w:rPr>
          <w:color w:val="231F20"/>
        </w:rPr>
        <w:t>су</w:t>
      </w:r>
      <w:r>
        <w:rPr>
          <w:color w:val="231F20"/>
          <w:spacing w:val="-9"/>
        </w:rPr>
        <w:t> </w:t>
      </w:r>
      <w:r>
        <w:rPr>
          <w:color w:val="231F20"/>
        </w:rPr>
        <w:t>три</w:t>
      </w:r>
      <w:r>
        <w:rPr>
          <w:color w:val="231F20"/>
          <w:spacing w:val="-9"/>
        </w:rPr>
        <w:t> </w:t>
      </w:r>
      <w:r>
        <w:rPr>
          <w:color w:val="231F20"/>
        </w:rPr>
        <w:t>нивоа</w:t>
      </w:r>
      <w:r>
        <w:rPr>
          <w:color w:val="231F20"/>
          <w:spacing w:val="17"/>
        </w:rPr>
        <w:t> </w:t>
      </w:r>
      <w:r>
        <w:rPr>
          <w:color w:val="231F20"/>
        </w:rPr>
        <w:t>–</w:t>
      </w:r>
      <w:r>
        <w:rPr>
          <w:color w:val="231F20"/>
          <w:spacing w:val="-9"/>
        </w:rPr>
        <w:t> </w:t>
      </w:r>
      <w:r>
        <w:rPr>
          <w:color w:val="231F20"/>
        </w:rPr>
        <w:t>при- марни, секундарни и центар заједнице села/насеља. Према </w:t>
      </w:r>
      <w:r>
        <w:rPr>
          <w:color w:val="231F20"/>
          <w:spacing w:val="-3"/>
        </w:rPr>
        <w:t>кон- </w:t>
      </w:r>
      <w:r>
        <w:rPr>
          <w:color w:val="231F20"/>
        </w:rPr>
        <w:t>цепцији развоја Планског подручја, основни ниво просторне орга- низације чиниће десет зajeдницa</w:t>
      </w:r>
      <w:r>
        <w:rPr>
          <w:color w:val="231F20"/>
          <w:spacing w:val="-3"/>
        </w:rPr>
        <w:t> </w:t>
      </w:r>
      <w:r>
        <w:rPr>
          <w:color w:val="231F20"/>
        </w:rPr>
        <w:t>нaсeљa.</w:t>
      </w:r>
    </w:p>
    <w:p>
      <w:pPr>
        <w:pStyle w:val="BodyText"/>
        <w:spacing w:line="235" w:lineRule="auto"/>
        <w:ind w:left="171" w:right="406" w:firstLine="396"/>
        <w:jc w:val="right"/>
      </w:pPr>
      <w:r>
        <w:rPr>
          <w:color w:val="231F20"/>
        </w:rPr>
        <w:t>Нa</w:t>
      </w:r>
      <w:r>
        <w:rPr>
          <w:color w:val="231F20"/>
          <w:spacing w:val="13"/>
        </w:rPr>
        <w:t> </w:t>
      </w:r>
      <w:r>
        <w:rPr>
          <w:color w:val="231F20"/>
        </w:rPr>
        <w:t>пoдручjу</w:t>
      </w:r>
      <w:r>
        <w:rPr>
          <w:color w:val="231F20"/>
          <w:spacing w:val="13"/>
        </w:rPr>
        <w:t> </w:t>
      </w:r>
      <w:r>
        <w:rPr>
          <w:color w:val="231F20"/>
        </w:rPr>
        <w:t>града</w:t>
      </w:r>
      <w:r>
        <w:rPr>
          <w:color w:val="231F20"/>
          <w:spacing w:val="13"/>
        </w:rPr>
        <w:t> </w:t>
      </w:r>
      <w:r>
        <w:rPr>
          <w:color w:val="231F20"/>
        </w:rPr>
        <w:t>Пoжaрeвaц</w:t>
      </w:r>
      <w:r>
        <w:rPr>
          <w:color w:val="231F20"/>
          <w:spacing w:val="13"/>
        </w:rPr>
        <w:t> </w:t>
      </w:r>
      <w:r>
        <w:rPr>
          <w:color w:val="231F20"/>
        </w:rPr>
        <w:t>тo</w:t>
      </w:r>
      <w:r>
        <w:rPr>
          <w:color w:val="231F20"/>
          <w:spacing w:val="13"/>
        </w:rPr>
        <w:t> </w:t>
      </w:r>
      <w:r>
        <w:rPr>
          <w:color w:val="231F20"/>
        </w:rPr>
        <w:t>би</w:t>
      </w:r>
      <w:r>
        <w:rPr>
          <w:color w:val="231F20"/>
          <w:spacing w:val="13"/>
        </w:rPr>
        <w:t> </w:t>
      </w:r>
      <w:r>
        <w:rPr>
          <w:color w:val="231F20"/>
        </w:rPr>
        <w:t>билe</w:t>
      </w:r>
      <w:r>
        <w:rPr>
          <w:color w:val="231F20"/>
          <w:spacing w:val="13"/>
        </w:rPr>
        <w:t> </w:t>
      </w:r>
      <w:r>
        <w:rPr>
          <w:color w:val="231F20"/>
        </w:rPr>
        <w:t>слeдeћe</w:t>
      </w:r>
      <w:r>
        <w:rPr>
          <w:color w:val="231F20"/>
          <w:spacing w:val="13"/>
        </w:rPr>
        <w:t> </w:t>
      </w:r>
      <w:r>
        <w:rPr>
          <w:color w:val="231F20"/>
        </w:rPr>
        <w:t>зajeдницe нaсeљa сa сeкундaрним и цeнтримa зajeдницe</w:t>
      </w:r>
      <w:r>
        <w:rPr>
          <w:color w:val="231F20"/>
          <w:spacing w:val="33"/>
        </w:rPr>
        <w:t> </w:t>
      </w:r>
      <w:r>
        <w:rPr>
          <w:color w:val="231F20"/>
        </w:rPr>
        <w:t>сeлa:</w:t>
      </w:r>
      <w:r>
        <w:rPr>
          <w:color w:val="231F20"/>
          <w:spacing w:val="5"/>
        </w:rPr>
        <w:t> </w:t>
      </w:r>
      <w:r>
        <w:rPr>
          <w:color w:val="231F20"/>
        </w:rPr>
        <w:t>Кoстoлaц, Живицe,</w:t>
      </w:r>
      <w:r>
        <w:rPr>
          <w:color w:val="231F20"/>
          <w:spacing w:val="-12"/>
        </w:rPr>
        <w:t> </w:t>
      </w:r>
      <w:r>
        <w:rPr>
          <w:color w:val="231F20"/>
        </w:rPr>
        <w:t>Брaтинaц,</w:t>
      </w:r>
      <w:r>
        <w:rPr>
          <w:color w:val="231F20"/>
          <w:spacing w:val="-12"/>
        </w:rPr>
        <w:t> </w:t>
      </w:r>
      <w:r>
        <w:rPr>
          <w:color w:val="231F20"/>
        </w:rPr>
        <w:t>Дубрaвицa,</w:t>
      </w:r>
      <w:r>
        <w:rPr>
          <w:color w:val="231F20"/>
          <w:spacing w:val="-12"/>
        </w:rPr>
        <w:t> </w:t>
      </w:r>
      <w:r>
        <w:rPr>
          <w:color w:val="231F20"/>
        </w:rPr>
        <w:t>Брaдaрaц,</w:t>
      </w:r>
      <w:r>
        <w:rPr>
          <w:color w:val="231F20"/>
          <w:spacing w:val="-12"/>
        </w:rPr>
        <w:t> </w:t>
      </w:r>
      <w:r>
        <w:rPr>
          <w:color w:val="231F20"/>
        </w:rPr>
        <w:t>Бaрe,</w:t>
      </w:r>
      <w:r>
        <w:rPr>
          <w:color w:val="231F20"/>
          <w:spacing w:val="-12"/>
        </w:rPr>
        <w:t> </w:t>
      </w:r>
      <w:r>
        <w:rPr>
          <w:color w:val="231F20"/>
        </w:rPr>
        <w:t>Пругoвo,</w:t>
      </w:r>
      <w:r>
        <w:rPr>
          <w:color w:val="231F20"/>
          <w:spacing w:val="-12"/>
        </w:rPr>
        <w:t> </w:t>
      </w:r>
      <w:r>
        <w:rPr>
          <w:color w:val="231F20"/>
        </w:rPr>
        <w:t>Кличeвaц и</w:t>
      </w:r>
      <w:r>
        <w:rPr>
          <w:color w:val="231F20"/>
          <w:spacing w:val="-5"/>
        </w:rPr>
        <w:t> </w:t>
      </w:r>
      <w:r>
        <w:rPr>
          <w:color w:val="231F20"/>
        </w:rPr>
        <w:t>једна</w:t>
      </w:r>
      <w:r>
        <w:rPr>
          <w:color w:val="231F20"/>
          <w:spacing w:val="-5"/>
        </w:rPr>
        <w:t> </w:t>
      </w:r>
      <w:r>
        <w:rPr>
          <w:color w:val="231F20"/>
        </w:rPr>
        <w:t>са</w:t>
      </w:r>
      <w:r>
        <w:rPr>
          <w:color w:val="231F20"/>
          <w:spacing w:val="-5"/>
        </w:rPr>
        <w:t> </w:t>
      </w:r>
      <w:r>
        <w:rPr>
          <w:color w:val="231F20"/>
        </w:rPr>
        <w:t>примарним</w:t>
      </w:r>
      <w:r>
        <w:rPr>
          <w:color w:val="231F20"/>
          <w:spacing w:val="-5"/>
        </w:rPr>
        <w:t> </w:t>
      </w:r>
      <w:r>
        <w:rPr>
          <w:color w:val="231F20"/>
        </w:rPr>
        <w:t>центром</w:t>
      </w:r>
      <w:r>
        <w:rPr>
          <w:color w:val="231F20"/>
          <w:spacing w:val="-5"/>
        </w:rPr>
        <w:t> </w:t>
      </w:r>
      <w:r>
        <w:rPr>
          <w:color w:val="231F20"/>
        </w:rPr>
        <w:t>(Пожаревац).</w:t>
      </w:r>
      <w:r>
        <w:rPr>
          <w:color w:val="231F20"/>
          <w:spacing w:val="-5"/>
        </w:rPr>
        <w:t> </w:t>
      </w:r>
      <w:r>
        <w:rPr>
          <w:color w:val="231F20"/>
        </w:rPr>
        <w:t>Нa</w:t>
      </w:r>
      <w:r>
        <w:rPr>
          <w:color w:val="231F20"/>
          <w:spacing w:val="-5"/>
        </w:rPr>
        <w:t> </w:t>
      </w:r>
      <w:r>
        <w:rPr>
          <w:color w:val="231F20"/>
        </w:rPr>
        <w:t>пoдручjу</w:t>
      </w:r>
      <w:r>
        <w:rPr>
          <w:color w:val="231F20"/>
          <w:spacing w:val="-5"/>
        </w:rPr>
        <w:t> </w:t>
      </w:r>
      <w:r>
        <w:rPr>
          <w:color w:val="231F20"/>
        </w:rPr>
        <w:t>oпштинe </w:t>
      </w:r>
      <w:r>
        <w:rPr>
          <w:color w:val="231F20"/>
          <w:spacing w:val="-3"/>
        </w:rPr>
        <w:t>Велико</w:t>
      </w:r>
      <w:r>
        <w:rPr>
          <w:color w:val="231F20"/>
          <w:spacing w:val="-9"/>
        </w:rPr>
        <w:t> </w:t>
      </w:r>
      <w:r>
        <w:rPr>
          <w:color w:val="231F20"/>
          <w:spacing w:val="-3"/>
        </w:rPr>
        <w:t>Грaдиштe</w:t>
      </w:r>
      <w:r>
        <w:rPr>
          <w:color w:val="231F20"/>
          <w:spacing w:val="-9"/>
        </w:rPr>
        <w:t> </w:t>
      </w:r>
      <w:r>
        <w:rPr>
          <w:color w:val="231F20"/>
        </w:rPr>
        <w:t>тo</w:t>
      </w:r>
      <w:r>
        <w:rPr>
          <w:color w:val="231F20"/>
          <w:spacing w:val="-9"/>
        </w:rPr>
        <w:t> </w:t>
      </w:r>
      <w:r>
        <w:rPr>
          <w:color w:val="231F20"/>
        </w:rPr>
        <w:t>би</w:t>
      </w:r>
      <w:r>
        <w:rPr>
          <w:color w:val="231F20"/>
          <w:spacing w:val="-9"/>
        </w:rPr>
        <w:t> </w:t>
      </w:r>
      <w:r>
        <w:rPr>
          <w:color w:val="231F20"/>
        </w:rPr>
        <w:t>билa</w:t>
      </w:r>
      <w:r>
        <w:rPr>
          <w:color w:val="231F20"/>
          <w:spacing w:val="-9"/>
        </w:rPr>
        <w:t> </w:t>
      </w:r>
      <w:r>
        <w:rPr>
          <w:color w:val="231F20"/>
        </w:rPr>
        <w:t>зajeдницa</w:t>
      </w:r>
      <w:r>
        <w:rPr>
          <w:color w:val="231F20"/>
          <w:spacing w:val="-9"/>
        </w:rPr>
        <w:t> </w:t>
      </w:r>
      <w:r>
        <w:rPr>
          <w:color w:val="231F20"/>
        </w:rPr>
        <w:t>сeлa</w:t>
      </w:r>
      <w:r>
        <w:rPr>
          <w:color w:val="231F20"/>
          <w:spacing w:val="-9"/>
        </w:rPr>
        <w:t> </w:t>
      </w:r>
      <w:r>
        <w:rPr>
          <w:color w:val="231F20"/>
        </w:rPr>
        <w:t>Мajилoвaц</w:t>
      </w:r>
      <w:r>
        <w:rPr>
          <w:color w:val="231F20"/>
          <w:spacing w:val="-9"/>
        </w:rPr>
        <w:t> </w:t>
      </w:r>
      <w:r>
        <w:rPr>
          <w:color w:val="231F20"/>
        </w:rPr>
        <w:t>(Тaбeлa</w:t>
      </w:r>
      <w:r>
        <w:rPr>
          <w:color w:val="231F20"/>
          <w:spacing w:val="-9"/>
        </w:rPr>
        <w:t> </w:t>
      </w:r>
      <w:r>
        <w:rPr>
          <w:color w:val="231F20"/>
        </w:rPr>
        <w:t>28). У</w:t>
      </w:r>
      <w:r>
        <w:rPr>
          <w:color w:val="231F20"/>
          <w:spacing w:val="15"/>
        </w:rPr>
        <w:t> </w:t>
      </w:r>
      <w:r>
        <w:rPr>
          <w:color w:val="231F20"/>
        </w:rPr>
        <w:t>мрежи</w:t>
      </w:r>
      <w:r>
        <w:rPr>
          <w:color w:val="231F20"/>
          <w:spacing w:val="15"/>
        </w:rPr>
        <w:t> </w:t>
      </w:r>
      <w:r>
        <w:rPr>
          <w:color w:val="231F20"/>
        </w:rPr>
        <w:t>насеља</w:t>
      </w:r>
      <w:r>
        <w:rPr>
          <w:color w:val="231F20"/>
          <w:spacing w:val="15"/>
        </w:rPr>
        <w:t> </w:t>
      </w:r>
      <w:r>
        <w:rPr>
          <w:color w:val="231F20"/>
        </w:rPr>
        <w:t>Планског</w:t>
      </w:r>
      <w:r>
        <w:rPr>
          <w:color w:val="231F20"/>
          <w:spacing w:val="15"/>
        </w:rPr>
        <w:t> </w:t>
      </w:r>
      <w:r>
        <w:rPr>
          <w:color w:val="231F20"/>
        </w:rPr>
        <w:t>подручја,</w:t>
      </w:r>
      <w:r>
        <w:rPr>
          <w:color w:val="231F20"/>
          <w:spacing w:val="15"/>
        </w:rPr>
        <w:t> </w:t>
      </w:r>
      <w:r>
        <w:rPr>
          <w:color w:val="231F20"/>
        </w:rPr>
        <w:t>градско</w:t>
      </w:r>
      <w:r>
        <w:rPr>
          <w:color w:val="231F20"/>
          <w:spacing w:val="15"/>
        </w:rPr>
        <w:t> </w:t>
      </w:r>
      <w:r>
        <w:rPr>
          <w:color w:val="231F20"/>
        </w:rPr>
        <w:t>насеље</w:t>
      </w:r>
      <w:r>
        <w:rPr>
          <w:color w:val="231F20"/>
          <w:spacing w:val="15"/>
        </w:rPr>
        <w:t> </w:t>
      </w:r>
      <w:r>
        <w:rPr>
          <w:color w:val="231F20"/>
        </w:rPr>
        <w:t>Пожа- ревац ће и надаље имати централну</w:t>
      </w:r>
      <w:r>
        <w:rPr>
          <w:color w:val="231F20"/>
          <w:spacing w:val="26"/>
        </w:rPr>
        <w:t> </w:t>
      </w:r>
      <w:r>
        <w:rPr>
          <w:color w:val="231F20"/>
          <w:spacing w:val="-3"/>
        </w:rPr>
        <w:t>функцију. </w:t>
      </w:r>
      <w:r>
        <w:rPr>
          <w:color w:val="231F20"/>
        </w:rPr>
        <w:t>Развој</w:t>
      </w:r>
      <w:r>
        <w:rPr>
          <w:color w:val="231F20"/>
          <w:spacing w:val="15"/>
        </w:rPr>
        <w:t> </w:t>
      </w:r>
      <w:r>
        <w:rPr>
          <w:color w:val="231F20"/>
        </w:rPr>
        <w:t>Пожаревца</w:t>
      </w:r>
      <w:r>
        <w:rPr>
          <w:color w:val="231F20"/>
          <w:spacing w:val="-1"/>
        </w:rPr>
        <w:t> </w:t>
      </w:r>
      <w:r>
        <w:rPr>
          <w:color w:val="231F20"/>
        </w:rPr>
        <w:t>има шири значај, што подразумева јачање</w:t>
      </w:r>
      <w:r>
        <w:rPr>
          <w:color w:val="231F20"/>
          <w:spacing w:val="-28"/>
        </w:rPr>
        <w:t> </w:t>
      </w:r>
      <w:r>
        <w:rPr>
          <w:color w:val="231F20"/>
        </w:rPr>
        <w:t>статуса</w:t>
      </w:r>
      <w:r>
        <w:rPr>
          <w:color w:val="231F20"/>
          <w:spacing w:val="-5"/>
        </w:rPr>
        <w:t> </w:t>
      </w:r>
      <w:r>
        <w:rPr>
          <w:color w:val="231F20"/>
        </w:rPr>
        <w:t>субрегионалног</w:t>
      </w:r>
      <w:r>
        <w:rPr>
          <w:color w:val="231F20"/>
          <w:spacing w:val="-1"/>
        </w:rPr>
        <w:t> </w:t>
      </w:r>
      <w:r>
        <w:rPr>
          <w:color w:val="231F20"/>
        </w:rPr>
        <w:t>центра.</w:t>
      </w:r>
      <w:r>
        <w:rPr>
          <w:color w:val="231F20"/>
          <w:spacing w:val="30"/>
        </w:rPr>
        <w:t> </w:t>
      </w:r>
      <w:r>
        <w:rPr>
          <w:color w:val="231F20"/>
        </w:rPr>
        <w:t>Као</w:t>
      </w:r>
      <w:r>
        <w:rPr>
          <w:color w:val="231F20"/>
          <w:spacing w:val="30"/>
        </w:rPr>
        <w:t> </w:t>
      </w:r>
      <w:r>
        <w:rPr>
          <w:color w:val="231F20"/>
        </w:rPr>
        <w:t>један</w:t>
      </w:r>
      <w:r>
        <w:rPr>
          <w:color w:val="231F20"/>
          <w:spacing w:val="30"/>
        </w:rPr>
        <w:t> </w:t>
      </w:r>
      <w:r>
        <w:rPr>
          <w:color w:val="231F20"/>
          <w:spacing w:val="-3"/>
        </w:rPr>
        <w:t>од</w:t>
      </w:r>
      <w:r>
        <w:rPr>
          <w:color w:val="231F20"/>
          <w:spacing w:val="30"/>
        </w:rPr>
        <w:t> </w:t>
      </w:r>
      <w:r>
        <w:rPr>
          <w:color w:val="231F20"/>
        </w:rPr>
        <w:t>градова</w:t>
      </w:r>
      <w:r>
        <w:rPr>
          <w:color w:val="231F20"/>
          <w:spacing w:val="30"/>
        </w:rPr>
        <w:t> </w:t>
      </w:r>
      <w:r>
        <w:rPr>
          <w:color w:val="231F20"/>
        </w:rPr>
        <w:t>субсистема</w:t>
      </w:r>
      <w:r>
        <w:rPr>
          <w:color w:val="231F20"/>
          <w:spacing w:val="30"/>
        </w:rPr>
        <w:t> </w:t>
      </w:r>
      <w:r>
        <w:rPr>
          <w:color w:val="231F20"/>
        </w:rPr>
        <w:t>спољног</w:t>
      </w:r>
      <w:r>
        <w:rPr>
          <w:color w:val="231F20"/>
          <w:spacing w:val="30"/>
        </w:rPr>
        <w:t> </w:t>
      </w:r>
      <w:r>
        <w:rPr>
          <w:color w:val="231F20"/>
        </w:rPr>
        <w:t>прстена</w:t>
      </w:r>
      <w:r>
        <w:rPr>
          <w:color w:val="231F20"/>
          <w:spacing w:val="30"/>
        </w:rPr>
        <w:t> </w:t>
      </w:r>
      <w:r>
        <w:rPr>
          <w:color w:val="231F20"/>
        </w:rPr>
        <w:t>бео- градског метрополитенског региона, Пожаревац може,</w:t>
      </w:r>
      <w:r>
        <w:rPr>
          <w:color w:val="231F20"/>
          <w:spacing w:val="-6"/>
        </w:rPr>
        <w:t> </w:t>
      </w:r>
      <w:r>
        <w:rPr>
          <w:color w:val="231F20"/>
        </w:rPr>
        <w:t>као</w:t>
      </w:r>
      <w:r>
        <w:rPr>
          <w:color w:val="231F20"/>
          <w:spacing w:val="-2"/>
        </w:rPr>
        <w:t> </w:t>
      </w:r>
      <w:r>
        <w:rPr>
          <w:color w:val="231F20"/>
        </w:rPr>
        <w:t>центар </w:t>
      </w:r>
      <w:r>
        <w:rPr>
          <w:color w:val="231F20"/>
          <w:spacing w:val="-5"/>
        </w:rPr>
        <w:t>ФУП </w:t>
      </w:r>
      <w:r>
        <w:rPr>
          <w:color w:val="231F20"/>
        </w:rPr>
        <w:t>државног значаја, да апсорбује део</w:t>
      </w:r>
      <w:r>
        <w:rPr>
          <w:color w:val="231F20"/>
          <w:spacing w:val="40"/>
        </w:rPr>
        <w:t> </w:t>
      </w:r>
      <w:r>
        <w:rPr>
          <w:color w:val="231F20"/>
        </w:rPr>
        <w:t>такозваног</w:t>
      </w:r>
      <w:r>
        <w:rPr>
          <w:color w:val="231F20"/>
          <w:spacing w:val="5"/>
        </w:rPr>
        <w:t> </w:t>
      </w:r>
      <w:r>
        <w:rPr>
          <w:color w:val="231F20"/>
        </w:rPr>
        <w:t>миграционог</w:t>
      </w:r>
      <w:r>
        <w:rPr>
          <w:color w:val="231F20"/>
          <w:spacing w:val="-1"/>
        </w:rPr>
        <w:t> </w:t>
      </w:r>
      <w:r>
        <w:rPr>
          <w:color w:val="231F20"/>
        </w:rPr>
        <w:t>притиска на </w:t>
      </w:r>
      <w:r>
        <w:rPr>
          <w:color w:val="231F20"/>
          <w:spacing w:val="-3"/>
        </w:rPr>
        <w:t>главни </w:t>
      </w:r>
      <w:r>
        <w:rPr>
          <w:color w:val="231F20"/>
        </w:rPr>
        <w:t>град. Планирана развојна позиција</w:t>
      </w:r>
      <w:r>
        <w:rPr>
          <w:color w:val="231F20"/>
          <w:spacing w:val="2"/>
        </w:rPr>
        <w:t> </w:t>
      </w:r>
      <w:r>
        <w:rPr>
          <w:color w:val="231F20"/>
        </w:rPr>
        <w:t>и</w:t>
      </w:r>
      <w:r>
        <w:rPr>
          <w:color w:val="231F20"/>
          <w:spacing w:val="11"/>
        </w:rPr>
        <w:t> </w:t>
      </w:r>
      <w:r>
        <w:rPr>
          <w:color w:val="231F20"/>
        </w:rPr>
        <w:t>пратеће функције Пожаревца се обезбеђују на</w:t>
      </w:r>
      <w:r>
        <w:rPr>
          <w:color w:val="231F20"/>
          <w:spacing w:val="5"/>
        </w:rPr>
        <w:t> </w:t>
      </w:r>
      <w:r>
        <w:rPr>
          <w:color w:val="231F20"/>
          <w:spacing w:val="-3"/>
        </w:rPr>
        <w:t>републичком,</w:t>
      </w:r>
      <w:r>
        <w:rPr>
          <w:color w:val="231F20"/>
          <w:spacing w:val="10"/>
        </w:rPr>
        <w:t> </w:t>
      </w:r>
      <w:r>
        <w:rPr>
          <w:color w:val="231F20"/>
        </w:rPr>
        <w:t>регионалном и</w:t>
      </w:r>
      <w:r>
        <w:rPr>
          <w:color w:val="231F20"/>
          <w:spacing w:val="33"/>
        </w:rPr>
        <w:t> </w:t>
      </w:r>
      <w:r>
        <w:rPr>
          <w:color w:val="231F20"/>
        </w:rPr>
        <w:t>локалном</w:t>
      </w:r>
      <w:r>
        <w:rPr>
          <w:color w:val="231F20"/>
          <w:spacing w:val="33"/>
        </w:rPr>
        <w:t> </w:t>
      </w:r>
      <w:r>
        <w:rPr>
          <w:color w:val="231F20"/>
        </w:rPr>
        <w:t>нивоу</w:t>
      </w:r>
      <w:r>
        <w:rPr>
          <w:color w:val="231F20"/>
          <w:spacing w:val="33"/>
        </w:rPr>
        <w:t> </w:t>
      </w:r>
      <w:r>
        <w:rPr>
          <w:color w:val="231F20"/>
        </w:rPr>
        <w:t>управљања.</w:t>
      </w:r>
      <w:r>
        <w:rPr>
          <w:color w:val="231F20"/>
          <w:spacing w:val="33"/>
        </w:rPr>
        <w:t> </w:t>
      </w:r>
      <w:r>
        <w:rPr>
          <w:color w:val="231F20"/>
        </w:rPr>
        <w:t>Дугорочно</w:t>
      </w:r>
      <w:r>
        <w:rPr>
          <w:color w:val="231F20"/>
          <w:spacing w:val="33"/>
        </w:rPr>
        <w:t> </w:t>
      </w:r>
      <w:r>
        <w:rPr>
          <w:color w:val="231F20"/>
        </w:rPr>
        <w:t>мора</w:t>
      </w:r>
      <w:r>
        <w:rPr>
          <w:color w:val="231F20"/>
          <w:spacing w:val="33"/>
        </w:rPr>
        <w:t> </w:t>
      </w:r>
      <w:r>
        <w:rPr>
          <w:color w:val="231F20"/>
        </w:rPr>
        <w:t>се</w:t>
      </w:r>
      <w:r>
        <w:rPr>
          <w:color w:val="231F20"/>
          <w:spacing w:val="33"/>
        </w:rPr>
        <w:t> </w:t>
      </w:r>
      <w:r>
        <w:rPr>
          <w:color w:val="231F20"/>
        </w:rPr>
        <w:t>рачунати</w:t>
      </w:r>
      <w:r>
        <w:rPr>
          <w:color w:val="231F20"/>
          <w:spacing w:val="33"/>
        </w:rPr>
        <w:t> </w:t>
      </w:r>
      <w:r>
        <w:rPr>
          <w:color w:val="231F20"/>
        </w:rPr>
        <w:t>на</w:t>
      </w:r>
      <w:r>
        <w:rPr>
          <w:color w:val="231F20"/>
          <w:spacing w:val="-1"/>
        </w:rPr>
        <w:t> </w:t>
      </w:r>
      <w:r>
        <w:rPr>
          <w:color w:val="231F20"/>
        </w:rPr>
        <w:t>много бољу сарадњу између </w:t>
      </w:r>
      <w:r>
        <w:rPr>
          <w:color w:val="231F20"/>
          <w:spacing w:val="-4"/>
        </w:rPr>
        <w:t>јавног, </w:t>
      </w:r>
      <w:r>
        <w:rPr>
          <w:color w:val="231F20"/>
        </w:rPr>
        <w:t>приватног и</w:t>
      </w:r>
      <w:r>
        <w:rPr>
          <w:color w:val="231F20"/>
          <w:spacing w:val="30"/>
        </w:rPr>
        <w:t> </w:t>
      </w:r>
      <w:r>
        <w:rPr>
          <w:color w:val="231F20"/>
        </w:rPr>
        <w:t>такозваног</w:t>
      </w:r>
      <w:r>
        <w:rPr>
          <w:color w:val="231F20"/>
          <w:spacing w:val="8"/>
        </w:rPr>
        <w:t> </w:t>
      </w:r>
      <w:r>
        <w:rPr>
          <w:color w:val="231F20"/>
        </w:rPr>
        <w:t>„тре- ћег”</w:t>
      </w:r>
      <w:r>
        <w:rPr>
          <w:color w:val="231F20"/>
          <w:spacing w:val="-5"/>
        </w:rPr>
        <w:t> </w:t>
      </w:r>
      <w:r>
        <w:rPr>
          <w:color w:val="231F20"/>
        </w:rPr>
        <w:t>сектора,</w:t>
      </w:r>
      <w:r>
        <w:rPr>
          <w:color w:val="231F20"/>
          <w:spacing w:val="-5"/>
        </w:rPr>
        <w:t> </w:t>
      </w:r>
      <w:r>
        <w:rPr>
          <w:color w:val="231F20"/>
          <w:spacing w:val="-3"/>
        </w:rPr>
        <w:t>која</w:t>
      </w:r>
      <w:r>
        <w:rPr>
          <w:color w:val="231F20"/>
          <w:spacing w:val="-5"/>
        </w:rPr>
        <w:t> </w:t>
      </w:r>
      <w:r>
        <w:rPr>
          <w:color w:val="231F20"/>
        </w:rPr>
        <w:t>ће,</w:t>
      </w:r>
      <w:r>
        <w:rPr>
          <w:color w:val="231F20"/>
          <w:spacing w:val="-5"/>
        </w:rPr>
        <w:t> </w:t>
      </w:r>
      <w:r>
        <w:rPr>
          <w:color w:val="231F20"/>
        </w:rPr>
        <w:t>са</w:t>
      </w:r>
      <w:r>
        <w:rPr>
          <w:color w:val="231F20"/>
          <w:spacing w:val="-5"/>
        </w:rPr>
        <w:t> </w:t>
      </w:r>
      <w:r>
        <w:rPr>
          <w:color w:val="231F20"/>
        </w:rPr>
        <w:t>ширењем</w:t>
      </w:r>
      <w:r>
        <w:rPr>
          <w:color w:val="231F20"/>
          <w:spacing w:val="-5"/>
        </w:rPr>
        <w:t> </w:t>
      </w:r>
      <w:r>
        <w:rPr>
          <w:color w:val="231F20"/>
        </w:rPr>
        <w:t>приватизације</w:t>
      </w:r>
      <w:r>
        <w:rPr>
          <w:color w:val="231F20"/>
          <w:spacing w:val="-5"/>
        </w:rPr>
        <w:t> </w:t>
      </w:r>
      <w:r>
        <w:rPr>
          <w:color w:val="231F20"/>
        </w:rPr>
        <w:t>и</w:t>
      </w:r>
      <w:r>
        <w:rPr>
          <w:color w:val="231F20"/>
          <w:spacing w:val="-5"/>
        </w:rPr>
        <w:t> </w:t>
      </w:r>
      <w:r>
        <w:rPr>
          <w:color w:val="231F20"/>
        </w:rPr>
        <w:t>развојем</w:t>
      </w:r>
      <w:r>
        <w:rPr>
          <w:color w:val="231F20"/>
          <w:spacing w:val="-5"/>
        </w:rPr>
        <w:t> </w:t>
      </w:r>
      <w:r>
        <w:rPr>
          <w:color w:val="231F20"/>
        </w:rPr>
        <w:t>инсти-</w:t>
      </w:r>
    </w:p>
    <w:p>
      <w:pPr>
        <w:pStyle w:val="BodyText"/>
        <w:spacing w:line="189" w:lineRule="exact"/>
        <w:ind w:left="172"/>
      </w:pPr>
      <w:r>
        <w:rPr>
          <w:color w:val="231F20"/>
        </w:rPr>
        <w:t>туција грађанског друштва, бити од све већег значаја.</w:t>
      </w:r>
    </w:p>
    <w:p>
      <w:pPr>
        <w:pStyle w:val="BodyText"/>
        <w:spacing w:before="7"/>
        <w:ind w:left="0"/>
        <w:jc w:val="left"/>
        <w:rPr>
          <w:sz w:val="15"/>
        </w:rPr>
      </w:pPr>
    </w:p>
    <w:p>
      <w:pPr>
        <w:pStyle w:val="BodyText"/>
        <w:ind w:left="173"/>
      </w:pPr>
      <w:r>
        <w:rPr>
          <w:color w:val="231F20"/>
        </w:rPr>
        <w:t>Тaбeлa 28. Концепт организације мрeжe нaсeљa и центара</w:t>
      </w:r>
    </w:p>
    <w:p>
      <w:pPr>
        <w:pStyle w:val="BodyText"/>
        <w:spacing w:before="10"/>
        <w:ind w:left="0"/>
        <w:jc w:val="left"/>
        <w:rPr>
          <w:sz w:val="3"/>
        </w:rPr>
      </w:pPr>
    </w:p>
    <w:tbl>
      <w:tblPr>
        <w:tblW w:w="0" w:type="auto"/>
        <w:jc w:val="left"/>
        <w:tblInd w:w="1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44"/>
        <w:gridCol w:w="1937"/>
        <w:gridCol w:w="1309"/>
      </w:tblGrid>
      <w:tr>
        <w:trPr>
          <w:trHeight w:val="200" w:hRule="atLeast"/>
        </w:trPr>
        <w:tc>
          <w:tcPr>
            <w:tcW w:w="5090" w:type="dxa"/>
            <w:gridSpan w:val="3"/>
          </w:tcPr>
          <w:p>
            <w:pPr>
              <w:pStyle w:val="TableParagraph"/>
              <w:ind w:left="1810" w:right="1794"/>
              <w:jc w:val="center"/>
              <w:rPr>
                <w:sz w:val="14"/>
              </w:rPr>
            </w:pPr>
            <w:r>
              <w:rPr>
                <w:color w:val="231F20"/>
                <w:sz w:val="14"/>
              </w:rPr>
              <w:t>ЗAJEДНИЦE НAСEЉA</w:t>
            </w:r>
          </w:p>
        </w:tc>
      </w:tr>
      <w:tr>
        <w:trPr>
          <w:trHeight w:val="680" w:hRule="atLeast"/>
        </w:trPr>
        <w:tc>
          <w:tcPr>
            <w:tcW w:w="1844" w:type="dxa"/>
          </w:tcPr>
          <w:p>
            <w:pPr>
              <w:pStyle w:val="TableParagraph"/>
              <w:numPr>
                <w:ilvl w:val="0"/>
                <w:numId w:val="33"/>
              </w:numPr>
              <w:tabs>
                <w:tab w:pos="306" w:val="left" w:leader="none"/>
              </w:tabs>
              <w:spacing w:line="161" w:lineRule="exact" w:before="98" w:after="0"/>
              <w:ind w:left="305" w:right="0" w:hanging="140"/>
              <w:jc w:val="left"/>
              <w:rPr>
                <w:sz w:val="14"/>
              </w:rPr>
            </w:pPr>
            <w:r>
              <w:rPr>
                <w:color w:val="231F20"/>
                <w:sz w:val="14"/>
              </w:rPr>
              <w:t>ПРИМAРНИ</w:t>
            </w:r>
            <w:r>
              <w:rPr>
                <w:color w:val="231F20"/>
                <w:spacing w:val="-4"/>
                <w:sz w:val="14"/>
              </w:rPr>
              <w:t> </w:t>
            </w:r>
            <w:r>
              <w:rPr>
                <w:color w:val="231F20"/>
                <w:sz w:val="14"/>
              </w:rPr>
              <w:t>ЦEНТAР</w:t>
            </w:r>
          </w:p>
          <w:p>
            <w:pPr>
              <w:pStyle w:val="TableParagraph"/>
              <w:numPr>
                <w:ilvl w:val="1"/>
                <w:numId w:val="33"/>
              </w:numPr>
              <w:tabs>
                <w:tab w:pos="572" w:val="left" w:leader="none"/>
              </w:tabs>
              <w:spacing w:line="240" w:lineRule="auto" w:before="0" w:after="0"/>
              <w:ind w:left="645" w:right="314" w:hanging="319"/>
              <w:jc w:val="left"/>
              <w:rPr>
                <w:sz w:val="14"/>
              </w:rPr>
            </w:pPr>
            <w:r>
              <w:rPr>
                <w:color w:val="231F20"/>
                <w:spacing w:val="-1"/>
                <w:sz w:val="14"/>
              </w:rPr>
              <w:t>СEКУНДAРНИ </w:t>
            </w:r>
            <w:r>
              <w:rPr>
                <w:color w:val="231F20"/>
                <w:sz w:val="14"/>
              </w:rPr>
              <w:t>ЦEНТAР</w:t>
            </w:r>
          </w:p>
        </w:tc>
        <w:tc>
          <w:tcPr>
            <w:tcW w:w="1937" w:type="dxa"/>
          </w:tcPr>
          <w:p>
            <w:pPr>
              <w:pStyle w:val="TableParagraph"/>
              <w:ind w:left="272" w:right="253"/>
              <w:jc w:val="center"/>
              <w:rPr>
                <w:sz w:val="14"/>
              </w:rPr>
            </w:pPr>
            <w:r>
              <w:rPr>
                <w:color w:val="231F20"/>
                <w:sz w:val="14"/>
              </w:rPr>
              <w:t>ЦEНТРИ ЗAJEДНИЦA НAСEЉA И НAСEЉA СA РAЗВИJEНИМ</w:t>
            </w:r>
          </w:p>
          <w:p>
            <w:pPr>
              <w:pStyle w:val="TableParagraph"/>
              <w:spacing w:line="158" w:lineRule="exact" w:before="0"/>
              <w:ind w:left="31" w:right="15"/>
              <w:jc w:val="center"/>
              <w:rPr>
                <w:sz w:val="14"/>
              </w:rPr>
            </w:pPr>
            <w:r>
              <w:rPr>
                <w:color w:val="231F20"/>
                <w:sz w:val="14"/>
              </w:rPr>
              <w:t>ЦEНТРAЛНИМ ФУНКЦИМA</w:t>
            </w:r>
          </w:p>
        </w:tc>
        <w:tc>
          <w:tcPr>
            <w:tcW w:w="1309" w:type="dxa"/>
          </w:tcPr>
          <w:p>
            <w:pPr>
              <w:pStyle w:val="TableParagraph"/>
              <w:spacing w:before="5"/>
              <w:jc w:val="left"/>
              <w:rPr>
                <w:sz w:val="15"/>
              </w:rPr>
            </w:pPr>
          </w:p>
          <w:p>
            <w:pPr>
              <w:pStyle w:val="TableParagraph"/>
              <w:spacing w:before="0"/>
              <w:ind w:left="355" w:right="33" w:hanging="288"/>
              <w:jc w:val="left"/>
              <w:rPr>
                <w:sz w:val="14"/>
              </w:rPr>
            </w:pPr>
            <w:r>
              <w:rPr>
                <w:color w:val="231F20"/>
                <w:sz w:val="14"/>
              </w:rPr>
              <w:t>ГРAВИТИРAJУЋA НAСEЉA</w:t>
            </w:r>
          </w:p>
        </w:tc>
      </w:tr>
      <w:tr>
        <w:trPr>
          <w:trHeight w:val="200" w:hRule="atLeast"/>
        </w:trPr>
        <w:tc>
          <w:tcPr>
            <w:tcW w:w="1844" w:type="dxa"/>
            <w:vMerge w:val="restart"/>
          </w:tcPr>
          <w:p>
            <w:pPr>
              <w:pStyle w:val="TableParagraph"/>
              <w:ind w:left="56"/>
              <w:jc w:val="left"/>
              <w:rPr>
                <w:sz w:val="14"/>
              </w:rPr>
            </w:pPr>
            <w:r>
              <w:rPr>
                <w:color w:val="231F20"/>
                <w:sz w:val="14"/>
              </w:rPr>
              <w:t>1. ПOЖAРEВAЦ</w:t>
            </w:r>
          </w:p>
        </w:tc>
        <w:tc>
          <w:tcPr>
            <w:tcW w:w="1937" w:type="dxa"/>
          </w:tcPr>
          <w:p>
            <w:pPr>
              <w:pStyle w:val="TableParagraph"/>
              <w:spacing w:before="0"/>
              <w:jc w:val="left"/>
              <w:rPr>
                <w:sz w:val="12"/>
              </w:rPr>
            </w:pPr>
          </w:p>
        </w:tc>
        <w:tc>
          <w:tcPr>
            <w:tcW w:w="1309" w:type="dxa"/>
          </w:tcPr>
          <w:p>
            <w:pPr>
              <w:pStyle w:val="TableParagraph"/>
              <w:ind w:left="56"/>
              <w:jc w:val="left"/>
              <w:rPr>
                <w:sz w:val="14"/>
              </w:rPr>
            </w:pPr>
            <w:r>
              <w:rPr>
                <w:color w:val="231F20"/>
                <w:sz w:val="14"/>
              </w:rPr>
              <w:t>1. Ћирикoвaц</w:t>
            </w:r>
          </w:p>
        </w:tc>
      </w:tr>
      <w:tr>
        <w:trPr>
          <w:trHeight w:val="200" w:hRule="atLeast"/>
        </w:trPr>
        <w:tc>
          <w:tcPr>
            <w:tcW w:w="1844" w:type="dxa"/>
            <w:vMerge/>
            <w:tcBorders>
              <w:top w:val="nil"/>
            </w:tcBorders>
          </w:tcPr>
          <w:p>
            <w:pPr>
              <w:rPr>
                <w:sz w:val="2"/>
                <w:szCs w:val="2"/>
              </w:rPr>
            </w:pPr>
          </w:p>
        </w:tc>
        <w:tc>
          <w:tcPr>
            <w:tcW w:w="1937" w:type="dxa"/>
            <w:vMerge w:val="restart"/>
          </w:tcPr>
          <w:p>
            <w:pPr>
              <w:pStyle w:val="TableParagraph"/>
              <w:spacing w:before="123"/>
              <w:ind w:left="56"/>
              <w:jc w:val="left"/>
              <w:rPr>
                <w:sz w:val="14"/>
              </w:rPr>
            </w:pPr>
            <w:r>
              <w:rPr>
                <w:color w:val="231F20"/>
                <w:sz w:val="14"/>
              </w:rPr>
              <w:t>1. Живицa</w:t>
            </w:r>
          </w:p>
        </w:tc>
        <w:tc>
          <w:tcPr>
            <w:tcW w:w="1309" w:type="dxa"/>
          </w:tcPr>
          <w:p>
            <w:pPr>
              <w:pStyle w:val="TableParagraph"/>
              <w:ind w:left="56"/>
              <w:jc w:val="left"/>
              <w:rPr>
                <w:sz w:val="14"/>
              </w:rPr>
            </w:pPr>
            <w:r>
              <w:rPr>
                <w:color w:val="231F20"/>
                <w:sz w:val="14"/>
              </w:rPr>
              <w:t>1. Брeжaнe</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2. Дрaгoвaц</w:t>
            </w:r>
          </w:p>
        </w:tc>
      </w:tr>
      <w:tr>
        <w:trPr>
          <w:trHeight w:val="200" w:hRule="atLeast"/>
        </w:trPr>
        <w:tc>
          <w:tcPr>
            <w:tcW w:w="1844" w:type="dxa"/>
            <w:vMerge/>
            <w:tcBorders>
              <w:top w:val="nil"/>
            </w:tcBorders>
          </w:tcPr>
          <w:p>
            <w:pPr>
              <w:rPr>
                <w:sz w:val="2"/>
                <w:szCs w:val="2"/>
              </w:rPr>
            </w:pPr>
          </w:p>
        </w:tc>
        <w:tc>
          <w:tcPr>
            <w:tcW w:w="1937" w:type="dxa"/>
            <w:vMerge w:val="restart"/>
          </w:tcPr>
          <w:p>
            <w:pPr>
              <w:pStyle w:val="TableParagraph"/>
              <w:spacing w:before="10"/>
              <w:jc w:val="left"/>
              <w:rPr>
                <w:sz w:val="19"/>
              </w:rPr>
            </w:pPr>
          </w:p>
          <w:p>
            <w:pPr>
              <w:pStyle w:val="TableParagraph"/>
              <w:spacing w:before="0"/>
              <w:ind w:left="56"/>
              <w:jc w:val="left"/>
              <w:rPr>
                <w:sz w:val="14"/>
              </w:rPr>
            </w:pPr>
            <w:r>
              <w:rPr>
                <w:color w:val="231F20"/>
                <w:sz w:val="14"/>
              </w:rPr>
              <w:t>2.Брaтинaц</w:t>
            </w:r>
          </w:p>
        </w:tc>
        <w:tc>
          <w:tcPr>
            <w:tcW w:w="1309" w:type="dxa"/>
          </w:tcPr>
          <w:p>
            <w:pPr>
              <w:pStyle w:val="TableParagraph"/>
              <w:ind w:left="56"/>
              <w:jc w:val="left"/>
              <w:rPr>
                <w:sz w:val="14"/>
              </w:rPr>
            </w:pPr>
            <w:r>
              <w:rPr>
                <w:color w:val="231F20"/>
                <w:sz w:val="14"/>
              </w:rPr>
              <w:t>1.Нaбрђe</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2.Трњaнe</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3. Бaбушинaц</w:t>
            </w:r>
          </w:p>
        </w:tc>
      </w:tr>
    </w:tbl>
    <w:p>
      <w:pPr>
        <w:spacing w:after="0"/>
        <w:jc w:val="left"/>
        <w:rPr>
          <w:sz w:val="14"/>
        </w:rPr>
        <w:sectPr>
          <w:pgSz w:w="12480" w:h="15690"/>
          <w:pgMar w:top="120" w:bottom="280" w:left="680" w:right="720"/>
          <w:cols w:num="2" w:equalWidth="0">
            <w:col w:w="5317" w:space="72"/>
            <w:col w:w="5691"/>
          </w:cols>
        </w:sectPr>
      </w:pPr>
    </w:p>
    <w:p>
      <w:pPr>
        <w:pStyle w:val="BodyText"/>
        <w:spacing w:before="7"/>
        <w:ind w:left="0"/>
        <w:jc w:val="left"/>
        <w:rPr>
          <w:sz w:val="9"/>
        </w:rPr>
      </w:pPr>
      <w:r>
        <w:rPr/>
        <w:pict>
          <v:line style="position:absolute;mso-position-horizontal-relative:page;mso-position-vertical-relative:page;z-index:2896" from="318.897614pt,11.942451pt" to="318.897614pt,748.950451pt" stroked="true" strokeweight=".6pt" strokecolor="#231f20">
            <v:stroke dashstyle="solid"/>
            <w10:wrap type="none"/>
          </v:line>
        </w:pict>
      </w: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44"/>
        <w:gridCol w:w="1937"/>
        <w:gridCol w:w="1309"/>
      </w:tblGrid>
      <w:tr>
        <w:trPr>
          <w:trHeight w:val="200" w:hRule="atLeast"/>
        </w:trPr>
        <w:tc>
          <w:tcPr>
            <w:tcW w:w="1844" w:type="dxa"/>
            <w:vMerge w:val="restart"/>
          </w:tcPr>
          <w:p>
            <w:pPr>
              <w:pStyle w:val="TableParagraph"/>
              <w:spacing w:before="0"/>
              <w:jc w:val="left"/>
              <w:rPr>
                <w:sz w:val="16"/>
              </w:rPr>
            </w:pPr>
          </w:p>
        </w:tc>
        <w:tc>
          <w:tcPr>
            <w:tcW w:w="1937" w:type="dxa"/>
          </w:tcPr>
          <w:p>
            <w:pPr>
              <w:pStyle w:val="TableParagraph"/>
              <w:ind w:left="56"/>
              <w:jc w:val="left"/>
              <w:rPr>
                <w:sz w:val="14"/>
              </w:rPr>
            </w:pPr>
            <w:r>
              <w:rPr>
                <w:color w:val="231F20"/>
                <w:sz w:val="14"/>
              </w:rPr>
              <w:t>3. Дубрaвицa *</w:t>
            </w:r>
          </w:p>
        </w:tc>
        <w:tc>
          <w:tcPr>
            <w:tcW w:w="1309" w:type="dxa"/>
          </w:tcPr>
          <w:p>
            <w:pPr>
              <w:pStyle w:val="TableParagraph"/>
              <w:ind w:left="56"/>
              <w:jc w:val="left"/>
              <w:rPr>
                <w:sz w:val="14"/>
              </w:rPr>
            </w:pPr>
            <w:r>
              <w:rPr>
                <w:color w:val="231F20"/>
                <w:sz w:val="14"/>
              </w:rPr>
              <w:t>1. Бaтoвaц*</w:t>
            </w:r>
          </w:p>
        </w:tc>
      </w:tr>
      <w:tr>
        <w:trPr>
          <w:trHeight w:val="200" w:hRule="atLeast"/>
        </w:trPr>
        <w:tc>
          <w:tcPr>
            <w:tcW w:w="1844" w:type="dxa"/>
            <w:vMerge/>
            <w:tcBorders>
              <w:top w:val="nil"/>
            </w:tcBorders>
          </w:tcPr>
          <w:p>
            <w:pPr>
              <w:rPr>
                <w:sz w:val="2"/>
                <w:szCs w:val="2"/>
              </w:rPr>
            </w:pPr>
          </w:p>
        </w:tc>
        <w:tc>
          <w:tcPr>
            <w:tcW w:w="1937" w:type="dxa"/>
          </w:tcPr>
          <w:p>
            <w:pPr>
              <w:pStyle w:val="TableParagraph"/>
              <w:ind w:left="56"/>
              <w:jc w:val="left"/>
              <w:rPr>
                <w:sz w:val="14"/>
              </w:rPr>
            </w:pPr>
            <w:r>
              <w:rPr>
                <w:color w:val="231F20"/>
                <w:sz w:val="14"/>
              </w:rPr>
              <w:t>4. Брaдaрaц</w:t>
            </w:r>
          </w:p>
        </w:tc>
        <w:tc>
          <w:tcPr>
            <w:tcW w:w="1309" w:type="dxa"/>
          </w:tcPr>
          <w:p>
            <w:pPr>
              <w:pStyle w:val="TableParagraph"/>
              <w:ind w:left="56"/>
              <w:jc w:val="left"/>
              <w:rPr>
                <w:sz w:val="14"/>
              </w:rPr>
            </w:pPr>
            <w:r>
              <w:rPr>
                <w:color w:val="231F20"/>
                <w:sz w:val="14"/>
              </w:rPr>
              <w:t>1. Мaљурeвaц</w:t>
            </w:r>
          </w:p>
        </w:tc>
      </w:tr>
      <w:tr>
        <w:trPr>
          <w:trHeight w:val="200" w:hRule="atLeast"/>
        </w:trPr>
        <w:tc>
          <w:tcPr>
            <w:tcW w:w="1844" w:type="dxa"/>
            <w:vMerge/>
            <w:tcBorders>
              <w:top w:val="nil"/>
            </w:tcBorders>
          </w:tcPr>
          <w:p>
            <w:pPr>
              <w:rPr>
                <w:sz w:val="2"/>
                <w:szCs w:val="2"/>
              </w:rPr>
            </w:pPr>
          </w:p>
        </w:tc>
        <w:tc>
          <w:tcPr>
            <w:tcW w:w="1937" w:type="dxa"/>
            <w:vMerge w:val="restart"/>
          </w:tcPr>
          <w:p>
            <w:pPr>
              <w:pStyle w:val="TableParagraph"/>
              <w:spacing w:before="123"/>
              <w:ind w:left="56"/>
              <w:jc w:val="left"/>
              <w:rPr>
                <w:sz w:val="14"/>
              </w:rPr>
            </w:pPr>
            <w:r>
              <w:rPr>
                <w:color w:val="231F20"/>
                <w:sz w:val="14"/>
              </w:rPr>
              <w:t>5. Бaрe</w:t>
            </w:r>
          </w:p>
        </w:tc>
        <w:tc>
          <w:tcPr>
            <w:tcW w:w="1309" w:type="dxa"/>
          </w:tcPr>
          <w:p>
            <w:pPr>
              <w:pStyle w:val="TableParagraph"/>
              <w:ind w:left="56"/>
              <w:jc w:val="left"/>
              <w:rPr>
                <w:sz w:val="14"/>
              </w:rPr>
            </w:pPr>
            <w:r>
              <w:rPr>
                <w:color w:val="231F20"/>
                <w:sz w:val="14"/>
              </w:rPr>
              <w:t>1. Кaсидoл</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2. Бeрaњe</w:t>
            </w:r>
          </w:p>
        </w:tc>
      </w:tr>
      <w:tr>
        <w:trPr>
          <w:trHeight w:val="200" w:hRule="atLeast"/>
        </w:trPr>
        <w:tc>
          <w:tcPr>
            <w:tcW w:w="1844" w:type="dxa"/>
            <w:vMerge/>
            <w:tcBorders>
              <w:top w:val="nil"/>
            </w:tcBorders>
          </w:tcPr>
          <w:p>
            <w:pPr>
              <w:rPr>
                <w:sz w:val="2"/>
                <w:szCs w:val="2"/>
              </w:rPr>
            </w:pPr>
          </w:p>
        </w:tc>
        <w:tc>
          <w:tcPr>
            <w:tcW w:w="1937" w:type="dxa"/>
            <w:vMerge w:val="restart"/>
          </w:tcPr>
          <w:p>
            <w:pPr>
              <w:pStyle w:val="TableParagraph"/>
              <w:spacing w:before="123"/>
              <w:ind w:left="56"/>
              <w:jc w:val="left"/>
              <w:rPr>
                <w:sz w:val="14"/>
              </w:rPr>
            </w:pPr>
            <w:r>
              <w:rPr>
                <w:color w:val="231F20"/>
                <w:sz w:val="14"/>
              </w:rPr>
              <w:t>6. Пругoвo</w:t>
            </w:r>
          </w:p>
        </w:tc>
        <w:tc>
          <w:tcPr>
            <w:tcW w:w="1309" w:type="dxa"/>
          </w:tcPr>
          <w:p>
            <w:pPr>
              <w:pStyle w:val="TableParagraph"/>
              <w:ind w:left="56"/>
              <w:jc w:val="left"/>
              <w:rPr>
                <w:sz w:val="14"/>
              </w:rPr>
            </w:pPr>
            <w:r>
              <w:rPr>
                <w:color w:val="231F20"/>
                <w:sz w:val="14"/>
              </w:rPr>
              <w:t>1. Лучицa</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2. Пoљaнa</w:t>
            </w:r>
          </w:p>
        </w:tc>
      </w:tr>
      <w:tr>
        <w:trPr>
          <w:trHeight w:val="200" w:hRule="atLeast"/>
        </w:trPr>
        <w:tc>
          <w:tcPr>
            <w:tcW w:w="1844" w:type="dxa"/>
            <w:vMerge w:val="restart"/>
          </w:tcPr>
          <w:p>
            <w:pPr>
              <w:pStyle w:val="TableParagraph"/>
              <w:ind w:left="56"/>
              <w:jc w:val="left"/>
              <w:rPr>
                <w:sz w:val="14"/>
              </w:rPr>
            </w:pPr>
            <w:r>
              <w:rPr>
                <w:color w:val="231F20"/>
                <w:sz w:val="14"/>
              </w:rPr>
              <w:t>1.1. КOСТOЛAЦ</w:t>
            </w:r>
          </w:p>
        </w:tc>
        <w:tc>
          <w:tcPr>
            <w:tcW w:w="1937" w:type="dxa"/>
            <w:vMerge w:val="restart"/>
          </w:tcPr>
          <w:p>
            <w:pPr>
              <w:pStyle w:val="TableParagraph"/>
              <w:spacing w:before="0"/>
              <w:jc w:val="left"/>
              <w:rPr>
                <w:sz w:val="16"/>
              </w:rPr>
            </w:pPr>
          </w:p>
        </w:tc>
        <w:tc>
          <w:tcPr>
            <w:tcW w:w="1309" w:type="dxa"/>
          </w:tcPr>
          <w:p>
            <w:pPr>
              <w:pStyle w:val="TableParagraph"/>
              <w:ind w:left="56"/>
              <w:jc w:val="left"/>
              <w:rPr>
                <w:sz w:val="14"/>
              </w:rPr>
            </w:pPr>
            <w:r>
              <w:rPr>
                <w:color w:val="231F20"/>
                <w:sz w:val="14"/>
              </w:rPr>
              <w:t>1. Oстрoвo*</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ind w:left="56"/>
              <w:jc w:val="left"/>
              <w:rPr>
                <w:sz w:val="14"/>
              </w:rPr>
            </w:pPr>
            <w:r>
              <w:rPr>
                <w:color w:val="231F20"/>
                <w:sz w:val="14"/>
              </w:rPr>
              <w:t>2. Пeткa</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spacing w:before="17"/>
              <w:ind w:left="56"/>
              <w:jc w:val="left"/>
              <w:rPr>
                <w:sz w:val="14"/>
              </w:rPr>
            </w:pPr>
            <w:r>
              <w:rPr>
                <w:color w:val="231F20"/>
                <w:sz w:val="14"/>
              </w:rPr>
              <w:t>3. Клeнoвик</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spacing w:before="17"/>
              <w:ind w:left="56"/>
              <w:jc w:val="left"/>
              <w:rPr>
                <w:sz w:val="14"/>
              </w:rPr>
            </w:pPr>
            <w:r>
              <w:rPr>
                <w:color w:val="231F20"/>
                <w:sz w:val="14"/>
              </w:rPr>
              <w:t>4. Дрмнo</w:t>
            </w:r>
          </w:p>
        </w:tc>
      </w:tr>
      <w:tr>
        <w:trPr>
          <w:trHeight w:val="200" w:hRule="atLeast"/>
        </w:trPr>
        <w:tc>
          <w:tcPr>
            <w:tcW w:w="1844" w:type="dxa"/>
            <w:vMerge/>
            <w:tcBorders>
              <w:top w:val="nil"/>
            </w:tcBorders>
          </w:tcPr>
          <w:p>
            <w:pPr>
              <w:rPr>
                <w:sz w:val="2"/>
                <w:szCs w:val="2"/>
              </w:rPr>
            </w:pPr>
          </w:p>
        </w:tc>
        <w:tc>
          <w:tcPr>
            <w:tcW w:w="1937" w:type="dxa"/>
            <w:vMerge/>
            <w:tcBorders>
              <w:top w:val="nil"/>
            </w:tcBorders>
          </w:tcPr>
          <w:p>
            <w:pPr>
              <w:rPr>
                <w:sz w:val="2"/>
                <w:szCs w:val="2"/>
              </w:rPr>
            </w:pPr>
          </w:p>
        </w:tc>
        <w:tc>
          <w:tcPr>
            <w:tcW w:w="1309" w:type="dxa"/>
          </w:tcPr>
          <w:p>
            <w:pPr>
              <w:pStyle w:val="TableParagraph"/>
              <w:spacing w:before="17"/>
              <w:ind w:left="56"/>
              <w:jc w:val="left"/>
              <w:rPr>
                <w:sz w:val="14"/>
              </w:rPr>
            </w:pPr>
            <w:r>
              <w:rPr>
                <w:color w:val="231F20"/>
                <w:sz w:val="14"/>
              </w:rPr>
              <w:t>5. Кoстoлaц сeлo</w:t>
            </w:r>
          </w:p>
        </w:tc>
      </w:tr>
      <w:tr>
        <w:trPr>
          <w:trHeight w:val="200" w:hRule="atLeast"/>
        </w:trPr>
        <w:tc>
          <w:tcPr>
            <w:tcW w:w="1844" w:type="dxa"/>
            <w:vMerge/>
            <w:tcBorders>
              <w:top w:val="nil"/>
            </w:tcBorders>
          </w:tcPr>
          <w:p>
            <w:pPr>
              <w:rPr>
                <w:sz w:val="2"/>
                <w:szCs w:val="2"/>
              </w:rPr>
            </w:pPr>
          </w:p>
        </w:tc>
        <w:tc>
          <w:tcPr>
            <w:tcW w:w="1937" w:type="dxa"/>
          </w:tcPr>
          <w:p>
            <w:pPr>
              <w:pStyle w:val="TableParagraph"/>
              <w:spacing w:before="17"/>
              <w:ind w:left="56"/>
              <w:jc w:val="left"/>
              <w:rPr>
                <w:sz w:val="14"/>
              </w:rPr>
            </w:pPr>
            <w:r>
              <w:rPr>
                <w:color w:val="231F20"/>
                <w:sz w:val="14"/>
              </w:rPr>
              <w:t>7. Кличeвaц</w:t>
            </w:r>
          </w:p>
        </w:tc>
        <w:tc>
          <w:tcPr>
            <w:tcW w:w="1309" w:type="dxa"/>
          </w:tcPr>
          <w:p>
            <w:pPr>
              <w:pStyle w:val="TableParagraph"/>
              <w:spacing w:before="17"/>
              <w:ind w:left="56"/>
              <w:jc w:val="left"/>
              <w:rPr>
                <w:sz w:val="14"/>
              </w:rPr>
            </w:pPr>
            <w:r>
              <w:rPr>
                <w:color w:val="231F20"/>
                <w:sz w:val="14"/>
              </w:rPr>
              <w:t>1. Речица</w:t>
            </w:r>
          </w:p>
        </w:tc>
      </w:tr>
      <w:tr>
        <w:trPr>
          <w:trHeight w:val="200" w:hRule="atLeast"/>
        </w:trPr>
        <w:tc>
          <w:tcPr>
            <w:tcW w:w="1844" w:type="dxa"/>
            <w:vMerge w:val="restart"/>
          </w:tcPr>
          <w:p>
            <w:pPr>
              <w:pStyle w:val="TableParagraph"/>
              <w:spacing w:before="17"/>
              <w:ind w:left="56" w:right="244"/>
              <w:jc w:val="left"/>
              <w:rPr>
                <w:sz w:val="14"/>
              </w:rPr>
            </w:pPr>
            <w:r>
              <w:rPr>
                <w:color w:val="231F20"/>
                <w:sz w:val="14"/>
              </w:rPr>
              <w:t>2. ВEЛИКO ГРAДИШТE (ван границе Планског подручја)</w:t>
            </w:r>
          </w:p>
        </w:tc>
        <w:tc>
          <w:tcPr>
            <w:tcW w:w="1937" w:type="dxa"/>
          </w:tcPr>
          <w:p>
            <w:pPr>
              <w:pStyle w:val="TableParagraph"/>
              <w:spacing w:before="17"/>
              <w:ind w:left="56"/>
              <w:jc w:val="left"/>
              <w:rPr>
                <w:sz w:val="14"/>
              </w:rPr>
            </w:pPr>
            <w:r>
              <w:rPr>
                <w:color w:val="231F20"/>
                <w:sz w:val="14"/>
              </w:rPr>
              <w:t>1. Мajилoвaц</w:t>
            </w:r>
          </w:p>
        </w:tc>
        <w:tc>
          <w:tcPr>
            <w:tcW w:w="1309" w:type="dxa"/>
          </w:tcPr>
          <w:p>
            <w:pPr>
              <w:pStyle w:val="TableParagraph"/>
              <w:spacing w:before="17"/>
              <w:ind w:left="56"/>
              <w:jc w:val="left"/>
              <w:rPr>
                <w:sz w:val="14"/>
              </w:rPr>
            </w:pPr>
            <w:r>
              <w:rPr>
                <w:color w:val="231F20"/>
                <w:sz w:val="14"/>
              </w:rPr>
              <w:t>1. Сирaкoвo</w:t>
            </w:r>
          </w:p>
        </w:tc>
      </w:tr>
      <w:tr>
        <w:trPr>
          <w:trHeight w:val="310" w:hRule="atLeast"/>
        </w:trPr>
        <w:tc>
          <w:tcPr>
            <w:tcW w:w="1844" w:type="dxa"/>
            <w:vMerge/>
            <w:tcBorders>
              <w:top w:val="nil"/>
            </w:tcBorders>
          </w:tcPr>
          <w:p>
            <w:pPr>
              <w:rPr>
                <w:sz w:val="2"/>
                <w:szCs w:val="2"/>
              </w:rPr>
            </w:pPr>
          </w:p>
        </w:tc>
        <w:tc>
          <w:tcPr>
            <w:tcW w:w="1937" w:type="dxa"/>
          </w:tcPr>
          <w:p>
            <w:pPr>
              <w:pStyle w:val="TableParagraph"/>
              <w:spacing w:before="0"/>
              <w:jc w:val="left"/>
              <w:rPr>
                <w:sz w:val="16"/>
              </w:rPr>
            </w:pPr>
          </w:p>
        </w:tc>
        <w:tc>
          <w:tcPr>
            <w:tcW w:w="1309" w:type="dxa"/>
          </w:tcPr>
          <w:p>
            <w:pPr>
              <w:pStyle w:val="TableParagraph"/>
              <w:spacing w:before="72"/>
              <w:ind w:left="56"/>
              <w:jc w:val="left"/>
              <w:rPr>
                <w:sz w:val="14"/>
              </w:rPr>
            </w:pPr>
            <w:r>
              <w:rPr>
                <w:color w:val="231F20"/>
                <w:sz w:val="14"/>
              </w:rPr>
              <w:t>2. Курjaчe</w:t>
            </w:r>
          </w:p>
        </w:tc>
      </w:tr>
      <w:tr>
        <w:trPr>
          <w:trHeight w:val="360" w:hRule="atLeast"/>
        </w:trPr>
        <w:tc>
          <w:tcPr>
            <w:tcW w:w="1844" w:type="dxa"/>
          </w:tcPr>
          <w:p>
            <w:pPr>
              <w:pStyle w:val="TableParagraph"/>
              <w:spacing w:before="0"/>
              <w:jc w:val="left"/>
              <w:rPr>
                <w:sz w:val="16"/>
              </w:rPr>
            </w:pPr>
          </w:p>
        </w:tc>
        <w:tc>
          <w:tcPr>
            <w:tcW w:w="1937" w:type="dxa"/>
          </w:tcPr>
          <w:p>
            <w:pPr>
              <w:pStyle w:val="TableParagraph"/>
              <w:spacing w:before="17"/>
              <w:ind w:left="56"/>
              <w:jc w:val="left"/>
              <w:rPr>
                <w:sz w:val="14"/>
              </w:rPr>
            </w:pPr>
            <w:r>
              <w:rPr>
                <w:color w:val="231F20"/>
                <w:sz w:val="14"/>
              </w:rPr>
              <w:t>*у случају да се не активира коп „Дубравица”</w:t>
            </w:r>
          </w:p>
        </w:tc>
        <w:tc>
          <w:tcPr>
            <w:tcW w:w="1309" w:type="dxa"/>
          </w:tcPr>
          <w:p>
            <w:pPr>
              <w:pStyle w:val="TableParagraph"/>
              <w:spacing w:before="0"/>
              <w:jc w:val="left"/>
              <w:rPr>
                <w:sz w:val="16"/>
              </w:rPr>
            </w:pPr>
          </w:p>
        </w:tc>
      </w:tr>
    </w:tbl>
    <w:p>
      <w:pPr>
        <w:pStyle w:val="BodyText"/>
        <w:spacing w:line="235" w:lineRule="auto" w:before="38"/>
        <w:ind w:left="453" w:firstLine="396"/>
      </w:pPr>
      <w:r>
        <w:rPr>
          <w:color w:val="231F20"/>
        </w:rPr>
        <w:t>Према, плански предвидивој динамици развоја ТЕ-КО </w:t>
      </w:r>
      <w:r>
        <w:rPr>
          <w:color w:val="231F20"/>
          <w:spacing w:val="-3"/>
        </w:rPr>
        <w:t>„Ко- </w:t>
      </w:r>
      <w:r>
        <w:rPr>
          <w:color w:val="231F20"/>
        </w:rPr>
        <w:t>столац”, до 2020. </w:t>
      </w:r>
      <w:r>
        <w:rPr>
          <w:color w:val="231F20"/>
          <w:spacing w:val="-3"/>
        </w:rPr>
        <w:t>године </w:t>
      </w:r>
      <w:r>
        <w:rPr>
          <w:color w:val="231F20"/>
        </w:rPr>
        <w:t>постоји могућност пресељења насеља и издвојених насељских групација </w:t>
      </w:r>
      <w:r>
        <w:rPr>
          <w:color w:val="231F20"/>
          <w:spacing w:val="-3"/>
        </w:rPr>
        <w:t>која </w:t>
      </w:r>
      <w:r>
        <w:rPr>
          <w:color w:val="231F20"/>
        </w:rPr>
        <w:t>се налазе у близини </w:t>
      </w:r>
      <w:r>
        <w:rPr>
          <w:color w:val="231F20"/>
          <w:spacing w:val="-3"/>
        </w:rPr>
        <w:t>рудар- </w:t>
      </w:r>
      <w:r>
        <w:rPr>
          <w:color w:val="231F20"/>
        </w:rPr>
        <w:t>ских </w:t>
      </w:r>
      <w:r>
        <w:rPr>
          <w:color w:val="231F20"/>
          <w:spacing w:val="-3"/>
        </w:rPr>
        <w:t>копова </w:t>
      </w:r>
      <w:r>
        <w:rPr>
          <w:color w:val="231F20"/>
        </w:rPr>
        <w:t>у западном и централном лигнитском </w:t>
      </w:r>
      <w:r>
        <w:rPr>
          <w:color w:val="231F20"/>
          <w:spacing w:val="-4"/>
        </w:rPr>
        <w:t>лежишту. </w:t>
      </w:r>
      <w:r>
        <w:rPr>
          <w:color w:val="231F20"/>
          <w:spacing w:val="-7"/>
        </w:rPr>
        <w:t>Уко- </w:t>
      </w:r>
      <w:r>
        <w:rPr>
          <w:color w:val="231F20"/>
          <w:spacing w:val="-3"/>
        </w:rPr>
        <w:t>лико</w:t>
      </w:r>
      <w:r>
        <w:rPr>
          <w:color w:val="231F20"/>
          <w:spacing w:val="-8"/>
        </w:rPr>
        <w:t> </w:t>
      </w:r>
      <w:r>
        <w:rPr>
          <w:color w:val="231F20"/>
          <w:spacing w:val="-5"/>
        </w:rPr>
        <w:t>буде</w:t>
      </w:r>
      <w:r>
        <w:rPr>
          <w:color w:val="231F20"/>
          <w:spacing w:val="-8"/>
        </w:rPr>
        <w:t> </w:t>
      </w:r>
      <w:r>
        <w:rPr>
          <w:color w:val="231F20"/>
        </w:rPr>
        <w:t>покренута</w:t>
      </w:r>
      <w:r>
        <w:rPr>
          <w:color w:val="231F20"/>
          <w:spacing w:val="-8"/>
        </w:rPr>
        <w:t> </w:t>
      </w:r>
      <w:r>
        <w:rPr>
          <w:color w:val="231F20"/>
        </w:rPr>
        <w:t>експлоатација</w:t>
      </w:r>
      <w:r>
        <w:rPr>
          <w:color w:val="231F20"/>
          <w:spacing w:val="-8"/>
        </w:rPr>
        <w:t> </w:t>
      </w:r>
      <w:r>
        <w:rPr>
          <w:color w:val="231F20"/>
        </w:rPr>
        <w:t>лигнитског</w:t>
      </w:r>
      <w:r>
        <w:rPr>
          <w:color w:val="231F20"/>
          <w:spacing w:val="-8"/>
        </w:rPr>
        <w:t> </w:t>
      </w:r>
      <w:r>
        <w:rPr>
          <w:color w:val="231F20"/>
        </w:rPr>
        <w:t>лежишта</w:t>
      </w:r>
      <w:r>
        <w:rPr>
          <w:color w:val="231F20"/>
          <w:spacing w:val="-8"/>
        </w:rPr>
        <w:t> </w:t>
      </w:r>
      <w:r>
        <w:rPr>
          <w:color w:val="231F20"/>
        </w:rPr>
        <w:t>„Петка”</w:t>
      </w:r>
      <w:r>
        <w:rPr>
          <w:color w:val="231F20"/>
          <w:spacing w:val="-8"/>
        </w:rPr>
        <w:t> </w:t>
      </w:r>
      <w:r>
        <w:rPr>
          <w:color w:val="231F20"/>
        </w:rPr>
        <w:t>и</w:t>
      </w:r>
    </w:p>
    <w:p>
      <w:pPr>
        <w:pStyle w:val="BodyText"/>
        <w:spacing w:line="235" w:lineRule="auto" w:before="1"/>
        <w:ind w:left="453" w:hanging="1"/>
      </w:pPr>
      <w:r>
        <w:rPr>
          <w:color w:val="231F20"/>
          <w:spacing w:val="-3"/>
        </w:rPr>
        <w:t>„Ћириковац”, </w:t>
      </w:r>
      <w:r>
        <w:rPr>
          <w:color w:val="231F20"/>
        </w:rPr>
        <w:t>у перспективи могу бити угрожена насеља Кленов- ник</w:t>
      </w:r>
      <w:r>
        <w:rPr>
          <w:color w:val="231F20"/>
          <w:spacing w:val="-8"/>
        </w:rPr>
        <w:t> </w:t>
      </w:r>
      <w:r>
        <w:rPr>
          <w:color w:val="231F20"/>
        </w:rPr>
        <w:t>и</w:t>
      </w:r>
      <w:r>
        <w:rPr>
          <w:color w:val="231F20"/>
          <w:spacing w:val="-8"/>
        </w:rPr>
        <w:t> </w:t>
      </w:r>
      <w:r>
        <w:rPr>
          <w:color w:val="231F20"/>
        </w:rPr>
        <w:t>Ћириковац.</w:t>
      </w:r>
      <w:r>
        <w:rPr>
          <w:color w:val="231F20"/>
          <w:spacing w:val="-8"/>
        </w:rPr>
        <w:t> </w:t>
      </w:r>
      <w:r>
        <w:rPr>
          <w:color w:val="231F20"/>
        </w:rPr>
        <w:t>Евентуалним</w:t>
      </w:r>
      <w:r>
        <w:rPr>
          <w:color w:val="231F20"/>
          <w:spacing w:val="-8"/>
        </w:rPr>
        <w:t> </w:t>
      </w:r>
      <w:r>
        <w:rPr>
          <w:color w:val="231F20"/>
        </w:rPr>
        <w:t>отварањем</w:t>
      </w:r>
      <w:r>
        <w:rPr>
          <w:color w:val="231F20"/>
          <w:spacing w:val="-8"/>
        </w:rPr>
        <w:t> </w:t>
      </w:r>
      <w:r>
        <w:rPr>
          <w:color w:val="231F20"/>
          <w:spacing w:val="-3"/>
        </w:rPr>
        <w:t>копа</w:t>
      </w:r>
      <w:r>
        <w:rPr>
          <w:color w:val="231F20"/>
          <w:spacing w:val="-8"/>
        </w:rPr>
        <w:t> </w:t>
      </w:r>
      <w:r>
        <w:rPr>
          <w:color w:val="231F20"/>
        </w:rPr>
        <w:t>„Дубравица”</w:t>
      </w:r>
      <w:r>
        <w:rPr>
          <w:color w:val="231F20"/>
          <w:spacing w:val="-8"/>
        </w:rPr>
        <w:t> </w:t>
      </w:r>
      <w:r>
        <w:rPr>
          <w:color w:val="231F20"/>
        </w:rPr>
        <w:t>била би угрожена насеља Батовац, Острово и</w:t>
      </w:r>
      <w:r>
        <w:rPr>
          <w:color w:val="231F20"/>
          <w:spacing w:val="-10"/>
        </w:rPr>
        <w:t> </w:t>
      </w:r>
      <w:r>
        <w:rPr>
          <w:color w:val="231F20"/>
        </w:rPr>
        <w:t>Дубравица.</w:t>
      </w:r>
    </w:p>
    <w:p>
      <w:pPr>
        <w:pStyle w:val="BodyText"/>
        <w:spacing w:line="235" w:lineRule="auto" w:before="1"/>
        <w:ind w:left="453" w:firstLine="396"/>
      </w:pPr>
      <w:r>
        <w:rPr>
          <w:color w:val="231F20"/>
        </w:rPr>
        <w:t>Полазна решења и принципи који чине плански оквир за ор- ганизацију мреже насеља и центара су:</w:t>
      </w:r>
    </w:p>
    <w:p>
      <w:pPr>
        <w:pStyle w:val="BodyText"/>
        <w:spacing w:line="235" w:lineRule="auto"/>
        <w:ind w:left="453" w:firstLine="396"/>
      </w:pPr>
      <w:r>
        <w:rPr>
          <w:color w:val="231F20"/>
          <w:w w:val="66"/>
        </w:rPr>
        <w:t> </w:t>
      </w:r>
      <w:r>
        <w:rPr>
          <w:color w:val="231F20"/>
        </w:rPr>
        <w:t>– право на живот у насељу опремљеном комуналном и</w:t>
      </w:r>
      <w:r>
        <w:rPr>
          <w:color w:val="231F20"/>
          <w:spacing w:val="-24"/>
        </w:rPr>
        <w:t> </w:t>
      </w:r>
      <w:r>
        <w:rPr>
          <w:color w:val="231F20"/>
        </w:rPr>
        <w:t>соци- јалном</w:t>
      </w:r>
      <w:r>
        <w:rPr>
          <w:color w:val="231F20"/>
          <w:spacing w:val="-1"/>
        </w:rPr>
        <w:t> </w:t>
      </w:r>
      <w:r>
        <w:rPr>
          <w:color w:val="231F20"/>
        </w:rPr>
        <w:t>инфраструктуром;</w:t>
      </w:r>
    </w:p>
    <w:p>
      <w:pPr>
        <w:pStyle w:val="BodyText"/>
        <w:spacing w:line="235" w:lineRule="auto"/>
        <w:ind w:left="453" w:firstLine="397"/>
      </w:pPr>
      <w:r>
        <w:rPr>
          <w:color w:val="231F20"/>
          <w:w w:val="66"/>
        </w:rPr>
        <w:t> </w:t>
      </w:r>
      <w:r>
        <w:rPr>
          <w:color w:val="231F20"/>
        </w:rPr>
        <w:t>– обезбеђење очувања симболичког, културног и социјалног идентитета становништва и урбанистичко/грађевинских симбола и других обележја насеља;</w:t>
      </w:r>
    </w:p>
    <w:p>
      <w:pPr>
        <w:pStyle w:val="BodyText"/>
        <w:spacing w:line="235" w:lineRule="auto" w:before="1"/>
        <w:ind w:left="453" w:firstLine="397"/>
      </w:pPr>
      <w:r>
        <w:rPr>
          <w:color w:val="231F20"/>
          <w:w w:val="66"/>
        </w:rPr>
        <w:t> </w:t>
      </w:r>
      <w:r>
        <w:rPr>
          <w:color w:val="231F20"/>
        </w:rPr>
        <w:t>–</w:t>
      </w:r>
      <w:r>
        <w:rPr>
          <w:color w:val="231F20"/>
          <w:spacing w:val="-21"/>
        </w:rPr>
        <w:t> </w:t>
      </w:r>
      <w:r>
        <w:rPr>
          <w:color w:val="231F20"/>
        </w:rPr>
        <w:t>диверзификација</w:t>
      </w:r>
      <w:r>
        <w:rPr>
          <w:color w:val="231F20"/>
          <w:spacing w:val="-21"/>
        </w:rPr>
        <w:t> </w:t>
      </w:r>
      <w:r>
        <w:rPr>
          <w:color w:val="231F20"/>
        </w:rPr>
        <w:t>производних</w:t>
      </w:r>
      <w:r>
        <w:rPr>
          <w:color w:val="231F20"/>
          <w:spacing w:val="-21"/>
        </w:rPr>
        <w:t> </w:t>
      </w:r>
      <w:r>
        <w:rPr>
          <w:color w:val="231F20"/>
        </w:rPr>
        <w:t>и</w:t>
      </w:r>
      <w:r>
        <w:rPr>
          <w:color w:val="231F20"/>
          <w:spacing w:val="-21"/>
        </w:rPr>
        <w:t> </w:t>
      </w:r>
      <w:r>
        <w:rPr>
          <w:color w:val="231F20"/>
        </w:rPr>
        <w:t>услужних</w:t>
      </w:r>
      <w:r>
        <w:rPr>
          <w:color w:val="231F20"/>
          <w:spacing w:val="-21"/>
        </w:rPr>
        <w:t> </w:t>
      </w:r>
      <w:r>
        <w:rPr>
          <w:color w:val="231F20"/>
        </w:rPr>
        <w:t>активности,</w:t>
      </w:r>
      <w:r>
        <w:rPr>
          <w:color w:val="231F20"/>
          <w:spacing w:val="-21"/>
        </w:rPr>
        <w:t> </w:t>
      </w:r>
      <w:r>
        <w:rPr>
          <w:color w:val="231F20"/>
        </w:rPr>
        <w:t>ради унапређења</w:t>
      </w:r>
      <w:r>
        <w:rPr>
          <w:color w:val="231F20"/>
          <w:spacing w:val="-13"/>
        </w:rPr>
        <w:t> </w:t>
      </w:r>
      <w:r>
        <w:rPr>
          <w:color w:val="231F20"/>
          <w:spacing w:val="-5"/>
        </w:rPr>
        <w:t>економског,</w:t>
      </w:r>
      <w:r>
        <w:rPr>
          <w:color w:val="231F20"/>
          <w:spacing w:val="-13"/>
        </w:rPr>
        <w:t> </w:t>
      </w:r>
      <w:r>
        <w:rPr>
          <w:color w:val="231F20"/>
        </w:rPr>
        <w:t>социјалног</w:t>
      </w:r>
      <w:r>
        <w:rPr>
          <w:color w:val="231F20"/>
          <w:spacing w:val="-13"/>
        </w:rPr>
        <w:t> </w:t>
      </w:r>
      <w:r>
        <w:rPr>
          <w:color w:val="231F20"/>
        </w:rPr>
        <w:t>и</w:t>
      </w:r>
      <w:r>
        <w:rPr>
          <w:color w:val="231F20"/>
          <w:spacing w:val="-13"/>
        </w:rPr>
        <w:t> </w:t>
      </w:r>
      <w:r>
        <w:rPr>
          <w:color w:val="231F20"/>
          <w:spacing w:val="-3"/>
        </w:rPr>
        <w:t>културног</w:t>
      </w:r>
      <w:r>
        <w:rPr>
          <w:color w:val="231F20"/>
          <w:spacing w:val="-13"/>
        </w:rPr>
        <w:t> </w:t>
      </w:r>
      <w:r>
        <w:rPr>
          <w:color w:val="231F20"/>
        </w:rPr>
        <w:t>развоја</w:t>
      </w:r>
      <w:r>
        <w:rPr>
          <w:color w:val="231F20"/>
          <w:spacing w:val="-13"/>
        </w:rPr>
        <w:t> </w:t>
      </w:r>
      <w:r>
        <w:rPr>
          <w:color w:val="231F20"/>
        </w:rPr>
        <w:t>и</w:t>
      </w:r>
      <w:r>
        <w:rPr>
          <w:color w:val="231F20"/>
          <w:spacing w:val="-13"/>
        </w:rPr>
        <w:t> </w:t>
      </w:r>
      <w:r>
        <w:rPr>
          <w:color w:val="231F20"/>
        </w:rPr>
        <w:t>обезбеђе- ња</w:t>
      </w:r>
      <w:r>
        <w:rPr>
          <w:color w:val="231F20"/>
          <w:spacing w:val="-9"/>
        </w:rPr>
        <w:t> </w:t>
      </w:r>
      <w:r>
        <w:rPr>
          <w:color w:val="231F20"/>
        </w:rPr>
        <w:t>задовољавајућег</w:t>
      </w:r>
      <w:r>
        <w:rPr>
          <w:color w:val="231F20"/>
          <w:spacing w:val="-9"/>
        </w:rPr>
        <w:t> </w:t>
      </w:r>
      <w:r>
        <w:rPr>
          <w:color w:val="231F20"/>
        </w:rPr>
        <w:t>квалитета</w:t>
      </w:r>
      <w:r>
        <w:rPr>
          <w:color w:val="231F20"/>
          <w:spacing w:val="-9"/>
        </w:rPr>
        <w:t> </w:t>
      </w:r>
      <w:r>
        <w:rPr>
          <w:color w:val="231F20"/>
        </w:rPr>
        <w:t>животне</w:t>
      </w:r>
      <w:r>
        <w:rPr>
          <w:color w:val="231F20"/>
          <w:spacing w:val="-9"/>
        </w:rPr>
        <w:t> </w:t>
      </w:r>
      <w:r>
        <w:rPr>
          <w:color w:val="231F20"/>
        </w:rPr>
        <w:t>средине</w:t>
      </w:r>
      <w:r>
        <w:rPr>
          <w:color w:val="231F20"/>
          <w:spacing w:val="-9"/>
        </w:rPr>
        <w:t> </w:t>
      </w:r>
      <w:r>
        <w:rPr>
          <w:color w:val="231F20"/>
        </w:rPr>
        <w:t>и</w:t>
      </w:r>
      <w:r>
        <w:rPr>
          <w:color w:val="231F20"/>
          <w:spacing w:val="-9"/>
        </w:rPr>
        <w:t> </w:t>
      </w:r>
      <w:r>
        <w:rPr>
          <w:color w:val="231F20"/>
        </w:rPr>
        <w:t>јавног</w:t>
      </w:r>
      <w:r>
        <w:rPr>
          <w:color w:val="231F20"/>
          <w:spacing w:val="-9"/>
        </w:rPr>
        <w:t> </w:t>
      </w:r>
      <w:r>
        <w:rPr>
          <w:color w:val="231F20"/>
        </w:rPr>
        <w:t>здравља;</w:t>
      </w:r>
    </w:p>
    <w:p>
      <w:pPr>
        <w:pStyle w:val="BodyText"/>
        <w:spacing w:line="235" w:lineRule="auto" w:before="1"/>
        <w:ind w:left="452" w:right="1" w:firstLine="397"/>
      </w:pPr>
      <w:r>
        <w:rPr>
          <w:color w:val="231F20"/>
          <w:w w:val="66"/>
        </w:rPr>
        <w:t> </w:t>
      </w:r>
      <w:r>
        <w:rPr>
          <w:color w:val="231F20"/>
        </w:rPr>
        <w:t>– благовремена припрема могућих опција потенцијалног пресељења становништва, укључујући и измештање културног наслеђа, привредних (индустрија, трговина, сервиси и слично) и комуналних објеката, као и објеката јавних служби из зоне рудар- ских активности и</w:t>
      </w:r>
    </w:p>
    <w:p>
      <w:pPr>
        <w:pStyle w:val="BodyText"/>
        <w:spacing w:line="235" w:lineRule="auto" w:before="1"/>
        <w:ind w:left="453" w:right="1" w:firstLine="396"/>
      </w:pPr>
      <w:r>
        <w:rPr>
          <w:color w:val="231F20"/>
          <w:w w:val="66"/>
        </w:rPr>
        <w:t> </w:t>
      </w:r>
      <w:r>
        <w:rPr>
          <w:color w:val="231F20"/>
        </w:rPr>
        <w:t>–</w:t>
      </w:r>
      <w:r>
        <w:rPr>
          <w:color w:val="231F20"/>
          <w:spacing w:val="-6"/>
        </w:rPr>
        <w:t> </w:t>
      </w:r>
      <w:r>
        <w:rPr>
          <w:color w:val="231F20"/>
        </w:rPr>
        <w:t>подстицање</w:t>
      </w:r>
      <w:r>
        <w:rPr>
          <w:color w:val="231F20"/>
          <w:spacing w:val="-6"/>
        </w:rPr>
        <w:t> </w:t>
      </w:r>
      <w:r>
        <w:rPr>
          <w:color w:val="231F20"/>
        </w:rPr>
        <w:t>програма</w:t>
      </w:r>
      <w:r>
        <w:rPr>
          <w:color w:val="231F20"/>
          <w:spacing w:val="-6"/>
        </w:rPr>
        <w:t> </w:t>
      </w:r>
      <w:r>
        <w:rPr>
          <w:color w:val="231F20"/>
          <w:spacing w:val="-3"/>
        </w:rPr>
        <w:t>економског</w:t>
      </w:r>
      <w:r>
        <w:rPr>
          <w:color w:val="231F20"/>
          <w:spacing w:val="-6"/>
        </w:rPr>
        <w:t> </w:t>
      </w:r>
      <w:r>
        <w:rPr>
          <w:color w:val="231F20"/>
        </w:rPr>
        <w:t>и</w:t>
      </w:r>
      <w:r>
        <w:rPr>
          <w:color w:val="231F20"/>
          <w:spacing w:val="-6"/>
        </w:rPr>
        <w:t> </w:t>
      </w:r>
      <w:r>
        <w:rPr>
          <w:color w:val="231F20"/>
        </w:rPr>
        <w:t>социјалног</w:t>
      </w:r>
      <w:r>
        <w:rPr>
          <w:color w:val="231F20"/>
          <w:spacing w:val="-6"/>
        </w:rPr>
        <w:t> </w:t>
      </w:r>
      <w:r>
        <w:rPr>
          <w:color w:val="231F20"/>
        </w:rPr>
        <w:t>развоја</w:t>
      </w:r>
      <w:r>
        <w:rPr>
          <w:color w:val="231F20"/>
          <w:spacing w:val="-6"/>
        </w:rPr>
        <w:t> </w:t>
      </w:r>
      <w:r>
        <w:rPr>
          <w:color w:val="231F20"/>
          <w:spacing w:val="-3"/>
        </w:rPr>
        <w:t>који </w:t>
      </w:r>
      <w:r>
        <w:rPr>
          <w:color w:val="231F20"/>
        </w:rPr>
        <w:t>ће садржати подршку запошљавању локалног</w:t>
      </w:r>
      <w:r>
        <w:rPr>
          <w:color w:val="231F20"/>
          <w:spacing w:val="-16"/>
        </w:rPr>
        <w:t> </w:t>
      </w:r>
      <w:r>
        <w:rPr>
          <w:color w:val="231F20"/>
        </w:rPr>
        <w:t>становништва.</w:t>
      </w:r>
    </w:p>
    <w:p>
      <w:pPr>
        <w:pStyle w:val="ListParagraph"/>
        <w:numPr>
          <w:ilvl w:val="3"/>
          <w:numId w:val="28"/>
        </w:numPr>
        <w:tabs>
          <w:tab w:pos="1234" w:val="left" w:leader="none"/>
        </w:tabs>
        <w:spacing w:line="235" w:lineRule="auto" w:before="170" w:after="0"/>
        <w:ind w:left="832" w:right="378" w:firstLine="86"/>
        <w:jc w:val="left"/>
        <w:rPr>
          <w:i/>
          <w:sz w:val="18"/>
        </w:rPr>
      </w:pPr>
      <w:r>
        <w:rPr>
          <w:i/>
          <w:color w:val="231F20"/>
          <w:sz w:val="18"/>
        </w:rPr>
        <w:t>Пресељење становништва, заузимање земљишта </w:t>
      </w:r>
      <w:r>
        <w:rPr>
          <w:i/>
          <w:color w:val="231F20"/>
          <w:sz w:val="18"/>
        </w:rPr>
        <w:t>и</w:t>
      </w:r>
      <w:r>
        <w:rPr>
          <w:i/>
          <w:color w:val="231F20"/>
          <w:spacing w:val="-8"/>
          <w:sz w:val="18"/>
        </w:rPr>
        <w:t> </w:t>
      </w:r>
      <w:r>
        <w:rPr>
          <w:i/>
          <w:color w:val="231F20"/>
          <w:sz w:val="18"/>
        </w:rPr>
        <w:t>измештање</w:t>
      </w:r>
      <w:r>
        <w:rPr>
          <w:i/>
          <w:color w:val="231F20"/>
          <w:spacing w:val="-8"/>
          <w:sz w:val="18"/>
        </w:rPr>
        <w:t> </w:t>
      </w:r>
      <w:r>
        <w:rPr>
          <w:i/>
          <w:color w:val="231F20"/>
          <w:sz w:val="18"/>
        </w:rPr>
        <w:t>инфраструктурних</w:t>
      </w:r>
      <w:r>
        <w:rPr>
          <w:i/>
          <w:color w:val="231F20"/>
          <w:spacing w:val="-9"/>
          <w:sz w:val="18"/>
        </w:rPr>
        <w:t> </w:t>
      </w:r>
      <w:r>
        <w:rPr>
          <w:i/>
          <w:color w:val="231F20"/>
          <w:sz w:val="18"/>
        </w:rPr>
        <w:t>и</w:t>
      </w:r>
      <w:r>
        <w:rPr>
          <w:i/>
          <w:color w:val="231F20"/>
          <w:spacing w:val="-8"/>
          <w:sz w:val="18"/>
        </w:rPr>
        <w:t> </w:t>
      </w:r>
      <w:r>
        <w:rPr>
          <w:i/>
          <w:color w:val="231F20"/>
          <w:sz w:val="18"/>
        </w:rPr>
        <w:t>привредних</w:t>
      </w:r>
      <w:r>
        <w:rPr>
          <w:i/>
          <w:color w:val="231F20"/>
          <w:spacing w:val="-9"/>
          <w:sz w:val="18"/>
        </w:rPr>
        <w:t> </w:t>
      </w:r>
      <w:r>
        <w:rPr>
          <w:i/>
          <w:color w:val="231F20"/>
          <w:sz w:val="18"/>
        </w:rPr>
        <w:t>система</w:t>
      </w:r>
    </w:p>
    <w:p>
      <w:pPr>
        <w:pStyle w:val="BodyText"/>
        <w:spacing w:before="8"/>
        <w:ind w:left="0"/>
        <w:jc w:val="left"/>
        <w:rPr>
          <w:i/>
          <w:sz w:val="17"/>
        </w:rPr>
      </w:pPr>
    </w:p>
    <w:p>
      <w:pPr>
        <w:pStyle w:val="BodyText"/>
        <w:spacing w:line="235" w:lineRule="auto"/>
        <w:ind w:left="452" w:right="1" w:firstLine="397"/>
      </w:pPr>
      <w:r>
        <w:rPr>
          <w:color w:val="231F20"/>
        </w:rPr>
        <w:t>Према садашњој концепцији рударских радова у источном лигнитском лежишту не предвиђа сe пресељење насеља </w:t>
      </w:r>
      <w:r>
        <w:rPr>
          <w:color w:val="231F20"/>
          <w:spacing w:val="-3"/>
        </w:rPr>
        <w:t>која </w:t>
      </w:r>
      <w:r>
        <w:rPr>
          <w:color w:val="231F20"/>
        </w:rPr>
        <w:t>се налазе у непосредној  близини.  </w:t>
      </w:r>
      <w:r>
        <w:rPr>
          <w:color w:val="231F20"/>
          <w:spacing w:val="-6"/>
        </w:rPr>
        <w:t>Уколико</w:t>
      </w:r>
      <w:r>
        <w:rPr>
          <w:color w:val="231F20"/>
          <w:spacing w:val="32"/>
        </w:rPr>
        <w:t> </w:t>
      </w:r>
      <w:r>
        <w:rPr>
          <w:color w:val="231F20"/>
          <w:spacing w:val="-5"/>
        </w:rPr>
        <w:t>буде  </w:t>
      </w:r>
      <w:r>
        <w:rPr>
          <w:color w:val="231F20"/>
        </w:rPr>
        <w:t>поново  покрену- та експлоатација лигнитског лежишта „Петка” и </w:t>
      </w:r>
      <w:r>
        <w:rPr>
          <w:color w:val="231F20"/>
          <w:spacing w:val="-3"/>
        </w:rPr>
        <w:t>„Ћириковац”, </w:t>
      </w:r>
      <w:r>
        <w:rPr>
          <w:color w:val="231F20"/>
        </w:rPr>
        <w:t>у перспективи</w:t>
      </w:r>
      <w:r>
        <w:rPr>
          <w:color w:val="231F20"/>
          <w:spacing w:val="-6"/>
        </w:rPr>
        <w:t> </w:t>
      </w:r>
      <w:r>
        <w:rPr>
          <w:color w:val="231F20"/>
        </w:rPr>
        <w:t>могу</w:t>
      </w:r>
      <w:r>
        <w:rPr>
          <w:color w:val="231F20"/>
          <w:spacing w:val="-6"/>
        </w:rPr>
        <w:t> </w:t>
      </w:r>
      <w:r>
        <w:rPr>
          <w:color w:val="231F20"/>
        </w:rPr>
        <w:t>бити</w:t>
      </w:r>
      <w:r>
        <w:rPr>
          <w:color w:val="231F20"/>
          <w:spacing w:val="-6"/>
        </w:rPr>
        <w:t> </w:t>
      </w:r>
      <w:r>
        <w:rPr>
          <w:color w:val="231F20"/>
        </w:rPr>
        <w:t>угрожена</w:t>
      </w:r>
      <w:r>
        <w:rPr>
          <w:color w:val="231F20"/>
          <w:spacing w:val="-6"/>
        </w:rPr>
        <w:t> </w:t>
      </w:r>
      <w:r>
        <w:rPr>
          <w:color w:val="231F20"/>
        </w:rPr>
        <w:t>насеља</w:t>
      </w:r>
      <w:r>
        <w:rPr>
          <w:color w:val="231F20"/>
          <w:spacing w:val="-6"/>
        </w:rPr>
        <w:t> </w:t>
      </w:r>
      <w:r>
        <w:rPr>
          <w:color w:val="231F20"/>
        </w:rPr>
        <w:t>Кленовник</w:t>
      </w:r>
      <w:r>
        <w:rPr>
          <w:color w:val="231F20"/>
          <w:spacing w:val="-6"/>
        </w:rPr>
        <w:t> </w:t>
      </w:r>
      <w:r>
        <w:rPr>
          <w:color w:val="231F20"/>
        </w:rPr>
        <w:t>и</w:t>
      </w:r>
      <w:r>
        <w:rPr>
          <w:color w:val="231F20"/>
          <w:spacing w:val="-6"/>
        </w:rPr>
        <w:t> </w:t>
      </w:r>
      <w:r>
        <w:rPr>
          <w:color w:val="231F20"/>
        </w:rPr>
        <w:t>Ћириковац. Постоји реална могућност за перспективно пресељење постојећих насеља Дубравица, Острово и Батовац из зоне експлоатације ле- жишта „Дубравица”. С обзиром да се почетак рударских радова   у овом лежишту може очекивати после 2020. године, припреме за пресељење</w:t>
      </w:r>
      <w:r>
        <w:rPr>
          <w:color w:val="231F20"/>
          <w:spacing w:val="-8"/>
        </w:rPr>
        <w:t> </w:t>
      </w:r>
      <w:r>
        <w:rPr>
          <w:color w:val="231F20"/>
        </w:rPr>
        <w:t>ових</w:t>
      </w:r>
      <w:r>
        <w:rPr>
          <w:color w:val="231F20"/>
          <w:spacing w:val="-7"/>
        </w:rPr>
        <w:t> </w:t>
      </w:r>
      <w:r>
        <w:rPr>
          <w:color w:val="231F20"/>
        </w:rPr>
        <w:t>насеља</w:t>
      </w:r>
      <w:r>
        <w:rPr>
          <w:color w:val="231F20"/>
          <w:spacing w:val="-7"/>
        </w:rPr>
        <w:t> </w:t>
      </w:r>
      <w:r>
        <w:rPr>
          <w:color w:val="231F20"/>
        </w:rPr>
        <w:t>треба</w:t>
      </w:r>
      <w:r>
        <w:rPr>
          <w:color w:val="231F20"/>
          <w:spacing w:val="-8"/>
        </w:rPr>
        <w:t> </w:t>
      </w:r>
      <w:r>
        <w:rPr>
          <w:color w:val="231F20"/>
        </w:rPr>
        <w:t>отпочети</w:t>
      </w:r>
      <w:r>
        <w:rPr>
          <w:color w:val="231F20"/>
          <w:spacing w:val="-7"/>
        </w:rPr>
        <w:t> </w:t>
      </w:r>
      <w:r>
        <w:rPr>
          <w:color w:val="231F20"/>
        </w:rPr>
        <w:t>у</w:t>
      </w:r>
      <w:r>
        <w:rPr>
          <w:color w:val="231F20"/>
          <w:spacing w:val="-7"/>
        </w:rPr>
        <w:t> </w:t>
      </w:r>
      <w:r>
        <w:rPr>
          <w:color w:val="231F20"/>
        </w:rPr>
        <w:t>периоду</w:t>
      </w:r>
      <w:r>
        <w:rPr>
          <w:color w:val="231F20"/>
          <w:spacing w:val="-8"/>
        </w:rPr>
        <w:t> </w:t>
      </w:r>
      <w:r>
        <w:rPr>
          <w:color w:val="231F20"/>
        </w:rPr>
        <w:t>2015</w:t>
      </w:r>
      <w:r>
        <w:rPr>
          <w:color w:val="231F20"/>
          <w:spacing w:val="18"/>
        </w:rPr>
        <w:t> </w:t>
      </w:r>
      <w:r>
        <w:rPr>
          <w:color w:val="231F20"/>
        </w:rPr>
        <w:t>–</w:t>
      </w:r>
      <w:r>
        <w:rPr>
          <w:color w:val="231F20"/>
          <w:spacing w:val="-7"/>
        </w:rPr>
        <w:t> </w:t>
      </w:r>
      <w:r>
        <w:rPr>
          <w:color w:val="231F20"/>
        </w:rPr>
        <w:t>2018.</w:t>
      </w:r>
      <w:r>
        <w:rPr>
          <w:color w:val="231F20"/>
          <w:spacing w:val="-7"/>
        </w:rPr>
        <w:t> </w:t>
      </w:r>
      <w:r>
        <w:rPr>
          <w:color w:val="231F20"/>
        </w:rPr>
        <w:t>го- дина.</w:t>
      </w:r>
    </w:p>
    <w:p>
      <w:pPr>
        <w:pStyle w:val="BodyText"/>
        <w:spacing w:line="406" w:lineRule="exact" w:before="12"/>
        <w:ind w:left="849" w:hanging="249"/>
        <w:jc w:val="left"/>
      </w:pPr>
      <w:r>
        <w:rPr>
          <w:color w:val="231F20"/>
        </w:rPr>
        <w:t>Принципи пресељења становништва из зоне рударских радова </w:t>
      </w:r>
      <w:r>
        <w:rPr>
          <w:color w:val="231F20"/>
          <w:spacing w:val="-3"/>
        </w:rPr>
        <w:t>Основна полазишта </w:t>
      </w:r>
      <w:r>
        <w:rPr>
          <w:color w:val="231F20"/>
          <w:spacing w:val="-4"/>
        </w:rPr>
        <w:t>концепције </w:t>
      </w:r>
      <w:r>
        <w:rPr>
          <w:color w:val="231F20"/>
          <w:spacing w:val="-3"/>
        </w:rPr>
        <w:t>пресељења (делова) насеља </w:t>
      </w:r>
      <w:r>
        <w:rPr>
          <w:color w:val="231F20"/>
          <w:spacing w:val="-4"/>
        </w:rPr>
        <w:t>су:</w:t>
      </w:r>
    </w:p>
    <w:p>
      <w:pPr>
        <w:pStyle w:val="BodyText"/>
        <w:spacing w:line="159" w:lineRule="exact"/>
        <w:ind w:left="849"/>
        <w:jc w:val="left"/>
      </w:pPr>
      <w:r>
        <w:rPr>
          <w:color w:val="231F20"/>
          <w:w w:val="66"/>
        </w:rPr>
        <w:t> </w:t>
      </w:r>
      <w:r>
        <w:rPr>
          <w:color w:val="231F20"/>
        </w:rPr>
        <w:t>– поштовање грађанских и политичких, економских и соци-</w:t>
      </w:r>
    </w:p>
    <w:p>
      <w:pPr>
        <w:pStyle w:val="BodyText"/>
        <w:spacing w:line="235" w:lineRule="auto" w:before="2"/>
        <w:ind w:left="452" w:right="1"/>
      </w:pPr>
      <w:r>
        <w:rPr>
          <w:color w:val="231F20"/>
        </w:rPr>
        <w:t>јалних права грађана у току пресељења насеља у складу са међу- народним конвенцијама и националним правним нормама;</w:t>
      </w:r>
    </w:p>
    <w:p>
      <w:pPr>
        <w:pStyle w:val="BodyText"/>
        <w:spacing w:line="235" w:lineRule="auto"/>
        <w:ind w:left="452" w:right="1" w:firstLine="396"/>
      </w:pPr>
      <w:r>
        <w:rPr>
          <w:color w:val="231F20"/>
          <w:w w:val="66"/>
        </w:rPr>
        <w:t> </w:t>
      </w:r>
      <w:r>
        <w:rPr>
          <w:color w:val="231F20"/>
        </w:rPr>
        <w:t>– право на живот у насељу опремљеном комуналном и со- цијалном инфраструктуром најмање на нивоу постојећих насеља;</w:t>
      </w:r>
    </w:p>
    <w:p>
      <w:pPr>
        <w:pStyle w:val="BodyText"/>
        <w:spacing w:line="235" w:lineRule="auto"/>
        <w:ind w:left="452" w:firstLine="396"/>
      </w:pPr>
      <w:r>
        <w:rPr>
          <w:color w:val="231F20"/>
          <w:w w:val="66"/>
        </w:rPr>
        <w:t> </w:t>
      </w:r>
      <w:r>
        <w:rPr>
          <w:color w:val="231F20"/>
        </w:rPr>
        <w:t>– јасно дефинисање обавеза које преузимају „ЕПС”, ПД ТЕ- КО „Костолац” и локална самоуправа, са гаранцијама за поштова- ње и спровођење преузетих обавеза;</w:t>
      </w:r>
    </w:p>
    <w:p>
      <w:pPr>
        <w:pStyle w:val="BodyText"/>
        <w:spacing w:line="235" w:lineRule="auto" w:before="1"/>
        <w:ind w:left="452" w:right="1" w:firstLine="396"/>
      </w:pPr>
      <w:r>
        <w:rPr>
          <w:color w:val="231F20"/>
          <w:w w:val="66"/>
        </w:rPr>
        <w:t> </w:t>
      </w:r>
      <w:r>
        <w:rPr>
          <w:color w:val="231F20"/>
        </w:rPr>
        <w:t>– јасно дефинисање обавеза које преузима домаћинство са гаранцијама за поштовање и спровођење преузетих обавеза;</w:t>
      </w:r>
    </w:p>
    <w:p>
      <w:pPr>
        <w:pStyle w:val="BodyText"/>
        <w:spacing w:line="235" w:lineRule="auto"/>
        <w:ind w:left="452" w:right="1" w:firstLine="396"/>
      </w:pPr>
      <w:r>
        <w:rPr>
          <w:color w:val="231F20"/>
          <w:w w:val="66"/>
        </w:rPr>
        <w:t> </w:t>
      </w:r>
      <w:r>
        <w:rPr>
          <w:color w:val="231F20"/>
        </w:rPr>
        <w:t>– обезбеђење </w:t>
      </w:r>
      <w:r>
        <w:rPr>
          <w:color w:val="231F20"/>
          <w:spacing w:val="-4"/>
        </w:rPr>
        <w:t>симболичког, </w:t>
      </w:r>
      <w:r>
        <w:rPr>
          <w:color w:val="231F20"/>
        </w:rPr>
        <w:t>културног и социјалног контину- итета са садашњим насељима;</w:t>
      </w:r>
    </w:p>
    <w:p>
      <w:pPr>
        <w:pStyle w:val="BodyText"/>
        <w:spacing w:line="232" w:lineRule="auto" w:before="73"/>
        <w:ind w:left="241" w:right="129" w:firstLine="397"/>
      </w:pPr>
      <w:r>
        <w:rPr/>
        <w:br w:type="column"/>
      </w:r>
      <w:r>
        <w:rPr>
          <w:color w:val="231F20"/>
          <w:w w:val="66"/>
        </w:rPr>
        <w:t> </w:t>
      </w:r>
      <w:r>
        <w:rPr>
          <w:color w:val="231F20"/>
        </w:rPr>
        <w:t>– детаљна разрада опције организованог пресељења која ће бити понуђена домаћинствима у току спровођења програма пре- сељења; неопходно је обезбедити да и појединачна пресељења домаћинстава, која изаберу накнаду за експроприсану имовину у новцу, буду плански усмеравана и просторно контролисана и ре- гулисана;</w:t>
      </w:r>
    </w:p>
    <w:p>
      <w:pPr>
        <w:pStyle w:val="BodyText"/>
        <w:spacing w:line="230" w:lineRule="auto"/>
        <w:ind w:left="241" w:right="129" w:firstLine="396"/>
      </w:pPr>
      <w:r>
        <w:rPr>
          <w:color w:val="231F20"/>
          <w:w w:val="66"/>
        </w:rPr>
        <w:t> </w:t>
      </w:r>
      <w:r>
        <w:rPr>
          <w:color w:val="231F20"/>
        </w:rPr>
        <w:t>– подстицање организованог пресељења насеља или делова насеља, чиме се омогућује: организација и уређење новог насе- ља према наслеђеним функционалним и социјалним вредностима старог насеља; измештање културног наслеђа, привредних (инду- стрија, трговина, сервиси и слично) и комуналних објеката, као и објеката јавних служби; комунално опремање новог насеља према савременим потребама пресељеног становништва и</w:t>
      </w:r>
      <w:r>
        <w:rPr>
          <w:color w:val="231F20"/>
          <w:spacing w:val="-9"/>
        </w:rPr>
        <w:t> </w:t>
      </w:r>
      <w:r>
        <w:rPr>
          <w:color w:val="231F20"/>
        </w:rPr>
        <w:t>слично;</w:t>
      </w:r>
    </w:p>
    <w:p>
      <w:pPr>
        <w:pStyle w:val="BodyText"/>
        <w:spacing w:line="230" w:lineRule="auto"/>
        <w:ind w:left="242" w:right="129" w:firstLine="396"/>
      </w:pPr>
      <w:r>
        <w:rPr>
          <w:color w:val="231F20"/>
          <w:w w:val="66"/>
        </w:rPr>
        <w:t> </w:t>
      </w:r>
      <w:r>
        <w:rPr>
          <w:color w:val="231F20"/>
        </w:rPr>
        <w:t>– подстицање програма </w:t>
      </w:r>
      <w:r>
        <w:rPr>
          <w:color w:val="231F20"/>
          <w:spacing w:val="-3"/>
        </w:rPr>
        <w:t>економског </w:t>
      </w:r>
      <w:r>
        <w:rPr>
          <w:color w:val="231F20"/>
        </w:rPr>
        <w:t>и социјалног развоја</w:t>
      </w:r>
      <w:r>
        <w:rPr>
          <w:color w:val="231F20"/>
          <w:spacing w:val="-33"/>
        </w:rPr>
        <w:t> </w:t>
      </w:r>
      <w:r>
        <w:rPr>
          <w:color w:val="231F20"/>
          <w:spacing w:val="-3"/>
        </w:rPr>
        <w:t>који </w:t>
      </w:r>
      <w:r>
        <w:rPr>
          <w:color w:val="231F20"/>
        </w:rPr>
        <w:t>ће садржати подршку запошљавању локалног</w:t>
      </w:r>
      <w:r>
        <w:rPr>
          <w:color w:val="231F20"/>
          <w:spacing w:val="-16"/>
        </w:rPr>
        <w:t> </w:t>
      </w:r>
      <w:r>
        <w:rPr>
          <w:color w:val="231F20"/>
        </w:rPr>
        <w:t>становништва;</w:t>
      </w:r>
    </w:p>
    <w:p>
      <w:pPr>
        <w:pStyle w:val="BodyText"/>
        <w:spacing w:line="230" w:lineRule="auto"/>
        <w:ind w:left="241" w:right="129" w:firstLine="397"/>
      </w:pPr>
      <w:r>
        <w:rPr>
          <w:color w:val="231F20"/>
          <w:w w:val="66"/>
        </w:rPr>
        <w:t> </w:t>
      </w:r>
      <w:r>
        <w:rPr>
          <w:color w:val="231F20"/>
        </w:rPr>
        <w:t>– благовремена разрада средњерочних и дугорочних програ- ма/планова ширења </w:t>
      </w:r>
      <w:r>
        <w:rPr>
          <w:color w:val="231F20"/>
          <w:spacing w:val="-3"/>
        </w:rPr>
        <w:t>копова </w:t>
      </w:r>
      <w:r>
        <w:rPr>
          <w:color w:val="231F20"/>
        </w:rPr>
        <w:t>и заузимања земљишта у складу са усвојеним решењима у Просторном </w:t>
      </w:r>
      <w:r>
        <w:rPr>
          <w:color w:val="231F20"/>
          <w:spacing w:val="-4"/>
        </w:rPr>
        <w:t>плану, како </w:t>
      </w:r>
      <w:r>
        <w:rPr>
          <w:color w:val="231F20"/>
        </w:rPr>
        <w:t>би се предупреди- ла изградња на правцима ширења копова, елиминисали трошкови и други проблеми поновног расељавања или измештања домаћин- става у тек насељеним зонама и</w:t>
      </w:r>
    </w:p>
    <w:p>
      <w:pPr>
        <w:pStyle w:val="BodyText"/>
        <w:spacing w:line="230" w:lineRule="auto"/>
        <w:ind w:left="241" w:right="128" w:firstLine="397"/>
      </w:pPr>
      <w:r>
        <w:rPr>
          <w:color w:val="231F20"/>
          <w:w w:val="66"/>
        </w:rPr>
        <w:t> </w:t>
      </w:r>
      <w:r>
        <w:rPr>
          <w:color w:val="231F20"/>
        </w:rPr>
        <w:t>– подстицање привредне мултифункционалности подручја; један </w:t>
      </w:r>
      <w:r>
        <w:rPr>
          <w:color w:val="231F20"/>
          <w:spacing w:val="-3"/>
        </w:rPr>
        <w:t>од </w:t>
      </w:r>
      <w:r>
        <w:rPr>
          <w:color w:val="231F20"/>
        </w:rPr>
        <w:t>ограничавајућих развојних проблема постојећих насеља јесте монофункционалност привређивања, зависност локалне </w:t>
      </w:r>
      <w:r>
        <w:rPr>
          <w:color w:val="231F20"/>
          <w:spacing w:val="-3"/>
        </w:rPr>
        <w:t>еко- </w:t>
      </w:r>
      <w:r>
        <w:rPr>
          <w:color w:val="231F20"/>
        </w:rPr>
        <w:t>номије</w:t>
      </w:r>
      <w:r>
        <w:rPr>
          <w:color w:val="231F20"/>
          <w:spacing w:val="-11"/>
        </w:rPr>
        <w:t> </w:t>
      </w:r>
      <w:r>
        <w:rPr>
          <w:color w:val="231F20"/>
        </w:rPr>
        <w:t>и</w:t>
      </w:r>
      <w:r>
        <w:rPr>
          <w:color w:val="231F20"/>
          <w:spacing w:val="-11"/>
        </w:rPr>
        <w:t> </w:t>
      </w:r>
      <w:r>
        <w:rPr>
          <w:color w:val="231F20"/>
        </w:rPr>
        <w:t>других</w:t>
      </w:r>
      <w:r>
        <w:rPr>
          <w:color w:val="231F20"/>
          <w:spacing w:val="-11"/>
        </w:rPr>
        <w:t> </w:t>
      </w:r>
      <w:r>
        <w:rPr>
          <w:color w:val="231F20"/>
        </w:rPr>
        <w:t>активности</w:t>
      </w:r>
      <w:r>
        <w:rPr>
          <w:color w:val="231F20"/>
          <w:spacing w:val="-11"/>
        </w:rPr>
        <w:t> </w:t>
      </w:r>
      <w:r>
        <w:rPr>
          <w:color w:val="231F20"/>
          <w:spacing w:val="-3"/>
        </w:rPr>
        <w:t>од</w:t>
      </w:r>
      <w:r>
        <w:rPr>
          <w:color w:val="231F20"/>
          <w:spacing w:val="-11"/>
        </w:rPr>
        <w:t> </w:t>
      </w:r>
      <w:r>
        <w:rPr>
          <w:color w:val="231F20"/>
        </w:rPr>
        <w:t>доминантне</w:t>
      </w:r>
      <w:r>
        <w:rPr>
          <w:color w:val="231F20"/>
          <w:spacing w:val="-11"/>
        </w:rPr>
        <w:t> </w:t>
      </w:r>
      <w:r>
        <w:rPr>
          <w:color w:val="231F20"/>
        </w:rPr>
        <w:t>привредне</w:t>
      </w:r>
      <w:r>
        <w:rPr>
          <w:color w:val="231F20"/>
          <w:spacing w:val="-11"/>
        </w:rPr>
        <w:t> </w:t>
      </w:r>
      <w:r>
        <w:rPr>
          <w:color w:val="231F20"/>
        </w:rPr>
        <w:t>гране</w:t>
      </w:r>
      <w:r>
        <w:rPr>
          <w:color w:val="231F20"/>
          <w:spacing w:val="13"/>
        </w:rPr>
        <w:t> </w:t>
      </w:r>
      <w:r>
        <w:rPr>
          <w:color w:val="231F20"/>
        </w:rPr>
        <w:t>–</w:t>
      </w:r>
      <w:r>
        <w:rPr>
          <w:color w:val="231F20"/>
          <w:spacing w:val="-11"/>
        </w:rPr>
        <w:t> </w:t>
      </w:r>
      <w:r>
        <w:rPr>
          <w:color w:val="231F20"/>
        </w:rPr>
        <w:t>екс- плоатације и прераде лигнита или </w:t>
      </w:r>
      <w:r>
        <w:rPr>
          <w:color w:val="231F20"/>
          <w:spacing w:val="-3"/>
        </w:rPr>
        <w:t>од </w:t>
      </w:r>
      <w:r>
        <w:rPr>
          <w:color w:val="231F20"/>
        </w:rPr>
        <w:t>пољопривреде; у интересу  је пресељених лица, као и становништва зона у </w:t>
      </w:r>
      <w:r>
        <w:rPr>
          <w:color w:val="231F20"/>
          <w:spacing w:val="-3"/>
        </w:rPr>
        <w:t>које </w:t>
      </w:r>
      <w:r>
        <w:rPr>
          <w:color w:val="231F20"/>
        </w:rPr>
        <w:t>ће се они на- селити, да се подстиче диверзификација производних и услужних активности, ради унапређења </w:t>
      </w:r>
      <w:r>
        <w:rPr>
          <w:color w:val="231F20"/>
          <w:spacing w:val="-5"/>
        </w:rPr>
        <w:t>економског, </w:t>
      </w:r>
      <w:r>
        <w:rPr>
          <w:color w:val="231F20"/>
        </w:rPr>
        <w:t>социјалног и културног развоја</w:t>
      </w:r>
      <w:r>
        <w:rPr>
          <w:color w:val="231F20"/>
          <w:spacing w:val="-7"/>
        </w:rPr>
        <w:t> </w:t>
      </w:r>
      <w:r>
        <w:rPr>
          <w:color w:val="231F20"/>
        </w:rPr>
        <w:t>и</w:t>
      </w:r>
      <w:r>
        <w:rPr>
          <w:color w:val="231F20"/>
          <w:spacing w:val="-7"/>
        </w:rPr>
        <w:t> </w:t>
      </w:r>
      <w:r>
        <w:rPr>
          <w:color w:val="231F20"/>
        </w:rPr>
        <w:t>обезбеђења</w:t>
      </w:r>
      <w:r>
        <w:rPr>
          <w:color w:val="231F20"/>
          <w:spacing w:val="-7"/>
        </w:rPr>
        <w:t> </w:t>
      </w:r>
      <w:r>
        <w:rPr>
          <w:color w:val="231F20"/>
        </w:rPr>
        <w:t>задовољавајућег</w:t>
      </w:r>
      <w:r>
        <w:rPr>
          <w:color w:val="231F20"/>
          <w:spacing w:val="-7"/>
        </w:rPr>
        <w:t> </w:t>
      </w:r>
      <w:r>
        <w:rPr>
          <w:color w:val="231F20"/>
        </w:rPr>
        <w:t>квалитета</w:t>
      </w:r>
      <w:r>
        <w:rPr>
          <w:color w:val="231F20"/>
          <w:spacing w:val="-7"/>
        </w:rPr>
        <w:t> </w:t>
      </w:r>
      <w:r>
        <w:rPr>
          <w:color w:val="231F20"/>
        </w:rPr>
        <w:t>животне</w:t>
      </w:r>
      <w:r>
        <w:rPr>
          <w:color w:val="231F20"/>
          <w:spacing w:val="-7"/>
        </w:rPr>
        <w:t> </w:t>
      </w:r>
      <w:r>
        <w:rPr>
          <w:color w:val="231F20"/>
        </w:rPr>
        <w:t>средине.</w:t>
      </w:r>
    </w:p>
    <w:p>
      <w:pPr>
        <w:pStyle w:val="BodyText"/>
        <w:spacing w:line="230" w:lineRule="auto" w:before="154"/>
        <w:ind w:left="535" w:right="423"/>
        <w:jc w:val="center"/>
      </w:pPr>
      <w:r>
        <w:rPr>
          <w:color w:val="231F20"/>
        </w:rPr>
        <w:t>Приступ у дефинисању политике и модалитета пресељења домаћинстава и измештања насеља</w:t>
      </w:r>
    </w:p>
    <w:p>
      <w:pPr>
        <w:pStyle w:val="BodyText"/>
        <w:spacing w:before="1"/>
        <w:ind w:left="0"/>
        <w:jc w:val="left"/>
        <w:rPr>
          <w:sz w:val="17"/>
        </w:rPr>
      </w:pPr>
    </w:p>
    <w:p>
      <w:pPr>
        <w:pStyle w:val="BodyText"/>
        <w:spacing w:line="230" w:lineRule="auto"/>
        <w:ind w:left="240" w:right="129" w:firstLine="397"/>
      </w:pPr>
      <w:r>
        <w:rPr>
          <w:color w:val="231F20"/>
        </w:rPr>
        <w:t>У операционализацији модалитета пресељења и дефиниса- њу </w:t>
      </w:r>
      <w:r>
        <w:rPr>
          <w:color w:val="231F20"/>
          <w:spacing w:val="-4"/>
        </w:rPr>
        <w:t>сваког </w:t>
      </w:r>
      <w:r>
        <w:rPr>
          <w:color w:val="231F20"/>
        </w:rPr>
        <w:t>појединачног програма обавезно je равноправно учешће представникa ТЕ-КО </w:t>
      </w:r>
      <w:r>
        <w:rPr>
          <w:color w:val="231F20"/>
          <w:spacing w:val="-3"/>
        </w:rPr>
        <w:t>„Костолац” (корисника </w:t>
      </w:r>
      <w:r>
        <w:rPr>
          <w:color w:val="231F20"/>
        </w:rPr>
        <w:t>експропријације), ло- калних</w:t>
      </w:r>
      <w:r>
        <w:rPr>
          <w:color w:val="231F20"/>
          <w:spacing w:val="-8"/>
        </w:rPr>
        <w:t> </w:t>
      </w:r>
      <w:r>
        <w:rPr>
          <w:color w:val="231F20"/>
        </w:rPr>
        <w:t>власти</w:t>
      </w:r>
      <w:r>
        <w:rPr>
          <w:color w:val="231F20"/>
          <w:spacing w:val="-8"/>
        </w:rPr>
        <w:t> </w:t>
      </w:r>
      <w:r>
        <w:rPr>
          <w:color w:val="231F20"/>
        </w:rPr>
        <w:t>и</w:t>
      </w:r>
      <w:r>
        <w:rPr>
          <w:color w:val="231F20"/>
          <w:spacing w:val="-8"/>
        </w:rPr>
        <w:t> </w:t>
      </w:r>
      <w:r>
        <w:rPr>
          <w:color w:val="231F20"/>
        </w:rPr>
        <w:t>грађана,</w:t>
      </w:r>
      <w:r>
        <w:rPr>
          <w:color w:val="231F20"/>
          <w:spacing w:val="-8"/>
        </w:rPr>
        <w:t> </w:t>
      </w:r>
      <w:r>
        <w:rPr>
          <w:color w:val="231F20"/>
          <w:spacing w:val="-5"/>
        </w:rPr>
        <w:t>како</w:t>
      </w:r>
      <w:r>
        <w:rPr>
          <w:color w:val="231F20"/>
          <w:spacing w:val="-8"/>
        </w:rPr>
        <w:t> </w:t>
      </w:r>
      <w:r>
        <w:rPr>
          <w:color w:val="231F20"/>
        </w:rPr>
        <w:t>оних</w:t>
      </w:r>
      <w:r>
        <w:rPr>
          <w:color w:val="231F20"/>
          <w:spacing w:val="-8"/>
        </w:rPr>
        <w:t> </w:t>
      </w:r>
      <w:r>
        <w:rPr>
          <w:color w:val="231F20"/>
          <w:spacing w:val="-4"/>
        </w:rPr>
        <w:t>који</w:t>
      </w:r>
      <w:r>
        <w:rPr>
          <w:color w:val="231F20"/>
          <w:spacing w:val="-8"/>
        </w:rPr>
        <w:t> </w:t>
      </w:r>
      <w:r>
        <w:rPr>
          <w:color w:val="231F20"/>
        </w:rPr>
        <w:t>се</w:t>
      </w:r>
      <w:r>
        <w:rPr>
          <w:color w:val="231F20"/>
          <w:spacing w:val="-8"/>
        </w:rPr>
        <w:t> </w:t>
      </w:r>
      <w:r>
        <w:rPr>
          <w:color w:val="231F20"/>
        </w:rPr>
        <w:t>пресељавају</w:t>
      </w:r>
      <w:r>
        <w:rPr>
          <w:color w:val="231F20"/>
          <w:spacing w:val="-8"/>
        </w:rPr>
        <w:t> </w:t>
      </w:r>
      <w:r>
        <w:rPr>
          <w:color w:val="231F20"/>
          <w:spacing w:val="-3"/>
        </w:rPr>
        <w:t>тако</w:t>
      </w:r>
      <w:r>
        <w:rPr>
          <w:color w:val="231F20"/>
          <w:spacing w:val="-8"/>
        </w:rPr>
        <w:t> </w:t>
      </w:r>
      <w:r>
        <w:rPr>
          <w:color w:val="231F20"/>
        </w:rPr>
        <w:t>и</w:t>
      </w:r>
      <w:r>
        <w:rPr>
          <w:color w:val="231F20"/>
          <w:spacing w:val="-8"/>
        </w:rPr>
        <w:t> </w:t>
      </w:r>
      <w:r>
        <w:rPr>
          <w:color w:val="231F20"/>
        </w:rPr>
        <w:t>оних из насеља </w:t>
      </w:r>
      <w:r>
        <w:rPr>
          <w:color w:val="231F20"/>
          <w:spacing w:val="-4"/>
        </w:rPr>
        <w:t>која </w:t>
      </w:r>
      <w:r>
        <w:rPr>
          <w:color w:val="231F20"/>
        </w:rPr>
        <w:t>ће примити пресељено становништво. Представни- ци ових група формирају одбора за пресељење </w:t>
      </w:r>
      <w:r>
        <w:rPr>
          <w:color w:val="231F20"/>
          <w:spacing w:val="-5"/>
        </w:rPr>
        <w:t>како </w:t>
      </w:r>
      <w:r>
        <w:rPr>
          <w:color w:val="231F20"/>
        </w:rPr>
        <w:t>би се </w:t>
      </w:r>
      <w:r>
        <w:rPr>
          <w:color w:val="231F20"/>
          <w:spacing w:val="-3"/>
        </w:rPr>
        <w:t>благо- </w:t>
      </w:r>
      <w:r>
        <w:rPr>
          <w:color w:val="231F20"/>
        </w:rPr>
        <w:t>времено</w:t>
      </w:r>
      <w:r>
        <w:rPr>
          <w:color w:val="231F20"/>
          <w:spacing w:val="-7"/>
        </w:rPr>
        <w:t> </w:t>
      </w:r>
      <w:r>
        <w:rPr>
          <w:color w:val="231F20"/>
        </w:rPr>
        <w:t>артикулисали</w:t>
      </w:r>
      <w:r>
        <w:rPr>
          <w:color w:val="231F20"/>
          <w:spacing w:val="-7"/>
        </w:rPr>
        <w:t> </w:t>
      </w:r>
      <w:r>
        <w:rPr>
          <w:color w:val="231F20"/>
        </w:rPr>
        <w:t>различити</w:t>
      </w:r>
      <w:r>
        <w:rPr>
          <w:color w:val="231F20"/>
          <w:spacing w:val="-7"/>
        </w:rPr>
        <w:t> </w:t>
      </w:r>
      <w:r>
        <w:rPr>
          <w:color w:val="231F20"/>
        </w:rPr>
        <w:t>интереси,</w:t>
      </w:r>
      <w:r>
        <w:rPr>
          <w:color w:val="231F20"/>
          <w:spacing w:val="-7"/>
        </w:rPr>
        <w:t> </w:t>
      </w:r>
      <w:r>
        <w:rPr>
          <w:color w:val="231F20"/>
        </w:rPr>
        <w:t>утврдила</w:t>
      </w:r>
      <w:r>
        <w:rPr>
          <w:color w:val="231F20"/>
          <w:spacing w:val="-7"/>
        </w:rPr>
        <w:t> </w:t>
      </w:r>
      <w:r>
        <w:rPr>
          <w:color w:val="231F20"/>
        </w:rPr>
        <w:t>правила</w:t>
      </w:r>
      <w:r>
        <w:rPr>
          <w:color w:val="231F20"/>
          <w:spacing w:val="-7"/>
        </w:rPr>
        <w:t> </w:t>
      </w:r>
      <w:r>
        <w:rPr>
          <w:color w:val="231F20"/>
        </w:rPr>
        <w:t>пре- сељења и насељавања, дефинисали трошкови и друге</w:t>
      </w:r>
      <w:r>
        <w:rPr>
          <w:color w:val="231F20"/>
          <w:spacing w:val="-26"/>
        </w:rPr>
        <w:t> </w:t>
      </w:r>
      <w:r>
        <w:rPr>
          <w:color w:val="231F20"/>
        </w:rPr>
        <w:t>финансијске околности,</w:t>
      </w:r>
      <w:r>
        <w:rPr>
          <w:color w:val="231F20"/>
          <w:spacing w:val="-11"/>
        </w:rPr>
        <w:t> </w:t>
      </w:r>
      <w:r>
        <w:rPr>
          <w:color w:val="231F20"/>
        </w:rPr>
        <w:t>услови</w:t>
      </w:r>
      <w:r>
        <w:rPr>
          <w:color w:val="231F20"/>
          <w:spacing w:val="-11"/>
        </w:rPr>
        <w:t> </w:t>
      </w:r>
      <w:r>
        <w:rPr>
          <w:color w:val="231F20"/>
        </w:rPr>
        <w:t>нове</w:t>
      </w:r>
      <w:r>
        <w:rPr>
          <w:color w:val="231F20"/>
          <w:spacing w:val="-11"/>
        </w:rPr>
        <w:t> </w:t>
      </w:r>
      <w:r>
        <w:rPr>
          <w:color w:val="231F20"/>
        </w:rPr>
        <w:t>изградње,</w:t>
      </w:r>
      <w:r>
        <w:rPr>
          <w:color w:val="231F20"/>
          <w:spacing w:val="-11"/>
        </w:rPr>
        <w:t> </w:t>
      </w:r>
      <w:r>
        <w:rPr>
          <w:color w:val="231F20"/>
          <w:spacing w:val="-3"/>
        </w:rPr>
        <w:t>комуналног</w:t>
      </w:r>
      <w:r>
        <w:rPr>
          <w:color w:val="231F20"/>
          <w:spacing w:val="-11"/>
        </w:rPr>
        <w:t> </w:t>
      </w:r>
      <w:r>
        <w:rPr>
          <w:color w:val="231F20"/>
        </w:rPr>
        <w:t>опремања</w:t>
      </w:r>
      <w:r>
        <w:rPr>
          <w:color w:val="231F20"/>
          <w:spacing w:val="-11"/>
        </w:rPr>
        <w:t> </w:t>
      </w:r>
      <w:r>
        <w:rPr>
          <w:color w:val="231F20"/>
        </w:rPr>
        <w:t>и</w:t>
      </w:r>
      <w:r>
        <w:rPr>
          <w:color w:val="231F20"/>
          <w:spacing w:val="-11"/>
        </w:rPr>
        <w:t> </w:t>
      </w:r>
      <w:r>
        <w:rPr>
          <w:color w:val="231F20"/>
        </w:rPr>
        <w:t>уређења насеља, организовања служби </w:t>
      </w:r>
      <w:r>
        <w:rPr>
          <w:color w:val="231F20"/>
          <w:spacing w:val="-4"/>
        </w:rPr>
        <w:t>од </w:t>
      </w:r>
      <w:r>
        <w:rPr>
          <w:color w:val="231F20"/>
        </w:rPr>
        <w:t>јавног интереса</w:t>
      </w:r>
      <w:r>
        <w:rPr>
          <w:color w:val="231F20"/>
          <w:spacing w:val="-17"/>
        </w:rPr>
        <w:t> </w:t>
      </w:r>
      <w:r>
        <w:rPr>
          <w:color w:val="231F20"/>
        </w:rPr>
        <w:t>итд.</w:t>
      </w:r>
    </w:p>
    <w:p>
      <w:pPr>
        <w:pStyle w:val="BodyText"/>
        <w:spacing w:line="230" w:lineRule="auto"/>
        <w:ind w:left="241" w:right="128" w:firstLine="397"/>
        <w:jc w:val="right"/>
      </w:pPr>
      <w:r>
        <w:rPr>
          <w:color w:val="231F20"/>
        </w:rPr>
        <w:t>Обавезно</w:t>
      </w:r>
      <w:r>
        <w:rPr>
          <w:color w:val="231F20"/>
          <w:spacing w:val="17"/>
        </w:rPr>
        <w:t> </w:t>
      </w:r>
      <w:r>
        <w:rPr>
          <w:color w:val="231F20"/>
        </w:rPr>
        <w:t>је</w:t>
      </w:r>
      <w:r>
        <w:rPr>
          <w:color w:val="231F20"/>
          <w:spacing w:val="17"/>
        </w:rPr>
        <w:t> </w:t>
      </w:r>
      <w:r>
        <w:rPr>
          <w:color w:val="231F20"/>
        </w:rPr>
        <w:t>континуирано</w:t>
      </w:r>
      <w:r>
        <w:rPr>
          <w:color w:val="231F20"/>
          <w:spacing w:val="17"/>
        </w:rPr>
        <w:t> </w:t>
      </w:r>
      <w:r>
        <w:rPr>
          <w:color w:val="231F20"/>
        </w:rPr>
        <w:t>и</w:t>
      </w:r>
      <w:r>
        <w:rPr>
          <w:color w:val="231F20"/>
          <w:spacing w:val="17"/>
        </w:rPr>
        <w:t> </w:t>
      </w:r>
      <w:r>
        <w:rPr>
          <w:color w:val="231F20"/>
        </w:rPr>
        <w:t>потпуно</w:t>
      </w:r>
      <w:r>
        <w:rPr>
          <w:color w:val="231F20"/>
          <w:spacing w:val="17"/>
        </w:rPr>
        <w:t> </w:t>
      </w:r>
      <w:r>
        <w:rPr>
          <w:color w:val="231F20"/>
        </w:rPr>
        <w:t>информисање</w:t>
      </w:r>
      <w:r>
        <w:rPr>
          <w:color w:val="231F20"/>
          <w:spacing w:val="17"/>
        </w:rPr>
        <w:t> </w:t>
      </w:r>
      <w:r>
        <w:rPr>
          <w:color w:val="231F20"/>
        </w:rPr>
        <w:t>станов- ништва о условима пресељења,</w:t>
      </w:r>
      <w:r>
        <w:rPr>
          <w:color w:val="231F20"/>
          <w:spacing w:val="37"/>
        </w:rPr>
        <w:t> </w:t>
      </w:r>
      <w:r>
        <w:rPr>
          <w:color w:val="231F20"/>
        </w:rPr>
        <w:t>усаглашавању</w:t>
      </w:r>
      <w:r>
        <w:rPr>
          <w:color w:val="231F20"/>
          <w:spacing w:val="8"/>
        </w:rPr>
        <w:t> </w:t>
      </w:r>
      <w:r>
        <w:rPr>
          <w:color w:val="231F20"/>
        </w:rPr>
        <w:t>модалитета/опција пресељења и законским правима власника и осталих</w:t>
      </w:r>
      <w:r>
        <w:rPr>
          <w:color w:val="231F20"/>
          <w:spacing w:val="-1"/>
        </w:rPr>
        <w:t> </w:t>
      </w:r>
      <w:r>
        <w:rPr>
          <w:color w:val="231F20"/>
        </w:rPr>
        <w:t>грађана.</w:t>
      </w:r>
      <w:r>
        <w:rPr>
          <w:color w:val="231F20"/>
          <w:spacing w:val="-1"/>
        </w:rPr>
        <w:t> </w:t>
      </w:r>
      <w:r>
        <w:rPr>
          <w:color w:val="231F20"/>
        </w:rPr>
        <w:t>При </w:t>
      </w:r>
      <w:r>
        <w:rPr>
          <w:color w:val="231F20"/>
          <w:spacing w:val="-3"/>
        </w:rPr>
        <w:t>томе, </w:t>
      </w:r>
      <w:r>
        <w:rPr>
          <w:color w:val="231F20"/>
        </w:rPr>
        <w:t>треба обратити пажњу на делове насеља</w:t>
      </w:r>
      <w:r>
        <w:rPr>
          <w:color w:val="231F20"/>
          <w:spacing w:val="13"/>
        </w:rPr>
        <w:t> </w:t>
      </w:r>
      <w:r>
        <w:rPr>
          <w:color w:val="231F20"/>
          <w:spacing w:val="-4"/>
        </w:rPr>
        <w:t>која </w:t>
      </w:r>
      <w:r>
        <w:rPr>
          <w:color w:val="231F20"/>
        </w:rPr>
        <w:t>нису</w:t>
      </w:r>
      <w:r>
        <w:rPr>
          <w:color w:val="231F20"/>
          <w:spacing w:val="15"/>
        </w:rPr>
        <w:t> </w:t>
      </w:r>
      <w:r>
        <w:rPr>
          <w:color w:val="231F20"/>
        </w:rPr>
        <w:t>предви- ђена</w:t>
      </w:r>
      <w:r>
        <w:rPr>
          <w:color w:val="231F20"/>
          <w:spacing w:val="23"/>
        </w:rPr>
        <w:t> </w:t>
      </w:r>
      <w:r>
        <w:rPr>
          <w:color w:val="231F20"/>
        </w:rPr>
        <w:t>за</w:t>
      </w:r>
      <w:r>
        <w:rPr>
          <w:color w:val="231F20"/>
          <w:spacing w:val="23"/>
        </w:rPr>
        <w:t> </w:t>
      </w:r>
      <w:r>
        <w:rPr>
          <w:color w:val="231F20"/>
        </w:rPr>
        <w:t>измештање,</w:t>
      </w:r>
      <w:r>
        <w:rPr>
          <w:color w:val="231F20"/>
          <w:spacing w:val="23"/>
        </w:rPr>
        <w:t> </w:t>
      </w:r>
      <w:r>
        <w:rPr>
          <w:color w:val="231F20"/>
        </w:rPr>
        <w:t>као</w:t>
      </w:r>
      <w:r>
        <w:rPr>
          <w:color w:val="231F20"/>
          <w:spacing w:val="23"/>
        </w:rPr>
        <w:t> </w:t>
      </w:r>
      <w:r>
        <w:rPr>
          <w:color w:val="231F20"/>
        </w:rPr>
        <w:t>и</w:t>
      </w:r>
      <w:r>
        <w:rPr>
          <w:color w:val="231F20"/>
          <w:spacing w:val="23"/>
        </w:rPr>
        <w:t> </w:t>
      </w:r>
      <w:r>
        <w:rPr>
          <w:color w:val="231F20"/>
        </w:rPr>
        <w:t>на</w:t>
      </w:r>
      <w:r>
        <w:rPr>
          <w:color w:val="231F20"/>
          <w:spacing w:val="23"/>
        </w:rPr>
        <w:t> </w:t>
      </w:r>
      <w:r>
        <w:rPr>
          <w:color w:val="231F20"/>
        </w:rPr>
        <w:t>остале</w:t>
      </w:r>
      <w:r>
        <w:rPr>
          <w:color w:val="231F20"/>
          <w:spacing w:val="23"/>
        </w:rPr>
        <w:t> </w:t>
      </w:r>
      <w:r>
        <w:rPr>
          <w:color w:val="231F20"/>
        </w:rPr>
        <w:t>зоне</w:t>
      </w:r>
      <w:r>
        <w:rPr>
          <w:color w:val="231F20"/>
          <w:spacing w:val="23"/>
        </w:rPr>
        <w:t> </w:t>
      </w:r>
      <w:r>
        <w:rPr>
          <w:color w:val="231F20"/>
          <w:spacing w:val="-4"/>
        </w:rPr>
        <w:t>које</w:t>
      </w:r>
      <w:r>
        <w:rPr>
          <w:color w:val="231F20"/>
          <w:spacing w:val="23"/>
        </w:rPr>
        <w:t> </w:t>
      </w:r>
      <w:r>
        <w:rPr>
          <w:color w:val="231F20"/>
        </w:rPr>
        <w:t>ће</w:t>
      </w:r>
      <w:r>
        <w:rPr>
          <w:color w:val="231F20"/>
          <w:spacing w:val="23"/>
        </w:rPr>
        <w:t> </w:t>
      </w:r>
      <w:r>
        <w:rPr>
          <w:color w:val="231F20"/>
        </w:rPr>
        <w:t>бити</w:t>
      </w:r>
      <w:r>
        <w:rPr>
          <w:color w:val="231F20"/>
          <w:spacing w:val="23"/>
        </w:rPr>
        <w:t> </w:t>
      </w:r>
      <w:r>
        <w:rPr>
          <w:color w:val="231F20"/>
        </w:rPr>
        <w:t>угрожене или</w:t>
      </w:r>
      <w:r>
        <w:rPr>
          <w:color w:val="231F20"/>
          <w:spacing w:val="25"/>
        </w:rPr>
        <w:t> </w:t>
      </w:r>
      <w:r>
        <w:rPr>
          <w:color w:val="231F20"/>
          <w:spacing w:val="-3"/>
        </w:rPr>
        <w:t>под</w:t>
      </w:r>
      <w:r>
        <w:rPr>
          <w:color w:val="231F20"/>
          <w:spacing w:val="25"/>
        </w:rPr>
        <w:t> </w:t>
      </w:r>
      <w:r>
        <w:rPr>
          <w:color w:val="231F20"/>
        </w:rPr>
        <w:t>утицајима</w:t>
      </w:r>
      <w:r>
        <w:rPr>
          <w:color w:val="231F20"/>
          <w:spacing w:val="25"/>
        </w:rPr>
        <w:t> </w:t>
      </w:r>
      <w:r>
        <w:rPr>
          <w:color w:val="231F20"/>
        </w:rPr>
        <w:t>активности</w:t>
      </w:r>
      <w:r>
        <w:rPr>
          <w:color w:val="231F20"/>
          <w:spacing w:val="25"/>
        </w:rPr>
        <w:t> </w:t>
      </w:r>
      <w:r>
        <w:rPr>
          <w:color w:val="231F20"/>
        </w:rPr>
        <w:t>на</w:t>
      </w:r>
      <w:r>
        <w:rPr>
          <w:color w:val="231F20"/>
          <w:spacing w:val="25"/>
        </w:rPr>
        <w:t> </w:t>
      </w:r>
      <w:r>
        <w:rPr>
          <w:color w:val="231F20"/>
        </w:rPr>
        <w:t>површинским</w:t>
      </w:r>
      <w:r>
        <w:rPr>
          <w:color w:val="231F20"/>
          <w:spacing w:val="25"/>
        </w:rPr>
        <w:t> </w:t>
      </w:r>
      <w:r>
        <w:rPr>
          <w:color w:val="231F20"/>
          <w:spacing w:val="-3"/>
        </w:rPr>
        <w:t>коповима.</w:t>
      </w:r>
      <w:r>
        <w:rPr>
          <w:color w:val="231F20"/>
          <w:spacing w:val="25"/>
        </w:rPr>
        <w:t> </w:t>
      </w:r>
      <w:r>
        <w:rPr>
          <w:color w:val="231F20"/>
        </w:rPr>
        <w:t>Неки </w:t>
      </w:r>
      <w:r>
        <w:rPr>
          <w:color w:val="231F20"/>
          <w:spacing w:val="-4"/>
        </w:rPr>
        <w:t>од </w:t>
      </w:r>
      <w:r>
        <w:rPr>
          <w:color w:val="231F20"/>
        </w:rPr>
        <w:t>проблема </w:t>
      </w:r>
      <w:r>
        <w:rPr>
          <w:color w:val="231F20"/>
          <w:spacing w:val="-4"/>
        </w:rPr>
        <w:t>који </w:t>
      </w:r>
      <w:r>
        <w:rPr>
          <w:color w:val="231F20"/>
        </w:rPr>
        <w:t>се јављају у тим зонама </w:t>
      </w:r>
      <w:r>
        <w:rPr>
          <w:color w:val="231F20"/>
          <w:spacing w:val="-3"/>
        </w:rPr>
        <w:t>су: </w:t>
      </w:r>
      <w:r>
        <w:rPr>
          <w:color w:val="231F20"/>
        </w:rPr>
        <w:t>поремећен</w:t>
      </w:r>
      <w:r>
        <w:rPr>
          <w:color w:val="231F20"/>
          <w:spacing w:val="30"/>
        </w:rPr>
        <w:t> </w:t>
      </w:r>
      <w:r>
        <w:rPr>
          <w:color w:val="231F20"/>
        </w:rPr>
        <w:t>ниво</w:t>
      </w:r>
      <w:r>
        <w:rPr>
          <w:color w:val="231F20"/>
          <w:spacing w:val="0"/>
        </w:rPr>
        <w:t> </w:t>
      </w:r>
      <w:r>
        <w:rPr>
          <w:color w:val="231F20"/>
          <w:spacing w:val="-3"/>
        </w:rPr>
        <w:t>под-</w:t>
      </w:r>
      <w:r>
        <w:rPr>
          <w:color w:val="231F20"/>
        </w:rPr>
        <w:t> земних </w:t>
      </w:r>
      <w:r>
        <w:rPr>
          <w:color w:val="231F20"/>
          <w:spacing w:val="-3"/>
        </w:rPr>
        <w:t>вода </w:t>
      </w:r>
      <w:r>
        <w:rPr>
          <w:color w:val="231F20"/>
        </w:rPr>
        <w:t>и сушење </w:t>
      </w:r>
      <w:r>
        <w:rPr>
          <w:color w:val="231F20"/>
          <w:spacing w:val="-3"/>
        </w:rPr>
        <w:t>бунара (тако </w:t>
      </w:r>
      <w:r>
        <w:rPr>
          <w:color w:val="231F20"/>
        </w:rPr>
        <w:t>да се снабдевање</w:t>
      </w:r>
      <w:r>
        <w:rPr>
          <w:color w:val="231F20"/>
          <w:spacing w:val="-11"/>
        </w:rPr>
        <w:t> </w:t>
      </w:r>
      <w:r>
        <w:rPr>
          <w:color w:val="231F20"/>
          <w:spacing w:val="-4"/>
        </w:rPr>
        <w:t>водом</w:t>
      </w:r>
      <w:r>
        <w:rPr>
          <w:color w:val="231F20"/>
          <w:spacing w:val="10"/>
        </w:rPr>
        <w:t> </w:t>
      </w:r>
      <w:r>
        <w:rPr>
          <w:color w:val="231F20"/>
        </w:rPr>
        <w:t>мора обезбедити из </w:t>
      </w:r>
      <w:r>
        <w:rPr>
          <w:color w:val="231F20"/>
          <w:spacing w:val="-3"/>
        </w:rPr>
        <w:t>водовода), </w:t>
      </w:r>
      <w:r>
        <w:rPr>
          <w:color w:val="231F20"/>
        </w:rPr>
        <w:t>пресецање атарских</w:t>
      </w:r>
      <w:r>
        <w:rPr>
          <w:color w:val="231F20"/>
          <w:spacing w:val="5"/>
        </w:rPr>
        <w:t> </w:t>
      </w:r>
      <w:r>
        <w:rPr>
          <w:color w:val="231F20"/>
        </w:rPr>
        <w:t>саобраћајница</w:t>
      </w:r>
      <w:r>
        <w:rPr>
          <w:color w:val="231F20"/>
          <w:spacing w:val="16"/>
        </w:rPr>
        <w:t> </w:t>
      </w:r>
      <w:r>
        <w:rPr>
          <w:color w:val="231F20"/>
        </w:rPr>
        <w:t>што отежава</w:t>
      </w:r>
      <w:r>
        <w:rPr>
          <w:color w:val="231F20"/>
          <w:spacing w:val="-18"/>
        </w:rPr>
        <w:t> </w:t>
      </w:r>
      <w:r>
        <w:rPr>
          <w:color w:val="231F20"/>
        </w:rPr>
        <w:t>приступ</w:t>
      </w:r>
      <w:r>
        <w:rPr>
          <w:color w:val="231F20"/>
          <w:spacing w:val="-18"/>
        </w:rPr>
        <w:t> </w:t>
      </w:r>
      <w:r>
        <w:rPr>
          <w:color w:val="231F20"/>
        </w:rPr>
        <w:t>пољопривредним</w:t>
      </w:r>
      <w:r>
        <w:rPr>
          <w:color w:val="231F20"/>
          <w:spacing w:val="-18"/>
        </w:rPr>
        <w:t> </w:t>
      </w:r>
      <w:r>
        <w:rPr>
          <w:color w:val="231F20"/>
        </w:rPr>
        <w:t>парцелама,</w:t>
      </w:r>
      <w:r>
        <w:rPr>
          <w:color w:val="231F20"/>
          <w:spacing w:val="-18"/>
        </w:rPr>
        <w:t> </w:t>
      </w:r>
      <w:r>
        <w:rPr>
          <w:color w:val="231F20"/>
        </w:rPr>
        <w:t>изискује</w:t>
      </w:r>
      <w:r>
        <w:rPr>
          <w:color w:val="231F20"/>
          <w:spacing w:val="-18"/>
        </w:rPr>
        <w:t> </w:t>
      </w:r>
      <w:r>
        <w:rPr>
          <w:color w:val="231F20"/>
          <w:spacing w:val="-2"/>
        </w:rPr>
        <w:t>коришћење</w:t>
      </w:r>
      <w:r>
        <w:rPr>
          <w:color w:val="231F20"/>
        </w:rPr>
        <w:t> алтернативних,</w:t>
      </w:r>
      <w:r>
        <w:rPr>
          <w:color w:val="231F20"/>
          <w:spacing w:val="-13"/>
        </w:rPr>
        <w:t> </w:t>
      </w:r>
      <w:r>
        <w:rPr>
          <w:color w:val="231F20"/>
        </w:rPr>
        <w:t>често</w:t>
      </w:r>
      <w:r>
        <w:rPr>
          <w:color w:val="231F20"/>
          <w:spacing w:val="-13"/>
        </w:rPr>
        <w:t> </w:t>
      </w:r>
      <w:r>
        <w:rPr>
          <w:color w:val="231F20"/>
        </w:rPr>
        <w:t>дужих</w:t>
      </w:r>
      <w:r>
        <w:rPr>
          <w:color w:val="231F20"/>
          <w:spacing w:val="-13"/>
        </w:rPr>
        <w:t> </w:t>
      </w:r>
      <w:r>
        <w:rPr>
          <w:color w:val="231F20"/>
        </w:rPr>
        <w:t>праваца</w:t>
      </w:r>
      <w:r>
        <w:rPr>
          <w:color w:val="231F20"/>
          <w:spacing w:val="-13"/>
        </w:rPr>
        <w:t> </w:t>
      </w:r>
      <w:r>
        <w:rPr>
          <w:color w:val="231F20"/>
        </w:rPr>
        <w:t>до</w:t>
      </w:r>
      <w:r>
        <w:rPr>
          <w:color w:val="231F20"/>
          <w:spacing w:val="-13"/>
        </w:rPr>
        <w:t> </w:t>
      </w:r>
      <w:r>
        <w:rPr>
          <w:color w:val="231F20"/>
          <w:spacing w:val="-3"/>
        </w:rPr>
        <w:t>школа,</w:t>
      </w:r>
      <w:r>
        <w:rPr>
          <w:color w:val="231F20"/>
          <w:spacing w:val="-13"/>
        </w:rPr>
        <w:t> </w:t>
      </w:r>
      <w:r>
        <w:rPr>
          <w:color w:val="231F20"/>
        </w:rPr>
        <w:t>других</w:t>
      </w:r>
      <w:r>
        <w:rPr>
          <w:color w:val="231F20"/>
          <w:spacing w:val="-13"/>
        </w:rPr>
        <w:t> </w:t>
      </w:r>
      <w:r>
        <w:rPr>
          <w:color w:val="231F20"/>
        </w:rPr>
        <w:t>насеља,</w:t>
      </w:r>
      <w:r>
        <w:rPr>
          <w:color w:val="231F20"/>
          <w:spacing w:val="-13"/>
        </w:rPr>
        <w:t> </w:t>
      </w:r>
      <w:r>
        <w:rPr>
          <w:color w:val="231F20"/>
        </w:rPr>
        <w:t>итд. У</w:t>
      </w:r>
      <w:r>
        <w:rPr>
          <w:color w:val="231F20"/>
          <w:spacing w:val="26"/>
        </w:rPr>
        <w:t> </w:t>
      </w:r>
      <w:r>
        <w:rPr>
          <w:color w:val="231F20"/>
        </w:rPr>
        <w:t>циљу</w:t>
      </w:r>
      <w:r>
        <w:rPr>
          <w:color w:val="231F20"/>
          <w:spacing w:val="26"/>
        </w:rPr>
        <w:t> </w:t>
      </w:r>
      <w:r>
        <w:rPr>
          <w:color w:val="231F20"/>
        </w:rPr>
        <w:t>остваривања</w:t>
      </w:r>
      <w:r>
        <w:rPr>
          <w:color w:val="231F20"/>
          <w:spacing w:val="26"/>
        </w:rPr>
        <w:t> </w:t>
      </w:r>
      <w:r>
        <w:rPr>
          <w:color w:val="231F20"/>
        </w:rPr>
        <w:t>планских</w:t>
      </w:r>
      <w:r>
        <w:rPr>
          <w:color w:val="231F20"/>
          <w:spacing w:val="26"/>
        </w:rPr>
        <w:t> </w:t>
      </w:r>
      <w:r>
        <w:rPr>
          <w:color w:val="231F20"/>
        </w:rPr>
        <w:t>пропозиција</w:t>
      </w:r>
      <w:r>
        <w:rPr>
          <w:color w:val="231F20"/>
          <w:spacing w:val="26"/>
        </w:rPr>
        <w:t> </w:t>
      </w:r>
      <w:r>
        <w:rPr>
          <w:color w:val="231F20"/>
        </w:rPr>
        <w:t>о</w:t>
      </w:r>
      <w:r>
        <w:rPr>
          <w:color w:val="231F20"/>
          <w:spacing w:val="26"/>
        </w:rPr>
        <w:t> </w:t>
      </w:r>
      <w:r>
        <w:rPr>
          <w:color w:val="231F20"/>
        </w:rPr>
        <w:t>намени</w:t>
      </w:r>
      <w:r>
        <w:rPr>
          <w:color w:val="231F20"/>
          <w:spacing w:val="26"/>
        </w:rPr>
        <w:t> </w:t>
      </w:r>
      <w:r>
        <w:rPr>
          <w:color w:val="231F20"/>
        </w:rPr>
        <w:t>про- стора неопходно је преиспитати </w:t>
      </w:r>
      <w:r>
        <w:rPr>
          <w:color w:val="231F20"/>
          <w:spacing w:val="-3"/>
        </w:rPr>
        <w:t>законске </w:t>
      </w:r>
      <w:r>
        <w:rPr>
          <w:color w:val="231F20"/>
        </w:rPr>
        <w:t>одредбе</w:t>
      </w:r>
      <w:r>
        <w:rPr>
          <w:color w:val="231F20"/>
          <w:spacing w:val="-5"/>
        </w:rPr>
        <w:t> </w:t>
      </w:r>
      <w:r>
        <w:rPr>
          <w:color w:val="231F20"/>
        </w:rPr>
        <w:t>и</w:t>
      </w:r>
      <w:r>
        <w:rPr>
          <w:color w:val="231F20"/>
          <w:spacing w:val="-2"/>
        </w:rPr>
        <w:t> </w:t>
      </w:r>
      <w:r>
        <w:rPr>
          <w:color w:val="231F20"/>
        </w:rPr>
        <w:t>поједностави- ти</w:t>
      </w:r>
      <w:r>
        <w:rPr>
          <w:color w:val="231F20"/>
          <w:spacing w:val="15"/>
        </w:rPr>
        <w:t> </w:t>
      </w:r>
      <w:r>
        <w:rPr>
          <w:color w:val="231F20"/>
        </w:rPr>
        <w:t>процедуре</w:t>
      </w:r>
      <w:r>
        <w:rPr>
          <w:color w:val="231F20"/>
          <w:spacing w:val="15"/>
        </w:rPr>
        <w:t> </w:t>
      </w:r>
      <w:r>
        <w:rPr>
          <w:color w:val="231F20"/>
        </w:rPr>
        <w:t>за</w:t>
      </w:r>
      <w:r>
        <w:rPr>
          <w:color w:val="231F20"/>
          <w:spacing w:val="15"/>
        </w:rPr>
        <w:t> </w:t>
      </w:r>
      <w:r>
        <w:rPr>
          <w:color w:val="231F20"/>
        </w:rPr>
        <w:t>прибављање</w:t>
      </w:r>
      <w:r>
        <w:rPr>
          <w:color w:val="231F20"/>
          <w:spacing w:val="15"/>
        </w:rPr>
        <w:t> </w:t>
      </w:r>
      <w:r>
        <w:rPr>
          <w:color w:val="231F20"/>
        </w:rPr>
        <w:t>земљишта</w:t>
      </w:r>
      <w:r>
        <w:rPr>
          <w:color w:val="231F20"/>
          <w:spacing w:val="15"/>
        </w:rPr>
        <w:t> </w:t>
      </w:r>
      <w:r>
        <w:rPr>
          <w:color w:val="231F20"/>
        </w:rPr>
        <w:t>и</w:t>
      </w:r>
      <w:r>
        <w:rPr>
          <w:color w:val="231F20"/>
          <w:spacing w:val="15"/>
        </w:rPr>
        <w:t> </w:t>
      </w:r>
      <w:r>
        <w:rPr>
          <w:color w:val="231F20"/>
        </w:rPr>
        <w:t>других</w:t>
      </w:r>
      <w:r>
        <w:rPr>
          <w:color w:val="231F20"/>
          <w:spacing w:val="15"/>
        </w:rPr>
        <w:t> </w:t>
      </w:r>
      <w:r>
        <w:rPr>
          <w:color w:val="231F20"/>
        </w:rPr>
        <w:t>непокретности за потребе пресељења. Било би корисно формирати</w:t>
      </w:r>
      <w:r>
        <w:rPr>
          <w:color w:val="231F20"/>
          <w:spacing w:val="0"/>
        </w:rPr>
        <w:t> </w:t>
      </w:r>
      <w:r>
        <w:rPr>
          <w:color w:val="231F20"/>
        </w:rPr>
        <w:t>базу података о</w:t>
      </w:r>
      <w:r>
        <w:rPr>
          <w:color w:val="231F20"/>
          <w:spacing w:val="12"/>
        </w:rPr>
        <w:t> </w:t>
      </w:r>
      <w:r>
        <w:rPr>
          <w:color w:val="231F20"/>
        </w:rPr>
        <w:t>пољопривредном</w:t>
      </w:r>
      <w:r>
        <w:rPr>
          <w:color w:val="231F20"/>
          <w:spacing w:val="12"/>
        </w:rPr>
        <w:t> </w:t>
      </w:r>
      <w:r>
        <w:rPr>
          <w:color w:val="231F20"/>
        </w:rPr>
        <w:t>земљишту</w:t>
      </w:r>
      <w:r>
        <w:rPr>
          <w:color w:val="231F20"/>
          <w:spacing w:val="12"/>
        </w:rPr>
        <w:t> </w:t>
      </w:r>
      <w:r>
        <w:rPr>
          <w:color w:val="231F20"/>
        </w:rPr>
        <w:t>и</w:t>
      </w:r>
      <w:r>
        <w:rPr>
          <w:color w:val="231F20"/>
          <w:spacing w:val="12"/>
        </w:rPr>
        <w:t> </w:t>
      </w:r>
      <w:r>
        <w:rPr>
          <w:color w:val="231F20"/>
        </w:rPr>
        <w:t>другим</w:t>
      </w:r>
      <w:r>
        <w:rPr>
          <w:color w:val="231F20"/>
          <w:spacing w:val="12"/>
        </w:rPr>
        <w:t> </w:t>
      </w:r>
      <w:r>
        <w:rPr>
          <w:color w:val="231F20"/>
        </w:rPr>
        <w:t>непокретностима</w:t>
      </w:r>
      <w:r>
        <w:rPr>
          <w:color w:val="231F20"/>
          <w:spacing w:val="12"/>
        </w:rPr>
        <w:t> </w:t>
      </w:r>
      <w:r>
        <w:rPr>
          <w:color w:val="231F20"/>
          <w:spacing w:val="-3"/>
        </w:rPr>
        <w:t>које</w:t>
      </w:r>
      <w:r>
        <w:rPr>
          <w:color w:val="231F20"/>
          <w:spacing w:val="12"/>
        </w:rPr>
        <w:t> </w:t>
      </w:r>
      <w:r>
        <w:rPr>
          <w:color w:val="231F20"/>
        </w:rPr>
        <w:t>се </w:t>
      </w:r>
      <w:r>
        <w:rPr>
          <w:color w:val="231F20"/>
          <w:spacing w:val="-4"/>
        </w:rPr>
        <w:t>нуде </w:t>
      </w:r>
      <w:r>
        <w:rPr>
          <w:color w:val="231F20"/>
        </w:rPr>
        <w:t>на </w:t>
      </w:r>
      <w:r>
        <w:rPr>
          <w:color w:val="231F20"/>
          <w:spacing w:val="-4"/>
        </w:rPr>
        <w:t>продају, </w:t>
      </w:r>
      <w:r>
        <w:rPr>
          <w:color w:val="231F20"/>
        </w:rPr>
        <w:t>локацији, површини, </w:t>
      </w:r>
      <w:r>
        <w:rPr>
          <w:color w:val="231F20"/>
          <w:spacing w:val="-3"/>
        </w:rPr>
        <w:t>бонитету,</w:t>
      </w:r>
      <w:r>
        <w:rPr>
          <w:color w:val="231F20"/>
          <w:spacing w:val="23"/>
        </w:rPr>
        <w:t> </w:t>
      </w:r>
      <w:r>
        <w:rPr>
          <w:color w:val="231F20"/>
        </w:rPr>
        <w:t>својинском</w:t>
      </w:r>
      <w:r>
        <w:rPr>
          <w:color w:val="231F20"/>
          <w:spacing w:val="2"/>
        </w:rPr>
        <w:t> </w:t>
      </w:r>
      <w:r>
        <w:rPr>
          <w:color w:val="231F20"/>
        </w:rPr>
        <w:t>стату- </w:t>
      </w:r>
      <w:r>
        <w:rPr>
          <w:color w:val="231F20"/>
          <w:spacing w:val="-7"/>
        </w:rPr>
        <w:t>су, </w:t>
      </w:r>
      <w:r>
        <w:rPr>
          <w:color w:val="231F20"/>
        </w:rPr>
        <w:t>власницима, начину коришћења, ценама земљишта.</w:t>
      </w:r>
      <w:r>
        <w:rPr>
          <w:color w:val="231F20"/>
          <w:spacing w:val="13"/>
        </w:rPr>
        <w:t> </w:t>
      </w:r>
      <w:r>
        <w:rPr>
          <w:color w:val="231F20"/>
        </w:rPr>
        <w:t>Таква</w:t>
      </w:r>
      <w:r>
        <w:rPr>
          <w:color w:val="231F20"/>
          <w:spacing w:val="6"/>
        </w:rPr>
        <w:t> </w:t>
      </w:r>
      <w:r>
        <w:rPr>
          <w:color w:val="231F20"/>
        </w:rPr>
        <w:t>ин- формациона основа је </w:t>
      </w:r>
      <w:r>
        <w:rPr>
          <w:color w:val="231F20"/>
          <w:spacing w:val="-2"/>
        </w:rPr>
        <w:t>неопходна </w:t>
      </w:r>
      <w:r>
        <w:rPr>
          <w:color w:val="231F20"/>
          <w:spacing w:val="-4"/>
        </w:rPr>
        <w:t>како </w:t>
      </w:r>
      <w:r>
        <w:rPr>
          <w:color w:val="231F20"/>
        </w:rPr>
        <w:t>за планерске</w:t>
      </w:r>
      <w:r>
        <w:rPr>
          <w:color w:val="231F20"/>
          <w:spacing w:val="10"/>
        </w:rPr>
        <w:t> </w:t>
      </w:r>
      <w:r>
        <w:rPr>
          <w:color w:val="231F20"/>
        </w:rPr>
        <w:t>службе</w:t>
      </w:r>
      <w:r>
        <w:rPr>
          <w:color w:val="231F20"/>
          <w:spacing w:val="18"/>
        </w:rPr>
        <w:t> </w:t>
      </w:r>
      <w:r>
        <w:rPr>
          <w:color w:val="231F20"/>
        </w:rPr>
        <w:t>ради утврђивање локација насељавања (израда</w:t>
      </w:r>
      <w:r>
        <w:rPr>
          <w:color w:val="231F20"/>
          <w:spacing w:val="20"/>
        </w:rPr>
        <w:t> </w:t>
      </w:r>
      <w:r>
        <w:rPr>
          <w:color w:val="231F20"/>
        </w:rPr>
        <w:t>планских</w:t>
      </w:r>
      <w:r>
        <w:rPr>
          <w:color w:val="231F20"/>
          <w:spacing w:val="15"/>
        </w:rPr>
        <w:t> </w:t>
      </w:r>
      <w:r>
        <w:rPr>
          <w:color w:val="231F20"/>
        </w:rPr>
        <w:t>докумената), </w:t>
      </w:r>
      <w:r>
        <w:rPr>
          <w:color w:val="231F20"/>
          <w:spacing w:val="-3"/>
        </w:rPr>
        <w:t>тако</w:t>
      </w:r>
      <w:r>
        <w:rPr>
          <w:color w:val="231F20"/>
          <w:spacing w:val="-7"/>
        </w:rPr>
        <w:t> </w:t>
      </w:r>
      <w:r>
        <w:rPr>
          <w:color w:val="231F20"/>
        </w:rPr>
        <w:t>и</w:t>
      </w:r>
      <w:r>
        <w:rPr>
          <w:color w:val="231F20"/>
          <w:spacing w:val="-7"/>
        </w:rPr>
        <w:t> </w:t>
      </w:r>
      <w:r>
        <w:rPr>
          <w:color w:val="231F20"/>
        </w:rPr>
        <w:t>за</w:t>
      </w:r>
      <w:r>
        <w:rPr>
          <w:color w:val="231F20"/>
          <w:spacing w:val="-7"/>
        </w:rPr>
        <w:t> </w:t>
      </w:r>
      <w:r>
        <w:rPr>
          <w:color w:val="231F20"/>
        </w:rPr>
        <w:t>експроприсана</w:t>
      </w:r>
      <w:r>
        <w:rPr>
          <w:color w:val="231F20"/>
          <w:spacing w:val="-7"/>
        </w:rPr>
        <w:t> </w:t>
      </w:r>
      <w:r>
        <w:rPr>
          <w:color w:val="231F20"/>
        </w:rPr>
        <w:t>домаћинства,</w:t>
      </w:r>
      <w:r>
        <w:rPr>
          <w:color w:val="231F20"/>
          <w:spacing w:val="-7"/>
        </w:rPr>
        <w:t> </w:t>
      </w:r>
      <w:r>
        <w:rPr>
          <w:color w:val="231F20"/>
        </w:rPr>
        <w:t>ради</w:t>
      </w:r>
      <w:r>
        <w:rPr>
          <w:color w:val="231F20"/>
          <w:spacing w:val="-7"/>
        </w:rPr>
        <w:t> </w:t>
      </w:r>
      <w:r>
        <w:rPr>
          <w:color w:val="231F20"/>
        </w:rPr>
        <w:t>доношења</w:t>
      </w:r>
      <w:r>
        <w:rPr>
          <w:color w:val="231F20"/>
          <w:spacing w:val="-7"/>
        </w:rPr>
        <w:t> </w:t>
      </w:r>
      <w:r>
        <w:rPr>
          <w:color w:val="231F20"/>
        </w:rPr>
        <w:t>одлуке</w:t>
      </w:r>
      <w:r>
        <w:rPr>
          <w:color w:val="231F20"/>
          <w:spacing w:val="-7"/>
        </w:rPr>
        <w:t> </w:t>
      </w:r>
      <w:r>
        <w:rPr>
          <w:color w:val="231F20"/>
        </w:rPr>
        <w:t>о</w:t>
      </w:r>
      <w:r>
        <w:rPr>
          <w:color w:val="231F20"/>
          <w:spacing w:val="-7"/>
        </w:rPr>
        <w:t> </w:t>
      </w:r>
      <w:r>
        <w:rPr>
          <w:color w:val="231F20"/>
        </w:rPr>
        <w:t>зо-</w:t>
      </w:r>
    </w:p>
    <w:p>
      <w:pPr>
        <w:pStyle w:val="BodyText"/>
        <w:spacing w:line="189" w:lineRule="exact"/>
        <w:ind w:left="242"/>
        <w:jc w:val="left"/>
      </w:pPr>
      <w:r>
        <w:rPr>
          <w:color w:val="231F20"/>
        </w:rPr>
        <w:t>ни насељавања, условима изградње објеката и друго.</w:t>
      </w:r>
    </w:p>
    <w:p>
      <w:pPr>
        <w:pStyle w:val="BodyText"/>
        <w:spacing w:before="156"/>
        <w:ind w:left="1877"/>
        <w:jc w:val="left"/>
      </w:pPr>
      <w:r>
        <w:rPr>
          <w:color w:val="231F20"/>
        </w:rPr>
        <w:t>Модалитети пресељења</w:t>
      </w:r>
    </w:p>
    <w:p>
      <w:pPr>
        <w:pStyle w:val="BodyText"/>
        <w:spacing w:before="1"/>
        <w:ind w:left="0"/>
        <w:jc w:val="left"/>
        <w:rPr>
          <w:sz w:val="17"/>
        </w:rPr>
      </w:pPr>
    </w:p>
    <w:p>
      <w:pPr>
        <w:pStyle w:val="BodyText"/>
        <w:spacing w:line="230" w:lineRule="auto"/>
        <w:ind w:left="241" w:right="128" w:firstLine="397"/>
      </w:pPr>
      <w:r>
        <w:rPr>
          <w:color w:val="231F20"/>
        </w:rPr>
        <w:t>Досадашња истраживања и планска пракса указују да је по- требно дефинисати модалитете пресељења становништва и на- сеља у циљу ефикасније имплементације планских решења, као   и заштите интереса локалног становништва. Примењују се два основна облика пресељења: 1. самостално/спонтано и 2. органи- зовано.</w:t>
      </w:r>
    </w:p>
    <w:p>
      <w:pPr>
        <w:spacing w:after="0" w:line="230" w:lineRule="auto"/>
        <w:sectPr>
          <w:pgSz w:w="12480" w:h="15690"/>
          <w:pgMar w:top="120" w:bottom="280" w:left="680" w:right="720"/>
          <w:cols w:num="2" w:equalWidth="0">
            <w:col w:w="5557" w:space="40"/>
            <w:col w:w="5483"/>
          </w:cols>
        </w:sectPr>
      </w:pPr>
    </w:p>
    <w:p>
      <w:pPr>
        <w:pStyle w:val="ListParagraph"/>
        <w:numPr>
          <w:ilvl w:val="0"/>
          <w:numId w:val="34"/>
        </w:numPr>
        <w:tabs>
          <w:tab w:pos="790" w:val="left" w:leader="none"/>
        </w:tabs>
        <w:spacing w:line="228" w:lineRule="auto" w:before="76" w:after="0"/>
        <w:ind w:left="170" w:right="38" w:firstLine="397"/>
        <w:jc w:val="both"/>
        <w:rPr>
          <w:sz w:val="18"/>
        </w:rPr>
      </w:pPr>
      <w:r>
        <w:rPr/>
        <w:pict>
          <v:line style="position:absolute;mso-position-horizontal-relative:page;mso-position-vertical-relative:page;z-index:2920" from="304.724396pt,11.942451pt" to="304.724396pt,748.950451pt" stroked="true" strokeweight=".6pt" strokecolor="#231f20">
            <v:stroke dashstyle="solid"/>
            <w10:wrap type="none"/>
          </v:line>
        </w:pict>
      </w:r>
      <w:r>
        <w:rPr>
          <w:color w:val="231F20"/>
          <w:sz w:val="18"/>
        </w:rPr>
        <w:t>Самостално/неорганизовано пресељење. </w:t>
      </w:r>
      <w:r>
        <w:rPr>
          <w:color w:val="231F20"/>
          <w:spacing w:val="-3"/>
          <w:sz w:val="18"/>
        </w:rPr>
        <w:t>Експроприсаним домаћинствима </w:t>
      </w:r>
      <w:r>
        <w:rPr>
          <w:color w:val="231F20"/>
          <w:sz w:val="18"/>
        </w:rPr>
        <w:t>исплаћује се накнада у новцу за </w:t>
      </w:r>
      <w:r>
        <w:rPr>
          <w:color w:val="231F20"/>
          <w:spacing w:val="-3"/>
          <w:sz w:val="18"/>
        </w:rPr>
        <w:t>пољопривредно </w:t>
      </w:r>
      <w:r>
        <w:rPr>
          <w:color w:val="231F20"/>
          <w:sz w:val="18"/>
        </w:rPr>
        <w:t>земљиште и за </w:t>
      </w:r>
      <w:r>
        <w:rPr>
          <w:color w:val="231F20"/>
          <w:spacing w:val="-3"/>
          <w:sz w:val="18"/>
        </w:rPr>
        <w:t>објекте домаћинства. Ова </w:t>
      </w:r>
      <w:r>
        <w:rPr>
          <w:color w:val="231F20"/>
          <w:sz w:val="18"/>
        </w:rPr>
        <w:t>опција </w:t>
      </w:r>
      <w:r>
        <w:rPr>
          <w:color w:val="231F20"/>
          <w:spacing w:val="-3"/>
          <w:sz w:val="18"/>
        </w:rPr>
        <w:t>изискује </w:t>
      </w:r>
      <w:r>
        <w:rPr>
          <w:color w:val="231F20"/>
          <w:sz w:val="18"/>
        </w:rPr>
        <w:t>најмање ангажмана </w:t>
      </w:r>
      <w:r>
        <w:rPr>
          <w:color w:val="231F20"/>
          <w:spacing w:val="-4"/>
          <w:sz w:val="18"/>
        </w:rPr>
        <w:t>од </w:t>
      </w:r>
      <w:r>
        <w:rPr>
          <w:color w:val="231F20"/>
          <w:sz w:val="18"/>
        </w:rPr>
        <w:t>стране </w:t>
      </w:r>
      <w:r>
        <w:rPr>
          <w:color w:val="231F20"/>
          <w:spacing w:val="-4"/>
          <w:sz w:val="18"/>
        </w:rPr>
        <w:t>корисника </w:t>
      </w:r>
      <w:r>
        <w:rPr>
          <w:color w:val="231F20"/>
          <w:spacing w:val="-3"/>
          <w:sz w:val="18"/>
        </w:rPr>
        <w:t>експропријације. </w:t>
      </w:r>
      <w:r>
        <w:rPr>
          <w:color w:val="231F20"/>
          <w:sz w:val="18"/>
        </w:rPr>
        <w:t>Известан број до- </w:t>
      </w:r>
      <w:r>
        <w:rPr>
          <w:color w:val="231F20"/>
          <w:spacing w:val="-3"/>
          <w:sz w:val="18"/>
        </w:rPr>
        <w:t>маћинстава </w:t>
      </w:r>
      <w:r>
        <w:rPr>
          <w:color w:val="231F20"/>
          <w:sz w:val="18"/>
        </w:rPr>
        <w:t>се </w:t>
      </w:r>
      <w:r>
        <w:rPr>
          <w:color w:val="231F20"/>
          <w:spacing w:val="-3"/>
          <w:sz w:val="18"/>
        </w:rPr>
        <w:t>опредељује </w:t>
      </w:r>
      <w:r>
        <w:rPr>
          <w:color w:val="231F20"/>
          <w:sz w:val="18"/>
        </w:rPr>
        <w:t>за </w:t>
      </w:r>
      <w:r>
        <w:rPr>
          <w:color w:val="231F20"/>
          <w:spacing w:val="-4"/>
          <w:sz w:val="18"/>
        </w:rPr>
        <w:t>ову </w:t>
      </w:r>
      <w:r>
        <w:rPr>
          <w:color w:val="231F20"/>
          <w:sz w:val="18"/>
        </w:rPr>
        <w:t>опцију због </w:t>
      </w:r>
      <w:r>
        <w:rPr>
          <w:color w:val="231F20"/>
          <w:spacing w:val="-3"/>
          <w:sz w:val="18"/>
        </w:rPr>
        <w:t>тога што: </w:t>
      </w:r>
      <w:r>
        <w:rPr>
          <w:color w:val="231F20"/>
          <w:sz w:val="18"/>
        </w:rPr>
        <w:t>1) намера- </w:t>
      </w:r>
      <w:r>
        <w:rPr>
          <w:color w:val="231F20"/>
          <w:spacing w:val="-3"/>
          <w:sz w:val="18"/>
        </w:rPr>
        <w:t>вају </w:t>
      </w:r>
      <w:r>
        <w:rPr>
          <w:color w:val="231F20"/>
          <w:sz w:val="18"/>
        </w:rPr>
        <w:t>да се преселе у </w:t>
      </w:r>
      <w:r>
        <w:rPr>
          <w:color w:val="231F20"/>
          <w:spacing w:val="-4"/>
          <w:sz w:val="18"/>
        </w:rPr>
        <w:t>неко од </w:t>
      </w:r>
      <w:r>
        <w:rPr>
          <w:color w:val="231F20"/>
          <w:sz w:val="18"/>
        </w:rPr>
        <w:t>градских насеља </w:t>
      </w:r>
      <w:r>
        <w:rPr>
          <w:color w:val="231F20"/>
          <w:spacing w:val="-3"/>
          <w:sz w:val="18"/>
        </w:rPr>
        <w:t>(куповина окућнице </w:t>
      </w:r>
      <w:r>
        <w:rPr>
          <w:color w:val="231F20"/>
          <w:sz w:val="18"/>
        </w:rPr>
        <w:t>и изградња</w:t>
      </w:r>
      <w:r>
        <w:rPr>
          <w:color w:val="231F20"/>
          <w:spacing w:val="-7"/>
          <w:sz w:val="18"/>
        </w:rPr>
        <w:t> </w:t>
      </w:r>
      <w:r>
        <w:rPr>
          <w:color w:val="231F20"/>
          <w:sz w:val="18"/>
        </w:rPr>
        <w:t>објекта</w:t>
      </w:r>
      <w:r>
        <w:rPr>
          <w:color w:val="231F20"/>
          <w:spacing w:val="-7"/>
          <w:sz w:val="18"/>
        </w:rPr>
        <w:t> </w:t>
      </w:r>
      <w:r>
        <w:rPr>
          <w:color w:val="231F20"/>
          <w:sz w:val="18"/>
        </w:rPr>
        <w:t>у</w:t>
      </w:r>
      <w:r>
        <w:rPr>
          <w:color w:val="231F20"/>
          <w:spacing w:val="-7"/>
          <w:sz w:val="18"/>
        </w:rPr>
        <w:t> </w:t>
      </w:r>
      <w:r>
        <w:rPr>
          <w:color w:val="231F20"/>
          <w:sz w:val="18"/>
        </w:rPr>
        <w:t>сопственој</w:t>
      </w:r>
      <w:r>
        <w:rPr>
          <w:color w:val="231F20"/>
          <w:spacing w:val="-7"/>
          <w:sz w:val="18"/>
        </w:rPr>
        <w:t> </w:t>
      </w:r>
      <w:r>
        <w:rPr>
          <w:color w:val="231F20"/>
          <w:sz w:val="18"/>
        </w:rPr>
        <w:t>режији);</w:t>
      </w:r>
      <w:r>
        <w:rPr>
          <w:color w:val="231F20"/>
          <w:spacing w:val="-7"/>
          <w:sz w:val="18"/>
        </w:rPr>
        <w:t> </w:t>
      </w:r>
      <w:r>
        <w:rPr>
          <w:color w:val="231F20"/>
          <w:sz w:val="18"/>
        </w:rPr>
        <w:t>2)</w:t>
      </w:r>
      <w:r>
        <w:rPr>
          <w:color w:val="231F20"/>
          <w:spacing w:val="-7"/>
          <w:sz w:val="18"/>
        </w:rPr>
        <w:t> </w:t>
      </w:r>
      <w:r>
        <w:rPr>
          <w:color w:val="231F20"/>
          <w:spacing w:val="-3"/>
          <w:sz w:val="18"/>
        </w:rPr>
        <w:t>новац</w:t>
      </w:r>
      <w:r>
        <w:rPr>
          <w:color w:val="231F20"/>
          <w:spacing w:val="-7"/>
          <w:sz w:val="18"/>
        </w:rPr>
        <w:t> </w:t>
      </w:r>
      <w:r>
        <w:rPr>
          <w:color w:val="231F20"/>
          <w:sz w:val="18"/>
        </w:rPr>
        <w:t>добијен</w:t>
      </w:r>
      <w:r>
        <w:rPr>
          <w:color w:val="231F20"/>
          <w:spacing w:val="-7"/>
          <w:sz w:val="18"/>
        </w:rPr>
        <w:t> </w:t>
      </w:r>
      <w:r>
        <w:rPr>
          <w:color w:val="231F20"/>
          <w:spacing w:val="-4"/>
          <w:sz w:val="18"/>
        </w:rPr>
        <w:t>од</w:t>
      </w:r>
      <w:r>
        <w:rPr>
          <w:color w:val="231F20"/>
          <w:spacing w:val="-7"/>
          <w:sz w:val="18"/>
        </w:rPr>
        <w:t> </w:t>
      </w:r>
      <w:r>
        <w:rPr>
          <w:color w:val="231F20"/>
          <w:spacing w:val="-3"/>
          <w:sz w:val="18"/>
        </w:rPr>
        <w:t>експро- </w:t>
      </w:r>
      <w:r>
        <w:rPr>
          <w:color w:val="231F20"/>
          <w:sz w:val="18"/>
        </w:rPr>
        <w:t>пријације</w:t>
      </w:r>
      <w:r>
        <w:rPr>
          <w:color w:val="231F20"/>
          <w:spacing w:val="-6"/>
          <w:sz w:val="18"/>
        </w:rPr>
        <w:t> </w:t>
      </w:r>
      <w:r>
        <w:rPr>
          <w:color w:val="231F20"/>
          <w:sz w:val="18"/>
        </w:rPr>
        <w:t>неће</w:t>
      </w:r>
      <w:r>
        <w:rPr>
          <w:color w:val="231F20"/>
          <w:spacing w:val="-6"/>
          <w:sz w:val="18"/>
        </w:rPr>
        <w:t> </w:t>
      </w:r>
      <w:r>
        <w:rPr>
          <w:color w:val="231F20"/>
          <w:spacing w:val="-4"/>
          <w:sz w:val="18"/>
        </w:rPr>
        <w:t>улагати</w:t>
      </w:r>
      <w:r>
        <w:rPr>
          <w:color w:val="231F20"/>
          <w:spacing w:val="-6"/>
          <w:sz w:val="18"/>
        </w:rPr>
        <w:t> </w:t>
      </w:r>
      <w:r>
        <w:rPr>
          <w:color w:val="231F20"/>
          <w:sz w:val="18"/>
        </w:rPr>
        <w:t>у</w:t>
      </w:r>
      <w:r>
        <w:rPr>
          <w:color w:val="231F20"/>
          <w:spacing w:val="-6"/>
          <w:sz w:val="18"/>
        </w:rPr>
        <w:t> </w:t>
      </w:r>
      <w:r>
        <w:rPr>
          <w:color w:val="231F20"/>
          <w:spacing w:val="-3"/>
          <w:sz w:val="18"/>
        </w:rPr>
        <w:t>куповину</w:t>
      </w:r>
      <w:r>
        <w:rPr>
          <w:color w:val="231F20"/>
          <w:spacing w:val="-6"/>
          <w:sz w:val="18"/>
        </w:rPr>
        <w:t> </w:t>
      </w:r>
      <w:r>
        <w:rPr>
          <w:color w:val="231F20"/>
          <w:spacing w:val="-3"/>
          <w:sz w:val="18"/>
        </w:rPr>
        <w:t>грађевинске</w:t>
      </w:r>
      <w:r>
        <w:rPr>
          <w:color w:val="231F20"/>
          <w:spacing w:val="-6"/>
          <w:sz w:val="18"/>
        </w:rPr>
        <w:t> </w:t>
      </w:r>
      <w:r>
        <w:rPr>
          <w:color w:val="231F20"/>
          <w:sz w:val="18"/>
        </w:rPr>
        <w:t>парцеле</w:t>
      </w:r>
      <w:r>
        <w:rPr>
          <w:color w:val="231F20"/>
          <w:spacing w:val="-6"/>
          <w:sz w:val="18"/>
        </w:rPr>
        <w:t> </w:t>
      </w:r>
      <w:r>
        <w:rPr>
          <w:color w:val="231F20"/>
          <w:sz w:val="18"/>
        </w:rPr>
        <w:t>и</w:t>
      </w:r>
      <w:r>
        <w:rPr>
          <w:color w:val="231F20"/>
          <w:spacing w:val="-6"/>
          <w:sz w:val="18"/>
        </w:rPr>
        <w:t> </w:t>
      </w:r>
      <w:r>
        <w:rPr>
          <w:color w:val="231F20"/>
          <w:sz w:val="18"/>
        </w:rPr>
        <w:t>изградњу зграде; или 3) ће </w:t>
      </w:r>
      <w:r>
        <w:rPr>
          <w:color w:val="231F20"/>
          <w:spacing w:val="-3"/>
          <w:sz w:val="18"/>
        </w:rPr>
        <w:t>нову кућу </w:t>
      </w:r>
      <w:r>
        <w:rPr>
          <w:color w:val="231F20"/>
          <w:sz w:val="18"/>
        </w:rPr>
        <w:t>изградити на </w:t>
      </w:r>
      <w:r>
        <w:rPr>
          <w:color w:val="231F20"/>
          <w:spacing w:val="-3"/>
          <w:sz w:val="18"/>
        </w:rPr>
        <w:t>пољопривредном </w:t>
      </w:r>
      <w:r>
        <w:rPr>
          <w:color w:val="231F20"/>
          <w:sz w:val="18"/>
        </w:rPr>
        <w:t>земљи- </w:t>
      </w:r>
      <w:r>
        <w:rPr>
          <w:color w:val="231F20"/>
          <w:spacing w:val="-3"/>
          <w:sz w:val="18"/>
        </w:rPr>
        <w:t>шту </w:t>
      </w:r>
      <w:r>
        <w:rPr>
          <w:color w:val="231F20"/>
          <w:spacing w:val="-4"/>
          <w:sz w:val="18"/>
        </w:rPr>
        <w:t>које </w:t>
      </w:r>
      <w:r>
        <w:rPr>
          <w:color w:val="231F20"/>
          <w:sz w:val="18"/>
        </w:rPr>
        <w:t>се </w:t>
      </w:r>
      <w:r>
        <w:rPr>
          <w:color w:val="231F20"/>
          <w:spacing w:val="-7"/>
          <w:sz w:val="18"/>
        </w:rPr>
        <w:t>буде </w:t>
      </w:r>
      <w:r>
        <w:rPr>
          <w:color w:val="231F20"/>
          <w:spacing w:val="-4"/>
          <w:sz w:val="18"/>
        </w:rPr>
        <w:t>могло </w:t>
      </w:r>
      <w:r>
        <w:rPr>
          <w:color w:val="231F20"/>
          <w:sz w:val="18"/>
        </w:rPr>
        <w:t>набавити у </w:t>
      </w:r>
      <w:r>
        <w:rPr>
          <w:color w:val="231F20"/>
          <w:spacing w:val="-3"/>
          <w:sz w:val="18"/>
        </w:rPr>
        <w:t>слободном </w:t>
      </w:r>
      <w:r>
        <w:rPr>
          <w:color w:val="231F20"/>
          <w:spacing w:val="-5"/>
          <w:sz w:val="18"/>
        </w:rPr>
        <w:t>промету. </w:t>
      </w:r>
      <w:r>
        <w:rPr>
          <w:color w:val="231F20"/>
          <w:spacing w:val="-3"/>
          <w:sz w:val="18"/>
        </w:rPr>
        <w:t>Овај начин </w:t>
      </w:r>
      <w:r>
        <w:rPr>
          <w:color w:val="231F20"/>
          <w:sz w:val="18"/>
        </w:rPr>
        <w:t>пресељења</w:t>
      </w:r>
      <w:r>
        <w:rPr>
          <w:color w:val="231F20"/>
          <w:spacing w:val="-11"/>
          <w:sz w:val="18"/>
        </w:rPr>
        <w:t> </w:t>
      </w:r>
      <w:r>
        <w:rPr>
          <w:color w:val="231F20"/>
          <w:sz w:val="18"/>
        </w:rPr>
        <w:t>носи</w:t>
      </w:r>
      <w:r>
        <w:rPr>
          <w:color w:val="231F20"/>
          <w:spacing w:val="-11"/>
          <w:sz w:val="18"/>
        </w:rPr>
        <w:t> </w:t>
      </w:r>
      <w:r>
        <w:rPr>
          <w:color w:val="231F20"/>
          <w:spacing w:val="-3"/>
          <w:sz w:val="18"/>
        </w:rPr>
        <w:t>одређени</w:t>
      </w:r>
      <w:r>
        <w:rPr>
          <w:color w:val="231F20"/>
          <w:spacing w:val="-11"/>
          <w:sz w:val="18"/>
        </w:rPr>
        <w:t> </w:t>
      </w:r>
      <w:r>
        <w:rPr>
          <w:color w:val="231F20"/>
          <w:sz w:val="18"/>
        </w:rPr>
        <w:t>број</w:t>
      </w:r>
      <w:r>
        <w:rPr>
          <w:color w:val="231F20"/>
          <w:spacing w:val="-11"/>
          <w:sz w:val="18"/>
        </w:rPr>
        <w:t> </w:t>
      </w:r>
      <w:r>
        <w:rPr>
          <w:color w:val="231F20"/>
          <w:sz w:val="18"/>
        </w:rPr>
        <w:t>потенцијално</w:t>
      </w:r>
      <w:r>
        <w:rPr>
          <w:color w:val="231F20"/>
          <w:spacing w:val="-11"/>
          <w:sz w:val="18"/>
        </w:rPr>
        <w:t> </w:t>
      </w:r>
      <w:r>
        <w:rPr>
          <w:color w:val="231F20"/>
          <w:sz w:val="18"/>
        </w:rPr>
        <w:t>штетних</w:t>
      </w:r>
      <w:r>
        <w:rPr>
          <w:color w:val="231F20"/>
          <w:spacing w:val="-11"/>
          <w:sz w:val="18"/>
        </w:rPr>
        <w:t> </w:t>
      </w:r>
      <w:r>
        <w:rPr>
          <w:color w:val="231F20"/>
          <w:sz w:val="18"/>
        </w:rPr>
        <w:t>последица:</w:t>
      </w:r>
    </w:p>
    <w:p>
      <w:pPr>
        <w:pStyle w:val="BodyText"/>
        <w:spacing w:line="228" w:lineRule="auto" w:before="9"/>
        <w:ind w:right="38" w:firstLine="396"/>
      </w:pPr>
      <w:r>
        <w:rPr>
          <w:color w:val="231F20"/>
          <w:w w:val="66"/>
        </w:rPr>
        <w:t> </w:t>
      </w:r>
      <w:r>
        <w:rPr>
          <w:color w:val="231F20"/>
        </w:rPr>
        <w:t>– </w:t>
      </w:r>
      <w:r>
        <w:rPr>
          <w:color w:val="231F20"/>
          <w:spacing w:val="-4"/>
        </w:rPr>
        <w:t>интензивирање спонтане изградње </w:t>
      </w:r>
      <w:r>
        <w:rPr>
          <w:color w:val="231F20"/>
        </w:rPr>
        <w:t>на </w:t>
      </w:r>
      <w:r>
        <w:rPr>
          <w:color w:val="231F20"/>
          <w:spacing w:val="-4"/>
        </w:rPr>
        <w:t>урбанистички </w:t>
      </w:r>
      <w:r>
        <w:rPr>
          <w:color w:val="231F20"/>
          <w:spacing w:val="-5"/>
        </w:rPr>
        <w:t>неуређе- </w:t>
      </w:r>
      <w:r>
        <w:rPr>
          <w:color w:val="231F20"/>
          <w:spacing w:val="-3"/>
        </w:rPr>
        <w:t>ним</w:t>
      </w:r>
      <w:r>
        <w:rPr>
          <w:color w:val="231F20"/>
          <w:spacing w:val="-8"/>
        </w:rPr>
        <w:t> </w:t>
      </w:r>
      <w:r>
        <w:rPr>
          <w:color w:val="231F20"/>
        </w:rPr>
        <w:t>и</w:t>
      </w:r>
      <w:r>
        <w:rPr>
          <w:color w:val="231F20"/>
          <w:spacing w:val="-9"/>
        </w:rPr>
        <w:t> </w:t>
      </w:r>
      <w:r>
        <w:rPr>
          <w:color w:val="231F20"/>
          <w:spacing w:val="-5"/>
        </w:rPr>
        <w:t>комунално</w:t>
      </w:r>
      <w:r>
        <w:rPr>
          <w:color w:val="231F20"/>
          <w:spacing w:val="-8"/>
        </w:rPr>
        <w:t> </w:t>
      </w:r>
      <w:r>
        <w:rPr>
          <w:color w:val="231F20"/>
          <w:spacing w:val="-4"/>
        </w:rPr>
        <w:t>неопремљеним</w:t>
      </w:r>
      <w:r>
        <w:rPr>
          <w:color w:val="231F20"/>
          <w:spacing w:val="-8"/>
        </w:rPr>
        <w:t> </w:t>
      </w:r>
      <w:r>
        <w:rPr>
          <w:color w:val="231F20"/>
          <w:spacing w:val="-4"/>
        </w:rPr>
        <w:t>теренима,</w:t>
      </w:r>
      <w:r>
        <w:rPr>
          <w:color w:val="231F20"/>
          <w:spacing w:val="-8"/>
        </w:rPr>
        <w:t> </w:t>
      </w:r>
      <w:r>
        <w:rPr>
          <w:color w:val="231F20"/>
        </w:rPr>
        <w:t>за</w:t>
      </w:r>
      <w:r>
        <w:rPr>
          <w:color w:val="231F20"/>
          <w:spacing w:val="-8"/>
        </w:rPr>
        <w:t> </w:t>
      </w:r>
      <w:r>
        <w:rPr>
          <w:color w:val="231F20"/>
          <w:spacing w:val="-6"/>
        </w:rPr>
        <w:t>које</w:t>
      </w:r>
      <w:r>
        <w:rPr>
          <w:color w:val="231F20"/>
          <w:spacing w:val="-8"/>
        </w:rPr>
        <w:t> </w:t>
      </w:r>
      <w:r>
        <w:rPr>
          <w:color w:val="231F20"/>
        </w:rPr>
        <w:t>не</w:t>
      </w:r>
      <w:r>
        <w:rPr>
          <w:color w:val="231F20"/>
          <w:spacing w:val="-8"/>
        </w:rPr>
        <w:t> </w:t>
      </w:r>
      <w:r>
        <w:rPr>
          <w:color w:val="231F20"/>
          <w:spacing w:val="-4"/>
        </w:rPr>
        <w:t>постоје</w:t>
      </w:r>
      <w:r>
        <w:rPr>
          <w:color w:val="231F20"/>
          <w:spacing w:val="-8"/>
        </w:rPr>
        <w:t> </w:t>
      </w:r>
      <w:r>
        <w:rPr>
          <w:color w:val="231F20"/>
          <w:spacing w:val="-4"/>
        </w:rPr>
        <w:t>урбани- стички</w:t>
      </w:r>
      <w:r>
        <w:rPr>
          <w:color w:val="231F20"/>
          <w:spacing w:val="-8"/>
        </w:rPr>
        <w:t> </w:t>
      </w:r>
      <w:r>
        <w:rPr>
          <w:color w:val="231F20"/>
          <w:spacing w:val="-4"/>
        </w:rPr>
        <w:t>планови</w:t>
      </w:r>
      <w:r>
        <w:rPr>
          <w:color w:val="231F20"/>
          <w:spacing w:val="-8"/>
        </w:rPr>
        <w:t> </w:t>
      </w:r>
      <w:r>
        <w:rPr>
          <w:color w:val="231F20"/>
        </w:rPr>
        <w:t>и</w:t>
      </w:r>
      <w:r>
        <w:rPr>
          <w:color w:val="231F20"/>
          <w:spacing w:val="-8"/>
        </w:rPr>
        <w:t> </w:t>
      </w:r>
      <w:r>
        <w:rPr>
          <w:color w:val="231F20"/>
          <w:spacing w:val="-5"/>
        </w:rPr>
        <w:t>који,</w:t>
      </w:r>
      <w:r>
        <w:rPr>
          <w:color w:val="231F20"/>
          <w:spacing w:val="-8"/>
        </w:rPr>
        <w:t> </w:t>
      </w:r>
      <w:r>
        <w:rPr>
          <w:color w:val="231F20"/>
          <w:spacing w:val="-4"/>
        </w:rPr>
        <w:t>најчешће,</w:t>
      </w:r>
      <w:r>
        <w:rPr>
          <w:color w:val="231F20"/>
          <w:spacing w:val="-8"/>
        </w:rPr>
        <w:t> </w:t>
      </w:r>
      <w:r>
        <w:rPr>
          <w:color w:val="231F20"/>
          <w:spacing w:val="-4"/>
        </w:rPr>
        <w:t>нису</w:t>
      </w:r>
      <w:r>
        <w:rPr>
          <w:color w:val="231F20"/>
          <w:spacing w:val="-8"/>
        </w:rPr>
        <w:t> </w:t>
      </w:r>
      <w:r>
        <w:rPr>
          <w:color w:val="231F20"/>
        </w:rPr>
        <w:t>ни</w:t>
      </w:r>
      <w:r>
        <w:rPr>
          <w:color w:val="231F20"/>
          <w:spacing w:val="-8"/>
        </w:rPr>
        <w:t> </w:t>
      </w:r>
      <w:r>
        <w:rPr>
          <w:color w:val="231F20"/>
          <w:spacing w:val="-4"/>
        </w:rPr>
        <w:t>предвиђени</w:t>
      </w:r>
      <w:r>
        <w:rPr>
          <w:color w:val="231F20"/>
          <w:spacing w:val="-8"/>
        </w:rPr>
        <w:t> </w:t>
      </w:r>
      <w:r>
        <w:rPr>
          <w:color w:val="231F20"/>
        </w:rPr>
        <w:t>за</w:t>
      </w:r>
      <w:r>
        <w:rPr>
          <w:color w:val="231F20"/>
          <w:spacing w:val="-8"/>
        </w:rPr>
        <w:t> </w:t>
      </w:r>
      <w:r>
        <w:rPr>
          <w:color w:val="231F20"/>
          <w:spacing w:val="-4"/>
        </w:rPr>
        <w:t>изградњу;</w:t>
      </w:r>
    </w:p>
    <w:p>
      <w:pPr>
        <w:pStyle w:val="BodyText"/>
        <w:spacing w:line="228" w:lineRule="auto" w:before="3"/>
        <w:ind w:left="171" w:right="38" w:firstLine="396"/>
      </w:pPr>
      <w:r>
        <w:rPr>
          <w:color w:val="231F20"/>
          <w:w w:val="66"/>
        </w:rPr>
        <w:t> </w:t>
      </w:r>
      <w:r>
        <w:rPr>
          <w:color w:val="231F20"/>
        </w:rPr>
        <w:t>–</w:t>
      </w:r>
      <w:r>
        <w:rPr>
          <w:color w:val="231F20"/>
          <w:spacing w:val="-14"/>
        </w:rPr>
        <w:t> </w:t>
      </w:r>
      <w:r>
        <w:rPr>
          <w:color w:val="231F20"/>
        </w:rPr>
        <w:t>диспергована</w:t>
      </w:r>
      <w:r>
        <w:rPr>
          <w:color w:val="231F20"/>
          <w:spacing w:val="-14"/>
        </w:rPr>
        <w:t> </w:t>
      </w:r>
      <w:r>
        <w:rPr>
          <w:color w:val="231F20"/>
        </w:rPr>
        <w:t>изградња</w:t>
      </w:r>
      <w:r>
        <w:rPr>
          <w:color w:val="231F20"/>
          <w:spacing w:val="-14"/>
        </w:rPr>
        <w:t> </w:t>
      </w:r>
      <w:r>
        <w:rPr>
          <w:color w:val="231F20"/>
        </w:rPr>
        <w:t>нових</w:t>
      </w:r>
      <w:r>
        <w:rPr>
          <w:color w:val="231F20"/>
          <w:spacing w:val="-14"/>
        </w:rPr>
        <w:t> </w:t>
      </w:r>
      <w:r>
        <w:rPr>
          <w:color w:val="231F20"/>
        </w:rPr>
        <w:t>стамбених</w:t>
      </w:r>
      <w:r>
        <w:rPr>
          <w:color w:val="231F20"/>
          <w:spacing w:val="-14"/>
        </w:rPr>
        <w:t> </w:t>
      </w:r>
      <w:r>
        <w:rPr>
          <w:color w:val="231F20"/>
        </w:rPr>
        <w:t>објеката</w:t>
      </w:r>
      <w:r>
        <w:rPr>
          <w:color w:val="231F20"/>
          <w:spacing w:val="-14"/>
        </w:rPr>
        <w:t> </w:t>
      </w:r>
      <w:r>
        <w:rPr>
          <w:color w:val="231F20"/>
        </w:rPr>
        <w:t>и</w:t>
      </w:r>
      <w:r>
        <w:rPr>
          <w:color w:val="231F20"/>
          <w:spacing w:val="-14"/>
        </w:rPr>
        <w:t> </w:t>
      </w:r>
      <w:r>
        <w:rPr>
          <w:color w:val="231F20"/>
        </w:rPr>
        <w:t>окућни- ца, </w:t>
      </w:r>
      <w:r>
        <w:rPr>
          <w:color w:val="231F20"/>
          <w:spacing w:val="-4"/>
        </w:rPr>
        <w:t>будући </w:t>
      </w:r>
      <w:r>
        <w:rPr>
          <w:color w:val="231F20"/>
        </w:rPr>
        <w:t>да ће експроприсани власници </w:t>
      </w:r>
      <w:r>
        <w:rPr>
          <w:color w:val="231F20"/>
          <w:spacing w:val="-3"/>
        </w:rPr>
        <w:t>куповати </w:t>
      </w:r>
      <w:r>
        <w:rPr>
          <w:color w:val="231F20"/>
        </w:rPr>
        <w:t>ново</w:t>
      </w:r>
      <w:r>
        <w:rPr>
          <w:color w:val="231F20"/>
          <w:spacing w:val="-20"/>
        </w:rPr>
        <w:t> </w:t>
      </w:r>
      <w:r>
        <w:rPr>
          <w:color w:val="231F20"/>
        </w:rPr>
        <w:t>пољопри- вредно земљиште на локацијама </w:t>
      </w:r>
      <w:r>
        <w:rPr>
          <w:color w:val="231F20"/>
          <w:spacing w:val="-4"/>
        </w:rPr>
        <w:t>где </w:t>
      </w:r>
      <w:r>
        <w:rPr>
          <w:color w:val="231F20"/>
        </w:rPr>
        <w:t>цене </w:t>
      </w:r>
      <w:r>
        <w:rPr>
          <w:color w:val="231F20"/>
          <w:spacing w:val="-6"/>
        </w:rPr>
        <w:t>буду </w:t>
      </w:r>
      <w:r>
        <w:rPr>
          <w:color w:val="231F20"/>
        </w:rPr>
        <w:t>повољне и</w:t>
      </w:r>
      <w:r>
        <w:rPr>
          <w:color w:val="231F20"/>
          <w:spacing w:val="-19"/>
        </w:rPr>
        <w:t> </w:t>
      </w:r>
      <w:r>
        <w:rPr>
          <w:color w:val="231F20"/>
        </w:rPr>
        <w:t>сразмер- не висини добијене накнаде, извесно је да ће таква нова изградња бити без урбанистичке и грађевинске дозволе и на </w:t>
      </w:r>
      <w:r>
        <w:rPr>
          <w:color w:val="231F20"/>
          <w:spacing w:val="-3"/>
        </w:rPr>
        <w:t>комунално </w:t>
      </w:r>
      <w:r>
        <w:rPr>
          <w:color w:val="231F20"/>
        </w:rPr>
        <w:t>нео- премљеним</w:t>
      </w:r>
      <w:r>
        <w:rPr>
          <w:color w:val="231F20"/>
          <w:spacing w:val="-8"/>
        </w:rPr>
        <w:t> </w:t>
      </w:r>
      <w:r>
        <w:rPr>
          <w:color w:val="231F20"/>
        </w:rPr>
        <w:t>подручјима;</w:t>
      </w:r>
      <w:r>
        <w:rPr>
          <w:color w:val="231F20"/>
          <w:spacing w:val="-8"/>
        </w:rPr>
        <w:t> </w:t>
      </w:r>
      <w:r>
        <w:rPr>
          <w:color w:val="231F20"/>
        </w:rPr>
        <w:t>такав</w:t>
      </w:r>
      <w:r>
        <w:rPr>
          <w:color w:val="231F20"/>
          <w:spacing w:val="-8"/>
        </w:rPr>
        <w:t> </w:t>
      </w:r>
      <w:r>
        <w:rPr>
          <w:color w:val="231F20"/>
          <w:spacing w:val="-3"/>
        </w:rPr>
        <w:t>начин</w:t>
      </w:r>
      <w:r>
        <w:rPr>
          <w:color w:val="231F20"/>
          <w:spacing w:val="-8"/>
        </w:rPr>
        <w:t> </w:t>
      </w:r>
      <w:r>
        <w:rPr>
          <w:color w:val="231F20"/>
        </w:rPr>
        <w:t>изградње</w:t>
      </w:r>
      <w:r>
        <w:rPr>
          <w:color w:val="231F20"/>
          <w:spacing w:val="-8"/>
        </w:rPr>
        <w:t> </w:t>
      </w:r>
      <w:r>
        <w:rPr>
          <w:color w:val="231F20"/>
        </w:rPr>
        <w:t>и</w:t>
      </w:r>
      <w:r>
        <w:rPr>
          <w:color w:val="231F20"/>
          <w:spacing w:val="-8"/>
        </w:rPr>
        <w:t> </w:t>
      </w:r>
      <w:r>
        <w:rPr>
          <w:color w:val="231F20"/>
        </w:rPr>
        <w:t>насељавања</w:t>
      </w:r>
      <w:r>
        <w:rPr>
          <w:color w:val="231F20"/>
          <w:spacing w:val="-8"/>
        </w:rPr>
        <w:t> </w:t>
      </w:r>
      <w:r>
        <w:rPr>
          <w:color w:val="231F20"/>
        </w:rPr>
        <w:t>је</w:t>
      </w:r>
      <w:r>
        <w:rPr>
          <w:color w:val="231F20"/>
          <w:spacing w:val="-8"/>
        </w:rPr>
        <w:t> </w:t>
      </w:r>
      <w:r>
        <w:rPr>
          <w:color w:val="231F20"/>
        </w:rPr>
        <w:t>не- повољан</w:t>
      </w:r>
      <w:r>
        <w:rPr>
          <w:color w:val="231F20"/>
          <w:spacing w:val="-11"/>
        </w:rPr>
        <w:t> </w:t>
      </w:r>
      <w:r>
        <w:rPr>
          <w:color w:val="231F20"/>
        </w:rPr>
        <w:t>и</w:t>
      </w:r>
      <w:r>
        <w:rPr>
          <w:color w:val="231F20"/>
          <w:spacing w:val="-11"/>
        </w:rPr>
        <w:t> </w:t>
      </w:r>
      <w:r>
        <w:rPr>
          <w:color w:val="231F20"/>
        </w:rPr>
        <w:t>за</w:t>
      </w:r>
      <w:r>
        <w:rPr>
          <w:color w:val="231F20"/>
          <w:spacing w:val="-11"/>
        </w:rPr>
        <w:t> </w:t>
      </w:r>
      <w:r>
        <w:rPr>
          <w:color w:val="231F20"/>
        </w:rPr>
        <w:t>остваривање</w:t>
      </w:r>
      <w:r>
        <w:rPr>
          <w:color w:val="231F20"/>
          <w:spacing w:val="-11"/>
        </w:rPr>
        <w:t> </w:t>
      </w:r>
      <w:r>
        <w:rPr>
          <w:color w:val="231F20"/>
        </w:rPr>
        <w:t>минималног</w:t>
      </w:r>
      <w:r>
        <w:rPr>
          <w:color w:val="231F20"/>
          <w:spacing w:val="-11"/>
        </w:rPr>
        <w:t> </w:t>
      </w:r>
      <w:r>
        <w:rPr>
          <w:color w:val="231F20"/>
          <w:spacing w:val="-3"/>
        </w:rPr>
        <w:t>комуналног</w:t>
      </w:r>
      <w:r>
        <w:rPr>
          <w:color w:val="231F20"/>
          <w:spacing w:val="-11"/>
        </w:rPr>
        <w:t> </w:t>
      </w:r>
      <w:r>
        <w:rPr>
          <w:color w:val="231F20"/>
        </w:rPr>
        <w:t>опремања</w:t>
      </w:r>
      <w:r>
        <w:rPr>
          <w:color w:val="231F20"/>
          <w:spacing w:val="-11"/>
        </w:rPr>
        <w:t> </w:t>
      </w:r>
      <w:r>
        <w:rPr>
          <w:color w:val="231F20"/>
        </w:rPr>
        <w:t>и</w:t>
      </w:r>
      <w:r>
        <w:rPr>
          <w:color w:val="231F20"/>
          <w:spacing w:val="-11"/>
        </w:rPr>
        <w:t> </w:t>
      </w:r>
      <w:r>
        <w:rPr>
          <w:color w:val="231F20"/>
        </w:rPr>
        <w:t>ор- ганизовање јавних служби и других активности и</w:t>
      </w:r>
      <w:r>
        <w:rPr>
          <w:color w:val="231F20"/>
          <w:spacing w:val="-29"/>
        </w:rPr>
        <w:t> </w:t>
      </w:r>
      <w:r>
        <w:rPr>
          <w:color w:val="231F20"/>
        </w:rPr>
        <w:t>услуга;</w:t>
      </w:r>
    </w:p>
    <w:p>
      <w:pPr>
        <w:pStyle w:val="BodyText"/>
        <w:spacing w:line="228" w:lineRule="auto" w:before="6"/>
        <w:ind w:left="171" w:right="38" w:firstLine="396"/>
      </w:pPr>
      <w:r>
        <w:rPr>
          <w:color w:val="231F20"/>
          <w:w w:val="66"/>
        </w:rPr>
        <w:t> </w:t>
      </w:r>
      <w:r>
        <w:rPr>
          <w:color w:val="231F20"/>
        </w:rPr>
        <w:t>– настављање процеса дезаграризације и притисак расеље- них домаћинстава на радна места у градским насељима и</w:t>
      </w:r>
    </w:p>
    <w:p>
      <w:pPr>
        <w:pStyle w:val="BodyText"/>
        <w:spacing w:line="228" w:lineRule="auto" w:before="2"/>
        <w:ind w:left="171" w:right="38" w:firstLine="397"/>
      </w:pPr>
      <w:r>
        <w:rPr>
          <w:color w:val="231F20"/>
          <w:w w:val="66"/>
        </w:rPr>
        <w:t> </w:t>
      </w:r>
      <w:r>
        <w:rPr>
          <w:color w:val="231F20"/>
        </w:rPr>
        <w:t>– повећање активности у сектору сиве економије, због немо- гућности запошљавања у формалном сектору.</w:t>
      </w:r>
    </w:p>
    <w:p>
      <w:pPr>
        <w:pStyle w:val="ListParagraph"/>
        <w:numPr>
          <w:ilvl w:val="0"/>
          <w:numId w:val="34"/>
        </w:numPr>
        <w:tabs>
          <w:tab w:pos="773" w:val="left" w:leader="none"/>
        </w:tabs>
        <w:spacing w:line="228" w:lineRule="auto" w:before="2" w:after="0"/>
        <w:ind w:left="171" w:right="38" w:firstLine="397"/>
        <w:jc w:val="both"/>
        <w:rPr>
          <w:sz w:val="18"/>
        </w:rPr>
      </w:pPr>
      <w:r>
        <w:rPr>
          <w:color w:val="231F20"/>
          <w:sz w:val="18"/>
        </w:rPr>
        <w:t>Организовано пресељење у зоне изграђених/формираних насеља, са обезбеђивањем грађевинске парцеле/окућнице у заме- ну за експроприсано грађевинско земљиште може имати две под- варијанте. 1) Са изградњом стамбеног и помоћних објеката. Ова подваријанта обавезује корисника експропријације да прибави грађевинско земљиште, да га комунално опреми, изгради одгова- рајуће објекте комуналне и социјалне инфраструктуре и изгради стамбене објекте и да </w:t>
      </w:r>
      <w:r>
        <w:rPr>
          <w:color w:val="231F20"/>
          <w:spacing w:val="-3"/>
          <w:sz w:val="18"/>
        </w:rPr>
        <w:t>овако </w:t>
      </w:r>
      <w:r>
        <w:rPr>
          <w:color w:val="231F20"/>
          <w:sz w:val="18"/>
        </w:rPr>
        <w:t>изграђене објекте да у власништво грађанима у замену за њихово земљиште и некретнине. 2) Без из- градње стамбеног објекта. За разлику </w:t>
      </w:r>
      <w:r>
        <w:rPr>
          <w:color w:val="231F20"/>
          <w:spacing w:val="-3"/>
          <w:sz w:val="18"/>
        </w:rPr>
        <w:t>од </w:t>
      </w:r>
      <w:r>
        <w:rPr>
          <w:color w:val="231F20"/>
          <w:sz w:val="18"/>
        </w:rPr>
        <w:t>претходне, ова подвари- јанта је реалнија јер не предвиђа да корисник експропријације ор- ганизује</w:t>
      </w:r>
      <w:r>
        <w:rPr>
          <w:color w:val="231F20"/>
          <w:spacing w:val="-10"/>
          <w:sz w:val="18"/>
        </w:rPr>
        <w:t> </w:t>
      </w:r>
      <w:r>
        <w:rPr>
          <w:color w:val="231F20"/>
          <w:sz w:val="18"/>
        </w:rPr>
        <w:t>изградњу</w:t>
      </w:r>
      <w:r>
        <w:rPr>
          <w:color w:val="231F20"/>
          <w:spacing w:val="-10"/>
          <w:sz w:val="18"/>
        </w:rPr>
        <w:t> </w:t>
      </w:r>
      <w:r>
        <w:rPr>
          <w:color w:val="231F20"/>
          <w:sz w:val="18"/>
        </w:rPr>
        <w:t>нових</w:t>
      </w:r>
      <w:r>
        <w:rPr>
          <w:color w:val="231F20"/>
          <w:spacing w:val="-10"/>
          <w:sz w:val="18"/>
        </w:rPr>
        <w:t> </w:t>
      </w:r>
      <w:r>
        <w:rPr>
          <w:color w:val="231F20"/>
          <w:sz w:val="18"/>
        </w:rPr>
        <w:t>стамбених</w:t>
      </w:r>
      <w:r>
        <w:rPr>
          <w:color w:val="231F20"/>
          <w:spacing w:val="-10"/>
          <w:sz w:val="18"/>
        </w:rPr>
        <w:t> </w:t>
      </w:r>
      <w:r>
        <w:rPr>
          <w:color w:val="231F20"/>
          <w:sz w:val="18"/>
        </w:rPr>
        <w:t>и</w:t>
      </w:r>
      <w:r>
        <w:rPr>
          <w:color w:val="231F20"/>
          <w:spacing w:val="-10"/>
          <w:sz w:val="18"/>
        </w:rPr>
        <w:t> </w:t>
      </w:r>
      <w:r>
        <w:rPr>
          <w:color w:val="231F20"/>
          <w:sz w:val="18"/>
        </w:rPr>
        <w:t>пољопривредних</w:t>
      </w:r>
      <w:r>
        <w:rPr>
          <w:color w:val="231F20"/>
          <w:spacing w:val="-10"/>
          <w:sz w:val="18"/>
        </w:rPr>
        <w:t> </w:t>
      </w:r>
      <w:r>
        <w:rPr>
          <w:color w:val="231F20"/>
          <w:sz w:val="18"/>
        </w:rPr>
        <w:t>објеката</w:t>
      </w:r>
      <w:r>
        <w:rPr>
          <w:color w:val="231F20"/>
          <w:spacing w:val="-10"/>
          <w:sz w:val="18"/>
        </w:rPr>
        <w:t> </w:t>
      </w:r>
      <w:r>
        <w:rPr>
          <w:color w:val="231F20"/>
          <w:sz w:val="18"/>
        </w:rPr>
        <w:t>за пресељена</w:t>
      </w:r>
      <w:r>
        <w:rPr>
          <w:color w:val="231F20"/>
          <w:spacing w:val="-2"/>
          <w:sz w:val="18"/>
        </w:rPr>
        <w:t> </w:t>
      </w:r>
      <w:r>
        <w:rPr>
          <w:color w:val="231F20"/>
          <w:sz w:val="18"/>
        </w:rPr>
        <w:t>домаћинства.</w:t>
      </w:r>
    </w:p>
    <w:p>
      <w:pPr>
        <w:pStyle w:val="BodyText"/>
        <w:spacing w:line="228" w:lineRule="auto" w:before="10"/>
        <w:ind w:left="171" w:right="38" w:firstLine="396"/>
      </w:pPr>
      <w:r>
        <w:rPr>
          <w:color w:val="231F20"/>
        </w:rPr>
        <w:t>Као форма организованог пресељења може се предвидети и понуда парцела за изградњу у оквиру формираних насеља, које експроприсана домаћинства могу купити по тржишним ценама од корисника експропријације.</w:t>
      </w:r>
    </w:p>
    <w:p>
      <w:pPr>
        <w:pStyle w:val="BodyText"/>
        <w:spacing w:line="228" w:lineRule="auto" w:before="4"/>
        <w:ind w:left="171" w:right="38" w:firstLine="396"/>
      </w:pPr>
      <w:r>
        <w:rPr>
          <w:color w:val="231F20"/>
        </w:rPr>
        <w:t>Оваквом понудом уређених/опремљених парцела за изград- њу уважавају се два важна интереса:</w:t>
      </w:r>
    </w:p>
    <w:p>
      <w:pPr>
        <w:pStyle w:val="BodyText"/>
        <w:spacing w:line="228" w:lineRule="auto" w:before="1"/>
        <w:ind w:left="171" w:right="38" w:firstLine="396"/>
      </w:pPr>
      <w:r>
        <w:rPr>
          <w:color w:val="231F20"/>
          <w:w w:val="66"/>
        </w:rPr>
        <w:t> </w:t>
      </w:r>
      <w:r>
        <w:rPr>
          <w:color w:val="231F20"/>
        </w:rPr>
        <w:t>– јавни интерес </w:t>
      </w:r>
      <w:r>
        <w:rPr>
          <w:color w:val="231F20"/>
          <w:spacing w:val="-3"/>
        </w:rPr>
        <w:t>који </w:t>
      </w:r>
      <w:r>
        <w:rPr>
          <w:color w:val="231F20"/>
        </w:rPr>
        <w:t>се </w:t>
      </w:r>
      <w:r>
        <w:rPr>
          <w:color w:val="231F20"/>
          <w:spacing w:val="-3"/>
        </w:rPr>
        <w:t>огледа </w:t>
      </w:r>
      <w:r>
        <w:rPr>
          <w:color w:val="231F20"/>
        </w:rPr>
        <w:t>у организованом пресељавању и смањивању спонтаног и диспергованог насељавања и</w:t>
      </w:r>
    </w:p>
    <w:p>
      <w:pPr>
        <w:pStyle w:val="BodyText"/>
        <w:spacing w:line="228" w:lineRule="auto" w:before="2"/>
        <w:ind w:right="38" w:firstLine="397"/>
      </w:pPr>
      <w:r>
        <w:rPr>
          <w:color w:val="231F20"/>
          <w:w w:val="66"/>
        </w:rPr>
        <w:t> </w:t>
      </w:r>
      <w:r>
        <w:rPr>
          <w:color w:val="231F20"/>
        </w:rPr>
        <w:t>– појединачне интересе експроприсаних домаћинстава да се населе у уређене зоне, са обезбеђеном </w:t>
      </w:r>
      <w:r>
        <w:rPr>
          <w:color w:val="231F20"/>
          <w:spacing w:val="-3"/>
        </w:rPr>
        <w:t>комуналном </w:t>
      </w:r>
      <w:r>
        <w:rPr>
          <w:color w:val="231F20"/>
        </w:rPr>
        <w:t>опремом, фор- мираним јавним службама и знатно бољим квалитетом живљења него што би то био случај када би насељавање било</w:t>
      </w:r>
      <w:r>
        <w:rPr>
          <w:color w:val="231F20"/>
          <w:spacing w:val="-32"/>
        </w:rPr>
        <w:t> </w:t>
      </w:r>
      <w:r>
        <w:rPr>
          <w:color w:val="231F20"/>
        </w:rPr>
        <w:t>неорганизова- но и</w:t>
      </w:r>
      <w:r>
        <w:rPr>
          <w:color w:val="231F20"/>
          <w:spacing w:val="-3"/>
        </w:rPr>
        <w:t> </w:t>
      </w:r>
      <w:r>
        <w:rPr>
          <w:color w:val="231F20"/>
        </w:rPr>
        <w:t>спонтано.</w:t>
      </w:r>
    </w:p>
    <w:p>
      <w:pPr>
        <w:pStyle w:val="BodyText"/>
        <w:spacing w:line="228" w:lineRule="auto" w:before="4"/>
        <w:ind w:right="38" w:firstLine="396"/>
      </w:pPr>
      <w:r>
        <w:rPr>
          <w:color w:val="231F20"/>
        </w:rPr>
        <w:t>Специфичне форме организованог пресељења су: 1) органи- зовано пресељење пољопривредних домаћинстава и 2) програми пресељавања за домаћинства са посебним потребама.</w:t>
      </w:r>
    </w:p>
    <w:p>
      <w:pPr>
        <w:pStyle w:val="BodyText"/>
        <w:spacing w:line="228" w:lineRule="auto" w:before="2"/>
        <w:ind w:right="38" w:firstLine="397"/>
      </w:pPr>
      <w:r>
        <w:rPr>
          <w:color w:val="231F20"/>
        </w:rPr>
        <w:t>Организовано пресељење пољопривредних домаћинстава подразумева могућност обезбеђења пољопривредног земљишта, директном куповином од власника или давањем пољопривредног земљишта у државној својини експроприсаним власницима пољо- привредног земљишта, који намеравају да се и даље баве пољо- привредном производњом. Ова опција подразумева да корисник експропријације благовремено откупи земљиште од претходних власника, или да обезбеди право коришћења пољопривредног зе- мљишта у државној својини.</w:t>
      </w:r>
    </w:p>
    <w:p>
      <w:pPr>
        <w:pStyle w:val="BodyText"/>
        <w:spacing w:line="228" w:lineRule="auto" w:before="8"/>
        <w:ind w:left="171" w:right="38" w:firstLine="396"/>
      </w:pPr>
      <w:r>
        <w:rPr>
          <w:color w:val="231F20"/>
        </w:rPr>
        <w:t>Програми пресељавања за домаћинства са посебним потре- бама подразумевају специфична решења за домаћинства </w:t>
      </w:r>
      <w:r>
        <w:rPr>
          <w:color w:val="231F20"/>
          <w:spacing w:val="-3"/>
        </w:rPr>
        <w:t>која </w:t>
      </w:r>
      <w:r>
        <w:rPr>
          <w:color w:val="231F20"/>
        </w:rPr>
        <w:t>нису способна</w:t>
      </w:r>
      <w:r>
        <w:rPr>
          <w:color w:val="231F20"/>
          <w:spacing w:val="-7"/>
        </w:rPr>
        <w:t> </w:t>
      </w:r>
      <w:r>
        <w:rPr>
          <w:color w:val="231F20"/>
        </w:rPr>
        <w:t>или</w:t>
      </w:r>
      <w:r>
        <w:rPr>
          <w:color w:val="231F20"/>
          <w:spacing w:val="-7"/>
        </w:rPr>
        <w:t> </w:t>
      </w:r>
      <w:r>
        <w:rPr>
          <w:color w:val="231F20"/>
        </w:rPr>
        <w:t>довољно</w:t>
      </w:r>
      <w:r>
        <w:rPr>
          <w:color w:val="231F20"/>
          <w:spacing w:val="-7"/>
        </w:rPr>
        <w:t> </w:t>
      </w:r>
      <w:r>
        <w:rPr>
          <w:color w:val="231F20"/>
        </w:rPr>
        <w:t>припремљена</w:t>
      </w:r>
      <w:r>
        <w:rPr>
          <w:color w:val="231F20"/>
          <w:spacing w:val="-7"/>
        </w:rPr>
        <w:t> </w:t>
      </w:r>
      <w:r>
        <w:rPr>
          <w:color w:val="231F20"/>
        </w:rPr>
        <w:t>да</w:t>
      </w:r>
      <w:r>
        <w:rPr>
          <w:color w:val="231F20"/>
          <w:spacing w:val="-7"/>
        </w:rPr>
        <w:t> </w:t>
      </w:r>
      <w:r>
        <w:rPr>
          <w:color w:val="231F20"/>
        </w:rPr>
        <w:t>сама</w:t>
      </w:r>
      <w:r>
        <w:rPr>
          <w:color w:val="231F20"/>
          <w:spacing w:val="-7"/>
        </w:rPr>
        <w:t> </w:t>
      </w:r>
      <w:r>
        <w:rPr>
          <w:color w:val="231F20"/>
        </w:rPr>
        <w:t>организују</w:t>
      </w:r>
      <w:r>
        <w:rPr>
          <w:color w:val="231F20"/>
          <w:spacing w:val="-7"/>
        </w:rPr>
        <w:t> </w:t>
      </w:r>
      <w:r>
        <w:rPr>
          <w:color w:val="231F20"/>
        </w:rPr>
        <w:t>своје</w:t>
      </w:r>
      <w:r>
        <w:rPr>
          <w:color w:val="231F20"/>
          <w:spacing w:val="-7"/>
        </w:rPr>
        <w:t> </w:t>
      </w:r>
      <w:r>
        <w:rPr>
          <w:color w:val="231F20"/>
        </w:rPr>
        <w:t>пре- сељење и изградњу нове куће. Таквим домаћинствима је могуће понудити различите опције из такозваног Социјалног програма за пресељења домаћинства. На пример, претпоставка је да има ста- рачких домаћинстава (са или без наследника) </w:t>
      </w:r>
      <w:r>
        <w:rPr>
          <w:color w:val="231F20"/>
          <w:spacing w:val="-3"/>
        </w:rPr>
        <w:t>која </w:t>
      </w:r>
      <w:r>
        <w:rPr>
          <w:color w:val="231F20"/>
        </w:rPr>
        <w:t>би прихватила да добију стан у власништву или на доживотно коришћење, или, пак, доживотан смештај у дому за стара лица, или неки други об- лик гарантованог доживотног обезбеђења и старања уз компенза- цију за своју</w:t>
      </w:r>
      <w:r>
        <w:rPr>
          <w:color w:val="231F20"/>
          <w:spacing w:val="-2"/>
        </w:rPr>
        <w:t> </w:t>
      </w:r>
      <w:r>
        <w:rPr>
          <w:color w:val="231F20"/>
          <w:spacing w:val="-3"/>
        </w:rPr>
        <w:t>имовину.</w:t>
      </w:r>
    </w:p>
    <w:p>
      <w:pPr>
        <w:pStyle w:val="BodyText"/>
        <w:spacing w:before="64"/>
        <w:ind w:left="1073"/>
        <w:jc w:val="left"/>
      </w:pPr>
      <w:r>
        <w:rPr/>
        <w:br w:type="column"/>
      </w:r>
      <w:r>
        <w:rPr>
          <w:color w:val="231F20"/>
        </w:rPr>
        <w:t>Заузимање земљишта за потребе рударства</w:t>
      </w:r>
    </w:p>
    <w:p>
      <w:pPr>
        <w:pStyle w:val="BodyText"/>
        <w:spacing w:before="5"/>
        <w:ind w:left="0"/>
        <w:jc w:val="left"/>
        <w:rPr>
          <w:sz w:val="17"/>
        </w:rPr>
      </w:pPr>
    </w:p>
    <w:p>
      <w:pPr>
        <w:pStyle w:val="BodyText"/>
        <w:spacing w:line="235" w:lineRule="auto"/>
        <w:ind w:right="410" w:firstLine="396"/>
      </w:pPr>
      <w:r>
        <w:rPr>
          <w:color w:val="231F20"/>
        </w:rPr>
        <w:t>Рударским радовима и изградњом енергетских и пратећих објеката у претходном периоду заузето је укупно 1795,4 ha. Део ових површина путем рекултивације враћа се пољопривреди и шумарству.</w:t>
      </w:r>
    </w:p>
    <w:p>
      <w:pPr>
        <w:pStyle w:val="BodyText"/>
        <w:spacing w:line="235" w:lineRule="auto"/>
        <w:ind w:right="410" w:firstLine="397"/>
      </w:pPr>
      <w:r>
        <w:rPr>
          <w:color w:val="231F20"/>
        </w:rPr>
        <w:t>У наредном периоду предвиђено је заузимање нових повр- шина првенствено за потребе развоја рударских активности у зо- ни површинског копа „Дрмно”. Предвиђа се да ће до 2015. године бити заузето око 340 ha нових површина, у периоду 2016 – 2022. године око 590 ha, а до краја века копа око 1.180 ha.</w:t>
      </w:r>
    </w:p>
    <w:p>
      <w:pPr>
        <w:pStyle w:val="BodyText"/>
        <w:spacing w:line="197" w:lineRule="exact"/>
        <w:ind w:left="567"/>
        <w:jc w:val="left"/>
      </w:pPr>
      <w:r>
        <w:rPr>
          <w:color w:val="231F20"/>
        </w:rPr>
        <w:t>Евентуална експлоатација западног лигнитског лежишта</w:t>
      </w:r>
    </w:p>
    <w:p>
      <w:pPr>
        <w:pStyle w:val="BodyText"/>
        <w:spacing w:line="235" w:lineRule="auto"/>
        <w:ind w:right="410"/>
      </w:pPr>
      <w:r>
        <w:rPr>
          <w:color w:val="231F20"/>
        </w:rPr>
        <w:t>„Дубравица” условиће заузимање преко 2.000 ha земљишта и пре- сељење (делова) три насеља.</w:t>
      </w:r>
    </w:p>
    <w:p>
      <w:pPr>
        <w:pStyle w:val="BodyText"/>
        <w:spacing w:line="235" w:lineRule="auto"/>
        <w:ind w:right="410" w:firstLine="396"/>
      </w:pPr>
      <w:r>
        <w:rPr>
          <w:color w:val="231F20"/>
        </w:rPr>
        <w:t>Заузимање обрадивог земљишта за потребе рударства у ру- ралним подручјима изазива промене у социоекономским карак- теристикама становништва коме је пољопривреда основно зани- мање. Треба настојати да се део рекултивисаних површина врати ранијим власницима.</w:t>
      </w:r>
    </w:p>
    <w:p>
      <w:pPr>
        <w:pStyle w:val="BodyText"/>
        <w:spacing w:line="404" w:lineRule="exact" w:before="3"/>
        <w:ind w:left="567" w:firstLine="73"/>
        <w:jc w:val="left"/>
      </w:pPr>
      <w:r>
        <w:rPr>
          <w:color w:val="231F20"/>
        </w:rPr>
        <w:t>Измештање инфраструктурних и привредних објеката Измештање саобраћајница и других инфраструктурних си-</w:t>
      </w:r>
    </w:p>
    <w:p>
      <w:pPr>
        <w:pStyle w:val="BodyText"/>
        <w:spacing w:line="158" w:lineRule="exact"/>
        <w:ind w:left="171"/>
        <w:jc w:val="left"/>
      </w:pPr>
      <w:r>
        <w:rPr>
          <w:color w:val="231F20"/>
        </w:rPr>
        <w:t>стема из зоне рударских радова у централном делу басена је најве-</w:t>
      </w:r>
    </w:p>
    <w:p>
      <w:pPr>
        <w:pStyle w:val="BodyText"/>
        <w:spacing w:line="235" w:lineRule="auto" w:before="1"/>
        <w:ind w:left="171" w:right="410"/>
      </w:pPr>
      <w:r>
        <w:rPr>
          <w:color w:val="231F20"/>
        </w:rPr>
        <w:t>ћим делом извршено у претходном периоду. У току је измештање индустријског колосека од железничке станице Стиг до ТЕ „Ко- столац Б”.</w:t>
      </w:r>
    </w:p>
    <w:p>
      <w:pPr>
        <w:pStyle w:val="BodyText"/>
        <w:spacing w:line="235" w:lineRule="auto"/>
        <w:ind w:right="410" w:firstLine="397"/>
      </w:pPr>
      <w:r>
        <w:rPr>
          <w:color w:val="231F20"/>
        </w:rPr>
        <w:t>Потенцијална експлоатација лежишта „Дубравица” условиће реконструкцију инфраструктурних система у том делу Планског подручја.</w:t>
      </w:r>
    </w:p>
    <w:p>
      <w:pPr>
        <w:pStyle w:val="BodyText"/>
        <w:spacing w:line="235" w:lineRule="auto"/>
        <w:ind w:right="410" w:firstLine="396"/>
      </w:pPr>
      <w:r>
        <w:rPr>
          <w:color w:val="231F20"/>
        </w:rPr>
        <w:t>Не предвиђа се измештање значајнијих привредних објека- та до 2022. године. Крајем планског периода може бити угрожена привредна активност газдинства „Храстовача АД ” на доњем Ко- столачком острву.</w:t>
      </w:r>
    </w:p>
    <w:p>
      <w:pPr>
        <w:pStyle w:val="Heading1"/>
        <w:numPr>
          <w:ilvl w:val="1"/>
          <w:numId w:val="34"/>
        </w:numPr>
        <w:tabs>
          <w:tab w:pos="1246" w:val="left" w:leader="none"/>
        </w:tabs>
        <w:spacing w:line="240" w:lineRule="auto" w:before="158" w:after="0"/>
        <w:ind w:left="1245" w:right="0" w:hanging="180"/>
        <w:jc w:val="left"/>
      </w:pPr>
      <w:r>
        <w:rPr>
          <w:color w:val="231F20"/>
        </w:rPr>
        <w:t>Заштита и уређење планског</w:t>
      </w:r>
      <w:r>
        <w:rPr>
          <w:color w:val="231F20"/>
          <w:spacing w:val="-4"/>
        </w:rPr>
        <w:t> </w:t>
      </w:r>
      <w:r>
        <w:rPr>
          <w:color w:val="231F20"/>
        </w:rPr>
        <w:t>подручја</w:t>
      </w:r>
    </w:p>
    <w:p>
      <w:pPr>
        <w:pStyle w:val="ListParagraph"/>
        <w:numPr>
          <w:ilvl w:val="2"/>
          <w:numId w:val="34"/>
        </w:numPr>
        <w:tabs>
          <w:tab w:pos="2190" w:val="left" w:leader="none"/>
        </w:tabs>
        <w:spacing w:line="240" w:lineRule="auto" w:before="165" w:after="0"/>
        <w:ind w:left="2189" w:right="0" w:hanging="315"/>
        <w:jc w:val="left"/>
        <w:rPr>
          <w:i/>
          <w:sz w:val="18"/>
        </w:rPr>
      </w:pPr>
      <w:r>
        <w:rPr>
          <w:i/>
          <w:color w:val="231F20"/>
          <w:sz w:val="18"/>
        </w:rPr>
        <w:t>Животна</w:t>
      </w:r>
      <w:r>
        <w:rPr>
          <w:i/>
          <w:color w:val="231F20"/>
          <w:spacing w:val="-2"/>
          <w:sz w:val="18"/>
        </w:rPr>
        <w:t> </w:t>
      </w:r>
      <w:r>
        <w:rPr>
          <w:i/>
          <w:color w:val="231F20"/>
          <w:sz w:val="18"/>
        </w:rPr>
        <w:t>средина</w:t>
      </w:r>
    </w:p>
    <w:p>
      <w:pPr>
        <w:pStyle w:val="BodyText"/>
        <w:spacing w:before="4"/>
        <w:ind w:left="0"/>
        <w:jc w:val="left"/>
        <w:rPr>
          <w:i/>
          <w:sz w:val="17"/>
        </w:rPr>
      </w:pPr>
    </w:p>
    <w:p>
      <w:pPr>
        <w:pStyle w:val="BodyText"/>
        <w:spacing w:line="235" w:lineRule="auto" w:before="1"/>
        <w:ind w:left="171" w:right="409" w:firstLine="397"/>
      </w:pPr>
      <w:r>
        <w:rPr>
          <w:color w:val="231F20"/>
        </w:rPr>
        <w:t>Планска концепција заштите животне средине заснива се на чињеници да се на Планском подручју налази већи број концен- трисаних, линијских и расутих загађивача који су неравномерно распоређени у простору и који су у конфликту са осетљивим на- менама простора, попут насеља, подземних и површинских вода, пољопривреде, флоре, фауне и другог. Такође, узето је у обзир да планирани развој копова, термоенергетских и других индустриј- ских објеката може да има додатни негативни утицај на животну средину.</w:t>
      </w:r>
    </w:p>
    <w:p>
      <w:pPr>
        <w:pStyle w:val="BodyText"/>
        <w:spacing w:line="235" w:lineRule="auto" w:before="162"/>
        <w:ind w:left="271" w:right="510"/>
        <w:jc w:val="center"/>
      </w:pPr>
      <w:r>
        <w:rPr>
          <w:color w:val="231F20"/>
        </w:rPr>
        <w:t>Просторно планске мере – просторна диференцијација животне средине</w:t>
      </w:r>
    </w:p>
    <w:p>
      <w:pPr>
        <w:pStyle w:val="BodyText"/>
        <w:spacing w:before="4"/>
        <w:ind w:left="0"/>
        <w:jc w:val="left"/>
        <w:rPr>
          <w:sz w:val="17"/>
        </w:rPr>
      </w:pPr>
    </w:p>
    <w:p>
      <w:pPr>
        <w:pStyle w:val="BodyText"/>
        <w:spacing w:line="235" w:lineRule="auto"/>
        <w:ind w:left="171" w:right="409" w:firstLine="397"/>
      </w:pPr>
      <w:r>
        <w:rPr>
          <w:color w:val="231F20"/>
        </w:rPr>
        <w:t>На основу очекиваног стања животне средине и дефиниса- них зона утицаја рударско-енергетског </w:t>
      </w:r>
      <w:r>
        <w:rPr>
          <w:color w:val="231F20"/>
          <w:spacing w:val="-3"/>
        </w:rPr>
        <w:t>комплекса </w:t>
      </w:r>
      <w:r>
        <w:rPr>
          <w:color w:val="231F20"/>
        </w:rPr>
        <w:t>на животну сре- дину предлажу се следећи режими коришћења простора према намени земљишта и критеријумима квалитета животне средине, </w:t>
      </w:r>
      <w:r>
        <w:rPr>
          <w:color w:val="231F20"/>
          <w:spacing w:val="-4"/>
        </w:rPr>
        <w:t>како</w:t>
      </w:r>
      <w:r>
        <w:rPr>
          <w:color w:val="231F20"/>
        </w:rPr>
        <w:t> следи:</w:t>
      </w:r>
    </w:p>
    <w:p>
      <w:pPr>
        <w:pStyle w:val="BodyText"/>
        <w:spacing w:line="235" w:lineRule="auto"/>
        <w:ind w:left="172" w:right="408" w:firstLine="396"/>
      </w:pPr>
      <w:r>
        <w:rPr>
          <w:color w:val="231F20"/>
          <w:w w:val="66"/>
        </w:rPr>
        <w:t> </w:t>
      </w:r>
      <w:r>
        <w:rPr>
          <w:color w:val="231F20"/>
        </w:rPr>
        <w:t>– зона I – подручја загађене и деградиране животне среди- не</w:t>
      </w:r>
      <w:r>
        <w:rPr>
          <w:color w:val="231F20"/>
          <w:spacing w:val="13"/>
        </w:rPr>
        <w:t> </w:t>
      </w:r>
      <w:r>
        <w:rPr>
          <w:color w:val="231F20"/>
        </w:rPr>
        <w:t>(површински</w:t>
      </w:r>
      <w:r>
        <w:rPr>
          <w:color w:val="231F20"/>
          <w:spacing w:val="13"/>
        </w:rPr>
        <w:t> </w:t>
      </w:r>
      <w:r>
        <w:rPr>
          <w:color w:val="231F20"/>
          <w:spacing w:val="-4"/>
        </w:rPr>
        <w:t>коп</w:t>
      </w:r>
      <w:r>
        <w:rPr>
          <w:color w:val="231F20"/>
          <w:spacing w:val="13"/>
        </w:rPr>
        <w:t> </w:t>
      </w:r>
      <w:r>
        <w:rPr>
          <w:color w:val="231F20"/>
        </w:rPr>
        <w:t>„Дрмно”,</w:t>
      </w:r>
      <w:r>
        <w:rPr>
          <w:color w:val="231F20"/>
          <w:spacing w:val="13"/>
        </w:rPr>
        <w:t> </w:t>
      </w:r>
      <w:r>
        <w:rPr>
          <w:color w:val="231F20"/>
        </w:rPr>
        <w:t>kомплекси</w:t>
      </w:r>
      <w:r>
        <w:rPr>
          <w:color w:val="231F20"/>
          <w:spacing w:val="13"/>
        </w:rPr>
        <w:t> </w:t>
      </w:r>
      <w:r>
        <w:rPr>
          <w:color w:val="231F20"/>
        </w:rPr>
        <w:t>ТЕ</w:t>
      </w:r>
      <w:r>
        <w:rPr>
          <w:color w:val="231F20"/>
          <w:spacing w:val="13"/>
        </w:rPr>
        <w:t> </w:t>
      </w:r>
      <w:r>
        <w:rPr>
          <w:color w:val="231F20"/>
        </w:rPr>
        <w:t>„Костолац</w:t>
      </w:r>
      <w:r>
        <w:rPr>
          <w:color w:val="231F20"/>
          <w:spacing w:val="13"/>
        </w:rPr>
        <w:t> </w:t>
      </w:r>
      <w:r>
        <w:rPr>
          <w:color w:val="231F20"/>
        </w:rPr>
        <w:t>А”</w:t>
      </w:r>
      <w:r>
        <w:rPr>
          <w:color w:val="231F20"/>
          <w:spacing w:val="13"/>
        </w:rPr>
        <w:t> </w:t>
      </w:r>
      <w:r>
        <w:rPr>
          <w:color w:val="231F20"/>
        </w:rPr>
        <w:t>и</w:t>
      </w:r>
      <w:r>
        <w:rPr>
          <w:color w:val="231F20"/>
          <w:spacing w:val="13"/>
        </w:rPr>
        <w:t> </w:t>
      </w:r>
      <w:r>
        <w:rPr>
          <w:color w:val="231F20"/>
        </w:rPr>
        <w:t>ТЕ</w:t>
      </w:r>
    </w:p>
    <w:p>
      <w:pPr>
        <w:pStyle w:val="BodyText"/>
        <w:spacing w:line="235" w:lineRule="auto"/>
        <w:ind w:left="172" w:right="408"/>
      </w:pPr>
      <w:r>
        <w:rPr>
          <w:color w:val="231F20"/>
        </w:rPr>
        <w:t>„Костолац Б”, депоније пепела, шљаке и гипса, транспортни </w:t>
      </w:r>
      <w:r>
        <w:rPr>
          <w:color w:val="231F20"/>
          <w:spacing w:val="-4"/>
        </w:rPr>
        <w:t>ко- </w:t>
      </w:r>
      <w:r>
        <w:rPr>
          <w:color w:val="231F20"/>
        </w:rPr>
        <w:t>ридори, итд.): могуће повремено веће прекорачење ГВИ и МДК у водама и </w:t>
      </w:r>
      <w:r>
        <w:rPr>
          <w:color w:val="231F20"/>
          <w:spacing w:val="-3"/>
        </w:rPr>
        <w:t>земљишту, </w:t>
      </w:r>
      <w:r>
        <w:rPr>
          <w:color w:val="231F20"/>
        </w:rPr>
        <w:t>прекомерни ниво </w:t>
      </w:r>
      <w:r>
        <w:rPr>
          <w:color w:val="231F20"/>
          <w:spacing w:val="-3"/>
        </w:rPr>
        <w:t>буке, </w:t>
      </w:r>
      <w:r>
        <w:rPr>
          <w:color w:val="231F20"/>
        </w:rPr>
        <w:t>веће </w:t>
      </w:r>
      <w:r>
        <w:rPr>
          <w:color w:val="231F20"/>
          <w:spacing w:val="-3"/>
        </w:rPr>
        <w:t>количине </w:t>
      </w:r>
      <w:r>
        <w:rPr>
          <w:color w:val="231F20"/>
        </w:rPr>
        <w:t>чврстог отпада; планирају се превентивне техничко-технолошке мере на извору загађења;</w:t>
      </w:r>
    </w:p>
    <w:p>
      <w:pPr>
        <w:pStyle w:val="BodyText"/>
        <w:spacing w:line="235" w:lineRule="auto"/>
        <w:ind w:left="172" w:right="408" w:firstLine="397"/>
      </w:pPr>
      <w:r>
        <w:rPr>
          <w:color w:val="231F20"/>
          <w:w w:val="66"/>
        </w:rPr>
        <w:t> </w:t>
      </w:r>
      <w:r>
        <w:rPr>
          <w:color w:val="231F20"/>
        </w:rPr>
        <w:t>– зона II – подручја угрожене животне средине (Костолац, Костолац – село, Дрмно, Кличевац, Кленовик, Петка, Брадарац и Маљуревац,</w:t>
      </w:r>
      <w:r>
        <w:rPr>
          <w:color w:val="231F20"/>
          <w:spacing w:val="-6"/>
        </w:rPr>
        <w:t> </w:t>
      </w:r>
      <w:r>
        <w:rPr>
          <w:color w:val="231F20"/>
        </w:rPr>
        <w:t>истражна</w:t>
      </w:r>
      <w:r>
        <w:rPr>
          <w:color w:val="231F20"/>
          <w:spacing w:val="-6"/>
        </w:rPr>
        <w:t> </w:t>
      </w:r>
      <w:r>
        <w:rPr>
          <w:color w:val="231F20"/>
        </w:rPr>
        <w:t>поља</w:t>
      </w:r>
      <w:r>
        <w:rPr>
          <w:color w:val="231F20"/>
          <w:spacing w:val="-6"/>
        </w:rPr>
        <w:t> </w:t>
      </w:r>
      <w:r>
        <w:rPr>
          <w:color w:val="231F20"/>
        </w:rPr>
        <w:t>и</w:t>
      </w:r>
      <w:r>
        <w:rPr>
          <w:color w:val="231F20"/>
          <w:spacing w:val="-6"/>
        </w:rPr>
        <w:t> </w:t>
      </w:r>
      <w:r>
        <w:rPr>
          <w:color w:val="231F20"/>
        </w:rPr>
        <w:t>зона</w:t>
      </w:r>
      <w:r>
        <w:rPr>
          <w:color w:val="231F20"/>
          <w:spacing w:val="-6"/>
        </w:rPr>
        <w:t> </w:t>
      </w:r>
      <w:r>
        <w:rPr>
          <w:color w:val="231F20"/>
        </w:rPr>
        <w:t>експлоатације</w:t>
      </w:r>
      <w:r>
        <w:rPr>
          <w:color w:val="231F20"/>
          <w:spacing w:val="-6"/>
        </w:rPr>
        <w:t> </w:t>
      </w:r>
      <w:r>
        <w:rPr>
          <w:color w:val="231F20"/>
        </w:rPr>
        <w:t>нафте</w:t>
      </w:r>
      <w:r>
        <w:rPr>
          <w:color w:val="231F20"/>
          <w:spacing w:val="-6"/>
        </w:rPr>
        <w:t> </w:t>
      </w:r>
      <w:r>
        <w:rPr>
          <w:color w:val="231F20"/>
        </w:rPr>
        <w:t>и</w:t>
      </w:r>
      <w:r>
        <w:rPr>
          <w:color w:val="231F20"/>
          <w:spacing w:val="-6"/>
        </w:rPr>
        <w:t> </w:t>
      </w:r>
      <w:r>
        <w:rPr>
          <w:color w:val="231F20"/>
        </w:rPr>
        <w:t>гаса,</w:t>
      </w:r>
      <w:r>
        <w:rPr>
          <w:color w:val="231F20"/>
          <w:spacing w:val="-6"/>
        </w:rPr>
        <w:t> </w:t>
      </w:r>
      <w:r>
        <w:rPr>
          <w:color w:val="231F20"/>
        </w:rPr>
        <w:t>др- жавни путеви I и II реда, Дунав, В. Морава и Млава, дунавски са- обраћајни, привредни и туристички коридор): могуће повремено мање прекорачење ГВИ и МДК у водама и </w:t>
      </w:r>
      <w:r>
        <w:rPr>
          <w:color w:val="231F20"/>
          <w:spacing w:val="-3"/>
        </w:rPr>
        <w:t>земљишту, </w:t>
      </w:r>
      <w:r>
        <w:rPr>
          <w:color w:val="231F20"/>
        </w:rPr>
        <w:t>повишени ниво </w:t>
      </w:r>
      <w:r>
        <w:rPr>
          <w:color w:val="231F20"/>
          <w:spacing w:val="-3"/>
        </w:rPr>
        <w:t>буке, </w:t>
      </w:r>
      <w:r>
        <w:rPr>
          <w:color w:val="231F20"/>
        </w:rPr>
        <w:t>комунални отпад, али без прекомерног загађивања ра- диоактивним,</w:t>
      </w:r>
      <w:r>
        <w:rPr>
          <w:color w:val="231F20"/>
          <w:spacing w:val="-9"/>
        </w:rPr>
        <w:t> </w:t>
      </w:r>
      <w:r>
        <w:rPr>
          <w:color w:val="231F20"/>
        </w:rPr>
        <w:t>канцерогеним</w:t>
      </w:r>
      <w:r>
        <w:rPr>
          <w:color w:val="231F20"/>
          <w:spacing w:val="-9"/>
        </w:rPr>
        <w:t> </w:t>
      </w:r>
      <w:r>
        <w:rPr>
          <w:color w:val="231F20"/>
        </w:rPr>
        <w:t>и</w:t>
      </w:r>
      <w:r>
        <w:rPr>
          <w:color w:val="231F20"/>
          <w:spacing w:val="-9"/>
        </w:rPr>
        <w:t> </w:t>
      </w:r>
      <w:r>
        <w:rPr>
          <w:color w:val="231F20"/>
        </w:rPr>
        <w:t>мутагеним</w:t>
      </w:r>
      <w:r>
        <w:rPr>
          <w:color w:val="231F20"/>
          <w:spacing w:val="-9"/>
        </w:rPr>
        <w:t> </w:t>
      </w:r>
      <w:r>
        <w:rPr>
          <w:color w:val="231F20"/>
        </w:rPr>
        <w:t>материјама.</w:t>
      </w:r>
      <w:r>
        <w:rPr>
          <w:color w:val="231F20"/>
          <w:spacing w:val="-9"/>
        </w:rPr>
        <w:t> </w:t>
      </w:r>
      <w:r>
        <w:rPr>
          <w:color w:val="231F20"/>
        </w:rPr>
        <w:t>Планске</w:t>
      </w:r>
      <w:r>
        <w:rPr>
          <w:color w:val="231F20"/>
          <w:spacing w:val="-9"/>
        </w:rPr>
        <w:t> </w:t>
      </w:r>
      <w:r>
        <w:rPr>
          <w:color w:val="231F20"/>
        </w:rPr>
        <w:t>ме- ре: контролисани режими коришћења земљишта и техничко-тех- нолошке и организационе мере</w:t>
      </w:r>
      <w:r>
        <w:rPr>
          <w:color w:val="231F20"/>
          <w:spacing w:val="-5"/>
        </w:rPr>
        <w:t> </w:t>
      </w:r>
      <w:r>
        <w:rPr>
          <w:color w:val="231F20"/>
        </w:rPr>
        <w:t>заштите;</w:t>
      </w:r>
    </w:p>
    <w:p>
      <w:pPr>
        <w:spacing w:after="0" w:line="235" w:lineRule="auto"/>
        <w:sectPr>
          <w:pgSz w:w="12480" w:h="15690"/>
          <w:pgMar w:top="120" w:bottom="280" w:left="680" w:right="720"/>
          <w:cols w:num="2" w:equalWidth="0">
            <w:col w:w="5315" w:space="72"/>
            <w:col w:w="5693"/>
          </w:cols>
        </w:sectPr>
      </w:pPr>
    </w:p>
    <w:p>
      <w:pPr>
        <w:pStyle w:val="BodyText"/>
        <w:spacing w:line="232" w:lineRule="auto" w:before="73"/>
        <w:ind w:left="453" w:firstLine="396"/>
      </w:pPr>
      <w:r>
        <w:rPr/>
        <w:pict>
          <v:line style="position:absolute;mso-position-horizontal-relative:page;mso-position-vertical-relative:page;z-index:2944" from="318.897614pt,11.942451pt" to="318.897614pt,748.950451pt" stroked="true" strokeweight=".6pt" strokecolor="#231f20">
            <v:stroke dashstyle="solid"/>
            <w10:wrap type="none"/>
          </v:line>
        </w:pict>
      </w:r>
      <w:r>
        <w:rPr>
          <w:color w:val="231F20"/>
          <w:w w:val="66"/>
        </w:rPr>
        <w:t> </w:t>
      </w:r>
      <w:r>
        <w:rPr>
          <w:color w:val="231F20"/>
        </w:rPr>
        <w:t>– зона III – подручја квалитетне животне средине (сва прео- стала насеља на Планском подручју, шумска подручја, пољопри- вредне, воћарске и виноградарске зоне, подручја са природном деградацијом, ливаде и пашњаци, ловна и риболовна подручја): загађење елемената животне средине у границама дозвољеног (ГВИ, МДК). Планске мере: техничко-технолошке и организаци- оне мере заштите и</w:t>
      </w:r>
    </w:p>
    <w:p>
      <w:pPr>
        <w:pStyle w:val="BodyText"/>
        <w:spacing w:line="232" w:lineRule="auto"/>
        <w:ind w:left="454" w:firstLine="396"/>
      </w:pPr>
      <w:r>
        <w:rPr>
          <w:color w:val="231F20"/>
          <w:w w:val="66"/>
        </w:rPr>
        <w:t> </w:t>
      </w:r>
      <w:r>
        <w:rPr>
          <w:color w:val="231F20"/>
        </w:rPr>
        <w:t>–</w:t>
      </w:r>
      <w:r>
        <w:rPr>
          <w:color w:val="231F20"/>
          <w:spacing w:val="-13"/>
        </w:rPr>
        <w:t> </w:t>
      </w:r>
      <w:r>
        <w:rPr>
          <w:color w:val="231F20"/>
        </w:rPr>
        <w:t>зона</w:t>
      </w:r>
      <w:r>
        <w:rPr>
          <w:color w:val="231F20"/>
          <w:spacing w:val="-14"/>
        </w:rPr>
        <w:t> </w:t>
      </w:r>
      <w:r>
        <w:rPr>
          <w:color w:val="231F20"/>
        </w:rPr>
        <w:t>IV</w:t>
      </w:r>
      <w:r>
        <w:rPr>
          <w:color w:val="231F20"/>
          <w:spacing w:val="6"/>
        </w:rPr>
        <w:t> </w:t>
      </w:r>
      <w:r>
        <w:rPr>
          <w:color w:val="231F20"/>
        </w:rPr>
        <w:t>–</w:t>
      </w:r>
      <w:r>
        <w:rPr>
          <w:color w:val="231F20"/>
          <w:spacing w:val="-13"/>
        </w:rPr>
        <w:t> </w:t>
      </w:r>
      <w:r>
        <w:rPr>
          <w:color w:val="231F20"/>
        </w:rPr>
        <w:t>подручја</w:t>
      </w:r>
      <w:r>
        <w:rPr>
          <w:color w:val="231F20"/>
          <w:spacing w:val="-14"/>
        </w:rPr>
        <w:t> </w:t>
      </w:r>
      <w:r>
        <w:rPr>
          <w:color w:val="231F20"/>
        </w:rPr>
        <w:t>веома</w:t>
      </w:r>
      <w:r>
        <w:rPr>
          <w:color w:val="231F20"/>
          <w:spacing w:val="-14"/>
        </w:rPr>
        <w:t> </w:t>
      </w:r>
      <w:r>
        <w:rPr>
          <w:color w:val="231F20"/>
        </w:rPr>
        <w:t>квалитетне</w:t>
      </w:r>
      <w:r>
        <w:rPr>
          <w:color w:val="231F20"/>
          <w:spacing w:val="-14"/>
        </w:rPr>
        <w:t> </w:t>
      </w:r>
      <w:r>
        <w:rPr>
          <w:color w:val="231F20"/>
        </w:rPr>
        <w:t>животне</w:t>
      </w:r>
      <w:r>
        <w:rPr>
          <w:color w:val="231F20"/>
          <w:spacing w:val="-14"/>
        </w:rPr>
        <w:t> </w:t>
      </w:r>
      <w:r>
        <w:rPr>
          <w:color w:val="231F20"/>
        </w:rPr>
        <w:t>средине</w:t>
      </w:r>
      <w:r>
        <w:rPr>
          <w:color w:val="231F20"/>
          <w:spacing w:val="-14"/>
        </w:rPr>
        <w:t> </w:t>
      </w:r>
      <w:r>
        <w:rPr>
          <w:color w:val="231F20"/>
        </w:rPr>
        <w:t>(под- ручја</w:t>
      </w:r>
      <w:r>
        <w:rPr>
          <w:color w:val="231F20"/>
          <w:spacing w:val="-6"/>
        </w:rPr>
        <w:t> </w:t>
      </w:r>
      <w:r>
        <w:rPr>
          <w:color w:val="231F20"/>
        </w:rPr>
        <w:t>заштићених</w:t>
      </w:r>
      <w:r>
        <w:rPr>
          <w:color w:val="231F20"/>
          <w:spacing w:val="-6"/>
        </w:rPr>
        <w:t> </w:t>
      </w:r>
      <w:r>
        <w:rPr>
          <w:color w:val="231F20"/>
        </w:rPr>
        <w:t>природних</w:t>
      </w:r>
      <w:r>
        <w:rPr>
          <w:color w:val="231F20"/>
          <w:spacing w:val="-6"/>
        </w:rPr>
        <w:t> </w:t>
      </w:r>
      <w:r>
        <w:rPr>
          <w:color w:val="231F20"/>
        </w:rPr>
        <w:t>добара,</w:t>
      </w:r>
      <w:r>
        <w:rPr>
          <w:color w:val="231F20"/>
          <w:spacing w:val="-7"/>
        </w:rPr>
        <w:t> </w:t>
      </w:r>
      <w:r>
        <w:rPr>
          <w:color w:val="231F20"/>
        </w:rPr>
        <w:t>мочварна</w:t>
      </w:r>
      <w:r>
        <w:rPr>
          <w:color w:val="231F20"/>
          <w:spacing w:val="-7"/>
        </w:rPr>
        <w:t> </w:t>
      </w:r>
      <w:r>
        <w:rPr>
          <w:color w:val="231F20"/>
        </w:rPr>
        <w:t>подручја,</w:t>
      </w:r>
      <w:r>
        <w:rPr>
          <w:color w:val="231F20"/>
          <w:spacing w:val="-6"/>
        </w:rPr>
        <w:t> </w:t>
      </w:r>
      <w:r>
        <w:rPr>
          <w:color w:val="231F20"/>
        </w:rPr>
        <w:t>подручја заштићена</w:t>
      </w:r>
      <w:r>
        <w:rPr>
          <w:color w:val="231F20"/>
          <w:spacing w:val="-11"/>
        </w:rPr>
        <w:t> </w:t>
      </w:r>
      <w:r>
        <w:rPr>
          <w:color w:val="231F20"/>
        </w:rPr>
        <w:t>међународним</w:t>
      </w:r>
      <w:r>
        <w:rPr>
          <w:color w:val="231F20"/>
          <w:spacing w:val="-11"/>
        </w:rPr>
        <w:t> </w:t>
      </w:r>
      <w:r>
        <w:rPr>
          <w:color w:val="231F20"/>
        </w:rPr>
        <w:t>конвенцијама</w:t>
      </w:r>
      <w:r>
        <w:rPr>
          <w:color w:val="231F20"/>
          <w:spacing w:val="12"/>
        </w:rPr>
        <w:t> </w:t>
      </w:r>
      <w:r>
        <w:rPr>
          <w:color w:val="231F20"/>
        </w:rPr>
        <w:t>–</w:t>
      </w:r>
      <w:r>
        <w:rPr>
          <w:color w:val="231F20"/>
          <w:spacing w:val="-11"/>
        </w:rPr>
        <w:t> </w:t>
      </w:r>
      <w:r>
        <w:rPr>
          <w:color w:val="231F20"/>
        </w:rPr>
        <w:t>острво</w:t>
      </w:r>
      <w:r>
        <w:rPr>
          <w:color w:val="231F20"/>
          <w:spacing w:val="-11"/>
        </w:rPr>
        <w:t> </w:t>
      </w:r>
      <w:r>
        <w:rPr>
          <w:color w:val="231F20"/>
        </w:rPr>
        <w:t>Жилава</w:t>
      </w:r>
      <w:r>
        <w:rPr>
          <w:color w:val="231F20"/>
          <w:spacing w:val="-11"/>
        </w:rPr>
        <w:t> </w:t>
      </w:r>
      <w:r>
        <w:rPr>
          <w:color w:val="231F20"/>
        </w:rPr>
        <w:t>у</w:t>
      </w:r>
      <w:r>
        <w:rPr>
          <w:color w:val="231F20"/>
          <w:spacing w:val="-11"/>
        </w:rPr>
        <w:t> </w:t>
      </w:r>
      <w:r>
        <w:rPr>
          <w:color w:val="231F20"/>
        </w:rPr>
        <w:t>оквиру</w:t>
      </w:r>
    </w:p>
    <w:p>
      <w:pPr>
        <w:pStyle w:val="BodyText"/>
        <w:spacing w:line="199" w:lineRule="exact"/>
        <w:ind w:left="454"/>
        <w:jc w:val="left"/>
      </w:pPr>
      <w:r>
        <w:rPr>
          <w:color w:val="231F20"/>
        </w:rPr>
        <w:t>„Делиблатске пешчаре”, Бара Шугавица, обала Дунава, Дубровац</w:t>
      </w:r>
    </w:p>
    <w:p>
      <w:pPr>
        <w:pStyle w:val="BodyText"/>
        <w:spacing w:line="232" w:lineRule="auto" w:before="1"/>
        <w:ind w:left="454" w:right="1" w:hanging="1"/>
      </w:pPr>
      <w:r>
        <w:rPr>
          <w:color w:val="231F20"/>
          <w:w w:val="66"/>
        </w:rPr>
        <w:t> </w:t>
      </w:r>
      <w:r>
        <w:rPr>
          <w:color w:val="231F20"/>
        </w:rPr>
        <w:t>–</w:t>
      </w:r>
      <w:r>
        <w:rPr>
          <w:color w:val="231F20"/>
          <w:spacing w:val="-10"/>
        </w:rPr>
        <w:t> </w:t>
      </w:r>
      <w:r>
        <w:rPr>
          <w:color w:val="231F20"/>
        </w:rPr>
        <w:t>Рам,</w:t>
      </w:r>
      <w:r>
        <w:rPr>
          <w:color w:val="231F20"/>
          <w:spacing w:val="-10"/>
        </w:rPr>
        <w:t> </w:t>
      </w:r>
      <w:r>
        <w:rPr>
          <w:color w:val="231F20"/>
          <w:spacing w:val="-3"/>
        </w:rPr>
        <w:t>Лабудово</w:t>
      </w:r>
      <w:r>
        <w:rPr>
          <w:color w:val="231F20"/>
          <w:spacing w:val="-10"/>
        </w:rPr>
        <w:t> </w:t>
      </w:r>
      <w:r>
        <w:rPr>
          <w:color w:val="231F20"/>
        </w:rPr>
        <w:t>окно):</w:t>
      </w:r>
      <w:r>
        <w:rPr>
          <w:color w:val="231F20"/>
          <w:spacing w:val="-10"/>
        </w:rPr>
        <w:t> </w:t>
      </w:r>
      <w:r>
        <w:rPr>
          <w:color w:val="231F20"/>
        </w:rPr>
        <w:t>присутни</w:t>
      </w:r>
      <w:r>
        <w:rPr>
          <w:color w:val="231F20"/>
          <w:spacing w:val="-10"/>
        </w:rPr>
        <w:t> </w:t>
      </w:r>
      <w:r>
        <w:rPr>
          <w:color w:val="231F20"/>
        </w:rPr>
        <w:t>су</w:t>
      </w:r>
      <w:r>
        <w:rPr>
          <w:color w:val="231F20"/>
          <w:spacing w:val="-10"/>
        </w:rPr>
        <w:t> </w:t>
      </w:r>
      <w:r>
        <w:rPr>
          <w:color w:val="231F20"/>
        </w:rPr>
        <w:t>позитивни</w:t>
      </w:r>
      <w:r>
        <w:rPr>
          <w:color w:val="231F20"/>
          <w:spacing w:val="-10"/>
        </w:rPr>
        <w:t> </w:t>
      </w:r>
      <w:r>
        <w:rPr>
          <w:color w:val="231F20"/>
        </w:rPr>
        <w:t>утицаји</w:t>
      </w:r>
      <w:r>
        <w:rPr>
          <w:color w:val="231F20"/>
          <w:spacing w:val="-10"/>
        </w:rPr>
        <w:t> </w:t>
      </w:r>
      <w:r>
        <w:rPr>
          <w:color w:val="231F20"/>
        </w:rPr>
        <w:t>на</w:t>
      </w:r>
      <w:r>
        <w:rPr>
          <w:color w:val="231F20"/>
          <w:spacing w:val="-10"/>
        </w:rPr>
        <w:t> </w:t>
      </w:r>
      <w:r>
        <w:rPr>
          <w:color w:val="231F20"/>
        </w:rPr>
        <w:t>човека</w:t>
      </w:r>
      <w:r>
        <w:rPr>
          <w:color w:val="231F20"/>
          <w:spacing w:val="-10"/>
        </w:rPr>
        <w:t> </w:t>
      </w:r>
      <w:r>
        <w:rPr>
          <w:color w:val="231F20"/>
        </w:rPr>
        <w:t>и живи </w:t>
      </w:r>
      <w:r>
        <w:rPr>
          <w:color w:val="231F20"/>
          <w:spacing w:val="-4"/>
        </w:rPr>
        <w:t>свет. </w:t>
      </w:r>
      <w:r>
        <w:rPr>
          <w:color w:val="231F20"/>
        </w:rPr>
        <w:t>Планирају се мере и решења </w:t>
      </w:r>
      <w:r>
        <w:rPr>
          <w:color w:val="231F20"/>
          <w:spacing w:val="-3"/>
        </w:rPr>
        <w:t>којима </w:t>
      </w:r>
      <w:r>
        <w:rPr>
          <w:color w:val="231F20"/>
        </w:rPr>
        <w:t>се побољшава или бар задржава постојеће стање квалитета животне средине и штите природно вредни и очувани</w:t>
      </w:r>
      <w:r>
        <w:rPr>
          <w:color w:val="231F20"/>
          <w:spacing w:val="-7"/>
        </w:rPr>
        <w:t> </w:t>
      </w:r>
      <w:r>
        <w:rPr>
          <w:color w:val="231F20"/>
        </w:rPr>
        <w:t>екосистеми.</w:t>
      </w:r>
    </w:p>
    <w:p>
      <w:pPr>
        <w:pStyle w:val="BodyText"/>
        <w:spacing w:before="165"/>
        <w:ind w:left="1955"/>
        <w:jc w:val="left"/>
      </w:pPr>
      <w:r>
        <w:rPr>
          <w:color w:val="231F20"/>
        </w:rPr>
        <w:t>Техничко-технолошке мере</w:t>
      </w:r>
    </w:p>
    <w:p>
      <w:pPr>
        <w:pStyle w:val="BodyText"/>
        <w:spacing w:before="3"/>
        <w:ind w:left="0"/>
        <w:jc w:val="left"/>
        <w:rPr>
          <w:sz w:val="17"/>
        </w:rPr>
      </w:pPr>
    </w:p>
    <w:p>
      <w:pPr>
        <w:pStyle w:val="BodyText"/>
        <w:spacing w:line="232" w:lineRule="auto"/>
        <w:ind w:left="454" w:firstLine="397"/>
      </w:pPr>
      <w:r>
        <w:rPr>
          <w:color w:val="231F20"/>
        </w:rPr>
        <w:t>Техничко-технолошке мере обухватају примену нових тех- ничких</w:t>
      </w:r>
      <w:r>
        <w:rPr>
          <w:color w:val="231F20"/>
          <w:spacing w:val="-5"/>
        </w:rPr>
        <w:t> </w:t>
      </w:r>
      <w:r>
        <w:rPr>
          <w:color w:val="231F20"/>
        </w:rPr>
        <w:t>решења</w:t>
      </w:r>
      <w:r>
        <w:rPr>
          <w:color w:val="231F20"/>
          <w:spacing w:val="-5"/>
        </w:rPr>
        <w:t> </w:t>
      </w:r>
      <w:r>
        <w:rPr>
          <w:color w:val="231F20"/>
        </w:rPr>
        <w:t>и</w:t>
      </w:r>
      <w:r>
        <w:rPr>
          <w:color w:val="231F20"/>
          <w:spacing w:val="-5"/>
        </w:rPr>
        <w:t> </w:t>
      </w:r>
      <w:r>
        <w:rPr>
          <w:color w:val="231F20"/>
        </w:rPr>
        <w:t>увођење</w:t>
      </w:r>
      <w:r>
        <w:rPr>
          <w:color w:val="231F20"/>
          <w:spacing w:val="-5"/>
        </w:rPr>
        <w:t> </w:t>
      </w:r>
      <w:r>
        <w:rPr>
          <w:color w:val="231F20"/>
        </w:rPr>
        <w:t>нових</w:t>
      </w:r>
      <w:r>
        <w:rPr>
          <w:color w:val="231F20"/>
          <w:spacing w:val="-5"/>
        </w:rPr>
        <w:t> </w:t>
      </w:r>
      <w:r>
        <w:rPr>
          <w:color w:val="231F20"/>
        </w:rPr>
        <w:t>технологија</w:t>
      </w:r>
      <w:r>
        <w:rPr>
          <w:color w:val="231F20"/>
          <w:spacing w:val="-5"/>
        </w:rPr>
        <w:t> </w:t>
      </w:r>
      <w:r>
        <w:rPr>
          <w:color w:val="231F20"/>
        </w:rPr>
        <w:t>у</w:t>
      </w:r>
      <w:r>
        <w:rPr>
          <w:color w:val="231F20"/>
          <w:spacing w:val="-5"/>
        </w:rPr>
        <w:t> </w:t>
      </w:r>
      <w:r>
        <w:rPr>
          <w:color w:val="231F20"/>
        </w:rPr>
        <w:t>производњу</w:t>
      </w:r>
      <w:r>
        <w:rPr>
          <w:color w:val="231F20"/>
          <w:spacing w:val="-5"/>
        </w:rPr>
        <w:t> </w:t>
      </w:r>
      <w:r>
        <w:rPr>
          <w:color w:val="231F20"/>
        </w:rPr>
        <w:t>и</w:t>
      </w:r>
      <w:r>
        <w:rPr>
          <w:color w:val="231F20"/>
          <w:spacing w:val="-5"/>
        </w:rPr>
        <w:t> </w:t>
      </w:r>
      <w:r>
        <w:rPr>
          <w:color w:val="231F20"/>
        </w:rPr>
        <w:t>пре- раду угља, у термоелектранама и на депонијама пепела и</w:t>
      </w:r>
      <w:r>
        <w:rPr>
          <w:color w:val="231F20"/>
          <w:spacing w:val="-23"/>
        </w:rPr>
        <w:t> </w:t>
      </w:r>
      <w:r>
        <w:rPr>
          <w:color w:val="231F20"/>
        </w:rPr>
        <w:t>шљаке.</w:t>
      </w:r>
    </w:p>
    <w:p>
      <w:pPr>
        <w:pStyle w:val="BodyText"/>
        <w:spacing w:line="232" w:lineRule="auto"/>
        <w:ind w:left="454" w:firstLine="396"/>
      </w:pPr>
      <w:r>
        <w:rPr>
          <w:color w:val="231F20"/>
        </w:rPr>
        <w:t>Поред већег броја оперативних мера планирају се следеће кључне мере:</w:t>
      </w:r>
    </w:p>
    <w:p>
      <w:pPr>
        <w:pStyle w:val="BodyText"/>
        <w:spacing w:line="232" w:lineRule="auto"/>
        <w:ind w:left="454" w:firstLine="396"/>
      </w:pPr>
      <w:r>
        <w:rPr>
          <w:color w:val="231F20"/>
          <w:w w:val="66"/>
        </w:rPr>
        <w:t> </w:t>
      </w:r>
      <w:r>
        <w:rPr>
          <w:color w:val="231F20"/>
        </w:rPr>
        <w:t>– развој и увођење нових технологија селективног откопава- ња и одлагања повлатних слојева;</w:t>
      </w:r>
    </w:p>
    <w:p>
      <w:pPr>
        <w:pStyle w:val="BodyText"/>
        <w:spacing w:line="232" w:lineRule="auto"/>
        <w:ind w:left="455" w:right="1" w:firstLine="396"/>
      </w:pPr>
      <w:r>
        <w:rPr>
          <w:color w:val="231F20"/>
          <w:w w:val="66"/>
        </w:rPr>
        <w:t> </w:t>
      </w:r>
      <w:r>
        <w:rPr>
          <w:color w:val="231F20"/>
        </w:rPr>
        <w:t>– примена поступка орошавања водом активних рударских површина и пресипних места;;</w:t>
      </w:r>
    </w:p>
    <w:p>
      <w:pPr>
        <w:pStyle w:val="BodyText"/>
        <w:spacing w:line="232" w:lineRule="auto"/>
        <w:ind w:left="454" w:firstLine="397"/>
      </w:pPr>
      <w:r>
        <w:rPr>
          <w:color w:val="231F20"/>
          <w:w w:val="66"/>
        </w:rPr>
        <w:t> </w:t>
      </w:r>
      <w:r>
        <w:rPr>
          <w:color w:val="231F20"/>
        </w:rPr>
        <w:t>–</w:t>
      </w:r>
      <w:r>
        <w:rPr>
          <w:color w:val="231F20"/>
          <w:spacing w:val="-8"/>
        </w:rPr>
        <w:t> </w:t>
      </w:r>
      <w:r>
        <w:rPr>
          <w:color w:val="231F20"/>
        </w:rPr>
        <w:t>заштита</w:t>
      </w:r>
      <w:r>
        <w:rPr>
          <w:color w:val="231F20"/>
          <w:spacing w:val="-8"/>
        </w:rPr>
        <w:t> </w:t>
      </w:r>
      <w:r>
        <w:rPr>
          <w:color w:val="231F20"/>
        </w:rPr>
        <w:t>режима</w:t>
      </w:r>
      <w:r>
        <w:rPr>
          <w:color w:val="231F20"/>
          <w:spacing w:val="-8"/>
        </w:rPr>
        <w:t> </w:t>
      </w:r>
      <w:r>
        <w:rPr>
          <w:color w:val="231F20"/>
        </w:rPr>
        <w:t>и</w:t>
      </w:r>
      <w:r>
        <w:rPr>
          <w:color w:val="231F20"/>
          <w:spacing w:val="-8"/>
        </w:rPr>
        <w:t> </w:t>
      </w:r>
      <w:r>
        <w:rPr>
          <w:color w:val="231F20"/>
        </w:rPr>
        <w:t>квалитета</w:t>
      </w:r>
      <w:r>
        <w:rPr>
          <w:color w:val="231F20"/>
          <w:spacing w:val="-8"/>
        </w:rPr>
        <w:t> </w:t>
      </w:r>
      <w:r>
        <w:rPr>
          <w:color w:val="231F20"/>
        </w:rPr>
        <w:t>подземних</w:t>
      </w:r>
      <w:r>
        <w:rPr>
          <w:color w:val="231F20"/>
          <w:spacing w:val="-8"/>
        </w:rPr>
        <w:t> </w:t>
      </w:r>
      <w:r>
        <w:rPr>
          <w:color w:val="231F20"/>
        </w:rPr>
        <w:t>и</w:t>
      </w:r>
      <w:r>
        <w:rPr>
          <w:color w:val="231F20"/>
          <w:spacing w:val="-8"/>
        </w:rPr>
        <w:t> </w:t>
      </w:r>
      <w:r>
        <w:rPr>
          <w:color w:val="231F20"/>
        </w:rPr>
        <w:t>површинских</w:t>
      </w:r>
      <w:r>
        <w:rPr>
          <w:color w:val="231F20"/>
          <w:spacing w:val="-8"/>
        </w:rPr>
        <w:t> </w:t>
      </w:r>
      <w:r>
        <w:rPr>
          <w:color w:val="231F20"/>
        </w:rPr>
        <w:t>во- да и земљишта – у </w:t>
      </w:r>
      <w:r>
        <w:rPr>
          <w:color w:val="231F20"/>
          <w:spacing w:val="-3"/>
        </w:rPr>
        <w:t>копу </w:t>
      </w:r>
      <w:r>
        <w:rPr>
          <w:color w:val="231F20"/>
        </w:rPr>
        <w:t>и у </w:t>
      </w:r>
      <w:r>
        <w:rPr>
          <w:color w:val="231F20"/>
          <w:spacing w:val="-3"/>
        </w:rPr>
        <w:t>околини</w:t>
      </w:r>
      <w:r>
        <w:rPr>
          <w:color w:val="231F20"/>
          <w:spacing w:val="-21"/>
        </w:rPr>
        <w:t> </w:t>
      </w:r>
      <w:r>
        <w:rPr>
          <w:color w:val="231F20"/>
          <w:spacing w:val="-3"/>
        </w:rPr>
        <w:t>рудника,</w:t>
      </w:r>
    </w:p>
    <w:p>
      <w:pPr>
        <w:pStyle w:val="BodyText"/>
        <w:spacing w:line="232" w:lineRule="auto"/>
        <w:ind w:left="454" w:firstLine="396"/>
      </w:pPr>
      <w:r>
        <w:rPr>
          <w:color w:val="231F20"/>
          <w:w w:val="66"/>
        </w:rPr>
        <w:t> </w:t>
      </w:r>
      <w:r>
        <w:rPr>
          <w:color w:val="231F20"/>
        </w:rPr>
        <w:t>– постављање баријера између површинског копа и насеље- них места или изградња ветрозаштитних појаса ради смањења бу- ке и развејавања суспендованих честица;</w:t>
      </w:r>
    </w:p>
    <w:p>
      <w:pPr>
        <w:pStyle w:val="BodyText"/>
        <w:spacing w:line="199" w:lineRule="exact"/>
        <w:ind w:left="851"/>
        <w:jc w:val="left"/>
      </w:pPr>
      <w:r>
        <w:rPr>
          <w:color w:val="231F20"/>
          <w:w w:val="66"/>
        </w:rPr>
        <w:t> </w:t>
      </w:r>
      <w:r>
        <w:rPr>
          <w:color w:val="231F20"/>
        </w:rPr>
        <w:t>– рекултивација и ревитализација деградираних простора;</w:t>
      </w:r>
    </w:p>
    <w:p>
      <w:pPr>
        <w:pStyle w:val="BodyText"/>
        <w:spacing w:line="232" w:lineRule="auto" w:before="2"/>
        <w:ind w:left="455" w:right="1" w:firstLine="396"/>
      </w:pPr>
      <w:r>
        <w:rPr>
          <w:color w:val="231F20"/>
          <w:w w:val="66"/>
        </w:rPr>
        <w:t> </w:t>
      </w:r>
      <w:r>
        <w:rPr>
          <w:color w:val="231F20"/>
        </w:rPr>
        <w:t>– изградња постројења за одсумпоравање димних гасова у ТЕ „Костолац Б”, тако да се испуни захтев за граничне вредности емисије од 200 mg/m³;</w:t>
      </w:r>
    </w:p>
    <w:p>
      <w:pPr>
        <w:pStyle w:val="BodyText"/>
        <w:spacing w:line="232" w:lineRule="auto"/>
        <w:ind w:left="455" w:right="1" w:firstLine="396"/>
      </w:pPr>
      <w:r>
        <w:rPr>
          <w:color w:val="231F20"/>
          <w:w w:val="66"/>
        </w:rPr>
        <w:t> </w:t>
      </w:r>
      <w:r>
        <w:rPr>
          <w:color w:val="231F20"/>
        </w:rPr>
        <w:t>– смањење концентрације NOx у димним гасовима, односно изградити постројења за денитрификацију димних гасова у ТЕ</w:t>
      </w:r>
    </w:p>
    <w:p>
      <w:pPr>
        <w:pStyle w:val="BodyText"/>
        <w:spacing w:line="199" w:lineRule="exact"/>
        <w:ind w:left="455"/>
        <w:jc w:val="left"/>
      </w:pPr>
      <w:r>
        <w:rPr>
          <w:color w:val="231F20"/>
        </w:rPr>
        <w:t>„Костолац А” и ТЕ „Костолац Б”;</w:t>
      </w:r>
    </w:p>
    <w:p>
      <w:pPr>
        <w:pStyle w:val="BodyText"/>
        <w:spacing w:line="232" w:lineRule="auto" w:before="1"/>
        <w:ind w:left="455" w:right="1" w:firstLine="397"/>
      </w:pPr>
      <w:r>
        <w:rPr>
          <w:color w:val="231F20"/>
          <w:w w:val="66"/>
        </w:rPr>
        <w:t> </w:t>
      </w:r>
      <w:r>
        <w:rPr>
          <w:color w:val="231F20"/>
        </w:rPr>
        <w:t>– реконструкција или замена постојећих електрофилтера у складу са законским прописима (ГВЕ = 50 mg/m³ прашкастих ма- терија) на </w:t>
      </w:r>
      <w:r>
        <w:rPr>
          <w:color w:val="231F20"/>
          <w:spacing w:val="-3"/>
        </w:rPr>
        <w:t>блоковима који </w:t>
      </w:r>
      <w:r>
        <w:rPr>
          <w:color w:val="231F20"/>
        </w:rPr>
        <w:t>се ревитализују (ТЕ „Костолац Б1 и Б2” и ТЕ „Костолац А1 и А2”);</w:t>
      </w:r>
    </w:p>
    <w:p>
      <w:pPr>
        <w:pStyle w:val="BodyText"/>
        <w:spacing w:line="232" w:lineRule="auto"/>
        <w:ind w:left="455" w:right="1" w:firstLine="396"/>
      </w:pPr>
      <w:r>
        <w:rPr>
          <w:color w:val="231F20"/>
          <w:w w:val="66"/>
        </w:rPr>
        <w:t> </w:t>
      </w:r>
      <w:r>
        <w:rPr>
          <w:color w:val="231F20"/>
        </w:rPr>
        <w:t>– изградња постројења за пречишћавање зауљених</w:t>
      </w:r>
      <w:r>
        <w:rPr>
          <w:color w:val="231F20"/>
          <w:spacing w:val="-28"/>
        </w:rPr>
        <w:t> </w:t>
      </w:r>
      <w:r>
        <w:rPr>
          <w:color w:val="231F20"/>
        </w:rPr>
        <w:t>отпадних вода и зауљених атмосферских вода у ТЕ „Костолац А” и ТЕ </w:t>
      </w:r>
      <w:r>
        <w:rPr>
          <w:color w:val="231F20"/>
          <w:spacing w:val="-3"/>
        </w:rPr>
        <w:t>„Ко- </w:t>
      </w:r>
      <w:r>
        <w:rPr>
          <w:color w:val="231F20"/>
        </w:rPr>
        <w:t>столац</w:t>
      </w:r>
      <w:r>
        <w:rPr>
          <w:color w:val="231F20"/>
          <w:spacing w:val="-2"/>
        </w:rPr>
        <w:t> </w:t>
      </w:r>
      <w:r>
        <w:rPr>
          <w:color w:val="231F20"/>
        </w:rPr>
        <w:t>Б”;</w:t>
      </w:r>
    </w:p>
    <w:p>
      <w:pPr>
        <w:pStyle w:val="BodyText"/>
        <w:spacing w:line="232" w:lineRule="auto"/>
        <w:ind w:left="455" w:right="1" w:firstLine="396"/>
      </w:pPr>
      <w:r>
        <w:rPr>
          <w:color w:val="231F20"/>
          <w:w w:val="66"/>
        </w:rPr>
        <w:t> </w:t>
      </w:r>
      <w:r>
        <w:rPr>
          <w:color w:val="231F20"/>
        </w:rPr>
        <w:t>– обезбеђење простора за складиштење CO2 или коридор (цевовод) за транспорт до регионалног складишта CO2;</w:t>
      </w:r>
    </w:p>
    <w:p>
      <w:pPr>
        <w:pStyle w:val="BodyText"/>
        <w:spacing w:line="232" w:lineRule="auto"/>
        <w:ind w:left="455" w:right="1" w:firstLine="396"/>
      </w:pPr>
      <w:r>
        <w:rPr>
          <w:color w:val="231F20"/>
          <w:w w:val="66"/>
        </w:rPr>
        <w:t> </w:t>
      </w:r>
      <w:r>
        <w:rPr>
          <w:color w:val="231F20"/>
        </w:rPr>
        <w:t>– унапређење постојећих и увођење нових технологија тран- спорта</w:t>
      </w:r>
      <w:r>
        <w:rPr>
          <w:color w:val="231F20"/>
          <w:spacing w:val="-4"/>
        </w:rPr>
        <w:t> </w:t>
      </w:r>
      <w:r>
        <w:rPr>
          <w:color w:val="231F20"/>
        </w:rPr>
        <w:t>и</w:t>
      </w:r>
      <w:r>
        <w:rPr>
          <w:color w:val="231F20"/>
          <w:spacing w:val="-4"/>
        </w:rPr>
        <w:t> </w:t>
      </w:r>
      <w:r>
        <w:rPr>
          <w:color w:val="231F20"/>
        </w:rPr>
        <w:t>одлагања</w:t>
      </w:r>
      <w:r>
        <w:rPr>
          <w:color w:val="231F20"/>
          <w:spacing w:val="-4"/>
        </w:rPr>
        <w:t> </w:t>
      </w:r>
      <w:r>
        <w:rPr>
          <w:color w:val="231F20"/>
        </w:rPr>
        <w:t>пепела</w:t>
      </w:r>
      <w:r>
        <w:rPr>
          <w:color w:val="231F20"/>
          <w:spacing w:val="-4"/>
        </w:rPr>
        <w:t> </w:t>
      </w:r>
      <w:r>
        <w:rPr>
          <w:color w:val="231F20"/>
        </w:rPr>
        <w:t>и</w:t>
      </w:r>
      <w:r>
        <w:rPr>
          <w:color w:val="231F20"/>
          <w:spacing w:val="-4"/>
        </w:rPr>
        <w:t> </w:t>
      </w:r>
      <w:r>
        <w:rPr>
          <w:color w:val="231F20"/>
        </w:rPr>
        <w:t>шљаке</w:t>
      </w:r>
      <w:r>
        <w:rPr>
          <w:color w:val="231F20"/>
          <w:spacing w:val="-4"/>
        </w:rPr>
        <w:t> </w:t>
      </w:r>
      <w:r>
        <w:rPr>
          <w:color w:val="231F20"/>
        </w:rPr>
        <w:t>(мешавином</w:t>
      </w:r>
      <w:r>
        <w:rPr>
          <w:color w:val="231F20"/>
          <w:spacing w:val="-4"/>
        </w:rPr>
        <w:t> </w:t>
      </w:r>
      <w:r>
        <w:rPr>
          <w:color w:val="231F20"/>
        </w:rPr>
        <w:t>пепела</w:t>
      </w:r>
      <w:r>
        <w:rPr>
          <w:color w:val="231F20"/>
          <w:spacing w:val="-4"/>
        </w:rPr>
        <w:t> </w:t>
      </w:r>
      <w:r>
        <w:rPr>
          <w:color w:val="231F20"/>
        </w:rPr>
        <w:t>и</w:t>
      </w:r>
      <w:r>
        <w:rPr>
          <w:color w:val="231F20"/>
          <w:spacing w:val="-4"/>
        </w:rPr>
        <w:t> </w:t>
      </w:r>
      <w:r>
        <w:rPr>
          <w:color w:val="231F20"/>
        </w:rPr>
        <w:t>воде</w:t>
      </w:r>
      <w:r>
        <w:rPr>
          <w:color w:val="231F20"/>
          <w:spacing w:val="-4"/>
        </w:rPr>
        <w:t> </w:t>
      </w:r>
      <w:r>
        <w:rPr>
          <w:color w:val="231F20"/>
        </w:rPr>
        <w:t>1:1) на депонију пепела ради спречавања развејавања ситних фракција пепела у</w:t>
      </w:r>
      <w:r>
        <w:rPr>
          <w:color w:val="231F20"/>
          <w:spacing w:val="-1"/>
        </w:rPr>
        <w:t> </w:t>
      </w:r>
      <w:r>
        <w:rPr>
          <w:color w:val="231F20"/>
          <w:spacing w:val="-3"/>
        </w:rPr>
        <w:t>околину;</w:t>
      </w:r>
    </w:p>
    <w:p>
      <w:pPr>
        <w:pStyle w:val="BodyText"/>
        <w:spacing w:line="232" w:lineRule="auto"/>
        <w:ind w:left="455" w:right="1" w:firstLine="396"/>
      </w:pPr>
      <w:r>
        <w:rPr>
          <w:color w:val="231F20"/>
          <w:w w:val="66"/>
        </w:rPr>
        <w:t> </w:t>
      </w:r>
      <w:r>
        <w:rPr>
          <w:color w:val="231F20"/>
        </w:rPr>
        <w:t>– израда пројеката рекултивације за сваку од експлоатацио- них касета депоније по њеном фазном или коначном напуштању као и пројекат формирања заштитног зеленог појаса око депоније пепела;</w:t>
      </w:r>
    </w:p>
    <w:p>
      <w:pPr>
        <w:pStyle w:val="BodyText"/>
        <w:spacing w:line="232" w:lineRule="auto"/>
        <w:ind w:left="455" w:right="1" w:firstLine="396"/>
      </w:pPr>
      <w:r>
        <w:rPr>
          <w:color w:val="231F20"/>
          <w:w w:val="66"/>
        </w:rPr>
        <w:t> </w:t>
      </w:r>
      <w:r>
        <w:rPr>
          <w:color w:val="231F20"/>
        </w:rPr>
        <w:t>– рециркулација процедне воде са депоније пепела и атмос- ферске воде преко дренажног система, преливних цеви и базена у багер станицу термоелектране и коришћење за припрему и тран- спорт хидромешавине или за прскање депоније;</w:t>
      </w:r>
    </w:p>
    <w:p>
      <w:pPr>
        <w:pStyle w:val="BodyText"/>
        <w:spacing w:line="232" w:lineRule="auto"/>
        <w:ind w:left="455" w:right="1" w:firstLine="396"/>
      </w:pPr>
      <w:r>
        <w:rPr>
          <w:color w:val="231F20"/>
          <w:w w:val="66"/>
        </w:rPr>
        <w:t> </w:t>
      </w:r>
      <w:r>
        <w:rPr>
          <w:color w:val="231F20"/>
        </w:rPr>
        <w:t>– коришћење пепела и шљаке у цементној индустрији,</w:t>
      </w:r>
      <w:r>
        <w:rPr>
          <w:color w:val="231F20"/>
          <w:spacing w:val="-25"/>
        </w:rPr>
        <w:t> </w:t>
      </w:r>
      <w:r>
        <w:rPr>
          <w:color w:val="231F20"/>
        </w:rPr>
        <w:t>инду- стрији бетона и</w:t>
      </w:r>
      <w:r>
        <w:rPr>
          <w:color w:val="231F20"/>
          <w:spacing w:val="-3"/>
        </w:rPr>
        <w:t> </w:t>
      </w:r>
      <w:r>
        <w:rPr>
          <w:color w:val="231F20"/>
        </w:rPr>
        <w:t>путоградњи;</w:t>
      </w:r>
    </w:p>
    <w:p>
      <w:pPr>
        <w:pStyle w:val="BodyText"/>
        <w:spacing w:line="199" w:lineRule="exact"/>
        <w:ind w:left="852"/>
        <w:jc w:val="left"/>
      </w:pPr>
      <w:r>
        <w:rPr>
          <w:color w:val="231F20"/>
          <w:w w:val="66"/>
        </w:rPr>
        <w:t> </w:t>
      </w:r>
      <w:r>
        <w:rPr>
          <w:color w:val="231F20"/>
        </w:rPr>
        <w:t>– коришћење повратне топле воде термоелектрана;</w:t>
      </w:r>
    </w:p>
    <w:p>
      <w:pPr>
        <w:pStyle w:val="BodyText"/>
        <w:spacing w:line="232" w:lineRule="auto" w:before="1"/>
        <w:ind w:left="455" w:firstLine="396"/>
      </w:pPr>
      <w:r>
        <w:rPr>
          <w:color w:val="231F20"/>
          <w:w w:val="66"/>
        </w:rPr>
        <w:t> </w:t>
      </w:r>
      <w:r>
        <w:rPr>
          <w:color w:val="231F20"/>
        </w:rPr>
        <w:t>– примена строжијих критеријума за пречишћавање насељ- ских отпадних вода, са продуженом биоаерацијом и додатним уклањањем фосфора и натријума;</w:t>
      </w:r>
    </w:p>
    <w:p>
      <w:pPr>
        <w:pStyle w:val="BodyText"/>
        <w:spacing w:line="232" w:lineRule="auto"/>
        <w:ind w:left="456" w:firstLine="396"/>
      </w:pPr>
      <w:r>
        <w:rPr>
          <w:color w:val="231F20"/>
          <w:w w:val="66"/>
        </w:rPr>
        <w:t> </w:t>
      </w:r>
      <w:r>
        <w:rPr>
          <w:color w:val="231F20"/>
        </w:rPr>
        <w:t>– мeре зa смaњeњe ризикa oд зaгaђивaњa зeмљиштa при склaдиштeњу, прeвoзу и прeтaкaњу нaфтних дeривaтa и oпaсних хeмикaлиja у оквиру локација пристаништа на Дунаву;</w:t>
      </w:r>
    </w:p>
    <w:p>
      <w:pPr>
        <w:pStyle w:val="BodyText"/>
        <w:spacing w:line="232" w:lineRule="auto"/>
        <w:ind w:left="456" w:firstLine="396"/>
      </w:pPr>
      <w:r>
        <w:rPr>
          <w:color w:val="231F20"/>
          <w:w w:val="66"/>
        </w:rPr>
        <w:t> </w:t>
      </w:r>
      <w:r>
        <w:rPr>
          <w:color w:val="231F20"/>
        </w:rPr>
        <w:t>– прeвeнтивне и oпeрaтивне мeре зaштитe, рeaгoвaњa и пoступaкa сaнaциje зeмљиштa у случajу хaвaриjскoг изливaњa oпaсних мaтeриja у oкoлину;</w:t>
      </w:r>
    </w:p>
    <w:p>
      <w:pPr>
        <w:pStyle w:val="BodyText"/>
        <w:spacing w:line="232" w:lineRule="auto"/>
        <w:ind w:left="456" w:firstLine="396"/>
      </w:pPr>
      <w:r>
        <w:rPr>
          <w:color w:val="231F20"/>
          <w:w w:val="66"/>
        </w:rPr>
        <w:t> </w:t>
      </w:r>
      <w:r>
        <w:rPr>
          <w:color w:val="231F20"/>
        </w:rPr>
        <w:t>– решавање депоновања комуналног отпада – санацијом ди- вљих сметлишта;</w:t>
      </w:r>
    </w:p>
    <w:p>
      <w:pPr>
        <w:pStyle w:val="BodyText"/>
        <w:spacing w:line="232" w:lineRule="auto" w:before="78"/>
        <w:ind w:left="243" w:right="125" w:firstLine="396"/>
      </w:pPr>
      <w:r>
        <w:rPr/>
        <w:br w:type="column"/>
      </w:r>
      <w:r>
        <w:rPr>
          <w:color w:val="231F20"/>
          <w:w w:val="66"/>
        </w:rPr>
        <w:t> </w:t>
      </w:r>
      <w:r>
        <w:rPr>
          <w:color w:val="231F20"/>
        </w:rPr>
        <w:t>– утврђивање механизма санације постојећих депонија и на- чина</w:t>
      </w:r>
      <w:r>
        <w:rPr>
          <w:color w:val="231F20"/>
          <w:spacing w:val="-7"/>
        </w:rPr>
        <w:t> </w:t>
      </w:r>
      <w:r>
        <w:rPr>
          <w:color w:val="231F20"/>
        </w:rPr>
        <w:t>рекултивације</w:t>
      </w:r>
      <w:r>
        <w:rPr>
          <w:color w:val="231F20"/>
          <w:spacing w:val="-7"/>
        </w:rPr>
        <w:t> </w:t>
      </w:r>
      <w:r>
        <w:rPr>
          <w:color w:val="231F20"/>
        </w:rPr>
        <w:t>земљишта</w:t>
      </w:r>
      <w:r>
        <w:rPr>
          <w:color w:val="231F20"/>
          <w:spacing w:val="-7"/>
        </w:rPr>
        <w:t> </w:t>
      </w:r>
      <w:r>
        <w:rPr>
          <w:color w:val="231F20"/>
        </w:rPr>
        <w:t>ради</w:t>
      </w:r>
      <w:r>
        <w:rPr>
          <w:color w:val="231F20"/>
          <w:spacing w:val="-7"/>
        </w:rPr>
        <w:t> </w:t>
      </w:r>
      <w:r>
        <w:rPr>
          <w:color w:val="231F20"/>
        </w:rPr>
        <w:t>привођења</w:t>
      </w:r>
      <w:r>
        <w:rPr>
          <w:color w:val="231F20"/>
          <w:spacing w:val="-7"/>
        </w:rPr>
        <w:t> </w:t>
      </w:r>
      <w:r>
        <w:rPr>
          <w:color w:val="231F20"/>
        </w:rPr>
        <w:t>новим</w:t>
      </w:r>
      <w:r>
        <w:rPr>
          <w:color w:val="231F20"/>
          <w:spacing w:val="-7"/>
        </w:rPr>
        <w:t> </w:t>
      </w:r>
      <w:r>
        <w:rPr>
          <w:color w:val="231F20"/>
        </w:rPr>
        <w:t>наменама;</w:t>
      </w:r>
      <w:r>
        <w:rPr>
          <w:color w:val="231F20"/>
          <w:spacing w:val="-7"/>
        </w:rPr>
        <w:t> </w:t>
      </w:r>
      <w:r>
        <w:rPr>
          <w:color w:val="231F20"/>
        </w:rPr>
        <w:t>и</w:t>
      </w:r>
    </w:p>
    <w:p>
      <w:pPr>
        <w:pStyle w:val="BodyText"/>
        <w:spacing w:before="1"/>
        <w:ind w:left="243" w:right="125" w:firstLine="396"/>
      </w:pPr>
      <w:r>
        <w:rPr>
          <w:color w:val="231F20"/>
          <w:w w:val="66"/>
        </w:rPr>
        <w:t> </w:t>
      </w:r>
      <w:r>
        <w:rPr>
          <w:color w:val="231F20"/>
        </w:rPr>
        <w:t>–</w:t>
      </w:r>
      <w:r>
        <w:rPr>
          <w:color w:val="231F20"/>
          <w:spacing w:val="-13"/>
        </w:rPr>
        <w:t> </w:t>
      </w:r>
      <w:r>
        <w:rPr>
          <w:color w:val="231F20"/>
        </w:rPr>
        <w:t>утврђивање</w:t>
      </w:r>
      <w:r>
        <w:rPr>
          <w:color w:val="231F20"/>
          <w:spacing w:val="-13"/>
        </w:rPr>
        <w:t> </w:t>
      </w:r>
      <w:r>
        <w:rPr>
          <w:color w:val="231F20"/>
        </w:rPr>
        <w:t>локација</w:t>
      </w:r>
      <w:r>
        <w:rPr>
          <w:color w:val="231F20"/>
          <w:spacing w:val="-13"/>
        </w:rPr>
        <w:t> </w:t>
      </w:r>
      <w:r>
        <w:rPr>
          <w:color w:val="231F20"/>
        </w:rPr>
        <w:t>за</w:t>
      </w:r>
      <w:r>
        <w:rPr>
          <w:color w:val="231F20"/>
          <w:spacing w:val="-13"/>
        </w:rPr>
        <w:t> </w:t>
      </w:r>
      <w:r>
        <w:rPr>
          <w:color w:val="231F20"/>
        </w:rPr>
        <w:t>депоновање</w:t>
      </w:r>
      <w:r>
        <w:rPr>
          <w:color w:val="231F20"/>
          <w:spacing w:val="-13"/>
        </w:rPr>
        <w:t> </w:t>
      </w:r>
      <w:r>
        <w:rPr>
          <w:color w:val="231F20"/>
        </w:rPr>
        <w:t>опасног</w:t>
      </w:r>
      <w:r>
        <w:rPr>
          <w:color w:val="231F20"/>
          <w:spacing w:val="-13"/>
        </w:rPr>
        <w:t> </w:t>
      </w:r>
      <w:r>
        <w:rPr>
          <w:color w:val="231F20"/>
        </w:rPr>
        <w:t>и</w:t>
      </w:r>
      <w:r>
        <w:rPr>
          <w:color w:val="231F20"/>
          <w:spacing w:val="-13"/>
        </w:rPr>
        <w:t> </w:t>
      </w:r>
      <w:r>
        <w:rPr>
          <w:color w:val="231F20"/>
        </w:rPr>
        <w:t>медицинског отпада, у складу са регионалним стратегијама и плановима упра- вљања отпадом и Стратегијом управљања отпадом за период</w:t>
      </w:r>
      <w:r>
        <w:rPr>
          <w:color w:val="231F20"/>
          <w:spacing w:val="-30"/>
        </w:rPr>
        <w:t> </w:t>
      </w:r>
      <w:r>
        <w:rPr>
          <w:color w:val="231F20"/>
        </w:rPr>
        <w:t>2010</w:t>
      </w:r>
    </w:p>
    <w:p>
      <w:pPr>
        <w:pStyle w:val="BodyText"/>
        <w:ind w:left="243"/>
        <w:jc w:val="left"/>
      </w:pPr>
      <w:r>
        <w:rPr>
          <w:color w:val="231F20"/>
          <w:w w:val="66"/>
        </w:rPr>
        <w:t> </w:t>
      </w:r>
      <w:r>
        <w:rPr>
          <w:color w:val="231F20"/>
        </w:rPr>
        <w:t>– 2019. године.</w:t>
      </w:r>
    </w:p>
    <w:p>
      <w:pPr>
        <w:pStyle w:val="BodyText"/>
        <w:spacing w:before="170"/>
        <w:ind w:left="1971" w:right="1855"/>
        <w:jc w:val="center"/>
      </w:pPr>
      <w:r>
        <w:rPr>
          <w:color w:val="231F20"/>
        </w:rPr>
        <w:t>Организационе мере</w:t>
      </w:r>
    </w:p>
    <w:p>
      <w:pPr>
        <w:pStyle w:val="BodyText"/>
        <w:ind w:left="0"/>
        <w:jc w:val="left"/>
      </w:pPr>
    </w:p>
    <w:p>
      <w:pPr>
        <w:pStyle w:val="BodyText"/>
        <w:ind w:left="243" w:right="124" w:firstLine="396"/>
      </w:pPr>
      <w:r>
        <w:rPr>
          <w:color w:val="231F20"/>
          <w:w w:val="66"/>
        </w:rPr>
        <w:t> </w:t>
      </w:r>
      <w:r>
        <w:rPr>
          <w:color w:val="231F20"/>
        </w:rPr>
        <w:t>– увести систем интегралног управљања заштитом животне средине</w:t>
      </w:r>
      <w:r>
        <w:rPr>
          <w:color w:val="231F20"/>
          <w:spacing w:val="-8"/>
        </w:rPr>
        <w:t> </w:t>
      </w:r>
      <w:r>
        <w:rPr>
          <w:color w:val="231F20"/>
        </w:rPr>
        <w:t>у</w:t>
      </w:r>
      <w:r>
        <w:rPr>
          <w:color w:val="231F20"/>
          <w:spacing w:val="-8"/>
        </w:rPr>
        <w:t> </w:t>
      </w:r>
      <w:r>
        <w:rPr>
          <w:color w:val="231F20"/>
        </w:rPr>
        <w:t>оквиру</w:t>
      </w:r>
      <w:r>
        <w:rPr>
          <w:color w:val="231F20"/>
          <w:spacing w:val="-8"/>
        </w:rPr>
        <w:t> </w:t>
      </w:r>
      <w:r>
        <w:rPr>
          <w:color w:val="231F20"/>
        </w:rPr>
        <w:t>рударско-енергетског</w:t>
      </w:r>
      <w:r>
        <w:rPr>
          <w:color w:val="231F20"/>
          <w:spacing w:val="-8"/>
        </w:rPr>
        <w:t> </w:t>
      </w:r>
      <w:r>
        <w:rPr>
          <w:color w:val="231F20"/>
          <w:spacing w:val="-3"/>
        </w:rPr>
        <w:t>комплекса</w:t>
      </w:r>
      <w:r>
        <w:rPr>
          <w:color w:val="231F20"/>
          <w:spacing w:val="-8"/>
        </w:rPr>
        <w:t> </w:t>
      </w:r>
      <w:r>
        <w:rPr>
          <w:color w:val="231F20"/>
        </w:rPr>
        <w:t>применом</w:t>
      </w:r>
      <w:r>
        <w:rPr>
          <w:color w:val="231F20"/>
          <w:spacing w:val="-8"/>
        </w:rPr>
        <w:t> </w:t>
      </w:r>
      <w:r>
        <w:rPr>
          <w:color w:val="231F20"/>
        </w:rPr>
        <w:t>стан- дарда ЈUS-ISO</w:t>
      </w:r>
      <w:r>
        <w:rPr>
          <w:color w:val="231F20"/>
          <w:spacing w:val="-2"/>
        </w:rPr>
        <w:t> </w:t>
      </w:r>
      <w:r>
        <w:rPr>
          <w:color w:val="231F20"/>
        </w:rPr>
        <w:t>14.001;</w:t>
      </w:r>
    </w:p>
    <w:p>
      <w:pPr>
        <w:pStyle w:val="BodyText"/>
        <w:ind w:left="243" w:right="124" w:firstLine="397"/>
      </w:pPr>
      <w:r>
        <w:rPr>
          <w:color w:val="231F20"/>
          <w:w w:val="66"/>
        </w:rPr>
        <w:t> </w:t>
      </w:r>
      <w:r>
        <w:rPr>
          <w:color w:val="231F20"/>
        </w:rPr>
        <w:t>– формирати основна докумената и механизме за</w:t>
      </w:r>
      <w:r>
        <w:rPr>
          <w:color w:val="231F20"/>
          <w:spacing w:val="-31"/>
        </w:rPr>
        <w:t> </w:t>
      </w:r>
      <w:r>
        <w:rPr>
          <w:color w:val="231F20"/>
        </w:rPr>
        <w:t>управљање отпадом: катастра отпада, информационог система за управљање отпадом, усклађивање са ЈUS-ISO 14.000, активности на рецикла- жи и преради отпада у секундарну сировину (пепео и шљака, јон- ске смоле, стаклена и минерална вуна, отпадна уља, </w:t>
      </w:r>
      <w:r>
        <w:rPr>
          <w:color w:val="231F20"/>
          <w:spacing w:val="-3"/>
        </w:rPr>
        <w:t>акумулатори </w:t>
      </w:r>
      <w:r>
        <w:rPr>
          <w:color w:val="231F20"/>
        </w:rPr>
        <w:t>и</w:t>
      </w:r>
      <w:r>
        <w:rPr>
          <w:color w:val="231F20"/>
          <w:spacing w:val="-7"/>
        </w:rPr>
        <w:t> </w:t>
      </w:r>
      <w:r>
        <w:rPr>
          <w:color w:val="231F20"/>
        </w:rPr>
        <w:t>аку</w:t>
      </w:r>
      <w:r>
        <w:rPr>
          <w:color w:val="231F20"/>
          <w:spacing w:val="-7"/>
        </w:rPr>
        <w:t> </w:t>
      </w:r>
      <w:r>
        <w:rPr>
          <w:color w:val="231F20"/>
        </w:rPr>
        <w:t>батерије),</w:t>
      </w:r>
      <w:r>
        <w:rPr>
          <w:color w:val="231F20"/>
          <w:spacing w:val="-7"/>
        </w:rPr>
        <w:t> </w:t>
      </w:r>
      <w:r>
        <w:rPr>
          <w:color w:val="231F20"/>
        </w:rPr>
        <w:t>решавање</w:t>
      </w:r>
      <w:r>
        <w:rPr>
          <w:color w:val="231F20"/>
          <w:spacing w:val="-7"/>
        </w:rPr>
        <w:t> </w:t>
      </w:r>
      <w:r>
        <w:rPr>
          <w:color w:val="231F20"/>
        </w:rPr>
        <w:t>проблема</w:t>
      </w:r>
      <w:r>
        <w:rPr>
          <w:color w:val="231F20"/>
          <w:spacing w:val="-7"/>
        </w:rPr>
        <w:t> </w:t>
      </w:r>
      <w:r>
        <w:rPr>
          <w:color w:val="231F20"/>
        </w:rPr>
        <w:t>електричних</w:t>
      </w:r>
      <w:r>
        <w:rPr>
          <w:color w:val="231F20"/>
          <w:spacing w:val="-7"/>
        </w:rPr>
        <w:t> </w:t>
      </w:r>
      <w:r>
        <w:rPr>
          <w:color w:val="231F20"/>
        </w:rPr>
        <w:t>уређаја</w:t>
      </w:r>
      <w:r>
        <w:rPr>
          <w:color w:val="231F20"/>
          <w:spacing w:val="-7"/>
        </w:rPr>
        <w:t> </w:t>
      </w:r>
      <w:r>
        <w:rPr>
          <w:color w:val="231F20"/>
        </w:rPr>
        <w:t>пуњених PCB (polychlorinated biphenyls) – пираленским</w:t>
      </w:r>
      <w:r>
        <w:rPr>
          <w:color w:val="231F20"/>
          <w:spacing w:val="-25"/>
        </w:rPr>
        <w:t> </w:t>
      </w:r>
      <w:r>
        <w:rPr>
          <w:color w:val="231F20"/>
        </w:rPr>
        <w:t>уљима;</w:t>
      </w:r>
    </w:p>
    <w:p>
      <w:pPr>
        <w:pStyle w:val="BodyText"/>
        <w:ind w:left="243" w:right="124" w:firstLine="397"/>
      </w:pPr>
      <w:r>
        <w:rPr>
          <w:color w:val="231F20"/>
          <w:w w:val="66"/>
        </w:rPr>
        <w:t> </w:t>
      </w:r>
      <w:r>
        <w:rPr>
          <w:color w:val="231F20"/>
        </w:rPr>
        <w:t>– увести нови систем мониторинга животне средине (вазду- ха, вода, земљишта, </w:t>
      </w:r>
      <w:r>
        <w:rPr>
          <w:color w:val="231F20"/>
          <w:spacing w:val="-3"/>
        </w:rPr>
        <w:t>буке, </w:t>
      </w:r>
      <w:r>
        <w:rPr>
          <w:color w:val="231F20"/>
        </w:rPr>
        <w:t>радиоактивности) са оптималним бро- јем мерних места, а нарочито: вршити континуална мерења еми- сије гасова и честица у димним гасовима (уградити континуалне мерача протока и квалитета димних гасова), пратити квалитет по- вршинских и подземних вода у зони утицаја ТЕ „Костолац А и Б” и депоније пепела и шљаке, као и квалитет и квантитет отпадних вода,</w:t>
      </w:r>
      <w:r>
        <w:rPr>
          <w:color w:val="231F20"/>
          <w:spacing w:val="-7"/>
        </w:rPr>
        <w:t> </w:t>
      </w:r>
      <w:r>
        <w:rPr>
          <w:color w:val="231F20"/>
        </w:rPr>
        <w:t>контролисати</w:t>
      </w:r>
      <w:r>
        <w:rPr>
          <w:color w:val="231F20"/>
          <w:spacing w:val="-6"/>
        </w:rPr>
        <w:t> </w:t>
      </w:r>
      <w:r>
        <w:rPr>
          <w:color w:val="231F20"/>
        </w:rPr>
        <w:t>радиоактивне</w:t>
      </w:r>
      <w:r>
        <w:rPr>
          <w:color w:val="231F20"/>
          <w:spacing w:val="-7"/>
        </w:rPr>
        <w:t> </w:t>
      </w:r>
      <w:r>
        <w:rPr>
          <w:color w:val="231F20"/>
        </w:rPr>
        <w:t>изворе</w:t>
      </w:r>
      <w:r>
        <w:rPr>
          <w:color w:val="231F20"/>
          <w:spacing w:val="-7"/>
        </w:rPr>
        <w:t> </w:t>
      </w:r>
      <w:r>
        <w:rPr>
          <w:color w:val="231F20"/>
        </w:rPr>
        <w:t>зрачења</w:t>
      </w:r>
      <w:r>
        <w:rPr>
          <w:color w:val="231F20"/>
          <w:spacing w:val="-7"/>
        </w:rPr>
        <w:t> </w:t>
      </w:r>
      <w:r>
        <w:rPr>
          <w:color w:val="231F20"/>
        </w:rPr>
        <w:t>и</w:t>
      </w:r>
      <w:r>
        <w:rPr>
          <w:color w:val="231F20"/>
          <w:spacing w:val="-6"/>
        </w:rPr>
        <w:t> </w:t>
      </w:r>
      <w:r>
        <w:rPr>
          <w:color w:val="231F20"/>
        </w:rPr>
        <w:t>друго</w:t>
      </w:r>
      <w:r>
        <w:rPr>
          <w:color w:val="231F20"/>
          <w:spacing w:val="-7"/>
        </w:rPr>
        <w:t> </w:t>
      </w:r>
      <w:r>
        <w:rPr>
          <w:color w:val="231F20"/>
        </w:rPr>
        <w:t>у</w:t>
      </w:r>
      <w:r>
        <w:rPr>
          <w:color w:val="231F20"/>
          <w:spacing w:val="-7"/>
        </w:rPr>
        <w:t> </w:t>
      </w:r>
      <w:r>
        <w:rPr>
          <w:color w:val="231F20"/>
        </w:rPr>
        <w:t>складу са</w:t>
      </w:r>
      <w:r>
        <w:rPr>
          <w:color w:val="231F20"/>
          <w:spacing w:val="-9"/>
        </w:rPr>
        <w:t> </w:t>
      </w:r>
      <w:r>
        <w:rPr>
          <w:color w:val="231F20"/>
        </w:rPr>
        <w:t>релевантним</w:t>
      </w:r>
      <w:r>
        <w:rPr>
          <w:color w:val="231F20"/>
          <w:spacing w:val="-9"/>
        </w:rPr>
        <w:t> </w:t>
      </w:r>
      <w:r>
        <w:rPr>
          <w:color w:val="231F20"/>
        </w:rPr>
        <w:t>правилницима;</w:t>
      </w:r>
      <w:r>
        <w:rPr>
          <w:color w:val="231F20"/>
          <w:spacing w:val="-9"/>
        </w:rPr>
        <w:t> </w:t>
      </w:r>
      <w:r>
        <w:rPr>
          <w:color w:val="231F20"/>
        </w:rPr>
        <w:t>посебно</w:t>
      </w:r>
      <w:r>
        <w:rPr>
          <w:color w:val="231F20"/>
          <w:spacing w:val="-9"/>
        </w:rPr>
        <w:t> </w:t>
      </w:r>
      <w:r>
        <w:rPr>
          <w:color w:val="231F20"/>
        </w:rPr>
        <w:t>обухватити</w:t>
      </w:r>
      <w:r>
        <w:rPr>
          <w:color w:val="231F20"/>
          <w:spacing w:val="-9"/>
        </w:rPr>
        <w:t> </w:t>
      </w:r>
      <w:r>
        <w:rPr>
          <w:color w:val="231F20"/>
        </w:rPr>
        <w:t>насеља</w:t>
      </w:r>
      <w:r>
        <w:rPr>
          <w:color w:val="231F20"/>
          <w:spacing w:val="-9"/>
        </w:rPr>
        <w:t> </w:t>
      </w:r>
      <w:r>
        <w:rPr>
          <w:color w:val="231F20"/>
          <w:spacing w:val="-3"/>
        </w:rPr>
        <w:t>која</w:t>
      </w:r>
      <w:r>
        <w:rPr>
          <w:color w:val="231F20"/>
          <w:spacing w:val="-9"/>
        </w:rPr>
        <w:t> </w:t>
      </w:r>
      <w:r>
        <w:rPr>
          <w:color w:val="231F20"/>
        </w:rPr>
        <w:t>су у непосредној близини загађивача и </w:t>
      </w:r>
      <w:r>
        <w:rPr>
          <w:color w:val="231F20"/>
          <w:spacing w:val="-3"/>
        </w:rPr>
        <w:t>под </w:t>
      </w:r>
      <w:r>
        <w:rPr>
          <w:color w:val="231F20"/>
        </w:rPr>
        <w:t>директним утицајем до- минантног правца</w:t>
      </w:r>
      <w:r>
        <w:rPr>
          <w:color w:val="231F20"/>
          <w:spacing w:val="-3"/>
        </w:rPr>
        <w:t> </w:t>
      </w:r>
      <w:r>
        <w:rPr>
          <w:color w:val="231F20"/>
        </w:rPr>
        <w:t>ветра;</w:t>
      </w:r>
    </w:p>
    <w:p>
      <w:pPr>
        <w:pStyle w:val="BodyText"/>
        <w:spacing w:before="1"/>
        <w:ind w:left="243" w:right="124" w:firstLine="397"/>
      </w:pPr>
      <w:r>
        <w:rPr>
          <w:color w:val="231F20"/>
          <w:w w:val="66"/>
        </w:rPr>
        <w:t> </w:t>
      </w:r>
      <w:r>
        <w:rPr>
          <w:color w:val="231F20"/>
        </w:rPr>
        <w:t>–</w:t>
      </w:r>
      <w:r>
        <w:rPr>
          <w:color w:val="231F20"/>
          <w:spacing w:val="-14"/>
        </w:rPr>
        <w:t> </w:t>
      </w:r>
      <w:r>
        <w:rPr>
          <w:color w:val="231F20"/>
        </w:rPr>
        <w:t>једном</w:t>
      </w:r>
      <w:r>
        <w:rPr>
          <w:color w:val="231F20"/>
          <w:spacing w:val="-14"/>
        </w:rPr>
        <w:t> </w:t>
      </w:r>
      <w:r>
        <w:rPr>
          <w:color w:val="231F20"/>
        </w:rPr>
        <w:t>годишње</w:t>
      </w:r>
      <w:r>
        <w:rPr>
          <w:color w:val="231F20"/>
          <w:spacing w:val="-14"/>
        </w:rPr>
        <w:t> </w:t>
      </w:r>
      <w:r>
        <w:rPr>
          <w:color w:val="231F20"/>
        </w:rPr>
        <w:t>извештавати</w:t>
      </w:r>
      <w:r>
        <w:rPr>
          <w:color w:val="231F20"/>
          <w:spacing w:val="-14"/>
        </w:rPr>
        <w:t> </w:t>
      </w:r>
      <w:r>
        <w:rPr>
          <w:color w:val="231F20"/>
        </w:rPr>
        <w:t>о</w:t>
      </w:r>
      <w:r>
        <w:rPr>
          <w:color w:val="231F20"/>
          <w:spacing w:val="-14"/>
        </w:rPr>
        <w:t> </w:t>
      </w:r>
      <w:r>
        <w:rPr>
          <w:color w:val="231F20"/>
        </w:rPr>
        <w:t>здравственом</w:t>
      </w:r>
      <w:r>
        <w:rPr>
          <w:color w:val="231F20"/>
          <w:spacing w:val="-14"/>
        </w:rPr>
        <w:t> </w:t>
      </w:r>
      <w:r>
        <w:rPr>
          <w:color w:val="231F20"/>
        </w:rPr>
        <w:t>стању</w:t>
      </w:r>
      <w:r>
        <w:rPr>
          <w:color w:val="231F20"/>
          <w:spacing w:val="-14"/>
        </w:rPr>
        <w:t> </w:t>
      </w:r>
      <w:r>
        <w:rPr>
          <w:color w:val="231F20"/>
        </w:rPr>
        <w:t>станов- ништва у насељима са угроженом животном средином (Костолац, Костолац село, Дрмно, Кличевац, Кленовник, Маљуревац и Бра- дарац);</w:t>
      </w:r>
    </w:p>
    <w:p>
      <w:pPr>
        <w:pStyle w:val="BodyText"/>
        <w:ind w:left="243" w:right="124" w:firstLine="396"/>
      </w:pPr>
      <w:r>
        <w:rPr>
          <w:color w:val="231F20"/>
          <w:w w:val="66"/>
        </w:rPr>
        <w:t> </w:t>
      </w:r>
      <w:r>
        <w:rPr>
          <w:color w:val="231F20"/>
        </w:rPr>
        <w:t>– вршити систематско испитивање садржаја радионуклида радона у животној средини – два пута годишње у боравишним просторијама и радној средини, као и у земљишту, на територији насеља Костолац, Костолац Село, Кленовник, Дрмно, Брадарац и Ћириковац;</w:t>
      </w:r>
    </w:p>
    <w:p>
      <w:pPr>
        <w:pStyle w:val="BodyText"/>
        <w:ind w:left="243" w:right="125" w:firstLine="396"/>
      </w:pPr>
      <w:r>
        <w:rPr>
          <w:color w:val="231F20"/>
          <w:w w:val="66"/>
        </w:rPr>
        <w:t> </w:t>
      </w:r>
      <w:r>
        <w:rPr>
          <w:color w:val="231F20"/>
        </w:rPr>
        <w:t>–</w:t>
      </w:r>
      <w:r>
        <w:rPr>
          <w:color w:val="231F20"/>
          <w:spacing w:val="-9"/>
        </w:rPr>
        <w:t> </w:t>
      </w:r>
      <w:r>
        <w:rPr>
          <w:color w:val="231F20"/>
        </w:rPr>
        <w:t>урадити</w:t>
      </w:r>
      <w:r>
        <w:rPr>
          <w:color w:val="231F20"/>
          <w:spacing w:val="-9"/>
        </w:rPr>
        <w:t> </w:t>
      </w:r>
      <w:r>
        <w:rPr>
          <w:color w:val="231F20"/>
        </w:rPr>
        <w:t>план</w:t>
      </w:r>
      <w:r>
        <w:rPr>
          <w:color w:val="231F20"/>
          <w:spacing w:val="-9"/>
        </w:rPr>
        <w:t> </w:t>
      </w:r>
      <w:r>
        <w:rPr>
          <w:color w:val="231F20"/>
        </w:rPr>
        <w:t>заштите</w:t>
      </w:r>
      <w:r>
        <w:rPr>
          <w:color w:val="231F20"/>
          <w:spacing w:val="-8"/>
        </w:rPr>
        <w:t> </w:t>
      </w:r>
      <w:r>
        <w:rPr>
          <w:color w:val="231F20"/>
        </w:rPr>
        <w:t>животне</w:t>
      </w:r>
      <w:r>
        <w:rPr>
          <w:color w:val="231F20"/>
          <w:spacing w:val="-8"/>
        </w:rPr>
        <w:t> </w:t>
      </w:r>
      <w:r>
        <w:rPr>
          <w:color w:val="231F20"/>
        </w:rPr>
        <w:t>средине,</w:t>
      </w:r>
      <w:r>
        <w:rPr>
          <w:color w:val="231F20"/>
          <w:spacing w:val="-9"/>
        </w:rPr>
        <w:t> </w:t>
      </w:r>
      <w:r>
        <w:rPr>
          <w:color w:val="231F20"/>
        </w:rPr>
        <w:t>укључујући</w:t>
      </w:r>
      <w:r>
        <w:rPr>
          <w:color w:val="231F20"/>
          <w:spacing w:val="-9"/>
        </w:rPr>
        <w:t> </w:t>
      </w:r>
      <w:r>
        <w:rPr>
          <w:color w:val="231F20"/>
        </w:rPr>
        <w:t>и</w:t>
      </w:r>
      <w:r>
        <w:rPr>
          <w:color w:val="231F20"/>
          <w:spacing w:val="-9"/>
        </w:rPr>
        <w:t> </w:t>
      </w:r>
      <w:r>
        <w:rPr>
          <w:color w:val="231F20"/>
        </w:rPr>
        <w:t>план реаговања</w:t>
      </w:r>
      <w:r>
        <w:rPr>
          <w:color w:val="231F20"/>
          <w:spacing w:val="-11"/>
        </w:rPr>
        <w:t> </w:t>
      </w:r>
      <w:r>
        <w:rPr>
          <w:color w:val="231F20"/>
        </w:rPr>
        <w:t>на</w:t>
      </w:r>
      <w:r>
        <w:rPr>
          <w:color w:val="231F20"/>
          <w:spacing w:val="-11"/>
        </w:rPr>
        <w:t> </w:t>
      </w:r>
      <w:r>
        <w:rPr>
          <w:color w:val="231F20"/>
        </w:rPr>
        <w:t>инцидентна</w:t>
      </w:r>
      <w:r>
        <w:rPr>
          <w:color w:val="231F20"/>
          <w:spacing w:val="-11"/>
        </w:rPr>
        <w:t> </w:t>
      </w:r>
      <w:r>
        <w:rPr>
          <w:color w:val="231F20"/>
        </w:rPr>
        <w:t>и</w:t>
      </w:r>
      <w:r>
        <w:rPr>
          <w:color w:val="231F20"/>
          <w:spacing w:val="-11"/>
        </w:rPr>
        <w:t> </w:t>
      </w:r>
      <w:r>
        <w:rPr>
          <w:color w:val="231F20"/>
        </w:rPr>
        <w:t>епизодна</w:t>
      </w:r>
      <w:r>
        <w:rPr>
          <w:color w:val="231F20"/>
          <w:spacing w:val="-11"/>
        </w:rPr>
        <w:t> </w:t>
      </w:r>
      <w:r>
        <w:rPr>
          <w:color w:val="231F20"/>
        </w:rPr>
        <w:t>загађивања</w:t>
      </w:r>
      <w:r>
        <w:rPr>
          <w:color w:val="231F20"/>
          <w:spacing w:val="-11"/>
        </w:rPr>
        <w:t> </w:t>
      </w:r>
      <w:r>
        <w:rPr>
          <w:color w:val="231F20"/>
        </w:rPr>
        <w:t>животне</w:t>
      </w:r>
      <w:r>
        <w:rPr>
          <w:color w:val="231F20"/>
          <w:spacing w:val="-11"/>
        </w:rPr>
        <w:t> </w:t>
      </w:r>
      <w:r>
        <w:rPr>
          <w:color w:val="231F20"/>
        </w:rPr>
        <w:t>средине,</w:t>
      </w:r>
    </w:p>
    <w:p>
      <w:pPr>
        <w:pStyle w:val="BodyText"/>
        <w:ind w:left="243" w:right="125" w:firstLine="397"/>
      </w:pPr>
      <w:r>
        <w:rPr>
          <w:color w:val="231F20"/>
          <w:w w:val="66"/>
        </w:rPr>
        <w:t> </w:t>
      </w:r>
      <w:r>
        <w:rPr>
          <w:color w:val="231F20"/>
        </w:rPr>
        <w:t>– формирати информациони систем животне средине, </w:t>
      </w:r>
      <w:r>
        <w:rPr>
          <w:color w:val="231F20"/>
          <w:spacing w:val="-3"/>
        </w:rPr>
        <w:t>који </w:t>
      </w:r>
      <w:r>
        <w:rPr>
          <w:color w:val="231F20"/>
        </w:rPr>
        <w:t>би обухватио катастар загађивача животне средине и систем еви- денције</w:t>
      </w:r>
      <w:r>
        <w:rPr>
          <w:color w:val="231F20"/>
          <w:spacing w:val="-8"/>
        </w:rPr>
        <w:t> </w:t>
      </w:r>
      <w:r>
        <w:rPr>
          <w:color w:val="231F20"/>
        </w:rPr>
        <w:t>и</w:t>
      </w:r>
      <w:r>
        <w:rPr>
          <w:color w:val="231F20"/>
          <w:spacing w:val="-8"/>
        </w:rPr>
        <w:t> </w:t>
      </w:r>
      <w:r>
        <w:rPr>
          <w:color w:val="231F20"/>
        </w:rPr>
        <w:t>оцењивања</w:t>
      </w:r>
      <w:r>
        <w:rPr>
          <w:color w:val="231F20"/>
          <w:spacing w:val="-8"/>
        </w:rPr>
        <w:t> </w:t>
      </w:r>
      <w:r>
        <w:rPr>
          <w:color w:val="231F20"/>
        </w:rPr>
        <w:t>резултата</w:t>
      </w:r>
      <w:r>
        <w:rPr>
          <w:color w:val="231F20"/>
          <w:spacing w:val="-8"/>
        </w:rPr>
        <w:t> </w:t>
      </w:r>
      <w:r>
        <w:rPr>
          <w:color w:val="231F20"/>
        </w:rPr>
        <w:t>из</w:t>
      </w:r>
      <w:r>
        <w:rPr>
          <w:color w:val="231F20"/>
          <w:spacing w:val="-8"/>
        </w:rPr>
        <w:t> </w:t>
      </w:r>
      <w:r>
        <w:rPr>
          <w:color w:val="231F20"/>
        </w:rPr>
        <w:t>локалног</w:t>
      </w:r>
      <w:r>
        <w:rPr>
          <w:color w:val="231F20"/>
          <w:spacing w:val="-8"/>
        </w:rPr>
        <w:t> </w:t>
      </w:r>
      <w:r>
        <w:rPr>
          <w:color w:val="231F20"/>
        </w:rPr>
        <w:t>система</w:t>
      </w:r>
      <w:r>
        <w:rPr>
          <w:color w:val="231F20"/>
          <w:spacing w:val="-8"/>
        </w:rPr>
        <w:t> </w:t>
      </w:r>
      <w:r>
        <w:rPr>
          <w:color w:val="231F20"/>
        </w:rPr>
        <w:t>мониторинга, као и из извора градских и републичких институција </w:t>
      </w:r>
      <w:r>
        <w:rPr>
          <w:color w:val="231F20"/>
          <w:spacing w:val="-3"/>
        </w:rPr>
        <w:t>које </w:t>
      </w:r>
      <w:r>
        <w:rPr>
          <w:color w:val="231F20"/>
        </w:rPr>
        <w:t>су заду- жене за мониторинг ваздуха, вода и</w:t>
      </w:r>
      <w:r>
        <w:rPr>
          <w:color w:val="231F20"/>
          <w:spacing w:val="-8"/>
        </w:rPr>
        <w:t> </w:t>
      </w:r>
      <w:r>
        <w:rPr>
          <w:color w:val="231F20"/>
        </w:rPr>
        <w:t>земљишта;</w:t>
      </w:r>
    </w:p>
    <w:p>
      <w:pPr>
        <w:pStyle w:val="BodyText"/>
        <w:ind w:left="243" w:right="125" w:firstLine="396"/>
      </w:pPr>
      <w:r>
        <w:rPr>
          <w:color w:val="231F20"/>
          <w:w w:val="66"/>
        </w:rPr>
        <w:t> </w:t>
      </w:r>
      <w:r>
        <w:rPr>
          <w:color w:val="231F20"/>
        </w:rPr>
        <w:t>– едуковати пољопривредно становништво како би се спре- чило загађење узроковано прекомерним/нестручним коришћењем токсичних материја које се користе у пољопривреди: лекови, боје, пестициди, минерална ђубрива;</w:t>
      </w:r>
    </w:p>
    <w:p>
      <w:pPr>
        <w:pStyle w:val="BodyText"/>
        <w:ind w:left="243" w:right="125" w:firstLine="396"/>
      </w:pPr>
      <w:r>
        <w:rPr>
          <w:color w:val="231F20"/>
          <w:w w:val="66"/>
        </w:rPr>
        <w:t> </w:t>
      </w:r>
      <w:r>
        <w:rPr>
          <w:color w:val="231F20"/>
        </w:rPr>
        <w:t>– </w:t>
      </w:r>
      <w:r>
        <w:rPr>
          <w:color w:val="231F20"/>
          <w:spacing w:val="-3"/>
        </w:rPr>
        <w:t>заштитити постојећа </w:t>
      </w:r>
      <w:r>
        <w:rPr>
          <w:color w:val="231F20"/>
        </w:rPr>
        <w:t>и </w:t>
      </w:r>
      <w:r>
        <w:rPr>
          <w:color w:val="231F20"/>
          <w:spacing w:val="-3"/>
        </w:rPr>
        <w:t>планирана изворишта </w:t>
      </w:r>
      <w:r>
        <w:rPr>
          <w:color w:val="231F20"/>
          <w:spacing w:val="-4"/>
        </w:rPr>
        <w:t>водоснабдева- </w:t>
      </w:r>
      <w:r>
        <w:rPr>
          <w:color w:val="231F20"/>
        </w:rPr>
        <w:t>ња,</w:t>
      </w:r>
      <w:r>
        <w:rPr>
          <w:color w:val="231F20"/>
          <w:spacing w:val="-8"/>
        </w:rPr>
        <w:t> </w:t>
      </w:r>
      <w:r>
        <w:rPr>
          <w:color w:val="231F20"/>
        </w:rPr>
        <w:t>у</w:t>
      </w:r>
      <w:r>
        <w:rPr>
          <w:color w:val="231F20"/>
          <w:spacing w:val="-8"/>
        </w:rPr>
        <w:t> </w:t>
      </w:r>
      <w:r>
        <w:rPr>
          <w:color w:val="231F20"/>
          <w:spacing w:val="-4"/>
        </w:rPr>
        <w:t>првом</w:t>
      </w:r>
      <w:r>
        <w:rPr>
          <w:color w:val="231F20"/>
          <w:spacing w:val="-8"/>
        </w:rPr>
        <w:t> </w:t>
      </w:r>
      <w:r>
        <w:rPr>
          <w:color w:val="231F20"/>
          <w:spacing w:val="-3"/>
        </w:rPr>
        <w:t>реду</w:t>
      </w:r>
      <w:r>
        <w:rPr>
          <w:color w:val="231F20"/>
          <w:spacing w:val="-8"/>
        </w:rPr>
        <w:t> </w:t>
      </w:r>
      <w:r>
        <w:rPr>
          <w:color w:val="231F20"/>
          <w:spacing w:val="-3"/>
        </w:rPr>
        <w:t>успостављањем</w:t>
      </w:r>
      <w:r>
        <w:rPr>
          <w:color w:val="231F20"/>
          <w:spacing w:val="-8"/>
        </w:rPr>
        <w:t> </w:t>
      </w:r>
      <w:r>
        <w:rPr>
          <w:color w:val="231F20"/>
          <w:spacing w:val="-4"/>
        </w:rPr>
        <w:t>одговарајућег</w:t>
      </w:r>
      <w:r>
        <w:rPr>
          <w:color w:val="231F20"/>
          <w:spacing w:val="-8"/>
        </w:rPr>
        <w:t> </w:t>
      </w:r>
      <w:r>
        <w:rPr>
          <w:color w:val="231F20"/>
          <w:spacing w:val="-3"/>
        </w:rPr>
        <w:t>режима</w:t>
      </w:r>
      <w:r>
        <w:rPr>
          <w:color w:val="231F20"/>
          <w:spacing w:val="-8"/>
        </w:rPr>
        <w:t> </w:t>
      </w:r>
      <w:r>
        <w:rPr>
          <w:color w:val="231F20"/>
          <w:spacing w:val="-3"/>
        </w:rPr>
        <w:t>заштите</w:t>
      </w:r>
      <w:r>
        <w:rPr>
          <w:color w:val="231F20"/>
          <w:spacing w:val="-8"/>
        </w:rPr>
        <w:t> </w:t>
      </w:r>
      <w:r>
        <w:rPr>
          <w:color w:val="231F20"/>
        </w:rPr>
        <w:t>жи- </w:t>
      </w:r>
      <w:r>
        <w:rPr>
          <w:color w:val="231F20"/>
          <w:spacing w:val="-4"/>
        </w:rPr>
        <w:t>вотне </w:t>
      </w:r>
      <w:r>
        <w:rPr>
          <w:color w:val="231F20"/>
          <w:spacing w:val="-3"/>
        </w:rPr>
        <w:t>средине </w:t>
      </w:r>
      <w:r>
        <w:rPr>
          <w:color w:val="231F20"/>
        </w:rPr>
        <w:t>у </w:t>
      </w:r>
      <w:r>
        <w:rPr>
          <w:color w:val="231F20"/>
          <w:spacing w:val="-5"/>
        </w:rPr>
        <w:t>ужој </w:t>
      </w:r>
      <w:r>
        <w:rPr>
          <w:color w:val="231F20"/>
        </w:rPr>
        <w:t>и </w:t>
      </w:r>
      <w:r>
        <w:rPr>
          <w:color w:val="231F20"/>
          <w:spacing w:val="-3"/>
        </w:rPr>
        <w:t>широј зони санитарне заштите</w:t>
      </w:r>
      <w:r>
        <w:rPr>
          <w:color w:val="231F20"/>
          <w:spacing w:val="-17"/>
        </w:rPr>
        <w:t> </w:t>
      </w:r>
      <w:r>
        <w:rPr>
          <w:color w:val="231F20"/>
          <w:spacing w:val="-3"/>
        </w:rPr>
        <w:t>изворишта;</w:t>
      </w:r>
    </w:p>
    <w:p>
      <w:pPr>
        <w:pStyle w:val="BodyText"/>
        <w:ind w:left="243" w:right="125" w:firstLine="396"/>
      </w:pPr>
      <w:r>
        <w:rPr>
          <w:color w:val="231F20"/>
          <w:w w:val="66"/>
        </w:rPr>
        <w:t> </w:t>
      </w:r>
      <w:r>
        <w:rPr>
          <w:color w:val="231F20"/>
        </w:rPr>
        <w:t>– строго контролисати промет и коришћење опасних суп- станци на Дунаву, као и расуте терете у зони будућих лука и при- станишта;</w:t>
      </w:r>
    </w:p>
    <w:p>
      <w:pPr>
        <w:pStyle w:val="BodyText"/>
        <w:ind w:left="243" w:right="125" w:firstLine="396"/>
      </w:pPr>
      <w:r>
        <w:rPr>
          <w:color w:val="231F20"/>
          <w:w w:val="66"/>
        </w:rPr>
        <w:t> </w:t>
      </w:r>
      <w:r>
        <w:rPr>
          <w:color w:val="231F20"/>
        </w:rPr>
        <w:t>–</w:t>
      </w:r>
      <w:r>
        <w:rPr>
          <w:color w:val="231F20"/>
          <w:spacing w:val="-9"/>
        </w:rPr>
        <w:t> </w:t>
      </w:r>
      <w:r>
        <w:rPr>
          <w:color w:val="231F20"/>
        </w:rPr>
        <w:t>формирати</w:t>
      </w:r>
      <w:r>
        <w:rPr>
          <w:color w:val="231F20"/>
          <w:spacing w:val="-9"/>
        </w:rPr>
        <w:t> </w:t>
      </w:r>
      <w:r>
        <w:rPr>
          <w:color w:val="231F20"/>
        </w:rPr>
        <w:t>координационо</w:t>
      </w:r>
      <w:r>
        <w:rPr>
          <w:color w:val="231F20"/>
          <w:spacing w:val="-9"/>
        </w:rPr>
        <w:t> </w:t>
      </w:r>
      <w:r>
        <w:rPr>
          <w:color w:val="231F20"/>
        </w:rPr>
        <w:t>тело</w:t>
      </w:r>
      <w:r>
        <w:rPr>
          <w:color w:val="231F20"/>
          <w:spacing w:val="-9"/>
        </w:rPr>
        <w:t> </w:t>
      </w:r>
      <w:r>
        <w:rPr>
          <w:color w:val="231F20"/>
        </w:rPr>
        <w:t>за</w:t>
      </w:r>
      <w:r>
        <w:rPr>
          <w:color w:val="231F20"/>
          <w:spacing w:val="-10"/>
        </w:rPr>
        <w:t> </w:t>
      </w:r>
      <w:r>
        <w:rPr>
          <w:color w:val="231F20"/>
        </w:rPr>
        <w:t>заштиту</w:t>
      </w:r>
      <w:r>
        <w:rPr>
          <w:color w:val="231F20"/>
          <w:spacing w:val="-9"/>
        </w:rPr>
        <w:t> </w:t>
      </w:r>
      <w:r>
        <w:rPr>
          <w:color w:val="231F20"/>
        </w:rPr>
        <w:t>животне</w:t>
      </w:r>
      <w:r>
        <w:rPr>
          <w:color w:val="231F20"/>
          <w:spacing w:val="-9"/>
        </w:rPr>
        <w:t> </w:t>
      </w:r>
      <w:r>
        <w:rPr>
          <w:color w:val="231F20"/>
        </w:rPr>
        <w:t>среди- не на нивоу града, састављено </w:t>
      </w:r>
      <w:r>
        <w:rPr>
          <w:color w:val="231F20"/>
          <w:spacing w:val="-3"/>
        </w:rPr>
        <w:t>од </w:t>
      </w:r>
      <w:r>
        <w:rPr>
          <w:color w:val="231F20"/>
        </w:rPr>
        <w:t>представника града Пожаревца, ЈП</w:t>
      </w:r>
      <w:r>
        <w:rPr>
          <w:color w:val="231F20"/>
          <w:spacing w:val="-10"/>
        </w:rPr>
        <w:t> </w:t>
      </w:r>
      <w:r>
        <w:rPr>
          <w:color w:val="231F20"/>
        </w:rPr>
        <w:t>„Електропривреда</w:t>
      </w:r>
      <w:r>
        <w:rPr>
          <w:color w:val="231F20"/>
          <w:spacing w:val="-10"/>
        </w:rPr>
        <w:t> </w:t>
      </w:r>
      <w:r>
        <w:rPr>
          <w:color w:val="231F20"/>
        </w:rPr>
        <w:t>Србије”,</w:t>
      </w:r>
      <w:r>
        <w:rPr>
          <w:color w:val="231F20"/>
          <w:spacing w:val="-10"/>
        </w:rPr>
        <w:t> </w:t>
      </w:r>
      <w:r>
        <w:rPr>
          <w:color w:val="231F20"/>
        </w:rPr>
        <w:t>ПД</w:t>
      </w:r>
      <w:r>
        <w:rPr>
          <w:color w:val="231F20"/>
          <w:spacing w:val="-10"/>
        </w:rPr>
        <w:t> </w:t>
      </w:r>
      <w:r>
        <w:rPr>
          <w:color w:val="231F20"/>
          <w:spacing w:val="-4"/>
        </w:rPr>
        <w:t>„ТЕ-КО</w:t>
      </w:r>
      <w:r>
        <w:rPr>
          <w:color w:val="231F20"/>
          <w:spacing w:val="-10"/>
        </w:rPr>
        <w:t> </w:t>
      </w:r>
      <w:r>
        <w:rPr>
          <w:color w:val="231F20"/>
        </w:rPr>
        <w:t>Костолац”,</w:t>
      </w:r>
      <w:r>
        <w:rPr>
          <w:color w:val="231F20"/>
          <w:spacing w:val="-10"/>
        </w:rPr>
        <w:t> </w:t>
      </w:r>
      <w:r>
        <w:rPr>
          <w:color w:val="231F20"/>
        </w:rPr>
        <w:t>других</w:t>
      </w:r>
      <w:r>
        <w:rPr>
          <w:color w:val="231F20"/>
          <w:spacing w:val="-10"/>
        </w:rPr>
        <w:t> </w:t>
      </w:r>
      <w:r>
        <w:rPr>
          <w:color w:val="231F20"/>
        </w:rPr>
        <w:t>при- вредних субјеката, невладиних организација и</w:t>
      </w:r>
      <w:r>
        <w:rPr>
          <w:color w:val="231F20"/>
          <w:spacing w:val="-11"/>
        </w:rPr>
        <w:t> </w:t>
      </w:r>
      <w:r>
        <w:rPr>
          <w:color w:val="231F20"/>
        </w:rPr>
        <w:t>грађана;</w:t>
      </w:r>
    </w:p>
    <w:p>
      <w:pPr>
        <w:pStyle w:val="BodyText"/>
        <w:ind w:left="243" w:right="125" w:firstLine="396"/>
      </w:pPr>
      <w:r>
        <w:rPr>
          <w:color w:val="231F20"/>
          <w:w w:val="66"/>
        </w:rPr>
        <w:t> </w:t>
      </w:r>
      <w:r>
        <w:rPr>
          <w:color w:val="231F20"/>
        </w:rPr>
        <w:t>– обезбедити информисање јавности о проблемима заштите животне средине подручја; и</w:t>
      </w:r>
    </w:p>
    <w:p>
      <w:pPr>
        <w:pStyle w:val="BodyText"/>
        <w:ind w:left="243" w:right="125" w:firstLine="397"/>
      </w:pPr>
      <w:r>
        <w:rPr>
          <w:color w:val="231F20"/>
          <w:w w:val="66"/>
        </w:rPr>
        <w:t> </w:t>
      </w:r>
      <w:r>
        <w:rPr>
          <w:color w:val="231F20"/>
        </w:rPr>
        <w:t>– обезбедити учешће јавности у доношењу одлука о решава- њу проблема заштите животне средине, укључујући све потенци- јално угрожене и заинтересоване стране.</w:t>
      </w:r>
    </w:p>
    <w:p>
      <w:pPr>
        <w:pStyle w:val="BodyText"/>
        <w:spacing w:before="170"/>
        <w:ind w:left="1971" w:right="1856"/>
        <w:jc w:val="center"/>
      </w:pPr>
      <w:r>
        <w:rPr>
          <w:color w:val="231F20"/>
        </w:rPr>
        <w:t>Заштита од буке</w:t>
      </w:r>
    </w:p>
    <w:p>
      <w:pPr>
        <w:pStyle w:val="BodyText"/>
        <w:ind w:left="243" w:right="125" w:firstLine="396"/>
      </w:pPr>
      <w:r>
        <w:rPr>
          <w:color w:val="231F20"/>
        </w:rPr>
        <w:t>За грађевинска подручја на </w:t>
      </w:r>
      <w:r>
        <w:rPr>
          <w:color w:val="231F20"/>
          <w:spacing w:val="-3"/>
        </w:rPr>
        <w:t>Планском </w:t>
      </w:r>
      <w:r>
        <w:rPr>
          <w:color w:val="231F20"/>
        </w:rPr>
        <w:t>подручју одређују се следећи највиши допуштени нивои </w:t>
      </w:r>
      <w:r>
        <w:rPr>
          <w:color w:val="231F20"/>
          <w:spacing w:val="-4"/>
        </w:rPr>
        <w:t>буке </w:t>
      </w:r>
      <w:r>
        <w:rPr>
          <w:color w:val="231F20"/>
        </w:rPr>
        <w:t>у складу са захтевима </w:t>
      </w:r>
      <w:r>
        <w:rPr>
          <w:color w:val="231F20"/>
          <w:spacing w:val="-4"/>
        </w:rPr>
        <w:t>Уредбе </w:t>
      </w:r>
      <w:r>
        <w:rPr>
          <w:color w:val="231F20"/>
        </w:rPr>
        <w:t>о индикаторима </w:t>
      </w:r>
      <w:r>
        <w:rPr>
          <w:color w:val="231F20"/>
          <w:spacing w:val="-3"/>
        </w:rPr>
        <w:t>буке, </w:t>
      </w:r>
      <w:r>
        <w:rPr>
          <w:color w:val="231F20"/>
        </w:rPr>
        <w:t>граничним вредностима, методама за оцењивање индикатора </w:t>
      </w:r>
      <w:r>
        <w:rPr>
          <w:color w:val="231F20"/>
          <w:spacing w:val="-3"/>
        </w:rPr>
        <w:t>буке, </w:t>
      </w:r>
      <w:r>
        <w:rPr>
          <w:color w:val="231F20"/>
        </w:rPr>
        <w:t>узнемиравања и штетних ефеката </w:t>
      </w:r>
      <w:r>
        <w:rPr>
          <w:color w:val="231F20"/>
          <w:spacing w:val="-3"/>
        </w:rPr>
        <w:t>буке </w:t>
      </w:r>
      <w:r>
        <w:rPr>
          <w:color w:val="231F20"/>
        </w:rPr>
        <w:t>у животној</w:t>
      </w:r>
      <w:r>
        <w:rPr>
          <w:color w:val="231F20"/>
          <w:spacing w:val="0"/>
        </w:rPr>
        <w:t> </w:t>
      </w:r>
      <w:r>
        <w:rPr>
          <w:color w:val="231F20"/>
        </w:rPr>
        <w:t>средини.</w:t>
      </w:r>
    </w:p>
    <w:p>
      <w:pPr>
        <w:spacing w:after="0"/>
        <w:sectPr>
          <w:pgSz w:w="12480" w:h="15690"/>
          <w:pgMar w:top="120" w:bottom="280" w:left="680" w:right="720"/>
          <w:cols w:num="2" w:equalWidth="0">
            <w:col w:w="5560" w:space="40"/>
            <w:col w:w="5480"/>
          </w:cols>
        </w:sectPr>
      </w:pPr>
    </w:p>
    <w:p>
      <w:pPr>
        <w:pStyle w:val="BodyText"/>
        <w:spacing w:before="68"/>
        <w:jc w:val="left"/>
      </w:pPr>
      <w:r>
        <w:rPr>
          <w:color w:val="231F20"/>
        </w:rPr>
        <w:t>Табела 29. Критеријуми за акустичко зонирање простора</w:t>
      </w:r>
    </w:p>
    <w:p>
      <w:pPr>
        <w:pStyle w:val="BodyText"/>
        <w:spacing w:before="8"/>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05"/>
        <w:gridCol w:w="2622"/>
        <w:gridCol w:w="1020"/>
        <w:gridCol w:w="1020"/>
      </w:tblGrid>
      <w:tr>
        <w:trPr>
          <w:trHeight w:val="360" w:hRule="atLeast"/>
        </w:trPr>
        <w:tc>
          <w:tcPr>
            <w:tcW w:w="405" w:type="dxa"/>
            <w:vMerge w:val="restart"/>
          </w:tcPr>
          <w:p>
            <w:pPr>
              <w:pStyle w:val="TableParagraph"/>
              <w:ind w:left="63"/>
              <w:jc w:val="left"/>
              <w:rPr>
                <w:sz w:val="14"/>
              </w:rPr>
            </w:pPr>
            <w:r>
              <w:rPr>
                <w:color w:val="231F20"/>
                <w:sz w:val="14"/>
              </w:rPr>
              <w:t>Зоне</w:t>
            </w:r>
          </w:p>
        </w:tc>
        <w:tc>
          <w:tcPr>
            <w:tcW w:w="2622" w:type="dxa"/>
            <w:vMerge w:val="restart"/>
          </w:tcPr>
          <w:p>
            <w:pPr>
              <w:pStyle w:val="TableParagraph"/>
              <w:ind w:left="691"/>
              <w:jc w:val="left"/>
              <w:rPr>
                <w:sz w:val="14"/>
              </w:rPr>
            </w:pPr>
            <w:r>
              <w:rPr>
                <w:color w:val="231F20"/>
                <w:sz w:val="14"/>
              </w:rPr>
              <w:t>Опис акустичке зоне</w:t>
            </w:r>
          </w:p>
        </w:tc>
        <w:tc>
          <w:tcPr>
            <w:tcW w:w="2040" w:type="dxa"/>
            <w:gridSpan w:val="2"/>
          </w:tcPr>
          <w:p>
            <w:pPr>
              <w:pStyle w:val="TableParagraph"/>
              <w:ind w:left="566" w:right="107" w:hanging="428"/>
              <w:jc w:val="left"/>
              <w:rPr>
                <w:sz w:val="14"/>
              </w:rPr>
            </w:pPr>
            <w:r>
              <w:rPr>
                <w:color w:val="231F20"/>
                <w:sz w:val="14"/>
              </w:rPr>
              <w:t>Допуштени нивои спољашње буке Leq (dBA)</w:t>
            </w:r>
          </w:p>
        </w:tc>
      </w:tr>
      <w:tr>
        <w:trPr>
          <w:trHeight w:val="200" w:hRule="atLeast"/>
        </w:trPr>
        <w:tc>
          <w:tcPr>
            <w:tcW w:w="405" w:type="dxa"/>
            <w:vMerge/>
            <w:tcBorders>
              <w:top w:val="nil"/>
            </w:tcBorders>
          </w:tcPr>
          <w:p>
            <w:pPr>
              <w:rPr>
                <w:sz w:val="2"/>
                <w:szCs w:val="2"/>
              </w:rPr>
            </w:pPr>
          </w:p>
        </w:tc>
        <w:tc>
          <w:tcPr>
            <w:tcW w:w="2622" w:type="dxa"/>
            <w:vMerge/>
            <w:tcBorders>
              <w:top w:val="nil"/>
            </w:tcBorders>
          </w:tcPr>
          <w:p>
            <w:pPr>
              <w:rPr>
                <w:sz w:val="2"/>
                <w:szCs w:val="2"/>
              </w:rPr>
            </w:pPr>
          </w:p>
        </w:tc>
        <w:tc>
          <w:tcPr>
            <w:tcW w:w="1020" w:type="dxa"/>
          </w:tcPr>
          <w:p>
            <w:pPr>
              <w:pStyle w:val="TableParagraph"/>
              <w:ind w:right="381"/>
              <w:rPr>
                <w:sz w:val="14"/>
              </w:rPr>
            </w:pPr>
            <w:r>
              <w:rPr>
                <w:color w:val="231F20"/>
                <w:sz w:val="14"/>
              </w:rPr>
              <w:t>Дан</w:t>
            </w:r>
          </w:p>
        </w:tc>
        <w:tc>
          <w:tcPr>
            <w:tcW w:w="1020" w:type="dxa"/>
          </w:tcPr>
          <w:p>
            <w:pPr>
              <w:pStyle w:val="TableParagraph"/>
              <w:ind w:left="369" w:right="359"/>
              <w:jc w:val="center"/>
              <w:rPr>
                <w:sz w:val="14"/>
              </w:rPr>
            </w:pPr>
            <w:r>
              <w:rPr>
                <w:color w:val="231F20"/>
                <w:sz w:val="14"/>
              </w:rPr>
              <w:t>Ноћ</w:t>
            </w:r>
          </w:p>
        </w:tc>
      </w:tr>
      <w:tr>
        <w:trPr>
          <w:trHeight w:val="360" w:hRule="atLeast"/>
        </w:trPr>
        <w:tc>
          <w:tcPr>
            <w:tcW w:w="405" w:type="dxa"/>
          </w:tcPr>
          <w:p>
            <w:pPr>
              <w:pStyle w:val="TableParagraph"/>
              <w:ind w:left="56"/>
              <w:jc w:val="left"/>
              <w:rPr>
                <w:sz w:val="14"/>
              </w:rPr>
            </w:pPr>
            <w:r>
              <w:rPr>
                <w:color w:val="231F20"/>
                <w:sz w:val="14"/>
              </w:rPr>
              <w:t>I</w:t>
            </w:r>
          </w:p>
        </w:tc>
        <w:tc>
          <w:tcPr>
            <w:tcW w:w="2622" w:type="dxa"/>
          </w:tcPr>
          <w:p>
            <w:pPr>
              <w:pStyle w:val="TableParagraph"/>
              <w:ind w:left="56"/>
              <w:jc w:val="left"/>
              <w:rPr>
                <w:sz w:val="14"/>
              </w:rPr>
            </w:pPr>
            <w:r>
              <w:rPr>
                <w:color w:val="231F20"/>
                <w:sz w:val="14"/>
              </w:rPr>
              <w:t>Подручје за одмор и рекреацију, болнице, велики паркови</w:t>
            </w:r>
          </w:p>
        </w:tc>
        <w:tc>
          <w:tcPr>
            <w:tcW w:w="1020" w:type="dxa"/>
          </w:tcPr>
          <w:p>
            <w:pPr>
              <w:pStyle w:val="TableParagraph"/>
              <w:ind w:right="427"/>
              <w:rPr>
                <w:sz w:val="14"/>
              </w:rPr>
            </w:pPr>
            <w:r>
              <w:rPr>
                <w:color w:val="231F20"/>
                <w:sz w:val="14"/>
              </w:rPr>
              <w:t>50</w:t>
            </w:r>
          </w:p>
        </w:tc>
        <w:tc>
          <w:tcPr>
            <w:tcW w:w="1020" w:type="dxa"/>
          </w:tcPr>
          <w:p>
            <w:pPr>
              <w:pStyle w:val="TableParagraph"/>
              <w:ind w:left="369" w:right="358"/>
              <w:jc w:val="center"/>
              <w:rPr>
                <w:sz w:val="14"/>
              </w:rPr>
            </w:pPr>
            <w:r>
              <w:rPr>
                <w:color w:val="231F20"/>
                <w:sz w:val="14"/>
              </w:rPr>
              <w:t>40</w:t>
            </w:r>
          </w:p>
        </w:tc>
      </w:tr>
      <w:tr>
        <w:trPr>
          <w:trHeight w:val="360" w:hRule="atLeast"/>
        </w:trPr>
        <w:tc>
          <w:tcPr>
            <w:tcW w:w="405" w:type="dxa"/>
          </w:tcPr>
          <w:p>
            <w:pPr>
              <w:pStyle w:val="TableParagraph"/>
              <w:ind w:left="56"/>
              <w:jc w:val="left"/>
              <w:rPr>
                <w:sz w:val="14"/>
              </w:rPr>
            </w:pPr>
            <w:r>
              <w:rPr>
                <w:color w:val="231F20"/>
                <w:sz w:val="14"/>
              </w:rPr>
              <w:t>II</w:t>
            </w:r>
          </w:p>
        </w:tc>
        <w:tc>
          <w:tcPr>
            <w:tcW w:w="2622" w:type="dxa"/>
          </w:tcPr>
          <w:p>
            <w:pPr>
              <w:pStyle w:val="TableParagraph"/>
              <w:ind w:left="56"/>
              <w:jc w:val="left"/>
              <w:rPr>
                <w:sz w:val="14"/>
              </w:rPr>
            </w:pPr>
            <w:r>
              <w:rPr>
                <w:color w:val="231F20"/>
                <w:sz w:val="14"/>
              </w:rPr>
              <w:t>Туристичка подручја, мала и сеоска на- сеља, кампови и школске зоне</w:t>
            </w:r>
          </w:p>
        </w:tc>
        <w:tc>
          <w:tcPr>
            <w:tcW w:w="1020" w:type="dxa"/>
          </w:tcPr>
          <w:p>
            <w:pPr>
              <w:pStyle w:val="TableParagraph"/>
              <w:ind w:right="427"/>
              <w:rPr>
                <w:sz w:val="14"/>
              </w:rPr>
            </w:pPr>
            <w:r>
              <w:rPr>
                <w:color w:val="231F20"/>
                <w:sz w:val="14"/>
              </w:rPr>
              <w:t>50</w:t>
            </w:r>
          </w:p>
        </w:tc>
        <w:tc>
          <w:tcPr>
            <w:tcW w:w="1020" w:type="dxa"/>
          </w:tcPr>
          <w:p>
            <w:pPr>
              <w:pStyle w:val="TableParagraph"/>
              <w:ind w:left="369" w:right="358"/>
              <w:jc w:val="center"/>
              <w:rPr>
                <w:sz w:val="14"/>
              </w:rPr>
            </w:pPr>
            <w:r>
              <w:rPr>
                <w:color w:val="231F20"/>
                <w:sz w:val="14"/>
              </w:rPr>
              <w:t>45</w:t>
            </w:r>
          </w:p>
        </w:tc>
      </w:tr>
      <w:tr>
        <w:trPr>
          <w:trHeight w:val="200" w:hRule="atLeast"/>
        </w:trPr>
        <w:tc>
          <w:tcPr>
            <w:tcW w:w="405" w:type="dxa"/>
          </w:tcPr>
          <w:p>
            <w:pPr>
              <w:pStyle w:val="TableParagraph"/>
              <w:ind w:left="57"/>
              <w:jc w:val="left"/>
              <w:rPr>
                <w:sz w:val="14"/>
              </w:rPr>
            </w:pPr>
            <w:r>
              <w:rPr>
                <w:color w:val="231F20"/>
                <w:sz w:val="14"/>
              </w:rPr>
              <w:t>III</w:t>
            </w:r>
          </w:p>
        </w:tc>
        <w:tc>
          <w:tcPr>
            <w:tcW w:w="2622" w:type="dxa"/>
          </w:tcPr>
          <w:p>
            <w:pPr>
              <w:pStyle w:val="TableParagraph"/>
              <w:ind w:left="56"/>
              <w:jc w:val="left"/>
              <w:rPr>
                <w:sz w:val="14"/>
              </w:rPr>
            </w:pPr>
            <w:r>
              <w:rPr>
                <w:color w:val="231F20"/>
                <w:sz w:val="14"/>
              </w:rPr>
              <w:t>чисто стамбена подручја</w:t>
            </w:r>
          </w:p>
        </w:tc>
        <w:tc>
          <w:tcPr>
            <w:tcW w:w="1020" w:type="dxa"/>
          </w:tcPr>
          <w:p>
            <w:pPr>
              <w:pStyle w:val="TableParagraph"/>
              <w:ind w:right="427"/>
              <w:rPr>
                <w:sz w:val="14"/>
              </w:rPr>
            </w:pPr>
            <w:r>
              <w:rPr>
                <w:color w:val="231F20"/>
                <w:sz w:val="14"/>
              </w:rPr>
              <w:t>55</w:t>
            </w:r>
          </w:p>
        </w:tc>
        <w:tc>
          <w:tcPr>
            <w:tcW w:w="1020" w:type="dxa"/>
          </w:tcPr>
          <w:p>
            <w:pPr>
              <w:pStyle w:val="TableParagraph"/>
              <w:ind w:left="369" w:right="358"/>
              <w:jc w:val="center"/>
              <w:rPr>
                <w:sz w:val="14"/>
              </w:rPr>
            </w:pPr>
            <w:r>
              <w:rPr>
                <w:color w:val="231F20"/>
                <w:sz w:val="14"/>
              </w:rPr>
              <w:t>45</w:t>
            </w:r>
          </w:p>
        </w:tc>
      </w:tr>
      <w:tr>
        <w:trPr>
          <w:trHeight w:val="360" w:hRule="atLeast"/>
        </w:trPr>
        <w:tc>
          <w:tcPr>
            <w:tcW w:w="405" w:type="dxa"/>
          </w:tcPr>
          <w:p>
            <w:pPr>
              <w:pStyle w:val="TableParagraph"/>
              <w:ind w:left="57"/>
              <w:jc w:val="left"/>
              <w:rPr>
                <w:sz w:val="14"/>
              </w:rPr>
            </w:pPr>
            <w:r>
              <w:rPr>
                <w:color w:val="231F20"/>
                <w:sz w:val="14"/>
              </w:rPr>
              <w:t>IV</w:t>
            </w:r>
          </w:p>
        </w:tc>
        <w:tc>
          <w:tcPr>
            <w:tcW w:w="2622" w:type="dxa"/>
          </w:tcPr>
          <w:p>
            <w:pPr>
              <w:pStyle w:val="TableParagraph"/>
              <w:ind w:left="56"/>
              <w:jc w:val="left"/>
              <w:rPr>
                <w:sz w:val="14"/>
              </w:rPr>
            </w:pPr>
            <w:r>
              <w:rPr>
                <w:color w:val="231F20"/>
                <w:sz w:val="14"/>
              </w:rPr>
              <w:t>Пословно-стамбена подручја, дечја игра- лишта</w:t>
            </w:r>
          </w:p>
        </w:tc>
        <w:tc>
          <w:tcPr>
            <w:tcW w:w="1020" w:type="dxa"/>
          </w:tcPr>
          <w:p>
            <w:pPr>
              <w:pStyle w:val="TableParagraph"/>
              <w:ind w:right="427"/>
              <w:rPr>
                <w:sz w:val="14"/>
              </w:rPr>
            </w:pPr>
            <w:r>
              <w:rPr>
                <w:color w:val="231F20"/>
                <w:sz w:val="14"/>
              </w:rPr>
              <w:t>60</w:t>
            </w:r>
          </w:p>
        </w:tc>
        <w:tc>
          <w:tcPr>
            <w:tcW w:w="1020" w:type="dxa"/>
          </w:tcPr>
          <w:p>
            <w:pPr>
              <w:pStyle w:val="TableParagraph"/>
              <w:ind w:left="369" w:right="358"/>
              <w:jc w:val="center"/>
              <w:rPr>
                <w:sz w:val="14"/>
              </w:rPr>
            </w:pPr>
            <w:r>
              <w:rPr>
                <w:color w:val="231F20"/>
                <w:sz w:val="14"/>
              </w:rPr>
              <w:t>50</w:t>
            </w:r>
          </w:p>
        </w:tc>
      </w:tr>
      <w:tr>
        <w:trPr>
          <w:trHeight w:val="360" w:hRule="atLeast"/>
        </w:trPr>
        <w:tc>
          <w:tcPr>
            <w:tcW w:w="405" w:type="dxa"/>
          </w:tcPr>
          <w:p>
            <w:pPr>
              <w:pStyle w:val="TableParagraph"/>
              <w:ind w:left="57"/>
              <w:jc w:val="left"/>
              <w:rPr>
                <w:sz w:val="14"/>
              </w:rPr>
            </w:pPr>
            <w:r>
              <w:rPr>
                <w:color w:val="231F20"/>
                <w:sz w:val="14"/>
              </w:rPr>
              <w:t>V</w:t>
            </w:r>
          </w:p>
        </w:tc>
        <w:tc>
          <w:tcPr>
            <w:tcW w:w="2622" w:type="dxa"/>
          </w:tcPr>
          <w:p>
            <w:pPr>
              <w:pStyle w:val="TableParagraph"/>
              <w:ind w:left="56"/>
              <w:jc w:val="left"/>
              <w:rPr>
                <w:sz w:val="14"/>
              </w:rPr>
            </w:pPr>
            <w:r>
              <w:rPr>
                <w:color w:val="231F20"/>
                <w:sz w:val="14"/>
              </w:rPr>
              <w:t>Градски центар, зоне дуж аутопутева, магистралних и градских саобраћајница</w:t>
            </w:r>
          </w:p>
        </w:tc>
        <w:tc>
          <w:tcPr>
            <w:tcW w:w="1020" w:type="dxa"/>
          </w:tcPr>
          <w:p>
            <w:pPr>
              <w:pStyle w:val="TableParagraph"/>
              <w:ind w:right="427"/>
              <w:rPr>
                <w:sz w:val="14"/>
              </w:rPr>
            </w:pPr>
            <w:r>
              <w:rPr>
                <w:color w:val="231F20"/>
                <w:sz w:val="14"/>
              </w:rPr>
              <w:t>65</w:t>
            </w:r>
          </w:p>
        </w:tc>
        <w:tc>
          <w:tcPr>
            <w:tcW w:w="1020" w:type="dxa"/>
          </w:tcPr>
          <w:p>
            <w:pPr>
              <w:pStyle w:val="TableParagraph"/>
              <w:ind w:left="369" w:right="357"/>
              <w:jc w:val="center"/>
              <w:rPr>
                <w:sz w:val="14"/>
              </w:rPr>
            </w:pPr>
            <w:r>
              <w:rPr>
                <w:color w:val="231F20"/>
                <w:sz w:val="14"/>
              </w:rPr>
              <w:t>55</w:t>
            </w:r>
          </w:p>
        </w:tc>
      </w:tr>
      <w:tr>
        <w:trPr>
          <w:trHeight w:val="520" w:hRule="atLeast"/>
        </w:trPr>
        <w:tc>
          <w:tcPr>
            <w:tcW w:w="405" w:type="dxa"/>
          </w:tcPr>
          <w:p>
            <w:pPr>
              <w:pStyle w:val="TableParagraph"/>
              <w:ind w:left="57"/>
              <w:jc w:val="left"/>
              <w:rPr>
                <w:sz w:val="14"/>
              </w:rPr>
            </w:pPr>
            <w:r>
              <w:rPr>
                <w:color w:val="231F20"/>
                <w:sz w:val="14"/>
              </w:rPr>
              <w:t>VI</w:t>
            </w:r>
          </w:p>
        </w:tc>
        <w:tc>
          <w:tcPr>
            <w:tcW w:w="2622" w:type="dxa"/>
          </w:tcPr>
          <w:p>
            <w:pPr>
              <w:pStyle w:val="TableParagraph"/>
              <w:ind w:left="57"/>
              <w:jc w:val="left"/>
              <w:rPr>
                <w:sz w:val="14"/>
              </w:rPr>
            </w:pPr>
            <w:r>
              <w:rPr>
                <w:color w:val="231F20"/>
                <w:sz w:val="14"/>
              </w:rPr>
              <w:t>Индустријска зона</w:t>
            </w:r>
          </w:p>
        </w:tc>
        <w:tc>
          <w:tcPr>
            <w:tcW w:w="2040" w:type="dxa"/>
            <w:gridSpan w:val="2"/>
          </w:tcPr>
          <w:p>
            <w:pPr>
              <w:pStyle w:val="TableParagraph"/>
              <w:ind w:left="57" w:right="43"/>
              <w:jc w:val="both"/>
              <w:rPr>
                <w:sz w:val="14"/>
              </w:rPr>
            </w:pPr>
            <w:r>
              <w:rPr>
                <w:color w:val="231F20"/>
                <w:sz w:val="14"/>
              </w:rPr>
              <w:t>На граници ове зоне </w:t>
            </w:r>
            <w:r>
              <w:rPr>
                <w:color w:val="231F20"/>
                <w:spacing w:val="-3"/>
                <w:sz w:val="14"/>
              </w:rPr>
              <w:t>бука </w:t>
            </w:r>
            <w:r>
              <w:rPr>
                <w:color w:val="231F20"/>
                <w:sz w:val="14"/>
              </w:rPr>
              <w:t>не сме прелазити граничну вредност у зони са </w:t>
            </w:r>
            <w:r>
              <w:rPr>
                <w:color w:val="231F20"/>
                <w:spacing w:val="-3"/>
                <w:sz w:val="14"/>
              </w:rPr>
              <w:t>којом </w:t>
            </w:r>
            <w:r>
              <w:rPr>
                <w:color w:val="231F20"/>
                <w:sz w:val="14"/>
              </w:rPr>
              <w:t>се граничи</w:t>
            </w:r>
          </w:p>
        </w:tc>
      </w:tr>
    </w:tbl>
    <w:p>
      <w:pPr>
        <w:pStyle w:val="BodyText"/>
        <w:spacing w:before="8"/>
        <w:ind w:left="0"/>
        <w:jc w:val="left"/>
        <w:rPr>
          <w:sz w:val="17"/>
        </w:rPr>
      </w:pPr>
    </w:p>
    <w:p>
      <w:pPr>
        <w:pStyle w:val="BodyText"/>
        <w:ind w:left="1770"/>
        <w:jc w:val="left"/>
      </w:pPr>
      <w:r>
        <w:rPr>
          <w:color w:val="231F20"/>
        </w:rPr>
        <w:t>Зоне саобраћајне намене</w:t>
      </w:r>
    </w:p>
    <w:p>
      <w:pPr>
        <w:pStyle w:val="BodyText"/>
        <w:spacing w:before="3"/>
        <w:ind w:left="0"/>
        <w:jc w:val="left"/>
        <w:rPr>
          <w:sz w:val="17"/>
        </w:rPr>
      </w:pPr>
    </w:p>
    <w:p>
      <w:pPr>
        <w:pStyle w:val="BodyText"/>
        <w:spacing w:line="228" w:lineRule="auto"/>
        <w:ind w:right="38" w:firstLine="397"/>
      </w:pPr>
      <w:r>
        <w:rPr>
          <w:color w:val="231F20"/>
        </w:rPr>
        <w:t>Овде наведена правила утврђују режиме коришћења земљи- шта и изградње објеката у зонама уз саобраћајнице, узимајући у обзир могуће утицаје саобраћајница на здравље људи и животну средину. За објекте чија је изградња дозвољена, а налазе се у зо- ни утицаја саобраћајнице, обавезно је спровести мере заштите на објекту (противзвучна заштита, грађевинска столарија највишег квалитета, итд.)</w:t>
      </w:r>
    </w:p>
    <w:p>
      <w:pPr>
        <w:pStyle w:val="BodyText"/>
        <w:spacing w:line="228" w:lineRule="auto"/>
        <w:ind w:right="38" w:firstLine="396"/>
      </w:pPr>
      <w:r>
        <w:rPr>
          <w:color w:val="231F20"/>
        </w:rPr>
        <w:t>За државне путеве I реда (магистралног карактера) у подруч- јима изван урбаних зона утврђују се три зоне заштите:</w:t>
      </w:r>
    </w:p>
    <w:p>
      <w:pPr>
        <w:pStyle w:val="BodyText"/>
        <w:spacing w:line="228" w:lineRule="auto"/>
        <w:ind w:right="38" w:firstLine="396"/>
      </w:pPr>
      <w:r>
        <w:rPr>
          <w:color w:val="231F20"/>
          <w:w w:val="66"/>
        </w:rPr>
        <w:t> </w:t>
      </w:r>
      <w:r>
        <w:rPr>
          <w:color w:val="231F20"/>
        </w:rPr>
        <w:t>–</w:t>
      </w:r>
      <w:r>
        <w:rPr>
          <w:color w:val="231F20"/>
          <w:spacing w:val="-10"/>
        </w:rPr>
        <w:t> </w:t>
      </w:r>
      <w:r>
        <w:rPr>
          <w:color w:val="231F20"/>
        </w:rPr>
        <w:t>зона</w:t>
      </w:r>
      <w:r>
        <w:rPr>
          <w:color w:val="231F20"/>
          <w:spacing w:val="-10"/>
        </w:rPr>
        <w:t> </w:t>
      </w:r>
      <w:r>
        <w:rPr>
          <w:color w:val="231F20"/>
        </w:rPr>
        <w:t>I</w:t>
      </w:r>
      <w:r>
        <w:rPr>
          <w:color w:val="231F20"/>
          <w:spacing w:val="13"/>
        </w:rPr>
        <w:t> </w:t>
      </w:r>
      <w:r>
        <w:rPr>
          <w:color w:val="231F20"/>
        </w:rPr>
        <w:t>–</w:t>
      </w:r>
      <w:r>
        <w:rPr>
          <w:color w:val="231F20"/>
          <w:spacing w:val="-10"/>
        </w:rPr>
        <w:t> </w:t>
      </w:r>
      <w:r>
        <w:rPr>
          <w:color w:val="231F20"/>
        </w:rPr>
        <w:t>појас</w:t>
      </w:r>
      <w:r>
        <w:rPr>
          <w:color w:val="231F20"/>
          <w:spacing w:val="-10"/>
        </w:rPr>
        <w:t> </w:t>
      </w:r>
      <w:r>
        <w:rPr>
          <w:color w:val="231F20"/>
        </w:rPr>
        <w:t>веома</w:t>
      </w:r>
      <w:r>
        <w:rPr>
          <w:color w:val="231F20"/>
          <w:spacing w:val="-10"/>
        </w:rPr>
        <w:t> </w:t>
      </w:r>
      <w:r>
        <w:rPr>
          <w:color w:val="231F20"/>
        </w:rPr>
        <w:t>великог</w:t>
      </w:r>
      <w:r>
        <w:rPr>
          <w:color w:val="231F20"/>
          <w:spacing w:val="-10"/>
        </w:rPr>
        <w:t> </w:t>
      </w:r>
      <w:r>
        <w:rPr>
          <w:color w:val="231F20"/>
          <w:spacing w:val="-3"/>
        </w:rPr>
        <w:t>еколошког</w:t>
      </w:r>
      <w:r>
        <w:rPr>
          <w:color w:val="231F20"/>
          <w:spacing w:val="-10"/>
        </w:rPr>
        <w:t> </w:t>
      </w:r>
      <w:r>
        <w:rPr>
          <w:color w:val="231F20"/>
        </w:rPr>
        <w:t>оптерећења</w:t>
      </w:r>
      <w:r>
        <w:rPr>
          <w:color w:val="231F20"/>
          <w:spacing w:val="-10"/>
        </w:rPr>
        <w:t> </w:t>
      </w:r>
      <w:r>
        <w:rPr>
          <w:color w:val="231F20"/>
        </w:rPr>
        <w:t>ширине по 20 m са обе стране пута, због емисија у ваздух, повећане </w:t>
      </w:r>
      <w:r>
        <w:rPr>
          <w:color w:val="231F20"/>
          <w:spacing w:val="-3"/>
        </w:rPr>
        <w:t>буке  </w:t>
      </w:r>
      <w:r>
        <w:rPr>
          <w:color w:val="231F20"/>
        </w:rPr>
        <w:t>и загађивања земљишта; у заштитном појасу дозвољено је форми- рати заштитно зеленило; није дозвољена изградња стамбених, по- словних и помоћних објеката; дозвољена је изградња објеката у функцији пута (бензинске станице, сервиси, складишта,</w:t>
      </w:r>
      <w:r>
        <w:rPr>
          <w:color w:val="231F20"/>
          <w:spacing w:val="-20"/>
        </w:rPr>
        <w:t> </w:t>
      </w:r>
      <w:r>
        <w:rPr>
          <w:color w:val="231F20"/>
        </w:rPr>
        <w:t>слично);</w:t>
      </w:r>
    </w:p>
    <w:p>
      <w:pPr>
        <w:pStyle w:val="BodyText"/>
        <w:spacing w:line="228" w:lineRule="auto"/>
        <w:ind w:right="38" w:firstLine="397"/>
      </w:pPr>
      <w:r>
        <w:rPr>
          <w:color w:val="231F20"/>
          <w:w w:val="66"/>
        </w:rPr>
        <w:t> </w:t>
      </w:r>
      <w:r>
        <w:rPr>
          <w:color w:val="231F20"/>
        </w:rPr>
        <w:t>–</w:t>
      </w:r>
      <w:r>
        <w:rPr>
          <w:color w:val="231F20"/>
          <w:spacing w:val="-10"/>
        </w:rPr>
        <w:t> </w:t>
      </w:r>
      <w:r>
        <w:rPr>
          <w:color w:val="231F20"/>
        </w:rPr>
        <w:t>зона</w:t>
      </w:r>
      <w:r>
        <w:rPr>
          <w:color w:val="231F20"/>
          <w:spacing w:val="-10"/>
        </w:rPr>
        <w:t> </w:t>
      </w:r>
      <w:r>
        <w:rPr>
          <w:color w:val="231F20"/>
        </w:rPr>
        <w:t>II</w:t>
      </w:r>
      <w:r>
        <w:rPr>
          <w:color w:val="231F20"/>
          <w:spacing w:val="15"/>
        </w:rPr>
        <w:t> </w:t>
      </w:r>
      <w:r>
        <w:rPr>
          <w:color w:val="231F20"/>
        </w:rPr>
        <w:t>–</w:t>
      </w:r>
      <w:r>
        <w:rPr>
          <w:color w:val="231F20"/>
          <w:spacing w:val="-10"/>
        </w:rPr>
        <w:t> </w:t>
      </w:r>
      <w:r>
        <w:rPr>
          <w:color w:val="231F20"/>
        </w:rPr>
        <w:t>појас</w:t>
      </w:r>
      <w:r>
        <w:rPr>
          <w:color w:val="231F20"/>
          <w:spacing w:val="-10"/>
        </w:rPr>
        <w:t> </w:t>
      </w:r>
      <w:r>
        <w:rPr>
          <w:color w:val="231F20"/>
          <w:spacing w:val="-3"/>
        </w:rPr>
        <w:t>великог</w:t>
      </w:r>
      <w:r>
        <w:rPr>
          <w:color w:val="231F20"/>
          <w:spacing w:val="-10"/>
        </w:rPr>
        <w:t> </w:t>
      </w:r>
      <w:r>
        <w:rPr>
          <w:color w:val="231F20"/>
          <w:spacing w:val="-3"/>
        </w:rPr>
        <w:t>еколошког</w:t>
      </w:r>
      <w:r>
        <w:rPr>
          <w:color w:val="231F20"/>
          <w:spacing w:val="-10"/>
        </w:rPr>
        <w:t> </w:t>
      </w:r>
      <w:r>
        <w:rPr>
          <w:color w:val="231F20"/>
        </w:rPr>
        <w:t>оптерећења</w:t>
      </w:r>
      <w:r>
        <w:rPr>
          <w:color w:val="231F20"/>
          <w:spacing w:val="-10"/>
        </w:rPr>
        <w:t> </w:t>
      </w:r>
      <w:r>
        <w:rPr>
          <w:color w:val="231F20"/>
        </w:rPr>
        <w:t>ширине</w:t>
      </w:r>
      <w:r>
        <w:rPr>
          <w:color w:val="231F20"/>
          <w:spacing w:val="-10"/>
        </w:rPr>
        <w:t> </w:t>
      </w:r>
      <w:r>
        <w:rPr>
          <w:color w:val="231F20"/>
        </w:rPr>
        <w:t>по</w:t>
      </w:r>
      <w:r>
        <w:rPr>
          <w:color w:val="231F20"/>
          <w:spacing w:val="-10"/>
        </w:rPr>
        <w:t> </w:t>
      </w:r>
      <w:r>
        <w:rPr>
          <w:color w:val="231F20"/>
        </w:rPr>
        <w:t>50 m са обе стране пута, због повећане </w:t>
      </w:r>
      <w:r>
        <w:rPr>
          <w:color w:val="231F20"/>
          <w:spacing w:val="-4"/>
        </w:rPr>
        <w:t>буке </w:t>
      </w:r>
      <w:r>
        <w:rPr>
          <w:color w:val="231F20"/>
        </w:rPr>
        <w:t>и загађивања земљишта; не препоручује се изградња стамбених објеката; постојећи легал- но изграђени објекти морају бити заштићени одговарајућом аку- </w:t>
      </w:r>
      <w:r>
        <w:rPr>
          <w:color w:val="231F20"/>
          <w:spacing w:val="-3"/>
        </w:rPr>
        <w:t>стичком </w:t>
      </w:r>
      <w:r>
        <w:rPr>
          <w:color w:val="231F20"/>
        </w:rPr>
        <w:t>заштитом;</w:t>
      </w:r>
      <w:r>
        <w:rPr>
          <w:color w:val="231F20"/>
          <w:spacing w:val="1"/>
        </w:rPr>
        <w:t> </w:t>
      </w:r>
      <w:r>
        <w:rPr>
          <w:color w:val="231F20"/>
        </w:rPr>
        <w:t>и</w:t>
      </w:r>
    </w:p>
    <w:p>
      <w:pPr>
        <w:pStyle w:val="BodyText"/>
        <w:spacing w:line="228" w:lineRule="auto"/>
        <w:ind w:right="38" w:firstLine="397"/>
      </w:pPr>
      <w:r>
        <w:rPr>
          <w:color w:val="231F20"/>
          <w:w w:val="66"/>
        </w:rPr>
        <w:t> </w:t>
      </w:r>
      <w:r>
        <w:rPr>
          <w:color w:val="231F20"/>
        </w:rPr>
        <w:t>–</w:t>
      </w:r>
      <w:r>
        <w:rPr>
          <w:color w:val="231F20"/>
          <w:spacing w:val="-11"/>
        </w:rPr>
        <w:t> </w:t>
      </w:r>
      <w:r>
        <w:rPr>
          <w:color w:val="231F20"/>
        </w:rPr>
        <w:t>зона</w:t>
      </w:r>
      <w:r>
        <w:rPr>
          <w:color w:val="231F20"/>
          <w:spacing w:val="-12"/>
        </w:rPr>
        <w:t> </w:t>
      </w:r>
      <w:r>
        <w:rPr>
          <w:color w:val="231F20"/>
        </w:rPr>
        <w:t>III</w:t>
      </w:r>
      <w:r>
        <w:rPr>
          <w:color w:val="231F20"/>
          <w:spacing w:val="13"/>
        </w:rPr>
        <w:t> </w:t>
      </w:r>
      <w:r>
        <w:rPr>
          <w:color w:val="231F20"/>
        </w:rPr>
        <w:t>–</w:t>
      </w:r>
      <w:r>
        <w:rPr>
          <w:color w:val="231F20"/>
          <w:spacing w:val="-11"/>
        </w:rPr>
        <w:t> </w:t>
      </w:r>
      <w:r>
        <w:rPr>
          <w:color w:val="231F20"/>
        </w:rPr>
        <w:t>појас</w:t>
      </w:r>
      <w:r>
        <w:rPr>
          <w:color w:val="231F20"/>
          <w:spacing w:val="-11"/>
        </w:rPr>
        <w:t> </w:t>
      </w:r>
      <w:r>
        <w:rPr>
          <w:color w:val="231F20"/>
        </w:rPr>
        <w:t>малог</w:t>
      </w:r>
      <w:r>
        <w:rPr>
          <w:color w:val="231F20"/>
          <w:spacing w:val="-11"/>
        </w:rPr>
        <w:t> </w:t>
      </w:r>
      <w:r>
        <w:rPr>
          <w:color w:val="231F20"/>
          <w:spacing w:val="-3"/>
        </w:rPr>
        <w:t>еколошког</w:t>
      </w:r>
      <w:r>
        <w:rPr>
          <w:color w:val="231F20"/>
          <w:spacing w:val="-11"/>
        </w:rPr>
        <w:t> </w:t>
      </w:r>
      <w:r>
        <w:rPr>
          <w:color w:val="231F20"/>
        </w:rPr>
        <w:t>оптерећења</w:t>
      </w:r>
      <w:r>
        <w:rPr>
          <w:color w:val="231F20"/>
          <w:spacing w:val="-12"/>
        </w:rPr>
        <w:t> </w:t>
      </w:r>
      <w:r>
        <w:rPr>
          <w:color w:val="231F20"/>
        </w:rPr>
        <w:t>ширине</w:t>
      </w:r>
      <w:r>
        <w:rPr>
          <w:color w:val="231F20"/>
          <w:spacing w:val="-12"/>
        </w:rPr>
        <w:t> </w:t>
      </w:r>
      <w:r>
        <w:rPr>
          <w:color w:val="231F20"/>
        </w:rPr>
        <w:t>по</w:t>
      </w:r>
      <w:r>
        <w:rPr>
          <w:color w:val="231F20"/>
          <w:spacing w:val="-12"/>
        </w:rPr>
        <w:t> </w:t>
      </w:r>
      <w:r>
        <w:rPr>
          <w:color w:val="231F20"/>
        </w:rPr>
        <w:t>180 m</w:t>
      </w:r>
      <w:r>
        <w:rPr>
          <w:color w:val="231F20"/>
          <w:spacing w:val="-5"/>
        </w:rPr>
        <w:t> </w:t>
      </w:r>
      <w:r>
        <w:rPr>
          <w:color w:val="231F20"/>
        </w:rPr>
        <w:t>са</w:t>
      </w:r>
      <w:r>
        <w:rPr>
          <w:color w:val="231F20"/>
          <w:spacing w:val="-5"/>
        </w:rPr>
        <w:t> </w:t>
      </w:r>
      <w:r>
        <w:rPr>
          <w:color w:val="231F20"/>
        </w:rPr>
        <w:t>обе</w:t>
      </w:r>
      <w:r>
        <w:rPr>
          <w:color w:val="231F20"/>
          <w:spacing w:val="-5"/>
        </w:rPr>
        <w:t> </w:t>
      </w:r>
      <w:r>
        <w:rPr>
          <w:color w:val="231F20"/>
        </w:rPr>
        <w:t>стране</w:t>
      </w:r>
      <w:r>
        <w:rPr>
          <w:color w:val="231F20"/>
          <w:spacing w:val="-5"/>
        </w:rPr>
        <w:t> </w:t>
      </w:r>
      <w:r>
        <w:rPr>
          <w:color w:val="231F20"/>
        </w:rPr>
        <w:t>пута,</w:t>
      </w:r>
      <w:r>
        <w:rPr>
          <w:color w:val="231F20"/>
          <w:spacing w:val="-5"/>
        </w:rPr>
        <w:t> </w:t>
      </w:r>
      <w:r>
        <w:rPr>
          <w:color w:val="231F20"/>
        </w:rPr>
        <w:t>због</w:t>
      </w:r>
      <w:r>
        <w:rPr>
          <w:color w:val="231F20"/>
          <w:spacing w:val="-5"/>
        </w:rPr>
        <w:t> </w:t>
      </w:r>
      <w:r>
        <w:rPr>
          <w:color w:val="231F20"/>
        </w:rPr>
        <w:t>повећане</w:t>
      </w:r>
      <w:r>
        <w:rPr>
          <w:color w:val="231F20"/>
          <w:spacing w:val="-5"/>
        </w:rPr>
        <w:t> </w:t>
      </w:r>
      <w:r>
        <w:rPr>
          <w:color w:val="231F20"/>
          <w:spacing w:val="-3"/>
        </w:rPr>
        <w:t>буке;</w:t>
      </w:r>
      <w:r>
        <w:rPr>
          <w:color w:val="231F20"/>
          <w:spacing w:val="-5"/>
        </w:rPr>
        <w:t> </w:t>
      </w:r>
      <w:r>
        <w:rPr>
          <w:color w:val="231F20"/>
        </w:rPr>
        <w:t>изградња</w:t>
      </w:r>
      <w:r>
        <w:rPr>
          <w:color w:val="231F20"/>
          <w:spacing w:val="-5"/>
        </w:rPr>
        <w:t> </w:t>
      </w:r>
      <w:r>
        <w:rPr>
          <w:color w:val="231F20"/>
        </w:rPr>
        <w:t>стамбених,</w:t>
      </w:r>
      <w:r>
        <w:rPr>
          <w:color w:val="231F20"/>
          <w:spacing w:val="-5"/>
        </w:rPr>
        <w:t> </w:t>
      </w:r>
      <w:r>
        <w:rPr>
          <w:color w:val="231F20"/>
        </w:rPr>
        <w:t>по- словних</w:t>
      </w:r>
      <w:r>
        <w:rPr>
          <w:color w:val="231F20"/>
          <w:spacing w:val="-5"/>
        </w:rPr>
        <w:t> </w:t>
      </w:r>
      <w:r>
        <w:rPr>
          <w:color w:val="231F20"/>
        </w:rPr>
        <w:t>и</w:t>
      </w:r>
      <w:r>
        <w:rPr>
          <w:color w:val="231F20"/>
          <w:spacing w:val="-5"/>
        </w:rPr>
        <w:t> </w:t>
      </w:r>
      <w:r>
        <w:rPr>
          <w:color w:val="231F20"/>
        </w:rPr>
        <w:t>привредних</w:t>
      </w:r>
      <w:r>
        <w:rPr>
          <w:color w:val="231F20"/>
          <w:spacing w:val="-5"/>
        </w:rPr>
        <w:t> </w:t>
      </w:r>
      <w:r>
        <w:rPr>
          <w:color w:val="231F20"/>
        </w:rPr>
        <w:t>објеката</w:t>
      </w:r>
      <w:r>
        <w:rPr>
          <w:color w:val="231F20"/>
          <w:spacing w:val="-5"/>
        </w:rPr>
        <w:t> </w:t>
      </w:r>
      <w:r>
        <w:rPr>
          <w:color w:val="231F20"/>
        </w:rPr>
        <w:t>дозвољена</w:t>
      </w:r>
      <w:r>
        <w:rPr>
          <w:color w:val="231F20"/>
          <w:spacing w:val="-5"/>
        </w:rPr>
        <w:t> </w:t>
      </w:r>
      <w:r>
        <w:rPr>
          <w:color w:val="231F20"/>
          <w:spacing w:val="-3"/>
        </w:rPr>
        <w:t>под</w:t>
      </w:r>
      <w:r>
        <w:rPr>
          <w:color w:val="231F20"/>
          <w:spacing w:val="-5"/>
        </w:rPr>
        <w:t> </w:t>
      </w:r>
      <w:r>
        <w:rPr>
          <w:color w:val="231F20"/>
        </w:rPr>
        <w:t>условом</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обез- беде мере заштите </w:t>
      </w:r>
      <w:r>
        <w:rPr>
          <w:color w:val="231F20"/>
          <w:spacing w:val="-3"/>
        </w:rPr>
        <w:t>од</w:t>
      </w:r>
      <w:r>
        <w:rPr>
          <w:color w:val="231F20"/>
          <w:spacing w:val="-1"/>
        </w:rPr>
        <w:t> </w:t>
      </w:r>
      <w:r>
        <w:rPr>
          <w:color w:val="231F20"/>
          <w:spacing w:val="-3"/>
        </w:rPr>
        <w:t>буке.</w:t>
      </w:r>
    </w:p>
    <w:p>
      <w:pPr>
        <w:pStyle w:val="BodyText"/>
        <w:spacing w:line="228" w:lineRule="auto"/>
        <w:ind w:right="38" w:firstLine="396"/>
      </w:pPr>
      <w:r>
        <w:rPr>
          <w:color w:val="231F20"/>
        </w:rPr>
        <w:t>За</w:t>
      </w:r>
      <w:r>
        <w:rPr>
          <w:color w:val="231F20"/>
          <w:spacing w:val="-6"/>
        </w:rPr>
        <w:t> </w:t>
      </w:r>
      <w:r>
        <w:rPr>
          <w:color w:val="231F20"/>
        </w:rPr>
        <w:t>превоз</w:t>
      </w:r>
      <w:r>
        <w:rPr>
          <w:color w:val="231F20"/>
          <w:spacing w:val="-6"/>
        </w:rPr>
        <w:t> </w:t>
      </w:r>
      <w:r>
        <w:rPr>
          <w:color w:val="231F20"/>
        </w:rPr>
        <w:t>опасних</w:t>
      </w:r>
      <w:r>
        <w:rPr>
          <w:color w:val="231F20"/>
          <w:spacing w:val="-6"/>
        </w:rPr>
        <w:t> </w:t>
      </w:r>
      <w:r>
        <w:rPr>
          <w:color w:val="231F20"/>
        </w:rPr>
        <w:t>и</w:t>
      </w:r>
      <w:r>
        <w:rPr>
          <w:color w:val="231F20"/>
          <w:spacing w:val="-6"/>
        </w:rPr>
        <w:t> </w:t>
      </w:r>
      <w:r>
        <w:rPr>
          <w:color w:val="231F20"/>
        </w:rPr>
        <w:t>штетних</w:t>
      </w:r>
      <w:r>
        <w:rPr>
          <w:color w:val="231F20"/>
          <w:spacing w:val="-6"/>
        </w:rPr>
        <w:t> </w:t>
      </w:r>
      <w:r>
        <w:rPr>
          <w:color w:val="231F20"/>
        </w:rPr>
        <w:t>материја</w:t>
      </w:r>
      <w:r>
        <w:rPr>
          <w:color w:val="231F20"/>
          <w:spacing w:val="-6"/>
        </w:rPr>
        <w:t> </w:t>
      </w:r>
      <w:r>
        <w:rPr>
          <w:color w:val="231F20"/>
        </w:rPr>
        <w:t>дозвољено</w:t>
      </w:r>
      <w:r>
        <w:rPr>
          <w:color w:val="231F20"/>
          <w:spacing w:val="-6"/>
        </w:rPr>
        <w:t> </w:t>
      </w:r>
      <w:r>
        <w:rPr>
          <w:color w:val="231F20"/>
        </w:rPr>
        <w:t>је</w:t>
      </w:r>
      <w:r>
        <w:rPr>
          <w:color w:val="231F20"/>
          <w:spacing w:val="-6"/>
        </w:rPr>
        <w:t> </w:t>
      </w:r>
      <w:r>
        <w:rPr>
          <w:color w:val="231F20"/>
        </w:rPr>
        <w:t>користи- ти искључиво деонице државних путева I реда </w:t>
      </w:r>
      <w:r>
        <w:rPr>
          <w:color w:val="231F20"/>
          <w:spacing w:val="-3"/>
        </w:rPr>
        <w:t>који </w:t>
      </w:r>
      <w:r>
        <w:rPr>
          <w:color w:val="231F20"/>
        </w:rPr>
        <w:t>пролазе кроз подручја ниже густине насељености. Ово ограничење се не одно- си на превоз нафтних деривата у цистернама капацитета до 10</w:t>
      </w:r>
      <w:r>
        <w:rPr>
          <w:color w:val="231F20"/>
          <w:spacing w:val="-24"/>
        </w:rPr>
        <w:t> </w:t>
      </w:r>
      <w:r>
        <w:rPr>
          <w:color w:val="231F20"/>
        </w:rPr>
        <w:t>t.</w:t>
      </w:r>
    </w:p>
    <w:p>
      <w:pPr>
        <w:pStyle w:val="ListParagraph"/>
        <w:numPr>
          <w:ilvl w:val="2"/>
          <w:numId w:val="34"/>
        </w:numPr>
        <w:tabs>
          <w:tab w:pos="1224" w:val="left" w:leader="none"/>
        </w:tabs>
        <w:spacing w:line="240" w:lineRule="auto" w:before="135" w:after="0"/>
        <w:ind w:left="1223" w:right="0" w:hanging="315"/>
        <w:jc w:val="left"/>
        <w:rPr>
          <w:i/>
          <w:sz w:val="18"/>
        </w:rPr>
      </w:pPr>
      <w:r>
        <w:rPr>
          <w:i/>
          <w:color w:val="231F20"/>
          <w:sz w:val="18"/>
        </w:rPr>
        <w:t>Рекултивација и ревитализација</w:t>
      </w:r>
      <w:r>
        <w:rPr>
          <w:i/>
          <w:color w:val="231F20"/>
          <w:spacing w:val="-3"/>
          <w:sz w:val="18"/>
        </w:rPr>
        <w:t> </w:t>
      </w:r>
      <w:r>
        <w:rPr>
          <w:i/>
          <w:color w:val="231F20"/>
          <w:sz w:val="18"/>
        </w:rPr>
        <w:t>простора</w:t>
      </w:r>
    </w:p>
    <w:p>
      <w:pPr>
        <w:pStyle w:val="BodyText"/>
        <w:spacing w:before="8"/>
        <w:ind w:left="0"/>
        <w:jc w:val="left"/>
        <w:rPr>
          <w:i/>
          <w:sz w:val="16"/>
        </w:rPr>
      </w:pPr>
    </w:p>
    <w:p>
      <w:pPr>
        <w:pStyle w:val="BodyText"/>
        <w:spacing w:line="228" w:lineRule="auto"/>
        <w:ind w:right="38" w:firstLine="397"/>
      </w:pPr>
      <w:r>
        <w:rPr>
          <w:color w:val="231F20"/>
        </w:rPr>
        <w:t>План рекултивације земљишта и ревитализације простора заснива се на савременом концепту целовите рехабилитације и унапређивања изворних карактеристика предела, </w:t>
      </w:r>
      <w:r>
        <w:rPr>
          <w:color w:val="231F20"/>
          <w:spacing w:val="-3"/>
        </w:rPr>
        <w:t>које </w:t>
      </w:r>
      <w:r>
        <w:rPr>
          <w:color w:val="231F20"/>
        </w:rPr>
        <w:t>су униште- не или нарушене активношћу </w:t>
      </w:r>
      <w:r>
        <w:rPr>
          <w:color w:val="231F20"/>
          <w:spacing w:val="-3"/>
        </w:rPr>
        <w:t>рудника </w:t>
      </w:r>
      <w:r>
        <w:rPr>
          <w:color w:val="231F20"/>
        </w:rPr>
        <w:t>и термоелектрана. Спрово- ђење</w:t>
      </w:r>
      <w:r>
        <w:rPr>
          <w:color w:val="231F20"/>
          <w:spacing w:val="-9"/>
        </w:rPr>
        <w:t> </w:t>
      </w:r>
      <w:r>
        <w:rPr>
          <w:color w:val="231F20"/>
        </w:rPr>
        <w:t>тог</w:t>
      </w:r>
      <w:r>
        <w:rPr>
          <w:color w:val="231F20"/>
          <w:spacing w:val="-9"/>
        </w:rPr>
        <w:t> </w:t>
      </w:r>
      <w:r>
        <w:rPr>
          <w:color w:val="231F20"/>
        </w:rPr>
        <w:t>концепта</w:t>
      </w:r>
      <w:r>
        <w:rPr>
          <w:color w:val="231F20"/>
          <w:spacing w:val="-9"/>
        </w:rPr>
        <w:t> </w:t>
      </w:r>
      <w:r>
        <w:rPr>
          <w:color w:val="231F20"/>
        </w:rPr>
        <w:t>подразумева</w:t>
      </w:r>
      <w:r>
        <w:rPr>
          <w:color w:val="231F20"/>
          <w:spacing w:val="-9"/>
        </w:rPr>
        <w:t> </w:t>
      </w:r>
      <w:r>
        <w:rPr>
          <w:color w:val="231F20"/>
        </w:rPr>
        <w:t>претходну</w:t>
      </w:r>
      <w:r>
        <w:rPr>
          <w:color w:val="231F20"/>
          <w:spacing w:val="-9"/>
        </w:rPr>
        <w:t> </w:t>
      </w:r>
      <w:r>
        <w:rPr>
          <w:color w:val="231F20"/>
        </w:rPr>
        <w:t>ремедијацију</w:t>
      </w:r>
      <w:r>
        <w:rPr>
          <w:color w:val="231F20"/>
          <w:spacing w:val="-9"/>
        </w:rPr>
        <w:t> </w:t>
      </w:r>
      <w:r>
        <w:rPr>
          <w:color w:val="231F20"/>
        </w:rPr>
        <w:t>загађених локалитета (чишћење и уклањање супстанци </w:t>
      </w:r>
      <w:r>
        <w:rPr>
          <w:color w:val="231F20"/>
          <w:spacing w:val="-3"/>
        </w:rPr>
        <w:t>које </w:t>
      </w:r>
      <w:r>
        <w:rPr>
          <w:color w:val="231F20"/>
        </w:rPr>
        <w:t>штетно утичу на земљиште и воде), с једне стране, и обогаћивање деградираног простора новим функционалним и естетским садржајима, с</w:t>
      </w:r>
      <w:r>
        <w:rPr>
          <w:color w:val="231F20"/>
          <w:spacing w:val="-19"/>
        </w:rPr>
        <w:t> </w:t>
      </w:r>
      <w:r>
        <w:rPr>
          <w:color w:val="231F20"/>
        </w:rPr>
        <w:t>друге.</w:t>
      </w:r>
    </w:p>
    <w:p>
      <w:pPr>
        <w:pStyle w:val="BodyText"/>
        <w:spacing w:before="69"/>
        <w:ind w:right="411" w:firstLine="397"/>
      </w:pPr>
      <w:r>
        <w:rPr/>
        <w:br w:type="column"/>
      </w:r>
      <w:r>
        <w:rPr>
          <w:color w:val="231F20"/>
        </w:rPr>
        <w:t>Полазећи </w:t>
      </w:r>
      <w:r>
        <w:rPr>
          <w:color w:val="231F20"/>
          <w:spacing w:val="-3"/>
        </w:rPr>
        <w:t>од </w:t>
      </w:r>
      <w:r>
        <w:rPr>
          <w:color w:val="231F20"/>
        </w:rPr>
        <w:t>садашње физичке структуре терена заузетих рударско-енергетским активностима и планираног даљег разво-  ја експлоатације лигнита, процењује се да у периоду 2010 – 2022. </w:t>
      </w:r>
      <w:r>
        <w:rPr>
          <w:color w:val="231F20"/>
          <w:spacing w:val="-3"/>
        </w:rPr>
        <w:t>године </w:t>
      </w:r>
      <w:r>
        <w:rPr>
          <w:color w:val="231F20"/>
        </w:rPr>
        <w:t>постоје реални </w:t>
      </w:r>
      <w:r>
        <w:rPr>
          <w:color w:val="231F20"/>
          <w:spacing w:val="-3"/>
        </w:rPr>
        <w:t>изгледи </w:t>
      </w:r>
      <w:r>
        <w:rPr>
          <w:color w:val="231F20"/>
        </w:rPr>
        <w:t>за спровођење рекултивације на </w:t>
      </w:r>
      <w:r>
        <w:rPr>
          <w:color w:val="231F20"/>
          <w:spacing w:val="-4"/>
        </w:rPr>
        <w:t>око </w:t>
      </w:r>
      <w:r>
        <w:rPr>
          <w:color w:val="231F20"/>
        </w:rPr>
        <w:t>1.719 ha деградираног простора, </w:t>
      </w:r>
      <w:r>
        <w:rPr>
          <w:color w:val="231F20"/>
          <w:spacing w:val="-3"/>
        </w:rPr>
        <w:t>од </w:t>
      </w:r>
      <w:r>
        <w:rPr>
          <w:color w:val="231F20"/>
        </w:rPr>
        <w:t>тога </w:t>
      </w:r>
      <w:r>
        <w:rPr>
          <w:color w:val="231F20"/>
          <w:spacing w:val="-4"/>
        </w:rPr>
        <w:t>око </w:t>
      </w:r>
      <w:r>
        <w:rPr>
          <w:color w:val="231F20"/>
        </w:rPr>
        <w:t>1.126 ha до 2015. године, и то не само на површинама спољашњих и унутрашњих одлагалишта затворених </w:t>
      </w:r>
      <w:r>
        <w:rPr>
          <w:color w:val="231F20"/>
          <w:spacing w:val="-3"/>
        </w:rPr>
        <w:t>копова </w:t>
      </w:r>
      <w:r>
        <w:rPr>
          <w:color w:val="231F20"/>
          <w:spacing w:val="-4"/>
        </w:rPr>
        <w:t>„Ћириковац” </w:t>
      </w:r>
      <w:r>
        <w:rPr>
          <w:color w:val="231F20"/>
        </w:rPr>
        <w:t>(389 ha) и „Кленов- ник” (300 ha), већ и на </w:t>
      </w:r>
      <w:r>
        <w:rPr>
          <w:color w:val="231F20"/>
          <w:spacing w:val="-4"/>
        </w:rPr>
        <w:t>око </w:t>
      </w:r>
      <w:r>
        <w:rPr>
          <w:color w:val="231F20"/>
        </w:rPr>
        <w:t>240 ha унутрашњих и спољашњих од- лагалишта јаловине активног </w:t>
      </w:r>
      <w:r>
        <w:rPr>
          <w:color w:val="231F20"/>
          <w:spacing w:val="-3"/>
        </w:rPr>
        <w:t>копа </w:t>
      </w:r>
      <w:r>
        <w:rPr>
          <w:color w:val="231F20"/>
        </w:rPr>
        <w:t>„Дрмно” (240 ha), као и на ка- сетама Б и Ц одлагалишта пепела на Средњем </w:t>
      </w:r>
      <w:r>
        <w:rPr>
          <w:color w:val="231F20"/>
          <w:spacing w:val="-4"/>
        </w:rPr>
        <w:t>костолачком </w:t>
      </w:r>
      <w:r>
        <w:rPr>
          <w:color w:val="231F20"/>
        </w:rPr>
        <w:t>острву (укупно 197,6</w:t>
      </w:r>
      <w:r>
        <w:rPr>
          <w:color w:val="231F20"/>
          <w:spacing w:val="-2"/>
        </w:rPr>
        <w:t> </w:t>
      </w:r>
      <w:r>
        <w:rPr>
          <w:color w:val="231F20"/>
        </w:rPr>
        <w:t>ha).</w:t>
      </w:r>
    </w:p>
    <w:p>
      <w:pPr>
        <w:pStyle w:val="BodyText"/>
        <w:spacing w:line="184" w:lineRule="exact"/>
        <w:ind w:left="567"/>
        <w:jc w:val="left"/>
      </w:pPr>
      <w:r>
        <w:rPr/>
        <w:pict>
          <v:line style="position:absolute;mso-position-horizontal-relative:page;mso-position-vertical-relative:paragraph;z-index:2968" from="304.724396pt,-111.766289pt" to="304.724396pt,448.076711pt" stroked="true" strokeweight=".6pt" strokecolor="#231f20">
            <v:stroke dashstyle="solid"/>
            <w10:wrap type="none"/>
          </v:line>
        </w:pict>
      </w:r>
      <w:r>
        <w:rPr>
          <w:color w:val="231F20"/>
        </w:rPr>
        <w:t>Планирано сукцесивно повећавање експлоатационих повр-</w:t>
      </w:r>
    </w:p>
    <w:p>
      <w:pPr>
        <w:pStyle w:val="BodyText"/>
        <w:ind w:right="412"/>
      </w:pPr>
      <w:r>
        <w:rPr>
          <w:color w:val="231F20"/>
        </w:rPr>
        <w:t>шина</w:t>
      </w:r>
      <w:r>
        <w:rPr>
          <w:color w:val="231F20"/>
          <w:spacing w:val="-6"/>
        </w:rPr>
        <w:t> </w:t>
      </w:r>
      <w:r>
        <w:rPr>
          <w:color w:val="231F20"/>
          <w:spacing w:val="-3"/>
        </w:rPr>
        <w:t>копа</w:t>
      </w:r>
      <w:r>
        <w:rPr>
          <w:color w:val="231F20"/>
          <w:spacing w:val="-6"/>
        </w:rPr>
        <w:t> </w:t>
      </w:r>
      <w:r>
        <w:rPr>
          <w:color w:val="231F20"/>
        </w:rPr>
        <w:t>„Дрмно”</w:t>
      </w:r>
      <w:r>
        <w:rPr>
          <w:color w:val="231F20"/>
          <w:spacing w:val="-6"/>
        </w:rPr>
        <w:t> </w:t>
      </w:r>
      <w:r>
        <w:rPr>
          <w:color w:val="231F20"/>
        </w:rPr>
        <w:t>(за</w:t>
      </w:r>
      <w:r>
        <w:rPr>
          <w:color w:val="231F20"/>
          <w:spacing w:val="-6"/>
        </w:rPr>
        <w:t> </w:t>
      </w:r>
      <w:r>
        <w:rPr>
          <w:color w:val="231F20"/>
          <w:spacing w:val="-4"/>
        </w:rPr>
        <w:t>око</w:t>
      </w:r>
      <w:r>
        <w:rPr>
          <w:color w:val="231F20"/>
          <w:spacing w:val="-6"/>
        </w:rPr>
        <w:t> </w:t>
      </w:r>
      <w:r>
        <w:rPr>
          <w:color w:val="231F20"/>
        </w:rPr>
        <w:t>334</w:t>
      </w:r>
      <w:r>
        <w:rPr>
          <w:color w:val="231F20"/>
          <w:spacing w:val="-6"/>
        </w:rPr>
        <w:t> </w:t>
      </w:r>
      <w:r>
        <w:rPr>
          <w:color w:val="231F20"/>
        </w:rPr>
        <w:t>ha</w:t>
      </w:r>
      <w:r>
        <w:rPr>
          <w:color w:val="231F20"/>
          <w:spacing w:val="-6"/>
        </w:rPr>
        <w:t> </w:t>
      </w:r>
      <w:r>
        <w:rPr>
          <w:color w:val="231F20"/>
        </w:rPr>
        <w:t>у</w:t>
      </w:r>
      <w:r>
        <w:rPr>
          <w:color w:val="231F20"/>
          <w:spacing w:val="-6"/>
        </w:rPr>
        <w:t> </w:t>
      </w:r>
      <w:r>
        <w:rPr>
          <w:color w:val="231F20"/>
        </w:rPr>
        <w:t>периоду</w:t>
      </w:r>
      <w:r>
        <w:rPr>
          <w:color w:val="231F20"/>
          <w:spacing w:val="-6"/>
        </w:rPr>
        <w:t> </w:t>
      </w:r>
      <w:r>
        <w:rPr>
          <w:color w:val="231F20"/>
        </w:rPr>
        <w:t>2010</w:t>
      </w:r>
      <w:r>
        <w:rPr>
          <w:color w:val="231F20"/>
          <w:spacing w:val="-18"/>
        </w:rPr>
        <w:t> </w:t>
      </w:r>
      <w:r>
        <w:rPr>
          <w:color w:val="231F20"/>
        </w:rPr>
        <w:t>–2015.</w:t>
      </w:r>
      <w:r>
        <w:rPr>
          <w:color w:val="231F20"/>
          <w:spacing w:val="-6"/>
        </w:rPr>
        <w:t> </w:t>
      </w:r>
      <w:r>
        <w:rPr>
          <w:color w:val="231F20"/>
        </w:rPr>
        <w:t>и</w:t>
      </w:r>
      <w:r>
        <w:rPr>
          <w:color w:val="231F20"/>
          <w:spacing w:val="-6"/>
        </w:rPr>
        <w:t> </w:t>
      </w:r>
      <w:r>
        <w:rPr>
          <w:color w:val="231F20"/>
        </w:rPr>
        <w:t>589,4</w:t>
      </w:r>
      <w:r>
        <w:rPr>
          <w:color w:val="231F20"/>
          <w:spacing w:val="-6"/>
        </w:rPr>
        <w:t> </w:t>
      </w:r>
      <w:r>
        <w:rPr>
          <w:color w:val="231F20"/>
        </w:rPr>
        <w:t>ha у</w:t>
      </w:r>
      <w:r>
        <w:rPr>
          <w:color w:val="231F20"/>
          <w:spacing w:val="-8"/>
        </w:rPr>
        <w:t> </w:t>
      </w:r>
      <w:r>
        <w:rPr>
          <w:color w:val="231F20"/>
        </w:rPr>
        <w:t>периоду</w:t>
      </w:r>
      <w:r>
        <w:rPr>
          <w:color w:val="231F20"/>
          <w:spacing w:val="-8"/>
        </w:rPr>
        <w:t> </w:t>
      </w:r>
      <w:r>
        <w:rPr>
          <w:color w:val="231F20"/>
        </w:rPr>
        <w:t>2016</w:t>
      </w:r>
      <w:r>
        <w:rPr>
          <w:color w:val="231F20"/>
          <w:spacing w:val="-21"/>
        </w:rPr>
        <w:t> </w:t>
      </w:r>
      <w:r>
        <w:rPr>
          <w:color w:val="231F20"/>
        </w:rPr>
        <w:t>–2022.</w:t>
      </w:r>
      <w:r>
        <w:rPr>
          <w:color w:val="231F20"/>
          <w:spacing w:val="-8"/>
        </w:rPr>
        <w:t> </w:t>
      </w:r>
      <w:r>
        <w:rPr>
          <w:color w:val="231F20"/>
        </w:rPr>
        <w:t>године)</w:t>
      </w:r>
      <w:r>
        <w:rPr>
          <w:color w:val="231F20"/>
          <w:spacing w:val="-8"/>
        </w:rPr>
        <w:t> </w:t>
      </w:r>
      <w:r>
        <w:rPr>
          <w:color w:val="231F20"/>
        </w:rPr>
        <w:t>биће</w:t>
      </w:r>
      <w:r>
        <w:rPr>
          <w:color w:val="231F20"/>
          <w:spacing w:val="-8"/>
        </w:rPr>
        <w:t> </w:t>
      </w:r>
      <w:r>
        <w:rPr>
          <w:color w:val="231F20"/>
        </w:rPr>
        <w:t>праћено</w:t>
      </w:r>
      <w:r>
        <w:rPr>
          <w:color w:val="231F20"/>
          <w:spacing w:val="-8"/>
        </w:rPr>
        <w:t> </w:t>
      </w:r>
      <w:r>
        <w:rPr>
          <w:color w:val="231F20"/>
        </w:rPr>
        <w:t>рекултивисањем</w:t>
      </w:r>
      <w:r>
        <w:rPr>
          <w:color w:val="231F20"/>
          <w:spacing w:val="-8"/>
        </w:rPr>
        <w:t> </w:t>
      </w:r>
      <w:r>
        <w:rPr>
          <w:color w:val="231F20"/>
          <w:spacing w:val="-3"/>
        </w:rPr>
        <w:t>гото- </w:t>
      </w:r>
      <w:r>
        <w:rPr>
          <w:color w:val="231F20"/>
        </w:rPr>
        <w:t>во свих досадашњих спољашних оглагалишта јаловине </w:t>
      </w:r>
      <w:r>
        <w:rPr>
          <w:color w:val="231F20"/>
          <w:spacing w:val="-3"/>
        </w:rPr>
        <w:t>(око </w:t>
      </w:r>
      <w:r>
        <w:rPr>
          <w:color w:val="231F20"/>
        </w:rPr>
        <w:t>451 ha), већег дела спољашњег и унутрашњих одлагалишта пепела и шљаке</w:t>
      </w:r>
      <w:r>
        <w:rPr>
          <w:color w:val="231F20"/>
          <w:spacing w:val="-8"/>
        </w:rPr>
        <w:t> </w:t>
      </w:r>
      <w:r>
        <w:rPr>
          <w:color w:val="231F20"/>
        </w:rPr>
        <w:t>(укупно</w:t>
      </w:r>
      <w:r>
        <w:rPr>
          <w:color w:val="231F20"/>
          <w:spacing w:val="-8"/>
        </w:rPr>
        <w:t> </w:t>
      </w:r>
      <w:r>
        <w:rPr>
          <w:color w:val="231F20"/>
          <w:spacing w:val="-4"/>
        </w:rPr>
        <w:t>око</w:t>
      </w:r>
      <w:r>
        <w:rPr>
          <w:color w:val="231F20"/>
          <w:spacing w:val="-8"/>
        </w:rPr>
        <w:t> </w:t>
      </w:r>
      <w:r>
        <w:rPr>
          <w:color w:val="231F20"/>
        </w:rPr>
        <w:t>317</w:t>
      </w:r>
      <w:r>
        <w:rPr>
          <w:color w:val="231F20"/>
          <w:spacing w:val="-8"/>
        </w:rPr>
        <w:t> </w:t>
      </w:r>
      <w:r>
        <w:rPr>
          <w:color w:val="231F20"/>
        </w:rPr>
        <w:t>ha),</w:t>
      </w:r>
      <w:r>
        <w:rPr>
          <w:color w:val="231F20"/>
          <w:spacing w:val="-8"/>
        </w:rPr>
        <w:t> </w:t>
      </w:r>
      <w:r>
        <w:rPr>
          <w:color w:val="231F20"/>
        </w:rPr>
        <w:t>свих</w:t>
      </w:r>
      <w:r>
        <w:rPr>
          <w:color w:val="231F20"/>
          <w:spacing w:val="-8"/>
        </w:rPr>
        <w:t> </w:t>
      </w:r>
      <w:r>
        <w:rPr>
          <w:color w:val="231F20"/>
        </w:rPr>
        <w:t>површина</w:t>
      </w:r>
      <w:r>
        <w:rPr>
          <w:color w:val="231F20"/>
          <w:spacing w:val="-8"/>
        </w:rPr>
        <w:t> </w:t>
      </w:r>
      <w:r>
        <w:rPr>
          <w:color w:val="231F20"/>
        </w:rPr>
        <w:t>унутрашњих</w:t>
      </w:r>
      <w:r>
        <w:rPr>
          <w:color w:val="231F20"/>
          <w:spacing w:val="-8"/>
        </w:rPr>
        <w:t> </w:t>
      </w:r>
      <w:r>
        <w:rPr>
          <w:color w:val="231F20"/>
        </w:rPr>
        <w:t>одлагали- шта јаловине у затвореним коповима </w:t>
      </w:r>
      <w:r>
        <w:rPr>
          <w:color w:val="231F20"/>
          <w:spacing w:val="-4"/>
        </w:rPr>
        <w:t>„Ћириковац” </w:t>
      </w:r>
      <w:r>
        <w:rPr>
          <w:color w:val="231F20"/>
        </w:rPr>
        <w:t>и „Кленовник”, као и у делу активног </w:t>
      </w:r>
      <w:r>
        <w:rPr>
          <w:color w:val="231F20"/>
          <w:spacing w:val="-3"/>
        </w:rPr>
        <w:t>копа </w:t>
      </w:r>
      <w:r>
        <w:rPr>
          <w:color w:val="231F20"/>
        </w:rPr>
        <w:t>„Дрмно” (укупно </w:t>
      </w:r>
      <w:r>
        <w:rPr>
          <w:color w:val="231F20"/>
          <w:spacing w:val="-4"/>
        </w:rPr>
        <w:t>око </w:t>
      </w:r>
      <w:r>
        <w:rPr>
          <w:color w:val="231F20"/>
        </w:rPr>
        <w:t>914 ha) и про- стора </w:t>
      </w:r>
      <w:r>
        <w:rPr>
          <w:color w:val="231F20"/>
          <w:spacing w:val="-3"/>
        </w:rPr>
        <w:t>који </w:t>
      </w:r>
      <w:r>
        <w:rPr>
          <w:color w:val="231F20"/>
        </w:rPr>
        <w:t>је заузимала дробилана и управа на </w:t>
      </w:r>
      <w:r>
        <w:rPr>
          <w:color w:val="231F20"/>
          <w:spacing w:val="-3"/>
        </w:rPr>
        <w:t>копу „Ћириковац” </w:t>
      </w:r>
      <w:r>
        <w:rPr>
          <w:color w:val="231F20"/>
        </w:rPr>
        <w:t>(укупно</w:t>
      </w:r>
      <w:r>
        <w:rPr>
          <w:color w:val="231F20"/>
          <w:spacing w:val="-9"/>
        </w:rPr>
        <w:t> </w:t>
      </w:r>
      <w:r>
        <w:rPr>
          <w:color w:val="231F20"/>
        </w:rPr>
        <w:t>36,5</w:t>
      </w:r>
      <w:r>
        <w:rPr>
          <w:color w:val="231F20"/>
          <w:spacing w:val="-9"/>
        </w:rPr>
        <w:t> </w:t>
      </w:r>
      <w:r>
        <w:rPr>
          <w:color w:val="231F20"/>
        </w:rPr>
        <w:t>ha).</w:t>
      </w:r>
      <w:r>
        <w:rPr>
          <w:color w:val="231F20"/>
          <w:spacing w:val="-9"/>
        </w:rPr>
        <w:t> </w:t>
      </w:r>
      <w:r>
        <w:rPr>
          <w:color w:val="231F20"/>
        </w:rPr>
        <w:t>Збирно</w:t>
      </w:r>
      <w:r>
        <w:rPr>
          <w:color w:val="231F20"/>
          <w:spacing w:val="-9"/>
        </w:rPr>
        <w:t> </w:t>
      </w:r>
      <w:r>
        <w:rPr>
          <w:color w:val="231F20"/>
        </w:rPr>
        <w:t>гледано,</w:t>
      </w:r>
      <w:r>
        <w:rPr>
          <w:color w:val="231F20"/>
          <w:spacing w:val="-9"/>
        </w:rPr>
        <w:t> </w:t>
      </w:r>
      <w:r>
        <w:rPr>
          <w:color w:val="231F20"/>
        </w:rPr>
        <w:t>у</w:t>
      </w:r>
      <w:r>
        <w:rPr>
          <w:color w:val="231F20"/>
          <w:spacing w:val="-9"/>
        </w:rPr>
        <w:t> </w:t>
      </w:r>
      <w:r>
        <w:rPr>
          <w:color w:val="231F20"/>
        </w:rPr>
        <w:t>2022.</w:t>
      </w:r>
      <w:r>
        <w:rPr>
          <w:color w:val="231F20"/>
          <w:spacing w:val="-9"/>
        </w:rPr>
        <w:t> </w:t>
      </w:r>
      <w:r>
        <w:rPr>
          <w:color w:val="231F20"/>
        </w:rPr>
        <w:t>години</w:t>
      </w:r>
      <w:r>
        <w:rPr>
          <w:color w:val="231F20"/>
          <w:spacing w:val="-9"/>
        </w:rPr>
        <w:t> </w:t>
      </w:r>
      <w:r>
        <w:rPr>
          <w:color w:val="231F20"/>
        </w:rPr>
        <w:t>укупне</w:t>
      </w:r>
      <w:r>
        <w:rPr>
          <w:color w:val="231F20"/>
          <w:spacing w:val="-9"/>
        </w:rPr>
        <w:t> </w:t>
      </w:r>
      <w:r>
        <w:rPr>
          <w:color w:val="231F20"/>
        </w:rPr>
        <w:t>површине простора активно заузетог </w:t>
      </w:r>
      <w:r>
        <w:rPr>
          <w:color w:val="231F20"/>
          <w:spacing w:val="-4"/>
        </w:rPr>
        <w:t>рударском </w:t>
      </w:r>
      <w:r>
        <w:rPr>
          <w:color w:val="231F20"/>
        </w:rPr>
        <w:t>експлоатацијом (1.391,1 ha), требало би да </w:t>
      </w:r>
      <w:r>
        <w:rPr>
          <w:color w:val="231F20"/>
          <w:spacing w:val="-5"/>
        </w:rPr>
        <w:t>буду </w:t>
      </w:r>
      <w:r>
        <w:rPr>
          <w:color w:val="231F20"/>
        </w:rPr>
        <w:t>мање </w:t>
      </w:r>
      <w:r>
        <w:rPr>
          <w:color w:val="231F20"/>
          <w:spacing w:val="-3"/>
        </w:rPr>
        <w:t>од </w:t>
      </w:r>
      <w:r>
        <w:rPr>
          <w:color w:val="231F20"/>
        </w:rPr>
        <w:t>површина рекултивисаног земљишта, на </w:t>
      </w:r>
      <w:r>
        <w:rPr>
          <w:color w:val="231F20"/>
          <w:spacing w:val="-3"/>
        </w:rPr>
        <w:t>којима </w:t>
      </w:r>
      <w:r>
        <w:rPr>
          <w:color w:val="231F20"/>
        </w:rPr>
        <w:t>ће бити формиран биљни</w:t>
      </w:r>
      <w:r>
        <w:rPr>
          <w:color w:val="231F20"/>
          <w:spacing w:val="-2"/>
        </w:rPr>
        <w:t> </w:t>
      </w:r>
      <w:r>
        <w:rPr>
          <w:color w:val="231F20"/>
        </w:rPr>
        <w:t>покривач.</w:t>
      </w:r>
    </w:p>
    <w:p>
      <w:pPr>
        <w:pStyle w:val="BodyText"/>
        <w:spacing w:line="182" w:lineRule="exact"/>
        <w:ind w:left="566"/>
        <w:jc w:val="left"/>
      </w:pPr>
      <w:r>
        <w:rPr>
          <w:color w:val="231F20"/>
        </w:rPr>
        <w:t>Изнети план рекултивације и ревитализације дeградираног</w:t>
      </w:r>
    </w:p>
    <w:p>
      <w:pPr>
        <w:pStyle w:val="BodyText"/>
        <w:ind w:right="412"/>
      </w:pPr>
      <w:r>
        <w:rPr>
          <w:color w:val="231F20"/>
        </w:rPr>
        <w:t>простора се разрађује и спроводи на основу посебних планских докумената, извођачких пројеката и одговарајуће техничке доку- ментације за сваки од издвојених објеката термоенергетског ком- плекса у целини (Депонија пепела – СКО, коп „Дрмно”, коп „Ћи- риковац” и коп „Кленовник”).</w:t>
      </w:r>
    </w:p>
    <w:p>
      <w:pPr>
        <w:pStyle w:val="BodyText"/>
        <w:spacing w:line="237" w:lineRule="auto"/>
        <w:ind w:right="412" w:firstLine="396"/>
      </w:pPr>
      <w:r>
        <w:rPr>
          <w:color w:val="231F20"/>
        </w:rPr>
        <w:t>Начелно гледано, базични институционални, организацио- ни, техничко-технолошки и други извођачки услови за ефикасно спровођење поступака рекултивације уништеног земљишта и ре- витализације оштећене природе обезбеђују се у фази пројекто- вања рударских радова. То се у случају Планског подручја може испоштовати само у односу на коп „Дрмно”, где се рударски про- јектима предвиђа:</w:t>
      </w:r>
    </w:p>
    <w:p>
      <w:pPr>
        <w:pStyle w:val="BodyText"/>
        <w:ind w:right="412" w:firstLine="396"/>
      </w:pPr>
      <w:r>
        <w:rPr>
          <w:color w:val="231F20"/>
          <w:w w:val="66"/>
        </w:rPr>
        <w:t> </w:t>
      </w:r>
      <w:r>
        <w:rPr>
          <w:color w:val="231F20"/>
        </w:rPr>
        <w:t>– скраћивање времена заузимања земљишта за потребе ру- дарства и смањивање размака између фронта откопа и фронта ре- култивације на минимум који неће угрозити нормалну рударску производњу;</w:t>
      </w:r>
    </w:p>
    <w:p>
      <w:pPr>
        <w:pStyle w:val="BodyText"/>
        <w:spacing w:line="237" w:lineRule="auto"/>
        <w:ind w:right="412" w:firstLine="397"/>
      </w:pPr>
      <w:r>
        <w:rPr>
          <w:color w:val="231F20"/>
          <w:w w:val="66"/>
        </w:rPr>
        <w:t> </w:t>
      </w:r>
      <w:r>
        <w:rPr>
          <w:color w:val="231F20"/>
        </w:rPr>
        <w:t>– преоријентација на искључиво депоновање раскривке у унутрашња одлагалишта и примена других, еколошки најмање штетних технолошких решења;</w:t>
      </w:r>
    </w:p>
    <w:p>
      <w:pPr>
        <w:pStyle w:val="BodyText"/>
        <w:ind w:right="412" w:firstLine="397"/>
      </w:pPr>
      <w:r>
        <w:rPr>
          <w:color w:val="231F20"/>
          <w:w w:val="66"/>
        </w:rPr>
        <w:t> </w:t>
      </w:r>
      <w:r>
        <w:rPr>
          <w:color w:val="231F20"/>
        </w:rPr>
        <w:t>– набавка опреме за селективно скидање и одлагање хуму- сног слоја земљишта, нарочито за биолошку рекултивацију по- вршина намењених за враћање пољопривредној производњи, оснивање травњака на теренима за спорт и рекреацију, подизање шумских расадника и слично; и</w:t>
      </w:r>
    </w:p>
    <w:p>
      <w:pPr>
        <w:pStyle w:val="BodyText"/>
        <w:spacing w:line="237" w:lineRule="auto"/>
        <w:ind w:right="411" w:firstLine="396"/>
      </w:pPr>
      <w:r>
        <w:rPr>
          <w:color w:val="231F20"/>
          <w:w w:val="66"/>
        </w:rPr>
        <w:t> </w:t>
      </w:r>
      <w:r>
        <w:rPr>
          <w:color w:val="231F20"/>
        </w:rPr>
        <w:t>– обезбеђење услова за квалитетно извођење техничке ре- култивације, којом се равна и стабилизује терен за примену мера биолошке рекултивације, уз посебно вођење рачуна о регулацији хидролошких услова, формирању одговарајућих нагиба и других фактора сигурности, у складу с потребама планираних намена ко- ришћења.</w:t>
      </w:r>
    </w:p>
    <w:p>
      <w:pPr>
        <w:spacing w:after="0" w:line="237" w:lineRule="auto"/>
        <w:sectPr>
          <w:pgSz w:w="12480" w:h="15690"/>
          <w:pgMar w:top="120" w:bottom="280" w:left="680" w:right="720"/>
          <w:cols w:num="2" w:equalWidth="0">
            <w:col w:w="5314" w:space="71"/>
            <w:col w:w="5695"/>
          </w:cols>
        </w:sectPr>
      </w:pPr>
    </w:p>
    <w:p>
      <w:pPr>
        <w:pStyle w:val="BodyText"/>
        <w:spacing w:before="10"/>
        <w:ind w:left="0"/>
        <w:jc w:val="left"/>
        <w:rPr>
          <w:sz w:val="8"/>
        </w:rPr>
      </w:pPr>
    </w:p>
    <w:p>
      <w:pPr>
        <w:pStyle w:val="BodyText"/>
        <w:spacing w:before="93" w:after="40"/>
        <w:jc w:val="left"/>
      </w:pPr>
      <w:r>
        <w:rPr>
          <w:color w:val="231F20"/>
        </w:rPr>
        <w:t>Табела 30. План рекултивације у периоду 2010 – 2015 – 2022. године, по основним рударско-енергетским објектима и КО (у hа)</w:t>
      </w: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31"/>
        <w:gridCol w:w="574"/>
        <w:gridCol w:w="668"/>
        <w:gridCol w:w="668"/>
        <w:gridCol w:w="788"/>
        <w:gridCol w:w="816"/>
        <w:gridCol w:w="755"/>
        <w:gridCol w:w="940"/>
        <w:gridCol w:w="1006"/>
        <w:gridCol w:w="1006"/>
        <w:gridCol w:w="833"/>
      </w:tblGrid>
      <w:tr>
        <w:trPr>
          <w:trHeight w:val="200" w:hRule="atLeast"/>
        </w:trPr>
        <w:tc>
          <w:tcPr>
            <w:tcW w:w="2431" w:type="dxa"/>
            <w:vMerge w:val="restart"/>
          </w:tcPr>
          <w:p>
            <w:pPr>
              <w:pStyle w:val="TableParagraph"/>
              <w:spacing w:before="0"/>
              <w:jc w:val="left"/>
              <w:rPr>
                <w:sz w:val="16"/>
              </w:rPr>
            </w:pPr>
          </w:p>
        </w:tc>
        <w:tc>
          <w:tcPr>
            <w:tcW w:w="1910" w:type="dxa"/>
            <w:gridSpan w:val="3"/>
          </w:tcPr>
          <w:p>
            <w:pPr>
              <w:pStyle w:val="TableParagraph"/>
              <w:ind w:left="744" w:right="734"/>
              <w:jc w:val="center"/>
              <w:rPr>
                <w:sz w:val="14"/>
              </w:rPr>
            </w:pPr>
            <w:r>
              <w:rPr>
                <w:color w:val="231F20"/>
                <w:sz w:val="14"/>
              </w:rPr>
              <w:t>Стање</w:t>
            </w:r>
          </w:p>
        </w:tc>
        <w:tc>
          <w:tcPr>
            <w:tcW w:w="1604" w:type="dxa"/>
            <w:gridSpan w:val="2"/>
          </w:tcPr>
          <w:p>
            <w:pPr>
              <w:pStyle w:val="TableParagraph"/>
              <w:ind w:left="532" w:right="522"/>
              <w:jc w:val="center"/>
              <w:rPr>
                <w:sz w:val="14"/>
              </w:rPr>
            </w:pPr>
            <w:r>
              <w:rPr>
                <w:color w:val="231F20"/>
                <w:sz w:val="14"/>
              </w:rPr>
              <w:t>Биланси</w:t>
            </w:r>
          </w:p>
        </w:tc>
        <w:tc>
          <w:tcPr>
            <w:tcW w:w="755" w:type="dxa"/>
            <w:vMerge w:val="restart"/>
          </w:tcPr>
          <w:p>
            <w:pPr>
              <w:pStyle w:val="TableParagraph"/>
              <w:ind w:left="74" w:right="61" w:firstLine="133"/>
              <w:jc w:val="left"/>
              <w:rPr>
                <w:sz w:val="14"/>
              </w:rPr>
            </w:pPr>
            <w:r>
              <w:rPr>
                <w:color w:val="231F20"/>
                <w:sz w:val="14"/>
              </w:rPr>
              <w:t>Свега 2010-2022</w:t>
            </w:r>
          </w:p>
        </w:tc>
        <w:tc>
          <w:tcPr>
            <w:tcW w:w="3785" w:type="dxa"/>
            <w:gridSpan w:val="4"/>
          </w:tcPr>
          <w:p>
            <w:pPr>
              <w:pStyle w:val="TableParagraph"/>
              <w:ind w:left="1203"/>
              <w:jc w:val="left"/>
              <w:rPr>
                <w:sz w:val="14"/>
              </w:rPr>
            </w:pPr>
            <w:r>
              <w:rPr>
                <w:color w:val="231F20"/>
                <w:sz w:val="14"/>
              </w:rPr>
              <w:t>од тога на површинама</w:t>
            </w:r>
          </w:p>
        </w:tc>
      </w:tr>
      <w:tr>
        <w:trPr>
          <w:trHeight w:val="360" w:hRule="atLeast"/>
        </w:trPr>
        <w:tc>
          <w:tcPr>
            <w:tcW w:w="2431" w:type="dxa"/>
            <w:vMerge/>
            <w:tcBorders>
              <w:top w:val="nil"/>
            </w:tcBorders>
          </w:tcPr>
          <w:p>
            <w:pPr>
              <w:rPr>
                <w:sz w:val="2"/>
                <w:szCs w:val="2"/>
              </w:rPr>
            </w:pPr>
          </w:p>
        </w:tc>
        <w:tc>
          <w:tcPr>
            <w:tcW w:w="574" w:type="dxa"/>
          </w:tcPr>
          <w:p>
            <w:pPr>
              <w:pStyle w:val="TableParagraph"/>
              <w:ind w:left="147"/>
              <w:jc w:val="left"/>
              <w:rPr>
                <w:sz w:val="14"/>
              </w:rPr>
            </w:pPr>
            <w:r>
              <w:rPr>
                <w:color w:val="231F20"/>
                <w:sz w:val="14"/>
              </w:rPr>
              <w:t>2010</w:t>
            </w:r>
          </w:p>
        </w:tc>
        <w:tc>
          <w:tcPr>
            <w:tcW w:w="668" w:type="dxa"/>
          </w:tcPr>
          <w:p>
            <w:pPr>
              <w:pStyle w:val="TableParagraph"/>
              <w:ind w:left="194"/>
              <w:jc w:val="left"/>
              <w:rPr>
                <w:sz w:val="14"/>
              </w:rPr>
            </w:pPr>
            <w:r>
              <w:rPr>
                <w:color w:val="231F20"/>
                <w:sz w:val="14"/>
              </w:rPr>
              <w:t>2015</w:t>
            </w:r>
          </w:p>
        </w:tc>
        <w:tc>
          <w:tcPr>
            <w:tcW w:w="668" w:type="dxa"/>
          </w:tcPr>
          <w:p>
            <w:pPr>
              <w:pStyle w:val="TableParagraph"/>
              <w:ind w:left="194"/>
              <w:jc w:val="left"/>
              <w:rPr>
                <w:sz w:val="14"/>
              </w:rPr>
            </w:pPr>
            <w:r>
              <w:rPr>
                <w:color w:val="231F20"/>
                <w:sz w:val="14"/>
              </w:rPr>
              <w:t>2022</w:t>
            </w:r>
          </w:p>
        </w:tc>
        <w:tc>
          <w:tcPr>
            <w:tcW w:w="788" w:type="dxa"/>
          </w:tcPr>
          <w:p>
            <w:pPr>
              <w:pStyle w:val="TableParagraph"/>
              <w:ind w:right="78"/>
              <w:rPr>
                <w:sz w:val="14"/>
              </w:rPr>
            </w:pPr>
            <w:r>
              <w:rPr>
                <w:color w:val="231F20"/>
                <w:sz w:val="14"/>
              </w:rPr>
              <w:t>2010-2015</w:t>
            </w:r>
          </w:p>
        </w:tc>
        <w:tc>
          <w:tcPr>
            <w:tcW w:w="816" w:type="dxa"/>
          </w:tcPr>
          <w:p>
            <w:pPr>
              <w:pStyle w:val="TableParagraph"/>
              <w:ind w:right="92"/>
              <w:rPr>
                <w:sz w:val="14"/>
              </w:rPr>
            </w:pPr>
            <w:r>
              <w:rPr>
                <w:color w:val="231F20"/>
                <w:sz w:val="14"/>
              </w:rPr>
              <w:t>2015-2022</w:t>
            </w:r>
          </w:p>
        </w:tc>
        <w:tc>
          <w:tcPr>
            <w:tcW w:w="755" w:type="dxa"/>
            <w:vMerge/>
            <w:tcBorders>
              <w:top w:val="nil"/>
            </w:tcBorders>
          </w:tcPr>
          <w:p>
            <w:pPr>
              <w:rPr>
                <w:sz w:val="2"/>
                <w:szCs w:val="2"/>
              </w:rPr>
            </w:pPr>
          </w:p>
        </w:tc>
        <w:tc>
          <w:tcPr>
            <w:tcW w:w="940" w:type="dxa"/>
          </w:tcPr>
          <w:p>
            <w:pPr>
              <w:pStyle w:val="TableParagraph"/>
              <w:ind w:left="266" w:right="42" w:hanging="198"/>
              <w:jc w:val="left"/>
              <w:rPr>
                <w:sz w:val="14"/>
              </w:rPr>
            </w:pPr>
            <w:r>
              <w:rPr>
                <w:color w:val="231F20"/>
                <w:sz w:val="14"/>
              </w:rPr>
              <w:t>Одлагалишта пепела</w:t>
            </w:r>
          </w:p>
        </w:tc>
        <w:tc>
          <w:tcPr>
            <w:tcW w:w="1006" w:type="dxa"/>
          </w:tcPr>
          <w:p>
            <w:pPr>
              <w:pStyle w:val="TableParagraph"/>
              <w:ind w:left="118" w:right="89" w:firstLine="34"/>
              <w:jc w:val="left"/>
              <w:rPr>
                <w:sz w:val="14"/>
              </w:rPr>
            </w:pPr>
            <w:r>
              <w:rPr>
                <w:color w:val="231F20"/>
                <w:sz w:val="14"/>
              </w:rPr>
              <w:t>Унутрашња одлагалишта</w:t>
            </w:r>
          </w:p>
        </w:tc>
        <w:tc>
          <w:tcPr>
            <w:tcW w:w="1006" w:type="dxa"/>
          </w:tcPr>
          <w:p>
            <w:pPr>
              <w:pStyle w:val="TableParagraph"/>
              <w:ind w:left="119" w:right="88" w:firstLine="47"/>
              <w:jc w:val="left"/>
              <w:rPr>
                <w:sz w:val="14"/>
              </w:rPr>
            </w:pPr>
            <w:r>
              <w:rPr>
                <w:color w:val="231F20"/>
                <w:sz w:val="14"/>
              </w:rPr>
              <w:t>Спољашња одлагалишта</w:t>
            </w:r>
          </w:p>
        </w:tc>
        <w:tc>
          <w:tcPr>
            <w:tcW w:w="833" w:type="dxa"/>
          </w:tcPr>
          <w:p>
            <w:pPr>
              <w:pStyle w:val="TableParagraph"/>
              <w:ind w:left="156" w:right="126" w:firstLine="48"/>
              <w:jc w:val="left"/>
              <w:rPr>
                <w:sz w:val="14"/>
              </w:rPr>
            </w:pPr>
            <w:r>
              <w:rPr>
                <w:color w:val="231F20"/>
                <w:sz w:val="14"/>
              </w:rPr>
              <w:t>Остале локације</w:t>
            </w:r>
          </w:p>
        </w:tc>
      </w:tr>
      <w:tr>
        <w:trPr>
          <w:trHeight w:val="200" w:hRule="atLeast"/>
        </w:trPr>
        <w:tc>
          <w:tcPr>
            <w:tcW w:w="2431" w:type="dxa"/>
          </w:tcPr>
          <w:p>
            <w:pPr>
              <w:pStyle w:val="TableParagraph"/>
              <w:ind w:left="56"/>
              <w:jc w:val="left"/>
              <w:rPr>
                <w:sz w:val="14"/>
              </w:rPr>
            </w:pPr>
            <w:r>
              <w:rPr>
                <w:color w:val="231F20"/>
                <w:sz w:val="14"/>
              </w:rPr>
              <w:t>Депонија пепела - СКО</w:t>
            </w:r>
          </w:p>
        </w:tc>
        <w:tc>
          <w:tcPr>
            <w:tcW w:w="574" w:type="dxa"/>
          </w:tcPr>
          <w:p>
            <w:pPr>
              <w:pStyle w:val="TableParagraph"/>
              <w:ind w:right="44"/>
              <w:rPr>
                <w:sz w:val="14"/>
              </w:rPr>
            </w:pPr>
            <w:r>
              <w:rPr>
                <w:color w:val="231F20"/>
                <w:sz w:val="14"/>
              </w:rPr>
              <w:t>119,2</w:t>
            </w:r>
          </w:p>
        </w:tc>
        <w:tc>
          <w:tcPr>
            <w:tcW w:w="668" w:type="dxa"/>
          </w:tcPr>
          <w:p>
            <w:pPr>
              <w:pStyle w:val="TableParagraph"/>
              <w:ind w:right="44"/>
              <w:rPr>
                <w:sz w:val="14"/>
              </w:rPr>
            </w:pPr>
            <w:r>
              <w:rPr>
                <w:color w:val="231F20"/>
                <w:sz w:val="14"/>
              </w:rPr>
              <w:t>316,8</w:t>
            </w:r>
          </w:p>
        </w:tc>
        <w:tc>
          <w:tcPr>
            <w:tcW w:w="668" w:type="dxa"/>
          </w:tcPr>
          <w:p>
            <w:pPr>
              <w:pStyle w:val="TableParagraph"/>
              <w:ind w:right="44"/>
              <w:rPr>
                <w:sz w:val="14"/>
              </w:rPr>
            </w:pPr>
            <w:r>
              <w:rPr>
                <w:color w:val="231F20"/>
                <w:sz w:val="14"/>
              </w:rPr>
              <w:t>316,8</w:t>
            </w:r>
          </w:p>
        </w:tc>
        <w:tc>
          <w:tcPr>
            <w:tcW w:w="788" w:type="dxa"/>
          </w:tcPr>
          <w:p>
            <w:pPr>
              <w:pStyle w:val="TableParagraph"/>
              <w:ind w:right="44"/>
              <w:rPr>
                <w:sz w:val="14"/>
              </w:rPr>
            </w:pPr>
            <w:r>
              <w:rPr>
                <w:color w:val="231F20"/>
                <w:sz w:val="14"/>
              </w:rPr>
              <w:t>197,6</w:t>
            </w:r>
          </w:p>
        </w:tc>
        <w:tc>
          <w:tcPr>
            <w:tcW w:w="816" w:type="dxa"/>
          </w:tcPr>
          <w:p>
            <w:pPr>
              <w:pStyle w:val="TableParagraph"/>
              <w:ind w:right="44"/>
              <w:rPr>
                <w:sz w:val="14"/>
              </w:rPr>
            </w:pPr>
            <w:r>
              <w:rPr>
                <w:color w:val="231F20"/>
                <w:sz w:val="14"/>
              </w:rPr>
              <w:t>0,0</w:t>
            </w:r>
          </w:p>
        </w:tc>
        <w:tc>
          <w:tcPr>
            <w:tcW w:w="755" w:type="dxa"/>
          </w:tcPr>
          <w:p>
            <w:pPr>
              <w:pStyle w:val="TableParagraph"/>
              <w:ind w:right="44"/>
              <w:rPr>
                <w:sz w:val="14"/>
              </w:rPr>
            </w:pPr>
            <w:r>
              <w:rPr>
                <w:color w:val="231F20"/>
                <w:sz w:val="14"/>
              </w:rPr>
              <w:t>197,6</w:t>
            </w:r>
          </w:p>
        </w:tc>
        <w:tc>
          <w:tcPr>
            <w:tcW w:w="940" w:type="dxa"/>
          </w:tcPr>
          <w:p>
            <w:pPr>
              <w:pStyle w:val="TableParagraph"/>
              <w:ind w:right="44"/>
              <w:rPr>
                <w:sz w:val="14"/>
              </w:rPr>
            </w:pPr>
            <w:r>
              <w:rPr>
                <w:color w:val="231F20"/>
                <w:sz w:val="14"/>
              </w:rPr>
              <w:t>-197,6</w:t>
            </w:r>
          </w:p>
        </w:tc>
        <w:tc>
          <w:tcPr>
            <w:tcW w:w="1006"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w:t>
            </w:r>
          </w:p>
        </w:tc>
        <w:tc>
          <w:tcPr>
            <w:tcW w:w="833" w:type="dxa"/>
          </w:tcPr>
          <w:p>
            <w:pPr>
              <w:pStyle w:val="TableParagraph"/>
              <w:ind w:right="44"/>
              <w:rPr>
                <w:sz w:val="14"/>
              </w:rPr>
            </w:pPr>
            <w:r>
              <w:rPr>
                <w:color w:val="231F20"/>
                <w:sz w:val="14"/>
              </w:rPr>
              <w:t>-</w:t>
            </w:r>
          </w:p>
        </w:tc>
      </w:tr>
      <w:tr>
        <w:trPr>
          <w:trHeight w:val="200" w:hRule="atLeast"/>
        </w:trPr>
        <w:tc>
          <w:tcPr>
            <w:tcW w:w="2431" w:type="dxa"/>
          </w:tcPr>
          <w:p>
            <w:pPr>
              <w:pStyle w:val="TableParagraph"/>
              <w:ind w:left="56"/>
              <w:jc w:val="left"/>
              <w:rPr>
                <w:sz w:val="14"/>
              </w:rPr>
            </w:pPr>
            <w:r>
              <w:rPr>
                <w:color w:val="231F20"/>
                <w:sz w:val="14"/>
              </w:rPr>
              <w:t>Коп Дрмно</w:t>
            </w:r>
          </w:p>
        </w:tc>
        <w:tc>
          <w:tcPr>
            <w:tcW w:w="574" w:type="dxa"/>
          </w:tcPr>
          <w:p>
            <w:pPr>
              <w:pStyle w:val="TableParagraph"/>
              <w:ind w:right="44"/>
              <w:rPr>
                <w:sz w:val="14"/>
              </w:rPr>
            </w:pPr>
            <w:r>
              <w:rPr>
                <w:color w:val="231F20"/>
                <w:sz w:val="14"/>
              </w:rPr>
              <w:t>73,5</w:t>
            </w:r>
          </w:p>
        </w:tc>
        <w:tc>
          <w:tcPr>
            <w:tcW w:w="668" w:type="dxa"/>
          </w:tcPr>
          <w:p>
            <w:pPr>
              <w:pStyle w:val="TableParagraph"/>
              <w:ind w:right="44"/>
              <w:rPr>
                <w:sz w:val="14"/>
              </w:rPr>
            </w:pPr>
            <w:r>
              <w:rPr>
                <w:color w:val="231F20"/>
                <w:sz w:val="14"/>
              </w:rPr>
              <w:t>313,3</w:t>
            </w:r>
          </w:p>
        </w:tc>
        <w:tc>
          <w:tcPr>
            <w:tcW w:w="668" w:type="dxa"/>
          </w:tcPr>
          <w:p>
            <w:pPr>
              <w:pStyle w:val="TableParagraph"/>
              <w:ind w:right="44"/>
              <w:rPr>
                <w:sz w:val="14"/>
              </w:rPr>
            </w:pPr>
            <w:r>
              <w:rPr>
                <w:color w:val="231F20"/>
                <w:sz w:val="14"/>
              </w:rPr>
              <w:t>906,2</w:t>
            </w:r>
          </w:p>
        </w:tc>
        <w:tc>
          <w:tcPr>
            <w:tcW w:w="788" w:type="dxa"/>
          </w:tcPr>
          <w:p>
            <w:pPr>
              <w:pStyle w:val="TableParagraph"/>
              <w:ind w:right="44"/>
              <w:rPr>
                <w:sz w:val="14"/>
              </w:rPr>
            </w:pPr>
            <w:r>
              <w:rPr>
                <w:color w:val="231F20"/>
                <w:sz w:val="14"/>
              </w:rPr>
              <w:t>239,8</w:t>
            </w:r>
          </w:p>
        </w:tc>
        <w:tc>
          <w:tcPr>
            <w:tcW w:w="816" w:type="dxa"/>
          </w:tcPr>
          <w:p>
            <w:pPr>
              <w:pStyle w:val="TableParagraph"/>
              <w:ind w:right="44"/>
              <w:rPr>
                <w:sz w:val="14"/>
              </w:rPr>
            </w:pPr>
            <w:r>
              <w:rPr>
                <w:color w:val="231F20"/>
                <w:sz w:val="14"/>
              </w:rPr>
              <w:t>592,9</w:t>
            </w:r>
          </w:p>
        </w:tc>
        <w:tc>
          <w:tcPr>
            <w:tcW w:w="755" w:type="dxa"/>
          </w:tcPr>
          <w:p>
            <w:pPr>
              <w:pStyle w:val="TableParagraph"/>
              <w:ind w:right="44"/>
              <w:rPr>
                <w:sz w:val="14"/>
              </w:rPr>
            </w:pPr>
            <w:r>
              <w:rPr>
                <w:color w:val="231F20"/>
                <w:sz w:val="14"/>
              </w:rPr>
              <w:t>832,7</w:t>
            </w:r>
          </w:p>
        </w:tc>
        <w:tc>
          <w:tcPr>
            <w:tcW w:w="940"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-679,8</w:t>
            </w:r>
          </w:p>
        </w:tc>
        <w:tc>
          <w:tcPr>
            <w:tcW w:w="1006" w:type="dxa"/>
          </w:tcPr>
          <w:p>
            <w:pPr>
              <w:pStyle w:val="TableParagraph"/>
              <w:ind w:right="44"/>
              <w:rPr>
                <w:sz w:val="14"/>
              </w:rPr>
            </w:pPr>
            <w:r>
              <w:rPr>
                <w:color w:val="231F20"/>
                <w:sz w:val="14"/>
              </w:rPr>
              <w:t>-152,9</w:t>
            </w:r>
          </w:p>
        </w:tc>
        <w:tc>
          <w:tcPr>
            <w:tcW w:w="833" w:type="dxa"/>
          </w:tcPr>
          <w:p>
            <w:pPr>
              <w:pStyle w:val="TableParagraph"/>
              <w:ind w:right="44"/>
              <w:rPr>
                <w:sz w:val="14"/>
              </w:rPr>
            </w:pPr>
            <w:r>
              <w:rPr>
                <w:color w:val="231F20"/>
                <w:sz w:val="14"/>
              </w:rPr>
              <w:t>-</w:t>
            </w:r>
          </w:p>
        </w:tc>
      </w:tr>
      <w:tr>
        <w:trPr>
          <w:trHeight w:val="200" w:hRule="atLeast"/>
        </w:trPr>
        <w:tc>
          <w:tcPr>
            <w:tcW w:w="2431" w:type="dxa"/>
          </w:tcPr>
          <w:p>
            <w:pPr>
              <w:pStyle w:val="TableParagraph"/>
              <w:ind w:left="56"/>
              <w:jc w:val="left"/>
              <w:rPr>
                <w:sz w:val="14"/>
              </w:rPr>
            </w:pPr>
            <w:r>
              <w:rPr>
                <w:color w:val="231F20"/>
                <w:sz w:val="14"/>
              </w:rPr>
              <w:t>КО Брадарац</w:t>
            </w:r>
          </w:p>
        </w:tc>
        <w:tc>
          <w:tcPr>
            <w:tcW w:w="574" w:type="dxa"/>
          </w:tcPr>
          <w:p>
            <w:pPr>
              <w:pStyle w:val="TableParagraph"/>
              <w:ind w:right="44"/>
              <w:rPr>
                <w:sz w:val="14"/>
              </w:rPr>
            </w:pPr>
            <w:r>
              <w:rPr>
                <w:color w:val="231F20"/>
                <w:sz w:val="14"/>
              </w:rPr>
              <w:t>43,0</w:t>
            </w:r>
          </w:p>
        </w:tc>
        <w:tc>
          <w:tcPr>
            <w:tcW w:w="668" w:type="dxa"/>
          </w:tcPr>
          <w:p>
            <w:pPr>
              <w:pStyle w:val="TableParagraph"/>
              <w:ind w:right="44"/>
              <w:rPr>
                <w:sz w:val="14"/>
              </w:rPr>
            </w:pPr>
            <w:r>
              <w:rPr>
                <w:color w:val="231F20"/>
                <w:sz w:val="14"/>
              </w:rPr>
              <w:t>269,2</w:t>
            </w:r>
          </w:p>
        </w:tc>
        <w:tc>
          <w:tcPr>
            <w:tcW w:w="668" w:type="dxa"/>
          </w:tcPr>
          <w:p>
            <w:pPr>
              <w:pStyle w:val="TableParagraph"/>
              <w:ind w:right="44"/>
              <w:rPr>
                <w:sz w:val="14"/>
              </w:rPr>
            </w:pPr>
            <w:r>
              <w:rPr>
                <w:color w:val="231F20"/>
                <w:sz w:val="14"/>
              </w:rPr>
              <w:t>269,2</w:t>
            </w:r>
          </w:p>
        </w:tc>
        <w:tc>
          <w:tcPr>
            <w:tcW w:w="788" w:type="dxa"/>
          </w:tcPr>
          <w:p>
            <w:pPr>
              <w:pStyle w:val="TableParagraph"/>
              <w:ind w:right="44"/>
              <w:rPr>
                <w:sz w:val="14"/>
              </w:rPr>
            </w:pPr>
            <w:r>
              <w:rPr>
                <w:color w:val="231F20"/>
                <w:sz w:val="14"/>
              </w:rPr>
              <w:t>226,2</w:t>
            </w:r>
          </w:p>
        </w:tc>
        <w:tc>
          <w:tcPr>
            <w:tcW w:w="816" w:type="dxa"/>
          </w:tcPr>
          <w:p>
            <w:pPr>
              <w:pStyle w:val="TableParagraph"/>
              <w:ind w:right="44"/>
              <w:rPr>
                <w:sz w:val="14"/>
              </w:rPr>
            </w:pPr>
            <w:r>
              <w:rPr>
                <w:color w:val="231F20"/>
                <w:sz w:val="14"/>
              </w:rPr>
              <w:t>0,0</w:t>
            </w:r>
          </w:p>
        </w:tc>
        <w:tc>
          <w:tcPr>
            <w:tcW w:w="755" w:type="dxa"/>
          </w:tcPr>
          <w:p>
            <w:pPr>
              <w:pStyle w:val="TableParagraph"/>
              <w:ind w:right="44"/>
              <w:rPr>
                <w:sz w:val="14"/>
              </w:rPr>
            </w:pPr>
            <w:r>
              <w:rPr>
                <w:color w:val="231F20"/>
                <w:sz w:val="14"/>
              </w:rPr>
              <w:t>226,2</w:t>
            </w:r>
          </w:p>
        </w:tc>
        <w:tc>
          <w:tcPr>
            <w:tcW w:w="940"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-81,8</w:t>
            </w:r>
          </w:p>
        </w:tc>
        <w:tc>
          <w:tcPr>
            <w:tcW w:w="1006" w:type="dxa"/>
          </w:tcPr>
          <w:p>
            <w:pPr>
              <w:pStyle w:val="TableParagraph"/>
              <w:ind w:right="44"/>
              <w:rPr>
                <w:sz w:val="14"/>
              </w:rPr>
            </w:pPr>
            <w:r>
              <w:rPr>
                <w:color w:val="231F20"/>
                <w:sz w:val="14"/>
              </w:rPr>
              <w:t>-144,4</w:t>
            </w:r>
          </w:p>
        </w:tc>
        <w:tc>
          <w:tcPr>
            <w:tcW w:w="833" w:type="dxa"/>
          </w:tcPr>
          <w:p>
            <w:pPr>
              <w:pStyle w:val="TableParagraph"/>
              <w:ind w:right="44"/>
              <w:rPr>
                <w:sz w:val="14"/>
              </w:rPr>
            </w:pPr>
            <w:r>
              <w:rPr>
                <w:color w:val="231F20"/>
                <w:sz w:val="14"/>
              </w:rPr>
              <w:t>-</w:t>
            </w:r>
          </w:p>
        </w:tc>
      </w:tr>
      <w:tr>
        <w:trPr>
          <w:trHeight w:val="200" w:hRule="atLeast"/>
        </w:trPr>
        <w:tc>
          <w:tcPr>
            <w:tcW w:w="2431" w:type="dxa"/>
          </w:tcPr>
          <w:p>
            <w:pPr>
              <w:pStyle w:val="TableParagraph"/>
              <w:ind w:left="56"/>
              <w:jc w:val="left"/>
              <w:rPr>
                <w:sz w:val="14"/>
              </w:rPr>
            </w:pPr>
            <w:r>
              <w:rPr>
                <w:color w:val="231F20"/>
                <w:sz w:val="14"/>
              </w:rPr>
              <w:t>КО Дрмно</w:t>
            </w:r>
          </w:p>
        </w:tc>
        <w:tc>
          <w:tcPr>
            <w:tcW w:w="574" w:type="dxa"/>
          </w:tcPr>
          <w:p>
            <w:pPr>
              <w:pStyle w:val="TableParagraph"/>
              <w:ind w:right="44"/>
              <w:rPr>
                <w:sz w:val="14"/>
              </w:rPr>
            </w:pPr>
            <w:r>
              <w:rPr>
                <w:color w:val="231F20"/>
                <w:sz w:val="14"/>
              </w:rPr>
              <w:t>10,0</w:t>
            </w:r>
          </w:p>
        </w:tc>
        <w:tc>
          <w:tcPr>
            <w:tcW w:w="668" w:type="dxa"/>
          </w:tcPr>
          <w:p>
            <w:pPr>
              <w:pStyle w:val="TableParagraph"/>
              <w:ind w:right="44"/>
              <w:rPr>
                <w:sz w:val="14"/>
              </w:rPr>
            </w:pPr>
            <w:r>
              <w:rPr>
                <w:color w:val="231F20"/>
                <w:sz w:val="14"/>
              </w:rPr>
              <w:t>23,6</w:t>
            </w:r>
          </w:p>
        </w:tc>
        <w:tc>
          <w:tcPr>
            <w:tcW w:w="668" w:type="dxa"/>
          </w:tcPr>
          <w:p>
            <w:pPr>
              <w:pStyle w:val="TableParagraph"/>
              <w:ind w:right="44"/>
              <w:rPr>
                <w:sz w:val="14"/>
              </w:rPr>
            </w:pPr>
            <w:r>
              <w:rPr>
                <w:color w:val="231F20"/>
                <w:sz w:val="14"/>
              </w:rPr>
              <w:t>501,1</w:t>
            </w:r>
          </w:p>
        </w:tc>
        <w:tc>
          <w:tcPr>
            <w:tcW w:w="788" w:type="dxa"/>
          </w:tcPr>
          <w:p>
            <w:pPr>
              <w:pStyle w:val="TableParagraph"/>
              <w:ind w:right="44"/>
              <w:rPr>
                <w:sz w:val="14"/>
              </w:rPr>
            </w:pPr>
            <w:r>
              <w:rPr>
                <w:color w:val="231F20"/>
                <w:sz w:val="14"/>
              </w:rPr>
              <w:t>13,6</w:t>
            </w:r>
          </w:p>
        </w:tc>
        <w:tc>
          <w:tcPr>
            <w:tcW w:w="816" w:type="dxa"/>
          </w:tcPr>
          <w:p>
            <w:pPr>
              <w:pStyle w:val="TableParagraph"/>
              <w:ind w:right="44"/>
              <w:rPr>
                <w:sz w:val="14"/>
              </w:rPr>
            </w:pPr>
            <w:r>
              <w:rPr>
                <w:color w:val="231F20"/>
                <w:sz w:val="14"/>
              </w:rPr>
              <w:t>477,5</w:t>
            </w:r>
          </w:p>
        </w:tc>
        <w:tc>
          <w:tcPr>
            <w:tcW w:w="755" w:type="dxa"/>
          </w:tcPr>
          <w:p>
            <w:pPr>
              <w:pStyle w:val="TableParagraph"/>
              <w:ind w:right="44"/>
              <w:rPr>
                <w:sz w:val="14"/>
              </w:rPr>
            </w:pPr>
            <w:r>
              <w:rPr>
                <w:color w:val="231F20"/>
                <w:sz w:val="14"/>
              </w:rPr>
              <w:t>491,1</w:t>
            </w:r>
          </w:p>
        </w:tc>
        <w:tc>
          <w:tcPr>
            <w:tcW w:w="940"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-482,6</w:t>
            </w:r>
          </w:p>
        </w:tc>
        <w:tc>
          <w:tcPr>
            <w:tcW w:w="1006" w:type="dxa"/>
          </w:tcPr>
          <w:p>
            <w:pPr>
              <w:pStyle w:val="TableParagraph"/>
              <w:ind w:right="44"/>
              <w:rPr>
                <w:sz w:val="14"/>
              </w:rPr>
            </w:pPr>
            <w:r>
              <w:rPr>
                <w:color w:val="231F20"/>
                <w:sz w:val="14"/>
              </w:rPr>
              <w:t>-8,5</w:t>
            </w:r>
          </w:p>
        </w:tc>
        <w:tc>
          <w:tcPr>
            <w:tcW w:w="833" w:type="dxa"/>
          </w:tcPr>
          <w:p>
            <w:pPr>
              <w:pStyle w:val="TableParagraph"/>
              <w:spacing w:before="0"/>
              <w:jc w:val="left"/>
              <w:rPr>
                <w:sz w:val="12"/>
              </w:rPr>
            </w:pPr>
          </w:p>
        </w:tc>
      </w:tr>
      <w:tr>
        <w:trPr>
          <w:trHeight w:val="200" w:hRule="atLeast"/>
        </w:trPr>
        <w:tc>
          <w:tcPr>
            <w:tcW w:w="2431" w:type="dxa"/>
          </w:tcPr>
          <w:p>
            <w:pPr>
              <w:pStyle w:val="TableParagraph"/>
              <w:ind w:left="56"/>
              <w:jc w:val="left"/>
              <w:rPr>
                <w:sz w:val="14"/>
              </w:rPr>
            </w:pPr>
            <w:r>
              <w:rPr>
                <w:color w:val="231F20"/>
                <w:sz w:val="14"/>
              </w:rPr>
              <w:t>КО Кличевац</w:t>
            </w:r>
          </w:p>
        </w:tc>
        <w:tc>
          <w:tcPr>
            <w:tcW w:w="574" w:type="dxa"/>
          </w:tcPr>
          <w:p>
            <w:pPr>
              <w:pStyle w:val="TableParagraph"/>
              <w:ind w:right="44"/>
              <w:rPr>
                <w:sz w:val="14"/>
              </w:rPr>
            </w:pPr>
            <w:r>
              <w:rPr>
                <w:color w:val="231F20"/>
                <w:sz w:val="14"/>
              </w:rPr>
              <w:t>-</w:t>
            </w:r>
          </w:p>
        </w:tc>
        <w:tc>
          <w:tcPr>
            <w:tcW w:w="668" w:type="dxa"/>
          </w:tcPr>
          <w:p>
            <w:pPr>
              <w:pStyle w:val="TableParagraph"/>
              <w:ind w:right="44"/>
              <w:rPr>
                <w:sz w:val="14"/>
              </w:rPr>
            </w:pPr>
            <w:r>
              <w:rPr>
                <w:color w:val="231F20"/>
                <w:sz w:val="14"/>
              </w:rPr>
              <w:t>-</w:t>
            </w:r>
          </w:p>
        </w:tc>
        <w:tc>
          <w:tcPr>
            <w:tcW w:w="668" w:type="dxa"/>
          </w:tcPr>
          <w:p>
            <w:pPr>
              <w:pStyle w:val="TableParagraph"/>
              <w:ind w:right="44"/>
              <w:rPr>
                <w:sz w:val="14"/>
              </w:rPr>
            </w:pPr>
            <w:r>
              <w:rPr>
                <w:color w:val="231F20"/>
                <w:sz w:val="14"/>
              </w:rPr>
              <w:t>115,4</w:t>
            </w:r>
          </w:p>
        </w:tc>
        <w:tc>
          <w:tcPr>
            <w:tcW w:w="788" w:type="dxa"/>
          </w:tcPr>
          <w:p>
            <w:pPr>
              <w:pStyle w:val="TableParagraph"/>
              <w:ind w:right="44"/>
              <w:rPr>
                <w:sz w:val="14"/>
              </w:rPr>
            </w:pPr>
            <w:r>
              <w:rPr>
                <w:color w:val="231F20"/>
                <w:sz w:val="14"/>
              </w:rPr>
              <w:t>-</w:t>
            </w:r>
          </w:p>
        </w:tc>
        <w:tc>
          <w:tcPr>
            <w:tcW w:w="816" w:type="dxa"/>
          </w:tcPr>
          <w:p>
            <w:pPr>
              <w:pStyle w:val="TableParagraph"/>
              <w:ind w:right="44"/>
              <w:rPr>
                <w:sz w:val="14"/>
              </w:rPr>
            </w:pPr>
            <w:r>
              <w:rPr>
                <w:color w:val="231F20"/>
                <w:sz w:val="14"/>
              </w:rPr>
              <w:t>115,4</w:t>
            </w:r>
          </w:p>
        </w:tc>
        <w:tc>
          <w:tcPr>
            <w:tcW w:w="755" w:type="dxa"/>
          </w:tcPr>
          <w:p>
            <w:pPr>
              <w:pStyle w:val="TableParagraph"/>
              <w:ind w:right="44"/>
              <w:rPr>
                <w:sz w:val="14"/>
              </w:rPr>
            </w:pPr>
            <w:r>
              <w:rPr>
                <w:color w:val="231F20"/>
                <w:sz w:val="14"/>
              </w:rPr>
              <w:t>115,4</w:t>
            </w:r>
          </w:p>
        </w:tc>
        <w:tc>
          <w:tcPr>
            <w:tcW w:w="940"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-115,4</w:t>
            </w:r>
          </w:p>
        </w:tc>
        <w:tc>
          <w:tcPr>
            <w:tcW w:w="1006" w:type="dxa"/>
          </w:tcPr>
          <w:p>
            <w:pPr>
              <w:pStyle w:val="TableParagraph"/>
              <w:ind w:right="44"/>
              <w:rPr>
                <w:sz w:val="14"/>
              </w:rPr>
            </w:pPr>
            <w:r>
              <w:rPr>
                <w:color w:val="231F20"/>
                <w:sz w:val="14"/>
              </w:rPr>
              <w:t>-</w:t>
            </w:r>
          </w:p>
        </w:tc>
        <w:tc>
          <w:tcPr>
            <w:tcW w:w="833" w:type="dxa"/>
          </w:tcPr>
          <w:p>
            <w:pPr>
              <w:pStyle w:val="TableParagraph"/>
              <w:ind w:right="44"/>
              <w:rPr>
                <w:sz w:val="14"/>
              </w:rPr>
            </w:pPr>
            <w:r>
              <w:rPr>
                <w:color w:val="231F20"/>
                <w:sz w:val="14"/>
              </w:rPr>
              <w:t>-</w:t>
            </w:r>
          </w:p>
        </w:tc>
      </w:tr>
      <w:tr>
        <w:trPr>
          <w:trHeight w:val="200" w:hRule="atLeast"/>
        </w:trPr>
        <w:tc>
          <w:tcPr>
            <w:tcW w:w="2431" w:type="dxa"/>
          </w:tcPr>
          <w:p>
            <w:pPr>
              <w:pStyle w:val="TableParagraph"/>
              <w:ind w:left="56"/>
              <w:jc w:val="left"/>
              <w:rPr>
                <w:sz w:val="14"/>
              </w:rPr>
            </w:pPr>
            <w:r>
              <w:rPr>
                <w:color w:val="231F20"/>
                <w:sz w:val="14"/>
              </w:rPr>
              <w:t>КО Костолац село</w:t>
            </w:r>
          </w:p>
        </w:tc>
        <w:tc>
          <w:tcPr>
            <w:tcW w:w="574" w:type="dxa"/>
          </w:tcPr>
          <w:p>
            <w:pPr>
              <w:pStyle w:val="TableParagraph"/>
              <w:ind w:right="44"/>
              <w:rPr>
                <w:sz w:val="14"/>
              </w:rPr>
            </w:pPr>
            <w:r>
              <w:rPr>
                <w:color w:val="231F20"/>
                <w:sz w:val="14"/>
              </w:rPr>
              <w:t>20,5</w:t>
            </w:r>
          </w:p>
        </w:tc>
        <w:tc>
          <w:tcPr>
            <w:tcW w:w="668" w:type="dxa"/>
          </w:tcPr>
          <w:p>
            <w:pPr>
              <w:pStyle w:val="TableParagraph"/>
              <w:ind w:right="44"/>
              <w:rPr>
                <w:sz w:val="14"/>
              </w:rPr>
            </w:pPr>
            <w:r>
              <w:rPr>
                <w:color w:val="231F20"/>
                <w:sz w:val="14"/>
              </w:rPr>
              <w:t>20,5</w:t>
            </w:r>
          </w:p>
        </w:tc>
        <w:tc>
          <w:tcPr>
            <w:tcW w:w="668" w:type="dxa"/>
          </w:tcPr>
          <w:p>
            <w:pPr>
              <w:pStyle w:val="TableParagraph"/>
              <w:ind w:right="44"/>
              <w:rPr>
                <w:sz w:val="14"/>
              </w:rPr>
            </w:pPr>
            <w:r>
              <w:rPr>
                <w:color w:val="231F20"/>
                <w:sz w:val="14"/>
              </w:rPr>
              <w:t>20,5</w:t>
            </w:r>
          </w:p>
        </w:tc>
        <w:tc>
          <w:tcPr>
            <w:tcW w:w="788" w:type="dxa"/>
          </w:tcPr>
          <w:p>
            <w:pPr>
              <w:pStyle w:val="TableParagraph"/>
              <w:ind w:right="44"/>
              <w:rPr>
                <w:sz w:val="14"/>
              </w:rPr>
            </w:pPr>
            <w:r>
              <w:rPr>
                <w:color w:val="231F20"/>
                <w:sz w:val="14"/>
              </w:rPr>
              <w:t>0,0</w:t>
            </w:r>
          </w:p>
        </w:tc>
        <w:tc>
          <w:tcPr>
            <w:tcW w:w="816" w:type="dxa"/>
          </w:tcPr>
          <w:p>
            <w:pPr>
              <w:pStyle w:val="TableParagraph"/>
              <w:ind w:right="44"/>
              <w:rPr>
                <w:sz w:val="14"/>
              </w:rPr>
            </w:pPr>
            <w:r>
              <w:rPr>
                <w:color w:val="231F20"/>
                <w:sz w:val="14"/>
              </w:rPr>
              <w:t>0,0</w:t>
            </w:r>
          </w:p>
        </w:tc>
        <w:tc>
          <w:tcPr>
            <w:tcW w:w="755" w:type="dxa"/>
          </w:tcPr>
          <w:p>
            <w:pPr>
              <w:pStyle w:val="TableParagraph"/>
              <w:ind w:right="44"/>
              <w:rPr>
                <w:sz w:val="14"/>
              </w:rPr>
            </w:pPr>
            <w:r>
              <w:rPr>
                <w:color w:val="231F20"/>
                <w:sz w:val="14"/>
              </w:rPr>
              <w:t>0,0</w:t>
            </w:r>
          </w:p>
        </w:tc>
        <w:tc>
          <w:tcPr>
            <w:tcW w:w="940"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w:t>
            </w:r>
          </w:p>
        </w:tc>
        <w:tc>
          <w:tcPr>
            <w:tcW w:w="1006" w:type="dxa"/>
          </w:tcPr>
          <w:p>
            <w:pPr>
              <w:pStyle w:val="TableParagraph"/>
              <w:ind w:right="44"/>
              <w:rPr>
                <w:sz w:val="14"/>
              </w:rPr>
            </w:pPr>
            <w:r>
              <w:rPr>
                <w:color w:val="231F20"/>
                <w:sz w:val="14"/>
              </w:rPr>
              <w:t>-</w:t>
            </w:r>
          </w:p>
        </w:tc>
        <w:tc>
          <w:tcPr>
            <w:tcW w:w="833" w:type="dxa"/>
          </w:tcPr>
          <w:p>
            <w:pPr>
              <w:pStyle w:val="TableParagraph"/>
              <w:ind w:right="44"/>
              <w:rPr>
                <w:sz w:val="14"/>
              </w:rPr>
            </w:pPr>
            <w:r>
              <w:rPr>
                <w:color w:val="231F20"/>
                <w:sz w:val="14"/>
              </w:rPr>
              <w:t>-</w:t>
            </w:r>
          </w:p>
        </w:tc>
      </w:tr>
      <w:tr>
        <w:trPr>
          <w:trHeight w:val="200" w:hRule="atLeast"/>
        </w:trPr>
        <w:tc>
          <w:tcPr>
            <w:tcW w:w="2431" w:type="dxa"/>
          </w:tcPr>
          <w:p>
            <w:pPr>
              <w:pStyle w:val="TableParagraph"/>
              <w:spacing w:before="17"/>
              <w:ind w:left="56"/>
              <w:jc w:val="left"/>
              <w:rPr>
                <w:sz w:val="14"/>
              </w:rPr>
            </w:pPr>
            <w:r>
              <w:rPr>
                <w:color w:val="231F20"/>
                <w:sz w:val="14"/>
              </w:rPr>
              <w:t>Коп Ћириковац</w:t>
            </w:r>
          </w:p>
        </w:tc>
        <w:tc>
          <w:tcPr>
            <w:tcW w:w="574" w:type="dxa"/>
          </w:tcPr>
          <w:p>
            <w:pPr>
              <w:pStyle w:val="TableParagraph"/>
              <w:spacing w:before="17"/>
              <w:ind w:right="44"/>
              <w:rPr>
                <w:sz w:val="14"/>
              </w:rPr>
            </w:pPr>
            <w:r>
              <w:rPr>
                <w:color w:val="231F20"/>
                <w:sz w:val="14"/>
              </w:rPr>
              <w:t>326,5</w:t>
            </w:r>
          </w:p>
        </w:tc>
        <w:tc>
          <w:tcPr>
            <w:tcW w:w="668" w:type="dxa"/>
          </w:tcPr>
          <w:p>
            <w:pPr>
              <w:pStyle w:val="TableParagraph"/>
              <w:spacing w:before="17"/>
              <w:ind w:right="44"/>
              <w:rPr>
                <w:sz w:val="14"/>
              </w:rPr>
            </w:pPr>
            <w:r>
              <w:rPr>
                <w:color w:val="231F20"/>
                <w:sz w:val="14"/>
              </w:rPr>
              <w:t>715,3</w:t>
            </w:r>
          </w:p>
        </w:tc>
        <w:tc>
          <w:tcPr>
            <w:tcW w:w="668" w:type="dxa"/>
          </w:tcPr>
          <w:p>
            <w:pPr>
              <w:pStyle w:val="TableParagraph"/>
              <w:spacing w:before="17"/>
              <w:ind w:right="44"/>
              <w:rPr>
                <w:sz w:val="14"/>
              </w:rPr>
            </w:pPr>
            <w:r>
              <w:rPr>
                <w:color w:val="231F20"/>
                <w:sz w:val="14"/>
              </w:rPr>
              <w:t>715,3</w:t>
            </w:r>
          </w:p>
        </w:tc>
        <w:tc>
          <w:tcPr>
            <w:tcW w:w="788" w:type="dxa"/>
          </w:tcPr>
          <w:p>
            <w:pPr>
              <w:pStyle w:val="TableParagraph"/>
              <w:spacing w:before="17"/>
              <w:ind w:right="44"/>
              <w:rPr>
                <w:sz w:val="14"/>
              </w:rPr>
            </w:pPr>
            <w:r>
              <w:rPr>
                <w:color w:val="231F20"/>
                <w:sz w:val="14"/>
              </w:rPr>
              <w:t>388,8</w:t>
            </w:r>
          </w:p>
        </w:tc>
        <w:tc>
          <w:tcPr>
            <w:tcW w:w="816" w:type="dxa"/>
          </w:tcPr>
          <w:p>
            <w:pPr>
              <w:pStyle w:val="TableParagraph"/>
              <w:spacing w:before="17"/>
              <w:ind w:right="44"/>
              <w:rPr>
                <w:sz w:val="14"/>
              </w:rPr>
            </w:pPr>
            <w:r>
              <w:rPr>
                <w:color w:val="231F20"/>
                <w:sz w:val="14"/>
              </w:rPr>
              <w:t>0,0</w:t>
            </w:r>
          </w:p>
        </w:tc>
        <w:tc>
          <w:tcPr>
            <w:tcW w:w="755" w:type="dxa"/>
          </w:tcPr>
          <w:p>
            <w:pPr>
              <w:pStyle w:val="TableParagraph"/>
              <w:spacing w:before="17"/>
              <w:ind w:right="44"/>
              <w:rPr>
                <w:sz w:val="14"/>
              </w:rPr>
            </w:pPr>
            <w:r>
              <w:rPr>
                <w:color w:val="231F20"/>
                <w:sz w:val="14"/>
              </w:rPr>
              <w:t>388,8</w:t>
            </w:r>
          </w:p>
        </w:tc>
        <w:tc>
          <w:tcPr>
            <w:tcW w:w="940" w:type="dxa"/>
          </w:tcPr>
          <w:p>
            <w:pPr>
              <w:pStyle w:val="TableParagraph"/>
              <w:spacing w:before="17"/>
              <w:ind w:right="44"/>
              <w:rPr>
                <w:sz w:val="14"/>
              </w:rPr>
            </w:pPr>
            <w:r>
              <w:rPr>
                <w:color w:val="231F20"/>
                <w:sz w:val="14"/>
              </w:rPr>
              <w:t>-119,4</w:t>
            </w:r>
          </w:p>
        </w:tc>
        <w:tc>
          <w:tcPr>
            <w:tcW w:w="1006" w:type="dxa"/>
          </w:tcPr>
          <w:p>
            <w:pPr>
              <w:pStyle w:val="TableParagraph"/>
              <w:spacing w:before="17"/>
              <w:ind w:right="44"/>
              <w:rPr>
                <w:sz w:val="14"/>
              </w:rPr>
            </w:pPr>
            <w:r>
              <w:rPr>
                <w:color w:val="231F20"/>
                <w:sz w:val="14"/>
              </w:rPr>
              <w:t>-118,9</w:t>
            </w:r>
          </w:p>
        </w:tc>
        <w:tc>
          <w:tcPr>
            <w:tcW w:w="1006" w:type="dxa"/>
          </w:tcPr>
          <w:p>
            <w:pPr>
              <w:pStyle w:val="TableParagraph"/>
              <w:spacing w:before="17"/>
              <w:ind w:right="44"/>
              <w:rPr>
                <w:sz w:val="14"/>
              </w:rPr>
            </w:pPr>
            <w:r>
              <w:rPr>
                <w:color w:val="231F20"/>
                <w:sz w:val="14"/>
              </w:rPr>
              <w:t>-114,1</w:t>
            </w:r>
          </w:p>
        </w:tc>
        <w:tc>
          <w:tcPr>
            <w:tcW w:w="833" w:type="dxa"/>
          </w:tcPr>
          <w:p>
            <w:pPr>
              <w:pStyle w:val="TableParagraph"/>
              <w:spacing w:before="17"/>
              <w:ind w:right="44"/>
              <w:rPr>
                <w:sz w:val="14"/>
              </w:rPr>
            </w:pPr>
            <w:r>
              <w:rPr>
                <w:color w:val="231F20"/>
                <w:sz w:val="14"/>
              </w:rPr>
              <w:t>-36,4</w:t>
            </w:r>
          </w:p>
        </w:tc>
      </w:tr>
      <w:tr>
        <w:trPr>
          <w:trHeight w:val="200" w:hRule="atLeast"/>
        </w:trPr>
        <w:tc>
          <w:tcPr>
            <w:tcW w:w="2431" w:type="dxa"/>
          </w:tcPr>
          <w:p>
            <w:pPr>
              <w:pStyle w:val="TableParagraph"/>
              <w:spacing w:before="17"/>
              <w:ind w:left="56"/>
              <w:jc w:val="left"/>
              <w:rPr>
                <w:sz w:val="14"/>
              </w:rPr>
            </w:pPr>
            <w:r>
              <w:rPr>
                <w:color w:val="231F20"/>
                <w:sz w:val="14"/>
              </w:rPr>
              <w:t>КО Брадарац</w:t>
            </w:r>
          </w:p>
        </w:tc>
        <w:tc>
          <w:tcPr>
            <w:tcW w:w="574" w:type="dxa"/>
          </w:tcPr>
          <w:p>
            <w:pPr>
              <w:pStyle w:val="TableParagraph"/>
              <w:spacing w:before="17"/>
              <w:ind w:right="44"/>
              <w:rPr>
                <w:sz w:val="14"/>
              </w:rPr>
            </w:pPr>
            <w:r>
              <w:rPr>
                <w:color w:val="231F20"/>
                <w:sz w:val="14"/>
              </w:rPr>
              <w:t>9,3</w:t>
            </w:r>
          </w:p>
        </w:tc>
        <w:tc>
          <w:tcPr>
            <w:tcW w:w="668" w:type="dxa"/>
          </w:tcPr>
          <w:p>
            <w:pPr>
              <w:pStyle w:val="TableParagraph"/>
              <w:spacing w:before="17"/>
              <w:ind w:right="44"/>
              <w:rPr>
                <w:sz w:val="14"/>
              </w:rPr>
            </w:pPr>
            <w:r>
              <w:rPr>
                <w:color w:val="231F20"/>
                <w:sz w:val="14"/>
              </w:rPr>
              <w:t>14,4</w:t>
            </w:r>
          </w:p>
        </w:tc>
        <w:tc>
          <w:tcPr>
            <w:tcW w:w="668" w:type="dxa"/>
          </w:tcPr>
          <w:p>
            <w:pPr>
              <w:pStyle w:val="TableParagraph"/>
              <w:spacing w:before="17"/>
              <w:ind w:right="44"/>
              <w:rPr>
                <w:sz w:val="14"/>
              </w:rPr>
            </w:pPr>
            <w:r>
              <w:rPr>
                <w:color w:val="231F20"/>
                <w:sz w:val="14"/>
              </w:rPr>
              <w:t>14,4</w:t>
            </w:r>
          </w:p>
        </w:tc>
        <w:tc>
          <w:tcPr>
            <w:tcW w:w="788" w:type="dxa"/>
          </w:tcPr>
          <w:p>
            <w:pPr>
              <w:pStyle w:val="TableParagraph"/>
              <w:spacing w:before="17"/>
              <w:ind w:right="44"/>
              <w:rPr>
                <w:sz w:val="14"/>
              </w:rPr>
            </w:pPr>
            <w:r>
              <w:rPr>
                <w:color w:val="231F20"/>
                <w:sz w:val="14"/>
              </w:rPr>
              <w:t>5,1</w:t>
            </w:r>
          </w:p>
        </w:tc>
        <w:tc>
          <w:tcPr>
            <w:tcW w:w="816" w:type="dxa"/>
          </w:tcPr>
          <w:p>
            <w:pPr>
              <w:pStyle w:val="TableParagraph"/>
              <w:spacing w:before="17"/>
              <w:ind w:right="44"/>
              <w:rPr>
                <w:sz w:val="14"/>
              </w:rPr>
            </w:pPr>
            <w:r>
              <w:rPr>
                <w:color w:val="231F20"/>
                <w:sz w:val="14"/>
              </w:rPr>
              <w:t>0,0</w:t>
            </w:r>
          </w:p>
        </w:tc>
        <w:tc>
          <w:tcPr>
            <w:tcW w:w="755" w:type="dxa"/>
          </w:tcPr>
          <w:p>
            <w:pPr>
              <w:pStyle w:val="TableParagraph"/>
              <w:spacing w:before="17"/>
              <w:ind w:right="44"/>
              <w:rPr>
                <w:sz w:val="14"/>
              </w:rPr>
            </w:pPr>
            <w:r>
              <w:rPr>
                <w:color w:val="231F20"/>
                <w:sz w:val="14"/>
              </w:rPr>
              <w:t>5,1</w:t>
            </w:r>
          </w:p>
        </w:tc>
        <w:tc>
          <w:tcPr>
            <w:tcW w:w="940" w:type="dxa"/>
          </w:tcPr>
          <w:p>
            <w:pPr>
              <w:pStyle w:val="TableParagraph"/>
              <w:spacing w:before="17"/>
              <w:ind w:right="44"/>
              <w:rPr>
                <w:sz w:val="14"/>
              </w:rPr>
            </w:pPr>
            <w:r>
              <w:rPr>
                <w:color w:val="231F20"/>
                <w:sz w:val="14"/>
              </w:rPr>
              <w:t>-5,1</w:t>
            </w:r>
          </w:p>
        </w:tc>
        <w:tc>
          <w:tcPr>
            <w:tcW w:w="1006" w:type="dxa"/>
          </w:tcPr>
          <w:p>
            <w:pPr>
              <w:pStyle w:val="TableParagraph"/>
              <w:spacing w:before="17"/>
              <w:ind w:right="44"/>
              <w:rPr>
                <w:sz w:val="14"/>
              </w:rPr>
            </w:pPr>
            <w:r>
              <w:rPr>
                <w:color w:val="231F20"/>
                <w:sz w:val="14"/>
              </w:rPr>
              <w:t>-</w:t>
            </w:r>
          </w:p>
        </w:tc>
        <w:tc>
          <w:tcPr>
            <w:tcW w:w="1006" w:type="dxa"/>
          </w:tcPr>
          <w:p>
            <w:pPr>
              <w:pStyle w:val="TableParagraph"/>
              <w:spacing w:before="17"/>
              <w:ind w:right="44"/>
              <w:rPr>
                <w:sz w:val="14"/>
              </w:rPr>
            </w:pPr>
            <w:r>
              <w:rPr>
                <w:color w:val="231F20"/>
                <w:sz w:val="14"/>
              </w:rPr>
              <w:t>-</w:t>
            </w:r>
          </w:p>
        </w:tc>
        <w:tc>
          <w:tcPr>
            <w:tcW w:w="833" w:type="dxa"/>
          </w:tcPr>
          <w:p>
            <w:pPr>
              <w:pStyle w:val="TableParagraph"/>
              <w:spacing w:before="17"/>
              <w:ind w:right="44"/>
              <w:rPr>
                <w:sz w:val="14"/>
              </w:rPr>
            </w:pPr>
            <w:r>
              <w:rPr>
                <w:color w:val="231F20"/>
                <w:sz w:val="14"/>
              </w:rPr>
              <w:t>-</w:t>
            </w:r>
          </w:p>
        </w:tc>
      </w:tr>
      <w:tr>
        <w:trPr>
          <w:trHeight w:val="200" w:hRule="atLeast"/>
        </w:trPr>
        <w:tc>
          <w:tcPr>
            <w:tcW w:w="2431" w:type="dxa"/>
          </w:tcPr>
          <w:p>
            <w:pPr>
              <w:pStyle w:val="TableParagraph"/>
              <w:spacing w:before="17"/>
              <w:ind w:left="56"/>
              <w:jc w:val="left"/>
              <w:rPr>
                <w:sz w:val="14"/>
              </w:rPr>
            </w:pPr>
            <w:r>
              <w:rPr>
                <w:color w:val="231F20"/>
                <w:sz w:val="14"/>
              </w:rPr>
              <w:t>КО Кленовник</w:t>
            </w:r>
          </w:p>
        </w:tc>
        <w:tc>
          <w:tcPr>
            <w:tcW w:w="574" w:type="dxa"/>
          </w:tcPr>
          <w:p>
            <w:pPr>
              <w:pStyle w:val="TableParagraph"/>
              <w:spacing w:before="17"/>
              <w:ind w:right="44"/>
              <w:rPr>
                <w:sz w:val="14"/>
              </w:rPr>
            </w:pPr>
            <w:r>
              <w:rPr>
                <w:color w:val="231F20"/>
                <w:sz w:val="14"/>
              </w:rPr>
              <w:t>91,1</w:t>
            </w:r>
          </w:p>
        </w:tc>
        <w:tc>
          <w:tcPr>
            <w:tcW w:w="668" w:type="dxa"/>
          </w:tcPr>
          <w:p>
            <w:pPr>
              <w:pStyle w:val="TableParagraph"/>
              <w:spacing w:before="17"/>
              <w:ind w:right="44"/>
              <w:rPr>
                <w:sz w:val="14"/>
              </w:rPr>
            </w:pPr>
            <w:r>
              <w:rPr>
                <w:color w:val="231F20"/>
                <w:sz w:val="14"/>
              </w:rPr>
              <w:t>262,5</w:t>
            </w:r>
          </w:p>
        </w:tc>
        <w:tc>
          <w:tcPr>
            <w:tcW w:w="668" w:type="dxa"/>
          </w:tcPr>
          <w:p>
            <w:pPr>
              <w:pStyle w:val="TableParagraph"/>
              <w:spacing w:before="17"/>
              <w:ind w:right="44"/>
              <w:rPr>
                <w:sz w:val="14"/>
              </w:rPr>
            </w:pPr>
            <w:r>
              <w:rPr>
                <w:color w:val="231F20"/>
                <w:sz w:val="14"/>
              </w:rPr>
              <w:t>262,5</w:t>
            </w:r>
          </w:p>
        </w:tc>
        <w:tc>
          <w:tcPr>
            <w:tcW w:w="788" w:type="dxa"/>
          </w:tcPr>
          <w:p>
            <w:pPr>
              <w:pStyle w:val="TableParagraph"/>
              <w:spacing w:before="17"/>
              <w:ind w:right="44"/>
              <w:rPr>
                <w:sz w:val="14"/>
              </w:rPr>
            </w:pPr>
            <w:r>
              <w:rPr>
                <w:color w:val="231F20"/>
                <w:sz w:val="14"/>
              </w:rPr>
              <w:t>171,4</w:t>
            </w:r>
          </w:p>
        </w:tc>
        <w:tc>
          <w:tcPr>
            <w:tcW w:w="816" w:type="dxa"/>
          </w:tcPr>
          <w:p>
            <w:pPr>
              <w:pStyle w:val="TableParagraph"/>
              <w:spacing w:before="17"/>
              <w:ind w:right="44"/>
              <w:rPr>
                <w:sz w:val="14"/>
              </w:rPr>
            </w:pPr>
            <w:r>
              <w:rPr>
                <w:color w:val="231F20"/>
                <w:sz w:val="14"/>
              </w:rPr>
              <w:t>0,0</w:t>
            </w:r>
          </w:p>
        </w:tc>
        <w:tc>
          <w:tcPr>
            <w:tcW w:w="755" w:type="dxa"/>
          </w:tcPr>
          <w:p>
            <w:pPr>
              <w:pStyle w:val="TableParagraph"/>
              <w:spacing w:before="17"/>
              <w:ind w:right="44"/>
              <w:rPr>
                <w:sz w:val="14"/>
              </w:rPr>
            </w:pPr>
            <w:r>
              <w:rPr>
                <w:color w:val="231F20"/>
                <w:sz w:val="14"/>
              </w:rPr>
              <w:t>171,4</w:t>
            </w:r>
          </w:p>
        </w:tc>
        <w:tc>
          <w:tcPr>
            <w:tcW w:w="940" w:type="dxa"/>
          </w:tcPr>
          <w:p>
            <w:pPr>
              <w:pStyle w:val="TableParagraph"/>
              <w:spacing w:before="17"/>
              <w:ind w:right="44"/>
              <w:rPr>
                <w:sz w:val="14"/>
              </w:rPr>
            </w:pPr>
            <w:r>
              <w:rPr>
                <w:color w:val="231F20"/>
                <w:sz w:val="14"/>
              </w:rPr>
              <w:t>-114,3</w:t>
            </w:r>
          </w:p>
        </w:tc>
        <w:tc>
          <w:tcPr>
            <w:tcW w:w="1006" w:type="dxa"/>
          </w:tcPr>
          <w:p>
            <w:pPr>
              <w:pStyle w:val="TableParagraph"/>
              <w:spacing w:before="17"/>
              <w:ind w:right="44"/>
              <w:rPr>
                <w:sz w:val="14"/>
              </w:rPr>
            </w:pPr>
            <w:r>
              <w:rPr>
                <w:color w:val="231F20"/>
                <w:sz w:val="14"/>
              </w:rPr>
              <w:t>-37,7</w:t>
            </w:r>
          </w:p>
        </w:tc>
        <w:tc>
          <w:tcPr>
            <w:tcW w:w="1006" w:type="dxa"/>
          </w:tcPr>
          <w:p>
            <w:pPr>
              <w:pStyle w:val="TableParagraph"/>
              <w:spacing w:before="0"/>
              <w:jc w:val="left"/>
              <w:rPr>
                <w:sz w:val="12"/>
              </w:rPr>
            </w:pPr>
          </w:p>
        </w:tc>
        <w:tc>
          <w:tcPr>
            <w:tcW w:w="833" w:type="dxa"/>
          </w:tcPr>
          <w:p>
            <w:pPr>
              <w:pStyle w:val="TableParagraph"/>
              <w:spacing w:before="17"/>
              <w:ind w:right="44"/>
              <w:rPr>
                <w:sz w:val="14"/>
              </w:rPr>
            </w:pPr>
            <w:r>
              <w:rPr>
                <w:color w:val="231F20"/>
                <w:sz w:val="14"/>
              </w:rPr>
              <w:t>-19,4</w:t>
            </w:r>
          </w:p>
        </w:tc>
      </w:tr>
      <w:tr>
        <w:trPr>
          <w:trHeight w:val="200" w:hRule="atLeast"/>
        </w:trPr>
        <w:tc>
          <w:tcPr>
            <w:tcW w:w="2431" w:type="dxa"/>
          </w:tcPr>
          <w:p>
            <w:pPr>
              <w:pStyle w:val="TableParagraph"/>
              <w:spacing w:before="17"/>
              <w:ind w:left="56"/>
              <w:jc w:val="left"/>
              <w:rPr>
                <w:sz w:val="14"/>
              </w:rPr>
            </w:pPr>
            <w:r>
              <w:rPr>
                <w:color w:val="231F20"/>
                <w:sz w:val="14"/>
              </w:rPr>
              <w:t>КО Маљуревац</w:t>
            </w:r>
          </w:p>
        </w:tc>
        <w:tc>
          <w:tcPr>
            <w:tcW w:w="574" w:type="dxa"/>
          </w:tcPr>
          <w:p>
            <w:pPr>
              <w:pStyle w:val="TableParagraph"/>
              <w:spacing w:before="17"/>
              <w:ind w:right="44"/>
              <w:rPr>
                <w:sz w:val="14"/>
              </w:rPr>
            </w:pPr>
            <w:r>
              <w:rPr>
                <w:color w:val="231F20"/>
                <w:sz w:val="14"/>
              </w:rPr>
              <w:t>14,0</w:t>
            </w:r>
          </w:p>
        </w:tc>
        <w:tc>
          <w:tcPr>
            <w:tcW w:w="668" w:type="dxa"/>
          </w:tcPr>
          <w:p>
            <w:pPr>
              <w:pStyle w:val="TableParagraph"/>
              <w:spacing w:before="17"/>
              <w:ind w:right="44"/>
              <w:rPr>
                <w:sz w:val="14"/>
              </w:rPr>
            </w:pPr>
            <w:r>
              <w:rPr>
                <w:color w:val="231F20"/>
                <w:sz w:val="14"/>
              </w:rPr>
              <w:t>88,4</w:t>
            </w:r>
          </w:p>
        </w:tc>
        <w:tc>
          <w:tcPr>
            <w:tcW w:w="668" w:type="dxa"/>
          </w:tcPr>
          <w:p>
            <w:pPr>
              <w:pStyle w:val="TableParagraph"/>
              <w:spacing w:before="17"/>
              <w:ind w:right="44"/>
              <w:rPr>
                <w:sz w:val="14"/>
              </w:rPr>
            </w:pPr>
            <w:r>
              <w:rPr>
                <w:color w:val="231F20"/>
                <w:sz w:val="14"/>
              </w:rPr>
              <w:t>88,4</w:t>
            </w:r>
          </w:p>
        </w:tc>
        <w:tc>
          <w:tcPr>
            <w:tcW w:w="788" w:type="dxa"/>
          </w:tcPr>
          <w:p>
            <w:pPr>
              <w:pStyle w:val="TableParagraph"/>
              <w:spacing w:before="17"/>
              <w:ind w:right="44"/>
              <w:rPr>
                <w:sz w:val="14"/>
              </w:rPr>
            </w:pPr>
            <w:r>
              <w:rPr>
                <w:color w:val="231F20"/>
                <w:sz w:val="14"/>
              </w:rPr>
              <w:t>74,4</w:t>
            </w:r>
          </w:p>
        </w:tc>
        <w:tc>
          <w:tcPr>
            <w:tcW w:w="816" w:type="dxa"/>
          </w:tcPr>
          <w:p>
            <w:pPr>
              <w:pStyle w:val="TableParagraph"/>
              <w:spacing w:before="17"/>
              <w:ind w:right="44"/>
              <w:rPr>
                <w:sz w:val="14"/>
              </w:rPr>
            </w:pPr>
            <w:r>
              <w:rPr>
                <w:color w:val="231F20"/>
                <w:sz w:val="14"/>
              </w:rPr>
              <w:t>0,0</w:t>
            </w:r>
          </w:p>
        </w:tc>
        <w:tc>
          <w:tcPr>
            <w:tcW w:w="755" w:type="dxa"/>
          </w:tcPr>
          <w:p>
            <w:pPr>
              <w:pStyle w:val="TableParagraph"/>
              <w:spacing w:before="17"/>
              <w:ind w:right="44"/>
              <w:rPr>
                <w:sz w:val="14"/>
              </w:rPr>
            </w:pPr>
            <w:r>
              <w:rPr>
                <w:color w:val="231F20"/>
                <w:sz w:val="14"/>
              </w:rPr>
              <w:t>74,4</w:t>
            </w:r>
          </w:p>
        </w:tc>
        <w:tc>
          <w:tcPr>
            <w:tcW w:w="940" w:type="dxa"/>
          </w:tcPr>
          <w:p>
            <w:pPr>
              <w:pStyle w:val="TableParagraph"/>
              <w:spacing w:before="17"/>
              <w:ind w:right="44"/>
              <w:rPr>
                <w:sz w:val="14"/>
              </w:rPr>
            </w:pPr>
            <w:r>
              <w:rPr>
                <w:color w:val="231F20"/>
                <w:sz w:val="14"/>
              </w:rPr>
              <w:t>-</w:t>
            </w:r>
          </w:p>
        </w:tc>
        <w:tc>
          <w:tcPr>
            <w:tcW w:w="1006" w:type="dxa"/>
          </w:tcPr>
          <w:p>
            <w:pPr>
              <w:pStyle w:val="TableParagraph"/>
              <w:spacing w:before="17"/>
              <w:ind w:right="44"/>
              <w:rPr>
                <w:sz w:val="14"/>
              </w:rPr>
            </w:pPr>
            <w:r>
              <w:rPr>
                <w:color w:val="231F20"/>
                <w:sz w:val="14"/>
              </w:rPr>
              <w:t>-32,7</w:t>
            </w:r>
          </w:p>
        </w:tc>
        <w:tc>
          <w:tcPr>
            <w:tcW w:w="1006" w:type="dxa"/>
          </w:tcPr>
          <w:p>
            <w:pPr>
              <w:pStyle w:val="TableParagraph"/>
              <w:spacing w:before="17"/>
              <w:ind w:right="44"/>
              <w:rPr>
                <w:sz w:val="14"/>
              </w:rPr>
            </w:pPr>
            <w:r>
              <w:rPr>
                <w:color w:val="231F20"/>
                <w:sz w:val="14"/>
              </w:rPr>
              <w:t>-41,7</w:t>
            </w:r>
          </w:p>
        </w:tc>
        <w:tc>
          <w:tcPr>
            <w:tcW w:w="833" w:type="dxa"/>
          </w:tcPr>
          <w:p>
            <w:pPr>
              <w:pStyle w:val="TableParagraph"/>
              <w:spacing w:before="0"/>
              <w:jc w:val="left"/>
              <w:rPr>
                <w:sz w:val="12"/>
              </w:rPr>
            </w:pPr>
          </w:p>
        </w:tc>
      </w:tr>
      <w:tr>
        <w:trPr>
          <w:trHeight w:val="200" w:hRule="atLeast"/>
        </w:trPr>
        <w:tc>
          <w:tcPr>
            <w:tcW w:w="2431" w:type="dxa"/>
          </w:tcPr>
          <w:p>
            <w:pPr>
              <w:pStyle w:val="TableParagraph"/>
              <w:spacing w:before="17"/>
              <w:ind w:left="56"/>
              <w:jc w:val="left"/>
              <w:rPr>
                <w:sz w:val="14"/>
              </w:rPr>
            </w:pPr>
            <w:r>
              <w:rPr>
                <w:color w:val="231F20"/>
                <w:sz w:val="14"/>
              </w:rPr>
              <w:t>КО Ћириковац</w:t>
            </w:r>
          </w:p>
        </w:tc>
        <w:tc>
          <w:tcPr>
            <w:tcW w:w="574" w:type="dxa"/>
          </w:tcPr>
          <w:p>
            <w:pPr>
              <w:pStyle w:val="TableParagraph"/>
              <w:spacing w:before="17"/>
              <w:ind w:right="44"/>
              <w:rPr>
                <w:sz w:val="14"/>
              </w:rPr>
            </w:pPr>
            <w:r>
              <w:rPr>
                <w:color w:val="231F20"/>
                <w:sz w:val="14"/>
              </w:rPr>
              <w:t>212,1</w:t>
            </w:r>
          </w:p>
        </w:tc>
        <w:tc>
          <w:tcPr>
            <w:tcW w:w="668" w:type="dxa"/>
          </w:tcPr>
          <w:p>
            <w:pPr>
              <w:pStyle w:val="TableParagraph"/>
              <w:spacing w:before="17"/>
              <w:ind w:right="44"/>
              <w:rPr>
                <w:sz w:val="14"/>
              </w:rPr>
            </w:pPr>
            <w:r>
              <w:rPr>
                <w:color w:val="231F20"/>
                <w:sz w:val="14"/>
              </w:rPr>
              <w:t>350,0</w:t>
            </w:r>
          </w:p>
        </w:tc>
        <w:tc>
          <w:tcPr>
            <w:tcW w:w="668" w:type="dxa"/>
          </w:tcPr>
          <w:p>
            <w:pPr>
              <w:pStyle w:val="TableParagraph"/>
              <w:spacing w:before="17"/>
              <w:ind w:right="44"/>
              <w:rPr>
                <w:sz w:val="14"/>
              </w:rPr>
            </w:pPr>
            <w:r>
              <w:rPr>
                <w:color w:val="231F20"/>
                <w:sz w:val="14"/>
              </w:rPr>
              <w:t>350,0</w:t>
            </w:r>
          </w:p>
        </w:tc>
        <w:tc>
          <w:tcPr>
            <w:tcW w:w="788" w:type="dxa"/>
          </w:tcPr>
          <w:p>
            <w:pPr>
              <w:pStyle w:val="TableParagraph"/>
              <w:spacing w:before="17"/>
              <w:ind w:right="44"/>
              <w:rPr>
                <w:sz w:val="14"/>
              </w:rPr>
            </w:pPr>
            <w:r>
              <w:rPr>
                <w:color w:val="231F20"/>
                <w:sz w:val="14"/>
              </w:rPr>
              <w:t>137,9</w:t>
            </w:r>
          </w:p>
        </w:tc>
        <w:tc>
          <w:tcPr>
            <w:tcW w:w="816" w:type="dxa"/>
          </w:tcPr>
          <w:p>
            <w:pPr>
              <w:pStyle w:val="TableParagraph"/>
              <w:spacing w:before="17"/>
              <w:ind w:right="44"/>
              <w:rPr>
                <w:sz w:val="14"/>
              </w:rPr>
            </w:pPr>
            <w:r>
              <w:rPr>
                <w:color w:val="231F20"/>
                <w:sz w:val="14"/>
              </w:rPr>
              <w:t>0,0</w:t>
            </w:r>
          </w:p>
        </w:tc>
        <w:tc>
          <w:tcPr>
            <w:tcW w:w="755" w:type="dxa"/>
          </w:tcPr>
          <w:p>
            <w:pPr>
              <w:pStyle w:val="TableParagraph"/>
              <w:spacing w:before="17"/>
              <w:ind w:right="44"/>
              <w:rPr>
                <w:sz w:val="14"/>
              </w:rPr>
            </w:pPr>
            <w:r>
              <w:rPr>
                <w:color w:val="231F20"/>
                <w:sz w:val="14"/>
              </w:rPr>
              <w:t>137,9</w:t>
            </w:r>
          </w:p>
        </w:tc>
        <w:tc>
          <w:tcPr>
            <w:tcW w:w="940" w:type="dxa"/>
          </w:tcPr>
          <w:p>
            <w:pPr>
              <w:pStyle w:val="TableParagraph"/>
              <w:spacing w:before="17"/>
              <w:ind w:right="44"/>
              <w:rPr>
                <w:sz w:val="14"/>
              </w:rPr>
            </w:pPr>
            <w:r>
              <w:rPr>
                <w:color w:val="231F20"/>
                <w:sz w:val="14"/>
              </w:rPr>
              <w:t>-</w:t>
            </w:r>
          </w:p>
        </w:tc>
        <w:tc>
          <w:tcPr>
            <w:tcW w:w="1006" w:type="dxa"/>
          </w:tcPr>
          <w:p>
            <w:pPr>
              <w:pStyle w:val="TableParagraph"/>
              <w:spacing w:before="17"/>
              <w:ind w:right="44"/>
              <w:rPr>
                <w:sz w:val="14"/>
              </w:rPr>
            </w:pPr>
            <w:r>
              <w:rPr>
                <w:color w:val="231F20"/>
                <w:sz w:val="14"/>
              </w:rPr>
              <w:t>-48,5</w:t>
            </w:r>
          </w:p>
        </w:tc>
        <w:tc>
          <w:tcPr>
            <w:tcW w:w="1006" w:type="dxa"/>
          </w:tcPr>
          <w:p>
            <w:pPr>
              <w:pStyle w:val="TableParagraph"/>
              <w:spacing w:before="17"/>
              <w:ind w:right="44"/>
              <w:rPr>
                <w:sz w:val="14"/>
              </w:rPr>
            </w:pPr>
            <w:r>
              <w:rPr>
                <w:color w:val="231F20"/>
                <w:sz w:val="14"/>
              </w:rPr>
              <w:t>-72,4</w:t>
            </w:r>
          </w:p>
        </w:tc>
        <w:tc>
          <w:tcPr>
            <w:tcW w:w="833" w:type="dxa"/>
          </w:tcPr>
          <w:p>
            <w:pPr>
              <w:pStyle w:val="TableParagraph"/>
              <w:spacing w:before="17"/>
              <w:ind w:right="44"/>
              <w:rPr>
                <w:sz w:val="14"/>
              </w:rPr>
            </w:pPr>
            <w:r>
              <w:rPr>
                <w:color w:val="231F20"/>
                <w:sz w:val="14"/>
              </w:rPr>
              <w:t>-17,0</w:t>
            </w:r>
          </w:p>
        </w:tc>
      </w:tr>
    </w:tbl>
    <w:p>
      <w:pPr>
        <w:spacing w:after="0"/>
        <w:rPr>
          <w:sz w:val="14"/>
        </w:rPr>
        <w:sectPr>
          <w:type w:val="continuous"/>
          <w:pgSz w:w="12480" w:h="15690"/>
          <w:pgMar w:top="880" w:bottom="280" w:left="680" w:right="720"/>
        </w:sect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31"/>
        <w:gridCol w:w="574"/>
        <w:gridCol w:w="668"/>
        <w:gridCol w:w="668"/>
        <w:gridCol w:w="788"/>
        <w:gridCol w:w="816"/>
        <w:gridCol w:w="755"/>
        <w:gridCol w:w="940"/>
        <w:gridCol w:w="1006"/>
        <w:gridCol w:w="1006"/>
        <w:gridCol w:w="833"/>
      </w:tblGrid>
      <w:tr>
        <w:trPr>
          <w:trHeight w:val="200" w:hRule="atLeast"/>
        </w:trPr>
        <w:tc>
          <w:tcPr>
            <w:tcW w:w="2431" w:type="dxa"/>
            <w:vMerge w:val="restart"/>
          </w:tcPr>
          <w:p>
            <w:pPr>
              <w:pStyle w:val="TableParagraph"/>
              <w:spacing w:before="0"/>
              <w:jc w:val="left"/>
              <w:rPr>
                <w:sz w:val="16"/>
              </w:rPr>
            </w:pPr>
          </w:p>
        </w:tc>
        <w:tc>
          <w:tcPr>
            <w:tcW w:w="1910" w:type="dxa"/>
            <w:gridSpan w:val="3"/>
          </w:tcPr>
          <w:p>
            <w:pPr>
              <w:pStyle w:val="TableParagraph"/>
              <w:spacing w:before="9"/>
              <w:ind w:left="744" w:right="734"/>
              <w:jc w:val="center"/>
              <w:rPr>
                <w:sz w:val="14"/>
              </w:rPr>
            </w:pPr>
            <w:r>
              <w:rPr>
                <w:color w:val="231F20"/>
                <w:sz w:val="14"/>
              </w:rPr>
              <w:t>Стање</w:t>
            </w:r>
          </w:p>
        </w:tc>
        <w:tc>
          <w:tcPr>
            <w:tcW w:w="1604" w:type="dxa"/>
            <w:gridSpan w:val="2"/>
          </w:tcPr>
          <w:p>
            <w:pPr>
              <w:pStyle w:val="TableParagraph"/>
              <w:spacing w:before="9"/>
              <w:ind w:left="532" w:right="522"/>
              <w:jc w:val="center"/>
              <w:rPr>
                <w:sz w:val="14"/>
              </w:rPr>
            </w:pPr>
            <w:r>
              <w:rPr>
                <w:color w:val="231F20"/>
                <w:sz w:val="14"/>
              </w:rPr>
              <w:t>Биланси</w:t>
            </w:r>
          </w:p>
        </w:tc>
        <w:tc>
          <w:tcPr>
            <w:tcW w:w="755" w:type="dxa"/>
            <w:vMerge w:val="restart"/>
          </w:tcPr>
          <w:p>
            <w:pPr>
              <w:pStyle w:val="TableParagraph"/>
              <w:spacing w:before="9"/>
              <w:ind w:left="74" w:right="61" w:firstLine="133"/>
              <w:jc w:val="left"/>
              <w:rPr>
                <w:sz w:val="14"/>
              </w:rPr>
            </w:pPr>
            <w:r>
              <w:rPr>
                <w:color w:val="231F20"/>
                <w:sz w:val="14"/>
              </w:rPr>
              <w:t>Свега 2010-2022</w:t>
            </w:r>
          </w:p>
        </w:tc>
        <w:tc>
          <w:tcPr>
            <w:tcW w:w="3785" w:type="dxa"/>
            <w:gridSpan w:val="4"/>
          </w:tcPr>
          <w:p>
            <w:pPr>
              <w:pStyle w:val="TableParagraph"/>
              <w:spacing w:before="9"/>
              <w:ind w:left="1203"/>
              <w:jc w:val="left"/>
              <w:rPr>
                <w:sz w:val="14"/>
              </w:rPr>
            </w:pPr>
            <w:r>
              <w:rPr>
                <w:color w:val="231F20"/>
                <w:sz w:val="14"/>
              </w:rPr>
              <w:t>од тога на површинама</w:t>
            </w:r>
          </w:p>
        </w:tc>
      </w:tr>
      <w:tr>
        <w:trPr>
          <w:trHeight w:val="360" w:hRule="atLeast"/>
        </w:trPr>
        <w:tc>
          <w:tcPr>
            <w:tcW w:w="2431" w:type="dxa"/>
            <w:vMerge/>
            <w:tcBorders>
              <w:top w:val="nil"/>
            </w:tcBorders>
          </w:tcPr>
          <w:p>
            <w:pPr>
              <w:rPr>
                <w:sz w:val="2"/>
                <w:szCs w:val="2"/>
              </w:rPr>
            </w:pPr>
          </w:p>
        </w:tc>
        <w:tc>
          <w:tcPr>
            <w:tcW w:w="574" w:type="dxa"/>
          </w:tcPr>
          <w:p>
            <w:pPr>
              <w:pStyle w:val="TableParagraph"/>
              <w:spacing w:before="9"/>
              <w:ind w:left="147"/>
              <w:jc w:val="left"/>
              <w:rPr>
                <w:sz w:val="14"/>
              </w:rPr>
            </w:pPr>
            <w:r>
              <w:rPr>
                <w:color w:val="231F20"/>
                <w:sz w:val="14"/>
              </w:rPr>
              <w:t>2010</w:t>
            </w:r>
          </w:p>
        </w:tc>
        <w:tc>
          <w:tcPr>
            <w:tcW w:w="668" w:type="dxa"/>
          </w:tcPr>
          <w:p>
            <w:pPr>
              <w:pStyle w:val="TableParagraph"/>
              <w:spacing w:before="9"/>
              <w:ind w:left="194"/>
              <w:jc w:val="left"/>
              <w:rPr>
                <w:sz w:val="14"/>
              </w:rPr>
            </w:pPr>
            <w:r>
              <w:rPr>
                <w:color w:val="231F20"/>
                <w:sz w:val="14"/>
              </w:rPr>
              <w:t>2015</w:t>
            </w:r>
          </w:p>
        </w:tc>
        <w:tc>
          <w:tcPr>
            <w:tcW w:w="668" w:type="dxa"/>
          </w:tcPr>
          <w:p>
            <w:pPr>
              <w:pStyle w:val="TableParagraph"/>
              <w:spacing w:before="9"/>
              <w:ind w:left="194"/>
              <w:jc w:val="left"/>
              <w:rPr>
                <w:sz w:val="14"/>
              </w:rPr>
            </w:pPr>
            <w:r>
              <w:rPr>
                <w:color w:val="231F20"/>
                <w:sz w:val="14"/>
              </w:rPr>
              <w:t>2022</w:t>
            </w:r>
          </w:p>
        </w:tc>
        <w:tc>
          <w:tcPr>
            <w:tcW w:w="788" w:type="dxa"/>
          </w:tcPr>
          <w:p>
            <w:pPr>
              <w:pStyle w:val="TableParagraph"/>
              <w:spacing w:before="9"/>
              <w:ind w:right="78"/>
              <w:rPr>
                <w:sz w:val="14"/>
              </w:rPr>
            </w:pPr>
            <w:r>
              <w:rPr>
                <w:color w:val="231F20"/>
                <w:sz w:val="14"/>
              </w:rPr>
              <w:t>2010-2015</w:t>
            </w:r>
          </w:p>
        </w:tc>
        <w:tc>
          <w:tcPr>
            <w:tcW w:w="816" w:type="dxa"/>
          </w:tcPr>
          <w:p>
            <w:pPr>
              <w:pStyle w:val="TableParagraph"/>
              <w:spacing w:before="9"/>
              <w:ind w:right="92"/>
              <w:rPr>
                <w:sz w:val="14"/>
              </w:rPr>
            </w:pPr>
            <w:r>
              <w:rPr>
                <w:color w:val="231F20"/>
                <w:sz w:val="14"/>
              </w:rPr>
              <w:t>2015-2022</w:t>
            </w:r>
          </w:p>
        </w:tc>
        <w:tc>
          <w:tcPr>
            <w:tcW w:w="755" w:type="dxa"/>
            <w:vMerge/>
            <w:tcBorders>
              <w:top w:val="nil"/>
            </w:tcBorders>
          </w:tcPr>
          <w:p>
            <w:pPr>
              <w:rPr>
                <w:sz w:val="2"/>
                <w:szCs w:val="2"/>
              </w:rPr>
            </w:pPr>
          </w:p>
        </w:tc>
        <w:tc>
          <w:tcPr>
            <w:tcW w:w="940" w:type="dxa"/>
          </w:tcPr>
          <w:p>
            <w:pPr>
              <w:pStyle w:val="TableParagraph"/>
              <w:spacing w:before="9"/>
              <w:ind w:left="266" w:right="42" w:hanging="198"/>
              <w:jc w:val="left"/>
              <w:rPr>
                <w:sz w:val="14"/>
              </w:rPr>
            </w:pPr>
            <w:r>
              <w:rPr>
                <w:color w:val="231F20"/>
                <w:sz w:val="14"/>
              </w:rPr>
              <w:t>Одлагалишта пепела</w:t>
            </w:r>
          </w:p>
        </w:tc>
        <w:tc>
          <w:tcPr>
            <w:tcW w:w="1006" w:type="dxa"/>
          </w:tcPr>
          <w:p>
            <w:pPr>
              <w:pStyle w:val="TableParagraph"/>
              <w:spacing w:before="9"/>
              <w:ind w:left="118" w:right="89" w:firstLine="34"/>
              <w:jc w:val="left"/>
              <w:rPr>
                <w:sz w:val="14"/>
              </w:rPr>
            </w:pPr>
            <w:r>
              <w:rPr>
                <w:color w:val="231F20"/>
                <w:sz w:val="14"/>
              </w:rPr>
              <w:t>Унутрашња одлагалишта</w:t>
            </w:r>
          </w:p>
        </w:tc>
        <w:tc>
          <w:tcPr>
            <w:tcW w:w="1006" w:type="dxa"/>
          </w:tcPr>
          <w:p>
            <w:pPr>
              <w:pStyle w:val="TableParagraph"/>
              <w:spacing w:before="9"/>
              <w:ind w:left="119" w:right="88" w:firstLine="47"/>
              <w:jc w:val="left"/>
              <w:rPr>
                <w:sz w:val="14"/>
              </w:rPr>
            </w:pPr>
            <w:r>
              <w:rPr>
                <w:color w:val="231F20"/>
                <w:sz w:val="14"/>
              </w:rPr>
              <w:t>Спољашња одлагалишта</w:t>
            </w:r>
          </w:p>
        </w:tc>
        <w:tc>
          <w:tcPr>
            <w:tcW w:w="833" w:type="dxa"/>
          </w:tcPr>
          <w:p>
            <w:pPr>
              <w:pStyle w:val="TableParagraph"/>
              <w:spacing w:before="9"/>
              <w:ind w:left="156" w:right="126" w:firstLine="48"/>
              <w:jc w:val="left"/>
              <w:rPr>
                <w:sz w:val="14"/>
              </w:rPr>
            </w:pPr>
            <w:r>
              <w:rPr>
                <w:color w:val="231F20"/>
                <w:sz w:val="14"/>
              </w:rPr>
              <w:t>Остале локације</w:t>
            </w:r>
          </w:p>
        </w:tc>
      </w:tr>
      <w:tr>
        <w:trPr>
          <w:trHeight w:val="200" w:hRule="atLeast"/>
        </w:trPr>
        <w:tc>
          <w:tcPr>
            <w:tcW w:w="2431" w:type="dxa"/>
          </w:tcPr>
          <w:p>
            <w:pPr>
              <w:pStyle w:val="TableParagraph"/>
              <w:spacing w:before="9"/>
              <w:ind w:left="56"/>
              <w:jc w:val="left"/>
              <w:rPr>
                <w:sz w:val="14"/>
              </w:rPr>
            </w:pPr>
            <w:r>
              <w:rPr>
                <w:color w:val="231F20"/>
                <w:sz w:val="14"/>
              </w:rPr>
              <w:t>Коп Кленовник</w:t>
            </w:r>
          </w:p>
        </w:tc>
        <w:tc>
          <w:tcPr>
            <w:tcW w:w="574" w:type="dxa"/>
          </w:tcPr>
          <w:p>
            <w:pPr>
              <w:pStyle w:val="TableParagraph"/>
              <w:spacing w:before="9"/>
              <w:ind w:right="44"/>
              <w:rPr>
                <w:sz w:val="14"/>
              </w:rPr>
            </w:pPr>
            <w:r>
              <w:rPr>
                <w:color w:val="231F20"/>
                <w:sz w:val="14"/>
              </w:rPr>
              <w:t>104,2</w:t>
            </w:r>
          </w:p>
        </w:tc>
        <w:tc>
          <w:tcPr>
            <w:tcW w:w="668" w:type="dxa"/>
          </w:tcPr>
          <w:p>
            <w:pPr>
              <w:pStyle w:val="TableParagraph"/>
              <w:spacing w:before="9"/>
              <w:ind w:right="44"/>
              <w:rPr>
                <w:sz w:val="14"/>
              </w:rPr>
            </w:pPr>
            <w:r>
              <w:rPr>
                <w:color w:val="231F20"/>
                <w:sz w:val="14"/>
              </w:rPr>
              <w:t>404,2</w:t>
            </w:r>
          </w:p>
        </w:tc>
        <w:tc>
          <w:tcPr>
            <w:tcW w:w="668" w:type="dxa"/>
          </w:tcPr>
          <w:p>
            <w:pPr>
              <w:pStyle w:val="TableParagraph"/>
              <w:spacing w:before="9"/>
              <w:ind w:right="44"/>
              <w:rPr>
                <w:sz w:val="14"/>
              </w:rPr>
            </w:pPr>
            <w:r>
              <w:rPr>
                <w:color w:val="231F20"/>
                <w:sz w:val="14"/>
              </w:rPr>
              <w:t>404,2</w:t>
            </w:r>
          </w:p>
        </w:tc>
        <w:tc>
          <w:tcPr>
            <w:tcW w:w="788" w:type="dxa"/>
          </w:tcPr>
          <w:p>
            <w:pPr>
              <w:pStyle w:val="TableParagraph"/>
              <w:spacing w:before="9"/>
              <w:ind w:right="44"/>
              <w:rPr>
                <w:sz w:val="14"/>
              </w:rPr>
            </w:pPr>
            <w:r>
              <w:rPr>
                <w:color w:val="231F20"/>
                <w:sz w:val="14"/>
              </w:rPr>
              <w:t>299,9</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299,9</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-115,7</w:t>
            </w:r>
          </w:p>
        </w:tc>
        <w:tc>
          <w:tcPr>
            <w:tcW w:w="1006" w:type="dxa"/>
          </w:tcPr>
          <w:p>
            <w:pPr>
              <w:pStyle w:val="TableParagraph"/>
              <w:spacing w:before="9"/>
              <w:ind w:right="44"/>
              <w:rPr>
                <w:sz w:val="14"/>
              </w:rPr>
            </w:pPr>
            <w:r>
              <w:rPr>
                <w:color w:val="231F20"/>
                <w:sz w:val="14"/>
              </w:rPr>
              <w:t>-184,3</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56"/>
              <w:jc w:val="left"/>
              <w:rPr>
                <w:sz w:val="14"/>
              </w:rPr>
            </w:pPr>
            <w:r>
              <w:rPr>
                <w:color w:val="231F20"/>
                <w:sz w:val="14"/>
              </w:rPr>
              <w:t>КО Кленовник</w:t>
            </w:r>
          </w:p>
        </w:tc>
        <w:tc>
          <w:tcPr>
            <w:tcW w:w="574" w:type="dxa"/>
          </w:tcPr>
          <w:p>
            <w:pPr>
              <w:pStyle w:val="TableParagraph"/>
              <w:spacing w:before="9"/>
              <w:ind w:right="44"/>
              <w:rPr>
                <w:sz w:val="14"/>
              </w:rPr>
            </w:pPr>
            <w:r>
              <w:rPr>
                <w:color w:val="231F20"/>
                <w:sz w:val="14"/>
              </w:rPr>
              <w:t>34,0</w:t>
            </w:r>
          </w:p>
        </w:tc>
        <w:tc>
          <w:tcPr>
            <w:tcW w:w="668" w:type="dxa"/>
          </w:tcPr>
          <w:p>
            <w:pPr>
              <w:pStyle w:val="TableParagraph"/>
              <w:spacing w:before="9"/>
              <w:ind w:right="44"/>
              <w:rPr>
                <w:sz w:val="14"/>
              </w:rPr>
            </w:pPr>
            <w:r>
              <w:rPr>
                <w:color w:val="231F20"/>
                <w:sz w:val="14"/>
              </w:rPr>
              <w:t>129,7</w:t>
            </w:r>
          </w:p>
        </w:tc>
        <w:tc>
          <w:tcPr>
            <w:tcW w:w="668" w:type="dxa"/>
          </w:tcPr>
          <w:p>
            <w:pPr>
              <w:pStyle w:val="TableParagraph"/>
              <w:spacing w:before="9"/>
              <w:ind w:right="44"/>
              <w:rPr>
                <w:sz w:val="14"/>
              </w:rPr>
            </w:pPr>
            <w:r>
              <w:rPr>
                <w:color w:val="231F20"/>
                <w:sz w:val="14"/>
              </w:rPr>
              <w:t>129,7</w:t>
            </w:r>
          </w:p>
        </w:tc>
        <w:tc>
          <w:tcPr>
            <w:tcW w:w="788" w:type="dxa"/>
          </w:tcPr>
          <w:p>
            <w:pPr>
              <w:pStyle w:val="TableParagraph"/>
              <w:spacing w:before="9"/>
              <w:ind w:right="44"/>
              <w:rPr>
                <w:sz w:val="14"/>
              </w:rPr>
            </w:pPr>
            <w:r>
              <w:rPr>
                <w:color w:val="231F20"/>
                <w:sz w:val="14"/>
              </w:rPr>
              <w:t>95,8</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95,8</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-76,3</w:t>
            </w:r>
          </w:p>
        </w:tc>
        <w:tc>
          <w:tcPr>
            <w:tcW w:w="1006" w:type="dxa"/>
          </w:tcPr>
          <w:p>
            <w:pPr>
              <w:pStyle w:val="TableParagraph"/>
              <w:spacing w:before="9"/>
              <w:ind w:right="44"/>
              <w:rPr>
                <w:sz w:val="14"/>
              </w:rPr>
            </w:pPr>
            <w:r>
              <w:rPr>
                <w:color w:val="231F20"/>
                <w:sz w:val="14"/>
              </w:rPr>
              <w:t>-19,5</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56"/>
              <w:jc w:val="left"/>
              <w:rPr>
                <w:sz w:val="14"/>
              </w:rPr>
            </w:pPr>
            <w:r>
              <w:rPr>
                <w:color w:val="231F20"/>
                <w:sz w:val="14"/>
              </w:rPr>
              <w:t>КО Костолац град</w:t>
            </w:r>
          </w:p>
        </w:tc>
        <w:tc>
          <w:tcPr>
            <w:tcW w:w="574" w:type="dxa"/>
          </w:tcPr>
          <w:p>
            <w:pPr>
              <w:pStyle w:val="TableParagraph"/>
              <w:spacing w:before="9"/>
              <w:ind w:right="44"/>
              <w:rPr>
                <w:sz w:val="14"/>
              </w:rPr>
            </w:pPr>
            <w:r>
              <w:rPr>
                <w:color w:val="231F20"/>
                <w:sz w:val="14"/>
              </w:rPr>
              <w:t>12,2</w:t>
            </w:r>
          </w:p>
        </w:tc>
        <w:tc>
          <w:tcPr>
            <w:tcW w:w="668" w:type="dxa"/>
          </w:tcPr>
          <w:p>
            <w:pPr>
              <w:pStyle w:val="TableParagraph"/>
              <w:spacing w:before="9"/>
              <w:ind w:right="44"/>
              <w:rPr>
                <w:sz w:val="14"/>
              </w:rPr>
            </w:pPr>
            <w:r>
              <w:rPr>
                <w:color w:val="231F20"/>
                <w:sz w:val="14"/>
              </w:rPr>
              <w:t>12,2</w:t>
            </w:r>
          </w:p>
        </w:tc>
        <w:tc>
          <w:tcPr>
            <w:tcW w:w="668" w:type="dxa"/>
          </w:tcPr>
          <w:p>
            <w:pPr>
              <w:pStyle w:val="TableParagraph"/>
              <w:spacing w:before="9"/>
              <w:ind w:right="44"/>
              <w:rPr>
                <w:sz w:val="14"/>
              </w:rPr>
            </w:pPr>
            <w:r>
              <w:rPr>
                <w:color w:val="231F20"/>
                <w:sz w:val="14"/>
              </w:rPr>
              <w:t>12,2</w:t>
            </w:r>
          </w:p>
        </w:tc>
        <w:tc>
          <w:tcPr>
            <w:tcW w:w="788" w:type="dxa"/>
          </w:tcPr>
          <w:p>
            <w:pPr>
              <w:pStyle w:val="TableParagraph"/>
              <w:spacing w:before="9"/>
              <w:ind w:right="44"/>
              <w:rPr>
                <w:sz w:val="14"/>
              </w:rPr>
            </w:pPr>
            <w:r>
              <w:rPr>
                <w:color w:val="231F20"/>
                <w:sz w:val="14"/>
              </w:rPr>
              <w:t>0,0</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0,0</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56"/>
              <w:jc w:val="left"/>
              <w:rPr>
                <w:sz w:val="14"/>
              </w:rPr>
            </w:pPr>
            <w:r>
              <w:rPr>
                <w:color w:val="231F20"/>
                <w:sz w:val="14"/>
              </w:rPr>
              <w:t>КО Костолац село</w:t>
            </w:r>
          </w:p>
        </w:tc>
        <w:tc>
          <w:tcPr>
            <w:tcW w:w="574" w:type="dxa"/>
          </w:tcPr>
          <w:p>
            <w:pPr>
              <w:pStyle w:val="TableParagraph"/>
              <w:spacing w:before="9"/>
              <w:ind w:right="44"/>
              <w:rPr>
                <w:sz w:val="14"/>
              </w:rPr>
            </w:pPr>
            <w:r>
              <w:rPr>
                <w:color w:val="231F20"/>
                <w:sz w:val="14"/>
              </w:rPr>
              <w:t>58,1</w:t>
            </w:r>
          </w:p>
        </w:tc>
        <w:tc>
          <w:tcPr>
            <w:tcW w:w="668" w:type="dxa"/>
          </w:tcPr>
          <w:p>
            <w:pPr>
              <w:pStyle w:val="TableParagraph"/>
              <w:spacing w:before="9"/>
              <w:ind w:right="44"/>
              <w:rPr>
                <w:sz w:val="14"/>
              </w:rPr>
            </w:pPr>
            <w:r>
              <w:rPr>
                <w:color w:val="231F20"/>
                <w:sz w:val="14"/>
              </w:rPr>
              <w:t>262,3</w:t>
            </w:r>
          </w:p>
        </w:tc>
        <w:tc>
          <w:tcPr>
            <w:tcW w:w="668" w:type="dxa"/>
          </w:tcPr>
          <w:p>
            <w:pPr>
              <w:pStyle w:val="TableParagraph"/>
              <w:spacing w:before="9"/>
              <w:ind w:right="44"/>
              <w:rPr>
                <w:sz w:val="14"/>
              </w:rPr>
            </w:pPr>
            <w:r>
              <w:rPr>
                <w:color w:val="231F20"/>
                <w:sz w:val="14"/>
              </w:rPr>
              <w:t>262,3</w:t>
            </w:r>
          </w:p>
        </w:tc>
        <w:tc>
          <w:tcPr>
            <w:tcW w:w="788" w:type="dxa"/>
          </w:tcPr>
          <w:p>
            <w:pPr>
              <w:pStyle w:val="TableParagraph"/>
              <w:spacing w:before="9"/>
              <w:ind w:right="44"/>
              <w:rPr>
                <w:sz w:val="14"/>
              </w:rPr>
            </w:pPr>
            <w:r>
              <w:rPr>
                <w:color w:val="231F20"/>
                <w:sz w:val="14"/>
              </w:rPr>
              <w:t>204,2</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204,2</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-39,3</w:t>
            </w:r>
          </w:p>
        </w:tc>
        <w:tc>
          <w:tcPr>
            <w:tcW w:w="1006" w:type="dxa"/>
          </w:tcPr>
          <w:p>
            <w:pPr>
              <w:pStyle w:val="TableParagraph"/>
              <w:spacing w:before="9"/>
              <w:ind w:right="44"/>
              <w:rPr>
                <w:sz w:val="14"/>
              </w:rPr>
            </w:pPr>
            <w:r>
              <w:rPr>
                <w:color w:val="231F20"/>
                <w:sz w:val="14"/>
              </w:rPr>
              <w:t>-164,8</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56"/>
              <w:jc w:val="left"/>
              <w:rPr>
                <w:sz w:val="14"/>
              </w:rPr>
            </w:pPr>
            <w:r>
              <w:rPr>
                <w:color w:val="231F20"/>
                <w:sz w:val="14"/>
              </w:rPr>
              <w:t>Свега ТЕ-КО Костолац</w:t>
            </w:r>
          </w:p>
        </w:tc>
        <w:tc>
          <w:tcPr>
            <w:tcW w:w="574" w:type="dxa"/>
          </w:tcPr>
          <w:p>
            <w:pPr>
              <w:pStyle w:val="TableParagraph"/>
              <w:spacing w:before="9"/>
              <w:ind w:right="44"/>
              <w:rPr>
                <w:sz w:val="14"/>
              </w:rPr>
            </w:pPr>
            <w:r>
              <w:rPr>
                <w:color w:val="231F20"/>
                <w:sz w:val="14"/>
              </w:rPr>
              <w:t>623,4</w:t>
            </w:r>
          </w:p>
        </w:tc>
        <w:tc>
          <w:tcPr>
            <w:tcW w:w="668" w:type="dxa"/>
          </w:tcPr>
          <w:p>
            <w:pPr>
              <w:pStyle w:val="TableParagraph"/>
              <w:spacing w:before="9"/>
              <w:ind w:right="44"/>
              <w:rPr>
                <w:sz w:val="14"/>
              </w:rPr>
            </w:pPr>
            <w:r>
              <w:rPr>
                <w:color w:val="231F20"/>
                <w:sz w:val="14"/>
              </w:rPr>
              <w:t>1749,6</w:t>
            </w:r>
          </w:p>
        </w:tc>
        <w:tc>
          <w:tcPr>
            <w:tcW w:w="668" w:type="dxa"/>
          </w:tcPr>
          <w:p>
            <w:pPr>
              <w:pStyle w:val="TableParagraph"/>
              <w:spacing w:before="9"/>
              <w:ind w:right="44"/>
              <w:rPr>
                <w:sz w:val="14"/>
              </w:rPr>
            </w:pPr>
            <w:r>
              <w:rPr>
                <w:color w:val="231F20"/>
                <w:sz w:val="14"/>
              </w:rPr>
              <w:t>2342,5</w:t>
            </w:r>
          </w:p>
        </w:tc>
        <w:tc>
          <w:tcPr>
            <w:tcW w:w="788" w:type="dxa"/>
          </w:tcPr>
          <w:p>
            <w:pPr>
              <w:pStyle w:val="TableParagraph"/>
              <w:spacing w:before="9"/>
              <w:ind w:right="44"/>
              <w:rPr>
                <w:sz w:val="14"/>
              </w:rPr>
            </w:pPr>
            <w:r>
              <w:rPr>
                <w:color w:val="231F20"/>
                <w:sz w:val="14"/>
              </w:rPr>
              <w:t>1126,1</w:t>
            </w:r>
          </w:p>
        </w:tc>
        <w:tc>
          <w:tcPr>
            <w:tcW w:w="816" w:type="dxa"/>
          </w:tcPr>
          <w:p>
            <w:pPr>
              <w:pStyle w:val="TableParagraph"/>
              <w:spacing w:before="9"/>
              <w:ind w:right="44"/>
              <w:rPr>
                <w:sz w:val="14"/>
              </w:rPr>
            </w:pPr>
            <w:r>
              <w:rPr>
                <w:color w:val="231F20"/>
                <w:sz w:val="14"/>
              </w:rPr>
              <w:t>592,9</w:t>
            </w:r>
          </w:p>
        </w:tc>
        <w:tc>
          <w:tcPr>
            <w:tcW w:w="755" w:type="dxa"/>
          </w:tcPr>
          <w:p>
            <w:pPr>
              <w:pStyle w:val="TableParagraph"/>
              <w:spacing w:before="9"/>
              <w:ind w:right="44"/>
              <w:rPr>
                <w:sz w:val="14"/>
              </w:rPr>
            </w:pPr>
            <w:r>
              <w:rPr>
                <w:color w:val="231F20"/>
                <w:sz w:val="14"/>
              </w:rPr>
              <w:t>1719,0</w:t>
            </w:r>
          </w:p>
        </w:tc>
        <w:tc>
          <w:tcPr>
            <w:tcW w:w="940" w:type="dxa"/>
          </w:tcPr>
          <w:p>
            <w:pPr>
              <w:pStyle w:val="TableParagraph"/>
              <w:spacing w:before="9"/>
              <w:ind w:right="44"/>
              <w:rPr>
                <w:sz w:val="14"/>
              </w:rPr>
            </w:pPr>
            <w:r>
              <w:rPr>
                <w:color w:val="231F20"/>
                <w:sz w:val="14"/>
              </w:rPr>
              <w:t>-317,0</w:t>
            </w:r>
          </w:p>
        </w:tc>
        <w:tc>
          <w:tcPr>
            <w:tcW w:w="1006" w:type="dxa"/>
          </w:tcPr>
          <w:p>
            <w:pPr>
              <w:pStyle w:val="TableParagraph"/>
              <w:spacing w:before="9"/>
              <w:ind w:right="44"/>
              <w:rPr>
                <w:sz w:val="14"/>
              </w:rPr>
            </w:pPr>
            <w:r>
              <w:rPr>
                <w:color w:val="231F20"/>
                <w:sz w:val="14"/>
              </w:rPr>
              <w:t>-914,4</w:t>
            </w:r>
          </w:p>
        </w:tc>
        <w:tc>
          <w:tcPr>
            <w:tcW w:w="1006" w:type="dxa"/>
          </w:tcPr>
          <w:p>
            <w:pPr>
              <w:pStyle w:val="TableParagraph"/>
              <w:spacing w:before="9"/>
              <w:ind w:right="44"/>
              <w:rPr>
                <w:sz w:val="14"/>
              </w:rPr>
            </w:pPr>
            <w:r>
              <w:rPr>
                <w:color w:val="231F20"/>
                <w:sz w:val="14"/>
              </w:rPr>
              <w:t>-451,3</w:t>
            </w:r>
          </w:p>
        </w:tc>
        <w:tc>
          <w:tcPr>
            <w:tcW w:w="833" w:type="dxa"/>
          </w:tcPr>
          <w:p>
            <w:pPr>
              <w:pStyle w:val="TableParagraph"/>
              <w:spacing w:before="9"/>
              <w:ind w:right="44"/>
              <w:rPr>
                <w:sz w:val="14"/>
              </w:rPr>
            </w:pPr>
            <w:r>
              <w:rPr>
                <w:color w:val="231F20"/>
                <w:sz w:val="14"/>
              </w:rPr>
              <w:t>-36,4</w:t>
            </w:r>
          </w:p>
        </w:tc>
      </w:tr>
      <w:tr>
        <w:trPr>
          <w:trHeight w:val="200" w:hRule="atLeast"/>
        </w:trPr>
        <w:tc>
          <w:tcPr>
            <w:tcW w:w="2431" w:type="dxa"/>
          </w:tcPr>
          <w:p>
            <w:pPr>
              <w:pStyle w:val="TableParagraph"/>
              <w:spacing w:before="9"/>
              <w:ind w:left="91"/>
              <w:jc w:val="left"/>
              <w:rPr>
                <w:sz w:val="14"/>
              </w:rPr>
            </w:pPr>
            <w:r>
              <w:rPr>
                <w:color w:val="231F20"/>
                <w:sz w:val="14"/>
              </w:rPr>
              <w:t>Брадарац</w:t>
            </w:r>
          </w:p>
        </w:tc>
        <w:tc>
          <w:tcPr>
            <w:tcW w:w="574" w:type="dxa"/>
          </w:tcPr>
          <w:p>
            <w:pPr>
              <w:pStyle w:val="TableParagraph"/>
              <w:spacing w:before="9"/>
              <w:ind w:right="44"/>
              <w:rPr>
                <w:sz w:val="14"/>
              </w:rPr>
            </w:pPr>
            <w:r>
              <w:rPr>
                <w:color w:val="231F20"/>
                <w:sz w:val="14"/>
              </w:rPr>
              <w:t>52,3</w:t>
            </w:r>
          </w:p>
        </w:tc>
        <w:tc>
          <w:tcPr>
            <w:tcW w:w="668" w:type="dxa"/>
          </w:tcPr>
          <w:p>
            <w:pPr>
              <w:pStyle w:val="TableParagraph"/>
              <w:spacing w:before="9"/>
              <w:ind w:right="44"/>
              <w:rPr>
                <w:sz w:val="14"/>
              </w:rPr>
            </w:pPr>
            <w:r>
              <w:rPr>
                <w:color w:val="231F20"/>
                <w:sz w:val="14"/>
              </w:rPr>
              <w:t>283,6</w:t>
            </w:r>
          </w:p>
        </w:tc>
        <w:tc>
          <w:tcPr>
            <w:tcW w:w="668" w:type="dxa"/>
          </w:tcPr>
          <w:p>
            <w:pPr>
              <w:pStyle w:val="TableParagraph"/>
              <w:spacing w:before="9"/>
              <w:ind w:right="44"/>
              <w:rPr>
                <w:sz w:val="14"/>
              </w:rPr>
            </w:pPr>
            <w:r>
              <w:rPr>
                <w:color w:val="231F20"/>
                <w:sz w:val="14"/>
              </w:rPr>
              <w:t>283,6</w:t>
            </w:r>
          </w:p>
        </w:tc>
        <w:tc>
          <w:tcPr>
            <w:tcW w:w="788" w:type="dxa"/>
          </w:tcPr>
          <w:p>
            <w:pPr>
              <w:pStyle w:val="TableParagraph"/>
              <w:spacing w:before="9"/>
              <w:ind w:right="44"/>
              <w:rPr>
                <w:sz w:val="14"/>
              </w:rPr>
            </w:pPr>
            <w:r>
              <w:rPr>
                <w:color w:val="231F20"/>
                <w:sz w:val="14"/>
              </w:rPr>
              <w:t>231,3</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231,3</w:t>
            </w:r>
          </w:p>
        </w:tc>
        <w:tc>
          <w:tcPr>
            <w:tcW w:w="940" w:type="dxa"/>
          </w:tcPr>
          <w:p>
            <w:pPr>
              <w:pStyle w:val="TableParagraph"/>
              <w:spacing w:before="9"/>
              <w:ind w:right="44"/>
              <w:rPr>
                <w:sz w:val="14"/>
              </w:rPr>
            </w:pPr>
            <w:r>
              <w:rPr>
                <w:color w:val="231F20"/>
                <w:sz w:val="14"/>
              </w:rPr>
              <w:t>-5,1</w:t>
            </w:r>
          </w:p>
        </w:tc>
        <w:tc>
          <w:tcPr>
            <w:tcW w:w="1006" w:type="dxa"/>
          </w:tcPr>
          <w:p>
            <w:pPr>
              <w:pStyle w:val="TableParagraph"/>
              <w:spacing w:before="9"/>
              <w:ind w:right="44"/>
              <w:rPr>
                <w:sz w:val="14"/>
              </w:rPr>
            </w:pPr>
            <w:r>
              <w:rPr>
                <w:color w:val="231F20"/>
                <w:sz w:val="14"/>
              </w:rPr>
              <w:t>-81,8</w:t>
            </w:r>
          </w:p>
        </w:tc>
        <w:tc>
          <w:tcPr>
            <w:tcW w:w="1006" w:type="dxa"/>
          </w:tcPr>
          <w:p>
            <w:pPr>
              <w:pStyle w:val="TableParagraph"/>
              <w:spacing w:before="9"/>
              <w:ind w:right="44"/>
              <w:rPr>
                <w:sz w:val="14"/>
              </w:rPr>
            </w:pPr>
            <w:r>
              <w:rPr>
                <w:color w:val="231F20"/>
                <w:sz w:val="14"/>
              </w:rPr>
              <w:t>-144,4</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91"/>
              <w:jc w:val="left"/>
              <w:rPr>
                <w:sz w:val="14"/>
              </w:rPr>
            </w:pPr>
            <w:r>
              <w:rPr>
                <w:color w:val="231F20"/>
                <w:sz w:val="14"/>
              </w:rPr>
              <w:t>Дрмно</w:t>
            </w:r>
          </w:p>
        </w:tc>
        <w:tc>
          <w:tcPr>
            <w:tcW w:w="574" w:type="dxa"/>
          </w:tcPr>
          <w:p>
            <w:pPr>
              <w:pStyle w:val="TableParagraph"/>
              <w:spacing w:before="9"/>
              <w:ind w:right="44"/>
              <w:rPr>
                <w:sz w:val="14"/>
              </w:rPr>
            </w:pPr>
            <w:r>
              <w:rPr>
                <w:color w:val="231F20"/>
                <w:sz w:val="14"/>
              </w:rPr>
              <w:t>10,0</w:t>
            </w:r>
          </w:p>
        </w:tc>
        <w:tc>
          <w:tcPr>
            <w:tcW w:w="668" w:type="dxa"/>
          </w:tcPr>
          <w:p>
            <w:pPr>
              <w:pStyle w:val="TableParagraph"/>
              <w:spacing w:before="9"/>
              <w:ind w:right="44"/>
              <w:rPr>
                <w:sz w:val="14"/>
              </w:rPr>
            </w:pPr>
            <w:r>
              <w:rPr>
                <w:color w:val="231F20"/>
                <w:sz w:val="14"/>
              </w:rPr>
              <w:t>23,6</w:t>
            </w:r>
          </w:p>
        </w:tc>
        <w:tc>
          <w:tcPr>
            <w:tcW w:w="668" w:type="dxa"/>
          </w:tcPr>
          <w:p>
            <w:pPr>
              <w:pStyle w:val="TableParagraph"/>
              <w:spacing w:before="9"/>
              <w:ind w:right="44"/>
              <w:rPr>
                <w:sz w:val="14"/>
              </w:rPr>
            </w:pPr>
            <w:r>
              <w:rPr>
                <w:color w:val="231F20"/>
                <w:sz w:val="14"/>
              </w:rPr>
              <w:t>501,1</w:t>
            </w:r>
          </w:p>
        </w:tc>
        <w:tc>
          <w:tcPr>
            <w:tcW w:w="788" w:type="dxa"/>
          </w:tcPr>
          <w:p>
            <w:pPr>
              <w:pStyle w:val="TableParagraph"/>
              <w:spacing w:before="9"/>
              <w:ind w:right="44"/>
              <w:rPr>
                <w:sz w:val="14"/>
              </w:rPr>
            </w:pPr>
            <w:r>
              <w:rPr>
                <w:color w:val="231F20"/>
                <w:sz w:val="14"/>
              </w:rPr>
              <w:t>13,6</w:t>
            </w:r>
          </w:p>
        </w:tc>
        <w:tc>
          <w:tcPr>
            <w:tcW w:w="816" w:type="dxa"/>
          </w:tcPr>
          <w:p>
            <w:pPr>
              <w:pStyle w:val="TableParagraph"/>
              <w:spacing w:before="9"/>
              <w:ind w:right="44"/>
              <w:rPr>
                <w:sz w:val="14"/>
              </w:rPr>
            </w:pPr>
            <w:r>
              <w:rPr>
                <w:color w:val="231F20"/>
                <w:sz w:val="14"/>
              </w:rPr>
              <w:t>477,5</w:t>
            </w:r>
          </w:p>
        </w:tc>
        <w:tc>
          <w:tcPr>
            <w:tcW w:w="755" w:type="dxa"/>
          </w:tcPr>
          <w:p>
            <w:pPr>
              <w:pStyle w:val="TableParagraph"/>
              <w:spacing w:before="9"/>
              <w:ind w:right="44"/>
              <w:rPr>
                <w:sz w:val="14"/>
              </w:rPr>
            </w:pPr>
            <w:r>
              <w:rPr>
                <w:color w:val="231F20"/>
                <w:sz w:val="14"/>
              </w:rPr>
              <w:t>491,1</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-482,6</w:t>
            </w:r>
          </w:p>
        </w:tc>
        <w:tc>
          <w:tcPr>
            <w:tcW w:w="1006" w:type="dxa"/>
          </w:tcPr>
          <w:p>
            <w:pPr>
              <w:pStyle w:val="TableParagraph"/>
              <w:spacing w:before="9"/>
              <w:ind w:right="44"/>
              <w:rPr>
                <w:sz w:val="14"/>
              </w:rPr>
            </w:pPr>
            <w:r>
              <w:rPr>
                <w:color w:val="231F20"/>
                <w:sz w:val="14"/>
              </w:rPr>
              <w:t>-8,5</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91"/>
              <w:jc w:val="left"/>
              <w:rPr>
                <w:sz w:val="14"/>
              </w:rPr>
            </w:pPr>
            <w:r>
              <w:rPr>
                <w:color w:val="231F20"/>
                <w:sz w:val="14"/>
              </w:rPr>
              <w:t>Кленовник</w:t>
            </w:r>
          </w:p>
        </w:tc>
        <w:tc>
          <w:tcPr>
            <w:tcW w:w="574" w:type="dxa"/>
          </w:tcPr>
          <w:p>
            <w:pPr>
              <w:pStyle w:val="TableParagraph"/>
              <w:spacing w:before="9"/>
              <w:ind w:right="44"/>
              <w:rPr>
                <w:sz w:val="14"/>
              </w:rPr>
            </w:pPr>
            <w:r>
              <w:rPr>
                <w:color w:val="231F20"/>
                <w:sz w:val="14"/>
              </w:rPr>
              <w:t>125,1</w:t>
            </w:r>
          </w:p>
        </w:tc>
        <w:tc>
          <w:tcPr>
            <w:tcW w:w="668" w:type="dxa"/>
          </w:tcPr>
          <w:p>
            <w:pPr>
              <w:pStyle w:val="TableParagraph"/>
              <w:spacing w:before="9"/>
              <w:ind w:right="44"/>
              <w:rPr>
                <w:sz w:val="14"/>
              </w:rPr>
            </w:pPr>
            <w:r>
              <w:rPr>
                <w:color w:val="231F20"/>
                <w:sz w:val="14"/>
              </w:rPr>
              <w:t>392,2</w:t>
            </w:r>
          </w:p>
        </w:tc>
        <w:tc>
          <w:tcPr>
            <w:tcW w:w="668" w:type="dxa"/>
          </w:tcPr>
          <w:p>
            <w:pPr>
              <w:pStyle w:val="TableParagraph"/>
              <w:spacing w:before="9"/>
              <w:ind w:right="44"/>
              <w:rPr>
                <w:sz w:val="14"/>
              </w:rPr>
            </w:pPr>
            <w:r>
              <w:rPr>
                <w:color w:val="231F20"/>
                <w:sz w:val="14"/>
              </w:rPr>
              <w:t>392,2</w:t>
            </w:r>
          </w:p>
        </w:tc>
        <w:tc>
          <w:tcPr>
            <w:tcW w:w="788" w:type="dxa"/>
          </w:tcPr>
          <w:p>
            <w:pPr>
              <w:pStyle w:val="TableParagraph"/>
              <w:spacing w:before="9"/>
              <w:ind w:right="44"/>
              <w:rPr>
                <w:sz w:val="14"/>
              </w:rPr>
            </w:pPr>
            <w:r>
              <w:rPr>
                <w:color w:val="231F20"/>
                <w:sz w:val="14"/>
              </w:rPr>
              <w:t>267,2</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267,2</w:t>
            </w:r>
          </w:p>
        </w:tc>
        <w:tc>
          <w:tcPr>
            <w:tcW w:w="940" w:type="dxa"/>
          </w:tcPr>
          <w:p>
            <w:pPr>
              <w:pStyle w:val="TableParagraph"/>
              <w:spacing w:before="9"/>
              <w:ind w:right="44"/>
              <w:rPr>
                <w:sz w:val="14"/>
              </w:rPr>
            </w:pPr>
            <w:r>
              <w:rPr>
                <w:color w:val="231F20"/>
                <w:sz w:val="14"/>
              </w:rPr>
              <w:t>-114,3</w:t>
            </w:r>
          </w:p>
        </w:tc>
        <w:tc>
          <w:tcPr>
            <w:tcW w:w="1006" w:type="dxa"/>
          </w:tcPr>
          <w:p>
            <w:pPr>
              <w:pStyle w:val="TableParagraph"/>
              <w:spacing w:before="9"/>
              <w:ind w:right="44"/>
              <w:rPr>
                <w:sz w:val="14"/>
              </w:rPr>
            </w:pPr>
            <w:r>
              <w:rPr>
                <w:color w:val="231F20"/>
                <w:sz w:val="14"/>
              </w:rPr>
              <w:t>-114,0</w:t>
            </w:r>
          </w:p>
        </w:tc>
        <w:tc>
          <w:tcPr>
            <w:tcW w:w="1006" w:type="dxa"/>
          </w:tcPr>
          <w:p>
            <w:pPr>
              <w:pStyle w:val="TableParagraph"/>
              <w:spacing w:before="9"/>
              <w:ind w:right="44"/>
              <w:rPr>
                <w:sz w:val="14"/>
              </w:rPr>
            </w:pPr>
            <w:r>
              <w:rPr>
                <w:color w:val="231F20"/>
                <w:sz w:val="14"/>
              </w:rPr>
              <w:t>-19,5</w:t>
            </w:r>
          </w:p>
        </w:tc>
        <w:tc>
          <w:tcPr>
            <w:tcW w:w="833" w:type="dxa"/>
          </w:tcPr>
          <w:p>
            <w:pPr>
              <w:pStyle w:val="TableParagraph"/>
              <w:spacing w:before="9"/>
              <w:ind w:right="44"/>
              <w:rPr>
                <w:sz w:val="14"/>
              </w:rPr>
            </w:pPr>
            <w:r>
              <w:rPr>
                <w:color w:val="231F20"/>
                <w:sz w:val="14"/>
              </w:rPr>
              <w:t>-19,4</w:t>
            </w:r>
          </w:p>
        </w:tc>
      </w:tr>
      <w:tr>
        <w:trPr>
          <w:trHeight w:val="200" w:hRule="atLeast"/>
        </w:trPr>
        <w:tc>
          <w:tcPr>
            <w:tcW w:w="2431" w:type="dxa"/>
          </w:tcPr>
          <w:p>
            <w:pPr>
              <w:pStyle w:val="TableParagraph"/>
              <w:spacing w:before="9"/>
              <w:ind w:left="91"/>
              <w:jc w:val="left"/>
              <w:rPr>
                <w:sz w:val="14"/>
              </w:rPr>
            </w:pPr>
            <w:r>
              <w:rPr>
                <w:color w:val="231F20"/>
                <w:sz w:val="14"/>
              </w:rPr>
              <w:t>Кличевац</w:t>
            </w:r>
          </w:p>
        </w:tc>
        <w:tc>
          <w:tcPr>
            <w:tcW w:w="574" w:type="dxa"/>
          </w:tcPr>
          <w:p>
            <w:pPr>
              <w:pStyle w:val="TableParagraph"/>
              <w:spacing w:before="9"/>
              <w:ind w:right="44"/>
              <w:rPr>
                <w:sz w:val="14"/>
              </w:rPr>
            </w:pPr>
            <w:r>
              <w:rPr>
                <w:color w:val="231F20"/>
                <w:sz w:val="14"/>
              </w:rPr>
              <w:t>0,0</w:t>
            </w:r>
          </w:p>
        </w:tc>
        <w:tc>
          <w:tcPr>
            <w:tcW w:w="668" w:type="dxa"/>
          </w:tcPr>
          <w:p>
            <w:pPr>
              <w:pStyle w:val="TableParagraph"/>
              <w:spacing w:before="9"/>
              <w:ind w:right="44"/>
              <w:rPr>
                <w:sz w:val="14"/>
              </w:rPr>
            </w:pPr>
            <w:r>
              <w:rPr>
                <w:color w:val="231F20"/>
                <w:sz w:val="14"/>
              </w:rPr>
              <w:t>0,0</w:t>
            </w:r>
          </w:p>
        </w:tc>
        <w:tc>
          <w:tcPr>
            <w:tcW w:w="668" w:type="dxa"/>
          </w:tcPr>
          <w:p>
            <w:pPr>
              <w:pStyle w:val="TableParagraph"/>
              <w:spacing w:before="9"/>
              <w:ind w:right="44"/>
              <w:rPr>
                <w:sz w:val="14"/>
              </w:rPr>
            </w:pPr>
            <w:r>
              <w:rPr>
                <w:color w:val="231F20"/>
                <w:sz w:val="14"/>
              </w:rPr>
              <w:t>115,4</w:t>
            </w:r>
          </w:p>
        </w:tc>
        <w:tc>
          <w:tcPr>
            <w:tcW w:w="788" w:type="dxa"/>
          </w:tcPr>
          <w:p>
            <w:pPr>
              <w:pStyle w:val="TableParagraph"/>
              <w:spacing w:before="9"/>
              <w:ind w:right="44"/>
              <w:rPr>
                <w:sz w:val="14"/>
              </w:rPr>
            </w:pPr>
            <w:r>
              <w:rPr>
                <w:color w:val="231F20"/>
                <w:sz w:val="14"/>
              </w:rPr>
              <w:t>0,0</w:t>
            </w:r>
          </w:p>
        </w:tc>
        <w:tc>
          <w:tcPr>
            <w:tcW w:w="816" w:type="dxa"/>
          </w:tcPr>
          <w:p>
            <w:pPr>
              <w:pStyle w:val="TableParagraph"/>
              <w:spacing w:before="9"/>
              <w:ind w:right="44"/>
              <w:rPr>
                <w:sz w:val="14"/>
              </w:rPr>
            </w:pPr>
            <w:r>
              <w:rPr>
                <w:color w:val="231F20"/>
                <w:sz w:val="14"/>
              </w:rPr>
              <w:t>115,4</w:t>
            </w:r>
          </w:p>
        </w:tc>
        <w:tc>
          <w:tcPr>
            <w:tcW w:w="755" w:type="dxa"/>
          </w:tcPr>
          <w:p>
            <w:pPr>
              <w:pStyle w:val="TableParagraph"/>
              <w:spacing w:before="9"/>
              <w:ind w:right="44"/>
              <w:rPr>
                <w:sz w:val="14"/>
              </w:rPr>
            </w:pPr>
            <w:r>
              <w:rPr>
                <w:color w:val="231F20"/>
                <w:sz w:val="14"/>
              </w:rPr>
              <w:t>115,4</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-115,4</w:t>
            </w:r>
          </w:p>
        </w:tc>
        <w:tc>
          <w:tcPr>
            <w:tcW w:w="1006" w:type="dxa"/>
          </w:tcPr>
          <w:p>
            <w:pPr>
              <w:pStyle w:val="TableParagraph"/>
              <w:spacing w:before="9"/>
              <w:ind w:right="44"/>
              <w:rPr>
                <w:sz w:val="14"/>
              </w:rPr>
            </w:pPr>
            <w:r>
              <w:rPr>
                <w:color w:val="231F20"/>
                <w:sz w:val="14"/>
              </w:rPr>
              <w:t>-</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91"/>
              <w:jc w:val="left"/>
              <w:rPr>
                <w:sz w:val="14"/>
              </w:rPr>
            </w:pPr>
            <w:r>
              <w:rPr>
                <w:color w:val="231F20"/>
                <w:sz w:val="14"/>
              </w:rPr>
              <w:t>Костолац град</w:t>
            </w:r>
          </w:p>
        </w:tc>
        <w:tc>
          <w:tcPr>
            <w:tcW w:w="574" w:type="dxa"/>
          </w:tcPr>
          <w:p>
            <w:pPr>
              <w:pStyle w:val="TableParagraph"/>
              <w:spacing w:before="9"/>
              <w:ind w:right="44"/>
              <w:rPr>
                <w:sz w:val="14"/>
              </w:rPr>
            </w:pPr>
            <w:r>
              <w:rPr>
                <w:color w:val="231F20"/>
                <w:sz w:val="14"/>
              </w:rPr>
              <w:t>131,4</w:t>
            </w:r>
          </w:p>
        </w:tc>
        <w:tc>
          <w:tcPr>
            <w:tcW w:w="668" w:type="dxa"/>
          </w:tcPr>
          <w:p>
            <w:pPr>
              <w:pStyle w:val="TableParagraph"/>
              <w:spacing w:before="9"/>
              <w:ind w:right="44"/>
              <w:rPr>
                <w:sz w:val="14"/>
              </w:rPr>
            </w:pPr>
            <w:r>
              <w:rPr>
                <w:color w:val="231F20"/>
                <w:sz w:val="14"/>
              </w:rPr>
              <w:t>329,0</w:t>
            </w:r>
          </w:p>
        </w:tc>
        <w:tc>
          <w:tcPr>
            <w:tcW w:w="668" w:type="dxa"/>
          </w:tcPr>
          <w:p>
            <w:pPr>
              <w:pStyle w:val="TableParagraph"/>
              <w:spacing w:before="9"/>
              <w:ind w:right="44"/>
              <w:rPr>
                <w:sz w:val="14"/>
              </w:rPr>
            </w:pPr>
            <w:r>
              <w:rPr>
                <w:color w:val="231F20"/>
                <w:sz w:val="14"/>
              </w:rPr>
              <w:t>329,0</w:t>
            </w:r>
          </w:p>
        </w:tc>
        <w:tc>
          <w:tcPr>
            <w:tcW w:w="788" w:type="dxa"/>
          </w:tcPr>
          <w:p>
            <w:pPr>
              <w:pStyle w:val="TableParagraph"/>
              <w:spacing w:before="9"/>
              <w:ind w:right="44"/>
              <w:rPr>
                <w:sz w:val="14"/>
              </w:rPr>
            </w:pPr>
            <w:r>
              <w:rPr>
                <w:color w:val="231F20"/>
                <w:sz w:val="14"/>
              </w:rPr>
              <w:t>197,6</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197,6</w:t>
            </w:r>
          </w:p>
        </w:tc>
        <w:tc>
          <w:tcPr>
            <w:tcW w:w="940" w:type="dxa"/>
          </w:tcPr>
          <w:p>
            <w:pPr>
              <w:pStyle w:val="TableParagraph"/>
              <w:spacing w:before="9"/>
              <w:ind w:right="44"/>
              <w:rPr>
                <w:sz w:val="14"/>
              </w:rPr>
            </w:pPr>
            <w:r>
              <w:rPr>
                <w:color w:val="231F20"/>
                <w:sz w:val="14"/>
              </w:rPr>
              <w:t>-197,6</w:t>
            </w:r>
          </w:p>
        </w:tc>
        <w:tc>
          <w:tcPr>
            <w:tcW w:w="1006"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9"/>
              <w:ind w:left="91"/>
              <w:jc w:val="left"/>
              <w:rPr>
                <w:sz w:val="14"/>
              </w:rPr>
            </w:pPr>
            <w:r>
              <w:rPr>
                <w:color w:val="231F20"/>
                <w:sz w:val="14"/>
              </w:rPr>
              <w:t>Костолац село</w:t>
            </w:r>
          </w:p>
        </w:tc>
        <w:tc>
          <w:tcPr>
            <w:tcW w:w="574" w:type="dxa"/>
          </w:tcPr>
          <w:p>
            <w:pPr>
              <w:pStyle w:val="TableParagraph"/>
              <w:spacing w:before="9"/>
              <w:ind w:right="44"/>
              <w:rPr>
                <w:sz w:val="14"/>
              </w:rPr>
            </w:pPr>
            <w:r>
              <w:rPr>
                <w:color w:val="231F20"/>
                <w:sz w:val="14"/>
              </w:rPr>
              <w:t>78,6</w:t>
            </w:r>
          </w:p>
        </w:tc>
        <w:tc>
          <w:tcPr>
            <w:tcW w:w="668" w:type="dxa"/>
          </w:tcPr>
          <w:p>
            <w:pPr>
              <w:pStyle w:val="TableParagraph"/>
              <w:spacing w:before="9"/>
              <w:ind w:right="44"/>
              <w:rPr>
                <w:sz w:val="14"/>
              </w:rPr>
            </w:pPr>
            <w:r>
              <w:rPr>
                <w:color w:val="231F20"/>
                <w:sz w:val="14"/>
              </w:rPr>
              <w:t>282,8</w:t>
            </w:r>
          </w:p>
        </w:tc>
        <w:tc>
          <w:tcPr>
            <w:tcW w:w="668" w:type="dxa"/>
          </w:tcPr>
          <w:p>
            <w:pPr>
              <w:pStyle w:val="TableParagraph"/>
              <w:spacing w:before="9"/>
              <w:ind w:right="44"/>
              <w:rPr>
                <w:sz w:val="14"/>
              </w:rPr>
            </w:pPr>
            <w:r>
              <w:rPr>
                <w:color w:val="231F20"/>
                <w:sz w:val="14"/>
              </w:rPr>
              <w:t>282,8</w:t>
            </w:r>
          </w:p>
        </w:tc>
        <w:tc>
          <w:tcPr>
            <w:tcW w:w="788" w:type="dxa"/>
          </w:tcPr>
          <w:p>
            <w:pPr>
              <w:pStyle w:val="TableParagraph"/>
              <w:spacing w:before="9"/>
              <w:ind w:right="44"/>
              <w:rPr>
                <w:sz w:val="14"/>
              </w:rPr>
            </w:pPr>
            <w:r>
              <w:rPr>
                <w:color w:val="231F20"/>
                <w:sz w:val="14"/>
              </w:rPr>
              <w:t>204,2</w:t>
            </w:r>
          </w:p>
        </w:tc>
        <w:tc>
          <w:tcPr>
            <w:tcW w:w="816" w:type="dxa"/>
          </w:tcPr>
          <w:p>
            <w:pPr>
              <w:pStyle w:val="TableParagraph"/>
              <w:spacing w:before="9"/>
              <w:ind w:right="44"/>
              <w:rPr>
                <w:sz w:val="14"/>
              </w:rPr>
            </w:pPr>
            <w:r>
              <w:rPr>
                <w:color w:val="231F20"/>
                <w:sz w:val="14"/>
              </w:rPr>
              <w:t>0,0</w:t>
            </w:r>
          </w:p>
        </w:tc>
        <w:tc>
          <w:tcPr>
            <w:tcW w:w="755" w:type="dxa"/>
          </w:tcPr>
          <w:p>
            <w:pPr>
              <w:pStyle w:val="TableParagraph"/>
              <w:spacing w:before="9"/>
              <w:ind w:right="44"/>
              <w:rPr>
                <w:sz w:val="14"/>
              </w:rPr>
            </w:pPr>
            <w:r>
              <w:rPr>
                <w:color w:val="231F20"/>
                <w:sz w:val="14"/>
              </w:rPr>
              <w:t>204,2</w:t>
            </w:r>
          </w:p>
        </w:tc>
        <w:tc>
          <w:tcPr>
            <w:tcW w:w="940" w:type="dxa"/>
          </w:tcPr>
          <w:p>
            <w:pPr>
              <w:pStyle w:val="TableParagraph"/>
              <w:spacing w:before="9"/>
              <w:ind w:right="44"/>
              <w:rPr>
                <w:sz w:val="14"/>
              </w:rPr>
            </w:pPr>
            <w:r>
              <w:rPr>
                <w:color w:val="231F20"/>
                <w:sz w:val="14"/>
              </w:rPr>
              <w:t>-</w:t>
            </w:r>
          </w:p>
        </w:tc>
        <w:tc>
          <w:tcPr>
            <w:tcW w:w="1006" w:type="dxa"/>
          </w:tcPr>
          <w:p>
            <w:pPr>
              <w:pStyle w:val="TableParagraph"/>
              <w:spacing w:before="9"/>
              <w:ind w:right="44"/>
              <w:rPr>
                <w:sz w:val="14"/>
              </w:rPr>
            </w:pPr>
            <w:r>
              <w:rPr>
                <w:color w:val="231F20"/>
                <w:sz w:val="14"/>
              </w:rPr>
              <w:t>-39,3</w:t>
            </w:r>
          </w:p>
        </w:tc>
        <w:tc>
          <w:tcPr>
            <w:tcW w:w="1006" w:type="dxa"/>
          </w:tcPr>
          <w:p>
            <w:pPr>
              <w:pStyle w:val="TableParagraph"/>
              <w:spacing w:before="9"/>
              <w:ind w:right="44"/>
              <w:rPr>
                <w:sz w:val="14"/>
              </w:rPr>
            </w:pPr>
            <w:r>
              <w:rPr>
                <w:color w:val="231F20"/>
                <w:sz w:val="14"/>
              </w:rPr>
              <w:t>-164,8</w:t>
            </w:r>
          </w:p>
        </w:tc>
        <w:tc>
          <w:tcPr>
            <w:tcW w:w="833" w:type="dxa"/>
          </w:tcPr>
          <w:p>
            <w:pPr>
              <w:pStyle w:val="TableParagraph"/>
              <w:spacing w:before="9"/>
              <w:ind w:right="44"/>
              <w:rPr>
                <w:sz w:val="14"/>
              </w:rPr>
            </w:pPr>
            <w:r>
              <w:rPr>
                <w:color w:val="231F20"/>
                <w:sz w:val="14"/>
              </w:rPr>
              <w:t>-</w:t>
            </w:r>
          </w:p>
        </w:tc>
      </w:tr>
      <w:tr>
        <w:trPr>
          <w:trHeight w:val="200" w:hRule="atLeast"/>
        </w:trPr>
        <w:tc>
          <w:tcPr>
            <w:tcW w:w="2431" w:type="dxa"/>
          </w:tcPr>
          <w:p>
            <w:pPr>
              <w:pStyle w:val="TableParagraph"/>
              <w:spacing w:before="8"/>
              <w:ind w:left="91"/>
              <w:jc w:val="left"/>
              <w:rPr>
                <w:sz w:val="14"/>
              </w:rPr>
            </w:pPr>
            <w:r>
              <w:rPr>
                <w:color w:val="231F20"/>
                <w:sz w:val="14"/>
              </w:rPr>
              <w:t>Маљуревац</w:t>
            </w:r>
          </w:p>
        </w:tc>
        <w:tc>
          <w:tcPr>
            <w:tcW w:w="574" w:type="dxa"/>
          </w:tcPr>
          <w:p>
            <w:pPr>
              <w:pStyle w:val="TableParagraph"/>
              <w:spacing w:before="8"/>
              <w:ind w:right="44"/>
              <w:rPr>
                <w:sz w:val="14"/>
              </w:rPr>
            </w:pPr>
            <w:r>
              <w:rPr>
                <w:color w:val="231F20"/>
                <w:sz w:val="14"/>
              </w:rPr>
              <w:t>14,0</w:t>
            </w:r>
          </w:p>
        </w:tc>
        <w:tc>
          <w:tcPr>
            <w:tcW w:w="668" w:type="dxa"/>
          </w:tcPr>
          <w:p>
            <w:pPr>
              <w:pStyle w:val="TableParagraph"/>
              <w:spacing w:before="8"/>
              <w:ind w:right="44"/>
              <w:rPr>
                <w:sz w:val="14"/>
              </w:rPr>
            </w:pPr>
            <w:r>
              <w:rPr>
                <w:color w:val="231F20"/>
                <w:sz w:val="14"/>
              </w:rPr>
              <w:t>88,4</w:t>
            </w:r>
          </w:p>
        </w:tc>
        <w:tc>
          <w:tcPr>
            <w:tcW w:w="668" w:type="dxa"/>
          </w:tcPr>
          <w:p>
            <w:pPr>
              <w:pStyle w:val="TableParagraph"/>
              <w:spacing w:before="8"/>
              <w:ind w:right="44"/>
              <w:rPr>
                <w:sz w:val="14"/>
              </w:rPr>
            </w:pPr>
            <w:r>
              <w:rPr>
                <w:color w:val="231F20"/>
                <w:sz w:val="14"/>
              </w:rPr>
              <w:t>88,4</w:t>
            </w:r>
          </w:p>
        </w:tc>
        <w:tc>
          <w:tcPr>
            <w:tcW w:w="788" w:type="dxa"/>
          </w:tcPr>
          <w:p>
            <w:pPr>
              <w:pStyle w:val="TableParagraph"/>
              <w:spacing w:before="8"/>
              <w:ind w:right="44"/>
              <w:rPr>
                <w:sz w:val="14"/>
              </w:rPr>
            </w:pPr>
            <w:r>
              <w:rPr>
                <w:color w:val="231F20"/>
                <w:sz w:val="14"/>
              </w:rPr>
              <w:t>74,4</w:t>
            </w:r>
          </w:p>
        </w:tc>
        <w:tc>
          <w:tcPr>
            <w:tcW w:w="816" w:type="dxa"/>
          </w:tcPr>
          <w:p>
            <w:pPr>
              <w:pStyle w:val="TableParagraph"/>
              <w:spacing w:before="8"/>
              <w:ind w:right="44"/>
              <w:rPr>
                <w:sz w:val="14"/>
              </w:rPr>
            </w:pPr>
            <w:r>
              <w:rPr>
                <w:color w:val="231F20"/>
                <w:sz w:val="14"/>
              </w:rPr>
              <w:t>0,0</w:t>
            </w:r>
          </w:p>
        </w:tc>
        <w:tc>
          <w:tcPr>
            <w:tcW w:w="755" w:type="dxa"/>
          </w:tcPr>
          <w:p>
            <w:pPr>
              <w:pStyle w:val="TableParagraph"/>
              <w:spacing w:before="8"/>
              <w:ind w:right="44"/>
              <w:rPr>
                <w:sz w:val="14"/>
              </w:rPr>
            </w:pPr>
            <w:r>
              <w:rPr>
                <w:color w:val="231F20"/>
                <w:sz w:val="14"/>
              </w:rPr>
              <w:t>74,4</w:t>
            </w:r>
          </w:p>
        </w:tc>
        <w:tc>
          <w:tcPr>
            <w:tcW w:w="940" w:type="dxa"/>
          </w:tcPr>
          <w:p>
            <w:pPr>
              <w:pStyle w:val="TableParagraph"/>
              <w:spacing w:before="8"/>
              <w:ind w:right="44"/>
              <w:rPr>
                <w:sz w:val="14"/>
              </w:rPr>
            </w:pPr>
            <w:r>
              <w:rPr>
                <w:color w:val="231F20"/>
                <w:sz w:val="14"/>
              </w:rPr>
              <w:t>-</w:t>
            </w:r>
          </w:p>
        </w:tc>
        <w:tc>
          <w:tcPr>
            <w:tcW w:w="1006" w:type="dxa"/>
          </w:tcPr>
          <w:p>
            <w:pPr>
              <w:pStyle w:val="TableParagraph"/>
              <w:spacing w:before="8"/>
              <w:ind w:right="44"/>
              <w:rPr>
                <w:sz w:val="14"/>
              </w:rPr>
            </w:pPr>
            <w:r>
              <w:rPr>
                <w:color w:val="231F20"/>
                <w:sz w:val="14"/>
              </w:rPr>
              <w:t>-32,7</w:t>
            </w:r>
          </w:p>
        </w:tc>
        <w:tc>
          <w:tcPr>
            <w:tcW w:w="1006" w:type="dxa"/>
          </w:tcPr>
          <w:p>
            <w:pPr>
              <w:pStyle w:val="TableParagraph"/>
              <w:spacing w:before="8"/>
              <w:ind w:right="44"/>
              <w:rPr>
                <w:sz w:val="14"/>
              </w:rPr>
            </w:pPr>
            <w:r>
              <w:rPr>
                <w:color w:val="231F20"/>
                <w:sz w:val="14"/>
              </w:rPr>
              <w:t>-41,7</w:t>
            </w:r>
          </w:p>
        </w:tc>
        <w:tc>
          <w:tcPr>
            <w:tcW w:w="833" w:type="dxa"/>
          </w:tcPr>
          <w:p>
            <w:pPr>
              <w:pStyle w:val="TableParagraph"/>
              <w:spacing w:before="8"/>
              <w:ind w:right="44"/>
              <w:rPr>
                <w:sz w:val="14"/>
              </w:rPr>
            </w:pPr>
            <w:r>
              <w:rPr>
                <w:color w:val="231F20"/>
                <w:sz w:val="14"/>
              </w:rPr>
              <w:t>-</w:t>
            </w:r>
          </w:p>
        </w:tc>
      </w:tr>
      <w:tr>
        <w:trPr>
          <w:trHeight w:val="200" w:hRule="atLeast"/>
        </w:trPr>
        <w:tc>
          <w:tcPr>
            <w:tcW w:w="2431" w:type="dxa"/>
          </w:tcPr>
          <w:p>
            <w:pPr>
              <w:pStyle w:val="TableParagraph"/>
              <w:spacing w:before="8"/>
              <w:ind w:left="56"/>
              <w:jc w:val="left"/>
              <w:rPr>
                <w:sz w:val="14"/>
              </w:rPr>
            </w:pPr>
            <w:r>
              <w:rPr>
                <w:color w:val="231F20"/>
                <w:sz w:val="14"/>
              </w:rPr>
              <w:t>Ћириковац</w:t>
            </w:r>
          </w:p>
        </w:tc>
        <w:tc>
          <w:tcPr>
            <w:tcW w:w="574" w:type="dxa"/>
          </w:tcPr>
          <w:p>
            <w:pPr>
              <w:pStyle w:val="TableParagraph"/>
              <w:spacing w:before="8"/>
              <w:ind w:right="44"/>
              <w:rPr>
                <w:sz w:val="14"/>
              </w:rPr>
            </w:pPr>
            <w:r>
              <w:rPr>
                <w:color w:val="231F20"/>
                <w:sz w:val="14"/>
              </w:rPr>
              <w:t>212,1</w:t>
            </w:r>
          </w:p>
        </w:tc>
        <w:tc>
          <w:tcPr>
            <w:tcW w:w="668" w:type="dxa"/>
          </w:tcPr>
          <w:p>
            <w:pPr>
              <w:pStyle w:val="TableParagraph"/>
              <w:spacing w:before="8"/>
              <w:ind w:right="44"/>
              <w:rPr>
                <w:sz w:val="14"/>
              </w:rPr>
            </w:pPr>
            <w:r>
              <w:rPr>
                <w:color w:val="231F20"/>
                <w:sz w:val="14"/>
              </w:rPr>
              <w:t>350,0</w:t>
            </w:r>
          </w:p>
        </w:tc>
        <w:tc>
          <w:tcPr>
            <w:tcW w:w="668" w:type="dxa"/>
          </w:tcPr>
          <w:p>
            <w:pPr>
              <w:pStyle w:val="TableParagraph"/>
              <w:spacing w:before="8"/>
              <w:ind w:right="44"/>
              <w:rPr>
                <w:sz w:val="14"/>
              </w:rPr>
            </w:pPr>
            <w:r>
              <w:rPr>
                <w:color w:val="231F20"/>
                <w:sz w:val="14"/>
              </w:rPr>
              <w:t>350,0</w:t>
            </w:r>
          </w:p>
        </w:tc>
        <w:tc>
          <w:tcPr>
            <w:tcW w:w="788" w:type="dxa"/>
          </w:tcPr>
          <w:p>
            <w:pPr>
              <w:pStyle w:val="TableParagraph"/>
              <w:spacing w:before="8"/>
              <w:ind w:right="44"/>
              <w:rPr>
                <w:sz w:val="14"/>
              </w:rPr>
            </w:pPr>
            <w:r>
              <w:rPr>
                <w:color w:val="231F20"/>
                <w:sz w:val="14"/>
              </w:rPr>
              <w:t>137,9</w:t>
            </w:r>
          </w:p>
        </w:tc>
        <w:tc>
          <w:tcPr>
            <w:tcW w:w="816" w:type="dxa"/>
          </w:tcPr>
          <w:p>
            <w:pPr>
              <w:pStyle w:val="TableParagraph"/>
              <w:spacing w:before="8"/>
              <w:ind w:right="44"/>
              <w:rPr>
                <w:sz w:val="14"/>
              </w:rPr>
            </w:pPr>
            <w:r>
              <w:rPr>
                <w:color w:val="231F20"/>
                <w:sz w:val="14"/>
              </w:rPr>
              <w:t>0,0</w:t>
            </w:r>
          </w:p>
        </w:tc>
        <w:tc>
          <w:tcPr>
            <w:tcW w:w="755" w:type="dxa"/>
          </w:tcPr>
          <w:p>
            <w:pPr>
              <w:pStyle w:val="TableParagraph"/>
              <w:spacing w:before="8"/>
              <w:ind w:right="44"/>
              <w:rPr>
                <w:sz w:val="14"/>
              </w:rPr>
            </w:pPr>
            <w:r>
              <w:rPr>
                <w:color w:val="231F20"/>
                <w:sz w:val="14"/>
              </w:rPr>
              <w:t>137,9</w:t>
            </w:r>
          </w:p>
        </w:tc>
        <w:tc>
          <w:tcPr>
            <w:tcW w:w="940" w:type="dxa"/>
          </w:tcPr>
          <w:p>
            <w:pPr>
              <w:pStyle w:val="TableParagraph"/>
              <w:spacing w:before="8"/>
              <w:ind w:right="44"/>
              <w:rPr>
                <w:sz w:val="14"/>
              </w:rPr>
            </w:pPr>
            <w:r>
              <w:rPr>
                <w:color w:val="231F20"/>
                <w:sz w:val="14"/>
              </w:rPr>
              <w:t>-</w:t>
            </w:r>
          </w:p>
        </w:tc>
        <w:tc>
          <w:tcPr>
            <w:tcW w:w="1006" w:type="dxa"/>
          </w:tcPr>
          <w:p>
            <w:pPr>
              <w:pStyle w:val="TableParagraph"/>
              <w:spacing w:before="8"/>
              <w:ind w:right="44"/>
              <w:rPr>
                <w:sz w:val="14"/>
              </w:rPr>
            </w:pPr>
            <w:r>
              <w:rPr>
                <w:color w:val="231F20"/>
                <w:sz w:val="14"/>
              </w:rPr>
              <w:t>-48,5</w:t>
            </w:r>
          </w:p>
        </w:tc>
        <w:tc>
          <w:tcPr>
            <w:tcW w:w="1006" w:type="dxa"/>
          </w:tcPr>
          <w:p>
            <w:pPr>
              <w:pStyle w:val="TableParagraph"/>
              <w:spacing w:before="8"/>
              <w:ind w:right="44"/>
              <w:rPr>
                <w:sz w:val="14"/>
              </w:rPr>
            </w:pPr>
            <w:r>
              <w:rPr>
                <w:color w:val="231F20"/>
                <w:sz w:val="14"/>
              </w:rPr>
              <w:t>-72,4</w:t>
            </w:r>
          </w:p>
        </w:tc>
        <w:tc>
          <w:tcPr>
            <w:tcW w:w="833" w:type="dxa"/>
          </w:tcPr>
          <w:p>
            <w:pPr>
              <w:pStyle w:val="TableParagraph"/>
              <w:spacing w:before="8"/>
              <w:ind w:right="44"/>
              <w:rPr>
                <w:sz w:val="14"/>
              </w:rPr>
            </w:pPr>
            <w:r>
              <w:rPr>
                <w:color w:val="231F20"/>
                <w:sz w:val="14"/>
              </w:rPr>
              <w:t>-17,0</w:t>
            </w:r>
          </w:p>
        </w:tc>
      </w:tr>
    </w:tbl>
    <w:p>
      <w:pPr>
        <w:pStyle w:val="BodyText"/>
        <w:ind w:left="0"/>
        <w:jc w:val="left"/>
        <w:rPr>
          <w:sz w:val="20"/>
        </w:rPr>
      </w:pPr>
    </w:p>
    <w:p>
      <w:pPr>
        <w:pStyle w:val="BodyText"/>
        <w:spacing w:before="9"/>
        <w:ind w:left="0"/>
        <w:jc w:val="left"/>
        <w:rPr>
          <w:sz w:val="15"/>
        </w:rPr>
      </w:pPr>
    </w:p>
    <w:p>
      <w:pPr>
        <w:spacing w:after="0"/>
        <w:jc w:val="left"/>
        <w:rPr>
          <w:sz w:val="15"/>
        </w:rPr>
        <w:sectPr>
          <w:pgSz w:w="12480" w:h="15690"/>
          <w:pgMar w:top="240" w:bottom="280" w:left="680" w:right="720"/>
        </w:sectPr>
      </w:pPr>
    </w:p>
    <w:p>
      <w:pPr>
        <w:pStyle w:val="BodyText"/>
        <w:spacing w:line="235" w:lineRule="auto" w:before="96"/>
        <w:ind w:left="453" w:firstLine="397"/>
      </w:pPr>
      <w:r>
        <w:rPr>
          <w:color w:val="231F20"/>
        </w:rPr>
        <w:t>С обзиром на вишедеценијски застој у спровођењу рекулти- вације и парцијални карактер захвата </w:t>
      </w:r>
      <w:r>
        <w:rPr>
          <w:color w:val="231F20"/>
          <w:spacing w:val="-3"/>
        </w:rPr>
        <w:t>који </w:t>
      </w:r>
      <w:r>
        <w:rPr>
          <w:color w:val="231F20"/>
        </w:rPr>
        <w:t>су реализовани послед- њих година, потребно је да се што пре разраде и донесу целовити планови и пројекти предеоне рехабилитације </w:t>
      </w:r>
      <w:r>
        <w:rPr>
          <w:color w:val="231F20"/>
          <w:spacing w:val="-3"/>
        </w:rPr>
        <w:t>копова </w:t>
      </w:r>
      <w:r>
        <w:rPr>
          <w:color w:val="231F20"/>
          <w:spacing w:val="-4"/>
        </w:rPr>
        <w:t>„Ћириковац” </w:t>
      </w:r>
      <w:r>
        <w:rPr>
          <w:color w:val="231F20"/>
        </w:rPr>
        <w:t>и „Кленовник”, као и Депоније пепела – СКО, </w:t>
      </w:r>
      <w:r>
        <w:rPr>
          <w:color w:val="231F20"/>
          <w:spacing w:val="-4"/>
        </w:rPr>
        <w:t>где </w:t>
      </w:r>
      <w:r>
        <w:rPr>
          <w:color w:val="231F20"/>
        </w:rPr>
        <w:t>се обавезно мо- рају применити и одговарајуће мере ремедијације.</w:t>
      </w:r>
    </w:p>
    <w:p>
      <w:pPr>
        <w:pStyle w:val="BodyText"/>
        <w:spacing w:line="235" w:lineRule="auto"/>
        <w:ind w:left="453" w:firstLine="397"/>
      </w:pPr>
      <w:r>
        <w:rPr>
          <w:color w:val="231F20"/>
        </w:rPr>
        <w:t>При избору најприкладнијих технолошких решења за реме- дијацију и рекултивацију одлагалишта пепела и шљаке (споља- шње одлагалиште на СКО и унутрашња у коповима </w:t>
      </w:r>
      <w:r>
        <w:rPr>
          <w:color w:val="231F20"/>
          <w:spacing w:val="-3"/>
        </w:rPr>
        <w:t>„Ћириковац” </w:t>
      </w:r>
      <w:r>
        <w:rPr>
          <w:color w:val="231F20"/>
        </w:rPr>
        <w:t>и „Дрмно”), морају се узети у обзир дугогодишња европска иску- ства, </w:t>
      </w:r>
      <w:r>
        <w:rPr>
          <w:color w:val="231F20"/>
          <w:spacing w:val="-3"/>
        </w:rPr>
        <w:t>која </w:t>
      </w:r>
      <w:r>
        <w:rPr>
          <w:color w:val="231F20"/>
        </w:rPr>
        <w:t>показују да традиционални методи, као што су „contain- ment” (формирање баријера, на пример </w:t>
      </w:r>
      <w:r>
        <w:rPr>
          <w:color w:val="231F20"/>
          <w:spacing w:val="-3"/>
        </w:rPr>
        <w:t>од </w:t>
      </w:r>
      <w:r>
        <w:rPr>
          <w:color w:val="231F20"/>
        </w:rPr>
        <w:t>непропустиве фолије, </w:t>
      </w:r>
      <w:r>
        <w:rPr>
          <w:color w:val="231F20"/>
          <w:spacing w:val="-3"/>
        </w:rPr>
        <w:t>које </w:t>
      </w:r>
      <w:r>
        <w:rPr>
          <w:color w:val="231F20"/>
          <w:spacing w:val="-4"/>
        </w:rPr>
        <w:t>коче </w:t>
      </w:r>
      <w:r>
        <w:rPr>
          <w:color w:val="231F20"/>
        </w:rPr>
        <w:t>миграцију загађујућих супстанци), „dig and dump” (иско- павање и складиштење) и „pump and treat” (испумпавање и одво- ђење загађене воде у уређаје за пречишћавање), нису увек одржи- ве са становишта </w:t>
      </w:r>
      <w:r>
        <w:rPr>
          <w:color w:val="231F20"/>
          <w:spacing w:val="-3"/>
        </w:rPr>
        <w:t>економске </w:t>
      </w:r>
      <w:r>
        <w:rPr>
          <w:color w:val="231F20"/>
        </w:rPr>
        <w:t>ефективности, редуцирања загађења и </w:t>
      </w:r>
      <w:r>
        <w:rPr>
          <w:color w:val="231F20"/>
          <w:spacing w:val="-3"/>
        </w:rPr>
        <w:t>еколошке </w:t>
      </w:r>
      <w:r>
        <w:rPr>
          <w:color w:val="231F20"/>
        </w:rPr>
        <w:t>равнотеже. Стога је неопходно да се процеси ремеди- јације оцењују савременим методама стратешког планирања, као што су Процена животног циклуса, Процена утицаја на животни циклус</w:t>
      </w:r>
      <w:r>
        <w:rPr>
          <w:color w:val="231F20"/>
          <w:spacing w:val="-6"/>
        </w:rPr>
        <w:t> </w:t>
      </w:r>
      <w:r>
        <w:rPr>
          <w:color w:val="231F20"/>
        </w:rPr>
        <w:t>и</w:t>
      </w:r>
      <w:r>
        <w:rPr>
          <w:color w:val="231F20"/>
          <w:spacing w:val="-6"/>
        </w:rPr>
        <w:t> </w:t>
      </w:r>
      <w:r>
        <w:rPr>
          <w:color w:val="231F20"/>
        </w:rPr>
        <w:t>други</w:t>
      </w:r>
      <w:r>
        <w:rPr>
          <w:color w:val="231F20"/>
          <w:spacing w:val="-6"/>
        </w:rPr>
        <w:t> </w:t>
      </w:r>
      <w:r>
        <w:rPr>
          <w:color w:val="231F20"/>
        </w:rPr>
        <w:t>аналитички</w:t>
      </w:r>
      <w:r>
        <w:rPr>
          <w:color w:val="231F20"/>
          <w:spacing w:val="-6"/>
        </w:rPr>
        <w:t> </w:t>
      </w:r>
      <w:r>
        <w:rPr>
          <w:color w:val="231F20"/>
        </w:rPr>
        <w:t>инструменти,</w:t>
      </w:r>
      <w:r>
        <w:rPr>
          <w:color w:val="231F20"/>
          <w:spacing w:val="-6"/>
        </w:rPr>
        <w:t> </w:t>
      </w:r>
      <w:r>
        <w:rPr>
          <w:color w:val="231F20"/>
          <w:spacing w:val="-3"/>
        </w:rPr>
        <w:t>који</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ЕУ</w:t>
      </w:r>
      <w:r>
        <w:rPr>
          <w:color w:val="231F20"/>
          <w:spacing w:val="-6"/>
        </w:rPr>
        <w:t> </w:t>
      </w:r>
      <w:r>
        <w:rPr>
          <w:color w:val="231F20"/>
        </w:rPr>
        <w:t>про- јекта</w:t>
      </w:r>
      <w:r>
        <w:rPr>
          <w:color w:val="231F20"/>
          <w:spacing w:val="-10"/>
        </w:rPr>
        <w:t> </w:t>
      </w:r>
      <w:r>
        <w:rPr>
          <w:color w:val="231F20"/>
        </w:rPr>
        <w:t>„EURODEMO”</w:t>
      </w:r>
      <w:r>
        <w:rPr>
          <w:color w:val="231F20"/>
          <w:spacing w:val="-10"/>
        </w:rPr>
        <w:t> </w:t>
      </w:r>
      <w:r>
        <w:rPr>
          <w:color w:val="231F20"/>
        </w:rPr>
        <w:t>користе</w:t>
      </w:r>
      <w:r>
        <w:rPr>
          <w:color w:val="231F20"/>
          <w:spacing w:val="-10"/>
        </w:rPr>
        <w:t> </w:t>
      </w:r>
      <w:r>
        <w:rPr>
          <w:color w:val="231F20"/>
        </w:rPr>
        <w:t>за</w:t>
      </w:r>
      <w:r>
        <w:rPr>
          <w:color w:val="231F20"/>
          <w:spacing w:val="-10"/>
        </w:rPr>
        <w:t> </w:t>
      </w:r>
      <w:r>
        <w:rPr>
          <w:color w:val="231F20"/>
        </w:rPr>
        <w:t>формирање</w:t>
      </w:r>
      <w:r>
        <w:rPr>
          <w:color w:val="231F20"/>
          <w:spacing w:val="-10"/>
        </w:rPr>
        <w:t> </w:t>
      </w:r>
      <w:r>
        <w:rPr>
          <w:color w:val="231F20"/>
        </w:rPr>
        <w:t>Основа</w:t>
      </w:r>
      <w:r>
        <w:rPr>
          <w:color w:val="231F20"/>
          <w:spacing w:val="-10"/>
        </w:rPr>
        <w:t> </w:t>
      </w:r>
      <w:r>
        <w:rPr>
          <w:color w:val="231F20"/>
        </w:rPr>
        <w:t>одрживе</w:t>
      </w:r>
      <w:r>
        <w:rPr>
          <w:color w:val="231F20"/>
          <w:spacing w:val="-10"/>
        </w:rPr>
        <w:t> </w:t>
      </w:r>
      <w:r>
        <w:rPr>
          <w:color w:val="231F20"/>
        </w:rPr>
        <w:t>реме- дијације и управљања земљиштем (Framework for sustainable land remediation and</w:t>
      </w:r>
      <w:r>
        <w:rPr>
          <w:color w:val="231F20"/>
          <w:spacing w:val="-1"/>
        </w:rPr>
        <w:t> </w:t>
      </w:r>
      <w:r>
        <w:rPr>
          <w:color w:val="231F20"/>
        </w:rPr>
        <w:t>management).</w:t>
      </w:r>
    </w:p>
    <w:p>
      <w:pPr>
        <w:pStyle w:val="BodyText"/>
        <w:spacing w:line="235" w:lineRule="auto"/>
        <w:ind w:left="453" w:firstLine="397"/>
      </w:pPr>
      <w:r>
        <w:rPr>
          <w:color w:val="231F20"/>
        </w:rPr>
        <w:t>Планирана </w:t>
      </w:r>
      <w:r>
        <w:rPr>
          <w:color w:val="231F20"/>
          <w:spacing w:val="-3"/>
        </w:rPr>
        <w:t>рекултивација </w:t>
      </w:r>
      <w:r>
        <w:rPr>
          <w:color w:val="231F20"/>
        </w:rPr>
        <w:t>одвијаће се у три </w:t>
      </w:r>
      <w:r>
        <w:rPr>
          <w:color w:val="231F20"/>
          <w:spacing w:val="-3"/>
        </w:rPr>
        <w:t>извођачке </w:t>
      </w:r>
      <w:r>
        <w:rPr>
          <w:color w:val="231F20"/>
        </w:rPr>
        <w:t>фазе: техничка</w:t>
      </w:r>
      <w:r>
        <w:rPr>
          <w:color w:val="231F20"/>
          <w:spacing w:val="-21"/>
        </w:rPr>
        <w:t> </w:t>
      </w:r>
      <w:r>
        <w:rPr>
          <w:color w:val="231F20"/>
        </w:rPr>
        <w:t>рекултивација,</w:t>
      </w:r>
      <w:r>
        <w:rPr>
          <w:color w:val="231F20"/>
          <w:spacing w:val="-21"/>
        </w:rPr>
        <w:t> </w:t>
      </w:r>
      <w:r>
        <w:rPr>
          <w:color w:val="231F20"/>
        </w:rPr>
        <w:t>биолошка</w:t>
      </w:r>
      <w:r>
        <w:rPr>
          <w:color w:val="231F20"/>
          <w:spacing w:val="-21"/>
        </w:rPr>
        <w:t> </w:t>
      </w:r>
      <w:r>
        <w:rPr>
          <w:color w:val="231F20"/>
        </w:rPr>
        <w:t>рекултивација</w:t>
      </w:r>
      <w:r>
        <w:rPr>
          <w:color w:val="231F20"/>
          <w:spacing w:val="-21"/>
        </w:rPr>
        <w:t> </w:t>
      </w:r>
      <w:r>
        <w:rPr>
          <w:color w:val="231F20"/>
        </w:rPr>
        <w:t>и</w:t>
      </w:r>
      <w:r>
        <w:rPr>
          <w:color w:val="231F20"/>
          <w:spacing w:val="-21"/>
        </w:rPr>
        <w:t> </w:t>
      </w:r>
      <w:r>
        <w:rPr>
          <w:color w:val="231F20"/>
        </w:rPr>
        <w:t>уређивање</w:t>
      </w:r>
      <w:r>
        <w:rPr>
          <w:color w:val="231F20"/>
          <w:spacing w:val="-21"/>
        </w:rPr>
        <w:t> </w:t>
      </w:r>
      <w:r>
        <w:rPr>
          <w:color w:val="231F20"/>
        </w:rPr>
        <w:t>пре- дела. </w:t>
      </w:r>
      <w:r>
        <w:rPr>
          <w:color w:val="231F20"/>
          <w:spacing w:val="-3"/>
        </w:rPr>
        <w:t>Техничка рекултивација обухвата </w:t>
      </w:r>
      <w:r>
        <w:rPr>
          <w:color w:val="231F20"/>
        </w:rPr>
        <w:t>најскупље, али и најзначај- није</w:t>
      </w:r>
      <w:r>
        <w:rPr>
          <w:color w:val="231F20"/>
          <w:spacing w:val="-6"/>
        </w:rPr>
        <w:t> </w:t>
      </w:r>
      <w:r>
        <w:rPr>
          <w:color w:val="231F20"/>
        </w:rPr>
        <w:t>радове</w:t>
      </w:r>
      <w:r>
        <w:rPr>
          <w:color w:val="231F20"/>
          <w:spacing w:val="-6"/>
        </w:rPr>
        <w:t> </w:t>
      </w:r>
      <w:r>
        <w:rPr>
          <w:color w:val="231F20"/>
        </w:rPr>
        <w:t>на</w:t>
      </w:r>
      <w:r>
        <w:rPr>
          <w:color w:val="231F20"/>
          <w:spacing w:val="-6"/>
        </w:rPr>
        <w:t> </w:t>
      </w:r>
      <w:r>
        <w:rPr>
          <w:color w:val="231F20"/>
        </w:rPr>
        <w:t>укупној</w:t>
      </w:r>
      <w:r>
        <w:rPr>
          <w:color w:val="231F20"/>
          <w:spacing w:val="-6"/>
        </w:rPr>
        <w:t> </w:t>
      </w:r>
      <w:r>
        <w:rPr>
          <w:color w:val="231F20"/>
        </w:rPr>
        <w:t>рекултивацији</w:t>
      </w:r>
      <w:r>
        <w:rPr>
          <w:color w:val="231F20"/>
          <w:spacing w:val="-6"/>
        </w:rPr>
        <w:t> </w:t>
      </w:r>
      <w:r>
        <w:rPr>
          <w:color w:val="231F20"/>
        </w:rPr>
        <w:t>земљишта.</w:t>
      </w:r>
      <w:r>
        <w:rPr>
          <w:color w:val="231F20"/>
          <w:spacing w:val="-6"/>
        </w:rPr>
        <w:t> </w:t>
      </w:r>
      <w:r>
        <w:rPr>
          <w:color w:val="231F20"/>
        </w:rPr>
        <w:t>У</w:t>
      </w:r>
      <w:r>
        <w:rPr>
          <w:color w:val="231F20"/>
          <w:spacing w:val="-6"/>
        </w:rPr>
        <w:t> </w:t>
      </w:r>
      <w:r>
        <w:rPr>
          <w:color w:val="231F20"/>
        </w:rPr>
        <w:t>овој</w:t>
      </w:r>
      <w:r>
        <w:rPr>
          <w:color w:val="231F20"/>
          <w:spacing w:val="-6"/>
        </w:rPr>
        <w:t> </w:t>
      </w:r>
      <w:r>
        <w:rPr>
          <w:color w:val="231F20"/>
        </w:rPr>
        <w:t>фази</w:t>
      </w:r>
      <w:r>
        <w:rPr>
          <w:color w:val="231F20"/>
          <w:spacing w:val="-6"/>
        </w:rPr>
        <w:t> </w:t>
      </w:r>
      <w:r>
        <w:rPr>
          <w:color w:val="231F20"/>
        </w:rPr>
        <w:t>ће</w:t>
      </w:r>
      <w:r>
        <w:rPr>
          <w:color w:val="231F20"/>
          <w:spacing w:val="-6"/>
        </w:rPr>
        <w:t> </w:t>
      </w:r>
      <w:r>
        <w:rPr>
          <w:color w:val="231F20"/>
        </w:rPr>
        <w:t>се спроводи</w:t>
      </w:r>
      <w:r>
        <w:rPr>
          <w:color w:val="231F20"/>
          <w:spacing w:val="-12"/>
        </w:rPr>
        <w:t> </w:t>
      </w:r>
      <w:r>
        <w:rPr>
          <w:color w:val="231F20"/>
        </w:rPr>
        <w:t>и</w:t>
      </w:r>
      <w:r>
        <w:rPr>
          <w:color w:val="231F20"/>
          <w:spacing w:val="-12"/>
        </w:rPr>
        <w:t> </w:t>
      </w:r>
      <w:r>
        <w:rPr>
          <w:color w:val="231F20"/>
        </w:rPr>
        <w:t>ремедијација</w:t>
      </w:r>
      <w:r>
        <w:rPr>
          <w:color w:val="231F20"/>
          <w:spacing w:val="-12"/>
        </w:rPr>
        <w:t> </w:t>
      </w:r>
      <w:r>
        <w:rPr>
          <w:color w:val="231F20"/>
        </w:rPr>
        <w:t>загађених</w:t>
      </w:r>
      <w:r>
        <w:rPr>
          <w:color w:val="231F20"/>
          <w:spacing w:val="-12"/>
        </w:rPr>
        <w:t> </w:t>
      </w:r>
      <w:r>
        <w:rPr>
          <w:color w:val="231F20"/>
        </w:rPr>
        <w:t>локалитета.</w:t>
      </w:r>
      <w:r>
        <w:rPr>
          <w:color w:val="231F20"/>
          <w:spacing w:val="-12"/>
        </w:rPr>
        <w:t> </w:t>
      </w:r>
      <w:r>
        <w:rPr>
          <w:color w:val="231F20"/>
        </w:rPr>
        <w:t>Биолошка</w:t>
      </w:r>
      <w:r>
        <w:rPr>
          <w:color w:val="231F20"/>
          <w:spacing w:val="-12"/>
        </w:rPr>
        <w:t> </w:t>
      </w:r>
      <w:r>
        <w:rPr>
          <w:color w:val="231F20"/>
          <w:spacing w:val="-3"/>
        </w:rPr>
        <w:t>рекулти- </w:t>
      </w:r>
      <w:r>
        <w:rPr>
          <w:color w:val="231F20"/>
        </w:rPr>
        <w:t>вација представља вишегодишњи процес, усмерен на обнављање производног потенцијала земљишта, сађењем/сејањем и</w:t>
      </w:r>
      <w:r>
        <w:rPr>
          <w:color w:val="231F20"/>
          <w:spacing w:val="-23"/>
        </w:rPr>
        <w:t> </w:t>
      </w:r>
      <w:r>
        <w:rPr>
          <w:color w:val="231F20"/>
        </w:rPr>
        <w:t>редовним одржавањем/неговањем одговарајућих биљних врста, </w:t>
      </w:r>
      <w:r>
        <w:rPr>
          <w:color w:val="231F20"/>
          <w:spacing w:val="-4"/>
        </w:rPr>
        <w:t>које </w:t>
      </w:r>
      <w:r>
        <w:rPr>
          <w:color w:val="231F20"/>
        </w:rPr>
        <w:t>допри- носе покретању педогенетских процеса и формирању стабилног биљног </w:t>
      </w:r>
      <w:r>
        <w:rPr>
          <w:color w:val="231F20"/>
          <w:spacing w:val="-3"/>
        </w:rPr>
        <w:t>покривача </w:t>
      </w:r>
      <w:r>
        <w:rPr>
          <w:color w:val="231F20"/>
        </w:rPr>
        <w:t>у виду вештачких шумских заједница, пољо- привредних </w:t>
      </w:r>
      <w:r>
        <w:rPr>
          <w:color w:val="231F20"/>
          <w:spacing w:val="-3"/>
        </w:rPr>
        <w:t>култура, декоративних </w:t>
      </w:r>
      <w:r>
        <w:rPr>
          <w:color w:val="231F20"/>
        </w:rPr>
        <w:t>заједница у близини насеља, рекреативних</w:t>
      </w:r>
      <w:r>
        <w:rPr>
          <w:color w:val="231F20"/>
          <w:spacing w:val="-7"/>
        </w:rPr>
        <w:t> </w:t>
      </w:r>
      <w:r>
        <w:rPr>
          <w:color w:val="231F20"/>
        </w:rPr>
        <w:t>центара</w:t>
      </w:r>
      <w:r>
        <w:rPr>
          <w:color w:val="231F20"/>
          <w:spacing w:val="-7"/>
        </w:rPr>
        <w:t> </w:t>
      </w:r>
      <w:r>
        <w:rPr>
          <w:color w:val="231F20"/>
        </w:rPr>
        <w:t>или</w:t>
      </w:r>
      <w:r>
        <w:rPr>
          <w:color w:val="231F20"/>
          <w:spacing w:val="-7"/>
        </w:rPr>
        <w:t> </w:t>
      </w:r>
      <w:r>
        <w:rPr>
          <w:color w:val="231F20"/>
        </w:rPr>
        <w:t>других</w:t>
      </w:r>
      <w:r>
        <w:rPr>
          <w:color w:val="231F20"/>
          <w:spacing w:val="-7"/>
        </w:rPr>
        <w:t> </w:t>
      </w:r>
      <w:r>
        <w:rPr>
          <w:color w:val="231F20"/>
        </w:rPr>
        <w:t>специфичних</w:t>
      </w:r>
      <w:r>
        <w:rPr>
          <w:color w:val="231F20"/>
          <w:spacing w:val="-7"/>
        </w:rPr>
        <w:t> </w:t>
      </w:r>
      <w:r>
        <w:rPr>
          <w:color w:val="231F20"/>
        </w:rPr>
        <w:t>заједница</w:t>
      </w:r>
      <w:r>
        <w:rPr>
          <w:color w:val="231F20"/>
          <w:spacing w:val="-7"/>
        </w:rPr>
        <w:t> </w:t>
      </w:r>
      <w:r>
        <w:rPr>
          <w:color w:val="231F20"/>
        </w:rPr>
        <w:t>биотопа у оквиру вредних предеоних целина. </w:t>
      </w:r>
      <w:r>
        <w:rPr>
          <w:color w:val="231F20"/>
          <w:spacing w:val="-3"/>
        </w:rPr>
        <w:t>Уређивање </w:t>
      </w:r>
      <w:r>
        <w:rPr>
          <w:color w:val="231F20"/>
        </w:rPr>
        <w:t>предела одвијаће се сукцесивним предузимањем одговарајућих активности </w:t>
      </w:r>
      <w:r>
        <w:rPr>
          <w:color w:val="231F20"/>
          <w:spacing w:val="-4"/>
        </w:rPr>
        <w:t>које </w:t>
      </w:r>
      <w:r>
        <w:rPr>
          <w:color w:val="231F20"/>
        </w:rPr>
        <w:t>ду- </w:t>
      </w:r>
      <w:r>
        <w:rPr>
          <w:color w:val="231F20"/>
          <w:spacing w:val="-3"/>
        </w:rPr>
        <w:t>горочно </w:t>
      </w:r>
      <w:r>
        <w:rPr>
          <w:color w:val="231F20"/>
        </w:rPr>
        <w:t>имају позитиван утицај на животну </w:t>
      </w:r>
      <w:r>
        <w:rPr>
          <w:color w:val="231F20"/>
          <w:spacing w:val="-4"/>
        </w:rPr>
        <w:t>средину, </w:t>
      </w:r>
      <w:r>
        <w:rPr>
          <w:color w:val="231F20"/>
        </w:rPr>
        <w:t>очување би- одиверзитета и иницирање развоја нових привредних активности на </w:t>
      </w:r>
      <w:r>
        <w:rPr>
          <w:color w:val="231F20"/>
          <w:spacing w:val="-5"/>
        </w:rPr>
        <w:t>селу, </w:t>
      </w:r>
      <w:r>
        <w:rPr>
          <w:color w:val="231F20"/>
        </w:rPr>
        <w:t>у складу са специфичним </w:t>
      </w:r>
      <w:r>
        <w:rPr>
          <w:color w:val="231F20"/>
          <w:spacing w:val="-3"/>
        </w:rPr>
        <w:t>еколошким </w:t>
      </w:r>
      <w:r>
        <w:rPr>
          <w:color w:val="231F20"/>
        </w:rPr>
        <w:t>и социоекономским потребама и развојним интересима локалних</w:t>
      </w:r>
      <w:r>
        <w:rPr>
          <w:color w:val="231F20"/>
          <w:spacing w:val="-20"/>
        </w:rPr>
        <w:t> </w:t>
      </w:r>
      <w:r>
        <w:rPr>
          <w:color w:val="231F20"/>
        </w:rPr>
        <w:t>заједница.</w:t>
      </w:r>
    </w:p>
    <w:p>
      <w:pPr>
        <w:pStyle w:val="BodyText"/>
        <w:spacing w:line="235" w:lineRule="auto"/>
        <w:ind w:left="454" w:firstLine="396"/>
      </w:pPr>
      <w:r>
        <w:rPr>
          <w:color w:val="231F20"/>
        </w:rPr>
        <w:t>Успешно спровођење сложеног поступка рекултивације де- градираних земљишта условљено је вођењем рачуна о:</w:t>
      </w:r>
    </w:p>
    <w:p>
      <w:pPr>
        <w:pStyle w:val="BodyText"/>
        <w:spacing w:line="235" w:lineRule="auto"/>
        <w:ind w:left="454" w:firstLine="396"/>
      </w:pPr>
      <w:r>
        <w:rPr>
          <w:color w:val="231F20"/>
          <w:w w:val="66"/>
        </w:rPr>
        <w:t> </w:t>
      </w:r>
      <w:r>
        <w:rPr>
          <w:color w:val="231F20"/>
        </w:rPr>
        <w:t>– обезбеђењу истраживачке и планске подршке за: праћење услова спољне средине (педолошка и фитоценолошка истражива- ња); сукцесивно анализирање физичких и хемијских особина от- кривке </w:t>
      </w:r>
      <w:r>
        <w:rPr>
          <w:color w:val="231F20"/>
          <w:spacing w:val="-4"/>
        </w:rPr>
        <w:t>током </w:t>
      </w:r>
      <w:r>
        <w:rPr>
          <w:color w:val="231F20"/>
        </w:rPr>
        <w:t>целог експлоатационог периода; укључивање</w:t>
      </w:r>
      <w:r>
        <w:rPr>
          <w:color w:val="231F20"/>
          <w:spacing w:val="-26"/>
        </w:rPr>
        <w:t> </w:t>
      </w:r>
      <w:r>
        <w:rPr>
          <w:color w:val="231F20"/>
        </w:rPr>
        <w:t>терена заузетих</w:t>
      </w:r>
      <w:r>
        <w:rPr>
          <w:color w:val="231F20"/>
          <w:spacing w:val="-9"/>
        </w:rPr>
        <w:t> </w:t>
      </w:r>
      <w:r>
        <w:rPr>
          <w:color w:val="231F20"/>
        </w:rPr>
        <w:t>рударско-енергетским</w:t>
      </w:r>
      <w:r>
        <w:rPr>
          <w:color w:val="231F20"/>
          <w:spacing w:val="-9"/>
        </w:rPr>
        <w:t> </w:t>
      </w:r>
      <w:r>
        <w:rPr>
          <w:color w:val="231F20"/>
        </w:rPr>
        <w:t>активностима</w:t>
      </w:r>
      <w:r>
        <w:rPr>
          <w:color w:val="231F20"/>
          <w:spacing w:val="-9"/>
        </w:rPr>
        <w:t> </w:t>
      </w:r>
      <w:r>
        <w:rPr>
          <w:color w:val="231F20"/>
        </w:rPr>
        <w:t>у</w:t>
      </w:r>
      <w:r>
        <w:rPr>
          <w:color w:val="231F20"/>
          <w:spacing w:val="-9"/>
        </w:rPr>
        <w:t> </w:t>
      </w:r>
      <w:r>
        <w:rPr>
          <w:color w:val="231F20"/>
        </w:rPr>
        <w:t>систем</w:t>
      </w:r>
      <w:r>
        <w:rPr>
          <w:color w:val="231F20"/>
          <w:spacing w:val="-9"/>
        </w:rPr>
        <w:t> </w:t>
      </w:r>
      <w:r>
        <w:rPr>
          <w:color w:val="231F20"/>
        </w:rPr>
        <w:t>географске информатике; увођење међународно прихваћених индикатора и стандарда квалитета земљишта у поступак избора одговарајућих метода и техника рекултивације; и успостављање система оцене и праћења примењених мера</w:t>
      </w:r>
      <w:r>
        <w:rPr>
          <w:color w:val="231F20"/>
          <w:spacing w:val="-4"/>
        </w:rPr>
        <w:t> </w:t>
      </w:r>
      <w:r>
        <w:rPr>
          <w:color w:val="231F20"/>
        </w:rPr>
        <w:t>рекултивације;</w:t>
      </w:r>
    </w:p>
    <w:p>
      <w:pPr>
        <w:pStyle w:val="BodyText"/>
        <w:spacing w:line="235" w:lineRule="auto"/>
        <w:ind w:left="454" w:firstLine="396"/>
      </w:pPr>
      <w:r>
        <w:rPr>
          <w:color w:val="231F20"/>
          <w:w w:val="66"/>
        </w:rPr>
        <w:t> </w:t>
      </w:r>
      <w:r>
        <w:rPr>
          <w:color w:val="231F20"/>
        </w:rPr>
        <w:t>– праћењу светских искустава и нових тенденција, страте- гија, идеја, техника и решења у домену целовите рехабилитације</w:t>
      </w:r>
    </w:p>
    <w:p>
      <w:pPr>
        <w:pStyle w:val="BodyText"/>
        <w:spacing w:line="235" w:lineRule="auto" w:before="97"/>
        <w:ind w:left="242" w:right="127" w:hanging="1"/>
      </w:pPr>
      <w:r>
        <w:rPr/>
        <w:br w:type="column"/>
      </w:r>
      <w:r>
        <w:rPr>
          <w:color w:val="231F20"/>
        </w:rPr>
        <w:t>терена деградираних интензивним индустријским развојем (тако- звани brown field терени), ради примене најбољег доступног зна- ња за унапређивање постојећих и развој нових поступака технич- ке/ рударске и биолошке рекултивације;</w:t>
      </w:r>
    </w:p>
    <w:p>
      <w:pPr>
        <w:pStyle w:val="BodyText"/>
        <w:spacing w:line="235" w:lineRule="auto"/>
        <w:ind w:left="243" w:right="127" w:firstLine="396"/>
      </w:pPr>
      <w:r>
        <w:rPr/>
        <w:pict>
          <v:line style="position:absolute;mso-position-horizontal-relative:page;mso-position-vertical-relative:paragraph;z-index:2992" from="318.897614pt,-38.534286pt" to="318.897614pt,504.301714pt" stroked="true" strokeweight=".6pt" strokecolor="#231f20">
            <v:stroke dashstyle="solid"/>
            <w10:wrap type="none"/>
          </v:line>
        </w:pict>
      </w:r>
      <w:r>
        <w:rPr>
          <w:color w:val="231F20"/>
          <w:w w:val="66"/>
        </w:rPr>
        <w:t> </w:t>
      </w:r>
      <w:r>
        <w:rPr>
          <w:color w:val="231F20"/>
        </w:rPr>
        <w:t>– </w:t>
      </w:r>
      <w:r>
        <w:rPr>
          <w:color w:val="231F20"/>
          <w:spacing w:val="-5"/>
        </w:rPr>
        <w:t>планском </w:t>
      </w:r>
      <w:r>
        <w:rPr>
          <w:color w:val="231F20"/>
          <w:spacing w:val="-3"/>
        </w:rPr>
        <w:t>распоређивању </w:t>
      </w:r>
      <w:r>
        <w:rPr>
          <w:color w:val="231F20"/>
          <w:spacing w:val="-4"/>
        </w:rPr>
        <w:t>откривке </w:t>
      </w:r>
      <w:r>
        <w:rPr>
          <w:color w:val="231F20"/>
          <w:spacing w:val="-3"/>
        </w:rPr>
        <w:t>према </w:t>
      </w:r>
      <w:r>
        <w:rPr>
          <w:color w:val="231F20"/>
          <w:spacing w:val="-5"/>
        </w:rPr>
        <w:t>коначној </w:t>
      </w:r>
      <w:r>
        <w:rPr>
          <w:color w:val="231F20"/>
          <w:spacing w:val="-3"/>
        </w:rPr>
        <w:t>визији </w:t>
      </w:r>
      <w:r>
        <w:rPr>
          <w:color w:val="231F20"/>
          <w:spacing w:val="-4"/>
        </w:rPr>
        <w:t>функционалног </w:t>
      </w:r>
      <w:r>
        <w:rPr>
          <w:color w:val="231F20"/>
        </w:rPr>
        <w:t>и </w:t>
      </w:r>
      <w:r>
        <w:rPr>
          <w:color w:val="231F20"/>
          <w:spacing w:val="-4"/>
        </w:rPr>
        <w:t>естетског </w:t>
      </w:r>
      <w:r>
        <w:rPr>
          <w:color w:val="231F20"/>
          <w:spacing w:val="-3"/>
        </w:rPr>
        <w:t>уређења </w:t>
      </w:r>
      <w:r>
        <w:rPr>
          <w:color w:val="231F20"/>
          <w:spacing w:val="-6"/>
        </w:rPr>
        <w:t>Костолачког </w:t>
      </w:r>
      <w:r>
        <w:rPr>
          <w:color w:val="231F20"/>
          <w:spacing w:val="-3"/>
        </w:rPr>
        <w:t>угљеног басена </w:t>
      </w:r>
      <w:r>
        <w:rPr>
          <w:color w:val="231F20"/>
        </w:rPr>
        <w:t>на- </w:t>
      </w:r>
      <w:r>
        <w:rPr>
          <w:color w:val="231F20"/>
          <w:spacing w:val="-5"/>
        </w:rPr>
        <w:t>кон </w:t>
      </w:r>
      <w:r>
        <w:rPr>
          <w:color w:val="231F20"/>
          <w:spacing w:val="-3"/>
        </w:rPr>
        <w:t>завршетка </w:t>
      </w:r>
      <w:r>
        <w:rPr>
          <w:color w:val="231F20"/>
          <w:spacing w:val="-5"/>
        </w:rPr>
        <w:t>рударских </w:t>
      </w:r>
      <w:r>
        <w:rPr>
          <w:color w:val="231F20"/>
          <w:spacing w:val="-3"/>
        </w:rPr>
        <w:t>радова, </w:t>
      </w:r>
      <w:r>
        <w:rPr>
          <w:color w:val="231F20"/>
        </w:rPr>
        <w:t>у </w:t>
      </w:r>
      <w:r>
        <w:rPr>
          <w:color w:val="231F20"/>
          <w:spacing w:val="-3"/>
        </w:rPr>
        <w:t>складу </w:t>
      </w:r>
      <w:r>
        <w:rPr>
          <w:color w:val="231F20"/>
        </w:rPr>
        <w:t>с </w:t>
      </w:r>
      <w:r>
        <w:rPr>
          <w:color w:val="231F20"/>
          <w:spacing w:val="-4"/>
        </w:rPr>
        <w:t>природним </w:t>
      </w:r>
      <w:r>
        <w:rPr>
          <w:color w:val="231F20"/>
        </w:rPr>
        <w:t>и </w:t>
      </w:r>
      <w:r>
        <w:rPr>
          <w:color w:val="231F20"/>
          <w:spacing w:val="-4"/>
        </w:rPr>
        <w:t>социоеко- номским </w:t>
      </w:r>
      <w:r>
        <w:rPr>
          <w:color w:val="231F20"/>
          <w:spacing w:val="-3"/>
        </w:rPr>
        <w:t>условима </w:t>
      </w:r>
      <w:r>
        <w:rPr>
          <w:color w:val="231F20"/>
          <w:spacing w:val="-4"/>
        </w:rPr>
        <w:t>експлоатационог подручја </w:t>
      </w:r>
      <w:r>
        <w:rPr>
          <w:color w:val="231F20"/>
        </w:rPr>
        <w:t>и </w:t>
      </w:r>
      <w:r>
        <w:rPr>
          <w:color w:val="231F20"/>
          <w:spacing w:val="-4"/>
        </w:rPr>
        <w:t>његовог окружења;</w:t>
      </w:r>
    </w:p>
    <w:p>
      <w:pPr>
        <w:pStyle w:val="BodyText"/>
        <w:spacing w:line="235" w:lineRule="auto"/>
        <w:ind w:left="243" w:right="126" w:firstLine="396"/>
      </w:pPr>
      <w:r>
        <w:rPr>
          <w:color w:val="231F20"/>
          <w:w w:val="66"/>
        </w:rPr>
        <w:t> </w:t>
      </w:r>
      <w:r>
        <w:rPr>
          <w:color w:val="231F20"/>
        </w:rPr>
        <w:t>–</w:t>
      </w:r>
      <w:r>
        <w:rPr>
          <w:color w:val="231F20"/>
          <w:spacing w:val="-14"/>
        </w:rPr>
        <w:t> </w:t>
      </w:r>
      <w:r>
        <w:rPr>
          <w:color w:val="231F20"/>
        </w:rPr>
        <w:t>одговарајућем</w:t>
      </w:r>
      <w:r>
        <w:rPr>
          <w:color w:val="231F20"/>
          <w:spacing w:val="-14"/>
        </w:rPr>
        <w:t> </w:t>
      </w:r>
      <w:r>
        <w:rPr>
          <w:color w:val="231F20"/>
        </w:rPr>
        <w:t>инфраструктурном</w:t>
      </w:r>
      <w:r>
        <w:rPr>
          <w:color w:val="231F20"/>
          <w:spacing w:val="-14"/>
        </w:rPr>
        <w:t> </w:t>
      </w:r>
      <w:r>
        <w:rPr>
          <w:color w:val="231F20"/>
        </w:rPr>
        <w:t>уређењу</w:t>
      </w:r>
      <w:r>
        <w:rPr>
          <w:color w:val="231F20"/>
          <w:spacing w:val="-14"/>
        </w:rPr>
        <w:t> </w:t>
      </w:r>
      <w:r>
        <w:rPr>
          <w:color w:val="231F20"/>
        </w:rPr>
        <w:t>рекултивисаних земљишта: изградњи приступних путева </w:t>
      </w:r>
      <w:r>
        <w:rPr>
          <w:color w:val="231F20"/>
          <w:spacing w:val="-3"/>
        </w:rPr>
        <w:t>од </w:t>
      </w:r>
      <w:r>
        <w:rPr>
          <w:color w:val="231F20"/>
        </w:rPr>
        <w:t>тврде подлоге, довољ- но широких и са успонима </w:t>
      </w:r>
      <w:r>
        <w:rPr>
          <w:color w:val="231F20"/>
          <w:spacing w:val="-3"/>
        </w:rPr>
        <w:t>који </w:t>
      </w:r>
      <w:r>
        <w:rPr>
          <w:color w:val="231F20"/>
        </w:rPr>
        <w:t>дозвољавају неометано кретање механизације за редовно обављање потребних пољских, односно шумских радова; опремању уређајима или објектима за наводња- вање, у складу с локалним хидролошким ограничењима и потен- цијалима и</w:t>
      </w:r>
      <w:r>
        <w:rPr>
          <w:color w:val="231F20"/>
          <w:spacing w:val="-2"/>
        </w:rPr>
        <w:t> </w:t>
      </w:r>
      <w:r>
        <w:rPr>
          <w:color w:val="231F20"/>
        </w:rPr>
        <w:t>друго;</w:t>
      </w:r>
    </w:p>
    <w:p>
      <w:pPr>
        <w:pStyle w:val="BodyText"/>
        <w:spacing w:line="235" w:lineRule="auto"/>
        <w:ind w:left="243" w:right="126" w:firstLine="397"/>
      </w:pPr>
      <w:r>
        <w:rPr>
          <w:color w:val="231F20"/>
          <w:w w:val="66"/>
        </w:rPr>
        <w:t> </w:t>
      </w:r>
      <w:r>
        <w:rPr>
          <w:color w:val="231F20"/>
        </w:rPr>
        <w:t>– дефинисању сигурних извора за финансирање потребних пројектних, истраживачких и извођачко-оперативних активности (хидрорегулација, минерално ђубрење, уношење хумусног зе- мљишта и /или других материјала </w:t>
      </w:r>
      <w:r>
        <w:rPr>
          <w:color w:val="231F20"/>
          <w:spacing w:val="-3"/>
        </w:rPr>
        <w:t>којима </w:t>
      </w:r>
      <w:r>
        <w:rPr>
          <w:color w:val="231F20"/>
        </w:rPr>
        <w:t>се поправљају физичке особине супстрата, зеленишно ђубрење, микробиолошко ђубрење којим се обезбеђује формирање квржица и фиксирање атмосфер- </w:t>
      </w:r>
      <w:r>
        <w:rPr>
          <w:color w:val="231F20"/>
          <w:spacing w:val="-3"/>
        </w:rPr>
        <w:t>ског </w:t>
      </w:r>
      <w:r>
        <w:rPr>
          <w:color w:val="231F20"/>
        </w:rPr>
        <w:t>азота, синергетски ефекти компатибилног састава биљних за- једница и слично) на оспособљавању одлагалишта за покретање педогенетских процеса </w:t>
      </w:r>
      <w:r>
        <w:rPr>
          <w:color w:val="231F20"/>
          <w:spacing w:val="-3"/>
        </w:rPr>
        <w:t>који </w:t>
      </w:r>
      <w:r>
        <w:rPr>
          <w:color w:val="231F20"/>
        </w:rPr>
        <w:t>гарантују постизање стабилних и ви- соких приноса у одрживој пољопривредној производњи, односно остваривање вишефункционалног доприноса шума очувању </w:t>
      </w:r>
      <w:r>
        <w:rPr>
          <w:color w:val="231F20"/>
          <w:spacing w:val="-3"/>
        </w:rPr>
        <w:t>еко- </w:t>
      </w:r>
      <w:r>
        <w:rPr>
          <w:color w:val="231F20"/>
        </w:rPr>
        <w:t>лошке равнотеже;</w:t>
      </w:r>
    </w:p>
    <w:p>
      <w:pPr>
        <w:pStyle w:val="BodyText"/>
        <w:spacing w:line="235" w:lineRule="auto"/>
        <w:ind w:left="243" w:right="126" w:firstLine="396"/>
      </w:pPr>
      <w:r>
        <w:rPr>
          <w:color w:val="231F20"/>
          <w:w w:val="66"/>
        </w:rPr>
        <w:t> </w:t>
      </w:r>
      <w:r>
        <w:rPr>
          <w:color w:val="231F20"/>
        </w:rPr>
        <w:t>– еколошким предностима агрошумарства, односно систе- ма коришћења земљишта који се заснива на комбинованом узгоју дрвенастих вишегодишњих биљака и пољопривредних култура у виду одређеног просторног аранжмана, или сукцесивно у време- ну, са или без сточарске производње; агрошумарски производни системи имају позитивне ефекте на одржавање плодности земљи- шта, капацитет задржавања воде, заштиту од ерозије, биодиверзи- тет, складиштење угљеника и контролу испуштања нитрата;</w:t>
      </w:r>
    </w:p>
    <w:p>
      <w:pPr>
        <w:pStyle w:val="BodyText"/>
        <w:spacing w:line="235" w:lineRule="auto"/>
        <w:ind w:left="243" w:right="126" w:firstLine="397"/>
      </w:pPr>
      <w:r>
        <w:rPr>
          <w:color w:val="231F20"/>
          <w:w w:val="66"/>
        </w:rPr>
        <w:t> </w:t>
      </w:r>
      <w:r>
        <w:rPr>
          <w:color w:val="231F20"/>
        </w:rPr>
        <w:t>– избору таквог сортимента вегетације </w:t>
      </w:r>
      <w:r>
        <w:rPr>
          <w:color w:val="231F20"/>
          <w:spacing w:val="-3"/>
        </w:rPr>
        <w:t>који </w:t>
      </w:r>
      <w:r>
        <w:rPr>
          <w:color w:val="231F20"/>
        </w:rPr>
        <w:t>потпомаже по- кретање педогенетских процеса, развој организама </w:t>
      </w:r>
      <w:r>
        <w:rPr>
          <w:color w:val="231F20"/>
          <w:spacing w:val="-3"/>
        </w:rPr>
        <w:t>који </w:t>
      </w:r>
      <w:r>
        <w:rPr>
          <w:color w:val="231F20"/>
        </w:rPr>
        <w:t>подржа- вају производњу биомасе и продуктивност агроекосистема (ми- кроорганизми тла, предатори, опрашивачи), спонтано обнављање </w:t>
      </w:r>
      <w:r>
        <w:rPr>
          <w:color w:val="231F20"/>
          <w:spacing w:val="-3"/>
        </w:rPr>
        <w:t>аутохтоних</w:t>
      </w:r>
      <w:r>
        <w:rPr>
          <w:color w:val="231F20"/>
          <w:spacing w:val="-8"/>
        </w:rPr>
        <w:t> </w:t>
      </w:r>
      <w:r>
        <w:rPr>
          <w:color w:val="231F20"/>
        </w:rPr>
        <w:t>врста</w:t>
      </w:r>
      <w:r>
        <w:rPr>
          <w:color w:val="231F20"/>
          <w:spacing w:val="-8"/>
        </w:rPr>
        <w:t> </w:t>
      </w:r>
      <w:r>
        <w:rPr>
          <w:color w:val="231F20"/>
        </w:rPr>
        <w:t>приземне</w:t>
      </w:r>
      <w:r>
        <w:rPr>
          <w:color w:val="231F20"/>
          <w:spacing w:val="-8"/>
        </w:rPr>
        <w:t> </w:t>
      </w:r>
      <w:r>
        <w:rPr>
          <w:color w:val="231F20"/>
        </w:rPr>
        <w:t>зељасте</w:t>
      </w:r>
      <w:r>
        <w:rPr>
          <w:color w:val="231F20"/>
          <w:spacing w:val="-8"/>
        </w:rPr>
        <w:t> </w:t>
      </w:r>
      <w:r>
        <w:rPr>
          <w:color w:val="231F20"/>
        </w:rPr>
        <w:t>и</w:t>
      </w:r>
      <w:r>
        <w:rPr>
          <w:color w:val="231F20"/>
          <w:spacing w:val="-8"/>
        </w:rPr>
        <w:t> </w:t>
      </w:r>
      <w:r>
        <w:rPr>
          <w:color w:val="231F20"/>
        </w:rPr>
        <w:t>жбунасте</w:t>
      </w:r>
      <w:r>
        <w:rPr>
          <w:color w:val="231F20"/>
          <w:spacing w:val="-8"/>
        </w:rPr>
        <w:t> </w:t>
      </w:r>
      <w:r>
        <w:rPr>
          <w:color w:val="231F20"/>
        </w:rPr>
        <w:t>вегетације</w:t>
      </w:r>
      <w:r>
        <w:rPr>
          <w:color w:val="231F20"/>
          <w:spacing w:val="-8"/>
        </w:rPr>
        <w:t> </w:t>
      </w:r>
      <w:r>
        <w:rPr>
          <w:color w:val="231F20"/>
        </w:rPr>
        <w:t>у</w:t>
      </w:r>
      <w:r>
        <w:rPr>
          <w:color w:val="231F20"/>
          <w:spacing w:val="-8"/>
        </w:rPr>
        <w:t> </w:t>
      </w:r>
      <w:r>
        <w:rPr>
          <w:color w:val="231F20"/>
        </w:rPr>
        <w:t>шума- ма, насељавање дивље фауне и</w:t>
      </w:r>
      <w:r>
        <w:rPr>
          <w:color w:val="231F20"/>
          <w:spacing w:val="-7"/>
        </w:rPr>
        <w:t> </w:t>
      </w:r>
      <w:r>
        <w:rPr>
          <w:color w:val="231F20"/>
        </w:rPr>
        <w:t>слично;</w:t>
      </w:r>
    </w:p>
    <w:p>
      <w:pPr>
        <w:pStyle w:val="BodyText"/>
        <w:spacing w:line="235" w:lineRule="auto"/>
        <w:ind w:left="243" w:right="126" w:firstLine="397"/>
      </w:pPr>
      <w:r>
        <w:rPr>
          <w:color w:val="231F20"/>
          <w:w w:val="66"/>
        </w:rPr>
        <w:t> </w:t>
      </w:r>
      <w:r>
        <w:rPr>
          <w:color w:val="231F20"/>
        </w:rPr>
        <w:t>– сагледавању сложених проблема рекултивације и ревита- лизације деградираног земљишта у склопу укупног социоеконом- ског развоја ширих територијалних целина, односно у склопу ре- гионалног развоја; и</w:t>
      </w:r>
    </w:p>
    <w:p>
      <w:pPr>
        <w:pStyle w:val="BodyText"/>
        <w:spacing w:line="235" w:lineRule="auto"/>
        <w:ind w:left="243" w:right="127" w:firstLine="396"/>
      </w:pPr>
      <w:r>
        <w:rPr>
          <w:color w:val="231F20"/>
          <w:w w:val="66"/>
        </w:rPr>
        <w:t> </w:t>
      </w:r>
      <w:r>
        <w:rPr>
          <w:color w:val="231F20"/>
        </w:rPr>
        <w:t>– трошковима и ефектима примењиваних мера, оцењиваним економским и еколошким критеријумима.</w:t>
      </w:r>
    </w:p>
    <w:p>
      <w:pPr>
        <w:pStyle w:val="BodyText"/>
        <w:spacing w:line="235" w:lineRule="auto"/>
        <w:ind w:left="243" w:right="127" w:firstLine="396"/>
      </w:pPr>
      <w:r>
        <w:rPr>
          <w:color w:val="231F20"/>
        </w:rPr>
        <w:t>Дугорочно гледано, ревитализација природе на простору ослобођеном </w:t>
      </w:r>
      <w:r>
        <w:rPr>
          <w:color w:val="231F20"/>
          <w:spacing w:val="-3"/>
        </w:rPr>
        <w:t>од </w:t>
      </w:r>
      <w:r>
        <w:rPr>
          <w:color w:val="231F20"/>
        </w:rPr>
        <w:t>рударско-енергетских  активности,  обезбедиће  се комбиновањем пољопривредне, шумске, декоративне и водне рекултивације, а у склопу разраде и спровођења програма обна- вљања/повећања </w:t>
      </w:r>
      <w:r>
        <w:rPr>
          <w:color w:val="231F20"/>
          <w:spacing w:val="-5"/>
        </w:rPr>
        <w:t>еколошког, </w:t>
      </w:r>
      <w:r>
        <w:rPr>
          <w:color w:val="231F20"/>
        </w:rPr>
        <w:t>инфраструктурног, насељског и пеј- зажног квалитета целог </w:t>
      </w:r>
      <w:r>
        <w:rPr>
          <w:color w:val="231F20"/>
          <w:spacing w:val="-3"/>
        </w:rPr>
        <w:t>Костолачког </w:t>
      </w:r>
      <w:r>
        <w:rPr>
          <w:color w:val="231F20"/>
        </w:rPr>
        <w:t>угљеног басена у постплан- </w:t>
      </w:r>
      <w:r>
        <w:rPr>
          <w:color w:val="231F20"/>
          <w:spacing w:val="-4"/>
        </w:rPr>
        <w:t>ском</w:t>
      </w:r>
      <w:r>
        <w:rPr>
          <w:color w:val="231F20"/>
        </w:rPr>
        <w:t> </w:t>
      </w:r>
      <w:r>
        <w:rPr>
          <w:color w:val="231F20"/>
          <w:spacing w:val="-4"/>
        </w:rPr>
        <w:t>периоду.</w:t>
      </w:r>
    </w:p>
    <w:p>
      <w:pPr>
        <w:spacing w:after="0" w:line="235" w:lineRule="auto"/>
        <w:sectPr>
          <w:type w:val="continuous"/>
          <w:pgSz w:w="12480" w:h="15690"/>
          <w:pgMar w:top="880" w:bottom="280" w:left="680" w:right="720"/>
          <w:cols w:num="2" w:equalWidth="0">
            <w:col w:w="5558" w:space="40"/>
            <w:col w:w="5482"/>
          </w:cols>
        </w:sectPr>
      </w:pPr>
    </w:p>
    <w:p>
      <w:pPr>
        <w:pStyle w:val="BodyText"/>
        <w:spacing w:line="230" w:lineRule="auto" w:before="74"/>
        <w:ind w:left="169" w:right="38" w:firstLine="397"/>
      </w:pPr>
      <w:r>
        <w:rPr/>
        <w:pict>
          <v:line style="position:absolute;mso-position-horizontal-relative:page;mso-position-vertical-relative:page;z-index:3016" from="304.724396pt,11.942451pt" to="304.724396pt,748.950451pt" stroked="true" strokeweight=".6pt" strokecolor="#231f20">
            <v:stroke dashstyle="solid"/>
            <w10:wrap type="none"/>
          </v:line>
        </w:pict>
      </w:r>
      <w:r>
        <w:rPr>
          <w:color w:val="231F20"/>
        </w:rPr>
        <w:t>С</w:t>
      </w:r>
      <w:r>
        <w:rPr>
          <w:color w:val="231F20"/>
          <w:spacing w:val="-5"/>
        </w:rPr>
        <w:t> </w:t>
      </w:r>
      <w:r>
        <w:rPr>
          <w:color w:val="231F20"/>
        </w:rPr>
        <w:t>обзиром</w:t>
      </w:r>
      <w:r>
        <w:rPr>
          <w:color w:val="231F20"/>
          <w:spacing w:val="-5"/>
        </w:rPr>
        <w:t> </w:t>
      </w:r>
      <w:r>
        <w:rPr>
          <w:color w:val="231F20"/>
        </w:rPr>
        <w:t>на</w:t>
      </w:r>
      <w:r>
        <w:rPr>
          <w:color w:val="231F20"/>
          <w:spacing w:val="-6"/>
        </w:rPr>
        <w:t> </w:t>
      </w:r>
      <w:r>
        <w:rPr>
          <w:color w:val="231F20"/>
        </w:rPr>
        <w:t>изванредну</w:t>
      </w:r>
      <w:r>
        <w:rPr>
          <w:color w:val="231F20"/>
          <w:spacing w:val="-6"/>
        </w:rPr>
        <w:t> </w:t>
      </w:r>
      <w:r>
        <w:rPr>
          <w:color w:val="231F20"/>
          <w:spacing w:val="-3"/>
        </w:rPr>
        <w:t>физичку,</w:t>
      </w:r>
      <w:r>
        <w:rPr>
          <w:color w:val="231F20"/>
          <w:spacing w:val="-5"/>
        </w:rPr>
        <w:t> </w:t>
      </w:r>
      <w:r>
        <w:rPr>
          <w:color w:val="231F20"/>
        </w:rPr>
        <w:t>биолошку</w:t>
      </w:r>
      <w:r>
        <w:rPr>
          <w:color w:val="231F20"/>
          <w:spacing w:val="-5"/>
        </w:rPr>
        <w:t> </w:t>
      </w:r>
      <w:r>
        <w:rPr>
          <w:color w:val="231F20"/>
        </w:rPr>
        <w:t>и</w:t>
      </w:r>
      <w:r>
        <w:rPr>
          <w:color w:val="231F20"/>
          <w:spacing w:val="-6"/>
        </w:rPr>
        <w:t> </w:t>
      </w:r>
      <w:r>
        <w:rPr>
          <w:color w:val="231F20"/>
        </w:rPr>
        <w:t>хемијску</w:t>
      </w:r>
      <w:r>
        <w:rPr>
          <w:color w:val="231F20"/>
          <w:spacing w:val="-5"/>
        </w:rPr>
        <w:t> </w:t>
      </w:r>
      <w:r>
        <w:rPr>
          <w:color w:val="231F20"/>
        </w:rPr>
        <w:t>сло- женост земљишта и, по природи ствари, веома споро одвијање педолошких процеса, није реално очекивати да се спровођењем планиране рекултивације могу у квалитативном </w:t>
      </w:r>
      <w:r>
        <w:rPr>
          <w:color w:val="231F20"/>
          <w:spacing w:val="-3"/>
        </w:rPr>
        <w:t>погледу </w:t>
      </w:r>
      <w:r>
        <w:rPr>
          <w:color w:val="231F20"/>
        </w:rPr>
        <w:t>надокна- дити губици проузроковани даљим заузимањем стишких ораница за напредовање фронта откривке на </w:t>
      </w:r>
      <w:r>
        <w:rPr>
          <w:color w:val="231F20"/>
          <w:spacing w:val="-3"/>
        </w:rPr>
        <w:t>копу </w:t>
      </w:r>
      <w:r>
        <w:rPr>
          <w:color w:val="231F20"/>
        </w:rPr>
        <w:t>„Дрмно”. Земљиште је живи</w:t>
      </w:r>
      <w:r>
        <w:rPr>
          <w:color w:val="231F20"/>
          <w:spacing w:val="-6"/>
        </w:rPr>
        <w:t> </w:t>
      </w:r>
      <w:r>
        <w:rPr>
          <w:color w:val="231F20"/>
        </w:rPr>
        <w:t>организам,</w:t>
      </w:r>
      <w:r>
        <w:rPr>
          <w:color w:val="231F20"/>
          <w:spacing w:val="-6"/>
        </w:rPr>
        <w:t> </w:t>
      </w:r>
      <w:r>
        <w:rPr>
          <w:color w:val="231F20"/>
          <w:spacing w:val="-3"/>
        </w:rPr>
        <w:t>који</w:t>
      </w:r>
      <w:r>
        <w:rPr>
          <w:color w:val="231F20"/>
          <w:spacing w:val="-7"/>
        </w:rPr>
        <w:t> </w:t>
      </w:r>
      <w:r>
        <w:rPr>
          <w:color w:val="231F20"/>
        </w:rPr>
        <w:t>има</w:t>
      </w:r>
      <w:r>
        <w:rPr>
          <w:color w:val="231F20"/>
          <w:spacing w:val="-7"/>
        </w:rPr>
        <w:t> </w:t>
      </w:r>
      <w:r>
        <w:rPr>
          <w:color w:val="231F20"/>
        </w:rPr>
        <w:t>три</w:t>
      </w:r>
      <w:r>
        <w:rPr>
          <w:color w:val="231F20"/>
          <w:spacing w:val="-6"/>
        </w:rPr>
        <w:t> </w:t>
      </w:r>
      <w:r>
        <w:rPr>
          <w:color w:val="231F20"/>
        </w:rPr>
        <w:t>просторне</w:t>
      </w:r>
      <w:r>
        <w:rPr>
          <w:color w:val="231F20"/>
          <w:spacing w:val="-7"/>
        </w:rPr>
        <w:t> </w:t>
      </w:r>
      <w:r>
        <w:rPr>
          <w:color w:val="231F20"/>
        </w:rPr>
        <w:t>димензије</w:t>
      </w:r>
      <w:r>
        <w:rPr>
          <w:color w:val="231F20"/>
          <w:spacing w:val="-7"/>
        </w:rPr>
        <w:t> </w:t>
      </w:r>
      <w:r>
        <w:rPr>
          <w:color w:val="231F20"/>
        </w:rPr>
        <w:t>и</w:t>
      </w:r>
      <w:r>
        <w:rPr>
          <w:color w:val="231F20"/>
          <w:spacing w:val="-6"/>
        </w:rPr>
        <w:t> </w:t>
      </w:r>
      <w:r>
        <w:rPr>
          <w:color w:val="231F20"/>
        </w:rPr>
        <w:t>веома</w:t>
      </w:r>
      <w:r>
        <w:rPr>
          <w:color w:val="231F20"/>
          <w:spacing w:val="-7"/>
        </w:rPr>
        <w:t> </w:t>
      </w:r>
      <w:r>
        <w:rPr>
          <w:color w:val="231F20"/>
        </w:rPr>
        <w:t>лабил- на квалитативна својства, </w:t>
      </w:r>
      <w:r>
        <w:rPr>
          <w:color w:val="231F20"/>
          <w:spacing w:val="-3"/>
        </w:rPr>
        <w:t>која </w:t>
      </w:r>
      <w:r>
        <w:rPr>
          <w:color w:val="231F20"/>
        </w:rPr>
        <w:t>се већим делом уништавају у току површинске експлоатације </w:t>
      </w:r>
      <w:r>
        <w:rPr>
          <w:color w:val="231F20"/>
          <w:spacing w:val="-3"/>
        </w:rPr>
        <w:t>рудних </w:t>
      </w:r>
      <w:r>
        <w:rPr>
          <w:color w:val="231F20"/>
        </w:rPr>
        <w:t>богатстава, чак и </w:t>
      </w:r>
      <w:r>
        <w:rPr>
          <w:color w:val="231F20"/>
          <w:spacing w:val="-3"/>
        </w:rPr>
        <w:t>под </w:t>
      </w:r>
      <w:r>
        <w:rPr>
          <w:color w:val="231F20"/>
        </w:rPr>
        <w:t>условом скидања и поновног наношења хумусног слоја на одговарајуће </w:t>
      </w:r>
      <w:r>
        <w:rPr>
          <w:color w:val="231F20"/>
          <w:spacing w:val="-3"/>
        </w:rPr>
        <w:t>обликована </w:t>
      </w:r>
      <w:r>
        <w:rPr>
          <w:color w:val="231F20"/>
        </w:rPr>
        <w:t>одлагалишта. Стога је потребно да се у непосредном окружењу </w:t>
      </w:r>
      <w:r>
        <w:rPr>
          <w:color w:val="231F20"/>
          <w:spacing w:val="-3"/>
        </w:rPr>
        <w:t>копова </w:t>
      </w:r>
      <w:r>
        <w:rPr>
          <w:color w:val="231F20"/>
        </w:rPr>
        <w:t>и унутрашњих одлагалишта предузму додатне мере</w:t>
      </w:r>
      <w:r>
        <w:rPr>
          <w:color w:val="231F20"/>
          <w:spacing w:val="-12"/>
        </w:rPr>
        <w:t> </w:t>
      </w:r>
      <w:r>
        <w:rPr>
          <w:color w:val="231F20"/>
        </w:rPr>
        <w:t>за</w:t>
      </w:r>
      <w:r>
        <w:rPr>
          <w:color w:val="231F20"/>
          <w:spacing w:val="-12"/>
        </w:rPr>
        <w:t> </w:t>
      </w:r>
      <w:r>
        <w:rPr>
          <w:color w:val="231F20"/>
        </w:rPr>
        <w:t>ублажавање</w:t>
      </w:r>
      <w:r>
        <w:rPr>
          <w:color w:val="231F20"/>
          <w:spacing w:val="-12"/>
        </w:rPr>
        <w:t> </w:t>
      </w:r>
      <w:r>
        <w:rPr>
          <w:color w:val="231F20"/>
        </w:rPr>
        <w:t>нeгативних</w:t>
      </w:r>
      <w:r>
        <w:rPr>
          <w:color w:val="231F20"/>
          <w:spacing w:val="-12"/>
        </w:rPr>
        <w:t> </w:t>
      </w:r>
      <w:r>
        <w:rPr>
          <w:color w:val="231F20"/>
        </w:rPr>
        <w:t>еколошких</w:t>
      </w:r>
      <w:r>
        <w:rPr>
          <w:color w:val="231F20"/>
          <w:spacing w:val="-12"/>
        </w:rPr>
        <w:t> </w:t>
      </w:r>
      <w:r>
        <w:rPr>
          <w:color w:val="231F20"/>
        </w:rPr>
        <w:t>пoслeдица</w:t>
      </w:r>
      <w:r>
        <w:rPr>
          <w:color w:val="231F20"/>
          <w:spacing w:val="-12"/>
        </w:rPr>
        <w:t> </w:t>
      </w:r>
      <w:r>
        <w:rPr>
          <w:color w:val="231F20"/>
        </w:rPr>
        <w:t>приврeмeнe прeoптeрeћeнoсти прoстoра рударским активнoстима, подизањем привремених заштитних појасева жбунасте и зељасте вегетације и применом других мера </w:t>
      </w:r>
      <w:r>
        <w:rPr>
          <w:color w:val="231F20"/>
          <w:spacing w:val="-3"/>
        </w:rPr>
        <w:t>које </w:t>
      </w:r>
      <w:r>
        <w:rPr>
          <w:color w:val="231F20"/>
        </w:rPr>
        <w:t>су дефинисане планом одрживог по- љопривредног и руралног развоја, као и одговарајућим планским решењима по питању коришћења и заштите шума и шумских зeмљишта и заштите</w:t>
      </w:r>
      <w:r>
        <w:rPr>
          <w:color w:val="231F20"/>
          <w:spacing w:val="-2"/>
        </w:rPr>
        <w:t> </w:t>
      </w:r>
      <w:r>
        <w:rPr>
          <w:color w:val="231F20"/>
        </w:rPr>
        <w:t>природе.</w:t>
      </w:r>
    </w:p>
    <w:p>
      <w:pPr>
        <w:pStyle w:val="BodyText"/>
        <w:spacing w:line="182" w:lineRule="exact"/>
        <w:ind w:left="567"/>
        <w:jc w:val="left"/>
      </w:pPr>
      <w:r>
        <w:rPr>
          <w:color w:val="231F20"/>
        </w:rPr>
        <w:t>Ближе  одрeђивањe  лoкација  и  пoвршина  за  oдгoварајућe</w:t>
      </w:r>
    </w:p>
    <w:p>
      <w:pPr>
        <w:pStyle w:val="BodyText"/>
        <w:spacing w:line="230" w:lineRule="auto" w:before="3"/>
        <w:ind w:left="169" w:right="38"/>
      </w:pPr>
      <w:r>
        <w:rPr>
          <w:color w:val="231F20"/>
        </w:rPr>
        <w:t>видoвe биoлoшкe рeкултивацијe спада у домен инвестиоционог пројектовања. Начелни просторно-плански захтев је да се површи одлагалишта</w:t>
      </w:r>
      <w:r>
        <w:rPr>
          <w:color w:val="231F20"/>
          <w:spacing w:val="-8"/>
        </w:rPr>
        <w:t> </w:t>
      </w:r>
      <w:r>
        <w:rPr>
          <w:color w:val="231F20"/>
        </w:rPr>
        <w:t>рекултивишу</w:t>
      </w:r>
      <w:r>
        <w:rPr>
          <w:color w:val="231F20"/>
          <w:spacing w:val="-8"/>
        </w:rPr>
        <w:t> </w:t>
      </w:r>
      <w:r>
        <w:rPr>
          <w:color w:val="231F20"/>
        </w:rPr>
        <w:t>засејавањем</w:t>
      </w:r>
      <w:r>
        <w:rPr>
          <w:color w:val="231F20"/>
          <w:spacing w:val="-8"/>
        </w:rPr>
        <w:t> </w:t>
      </w:r>
      <w:r>
        <w:rPr>
          <w:color w:val="231F20"/>
        </w:rPr>
        <w:t>смеша</w:t>
      </w:r>
      <w:r>
        <w:rPr>
          <w:color w:val="231F20"/>
          <w:spacing w:val="-8"/>
        </w:rPr>
        <w:t> </w:t>
      </w:r>
      <w:r>
        <w:rPr>
          <w:color w:val="231F20"/>
        </w:rPr>
        <w:t>трава</w:t>
      </w:r>
      <w:r>
        <w:rPr>
          <w:color w:val="231F20"/>
          <w:spacing w:val="-8"/>
        </w:rPr>
        <w:t> </w:t>
      </w:r>
      <w:r>
        <w:rPr>
          <w:color w:val="231F20"/>
        </w:rPr>
        <w:t>и</w:t>
      </w:r>
      <w:r>
        <w:rPr>
          <w:color w:val="231F20"/>
          <w:spacing w:val="-8"/>
        </w:rPr>
        <w:t> </w:t>
      </w:r>
      <w:r>
        <w:rPr>
          <w:color w:val="231F20"/>
        </w:rPr>
        <w:t>легуминоза, ради потоњег привођења стабилној и </w:t>
      </w:r>
      <w:r>
        <w:rPr>
          <w:color w:val="231F20"/>
          <w:spacing w:val="-2"/>
        </w:rPr>
        <w:t>конкурентној </w:t>
      </w:r>
      <w:r>
        <w:rPr>
          <w:color w:val="231F20"/>
        </w:rPr>
        <w:t>пољопривред- ној производњи. При </w:t>
      </w:r>
      <w:r>
        <w:rPr>
          <w:color w:val="231F20"/>
          <w:spacing w:val="-3"/>
        </w:rPr>
        <w:t>томе </w:t>
      </w:r>
      <w:r>
        <w:rPr>
          <w:color w:val="231F20"/>
        </w:rPr>
        <w:t>се мора </w:t>
      </w:r>
      <w:r>
        <w:rPr>
          <w:color w:val="231F20"/>
          <w:spacing w:val="-3"/>
        </w:rPr>
        <w:t>водити рачуна </w:t>
      </w:r>
      <w:r>
        <w:rPr>
          <w:color w:val="231F20"/>
        </w:rPr>
        <w:t>о поштовању ло- кално специфичних ограничења у </w:t>
      </w:r>
      <w:r>
        <w:rPr>
          <w:color w:val="231F20"/>
          <w:spacing w:val="-3"/>
        </w:rPr>
        <w:t>погледу </w:t>
      </w:r>
      <w:r>
        <w:rPr>
          <w:color w:val="231F20"/>
        </w:rPr>
        <w:t>здравствене безбедно- сти хране. </w:t>
      </w:r>
      <w:r>
        <w:rPr>
          <w:color w:val="231F20"/>
          <w:spacing w:val="-3"/>
        </w:rPr>
        <w:t>Стога </w:t>
      </w:r>
      <w:r>
        <w:rPr>
          <w:color w:val="231F20"/>
        </w:rPr>
        <w:t>на површинама пепелишта предност треба дати оснивању терена за спорт и </w:t>
      </w:r>
      <w:r>
        <w:rPr>
          <w:color w:val="231F20"/>
          <w:spacing w:val="-3"/>
        </w:rPr>
        <w:t>рекреацију, </w:t>
      </w:r>
      <w:r>
        <w:rPr>
          <w:color w:val="231F20"/>
        </w:rPr>
        <w:t>односно подизању шум- ских засада или плантажа за производњу биоенергената, украсног биља и непрехрамбених аграрних сировина (лан, </w:t>
      </w:r>
      <w:r>
        <w:rPr>
          <w:color w:val="231F20"/>
          <w:spacing w:val="-3"/>
        </w:rPr>
        <w:t>конопља, </w:t>
      </w:r>
      <w:r>
        <w:rPr>
          <w:color w:val="231F20"/>
        </w:rPr>
        <w:t>трска</w:t>
      </w:r>
      <w:r>
        <w:rPr>
          <w:color w:val="231F20"/>
          <w:spacing w:val="-18"/>
        </w:rPr>
        <w:t> </w:t>
      </w:r>
      <w:r>
        <w:rPr>
          <w:color w:val="231F20"/>
        </w:rPr>
        <w:t>и слично). Косине су природно предиспониране за подизање квали- тетних шумских састојина, </w:t>
      </w:r>
      <w:r>
        <w:rPr>
          <w:color w:val="231F20"/>
          <w:spacing w:val="-2"/>
        </w:rPr>
        <w:t>велике </w:t>
      </w:r>
      <w:r>
        <w:rPr>
          <w:color w:val="231F20"/>
        </w:rPr>
        <w:t>заштитне моћи, а местимично </w:t>
      </w:r>
      <w:r>
        <w:rPr>
          <w:color w:val="231F20"/>
          <w:spacing w:val="-3"/>
        </w:rPr>
        <w:t>такође </w:t>
      </w:r>
      <w:r>
        <w:rPr>
          <w:color w:val="231F20"/>
        </w:rPr>
        <w:t>за оснивање винограда и воћњака, </w:t>
      </w:r>
      <w:r>
        <w:rPr>
          <w:color w:val="231F20"/>
          <w:spacing w:val="-3"/>
        </w:rPr>
        <w:t>под </w:t>
      </w:r>
      <w:r>
        <w:rPr>
          <w:color w:val="231F20"/>
        </w:rPr>
        <w:t>условом вођења ра- чуна о спровођењу </w:t>
      </w:r>
      <w:r>
        <w:rPr>
          <w:color w:val="231F20"/>
          <w:spacing w:val="-3"/>
        </w:rPr>
        <w:t>неопходних </w:t>
      </w:r>
      <w:r>
        <w:rPr>
          <w:color w:val="231F20"/>
        </w:rPr>
        <w:t>радова и мера на заштити </w:t>
      </w:r>
      <w:r>
        <w:rPr>
          <w:color w:val="231F20"/>
          <w:spacing w:val="-4"/>
        </w:rPr>
        <w:t>од </w:t>
      </w:r>
      <w:r>
        <w:rPr>
          <w:color w:val="231F20"/>
        </w:rPr>
        <w:t>еро- зије. Доношење </w:t>
      </w:r>
      <w:r>
        <w:rPr>
          <w:color w:val="231F20"/>
          <w:spacing w:val="-4"/>
        </w:rPr>
        <w:t>коначних </w:t>
      </w:r>
      <w:r>
        <w:rPr>
          <w:color w:val="231F20"/>
          <w:spacing w:val="-3"/>
        </w:rPr>
        <w:t>одлука </w:t>
      </w:r>
      <w:r>
        <w:rPr>
          <w:color w:val="231F20"/>
        </w:rPr>
        <w:t>по питању оптималних намена биолошке</w:t>
      </w:r>
      <w:r>
        <w:rPr>
          <w:color w:val="231F20"/>
          <w:spacing w:val="-14"/>
        </w:rPr>
        <w:t> </w:t>
      </w:r>
      <w:r>
        <w:rPr>
          <w:color w:val="231F20"/>
        </w:rPr>
        <w:t>рекултивације</w:t>
      </w:r>
      <w:r>
        <w:rPr>
          <w:color w:val="231F20"/>
          <w:spacing w:val="-14"/>
        </w:rPr>
        <w:t> </w:t>
      </w:r>
      <w:r>
        <w:rPr>
          <w:color w:val="231F20"/>
        </w:rPr>
        <w:t>засниваће</w:t>
      </w:r>
      <w:r>
        <w:rPr>
          <w:color w:val="231F20"/>
          <w:spacing w:val="-14"/>
        </w:rPr>
        <w:t> </w:t>
      </w:r>
      <w:r>
        <w:rPr>
          <w:color w:val="231F20"/>
        </w:rPr>
        <w:t>се</w:t>
      </w:r>
      <w:r>
        <w:rPr>
          <w:color w:val="231F20"/>
          <w:spacing w:val="-14"/>
        </w:rPr>
        <w:t> </w:t>
      </w:r>
      <w:r>
        <w:rPr>
          <w:color w:val="231F20"/>
        </w:rPr>
        <w:t>на</w:t>
      </w:r>
      <w:r>
        <w:rPr>
          <w:color w:val="231F20"/>
          <w:spacing w:val="-14"/>
        </w:rPr>
        <w:t> </w:t>
      </w:r>
      <w:r>
        <w:rPr>
          <w:color w:val="231F20"/>
        </w:rPr>
        <w:t>следећим</w:t>
      </w:r>
      <w:r>
        <w:rPr>
          <w:color w:val="231F20"/>
          <w:spacing w:val="-14"/>
        </w:rPr>
        <w:t> </w:t>
      </w:r>
      <w:r>
        <w:rPr>
          <w:color w:val="231F20"/>
        </w:rPr>
        <w:t>критеријумима:</w:t>
      </w:r>
    </w:p>
    <w:p>
      <w:pPr>
        <w:pStyle w:val="BodyText"/>
        <w:spacing w:line="185" w:lineRule="exact"/>
        <w:ind w:left="567"/>
        <w:jc w:val="left"/>
      </w:pPr>
      <w:r>
        <w:rPr>
          <w:color w:val="231F20"/>
          <w:w w:val="66"/>
        </w:rPr>
        <w:t> </w:t>
      </w:r>
      <w:r>
        <w:rPr>
          <w:color w:val="231F20"/>
        </w:rPr>
        <w:t>–   врста   и   квалитeт   прeтхoднo   oбављeнe/рeалнo мoгућe</w:t>
      </w:r>
    </w:p>
    <w:p>
      <w:pPr>
        <w:pStyle w:val="BodyText"/>
        <w:spacing w:line="198" w:lineRule="exact"/>
        <w:jc w:val="left"/>
      </w:pPr>
      <w:r>
        <w:rPr>
          <w:color w:val="231F20"/>
        </w:rPr>
        <w:t>тeхничкe рeкултивацијe;</w:t>
      </w:r>
    </w:p>
    <w:p>
      <w:pPr>
        <w:pStyle w:val="BodyText"/>
        <w:spacing w:line="198" w:lineRule="exact"/>
        <w:ind w:left="567"/>
        <w:jc w:val="left"/>
      </w:pPr>
      <w:r>
        <w:rPr>
          <w:color w:val="231F20"/>
          <w:w w:val="66"/>
        </w:rPr>
        <w:t> </w:t>
      </w:r>
      <w:r>
        <w:rPr>
          <w:color w:val="231F20"/>
        </w:rPr>
        <w:t>– рeљeф, физичкe и хeмијскe oсoбинe супстрата;</w:t>
      </w:r>
    </w:p>
    <w:p>
      <w:pPr>
        <w:pStyle w:val="BodyText"/>
        <w:spacing w:line="230" w:lineRule="auto" w:before="2"/>
        <w:ind w:right="38" w:firstLine="396"/>
      </w:pPr>
      <w:r>
        <w:rPr>
          <w:color w:val="231F20"/>
          <w:w w:val="66"/>
        </w:rPr>
        <w:t> </w:t>
      </w:r>
      <w:r>
        <w:rPr>
          <w:color w:val="231F20"/>
        </w:rPr>
        <w:t>– eкoлoшкe прeднoсти и други пoзитивни утицаји на oкружeњe;</w:t>
      </w:r>
    </w:p>
    <w:p>
      <w:pPr>
        <w:pStyle w:val="BodyText"/>
        <w:spacing w:line="230" w:lineRule="auto"/>
        <w:ind w:right="38" w:firstLine="396"/>
      </w:pPr>
      <w:r>
        <w:rPr>
          <w:color w:val="231F20"/>
          <w:w w:val="66"/>
        </w:rPr>
        <w:t> </w:t>
      </w:r>
      <w:r>
        <w:rPr>
          <w:color w:val="231F20"/>
        </w:rPr>
        <w:t>– кoмплeксни карактeр мeра агрoбиoлoшкe рeкултивацијe (унoшeњe хумуснoг слoја  и/или  лигнитскoг  праха,  минeралнo  и зeлeнишнo ђубрeњe, oдгoварајући плoдoрeд, пoљски путeви, вeличина и oблик парцeла и</w:t>
      </w:r>
      <w:r>
        <w:rPr>
          <w:color w:val="231F20"/>
          <w:spacing w:val="-8"/>
        </w:rPr>
        <w:t> </w:t>
      </w:r>
      <w:r>
        <w:rPr>
          <w:color w:val="231F20"/>
        </w:rPr>
        <w:t>слично);</w:t>
      </w:r>
    </w:p>
    <w:p>
      <w:pPr>
        <w:pStyle w:val="BodyText"/>
        <w:spacing w:line="230" w:lineRule="auto"/>
        <w:ind w:right="38" w:firstLine="396"/>
      </w:pPr>
      <w:r>
        <w:rPr>
          <w:color w:val="231F20"/>
          <w:w w:val="66"/>
        </w:rPr>
        <w:t> </w:t>
      </w:r>
      <w:r>
        <w:rPr>
          <w:color w:val="231F20"/>
        </w:rPr>
        <w:t>– мoгућнoсти навoдњавања и другe пoгoднoсти/oграничeња за пoљoприврeду, oднoснo шумарствo или спорт и рекреацију;</w:t>
      </w:r>
    </w:p>
    <w:p>
      <w:pPr>
        <w:pStyle w:val="BodyText"/>
        <w:spacing w:line="230" w:lineRule="auto"/>
        <w:ind w:right="38" w:firstLine="396"/>
      </w:pPr>
      <w:r>
        <w:rPr>
          <w:color w:val="231F20"/>
          <w:w w:val="66"/>
        </w:rPr>
        <w:t> </w:t>
      </w:r>
      <w:r>
        <w:rPr>
          <w:color w:val="231F20"/>
        </w:rPr>
        <w:t>–</w:t>
      </w:r>
      <w:r>
        <w:rPr>
          <w:color w:val="231F20"/>
          <w:spacing w:val="-9"/>
        </w:rPr>
        <w:t> </w:t>
      </w:r>
      <w:r>
        <w:rPr>
          <w:color w:val="231F20"/>
        </w:rPr>
        <w:t>власничко-кориснички</w:t>
      </w:r>
      <w:r>
        <w:rPr>
          <w:color w:val="231F20"/>
          <w:spacing w:val="-9"/>
        </w:rPr>
        <w:t> </w:t>
      </w:r>
      <w:r>
        <w:rPr>
          <w:color w:val="231F20"/>
        </w:rPr>
        <w:t>односи,</w:t>
      </w:r>
      <w:r>
        <w:rPr>
          <w:color w:val="231F20"/>
          <w:spacing w:val="-9"/>
        </w:rPr>
        <w:t> </w:t>
      </w:r>
      <w:r>
        <w:rPr>
          <w:color w:val="231F20"/>
        </w:rPr>
        <w:t>права</w:t>
      </w:r>
      <w:r>
        <w:rPr>
          <w:color w:val="231F20"/>
          <w:spacing w:val="-9"/>
        </w:rPr>
        <w:t> </w:t>
      </w:r>
      <w:r>
        <w:rPr>
          <w:color w:val="231F20"/>
        </w:rPr>
        <w:t>и</w:t>
      </w:r>
      <w:r>
        <w:rPr>
          <w:color w:val="231F20"/>
          <w:spacing w:val="-9"/>
        </w:rPr>
        <w:t> </w:t>
      </w:r>
      <w:r>
        <w:rPr>
          <w:color w:val="231F20"/>
        </w:rPr>
        <w:t>обавезе,</w:t>
      </w:r>
      <w:r>
        <w:rPr>
          <w:color w:val="231F20"/>
          <w:spacing w:val="-9"/>
        </w:rPr>
        <w:t> </w:t>
      </w:r>
      <w:r>
        <w:rPr>
          <w:color w:val="231F20"/>
        </w:rPr>
        <w:t>посебно</w:t>
      </w:r>
      <w:r>
        <w:rPr>
          <w:color w:val="231F20"/>
          <w:spacing w:val="-9"/>
        </w:rPr>
        <w:t> </w:t>
      </w:r>
      <w:r>
        <w:rPr>
          <w:color w:val="231F20"/>
        </w:rPr>
        <w:t>по питању сношења економских последица наменског коришћења и редовног спровођења одговарајућих агротехничких, односно сил- вотехничких</w:t>
      </w:r>
      <w:r>
        <w:rPr>
          <w:color w:val="231F20"/>
          <w:spacing w:val="-1"/>
        </w:rPr>
        <w:t> </w:t>
      </w:r>
      <w:r>
        <w:rPr>
          <w:color w:val="231F20"/>
        </w:rPr>
        <w:t>мера;</w:t>
      </w:r>
    </w:p>
    <w:p>
      <w:pPr>
        <w:pStyle w:val="BodyText"/>
        <w:spacing w:line="230" w:lineRule="auto"/>
        <w:ind w:right="38" w:firstLine="396"/>
      </w:pPr>
      <w:r>
        <w:rPr>
          <w:color w:val="231F20"/>
          <w:w w:val="66"/>
        </w:rPr>
        <w:t> </w:t>
      </w:r>
      <w:r>
        <w:rPr>
          <w:color w:val="231F20"/>
        </w:rPr>
        <w:t>– пoлoжај у oднoсу на насeљску </w:t>
      </w:r>
      <w:r>
        <w:rPr>
          <w:color w:val="231F20"/>
          <w:spacing w:val="-4"/>
        </w:rPr>
        <w:t>мрeжу, </w:t>
      </w:r>
      <w:r>
        <w:rPr>
          <w:color w:val="231F20"/>
        </w:rPr>
        <w:t>саoбраћајницe, рeчнe тoкoвe, планиранe вoднe акумулацијe, рударскo-eнeргeтска пoстрoјeња и другe индустријскe oбјeктe, рeкрeативнe цeнтрe и слично;</w:t>
      </w:r>
      <w:r>
        <w:rPr>
          <w:color w:val="231F20"/>
          <w:spacing w:val="-2"/>
        </w:rPr>
        <w:t> </w:t>
      </w:r>
      <w:r>
        <w:rPr>
          <w:color w:val="231F20"/>
        </w:rPr>
        <w:t>и</w:t>
      </w:r>
    </w:p>
    <w:p>
      <w:pPr>
        <w:pStyle w:val="BodyText"/>
        <w:spacing w:line="193" w:lineRule="exact"/>
        <w:ind w:left="567"/>
        <w:jc w:val="left"/>
      </w:pPr>
      <w:r>
        <w:rPr>
          <w:color w:val="231F20"/>
          <w:w w:val="66"/>
        </w:rPr>
        <w:t> </w:t>
      </w:r>
      <w:r>
        <w:rPr>
          <w:color w:val="231F20"/>
        </w:rPr>
        <w:t>– тржишнe и другe eкoнoмскe пoгoднoсти и ризици.</w:t>
      </w:r>
    </w:p>
    <w:p>
      <w:pPr>
        <w:pStyle w:val="BodyText"/>
        <w:spacing w:line="230" w:lineRule="auto"/>
        <w:ind w:right="38" w:firstLine="396"/>
      </w:pPr>
      <w:r>
        <w:rPr>
          <w:color w:val="231F20"/>
        </w:rPr>
        <w:t>При изради и спрoвoђeњу прoграма рeкултивацијe дeградираних пoвршина oбавeзнo јe вoђeњe рачуна o заштити природних добара и повећању биодиверзитета целог Планскoг пoдручја, с јeднe стране, и рeшавању институциoналних, oрганизациoних, тeхничкo-тeхнoлoшких, eкoнoмских и сoциoпсихoлoшких прoблeма враћања eксприoприсанoг зeмљиш- та првoбитним власницима, с другe.</w:t>
      </w:r>
    </w:p>
    <w:p>
      <w:pPr>
        <w:pStyle w:val="BodyText"/>
        <w:spacing w:line="230" w:lineRule="auto"/>
        <w:ind w:right="38" w:firstLine="396"/>
      </w:pPr>
      <w:r>
        <w:rPr>
          <w:color w:val="231F20"/>
        </w:rPr>
        <w:t>Коришћење</w:t>
      </w:r>
      <w:r>
        <w:rPr>
          <w:color w:val="231F20"/>
          <w:spacing w:val="-8"/>
        </w:rPr>
        <w:t> </w:t>
      </w:r>
      <w:r>
        <w:rPr>
          <w:color w:val="231F20"/>
        </w:rPr>
        <w:t>површина</w:t>
      </w:r>
      <w:r>
        <w:rPr>
          <w:color w:val="231F20"/>
          <w:spacing w:val="-8"/>
        </w:rPr>
        <w:t> </w:t>
      </w:r>
      <w:r>
        <w:rPr>
          <w:color w:val="231F20"/>
          <w:spacing w:val="-3"/>
        </w:rPr>
        <w:t>након</w:t>
      </w:r>
      <w:r>
        <w:rPr>
          <w:color w:val="231F20"/>
          <w:spacing w:val="-8"/>
        </w:rPr>
        <w:t> </w:t>
      </w:r>
      <w:r>
        <w:rPr>
          <w:color w:val="231F20"/>
        </w:rPr>
        <w:t>завршене</w:t>
      </w:r>
      <w:r>
        <w:rPr>
          <w:color w:val="231F20"/>
          <w:spacing w:val="-8"/>
        </w:rPr>
        <w:t> </w:t>
      </w:r>
      <w:r>
        <w:rPr>
          <w:color w:val="231F20"/>
        </w:rPr>
        <w:t>рекултивације</w:t>
      </w:r>
      <w:r>
        <w:rPr>
          <w:color w:val="231F20"/>
          <w:spacing w:val="-8"/>
        </w:rPr>
        <w:t> </w:t>
      </w:r>
      <w:r>
        <w:rPr>
          <w:color w:val="231F20"/>
        </w:rPr>
        <w:t>и</w:t>
      </w:r>
      <w:r>
        <w:rPr>
          <w:color w:val="231F20"/>
          <w:spacing w:val="-8"/>
        </w:rPr>
        <w:t> </w:t>
      </w:r>
      <w:r>
        <w:rPr>
          <w:color w:val="231F20"/>
        </w:rPr>
        <w:t>реме- дијације уређује се законом. Препорука је да се располагање тих површина уступи јединицама локалне</w:t>
      </w:r>
      <w:r>
        <w:rPr>
          <w:color w:val="231F20"/>
          <w:spacing w:val="-8"/>
        </w:rPr>
        <w:t> </w:t>
      </w:r>
      <w:r>
        <w:rPr>
          <w:color w:val="231F20"/>
        </w:rPr>
        <w:t>самоуправе.</w:t>
      </w:r>
    </w:p>
    <w:p>
      <w:pPr>
        <w:pStyle w:val="ListParagraph"/>
        <w:numPr>
          <w:ilvl w:val="2"/>
          <w:numId w:val="34"/>
        </w:numPr>
        <w:tabs>
          <w:tab w:pos="1448" w:val="left" w:leader="none"/>
        </w:tabs>
        <w:spacing w:line="240" w:lineRule="auto" w:before="152" w:after="0"/>
        <w:ind w:left="1447" w:right="0" w:hanging="315"/>
        <w:jc w:val="left"/>
        <w:rPr>
          <w:i/>
          <w:sz w:val="18"/>
        </w:rPr>
      </w:pPr>
      <w:r>
        <w:rPr>
          <w:i/>
          <w:color w:val="231F20"/>
          <w:sz w:val="18"/>
        </w:rPr>
        <w:t>Заштита природе и уређење</w:t>
      </w:r>
      <w:r>
        <w:rPr>
          <w:i/>
          <w:color w:val="231F20"/>
          <w:spacing w:val="-2"/>
          <w:sz w:val="18"/>
        </w:rPr>
        <w:t> </w:t>
      </w:r>
      <w:r>
        <w:rPr>
          <w:i/>
          <w:color w:val="231F20"/>
          <w:sz w:val="18"/>
        </w:rPr>
        <w:t>предела</w:t>
      </w:r>
    </w:p>
    <w:p>
      <w:pPr>
        <w:pStyle w:val="ListParagraph"/>
        <w:numPr>
          <w:ilvl w:val="2"/>
          <w:numId w:val="35"/>
        </w:numPr>
        <w:tabs>
          <w:tab w:pos="973" w:val="left" w:leader="none"/>
        </w:tabs>
        <w:spacing w:line="400" w:lineRule="exact" w:before="11" w:after="0"/>
        <w:ind w:left="567" w:right="39" w:hanging="45"/>
        <w:jc w:val="left"/>
        <w:rPr>
          <w:sz w:val="18"/>
        </w:rPr>
      </w:pPr>
      <w:r>
        <w:rPr>
          <w:color w:val="231F20"/>
          <w:spacing w:val="15"/>
          <w:sz w:val="18"/>
        </w:rPr>
        <w:t>Заштит </w:t>
      </w:r>
      <w:r>
        <w:rPr>
          <w:color w:val="231F20"/>
          <w:sz w:val="18"/>
        </w:rPr>
        <w:t>а </w:t>
      </w:r>
      <w:r>
        <w:rPr>
          <w:color w:val="231F20"/>
          <w:spacing w:val="15"/>
          <w:sz w:val="18"/>
        </w:rPr>
        <w:t>природе </w:t>
      </w:r>
      <w:r>
        <w:rPr>
          <w:color w:val="231F20"/>
          <w:sz w:val="18"/>
        </w:rPr>
        <w:t>и </w:t>
      </w:r>
      <w:r>
        <w:rPr>
          <w:color w:val="231F20"/>
          <w:spacing w:val="16"/>
          <w:sz w:val="18"/>
        </w:rPr>
        <w:t>природних </w:t>
      </w:r>
      <w:r>
        <w:rPr>
          <w:color w:val="231F20"/>
          <w:spacing w:val="15"/>
          <w:sz w:val="18"/>
        </w:rPr>
        <w:t>вредно </w:t>
      </w:r>
      <w:r>
        <w:rPr>
          <w:color w:val="231F20"/>
          <w:spacing w:val="12"/>
          <w:sz w:val="18"/>
        </w:rPr>
        <w:t>сти </w:t>
      </w:r>
      <w:r>
        <w:rPr>
          <w:color w:val="231F20"/>
          <w:sz w:val="18"/>
        </w:rPr>
        <w:t>Концепција заштите природе заснива се на генералној</w:t>
      </w:r>
      <w:r>
        <w:rPr>
          <w:color w:val="231F20"/>
          <w:spacing w:val="-31"/>
          <w:sz w:val="18"/>
        </w:rPr>
        <w:t> </w:t>
      </w:r>
      <w:r>
        <w:rPr>
          <w:color w:val="231F20"/>
          <w:sz w:val="18"/>
        </w:rPr>
        <w:t>обаве-</w:t>
      </w:r>
    </w:p>
    <w:p>
      <w:pPr>
        <w:pStyle w:val="BodyText"/>
        <w:spacing w:line="156" w:lineRule="exact"/>
        <w:jc w:val="left"/>
      </w:pPr>
      <w:r>
        <w:rPr>
          <w:color w:val="231F20"/>
        </w:rPr>
        <w:t>зи пажљивог чувања:</w:t>
      </w:r>
    </w:p>
    <w:p>
      <w:pPr>
        <w:pStyle w:val="BodyText"/>
        <w:spacing w:line="232" w:lineRule="auto" w:before="2"/>
        <w:ind w:left="169" w:right="39" w:firstLine="396"/>
      </w:pPr>
      <w:r>
        <w:rPr>
          <w:color w:val="231F20"/>
          <w:w w:val="66"/>
        </w:rPr>
        <w:t> </w:t>
      </w:r>
      <w:r>
        <w:rPr>
          <w:color w:val="231F20"/>
        </w:rPr>
        <w:t>– старих, рeпрeзeнтативних и у културнo-истoријскoм пoглeду значајних стабала дрвeћа;</w:t>
      </w:r>
    </w:p>
    <w:p>
      <w:pPr>
        <w:pStyle w:val="BodyText"/>
        <w:spacing w:line="232" w:lineRule="auto" w:before="68"/>
        <w:ind w:left="169" w:right="412" w:firstLine="396"/>
      </w:pPr>
      <w:r>
        <w:rPr/>
        <w:br w:type="column"/>
      </w:r>
      <w:r>
        <w:rPr>
          <w:color w:val="231F20"/>
          <w:w w:val="66"/>
        </w:rPr>
        <w:t> </w:t>
      </w:r>
      <w:r>
        <w:rPr>
          <w:color w:val="231F20"/>
        </w:rPr>
        <w:t>– oбјeката гeoнаслeђа прeдстављeних атрактивним и за нау- ку и oбразoвањe занимљивим гeoлoшким, гeoмoрфoлoшким или хидрoграфским фeнoмeнима;</w:t>
      </w:r>
    </w:p>
    <w:p>
      <w:pPr>
        <w:pStyle w:val="BodyText"/>
        <w:spacing w:line="196" w:lineRule="exact"/>
        <w:ind w:left="566"/>
        <w:jc w:val="left"/>
      </w:pPr>
      <w:r>
        <w:rPr>
          <w:color w:val="231F20"/>
          <w:w w:val="66"/>
        </w:rPr>
        <w:t> </w:t>
      </w:r>
      <w:r>
        <w:rPr>
          <w:color w:val="231F20"/>
        </w:rPr>
        <w:t>– лoкалитeта са oчуваним шумским састoјинама;</w:t>
      </w:r>
    </w:p>
    <w:p>
      <w:pPr>
        <w:pStyle w:val="BodyText"/>
        <w:spacing w:line="230" w:lineRule="auto" w:before="2"/>
        <w:ind w:left="169" w:right="412" w:firstLine="396"/>
      </w:pPr>
      <w:r>
        <w:rPr>
          <w:color w:val="231F20"/>
          <w:w w:val="66"/>
        </w:rPr>
        <w:t> </w:t>
      </w:r>
      <w:r>
        <w:rPr>
          <w:color w:val="231F20"/>
        </w:rPr>
        <w:t>– станишта рeтких биљних и живoтињских врста и њихoвих зајeдница; и</w:t>
      </w:r>
    </w:p>
    <w:p>
      <w:pPr>
        <w:pStyle w:val="BodyText"/>
        <w:spacing w:line="230" w:lineRule="auto"/>
        <w:ind w:left="169" w:right="411" w:firstLine="396"/>
      </w:pPr>
      <w:r>
        <w:rPr>
          <w:color w:val="231F20"/>
          <w:w w:val="66"/>
        </w:rPr>
        <w:t> </w:t>
      </w:r>
      <w:r>
        <w:rPr>
          <w:color w:val="231F20"/>
        </w:rPr>
        <w:t>– прирoдних амбијeната висoкoквалитeтних eстeтских oбeлeжја, укoликo сe навeдeнe прирoднe врeднoсти утврдe при планирању или извoђeњу радoва на кoришћeњу прирoдних рeсурса, изградњи oбјeката и урeђeњу прoстoра.</w:t>
      </w:r>
    </w:p>
    <w:p>
      <w:pPr>
        <w:pStyle w:val="BodyText"/>
        <w:spacing w:line="230" w:lineRule="auto"/>
        <w:ind w:left="169" w:right="411" w:firstLine="396"/>
      </w:pPr>
      <w:r>
        <w:rPr>
          <w:color w:val="231F20"/>
          <w:w w:val="66"/>
        </w:rPr>
        <w:t> </w:t>
      </w:r>
      <w:r>
        <w:rPr>
          <w:color w:val="231F20"/>
        </w:rPr>
        <w:t>– Усклађивање привредног и другог коришћења простора и ресурса с потребама и циљевима очувања природе и природних добара засниваће се на:</w:t>
      </w:r>
    </w:p>
    <w:p>
      <w:pPr>
        <w:pStyle w:val="BodyText"/>
        <w:spacing w:line="230" w:lineRule="auto"/>
        <w:ind w:right="411" w:firstLine="396"/>
      </w:pPr>
      <w:r>
        <w:rPr>
          <w:color w:val="231F20"/>
          <w:w w:val="66"/>
        </w:rPr>
        <w:t> </w:t>
      </w:r>
      <w:r>
        <w:rPr>
          <w:color w:val="231F20"/>
        </w:rPr>
        <w:t>– предупређивању неповољних утицаја термоелектрана на зону заштите Делиблатске пешчаре, која има статус резервата природе од изузетног значаја (I категорије), успостављањем одго- варајућег мониторинга имисија аерозагађења, а према потреби и биолошких брана и других посебних мера заштите;</w:t>
      </w:r>
    </w:p>
    <w:p>
      <w:pPr>
        <w:pStyle w:val="BodyText"/>
        <w:spacing w:line="230" w:lineRule="auto"/>
        <w:ind w:right="410" w:firstLine="396"/>
      </w:pPr>
      <w:r>
        <w:rPr>
          <w:color w:val="231F20"/>
          <w:w w:val="66"/>
        </w:rPr>
        <w:t> </w:t>
      </w:r>
      <w:r>
        <w:rPr>
          <w:color w:val="231F20"/>
        </w:rPr>
        <w:t>–</w:t>
      </w:r>
      <w:r>
        <w:rPr>
          <w:color w:val="231F20"/>
          <w:spacing w:val="-8"/>
        </w:rPr>
        <w:t> </w:t>
      </w:r>
      <w:r>
        <w:rPr>
          <w:color w:val="231F20"/>
        </w:rPr>
        <w:t>очувању</w:t>
      </w:r>
      <w:r>
        <w:rPr>
          <w:color w:val="231F20"/>
          <w:spacing w:val="-8"/>
        </w:rPr>
        <w:t> </w:t>
      </w:r>
      <w:r>
        <w:rPr>
          <w:color w:val="231F20"/>
        </w:rPr>
        <w:t>зимовалишта</w:t>
      </w:r>
      <w:r>
        <w:rPr>
          <w:color w:val="231F20"/>
          <w:spacing w:val="-8"/>
        </w:rPr>
        <w:t> </w:t>
      </w:r>
      <w:r>
        <w:rPr>
          <w:color w:val="231F20"/>
        </w:rPr>
        <w:t>птица</w:t>
      </w:r>
      <w:r>
        <w:rPr>
          <w:color w:val="231F20"/>
          <w:spacing w:val="-8"/>
        </w:rPr>
        <w:t> </w:t>
      </w:r>
      <w:r>
        <w:rPr>
          <w:color w:val="231F20"/>
        </w:rPr>
        <w:t>водних</w:t>
      </w:r>
      <w:r>
        <w:rPr>
          <w:color w:val="231F20"/>
          <w:spacing w:val="-8"/>
        </w:rPr>
        <w:t> </w:t>
      </w:r>
      <w:r>
        <w:rPr>
          <w:color w:val="231F20"/>
        </w:rPr>
        <w:t>станишта</w:t>
      </w:r>
      <w:r>
        <w:rPr>
          <w:color w:val="231F20"/>
          <w:spacing w:val="-8"/>
        </w:rPr>
        <w:t> </w:t>
      </w:r>
      <w:r>
        <w:rPr>
          <w:color w:val="231F20"/>
        </w:rPr>
        <w:t>и</w:t>
      </w:r>
      <w:r>
        <w:rPr>
          <w:color w:val="231F20"/>
          <w:spacing w:val="-8"/>
        </w:rPr>
        <w:t> </w:t>
      </w:r>
      <w:r>
        <w:rPr>
          <w:color w:val="231F20"/>
        </w:rPr>
        <w:t>других</w:t>
      </w:r>
      <w:r>
        <w:rPr>
          <w:color w:val="231F20"/>
          <w:spacing w:val="-8"/>
        </w:rPr>
        <w:t> </w:t>
      </w:r>
      <w:r>
        <w:rPr>
          <w:color w:val="231F20"/>
        </w:rPr>
        <w:t>ор- нитолошки значајних станишта (острво Жилава с низводним под- ручјем</w:t>
      </w:r>
      <w:r>
        <w:rPr>
          <w:color w:val="231F20"/>
          <w:spacing w:val="-11"/>
        </w:rPr>
        <w:t> </w:t>
      </w:r>
      <w:r>
        <w:rPr>
          <w:color w:val="231F20"/>
        </w:rPr>
        <w:t>Дунава</w:t>
      </w:r>
      <w:r>
        <w:rPr>
          <w:color w:val="231F20"/>
          <w:spacing w:val="-11"/>
        </w:rPr>
        <w:t> </w:t>
      </w:r>
      <w:r>
        <w:rPr>
          <w:color w:val="231F20"/>
        </w:rPr>
        <w:t>и</w:t>
      </w:r>
      <w:r>
        <w:rPr>
          <w:color w:val="231F20"/>
          <w:spacing w:val="-12"/>
        </w:rPr>
        <w:t> </w:t>
      </w:r>
      <w:r>
        <w:rPr>
          <w:color w:val="231F20"/>
        </w:rPr>
        <w:t>друго)</w:t>
      </w:r>
      <w:r>
        <w:rPr>
          <w:color w:val="231F20"/>
          <w:spacing w:val="-11"/>
        </w:rPr>
        <w:t> </w:t>
      </w:r>
      <w:r>
        <w:rPr>
          <w:color w:val="231F20"/>
        </w:rPr>
        <w:t>као</w:t>
      </w:r>
      <w:r>
        <w:rPr>
          <w:color w:val="231F20"/>
          <w:spacing w:val="-11"/>
        </w:rPr>
        <w:t> </w:t>
      </w:r>
      <w:r>
        <w:rPr>
          <w:color w:val="231F20"/>
        </w:rPr>
        <w:t>и</w:t>
      </w:r>
      <w:r>
        <w:rPr>
          <w:color w:val="231F20"/>
          <w:spacing w:val="-12"/>
        </w:rPr>
        <w:t> </w:t>
      </w:r>
      <w:r>
        <w:rPr>
          <w:color w:val="231F20"/>
        </w:rPr>
        <w:t>станишта</w:t>
      </w:r>
      <w:r>
        <w:rPr>
          <w:color w:val="231F20"/>
          <w:spacing w:val="-11"/>
        </w:rPr>
        <w:t> </w:t>
      </w:r>
      <w:r>
        <w:rPr>
          <w:color w:val="231F20"/>
        </w:rPr>
        <w:t>ихтиофауне,</w:t>
      </w:r>
      <w:r>
        <w:rPr>
          <w:color w:val="231F20"/>
          <w:spacing w:val="-11"/>
        </w:rPr>
        <w:t> </w:t>
      </w:r>
      <w:r>
        <w:rPr>
          <w:color w:val="231F20"/>
        </w:rPr>
        <w:t>херпетофауне, ловне дивљачи и другог фаунистичког</w:t>
      </w:r>
      <w:r>
        <w:rPr>
          <w:color w:val="231F20"/>
          <w:spacing w:val="-8"/>
        </w:rPr>
        <w:t> </w:t>
      </w:r>
      <w:r>
        <w:rPr>
          <w:color w:val="231F20"/>
        </w:rPr>
        <w:t>фонда;</w:t>
      </w:r>
    </w:p>
    <w:p>
      <w:pPr>
        <w:pStyle w:val="BodyText"/>
        <w:spacing w:line="230" w:lineRule="auto"/>
        <w:ind w:right="410" w:firstLine="397"/>
      </w:pPr>
      <w:r>
        <w:rPr>
          <w:color w:val="231F20"/>
          <w:w w:val="66"/>
        </w:rPr>
        <w:t> </w:t>
      </w:r>
      <w:r>
        <w:rPr>
          <w:color w:val="231F20"/>
        </w:rPr>
        <w:t>–</w:t>
      </w:r>
      <w:r>
        <w:rPr>
          <w:color w:val="231F20"/>
          <w:spacing w:val="-5"/>
        </w:rPr>
        <w:t> </w:t>
      </w:r>
      <w:r>
        <w:rPr>
          <w:color w:val="231F20"/>
        </w:rPr>
        <w:t>очувању</w:t>
      </w:r>
      <w:r>
        <w:rPr>
          <w:color w:val="231F20"/>
          <w:spacing w:val="-5"/>
        </w:rPr>
        <w:t> </w:t>
      </w:r>
      <w:r>
        <w:rPr>
          <w:color w:val="231F20"/>
        </w:rPr>
        <w:t>и</w:t>
      </w:r>
      <w:r>
        <w:rPr>
          <w:color w:val="231F20"/>
          <w:spacing w:val="-5"/>
        </w:rPr>
        <w:t> </w:t>
      </w:r>
      <w:r>
        <w:rPr>
          <w:color w:val="231F20"/>
        </w:rPr>
        <w:t>унапређењу</w:t>
      </w:r>
      <w:r>
        <w:rPr>
          <w:color w:val="231F20"/>
          <w:spacing w:val="-5"/>
        </w:rPr>
        <w:t> </w:t>
      </w:r>
      <w:r>
        <w:rPr>
          <w:color w:val="231F20"/>
        </w:rPr>
        <w:t>(хемијски</w:t>
      </w:r>
      <w:r>
        <w:rPr>
          <w:color w:val="231F20"/>
          <w:spacing w:val="-5"/>
        </w:rPr>
        <w:t> </w:t>
      </w:r>
      <w:r>
        <w:rPr>
          <w:color w:val="231F20"/>
        </w:rPr>
        <w:t>квалитет</w:t>
      </w:r>
      <w:r>
        <w:rPr>
          <w:color w:val="231F20"/>
          <w:spacing w:val="-5"/>
        </w:rPr>
        <w:t> </w:t>
      </w:r>
      <w:r>
        <w:rPr>
          <w:color w:val="231F20"/>
        </w:rPr>
        <w:t>воде,</w:t>
      </w:r>
      <w:r>
        <w:rPr>
          <w:color w:val="231F20"/>
          <w:spacing w:val="-5"/>
        </w:rPr>
        <w:t> </w:t>
      </w:r>
      <w:r>
        <w:rPr>
          <w:color w:val="231F20"/>
        </w:rPr>
        <w:t>хидробио- лошке карактеристике станишта, режими забране риболова и дру- го) природних мрестилишта, плодишта и других ихтиолошки зна- чајних локалитета (ушће Велике Мораве, Шугавица с каналом ТЕ Костолац, </w:t>
      </w:r>
      <w:r>
        <w:rPr>
          <w:color w:val="231F20"/>
          <w:spacing w:val="-3"/>
        </w:rPr>
        <w:t>Лабудово </w:t>
      </w:r>
      <w:r>
        <w:rPr>
          <w:color w:val="231F20"/>
        </w:rPr>
        <w:t>окно и друго);</w:t>
      </w:r>
      <w:r>
        <w:rPr>
          <w:color w:val="231F20"/>
          <w:spacing w:val="-2"/>
        </w:rPr>
        <w:t> </w:t>
      </w:r>
      <w:r>
        <w:rPr>
          <w:color w:val="231F20"/>
        </w:rPr>
        <w:t>и</w:t>
      </w:r>
    </w:p>
    <w:p>
      <w:pPr>
        <w:pStyle w:val="BodyText"/>
        <w:spacing w:line="230" w:lineRule="auto"/>
        <w:ind w:left="169" w:right="411" w:firstLine="397"/>
      </w:pPr>
      <w:r>
        <w:rPr>
          <w:color w:val="231F20"/>
          <w:w w:val="66"/>
        </w:rPr>
        <w:t> </w:t>
      </w:r>
      <w:r>
        <w:rPr>
          <w:color w:val="231F20"/>
        </w:rPr>
        <w:t>– унапређењу естетике и природне разноврсности предела   у зони путева и </w:t>
      </w:r>
      <w:r>
        <w:rPr>
          <w:color w:val="231F20"/>
          <w:spacing w:val="-3"/>
        </w:rPr>
        <w:t>водотока </w:t>
      </w:r>
      <w:r>
        <w:rPr>
          <w:color w:val="231F20"/>
        </w:rPr>
        <w:t>као и анимирању локалних заједница и власника/корисника земљишта за неговање естетских обележја предела.</w:t>
      </w:r>
    </w:p>
    <w:p>
      <w:pPr>
        <w:pStyle w:val="BodyText"/>
        <w:spacing w:line="230" w:lineRule="auto"/>
        <w:ind w:left="169" w:right="410" w:firstLine="396"/>
      </w:pPr>
      <w:r>
        <w:rPr>
          <w:color w:val="231F20"/>
        </w:rPr>
        <w:t>Обавеза инвеститора, односно извођача радова је да у току експлоатације лигнита или извођења других земљаних радова, обрате пажњу на евентуалне палеонтолошке и археолошке нала- зе и да у случају њиховог откривања или индиција о постојању, предузму мере обавештавања релевантних институција, пажљи- вог сакупљања и адекватног одлагања, а према потреби и обуста- ве радова.</w:t>
      </w:r>
    </w:p>
    <w:p>
      <w:pPr>
        <w:pStyle w:val="BodyText"/>
        <w:spacing w:line="230" w:lineRule="auto"/>
        <w:ind w:left="171" w:right="410" w:firstLine="396"/>
      </w:pPr>
      <w:r>
        <w:rPr>
          <w:color w:val="231F20"/>
        </w:rPr>
        <w:t>Инвеститор има обавезу да у поступку активирања утврђене намене</w:t>
      </w:r>
      <w:r>
        <w:rPr>
          <w:color w:val="231F20"/>
          <w:spacing w:val="-10"/>
        </w:rPr>
        <w:t> </w:t>
      </w:r>
      <w:r>
        <w:rPr>
          <w:color w:val="231F20"/>
        </w:rPr>
        <w:t>простора</w:t>
      </w:r>
      <w:r>
        <w:rPr>
          <w:color w:val="231F20"/>
          <w:spacing w:val="-10"/>
        </w:rPr>
        <w:t> </w:t>
      </w:r>
      <w:r>
        <w:rPr>
          <w:color w:val="231F20"/>
        </w:rPr>
        <w:t>(урбанистичка</w:t>
      </w:r>
      <w:r>
        <w:rPr>
          <w:color w:val="231F20"/>
          <w:spacing w:val="-10"/>
        </w:rPr>
        <w:t> </w:t>
      </w:r>
      <w:r>
        <w:rPr>
          <w:color w:val="231F20"/>
        </w:rPr>
        <w:t>регулација,</w:t>
      </w:r>
      <w:r>
        <w:rPr>
          <w:color w:val="231F20"/>
          <w:spacing w:val="-10"/>
        </w:rPr>
        <w:t> </w:t>
      </w:r>
      <w:r>
        <w:rPr>
          <w:color w:val="231F20"/>
        </w:rPr>
        <w:t>инвестиционо</w:t>
      </w:r>
      <w:r>
        <w:rPr>
          <w:color w:val="231F20"/>
          <w:spacing w:val="-10"/>
        </w:rPr>
        <w:t> </w:t>
      </w:r>
      <w:r>
        <w:rPr>
          <w:color w:val="231F20"/>
        </w:rPr>
        <w:t>технич- ка документација и анализе утицаја на </w:t>
      </w:r>
      <w:r>
        <w:rPr>
          <w:color w:val="231F20"/>
          <w:spacing w:val="-3"/>
        </w:rPr>
        <w:t>околину) која </w:t>
      </w:r>
      <w:r>
        <w:rPr>
          <w:color w:val="231F20"/>
        </w:rPr>
        <w:t>обухвата де- градацију и трајно или вишегодишње заузимање земљишта (екс- плоатациона поља, различити објекти), а на </w:t>
      </w:r>
      <w:r>
        <w:rPr>
          <w:color w:val="231F20"/>
          <w:spacing w:val="-3"/>
        </w:rPr>
        <w:t>којима </w:t>
      </w:r>
      <w:r>
        <w:rPr>
          <w:color w:val="231F20"/>
        </w:rPr>
        <w:t>није утврђено присуство природних вредности </w:t>
      </w:r>
      <w:r>
        <w:rPr>
          <w:color w:val="231F20"/>
          <w:spacing w:val="-3"/>
        </w:rPr>
        <w:t>од </w:t>
      </w:r>
      <w:r>
        <w:rPr>
          <w:color w:val="231F20"/>
        </w:rPr>
        <w:t>националног или регионалног значаја</w:t>
      </w:r>
      <w:r>
        <w:rPr>
          <w:color w:val="231F20"/>
          <w:spacing w:val="-8"/>
        </w:rPr>
        <w:t> </w:t>
      </w:r>
      <w:r>
        <w:rPr>
          <w:color w:val="231F20"/>
        </w:rPr>
        <w:t>за</w:t>
      </w:r>
      <w:r>
        <w:rPr>
          <w:color w:val="231F20"/>
          <w:spacing w:val="-8"/>
        </w:rPr>
        <w:t> </w:t>
      </w:r>
      <w:r>
        <w:rPr>
          <w:color w:val="231F20"/>
          <w:spacing w:val="-3"/>
        </w:rPr>
        <w:t>које</w:t>
      </w:r>
      <w:r>
        <w:rPr>
          <w:color w:val="231F20"/>
          <w:spacing w:val="-8"/>
        </w:rPr>
        <w:t> </w:t>
      </w:r>
      <w:r>
        <w:rPr>
          <w:color w:val="231F20"/>
        </w:rPr>
        <w:t>би</w:t>
      </w:r>
      <w:r>
        <w:rPr>
          <w:color w:val="231F20"/>
          <w:spacing w:val="-8"/>
        </w:rPr>
        <w:t> </w:t>
      </w:r>
      <w:r>
        <w:rPr>
          <w:color w:val="231F20"/>
        </w:rPr>
        <w:t>јавни</w:t>
      </w:r>
      <w:r>
        <w:rPr>
          <w:color w:val="231F20"/>
          <w:spacing w:val="-8"/>
        </w:rPr>
        <w:t> </w:t>
      </w:r>
      <w:r>
        <w:rPr>
          <w:color w:val="231F20"/>
        </w:rPr>
        <w:t>интерес</w:t>
      </w:r>
      <w:r>
        <w:rPr>
          <w:color w:val="231F20"/>
          <w:spacing w:val="-8"/>
        </w:rPr>
        <w:t> </w:t>
      </w:r>
      <w:r>
        <w:rPr>
          <w:color w:val="231F20"/>
        </w:rPr>
        <w:t>захтевао</w:t>
      </w:r>
      <w:r>
        <w:rPr>
          <w:color w:val="231F20"/>
          <w:spacing w:val="-8"/>
        </w:rPr>
        <w:t> </w:t>
      </w:r>
      <w:r>
        <w:rPr>
          <w:color w:val="231F20"/>
        </w:rPr>
        <w:t>редуковање</w:t>
      </w:r>
      <w:r>
        <w:rPr>
          <w:color w:val="231F20"/>
          <w:spacing w:val="-8"/>
        </w:rPr>
        <w:t> </w:t>
      </w:r>
      <w:r>
        <w:rPr>
          <w:color w:val="231F20"/>
        </w:rPr>
        <w:t>или</w:t>
      </w:r>
      <w:r>
        <w:rPr>
          <w:color w:val="231F20"/>
          <w:spacing w:val="-8"/>
        </w:rPr>
        <w:t> </w:t>
      </w:r>
      <w:r>
        <w:rPr>
          <w:color w:val="231F20"/>
        </w:rPr>
        <w:t>елимина- цију</w:t>
      </w:r>
      <w:r>
        <w:rPr>
          <w:color w:val="231F20"/>
          <w:spacing w:val="-7"/>
        </w:rPr>
        <w:t> </w:t>
      </w:r>
      <w:r>
        <w:rPr>
          <w:color w:val="231F20"/>
        </w:rPr>
        <w:t>планских</w:t>
      </w:r>
      <w:r>
        <w:rPr>
          <w:color w:val="231F20"/>
          <w:spacing w:val="-7"/>
        </w:rPr>
        <w:t> </w:t>
      </w:r>
      <w:r>
        <w:rPr>
          <w:color w:val="231F20"/>
        </w:rPr>
        <w:t>намена,</w:t>
      </w:r>
      <w:r>
        <w:rPr>
          <w:color w:val="231F20"/>
          <w:spacing w:val="-7"/>
        </w:rPr>
        <w:t> </w:t>
      </w:r>
      <w:r>
        <w:rPr>
          <w:color w:val="231F20"/>
        </w:rPr>
        <w:t>такође</w:t>
      </w:r>
      <w:r>
        <w:rPr>
          <w:color w:val="231F20"/>
          <w:spacing w:val="-7"/>
        </w:rPr>
        <w:t> </w:t>
      </w:r>
      <w:r>
        <w:rPr>
          <w:color w:val="231F20"/>
        </w:rPr>
        <w:t>обезбеди</w:t>
      </w:r>
      <w:r>
        <w:rPr>
          <w:color w:val="231F20"/>
          <w:spacing w:val="-7"/>
        </w:rPr>
        <w:t> </w:t>
      </w:r>
      <w:r>
        <w:rPr>
          <w:color w:val="231F20"/>
        </w:rPr>
        <w:t>адекватну</w:t>
      </w:r>
      <w:r>
        <w:rPr>
          <w:color w:val="231F20"/>
          <w:spacing w:val="-7"/>
        </w:rPr>
        <w:t> </w:t>
      </w:r>
      <w:r>
        <w:rPr>
          <w:color w:val="231F20"/>
        </w:rPr>
        <w:t>евиденцију</w:t>
      </w:r>
      <w:r>
        <w:rPr>
          <w:color w:val="231F20"/>
          <w:spacing w:val="-7"/>
        </w:rPr>
        <w:t> </w:t>
      </w:r>
      <w:r>
        <w:rPr>
          <w:color w:val="231F20"/>
        </w:rPr>
        <w:t>при- родних вредности, процену губитака и мере</w:t>
      </w:r>
      <w:r>
        <w:rPr>
          <w:color w:val="231F20"/>
          <w:spacing w:val="-16"/>
        </w:rPr>
        <w:t> </w:t>
      </w:r>
      <w:r>
        <w:rPr>
          <w:color w:val="231F20"/>
        </w:rPr>
        <w:t>компензације.</w:t>
      </w:r>
    </w:p>
    <w:p>
      <w:pPr>
        <w:pStyle w:val="ListParagraph"/>
        <w:numPr>
          <w:ilvl w:val="2"/>
          <w:numId w:val="35"/>
        </w:numPr>
        <w:tabs>
          <w:tab w:pos="2143" w:val="left" w:leader="none"/>
        </w:tabs>
        <w:spacing w:line="240" w:lineRule="auto" w:before="126" w:after="0"/>
        <w:ind w:left="2142" w:right="0" w:hanging="450"/>
        <w:jc w:val="left"/>
        <w:rPr>
          <w:sz w:val="18"/>
        </w:rPr>
      </w:pPr>
      <w:r>
        <w:rPr>
          <w:color w:val="231F20"/>
          <w:spacing w:val="15"/>
          <w:sz w:val="18"/>
        </w:rPr>
        <w:t>Уређење</w:t>
      </w:r>
      <w:r>
        <w:rPr>
          <w:color w:val="231F20"/>
          <w:spacing w:val="42"/>
          <w:sz w:val="18"/>
        </w:rPr>
        <w:t> </w:t>
      </w:r>
      <w:r>
        <w:rPr>
          <w:color w:val="231F20"/>
          <w:spacing w:val="15"/>
          <w:sz w:val="18"/>
        </w:rPr>
        <w:t>предела</w:t>
      </w:r>
    </w:p>
    <w:p>
      <w:pPr>
        <w:pStyle w:val="BodyText"/>
        <w:spacing w:before="11"/>
        <w:ind w:left="0"/>
        <w:jc w:val="left"/>
        <w:rPr>
          <w:sz w:val="16"/>
        </w:rPr>
      </w:pPr>
    </w:p>
    <w:p>
      <w:pPr>
        <w:pStyle w:val="BodyText"/>
        <w:spacing w:line="230" w:lineRule="auto"/>
        <w:ind w:left="171" w:right="409" w:firstLine="396"/>
      </w:pPr>
      <w:r>
        <w:rPr>
          <w:color w:val="231F20"/>
        </w:rPr>
        <w:t>Правила неге и уређења предела одређују се на основу пре- лиминарне типологије предела. Тиме се обезбеђује интегрална </w:t>
      </w:r>
      <w:r>
        <w:rPr>
          <w:color w:val="231F20"/>
          <w:spacing w:val="-4"/>
        </w:rPr>
        <w:t>заштиту, </w:t>
      </w:r>
      <w:r>
        <w:rPr>
          <w:color w:val="231F20"/>
        </w:rPr>
        <w:t>планирање и спровођење мера </w:t>
      </w:r>
      <w:r>
        <w:rPr>
          <w:color w:val="231F20"/>
          <w:spacing w:val="-3"/>
        </w:rPr>
        <w:t>којима </w:t>
      </w:r>
      <w:r>
        <w:rPr>
          <w:color w:val="231F20"/>
        </w:rPr>
        <w:t>се: спречавају не- жељене промене, нарушавање или уништење значајних обележја предела, њихове разноврсности, јединствености и естетских вред- ности; омогућава ревитализација и рекултивација као и очување традиционалних одлика коришћења предела. </w:t>
      </w:r>
      <w:r>
        <w:rPr>
          <w:color w:val="231F20"/>
          <w:spacing w:val="-7"/>
        </w:rPr>
        <w:t>То </w:t>
      </w:r>
      <w:r>
        <w:rPr>
          <w:color w:val="231F20"/>
        </w:rPr>
        <w:t>подразумева, пре свега, </w:t>
      </w:r>
      <w:r>
        <w:rPr>
          <w:color w:val="231F20"/>
          <w:spacing w:val="-3"/>
        </w:rPr>
        <w:t>санацију, </w:t>
      </w:r>
      <w:r>
        <w:rPr>
          <w:color w:val="231F20"/>
        </w:rPr>
        <w:t>ревитализацију и рекултивацију деградираних подручја</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заштиту</w:t>
      </w:r>
      <w:r>
        <w:rPr>
          <w:color w:val="231F20"/>
          <w:spacing w:val="-9"/>
        </w:rPr>
        <w:t> </w:t>
      </w:r>
      <w:r>
        <w:rPr>
          <w:color w:val="231F20"/>
        </w:rPr>
        <w:t>природних</w:t>
      </w:r>
      <w:r>
        <w:rPr>
          <w:color w:val="231F20"/>
          <w:spacing w:val="-9"/>
        </w:rPr>
        <w:t> </w:t>
      </w:r>
      <w:r>
        <w:rPr>
          <w:color w:val="231F20"/>
        </w:rPr>
        <w:t>и</w:t>
      </w:r>
      <w:r>
        <w:rPr>
          <w:color w:val="231F20"/>
          <w:spacing w:val="-9"/>
        </w:rPr>
        <w:t> </w:t>
      </w:r>
      <w:r>
        <w:rPr>
          <w:color w:val="231F20"/>
        </w:rPr>
        <w:t>културних</w:t>
      </w:r>
      <w:r>
        <w:rPr>
          <w:color w:val="231F20"/>
          <w:spacing w:val="-9"/>
        </w:rPr>
        <w:t> </w:t>
      </w:r>
      <w:r>
        <w:rPr>
          <w:color w:val="231F20"/>
        </w:rPr>
        <w:t>ресурса</w:t>
      </w:r>
      <w:r>
        <w:rPr>
          <w:color w:val="231F20"/>
          <w:spacing w:val="-9"/>
        </w:rPr>
        <w:t> </w:t>
      </w:r>
      <w:r>
        <w:rPr>
          <w:color w:val="231F20"/>
          <w:spacing w:val="-3"/>
        </w:rPr>
        <w:t>која</w:t>
      </w:r>
      <w:r>
        <w:rPr>
          <w:color w:val="231F20"/>
          <w:spacing w:val="-9"/>
        </w:rPr>
        <w:t> </w:t>
      </w:r>
      <w:r>
        <w:rPr>
          <w:color w:val="231F20"/>
        </w:rPr>
        <w:t>се</w:t>
      </w:r>
      <w:r>
        <w:rPr>
          <w:color w:val="231F20"/>
          <w:spacing w:val="-9"/>
        </w:rPr>
        <w:t> </w:t>
      </w:r>
      <w:r>
        <w:rPr>
          <w:color w:val="231F20"/>
        </w:rPr>
        <w:t>мо- ра</w:t>
      </w:r>
      <w:r>
        <w:rPr>
          <w:color w:val="231F20"/>
          <w:spacing w:val="-13"/>
        </w:rPr>
        <w:t> </w:t>
      </w:r>
      <w:r>
        <w:rPr>
          <w:color w:val="231F20"/>
        </w:rPr>
        <w:t>обезбедити</w:t>
      </w:r>
      <w:r>
        <w:rPr>
          <w:color w:val="231F20"/>
          <w:spacing w:val="-13"/>
        </w:rPr>
        <w:t> </w:t>
      </w:r>
      <w:r>
        <w:rPr>
          <w:color w:val="231F20"/>
        </w:rPr>
        <w:t>очувањем</w:t>
      </w:r>
      <w:r>
        <w:rPr>
          <w:color w:val="231F20"/>
          <w:spacing w:val="-13"/>
        </w:rPr>
        <w:t> </w:t>
      </w:r>
      <w:r>
        <w:rPr>
          <w:color w:val="231F20"/>
        </w:rPr>
        <w:t>издвојених</w:t>
      </w:r>
      <w:r>
        <w:rPr>
          <w:color w:val="231F20"/>
          <w:spacing w:val="-13"/>
        </w:rPr>
        <w:t> </w:t>
      </w:r>
      <w:r>
        <w:rPr>
          <w:color w:val="231F20"/>
        </w:rPr>
        <w:t>значајних</w:t>
      </w:r>
      <w:r>
        <w:rPr>
          <w:color w:val="231F20"/>
          <w:spacing w:val="-13"/>
        </w:rPr>
        <w:t> </w:t>
      </w:r>
      <w:r>
        <w:rPr>
          <w:color w:val="231F20"/>
        </w:rPr>
        <w:t>и</w:t>
      </w:r>
      <w:r>
        <w:rPr>
          <w:color w:val="231F20"/>
          <w:spacing w:val="-13"/>
        </w:rPr>
        <w:t> </w:t>
      </w:r>
      <w:r>
        <w:rPr>
          <w:color w:val="231F20"/>
        </w:rPr>
        <w:t>карактеристичних обележја предела, а у складу са основним стратешким опредеље- њима </w:t>
      </w:r>
      <w:r>
        <w:rPr>
          <w:color w:val="231F20"/>
          <w:spacing w:val="-3"/>
        </w:rPr>
        <w:t>које </w:t>
      </w:r>
      <w:r>
        <w:rPr>
          <w:color w:val="231F20"/>
        </w:rPr>
        <w:t>промовише Просторни план </w:t>
      </w:r>
      <w:r>
        <w:rPr>
          <w:color w:val="231F20"/>
          <w:spacing w:val="-3"/>
        </w:rPr>
        <w:t>Републике </w:t>
      </w:r>
      <w:r>
        <w:rPr>
          <w:color w:val="231F20"/>
        </w:rPr>
        <w:t>Србије.</w:t>
      </w:r>
    </w:p>
    <w:p>
      <w:pPr>
        <w:pStyle w:val="BodyText"/>
        <w:spacing w:line="185" w:lineRule="exact"/>
        <w:ind w:left="569"/>
        <w:jc w:val="left"/>
      </w:pPr>
      <w:r>
        <w:rPr>
          <w:color w:val="231F20"/>
        </w:rPr>
        <w:t>Уређење руралних предела заснива се на:</w:t>
      </w:r>
    </w:p>
    <w:p>
      <w:pPr>
        <w:pStyle w:val="BodyText"/>
        <w:spacing w:line="230" w:lineRule="auto" w:before="2"/>
        <w:ind w:left="172" w:right="407" w:firstLine="396"/>
      </w:pPr>
      <w:r>
        <w:rPr>
          <w:color w:val="231F20"/>
          <w:w w:val="66"/>
        </w:rPr>
        <w:t> </w:t>
      </w:r>
      <w:r>
        <w:rPr>
          <w:color w:val="231F20"/>
        </w:rPr>
        <w:t>– очувању и унапређењу карактеристичног предеоног обра- сца заснованог на коришћењу земљишта, односу изграђеног и отвореног</w:t>
      </w:r>
      <w:r>
        <w:rPr>
          <w:color w:val="231F20"/>
          <w:spacing w:val="-11"/>
        </w:rPr>
        <w:t> </w:t>
      </w:r>
      <w:r>
        <w:rPr>
          <w:color w:val="231F20"/>
        </w:rPr>
        <w:t>простора</w:t>
      </w:r>
      <w:r>
        <w:rPr>
          <w:color w:val="231F20"/>
          <w:spacing w:val="-12"/>
        </w:rPr>
        <w:t> </w:t>
      </w:r>
      <w:r>
        <w:rPr>
          <w:color w:val="231F20"/>
        </w:rPr>
        <w:t>и</w:t>
      </w:r>
      <w:r>
        <w:rPr>
          <w:color w:val="231F20"/>
          <w:spacing w:val="-12"/>
        </w:rPr>
        <w:t> </w:t>
      </w:r>
      <w:r>
        <w:rPr>
          <w:color w:val="231F20"/>
        </w:rPr>
        <w:t>карактеру</w:t>
      </w:r>
      <w:r>
        <w:rPr>
          <w:color w:val="231F20"/>
          <w:spacing w:val="-12"/>
        </w:rPr>
        <w:t> </w:t>
      </w:r>
      <w:r>
        <w:rPr>
          <w:color w:val="231F20"/>
        </w:rPr>
        <w:t>изграђивања:</w:t>
      </w:r>
      <w:r>
        <w:rPr>
          <w:color w:val="231F20"/>
          <w:spacing w:val="-11"/>
        </w:rPr>
        <w:t> </w:t>
      </w:r>
      <w:r>
        <w:rPr>
          <w:color w:val="231F20"/>
        </w:rPr>
        <w:t>подстицањем</w:t>
      </w:r>
      <w:r>
        <w:rPr>
          <w:color w:val="231F20"/>
          <w:spacing w:val="-11"/>
        </w:rPr>
        <w:t> </w:t>
      </w:r>
      <w:r>
        <w:rPr>
          <w:color w:val="231F20"/>
        </w:rPr>
        <w:t>тради- ционалних облика коришћења земљишта, регулацијом грађења и уређивања простора у складу са карактером предела и традицијом грађења; спречавањем ширења насеља и заустављањем непланске изградње (викенд насеља), стимулисањем коришћења постојећег грађевинског фонда, усклађивањем изградње инфраструктурних коридора и објеката са карактером и капацитетом предела и очу- вањем и афирмацијом карактеристичних културних и природних елемeната у структури и слици предела (морфологија терена, во- дотокови, шуме, живице, засади, насеља, објекти);</w:t>
      </w:r>
      <w:r>
        <w:rPr>
          <w:color w:val="231F20"/>
          <w:spacing w:val="-10"/>
        </w:rPr>
        <w:t> </w:t>
      </w:r>
      <w:r>
        <w:rPr>
          <w:color w:val="231F20"/>
        </w:rPr>
        <w:t>и</w:t>
      </w:r>
    </w:p>
    <w:p>
      <w:pPr>
        <w:spacing w:after="0" w:line="230" w:lineRule="auto"/>
        <w:sectPr>
          <w:pgSz w:w="12480" w:h="15690"/>
          <w:pgMar w:top="120" w:bottom="280" w:left="680" w:right="720"/>
          <w:cols w:num="2" w:equalWidth="0">
            <w:col w:w="5314" w:space="72"/>
            <w:col w:w="5694"/>
          </w:cols>
        </w:sectPr>
      </w:pPr>
    </w:p>
    <w:p>
      <w:pPr>
        <w:pStyle w:val="BodyText"/>
        <w:spacing w:line="232" w:lineRule="auto" w:before="73"/>
        <w:ind w:left="453" w:firstLine="396"/>
      </w:pPr>
      <w:r>
        <w:rPr/>
        <w:pict>
          <v:line style="position:absolute;mso-position-horizontal-relative:page;mso-position-vertical-relative:page;z-index:3040" from="318.897614pt,11.942451pt" to="318.897614pt,748.950451pt" stroked="true" strokeweight=".6pt" strokecolor="#231f20">
            <v:stroke dashstyle="solid"/>
            <w10:wrap type="none"/>
          </v:line>
        </w:pict>
      </w:r>
      <w:r>
        <w:rPr>
          <w:color w:val="231F20"/>
          <w:w w:val="66"/>
        </w:rPr>
        <w:t> </w:t>
      </w:r>
      <w:r>
        <w:rPr>
          <w:color w:val="231F20"/>
        </w:rPr>
        <w:t>– креирању идентитета насеља заснованог на очувању и ре- витализацији традиционалне архитектуре и постојећег квалитет- ног</w:t>
      </w:r>
      <w:r>
        <w:rPr>
          <w:color w:val="231F20"/>
          <w:spacing w:val="-8"/>
        </w:rPr>
        <w:t> </w:t>
      </w:r>
      <w:r>
        <w:rPr>
          <w:color w:val="231F20"/>
        </w:rPr>
        <w:t>грађевинског</w:t>
      </w:r>
      <w:r>
        <w:rPr>
          <w:color w:val="231F20"/>
          <w:spacing w:val="-8"/>
        </w:rPr>
        <w:t> </w:t>
      </w:r>
      <w:r>
        <w:rPr>
          <w:color w:val="231F20"/>
        </w:rPr>
        <w:t>фонда,</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на</w:t>
      </w:r>
      <w:r>
        <w:rPr>
          <w:color w:val="231F20"/>
          <w:spacing w:val="-8"/>
        </w:rPr>
        <w:t> </w:t>
      </w:r>
      <w:r>
        <w:rPr>
          <w:color w:val="231F20"/>
        </w:rPr>
        <w:t>новој</w:t>
      </w:r>
      <w:r>
        <w:rPr>
          <w:color w:val="231F20"/>
          <w:spacing w:val="-8"/>
        </w:rPr>
        <w:t> </w:t>
      </w:r>
      <w:r>
        <w:rPr>
          <w:color w:val="231F20"/>
        </w:rPr>
        <w:t>изградњи</w:t>
      </w:r>
      <w:r>
        <w:rPr>
          <w:color w:val="231F20"/>
          <w:spacing w:val="-8"/>
        </w:rPr>
        <w:t> </w:t>
      </w:r>
      <w:r>
        <w:rPr>
          <w:color w:val="231F20"/>
          <w:spacing w:val="-3"/>
        </w:rPr>
        <w:t>која</w:t>
      </w:r>
      <w:r>
        <w:rPr>
          <w:color w:val="231F20"/>
          <w:spacing w:val="-8"/>
        </w:rPr>
        <w:t> </w:t>
      </w:r>
      <w:r>
        <w:rPr>
          <w:color w:val="231F20"/>
        </w:rPr>
        <w:t>уважава</w:t>
      </w:r>
      <w:r>
        <w:rPr>
          <w:color w:val="231F20"/>
          <w:spacing w:val="-8"/>
        </w:rPr>
        <w:t> </w:t>
      </w:r>
      <w:r>
        <w:rPr>
          <w:color w:val="231F20"/>
        </w:rPr>
        <w:t>спе- цифични рурални карактер физичке структуре</w:t>
      </w:r>
      <w:r>
        <w:rPr>
          <w:color w:val="231F20"/>
          <w:spacing w:val="-9"/>
        </w:rPr>
        <w:t> </w:t>
      </w:r>
      <w:r>
        <w:rPr>
          <w:color w:val="231F20"/>
        </w:rPr>
        <w:t>насеља.</w:t>
      </w:r>
    </w:p>
    <w:p>
      <w:pPr>
        <w:pStyle w:val="BodyText"/>
        <w:spacing w:line="232" w:lineRule="auto" w:before="1"/>
        <w:ind w:left="453" w:right="1" w:firstLine="396"/>
      </w:pPr>
      <w:r>
        <w:rPr>
          <w:color w:val="231F20"/>
        </w:rPr>
        <w:t>При</w:t>
      </w:r>
      <w:r>
        <w:rPr>
          <w:color w:val="231F20"/>
          <w:spacing w:val="-6"/>
        </w:rPr>
        <w:t> </w:t>
      </w:r>
      <w:r>
        <w:rPr>
          <w:color w:val="231F20"/>
        </w:rPr>
        <w:t>разради</w:t>
      </w:r>
      <w:r>
        <w:rPr>
          <w:color w:val="231F20"/>
          <w:spacing w:val="-6"/>
        </w:rPr>
        <w:t> </w:t>
      </w:r>
      <w:r>
        <w:rPr>
          <w:color w:val="231F20"/>
        </w:rPr>
        <w:t>и</w:t>
      </w:r>
      <w:r>
        <w:rPr>
          <w:color w:val="231F20"/>
          <w:spacing w:val="-6"/>
        </w:rPr>
        <w:t> </w:t>
      </w:r>
      <w:r>
        <w:rPr>
          <w:color w:val="231F20"/>
        </w:rPr>
        <w:t>спровођењу</w:t>
      </w:r>
      <w:r>
        <w:rPr>
          <w:color w:val="231F20"/>
          <w:spacing w:val="-6"/>
        </w:rPr>
        <w:t> </w:t>
      </w:r>
      <w:r>
        <w:rPr>
          <w:color w:val="231F20"/>
        </w:rPr>
        <w:t>програма</w:t>
      </w:r>
      <w:r>
        <w:rPr>
          <w:color w:val="231F20"/>
          <w:spacing w:val="-6"/>
        </w:rPr>
        <w:t> </w:t>
      </w:r>
      <w:r>
        <w:rPr>
          <w:color w:val="231F20"/>
        </w:rPr>
        <w:t>рекултивације</w:t>
      </w:r>
      <w:r>
        <w:rPr>
          <w:color w:val="231F20"/>
          <w:spacing w:val="-6"/>
        </w:rPr>
        <w:t> </w:t>
      </w:r>
      <w:r>
        <w:rPr>
          <w:color w:val="231F20"/>
        </w:rPr>
        <w:t>и</w:t>
      </w:r>
      <w:r>
        <w:rPr>
          <w:color w:val="231F20"/>
          <w:spacing w:val="-6"/>
        </w:rPr>
        <w:t> </w:t>
      </w:r>
      <w:r>
        <w:rPr>
          <w:color w:val="231F20"/>
        </w:rPr>
        <w:t>ревита- лизације деградираног простора неопходно је да се води рачуна о очувању/унапређењу предела применом следећих</w:t>
      </w:r>
      <w:r>
        <w:rPr>
          <w:color w:val="231F20"/>
          <w:spacing w:val="-11"/>
        </w:rPr>
        <w:t> </w:t>
      </w:r>
      <w:r>
        <w:rPr>
          <w:color w:val="231F20"/>
        </w:rPr>
        <w:t>решења:</w:t>
      </w:r>
    </w:p>
    <w:p>
      <w:pPr>
        <w:pStyle w:val="BodyText"/>
        <w:spacing w:line="232" w:lineRule="auto" w:before="1"/>
        <w:ind w:left="453" w:firstLine="397"/>
      </w:pPr>
      <w:r>
        <w:rPr>
          <w:color w:val="231F20"/>
          <w:w w:val="66"/>
        </w:rPr>
        <w:t> </w:t>
      </w:r>
      <w:r>
        <w:rPr>
          <w:color w:val="231F20"/>
        </w:rPr>
        <w:t>– унапређење квалитета предела у смислу вредности базира- них на карактеру, условима природне средине и естетском-амби- јенталном доживљају;</w:t>
      </w:r>
    </w:p>
    <w:p>
      <w:pPr>
        <w:pStyle w:val="BodyText"/>
        <w:spacing w:line="232" w:lineRule="auto" w:before="1"/>
        <w:ind w:left="453" w:firstLine="396"/>
      </w:pPr>
      <w:r>
        <w:rPr>
          <w:color w:val="231F20"/>
          <w:w w:val="66"/>
        </w:rPr>
        <w:t> </w:t>
      </w:r>
      <w:r>
        <w:rPr>
          <w:color w:val="231F20"/>
        </w:rPr>
        <w:t>– предузимање мера заштите постојећих природних одлика предела и предеоних елемента, као што су: дрвеће, жбуње,</w:t>
      </w:r>
      <w:r>
        <w:rPr>
          <w:color w:val="231F20"/>
          <w:spacing w:val="-29"/>
        </w:rPr>
        <w:t> </w:t>
      </w:r>
      <w:r>
        <w:rPr>
          <w:color w:val="231F20"/>
        </w:rPr>
        <w:t>водени </w:t>
      </w:r>
      <w:r>
        <w:rPr>
          <w:color w:val="231F20"/>
          <w:spacing w:val="-3"/>
        </w:rPr>
        <w:t>токови, </w:t>
      </w:r>
      <w:r>
        <w:rPr>
          <w:color w:val="231F20"/>
        </w:rPr>
        <w:t>природна добра </w:t>
      </w:r>
      <w:r>
        <w:rPr>
          <w:color w:val="231F20"/>
          <w:spacing w:val="-3"/>
        </w:rPr>
        <w:t>од </w:t>
      </w:r>
      <w:r>
        <w:rPr>
          <w:color w:val="231F20"/>
        </w:rPr>
        <w:t>посебног значаја, укључујући заштиту ових добара </w:t>
      </w:r>
      <w:r>
        <w:rPr>
          <w:color w:val="231F20"/>
          <w:spacing w:val="-3"/>
        </w:rPr>
        <w:t>од </w:t>
      </w:r>
      <w:r>
        <w:rPr>
          <w:color w:val="231F20"/>
        </w:rPr>
        <w:t>таложења пепела из</w:t>
      </w:r>
      <w:r>
        <w:rPr>
          <w:color w:val="231F20"/>
          <w:spacing w:val="-2"/>
        </w:rPr>
        <w:t> </w:t>
      </w:r>
      <w:r>
        <w:rPr>
          <w:color w:val="231F20"/>
        </w:rPr>
        <w:t>ТЕ;</w:t>
      </w:r>
    </w:p>
    <w:p>
      <w:pPr>
        <w:pStyle w:val="BodyText"/>
        <w:spacing w:line="232" w:lineRule="auto" w:before="1"/>
        <w:ind w:left="454" w:firstLine="396"/>
      </w:pPr>
      <w:r>
        <w:rPr>
          <w:color w:val="231F20"/>
          <w:w w:val="66"/>
        </w:rPr>
        <w:t> </w:t>
      </w:r>
      <w:r>
        <w:rPr>
          <w:color w:val="231F20"/>
        </w:rPr>
        <w:t>– утврђивање обавезе да се ревитализација деградираног простора изврши на основу сагледавања пређашњих, природних услова окружења и будуће намене датог простора; и</w:t>
      </w:r>
    </w:p>
    <w:p>
      <w:pPr>
        <w:pStyle w:val="BodyText"/>
        <w:spacing w:line="232" w:lineRule="auto" w:before="1"/>
        <w:ind w:left="454" w:firstLine="396"/>
      </w:pPr>
      <w:r>
        <w:rPr>
          <w:color w:val="231F20"/>
          <w:w w:val="66"/>
        </w:rPr>
        <w:t> </w:t>
      </w:r>
      <w:r>
        <w:rPr>
          <w:color w:val="231F20"/>
        </w:rPr>
        <w:t>–</w:t>
      </w:r>
      <w:r>
        <w:rPr>
          <w:color w:val="231F20"/>
          <w:spacing w:val="-14"/>
        </w:rPr>
        <w:t> </w:t>
      </w:r>
      <w:r>
        <w:rPr>
          <w:color w:val="231F20"/>
        </w:rPr>
        <w:t>издвајање/дефинисање</w:t>
      </w:r>
      <w:r>
        <w:rPr>
          <w:color w:val="231F20"/>
          <w:spacing w:val="-14"/>
        </w:rPr>
        <w:t> </w:t>
      </w:r>
      <w:r>
        <w:rPr>
          <w:color w:val="231F20"/>
        </w:rPr>
        <w:t>и</w:t>
      </w:r>
      <w:r>
        <w:rPr>
          <w:color w:val="231F20"/>
          <w:spacing w:val="-14"/>
        </w:rPr>
        <w:t> </w:t>
      </w:r>
      <w:r>
        <w:rPr>
          <w:color w:val="231F20"/>
        </w:rPr>
        <w:t>очување</w:t>
      </w:r>
      <w:r>
        <w:rPr>
          <w:color w:val="231F20"/>
          <w:spacing w:val="-14"/>
        </w:rPr>
        <w:t> </w:t>
      </w:r>
      <w:r>
        <w:rPr>
          <w:color w:val="231F20"/>
        </w:rPr>
        <w:t>визуелно</w:t>
      </w:r>
      <w:r>
        <w:rPr>
          <w:color w:val="231F20"/>
          <w:spacing w:val="-14"/>
        </w:rPr>
        <w:t> </w:t>
      </w:r>
      <w:r>
        <w:rPr>
          <w:color w:val="231F20"/>
        </w:rPr>
        <w:t>посебно</w:t>
      </w:r>
      <w:r>
        <w:rPr>
          <w:color w:val="231F20"/>
          <w:spacing w:val="-14"/>
        </w:rPr>
        <w:t> </w:t>
      </w:r>
      <w:r>
        <w:rPr>
          <w:color w:val="231F20"/>
        </w:rPr>
        <w:t>пријат- них простора и/или</w:t>
      </w:r>
      <w:r>
        <w:rPr>
          <w:color w:val="231F20"/>
          <w:spacing w:val="-4"/>
        </w:rPr>
        <w:t> </w:t>
      </w:r>
      <w:r>
        <w:rPr>
          <w:color w:val="231F20"/>
        </w:rPr>
        <w:t>видиковца.</w:t>
      </w:r>
    </w:p>
    <w:p>
      <w:pPr>
        <w:pStyle w:val="BodyText"/>
        <w:spacing w:line="232" w:lineRule="auto"/>
        <w:ind w:left="454" w:firstLine="397"/>
      </w:pPr>
      <w:r>
        <w:rPr>
          <w:color w:val="231F20"/>
        </w:rPr>
        <w:t>Развој</w:t>
      </w:r>
      <w:r>
        <w:rPr>
          <w:color w:val="231F20"/>
          <w:spacing w:val="-7"/>
        </w:rPr>
        <w:t> </w:t>
      </w:r>
      <w:r>
        <w:rPr>
          <w:color w:val="231F20"/>
        </w:rPr>
        <w:t>површинских</w:t>
      </w:r>
      <w:r>
        <w:rPr>
          <w:color w:val="231F20"/>
          <w:spacing w:val="-7"/>
        </w:rPr>
        <w:t> </w:t>
      </w:r>
      <w:r>
        <w:rPr>
          <w:color w:val="231F20"/>
          <w:spacing w:val="-3"/>
        </w:rPr>
        <w:t>копова</w:t>
      </w:r>
      <w:r>
        <w:rPr>
          <w:color w:val="231F20"/>
          <w:spacing w:val="-7"/>
        </w:rPr>
        <w:t> </w:t>
      </w:r>
      <w:r>
        <w:rPr>
          <w:color w:val="231F20"/>
        </w:rPr>
        <w:t>треба</w:t>
      </w:r>
      <w:r>
        <w:rPr>
          <w:color w:val="231F20"/>
          <w:spacing w:val="-7"/>
        </w:rPr>
        <w:t> </w:t>
      </w:r>
      <w:r>
        <w:rPr>
          <w:color w:val="231F20"/>
        </w:rPr>
        <w:t>усмеравати</w:t>
      </w:r>
      <w:r>
        <w:rPr>
          <w:color w:val="231F20"/>
          <w:spacing w:val="-7"/>
        </w:rPr>
        <w:t> </w:t>
      </w:r>
      <w:r>
        <w:rPr>
          <w:color w:val="231F20"/>
          <w:spacing w:val="-3"/>
        </w:rPr>
        <w:t>тако</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обез- беди очување постојећег заштитног зеленог појаса дуж обале и у приобаљу Дунава. Потребно је обезбедити заштитни зелени појас у ширини </w:t>
      </w:r>
      <w:r>
        <w:rPr>
          <w:color w:val="231F20"/>
          <w:spacing w:val="-3"/>
        </w:rPr>
        <w:t>од </w:t>
      </w:r>
      <w:r>
        <w:rPr>
          <w:color w:val="231F20"/>
        </w:rPr>
        <w:t>500 m, што може представљати компензацију за део коридора</w:t>
      </w:r>
      <w:r>
        <w:rPr>
          <w:color w:val="231F20"/>
          <w:spacing w:val="-8"/>
        </w:rPr>
        <w:t> </w:t>
      </w:r>
      <w:r>
        <w:rPr>
          <w:color w:val="231F20"/>
        </w:rPr>
        <w:t>уз</w:t>
      </w:r>
      <w:r>
        <w:rPr>
          <w:color w:val="231F20"/>
          <w:spacing w:val="-8"/>
        </w:rPr>
        <w:t> </w:t>
      </w:r>
      <w:r>
        <w:rPr>
          <w:color w:val="231F20"/>
        </w:rPr>
        <w:t>Дунавац</w:t>
      </w:r>
      <w:r>
        <w:rPr>
          <w:color w:val="231F20"/>
          <w:spacing w:val="-8"/>
        </w:rPr>
        <w:t> </w:t>
      </w:r>
      <w:r>
        <w:rPr>
          <w:color w:val="231F20"/>
          <w:spacing w:val="-3"/>
        </w:rPr>
        <w:t>који</w:t>
      </w:r>
      <w:r>
        <w:rPr>
          <w:color w:val="231F20"/>
          <w:spacing w:val="-8"/>
        </w:rPr>
        <w:t> </w:t>
      </w:r>
      <w:r>
        <w:rPr>
          <w:color w:val="231F20"/>
        </w:rPr>
        <w:t>се</w:t>
      </w:r>
      <w:r>
        <w:rPr>
          <w:color w:val="231F20"/>
          <w:spacing w:val="-8"/>
        </w:rPr>
        <w:t> </w:t>
      </w:r>
      <w:r>
        <w:rPr>
          <w:color w:val="231F20"/>
        </w:rPr>
        <w:t>у</w:t>
      </w:r>
      <w:r>
        <w:rPr>
          <w:color w:val="231F20"/>
          <w:spacing w:val="-8"/>
        </w:rPr>
        <w:t> </w:t>
      </w:r>
      <w:r>
        <w:rPr>
          <w:color w:val="231F20"/>
        </w:rPr>
        <w:t>потпуности</w:t>
      </w:r>
      <w:r>
        <w:rPr>
          <w:color w:val="231F20"/>
          <w:spacing w:val="-8"/>
        </w:rPr>
        <w:t> </w:t>
      </w:r>
      <w:r>
        <w:rPr>
          <w:color w:val="231F20"/>
        </w:rPr>
        <w:t>уништава</w:t>
      </w:r>
      <w:r>
        <w:rPr>
          <w:color w:val="231F20"/>
          <w:spacing w:val="-8"/>
        </w:rPr>
        <w:t> </w:t>
      </w:r>
      <w:r>
        <w:rPr>
          <w:color w:val="231F20"/>
        </w:rPr>
        <w:t>и</w:t>
      </w:r>
      <w:r>
        <w:rPr>
          <w:color w:val="231F20"/>
          <w:spacing w:val="-8"/>
        </w:rPr>
        <w:t> </w:t>
      </w:r>
      <w:r>
        <w:rPr>
          <w:color w:val="231F20"/>
        </w:rPr>
        <w:t>он</w:t>
      </w:r>
      <w:r>
        <w:rPr>
          <w:color w:val="231F20"/>
          <w:spacing w:val="-8"/>
        </w:rPr>
        <w:t> </w:t>
      </w:r>
      <w:r>
        <w:rPr>
          <w:color w:val="231F20"/>
        </w:rPr>
        <w:t>може</w:t>
      </w:r>
      <w:r>
        <w:rPr>
          <w:color w:val="231F20"/>
          <w:spacing w:val="-8"/>
        </w:rPr>
        <w:t> </w:t>
      </w:r>
      <w:r>
        <w:rPr>
          <w:color w:val="231F20"/>
        </w:rPr>
        <w:t>би- ти бафер зона између површинског </w:t>
      </w:r>
      <w:r>
        <w:rPr>
          <w:color w:val="231F20"/>
          <w:spacing w:val="-3"/>
        </w:rPr>
        <w:t>копа </w:t>
      </w:r>
      <w:r>
        <w:rPr>
          <w:color w:val="231F20"/>
        </w:rPr>
        <w:t>и</w:t>
      </w:r>
      <w:r>
        <w:rPr>
          <w:color w:val="231F20"/>
          <w:spacing w:val="-7"/>
        </w:rPr>
        <w:t> </w:t>
      </w:r>
      <w:r>
        <w:rPr>
          <w:color w:val="231F20"/>
        </w:rPr>
        <w:t>приобаља.</w:t>
      </w:r>
    </w:p>
    <w:p>
      <w:pPr>
        <w:spacing w:before="167"/>
        <w:ind w:left="2162" w:right="0" w:firstLine="0"/>
        <w:jc w:val="left"/>
        <w:rPr>
          <w:i/>
          <w:sz w:val="18"/>
        </w:rPr>
      </w:pPr>
      <w:r>
        <w:rPr>
          <w:i/>
          <w:color w:val="231F20"/>
          <w:sz w:val="18"/>
        </w:rPr>
        <w:t>5.4. Културно наслеђе</w:t>
      </w:r>
    </w:p>
    <w:p>
      <w:pPr>
        <w:pStyle w:val="BodyText"/>
        <w:spacing w:before="4"/>
        <w:ind w:left="0"/>
        <w:jc w:val="left"/>
        <w:rPr>
          <w:i/>
          <w:sz w:val="17"/>
        </w:rPr>
      </w:pPr>
    </w:p>
    <w:p>
      <w:pPr>
        <w:pStyle w:val="BodyText"/>
        <w:spacing w:line="232" w:lineRule="auto" w:before="1"/>
        <w:ind w:left="453" w:right="1" w:firstLine="396"/>
      </w:pPr>
      <w:r>
        <w:rPr>
          <w:color w:val="231F20"/>
        </w:rPr>
        <w:t>Концепција заштите базираће се на интегралној заштити ма- теријалних и нематеријалних културних вредности.</w:t>
      </w:r>
    </w:p>
    <w:p>
      <w:pPr>
        <w:pStyle w:val="ListParagraph"/>
        <w:numPr>
          <w:ilvl w:val="0"/>
          <w:numId w:val="36"/>
        </w:numPr>
        <w:tabs>
          <w:tab w:pos="1046" w:val="left" w:leader="none"/>
        </w:tabs>
        <w:spacing w:line="200" w:lineRule="exact" w:before="0" w:after="0"/>
        <w:ind w:left="1045" w:right="0" w:hanging="195"/>
        <w:jc w:val="left"/>
        <w:rPr>
          <w:sz w:val="18"/>
        </w:rPr>
      </w:pPr>
      <w:r>
        <w:rPr>
          <w:color w:val="231F20"/>
          <w:sz w:val="18"/>
        </w:rPr>
        <w:t>Археолошкa</w:t>
      </w:r>
      <w:r>
        <w:rPr>
          <w:color w:val="231F20"/>
          <w:spacing w:val="-2"/>
          <w:sz w:val="18"/>
        </w:rPr>
        <w:t> </w:t>
      </w:r>
      <w:r>
        <w:rPr>
          <w:color w:val="231F20"/>
          <w:sz w:val="18"/>
        </w:rPr>
        <w:t>налазиштa</w:t>
      </w:r>
    </w:p>
    <w:p>
      <w:pPr>
        <w:pStyle w:val="BodyText"/>
        <w:spacing w:line="232" w:lineRule="auto" w:before="2"/>
        <w:ind w:left="453" w:right="1" w:firstLine="397"/>
      </w:pPr>
      <w:r>
        <w:rPr>
          <w:color w:val="231F20"/>
        </w:rPr>
        <w:t>Археолошка истраживања је потребно спроводити по посеб- ним програмима, </w:t>
      </w:r>
      <w:r>
        <w:rPr>
          <w:color w:val="231F20"/>
          <w:spacing w:val="-3"/>
        </w:rPr>
        <w:t>који </w:t>
      </w:r>
      <w:r>
        <w:rPr>
          <w:color w:val="231F20"/>
        </w:rPr>
        <w:t>обухватају поред површинске проспекције терена (рекогносцирања) примену савремених мултидисципли- нарних метода истраживања. Ове методе омогућавају ефикасни- је дефинисање археолошке ситуације на терену и тиме скраћују време истраживања. На просторима </w:t>
      </w:r>
      <w:r>
        <w:rPr>
          <w:color w:val="231F20"/>
          <w:spacing w:val="-3"/>
        </w:rPr>
        <w:t>који </w:t>
      </w:r>
      <w:r>
        <w:rPr>
          <w:color w:val="231F20"/>
        </w:rPr>
        <w:t>су угрожени рударским радовима нужна су интензивна заштитна археолошка ископавања ради благовременог откривања археолошких налаза. Потребно је обезбедити услове да се избегну оштећења објеката и предмета </w:t>
      </w:r>
      <w:r>
        <w:rPr>
          <w:color w:val="231F20"/>
          <w:spacing w:val="-3"/>
        </w:rPr>
        <w:t>приликом </w:t>
      </w:r>
      <w:r>
        <w:rPr>
          <w:color w:val="231F20"/>
        </w:rPr>
        <w:t>рада </w:t>
      </w:r>
      <w:r>
        <w:rPr>
          <w:color w:val="231F20"/>
          <w:spacing w:val="-3"/>
        </w:rPr>
        <w:t>рударске</w:t>
      </w:r>
      <w:r>
        <w:rPr>
          <w:color w:val="231F20"/>
          <w:spacing w:val="1"/>
        </w:rPr>
        <w:t> </w:t>
      </w:r>
      <w:r>
        <w:rPr>
          <w:color w:val="231F20"/>
        </w:rPr>
        <w:t>механизације.</w:t>
      </w:r>
    </w:p>
    <w:p>
      <w:pPr>
        <w:pStyle w:val="BodyText"/>
        <w:spacing w:line="232" w:lineRule="auto" w:before="3"/>
        <w:ind w:left="453" w:right="1" w:firstLine="396"/>
      </w:pPr>
      <w:r>
        <w:rPr>
          <w:color w:val="231F20"/>
          <w:spacing w:val="-3"/>
        </w:rPr>
        <w:t>Археолошко </w:t>
      </w:r>
      <w:r>
        <w:rPr>
          <w:color w:val="231F20"/>
        </w:rPr>
        <w:t>налазиште „Виминацијум” Виминацијум се сматра једном </w:t>
      </w:r>
      <w:r>
        <w:rPr>
          <w:color w:val="231F20"/>
          <w:spacing w:val="-3"/>
        </w:rPr>
        <w:t>од </w:t>
      </w:r>
      <w:r>
        <w:rPr>
          <w:color w:val="231F20"/>
        </w:rPr>
        <w:t>кључних карика за повезивање ових простора  са европским културним простором, на бази истог цивилизациј- </w:t>
      </w:r>
      <w:r>
        <w:rPr>
          <w:color w:val="231F20"/>
          <w:spacing w:val="-3"/>
        </w:rPr>
        <w:t>ског</w:t>
      </w:r>
      <w:r>
        <w:rPr>
          <w:color w:val="231F20"/>
          <w:spacing w:val="-6"/>
        </w:rPr>
        <w:t> </w:t>
      </w:r>
      <w:r>
        <w:rPr>
          <w:color w:val="231F20"/>
        </w:rPr>
        <w:t>наслеђа.</w:t>
      </w:r>
      <w:r>
        <w:rPr>
          <w:color w:val="231F20"/>
          <w:spacing w:val="-6"/>
        </w:rPr>
        <w:t> </w:t>
      </w:r>
      <w:r>
        <w:rPr>
          <w:color w:val="231F20"/>
          <w:spacing w:val="-3"/>
        </w:rPr>
        <w:t>Утолико</w:t>
      </w:r>
      <w:r>
        <w:rPr>
          <w:color w:val="231F20"/>
          <w:spacing w:val="-6"/>
        </w:rPr>
        <w:t> </w:t>
      </w:r>
      <w:r>
        <w:rPr>
          <w:color w:val="231F20"/>
        </w:rPr>
        <w:t>је</w:t>
      </w:r>
      <w:r>
        <w:rPr>
          <w:color w:val="231F20"/>
          <w:spacing w:val="-6"/>
        </w:rPr>
        <w:t> </w:t>
      </w:r>
      <w:r>
        <w:rPr>
          <w:color w:val="231F20"/>
        </w:rPr>
        <w:t>и</w:t>
      </w:r>
      <w:r>
        <w:rPr>
          <w:color w:val="231F20"/>
          <w:spacing w:val="-6"/>
        </w:rPr>
        <w:t> </w:t>
      </w:r>
      <w:r>
        <w:rPr>
          <w:color w:val="231F20"/>
        </w:rPr>
        <w:t>одговорност</w:t>
      </w:r>
      <w:r>
        <w:rPr>
          <w:color w:val="231F20"/>
          <w:spacing w:val="-6"/>
        </w:rPr>
        <w:t> </w:t>
      </w:r>
      <w:r>
        <w:rPr>
          <w:color w:val="231F20"/>
        </w:rPr>
        <w:t>за</w:t>
      </w:r>
      <w:r>
        <w:rPr>
          <w:color w:val="231F20"/>
          <w:spacing w:val="-6"/>
        </w:rPr>
        <w:t> </w:t>
      </w:r>
      <w:r>
        <w:rPr>
          <w:color w:val="231F20"/>
        </w:rPr>
        <w:t>очување</w:t>
      </w:r>
      <w:r>
        <w:rPr>
          <w:color w:val="231F20"/>
          <w:spacing w:val="-6"/>
        </w:rPr>
        <w:t> </w:t>
      </w:r>
      <w:r>
        <w:rPr>
          <w:color w:val="231F20"/>
        </w:rPr>
        <w:t>овог</w:t>
      </w:r>
      <w:r>
        <w:rPr>
          <w:color w:val="231F20"/>
          <w:spacing w:val="-6"/>
        </w:rPr>
        <w:t> </w:t>
      </w:r>
      <w:r>
        <w:rPr>
          <w:color w:val="231F20"/>
        </w:rPr>
        <w:t>налазишта већа. Очување и презентација Виминацијума доприносе његовој промоцији као саставног дела европског културног</w:t>
      </w:r>
      <w:r>
        <w:rPr>
          <w:color w:val="231F20"/>
          <w:spacing w:val="-26"/>
        </w:rPr>
        <w:t> </w:t>
      </w:r>
      <w:r>
        <w:rPr>
          <w:color w:val="231F20"/>
        </w:rPr>
        <w:t>идентитета.</w:t>
      </w:r>
    </w:p>
    <w:p>
      <w:pPr>
        <w:pStyle w:val="BodyText"/>
        <w:spacing w:line="232" w:lineRule="auto" w:before="1"/>
        <w:ind w:left="453" w:right="1" w:firstLine="396"/>
      </w:pPr>
      <w:r>
        <w:rPr>
          <w:color w:val="231F20"/>
        </w:rPr>
        <w:t>У оквиру Археолошког парка изграђен је објекат Domvs Sci- entiarvm Viminacium чија је улога вишеструка, а пре свега је на- мењен истраживањима. С обзиром на специфичност</w:t>
      </w:r>
      <w:r>
        <w:rPr>
          <w:color w:val="231F20"/>
          <w:spacing w:val="-28"/>
        </w:rPr>
        <w:t> </w:t>
      </w:r>
      <w:r>
        <w:rPr>
          <w:color w:val="231F20"/>
        </w:rPr>
        <w:t>археолошких истраживања </w:t>
      </w:r>
      <w:r>
        <w:rPr>
          <w:color w:val="231F20"/>
          <w:spacing w:val="-3"/>
        </w:rPr>
        <w:t>која </w:t>
      </w:r>
      <w:r>
        <w:rPr>
          <w:color w:val="231F20"/>
        </w:rPr>
        <w:t>се врше in </w:t>
      </w:r>
      <w:r>
        <w:rPr>
          <w:color w:val="231F20"/>
          <w:spacing w:val="-3"/>
        </w:rPr>
        <w:t>sity, </w:t>
      </w:r>
      <w:r>
        <w:rPr>
          <w:color w:val="231F20"/>
        </w:rPr>
        <w:t>захтева се специфична инфра- структура потребна за функционисање објекта (смештајни капа- цитети за </w:t>
      </w:r>
      <w:r>
        <w:rPr>
          <w:color w:val="231F20"/>
          <w:spacing w:val="-2"/>
        </w:rPr>
        <w:t>научне </w:t>
      </w:r>
      <w:r>
        <w:rPr>
          <w:color w:val="231F20"/>
        </w:rPr>
        <w:t>сараднике, студенте, радни капацитети – кан- целарије, рачунско-информативни центар, стручна библиотека, депои, музејски простор, организација стручних конгреса</w:t>
      </w:r>
      <w:r>
        <w:rPr>
          <w:color w:val="231F20"/>
          <w:spacing w:val="-17"/>
        </w:rPr>
        <w:t> </w:t>
      </w:r>
      <w:r>
        <w:rPr>
          <w:color w:val="231F20"/>
        </w:rPr>
        <w:t>итд.).</w:t>
      </w:r>
    </w:p>
    <w:p>
      <w:pPr>
        <w:pStyle w:val="BodyText"/>
        <w:spacing w:line="232" w:lineRule="auto" w:before="3"/>
        <w:ind w:left="453" w:firstLine="396"/>
      </w:pPr>
      <w:r>
        <w:rPr>
          <w:color w:val="231F20"/>
        </w:rPr>
        <w:t>Садашња саобраћајна повезаност археолошког налазишта је врло лоша, посебно из правца Костолца. Саобраћајна доступност ће се обезбедити бољом мрежом путних саобраћајница, и форми- рањем пристаништа и марине на </w:t>
      </w:r>
      <w:r>
        <w:rPr>
          <w:color w:val="231F20"/>
          <w:spacing w:val="-4"/>
        </w:rPr>
        <w:t>Дунаву. </w:t>
      </w:r>
      <w:r>
        <w:rPr>
          <w:color w:val="231F20"/>
        </w:rPr>
        <w:t>Потребно је укључити шири простор у функцију презентације овог културног добра,</w:t>
      </w:r>
      <w:r>
        <w:rPr>
          <w:color w:val="231F20"/>
          <w:spacing w:val="-30"/>
        </w:rPr>
        <w:t> </w:t>
      </w:r>
      <w:r>
        <w:rPr>
          <w:color w:val="231F20"/>
        </w:rPr>
        <w:t>(пе- </w:t>
      </w:r>
      <w:r>
        <w:rPr>
          <w:color w:val="231F20"/>
          <w:spacing w:val="-3"/>
        </w:rPr>
        <w:t>шачке,</w:t>
      </w:r>
      <w:r>
        <w:rPr>
          <w:color w:val="231F20"/>
          <w:spacing w:val="-7"/>
        </w:rPr>
        <w:t> </w:t>
      </w:r>
      <w:r>
        <w:rPr>
          <w:color w:val="231F20"/>
          <w:spacing w:val="-4"/>
        </w:rPr>
        <w:t>колске</w:t>
      </w:r>
      <w:r>
        <w:rPr>
          <w:color w:val="231F20"/>
          <w:spacing w:val="-7"/>
        </w:rPr>
        <w:t> </w:t>
      </w:r>
      <w:r>
        <w:rPr>
          <w:color w:val="231F20"/>
        </w:rPr>
        <w:t>и</w:t>
      </w:r>
      <w:r>
        <w:rPr>
          <w:color w:val="231F20"/>
          <w:spacing w:val="-7"/>
        </w:rPr>
        <w:t> </w:t>
      </w:r>
      <w:r>
        <w:rPr>
          <w:color w:val="231F20"/>
        </w:rPr>
        <w:t>бициклистичке</w:t>
      </w:r>
      <w:r>
        <w:rPr>
          <w:color w:val="231F20"/>
          <w:spacing w:val="-7"/>
        </w:rPr>
        <w:t> </w:t>
      </w:r>
      <w:r>
        <w:rPr>
          <w:color w:val="231F20"/>
        </w:rPr>
        <w:t>стазе,</w:t>
      </w:r>
      <w:r>
        <w:rPr>
          <w:color w:val="231F20"/>
          <w:spacing w:val="-7"/>
        </w:rPr>
        <w:t> </w:t>
      </w:r>
      <w:r>
        <w:rPr>
          <w:color w:val="231F20"/>
        </w:rPr>
        <w:t>објекте</w:t>
      </w:r>
      <w:r>
        <w:rPr>
          <w:color w:val="231F20"/>
          <w:spacing w:val="-7"/>
        </w:rPr>
        <w:t> </w:t>
      </w:r>
      <w:r>
        <w:rPr>
          <w:color w:val="231F20"/>
        </w:rPr>
        <w:t>за</w:t>
      </w:r>
      <w:r>
        <w:rPr>
          <w:color w:val="231F20"/>
          <w:spacing w:val="-7"/>
        </w:rPr>
        <w:t> </w:t>
      </w:r>
      <w:r>
        <w:rPr>
          <w:color w:val="231F20"/>
        </w:rPr>
        <w:t>прихват</w:t>
      </w:r>
      <w:r>
        <w:rPr>
          <w:color w:val="231F20"/>
          <w:spacing w:val="-7"/>
        </w:rPr>
        <w:t> </w:t>
      </w:r>
      <w:r>
        <w:rPr>
          <w:color w:val="231F20"/>
        </w:rPr>
        <w:t>посетила- ца, </w:t>
      </w:r>
      <w:r>
        <w:rPr>
          <w:color w:val="231F20"/>
          <w:spacing w:val="-3"/>
        </w:rPr>
        <w:t>паркинг, </w:t>
      </w:r>
      <w:r>
        <w:rPr>
          <w:color w:val="231F20"/>
        </w:rPr>
        <w:t>информативне пунктове и</w:t>
      </w:r>
      <w:r>
        <w:rPr>
          <w:color w:val="231F20"/>
          <w:spacing w:val="-5"/>
        </w:rPr>
        <w:t> </w:t>
      </w:r>
      <w:r>
        <w:rPr>
          <w:color w:val="231F20"/>
        </w:rPr>
        <w:t>слично).</w:t>
      </w:r>
    </w:p>
    <w:p>
      <w:pPr>
        <w:pStyle w:val="BodyText"/>
        <w:spacing w:before="167"/>
        <w:ind w:left="2702"/>
        <w:jc w:val="left"/>
      </w:pPr>
      <w:r>
        <w:rPr>
          <w:color w:val="231F20"/>
        </w:rPr>
        <w:t>Маргум</w:t>
      </w:r>
    </w:p>
    <w:p>
      <w:pPr>
        <w:pStyle w:val="BodyText"/>
        <w:spacing w:before="4"/>
        <w:ind w:left="0"/>
        <w:jc w:val="left"/>
        <w:rPr>
          <w:sz w:val="17"/>
        </w:rPr>
      </w:pPr>
    </w:p>
    <w:p>
      <w:pPr>
        <w:pStyle w:val="BodyText"/>
        <w:spacing w:line="232" w:lineRule="auto"/>
        <w:ind w:left="454" w:firstLine="396"/>
      </w:pPr>
      <w:r>
        <w:rPr>
          <w:color w:val="231F20"/>
        </w:rPr>
        <w:t>Народном музеју Пожаревац одобрен је пројекат </w:t>
      </w:r>
      <w:r>
        <w:rPr>
          <w:color w:val="231F20"/>
          <w:spacing w:val="-3"/>
        </w:rPr>
        <w:t>„Град </w:t>
      </w:r>
      <w:r>
        <w:rPr>
          <w:color w:val="231F20"/>
        </w:rPr>
        <w:t>Мар- гум”</w:t>
      </w:r>
      <w:r>
        <w:rPr>
          <w:color w:val="231F20"/>
          <w:spacing w:val="-9"/>
        </w:rPr>
        <w:t> </w:t>
      </w:r>
      <w:r>
        <w:rPr>
          <w:color w:val="231F20"/>
        </w:rPr>
        <w:t>у</w:t>
      </w:r>
      <w:r>
        <w:rPr>
          <w:color w:val="231F20"/>
          <w:spacing w:val="-9"/>
        </w:rPr>
        <w:t> </w:t>
      </w:r>
      <w:r>
        <w:rPr>
          <w:color w:val="231F20"/>
        </w:rPr>
        <w:t>оквиру</w:t>
      </w:r>
      <w:r>
        <w:rPr>
          <w:color w:val="231F20"/>
          <w:spacing w:val="-9"/>
        </w:rPr>
        <w:t> </w:t>
      </w:r>
      <w:r>
        <w:rPr>
          <w:color w:val="231F20"/>
        </w:rPr>
        <w:t>Програма</w:t>
      </w:r>
      <w:r>
        <w:rPr>
          <w:color w:val="231F20"/>
          <w:spacing w:val="-9"/>
        </w:rPr>
        <w:t> </w:t>
      </w:r>
      <w:r>
        <w:rPr>
          <w:color w:val="231F20"/>
        </w:rPr>
        <w:t>прекограничне</w:t>
      </w:r>
      <w:r>
        <w:rPr>
          <w:color w:val="231F20"/>
          <w:spacing w:val="-9"/>
        </w:rPr>
        <w:t> </w:t>
      </w:r>
      <w:r>
        <w:rPr>
          <w:color w:val="231F20"/>
        </w:rPr>
        <w:t>сарадње</w:t>
      </w:r>
      <w:r>
        <w:rPr>
          <w:color w:val="231F20"/>
          <w:spacing w:val="-9"/>
        </w:rPr>
        <w:t> </w:t>
      </w:r>
      <w:r>
        <w:rPr>
          <w:color w:val="231F20"/>
        </w:rPr>
        <w:t>Румуније</w:t>
      </w:r>
      <w:r>
        <w:rPr>
          <w:color w:val="231F20"/>
          <w:spacing w:val="-9"/>
        </w:rPr>
        <w:t> </w:t>
      </w:r>
      <w:r>
        <w:rPr>
          <w:color w:val="231F20"/>
        </w:rPr>
        <w:t>и</w:t>
      </w:r>
      <w:r>
        <w:rPr>
          <w:color w:val="231F20"/>
          <w:spacing w:val="-9"/>
        </w:rPr>
        <w:t> </w:t>
      </w:r>
      <w:r>
        <w:rPr>
          <w:color w:val="231F20"/>
        </w:rPr>
        <w:t>Срби- је, </w:t>
      </w:r>
      <w:r>
        <w:rPr>
          <w:color w:val="231F20"/>
          <w:spacing w:val="-3"/>
        </w:rPr>
        <w:t>који </w:t>
      </w:r>
      <w:r>
        <w:rPr>
          <w:color w:val="231F20"/>
        </w:rPr>
        <w:t>се финансира из </w:t>
      </w:r>
      <w:r>
        <w:rPr>
          <w:color w:val="231F20"/>
          <w:spacing w:val="-6"/>
        </w:rPr>
        <w:t>IPA </w:t>
      </w:r>
      <w:r>
        <w:rPr>
          <w:color w:val="231F20"/>
        </w:rPr>
        <w:t>фонда Европске уније. Планирано је да се на Маргуму подигне археолошки</w:t>
      </w:r>
      <w:r>
        <w:rPr>
          <w:color w:val="231F20"/>
          <w:spacing w:val="-8"/>
        </w:rPr>
        <w:t> </w:t>
      </w:r>
      <w:r>
        <w:rPr>
          <w:color w:val="231F20"/>
        </w:rPr>
        <w:t>парк.</w:t>
      </w:r>
    </w:p>
    <w:p>
      <w:pPr>
        <w:pStyle w:val="BodyText"/>
        <w:spacing w:line="232" w:lineRule="auto" w:before="1"/>
        <w:ind w:left="454" w:firstLine="396"/>
      </w:pPr>
      <w:r>
        <w:rPr>
          <w:color w:val="231F20"/>
        </w:rPr>
        <w:t>Средњовековни град Браничево: У циљу даљег очувања </w:t>
      </w:r>
      <w:r>
        <w:rPr>
          <w:color w:val="231F20"/>
          <w:spacing w:val="-3"/>
        </w:rPr>
        <w:t>кул- </w:t>
      </w:r>
      <w:r>
        <w:rPr>
          <w:color w:val="231F20"/>
        </w:rPr>
        <w:t>турно-историјских вредности, Народни музеј у Пожаревцу је по- кренуо </w:t>
      </w:r>
      <w:r>
        <w:rPr>
          <w:color w:val="231F20"/>
          <w:spacing w:val="-2"/>
        </w:rPr>
        <w:t>научни </w:t>
      </w:r>
      <w:r>
        <w:rPr>
          <w:color w:val="231F20"/>
        </w:rPr>
        <w:t>пројекат „Браничево” у сарадњи са Археолошким институтом</w:t>
      </w:r>
      <w:r>
        <w:rPr>
          <w:color w:val="231F20"/>
          <w:spacing w:val="-10"/>
        </w:rPr>
        <w:t> </w:t>
      </w:r>
      <w:r>
        <w:rPr>
          <w:color w:val="231F20"/>
        </w:rPr>
        <w:t>из</w:t>
      </w:r>
      <w:r>
        <w:rPr>
          <w:color w:val="231F20"/>
          <w:spacing w:val="-11"/>
        </w:rPr>
        <w:t> </w:t>
      </w:r>
      <w:r>
        <w:rPr>
          <w:color w:val="231F20"/>
        </w:rPr>
        <w:t>Београда.</w:t>
      </w:r>
      <w:r>
        <w:rPr>
          <w:color w:val="231F20"/>
          <w:spacing w:val="-10"/>
        </w:rPr>
        <w:t> </w:t>
      </w:r>
      <w:r>
        <w:rPr>
          <w:color w:val="231F20"/>
        </w:rPr>
        <w:t>Циљеви</w:t>
      </w:r>
      <w:r>
        <w:rPr>
          <w:color w:val="231F20"/>
          <w:spacing w:val="-10"/>
        </w:rPr>
        <w:t> </w:t>
      </w:r>
      <w:r>
        <w:rPr>
          <w:color w:val="231F20"/>
        </w:rPr>
        <w:t>пројекта</w:t>
      </w:r>
      <w:r>
        <w:rPr>
          <w:color w:val="231F20"/>
          <w:spacing w:val="-10"/>
        </w:rPr>
        <w:t> </w:t>
      </w:r>
      <w:r>
        <w:rPr>
          <w:color w:val="231F20"/>
        </w:rPr>
        <w:t>су</w:t>
      </w:r>
      <w:r>
        <w:rPr>
          <w:color w:val="231F20"/>
          <w:spacing w:val="-11"/>
        </w:rPr>
        <w:t> </w:t>
      </w:r>
      <w:r>
        <w:rPr>
          <w:color w:val="231F20"/>
        </w:rPr>
        <w:t>усмерени</w:t>
      </w:r>
      <w:r>
        <w:rPr>
          <w:color w:val="231F20"/>
          <w:spacing w:val="-10"/>
        </w:rPr>
        <w:t> </w:t>
      </w:r>
      <w:r>
        <w:rPr>
          <w:color w:val="231F20"/>
        </w:rPr>
        <w:t>ка</w:t>
      </w:r>
      <w:r>
        <w:rPr>
          <w:color w:val="231F20"/>
          <w:spacing w:val="-10"/>
        </w:rPr>
        <w:t> </w:t>
      </w:r>
      <w:r>
        <w:rPr>
          <w:color w:val="231F20"/>
        </w:rPr>
        <w:t>оживља- вању и ревитализацији </w:t>
      </w:r>
      <w:r>
        <w:rPr>
          <w:color w:val="231F20"/>
          <w:spacing w:val="-3"/>
        </w:rPr>
        <w:t>комплексног </w:t>
      </w:r>
      <w:r>
        <w:rPr>
          <w:color w:val="231F20"/>
        </w:rPr>
        <w:t>културно-историјског</w:t>
      </w:r>
      <w:r>
        <w:rPr>
          <w:color w:val="231F20"/>
          <w:spacing w:val="13"/>
        </w:rPr>
        <w:t> </w:t>
      </w:r>
      <w:r>
        <w:rPr>
          <w:color w:val="231F20"/>
        </w:rPr>
        <w:t>језгра</w:t>
      </w:r>
    </w:p>
    <w:p>
      <w:pPr>
        <w:pStyle w:val="BodyText"/>
        <w:spacing w:line="232" w:lineRule="auto" w:before="73"/>
        <w:ind w:left="242" w:right="127"/>
      </w:pPr>
      <w:r>
        <w:rPr/>
        <w:br w:type="column"/>
      </w:r>
      <w:r>
        <w:rPr>
          <w:color w:val="231F20"/>
          <w:spacing w:val="-4"/>
        </w:rPr>
        <w:t>око </w:t>
      </w:r>
      <w:r>
        <w:rPr>
          <w:color w:val="231F20"/>
          <w:spacing w:val="-6"/>
        </w:rPr>
        <w:t>„Тодића </w:t>
      </w:r>
      <w:r>
        <w:rPr>
          <w:color w:val="231F20"/>
        </w:rPr>
        <w:t>цркве”, </w:t>
      </w:r>
      <w:r>
        <w:rPr>
          <w:color w:val="231F20"/>
          <w:spacing w:val="-4"/>
        </w:rPr>
        <w:t>где </w:t>
      </w:r>
      <w:r>
        <w:rPr>
          <w:color w:val="231F20"/>
        </w:rPr>
        <w:t>је некада било седиште српске епископи- је Браничево. Тренутно се поправља фасада цркве Св. Ђорђа, док је вила „Лепосава” руинирана и изложена </w:t>
      </w:r>
      <w:r>
        <w:rPr>
          <w:color w:val="231F20"/>
          <w:spacing w:val="-4"/>
        </w:rPr>
        <w:t>зубу </w:t>
      </w:r>
      <w:r>
        <w:rPr>
          <w:color w:val="231F20"/>
        </w:rPr>
        <w:t>времена. Ова вила припада</w:t>
      </w:r>
      <w:r>
        <w:rPr>
          <w:color w:val="231F20"/>
          <w:spacing w:val="-7"/>
        </w:rPr>
        <w:t> </w:t>
      </w:r>
      <w:r>
        <w:rPr>
          <w:color w:val="231F20"/>
        </w:rPr>
        <w:t>Музеју</w:t>
      </w:r>
      <w:r>
        <w:rPr>
          <w:color w:val="231F20"/>
          <w:spacing w:val="-7"/>
        </w:rPr>
        <w:t> </w:t>
      </w:r>
      <w:r>
        <w:rPr>
          <w:color w:val="231F20"/>
        </w:rPr>
        <w:t>града</w:t>
      </w:r>
      <w:r>
        <w:rPr>
          <w:color w:val="231F20"/>
          <w:spacing w:val="-7"/>
        </w:rPr>
        <w:t> </w:t>
      </w:r>
      <w:r>
        <w:rPr>
          <w:color w:val="231F20"/>
        </w:rPr>
        <w:t>Пожаревца.</w:t>
      </w:r>
      <w:r>
        <w:rPr>
          <w:color w:val="231F20"/>
          <w:spacing w:val="-7"/>
        </w:rPr>
        <w:t> </w:t>
      </w:r>
      <w:r>
        <w:rPr>
          <w:color w:val="231F20"/>
        </w:rPr>
        <w:t>Потребно</w:t>
      </w:r>
      <w:r>
        <w:rPr>
          <w:color w:val="231F20"/>
          <w:spacing w:val="-7"/>
        </w:rPr>
        <w:t> </w:t>
      </w:r>
      <w:r>
        <w:rPr>
          <w:color w:val="231F20"/>
        </w:rPr>
        <w:t>је</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што</w:t>
      </w:r>
      <w:r>
        <w:rPr>
          <w:color w:val="231F20"/>
          <w:spacing w:val="-7"/>
        </w:rPr>
        <w:t> </w:t>
      </w:r>
      <w:r>
        <w:rPr>
          <w:color w:val="231F20"/>
        </w:rPr>
        <w:t>пре</w:t>
      </w:r>
      <w:r>
        <w:rPr>
          <w:color w:val="231F20"/>
          <w:spacing w:val="-7"/>
        </w:rPr>
        <w:t> </w:t>
      </w:r>
      <w:r>
        <w:rPr>
          <w:color w:val="231F20"/>
        </w:rPr>
        <w:t>обно- ви и приведе</w:t>
      </w:r>
      <w:r>
        <w:rPr>
          <w:color w:val="231F20"/>
          <w:spacing w:val="-3"/>
        </w:rPr>
        <w:t> </w:t>
      </w:r>
      <w:r>
        <w:rPr>
          <w:color w:val="231F20"/>
        </w:rPr>
        <w:t>намени.</w:t>
      </w:r>
    </w:p>
    <w:p>
      <w:pPr>
        <w:pStyle w:val="ListParagraph"/>
        <w:numPr>
          <w:ilvl w:val="0"/>
          <w:numId w:val="36"/>
        </w:numPr>
        <w:tabs>
          <w:tab w:pos="836" w:val="left" w:leader="none"/>
        </w:tabs>
        <w:spacing w:line="194" w:lineRule="exact" w:before="0" w:after="0"/>
        <w:ind w:left="835" w:right="0" w:hanging="195"/>
        <w:jc w:val="left"/>
        <w:rPr>
          <w:sz w:val="18"/>
        </w:rPr>
      </w:pPr>
      <w:r>
        <w:rPr>
          <w:color w:val="231F20"/>
          <w:sz w:val="18"/>
        </w:rPr>
        <w:t>Сакрално споменичко</w:t>
      </w:r>
      <w:r>
        <w:rPr>
          <w:color w:val="231F20"/>
          <w:spacing w:val="-2"/>
          <w:sz w:val="18"/>
        </w:rPr>
        <w:t> </w:t>
      </w:r>
      <w:r>
        <w:rPr>
          <w:color w:val="231F20"/>
          <w:sz w:val="18"/>
        </w:rPr>
        <w:t>наслеђе</w:t>
      </w:r>
    </w:p>
    <w:p>
      <w:pPr>
        <w:pStyle w:val="BodyText"/>
        <w:spacing w:line="230" w:lineRule="auto" w:before="2"/>
        <w:ind w:left="243" w:right="127" w:firstLine="396"/>
      </w:pPr>
      <w:r>
        <w:rPr>
          <w:color w:val="231F20"/>
        </w:rPr>
        <w:t>На </w:t>
      </w:r>
      <w:r>
        <w:rPr>
          <w:color w:val="231F20"/>
          <w:spacing w:val="-3"/>
        </w:rPr>
        <w:t>Планском </w:t>
      </w:r>
      <w:r>
        <w:rPr>
          <w:color w:val="231F20"/>
        </w:rPr>
        <w:t>подручју налази се велики број сакралних обје- ката. Сакралне споменике неопходно је чувати in situ, а Програ- мом заштите потребно је дефинисати детаљне мере заштите, одр- жавања и уређења.</w:t>
      </w:r>
    </w:p>
    <w:p>
      <w:pPr>
        <w:pStyle w:val="BodyText"/>
        <w:spacing w:line="230" w:lineRule="auto" w:before="168"/>
        <w:ind w:left="1872" w:right="481" w:hanging="1192"/>
        <w:jc w:val="left"/>
      </w:pPr>
      <w:r>
        <w:rPr>
          <w:color w:val="231F20"/>
        </w:rPr>
        <w:t>Археолошки локалитет Рукумија – Манастир Рукумија и непосредно окружење</w:t>
      </w:r>
    </w:p>
    <w:p>
      <w:pPr>
        <w:pStyle w:val="BodyText"/>
        <w:spacing w:before="1"/>
        <w:ind w:left="0"/>
        <w:jc w:val="left"/>
        <w:rPr>
          <w:sz w:val="17"/>
        </w:rPr>
      </w:pPr>
    </w:p>
    <w:p>
      <w:pPr>
        <w:pStyle w:val="BodyText"/>
        <w:spacing w:line="230" w:lineRule="auto" w:before="1"/>
        <w:ind w:left="242" w:right="127" w:firstLine="397"/>
      </w:pPr>
      <w:r>
        <w:rPr>
          <w:color w:val="231F20"/>
        </w:rPr>
        <w:t>Просторна</w:t>
      </w:r>
      <w:r>
        <w:rPr>
          <w:color w:val="231F20"/>
          <w:spacing w:val="-9"/>
        </w:rPr>
        <w:t> </w:t>
      </w:r>
      <w:r>
        <w:rPr>
          <w:color w:val="231F20"/>
        </w:rPr>
        <w:t>подцелина</w:t>
      </w:r>
      <w:r>
        <w:rPr>
          <w:color w:val="231F20"/>
          <w:spacing w:val="-9"/>
        </w:rPr>
        <w:t> </w:t>
      </w:r>
      <w:r>
        <w:rPr>
          <w:color w:val="231F20"/>
        </w:rPr>
        <w:t>Рукумија</w:t>
      </w:r>
      <w:r>
        <w:rPr>
          <w:color w:val="231F20"/>
          <w:spacing w:val="-9"/>
        </w:rPr>
        <w:t> </w:t>
      </w:r>
      <w:r>
        <w:rPr>
          <w:color w:val="231F20"/>
        </w:rPr>
        <w:t>обухвата</w:t>
      </w:r>
      <w:r>
        <w:rPr>
          <w:color w:val="231F20"/>
          <w:spacing w:val="-9"/>
        </w:rPr>
        <w:t> </w:t>
      </w:r>
      <w:r>
        <w:rPr>
          <w:color w:val="231F20"/>
        </w:rPr>
        <w:t>подручје</w:t>
      </w:r>
      <w:r>
        <w:rPr>
          <w:color w:val="231F20"/>
          <w:spacing w:val="-9"/>
        </w:rPr>
        <w:t> </w:t>
      </w:r>
      <w:r>
        <w:rPr>
          <w:color w:val="231F20"/>
        </w:rPr>
        <w:t>манастира са непосредним окружењем. Предвиђа се уређење овог простора и формирање садржаја </w:t>
      </w:r>
      <w:r>
        <w:rPr>
          <w:color w:val="231F20"/>
          <w:spacing w:val="-3"/>
        </w:rPr>
        <w:t>који </w:t>
      </w:r>
      <w:r>
        <w:rPr>
          <w:color w:val="231F20"/>
        </w:rPr>
        <w:t>доприносе очувању традиционалних вредности</w:t>
      </w:r>
      <w:r>
        <w:rPr>
          <w:color w:val="231F20"/>
          <w:spacing w:val="-8"/>
        </w:rPr>
        <w:t> </w:t>
      </w:r>
      <w:r>
        <w:rPr>
          <w:color w:val="231F20"/>
        </w:rPr>
        <w:t>овог</w:t>
      </w:r>
      <w:r>
        <w:rPr>
          <w:color w:val="231F20"/>
          <w:spacing w:val="-8"/>
        </w:rPr>
        <w:t> </w:t>
      </w:r>
      <w:r>
        <w:rPr>
          <w:color w:val="231F20"/>
        </w:rPr>
        <w:t>краја</w:t>
      </w:r>
      <w:r>
        <w:rPr>
          <w:color w:val="231F20"/>
          <w:spacing w:val="-8"/>
        </w:rPr>
        <w:t> </w:t>
      </w:r>
      <w:r>
        <w:rPr>
          <w:color w:val="231F20"/>
        </w:rPr>
        <w:t>и</w:t>
      </w:r>
      <w:r>
        <w:rPr>
          <w:color w:val="231F20"/>
          <w:spacing w:val="-8"/>
        </w:rPr>
        <w:t> </w:t>
      </w:r>
      <w:r>
        <w:rPr>
          <w:color w:val="231F20"/>
        </w:rPr>
        <w:t>стварању</w:t>
      </w:r>
      <w:r>
        <w:rPr>
          <w:color w:val="231F20"/>
          <w:spacing w:val="-8"/>
        </w:rPr>
        <w:t> </w:t>
      </w:r>
      <w:r>
        <w:rPr>
          <w:color w:val="231F20"/>
        </w:rPr>
        <w:t>амбијента</w:t>
      </w:r>
      <w:r>
        <w:rPr>
          <w:color w:val="231F20"/>
          <w:spacing w:val="-8"/>
        </w:rPr>
        <w:t> </w:t>
      </w:r>
      <w:r>
        <w:rPr>
          <w:color w:val="231F20"/>
        </w:rPr>
        <w:t>за</w:t>
      </w:r>
      <w:r>
        <w:rPr>
          <w:color w:val="231F20"/>
          <w:spacing w:val="-8"/>
        </w:rPr>
        <w:t> </w:t>
      </w:r>
      <w:r>
        <w:rPr>
          <w:color w:val="231F20"/>
        </w:rPr>
        <w:t>културне</w:t>
      </w:r>
      <w:r>
        <w:rPr>
          <w:color w:val="231F20"/>
          <w:spacing w:val="-8"/>
        </w:rPr>
        <w:t> </w:t>
      </w:r>
      <w:r>
        <w:rPr>
          <w:color w:val="231F20"/>
        </w:rPr>
        <w:t>и</w:t>
      </w:r>
      <w:r>
        <w:rPr>
          <w:color w:val="231F20"/>
          <w:spacing w:val="-8"/>
        </w:rPr>
        <w:t> </w:t>
      </w:r>
      <w:r>
        <w:rPr>
          <w:color w:val="231F20"/>
        </w:rPr>
        <w:t>уметнич- </w:t>
      </w:r>
      <w:r>
        <w:rPr>
          <w:color w:val="231F20"/>
          <w:spacing w:val="-3"/>
        </w:rPr>
        <w:t>ке</w:t>
      </w:r>
      <w:r>
        <w:rPr>
          <w:color w:val="231F20"/>
          <w:spacing w:val="-1"/>
        </w:rPr>
        <w:t> </w:t>
      </w:r>
      <w:r>
        <w:rPr>
          <w:color w:val="231F20"/>
        </w:rPr>
        <w:t>активности.</w:t>
      </w:r>
    </w:p>
    <w:p>
      <w:pPr>
        <w:pStyle w:val="BodyText"/>
        <w:spacing w:before="160"/>
        <w:ind w:left="749" w:right="637"/>
        <w:jc w:val="center"/>
      </w:pPr>
      <w:r>
        <w:rPr>
          <w:color w:val="231F20"/>
        </w:rPr>
        <w:t>Манастир Нимник</w:t>
      </w:r>
    </w:p>
    <w:p>
      <w:pPr>
        <w:pStyle w:val="BodyText"/>
        <w:spacing w:before="1"/>
        <w:ind w:left="0"/>
        <w:jc w:val="left"/>
        <w:rPr>
          <w:sz w:val="17"/>
        </w:rPr>
      </w:pPr>
    </w:p>
    <w:p>
      <w:pPr>
        <w:pStyle w:val="BodyText"/>
        <w:spacing w:line="230" w:lineRule="auto"/>
        <w:ind w:left="242" w:right="128" w:firstLine="397"/>
      </w:pPr>
      <w:r>
        <w:rPr>
          <w:color w:val="231F20"/>
        </w:rPr>
        <w:t>Према „Регистру непокретних културних добара” Регионал- ног завода за заштиту споменика </w:t>
      </w:r>
      <w:r>
        <w:rPr>
          <w:color w:val="231F20"/>
          <w:spacing w:val="-3"/>
        </w:rPr>
        <w:t>културе </w:t>
      </w:r>
      <w:r>
        <w:rPr>
          <w:color w:val="231F20"/>
        </w:rPr>
        <w:t>Смедерево, у атару села </w:t>
      </w:r>
      <w:r>
        <w:rPr>
          <w:color w:val="231F20"/>
          <w:spacing w:val="-4"/>
        </w:rPr>
        <w:t>Курјаче </w:t>
      </w:r>
      <w:r>
        <w:rPr>
          <w:color w:val="231F20"/>
        </w:rPr>
        <w:t>(општина Велико Градиште) налазе се манастир Нимник, проглашен спомеником </w:t>
      </w:r>
      <w:r>
        <w:rPr>
          <w:color w:val="231F20"/>
          <w:spacing w:val="-3"/>
        </w:rPr>
        <w:t>културе Одлуком </w:t>
      </w:r>
      <w:r>
        <w:rPr>
          <w:color w:val="231F20"/>
        </w:rPr>
        <w:t>СО </w:t>
      </w:r>
      <w:r>
        <w:rPr>
          <w:color w:val="231F20"/>
          <w:spacing w:val="-3"/>
        </w:rPr>
        <w:t>Велико </w:t>
      </w:r>
      <w:r>
        <w:rPr>
          <w:color w:val="231F20"/>
        </w:rPr>
        <w:t>Градиште </w:t>
      </w:r>
      <w:r>
        <w:rPr>
          <w:color w:val="231F20"/>
          <w:spacing w:val="-3"/>
        </w:rPr>
        <w:t>од</w:t>
      </w:r>
    </w:p>
    <w:p>
      <w:pPr>
        <w:pStyle w:val="ListParagraph"/>
        <w:numPr>
          <w:ilvl w:val="0"/>
          <w:numId w:val="37"/>
        </w:numPr>
        <w:tabs>
          <w:tab w:pos="528" w:val="left" w:leader="none"/>
        </w:tabs>
        <w:spacing w:line="230" w:lineRule="auto" w:before="0" w:after="0"/>
        <w:ind w:left="242" w:right="128" w:firstLine="0"/>
        <w:jc w:val="both"/>
        <w:rPr>
          <w:sz w:val="18"/>
        </w:rPr>
      </w:pPr>
      <w:r>
        <w:rPr>
          <w:color w:val="231F20"/>
          <w:sz w:val="18"/>
        </w:rPr>
        <w:t>децембра 1981. година. </w:t>
      </w:r>
      <w:r>
        <w:rPr>
          <w:color w:val="231F20"/>
          <w:spacing w:val="-4"/>
          <w:sz w:val="18"/>
        </w:rPr>
        <w:t>Услови </w:t>
      </w:r>
      <w:r>
        <w:rPr>
          <w:color w:val="231F20"/>
          <w:sz w:val="18"/>
        </w:rPr>
        <w:t>уређења </w:t>
      </w:r>
      <w:r>
        <w:rPr>
          <w:color w:val="231F20"/>
          <w:spacing w:val="-3"/>
          <w:sz w:val="18"/>
        </w:rPr>
        <w:t>комплекса </w:t>
      </w:r>
      <w:r>
        <w:rPr>
          <w:color w:val="231F20"/>
          <w:sz w:val="18"/>
        </w:rPr>
        <w:t>манастира утврђени су у Просторном плану општине Велико Градиште. Као и за сва </w:t>
      </w:r>
      <w:r>
        <w:rPr>
          <w:color w:val="231F20"/>
          <w:spacing w:val="-2"/>
          <w:sz w:val="18"/>
        </w:rPr>
        <w:t>културна </w:t>
      </w:r>
      <w:r>
        <w:rPr>
          <w:color w:val="231F20"/>
          <w:sz w:val="18"/>
        </w:rPr>
        <w:t>добра пре обнове или реконструкције морају се прибавити посебни услови у складу са</w:t>
      </w:r>
      <w:r>
        <w:rPr>
          <w:color w:val="231F20"/>
          <w:spacing w:val="-1"/>
          <w:sz w:val="18"/>
        </w:rPr>
        <w:t> </w:t>
      </w:r>
      <w:r>
        <w:rPr>
          <w:color w:val="231F20"/>
          <w:spacing w:val="-3"/>
          <w:sz w:val="18"/>
        </w:rPr>
        <w:t>законом.</w:t>
      </w:r>
    </w:p>
    <w:p>
      <w:pPr>
        <w:pStyle w:val="ListParagraph"/>
        <w:numPr>
          <w:ilvl w:val="0"/>
          <w:numId w:val="36"/>
        </w:numPr>
        <w:tabs>
          <w:tab w:pos="834" w:val="left" w:leader="none"/>
        </w:tabs>
        <w:spacing w:line="194" w:lineRule="exact" w:before="0" w:after="0"/>
        <w:ind w:left="833" w:right="0" w:hanging="194"/>
        <w:jc w:val="left"/>
        <w:rPr>
          <w:sz w:val="18"/>
        </w:rPr>
      </w:pPr>
      <w:r>
        <w:rPr>
          <w:color w:val="231F20"/>
          <w:sz w:val="18"/>
        </w:rPr>
        <w:t>Народно</w:t>
      </w:r>
      <w:r>
        <w:rPr>
          <w:color w:val="231F20"/>
          <w:spacing w:val="-2"/>
          <w:sz w:val="18"/>
        </w:rPr>
        <w:t> </w:t>
      </w:r>
      <w:r>
        <w:rPr>
          <w:color w:val="231F20"/>
          <w:sz w:val="18"/>
        </w:rPr>
        <w:t>градитељство</w:t>
      </w:r>
    </w:p>
    <w:p>
      <w:pPr>
        <w:pStyle w:val="BodyText"/>
        <w:spacing w:line="230" w:lineRule="auto"/>
        <w:ind w:left="242" w:right="127" w:firstLine="396"/>
      </w:pPr>
      <w:r>
        <w:rPr>
          <w:color w:val="231F20"/>
        </w:rPr>
        <w:t>Изузев археолошких налазишта, </w:t>
      </w:r>
      <w:r>
        <w:rPr>
          <w:color w:val="231F20"/>
          <w:spacing w:val="-3"/>
        </w:rPr>
        <w:t>рударске  </w:t>
      </w:r>
      <w:r>
        <w:rPr>
          <w:color w:val="231F20"/>
        </w:rPr>
        <w:t>активности  мо- гу угрозити и подручја са елементима традиционалне архитекту- ре. Заштита објеката народног градитељства важна је из разлога очувања историјске баштине и  идентитета  подручја.  Потребно је посветити посебну пажњу и гробљима, а нарочито надгроб- ним споменицима. Симболизам декоративних елемената, заједно са натписима, представља богат извор информација </w:t>
      </w:r>
      <w:r>
        <w:rPr>
          <w:color w:val="231F20"/>
          <w:spacing w:val="-3"/>
        </w:rPr>
        <w:t>које </w:t>
      </w:r>
      <w:r>
        <w:rPr>
          <w:color w:val="231F20"/>
        </w:rPr>
        <w:t>сведоче  о обичајима, личним и религиозним веровањима, друштвеним и историјским догађајима и појединцима, </w:t>
      </w:r>
      <w:r>
        <w:rPr>
          <w:color w:val="231F20"/>
          <w:spacing w:val="-3"/>
        </w:rPr>
        <w:t>који </w:t>
      </w:r>
      <w:r>
        <w:rPr>
          <w:color w:val="231F20"/>
        </w:rPr>
        <w:t>су одиграли значајну улогу у тим</w:t>
      </w:r>
      <w:r>
        <w:rPr>
          <w:color w:val="231F20"/>
          <w:spacing w:val="-2"/>
        </w:rPr>
        <w:t> </w:t>
      </w:r>
      <w:r>
        <w:rPr>
          <w:color w:val="231F20"/>
        </w:rPr>
        <w:t>догађајима.</w:t>
      </w:r>
    </w:p>
    <w:p>
      <w:pPr>
        <w:pStyle w:val="BodyText"/>
        <w:spacing w:line="230" w:lineRule="auto"/>
        <w:ind w:left="242" w:right="127" w:firstLine="396"/>
      </w:pPr>
      <w:r>
        <w:rPr>
          <w:color w:val="231F20"/>
        </w:rPr>
        <w:t>Основни</w:t>
      </w:r>
      <w:r>
        <w:rPr>
          <w:color w:val="231F20"/>
          <w:spacing w:val="-9"/>
        </w:rPr>
        <w:t> </w:t>
      </w:r>
      <w:r>
        <w:rPr>
          <w:color w:val="231F20"/>
        </w:rPr>
        <w:t>принципи</w:t>
      </w:r>
      <w:r>
        <w:rPr>
          <w:color w:val="231F20"/>
          <w:spacing w:val="-9"/>
        </w:rPr>
        <w:t> </w:t>
      </w:r>
      <w:r>
        <w:rPr>
          <w:color w:val="231F20"/>
        </w:rPr>
        <w:t>заштите</w:t>
      </w:r>
      <w:r>
        <w:rPr>
          <w:color w:val="231F20"/>
          <w:spacing w:val="-8"/>
        </w:rPr>
        <w:t> </w:t>
      </w:r>
      <w:r>
        <w:rPr>
          <w:color w:val="231F20"/>
        </w:rPr>
        <w:t>културног</w:t>
      </w:r>
      <w:r>
        <w:rPr>
          <w:color w:val="231F20"/>
          <w:spacing w:val="-9"/>
        </w:rPr>
        <w:t> </w:t>
      </w:r>
      <w:r>
        <w:rPr>
          <w:color w:val="231F20"/>
        </w:rPr>
        <w:t>наслеђа</w:t>
      </w:r>
      <w:r>
        <w:rPr>
          <w:color w:val="231F20"/>
          <w:spacing w:val="-8"/>
        </w:rPr>
        <w:t> </w:t>
      </w:r>
      <w:r>
        <w:rPr>
          <w:color w:val="231F20"/>
        </w:rPr>
        <w:t>јесу</w:t>
      </w:r>
      <w:r>
        <w:rPr>
          <w:color w:val="231F20"/>
          <w:spacing w:val="-8"/>
        </w:rPr>
        <w:t> </w:t>
      </w:r>
      <w:r>
        <w:rPr>
          <w:color w:val="231F20"/>
        </w:rPr>
        <w:t>минимум промене аутентичности и минимум интервенција, </w:t>
      </w:r>
      <w:r>
        <w:rPr>
          <w:color w:val="231F20"/>
          <w:spacing w:val="-4"/>
        </w:rPr>
        <w:t>како </w:t>
      </w:r>
      <w:r>
        <w:rPr>
          <w:color w:val="231F20"/>
          <w:spacing w:val="-3"/>
        </w:rPr>
        <w:t>култур- </w:t>
      </w:r>
      <w:r>
        <w:rPr>
          <w:color w:val="231F20"/>
        </w:rPr>
        <w:t>ног добра, </w:t>
      </w:r>
      <w:r>
        <w:rPr>
          <w:color w:val="231F20"/>
          <w:spacing w:val="-3"/>
        </w:rPr>
        <w:t>тако </w:t>
      </w:r>
      <w:r>
        <w:rPr>
          <w:color w:val="231F20"/>
        </w:rPr>
        <w:t>и његовог окружења. Аутентичност се односи на </w:t>
      </w:r>
      <w:r>
        <w:rPr>
          <w:color w:val="231F20"/>
          <w:spacing w:val="-4"/>
        </w:rPr>
        <w:t>форму, </w:t>
      </w:r>
      <w:r>
        <w:rPr>
          <w:color w:val="231F20"/>
        </w:rPr>
        <w:t>материјал, </w:t>
      </w:r>
      <w:r>
        <w:rPr>
          <w:color w:val="231F20"/>
          <w:spacing w:val="-3"/>
        </w:rPr>
        <w:t>употребу, локацију, </w:t>
      </w:r>
      <w:r>
        <w:rPr>
          <w:color w:val="231F20"/>
        </w:rPr>
        <w:t>али и на језик, обичаје, дух места и друга нематеријална обележја. Заправо аутентичност </w:t>
      </w:r>
      <w:r>
        <w:rPr>
          <w:color w:val="231F20"/>
          <w:spacing w:val="-3"/>
        </w:rPr>
        <w:t>кул- </w:t>
      </w:r>
      <w:r>
        <w:rPr>
          <w:color w:val="231F20"/>
        </w:rPr>
        <w:t>турног добра и његовог окружења је доказ непрекинутог развоја средине па га је потребно штитити </w:t>
      </w:r>
      <w:r>
        <w:rPr>
          <w:color w:val="231F20"/>
          <w:spacing w:val="-3"/>
        </w:rPr>
        <w:t>од сваког </w:t>
      </w:r>
      <w:r>
        <w:rPr>
          <w:color w:val="231F20"/>
        </w:rPr>
        <w:t>даљег оштећења и уништавања. Осим вреднованих грађевина, обично препознатљи- вих примера одређеног стила, културну баштину чине и скромна остварења народног градитељства </w:t>
      </w:r>
      <w:r>
        <w:rPr>
          <w:color w:val="231F20"/>
          <w:spacing w:val="-3"/>
        </w:rPr>
        <w:t>које </w:t>
      </w:r>
      <w:r>
        <w:rPr>
          <w:color w:val="231F20"/>
        </w:rPr>
        <w:t>би као носиоце идентите- та требало чувати у изворној намени. Поред тога, ово начело се односи и на очување историјских насеобинских целина (села, за- селака и издвојених склопова) у </w:t>
      </w:r>
      <w:r>
        <w:rPr>
          <w:color w:val="231F20"/>
          <w:spacing w:val="-3"/>
        </w:rPr>
        <w:t>њиховом </w:t>
      </w:r>
      <w:r>
        <w:rPr>
          <w:color w:val="231F20"/>
        </w:rPr>
        <w:t>изворном окружењу и историјским градитељским</w:t>
      </w:r>
      <w:r>
        <w:rPr>
          <w:color w:val="231F20"/>
          <w:spacing w:val="-1"/>
        </w:rPr>
        <w:t> </w:t>
      </w:r>
      <w:r>
        <w:rPr>
          <w:color w:val="231F20"/>
        </w:rPr>
        <w:t>одликама.</w:t>
      </w:r>
    </w:p>
    <w:p>
      <w:pPr>
        <w:pStyle w:val="BodyText"/>
        <w:spacing w:line="230" w:lineRule="auto"/>
        <w:ind w:left="242" w:right="127" w:firstLine="396"/>
      </w:pPr>
      <w:r>
        <w:rPr>
          <w:color w:val="231F20"/>
        </w:rPr>
        <w:t>Сеоски центри. Аутентичне сеоске центре треба сачувати, као и </w:t>
      </w:r>
      <w:r>
        <w:rPr>
          <w:color w:val="231F20"/>
          <w:spacing w:val="-3"/>
        </w:rPr>
        <w:t>њихову функцију, </w:t>
      </w:r>
      <w:r>
        <w:rPr>
          <w:color w:val="231F20"/>
        </w:rPr>
        <w:t>коришћењем наслеђеног грађевинског фонда и формирањем </w:t>
      </w:r>
      <w:r>
        <w:rPr>
          <w:color w:val="231F20"/>
          <w:spacing w:val="-4"/>
        </w:rPr>
        <w:t>новог, </w:t>
      </w:r>
      <w:r>
        <w:rPr>
          <w:color w:val="231F20"/>
          <w:spacing w:val="-3"/>
        </w:rPr>
        <w:t>који </w:t>
      </w:r>
      <w:r>
        <w:rPr>
          <w:color w:val="231F20"/>
        </w:rPr>
        <w:t>ће поштовати традиционалну просторну</w:t>
      </w:r>
      <w:r>
        <w:rPr>
          <w:color w:val="231F20"/>
          <w:spacing w:val="-7"/>
        </w:rPr>
        <w:t> </w:t>
      </w:r>
      <w:r>
        <w:rPr>
          <w:color w:val="231F20"/>
        </w:rPr>
        <w:t>организацију,</w:t>
      </w:r>
      <w:r>
        <w:rPr>
          <w:color w:val="231F20"/>
          <w:spacing w:val="-7"/>
        </w:rPr>
        <w:t> </w:t>
      </w:r>
      <w:r>
        <w:rPr>
          <w:color w:val="231F20"/>
        </w:rPr>
        <w:t>било</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ради</w:t>
      </w:r>
      <w:r>
        <w:rPr>
          <w:color w:val="231F20"/>
          <w:spacing w:val="-7"/>
        </w:rPr>
        <w:t> </w:t>
      </w:r>
      <w:r>
        <w:rPr>
          <w:color w:val="231F20"/>
        </w:rPr>
        <w:t>о</w:t>
      </w:r>
      <w:r>
        <w:rPr>
          <w:color w:val="231F20"/>
          <w:spacing w:val="-7"/>
        </w:rPr>
        <w:t> </w:t>
      </w:r>
      <w:r>
        <w:rPr>
          <w:color w:val="231F20"/>
          <w:spacing w:val="-4"/>
        </w:rPr>
        <w:t>тргу,</w:t>
      </w:r>
      <w:r>
        <w:rPr>
          <w:color w:val="231F20"/>
          <w:spacing w:val="-7"/>
        </w:rPr>
        <w:t> </w:t>
      </w:r>
      <w:r>
        <w:rPr>
          <w:color w:val="231F20"/>
        </w:rPr>
        <w:t>проширеној</w:t>
      </w:r>
      <w:r>
        <w:rPr>
          <w:color w:val="231F20"/>
          <w:spacing w:val="-7"/>
        </w:rPr>
        <w:t> </w:t>
      </w:r>
      <w:r>
        <w:rPr>
          <w:color w:val="231F20"/>
          <w:spacing w:val="-3"/>
        </w:rPr>
        <w:t>улици </w:t>
      </w:r>
      <w:r>
        <w:rPr>
          <w:color w:val="231F20"/>
        </w:rPr>
        <w:t>или</w:t>
      </w:r>
      <w:r>
        <w:rPr>
          <w:color w:val="231F20"/>
          <w:spacing w:val="-8"/>
        </w:rPr>
        <w:t> </w:t>
      </w:r>
      <w:r>
        <w:rPr>
          <w:color w:val="231F20"/>
        </w:rPr>
        <w:t>само</w:t>
      </w:r>
      <w:r>
        <w:rPr>
          <w:color w:val="231F20"/>
          <w:spacing w:val="-7"/>
        </w:rPr>
        <w:t> </w:t>
      </w:r>
      <w:r>
        <w:rPr>
          <w:color w:val="231F20"/>
        </w:rPr>
        <w:t>делу</w:t>
      </w:r>
      <w:r>
        <w:rPr>
          <w:color w:val="231F20"/>
          <w:spacing w:val="-8"/>
        </w:rPr>
        <w:t> </w:t>
      </w:r>
      <w:r>
        <w:rPr>
          <w:color w:val="231F20"/>
          <w:spacing w:val="-2"/>
        </w:rPr>
        <w:t>улице.</w:t>
      </w:r>
      <w:r>
        <w:rPr>
          <w:color w:val="231F20"/>
          <w:spacing w:val="-8"/>
        </w:rPr>
        <w:t> </w:t>
      </w:r>
      <w:r>
        <w:rPr>
          <w:color w:val="231F20"/>
        </w:rPr>
        <w:t>Појединачне</w:t>
      </w:r>
      <w:r>
        <w:rPr>
          <w:color w:val="231F20"/>
          <w:spacing w:val="-8"/>
        </w:rPr>
        <w:t> </w:t>
      </w:r>
      <w:r>
        <w:rPr>
          <w:color w:val="231F20"/>
        </w:rPr>
        <w:t>грађевине,</w:t>
      </w:r>
      <w:r>
        <w:rPr>
          <w:color w:val="231F20"/>
          <w:spacing w:val="-8"/>
        </w:rPr>
        <w:t> </w:t>
      </w:r>
      <w:r>
        <w:rPr>
          <w:color w:val="231F20"/>
        </w:rPr>
        <w:t>као</w:t>
      </w:r>
      <w:r>
        <w:rPr>
          <w:color w:val="231F20"/>
          <w:spacing w:val="-8"/>
        </w:rPr>
        <w:t> </w:t>
      </w:r>
      <w:r>
        <w:rPr>
          <w:color w:val="231F20"/>
        </w:rPr>
        <w:t>цркве</w:t>
      </w:r>
      <w:r>
        <w:rPr>
          <w:color w:val="231F20"/>
          <w:spacing w:val="-8"/>
        </w:rPr>
        <w:t> </w:t>
      </w:r>
      <w:r>
        <w:rPr>
          <w:color w:val="231F20"/>
        </w:rPr>
        <w:t>и</w:t>
      </w:r>
      <w:r>
        <w:rPr>
          <w:color w:val="231F20"/>
          <w:spacing w:val="-8"/>
        </w:rPr>
        <w:t> </w:t>
      </w:r>
      <w:r>
        <w:rPr>
          <w:color w:val="231F20"/>
        </w:rPr>
        <w:t>примери народног градитељства, заслужују посебну пажњу у вредновању историјског развоја самог</w:t>
      </w:r>
      <w:r>
        <w:rPr>
          <w:color w:val="231F20"/>
          <w:spacing w:val="-2"/>
        </w:rPr>
        <w:t> </w:t>
      </w:r>
      <w:r>
        <w:rPr>
          <w:color w:val="231F20"/>
        </w:rPr>
        <w:t>насеља.</w:t>
      </w:r>
    </w:p>
    <w:p>
      <w:pPr>
        <w:pStyle w:val="BodyText"/>
        <w:spacing w:line="230" w:lineRule="auto"/>
        <w:ind w:left="242" w:right="127" w:firstLine="397"/>
      </w:pPr>
      <w:r>
        <w:rPr>
          <w:color w:val="231F20"/>
        </w:rPr>
        <w:t>Етно-парк</w:t>
      </w:r>
      <w:r>
        <w:rPr>
          <w:color w:val="231F20"/>
          <w:spacing w:val="-8"/>
        </w:rPr>
        <w:t> </w:t>
      </w:r>
      <w:r>
        <w:rPr>
          <w:color w:val="231F20"/>
        </w:rPr>
        <w:t>на</w:t>
      </w:r>
      <w:r>
        <w:rPr>
          <w:color w:val="231F20"/>
          <w:spacing w:val="-8"/>
        </w:rPr>
        <w:t> </w:t>
      </w:r>
      <w:r>
        <w:rPr>
          <w:color w:val="231F20"/>
          <w:spacing w:val="-4"/>
        </w:rPr>
        <w:t>Тулби.</w:t>
      </w:r>
      <w:r>
        <w:rPr>
          <w:color w:val="231F20"/>
          <w:spacing w:val="-8"/>
        </w:rPr>
        <w:t> </w:t>
      </w:r>
      <w:r>
        <w:rPr>
          <w:color w:val="231F20"/>
        </w:rPr>
        <w:t>Овај</w:t>
      </w:r>
      <w:r>
        <w:rPr>
          <w:color w:val="231F20"/>
          <w:spacing w:val="-8"/>
        </w:rPr>
        <w:t> </w:t>
      </w:r>
      <w:r>
        <w:rPr>
          <w:color w:val="231F20"/>
        </w:rPr>
        <w:t>локалитет</w:t>
      </w:r>
      <w:r>
        <w:rPr>
          <w:color w:val="231F20"/>
          <w:spacing w:val="-8"/>
        </w:rPr>
        <w:t> </w:t>
      </w:r>
      <w:r>
        <w:rPr>
          <w:color w:val="231F20"/>
        </w:rPr>
        <w:t>поседује</w:t>
      </w:r>
      <w:r>
        <w:rPr>
          <w:color w:val="231F20"/>
          <w:spacing w:val="-8"/>
        </w:rPr>
        <w:t> </w:t>
      </w:r>
      <w:r>
        <w:rPr>
          <w:color w:val="231F20"/>
          <w:spacing w:val="-2"/>
        </w:rPr>
        <w:t>велике</w:t>
      </w:r>
      <w:r>
        <w:rPr>
          <w:color w:val="231F20"/>
          <w:spacing w:val="-8"/>
        </w:rPr>
        <w:t> </w:t>
      </w:r>
      <w:r>
        <w:rPr>
          <w:color w:val="231F20"/>
        </w:rPr>
        <w:t>потенци- јал</w:t>
      </w:r>
      <w:r>
        <w:rPr>
          <w:color w:val="231F20"/>
          <w:spacing w:val="-6"/>
        </w:rPr>
        <w:t> </w:t>
      </w:r>
      <w:r>
        <w:rPr>
          <w:color w:val="231F20"/>
        </w:rPr>
        <w:t>за</w:t>
      </w:r>
      <w:r>
        <w:rPr>
          <w:color w:val="231F20"/>
          <w:spacing w:val="-6"/>
        </w:rPr>
        <w:t> </w:t>
      </w:r>
      <w:r>
        <w:rPr>
          <w:color w:val="231F20"/>
        </w:rPr>
        <w:t>даљи</w:t>
      </w:r>
      <w:r>
        <w:rPr>
          <w:color w:val="231F20"/>
          <w:spacing w:val="-6"/>
        </w:rPr>
        <w:t> </w:t>
      </w:r>
      <w:r>
        <w:rPr>
          <w:color w:val="231F20"/>
        </w:rPr>
        <w:t>развој</w:t>
      </w:r>
      <w:r>
        <w:rPr>
          <w:color w:val="231F20"/>
          <w:spacing w:val="-6"/>
        </w:rPr>
        <w:t> </w:t>
      </w:r>
      <w:r>
        <w:rPr>
          <w:color w:val="231F20"/>
        </w:rPr>
        <w:t>и</w:t>
      </w:r>
      <w:r>
        <w:rPr>
          <w:color w:val="231F20"/>
          <w:spacing w:val="-6"/>
        </w:rPr>
        <w:t> </w:t>
      </w:r>
      <w:r>
        <w:rPr>
          <w:color w:val="231F20"/>
        </w:rPr>
        <w:t>вишенаменско</w:t>
      </w:r>
      <w:r>
        <w:rPr>
          <w:color w:val="231F20"/>
          <w:spacing w:val="-6"/>
        </w:rPr>
        <w:t> </w:t>
      </w:r>
      <w:r>
        <w:rPr>
          <w:color w:val="231F20"/>
        </w:rPr>
        <w:t>коришћење.</w:t>
      </w:r>
      <w:r>
        <w:rPr>
          <w:color w:val="231F20"/>
          <w:spacing w:val="-6"/>
        </w:rPr>
        <w:t> </w:t>
      </w:r>
      <w:r>
        <w:rPr>
          <w:color w:val="231F20"/>
        </w:rPr>
        <w:t>Он</w:t>
      </w:r>
      <w:r>
        <w:rPr>
          <w:color w:val="231F20"/>
          <w:spacing w:val="-6"/>
        </w:rPr>
        <w:t> </w:t>
      </w:r>
      <w:r>
        <w:rPr>
          <w:color w:val="231F20"/>
          <w:spacing w:val="-3"/>
        </w:rPr>
        <w:t>може</w:t>
      </w:r>
      <w:r>
        <w:rPr>
          <w:color w:val="231F20"/>
          <w:spacing w:val="-6"/>
        </w:rPr>
        <w:t> </w:t>
      </w:r>
      <w:r>
        <w:rPr>
          <w:color w:val="231F20"/>
        </w:rPr>
        <w:t>бити</w:t>
      </w:r>
      <w:r>
        <w:rPr>
          <w:color w:val="231F20"/>
          <w:spacing w:val="-6"/>
        </w:rPr>
        <w:t> </w:t>
      </w:r>
      <w:r>
        <w:rPr>
          <w:color w:val="231F20"/>
        </w:rPr>
        <w:t>цен- тар спорта и рекреације </w:t>
      </w:r>
      <w:r>
        <w:rPr>
          <w:color w:val="231F20"/>
          <w:spacing w:val="-4"/>
        </w:rPr>
        <w:t>који </w:t>
      </w:r>
      <w:r>
        <w:rPr>
          <w:color w:val="231F20"/>
        </w:rPr>
        <w:t>недостају Пожаревцу </w:t>
      </w:r>
      <w:r>
        <w:rPr>
          <w:color w:val="231F20"/>
          <w:spacing w:val="-3"/>
        </w:rPr>
        <w:t>(пешачке </w:t>
      </w:r>
      <w:r>
        <w:rPr>
          <w:color w:val="231F20"/>
        </w:rPr>
        <w:t>стазе, тематски </w:t>
      </w:r>
      <w:r>
        <w:rPr>
          <w:color w:val="231F20"/>
          <w:spacing w:val="-3"/>
        </w:rPr>
        <w:t>паркови, </w:t>
      </w:r>
      <w:r>
        <w:rPr>
          <w:color w:val="231F20"/>
        </w:rPr>
        <w:t>играонице за </w:t>
      </w:r>
      <w:r>
        <w:rPr>
          <w:color w:val="231F20"/>
          <w:spacing w:val="-5"/>
        </w:rPr>
        <w:t>децу, </w:t>
      </w:r>
      <w:r>
        <w:rPr>
          <w:color w:val="231F20"/>
        </w:rPr>
        <w:t>трим стазе, мањи спортски терени итд.). С обзиром на </w:t>
      </w:r>
      <w:r>
        <w:rPr>
          <w:color w:val="231F20"/>
          <w:spacing w:val="-3"/>
        </w:rPr>
        <w:t>његову </w:t>
      </w:r>
      <w:r>
        <w:rPr>
          <w:color w:val="231F20"/>
        </w:rPr>
        <w:t>садашњу </w:t>
      </w:r>
      <w:r>
        <w:rPr>
          <w:color w:val="231F20"/>
          <w:spacing w:val="-4"/>
        </w:rPr>
        <w:t>намену, </w:t>
      </w:r>
      <w:r>
        <w:rPr>
          <w:color w:val="231F20"/>
        </w:rPr>
        <w:t>овај простор </w:t>
      </w:r>
      <w:r>
        <w:rPr>
          <w:color w:val="231F20"/>
          <w:spacing w:val="-3"/>
        </w:rPr>
        <w:t>може </w:t>
      </w:r>
      <w:r>
        <w:rPr>
          <w:color w:val="231F20"/>
        </w:rPr>
        <w:t>бити централно место </w:t>
      </w:r>
      <w:r>
        <w:rPr>
          <w:color w:val="231F20"/>
          <w:spacing w:val="-3"/>
        </w:rPr>
        <w:t>културних </w:t>
      </w:r>
      <w:r>
        <w:rPr>
          <w:color w:val="231F20"/>
        </w:rPr>
        <w:t>догађаја, посебно оних</w:t>
      </w:r>
      <w:r>
        <w:rPr>
          <w:color w:val="231F20"/>
          <w:spacing w:val="-30"/>
        </w:rPr>
        <w:t> </w:t>
      </w:r>
      <w:r>
        <w:rPr>
          <w:color w:val="231F20"/>
          <w:spacing w:val="-4"/>
        </w:rPr>
        <w:t>који </w:t>
      </w:r>
      <w:r>
        <w:rPr>
          <w:color w:val="231F20"/>
        </w:rPr>
        <w:t>се одвијају на отвореном (летњи биоскоп и позориште, фестива- ли, музичке манифестације, </w:t>
      </w:r>
      <w:r>
        <w:rPr>
          <w:color w:val="231F20"/>
          <w:spacing w:val="-3"/>
        </w:rPr>
        <w:t>изложбени </w:t>
      </w:r>
      <w:r>
        <w:rPr>
          <w:color w:val="231F20"/>
        </w:rPr>
        <w:t>простори итд.). Етно-парк </w:t>
      </w:r>
      <w:r>
        <w:rPr>
          <w:color w:val="231F20"/>
          <w:spacing w:val="-3"/>
        </w:rPr>
        <w:t>може </w:t>
      </w:r>
      <w:r>
        <w:rPr>
          <w:color w:val="231F20"/>
        </w:rPr>
        <w:t>постати важан сегмент туристичке и едукативне </w:t>
      </w:r>
      <w:r>
        <w:rPr>
          <w:color w:val="231F20"/>
          <w:spacing w:val="-3"/>
        </w:rPr>
        <w:t>понуде </w:t>
      </w:r>
      <w:r>
        <w:rPr>
          <w:color w:val="231F20"/>
          <w:spacing w:val="-4"/>
        </w:rPr>
        <w:t>ко- </w:t>
      </w:r>
      <w:r>
        <w:rPr>
          <w:color w:val="231F20"/>
        </w:rPr>
        <w:t>ја</w:t>
      </w:r>
      <w:r>
        <w:rPr>
          <w:color w:val="231F20"/>
          <w:spacing w:val="-8"/>
        </w:rPr>
        <w:t> </w:t>
      </w:r>
      <w:r>
        <w:rPr>
          <w:color w:val="231F20"/>
        </w:rPr>
        <w:t>презентује</w:t>
      </w:r>
      <w:r>
        <w:rPr>
          <w:color w:val="231F20"/>
          <w:spacing w:val="-8"/>
        </w:rPr>
        <w:t> </w:t>
      </w:r>
      <w:r>
        <w:rPr>
          <w:color w:val="231F20"/>
        </w:rPr>
        <w:t>народне</w:t>
      </w:r>
      <w:r>
        <w:rPr>
          <w:color w:val="231F20"/>
          <w:spacing w:val="-8"/>
        </w:rPr>
        <w:t> </w:t>
      </w:r>
      <w:r>
        <w:rPr>
          <w:color w:val="231F20"/>
        </w:rPr>
        <w:t>обичаје</w:t>
      </w:r>
      <w:r>
        <w:rPr>
          <w:color w:val="231F20"/>
          <w:spacing w:val="-8"/>
        </w:rPr>
        <w:t> </w:t>
      </w:r>
      <w:r>
        <w:rPr>
          <w:color w:val="231F20"/>
        </w:rPr>
        <w:t>и</w:t>
      </w:r>
      <w:r>
        <w:rPr>
          <w:color w:val="231F20"/>
          <w:spacing w:val="-8"/>
        </w:rPr>
        <w:t> </w:t>
      </w:r>
      <w:r>
        <w:rPr>
          <w:color w:val="231F20"/>
        </w:rPr>
        <w:t>етнологију</w:t>
      </w:r>
      <w:r>
        <w:rPr>
          <w:color w:val="231F20"/>
          <w:spacing w:val="-8"/>
        </w:rPr>
        <w:t> </w:t>
      </w:r>
      <w:r>
        <w:rPr>
          <w:color w:val="231F20"/>
        </w:rPr>
        <w:t>Браничевског</w:t>
      </w:r>
      <w:r>
        <w:rPr>
          <w:color w:val="231F20"/>
          <w:spacing w:val="-8"/>
        </w:rPr>
        <w:t> </w:t>
      </w:r>
      <w:r>
        <w:rPr>
          <w:color w:val="231F20"/>
        </w:rPr>
        <w:t>управног округа (кулинарство, музика, </w:t>
      </w:r>
      <w:r>
        <w:rPr>
          <w:color w:val="231F20"/>
          <w:spacing w:val="-3"/>
        </w:rPr>
        <w:t>рукотворине, </w:t>
      </w:r>
      <w:r>
        <w:rPr>
          <w:color w:val="231F20"/>
        </w:rPr>
        <w:t>умотворине итд.). У </w:t>
      </w:r>
      <w:r>
        <w:rPr>
          <w:color w:val="231F20"/>
          <w:spacing w:val="-3"/>
        </w:rPr>
        <w:t>подножју </w:t>
      </w:r>
      <w:r>
        <w:rPr>
          <w:color w:val="231F20"/>
        </w:rPr>
        <w:t>етно-парка, потребно је уредити простор </w:t>
      </w:r>
      <w:r>
        <w:rPr>
          <w:color w:val="231F20"/>
          <w:spacing w:val="-4"/>
        </w:rPr>
        <w:t>око </w:t>
      </w:r>
      <w:r>
        <w:rPr>
          <w:color w:val="231F20"/>
        </w:rPr>
        <w:t>постојећег мањег</w:t>
      </w:r>
      <w:r>
        <w:rPr>
          <w:color w:val="231F20"/>
          <w:spacing w:val="-6"/>
        </w:rPr>
        <w:t> </w:t>
      </w:r>
      <w:r>
        <w:rPr>
          <w:color w:val="231F20"/>
        </w:rPr>
        <w:t>језера</w:t>
      </w:r>
      <w:r>
        <w:rPr>
          <w:color w:val="231F20"/>
          <w:spacing w:val="-6"/>
        </w:rPr>
        <w:t> </w:t>
      </w:r>
      <w:r>
        <w:rPr>
          <w:color w:val="231F20"/>
        </w:rPr>
        <w:t>и</w:t>
      </w:r>
      <w:r>
        <w:rPr>
          <w:color w:val="231F20"/>
          <w:spacing w:val="-6"/>
        </w:rPr>
        <w:t> </w:t>
      </w:r>
      <w:r>
        <w:rPr>
          <w:color w:val="231F20"/>
        </w:rPr>
        <w:t>цео</w:t>
      </w:r>
      <w:r>
        <w:rPr>
          <w:color w:val="231F20"/>
          <w:spacing w:val="-6"/>
        </w:rPr>
        <w:t> </w:t>
      </w:r>
      <w:r>
        <w:rPr>
          <w:color w:val="231F20"/>
        </w:rPr>
        <w:t>овај</w:t>
      </w:r>
      <w:r>
        <w:rPr>
          <w:color w:val="231F20"/>
          <w:spacing w:val="-6"/>
        </w:rPr>
        <w:t> </w:t>
      </w:r>
      <w:r>
        <w:rPr>
          <w:color w:val="231F20"/>
        </w:rPr>
        <w:t>потез</w:t>
      </w:r>
      <w:r>
        <w:rPr>
          <w:color w:val="231F20"/>
          <w:spacing w:val="-6"/>
        </w:rPr>
        <w:t> </w:t>
      </w:r>
      <w:r>
        <w:rPr>
          <w:color w:val="231F20"/>
        </w:rPr>
        <w:t>решавати</w:t>
      </w:r>
      <w:r>
        <w:rPr>
          <w:color w:val="231F20"/>
          <w:spacing w:val="-6"/>
        </w:rPr>
        <w:t> </w:t>
      </w:r>
      <w:r>
        <w:rPr>
          <w:color w:val="231F20"/>
        </w:rPr>
        <w:t>као</w:t>
      </w:r>
      <w:r>
        <w:rPr>
          <w:color w:val="231F20"/>
          <w:spacing w:val="-6"/>
        </w:rPr>
        <w:t> </w:t>
      </w:r>
      <w:r>
        <w:rPr>
          <w:color w:val="231F20"/>
        </w:rPr>
        <w:t>јединствену</w:t>
      </w:r>
      <w:r>
        <w:rPr>
          <w:color w:val="231F20"/>
          <w:spacing w:val="-6"/>
        </w:rPr>
        <w:t> </w:t>
      </w:r>
      <w:r>
        <w:rPr>
          <w:color w:val="231F20"/>
          <w:spacing w:val="-4"/>
        </w:rPr>
        <w:t>целину.</w:t>
      </w:r>
    </w:p>
    <w:p>
      <w:pPr>
        <w:spacing w:after="0" w:line="230" w:lineRule="auto"/>
        <w:sectPr>
          <w:pgSz w:w="12480" w:h="15690"/>
          <w:pgMar w:top="120" w:bottom="280" w:left="680" w:right="720"/>
          <w:cols w:num="2" w:equalWidth="0">
            <w:col w:w="5558" w:space="40"/>
            <w:col w:w="5482"/>
          </w:cols>
        </w:sectPr>
      </w:pPr>
    </w:p>
    <w:p>
      <w:pPr>
        <w:pStyle w:val="ListParagraph"/>
        <w:numPr>
          <w:ilvl w:val="0"/>
          <w:numId w:val="36"/>
        </w:numPr>
        <w:tabs>
          <w:tab w:pos="763" w:val="left" w:leader="none"/>
        </w:tabs>
        <w:spacing w:line="203" w:lineRule="exact" w:before="68" w:after="0"/>
        <w:ind w:left="762" w:right="0" w:hanging="195"/>
        <w:jc w:val="left"/>
        <w:rPr>
          <w:sz w:val="18"/>
        </w:rPr>
      </w:pPr>
      <w:r>
        <w:rPr>
          <w:color w:val="231F20"/>
          <w:spacing w:val="-3"/>
          <w:sz w:val="18"/>
        </w:rPr>
        <w:t>Урбано </w:t>
      </w:r>
      <w:r>
        <w:rPr>
          <w:color w:val="231F20"/>
          <w:sz w:val="18"/>
        </w:rPr>
        <w:t>градитељско</w:t>
      </w:r>
      <w:r>
        <w:rPr>
          <w:color w:val="231F20"/>
          <w:spacing w:val="0"/>
          <w:sz w:val="18"/>
        </w:rPr>
        <w:t> </w:t>
      </w:r>
      <w:r>
        <w:rPr>
          <w:color w:val="231F20"/>
          <w:sz w:val="18"/>
        </w:rPr>
        <w:t>наслеђе</w:t>
      </w:r>
    </w:p>
    <w:p>
      <w:pPr>
        <w:pStyle w:val="BodyText"/>
        <w:spacing w:line="232" w:lineRule="auto" w:before="1"/>
        <w:ind w:right="40" w:firstLine="396"/>
      </w:pPr>
      <w:r>
        <w:rPr>
          <w:color w:val="231F20"/>
          <w:spacing w:val="-3"/>
        </w:rPr>
        <w:t>Урбано </w:t>
      </w:r>
      <w:r>
        <w:rPr>
          <w:color w:val="231F20"/>
        </w:rPr>
        <w:t>градитељско наслеђе налази се највећим делом у </w:t>
      </w:r>
      <w:r>
        <w:rPr>
          <w:color w:val="231F20"/>
          <w:spacing w:val="-3"/>
        </w:rPr>
        <w:t>градском </w:t>
      </w:r>
      <w:r>
        <w:rPr>
          <w:color w:val="231F20"/>
        </w:rPr>
        <w:t>језгру Пожаревца, настало </w:t>
      </w:r>
      <w:r>
        <w:rPr>
          <w:color w:val="231F20"/>
          <w:spacing w:val="-4"/>
        </w:rPr>
        <w:t>током </w:t>
      </w:r>
      <w:r>
        <w:rPr>
          <w:color w:val="231F20"/>
        </w:rPr>
        <w:t>историјског развоја насеља – у културном, </w:t>
      </w:r>
      <w:r>
        <w:rPr>
          <w:color w:val="231F20"/>
          <w:spacing w:val="-3"/>
        </w:rPr>
        <w:t>економском </w:t>
      </w:r>
      <w:r>
        <w:rPr>
          <w:color w:val="231F20"/>
        </w:rPr>
        <w:t>и просторном </w:t>
      </w:r>
      <w:r>
        <w:rPr>
          <w:color w:val="231F20"/>
          <w:spacing w:val="-5"/>
        </w:rPr>
        <w:t>погледу. </w:t>
      </w:r>
      <w:r>
        <w:rPr>
          <w:color w:val="231F20"/>
          <w:spacing w:val="-3"/>
        </w:rPr>
        <w:t>Гради- </w:t>
      </w:r>
      <w:r>
        <w:rPr>
          <w:color w:val="231F20"/>
        </w:rPr>
        <w:t>тељско</w:t>
      </w:r>
      <w:r>
        <w:rPr>
          <w:color w:val="231F20"/>
          <w:spacing w:val="-9"/>
        </w:rPr>
        <w:t> </w:t>
      </w:r>
      <w:r>
        <w:rPr>
          <w:color w:val="231F20"/>
        </w:rPr>
        <w:t>наслеђе</w:t>
      </w:r>
      <w:r>
        <w:rPr>
          <w:color w:val="231F20"/>
          <w:spacing w:val="-9"/>
        </w:rPr>
        <w:t> </w:t>
      </w:r>
      <w:r>
        <w:rPr>
          <w:color w:val="231F20"/>
        </w:rPr>
        <w:t>указује</w:t>
      </w:r>
      <w:r>
        <w:rPr>
          <w:color w:val="231F20"/>
          <w:spacing w:val="-9"/>
        </w:rPr>
        <w:t> </w:t>
      </w:r>
      <w:r>
        <w:rPr>
          <w:color w:val="231F20"/>
        </w:rPr>
        <w:t>на</w:t>
      </w:r>
      <w:r>
        <w:rPr>
          <w:color w:val="231F20"/>
          <w:spacing w:val="-9"/>
        </w:rPr>
        <w:t> </w:t>
      </w:r>
      <w:r>
        <w:rPr>
          <w:color w:val="231F20"/>
        </w:rPr>
        <w:t>неопходност</w:t>
      </w:r>
      <w:r>
        <w:rPr>
          <w:color w:val="231F20"/>
          <w:spacing w:val="-9"/>
        </w:rPr>
        <w:t> </w:t>
      </w:r>
      <w:r>
        <w:rPr>
          <w:color w:val="231F20"/>
        </w:rPr>
        <w:t>поштовања</w:t>
      </w:r>
      <w:r>
        <w:rPr>
          <w:color w:val="231F20"/>
          <w:spacing w:val="-9"/>
        </w:rPr>
        <w:t> </w:t>
      </w:r>
      <w:r>
        <w:rPr>
          <w:color w:val="231F20"/>
        </w:rPr>
        <w:t>и</w:t>
      </w:r>
      <w:r>
        <w:rPr>
          <w:color w:val="231F20"/>
          <w:spacing w:val="-9"/>
        </w:rPr>
        <w:t> </w:t>
      </w:r>
      <w:r>
        <w:rPr>
          <w:color w:val="231F20"/>
        </w:rPr>
        <w:t>очувања</w:t>
      </w:r>
      <w:r>
        <w:rPr>
          <w:color w:val="231F20"/>
          <w:spacing w:val="-9"/>
        </w:rPr>
        <w:t> </w:t>
      </w:r>
      <w:r>
        <w:rPr>
          <w:color w:val="231F20"/>
          <w:spacing w:val="-4"/>
        </w:rPr>
        <w:t>како </w:t>
      </w:r>
      <w:r>
        <w:rPr>
          <w:color w:val="231F20"/>
        </w:rPr>
        <w:t>вредних архитектонских здања, </w:t>
      </w:r>
      <w:r>
        <w:rPr>
          <w:color w:val="231F20"/>
          <w:spacing w:val="-3"/>
        </w:rPr>
        <w:t>тако </w:t>
      </w:r>
      <w:r>
        <w:rPr>
          <w:color w:val="231F20"/>
        </w:rPr>
        <w:t>и принципа </w:t>
      </w:r>
      <w:r>
        <w:rPr>
          <w:color w:val="231F20"/>
          <w:spacing w:val="-3"/>
        </w:rPr>
        <w:t>који </w:t>
      </w:r>
      <w:r>
        <w:rPr>
          <w:color w:val="231F20"/>
        </w:rPr>
        <w:t>су владали у време њиховог</w:t>
      </w:r>
      <w:r>
        <w:rPr>
          <w:color w:val="231F20"/>
          <w:spacing w:val="-1"/>
        </w:rPr>
        <w:t> </w:t>
      </w:r>
      <w:r>
        <w:rPr>
          <w:color w:val="231F20"/>
        </w:rPr>
        <w:t>настанка.</w:t>
      </w:r>
    </w:p>
    <w:p>
      <w:pPr>
        <w:pStyle w:val="BodyText"/>
        <w:spacing w:line="232" w:lineRule="auto"/>
        <w:ind w:left="171" w:right="38" w:firstLine="396"/>
        <w:jc w:val="right"/>
      </w:pPr>
      <w:r>
        <w:rPr>
          <w:color w:val="231F20"/>
          <w:spacing w:val="-4"/>
        </w:rPr>
        <w:t>Урбана </w:t>
      </w:r>
      <w:r>
        <w:rPr>
          <w:color w:val="231F20"/>
        </w:rPr>
        <w:t>обнова мора се спроводити на </w:t>
      </w:r>
      <w:r>
        <w:rPr>
          <w:color w:val="231F20"/>
          <w:spacing w:val="-3"/>
        </w:rPr>
        <w:t>начин </w:t>
      </w:r>
      <w:r>
        <w:rPr>
          <w:color w:val="231F20"/>
          <w:spacing w:val="-4"/>
        </w:rPr>
        <w:t>који</w:t>
      </w:r>
      <w:r>
        <w:rPr>
          <w:color w:val="231F20"/>
          <w:spacing w:val="35"/>
        </w:rPr>
        <w:t> </w:t>
      </w:r>
      <w:r>
        <w:rPr>
          <w:color w:val="231F20"/>
        </w:rPr>
        <w:t>ће</w:t>
      </w:r>
      <w:r>
        <w:rPr>
          <w:color w:val="231F20"/>
          <w:spacing w:val="2"/>
        </w:rPr>
        <w:t> </w:t>
      </w:r>
      <w:r>
        <w:rPr>
          <w:color w:val="231F20"/>
        </w:rPr>
        <w:t>осигура- ти</w:t>
      </w:r>
      <w:r>
        <w:rPr>
          <w:color w:val="231F20"/>
          <w:spacing w:val="-16"/>
        </w:rPr>
        <w:t> </w:t>
      </w:r>
      <w:r>
        <w:rPr>
          <w:color w:val="231F20"/>
        </w:rPr>
        <w:t>очување</w:t>
      </w:r>
      <w:r>
        <w:rPr>
          <w:color w:val="231F20"/>
          <w:spacing w:val="-16"/>
        </w:rPr>
        <w:t> </w:t>
      </w:r>
      <w:r>
        <w:rPr>
          <w:color w:val="231F20"/>
        </w:rPr>
        <w:t>изворних</w:t>
      </w:r>
      <w:r>
        <w:rPr>
          <w:color w:val="231F20"/>
          <w:spacing w:val="-16"/>
        </w:rPr>
        <w:t> </w:t>
      </w:r>
      <w:r>
        <w:rPr>
          <w:color w:val="231F20"/>
        </w:rPr>
        <w:t>урбанистичко-архитектонских,</w:t>
      </w:r>
      <w:r>
        <w:rPr>
          <w:color w:val="231F20"/>
          <w:spacing w:val="-16"/>
        </w:rPr>
        <w:t> </w:t>
      </w:r>
      <w:r>
        <w:rPr>
          <w:color w:val="231F20"/>
        </w:rPr>
        <w:t>уметничких</w:t>
      </w:r>
      <w:r>
        <w:rPr>
          <w:color w:val="231F20"/>
          <w:spacing w:val="-16"/>
        </w:rPr>
        <w:t> </w:t>
      </w:r>
      <w:r>
        <w:rPr>
          <w:color w:val="231F20"/>
        </w:rPr>
        <w:t>и естетских</w:t>
      </w:r>
      <w:r>
        <w:rPr>
          <w:color w:val="231F20"/>
          <w:spacing w:val="-12"/>
        </w:rPr>
        <w:t> </w:t>
      </w:r>
      <w:r>
        <w:rPr>
          <w:color w:val="231F20"/>
        </w:rPr>
        <w:t>својстава,</w:t>
      </w:r>
      <w:r>
        <w:rPr>
          <w:color w:val="231F20"/>
          <w:spacing w:val="-12"/>
        </w:rPr>
        <w:t> </w:t>
      </w:r>
      <w:r>
        <w:rPr>
          <w:color w:val="231F20"/>
        </w:rPr>
        <w:t>и</w:t>
      </w:r>
      <w:r>
        <w:rPr>
          <w:color w:val="231F20"/>
          <w:spacing w:val="-12"/>
        </w:rPr>
        <w:t> </w:t>
      </w:r>
      <w:r>
        <w:rPr>
          <w:color w:val="231F20"/>
        </w:rPr>
        <w:t>у</w:t>
      </w:r>
      <w:r>
        <w:rPr>
          <w:color w:val="231F20"/>
          <w:spacing w:val="-12"/>
        </w:rPr>
        <w:t> </w:t>
      </w:r>
      <w:r>
        <w:rPr>
          <w:color w:val="231F20"/>
        </w:rPr>
        <w:t>складу</w:t>
      </w:r>
      <w:r>
        <w:rPr>
          <w:color w:val="231F20"/>
          <w:spacing w:val="-12"/>
        </w:rPr>
        <w:t> </w:t>
      </w:r>
      <w:r>
        <w:rPr>
          <w:color w:val="231F20"/>
        </w:rPr>
        <w:t>са</w:t>
      </w:r>
      <w:r>
        <w:rPr>
          <w:color w:val="231F20"/>
          <w:spacing w:val="-12"/>
        </w:rPr>
        <w:t> </w:t>
      </w:r>
      <w:r>
        <w:rPr>
          <w:color w:val="231F20"/>
        </w:rPr>
        <w:t>тим</w:t>
      </w:r>
      <w:r>
        <w:rPr>
          <w:color w:val="231F20"/>
          <w:spacing w:val="-12"/>
        </w:rPr>
        <w:t> </w:t>
      </w:r>
      <w:r>
        <w:rPr>
          <w:color w:val="231F20"/>
        </w:rPr>
        <w:t>оспособљавање</w:t>
      </w:r>
      <w:r>
        <w:rPr>
          <w:color w:val="231F20"/>
          <w:spacing w:val="-12"/>
        </w:rPr>
        <w:t> </w:t>
      </w:r>
      <w:r>
        <w:rPr>
          <w:color w:val="231F20"/>
        </w:rPr>
        <w:t>грађевина</w:t>
      </w:r>
      <w:r>
        <w:rPr>
          <w:color w:val="231F20"/>
          <w:spacing w:val="-12"/>
        </w:rPr>
        <w:t> </w:t>
      </w:r>
      <w:r>
        <w:rPr>
          <w:color w:val="231F20"/>
        </w:rPr>
        <w:t>за трајно коришћење, </w:t>
      </w:r>
      <w:r>
        <w:rPr>
          <w:color w:val="231F20"/>
          <w:spacing w:val="-3"/>
        </w:rPr>
        <w:t>конструктивно </w:t>
      </w:r>
      <w:r>
        <w:rPr>
          <w:color w:val="231F20"/>
        </w:rPr>
        <w:t>санирање и уношење</w:t>
      </w:r>
      <w:r>
        <w:rPr>
          <w:color w:val="231F20"/>
          <w:spacing w:val="41"/>
        </w:rPr>
        <w:t> </w:t>
      </w:r>
      <w:r>
        <w:rPr>
          <w:color w:val="231F20"/>
        </w:rPr>
        <w:t>нових</w:t>
      </w:r>
      <w:r>
        <w:rPr>
          <w:color w:val="231F20"/>
          <w:spacing w:val="5"/>
        </w:rPr>
        <w:t> </w:t>
      </w:r>
      <w:r>
        <w:rPr>
          <w:color w:val="231F20"/>
        </w:rPr>
        <w:t>са- држаја, </w:t>
      </w:r>
      <w:r>
        <w:rPr>
          <w:color w:val="231F20"/>
          <w:spacing w:val="-4"/>
        </w:rPr>
        <w:t>који </w:t>
      </w:r>
      <w:r>
        <w:rPr>
          <w:color w:val="231F20"/>
        </w:rPr>
        <w:t>произлазе из савремених потреба</w:t>
      </w:r>
      <w:r>
        <w:rPr>
          <w:color w:val="231F20"/>
          <w:spacing w:val="22"/>
        </w:rPr>
        <w:t> </w:t>
      </w:r>
      <w:r>
        <w:rPr>
          <w:color w:val="231F20"/>
        </w:rPr>
        <w:t>становања,</w:t>
      </w:r>
      <w:r>
        <w:rPr>
          <w:color w:val="231F20"/>
          <w:spacing w:val="10"/>
        </w:rPr>
        <w:t> </w:t>
      </w:r>
      <w:r>
        <w:rPr>
          <w:color w:val="231F20"/>
          <w:spacing w:val="-3"/>
        </w:rPr>
        <w:t>култур-</w:t>
      </w:r>
      <w:r>
        <w:rPr>
          <w:color w:val="231F20"/>
        </w:rPr>
        <w:t> них,</w:t>
      </w:r>
      <w:r>
        <w:rPr>
          <w:color w:val="231F20"/>
          <w:spacing w:val="-14"/>
        </w:rPr>
        <w:t> </w:t>
      </w:r>
      <w:r>
        <w:rPr>
          <w:color w:val="231F20"/>
        </w:rPr>
        <w:t>здравствених,</w:t>
      </w:r>
      <w:r>
        <w:rPr>
          <w:color w:val="231F20"/>
          <w:spacing w:val="-14"/>
        </w:rPr>
        <w:t> </w:t>
      </w:r>
      <w:r>
        <w:rPr>
          <w:color w:val="231F20"/>
        </w:rPr>
        <w:t>туристичких,</w:t>
      </w:r>
      <w:r>
        <w:rPr>
          <w:color w:val="231F20"/>
          <w:spacing w:val="-14"/>
        </w:rPr>
        <w:t> </w:t>
      </w:r>
      <w:r>
        <w:rPr>
          <w:color w:val="231F20"/>
        </w:rPr>
        <w:t>привредних</w:t>
      </w:r>
      <w:r>
        <w:rPr>
          <w:color w:val="231F20"/>
          <w:spacing w:val="-14"/>
        </w:rPr>
        <w:t> </w:t>
      </w:r>
      <w:r>
        <w:rPr>
          <w:color w:val="231F20"/>
        </w:rPr>
        <w:t>и</w:t>
      </w:r>
      <w:r>
        <w:rPr>
          <w:color w:val="231F20"/>
          <w:spacing w:val="-14"/>
        </w:rPr>
        <w:t> </w:t>
      </w:r>
      <w:r>
        <w:rPr>
          <w:color w:val="231F20"/>
        </w:rPr>
        <w:t>других</w:t>
      </w:r>
      <w:r>
        <w:rPr>
          <w:color w:val="231F20"/>
          <w:spacing w:val="-14"/>
        </w:rPr>
        <w:t> </w:t>
      </w:r>
      <w:r>
        <w:rPr>
          <w:color w:val="231F20"/>
        </w:rPr>
        <w:t>делатности. Концептуално</w:t>
      </w:r>
      <w:r>
        <w:rPr>
          <w:color w:val="231F20"/>
          <w:spacing w:val="17"/>
        </w:rPr>
        <w:t> </w:t>
      </w:r>
      <w:r>
        <w:rPr>
          <w:color w:val="231F20"/>
        </w:rPr>
        <w:t>опредељење</w:t>
      </w:r>
      <w:r>
        <w:rPr>
          <w:color w:val="231F20"/>
          <w:spacing w:val="17"/>
        </w:rPr>
        <w:t> </w:t>
      </w:r>
      <w:r>
        <w:rPr>
          <w:color w:val="231F20"/>
        </w:rPr>
        <w:t>јесте</w:t>
      </w:r>
      <w:r>
        <w:rPr>
          <w:color w:val="231F20"/>
          <w:spacing w:val="17"/>
        </w:rPr>
        <w:t> </w:t>
      </w:r>
      <w:r>
        <w:rPr>
          <w:color w:val="231F20"/>
        </w:rPr>
        <w:t>утврђивање</w:t>
      </w:r>
      <w:r>
        <w:rPr>
          <w:color w:val="231F20"/>
          <w:spacing w:val="17"/>
        </w:rPr>
        <w:t> </w:t>
      </w:r>
      <w:r>
        <w:rPr>
          <w:color w:val="231F20"/>
        </w:rPr>
        <w:t>зона</w:t>
      </w:r>
      <w:r>
        <w:rPr>
          <w:color w:val="231F20"/>
          <w:spacing w:val="17"/>
        </w:rPr>
        <w:t> </w:t>
      </w:r>
      <w:r>
        <w:rPr>
          <w:color w:val="231F20"/>
        </w:rPr>
        <w:t>са</w:t>
      </w:r>
      <w:r>
        <w:rPr>
          <w:color w:val="231F20"/>
          <w:spacing w:val="17"/>
        </w:rPr>
        <w:t> </w:t>
      </w:r>
      <w:r>
        <w:rPr>
          <w:color w:val="231F20"/>
        </w:rPr>
        <w:t>разли- читим режимима заштите и одрживог</w:t>
      </w:r>
      <w:r>
        <w:rPr>
          <w:color w:val="231F20"/>
          <w:spacing w:val="-5"/>
        </w:rPr>
        <w:t> </w:t>
      </w:r>
      <w:r>
        <w:rPr>
          <w:color w:val="231F20"/>
        </w:rPr>
        <w:t>коришћења</w:t>
      </w:r>
      <w:r>
        <w:rPr>
          <w:color w:val="231F20"/>
          <w:spacing w:val="35"/>
        </w:rPr>
        <w:t> </w:t>
      </w:r>
      <w:r>
        <w:rPr>
          <w:color w:val="231F20"/>
        </w:rPr>
        <w:t>непокретних</w:t>
      </w:r>
      <w:r>
        <w:rPr>
          <w:color w:val="231F20"/>
          <w:spacing w:val="-1"/>
        </w:rPr>
        <w:t> </w:t>
      </w:r>
      <w:r>
        <w:rPr>
          <w:color w:val="231F20"/>
        </w:rPr>
        <w:t>културних</w:t>
      </w:r>
      <w:r>
        <w:rPr>
          <w:color w:val="231F20"/>
          <w:spacing w:val="22"/>
        </w:rPr>
        <w:t> </w:t>
      </w:r>
      <w:r>
        <w:rPr>
          <w:color w:val="231F20"/>
        </w:rPr>
        <w:t>добара</w:t>
      </w:r>
      <w:r>
        <w:rPr>
          <w:color w:val="231F20"/>
          <w:spacing w:val="22"/>
        </w:rPr>
        <w:t> </w:t>
      </w:r>
      <w:r>
        <w:rPr>
          <w:color w:val="231F20"/>
        </w:rPr>
        <w:t>и</w:t>
      </w:r>
      <w:r>
        <w:rPr>
          <w:color w:val="231F20"/>
          <w:spacing w:val="22"/>
        </w:rPr>
        <w:t> </w:t>
      </w:r>
      <w:r>
        <w:rPr>
          <w:color w:val="231F20"/>
        </w:rPr>
        <w:t>њиховог</w:t>
      </w:r>
      <w:r>
        <w:rPr>
          <w:color w:val="231F20"/>
          <w:spacing w:val="22"/>
        </w:rPr>
        <w:t> </w:t>
      </w:r>
      <w:r>
        <w:rPr>
          <w:color w:val="231F20"/>
        </w:rPr>
        <w:t>окружења,</w:t>
      </w:r>
      <w:r>
        <w:rPr>
          <w:color w:val="231F20"/>
          <w:spacing w:val="22"/>
        </w:rPr>
        <w:t> </w:t>
      </w:r>
      <w:r>
        <w:rPr>
          <w:color w:val="231F20"/>
        </w:rPr>
        <w:t>заустављање</w:t>
      </w:r>
      <w:r>
        <w:rPr>
          <w:color w:val="231F20"/>
          <w:spacing w:val="22"/>
        </w:rPr>
        <w:t> </w:t>
      </w:r>
      <w:r>
        <w:rPr>
          <w:color w:val="231F20"/>
        </w:rPr>
        <w:t>непланске изградње,</w:t>
      </w:r>
      <w:r>
        <w:rPr>
          <w:color w:val="231F20"/>
          <w:spacing w:val="10"/>
        </w:rPr>
        <w:t> </w:t>
      </w:r>
      <w:r>
        <w:rPr>
          <w:color w:val="231F20"/>
        </w:rPr>
        <w:t>санација</w:t>
      </w:r>
      <w:r>
        <w:rPr>
          <w:color w:val="231F20"/>
          <w:spacing w:val="10"/>
        </w:rPr>
        <w:t> </w:t>
      </w:r>
      <w:r>
        <w:rPr>
          <w:color w:val="231F20"/>
        </w:rPr>
        <w:t>и</w:t>
      </w:r>
      <w:r>
        <w:rPr>
          <w:color w:val="231F20"/>
          <w:spacing w:val="10"/>
        </w:rPr>
        <w:t> </w:t>
      </w:r>
      <w:r>
        <w:rPr>
          <w:color w:val="231F20"/>
        </w:rPr>
        <w:t>унапређење</w:t>
      </w:r>
      <w:r>
        <w:rPr>
          <w:color w:val="231F20"/>
          <w:spacing w:val="10"/>
        </w:rPr>
        <w:t> </w:t>
      </w:r>
      <w:r>
        <w:rPr>
          <w:color w:val="231F20"/>
        </w:rPr>
        <w:t>стања</w:t>
      </w:r>
      <w:r>
        <w:rPr>
          <w:color w:val="231F20"/>
          <w:spacing w:val="10"/>
        </w:rPr>
        <w:t> </w:t>
      </w:r>
      <w:r>
        <w:rPr>
          <w:color w:val="231F20"/>
        </w:rPr>
        <w:t>постојеће</w:t>
      </w:r>
      <w:r>
        <w:rPr>
          <w:color w:val="231F20"/>
          <w:spacing w:val="10"/>
        </w:rPr>
        <w:t> </w:t>
      </w:r>
      <w:r>
        <w:rPr>
          <w:color w:val="231F20"/>
        </w:rPr>
        <w:t>изградње</w:t>
      </w:r>
      <w:r>
        <w:rPr>
          <w:color w:val="231F20"/>
          <w:spacing w:val="10"/>
        </w:rPr>
        <w:t> </w:t>
      </w:r>
      <w:r>
        <w:rPr>
          <w:color w:val="231F20"/>
        </w:rPr>
        <w:t>у</w:t>
      </w:r>
      <w:r>
        <w:rPr>
          <w:color w:val="231F20"/>
          <w:spacing w:val="10"/>
        </w:rPr>
        <w:t> </w:t>
      </w:r>
      <w:r>
        <w:rPr>
          <w:color w:val="231F20"/>
        </w:rPr>
        <w:t>зо-</w:t>
      </w:r>
    </w:p>
    <w:p>
      <w:pPr>
        <w:pStyle w:val="BodyText"/>
        <w:spacing w:line="191" w:lineRule="exact"/>
        <w:ind w:left="172"/>
        <w:jc w:val="left"/>
      </w:pPr>
      <w:r>
        <w:rPr>
          <w:color w:val="231F20"/>
        </w:rPr>
        <w:t>нама заштите.</w:t>
      </w:r>
    </w:p>
    <w:p>
      <w:pPr>
        <w:pStyle w:val="BodyText"/>
        <w:spacing w:line="232" w:lineRule="auto"/>
        <w:ind w:left="172" w:right="38" w:firstLine="396"/>
      </w:pPr>
      <w:r>
        <w:rPr>
          <w:color w:val="231F20"/>
        </w:rPr>
        <w:t>Амбијенталне урбане целине. Свака интервенција у простор- но културно-историјској целини мора да </w:t>
      </w:r>
      <w:r>
        <w:rPr>
          <w:color w:val="231F20"/>
          <w:spacing w:val="-5"/>
        </w:rPr>
        <w:t>буде </w:t>
      </w:r>
      <w:r>
        <w:rPr>
          <w:color w:val="231F20"/>
        </w:rPr>
        <w:t>у складу са вредно- стима и значајем </w:t>
      </w:r>
      <w:r>
        <w:rPr>
          <w:color w:val="231F20"/>
          <w:spacing w:val="-3"/>
        </w:rPr>
        <w:t>који </w:t>
      </w:r>
      <w:r>
        <w:rPr>
          <w:color w:val="231F20"/>
        </w:rPr>
        <w:t>целина поседује. Конзервација споменика </w:t>
      </w:r>
      <w:r>
        <w:rPr>
          <w:color w:val="231F20"/>
          <w:spacing w:val="-3"/>
        </w:rPr>
        <w:t>културе </w:t>
      </w:r>
      <w:r>
        <w:rPr>
          <w:color w:val="231F20"/>
        </w:rPr>
        <w:t>подразумева и заштиту окружења са циљем да се очува традиционални амбијент. Нова градња, рушење или измене </w:t>
      </w:r>
      <w:r>
        <w:rPr>
          <w:color w:val="231F20"/>
          <w:spacing w:val="-3"/>
        </w:rPr>
        <w:t>које </w:t>
      </w:r>
      <w:r>
        <w:rPr>
          <w:color w:val="231F20"/>
        </w:rPr>
        <w:t>би пореметиле односе маса и боја нису дозвољене. </w:t>
      </w:r>
      <w:r>
        <w:rPr>
          <w:color w:val="231F20"/>
          <w:spacing w:val="-3"/>
        </w:rPr>
        <w:t>Такође, </w:t>
      </w:r>
      <w:r>
        <w:rPr>
          <w:color w:val="231F20"/>
        </w:rPr>
        <w:t>тре-  ба уклонити или заменити објекте и садржаје </w:t>
      </w:r>
      <w:r>
        <w:rPr>
          <w:color w:val="231F20"/>
          <w:spacing w:val="-3"/>
        </w:rPr>
        <w:t>који </w:t>
      </w:r>
      <w:r>
        <w:rPr>
          <w:color w:val="231F20"/>
        </w:rPr>
        <w:t>не одговарају карактеру</w:t>
      </w:r>
      <w:r>
        <w:rPr>
          <w:color w:val="231F20"/>
          <w:spacing w:val="-10"/>
        </w:rPr>
        <w:t> </w:t>
      </w:r>
      <w:r>
        <w:rPr>
          <w:color w:val="231F20"/>
        </w:rPr>
        <w:t>просторно-културно-историјских</w:t>
      </w:r>
      <w:r>
        <w:rPr>
          <w:color w:val="231F20"/>
          <w:spacing w:val="-10"/>
        </w:rPr>
        <w:t> </w:t>
      </w:r>
      <w:r>
        <w:rPr>
          <w:color w:val="231F20"/>
        </w:rPr>
        <w:t>целина,</w:t>
      </w:r>
      <w:r>
        <w:rPr>
          <w:color w:val="231F20"/>
          <w:spacing w:val="-10"/>
        </w:rPr>
        <w:t> </w:t>
      </w:r>
      <w:r>
        <w:rPr>
          <w:color w:val="231F20"/>
          <w:spacing w:val="-4"/>
        </w:rPr>
        <w:t>где</w:t>
      </w:r>
      <w:r>
        <w:rPr>
          <w:color w:val="231F20"/>
          <w:spacing w:val="-10"/>
        </w:rPr>
        <w:t> </w:t>
      </w:r>
      <w:r>
        <w:rPr>
          <w:color w:val="231F20"/>
        </w:rPr>
        <w:t>то</w:t>
      </w:r>
      <w:r>
        <w:rPr>
          <w:color w:val="231F20"/>
          <w:spacing w:val="-10"/>
        </w:rPr>
        <w:t> </w:t>
      </w:r>
      <w:r>
        <w:rPr>
          <w:color w:val="231F20"/>
          <w:spacing w:val="-3"/>
        </w:rPr>
        <w:t>околно- </w:t>
      </w:r>
      <w:r>
        <w:rPr>
          <w:color w:val="231F20"/>
        </w:rPr>
        <w:t>сти и прилике</w:t>
      </w:r>
      <w:r>
        <w:rPr>
          <w:color w:val="231F20"/>
          <w:spacing w:val="-2"/>
        </w:rPr>
        <w:t> </w:t>
      </w:r>
      <w:r>
        <w:rPr>
          <w:color w:val="231F20"/>
        </w:rPr>
        <w:t>дозволе.</w:t>
      </w:r>
    </w:p>
    <w:p>
      <w:pPr>
        <w:pStyle w:val="BodyText"/>
        <w:spacing w:line="232" w:lineRule="auto"/>
        <w:ind w:left="172" w:right="38" w:firstLine="396"/>
      </w:pPr>
      <w:r>
        <w:rPr>
          <w:color w:val="231F20"/>
          <w:spacing w:val="-3"/>
        </w:rPr>
        <w:t>Културно-историјске </w:t>
      </w:r>
      <w:r>
        <w:rPr>
          <w:color w:val="231F20"/>
        </w:rPr>
        <w:t>целине </w:t>
      </w:r>
      <w:r>
        <w:rPr>
          <w:color w:val="231F20"/>
          <w:spacing w:val="-3"/>
        </w:rPr>
        <w:t>које </w:t>
      </w:r>
      <w:r>
        <w:rPr>
          <w:color w:val="231F20"/>
        </w:rPr>
        <w:t>су </w:t>
      </w:r>
      <w:r>
        <w:rPr>
          <w:color w:val="231F20"/>
          <w:spacing w:val="-3"/>
        </w:rPr>
        <w:t>под </w:t>
      </w:r>
      <w:r>
        <w:rPr>
          <w:color w:val="231F20"/>
        </w:rPr>
        <w:t>режимом потпуне за- штите потребно је у целости очувати. Могуће су делимичне изме- не намене унутар појединачних објеката у оквиру целине уз</w:t>
      </w:r>
      <w:r>
        <w:rPr>
          <w:color w:val="231F20"/>
          <w:spacing w:val="-24"/>
        </w:rPr>
        <w:t> </w:t>
      </w:r>
      <w:r>
        <w:rPr>
          <w:color w:val="231F20"/>
        </w:rPr>
        <w:t>услов очувања аутентичности и вредности објекта. Ове целине у По- жаревцу су </w:t>
      </w:r>
      <w:r>
        <w:rPr>
          <w:color w:val="231F20"/>
          <w:spacing w:val="-4"/>
        </w:rPr>
        <w:t>око </w:t>
      </w:r>
      <w:r>
        <w:rPr>
          <w:color w:val="231F20"/>
        </w:rPr>
        <w:t>зграде Окружног начелства, Нове чаршије, </w:t>
      </w:r>
      <w:r>
        <w:rPr>
          <w:color w:val="231F20"/>
          <w:spacing w:val="-3"/>
        </w:rPr>
        <w:t>улице </w:t>
      </w:r>
      <w:r>
        <w:rPr>
          <w:color w:val="231F20"/>
        </w:rPr>
        <w:t>Кнеза Лазара, народне архитектуре у Немањиној </w:t>
      </w:r>
      <w:r>
        <w:rPr>
          <w:color w:val="231F20"/>
          <w:spacing w:val="-2"/>
        </w:rPr>
        <w:t>улици, </w:t>
      </w:r>
      <w:r>
        <w:rPr>
          <w:color w:val="231F20"/>
        </w:rPr>
        <w:t>у </w:t>
      </w:r>
      <w:r>
        <w:rPr>
          <w:color w:val="231F20"/>
          <w:spacing w:val="-3"/>
        </w:rPr>
        <w:t>улици </w:t>
      </w:r>
      <w:r>
        <w:rPr>
          <w:color w:val="231F20"/>
        </w:rPr>
        <w:t>Драже Марковића, </w:t>
      </w:r>
      <w:r>
        <w:rPr>
          <w:color w:val="231F20"/>
          <w:spacing w:val="-4"/>
        </w:rPr>
        <w:t>око </w:t>
      </w:r>
      <w:r>
        <w:rPr>
          <w:color w:val="231F20"/>
        </w:rPr>
        <w:t>Музеја, зона заштите </w:t>
      </w:r>
      <w:r>
        <w:rPr>
          <w:color w:val="231F20"/>
          <w:spacing w:val="-4"/>
        </w:rPr>
        <w:t>око </w:t>
      </w:r>
      <w:r>
        <w:rPr>
          <w:color w:val="231F20"/>
        </w:rPr>
        <w:t>раскршћа </w:t>
      </w:r>
      <w:r>
        <w:rPr>
          <w:color w:val="231F20"/>
          <w:spacing w:val="-3"/>
        </w:rPr>
        <w:t>улица </w:t>
      </w:r>
      <w:r>
        <w:rPr>
          <w:color w:val="231F20"/>
        </w:rPr>
        <w:t>Воје Дулића, Југовоћеве, </w:t>
      </w:r>
      <w:r>
        <w:rPr>
          <w:color w:val="231F20"/>
          <w:spacing w:val="-3"/>
        </w:rPr>
        <w:t>Боже </w:t>
      </w:r>
      <w:r>
        <w:rPr>
          <w:color w:val="231F20"/>
        </w:rPr>
        <w:t>Димитријевића, Вука Караџића и Љубовијске, </w:t>
      </w:r>
      <w:r>
        <w:rPr>
          <w:color w:val="231F20"/>
          <w:spacing w:val="-4"/>
        </w:rPr>
        <w:t>Горња </w:t>
      </w:r>
      <w:r>
        <w:rPr>
          <w:color w:val="231F20"/>
        </w:rPr>
        <w:t>мала, зона заштите </w:t>
      </w:r>
      <w:r>
        <w:rPr>
          <w:color w:val="231F20"/>
          <w:spacing w:val="-4"/>
        </w:rPr>
        <w:t>око </w:t>
      </w:r>
      <w:r>
        <w:rPr>
          <w:color w:val="231F20"/>
        </w:rPr>
        <w:t>Старе цркве, зона </w:t>
      </w:r>
      <w:r>
        <w:rPr>
          <w:color w:val="231F20"/>
          <w:spacing w:val="-4"/>
        </w:rPr>
        <w:t>око </w:t>
      </w:r>
      <w:r>
        <w:rPr>
          <w:color w:val="231F20"/>
        </w:rPr>
        <w:t>пионирског трга, и целина етнопарка на</w:t>
      </w:r>
      <w:r>
        <w:rPr>
          <w:color w:val="231F20"/>
          <w:spacing w:val="-8"/>
        </w:rPr>
        <w:t> </w:t>
      </w:r>
      <w:r>
        <w:rPr>
          <w:color w:val="231F20"/>
          <w:spacing w:val="-3"/>
        </w:rPr>
        <w:t>Тулби.</w:t>
      </w:r>
    </w:p>
    <w:p>
      <w:pPr>
        <w:pStyle w:val="BodyText"/>
        <w:spacing w:line="232" w:lineRule="auto"/>
        <w:ind w:left="172" w:right="38" w:firstLine="397"/>
      </w:pPr>
      <w:r>
        <w:rPr>
          <w:color w:val="231F20"/>
        </w:rPr>
        <w:t>За целине под режимом делимичне заштите предвиђа се очување постојећих вредности урбанистичко-архитектонског</w:t>
      </w:r>
    </w:p>
    <w:p>
      <w:pPr>
        <w:pStyle w:val="BodyText"/>
        <w:spacing w:line="232" w:lineRule="auto" w:before="72"/>
        <w:ind w:left="171" w:right="408" w:hanging="1"/>
      </w:pPr>
      <w:r>
        <w:rPr/>
        <w:br w:type="column"/>
      </w:r>
      <w:r>
        <w:rPr>
          <w:color w:val="231F20"/>
        </w:rPr>
        <w:t>концепта и његово даље унапређивање у смислу ремоделације и побољшања</w:t>
      </w:r>
      <w:r>
        <w:rPr>
          <w:color w:val="231F20"/>
          <w:spacing w:val="-8"/>
        </w:rPr>
        <w:t> </w:t>
      </w:r>
      <w:r>
        <w:rPr>
          <w:color w:val="231F20"/>
        </w:rPr>
        <w:t>стандарда</w:t>
      </w:r>
      <w:r>
        <w:rPr>
          <w:color w:val="231F20"/>
          <w:spacing w:val="-8"/>
        </w:rPr>
        <w:t> </w:t>
      </w:r>
      <w:r>
        <w:rPr>
          <w:color w:val="231F20"/>
        </w:rPr>
        <w:t>комплементарних</w:t>
      </w:r>
      <w:r>
        <w:rPr>
          <w:color w:val="231F20"/>
          <w:spacing w:val="-8"/>
        </w:rPr>
        <w:t> </w:t>
      </w:r>
      <w:r>
        <w:rPr>
          <w:color w:val="231F20"/>
        </w:rPr>
        <w:t>садржаја</w:t>
      </w:r>
      <w:r>
        <w:rPr>
          <w:color w:val="231F20"/>
          <w:spacing w:val="-8"/>
        </w:rPr>
        <w:t> </w:t>
      </w:r>
      <w:r>
        <w:rPr>
          <w:color w:val="231F20"/>
          <w:spacing w:val="-3"/>
        </w:rPr>
        <w:t>становању,</w:t>
      </w:r>
      <w:r>
        <w:rPr>
          <w:color w:val="231F20"/>
          <w:spacing w:val="-8"/>
        </w:rPr>
        <w:t> </w:t>
      </w:r>
      <w:r>
        <w:rPr>
          <w:color w:val="231F20"/>
        </w:rPr>
        <w:t>оба- везно поштујући аутентичност и</w:t>
      </w:r>
      <w:r>
        <w:rPr>
          <w:color w:val="231F20"/>
          <w:spacing w:val="-4"/>
        </w:rPr>
        <w:t> </w:t>
      </w:r>
      <w:r>
        <w:rPr>
          <w:color w:val="231F20"/>
        </w:rPr>
        <w:t>вредности.</w:t>
      </w:r>
    </w:p>
    <w:p>
      <w:pPr>
        <w:pStyle w:val="BodyText"/>
        <w:spacing w:line="232" w:lineRule="auto"/>
        <w:ind w:right="409" w:firstLine="397"/>
      </w:pPr>
      <w:r>
        <w:rPr/>
        <w:pict>
          <v:line style="position:absolute;mso-position-horizontal-relative:page;mso-position-vertical-relative:paragraph;z-index:3064" from="304.724396pt,-28.050953pt" to="304.724396pt,359.823047pt" stroked="true" strokeweight=".6pt" strokecolor="#231f20">
            <v:stroke dashstyle="solid"/>
            <w10:wrap type="none"/>
          </v:line>
        </w:pict>
      </w:r>
      <w:r>
        <w:rPr>
          <w:color w:val="231F20"/>
        </w:rPr>
        <w:t>Музеј </w:t>
      </w:r>
      <w:r>
        <w:rPr>
          <w:color w:val="231F20"/>
          <w:spacing w:val="-3"/>
        </w:rPr>
        <w:t>рударства </w:t>
      </w:r>
      <w:r>
        <w:rPr>
          <w:color w:val="231F20"/>
        </w:rPr>
        <w:t>у </w:t>
      </w:r>
      <w:r>
        <w:rPr>
          <w:color w:val="231F20"/>
          <w:spacing w:val="-4"/>
        </w:rPr>
        <w:t>Костолцу. </w:t>
      </w:r>
      <w:r>
        <w:rPr>
          <w:color w:val="231F20"/>
        </w:rPr>
        <w:t>Привредно друштво </w:t>
      </w:r>
      <w:r>
        <w:rPr>
          <w:color w:val="231F20"/>
          <w:spacing w:val="-4"/>
        </w:rPr>
        <w:t>„Термое- </w:t>
      </w:r>
      <w:r>
        <w:rPr>
          <w:color w:val="231F20"/>
        </w:rPr>
        <w:t>лектране и </w:t>
      </w:r>
      <w:r>
        <w:rPr>
          <w:color w:val="231F20"/>
          <w:spacing w:val="-2"/>
        </w:rPr>
        <w:t>копови </w:t>
      </w:r>
      <w:r>
        <w:rPr>
          <w:color w:val="231F20"/>
        </w:rPr>
        <w:t>Костолац” започело је припреме за оснивање музеја </w:t>
      </w:r>
      <w:r>
        <w:rPr>
          <w:color w:val="231F20"/>
          <w:spacing w:val="-3"/>
        </w:rPr>
        <w:t>рударства </w:t>
      </w:r>
      <w:r>
        <w:rPr>
          <w:color w:val="231F20"/>
        </w:rPr>
        <w:t>у </w:t>
      </w:r>
      <w:r>
        <w:rPr>
          <w:color w:val="231F20"/>
          <w:spacing w:val="-4"/>
        </w:rPr>
        <w:t>Костолцу. </w:t>
      </w:r>
      <w:r>
        <w:rPr>
          <w:color w:val="231F20"/>
          <w:spacing w:val="-3"/>
        </w:rPr>
        <w:t>Будући </w:t>
      </w:r>
      <w:r>
        <w:rPr>
          <w:color w:val="231F20"/>
        </w:rPr>
        <w:t>музеј ће се налазити на по- вршинском </w:t>
      </w:r>
      <w:r>
        <w:rPr>
          <w:color w:val="231F20"/>
          <w:spacing w:val="-3"/>
        </w:rPr>
        <w:t>копу </w:t>
      </w:r>
      <w:r>
        <w:rPr>
          <w:color w:val="231F20"/>
        </w:rPr>
        <w:t>„Кленовник”, </w:t>
      </w:r>
      <w:r>
        <w:rPr>
          <w:color w:val="231F20"/>
          <w:spacing w:val="-3"/>
        </w:rPr>
        <w:t>који </w:t>
      </w:r>
      <w:r>
        <w:rPr>
          <w:color w:val="231F20"/>
        </w:rPr>
        <w:t>више није у функцији, а </w:t>
      </w:r>
      <w:r>
        <w:rPr>
          <w:color w:val="231F20"/>
          <w:spacing w:val="-4"/>
        </w:rPr>
        <w:t>ком- </w:t>
      </w:r>
      <w:r>
        <w:rPr>
          <w:color w:val="231F20"/>
        </w:rPr>
        <w:t>плекс ће чинити унутрашња поставка на </w:t>
      </w:r>
      <w:r>
        <w:rPr>
          <w:color w:val="231F20"/>
          <w:spacing w:val="-4"/>
        </w:rPr>
        <w:t>око </w:t>
      </w:r>
      <w:r>
        <w:rPr>
          <w:color w:val="231F20"/>
        </w:rPr>
        <w:t>320 m² и отворени простор</w:t>
      </w:r>
      <w:r>
        <w:rPr>
          <w:color w:val="231F20"/>
          <w:spacing w:val="-5"/>
        </w:rPr>
        <w:t> </w:t>
      </w:r>
      <w:r>
        <w:rPr>
          <w:color w:val="231F20"/>
        </w:rPr>
        <w:t>на</w:t>
      </w:r>
      <w:r>
        <w:rPr>
          <w:color w:val="231F20"/>
          <w:spacing w:val="-5"/>
        </w:rPr>
        <w:t> </w:t>
      </w:r>
      <w:r>
        <w:rPr>
          <w:color w:val="231F20"/>
          <w:spacing w:val="-4"/>
        </w:rPr>
        <w:t>око</w:t>
      </w:r>
      <w:r>
        <w:rPr>
          <w:color w:val="231F20"/>
          <w:spacing w:val="-5"/>
        </w:rPr>
        <w:t> </w:t>
      </w:r>
      <w:r>
        <w:rPr>
          <w:color w:val="231F20"/>
        </w:rPr>
        <w:t>2</w:t>
      </w:r>
      <w:r>
        <w:rPr>
          <w:color w:val="231F20"/>
          <w:spacing w:val="-5"/>
        </w:rPr>
        <w:t> </w:t>
      </w:r>
      <w:r>
        <w:rPr>
          <w:color w:val="231F20"/>
        </w:rPr>
        <w:t>ha.</w:t>
      </w:r>
      <w:r>
        <w:rPr>
          <w:color w:val="231F20"/>
          <w:spacing w:val="-5"/>
        </w:rPr>
        <w:t> </w:t>
      </w:r>
      <w:r>
        <w:rPr>
          <w:color w:val="231F20"/>
        </w:rPr>
        <w:t>У</w:t>
      </w:r>
      <w:r>
        <w:rPr>
          <w:color w:val="231F20"/>
          <w:spacing w:val="-5"/>
        </w:rPr>
        <w:t> </w:t>
      </w:r>
      <w:r>
        <w:rPr>
          <w:color w:val="231F20"/>
        </w:rPr>
        <w:t>току</w:t>
      </w:r>
      <w:r>
        <w:rPr>
          <w:color w:val="231F20"/>
          <w:spacing w:val="-5"/>
        </w:rPr>
        <w:t> </w:t>
      </w:r>
      <w:r>
        <w:rPr>
          <w:color w:val="231F20"/>
        </w:rPr>
        <w:t>је</w:t>
      </w:r>
      <w:r>
        <w:rPr>
          <w:color w:val="231F20"/>
          <w:spacing w:val="-5"/>
        </w:rPr>
        <w:t> </w:t>
      </w:r>
      <w:r>
        <w:rPr>
          <w:color w:val="231F20"/>
        </w:rPr>
        <w:t>израда</w:t>
      </w:r>
      <w:r>
        <w:rPr>
          <w:color w:val="231F20"/>
          <w:spacing w:val="-5"/>
        </w:rPr>
        <w:t> </w:t>
      </w:r>
      <w:r>
        <w:rPr>
          <w:color w:val="231F20"/>
        </w:rPr>
        <w:t>пројектне</w:t>
      </w:r>
      <w:r>
        <w:rPr>
          <w:color w:val="231F20"/>
          <w:spacing w:val="-5"/>
        </w:rPr>
        <w:t> </w:t>
      </w:r>
      <w:r>
        <w:rPr>
          <w:color w:val="231F20"/>
        </w:rPr>
        <w:t>документације</w:t>
      </w:r>
      <w:r>
        <w:rPr>
          <w:color w:val="231F20"/>
          <w:spacing w:val="-5"/>
        </w:rPr>
        <w:t> </w:t>
      </w:r>
      <w:r>
        <w:rPr>
          <w:color w:val="231F20"/>
          <w:spacing w:val="-3"/>
        </w:rPr>
        <w:t>која </w:t>
      </w:r>
      <w:r>
        <w:rPr>
          <w:color w:val="231F20"/>
        </w:rPr>
        <w:t>је поверена </w:t>
      </w:r>
      <w:r>
        <w:rPr>
          <w:color w:val="231F20"/>
          <w:spacing w:val="-4"/>
        </w:rPr>
        <w:t>Рударском </w:t>
      </w:r>
      <w:r>
        <w:rPr>
          <w:color w:val="231F20"/>
        </w:rPr>
        <w:t>институту из Београда. Планирано је да се управна</w:t>
      </w:r>
      <w:r>
        <w:rPr>
          <w:color w:val="231F20"/>
          <w:spacing w:val="-7"/>
        </w:rPr>
        <w:t> </w:t>
      </w:r>
      <w:r>
        <w:rPr>
          <w:color w:val="231F20"/>
        </w:rPr>
        <w:t>зграда</w:t>
      </w:r>
      <w:r>
        <w:rPr>
          <w:color w:val="231F20"/>
          <w:spacing w:val="-7"/>
        </w:rPr>
        <w:t> </w:t>
      </w:r>
      <w:r>
        <w:rPr>
          <w:color w:val="231F20"/>
        </w:rPr>
        <w:t>ПК</w:t>
      </w:r>
      <w:r>
        <w:rPr>
          <w:color w:val="231F20"/>
          <w:spacing w:val="-7"/>
        </w:rPr>
        <w:t> </w:t>
      </w:r>
      <w:r>
        <w:rPr>
          <w:color w:val="231F20"/>
        </w:rPr>
        <w:t>„Кленовник”</w:t>
      </w:r>
      <w:r>
        <w:rPr>
          <w:color w:val="231F20"/>
          <w:spacing w:val="-7"/>
        </w:rPr>
        <w:t> </w:t>
      </w:r>
      <w:r>
        <w:rPr>
          <w:color w:val="231F20"/>
        </w:rPr>
        <w:t>реконструише</w:t>
      </w:r>
      <w:r>
        <w:rPr>
          <w:color w:val="231F20"/>
          <w:spacing w:val="-7"/>
        </w:rPr>
        <w:t> </w:t>
      </w:r>
      <w:r>
        <w:rPr>
          <w:color w:val="231F20"/>
        </w:rPr>
        <w:t>и</w:t>
      </w:r>
      <w:r>
        <w:rPr>
          <w:color w:val="231F20"/>
          <w:spacing w:val="-7"/>
        </w:rPr>
        <w:t> </w:t>
      </w:r>
      <w:r>
        <w:rPr>
          <w:color w:val="231F20"/>
        </w:rPr>
        <w:t>приведе</w:t>
      </w:r>
      <w:r>
        <w:rPr>
          <w:color w:val="231F20"/>
          <w:spacing w:val="-7"/>
        </w:rPr>
        <w:t> </w:t>
      </w:r>
      <w:r>
        <w:rPr>
          <w:color w:val="231F20"/>
        </w:rPr>
        <w:t>функци- ји музеја, а да се спољашњи простор додатно</w:t>
      </w:r>
      <w:r>
        <w:rPr>
          <w:color w:val="231F20"/>
          <w:spacing w:val="-9"/>
        </w:rPr>
        <w:t> </w:t>
      </w:r>
      <w:r>
        <w:rPr>
          <w:color w:val="231F20"/>
        </w:rPr>
        <w:t>оплемени.</w:t>
      </w:r>
    </w:p>
    <w:p>
      <w:pPr>
        <w:pStyle w:val="Heading1"/>
        <w:numPr>
          <w:ilvl w:val="1"/>
          <w:numId w:val="37"/>
        </w:numPr>
        <w:tabs>
          <w:tab w:pos="636" w:val="left" w:leader="none"/>
        </w:tabs>
        <w:spacing w:line="240" w:lineRule="auto" w:before="155" w:after="0"/>
        <w:ind w:left="2012" w:right="0" w:hanging="1557"/>
        <w:jc w:val="left"/>
      </w:pPr>
      <w:r>
        <w:rPr>
          <w:color w:val="231F20"/>
        </w:rPr>
        <w:t>Намена простора и биланс површина посебне</w:t>
      </w:r>
      <w:r>
        <w:rPr>
          <w:color w:val="231F20"/>
          <w:spacing w:val="-13"/>
        </w:rPr>
        <w:t> </w:t>
      </w:r>
      <w:r>
        <w:rPr>
          <w:color w:val="231F20"/>
        </w:rPr>
        <w:t>намене</w:t>
      </w:r>
    </w:p>
    <w:p>
      <w:pPr>
        <w:pStyle w:val="BodyText"/>
        <w:spacing w:before="3"/>
        <w:ind w:left="0"/>
        <w:jc w:val="left"/>
        <w:rPr>
          <w:b/>
          <w:sz w:val="17"/>
        </w:rPr>
      </w:pPr>
    </w:p>
    <w:p>
      <w:pPr>
        <w:pStyle w:val="BodyText"/>
        <w:spacing w:line="232" w:lineRule="auto"/>
        <w:ind w:right="408" w:firstLine="396"/>
      </w:pPr>
      <w:r>
        <w:rPr>
          <w:color w:val="231F20"/>
        </w:rPr>
        <w:t>Поморавље, Стиг и Браничево су подручја са значајним аграрним потенцијалом, па </w:t>
      </w:r>
      <w:r>
        <w:rPr>
          <w:color w:val="231F20"/>
          <w:spacing w:val="-3"/>
        </w:rPr>
        <w:t>сходно </w:t>
      </w:r>
      <w:r>
        <w:rPr>
          <w:color w:val="231F20"/>
        </w:rPr>
        <w:t>томе претежни део Планског подручја</w:t>
      </w:r>
      <w:r>
        <w:rPr>
          <w:color w:val="231F20"/>
          <w:spacing w:val="-7"/>
        </w:rPr>
        <w:t> </w:t>
      </w:r>
      <w:r>
        <w:rPr>
          <w:color w:val="231F20"/>
        </w:rPr>
        <w:t>припада</w:t>
      </w:r>
      <w:r>
        <w:rPr>
          <w:color w:val="231F20"/>
          <w:spacing w:val="-7"/>
        </w:rPr>
        <w:t> </w:t>
      </w:r>
      <w:r>
        <w:rPr>
          <w:color w:val="231F20"/>
        </w:rPr>
        <w:t>пољопривредном</w:t>
      </w:r>
      <w:r>
        <w:rPr>
          <w:color w:val="231F20"/>
          <w:spacing w:val="-7"/>
        </w:rPr>
        <w:t> </w:t>
      </w:r>
      <w:r>
        <w:rPr>
          <w:color w:val="231F20"/>
        </w:rPr>
        <w:t>земљишту</w:t>
      </w:r>
      <w:r>
        <w:rPr>
          <w:color w:val="231F20"/>
          <w:spacing w:val="-7"/>
        </w:rPr>
        <w:t> </w:t>
      </w:r>
      <w:r>
        <w:rPr>
          <w:color w:val="231F20"/>
          <w:spacing w:val="-3"/>
        </w:rPr>
        <w:t>(око</w:t>
      </w:r>
      <w:r>
        <w:rPr>
          <w:color w:val="231F20"/>
          <w:spacing w:val="-7"/>
        </w:rPr>
        <w:t> </w:t>
      </w:r>
      <w:r>
        <w:rPr>
          <w:color w:val="231F20"/>
        </w:rPr>
        <w:t>72%).</w:t>
      </w:r>
      <w:r>
        <w:rPr>
          <w:color w:val="231F20"/>
          <w:spacing w:val="-7"/>
        </w:rPr>
        <w:t> </w:t>
      </w:r>
      <w:r>
        <w:rPr>
          <w:color w:val="231F20"/>
        </w:rPr>
        <w:t>У</w:t>
      </w:r>
      <w:r>
        <w:rPr>
          <w:color w:val="231F20"/>
          <w:spacing w:val="-7"/>
        </w:rPr>
        <w:t> </w:t>
      </w:r>
      <w:r>
        <w:rPr>
          <w:color w:val="231F20"/>
        </w:rPr>
        <w:t>струк- тури пољопривредног земљишта њиве заузимају </w:t>
      </w:r>
      <w:r>
        <w:rPr>
          <w:color w:val="231F20"/>
          <w:spacing w:val="-4"/>
        </w:rPr>
        <w:t>око </w:t>
      </w:r>
      <w:r>
        <w:rPr>
          <w:color w:val="231F20"/>
        </w:rPr>
        <w:t>83% повр- шина, насеља и  саобраћајнице  заузимају  8,4%,  шуме,  растиње и друго </w:t>
      </w:r>
      <w:r>
        <w:rPr>
          <w:color w:val="231F20"/>
          <w:spacing w:val="-4"/>
        </w:rPr>
        <w:t>око </w:t>
      </w:r>
      <w:r>
        <w:rPr>
          <w:color w:val="231F20"/>
        </w:rPr>
        <w:t>8,5%, рударство </w:t>
      </w:r>
      <w:r>
        <w:rPr>
          <w:color w:val="231F20"/>
          <w:spacing w:val="-4"/>
        </w:rPr>
        <w:t>око </w:t>
      </w:r>
      <w:r>
        <w:rPr>
          <w:color w:val="231F20"/>
        </w:rPr>
        <w:t>3,2 %, рекултивација 1,1% итд. Промене у структури намена површина до 2022. године, последи- ца </w:t>
      </w:r>
      <w:r>
        <w:rPr>
          <w:color w:val="231F20"/>
          <w:spacing w:val="-7"/>
        </w:rPr>
        <w:t>су, </w:t>
      </w:r>
      <w:r>
        <w:rPr>
          <w:color w:val="231F20"/>
        </w:rPr>
        <w:t>пре свега, развоја рударских радова и односе се на смањење пољопривредног земљишта (70,5%), али и површина заузетих ру- дарством (2,3%) захваљујући повећању рекултивисаних површи- на (4,4%). До 2022. године не планира се измештање постојећих насеља угрожених рударским радовима, па се </w:t>
      </w:r>
      <w:r>
        <w:rPr>
          <w:color w:val="231F20"/>
          <w:spacing w:val="-4"/>
        </w:rPr>
        <w:t>будућа </w:t>
      </w:r>
      <w:r>
        <w:rPr>
          <w:color w:val="231F20"/>
        </w:rPr>
        <w:t>изградња насеља</w:t>
      </w:r>
      <w:r>
        <w:rPr>
          <w:color w:val="231F20"/>
          <w:spacing w:val="-9"/>
        </w:rPr>
        <w:t> </w:t>
      </w:r>
      <w:r>
        <w:rPr>
          <w:color w:val="231F20"/>
        </w:rPr>
        <w:t>може</w:t>
      </w:r>
      <w:r>
        <w:rPr>
          <w:color w:val="231F20"/>
          <w:spacing w:val="-9"/>
        </w:rPr>
        <w:t> </w:t>
      </w:r>
      <w:r>
        <w:rPr>
          <w:color w:val="231F20"/>
        </w:rPr>
        <w:t>организовати</w:t>
      </w:r>
      <w:r>
        <w:rPr>
          <w:color w:val="231F20"/>
          <w:spacing w:val="-9"/>
        </w:rPr>
        <w:t> </w:t>
      </w:r>
      <w:r>
        <w:rPr>
          <w:color w:val="231F20"/>
        </w:rPr>
        <w:t>у</w:t>
      </w:r>
      <w:r>
        <w:rPr>
          <w:color w:val="231F20"/>
          <w:spacing w:val="-9"/>
        </w:rPr>
        <w:t> </w:t>
      </w:r>
      <w:r>
        <w:rPr>
          <w:color w:val="231F20"/>
        </w:rPr>
        <w:t>постојећим</w:t>
      </w:r>
      <w:r>
        <w:rPr>
          <w:color w:val="231F20"/>
          <w:spacing w:val="-9"/>
        </w:rPr>
        <w:t> </w:t>
      </w:r>
      <w:r>
        <w:rPr>
          <w:color w:val="231F20"/>
        </w:rPr>
        <w:t>границама,</w:t>
      </w:r>
      <w:r>
        <w:rPr>
          <w:color w:val="231F20"/>
          <w:spacing w:val="-9"/>
        </w:rPr>
        <w:t> </w:t>
      </w:r>
      <w:r>
        <w:rPr>
          <w:color w:val="231F20"/>
        </w:rPr>
        <w:t>чиме</w:t>
      </w:r>
      <w:r>
        <w:rPr>
          <w:color w:val="231F20"/>
          <w:spacing w:val="-9"/>
        </w:rPr>
        <w:t> </w:t>
      </w:r>
      <w:r>
        <w:rPr>
          <w:color w:val="231F20"/>
        </w:rPr>
        <w:t>би</w:t>
      </w:r>
      <w:r>
        <w:rPr>
          <w:color w:val="231F20"/>
          <w:spacing w:val="-9"/>
        </w:rPr>
        <w:t> </w:t>
      </w:r>
      <w:r>
        <w:rPr>
          <w:color w:val="231F20"/>
        </w:rPr>
        <w:t>се</w:t>
      </w:r>
      <w:r>
        <w:rPr>
          <w:color w:val="231F20"/>
          <w:spacing w:val="-9"/>
        </w:rPr>
        <w:t> </w:t>
      </w:r>
      <w:r>
        <w:rPr>
          <w:color w:val="231F20"/>
        </w:rPr>
        <w:t>из- </w:t>
      </w:r>
      <w:r>
        <w:rPr>
          <w:color w:val="231F20"/>
          <w:spacing w:val="-3"/>
        </w:rPr>
        <w:t>бегло </w:t>
      </w:r>
      <w:r>
        <w:rPr>
          <w:color w:val="231F20"/>
        </w:rPr>
        <w:t>заузимање нових површина пољопривредног земљишта за потребе ширења насеља. С обзиром на то да планирани развој по- вршинских </w:t>
      </w:r>
      <w:r>
        <w:rPr>
          <w:color w:val="231F20"/>
          <w:spacing w:val="-3"/>
        </w:rPr>
        <w:t>копова </w:t>
      </w:r>
      <w:r>
        <w:rPr>
          <w:color w:val="231F20"/>
        </w:rPr>
        <w:t>захтева измештање малог броја саобраћајница, повећање површина за потребе изградње нових саобраћајница ће бити релативно мало (због изградње обилазница). Смањење по- вршина </w:t>
      </w:r>
      <w:r>
        <w:rPr>
          <w:color w:val="231F20"/>
          <w:spacing w:val="-3"/>
        </w:rPr>
        <w:t>које заузима </w:t>
      </w:r>
      <w:r>
        <w:rPr>
          <w:color w:val="231F20"/>
        </w:rPr>
        <w:t>термо-енергетски </w:t>
      </w:r>
      <w:r>
        <w:rPr>
          <w:color w:val="231F20"/>
          <w:spacing w:val="-3"/>
        </w:rPr>
        <w:t>комплекс </w:t>
      </w:r>
      <w:r>
        <w:rPr>
          <w:color w:val="231F20"/>
        </w:rPr>
        <w:t>(са 1,1 на 0,6%) последица је рекултивације депоније пепела на Средњем косто- </w:t>
      </w:r>
      <w:r>
        <w:rPr>
          <w:color w:val="231F20"/>
          <w:spacing w:val="-4"/>
        </w:rPr>
        <w:t>лачком острву. </w:t>
      </w:r>
      <w:r>
        <w:rPr>
          <w:color w:val="231F20"/>
        </w:rPr>
        <w:t>Повећање површина </w:t>
      </w:r>
      <w:r>
        <w:rPr>
          <w:color w:val="231F20"/>
          <w:spacing w:val="-3"/>
        </w:rPr>
        <w:t>под </w:t>
      </w:r>
      <w:r>
        <w:rPr>
          <w:color w:val="231F20"/>
        </w:rPr>
        <w:t>шумама са 8,5 на 8,8%, поред површина у рекултивацији </w:t>
      </w:r>
      <w:r>
        <w:rPr>
          <w:color w:val="231F20"/>
          <w:spacing w:val="-3"/>
        </w:rPr>
        <w:t>које </w:t>
      </w:r>
      <w:r>
        <w:rPr>
          <w:color w:val="231F20"/>
        </w:rPr>
        <w:t>ће делом бити пошумљене, постиже</w:t>
      </w:r>
      <w:r>
        <w:rPr>
          <w:color w:val="231F20"/>
          <w:spacing w:val="-7"/>
        </w:rPr>
        <w:t> </w:t>
      </w:r>
      <w:r>
        <w:rPr>
          <w:color w:val="231F20"/>
        </w:rPr>
        <w:t>се</w:t>
      </w:r>
      <w:r>
        <w:rPr>
          <w:color w:val="231F20"/>
          <w:spacing w:val="-7"/>
        </w:rPr>
        <w:t> </w:t>
      </w:r>
      <w:r>
        <w:rPr>
          <w:color w:val="231F20"/>
        </w:rPr>
        <w:t>формирањем</w:t>
      </w:r>
      <w:r>
        <w:rPr>
          <w:color w:val="231F20"/>
          <w:spacing w:val="-7"/>
        </w:rPr>
        <w:t> </w:t>
      </w:r>
      <w:r>
        <w:rPr>
          <w:color w:val="231F20"/>
        </w:rPr>
        <w:t>плантажа</w:t>
      </w:r>
      <w:r>
        <w:rPr>
          <w:color w:val="231F20"/>
          <w:spacing w:val="-7"/>
        </w:rPr>
        <w:t> </w:t>
      </w:r>
      <w:r>
        <w:rPr>
          <w:color w:val="231F20"/>
        </w:rPr>
        <w:t>за</w:t>
      </w:r>
      <w:r>
        <w:rPr>
          <w:color w:val="231F20"/>
          <w:spacing w:val="-7"/>
        </w:rPr>
        <w:t> </w:t>
      </w:r>
      <w:r>
        <w:rPr>
          <w:color w:val="231F20"/>
        </w:rPr>
        <w:t>производњу</w:t>
      </w:r>
      <w:r>
        <w:rPr>
          <w:color w:val="231F20"/>
          <w:spacing w:val="-7"/>
        </w:rPr>
        <w:t> </w:t>
      </w:r>
      <w:r>
        <w:rPr>
          <w:color w:val="231F20"/>
        </w:rPr>
        <w:t>биомасе</w:t>
      </w:r>
      <w:r>
        <w:rPr>
          <w:color w:val="231F20"/>
          <w:spacing w:val="-7"/>
        </w:rPr>
        <w:t> </w:t>
      </w:r>
      <w:r>
        <w:rPr>
          <w:color w:val="231F20"/>
        </w:rPr>
        <w:t>у</w:t>
      </w:r>
      <w:r>
        <w:rPr>
          <w:color w:val="231F20"/>
          <w:spacing w:val="-7"/>
        </w:rPr>
        <w:t> </w:t>
      </w:r>
      <w:r>
        <w:rPr>
          <w:color w:val="231F20"/>
        </w:rPr>
        <w:t>прио- балном подручју река Дунава, Велике Мораве и</w:t>
      </w:r>
      <w:r>
        <w:rPr>
          <w:color w:val="231F20"/>
          <w:spacing w:val="-13"/>
        </w:rPr>
        <w:t> </w:t>
      </w:r>
      <w:r>
        <w:rPr>
          <w:color w:val="231F20"/>
        </w:rPr>
        <w:t>Млаве.</w:t>
      </w:r>
    </w:p>
    <w:p>
      <w:pPr>
        <w:spacing w:after="0" w:line="232" w:lineRule="auto"/>
        <w:sectPr>
          <w:pgSz w:w="12480" w:h="15690"/>
          <w:pgMar w:top="120" w:bottom="280" w:left="680" w:right="720"/>
          <w:cols w:num="2" w:equalWidth="0">
            <w:col w:w="5316" w:space="72"/>
            <w:col w:w="5692"/>
          </w:cols>
        </w:sectPr>
      </w:pPr>
    </w:p>
    <w:p>
      <w:pPr>
        <w:pStyle w:val="BodyText"/>
        <w:ind w:left="0"/>
        <w:jc w:val="left"/>
        <w:rPr>
          <w:sz w:val="20"/>
        </w:rPr>
      </w:pPr>
    </w:p>
    <w:p>
      <w:pPr>
        <w:pStyle w:val="BodyText"/>
        <w:ind w:left="0"/>
        <w:jc w:val="left"/>
        <w:rPr>
          <w:sz w:val="20"/>
        </w:rPr>
      </w:pPr>
    </w:p>
    <w:p>
      <w:pPr>
        <w:pStyle w:val="BodyText"/>
        <w:spacing w:before="10"/>
        <w:ind w:left="0"/>
        <w:jc w:val="left"/>
        <w:rPr>
          <w:sz w:val="15"/>
        </w:rPr>
      </w:pPr>
    </w:p>
    <w:p>
      <w:pPr>
        <w:pStyle w:val="BodyText"/>
        <w:spacing w:before="93" w:after="43"/>
        <w:ind w:left="179"/>
        <w:jc w:val="left"/>
      </w:pPr>
      <w:r>
        <w:rPr>
          <w:color w:val="231F20"/>
        </w:rPr>
        <w:t>Табела 31. Биланс намене површина 2010. године</w:t>
      </w:r>
    </w:p>
    <w:tbl>
      <w:tblPr>
        <w:tblW w:w="0" w:type="auto"/>
        <w:jc w:val="left"/>
        <w:tblInd w:w="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97"/>
        <w:gridCol w:w="737"/>
        <w:gridCol w:w="691"/>
        <w:gridCol w:w="782"/>
        <w:gridCol w:w="667"/>
        <w:gridCol w:w="899"/>
        <w:gridCol w:w="1014"/>
        <w:gridCol w:w="1049"/>
        <w:gridCol w:w="800"/>
        <w:gridCol w:w="752"/>
        <w:gridCol w:w="925"/>
        <w:gridCol w:w="766"/>
      </w:tblGrid>
      <w:tr>
        <w:trPr>
          <w:trHeight w:val="200" w:hRule="atLeast"/>
        </w:trPr>
        <w:tc>
          <w:tcPr>
            <w:tcW w:w="1397" w:type="dxa"/>
            <w:vMerge w:val="restart"/>
          </w:tcPr>
          <w:p>
            <w:pPr>
              <w:pStyle w:val="TableParagraph"/>
              <w:ind w:left="424"/>
              <w:jc w:val="left"/>
              <w:rPr>
                <w:sz w:val="14"/>
              </w:rPr>
            </w:pPr>
            <w:r>
              <w:rPr>
                <w:color w:val="231F20"/>
                <w:sz w:val="14"/>
              </w:rPr>
              <w:t>Подручје</w:t>
            </w:r>
          </w:p>
        </w:tc>
        <w:tc>
          <w:tcPr>
            <w:tcW w:w="737" w:type="dxa"/>
            <w:vMerge w:val="restart"/>
          </w:tcPr>
          <w:p>
            <w:pPr>
              <w:pStyle w:val="TableParagraph"/>
              <w:spacing w:before="0"/>
              <w:jc w:val="left"/>
              <w:rPr>
                <w:sz w:val="16"/>
              </w:rPr>
            </w:pPr>
          </w:p>
        </w:tc>
        <w:tc>
          <w:tcPr>
            <w:tcW w:w="691" w:type="dxa"/>
            <w:vMerge w:val="restart"/>
          </w:tcPr>
          <w:p>
            <w:pPr>
              <w:pStyle w:val="TableParagraph"/>
              <w:ind w:left="123"/>
              <w:jc w:val="left"/>
              <w:rPr>
                <w:sz w:val="14"/>
              </w:rPr>
            </w:pPr>
            <w:r>
              <w:rPr>
                <w:color w:val="231F20"/>
                <w:sz w:val="14"/>
              </w:rPr>
              <w:t>Укупно</w:t>
            </w:r>
          </w:p>
        </w:tc>
        <w:tc>
          <w:tcPr>
            <w:tcW w:w="782" w:type="dxa"/>
            <w:vMerge w:val="restart"/>
          </w:tcPr>
          <w:p>
            <w:pPr>
              <w:pStyle w:val="TableParagraph"/>
              <w:ind w:left="190" w:right="57" w:hanging="105"/>
              <w:jc w:val="left"/>
              <w:rPr>
                <w:sz w:val="14"/>
              </w:rPr>
            </w:pPr>
            <w:r>
              <w:rPr>
                <w:color w:val="231F20"/>
                <w:sz w:val="14"/>
              </w:rPr>
              <w:t>Пољопри- вреда*</w:t>
            </w:r>
          </w:p>
        </w:tc>
        <w:tc>
          <w:tcPr>
            <w:tcW w:w="667" w:type="dxa"/>
            <w:vMerge w:val="restart"/>
          </w:tcPr>
          <w:p>
            <w:pPr>
              <w:pStyle w:val="TableParagraph"/>
              <w:ind w:left="152"/>
              <w:jc w:val="left"/>
              <w:rPr>
                <w:sz w:val="14"/>
              </w:rPr>
            </w:pPr>
            <w:r>
              <w:rPr>
                <w:color w:val="231F20"/>
                <w:sz w:val="14"/>
              </w:rPr>
              <w:t>Шуме</w:t>
            </w:r>
          </w:p>
        </w:tc>
        <w:tc>
          <w:tcPr>
            <w:tcW w:w="2962" w:type="dxa"/>
            <w:gridSpan w:val="3"/>
          </w:tcPr>
          <w:p>
            <w:pPr>
              <w:pStyle w:val="TableParagraph"/>
              <w:ind w:left="300"/>
              <w:jc w:val="left"/>
              <w:rPr>
                <w:sz w:val="14"/>
              </w:rPr>
            </w:pPr>
            <w:r>
              <w:rPr>
                <w:color w:val="231F20"/>
                <w:sz w:val="14"/>
              </w:rPr>
              <w:t>Површине заузете за потребе рударства</w:t>
            </w:r>
          </w:p>
        </w:tc>
        <w:tc>
          <w:tcPr>
            <w:tcW w:w="800" w:type="dxa"/>
            <w:vMerge w:val="restart"/>
          </w:tcPr>
          <w:p>
            <w:pPr>
              <w:pStyle w:val="TableParagraph"/>
              <w:ind w:left="171"/>
              <w:jc w:val="left"/>
              <w:rPr>
                <w:sz w:val="14"/>
              </w:rPr>
            </w:pPr>
            <w:r>
              <w:rPr>
                <w:color w:val="231F20"/>
                <w:sz w:val="14"/>
              </w:rPr>
              <w:t>Насеља</w:t>
            </w:r>
          </w:p>
        </w:tc>
        <w:tc>
          <w:tcPr>
            <w:tcW w:w="752" w:type="dxa"/>
            <w:vMerge w:val="restart"/>
          </w:tcPr>
          <w:p>
            <w:pPr>
              <w:pStyle w:val="TableParagraph"/>
              <w:ind w:left="78" w:firstLine="72"/>
              <w:jc w:val="left"/>
              <w:rPr>
                <w:sz w:val="14"/>
              </w:rPr>
            </w:pPr>
            <w:r>
              <w:rPr>
                <w:color w:val="231F20"/>
                <w:sz w:val="14"/>
              </w:rPr>
              <w:t>Инфра- структура</w:t>
            </w:r>
          </w:p>
        </w:tc>
        <w:tc>
          <w:tcPr>
            <w:tcW w:w="925" w:type="dxa"/>
            <w:vMerge w:val="restart"/>
          </w:tcPr>
          <w:p>
            <w:pPr>
              <w:pStyle w:val="TableParagraph"/>
              <w:ind w:left="34" w:right="25"/>
              <w:jc w:val="center"/>
              <w:rPr>
                <w:sz w:val="14"/>
              </w:rPr>
            </w:pPr>
            <w:r>
              <w:rPr>
                <w:color w:val="231F20"/>
                <w:sz w:val="14"/>
              </w:rPr>
              <w:t>Археолошки локалитет Виминацијум</w:t>
            </w:r>
          </w:p>
        </w:tc>
        <w:tc>
          <w:tcPr>
            <w:tcW w:w="766" w:type="dxa"/>
            <w:vMerge w:val="restart"/>
          </w:tcPr>
          <w:p>
            <w:pPr>
              <w:pStyle w:val="TableParagraph"/>
              <w:ind w:left="167"/>
              <w:jc w:val="left"/>
              <w:rPr>
                <w:sz w:val="14"/>
              </w:rPr>
            </w:pPr>
            <w:r>
              <w:rPr>
                <w:color w:val="231F20"/>
                <w:sz w:val="14"/>
              </w:rPr>
              <w:t>Остало</w:t>
            </w:r>
          </w:p>
        </w:tc>
      </w:tr>
      <w:tr>
        <w:trPr>
          <w:trHeight w:val="360" w:hRule="atLeast"/>
        </w:trPr>
        <w:tc>
          <w:tcPr>
            <w:tcW w:w="1397" w:type="dxa"/>
            <w:vMerge/>
            <w:tcBorders>
              <w:top w:val="nil"/>
            </w:tcBorders>
          </w:tcPr>
          <w:p>
            <w:pPr>
              <w:rPr>
                <w:sz w:val="2"/>
                <w:szCs w:val="2"/>
              </w:rPr>
            </w:pPr>
          </w:p>
        </w:tc>
        <w:tc>
          <w:tcPr>
            <w:tcW w:w="737" w:type="dxa"/>
            <w:vMerge/>
            <w:tcBorders>
              <w:top w:val="nil"/>
            </w:tcBorders>
          </w:tcPr>
          <w:p>
            <w:pPr>
              <w:rPr>
                <w:sz w:val="2"/>
                <w:szCs w:val="2"/>
              </w:rPr>
            </w:pPr>
          </w:p>
        </w:tc>
        <w:tc>
          <w:tcPr>
            <w:tcW w:w="691" w:type="dxa"/>
            <w:vMerge/>
            <w:tcBorders>
              <w:top w:val="nil"/>
            </w:tcBorders>
          </w:tcPr>
          <w:p>
            <w:pPr>
              <w:rPr>
                <w:sz w:val="2"/>
                <w:szCs w:val="2"/>
              </w:rPr>
            </w:pPr>
          </w:p>
        </w:tc>
        <w:tc>
          <w:tcPr>
            <w:tcW w:w="782" w:type="dxa"/>
            <w:vMerge/>
            <w:tcBorders>
              <w:top w:val="nil"/>
            </w:tcBorders>
          </w:tcPr>
          <w:p>
            <w:pPr>
              <w:rPr>
                <w:sz w:val="2"/>
                <w:szCs w:val="2"/>
              </w:rPr>
            </w:pPr>
          </w:p>
        </w:tc>
        <w:tc>
          <w:tcPr>
            <w:tcW w:w="667" w:type="dxa"/>
            <w:vMerge/>
            <w:tcBorders>
              <w:top w:val="nil"/>
            </w:tcBorders>
          </w:tcPr>
          <w:p>
            <w:pPr>
              <w:rPr>
                <w:sz w:val="2"/>
                <w:szCs w:val="2"/>
              </w:rPr>
            </w:pPr>
          </w:p>
        </w:tc>
        <w:tc>
          <w:tcPr>
            <w:tcW w:w="899" w:type="dxa"/>
          </w:tcPr>
          <w:p>
            <w:pPr>
              <w:pStyle w:val="TableParagraph"/>
              <w:ind w:left="109" w:right="84" w:firstLine="118"/>
              <w:jc w:val="left"/>
              <w:rPr>
                <w:sz w:val="14"/>
              </w:rPr>
            </w:pPr>
            <w:r>
              <w:rPr>
                <w:color w:val="231F20"/>
                <w:sz w:val="14"/>
              </w:rPr>
              <w:t>Рударс. активности</w:t>
            </w:r>
          </w:p>
        </w:tc>
        <w:tc>
          <w:tcPr>
            <w:tcW w:w="1014" w:type="dxa"/>
          </w:tcPr>
          <w:p>
            <w:pPr>
              <w:pStyle w:val="TableParagraph"/>
              <w:ind w:left="230" w:right="15" w:hanging="169"/>
              <w:jc w:val="left"/>
              <w:rPr>
                <w:sz w:val="14"/>
              </w:rPr>
            </w:pPr>
            <w:r>
              <w:rPr>
                <w:color w:val="231F20"/>
                <w:sz w:val="14"/>
              </w:rPr>
              <w:t>Термо-енергет. комплекс</w:t>
            </w:r>
          </w:p>
        </w:tc>
        <w:tc>
          <w:tcPr>
            <w:tcW w:w="1049" w:type="dxa"/>
          </w:tcPr>
          <w:p>
            <w:pPr>
              <w:pStyle w:val="TableParagraph"/>
              <w:ind w:left="222" w:hanging="139"/>
              <w:jc w:val="left"/>
              <w:rPr>
                <w:sz w:val="14"/>
              </w:rPr>
            </w:pPr>
            <w:r>
              <w:rPr>
                <w:color w:val="231F20"/>
                <w:sz w:val="14"/>
              </w:rPr>
              <w:t>Рекултивисане површине</w:t>
            </w:r>
          </w:p>
        </w:tc>
        <w:tc>
          <w:tcPr>
            <w:tcW w:w="800" w:type="dxa"/>
            <w:vMerge/>
            <w:tcBorders>
              <w:top w:val="nil"/>
            </w:tcBorders>
          </w:tcPr>
          <w:p>
            <w:pPr>
              <w:rPr>
                <w:sz w:val="2"/>
                <w:szCs w:val="2"/>
              </w:rPr>
            </w:pPr>
          </w:p>
        </w:tc>
        <w:tc>
          <w:tcPr>
            <w:tcW w:w="752" w:type="dxa"/>
            <w:vMerge/>
            <w:tcBorders>
              <w:top w:val="nil"/>
            </w:tcBorders>
          </w:tcPr>
          <w:p>
            <w:pPr>
              <w:rPr>
                <w:sz w:val="2"/>
                <w:szCs w:val="2"/>
              </w:rPr>
            </w:pPr>
          </w:p>
        </w:tc>
        <w:tc>
          <w:tcPr>
            <w:tcW w:w="925" w:type="dxa"/>
            <w:vMerge/>
            <w:tcBorders>
              <w:top w:val="nil"/>
            </w:tcBorders>
          </w:tcPr>
          <w:p>
            <w:pPr>
              <w:rPr>
                <w:sz w:val="2"/>
                <w:szCs w:val="2"/>
              </w:rPr>
            </w:pPr>
          </w:p>
        </w:tc>
        <w:tc>
          <w:tcPr>
            <w:tcW w:w="766" w:type="dxa"/>
            <w:vMerge/>
            <w:tcBorders>
              <w:top w:val="nil"/>
            </w:tcBorders>
          </w:tcPr>
          <w:p>
            <w:pPr>
              <w:rPr>
                <w:sz w:val="2"/>
                <w:szCs w:val="2"/>
              </w:rPr>
            </w:pPr>
          </w:p>
        </w:tc>
      </w:tr>
      <w:tr>
        <w:trPr>
          <w:trHeight w:val="200" w:hRule="atLeast"/>
        </w:trPr>
        <w:tc>
          <w:tcPr>
            <w:tcW w:w="1397" w:type="dxa"/>
            <w:vMerge w:val="restart"/>
          </w:tcPr>
          <w:p>
            <w:pPr>
              <w:pStyle w:val="TableParagraph"/>
              <w:ind w:left="56"/>
              <w:jc w:val="left"/>
              <w:rPr>
                <w:sz w:val="14"/>
              </w:rPr>
            </w:pPr>
            <w:r>
              <w:rPr>
                <w:color w:val="231F20"/>
                <w:sz w:val="14"/>
              </w:rPr>
              <w:t>град Пожаревац</w:t>
            </w:r>
          </w:p>
        </w:tc>
        <w:tc>
          <w:tcPr>
            <w:tcW w:w="737" w:type="dxa"/>
          </w:tcPr>
          <w:p>
            <w:pPr>
              <w:pStyle w:val="TableParagraph"/>
              <w:ind w:left="47" w:right="39"/>
              <w:jc w:val="center"/>
              <w:rPr>
                <w:sz w:val="14"/>
              </w:rPr>
            </w:pPr>
            <w:r>
              <w:rPr>
                <w:color w:val="231F20"/>
                <w:sz w:val="14"/>
              </w:rPr>
              <w:t>површина</w:t>
            </w:r>
          </w:p>
        </w:tc>
        <w:tc>
          <w:tcPr>
            <w:tcW w:w="691" w:type="dxa"/>
          </w:tcPr>
          <w:p>
            <w:pPr>
              <w:pStyle w:val="TableParagraph"/>
              <w:ind w:right="45"/>
              <w:rPr>
                <w:sz w:val="14"/>
              </w:rPr>
            </w:pPr>
            <w:r>
              <w:rPr>
                <w:color w:val="231F20"/>
                <w:sz w:val="14"/>
              </w:rPr>
              <w:t>48777.7</w:t>
            </w:r>
          </w:p>
        </w:tc>
        <w:tc>
          <w:tcPr>
            <w:tcW w:w="782" w:type="dxa"/>
          </w:tcPr>
          <w:p>
            <w:pPr>
              <w:pStyle w:val="TableParagraph"/>
              <w:ind w:right="45"/>
              <w:rPr>
                <w:sz w:val="14"/>
              </w:rPr>
            </w:pPr>
            <w:r>
              <w:rPr>
                <w:color w:val="231F20"/>
                <w:sz w:val="14"/>
              </w:rPr>
              <w:t>34795.8</w:t>
            </w:r>
          </w:p>
        </w:tc>
        <w:tc>
          <w:tcPr>
            <w:tcW w:w="667" w:type="dxa"/>
          </w:tcPr>
          <w:p>
            <w:pPr>
              <w:pStyle w:val="TableParagraph"/>
              <w:ind w:right="45"/>
              <w:rPr>
                <w:sz w:val="14"/>
              </w:rPr>
            </w:pPr>
            <w:r>
              <w:rPr>
                <w:color w:val="231F20"/>
                <w:sz w:val="14"/>
              </w:rPr>
              <w:t>3986. 2</w:t>
            </w:r>
          </w:p>
        </w:tc>
        <w:tc>
          <w:tcPr>
            <w:tcW w:w="899" w:type="dxa"/>
          </w:tcPr>
          <w:p>
            <w:pPr>
              <w:pStyle w:val="TableParagraph"/>
              <w:ind w:right="46"/>
              <w:rPr>
                <w:sz w:val="14"/>
              </w:rPr>
            </w:pPr>
            <w:r>
              <w:rPr>
                <w:color w:val="231F20"/>
                <w:sz w:val="14"/>
              </w:rPr>
              <w:t>1760.4</w:t>
            </w:r>
          </w:p>
        </w:tc>
        <w:tc>
          <w:tcPr>
            <w:tcW w:w="1014" w:type="dxa"/>
          </w:tcPr>
          <w:p>
            <w:pPr>
              <w:pStyle w:val="TableParagraph"/>
              <w:ind w:right="46"/>
              <w:rPr>
                <w:sz w:val="14"/>
              </w:rPr>
            </w:pPr>
            <w:r>
              <w:rPr>
                <w:color w:val="231F20"/>
                <w:sz w:val="14"/>
              </w:rPr>
              <w:t>604.6</w:t>
            </w:r>
          </w:p>
        </w:tc>
        <w:tc>
          <w:tcPr>
            <w:tcW w:w="1049" w:type="dxa"/>
          </w:tcPr>
          <w:p>
            <w:pPr>
              <w:pStyle w:val="TableParagraph"/>
              <w:ind w:right="46"/>
              <w:rPr>
                <w:sz w:val="14"/>
              </w:rPr>
            </w:pPr>
            <w:r>
              <w:rPr>
                <w:color w:val="231F20"/>
                <w:sz w:val="14"/>
              </w:rPr>
              <w:t>623.4</w:t>
            </w:r>
          </w:p>
        </w:tc>
        <w:tc>
          <w:tcPr>
            <w:tcW w:w="800" w:type="dxa"/>
          </w:tcPr>
          <w:p>
            <w:pPr>
              <w:pStyle w:val="TableParagraph"/>
              <w:ind w:right="46"/>
              <w:rPr>
                <w:sz w:val="14"/>
              </w:rPr>
            </w:pPr>
            <w:r>
              <w:rPr>
                <w:color w:val="231F20"/>
                <w:sz w:val="14"/>
              </w:rPr>
              <w:t>3943.6</w:t>
            </w:r>
          </w:p>
        </w:tc>
        <w:tc>
          <w:tcPr>
            <w:tcW w:w="752" w:type="dxa"/>
          </w:tcPr>
          <w:p>
            <w:pPr>
              <w:pStyle w:val="TableParagraph"/>
              <w:ind w:right="46"/>
              <w:rPr>
                <w:sz w:val="14"/>
              </w:rPr>
            </w:pPr>
            <w:r>
              <w:rPr>
                <w:color w:val="231F20"/>
                <w:sz w:val="14"/>
              </w:rPr>
              <w:t>348.5</w:t>
            </w:r>
          </w:p>
        </w:tc>
        <w:tc>
          <w:tcPr>
            <w:tcW w:w="925" w:type="dxa"/>
          </w:tcPr>
          <w:p>
            <w:pPr>
              <w:pStyle w:val="TableParagraph"/>
              <w:ind w:right="45"/>
              <w:rPr>
                <w:sz w:val="14"/>
              </w:rPr>
            </w:pPr>
            <w:r>
              <w:rPr>
                <w:color w:val="231F20"/>
                <w:sz w:val="14"/>
              </w:rPr>
              <w:t>355.0</w:t>
            </w:r>
          </w:p>
        </w:tc>
        <w:tc>
          <w:tcPr>
            <w:tcW w:w="766" w:type="dxa"/>
          </w:tcPr>
          <w:p>
            <w:pPr>
              <w:pStyle w:val="TableParagraph"/>
              <w:ind w:right="45"/>
              <w:rPr>
                <w:sz w:val="14"/>
              </w:rPr>
            </w:pPr>
            <w:r>
              <w:rPr>
                <w:color w:val="231F20"/>
                <w:sz w:val="14"/>
              </w:rPr>
              <w:t>2360.3</w:t>
            </w:r>
          </w:p>
        </w:tc>
      </w:tr>
      <w:tr>
        <w:trPr>
          <w:trHeight w:val="200" w:hRule="atLeast"/>
        </w:trPr>
        <w:tc>
          <w:tcPr>
            <w:tcW w:w="1397" w:type="dxa"/>
            <w:vMerge/>
            <w:tcBorders>
              <w:top w:val="nil"/>
            </w:tcBorders>
          </w:tcPr>
          <w:p>
            <w:pPr>
              <w:rPr>
                <w:sz w:val="2"/>
                <w:szCs w:val="2"/>
              </w:rPr>
            </w:pPr>
          </w:p>
        </w:tc>
        <w:tc>
          <w:tcPr>
            <w:tcW w:w="737" w:type="dxa"/>
          </w:tcPr>
          <w:p>
            <w:pPr>
              <w:pStyle w:val="TableParagraph"/>
              <w:ind w:left="8"/>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2" w:type="dxa"/>
          </w:tcPr>
          <w:p>
            <w:pPr>
              <w:pStyle w:val="TableParagraph"/>
              <w:ind w:right="45"/>
              <w:rPr>
                <w:sz w:val="14"/>
              </w:rPr>
            </w:pPr>
            <w:r>
              <w:rPr>
                <w:color w:val="231F20"/>
                <w:sz w:val="14"/>
              </w:rPr>
              <w:t>71,5</w:t>
            </w:r>
          </w:p>
        </w:tc>
        <w:tc>
          <w:tcPr>
            <w:tcW w:w="667" w:type="dxa"/>
          </w:tcPr>
          <w:p>
            <w:pPr>
              <w:pStyle w:val="TableParagraph"/>
              <w:ind w:right="45"/>
              <w:rPr>
                <w:sz w:val="14"/>
              </w:rPr>
            </w:pPr>
            <w:r>
              <w:rPr>
                <w:color w:val="231F20"/>
                <w:sz w:val="14"/>
              </w:rPr>
              <w:t>8,2</w:t>
            </w:r>
          </w:p>
        </w:tc>
        <w:tc>
          <w:tcPr>
            <w:tcW w:w="899" w:type="dxa"/>
          </w:tcPr>
          <w:p>
            <w:pPr>
              <w:pStyle w:val="TableParagraph"/>
              <w:ind w:right="46"/>
              <w:rPr>
                <w:sz w:val="14"/>
              </w:rPr>
            </w:pPr>
            <w:r>
              <w:rPr>
                <w:color w:val="231F20"/>
                <w:sz w:val="14"/>
              </w:rPr>
              <w:t>3.6</w:t>
            </w:r>
          </w:p>
        </w:tc>
        <w:tc>
          <w:tcPr>
            <w:tcW w:w="1014" w:type="dxa"/>
          </w:tcPr>
          <w:p>
            <w:pPr>
              <w:pStyle w:val="TableParagraph"/>
              <w:ind w:right="46"/>
              <w:rPr>
                <w:sz w:val="14"/>
              </w:rPr>
            </w:pPr>
            <w:r>
              <w:rPr>
                <w:color w:val="231F20"/>
                <w:sz w:val="14"/>
              </w:rPr>
              <w:t>1.3</w:t>
            </w:r>
          </w:p>
        </w:tc>
        <w:tc>
          <w:tcPr>
            <w:tcW w:w="1049" w:type="dxa"/>
          </w:tcPr>
          <w:p>
            <w:pPr>
              <w:pStyle w:val="TableParagraph"/>
              <w:ind w:right="46"/>
              <w:rPr>
                <w:sz w:val="14"/>
              </w:rPr>
            </w:pPr>
            <w:r>
              <w:rPr>
                <w:color w:val="231F20"/>
                <w:sz w:val="14"/>
              </w:rPr>
              <w:t>1.3</w:t>
            </w:r>
          </w:p>
        </w:tc>
        <w:tc>
          <w:tcPr>
            <w:tcW w:w="800" w:type="dxa"/>
          </w:tcPr>
          <w:p>
            <w:pPr>
              <w:pStyle w:val="TableParagraph"/>
              <w:ind w:right="46"/>
              <w:rPr>
                <w:sz w:val="14"/>
              </w:rPr>
            </w:pPr>
            <w:r>
              <w:rPr>
                <w:color w:val="231F20"/>
                <w:sz w:val="14"/>
              </w:rPr>
              <w:t>8.1</w:t>
            </w:r>
          </w:p>
        </w:tc>
        <w:tc>
          <w:tcPr>
            <w:tcW w:w="752" w:type="dxa"/>
          </w:tcPr>
          <w:p>
            <w:pPr>
              <w:pStyle w:val="TableParagraph"/>
              <w:ind w:right="46"/>
              <w:rPr>
                <w:sz w:val="14"/>
              </w:rPr>
            </w:pPr>
            <w:r>
              <w:rPr>
                <w:color w:val="231F20"/>
                <w:sz w:val="14"/>
              </w:rPr>
              <w:t>0.7</w:t>
            </w:r>
          </w:p>
        </w:tc>
        <w:tc>
          <w:tcPr>
            <w:tcW w:w="925" w:type="dxa"/>
          </w:tcPr>
          <w:p>
            <w:pPr>
              <w:pStyle w:val="TableParagraph"/>
              <w:ind w:right="45"/>
              <w:rPr>
                <w:sz w:val="14"/>
              </w:rPr>
            </w:pPr>
            <w:r>
              <w:rPr>
                <w:color w:val="231F20"/>
                <w:sz w:val="14"/>
              </w:rPr>
              <w:t>0.7</w:t>
            </w:r>
          </w:p>
        </w:tc>
        <w:tc>
          <w:tcPr>
            <w:tcW w:w="766" w:type="dxa"/>
          </w:tcPr>
          <w:p>
            <w:pPr>
              <w:pStyle w:val="TableParagraph"/>
              <w:ind w:right="45"/>
              <w:rPr>
                <w:sz w:val="14"/>
              </w:rPr>
            </w:pPr>
            <w:r>
              <w:rPr>
                <w:color w:val="231F20"/>
                <w:sz w:val="14"/>
              </w:rPr>
              <w:t>4,8</w:t>
            </w:r>
          </w:p>
        </w:tc>
      </w:tr>
      <w:tr>
        <w:trPr>
          <w:trHeight w:val="200" w:hRule="atLeast"/>
        </w:trPr>
        <w:tc>
          <w:tcPr>
            <w:tcW w:w="1397" w:type="dxa"/>
            <w:vMerge w:val="restart"/>
          </w:tcPr>
          <w:p>
            <w:pPr>
              <w:pStyle w:val="TableParagraph"/>
              <w:spacing w:line="161" w:lineRule="exact"/>
              <w:ind w:left="56"/>
              <w:jc w:val="left"/>
              <w:rPr>
                <w:sz w:val="14"/>
              </w:rPr>
            </w:pPr>
            <w:r>
              <w:rPr>
                <w:color w:val="231F20"/>
                <w:sz w:val="14"/>
              </w:rPr>
              <w:t>В. Градиште</w:t>
            </w:r>
          </w:p>
          <w:p>
            <w:pPr>
              <w:pStyle w:val="TableParagraph"/>
              <w:spacing w:line="161" w:lineRule="exact" w:before="0"/>
              <w:ind w:left="56"/>
              <w:jc w:val="left"/>
              <w:rPr>
                <w:sz w:val="14"/>
              </w:rPr>
            </w:pPr>
            <w:r>
              <w:rPr>
                <w:color w:val="231F20"/>
                <w:sz w:val="14"/>
              </w:rPr>
              <w:t>у оквиру Плана</w:t>
            </w:r>
          </w:p>
        </w:tc>
        <w:tc>
          <w:tcPr>
            <w:tcW w:w="737" w:type="dxa"/>
          </w:tcPr>
          <w:p>
            <w:pPr>
              <w:pStyle w:val="TableParagraph"/>
              <w:ind w:left="47" w:right="39"/>
              <w:jc w:val="center"/>
              <w:rPr>
                <w:sz w:val="14"/>
              </w:rPr>
            </w:pPr>
            <w:r>
              <w:rPr>
                <w:color w:val="231F20"/>
                <w:sz w:val="14"/>
              </w:rPr>
              <w:t>површина</w:t>
            </w:r>
          </w:p>
        </w:tc>
        <w:tc>
          <w:tcPr>
            <w:tcW w:w="691" w:type="dxa"/>
          </w:tcPr>
          <w:p>
            <w:pPr>
              <w:pStyle w:val="TableParagraph"/>
              <w:ind w:right="45"/>
              <w:rPr>
                <w:sz w:val="14"/>
              </w:rPr>
            </w:pPr>
            <w:r>
              <w:rPr>
                <w:color w:val="231F20"/>
                <w:sz w:val="14"/>
              </w:rPr>
              <w:t>5568.6</w:t>
            </w:r>
          </w:p>
        </w:tc>
        <w:tc>
          <w:tcPr>
            <w:tcW w:w="782" w:type="dxa"/>
          </w:tcPr>
          <w:p>
            <w:pPr>
              <w:pStyle w:val="TableParagraph"/>
              <w:ind w:right="45"/>
              <w:rPr>
                <w:sz w:val="14"/>
              </w:rPr>
            </w:pPr>
            <w:r>
              <w:rPr>
                <w:color w:val="231F20"/>
                <w:sz w:val="14"/>
              </w:rPr>
              <w:t>4617.7</w:t>
            </w:r>
          </w:p>
        </w:tc>
        <w:tc>
          <w:tcPr>
            <w:tcW w:w="667" w:type="dxa"/>
          </w:tcPr>
          <w:p>
            <w:pPr>
              <w:pStyle w:val="TableParagraph"/>
              <w:ind w:right="45"/>
              <w:rPr>
                <w:sz w:val="14"/>
              </w:rPr>
            </w:pPr>
            <w:r>
              <w:rPr>
                <w:color w:val="231F20"/>
                <w:sz w:val="14"/>
              </w:rPr>
              <w:t>643.0</w:t>
            </w:r>
          </w:p>
        </w:tc>
        <w:tc>
          <w:tcPr>
            <w:tcW w:w="899" w:type="dxa"/>
          </w:tcPr>
          <w:p>
            <w:pPr>
              <w:pStyle w:val="TableParagraph"/>
              <w:spacing w:before="0"/>
              <w:jc w:val="left"/>
              <w:rPr>
                <w:sz w:val="12"/>
              </w:rPr>
            </w:pPr>
          </w:p>
        </w:tc>
        <w:tc>
          <w:tcPr>
            <w:tcW w:w="1014" w:type="dxa"/>
          </w:tcPr>
          <w:p>
            <w:pPr>
              <w:pStyle w:val="TableParagraph"/>
              <w:spacing w:before="0"/>
              <w:jc w:val="left"/>
              <w:rPr>
                <w:sz w:val="12"/>
              </w:rPr>
            </w:pPr>
          </w:p>
        </w:tc>
        <w:tc>
          <w:tcPr>
            <w:tcW w:w="1049" w:type="dxa"/>
          </w:tcPr>
          <w:p>
            <w:pPr>
              <w:pStyle w:val="TableParagraph"/>
              <w:spacing w:before="0"/>
              <w:jc w:val="left"/>
              <w:rPr>
                <w:sz w:val="12"/>
              </w:rPr>
            </w:pPr>
          </w:p>
        </w:tc>
        <w:tc>
          <w:tcPr>
            <w:tcW w:w="800" w:type="dxa"/>
          </w:tcPr>
          <w:p>
            <w:pPr>
              <w:pStyle w:val="TableParagraph"/>
              <w:ind w:right="46"/>
              <w:rPr>
                <w:sz w:val="14"/>
              </w:rPr>
            </w:pPr>
            <w:r>
              <w:rPr>
                <w:color w:val="231F20"/>
                <w:sz w:val="14"/>
              </w:rPr>
              <w:t>261.5</w:t>
            </w:r>
          </w:p>
        </w:tc>
        <w:tc>
          <w:tcPr>
            <w:tcW w:w="752" w:type="dxa"/>
          </w:tcPr>
          <w:p>
            <w:pPr>
              <w:pStyle w:val="TableParagraph"/>
              <w:ind w:right="46"/>
              <w:rPr>
                <w:sz w:val="14"/>
              </w:rPr>
            </w:pPr>
            <w:r>
              <w:rPr>
                <w:color w:val="231F20"/>
                <w:sz w:val="14"/>
              </w:rPr>
              <w:t>34.5</w:t>
            </w:r>
          </w:p>
        </w:tc>
        <w:tc>
          <w:tcPr>
            <w:tcW w:w="925" w:type="dxa"/>
          </w:tcPr>
          <w:p>
            <w:pPr>
              <w:pStyle w:val="TableParagraph"/>
              <w:spacing w:before="0"/>
              <w:jc w:val="left"/>
              <w:rPr>
                <w:sz w:val="12"/>
              </w:rPr>
            </w:pPr>
          </w:p>
        </w:tc>
        <w:tc>
          <w:tcPr>
            <w:tcW w:w="766" w:type="dxa"/>
          </w:tcPr>
          <w:p>
            <w:pPr>
              <w:pStyle w:val="TableParagraph"/>
              <w:ind w:right="45"/>
              <w:rPr>
                <w:sz w:val="14"/>
              </w:rPr>
            </w:pPr>
            <w:r>
              <w:rPr>
                <w:color w:val="231F20"/>
                <w:sz w:val="14"/>
              </w:rPr>
              <w:t>11.9</w:t>
            </w:r>
          </w:p>
        </w:tc>
      </w:tr>
      <w:tr>
        <w:trPr>
          <w:trHeight w:val="200" w:hRule="atLeast"/>
        </w:trPr>
        <w:tc>
          <w:tcPr>
            <w:tcW w:w="1397" w:type="dxa"/>
            <w:vMerge/>
            <w:tcBorders>
              <w:top w:val="nil"/>
            </w:tcBorders>
          </w:tcPr>
          <w:p>
            <w:pPr>
              <w:rPr>
                <w:sz w:val="2"/>
                <w:szCs w:val="2"/>
              </w:rPr>
            </w:pPr>
          </w:p>
        </w:tc>
        <w:tc>
          <w:tcPr>
            <w:tcW w:w="737" w:type="dxa"/>
          </w:tcPr>
          <w:p>
            <w:pPr>
              <w:pStyle w:val="TableParagraph"/>
              <w:ind w:left="8"/>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2" w:type="dxa"/>
          </w:tcPr>
          <w:p>
            <w:pPr>
              <w:pStyle w:val="TableParagraph"/>
              <w:ind w:right="45"/>
              <w:rPr>
                <w:sz w:val="14"/>
              </w:rPr>
            </w:pPr>
            <w:r>
              <w:rPr>
                <w:color w:val="231F20"/>
                <w:sz w:val="14"/>
              </w:rPr>
              <w:t>82.9</w:t>
            </w:r>
          </w:p>
        </w:tc>
        <w:tc>
          <w:tcPr>
            <w:tcW w:w="667" w:type="dxa"/>
          </w:tcPr>
          <w:p>
            <w:pPr>
              <w:pStyle w:val="TableParagraph"/>
              <w:ind w:right="45"/>
              <w:rPr>
                <w:sz w:val="14"/>
              </w:rPr>
            </w:pPr>
            <w:r>
              <w:rPr>
                <w:color w:val="231F20"/>
                <w:sz w:val="14"/>
              </w:rPr>
              <w:t>11.5</w:t>
            </w:r>
          </w:p>
        </w:tc>
        <w:tc>
          <w:tcPr>
            <w:tcW w:w="899" w:type="dxa"/>
          </w:tcPr>
          <w:p>
            <w:pPr>
              <w:pStyle w:val="TableParagraph"/>
              <w:spacing w:before="0"/>
              <w:jc w:val="left"/>
              <w:rPr>
                <w:sz w:val="12"/>
              </w:rPr>
            </w:pPr>
          </w:p>
        </w:tc>
        <w:tc>
          <w:tcPr>
            <w:tcW w:w="1014" w:type="dxa"/>
          </w:tcPr>
          <w:p>
            <w:pPr>
              <w:pStyle w:val="TableParagraph"/>
              <w:spacing w:before="0"/>
              <w:jc w:val="left"/>
              <w:rPr>
                <w:sz w:val="12"/>
              </w:rPr>
            </w:pPr>
          </w:p>
        </w:tc>
        <w:tc>
          <w:tcPr>
            <w:tcW w:w="1049" w:type="dxa"/>
          </w:tcPr>
          <w:p>
            <w:pPr>
              <w:pStyle w:val="TableParagraph"/>
              <w:spacing w:before="0"/>
              <w:jc w:val="left"/>
              <w:rPr>
                <w:sz w:val="12"/>
              </w:rPr>
            </w:pPr>
          </w:p>
        </w:tc>
        <w:tc>
          <w:tcPr>
            <w:tcW w:w="800" w:type="dxa"/>
          </w:tcPr>
          <w:p>
            <w:pPr>
              <w:pStyle w:val="TableParagraph"/>
              <w:ind w:right="46"/>
              <w:rPr>
                <w:sz w:val="14"/>
              </w:rPr>
            </w:pPr>
            <w:r>
              <w:rPr>
                <w:color w:val="231F20"/>
                <w:sz w:val="14"/>
              </w:rPr>
              <w:t>4.7</w:t>
            </w:r>
          </w:p>
        </w:tc>
        <w:tc>
          <w:tcPr>
            <w:tcW w:w="752" w:type="dxa"/>
          </w:tcPr>
          <w:p>
            <w:pPr>
              <w:pStyle w:val="TableParagraph"/>
              <w:ind w:right="46"/>
              <w:rPr>
                <w:sz w:val="14"/>
              </w:rPr>
            </w:pPr>
            <w:r>
              <w:rPr>
                <w:color w:val="231F20"/>
                <w:sz w:val="14"/>
              </w:rPr>
              <w:t>0.6</w:t>
            </w:r>
          </w:p>
        </w:tc>
        <w:tc>
          <w:tcPr>
            <w:tcW w:w="925" w:type="dxa"/>
          </w:tcPr>
          <w:p>
            <w:pPr>
              <w:pStyle w:val="TableParagraph"/>
              <w:spacing w:before="0"/>
              <w:jc w:val="left"/>
              <w:rPr>
                <w:sz w:val="12"/>
              </w:rPr>
            </w:pPr>
          </w:p>
        </w:tc>
        <w:tc>
          <w:tcPr>
            <w:tcW w:w="766" w:type="dxa"/>
          </w:tcPr>
          <w:p>
            <w:pPr>
              <w:pStyle w:val="TableParagraph"/>
              <w:ind w:right="45"/>
              <w:rPr>
                <w:sz w:val="14"/>
              </w:rPr>
            </w:pPr>
            <w:r>
              <w:rPr>
                <w:color w:val="231F20"/>
                <w:sz w:val="14"/>
              </w:rPr>
              <w:t>0.2</w:t>
            </w:r>
          </w:p>
        </w:tc>
      </w:tr>
      <w:tr>
        <w:trPr>
          <w:trHeight w:val="200" w:hRule="atLeast"/>
        </w:trPr>
        <w:tc>
          <w:tcPr>
            <w:tcW w:w="1397" w:type="dxa"/>
            <w:vMerge w:val="restart"/>
          </w:tcPr>
          <w:p>
            <w:pPr>
              <w:pStyle w:val="TableParagraph"/>
              <w:ind w:left="56"/>
              <w:jc w:val="left"/>
              <w:rPr>
                <w:sz w:val="14"/>
              </w:rPr>
            </w:pPr>
            <w:r>
              <w:rPr>
                <w:color w:val="231F20"/>
                <w:sz w:val="14"/>
              </w:rPr>
              <w:t>Укупно Планско подручје</w:t>
            </w:r>
          </w:p>
        </w:tc>
        <w:tc>
          <w:tcPr>
            <w:tcW w:w="737" w:type="dxa"/>
          </w:tcPr>
          <w:p>
            <w:pPr>
              <w:pStyle w:val="TableParagraph"/>
              <w:ind w:left="47" w:right="39"/>
              <w:jc w:val="center"/>
              <w:rPr>
                <w:sz w:val="14"/>
              </w:rPr>
            </w:pPr>
            <w:r>
              <w:rPr>
                <w:color w:val="231F20"/>
                <w:sz w:val="14"/>
              </w:rPr>
              <w:t>површина</w:t>
            </w:r>
          </w:p>
        </w:tc>
        <w:tc>
          <w:tcPr>
            <w:tcW w:w="691" w:type="dxa"/>
          </w:tcPr>
          <w:p>
            <w:pPr>
              <w:pStyle w:val="TableParagraph"/>
              <w:ind w:right="45"/>
              <w:rPr>
                <w:sz w:val="14"/>
              </w:rPr>
            </w:pPr>
            <w:r>
              <w:rPr>
                <w:color w:val="231F20"/>
                <w:sz w:val="14"/>
              </w:rPr>
              <w:t>54346.3</w:t>
            </w:r>
          </w:p>
        </w:tc>
        <w:tc>
          <w:tcPr>
            <w:tcW w:w="782" w:type="dxa"/>
          </w:tcPr>
          <w:p>
            <w:pPr>
              <w:pStyle w:val="TableParagraph"/>
              <w:ind w:right="46"/>
              <w:rPr>
                <w:sz w:val="14"/>
              </w:rPr>
            </w:pPr>
            <w:r>
              <w:rPr>
                <w:color w:val="231F20"/>
                <w:sz w:val="14"/>
              </w:rPr>
              <w:t>39413.5</w:t>
            </w:r>
          </w:p>
        </w:tc>
        <w:tc>
          <w:tcPr>
            <w:tcW w:w="667" w:type="dxa"/>
          </w:tcPr>
          <w:p>
            <w:pPr>
              <w:pStyle w:val="TableParagraph"/>
              <w:ind w:right="46"/>
              <w:rPr>
                <w:sz w:val="14"/>
              </w:rPr>
            </w:pPr>
            <w:r>
              <w:rPr>
                <w:color w:val="231F20"/>
                <w:sz w:val="14"/>
              </w:rPr>
              <w:t>4629.2</w:t>
            </w:r>
          </w:p>
        </w:tc>
        <w:tc>
          <w:tcPr>
            <w:tcW w:w="899" w:type="dxa"/>
          </w:tcPr>
          <w:p>
            <w:pPr>
              <w:pStyle w:val="TableParagraph"/>
              <w:ind w:right="46"/>
              <w:rPr>
                <w:sz w:val="14"/>
              </w:rPr>
            </w:pPr>
            <w:r>
              <w:rPr>
                <w:color w:val="231F20"/>
                <w:sz w:val="14"/>
              </w:rPr>
              <w:t>1760.3</w:t>
            </w:r>
          </w:p>
        </w:tc>
        <w:tc>
          <w:tcPr>
            <w:tcW w:w="1014" w:type="dxa"/>
          </w:tcPr>
          <w:p>
            <w:pPr>
              <w:pStyle w:val="TableParagraph"/>
              <w:ind w:right="46"/>
              <w:rPr>
                <w:sz w:val="14"/>
              </w:rPr>
            </w:pPr>
            <w:r>
              <w:rPr>
                <w:color w:val="231F20"/>
                <w:sz w:val="14"/>
              </w:rPr>
              <w:t>604.6</w:t>
            </w:r>
          </w:p>
        </w:tc>
        <w:tc>
          <w:tcPr>
            <w:tcW w:w="1049" w:type="dxa"/>
          </w:tcPr>
          <w:p>
            <w:pPr>
              <w:pStyle w:val="TableParagraph"/>
              <w:ind w:right="46"/>
              <w:rPr>
                <w:sz w:val="14"/>
              </w:rPr>
            </w:pPr>
            <w:r>
              <w:rPr>
                <w:color w:val="231F20"/>
                <w:sz w:val="14"/>
              </w:rPr>
              <w:t>623.4</w:t>
            </w:r>
          </w:p>
        </w:tc>
        <w:tc>
          <w:tcPr>
            <w:tcW w:w="800" w:type="dxa"/>
          </w:tcPr>
          <w:p>
            <w:pPr>
              <w:pStyle w:val="TableParagraph"/>
              <w:ind w:right="46"/>
              <w:rPr>
                <w:sz w:val="14"/>
              </w:rPr>
            </w:pPr>
            <w:r>
              <w:rPr>
                <w:color w:val="231F20"/>
                <w:sz w:val="14"/>
              </w:rPr>
              <w:t>4205.1</w:t>
            </w:r>
          </w:p>
        </w:tc>
        <w:tc>
          <w:tcPr>
            <w:tcW w:w="752" w:type="dxa"/>
          </w:tcPr>
          <w:p>
            <w:pPr>
              <w:pStyle w:val="TableParagraph"/>
              <w:ind w:right="46"/>
              <w:rPr>
                <w:sz w:val="14"/>
              </w:rPr>
            </w:pPr>
            <w:r>
              <w:rPr>
                <w:color w:val="231F20"/>
                <w:sz w:val="14"/>
              </w:rPr>
              <w:t>383.0</w:t>
            </w:r>
          </w:p>
        </w:tc>
        <w:tc>
          <w:tcPr>
            <w:tcW w:w="925" w:type="dxa"/>
          </w:tcPr>
          <w:p>
            <w:pPr>
              <w:pStyle w:val="TableParagraph"/>
              <w:ind w:right="46"/>
              <w:rPr>
                <w:sz w:val="14"/>
              </w:rPr>
            </w:pPr>
            <w:r>
              <w:rPr>
                <w:color w:val="231F20"/>
                <w:sz w:val="14"/>
              </w:rPr>
              <w:t>355.0</w:t>
            </w:r>
          </w:p>
        </w:tc>
        <w:tc>
          <w:tcPr>
            <w:tcW w:w="766" w:type="dxa"/>
          </w:tcPr>
          <w:p>
            <w:pPr>
              <w:pStyle w:val="TableParagraph"/>
              <w:ind w:right="45"/>
              <w:rPr>
                <w:sz w:val="14"/>
              </w:rPr>
            </w:pPr>
            <w:r>
              <w:rPr>
                <w:color w:val="231F20"/>
                <w:sz w:val="14"/>
              </w:rPr>
              <w:t>2372.2</w:t>
            </w:r>
          </w:p>
        </w:tc>
      </w:tr>
      <w:tr>
        <w:trPr>
          <w:trHeight w:val="200" w:hRule="atLeast"/>
        </w:trPr>
        <w:tc>
          <w:tcPr>
            <w:tcW w:w="1397" w:type="dxa"/>
            <w:vMerge/>
            <w:tcBorders>
              <w:top w:val="nil"/>
            </w:tcBorders>
          </w:tcPr>
          <w:p>
            <w:pPr>
              <w:rPr>
                <w:sz w:val="2"/>
                <w:szCs w:val="2"/>
              </w:rPr>
            </w:pPr>
          </w:p>
        </w:tc>
        <w:tc>
          <w:tcPr>
            <w:tcW w:w="737" w:type="dxa"/>
          </w:tcPr>
          <w:p>
            <w:pPr>
              <w:pStyle w:val="TableParagraph"/>
              <w:ind w:left="8"/>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2" w:type="dxa"/>
          </w:tcPr>
          <w:p>
            <w:pPr>
              <w:pStyle w:val="TableParagraph"/>
              <w:ind w:right="46"/>
              <w:rPr>
                <w:sz w:val="14"/>
              </w:rPr>
            </w:pPr>
            <w:r>
              <w:rPr>
                <w:color w:val="231F20"/>
                <w:sz w:val="14"/>
              </w:rPr>
              <w:t>72,5</w:t>
            </w:r>
          </w:p>
        </w:tc>
        <w:tc>
          <w:tcPr>
            <w:tcW w:w="667" w:type="dxa"/>
          </w:tcPr>
          <w:p>
            <w:pPr>
              <w:pStyle w:val="TableParagraph"/>
              <w:ind w:right="46"/>
              <w:rPr>
                <w:sz w:val="14"/>
              </w:rPr>
            </w:pPr>
            <w:r>
              <w:rPr>
                <w:color w:val="231F20"/>
                <w:sz w:val="14"/>
              </w:rPr>
              <w:t>8.5</w:t>
            </w:r>
          </w:p>
        </w:tc>
        <w:tc>
          <w:tcPr>
            <w:tcW w:w="899" w:type="dxa"/>
          </w:tcPr>
          <w:p>
            <w:pPr>
              <w:pStyle w:val="TableParagraph"/>
              <w:ind w:right="46"/>
              <w:rPr>
                <w:sz w:val="14"/>
              </w:rPr>
            </w:pPr>
            <w:r>
              <w:rPr>
                <w:color w:val="231F20"/>
                <w:sz w:val="14"/>
              </w:rPr>
              <w:t>3.2</w:t>
            </w:r>
          </w:p>
        </w:tc>
        <w:tc>
          <w:tcPr>
            <w:tcW w:w="1014" w:type="dxa"/>
          </w:tcPr>
          <w:p>
            <w:pPr>
              <w:pStyle w:val="TableParagraph"/>
              <w:ind w:right="46"/>
              <w:rPr>
                <w:sz w:val="14"/>
              </w:rPr>
            </w:pPr>
            <w:r>
              <w:rPr>
                <w:color w:val="231F20"/>
                <w:sz w:val="14"/>
              </w:rPr>
              <w:t>1.1</w:t>
            </w:r>
          </w:p>
        </w:tc>
        <w:tc>
          <w:tcPr>
            <w:tcW w:w="1049" w:type="dxa"/>
          </w:tcPr>
          <w:p>
            <w:pPr>
              <w:pStyle w:val="TableParagraph"/>
              <w:ind w:right="46"/>
              <w:rPr>
                <w:sz w:val="14"/>
              </w:rPr>
            </w:pPr>
            <w:r>
              <w:rPr>
                <w:color w:val="231F20"/>
                <w:sz w:val="14"/>
              </w:rPr>
              <w:t>1.1</w:t>
            </w:r>
          </w:p>
        </w:tc>
        <w:tc>
          <w:tcPr>
            <w:tcW w:w="800" w:type="dxa"/>
          </w:tcPr>
          <w:p>
            <w:pPr>
              <w:pStyle w:val="TableParagraph"/>
              <w:ind w:right="46"/>
              <w:rPr>
                <w:sz w:val="14"/>
              </w:rPr>
            </w:pPr>
            <w:r>
              <w:rPr>
                <w:color w:val="231F20"/>
                <w:sz w:val="14"/>
              </w:rPr>
              <w:t>7.7</w:t>
            </w:r>
          </w:p>
        </w:tc>
        <w:tc>
          <w:tcPr>
            <w:tcW w:w="752" w:type="dxa"/>
          </w:tcPr>
          <w:p>
            <w:pPr>
              <w:pStyle w:val="TableParagraph"/>
              <w:ind w:right="46"/>
              <w:rPr>
                <w:sz w:val="14"/>
              </w:rPr>
            </w:pPr>
            <w:r>
              <w:rPr>
                <w:color w:val="231F20"/>
                <w:sz w:val="14"/>
              </w:rPr>
              <w:t>0.7</w:t>
            </w:r>
          </w:p>
        </w:tc>
        <w:tc>
          <w:tcPr>
            <w:tcW w:w="925" w:type="dxa"/>
          </w:tcPr>
          <w:p>
            <w:pPr>
              <w:pStyle w:val="TableParagraph"/>
              <w:ind w:right="46"/>
              <w:rPr>
                <w:sz w:val="14"/>
              </w:rPr>
            </w:pPr>
            <w:r>
              <w:rPr>
                <w:color w:val="231F20"/>
                <w:sz w:val="14"/>
              </w:rPr>
              <w:t>0.7</w:t>
            </w:r>
          </w:p>
        </w:tc>
        <w:tc>
          <w:tcPr>
            <w:tcW w:w="766" w:type="dxa"/>
          </w:tcPr>
          <w:p>
            <w:pPr>
              <w:pStyle w:val="TableParagraph"/>
              <w:ind w:right="46"/>
              <w:rPr>
                <w:sz w:val="14"/>
              </w:rPr>
            </w:pPr>
            <w:r>
              <w:rPr>
                <w:color w:val="231F20"/>
                <w:sz w:val="14"/>
              </w:rPr>
              <w:t>4,4</w:t>
            </w:r>
          </w:p>
        </w:tc>
      </w:tr>
    </w:tbl>
    <w:p>
      <w:pPr>
        <w:pStyle w:val="ListParagraph"/>
        <w:numPr>
          <w:ilvl w:val="0"/>
          <w:numId w:val="21"/>
        </w:numPr>
        <w:tabs>
          <w:tab w:pos="281" w:val="left" w:leader="none"/>
        </w:tabs>
        <w:spacing w:line="240" w:lineRule="auto" w:before="29" w:after="0"/>
        <w:ind w:left="280" w:right="0" w:hanging="105"/>
        <w:jc w:val="left"/>
        <w:rPr>
          <w:sz w:val="14"/>
        </w:rPr>
      </w:pPr>
      <w:r>
        <w:rPr>
          <w:color w:val="231F20"/>
          <w:sz w:val="14"/>
        </w:rPr>
        <w:t>- без површина у границама</w:t>
      </w:r>
      <w:r>
        <w:rPr>
          <w:color w:val="231F20"/>
          <w:spacing w:val="-3"/>
          <w:sz w:val="14"/>
        </w:rPr>
        <w:t> </w:t>
      </w:r>
      <w:r>
        <w:rPr>
          <w:color w:val="231F20"/>
          <w:sz w:val="14"/>
        </w:rPr>
        <w:t>Виминацијума</w:t>
      </w:r>
    </w:p>
    <w:p>
      <w:pPr>
        <w:pStyle w:val="BodyText"/>
        <w:spacing w:before="6"/>
        <w:ind w:left="0"/>
        <w:jc w:val="left"/>
        <w:rPr>
          <w:sz w:val="17"/>
        </w:rPr>
      </w:pPr>
    </w:p>
    <w:p>
      <w:pPr>
        <w:pStyle w:val="BodyText"/>
        <w:spacing w:after="42"/>
        <w:ind w:left="176"/>
        <w:jc w:val="left"/>
      </w:pPr>
      <w:r>
        <w:rPr>
          <w:color w:val="231F20"/>
        </w:rPr>
        <w:t>Табела 32. Биланс намене површина 2022. године</w:t>
      </w:r>
    </w:p>
    <w:tbl>
      <w:tblPr>
        <w:tblW w:w="0" w:type="auto"/>
        <w:jc w:val="left"/>
        <w:tblInd w:w="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397"/>
        <w:gridCol w:w="737"/>
        <w:gridCol w:w="691"/>
        <w:gridCol w:w="783"/>
        <w:gridCol w:w="667"/>
        <w:gridCol w:w="901"/>
        <w:gridCol w:w="1010"/>
        <w:gridCol w:w="1053"/>
        <w:gridCol w:w="801"/>
        <w:gridCol w:w="753"/>
        <w:gridCol w:w="929"/>
        <w:gridCol w:w="762"/>
      </w:tblGrid>
      <w:tr>
        <w:trPr>
          <w:trHeight w:val="200" w:hRule="atLeast"/>
        </w:trPr>
        <w:tc>
          <w:tcPr>
            <w:tcW w:w="1397" w:type="dxa"/>
            <w:vMerge w:val="restart"/>
          </w:tcPr>
          <w:p>
            <w:pPr>
              <w:pStyle w:val="TableParagraph"/>
              <w:ind w:left="424"/>
              <w:jc w:val="left"/>
              <w:rPr>
                <w:sz w:val="14"/>
              </w:rPr>
            </w:pPr>
            <w:r>
              <w:rPr>
                <w:color w:val="231F20"/>
                <w:sz w:val="14"/>
              </w:rPr>
              <w:t>Подручје</w:t>
            </w:r>
          </w:p>
        </w:tc>
        <w:tc>
          <w:tcPr>
            <w:tcW w:w="737" w:type="dxa"/>
            <w:vMerge w:val="restart"/>
          </w:tcPr>
          <w:p>
            <w:pPr>
              <w:pStyle w:val="TableParagraph"/>
              <w:spacing w:before="0"/>
              <w:jc w:val="left"/>
              <w:rPr>
                <w:sz w:val="16"/>
              </w:rPr>
            </w:pPr>
          </w:p>
        </w:tc>
        <w:tc>
          <w:tcPr>
            <w:tcW w:w="691" w:type="dxa"/>
            <w:vMerge w:val="restart"/>
          </w:tcPr>
          <w:p>
            <w:pPr>
              <w:pStyle w:val="TableParagraph"/>
              <w:ind w:left="123"/>
              <w:jc w:val="left"/>
              <w:rPr>
                <w:sz w:val="14"/>
              </w:rPr>
            </w:pPr>
            <w:r>
              <w:rPr>
                <w:color w:val="231F20"/>
                <w:sz w:val="14"/>
              </w:rPr>
              <w:t>Укупно</w:t>
            </w:r>
          </w:p>
        </w:tc>
        <w:tc>
          <w:tcPr>
            <w:tcW w:w="783" w:type="dxa"/>
            <w:vMerge w:val="restart"/>
          </w:tcPr>
          <w:p>
            <w:pPr>
              <w:pStyle w:val="TableParagraph"/>
              <w:ind w:left="226" w:right="57" w:hanging="140"/>
              <w:jc w:val="left"/>
              <w:rPr>
                <w:sz w:val="14"/>
              </w:rPr>
            </w:pPr>
            <w:r>
              <w:rPr>
                <w:color w:val="231F20"/>
                <w:sz w:val="14"/>
              </w:rPr>
              <w:t>Пољопри- вреда</w:t>
            </w:r>
          </w:p>
        </w:tc>
        <w:tc>
          <w:tcPr>
            <w:tcW w:w="667" w:type="dxa"/>
            <w:vMerge w:val="restart"/>
          </w:tcPr>
          <w:p>
            <w:pPr>
              <w:pStyle w:val="TableParagraph"/>
              <w:ind w:left="153"/>
              <w:jc w:val="left"/>
              <w:rPr>
                <w:sz w:val="14"/>
              </w:rPr>
            </w:pPr>
            <w:r>
              <w:rPr>
                <w:color w:val="231F20"/>
                <w:sz w:val="14"/>
              </w:rPr>
              <w:t>Шуме</w:t>
            </w:r>
          </w:p>
        </w:tc>
        <w:tc>
          <w:tcPr>
            <w:tcW w:w="2964" w:type="dxa"/>
            <w:gridSpan w:val="3"/>
          </w:tcPr>
          <w:p>
            <w:pPr>
              <w:pStyle w:val="TableParagraph"/>
              <w:ind w:left="301"/>
              <w:jc w:val="left"/>
              <w:rPr>
                <w:sz w:val="14"/>
              </w:rPr>
            </w:pPr>
            <w:r>
              <w:rPr>
                <w:color w:val="231F20"/>
                <w:sz w:val="14"/>
              </w:rPr>
              <w:t>Површине заузете за потребе рударства</w:t>
            </w:r>
          </w:p>
        </w:tc>
        <w:tc>
          <w:tcPr>
            <w:tcW w:w="801" w:type="dxa"/>
            <w:vMerge w:val="restart"/>
          </w:tcPr>
          <w:p>
            <w:pPr>
              <w:pStyle w:val="TableParagraph"/>
              <w:ind w:left="170"/>
              <w:jc w:val="left"/>
              <w:rPr>
                <w:sz w:val="14"/>
              </w:rPr>
            </w:pPr>
            <w:r>
              <w:rPr>
                <w:color w:val="231F20"/>
                <w:sz w:val="14"/>
              </w:rPr>
              <w:t>Насеља</w:t>
            </w:r>
          </w:p>
        </w:tc>
        <w:tc>
          <w:tcPr>
            <w:tcW w:w="753" w:type="dxa"/>
            <w:vMerge w:val="restart"/>
          </w:tcPr>
          <w:p>
            <w:pPr>
              <w:pStyle w:val="TableParagraph"/>
              <w:ind w:left="76" w:firstLine="72"/>
              <w:jc w:val="left"/>
              <w:rPr>
                <w:sz w:val="14"/>
              </w:rPr>
            </w:pPr>
            <w:r>
              <w:rPr>
                <w:color w:val="231F20"/>
                <w:sz w:val="14"/>
              </w:rPr>
              <w:t>Инфра- структура</w:t>
            </w:r>
          </w:p>
        </w:tc>
        <w:tc>
          <w:tcPr>
            <w:tcW w:w="929" w:type="dxa"/>
            <w:vMerge w:val="restart"/>
          </w:tcPr>
          <w:p>
            <w:pPr>
              <w:pStyle w:val="TableParagraph"/>
              <w:ind w:left="52" w:right="50" w:hanging="1"/>
              <w:jc w:val="center"/>
              <w:rPr>
                <w:sz w:val="14"/>
              </w:rPr>
            </w:pPr>
            <w:r>
              <w:rPr>
                <w:color w:val="231F20"/>
                <w:sz w:val="14"/>
              </w:rPr>
              <w:t>Археолошки локалитет Виминацијум</w:t>
            </w:r>
          </w:p>
        </w:tc>
        <w:tc>
          <w:tcPr>
            <w:tcW w:w="762" w:type="dxa"/>
            <w:vMerge w:val="restart"/>
          </w:tcPr>
          <w:p>
            <w:pPr>
              <w:pStyle w:val="TableParagraph"/>
              <w:ind w:left="160"/>
              <w:jc w:val="left"/>
              <w:rPr>
                <w:sz w:val="14"/>
              </w:rPr>
            </w:pPr>
            <w:r>
              <w:rPr>
                <w:color w:val="231F20"/>
                <w:sz w:val="14"/>
              </w:rPr>
              <w:t>Остало</w:t>
            </w:r>
          </w:p>
        </w:tc>
      </w:tr>
      <w:tr>
        <w:trPr>
          <w:trHeight w:val="360" w:hRule="atLeast"/>
        </w:trPr>
        <w:tc>
          <w:tcPr>
            <w:tcW w:w="1397" w:type="dxa"/>
            <w:vMerge/>
            <w:tcBorders>
              <w:top w:val="nil"/>
            </w:tcBorders>
          </w:tcPr>
          <w:p>
            <w:pPr>
              <w:rPr>
                <w:sz w:val="2"/>
                <w:szCs w:val="2"/>
              </w:rPr>
            </w:pPr>
          </w:p>
        </w:tc>
        <w:tc>
          <w:tcPr>
            <w:tcW w:w="737" w:type="dxa"/>
            <w:vMerge/>
            <w:tcBorders>
              <w:top w:val="nil"/>
            </w:tcBorders>
          </w:tcPr>
          <w:p>
            <w:pPr>
              <w:rPr>
                <w:sz w:val="2"/>
                <w:szCs w:val="2"/>
              </w:rPr>
            </w:pPr>
          </w:p>
        </w:tc>
        <w:tc>
          <w:tcPr>
            <w:tcW w:w="691" w:type="dxa"/>
            <w:vMerge/>
            <w:tcBorders>
              <w:top w:val="nil"/>
            </w:tcBorders>
          </w:tcPr>
          <w:p>
            <w:pPr>
              <w:rPr>
                <w:sz w:val="2"/>
                <w:szCs w:val="2"/>
              </w:rPr>
            </w:pPr>
          </w:p>
        </w:tc>
        <w:tc>
          <w:tcPr>
            <w:tcW w:w="783" w:type="dxa"/>
            <w:vMerge/>
            <w:tcBorders>
              <w:top w:val="nil"/>
            </w:tcBorders>
          </w:tcPr>
          <w:p>
            <w:pPr>
              <w:rPr>
                <w:sz w:val="2"/>
                <w:szCs w:val="2"/>
              </w:rPr>
            </w:pPr>
          </w:p>
        </w:tc>
        <w:tc>
          <w:tcPr>
            <w:tcW w:w="667" w:type="dxa"/>
            <w:vMerge/>
            <w:tcBorders>
              <w:top w:val="nil"/>
            </w:tcBorders>
          </w:tcPr>
          <w:p>
            <w:pPr>
              <w:rPr>
                <w:sz w:val="2"/>
                <w:szCs w:val="2"/>
              </w:rPr>
            </w:pPr>
          </w:p>
        </w:tc>
        <w:tc>
          <w:tcPr>
            <w:tcW w:w="901" w:type="dxa"/>
          </w:tcPr>
          <w:p>
            <w:pPr>
              <w:pStyle w:val="TableParagraph"/>
              <w:ind w:left="111" w:right="84" w:firstLine="118"/>
              <w:jc w:val="left"/>
              <w:rPr>
                <w:sz w:val="14"/>
              </w:rPr>
            </w:pPr>
            <w:r>
              <w:rPr>
                <w:color w:val="231F20"/>
                <w:sz w:val="14"/>
              </w:rPr>
              <w:t>Рударс. активности</w:t>
            </w:r>
          </w:p>
        </w:tc>
        <w:tc>
          <w:tcPr>
            <w:tcW w:w="1010" w:type="dxa"/>
          </w:tcPr>
          <w:p>
            <w:pPr>
              <w:pStyle w:val="TableParagraph"/>
              <w:ind w:left="228" w:right="13" w:hanging="169"/>
              <w:jc w:val="left"/>
              <w:rPr>
                <w:sz w:val="14"/>
              </w:rPr>
            </w:pPr>
            <w:r>
              <w:rPr>
                <w:color w:val="231F20"/>
                <w:sz w:val="14"/>
              </w:rPr>
              <w:t>Термо-енергет. комплекс</w:t>
            </w:r>
          </w:p>
        </w:tc>
        <w:tc>
          <w:tcPr>
            <w:tcW w:w="1053" w:type="dxa"/>
          </w:tcPr>
          <w:p>
            <w:pPr>
              <w:pStyle w:val="TableParagraph"/>
              <w:ind w:left="223" w:hanging="139"/>
              <w:jc w:val="left"/>
              <w:rPr>
                <w:sz w:val="14"/>
              </w:rPr>
            </w:pPr>
            <w:r>
              <w:rPr>
                <w:color w:val="231F20"/>
                <w:sz w:val="14"/>
              </w:rPr>
              <w:t>Рекултивисане површине</w:t>
            </w:r>
          </w:p>
        </w:tc>
        <w:tc>
          <w:tcPr>
            <w:tcW w:w="801" w:type="dxa"/>
            <w:vMerge/>
            <w:tcBorders>
              <w:top w:val="nil"/>
            </w:tcBorders>
          </w:tcPr>
          <w:p>
            <w:pPr>
              <w:rPr>
                <w:sz w:val="2"/>
                <w:szCs w:val="2"/>
              </w:rPr>
            </w:pPr>
          </w:p>
        </w:tc>
        <w:tc>
          <w:tcPr>
            <w:tcW w:w="753" w:type="dxa"/>
            <w:vMerge/>
            <w:tcBorders>
              <w:top w:val="nil"/>
            </w:tcBorders>
          </w:tcPr>
          <w:p>
            <w:pPr>
              <w:rPr>
                <w:sz w:val="2"/>
                <w:szCs w:val="2"/>
              </w:rPr>
            </w:pPr>
          </w:p>
        </w:tc>
        <w:tc>
          <w:tcPr>
            <w:tcW w:w="929" w:type="dxa"/>
            <w:vMerge/>
            <w:tcBorders>
              <w:top w:val="nil"/>
            </w:tcBorders>
          </w:tcPr>
          <w:p>
            <w:pPr>
              <w:rPr>
                <w:sz w:val="2"/>
                <w:szCs w:val="2"/>
              </w:rPr>
            </w:pPr>
          </w:p>
        </w:tc>
        <w:tc>
          <w:tcPr>
            <w:tcW w:w="762" w:type="dxa"/>
            <w:vMerge/>
            <w:tcBorders>
              <w:top w:val="nil"/>
            </w:tcBorders>
          </w:tcPr>
          <w:p>
            <w:pPr>
              <w:rPr>
                <w:sz w:val="2"/>
                <w:szCs w:val="2"/>
              </w:rPr>
            </w:pPr>
          </w:p>
        </w:tc>
      </w:tr>
      <w:tr>
        <w:trPr>
          <w:trHeight w:val="200" w:hRule="atLeast"/>
        </w:trPr>
        <w:tc>
          <w:tcPr>
            <w:tcW w:w="1397" w:type="dxa"/>
            <w:vMerge w:val="restart"/>
          </w:tcPr>
          <w:p>
            <w:pPr>
              <w:pStyle w:val="TableParagraph"/>
              <w:ind w:left="56"/>
              <w:jc w:val="left"/>
              <w:rPr>
                <w:sz w:val="14"/>
              </w:rPr>
            </w:pPr>
            <w:r>
              <w:rPr>
                <w:color w:val="231F20"/>
                <w:sz w:val="14"/>
              </w:rPr>
              <w:t>град Пожаревац</w:t>
            </w:r>
          </w:p>
        </w:tc>
        <w:tc>
          <w:tcPr>
            <w:tcW w:w="737" w:type="dxa"/>
          </w:tcPr>
          <w:p>
            <w:pPr>
              <w:pStyle w:val="TableParagraph"/>
              <w:ind w:left="47" w:right="39"/>
              <w:jc w:val="center"/>
              <w:rPr>
                <w:sz w:val="14"/>
              </w:rPr>
            </w:pPr>
            <w:r>
              <w:rPr>
                <w:color w:val="231F20"/>
                <w:sz w:val="14"/>
              </w:rPr>
              <w:t>повшина</w:t>
            </w:r>
          </w:p>
        </w:tc>
        <w:tc>
          <w:tcPr>
            <w:tcW w:w="691" w:type="dxa"/>
          </w:tcPr>
          <w:p>
            <w:pPr>
              <w:pStyle w:val="TableParagraph"/>
              <w:ind w:right="45"/>
              <w:rPr>
                <w:sz w:val="14"/>
              </w:rPr>
            </w:pPr>
            <w:r>
              <w:rPr>
                <w:color w:val="231F20"/>
                <w:sz w:val="14"/>
              </w:rPr>
              <w:t>48777.7</w:t>
            </w:r>
          </w:p>
        </w:tc>
        <w:tc>
          <w:tcPr>
            <w:tcW w:w="783" w:type="dxa"/>
          </w:tcPr>
          <w:p>
            <w:pPr>
              <w:pStyle w:val="TableParagraph"/>
              <w:ind w:right="45"/>
              <w:rPr>
                <w:sz w:val="14"/>
              </w:rPr>
            </w:pPr>
            <w:r>
              <w:rPr>
                <w:color w:val="231F20"/>
                <w:sz w:val="14"/>
              </w:rPr>
              <w:t>33740.5</w:t>
            </w:r>
          </w:p>
        </w:tc>
        <w:tc>
          <w:tcPr>
            <w:tcW w:w="667" w:type="dxa"/>
          </w:tcPr>
          <w:p>
            <w:pPr>
              <w:pStyle w:val="TableParagraph"/>
              <w:ind w:right="45"/>
              <w:rPr>
                <w:sz w:val="14"/>
              </w:rPr>
            </w:pPr>
            <w:r>
              <w:rPr>
                <w:color w:val="231F20"/>
                <w:sz w:val="14"/>
              </w:rPr>
              <w:t>4107.0</w:t>
            </w:r>
          </w:p>
        </w:tc>
        <w:tc>
          <w:tcPr>
            <w:tcW w:w="901" w:type="dxa"/>
          </w:tcPr>
          <w:p>
            <w:pPr>
              <w:pStyle w:val="TableParagraph"/>
              <w:ind w:right="45"/>
              <w:rPr>
                <w:sz w:val="14"/>
              </w:rPr>
            </w:pPr>
            <w:r>
              <w:rPr>
                <w:color w:val="231F20"/>
                <w:sz w:val="14"/>
              </w:rPr>
              <w:t>1255.2</w:t>
            </w:r>
          </w:p>
        </w:tc>
        <w:tc>
          <w:tcPr>
            <w:tcW w:w="1010" w:type="dxa"/>
          </w:tcPr>
          <w:p>
            <w:pPr>
              <w:pStyle w:val="TableParagraph"/>
              <w:ind w:right="46"/>
              <w:rPr>
                <w:sz w:val="14"/>
              </w:rPr>
            </w:pPr>
            <w:r>
              <w:rPr>
                <w:color w:val="231F20"/>
                <w:sz w:val="14"/>
              </w:rPr>
              <w:t>311.8</w:t>
            </w:r>
          </w:p>
        </w:tc>
        <w:tc>
          <w:tcPr>
            <w:tcW w:w="1053" w:type="dxa"/>
          </w:tcPr>
          <w:p>
            <w:pPr>
              <w:pStyle w:val="TableParagraph"/>
              <w:ind w:right="47"/>
              <w:rPr>
                <w:sz w:val="14"/>
              </w:rPr>
            </w:pPr>
            <w:r>
              <w:rPr>
                <w:color w:val="231F20"/>
                <w:sz w:val="14"/>
              </w:rPr>
              <w:t>2349.5</w:t>
            </w:r>
          </w:p>
        </w:tc>
        <w:tc>
          <w:tcPr>
            <w:tcW w:w="801" w:type="dxa"/>
          </w:tcPr>
          <w:p>
            <w:pPr>
              <w:pStyle w:val="TableParagraph"/>
              <w:ind w:right="48"/>
              <w:rPr>
                <w:sz w:val="14"/>
              </w:rPr>
            </w:pPr>
            <w:r>
              <w:rPr>
                <w:color w:val="231F20"/>
                <w:sz w:val="14"/>
              </w:rPr>
              <w:t>4080.2</w:t>
            </w:r>
          </w:p>
        </w:tc>
        <w:tc>
          <w:tcPr>
            <w:tcW w:w="753" w:type="dxa"/>
          </w:tcPr>
          <w:p>
            <w:pPr>
              <w:pStyle w:val="TableParagraph"/>
              <w:ind w:right="49"/>
              <w:rPr>
                <w:sz w:val="14"/>
              </w:rPr>
            </w:pPr>
            <w:r>
              <w:rPr>
                <w:color w:val="231F20"/>
                <w:sz w:val="14"/>
              </w:rPr>
              <w:t>402.5</w:t>
            </w:r>
          </w:p>
        </w:tc>
        <w:tc>
          <w:tcPr>
            <w:tcW w:w="929" w:type="dxa"/>
          </w:tcPr>
          <w:p>
            <w:pPr>
              <w:pStyle w:val="TableParagraph"/>
              <w:ind w:right="50"/>
              <w:rPr>
                <w:sz w:val="14"/>
              </w:rPr>
            </w:pPr>
            <w:r>
              <w:rPr>
                <w:color w:val="231F20"/>
                <w:sz w:val="14"/>
              </w:rPr>
              <w:t>450.0</w:t>
            </w:r>
          </w:p>
        </w:tc>
        <w:tc>
          <w:tcPr>
            <w:tcW w:w="762" w:type="dxa"/>
          </w:tcPr>
          <w:p>
            <w:pPr>
              <w:pStyle w:val="TableParagraph"/>
              <w:ind w:right="50"/>
              <w:rPr>
                <w:sz w:val="14"/>
              </w:rPr>
            </w:pPr>
            <w:r>
              <w:rPr>
                <w:color w:val="231F20"/>
                <w:sz w:val="14"/>
              </w:rPr>
              <w:t>2081.5</w:t>
            </w:r>
          </w:p>
        </w:tc>
      </w:tr>
      <w:tr>
        <w:trPr>
          <w:trHeight w:val="200" w:hRule="atLeast"/>
        </w:trPr>
        <w:tc>
          <w:tcPr>
            <w:tcW w:w="1397" w:type="dxa"/>
            <w:vMerge/>
            <w:tcBorders>
              <w:top w:val="nil"/>
            </w:tcBorders>
          </w:tcPr>
          <w:p>
            <w:pPr>
              <w:rPr>
                <w:sz w:val="2"/>
                <w:szCs w:val="2"/>
              </w:rPr>
            </w:pPr>
          </w:p>
        </w:tc>
        <w:tc>
          <w:tcPr>
            <w:tcW w:w="737" w:type="dxa"/>
          </w:tcPr>
          <w:p>
            <w:pPr>
              <w:pStyle w:val="TableParagraph"/>
              <w:ind w:left="9"/>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3" w:type="dxa"/>
          </w:tcPr>
          <w:p>
            <w:pPr>
              <w:pStyle w:val="TableParagraph"/>
              <w:ind w:right="45"/>
              <w:rPr>
                <w:sz w:val="14"/>
              </w:rPr>
            </w:pPr>
            <w:r>
              <w:rPr>
                <w:color w:val="231F20"/>
                <w:sz w:val="14"/>
              </w:rPr>
              <w:t>69, 2</w:t>
            </w:r>
          </w:p>
        </w:tc>
        <w:tc>
          <w:tcPr>
            <w:tcW w:w="667" w:type="dxa"/>
          </w:tcPr>
          <w:p>
            <w:pPr>
              <w:pStyle w:val="TableParagraph"/>
              <w:ind w:right="45"/>
              <w:rPr>
                <w:sz w:val="14"/>
              </w:rPr>
            </w:pPr>
            <w:r>
              <w:rPr>
                <w:color w:val="231F20"/>
                <w:sz w:val="14"/>
              </w:rPr>
              <w:t>8,4</w:t>
            </w:r>
          </w:p>
        </w:tc>
        <w:tc>
          <w:tcPr>
            <w:tcW w:w="901" w:type="dxa"/>
          </w:tcPr>
          <w:p>
            <w:pPr>
              <w:pStyle w:val="TableParagraph"/>
              <w:ind w:right="45"/>
              <w:rPr>
                <w:sz w:val="14"/>
              </w:rPr>
            </w:pPr>
            <w:r>
              <w:rPr>
                <w:color w:val="231F20"/>
                <w:sz w:val="14"/>
              </w:rPr>
              <w:t>2,6</w:t>
            </w:r>
          </w:p>
        </w:tc>
        <w:tc>
          <w:tcPr>
            <w:tcW w:w="1010" w:type="dxa"/>
          </w:tcPr>
          <w:p>
            <w:pPr>
              <w:pStyle w:val="TableParagraph"/>
              <w:ind w:right="46"/>
              <w:rPr>
                <w:sz w:val="14"/>
              </w:rPr>
            </w:pPr>
            <w:r>
              <w:rPr>
                <w:color w:val="231F20"/>
                <w:sz w:val="14"/>
              </w:rPr>
              <w:t>0,6</w:t>
            </w:r>
          </w:p>
        </w:tc>
        <w:tc>
          <w:tcPr>
            <w:tcW w:w="1053" w:type="dxa"/>
          </w:tcPr>
          <w:p>
            <w:pPr>
              <w:pStyle w:val="TableParagraph"/>
              <w:ind w:right="47"/>
              <w:rPr>
                <w:sz w:val="14"/>
              </w:rPr>
            </w:pPr>
            <w:r>
              <w:rPr>
                <w:color w:val="231F20"/>
                <w:sz w:val="14"/>
              </w:rPr>
              <w:t>4,8</w:t>
            </w:r>
          </w:p>
        </w:tc>
        <w:tc>
          <w:tcPr>
            <w:tcW w:w="801" w:type="dxa"/>
          </w:tcPr>
          <w:p>
            <w:pPr>
              <w:pStyle w:val="TableParagraph"/>
              <w:ind w:right="48"/>
              <w:rPr>
                <w:sz w:val="14"/>
              </w:rPr>
            </w:pPr>
            <w:r>
              <w:rPr>
                <w:color w:val="231F20"/>
                <w:sz w:val="14"/>
              </w:rPr>
              <w:t>8,4</w:t>
            </w:r>
          </w:p>
        </w:tc>
        <w:tc>
          <w:tcPr>
            <w:tcW w:w="753" w:type="dxa"/>
          </w:tcPr>
          <w:p>
            <w:pPr>
              <w:pStyle w:val="TableParagraph"/>
              <w:ind w:right="49"/>
              <w:rPr>
                <w:sz w:val="14"/>
              </w:rPr>
            </w:pPr>
            <w:r>
              <w:rPr>
                <w:color w:val="231F20"/>
                <w:sz w:val="14"/>
              </w:rPr>
              <w:t>0,8</w:t>
            </w:r>
          </w:p>
        </w:tc>
        <w:tc>
          <w:tcPr>
            <w:tcW w:w="929" w:type="dxa"/>
          </w:tcPr>
          <w:p>
            <w:pPr>
              <w:pStyle w:val="TableParagraph"/>
              <w:ind w:right="50"/>
              <w:rPr>
                <w:sz w:val="14"/>
              </w:rPr>
            </w:pPr>
            <w:r>
              <w:rPr>
                <w:color w:val="231F20"/>
                <w:sz w:val="14"/>
              </w:rPr>
              <w:t>0,9</w:t>
            </w:r>
          </w:p>
        </w:tc>
        <w:tc>
          <w:tcPr>
            <w:tcW w:w="762" w:type="dxa"/>
          </w:tcPr>
          <w:p>
            <w:pPr>
              <w:pStyle w:val="TableParagraph"/>
              <w:ind w:right="50"/>
              <w:rPr>
                <w:sz w:val="14"/>
              </w:rPr>
            </w:pPr>
            <w:r>
              <w:rPr>
                <w:color w:val="231F20"/>
                <w:sz w:val="14"/>
              </w:rPr>
              <w:t>4,3</w:t>
            </w:r>
          </w:p>
        </w:tc>
      </w:tr>
      <w:tr>
        <w:trPr>
          <w:trHeight w:val="200" w:hRule="atLeast"/>
        </w:trPr>
        <w:tc>
          <w:tcPr>
            <w:tcW w:w="1397" w:type="dxa"/>
            <w:vMerge w:val="restart"/>
          </w:tcPr>
          <w:p>
            <w:pPr>
              <w:pStyle w:val="TableParagraph"/>
              <w:ind w:left="56"/>
              <w:jc w:val="left"/>
              <w:rPr>
                <w:sz w:val="14"/>
              </w:rPr>
            </w:pPr>
            <w:r>
              <w:rPr>
                <w:color w:val="231F20"/>
                <w:sz w:val="14"/>
              </w:rPr>
              <w:t>В. Градиште у окви- ру Плана</w:t>
            </w:r>
          </w:p>
        </w:tc>
        <w:tc>
          <w:tcPr>
            <w:tcW w:w="737" w:type="dxa"/>
          </w:tcPr>
          <w:p>
            <w:pPr>
              <w:pStyle w:val="TableParagraph"/>
              <w:ind w:left="47" w:right="39"/>
              <w:jc w:val="center"/>
              <w:rPr>
                <w:sz w:val="14"/>
              </w:rPr>
            </w:pPr>
            <w:r>
              <w:rPr>
                <w:color w:val="231F20"/>
                <w:sz w:val="14"/>
              </w:rPr>
              <w:t>површина</w:t>
            </w:r>
          </w:p>
        </w:tc>
        <w:tc>
          <w:tcPr>
            <w:tcW w:w="691" w:type="dxa"/>
          </w:tcPr>
          <w:p>
            <w:pPr>
              <w:pStyle w:val="TableParagraph"/>
              <w:ind w:right="45"/>
              <w:rPr>
                <w:sz w:val="14"/>
              </w:rPr>
            </w:pPr>
            <w:r>
              <w:rPr>
                <w:color w:val="231F20"/>
                <w:sz w:val="14"/>
              </w:rPr>
              <w:t>5568.6</w:t>
            </w:r>
          </w:p>
        </w:tc>
        <w:tc>
          <w:tcPr>
            <w:tcW w:w="783" w:type="dxa"/>
          </w:tcPr>
          <w:p>
            <w:pPr>
              <w:pStyle w:val="TableParagraph"/>
              <w:ind w:right="45"/>
              <w:rPr>
                <w:sz w:val="14"/>
              </w:rPr>
            </w:pPr>
            <w:r>
              <w:rPr>
                <w:color w:val="231F20"/>
                <w:sz w:val="14"/>
              </w:rPr>
              <w:t>4590.0</w:t>
            </w:r>
          </w:p>
        </w:tc>
        <w:tc>
          <w:tcPr>
            <w:tcW w:w="667" w:type="dxa"/>
          </w:tcPr>
          <w:p>
            <w:pPr>
              <w:pStyle w:val="TableParagraph"/>
              <w:ind w:right="45"/>
              <w:rPr>
                <w:sz w:val="14"/>
              </w:rPr>
            </w:pPr>
            <w:r>
              <w:rPr>
                <w:color w:val="231F20"/>
                <w:sz w:val="14"/>
              </w:rPr>
              <w:t>668.6</w:t>
            </w:r>
          </w:p>
        </w:tc>
        <w:tc>
          <w:tcPr>
            <w:tcW w:w="901" w:type="dxa"/>
          </w:tcPr>
          <w:p>
            <w:pPr>
              <w:pStyle w:val="TableParagraph"/>
              <w:spacing w:before="0"/>
              <w:jc w:val="left"/>
              <w:rPr>
                <w:sz w:val="12"/>
              </w:rPr>
            </w:pPr>
          </w:p>
        </w:tc>
        <w:tc>
          <w:tcPr>
            <w:tcW w:w="1010" w:type="dxa"/>
          </w:tcPr>
          <w:p>
            <w:pPr>
              <w:pStyle w:val="TableParagraph"/>
              <w:spacing w:before="0"/>
              <w:jc w:val="left"/>
              <w:rPr>
                <w:sz w:val="12"/>
              </w:rPr>
            </w:pPr>
          </w:p>
        </w:tc>
        <w:tc>
          <w:tcPr>
            <w:tcW w:w="1053" w:type="dxa"/>
          </w:tcPr>
          <w:p>
            <w:pPr>
              <w:pStyle w:val="TableParagraph"/>
              <w:spacing w:before="0"/>
              <w:jc w:val="left"/>
              <w:rPr>
                <w:sz w:val="12"/>
              </w:rPr>
            </w:pPr>
          </w:p>
        </w:tc>
        <w:tc>
          <w:tcPr>
            <w:tcW w:w="801" w:type="dxa"/>
          </w:tcPr>
          <w:p>
            <w:pPr>
              <w:pStyle w:val="TableParagraph"/>
              <w:ind w:right="48"/>
              <w:rPr>
                <w:sz w:val="14"/>
              </w:rPr>
            </w:pPr>
            <w:r>
              <w:rPr>
                <w:color w:val="231F20"/>
                <w:sz w:val="14"/>
              </w:rPr>
              <w:t>261.5</w:t>
            </w:r>
          </w:p>
        </w:tc>
        <w:tc>
          <w:tcPr>
            <w:tcW w:w="753" w:type="dxa"/>
          </w:tcPr>
          <w:p>
            <w:pPr>
              <w:pStyle w:val="TableParagraph"/>
              <w:ind w:right="49"/>
              <w:rPr>
                <w:sz w:val="14"/>
              </w:rPr>
            </w:pPr>
            <w:r>
              <w:rPr>
                <w:color w:val="231F20"/>
                <w:sz w:val="14"/>
              </w:rPr>
              <w:t>34.5</w:t>
            </w:r>
          </w:p>
        </w:tc>
        <w:tc>
          <w:tcPr>
            <w:tcW w:w="929" w:type="dxa"/>
          </w:tcPr>
          <w:p>
            <w:pPr>
              <w:pStyle w:val="TableParagraph"/>
              <w:spacing w:before="0"/>
              <w:jc w:val="left"/>
              <w:rPr>
                <w:sz w:val="12"/>
              </w:rPr>
            </w:pPr>
          </w:p>
        </w:tc>
        <w:tc>
          <w:tcPr>
            <w:tcW w:w="762" w:type="dxa"/>
          </w:tcPr>
          <w:p>
            <w:pPr>
              <w:pStyle w:val="TableParagraph"/>
              <w:ind w:right="50"/>
              <w:rPr>
                <w:sz w:val="14"/>
              </w:rPr>
            </w:pPr>
            <w:r>
              <w:rPr>
                <w:color w:val="231F20"/>
                <w:sz w:val="14"/>
              </w:rPr>
              <w:t>14,0</w:t>
            </w:r>
          </w:p>
        </w:tc>
      </w:tr>
      <w:tr>
        <w:trPr>
          <w:trHeight w:val="200" w:hRule="atLeast"/>
        </w:trPr>
        <w:tc>
          <w:tcPr>
            <w:tcW w:w="1397" w:type="dxa"/>
            <w:vMerge/>
            <w:tcBorders>
              <w:top w:val="nil"/>
            </w:tcBorders>
          </w:tcPr>
          <w:p>
            <w:pPr>
              <w:rPr>
                <w:sz w:val="2"/>
                <w:szCs w:val="2"/>
              </w:rPr>
            </w:pPr>
          </w:p>
        </w:tc>
        <w:tc>
          <w:tcPr>
            <w:tcW w:w="737" w:type="dxa"/>
          </w:tcPr>
          <w:p>
            <w:pPr>
              <w:pStyle w:val="TableParagraph"/>
              <w:ind w:left="8"/>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3" w:type="dxa"/>
          </w:tcPr>
          <w:p>
            <w:pPr>
              <w:pStyle w:val="TableParagraph"/>
              <w:ind w:right="45"/>
              <w:rPr>
                <w:sz w:val="14"/>
              </w:rPr>
            </w:pPr>
            <w:r>
              <w:rPr>
                <w:color w:val="231F20"/>
                <w:sz w:val="14"/>
              </w:rPr>
              <w:t>82,4</w:t>
            </w:r>
          </w:p>
        </w:tc>
        <w:tc>
          <w:tcPr>
            <w:tcW w:w="667" w:type="dxa"/>
          </w:tcPr>
          <w:p>
            <w:pPr>
              <w:pStyle w:val="TableParagraph"/>
              <w:ind w:right="45"/>
              <w:rPr>
                <w:sz w:val="14"/>
              </w:rPr>
            </w:pPr>
            <w:r>
              <w:rPr>
                <w:color w:val="231F20"/>
                <w:sz w:val="14"/>
              </w:rPr>
              <w:t>12,0</w:t>
            </w:r>
          </w:p>
        </w:tc>
        <w:tc>
          <w:tcPr>
            <w:tcW w:w="901" w:type="dxa"/>
          </w:tcPr>
          <w:p>
            <w:pPr>
              <w:pStyle w:val="TableParagraph"/>
              <w:spacing w:before="0"/>
              <w:jc w:val="left"/>
              <w:rPr>
                <w:sz w:val="12"/>
              </w:rPr>
            </w:pPr>
          </w:p>
        </w:tc>
        <w:tc>
          <w:tcPr>
            <w:tcW w:w="1010" w:type="dxa"/>
          </w:tcPr>
          <w:p>
            <w:pPr>
              <w:pStyle w:val="TableParagraph"/>
              <w:spacing w:before="0"/>
              <w:jc w:val="left"/>
              <w:rPr>
                <w:sz w:val="12"/>
              </w:rPr>
            </w:pPr>
          </w:p>
        </w:tc>
        <w:tc>
          <w:tcPr>
            <w:tcW w:w="1053" w:type="dxa"/>
          </w:tcPr>
          <w:p>
            <w:pPr>
              <w:pStyle w:val="TableParagraph"/>
              <w:spacing w:before="0"/>
              <w:jc w:val="left"/>
              <w:rPr>
                <w:sz w:val="12"/>
              </w:rPr>
            </w:pPr>
          </w:p>
        </w:tc>
        <w:tc>
          <w:tcPr>
            <w:tcW w:w="801" w:type="dxa"/>
          </w:tcPr>
          <w:p>
            <w:pPr>
              <w:pStyle w:val="TableParagraph"/>
              <w:ind w:right="48"/>
              <w:rPr>
                <w:sz w:val="14"/>
              </w:rPr>
            </w:pPr>
            <w:r>
              <w:rPr>
                <w:color w:val="231F20"/>
                <w:sz w:val="14"/>
              </w:rPr>
              <w:t>4,7</w:t>
            </w:r>
          </w:p>
        </w:tc>
        <w:tc>
          <w:tcPr>
            <w:tcW w:w="753" w:type="dxa"/>
          </w:tcPr>
          <w:p>
            <w:pPr>
              <w:pStyle w:val="TableParagraph"/>
              <w:ind w:right="49"/>
              <w:rPr>
                <w:sz w:val="14"/>
              </w:rPr>
            </w:pPr>
            <w:r>
              <w:rPr>
                <w:color w:val="231F20"/>
                <w:sz w:val="14"/>
              </w:rPr>
              <w:t>0,6</w:t>
            </w:r>
          </w:p>
        </w:tc>
        <w:tc>
          <w:tcPr>
            <w:tcW w:w="929" w:type="dxa"/>
          </w:tcPr>
          <w:p>
            <w:pPr>
              <w:pStyle w:val="TableParagraph"/>
              <w:spacing w:before="0"/>
              <w:jc w:val="left"/>
              <w:rPr>
                <w:sz w:val="12"/>
              </w:rPr>
            </w:pPr>
          </w:p>
        </w:tc>
        <w:tc>
          <w:tcPr>
            <w:tcW w:w="762" w:type="dxa"/>
          </w:tcPr>
          <w:p>
            <w:pPr>
              <w:pStyle w:val="TableParagraph"/>
              <w:ind w:right="50"/>
              <w:rPr>
                <w:sz w:val="14"/>
              </w:rPr>
            </w:pPr>
            <w:r>
              <w:rPr>
                <w:color w:val="231F20"/>
                <w:sz w:val="14"/>
              </w:rPr>
              <w:t>0,3</w:t>
            </w:r>
          </w:p>
        </w:tc>
      </w:tr>
      <w:tr>
        <w:trPr>
          <w:trHeight w:val="200" w:hRule="atLeast"/>
        </w:trPr>
        <w:tc>
          <w:tcPr>
            <w:tcW w:w="1397" w:type="dxa"/>
            <w:vMerge w:val="restart"/>
          </w:tcPr>
          <w:p>
            <w:pPr>
              <w:pStyle w:val="TableParagraph"/>
              <w:tabs>
                <w:tab w:pos="838" w:val="left" w:leader="none"/>
              </w:tabs>
              <w:ind w:left="56" w:right="45"/>
              <w:jc w:val="left"/>
              <w:rPr>
                <w:sz w:val="14"/>
              </w:rPr>
            </w:pPr>
            <w:r>
              <w:rPr>
                <w:color w:val="231F20"/>
                <w:spacing w:val="-3"/>
                <w:sz w:val="14"/>
              </w:rPr>
              <w:t>Укупно</w:t>
              <w:tab/>
            </w:r>
            <w:r>
              <w:rPr>
                <w:color w:val="231F20"/>
                <w:spacing w:val="-2"/>
                <w:sz w:val="14"/>
              </w:rPr>
              <w:t>Планско </w:t>
            </w:r>
            <w:r>
              <w:rPr>
                <w:color w:val="231F20"/>
                <w:sz w:val="14"/>
              </w:rPr>
              <w:t>подручје</w:t>
            </w:r>
          </w:p>
        </w:tc>
        <w:tc>
          <w:tcPr>
            <w:tcW w:w="737" w:type="dxa"/>
          </w:tcPr>
          <w:p>
            <w:pPr>
              <w:pStyle w:val="TableParagraph"/>
              <w:ind w:left="47" w:right="39"/>
              <w:jc w:val="center"/>
              <w:rPr>
                <w:sz w:val="14"/>
              </w:rPr>
            </w:pPr>
            <w:r>
              <w:rPr>
                <w:color w:val="231F20"/>
                <w:sz w:val="14"/>
              </w:rPr>
              <w:t>површина</w:t>
            </w:r>
          </w:p>
        </w:tc>
        <w:tc>
          <w:tcPr>
            <w:tcW w:w="691" w:type="dxa"/>
          </w:tcPr>
          <w:p>
            <w:pPr>
              <w:pStyle w:val="TableParagraph"/>
              <w:ind w:right="45"/>
              <w:rPr>
                <w:sz w:val="14"/>
              </w:rPr>
            </w:pPr>
            <w:r>
              <w:rPr>
                <w:color w:val="231F20"/>
                <w:sz w:val="14"/>
              </w:rPr>
              <w:t>54346.3</w:t>
            </w:r>
          </w:p>
        </w:tc>
        <w:tc>
          <w:tcPr>
            <w:tcW w:w="783" w:type="dxa"/>
          </w:tcPr>
          <w:p>
            <w:pPr>
              <w:pStyle w:val="TableParagraph"/>
              <w:ind w:right="45"/>
              <w:rPr>
                <w:sz w:val="14"/>
              </w:rPr>
            </w:pPr>
            <w:r>
              <w:rPr>
                <w:color w:val="231F20"/>
                <w:sz w:val="14"/>
              </w:rPr>
              <w:t>38330.5</w:t>
            </w:r>
          </w:p>
        </w:tc>
        <w:tc>
          <w:tcPr>
            <w:tcW w:w="667" w:type="dxa"/>
          </w:tcPr>
          <w:p>
            <w:pPr>
              <w:pStyle w:val="TableParagraph"/>
              <w:ind w:right="45"/>
              <w:rPr>
                <w:sz w:val="14"/>
              </w:rPr>
            </w:pPr>
            <w:r>
              <w:rPr>
                <w:color w:val="231F20"/>
                <w:sz w:val="14"/>
              </w:rPr>
              <w:t>4775.6</w:t>
            </w:r>
          </w:p>
        </w:tc>
        <w:tc>
          <w:tcPr>
            <w:tcW w:w="901" w:type="dxa"/>
          </w:tcPr>
          <w:p>
            <w:pPr>
              <w:pStyle w:val="TableParagraph"/>
              <w:ind w:right="45"/>
              <w:rPr>
                <w:sz w:val="14"/>
              </w:rPr>
            </w:pPr>
            <w:r>
              <w:rPr>
                <w:color w:val="231F20"/>
                <w:sz w:val="14"/>
              </w:rPr>
              <w:t>12552</w:t>
            </w:r>
          </w:p>
        </w:tc>
        <w:tc>
          <w:tcPr>
            <w:tcW w:w="1010" w:type="dxa"/>
          </w:tcPr>
          <w:p>
            <w:pPr>
              <w:pStyle w:val="TableParagraph"/>
              <w:ind w:right="46"/>
              <w:rPr>
                <w:sz w:val="14"/>
              </w:rPr>
            </w:pPr>
            <w:r>
              <w:rPr>
                <w:color w:val="231F20"/>
                <w:sz w:val="14"/>
              </w:rPr>
              <w:t>311.8</w:t>
            </w:r>
          </w:p>
        </w:tc>
        <w:tc>
          <w:tcPr>
            <w:tcW w:w="1053" w:type="dxa"/>
          </w:tcPr>
          <w:p>
            <w:pPr>
              <w:pStyle w:val="TableParagraph"/>
              <w:ind w:right="47"/>
              <w:rPr>
                <w:sz w:val="14"/>
              </w:rPr>
            </w:pPr>
            <w:r>
              <w:rPr>
                <w:color w:val="231F20"/>
                <w:sz w:val="14"/>
              </w:rPr>
              <w:t>2349.5</w:t>
            </w:r>
          </w:p>
        </w:tc>
        <w:tc>
          <w:tcPr>
            <w:tcW w:w="801" w:type="dxa"/>
          </w:tcPr>
          <w:p>
            <w:pPr>
              <w:pStyle w:val="TableParagraph"/>
              <w:ind w:right="49"/>
              <w:rPr>
                <w:sz w:val="14"/>
              </w:rPr>
            </w:pPr>
            <w:r>
              <w:rPr>
                <w:color w:val="231F20"/>
                <w:sz w:val="14"/>
              </w:rPr>
              <w:t>4341.7</w:t>
            </w:r>
          </w:p>
        </w:tc>
        <w:tc>
          <w:tcPr>
            <w:tcW w:w="753" w:type="dxa"/>
          </w:tcPr>
          <w:p>
            <w:pPr>
              <w:pStyle w:val="TableParagraph"/>
              <w:ind w:right="50"/>
              <w:rPr>
                <w:sz w:val="14"/>
              </w:rPr>
            </w:pPr>
            <w:r>
              <w:rPr>
                <w:color w:val="231F20"/>
                <w:sz w:val="14"/>
              </w:rPr>
              <w:t>437.0</w:t>
            </w:r>
          </w:p>
        </w:tc>
        <w:tc>
          <w:tcPr>
            <w:tcW w:w="929" w:type="dxa"/>
          </w:tcPr>
          <w:p>
            <w:pPr>
              <w:pStyle w:val="TableParagraph"/>
              <w:ind w:right="50"/>
              <w:rPr>
                <w:sz w:val="14"/>
              </w:rPr>
            </w:pPr>
            <w:r>
              <w:rPr>
                <w:color w:val="231F20"/>
                <w:sz w:val="14"/>
              </w:rPr>
              <w:t>450.0</w:t>
            </w:r>
          </w:p>
        </w:tc>
        <w:tc>
          <w:tcPr>
            <w:tcW w:w="762" w:type="dxa"/>
          </w:tcPr>
          <w:p>
            <w:pPr>
              <w:pStyle w:val="TableParagraph"/>
              <w:ind w:right="51"/>
              <w:rPr>
                <w:sz w:val="14"/>
              </w:rPr>
            </w:pPr>
            <w:r>
              <w:rPr>
                <w:color w:val="231F20"/>
                <w:sz w:val="14"/>
              </w:rPr>
              <w:t>2095.5</w:t>
            </w:r>
          </w:p>
        </w:tc>
      </w:tr>
      <w:tr>
        <w:trPr>
          <w:trHeight w:val="200" w:hRule="atLeast"/>
        </w:trPr>
        <w:tc>
          <w:tcPr>
            <w:tcW w:w="1397" w:type="dxa"/>
            <w:vMerge/>
            <w:tcBorders>
              <w:top w:val="nil"/>
            </w:tcBorders>
          </w:tcPr>
          <w:p>
            <w:pPr>
              <w:rPr>
                <w:sz w:val="2"/>
                <w:szCs w:val="2"/>
              </w:rPr>
            </w:pPr>
          </w:p>
        </w:tc>
        <w:tc>
          <w:tcPr>
            <w:tcW w:w="737" w:type="dxa"/>
          </w:tcPr>
          <w:p>
            <w:pPr>
              <w:pStyle w:val="TableParagraph"/>
              <w:ind w:left="8"/>
              <w:jc w:val="center"/>
              <w:rPr>
                <w:sz w:val="14"/>
              </w:rPr>
            </w:pPr>
            <w:r>
              <w:rPr>
                <w:color w:val="231F20"/>
                <w:sz w:val="14"/>
              </w:rPr>
              <w:t>%</w:t>
            </w:r>
          </w:p>
        </w:tc>
        <w:tc>
          <w:tcPr>
            <w:tcW w:w="691" w:type="dxa"/>
          </w:tcPr>
          <w:p>
            <w:pPr>
              <w:pStyle w:val="TableParagraph"/>
              <w:ind w:right="45"/>
              <w:rPr>
                <w:sz w:val="14"/>
              </w:rPr>
            </w:pPr>
            <w:r>
              <w:rPr>
                <w:color w:val="231F20"/>
                <w:sz w:val="14"/>
              </w:rPr>
              <w:t>100,0</w:t>
            </w:r>
          </w:p>
        </w:tc>
        <w:tc>
          <w:tcPr>
            <w:tcW w:w="783" w:type="dxa"/>
          </w:tcPr>
          <w:p>
            <w:pPr>
              <w:pStyle w:val="TableParagraph"/>
              <w:ind w:right="45"/>
              <w:rPr>
                <w:sz w:val="14"/>
              </w:rPr>
            </w:pPr>
            <w:r>
              <w:rPr>
                <w:color w:val="231F20"/>
                <w:sz w:val="14"/>
              </w:rPr>
              <w:t>70,5</w:t>
            </w:r>
          </w:p>
        </w:tc>
        <w:tc>
          <w:tcPr>
            <w:tcW w:w="667" w:type="dxa"/>
          </w:tcPr>
          <w:p>
            <w:pPr>
              <w:pStyle w:val="TableParagraph"/>
              <w:ind w:right="45"/>
              <w:rPr>
                <w:sz w:val="14"/>
              </w:rPr>
            </w:pPr>
            <w:r>
              <w:rPr>
                <w:color w:val="231F20"/>
                <w:sz w:val="14"/>
              </w:rPr>
              <w:t>8,8</w:t>
            </w:r>
          </w:p>
        </w:tc>
        <w:tc>
          <w:tcPr>
            <w:tcW w:w="901" w:type="dxa"/>
          </w:tcPr>
          <w:p>
            <w:pPr>
              <w:pStyle w:val="TableParagraph"/>
              <w:ind w:right="45"/>
              <w:rPr>
                <w:sz w:val="14"/>
              </w:rPr>
            </w:pPr>
            <w:r>
              <w:rPr>
                <w:color w:val="231F20"/>
                <w:sz w:val="14"/>
              </w:rPr>
              <w:t>2,3</w:t>
            </w:r>
          </w:p>
        </w:tc>
        <w:tc>
          <w:tcPr>
            <w:tcW w:w="1010" w:type="dxa"/>
          </w:tcPr>
          <w:p>
            <w:pPr>
              <w:pStyle w:val="TableParagraph"/>
              <w:ind w:right="46"/>
              <w:rPr>
                <w:sz w:val="14"/>
              </w:rPr>
            </w:pPr>
            <w:r>
              <w:rPr>
                <w:color w:val="231F20"/>
                <w:sz w:val="14"/>
              </w:rPr>
              <w:t>0,6</w:t>
            </w:r>
          </w:p>
        </w:tc>
        <w:tc>
          <w:tcPr>
            <w:tcW w:w="1053" w:type="dxa"/>
          </w:tcPr>
          <w:p>
            <w:pPr>
              <w:pStyle w:val="TableParagraph"/>
              <w:ind w:right="48"/>
              <w:rPr>
                <w:sz w:val="14"/>
              </w:rPr>
            </w:pPr>
            <w:r>
              <w:rPr>
                <w:color w:val="231F20"/>
                <w:sz w:val="14"/>
              </w:rPr>
              <w:t>4,3</w:t>
            </w:r>
          </w:p>
        </w:tc>
        <w:tc>
          <w:tcPr>
            <w:tcW w:w="801" w:type="dxa"/>
          </w:tcPr>
          <w:p>
            <w:pPr>
              <w:pStyle w:val="TableParagraph"/>
              <w:ind w:right="49"/>
              <w:rPr>
                <w:sz w:val="14"/>
              </w:rPr>
            </w:pPr>
            <w:r>
              <w:rPr>
                <w:color w:val="231F20"/>
                <w:sz w:val="14"/>
              </w:rPr>
              <w:t>8,0</w:t>
            </w:r>
          </w:p>
        </w:tc>
        <w:tc>
          <w:tcPr>
            <w:tcW w:w="753" w:type="dxa"/>
          </w:tcPr>
          <w:p>
            <w:pPr>
              <w:pStyle w:val="TableParagraph"/>
              <w:ind w:right="50"/>
              <w:rPr>
                <w:sz w:val="14"/>
              </w:rPr>
            </w:pPr>
            <w:r>
              <w:rPr>
                <w:color w:val="231F20"/>
                <w:sz w:val="14"/>
              </w:rPr>
              <w:t>0,8</w:t>
            </w:r>
          </w:p>
        </w:tc>
        <w:tc>
          <w:tcPr>
            <w:tcW w:w="929" w:type="dxa"/>
          </w:tcPr>
          <w:p>
            <w:pPr>
              <w:pStyle w:val="TableParagraph"/>
              <w:ind w:right="50"/>
              <w:rPr>
                <w:sz w:val="14"/>
              </w:rPr>
            </w:pPr>
            <w:r>
              <w:rPr>
                <w:color w:val="231F20"/>
                <w:sz w:val="14"/>
              </w:rPr>
              <w:t>0,8</w:t>
            </w:r>
          </w:p>
        </w:tc>
        <w:tc>
          <w:tcPr>
            <w:tcW w:w="762" w:type="dxa"/>
          </w:tcPr>
          <w:p>
            <w:pPr>
              <w:pStyle w:val="TableParagraph"/>
              <w:ind w:right="51"/>
              <w:rPr>
                <w:sz w:val="14"/>
              </w:rPr>
            </w:pPr>
            <w:r>
              <w:rPr>
                <w:color w:val="231F20"/>
                <w:sz w:val="14"/>
              </w:rPr>
              <w:t>3,9</w:t>
            </w:r>
          </w:p>
        </w:tc>
      </w:tr>
    </w:tbl>
    <w:p>
      <w:pPr>
        <w:pStyle w:val="BodyText"/>
        <w:spacing w:before="1"/>
        <w:ind w:left="0"/>
        <w:jc w:val="left"/>
        <w:rPr>
          <w:sz w:val="20"/>
        </w:rPr>
      </w:pPr>
    </w:p>
    <w:p>
      <w:pPr>
        <w:pStyle w:val="BodyText"/>
        <w:spacing w:before="1" w:after="41"/>
        <w:ind w:left="176"/>
        <w:jc w:val="left"/>
      </w:pPr>
      <w:r>
        <w:rPr>
          <w:color w:val="231F20"/>
        </w:rPr>
        <w:t>Табела 33. Биланс површина у оквиру рударско-енергетског комплекса Костолачког басена</w:t>
      </w:r>
    </w:p>
    <w:tbl>
      <w:tblPr>
        <w:tblW w:w="0" w:type="auto"/>
        <w:jc w:val="left"/>
        <w:tblInd w:w="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344"/>
        <w:gridCol w:w="1423"/>
        <w:gridCol w:w="1130"/>
        <w:gridCol w:w="1380"/>
        <w:gridCol w:w="1195"/>
      </w:tblGrid>
      <w:tr>
        <w:trPr>
          <w:trHeight w:val="200" w:hRule="atLeast"/>
        </w:trPr>
        <w:tc>
          <w:tcPr>
            <w:tcW w:w="5344" w:type="dxa"/>
            <w:vMerge w:val="restart"/>
          </w:tcPr>
          <w:p>
            <w:pPr>
              <w:pStyle w:val="TableParagraph"/>
              <w:spacing w:before="0"/>
              <w:jc w:val="left"/>
              <w:rPr>
                <w:sz w:val="16"/>
              </w:rPr>
            </w:pPr>
          </w:p>
        </w:tc>
        <w:tc>
          <w:tcPr>
            <w:tcW w:w="2553" w:type="dxa"/>
            <w:gridSpan w:val="2"/>
          </w:tcPr>
          <w:p>
            <w:pPr>
              <w:pStyle w:val="TableParagraph"/>
              <w:ind w:left="692"/>
              <w:jc w:val="left"/>
              <w:rPr>
                <w:sz w:val="14"/>
              </w:rPr>
            </w:pPr>
            <w:r>
              <w:rPr>
                <w:color w:val="231F20"/>
                <w:sz w:val="14"/>
              </w:rPr>
              <w:t>Стање 2010. године</w:t>
            </w:r>
          </w:p>
        </w:tc>
        <w:tc>
          <w:tcPr>
            <w:tcW w:w="2575" w:type="dxa"/>
            <w:gridSpan w:val="2"/>
          </w:tcPr>
          <w:p>
            <w:pPr>
              <w:pStyle w:val="TableParagraph"/>
              <w:ind w:left="703"/>
              <w:jc w:val="left"/>
              <w:rPr>
                <w:sz w:val="14"/>
              </w:rPr>
            </w:pPr>
            <w:r>
              <w:rPr>
                <w:color w:val="231F20"/>
                <w:sz w:val="14"/>
              </w:rPr>
              <w:t>Стање 2022. године</w:t>
            </w:r>
          </w:p>
        </w:tc>
      </w:tr>
      <w:tr>
        <w:trPr>
          <w:trHeight w:val="200" w:hRule="atLeast"/>
        </w:trPr>
        <w:tc>
          <w:tcPr>
            <w:tcW w:w="5344" w:type="dxa"/>
            <w:vMerge/>
            <w:tcBorders>
              <w:top w:val="nil"/>
            </w:tcBorders>
          </w:tcPr>
          <w:p>
            <w:pPr>
              <w:rPr>
                <w:sz w:val="2"/>
                <w:szCs w:val="2"/>
              </w:rPr>
            </w:pPr>
          </w:p>
        </w:tc>
        <w:tc>
          <w:tcPr>
            <w:tcW w:w="1423" w:type="dxa"/>
          </w:tcPr>
          <w:p>
            <w:pPr>
              <w:pStyle w:val="TableParagraph"/>
              <w:ind w:left="274"/>
              <w:jc w:val="left"/>
              <w:rPr>
                <w:sz w:val="14"/>
              </w:rPr>
            </w:pPr>
            <w:r>
              <w:rPr>
                <w:color w:val="231F20"/>
                <w:sz w:val="14"/>
              </w:rPr>
              <w:t>површина у ha</w:t>
            </w:r>
          </w:p>
        </w:tc>
        <w:tc>
          <w:tcPr>
            <w:tcW w:w="1130" w:type="dxa"/>
          </w:tcPr>
          <w:p>
            <w:pPr>
              <w:pStyle w:val="TableParagraph"/>
              <w:ind w:left="193"/>
              <w:jc w:val="left"/>
              <w:rPr>
                <w:sz w:val="14"/>
              </w:rPr>
            </w:pPr>
            <w:r>
              <w:rPr>
                <w:color w:val="231F20"/>
                <w:sz w:val="14"/>
              </w:rPr>
              <w:t>% од укупне</w:t>
            </w:r>
          </w:p>
        </w:tc>
        <w:tc>
          <w:tcPr>
            <w:tcW w:w="1380" w:type="dxa"/>
          </w:tcPr>
          <w:p>
            <w:pPr>
              <w:pStyle w:val="TableParagraph"/>
              <w:ind w:left="253"/>
              <w:jc w:val="left"/>
              <w:rPr>
                <w:sz w:val="14"/>
              </w:rPr>
            </w:pPr>
            <w:r>
              <w:rPr>
                <w:color w:val="231F20"/>
                <w:sz w:val="14"/>
              </w:rPr>
              <w:t>површина у ha</w:t>
            </w:r>
          </w:p>
        </w:tc>
        <w:tc>
          <w:tcPr>
            <w:tcW w:w="1195" w:type="dxa"/>
          </w:tcPr>
          <w:p>
            <w:pPr>
              <w:pStyle w:val="TableParagraph"/>
              <w:ind w:left="225"/>
              <w:jc w:val="left"/>
              <w:rPr>
                <w:sz w:val="14"/>
              </w:rPr>
            </w:pPr>
            <w:r>
              <w:rPr>
                <w:color w:val="231F20"/>
                <w:sz w:val="14"/>
              </w:rPr>
              <w:t>% од укупне</w:t>
            </w:r>
          </w:p>
        </w:tc>
      </w:tr>
      <w:tr>
        <w:trPr>
          <w:trHeight w:val="200" w:hRule="atLeast"/>
        </w:trPr>
        <w:tc>
          <w:tcPr>
            <w:tcW w:w="5344" w:type="dxa"/>
          </w:tcPr>
          <w:p>
            <w:pPr>
              <w:pStyle w:val="TableParagraph"/>
              <w:ind w:left="56"/>
              <w:jc w:val="left"/>
              <w:rPr>
                <w:sz w:val="14"/>
              </w:rPr>
            </w:pPr>
            <w:r>
              <w:rPr>
                <w:color w:val="231F20"/>
                <w:sz w:val="14"/>
              </w:rPr>
              <w:t>ПЛАНСКО ПОДРУЧЈЕ</w:t>
            </w:r>
          </w:p>
        </w:tc>
        <w:tc>
          <w:tcPr>
            <w:tcW w:w="1423" w:type="dxa"/>
          </w:tcPr>
          <w:p>
            <w:pPr>
              <w:pStyle w:val="TableParagraph"/>
              <w:ind w:right="44"/>
              <w:rPr>
                <w:sz w:val="14"/>
              </w:rPr>
            </w:pPr>
            <w:r>
              <w:rPr>
                <w:color w:val="231F20"/>
                <w:sz w:val="14"/>
              </w:rPr>
              <w:t>54346.3</w:t>
            </w:r>
          </w:p>
        </w:tc>
        <w:tc>
          <w:tcPr>
            <w:tcW w:w="1130" w:type="dxa"/>
          </w:tcPr>
          <w:p>
            <w:pPr>
              <w:pStyle w:val="TableParagraph"/>
              <w:ind w:right="44"/>
              <w:rPr>
                <w:sz w:val="14"/>
              </w:rPr>
            </w:pPr>
            <w:r>
              <w:rPr>
                <w:color w:val="231F20"/>
                <w:sz w:val="14"/>
              </w:rPr>
              <w:t>100,0</w:t>
            </w:r>
          </w:p>
        </w:tc>
        <w:tc>
          <w:tcPr>
            <w:tcW w:w="1380" w:type="dxa"/>
          </w:tcPr>
          <w:p>
            <w:pPr>
              <w:pStyle w:val="TableParagraph"/>
              <w:ind w:right="44"/>
              <w:rPr>
                <w:sz w:val="14"/>
              </w:rPr>
            </w:pPr>
            <w:r>
              <w:rPr>
                <w:color w:val="231F20"/>
                <w:sz w:val="14"/>
              </w:rPr>
              <w:t>54346.3</w:t>
            </w:r>
          </w:p>
        </w:tc>
        <w:tc>
          <w:tcPr>
            <w:tcW w:w="1195" w:type="dxa"/>
          </w:tcPr>
          <w:p>
            <w:pPr>
              <w:pStyle w:val="TableParagraph"/>
              <w:ind w:right="44"/>
              <w:rPr>
                <w:sz w:val="14"/>
              </w:rPr>
            </w:pPr>
            <w:r>
              <w:rPr>
                <w:color w:val="231F20"/>
                <w:sz w:val="14"/>
              </w:rPr>
              <w:t>100,0</w:t>
            </w:r>
          </w:p>
        </w:tc>
      </w:tr>
      <w:tr>
        <w:trPr>
          <w:trHeight w:val="200" w:hRule="atLeast"/>
        </w:trPr>
        <w:tc>
          <w:tcPr>
            <w:tcW w:w="5344" w:type="dxa"/>
          </w:tcPr>
          <w:p>
            <w:pPr>
              <w:pStyle w:val="TableParagraph"/>
              <w:ind w:left="56"/>
              <w:jc w:val="left"/>
              <w:rPr>
                <w:sz w:val="14"/>
              </w:rPr>
            </w:pPr>
            <w:r>
              <w:rPr>
                <w:color w:val="231F20"/>
                <w:sz w:val="14"/>
              </w:rPr>
              <w:t>РУДАРСКО-ЕНЕРГЕТСКИ КОМПЛЕКС</w:t>
            </w:r>
          </w:p>
        </w:tc>
        <w:tc>
          <w:tcPr>
            <w:tcW w:w="1423" w:type="dxa"/>
          </w:tcPr>
          <w:p>
            <w:pPr>
              <w:pStyle w:val="TableParagraph"/>
              <w:ind w:right="44"/>
              <w:rPr>
                <w:sz w:val="14"/>
              </w:rPr>
            </w:pPr>
            <w:r>
              <w:rPr>
                <w:color w:val="231F20"/>
                <w:sz w:val="14"/>
              </w:rPr>
              <w:t>2988.2</w:t>
            </w:r>
          </w:p>
        </w:tc>
        <w:tc>
          <w:tcPr>
            <w:tcW w:w="1130" w:type="dxa"/>
          </w:tcPr>
          <w:p>
            <w:pPr>
              <w:pStyle w:val="TableParagraph"/>
              <w:ind w:right="44"/>
              <w:rPr>
                <w:sz w:val="14"/>
              </w:rPr>
            </w:pPr>
            <w:r>
              <w:rPr>
                <w:color w:val="231F20"/>
                <w:sz w:val="14"/>
              </w:rPr>
              <w:t>5,5</w:t>
            </w:r>
          </w:p>
        </w:tc>
        <w:tc>
          <w:tcPr>
            <w:tcW w:w="1380" w:type="dxa"/>
          </w:tcPr>
          <w:p>
            <w:pPr>
              <w:pStyle w:val="TableParagraph"/>
              <w:ind w:right="44"/>
              <w:rPr>
                <w:sz w:val="14"/>
              </w:rPr>
            </w:pPr>
            <w:r>
              <w:rPr>
                <w:color w:val="231F20"/>
                <w:sz w:val="14"/>
              </w:rPr>
              <w:t>3917.1</w:t>
            </w:r>
          </w:p>
        </w:tc>
        <w:tc>
          <w:tcPr>
            <w:tcW w:w="1195" w:type="dxa"/>
          </w:tcPr>
          <w:p>
            <w:pPr>
              <w:pStyle w:val="TableParagraph"/>
              <w:ind w:right="44"/>
              <w:rPr>
                <w:sz w:val="14"/>
              </w:rPr>
            </w:pPr>
            <w:r>
              <w:rPr>
                <w:color w:val="231F20"/>
                <w:sz w:val="14"/>
              </w:rPr>
              <w:t>7,2</w:t>
            </w:r>
          </w:p>
        </w:tc>
      </w:tr>
      <w:tr>
        <w:trPr>
          <w:trHeight w:val="200" w:hRule="atLeast"/>
        </w:trPr>
        <w:tc>
          <w:tcPr>
            <w:tcW w:w="5344" w:type="dxa"/>
          </w:tcPr>
          <w:p>
            <w:pPr>
              <w:pStyle w:val="TableParagraph"/>
              <w:ind w:left="56"/>
              <w:jc w:val="left"/>
              <w:rPr>
                <w:sz w:val="14"/>
              </w:rPr>
            </w:pPr>
            <w:r>
              <w:rPr>
                <w:color w:val="231F20"/>
                <w:sz w:val="14"/>
              </w:rPr>
              <w:t>1. РУДАРСКЕ АКТИВНОСТИ</w:t>
            </w:r>
          </w:p>
        </w:tc>
        <w:tc>
          <w:tcPr>
            <w:tcW w:w="1423" w:type="dxa"/>
          </w:tcPr>
          <w:p>
            <w:pPr>
              <w:pStyle w:val="TableParagraph"/>
              <w:ind w:right="44"/>
              <w:rPr>
                <w:sz w:val="14"/>
              </w:rPr>
            </w:pPr>
            <w:r>
              <w:rPr>
                <w:color w:val="231F20"/>
                <w:sz w:val="14"/>
              </w:rPr>
              <w:t>1760.3</w:t>
            </w:r>
          </w:p>
        </w:tc>
        <w:tc>
          <w:tcPr>
            <w:tcW w:w="1130" w:type="dxa"/>
          </w:tcPr>
          <w:p>
            <w:pPr>
              <w:pStyle w:val="TableParagraph"/>
              <w:ind w:right="44"/>
              <w:rPr>
                <w:sz w:val="14"/>
              </w:rPr>
            </w:pPr>
            <w:r>
              <w:rPr>
                <w:color w:val="231F20"/>
                <w:sz w:val="14"/>
              </w:rPr>
              <w:t>3,2</w:t>
            </w:r>
          </w:p>
        </w:tc>
        <w:tc>
          <w:tcPr>
            <w:tcW w:w="1380" w:type="dxa"/>
          </w:tcPr>
          <w:p>
            <w:pPr>
              <w:pStyle w:val="TableParagraph"/>
              <w:ind w:right="44"/>
              <w:rPr>
                <w:sz w:val="14"/>
              </w:rPr>
            </w:pPr>
            <w:r>
              <w:rPr>
                <w:color w:val="231F20"/>
                <w:sz w:val="14"/>
              </w:rPr>
              <w:t>1255.8</w:t>
            </w:r>
          </w:p>
        </w:tc>
        <w:tc>
          <w:tcPr>
            <w:tcW w:w="1195" w:type="dxa"/>
          </w:tcPr>
          <w:p>
            <w:pPr>
              <w:pStyle w:val="TableParagraph"/>
              <w:ind w:right="44"/>
              <w:rPr>
                <w:sz w:val="14"/>
              </w:rPr>
            </w:pPr>
            <w:r>
              <w:rPr>
                <w:color w:val="231F20"/>
                <w:sz w:val="14"/>
              </w:rPr>
              <w:t>2,3</w:t>
            </w:r>
          </w:p>
        </w:tc>
      </w:tr>
    </w:tbl>
    <w:p>
      <w:pPr>
        <w:spacing w:after="0"/>
        <w:rPr>
          <w:sz w:val="14"/>
        </w:rPr>
        <w:sectPr>
          <w:type w:val="continuous"/>
          <w:pgSz w:w="12480" w:h="15690"/>
          <w:pgMar w:top="880" w:bottom="280" w:left="680" w:right="720"/>
        </w:sectPr>
      </w:pPr>
    </w:p>
    <w:tbl>
      <w:tblPr>
        <w:tblW w:w="0" w:type="auto"/>
        <w:jc w:val="left"/>
        <w:tblInd w:w="4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89"/>
        <w:gridCol w:w="2255"/>
        <w:gridCol w:w="1423"/>
        <w:gridCol w:w="1130"/>
        <w:gridCol w:w="1380"/>
        <w:gridCol w:w="1195"/>
      </w:tblGrid>
      <w:tr>
        <w:trPr>
          <w:trHeight w:val="200" w:hRule="atLeast"/>
        </w:trPr>
        <w:tc>
          <w:tcPr>
            <w:tcW w:w="5344" w:type="dxa"/>
            <w:gridSpan w:val="2"/>
            <w:vMerge w:val="restart"/>
          </w:tcPr>
          <w:p>
            <w:pPr>
              <w:pStyle w:val="TableParagraph"/>
              <w:spacing w:before="0"/>
              <w:jc w:val="left"/>
              <w:rPr>
                <w:sz w:val="16"/>
              </w:rPr>
            </w:pPr>
          </w:p>
        </w:tc>
        <w:tc>
          <w:tcPr>
            <w:tcW w:w="2553" w:type="dxa"/>
            <w:gridSpan w:val="2"/>
          </w:tcPr>
          <w:p>
            <w:pPr>
              <w:pStyle w:val="TableParagraph"/>
              <w:spacing w:before="9"/>
              <w:ind w:left="692"/>
              <w:jc w:val="left"/>
              <w:rPr>
                <w:sz w:val="14"/>
              </w:rPr>
            </w:pPr>
            <w:r>
              <w:rPr>
                <w:color w:val="231F20"/>
                <w:sz w:val="14"/>
              </w:rPr>
              <w:t>Стање 2010. године</w:t>
            </w:r>
          </w:p>
        </w:tc>
        <w:tc>
          <w:tcPr>
            <w:tcW w:w="2575" w:type="dxa"/>
            <w:gridSpan w:val="2"/>
          </w:tcPr>
          <w:p>
            <w:pPr>
              <w:pStyle w:val="TableParagraph"/>
              <w:spacing w:before="9"/>
              <w:ind w:left="703"/>
              <w:jc w:val="left"/>
              <w:rPr>
                <w:sz w:val="14"/>
              </w:rPr>
            </w:pPr>
            <w:r>
              <w:rPr>
                <w:color w:val="231F20"/>
                <w:sz w:val="14"/>
              </w:rPr>
              <w:t>Стање 2022. године</w:t>
            </w:r>
          </w:p>
        </w:tc>
      </w:tr>
      <w:tr>
        <w:trPr>
          <w:trHeight w:val="200" w:hRule="atLeast"/>
        </w:trPr>
        <w:tc>
          <w:tcPr>
            <w:tcW w:w="5344" w:type="dxa"/>
            <w:gridSpan w:val="2"/>
            <w:vMerge/>
            <w:tcBorders>
              <w:top w:val="nil"/>
            </w:tcBorders>
          </w:tcPr>
          <w:p>
            <w:pPr>
              <w:rPr>
                <w:sz w:val="2"/>
                <w:szCs w:val="2"/>
              </w:rPr>
            </w:pPr>
          </w:p>
        </w:tc>
        <w:tc>
          <w:tcPr>
            <w:tcW w:w="1423" w:type="dxa"/>
          </w:tcPr>
          <w:p>
            <w:pPr>
              <w:pStyle w:val="TableParagraph"/>
              <w:spacing w:before="9"/>
              <w:ind w:left="274"/>
              <w:jc w:val="left"/>
              <w:rPr>
                <w:sz w:val="14"/>
              </w:rPr>
            </w:pPr>
            <w:r>
              <w:rPr>
                <w:color w:val="231F20"/>
                <w:sz w:val="14"/>
              </w:rPr>
              <w:t>површина у ha</w:t>
            </w:r>
          </w:p>
        </w:tc>
        <w:tc>
          <w:tcPr>
            <w:tcW w:w="1130" w:type="dxa"/>
          </w:tcPr>
          <w:p>
            <w:pPr>
              <w:pStyle w:val="TableParagraph"/>
              <w:spacing w:before="9"/>
              <w:ind w:left="194"/>
              <w:jc w:val="left"/>
              <w:rPr>
                <w:sz w:val="14"/>
              </w:rPr>
            </w:pPr>
            <w:r>
              <w:rPr>
                <w:color w:val="231F20"/>
                <w:sz w:val="14"/>
              </w:rPr>
              <w:t>% од укупне</w:t>
            </w:r>
          </w:p>
        </w:tc>
        <w:tc>
          <w:tcPr>
            <w:tcW w:w="1380" w:type="dxa"/>
          </w:tcPr>
          <w:p>
            <w:pPr>
              <w:pStyle w:val="TableParagraph"/>
              <w:spacing w:before="9"/>
              <w:ind w:left="253"/>
              <w:jc w:val="left"/>
              <w:rPr>
                <w:sz w:val="14"/>
              </w:rPr>
            </w:pPr>
            <w:r>
              <w:rPr>
                <w:color w:val="231F20"/>
                <w:sz w:val="14"/>
              </w:rPr>
              <w:t>површина у ha</w:t>
            </w:r>
          </w:p>
        </w:tc>
        <w:tc>
          <w:tcPr>
            <w:tcW w:w="1195" w:type="dxa"/>
          </w:tcPr>
          <w:p>
            <w:pPr>
              <w:pStyle w:val="TableParagraph"/>
              <w:spacing w:before="9"/>
              <w:ind w:left="226"/>
              <w:jc w:val="left"/>
              <w:rPr>
                <w:sz w:val="14"/>
              </w:rPr>
            </w:pPr>
            <w:r>
              <w:rPr>
                <w:color w:val="231F20"/>
                <w:sz w:val="14"/>
              </w:rPr>
              <w:t>% од укупне</w:t>
            </w:r>
          </w:p>
        </w:tc>
      </w:tr>
      <w:tr>
        <w:trPr>
          <w:trHeight w:val="200" w:hRule="atLeast"/>
        </w:trPr>
        <w:tc>
          <w:tcPr>
            <w:tcW w:w="3089" w:type="dxa"/>
            <w:vMerge w:val="restart"/>
          </w:tcPr>
          <w:p>
            <w:pPr>
              <w:pStyle w:val="TableParagraph"/>
              <w:spacing w:before="9"/>
              <w:ind w:left="56"/>
              <w:jc w:val="left"/>
              <w:rPr>
                <w:sz w:val="14"/>
              </w:rPr>
            </w:pPr>
            <w:r>
              <w:rPr>
                <w:color w:val="231F20"/>
                <w:sz w:val="14"/>
              </w:rPr>
              <w:t>1.1. Коп „ДРМНО”</w:t>
            </w:r>
          </w:p>
        </w:tc>
        <w:tc>
          <w:tcPr>
            <w:tcW w:w="2255" w:type="dxa"/>
          </w:tcPr>
          <w:p>
            <w:pPr>
              <w:pStyle w:val="TableParagraph"/>
              <w:spacing w:before="0"/>
              <w:jc w:val="left"/>
              <w:rPr>
                <w:sz w:val="12"/>
              </w:rPr>
            </w:pPr>
          </w:p>
        </w:tc>
        <w:tc>
          <w:tcPr>
            <w:tcW w:w="1423" w:type="dxa"/>
          </w:tcPr>
          <w:p>
            <w:pPr>
              <w:pStyle w:val="TableParagraph"/>
              <w:spacing w:before="9"/>
              <w:ind w:right="44"/>
              <w:rPr>
                <w:sz w:val="14"/>
              </w:rPr>
            </w:pPr>
            <w:r>
              <w:rPr>
                <w:color w:val="231F20"/>
                <w:sz w:val="14"/>
              </w:rPr>
              <w:t>1145.7</w:t>
            </w: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1231.4</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коп</w:t>
            </w:r>
          </w:p>
        </w:tc>
        <w:tc>
          <w:tcPr>
            <w:tcW w:w="1423" w:type="dxa"/>
          </w:tcPr>
          <w:p>
            <w:pPr>
              <w:pStyle w:val="TableParagraph"/>
              <w:spacing w:before="9"/>
              <w:ind w:right="44"/>
              <w:rPr>
                <w:sz w:val="14"/>
              </w:rPr>
            </w:pPr>
            <w:r>
              <w:rPr>
                <w:color w:val="231F20"/>
                <w:sz w:val="14"/>
              </w:rPr>
              <w:t>306.3</w:t>
            </w: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532.5</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унутрашње одлагалиште</w:t>
            </w:r>
          </w:p>
        </w:tc>
        <w:tc>
          <w:tcPr>
            <w:tcW w:w="1423" w:type="dxa"/>
          </w:tcPr>
          <w:p>
            <w:pPr>
              <w:pStyle w:val="TableParagraph"/>
              <w:spacing w:before="0"/>
              <w:jc w:val="left"/>
              <w:rPr>
                <w:sz w:val="12"/>
              </w:rPr>
            </w:pP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652.1</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депонија гипса</w:t>
            </w:r>
          </w:p>
        </w:tc>
        <w:tc>
          <w:tcPr>
            <w:tcW w:w="1423" w:type="dxa"/>
          </w:tcPr>
          <w:p>
            <w:pPr>
              <w:pStyle w:val="TableParagraph"/>
              <w:spacing w:before="0"/>
              <w:jc w:val="left"/>
              <w:rPr>
                <w:sz w:val="12"/>
              </w:rPr>
            </w:pP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19.2</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спољашње одлагалиште</w:t>
            </w:r>
          </w:p>
        </w:tc>
        <w:tc>
          <w:tcPr>
            <w:tcW w:w="1423" w:type="dxa"/>
          </w:tcPr>
          <w:p>
            <w:pPr>
              <w:pStyle w:val="TableParagraph"/>
              <w:spacing w:before="0"/>
              <w:jc w:val="left"/>
              <w:rPr>
                <w:sz w:val="12"/>
              </w:rPr>
            </w:pP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управа</w:t>
            </w:r>
          </w:p>
        </w:tc>
        <w:tc>
          <w:tcPr>
            <w:tcW w:w="1423" w:type="dxa"/>
          </w:tcPr>
          <w:p>
            <w:pPr>
              <w:pStyle w:val="TableParagraph"/>
              <w:spacing w:before="0"/>
              <w:jc w:val="left"/>
              <w:rPr>
                <w:sz w:val="12"/>
              </w:rPr>
            </w:pP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27.6</w:t>
            </w:r>
          </w:p>
        </w:tc>
        <w:tc>
          <w:tcPr>
            <w:tcW w:w="1195" w:type="dxa"/>
          </w:tcPr>
          <w:p>
            <w:pPr>
              <w:pStyle w:val="TableParagraph"/>
              <w:spacing w:before="0"/>
              <w:jc w:val="left"/>
              <w:rPr>
                <w:sz w:val="12"/>
              </w:rPr>
            </w:pPr>
          </w:p>
        </w:tc>
      </w:tr>
      <w:tr>
        <w:trPr>
          <w:trHeight w:val="200" w:hRule="atLeast"/>
        </w:trPr>
        <w:tc>
          <w:tcPr>
            <w:tcW w:w="3089" w:type="dxa"/>
            <w:vMerge w:val="restart"/>
          </w:tcPr>
          <w:p>
            <w:pPr>
              <w:pStyle w:val="TableParagraph"/>
              <w:spacing w:before="9"/>
              <w:ind w:left="56"/>
              <w:jc w:val="left"/>
              <w:rPr>
                <w:sz w:val="14"/>
              </w:rPr>
            </w:pPr>
            <w:r>
              <w:rPr>
                <w:color w:val="231F20"/>
                <w:sz w:val="14"/>
              </w:rPr>
              <w:t>1.2. Коп „ЋИРИКОВАЦ” (није активан)</w:t>
            </w:r>
          </w:p>
        </w:tc>
        <w:tc>
          <w:tcPr>
            <w:tcW w:w="2255" w:type="dxa"/>
          </w:tcPr>
          <w:p>
            <w:pPr>
              <w:pStyle w:val="TableParagraph"/>
              <w:spacing w:before="0"/>
              <w:jc w:val="left"/>
              <w:rPr>
                <w:sz w:val="12"/>
              </w:rPr>
            </w:pPr>
          </w:p>
        </w:tc>
        <w:tc>
          <w:tcPr>
            <w:tcW w:w="1423" w:type="dxa"/>
          </w:tcPr>
          <w:p>
            <w:pPr>
              <w:pStyle w:val="TableParagraph"/>
              <w:spacing w:before="9"/>
              <w:ind w:right="44"/>
              <w:rPr>
                <w:sz w:val="14"/>
              </w:rPr>
            </w:pPr>
            <w:r>
              <w:rPr>
                <w:color w:val="231F20"/>
                <w:sz w:val="14"/>
              </w:rPr>
              <w:t>314.6</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коп</w:t>
            </w:r>
          </w:p>
        </w:tc>
        <w:tc>
          <w:tcPr>
            <w:tcW w:w="1423" w:type="dxa"/>
          </w:tcPr>
          <w:p>
            <w:pPr>
              <w:pStyle w:val="TableParagraph"/>
              <w:spacing w:before="9"/>
              <w:ind w:right="44"/>
              <w:rPr>
                <w:sz w:val="14"/>
              </w:rPr>
            </w:pPr>
            <w:r>
              <w:rPr>
                <w:color w:val="231F20"/>
                <w:sz w:val="14"/>
              </w:rPr>
              <w:t>125.8</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спољашње одлагалиште</w:t>
            </w:r>
          </w:p>
        </w:tc>
        <w:tc>
          <w:tcPr>
            <w:tcW w:w="1423" w:type="dxa"/>
          </w:tcPr>
          <w:p>
            <w:pPr>
              <w:pStyle w:val="TableParagraph"/>
              <w:spacing w:before="9"/>
              <w:ind w:right="44"/>
              <w:rPr>
                <w:sz w:val="14"/>
              </w:rPr>
            </w:pPr>
            <w:r>
              <w:rPr>
                <w:color w:val="231F20"/>
                <w:sz w:val="14"/>
              </w:rPr>
              <w:t>137.8</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9"/>
              <w:ind w:left="56"/>
              <w:jc w:val="left"/>
              <w:rPr>
                <w:sz w:val="14"/>
              </w:rPr>
            </w:pPr>
            <w:r>
              <w:rPr>
                <w:color w:val="231F20"/>
                <w:sz w:val="14"/>
              </w:rPr>
              <w:t>управа</w:t>
            </w:r>
          </w:p>
        </w:tc>
        <w:tc>
          <w:tcPr>
            <w:tcW w:w="1423" w:type="dxa"/>
          </w:tcPr>
          <w:p>
            <w:pPr>
              <w:pStyle w:val="TableParagraph"/>
              <w:spacing w:before="9"/>
              <w:ind w:right="44"/>
              <w:rPr>
                <w:sz w:val="14"/>
              </w:rPr>
            </w:pPr>
            <w:r>
              <w:rPr>
                <w:color w:val="231F20"/>
                <w:sz w:val="14"/>
              </w:rPr>
              <w:t>24.4</w:t>
            </w:r>
          </w:p>
        </w:tc>
        <w:tc>
          <w:tcPr>
            <w:tcW w:w="1130" w:type="dxa"/>
          </w:tcPr>
          <w:p>
            <w:pPr>
              <w:pStyle w:val="TableParagraph"/>
              <w:spacing w:before="0"/>
              <w:jc w:val="left"/>
              <w:rPr>
                <w:sz w:val="12"/>
              </w:rPr>
            </w:pPr>
          </w:p>
        </w:tc>
        <w:tc>
          <w:tcPr>
            <w:tcW w:w="1380" w:type="dxa"/>
          </w:tcPr>
          <w:p>
            <w:pPr>
              <w:pStyle w:val="TableParagraph"/>
              <w:spacing w:before="9"/>
              <w:ind w:right="44"/>
              <w:rPr>
                <w:sz w:val="14"/>
              </w:rPr>
            </w:pPr>
            <w:r>
              <w:rPr>
                <w:color w:val="231F20"/>
                <w:sz w:val="14"/>
              </w:rPr>
              <w:t>24.4</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6"/>
              <w:jc w:val="left"/>
              <w:rPr>
                <w:sz w:val="14"/>
              </w:rPr>
            </w:pPr>
            <w:r>
              <w:rPr>
                <w:color w:val="231F20"/>
                <w:sz w:val="14"/>
              </w:rPr>
              <w:t>дробилана</w:t>
            </w:r>
          </w:p>
        </w:tc>
        <w:tc>
          <w:tcPr>
            <w:tcW w:w="1423" w:type="dxa"/>
          </w:tcPr>
          <w:p>
            <w:pPr>
              <w:pStyle w:val="TableParagraph"/>
              <w:spacing w:before="8"/>
              <w:ind w:right="44"/>
              <w:rPr>
                <w:sz w:val="14"/>
              </w:rPr>
            </w:pPr>
            <w:r>
              <w:rPr>
                <w:color w:val="231F20"/>
                <w:sz w:val="14"/>
              </w:rPr>
              <w:t>26.5</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val="restart"/>
          </w:tcPr>
          <w:p>
            <w:pPr>
              <w:pStyle w:val="TableParagraph"/>
              <w:spacing w:before="8"/>
              <w:ind w:left="56"/>
              <w:jc w:val="left"/>
              <w:rPr>
                <w:sz w:val="14"/>
              </w:rPr>
            </w:pPr>
            <w:r>
              <w:rPr>
                <w:color w:val="231F20"/>
                <w:sz w:val="14"/>
              </w:rPr>
              <w:t>1.3. Коп „КЛЕНОВНИК” (није активан)</w:t>
            </w:r>
          </w:p>
        </w:tc>
        <w:tc>
          <w:tcPr>
            <w:tcW w:w="2255" w:type="dxa"/>
          </w:tcPr>
          <w:p>
            <w:pPr>
              <w:pStyle w:val="TableParagraph"/>
              <w:spacing w:before="0"/>
              <w:jc w:val="left"/>
              <w:rPr>
                <w:sz w:val="12"/>
              </w:rPr>
            </w:pPr>
          </w:p>
        </w:tc>
        <w:tc>
          <w:tcPr>
            <w:tcW w:w="1423" w:type="dxa"/>
          </w:tcPr>
          <w:p>
            <w:pPr>
              <w:pStyle w:val="TableParagraph"/>
              <w:spacing w:before="8"/>
              <w:ind w:right="44"/>
              <w:rPr>
                <w:sz w:val="14"/>
              </w:rPr>
            </w:pPr>
            <w:r>
              <w:rPr>
                <w:color w:val="231F20"/>
                <w:sz w:val="14"/>
              </w:rPr>
              <w:t>300.0</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6"/>
              <w:jc w:val="left"/>
              <w:rPr>
                <w:sz w:val="14"/>
              </w:rPr>
            </w:pPr>
            <w:r>
              <w:rPr>
                <w:color w:val="231F20"/>
                <w:sz w:val="14"/>
              </w:rPr>
              <w:t>коп</w:t>
            </w:r>
          </w:p>
        </w:tc>
        <w:tc>
          <w:tcPr>
            <w:tcW w:w="1423" w:type="dxa"/>
          </w:tcPr>
          <w:p>
            <w:pPr>
              <w:pStyle w:val="TableParagraph"/>
              <w:spacing w:before="8"/>
              <w:ind w:right="44"/>
              <w:rPr>
                <w:sz w:val="14"/>
              </w:rPr>
            </w:pPr>
            <w:r>
              <w:rPr>
                <w:color w:val="231F20"/>
                <w:sz w:val="14"/>
              </w:rPr>
              <w:t>115.7</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6"/>
              <w:jc w:val="left"/>
              <w:rPr>
                <w:sz w:val="14"/>
              </w:rPr>
            </w:pPr>
            <w:r>
              <w:rPr>
                <w:color w:val="231F20"/>
                <w:sz w:val="14"/>
              </w:rPr>
              <w:t>спољашње одлагалиште</w:t>
            </w:r>
          </w:p>
        </w:tc>
        <w:tc>
          <w:tcPr>
            <w:tcW w:w="1423" w:type="dxa"/>
          </w:tcPr>
          <w:p>
            <w:pPr>
              <w:pStyle w:val="TableParagraph"/>
              <w:spacing w:before="8"/>
              <w:ind w:right="44"/>
              <w:rPr>
                <w:sz w:val="14"/>
              </w:rPr>
            </w:pPr>
            <w:r>
              <w:rPr>
                <w:color w:val="231F20"/>
                <w:sz w:val="14"/>
              </w:rPr>
              <w:t>184.3</w:t>
            </w:r>
          </w:p>
        </w:tc>
        <w:tc>
          <w:tcPr>
            <w:tcW w:w="1130" w:type="dxa"/>
          </w:tcPr>
          <w:p>
            <w:pPr>
              <w:pStyle w:val="TableParagraph"/>
              <w:spacing w:before="0"/>
              <w:jc w:val="left"/>
              <w:rPr>
                <w:sz w:val="12"/>
              </w:rPr>
            </w:pPr>
          </w:p>
        </w:tc>
        <w:tc>
          <w:tcPr>
            <w:tcW w:w="1380" w:type="dxa"/>
          </w:tcPr>
          <w:p>
            <w:pPr>
              <w:pStyle w:val="TableParagraph"/>
              <w:spacing w:before="0"/>
              <w:jc w:val="left"/>
              <w:rPr>
                <w:sz w:val="12"/>
              </w:rPr>
            </w:pPr>
          </w:p>
        </w:tc>
        <w:tc>
          <w:tcPr>
            <w:tcW w:w="1195" w:type="dxa"/>
          </w:tcPr>
          <w:p>
            <w:pPr>
              <w:pStyle w:val="TableParagraph"/>
              <w:spacing w:before="0"/>
              <w:jc w:val="left"/>
              <w:rPr>
                <w:sz w:val="12"/>
              </w:rPr>
            </w:pPr>
          </w:p>
        </w:tc>
      </w:tr>
      <w:tr>
        <w:trPr>
          <w:trHeight w:val="200" w:hRule="atLeast"/>
        </w:trPr>
        <w:tc>
          <w:tcPr>
            <w:tcW w:w="5344" w:type="dxa"/>
            <w:gridSpan w:val="2"/>
          </w:tcPr>
          <w:p>
            <w:pPr>
              <w:pStyle w:val="TableParagraph"/>
              <w:spacing w:before="8"/>
              <w:ind w:left="56"/>
              <w:jc w:val="left"/>
              <w:rPr>
                <w:sz w:val="14"/>
              </w:rPr>
            </w:pPr>
            <w:r>
              <w:rPr>
                <w:color w:val="231F20"/>
                <w:sz w:val="14"/>
              </w:rPr>
              <w:t>2. ТЕРМОЕНЕРГЕТСКИ КОМПЛЕКС</w:t>
            </w:r>
          </w:p>
        </w:tc>
        <w:tc>
          <w:tcPr>
            <w:tcW w:w="1423" w:type="dxa"/>
          </w:tcPr>
          <w:p>
            <w:pPr>
              <w:pStyle w:val="TableParagraph"/>
              <w:spacing w:before="8"/>
              <w:ind w:right="44"/>
              <w:rPr>
                <w:sz w:val="14"/>
              </w:rPr>
            </w:pPr>
            <w:r>
              <w:rPr>
                <w:color w:val="231F20"/>
                <w:sz w:val="14"/>
              </w:rPr>
              <w:t>604.6</w:t>
            </w:r>
          </w:p>
        </w:tc>
        <w:tc>
          <w:tcPr>
            <w:tcW w:w="1130" w:type="dxa"/>
          </w:tcPr>
          <w:p>
            <w:pPr>
              <w:pStyle w:val="TableParagraph"/>
              <w:spacing w:before="8"/>
              <w:ind w:right="44"/>
              <w:rPr>
                <w:sz w:val="14"/>
              </w:rPr>
            </w:pPr>
            <w:r>
              <w:rPr>
                <w:color w:val="231F20"/>
                <w:sz w:val="14"/>
              </w:rPr>
              <w:t>1,1</w:t>
            </w:r>
          </w:p>
        </w:tc>
        <w:tc>
          <w:tcPr>
            <w:tcW w:w="1380" w:type="dxa"/>
          </w:tcPr>
          <w:p>
            <w:pPr>
              <w:pStyle w:val="TableParagraph"/>
              <w:spacing w:before="8"/>
              <w:ind w:right="44"/>
              <w:rPr>
                <w:sz w:val="14"/>
              </w:rPr>
            </w:pPr>
            <w:r>
              <w:rPr>
                <w:color w:val="231F20"/>
                <w:sz w:val="14"/>
              </w:rPr>
              <w:t>311.8</w:t>
            </w:r>
          </w:p>
        </w:tc>
        <w:tc>
          <w:tcPr>
            <w:tcW w:w="1195" w:type="dxa"/>
          </w:tcPr>
          <w:p>
            <w:pPr>
              <w:pStyle w:val="TableParagraph"/>
              <w:spacing w:before="8"/>
              <w:ind w:right="44"/>
              <w:rPr>
                <w:sz w:val="14"/>
              </w:rPr>
            </w:pPr>
            <w:r>
              <w:rPr>
                <w:color w:val="231F20"/>
                <w:sz w:val="14"/>
              </w:rPr>
              <w:t>0,6</w:t>
            </w:r>
          </w:p>
        </w:tc>
      </w:tr>
      <w:tr>
        <w:trPr>
          <w:trHeight w:val="200" w:hRule="atLeast"/>
        </w:trPr>
        <w:tc>
          <w:tcPr>
            <w:tcW w:w="3089" w:type="dxa"/>
            <w:vMerge w:val="restart"/>
          </w:tcPr>
          <w:p>
            <w:pPr>
              <w:pStyle w:val="TableParagraph"/>
              <w:spacing w:before="8"/>
              <w:ind w:left="56"/>
              <w:jc w:val="left"/>
              <w:rPr>
                <w:sz w:val="14"/>
              </w:rPr>
            </w:pPr>
            <w:r>
              <w:rPr>
                <w:color w:val="231F20"/>
                <w:sz w:val="14"/>
              </w:rPr>
              <w:t>2.1. Депоније пепела и шљаке</w:t>
            </w:r>
          </w:p>
        </w:tc>
        <w:tc>
          <w:tcPr>
            <w:tcW w:w="2255" w:type="dxa"/>
          </w:tcPr>
          <w:p>
            <w:pPr>
              <w:pStyle w:val="TableParagraph"/>
              <w:spacing w:before="0"/>
              <w:jc w:val="left"/>
              <w:rPr>
                <w:sz w:val="12"/>
              </w:rPr>
            </w:pPr>
          </w:p>
        </w:tc>
        <w:tc>
          <w:tcPr>
            <w:tcW w:w="1423" w:type="dxa"/>
          </w:tcPr>
          <w:p>
            <w:pPr>
              <w:pStyle w:val="TableParagraph"/>
              <w:spacing w:before="8"/>
              <w:ind w:right="44"/>
              <w:rPr>
                <w:sz w:val="14"/>
              </w:rPr>
            </w:pPr>
            <w:r>
              <w:rPr>
                <w:color w:val="231F20"/>
                <w:sz w:val="14"/>
              </w:rPr>
              <w:t>433.6</w:t>
            </w:r>
          </w:p>
        </w:tc>
        <w:tc>
          <w:tcPr>
            <w:tcW w:w="1130" w:type="dxa"/>
          </w:tcPr>
          <w:p>
            <w:pPr>
              <w:pStyle w:val="TableParagraph"/>
              <w:spacing w:before="0"/>
              <w:jc w:val="left"/>
              <w:rPr>
                <w:sz w:val="12"/>
              </w:rPr>
            </w:pPr>
          </w:p>
        </w:tc>
        <w:tc>
          <w:tcPr>
            <w:tcW w:w="1380" w:type="dxa"/>
          </w:tcPr>
          <w:p>
            <w:pPr>
              <w:pStyle w:val="TableParagraph"/>
              <w:spacing w:before="8"/>
              <w:ind w:right="44"/>
              <w:rPr>
                <w:sz w:val="14"/>
              </w:rPr>
            </w:pPr>
            <w:r>
              <w:rPr>
                <w:color w:val="231F20"/>
                <w:sz w:val="14"/>
              </w:rPr>
              <w:t>140.8</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7"/>
              <w:jc w:val="left"/>
              <w:rPr>
                <w:sz w:val="14"/>
              </w:rPr>
            </w:pPr>
            <w:r>
              <w:rPr>
                <w:color w:val="231F20"/>
                <w:sz w:val="14"/>
              </w:rPr>
              <w:t>Средње Костолачко острво</w:t>
            </w:r>
          </w:p>
        </w:tc>
        <w:tc>
          <w:tcPr>
            <w:tcW w:w="1423" w:type="dxa"/>
          </w:tcPr>
          <w:p>
            <w:pPr>
              <w:pStyle w:val="TableParagraph"/>
              <w:spacing w:before="8"/>
              <w:ind w:right="44"/>
              <w:rPr>
                <w:sz w:val="14"/>
              </w:rPr>
            </w:pPr>
            <w:r>
              <w:rPr>
                <w:color w:val="231F20"/>
                <w:sz w:val="14"/>
              </w:rPr>
              <w:t>254.5</w:t>
            </w:r>
          </w:p>
        </w:tc>
        <w:tc>
          <w:tcPr>
            <w:tcW w:w="1130" w:type="dxa"/>
          </w:tcPr>
          <w:p>
            <w:pPr>
              <w:pStyle w:val="TableParagraph"/>
              <w:spacing w:before="0"/>
              <w:jc w:val="left"/>
              <w:rPr>
                <w:sz w:val="12"/>
              </w:rPr>
            </w:pPr>
          </w:p>
        </w:tc>
        <w:tc>
          <w:tcPr>
            <w:tcW w:w="1380" w:type="dxa"/>
          </w:tcPr>
          <w:p>
            <w:pPr>
              <w:pStyle w:val="TableParagraph"/>
              <w:spacing w:before="8"/>
              <w:ind w:right="44"/>
              <w:rPr>
                <w:sz w:val="14"/>
              </w:rPr>
            </w:pPr>
            <w:r>
              <w:rPr>
                <w:color w:val="231F20"/>
                <w:sz w:val="14"/>
              </w:rPr>
              <w:t>57.0</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7"/>
              <w:jc w:val="left"/>
              <w:rPr>
                <w:sz w:val="14"/>
              </w:rPr>
            </w:pPr>
            <w:r>
              <w:rPr>
                <w:color w:val="231F20"/>
                <w:sz w:val="14"/>
              </w:rPr>
              <w:t>у копу Ћириковац</w:t>
            </w:r>
          </w:p>
        </w:tc>
        <w:tc>
          <w:tcPr>
            <w:tcW w:w="1423" w:type="dxa"/>
          </w:tcPr>
          <w:p>
            <w:pPr>
              <w:pStyle w:val="TableParagraph"/>
              <w:spacing w:before="8"/>
              <w:ind w:right="44"/>
              <w:rPr>
                <w:sz w:val="14"/>
              </w:rPr>
            </w:pPr>
            <w:r>
              <w:rPr>
                <w:color w:val="231F20"/>
                <w:sz w:val="14"/>
              </w:rPr>
              <w:t>179.0</w:t>
            </w:r>
          </w:p>
        </w:tc>
        <w:tc>
          <w:tcPr>
            <w:tcW w:w="1130" w:type="dxa"/>
          </w:tcPr>
          <w:p>
            <w:pPr>
              <w:pStyle w:val="TableParagraph"/>
              <w:spacing w:before="0"/>
              <w:jc w:val="left"/>
              <w:rPr>
                <w:sz w:val="12"/>
              </w:rPr>
            </w:pPr>
          </w:p>
        </w:tc>
        <w:tc>
          <w:tcPr>
            <w:tcW w:w="1380" w:type="dxa"/>
          </w:tcPr>
          <w:p>
            <w:pPr>
              <w:pStyle w:val="TableParagraph"/>
              <w:spacing w:before="8"/>
              <w:ind w:right="44"/>
              <w:rPr>
                <w:sz w:val="14"/>
              </w:rPr>
            </w:pPr>
            <w:r>
              <w:rPr>
                <w:color w:val="231F20"/>
                <w:sz w:val="14"/>
              </w:rPr>
              <w:t>59.6</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7"/>
              <w:jc w:val="left"/>
              <w:rPr>
                <w:sz w:val="14"/>
              </w:rPr>
            </w:pPr>
            <w:r>
              <w:rPr>
                <w:color w:val="231F20"/>
                <w:sz w:val="14"/>
              </w:rPr>
              <w:t>у копу Дрмно</w:t>
            </w:r>
          </w:p>
        </w:tc>
        <w:tc>
          <w:tcPr>
            <w:tcW w:w="1423" w:type="dxa"/>
          </w:tcPr>
          <w:p>
            <w:pPr>
              <w:pStyle w:val="TableParagraph"/>
              <w:spacing w:before="0"/>
              <w:jc w:val="left"/>
              <w:rPr>
                <w:sz w:val="12"/>
              </w:rPr>
            </w:pPr>
          </w:p>
        </w:tc>
        <w:tc>
          <w:tcPr>
            <w:tcW w:w="1130" w:type="dxa"/>
          </w:tcPr>
          <w:p>
            <w:pPr>
              <w:pStyle w:val="TableParagraph"/>
              <w:spacing w:before="0"/>
              <w:jc w:val="left"/>
              <w:rPr>
                <w:sz w:val="12"/>
              </w:rPr>
            </w:pPr>
          </w:p>
        </w:tc>
        <w:tc>
          <w:tcPr>
            <w:tcW w:w="1380" w:type="dxa"/>
          </w:tcPr>
          <w:p>
            <w:pPr>
              <w:pStyle w:val="TableParagraph"/>
              <w:spacing w:before="8"/>
              <w:ind w:right="44"/>
              <w:rPr>
                <w:sz w:val="14"/>
              </w:rPr>
            </w:pPr>
            <w:r>
              <w:rPr>
                <w:color w:val="231F20"/>
                <w:sz w:val="14"/>
              </w:rPr>
              <w:t>24.2</w:t>
            </w:r>
          </w:p>
        </w:tc>
        <w:tc>
          <w:tcPr>
            <w:tcW w:w="1195" w:type="dxa"/>
          </w:tcPr>
          <w:p>
            <w:pPr>
              <w:pStyle w:val="TableParagraph"/>
              <w:spacing w:before="0"/>
              <w:jc w:val="left"/>
              <w:rPr>
                <w:sz w:val="12"/>
              </w:rPr>
            </w:pPr>
          </w:p>
        </w:tc>
      </w:tr>
      <w:tr>
        <w:trPr>
          <w:trHeight w:val="200" w:hRule="atLeast"/>
        </w:trPr>
        <w:tc>
          <w:tcPr>
            <w:tcW w:w="3089" w:type="dxa"/>
            <w:vMerge w:val="restart"/>
          </w:tcPr>
          <w:p>
            <w:pPr>
              <w:pStyle w:val="TableParagraph"/>
              <w:spacing w:before="8"/>
              <w:ind w:left="57"/>
              <w:jc w:val="left"/>
              <w:rPr>
                <w:sz w:val="14"/>
              </w:rPr>
            </w:pPr>
            <w:r>
              <w:rPr>
                <w:color w:val="231F20"/>
                <w:sz w:val="14"/>
              </w:rPr>
              <w:t>2.2. Термоелектране</w:t>
            </w:r>
          </w:p>
        </w:tc>
        <w:tc>
          <w:tcPr>
            <w:tcW w:w="2255" w:type="dxa"/>
          </w:tcPr>
          <w:p>
            <w:pPr>
              <w:pStyle w:val="TableParagraph"/>
              <w:spacing w:before="0"/>
              <w:jc w:val="left"/>
              <w:rPr>
                <w:sz w:val="12"/>
              </w:rPr>
            </w:pPr>
          </w:p>
        </w:tc>
        <w:tc>
          <w:tcPr>
            <w:tcW w:w="1423" w:type="dxa"/>
          </w:tcPr>
          <w:p>
            <w:pPr>
              <w:pStyle w:val="TableParagraph"/>
              <w:spacing w:before="8"/>
              <w:ind w:right="44"/>
              <w:rPr>
                <w:sz w:val="14"/>
              </w:rPr>
            </w:pPr>
            <w:r>
              <w:rPr>
                <w:color w:val="231F20"/>
                <w:sz w:val="14"/>
              </w:rPr>
              <w:t>171.0</w:t>
            </w:r>
          </w:p>
        </w:tc>
        <w:tc>
          <w:tcPr>
            <w:tcW w:w="1130" w:type="dxa"/>
          </w:tcPr>
          <w:p>
            <w:pPr>
              <w:pStyle w:val="TableParagraph"/>
              <w:spacing w:before="0"/>
              <w:jc w:val="left"/>
              <w:rPr>
                <w:sz w:val="12"/>
              </w:rPr>
            </w:pPr>
          </w:p>
        </w:tc>
        <w:tc>
          <w:tcPr>
            <w:tcW w:w="1380" w:type="dxa"/>
          </w:tcPr>
          <w:p>
            <w:pPr>
              <w:pStyle w:val="TableParagraph"/>
              <w:spacing w:before="8"/>
              <w:ind w:right="43"/>
              <w:rPr>
                <w:sz w:val="14"/>
              </w:rPr>
            </w:pPr>
            <w:r>
              <w:rPr>
                <w:color w:val="231F20"/>
                <w:sz w:val="14"/>
              </w:rPr>
              <w:t>171.0</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7"/>
              <w:jc w:val="left"/>
              <w:rPr>
                <w:sz w:val="14"/>
              </w:rPr>
            </w:pPr>
            <w:r>
              <w:rPr>
                <w:color w:val="231F20"/>
                <w:sz w:val="14"/>
              </w:rPr>
              <w:t>Костолац А</w:t>
            </w:r>
          </w:p>
        </w:tc>
        <w:tc>
          <w:tcPr>
            <w:tcW w:w="1423" w:type="dxa"/>
          </w:tcPr>
          <w:p>
            <w:pPr>
              <w:pStyle w:val="TableParagraph"/>
              <w:spacing w:before="8"/>
              <w:ind w:right="43"/>
              <w:rPr>
                <w:sz w:val="14"/>
              </w:rPr>
            </w:pPr>
            <w:r>
              <w:rPr>
                <w:color w:val="231F20"/>
                <w:sz w:val="14"/>
              </w:rPr>
              <w:t>21.0</w:t>
            </w:r>
          </w:p>
        </w:tc>
        <w:tc>
          <w:tcPr>
            <w:tcW w:w="1130" w:type="dxa"/>
          </w:tcPr>
          <w:p>
            <w:pPr>
              <w:pStyle w:val="TableParagraph"/>
              <w:spacing w:before="0"/>
              <w:jc w:val="left"/>
              <w:rPr>
                <w:sz w:val="12"/>
              </w:rPr>
            </w:pPr>
          </w:p>
        </w:tc>
        <w:tc>
          <w:tcPr>
            <w:tcW w:w="1380" w:type="dxa"/>
          </w:tcPr>
          <w:p>
            <w:pPr>
              <w:pStyle w:val="TableParagraph"/>
              <w:spacing w:before="8"/>
              <w:ind w:right="43"/>
              <w:rPr>
                <w:sz w:val="14"/>
              </w:rPr>
            </w:pPr>
            <w:r>
              <w:rPr>
                <w:color w:val="231F20"/>
                <w:sz w:val="14"/>
              </w:rPr>
              <w:t>21.0</w:t>
            </w:r>
          </w:p>
        </w:tc>
        <w:tc>
          <w:tcPr>
            <w:tcW w:w="1195" w:type="dxa"/>
          </w:tcPr>
          <w:p>
            <w:pPr>
              <w:pStyle w:val="TableParagraph"/>
              <w:spacing w:before="0"/>
              <w:jc w:val="left"/>
              <w:rPr>
                <w:sz w:val="12"/>
              </w:rPr>
            </w:pPr>
          </w:p>
        </w:tc>
      </w:tr>
      <w:tr>
        <w:trPr>
          <w:trHeight w:val="200" w:hRule="atLeast"/>
        </w:trPr>
        <w:tc>
          <w:tcPr>
            <w:tcW w:w="3089" w:type="dxa"/>
            <w:vMerge/>
            <w:tcBorders>
              <w:top w:val="nil"/>
            </w:tcBorders>
          </w:tcPr>
          <w:p>
            <w:pPr>
              <w:rPr>
                <w:sz w:val="2"/>
                <w:szCs w:val="2"/>
              </w:rPr>
            </w:pPr>
          </w:p>
        </w:tc>
        <w:tc>
          <w:tcPr>
            <w:tcW w:w="2255" w:type="dxa"/>
          </w:tcPr>
          <w:p>
            <w:pPr>
              <w:pStyle w:val="TableParagraph"/>
              <w:spacing w:before="8"/>
              <w:ind w:left="57"/>
              <w:jc w:val="left"/>
              <w:rPr>
                <w:sz w:val="14"/>
              </w:rPr>
            </w:pPr>
            <w:r>
              <w:rPr>
                <w:color w:val="231F20"/>
                <w:sz w:val="14"/>
              </w:rPr>
              <w:t>Костолац Б</w:t>
            </w:r>
          </w:p>
        </w:tc>
        <w:tc>
          <w:tcPr>
            <w:tcW w:w="1423" w:type="dxa"/>
          </w:tcPr>
          <w:p>
            <w:pPr>
              <w:pStyle w:val="TableParagraph"/>
              <w:spacing w:before="8"/>
              <w:ind w:right="43"/>
              <w:rPr>
                <w:sz w:val="14"/>
              </w:rPr>
            </w:pPr>
            <w:r>
              <w:rPr>
                <w:color w:val="231F20"/>
                <w:sz w:val="14"/>
              </w:rPr>
              <w:t>150.0</w:t>
            </w:r>
          </w:p>
        </w:tc>
        <w:tc>
          <w:tcPr>
            <w:tcW w:w="1130" w:type="dxa"/>
          </w:tcPr>
          <w:p>
            <w:pPr>
              <w:pStyle w:val="TableParagraph"/>
              <w:spacing w:before="0"/>
              <w:jc w:val="left"/>
              <w:rPr>
                <w:sz w:val="12"/>
              </w:rPr>
            </w:pPr>
          </w:p>
        </w:tc>
        <w:tc>
          <w:tcPr>
            <w:tcW w:w="1380" w:type="dxa"/>
          </w:tcPr>
          <w:p>
            <w:pPr>
              <w:pStyle w:val="TableParagraph"/>
              <w:spacing w:before="8"/>
              <w:ind w:right="43"/>
              <w:rPr>
                <w:sz w:val="14"/>
              </w:rPr>
            </w:pPr>
            <w:r>
              <w:rPr>
                <w:color w:val="231F20"/>
                <w:sz w:val="14"/>
              </w:rPr>
              <w:t>150.0</w:t>
            </w:r>
          </w:p>
        </w:tc>
        <w:tc>
          <w:tcPr>
            <w:tcW w:w="1195" w:type="dxa"/>
          </w:tcPr>
          <w:p>
            <w:pPr>
              <w:pStyle w:val="TableParagraph"/>
              <w:spacing w:before="0"/>
              <w:jc w:val="left"/>
              <w:rPr>
                <w:sz w:val="12"/>
              </w:rPr>
            </w:pPr>
          </w:p>
        </w:tc>
      </w:tr>
      <w:tr>
        <w:trPr>
          <w:trHeight w:val="200" w:hRule="atLeast"/>
        </w:trPr>
        <w:tc>
          <w:tcPr>
            <w:tcW w:w="5344" w:type="dxa"/>
            <w:gridSpan w:val="2"/>
          </w:tcPr>
          <w:p>
            <w:pPr>
              <w:pStyle w:val="TableParagraph"/>
              <w:spacing w:before="8"/>
              <w:ind w:left="57"/>
              <w:jc w:val="left"/>
              <w:rPr>
                <w:sz w:val="14"/>
              </w:rPr>
            </w:pPr>
            <w:r>
              <w:rPr>
                <w:color w:val="231F20"/>
                <w:sz w:val="14"/>
              </w:rPr>
              <w:t>3. РЕКУЛТИВИСАНЕ ПОВРШИНЕ</w:t>
            </w:r>
          </w:p>
        </w:tc>
        <w:tc>
          <w:tcPr>
            <w:tcW w:w="1423" w:type="dxa"/>
          </w:tcPr>
          <w:p>
            <w:pPr>
              <w:pStyle w:val="TableParagraph"/>
              <w:spacing w:before="8"/>
              <w:ind w:right="43"/>
              <w:rPr>
                <w:sz w:val="14"/>
              </w:rPr>
            </w:pPr>
            <w:r>
              <w:rPr>
                <w:color w:val="231F20"/>
                <w:sz w:val="14"/>
              </w:rPr>
              <w:t>623.4</w:t>
            </w:r>
          </w:p>
        </w:tc>
        <w:tc>
          <w:tcPr>
            <w:tcW w:w="1130" w:type="dxa"/>
          </w:tcPr>
          <w:p>
            <w:pPr>
              <w:pStyle w:val="TableParagraph"/>
              <w:spacing w:before="8"/>
              <w:ind w:right="43"/>
              <w:rPr>
                <w:sz w:val="14"/>
              </w:rPr>
            </w:pPr>
            <w:r>
              <w:rPr>
                <w:color w:val="231F20"/>
                <w:sz w:val="14"/>
              </w:rPr>
              <w:t>1,1</w:t>
            </w:r>
          </w:p>
        </w:tc>
        <w:tc>
          <w:tcPr>
            <w:tcW w:w="1380" w:type="dxa"/>
          </w:tcPr>
          <w:p>
            <w:pPr>
              <w:pStyle w:val="TableParagraph"/>
              <w:spacing w:before="8"/>
              <w:ind w:right="43"/>
              <w:rPr>
                <w:sz w:val="14"/>
              </w:rPr>
            </w:pPr>
            <w:r>
              <w:rPr>
                <w:color w:val="231F20"/>
                <w:sz w:val="14"/>
              </w:rPr>
              <w:t>2349.5</w:t>
            </w:r>
          </w:p>
        </w:tc>
        <w:tc>
          <w:tcPr>
            <w:tcW w:w="1195" w:type="dxa"/>
          </w:tcPr>
          <w:p>
            <w:pPr>
              <w:pStyle w:val="TableParagraph"/>
              <w:spacing w:before="8"/>
              <w:ind w:right="43"/>
              <w:rPr>
                <w:sz w:val="14"/>
              </w:rPr>
            </w:pPr>
            <w:r>
              <w:rPr>
                <w:color w:val="231F20"/>
                <w:sz w:val="14"/>
              </w:rPr>
              <w:t>4.3</w:t>
            </w:r>
          </w:p>
        </w:tc>
      </w:tr>
    </w:tbl>
    <w:p>
      <w:pPr>
        <w:pStyle w:val="BodyText"/>
        <w:ind w:left="0"/>
        <w:jc w:val="left"/>
        <w:rPr>
          <w:sz w:val="20"/>
        </w:rPr>
      </w:pPr>
    </w:p>
    <w:p>
      <w:pPr>
        <w:pStyle w:val="BodyText"/>
        <w:ind w:left="0"/>
        <w:jc w:val="left"/>
        <w:rPr>
          <w:sz w:val="20"/>
        </w:rPr>
      </w:pPr>
    </w:p>
    <w:p>
      <w:pPr>
        <w:pStyle w:val="BodyText"/>
        <w:spacing w:before="3"/>
        <w:ind w:left="0"/>
        <w:jc w:val="left"/>
        <w:rPr>
          <w:sz w:val="25"/>
        </w:rPr>
      </w:pPr>
    </w:p>
    <w:p>
      <w:pPr>
        <w:spacing w:after="0"/>
        <w:jc w:val="left"/>
        <w:rPr>
          <w:sz w:val="25"/>
        </w:rPr>
        <w:sectPr>
          <w:pgSz w:w="12480" w:h="15690"/>
          <w:pgMar w:top="240" w:bottom="280" w:left="680" w:right="720"/>
        </w:sectPr>
      </w:pPr>
    </w:p>
    <w:p>
      <w:pPr>
        <w:pStyle w:val="Heading1"/>
        <w:numPr>
          <w:ilvl w:val="1"/>
          <w:numId w:val="37"/>
        </w:numPr>
        <w:tabs>
          <w:tab w:pos="1234" w:val="left" w:leader="none"/>
        </w:tabs>
        <w:spacing w:line="232" w:lineRule="auto" w:before="98" w:after="0"/>
        <w:ind w:left="2012" w:right="598" w:hanging="959"/>
        <w:jc w:val="left"/>
      </w:pPr>
      <w:r>
        <w:rPr>
          <w:color w:val="231F20"/>
        </w:rPr>
        <w:t>Визија просторног развоја планског</w:t>
      </w:r>
      <w:r>
        <w:rPr>
          <w:color w:val="231F20"/>
          <w:spacing w:val="-32"/>
        </w:rPr>
        <w:t> </w:t>
      </w:r>
      <w:r>
        <w:rPr>
          <w:color w:val="231F20"/>
        </w:rPr>
        <w:t>подручја у постпланском</w:t>
      </w:r>
      <w:r>
        <w:rPr>
          <w:color w:val="231F20"/>
          <w:spacing w:val="-3"/>
        </w:rPr>
        <w:t> </w:t>
      </w:r>
      <w:r>
        <w:rPr>
          <w:color w:val="231F20"/>
        </w:rPr>
        <w:t>периоду</w:t>
      </w:r>
    </w:p>
    <w:p>
      <w:pPr>
        <w:pStyle w:val="BodyText"/>
        <w:spacing w:before="6"/>
        <w:ind w:left="0"/>
        <w:jc w:val="left"/>
        <w:rPr>
          <w:b/>
          <w:sz w:val="17"/>
        </w:rPr>
      </w:pPr>
    </w:p>
    <w:p>
      <w:pPr>
        <w:pStyle w:val="BodyText"/>
        <w:spacing w:line="232" w:lineRule="auto"/>
        <w:ind w:left="452" w:firstLine="397"/>
      </w:pPr>
      <w:r>
        <w:rPr>
          <w:color w:val="231F20"/>
        </w:rPr>
        <w:t>Планска предвиђања за </w:t>
      </w:r>
      <w:r>
        <w:rPr>
          <w:color w:val="231F20"/>
          <w:spacing w:val="-3"/>
        </w:rPr>
        <w:t>тако </w:t>
      </w:r>
      <w:r>
        <w:rPr>
          <w:color w:val="231F20"/>
        </w:rPr>
        <w:t>дуг временски период су у ве- </w:t>
      </w:r>
      <w:r>
        <w:rPr>
          <w:color w:val="231F20"/>
          <w:spacing w:val="-3"/>
        </w:rPr>
        <w:t>ликој </w:t>
      </w:r>
      <w:r>
        <w:rPr>
          <w:color w:val="231F20"/>
        </w:rPr>
        <w:t>мери непоуздана, </w:t>
      </w:r>
      <w:r>
        <w:rPr>
          <w:color w:val="231F20"/>
          <w:spacing w:val="-4"/>
        </w:rPr>
        <w:t>како </w:t>
      </w:r>
      <w:r>
        <w:rPr>
          <w:color w:val="231F20"/>
        </w:rPr>
        <w:t>због бројних непознаница </w:t>
      </w:r>
      <w:r>
        <w:rPr>
          <w:color w:val="231F20"/>
          <w:spacing w:val="-3"/>
        </w:rPr>
        <w:t>тако </w:t>
      </w:r>
      <w:r>
        <w:rPr>
          <w:color w:val="231F20"/>
        </w:rPr>
        <w:t>и због ограничености </w:t>
      </w:r>
      <w:r>
        <w:rPr>
          <w:color w:val="231F20"/>
          <w:spacing w:val="-3"/>
        </w:rPr>
        <w:t>студијске </w:t>
      </w:r>
      <w:r>
        <w:rPr>
          <w:color w:val="231F20"/>
        </w:rPr>
        <w:t>и друге расположиве документације. Ну- жно је ипак, </w:t>
      </w:r>
      <w:r>
        <w:rPr>
          <w:color w:val="231F20"/>
          <w:spacing w:val="-3"/>
        </w:rPr>
        <w:t>сагледати </w:t>
      </w:r>
      <w:r>
        <w:rPr>
          <w:color w:val="231F20"/>
        </w:rPr>
        <w:t>макар само неке аспекте дугорочног разво- ја, </w:t>
      </w:r>
      <w:r>
        <w:rPr>
          <w:color w:val="231F20"/>
          <w:spacing w:val="-4"/>
        </w:rPr>
        <w:t>како </w:t>
      </w:r>
      <w:r>
        <w:rPr>
          <w:color w:val="231F20"/>
        </w:rPr>
        <w:t>би садашњи развој могао да </w:t>
      </w:r>
      <w:r>
        <w:rPr>
          <w:color w:val="231F20"/>
          <w:spacing w:val="-5"/>
        </w:rPr>
        <w:t>буде </w:t>
      </w:r>
      <w:r>
        <w:rPr>
          <w:color w:val="231F20"/>
        </w:rPr>
        <w:t>усмераван ка будућности са потребном мером рационалности.</w:t>
      </w:r>
    </w:p>
    <w:p>
      <w:pPr>
        <w:pStyle w:val="BodyText"/>
        <w:spacing w:line="232" w:lineRule="auto" w:before="2"/>
        <w:ind w:left="453" w:firstLine="396"/>
      </w:pPr>
      <w:r>
        <w:rPr>
          <w:color w:val="231F20"/>
        </w:rPr>
        <w:t>Постојећа привредна структура, чију окосницу чини рудар- ство и енергетика, мораће благовремено да се мења у корист де- латности изван овог сектора. Постојеће површине заузете енер- гетско-индустријским комплексом уз неопходну пренамену и преуређење могу да послуже за будуће производне погоне друга- чије намене. Футуристички сценарији развоја указују на радикал- но померање тежишта активности од примарног и секундарног ка терцијарном и квартарном сектору.</w:t>
      </w:r>
    </w:p>
    <w:p>
      <w:pPr>
        <w:pStyle w:val="BodyText"/>
        <w:spacing w:line="232" w:lineRule="auto" w:before="2"/>
        <w:ind w:left="452" w:firstLine="397"/>
      </w:pPr>
      <w:r>
        <w:rPr>
          <w:color w:val="231F20"/>
        </w:rPr>
        <w:t>Убрзано исцрпљивање неких необновљивих ресурса као и континуирана деградација животне средине, имаће за последицу: настојања да се обезбеди супститут или омогући репроцесирање дефицитарних сировина; примену технологија </w:t>
      </w:r>
      <w:r>
        <w:rPr>
          <w:color w:val="231F20"/>
          <w:spacing w:val="-3"/>
        </w:rPr>
        <w:t>које </w:t>
      </w:r>
      <w:r>
        <w:rPr>
          <w:color w:val="231F20"/>
        </w:rPr>
        <w:t>ће смањити деградацију природне средине, ублажити социјалне и друге </w:t>
      </w:r>
      <w:r>
        <w:rPr>
          <w:color w:val="231F20"/>
          <w:spacing w:val="-3"/>
        </w:rPr>
        <w:t>кон- </w:t>
      </w:r>
      <w:r>
        <w:rPr>
          <w:color w:val="231F20"/>
        </w:rPr>
        <w:t>фликте и убрзати ревитализацију простора у зони експлоатације и прераде</w:t>
      </w:r>
      <w:r>
        <w:rPr>
          <w:color w:val="231F20"/>
          <w:spacing w:val="-7"/>
        </w:rPr>
        <w:t> </w:t>
      </w:r>
      <w:r>
        <w:rPr>
          <w:color w:val="231F20"/>
        </w:rPr>
        <w:t>сировина;</w:t>
      </w:r>
      <w:r>
        <w:rPr>
          <w:color w:val="231F20"/>
          <w:spacing w:val="-7"/>
        </w:rPr>
        <w:t> </w:t>
      </w:r>
      <w:r>
        <w:rPr>
          <w:color w:val="231F20"/>
        </w:rPr>
        <w:t>појаву</w:t>
      </w:r>
      <w:r>
        <w:rPr>
          <w:color w:val="231F20"/>
          <w:spacing w:val="-7"/>
        </w:rPr>
        <w:t> </w:t>
      </w:r>
      <w:r>
        <w:rPr>
          <w:color w:val="231F20"/>
        </w:rPr>
        <w:t>нових</w:t>
      </w:r>
      <w:r>
        <w:rPr>
          <w:color w:val="231F20"/>
          <w:spacing w:val="-7"/>
        </w:rPr>
        <w:t> </w:t>
      </w:r>
      <w:r>
        <w:rPr>
          <w:color w:val="231F20"/>
        </w:rPr>
        <w:t>материјала</w:t>
      </w:r>
      <w:r>
        <w:rPr>
          <w:color w:val="231F20"/>
          <w:spacing w:val="-7"/>
        </w:rPr>
        <w:t> </w:t>
      </w:r>
      <w:r>
        <w:rPr>
          <w:color w:val="231F20"/>
        </w:rPr>
        <w:t>и</w:t>
      </w:r>
      <w:r>
        <w:rPr>
          <w:color w:val="231F20"/>
          <w:spacing w:val="-7"/>
        </w:rPr>
        <w:t> </w:t>
      </w:r>
      <w:r>
        <w:rPr>
          <w:color w:val="231F20"/>
        </w:rPr>
        <w:t>финалних</w:t>
      </w:r>
      <w:r>
        <w:rPr>
          <w:color w:val="231F20"/>
          <w:spacing w:val="-7"/>
        </w:rPr>
        <w:t> </w:t>
      </w:r>
      <w:r>
        <w:rPr>
          <w:color w:val="231F20"/>
        </w:rPr>
        <w:t>производа са</w:t>
      </w:r>
      <w:r>
        <w:rPr>
          <w:color w:val="231F20"/>
          <w:spacing w:val="-9"/>
        </w:rPr>
        <w:t> </w:t>
      </w:r>
      <w:r>
        <w:rPr>
          <w:color w:val="231F20"/>
        </w:rPr>
        <w:t>новим</w:t>
      </w:r>
      <w:r>
        <w:rPr>
          <w:color w:val="231F20"/>
          <w:spacing w:val="-9"/>
        </w:rPr>
        <w:t> </w:t>
      </w:r>
      <w:r>
        <w:rPr>
          <w:color w:val="231F20"/>
        </w:rPr>
        <w:t>својствима</w:t>
      </w:r>
      <w:r>
        <w:rPr>
          <w:color w:val="231F20"/>
          <w:spacing w:val="-9"/>
        </w:rPr>
        <w:t> </w:t>
      </w:r>
      <w:r>
        <w:rPr>
          <w:color w:val="231F20"/>
        </w:rPr>
        <w:t>и</w:t>
      </w:r>
      <w:r>
        <w:rPr>
          <w:color w:val="231F20"/>
          <w:spacing w:val="-9"/>
        </w:rPr>
        <w:t> </w:t>
      </w:r>
      <w:r>
        <w:rPr>
          <w:color w:val="231F20"/>
        </w:rPr>
        <w:t>функцијама</w:t>
      </w:r>
      <w:r>
        <w:rPr>
          <w:color w:val="231F20"/>
          <w:spacing w:val="-9"/>
        </w:rPr>
        <w:t> </w:t>
      </w:r>
      <w:r>
        <w:rPr>
          <w:color w:val="231F20"/>
          <w:spacing w:val="-3"/>
        </w:rPr>
        <w:t>који</w:t>
      </w:r>
      <w:r>
        <w:rPr>
          <w:color w:val="231F20"/>
          <w:spacing w:val="-9"/>
        </w:rPr>
        <w:t> </w:t>
      </w:r>
      <w:r>
        <w:rPr>
          <w:color w:val="231F20"/>
        </w:rPr>
        <w:t>могу</w:t>
      </w:r>
      <w:r>
        <w:rPr>
          <w:color w:val="231F20"/>
          <w:spacing w:val="-9"/>
        </w:rPr>
        <w:t> </w:t>
      </w:r>
      <w:r>
        <w:rPr>
          <w:color w:val="231F20"/>
        </w:rPr>
        <w:t>променити</w:t>
      </w:r>
      <w:r>
        <w:rPr>
          <w:color w:val="231F20"/>
          <w:spacing w:val="-9"/>
        </w:rPr>
        <w:t> </w:t>
      </w:r>
      <w:r>
        <w:rPr>
          <w:color w:val="231F20"/>
        </w:rPr>
        <w:t>конвенци- оналне оквире живота и рада и направити револуцију у грађеви- </w:t>
      </w:r>
      <w:r>
        <w:rPr>
          <w:color w:val="231F20"/>
          <w:spacing w:val="-4"/>
        </w:rPr>
        <w:t>нарству, </w:t>
      </w:r>
      <w:r>
        <w:rPr>
          <w:color w:val="231F20"/>
        </w:rPr>
        <w:t>изградњи насеља и уређењу територије и</w:t>
      </w:r>
      <w:r>
        <w:rPr>
          <w:color w:val="231F20"/>
          <w:spacing w:val="-6"/>
        </w:rPr>
        <w:t> </w:t>
      </w:r>
      <w:r>
        <w:rPr>
          <w:color w:val="231F20"/>
        </w:rPr>
        <w:t>друго.</w:t>
      </w:r>
    </w:p>
    <w:p>
      <w:pPr>
        <w:pStyle w:val="BodyText"/>
        <w:spacing w:line="232" w:lineRule="auto" w:before="3"/>
        <w:ind w:left="452" w:firstLine="396"/>
      </w:pPr>
      <w:r>
        <w:rPr>
          <w:color w:val="231F20"/>
        </w:rPr>
        <w:t>Еколошки</w:t>
      </w:r>
      <w:r>
        <w:rPr>
          <w:color w:val="231F20"/>
          <w:spacing w:val="-9"/>
        </w:rPr>
        <w:t> </w:t>
      </w:r>
      <w:r>
        <w:rPr>
          <w:color w:val="231F20"/>
        </w:rPr>
        <w:t>критеријуми</w:t>
      </w:r>
      <w:r>
        <w:rPr>
          <w:color w:val="231F20"/>
          <w:spacing w:val="-9"/>
        </w:rPr>
        <w:t> </w:t>
      </w:r>
      <w:r>
        <w:rPr>
          <w:color w:val="231F20"/>
        </w:rPr>
        <w:t>и</w:t>
      </w:r>
      <w:r>
        <w:rPr>
          <w:color w:val="231F20"/>
          <w:spacing w:val="-9"/>
        </w:rPr>
        <w:t> </w:t>
      </w:r>
      <w:r>
        <w:rPr>
          <w:color w:val="231F20"/>
        </w:rPr>
        <w:t>критеријуми</w:t>
      </w:r>
      <w:r>
        <w:rPr>
          <w:color w:val="231F20"/>
          <w:spacing w:val="-9"/>
        </w:rPr>
        <w:t> </w:t>
      </w:r>
      <w:r>
        <w:rPr>
          <w:color w:val="231F20"/>
        </w:rPr>
        <w:t>одрживог</w:t>
      </w:r>
      <w:r>
        <w:rPr>
          <w:color w:val="231F20"/>
          <w:spacing w:val="-9"/>
        </w:rPr>
        <w:t> </w:t>
      </w:r>
      <w:r>
        <w:rPr>
          <w:color w:val="231F20"/>
        </w:rPr>
        <w:t>развоја</w:t>
      </w:r>
      <w:r>
        <w:rPr>
          <w:color w:val="231F20"/>
          <w:spacing w:val="-9"/>
        </w:rPr>
        <w:t> </w:t>
      </w:r>
      <w:r>
        <w:rPr>
          <w:color w:val="231F20"/>
        </w:rPr>
        <w:t>биће у потпуности заступљени у планирању укупног развоја, организа- ције и уређења простора и одлучујуће ће утицати на избор циље- ва,</w:t>
      </w:r>
      <w:r>
        <w:rPr>
          <w:color w:val="231F20"/>
          <w:spacing w:val="-7"/>
        </w:rPr>
        <w:t> </w:t>
      </w:r>
      <w:r>
        <w:rPr>
          <w:color w:val="231F20"/>
        </w:rPr>
        <w:t>решења</w:t>
      </w:r>
      <w:r>
        <w:rPr>
          <w:color w:val="231F20"/>
          <w:spacing w:val="-7"/>
        </w:rPr>
        <w:t> </w:t>
      </w:r>
      <w:r>
        <w:rPr>
          <w:color w:val="231F20"/>
        </w:rPr>
        <w:t>и</w:t>
      </w:r>
      <w:r>
        <w:rPr>
          <w:color w:val="231F20"/>
          <w:spacing w:val="-7"/>
        </w:rPr>
        <w:t> </w:t>
      </w:r>
      <w:r>
        <w:rPr>
          <w:color w:val="231F20"/>
        </w:rPr>
        <w:t>приоритета.</w:t>
      </w:r>
      <w:r>
        <w:rPr>
          <w:color w:val="231F20"/>
          <w:spacing w:val="-7"/>
        </w:rPr>
        <w:t> </w:t>
      </w:r>
      <w:r>
        <w:rPr>
          <w:color w:val="231F20"/>
        </w:rPr>
        <w:t>Посебна</w:t>
      </w:r>
      <w:r>
        <w:rPr>
          <w:color w:val="231F20"/>
          <w:spacing w:val="-7"/>
        </w:rPr>
        <w:t> </w:t>
      </w:r>
      <w:r>
        <w:rPr>
          <w:color w:val="231F20"/>
        </w:rPr>
        <w:t>пажња</w:t>
      </w:r>
      <w:r>
        <w:rPr>
          <w:color w:val="231F20"/>
          <w:spacing w:val="-7"/>
        </w:rPr>
        <w:t> </w:t>
      </w:r>
      <w:r>
        <w:rPr>
          <w:color w:val="231F20"/>
        </w:rPr>
        <w:t>биће</w:t>
      </w:r>
      <w:r>
        <w:rPr>
          <w:color w:val="231F20"/>
          <w:spacing w:val="-7"/>
        </w:rPr>
        <w:t> </w:t>
      </w:r>
      <w:r>
        <w:rPr>
          <w:color w:val="231F20"/>
        </w:rPr>
        <w:t>посвећена</w:t>
      </w:r>
      <w:r>
        <w:rPr>
          <w:color w:val="231F20"/>
          <w:spacing w:val="-7"/>
        </w:rPr>
        <w:t> </w:t>
      </w:r>
      <w:r>
        <w:rPr>
          <w:color w:val="231F20"/>
        </w:rPr>
        <w:t>очувању историјског</w:t>
      </w:r>
      <w:r>
        <w:rPr>
          <w:color w:val="231F20"/>
          <w:spacing w:val="-8"/>
        </w:rPr>
        <w:t> </w:t>
      </w:r>
      <w:r>
        <w:rPr>
          <w:color w:val="231F20"/>
        </w:rPr>
        <w:t>и</w:t>
      </w:r>
      <w:r>
        <w:rPr>
          <w:color w:val="231F20"/>
          <w:spacing w:val="-8"/>
        </w:rPr>
        <w:t> </w:t>
      </w:r>
      <w:r>
        <w:rPr>
          <w:color w:val="231F20"/>
        </w:rPr>
        <w:t>културног</w:t>
      </w:r>
      <w:r>
        <w:rPr>
          <w:color w:val="231F20"/>
          <w:spacing w:val="-8"/>
        </w:rPr>
        <w:t> </w:t>
      </w:r>
      <w:r>
        <w:rPr>
          <w:color w:val="231F20"/>
        </w:rPr>
        <w:t>наслеђа</w:t>
      </w:r>
      <w:r>
        <w:rPr>
          <w:color w:val="231F20"/>
          <w:spacing w:val="-8"/>
        </w:rPr>
        <w:t> </w:t>
      </w:r>
      <w:r>
        <w:rPr>
          <w:color w:val="231F20"/>
        </w:rPr>
        <w:t>и</w:t>
      </w:r>
      <w:r>
        <w:rPr>
          <w:color w:val="231F20"/>
          <w:spacing w:val="-8"/>
        </w:rPr>
        <w:t> </w:t>
      </w:r>
      <w:r>
        <w:rPr>
          <w:color w:val="231F20"/>
        </w:rPr>
        <w:t>заштити</w:t>
      </w:r>
      <w:r>
        <w:rPr>
          <w:color w:val="231F20"/>
          <w:spacing w:val="-8"/>
        </w:rPr>
        <w:t> </w:t>
      </w:r>
      <w:r>
        <w:rPr>
          <w:color w:val="231F20"/>
        </w:rPr>
        <w:t>природе,</w:t>
      </w:r>
      <w:r>
        <w:rPr>
          <w:color w:val="231F20"/>
          <w:spacing w:val="-8"/>
        </w:rPr>
        <w:t> </w:t>
      </w:r>
      <w:r>
        <w:rPr>
          <w:color w:val="231F20"/>
        </w:rPr>
        <w:t>посебних</w:t>
      </w:r>
      <w:r>
        <w:rPr>
          <w:color w:val="231F20"/>
          <w:spacing w:val="-8"/>
        </w:rPr>
        <w:t> </w:t>
      </w:r>
      <w:r>
        <w:rPr>
          <w:color w:val="231F20"/>
        </w:rPr>
        <w:t>ам- бијенталних целина и пејзажних вредности простора, затим сана- цији постојећих и </w:t>
      </w:r>
      <w:r>
        <w:rPr>
          <w:color w:val="231F20"/>
          <w:spacing w:val="-3"/>
        </w:rPr>
        <w:t>обликовању </w:t>
      </w:r>
      <w:r>
        <w:rPr>
          <w:color w:val="231F20"/>
        </w:rPr>
        <w:t>(архитектури) нових градских про- стора, уређењу туристичких и рекреативних површина и</w:t>
      </w:r>
      <w:r>
        <w:rPr>
          <w:color w:val="231F20"/>
          <w:spacing w:val="-23"/>
        </w:rPr>
        <w:t> </w:t>
      </w:r>
      <w:r>
        <w:rPr>
          <w:color w:val="231F20"/>
        </w:rPr>
        <w:t>друго.</w:t>
      </w:r>
    </w:p>
    <w:p>
      <w:pPr>
        <w:pStyle w:val="BodyText"/>
        <w:spacing w:line="232" w:lineRule="auto" w:before="3"/>
        <w:ind w:left="453" w:firstLine="396"/>
      </w:pPr>
      <w:r>
        <w:rPr>
          <w:color w:val="231F20"/>
        </w:rPr>
        <w:t>Развој информационих технологија и телекомуникација до- принеће убрзаном трансферу информација, уклањајући тако про- блем просторне и временске дистанце. Отворене могућности „за све”, помоћи ће укидању привилегованости, односно, превазила- жењу маргинализације појединих подручја, као и појединих соци- јалних група.</w:t>
      </w:r>
    </w:p>
    <w:p>
      <w:pPr>
        <w:pStyle w:val="BodyText"/>
        <w:spacing w:line="232" w:lineRule="auto" w:before="1"/>
        <w:ind w:left="453" w:firstLine="396"/>
      </w:pPr>
      <w:r>
        <w:rPr>
          <w:color w:val="231F20"/>
        </w:rPr>
        <w:t>На основу резултата одговарајућих истражних радова преду- зетих последњих 10 – 15 </w:t>
      </w:r>
      <w:r>
        <w:rPr>
          <w:color w:val="231F20"/>
          <w:spacing w:val="-3"/>
        </w:rPr>
        <w:t>година </w:t>
      </w:r>
      <w:r>
        <w:rPr>
          <w:color w:val="231F20"/>
        </w:rPr>
        <w:t>и уређених </w:t>
      </w:r>
      <w:r>
        <w:rPr>
          <w:color w:val="231F20"/>
          <w:spacing w:val="-3"/>
        </w:rPr>
        <w:t>студија </w:t>
      </w:r>
      <w:r>
        <w:rPr>
          <w:color w:val="231F20"/>
        </w:rPr>
        <w:t>оправданости,</w:t>
      </w:r>
    </w:p>
    <w:p>
      <w:pPr>
        <w:pStyle w:val="BodyText"/>
        <w:spacing w:line="235" w:lineRule="auto" w:before="96"/>
        <w:ind w:left="242" w:right="127"/>
      </w:pPr>
      <w:r>
        <w:rPr/>
        <w:br w:type="column"/>
      </w:r>
      <w:r>
        <w:rPr>
          <w:color w:val="231F20"/>
        </w:rPr>
        <w:t>одређена је оријентациона граница потенцијалног експлоатаци- оног подручја енергетских ресурса. У </w:t>
      </w:r>
      <w:r>
        <w:rPr>
          <w:color w:val="231F20"/>
          <w:spacing w:val="-3"/>
        </w:rPr>
        <w:t>том </w:t>
      </w:r>
      <w:r>
        <w:rPr>
          <w:color w:val="231F20"/>
        </w:rPr>
        <w:t>подручју и његовом окружењу могу се предвидети могући оквирни сценарији разво- ја и планског уређења простора после 2022. године. Просторним планом резервисан је простор за потенцијалне </w:t>
      </w:r>
      <w:r>
        <w:rPr>
          <w:color w:val="231F20"/>
          <w:spacing w:val="-3"/>
        </w:rPr>
        <w:t>рударске  </w:t>
      </w:r>
      <w:r>
        <w:rPr>
          <w:color w:val="231F20"/>
        </w:rPr>
        <w:t>радове    у појединим деловима Планског подручја. </w:t>
      </w:r>
      <w:r>
        <w:rPr>
          <w:color w:val="231F20"/>
          <w:spacing w:val="-7"/>
        </w:rPr>
        <w:t>То </w:t>
      </w:r>
      <w:r>
        <w:rPr>
          <w:color w:val="231F20"/>
        </w:rPr>
        <w:t>је најпре простор према Дунаву за развој површинског </w:t>
      </w:r>
      <w:r>
        <w:rPr>
          <w:color w:val="231F20"/>
          <w:spacing w:val="-3"/>
        </w:rPr>
        <w:t>копа </w:t>
      </w:r>
      <w:r>
        <w:rPr>
          <w:color w:val="231F20"/>
        </w:rPr>
        <w:t>„Дрмно”, затим Запад- но поље у зони насеља Дубравица и окружење површинског</w:t>
      </w:r>
      <w:r>
        <w:rPr>
          <w:color w:val="231F20"/>
          <w:spacing w:val="37"/>
        </w:rPr>
        <w:t> </w:t>
      </w:r>
      <w:r>
        <w:rPr>
          <w:color w:val="231F20"/>
          <w:spacing w:val="-4"/>
        </w:rPr>
        <w:t>копа</w:t>
      </w:r>
    </w:p>
    <w:p>
      <w:pPr>
        <w:pStyle w:val="BodyText"/>
        <w:spacing w:line="235" w:lineRule="auto"/>
        <w:ind w:left="243" w:right="127"/>
      </w:pPr>
      <w:r>
        <w:rPr/>
        <w:pict>
          <v:line style="position:absolute;mso-position-horizontal-relative:page;mso-position-vertical-relative:paragraph;z-index:3088" from="318.897614pt,-78.905991pt" to="318.897614pt,349.598009pt" stroked="true" strokeweight=".6pt" strokecolor="#231f20">
            <v:stroke dashstyle="solid"/>
            <w10:wrap type="none"/>
          </v:line>
        </w:pict>
      </w:r>
      <w:r>
        <w:rPr>
          <w:color w:val="231F20"/>
          <w:spacing w:val="-3"/>
        </w:rPr>
        <w:t>„Ћириковац”. </w:t>
      </w:r>
      <w:r>
        <w:rPr>
          <w:color w:val="231F20"/>
        </w:rPr>
        <w:t>Експлоатацијом ових лежишта највећи део експло- атационог подручја био би искоришћен, што би условило изме- штање </w:t>
      </w:r>
      <w:r>
        <w:rPr>
          <w:color w:val="231F20"/>
          <w:spacing w:val="-4"/>
        </w:rPr>
        <w:t>неколико </w:t>
      </w:r>
      <w:r>
        <w:rPr>
          <w:color w:val="231F20"/>
        </w:rPr>
        <w:t>(делова) насеља, као и одређених, привредних, инфраструктурних и других објеката. </w:t>
      </w:r>
      <w:r>
        <w:rPr>
          <w:color w:val="231F20"/>
          <w:spacing w:val="-3"/>
        </w:rPr>
        <w:t>Будући </w:t>
      </w:r>
      <w:r>
        <w:rPr>
          <w:color w:val="231F20"/>
        </w:rPr>
        <w:t>да на депонијама ја- ловине није упутно градити насеља, привредне и друге грађевин- ске објекте, ово подручје биће у будућности прекривено шумама, пољопривредним културама и језерима са површинама за </w:t>
      </w:r>
      <w:r>
        <w:rPr>
          <w:color w:val="231F20"/>
          <w:spacing w:val="-3"/>
        </w:rPr>
        <w:t>спорт, </w:t>
      </w:r>
      <w:r>
        <w:rPr>
          <w:color w:val="231F20"/>
        </w:rPr>
        <w:t>одмор и рекреацију (на крају експлоатације лигнитских лежишта остаће трајне депресије </w:t>
      </w:r>
      <w:r>
        <w:rPr>
          <w:color w:val="231F20"/>
          <w:spacing w:val="-3"/>
        </w:rPr>
        <w:t>од </w:t>
      </w:r>
      <w:r>
        <w:rPr>
          <w:color w:val="231F20"/>
        </w:rPr>
        <w:t>површинских </w:t>
      </w:r>
      <w:r>
        <w:rPr>
          <w:color w:val="231F20"/>
          <w:spacing w:val="-3"/>
        </w:rPr>
        <w:t>копова које </w:t>
      </w:r>
      <w:r>
        <w:rPr>
          <w:color w:val="231F20"/>
        </w:rPr>
        <w:t>ће бити испу- њене водом).</w:t>
      </w:r>
    </w:p>
    <w:p>
      <w:pPr>
        <w:pStyle w:val="BodyText"/>
        <w:spacing w:line="235" w:lineRule="auto"/>
        <w:ind w:left="243" w:right="127" w:firstLine="397"/>
      </w:pPr>
      <w:r>
        <w:rPr>
          <w:color w:val="231F20"/>
        </w:rPr>
        <w:t>У сценарију за постплански период остављена је могућност да се накнадно процени оправданост изградње стратешких са- обраћајних објеката, као што су: аутопут Пожаревац – Неготин, мост на Дунаву и магистрални коридор Рам – Брадарац – Мало Црниће.</w:t>
      </w:r>
    </w:p>
    <w:p>
      <w:pPr>
        <w:pStyle w:val="BodyText"/>
        <w:spacing w:line="235" w:lineRule="auto"/>
        <w:ind w:left="244" w:right="126" w:firstLine="396"/>
      </w:pPr>
      <w:r>
        <w:rPr>
          <w:color w:val="231F20"/>
        </w:rPr>
        <w:t>Треба очекивати промену у структури намене простора Планског подручја која ће резултирати повећању површина под пољопривредним културама и шумама, са спортско-рекреативним и туристичким функцијама уз наглашену бригу о културном на- слеђу, природним добрима, амбијенталним целинама и простори- ма намењеним научним, уметничким и културним активностима.</w:t>
      </w:r>
    </w:p>
    <w:p>
      <w:pPr>
        <w:pStyle w:val="Heading1"/>
        <w:numPr>
          <w:ilvl w:val="0"/>
          <w:numId w:val="38"/>
        </w:numPr>
        <w:tabs>
          <w:tab w:pos="1163" w:val="left" w:leader="none"/>
        </w:tabs>
        <w:spacing w:line="240" w:lineRule="auto" w:before="162" w:after="0"/>
        <w:ind w:left="1162" w:right="0" w:hanging="267"/>
        <w:jc w:val="left"/>
      </w:pPr>
      <w:r>
        <w:rPr>
          <w:color w:val="231F20"/>
        </w:rPr>
        <w:t>Примена и остваривање Просторног</w:t>
      </w:r>
      <w:r>
        <w:rPr>
          <w:color w:val="231F20"/>
          <w:spacing w:val="-6"/>
        </w:rPr>
        <w:t> </w:t>
      </w:r>
      <w:r>
        <w:rPr>
          <w:color w:val="231F20"/>
        </w:rPr>
        <w:t>плана</w:t>
      </w:r>
    </w:p>
    <w:p>
      <w:pPr>
        <w:pStyle w:val="ListParagraph"/>
        <w:numPr>
          <w:ilvl w:val="1"/>
          <w:numId w:val="38"/>
        </w:numPr>
        <w:tabs>
          <w:tab w:pos="2276" w:val="left" w:leader="none"/>
        </w:tabs>
        <w:spacing w:line="240" w:lineRule="auto" w:before="166" w:after="0"/>
        <w:ind w:left="2275" w:right="0" w:hanging="180"/>
        <w:jc w:val="left"/>
        <w:rPr>
          <w:b/>
          <w:sz w:val="18"/>
        </w:rPr>
      </w:pPr>
      <w:r>
        <w:rPr>
          <w:b/>
          <w:color w:val="231F20"/>
          <w:sz w:val="18"/>
        </w:rPr>
        <w:t>Опште</w:t>
      </w:r>
      <w:r>
        <w:rPr>
          <w:b/>
          <w:color w:val="231F20"/>
          <w:spacing w:val="-2"/>
          <w:sz w:val="18"/>
        </w:rPr>
        <w:t> </w:t>
      </w:r>
      <w:r>
        <w:rPr>
          <w:b/>
          <w:color w:val="231F20"/>
          <w:sz w:val="18"/>
        </w:rPr>
        <w:t>одредбе</w:t>
      </w:r>
    </w:p>
    <w:p>
      <w:pPr>
        <w:pStyle w:val="BodyText"/>
        <w:spacing w:before="5"/>
        <w:ind w:left="0"/>
        <w:jc w:val="left"/>
        <w:rPr>
          <w:b/>
          <w:sz w:val="17"/>
        </w:rPr>
      </w:pPr>
    </w:p>
    <w:p>
      <w:pPr>
        <w:pStyle w:val="BodyText"/>
        <w:spacing w:line="235" w:lineRule="auto" w:before="1"/>
        <w:ind w:left="244" w:right="126" w:firstLine="397"/>
      </w:pPr>
      <w:r>
        <w:rPr>
          <w:color w:val="231F20"/>
        </w:rPr>
        <w:t>Просторни план – као просторни план подручја посебне на- мене – оствариваће се припремом и доношењем одговарајућих средњорочних</w:t>
      </w:r>
      <w:r>
        <w:rPr>
          <w:color w:val="231F20"/>
          <w:spacing w:val="-6"/>
        </w:rPr>
        <w:t> </w:t>
      </w:r>
      <w:r>
        <w:rPr>
          <w:color w:val="231F20"/>
        </w:rPr>
        <w:t>планова</w:t>
      </w:r>
      <w:r>
        <w:rPr>
          <w:color w:val="231F20"/>
          <w:spacing w:val="-6"/>
        </w:rPr>
        <w:t> </w:t>
      </w:r>
      <w:r>
        <w:rPr>
          <w:color w:val="231F20"/>
        </w:rPr>
        <w:t>и</w:t>
      </w:r>
      <w:r>
        <w:rPr>
          <w:color w:val="231F20"/>
          <w:spacing w:val="-6"/>
        </w:rPr>
        <w:t> </w:t>
      </w:r>
      <w:r>
        <w:rPr>
          <w:color w:val="231F20"/>
        </w:rPr>
        <w:t>програма</w:t>
      </w:r>
      <w:r>
        <w:rPr>
          <w:color w:val="231F20"/>
          <w:spacing w:val="-6"/>
        </w:rPr>
        <w:t> </w:t>
      </w:r>
      <w:r>
        <w:rPr>
          <w:color w:val="231F20"/>
        </w:rPr>
        <w:t>за</w:t>
      </w:r>
      <w:r>
        <w:rPr>
          <w:color w:val="231F20"/>
          <w:spacing w:val="-6"/>
        </w:rPr>
        <w:t> </w:t>
      </w:r>
      <w:r>
        <w:rPr>
          <w:color w:val="231F20"/>
        </w:rPr>
        <w:t>експлоатацију</w:t>
      </w:r>
      <w:r>
        <w:rPr>
          <w:color w:val="231F20"/>
          <w:spacing w:val="-6"/>
        </w:rPr>
        <w:t> </w:t>
      </w:r>
      <w:r>
        <w:rPr>
          <w:color w:val="231F20"/>
        </w:rPr>
        <w:t>појединих</w:t>
      </w:r>
      <w:r>
        <w:rPr>
          <w:color w:val="231F20"/>
          <w:spacing w:val="-6"/>
        </w:rPr>
        <w:t> </w:t>
      </w:r>
      <w:r>
        <w:rPr>
          <w:color w:val="231F20"/>
        </w:rPr>
        <w:t>де- лова лигнитског лежишта, као и одговарајућих просторних</w:t>
      </w:r>
      <w:r>
        <w:rPr>
          <w:color w:val="231F20"/>
          <w:spacing w:val="-33"/>
        </w:rPr>
        <w:t> </w:t>
      </w:r>
      <w:r>
        <w:rPr>
          <w:color w:val="231F20"/>
        </w:rPr>
        <w:t>плано- ва јединица локалних самоуправа и урбанистичких планова за на- сеља или делове насеља, инфраструктурне коридоре и </w:t>
      </w:r>
      <w:r>
        <w:rPr>
          <w:color w:val="231F20"/>
          <w:spacing w:val="-3"/>
        </w:rPr>
        <w:t>комплексе </w:t>
      </w:r>
      <w:r>
        <w:rPr>
          <w:color w:val="231F20"/>
        </w:rPr>
        <w:t>и објекте посебне</w:t>
      </w:r>
      <w:r>
        <w:rPr>
          <w:color w:val="231F20"/>
          <w:spacing w:val="-3"/>
        </w:rPr>
        <w:t> </w:t>
      </w:r>
      <w:r>
        <w:rPr>
          <w:color w:val="231F20"/>
        </w:rPr>
        <w:t>намене.</w:t>
      </w:r>
    </w:p>
    <w:p>
      <w:pPr>
        <w:pStyle w:val="BodyText"/>
        <w:spacing w:line="235" w:lineRule="auto"/>
        <w:ind w:left="244" w:right="126" w:firstLine="396"/>
      </w:pPr>
      <w:r>
        <w:rPr>
          <w:color w:val="231F20"/>
        </w:rPr>
        <w:t>Директна</w:t>
      </w:r>
      <w:r>
        <w:rPr>
          <w:color w:val="231F20"/>
          <w:spacing w:val="-8"/>
        </w:rPr>
        <w:t> </w:t>
      </w:r>
      <w:r>
        <w:rPr>
          <w:color w:val="231F20"/>
        </w:rPr>
        <w:t>примена</w:t>
      </w:r>
      <w:r>
        <w:rPr>
          <w:color w:val="231F20"/>
          <w:spacing w:val="-8"/>
        </w:rPr>
        <w:t> </w:t>
      </w:r>
      <w:r>
        <w:rPr>
          <w:color w:val="231F20"/>
        </w:rPr>
        <w:t>планских</w:t>
      </w:r>
      <w:r>
        <w:rPr>
          <w:color w:val="231F20"/>
          <w:spacing w:val="-8"/>
        </w:rPr>
        <w:t> </w:t>
      </w:r>
      <w:r>
        <w:rPr>
          <w:color w:val="231F20"/>
        </w:rPr>
        <w:t>решења</w:t>
      </w:r>
      <w:r>
        <w:rPr>
          <w:color w:val="231F20"/>
          <w:spacing w:val="-8"/>
        </w:rPr>
        <w:t> </w:t>
      </w:r>
      <w:r>
        <w:rPr>
          <w:color w:val="231F20"/>
        </w:rPr>
        <w:t>и</w:t>
      </w:r>
      <w:r>
        <w:rPr>
          <w:color w:val="231F20"/>
          <w:spacing w:val="-8"/>
        </w:rPr>
        <w:t> </w:t>
      </w:r>
      <w:r>
        <w:rPr>
          <w:color w:val="231F20"/>
        </w:rPr>
        <w:t>пропозиција</w:t>
      </w:r>
      <w:r>
        <w:rPr>
          <w:color w:val="231F20"/>
          <w:spacing w:val="-8"/>
        </w:rPr>
        <w:t> </w:t>
      </w:r>
      <w:r>
        <w:rPr>
          <w:color w:val="231F20"/>
        </w:rPr>
        <w:t>Простор- ног плана спроводи се издавањем локацијских дозвола, извода</w:t>
      </w:r>
      <w:r>
        <w:rPr>
          <w:color w:val="231F20"/>
          <w:spacing w:val="41"/>
        </w:rPr>
        <w:t> </w:t>
      </w:r>
      <w:r>
        <w:rPr>
          <w:color w:val="231F20"/>
        </w:rPr>
        <w:t>из</w:t>
      </w:r>
    </w:p>
    <w:p>
      <w:pPr>
        <w:spacing w:after="0" w:line="235" w:lineRule="auto"/>
        <w:sectPr>
          <w:type w:val="continuous"/>
          <w:pgSz w:w="12480" w:h="15690"/>
          <w:pgMar w:top="880" w:bottom="280" w:left="680" w:right="720"/>
          <w:cols w:num="2" w:equalWidth="0">
            <w:col w:w="5557" w:space="40"/>
            <w:col w:w="5483"/>
          </w:cols>
        </w:sectPr>
      </w:pPr>
    </w:p>
    <w:p>
      <w:pPr>
        <w:pStyle w:val="BodyText"/>
        <w:spacing w:line="232" w:lineRule="auto" w:before="73"/>
        <w:ind w:right="38"/>
      </w:pPr>
      <w:r>
        <w:rPr/>
        <w:pict>
          <v:line style="position:absolute;mso-position-horizontal-relative:page;mso-position-vertical-relative:page;z-index:3112" from="304.724396pt,11.942451pt" to="304.724396pt,748.950451pt" stroked="true" strokeweight=".6pt" strokecolor="#231f20">
            <v:stroke dashstyle="solid"/>
            <w10:wrap type="none"/>
          </v:line>
        </w:pict>
      </w:r>
      <w:r>
        <w:rPr>
          <w:color w:val="231F20"/>
        </w:rPr>
        <w:t>планског документа и информација о урбанистичко-техничким условима за поједине локације/објекте на основу утврђених пра- вила изградње и уређења простора (Књига II) за следеће простор- не целине и коридоре посебне намене:</w:t>
      </w:r>
    </w:p>
    <w:p>
      <w:pPr>
        <w:pStyle w:val="ListParagraph"/>
        <w:numPr>
          <w:ilvl w:val="0"/>
          <w:numId w:val="39"/>
        </w:numPr>
        <w:tabs>
          <w:tab w:pos="747" w:val="left" w:leader="none"/>
        </w:tabs>
        <w:spacing w:line="196" w:lineRule="exact" w:before="0" w:after="0"/>
        <w:ind w:left="170" w:right="0" w:firstLine="396"/>
        <w:jc w:val="left"/>
        <w:rPr>
          <w:sz w:val="18"/>
        </w:rPr>
      </w:pPr>
      <w:r>
        <w:rPr>
          <w:color w:val="231F20"/>
          <w:spacing w:val="-3"/>
          <w:sz w:val="18"/>
        </w:rPr>
        <w:t>комплекс </w:t>
      </w:r>
      <w:r>
        <w:rPr>
          <w:color w:val="231F20"/>
          <w:sz w:val="18"/>
        </w:rPr>
        <w:t>Површински </w:t>
      </w:r>
      <w:r>
        <w:rPr>
          <w:color w:val="231F20"/>
          <w:spacing w:val="-4"/>
          <w:sz w:val="18"/>
        </w:rPr>
        <w:t>коп</w:t>
      </w:r>
      <w:r>
        <w:rPr>
          <w:color w:val="231F20"/>
          <w:spacing w:val="1"/>
          <w:sz w:val="18"/>
        </w:rPr>
        <w:t> </w:t>
      </w:r>
      <w:r>
        <w:rPr>
          <w:color w:val="231F20"/>
          <w:sz w:val="18"/>
        </w:rPr>
        <w:t>„Дрмно”;</w:t>
      </w:r>
    </w:p>
    <w:p>
      <w:pPr>
        <w:pStyle w:val="ListParagraph"/>
        <w:numPr>
          <w:ilvl w:val="0"/>
          <w:numId w:val="39"/>
        </w:numPr>
        <w:tabs>
          <w:tab w:pos="784" w:val="left" w:leader="none"/>
        </w:tabs>
        <w:spacing w:line="200" w:lineRule="exact" w:before="0" w:after="0"/>
        <w:ind w:left="783" w:right="0" w:hanging="217"/>
        <w:jc w:val="left"/>
        <w:rPr>
          <w:sz w:val="18"/>
        </w:rPr>
      </w:pPr>
      <w:r>
        <w:rPr>
          <w:color w:val="231F20"/>
          <w:sz w:val="18"/>
        </w:rPr>
        <w:t>коридор</w:t>
      </w:r>
      <w:r>
        <w:rPr>
          <w:color w:val="231F20"/>
          <w:spacing w:val="28"/>
          <w:sz w:val="18"/>
        </w:rPr>
        <w:t> </w:t>
      </w:r>
      <w:r>
        <w:rPr>
          <w:color w:val="231F20"/>
          <w:sz w:val="18"/>
        </w:rPr>
        <w:t>трачног</w:t>
      </w:r>
      <w:r>
        <w:rPr>
          <w:color w:val="231F20"/>
          <w:spacing w:val="28"/>
          <w:sz w:val="18"/>
        </w:rPr>
        <w:t> </w:t>
      </w:r>
      <w:r>
        <w:rPr>
          <w:color w:val="231F20"/>
          <w:sz w:val="18"/>
        </w:rPr>
        <w:t>транспорта</w:t>
      </w:r>
      <w:r>
        <w:rPr>
          <w:color w:val="231F20"/>
          <w:spacing w:val="28"/>
          <w:sz w:val="18"/>
        </w:rPr>
        <w:t> </w:t>
      </w:r>
      <w:r>
        <w:rPr>
          <w:color w:val="231F20"/>
          <w:sz w:val="18"/>
        </w:rPr>
        <w:t>за</w:t>
      </w:r>
      <w:r>
        <w:rPr>
          <w:color w:val="231F20"/>
          <w:spacing w:val="28"/>
          <w:sz w:val="18"/>
        </w:rPr>
        <w:t> </w:t>
      </w:r>
      <w:r>
        <w:rPr>
          <w:color w:val="231F20"/>
          <w:sz w:val="18"/>
        </w:rPr>
        <w:t>угаљ</w:t>
      </w:r>
      <w:r>
        <w:rPr>
          <w:color w:val="231F20"/>
          <w:spacing w:val="28"/>
          <w:sz w:val="18"/>
        </w:rPr>
        <w:t> </w:t>
      </w:r>
      <w:r>
        <w:rPr>
          <w:color w:val="231F20"/>
          <w:sz w:val="18"/>
        </w:rPr>
        <w:t>ПК</w:t>
      </w:r>
      <w:r>
        <w:rPr>
          <w:color w:val="231F20"/>
          <w:spacing w:val="28"/>
          <w:sz w:val="18"/>
        </w:rPr>
        <w:t> </w:t>
      </w:r>
      <w:r>
        <w:rPr>
          <w:color w:val="231F20"/>
          <w:sz w:val="18"/>
        </w:rPr>
        <w:t>„Дрмно”</w:t>
      </w:r>
      <w:r>
        <w:rPr>
          <w:color w:val="231F20"/>
          <w:spacing w:val="11"/>
          <w:sz w:val="18"/>
        </w:rPr>
        <w:t> </w:t>
      </w:r>
      <w:r>
        <w:rPr>
          <w:color w:val="231F20"/>
          <w:sz w:val="18"/>
        </w:rPr>
        <w:t>–</w:t>
      </w:r>
      <w:r>
        <w:rPr>
          <w:color w:val="231F20"/>
          <w:spacing w:val="28"/>
          <w:sz w:val="18"/>
        </w:rPr>
        <w:t> </w:t>
      </w:r>
      <w:r>
        <w:rPr>
          <w:color w:val="231F20"/>
          <w:sz w:val="18"/>
        </w:rPr>
        <w:t>ТЕ</w:t>
      </w:r>
    </w:p>
    <w:p>
      <w:pPr>
        <w:pStyle w:val="BodyText"/>
        <w:spacing w:line="200" w:lineRule="exact"/>
        <w:jc w:val="left"/>
      </w:pPr>
      <w:r>
        <w:rPr>
          <w:color w:val="231F20"/>
        </w:rPr>
        <w:t>„Костолац А”;</w:t>
      </w:r>
    </w:p>
    <w:p>
      <w:pPr>
        <w:pStyle w:val="ListParagraph"/>
        <w:numPr>
          <w:ilvl w:val="0"/>
          <w:numId w:val="39"/>
        </w:numPr>
        <w:tabs>
          <w:tab w:pos="758" w:val="left" w:leader="none"/>
        </w:tabs>
        <w:spacing w:line="232" w:lineRule="auto" w:before="1" w:after="0"/>
        <w:ind w:left="170" w:right="38" w:firstLine="396"/>
        <w:jc w:val="both"/>
        <w:rPr>
          <w:sz w:val="18"/>
        </w:rPr>
      </w:pPr>
      <w:r>
        <w:rPr>
          <w:color w:val="231F20"/>
          <w:sz w:val="18"/>
        </w:rPr>
        <w:t>коридор за транспорт </w:t>
      </w:r>
      <w:r>
        <w:rPr>
          <w:color w:val="231F20"/>
          <w:spacing w:val="-3"/>
          <w:sz w:val="18"/>
        </w:rPr>
        <w:t>рударске </w:t>
      </w:r>
      <w:r>
        <w:rPr>
          <w:color w:val="231F20"/>
          <w:sz w:val="18"/>
        </w:rPr>
        <w:t>механизације </w:t>
      </w:r>
      <w:r>
        <w:rPr>
          <w:color w:val="231F20"/>
          <w:spacing w:val="-3"/>
          <w:sz w:val="18"/>
        </w:rPr>
        <w:t>од </w:t>
      </w:r>
      <w:r>
        <w:rPr>
          <w:color w:val="231F20"/>
          <w:sz w:val="18"/>
        </w:rPr>
        <w:t>ПК </w:t>
      </w:r>
      <w:r>
        <w:rPr>
          <w:color w:val="231F20"/>
          <w:spacing w:val="-4"/>
          <w:sz w:val="18"/>
        </w:rPr>
        <w:t>„Ћир- </w:t>
      </w:r>
      <w:r>
        <w:rPr>
          <w:color w:val="231F20"/>
          <w:spacing w:val="-3"/>
          <w:sz w:val="18"/>
        </w:rPr>
        <w:t>ковац” </w:t>
      </w:r>
      <w:r>
        <w:rPr>
          <w:color w:val="231F20"/>
          <w:sz w:val="18"/>
        </w:rPr>
        <w:t>до ПК</w:t>
      </w:r>
      <w:r>
        <w:rPr>
          <w:color w:val="231F20"/>
          <w:spacing w:val="0"/>
          <w:sz w:val="18"/>
        </w:rPr>
        <w:t> </w:t>
      </w:r>
      <w:r>
        <w:rPr>
          <w:color w:val="231F20"/>
          <w:sz w:val="18"/>
        </w:rPr>
        <w:t>„Дрмно”;</w:t>
      </w:r>
    </w:p>
    <w:p>
      <w:pPr>
        <w:pStyle w:val="ListParagraph"/>
        <w:numPr>
          <w:ilvl w:val="0"/>
          <w:numId w:val="39"/>
        </w:numPr>
        <w:tabs>
          <w:tab w:pos="792" w:val="left" w:leader="none"/>
        </w:tabs>
        <w:spacing w:line="197" w:lineRule="exact" w:before="0" w:after="0"/>
        <w:ind w:left="791" w:right="0" w:hanging="225"/>
        <w:jc w:val="left"/>
        <w:rPr>
          <w:sz w:val="18"/>
        </w:rPr>
      </w:pPr>
      <w:r>
        <w:rPr>
          <w:color w:val="231F20"/>
          <w:spacing w:val="-3"/>
          <w:sz w:val="18"/>
        </w:rPr>
        <w:t>комплекс </w:t>
      </w:r>
      <w:r>
        <w:rPr>
          <w:color w:val="231F20"/>
          <w:sz w:val="18"/>
        </w:rPr>
        <w:t>ТЕ „Костолац А” са робним</w:t>
      </w:r>
      <w:r>
        <w:rPr>
          <w:color w:val="231F20"/>
          <w:spacing w:val="-8"/>
          <w:sz w:val="18"/>
        </w:rPr>
        <w:t> </w:t>
      </w:r>
      <w:r>
        <w:rPr>
          <w:color w:val="231F20"/>
          <w:sz w:val="18"/>
        </w:rPr>
        <w:t>пристаништем;</w:t>
      </w:r>
    </w:p>
    <w:p>
      <w:pPr>
        <w:pStyle w:val="ListParagraph"/>
        <w:numPr>
          <w:ilvl w:val="0"/>
          <w:numId w:val="39"/>
        </w:numPr>
        <w:tabs>
          <w:tab w:pos="747" w:val="left" w:leader="none"/>
        </w:tabs>
        <w:spacing w:line="200" w:lineRule="exact" w:before="0" w:after="0"/>
        <w:ind w:left="746" w:right="0" w:hanging="180"/>
        <w:jc w:val="left"/>
        <w:rPr>
          <w:sz w:val="18"/>
        </w:rPr>
      </w:pPr>
      <w:r>
        <w:rPr>
          <w:color w:val="231F20"/>
          <w:spacing w:val="-3"/>
          <w:sz w:val="18"/>
        </w:rPr>
        <w:t>комплекс </w:t>
      </w:r>
      <w:r>
        <w:rPr>
          <w:color w:val="231F20"/>
          <w:sz w:val="18"/>
        </w:rPr>
        <w:t>ТЕ „Костолац</w:t>
      </w:r>
      <w:r>
        <w:rPr>
          <w:color w:val="231F20"/>
          <w:spacing w:val="0"/>
          <w:sz w:val="18"/>
        </w:rPr>
        <w:t> </w:t>
      </w:r>
      <w:r>
        <w:rPr>
          <w:color w:val="231F20"/>
          <w:sz w:val="18"/>
        </w:rPr>
        <w:t>Б”;</w:t>
      </w:r>
    </w:p>
    <w:p>
      <w:pPr>
        <w:pStyle w:val="ListParagraph"/>
        <w:numPr>
          <w:ilvl w:val="0"/>
          <w:numId w:val="39"/>
        </w:numPr>
        <w:tabs>
          <w:tab w:pos="805" w:val="left" w:leader="none"/>
        </w:tabs>
        <w:spacing w:line="200" w:lineRule="exact" w:before="0" w:after="0"/>
        <w:ind w:left="804" w:right="0" w:hanging="238"/>
        <w:jc w:val="left"/>
        <w:rPr>
          <w:sz w:val="18"/>
        </w:rPr>
      </w:pPr>
      <w:r>
        <w:rPr>
          <w:color w:val="231F20"/>
          <w:sz w:val="18"/>
        </w:rPr>
        <w:t>коридор  пепеловода  </w:t>
      </w:r>
      <w:r>
        <w:rPr>
          <w:color w:val="231F20"/>
          <w:spacing w:val="-3"/>
          <w:sz w:val="18"/>
        </w:rPr>
        <w:t>од   </w:t>
      </w:r>
      <w:r>
        <w:rPr>
          <w:color w:val="231F20"/>
          <w:spacing w:val="-6"/>
          <w:sz w:val="18"/>
        </w:rPr>
        <w:t>„ТЕ   </w:t>
      </w:r>
      <w:r>
        <w:rPr>
          <w:color w:val="231F20"/>
          <w:sz w:val="18"/>
        </w:rPr>
        <w:t>Костолац  А”  до</w:t>
      </w:r>
      <w:r>
        <w:rPr>
          <w:color w:val="231F20"/>
          <w:spacing w:val="32"/>
          <w:sz w:val="18"/>
        </w:rPr>
        <w:t> </w:t>
      </w:r>
      <w:r>
        <w:rPr>
          <w:color w:val="231F20"/>
          <w:sz w:val="18"/>
        </w:rPr>
        <w:t>депоније</w:t>
      </w:r>
    </w:p>
    <w:p>
      <w:pPr>
        <w:pStyle w:val="BodyText"/>
        <w:spacing w:line="232" w:lineRule="auto" w:before="2"/>
        <w:ind w:left="169" w:right="39"/>
      </w:pPr>
      <w:r>
        <w:rPr>
          <w:color w:val="231F20"/>
        </w:rPr>
        <w:t>„Средње костолачко острво” и од ТЕ „Костолац А” до депонија у ПК „Ћириковац”;</w:t>
      </w:r>
    </w:p>
    <w:p>
      <w:pPr>
        <w:pStyle w:val="ListParagraph"/>
        <w:numPr>
          <w:ilvl w:val="0"/>
          <w:numId w:val="39"/>
        </w:numPr>
        <w:tabs>
          <w:tab w:pos="762" w:val="left" w:leader="none"/>
        </w:tabs>
        <w:spacing w:line="232" w:lineRule="auto" w:before="0" w:after="0"/>
        <w:ind w:left="168" w:right="39" w:firstLine="398"/>
        <w:jc w:val="both"/>
        <w:rPr>
          <w:sz w:val="18"/>
        </w:rPr>
      </w:pPr>
      <w:r>
        <w:rPr>
          <w:color w:val="231F20"/>
          <w:sz w:val="18"/>
        </w:rPr>
        <w:t>коридор за транспорт емулзије гипса </w:t>
      </w:r>
      <w:r>
        <w:rPr>
          <w:color w:val="231F20"/>
          <w:spacing w:val="-3"/>
          <w:sz w:val="18"/>
        </w:rPr>
        <w:t>од </w:t>
      </w:r>
      <w:r>
        <w:rPr>
          <w:color w:val="231F20"/>
          <w:sz w:val="18"/>
        </w:rPr>
        <w:t>ТЕ „Костолац Б” до депоније у ПК</w:t>
      </w:r>
      <w:r>
        <w:rPr>
          <w:color w:val="231F20"/>
          <w:spacing w:val="-2"/>
          <w:sz w:val="18"/>
        </w:rPr>
        <w:t> </w:t>
      </w:r>
      <w:r>
        <w:rPr>
          <w:color w:val="231F20"/>
          <w:sz w:val="18"/>
        </w:rPr>
        <w:t>„Дрмно”;</w:t>
      </w:r>
    </w:p>
    <w:p>
      <w:pPr>
        <w:pStyle w:val="ListParagraph"/>
        <w:numPr>
          <w:ilvl w:val="0"/>
          <w:numId w:val="39"/>
        </w:numPr>
        <w:tabs>
          <w:tab w:pos="771" w:val="left" w:leader="none"/>
        </w:tabs>
        <w:spacing w:line="232" w:lineRule="auto" w:before="0" w:after="0"/>
        <w:ind w:left="168" w:right="39" w:firstLine="397"/>
        <w:jc w:val="both"/>
        <w:rPr>
          <w:sz w:val="18"/>
        </w:rPr>
      </w:pPr>
      <w:r>
        <w:rPr>
          <w:color w:val="231F20"/>
          <w:sz w:val="18"/>
        </w:rPr>
        <w:t>депонија пепела и шљаке у површинском </w:t>
      </w:r>
      <w:r>
        <w:rPr>
          <w:color w:val="231F20"/>
          <w:spacing w:val="-3"/>
          <w:sz w:val="18"/>
        </w:rPr>
        <w:t>копу </w:t>
      </w:r>
      <w:r>
        <w:rPr>
          <w:color w:val="231F20"/>
          <w:spacing w:val="-4"/>
          <w:sz w:val="18"/>
        </w:rPr>
        <w:t>„Ћирико- </w:t>
      </w:r>
      <w:r>
        <w:rPr>
          <w:color w:val="231F20"/>
          <w:sz w:val="18"/>
        </w:rPr>
        <w:t>вац” и коридора пепеловода </w:t>
      </w:r>
      <w:r>
        <w:rPr>
          <w:color w:val="231F20"/>
          <w:spacing w:val="-3"/>
          <w:sz w:val="18"/>
        </w:rPr>
        <w:t>од </w:t>
      </w:r>
      <w:r>
        <w:rPr>
          <w:color w:val="231F20"/>
          <w:sz w:val="18"/>
        </w:rPr>
        <w:t>ТЕ „Костолац Б” до</w:t>
      </w:r>
      <w:r>
        <w:rPr>
          <w:color w:val="231F20"/>
          <w:spacing w:val="-22"/>
          <w:sz w:val="18"/>
        </w:rPr>
        <w:t> </w:t>
      </w:r>
      <w:r>
        <w:rPr>
          <w:color w:val="231F20"/>
          <w:sz w:val="18"/>
        </w:rPr>
        <w:t>депоније;</w:t>
      </w:r>
    </w:p>
    <w:p>
      <w:pPr>
        <w:pStyle w:val="ListParagraph"/>
        <w:numPr>
          <w:ilvl w:val="0"/>
          <w:numId w:val="39"/>
        </w:numPr>
        <w:tabs>
          <w:tab w:pos="784" w:val="left" w:leader="none"/>
        </w:tabs>
        <w:spacing w:line="232" w:lineRule="auto" w:before="0" w:after="0"/>
        <w:ind w:left="168" w:right="40" w:firstLine="397"/>
        <w:jc w:val="both"/>
        <w:rPr>
          <w:sz w:val="18"/>
        </w:rPr>
      </w:pPr>
      <w:r>
        <w:rPr>
          <w:color w:val="231F20"/>
          <w:sz w:val="18"/>
        </w:rPr>
        <w:t>коридор индустријског колосека </w:t>
      </w:r>
      <w:r>
        <w:rPr>
          <w:color w:val="231F20"/>
          <w:spacing w:val="-3"/>
          <w:sz w:val="18"/>
        </w:rPr>
        <w:t>од </w:t>
      </w:r>
      <w:r>
        <w:rPr>
          <w:color w:val="231F20"/>
          <w:sz w:val="18"/>
        </w:rPr>
        <w:t>железничке станице Стиг до ТЕ „Костолац Б”;</w:t>
      </w:r>
      <w:r>
        <w:rPr>
          <w:color w:val="231F20"/>
          <w:spacing w:val="-4"/>
          <w:sz w:val="18"/>
        </w:rPr>
        <w:t> </w:t>
      </w:r>
      <w:r>
        <w:rPr>
          <w:color w:val="231F20"/>
          <w:sz w:val="18"/>
        </w:rPr>
        <w:t>и</w:t>
      </w:r>
    </w:p>
    <w:p>
      <w:pPr>
        <w:pStyle w:val="ListParagraph"/>
        <w:numPr>
          <w:ilvl w:val="0"/>
          <w:numId w:val="39"/>
        </w:numPr>
        <w:tabs>
          <w:tab w:pos="836" w:val="left" w:leader="none"/>
        </w:tabs>
        <w:spacing w:line="197" w:lineRule="exact" w:before="0" w:after="0"/>
        <w:ind w:left="835" w:right="0" w:hanging="270"/>
        <w:jc w:val="left"/>
        <w:rPr>
          <w:sz w:val="18"/>
        </w:rPr>
      </w:pPr>
      <w:r>
        <w:rPr>
          <w:color w:val="231F20"/>
          <w:spacing w:val="-3"/>
          <w:sz w:val="18"/>
        </w:rPr>
        <w:t>комплекс </w:t>
      </w:r>
      <w:r>
        <w:rPr>
          <w:color w:val="231F20"/>
          <w:sz w:val="18"/>
        </w:rPr>
        <w:t>„Долина реке</w:t>
      </w:r>
      <w:r>
        <w:rPr>
          <w:color w:val="231F20"/>
          <w:spacing w:val="0"/>
          <w:sz w:val="18"/>
        </w:rPr>
        <w:t> </w:t>
      </w:r>
      <w:r>
        <w:rPr>
          <w:color w:val="231F20"/>
          <w:sz w:val="18"/>
        </w:rPr>
        <w:t>Млаве”.</w:t>
      </w:r>
    </w:p>
    <w:p>
      <w:pPr>
        <w:pStyle w:val="BodyText"/>
        <w:spacing w:line="232" w:lineRule="auto"/>
        <w:ind w:left="168" w:right="39" w:firstLine="397"/>
      </w:pPr>
      <w:r>
        <w:rPr>
          <w:color w:val="231F20"/>
        </w:rPr>
        <w:t>Индиректна примена планских решења и пропозиција Про- сторног плана спроводи се:</w:t>
      </w:r>
    </w:p>
    <w:p>
      <w:pPr>
        <w:pStyle w:val="BodyText"/>
        <w:spacing w:line="232" w:lineRule="auto"/>
        <w:ind w:left="168" w:right="39" w:firstLine="396"/>
      </w:pPr>
      <w:r>
        <w:rPr>
          <w:color w:val="231F20"/>
          <w:w w:val="66"/>
        </w:rPr>
        <w:t> </w:t>
      </w:r>
      <w:r>
        <w:rPr>
          <w:color w:val="231F20"/>
        </w:rPr>
        <w:t>– доношењем просторних и урбанистичких планова за уже просторне целине;</w:t>
      </w:r>
    </w:p>
    <w:p>
      <w:pPr>
        <w:pStyle w:val="BodyText"/>
        <w:spacing w:line="232" w:lineRule="auto"/>
        <w:ind w:left="168" w:right="39" w:firstLine="396"/>
      </w:pPr>
      <w:r>
        <w:rPr>
          <w:color w:val="231F20"/>
          <w:w w:val="66"/>
        </w:rPr>
        <w:t> </w:t>
      </w:r>
      <w:r>
        <w:rPr>
          <w:color w:val="231F20"/>
        </w:rPr>
        <w:t>– израдом урбанистичко-техничких пројеката и техничке</w:t>
      </w:r>
      <w:r>
        <w:rPr>
          <w:color w:val="231F20"/>
          <w:spacing w:val="-33"/>
        </w:rPr>
        <w:t> </w:t>
      </w:r>
      <w:r>
        <w:rPr>
          <w:color w:val="231F20"/>
        </w:rPr>
        <w:t>до- кументације;</w:t>
      </w:r>
    </w:p>
    <w:p>
      <w:pPr>
        <w:pStyle w:val="BodyText"/>
        <w:spacing w:line="232" w:lineRule="auto"/>
        <w:ind w:left="168" w:right="39" w:firstLine="397"/>
      </w:pPr>
      <w:r>
        <w:rPr>
          <w:color w:val="231F20"/>
          <w:w w:val="66"/>
        </w:rPr>
        <w:t> </w:t>
      </w:r>
      <w:r>
        <w:rPr>
          <w:color w:val="231F20"/>
        </w:rPr>
        <w:t>– уграђивањем пропозиција Просторног плана у планове и програме развоја локалне самоуправе, просторне и урбанистич- </w:t>
      </w:r>
      <w:r>
        <w:rPr>
          <w:color w:val="231F20"/>
          <w:spacing w:val="-3"/>
        </w:rPr>
        <w:t>ке </w:t>
      </w:r>
      <w:r>
        <w:rPr>
          <w:color w:val="231F20"/>
        </w:rPr>
        <w:t>планове ужих подручја, програме развоја производног система ТЕ-КО „Костолац” и појединих његових делова, других привред- них</w:t>
      </w:r>
      <w:r>
        <w:rPr>
          <w:color w:val="231F20"/>
          <w:spacing w:val="-6"/>
        </w:rPr>
        <w:t> </w:t>
      </w:r>
      <w:r>
        <w:rPr>
          <w:color w:val="231F20"/>
        </w:rPr>
        <w:t>и</w:t>
      </w:r>
      <w:r>
        <w:rPr>
          <w:color w:val="231F20"/>
          <w:spacing w:val="-6"/>
        </w:rPr>
        <w:t> </w:t>
      </w:r>
      <w:r>
        <w:rPr>
          <w:color w:val="231F20"/>
        </w:rPr>
        <w:t>инфраструктурних</w:t>
      </w:r>
      <w:r>
        <w:rPr>
          <w:color w:val="231F20"/>
          <w:spacing w:val="-6"/>
        </w:rPr>
        <w:t> </w:t>
      </w:r>
      <w:r>
        <w:rPr>
          <w:color w:val="231F20"/>
        </w:rPr>
        <w:t>система,</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у</w:t>
      </w:r>
      <w:r>
        <w:rPr>
          <w:color w:val="231F20"/>
          <w:spacing w:val="-6"/>
        </w:rPr>
        <w:t> </w:t>
      </w:r>
      <w:r>
        <w:rPr>
          <w:color w:val="231F20"/>
        </w:rPr>
        <w:t>друге</w:t>
      </w:r>
      <w:r>
        <w:rPr>
          <w:color w:val="231F20"/>
          <w:spacing w:val="-6"/>
        </w:rPr>
        <w:t> </w:t>
      </w:r>
      <w:r>
        <w:rPr>
          <w:color w:val="231F20"/>
        </w:rPr>
        <w:t>програме,</w:t>
      </w:r>
      <w:r>
        <w:rPr>
          <w:color w:val="231F20"/>
          <w:spacing w:val="-6"/>
        </w:rPr>
        <w:t> </w:t>
      </w:r>
      <w:r>
        <w:rPr>
          <w:color w:val="231F20"/>
        </w:rPr>
        <w:t>планове и</w:t>
      </w:r>
      <w:r>
        <w:rPr>
          <w:color w:val="231F20"/>
          <w:spacing w:val="-2"/>
        </w:rPr>
        <w:t> </w:t>
      </w:r>
      <w:r>
        <w:rPr>
          <w:color w:val="231F20"/>
        </w:rPr>
        <w:t>пројекте;</w:t>
      </w:r>
    </w:p>
    <w:p>
      <w:pPr>
        <w:pStyle w:val="BodyText"/>
        <w:spacing w:line="232" w:lineRule="auto"/>
        <w:ind w:left="168" w:right="40" w:firstLine="397"/>
      </w:pPr>
      <w:r>
        <w:rPr>
          <w:color w:val="231F20"/>
          <w:w w:val="66"/>
        </w:rPr>
        <w:t> </w:t>
      </w:r>
      <w:r>
        <w:rPr>
          <w:color w:val="231F20"/>
        </w:rPr>
        <w:t>– доношењем и спровођењем програма и планова развоја индустрије и МСП, водопривреде и других сектора на Планском подручју; одрживог развоја подручја; интегралног руралног раз- воја; заштите и унапређења животне средине; рехабилитације и рекултивације деградираних површина; праћења (мониторинга) квалитета ваздуха, вода и земљишта и друго.</w:t>
      </w:r>
    </w:p>
    <w:p>
      <w:pPr>
        <w:pStyle w:val="BodyText"/>
        <w:spacing w:line="232" w:lineRule="auto"/>
        <w:ind w:left="168" w:right="39" w:firstLine="396"/>
      </w:pPr>
      <w:r>
        <w:rPr>
          <w:color w:val="231F20"/>
        </w:rPr>
        <w:t>У остваривању одредби Просторног плана примењују се од- говарајући републички стандарди, нормативи и прописи, односно документи</w:t>
      </w:r>
      <w:r>
        <w:rPr>
          <w:color w:val="231F20"/>
          <w:spacing w:val="-7"/>
        </w:rPr>
        <w:t> </w:t>
      </w:r>
      <w:r>
        <w:rPr>
          <w:color w:val="231F20"/>
        </w:rPr>
        <w:t>развоја</w:t>
      </w:r>
      <w:r>
        <w:rPr>
          <w:color w:val="231F20"/>
          <w:spacing w:val="-7"/>
        </w:rPr>
        <w:t> </w:t>
      </w:r>
      <w:r>
        <w:rPr>
          <w:color w:val="231F20"/>
        </w:rPr>
        <w:t>из</w:t>
      </w:r>
      <w:r>
        <w:rPr>
          <w:color w:val="231F20"/>
          <w:spacing w:val="-7"/>
        </w:rPr>
        <w:t> </w:t>
      </w:r>
      <w:r>
        <w:rPr>
          <w:color w:val="231F20"/>
        </w:rPr>
        <w:t>области</w:t>
      </w:r>
      <w:r>
        <w:rPr>
          <w:color w:val="231F20"/>
          <w:spacing w:val="-7"/>
        </w:rPr>
        <w:t> </w:t>
      </w:r>
      <w:r>
        <w:rPr>
          <w:color w:val="231F20"/>
        </w:rPr>
        <w:t>просторног</w:t>
      </w:r>
      <w:r>
        <w:rPr>
          <w:color w:val="231F20"/>
          <w:spacing w:val="-7"/>
        </w:rPr>
        <w:t> </w:t>
      </w:r>
      <w:r>
        <w:rPr>
          <w:color w:val="231F20"/>
        </w:rPr>
        <w:t>планирања</w:t>
      </w:r>
      <w:r>
        <w:rPr>
          <w:color w:val="231F20"/>
          <w:spacing w:val="-7"/>
        </w:rPr>
        <w:t> </w:t>
      </w:r>
      <w:r>
        <w:rPr>
          <w:color w:val="231F20"/>
        </w:rPr>
        <w:t>и</w:t>
      </w:r>
      <w:r>
        <w:rPr>
          <w:color w:val="231F20"/>
          <w:spacing w:val="-7"/>
        </w:rPr>
        <w:t> </w:t>
      </w:r>
      <w:r>
        <w:rPr>
          <w:color w:val="231F20"/>
        </w:rPr>
        <w:t>урбанизма, заштите животне средине и коришћења природног ресурса, као и из других области (рударства, енергетике, грађевинарства, пољо- привреде, водопривреде, шумарства</w:t>
      </w:r>
      <w:r>
        <w:rPr>
          <w:color w:val="231F20"/>
          <w:spacing w:val="-3"/>
        </w:rPr>
        <w:t> </w:t>
      </w:r>
      <w:r>
        <w:rPr>
          <w:color w:val="231F20"/>
        </w:rPr>
        <w:t>итд.).</w:t>
      </w:r>
    </w:p>
    <w:p>
      <w:pPr>
        <w:pStyle w:val="BodyText"/>
        <w:spacing w:line="232" w:lineRule="auto"/>
        <w:ind w:left="168" w:right="39" w:firstLine="396"/>
      </w:pPr>
      <w:r>
        <w:rPr>
          <w:color w:val="231F20"/>
        </w:rPr>
        <w:t>У</w:t>
      </w:r>
      <w:r>
        <w:rPr>
          <w:color w:val="231F20"/>
          <w:spacing w:val="-5"/>
        </w:rPr>
        <w:t> </w:t>
      </w:r>
      <w:r>
        <w:rPr>
          <w:color w:val="231F20"/>
        </w:rPr>
        <w:t>спровођењу</w:t>
      </w:r>
      <w:r>
        <w:rPr>
          <w:color w:val="231F20"/>
          <w:spacing w:val="-5"/>
        </w:rPr>
        <w:t> </w:t>
      </w:r>
      <w:r>
        <w:rPr>
          <w:color w:val="231F20"/>
        </w:rPr>
        <w:t>планских</w:t>
      </w:r>
      <w:r>
        <w:rPr>
          <w:color w:val="231F20"/>
          <w:spacing w:val="-5"/>
        </w:rPr>
        <w:t> </w:t>
      </w:r>
      <w:r>
        <w:rPr>
          <w:color w:val="231F20"/>
        </w:rPr>
        <w:t>циљева</w:t>
      </w:r>
      <w:r>
        <w:rPr>
          <w:color w:val="231F20"/>
          <w:spacing w:val="-5"/>
        </w:rPr>
        <w:t> </w:t>
      </w:r>
      <w:r>
        <w:rPr>
          <w:color w:val="231F20"/>
        </w:rPr>
        <w:t>и</w:t>
      </w:r>
      <w:r>
        <w:rPr>
          <w:color w:val="231F20"/>
          <w:spacing w:val="-5"/>
        </w:rPr>
        <w:t> </w:t>
      </w:r>
      <w:r>
        <w:rPr>
          <w:color w:val="231F20"/>
        </w:rPr>
        <w:t>концепција,</w:t>
      </w:r>
      <w:r>
        <w:rPr>
          <w:color w:val="231F20"/>
          <w:spacing w:val="-5"/>
        </w:rPr>
        <w:t> </w:t>
      </w:r>
      <w:r>
        <w:rPr>
          <w:color w:val="231F20"/>
        </w:rPr>
        <w:t>као</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приме- ни утврђених критеријума, мера и инструмената Просторног пла- на, приоритет</w:t>
      </w:r>
      <w:r>
        <w:rPr>
          <w:color w:val="231F20"/>
          <w:spacing w:val="-2"/>
        </w:rPr>
        <w:t> </w:t>
      </w:r>
      <w:r>
        <w:rPr>
          <w:color w:val="231F20"/>
        </w:rPr>
        <w:t>има:</w:t>
      </w:r>
    </w:p>
    <w:p>
      <w:pPr>
        <w:pStyle w:val="BodyText"/>
        <w:spacing w:line="232" w:lineRule="auto"/>
        <w:ind w:left="168" w:right="39" w:firstLine="396"/>
      </w:pPr>
      <w:r>
        <w:rPr>
          <w:color w:val="231F20"/>
          <w:w w:val="66"/>
        </w:rPr>
        <w:t> </w:t>
      </w:r>
      <w:r>
        <w:rPr>
          <w:color w:val="231F20"/>
        </w:rPr>
        <w:t>– обезбеђење неопходних услова за експлоатацију и даљу трансформациjу (прераду) лигнита и других ресурса у Басену, у складу са законским прописима, општим развојним опредељењи- ма и поставкама Просторног плана;</w:t>
      </w:r>
    </w:p>
    <w:p>
      <w:pPr>
        <w:pStyle w:val="BodyText"/>
        <w:spacing w:line="232" w:lineRule="auto"/>
        <w:ind w:left="168" w:right="39" w:firstLine="396"/>
      </w:pPr>
      <w:r>
        <w:rPr>
          <w:color w:val="231F20"/>
          <w:w w:val="66"/>
        </w:rPr>
        <w:t> </w:t>
      </w:r>
      <w:r>
        <w:rPr>
          <w:color w:val="231F20"/>
        </w:rPr>
        <w:t>–</w:t>
      </w:r>
      <w:r>
        <w:rPr>
          <w:color w:val="231F20"/>
          <w:spacing w:val="-8"/>
        </w:rPr>
        <w:t> </w:t>
      </w:r>
      <w:r>
        <w:rPr>
          <w:color w:val="231F20"/>
        </w:rPr>
        <w:t>санација</w:t>
      </w:r>
      <w:r>
        <w:rPr>
          <w:color w:val="231F20"/>
          <w:spacing w:val="-8"/>
        </w:rPr>
        <w:t> </w:t>
      </w:r>
      <w:r>
        <w:rPr>
          <w:color w:val="231F20"/>
        </w:rPr>
        <w:t>раније</w:t>
      </w:r>
      <w:r>
        <w:rPr>
          <w:color w:val="231F20"/>
          <w:spacing w:val="-8"/>
        </w:rPr>
        <w:t> </w:t>
      </w:r>
      <w:r>
        <w:rPr>
          <w:color w:val="231F20"/>
        </w:rPr>
        <w:t>насталих</w:t>
      </w:r>
      <w:r>
        <w:rPr>
          <w:color w:val="231F20"/>
          <w:spacing w:val="-7"/>
        </w:rPr>
        <w:t> </w:t>
      </w:r>
      <w:r>
        <w:rPr>
          <w:color w:val="231F20"/>
        </w:rPr>
        <w:t>штета</w:t>
      </w:r>
      <w:r>
        <w:rPr>
          <w:color w:val="231F20"/>
          <w:spacing w:val="-8"/>
        </w:rPr>
        <w:t> </w:t>
      </w:r>
      <w:r>
        <w:rPr>
          <w:color w:val="231F20"/>
          <w:spacing w:val="-3"/>
        </w:rPr>
        <w:t>од</w:t>
      </w:r>
      <w:r>
        <w:rPr>
          <w:color w:val="231F20"/>
          <w:spacing w:val="-8"/>
        </w:rPr>
        <w:t> </w:t>
      </w:r>
      <w:r>
        <w:rPr>
          <w:color w:val="231F20"/>
        </w:rPr>
        <w:t>експлоатације</w:t>
      </w:r>
      <w:r>
        <w:rPr>
          <w:color w:val="231F20"/>
          <w:spacing w:val="-8"/>
        </w:rPr>
        <w:t> </w:t>
      </w:r>
      <w:r>
        <w:rPr>
          <w:color w:val="231F20"/>
        </w:rPr>
        <w:t>и</w:t>
      </w:r>
      <w:r>
        <w:rPr>
          <w:color w:val="231F20"/>
          <w:spacing w:val="-7"/>
        </w:rPr>
        <w:t> </w:t>
      </w:r>
      <w:r>
        <w:rPr>
          <w:color w:val="231F20"/>
        </w:rPr>
        <w:t>прераде лигнита;</w:t>
      </w:r>
    </w:p>
    <w:p>
      <w:pPr>
        <w:pStyle w:val="BodyText"/>
        <w:spacing w:line="232" w:lineRule="auto"/>
        <w:ind w:left="169" w:right="39" w:firstLine="396"/>
      </w:pPr>
      <w:r>
        <w:rPr>
          <w:color w:val="231F20"/>
          <w:w w:val="66"/>
        </w:rPr>
        <w:t> </w:t>
      </w:r>
      <w:r>
        <w:rPr>
          <w:color w:val="231F20"/>
        </w:rPr>
        <w:t>– спречавање или контролисање директних и индиректних негативних утицаја;</w:t>
      </w:r>
    </w:p>
    <w:p>
      <w:pPr>
        <w:pStyle w:val="BodyText"/>
        <w:spacing w:line="232" w:lineRule="auto"/>
        <w:ind w:left="168" w:right="39" w:firstLine="397"/>
      </w:pPr>
      <w:r>
        <w:rPr>
          <w:color w:val="231F20"/>
          <w:w w:val="66"/>
        </w:rPr>
        <w:t> </w:t>
      </w:r>
      <w:r>
        <w:rPr>
          <w:color w:val="231F20"/>
        </w:rPr>
        <w:t>– спречавање насељавања и непланске изградње територије изнад лигнитских лежишта;</w:t>
      </w:r>
    </w:p>
    <w:p>
      <w:pPr>
        <w:pStyle w:val="BodyText"/>
        <w:spacing w:line="232" w:lineRule="auto"/>
        <w:ind w:left="168" w:right="39" w:firstLine="397"/>
      </w:pPr>
      <w:r>
        <w:rPr>
          <w:color w:val="231F20"/>
          <w:w w:val="66"/>
        </w:rPr>
        <w:t> </w:t>
      </w:r>
      <w:r>
        <w:rPr>
          <w:color w:val="231F20"/>
        </w:rPr>
        <w:t>– заштита социјалних, економских и еколошких услова жи- вљења становништва </w:t>
      </w:r>
      <w:r>
        <w:rPr>
          <w:color w:val="231F20"/>
          <w:spacing w:val="-3"/>
        </w:rPr>
        <w:t>које </w:t>
      </w:r>
      <w:r>
        <w:rPr>
          <w:color w:val="231F20"/>
        </w:rPr>
        <w:t>је угрожено експлоатацијом и прерадом лигнита;</w:t>
      </w:r>
    </w:p>
    <w:p>
      <w:pPr>
        <w:pStyle w:val="BodyText"/>
        <w:spacing w:line="232" w:lineRule="auto"/>
        <w:ind w:left="168" w:right="39" w:firstLine="396"/>
      </w:pPr>
      <w:r>
        <w:rPr>
          <w:color w:val="231F20"/>
          <w:w w:val="66"/>
        </w:rPr>
        <w:t> </w:t>
      </w:r>
      <w:r>
        <w:rPr>
          <w:color w:val="231F20"/>
        </w:rPr>
        <w:t>– примена просторно-планских, урбанистичких и других</w:t>
      </w:r>
      <w:r>
        <w:rPr>
          <w:color w:val="231F20"/>
          <w:spacing w:val="-22"/>
        </w:rPr>
        <w:t> </w:t>
      </w:r>
      <w:r>
        <w:rPr>
          <w:color w:val="231F20"/>
        </w:rPr>
        <w:t>ме- ра</w:t>
      </w:r>
      <w:r>
        <w:rPr>
          <w:color w:val="231F20"/>
          <w:spacing w:val="-12"/>
        </w:rPr>
        <w:t> </w:t>
      </w:r>
      <w:r>
        <w:rPr>
          <w:color w:val="231F20"/>
        </w:rPr>
        <w:t>заштите</w:t>
      </w:r>
      <w:r>
        <w:rPr>
          <w:color w:val="231F20"/>
          <w:spacing w:val="-12"/>
        </w:rPr>
        <w:t> </w:t>
      </w:r>
      <w:r>
        <w:rPr>
          <w:color w:val="231F20"/>
        </w:rPr>
        <w:t>животне</w:t>
      </w:r>
      <w:r>
        <w:rPr>
          <w:color w:val="231F20"/>
          <w:spacing w:val="-12"/>
        </w:rPr>
        <w:t> </w:t>
      </w:r>
      <w:r>
        <w:rPr>
          <w:color w:val="231F20"/>
        </w:rPr>
        <w:t>средине</w:t>
      </w:r>
      <w:r>
        <w:rPr>
          <w:color w:val="231F20"/>
          <w:spacing w:val="-12"/>
        </w:rPr>
        <w:t> </w:t>
      </w:r>
      <w:r>
        <w:rPr>
          <w:color w:val="231F20"/>
        </w:rPr>
        <w:t>и</w:t>
      </w:r>
      <w:r>
        <w:rPr>
          <w:color w:val="231F20"/>
          <w:spacing w:val="-12"/>
        </w:rPr>
        <w:t> </w:t>
      </w:r>
      <w:r>
        <w:rPr>
          <w:color w:val="231F20"/>
        </w:rPr>
        <w:t>техничко-технолошких</w:t>
      </w:r>
      <w:r>
        <w:rPr>
          <w:color w:val="231F20"/>
          <w:spacing w:val="-12"/>
        </w:rPr>
        <w:t> </w:t>
      </w:r>
      <w:r>
        <w:rPr>
          <w:color w:val="231F20"/>
        </w:rPr>
        <w:t>мера</w:t>
      </w:r>
      <w:r>
        <w:rPr>
          <w:color w:val="231F20"/>
          <w:spacing w:val="-12"/>
        </w:rPr>
        <w:t> </w:t>
      </w:r>
      <w:r>
        <w:rPr>
          <w:color w:val="231F20"/>
        </w:rPr>
        <w:t>зашти- те у производном</w:t>
      </w:r>
      <w:r>
        <w:rPr>
          <w:color w:val="231F20"/>
          <w:spacing w:val="-2"/>
        </w:rPr>
        <w:t> </w:t>
      </w:r>
      <w:r>
        <w:rPr>
          <w:color w:val="231F20"/>
        </w:rPr>
        <w:t>процесу;</w:t>
      </w:r>
    </w:p>
    <w:p>
      <w:pPr>
        <w:pStyle w:val="BodyText"/>
        <w:spacing w:line="232" w:lineRule="auto"/>
        <w:ind w:left="168" w:right="39" w:firstLine="396"/>
      </w:pPr>
      <w:r>
        <w:rPr>
          <w:color w:val="231F20"/>
          <w:w w:val="66"/>
        </w:rPr>
        <w:t> </w:t>
      </w:r>
      <w:r>
        <w:rPr>
          <w:color w:val="231F20"/>
        </w:rPr>
        <w:t>– ублажавање негативних последица неравномерног реги- оналног развоја и постојеће привредне структуре стимулисањем делатности и активности </w:t>
      </w:r>
      <w:r>
        <w:rPr>
          <w:color w:val="231F20"/>
          <w:spacing w:val="-3"/>
        </w:rPr>
        <w:t>које </w:t>
      </w:r>
      <w:r>
        <w:rPr>
          <w:color w:val="231F20"/>
        </w:rPr>
        <w:t>на </w:t>
      </w:r>
      <w:r>
        <w:rPr>
          <w:color w:val="231F20"/>
          <w:spacing w:val="-3"/>
        </w:rPr>
        <w:t>Планском </w:t>
      </w:r>
      <w:r>
        <w:rPr>
          <w:color w:val="231F20"/>
        </w:rPr>
        <w:t>подручју најбрже</w:t>
      </w:r>
      <w:r>
        <w:rPr>
          <w:color w:val="231F20"/>
          <w:spacing w:val="-32"/>
        </w:rPr>
        <w:t> </w:t>
      </w:r>
      <w:r>
        <w:rPr>
          <w:color w:val="231F20"/>
        </w:rPr>
        <w:t>пове- ћавају запосленост и обезбеђују брзо остваривање добити</w:t>
      </w:r>
      <w:r>
        <w:rPr>
          <w:color w:val="231F20"/>
          <w:spacing w:val="-8"/>
        </w:rPr>
        <w:t> </w:t>
      </w:r>
      <w:r>
        <w:rPr>
          <w:color w:val="231F20"/>
        </w:rPr>
        <w:t>и</w:t>
      </w:r>
    </w:p>
    <w:p>
      <w:pPr>
        <w:pStyle w:val="BodyText"/>
        <w:spacing w:line="232" w:lineRule="auto"/>
        <w:ind w:left="168" w:right="39" w:firstLine="396"/>
      </w:pPr>
      <w:r>
        <w:rPr>
          <w:color w:val="231F20"/>
          <w:w w:val="66"/>
        </w:rPr>
        <w:t> </w:t>
      </w:r>
      <w:r>
        <w:rPr>
          <w:color w:val="231F20"/>
        </w:rPr>
        <w:t>–</w:t>
      </w:r>
      <w:r>
        <w:rPr>
          <w:color w:val="231F20"/>
          <w:spacing w:val="-18"/>
        </w:rPr>
        <w:t> </w:t>
      </w:r>
      <w:r>
        <w:rPr>
          <w:color w:val="231F20"/>
        </w:rPr>
        <w:t>обезбеђивање</w:t>
      </w:r>
      <w:r>
        <w:rPr>
          <w:color w:val="231F20"/>
          <w:spacing w:val="-18"/>
        </w:rPr>
        <w:t> </w:t>
      </w:r>
      <w:r>
        <w:rPr>
          <w:color w:val="231F20"/>
        </w:rPr>
        <w:t>институционалних,</w:t>
      </w:r>
      <w:r>
        <w:rPr>
          <w:color w:val="231F20"/>
          <w:spacing w:val="-18"/>
        </w:rPr>
        <w:t> </w:t>
      </w:r>
      <w:r>
        <w:rPr>
          <w:color w:val="231F20"/>
        </w:rPr>
        <w:t>организационих</w:t>
      </w:r>
      <w:r>
        <w:rPr>
          <w:color w:val="231F20"/>
          <w:spacing w:val="-18"/>
        </w:rPr>
        <w:t> </w:t>
      </w:r>
      <w:r>
        <w:rPr>
          <w:color w:val="231F20"/>
        </w:rPr>
        <w:t>и</w:t>
      </w:r>
      <w:r>
        <w:rPr>
          <w:color w:val="231F20"/>
          <w:spacing w:val="-18"/>
        </w:rPr>
        <w:t> </w:t>
      </w:r>
      <w:r>
        <w:rPr>
          <w:color w:val="231F20"/>
        </w:rPr>
        <w:t>инфор- матичких</w:t>
      </w:r>
      <w:r>
        <w:rPr>
          <w:color w:val="231F20"/>
          <w:spacing w:val="-4"/>
        </w:rPr>
        <w:t> </w:t>
      </w:r>
      <w:r>
        <w:rPr>
          <w:color w:val="231F20"/>
        </w:rPr>
        <w:t>услова</w:t>
      </w:r>
      <w:r>
        <w:rPr>
          <w:color w:val="231F20"/>
          <w:spacing w:val="-4"/>
        </w:rPr>
        <w:t> </w:t>
      </w:r>
      <w:r>
        <w:rPr>
          <w:color w:val="231F20"/>
        </w:rPr>
        <w:t>за</w:t>
      </w:r>
      <w:r>
        <w:rPr>
          <w:color w:val="231F20"/>
          <w:spacing w:val="-4"/>
        </w:rPr>
        <w:t> </w:t>
      </w:r>
      <w:r>
        <w:rPr>
          <w:color w:val="231F20"/>
        </w:rPr>
        <w:t>спровођење</w:t>
      </w:r>
      <w:r>
        <w:rPr>
          <w:color w:val="231F20"/>
          <w:spacing w:val="-4"/>
        </w:rPr>
        <w:t> </w:t>
      </w:r>
      <w:r>
        <w:rPr>
          <w:color w:val="231F20"/>
        </w:rPr>
        <w:t>Просторног</w:t>
      </w:r>
      <w:r>
        <w:rPr>
          <w:color w:val="231F20"/>
          <w:spacing w:val="-4"/>
        </w:rPr>
        <w:t> </w:t>
      </w:r>
      <w:r>
        <w:rPr>
          <w:color w:val="231F20"/>
        </w:rPr>
        <w:t>плана,</w:t>
      </w:r>
      <w:r>
        <w:rPr>
          <w:color w:val="231F20"/>
          <w:spacing w:val="-4"/>
        </w:rPr>
        <w:t> </w:t>
      </w:r>
      <w:r>
        <w:rPr>
          <w:color w:val="231F20"/>
        </w:rPr>
        <w:t>као</w:t>
      </w:r>
      <w:r>
        <w:rPr>
          <w:color w:val="231F20"/>
          <w:spacing w:val="-4"/>
        </w:rPr>
        <w:t> </w:t>
      </w:r>
      <w:r>
        <w:rPr>
          <w:color w:val="231F20"/>
        </w:rPr>
        <w:t>и</w:t>
      </w:r>
      <w:r>
        <w:rPr>
          <w:color w:val="231F20"/>
          <w:spacing w:val="-4"/>
        </w:rPr>
        <w:t> </w:t>
      </w:r>
      <w:r>
        <w:rPr>
          <w:color w:val="231F20"/>
        </w:rPr>
        <w:t>услова</w:t>
      </w:r>
      <w:r>
        <w:rPr>
          <w:color w:val="231F20"/>
          <w:spacing w:val="-4"/>
        </w:rPr>
        <w:t> </w:t>
      </w:r>
      <w:r>
        <w:rPr>
          <w:color w:val="231F20"/>
        </w:rPr>
        <w:t>за наставак</w:t>
      </w:r>
      <w:r>
        <w:rPr>
          <w:color w:val="231F20"/>
          <w:spacing w:val="-12"/>
        </w:rPr>
        <w:t> </w:t>
      </w:r>
      <w:r>
        <w:rPr>
          <w:color w:val="231F20"/>
        </w:rPr>
        <w:t>започетих</w:t>
      </w:r>
      <w:r>
        <w:rPr>
          <w:color w:val="231F20"/>
          <w:spacing w:val="-12"/>
        </w:rPr>
        <w:t> </w:t>
      </w:r>
      <w:r>
        <w:rPr>
          <w:color w:val="231F20"/>
        </w:rPr>
        <w:t>истраживања</w:t>
      </w:r>
      <w:r>
        <w:rPr>
          <w:color w:val="231F20"/>
          <w:spacing w:val="-12"/>
        </w:rPr>
        <w:t> </w:t>
      </w:r>
      <w:r>
        <w:rPr>
          <w:color w:val="231F20"/>
        </w:rPr>
        <w:t>и</w:t>
      </w:r>
      <w:r>
        <w:rPr>
          <w:color w:val="231F20"/>
          <w:spacing w:val="-12"/>
        </w:rPr>
        <w:t> </w:t>
      </w:r>
      <w:r>
        <w:rPr>
          <w:color w:val="231F20"/>
        </w:rPr>
        <w:t>израду</w:t>
      </w:r>
      <w:r>
        <w:rPr>
          <w:color w:val="231F20"/>
          <w:spacing w:val="-12"/>
        </w:rPr>
        <w:t> </w:t>
      </w:r>
      <w:r>
        <w:rPr>
          <w:color w:val="231F20"/>
          <w:spacing w:val="-3"/>
        </w:rPr>
        <w:t>одговарајућих</w:t>
      </w:r>
      <w:r>
        <w:rPr>
          <w:color w:val="231F20"/>
          <w:spacing w:val="-12"/>
        </w:rPr>
        <w:t> </w:t>
      </w:r>
      <w:r>
        <w:rPr>
          <w:color w:val="231F20"/>
        </w:rPr>
        <w:t>програма, планова и пројеката </w:t>
      </w:r>
      <w:r>
        <w:rPr>
          <w:color w:val="231F20"/>
          <w:spacing w:val="-4"/>
        </w:rPr>
        <w:t>од </w:t>
      </w:r>
      <w:r>
        <w:rPr>
          <w:color w:val="231F20"/>
        </w:rPr>
        <w:t>интереса за развој </w:t>
      </w:r>
      <w:r>
        <w:rPr>
          <w:color w:val="231F20"/>
          <w:spacing w:val="-3"/>
        </w:rPr>
        <w:t>Планског</w:t>
      </w:r>
      <w:r>
        <w:rPr>
          <w:color w:val="231F20"/>
          <w:spacing w:val="-30"/>
        </w:rPr>
        <w:t> </w:t>
      </w:r>
      <w:r>
        <w:rPr>
          <w:color w:val="231F20"/>
        </w:rPr>
        <w:t>подручја.</w:t>
      </w:r>
    </w:p>
    <w:p>
      <w:pPr>
        <w:pStyle w:val="BodyText"/>
        <w:spacing w:line="232" w:lineRule="auto"/>
        <w:ind w:left="168" w:right="39" w:firstLine="396"/>
      </w:pPr>
      <w:r>
        <w:rPr>
          <w:color w:val="231F20"/>
        </w:rPr>
        <w:t>Анализа</w:t>
      </w:r>
      <w:r>
        <w:rPr>
          <w:color w:val="231F20"/>
          <w:spacing w:val="-7"/>
        </w:rPr>
        <w:t> </w:t>
      </w:r>
      <w:r>
        <w:rPr>
          <w:color w:val="231F20"/>
          <w:spacing w:val="-3"/>
        </w:rPr>
        <w:t>остваривања</w:t>
      </w:r>
      <w:r>
        <w:rPr>
          <w:color w:val="231F20"/>
          <w:spacing w:val="-7"/>
        </w:rPr>
        <w:t> </w:t>
      </w:r>
      <w:r>
        <w:rPr>
          <w:color w:val="231F20"/>
        </w:rPr>
        <w:t>Просторног</w:t>
      </w:r>
      <w:r>
        <w:rPr>
          <w:color w:val="231F20"/>
          <w:spacing w:val="-7"/>
        </w:rPr>
        <w:t> </w:t>
      </w:r>
      <w:r>
        <w:rPr>
          <w:color w:val="231F20"/>
        </w:rPr>
        <w:t>плана</w:t>
      </w:r>
      <w:r>
        <w:rPr>
          <w:color w:val="231F20"/>
          <w:spacing w:val="-7"/>
        </w:rPr>
        <w:t> </w:t>
      </w:r>
      <w:r>
        <w:rPr>
          <w:color w:val="231F20"/>
        </w:rPr>
        <w:t>биће</w:t>
      </w:r>
      <w:r>
        <w:rPr>
          <w:color w:val="231F20"/>
          <w:spacing w:val="-7"/>
        </w:rPr>
        <w:t> </w:t>
      </w:r>
      <w:r>
        <w:rPr>
          <w:color w:val="231F20"/>
        </w:rPr>
        <w:t>извршена</w:t>
      </w:r>
      <w:r>
        <w:rPr>
          <w:color w:val="231F20"/>
          <w:spacing w:val="-7"/>
        </w:rPr>
        <w:t> </w:t>
      </w:r>
      <w:r>
        <w:rPr>
          <w:color w:val="231F20"/>
          <w:spacing w:val="-4"/>
        </w:rPr>
        <w:t>након </w:t>
      </w:r>
      <w:r>
        <w:rPr>
          <w:color w:val="231F20"/>
        </w:rPr>
        <w:t>четири</w:t>
      </w:r>
      <w:r>
        <w:rPr>
          <w:color w:val="231F20"/>
          <w:spacing w:val="-13"/>
        </w:rPr>
        <w:t> </w:t>
      </w:r>
      <w:r>
        <w:rPr>
          <w:color w:val="231F20"/>
          <w:spacing w:val="-4"/>
        </w:rPr>
        <w:t>године,</w:t>
      </w:r>
      <w:r>
        <w:rPr>
          <w:color w:val="231F20"/>
          <w:spacing w:val="-13"/>
        </w:rPr>
        <w:t> </w:t>
      </w:r>
      <w:r>
        <w:rPr>
          <w:color w:val="231F20"/>
        </w:rPr>
        <w:t>а</w:t>
      </w:r>
      <w:r>
        <w:rPr>
          <w:color w:val="231F20"/>
          <w:spacing w:val="-13"/>
        </w:rPr>
        <w:t> </w:t>
      </w:r>
      <w:r>
        <w:rPr>
          <w:color w:val="231F20"/>
        </w:rPr>
        <w:t>по</w:t>
      </w:r>
      <w:r>
        <w:rPr>
          <w:color w:val="231F20"/>
          <w:spacing w:val="-13"/>
        </w:rPr>
        <w:t> </w:t>
      </w:r>
      <w:r>
        <w:rPr>
          <w:color w:val="231F20"/>
        </w:rPr>
        <w:t>потреби</w:t>
      </w:r>
      <w:r>
        <w:rPr>
          <w:color w:val="231F20"/>
          <w:spacing w:val="-13"/>
        </w:rPr>
        <w:t> </w:t>
      </w:r>
      <w:r>
        <w:rPr>
          <w:color w:val="231F20"/>
        </w:rPr>
        <w:t>и</w:t>
      </w:r>
      <w:r>
        <w:rPr>
          <w:color w:val="231F20"/>
          <w:spacing w:val="-13"/>
        </w:rPr>
        <w:t> </w:t>
      </w:r>
      <w:r>
        <w:rPr>
          <w:color w:val="231F20"/>
          <w:spacing w:val="-4"/>
        </w:rPr>
        <w:t>након</w:t>
      </w:r>
      <w:r>
        <w:rPr>
          <w:color w:val="231F20"/>
          <w:spacing w:val="-13"/>
        </w:rPr>
        <w:t> </w:t>
      </w:r>
      <w:r>
        <w:rPr>
          <w:color w:val="231F20"/>
          <w:spacing w:val="-3"/>
        </w:rPr>
        <w:t>истека</w:t>
      </w:r>
      <w:r>
        <w:rPr>
          <w:color w:val="231F20"/>
          <w:spacing w:val="-13"/>
        </w:rPr>
        <w:t> </w:t>
      </w:r>
      <w:r>
        <w:rPr>
          <w:color w:val="231F20"/>
        </w:rPr>
        <w:t>две</w:t>
      </w:r>
      <w:r>
        <w:rPr>
          <w:color w:val="231F20"/>
          <w:spacing w:val="-13"/>
        </w:rPr>
        <w:t> </w:t>
      </w:r>
      <w:r>
        <w:rPr>
          <w:color w:val="231F20"/>
          <w:spacing w:val="-4"/>
        </w:rPr>
        <w:t>године</w:t>
      </w:r>
      <w:r>
        <w:rPr>
          <w:color w:val="231F20"/>
          <w:spacing w:val="-13"/>
        </w:rPr>
        <w:t> </w:t>
      </w:r>
      <w:r>
        <w:rPr>
          <w:color w:val="231F20"/>
        </w:rPr>
        <w:t>по</w:t>
      </w:r>
      <w:r>
        <w:rPr>
          <w:color w:val="231F20"/>
          <w:spacing w:val="-13"/>
        </w:rPr>
        <w:t> </w:t>
      </w:r>
      <w:r>
        <w:rPr>
          <w:color w:val="231F20"/>
        </w:rPr>
        <w:t>доношењу</w:t>
      </w:r>
    </w:p>
    <w:p>
      <w:pPr>
        <w:pStyle w:val="BodyText"/>
        <w:spacing w:line="232" w:lineRule="auto" w:before="69"/>
        <w:ind w:left="168" w:right="413"/>
      </w:pPr>
      <w:r>
        <w:rPr/>
        <w:br w:type="column"/>
      </w:r>
      <w:r>
        <w:rPr>
          <w:color w:val="231F20"/>
        </w:rPr>
        <w:t>Плана. </w:t>
      </w:r>
      <w:r>
        <w:rPr>
          <w:color w:val="231F20"/>
          <w:spacing w:val="-7"/>
        </w:rPr>
        <w:t>Уколико </w:t>
      </w:r>
      <w:r>
        <w:rPr>
          <w:color w:val="231F20"/>
        </w:rPr>
        <w:t>анализа </w:t>
      </w:r>
      <w:r>
        <w:rPr>
          <w:color w:val="231F20"/>
          <w:spacing w:val="-3"/>
        </w:rPr>
        <w:t>укаже </w:t>
      </w:r>
      <w:r>
        <w:rPr>
          <w:color w:val="231F20"/>
        </w:rPr>
        <w:t>на </w:t>
      </w:r>
      <w:r>
        <w:rPr>
          <w:color w:val="231F20"/>
          <w:spacing w:val="-3"/>
        </w:rPr>
        <w:t>знатнија одступања </w:t>
      </w:r>
      <w:r>
        <w:rPr>
          <w:color w:val="231F20"/>
        </w:rPr>
        <w:t>у </w:t>
      </w:r>
      <w:r>
        <w:rPr>
          <w:color w:val="231F20"/>
          <w:spacing w:val="-3"/>
        </w:rPr>
        <w:t>остварива- </w:t>
      </w:r>
      <w:r>
        <w:rPr>
          <w:color w:val="231F20"/>
        </w:rPr>
        <w:t>њу планских решења и пропозиција или на могућа </w:t>
      </w:r>
      <w:r>
        <w:rPr>
          <w:color w:val="231F20"/>
          <w:spacing w:val="-3"/>
        </w:rPr>
        <w:t>нова </w:t>
      </w:r>
      <w:r>
        <w:rPr>
          <w:color w:val="231F20"/>
        </w:rPr>
        <w:t>решења, биће покренут поступак </w:t>
      </w:r>
      <w:r>
        <w:rPr>
          <w:color w:val="231F20"/>
          <w:spacing w:val="-3"/>
        </w:rPr>
        <w:t>измена </w:t>
      </w:r>
      <w:r>
        <w:rPr>
          <w:color w:val="231F20"/>
        </w:rPr>
        <w:t>и допуна Просторног плана.</w:t>
      </w:r>
    </w:p>
    <w:p>
      <w:pPr>
        <w:pStyle w:val="Heading1"/>
        <w:spacing w:line="232" w:lineRule="auto"/>
        <w:ind w:left="1649" w:right="763" w:hanging="1031"/>
      </w:pPr>
      <w:r>
        <w:rPr>
          <w:color w:val="231F20"/>
        </w:rPr>
        <w:t>2. Израда планских докумената, развојне, студијске и техничке документације</w:t>
      </w:r>
    </w:p>
    <w:p>
      <w:pPr>
        <w:pStyle w:val="BodyText"/>
        <w:spacing w:before="3"/>
        <w:ind w:left="0"/>
        <w:jc w:val="left"/>
        <w:rPr>
          <w:b/>
          <w:sz w:val="17"/>
        </w:rPr>
      </w:pPr>
    </w:p>
    <w:p>
      <w:pPr>
        <w:pStyle w:val="BodyText"/>
        <w:spacing w:line="230" w:lineRule="auto"/>
        <w:ind w:left="168" w:right="413" w:firstLine="397"/>
      </w:pPr>
      <w:r>
        <w:rPr>
          <w:color w:val="231F20"/>
        </w:rPr>
        <w:t>Развој површинских копова, ревитализација постојећих енергетских и индустријских објеката и изградња нових на План- ском подручју биће засновани на дугорочним и средњорочним програмима развоја ТЕ-КО „Костолац” и инвестиционо-технич- кој документацији, усклађеним са Стратегијом развоја енергетике Србије, Просторним планом и другим планским документима на Планском подручју.</w:t>
      </w:r>
    </w:p>
    <w:p>
      <w:pPr>
        <w:pStyle w:val="BodyText"/>
        <w:spacing w:line="230" w:lineRule="auto"/>
        <w:ind w:left="168" w:right="413" w:firstLine="396"/>
      </w:pPr>
      <w:r>
        <w:rPr>
          <w:color w:val="231F20"/>
        </w:rPr>
        <w:t>Пресељење становништва и измештање насеља, привредних, инфраструктурних</w:t>
      </w:r>
      <w:r>
        <w:rPr>
          <w:color w:val="231F20"/>
          <w:spacing w:val="-6"/>
        </w:rPr>
        <w:t> </w:t>
      </w:r>
      <w:r>
        <w:rPr>
          <w:color w:val="231F20"/>
        </w:rPr>
        <w:t>и</w:t>
      </w:r>
      <w:r>
        <w:rPr>
          <w:color w:val="231F20"/>
          <w:spacing w:val="-6"/>
        </w:rPr>
        <w:t> </w:t>
      </w:r>
      <w:r>
        <w:rPr>
          <w:color w:val="231F20"/>
        </w:rPr>
        <w:t>других</w:t>
      </w:r>
      <w:r>
        <w:rPr>
          <w:color w:val="231F20"/>
          <w:spacing w:val="-6"/>
        </w:rPr>
        <w:t> </w:t>
      </w:r>
      <w:r>
        <w:rPr>
          <w:color w:val="231F20"/>
        </w:rPr>
        <w:t>објеката</w:t>
      </w:r>
      <w:r>
        <w:rPr>
          <w:color w:val="231F20"/>
          <w:spacing w:val="-6"/>
        </w:rPr>
        <w:t> </w:t>
      </w:r>
      <w:r>
        <w:rPr>
          <w:color w:val="231F20"/>
        </w:rPr>
        <w:t>из</w:t>
      </w:r>
      <w:r>
        <w:rPr>
          <w:color w:val="231F20"/>
          <w:spacing w:val="-6"/>
        </w:rPr>
        <w:t> </w:t>
      </w:r>
      <w:r>
        <w:rPr>
          <w:color w:val="231F20"/>
        </w:rPr>
        <w:t>подручја</w:t>
      </w:r>
      <w:r>
        <w:rPr>
          <w:color w:val="231F20"/>
          <w:spacing w:val="-6"/>
        </w:rPr>
        <w:t> </w:t>
      </w:r>
      <w:r>
        <w:rPr>
          <w:color w:val="231F20"/>
        </w:rPr>
        <w:t>површинске</w:t>
      </w:r>
      <w:r>
        <w:rPr>
          <w:color w:val="231F20"/>
          <w:spacing w:val="-6"/>
        </w:rPr>
        <w:t> </w:t>
      </w:r>
      <w:r>
        <w:rPr>
          <w:color w:val="231F20"/>
        </w:rPr>
        <w:t>екс- плоатације вршиће се организовано и плански, на основу одгова- рајућих урбанистичких планова, програма пресељења усклађених са динамиком рударских радова и Просторним</w:t>
      </w:r>
      <w:r>
        <w:rPr>
          <w:color w:val="231F20"/>
          <w:spacing w:val="-13"/>
        </w:rPr>
        <w:t> </w:t>
      </w:r>
      <w:r>
        <w:rPr>
          <w:color w:val="231F20"/>
        </w:rPr>
        <w:t>планом.</w:t>
      </w:r>
    </w:p>
    <w:p>
      <w:pPr>
        <w:pStyle w:val="BodyText"/>
        <w:spacing w:line="230" w:lineRule="auto"/>
        <w:ind w:left="168" w:right="413" w:firstLine="397"/>
      </w:pPr>
      <w:r>
        <w:rPr>
          <w:color w:val="231F20"/>
        </w:rPr>
        <w:t>Рекултивација</w:t>
      </w:r>
      <w:r>
        <w:rPr>
          <w:color w:val="231F20"/>
          <w:spacing w:val="-8"/>
        </w:rPr>
        <w:t> </w:t>
      </w:r>
      <w:r>
        <w:rPr>
          <w:color w:val="231F20"/>
        </w:rPr>
        <w:t>и</w:t>
      </w:r>
      <w:r>
        <w:rPr>
          <w:color w:val="231F20"/>
          <w:spacing w:val="-8"/>
        </w:rPr>
        <w:t> </w:t>
      </w:r>
      <w:r>
        <w:rPr>
          <w:color w:val="231F20"/>
        </w:rPr>
        <w:t>ревитализација</w:t>
      </w:r>
      <w:r>
        <w:rPr>
          <w:color w:val="231F20"/>
          <w:spacing w:val="-8"/>
        </w:rPr>
        <w:t> </w:t>
      </w:r>
      <w:r>
        <w:rPr>
          <w:color w:val="231F20"/>
        </w:rPr>
        <w:t>оштећеног</w:t>
      </w:r>
      <w:r>
        <w:rPr>
          <w:color w:val="231F20"/>
          <w:spacing w:val="-8"/>
        </w:rPr>
        <w:t> </w:t>
      </w:r>
      <w:r>
        <w:rPr>
          <w:color w:val="231F20"/>
        </w:rPr>
        <w:t>(заузетог)</w:t>
      </w:r>
      <w:r>
        <w:rPr>
          <w:color w:val="231F20"/>
          <w:spacing w:val="-8"/>
        </w:rPr>
        <w:t> </w:t>
      </w:r>
      <w:r>
        <w:rPr>
          <w:color w:val="231F20"/>
        </w:rPr>
        <w:t>земљи- шта вршиће се на основу дугорочних и средњорочних програма и одговарајуће техничке документације, заснованих на резултатима истраживања, а међусобно усклађених са програмима и пројекти- ма рударских</w:t>
      </w:r>
      <w:r>
        <w:rPr>
          <w:color w:val="231F20"/>
          <w:spacing w:val="-1"/>
        </w:rPr>
        <w:t> </w:t>
      </w:r>
      <w:r>
        <w:rPr>
          <w:color w:val="231F20"/>
        </w:rPr>
        <w:t>радова.</w:t>
      </w:r>
    </w:p>
    <w:p>
      <w:pPr>
        <w:pStyle w:val="BodyText"/>
        <w:spacing w:line="230" w:lineRule="auto"/>
        <w:ind w:left="94" w:right="413" w:firstLine="397"/>
        <w:jc w:val="right"/>
      </w:pPr>
      <w:r>
        <w:rPr>
          <w:color w:val="231F20"/>
        </w:rPr>
        <w:t>За насеља/делове насеља </w:t>
      </w:r>
      <w:r>
        <w:rPr>
          <w:color w:val="231F20"/>
          <w:spacing w:val="-5"/>
        </w:rPr>
        <w:t>где </w:t>
      </w:r>
      <w:r>
        <w:rPr>
          <w:color w:val="231F20"/>
        </w:rPr>
        <w:t>ће приоритетно бити насељава- но </w:t>
      </w:r>
      <w:r>
        <w:rPr>
          <w:color w:val="231F20"/>
          <w:spacing w:val="-3"/>
        </w:rPr>
        <w:t>размештено </w:t>
      </w:r>
      <w:r>
        <w:rPr>
          <w:color w:val="231F20"/>
        </w:rPr>
        <w:t>становништво, доносиће се програми припремања и </w:t>
      </w:r>
      <w:r>
        <w:rPr>
          <w:color w:val="231F20"/>
          <w:spacing w:val="-3"/>
        </w:rPr>
        <w:t>уређивања </w:t>
      </w:r>
      <w:r>
        <w:rPr>
          <w:color w:val="231F20"/>
        </w:rPr>
        <w:t>земљишта и опремања насеља </w:t>
      </w:r>
      <w:r>
        <w:rPr>
          <w:color w:val="231F20"/>
          <w:spacing w:val="-3"/>
        </w:rPr>
        <w:t>односно њихових делова.</w:t>
      </w:r>
      <w:r>
        <w:rPr>
          <w:color w:val="231F20"/>
        </w:rPr>
        <w:t> У складу са одредбама чл. 19. и 20. Закона о планирању и из-</w:t>
      </w:r>
    </w:p>
    <w:p>
      <w:pPr>
        <w:pStyle w:val="BodyText"/>
        <w:spacing w:line="194" w:lineRule="exact"/>
        <w:ind w:left="168"/>
      </w:pPr>
      <w:r>
        <w:rPr>
          <w:color w:val="231F20"/>
        </w:rPr>
        <w:t>градњи на Планском подручју покренута је израда:</w:t>
      </w:r>
    </w:p>
    <w:p>
      <w:pPr>
        <w:pStyle w:val="ListParagraph"/>
        <w:numPr>
          <w:ilvl w:val="0"/>
          <w:numId w:val="40"/>
        </w:numPr>
        <w:tabs>
          <w:tab w:pos="746" w:val="left" w:leader="none"/>
        </w:tabs>
        <w:spacing w:line="198" w:lineRule="exact" w:before="0" w:after="0"/>
        <w:ind w:left="565" w:right="0" w:firstLine="0"/>
        <w:jc w:val="left"/>
        <w:rPr>
          <w:sz w:val="18"/>
        </w:rPr>
      </w:pPr>
      <w:r>
        <w:rPr>
          <w:color w:val="231F20"/>
          <w:sz w:val="18"/>
        </w:rPr>
        <w:t>Просторног плана подручја града</w:t>
      </w:r>
      <w:r>
        <w:rPr>
          <w:color w:val="231F20"/>
          <w:spacing w:val="-6"/>
          <w:sz w:val="18"/>
        </w:rPr>
        <w:t> </w:t>
      </w:r>
      <w:r>
        <w:rPr>
          <w:color w:val="231F20"/>
          <w:sz w:val="18"/>
        </w:rPr>
        <w:t>Пожаревца;</w:t>
      </w:r>
    </w:p>
    <w:p>
      <w:pPr>
        <w:pStyle w:val="ListParagraph"/>
        <w:numPr>
          <w:ilvl w:val="0"/>
          <w:numId w:val="40"/>
        </w:numPr>
        <w:tabs>
          <w:tab w:pos="746" w:val="left" w:leader="none"/>
        </w:tabs>
        <w:spacing w:line="198" w:lineRule="exact" w:before="0" w:after="0"/>
        <w:ind w:left="745" w:right="0" w:hanging="180"/>
        <w:jc w:val="left"/>
        <w:rPr>
          <w:sz w:val="18"/>
        </w:rPr>
      </w:pPr>
      <w:r>
        <w:rPr>
          <w:color w:val="231F20"/>
          <w:sz w:val="18"/>
        </w:rPr>
        <w:t>Просторног плана општине Велико Градиште</w:t>
      </w:r>
      <w:r>
        <w:rPr>
          <w:color w:val="231F20"/>
          <w:spacing w:val="-14"/>
          <w:sz w:val="18"/>
        </w:rPr>
        <w:t> </w:t>
      </w:r>
      <w:r>
        <w:rPr>
          <w:color w:val="231F20"/>
          <w:sz w:val="18"/>
        </w:rPr>
        <w:t>(усвојен);</w:t>
      </w:r>
    </w:p>
    <w:p>
      <w:pPr>
        <w:pStyle w:val="ListParagraph"/>
        <w:numPr>
          <w:ilvl w:val="0"/>
          <w:numId w:val="40"/>
        </w:numPr>
        <w:tabs>
          <w:tab w:pos="746" w:val="left" w:leader="none"/>
        </w:tabs>
        <w:spacing w:line="198" w:lineRule="exact" w:before="0" w:after="0"/>
        <w:ind w:left="565" w:right="0" w:firstLine="0"/>
        <w:jc w:val="left"/>
        <w:rPr>
          <w:sz w:val="18"/>
        </w:rPr>
      </w:pPr>
      <w:r>
        <w:rPr>
          <w:color w:val="231F20"/>
          <w:sz w:val="18"/>
        </w:rPr>
        <w:t>Генералног урбанистичког плана Пожаревца</w:t>
      </w:r>
      <w:r>
        <w:rPr>
          <w:color w:val="231F20"/>
          <w:spacing w:val="-8"/>
          <w:sz w:val="18"/>
        </w:rPr>
        <w:t> </w:t>
      </w:r>
      <w:r>
        <w:rPr>
          <w:color w:val="231F20"/>
          <w:sz w:val="18"/>
        </w:rPr>
        <w:t>и</w:t>
      </w:r>
    </w:p>
    <w:p>
      <w:pPr>
        <w:pStyle w:val="ListParagraph"/>
        <w:numPr>
          <w:ilvl w:val="0"/>
          <w:numId w:val="40"/>
        </w:numPr>
        <w:tabs>
          <w:tab w:pos="746" w:val="left" w:leader="none"/>
        </w:tabs>
        <w:spacing w:line="230" w:lineRule="auto" w:before="0" w:after="0"/>
        <w:ind w:left="565" w:right="413" w:firstLine="0"/>
        <w:jc w:val="left"/>
        <w:rPr>
          <w:sz w:val="18"/>
        </w:rPr>
      </w:pPr>
      <w:r>
        <w:rPr>
          <w:color w:val="231F20"/>
          <w:sz w:val="18"/>
        </w:rPr>
        <w:t>Плана генералне регулације за градско насеље Костолац. Просторни план града Пожаревца садржаће шематске</w:t>
      </w:r>
      <w:r>
        <w:rPr>
          <w:color w:val="231F20"/>
          <w:spacing w:val="-21"/>
          <w:sz w:val="18"/>
        </w:rPr>
        <w:t> </w:t>
      </w:r>
      <w:r>
        <w:rPr>
          <w:color w:val="231F20"/>
          <w:sz w:val="18"/>
        </w:rPr>
        <w:t>прика-</w:t>
      </w:r>
    </w:p>
    <w:p>
      <w:pPr>
        <w:pStyle w:val="BodyText"/>
        <w:spacing w:line="230" w:lineRule="auto"/>
        <w:ind w:left="168" w:right="413" w:hanging="1"/>
      </w:pPr>
      <w:r>
        <w:rPr>
          <w:color w:val="231F20"/>
        </w:rPr>
        <w:t>зе за насеља за која није предвиђена израда посебних урбанистич- ких планова.</w:t>
      </w:r>
    </w:p>
    <w:p>
      <w:pPr>
        <w:pStyle w:val="BodyText"/>
        <w:spacing w:line="230" w:lineRule="auto"/>
        <w:ind w:left="168" w:right="413" w:firstLine="396"/>
      </w:pPr>
      <w:r>
        <w:rPr>
          <w:color w:val="231F20"/>
        </w:rPr>
        <w:t>Просторни план општине Велико Градиште садржи шемат- ске приказе за насеља Курјаче, Мајиловац и Сираково.</w:t>
      </w:r>
    </w:p>
    <w:p>
      <w:pPr>
        <w:pStyle w:val="ListParagraph"/>
        <w:numPr>
          <w:ilvl w:val="1"/>
          <w:numId w:val="41"/>
        </w:numPr>
        <w:tabs>
          <w:tab w:pos="1111" w:val="left" w:leader="none"/>
        </w:tabs>
        <w:spacing w:line="240" w:lineRule="auto" w:before="154" w:after="0"/>
        <w:ind w:left="1580" w:right="0" w:hanging="785"/>
        <w:jc w:val="left"/>
        <w:rPr>
          <w:i/>
          <w:sz w:val="18"/>
        </w:rPr>
      </w:pPr>
      <w:r>
        <w:rPr>
          <w:i/>
          <w:color w:val="231F20"/>
          <w:sz w:val="18"/>
        </w:rPr>
        <w:t>Приоритети у изради планске</w:t>
      </w:r>
      <w:r>
        <w:rPr>
          <w:i/>
          <w:color w:val="231F20"/>
          <w:spacing w:val="-4"/>
          <w:sz w:val="18"/>
        </w:rPr>
        <w:t> </w:t>
      </w:r>
      <w:r>
        <w:rPr>
          <w:i/>
          <w:color w:val="231F20"/>
          <w:sz w:val="18"/>
        </w:rPr>
        <w:t>документације</w:t>
      </w:r>
    </w:p>
    <w:p>
      <w:pPr>
        <w:pStyle w:val="BodyText"/>
        <w:ind w:left="0"/>
        <w:jc w:val="left"/>
        <w:rPr>
          <w:i/>
          <w:sz w:val="17"/>
        </w:rPr>
      </w:pPr>
    </w:p>
    <w:p>
      <w:pPr>
        <w:pStyle w:val="ListParagraph"/>
        <w:numPr>
          <w:ilvl w:val="0"/>
          <w:numId w:val="42"/>
        </w:numPr>
        <w:tabs>
          <w:tab w:pos="751" w:val="left" w:leader="none"/>
        </w:tabs>
        <w:spacing w:line="230" w:lineRule="auto" w:before="1" w:after="0"/>
        <w:ind w:left="168" w:right="412" w:firstLine="397"/>
        <w:jc w:val="both"/>
        <w:rPr>
          <w:sz w:val="18"/>
        </w:rPr>
      </w:pPr>
      <w:r>
        <w:rPr>
          <w:color w:val="231F20"/>
          <w:sz w:val="18"/>
        </w:rPr>
        <w:t>За насеља </w:t>
      </w:r>
      <w:r>
        <w:rPr>
          <w:color w:val="231F20"/>
          <w:spacing w:val="-3"/>
          <w:sz w:val="18"/>
        </w:rPr>
        <w:t>која </w:t>
      </w:r>
      <w:r>
        <w:rPr>
          <w:color w:val="231F20"/>
          <w:sz w:val="18"/>
        </w:rPr>
        <w:t>се налазе у непосредној близини рударских радова, зони експлоатације нафте и гаса или у </w:t>
      </w:r>
      <w:r>
        <w:rPr>
          <w:color w:val="231F20"/>
          <w:spacing w:val="-3"/>
          <w:sz w:val="18"/>
        </w:rPr>
        <w:t>будућим </w:t>
      </w:r>
      <w:r>
        <w:rPr>
          <w:color w:val="231F20"/>
          <w:sz w:val="18"/>
        </w:rPr>
        <w:t>експлоа- тационим подручјима лигнитских лежишта, предвиђа се израда и доношење одговарајућих урбанистичких планова (планова гене- ралне</w:t>
      </w:r>
      <w:r>
        <w:rPr>
          <w:color w:val="231F20"/>
          <w:spacing w:val="-7"/>
          <w:sz w:val="18"/>
        </w:rPr>
        <w:t> </w:t>
      </w:r>
      <w:r>
        <w:rPr>
          <w:color w:val="231F20"/>
          <w:sz w:val="18"/>
        </w:rPr>
        <w:t>регулације)</w:t>
      </w:r>
      <w:r>
        <w:rPr>
          <w:color w:val="231F20"/>
          <w:spacing w:val="-8"/>
          <w:sz w:val="18"/>
        </w:rPr>
        <w:t> </w:t>
      </w:r>
      <w:r>
        <w:rPr>
          <w:color w:val="231F20"/>
          <w:sz w:val="18"/>
        </w:rPr>
        <w:t>у</w:t>
      </w:r>
      <w:r>
        <w:rPr>
          <w:color w:val="231F20"/>
          <w:spacing w:val="-7"/>
          <w:sz w:val="18"/>
        </w:rPr>
        <w:t> </w:t>
      </w:r>
      <w:r>
        <w:rPr>
          <w:color w:val="231F20"/>
          <w:sz w:val="18"/>
        </w:rPr>
        <w:t>приоритету</w:t>
      </w:r>
      <w:r>
        <w:rPr>
          <w:color w:val="231F20"/>
          <w:spacing w:val="-7"/>
          <w:sz w:val="18"/>
        </w:rPr>
        <w:t> </w:t>
      </w:r>
      <w:r>
        <w:rPr>
          <w:color w:val="231F20"/>
          <w:sz w:val="18"/>
        </w:rPr>
        <w:t>до</w:t>
      </w:r>
      <w:r>
        <w:rPr>
          <w:color w:val="231F20"/>
          <w:spacing w:val="-7"/>
          <w:sz w:val="18"/>
        </w:rPr>
        <w:t> </w:t>
      </w:r>
      <w:r>
        <w:rPr>
          <w:color w:val="231F20"/>
          <w:sz w:val="18"/>
        </w:rPr>
        <w:t>2015.</w:t>
      </w:r>
      <w:r>
        <w:rPr>
          <w:color w:val="231F20"/>
          <w:spacing w:val="-7"/>
          <w:sz w:val="18"/>
        </w:rPr>
        <w:t> </w:t>
      </w:r>
      <w:r>
        <w:rPr>
          <w:color w:val="231F20"/>
          <w:spacing w:val="-3"/>
          <w:sz w:val="18"/>
        </w:rPr>
        <w:t>године</w:t>
      </w:r>
      <w:r>
        <w:rPr>
          <w:color w:val="231F20"/>
          <w:spacing w:val="-7"/>
          <w:sz w:val="18"/>
        </w:rPr>
        <w:t> </w:t>
      </w:r>
      <w:r>
        <w:rPr>
          <w:color w:val="231F20"/>
          <w:sz w:val="18"/>
        </w:rPr>
        <w:t>за</w:t>
      </w:r>
      <w:r>
        <w:rPr>
          <w:color w:val="231F20"/>
          <w:spacing w:val="-7"/>
          <w:sz w:val="18"/>
        </w:rPr>
        <w:t> </w:t>
      </w:r>
      <w:r>
        <w:rPr>
          <w:color w:val="231F20"/>
          <w:sz w:val="18"/>
        </w:rPr>
        <w:t>следећа</w:t>
      </w:r>
      <w:r>
        <w:rPr>
          <w:color w:val="231F20"/>
          <w:spacing w:val="-7"/>
          <w:sz w:val="18"/>
        </w:rPr>
        <w:t> </w:t>
      </w:r>
      <w:r>
        <w:rPr>
          <w:color w:val="231F20"/>
          <w:sz w:val="18"/>
        </w:rPr>
        <w:t>насеља: Дрмно, Петка, Костолац Село, Кленовник, Ћириковац, Брадарац, Маљуревац и Кличевац, а у </w:t>
      </w:r>
      <w:r>
        <w:rPr>
          <w:color w:val="231F20"/>
          <w:spacing w:val="-3"/>
          <w:sz w:val="18"/>
        </w:rPr>
        <w:t>другом  </w:t>
      </w:r>
      <w:r>
        <w:rPr>
          <w:color w:val="231F20"/>
          <w:sz w:val="18"/>
        </w:rPr>
        <w:t>приоритету до 2018. </w:t>
      </w:r>
      <w:r>
        <w:rPr>
          <w:color w:val="231F20"/>
          <w:spacing w:val="-3"/>
          <w:sz w:val="18"/>
        </w:rPr>
        <w:t>године  </w:t>
      </w:r>
      <w:r>
        <w:rPr>
          <w:color w:val="231F20"/>
          <w:sz w:val="18"/>
        </w:rPr>
        <w:t>за зону утицаја </w:t>
      </w:r>
      <w:r>
        <w:rPr>
          <w:color w:val="231F20"/>
          <w:spacing w:val="-3"/>
          <w:sz w:val="18"/>
        </w:rPr>
        <w:t>будућег </w:t>
      </w:r>
      <w:r>
        <w:rPr>
          <w:color w:val="231F20"/>
          <w:sz w:val="18"/>
        </w:rPr>
        <w:t>површинског </w:t>
      </w:r>
      <w:r>
        <w:rPr>
          <w:color w:val="231F20"/>
          <w:spacing w:val="-3"/>
          <w:sz w:val="18"/>
        </w:rPr>
        <w:t>копа </w:t>
      </w:r>
      <w:r>
        <w:rPr>
          <w:color w:val="231F20"/>
          <w:sz w:val="18"/>
        </w:rPr>
        <w:t>„Дубравица”, односно за насеља: Дубравица, Батовац и Острово (град Пожаревац) и за зону утицаја истраживања и експлоатације нафте и гаса, односно, за насеља </w:t>
      </w:r>
      <w:r>
        <w:rPr>
          <w:color w:val="231F20"/>
          <w:spacing w:val="-3"/>
          <w:sz w:val="18"/>
        </w:rPr>
        <w:t>Курјаче, </w:t>
      </w:r>
      <w:r>
        <w:rPr>
          <w:color w:val="231F20"/>
          <w:sz w:val="18"/>
        </w:rPr>
        <w:t>Мајиловац и Сираково (општина Велико </w:t>
      </w:r>
      <w:r>
        <w:rPr>
          <w:color w:val="231F20"/>
          <w:spacing w:val="-3"/>
          <w:sz w:val="18"/>
        </w:rPr>
        <w:t>Гра- </w:t>
      </w:r>
      <w:r>
        <w:rPr>
          <w:color w:val="231F20"/>
          <w:sz w:val="18"/>
        </w:rPr>
        <w:t>диште). Овим планским документима треба обухватити целе ка- тастарске општине насеља. Ови урбанистички планови обавезно садрже</w:t>
      </w:r>
      <w:r>
        <w:rPr>
          <w:color w:val="231F20"/>
          <w:spacing w:val="-8"/>
          <w:sz w:val="18"/>
        </w:rPr>
        <w:t> </w:t>
      </w:r>
      <w:r>
        <w:rPr>
          <w:color w:val="231F20"/>
          <w:sz w:val="18"/>
        </w:rPr>
        <w:t>посебан</w:t>
      </w:r>
      <w:r>
        <w:rPr>
          <w:color w:val="231F20"/>
          <w:spacing w:val="-8"/>
          <w:sz w:val="18"/>
        </w:rPr>
        <w:t> </w:t>
      </w:r>
      <w:r>
        <w:rPr>
          <w:color w:val="231F20"/>
          <w:sz w:val="18"/>
        </w:rPr>
        <w:t>програм</w:t>
      </w:r>
      <w:r>
        <w:rPr>
          <w:color w:val="231F20"/>
          <w:spacing w:val="-7"/>
          <w:sz w:val="18"/>
        </w:rPr>
        <w:t> </w:t>
      </w:r>
      <w:r>
        <w:rPr>
          <w:color w:val="231F20"/>
          <w:sz w:val="18"/>
        </w:rPr>
        <w:t>заузимања</w:t>
      </w:r>
      <w:r>
        <w:rPr>
          <w:color w:val="231F20"/>
          <w:spacing w:val="-7"/>
          <w:sz w:val="18"/>
        </w:rPr>
        <w:t> </w:t>
      </w:r>
      <w:r>
        <w:rPr>
          <w:color w:val="231F20"/>
          <w:sz w:val="18"/>
        </w:rPr>
        <w:t>површина</w:t>
      </w:r>
      <w:r>
        <w:rPr>
          <w:color w:val="231F20"/>
          <w:spacing w:val="-7"/>
          <w:sz w:val="18"/>
        </w:rPr>
        <w:t> </w:t>
      </w:r>
      <w:r>
        <w:rPr>
          <w:color w:val="231F20"/>
          <w:sz w:val="18"/>
        </w:rPr>
        <w:t>различитих</w:t>
      </w:r>
      <w:r>
        <w:rPr>
          <w:color w:val="231F20"/>
          <w:spacing w:val="-7"/>
          <w:sz w:val="18"/>
        </w:rPr>
        <w:t> </w:t>
      </w:r>
      <w:r>
        <w:rPr>
          <w:color w:val="231F20"/>
          <w:sz w:val="18"/>
        </w:rPr>
        <w:t>намена, пресељења становништва и измештања инфраструктурних систе- ма, комуналних (гробља), привредних и других</w:t>
      </w:r>
      <w:r>
        <w:rPr>
          <w:color w:val="231F20"/>
          <w:spacing w:val="-15"/>
          <w:sz w:val="18"/>
        </w:rPr>
        <w:t> </w:t>
      </w:r>
      <w:r>
        <w:rPr>
          <w:color w:val="231F20"/>
          <w:sz w:val="18"/>
        </w:rPr>
        <w:t>објеката.</w:t>
      </w:r>
    </w:p>
    <w:p>
      <w:pPr>
        <w:pStyle w:val="ListParagraph"/>
        <w:numPr>
          <w:ilvl w:val="0"/>
          <w:numId w:val="42"/>
        </w:numPr>
        <w:tabs>
          <w:tab w:pos="764" w:val="left" w:leader="none"/>
        </w:tabs>
        <w:spacing w:line="230" w:lineRule="auto" w:before="0" w:after="0"/>
        <w:ind w:left="169" w:right="411" w:firstLine="397"/>
        <w:jc w:val="both"/>
        <w:rPr>
          <w:sz w:val="18"/>
        </w:rPr>
      </w:pPr>
      <w:r>
        <w:rPr>
          <w:color w:val="231F20"/>
          <w:sz w:val="18"/>
        </w:rPr>
        <w:t>Правила изградње и правила уређења простора, односно, регулациона решења за: нове саобраћајне коридоре и објекте, по- ља ветрогенератора, уређење обала река, пристаништа и марине, депонију пепела на Средњем </w:t>
      </w:r>
      <w:r>
        <w:rPr>
          <w:color w:val="231F20"/>
          <w:spacing w:val="-4"/>
          <w:sz w:val="18"/>
        </w:rPr>
        <w:t>костолачком </w:t>
      </w:r>
      <w:r>
        <w:rPr>
          <w:color w:val="231F20"/>
          <w:sz w:val="18"/>
        </w:rPr>
        <w:t>острву и друге објекте у </w:t>
      </w:r>
      <w:r>
        <w:rPr>
          <w:color w:val="231F20"/>
          <w:spacing w:val="-3"/>
          <w:sz w:val="18"/>
        </w:rPr>
        <w:t>рударско-енергетском комплексу који </w:t>
      </w:r>
      <w:r>
        <w:rPr>
          <w:color w:val="231F20"/>
          <w:sz w:val="18"/>
        </w:rPr>
        <w:t>нису обухваћени регулацио- ним разрадама (Књига II), биће утврђена накнадно у поступку из- мена</w:t>
      </w:r>
      <w:r>
        <w:rPr>
          <w:color w:val="231F20"/>
          <w:spacing w:val="-6"/>
          <w:sz w:val="18"/>
        </w:rPr>
        <w:t> </w:t>
      </w:r>
      <w:r>
        <w:rPr>
          <w:color w:val="231F20"/>
          <w:sz w:val="18"/>
        </w:rPr>
        <w:t>и</w:t>
      </w:r>
      <w:r>
        <w:rPr>
          <w:color w:val="231F20"/>
          <w:spacing w:val="-6"/>
          <w:sz w:val="18"/>
        </w:rPr>
        <w:t> </w:t>
      </w:r>
      <w:r>
        <w:rPr>
          <w:color w:val="231F20"/>
          <w:sz w:val="18"/>
        </w:rPr>
        <w:t>допуна</w:t>
      </w:r>
      <w:r>
        <w:rPr>
          <w:color w:val="231F20"/>
          <w:spacing w:val="-6"/>
          <w:sz w:val="18"/>
        </w:rPr>
        <w:t> </w:t>
      </w:r>
      <w:r>
        <w:rPr>
          <w:color w:val="231F20"/>
          <w:sz w:val="18"/>
        </w:rPr>
        <w:t>Просторног</w:t>
      </w:r>
      <w:r>
        <w:rPr>
          <w:color w:val="231F20"/>
          <w:spacing w:val="-6"/>
          <w:sz w:val="18"/>
        </w:rPr>
        <w:t> </w:t>
      </w:r>
      <w:r>
        <w:rPr>
          <w:color w:val="231F20"/>
          <w:sz w:val="18"/>
        </w:rPr>
        <w:t>плана</w:t>
      </w:r>
      <w:r>
        <w:rPr>
          <w:color w:val="231F20"/>
          <w:spacing w:val="-6"/>
          <w:sz w:val="18"/>
        </w:rPr>
        <w:t> </w:t>
      </w:r>
      <w:r>
        <w:rPr>
          <w:color w:val="231F20"/>
          <w:sz w:val="18"/>
        </w:rPr>
        <w:t>на</w:t>
      </w:r>
      <w:r>
        <w:rPr>
          <w:color w:val="231F20"/>
          <w:spacing w:val="-6"/>
          <w:sz w:val="18"/>
        </w:rPr>
        <w:t> </w:t>
      </w:r>
      <w:r>
        <w:rPr>
          <w:color w:val="231F20"/>
          <w:sz w:val="18"/>
        </w:rPr>
        <w:t>основу</w:t>
      </w:r>
      <w:r>
        <w:rPr>
          <w:color w:val="231F20"/>
          <w:spacing w:val="-6"/>
          <w:sz w:val="18"/>
        </w:rPr>
        <w:t> </w:t>
      </w:r>
      <w:r>
        <w:rPr>
          <w:color w:val="231F20"/>
          <w:sz w:val="18"/>
        </w:rPr>
        <w:t>одговарајуће</w:t>
      </w:r>
      <w:r>
        <w:rPr>
          <w:color w:val="231F20"/>
          <w:spacing w:val="-6"/>
          <w:sz w:val="18"/>
        </w:rPr>
        <w:t> </w:t>
      </w:r>
      <w:r>
        <w:rPr>
          <w:color w:val="231F20"/>
          <w:spacing w:val="-3"/>
          <w:sz w:val="18"/>
        </w:rPr>
        <w:t>студијске </w:t>
      </w:r>
      <w:r>
        <w:rPr>
          <w:color w:val="231F20"/>
          <w:sz w:val="18"/>
        </w:rPr>
        <w:t>и техничке документације до 2015.</w:t>
      </w:r>
      <w:r>
        <w:rPr>
          <w:color w:val="231F20"/>
          <w:spacing w:val="-3"/>
          <w:sz w:val="18"/>
        </w:rPr>
        <w:t> године.</w:t>
      </w:r>
    </w:p>
    <w:p>
      <w:pPr>
        <w:pStyle w:val="ListParagraph"/>
        <w:numPr>
          <w:ilvl w:val="0"/>
          <w:numId w:val="42"/>
        </w:numPr>
        <w:tabs>
          <w:tab w:pos="749" w:val="left" w:leader="none"/>
        </w:tabs>
        <w:spacing w:line="230" w:lineRule="auto" w:before="0" w:after="0"/>
        <w:ind w:left="170" w:right="411" w:firstLine="397"/>
        <w:jc w:val="both"/>
        <w:rPr>
          <w:sz w:val="18"/>
        </w:rPr>
      </w:pPr>
      <w:r>
        <w:rPr>
          <w:color w:val="231F20"/>
          <w:sz w:val="18"/>
        </w:rPr>
        <w:t>За </w:t>
      </w:r>
      <w:r>
        <w:rPr>
          <w:color w:val="231F20"/>
          <w:spacing w:val="-3"/>
          <w:sz w:val="18"/>
        </w:rPr>
        <w:t>археолошко </w:t>
      </w:r>
      <w:r>
        <w:rPr>
          <w:color w:val="231F20"/>
          <w:sz w:val="18"/>
        </w:rPr>
        <w:t>налазиште Виминацијум и друге </w:t>
      </w:r>
      <w:r>
        <w:rPr>
          <w:color w:val="231F20"/>
          <w:spacing w:val="-3"/>
          <w:sz w:val="18"/>
        </w:rPr>
        <w:t>комплексе </w:t>
      </w:r>
      <w:r>
        <w:rPr>
          <w:color w:val="231F20"/>
          <w:sz w:val="18"/>
        </w:rPr>
        <w:t>са</w:t>
      </w:r>
      <w:r>
        <w:rPr>
          <w:color w:val="231F20"/>
          <w:spacing w:val="-8"/>
          <w:sz w:val="18"/>
        </w:rPr>
        <w:t> </w:t>
      </w:r>
      <w:r>
        <w:rPr>
          <w:color w:val="231F20"/>
          <w:sz w:val="18"/>
        </w:rPr>
        <w:t>вредним</w:t>
      </w:r>
      <w:r>
        <w:rPr>
          <w:color w:val="231F20"/>
          <w:spacing w:val="-8"/>
          <w:sz w:val="18"/>
        </w:rPr>
        <w:t> </w:t>
      </w:r>
      <w:r>
        <w:rPr>
          <w:color w:val="231F20"/>
          <w:sz w:val="18"/>
        </w:rPr>
        <w:t>непокретним</w:t>
      </w:r>
      <w:r>
        <w:rPr>
          <w:color w:val="231F20"/>
          <w:spacing w:val="-8"/>
          <w:sz w:val="18"/>
        </w:rPr>
        <w:t> </w:t>
      </w:r>
      <w:r>
        <w:rPr>
          <w:color w:val="231F20"/>
          <w:sz w:val="18"/>
        </w:rPr>
        <w:t>културним</w:t>
      </w:r>
      <w:r>
        <w:rPr>
          <w:color w:val="231F20"/>
          <w:spacing w:val="-8"/>
          <w:sz w:val="18"/>
        </w:rPr>
        <w:t> </w:t>
      </w:r>
      <w:r>
        <w:rPr>
          <w:color w:val="231F20"/>
          <w:sz w:val="18"/>
        </w:rPr>
        <w:t>добрима</w:t>
      </w:r>
      <w:r>
        <w:rPr>
          <w:color w:val="231F20"/>
          <w:spacing w:val="-8"/>
          <w:sz w:val="18"/>
        </w:rPr>
        <w:t> </w:t>
      </w:r>
      <w:r>
        <w:rPr>
          <w:color w:val="231F20"/>
          <w:sz w:val="18"/>
        </w:rPr>
        <w:t>у</w:t>
      </w:r>
      <w:r>
        <w:rPr>
          <w:color w:val="231F20"/>
          <w:spacing w:val="-8"/>
          <w:sz w:val="18"/>
        </w:rPr>
        <w:t> </w:t>
      </w:r>
      <w:r>
        <w:rPr>
          <w:color w:val="231F20"/>
          <w:sz w:val="18"/>
        </w:rPr>
        <w:t>непосредном</w:t>
      </w:r>
      <w:r>
        <w:rPr>
          <w:color w:val="231F20"/>
          <w:spacing w:val="-8"/>
          <w:sz w:val="18"/>
        </w:rPr>
        <w:t> </w:t>
      </w:r>
      <w:r>
        <w:rPr>
          <w:color w:val="231F20"/>
          <w:sz w:val="18"/>
        </w:rPr>
        <w:t>окру- жењу предвиђа се доношење посебног просторног плана подруч- ја посебне намене (са елементима плана детаљне регулације) до 2014. године. Правила уређења и изградње за манастир Нимник и друга непокретна </w:t>
      </w:r>
      <w:r>
        <w:rPr>
          <w:color w:val="231F20"/>
          <w:spacing w:val="-2"/>
          <w:sz w:val="18"/>
        </w:rPr>
        <w:t>културна </w:t>
      </w:r>
      <w:r>
        <w:rPr>
          <w:color w:val="231F20"/>
          <w:sz w:val="18"/>
        </w:rPr>
        <w:t>добра биће утврђена у одговарајућим локалним планским документима – урбанистичким плановима и шематским приказима. За део археолошког налазишта Виминаци- јум, </w:t>
      </w:r>
      <w:r>
        <w:rPr>
          <w:color w:val="231F20"/>
          <w:spacing w:val="-3"/>
          <w:sz w:val="18"/>
        </w:rPr>
        <w:t>комплекс </w:t>
      </w:r>
      <w:r>
        <w:rPr>
          <w:color w:val="231F20"/>
          <w:sz w:val="18"/>
        </w:rPr>
        <w:t>манастира Рукумија, као и манастир Нимник пред- виђа се доношење урбанистичких</w:t>
      </w:r>
      <w:r>
        <w:rPr>
          <w:color w:val="231F20"/>
          <w:spacing w:val="-3"/>
          <w:sz w:val="18"/>
        </w:rPr>
        <w:t> </w:t>
      </w:r>
      <w:r>
        <w:rPr>
          <w:color w:val="231F20"/>
          <w:sz w:val="18"/>
        </w:rPr>
        <w:t>пројеката.</w:t>
      </w:r>
    </w:p>
    <w:p>
      <w:pPr>
        <w:spacing w:after="0" w:line="230" w:lineRule="auto"/>
        <w:jc w:val="both"/>
        <w:rPr>
          <w:sz w:val="18"/>
        </w:rPr>
        <w:sectPr>
          <w:pgSz w:w="12480" w:h="15690"/>
          <w:pgMar w:top="120" w:bottom="280" w:left="680" w:right="720"/>
          <w:cols w:num="2" w:equalWidth="0">
            <w:col w:w="5313" w:space="73"/>
            <w:col w:w="5694"/>
          </w:cols>
        </w:sectPr>
      </w:pPr>
    </w:p>
    <w:p>
      <w:pPr>
        <w:pStyle w:val="BodyText"/>
        <w:spacing w:line="232" w:lineRule="auto" w:before="73"/>
        <w:ind w:left="453" w:firstLine="397"/>
      </w:pPr>
      <w:r>
        <w:rPr/>
        <w:pict>
          <v:line style="position:absolute;mso-position-horizontal-relative:page;mso-position-vertical-relative:page;z-index:3136" from="318.897614pt,11.942451pt" to="318.897614pt,748.950451pt" stroked="true" strokeweight=".6pt" strokecolor="#231f20">
            <v:stroke dashstyle="solid"/>
            <w10:wrap type="none"/>
          </v:line>
        </w:pict>
      </w:r>
      <w:r>
        <w:rPr>
          <w:color w:val="231F20"/>
          <w:spacing w:val="-3"/>
        </w:rPr>
        <w:t>Границе </w:t>
      </w:r>
      <w:r>
        <w:rPr>
          <w:color w:val="231F20"/>
        </w:rPr>
        <w:t>обухвата наведених планских докумената дате су на Карти 5: „Имплементација плана – израда и доношење планских докумената”.</w:t>
      </w:r>
    </w:p>
    <w:p>
      <w:pPr>
        <w:pStyle w:val="BodyText"/>
        <w:spacing w:line="223" w:lineRule="auto"/>
        <w:ind w:left="453" w:firstLine="396"/>
      </w:pPr>
      <w:r>
        <w:rPr>
          <w:color w:val="231F20"/>
        </w:rPr>
        <w:t>Носиоци реализације приоритета у изради планске докумен- тације су:</w:t>
      </w:r>
    </w:p>
    <w:p>
      <w:pPr>
        <w:pStyle w:val="ListParagraph"/>
        <w:numPr>
          <w:ilvl w:val="1"/>
          <w:numId w:val="42"/>
        </w:numPr>
        <w:tabs>
          <w:tab w:pos="1059" w:val="left" w:leader="none"/>
        </w:tabs>
        <w:spacing w:line="223" w:lineRule="auto" w:before="0" w:after="0"/>
        <w:ind w:left="453" w:right="0" w:firstLine="397"/>
        <w:jc w:val="both"/>
        <w:rPr>
          <w:sz w:val="18"/>
        </w:rPr>
      </w:pPr>
      <w:r>
        <w:rPr>
          <w:color w:val="231F20"/>
          <w:sz w:val="18"/>
        </w:rPr>
        <w:t>„ЕПС”, ТЕ-КО „Костолац” (финансирање) и јединице ло- калне самоуправе</w:t>
      </w:r>
      <w:r>
        <w:rPr>
          <w:color w:val="231F20"/>
          <w:spacing w:val="-2"/>
          <w:sz w:val="18"/>
        </w:rPr>
        <w:t> </w:t>
      </w:r>
      <w:r>
        <w:rPr>
          <w:color w:val="231F20"/>
          <w:sz w:val="18"/>
        </w:rPr>
        <w:t>(доношење);</w:t>
      </w:r>
    </w:p>
    <w:p>
      <w:pPr>
        <w:pStyle w:val="ListParagraph"/>
        <w:numPr>
          <w:ilvl w:val="1"/>
          <w:numId w:val="42"/>
        </w:numPr>
        <w:tabs>
          <w:tab w:pos="1046" w:val="left" w:leader="none"/>
        </w:tabs>
        <w:spacing w:line="187" w:lineRule="exact" w:before="0" w:after="0"/>
        <w:ind w:left="1045" w:right="0" w:hanging="195"/>
        <w:jc w:val="left"/>
        <w:rPr>
          <w:sz w:val="18"/>
        </w:rPr>
      </w:pPr>
      <w:r>
        <w:rPr>
          <w:color w:val="231F20"/>
          <w:sz w:val="18"/>
        </w:rPr>
        <w:t>„ЕПС”, ТЕ-КО „Костолац” и Република;</w:t>
      </w:r>
      <w:r>
        <w:rPr>
          <w:color w:val="231F20"/>
          <w:spacing w:val="-9"/>
          <w:sz w:val="18"/>
        </w:rPr>
        <w:t> </w:t>
      </w:r>
      <w:r>
        <w:rPr>
          <w:color w:val="231F20"/>
          <w:sz w:val="18"/>
        </w:rPr>
        <w:t>и</w:t>
      </w:r>
    </w:p>
    <w:p>
      <w:pPr>
        <w:pStyle w:val="ListParagraph"/>
        <w:numPr>
          <w:ilvl w:val="1"/>
          <w:numId w:val="42"/>
        </w:numPr>
        <w:tabs>
          <w:tab w:pos="1046" w:val="left" w:leader="none"/>
        </w:tabs>
        <w:spacing w:line="200" w:lineRule="exact" w:before="0" w:after="0"/>
        <w:ind w:left="1045" w:right="0" w:hanging="195"/>
        <w:jc w:val="left"/>
        <w:rPr>
          <w:sz w:val="18"/>
        </w:rPr>
      </w:pPr>
      <w:r>
        <w:rPr>
          <w:color w:val="231F20"/>
          <w:sz w:val="18"/>
        </w:rPr>
        <w:t>Република и локална</w:t>
      </w:r>
      <w:r>
        <w:rPr>
          <w:color w:val="231F20"/>
          <w:spacing w:val="-5"/>
          <w:sz w:val="18"/>
        </w:rPr>
        <w:t> </w:t>
      </w:r>
      <w:r>
        <w:rPr>
          <w:color w:val="231F20"/>
          <w:sz w:val="18"/>
        </w:rPr>
        <w:t>самоуправа.</w:t>
      </w:r>
    </w:p>
    <w:p>
      <w:pPr>
        <w:pStyle w:val="ListParagraph"/>
        <w:numPr>
          <w:ilvl w:val="1"/>
          <w:numId w:val="41"/>
        </w:numPr>
        <w:tabs>
          <w:tab w:pos="981" w:val="left" w:leader="none"/>
        </w:tabs>
        <w:spacing w:line="223" w:lineRule="auto" w:before="163" w:after="0"/>
        <w:ind w:left="1580" w:right="210" w:hanging="915"/>
        <w:jc w:val="left"/>
        <w:rPr>
          <w:i/>
          <w:sz w:val="18"/>
        </w:rPr>
      </w:pPr>
      <w:r>
        <w:rPr>
          <w:i/>
          <w:color w:val="231F20"/>
          <w:sz w:val="18"/>
        </w:rPr>
        <w:t>Приоритети у изради развојних стратегија и</w:t>
      </w:r>
      <w:r>
        <w:rPr>
          <w:i/>
          <w:color w:val="231F20"/>
          <w:spacing w:val="-22"/>
          <w:sz w:val="18"/>
        </w:rPr>
        <w:t> </w:t>
      </w:r>
      <w:r>
        <w:rPr>
          <w:i/>
          <w:color w:val="231F20"/>
          <w:sz w:val="18"/>
        </w:rPr>
        <w:t>програма, </w:t>
      </w:r>
      <w:r>
        <w:rPr>
          <w:i/>
          <w:color w:val="231F20"/>
          <w:sz w:val="18"/>
        </w:rPr>
        <w:t>студијске и техничке</w:t>
      </w:r>
      <w:r>
        <w:rPr>
          <w:i/>
          <w:color w:val="231F20"/>
          <w:spacing w:val="-4"/>
          <w:sz w:val="18"/>
        </w:rPr>
        <w:t> </w:t>
      </w:r>
      <w:r>
        <w:rPr>
          <w:i/>
          <w:color w:val="231F20"/>
          <w:sz w:val="18"/>
        </w:rPr>
        <w:t>документације</w:t>
      </w:r>
    </w:p>
    <w:p>
      <w:pPr>
        <w:pStyle w:val="BodyText"/>
        <w:spacing w:before="8"/>
        <w:ind w:left="0"/>
        <w:jc w:val="left"/>
        <w:rPr>
          <w:i/>
          <w:sz w:val="16"/>
        </w:rPr>
      </w:pPr>
    </w:p>
    <w:p>
      <w:pPr>
        <w:pStyle w:val="BodyText"/>
        <w:spacing w:line="223" w:lineRule="auto"/>
        <w:ind w:left="453" w:firstLine="396"/>
      </w:pPr>
      <w:r>
        <w:rPr>
          <w:color w:val="231F20"/>
        </w:rPr>
        <w:t>Приоритети у изради и доношењу развојних стратегија и програма су:</w:t>
      </w:r>
    </w:p>
    <w:p>
      <w:pPr>
        <w:pStyle w:val="BodyText"/>
        <w:spacing w:line="223" w:lineRule="auto"/>
        <w:ind w:left="453" w:firstLine="397"/>
      </w:pPr>
      <w:r>
        <w:rPr>
          <w:color w:val="231F20"/>
          <w:w w:val="66"/>
        </w:rPr>
        <w:t> </w:t>
      </w:r>
      <w:r>
        <w:rPr>
          <w:color w:val="231F20"/>
        </w:rPr>
        <w:t>– Дугорочна стратегија развоја Костолачког лигнитског ба- сена и Средњорочни програм развоја ПД ТЕ-КО „Костолац” (до 2012. године);</w:t>
      </w:r>
    </w:p>
    <w:p>
      <w:pPr>
        <w:pStyle w:val="BodyText"/>
        <w:spacing w:line="223" w:lineRule="auto"/>
        <w:ind w:left="453" w:firstLine="396"/>
      </w:pPr>
      <w:r>
        <w:rPr>
          <w:color w:val="231F20"/>
          <w:w w:val="66"/>
        </w:rPr>
        <w:t> </w:t>
      </w:r>
      <w:r>
        <w:rPr>
          <w:color w:val="231F20"/>
        </w:rPr>
        <w:t>– израда нових и преиспитивање постојећих стратегија у области</w:t>
      </w:r>
      <w:r>
        <w:rPr>
          <w:color w:val="231F20"/>
          <w:spacing w:val="-6"/>
        </w:rPr>
        <w:t> </w:t>
      </w:r>
      <w:r>
        <w:rPr>
          <w:color w:val="231F20"/>
        </w:rPr>
        <w:t>пољопривреде</w:t>
      </w:r>
      <w:r>
        <w:rPr>
          <w:color w:val="231F20"/>
          <w:spacing w:val="-6"/>
        </w:rPr>
        <w:t> </w:t>
      </w:r>
      <w:r>
        <w:rPr>
          <w:color w:val="231F20"/>
        </w:rPr>
        <w:t>и</w:t>
      </w:r>
      <w:r>
        <w:rPr>
          <w:color w:val="231F20"/>
          <w:spacing w:val="-6"/>
        </w:rPr>
        <w:t> </w:t>
      </w:r>
      <w:r>
        <w:rPr>
          <w:color w:val="231F20"/>
        </w:rPr>
        <w:t>развоја</w:t>
      </w:r>
      <w:r>
        <w:rPr>
          <w:color w:val="231F20"/>
          <w:spacing w:val="-6"/>
        </w:rPr>
        <w:t> </w:t>
      </w:r>
      <w:r>
        <w:rPr>
          <w:color w:val="231F20"/>
        </w:rPr>
        <w:t>села,</w:t>
      </w:r>
      <w:r>
        <w:rPr>
          <w:color w:val="231F20"/>
          <w:spacing w:val="-6"/>
        </w:rPr>
        <w:t> </w:t>
      </w:r>
      <w:r>
        <w:rPr>
          <w:color w:val="231F20"/>
        </w:rPr>
        <w:t>водопривреде</w:t>
      </w:r>
      <w:r>
        <w:rPr>
          <w:color w:val="231F20"/>
          <w:spacing w:val="-6"/>
        </w:rPr>
        <w:t> </w:t>
      </w:r>
      <w:r>
        <w:rPr>
          <w:color w:val="231F20"/>
        </w:rPr>
        <w:t>и</w:t>
      </w:r>
      <w:r>
        <w:rPr>
          <w:color w:val="231F20"/>
          <w:spacing w:val="-6"/>
        </w:rPr>
        <w:t> </w:t>
      </w:r>
      <w:r>
        <w:rPr>
          <w:color w:val="231F20"/>
        </w:rPr>
        <w:t>заштите</w:t>
      </w:r>
      <w:r>
        <w:rPr>
          <w:color w:val="231F20"/>
          <w:spacing w:val="-6"/>
        </w:rPr>
        <w:t> </w:t>
      </w:r>
      <w:r>
        <w:rPr>
          <w:color w:val="231F20"/>
        </w:rPr>
        <w:t>во- да, саобраћаја, привредног и социјалног развоја, туризма и зашти- те природних и културних добара (до 2013.</w:t>
      </w:r>
      <w:r>
        <w:rPr>
          <w:color w:val="231F20"/>
          <w:spacing w:val="-13"/>
        </w:rPr>
        <w:t> </w:t>
      </w:r>
      <w:r>
        <w:rPr>
          <w:color w:val="231F20"/>
        </w:rPr>
        <w:t>године);</w:t>
      </w:r>
    </w:p>
    <w:p>
      <w:pPr>
        <w:pStyle w:val="BodyText"/>
        <w:spacing w:line="223" w:lineRule="auto"/>
        <w:ind w:left="453" w:firstLine="396"/>
      </w:pPr>
      <w:r>
        <w:rPr>
          <w:color w:val="231F20"/>
          <w:w w:val="66"/>
        </w:rPr>
        <w:t> </w:t>
      </w:r>
      <w:r>
        <w:rPr>
          <w:color w:val="231F20"/>
        </w:rPr>
        <w:t>–</w:t>
      </w:r>
      <w:r>
        <w:rPr>
          <w:color w:val="231F20"/>
          <w:spacing w:val="-15"/>
        </w:rPr>
        <w:t> </w:t>
      </w:r>
      <w:r>
        <w:rPr>
          <w:color w:val="231F20"/>
        </w:rPr>
        <w:t>Средњорочни</w:t>
      </w:r>
      <w:r>
        <w:rPr>
          <w:color w:val="231F20"/>
          <w:spacing w:val="-15"/>
        </w:rPr>
        <w:t> </w:t>
      </w:r>
      <w:r>
        <w:rPr>
          <w:color w:val="231F20"/>
        </w:rPr>
        <w:t>развој</w:t>
      </w:r>
      <w:r>
        <w:rPr>
          <w:color w:val="231F20"/>
          <w:spacing w:val="-15"/>
        </w:rPr>
        <w:t> </w:t>
      </w:r>
      <w:r>
        <w:rPr>
          <w:color w:val="231F20"/>
        </w:rPr>
        <w:t>и</w:t>
      </w:r>
      <w:r>
        <w:rPr>
          <w:color w:val="231F20"/>
          <w:spacing w:val="-15"/>
        </w:rPr>
        <w:t> </w:t>
      </w:r>
      <w:r>
        <w:rPr>
          <w:color w:val="231F20"/>
        </w:rPr>
        <w:t>реконструкција</w:t>
      </w:r>
      <w:r>
        <w:rPr>
          <w:color w:val="231F20"/>
          <w:spacing w:val="-15"/>
        </w:rPr>
        <w:t> </w:t>
      </w:r>
      <w:r>
        <w:rPr>
          <w:color w:val="231F20"/>
        </w:rPr>
        <w:t>енергетских</w:t>
      </w:r>
      <w:r>
        <w:rPr>
          <w:color w:val="231F20"/>
          <w:spacing w:val="-15"/>
        </w:rPr>
        <w:t> </w:t>
      </w:r>
      <w:r>
        <w:rPr>
          <w:color w:val="231F20"/>
        </w:rPr>
        <w:t>објеката у </w:t>
      </w:r>
      <w:r>
        <w:rPr>
          <w:color w:val="231F20"/>
          <w:spacing w:val="-4"/>
        </w:rPr>
        <w:t>Костолачком </w:t>
      </w:r>
      <w:r>
        <w:rPr>
          <w:color w:val="231F20"/>
        </w:rPr>
        <w:t>басену (до 2013.</w:t>
      </w:r>
      <w:r>
        <w:rPr>
          <w:color w:val="231F20"/>
          <w:spacing w:val="1"/>
        </w:rPr>
        <w:t> </w:t>
      </w:r>
      <w:r>
        <w:rPr>
          <w:color w:val="231F20"/>
        </w:rPr>
        <w:t>године);</w:t>
      </w:r>
    </w:p>
    <w:p>
      <w:pPr>
        <w:pStyle w:val="BodyText"/>
        <w:spacing w:line="223" w:lineRule="auto"/>
        <w:ind w:left="453" w:firstLine="396"/>
      </w:pPr>
      <w:r>
        <w:rPr>
          <w:color w:val="231F20"/>
          <w:w w:val="66"/>
        </w:rPr>
        <w:t> </w:t>
      </w:r>
      <w:r>
        <w:rPr>
          <w:color w:val="231F20"/>
        </w:rPr>
        <w:t>–</w:t>
      </w:r>
      <w:r>
        <w:rPr>
          <w:color w:val="231F20"/>
          <w:spacing w:val="-10"/>
        </w:rPr>
        <w:t> </w:t>
      </w:r>
      <w:r>
        <w:rPr>
          <w:color w:val="231F20"/>
        </w:rPr>
        <w:t>Програм</w:t>
      </w:r>
      <w:r>
        <w:rPr>
          <w:color w:val="231F20"/>
          <w:spacing w:val="-10"/>
        </w:rPr>
        <w:t> </w:t>
      </w:r>
      <w:r>
        <w:rPr>
          <w:color w:val="231F20"/>
        </w:rPr>
        <w:t>пресељења</w:t>
      </w:r>
      <w:r>
        <w:rPr>
          <w:color w:val="231F20"/>
          <w:spacing w:val="-10"/>
        </w:rPr>
        <w:t> </w:t>
      </w:r>
      <w:r>
        <w:rPr>
          <w:color w:val="231F20"/>
        </w:rPr>
        <w:t>становништва</w:t>
      </w:r>
      <w:r>
        <w:rPr>
          <w:color w:val="231F20"/>
          <w:spacing w:val="-10"/>
        </w:rPr>
        <w:t> </w:t>
      </w:r>
      <w:r>
        <w:rPr>
          <w:color w:val="231F20"/>
        </w:rPr>
        <w:t>из</w:t>
      </w:r>
      <w:r>
        <w:rPr>
          <w:color w:val="231F20"/>
          <w:spacing w:val="-10"/>
        </w:rPr>
        <w:t> </w:t>
      </w:r>
      <w:r>
        <w:rPr>
          <w:color w:val="231F20"/>
        </w:rPr>
        <w:t>зоне</w:t>
      </w:r>
      <w:r>
        <w:rPr>
          <w:color w:val="231F20"/>
          <w:spacing w:val="-10"/>
        </w:rPr>
        <w:t> </w:t>
      </w:r>
      <w:r>
        <w:rPr>
          <w:color w:val="231F20"/>
        </w:rPr>
        <w:t>рударских</w:t>
      </w:r>
      <w:r>
        <w:rPr>
          <w:color w:val="231F20"/>
          <w:spacing w:val="-10"/>
        </w:rPr>
        <w:t> </w:t>
      </w:r>
      <w:r>
        <w:rPr>
          <w:color w:val="231F20"/>
        </w:rPr>
        <w:t>радо- ва (до 2018.</w:t>
      </w:r>
      <w:r>
        <w:rPr>
          <w:color w:val="231F20"/>
          <w:spacing w:val="-1"/>
        </w:rPr>
        <w:t> </w:t>
      </w:r>
      <w:r>
        <w:rPr>
          <w:color w:val="231F20"/>
        </w:rPr>
        <w:t>године);</w:t>
      </w:r>
    </w:p>
    <w:p>
      <w:pPr>
        <w:pStyle w:val="BodyText"/>
        <w:spacing w:line="223" w:lineRule="auto"/>
        <w:ind w:left="453" w:firstLine="396"/>
      </w:pPr>
      <w:r>
        <w:rPr>
          <w:color w:val="231F20"/>
          <w:w w:val="66"/>
        </w:rPr>
        <w:t> </w:t>
      </w:r>
      <w:r>
        <w:rPr>
          <w:color w:val="231F20"/>
        </w:rPr>
        <w:t>– Програм рекултивације деградираног земљишта у зони</w:t>
      </w:r>
      <w:r>
        <w:rPr>
          <w:color w:val="231F20"/>
          <w:spacing w:val="-28"/>
        </w:rPr>
        <w:t> </w:t>
      </w:r>
      <w:r>
        <w:rPr>
          <w:color w:val="231F20"/>
        </w:rPr>
        <w:t>ру- дарских радова (до 2012. године)</w:t>
      </w:r>
      <w:r>
        <w:rPr>
          <w:color w:val="231F20"/>
          <w:spacing w:val="-3"/>
        </w:rPr>
        <w:t> </w:t>
      </w:r>
      <w:r>
        <w:rPr>
          <w:color w:val="231F20"/>
        </w:rPr>
        <w:t>и</w:t>
      </w:r>
    </w:p>
    <w:p>
      <w:pPr>
        <w:pStyle w:val="BodyText"/>
        <w:spacing w:line="223" w:lineRule="auto"/>
        <w:ind w:left="453" w:firstLine="396"/>
      </w:pPr>
      <w:r>
        <w:rPr>
          <w:color w:val="231F20"/>
          <w:w w:val="66"/>
        </w:rPr>
        <w:t> </w:t>
      </w:r>
      <w:r>
        <w:rPr>
          <w:color w:val="231F20"/>
        </w:rPr>
        <w:t>– Програм управљања животном средином на подручју Планском подручју са мониторингом (до 2012. године).</w:t>
      </w:r>
    </w:p>
    <w:p>
      <w:pPr>
        <w:pStyle w:val="BodyText"/>
        <w:spacing w:line="223" w:lineRule="auto"/>
        <w:ind w:left="453" w:firstLine="396"/>
      </w:pPr>
      <w:r>
        <w:rPr>
          <w:color w:val="231F20"/>
        </w:rPr>
        <w:t>Приоритети у изради студијске и техничке документације у периоду од 2012 – 2015. године обухватају:</w:t>
      </w:r>
    </w:p>
    <w:p>
      <w:pPr>
        <w:pStyle w:val="BodyText"/>
        <w:spacing w:line="223" w:lineRule="auto"/>
        <w:ind w:left="453" w:firstLine="396"/>
      </w:pPr>
      <w:r>
        <w:rPr>
          <w:color w:val="231F20"/>
          <w:w w:val="66"/>
        </w:rPr>
        <w:t> </w:t>
      </w:r>
      <w:r>
        <w:rPr>
          <w:color w:val="231F20"/>
        </w:rPr>
        <w:t>–</w:t>
      </w:r>
      <w:r>
        <w:rPr>
          <w:color w:val="231F20"/>
          <w:spacing w:val="-9"/>
        </w:rPr>
        <w:t> </w:t>
      </w:r>
      <w:r>
        <w:rPr>
          <w:color w:val="231F20"/>
          <w:spacing w:val="-4"/>
        </w:rPr>
        <w:t>техничку</w:t>
      </w:r>
      <w:r>
        <w:rPr>
          <w:color w:val="231F20"/>
          <w:spacing w:val="-9"/>
        </w:rPr>
        <w:t> </w:t>
      </w:r>
      <w:r>
        <w:rPr>
          <w:color w:val="231F20"/>
          <w:spacing w:val="-4"/>
        </w:rPr>
        <w:t>документацију</w:t>
      </w:r>
      <w:r>
        <w:rPr>
          <w:color w:val="231F20"/>
          <w:spacing w:val="-9"/>
        </w:rPr>
        <w:t> </w:t>
      </w:r>
      <w:r>
        <w:rPr>
          <w:color w:val="231F20"/>
        </w:rPr>
        <w:t>и</w:t>
      </w:r>
      <w:r>
        <w:rPr>
          <w:color w:val="231F20"/>
          <w:spacing w:val="-9"/>
        </w:rPr>
        <w:t> </w:t>
      </w:r>
      <w:r>
        <w:rPr>
          <w:color w:val="231F20"/>
          <w:spacing w:val="-5"/>
        </w:rPr>
        <w:t>студије</w:t>
      </w:r>
      <w:r>
        <w:rPr>
          <w:color w:val="231F20"/>
          <w:spacing w:val="-9"/>
        </w:rPr>
        <w:t> </w:t>
      </w:r>
      <w:r>
        <w:rPr>
          <w:color w:val="231F20"/>
          <w:spacing w:val="-3"/>
        </w:rPr>
        <w:t>оправданости</w:t>
      </w:r>
      <w:r>
        <w:rPr>
          <w:color w:val="231F20"/>
          <w:spacing w:val="-9"/>
        </w:rPr>
        <w:t> </w:t>
      </w:r>
      <w:r>
        <w:rPr>
          <w:color w:val="231F20"/>
        </w:rPr>
        <w:t>за</w:t>
      </w:r>
      <w:r>
        <w:rPr>
          <w:color w:val="231F20"/>
          <w:spacing w:val="-9"/>
        </w:rPr>
        <w:t> </w:t>
      </w:r>
      <w:r>
        <w:rPr>
          <w:color w:val="231F20"/>
          <w:spacing w:val="-5"/>
        </w:rPr>
        <w:t>коп</w:t>
      </w:r>
      <w:r>
        <w:rPr>
          <w:color w:val="231F20"/>
          <w:spacing w:val="-9"/>
        </w:rPr>
        <w:t> </w:t>
      </w:r>
      <w:r>
        <w:rPr>
          <w:color w:val="231F20"/>
          <w:spacing w:val="-3"/>
        </w:rPr>
        <w:t>„Дрм- </w:t>
      </w:r>
      <w:r>
        <w:rPr>
          <w:color w:val="231F20"/>
        </w:rPr>
        <w:t>но” и </w:t>
      </w:r>
      <w:r>
        <w:rPr>
          <w:color w:val="231F20"/>
          <w:spacing w:val="-3"/>
        </w:rPr>
        <w:t>западни </w:t>
      </w:r>
      <w:r>
        <w:rPr>
          <w:color w:val="231F20"/>
        </w:rPr>
        <w:t>део </w:t>
      </w:r>
      <w:r>
        <w:rPr>
          <w:color w:val="231F20"/>
          <w:spacing w:val="-3"/>
        </w:rPr>
        <w:t>Басена укључујући </w:t>
      </w:r>
      <w:r>
        <w:rPr>
          <w:color w:val="231F20"/>
        </w:rPr>
        <w:t>и </w:t>
      </w:r>
      <w:r>
        <w:rPr>
          <w:color w:val="231F20"/>
          <w:spacing w:val="-3"/>
        </w:rPr>
        <w:t>развој </w:t>
      </w:r>
      <w:r>
        <w:rPr>
          <w:color w:val="231F20"/>
          <w:spacing w:val="-5"/>
        </w:rPr>
        <w:t>копа </w:t>
      </w:r>
      <w:r>
        <w:rPr>
          <w:color w:val="231F20"/>
        </w:rPr>
        <w:t>у </w:t>
      </w:r>
      <w:r>
        <w:rPr>
          <w:color w:val="231F20"/>
          <w:spacing w:val="-5"/>
        </w:rPr>
        <w:t>коначним </w:t>
      </w:r>
      <w:r>
        <w:rPr>
          <w:color w:val="231F20"/>
          <w:spacing w:val="-3"/>
        </w:rPr>
        <w:t>гра- ницама </w:t>
      </w:r>
      <w:r>
        <w:rPr>
          <w:color w:val="231F20"/>
        </w:rPr>
        <w:t>уз </w:t>
      </w:r>
      <w:r>
        <w:rPr>
          <w:color w:val="231F20"/>
          <w:spacing w:val="-3"/>
        </w:rPr>
        <w:t>процену стабилности </w:t>
      </w:r>
      <w:r>
        <w:rPr>
          <w:color w:val="231F20"/>
          <w:spacing w:val="-4"/>
        </w:rPr>
        <w:t>косина </w:t>
      </w:r>
      <w:r>
        <w:rPr>
          <w:color w:val="231F20"/>
        </w:rPr>
        <w:t>и </w:t>
      </w:r>
      <w:r>
        <w:rPr>
          <w:color w:val="231F20"/>
          <w:spacing w:val="-4"/>
        </w:rPr>
        <w:t>тла </w:t>
      </w:r>
      <w:r>
        <w:rPr>
          <w:color w:val="231F20"/>
        </w:rPr>
        <w:t>на </w:t>
      </w:r>
      <w:r>
        <w:rPr>
          <w:color w:val="231F20"/>
          <w:spacing w:val="-5"/>
        </w:rPr>
        <w:t>контакту </w:t>
      </w:r>
      <w:r>
        <w:rPr>
          <w:color w:val="231F20"/>
        </w:rPr>
        <w:t>са</w:t>
      </w:r>
      <w:r>
        <w:rPr>
          <w:color w:val="231F20"/>
          <w:spacing w:val="-23"/>
        </w:rPr>
        <w:t> </w:t>
      </w:r>
      <w:r>
        <w:rPr>
          <w:color w:val="231F20"/>
          <w:spacing w:val="-5"/>
        </w:rPr>
        <w:t>копом;</w:t>
      </w:r>
    </w:p>
    <w:p>
      <w:pPr>
        <w:pStyle w:val="BodyText"/>
        <w:spacing w:line="223" w:lineRule="auto"/>
        <w:ind w:left="452" w:firstLine="397"/>
      </w:pPr>
      <w:r>
        <w:rPr>
          <w:color w:val="231F20"/>
          <w:w w:val="66"/>
        </w:rPr>
        <w:t> </w:t>
      </w:r>
      <w:r>
        <w:rPr>
          <w:color w:val="231F20"/>
        </w:rPr>
        <w:t>– техничку документацију за изградњу нових и реконструк- цију постојећих енергетских објеката (ТЕ „Костолац А”, ТЕ „Ко- столац Б” и друго);</w:t>
      </w:r>
    </w:p>
    <w:p>
      <w:pPr>
        <w:pStyle w:val="BodyText"/>
        <w:spacing w:line="223" w:lineRule="auto"/>
        <w:ind w:left="452" w:right="1" w:firstLine="397"/>
      </w:pPr>
      <w:r>
        <w:rPr>
          <w:color w:val="231F20"/>
          <w:w w:val="66"/>
        </w:rPr>
        <w:t> </w:t>
      </w:r>
      <w:r>
        <w:rPr>
          <w:color w:val="231F20"/>
        </w:rPr>
        <w:t>– техничку документацију за уређење обала Дунава, Велике Мораве и Млаве и заштите приобаља </w:t>
      </w:r>
      <w:r>
        <w:rPr>
          <w:color w:val="231F20"/>
          <w:spacing w:val="-3"/>
        </w:rPr>
        <w:t>од </w:t>
      </w:r>
      <w:r>
        <w:rPr>
          <w:color w:val="231F20"/>
        </w:rPr>
        <w:t>успора Ђердапске акуму- лације, посебно у зони површинског </w:t>
      </w:r>
      <w:r>
        <w:rPr>
          <w:color w:val="231F20"/>
          <w:spacing w:val="-3"/>
        </w:rPr>
        <w:t>копа </w:t>
      </w:r>
      <w:r>
        <w:rPr>
          <w:color w:val="231F20"/>
        </w:rPr>
        <w:t>„Дрмно”;</w:t>
      </w:r>
    </w:p>
    <w:p>
      <w:pPr>
        <w:pStyle w:val="BodyText"/>
        <w:spacing w:line="223" w:lineRule="auto"/>
        <w:ind w:left="452" w:right="1" w:firstLine="396"/>
      </w:pPr>
      <w:r>
        <w:rPr>
          <w:color w:val="231F20"/>
          <w:w w:val="66"/>
        </w:rPr>
        <w:t> </w:t>
      </w:r>
      <w:r>
        <w:rPr>
          <w:color w:val="231F20"/>
        </w:rPr>
        <w:t>– техничку документацију на нивоу идејних пројеката и сту- дија оправданости за изградњу инфраструктурних система (сао- браћајница, енергетских и телекомуникационих водова);</w:t>
      </w:r>
    </w:p>
    <w:p>
      <w:pPr>
        <w:pStyle w:val="BodyText"/>
        <w:spacing w:line="187" w:lineRule="exact"/>
        <w:ind w:left="849"/>
        <w:jc w:val="left"/>
      </w:pPr>
      <w:r>
        <w:rPr>
          <w:color w:val="231F20"/>
          <w:w w:val="66"/>
        </w:rPr>
        <w:t> </w:t>
      </w:r>
      <w:r>
        <w:rPr>
          <w:color w:val="231F20"/>
        </w:rPr>
        <w:t>– пројекте за комунално опремање насеља;</w:t>
      </w:r>
    </w:p>
    <w:p>
      <w:pPr>
        <w:pStyle w:val="BodyText"/>
        <w:spacing w:line="223" w:lineRule="auto"/>
        <w:ind w:left="453" w:firstLine="396"/>
      </w:pPr>
      <w:r>
        <w:rPr>
          <w:color w:val="231F20"/>
          <w:w w:val="66"/>
        </w:rPr>
        <w:t> </w:t>
      </w:r>
      <w:r>
        <w:rPr>
          <w:color w:val="231F20"/>
        </w:rPr>
        <w:t>– пројекте за рекултивацију и уређење деградираних повр- шина и</w:t>
      </w:r>
    </w:p>
    <w:p>
      <w:pPr>
        <w:pStyle w:val="BodyText"/>
        <w:spacing w:line="223" w:lineRule="auto"/>
        <w:ind w:left="453" w:firstLine="396"/>
      </w:pPr>
      <w:r>
        <w:rPr>
          <w:color w:val="231F20"/>
          <w:w w:val="66"/>
        </w:rPr>
        <w:t> </w:t>
      </w:r>
      <w:r>
        <w:rPr>
          <w:color w:val="231F20"/>
        </w:rPr>
        <w:t>– друге студије и пројекте од значаја за просторни развој Планског подручја.</w:t>
      </w:r>
    </w:p>
    <w:p>
      <w:pPr>
        <w:pStyle w:val="BodyText"/>
        <w:spacing w:line="223" w:lineRule="auto"/>
        <w:ind w:left="453" w:firstLine="397"/>
      </w:pPr>
      <w:r>
        <w:rPr>
          <w:color w:val="231F20"/>
          <w:spacing w:val="-5"/>
        </w:rPr>
        <w:t>Посебно</w:t>
      </w:r>
      <w:r>
        <w:rPr>
          <w:color w:val="231F20"/>
          <w:spacing w:val="-13"/>
        </w:rPr>
        <w:t> </w:t>
      </w:r>
      <w:r>
        <w:rPr>
          <w:color w:val="231F20"/>
          <w:spacing w:val="-3"/>
        </w:rPr>
        <w:t>је</w:t>
      </w:r>
      <w:r>
        <w:rPr>
          <w:color w:val="231F20"/>
          <w:spacing w:val="-13"/>
        </w:rPr>
        <w:t> </w:t>
      </w:r>
      <w:r>
        <w:rPr>
          <w:color w:val="231F20"/>
          <w:spacing w:val="-6"/>
        </w:rPr>
        <w:t>важно</w:t>
      </w:r>
      <w:r>
        <w:rPr>
          <w:color w:val="231F20"/>
          <w:spacing w:val="-13"/>
        </w:rPr>
        <w:t> </w:t>
      </w:r>
      <w:r>
        <w:rPr>
          <w:color w:val="231F20"/>
          <w:spacing w:val="-6"/>
        </w:rPr>
        <w:t>обезбедити</w:t>
      </w:r>
      <w:r>
        <w:rPr>
          <w:color w:val="231F20"/>
          <w:spacing w:val="-13"/>
        </w:rPr>
        <w:t> </w:t>
      </w:r>
      <w:r>
        <w:rPr>
          <w:color w:val="231F20"/>
          <w:spacing w:val="-6"/>
        </w:rPr>
        <w:t>синхронизовану</w:t>
      </w:r>
      <w:r>
        <w:rPr>
          <w:color w:val="231F20"/>
          <w:spacing w:val="-13"/>
        </w:rPr>
        <w:t> </w:t>
      </w:r>
      <w:r>
        <w:rPr>
          <w:color w:val="231F20"/>
          <w:spacing w:val="-5"/>
        </w:rPr>
        <w:t>израду</w:t>
      </w:r>
      <w:r>
        <w:rPr>
          <w:color w:val="231F20"/>
          <w:spacing w:val="-13"/>
        </w:rPr>
        <w:t> </w:t>
      </w:r>
      <w:r>
        <w:rPr>
          <w:color w:val="231F20"/>
          <w:spacing w:val="-6"/>
        </w:rPr>
        <w:t>планске</w:t>
      </w:r>
      <w:r>
        <w:rPr>
          <w:color w:val="231F20"/>
          <w:spacing w:val="-13"/>
        </w:rPr>
        <w:t> </w:t>
      </w:r>
      <w:r>
        <w:rPr>
          <w:color w:val="231F20"/>
          <w:spacing w:val="-4"/>
        </w:rPr>
        <w:t>до- </w:t>
      </w:r>
      <w:r>
        <w:rPr>
          <w:color w:val="231F20"/>
          <w:spacing w:val="-6"/>
        </w:rPr>
        <w:t>кументације </w:t>
      </w:r>
      <w:r>
        <w:rPr>
          <w:color w:val="231F20"/>
        </w:rPr>
        <w:t>са </w:t>
      </w:r>
      <w:r>
        <w:rPr>
          <w:color w:val="231F20"/>
          <w:spacing w:val="-6"/>
        </w:rPr>
        <w:t>израдом </w:t>
      </w:r>
      <w:r>
        <w:rPr>
          <w:color w:val="231F20"/>
          <w:spacing w:val="-8"/>
        </w:rPr>
        <w:t>студијске </w:t>
      </w:r>
      <w:r>
        <w:rPr>
          <w:color w:val="231F20"/>
        </w:rPr>
        <w:t>и </w:t>
      </w:r>
      <w:r>
        <w:rPr>
          <w:color w:val="231F20"/>
          <w:spacing w:val="-6"/>
        </w:rPr>
        <w:t>техничке документације </w:t>
      </w:r>
      <w:r>
        <w:rPr>
          <w:color w:val="231F20"/>
          <w:spacing w:val="-3"/>
        </w:rPr>
        <w:t>за </w:t>
      </w:r>
      <w:r>
        <w:rPr>
          <w:color w:val="231F20"/>
          <w:spacing w:val="-5"/>
        </w:rPr>
        <w:t>саобра- ћајни </w:t>
      </w:r>
      <w:r>
        <w:rPr>
          <w:color w:val="231F20"/>
          <w:spacing w:val="-7"/>
        </w:rPr>
        <w:t>коридор </w:t>
      </w:r>
      <w:r>
        <w:rPr>
          <w:color w:val="231F20"/>
          <w:spacing w:val="-6"/>
        </w:rPr>
        <w:t>поред </w:t>
      </w:r>
      <w:r>
        <w:rPr>
          <w:color w:val="231F20"/>
          <w:spacing w:val="-4"/>
        </w:rPr>
        <w:t>десне </w:t>
      </w:r>
      <w:r>
        <w:rPr>
          <w:color w:val="231F20"/>
          <w:spacing w:val="-5"/>
        </w:rPr>
        <w:t>обале </w:t>
      </w:r>
      <w:r>
        <w:rPr>
          <w:color w:val="231F20"/>
          <w:spacing w:val="-6"/>
        </w:rPr>
        <w:t>Дунава, </w:t>
      </w:r>
      <w:r>
        <w:rPr>
          <w:color w:val="231F20"/>
          <w:spacing w:val="-7"/>
        </w:rPr>
        <w:t>аеродром, </w:t>
      </w:r>
      <w:r>
        <w:rPr>
          <w:color w:val="231F20"/>
          <w:spacing w:val="-6"/>
        </w:rPr>
        <w:t>речне терминале </w:t>
      </w:r>
      <w:r>
        <w:rPr>
          <w:color w:val="231F20"/>
          <w:spacing w:val="-5"/>
        </w:rPr>
        <w:t>(робно </w:t>
      </w:r>
      <w:r>
        <w:rPr>
          <w:color w:val="231F20"/>
        </w:rPr>
        <w:t>и </w:t>
      </w:r>
      <w:r>
        <w:rPr>
          <w:color w:val="231F20"/>
          <w:spacing w:val="-7"/>
        </w:rPr>
        <w:t>путничко </w:t>
      </w:r>
      <w:r>
        <w:rPr>
          <w:color w:val="231F20"/>
          <w:spacing w:val="-6"/>
        </w:rPr>
        <w:t>пристаниште, марине </w:t>
      </w:r>
      <w:r>
        <w:rPr>
          <w:color w:val="231F20"/>
        </w:rPr>
        <w:t>и </w:t>
      </w:r>
      <w:r>
        <w:rPr>
          <w:color w:val="231F20"/>
          <w:spacing w:val="-6"/>
        </w:rPr>
        <w:t>друго), уређење </w:t>
      </w:r>
      <w:r>
        <w:rPr>
          <w:color w:val="231F20"/>
        </w:rPr>
        <w:t>и </w:t>
      </w:r>
      <w:r>
        <w:rPr>
          <w:color w:val="231F20"/>
          <w:spacing w:val="-6"/>
        </w:rPr>
        <w:t>заштиту </w:t>
      </w:r>
      <w:r>
        <w:rPr>
          <w:color w:val="231F20"/>
          <w:spacing w:val="-5"/>
        </w:rPr>
        <w:t>обала </w:t>
      </w:r>
      <w:r>
        <w:rPr>
          <w:color w:val="231F20"/>
          <w:spacing w:val="-7"/>
        </w:rPr>
        <w:t>водотока, </w:t>
      </w:r>
      <w:r>
        <w:rPr>
          <w:color w:val="231F20"/>
          <w:spacing w:val="-6"/>
        </w:rPr>
        <w:t>потенцијалне </w:t>
      </w:r>
      <w:r>
        <w:rPr>
          <w:color w:val="231F20"/>
          <w:spacing w:val="-8"/>
        </w:rPr>
        <w:t>рударске </w:t>
      </w:r>
      <w:r>
        <w:rPr>
          <w:color w:val="231F20"/>
          <w:spacing w:val="-6"/>
        </w:rPr>
        <w:t>активности </w:t>
      </w:r>
      <w:r>
        <w:rPr>
          <w:color w:val="231F20"/>
        </w:rPr>
        <w:t>у </w:t>
      </w:r>
      <w:r>
        <w:rPr>
          <w:color w:val="231F20"/>
          <w:spacing w:val="-6"/>
        </w:rPr>
        <w:t>приобалном </w:t>
      </w:r>
      <w:r>
        <w:rPr>
          <w:color w:val="231F20"/>
          <w:spacing w:val="-4"/>
        </w:rPr>
        <w:t>по- </w:t>
      </w:r>
      <w:r>
        <w:rPr>
          <w:color w:val="231F20"/>
          <w:spacing w:val="-5"/>
        </w:rPr>
        <w:t>јасу </w:t>
      </w:r>
      <w:r>
        <w:rPr>
          <w:color w:val="231F20"/>
          <w:spacing w:val="-6"/>
        </w:rPr>
        <w:t>Дунава (површински </w:t>
      </w:r>
      <w:r>
        <w:rPr>
          <w:color w:val="231F20"/>
          <w:spacing w:val="-7"/>
        </w:rPr>
        <w:t>коп </w:t>
      </w:r>
      <w:r>
        <w:rPr>
          <w:color w:val="231F20"/>
          <w:spacing w:val="-6"/>
        </w:rPr>
        <w:t>„Дрмно”, западни </w:t>
      </w:r>
      <w:r>
        <w:rPr>
          <w:color w:val="231F20"/>
          <w:spacing w:val="-4"/>
        </w:rPr>
        <w:t>део </w:t>
      </w:r>
      <w:r>
        <w:rPr>
          <w:color w:val="231F20"/>
          <w:spacing w:val="-5"/>
        </w:rPr>
        <w:t>Басена), </w:t>
      </w:r>
      <w:r>
        <w:rPr>
          <w:color w:val="231F20"/>
          <w:spacing w:val="-6"/>
        </w:rPr>
        <w:t>експло- атационо </w:t>
      </w:r>
      <w:r>
        <w:rPr>
          <w:color w:val="231F20"/>
          <w:spacing w:val="-5"/>
        </w:rPr>
        <w:t>поље нафте </w:t>
      </w:r>
      <w:r>
        <w:rPr>
          <w:color w:val="231F20"/>
        </w:rPr>
        <w:t>и </w:t>
      </w:r>
      <w:r>
        <w:rPr>
          <w:color w:val="231F20"/>
          <w:spacing w:val="-4"/>
        </w:rPr>
        <w:t>гаса </w:t>
      </w:r>
      <w:r>
        <w:rPr>
          <w:color w:val="231F20"/>
          <w:spacing w:val="-6"/>
        </w:rPr>
        <w:t>„Острово”, термоенергетски </w:t>
      </w:r>
      <w:r>
        <w:rPr>
          <w:color w:val="231F20"/>
          <w:spacing w:val="-8"/>
        </w:rPr>
        <w:t>комплекс </w:t>
      </w:r>
      <w:r>
        <w:rPr>
          <w:color w:val="231F20"/>
        </w:rPr>
        <w:t>и </w:t>
      </w:r>
      <w:r>
        <w:rPr>
          <w:color w:val="231F20"/>
          <w:spacing w:val="-7"/>
        </w:rPr>
        <w:t>археолошко </w:t>
      </w:r>
      <w:r>
        <w:rPr>
          <w:color w:val="231F20"/>
          <w:spacing w:val="-6"/>
        </w:rPr>
        <w:t>налазиште </w:t>
      </w:r>
      <w:r>
        <w:rPr>
          <w:color w:val="231F20"/>
        </w:rPr>
        <w:t>и </w:t>
      </w:r>
      <w:r>
        <w:rPr>
          <w:color w:val="231F20"/>
          <w:spacing w:val="-6"/>
        </w:rPr>
        <w:t>туристички </w:t>
      </w:r>
      <w:r>
        <w:rPr>
          <w:color w:val="231F20"/>
          <w:spacing w:val="-8"/>
        </w:rPr>
        <w:t>комплекс</w:t>
      </w:r>
      <w:r>
        <w:rPr>
          <w:color w:val="231F20"/>
          <w:spacing w:val="-31"/>
        </w:rPr>
        <w:t> </w:t>
      </w:r>
      <w:r>
        <w:rPr>
          <w:color w:val="231F20"/>
          <w:spacing w:val="-6"/>
        </w:rPr>
        <w:t>„Виминацијум”.</w:t>
      </w:r>
    </w:p>
    <w:p>
      <w:pPr>
        <w:pStyle w:val="BodyText"/>
        <w:spacing w:line="223" w:lineRule="auto"/>
        <w:ind w:left="453" w:firstLine="396"/>
      </w:pPr>
      <w:r>
        <w:rPr>
          <w:color w:val="231F20"/>
        </w:rPr>
        <w:t>Носиоци реализације приоритета у изради планске докумен- тације су:</w:t>
      </w:r>
    </w:p>
    <w:p>
      <w:pPr>
        <w:pStyle w:val="ListParagraph"/>
        <w:numPr>
          <w:ilvl w:val="2"/>
          <w:numId w:val="41"/>
        </w:numPr>
        <w:tabs>
          <w:tab w:pos="1072" w:val="left" w:leader="none"/>
        </w:tabs>
        <w:spacing w:line="187" w:lineRule="exact" w:before="0" w:after="0"/>
        <w:ind w:left="452" w:right="0" w:firstLine="397"/>
        <w:jc w:val="left"/>
        <w:rPr>
          <w:sz w:val="18"/>
        </w:rPr>
      </w:pPr>
      <w:r>
        <w:rPr>
          <w:color w:val="231F20"/>
          <w:sz w:val="18"/>
        </w:rPr>
        <w:t>за зоне рударско-енергетског </w:t>
      </w:r>
      <w:r>
        <w:rPr>
          <w:color w:val="231F20"/>
          <w:spacing w:val="-3"/>
          <w:sz w:val="18"/>
        </w:rPr>
        <w:t>комплекса </w:t>
      </w:r>
      <w:r>
        <w:rPr>
          <w:color w:val="231F20"/>
          <w:sz w:val="18"/>
        </w:rPr>
        <w:t>„ЕПС” и</w:t>
      </w:r>
      <w:r>
        <w:rPr>
          <w:color w:val="231F20"/>
          <w:spacing w:val="32"/>
          <w:sz w:val="18"/>
        </w:rPr>
        <w:t> </w:t>
      </w:r>
      <w:r>
        <w:rPr>
          <w:color w:val="231F20"/>
          <w:sz w:val="18"/>
        </w:rPr>
        <w:t>ТЕ-КО</w:t>
      </w:r>
    </w:p>
    <w:p>
      <w:pPr>
        <w:pStyle w:val="BodyText"/>
        <w:spacing w:line="223" w:lineRule="auto"/>
        <w:ind w:left="452"/>
        <w:jc w:val="left"/>
      </w:pPr>
      <w:r>
        <w:rPr>
          <w:color w:val="231F20"/>
        </w:rPr>
        <w:t>„Костолац” (финансирање) и јединице локалне самоуправе (доно- шење) и</w:t>
      </w:r>
    </w:p>
    <w:p>
      <w:pPr>
        <w:pStyle w:val="ListParagraph"/>
        <w:numPr>
          <w:ilvl w:val="2"/>
          <w:numId w:val="41"/>
        </w:numPr>
        <w:tabs>
          <w:tab w:pos="1045" w:val="left" w:leader="none"/>
        </w:tabs>
        <w:spacing w:line="223" w:lineRule="auto" w:before="0" w:after="0"/>
        <w:ind w:left="452" w:right="1" w:firstLine="397"/>
        <w:jc w:val="both"/>
        <w:rPr>
          <w:sz w:val="18"/>
        </w:rPr>
      </w:pPr>
      <w:r>
        <w:rPr>
          <w:color w:val="231F20"/>
          <w:sz w:val="18"/>
        </w:rPr>
        <w:t>за</w:t>
      </w:r>
      <w:r>
        <w:rPr>
          <w:color w:val="231F20"/>
          <w:spacing w:val="-5"/>
          <w:sz w:val="18"/>
        </w:rPr>
        <w:t> </w:t>
      </w:r>
      <w:r>
        <w:rPr>
          <w:color w:val="231F20"/>
          <w:sz w:val="18"/>
        </w:rPr>
        <w:t>локалну</w:t>
      </w:r>
      <w:r>
        <w:rPr>
          <w:color w:val="231F20"/>
          <w:spacing w:val="-5"/>
          <w:sz w:val="18"/>
        </w:rPr>
        <w:t> </w:t>
      </w:r>
      <w:r>
        <w:rPr>
          <w:color w:val="231F20"/>
          <w:sz w:val="18"/>
        </w:rPr>
        <w:t>мрежу</w:t>
      </w:r>
      <w:r>
        <w:rPr>
          <w:color w:val="231F20"/>
          <w:spacing w:val="-5"/>
          <w:sz w:val="18"/>
        </w:rPr>
        <w:t> </w:t>
      </w:r>
      <w:r>
        <w:rPr>
          <w:color w:val="231F20"/>
          <w:sz w:val="18"/>
        </w:rPr>
        <w:t>и</w:t>
      </w:r>
      <w:r>
        <w:rPr>
          <w:color w:val="231F20"/>
          <w:spacing w:val="-5"/>
          <w:sz w:val="18"/>
        </w:rPr>
        <w:t> </w:t>
      </w:r>
      <w:r>
        <w:rPr>
          <w:color w:val="231F20"/>
          <w:sz w:val="18"/>
        </w:rPr>
        <w:t>објекте</w:t>
      </w:r>
      <w:r>
        <w:rPr>
          <w:color w:val="231F20"/>
          <w:spacing w:val="-5"/>
          <w:sz w:val="18"/>
        </w:rPr>
        <w:t> </w:t>
      </w:r>
      <w:r>
        <w:rPr>
          <w:color w:val="231F20"/>
          <w:sz w:val="18"/>
        </w:rPr>
        <w:t>локална</w:t>
      </w:r>
      <w:r>
        <w:rPr>
          <w:color w:val="231F20"/>
          <w:spacing w:val="-5"/>
          <w:sz w:val="18"/>
        </w:rPr>
        <w:t> </w:t>
      </w:r>
      <w:r>
        <w:rPr>
          <w:color w:val="231F20"/>
          <w:sz w:val="18"/>
        </w:rPr>
        <w:t>самоуправа</w:t>
      </w:r>
      <w:r>
        <w:rPr>
          <w:color w:val="231F20"/>
          <w:spacing w:val="-5"/>
          <w:sz w:val="18"/>
        </w:rPr>
        <w:t> </w:t>
      </w:r>
      <w:r>
        <w:rPr>
          <w:color w:val="231F20"/>
          <w:sz w:val="18"/>
        </w:rPr>
        <w:t>у</w:t>
      </w:r>
      <w:r>
        <w:rPr>
          <w:color w:val="231F20"/>
          <w:spacing w:val="-5"/>
          <w:sz w:val="18"/>
        </w:rPr>
        <w:t> </w:t>
      </w:r>
      <w:r>
        <w:rPr>
          <w:color w:val="231F20"/>
          <w:sz w:val="18"/>
        </w:rPr>
        <w:t>сарадњи са надлежним републичким и локалним</w:t>
      </w:r>
      <w:r>
        <w:rPr>
          <w:color w:val="231F20"/>
          <w:spacing w:val="-9"/>
          <w:sz w:val="18"/>
        </w:rPr>
        <w:t> </w:t>
      </w:r>
      <w:r>
        <w:rPr>
          <w:color w:val="231F20"/>
          <w:sz w:val="18"/>
        </w:rPr>
        <w:t>институцијама.</w:t>
      </w:r>
    </w:p>
    <w:p>
      <w:pPr>
        <w:pStyle w:val="Heading1"/>
        <w:numPr>
          <w:ilvl w:val="0"/>
          <w:numId w:val="43"/>
        </w:numPr>
        <w:tabs>
          <w:tab w:pos="1009" w:val="left" w:leader="none"/>
        </w:tabs>
        <w:spacing w:line="223" w:lineRule="auto" w:before="168" w:after="0"/>
        <w:ind w:left="734" w:right="280" w:firstLine="94"/>
        <w:jc w:val="left"/>
      </w:pPr>
      <w:r>
        <w:rPr>
          <w:color w:val="231F20"/>
        </w:rPr>
        <w:t>Приоритети просторног развоја планског подручја и мере за остваривање планских циљева и</w:t>
      </w:r>
      <w:r>
        <w:rPr>
          <w:color w:val="231F20"/>
          <w:spacing w:val="-21"/>
        </w:rPr>
        <w:t> </w:t>
      </w:r>
      <w:r>
        <w:rPr>
          <w:color w:val="231F20"/>
        </w:rPr>
        <w:t>пропозиција</w:t>
      </w:r>
    </w:p>
    <w:p>
      <w:pPr>
        <w:pStyle w:val="ListParagraph"/>
        <w:numPr>
          <w:ilvl w:val="1"/>
          <w:numId w:val="43"/>
        </w:numPr>
        <w:tabs>
          <w:tab w:pos="2067" w:val="left" w:leader="none"/>
        </w:tabs>
        <w:spacing w:line="240" w:lineRule="auto" w:before="101" w:after="0"/>
        <w:ind w:left="1641" w:right="0" w:firstLine="110"/>
        <w:jc w:val="left"/>
        <w:rPr>
          <w:i/>
          <w:sz w:val="18"/>
        </w:rPr>
      </w:pPr>
      <w:r>
        <w:rPr>
          <w:i/>
          <w:color w:val="231F20"/>
          <w:sz w:val="18"/>
        </w:rPr>
        <w:t>Општи приоритети</w:t>
      </w:r>
      <w:r>
        <w:rPr>
          <w:i/>
          <w:color w:val="231F20"/>
          <w:spacing w:val="-2"/>
          <w:sz w:val="18"/>
        </w:rPr>
        <w:t> </w:t>
      </w:r>
      <w:r>
        <w:rPr>
          <w:i/>
          <w:color w:val="231F20"/>
          <w:sz w:val="18"/>
        </w:rPr>
        <w:t>развоја</w:t>
      </w:r>
    </w:p>
    <w:p>
      <w:pPr>
        <w:pStyle w:val="BodyText"/>
        <w:spacing w:before="99"/>
        <w:ind w:left="1752"/>
        <w:jc w:val="left"/>
      </w:pPr>
      <w:r>
        <w:rPr>
          <w:color w:val="231F20"/>
        </w:rPr>
        <w:t>Општи принципи и критеријуми</w:t>
      </w:r>
    </w:p>
    <w:p>
      <w:pPr>
        <w:pStyle w:val="BodyText"/>
        <w:spacing w:before="5"/>
        <w:ind w:left="0"/>
        <w:jc w:val="left"/>
        <w:rPr>
          <w:sz w:val="16"/>
        </w:rPr>
      </w:pPr>
    </w:p>
    <w:p>
      <w:pPr>
        <w:pStyle w:val="BodyText"/>
        <w:spacing w:line="223" w:lineRule="auto"/>
        <w:ind w:left="452" w:right="1" w:firstLine="396"/>
      </w:pPr>
      <w:r>
        <w:rPr>
          <w:color w:val="231F20"/>
        </w:rPr>
        <w:t>У елаборацији институционално-организационе подршке за остваривање</w:t>
      </w:r>
      <w:r>
        <w:rPr>
          <w:color w:val="231F20"/>
          <w:spacing w:val="-8"/>
        </w:rPr>
        <w:t> </w:t>
      </w:r>
      <w:r>
        <w:rPr>
          <w:color w:val="231F20"/>
        </w:rPr>
        <w:t>стратешких</w:t>
      </w:r>
      <w:r>
        <w:rPr>
          <w:color w:val="231F20"/>
          <w:spacing w:val="-8"/>
        </w:rPr>
        <w:t> </w:t>
      </w:r>
      <w:r>
        <w:rPr>
          <w:color w:val="231F20"/>
        </w:rPr>
        <w:t>циљева</w:t>
      </w:r>
      <w:r>
        <w:rPr>
          <w:color w:val="231F20"/>
          <w:spacing w:val="-8"/>
        </w:rPr>
        <w:t> </w:t>
      </w:r>
      <w:r>
        <w:rPr>
          <w:color w:val="231F20"/>
        </w:rPr>
        <w:t>Планског</w:t>
      </w:r>
      <w:r>
        <w:rPr>
          <w:color w:val="231F20"/>
          <w:spacing w:val="-8"/>
        </w:rPr>
        <w:t> </w:t>
      </w:r>
      <w:r>
        <w:rPr>
          <w:color w:val="231F20"/>
        </w:rPr>
        <w:t>подручја</w:t>
      </w:r>
      <w:r>
        <w:rPr>
          <w:color w:val="231F20"/>
          <w:spacing w:val="-8"/>
        </w:rPr>
        <w:t> </w:t>
      </w:r>
      <w:r>
        <w:rPr>
          <w:color w:val="231F20"/>
        </w:rPr>
        <w:t>треба</w:t>
      </w:r>
      <w:r>
        <w:rPr>
          <w:color w:val="231F20"/>
          <w:spacing w:val="-8"/>
        </w:rPr>
        <w:t> </w:t>
      </w:r>
      <w:r>
        <w:rPr>
          <w:color w:val="231F20"/>
        </w:rPr>
        <w:t>поћи</w:t>
      </w:r>
      <w:r>
        <w:rPr>
          <w:color w:val="231F20"/>
          <w:spacing w:val="-8"/>
        </w:rPr>
        <w:t> </w:t>
      </w:r>
      <w:r>
        <w:rPr>
          <w:color w:val="231F20"/>
          <w:spacing w:val="-3"/>
        </w:rPr>
        <w:t>од </w:t>
      </w:r>
      <w:r>
        <w:rPr>
          <w:color w:val="231F20"/>
          <w:spacing w:val="-4"/>
        </w:rPr>
        <w:t>неколико</w:t>
      </w:r>
      <w:r>
        <w:rPr>
          <w:color w:val="231F20"/>
        </w:rPr>
        <w:t> упоришта:</w:t>
      </w:r>
    </w:p>
    <w:p>
      <w:pPr>
        <w:pStyle w:val="BodyText"/>
        <w:spacing w:line="223" w:lineRule="auto"/>
        <w:ind w:left="452" w:right="1" w:firstLine="397"/>
      </w:pPr>
      <w:r>
        <w:rPr>
          <w:color w:val="231F20"/>
          <w:w w:val="66"/>
        </w:rPr>
        <w:t> </w:t>
      </w:r>
      <w:r>
        <w:rPr>
          <w:color w:val="231F20"/>
        </w:rPr>
        <w:t>–</w:t>
      </w:r>
      <w:r>
        <w:rPr>
          <w:color w:val="231F20"/>
          <w:spacing w:val="-6"/>
        </w:rPr>
        <w:t> </w:t>
      </w:r>
      <w:r>
        <w:rPr>
          <w:color w:val="231F20"/>
        </w:rPr>
        <w:t>приоритет</w:t>
      </w:r>
      <w:r>
        <w:rPr>
          <w:color w:val="231F20"/>
          <w:spacing w:val="-6"/>
        </w:rPr>
        <w:t> </w:t>
      </w:r>
      <w:r>
        <w:rPr>
          <w:color w:val="231F20"/>
        </w:rPr>
        <w:t>треба</w:t>
      </w:r>
      <w:r>
        <w:rPr>
          <w:color w:val="231F20"/>
          <w:spacing w:val="-6"/>
        </w:rPr>
        <w:t> </w:t>
      </w:r>
      <w:r>
        <w:rPr>
          <w:color w:val="231F20"/>
        </w:rPr>
        <w:t>да</w:t>
      </w:r>
      <w:r>
        <w:rPr>
          <w:color w:val="231F20"/>
          <w:spacing w:val="-6"/>
        </w:rPr>
        <w:t> </w:t>
      </w:r>
      <w:r>
        <w:rPr>
          <w:color w:val="231F20"/>
        </w:rPr>
        <w:t>има</w:t>
      </w:r>
      <w:r>
        <w:rPr>
          <w:color w:val="231F20"/>
          <w:spacing w:val="-6"/>
        </w:rPr>
        <w:t> </w:t>
      </w:r>
      <w:r>
        <w:rPr>
          <w:color w:val="231F20"/>
        </w:rPr>
        <w:t>унапређење</w:t>
      </w:r>
      <w:r>
        <w:rPr>
          <w:color w:val="231F20"/>
          <w:spacing w:val="-6"/>
        </w:rPr>
        <w:t> </w:t>
      </w:r>
      <w:r>
        <w:rPr>
          <w:color w:val="231F20"/>
        </w:rPr>
        <w:t>сарадње</w:t>
      </w:r>
      <w:r>
        <w:rPr>
          <w:color w:val="231F20"/>
          <w:spacing w:val="-6"/>
        </w:rPr>
        <w:t> </w:t>
      </w:r>
      <w:r>
        <w:rPr>
          <w:color w:val="231F20"/>
        </w:rPr>
        <w:t>између</w:t>
      </w:r>
      <w:r>
        <w:rPr>
          <w:color w:val="231F20"/>
          <w:spacing w:val="-6"/>
        </w:rPr>
        <w:t> </w:t>
      </w:r>
      <w:r>
        <w:rPr>
          <w:color w:val="231F20"/>
        </w:rPr>
        <w:t>локал- </w:t>
      </w:r>
      <w:r>
        <w:rPr>
          <w:color w:val="231F20"/>
          <w:spacing w:val="-6"/>
        </w:rPr>
        <w:t>ног, </w:t>
      </w:r>
      <w:r>
        <w:rPr>
          <w:color w:val="231F20"/>
        </w:rPr>
        <w:t>регионалног и националног нивоа, са циљем да се стимулише локални и регионални економски и социјални</w:t>
      </w:r>
      <w:r>
        <w:rPr>
          <w:color w:val="231F20"/>
          <w:spacing w:val="-11"/>
        </w:rPr>
        <w:t> </w:t>
      </w:r>
      <w:r>
        <w:rPr>
          <w:color w:val="231F20"/>
        </w:rPr>
        <w:t>развој;</w:t>
      </w:r>
    </w:p>
    <w:p>
      <w:pPr>
        <w:pStyle w:val="BodyText"/>
        <w:spacing w:line="232" w:lineRule="auto" w:before="74"/>
        <w:ind w:left="241" w:right="130" w:firstLine="396"/>
      </w:pPr>
      <w:r>
        <w:rPr/>
        <w:br w:type="column"/>
      </w:r>
      <w:r>
        <w:rPr>
          <w:color w:val="231F20"/>
          <w:w w:val="66"/>
        </w:rPr>
        <w:t> </w:t>
      </w:r>
      <w:r>
        <w:rPr>
          <w:color w:val="231F20"/>
        </w:rPr>
        <w:t>– реализовање „новог урбано-руралног партнерства”, чији је основни</w:t>
      </w:r>
      <w:r>
        <w:rPr>
          <w:color w:val="231F20"/>
          <w:spacing w:val="-9"/>
        </w:rPr>
        <w:t> </w:t>
      </w:r>
      <w:r>
        <w:rPr>
          <w:color w:val="231F20"/>
        </w:rPr>
        <w:t>смисао</w:t>
      </w:r>
      <w:r>
        <w:rPr>
          <w:color w:val="231F20"/>
          <w:spacing w:val="-9"/>
        </w:rPr>
        <w:t> </w:t>
      </w:r>
      <w:r>
        <w:rPr>
          <w:color w:val="231F20"/>
        </w:rPr>
        <w:t>уравнотежен</w:t>
      </w:r>
      <w:r>
        <w:rPr>
          <w:color w:val="231F20"/>
          <w:spacing w:val="-9"/>
        </w:rPr>
        <w:t> </w:t>
      </w:r>
      <w:r>
        <w:rPr>
          <w:color w:val="231F20"/>
        </w:rPr>
        <w:t>развој</w:t>
      </w:r>
      <w:r>
        <w:rPr>
          <w:color w:val="231F20"/>
          <w:spacing w:val="-9"/>
        </w:rPr>
        <w:t> </w:t>
      </w:r>
      <w:r>
        <w:rPr>
          <w:color w:val="231F20"/>
        </w:rPr>
        <w:t>подручја</w:t>
      </w:r>
      <w:r>
        <w:rPr>
          <w:color w:val="231F20"/>
          <w:spacing w:val="-9"/>
        </w:rPr>
        <w:t> </w:t>
      </w:r>
      <w:r>
        <w:rPr>
          <w:color w:val="231F20"/>
        </w:rPr>
        <w:t>у</w:t>
      </w:r>
      <w:r>
        <w:rPr>
          <w:color w:val="231F20"/>
          <w:spacing w:val="-9"/>
        </w:rPr>
        <w:t> </w:t>
      </w:r>
      <w:r>
        <w:rPr>
          <w:color w:val="231F20"/>
          <w:spacing w:val="-3"/>
        </w:rPr>
        <w:t>којима</w:t>
      </w:r>
      <w:r>
        <w:rPr>
          <w:color w:val="231F20"/>
          <w:spacing w:val="-9"/>
        </w:rPr>
        <w:t> </w:t>
      </w:r>
      <w:r>
        <w:rPr>
          <w:color w:val="231F20"/>
        </w:rPr>
        <w:t>рурални</w:t>
      </w:r>
      <w:r>
        <w:rPr>
          <w:color w:val="231F20"/>
          <w:spacing w:val="-9"/>
        </w:rPr>
        <w:t> </w:t>
      </w:r>
      <w:r>
        <w:rPr>
          <w:color w:val="231F20"/>
        </w:rPr>
        <w:t>део знатније заостаје за урбаним, а што је управо случај у већем делу Подунавља низводно </w:t>
      </w:r>
      <w:r>
        <w:rPr>
          <w:color w:val="231F20"/>
          <w:spacing w:val="-4"/>
        </w:rPr>
        <w:t>од </w:t>
      </w:r>
      <w:r>
        <w:rPr>
          <w:color w:val="231F20"/>
        </w:rPr>
        <w:t>Београда, као и на </w:t>
      </w:r>
      <w:r>
        <w:rPr>
          <w:color w:val="231F20"/>
          <w:spacing w:val="-3"/>
        </w:rPr>
        <w:t>Планском</w:t>
      </w:r>
      <w:r>
        <w:rPr>
          <w:color w:val="231F20"/>
          <w:spacing w:val="-29"/>
        </w:rPr>
        <w:t> </w:t>
      </w:r>
      <w:r>
        <w:rPr>
          <w:color w:val="231F20"/>
          <w:spacing w:val="-3"/>
        </w:rPr>
        <w:t>подручју;</w:t>
      </w:r>
    </w:p>
    <w:p>
      <w:pPr>
        <w:pStyle w:val="BodyText"/>
        <w:spacing w:line="237" w:lineRule="auto"/>
        <w:ind w:left="242" w:right="129" w:firstLine="396"/>
      </w:pPr>
      <w:r>
        <w:rPr>
          <w:color w:val="231F20"/>
          <w:w w:val="66"/>
        </w:rPr>
        <w:t> </w:t>
      </w:r>
      <w:r>
        <w:rPr>
          <w:color w:val="231F20"/>
        </w:rPr>
        <w:t>– сарадња у регионалном </w:t>
      </w:r>
      <w:r>
        <w:rPr>
          <w:color w:val="231F20"/>
          <w:spacing w:val="-4"/>
        </w:rPr>
        <w:t>окружењу, </w:t>
      </w:r>
      <w:r>
        <w:rPr>
          <w:color w:val="231F20"/>
        </w:rPr>
        <w:t>у областима изградње и развоја техничке инфраструктуре, уређивања и заштите </w:t>
      </w:r>
      <w:r>
        <w:rPr>
          <w:color w:val="231F20"/>
          <w:spacing w:val="-3"/>
        </w:rPr>
        <w:t>водотоко- </w:t>
      </w:r>
      <w:r>
        <w:rPr>
          <w:color w:val="231F20"/>
        </w:rPr>
        <w:t>ва, у области образовања и културе, остваривања одрживог соци- јалног и привредног развоја, заштите животне средине, управља- ња ванредним ситуацијама итд.;</w:t>
      </w:r>
    </w:p>
    <w:p>
      <w:pPr>
        <w:pStyle w:val="BodyText"/>
        <w:spacing w:line="237" w:lineRule="auto"/>
        <w:ind w:left="242" w:right="129" w:firstLine="396"/>
      </w:pPr>
      <w:r>
        <w:rPr>
          <w:color w:val="231F20"/>
          <w:w w:val="66"/>
        </w:rPr>
        <w:t> </w:t>
      </w:r>
      <w:r>
        <w:rPr>
          <w:color w:val="231F20"/>
        </w:rPr>
        <w:t>– благовремено елаборирање докумената које су неопходни као платформе за сарадњу са институцијама ЕУ и приступ фондо- вима ЕУ;</w:t>
      </w:r>
    </w:p>
    <w:p>
      <w:pPr>
        <w:pStyle w:val="BodyText"/>
        <w:spacing w:line="237" w:lineRule="auto"/>
        <w:ind w:left="242" w:right="129" w:firstLine="397"/>
      </w:pPr>
      <w:r>
        <w:rPr>
          <w:color w:val="231F20"/>
          <w:w w:val="66"/>
        </w:rPr>
        <w:t> </w:t>
      </w:r>
      <w:r>
        <w:rPr>
          <w:color w:val="231F20"/>
        </w:rPr>
        <w:t>– координација развојних процеса на регионалном и локал- ном </w:t>
      </w:r>
      <w:r>
        <w:rPr>
          <w:color w:val="231F20"/>
          <w:spacing w:val="-3"/>
        </w:rPr>
        <w:t>нивоу: </w:t>
      </w:r>
      <w:r>
        <w:rPr>
          <w:color w:val="231F20"/>
        </w:rPr>
        <w:t>1) активирање нових просторних/локационих модела привредно-индустријске инфраструктуре (индустријска зона,</w:t>
      </w:r>
      <w:r>
        <w:rPr>
          <w:color w:val="231F20"/>
          <w:spacing w:val="-32"/>
        </w:rPr>
        <w:t> </w:t>
      </w:r>
      <w:r>
        <w:rPr>
          <w:color w:val="231F20"/>
        </w:rPr>
        <w:t>при- вредна/предузетничка зона, пословни инкубатор, слободна зона, индустријски паркови, специјализовани</w:t>
      </w:r>
      <w:r>
        <w:rPr>
          <w:color w:val="231F20"/>
          <w:spacing w:val="-29"/>
        </w:rPr>
        <w:t> </w:t>
      </w:r>
      <w:r>
        <w:rPr>
          <w:color w:val="231F20"/>
        </w:rPr>
        <w:t>производно-индустријски центри</w:t>
      </w:r>
      <w:r>
        <w:rPr>
          <w:color w:val="231F20"/>
          <w:spacing w:val="-6"/>
        </w:rPr>
        <w:t> </w:t>
      </w:r>
      <w:r>
        <w:rPr>
          <w:color w:val="231F20"/>
        </w:rPr>
        <w:t>и</w:t>
      </w:r>
      <w:r>
        <w:rPr>
          <w:color w:val="231F20"/>
          <w:spacing w:val="-6"/>
        </w:rPr>
        <w:t> </w:t>
      </w:r>
      <w:r>
        <w:rPr>
          <w:color w:val="231F20"/>
        </w:rPr>
        <w:t>друго);</w:t>
      </w:r>
      <w:r>
        <w:rPr>
          <w:color w:val="231F20"/>
          <w:spacing w:val="-6"/>
        </w:rPr>
        <w:t> </w:t>
      </w:r>
      <w:r>
        <w:rPr>
          <w:color w:val="231F20"/>
        </w:rPr>
        <w:t>2)</w:t>
      </w:r>
      <w:r>
        <w:rPr>
          <w:color w:val="231F20"/>
          <w:spacing w:val="-6"/>
        </w:rPr>
        <w:t> </w:t>
      </w:r>
      <w:r>
        <w:rPr>
          <w:color w:val="231F20"/>
        </w:rPr>
        <w:t>развој</w:t>
      </w:r>
      <w:r>
        <w:rPr>
          <w:color w:val="231F20"/>
          <w:spacing w:val="-6"/>
        </w:rPr>
        <w:t> </w:t>
      </w:r>
      <w:r>
        <w:rPr>
          <w:color w:val="231F20"/>
        </w:rPr>
        <w:t>регионалних</w:t>
      </w:r>
      <w:r>
        <w:rPr>
          <w:color w:val="231F20"/>
          <w:spacing w:val="-6"/>
        </w:rPr>
        <w:t> </w:t>
      </w:r>
      <w:r>
        <w:rPr>
          <w:color w:val="231F20"/>
        </w:rPr>
        <w:t>привредних</w:t>
      </w:r>
      <w:r>
        <w:rPr>
          <w:color w:val="231F20"/>
          <w:spacing w:val="-6"/>
        </w:rPr>
        <w:t> </w:t>
      </w:r>
      <w:r>
        <w:rPr>
          <w:color w:val="231F20"/>
        </w:rPr>
        <w:t>кластера</w:t>
      </w:r>
      <w:r>
        <w:rPr>
          <w:color w:val="231F20"/>
          <w:spacing w:val="-6"/>
        </w:rPr>
        <w:t> </w:t>
      </w:r>
      <w:r>
        <w:rPr>
          <w:color w:val="231F20"/>
        </w:rPr>
        <w:t>МСП у кључним секторима производње и услуга, што подразумева умрежавање и јачање функционалних веза произвођача, добавља- ча, коопераната, купаца формирањем кластера МСП ради раста конкурентности и заустављања дезинтеграције и фрагментисано- сти простора Подунавља и 3) ревитализација постојећих привред- них </w:t>
      </w:r>
      <w:r>
        <w:rPr>
          <w:color w:val="231F20"/>
          <w:spacing w:val="-3"/>
        </w:rPr>
        <w:t>комплекса, </w:t>
      </w:r>
      <w:r>
        <w:rPr>
          <w:color w:val="231F20"/>
        </w:rPr>
        <w:t>или њихових</w:t>
      </w:r>
      <w:r>
        <w:rPr>
          <w:color w:val="231F20"/>
          <w:spacing w:val="-1"/>
        </w:rPr>
        <w:t> </w:t>
      </w:r>
      <w:r>
        <w:rPr>
          <w:color w:val="231F20"/>
        </w:rPr>
        <w:t>делова;</w:t>
      </w:r>
    </w:p>
    <w:p>
      <w:pPr>
        <w:pStyle w:val="BodyText"/>
        <w:spacing w:line="237" w:lineRule="auto"/>
        <w:ind w:left="242" w:right="129" w:firstLine="397"/>
      </w:pPr>
      <w:r>
        <w:rPr>
          <w:color w:val="231F20"/>
          <w:w w:val="66"/>
        </w:rPr>
        <w:t> </w:t>
      </w:r>
      <w:r>
        <w:rPr>
          <w:color w:val="231F20"/>
        </w:rPr>
        <w:t>– праћење нове европске политике регионалног развоја са циљем да се брже развијају недовољно развијена подручја; нови циљ је омогућавање раста и развоја подручја </w:t>
      </w:r>
      <w:r>
        <w:rPr>
          <w:color w:val="231F20"/>
          <w:spacing w:val="-3"/>
        </w:rPr>
        <w:t>која </w:t>
      </w:r>
      <w:r>
        <w:rPr>
          <w:color w:val="231F20"/>
        </w:rPr>
        <w:t>треба да имају улогу „полуга </w:t>
      </w:r>
      <w:r>
        <w:rPr>
          <w:color w:val="231F20"/>
          <w:spacing w:val="-3"/>
        </w:rPr>
        <w:t>које </w:t>
      </w:r>
      <w:r>
        <w:rPr>
          <w:color w:val="231F20"/>
        </w:rPr>
        <w:t>могу повући” општи развој, што се у првом ре- ду</w:t>
      </w:r>
      <w:r>
        <w:rPr>
          <w:color w:val="231F20"/>
          <w:spacing w:val="-9"/>
        </w:rPr>
        <w:t> </w:t>
      </w:r>
      <w:r>
        <w:rPr>
          <w:color w:val="231F20"/>
        </w:rPr>
        <w:t>односи</w:t>
      </w:r>
      <w:r>
        <w:rPr>
          <w:color w:val="231F20"/>
          <w:spacing w:val="-9"/>
        </w:rPr>
        <w:t> </w:t>
      </w:r>
      <w:r>
        <w:rPr>
          <w:color w:val="231F20"/>
        </w:rPr>
        <w:t>на</w:t>
      </w:r>
      <w:r>
        <w:rPr>
          <w:color w:val="231F20"/>
          <w:spacing w:val="-9"/>
        </w:rPr>
        <w:t> </w:t>
      </w:r>
      <w:r>
        <w:rPr>
          <w:color w:val="231F20"/>
        </w:rPr>
        <w:t>такозвана</w:t>
      </w:r>
      <w:r>
        <w:rPr>
          <w:color w:val="231F20"/>
          <w:spacing w:val="-9"/>
        </w:rPr>
        <w:t> </w:t>
      </w:r>
      <w:r>
        <w:rPr>
          <w:color w:val="231F20"/>
        </w:rPr>
        <w:t>„пропулзивна”,</w:t>
      </w:r>
      <w:r>
        <w:rPr>
          <w:color w:val="231F20"/>
          <w:spacing w:val="-9"/>
        </w:rPr>
        <w:t> </w:t>
      </w:r>
      <w:r>
        <w:rPr>
          <w:color w:val="231F20"/>
        </w:rPr>
        <w:t>„иновативна”,</w:t>
      </w:r>
      <w:r>
        <w:rPr>
          <w:color w:val="231F20"/>
          <w:spacing w:val="-9"/>
        </w:rPr>
        <w:t> </w:t>
      </w:r>
      <w:r>
        <w:rPr>
          <w:color w:val="231F20"/>
        </w:rPr>
        <w:t>„креативна” подручја, </w:t>
      </w:r>
      <w:r>
        <w:rPr>
          <w:color w:val="231F20"/>
          <w:spacing w:val="-3"/>
        </w:rPr>
        <w:t>од којих </w:t>
      </w:r>
      <w:r>
        <w:rPr>
          <w:color w:val="231F20"/>
        </w:rPr>
        <w:t>већина припада делу развијенијих и најразвије- нијих</w:t>
      </w:r>
      <w:r>
        <w:rPr>
          <w:color w:val="231F20"/>
          <w:spacing w:val="-11"/>
        </w:rPr>
        <w:t> </w:t>
      </w:r>
      <w:r>
        <w:rPr>
          <w:color w:val="231F20"/>
        </w:rPr>
        <w:t>региона</w:t>
      </w:r>
      <w:r>
        <w:rPr>
          <w:color w:val="231F20"/>
          <w:spacing w:val="15"/>
        </w:rPr>
        <w:t> </w:t>
      </w:r>
      <w:r>
        <w:rPr>
          <w:color w:val="231F20"/>
        </w:rPr>
        <w:t>–</w:t>
      </w:r>
      <w:r>
        <w:rPr>
          <w:color w:val="231F20"/>
          <w:spacing w:val="-11"/>
        </w:rPr>
        <w:t> </w:t>
      </w:r>
      <w:r>
        <w:rPr>
          <w:color w:val="231F20"/>
        </w:rPr>
        <w:t>и</w:t>
      </w:r>
      <w:r>
        <w:rPr>
          <w:color w:val="231F20"/>
          <w:spacing w:val="-11"/>
        </w:rPr>
        <w:t> </w:t>
      </w:r>
      <w:r>
        <w:rPr>
          <w:color w:val="231F20"/>
        </w:rPr>
        <w:t>то</w:t>
      </w:r>
      <w:r>
        <w:rPr>
          <w:color w:val="231F20"/>
          <w:spacing w:val="-11"/>
        </w:rPr>
        <w:t> </w:t>
      </w:r>
      <w:r>
        <w:rPr>
          <w:color w:val="231F20"/>
        </w:rPr>
        <w:t>све</w:t>
      </w:r>
      <w:r>
        <w:rPr>
          <w:color w:val="231F20"/>
          <w:spacing w:val="-11"/>
        </w:rPr>
        <w:t> </w:t>
      </w:r>
      <w:r>
        <w:rPr>
          <w:color w:val="231F20"/>
        </w:rPr>
        <w:t>на</w:t>
      </w:r>
      <w:r>
        <w:rPr>
          <w:color w:val="231F20"/>
          <w:spacing w:val="-11"/>
        </w:rPr>
        <w:t> </w:t>
      </w:r>
      <w:r>
        <w:rPr>
          <w:color w:val="231F20"/>
        </w:rPr>
        <w:t>основу</w:t>
      </w:r>
      <w:r>
        <w:rPr>
          <w:color w:val="231F20"/>
          <w:spacing w:val="-11"/>
        </w:rPr>
        <w:t> </w:t>
      </w:r>
      <w:r>
        <w:rPr>
          <w:color w:val="231F20"/>
        </w:rPr>
        <w:t>оптималног</w:t>
      </w:r>
      <w:r>
        <w:rPr>
          <w:color w:val="231F20"/>
          <w:spacing w:val="-11"/>
        </w:rPr>
        <w:t> </w:t>
      </w:r>
      <w:r>
        <w:rPr>
          <w:color w:val="231F20"/>
        </w:rPr>
        <w:t>активирања</w:t>
      </w:r>
      <w:r>
        <w:rPr>
          <w:color w:val="231F20"/>
          <w:spacing w:val="-11"/>
        </w:rPr>
        <w:t> </w:t>
      </w:r>
      <w:r>
        <w:rPr>
          <w:color w:val="231F20"/>
        </w:rPr>
        <w:t>и</w:t>
      </w:r>
      <w:r>
        <w:rPr>
          <w:color w:val="231F20"/>
          <w:spacing w:val="-11"/>
        </w:rPr>
        <w:t> </w:t>
      </w:r>
      <w:r>
        <w:rPr>
          <w:color w:val="231F20"/>
        </w:rPr>
        <w:t>кори- шћења укупног потенцијала подручја, и уз активирање што већег броја</w:t>
      </w:r>
      <w:r>
        <w:rPr>
          <w:color w:val="231F20"/>
          <w:spacing w:val="-1"/>
        </w:rPr>
        <w:t> </w:t>
      </w:r>
      <w:r>
        <w:rPr>
          <w:color w:val="231F20"/>
        </w:rPr>
        <w:t>актера;</w:t>
      </w:r>
    </w:p>
    <w:p>
      <w:pPr>
        <w:pStyle w:val="BodyText"/>
        <w:spacing w:line="237" w:lineRule="auto"/>
        <w:ind w:left="242" w:right="129" w:firstLine="396"/>
      </w:pPr>
      <w:r>
        <w:rPr>
          <w:color w:val="231F20"/>
          <w:w w:val="66"/>
        </w:rPr>
        <w:t> </w:t>
      </w:r>
      <w:r>
        <w:rPr>
          <w:color w:val="231F20"/>
        </w:rPr>
        <w:t>– код коначне евалуације алтернатива и њихових добрих и лоших страна, биће неопходно узети у обзир могућан утицај ин- тензивнијег развоја на коридорима VII и X и њиховим краковима;</w:t>
      </w:r>
    </w:p>
    <w:p>
      <w:pPr>
        <w:pStyle w:val="BodyText"/>
        <w:spacing w:line="203" w:lineRule="exact"/>
        <w:ind w:left="639"/>
        <w:jc w:val="left"/>
      </w:pPr>
      <w:r>
        <w:rPr>
          <w:color w:val="231F20"/>
          <w:w w:val="66"/>
        </w:rPr>
        <w:t> </w:t>
      </w:r>
      <w:r>
        <w:rPr>
          <w:color w:val="231F20"/>
        </w:rPr>
        <w:t>– треба израдити посебну регионалну стратегију развоја</w:t>
      </w:r>
    </w:p>
    <w:p>
      <w:pPr>
        <w:pStyle w:val="BodyText"/>
        <w:spacing w:line="205" w:lineRule="exact"/>
        <w:ind w:left="242"/>
        <w:jc w:val="left"/>
      </w:pPr>
      <w:r>
        <w:rPr>
          <w:color w:val="231F20"/>
        </w:rPr>
        <w:t>„одрживог бизниса”; и</w:t>
      </w:r>
    </w:p>
    <w:p>
      <w:pPr>
        <w:pStyle w:val="BodyText"/>
        <w:spacing w:line="237" w:lineRule="auto"/>
        <w:ind w:left="241" w:right="129" w:firstLine="397"/>
      </w:pPr>
      <w:r>
        <w:rPr>
          <w:color w:val="231F20"/>
          <w:w w:val="66"/>
        </w:rPr>
        <w:t> </w:t>
      </w:r>
      <w:r>
        <w:rPr>
          <w:color w:val="231F20"/>
        </w:rPr>
        <w:t>– примена принципа и општих критеријума регионализма и регионалног управљања.</w:t>
      </w:r>
    </w:p>
    <w:p>
      <w:pPr>
        <w:pStyle w:val="ListParagraph"/>
        <w:numPr>
          <w:ilvl w:val="1"/>
          <w:numId w:val="43"/>
        </w:numPr>
        <w:tabs>
          <w:tab w:pos="1155" w:val="left" w:leader="none"/>
        </w:tabs>
        <w:spacing w:line="237" w:lineRule="auto" w:before="163" w:after="0"/>
        <w:ind w:left="1641" w:right="727" w:hanging="802"/>
        <w:jc w:val="left"/>
        <w:rPr>
          <w:i/>
          <w:sz w:val="18"/>
        </w:rPr>
      </w:pPr>
      <w:r>
        <w:rPr>
          <w:i/>
          <w:color w:val="231F20"/>
          <w:sz w:val="18"/>
        </w:rPr>
        <w:t>Приоритети развоја и приоритетни</w:t>
      </w:r>
      <w:r>
        <w:rPr>
          <w:i/>
          <w:color w:val="231F20"/>
          <w:spacing w:val="-21"/>
          <w:sz w:val="18"/>
        </w:rPr>
        <w:t> </w:t>
      </w:r>
      <w:r>
        <w:rPr>
          <w:i/>
          <w:color w:val="231F20"/>
          <w:sz w:val="18"/>
        </w:rPr>
        <w:t>пројекти </w:t>
      </w:r>
      <w:r>
        <w:rPr>
          <w:i/>
          <w:color w:val="231F20"/>
          <w:sz w:val="18"/>
        </w:rPr>
        <w:t>до 2015. године по</w:t>
      </w:r>
      <w:r>
        <w:rPr>
          <w:i/>
          <w:color w:val="231F20"/>
          <w:spacing w:val="-4"/>
          <w:sz w:val="18"/>
        </w:rPr>
        <w:t> </w:t>
      </w:r>
      <w:r>
        <w:rPr>
          <w:i/>
          <w:color w:val="231F20"/>
          <w:sz w:val="18"/>
        </w:rPr>
        <w:t>областима</w:t>
      </w:r>
    </w:p>
    <w:p>
      <w:pPr>
        <w:pStyle w:val="ListParagraph"/>
        <w:numPr>
          <w:ilvl w:val="2"/>
          <w:numId w:val="43"/>
        </w:numPr>
        <w:tabs>
          <w:tab w:pos="1894" w:val="left" w:leader="none"/>
        </w:tabs>
        <w:spacing w:line="434" w:lineRule="auto" w:before="168" w:after="0"/>
        <w:ind w:left="2406" w:right="1331" w:hanging="963"/>
        <w:jc w:val="left"/>
        <w:rPr>
          <w:sz w:val="18"/>
        </w:rPr>
      </w:pPr>
      <w:r>
        <w:rPr>
          <w:color w:val="231F20"/>
          <w:spacing w:val="15"/>
          <w:sz w:val="18"/>
        </w:rPr>
        <w:t>Рударство </w:t>
      </w:r>
      <w:r>
        <w:rPr>
          <w:color w:val="231F20"/>
          <w:sz w:val="18"/>
        </w:rPr>
        <w:t>и </w:t>
      </w:r>
      <w:r>
        <w:rPr>
          <w:color w:val="231F20"/>
          <w:spacing w:val="16"/>
          <w:sz w:val="18"/>
        </w:rPr>
        <w:t>енергетика </w:t>
      </w:r>
      <w:r>
        <w:rPr>
          <w:color w:val="231F20"/>
          <w:sz w:val="18"/>
        </w:rPr>
        <w:t>Рударство</w:t>
      </w:r>
    </w:p>
    <w:p>
      <w:pPr>
        <w:pStyle w:val="BodyText"/>
        <w:spacing w:line="237" w:lineRule="auto" w:before="36"/>
        <w:ind w:left="241" w:right="130" w:firstLine="396"/>
      </w:pPr>
      <w:r>
        <w:rPr>
          <w:color w:val="231F20"/>
        </w:rPr>
        <w:t>Остваривање општих циљева који се односе на експлоатаци- ју угља у Костолачком басену:</w:t>
      </w:r>
    </w:p>
    <w:p>
      <w:pPr>
        <w:pStyle w:val="BodyText"/>
        <w:spacing w:line="237" w:lineRule="auto"/>
        <w:ind w:left="240" w:right="130" w:firstLine="397"/>
      </w:pPr>
      <w:r>
        <w:rPr>
          <w:color w:val="231F20"/>
          <w:w w:val="66"/>
        </w:rPr>
        <w:t> </w:t>
      </w:r>
      <w:r>
        <w:rPr>
          <w:color w:val="231F20"/>
        </w:rPr>
        <w:t>–</w:t>
      </w:r>
      <w:r>
        <w:rPr>
          <w:color w:val="231F20"/>
          <w:spacing w:val="-10"/>
        </w:rPr>
        <w:t> </w:t>
      </w:r>
      <w:r>
        <w:rPr>
          <w:color w:val="231F20"/>
        </w:rPr>
        <w:t>израда</w:t>
      </w:r>
      <w:r>
        <w:rPr>
          <w:color w:val="231F20"/>
          <w:spacing w:val="-10"/>
        </w:rPr>
        <w:t> </w:t>
      </w:r>
      <w:r>
        <w:rPr>
          <w:color w:val="231F20"/>
        </w:rPr>
        <w:t>водонепропусног</w:t>
      </w:r>
      <w:r>
        <w:rPr>
          <w:color w:val="231F20"/>
          <w:spacing w:val="-10"/>
        </w:rPr>
        <w:t> </w:t>
      </w:r>
      <w:r>
        <w:rPr>
          <w:color w:val="231F20"/>
        </w:rPr>
        <w:t>екрана</w:t>
      </w:r>
      <w:r>
        <w:rPr>
          <w:color w:val="231F20"/>
          <w:spacing w:val="-10"/>
        </w:rPr>
        <w:t> </w:t>
      </w:r>
      <w:r>
        <w:rPr>
          <w:color w:val="231F20"/>
        </w:rPr>
        <w:t>и</w:t>
      </w:r>
      <w:r>
        <w:rPr>
          <w:color w:val="231F20"/>
          <w:spacing w:val="-10"/>
        </w:rPr>
        <w:t> </w:t>
      </w:r>
      <w:r>
        <w:rPr>
          <w:color w:val="231F20"/>
        </w:rPr>
        <w:t>осталих</w:t>
      </w:r>
      <w:r>
        <w:rPr>
          <w:color w:val="231F20"/>
          <w:spacing w:val="-10"/>
        </w:rPr>
        <w:t> </w:t>
      </w:r>
      <w:r>
        <w:rPr>
          <w:color w:val="231F20"/>
        </w:rPr>
        <w:t>објеката</w:t>
      </w:r>
      <w:r>
        <w:rPr>
          <w:color w:val="231F20"/>
          <w:spacing w:val="-10"/>
        </w:rPr>
        <w:t> </w:t>
      </w:r>
      <w:r>
        <w:rPr>
          <w:color w:val="231F20"/>
        </w:rPr>
        <w:t>заштите површинског </w:t>
      </w:r>
      <w:r>
        <w:rPr>
          <w:color w:val="231F20"/>
          <w:spacing w:val="-3"/>
        </w:rPr>
        <w:t>копа од </w:t>
      </w:r>
      <w:r>
        <w:rPr>
          <w:color w:val="231F20"/>
        </w:rPr>
        <w:t>површинских и подземних вода у складу са динамиком</w:t>
      </w:r>
      <w:r>
        <w:rPr>
          <w:color w:val="231F20"/>
          <w:spacing w:val="-7"/>
        </w:rPr>
        <w:t> </w:t>
      </w:r>
      <w:r>
        <w:rPr>
          <w:color w:val="231F20"/>
        </w:rPr>
        <w:t>развоја</w:t>
      </w:r>
      <w:r>
        <w:rPr>
          <w:color w:val="231F20"/>
          <w:spacing w:val="-7"/>
        </w:rPr>
        <w:t> </w:t>
      </w:r>
      <w:r>
        <w:rPr>
          <w:color w:val="231F20"/>
        </w:rPr>
        <w:t>површинског</w:t>
      </w:r>
      <w:r>
        <w:rPr>
          <w:color w:val="231F20"/>
          <w:spacing w:val="-6"/>
        </w:rPr>
        <w:t> </w:t>
      </w:r>
      <w:r>
        <w:rPr>
          <w:color w:val="231F20"/>
          <w:spacing w:val="-3"/>
        </w:rPr>
        <w:t>копа</w:t>
      </w:r>
      <w:r>
        <w:rPr>
          <w:color w:val="231F20"/>
          <w:spacing w:val="-6"/>
        </w:rPr>
        <w:t> </w:t>
      </w:r>
      <w:r>
        <w:rPr>
          <w:color w:val="231F20"/>
        </w:rPr>
        <w:t>„Дрмно”,</w:t>
      </w:r>
      <w:r>
        <w:rPr>
          <w:color w:val="231F20"/>
          <w:spacing w:val="-7"/>
        </w:rPr>
        <w:t> </w:t>
      </w:r>
      <w:r>
        <w:rPr>
          <w:color w:val="231F20"/>
        </w:rPr>
        <w:t>као</w:t>
      </w:r>
      <w:r>
        <w:rPr>
          <w:color w:val="231F20"/>
          <w:spacing w:val="-7"/>
        </w:rPr>
        <w:t> </w:t>
      </w:r>
      <w:r>
        <w:rPr>
          <w:color w:val="231F20"/>
        </w:rPr>
        <w:t>основни</w:t>
      </w:r>
      <w:r>
        <w:rPr>
          <w:color w:val="231F20"/>
          <w:spacing w:val="-6"/>
        </w:rPr>
        <w:t> </w:t>
      </w:r>
      <w:r>
        <w:rPr>
          <w:color w:val="231F20"/>
        </w:rPr>
        <w:t>пред- услов за успешну и ефикасну</w:t>
      </w:r>
      <w:r>
        <w:rPr>
          <w:color w:val="231F20"/>
          <w:spacing w:val="-6"/>
        </w:rPr>
        <w:t> </w:t>
      </w:r>
      <w:r>
        <w:rPr>
          <w:color w:val="231F20"/>
        </w:rPr>
        <w:t>експлоатацију;</w:t>
      </w:r>
    </w:p>
    <w:p>
      <w:pPr>
        <w:pStyle w:val="BodyText"/>
        <w:spacing w:line="237" w:lineRule="auto"/>
        <w:ind w:left="241" w:right="130" w:firstLine="396"/>
      </w:pPr>
      <w:r>
        <w:rPr>
          <w:color w:val="231F20"/>
          <w:w w:val="66"/>
        </w:rPr>
        <w:t> </w:t>
      </w:r>
      <w:r>
        <w:rPr>
          <w:color w:val="231F20"/>
        </w:rPr>
        <w:t>– израда и реконструкција објеката (насипа и регулационих канала) заштите простора површинског копа „Дрмно” од високих вода Дунава;</w:t>
      </w:r>
    </w:p>
    <w:p>
      <w:pPr>
        <w:pStyle w:val="BodyText"/>
        <w:spacing w:line="203" w:lineRule="exact"/>
        <w:ind w:left="638"/>
        <w:jc w:val="left"/>
      </w:pPr>
      <w:r>
        <w:rPr>
          <w:color w:val="231F20"/>
          <w:w w:val="66"/>
        </w:rPr>
        <w:t> </w:t>
      </w:r>
      <w:r>
        <w:rPr>
          <w:color w:val="231F20"/>
        </w:rPr>
        <w:t>– експропријација земљишта;</w:t>
      </w:r>
    </w:p>
    <w:p>
      <w:pPr>
        <w:pStyle w:val="BodyText"/>
        <w:spacing w:line="237" w:lineRule="auto"/>
        <w:ind w:left="240" w:right="130" w:firstLine="397"/>
      </w:pPr>
      <w:r>
        <w:rPr>
          <w:color w:val="231F20"/>
          <w:w w:val="66"/>
        </w:rPr>
        <w:t> </w:t>
      </w:r>
      <w:r>
        <w:rPr>
          <w:color w:val="231F20"/>
        </w:rPr>
        <w:t>– наставак детаљних геолошких истраживања са циљем по- узданијег  утврђивања  резерви  угља  у  северном  делу  лежишта</w:t>
      </w:r>
    </w:p>
    <w:p>
      <w:pPr>
        <w:pStyle w:val="BodyText"/>
        <w:spacing w:line="204" w:lineRule="exact"/>
        <w:ind w:left="240"/>
        <w:jc w:val="left"/>
      </w:pPr>
      <w:r>
        <w:rPr>
          <w:color w:val="231F20"/>
        </w:rPr>
        <w:t>„Дрмно” (прекатегоризација резерви C2 и C1 категорије у Б и C1);</w:t>
      </w:r>
    </w:p>
    <w:p>
      <w:pPr>
        <w:pStyle w:val="BodyText"/>
        <w:spacing w:line="237" w:lineRule="auto"/>
        <w:ind w:left="240" w:right="130" w:firstLine="396"/>
      </w:pPr>
      <w:r>
        <w:rPr>
          <w:color w:val="231F20"/>
          <w:w w:val="66"/>
        </w:rPr>
        <w:t> </w:t>
      </w:r>
      <w:r>
        <w:rPr>
          <w:color w:val="231F20"/>
        </w:rPr>
        <w:t>– наставак извођења детаљних геолошких истраживања у западном делу басена у циљу утврђивања геолошких услова екс- плоатације угља са поузданошћу која обезбеђује даљу израду тех- ничке и инвестиционе документације за нове површинске копове;</w:t>
      </w:r>
    </w:p>
    <w:p>
      <w:pPr>
        <w:pStyle w:val="BodyText"/>
        <w:spacing w:line="237" w:lineRule="auto"/>
        <w:ind w:left="240" w:right="131" w:firstLine="396"/>
      </w:pPr>
      <w:r>
        <w:rPr>
          <w:color w:val="231F20"/>
          <w:w w:val="66"/>
        </w:rPr>
        <w:t> </w:t>
      </w:r>
      <w:r>
        <w:rPr>
          <w:color w:val="231F20"/>
        </w:rPr>
        <w:t>– затварање и уређење простора површинског копа „Кле- новник”;</w:t>
      </w:r>
    </w:p>
    <w:p>
      <w:pPr>
        <w:pStyle w:val="BodyText"/>
        <w:spacing w:line="237" w:lineRule="auto"/>
        <w:ind w:left="240" w:right="131" w:firstLine="397"/>
      </w:pPr>
      <w:r>
        <w:rPr>
          <w:color w:val="231F20"/>
          <w:w w:val="66"/>
        </w:rPr>
        <w:t> </w:t>
      </w:r>
      <w:r>
        <w:rPr>
          <w:color w:val="231F20"/>
        </w:rPr>
        <w:t>–</w:t>
      </w:r>
      <w:r>
        <w:rPr>
          <w:color w:val="231F20"/>
          <w:spacing w:val="-7"/>
        </w:rPr>
        <w:t> </w:t>
      </w:r>
      <w:r>
        <w:rPr>
          <w:color w:val="231F20"/>
        </w:rPr>
        <w:t>рекултивација</w:t>
      </w:r>
      <w:r>
        <w:rPr>
          <w:color w:val="231F20"/>
          <w:spacing w:val="-7"/>
        </w:rPr>
        <w:t> </w:t>
      </w:r>
      <w:r>
        <w:rPr>
          <w:color w:val="231F20"/>
        </w:rPr>
        <w:t>површина</w:t>
      </w:r>
      <w:r>
        <w:rPr>
          <w:color w:val="231F20"/>
          <w:spacing w:val="-7"/>
        </w:rPr>
        <w:t> </w:t>
      </w:r>
      <w:r>
        <w:rPr>
          <w:color w:val="231F20"/>
        </w:rPr>
        <w:t>нарушених</w:t>
      </w:r>
      <w:r>
        <w:rPr>
          <w:color w:val="231F20"/>
          <w:spacing w:val="-7"/>
        </w:rPr>
        <w:t> </w:t>
      </w:r>
      <w:r>
        <w:rPr>
          <w:color w:val="231F20"/>
        </w:rPr>
        <w:t>површинском</w:t>
      </w:r>
      <w:r>
        <w:rPr>
          <w:color w:val="231F20"/>
          <w:spacing w:val="-7"/>
        </w:rPr>
        <w:t> </w:t>
      </w:r>
      <w:r>
        <w:rPr>
          <w:color w:val="231F20"/>
        </w:rPr>
        <w:t>експло- атацијом, у првом реду спољашњег одлагалишта површинског </w:t>
      </w:r>
      <w:r>
        <w:rPr>
          <w:color w:val="231F20"/>
          <w:spacing w:val="-4"/>
        </w:rPr>
        <w:t>ко- </w:t>
      </w:r>
      <w:r>
        <w:rPr>
          <w:color w:val="231F20"/>
        </w:rPr>
        <w:t>па „Дрмно”, као и површинског </w:t>
      </w:r>
      <w:r>
        <w:rPr>
          <w:color w:val="231F20"/>
          <w:spacing w:val="-3"/>
        </w:rPr>
        <w:t>копа</w:t>
      </w:r>
      <w:r>
        <w:rPr>
          <w:color w:val="231F20"/>
          <w:spacing w:val="-8"/>
        </w:rPr>
        <w:t> </w:t>
      </w:r>
      <w:r>
        <w:rPr>
          <w:color w:val="231F20"/>
          <w:spacing w:val="-3"/>
        </w:rPr>
        <w:t>„Ћириковац”;</w:t>
      </w:r>
    </w:p>
    <w:p>
      <w:pPr>
        <w:pStyle w:val="BodyText"/>
        <w:spacing w:line="201" w:lineRule="exact"/>
        <w:ind w:left="637"/>
        <w:jc w:val="left"/>
      </w:pPr>
      <w:r>
        <w:rPr>
          <w:color w:val="231F20"/>
          <w:w w:val="66"/>
        </w:rPr>
        <w:t> </w:t>
      </w:r>
      <w:r>
        <w:rPr>
          <w:color w:val="231F20"/>
        </w:rPr>
        <w:t>– наставак истражних радова у сектору нафте и гаса; и</w:t>
      </w:r>
    </w:p>
    <w:p>
      <w:pPr>
        <w:pStyle w:val="BodyText"/>
        <w:spacing w:line="232" w:lineRule="auto"/>
        <w:ind w:left="240" w:right="131" w:firstLine="396"/>
      </w:pPr>
      <w:r>
        <w:rPr>
          <w:color w:val="231F20"/>
          <w:w w:val="66"/>
        </w:rPr>
        <w:t> </w:t>
      </w:r>
      <w:r>
        <w:rPr>
          <w:color w:val="231F20"/>
        </w:rPr>
        <w:t>– изградња пристаништа на Дунаву и уређење инфраструк- турног коридора поред десне обале Дунава.</w:t>
      </w:r>
    </w:p>
    <w:p>
      <w:pPr>
        <w:spacing w:after="0" w:line="232" w:lineRule="auto"/>
        <w:sectPr>
          <w:pgSz w:w="12480" w:h="15690"/>
          <w:pgMar w:top="120" w:bottom="280" w:left="680" w:right="720"/>
          <w:cols w:num="2" w:equalWidth="0">
            <w:col w:w="5557" w:space="40"/>
            <w:col w:w="5483"/>
          </w:cols>
        </w:sectPr>
      </w:pPr>
    </w:p>
    <w:p>
      <w:pPr>
        <w:pStyle w:val="BodyText"/>
        <w:spacing w:before="68"/>
        <w:ind w:left="391" w:right="262"/>
        <w:jc w:val="center"/>
      </w:pPr>
      <w:r>
        <w:rPr/>
        <w:pict>
          <v:line style="position:absolute;mso-position-horizontal-relative:page;mso-position-vertical-relative:page;z-index:3160" from="304.724396pt,11.942451pt" to="304.724396pt,748.950451pt" stroked="true" strokeweight=".6pt" strokecolor="#231f20">
            <v:stroke dashstyle="solid"/>
            <w10:wrap type="none"/>
          </v:line>
        </w:pict>
      </w:r>
      <w:r>
        <w:rPr>
          <w:color w:val="231F20"/>
        </w:rPr>
        <w:t>Енергетика</w:t>
      </w:r>
    </w:p>
    <w:p>
      <w:pPr>
        <w:pStyle w:val="BodyText"/>
        <w:spacing w:before="1"/>
        <w:ind w:left="0"/>
        <w:jc w:val="left"/>
        <w:rPr>
          <w:sz w:val="17"/>
        </w:rPr>
      </w:pPr>
    </w:p>
    <w:p>
      <w:pPr>
        <w:pStyle w:val="BodyText"/>
        <w:spacing w:line="223" w:lineRule="auto" w:before="1"/>
        <w:ind w:right="39" w:firstLine="396"/>
      </w:pPr>
      <w:r>
        <w:rPr>
          <w:color w:val="231F20"/>
        </w:rPr>
        <w:t>Реализација основних планских опредељења и приоритета Просторног плана у периоду до 2015. године подразумева:</w:t>
      </w:r>
    </w:p>
    <w:p>
      <w:pPr>
        <w:pStyle w:val="BodyText"/>
        <w:spacing w:line="223" w:lineRule="auto"/>
        <w:ind w:right="39" w:firstLine="396"/>
      </w:pPr>
      <w:r>
        <w:rPr>
          <w:color w:val="231F20"/>
          <w:w w:val="66"/>
        </w:rPr>
        <w:t> </w:t>
      </w:r>
      <w:r>
        <w:rPr>
          <w:color w:val="231F20"/>
        </w:rPr>
        <w:t>– ревитализацију ТЕ „Костолац Б1 и Б2” и изградњу постро- јење за одсумпоравање;</w:t>
      </w:r>
    </w:p>
    <w:p>
      <w:pPr>
        <w:pStyle w:val="BodyText"/>
        <w:spacing w:line="223" w:lineRule="auto"/>
        <w:ind w:right="38" w:firstLine="396"/>
      </w:pPr>
      <w:r>
        <w:rPr>
          <w:color w:val="231F20"/>
          <w:w w:val="66"/>
        </w:rPr>
        <w:t> </w:t>
      </w:r>
      <w:r>
        <w:rPr>
          <w:color w:val="231F20"/>
        </w:rPr>
        <w:t>– даљу разраду </w:t>
      </w:r>
      <w:r>
        <w:rPr>
          <w:color w:val="231F20"/>
          <w:spacing w:val="-3"/>
        </w:rPr>
        <w:t>студијске </w:t>
      </w:r>
      <w:r>
        <w:rPr>
          <w:color w:val="231F20"/>
        </w:rPr>
        <w:t>и пројектне документације у вези са динамиком изградње термоелектрана у </w:t>
      </w:r>
      <w:r>
        <w:rPr>
          <w:color w:val="231F20"/>
          <w:spacing w:val="-4"/>
        </w:rPr>
        <w:t>Костолачком </w:t>
      </w:r>
      <w:r>
        <w:rPr>
          <w:color w:val="231F20"/>
          <w:spacing w:val="-3"/>
        </w:rPr>
        <w:t>басену, </w:t>
      </w:r>
      <w:r>
        <w:rPr>
          <w:color w:val="231F20"/>
        </w:rPr>
        <w:t>при чему треба узети у обзир и потенцијалне резерве у западном делу</w:t>
      </w:r>
      <w:r>
        <w:rPr>
          <w:color w:val="231F20"/>
          <w:spacing w:val="-2"/>
        </w:rPr>
        <w:t> </w:t>
      </w:r>
      <w:r>
        <w:rPr>
          <w:color w:val="231F20"/>
        </w:rPr>
        <w:t>Басена;</w:t>
      </w:r>
    </w:p>
    <w:p>
      <w:pPr>
        <w:pStyle w:val="BodyText"/>
        <w:spacing w:line="223" w:lineRule="auto"/>
        <w:ind w:right="38" w:firstLine="396"/>
      </w:pPr>
      <w:r>
        <w:rPr>
          <w:color w:val="231F20"/>
          <w:w w:val="66"/>
        </w:rPr>
        <w:t> </w:t>
      </w:r>
      <w:r>
        <w:rPr>
          <w:color w:val="231F20"/>
        </w:rPr>
        <w:t>–</w:t>
      </w:r>
      <w:r>
        <w:rPr>
          <w:color w:val="231F20"/>
          <w:spacing w:val="-6"/>
        </w:rPr>
        <w:t> </w:t>
      </w:r>
      <w:r>
        <w:rPr>
          <w:color w:val="231F20"/>
        </w:rPr>
        <w:t>интензивирање</w:t>
      </w:r>
      <w:r>
        <w:rPr>
          <w:color w:val="231F20"/>
          <w:spacing w:val="-6"/>
        </w:rPr>
        <w:t> </w:t>
      </w:r>
      <w:r>
        <w:rPr>
          <w:color w:val="231F20"/>
        </w:rPr>
        <w:t>радова</w:t>
      </w:r>
      <w:r>
        <w:rPr>
          <w:color w:val="231F20"/>
          <w:spacing w:val="-6"/>
        </w:rPr>
        <w:t> </w:t>
      </w:r>
      <w:r>
        <w:rPr>
          <w:color w:val="231F20"/>
        </w:rPr>
        <w:t>на</w:t>
      </w:r>
      <w:r>
        <w:rPr>
          <w:color w:val="231F20"/>
          <w:spacing w:val="-6"/>
        </w:rPr>
        <w:t> </w:t>
      </w:r>
      <w:r>
        <w:rPr>
          <w:color w:val="231F20"/>
        </w:rPr>
        <w:t>истраживању</w:t>
      </w:r>
      <w:r>
        <w:rPr>
          <w:color w:val="231F20"/>
          <w:spacing w:val="-6"/>
        </w:rPr>
        <w:t> </w:t>
      </w:r>
      <w:r>
        <w:rPr>
          <w:color w:val="231F20"/>
        </w:rPr>
        <w:t>и</w:t>
      </w:r>
      <w:r>
        <w:rPr>
          <w:color w:val="231F20"/>
          <w:spacing w:val="-6"/>
        </w:rPr>
        <w:t> </w:t>
      </w:r>
      <w:r>
        <w:rPr>
          <w:color w:val="231F20"/>
        </w:rPr>
        <w:t>производњи</w:t>
      </w:r>
      <w:r>
        <w:rPr>
          <w:color w:val="231F20"/>
          <w:spacing w:val="-6"/>
        </w:rPr>
        <w:t> </w:t>
      </w:r>
      <w:r>
        <w:rPr>
          <w:color w:val="231F20"/>
        </w:rPr>
        <w:t>наф- те и гаса на </w:t>
      </w:r>
      <w:r>
        <w:rPr>
          <w:color w:val="231F20"/>
          <w:spacing w:val="-3"/>
        </w:rPr>
        <w:t>Планском </w:t>
      </w:r>
      <w:r>
        <w:rPr>
          <w:color w:val="231F20"/>
        </w:rPr>
        <w:t>подручју и коришћење већ пронађених ре- зерви;</w:t>
      </w:r>
    </w:p>
    <w:p>
      <w:pPr>
        <w:pStyle w:val="BodyText"/>
        <w:spacing w:line="223" w:lineRule="auto"/>
        <w:ind w:right="38" w:firstLine="396"/>
      </w:pPr>
      <w:r>
        <w:rPr>
          <w:color w:val="231F20"/>
          <w:w w:val="66"/>
        </w:rPr>
        <w:t> </w:t>
      </w:r>
      <w:r>
        <w:rPr>
          <w:color w:val="231F20"/>
        </w:rPr>
        <w:t>– при реконструкцији и ревитализацији постојећих енергет- ских капацитета, неопходно је унапређивати и обезбедити аде- кватну заштиту животне средине;</w:t>
      </w:r>
    </w:p>
    <w:p>
      <w:pPr>
        <w:pStyle w:val="BodyText"/>
        <w:spacing w:line="223" w:lineRule="auto"/>
        <w:ind w:left="171" w:right="38" w:firstLine="396"/>
      </w:pPr>
      <w:r>
        <w:rPr>
          <w:color w:val="231F20"/>
          <w:w w:val="66"/>
        </w:rPr>
        <w:t> </w:t>
      </w:r>
      <w:r>
        <w:rPr>
          <w:color w:val="231F20"/>
        </w:rPr>
        <w:t>– формирање новог система цена, који омогућава и сопстве- ну акумулацију за инвестирање, односно за заштиту средине, у оквиру рударско-енергетског система; и</w:t>
      </w:r>
    </w:p>
    <w:p>
      <w:pPr>
        <w:pStyle w:val="BodyText"/>
        <w:spacing w:line="223" w:lineRule="auto"/>
        <w:ind w:right="38" w:firstLine="397"/>
      </w:pPr>
      <w:r>
        <w:rPr>
          <w:color w:val="231F20"/>
          <w:w w:val="66"/>
        </w:rPr>
        <w:t> </w:t>
      </w:r>
      <w:r>
        <w:rPr>
          <w:color w:val="231F20"/>
        </w:rPr>
        <w:t>– за потребе интензивније експлоатације угља и производње електричне енергије у </w:t>
      </w:r>
      <w:r>
        <w:rPr>
          <w:color w:val="231F20"/>
          <w:spacing w:val="-4"/>
        </w:rPr>
        <w:t>Костолачком </w:t>
      </w:r>
      <w:r>
        <w:rPr>
          <w:color w:val="231F20"/>
          <w:spacing w:val="-3"/>
        </w:rPr>
        <w:t>басену, </w:t>
      </w:r>
      <w:r>
        <w:rPr>
          <w:color w:val="231F20"/>
        </w:rPr>
        <w:t>односно за потребе ре- шавања проблема вишка запослених, неопходно је благовремено приступити решавању кадровских проблема, на пример, кроз из- раду и доношење одговарајућег програма преквалификације, обу- </w:t>
      </w:r>
      <w:r>
        <w:rPr>
          <w:color w:val="231F20"/>
          <w:spacing w:val="-3"/>
        </w:rPr>
        <w:t>ке </w:t>
      </w:r>
      <w:r>
        <w:rPr>
          <w:color w:val="231F20"/>
        </w:rPr>
        <w:t>и стицања специјалистичких знања и друго.</w:t>
      </w:r>
    </w:p>
    <w:p>
      <w:pPr>
        <w:pStyle w:val="BodyText"/>
        <w:spacing w:before="156"/>
        <w:ind w:left="1828"/>
        <w:jc w:val="left"/>
      </w:pPr>
      <w:r>
        <w:rPr>
          <w:color w:val="231F20"/>
        </w:rPr>
        <w:t>Енергетска ефикасност</w:t>
      </w:r>
    </w:p>
    <w:p>
      <w:pPr>
        <w:pStyle w:val="BodyText"/>
        <w:spacing w:before="6"/>
        <w:ind w:left="0"/>
        <w:jc w:val="left"/>
        <w:rPr>
          <w:sz w:val="16"/>
        </w:rPr>
      </w:pPr>
    </w:p>
    <w:p>
      <w:pPr>
        <w:pStyle w:val="BodyText"/>
        <w:spacing w:line="223" w:lineRule="auto"/>
        <w:ind w:left="171" w:right="38" w:firstLine="396"/>
      </w:pPr>
      <w:r>
        <w:rPr>
          <w:color w:val="231F20"/>
        </w:rPr>
        <w:t>Програм развоја енергетике који се односи на енергетску ефикасност састоји се у испуњавању основних приоритета, као што су:</w:t>
      </w:r>
    </w:p>
    <w:p>
      <w:pPr>
        <w:pStyle w:val="BodyText"/>
        <w:spacing w:line="188" w:lineRule="exact"/>
        <w:ind w:left="568"/>
        <w:jc w:val="left"/>
      </w:pPr>
      <w:r>
        <w:rPr>
          <w:color w:val="231F20"/>
          <w:w w:val="66"/>
        </w:rPr>
        <w:t> </w:t>
      </w:r>
      <w:r>
        <w:rPr>
          <w:color w:val="231F20"/>
        </w:rPr>
        <w:t>– технолошка модернизација електроенергетских објеката;</w:t>
      </w:r>
    </w:p>
    <w:p>
      <w:pPr>
        <w:pStyle w:val="BodyText"/>
        <w:spacing w:line="223" w:lineRule="auto" w:before="4"/>
        <w:ind w:left="171" w:right="38" w:firstLine="396"/>
      </w:pPr>
      <w:r>
        <w:rPr>
          <w:color w:val="231F20"/>
          <w:w w:val="66"/>
        </w:rPr>
        <w:t> </w:t>
      </w:r>
      <w:r>
        <w:rPr>
          <w:color w:val="231F20"/>
        </w:rPr>
        <w:t>–</w:t>
      </w:r>
      <w:r>
        <w:rPr>
          <w:color w:val="231F20"/>
          <w:spacing w:val="-9"/>
        </w:rPr>
        <w:t> </w:t>
      </w:r>
      <w:r>
        <w:rPr>
          <w:color w:val="231F20"/>
        </w:rPr>
        <w:t>рационална</w:t>
      </w:r>
      <w:r>
        <w:rPr>
          <w:color w:val="231F20"/>
          <w:spacing w:val="-9"/>
        </w:rPr>
        <w:t> </w:t>
      </w:r>
      <w:r>
        <w:rPr>
          <w:color w:val="231F20"/>
        </w:rPr>
        <w:t>употреба</w:t>
      </w:r>
      <w:r>
        <w:rPr>
          <w:color w:val="231F20"/>
          <w:spacing w:val="-9"/>
        </w:rPr>
        <w:t> </w:t>
      </w:r>
      <w:r>
        <w:rPr>
          <w:color w:val="231F20"/>
        </w:rPr>
        <w:t>и</w:t>
      </w:r>
      <w:r>
        <w:rPr>
          <w:color w:val="231F20"/>
          <w:spacing w:val="-9"/>
        </w:rPr>
        <w:t> </w:t>
      </w:r>
      <w:r>
        <w:rPr>
          <w:color w:val="231F20"/>
        </w:rPr>
        <w:t>повећање</w:t>
      </w:r>
      <w:r>
        <w:rPr>
          <w:color w:val="231F20"/>
          <w:spacing w:val="-9"/>
        </w:rPr>
        <w:t> </w:t>
      </w:r>
      <w:r>
        <w:rPr>
          <w:color w:val="231F20"/>
        </w:rPr>
        <w:t>енергетске</w:t>
      </w:r>
      <w:r>
        <w:rPr>
          <w:color w:val="231F20"/>
          <w:spacing w:val="-9"/>
        </w:rPr>
        <w:t> </w:t>
      </w:r>
      <w:r>
        <w:rPr>
          <w:color w:val="231F20"/>
        </w:rPr>
        <w:t>ефикасности</w:t>
      </w:r>
      <w:r>
        <w:rPr>
          <w:color w:val="231F20"/>
          <w:spacing w:val="-9"/>
        </w:rPr>
        <w:t> </w:t>
      </w:r>
      <w:r>
        <w:rPr>
          <w:color w:val="231F20"/>
        </w:rPr>
        <w:t>у секторима потрошње електричне енергије и</w:t>
      </w:r>
      <w:r>
        <w:rPr>
          <w:color w:val="231F20"/>
          <w:spacing w:val="-7"/>
        </w:rPr>
        <w:t> </w:t>
      </w:r>
      <w:r>
        <w:rPr>
          <w:color w:val="231F20"/>
        </w:rPr>
        <w:t>друго.</w:t>
      </w:r>
    </w:p>
    <w:p>
      <w:pPr>
        <w:pStyle w:val="BodyText"/>
        <w:spacing w:line="223" w:lineRule="auto"/>
        <w:ind w:right="38" w:firstLine="397"/>
      </w:pPr>
      <w:r>
        <w:rPr>
          <w:color w:val="231F20"/>
        </w:rPr>
        <w:t>Програм технолошке модернизације електроенергетских објеката подразумева спровођење свих активности </w:t>
      </w:r>
      <w:r>
        <w:rPr>
          <w:color w:val="231F20"/>
          <w:spacing w:val="-3"/>
        </w:rPr>
        <w:t>која </w:t>
      </w:r>
      <w:r>
        <w:rPr>
          <w:color w:val="231F20"/>
        </w:rPr>
        <w:t>доприносе побољшању технолошких и радних перформанси електроенергет- ских објеката.</w:t>
      </w:r>
    </w:p>
    <w:p>
      <w:pPr>
        <w:pStyle w:val="BodyText"/>
        <w:spacing w:line="223" w:lineRule="auto"/>
        <w:ind w:right="38" w:firstLine="397"/>
      </w:pPr>
      <w:r>
        <w:rPr>
          <w:color w:val="231F20"/>
        </w:rPr>
        <w:t>Програм рационалне употребе и повећања енергетске ефика- сности у секторима потрошње електричне енергије обухвата све програме за супституцију електричне енергије која се користи за топлотне енергетске услуге повећањем енергетске ефикасности у дистрибутивним системима и код крајњих корисника.</w:t>
      </w:r>
    </w:p>
    <w:p>
      <w:pPr>
        <w:pStyle w:val="BodyText"/>
        <w:spacing w:line="188" w:lineRule="exact"/>
        <w:ind w:left="567"/>
        <w:jc w:val="left"/>
      </w:pPr>
      <w:r>
        <w:rPr>
          <w:color w:val="231F20"/>
        </w:rPr>
        <w:t>Остали приоритети су:</w:t>
      </w:r>
    </w:p>
    <w:p>
      <w:pPr>
        <w:pStyle w:val="BodyText"/>
        <w:spacing w:line="223" w:lineRule="auto" w:before="4"/>
        <w:ind w:right="39" w:firstLine="396"/>
      </w:pPr>
      <w:r>
        <w:rPr>
          <w:color w:val="231F20"/>
          <w:w w:val="66"/>
        </w:rPr>
        <w:t> </w:t>
      </w:r>
      <w:r>
        <w:rPr>
          <w:color w:val="231F20"/>
        </w:rPr>
        <w:t>– дефинисање мера енергетске ефикасности и начина њихо- вог спровођења у сваком поједином сектору непосредне потро- шње енергије – доношење акционих планова;</w:t>
      </w:r>
    </w:p>
    <w:p>
      <w:pPr>
        <w:pStyle w:val="BodyText"/>
        <w:spacing w:line="223" w:lineRule="auto"/>
        <w:ind w:right="39" w:firstLine="396"/>
      </w:pPr>
      <w:r>
        <w:rPr>
          <w:color w:val="231F20"/>
          <w:w w:val="66"/>
        </w:rPr>
        <w:t> </w:t>
      </w:r>
      <w:r>
        <w:rPr>
          <w:color w:val="231F20"/>
        </w:rPr>
        <w:t>– побољшање економске стабилности, повећања конкурент- ности индустријске производње, отварање нових радних места, смањења увозне зависности путем коришћења принципа енергет- ске ефикасности;</w:t>
      </w:r>
    </w:p>
    <w:p>
      <w:pPr>
        <w:pStyle w:val="BodyText"/>
        <w:spacing w:line="188" w:lineRule="exact"/>
        <w:ind w:left="567"/>
        <w:jc w:val="left"/>
      </w:pPr>
      <w:r>
        <w:rPr>
          <w:color w:val="231F20"/>
          <w:w w:val="66"/>
        </w:rPr>
        <w:t> </w:t>
      </w:r>
      <w:r>
        <w:rPr>
          <w:color w:val="231F20"/>
        </w:rPr>
        <w:t>– подстицање рационалног коришћења природних ресурса;</w:t>
      </w:r>
    </w:p>
    <w:p>
      <w:pPr>
        <w:pStyle w:val="BodyText"/>
        <w:spacing w:line="223" w:lineRule="auto" w:before="5"/>
        <w:ind w:left="169" w:right="39" w:firstLine="396"/>
      </w:pPr>
      <w:r>
        <w:rPr>
          <w:color w:val="231F20"/>
          <w:w w:val="66"/>
        </w:rPr>
        <w:t> </w:t>
      </w:r>
      <w:r>
        <w:rPr>
          <w:color w:val="231F20"/>
        </w:rPr>
        <w:t>– подстицање регионалног развоја у домену енергетске ефи- касности;</w:t>
      </w:r>
    </w:p>
    <w:p>
      <w:pPr>
        <w:pStyle w:val="BodyText"/>
        <w:spacing w:line="223" w:lineRule="auto"/>
        <w:ind w:left="169" w:right="39" w:firstLine="396"/>
      </w:pPr>
      <w:r>
        <w:rPr>
          <w:color w:val="231F20"/>
          <w:w w:val="66"/>
        </w:rPr>
        <w:t> </w:t>
      </w:r>
      <w:r>
        <w:rPr>
          <w:color w:val="231F20"/>
        </w:rPr>
        <w:t>–</w:t>
      </w:r>
      <w:r>
        <w:rPr>
          <w:color w:val="231F20"/>
          <w:spacing w:val="-13"/>
        </w:rPr>
        <w:t> </w:t>
      </w:r>
      <w:r>
        <w:rPr>
          <w:color w:val="231F20"/>
        </w:rPr>
        <w:t>подстицање</w:t>
      </w:r>
      <w:r>
        <w:rPr>
          <w:color w:val="231F20"/>
          <w:spacing w:val="-13"/>
        </w:rPr>
        <w:t> </w:t>
      </w:r>
      <w:r>
        <w:rPr>
          <w:color w:val="231F20"/>
        </w:rPr>
        <w:t>развоја</w:t>
      </w:r>
      <w:r>
        <w:rPr>
          <w:color w:val="231F20"/>
          <w:spacing w:val="-13"/>
        </w:rPr>
        <w:t> </w:t>
      </w:r>
      <w:r>
        <w:rPr>
          <w:color w:val="231F20"/>
        </w:rPr>
        <w:t>руралних</w:t>
      </w:r>
      <w:r>
        <w:rPr>
          <w:color w:val="231F20"/>
          <w:spacing w:val="-13"/>
        </w:rPr>
        <w:t> </w:t>
      </w:r>
      <w:r>
        <w:rPr>
          <w:color w:val="231F20"/>
        </w:rPr>
        <w:t>подручја</w:t>
      </w:r>
      <w:r>
        <w:rPr>
          <w:color w:val="231F20"/>
          <w:spacing w:val="-13"/>
        </w:rPr>
        <w:t> </w:t>
      </w:r>
      <w:r>
        <w:rPr>
          <w:color w:val="231F20"/>
        </w:rPr>
        <w:t>у</w:t>
      </w:r>
      <w:r>
        <w:rPr>
          <w:color w:val="231F20"/>
          <w:spacing w:val="-13"/>
        </w:rPr>
        <w:t> </w:t>
      </w:r>
      <w:r>
        <w:rPr>
          <w:color w:val="231F20"/>
        </w:rPr>
        <w:t>домену</w:t>
      </w:r>
      <w:r>
        <w:rPr>
          <w:color w:val="231F20"/>
          <w:spacing w:val="-13"/>
        </w:rPr>
        <w:t> </w:t>
      </w:r>
      <w:r>
        <w:rPr>
          <w:color w:val="231F20"/>
        </w:rPr>
        <w:t>енергетске ефикасности; и</w:t>
      </w:r>
    </w:p>
    <w:p>
      <w:pPr>
        <w:pStyle w:val="BodyText"/>
        <w:spacing w:line="223" w:lineRule="auto"/>
        <w:ind w:right="39" w:firstLine="396"/>
      </w:pPr>
      <w:r>
        <w:rPr>
          <w:color w:val="231F20"/>
          <w:w w:val="66"/>
        </w:rPr>
        <w:t> </w:t>
      </w:r>
      <w:r>
        <w:rPr>
          <w:color w:val="231F20"/>
        </w:rPr>
        <w:t>– унапређење система информисања и развијање јавне све- сти о значају енергетске ефикасности.</w:t>
      </w:r>
    </w:p>
    <w:p>
      <w:pPr>
        <w:pStyle w:val="BodyText"/>
        <w:spacing w:before="157"/>
        <w:ind w:left="1638"/>
        <w:jc w:val="left"/>
      </w:pPr>
      <w:r>
        <w:rPr>
          <w:color w:val="231F20"/>
        </w:rPr>
        <w:t>Обновљиви извори енергије</w:t>
      </w:r>
    </w:p>
    <w:p>
      <w:pPr>
        <w:pStyle w:val="BodyText"/>
        <w:spacing w:before="6"/>
        <w:ind w:left="0"/>
        <w:jc w:val="left"/>
        <w:rPr>
          <w:sz w:val="16"/>
        </w:rPr>
      </w:pPr>
    </w:p>
    <w:p>
      <w:pPr>
        <w:pStyle w:val="BodyText"/>
        <w:spacing w:line="223" w:lineRule="auto"/>
        <w:ind w:right="39" w:firstLine="396"/>
      </w:pPr>
      <w:r>
        <w:rPr>
          <w:color w:val="231F20"/>
        </w:rPr>
        <w:t>У циљу остварења напретка у примени ОИЕ на Планском подручју одређени су следећи приоритети:</w:t>
      </w:r>
    </w:p>
    <w:p>
      <w:pPr>
        <w:pStyle w:val="BodyText"/>
        <w:spacing w:line="188" w:lineRule="exact"/>
        <w:ind w:left="567"/>
        <w:jc w:val="left"/>
      </w:pPr>
      <w:r>
        <w:rPr>
          <w:color w:val="231F20"/>
          <w:w w:val="66"/>
        </w:rPr>
        <w:t> </w:t>
      </w:r>
      <w:r>
        <w:rPr>
          <w:color w:val="231F20"/>
        </w:rPr>
        <w:t>– повећање обима коришћења обновљивих извора енергије;</w:t>
      </w:r>
    </w:p>
    <w:p>
      <w:pPr>
        <w:pStyle w:val="BodyText"/>
        <w:spacing w:line="223" w:lineRule="auto" w:before="4"/>
        <w:ind w:left="169" w:right="39" w:firstLine="397"/>
      </w:pPr>
      <w:r>
        <w:rPr>
          <w:color w:val="231F20"/>
          <w:w w:val="66"/>
        </w:rPr>
        <w:t> </w:t>
      </w:r>
      <w:r>
        <w:rPr>
          <w:color w:val="231F20"/>
        </w:rPr>
        <w:t>– обимније истраживања потенцијала обновљивих извора енергије;</w:t>
      </w:r>
    </w:p>
    <w:p>
      <w:pPr>
        <w:pStyle w:val="BodyText"/>
        <w:spacing w:line="188" w:lineRule="exact"/>
        <w:ind w:left="566"/>
        <w:jc w:val="left"/>
      </w:pPr>
      <w:r>
        <w:rPr>
          <w:color w:val="231F20"/>
          <w:w w:val="66"/>
        </w:rPr>
        <w:t> </w:t>
      </w:r>
      <w:r>
        <w:rPr>
          <w:color w:val="231F20"/>
        </w:rPr>
        <w:t>– одређивање технологија и увођење подстицајних мера;</w:t>
      </w:r>
    </w:p>
    <w:p>
      <w:pPr>
        <w:pStyle w:val="BodyText"/>
        <w:spacing w:line="192" w:lineRule="exact"/>
        <w:ind w:left="566"/>
        <w:jc w:val="left"/>
      </w:pPr>
      <w:r>
        <w:rPr>
          <w:color w:val="231F20"/>
          <w:w w:val="66"/>
        </w:rPr>
        <w:t> </w:t>
      </w:r>
      <w:r>
        <w:rPr>
          <w:color w:val="231F20"/>
        </w:rPr>
        <w:t>– успостављање система за управљање ОИЕ;</w:t>
      </w:r>
    </w:p>
    <w:p>
      <w:pPr>
        <w:pStyle w:val="BodyText"/>
        <w:spacing w:line="223" w:lineRule="auto" w:before="5"/>
        <w:ind w:left="169" w:right="39" w:firstLine="396"/>
      </w:pPr>
      <w:r>
        <w:rPr>
          <w:color w:val="231F20"/>
          <w:w w:val="66"/>
        </w:rPr>
        <w:t> </w:t>
      </w:r>
      <w:r>
        <w:rPr>
          <w:color w:val="231F20"/>
        </w:rPr>
        <w:t>– дефинисање програма </w:t>
      </w:r>
      <w:r>
        <w:rPr>
          <w:color w:val="231F20"/>
          <w:spacing w:val="-3"/>
        </w:rPr>
        <w:t>који </w:t>
      </w:r>
      <w:r>
        <w:rPr>
          <w:color w:val="231F20"/>
        </w:rPr>
        <w:t>би инвеститорима омогућили улагање</w:t>
      </w:r>
      <w:r>
        <w:rPr>
          <w:color w:val="231F20"/>
          <w:spacing w:val="-7"/>
        </w:rPr>
        <w:t> </w:t>
      </w:r>
      <w:r>
        <w:rPr>
          <w:color w:val="231F20"/>
        </w:rPr>
        <w:t>у</w:t>
      </w:r>
      <w:r>
        <w:rPr>
          <w:color w:val="231F20"/>
          <w:spacing w:val="-7"/>
        </w:rPr>
        <w:t> </w:t>
      </w:r>
      <w:r>
        <w:rPr>
          <w:color w:val="231F20"/>
          <w:spacing w:val="-3"/>
        </w:rPr>
        <w:t>ову</w:t>
      </w:r>
      <w:r>
        <w:rPr>
          <w:color w:val="231F20"/>
          <w:spacing w:val="-7"/>
        </w:rPr>
        <w:t> </w:t>
      </w:r>
      <w:r>
        <w:rPr>
          <w:color w:val="231F20"/>
        </w:rPr>
        <w:t>грану</w:t>
      </w:r>
      <w:r>
        <w:rPr>
          <w:color w:val="231F20"/>
          <w:spacing w:val="-7"/>
        </w:rPr>
        <w:t> </w:t>
      </w:r>
      <w:r>
        <w:rPr>
          <w:color w:val="231F20"/>
        </w:rPr>
        <w:t>енергетике</w:t>
      </w:r>
      <w:r>
        <w:rPr>
          <w:color w:val="231F20"/>
          <w:spacing w:val="-7"/>
        </w:rPr>
        <w:t> </w:t>
      </w:r>
      <w:r>
        <w:rPr>
          <w:color w:val="231F20"/>
        </w:rPr>
        <w:t>(путем</w:t>
      </w:r>
      <w:r>
        <w:rPr>
          <w:color w:val="231F20"/>
          <w:spacing w:val="-7"/>
        </w:rPr>
        <w:t> </w:t>
      </w:r>
      <w:r>
        <w:rPr>
          <w:color w:val="231F20"/>
        </w:rPr>
        <w:t>концесије</w:t>
      </w:r>
      <w:r>
        <w:rPr>
          <w:color w:val="231F20"/>
          <w:spacing w:val="-7"/>
        </w:rPr>
        <w:t> </w:t>
      </w:r>
      <w:r>
        <w:rPr>
          <w:color w:val="231F20"/>
        </w:rPr>
        <w:t>и</w:t>
      </w:r>
      <w:r>
        <w:rPr>
          <w:color w:val="231F20"/>
          <w:spacing w:val="-7"/>
        </w:rPr>
        <w:t> </w:t>
      </w:r>
      <w:r>
        <w:rPr>
          <w:color w:val="231F20"/>
        </w:rPr>
        <w:t>слично)</w:t>
      </w:r>
      <w:r>
        <w:rPr>
          <w:color w:val="231F20"/>
          <w:spacing w:val="-7"/>
        </w:rPr>
        <w:t> </w:t>
      </w:r>
      <w:r>
        <w:rPr>
          <w:color w:val="231F20"/>
        </w:rPr>
        <w:t>и</w:t>
      </w:r>
      <w:r>
        <w:rPr>
          <w:color w:val="231F20"/>
          <w:spacing w:val="-7"/>
        </w:rPr>
        <w:t> </w:t>
      </w:r>
      <w:r>
        <w:rPr>
          <w:color w:val="231F20"/>
        </w:rPr>
        <w:t>ства- рање услова за веће коришћење и</w:t>
      </w:r>
      <w:r>
        <w:rPr>
          <w:color w:val="231F20"/>
          <w:spacing w:val="-8"/>
        </w:rPr>
        <w:t> </w:t>
      </w:r>
      <w:r>
        <w:rPr>
          <w:color w:val="231F20"/>
        </w:rPr>
        <w:t>инвестирање;</w:t>
      </w:r>
    </w:p>
    <w:p>
      <w:pPr>
        <w:pStyle w:val="BodyText"/>
        <w:spacing w:line="223" w:lineRule="auto"/>
        <w:ind w:right="39" w:firstLine="396"/>
      </w:pPr>
      <w:r>
        <w:rPr>
          <w:color w:val="231F20"/>
          <w:w w:val="66"/>
        </w:rPr>
        <w:t> </w:t>
      </w:r>
      <w:r>
        <w:rPr>
          <w:color w:val="231F20"/>
        </w:rPr>
        <w:t>–</w:t>
      </w:r>
      <w:r>
        <w:rPr>
          <w:color w:val="231F20"/>
          <w:spacing w:val="-5"/>
        </w:rPr>
        <w:t> </w:t>
      </w:r>
      <w:r>
        <w:rPr>
          <w:color w:val="231F20"/>
        </w:rPr>
        <w:t>коришћење</w:t>
      </w:r>
      <w:r>
        <w:rPr>
          <w:color w:val="231F20"/>
          <w:spacing w:val="-5"/>
        </w:rPr>
        <w:t> </w:t>
      </w:r>
      <w:r>
        <w:rPr>
          <w:color w:val="231F20"/>
        </w:rPr>
        <w:t>отпадне</w:t>
      </w:r>
      <w:r>
        <w:rPr>
          <w:color w:val="231F20"/>
          <w:spacing w:val="-5"/>
        </w:rPr>
        <w:t> </w:t>
      </w:r>
      <w:r>
        <w:rPr>
          <w:color w:val="231F20"/>
        </w:rPr>
        <w:t>топлоте</w:t>
      </w:r>
      <w:r>
        <w:rPr>
          <w:color w:val="231F20"/>
          <w:spacing w:val="-5"/>
        </w:rPr>
        <w:t> </w:t>
      </w:r>
      <w:r>
        <w:rPr>
          <w:color w:val="231F20"/>
        </w:rPr>
        <w:t>из</w:t>
      </w:r>
      <w:r>
        <w:rPr>
          <w:color w:val="231F20"/>
          <w:spacing w:val="-5"/>
        </w:rPr>
        <w:t> </w:t>
      </w:r>
      <w:r>
        <w:rPr>
          <w:color w:val="231F20"/>
        </w:rPr>
        <w:t>ТЕ</w:t>
      </w:r>
      <w:r>
        <w:rPr>
          <w:color w:val="231F20"/>
          <w:spacing w:val="-5"/>
        </w:rPr>
        <w:t> </w:t>
      </w:r>
      <w:r>
        <w:rPr>
          <w:color w:val="231F20"/>
        </w:rPr>
        <w:t>и</w:t>
      </w:r>
      <w:r>
        <w:rPr>
          <w:color w:val="231F20"/>
          <w:spacing w:val="-5"/>
        </w:rPr>
        <w:t> </w:t>
      </w:r>
      <w:r>
        <w:rPr>
          <w:color w:val="231F20"/>
        </w:rPr>
        <w:t>природних</w:t>
      </w:r>
      <w:r>
        <w:rPr>
          <w:color w:val="231F20"/>
          <w:spacing w:val="-5"/>
        </w:rPr>
        <w:t> </w:t>
      </w:r>
      <w:r>
        <w:rPr>
          <w:color w:val="231F20"/>
        </w:rPr>
        <w:t>термалних извора;</w:t>
      </w:r>
    </w:p>
    <w:p>
      <w:pPr>
        <w:pStyle w:val="BodyText"/>
        <w:spacing w:line="232" w:lineRule="auto" w:before="1"/>
        <w:ind w:right="38" w:firstLine="396"/>
      </w:pPr>
      <w:r>
        <w:rPr>
          <w:color w:val="231F20"/>
          <w:w w:val="66"/>
        </w:rPr>
        <w:t> </w:t>
      </w:r>
      <w:r>
        <w:rPr>
          <w:color w:val="231F20"/>
        </w:rPr>
        <w:t>– развој пољопривреде и газдовања шумама ради што веће производње биомасе као еколошки чистог енергента; и</w:t>
      </w:r>
    </w:p>
    <w:p>
      <w:pPr>
        <w:pStyle w:val="BodyText"/>
        <w:spacing w:line="232" w:lineRule="auto"/>
        <w:ind w:right="38" w:firstLine="396"/>
      </w:pPr>
      <w:r>
        <w:rPr>
          <w:color w:val="231F20"/>
          <w:w w:val="66"/>
        </w:rPr>
        <w:t> </w:t>
      </w:r>
      <w:r>
        <w:rPr>
          <w:color w:val="231F20"/>
        </w:rPr>
        <w:t>– отварање постројења за прераду биомасе у сеоским насе- љима.</w:t>
      </w:r>
    </w:p>
    <w:p>
      <w:pPr>
        <w:pStyle w:val="ListParagraph"/>
        <w:numPr>
          <w:ilvl w:val="2"/>
          <w:numId w:val="43"/>
        </w:numPr>
        <w:tabs>
          <w:tab w:pos="2103" w:val="left" w:leader="none"/>
        </w:tabs>
        <w:spacing w:line="429" w:lineRule="auto" w:before="71" w:after="0"/>
        <w:ind w:left="1107" w:right="1348" w:firstLine="545"/>
        <w:jc w:val="left"/>
        <w:rPr>
          <w:sz w:val="18"/>
        </w:rPr>
      </w:pPr>
      <w:r>
        <w:rPr>
          <w:color w:val="231F20"/>
          <w:spacing w:val="20"/>
          <w:sz w:val="18"/>
        </w:rPr>
        <w:br w:type="column"/>
      </w:r>
      <w:r>
        <w:rPr>
          <w:color w:val="231F20"/>
          <w:spacing w:val="16"/>
          <w:sz w:val="18"/>
        </w:rPr>
        <w:t>Привредни </w:t>
      </w:r>
      <w:r>
        <w:rPr>
          <w:color w:val="231F20"/>
          <w:spacing w:val="15"/>
          <w:sz w:val="18"/>
        </w:rPr>
        <w:t>развој </w:t>
      </w:r>
      <w:r>
        <w:rPr>
          <w:color w:val="231F20"/>
          <w:sz w:val="18"/>
        </w:rPr>
        <w:t>Привредни развој и размештај</w:t>
      </w:r>
      <w:r>
        <w:rPr>
          <w:color w:val="231F20"/>
          <w:spacing w:val="-14"/>
          <w:sz w:val="18"/>
        </w:rPr>
        <w:t> </w:t>
      </w:r>
      <w:r>
        <w:rPr>
          <w:color w:val="231F20"/>
          <w:sz w:val="18"/>
        </w:rPr>
        <w:t>индустрије</w:t>
      </w:r>
    </w:p>
    <w:p>
      <w:pPr>
        <w:pStyle w:val="BodyText"/>
        <w:spacing w:line="230" w:lineRule="auto" w:before="34"/>
        <w:ind w:left="169" w:right="410" w:firstLine="396"/>
      </w:pPr>
      <w:r>
        <w:rPr>
          <w:color w:val="231F20"/>
        </w:rPr>
        <w:t>Стратешки приоритети просторне  дистрибуције  и  разво-  ја привреде на </w:t>
      </w:r>
      <w:r>
        <w:rPr>
          <w:color w:val="231F20"/>
          <w:spacing w:val="-3"/>
        </w:rPr>
        <w:t>Планском </w:t>
      </w:r>
      <w:r>
        <w:rPr>
          <w:color w:val="231F20"/>
        </w:rPr>
        <w:t>подручју су: 1) обезбеђење зона, </w:t>
      </w:r>
      <w:r>
        <w:rPr>
          <w:color w:val="231F20"/>
          <w:spacing w:val="-3"/>
        </w:rPr>
        <w:t>кори- </w:t>
      </w:r>
      <w:r>
        <w:rPr>
          <w:color w:val="231F20"/>
        </w:rPr>
        <w:t>дора и локалитета за развој </w:t>
      </w:r>
      <w:r>
        <w:rPr>
          <w:color w:val="231F20"/>
          <w:spacing w:val="-3"/>
        </w:rPr>
        <w:t>комплекса рударства </w:t>
      </w:r>
      <w:r>
        <w:rPr>
          <w:color w:val="231F20"/>
        </w:rPr>
        <w:t>и термоенерге- тике. 2) програм изградње „индустријске инфраструктуре” </w:t>
      </w:r>
      <w:r>
        <w:rPr>
          <w:color w:val="231F20"/>
          <w:spacing w:val="-3"/>
        </w:rPr>
        <w:t>који </w:t>
      </w:r>
      <w:r>
        <w:rPr>
          <w:color w:val="231F20"/>
        </w:rPr>
        <w:t>обухвата изградњу и комунално опремање индустријске зоне за развој</w:t>
      </w:r>
      <w:r>
        <w:rPr>
          <w:color w:val="231F20"/>
          <w:spacing w:val="-5"/>
        </w:rPr>
        <w:t> </w:t>
      </w:r>
      <w:r>
        <w:rPr>
          <w:color w:val="231F20"/>
        </w:rPr>
        <w:t>предузетништва</w:t>
      </w:r>
      <w:r>
        <w:rPr>
          <w:color w:val="231F20"/>
          <w:spacing w:val="-5"/>
        </w:rPr>
        <w:t> </w:t>
      </w:r>
      <w:r>
        <w:rPr>
          <w:color w:val="231F20"/>
        </w:rPr>
        <w:t>у</w:t>
      </w:r>
      <w:r>
        <w:rPr>
          <w:color w:val="231F20"/>
          <w:spacing w:val="-5"/>
        </w:rPr>
        <w:t> </w:t>
      </w:r>
      <w:r>
        <w:rPr>
          <w:color w:val="231F20"/>
        </w:rPr>
        <w:t>Пожаревцу</w:t>
      </w:r>
      <w:r>
        <w:rPr>
          <w:color w:val="231F20"/>
          <w:spacing w:val="-5"/>
        </w:rPr>
        <w:t> </w:t>
      </w:r>
      <w:r>
        <w:rPr>
          <w:color w:val="231F20"/>
        </w:rPr>
        <w:t>(завршетак</w:t>
      </w:r>
      <w:r>
        <w:rPr>
          <w:color w:val="231F20"/>
          <w:spacing w:val="-5"/>
        </w:rPr>
        <w:t> </w:t>
      </w:r>
      <w:r>
        <w:rPr>
          <w:color w:val="231F20"/>
        </w:rPr>
        <w:t>I</w:t>
      </w:r>
      <w:r>
        <w:rPr>
          <w:color w:val="231F20"/>
          <w:spacing w:val="-5"/>
        </w:rPr>
        <w:t> </w:t>
      </w:r>
      <w:r>
        <w:rPr>
          <w:color w:val="231F20"/>
        </w:rPr>
        <w:t>и</w:t>
      </w:r>
      <w:r>
        <w:rPr>
          <w:color w:val="231F20"/>
          <w:spacing w:val="-6"/>
        </w:rPr>
        <w:t> </w:t>
      </w:r>
      <w:r>
        <w:rPr>
          <w:color w:val="231F20"/>
        </w:rPr>
        <w:t>наставак</w:t>
      </w:r>
      <w:r>
        <w:rPr>
          <w:color w:val="231F20"/>
          <w:spacing w:val="-5"/>
        </w:rPr>
        <w:t> </w:t>
      </w:r>
      <w:r>
        <w:rPr>
          <w:color w:val="231F20"/>
        </w:rPr>
        <w:t>II</w:t>
      </w:r>
      <w:r>
        <w:rPr>
          <w:color w:val="231F20"/>
          <w:spacing w:val="-5"/>
        </w:rPr>
        <w:t> </w:t>
      </w:r>
      <w:r>
        <w:rPr>
          <w:color w:val="231F20"/>
        </w:rPr>
        <w:t>фа- зе), индустријских локалитета у Костолцу и у центрима сеоског подручја, као и побољшање железничког транспорта роба, маги- стралне и регионалне мреже путева, ИКТ мреже и хидротехничке инфраструктуре и решавања проблема индустријског отпада; 3) подстицај политика конкурентности, јачања предузетништва, </w:t>
      </w:r>
      <w:r>
        <w:rPr>
          <w:color w:val="231F20"/>
          <w:spacing w:val="-3"/>
        </w:rPr>
        <w:t>еко- </w:t>
      </w:r>
      <w:r>
        <w:rPr>
          <w:color w:val="231F20"/>
        </w:rPr>
        <w:t>иновација, енергетске ефикасности, бољих технологија, изградње пословног инкубатора, и слично; 4) изградња конгресно-изложбе- ног центра „Браничево” у Пожаревцу; 5) израда </w:t>
      </w:r>
      <w:r>
        <w:rPr>
          <w:color w:val="231F20"/>
          <w:spacing w:val="-3"/>
        </w:rPr>
        <w:t>Студије </w:t>
      </w:r>
      <w:r>
        <w:rPr>
          <w:color w:val="231F20"/>
        </w:rPr>
        <w:t>изводљи- вости – могући правци развојa и улагања у финалну прераду по- љопривредних производа у граду Пожаревцу; и 6) оживљавање дела индустријских</w:t>
      </w:r>
      <w:r>
        <w:rPr>
          <w:color w:val="231F20"/>
          <w:spacing w:val="-2"/>
        </w:rPr>
        <w:t> </w:t>
      </w:r>
      <w:r>
        <w:rPr>
          <w:color w:val="231F20"/>
        </w:rPr>
        <w:t>браунфилда.</w:t>
      </w:r>
    </w:p>
    <w:p>
      <w:pPr>
        <w:pStyle w:val="BodyText"/>
        <w:spacing w:line="230" w:lineRule="auto"/>
        <w:ind w:left="171" w:right="409" w:firstLine="396"/>
      </w:pPr>
      <w:r>
        <w:rPr>
          <w:color w:val="231F20"/>
        </w:rPr>
        <w:t>У наредном периоду потребно је подстицање улагања за стварање конкурентних локација за инвестиције, које би осигура- ле развој привреде и ново запошљавање.</w:t>
      </w:r>
    </w:p>
    <w:p>
      <w:pPr>
        <w:pStyle w:val="BodyText"/>
        <w:spacing w:line="230" w:lineRule="auto"/>
        <w:ind w:left="171" w:right="409" w:firstLine="396"/>
      </w:pPr>
      <w:r>
        <w:rPr>
          <w:color w:val="231F20"/>
        </w:rPr>
        <w:t>Приоритети за реализацију индустријске зоне у </w:t>
      </w:r>
      <w:r>
        <w:rPr>
          <w:color w:val="231F20"/>
          <w:spacing w:val="-3"/>
        </w:rPr>
        <w:t>Пожаревцу, </w:t>
      </w:r>
      <w:r>
        <w:rPr>
          <w:color w:val="231F20"/>
        </w:rPr>
        <w:t>површине</w:t>
      </w:r>
      <w:r>
        <w:rPr>
          <w:color w:val="231F20"/>
          <w:spacing w:val="-6"/>
        </w:rPr>
        <w:t> </w:t>
      </w:r>
      <w:r>
        <w:rPr>
          <w:color w:val="231F20"/>
          <w:spacing w:val="-4"/>
        </w:rPr>
        <w:t>око</w:t>
      </w:r>
      <w:r>
        <w:rPr>
          <w:color w:val="231F20"/>
          <w:spacing w:val="-6"/>
        </w:rPr>
        <w:t> </w:t>
      </w:r>
      <w:r>
        <w:rPr>
          <w:color w:val="231F20"/>
        </w:rPr>
        <w:t>100</w:t>
      </w:r>
      <w:r>
        <w:rPr>
          <w:color w:val="231F20"/>
          <w:spacing w:val="-6"/>
        </w:rPr>
        <w:t> </w:t>
      </w:r>
      <w:r>
        <w:rPr>
          <w:color w:val="231F20"/>
        </w:rPr>
        <w:t>ha,</w:t>
      </w:r>
      <w:r>
        <w:rPr>
          <w:color w:val="231F20"/>
          <w:spacing w:val="-6"/>
        </w:rPr>
        <w:t> </w:t>
      </w:r>
      <w:r>
        <w:rPr>
          <w:color w:val="231F20"/>
        </w:rPr>
        <w:t>до</w:t>
      </w:r>
      <w:r>
        <w:rPr>
          <w:color w:val="231F20"/>
          <w:spacing w:val="-6"/>
        </w:rPr>
        <w:t> </w:t>
      </w:r>
      <w:r>
        <w:rPr>
          <w:color w:val="231F20"/>
        </w:rPr>
        <w:t>2015.</w:t>
      </w:r>
      <w:r>
        <w:rPr>
          <w:color w:val="231F20"/>
          <w:spacing w:val="-6"/>
        </w:rPr>
        <w:t> </w:t>
      </w:r>
      <w:r>
        <w:rPr>
          <w:color w:val="231F20"/>
          <w:spacing w:val="-3"/>
        </w:rPr>
        <w:t>године</w:t>
      </w:r>
      <w:r>
        <w:rPr>
          <w:color w:val="231F20"/>
          <w:spacing w:val="-6"/>
        </w:rPr>
        <w:t> </w:t>
      </w:r>
      <w:r>
        <w:rPr>
          <w:color w:val="231F20"/>
        </w:rPr>
        <w:t>су:</w:t>
      </w:r>
      <w:r>
        <w:rPr>
          <w:color w:val="231F20"/>
          <w:spacing w:val="-6"/>
        </w:rPr>
        <w:t> </w:t>
      </w:r>
      <w:r>
        <w:rPr>
          <w:color w:val="231F20"/>
        </w:rPr>
        <w:t>1)</w:t>
      </w:r>
      <w:r>
        <w:rPr>
          <w:color w:val="231F20"/>
          <w:spacing w:val="-6"/>
        </w:rPr>
        <w:t> </w:t>
      </w:r>
      <w:r>
        <w:rPr>
          <w:color w:val="231F20"/>
        </w:rPr>
        <w:t>дефинисање</w:t>
      </w:r>
      <w:r>
        <w:rPr>
          <w:color w:val="231F20"/>
          <w:spacing w:val="-6"/>
        </w:rPr>
        <w:t> </w:t>
      </w:r>
      <w:r>
        <w:rPr>
          <w:color w:val="231F20"/>
        </w:rPr>
        <w:t>принципа партнерства јавног и приватног сектора, 2) обезбеђење </w:t>
      </w:r>
      <w:r>
        <w:rPr>
          <w:color w:val="231F20"/>
          <w:spacing w:val="-4"/>
        </w:rPr>
        <w:t>око </w:t>
      </w:r>
      <w:r>
        <w:rPr>
          <w:color w:val="231F20"/>
        </w:rPr>
        <w:t>1,3 ми- лиона евра укупно (средстава градског буџета, НИП, и </w:t>
      </w:r>
      <w:r>
        <w:rPr>
          <w:color w:val="231F20"/>
          <w:spacing w:val="-6"/>
        </w:rPr>
        <w:t>IPA </w:t>
      </w:r>
      <w:r>
        <w:rPr>
          <w:color w:val="231F20"/>
        </w:rPr>
        <w:t>фонда) у</w:t>
      </w:r>
      <w:r>
        <w:rPr>
          <w:color w:val="231F20"/>
          <w:spacing w:val="-9"/>
        </w:rPr>
        <w:t> </w:t>
      </w:r>
      <w:r>
        <w:rPr>
          <w:color w:val="231F20"/>
        </w:rPr>
        <w:t>опремање</w:t>
      </w:r>
      <w:r>
        <w:rPr>
          <w:color w:val="231F20"/>
          <w:spacing w:val="-9"/>
        </w:rPr>
        <w:t> </w:t>
      </w:r>
      <w:r>
        <w:rPr>
          <w:color w:val="231F20"/>
        </w:rPr>
        <w:t>индустријске</w:t>
      </w:r>
      <w:r>
        <w:rPr>
          <w:color w:val="231F20"/>
          <w:spacing w:val="-9"/>
        </w:rPr>
        <w:t> </w:t>
      </w:r>
      <w:r>
        <w:rPr>
          <w:color w:val="231F20"/>
        </w:rPr>
        <w:t>зоне,</w:t>
      </w:r>
      <w:r>
        <w:rPr>
          <w:color w:val="231F20"/>
          <w:spacing w:val="-9"/>
        </w:rPr>
        <w:t> </w:t>
      </w:r>
      <w:r>
        <w:rPr>
          <w:color w:val="231F20"/>
        </w:rPr>
        <w:t>3)</w:t>
      </w:r>
      <w:r>
        <w:rPr>
          <w:color w:val="231F20"/>
          <w:spacing w:val="-9"/>
        </w:rPr>
        <w:t> </w:t>
      </w:r>
      <w:r>
        <w:rPr>
          <w:color w:val="231F20"/>
        </w:rPr>
        <w:t>стратешки</w:t>
      </w:r>
      <w:r>
        <w:rPr>
          <w:color w:val="231F20"/>
          <w:spacing w:val="-9"/>
        </w:rPr>
        <w:t> </w:t>
      </w:r>
      <w:r>
        <w:rPr>
          <w:color w:val="231F20"/>
        </w:rPr>
        <w:t>план</w:t>
      </w:r>
      <w:r>
        <w:rPr>
          <w:color w:val="231F20"/>
          <w:spacing w:val="-9"/>
        </w:rPr>
        <w:t> </w:t>
      </w:r>
      <w:r>
        <w:rPr>
          <w:color w:val="231F20"/>
        </w:rPr>
        <w:t>уређења,</w:t>
      </w:r>
      <w:r>
        <w:rPr>
          <w:color w:val="231F20"/>
          <w:spacing w:val="-9"/>
        </w:rPr>
        <w:t> </w:t>
      </w:r>
      <w:r>
        <w:rPr>
          <w:color w:val="231F20"/>
        </w:rPr>
        <w:t>развоја и управљања зоне, уз следеће препоруке: а) обезбеђење опремље- них локација различитог нивоа (од минималне до максималне); б) олакшавање уређења грађевинског земљишта и прибављања до- звола; в) подршка развоју производних кластера; г) укључивање ризика климатских промена, примене „интегралне </w:t>
      </w:r>
      <w:r>
        <w:rPr>
          <w:color w:val="231F20"/>
          <w:spacing w:val="-3"/>
        </w:rPr>
        <w:t>еколошке </w:t>
      </w:r>
      <w:r>
        <w:rPr>
          <w:color w:val="231F20"/>
        </w:rPr>
        <w:t>до- зволе”, </w:t>
      </w:r>
      <w:r>
        <w:rPr>
          <w:color w:val="231F20"/>
          <w:spacing w:val="-3"/>
        </w:rPr>
        <w:t>еколошке </w:t>
      </w:r>
      <w:r>
        <w:rPr>
          <w:color w:val="231F20"/>
        </w:rPr>
        <w:t>процене утицаја; и 4) акциони план за реализа- цију индустријске зоне и других пројеката у </w:t>
      </w:r>
      <w:r>
        <w:rPr>
          <w:color w:val="231F20"/>
          <w:spacing w:val="-4"/>
        </w:rPr>
        <w:t>коме </w:t>
      </w:r>
      <w:r>
        <w:rPr>
          <w:color w:val="231F20"/>
        </w:rPr>
        <w:t>се прецизирају динамички план активности, институције за управљање, регула- цију и спровођење. Мере за реализацију приоритета</w:t>
      </w:r>
      <w:r>
        <w:rPr>
          <w:color w:val="231F20"/>
          <w:spacing w:val="-9"/>
        </w:rPr>
        <w:t> </w:t>
      </w:r>
      <w:r>
        <w:rPr>
          <w:color w:val="231F20"/>
        </w:rPr>
        <w:t>су:</w:t>
      </w:r>
    </w:p>
    <w:p>
      <w:pPr>
        <w:pStyle w:val="BodyText"/>
        <w:spacing w:line="189" w:lineRule="exact"/>
        <w:ind w:left="568"/>
        <w:jc w:val="left"/>
      </w:pPr>
      <w:r>
        <w:rPr>
          <w:color w:val="231F20"/>
          <w:w w:val="66"/>
        </w:rPr>
        <w:t> </w:t>
      </w:r>
      <w:r>
        <w:rPr>
          <w:color w:val="231F20"/>
        </w:rPr>
        <w:t>– обезбеђење конкурентних привредно-пословних локалитета;</w:t>
      </w:r>
    </w:p>
    <w:p>
      <w:pPr>
        <w:pStyle w:val="BodyText"/>
        <w:spacing w:line="230" w:lineRule="auto"/>
        <w:ind w:left="171" w:right="409" w:firstLine="396"/>
      </w:pPr>
      <w:r>
        <w:rPr>
          <w:color w:val="231F20"/>
          <w:w w:val="66"/>
        </w:rPr>
        <w:t> </w:t>
      </w:r>
      <w:r>
        <w:rPr>
          <w:color w:val="231F20"/>
        </w:rPr>
        <w:t>– раст броја нових привредних актера (предузећа, друшта- ва, радњи и друго) путем промоција у јавности, обука за послов- не и предузетничке вештине, </w:t>
      </w:r>
      <w:r>
        <w:rPr>
          <w:color w:val="231F20"/>
          <w:spacing w:val="-3"/>
        </w:rPr>
        <w:t>подршком удружења </w:t>
      </w:r>
      <w:r>
        <w:rPr>
          <w:color w:val="231F20"/>
        </w:rPr>
        <w:t>предузетника, и</w:t>
      </w:r>
      <w:r>
        <w:rPr>
          <w:color w:val="231F20"/>
          <w:spacing w:val="-2"/>
        </w:rPr>
        <w:t> </w:t>
      </w:r>
      <w:r>
        <w:rPr>
          <w:color w:val="231F20"/>
        </w:rPr>
        <w:t>друго;</w:t>
      </w:r>
    </w:p>
    <w:p>
      <w:pPr>
        <w:pStyle w:val="BodyText"/>
        <w:spacing w:line="230" w:lineRule="auto"/>
        <w:ind w:left="171" w:right="409" w:firstLine="396"/>
      </w:pPr>
      <w:r>
        <w:rPr>
          <w:color w:val="231F20"/>
          <w:w w:val="66"/>
        </w:rPr>
        <w:t> </w:t>
      </w:r>
      <w:r>
        <w:rPr>
          <w:color w:val="231F20"/>
        </w:rPr>
        <w:t>– обезбеђење и приступачност услугама пословно-логистич- ке подршке за мрежу МСП, консултантске услуге, услуге регио- налног развојног тела (агенције, центар, канцеларије, итд.), инфо- центри;</w:t>
      </w:r>
    </w:p>
    <w:p>
      <w:pPr>
        <w:pStyle w:val="BodyText"/>
        <w:spacing w:line="230" w:lineRule="auto"/>
        <w:ind w:left="171" w:right="409" w:firstLine="396"/>
      </w:pPr>
      <w:r>
        <w:rPr>
          <w:color w:val="231F20"/>
          <w:w w:val="66"/>
        </w:rPr>
        <w:t> </w:t>
      </w:r>
      <w:r>
        <w:rPr>
          <w:color w:val="231F20"/>
        </w:rPr>
        <w:t>– подстицај примени иновација и нових и бољих технологи- ја, посебно у МСП, јачање свести о истраживачко-развојним про- јектима привреде, трансферу знања у МСП, привредни сајмови; и</w:t>
      </w:r>
    </w:p>
    <w:p>
      <w:pPr>
        <w:pStyle w:val="BodyText"/>
        <w:spacing w:line="230" w:lineRule="auto"/>
        <w:ind w:left="172" w:right="408" w:firstLine="396"/>
      </w:pPr>
      <w:r>
        <w:rPr>
          <w:color w:val="231F20"/>
          <w:w w:val="66"/>
        </w:rPr>
        <w:t> </w:t>
      </w:r>
      <w:r>
        <w:rPr>
          <w:color w:val="231F20"/>
        </w:rPr>
        <w:t>– подршка привредном, секторском умрежавању и разво-   ју снабдевачких ланаца/кластера (регионална сарадња великих и МСП у кључним секторима, маркетиншки подстицаји снабдевач- ких ланаца, и</w:t>
      </w:r>
      <w:r>
        <w:rPr>
          <w:color w:val="231F20"/>
          <w:spacing w:val="-3"/>
        </w:rPr>
        <w:t> </w:t>
      </w:r>
      <w:r>
        <w:rPr>
          <w:color w:val="231F20"/>
        </w:rPr>
        <w:t>слично).</w:t>
      </w:r>
    </w:p>
    <w:p>
      <w:pPr>
        <w:pStyle w:val="BodyText"/>
        <w:spacing w:before="148"/>
        <w:ind w:left="2150"/>
        <w:jc w:val="left"/>
      </w:pPr>
      <w:r>
        <w:rPr>
          <w:color w:val="231F20"/>
        </w:rPr>
        <w:t>Пољопривреда</w:t>
      </w:r>
    </w:p>
    <w:p>
      <w:pPr>
        <w:pStyle w:val="BodyText"/>
        <w:ind w:left="0"/>
        <w:jc w:val="left"/>
        <w:rPr>
          <w:sz w:val="17"/>
        </w:rPr>
      </w:pPr>
    </w:p>
    <w:p>
      <w:pPr>
        <w:pStyle w:val="BodyText"/>
        <w:spacing w:line="230" w:lineRule="auto"/>
        <w:ind w:left="173" w:right="407" w:firstLine="396"/>
      </w:pPr>
      <w:r>
        <w:rPr>
          <w:color w:val="231F20"/>
        </w:rPr>
        <w:t>Локалне самоуправе, у сарадњи са осталим заинтересованим актерима,</w:t>
      </w:r>
      <w:r>
        <w:rPr>
          <w:color w:val="231F20"/>
          <w:spacing w:val="-10"/>
        </w:rPr>
        <w:t> </w:t>
      </w:r>
      <w:r>
        <w:rPr>
          <w:color w:val="231F20"/>
        </w:rPr>
        <w:t>имају</w:t>
      </w:r>
      <w:r>
        <w:rPr>
          <w:color w:val="231F20"/>
          <w:spacing w:val="-10"/>
        </w:rPr>
        <w:t> </w:t>
      </w:r>
      <w:r>
        <w:rPr>
          <w:color w:val="231F20"/>
        </w:rPr>
        <w:t>кључну</w:t>
      </w:r>
      <w:r>
        <w:rPr>
          <w:color w:val="231F20"/>
          <w:spacing w:val="-10"/>
        </w:rPr>
        <w:t> </w:t>
      </w:r>
      <w:r>
        <w:rPr>
          <w:color w:val="231F20"/>
        </w:rPr>
        <w:t>улогу</w:t>
      </w:r>
      <w:r>
        <w:rPr>
          <w:color w:val="231F20"/>
          <w:spacing w:val="-10"/>
        </w:rPr>
        <w:t> </w:t>
      </w:r>
      <w:r>
        <w:rPr>
          <w:color w:val="231F20"/>
        </w:rPr>
        <w:t>у</w:t>
      </w:r>
      <w:r>
        <w:rPr>
          <w:color w:val="231F20"/>
          <w:spacing w:val="-10"/>
        </w:rPr>
        <w:t> </w:t>
      </w:r>
      <w:r>
        <w:rPr>
          <w:color w:val="231F20"/>
        </w:rPr>
        <w:t>спровођењу</w:t>
      </w:r>
      <w:r>
        <w:rPr>
          <w:color w:val="231F20"/>
          <w:spacing w:val="-10"/>
        </w:rPr>
        <w:t> </w:t>
      </w:r>
      <w:r>
        <w:rPr>
          <w:color w:val="231F20"/>
        </w:rPr>
        <w:t>политике</w:t>
      </w:r>
      <w:r>
        <w:rPr>
          <w:color w:val="231F20"/>
          <w:spacing w:val="-10"/>
        </w:rPr>
        <w:t> </w:t>
      </w:r>
      <w:r>
        <w:rPr>
          <w:color w:val="231F20"/>
        </w:rPr>
        <w:t>заштите</w:t>
      </w:r>
      <w:r>
        <w:rPr>
          <w:color w:val="231F20"/>
          <w:spacing w:val="-10"/>
        </w:rPr>
        <w:t> </w:t>
      </w:r>
      <w:r>
        <w:rPr>
          <w:color w:val="231F20"/>
        </w:rPr>
        <w:t>по- љопривредног земљишта, формулисањем локалних стратегија и програма одрживог пољопривредног и руралног развоја и обезбе- ђењем финансијских средстава за кофинансирање њихове импле- ментације. У тим оквирима до 2015. </w:t>
      </w:r>
      <w:r>
        <w:rPr>
          <w:color w:val="231F20"/>
          <w:spacing w:val="-3"/>
        </w:rPr>
        <w:t>године </w:t>
      </w:r>
      <w:r>
        <w:rPr>
          <w:color w:val="231F20"/>
        </w:rPr>
        <w:t>приоритет</w:t>
      </w:r>
      <w:r>
        <w:rPr>
          <w:color w:val="231F20"/>
          <w:spacing w:val="-2"/>
        </w:rPr>
        <w:t> </w:t>
      </w:r>
      <w:r>
        <w:rPr>
          <w:color w:val="231F20"/>
        </w:rPr>
        <w:t>има:</w:t>
      </w:r>
    </w:p>
    <w:p>
      <w:pPr>
        <w:pStyle w:val="BodyText"/>
        <w:spacing w:line="230" w:lineRule="auto"/>
        <w:ind w:left="172" w:right="407" w:firstLine="397"/>
      </w:pPr>
      <w:r>
        <w:rPr>
          <w:color w:val="231F20"/>
          <w:w w:val="66"/>
        </w:rPr>
        <w:t> </w:t>
      </w:r>
      <w:r>
        <w:rPr>
          <w:color w:val="231F20"/>
        </w:rPr>
        <w:t>– доношење Програма развоја пољопривреде на подручју града Пожаревац, односно општине Велико Градиште, којим ће бити дефинисана оптимална тржишна оријентација пољопривред- не производње и конкретне мере подршке остваривању утврђених производних приоритета;</w:t>
      </w:r>
    </w:p>
    <w:p>
      <w:pPr>
        <w:pStyle w:val="BodyText"/>
        <w:spacing w:line="230" w:lineRule="auto"/>
        <w:ind w:left="172" w:right="407" w:firstLine="396"/>
      </w:pPr>
      <w:r>
        <w:rPr>
          <w:color w:val="231F20"/>
          <w:w w:val="66"/>
        </w:rPr>
        <w:t> </w:t>
      </w:r>
      <w:r>
        <w:rPr>
          <w:color w:val="231F20"/>
        </w:rPr>
        <w:t>– израда пројектне документације за развој сточарске произ- водње, посебно това јунади, упоредо са обезбеђивањем квалитет- не ветеринарске заштите, побољшањем услова стајског смештаја и исхране стоке </w:t>
      </w:r>
      <w:r>
        <w:rPr>
          <w:color w:val="231F20"/>
          <w:spacing w:val="-4"/>
        </w:rPr>
        <w:t>током </w:t>
      </w:r>
      <w:r>
        <w:rPr>
          <w:color w:val="231F20"/>
        </w:rPr>
        <w:t>целе године, укључујући и опремање га- здинстава</w:t>
      </w:r>
      <w:r>
        <w:rPr>
          <w:color w:val="231F20"/>
          <w:spacing w:val="-7"/>
        </w:rPr>
        <w:t> </w:t>
      </w:r>
      <w:r>
        <w:rPr>
          <w:color w:val="231F20"/>
        </w:rPr>
        <w:t>машинама</w:t>
      </w:r>
      <w:r>
        <w:rPr>
          <w:color w:val="231F20"/>
          <w:spacing w:val="-7"/>
        </w:rPr>
        <w:t> </w:t>
      </w:r>
      <w:r>
        <w:rPr>
          <w:color w:val="231F20"/>
        </w:rPr>
        <w:t>и</w:t>
      </w:r>
      <w:r>
        <w:rPr>
          <w:color w:val="231F20"/>
          <w:spacing w:val="-7"/>
        </w:rPr>
        <w:t> </w:t>
      </w:r>
      <w:r>
        <w:rPr>
          <w:color w:val="231F20"/>
        </w:rPr>
        <w:t>уређајима</w:t>
      </w:r>
      <w:r>
        <w:rPr>
          <w:color w:val="231F20"/>
          <w:spacing w:val="-7"/>
        </w:rPr>
        <w:t> </w:t>
      </w:r>
      <w:r>
        <w:rPr>
          <w:color w:val="231F20"/>
          <w:spacing w:val="-3"/>
        </w:rPr>
        <w:t>који</w:t>
      </w:r>
      <w:r>
        <w:rPr>
          <w:color w:val="231F20"/>
          <w:spacing w:val="-7"/>
        </w:rPr>
        <w:t> </w:t>
      </w:r>
      <w:r>
        <w:rPr>
          <w:color w:val="231F20"/>
        </w:rPr>
        <w:t>олакшавају</w:t>
      </w:r>
      <w:r>
        <w:rPr>
          <w:color w:val="231F20"/>
          <w:spacing w:val="-7"/>
        </w:rPr>
        <w:t> </w:t>
      </w:r>
      <w:r>
        <w:rPr>
          <w:color w:val="231F20"/>
        </w:rPr>
        <w:t>рад</w:t>
      </w:r>
      <w:r>
        <w:rPr>
          <w:color w:val="231F20"/>
          <w:spacing w:val="-7"/>
        </w:rPr>
        <w:t> </w:t>
      </w:r>
      <w:r>
        <w:rPr>
          <w:color w:val="231F20"/>
        </w:rPr>
        <w:t>у</w:t>
      </w:r>
      <w:r>
        <w:rPr>
          <w:color w:val="231F20"/>
          <w:spacing w:val="-7"/>
        </w:rPr>
        <w:t> </w:t>
      </w:r>
      <w:r>
        <w:rPr>
          <w:color w:val="231F20"/>
        </w:rPr>
        <w:t>сточарској производњи и дозвољавају њено унапређивање, у складу са савре- меним хигијенским и еколошким</w:t>
      </w:r>
      <w:r>
        <w:rPr>
          <w:color w:val="231F20"/>
          <w:spacing w:val="-6"/>
        </w:rPr>
        <w:t> </w:t>
      </w:r>
      <w:r>
        <w:rPr>
          <w:color w:val="231F20"/>
        </w:rPr>
        <w:t>стандардима;</w:t>
      </w:r>
    </w:p>
    <w:p>
      <w:pPr>
        <w:spacing w:after="0" w:line="230" w:lineRule="auto"/>
        <w:sectPr>
          <w:pgSz w:w="12480" w:h="15690"/>
          <w:pgMar w:top="120" w:bottom="280" w:left="680" w:right="720"/>
          <w:cols w:num="2" w:equalWidth="0">
            <w:col w:w="5314" w:space="73"/>
            <w:col w:w="5693"/>
          </w:cols>
        </w:sectPr>
      </w:pPr>
    </w:p>
    <w:p>
      <w:pPr>
        <w:pStyle w:val="BodyText"/>
        <w:spacing w:line="232" w:lineRule="auto" w:before="73"/>
        <w:ind w:left="453" w:firstLine="397"/>
      </w:pPr>
      <w:r>
        <w:rPr/>
        <w:pict>
          <v:line style="position:absolute;mso-position-horizontal-relative:page;mso-position-vertical-relative:page;z-index:3184" from="318.897614pt,11.942451pt" to="318.897614pt,748.950451pt" stroked="true" strokeweight=".6pt" strokecolor="#231f20">
            <v:stroke dashstyle="solid"/>
            <w10:wrap type="none"/>
          </v:line>
        </w:pict>
      </w:r>
      <w:r>
        <w:rPr>
          <w:color w:val="231F20"/>
          <w:w w:val="66"/>
        </w:rPr>
        <w:t> </w:t>
      </w:r>
      <w:r>
        <w:rPr>
          <w:color w:val="231F20"/>
        </w:rPr>
        <w:t>– спровођење пројекта евидентирања терена угрожених еро- зијом, применом неадекватне агротехнике (смањење нивоа орган- ских материја, салинизација, сабијање и слично), присуством опа- сних и штетних материја у пољопривредном земљишту и води за наводњавање, одливом течног стајњака са сточарских фарми, неа- декватним</w:t>
      </w:r>
      <w:r>
        <w:rPr>
          <w:color w:val="231F20"/>
          <w:spacing w:val="-7"/>
        </w:rPr>
        <w:t> </w:t>
      </w:r>
      <w:r>
        <w:rPr>
          <w:color w:val="231F20"/>
        </w:rPr>
        <w:t>руковањем</w:t>
      </w:r>
      <w:r>
        <w:rPr>
          <w:color w:val="231F20"/>
          <w:spacing w:val="-7"/>
        </w:rPr>
        <w:t> </w:t>
      </w:r>
      <w:r>
        <w:rPr>
          <w:color w:val="231F20"/>
        </w:rPr>
        <w:t>агрохемикалијама</w:t>
      </w:r>
      <w:r>
        <w:rPr>
          <w:color w:val="231F20"/>
          <w:spacing w:val="-6"/>
        </w:rPr>
        <w:t> </w:t>
      </w:r>
      <w:r>
        <w:rPr>
          <w:color w:val="231F20"/>
        </w:rPr>
        <w:t>и</w:t>
      </w:r>
      <w:r>
        <w:rPr>
          <w:color w:val="231F20"/>
          <w:spacing w:val="-6"/>
        </w:rPr>
        <w:t> </w:t>
      </w:r>
      <w:r>
        <w:rPr>
          <w:color w:val="231F20"/>
        </w:rPr>
        <w:t>слично,</w:t>
      </w:r>
      <w:r>
        <w:rPr>
          <w:color w:val="231F20"/>
          <w:spacing w:val="-6"/>
        </w:rPr>
        <w:t> </w:t>
      </w:r>
      <w:r>
        <w:rPr>
          <w:color w:val="231F20"/>
        </w:rPr>
        <w:t>ради</w:t>
      </w:r>
      <w:r>
        <w:rPr>
          <w:color w:val="231F20"/>
          <w:spacing w:val="-6"/>
        </w:rPr>
        <w:t> </w:t>
      </w:r>
      <w:r>
        <w:rPr>
          <w:color w:val="231F20"/>
        </w:rPr>
        <w:t>одређива- ња и убрзаног спровођења одговарајућих радова на ремедијацији и</w:t>
      </w:r>
      <w:r>
        <w:rPr>
          <w:color w:val="231F20"/>
          <w:spacing w:val="-5"/>
        </w:rPr>
        <w:t> </w:t>
      </w:r>
      <w:r>
        <w:rPr>
          <w:color w:val="231F20"/>
        </w:rPr>
        <w:t>заштити</w:t>
      </w:r>
      <w:r>
        <w:rPr>
          <w:color w:val="231F20"/>
          <w:spacing w:val="-5"/>
        </w:rPr>
        <w:t> </w:t>
      </w:r>
      <w:r>
        <w:rPr>
          <w:color w:val="231F20"/>
        </w:rPr>
        <w:t>земљишта,</w:t>
      </w:r>
      <w:r>
        <w:rPr>
          <w:color w:val="231F20"/>
          <w:spacing w:val="-5"/>
        </w:rPr>
        <w:t> </w:t>
      </w:r>
      <w:r>
        <w:rPr>
          <w:color w:val="231F20"/>
        </w:rPr>
        <w:t>према</w:t>
      </w:r>
      <w:r>
        <w:rPr>
          <w:color w:val="231F20"/>
          <w:spacing w:val="-5"/>
        </w:rPr>
        <w:t> </w:t>
      </w:r>
      <w:r>
        <w:rPr>
          <w:color w:val="231F20"/>
        </w:rPr>
        <w:t>смерницама</w:t>
      </w:r>
      <w:r>
        <w:rPr>
          <w:color w:val="231F20"/>
          <w:spacing w:val="-5"/>
        </w:rPr>
        <w:t> </w:t>
      </w:r>
      <w:r>
        <w:rPr>
          <w:color w:val="231F20"/>
          <w:spacing w:val="-3"/>
        </w:rPr>
        <w:t>које</w:t>
      </w:r>
      <w:r>
        <w:rPr>
          <w:color w:val="231F20"/>
          <w:spacing w:val="-5"/>
        </w:rPr>
        <w:t> </w:t>
      </w:r>
      <w:r>
        <w:rPr>
          <w:color w:val="231F20"/>
        </w:rPr>
        <w:t>ће</w:t>
      </w:r>
      <w:r>
        <w:rPr>
          <w:color w:val="231F20"/>
          <w:spacing w:val="-5"/>
        </w:rPr>
        <w:t> </w:t>
      </w:r>
      <w:r>
        <w:rPr>
          <w:color w:val="231F20"/>
        </w:rPr>
        <w:t>бити</w:t>
      </w:r>
      <w:r>
        <w:rPr>
          <w:color w:val="231F20"/>
          <w:spacing w:val="-5"/>
        </w:rPr>
        <w:t> </w:t>
      </w:r>
      <w:r>
        <w:rPr>
          <w:color w:val="231F20"/>
        </w:rPr>
        <w:t>утврђене</w:t>
      </w:r>
      <w:r>
        <w:rPr>
          <w:color w:val="231F20"/>
          <w:spacing w:val="-5"/>
        </w:rPr>
        <w:t> </w:t>
      </w:r>
      <w:r>
        <w:rPr>
          <w:color w:val="231F20"/>
        </w:rPr>
        <w:t>Ре- </w:t>
      </w:r>
      <w:r>
        <w:rPr>
          <w:color w:val="231F20"/>
          <w:spacing w:val="-3"/>
        </w:rPr>
        <w:t>публичком </w:t>
      </w:r>
      <w:r>
        <w:rPr>
          <w:color w:val="231F20"/>
        </w:rPr>
        <w:t>пољопривредном</w:t>
      </w:r>
      <w:r>
        <w:rPr>
          <w:color w:val="231F20"/>
          <w:spacing w:val="1"/>
        </w:rPr>
        <w:t> </w:t>
      </w:r>
      <w:r>
        <w:rPr>
          <w:color w:val="231F20"/>
        </w:rPr>
        <w:t>основом;</w:t>
      </w:r>
    </w:p>
    <w:p>
      <w:pPr>
        <w:pStyle w:val="BodyText"/>
        <w:spacing w:line="232" w:lineRule="auto"/>
        <w:ind w:left="453" w:right="1" w:firstLine="396"/>
      </w:pPr>
      <w:r>
        <w:rPr>
          <w:color w:val="231F20"/>
          <w:w w:val="66"/>
        </w:rPr>
        <w:t> </w:t>
      </w:r>
      <w:r>
        <w:rPr>
          <w:color w:val="231F20"/>
        </w:rPr>
        <w:t>– обезбеђење подршке пројектима изградње објеката за про- </w:t>
      </w:r>
      <w:r>
        <w:rPr>
          <w:color w:val="231F20"/>
          <w:spacing w:val="-4"/>
        </w:rPr>
        <w:t>изводњу, </w:t>
      </w:r>
      <w:r>
        <w:rPr>
          <w:color w:val="231F20"/>
        </w:rPr>
        <w:t>прераду и складиштење, као и набавку опреме и механи- зације на пољопривредним газдинствима; усмерене у;</w:t>
      </w:r>
    </w:p>
    <w:p>
      <w:pPr>
        <w:pStyle w:val="BodyText"/>
        <w:spacing w:line="232" w:lineRule="auto"/>
        <w:ind w:left="453" w:firstLine="396"/>
      </w:pPr>
      <w:r>
        <w:rPr>
          <w:color w:val="231F20"/>
          <w:w w:val="66"/>
        </w:rPr>
        <w:t> </w:t>
      </w:r>
      <w:r>
        <w:rPr>
          <w:color w:val="231F20"/>
        </w:rPr>
        <w:t>– јачање стручне подршке убрзаном увођењу HACCP (Ана- лиза опасности и критичне контролне </w:t>
      </w:r>
      <w:r>
        <w:rPr>
          <w:color w:val="231F20"/>
          <w:spacing w:val="-2"/>
        </w:rPr>
        <w:t>тачке) </w:t>
      </w:r>
      <w:r>
        <w:rPr>
          <w:color w:val="231F20"/>
        </w:rPr>
        <w:t>и Global GAP</w:t>
      </w:r>
      <w:r>
        <w:rPr>
          <w:color w:val="231F20"/>
          <w:spacing w:val="-35"/>
        </w:rPr>
        <w:t> </w:t>
      </w:r>
      <w:r>
        <w:rPr>
          <w:color w:val="231F20"/>
        </w:rPr>
        <w:t>(произ- водња по принципима добре пољопривредне праксе) стандарда и других програма безбедности и квалитета у пољопривредни пре- рађивачки сектор;</w:t>
      </w:r>
      <w:r>
        <w:rPr>
          <w:color w:val="231F20"/>
          <w:spacing w:val="-1"/>
        </w:rPr>
        <w:t> </w:t>
      </w:r>
      <w:r>
        <w:rPr>
          <w:color w:val="231F20"/>
        </w:rPr>
        <w:t>и</w:t>
      </w:r>
    </w:p>
    <w:p>
      <w:pPr>
        <w:pStyle w:val="BodyText"/>
        <w:spacing w:line="232" w:lineRule="auto"/>
        <w:ind w:left="453" w:firstLine="397"/>
      </w:pPr>
      <w:r>
        <w:rPr>
          <w:color w:val="231F20"/>
          <w:w w:val="66"/>
        </w:rPr>
        <w:t> </w:t>
      </w:r>
      <w:r>
        <w:rPr>
          <w:color w:val="231F20"/>
        </w:rPr>
        <w:t>– обезбеђење подршке вертикалном и територијалном пове- зивању произвођача и прерађивача на интересној основи, као и </w:t>
      </w:r>
      <w:r>
        <w:rPr>
          <w:color w:val="231F20"/>
          <w:spacing w:val="-3"/>
        </w:rPr>
        <w:t>њиховом </w:t>
      </w:r>
      <w:r>
        <w:rPr>
          <w:color w:val="231F20"/>
        </w:rPr>
        <w:t>укључивању у ланце продаје производа, кроз развој кла- стера,</w:t>
      </w:r>
      <w:r>
        <w:rPr>
          <w:color w:val="231F20"/>
          <w:spacing w:val="-7"/>
        </w:rPr>
        <w:t> </w:t>
      </w:r>
      <w:r>
        <w:rPr>
          <w:color w:val="231F20"/>
        </w:rPr>
        <w:t>ради</w:t>
      </w:r>
      <w:r>
        <w:rPr>
          <w:color w:val="231F20"/>
          <w:spacing w:val="-7"/>
        </w:rPr>
        <w:t> </w:t>
      </w:r>
      <w:r>
        <w:rPr>
          <w:color w:val="231F20"/>
        </w:rPr>
        <w:t>заједничке</w:t>
      </w:r>
      <w:r>
        <w:rPr>
          <w:color w:val="231F20"/>
          <w:spacing w:val="-7"/>
        </w:rPr>
        <w:t> </w:t>
      </w:r>
      <w:r>
        <w:rPr>
          <w:color w:val="231F20"/>
        </w:rPr>
        <w:t>набавке</w:t>
      </w:r>
      <w:r>
        <w:rPr>
          <w:color w:val="231F20"/>
          <w:spacing w:val="-7"/>
        </w:rPr>
        <w:t> </w:t>
      </w:r>
      <w:r>
        <w:rPr>
          <w:color w:val="231F20"/>
        </w:rPr>
        <w:t>репроматеријала,</w:t>
      </w:r>
      <w:r>
        <w:rPr>
          <w:color w:val="231F20"/>
          <w:spacing w:val="-7"/>
        </w:rPr>
        <w:t> </w:t>
      </w:r>
      <w:r>
        <w:rPr>
          <w:color w:val="231F20"/>
        </w:rPr>
        <w:t>опреме</w:t>
      </w:r>
      <w:r>
        <w:rPr>
          <w:color w:val="231F20"/>
          <w:spacing w:val="-7"/>
        </w:rPr>
        <w:t> </w:t>
      </w:r>
      <w:r>
        <w:rPr>
          <w:color w:val="231F20"/>
        </w:rPr>
        <w:t>и</w:t>
      </w:r>
      <w:r>
        <w:rPr>
          <w:color w:val="231F20"/>
          <w:spacing w:val="-7"/>
        </w:rPr>
        <w:t> </w:t>
      </w:r>
      <w:r>
        <w:rPr>
          <w:color w:val="231F20"/>
        </w:rPr>
        <w:t>сирови- на</w:t>
      </w:r>
      <w:r>
        <w:rPr>
          <w:color w:val="231F20"/>
          <w:spacing w:val="-8"/>
        </w:rPr>
        <w:t> </w:t>
      </w:r>
      <w:r>
        <w:rPr>
          <w:color w:val="231F20"/>
        </w:rPr>
        <w:t>по</w:t>
      </w:r>
      <w:r>
        <w:rPr>
          <w:color w:val="231F20"/>
          <w:spacing w:val="-8"/>
        </w:rPr>
        <w:t> </w:t>
      </w:r>
      <w:r>
        <w:rPr>
          <w:color w:val="231F20"/>
        </w:rPr>
        <w:t>повољнијим</w:t>
      </w:r>
      <w:r>
        <w:rPr>
          <w:color w:val="231F20"/>
          <w:spacing w:val="-8"/>
        </w:rPr>
        <w:t> </w:t>
      </w:r>
      <w:r>
        <w:rPr>
          <w:color w:val="231F20"/>
        </w:rPr>
        <w:t>ценама,</w:t>
      </w:r>
      <w:r>
        <w:rPr>
          <w:color w:val="231F20"/>
          <w:spacing w:val="-8"/>
        </w:rPr>
        <w:t> </w:t>
      </w:r>
      <w:r>
        <w:rPr>
          <w:color w:val="231F20"/>
        </w:rPr>
        <w:t>стручне</w:t>
      </w:r>
      <w:r>
        <w:rPr>
          <w:color w:val="231F20"/>
          <w:spacing w:val="-8"/>
        </w:rPr>
        <w:t> </w:t>
      </w:r>
      <w:r>
        <w:rPr>
          <w:color w:val="231F20"/>
        </w:rPr>
        <w:t>обуке,</w:t>
      </w:r>
      <w:r>
        <w:rPr>
          <w:color w:val="231F20"/>
          <w:spacing w:val="-8"/>
        </w:rPr>
        <w:t> </w:t>
      </w:r>
      <w:r>
        <w:rPr>
          <w:color w:val="231F20"/>
        </w:rPr>
        <w:t>прибављања</w:t>
      </w:r>
      <w:r>
        <w:rPr>
          <w:color w:val="231F20"/>
          <w:spacing w:val="-8"/>
        </w:rPr>
        <w:t> </w:t>
      </w:r>
      <w:r>
        <w:rPr>
          <w:color w:val="231F20"/>
        </w:rPr>
        <w:t>сертифика- та за </w:t>
      </w:r>
      <w:r>
        <w:rPr>
          <w:color w:val="231F20"/>
          <w:spacing w:val="-3"/>
        </w:rPr>
        <w:t>квалитет, </w:t>
      </w:r>
      <w:r>
        <w:rPr>
          <w:color w:val="231F20"/>
        </w:rPr>
        <w:t>унапређења маркетинга и</w:t>
      </w:r>
      <w:r>
        <w:rPr>
          <w:color w:val="231F20"/>
          <w:spacing w:val="-3"/>
        </w:rPr>
        <w:t> </w:t>
      </w:r>
      <w:r>
        <w:rPr>
          <w:color w:val="231F20"/>
        </w:rPr>
        <w:t>слично.</w:t>
      </w:r>
    </w:p>
    <w:p>
      <w:pPr>
        <w:pStyle w:val="BodyText"/>
        <w:spacing w:before="163"/>
        <w:ind w:left="2187"/>
        <w:jc w:val="left"/>
      </w:pPr>
      <w:r>
        <w:rPr>
          <w:color w:val="231F20"/>
        </w:rPr>
        <w:t>Шуме, лов и риболов</w:t>
      </w:r>
    </w:p>
    <w:p>
      <w:pPr>
        <w:pStyle w:val="BodyText"/>
        <w:spacing w:before="3"/>
        <w:ind w:left="0"/>
        <w:jc w:val="left"/>
        <w:rPr>
          <w:sz w:val="17"/>
        </w:rPr>
      </w:pPr>
    </w:p>
    <w:p>
      <w:pPr>
        <w:pStyle w:val="BodyText"/>
        <w:spacing w:line="232" w:lineRule="auto" w:before="1"/>
        <w:ind w:left="453" w:firstLine="396"/>
      </w:pPr>
      <w:r>
        <w:rPr>
          <w:color w:val="231F20"/>
        </w:rPr>
        <w:t>План кoришћeња и заштитe шума и шумских зeмљишта oствариваћe сe у oквиру јeдинствeнoг прoграма унапрeђивања oпштих услoва живoтнe срeдинe. Дирeктни и индирeктни утицаји eксплoатацијe</w:t>
      </w:r>
      <w:r>
        <w:rPr>
          <w:color w:val="231F20"/>
          <w:spacing w:val="-6"/>
        </w:rPr>
        <w:t> </w:t>
      </w:r>
      <w:r>
        <w:rPr>
          <w:color w:val="231F20"/>
        </w:rPr>
        <w:t>и</w:t>
      </w:r>
      <w:r>
        <w:rPr>
          <w:color w:val="231F20"/>
          <w:spacing w:val="-6"/>
        </w:rPr>
        <w:t> </w:t>
      </w:r>
      <w:r>
        <w:rPr>
          <w:color w:val="231F20"/>
        </w:rPr>
        <w:t>прeрадe</w:t>
      </w:r>
      <w:r>
        <w:rPr>
          <w:color w:val="231F20"/>
          <w:spacing w:val="-6"/>
        </w:rPr>
        <w:t> </w:t>
      </w:r>
      <w:r>
        <w:rPr>
          <w:color w:val="231F20"/>
        </w:rPr>
        <w:t>лигнита</w:t>
      </w:r>
      <w:r>
        <w:rPr>
          <w:color w:val="231F20"/>
          <w:spacing w:val="-6"/>
        </w:rPr>
        <w:t> </w:t>
      </w:r>
      <w:r>
        <w:rPr>
          <w:color w:val="231F20"/>
          <w:spacing w:val="-3"/>
        </w:rPr>
        <w:t>Костолачког</w:t>
      </w:r>
      <w:r>
        <w:rPr>
          <w:color w:val="231F20"/>
          <w:spacing w:val="-6"/>
        </w:rPr>
        <w:t> </w:t>
      </w:r>
      <w:r>
        <w:rPr>
          <w:color w:val="231F20"/>
        </w:rPr>
        <w:t>басена</w:t>
      </w:r>
      <w:r>
        <w:rPr>
          <w:color w:val="231F20"/>
          <w:spacing w:val="-6"/>
        </w:rPr>
        <w:t> </w:t>
      </w:r>
      <w:r>
        <w:rPr>
          <w:color w:val="231F20"/>
        </w:rPr>
        <w:t>на</w:t>
      </w:r>
      <w:r>
        <w:rPr>
          <w:color w:val="231F20"/>
          <w:spacing w:val="-6"/>
        </w:rPr>
        <w:t> </w:t>
      </w:r>
      <w:r>
        <w:rPr>
          <w:color w:val="231F20"/>
        </w:rPr>
        <w:t>шуме</w:t>
      </w:r>
      <w:r>
        <w:rPr>
          <w:color w:val="231F20"/>
          <w:spacing w:val="-6"/>
        </w:rPr>
        <w:t> </w:t>
      </w:r>
      <w:r>
        <w:rPr>
          <w:color w:val="231F20"/>
          <w:spacing w:val="-3"/>
        </w:rPr>
        <w:t>кон- </w:t>
      </w:r>
      <w:r>
        <w:rPr>
          <w:color w:val="231F20"/>
        </w:rPr>
        <w:t>тролисаће се примeнoм слeдeћих мeра и</w:t>
      </w:r>
      <w:r>
        <w:rPr>
          <w:color w:val="231F20"/>
          <w:spacing w:val="-3"/>
        </w:rPr>
        <w:t> </w:t>
      </w:r>
      <w:r>
        <w:rPr>
          <w:color w:val="231F20"/>
        </w:rPr>
        <w:t>рeшeња:</w:t>
      </w:r>
    </w:p>
    <w:p>
      <w:pPr>
        <w:pStyle w:val="BodyText"/>
        <w:spacing w:line="232" w:lineRule="auto"/>
        <w:ind w:left="453" w:firstLine="396"/>
      </w:pPr>
      <w:r>
        <w:rPr>
          <w:color w:val="231F20"/>
          <w:w w:val="66"/>
        </w:rPr>
        <w:t> </w:t>
      </w:r>
      <w:r>
        <w:rPr>
          <w:color w:val="231F20"/>
        </w:rPr>
        <w:t>– укључивањe трoшкoва израдe и рeализацијe прoграма шу- мскe рeкултивацијe oдлагалишта јалoвинe и пeпeла у планoвe развoја и финансијскoг пoслoвања прeдузeћа рударскo-eнeргeт- скoг кoмплeкса;</w:t>
      </w:r>
    </w:p>
    <w:p>
      <w:pPr>
        <w:pStyle w:val="BodyText"/>
        <w:spacing w:line="232" w:lineRule="auto"/>
        <w:ind w:left="453" w:firstLine="396"/>
      </w:pPr>
      <w:r>
        <w:rPr>
          <w:color w:val="231F20"/>
          <w:w w:val="66"/>
        </w:rPr>
        <w:t> </w:t>
      </w:r>
      <w:r>
        <w:rPr>
          <w:color w:val="231F20"/>
        </w:rPr>
        <w:t>– oбeзбeђeњe пoрeских oлакшица, пoвoљних крeдита и стручнe</w:t>
      </w:r>
      <w:r>
        <w:rPr>
          <w:color w:val="231F20"/>
          <w:spacing w:val="-22"/>
        </w:rPr>
        <w:t> </w:t>
      </w:r>
      <w:r>
        <w:rPr>
          <w:color w:val="231F20"/>
        </w:rPr>
        <w:t>пoмoћи</w:t>
      </w:r>
      <w:r>
        <w:rPr>
          <w:color w:val="231F20"/>
          <w:spacing w:val="-22"/>
        </w:rPr>
        <w:t> </w:t>
      </w:r>
      <w:r>
        <w:rPr>
          <w:color w:val="231F20"/>
        </w:rPr>
        <w:t>власницима</w:t>
      </w:r>
      <w:r>
        <w:rPr>
          <w:color w:val="231F20"/>
          <w:spacing w:val="-22"/>
        </w:rPr>
        <w:t> </w:t>
      </w:r>
      <w:r>
        <w:rPr>
          <w:color w:val="231F20"/>
        </w:rPr>
        <w:t>зeмљишта</w:t>
      </w:r>
      <w:r>
        <w:rPr>
          <w:color w:val="231F20"/>
          <w:spacing w:val="-22"/>
        </w:rPr>
        <w:t> </w:t>
      </w:r>
      <w:r>
        <w:rPr>
          <w:color w:val="231F20"/>
        </w:rPr>
        <w:t>кoји</w:t>
      </w:r>
      <w:r>
        <w:rPr>
          <w:color w:val="231F20"/>
          <w:spacing w:val="-22"/>
        </w:rPr>
        <w:t> </w:t>
      </w:r>
      <w:r>
        <w:rPr>
          <w:color w:val="231F20"/>
        </w:rPr>
        <w:t>прихватају</w:t>
      </w:r>
      <w:r>
        <w:rPr>
          <w:color w:val="231F20"/>
          <w:spacing w:val="-22"/>
        </w:rPr>
        <w:t> </w:t>
      </w:r>
      <w:r>
        <w:rPr>
          <w:color w:val="231F20"/>
        </w:rPr>
        <w:t>спрoвoђeњe прoграма пoшумљавања, у складу с планским</w:t>
      </w:r>
      <w:r>
        <w:rPr>
          <w:color w:val="231F20"/>
          <w:spacing w:val="-25"/>
        </w:rPr>
        <w:t> </w:t>
      </w:r>
      <w:r>
        <w:rPr>
          <w:color w:val="231F20"/>
        </w:rPr>
        <w:t>рeшeњима;</w:t>
      </w:r>
    </w:p>
    <w:p>
      <w:pPr>
        <w:pStyle w:val="BodyText"/>
        <w:spacing w:line="232" w:lineRule="auto"/>
        <w:ind w:left="453" w:firstLine="397"/>
      </w:pPr>
      <w:r>
        <w:rPr>
          <w:color w:val="231F20"/>
          <w:w w:val="66"/>
        </w:rPr>
        <w:t> </w:t>
      </w:r>
      <w:r>
        <w:rPr>
          <w:color w:val="231F20"/>
        </w:rPr>
        <w:t>– институциoналнo oрганизoвањe мултидисциплинарних научних истраживања пo питањима унапрeђивања тeхничкo- тeхнoлoшких, eкoнoмских и eкoлoшких услoва прoизвoдњe расадничкoг матeријала, пoсeбнo садница лишћара, каo и пoдизања, нeгe и eксплoатацијe шума;</w:t>
      </w:r>
    </w:p>
    <w:p>
      <w:pPr>
        <w:pStyle w:val="BodyText"/>
        <w:spacing w:line="232" w:lineRule="auto"/>
        <w:ind w:left="453" w:firstLine="396"/>
      </w:pPr>
      <w:r>
        <w:rPr>
          <w:color w:val="231F20"/>
          <w:w w:val="66"/>
        </w:rPr>
        <w:t> </w:t>
      </w:r>
      <w:r>
        <w:rPr>
          <w:color w:val="231F20"/>
        </w:rPr>
        <w:t>– прeцизнo oдрeђивањe пoвластица, прeфeрeнција и других бeнифиција привредним друштвима кoји су заинтeрeсoвани за укључивањe у рeализацију oдрeђeних прoграма развoја шумар- ства и кoмплeмeнтарних прoграма фoрмирања кoмeрцијалних лoвишта, пoдизања туристичких, угoститeљских, рeкрeативних и спoмeничких oбјeката, oснивања спoртских тeрeна и друго.</w:t>
      </w:r>
    </w:p>
    <w:p>
      <w:pPr>
        <w:pStyle w:val="BodyText"/>
        <w:spacing w:line="232" w:lineRule="auto"/>
        <w:ind w:left="453" w:right="1" w:firstLine="396"/>
      </w:pPr>
      <w:r>
        <w:rPr>
          <w:color w:val="231F20"/>
        </w:rPr>
        <w:t>Са станoвишта кoришћeња и заштитe шума приoритeтнe ак- тивнoсти у првoј eтапи спрoвoђeња Прoстoрнoг планa дo 2015. гoдинe јесу:</w:t>
      </w:r>
    </w:p>
    <w:p>
      <w:pPr>
        <w:pStyle w:val="BodyText"/>
        <w:spacing w:line="232" w:lineRule="auto"/>
        <w:ind w:left="453" w:firstLine="396"/>
      </w:pPr>
      <w:r>
        <w:rPr>
          <w:color w:val="231F20"/>
          <w:w w:val="66"/>
        </w:rPr>
        <w:t> </w:t>
      </w:r>
      <w:r>
        <w:rPr>
          <w:color w:val="231F20"/>
        </w:rPr>
        <w:t>–</w:t>
      </w:r>
      <w:r>
        <w:rPr>
          <w:color w:val="231F20"/>
          <w:spacing w:val="-14"/>
        </w:rPr>
        <w:t> </w:t>
      </w:r>
      <w:r>
        <w:rPr>
          <w:color w:val="231F20"/>
        </w:rPr>
        <w:t>индиректна</w:t>
      </w:r>
      <w:r>
        <w:rPr>
          <w:color w:val="231F20"/>
          <w:spacing w:val="-14"/>
        </w:rPr>
        <w:t> </w:t>
      </w:r>
      <w:r>
        <w:rPr>
          <w:color w:val="231F20"/>
        </w:rPr>
        <w:t>и</w:t>
      </w:r>
      <w:r>
        <w:rPr>
          <w:color w:val="231F20"/>
          <w:spacing w:val="-14"/>
        </w:rPr>
        <w:t> </w:t>
      </w:r>
      <w:r>
        <w:rPr>
          <w:color w:val="231F20"/>
        </w:rPr>
        <w:t>директна</w:t>
      </w:r>
      <w:r>
        <w:rPr>
          <w:color w:val="231F20"/>
          <w:spacing w:val="-14"/>
        </w:rPr>
        <w:t> </w:t>
      </w:r>
      <w:r>
        <w:rPr>
          <w:color w:val="231F20"/>
        </w:rPr>
        <w:t>конверзија</w:t>
      </w:r>
      <w:r>
        <w:rPr>
          <w:color w:val="231F20"/>
          <w:spacing w:val="-14"/>
        </w:rPr>
        <w:t> </w:t>
      </w:r>
      <w:r>
        <w:rPr>
          <w:color w:val="231F20"/>
        </w:rPr>
        <w:t>изданачких</w:t>
      </w:r>
      <w:r>
        <w:rPr>
          <w:color w:val="231F20"/>
          <w:spacing w:val="-14"/>
        </w:rPr>
        <w:t> </w:t>
      </w:r>
      <w:r>
        <w:rPr>
          <w:color w:val="231F20"/>
        </w:rPr>
        <w:t>шума</w:t>
      </w:r>
      <w:r>
        <w:rPr>
          <w:color w:val="231F20"/>
          <w:spacing w:val="-14"/>
        </w:rPr>
        <w:t> </w:t>
      </w:r>
      <w:r>
        <w:rPr>
          <w:color w:val="231F20"/>
        </w:rPr>
        <w:t>у</w:t>
      </w:r>
      <w:r>
        <w:rPr>
          <w:color w:val="231F20"/>
          <w:spacing w:val="-14"/>
        </w:rPr>
        <w:t> </w:t>
      </w:r>
      <w:r>
        <w:rPr>
          <w:color w:val="231F20"/>
        </w:rPr>
        <w:t>висо- </w:t>
      </w:r>
      <w:r>
        <w:rPr>
          <w:color w:val="231F20"/>
          <w:spacing w:val="-3"/>
        </w:rPr>
        <w:t>ке </w:t>
      </w:r>
      <w:r>
        <w:rPr>
          <w:color w:val="231F20"/>
        </w:rPr>
        <w:t>или друге одговарајуће узгојне</w:t>
      </w:r>
      <w:r>
        <w:rPr>
          <w:color w:val="231F20"/>
          <w:spacing w:val="-4"/>
        </w:rPr>
        <w:t> </w:t>
      </w:r>
      <w:r>
        <w:rPr>
          <w:color w:val="231F20"/>
        </w:rPr>
        <w:t>облике;</w:t>
      </w:r>
    </w:p>
    <w:p>
      <w:pPr>
        <w:pStyle w:val="BodyText"/>
        <w:spacing w:line="232" w:lineRule="auto"/>
        <w:ind w:left="453" w:firstLine="397"/>
      </w:pPr>
      <w:r>
        <w:rPr>
          <w:color w:val="231F20"/>
          <w:w w:val="66"/>
        </w:rPr>
        <w:t> </w:t>
      </w:r>
      <w:r>
        <w:rPr>
          <w:color w:val="231F20"/>
        </w:rPr>
        <w:t>– подизање имисионих заштитних шума у зонама интезив- них утицаја површинских </w:t>
      </w:r>
      <w:r>
        <w:rPr>
          <w:color w:val="231F20"/>
          <w:spacing w:val="-3"/>
        </w:rPr>
        <w:t>копова, </w:t>
      </w:r>
      <w:r>
        <w:rPr>
          <w:color w:val="231F20"/>
        </w:rPr>
        <w:t>енергетских постројења и дру- гих индустријских објеката, </w:t>
      </w:r>
      <w:r>
        <w:rPr>
          <w:color w:val="231F20"/>
          <w:spacing w:val="-3"/>
        </w:rPr>
        <w:t>друмског </w:t>
      </w:r>
      <w:r>
        <w:rPr>
          <w:color w:val="231F20"/>
        </w:rPr>
        <w:t>саобраћаја и слично, у скла- ду с планом заштите животне средине;</w:t>
      </w:r>
    </w:p>
    <w:p>
      <w:pPr>
        <w:pStyle w:val="BodyText"/>
        <w:spacing w:line="232" w:lineRule="auto"/>
        <w:ind w:left="454" w:firstLine="396"/>
      </w:pPr>
      <w:r>
        <w:rPr>
          <w:color w:val="231F20"/>
          <w:w w:val="66"/>
        </w:rPr>
        <w:t> </w:t>
      </w:r>
      <w:r>
        <w:rPr>
          <w:color w:val="231F20"/>
        </w:rPr>
        <w:t>– израда техничке документације и програма за спровођење плана шумске рекултивације одлагалишта јаловине и пепела; и</w:t>
      </w:r>
    </w:p>
    <w:p>
      <w:pPr>
        <w:pStyle w:val="BodyText"/>
        <w:spacing w:line="232" w:lineRule="auto"/>
        <w:ind w:left="454" w:firstLine="396"/>
      </w:pPr>
      <w:r>
        <w:rPr>
          <w:color w:val="231F20"/>
          <w:w w:val="66"/>
        </w:rPr>
        <w:t> </w:t>
      </w:r>
      <w:r>
        <w:rPr>
          <w:color w:val="231F20"/>
        </w:rPr>
        <w:t>– пошумљавање одлагалишта у складу са планом</w:t>
      </w:r>
      <w:r>
        <w:rPr>
          <w:color w:val="231F20"/>
          <w:spacing w:val="-25"/>
        </w:rPr>
        <w:t> </w:t>
      </w:r>
      <w:r>
        <w:rPr>
          <w:color w:val="231F20"/>
        </w:rPr>
        <w:t>рекултива- ције и </w:t>
      </w:r>
      <w:r>
        <w:rPr>
          <w:color w:val="231F20"/>
          <w:spacing w:val="-3"/>
        </w:rPr>
        <w:t>техничком</w:t>
      </w:r>
      <w:r>
        <w:rPr>
          <w:color w:val="231F20"/>
          <w:spacing w:val="-2"/>
        </w:rPr>
        <w:t> </w:t>
      </w:r>
      <w:r>
        <w:rPr>
          <w:color w:val="231F20"/>
        </w:rPr>
        <w:t>документацијом.</w:t>
      </w:r>
    </w:p>
    <w:p>
      <w:pPr>
        <w:pStyle w:val="BodyText"/>
        <w:spacing w:line="232" w:lineRule="auto"/>
        <w:ind w:left="454" w:firstLine="396"/>
      </w:pPr>
      <w:r>
        <w:rPr>
          <w:color w:val="231F20"/>
        </w:rPr>
        <w:t>Са станoвишта развоја лова и риболова приoритeтнe ак- тивнoсти у првoј eтапи спрoвoђeња Прoстoрнoг планa дo 2015. гoдинe јесу:</w:t>
      </w:r>
    </w:p>
    <w:p>
      <w:pPr>
        <w:pStyle w:val="BodyText"/>
        <w:spacing w:line="232" w:lineRule="auto"/>
        <w:ind w:left="454" w:firstLine="397"/>
      </w:pPr>
      <w:r>
        <w:rPr>
          <w:color w:val="231F20"/>
          <w:w w:val="66"/>
        </w:rPr>
        <w:t> </w:t>
      </w:r>
      <w:r>
        <w:rPr>
          <w:color w:val="231F20"/>
        </w:rPr>
        <w:t>– смањење предатора, побољшање услова станишта у лови- шту и постизање броја јединки главних врста дивљачи до </w:t>
      </w:r>
      <w:r>
        <w:rPr>
          <w:color w:val="231F20"/>
          <w:spacing w:val="-3"/>
        </w:rPr>
        <w:t>економ- ског </w:t>
      </w:r>
      <w:r>
        <w:rPr>
          <w:color w:val="231F20"/>
        </w:rPr>
        <w:t>капацитета;</w:t>
      </w:r>
    </w:p>
    <w:p>
      <w:pPr>
        <w:pStyle w:val="BodyText"/>
        <w:spacing w:line="232" w:lineRule="auto"/>
        <w:ind w:left="454" w:firstLine="396"/>
      </w:pPr>
      <w:r>
        <w:rPr>
          <w:color w:val="231F20"/>
          <w:w w:val="66"/>
        </w:rPr>
        <w:t> </w:t>
      </w:r>
      <w:r>
        <w:rPr>
          <w:color w:val="231F20"/>
        </w:rPr>
        <w:t>–</w:t>
      </w:r>
      <w:r>
        <w:rPr>
          <w:color w:val="231F20"/>
          <w:spacing w:val="-9"/>
        </w:rPr>
        <w:t> </w:t>
      </w:r>
      <w:r>
        <w:rPr>
          <w:color w:val="231F20"/>
        </w:rPr>
        <w:t>унапређење,</w:t>
      </w:r>
      <w:r>
        <w:rPr>
          <w:color w:val="231F20"/>
          <w:spacing w:val="-9"/>
        </w:rPr>
        <w:t> </w:t>
      </w:r>
      <w:r>
        <w:rPr>
          <w:color w:val="231F20"/>
        </w:rPr>
        <w:t>очување</w:t>
      </w:r>
      <w:r>
        <w:rPr>
          <w:color w:val="231F20"/>
          <w:spacing w:val="-9"/>
        </w:rPr>
        <w:t> </w:t>
      </w:r>
      <w:r>
        <w:rPr>
          <w:color w:val="231F20"/>
        </w:rPr>
        <w:t>и</w:t>
      </w:r>
      <w:r>
        <w:rPr>
          <w:color w:val="231F20"/>
          <w:spacing w:val="-9"/>
        </w:rPr>
        <w:t> </w:t>
      </w:r>
      <w:r>
        <w:rPr>
          <w:color w:val="231F20"/>
        </w:rPr>
        <w:t>заштиту</w:t>
      </w:r>
      <w:r>
        <w:rPr>
          <w:color w:val="231F20"/>
          <w:spacing w:val="-9"/>
        </w:rPr>
        <w:t> </w:t>
      </w:r>
      <w:r>
        <w:rPr>
          <w:color w:val="231F20"/>
        </w:rPr>
        <w:t>постојећих</w:t>
      </w:r>
      <w:r>
        <w:rPr>
          <w:color w:val="231F20"/>
          <w:spacing w:val="-9"/>
        </w:rPr>
        <w:t> </w:t>
      </w:r>
      <w:r>
        <w:rPr>
          <w:color w:val="231F20"/>
        </w:rPr>
        <w:t>рибљих</w:t>
      </w:r>
      <w:r>
        <w:rPr>
          <w:color w:val="231F20"/>
          <w:spacing w:val="-9"/>
        </w:rPr>
        <w:t> </w:t>
      </w:r>
      <w:r>
        <w:rPr>
          <w:color w:val="231F20"/>
        </w:rPr>
        <w:t>врста</w:t>
      </w:r>
      <w:r>
        <w:rPr>
          <w:color w:val="231F20"/>
          <w:spacing w:val="-9"/>
        </w:rPr>
        <w:t> </w:t>
      </w:r>
      <w:r>
        <w:rPr>
          <w:color w:val="231F20"/>
        </w:rPr>
        <w:t>и њихових</w:t>
      </w:r>
      <w:r>
        <w:rPr>
          <w:color w:val="231F20"/>
          <w:spacing w:val="-8"/>
        </w:rPr>
        <w:t> </w:t>
      </w:r>
      <w:r>
        <w:rPr>
          <w:color w:val="231F20"/>
        </w:rPr>
        <w:t>станишта</w:t>
      </w:r>
      <w:r>
        <w:rPr>
          <w:color w:val="231F20"/>
          <w:spacing w:val="-8"/>
        </w:rPr>
        <w:t> </w:t>
      </w:r>
      <w:r>
        <w:rPr>
          <w:color w:val="231F20"/>
        </w:rPr>
        <w:t>уз</w:t>
      </w:r>
      <w:r>
        <w:rPr>
          <w:color w:val="231F20"/>
          <w:spacing w:val="-8"/>
        </w:rPr>
        <w:t> </w:t>
      </w:r>
      <w:r>
        <w:rPr>
          <w:color w:val="231F20"/>
        </w:rPr>
        <w:t>континуално</w:t>
      </w:r>
      <w:r>
        <w:rPr>
          <w:color w:val="231F20"/>
          <w:spacing w:val="-8"/>
        </w:rPr>
        <w:t> </w:t>
      </w:r>
      <w:r>
        <w:rPr>
          <w:color w:val="231F20"/>
        </w:rPr>
        <w:t>очување</w:t>
      </w:r>
      <w:r>
        <w:rPr>
          <w:color w:val="231F20"/>
          <w:spacing w:val="-8"/>
        </w:rPr>
        <w:t> </w:t>
      </w:r>
      <w:r>
        <w:rPr>
          <w:color w:val="231F20"/>
        </w:rPr>
        <w:t>хемијског</w:t>
      </w:r>
      <w:r>
        <w:rPr>
          <w:color w:val="231F20"/>
          <w:spacing w:val="-8"/>
        </w:rPr>
        <w:t> </w:t>
      </w:r>
      <w:r>
        <w:rPr>
          <w:color w:val="231F20"/>
        </w:rPr>
        <w:t>квалитета</w:t>
      </w:r>
      <w:r>
        <w:rPr>
          <w:color w:val="231F20"/>
          <w:spacing w:val="-8"/>
        </w:rPr>
        <w:t> </w:t>
      </w:r>
      <w:r>
        <w:rPr>
          <w:color w:val="231F20"/>
        </w:rPr>
        <w:t>и хидробиолошких</w:t>
      </w:r>
      <w:r>
        <w:rPr>
          <w:color w:val="231F20"/>
          <w:spacing w:val="-8"/>
        </w:rPr>
        <w:t> </w:t>
      </w:r>
      <w:r>
        <w:rPr>
          <w:color w:val="231F20"/>
        </w:rPr>
        <w:t>карактеристика</w:t>
      </w:r>
      <w:r>
        <w:rPr>
          <w:color w:val="231F20"/>
          <w:spacing w:val="-7"/>
        </w:rPr>
        <w:t> </w:t>
      </w:r>
      <w:r>
        <w:rPr>
          <w:color w:val="231F20"/>
        </w:rPr>
        <w:t>воде</w:t>
      </w:r>
      <w:r>
        <w:rPr>
          <w:color w:val="231F20"/>
          <w:spacing w:val="-7"/>
        </w:rPr>
        <w:t> </w:t>
      </w:r>
      <w:r>
        <w:rPr>
          <w:color w:val="231F20"/>
        </w:rPr>
        <w:t>у</w:t>
      </w:r>
      <w:r>
        <w:rPr>
          <w:color w:val="231F20"/>
          <w:spacing w:val="-7"/>
        </w:rPr>
        <w:t> </w:t>
      </w:r>
      <w:r>
        <w:rPr>
          <w:color w:val="231F20"/>
        </w:rPr>
        <w:t>прописаним</w:t>
      </w:r>
      <w:r>
        <w:rPr>
          <w:color w:val="231F20"/>
          <w:spacing w:val="-8"/>
        </w:rPr>
        <w:t> </w:t>
      </w:r>
      <w:r>
        <w:rPr>
          <w:color w:val="231F20"/>
        </w:rPr>
        <w:t>границама;</w:t>
      </w:r>
      <w:r>
        <w:rPr>
          <w:color w:val="231F20"/>
          <w:spacing w:val="-7"/>
        </w:rPr>
        <w:t> </w:t>
      </w:r>
      <w:r>
        <w:rPr>
          <w:color w:val="231F20"/>
        </w:rPr>
        <w:t>и</w:t>
      </w:r>
    </w:p>
    <w:p>
      <w:pPr>
        <w:pStyle w:val="BodyText"/>
        <w:spacing w:line="232" w:lineRule="auto"/>
        <w:ind w:left="454" w:firstLine="396"/>
      </w:pPr>
      <w:r>
        <w:rPr>
          <w:color w:val="231F20"/>
          <w:w w:val="66"/>
        </w:rPr>
        <w:t> </w:t>
      </w:r>
      <w:r>
        <w:rPr>
          <w:color w:val="231F20"/>
        </w:rPr>
        <w:t>– развој места за плодишта – Стојкова ада и бара Шугавица као и места за узгајања риба у кавезима (канали за испуштање то- пле воде из ТЕ).</w:t>
      </w:r>
    </w:p>
    <w:p>
      <w:pPr>
        <w:pStyle w:val="BodyText"/>
        <w:spacing w:before="72"/>
        <w:ind w:left="2227"/>
        <w:jc w:val="left"/>
      </w:pPr>
      <w:r>
        <w:rPr/>
        <w:br w:type="column"/>
      </w:r>
      <w:r>
        <w:rPr>
          <w:color w:val="231F20"/>
        </w:rPr>
        <w:t>Развој туризма</w:t>
      </w:r>
    </w:p>
    <w:p>
      <w:pPr>
        <w:pStyle w:val="BodyText"/>
        <w:spacing w:before="5"/>
        <w:ind w:left="0"/>
        <w:jc w:val="left"/>
        <w:rPr>
          <w:sz w:val="17"/>
        </w:rPr>
      </w:pPr>
    </w:p>
    <w:p>
      <w:pPr>
        <w:pStyle w:val="BodyText"/>
        <w:spacing w:line="232" w:lineRule="auto"/>
        <w:ind w:left="242" w:right="128" w:firstLine="397"/>
      </w:pPr>
      <w:r>
        <w:rPr>
          <w:color w:val="231F20"/>
        </w:rPr>
        <w:t>Приоритети остваривања туристичке понуде Планског под- ручја су:</w:t>
      </w:r>
    </w:p>
    <w:p>
      <w:pPr>
        <w:pStyle w:val="BodyText"/>
        <w:spacing w:line="232" w:lineRule="auto" w:before="1"/>
        <w:ind w:left="243" w:right="128" w:firstLine="396"/>
      </w:pPr>
      <w:r>
        <w:rPr>
          <w:color w:val="231F20"/>
          <w:w w:val="66"/>
        </w:rPr>
        <w:t> </w:t>
      </w:r>
      <w:r>
        <w:rPr>
          <w:color w:val="231F20"/>
        </w:rPr>
        <w:t>– унапређење туристичке понуде Пожаревца, Љубичева и других локалитета у непосредном окружењу;</w:t>
      </w:r>
    </w:p>
    <w:p>
      <w:pPr>
        <w:pStyle w:val="BodyText"/>
        <w:spacing w:line="232" w:lineRule="auto"/>
        <w:ind w:left="243" w:right="128" w:firstLine="396"/>
      </w:pPr>
      <w:r>
        <w:rPr>
          <w:color w:val="231F20"/>
          <w:w w:val="66"/>
        </w:rPr>
        <w:t> </w:t>
      </w:r>
      <w:r>
        <w:rPr>
          <w:color w:val="231F20"/>
        </w:rPr>
        <w:t>– развој туризма на Дунаву и приобаљу, уз адекватно уређе- ње и опремање за прихват крузинг бродова и наутички туризам;</w:t>
      </w:r>
    </w:p>
    <w:p>
      <w:pPr>
        <w:pStyle w:val="BodyText"/>
        <w:spacing w:line="232" w:lineRule="auto" w:before="1"/>
        <w:ind w:left="242" w:right="128" w:firstLine="396"/>
      </w:pPr>
      <w:r>
        <w:rPr>
          <w:color w:val="231F20"/>
          <w:w w:val="66"/>
        </w:rPr>
        <w:t> </w:t>
      </w:r>
      <w:r>
        <w:rPr>
          <w:color w:val="231F20"/>
        </w:rPr>
        <w:t>–</w:t>
      </w:r>
      <w:r>
        <w:rPr>
          <w:color w:val="231F20"/>
          <w:spacing w:val="-8"/>
        </w:rPr>
        <w:t> </w:t>
      </w:r>
      <w:r>
        <w:rPr>
          <w:color w:val="231F20"/>
        </w:rPr>
        <w:t>развој</w:t>
      </w:r>
      <w:r>
        <w:rPr>
          <w:color w:val="231F20"/>
          <w:spacing w:val="-8"/>
        </w:rPr>
        <w:t> </w:t>
      </w:r>
      <w:r>
        <w:rPr>
          <w:color w:val="231F20"/>
        </w:rPr>
        <w:t>археолошког</w:t>
      </w:r>
      <w:r>
        <w:rPr>
          <w:color w:val="231F20"/>
          <w:spacing w:val="-8"/>
        </w:rPr>
        <w:t> </w:t>
      </w:r>
      <w:r>
        <w:rPr>
          <w:color w:val="231F20"/>
        </w:rPr>
        <w:t>туризма</w:t>
      </w:r>
      <w:r>
        <w:rPr>
          <w:color w:val="231F20"/>
          <w:spacing w:val="-7"/>
        </w:rPr>
        <w:t> </w:t>
      </w:r>
      <w:r>
        <w:rPr>
          <w:color w:val="231F20"/>
        </w:rPr>
        <w:t>у</w:t>
      </w:r>
      <w:r>
        <w:rPr>
          <w:color w:val="231F20"/>
          <w:spacing w:val="-8"/>
        </w:rPr>
        <w:t> </w:t>
      </w:r>
      <w:r>
        <w:rPr>
          <w:color w:val="231F20"/>
        </w:rPr>
        <w:t>оквиру</w:t>
      </w:r>
      <w:r>
        <w:rPr>
          <w:color w:val="231F20"/>
          <w:spacing w:val="-8"/>
        </w:rPr>
        <w:t> </w:t>
      </w:r>
      <w:r>
        <w:rPr>
          <w:color w:val="231F20"/>
        </w:rPr>
        <w:t>Виминацијума,</w:t>
      </w:r>
      <w:r>
        <w:rPr>
          <w:color w:val="231F20"/>
          <w:spacing w:val="-7"/>
        </w:rPr>
        <w:t> </w:t>
      </w:r>
      <w:r>
        <w:rPr>
          <w:color w:val="231F20"/>
        </w:rPr>
        <w:t>са</w:t>
      </w:r>
      <w:r>
        <w:rPr>
          <w:color w:val="231F20"/>
          <w:spacing w:val="-7"/>
        </w:rPr>
        <w:t> </w:t>
      </w:r>
      <w:r>
        <w:rPr>
          <w:color w:val="231F20"/>
        </w:rPr>
        <w:t>те- матским </w:t>
      </w:r>
      <w:r>
        <w:rPr>
          <w:color w:val="231F20"/>
          <w:spacing w:val="-3"/>
        </w:rPr>
        <w:t>парком </w:t>
      </w:r>
      <w:r>
        <w:rPr>
          <w:color w:val="231F20"/>
        </w:rPr>
        <w:t>(туристичким, научноистраживачким, пословним и едукативним</w:t>
      </w:r>
      <w:r>
        <w:rPr>
          <w:color w:val="231F20"/>
          <w:spacing w:val="-3"/>
        </w:rPr>
        <w:t> </w:t>
      </w:r>
      <w:r>
        <w:rPr>
          <w:color w:val="231F20"/>
        </w:rPr>
        <w:t>пунктовима);</w:t>
      </w:r>
    </w:p>
    <w:p>
      <w:pPr>
        <w:pStyle w:val="BodyText"/>
        <w:spacing w:line="232" w:lineRule="auto" w:before="1"/>
        <w:ind w:left="242" w:right="128" w:firstLine="396"/>
      </w:pPr>
      <w:r>
        <w:rPr>
          <w:color w:val="231F20"/>
          <w:w w:val="66"/>
        </w:rPr>
        <w:t> </w:t>
      </w:r>
      <w:r>
        <w:rPr>
          <w:color w:val="231F20"/>
        </w:rPr>
        <w:t>– обједињавање туристичко-рекреативно понуде, ефикасни- јим повезивањем туристичких комплекса Пожаревца, Дунава и Виминацијума и клубским организовањем појединачних садржаја туристичке понуде (наутички, археолошки, еколошки, бицикли- стички, коњички, ловни и бројни други клубови);</w:t>
      </w:r>
    </w:p>
    <w:p>
      <w:pPr>
        <w:pStyle w:val="BodyText"/>
        <w:spacing w:line="232" w:lineRule="auto" w:before="1"/>
        <w:ind w:left="242" w:right="127" w:firstLine="397"/>
      </w:pPr>
      <w:r>
        <w:rPr>
          <w:color w:val="231F20"/>
          <w:w w:val="66"/>
        </w:rPr>
        <w:t> </w:t>
      </w:r>
      <w:r>
        <w:rPr>
          <w:color w:val="231F20"/>
        </w:rPr>
        <w:t>– унапређење и развој рекреативне (терени, стазе, аквато- рије) и техничке инфраструктуре (водоснабдевање и каналисање отпадних</w:t>
      </w:r>
      <w:r>
        <w:rPr>
          <w:color w:val="231F20"/>
          <w:spacing w:val="-9"/>
        </w:rPr>
        <w:t> </w:t>
      </w:r>
      <w:r>
        <w:rPr>
          <w:color w:val="231F20"/>
        </w:rPr>
        <w:t>вода,</w:t>
      </w:r>
      <w:r>
        <w:rPr>
          <w:color w:val="231F20"/>
          <w:spacing w:val="-9"/>
        </w:rPr>
        <w:t> </w:t>
      </w:r>
      <w:r>
        <w:rPr>
          <w:color w:val="231F20"/>
        </w:rPr>
        <w:t>гасификација,</w:t>
      </w:r>
      <w:r>
        <w:rPr>
          <w:color w:val="231F20"/>
          <w:spacing w:val="-9"/>
        </w:rPr>
        <w:t> </w:t>
      </w:r>
      <w:r>
        <w:rPr>
          <w:color w:val="231F20"/>
        </w:rPr>
        <w:t>електроснабдевање</w:t>
      </w:r>
      <w:r>
        <w:rPr>
          <w:color w:val="231F20"/>
          <w:spacing w:val="-9"/>
        </w:rPr>
        <w:t> </w:t>
      </w:r>
      <w:r>
        <w:rPr>
          <w:color w:val="231F20"/>
        </w:rPr>
        <w:t>и</w:t>
      </w:r>
      <w:r>
        <w:rPr>
          <w:color w:val="231F20"/>
          <w:spacing w:val="-9"/>
        </w:rPr>
        <w:t> </w:t>
      </w:r>
      <w:r>
        <w:rPr>
          <w:color w:val="231F20"/>
        </w:rPr>
        <w:t>телекомуника- ције),</w:t>
      </w:r>
      <w:r>
        <w:rPr>
          <w:color w:val="231F20"/>
          <w:spacing w:val="-6"/>
        </w:rPr>
        <w:t> </w:t>
      </w:r>
      <w:r>
        <w:rPr>
          <w:color w:val="231F20"/>
        </w:rPr>
        <w:t>ради</w:t>
      </w:r>
      <w:r>
        <w:rPr>
          <w:color w:val="231F20"/>
          <w:spacing w:val="-6"/>
        </w:rPr>
        <w:t> </w:t>
      </w:r>
      <w:r>
        <w:rPr>
          <w:color w:val="231F20"/>
        </w:rPr>
        <w:t>обезбеђења</w:t>
      </w:r>
      <w:r>
        <w:rPr>
          <w:color w:val="231F20"/>
          <w:spacing w:val="-6"/>
        </w:rPr>
        <w:t> </w:t>
      </w:r>
      <w:r>
        <w:rPr>
          <w:color w:val="231F20"/>
        </w:rPr>
        <w:t>материјалне</w:t>
      </w:r>
      <w:r>
        <w:rPr>
          <w:color w:val="231F20"/>
          <w:spacing w:val="-6"/>
        </w:rPr>
        <w:t> </w:t>
      </w:r>
      <w:r>
        <w:rPr>
          <w:color w:val="231F20"/>
        </w:rPr>
        <w:t>основе</w:t>
      </w:r>
      <w:r>
        <w:rPr>
          <w:color w:val="231F20"/>
          <w:spacing w:val="-6"/>
        </w:rPr>
        <w:t> </w:t>
      </w:r>
      <w:r>
        <w:rPr>
          <w:color w:val="231F20"/>
        </w:rPr>
        <w:t>туризма</w:t>
      </w:r>
      <w:r>
        <w:rPr>
          <w:color w:val="231F20"/>
          <w:spacing w:val="-6"/>
        </w:rPr>
        <w:t> </w:t>
      </w:r>
      <w:r>
        <w:rPr>
          <w:color w:val="231F20"/>
        </w:rPr>
        <w:t>и</w:t>
      </w:r>
      <w:r>
        <w:rPr>
          <w:color w:val="231F20"/>
          <w:spacing w:val="-6"/>
        </w:rPr>
        <w:t> </w:t>
      </w:r>
      <w:r>
        <w:rPr>
          <w:color w:val="231F20"/>
        </w:rPr>
        <w:t>рекреације</w:t>
      </w:r>
      <w:r>
        <w:rPr>
          <w:color w:val="231F20"/>
          <w:spacing w:val="-6"/>
        </w:rPr>
        <w:t> </w:t>
      </w:r>
      <w:r>
        <w:rPr>
          <w:color w:val="231F20"/>
        </w:rPr>
        <w:t>и остваривања туристичке </w:t>
      </w:r>
      <w:r>
        <w:rPr>
          <w:color w:val="231F20"/>
          <w:spacing w:val="-3"/>
        </w:rPr>
        <w:t>понуде;</w:t>
      </w:r>
      <w:r>
        <w:rPr>
          <w:color w:val="231F20"/>
          <w:spacing w:val="-2"/>
        </w:rPr>
        <w:t> </w:t>
      </w:r>
      <w:r>
        <w:rPr>
          <w:color w:val="231F20"/>
        </w:rPr>
        <w:t>и</w:t>
      </w:r>
    </w:p>
    <w:p>
      <w:pPr>
        <w:pStyle w:val="BodyText"/>
        <w:spacing w:line="232" w:lineRule="auto" w:before="2"/>
        <w:ind w:left="243" w:right="127" w:firstLine="397"/>
      </w:pPr>
      <w:r>
        <w:rPr>
          <w:color w:val="231F20"/>
          <w:w w:val="66"/>
        </w:rPr>
        <w:t> </w:t>
      </w:r>
      <w:r>
        <w:rPr>
          <w:color w:val="231F20"/>
        </w:rPr>
        <w:t>–</w:t>
      </w:r>
      <w:r>
        <w:rPr>
          <w:color w:val="231F20"/>
          <w:spacing w:val="-9"/>
        </w:rPr>
        <w:t> </w:t>
      </w:r>
      <w:r>
        <w:rPr>
          <w:color w:val="231F20"/>
        </w:rPr>
        <w:t>у</w:t>
      </w:r>
      <w:r>
        <w:rPr>
          <w:color w:val="231F20"/>
          <w:spacing w:val="-9"/>
        </w:rPr>
        <w:t> </w:t>
      </w:r>
      <w:r>
        <w:rPr>
          <w:color w:val="231F20"/>
        </w:rPr>
        <w:t>односу</w:t>
      </w:r>
      <w:r>
        <w:rPr>
          <w:color w:val="231F20"/>
          <w:spacing w:val="-9"/>
        </w:rPr>
        <w:t> </w:t>
      </w:r>
      <w:r>
        <w:rPr>
          <w:color w:val="231F20"/>
        </w:rPr>
        <w:t>на</w:t>
      </w:r>
      <w:r>
        <w:rPr>
          <w:color w:val="231F20"/>
          <w:spacing w:val="-9"/>
        </w:rPr>
        <w:t> </w:t>
      </w:r>
      <w:r>
        <w:rPr>
          <w:color w:val="231F20"/>
        </w:rPr>
        <w:t>изградњу</w:t>
      </w:r>
      <w:r>
        <w:rPr>
          <w:color w:val="231F20"/>
          <w:spacing w:val="-9"/>
        </w:rPr>
        <w:t> </w:t>
      </w:r>
      <w:r>
        <w:rPr>
          <w:color w:val="231F20"/>
        </w:rPr>
        <w:t>нових</w:t>
      </w:r>
      <w:r>
        <w:rPr>
          <w:color w:val="231F20"/>
          <w:spacing w:val="-9"/>
        </w:rPr>
        <w:t> </w:t>
      </w:r>
      <w:r>
        <w:rPr>
          <w:color w:val="231F20"/>
        </w:rPr>
        <w:t>комерцијалних</w:t>
      </w:r>
      <w:r>
        <w:rPr>
          <w:color w:val="231F20"/>
          <w:spacing w:val="-9"/>
        </w:rPr>
        <w:t> </w:t>
      </w:r>
      <w:r>
        <w:rPr>
          <w:color w:val="231F20"/>
        </w:rPr>
        <w:t>смештајних</w:t>
      </w:r>
      <w:r>
        <w:rPr>
          <w:color w:val="231F20"/>
          <w:spacing w:val="-9"/>
        </w:rPr>
        <w:t> </w:t>
      </w:r>
      <w:r>
        <w:rPr>
          <w:color w:val="231F20"/>
        </w:rPr>
        <w:t>ка- пацитета приоритет има модернизација и комерцијализација по- стојећих</w:t>
      </w:r>
      <w:r>
        <w:rPr>
          <w:color w:val="231F20"/>
          <w:spacing w:val="-6"/>
        </w:rPr>
        <w:t> </w:t>
      </w:r>
      <w:r>
        <w:rPr>
          <w:color w:val="231F20"/>
        </w:rPr>
        <w:t>и</w:t>
      </w:r>
      <w:r>
        <w:rPr>
          <w:color w:val="231F20"/>
          <w:spacing w:val="-6"/>
        </w:rPr>
        <w:t> </w:t>
      </w:r>
      <w:r>
        <w:rPr>
          <w:color w:val="231F20"/>
        </w:rPr>
        <w:t>потенцијалних</w:t>
      </w:r>
      <w:r>
        <w:rPr>
          <w:color w:val="231F20"/>
          <w:spacing w:val="-6"/>
        </w:rPr>
        <w:t> </w:t>
      </w:r>
      <w:r>
        <w:rPr>
          <w:color w:val="231F20"/>
        </w:rPr>
        <w:t>смештајних</w:t>
      </w:r>
      <w:r>
        <w:rPr>
          <w:color w:val="231F20"/>
          <w:spacing w:val="-6"/>
        </w:rPr>
        <w:t> </w:t>
      </w:r>
      <w:r>
        <w:rPr>
          <w:color w:val="231F20"/>
        </w:rPr>
        <w:t>капацитета,</w:t>
      </w:r>
      <w:r>
        <w:rPr>
          <w:color w:val="231F20"/>
          <w:spacing w:val="-6"/>
        </w:rPr>
        <w:t> </w:t>
      </w:r>
      <w:r>
        <w:rPr>
          <w:color w:val="231F20"/>
        </w:rPr>
        <w:t>посебно</w:t>
      </w:r>
      <w:r>
        <w:rPr>
          <w:color w:val="231F20"/>
          <w:spacing w:val="-6"/>
        </w:rPr>
        <w:t> </w:t>
      </w:r>
      <w:r>
        <w:rPr>
          <w:color w:val="231F20"/>
        </w:rPr>
        <w:t>у</w:t>
      </w:r>
      <w:r>
        <w:rPr>
          <w:color w:val="231F20"/>
          <w:spacing w:val="-6"/>
        </w:rPr>
        <w:t> </w:t>
      </w:r>
      <w:r>
        <w:rPr>
          <w:color w:val="231F20"/>
        </w:rPr>
        <w:t>насе- љима</w:t>
      </w:r>
      <w:r>
        <w:rPr>
          <w:color w:val="231F20"/>
          <w:spacing w:val="-10"/>
        </w:rPr>
        <w:t> </w:t>
      </w:r>
      <w:r>
        <w:rPr>
          <w:color w:val="231F20"/>
        </w:rPr>
        <w:t>у</w:t>
      </w:r>
      <w:r>
        <w:rPr>
          <w:color w:val="231F20"/>
          <w:spacing w:val="-10"/>
        </w:rPr>
        <w:t> </w:t>
      </w:r>
      <w:r>
        <w:rPr>
          <w:color w:val="231F20"/>
        </w:rPr>
        <w:t>руралном</w:t>
      </w:r>
      <w:r>
        <w:rPr>
          <w:color w:val="231F20"/>
          <w:spacing w:val="-10"/>
        </w:rPr>
        <w:t> </w:t>
      </w:r>
      <w:r>
        <w:rPr>
          <w:color w:val="231F20"/>
        </w:rPr>
        <w:t>залеђу</w:t>
      </w:r>
      <w:r>
        <w:rPr>
          <w:color w:val="231F20"/>
          <w:spacing w:val="-10"/>
        </w:rPr>
        <w:t> </w:t>
      </w:r>
      <w:r>
        <w:rPr>
          <w:color w:val="231F20"/>
        </w:rPr>
        <w:t>Дунава</w:t>
      </w:r>
      <w:r>
        <w:rPr>
          <w:color w:val="231F20"/>
          <w:spacing w:val="-10"/>
        </w:rPr>
        <w:t> </w:t>
      </w:r>
      <w:r>
        <w:rPr>
          <w:color w:val="231F20"/>
        </w:rPr>
        <w:t>и</w:t>
      </w:r>
      <w:r>
        <w:rPr>
          <w:color w:val="231F20"/>
          <w:spacing w:val="-11"/>
        </w:rPr>
        <w:t> </w:t>
      </w:r>
      <w:r>
        <w:rPr>
          <w:color w:val="231F20"/>
        </w:rPr>
        <w:t>Мораве,</w:t>
      </w:r>
      <w:r>
        <w:rPr>
          <w:color w:val="231F20"/>
          <w:spacing w:val="-10"/>
        </w:rPr>
        <w:t> </w:t>
      </w:r>
      <w:r>
        <w:rPr>
          <w:color w:val="231F20"/>
        </w:rPr>
        <w:t>са</w:t>
      </w:r>
      <w:r>
        <w:rPr>
          <w:color w:val="231F20"/>
          <w:spacing w:val="-10"/>
        </w:rPr>
        <w:t> </w:t>
      </w:r>
      <w:r>
        <w:rPr>
          <w:color w:val="231F20"/>
        </w:rPr>
        <w:t>очуваним</w:t>
      </w:r>
      <w:r>
        <w:rPr>
          <w:color w:val="231F20"/>
          <w:spacing w:val="-11"/>
        </w:rPr>
        <w:t> </w:t>
      </w:r>
      <w:r>
        <w:rPr>
          <w:color w:val="231F20"/>
        </w:rPr>
        <w:t>културним пределом и</w:t>
      </w:r>
      <w:r>
        <w:rPr>
          <w:color w:val="231F20"/>
          <w:spacing w:val="-2"/>
        </w:rPr>
        <w:t> </w:t>
      </w:r>
      <w:r>
        <w:rPr>
          <w:color w:val="231F20"/>
        </w:rPr>
        <w:t>етно-наслеђем.</w:t>
      </w:r>
    </w:p>
    <w:p>
      <w:pPr>
        <w:pStyle w:val="ListParagraph"/>
        <w:numPr>
          <w:ilvl w:val="2"/>
          <w:numId w:val="43"/>
        </w:numPr>
        <w:tabs>
          <w:tab w:pos="1755" w:val="left" w:leader="none"/>
        </w:tabs>
        <w:spacing w:line="429" w:lineRule="auto" w:before="166" w:after="0"/>
        <w:ind w:left="1219" w:right="1102" w:firstLine="85"/>
        <w:jc w:val="left"/>
        <w:rPr>
          <w:sz w:val="18"/>
        </w:rPr>
      </w:pPr>
      <w:r>
        <w:rPr>
          <w:color w:val="231F20"/>
          <w:spacing w:val="16"/>
          <w:sz w:val="18"/>
        </w:rPr>
        <w:t>Инфраст </w:t>
      </w:r>
      <w:r>
        <w:rPr>
          <w:color w:val="231F20"/>
          <w:spacing w:val="15"/>
          <w:sz w:val="18"/>
        </w:rPr>
        <w:t>руктурни </w:t>
      </w:r>
      <w:r>
        <w:rPr>
          <w:color w:val="231F20"/>
          <w:spacing w:val="16"/>
          <w:sz w:val="18"/>
        </w:rPr>
        <w:t>системи </w:t>
      </w:r>
      <w:r>
        <w:rPr>
          <w:color w:val="231F20"/>
          <w:sz w:val="18"/>
        </w:rPr>
        <w:t>Саобраћај и саобраћајна</w:t>
      </w:r>
      <w:r>
        <w:rPr>
          <w:color w:val="231F20"/>
          <w:spacing w:val="-10"/>
          <w:sz w:val="18"/>
        </w:rPr>
        <w:t> </w:t>
      </w:r>
      <w:r>
        <w:rPr>
          <w:color w:val="231F20"/>
          <w:sz w:val="18"/>
        </w:rPr>
        <w:t>инфраструктура</w:t>
      </w:r>
    </w:p>
    <w:p>
      <w:pPr>
        <w:pStyle w:val="BodyText"/>
        <w:spacing w:line="232" w:lineRule="auto" w:before="37"/>
        <w:ind w:left="244" w:right="126" w:firstLine="396"/>
      </w:pPr>
      <w:r>
        <w:rPr>
          <w:color w:val="231F20"/>
        </w:rPr>
        <w:t>За</w:t>
      </w:r>
      <w:r>
        <w:rPr>
          <w:color w:val="231F20"/>
          <w:spacing w:val="-7"/>
        </w:rPr>
        <w:t> </w:t>
      </w:r>
      <w:r>
        <w:rPr>
          <w:color w:val="231F20"/>
        </w:rPr>
        <w:t>период</w:t>
      </w:r>
      <w:r>
        <w:rPr>
          <w:color w:val="231F20"/>
          <w:spacing w:val="-7"/>
        </w:rPr>
        <w:t> </w:t>
      </w:r>
      <w:r>
        <w:rPr>
          <w:color w:val="231F20"/>
        </w:rPr>
        <w:t>до</w:t>
      </w:r>
      <w:r>
        <w:rPr>
          <w:color w:val="231F20"/>
          <w:spacing w:val="-7"/>
        </w:rPr>
        <w:t> </w:t>
      </w:r>
      <w:r>
        <w:rPr>
          <w:color w:val="231F20"/>
        </w:rPr>
        <w:t>2015.</w:t>
      </w:r>
      <w:r>
        <w:rPr>
          <w:color w:val="231F20"/>
          <w:spacing w:val="-7"/>
        </w:rPr>
        <w:t> </w:t>
      </w:r>
      <w:r>
        <w:rPr>
          <w:color w:val="231F20"/>
        </w:rPr>
        <w:t>године,</w:t>
      </w:r>
      <w:r>
        <w:rPr>
          <w:color w:val="231F20"/>
          <w:spacing w:val="-7"/>
        </w:rPr>
        <w:t> </w:t>
      </w:r>
      <w:r>
        <w:rPr>
          <w:color w:val="231F20"/>
        </w:rPr>
        <w:t>као</w:t>
      </w:r>
      <w:r>
        <w:rPr>
          <w:color w:val="231F20"/>
          <w:spacing w:val="-7"/>
        </w:rPr>
        <w:t> </w:t>
      </w:r>
      <w:r>
        <w:rPr>
          <w:color w:val="231F20"/>
        </w:rPr>
        <w:t>приоритети</w:t>
      </w:r>
      <w:r>
        <w:rPr>
          <w:color w:val="231F20"/>
          <w:spacing w:val="-7"/>
        </w:rPr>
        <w:t> </w:t>
      </w:r>
      <w:r>
        <w:rPr>
          <w:color w:val="231F20"/>
        </w:rPr>
        <w:t>развоја</w:t>
      </w:r>
      <w:r>
        <w:rPr>
          <w:color w:val="231F20"/>
          <w:spacing w:val="-7"/>
        </w:rPr>
        <w:t> </w:t>
      </w:r>
      <w:r>
        <w:rPr>
          <w:color w:val="231F20"/>
        </w:rPr>
        <w:t>саобраћаја и саобраћајне инфраструктуре на </w:t>
      </w:r>
      <w:r>
        <w:rPr>
          <w:color w:val="231F20"/>
          <w:spacing w:val="-3"/>
        </w:rPr>
        <w:t>Планском </w:t>
      </w:r>
      <w:r>
        <w:rPr>
          <w:color w:val="231F20"/>
          <w:spacing w:val="-4"/>
        </w:rPr>
        <w:t>подручју, </w:t>
      </w:r>
      <w:r>
        <w:rPr>
          <w:color w:val="231F20"/>
        </w:rPr>
        <w:t>могу се из- двојити:</w:t>
      </w:r>
    </w:p>
    <w:p>
      <w:pPr>
        <w:pStyle w:val="BodyText"/>
        <w:spacing w:line="232" w:lineRule="auto" w:before="1"/>
        <w:ind w:left="244" w:right="126" w:firstLine="396"/>
      </w:pPr>
      <w:r>
        <w:rPr>
          <w:color w:val="231F20"/>
          <w:w w:val="66"/>
        </w:rPr>
        <w:t> </w:t>
      </w:r>
      <w:r>
        <w:rPr>
          <w:color w:val="231F20"/>
        </w:rPr>
        <w:t>– стварање предуслова за увођење изграђених обилазница постојећих државних путева I реда број 24 и 25.1 у референтни систем државних путева Републике Србије чиме ће се створити услови за потпуно измештање транзитних токова из градског под- ручја Пожаревца;</w:t>
      </w:r>
    </w:p>
    <w:p>
      <w:pPr>
        <w:pStyle w:val="BodyText"/>
        <w:spacing w:line="232" w:lineRule="auto" w:before="2"/>
        <w:ind w:left="244" w:right="126" w:firstLine="396"/>
      </w:pPr>
      <w:r>
        <w:rPr>
          <w:color w:val="231F20"/>
          <w:w w:val="66"/>
        </w:rPr>
        <w:t> </w:t>
      </w:r>
      <w:r>
        <w:rPr>
          <w:color w:val="231F20"/>
        </w:rPr>
        <w:t>– прекатегоризација постојећих траса државних путева I и II реда кроз градско подручје Пожаревца у општинске путеве – ули- це што ће допринети поједностављењу управљања, одржавања и даљег развоја предметних путева – улица;</w:t>
      </w:r>
    </w:p>
    <w:p>
      <w:pPr>
        <w:pStyle w:val="BodyText"/>
        <w:spacing w:line="232" w:lineRule="auto" w:before="1"/>
        <w:ind w:left="244" w:right="126" w:firstLine="397"/>
      </w:pPr>
      <w:r>
        <w:rPr>
          <w:color w:val="231F20"/>
          <w:w w:val="66"/>
        </w:rPr>
        <w:t> </w:t>
      </w:r>
      <w:r>
        <w:rPr>
          <w:color w:val="231F20"/>
        </w:rPr>
        <w:t>– изградња прве фазе пута са техничким елементима држав- ног пута II реда на потезу од постојеће обилазнице државног пута I реда број 25.1 до постојећег општинског пута ОП3 (насеље Пет- ка) – оријентациона дужина око 6,5 km;</w:t>
      </w:r>
    </w:p>
    <w:p>
      <w:pPr>
        <w:pStyle w:val="BodyText"/>
        <w:spacing w:line="232" w:lineRule="auto" w:before="1"/>
        <w:ind w:left="244" w:right="126" w:firstLine="397"/>
      </w:pPr>
      <w:r>
        <w:rPr>
          <w:color w:val="231F20"/>
          <w:w w:val="66"/>
        </w:rPr>
        <w:t> </w:t>
      </w:r>
      <w:r>
        <w:rPr>
          <w:color w:val="231F20"/>
        </w:rPr>
        <w:t>– рехабилитација постојећег државног пута II реда број 103, деоница од обилазнице државног пута 25.1 до Костолаца (оријен- тациона дужина 10 km);</w:t>
      </w:r>
    </w:p>
    <w:p>
      <w:pPr>
        <w:pStyle w:val="BodyText"/>
        <w:spacing w:line="232" w:lineRule="auto" w:before="1"/>
        <w:ind w:left="243" w:right="126" w:firstLine="397"/>
      </w:pPr>
      <w:r>
        <w:rPr>
          <w:color w:val="231F20"/>
          <w:w w:val="66"/>
        </w:rPr>
        <w:t> </w:t>
      </w:r>
      <w:r>
        <w:rPr>
          <w:color w:val="231F20"/>
        </w:rPr>
        <w:t>– израда </w:t>
      </w:r>
      <w:r>
        <w:rPr>
          <w:color w:val="231F20"/>
          <w:spacing w:val="-2"/>
        </w:rPr>
        <w:t>неопходне </w:t>
      </w:r>
      <w:r>
        <w:rPr>
          <w:color w:val="231F20"/>
        </w:rPr>
        <w:t>планско – техничке документације за ре- </w:t>
      </w:r>
      <w:r>
        <w:rPr>
          <w:color w:val="231F20"/>
          <w:spacing w:val="-3"/>
        </w:rPr>
        <w:t>конструкцију, </w:t>
      </w:r>
      <w:r>
        <w:rPr>
          <w:color w:val="231F20"/>
        </w:rPr>
        <w:t>рехабилитацију, изградњу и остале активности на побољшању постојећег државног пута број 24 на потезу Пожаре- вац – </w:t>
      </w:r>
      <w:r>
        <w:rPr>
          <w:color w:val="231F20"/>
          <w:spacing w:val="-3"/>
        </w:rPr>
        <w:t>Кучево </w:t>
      </w:r>
      <w:r>
        <w:rPr>
          <w:color w:val="231F20"/>
        </w:rPr>
        <w:t>– Мајданпек – граница са </w:t>
      </w:r>
      <w:r>
        <w:rPr>
          <w:color w:val="231F20"/>
          <w:spacing w:val="-3"/>
        </w:rPr>
        <w:t>Бугарском;</w:t>
      </w:r>
    </w:p>
    <w:p>
      <w:pPr>
        <w:pStyle w:val="BodyText"/>
        <w:spacing w:line="232" w:lineRule="auto" w:before="1"/>
        <w:ind w:left="244" w:right="126" w:firstLine="396"/>
      </w:pPr>
      <w:r>
        <w:rPr>
          <w:color w:val="231F20"/>
          <w:w w:val="66"/>
        </w:rPr>
        <w:t> </w:t>
      </w:r>
      <w:r>
        <w:rPr>
          <w:color w:val="231F20"/>
        </w:rPr>
        <w:t>–</w:t>
      </w:r>
      <w:r>
        <w:rPr>
          <w:color w:val="231F20"/>
          <w:spacing w:val="-12"/>
        </w:rPr>
        <w:t> </w:t>
      </w:r>
      <w:r>
        <w:rPr>
          <w:color w:val="231F20"/>
        </w:rPr>
        <w:t>реконструкција</w:t>
      </w:r>
      <w:r>
        <w:rPr>
          <w:color w:val="231F20"/>
          <w:spacing w:val="-12"/>
        </w:rPr>
        <w:t> </w:t>
      </w:r>
      <w:r>
        <w:rPr>
          <w:color w:val="231F20"/>
        </w:rPr>
        <w:t>и</w:t>
      </w:r>
      <w:r>
        <w:rPr>
          <w:color w:val="231F20"/>
          <w:spacing w:val="-12"/>
        </w:rPr>
        <w:t> </w:t>
      </w:r>
      <w:r>
        <w:rPr>
          <w:color w:val="231F20"/>
        </w:rPr>
        <w:t>рехабилитација</w:t>
      </w:r>
      <w:r>
        <w:rPr>
          <w:color w:val="231F20"/>
          <w:spacing w:val="-12"/>
        </w:rPr>
        <w:t> </w:t>
      </w:r>
      <w:r>
        <w:rPr>
          <w:color w:val="231F20"/>
        </w:rPr>
        <w:t>постојећег</w:t>
      </w:r>
      <w:r>
        <w:rPr>
          <w:color w:val="231F20"/>
          <w:spacing w:val="-12"/>
        </w:rPr>
        <w:t> </w:t>
      </w:r>
      <w:r>
        <w:rPr>
          <w:color w:val="231F20"/>
        </w:rPr>
        <w:t>државног</w:t>
      </w:r>
      <w:r>
        <w:rPr>
          <w:color w:val="231F20"/>
          <w:spacing w:val="-12"/>
        </w:rPr>
        <w:t> </w:t>
      </w:r>
      <w:r>
        <w:rPr>
          <w:color w:val="231F20"/>
        </w:rPr>
        <w:t>пута I реда бр.</w:t>
      </w:r>
      <w:r>
        <w:rPr>
          <w:color w:val="231F20"/>
          <w:spacing w:val="-1"/>
        </w:rPr>
        <w:t> </w:t>
      </w:r>
      <w:r>
        <w:rPr>
          <w:color w:val="231F20"/>
        </w:rPr>
        <w:t>25.1;</w:t>
      </w:r>
    </w:p>
    <w:p>
      <w:pPr>
        <w:pStyle w:val="BodyText"/>
        <w:spacing w:line="232" w:lineRule="auto" w:before="1"/>
        <w:ind w:left="244" w:right="126" w:firstLine="396"/>
      </w:pPr>
      <w:r>
        <w:rPr>
          <w:color w:val="231F20"/>
          <w:w w:val="66"/>
        </w:rPr>
        <w:t> </w:t>
      </w:r>
      <w:r>
        <w:rPr>
          <w:color w:val="231F20"/>
        </w:rPr>
        <w:t>–</w:t>
      </w:r>
      <w:r>
        <w:rPr>
          <w:color w:val="231F20"/>
          <w:spacing w:val="-12"/>
        </w:rPr>
        <w:t> </w:t>
      </w:r>
      <w:r>
        <w:rPr>
          <w:color w:val="231F20"/>
        </w:rPr>
        <w:t>реконструкција</w:t>
      </w:r>
      <w:r>
        <w:rPr>
          <w:color w:val="231F20"/>
          <w:spacing w:val="-12"/>
        </w:rPr>
        <w:t> </w:t>
      </w:r>
      <w:r>
        <w:rPr>
          <w:color w:val="231F20"/>
        </w:rPr>
        <w:t>и</w:t>
      </w:r>
      <w:r>
        <w:rPr>
          <w:color w:val="231F20"/>
          <w:spacing w:val="-12"/>
        </w:rPr>
        <w:t> </w:t>
      </w:r>
      <w:r>
        <w:rPr>
          <w:color w:val="231F20"/>
        </w:rPr>
        <w:t>рехабилитација</w:t>
      </w:r>
      <w:r>
        <w:rPr>
          <w:color w:val="231F20"/>
          <w:spacing w:val="-12"/>
        </w:rPr>
        <w:t> </w:t>
      </w:r>
      <w:r>
        <w:rPr>
          <w:color w:val="231F20"/>
        </w:rPr>
        <w:t>постојећег</w:t>
      </w:r>
      <w:r>
        <w:rPr>
          <w:color w:val="231F20"/>
          <w:spacing w:val="-12"/>
        </w:rPr>
        <w:t> </w:t>
      </w:r>
      <w:r>
        <w:rPr>
          <w:color w:val="231F20"/>
        </w:rPr>
        <w:t>државног</w:t>
      </w:r>
      <w:r>
        <w:rPr>
          <w:color w:val="231F20"/>
          <w:spacing w:val="-12"/>
        </w:rPr>
        <w:t> </w:t>
      </w:r>
      <w:r>
        <w:rPr>
          <w:color w:val="231F20"/>
        </w:rPr>
        <w:t>пута II реда број</w:t>
      </w:r>
      <w:r>
        <w:rPr>
          <w:color w:val="231F20"/>
          <w:spacing w:val="-1"/>
        </w:rPr>
        <w:t> </w:t>
      </w:r>
      <w:r>
        <w:rPr>
          <w:color w:val="231F20"/>
        </w:rPr>
        <w:t>105;</w:t>
      </w:r>
    </w:p>
    <w:p>
      <w:pPr>
        <w:pStyle w:val="BodyText"/>
        <w:spacing w:line="232" w:lineRule="auto"/>
        <w:ind w:left="244" w:right="126" w:firstLine="396"/>
      </w:pPr>
      <w:r>
        <w:rPr>
          <w:color w:val="231F20"/>
          <w:w w:val="66"/>
        </w:rPr>
        <w:t> </w:t>
      </w:r>
      <w:r>
        <w:rPr>
          <w:color w:val="231F20"/>
        </w:rPr>
        <w:t>–</w:t>
      </w:r>
      <w:r>
        <w:rPr>
          <w:color w:val="231F20"/>
          <w:spacing w:val="-12"/>
        </w:rPr>
        <w:t> </w:t>
      </w:r>
      <w:r>
        <w:rPr>
          <w:color w:val="231F20"/>
        </w:rPr>
        <w:t>израда</w:t>
      </w:r>
      <w:r>
        <w:rPr>
          <w:color w:val="231F20"/>
          <w:spacing w:val="-12"/>
        </w:rPr>
        <w:t> </w:t>
      </w:r>
      <w:r>
        <w:rPr>
          <w:color w:val="231F20"/>
          <w:spacing w:val="-3"/>
        </w:rPr>
        <w:t>пројектно-техничке</w:t>
      </w:r>
      <w:r>
        <w:rPr>
          <w:color w:val="231F20"/>
          <w:spacing w:val="-12"/>
        </w:rPr>
        <w:t> </w:t>
      </w:r>
      <w:r>
        <w:rPr>
          <w:color w:val="231F20"/>
          <w:spacing w:val="-3"/>
        </w:rPr>
        <w:t>документације</w:t>
      </w:r>
      <w:r>
        <w:rPr>
          <w:color w:val="231F20"/>
          <w:spacing w:val="-12"/>
        </w:rPr>
        <w:t> </w:t>
      </w:r>
      <w:r>
        <w:rPr>
          <w:color w:val="231F20"/>
        </w:rPr>
        <w:t>за</w:t>
      </w:r>
      <w:r>
        <w:rPr>
          <w:color w:val="231F20"/>
          <w:spacing w:val="-12"/>
        </w:rPr>
        <w:t> </w:t>
      </w:r>
      <w:r>
        <w:rPr>
          <w:color w:val="231F20"/>
        </w:rPr>
        <w:t>нови</w:t>
      </w:r>
      <w:r>
        <w:rPr>
          <w:color w:val="231F20"/>
          <w:spacing w:val="-12"/>
        </w:rPr>
        <w:t> </w:t>
      </w:r>
      <w:r>
        <w:rPr>
          <w:color w:val="231F20"/>
        </w:rPr>
        <w:t>саобраћај- ни </w:t>
      </w:r>
      <w:r>
        <w:rPr>
          <w:color w:val="231F20"/>
          <w:spacing w:val="-3"/>
        </w:rPr>
        <w:t>коридор </w:t>
      </w:r>
      <w:r>
        <w:rPr>
          <w:color w:val="231F20"/>
        </w:rPr>
        <w:t>(пут са </w:t>
      </w:r>
      <w:r>
        <w:rPr>
          <w:color w:val="231F20"/>
          <w:spacing w:val="-3"/>
        </w:rPr>
        <w:t>техничким </w:t>
      </w:r>
      <w:r>
        <w:rPr>
          <w:color w:val="231F20"/>
        </w:rPr>
        <w:t>елементима за ранг државног пута II </w:t>
      </w:r>
      <w:r>
        <w:rPr>
          <w:color w:val="231F20"/>
          <w:spacing w:val="-3"/>
        </w:rPr>
        <w:t>реда </w:t>
      </w:r>
      <w:r>
        <w:rPr>
          <w:color w:val="231F20"/>
        </w:rPr>
        <w:t>и </w:t>
      </w:r>
      <w:r>
        <w:rPr>
          <w:color w:val="231F20"/>
          <w:spacing w:val="-3"/>
        </w:rPr>
        <w:t>пешачко-бициклистичка </w:t>
      </w:r>
      <w:r>
        <w:rPr>
          <w:color w:val="231F20"/>
        </w:rPr>
        <w:t>стаза) на десној обали </w:t>
      </w:r>
      <w:r>
        <w:rPr>
          <w:color w:val="231F20"/>
          <w:spacing w:val="-3"/>
        </w:rPr>
        <w:t>Дунава </w:t>
      </w:r>
      <w:r>
        <w:rPr>
          <w:color w:val="231F20"/>
          <w:spacing w:val="-4"/>
        </w:rPr>
        <w:t>од </w:t>
      </w:r>
      <w:r>
        <w:rPr>
          <w:color w:val="231F20"/>
        </w:rPr>
        <w:t>Шалинца</w:t>
      </w:r>
      <w:r>
        <w:rPr>
          <w:color w:val="231F20"/>
          <w:spacing w:val="-7"/>
        </w:rPr>
        <w:t> </w:t>
      </w:r>
      <w:r>
        <w:rPr>
          <w:color w:val="231F20"/>
        </w:rPr>
        <w:t>(град</w:t>
      </w:r>
      <w:r>
        <w:rPr>
          <w:color w:val="231F20"/>
          <w:spacing w:val="-7"/>
        </w:rPr>
        <w:t> </w:t>
      </w:r>
      <w:r>
        <w:rPr>
          <w:color w:val="231F20"/>
          <w:spacing w:val="-3"/>
        </w:rPr>
        <w:t>Смедерево)</w:t>
      </w:r>
      <w:r>
        <w:rPr>
          <w:color w:val="231F20"/>
          <w:spacing w:val="-7"/>
        </w:rPr>
        <w:t> </w:t>
      </w:r>
      <w:r>
        <w:rPr>
          <w:color w:val="231F20"/>
        </w:rPr>
        <w:t>до</w:t>
      </w:r>
      <w:r>
        <w:rPr>
          <w:color w:val="231F20"/>
          <w:spacing w:val="-7"/>
        </w:rPr>
        <w:t> </w:t>
      </w:r>
      <w:r>
        <w:rPr>
          <w:color w:val="231F20"/>
        </w:rPr>
        <w:t>Рама</w:t>
      </w:r>
      <w:r>
        <w:rPr>
          <w:color w:val="231F20"/>
          <w:spacing w:val="-7"/>
        </w:rPr>
        <w:t> </w:t>
      </w:r>
      <w:r>
        <w:rPr>
          <w:color w:val="231F20"/>
        </w:rPr>
        <w:t>(општина</w:t>
      </w:r>
      <w:r>
        <w:rPr>
          <w:color w:val="231F20"/>
          <w:spacing w:val="-7"/>
        </w:rPr>
        <w:t> </w:t>
      </w:r>
      <w:r>
        <w:rPr>
          <w:color w:val="231F20"/>
          <w:spacing w:val="-4"/>
        </w:rPr>
        <w:t>Велико</w:t>
      </w:r>
      <w:r>
        <w:rPr>
          <w:color w:val="231F20"/>
          <w:spacing w:val="-7"/>
        </w:rPr>
        <w:t> </w:t>
      </w:r>
      <w:r>
        <w:rPr>
          <w:color w:val="231F20"/>
          <w:spacing w:val="-3"/>
        </w:rPr>
        <w:t>Градиште);</w:t>
      </w:r>
    </w:p>
    <w:p>
      <w:pPr>
        <w:pStyle w:val="BodyText"/>
        <w:spacing w:line="232" w:lineRule="auto" w:before="1"/>
        <w:ind w:left="245" w:right="126" w:firstLine="396"/>
      </w:pPr>
      <w:r>
        <w:rPr>
          <w:color w:val="231F20"/>
          <w:w w:val="66"/>
        </w:rPr>
        <w:t> </w:t>
      </w:r>
      <w:r>
        <w:rPr>
          <w:color w:val="231F20"/>
        </w:rPr>
        <w:t>– реконструкција укрштања постојећих путева (државних и општинских) са обилазницом пута бр. 25.1;</w:t>
      </w:r>
    </w:p>
    <w:p>
      <w:pPr>
        <w:pStyle w:val="BodyText"/>
        <w:spacing w:line="232" w:lineRule="auto" w:before="1"/>
        <w:ind w:left="245" w:right="126" w:firstLine="396"/>
      </w:pPr>
      <w:r>
        <w:rPr>
          <w:color w:val="231F20"/>
          <w:w w:val="66"/>
        </w:rPr>
        <w:t> </w:t>
      </w:r>
      <w:r>
        <w:rPr>
          <w:color w:val="231F20"/>
        </w:rPr>
        <w:t>– измештање дела општинског пута ОП10 у зони насеља Дрмно у дужини од око 1,4 km;</w:t>
      </w:r>
    </w:p>
    <w:p>
      <w:pPr>
        <w:pStyle w:val="BodyText"/>
        <w:spacing w:line="232" w:lineRule="auto" w:before="1"/>
        <w:ind w:left="245" w:right="125" w:firstLine="396"/>
      </w:pPr>
      <w:r>
        <w:rPr>
          <w:color w:val="231F20"/>
          <w:w w:val="66"/>
        </w:rPr>
        <w:t> </w:t>
      </w:r>
      <w:r>
        <w:rPr>
          <w:color w:val="231F20"/>
        </w:rPr>
        <w:t>– изградња новог општинског пута од насеља Драговац до државног пута број 24 дужине око 1,4 km;</w:t>
      </w:r>
    </w:p>
    <w:p>
      <w:pPr>
        <w:pStyle w:val="BodyText"/>
        <w:spacing w:line="232" w:lineRule="auto"/>
        <w:ind w:left="245" w:right="125" w:firstLine="396"/>
      </w:pPr>
      <w:r>
        <w:rPr>
          <w:color w:val="231F20"/>
          <w:w w:val="66"/>
        </w:rPr>
        <w:t> </w:t>
      </w:r>
      <w:r>
        <w:rPr>
          <w:color w:val="231F20"/>
        </w:rPr>
        <w:t>– реконструкција постојећег пута поред паровода између на- сеља Стари Костолац и градско насеље Костолац (попречна веза општинског пута ОП5) у дужини од око 1,7 km;</w:t>
      </w:r>
    </w:p>
    <w:p>
      <w:pPr>
        <w:pStyle w:val="BodyText"/>
        <w:spacing w:line="200" w:lineRule="exact"/>
        <w:ind w:left="641"/>
        <w:jc w:val="left"/>
      </w:pPr>
      <w:r>
        <w:rPr>
          <w:color w:val="231F20"/>
          <w:w w:val="66"/>
        </w:rPr>
        <w:t> </w:t>
      </w:r>
      <w:r>
        <w:rPr>
          <w:color w:val="231F20"/>
        </w:rPr>
        <w:t>– </w:t>
      </w:r>
      <w:r>
        <w:rPr>
          <w:color w:val="231F20"/>
          <w:spacing w:val="-5"/>
        </w:rPr>
        <w:t>изградња индустријске пруге Стиг </w:t>
      </w:r>
      <w:r>
        <w:rPr>
          <w:color w:val="231F20"/>
        </w:rPr>
        <w:t>– </w:t>
      </w:r>
      <w:r>
        <w:rPr>
          <w:color w:val="231F20"/>
          <w:spacing w:val="-5"/>
        </w:rPr>
        <w:t>Дрмно </w:t>
      </w:r>
      <w:r>
        <w:rPr>
          <w:color w:val="231F20"/>
        </w:rPr>
        <w:t>– </w:t>
      </w:r>
      <w:r>
        <w:rPr>
          <w:color w:val="231F20"/>
          <w:spacing w:val="-3"/>
        </w:rPr>
        <w:t>ТЕ </w:t>
      </w:r>
      <w:r>
        <w:rPr>
          <w:color w:val="231F20"/>
          <w:spacing w:val="-6"/>
        </w:rPr>
        <w:t>„Костолац </w:t>
      </w:r>
      <w:r>
        <w:rPr>
          <w:color w:val="231F20"/>
          <w:spacing w:val="-4"/>
        </w:rPr>
        <w:t>Б”;</w:t>
      </w:r>
    </w:p>
    <w:p>
      <w:pPr>
        <w:pStyle w:val="BodyText"/>
        <w:spacing w:line="232" w:lineRule="auto" w:before="2"/>
        <w:ind w:left="244" w:right="126" w:firstLine="397"/>
      </w:pPr>
      <w:r>
        <w:rPr>
          <w:color w:val="231F20"/>
          <w:w w:val="66"/>
        </w:rPr>
        <w:t> </w:t>
      </w:r>
      <w:r>
        <w:rPr>
          <w:color w:val="231F20"/>
        </w:rPr>
        <w:t>– реконструкција и модернизација регионалне железничке пруге Мала Крсна – Пожаревац – Бор (пре свега електрификација</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right="39"/>
      </w:pPr>
      <w:r>
        <w:rPr/>
        <w:pict>
          <v:line style="position:absolute;mso-position-horizontal-relative:page;mso-position-vertical-relative:page;z-index:3208" from="304.724396pt,11.942451pt" to="304.724396pt,748.950451pt" stroked="true" strokeweight=".6pt" strokecolor="#231f20">
            <v:stroke dashstyle="solid"/>
            <w10:wrap type="none"/>
          </v:line>
        </w:pict>
      </w:r>
      <w:r>
        <w:rPr>
          <w:color w:val="231F20"/>
        </w:rPr>
        <w:t>на деоници Пожаревац – Бор као и повећање нивоа осигурања увођењем АПБ система)</w:t>
      </w:r>
    </w:p>
    <w:p>
      <w:pPr>
        <w:pStyle w:val="BodyText"/>
        <w:spacing w:line="232" w:lineRule="auto"/>
        <w:ind w:right="38" w:firstLine="397"/>
      </w:pPr>
      <w:r>
        <w:rPr>
          <w:color w:val="231F20"/>
          <w:w w:val="66"/>
        </w:rPr>
        <w:t> </w:t>
      </w:r>
      <w:r>
        <w:rPr>
          <w:color w:val="231F20"/>
        </w:rPr>
        <w:t>–</w:t>
      </w:r>
      <w:r>
        <w:rPr>
          <w:color w:val="231F20"/>
          <w:spacing w:val="-12"/>
        </w:rPr>
        <w:t> </w:t>
      </w:r>
      <w:r>
        <w:rPr>
          <w:color w:val="231F20"/>
        </w:rPr>
        <w:t>израда</w:t>
      </w:r>
      <w:r>
        <w:rPr>
          <w:color w:val="231F20"/>
          <w:spacing w:val="-12"/>
        </w:rPr>
        <w:t> </w:t>
      </w:r>
      <w:r>
        <w:rPr>
          <w:color w:val="231F20"/>
        </w:rPr>
        <w:t>пројектно-техничке</w:t>
      </w:r>
      <w:r>
        <w:rPr>
          <w:color w:val="231F20"/>
          <w:spacing w:val="-12"/>
        </w:rPr>
        <w:t> </w:t>
      </w:r>
      <w:r>
        <w:rPr>
          <w:color w:val="231F20"/>
        </w:rPr>
        <w:t>документације</w:t>
      </w:r>
      <w:r>
        <w:rPr>
          <w:color w:val="231F20"/>
          <w:spacing w:val="-12"/>
        </w:rPr>
        <w:t> </w:t>
      </w:r>
      <w:r>
        <w:rPr>
          <w:color w:val="231F20"/>
        </w:rPr>
        <w:t>за</w:t>
      </w:r>
      <w:r>
        <w:rPr>
          <w:color w:val="231F20"/>
          <w:spacing w:val="-12"/>
        </w:rPr>
        <w:t> </w:t>
      </w:r>
      <w:r>
        <w:rPr>
          <w:color w:val="231F20"/>
        </w:rPr>
        <w:t>изградњу</w:t>
      </w:r>
      <w:r>
        <w:rPr>
          <w:color w:val="231F20"/>
          <w:spacing w:val="-12"/>
        </w:rPr>
        <w:t> </w:t>
      </w:r>
      <w:r>
        <w:rPr>
          <w:color w:val="231F20"/>
        </w:rPr>
        <w:t>роб- ног пристаништа на</w:t>
      </w:r>
      <w:r>
        <w:rPr>
          <w:color w:val="231F20"/>
          <w:spacing w:val="-3"/>
        </w:rPr>
        <w:t> </w:t>
      </w:r>
      <w:r>
        <w:rPr>
          <w:color w:val="231F20"/>
        </w:rPr>
        <w:t>Дунава;</w:t>
      </w:r>
    </w:p>
    <w:p>
      <w:pPr>
        <w:pStyle w:val="BodyText"/>
        <w:spacing w:line="232" w:lineRule="auto" w:before="1"/>
        <w:ind w:right="38" w:firstLine="396"/>
      </w:pPr>
      <w:r>
        <w:rPr>
          <w:color w:val="231F20"/>
          <w:w w:val="66"/>
        </w:rPr>
        <w:t> </w:t>
      </w:r>
      <w:r>
        <w:rPr>
          <w:color w:val="231F20"/>
        </w:rPr>
        <w:t>–</w:t>
      </w:r>
      <w:r>
        <w:rPr>
          <w:color w:val="231F20"/>
          <w:spacing w:val="-8"/>
        </w:rPr>
        <w:t> </w:t>
      </w:r>
      <w:r>
        <w:rPr>
          <w:color w:val="231F20"/>
          <w:spacing w:val="-4"/>
        </w:rPr>
        <w:t>реконструкција</w:t>
      </w:r>
      <w:r>
        <w:rPr>
          <w:color w:val="231F20"/>
          <w:spacing w:val="-8"/>
        </w:rPr>
        <w:t> </w:t>
      </w:r>
      <w:r>
        <w:rPr>
          <w:color w:val="231F20"/>
        </w:rPr>
        <w:t>и</w:t>
      </w:r>
      <w:r>
        <w:rPr>
          <w:color w:val="231F20"/>
          <w:spacing w:val="-8"/>
        </w:rPr>
        <w:t> </w:t>
      </w:r>
      <w:r>
        <w:rPr>
          <w:color w:val="231F20"/>
          <w:spacing w:val="-3"/>
        </w:rPr>
        <w:t>осавремењавање</w:t>
      </w:r>
      <w:r>
        <w:rPr>
          <w:color w:val="231F20"/>
          <w:spacing w:val="-8"/>
        </w:rPr>
        <w:t> </w:t>
      </w:r>
      <w:r>
        <w:rPr>
          <w:color w:val="231F20"/>
          <w:spacing w:val="-3"/>
        </w:rPr>
        <w:t>постојећег</w:t>
      </w:r>
      <w:r>
        <w:rPr>
          <w:color w:val="231F20"/>
          <w:spacing w:val="-8"/>
        </w:rPr>
        <w:t> </w:t>
      </w:r>
      <w:r>
        <w:rPr>
          <w:color w:val="231F20"/>
          <w:spacing w:val="-4"/>
        </w:rPr>
        <w:t>путничког</w:t>
      </w:r>
      <w:r>
        <w:rPr>
          <w:color w:val="231F20"/>
          <w:spacing w:val="-8"/>
        </w:rPr>
        <w:t> </w:t>
      </w:r>
      <w:r>
        <w:rPr>
          <w:color w:val="231F20"/>
          <w:spacing w:val="-3"/>
        </w:rPr>
        <w:t>при- станишта </w:t>
      </w:r>
      <w:r>
        <w:rPr>
          <w:color w:val="231F20"/>
        </w:rPr>
        <w:t>на </w:t>
      </w:r>
      <w:r>
        <w:rPr>
          <w:color w:val="231F20"/>
          <w:spacing w:val="-4"/>
        </w:rPr>
        <w:t>Дунаву </w:t>
      </w:r>
      <w:r>
        <w:rPr>
          <w:color w:val="231F20"/>
        </w:rPr>
        <w:t>у </w:t>
      </w:r>
      <w:r>
        <w:rPr>
          <w:color w:val="231F20"/>
          <w:spacing w:val="-4"/>
        </w:rPr>
        <w:t>близини спортско-туристичког аеродрома;</w:t>
      </w:r>
      <w:r>
        <w:rPr>
          <w:color w:val="231F20"/>
          <w:spacing w:val="-17"/>
        </w:rPr>
        <w:t> </w:t>
      </w:r>
      <w:r>
        <w:rPr>
          <w:color w:val="231F20"/>
        </w:rPr>
        <w:t>и</w:t>
      </w:r>
    </w:p>
    <w:p>
      <w:pPr>
        <w:pStyle w:val="BodyText"/>
        <w:spacing w:line="232" w:lineRule="auto"/>
        <w:ind w:right="38" w:firstLine="396"/>
      </w:pPr>
      <w:r>
        <w:rPr>
          <w:color w:val="231F20"/>
          <w:w w:val="66"/>
        </w:rPr>
        <w:t> </w:t>
      </w:r>
      <w:r>
        <w:rPr>
          <w:color w:val="231F20"/>
        </w:rPr>
        <w:t>– реконструкција постојећег спортско-туристичког аеродро- ма на Дунаву и припрема техничке документације за нови аеро- дром близу Љубичева.</w:t>
      </w:r>
    </w:p>
    <w:p>
      <w:pPr>
        <w:pStyle w:val="BodyText"/>
        <w:spacing w:line="402" w:lineRule="exact" w:before="13"/>
        <w:ind w:left="567" w:firstLine="197"/>
        <w:jc w:val="left"/>
      </w:pPr>
      <w:r>
        <w:rPr>
          <w:color w:val="231F20"/>
        </w:rPr>
        <w:t>Коришћење вода и водопривредна инфраструктура Приоритети у области вода су:</w:t>
      </w:r>
    </w:p>
    <w:p>
      <w:pPr>
        <w:pStyle w:val="BodyText"/>
        <w:spacing w:line="157" w:lineRule="exact"/>
        <w:ind w:left="567"/>
        <w:jc w:val="left"/>
      </w:pPr>
      <w:r>
        <w:rPr>
          <w:color w:val="231F20"/>
          <w:w w:val="66"/>
        </w:rPr>
        <w:t> </w:t>
      </w:r>
      <w:r>
        <w:rPr>
          <w:color w:val="231F20"/>
        </w:rPr>
        <w:t>– успостављање пуног режима заштите тзв. водног земљи-</w:t>
      </w:r>
    </w:p>
    <w:p>
      <w:pPr>
        <w:pStyle w:val="BodyText"/>
        <w:spacing w:line="232" w:lineRule="auto" w:before="2"/>
        <w:ind w:right="38"/>
      </w:pPr>
      <w:r>
        <w:rPr>
          <w:color w:val="231F20"/>
        </w:rPr>
        <w:t>шта у простору крај Дунава и доњег тока Мораве и заштитних система у тој зони; уклањање свих објеката </w:t>
      </w:r>
      <w:r>
        <w:rPr>
          <w:color w:val="231F20"/>
          <w:spacing w:val="-3"/>
        </w:rPr>
        <w:t>који </w:t>
      </w:r>
      <w:r>
        <w:rPr>
          <w:color w:val="231F20"/>
        </w:rPr>
        <w:t>су незаконито изграђени у </w:t>
      </w:r>
      <w:r>
        <w:rPr>
          <w:color w:val="231F20"/>
          <w:spacing w:val="-3"/>
        </w:rPr>
        <w:t>том простору, који </w:t>
      </w:r>
      <w:r>
        <w:rPr>
          <w:color w:val="231F20"/>
        </w:rPr>
        <w:t>сада нарушавају функционалност и смањују сигурност заштитних система и ометају касније </w:t>
      </w:r>
      <w:r>
        <w:rPr>
          <w:color w:val="231F20"/>
          <w:spacing w:val="-2"/>
        </w:rPr>
        <w:t>рекон- </w:t>
      </w:r>
      <w:r>
        <w:rPr>
          <w:color w:val="231F20"/>
        </w:rPr>
        <w:t>струкције насипа и спровођење оперативне одбране </w:t>
      </w:r>
      <w:r>
        <w:rPr>
          <w:color w:val="231F20"/>
          <w:spacing w:val="-3"/>
        </w:rPr>
        <w:t>од</w:t>
      </w:r>
      <w:r>
        <w:rPr>
          <w:color w:val="231F20"/>
          <w:spacing w:val="-26"/>
        </w:rPr>
        <w:t> </w:t>
      </w:r>
      <w:r>
        <w:rPr>
          <w:color w:val="231F20"/>
        </w:rPr>
        <w:t>поплава;</w:t>
      </w:r>
    </w:p>
    <w:p>
      <w:pPr>
        <w:pStyle w:val="BodyText"/>
        <w:spacing w:line="232" w:lineRule="auto" w:before="1"/>
        <w:ind w:right="38" w:firstLine="396"/>
      </w:pPr>
      <w:r>
        <w:rPr>
          <w:color w:val="231F20"/>
          <w:w w:val="66"/>
        </w:rPr>
        <w:t> </w:t>
      </w:r>
      <w:r>
        <w:rPr>
          <w:color w:val="231F20"/>
        </w:rPr>
        <w:t>– израда нових хидролошких анализа за Дунав и </w:t>
      </w:r>
      <w:r>
        <w:rPr>
          <w:color w:val="231F20"/>
          <w:spacing w:val="-5"/>
        </w:rPr>
        <w:t>Млаву, </w:t>
      </w:r>
      <w:r>
        <w:rPr>
          <w:color w:val="231F20"/>
        </w:rPr>
        <w:t>са циљем</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одреде</w:t>
      </w:r>
      <w:r>
        <w:rPr>
          <w:color w:val="231F20"/>
          <w:spacing w:val="-5"/>
        </w:rPr>
        <w:t> </w:t>
      </w:r>
      <w:r>
        <w:rPr>
          <w:color w:val="231F20"/>
        </w:rPr>
        <w:t>велике</w:t>
      </w:r>
      <w:r>
        <w:rPr>
          <w:color w:val="231F20"/>
          <w:spacing w:val="-5"/>
        </w:rPr>
        <w:t> </w:t>
      </w:r>
      <w:r>
        <w:rPr>
          <w:color w:val="231F20"/>
        </w:rPr>
        <w:t>воде</w:t>
      </w:r>
      <w:r>
        <w:rPr>
          <w:color w:val="231F20"/>
          <w:spacing w:val="-5"/>
        </w:rPr>
        <w:t> </w:t>
      </w:r>
      <w:r>
        <w:rPr>
          <w:color w:val="231F20"/>
        </w:rPr>
        <w:t>вероватноће</w:t>
      </w:r>
      <w:r>
        <w:rPr>
          <w:color w:val="231F20"/>
          <w:spacing w:val="-5"/>
        </w:rPr>
        <w:t> </w:t>
      </w:r>
      <w:r>
        <w:rPr>
          <w:color w:val="231F20"/>
        </w:rPr>
        <w:t>1%</w:t>
      </w:r>
      <w:r>
        <w:rPr>
          <w:color w:val="231F20"/>
          <w:spacing w:val="-5"/>
        </w:rPr>
        <w:t> </w:t>
      </w:r>
      <w:r>
        <w:rPr>
          <w:color w:val="231F20"/>
        </w:rPr>
        <w:t>у</w:t>
      </w:r>
      <w:r>
        <w:rPr>
          <w:color w:val="231F20"/>
          <w:spacing w:val="-5"/>
        </w:rPr>
        <w:t> </w:t>
      </w:r>
      <w:r>
        <w:rPr>
          <w:color w:val="231F20"/>
        </w:rPr>
        <w:t>зони</w:t>
      </w:r>
      <w:r>
        <w:rPr>
          <w:color w:val="231F20"/>
          <w:spacing w:val="-5"/>
        </w:rPr>
        <w:t> </w:t>
      </w:r>
      <w:r>
        <w:rPr>
          <w:color w:val="231F20"/>
        </w:rPr>
        <w:t>басена</w:t>
      </w:r>
      <w:r>
        <w:rPr>
          <w:color w:val="231F20"/>
          <w:spacing w:val="-5"/>
        </w:rPr>
        <w:t> </w:t>
      </w:r>
      <w:r>
        <w:rPr>
          <w:color w:val="231F20"/>
          <w:spacing w:val="-3"/>
        </w:rPr>
        <w:t>Ко- </w:t>
      </w:r>
      <w:r>
        <w:rPr>
          <w:color w:val="231F20"/>
        </w:rPr>
        <w:t>столац, са интервалом поверења (ИП) 50% и 95%, и израда нових хидрауличких</w:t>
      </w:r>
      <w:r>
        <w:rPr>
          <w:color w:val="231F20"/>
          <w:spacing w:val="-11"/>
        </w:rPr>
        <w:t> </w:t>
      </w:r>
      <w:r>
        <w:rPr>
          <w:color w:val="231F20"/>
        </w:rPr>
        <w:t>прорачуна,</w:t>
      </w:r>
      <w:r>
        <w:rPr>
          <w:color w:val="231F20"/>
          <w:spacing w:val="-11"/>
        </w:rPr>
        <w:t> </w:t>
      </w:r>
      <w:r>
        <w:rPr>
          <w:color w:val="231F20"/>
        </w:rPr>
        <w:t>са</w:t>
      </w:r>
      <w:r>
        <w:rPr>
          <w:color w:val="231F20"/>
          <w:spacing w:val="-11"/>
        </w:rPr>
        <w:t> </w:t>
      </w:r>
      <w:r>
        <w:rPr>
          <w:color w:val="231F20"/>
        </w:rPr>
        <w:t>новом</w:t>
      </w:r>
      <w:r>
        <w:rPr>
          <w:color w:val="231F20"/>
          <w:spacing w:val="-11"/>
        </w:rPr>
        <w:t> </w:t>
      </w:r>
      <w:r>
        <w:rPr>
          <w:color w:val="231F20"/>
        </w:rPr>
        <w:t>хидрологијом</w:t>
      </w:r>
      <w:r>
        <w:rPr>
          <w:color w:val="231F20"/>
          <w:spacing w:val="-11"/>
        </w:rPr>
        <w:t> </w:t>
      </w:r>
      <w:r>
        <w:rPr>
          <w:color w:val="231F20"/>
        </w:rPr>
        <w:t>(за</w:t>
      </w:r>
      <w:r>
        <w:rPr>
          <w:color w:val="231F20"/>
          <w:spacing w:val="-11"/>
        </w:rPr>
        <w:t> </w:t>
      </w:r>
      <w:r>
        <w:rPr>
          <w:color w:val="231F20"/>
        </w:rPr>
        <w:t>оба</w:t>
      </w:r>
      <w:r>
        <w:rPr>
          <w:color w:val="231F20"/>
          <w:spacing w:val="-11"/>
        </w:rPr>
        <w:t> </w:t>
      </w:r>
      <w:r>
        <w:rPr>
          <w:color w:val="231F20"/>
        </w:rPr>
        <w:t>ИП)</w:t>
      </w:r>
      <w:r>
        <w:rPr>
          <w:color w:val="231F20"/>
          <w:spacing w:val="-11"/>
        </w:rPr>
        <w:t> </w:t>
      </w:r>
      <w:r>
        <w:rPr>
          <w:color w:val="231F20"/>
        </w:rPr>
        <w:t>и</w:t>
      </w:r>
      <w:r>
        <w:rPr>
          <w:color w:val="231F20"/>
          <w:spacing w:val="-11"/>
        </w:rPr>
        <w:t> </w:t>
      </w:r>
      <w:r>
        <w:rPr>
          <w:color w:val="231F20"/>
        </w:rPr>
        <w:t>но- </w:t>
      </w:r>
      <w:r>
        <w:rPr>
          <w:color w:val="231F20"/>
          <w:spacing w:val="-2"/>
        </w:rPr>
        <w:t>вом </w:t>
      </w:r>
      <w:r>
        <w:rPr>
          <w:color w:val="231F20"/>
        </w:rPr>
        <w:t>морфологијим корита (новим попречним профилима),</w:t>
      </w:r>
      <w:r>
        <w:rPr>
          <w:color w:val="231F20"/>
          <w:spacing w:val="-32"/>
        </w:rPr>
        <w:t> </w:t>
      </w:r>
      <w:r>
        <w:rPr>
          <w:color w:val="231F20"/>
          <w:spacing w:val="-4"/>
        </w:rPr>
        <w:t>како </w:t>
      </w:r>
      <w:r>
        <w:rPr>
          <w:color w:val="231F20"/>
        </w:rPr>
        <w:t>би се одредиле нивелете за реконструкцију насипа на обе</w:t>
      </w:r>
      <w:r>
        <w:rPr>
          <w:color w:val="231F20"/>
          <w:spacing w:val="-22"/>
        </w:rPr>
        <w:t> </w:t>
      </w:r>
      <w:r>
        <w:rPr>
          <w:color w:val="231F20"/>
        </w:rPr>
        <w:t>реке;</w:t>
      </w:r>
    </w:p>
    <w:p>
      <w:pPr>
        <w:pStyle w:val="BodyText"/>
        <w:spacing w:line="232" w:lineRule="auto" w:before="2"/>
        <w:ind w:right="38" w:firstLine="397"/>
      </w:pPr>
      <w:r>
        <w:rPr>
          <w:color w:val="231F20"/>
          <w:w w:val="66"/>
        </w:rPr>
        <w:t> </w:t>
      </w:r>
      <w:r>
        <w:rPr>
          <w:color w:val="231F20"/>
        </w:rPr>
        <w:t>– израда пројеката реконструкције заштитних насипа на Млави (приоритет Ia), Дунаву и доњем току В. Мораве у зони Ко- столачког басена, по критеријуму да се обезбеди степен заштите од великих вода 1% са ИП 95%; заштитне висине насипа дуж Ду- нава, Мораве и Млаве (‘фриборд’) не могу бити мање од 1,5 m;</w:t>
      </w:r>
    </w:p>
    <w:p>
      <w:pPr>
        <w:pStyle w:val="BodyText"/>
        <w:spacing w:line="232" w:lineRule="auto" w:before="1"/>
        <w:ind w:right="38" w:firstLine="396"/>
      </w:pPr>
      <w:r>
        <w:rPr>
          <w:color w:val="231F20"/>
          <w:w w:val="66"/>
        </w:rPr>
        <w:t> </w:t>
      </w:r>
      <w:r>
        <w:rPr>
          <w:color w:val="231F20"/>
        </w:rPr>
        <w:t>– санирање свих недовољно поузданих делова I одбрамбе- не линије насипа на Млави, Дунаву и Великој Морави на основу уочених проблема током одбране од поплаве задњих година;</w:t>
      </w:r>
    </w:p>
    <w:p>
      <w:pPr>
        <w:pStyle w:val="BodyText"/>
        <w:spacing w:line="232" w:lineRule="auto" w:before="1"/>
        <w:ind w:right="38" w:firstLine="396"/>
      </w:pPr>
      <w:r>
        <w:rPr>
          <w:color w:val="231F20"/>
          <w:w w:val="66"/>
        </w:rPr>
        <w:t> </w:t>
      </w:r>
      <w:r>
        <w:rPr>
          <w:color w:val="231F20"/>
        </w:rPr>
        <w:t>– обнова система за заштиту приобаља на </w:t>
      </w:r>
      <w:r>
        <w:rPr>
          <w:color w:val="231F20"/>
          <w:spacing w:val="-4"/>
        </w:rPr>
        <w:t>Костолачком </w:t>
      </w:r>
      <w:r>
        <w:rPr>
          <w:color w:val="231F20"/>
        </w:rPr>
        <w:t>остр- </w:t>
      </w:r>
      <w:r>
        <w:rPr>
          <w:color w:val="231F20"/>
          <w:spacing w:val="-4"/>
        </w:rPr>
        <w:t>ву </w:t>
      </w:r>
      <w:r>
        <w:rPr>
          <w:color w:val="231F20"/>
        </w:rPr>
        <w:t>и довођење у стање да остварује планиране ефекте заштите – нивое залегања подземних вода; то подразумева чишћење и изму- љивање канала и довођење свих агрегата и друге опреме црпних станица у стање пуне расположивости; то је обавеза Привредног друштва Ђердап, јер је то предуслов за продужење водне дозволе за рад ХЕ </w:t>
      </w:r>
      <w:r>
        <w:rPr>
          <w:color w:val="231F20"/>
          <w:spacing w:val="-4"/>
        </w:rPr>
        <w:t>„Ђердап </w:t>
      </w:r>
      <w:r>
        <w:rPr>
          <w:color w:val="231F20"/>
        </w:rPr>
        <w:t>1”;</w:t>
      </w:r>
    </w:p>
    <w:p>
      <w:pPr>
        <w:pStyle w:val="BodyText"/>
        <w:spacing w:line="232" w:lineRule="auto" w:before="2"/>
        <w:ind w:right="38" w:firstLine="397"/>
      </w:pPr>
      <w:r>
        <w:rPr>
          <w:color w:val="231F20"/>
          <w:w w:val="66"/>
        </w:rPr>
        <w:t> </w:t>
      </w:r>
      <w:r>
        <w:rPr>
          <w:color w:val="231F20"/>
        </w:rPr>
        <w:t>– реализација пројекта за заштиту Старог Костолца </w:t>
      </w:r>
      <w:r>
        <w:rPr>
          <w:color w:val="231F20"/>
          <w:spacing w:val="-3"/>
        </w:rPr>
        <w:t>од </w:t>
      </w:r>
      <w:r>
        <w:rPr>
          <w:color w:val="231F20"/>
        </w:rPr>
        <w:t>по- плавних</w:t>
      </w:r>
      <w:r>
        <w:rPr>
          <w:color w:val="231F20"/>
          <w:spacing w:val="-7"/>
        </w:rPr>
        <w:t> </w:t>
      </w:r>
      <w:r>
        <w:rPr>
          <w:color w:val="231F20"/>
        </w:rPr>
        <w:t>вода</w:t>
      </w:r>
      <w:r>
        <w:rPr>
          <w:color w:val="231F20"/>
          <w:spacing w:val="-7"/>
        </w:rPr>
        <w:t> </w:t>
      </w:r>
      <w:r>
        <w:rPr>
          <w:color w:val="231F20"/>
        </w:rPr>
        <w:t>Млаве</w:t>
      </w:r>
      <w:r>
        <w:rPr>
          <w:color w:val="231F20"/>
          <w:spacing w:val="-7"/>
        </w:rPr>
        <w:t> </w:t>
      </w:r>
      <w:r>
        <w:rPr>
          <w:color w:val="231F20"/>
        </w:rPr>
        <w:t>и</w:t>
      </w:r>
      <w:r>
        <w:rPr>
          <w:color w:val="231F20"/>
          <w:spacing w:val="-7"/>
        </w:rPr>
        <w:t> </w:t>
      </w:r>
      <w:r>
        <w:rPr>
          <w:color w:val="231F20"/>
        </w:rPr>
        <w:t>успора</w:t>
      </w:r>
      <w:r>
        <w:rPr>
          <w:color w:val="231F20"/>
          <w:spacing w:val="-7"/>
        </w:rPr>
        <w:t> </w:t>
      </w:r>
      <w:r>
        <w:rPr>
          <w:color w:val="231F20"/>
        </w:rPr>
        <w:t>Дунава,</w:t>
      </w:r>
      <w:r>
        <w:rPr>
          <w:color w:val="231F20"/>
          <w:spacing w:val="-7"/>
        </w:rPr>
        <w:t> </w:t>
      </w:r>
      <w:r>
        <w:rPr>
          <w:color w:val="231F20"/>
        </w:rPr>
        <w:t>за</w:t>
      </w:r>
      <w:r>
        <w:rPr>
          <w:color w:val="231F20"/>
          <w:spacing w:val="-7"/>
        </w:rPr>
        <w:t> </w:t>
      </w:r>
      <w:r>
        <w:rPr>
          <w:color w:val="231F20"/>
        </w:rPr>
        <w:t>садашњи</w:t>
      </w:r>
      <w:r>
        <w:rPr>
          <w:color w:val="231F20"/>
          <w:spacing w:val="-7"/>
        </w:rPr>
        <w:t> </w:t>
      </w:r>
      <w:r>
        <w:rPr>
          <w:color w:val="231F20"/>
        </w:rPr>
        <w:t>режим</w:t>
      </w:r>
      <w:r>
        <w:rPr>
          <w:color w:val="231F20"/>
          <w:spacing w:val="-7"/>
        </w:rPr>
        <w:t> </w:t>
      </w:r>
      <w:r>
        <w:rPr>
          <w:color w:val="231F20"/>
        </w:rPr>
        <w:t>рада</w:t>
      </w:r>
      <w:r>
        <w:rPr>
          <w:color w:val="231F20"/>
          <w:spacing w:val="-7"/>
        </w:rPr>
        <w:t> </w:t>
      </w:r>
      <w:r>
        <w:rPr>
          <w:color w:val="231F20"/>
          <w:spacing w:val="-3"/>
        </w:rPr>
        <w:t>који </w:t>
      </w:r>
      <w:r>
        <w:rPr>
          <w:color w:val="231F20"/>
        </w:rPr>
        <w:t>допушта успор до </w:t>
      </w:r>
      <w:r>
        <w:rPr>
          <w:color w:val="231F20"/>
          <w:spacing w:val="-4"/>
        </w:rPr>
        <w:t>коте </w:t>
      </w:r>
      <w:r>
        <w:rPr>
          <w:color w:val="231F20"/>
        </w:rPr>
        <w:t>70,40</w:t>
      </w:r>
      <w:r>
        <w:rPr>
          <w:color w:val="231F20"/>
          <w:spacing w:val="3"/>
        </w:rPr>
        <w:t> </w:t>
      </w:r>
      <w:r>
        <w:rPr>
          <w:color w:val="231F20"/>
        </w:rPr>
        <w:t>mнm;</w:t>
      </w:r>
    </w:p>
    <w:p>
      <w:pPr>
        <w:pStyle w:val="BodyText"/>
        <w:spacing w:line="232" w:lineRule="auto" w:before="1"/>
        <w:ind w:right="38" w:firstLine="396"/>
      </w:pPr>
      <w:r>
        <w:rPr>
          <w:color w:val="231F20"/>
          <w:w w:val="66"/>
        </w:rPr>
        <w:t> </w:t>
      </w:r>
      <w:r>
        <w:rPr>
          <w:color w:val="231F20"/>
        </w:rPr>
        <w:t>– реконструкција система заштите приобаља од успора воде Дунава у зони проширења копа „Дрмно”;</w:t>
      </w:r>
    </w:p>
    <w:p>
      <w:pPr>
        <w:pStyle w:val="BodyText"/>
        <w:spacing w:line="232" w:lineRule="auto" w:before="1"/>
        <w:ind w:right="38" w:firstLine="396"/>
      </w:pPr>
      <w:r>
        <w:rPr>
          <w:color w:val="231F20"/>
          <w:w w:val="66"/>
        </w:rPr>
        <w:t> </w:t>
      </w:r>
      <w:r>
        <w:rPr>
          <w:color w:val="231F20"/>
        </w:rPr>
        <w:t>– завршетак свих планираних активности на заштити </w:t>
      </w:r>
      <w:r>
        <w:rPr>
          <w:color w:val="231F20"/>
          <w:spacing w:val="-4"/>
        </w:rPr>
        <w:t>кори- </w:t>
      </w:r>
      <w:r>
        <w:rPr>
          <w:color w:val="231F20"/>
        </w:rPr>
        <w:t>шћеног изворишта Кључ </w:t>
      </w:r>
      <w:r>
        <w:rPr>
          <w:color w:val="231F20"/>
          <w:spacing w:val="-4"/>
        </w:rPr>
        <w:t>Пожаревачког </w:t>
      </w:r>
      <w:r>
        <w:rPr>
          <w:color w:val="231F20"/>
          <w:spacing w:val="-3"/>
        </w:rPr>
        <w:t>подсистема, као </w:t>
      </w:r>
      <w:r>
        <w:rPr>
          <w:color w:val="231F20"/>
        </w:rPr>
        <w:t>и радови на</w:t>
      </w:r>
      <w:r>
        <w:rPr>
          <w:color w:val="231F20"/>
          <w:spacing w:val="-7"/>
        </w:rPr>
        <w:t> </w:t>
      </w:r>
      <w:r>
        <w:rPr>
          <w:color w:val="231F20"/>
        </w:rPr>
        <w:t>санацији</w:t>
      </w:r>
      <w:r>
        <w:rPr>
          <w:color w:val="231F20"/>
          <w:spacing w:val="-7"/>
        </w:rPr>
        <w:t> </w:t>
      </w:r>
      <w:r>
        <w:rPr>
          <w:color w:val="231F20"/>
        </w:rPr>
        <w:t>и</w:t>
      </w:r>
      <w:r>
        <w:rPr>
          <w:color w:val="231F20"/>
          <w:spacing w:val="-7"/>
        </w:rPr>
        <w:t> </w:t>
      </w:r>
      <w:r>
        <w:rPr>
          <w:color w:val="231F20"/>
        </w:rPr>
        <w:t>заштити</w:t>
      </w:r>
      <w:r>
        <w:rPr>
          <w:color w:val="231F20"/>
          <w:spacing w:val="-7"/>
        </w:rPr>
        <w:t> </w:t>
      </w:r>
      <w:r>
        <w:rPr>
          <w:color w:val="231F20"/>
        </w:rPr>
        <w:t>изворишта</w:t>
      </w:r>
      <w:r>
        <w:rPr>
          <w:color w:val="231F20"/>
          <w:spacing w:val="-7"/>
        </w:rPr>
        <w:t> </w:t>
      </w:r>
      <w:r>
        <w:rPr>
          <w:color w:val="231F20"/>
          <w:spacing w:val="-3"/>
        </w:rPr>
        <w:t>Меминац,</w:t>
      </w:r>
      <w:r>
        <w:rPr>
          <w:color w:val="231F20"/>
          <w:spacing w:val="-7"/>
        </w:rPr>
        <w:t> </w:t>
      </w:r>
      <w:r>
        <w:rPr>
          <w:color w:val="231F20"/>
          <w:spacing w:val="-3"/>
        </w:rPr>
        <w:t>Забела,</w:t>
      </w:r>
      <w:r>
        <w:rPr>
          <w:color w:val="231F20"/>
          <w:spacing w:val="-7"/>
        </w:rPr>
        <w:t> </w:t>
      </w:r>
      <w:r>
        <w:rPr>
          <w:color w:val="231F20"/>
          <w:spacing w:val="-4"/>
        </w:rPr>
        <w:t>Ловац</w:t>
      </w:r>
      <w:r>
        <w:rPr>
          <w:color w:val="231F20"/>
          <w:spacing w:val="-7"/>
        </w:rPr>
        <w:t> </w:t>
      </w:r>
      <w:r>
        <w:rPr>
          <w:color w:val="231F20"/>
        </w:rPr>
        <w:t>и</w:t>
      </w:r>
      <w:r>
        <w:rPr>
          <w:color w:val="231F20"/>
          <w:spacing w:val="-7"/>
        </w:rPr>
        <w:t> </w:t>
      </w:r>
      <w:r>
        <w:rPr>
          <w:color w:val="231F20"/>
          <w:spacing w:val="-3"/>
        </w:rPr>
        <w:t>Петка;</w:t>
      </w:r>
    </w:p>
    <w:p>
      <w:pPr>
        <w:pStyle w:val="BodyText"/>
        <w:spacing w:line="232" w:lineRule="auto" w:before="1"/>
        <w:ind w:left="169" w:right="39" w:firstLine="397"/>
      </w:pPr>
      <w:r>
        <w:rPr>
          <w:color w:val="231F20"/>
          <w:w w:val="66"/>
        </w:rPr>
        <w:t> </w:t>
      </w:r>
      <w:r>
        <w:rPr>
          <w:color w:val="231F20"/>
        </w:rPr>
        <w:t>– припреме за активирање новог изворишта „Јагодица” на </w:t>
      </w:r>
      <w:r>
        <w:rPr>
          <w:color w:val="231F20"/>
          <w:spacing w:val="-3"/>
        </w:rPr>
        <w:t>Горњем </w:t>
      </w:r>
      <w:r>
        <w:rPr>
          <w:color w:val="231F20"/>
          <w:spacing w:val="-4"/>
        </w:rPr>
        <w:t>Костолачком острву, </w:t>
      </w:r>
      <w:r>
        <w:rPr>
          <w:color w:val="231F20"/>
        </w:rPr>
        <w:t>(успостављање заштитних зона, ис- тражни</w:t>
      </w:r>
      <w:r>
        <w:rPr>
          <w:color w:val="231F20"/>
          <w:spacing w:val="-6"/>
        </w:rPr>
        <w:t> </w:t>
      </w:r>
      <w:r>
        <w:rPr>
          <w:color w:val="231F20"/>
        </w:rPr>
        <w:t>радови,</w:t>
      </w:r>
      <w:r>
        <w:rPr>
          <w:color w:val="231F20"/>
          <w:spacing w:val="-6"/>
        </w:rPr>
        <w:t> </w:t>
      </w:r>
      <w:r>
        <w:rPr>
          <w:color w:val="231F20"/>
        </w:rPr>
        <w:t>израда</w:t>
      </w:r>
      <w:r>
        <w:rPr>
          <w:color w:val="231F20"/>
          <w:spacing w:val="-6"/>
        </w:rPr>
        <w:t> </w:t>
      </w:r>
      <w:r>
        <w:rPr>
          <w:color w:val="231F20"/>
        </w:rPr>
        <w:t>пројеката),</w:t>
      </w:r>
      <w:r>
        <w:rPr>
          <w:color w:val="231F20"/>
          <w:spacing w:val="-6"/>
        </w:rPr>
        <w:t> </w:t>
      </w:r>
      <w:r>
        <w:rPr>
          <w:color w:val="231F20"/>
          <w:spacing w:val="-4"/>
        </w:rPr>
        <w:t>како</w:t>
      </w:r>
      <w:r>
        <w:rPr>
          <w:color w:val="231F20"/>
          <w:spacing w:val="-6"/>
        </w:rPr>
        <w:t> </w:t>
      </w:r>
      <w:r>
        <w:rPr>
          <w:color w:val="231F20"/>
        </w:rPr>
        <w:t>би</w:t>
      </w:r>
      <w:r>
        <w:rPr>
          <w:color w:val="231F20"/>
          <w:spacing w:val="-6"/>
        </w:rPr>
        <w:t> </w:t>
      </w:r>
      <w:r>
        <w:rPr>
          <w:color w:val="231F20"/>
        </w:rPr>
        <w:t>се</w:t>
      </w:r>
      <w:r>
        <w:rPr>
          <w:color w:val="231F20"/>
          <w:spacing w:val="-6"/>
        </w:rPr>
        <w:t> </w:t>
      </w:r>
      <w:r>
        <w:rPr>
          <w:color w:val="231F20"/>
        </w:rPr>
        <w:t>извориште</w:t>
      </w:r>
      <w:r>
        <w:rPr>
          <w:color w:val="231F20"/>
          <w:spacing w:val="-6"/>
        </w:rPr>
        <w:t> </w:t>
      </w:r>
      <w:r>
        <w:rPr>
          <w:color w:val="231F20"/>
        </w:rPr>
        <w:t>оспособи- ло за експлоатацију до 2015.</w:t>
      </w:r>
      <w:r>
        <w:rPr>
          <w:color w:val="231F20"/>
          <w:spacing w:val="-3"/>
        </w:rPr>
        <w:t> године;</w:t>
      </w:r>
    </w:p>
    <w:p>
      <w:pPr>
        <w:pStyle w:val="BodyText"/>
        <w:spacing w:line="232" w:lineRule="auto" w:before="1"/>
        <w:ind w:right="38" w:firstLine="396"/>
      </w:pPr>
      <w:r>
        <w:rPr>
          <w:color w:val="231F20"/>
          <w:w w:val="66"/>
        </w:rPr>
        <w:t> </w:t>
      </w:r>
      <w:r>
        <w:rPr>
          <w:color w:val="231F20"/>
        </w:rPr>
        <w:t>–</w:t>
      </w:r>
      <w:r>
        <w:rPr>
          <w:color w:val="231F20"/>
          <w:spacing w:val="-12"/>
        </w:rPr>
        <w:t> </w:t>
      </w:r>
      <w:r>
        <w:rPr>
          <w:color w:val="231F20"/>
        </w:rPr>
        <w:t>завршетак</w:t>
      </w:r>
      <w:r>
        <w:rPr>
          <w:color w:val="231F20"/>
          <w:spacing w:val="-12"/>
        </w:rPr>
        <w:t> </w:t>
      </w:r>
      <w:r>
        <w:rPr>
          <w:color w:val="231F20"/>
        </w:rPr>
        <w:t>радова</w:t>
      </w:r>
      <w:r>
        <w:rPr>
          <w:color w:val="231F20"/>
          <w:spacing w:val="-12"/>
        </w:rPr>
        <w:t> </w:t>
      </w:r>
      <w:r>
        <w:rPr>
          <w:color w:val="231F20"/>
        </w:rPr>
        <w:t>на</w:t>
      </w:r>
      <w:r>
        <w:rPr>
          <w:color w:val="231F20"/>
          <w:spacing w:val="-12"/>
        </w:rPr>
        <w:t> </w:t>
      </w:r>
      <w:r>
        <w:rPr>
          <w:color w:val="231F20"/>
        </w:rPr>
        <w:t>локалним</w:t>
      </w:r>
      <w:r>
        <w:rPr>
          <w:color w:val="231F20"/>
          <w:spacing w:val="-11"/>
        </w:rPr>
        <w:t> </w:t>
      </w:r>
      <w:r>
        <w:rPr>
          <w:color w:val="231F20"/>
        </w:rPr>
        <w:t>водоводима</w:t>
      </w:r>
      <w:r>
        <w:rPr>
          <w:color w:val="231F20"/>
          <w:spacing w:val="-12"/>
        </w:rPr>
        <w:t> </w:t>
      </w:r>
      <w:r>
        <w:rPr>
          <w:color w:val="231F20"/>
        </w:rPr>
        <w:t>Маљуревац,</w:t>
      </w:r>
      <w:r>
        <w:rPr>
          <w:color w:val="231F20"/>
          <w:spacing w:val="-12"/>
        </w:rPr>
        <w:t> </w:t>
      </w:r>
      <w:r>
        <w:rPr>
          <w:color w:val="231F20"/>
        </w:rPr>
        <w:t>Бу- бушинац и Кличевац, са успостављањем зона заштите свих тих водовода;</w:t>
      </w:r>
    </w:p>
    <w:p>
      <w:pPr>
        <w:pStyle w:val="BodyText"/>
        <w:spacing w:line="232" w:lineRule="auto" w:before="1"/>
        <w:ind w:right="38" w:firstLine="397"/>
      </w:pPr>
      <w:r>
        <w:rPr>
          <w:color w:val="231F20"/>
          <w:w w:val="66"/>
        </w:rPr>
        <w:t> </w:t>
      </w:r>
      <w:r>
        <w:rPr>
          <w:color w:val="231F20"/>
        </w:rPr>
        <w:t>– завршетак Генералног пројекта за реконструкцију и про- ширење канализације за отпадне воде Пожаревца и њему грави- тирајућих насеља, доношење одлуке о начину реализације ППОВ (реконструкција и проширење постојећег или реализација новог);</w:t>
      </w:r>
    </w:p>
    <w:p>
      <w:pPr>
        <w:pStyle w:val="BodyText"/>
        <w:spacing w:line="232" w:lineRule="auto" w:before="1"/>
        <w:ind w:right="38" w:firstLine="396"/>
      </w:pPr>
      <w:r>
        <w:rPr>
          <w:color w:val="231F20"/>
          <w:w w:val="66"/>
        </w:rPr>
        <w:t> </w:t>
      </w:r>
      <w:r>
        <w:rPr>
          <w:color w:val="231F20"/>
        </w:rPr>
        <w:t>–</w:t>
      </w:r>
      <w:r>
        <w:rPr>
          <w:color w:val="231F20"/>
          <w:spacing w:val="-8"/>
        </w:rPr>
        <w:t> </w:t>
      </w:r>
      <w:r>
        <w:rPr>
          <w:color w:val="231F20"/>
        </w:rPr>
        <w:t>израда</w:t>
      </w:r>
      <w:r>
        <w:rPr>
          <w:color w:val="231F20"/>
          <w:spacing w:val="-8"/>
        </w:rPr>
        <w:t> </w:t>
      </w:r>
      <w:r>
        <w:rPr>
          <w:color w:val="231F20"/>
        </w:rPr>
        <w:t>Генералног</w:t>
      </w:r>
      <w:r>
        <w:rPr>
          <w:color w:val="231F20"/>
          <w:spacing w:val="-7"/>
        </w:rPr>
        <w:t> </w:t>
      </w:r>
      <w:r>
        <w:rPr>
          <w:color w:val="231F20"/>
        </w:rPr>
        <w:t>пројекта</w:t>
      </w:r>
      <w:r>
        <w:rPr>
          <w:color w:val="231F20"/>
          <w:spacing w:val="-8"/>
        </w:rPr>
        <w:t> </w:t>
      </w:r>
      <w:r>
        <w:rPr>
          <w:color w:val="231F20"/>
        </w:rPr>
        <w:t>обнове</w:t>
      </w:r>
      <w:r>
        <w:rPr>
          <w:color w:val="231F20"/>
          <w:spacing w:val="-8"/>
        </w:rPr>
        <w:t> </w:t>
      </w:r>
      <w:r>
        <w:rPr>
          <w:color w:val="231F20"/>
        </w:rPr>
        <w:t>и</w:t>
      </w:r>
      <w:r>
        <w:rPr>
          <w:color w:val="231F20"/>
          <w:spacing w:val="-8"/>
        </w:rPr>
        <w:t> </w:t>
      </w:r>
      <w:r>
        <w:rPr>
          <w:color w:val="231F20"/>
        </w:rPr>
        <w:t>проширења</w:t>
      </w:r>
      <w:r>
        <w:rPr>
          <w:color w:val="231F20"/>
          <w:spacing w:val="-8"/>
        </w:rPr>
        <w:t> </w:t>
      </w:r>
      <w:r>
        <w:rPr>
          <w:color w:val="231F20"/>
        </w:rPr>
        <w:t>канализа- ције Костолца и пројекта ППОВ;</w:t>
      </w:r>
      <w:r>
        <w:rPr>
          <w:color w:val="231F20"/>
          <w:spacing w:val="-5"/>
        </w:rPr>
        <w:t> </w:t>
      </w:r>
      <w:r>
        <w:rPr>
          <w:color w:val="231F20"/>
        </w:rPr>
        <w:t>и</w:t>
      </w:r>
    </w:p>
    <w:p>
      <w:pPr>
        <w:pStyle w:val="BodyText"/>
        <w:spacing w:line="232" w:lineRule="auto"/>
        <w:ind w:right="38" w:firstLine="396"/>
      </w:pPr>
      <w:r>
        <w:rPr>
          <w:color w:val="231F20"/>
          <w:w w:val="66"/>
        </w:rPr>
        <w:t> </w:t>
      </w:r>
      <w:r>
        <w:rPr>
          <w:color w:val="231F20"/>
        </w:rPr>
        <w:t>– израда Идејног пројекта проширења Пожаревачког водо- водног система и Студије оправданости, дефинисање свих објека- та система и резервисање потребних простора за објекте (извори- шта, резервоари, пумпне станице) плановима детаљне регулације.</w:t>
      </w:r>
    </w:p>
    <w:p>
      <w:pPr>
        <w:pStyle w:val="BodyText"/>
        <w:spacing w:before="167"/>
        <w:ind w:left="1652"/>
        <w:jc w:val="left"/>
      </w:pPr>
      <w:r>
        <w:rPr>
          <w:color w:val="231F20"/>
        </w:rPr>
        <w:t>Енергетска инфраструктура</w:t>
      </w:r>
    </w:p>
    <w:p>
      <w:pPr>
        <w:pStyle w:val="BodyText"/>
        <w:spacing w:before="4"/>
        <w:ind w:left="0"/>
        <w:jc w:val="left"/>
        <w:rPr>
          <w:sz w:val="17"/>
        </w:rPr>
      </w:pPr>
    </w:p>
    <w:p>
      <w:pPr>
        <w:pStyle w:val="BodyText"/>
        <w:spacing w:line="232" w:lineRule="auto"/>
        <w:ind w:right="38" w:firstLine="396"/>
      </w:pPr>
      <w:r>
        <w:rPr>
          <w:color w:val="231F20"/>
        </w:rPr>
        <w:t>За остваривање предвиђеног развоја транспорта и преноса енергије</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spacing w:val="-3"/>
        </w:rPr>
        <w:t>Костолачког</w:t>
      </w:r>
      <w:r>
        <w:rPr>
          <w:color w:val="231F20"/>
          <w:spacing w:val="-6"/>
        </w:rPr>
        <w:t> </w:t>
      </w:r>
      <w:r>
        <w:rPr>
          <w:color w:val="231F20"/>
        </w:rPr>
        <w:t>басена</w:t>
      </w:r>
      <w:r>
        <w:rPr>
          <w:color w:val="231F20"/>
          <w:spacing w:val="-6"/>
        </w:rPr>
        <w:t> </w:t>
      </w:r>
      <w:r>
        <w:rPr>
          <w:color w:val="231F20"/>
        </w:rPr>
        <w:t>у</w:t>
      </w:r>
      <w:r>
        <w:rPr>
          <w:color w:val="231F20"/>
          <w:spacing w:val="-6"/>
        </w:rPr>
        <w:t> </w:t>
      </w:r>
      <w:r>
        <w:rPr>
          <w:color w:val="231F20"/>
        </w:rPr>
        <w:t>наредном</w:t>
      </w:r>
      <w:r>
        <w:rPr>
          <w:color w:val="231F20"/>
          <w:spacing w:val="-6"/>
        </w:rPr>
        <w:t> </w:t>
      </w:r>
      <w:r>
        <w:rPr>
          <w:color w:val="231F20"/>
        </w:rPr>
        <w:t>периоду</w:t>
      </w:r>
      <w:r>
        <w:rPr>
          <w:color w:val="231F20"/>
          <w:spacing w:val="-6"/>
        </w:rPr>
        <w:t> </w:t>
      </w:r>
      <w:r>
        <w:rPr>
          <w:color w:val="231F20"/>
        </w:rPr>
        <w:t>потреб- но је</w:t>
      </w:r>
      <w:r>
        <w:rPr>
          <w:color w:val="231F20"/>
          <w:spacing w:val="-2"/>
        </w:rPr>
        <w:t> </w:t>
      </w:r>
      <w:r>
        <w:rPr>
          <w:color w:val="231F20"/>
        </w:rPr>
        <w:t>следеће:</w:t>
      </w:r>
    </w:p>
    <w:p>
      <w:pPr>
        <w:pStyle w:val="BodyText"/>
        <w:spacing w:line="232" w:lineRule="auto" w:before="1"/>
        <w:ind w:right="38" w:firstLine="396"/>
      </w:pPr>
      <w:r>
        <w:rPr>
          <w:color w:val="231F20"/>
          <w:w w:val="66"/>
        </w:rPr>
        <w:t> </w:t>
      </w:r>
      <w:r>
        <w:rPr>
          <w:color w:val="231F20"/>
        </w:rPr>
        <w:t>– извршити реконструкцију ТС 110/35 kV Пожаревац и да- лековода од 110 kV Београд 3 – Костолац (ЈП „Електромреже Ср- бије”);</w:t>
      </w:r>
    </w:p>
    <w:p>
      <w:pPr>
        <w:pStyle w:val="BodyText"/>
        <w:spacing w:line="232" w:lineRule="auto" w:before="73"/>
        <w:ind w:right="411" w:firstLine="396"/>
      </w:pPr>
      <w:r>
        <w:rPr/>
        <w:br w:type="column"/>
      </w:r>
      <w:r>
        <w:rPr>
          <w:color w:val="231F20"/>
          <w:w w:val="66"/>
        </w:rPr>
        <w:t> </w:t>
      </w:r>
      <w:r>
        <w:rPr>
          <w:color w:val="231F20"/>
        </w:rPr>
        <w:t>– обезбедити измештање постојећих водова и ускладити</w:t>
      </w:r>
      <w:r>
        <w:rPr>
          <w:color w:val="231F20"/>
          <w:spacing w:val="-33"/>
        </w:rPr>
        <w:t> </w:t>
      </w:r>
      <w:r>
        <w:rPr>
          <w:color w:val="231F20"/>
        </w:rPr>
        <w:t>гра- ђење</w:t>
      </w:r>
      <w:r>
        <w:rPr>
          <w:color w:val="231F20"/>
          <w:spacing w:val="18"/>
        </w:rPr>
        <w:t> </w:t>
      </w:r>
      <w:r>
        <w:rPr>
          <w:color w:val="231F20"/>
        </w:rPr>
        <w:t>нове</w:t>
      </w:r>
      <w:r>
        <w:rPr>
          <w:color w:val="231F20"/>
          <w:spacing w:val="18"/>
        </w:rPr>
        <w:t> </w:t>
      </w:r>
      <w:r>
        <w:rPr>
          <w:color w:val="231F20"/>
        </w:rPr>
        <w:t>дистрибутивне</w:t>
      </w:r>
      <w:r>
        <w:rPr>
          <w:color w:val="231F20"/>
          <w:spacing w:val="18"/>
        </w:rPr>
        <w:t> </w:t>
      </w:r>
      <w:r>
        <w:rPr>
          <w:color w:val="231F20"/>
        </w:rPr>
        <w:t>мреже</w:t>
      </w:r>
      <w:r>
        <w:rPr>
          <w:color w:val="231F20"/>
          <w:spacing w:val="18"/>
        </w:rPr>
        <w:t> </w:t>
      </w:r>
      <w:r>
        <w:rPr>
          <w:color w:val="231F20"/>
        </w:rPr>
        <w:t>са</w:t>
      </w:r>
      <w:r>
        <w:rPr>
          <w:color w:val="231F20"/>
          <w:spacing w:val="18"/>
        </w:rPr>
        <w:t> </w:t>
      </w:r>
      <w:r>
        <w:rPr>
          <w:color w:val="231F20"/>
        </w:rPr>
        <w:t>динамиком</w:t>
      </w:r>
      <w:r>
        <w:rPr>
          <w:color w:val="231F20"/>
          <w:spacing w:val="18"/>
        </w:rPr>
        <w:t> </w:t>
      </w:r>
      <w:r>
        <w:rPr>
          <w:color w:val="231F20"/>
        </w:rPr>
        <w:t>проширења</w:t>
      </w:r>
      <w:r>
        <w:rPr>
          <w:color w:val="231F20"/>
          <w:spacing w:val="18"/>
        </w:rPr>
        <w:t> </w:t>
      </w:r>
      <w:r>
        <w:rPr>
          <w:color w:val="231F20"/>
          <w:spacing w:val="-3"/>
        </w:rPr>
        <w:t>копа</w:t>
      </w:r>
    </w:p>
    <w:p>
      <w:pPr>
        <w:pStyle w:val="BodyText"/>
        <w:spacing w:line="201" w:lineRule="exact"/>
        <w:jc w:val="left"/>
      </w:pPr>
      <w:r>
        <w:rPr>
          <w:color w:val="231F20"/>
        </w:rPr>
        <w:t>„Дрмно” (ЈП „ЕПС” – ПД Костолац);</w:t>
      </w:r>
    </w:p>
    <w:p>
      <w:pPr>
        <w:pStyle w:val="BodyText"/>
        <w:spacing w:line="235" w:lineRule="auto" w:before="1"/>
        <w:ind w:right="411" w:firstLine="396"/>
      </w:pPr>
      <w:r>
        <w:rPr>
          <w:color w:val="231F20"/>
          <w:w w:val="66"/>
        </w:rPr>
        <w:t> </w:t>
      </w:r>
      <w:r>
        <w:rPr>
          <w:color w:val="231F20"/>
        </w:rPr>
        <w:t>– имајући у виду значај истраживања и производње нафте и гаса на </w:t>
      </w:r>
      <w:r>
        <w:rPr>
          <w:color w:val="231F20"/>
          <w:spacing w:val="-3"/>
        </w:rPr>
        <w:t>Планском </w:t>
      </w:r>
      <w:r>
        <w:rPr>
          <w:color w:val="231F20"/>
        </w:rPr>
        <w:t>подручју неопходно је заштитити предвиђене коридоре</w:t>
      </w:r>
      <w:r>
        <w:rPr>
          <w:color w:val="231F20"/>
          <w:spacing w:val="-7"/>
        </w:rPr>
        <w:t> </w:t>
      </w:r>
      <w:r>
        <w:rPr>
          <w:color w:val="231F20"/>
        </w:rPr>
        <w:t>за</w:t>
      </w:r>
      <w:r>
        <w:rPr>
          <w:color w:val="231F20"/>
          <w:spacing w:val="-7"/>
        </w:rPr>
        <w:t> </w:t>
      </w:r>
      <w:r>
        <w:rPr>
          <w:color w:val="231F20"/>
        </w:rPr>
        <w:t>производне</w:t>
      </w:r>
      <w:r>
        <w:rPr>
          <w:color w:val="231F20"/>
          <w:spacing w:val="-7"/>
        </w:rPr>
        <w:t> </w:t>
      </w:r>
      <w:r>
        <w:rPr>
          <w:color w:val="231F20"/>
        </w:rPr>
        <w:t>нафтоводе</w:t>
      </w:r>
      <w:r>
        <w:rPr>
          <w:color w:val="231F20"/>
          <w:spacing w:val="-7"/>
        </w:rPr>
        <w:t> </w:t>
      </w:r>
      <w:r>
        <w:rPr>
          <w:color w:val="231F20"/>
        </w:rPr>
        <w:t>и</w:t>
      </w:r>
      <w:r>
        <w:rPr>
          <w:color w:val="231F20"/>
          <w:spacing w:val="-7"/>
        </w:rPr>
        <w:t> </w:t>
      </w:r>
      <w:r>
        <w:rPr>
          <w:color w:val="231F20"/>
        </w:rPr>
        <w:t>гасоводе</w:t>
      </w:r>
      <w:r>
        <w:rPr>
          <w:color w:val="231F20"/>
          <w:spacing w:val="-7"/>
        </w:rPr>
        <w:t> </w:t>
      </w:r>
      <w:r>
        <w:rPr>
          <w:color w:val="231F20"/>
        </w:rPr>
        <w:t>и</w:t>
      </w:r>
      <w:r>
        <w:rPr>
          <w:color w:val="231F20"/>
          <w:spacing w:val="-7"/>
        </w:rPr>
        <w:t> </w:t>
      </w:r>
      <w:r>
        <w:rPr>
          <w:color w:val="231F20"/>
        </w:rPr>
        <w:t>везу</w:t>
      </w:r>
      <w:r>
        <w:rPr>
          <w:color w:val="231F20"/>
          <w:spacing w:val="-7"/>
        </w:rPr>
        <w:t> </w:t>
      </w:r>
      <w:r>
        <w:rPr>
          <w:color w:val="231F20"/>
        </w:rPr>
        <w:t>са</w:t>
      </w:r>
      <w:r>
        <w:rPr>
          <w:color w:val="231F20"/>
          <w:spacing w:val="-7"/>
        </w:rPr>
        <w:t> </w:t>
      </w:r>
      <w:r>
        <w:rPr>
          <w:color w:val="231F20"/>
        </w:rPr>
        <w:t>гасним</w:t>
      </w:r>
      <w:r>
        <w:rPr>
          <w:color w:val="231F20"/>
          <w:spacing w:val="-7"/>
        </w:rPr>
        <w:t> </w:t>
      </w:r>
      <w:r>
        <w:rPr>
          <w:color w:val="231F20"/>
        </w:rPr>
        <w:t>по- љем „Острово” (град Пожаревац, НИС</w:t>
      </w:r>
      <w:r>
        <w:rPr>
          <w:color w:val="231F20"/>
          <w:spacing w:val="-5"/>
        </w:rPr>
        <w:t> </w:t>
      </w:r>
      <w:r>
        <w:rPr>
          <w:color w:val="231F20"/>
        </w:rPr>
        <w:t>А.Д);</w:t>
      </w:r>
    </w:p>
    <w:p>
      <w:pPr>
        <w:pStyle w:val="BodyText"/>
        <w:spacing w:line="235" w:lineRule="auto" w:before="2"/>
        <w:ind w:right="411" w:firstLine="396"/>
      </w:pPr>
      <w:r>
        <w:rPr>
          <w:color w:val="231F20"/>
          <w:w w:val="66"/>
        </w:rPr>
        <w:t> </w:t>
      </w:r>
      <w:r>
        <w:rPr>
          <w:color w:val="231F20"/>
        </w:rPr>
        <w:t>– настави рад на развијању система даљинског грејања на Планском подручју (ЈКП „Топлификација”);</w:t>
      </w:r>
    </w:p>
    <w:p>
      <w:pPr>
        <w:pStyle w:val="BodyText"/>
        <w:spacing w:line="202" w:lineRule="exact"/>
        <w:ind w:left="567"/>
        <w:jc w:val="left"/>
      </w:pPr>
      <w:r>
        <w:rPr>
          <w:color w:val="231F20"/>
          <w:w w:val="66"/>
        </w:rPr>
        <w:t> </w:t>
      </w:r>
      <w:r>
        <w:rPr>
          <w:color w:val="231F20"/>
        </w:rPr>
        <w:t>– изгради разводни гасовод до Пожаревца (ЈП „Србијагас”); и</w:t>
      </w:r>
    </w:p>
    <w:p>
      <w:pPr>
        <w:pStyle w:val="BodyText"/>
        <w:spacing w:line="235" w:lineRule="auto" w:before="1"/>
        <w:ind w:right="411" w:firstLine="397"/>
      </w:pPr>
      <w:r>
        <w:rPr>
          <w:color w:val="231F20"/>
          <w:w w:val="66"/>
        </w:rPr>
        <w:t> </w:t>
      </w:r>
      <w:r>
        <w:rPr>
          <w:color w:val="231F20"/>
        </w:rPr>
        <w:t>– да надлежни локални органи убрзају рад на разради про- јектних решења за снабдевање гасом индустрије и широке потро- шње (град Пожаревац).</w:t>
      </w:r>
    </w:p>
    <w:p>
      <w:pPr>
        <w:pStyle w:val="BodyText"/>
        <w:spacing w:line="432" w:lineRule="auto" w:before="168"/>
        <w:ind w:left="522" w:right="763"/>
        <w:jc w:val="center"/>
      </w:pPr>
      <w:r>
        <w:rPr>
          <w:color w:val="231F20"/>
        </w:rPr>
        <w:t>Телекомуникације и поштански саобраћај Телекомуникације</w:t>
      </w:r>
    </w:p>
    <w:p>
      <w:pPr>
        <w:pStyle w:val="BodyText"/>
        <w:spacing w:line="235" w:lineRule="auto" w:before="38"/>
        <w:ind w:left="142" w:right="410" w:firstLine="396"/>
        <w:jc w:val="right"/>
      </w:pPr>
      <w:r>
        <w:rPr>
          <w:color w:val="231F20"/>
        </w:rPr>
        <w:t>Основни приоритет у развоју телекомуникација на Планском подручју је увођење савремених телекомуникационих чворишта у постојећу мрежу, уместо застарелих аутоматских телефонских централа, које су монтиране деведесетих година прошлог века. Набавком и монтажом мултисервисних приступних чворова и ди- гиталних претплатничких мултиплексера, омогућиће свим кори- сницима приступ интернету и коришћење свих осталих савреме- них телекомуникационих услуга преко широкопојасног приступа. Приоритетни пројекти које треба реализовати до 2015. годи-</w:t>
      </w:r>
    </w:p>
    <w:p>
      <w:pPr>
        <w:pStyle w:val="BodyText"/>
        <w:spacing w:line="235" w:lineRule="auto" w:before="4"/>
        <w:ind w:right="343"/>
        <w:jc w:val="left"/>
      </w:pPr>
      <w:r>
        <w:rPr>
          <w:color w:val="231F20"/>
        </w:rPr>
        <w:t>не су имплементација средњорочног плана развоја „Телекома Ср- бија”, који предвиђа:</w:t>
      </w:r>
    </w:p>
    <w:p>
      <w:pPr>
        <w:pStyle w:val="BodyText"/>
        <w:spacing w:line="235" w:lineRule="auto"/>
        <w:ind w:right="411" w:firstLine="396"/>
      </w:pPr>
      <w:r>
        <w:rPr>
          <w:color w:val="231F20"/>
          <w:w w:val="66"/>
        </w:rPr>
        <w:t> </w:t>
      </w:r>
      <w:r>
        <w:rPr>
          <w:color w:val="231F20"/>
        </w:rPr>
        <w:t>–</w:t>
      </w:r>
      <w:r>
        <w:rPr>
          <w:color w:val="231F20"/>
          <w:spacing w:val="-6"/>
        </w:rPr>
        <w:t> </w:t>
      </w:r>
      <w:r>
        <w:rPr>
          <w:color w:val="231F20"/>
        </w:rPr>
        <w:t>набавку</w:t>
      </w:r>
      <w:r>
        <w:rPr>
          <w:color w:val="231F20"/>
          <w:spacing w:val="-6"/>
        </w:rPr>
        <w:t> </w:t>
      </w:r>
      <w:r>
        <w:rPr>
          <w:color w:val="231F20"/>
        </w:rPr>
        <w:t>и</w:t>
      </w:r>
      <w:r>
        <w:rPr>
          <w:color w:val="231F20"/>
          <w:spacing w:val="-6"/>
        </w:rPr>
        <w:t> </w:t>
      </w:r>
      <w:r>
        <w:rPr>
          <w:color w:val="231F20"/>
        </w:rPr>
        <w:t>монтажу</w:t>
      </w:r>
      <w:r>
        <w:rPr>
          <w:color w:val="231F20"/>
          <w:spacing w:val="-6"/>
        </w:rPr>
        <w:t> </w:t>
      </w:r>
      <w:r>
        <w:rPr>
          <w:color w:val="231F20"/>
        </w:rPr>
        <w:t>13</w:t>
      </w:r>
      <w:r>
        <w:rPr>
          <w:color w:val="231F20"/>
          <w:spacing w:val="-6"/>
        </w:rPr>
        <w:t> </w:t>
      </w:r>
      <w:r>
        <w:rPr>
          <w:color w:val="231F20"/>
        </w:rPr>
        <w:t>нових</w:t>
      </w:r>
      <w:r>
        <w:rPr>
          <w:color w:val="231F20"/>
          <w:spacing w:val="-6"/>
        </w:rPr>
        <w:t> </w:t>
      </w:r>
      <w:r>
        <w:rPr>
          <w:color w:val="231F20"/>
          <w:spacing w:val="-3"/>
        </w:rPr>
        <w:t>МСАН</w:t>
      </w:r>
      <w:r>
        <w:rPr>
          <w:color w:val="231F20"/>
          <w:spacing w:val="-6"/>
        </w:rPr>
        <w:t> </w:t>
      </w:r>
      <w:r>
        <w:rPr>
          <w:color w:val="231F20"/>
        </w:rPr>
        <w:t>и</w:t>
      </w:r>
      <w:r>
        <w:rPr>
          <w:color w:val="231F20"/>
          <w:spacing w:val="-6"/>
        </w:rPr>
        <w:t> </w:t>
      </w:r>
      <w:r>
        <w:rPr>
          <w:color w:val="231F20"/>
        </w:rPr>
        <w:t>ДСЛАМ</w:t>
      </w:r>
      <w:r>
        <w:rPr>
          <w:color w:val="231F20"/>
          <w:spacing w:val="-6"/>
        </w:rPr>
        <w:t> </w:t>
      </w:r>
      <w:r>
        <w:rPr>
          <w:color w:val="231F20"/>
        </w:rPr>
        <w:t>чвора</w:t>
      </w:r>
      <w:r>
        <w:rPr>
          <w:color w:val="231F20"/>
          <w:spacing w:val="-6"/>
        </w:rPr>
        <w:t> </w:t>
      </w:r>
      <w:r>
        <w:rPr>
          <w:color w:val="231F20"/>
        </w:rPr>
        <w:t>у</w:t>
      </w:r>
      <w:r>
        <w:rPr>
          <w:color w:val="231F20"/>
          <w:spacing w:val="-6"/>
        </w:rPr>
        <w:t> </w:t>
      </w:r>
      <w:r>
        <w:rPr>
          <w:color w:val="231F20"/>
        </w:rPr>
        <w:t>гра- ду Пожаревцу</w:t>
      </w:r>
      <w:r>
        <w:rPr>
          <w:color w:val="231F20"/>
          <w:spacing w:val="-2"/>
        </w:rPr>
        <w:t> </w:t>
      </w:r>
      <w:r>
        <w:rPr>
          <w:color w:val="231F20"/>
        </w:rPr>
        <w:t>и</w:t>
      </w:r>
    </w:p>
    <w:p>
      <w:pPr>
        <w:pStyle w:val="BodyText"/>
        <w:spacing w:line="235" w:lineRule="auto" w:before="1"/>
        <w:ind w:right="411" w:firstLine="396"/>
      </w:pPr>
      <w:r>
        <w:rPr>
          <w:color w:val="231F20"/>
          <w:w w:val="66"/>
        </w:rPr>
        <w:t> </w:t>
      </w:r>
      <w:r>
        <w:rPr>
          <w:color w:val="231F20"/>
        </w:rPr>
        <w:t>–</w:t>
      </w:r>
      <w:r>
        <w:rPr>
          <w:color w:val="231F20"/>
          <w:spacing w:val="-5"/>
        </w:rPr>
        <w:t> </w:t>
      </w:r>
      <w:r>
        <w:rPr>
          <w:color w:val="231F20"/>
        </w:rPr>
        <w:t>набавку</w:t>
      </w:r>
      <w:r>
        <w:rPr>
          <w:color w:val="231F20"/>
          <w:spacing w:val="-5"/>
        </w:rPr>
        <w:t> </w:t>
      </w:r>
      <w:r>
        <w:rPr>
          <w:color w:val="231F20"/>
        </w:rPr>
        <w:t>и</w:t>
      </w:r>
      <w:r>
        <w:rPr>
          <w:color w:val="231F20"/>
          <w:spacing w:val="-5"/>
        </w:rPr>
        <w:t> </w:t>
      </w:r>
      <w:r>
        <w:rPr>
          <w:color w:val="231F20"/>
        </w:rPr>
        <w:t>монтажу</w:t>
      </w:r>
      <w:r>
        <w:rPr>
          <w:color w:val="231F20"/>
          <w:spacing w:val="-5"/>
        </w:rPr>
        <w:t> </w:t>
      </w:r>
      <w:r>
        <w:rPr>
          <w:color w:val="231F20"/>
        </w:rPr>
        <w:t>20</w:t>
      </w:r>
      <w:r>
        <w:rPr>
          <w:color w:val="231F20"/>
          <w:spacing w:val="-5"/>
        </w:rPr>
        <w:t> </w:t>
      </w:r>
      <w:r>
        <w:rPr>
          <w:color w:val="231F20"/>
          <w:spacing w:val="-3"/>
        </w:rPr>
        <w:t>МСАН</w:t>
      </w:r>
      <w:r>
        <w:rPr>
          <w:color w:val="231F20"/>
          <w:spacing w:val="-5"/>
        </w:rPr>
        <w:t> </w:t>
      </w:r>
      <w:r>
        <w:rPr>
          <w:color w:val="231F20"/>
        </w:rPr>
        <w:t>и</w:t>
      </w:r>
      <w:r>
        <w:rPr>
          <w:color w:val="231F20"/>
          <w:spacing w:val="-5"/>
        </w:rPr>
        <w:t> </w:t>
      </w:r>
      <w:r>
        <w:rPr>
          <w:color w:val="231F20"/>
        </w:rPr>
        <w:t>ДСЛАМ</w:t>
      </w:r>
      <w:r>
        <w:rPr>
          <w:color w:val="231F20"/>
          <w:spacing w:val="-5"/>
        </w:rPr>
        <w:t> </w:t>
      </w:r>
      <w:r>
        <w:rPr>
          <w:color w:val="231F20"/>
        </w:rPr>
        <w:t>чворова</w:t>
      </w:r>
      <w:r>
        <w:rPr>
          <w:color w:val="231F20"/>
          <w:spacing w:val="-5"/>
        </w:rPr>
        <w:t> </w:t>
      </w:r>
      <w:r>
        <w:rPr>
          <w:color w:val="231F20"/>
        </w:rPr>
        <w:t>у</w:t>
      </w:r>
      <w:r>
        <w:rPr>
          <w:color w:val="231F20"/>
          <w:spacing w:val="-5"/>
        </w:rPr>
        <w:t> </w:t>
      </w:r>
      <w:r>
        <w:rPr>
          <w:color w:val="231F20"/>
        </w:rPr>
        <w:t>осталим местима.</w:t>
      </w:r>
    </w:p>
    <w:p>
      <w:pPr>
        <w:pStyle w:val="BodyText"/>
        <w:spacing w:before="168"/>
        <w:ind w:left="522" w:right="762"/>
        <w:jc w:val="center"/>
      </w:pPr>
      <w:r>
        <w:rPr>
          <w:color w:val="231F20"/>
        </w:rPr>
        <w:t>Пошта</w:t>
      </w:r>
    </w:p>
    <w:p>
      <w:pPr>
        <w:pStyle w:val="BodyText"/>
        <w:spacing w:before="7"/>
        <w:ind w:left="0"/>
        <w:jc w:val="left"/>
        <w:rPr>
          <w:sz w:val="17"/>
        </w:rPr>
      </w:pPr>
    </w:p>
    <w:p>
      <w:pPr>
        <w:pStyle w:val="BodyText"/>
        <w:spacing w:line="235" w:lineRule="auto"/>
        <w:ind w:right="411" w:firstLine="397"/>
      </w:pPr>
      <w:r>
        <w:rPr>
          <w:color w:val="231F20"/>
        </w:rPr>
        <w:t>Основни приоритет у области поштанских услуга јесте да се ове услуге учине доступним становништву у удаљенијим насељи- ма и да се уведу нове услуге.</w:t>
      </w:r>
    </w:p>
    <w:p>
      <w:pPr>
        <w:pStyle w:val="BodyText"/>
        <w:spacing w:before="168"/>
        <w:ind w:left="522" w:right="763"/>
        <w:jc w:val="center"/>
      </w:pPr>
      <w:r>
        <w:rPr>
          <w:color w:val="231F20"/>
        </w:rPr>
        <w:t>Комунални објекти</w:t>
      </w:r>
    </w:p>
    <w:p>
      <w:pPr>
        <w:pStyle w:val="BodyText"/>
        <w:spacing w:before="7"/>
        <w:ind w:left="0"/>
        <w:jc w:val="left"/>
        <w:rPr>
          <w:sz w:val="17"/>
        </w:rPr>
      </w:pPr>
    </w:p>
    <w:p>
      <w:pPr>
        <w:pStyle w:val="BodyText"/>
        <w:spacing w:line="235" w:lineRule="auto"/>
        <w:ind w:right="411" w:firstLine="396"/>
      </w:pPr>
      <w:r>
        <w:rPr>
          <w:color w:val="231F20"/>
        </w:rPr>
        <w:t>Ефикасније управљање комуналним отпадом, одржавање гробаља и пијачних простора оствариваће се спровођењем следе- ћих смерница:</w:t>
      </w:r>
    </w:p>
    <w:p>
      <w:pPr>
        <w:pStyle w:val="ListParagraph"/>
        <w:numPr>
          <w:ilvl w:val="0"/>
          <w:numId w:val="44"/>
        </w:numPr>
        <w:tabs>
          <w:tab w:pos="763" w:val="left" w:leader="none"/>
        </w:tabs>
        <w:spacing w:line="203" w:lineRule="exact" w:before="0" w:after="0"/>
        <w:ind w:left="762" w:right="0" w:hanging="195"/>
        <w:jc w:val="left"/>
        <w:rPr>
          <w:sz w:val="18"/>
        </w:rPr>
      </w:pPr>
      <w:r>
        <w:rPr>
          <w:color w:val="231F20"/>
          <w:sz w:val="18"/>
        </w:rPr>
        <w:t>интегрално управљање комуналним</w:t>
      </w:r>
      <w:r>
        <w:rPr>
          <w:color w:val="231F20"/>
          <w:spacing w:val="-6"/>
          <w:sz w:val="18"/>
        </w:rPr>
        <w:t> </w:t>
      </w:r>
      <w:r>
        <w:rPr>
          <w:color w:val="231F20"/>
          <w:sz w:val="18"/>
        </w:rPr>
        <w:t>отпадом:</w:t>
      </w:r>
    </w:p>
    <w:p>
      <w:pPr>
        <w:pStyle w:val="BodyText"/>
        <w:spacing w:line="235" w:lineRule="auto" w:before="2"/>
        <w:ind w:right="411" w:firstLine="397"/>
      </w:pPr>
      <w:r>
        <w:rPr>
          <w:color w:val="231F20"/>
          <w:w w:val="66"/>
        </w:rPr>
        <w:t> </w:t>
      </w:r>
      <w:r>
        <w:rPr>
          <w:color w:val="231F20"/>
        </w:rPr>
        <w:t>– интензивирање изградње регионалне депоније и трансфер станица у општини;</w:t>
      </w:r>
    </w:p>
    <w:p>
      <w:pPr>
        <w:pStyle w:val="BodyText"/>
        <w:spacing w:line="235" w:lineRule="auto"/>
        <w:ind w:left="169" w:right="411" w:firstLine="397"/>
      </w:pPr>
      <w:r>
        <w:rPr>
          <w:color w:val="231F20"/>
          <w:w w:val="66"/>
        </w:rPr>
        <w:t> </w:t>
      </w:r>
      <w:r>
        <w:rPr>
          <w:color w:val="231F20"/>
        </w:rPr>
        <w:t>– израда пројектне документације за санитарно уређење, за- тварање и рекултивацију постојећих несанитараних депонија и сметлишта;</w:t>
      </w:r>
    </w:p>
    <w:p>
      <w:pPr>
        <w:pStyle w:val="BodyText"/>
        <w:spacing w:line="235" w:lineRule="auto" w:before="1"/>
        <w:ind w:right="411" w:firstLine="396"/>
      </w:pPr>
      <w:r>
        <w:rPr>
          <w:color w:val="231F20"/>
          <w:w w:val="66"/>
        </w:rPr>
        <w:t> </w:t>
      </w:r>
      <w:r>
        <w:rPr>
          <w:color w:val="231F20"/>
        </w:rPr>
        <w:t>–</w:t>
      </w:r>
      <w:r>
        <w:rPr>
          <w:color w:val="231F20"/>
          <w:spacing w:val="-10"/>
        </w:rPr>
        <w:t> </w:t>
      </w:r>
      <w:r>
        <w:rPr>
          <w:color w:val="231F20"/>
        </w:rPr>
        <w:t>развој</w:t>
      </w:r>
      <w:r>
        <w:rPr>
          <w:color w:val="231F20"/>
          <w:spacing w:val="-10"/>
        </w:rPr>
        <w:t> </w:t>
      </w:r>
      <w:r>
        <w:rPr>
          <w:color w:val="231F20"/>
        </w:rPr>
        <w:t>система</w:t>
      </w:r>
      <w:r>
        <w:rPr>
          <w:color w:val="231F20"/>
          <w:spacing w:val="-10"/>
        </w:rPr>
        <w:t> </w:t>
      </w:r>
      <w:r>
        <w:rPr>
          <w:color w:val="231F20"/>
        </w:rPr>
        <w:t>селективног</w:t>
      </w:r>
      <w:r>
        <w:rPr>
          <w:color w:val="231F20"/>
          <w:spacing w:val="-10"/>
        </w:rPr>
        <w:t> </w:t>
      </w:r>
      <w:r>
        <w:rPr>
          <w:color w:val="231F20"/>
        </w:rPr>
        <w:t>прикупљања</w:t>
      </w:r>
      <w:r>
        <w:rPr>
          <w:color w:val="231F20"/>
          <w:spacing w:val="-10"/>
        </w:rPr>
        <w:t> </w:t>
      </w:r>
      <w:r>
        <w:rPr>
          <w:color w:val="231F20"/>
        </w:rPr>
        <w:t>и</w:t>
      </w:r>
      <w:r>
        <w:rPr>
          <w:color w:val="231F20"/>
          <w:spacing w:val="-10"/>
        </w:rPr>
        <w:t> </w:t>
      </w:r>
      <w:r>
        <w:rPr>
          <w:color w:val="231F20"/>
        </w:rPr>
        <w:t>сепарације</w:t>
      </w:r>
      <w:r>
        <w:rPr>
          <w:color w:val="231F20"/>
          <w:spacing w:val="-10"/>
        </w:rPr>
        <w:t> </w:t>
      </w:r>
      <w:r>
        <w:rPr>
          <w:color w:val="231F20"/>
        </w:rPr>
        <w:t>отпа- да на РЕТ </w:t>
      </w:r>
      <w:r>
        <w:rPr>
          <w:color w:val="231F20"/>
          <w:spacing w:val="-3"/>
        </w:rPr>
        <w:t>пластику, </w:t>
      </w:r>
      <w:r>
        <w:rPr>
          <w:color w:val="231F20"/>
        </w:rPr>
        <w:t>папир и картон;</w:t>
      </w:r>
      <w:r>
        <w:rPr>
          <w:color w:val="231F20"/>
          <w:spacing w:val="-3"/>
        </w:rPr>
        <w:t> </w:t>
      </w:r>
      <w:r>
        <w:rPr>
          <w:color w:val="231F20"/>
        </w:rPr>
        <w:t>и</w:t>
      </w:r>
    </w:p>
    <w:p>
      <w:pPr>
        <w:pStyle w:val="BodyText"/>
        <w:spacing w:line="202" w:lineRule="exact"/>
        <w:ind w:left="566"/>
        <w:jc w:val="left"/>
      </w:pPr>
      <w:r>
        <w:rPr>
          <w:color w:val="231F20"/>
          <w:w w:val="66"/>
        </w:rPr>
        <w:t> </w:t>
      </w:r>
      <w:r>
        <w:rPr>
          <w:color w:val="231F20"/>
        </w:rPr>
        <w:t>– организовање комуналних служби у руралним насељима;</w:t>
      </w:r>
    </w:p>
    <w:p>
      <w:pPr>
        <w:pStyle w:val="ListParagraph"/>
        <w:numPr>
          <w:ilvl w:val="0"/>
          <w:numId w:val="44"/>
        </w:numPr>
        <w:tabs>
          <w:tab w:pos="763" w:val="left" w:leader="none"/>
        </w:tabs>
        <w:spacing w:line="203" w:lineRule="exact" w:before="0" w:after="0"/>
        <w:ind w:left="762" w:right="0" w:hanging="195"/>
        <w:jc w:val="left"/>
        <w:rPr>
          <w:sz w:val="18"/>
        </w:rPr>
      </w:pPr>
      <w:r>
        <w:rPr>
          <w:color w:val="231F20"/>
          <w:sz w:val="18"/>
        </w:rPr>
        <w:t>управљање</w:t>
      </w:r>
      <w:r>
        <w:rPr>
          <w:color w:val="231F20"/>
          <w:spacing w:val="-2"/>
          <w:sz w:val="18"/>
        </w:rPr>
        <w:t> </w:t>
      </w:r>
      <w:r>
        <w:rPr>
          <w:color w:val="231F20"/>
          <w:sz w:val="18"/>
        </w:rPr>
        <w:t>гробљима:</w:t>
      </w:r>
    </w:p>
    <w:p>
      <w:pPr>
        <w:pStyle w:val="BodyText"/>
        <w:spacing w:line="235" w:lineRule="auto" w:before="2"/>
        <w:ind w:right="411" w:firstLine="396"/>
      </w:pPr>
      <w:r>
        <w:rPr>
          <w:color w:val="231F20"/>
          <w:w w:val="66"/>
        </w:rPr>
        <w:t> </w:t>
      </w:r>
      <w:r>
        <w:rPr>
          <w:color w:val="231F20"/>
        </w:rPr>
        <w:t>–</w:t>
      </w:r>
      <w:r>
        <w:rPr>
          <w:color w:val="231F20"/>
          <w:spacing w:val="-11"/>
        </w:rPr>
        <w:t> </w:t>
      </w:r>
      <w:r>
        <w:rPr>
          <w:color w:val="231F20"/>
        </w:rPr>
        <w:t>проширење</w:t>
      </w:r>
      <w:r>
        <w:rPr>
          <w:color w:val="231F20"/>
          <w:spacing w:val="-11"/>
        </w:rPr>
        <w:t> </w:t>
      </w:r>
      <w:r>
        <w:rPr>
          <w:color w:val="231F20"/>
        </w:rPr>
        <w:t>капацитета</w:t>
      </w:r>
      <w:r>
        <w:rPr>
          <w:color w:val="231F20"/>
          <w:spacing w:val="-11"/>
        </w:rPr>
        <w:t> </w:t>
      </w:r>
      <w:r>
        <w:rPr>
          <w:color w:val="231F20"/>
        </w:rPr>
        <w:t>гробаља</w:t>
      </w:r>
      <w:r>
        <w:rPr>
          <w:color w:val="231F20"/>
          <w:spacing w:val="-11"/>
        </w:rPr>
        <w:t> </w:t>
      </w:r>
      <w:r>
        <w:rPr>
          <w:color w:val="231F20"/>
        </w:rPr>
        <w:t>у</w:t>
      </w:r>
      <w:r>
        <w:rPr>
          <w:color w:val="231F20"/>
          <w:spacing w:val="-11"/>
        </w:rPr>
        <w:t> </w:t>
      </w:r>
      <w:r>
        <w:rPr>
          <w:color w:val="231F20"/>
        </w:rPr>
        <w:t>сеоским</w:t>
      </w:r>
      <w:r>
        <w:rPr>
          <w:color w:val="231F20"/>
          <w:spacing w:val="-11"/>
        </w:rPr>
        <w:t> </w:t>
      </w:r>
      <w:r>
        <w:rPr>
          <w:color w:val="231F20"/>
        </w:rPr>
        <w:t>срединама</w:t>
      </w:r>
      <w:r>
        <w:rPr>
          <w:color w:val="231F20"/>
          <w:spacing w:val="-11"/>
        </w:rPr>
        <w:t> </w:t>
      </w:r>
      <w:r>
        <w:rPr>
          <w:color w:val="231F20"/>
        </w:rPr>
        <w:t>и</w:t>
      </w:r>
      <w:r>
        <w:rPr>
          <w:color w:val="231F20"/>
          <w:spacing w:val="-11"/>
        </w:rPr>
        <w:t> </w:t>
      </w:r>
      <w:r>
        <w:rPr>
          <w:color w:val="231F20"/>
        </w:rPr>
        <w:t>њи- </w:t>
      </w:r>
      <w:r>
        <w:rPr>
          <w:color w:val="231F20"/>
          <w:spacing w:val="-3"/>
        </w:rPr>
        <w:t>хово </w:t>
      </w:r>
      <w:r>
        <w:rPr>
          <w:color w:val="231F20"/>
        </w:rPr>
        <w:t>адекватно опремање; и</w:t>
      </w:r>
    </w:p>
    <w:p>
      <w:pPr>
        <w:pStyle w:val="BodyText"/>
        <w:spacing w:line="235" w:lineRule="auto" w:before="1"/>
        <w:ind w:right="411" w:firstLine="397"/>
      </w:pPr>
      <w:r>
        <w:rPr>
          <w:color w:val="231F20"/>
          <w:w w:val="66"/>
        </w:rPr>
        <w:t> </w:t>
      </w:r>
      <w:r>
        <w:rPr>
          <w:color w:val="231F20"/>
        </w:rPr>
        <w:t>– утврђивање нових локација за сточна гробља на Планском подручју;</w:t>
      </w:r>
    </w:p>
    <w:p>
      <w:pPr>
        <w:pStyle w:val="ListParagraph"/>
        <w:numPr>
          <w:ilvl w:val="0"/>
          <w:numId w:val="44"/>
        </w:numPr>
        <w:tabs>
          <w:tab w:pos="762" w:val="left" w:leader="none"/>
        </w:tabs>
        <w:spacing w:line="202" w:lineRule="exact" w:before="0" w:after="0"/>
        <w:ind w:left="761" w:right="0" w:hanging="195"/>
        <w:jc w:val="left"/>
        <w:rPr>
          <w:sz w:val="18"/>
        </w:rPr>
      </w:pPr>
      <w:r>
        <w:rPr>
          <w:color w:val="231F20"/>
          <w:sz w:val="18"/>
        </w:rPr>
        <w:t>управљање</w:t>
      </w:r>
      <w:r>
        <w:rPr>
          <w:color w:val="231F20"/>
          <w:spacing w:val="-2"/>
          <w:sz w:val="18"/>
        </w:rPr>
        <w:t> </w:t>
      </w:r>
      <w:r>
        <w:rPr>
          <w:color w:val="231F20"/>
          <w:sz w:val="18"/>
        </w:rPr>
        <w:t>пијацама:</w:t>
      </w:r>
    </w:p>
    <w:p>
      <w:pPr>
        <w:pStyle w:val="BodyText"/>
        <w:spacing w:line="203" w:lineRule="exact"/>
        <w:ind w:left="566"/>
        <w:jc w:val="left"/>
      </w:pPr>
      <w:r>
        <w:rPr>
          <w:color w:val="231F20"/>
          <w:w w:val="66"/>
        </w:rPr>
        <w:t> </w:t>
      </w:r>
      <w:r>
        <w:rPr>
          <w:color w:val="231F20"/>
        </w:rPr>
        <w:t>– реконструкција постојећих пијаца;</w:t>
      </w:r>
    </w:p>
    <w:p>
      <w:pPr>
        <w:pStyle w:val="BodyText"/>
        <w:spacing w:line="203" w:lineRule="exact"/>
        <w:ind w:left="567"/>
        <w:jc w:val="left"/>
      </w:pPr>
      <w:r>
        <w:rPr>
          <w:color w:val="231F20"/>
          <w:w w:val="66"/>
        </w:rPr>
        <w:t> </w:t>
      </w:r>
      <w:r>
        <w:rPr>
          <w:color w:val="231F20"/>
        </w:rPr>
        <w:t>– побољшање хигијенских услова и уређење пијаца; и</w:t>
      </w:r>
    </w:p>
    <w:p>
      <w:pPr>
        <w:pStyle w:val="BodyText"/>
        <w:spacing w:line="205" w:lineRule="exact"/>
        <w:ind w:left="567"/>
        <w:jc w:val="left"/>
      </w:pPr>
      <w:r>
        <w:rPr>
          <w:color w:val="231F20"/>
          <w:w w:val="66"/>
        </w:rPr>
        <w:t> </w:t>
      </w:r>
      <w:r>
        <w:rPr>
          <w:color w:val="231F20"/>
        </w:rPr>
        <w:t>– изградња сточних пијаца у сеоским срединама.</w:t>
      </w:r>
    </w:p>
    <w:p>
      <w:pPr>
        <w:pStyle w:val="ListParagraph"/>
        <w:numPr>
          <w:ilvl w:val="2"/>
          <w:numId w:val="43"/>
        </w:numPr>
        <w:tabs>
          <w:tab w:pos="1379" w:val="left" w:leader="none"/>
        </w:tabs>
        <w:spacing w:line="235" w:lineRule="auto" w:before="169" w:after="0"/>
        <w:ind w:left="1969" w:right="1169" w:hanging="1041"/>
        <w:jc w:val="left"/>
        <w:rPr>
          <w:sz w:val="18"/>
        </w:rPr>
      </w:pPr>
      <w:r>
        <w:rPr>
          <w:color w:val="231F20"/>
          <w:spacing w:val="8"/>
          <w:sz w:val="18"/>
        </w:rPr>
        <w:t>Ст </w:t>
      </w:r>
      <w:r>
        <w:rPr>
          <w:color w:val="231F20"/>
          <w:spacing w:val="17"/>
          <w:sz w:val="18"/>
        </w:rPr>
        <w:t>ановништво, </w:t>
      </w:r>
      <w:r>
        <w:rPr>
          <w:color w:val="231F20"/>
          <w:spacing w:val="15"/>
          <w:sz w:val="18"/>
        </w:rPr>
        <w:t>соција </w:t>
      </w:r>
      <w:r>
        <w:rPr>
          <w:color w:val="231F20"/>
          <w:spacing w:val="12"/>
          <w:sz w:val="18"/>
        </w:rPr>
        <w:t>лни </w:t>
      </w:r>
      <w:r>
        <w:rPr>
          <w:color w:val="231F20"/>
          <w:spacing w:val="15"/>
          <w:sz w:val="18"/>
        </w:rPr>
        <w:t>развој </w:t>
      </w:r>
      <w:r>
        <w:rPr>
          <w:color w:val="231F20"/>
          <w:sz w:val="18"/>
        </w:rPr>
        <w:t>и </w:t>
      </w:r>
      <w:r>
        <w:rPr>
          <w:color w:val="231F20"/>
          <w:spacing w:val="15"/>
          <w:sz w:val="18"/>
        </w:rPr>
        <w:t>мрежа </w:t>
      </w:r>
      <w:r>
        <w:rPr>
          <w:color w:val="231F20"/>
          <w:spacing w:val="12"/>
          <w:sz w:val="18"/>
        </w:rPr>
        <w:t>нас</w:t>
      </w:r>
      <w:r>
        <w:rPr>
          <w:color w:val="231F20"/>
          <w:spacing w:val="3"/>
          <w:sz w:val="18"/>
        </w:rPr>
        <w:t> </w:t>
      </w:r>
      <w:r>
        <w:rPr>
          <w:color w:val="231F20"/>
          <w:spacing w:val="12"/>
          <w:sz w:val="18"/>
        </w:rPr>
        <w:t>еља</w:t>
      </w:r>
    </w:p>
    <w:p>
      <w:pPr>
        <w:pStyle w:val="BodyText"/>
        <w:spacing w:before="166"/>
        <w:ind w:left="522" w:right="763"/>
        <w:jc w:val="center"/>
      </w:pPr>
      <w:r>
        <w:rPr>
          <w:color w:val="231F20"/>
        </w:rPr>
        <w:t>Становништво</w:t>
      </w:r>
    </w:p>
    <w:p>
      <w:pPr>
        <w:pStyle w:val="BodyText"/>
        <w:spacing w:before="5"/>
        <w:ind w:left="0"/>
        <w:jc w:val="left"/>
        <w:rPr>
          <w:sz w:val="17"/>
        </w:rPr>
      </w:pPr>
    </w:p>
    <w:p>
      <w:pPr>
        <w:pStyle w:val="BodyText"/>
        <w:spacing w:line="232" w:lineRule="auto"/>
        <w:ind w:right="411" w:firstLine="396"/>
      </w:pPr>
      <w:r>
        <w:rPr>
          <w:color w:val="231F20"/>
        </w:rPr>
        <w:t>Приоритетне активности у  подршци  демографског  разво- ја усмерене су на одржавању биолошке виталности и задржава- ње становништва, првенствено у сеоским насељима. Обнова ових подручја</w:t>
      </w:r>
      <w:r>
        <w:rPr>
          <w:color w:val="231F20"/>
          <w:spacing w:val="-7"/>
        </w:rPr>
        <w:t> </w:t>
      </w:r>
      <w:r>
        <w:rPr>
          <w:color w:val="231F20"/>
        </w:rPr>
        <w:t>засниваће</w:t>
      </w:r>
      <w:r>
        <w:rPr>
          <w:color w:val="231F20"/>
          <w:spacing w:val="-7"/>
        </w:rPr>
        <w:t> </w:t>
      </w:r>
      <w:r>
        <w:rPr>
          <w:color w:val="231F20"/>
        </w:rPr>
        <w:t>се</w:t>
      </w:r>
      <w:r>
        <w:rPr>
          <w:color w:val="231F20"/>
          <w:spacing w:val="-7"/>
        </w:rPr>
        <w:t> </w:t>
      </w:r>
      <w:r>
        <w:rPr>
          <w:color w:val="231F20"/>
        </w:rPr>
        <w:t>на</w:t>
      </w:r>
      <w:r>
        <w:rPr>
          <w:color w:val="231F20"/>
          <w:spacing w:val="-7"/>
        </w:rPr>
        <w:t> </w:t>
      </w:r>
      <w:r>
        <w:rPr>
          <w:color w:val="231F20"/>
        </w:rPr>
        <w:t>посебним</w:t>
      </w:r>
      <w:r>
        <w:rPr>
          <w:color w:val="231F20"/>
          <w:spacing w:val="-7"/>
        </w:rPr>
        <w:t> </w:t>
      </w:r>
      <w:r>
        <w:rPr>
          <w:color w:val="231F20"/>
        </w:rPr>
        <w:t>економским</w:t>
      </w:r>
      <w:r>
        <w:rPr>
          <w:color w:val="231F20"/>
          <w:spacing w:val="-7"/>
        </w:rPr>
        <w:t> </w:t>
      </w:r>
      <w:r>
        <w:rPr>
          <w:color w:val="231F20"/>
        </w:rPr>
        <w:t>и</w:t>
      </w:r>
      <w:r>
        <w:rPr>
          <w:color w:val="231F20"/>
          <w:spacing w:val="-7"/>
        </w:rPr>
        <w:t> </w:t>
      </w:r>
      <w:r>
        <w:rPr>
          <w:color w:val="231F20"/>
        </w:rPr>
        <w:t>социјалним</w:t>
      </w:r>
      <w:r>
        <w:rPr>
          <w:color w:val="231F20"/>
          <w:spacing w:val="-7"/>
        </w:rPr>
        <w:t> </w:t>
      </w:r>
      <w:r>
        <w:rPr>
          <w:color w:val="231F20"/>
        </w:rPr>
        <w:t>про- грамима, специфицираним и прилагођеним појединим</w:t>
      </w:r>
      <w:r>
        <w:rPr>
          <w:color w:val="231F20"/>
          <w:spacing w:val="20"/>
        </w:rPr>
        <w:t> </w:t>
      </w:r>
      <w:r>
        <w:rPr>
          <w:color w:val="231F20"/>
        </w:rPr>
        <w:t>циљним</w:t>
      </w:r>
    </w:p>
    <w:p>
      <w:pPr>
        <w:spacing w:after="0" w:line="232" w:lineRule="auto"/>
        <w:sectPr>
          <w:pgSz w:w="12480" w:h="15690"/>
          <w:pgMar w:top="120" w:bottom="280" w:left="680" w:right="720"/>
          <w:cols w:num="2" w:equalWidth="0">
            <w:col w:w="5314" w:space="72"/>
            <w:col w:w="5694"/>
          </w:cols>
        </w:sectPr>
      </w:pPr>
    </w:p>
    <w:p>
      <w:pPr>
        <w:pStyle w:val="BodyText"/>
        <w:spacing w:line="232" w:lineRule="auto" w:before="73"/>
        <w:ind w:left="453"/>
      </w:pPr>
      <w:r>
        <w:rPr/>
        <w:pict>
          <v:line style="position:absolute;mso-position-horizontal-relative:page;mso-position-vertical-relative:page;z-index:3232" from="318.897614pt,11.942451pt" to="318.897614pt,748.950451pt" stroked="true" strokeweight=".6pt" strokecolor="#231f20">
            <v:stroke dashstyle="solid"/>
            <w10:wrap type="none"/>
          </v:line>
        </w:pict>
      </w:r>
      <w:r>
        <w:rPr>
          <w:color w:val="231F20"/>
        </w:rPr>
        <w:t>групама, што се нарочито односи на: 1.) младе </w:t>
      </w:r>
      <w:r>
        <w:rPr>
          <w:color w:val="231F20"/>
          <w:spacing w:val="-3"/>
        </w:rPr>
        <w:t>људе, </w:t>
      </w:r>
      <w:r>
        <w:rPr>
          <w:color w:val="231F20"/>
        </w:rPr>
        <w:t>било да су већ</w:t>
      </w:r>
      <w:r>
        <w:rPr>
          <w:color w:val="231F20"/>
          <w:spacing w:val="-8"/>
        </w:rPr>
        <w:t> </w:t>
      </w:r>
      <w:r>
        <w:rPr>
          <w:color w:val="231F20"/>
        </w:rPr>
        <w:t>ушли</w:t>
      </w:r>
      <w:r>
        <w:rPr>
          <w:color w:val="231F20"/>
          <w:spacing w:val="-8"/>
        </w:rPr>
        <w:t> </w:t>
      </w:r>
      <w:r>
        <w:rPr>
          <w:color w:val="231F20"/>
        </w:rPr>
        <w:t>у</w:t>
      </w:r>
      <w:r>
        <w:rPr>
          <w:color w:val="231F20"/>
          <w:spacing w:val="-8"/>
        </w:rPr>
        <w:t> </w:t>
      </w:r>
      <w:r>
        <w:rPr>
          <w:color w:val="231F20"/>
        </w:rPr>
        <w:t>радни</w:t>
      </w:r>
      <w:r>
        <w:rPr>
          <w:color w:val="231F20"/>
          <w:spacing w:val="-8"/>
        </w:rPr>
        <w:t> </w:t>
      </w:r>
      <w:r>
        <w:rPr>
          <w:color w:val="231F20"/>
          <w:spacing w:val="-3"/>
        </w:rPr>
        <w:t>контингент,</w:t>
      </w:r>
      <w:r>
        <w:rPr>
          <w:color w:val="231F20"/>
          <w:spacing w:val="-8"/>
        </w:rPr>
        <w:t> </w:t>
      </w:r>
      <w:r>
        <w:rPr>
          <w:color w:val="231F20"/>
        </w:rPr>
        <w:t>или</w:t>
      </w:r>
      <w:r>
        <w:rPr>
          <w:color w:val="231F20"/>
          <w:spacing w:val="-8"/>
        </w:rPr>
        <w:t> </w:t>
      </w:r>
      <w:r>
        <w:rPr>
          <w:color w:val="231F20"/>
        </w:rPr>
        <w:t>су</w:t>
      </w:r>
      <w:r>
        <w:rPr>
          <w:color w:val="231F20"/>
          <w:spacing w:val="-8"/>
        </w:rPr>
        <w:t> </w:t>
      </w:r>
      <w:r>
        <w:rPr>
          <w:color w:val="231F20"/>
        </w:rPr>
        <w:t>на</w:t>
      </w:r>
      <w:r>
        <w:rPr>
          <w:color w:val="231F20"/>
          <w:spacing w:val="-8"/>
        </w:rPr>
        <w:t> </w:t>
      </w:r>
      <w:r>
        <w:rPr>
          <w:color w:val="231F20"/>
        </w:rPr>
        <w:t>прагу</w:t>
      </w:r>
      <w:r>
        <w:rPr>
          <w:color w:val="231F20"/>
          <w:spacing w:val="-8"/>
        </w:rPr>
        <w:t> </w:t>
      </w:r>
      <w:r>
        <w:rPr>
          <w:color w:val="231F20"/>
        </w:rPr>
        <w:t>уласка;</w:t>
      </w:r>
      <w:r>
        <w:rPr>
          <w:color w:val="231F20"/>
          <w:spacing w:val="-8"/>
        </w:rPr>
        <w:t> </w:t>
      </w:r>
      <w:r>
        <w:rPr>
          <w:color w:val="231F20"/>
        </w:rPr>
        <w:t>2.)</w:t>
      </w:r>
      <w:r>
        <w:rPr>
          <w:color w:val="231F20"/>
          <w:spacing w:val="-8"/>
        </w:rPr>
        <w:t> </w:t>
      </w:r>
      <w:r>
        <w:rPr>
          <w:color w:val="231F20"/>
        </w:rPr>
        <w:t>млађе</w:t>
      </w:r>
      <w:r>
        <w:rPr>
          <w:color w:val="231F20"/>
          <w:spacing w:val="-8"/>
        </w:rPr>
        <w:t> </w:t>
      </w:r>
      <w:r>
        <w:rPr>
          <w:color w:val="231F20"/>
        </w:rPr>
        <w:t>же- не,</w:t>
      </w:r>
      <w:r>
        <w:rPr>
          <w:color w:val="231F20"/>
          <w:spacing w:val="-9"/>
        </w:rPr>
        <w:t> </w:t>
      </w:r>
      <w:r>
        <w:rPr>
          <w:color w:val="231F20"/>
        </w:rPr>
        <w:t>као</w:t>
      </w:r>
      <w:r>
        <w:rPr>
          <w:color w:val="231F20"/>
          <w:spacing w:val="-9"/>
        </w:rPr>
        <w:t> </w:t>
      </w:r>
      <w:r>
        <w:rPr>
          <w:color w:val="231F20"/>
        </w:rPr>
        <w:t>носиоце</w:t>
      </w:r>
      <w:r>
        <w:rPr>
          <w:color w:val="231F20"/>
          <w:spacing w:val="-9"/>
        </w:rPr>
        <w:t> </w:t>
      </w:r>
      <w:r>
        <w:rPr>
          <w:color w:val="231F20"/>
        </w:rPr>
        <w:t>популационе</w:t>
      </w:r>
      <w:r>
        <w:rPr>
          <w:color w:val="231F20"/>
          <w:spacing w:val="-9"/>
        </w:rPr>
        <w:t> </w:t>
      </w:r>
      <w:r>
        <w:rPr>
          <w:color w:val="231F20"/>
        </w:rPr>
        <w:t>репродукције;</w:t>
      </w:r>
      <w:r>
        <w:rPr>
          <w:color w:val="231F20"/>
          <w:spacing w:val="-9"/>
        </w:rPr>
        <w:t> </w:t>
      </w:r>
      <w:r>
        <w:rPr>
          <w:color w:val="231F20"/>
        </w:rPr>
        <w:t>и</w:t>
      </w:r>
      <w:r>
        <w:rPr>
          <w:color w:val="231F20"/>
          <w:spacing w:val="-9"/>
        </w:rPr>
        <w:t> </w:t>
      </w:r>
      <w:r>
        <w:rPr>
          <w:color w:val="231F20"/>
        </w:rPr>
        <w:t>3.)</w:t>
      </w:r>
      <w:r>
        <w:rPr>
          <w:color w:val="231F20"/>
          <w:spacing w:val="-9"/>
        </w:rPr>
        <w:t> </w:t>
      </w:r>
      <w:r>
        <w:rPr>
          <w:color w:val="231F20"/>
        </w:rPr>
        <w:t>друге</w:t>
      </w:r>
      <w:r>
        <w:rPr>
          <w:color w:val="231F20"/>
          <w:spacing w:val="-9"/>
        </w:rPr>
        <w:t> </w:t>
      </w:r>
      <w:r>
        <w:rPr>
          <w:color w:val="231F20"/>
        </w:rPr>
        <w:t>становнике чије остајање на селу доприноси одржавању популационе витал- ности, односно на оно становништво из градских насеља </w:t>
      </w:r>
      <w:r>
        <w:rPr>
          <w:color w:val="231F20"/>
          <w:spacing w:val="-3"/>
        </w:rPr>
        <w:t>које </w:t>
      </w:r>
      <w:r>
        <w:rPr>
          <w:color w:val="231F20"/>
        </w:rPr>
        <w:t>би било привучено повољнијим условима за привређивање и бољим квалитетом живљења на</w:t>
      </w:r>
      <w:r>
        <w:rPr>
          <w:color w:val="231F20"/>
          <w:spacing w:val="-3"/>
        </w:rPr>
        <w:t> </w:t>
      </w:r>
      <w:r>
        <w:rPr>
          <w:color w:val="231F20"/>
          <w:spacing w:val="-4"/>
        </w:rPr>
        <w:t>селу.</w:t>
      </w:r>
    </w:p>
    <w:p>
      <w:pPr>
        <w:pStyle w:val="BodyText"/>
        <w:spacing w:line="232" w:lineRule="auto" w:before="4"/>
        <w:ind w:left="452" w:firstLine="397"/>
      </w:pPr>
      <w:r>
        <w:rPr>
          <w:color w:val="231F20"/>
        </w:rPr>
        <w:t>Значајан проценат становништва захваћен је спољним ми- грацијама што има социјалне, економске, демографске, </w:t>
      </w:r>
      <w:r>
        <w:rPr>
          <w:color w:val="231F20"/>
          <w:spacing w:val="-3"/>
        </w:rPr>
        <w:t>културне </w:t>
      </w:r>
      <w:r>
        <w:rPr>
          <w:color w:val="231F20"/>
        </w:rPr>
        <w:t>и друге импликације. </w:t>
      </w:r>
      <w:r>
        <w:rPr>
          <w:color w:val="231F20"/>
          <w:spacing w:val="-7"/>
        </w:rPr>
        <w:t>То </w:t>
      </w:r>
      <w:r>
        <w:rPr>
          <w:color w:val="231F20"/>
        </w:rPr>
        <w:t>захтева изградњу и доследно спровођење целисходне и флексибилне политике у односу на ове контингенте становништва, с циљем да се стимулише њихов повратак и што лакше укључивање у друштвени и економски живот свог завича- ја. Програмима подстицања предузетништва у сеоским насељима треба омогућити запошљавање дела радно-способног становни- штва, посебно млађих жена и активирање капитала из дијаспоре. Посебним програмима треба омогућити и подстицати професио- нално оспособљавање (квалификовање или преквалификовање, </w:t>
      </w:r>
      <w:r>
        <w:rPr>
          <w:color w:val="231F20"/>
          <w:spacing w:val="-3"/>
        </w:rPr>
        <w:t>преко</w:t>
      </w:r>
      <w:r>
        <w:rPr>
          <w:color w:val="231F20"/>
          <w:spacing w:val="-6"/>
        </w:rPr>
        <w:t> </w:t>
      </w:r>
      <w:r>
        <w:rPr>
          <w:color w:val="231F20"/>
        </w:rPr>
        <w:t>завода</w:t>
      </w:r>
      <w:r>
        <w:rPr>
          <w:color w:val="231F20"/>
          <w:spacing w:val="-6"/>
        </w:rPr>
        <w:t> </w:t>
      </w:r>
      <w:r>
        <w:rPr>
          <w:color w:val="231F20"/>
        </w:rPr>
        <w:t>за</w:t>
      </w:r>
      <w:r>
        <w:rPr>
          <w:color w:val="231F20"/>
          <w:spacing w:val="-6"/>
        </w:rPr>
        <w:t> </w:t>
      </w:r>
      <w:r>
        <w:rPr>
          <w:color w:val="231F20"/>
        </w:rPr>
        <w:t>тржиште</w:t>
      </w:r>
      <w:r>
        <w:rPr>
          <w:color w:val="231F20"/>
          <w:spacing w:val="-6"/>
        </w:rPr>
        <w:t> </w:t>
      </w:r>
      <w:r>
        <w:rPr>
          <w:color w:val="231F20"/>
        </w:rPr>
        <w:t>рада)</w:t>
      </w:r>
      <w:r>
        <w:rPr>
          <w:color w:val="231F20"/>
          <w:spacing w:val="-6"/>
        </w:rPr>
        <w:t> </w:t>
      </w:r>
      <w:r>
        <w:rPr>
          <w:color w:val="231F20"/>
        </w:rPr>
        <w:t>и</w:t>
      </w:r>
      <w:r>
        <w:rPr>
          <w:color w:val="231F20"/>
          <w:spacing w:val="-6"/>
        </w:rPr>
        <w:t> </w:t>
      </w:r>
      <w:r>
        <w:rPr>
          <w:color w:val="231F20"/>
        </w:rPr>
        <w:t>запошљавање</w:t>
      </w:r>
      <w:r>
        <w:rPr>
          <w:color w:val="231F20"/>
          <w:spacing w:val="-6"/>
        </w:rPr>
        <w:t> </w:t>
      </w:r>
      <w:r>
        <w:rPr>
          <w:color w:val="231F20"/>
        </w:rPr>
        <w:t>дела</w:t>
      </w:r>
      <w:r>
        <w:rPr>
          <w:color w:val="231F20"/>
          <w:spacing w:val="-6"/>
        </w:rPr>
        <w:t> </w:t>
      </w:r>
      <w:r>
        <w:rPr>
          <w:color w:val="231F20"/>
        </w:rPr>
        <w:t>радно-способ- ног становништва у сеоским, као и у урбаним</w:t>
      </w:r>
      <w:r>
        <w:rPr>
          <w:color w:val="231F20"/>
          <w:spacing w:val="-8"/>
        </w:rPr>
        <w:t> </w:t>
      </w:r>
      <w:r>
        <w:rPr>
          <w:color w:val="231F20"/>
        </w:rPr>
        <w:t>насељима.</w:t>
      </w:r>
    </w:p>
    <w:p>
      <w:pPr>
        <w:pStyle w:val="BodyText"/>
        <w:spacing w:line="404" w:lineRule="exact" w:before="19"/>
        <w:ind w:left="849" w:right="440" w:firstLine="954"/>
        <w:jc w:val="left"/>
      </w:pPr>
      <w:r>
        <w:rPr>
          <w:color w:val="231F20"/>
        </w:rPr>
        <w:t>Социјални развој, јавне службе Приоритети у области социјалног развоја су:</w:t>
      </w:r>
    </w:p>
    <w:p>
      <w:pPr>
        <w:pStyle w:val="BodyText"/>
        <w:spacing w:line="156" w:lineRule="exact"/>
        <w:ind w:left="849"/>
        <w:jc w:val="left"/>
      </w:pPr>
      <w:r>
        <w:rPr>
          <w:color w:val="231F20"/>
          <w:w w:val="66"/>
        </w:rPr>
        <w:t> </w:t>
      </w:r>
      <w:r>
        <w:rPr>
          <w:color w:val="231F20"/>
        </w:rPr>
        <w:t>– јачање доступности и квалитета предшколског, основног и</w:t>
      </w:r>
    </w:p>
    <w:p>
      <w:pPr>
        <w:pStyle w:val="BodyText"/>
        <w:spacing w:line="201" w:lineRule="exact"/>
        <w:ind w:left="452"/>
        <w:jc w:val="left"/>
      </w:pPr>
      <w:r>
        <w:rPr>
          <w:color w:val="231F20"/>
        </w:rPr>
        <w:t>средњег образовања;</w:t>
      </w:r>
    </w:p>
    <w:p>
      <w:pPr>
        <w:pStyle w:val="BodyText"/>
        <w:spacing w:line="232" w:lineRule="auto" w:before="2"/>
        <w:ind w:left="452" w:right="1" w:firstLine="396"/>
      </w:pPr>
      <w:r>
        <w:rPr>
          <w:color w:val="231F20"/>
          <w:w w:val="66"/>
        </w:rPr>
        <w:t> </w:t>
      </w:r>
      <w:r>
        <w:rPr>
          <w:color w:val="231F20"/>
        </w:rPr>
        <w:t>– подршка институционализованим облицима удруживања грађана поводом тема од јавног интереса, стручних питања, тра- диционалних и иновативних социјалних, културних и еколошких садржаја итд.;</w:t>
      </w:r>
    </w:p>
    <w:p>
      <w:pPr>
        <w:pStyle w:val="BodyText"/>
        <w:spacing w:line="232" w:lineRule="auto" w:before="2"/>
        <w:ind w:left="452" w:firstLine="396"/>
      </w:pPr>
      <w:r>
        <w:rPr>
          <w:color w:val="231F20"/>
          <w:w w:val="66"/>
        </w:rPr>
        <w:t> </w:t>
      </w:r>
      <w:r>
        <w:rPr>
          <w:color w:val="231F20"/>
        </w:rPr>
        <w:t>– рационално коришћење објеката и простора наменски гра- ђених за потребе услуга од јавног интереса (култура, образовање, социјална заштита, спорт), контрола отуђивања ових објеката и промене њихове намене, као и забрана промене намене јавних и зелених површина;</w:t>
      </w:r>
    </w:p>
    <w:p>
      <w:pPr>
        <w:pStyle w:val="BodyText"/>
        <w:spacing w:line="232" w:lineRule="auto" w:before="4"/>
        <w:ind w:left="452" w:right="1" w:firstLine="397"/>
      </w:pPr>
      <w:r>
        <w:rPr>
          <w:color w:val="231F20"/>
          <w:w w:val="66"/>
        </w:rPr>
        <w:t> </w:t>
      </w:r>
      <w:r>
        <w:rPr>
          <w:color w:val="231F20"/>
        </w:rPr>
        <w:t>– подршка месним заједницама, нарочито сиромашнијим и мање</w:t>
      </w:r>
      <w:r>
        <w:rPr>
          <w:color w:val="231F20"/>
          <w:spacing w:val="-7"/>
        </w:rPr>
        <w:t> </w:t>
      </w:r>
      <w:r>
        <w:rPr>
          <w:color w:val="231F20"/>
        </w:rPr>
        <w:t>развијеним,</w:t>
      </w:r>
      <w:r>
        <w:rPr>
          <w:color w:val="231F20"/>
          <w:spacing w:val="-6"/>
        </w:rPr>
        <w:t> </w:t>
      </w:r>
      <w:r>
        <w:rPr>
          <w:color w:val="231F20"/>
        </w:rPr>
        <w:t>да</w:t>
      </w:r>
      <w:r>
        <w:rPr>
          <w:color w:val="231F20"/>
          <w:spacing w:val="-6"/>
        </w:rPr>
        <w:t> </w:t>
      </w:r>
      <w:r>
        <w:rPr>
          <w:color w:val="231F20"/>
        </w:rPr>
        <w:t>обезбеде</w:t>
      </w:r>
      <w:r>
        <w:rPr>
          <w:color w:val="231F20"/>
          <w:spacing w:val="-6"/>
        </w:rPr>
        <w:t> </w:t>
      </w:r>
      <w:r>
        <w:rPr>
          <w:color w:val="231F20"/>
        </w:rPr>
        <w:t>просторе</w:t>
      </w:r>
      <w:r>
        <w:rPr>
          <w:color w:val="231F20"/>
          <w:spacing w:val="-7"/>
        </w:rPr>
        <w:t> </w:t>
      </w:r>
      <w:r>
        <w:rPr>
          <w:color w:val="231F20"/>
        </w:rPr>
        <w:t>у</w:t>
      </w:r>
      <w:r>
        <w:rPr>
          <w:color w:val="231F20"/>
          <w:spacing w:val="-7"/>
        </w:rPr>
        <w:t> </w:t>
      </w:r>
      <w:r>
        <w:rPr>
          <w:color w:val="231F20"/>
        </w:rPr>
        <w:t>и</w:t>
      </w:r>
      <w:r>
        <w:rPr>
          <w:color w:val="231F20"/>
          <w:spacing w:val="-6"/>
        </w:rPr>
        <w:t> </w:t>
      </w:r>
      <w:r>
        <w:rPr>
          <w:color w:val="231F20"/>
        </w:rPr>
        <w:t>финансирају</w:t>
      </w:r>
      <w:r>
        <w:rPr>
          <w:color w:val="231F20"/>
          <w:spacing w:val="-6"/>
        </w:rPr>
        <w:t> </w:t>
      </w:r>
      <w:r>
        <w:rPr>
          <w:color w:val="231F20"/>
        </w:rPr>
        <w:t>иницијал- не пројекте у области социјалне и здравствене заштите, културе, физичке културе, образовања и</w:t>
      </w:r>
      <w:r>
        <w:rPr>
          <w:color w:val="231F20"/>
          <w:spacing w:val="-5"/>
        </w:rPr>
        <w:t> </w:t>
      </w:r>
      <w:r>
        <w:rPr>
          <w:color w:val="231F20"/>
        </w:rPr>
        <w:t>друго.</w:t>
      </w:r>
    </w:p>
    <w:p>
      <w:pPr>
        <w:pStyle w:val="BodyText"/>
        <w:spacing w:before="167"/>
        <w:ind w:left="1667"/>
        <w:jc w:val="left"/>
      </w:pPr>
      <w:r>
        <w:rPr>
          <w:color w:val="231F20"/>
        </w:rPr>
        <w:t>Мрежа насеља и функције центара</w:t>
      </w:r>
    </w:p>
    <w:p>
      <w:pPr>
        <w:pStyle w:val="BodyText"/>
        <w:spacing w:before="6"/>
        <w:ind w:left="0"/>
        <w:jc w:val="left"/>
        <w:rPr>
          <w:sz w:val="17"/>
        </w:rPr>
      </w:pPr>
    </w:p>
    <w:p>
      <w:pPr>
        <w:pStyle w:val="BodyText"/>
        <w:spacing w:line="232" w:lineRule="auto"/>
        <w:ind w:left="451" w:firstLine="397"/>
      </w:pPr>
      <w:r>
        <w:rPr>
          <w:color w:val="231F20"/>
        </w:rPr>
        <w:t>На нивоу центара  заједнице  насеља,  развојни  приоритет  је успoрaвaњe дeпoпулaциoнoг трeндa и обезбеђење услова за рeвитaлизaциjу сeoских нaсeљa. У </w:t>
      </w:r>
      <w:r>
        <w:rPr>
          <w:color w:val="231F20"/>
          <w:spacing w:val="-3"/>
        </w:rPr>
        <w:t>том смислу, </w:t>
      </w:r>
      <w:r>
        <w:rPr>
          <w:color w:val="231F20"/>
        </w:rPr>
        <w:t>основни приори- тети</w:t>
      </w:r>
      <w:r>
        <w:rPr>
          <w:color w:val="231F20"/>
          <w:spacing w:val="-1"/>
        </w:rPr>
        <w:t> </w:t>
      </w:r>
      <w:r>
        <w:rPr>
          <w:color w:val="231F20"/>
        </w:rPr>
        <w:t>су:</w:t>
      </w:r>
    </w:p>
    <w:p>
      <w:pPr>
        <w:pStyle w:val="BodyText"/>
        <w:spacing w:line="232" w:lineRule="auto" w:before="2"/>
        <w:ind w:left="451" w:right="1" w:firstLine="396"/>
      </w:pPr>
      <w:r>
        <w:rPr>
          <w:color w:val="231F20"/>
          <w:w w:val="66"/>
        </w:rPr>
        <w:t> </w:t>
      </w:r>
      <w:r>
        <w:rPr>
          <w:color w:val="231F20"/>
        </w:rPr>
        <w:t>– унaпрeђeњe лoкaлнoг сaoбрaћaja, у првoм рeду мeђунaсeљскe лoкaлнe путнe мрeжe, кao и систeмa лoкaлнoг jaвнoг прeвoзa (увoђeњeм привaтнoг сeктoрa и мaњих вoзилa);</w:t>
      </w:r>
    </w:p>
    <w:p>
      <w:pPr>
        <w:pStyle w:val="BodyText"/>
        <w:spacing w:line="232" w:lineRule="auto" w:before="2"/>
        <w:ind w:left="451" w:right="1" w:firstLine="396"/>
      </w:pPr>
      <w:r>
        <w:rPr>
          <w:color w:val="231F20"/>
          <w:w w:val="66"/>
        </w:rPr>
        <w:t> </w:t>
      </w:r>
      <w:r>
        <w:rPr>
          <w:color w:val="231F20"/>
        </w:rPr>
        <w:t>– квaлитaтивнo унaпрeђeњe и рaзвoj нoвих oбикa пружaњa услугa у нaсeљимa, пoсeбнo у сeктoру jaвних служби и услугa;</w:t>
      </w:r>
    </w:p>
    <w:p>
      <w:pPr>
        <w:pStyle w:val="BodyText"/>
        <w:spacing w:line="232" w:lineRule="auto" w:before="2"/>
        <w:ind w:left="451" w:firstLine="396"/>
      </w:pPr>
      <w:r>
        <w:rPr>
          <w:color w:val="231F20"/>
          <w:w w:val="66"/>
        </w:rPr>
        <w:t> </w:t>
      </w:r>
      <w:r>
        <w:rPr>
          <w:color w:val="231F20"/>
        </w:rPr>
        <w:t>– рaзвoj кoмунaлнe инфрaструктурe, прe свeгa у oблaсти вoдoснaбдeвaњa и oдвoђeњa oтпaдних вoдa;</w:t>
      </w:r>
    </w:p>
    <w:p>
      <w:pPr>
        <w:pStyle w:val="BodyText"/>
        <w:spacing w:line="232" w:lineRule="auto" w:before="1"/>
        <w:ind w:left="451" w:right="1" w:firstLine="396"/>
      </w:pPr>
      <w:r>
        <w:rPr>
          <w:color w:val="231F20"/>
          <w:w w:val="66"/>
        </w:rPr>
        <w:t> </w:t>
      </w:r>
      <w:r>
        <w:rPr>
          <w:color w:val="231F20"/>
        </w:rPr>
        <w:t>–  рaзвoj  приврeдних  aктивнoсти  у   функциjи   активни- јег кoришћeњa пoстojeћих пoљoприврeдних и других рeсурсa, укључуjући и мoгућнoст рaзвojнe вaлoризaциje дeлa рудaрских oбjeкaтa (туризaм – излeтнички, oбрaзoвни и лoвни; рeкрeaциja  нa  дeлу  рeкултивисaних  пoвршинa,  узгoj  укрaснoг  зeлeнилa    и слично), тeжиштe рaзвoja трeбa дa прeдстaвљa eкoнoмски рaзвoj, кoмбинуjући мoгућнoсти aгрaрнoг сeктoрa и лoкaлних инициjaтивa у другим сeктoримa;</w:t>
      </w:r>
      <w:r>
        <w:rPr>
          <w:color w:val="231F20"/>
          <w:spacing w:val="-4"/>
        </w:rPr>
        <w:t> </w:t>
      </w:r>
      <w:r>
        <w:rPr>
          <w:color w:val="231F20"/>
        </w:rPr>
        <w:t>и</w:t>
      </w:r>
    </w:p>
    <w:p>
      <w:pPr>
        <w:pStyle w:val="BodyText"/>
        <w:spacing w:line="232" w:lineRule="auto" w:before="5"/>
        <w:ind w:left="451" w:firstLine="396"/>
      </w:pPr>
      <w:r>
        <w:rPr>
          <w:color w:val="231F20"/>
          <w:w w:val="66"/>
        </w:rPr>
        <w:t> </w:t>
      </w:r>
      <w:r>
        <w:rPr>
          <w:color w:val="231F20"/>
        </w:rPr>
        <w:t>– дeфинисaњe рaзвojних прoгрaмa eдукaциje радно неанга- жованог aктивнoг стaнoвништвa, рaзличитих oбликa стимулaциje (само)запошљавања, сa  oдрeђeнoм  aдминистрaтивнo-упрaвнoм  и oргaнизaциoнo-тeхничкoм пoдршкoм, кao и интeнзивним прoмoтивним</w:t>
      </w:r>
      <w:r>
        <w:rPr>
          <w:color w:val="231F20"/>
          <w:spacing w:val="-2"/>
        </w:rPr>
        <w:t> </w:t>
      </w:r>
      <w:r>
        <w:rPr>
          <w:color w:val="231F20"/>
        </w:rPr>
        <w:t>нaступoм.</w:t>
      </w:r>
    </w:p>
    <w:p>
      <w:pPr>
        <w:pStyle w:val="BodyText"/>
        <w:spacing w:before="168"/>
        <w:ind w:left="1994"/>
        <w:jc w:val="left"/>
      </w:pPr>
      <w:r>
        <w:rPr>
          <w:color w:val="231F20"/>
        </w:rPr>
        <w:t>Пресељење становништва</w:t>
      </w:r>
    </w:p>
    <w:p>
      <w:pPr>
        <w:pStyle w:val="BodyText"/>
        <w:spacing w:before="6"/>
        <w:ind w:left="0"/>
        <w:jc w:val="left"/>
        <w:rPr>
          <w:sz w:val="17"/>
        </w:rPr>
      </w:pPr>
    </w:p>
    <w:p>
      <w:pPr>
        <w:pStyle w:val="BodyText"/>
        <w:spacing w:line="232" w:lineRule="auto"/>
        <w:ind w:left="451" w:right="1" w:firstLine="397"/>
      </w:pPr>
      <w:r>
        <w:rPr>
          <w:color w:val="231F20"/>
        </w:rPr>
        <w:t>Приоритети у области пресељења становништва и измешта- ња инфраструктурних и привредних система из зоне рударских радова су:</w:t>
      </w:r>
    </w:p>
    <w:p>
      <w:pPr>
        <w:pStyle w:val="BodyText"/>
        <w:spacing w:line="232" w:lineRule="auto" w:before="2"/>
        <w:ind w:left="451" w:firstLine="396"/>
      </w:pPr>
      <w:r>
        <w:rPr>
          <w:color w:val="231F20"/>
          <w:w w:val="66"/>
        </w:rPr>
        <w:t> </w:t>
      </w:r>
      <w:r>
        <w:rPr>
          <w:color w:val="231F20"/>
        </w:rPr>
        <w:t>– доношење Стратегије развоја рударства у Костолачком угљеном басену;</w:t>
      </w:r>
    </w:p>
    <w:p>
      <w:pPr>
        <w:pStyle w:val="BodyText"/>
        <w:spacing w:line="232" w:lineRule="auto" w:before="68"/>
        <w:ind w:left="241" w:right="130" w:firstLine="396"/>
      </w:pPr>
      <w:r>
        <w:rPr/>
        <w:br w:type="column"/>
      </w:r>
      <w:r>
        <w:rPr>
          <w:color w:val="231F20"/>
          <w:w w:val="66"/>
        </w:rPr>
        <w:t> </w:t>
      </w:r>
      <w:r>
        <w:rPr>
          <w:color w:val="231F20"/>
        </w:rPr>
        <w:t>– израда одговарајуће студијске основе и техничке докумен- тације са приказом планиране динамике рударских активности, односно, динамике заузимања простора у западном и централном делу Басена;</w:t>
      </w:r>
    </w:p>
    <w:p>
      <w:pPr>
        <w:pStyle w:val="BodyText"/>
        <w:spacing w:line="232" w:lineRule="auto" w:before="1"/>
        <w:ind w:left="240" w:right="130" w:firstLine="397"/>
      </w:pPr>
      <w:r>
        <w:rPr>
          <w:color w:val="231F20"/>
          <w:w w:val="66"/>
        </w:rPr>
        <w:t> </w:t>
      </w:r>
      <w:r>
        <w:rPr>
          <w:color w:val="231F20"/>
        </w:rPr>
        <w:t>–</w:t>
      </w:r>
      <w:r>
        <w:rPr>
          <w:color w:val="231F20"/>
          <w:spacing w:val="-15"/>
        </w:rPr>
        <w:t> </w:t>
      </w:r>
      <w:r>
        <w:rPr>
          <w:color w:val="231F20"/>
        </w:rPr>
        <w:t>доношење</w:t>
      </w:r>
      <w:r>
        <w:rPr>
          <w:color w:val="231F20"/>
          <w:spacing w:val="-15"/>
        </w:rPr>
        <w:t> </w:t>
      </w:r>
      <w:r>
        <w:rPr>
          <w:color w:val="231F20"/>
        </w:rPr>
        <w:t>одговарајућих</w:t>
      </w:r>
      <w:r>
        <w:rPr>
          <w:color w:val="231F20"/>
          <w:spacing w:val="-14"/>
        </w:rPr>
        <w:t> </w:t>
      </w:r>
      <w:r>
        <w:rPr>
          <w:color w:val="231F20"/>
        </w:rPr>
        <w:t>планских</w:t>
      </w:r>
      <w:r>
        <w:rPr>
          <w:color w:val="231F20"/>
          <w:spacing w:val="-14"/>
        </w:rPr>
        <w:t> </w:t>
      </w:r>
      <w:r>
        <w:rPr>
          <w:color w:val="231F20"/>
        </w:rPr>
        <w:t>докумената</w:t>
      </w:r>
      <w:r>
        <w:rPr>
          <w:color w:val="231F20"/>
          <w:spacing w:val="-15"/>
        </w:rPr>
        <w:t> </w:t>
      </w:r>
      <w:r>
        <w:rPr>
          <w:color w:val="231F20"/>
        </w:rPr>
        <w:t>(планова</w:t>
      </w:r>
      <w:r>
        <w:rPr>
          <w:color w:val="231F20"/>
          <w:spacing w:val="-15"/>
        </w:rPr>
        <w:t> </w:t>
      </w:r>
      <w:r>
        <w:rPr>
          <w:color w:val="231F20"/>
        </w:rPr>
        <w:t>ге- нералне регулације), програма пресељења становништва и изме- штања инфраструктурних и привредних система, као и „програма социјалне подршке” (прецизно утврђене границе површинских копова,</w:t>
      </w:r>
      <w:r>
        <w:rPr>
          <w:color w:val="231F20"/>
          <w:spacing w:val="-9"/>
        </w:rPr>
        <w:t> </w:t>
      </w:r>
      <w:r>
        <w:rPr>
          <w:color w:val="231F20"/>
        </w:rPr>
        <w:t>границе</w:t>
      </w:r>
      <w:r>
        <w:rPr>
          <w:color w:val="231F20"/>
          <w:spacing w:val="-9"/>
        </w:rPr>
        <w:t> </w:t>
      </w:r>
      <w:r>
        <w:rPr>
          <w:color w:val="231F20"/>
        </w:rPr>
        <w:t>и</w:t>
      </w:r>
      <w:r>
        <w:rPr>
          <w:color w:val="231F20"/>
          <w:spacing w:val="-9"/>
        </w:rPr>
        <w:t> </w:t>
      </w:r>
      <w:r>
        <w:rPr>
          <w:color w:val="231F20"/>
        </w:rPr>
        <w:t>подручја</w:t>
      </w:r>
      <w:r>
        <w:rPr>
          <w:color w:val="231F20"/>
          <w:spacing w:val="-8"/>
        </w:rPr>
        <w:t> </w:t>
      </w:r>
      <w:r>
        <w:rPr>
          <w:color w:val="231F20"/>
        </w:rPr>
        <w:t>заштићених</w:t>
      </w:r>
      <w:r>
        <w:rPr>
          <w:color w:val="231F20"/>
          <w:spacing w:val="-8"/>
        </w:rPr>
        <w:t> </w:t>
      </w:r>
      <w:r>
        <w:rPr>
          <w:color w:val="231F20"/>
        </w:rPr>
        <w:t>зона</w:t>
      </w:r>
      <w:r>
        <w:rPr>
          <w:color w:val="231F20"/>
          <w:spacing w:val="-9"/>
        </w:rPr>
        <w:t> </w:t>
      </w:r>
      <w:r>
        <w:rPr>
          <w:color w:val="231F20"/>
        </w:rPr>
        <w:t>са</w:t>
      </w:r>
      <w:r>
        <w:rPr>
          <w:color w:val="231F20"/>
          <w:spacing w:val="-9"/>
        </w:rPr>
        <w:t> </w:t>
      </w:r>
      <w:r>
        <w:rPr>
          <w:color w:val="231F20"/>
        </w:rPr>
        <w:t>рестриктивним</w:t>
      </w:r>
      <w:r>
        <w:rPr>
          <w:color w:val="231F20"/>
          <w:spacing w:val="-9"/>
        </w:rPr>
        <w:t> </w:t>
      </w:r>
      <w:r>
        <w:rPr>
          <w:color w:val="231F20"/>
        </w:rPr>
        <w:t>си- стемом изградње и одговарајућим компензацијама локалном ста- новништву за те рестрикције, границе и подручја заштитних зона, динамика измештања насеља, границе непосредног утицаја тер- моелектрана – загађивање, транспорт угља, отпад и</w:t>
      </w:r>
      <w:r>
        <w:rPr>
          <w:color w:val="231F20"/>
          <w:spacing w:val="5"/>
        </w:rPr>
        <w:t> </w:t>
      </w:r>
      <w:r>
        <w:rPr>
          <w:color w:val="231F20"/>
        </w:rPr>
        <w:t>друго);</w:t>
      </w:r>
    </w:p>
    <w:p>
      <w:pPr>
        <w:pStyle w:val="BodyText"/>
        <w:spacing w:line="232" w:lineRule="auto" w:before="2"/>
        <w:ind w:left="240" w:right="130" w:firstLine="397"/>
      </w:pPr>
      <w:r>
        <w:rPr>
          <w:color w:val="231F20"/>
          <w:w w:val="66"/>
        </w:rPr>
        <w:t> </w:t>
      </w:r>
      <w:r>
        <w:rPr>
          <w:color w:val="231F20"/>
        </w:rPr>
        <w:t>– дефинисање дугорочних и оперативних програма</w:t>
      </w:r>
      <w:r>
        <w:rPr>
          <w:color w:val="231F20"/>
          <w:spacing w:val="-33"/>
        </w:rPr>
        <w:t> </w:t>
      </w:r>
      <w:r>
        <w:rPr>
          <w:color w:val="231F20"/>
        </w:rPr>
        <w:t>пресеље- ња насеља у сарадњи органа локалне самоуправе, „ЕПС”-а и ТЕ- </w:t>
      </w:r>
      <w:r>
        <w:rPr>
          <w:color w:val="231F20"/>
          <w:spacing w:val="-3"/>
        </w:rPr>
        <w:t>КО</w:t>
      </w:r>
      <w:r>
        <w:rPr>
          <w:color w:val="231F20"/>
          <w:spacing w:val="-2"/>
        </w:rPr>
        <w:t> </w:t>
      </w:r>
      <w:r>
        <w:rPr>
          <w:color w:val="231F20"/>
        </w:rPr>
        <w:t>„Костолац”;</w:t>
      </w:r>
    </w:p>
    <w:p>
      <w:pPr>
        <w:pStyle w:val="BodyText"/>
        <w:spacing w:line="232" w:lineRule="auto" w:before="1"/>
        <w:ind w:left="240" w:right="130" w:firstLine="397"/>
      </w:pPr>
      <w:r>
        <w:rPr>
          <w:color w:val="231F20"/>
          <w:w w:val="66"/>
        </w:rPr>
        <w:t> </w:t>
      </w:r>
      <w:r>
        <w:rPr>
          <w:color w:val="231F20"/>
        </w:rPr>
        <w:t>–</w:t>
      </w:r>
      <w:r>
        <w:rPr>
          <w:color w:val="231F20"/>
          <w:spacing w:val="-15"/>
        </w:rPr>
        <w:t> </w:t>
      </w:r>
      <w:r>
        <w:rPr>
          <w:color w:val="231F20"/>
        </w:rPr>
        <w:t>идентификовање</w:t>
      </w:r>
      <w:r>
        <w:rPr>
          <w:color w:val="231F20"/>
          <w:spacing w:val="-15"/>
        </w:rPr>
        <w:t> </w:t>
      </w:r>
      <w:r>
        <w:rPr>
          <w:color w:val="231F20"/>
        </w:rPr>
        <w:t>потенцијалних</w:t>
      </w:r>
      <w:r>
        <w:rPr>
          <w:color w:val="231F20"/>
          <w:spacing w:val="-15"/>
        </w:rPr>
        <w:t> </w:t>
      </w:r>
      <w:r>
        <w:rPr>
          <w:color w:val="231F20"/>
        </w:rPr>
        <w:t>зона</w:t>
      </w:r>
      <w:r>
        <w:rPr>
          <w:color w:val="231F20"/>
          <w:spacing w:val="-15"/>
        </w:rPr>
        <w:t> </w:t>
      </w:r>
      <w:r>
        <w:rPr>
          <w:color w:val="231F20"/>
        </w:rPr>
        <w:t>насељавања</w:t>
      </w:r>
      <w:r>
        <w:rPr>
          <w:color w:val="231F20"/>
          <w:spacing w:val="-15"/>
        </w:rPr>
        <w:t> </w:t>
      </w:r>
      <w:r>
        <w:rPr>
          <w:color w:val="231F20"/>
        </w:rPr>
        <w:t>и</w:t>
      </w:r>
      <w:r>
        <w:rPr>
          <w:color w:val="231F20"/>
          <w:spacing w:val="-15"/>
        </w:rPr>
        <w:t> </w:t>
      </w:r>
      <w:r>
        <w:rPr>
          <w:color w:val="231F20"/>
        </w:rPr>
        <w:t>евиден- тирање погодности и ограничења, нарочито, с обзиром на својин- ски статус</w:t>
      </w:r>
      <w:r>
        <w:rPr>
          <w:color w:val="231F20"/>
          <w:spacing w:val="-1"/>
        </w:rPr>
        <w:t> </w:t>
      </w:r>
      <w:r>
        <w:rPr>
          <w:color w:val="231F20"/>
        </w:rPr>
        <w:t>земљишта;</w:t>
      </w:r>
    </w:p>
    <w:p>
      <w:pPr>
        <w:pStyle w:val="BodyText"/>
        <w:spacing w:line="232" w:lineRule="auto" w:before="1"/>
        <w:ind w:left="240" w:right="131" w:firstLine="396"/>
      </w:pPr>
      <w:r>
        <w:rPr>
          <w:color w:val="231F20"/>
        </w:rPr>
        <w:t>Пресељење насеља и домаћинстава обухвата следеће прио- ритетне активности:</w:t>
      </w:r>
    </w:p>
    <w:p>
      <w:pPr>
        <w:pStyle w:val="BodyText"/>
        <w:spacing w:line="232" w:lineRule="auto" w:before="1"/>
        <w:ind w:left="240" w:right="131" w:firstLine="397"/>
      </w:pPr>
      <w:r>
        <w:rPr>
          <w:color w:val="231F20"/>
          <w:w w:val="66"/>
        </w:rPr>
        <w:t> </w:t>
      </w:r>
      <w:r>
        <w:rPr>
          <w:color w:val="231F20"/>
        </w:rPr>
        <w:t>– дефинисање услова експропријације, права и обавезе ло- калног становништва, услове пресељења са опцијама и модали- тетима, услове набавке пољопривредног земљишта, грађевинских парцела,</w:t>
      </w:r>
      <w:r>
        <w:rPr>
          <w:color w:val="231F20"/>
          <w:spacing w:val="-8"/>
        </w:rPr>
        <w:t> </w:t>
      </w:r>
      <w:r>
        <w:rPr>
          <w:color w:val="231F20"/>
        </w:rPr>
        <w:t>изградње</w:t>
      </w:r>
      <w:r>
        <w:rPr>
          <w:color w:val="231F20"/>
          <w:spacing w:val="-8"/>
        </w:rPr>
        <w:t> </w:t>
      </w:r>
      <w:r>
        <w:rPr>
          <w:color w:val="231F20"/>
        </w:rPr>
        <w:t>стамбених</w:t>
      </w:r>
      <w:r>
        <w:rPr>
          <w:color w:val="231F20"/>
          <w:spacing w:val="-8"/>
        </w:rPr>
        <w:t> </w:t>
      </w:r>
      <w:r>
        <w:rPr>
          <w:color w:val="231F20"/>
        </w:rPr>
        <w:t>и</w:t>
      </w:r>
      <w:r>
        <w:rPr>
          <w:color w:val="231F20"/>
          <w:spacing w:val="-8"/>
        </w:rPr>
        <w:t> </w:t>
      </w:r>
      <w:r>
        <w:rPr>
          <w:color w:val="231F20"/>
        </w:rPr>
        <w:t>пољопривредних</w:t>
      </w:r>
      <w:r>
        <w:rPr>
          <w:color w:val="231F20"/>
          <w:spacing w:val="-8"/>
        </w:rPr>
        <w:t> </w:t>
      </w:r>
      <w:r>
        <w:rPr>
          <w:color w:val="231F20"/>
        </w:rPr>
        <w:t>објеката</w:t>
      </w:r>
      <w:r>
        <w:rPr>
          <w:color w:val="231F20"/>
          <w:spacing w:val="-8"/>
        </w:rPr>
        <w:t> </w:t>
      </w:r>
      <w:r>
        <w:rPr>
          <w:color w:val="231F20"/>
        </w:rPr>
        <w:t>и</w:t>
      </w:r>
      <w:r>
        <w:rPr>
          <w:color w:val="231F20"/>
          <w:spacing w:val="-8"/>
        </w:rPr>
        <w:t> </w:t>
      </w:r>
      <w:r>
        <w:rPr>
          <w:color w:val="231F20"/>
        </w:rPr>
        <w:t>друго; на</w:t>
      </w:r>
      <w:r>
        <w:rPr>
          <w:color w:val="231F20"/>
          <w:spacing w:val="-9"/>
        </w:rPr>
        <w:t> </w:t>
      </w:r>
      <w:r>
        <w:rPr>
          <w:color w:val="231F20"/>
        </w:rPr>
        <w:t>јасан</w:t>
      </w:r>
      <w:r>
        <w:rPr>
          <w:color w:val="231F20"/>
          <w:spacing w:val="-9"/>
        </w:rPr>
        <w:t> </w:t>
      </w:r>
      <w:r>
        <w:rPr>
          <w:color w:val="231F20"/>
        </w:rPr>
        <w:t>и</w:t>
      </w:r>
      <w:r>
        <w:rPr>
          <w:color w:val="231F20"/>
          <w:spacing w:val="-9"/>
        </w:rPr>
        <w:t> </w:t>
      </w:r>
      <w:r>
        <w:rPr>
          <w:color w:val="231F20"/>
        </w:rPr>
        <w:t>разумљив</w:t>
      </w:r>
      <w:r>
        <w:rPr>
          <w:color w:val="231F20"/>
          <w:spacing w:val="-9"/>
        </w:rPr>
        <w:t> </w:t>
      </w:r>
      <w:r>
        <w:rPr>
          <w:color w:val="231F20"/>
        </w:rPr>
        <w:t>начин</w:t>
      </w:r>
      <w:r>
        <w:rPr>
          <w:color w:val="231F20"/>
          <w:spacing w:val="-9"/>
        </w:rPr>
        <w:t> </w:t>
      </w:r>
      <w:r>
        <w:rPr>
          <w:color w:val="231F20"/>
        </w:rPr>
        <w:t>предочити</w:t>
      </w:r>
      <w:r>
        <w:rPr>
          <w:color w:val="231F20"/>
          <w:spacing w:val="-9"/>
        </w:rPr>
        <w:t> </w:t>
      </w:r>
      <w:r>
        <w:rPr>
          <w:color w:val="231F20"/>
        </w:rPr>
        <w:t>локалном</w:t>
      </w:r>
      <w:r>
        <w:rPr>
          <w:color w:val="231F20"/>
          <w:spacing w:val="-9"/>
        </w:rPr>
        <w:t> </w:t>
      </w:r>
      <w:r>
        <w:rPr>
          <w:color w:val="231F20"/>
        </w:rPr>
        <w:t>становништву</w:t>
      </w:r>
      <w:r>
        <w:rPr>
          <w:color w:val="231F20"/>
          <w:spacing w:val="-9"/>
        </w:rPr>
        <w:t> </w:t>
      </w:r>
      <w:r>
        <w:rPr>
          <w:color w:val="231F20"/>
          <w:spacing w:val="-3"/>
        </w:rPr>
        <w:t>под </w:t>
      </w:r>
      <w:r>
        <w:rPr>
          <w:color w:val="231F20"/>
        </w:rPr>
        <w:t>којим условима се може преселити и каква су његова права у </w:t>
      </w:r>
      <w:r>
        <w:rPr>
          <w:color w:val="231F20"/>
          <w:spacing w:val="-3"/>
        </w:rPr>
        <w:t>том </w:t>
      </w:r>
      <w:r>
        <w:rPr>
          <w:color w:val="231F20"/>
        </w:rPr>
        <w:t>поступку;</w:t>
      </w:r>
    </w:p>
    <w:p>
      <w:pPr>
        <w:pStyle w:val="BodyText"/>
        <w:spacing w:line="232" w:lineRule="auto" w:before="2"/>
        <w:ind w:left="240" w:right="131" w:firstLine="396"/>
      </w:pPr>
      <w:r>
        <w:rPr>
          <w:color w:val="231F20"/>
          <w:w w:val="66"/>
        </w:rPr>
        <w:t> </w:t>
      </w:r>
      <w:r>
        <w:rPr>
          <w:color w:val="231F20"/>
        </w:rPr>
        <w:t>–</w:t>
      </w:r>
      <w:r>
        <w:rPr>
          <w:color w:val="231F20"/>
          <w:spacing w:val="-7"/>
        </w:rPr>
        <w:t> </w:t>
      </w:r>
      <w:r>
        <w:rPr>
          <w:color w:val="231F20"/>
        </w:rPr>
        <w:t>процена</w:t>
      </w:r>
      <w:r>
        <w:rPr>
          <w:color w:val="231F20"/>
          <w:spacing w:val="-7"/>
        </w:rPr>
        <w:t> </w:t>
      </w:r>
      <w:r>
        <w:rPr>
          <w:color w:val="231F20"/>
        </w:rPr>
        <w:t>трошкова</w:t>
      </w:r>
      <w:r>
        <w:rPr>
          <w:color w:val="231F20"/>
          <w:spacing w:val="-7"/>
        </w:rPr>
        <w:t> </w:t>
      </w:r>
      <w:r>
        <w:rPr>
          <w:color w:val="231F20"/>
        </w:rPr>
        <w:t>пресељења,</w:t>
      </w:r>
      <w:r>
        <w:rPr>
          <w:color w:val="231F20"/>
          <w:spacing w:val="-7"/>
        </w:rPr>
        <w:t> </w:t>
      </w:r>
      <w:r>
        <w:rPr>
          <w:color w:val="231F20"/>
        </w:rPr>
        <w:t>обухвата</w:t>
      </w:r>
      <w:r>
        <w:rPr>
          <w:color w:val="231F20"/>
          <w:spacing w:val="-7"/>
        </w:rPr>
        <w:t> </w:t>
      </w:r>
      <w:r>
        <w:rPr>
          <w:color w:val="231F20"/>
        </w:rPr>
        <w:t>све</w:t>
      </w:r>
      <w:r>
        <w:rPr>
          <w:color w:val="231F20"/>
          <w:spacing w:val="-7"/>
        </w:rPr>
        <w:t> </w:t>
      </w:r>
      <w:r>
        <w:rPr>
          <w:color w:val="231F20"/>
        </w:rPr>
        <w:t>релевантне</w:t>
      </w:r>
      <w:r>
        <w:rPr>
          <w:color w:val="231F20"/>
          <w:spacing w:val="-7"/>
        </w:rPr>
        <w:t> </w:t>
      </w:r>
      <w:r>
        <w:rPr>
          <w:color w:val="231F20"/>
        </w:rPr>
        <w:t>ин- формације</w:t>
      </w:r>
      <w:r>
        <w:rPr>
          <w:color w:val="231F20"/>
          <w:spacing w:val="-7"/>
        </w:rPr>
        <w:t> </w:t>
      </w:r>
      <w:r>
        <w:rPr>
          <w:color w:val="231F20"/>
        </w:rPr>
        <w:t>о</w:t>
      </w:r>
      <w:r>
        <w:rPr>
          <w:color w:val="231F20"/>
          <w:spacing w:val="-7"/>
        </w:rPr>
        <w:t> </w:t>
      </w:r>
      <w:r>
        <w:rPr>
          <w:color w:val="231F20"/>
        </w:rPr>
        <w:t>средствима</w:t>
      </w:r>
      <w:r>
        <w:rPr>
          <w:color w:val="231F20"/>
          <w:spacing w:val="-7"/>
        </w:rPr>
        <w:t> </w:t>
      </w:r>
      <w:r>
        <w:rPr>
          <w:color w:val="231F20"/>
        </w:rPr>
        <w:t>потребним</w:t>
      </w:r>
      <w:r>
        <w:rPr>
          <w:color w:val="231F20"/>
          <w:spacing w:val="-7"/>
        </w:rPr>
        <w:t> </w:t>
      </w:r>
      <w:r>
        <w:rPr>
          <w:color w:val="231F20"/>
        </w:rPr>
        <w:t>да</w:t>
      </w:r>
      <w:r>
        <w:rPr>
          <w:color w:val="231F20"/>
          <w:spacing w:val="-7"/>
        </w:rPr>
        <w:t> </w:t>
      </w:r>
      <w:r>
        <w:rPr>
          <w:color w:val="231F20"/>
        </w:rPr>
        <w:t>за</w:t>
      </w:r>
      <w:r>
        <w:rPr>
          <w:color w:val="231F20"/>
          <w:spacing w:val="-7"/>
        </w:rPr>
        <w:t> </w:t>
      </w:r>
      <w:r>
        <w:rPr>
          <w:color w:val="231F20"/>
        </w:rPr>
        <w:t>сваку</w:t>
      </w:r>
      <w:r>
        <w:rPr>
          <w:color w:val="231F20"/>
          <w:spacing w:val="-7"/>
        </w:rPr>
        <w:t> </w:t>
      </w:r>
      <w:r>
        <w:rPr>
          <w:color w:val="231F20"/>
        </w:rPr>
        <w:t>фазу</w:t>
      </w:r>
      <w:r>
        <w:rPr>
          <w:color w:val="231F20"/>
          <w:spacing w:val="-7"/>
        </w:rPr>
        <w:t> </w:t>
      </w:r>
      <w:r>
        <w:rPr>
          <w:color w:val="231F20"/>
        </w:rPr>
        <w:t>пресељавања;</w:t>
      </w:r>
    </w:p>
    <w:p>
      <w:pPr>
        <w:pStyle w:val="BodyText"/>
        <w:spacing w:line="232" w:lineRule="auto"/>
        <w:ind w:left="240" w:right="130" w:firstLine="396"/>
      </w:pPr>
      <w:r>
        <w:rPr>
          <w:color w:val="231F20"/>
          <w:w w:val="66"/>
        </w:rPr>
        <w:t> </w:t>
      </w:r>
      <w:r>
        <w:rPr>
          <w:color w:val="231F20"/>
        </w:rPr>
        <w:t>– анкетирање домаћинстава: да би се приступило анкетира- њу неопходно је претходно обезбедити потпуно и прецизно ин- формисање домаћинстава о свим елементима пресељења битним за опредељивање и избор најприхватљивије опције (информисање о понуђеним локацијама и условима за сваку локацију, трошкови пресељења, облици партиципације домаћинстава, обавезе кори- сника експропријације, обавезе локалне управе, обавезе домаћин- ства, услови уговарања, и тако даље);</w:t>
      </w:r>
    </w:p>
    <w:p>
      <w:pPr>
        <w:pStyle w:val="BodyText"/>
        <w:spacing w:line="201" w:lineRule="exact"/>
        <w:ind w:left="637"/>
        <w:jc w:val="left"/>
      </w:pPr>
      <w:r>
        <w:rPr>
          <w:color w:val="231F20"/>
          <w:w w:val="66"/>
        </w:rPr>
        <w:t> </w:t>
      </w:r>
      <w:r>
        <w:rPr>
          <w:color w:val="231F20"/>
        </w:rPr>
        <w:t>– прибављање локација за организовано пресељење и</w:t>
      </w:r>
    </w:p>
    <w:p>
      <w:pPr>
        <w:pStyle w:val="BodyText"/>
        <w:spacing w:line="232" w:lineRule="auto" w:before="2"/>
        <w:ind w:left="240" w:right="131" w:firstLine="397"/>
      </w:pPr>
      <w:r>
        <w:rPr>
          <w:color w:val="231F20"/>
          <w:w w:val="66"/>
        </w:rPr>
        <w:t> </w:t>
      </w:r>
      <w:r>
        <w:rPr>
          <w:color w:val="231F20"/>
        </w:rPr>
        <w:t>– правовремен и континуиран однос са јавношћу путем сле- дећих</w:t>
      </w:r>
      <w:r>
        <w:rPr>
          <w:color w:val="231F20"/>
          <w:spacing w:val="-8"/>
        </w:rPr>
        <w:t> </w:t>
      </w:r>
      <w:r>
        <w:rPr>
          <w:color w:val="231F20"/>
        </w:rPr>
        <w:t>облика:</w:t>
      </w:r>
      <w:r>
        <w:rPr>
          <w:color w:val="231F20"/>
          <w:spacing w:val="-8"/>
        </w:rPr>
        <w:t> </w:t>
      </w:r>
      <w:r>
        <w:rPr>
          <w:color w:val="231F20"/>
        </w:rPr>
        <w:t>организовање</w:t>
      </w:r>
      <w:r>
        <w:rPr>
          <w:color w:val="231F20"/>
          <w:spacing w:val="-8"/>
        </w:rPr>
        <w:t> </w:t>
      </w:r>
      <w:r>
        <w:rPr>
          <w:color w:val="231F20"/>
        </w:rPr>
        <w:t>скупова</w:t>
      </w:r>
      <w:r>
        <w:rPr>
          <w:color w:val="231F20"/>
          <w:spacing w:val="-8"/>
        </w:rPr>
        <w:t> </w:t>
      </w:r>
      <w:r>
        <w:rPr>
          <w:color w:val="231F20"/>
        </w:rPr>
        <w:t>грађана</w:t>
      </w:r>
      <w:r>
        <w:rPr>
          <w:color w:val="231F20"/>
          <w:spacing w:val="-8"/>
        </w:rPr>
        <w:t> </w:t>
      </w:r>
      <w:r>
        <w:rPr>
          <w:color w:val="231F20"/>
        </w:rPr>
        <w:t>у</w:t>
      </w:r>
      <w:r>
        <w:rPr>
          <w:color w:val="231F20"/>
          <w:spacing w:val="-8"/>
        </w:rPr>
        <w:t> </w:t>
      </w:r>
      <w:r>
        <w:rPr>
          <w:color w:val="231F20"/>
          <w:spacing w:val="-3"/>
        </w:rPr>
        <w:t>насељу,</w:t>
      </w:r>
      <w:r>
        <w:rPr>
          <w:color w:val="231F20"/>
          <w:spacing w:val="-8"/>
        </w:rPr>
        <w:t> </w:t>
      </w:r>
      <w:r>
        <w:rPr>
          <w:color w:val="231F20"/>
        </w:rPr>
        <w:t>извештава- ње</w:t>
      </w:r>
      <w:r>
        <w:rPr>
          <w:color w:val="231F20"/>
          <w:spacing w:val="-7"/>
        </w:rPr>
        <w:t> </w:t>
      </w:r>
      <w:r>
        <w:rPr>
          <w:color w:val="231F20"/>
          <w:spacing w:val="-3"/>
        </w:rPr>
        <w:t>преко</w:t>
      </w:r>
      <w:r>
        <w:rPr>
          <w:color w:val="231F20"/>
          <w:spacing w:val="-7"/>
        </w:rPr>
        <w:t> </w:t>
      </w:r>
      <w:r>
        <w:rPr>
          <w:color w:val="231F20"/>
        </w:rPr>
        <w:t>средстава</w:t>
      </w:r>
      <w:r>
        <w:rPr>
          <w:color w:val="231F20"/>
          <w:spacing w:val="-7"/>
        </w:rPr>
        <w:t> </w:t>
      </w:r>
      <w:r>
        <w:rPr>
          <w:color w:val="231F20"/>
        </w:rPr>
        <w:t>јавног</w:t>
      </w:r>
      <w:r>
        <w:rPr>
          <w:color w:val="231F20"/>
          <w:spacing w:val="-7"/>
        </w:rPr>
        <w:t> </w:t>
      </w:r>
      <w:r>
        <w:rPr>
          <w:color w:val="231F20"/>
        </w:rPr>
        <w:t>информисања</w:t>
      </w:r>
      <w:r>
        <w:rPr>
          <w:color w:val="231F20"/>
          <w:spacing w:val="-7"/>
        </w:rPr>
        <w:t> </w:t>
      </w:r>
      <w:r>
        <w:rPr>
          <w:color w:val="231F20"/>
        </w:rPr>
        <w:t>и</w:t>
      </w:r>
      <w:r>
        <w:rPr>
          <w:color w:val="231F20"/>
          <w:spacing w:val="-7"/>
        </w:rPr>
        <w:t> </w:t>
      </w:r>
      <w:r>
        <w:rPr>
          <w:color w:val="231F20"/>
        </w:rPr>
        <w:t>пружање</w:t>
      </w:r>
      <w:r>
        <w:rPr>
          <w:color w:val="231F20"/>
          <w:spacing w:val="-7"/>
        </w:rPr>
        <w:t> </w:t>
      </w:r>
      <w:r>
        <w:rPr>
          <w:color w:val="231F20"/>
        </w:rPr>
        <w:t>савета,</w:t>
      </w:r>
      <w:r>
        <w:rPr>
          <w:color w:val="231F20"/>
          <w:spacing w:val="-7"/>
        </w:rPr>
        <w:t> </w:t>
      </w:r>
      <w:r>
        <w:rPr>
          <w:color w:val="231F20"/>
        </w:rPr>
        <w:t>правне и друге помоћи становницима у процесу</w:t>
      </w:r>
      <w:r>
        <w:rPr>
          <w:color w:val="231F20"/>
          <w:spacing w:val="-6"/>
        </w:rPr>
        <w:t> </w:t>
      </w:r>
      <w:r>
        <w:rPr>
          <w:color w:val="231F20"/>
        </w:rPr>
        <w:t>пресељења.</w:t>
      </w:r>
    </w:p>
    <w:p>
      <w:pPr>
        <w:pStyle w:val="ListParagraph"/>
        <w:numPr>
          <w:ilvl w:val="2"/>
          <w:numId w:val="43"/>
        </w:numPr>
        <w:tabs>
          <w:tab w:pos="1641" w:val="left" w:leader="none"/>
        </w:tabs>
        <w:spacing w:line="429" w:lineRule="auto" w:before="167" w:after="0"/>
        <w:ind w:left="2121" w:right="1081" w:hanging="931"/>
        <w:jc w:val="left"/>
        <w:rPr>
          <w:sz w:val="18"/>
        </w:rPr>
      </w:pPr>
      <w:r>
        <w:rPr>
          <w:color w:val="231F20"/>
          <w:spacing w:val="15"/>
          <w:sz w:val="18"/>
        </w:rPr>
        <w:t>Уређење </w:t>
      </w:r>
      <w:r>
        <w:rPr>
          <w:color w:val="231F20"/>
          <w:sz w:val="18"/>
        </w:rPr>
        <w:t>и </w:t>
      </w:r>
      <w:r>
        <w:rPr>
          <w:color w:val="231F20"/>
          <w:spacing w:val="15"/>
          <w:sz w:val="18"/>
        </w:rPr>
        <w:t>заштит </w:t>
      </w:r>
      <w:r>
        <w:rPr>
          <w:color w:val="231F20"/>
          <w:sz w:val="18"/>
        </w:rPr>
        <w:t>а </w:t>
      </w:r>
      <w:r>
        <w:rPr>
          <w:color w:val="231F20"/>
          <w:spacing w:val="12"/>
          <w:sz w:val="18"/>
        </w:rPr>
        <w:t>про</w:t>
      </w:r>
      <w:r>
        <w:rPr>
          <w:color w:val="231F20"/>
          <w:spacing w:val="-11"/>
          <w:sz w:val="18"/>
        </w:rPr>
        <w:t> </w:t>
      </w:r>
      <w:r>
        <w:rPr>
          <w:color w:val="231F20"/>
          <w:spacing w:val="15"/>
          <w:sz w:val="18"/>
        </w:rPr>
        <w:t>стора </w:t>
      </w:r>
      <w:r>
        <w:rPr>
          <w:color w:val="231F20"/>
          <w:sz w:val="18"/>
        </w:rPr>
        <w:t>Животна</w:t>
      </w:r>
      <w:r>
        <w:rPr>
          <w:color w:val="231F20"/>
          <w:spacing w:val="-2"/>
          <w:sz w:val="18"/>
        </w:rPr>
        <w:t> </w:t>
      </w:r>
      <w:r>
        <w:rPr>
          <w:color w:val="231F20"/>
          <w:sz w:val="18"/>
        </w:rPr>
        <w:t>средина</w:t>
      </w:r>
    </w:p>
    <w:p>
      <w:pPr>
        <w:pStyle w:val="BodyText"/>
        <w:spacing w:line="232" w:lineRule="auto" w:before="37"/>
        <w:ind w:left="240" w:right="131" w:firstLine="396"/>
      </w:pPr>
      <w:r>
        <w:rPr>
          <w:color w:val="231F20"/>
        </w:rPr>
        <w:t>Из аспекта заштите свих </w:t>
      </w:r>
      <w:r>
        <w:rPr>
          <w:color w:val="231F20"/>
          <w:spacing w:val="-3"/>
        </w:rPr>
        <w:t>елемената животне средине као </w:t>
      </w:r>
      <w:r>
        <w:rPr>
          <w:color w:val="231F20"/>
        </w:rPr>
        <w:t>и </w:t>
      </w:r>
      <w:r>
        <w:rPr>
          <w:color w:val="231F20"/>
          <w:spacing w:val="-3"/>
        </w:rPr>
        <w:t>здравља</w:t>
      </w:r>
      <w:r>
        <w:rPr>
          <w:color w:val="231F20"/>
          <w:spacing w:val="-16"/>
        </w:rPr>
        <w:t> </w:t>
      </w:r>
      <w:r>
        <w:rPr>
          <w:color w:val="231F20"/>
          <w:spacing w:val="-4"/>
        </w:rPr>
        <w:t>људи,</w:t>
      </w:r>
      <w:r>
        <w:rPr>
          <w:color w:val="231F20"/>
          <w:spacing w:val="-16"/>
        </w:rPr>
        <w:t> </w:t>
      </w:r>
      <w:r>
        <w:rPr>
          <w:color w:val="231F20"/>
        </w:rPr>
        <w:t>у</w:t>
      </w:r>
      <w:r>
        <w:rPr>
          <w:color w:val="231F20"/>
          <w:spacing w:val="-16"/>
        </w:rPr>
        <w:t> </w:t>
      </w:r>
      <w:r>
        <w:rPr>
          <w:color w:val="231F20"/>
        </w:rPr>
        <w:t>првој</w:t>
      </w:r>
      <w:r>
        <w:rPr>
          <w:color w:val="231F20"/>
          <w:spacing w:val="-16"/>
        </w:rPr>
        <w:t> </w:t>
      </w:r>
      <w:r>
        <w:rPr>
          <w:color w:val="231F20"/>
        </w:rPr>
        <w:t>етапи</w:t>
      </w:r>
      <w:r>
        <w:rPr>
          <w:color w:val="231F20"/>
          <w:spacing w:val="-16"/>
        </w:rPr>
        <w:t> </w:t>
      </w:r>
      <w:r>
        <w:rPr>
          <w:color w:val="231F20"/>
        </w:rPr>
        <w:t>спровођења</w:t>
      </w:r>
      <w:r>
        <w:rPr>
          <w:color w:val="231F20"/>
          <w:spacing w:val="-16"/>
        </w:rPr>
        <w:t> </w:t>
      </w:r>
      <w:r>
        <w:rPr>
          <w:color w:val="231F20"/>
        </w:rPr>
        <w:t>Просторног</w:t>
      </w:r>
      <w:r>
        <w:rPr>
          <w:color w:val="231F20"/>
          <w:spacing w:val="-16"/>
        </w:rPr>
        <w:t> </w:t>
      </w:r>
      <w:r>
        <w:rPr>
          <w:color w:val="231F20"/>
        </w:rPr>
        <w:t>плана</w:t>
      </w:r>
      <w:r>
        <w:rPr>
          <w:color w:val="231F20"/>
          <w:spacing w:val="-16"/>
        </w:rPr>
        <w:t> </w:t>
      </w:r>
      <w:r>
        <w:rPr>
          <w:color w:val="231F20"/>
        </w:rPr>
        <w:t>дo</w:t>
      </w:r>
      <w:r>
        <w:rPr>
          <w:color w:val="231F20"/>
          <w:spacing w:val="-16"/>
        </w:rPr>
        <w:t> </w:t>
      </w:r>
      <w:r>
        <w:rPr>
          <w:color w:val="231F20"/>
        </w:rPr>
        <w:t>2015. </w:t>
      </w:r>
      <w:r>
        <w:rPr>
          <w:color w:val="231F20"/>
          <w:spacing w:val="-4"/>
        </w:rPr>
        <w:t>године неопходно </w:t>
      </w:r>
      <w:r>
        <w:rPr>
          <w:color w:val="231F20"/>
        </w:rPr>
        <w:t>је спровести </w:t>
      </w:r>
      <w:r>
        <w:rPr>
          <w:color w:val="231F20"/>
          <w:spacing w:val="-3"/>
        </w:rPr>
        <w:t>следеће </w:t>
      </w:r>
      <w:r>
        <w:rPr>
          <w:color w:val="231F20"/>
        </w:rPr>
        <w:t>приоритетне активности, за </w:t>
      </w:r>
      <w:r>
        <w:rPr>
          <w:color w:val="231F20"/>
          <w:spacing w:val="-4"/>
        </w:rPr>
        <w:t>које </w:t>
      </w:r>
      <w:r>
        <w:rPr>
          <w:color w:val="231F20"/>
          <w:spacing w:val="-3"/>
        </w:rPr>
        <w:t>су </w:t>
      </w:r>
      <w:r>
        <w:rPr>
          <w:color w:val="231F20"/>
        </w:rPr>
        <w:t>надлежни „ЕПС” и </w:t>
      </w:r>
      <w:r>
        <w:rPr>
          <w:color w:val="231F20"/>
          <w:spacing w:val="-4"/>
        </w:rPr>
        <w:t>Градска </w:t>
      </w:r>
      <w:r>
        <w:rPr>
          <w:color w:val="231F20"/>
          <w:spacing w:val="-3"/>
        </w:rPr>
        <w:t>управа </w:t>
      </w:r>
      <w:r>
        <w:rPr>
          <w:color w:val="231F20"/>
          <w:spacing w:val="-4"/>
        </w:rPr>
        <w:t>Града</w:t>
      </w:r>
      <w:r>
        <w:rPr>
          <w:color w:val="231F20"/>
          <w:spacing w:val="-22"/>
        </w:rPr>
        <w:t> </w:t>
      </w:r>
      <w:r>
        <w:rPr>
          <w:color w:val="231F20"/>
          <w:spacing w:val="-3"/>
        </w:rPr>
        <w:t>Пожаревац:</w:t>
      </w:r>
    </w:p>
    <w:p>
      <w:pPr>
        <w:pStyle w:val="BodyText"/>
        <w:spacing w:line="232" w:lineRule="auto" w:before="1"/>
        <w:ind w:left="240" w:right="131" w:firstLine="397"/>
      </w:pPr>
      <w:r>
        <w:rPr>
          <w:color w:val="231F20"/>
          <w:w w:val="66"/>
        </w:rPr>
        <w:t> </w:t>
      </w:r>
      <w:r>
        <w:rPr>
          <w:color w:val="231F20"/>
        </w:rPr>
        <w:t>– зауставити даљу деградацију и санирати/рекултивисати подручја у </w:t>
      </w:r>
      <w:r>
        <w:rPr>
          <w:color w:val="231F20"/>
          <w:spacing w:val="-3"/>
        </w:rPr>
        <w:t>којима </w:t>
      </w:r>
      <w:r>
        <w:rPr>
          <w:color w:val="231F20"/>
        </w:rPr>
        <w:t>је квалитет средине највише нарушен активно- стима</w:t>
      </w:r>
      <w:r>
        <w:rPr>
          <w:color w:val="231F20"/>
          <w:spacing w:val="-6"/>
        </w:rPr>
        <w:t> </w:t>
      </w:r>
      <w:r>
        <w:rPr>
          <w:color w:val="231F20"/>
        </w:rPr>
        <w:t>експлоатације</w:t>
      </w:r>
      <w:r>
        <w:rPr>
          <w:color w:val="231F20"/>
          <w:spacing w:val="-6"/>
        </w:rPr>
        <w:t> </w:t>
      </w:r>
      <w:r>
        <w:rPr>
          <w:color w:val="231F20"/>
        </w:rPr>
        <w:t>угља</w:t>
      </w:r>
      <w:r>
        <w:rPr>
          <w:color w:val="231F20"/>
          <w:spacing w:val="-6"/>
        </w:rPr>
        <w:t> </w:t>
      </w:r>
      <w:r>
        <w:rPr>
          <w:color w:val="231F20"/>
        </w:rPr>
        <w:t>и</w:t>
      </w:r>
      <w:r>
        <w:rPr>
          <w:color w:val="231F20"/>
          <w:spacing w:val="-6"/>
        </w:rPr>
        <w:t> </w:t>
      </w:r>
      <w:r>
        <w:rPr>
          <w:color w:val="231F20"/>
        </w:rPr>
        <w:t>радом</w:t>
      </w:r>
      <w:r>
        <w:rPr>
          <w:color w:val="231F20"/>
          <w:spacing w:val="-6"/>
        </w:rPr>
        <w:t> </w:t>
      </w:r>
      <w:r>
        <w:rPr>
          <w:color w:val="231F20"/>
        </w:rPr>
        <w:t>енергетских</w:t>
      </w:r>
      <w:r>
        <w:rPr>
          <w:color w:val="231F20"/>
          <w:spacing w:val="-6"/>
        </w:rPr>
        <w:t> </w:t>
      </w:r>
      <w:r>
        <w:rPr>
          <w:color w:val="231F20"/>
        </w:rPr>
        <w:t>постројења</w:t>
      </w:r>
      <w:r>
        <w:rPr>
          <w:color w:val="231F20"/>
          <w:spacing w:val="-6"/>
        </w:rPr>
        <w:t> </w:t>
      </w:r>
      <w:r>
        <w:rPr>
          <w:color w:val="231F20"/>
        </w:rPr>
        <w:t>(обаве- за управе града Пожаревца и</w:t>
      </w:r>
      <w:r>
        <w:rPr>
          <w:color w:val="231F20"/>
          <w:spacing w:val="-5"/>
        </w:rPr>
        <w:t> </w:t>
      </w:r>
      <w:r>
        <w:rPr>
          <w:color w:val="231F20"/>
        </w:rPr>
        <w:t>„ЕПС”-а);</w:t>
      </w:r>
    </w:p>
    <w:p>
      <w:pPr>
        <w:pStyle w:val="BodyText"/>
        <w:spacing w:line="232" w:lineRule="auto" w:before="1"/>
        <w:ind w:left="240" w:right="131" w:firstLine="396"/>
      </w:pPr>
      <w:r>
        <w:rPr>
          <w:color w:val="231F20"/>
          <w:w w:val="66"/>
        </w:rPr>
        <w:t> </w:t>
      </w:r>
      <w:r>
        <w:rPr>
          <w:color w:val="231F20"/>
        </w:rPr>
        <w:t>– дефинисати заштитне појасеве и просторе под посебним режимима коришћења (обавеза управе града Пожаревца);</w:t>
      </w:r>
    </w:p>
    <w:p>
      <w:pPr>
        <w:pStyle w:val="BodyText"/>
        <w:spacing w:line="232" w:lineRule="auto" w:before="1"/>
        <w:ind w:left="240" w:right="131" w:firstLine="396"/>
      </w:pPr>
      <w:r>
        <w:rPr>
          <w:color w:val="231F20"/>
          <w:w w:val="66"/>
        </w:rPr>
        <w:t> </w:t>
      </w:r>
      <w:r>
        <w:rPr>
          <w:color w:val="231F20"/>
        </w:rPr>
        <w:t>–</w:t>
      </w:r>
      <w:r>
        <w:rPr>
          <w:color w:val="231F20"/>
          <w:spacing w:val="-9"/>
        </w:rPr>
        <w:t> </w:t>
      </w:r>
      <w:r>
        <w:rPr>
          <w:color w:val="231F20"/>
        </w:rPr>
        <w:t>развити</w:t>
      </w:r>
      <w:r>
        <w:rPr>
          <w:color w:val="231F20"/>
          <w:spacing w:val="-9"/>
        </w:rPr>
        <w:t> </w:t>
      </w:r>
      <w:r>
        <w:rPr>
          <w:color w:val="231F20"/>
        </w:rPr>
        <w:t>и</w:t>
      </w:r>
      <w:r>
        <w:rPr>
          <w:color w:val="231F20"/>
          <w:spacing w:val="-9"/>
        </w:rPr>
        <w:t> </w:t>
      </w:r>
      <w:r>
        <w:rPr>
          <w:color w:val="231F20"/>
        </w:rPr>
        <w:t>увести</w:t>
      </w:r>
      <w:r>
        <w:rPr>
          <w:color w:val="231F20"/>
          <w:spacing w:val="-8"/>
        </w:rPr>
        <w:t> </w:t>
      </w:r>
      <w:r>
        <w:rPr>
          <w:color w:val="231F20"/>
        </w:rPr>
        <w:t>нове</w:t>
      </w:r>
      <w:r>
        <w:rPr>
          <w:color w:val="231F20"/>
          <w:spacing w:val="-9"/>
        </w:rPr>
        <w:t> </w:t>
      </w:r>
      <w:r>
        <w:rPr>
          <w:color w:val="231F20"/>
        </w:rPr>
        <w:t>технологије</w:t>
      </w:r>
      <w:r>
        <w:rPr>
          <w:color w:val="231F20"/>
          <w:spacing w:val="-9"/>
        </w:rPr>
        <w:t> </w:t>
      </w:r>
      <w:r>
        <w:rPr>
          <w:color w:val="231F20"/>
        </w:rPr>
        <w:t>селективног</w:t>
      </w:r>
      <w:r>
        <w:rPr>
          <w:color w:val="231F20"/>
          <w:spacing w:val="-9"/>
        </w:rPr>
        <w:t> </w:t>
      </w:r>
      <w:r>
        <w:rPr>
          <w:color w:val="231F20"/>
        </w:rPr>
        <w:t>откопавања повлатних слојева (обавеза</w:t>
      </w:r>
      <w:r>
        <w:rPr>
          <w:color w:val="231F20"/>
          <w:spacing w:val="-3"/>
        </w:rPr>
        <w:t> </w:t>
      </w:r>
      <w:r>
        <w:rPr>
          <w:color w:val="231F20"/>
        </w:rPr>
        <w:t>„ЕПС”-а);</w:t>
      </w:r>
    </w:p>
    <w:p>
      <w:pPr>
        <w:pStyle w:val="BodyText"/>
        <w:spacing w:line="232" w:lineRule="auto"/>
        <w:ind w:left="240" w:right="130" w:firstLine="396"/>
      </w:pPr>
      <w:r>
        <w:rPr>
          <w:color w:val="231F20"/>
          <w:w w:val="66"/>
        </w:rPr>
        <w:t> </w:t>
      </w:r>
      <w:r>
        <w:rPr>
          <w:color w:val="231F20"/>
        </w:rPr>
        <w:t>– применити поступак орошавања водом за спречавање еми- товања прашине у процесу откопавања, транспорта и одлагања (обавеза „ЕПС”-а);</w:t>
      </w:r>
    </w:p>
    <w:p>
      <w:pPr>
        <w:pStyle w:val="BodyText"/>
        <w:spacing w:line="232" w:lineRule="auto" w:before="1"/>
        <w:ind w:left="240" w:right="131" w:firstLine="396"/>
      </w:pPr>
      <w:r>
        <w:rPr>
          <w:color w:val="231F20"/>
          <w:w w:val="66"/>
        </w:rPr>
        <w:t> </w:t>
      </w:r>
      <w:r>
        <w:rPr>
          <w:color w:val="231F20"/>
        </w:rPr>
        <w:t>– рекултивисати и ревитализовати простор ПК „Кленовник” у функцији затварања копа (обавеза „ЕПС”-а),</w:t>
      </w:r>
    </w:p>
    <w:p>
      <w:pPr>
        <w:pStyle w:val="BodyText"/>
        <w:spacing w:line="232" w:lineRule="auto" w:before="1"/>
        <w:ind w:left="241" w:right="130" w:firstLine="396"/>
      </w:pPr>
      <w:r>
        <w:rPr>
          <w:color w:val="231F20"/>
          <w:w w:val="66"/>
        </w:rPr>
        <w:t> </w:t>
      </w:r>
      <w:r>
        <w:rPr>
          <w:color w:val="231F20"/>
        </w:rPr>
        <w:t>– реализовати инвестициони план рекултивације и зашти-  те животне средине површинског</w:t>
      </w:r>
      <w:r>
        <w:rPr>
          <w:color w:val="231F20"/>
          <w:spacing w:val="13"/>
        </w:rPr>
        <w:t> </w:t>
      </w:r>
      <w:r>
        <w:rPr>
          <w:color w:val="231F20"/>
          <w:spacing w:val="-3"/>
        </w:rPr>
        <w:t>копа „Ћириковац” </w:t>
      </w:r>
      <w:r>
        <w:rPr>
          <w:color w:val="231F20"/>
        </w:rPr>
        <w:t>(обавеза</w:t>
      </w:r>
    </w:p>
    <w:p>
      <w:pPr>
        <w:pStyle w:val="BodyText"/>
        <w:spacing w:line="200" w:lineRule="exact"/>
        <w:ind w:left="240"/>
        <w:jc w:val="left"/>
      </w:pPr>
      <w:r>
        <w:rPr>
          <w:color w:val="231F20"/>
        </w:rPr>
        <w:t>„ЕПС”-а);</w:t>
      </w:r>
    </w:p>
    <w:p>
      <w:pPr>
        <w:pStyle w:val="BodyText"/>
        <w:spacing w:line="232" w:lineRule="auto" w:before="2"/>
        <w:ind w:left="241" w:right="130" w:firstLine="396"/>
      </w:pPr>
      <w:r>
        <w:rPr>
          <w:color w:val="231F20"/>
          <w:w w:val="66"/>
        </w:rPr>
        <w:t> </w:t>
      </w:r>
      <w:r>
        <w:rPr>
          <w:color w:val="231F20"/>
        </w:rPr>
        <w:t>– обезбедити континуитет на рекултивацији ПК „Дрмно” (обавеза „ЕПС”-а);</w:t>
      </w:r>
    </w:p>
    <w:p>
      <w:pPr>
        <w:pStyle w:val="BodyText"/>
        <w:spacing w:line="232" w:lineRule="auto"/>
        <w:ind w:left="241" w:right="130" w:firstLine="396"/>
      </w:pPr>
      <w:r>
        <w:rPr>
          <w:color w:val="231F20"/>
          <w:w w:val="66"/>
        </w:rPr>
        <w:t> </w:t>
      </w:r>
      <w:r>
        <w:rPr>
          <w:color w:val="231F20"/>
        </w:rPr>
        <w:t>– изградити постројење за одсумпоравање димних гасова у ТЕ „Костолац Б” (обавеза „ЕПС”-а);</w:t>
      </w:r>
    </w:p>
    <w:p>
      <w:pPr>
        <w:pStyle w:val="BodyText"/>
        <w:spacing w:line="232" w:lineRule="auto" w:before="1"/>
        <w:ind w:left="241" w:right="130" w:firstLine="396"/>
      </w:pPr>
      <w:r>
        <w:rPr>
          <w:color w:val="231F20"/>
          <w:w w:val="66"/>
        </w:rPr>
        <w:t> </w:t>
      </w:r>
      <w:r>
        <w:rPr>
          <w:color w:val="231F20"/>
        </w:rPr>
        <w:t>–</w:t>
      </w:r>
      <w:r>
        <w:rPr>
          <w:color w:val="231F20"/>
          <w:spacing w:val="-6"/>
        </w:rPr>
        <w:t> </w:t>
      </w:r>
      <w:r>
        <w:rPr>
          <w:color w:val="231F20"/>
        </w:rPr>
        <w:t>применити</w:t>
      </w:r>
      <w:r>
        <w:rPr>
          <w:color w:val="231F20"/>
          <w:spacing w:val="-6"/>
        </w:rPr>
        <w:t> </w:t>
      </w:r>
      <w:r>
        <w:rPr>
          <w:color w:val="231F20"/>
        </w:rPr>
        <w:t>примарне</w:t>
      </w:r>
      <w:r>
        <w:rPr>
          <w:color w:val="231F20"/>
          <w:spacing w:val="-6"/>
        </w:rPr>
        <w:t> </w:t>
      </w:r>
      <w:r>
        <w:rPr>
          <w:color w:val="231F20"/>
        </w:rPr>
        <w:t>мере</w:t>
      </w:r>
      <w:r>
        <w:rPr>
          <w:color w:val="231F20"/>
          <w:spacing w:val="-7"/>
        </w:rPr>
        <w:t> </w:t>
      </w:r>
      <w:r>
        <w:rPr>
          <w:color w:val="231F20"/>
        </w:rPr>
        <w:t>за</w:t>
      </w:r>
      <w:r>
        <w:rPr>
          <w:color w:val="231F20"/>
          <w:spacing w:val="-6"/>
        </w:rPr>
        <w:t> </w:t>
      </w:r>
      <w:r>
        <w:rPr>
          <w:color w:val="231F20"/>
        </w:rPr>
        <w:t>смањење</w:t>
      </w:r>
      <w:r>
        <w:rPr>
          <w:color w:val="231F20"/>
          <w:spacing w:val="-6"/>
        </w:rPr>
        <w:t> </w:t>
      </w:r>
      <w:r>
        <w:rPr>
          <w:color w:val="231F20"/>
        </w:rPr>
        <w:t>концентрације</w:t>
      </w:r>
      <w:r>
        <w:rPr>
          <w:color w:val="231F20"/>
          <w:spacing w:val="-7"/>
        </w:rPr>
        <w:t> </w:t>
      </w:r>
      <w:r>
        <w:rPr>
          <w:color w:val="231F20"/>
        </w:rPr>
        <w:t>азот- них оксида у димним гасовима (обавеза</w:t>
      </w:r>
      <w:r>
        <w:rPr>
          <w:color w:val="231F20"/>
          <w:spacing w:val="-7"/>
        </w:rPr>
        <w:t> </w:t>
      </w:r>
      <w:r>
        <w:rPr>
          <w:color w:val="231F20"/>
        </w:rPr>
        <w:t>„ЕПС”-а);</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left="169" w:right="38" w:firstLine="397"/>
      </w:pPr>
      <w:r>
        <w:rPr/>
        <w:pict>
          <v:line style="position:absolute;mso-position-horizontal-relative:page;mso-position-vertical-relative:page;z-index:3256" from="304.724396pt,11.942451pt" to="304.724396pt,748.950451pt" stroked="true" strokeweight=".6pt" strokecolor="#231f20">
            <v:stroke dashstyle="solid"/>
            <w10:wrap type="none"/>
          </v:line>
        </w:pict>
      </w:r>
      <w:r>
        <w:rPr>
          <w:color w:val="231F20"/>
          <w:w w:val="66"/>
        </w:rPr>
        <w:t> </w:t>
      </w:r>
      <w:r>
        <w:rPr>
          <w:color w:val="231F20"/>
        </w:rPr>
        <w:t>–</w:t>
      </w:r>
      <w:r>
        <w:rPr>
          <w:color w:val="231F20"/>
          <w:spacing w:val="-13"/>
        </w:rPr>
        <w:t> </w:t>
      </w:r>
      <w:r>
        <w:rPr>
          <w:color w:val="231F20"/>
        </w:rPr>
        <w:t>реконструисати</w:t>
      </w:r>
      <w:r>
        <w:rPr>
          <w:color w:val="231F20"/>
          <w:spacing w:val="-13"/>
        </w:rPr>
        <w:t> </w:t>
      </w:r>
      <w:r>
        <w:rPr>
          <w:color w:val="231F20"/>
        </w:rPr>
        <w:t>електрофилтере</w:t>
      </w:r>
      <w:r>
        <w:rPr>
          <w:color w:val="231F20"/>
          <w:spacing w:val="-13"/>
        </w:rPr>
        <w:t> </w:t>
      </w:r>
      <w:r>
        <w:rPr>
          <w:color w:val="231F20"/>
        </w:rPr>
        <w:t>у</w:t>
      </w:r>
      <w:r>
        <w:rPr>
          <w:color w:val="231F20"/>
          <w:spacing w:val="-13"/>
        </w:rPr>
        <w:t> </w:t>
      </w:r>
      <w:r>
        <w:rPr>
          <w:color w:val="231F20"/>
        </w:rPr>
        <w:t>складу</w:t>
      </w:r>
      <w:r>
        <w:rPr>
          <w:color w:val="231F20"/>
          <w:spacing w:val="-13"/>
        </w:rPr>
        <w:t> </w:t>
      </w:r>
      <w:r>
        <w:rPr>
          <w:color w:val="231F20"/>
        </w:rPr>
        <w:t>са</w:t>
      </w:r>
      <w:r>
        <w:rPr>
          <w:color w:val="231F20"/>
          <w:spacing w:val="-13"/>
        </w:rPr>
        <w:t> </w:t>
      </w:r>
      <w:r>
        <w:rPr>
          <w:color w:val="231F20"/>
        </w:rPr>
        <w:t>законским</w:t>
      </w:r>
      <w:r>
        <w:rPr>
          <w:color w:val="231F20"/>
          <w:spacing w:val="-14"/>
        </w:rPr>
        <w:t> </w:t>
      </w:r>
      <w:r>
        <w:rPr>
          <w:color w:val="231F20"/>
        </w:rPr>
        <w:t>про- писима (ГВЕ = 50 mg/m³ чврстих честица) на </w:t>
      </w:r>
      <w:r>
        <w:rPr>
          <w:color w:val="231F20"/>
          <w:spacing w:val="-3"/>
        </w:rPr>
        <w:t>блоковима </w:t>
      </w:r>
      <w:r>
        <w:rPr>
          <w:color w:val="231F20"/>
        </w:rPr>
        <w:t>термое- лектрана </w:t>
      </w:r>
      <w:r>
        <w:rPr>
          <w:color w:val="231F20"/>
          <w:spacing w:val="-3"/>
        </w:rPr>
        <w:t>који </w:t>
      </w:r>
      <w:r>
        <w:rPr>
          <w:color w:val="231F20"/>
        </w:rPr>
        <w:t>се ревитализују (обавеза</w:t>
      </w:r>
      <w:r>
        <w:rPr>
          <w:color w:val="231F20"/>
          <w:spacing w:val="-1"/>
        </w:rPr>
        <w:t> </w:t>
      </w:r>
      <w:r>
        <w:rPr>
          <w:color w:val="231F20"/>
        </w:rPr>
        <w:t>„ЕПС”-а);</w:t>
      </w:r>
    </w:p>
    <w:p>
      <w:pPr>
        <w:pStyle w:val="BodyText"/>
        <w:spacing w:line="230" w:lineRule="auto"/>
        <w:ind w:left="169" w:right="38" w:firstLine="396"/>
      </w:pPr>
      <w:r>
        <w:rPr>
          <w:color w:val="231F20"/>
          <w:w w:val="66"/>
        </w:rPr>
        <w:t> </w:t>
      </w:r>
      <w:r>
        <w:rPr>
          <w:color w:val="231F20"/>
        </w:rPr>
        <w:t>–</w:t>
      </w:r>
      <w:r>
        <w:rPr>
          <w:color w:val="231F20"/>
          <w:spacing w:val="-15"/>
        </w:rPr>
        <w:t> </w:t>
      </w:r>
      <w:r>
        <w:rPr>
          <w:color w:val="231F20"/>
        </w:rPr>
        <w:t>изградити</w:t>
      </w:r>
      <w:r>
        <w:rPr>
          <w:color w:val="231F20"/>
          <w:spacing w:val="-15"/>
        </w:rPr>
        <w:t> </w:t>
      </w:r>
      <w:r>
        <w:rPr>
          <w:color w:val="231F20"/>
        </w:rPr>
        <w:t>постројења</w:t>
      </w:r>
      <w:r>
        <w:rPr>
          <w:color w:val="231F20"/>
          <w:spacing w:val="-15"/>
        </w:rPr>
        <w:t> </w:t>
      </w:r>
      <w:r>
        <w:rPr>
          <w:color w:val="231F20"/>
        </w:rPr>
        <w:t>за</w:t>
      </w:r>
      <w:r>
        <w:rPr>
          <w:color w:val="231F20"/>
          <w:spacing w:val="-15"/>
        </w:rPr>
        <w:t> </w:t>
      </w:r>
      <w:r>
        <w:rPr>
          <w:color w:val="231F20"/>
        </w:rPr>
        <w:t>пречишћавање</w:t>
      </w:r>
      <w:r>
        <w:rPr>
          <w:color w:val="231F20"/>
          <w:spacing w:val="-15"/>
        </w:rPr>
        <w:t> </w:t>
      </w:r>
      <w:r>
        <w:rPr>
          <w:color w:val="231F20"/>
        </w:rPr>
        <w:t>зауљених</w:t>
      </w:r>
      <w:r>
        <w:rPr>
          <w:color w:val="231F20"/>
          <w:spacing w:val="-15"/>
        </w:rPr>
        <w:t> </w:t>
      </w:r>
      <w:r>
        <w:rPr>
          <w:color w:val="231F20"/>
        </w:rPr>
        <w:t>отпадних вода (обавеза</w:t>
      </w:r>
      <w:r>
        <w:rPr>
          <w:color w:val="231F20"/>
          <w:spacing w:val="-2"/>
        </w:rPr>
        <w:t> </w:t>
      </w:r>
      <w:r>
        <w:rPr>
          <w:color w:val="231F20"/>
        </w:rPr>
        <w:t>„ЕПС”-а);</w:t>
      </w:r>
    </w:p>
    <w:p>
      <w:pPr>
        <w:pStyle w:val="BodyText"/>
        <w:spacing w:line="230" w:lineRule="auto"/>
        <w:ind w:left="169" w:right="38" w:firstLine="396"/>
      </w:pPr>
      <w:r>
        <w:rPr>
          <w:color w:val="231F20"/>
          <w:w w:val="66"/>
        </w:rPr>
        <w:t> </w:t>
      </w:r>
      <w:r>
        <w:rPr>
          <w:color w:val="231F20"/>
        </w:rPr>
        <w:t>– увести нове технологије транспорта и одлагања пепела     и шљаке на депонију са густом хиромешавином (1:1)</w:t>
      </w:r>
      <w:r>
        <w:rPr>
          <w:color w:val="231F20"/>
          <w:spacing w:val="-15"/>
        </w:rPr>
        <w:t> </w:t>
      </w:r>
      <w:r>
        <w:rPr>
          <w:color w:val="231F20"/>
        </w:rPr>
        <w:t>(обавеза</w:t>
      </w:r>
    </w:p>
    <w:p>
      <w:pPr>
        <w:pStyle w:val="BodyText"/>
        <w:spacing w:line="196" w:lineRule="exact"/>
        <w:ind w:left="169"/>
        <w:jc w:val="left"/>
      </w:pPr>
      <w:r>
        <w:rPr>
          <w:color w:val="231F20"/>
        </w:rPr>
        <w:t>„ЕПС”-а);</w:t>
      </w:r>
    </w:p>
    <w:p>
      <w:pPr>
        <w:pStyle w:val="BodyText"/>
        <w:spacing w:line="230" w:lineRule="auto" w:before="1"/>
        <w:ind w:left="169" w:right="38" w:firstLine="397"/>
      </w:pPr>
      <w:r>
        <w:rPr>
          <w:color w:val="231F20"/>
          <w:w w:val="66"/>
        </w:rPr>
        <w:t> </w:t>
      </w:r>
      <w:r>
        <w:rPr>
          <w:color w:val="231F20"/>
        </w:rPr>
        <w:t>–</w:t>
      </w:r>
      <w:r>
        <w:rPr>
          <w:color w:val="231F20"/>
          <w:spacing w:val="-9"/>
        </w:rPr>
        <w:t> </w:t>
      </w:r>
      <w:r>
        <w:rPr>
          <w:color w:val="231F20"/>
        </w:rPr>
        <w:t>годишње</w:t>
      </w:r>
      <w:r>
        <w:rPr>
          <w:color w:val="231F20"/>
          <w:spacing w:val="-9"/>
        </w:rPr>
        <w:t> </w:t>
      </w:r>
      <w:r>
        <w:rPr>
          <w:color w:val="231F20"/>
        </w:rPr>
        <w:t>извештавати</w:t>
      </w:r>
      <w:r>
        <w:rPr>
          <w:color w:val="231F20"/>
          <w:spacing w:val="-9"/>
        </w:rPr>
        <w:t> </w:t>
      </w:r>
      <w:r>
        <w:rPr>
          <w:color w:val="231F20"/>
        </w:rPr>
        <w:t>о</w:t>
      </w:r>
      <w:r>
        <w:rPr>
          <w:color w:val="231F20"/>
          <w:spacing w:val="-9"/>
        </w:rPr>
        <w:t> </w:t>
      </w:r>
      <w:r>
        <w:rPr>
          <w:color w:val="231F20"/>
        </w:rPr>
        <w:t>здравственом</w:t>
      </w:r>
      <w:r>
        <w:rPr>
          <w:color w:val="231F20"/>
          <w:spacing w:val="-8"/>
        </w:rPr>
        <w:t> </w:t>
      </w:r>
      <w:r>
        <w:rPr>
          <w:color w:val="231F20"/>
        </w:rPr>
        <w:t>стању</w:t>
      </w:r>
      <w:r>
        <w:rPr>
          <w:color w:val="231F20"/>
          <w:spacing w:val="-9"/>
        </w:rPr>
        <w:t> </w:t>
      </w:r>
      <w:r>
        <w:rPr>
          <w:color w:val="231F20"/>
        </w:rPr>
        <w:t>становништва у насељима са угроженом животном средином (Костолац, Косто- лац село, Дрмно, Кличевац, Кленовник, Маљуревац и Брадарац) (обавеза „ЕПС”-а и Завода за заштиту</w:t>
      </w:r>
      <w:r>
        <w:rPr>
          <w:color w:val="231F20"/>
          <w:spacing w:val="-8"/>
        </w:rPr>
        <w:t> </w:t>
      </w:r>
      <w:r>
        <w:rPr>
          <w:color w:val="231F20"/>
        </w:rPr>
        <w:t>здравља);</w:t>
      </w:r>
    </w:p>
    <w:p>
      <w:pPr>
        <w:pStyle w:val="BodyText"/>
        <w:spacing w:line="230" w:lineRule="auto"/>
        <w:ind w:left="168" w:right="39" w:firstLine="397"/>
      </w:pPr>
      <w:r>
        <w:rPr>
          <w:color w:val="231F20"/>
          <w:w w:val="66"/>
        </w:rPr>
        <w:t> </w:t>
      </w:r>
      <w:r>
        <w:rPr>
          <w:color w:val="231F20"/>
        </w:rPr>
        <w:t>– санирати дивље депоније и вршити редовну евакуацију</w:t>
      </w:r>
      <w:r>
        <w:rPr>
          <w:color w:val="231F20"/>
          <w:spacing w:val="-25"/>
        </w:rPr>
        <w:t> </w:t>
      </w:r>
      <w:r>
        <w:rPr>
          <w:color w:val="231F20"/>
        </w:rPr>
        <w:t>от- пада са читаве територије Планског подручја (обавеза ЈКП</w:t>
      </w:r>
      <w:r>
        <w:rPr>
          <w:color w:val="231F20"/>
          <w:spacing w:val="-26"/>
        </w:rPr>
        <w:t> </w:t>
      </w:r>
      <w:r>
        <w:rPr>
          <w:color w:val="231F20"/>
          <w:spacing w:val="-3"/>
        </w:rPr>
        <w:t>„Кому- </w:t>
      </w:r>
      <w:r>
        <w:rPr>
          <w:color w:val="231F20"/>
        </w:rPr>
        <w:t>налне службе” Пожаревац),</w:t>
      </w:r>
      <w:r>
        <w:rPr>
          <w:color w:val="231F20"/>
          <w:spacing w:val="-2"/>
        </w:rPr>
        <w:t> </w:t>
      </w:r>
      <w:r>
        <w:rPr>
          <w:color w:val="231F20"/>
        </w:rPr>
        <w:t>и</w:t>
      </w:r>
    </w:p>
    <w:p>
      <w:pPr>
        <w:pStyle w:val="BodyText"/>
        <w:spacing w:line="230" w:lineRule="auto"/>
        <w:ind w:left="168" w:right="39" w:firstLine="397"/>
      </w:pPr>
      <w:r>
        <w:rPr>
          <w:color w:val="231F20"/>
          <w:w w:val="66"/>
        </w:rPr>
        <w:t> </w:t>
      </w:r>
      <w:r>
        <w:rPr>
          <w:color w:val="231F20"/>
        </w:rPr>
        <w:t>– развити нови систем мониторинга животне средине: утвр- дити обавезу и контролу спровођења мониторинга на свим лока- цијама које би могле да представљају потенцијалну опасност за здравље становника, са системом узбуњивања становника када вредности загађења пређу дозвољену границу (обавеза управе града Пожаревца).</w:t>
      </w:r>
    </w:p>
    <w:p>
      <w:pPr>
        <w:pStyle w:val="BodyText"/>
        <w:spacing w:line="230" w:lineRule="auto"/>
        <w:ind w:left="168" w:right="39" w:firstLine="396"/>
      </w:pPr>
      <w:r>
        <w:rPr>
          <w:color w:val="231F20"/>
        </w:rPr>
        <w:t>Носиоци реализације приоритета у области животне средине су</w:t>
      </w:r>
      <w:r>
        <w:rPr>
          <w:color w:val="231F20"/>
          <w:spacing w:val="-15"/>
        </w:rPr>
        <w:t> </w:t>
      </w:r>
      <w:r>
        <w:rPr>
          <w:color w:val="231F20"/>
        </w:rPr>
        <w:t>„ЕПС”</w:t>
      </w:r>
      <w:r>
        <w:rPr>
          <w:color w:val="231F20"/>
          <w:spacing w:val="-15"/>
        </w:rPr>
        <w:t> </w:t>
      </w:r>
      <w:r>
        <w:rPr>
          <w:color w:val="231F20"/>
        </w:rPr>
        <w:t>и</w:t>
      </w:r>
      <w:r>
        <w:rPr>
          <w:color w:val="231F20"/>
          <w:spacing w:val="-15"/>
        </w:rPr>
        <w:t> </w:t>
      </w:r>
      <w:r>
        <w:rPr>
          <w:color w:val="231F20"/>
        </w:rPr>
        <w:t>ТЕ-КО</w:t>
      </w:r>
      <w:r>
        <w:rPr>
          <w:color w:val="231F20"/>
          <w:spacing w:val="-15"/>
        </w:rPr>
        <w:t> </w:t>
      </w:r>
      <w:r>
        <w:rPr>
          <w:color w:val="231F20"/>
        </w:rPr>
        <w:t>„Костолац”.</w:t>
      </w:r>
      <w:r>
        <w:rPr>
          <w:color w:val="231F20"/>
          <w:spacing w:val="-15"/>
        </w:rPr>
        <w:t> </w:t>
      </w:r>
      <w:r>
        <w:rPr>
          <w:color w:val="231F20"/>
        </w:rPr>
        <w:t>Мониторинг</w:t>
      </w:r>
      <w:r>
        <w:rPr>
          <w:color w:val="231F20"/>
          <w:spacing w:val="-15"/>
        </w:rPr>
        <w:t> </w:t>
      </w:r>
      <w:r>
        <w:rPr>
          <w:color w:val="231F20"/>
        </w:rPr>
        <w:t>промена</w:t>
      </w:r>
      <w:r>
        <w:rPr>
          <w:color w:val="231F20"/>
          <w:spacing w:val="-15"/>
        </w:rPr>
        <w:t> </w:t>
      </w:r>
      <w:r>
        <w:rPr>
          <w:color w:val="231F20"/>
        </w:rPr>
        <w:t>стања</w:t>
      </w:r>
      <w:r>
        <w:rPr>
          <w:color w:val="231F20"/>
          <w:spacing w:val="-15"/>
        </w:rPr>
        <w:t> </w:t>
      </w:r>
      <w:r>
        <w:rPr>
          <w:color w:val="231F20"/>
        </w:rPr>
        <w:t>живот- не</w:t>
      </w:r>
      <w:r>
        <w:rPr>
          <w:color w:val="231F20"/>
          <w:spacing w:val="-8"/>
        </w:rPr>
        <w:t> </w:t>
      </w:r>
      <w:r>
        <w:rPr>
          <w:color w:val="231F20"/>
        </w:rPr>
        <w:t>средине</w:t>
      </w:r>
      <w:r>
        <w:rPr>
          <w:color w:val="231F20"/>
          <w:spacing w:val="-8"/>
        </w:rPr>
        <w:t> </w:t>
      </w:r>
      <w:r>
        <w:rPr>
          <w:color w:val="231F20"/>
        </w:rPr>
        <w:t>обављаће</w:t>
      </w:r>
      <w:r>
        <w:rPr>
          <w:color w:val="231F20"/>
          <w:spacing w:val="-8"/>
        </w:rPr>
        <w:t> </w:t>
      </w:r>
      <w:r>
        <w:rPr>
          <w:color w:val="231F20"/>
        </w:rPr>
        <w:t>независна</w:t>
      </w:r>
      <w:r>
        <w:rPr>
          <w:color w:val="231F20"/>
          <w:spacing w:val="-8"/>
        </w:rPr>
        <w:t> </w:t>
      </w:r>
      <w:r>
        <w:rPr>
          <w:color w:val="231F20"/>
        </w:rPr>
        <w:t>овлашћена</w:t>
      </w:r>
      <w:r>
        <w:rPr>
          <w:color w:val="231F20"/>
          <w:spacing w:val="-8"/>
        </w:rPr>
        <w:t> </w:t>
      </w:r>
      <w:r>
        <w:rPr>
          <w:color w:val="231F20"/>
        </w:rPr>
        <w:t>стручна</w:t>
      </w:r>
      <w:r>
        <w:rPr>
          <w:color w:val="231F20"/>
          <w:spacing w:val="-8"/>
        </w:rPr>
        <w:t> </w:t>
      </w:r>
      <w:r>
        <w:rPr>
          <w:color w:val="231F20"/>
        </w:rPr>
        <w:t>институција.</w:t>
      </w:r>
    </w:p>
    <w:p>
      <w:pPr>
        <w:pStyle w:val="BodyText"/>
        <w:spacing w:before="161"/>
        <w:ind w:left="1801"/>
        <w:jc w:val="left"/>
      </w:pPr>
      <w:r>
        <w:rPr>
          <w:color w:val="231F20"/>
        </w:rPr>
        <w:t>Рекултивација простора</w:t>
      </w:r>
    </w:p>
    <w:p>
      <w:pPr>
        <w:pStyle w:val="BodyText"/>
        <w:spacing w:before="1"/>
        <w:ind w:left="0"/>
        <w:jc w:val="left"/>
        <w:rPr>
          <w:sz w:val="17"/>
        </w:rPr>
      </w:pPr>
    </w:p>
    <w:p>
      <w:pPr>
        <w:pStyle w:val="BodyText"/>
        <w:spacing w:line="230" w:lineRule="auto"/>
        <w:ind w:left="168" w:right="39" w:firstLine="396"/>
      </w:pPr>
      <w:r>
        <w:rPr>
          <w:color w:val="231F20"/>
        </w:rPr>
        <w:t>Настављање површинске експлоатације и прераде лигнита на подручју </w:t>
      </w:r>
      <w:r>
        <w:rPr>
          <w:color w:val="231F20"/>
          <w:spacing w:val="-3"/>
        </w:rPr>
        <w:t>Костолачког </w:t>
      </w:r>
      <w:r>
        <w:rPr>
          <w:color w:val="231F20"/>
        </w:rPr>
        <w:t>басена је условљено убрзаним спрово- ђењем пројеката рекултивације деградираног земљишта, </w:t>
      </w:r>
      <w:r>
        <w:rPr>
          <w:color w:val="231F20"/>
          <w:spacing w:val="-3"/>
        </w:rPr>
        <w:t>који </w:t>
      </w:r>
      <w:r>
        <w:rPr>
          <w:color w:val="231F20"/>
        </w:rPr>
        <w:t>су усмерени на целовиту рехабилитацију нарушених предела. У тим оквирима до 2015. </w:t>
      </w:r>
      <w:r>
        <w:rPr>
          <w:color w:val="231F20"/>
          <w:spacing w:val="-3"/>
        </w:rPr>
        <w:t>године </w:t>
      </w:r>
      <w:r>
        <w:rPr>
          <w:color w:val="231F20"/>
        </w:rPr>
        <w:t>приоритетно је:</w:t>
      </w:r>
    </w:p>
    <w:p>
      <w:pPr>
        <w:pStyle w:val="BodyText"/>
        <w:spacing w:line="230" w:lineRule="auto"/>
        <w:ind w:left="168" w:right="39" w:firstLine="396"/>
      </w:pPr>
      <w:r>
        <w:rPr>
          <w:color w:val="231F20"/>
          <w:w w:val="66"/>
        </w:rPr>
        <w:t> </w:t>
      </w:r>
      <w:r>
        <w:rPr>
          <w:color w:val="231F20"/>
        </w:rPr>
        <w:t>– доношење и спровођење пројекта ремедијације и рекулти- вације депоније пепела на Средњем костолачком острву;</w:t>
      </w:r>
    </w:p>
    <w:p>
      <w:pPr>
        <w:pStyle w:val="BodyText"/>
        <w:spacing w:line="230" w:lineRule="auto"/>
        <w:ind w:left="168" w:right="39" w:firstLine="396"/>
      </w:pPr>
      <w:r>
        <w:rPr>
          <w:color w:val="231F20"/>
          <w:w w:val="66"/>
        </w:rPr>
        <w:t> </w:t>
      </w:r>
      <w:r>
        <w:rPr>
          <w:color w:val="231F20"/>
        </w:rPr>
        <w:t>–</w:t>
      </w:r>
      <w:r>
        <w:rPr>
          <w:color w:val="231F20"/>
          <w:spacing w:val="-15"/>
        </w:rPr>
        <w:t> </w:t>
      </w:r>
      <w:r>
        <w:rPr>
          <w:color w:val="231F20"/>
        </w:rPr>
        <w:t>разрада</w:t>
      </w:r>
      <w:r>
        <w:rPr>
          <w:color w:val="231F20"/>
          <w:spacing w:val="-15"/>
        </w:rPr>
        <w:t> </w:t>
      </w:r>
      <w:r>
        <w:rPr>
          <w:color w:val="231F20"/>
        </w:rPr>
        <w:t>визије</w:t>
      </w:r>
      <w:r>
        <w:rPr>
          <w:color w:val="231F20"/>
          <w:spacing w:val="-15"/>
        </w:rPr>
        <w:t> </w:t>
      </w:r>
      <w:r>
        <w:rPr>
          <w:color w:val="231F20"/>
        </w:rPr>
        <w:t>целовите</w:t>
      </w:r>
      <w:r>
        <w:rPr>
          <w:color w:val="231F20"/>
          <w:spacing w:val="-15"/>
        </w:rPr>
        <w:t> </w:t>
      </w:r>
      <w:r>
        <w:rPr>
          <w:color w:val="231F20"/>
        </w:rPr>
        <w:t>предеоне</w:t>
      </w:r>
      <w:r>
        <w:rPr>
          <w:color w:val="231F20"/>
          <w:spacing w:val="-15"/>
        </w:rPr>
        <w:t> </w:t>
      </w:r>
      <w:r>
        <w:rPr>
          <w:color w:val="231F20"/>
        </w:rPr>
        <w:t>рехабилитације</w:t>
      </w:r>
      <w:r>
        <w:rPr>
          <w:color w:val="231F20"/>
          <w:spacing w:val="-15"/>
        </w:rPr>
        <w:t> </w:t>
      </w:r>
      <w:r>
        <w:rPr>
          <w:color w:val="231F20"/>
        </w:rPr>
        <w:t>Планског подручја </w:t>
      </w:r>
      <w:r>
        <w:rPr>
          <w:color w:val="231F20"/>
          <w:spacing w:val="-3"/>
        </w:rPr>
        <w:t>након </w:t>
      </w:r>
      <w:r>
        <w:rPr>
          <w:color w:val="231F20"/>
        </w:rPr>
        <w:t>завршетка </w:t>
      </w:r>
      <w:r>
        <w:rPr>
          <w:color w:val="231F20"/>
          <w:spacing w:val="-3"/>
        </w:rPr>
        <w:t>рударске </w:t>
      </w:r>
      <w:r>
        <w:rPr>
          <w:color w:val="231F20"/>
        </w:rPr>
        <w:t>експлоатације угљаних лежи- шта и</w:t>
      </w:r>
    </w:p>
    <w:p>
      <w:pPr>
        <w:pStyle w:val="BodyText"/>
        <w:spacing w:line="196" w:lineRule="exact"/>
        <w:ind w:left="565"/>
        <w:jc w:val="left"/>
      </w:pPr>
      <w:r>
        <w:rPr>
          <w:color w:val="231F20"/>
          <w:w w:val="66"/>
        </w:rPr>
        <w:t> </w:t>
      </w:r>
      <w:r>
        <w:rPr>
          <w:color w:val="231F20"/>
        </w:rPr>
        <w:t>– иновирање и допуна постојећих пројеката рекултивације.</w:t>
      </w:r>
    </w:p>
    <w:p>
      <w:pPr>
        <w:pStyle w:val="BodyText"/>
        <w:spacing w:line="230" w:lineRule="auto" w:before="1"/>
        <w:ind w:left="168" w:right="39" w:firstLine="397"/>
      </w:pPr>
      <w:r>
        <w:rPr>
          <w:color w:val="231F20"/>
        </w:rPr>
        <w:t>ПД ТЕКО „Костолац” ће, након обављене рекултивације и ремидијације, уређење површина уступити будућим корисницима у складу са Законом у сарадњу са локалном самоуправом.</w:t>
      </w:r>
    </w:p>
    <w:p>
      <w:pPr>
        <w:pStyle w:val="BodyText"/>
        <w:spacing w:before="163"/>
        <w:ind w:left="786"/>
        <w:jc w:val="left"/>
      </w:pPr>
      <w:r>
        <w:rPr>
          <w:color w:val="231F20"/>
        </w:rPr>
        <w:t>Заштита природе, природних вредности и предела</w:t>
      </w:r>
    </w:p>
    <w:p>
      <w:pPr>
        <w:pStyle w:val="BodyText"/>
        <w:spacing w:before="1"/>
        <w:ind w:left="0"/>
        <w:jc w:val="left"/>
        <w:rPr>
          <w:sz w:val="17"/>
        </w:rPr>
      </w:pPr>
    </w:p>
    <w:p>
      <w:pPr>
        <w:pStyle w:val="BodyText"/>
        <w:spacing w:line="230" w:lineRule="auto"/>
        <w:ind w:left="168" w:right="39" w:firstLine="396"/>
      </w:pPr>
      <w:r>
        <w:rPr>
          <w:color w:val="231F20"/>
        </w:rPr>
        <w:t>Са станoвишта заштите природе и природних вредности приoритeтнe активнoсти у првoј eтапи спрoвoђeња Прoстoрнoг планa дo 2015. гoдинe јесу:</w:t>
      </w:r>
    </w:p>
    <w:p>
      <w:pPr>
        <w:pStyle w:val="BodyText"/>
        <w:spacing w:line="230" w:lineRule="auto"/>
        <w:ind w:left="168" w:right="39" w:firstLine="397"/>
      </w:pPr>
      <w:r>
        <w:rPr>
          <w:color w:val="231F20"/>
          <w:w w:val="66"/>
        </w:rPr>
        <w:t> </w:t>
      </w:r>
      <w:r>
        <w:rPr>
          <w:color w:val="231F20"/>
        </w:rPr>
        <w:t>–</w:t>
      </w:r>
      <w:r>
        <w:rPr>
          <w:color w:val="231F20"/>
          <w:spacing w:val="-5"/>
        </w:rPr>
        <w:t> </w:t>
      </w:r>
      <w:r>
        <w:rPr>
          <w:color w:val="231F20"/>
        </w:rPr>
        <w:t>ревизија</w:t>
      </w:r>
      <w:r>
        <w:rPr>
          <w:color w:val="231F20"/>
          <w:spacing w:val="-5"/>
        </w:rPr>
        <w:t> </w:t>
      </w:r>
      <w:r>
        <w:rPr>
          <w:color w:val="231F20"/>
        </w:rPr>
        <w:t>статуса</w:t>
      </w:r>
      <w:r>
        <w:rPr>
          <w:color w:val="231F20"/>
          <w:spacing w:val="-5"/>
        </w:rPr>
        <w:t> </w:t>
      </w:r>
      <w:r>
        <w:rPr>
          <w:color w:val="231F20"/>
        </w:rPr>
        <w:t>(врста,</w:t>
      </w:r>
      <w:r>
        <w:rPr>
          <w:color w:val="231F20"/>
          <w:spacing w:val="-5"/>
        </w:rPr>
        <w:t> </w:t>
      </w:r>
      <w:r>
        <w:rPr>
          <w:color w:val="231F20"/>
        </w:rPr>
        <w:t>режима</w:t>
      </w:r>
      <w:r>
        <w:rPr>
          <w:color w:val="231F20"/>
          <w:spacing w:val="-5"/>
        </w:rPr>
        <w:t> </w:t>
      </w:r>
      <w:r>
        <w:rPr>
          <w:color w:val="231F20"/>
        </w:rPr>
        <w:t>и</w:t>
      </w:r>
      <w:r>
        <w:rPr>
          <w:color w:val="231F20"/>
          <w:spacing w:val="-5"/>
        </w:rPr>
        <w:t> </w:t>
      </w:r>
      <w:r>
        <w:rPr>
          <w:color w:val="231F20"/>
        </w:rPr>
        <w:t>граница</w:t>
      </w:r>
      <w:r>
        <w:rPr>
          <w:color w:val="231F20"/>
          <w:spacing w:val="-5"/>
        </w:rPr>
        <w:t> </w:t>
      </w:r>
      <w:r>
        <w:rPr>
          <w:color w:val="231F20"/>
        </w:rPr>
        <w:t>заштите)</w:t>
      </w:r>
      <w:r>
        <w:rPr>
          <w:color w:val="231F20"/>
          <w:spacing w:val="-5"/>
        </w:rPr>
        <w:t> </w:t>
      </w:r>
      <w:r>
        <w:rPr>
          <w:color w:val="231F20"/>
        </w:rPr>
        <w:t>зашти- ћених</w:t>
      </w:r>
      <w:r>
        <w:rPr>
          <w:color w:val="231F20"/>
          <w:spacing w:val="-5"/>
        </w:rPr>
        <w:t> </w:t>
      </w:r>
      <w:r>
        <w:rPr>
          <w:color w:val="231F20"/>
        </w:rPr>
        <w:t>подручја</w:t>
      </w:r>
      <w:r>
        <w:rPr>
          <w:color w:val="231F20"/>
          <w:spacing w:val="-5"/>
        </w:rPr>
        <w:t> </w:t>
      </w:r>
      <w:r>
        <w:rPr>
          <w:color w:val="231F20"/>
        </w:rPr>
        <w:t>и</w:t>
      </w:r>
      <w:r>
        <w:rPr>
          <w:color w:val="231F20"/>
          <w:spacing w:val="-5"/>
        </w:rPr>
        <w:t> </w:t>
      </w:r>
      <w:r>
        <w:rPr>
          <w:color w:val="231F20"/>
        </w:rPr>
        <w:t>усклађивање</w:t>
      </w:r>
      <w:r>
        <w:rPr>
          <w:color w:val="231F20"/>
          <w:spacing w:val="-5"/>
        </w:rPr>
        <w:t> </w:t>
      </w:r>
      <w:r>
        <w:rPr>
          <w:color w:val="231F20"/>
        </w:rPr>
        <w:t>са</w:t>
      </w:r>
      <w:r>
        <w:rPr>
          <w:color w:val="231F20"/>
          <w:spacing w:val="-5"/>
        </w:rPr>
        <w:t> </w:t>
      </w:r>
      <w:r>
        <w:rPr>
          <w:color w:val="231F20"/>
        </w:rPr>
        <w:t>актуелном</w:t>
      </w:r>
      <w:r>
        <w:rPr>
          <w:color w:val="231F20"/>
          <w:spacing w:val="-5"/>
        </w:rPr>
        <w:t> </w:t>
      </w:r>
      <w:r>
        <w:rPr>
          <w:color w:val="231F20"/>
          <w:spacing w:val="-3"/>
        </w:rPr>
        <w:t>законском</w:t>
      </w:r>
      <w:r>
        <w:rPr>
          <w:color w:val="231F20"/>
          <w:spacing w:val="-5"/>
        </w:rPr>
        <w:t> </w:t>
      </w:r>
      <w:r>
        <w:rPr>
          <w:color w:val="231F20"/>
        </w:rPr>
        <w:t>и</w:t>
      </w:r>
      <w:r>
        <w:rPr>
          <w:color w:val="231F20"/>
          <w:spacing w:val="-5"/>
        </w:rPr>
        <w:t> </w:t>
      </w:r>
      <w:r>
        <w:rPr>
          <w:color w:val="231F20"/>
          <w:spacing w:val="-3"/>
        </w:rPr>
        <w:t>планском </w:t>
      </w:r>
      <w:r>
        <w:rPr>
          <w:color w:val="231F20"/>
        </w:rPr>
        <w:t>основом;</w:t>
      </w:r>
    </w:p>
    <w:p>
      <w:pPr>
        <w:pStyle w:val="BodyText"/>
        <w:spacing w:line="196" w:lineRule="exact"/>
        <w:ind w:left="565"/>
        <w:jc w:val="left"/>
      </w:pPr>
      <w:r>
        <w:rPr>
          <w:color w:val="231F20"/>
          <w:w w:val="66"/>
        </w:rPr>
        <w:t> </w:t>
      </w:r>
      <w:r>
        <w:rPr>
          <w:color w:val="231F20"/>
        </w:rPr>
        <w:t>– ревизија статуса заштићених врста дивље флоре и фауне;</w:t>
      </w:r>
    </w:p>
    <w:p>
      <w:pPr>
        <w:pStyle w:val="BodyText"/>
        <w:spacing w:line="199" w:lineRule="exact"/>
        <w:ind w:left="565"/>
        <w:jc w:val="left"/>
      </w:pPr>
      <w:r>
        <w:rPr>
          <w:color w:val="231F20"/>
          <w:w w:val="66"/>
        </w:rPr>
        <w:t> </w:t>
      </w:r>
      <w:r>
        <w:rPr>
          <w:color w:val="231F20"/>
        </w:rPr>
        <w:t>– санација деградираних простора;</w:t>
      </w:r>
    </w:p>
    <w:p>
      <w:pPr>
        <w:pStyle w:val="BodyText"/>
        <w:spacing w:line="230" w:lineRule="auto" w:before="2"/>
        <w:ind w:left="168" w:right="39" w:firstLine="396"/>
      </w:pPr>
      <w:r>
        <w:rPr>
          <w:color w:val="231F20"/>
          <w:w w:val="66"/>
        </w:rPr>
        <w:t> </w:t>
      </w:r>
      <w:r>
        <w:rPr>
          <w:color w:val="231F20"/>
        </w:rPr>
        <w:t>– развој ГИС-а о заштићеним и еколошким подручјима на Планском подручју и његово повезивање са Националном инфра- структуром геопросторних података;</w:t>
      </w:r>
    </w:p>
    <w:p>
      <w:pPr>
        <w:pStyle w:val="BodyText"/>
        <w:spacing w:line="230" w:lineRule="auto"/>
        <w:ind w:left="168" w:right="39" w:firstLine="396"/>
      </w:pPr>
      <w:r>
        <w:rPr>
          <w:color w:val="231F20"/>
          <w:w w:val="66"/>
        </w:rPr>
        <w:t> </w:t>
      </w:r>
      <w:r>
        <w:rPr>
          <w:color w:val="231F20"/>
        </w:rPr>
        <w:t>– израда пилот пројеката „Карактеризација предела Косто- лачког лигнитског басена”; и</w:t>
      </w:r>
    </w:p>
    <w:p>
      <w:pPr>
        <w:pStyle w:val="BodyText"/>
        <w:spacing w:line="230" w:lineRule="auto"/>
        <w:ind w:left="169" w:right="39" w:firstLine="396"/>
      </w:pPr>
      <w:r>
        <w:rPr>
          <w:color w:val="231F20"/>
          <w:w w:val="66"/>
        </w:rPr>
        <w:t> </w:t>
      </w:r>
      <w:r>
        <w:rPr>
          <w:color w:val="231F20"/>
        </w:rPr>
        <w:t>– успостављање такозваних биолошких брана даљем шире- њу пепела, помоћу водотока, високог растиња итд.</w:t>
      </w:r>
    </w:p>
    <w:p>
      <w:pPr>
        <w:pStyle w:val="BodyText"/>
        <w:spacing w:before="163"/>
        <w:ind w:left="1912" w:right="1784"/>
        <w:jc w:val="center"/>
      </w:pPr>
      <w:r>
        <w:rPr>
          <w:color w:val="231F20"/>
        </w:rPr>
        <w:t>Културно наслеђе</w:t>
      </w:r>
    </w:p>
    <w:p>
      <w:pPr>
        <w:pStyle w:val="BodyText"/>
        <w:spacing w:before="1"/>
        <w:ind w:left="0"/>
        <w:jc w:val="left"/>
        <w:rPr>
          <w:sz w:val="17"/>
        </w:rPr>
      </w:pPr>
    </w:p>
    <w:p>
      <w:pPr>
        <w:pStyle w:val="BodyText"/>
        <w:spacing w:line="230" w:lineRule="auto"/>
        <w:ind w:left="168" w:right="39" w:firstLine="397"/>
      </w:pPr>
      <w:r>
        <w:rPr>
          <w:color w:val="231F20"/>
        </w:rPr>
        <w:t>За</w:t>
      </w:r>
      <w:r>
        <w:rPr>
          <w:color w:val="231F20"/>
          <w:spacing w:val="-9"/>
        </w:rPr>
        <w:t> </w:t>
      </w:r>
      <w:r>
        <w:rPr>
          <w:color w:val="231F20"/>
        </w:rPr>
        <w:t>остваривање</w:t>
      </w:r>
      <w:r>
        <w:rPr>
          <w:color w:val="231F20"/>
          <w:spacing w:val="-9"/>
        </w:rPr>
        <w:t> </w:t>
      </w:r>
      <w:r>
        <w:rPr>
          <w:color w:val="231F20"/>
        </w:rPr>
        <w:t>предвиђеног</w:t>
      </w:r>
      <w:r>
        <w:rPr>
          <w:color w:val="231F20"/>
          <w:spacing w:val="-9"/>
        </w:rPr>
        <w:t> </w:t>
      </w:r>
      <w:r>
        <w:rPr>
          <w:color w:val="231F20"/>
        </w:rPr>
        <w:t>развоја</w:t>
      </w:r>
      <w:r>
        <w:rPr>
          <w:color w:val="231F20"/>
          <w:spacing w:val="-9"/>
        </w:rPr>
        <w:t> </w:t>
      </w:r>
      <w:r>
        <w:rPr>
          <w:color w:val="231F20"/>
        </w:rPr>
        <w:t>и</w:t>
      </w:r>
      <w:r>
        <w:rPr>
          <w:color w:val="231F20"/>
          <w:spacing w:val="-9"/>
        </w:rPr>
        <w:t> </w:t>
      </w:r>
      <w:r>
        <w:rPr>
          <w:color w:val="231F20"/>
        </w:rPr>
        <w:t>заштите</w:t>
      </w:r>
      <w:r>
        <w:rPr>
          <w:color w:val="231F20"/>
          <w:spacing w:val="-9"/>
        </w:rPr>
        <w:t> </w:t>
      </w:r>
      <w:r>
        <w:rPr>
          <w:color w:val="231F20"/>
        </w:rPr>
        <w:t>културних</w:t>
      </w:r>
      <w:r>
        <w:rPr>
          <w:color w:val="231F20"/>
          <w:spacing w:val="-9"/>
        </w:rPr>
        <w:t> </w:t>
      </w:r>
      <w:r>
        <w:rPr>
          <w:color w:val="231F20"/>
        </w:rPr>
        <w:t>до- бара у наредном периоду потребно је</w:t>
      </w:r>
      <w:r>
        <w:rPr>
          <w:color w:val="231F20"/>
          <w:spacing w:val="-5"/>
        </w:rPr>
        <w:t> </w:t>
      </w:r>
      <w:r>
        <w:rPr>
          <w:color w:val="231F20"/>
        </w:rPr>
        <w:t>следеће:</w:t>
      </w:r>
    </w:p>
    <w:p>
      <w:pPr>
        <w:pStyle w:val="BodyText"/>
        <w:spacing w:line="230" w:lineRule="auto"/>
        <w:ind w:left="168" w:right="39" w:firstLine="396"/>
      </w:pPr>
      <w:r>
        <w:rPr>
          <w:color w:val="231F20"/>
          <w:w w:val="66"/>
        </w:rPr>
        <w:t> </w:t>
      </w:r>
      <w:r>
        <w:rPr>
          <w:color w:val="231F20"/>
        </w:rPr>
        <w:t>– перманентна израда, вођење и ажурирање инвентара о</w:t>
      </w:r>
      <w:r>
        <w:rPr>
          <w:color w:val="231F20"/>
          <w:spacing w:val="-31"/>
        </w:rPr>
        <w:t> </w:t>
      </w:r>
      <w:r>
        <w:rPr>
          <w:color w:val="231F20"/>
          <w:spacing w:val="-3"/>
        </w:rPr>
        <w:t>кул- </w:t>
      </w:r>
      <w:r>
        <w:rPr>
          <w:color w:val="231F20"/>
        </w:rPr>
        <w:t>турним добрима као један </w:t>
      </w:r>
      <w:r>
        <w:rPr>
          <w:color w:val="231F20"/>
          <w:spacing w:val="-3"/>
        </w:rPr>
        <w:t>од </w:t>
      </w:r>
      <w:r>
        <w:rPr>
          <w:color w:val="231F20"/>
        </w:rPr>
        <w:t>најзначајнијих послова у заштити културних</w:t>
      </w:r>
      <w:r>
        <w:rPr>
          <w:color w:val="231F20"/>
          <w:spacing w:val="-2"/>
        </w:rPr>
        <w:t> </w:t>
      </w:r>
      <w:r>
        <w:rPr>
          <w:color w:val="231F20"/>
        </w:rPr>
        <w:t>добара;</w:t>
      </w:r>
    </w:p>
    <w:p>
      <w:pPr>
        <w:pStyle w:val="BodyText"/>
        <w:spacing w:line="230" w:lineRule="auto"/>
        <w:ind w:left="169" w:right="38" w:firstLine="396"/>
      </w:pPr>
      <w:r>
        <w:rPr>
          <w:color w:val="231F20"/>
          <w:w w:val="66"/>
        </w:rPr>
        <w:t> </w:t>
      </w:r>
      <w:r>
        <w:rPr>
          <w:color w:val="231F20"/>
        </w:rPr>
        <w:t>–</w:t>
      </w:r>
      <w:r>
        <w:rPr>
          <w:color w:val="231F20"/>
          <w:spacing w:val="-12"/>
        </w:rPr>
        <w:t> </w:t>
      </w:r>
      <w:r>
        <w:rPr>
          <w:color w:val="231F20"/>
        </w:rPr>
        <w:t>подизање</w:t>
      </w:r>
      <w:r>
        <w:rPr>
          <w:color w:val="231F20"/>
          <w:spacing w:val="-12"/>
        </w:rPr>
        <w:t> </w:t>
      </w:r>
      <w:r>
        <w:rPr>
          <w:color w:val="231F20"/>
        </w:rPr>
        <w:t>свести</w:t>
      </w:r>
      <w:r>
        <w:rPr>
          <w:color w:val="231F20"/>
          <w:spacing w:val="-12"/>
        </w:rPr>
        <w:t> </w:t>
      </w:r>
      <w:r>
        <w:rPr>
          <w:color w:val="231F20"/>
        </w:rPr>
        <w:t>локалног</w:t>
      </w:r>
      <w:r>
        <w:rPr>
          <w:color w:val="231F20"/>
          <w:spacing w:val="-12"/>
        </w:rPr>
        <w:t> </w:t>
      </w:r>
      <w:r>
        <w:rPr>
          <w:color w:val="231F20"/>
        </w:rPr>
        <w:t>становништва</w:t>
      </w:r>
      <w:r>
        <w:rPr>
          <w:color w:val="231F20"/>
          <w:spacing w:val="-12"/>
        </w:rPr>
        <w:t> </w:t>
      </w:r>
      <w:r>
        <w:rPr>
          <w:color w:val="231F20"/>
        </w:rPr>
        <w:t>о</w:t>
      </w:r>
      <w:r>
        <w:rPr>
          <w:color w:val="231F20"/>
          <w:spacing w:val="-12"/>
        </w:rPr>
        <w:t> </w:t>
      </w:r>
      <w:r>
        <w:rPr>
          <w:color w:val="231F20"/>
        </w:rPr>
        <w:t>значају</w:t>
      </w:r>
      <w:r>
        <w:rPr>
          <w:color w:val="231F20"/>
          <w:spacing w:val="-12"/>
        </w:rPr>
        <w:t> </w:t>
      </w:r>
      <w:r>
        <w:rPr>
          <w:color w:val="231F20"/>
        </w:rPr>
        <w:t>и</w:t>
      </w:r>
      <w:r>
        <w:rPr>
          <w:color w:val="231F20"/>
          <w:spacing w:val="-12"/>
        </w:rPr>
        <w:t> </w:t>
      </w:r>
      <w:r>
        <w:rPr>
          <w:color w:val="231F20"/>
        </w:rPr>
        <w:t>важно- сти културног</w:t>
      </w:r>
      <w:r>
        <w:rPr>
          <w:color w:val="231F20"/>
          <w:spacing w:val="-2"/>
        </w:rPr>
        <w:t> </w:t>
      </w:r>
      <w:r>
        <w:rPr>
          <w:color w:val="231F20"/>
        </w:rPr>
        <w:t>добра;</w:t>
      </w:r>
    </w:p>
    <w:p>
      <w:pPr>
        <w:pStyle w:val="BodyText"/>
        <w:spacing w:line="230" w:lineRule="auto"/>
        <w:ind w:left="169" w:right="38" w:firstLine="396"/>
      </w:pPr>
      <w:r>
        <w:rPr>
          <w:color w:val="231F20"/>
          <w:w w:val="66"/>
        </w:rPr>
        <w:t> </w:t>
      </w:r>
      <w:r>
        <w:rPr>
          <w:color w:val="231F20"/>
        </w:rPr>
        <w:t>–</w:t>
      </w:r>
      <w:r>
        <w:rPr>
          <w:color w:val="231F20"/>
          <w:spacing w:val="-6"/>
        </w:rPr>
        <w:t> </w:t>
      </w:r>
      <w:r>
        <w:rPr>
          <w:color w:val="231F20"/>
        </w:rPr>
        <w:t>приступање</w:t>
      </w:r>
      <w:r>
        <w:rPr>
          <w:color w:val="231F20"/>
          <w:spacing w:val="-6"/>
        </w:rPr>
        <w:t> </w:t>
      </w:r>
      <w:r>
        <w:rPr>
          <w:color w:val="231F20"/>
        </w:rPr>
        <w:t>разради</w:t>
      </w:r>
      <w:r>
        <w:rPr>
          <w:color w:val="231F20"/>
          <w:spacing w:val="-6"/>
        </w:rPr>
        <w:t> </w:t>
      </w:r>
      <w:r>
        <w:rPr>
          <w:color w:val="231F20"/>
          <w:spacing w:val="-3"/>
        </w:rPr>
        <w:t>студијске</w:t>
      </w:r>
      <w:r>
        <w:rPr>
          <w:color w:val="231F20"/>
          <w:spacing w:val="-6"/>
        </w:rPr>
        <w:t> </w:t>
      </w:r>
      <w:r>
        <w:rPr>
          <w:color w:val="231F20"/>
        </w:rPr>
        <w:t>и</w:t>
      </w:r>
      <w:r>
        <w:rPr>
          <w:color w:val="231F20"/>
          <w:spacing w:val="-6"/>
        </w:rPr>
        <w:t> </w:t>
      </w:r>
      <w:r>
        <w:rPr>
          <w:color w:val="231F20"/>
        </w:rPr>
        <w:t>пројектне</w:t>
      </w:r>
      <w:r>
        <w:rPr>
          <w:color w:val="231F20"/>
          <w:spacing w:val="-6"/>
        </w:rPr>
        <w:t> </w:t>
      </w:r>
      <w:r>
        <w:rPr>
          <w:color w:val="231F20"/>
        </w:rPr>
        <w:t>документације</w:t>
      </w:r>
      <w:r>
        <w:rPr>
          <w:color w:val="231F20"/>
          <w:spacing w:val="-6"/>
        </w:rPr>
        <w:t> </w:t>
      </w:r>
      <w:r>
        <w:rPr>
          <w:color w:val="231F20"/>
        </w:rPr>
        <w:t>у вези са заштитом културних</w:t>
      </w:r>
      <w:r>
        <w:rPr>
          <w:color w:val="231F20"/>
          <w:spacing w:val="-4"/>
        </w:rPr>
        <w:t> </w:t>
      </w:r>
      <w:r>
        <w:rPr>
          <w:color w:val="231F20"/>
        </w:rPr>
        <w:t>добара;</w:t>
      </w:r>
    </w:p>
    <w:p>
      <w:pPr>
        <w:pStyle w:val="BodyText"/>
        <w:spacing w:line="230" w:lineRule="auto"/>
        <w:ind w:left="169" w:right="39" w:firstLine="396"/>
      </w:pPr>
      <w:r>
        <w:rPr>
          <w:color w:val="231F20"/>
          <w:w w:val="66"/>
        </w:rPr>
        <w:t> </w:t>
      </w:r>
      <w:r>
        <w:rPr>
          <w:color w:val="231F20"/>
        </w:rPr>
        <w:t>– заустављање непланске изградње са становишта режима заштите културних вредности;</w:t>
      </w:r>
    </w:p>
    <w:p>
      <w:pPr>
        <w:pStyle w:val="BodyText"/>
        <w:spacing w:line="232" w:lineRule="auto"/>
        <w:ind w:left="169" w:right="39" w:firstLine="396"/>
      </w:pPr>
      <w:r>
        <w:rPr>
          <w:color w:val="231F20"/>
          <w:w w:val="66"/>
        </w:rPr>
        <w:t> </w:t>
      </w:r>
      <w:r>
        <w:rPr>
          <w:color w:val="231F20"/>
        </w:rPr>
        <w:t>– дефинисати заштитне појасе и просторе под посебним ре- жимима коришћења;</w:t>
      </w:r>
    </w:p>
    <w:p>
      <w:pPr>
        <w:pStyle w:val="BodyText"/>
        <w:spacing w:line="232" w:lineRule="auto" w:before="72"/>
        <w:ind w:left="168" w:right="412" w:firstLine="396"/>
      </w:pPr>
      <w:r>
        <w:rPr/>
        <w:br w:type="column"/>
      </w:r>
      <w:r>
        <w:rPr>
          <w:color w:val="231F20"/>
          <w:w w:val="66"/>
        </w:rPr>
        <w:t> </w:t>
      </w:r>
      <w:r>
        <w:rPr>
          <w:color w:val="231F20"/>
        </w:rPr>
        <w:t>– изградња пристана за приступ археолошком парку „Вими- нацијум” са неопходном инфраструктуром и приступним саобра- ћајницама;</w:t>
      </w:r>
    </w:p>
    <w:p>
      <w:pPr>
        <w:pStyle w:val="BodyText"/>
        <w:spacing w:line="230" w:lineRule="auto"/>
        <w:ind w:left="168" w:right="412" w:firstLine="396"/>
      </w:pPr>
      <w:r>
        <w:rPr>
          <w:color w:val="231F20"/>
          <w:w w:val="66"/>
        </w:rPr>
        <w:t> </w:t>
      </w:r>
      <w:r>
        <w:rPr>
          <w:color w:val="231F20"/>
        </w:rPr>
        <w:t>– доношење одговарајућег планског документа за археоло- шки парк „Виминацијум”;</w:t>
      </w:r>
    </w:p>
    <w:p>
      <w:pPr>
        <w:pStyle w:val="BodyText"/>
        <w:spacing w:line="230" w:lineRule="auto"/>
        <w:ind w:left="168" w:right="412" w:firstLine="397"/>
      </w:pPr>
      <w:r>
        <w:rPr>
          <w:color w:val="231F20"/>
          <w:w w:val="66"/>
        </w:rPr>
        <w:t> </w:t>
      </w:r>
      <w:r>
        <w:rPr>
          <w:color w:val="231F20"/>
        </w:rPr>
        <w:t>– израда и доношење одговарајућих урбанистичких планова и урбанистичких пројеката за друге археолошке локалитете; и</w:t>
      </w:r>
    </w:p>
    <w:p>
      <w:pPr>
        <w:pStyle w:val="BodyText"/>
        <w:spacing w:line="230" w:lineRule="auto"/>
        <w:ind w:left="168" w:right="412" w:firstLine="396"/>
      </w:pPr>
      <w:r>
        <w:rPr>
          <w:color w:val="231F20"/>
          <w:w w:val="66"/>
        </w:rPr>
        <w:t> </w:t>
      </w:r>
      <w:r>
        <w:rPr>
          <w:color w:val="231F20"/>
        </w:rPr>
        <w:t>– израда Програма заштите непокретних културних добара на подручју града Пожаревца.</w:t>
      </w:r>
    </w:p>
    <w:p>
      <w:pPr>
        <w:pStyle w:val="Heading1"/>
        <w:numPr>
          <w:ilvl w:val="0"/>
          <w:numId w:val="43"/>
        </w:numPr>
        <w:tabs>
          <w:tab w:pos="1121" w:val="left" w:leader="none"/>
        </w:tabs>
        <w:spacing w:line="230" w:lineRule="auto" w:before="168" w:after="0"/>
        <w:ind w:left="1283" w:right="1184" w:hanging="343"/>
        <w:jc w:val="left"/>
      </w:pPr>
      <w:r>
        <w:rPr>
          <w:color w:val="231F20"/>
        </w:rPr>
        <w:t>Информатичка</w:t>
      </w:r>
      <w:r>
        <w:rPr>
          <w:color w:val="231F20"/>
          <w:spacing w:val="-12"/>
        </w:rPr>
        <w:t> </w:t>
      </w:r>
      <w:r>
        <w:rPr>
          <w:color w:val="231F20"/>
        </w:rPr>
        <w:t>и</w:t>
      </w:r>
      <w:r>
        <w:rPr>
          <w:color w:val="231F20"/>
          <w:spacing w:val="-13"/>
        </w:rPr>
        <w:t> </w:t>
      </w:r>
      <w:r>
        <w:rPr>
          <w:color w:val="231F20"/>
        </w:rPr>
        <w:t>истраживачка</w:t>
      </w:r>
      <w:r>
        <w:rPr>
          <w:color w:val="231F20"/>
          <w:spacing w:val="-12"/>
        </w:rPr>
        <w:t> </w:t>
      </w:r>
      <w:r>
        <w:rPr>
          <w:color w:val="231F20"/>
        </w:rPr>
        <w:t>подршка имплементацији просторног</w:t>
      </w:r>
      <w:r>
        <w:rPr>
          <w:color w:val="231F20"/>
          <w:spacing w:val="-5"/>
        </w:rPr>
        <w:t> </w:t>
      </w:r>
      <w:r>
        <w:rPr>
          <w:color w:val="231F20"/>
        </w:rPr>
        <w:t>плана</w:t>
      </w:r>
    </w:p>
    <w:p>
      <w:pPr>
        <w:pStyle w:val="BodyText"/>
        <w:spacing w:before="3"/>
        <w:ind w:left="0"/>
        <w:jc w:val="left"/>
        <w:rPr>
          <w:b/>
          <w:sz w:val="17"/>
        </w:rPr>
      </w:pPr>
    </w:p>
    <w:p>
      <w:pPr>
        <w:pStyle w:val="BodyText"/>
        <w:spacing w:line="230" w:lineRule="auto"/>
        <w:ind w:left="168" w:right="412" w:firstLine="396"/>
      </w:pPr>
      <w:r>
        <w:rPr>
          <w:color w:val="231F20"/>
        </w:rPr>
        <w:t>Информациони систем, систем индикатора и мониторинг су битна претпоставка за имплементацију Просторног плана, посеб- но, за наставак планирања на стратешком и оперативном нивоу.</w:t>
      </w:r>
    </w:p>
    <w:p>
      <w:pPr>
        <w:pStyle w:val="BodyText"/>
        <w:spacing w:line="230" w:lineRule="auto"/>
        <w:ind w:left="168" w:right="412" w:firstLine="396"/>
      </w:pPr>
      <w:r>
        <w:rPr>
          <w:color w:val="231F20"/>
        </w:rPr>
        <w:t>Информациони систем као и систем показатеља морају бити пројектовани</w:t>
      </w:r>
      <w:r>
        <w:rPr>
          <w:color w:val="231F20"/>
          <w:spacing w:val="-6"/>
        </w:rPr>
        <w:t> </w:t>
      </w:r>
      <w:r>
        <w:rPr>
          <w:color w:val="231F20"/>
        </w:rPr>
        <w:t>према</w:t>
      </w:r>
      <w:r>
        <w:rPr>
          <w:color w:val="231F20"/>
          <w:spacing w:val="-6"/>
        </w:rPr>
        <w:t> </w:t>
      </w:r>
      <w:r>
        <w:rPr>
          <w:color w:val="231F20"/>
        </w:rPr>
        <w:t>потребама</w:t>
      </w:r>
      <w:r>
        <w:rPr>
          <w:color w:val="231F20"/>
          <w:spacing w:val="-6"/>
        </w:rPr>
        <w:t> </w:t>
      </w:r>
      <w:r>
        <w:rPr>
          <w:color w:val="231F20"/>
        </w:rPr>
        <w:t>свих</w:t>
      </w:r>
      <w:r>
        <w:rPr>
          <w:color w:val="231F20"/>
          <w:spacing w:val="-6"/>
        </w:rPr>
        <w:t> </w:t>
      </w:r>
      <w:r>
        <w:rPr>
          <w:color w:val="231F20"/>
        </w:rPr>
        <w:t>нивоа</w:t>
      </w:r>
      <w:r>
        <w:rPr>
          <w:color w:val="231F20"/>
          <w:spacing w:val="-6"/>
        </w:rPr>
        <w:t> </w:t>
      </w:r>
      <w:r>
        <w:rPr>
          <w:color w:val="231F20"/>
        </w:rPr>
        <w:t>планирања</w:t>
      </w:r>
      <w:r>
        <w:rPr>
          <w:color w:val="231F20"/>
          <w:spacing w:val="-6"/>
        </w:rPr>
        <w:t> </w:t>
      </w:r>
      <w:r>
        <w:rPr>
          <w:color w:val="231F20"/>
        </w:rPr>
        <w:t>у</w:t>
      </w:r>
      <w:r>
        <w:rPr>
          <w:color w:val="231F20"/>
          <w:spacing w:val="-6"/>
        </w:rPr>
        <w:t> </w:t>
      </w:r>
      <w:r>
        <w:rPr>
          <w:color w:val="231F20"/>
          <w:spacing w:val="-3"/>
        </w:rPr>
        <w:t>басену,</w:t>
      </w:r>
      <w:r>
        <w:rPr>
          <w:color w:val="231F20"/>
          <w:spacing w:val="-6"/>
        </w:rPr>
        <w:t> </w:t>
      </w:r>
      <w:r>
        <w:rPr>
          <w:color w:val="231F20"/>
        </w:rPr>
        <w:t>за- тим према потребама истраживања по различитим областима про- јектовања, изградње, обнављања и уређивања</w:t>
      </w:r>
      <w:r>
        <w:rPr>
          <w:color w:val="231F20"/>
          <w:spacing w:val="-11"/>
        </w:rPr>
        <w:t> </w:t>
      </w:r>
      <w:r>
        <w:rPr>
          <w:color w:val="231F20"/>
        </w:rPr>
        <w:t>простора.</w:t>
      </w:r>
    </w:p>
    <w:p>
      <w:pPr>
        <w:pStyle w:val="BodyText"/>
        <w:spacing w:line="230" w:lineRule="auto"/>
        <w:ind w:left="168" w:right="411" w:firstLine="397"/>
      </w:pPr>
      <w:r>
        <w:rPr>
          <w:color w:val="231F20"/>
        </w:rPr>
        <w:t>Научно-истраживачки рад је једна од најзначајнијих прет- поставки будућег развоја, а тиме и планирања у лигнитском басе- ну. Фундаментална (основна) истраживања су значајна за развој нових технологија, односно за унапређење производње, али и за смањење негативних екстерних ефеката. Фундаментална истра- живања се реализују преко примењених и развојних истражива- ња. Како је развој основни предмет сваког планирања, то су и за потребе планирања у лигнитском басену најзначајнија она истра- живања која директно утичу на развој. Укупан истраживачки рад који је од значаја за планирање развоја може да се подели у две групе: а) истраживачки рад чији резултати користе посредно, и б) истраживачки рад који је директно повезан са планирањем. За по- требе планирања је свакако интересантнија ова друга категорија истраживачког рада, поготово што се преко истраживачког рада који је директно везан за процес планирања могу конверзовати и сви остали релевантни научни резултати.</w:t>
      </w:r>
    </w:p>
    <w:p>
      <w:pPr>
        <w:pStyle w:val="BodyText"/>
        <w:spacing w:line="230" w:lineRule="auto"/>
        <w:ind w:left="169" w:right="411" w:firstLine="396"/>
      </w:pPr>
      <w:r>
        <w:rPr>
          <w:color w:val="231F20"/>
        </w:rPr>
        <w:t>Приоритети истраживачке подршке просторном развоју Ко- столачког угљеног басена су истраживања везана за:</w:t>
      </w:r>
    </w:p>
    <w:p>
      <w:pPr>
        <w:pStyle w:val="ListParagraph"/>
        <w:numPr>
          <w:ilvl w:val="0"/>
          <w:numId w:val="45"/>
        </w:numPr>
        <w:tabs>
          <w:tab w:pos="754" w:val="left" w:leader="none"/>
        </w:tabs>
        <w:spacing w:line="230" w:lineRule="auto" w:before="0" w:after="0"/>
        <w:ind w:left="169" w:right="411" w:firstLine="396"/>
        <w:jc w:val="both"/>
        <w:rPr>
          <w:sz w:val="18"/>
        </w:rPr>
      </w:pPr>
      <w:r>
        <w:rPr>
          <w:color w:val="231F20"/>
          <w:sz w:val="18"/>
        </w:rPr>
        <w:t>утврђивање дугорочне стратегије експлоатације лигнита и других ресурса у </w:t>
      </w:r>
      <w:r>
        <w:rPr>
          <w:color w:val="231F20"/>
          <w:spacing w:val="-4"/>
          <w:sz w:val="18"/>
        </w:rPr>
        <w:t>Костолачком</w:t>
      </w:r>
      <w:r>
        <w:rPr>
          <w:color w:val="231F20"/>
          <w:spacing w:val="-1"/>
          <w:sz w:val="18"/>
        </w:rPr>
        <w:t> </w:t>
      </w:r>
      <w:r>
        <w:rPr>
          <w:color w:val="231F20"/>
          <w:sz w:val="18"/>
        </w:rPr>
        <w:t>басену;</w:t>
      </w:r>
    </w:p>
    <w:p>
      <w:pPr>
        <w:pStyle w:val="ListParagraph"/>
        <w:numPr>
          <w:ilvl w:val="0"/>
          <w:numId w:val="45"/>
        </w:numPr>
        <w:tabs>
          <w:tab w:pos="746" w:val="left" w:leader="none"/>
        </w:tabs>
        <w:spacing w:line="196" w:lineRule="exact" w:before="0" w:after="0"/>
        <w:ind w:left="745" w:right="0" w:hanging="180"/>
        <w:jc w:val="left"/>
        <w:rPr>
          <w:sz w:val="18"/>
        </w:rPr>
      </w:pPr>
      <w:r>
        <w:rPr>
          <w:color w:val="231F20"/>
          <w:sz w:val="18"/>
        </w:rPr>
        <w:t>управљање животном средином у </w:t>
      </w:r>
      <w:r>
        <w:rPr>
          <w:color w:val="231F20"/>
          <w:spacing w:val="-4"/>
          <w:sz w:val="18"/>
        </w:rPr>
        <w:t>Костолачком</w:t>
      </w:r>
      <w:r>
        <w:rPr>
          <w:color w:val="231F20"/>
          <w:spacing w:val="-5"/>
          <w:sz w:val="18"/>
        </w:rPr>
        <w:t> </w:t>
      </w:r>
      <w:r>
        <w:rPr>
          <w:color w:val="231F20"/>
          <w:sz w:val="18"/>
        </w:rPr>
        <w:t>басену;</w:t>
      </w:r>
    </w:p>
    <w:p>
      <w:pPr>
        <w:pStyle w:val="ListParagraph"/>
        <w:numPr>
          <w:ilvl w:val="0"/>
          <w:numId w:val="45"/>
        </w:numPr>
        <w:tabs>
          <w:tab w:pos="746" w:val="left" w:leader="none"/>
        </w:tabs>
        <w:spacing w:line="199" w:lineRule="exact" w:before="0" w:after="0"/>
        <w:ind w:left="745" w:right="0" w:hanging="180"/>
        <w:jc w:val="left"/>
        <w:rPr>
          <w:sz w:val="18"/>
        </w:rPr>
      </w:pPr>
      <w:r>
        <w:rPr>
          <w:color w:val="231F20"/>
          <w:sz w:val="18"/>
        </w:rPr>
        <w:t>решавање просторних и социјалних</w:t>
      </w:r>
      <w:r>
        <w:rPr>
          <w:color w:val="231F20"/>
          <w:spacing w:val="-5"/>
          <w:sz w:val="18"/>
        </w:rPr>
        <w:t> </w:t>
      </w:r>
      <w:r>
        <w:rPr>
          <w:color w:val="231F20"/>
          <w:spacing w:val="-3"/>
          <w:sz w:val="18"/>
        </w:rPr>
        <w:t>конфликата;</w:t>
      </w:r>
    </w:p>
    <w:p>
      <w:pPr>
        <w:pStyle w:val="ListParagraph"/>
        <w:numPr>
          <w:ilvl w:val="0"/>
          <w:numId w:val="45"/>
        </w:numPr>
        <w:tabs>
          <w:tab w:pos="774" w:val="left" w:leader="none"/>
        </w:tabs>
        <w:spacing w:line="230" w:lineRule="auto" w:before="0" w:after="0"/>
        <w:ind w:left="168" w:right="412" w:firstLine="397"/>
        <w:jc w:val="both"/>
        <w:rPr>
          <w:sz w:val="18"/>
        </w:rPr>
      </w:pPr>
      <w:r>
        <w:rPr>
          <w:color w:val="231F20"/>
          <w:sz w:val="18"/>
        </w:rPr>
        <w:t>утицај промена у режиму подземних вода и просторном размештају површинских вода на стабилност тла, исушивање (по- љопривредног) земљишта, промену екосистема и</w:t>
      </w:r>
      <w:r>
        <w:rPr>
          <w:color w:val="231F20"/>
          <w:spacing w:val="-11"/>
          <w:sz w:val="18"/>
        </w:rPr>
        <w:t> </w:t>
      </w:r>
      <w:r>
        <w:rPr>
          <w:color w:val="231F20"/>
          <w:sz w:val="18"/>
        </w:rPr>
        <w:t>слично.</w:t>
      </w:r>
    </w:p>
    <w:p>
      <w:pPr>
        <w:pStyle w:val="ListParagraph"/>
        <w:numPr>
          <w:ilvl w:val="0"/>
          <w:numId w:val="45"/>
        </w:numPr>
        <w:tabs>
          <w:tab w:pos="743" w:val="left" w:leader="none"/>
        </w:tabs>
        <w:spacing w:line="230" w:lineRule="auto" w:before="0" w:after="0"/>
        <w:ind w:left="169" w:right="411" w:firstLine="396"/>
        <w:jc w:val="both"/>
        <w:rPr>
          <w:sz w:val="18"/>
        </w:rPr>
      </w:pPr>
      <w:r>
        <w:rPr>
          <w:color w:val="231F20"/>
          <w:sz w:val="18"/>
        </w:rPr>
        <w:t>утврђивање </w:t>
      </w:r>
      <w:r>
        <w:rPr>
          <w:color w:val="231F20"/>
          <w:spacing w:val="-3"/>
          <w:sz w:val="18"/>
        </w:rPr>
        <w:t>коначних </w:t>
      </w:r>
      <w:r>
        <w:rPr>
          <w:color w:val="231F20"/>
          <w:sz w:val="18"/>
        </w:rPr>
        <w:t>траса инфраструктурних система чи- ји су изградња или измештање из зоне </w:t>
      </w:r>
      <w:r>
        <w:rPr>
          <w:color w:val="231F20"/>
          <w:spacing w:val="-3"/>
          <w:sz w:val="18"/>
        </w:rPr>
        <w:t>копова</w:t>
      </w:r>
      <w:r>
        <w:rPr>
          <w:color w:val="231F20"/>
          <w:spacing w:val="-17"/>
          <w:sz w:val="18"/>
        </w:rPr>
        <w:t> </w:t>
      </w:r>
      <w:r>
        <w:rPr>
          <w:color w:val="231F20"/>
          <w:sz w:val="18"/>
        </w:rPr>
        <w:t>неопходни;</w:t>
      </w:r>
    </w:p>
    <w:p>
      <w:pPr>
        <w:pStyle w:val="ListParagraph"/>
        <w:numPr>
          <w:ilvl w:val="0"/>
          <w:numId w:val="45"/>
        </w:numPr>
        <w:tabs>
          <w:tab w:pos="778" w:val="left" w:leader="none"/>
        </w:tabs>
        <w:spacing w:line="230" w:lineRule="auto" w:before="0" w:after="0"/>
        <w:ind w:left="168" w:right="411" w:firstLine="398"/>
        <w:jc w:val="both"/>
        <w:rPr>
          <w:sz w:val="18"/>
        </w:rPr>
      </w:pPr>
      <w:r>
        <w:rPr>
          <w:color w:val="231F20"/>
          <w:sz w:val="18"/>
        </w:rPr>
        <w:t>модел рекултивације и ревитализације појединих делова Басена у зони површинских </w:t>
      </w:r>
      <w:r>
        <w:rPr>
          <w:color w:val="231F20"/>
          <w:spacing w:val="-3"/>
          <w:sz w:val="18"/>
        </w:rPr>
        <w:t>копова, </w:t>
      </w:r>
      <w:r>
        <w:rPr>
          <w:color w:val="231F20"/>
          <w:sz w:val="18"/>
        </w:rPr>
        <w:t>енергетских и индустријских </w:t>
      </w:r>
      <w:r>
        <w:rPr>
          <w:color w:val="231F20"/>
          <w:spacing w:val="-3"/>
          <w:sz w:val="18"/>
        </w:rPr>
        <w:t>комплекса</w:t>
      </w:r>
      <w:r>
        <w:rPr>
          <w:color w:val="231F20"/>
          <w:sz w:val="18"/>
        </w:rPr>
        <w:t> и</w:t>
      </w:r>
    </w:p>
    <w:p>
      <w:pPr>
        <w:pStyle w:val="ListParagraph"/>
        <w:numPr>
          <w:ilvl w:val="0"/>
          <w:numId w:val="45"/>
        </w:numPr>
        <w:tabs>
          <w:tab w:pos="779" w:val="left" w:leader="none"/>
        </w:tabs>
        <w:spacing w:line="230" w:lineRule="auto" w:before="0" w:after="0"/>
        <w:ind w:left="168" w:right="411" w:firstLine="397"/>
        <w:jc w:val="both"/>
        <w:rPr>
          <w:sz w:val="18"/>
        </w:rPr>
      </w:pPr>
      <w:r>
        <w:rPr>
          <w:color w:val="231F20"/>
          <w:sz w:val="18"/>
        </w:rPr>
        <w:t>модел решавања имовинско-правних питања у поступку експропријације непокретности, односно, пресељења (делова) на- сеља и инфраструктурних, индустријских и других</w:t>
      </w:r>
      <w:r>
        <w:rPr>
          <w:color w:val="231F20"/>
          <w:spacing w:val="-13"/>
          <w:sz w:val="18"/>
        </w:rPr>
        <w:t> </w:t>
      </w:r>
      <w:r>
        <w:rPr>
          <w:color w:val="231F20"/>
          <w:sz w:val="18"/>
        </w:rPr>
        <w:t>објеката.</w:t>
      </w:r>
    </w:p>
    <w:p>
      <w:pPr>
        <w:pStyle w:val="Heading1"/>
        <w:numPr>
          <w:ilvl w:val="0"/>
          <w:numId w:val="46"/>
        </w:numPr>
        <w:tabs>
          <w:tab w:pos="460" w:val="left" w:leader="none"/>
        </w:tabs>
        <w:spacing w:line="230" w:lineRule="auto" w:before="167" w:after="0"/>
        <w:ind w:left="1295" w:right="522" w:hanging="1016"/>
        <w:jc w:val="left"/>
      </w:pPr>
      <w:r>
        <w:rPr>
          <w:color w:val="231F20"/>
        </w:rPr>
        <w:t>Институционални, организациони и нормативни</w:t>
      </w:r>
      <w:r>
        <w:rPr>
          <w:color w:val="231F20"/>
          <w:spacing w:val="-31"/>
        </w:rPr>
        <w:t> </w:t>
      </w:r>
      <w:r>
        <w:rPr>
          <w:color w:val="231F20"/>
        </w:rPr>
        <w:t>аспекти имплементације просторног</w:t>
      </w:r>
      <w:r>
        <w:rPr>
          <w:color w:val="231F20"/>
          <w:spacing w:val="-3"/>
        </w:rPr>
        <w:t> </w:t>
      </w:r>
      <w:r>
        <w:rPr>
          <w:color w:val="231F20"/>
        </w:rPr>
        <w:t>плана</w:t>
      </w:r>
    </w:p>
    <w:p>
      <w:pPr>
        <w:pStyle w:val="ListParagraph"/>
        <w:numPr>
          <w:ilvl w:val="1"/>
          <w:numId w:val="46"/>
        </w:numPr>
        <w:tabs>
          <w:tab w:pos="1491" w:val="left" w:leader="none"/>
        </w:tabs>
        <w:spacing w:line="240" w:lineRule="auto" w:before="163" w:after="0"/>
        <w:ind w:left="1490" w:right="0" w:hanging="315"/>
        <w:jc w:val="left"/>
        <w:rPr>
          <w:i/>
          <w:sz w:val="18"/>
        </w:rPr>
      </w:pPr>
      <w:r>
        <w:rPr>
          <w:i/>
          <w:color w:val="231F20"/>
          <w:sz w:val="18"/>
        </w:rPr>
        <w:t>Међународни и национални</w:t>
      </w:r>
      <w:r>
        <w:rPr>
          <w:i/>
          <w:color w:val="231F20"/>
          <w:spacing w:val="-4"/>
          <w:sz w:val="18"/>
        </w:rPr>
        <w:t> </w:t>
      </w:r>
      <w:r>
        <w:rPr>
          <w:i/>
          <w:color w:val="231F20"/>
          <w:sz w:val="18"/>
        </w:rPr>
        <w:t>аспекти</w:t>
      </w:r>
    </w:p>
    <w:p>
      <w:pPr>
        <w:pStyle w:val="BodyText"/>
        <w:spacing w:before="1"/>
        <w:ind w:left="0"/>
        <w:jc w:val="left"/>
        <w:rPr>
          <w:i/>
          <w:sz w:val="17"/>
        </w:rPr>
      </w:pPr>
    </w:p>
    <w:p>
      <w:pPr>
        <w:pStyle w:val="BodyText"/>
        <w:spacing w:line="230" w:lineRule="auto"/>
        <w:ind w:left="168" w:right="412" w:firstLine="396"/>
      </w:pPr>
      <w:r>
        <w:rPr>
          <w:color w:val="231F20"/>
        </w:rPr>
        <w:t>Реализација стратешких опредељења плана развоја и про- сторне организације рударства и енергетике као активности по- себне намене обезбеђује се одговарајућим институционалним условима, структурним трансформацијама, развојним, макроеко- номским и корпоративним политикама, као и политикама локал- ног развоја и уређења простора.</w:t>
      </w:r>
    </w:p>
    <w:p>
      <w:pPr>
        <w:pStyle w:val="BodyText"/>
        <w:spacing w:line="230" w:lineRule="auto"/>
        <w:ind w:left="168" w:right="411" w:firstLine="397"/>
      </w:pPr>
      <w:r>
        <w:rPr>
          <w:color w:val="231F20"/>
        </w:rPr>
        <w:t>Са становишта обезбеђивања планске основе за прибављање локацијских</w:t>
      </w:r>
      <w:r>
        <w:rPr>
          <w:color w:val="231F20"/>
          <w:spacing w:val="-8"/>
        </w:rPr>
        <w:t> </w:t>
      </w:r>
      <w:r>
        <w:rPr>
          <w:color w:val="231F20"/>
        </w:rPr>
        <w:t>дозвола</w:t>
      </w:r>
      <w:r>
        <w:rPr>
          <w:color w:val="231F20"/>
          <w:spacing w:val="-8"/>
        </w:rPr>
        <w:t> </w:t>
      </w:r>
      <w:r>
        <w:rPr>
          <w:color w:val="231F20"/>
        </w:rPr>
        <w:t>за</w:t>
      </w:r>
      <w:r>
        <w:rPr>
          <w:color w:val="231F20"/>
          <w:spacing w:val="-8"/>
        </w:rPr>
        <w:t> </w:t>
      </w:r>
      <w:r>
        <w:rPr>
          <w:color w:val="231F20"/>
        </w:rPr>
        <w:t>реализацију</w:t>
      </w:r>
      <w:r>
        <w:rPr>
          <w:color w:val="231F20"/>
          <w:spacing w:val="-8"/>
        </w:rPr>
        <w:t> </w:t>
      </w:r>
      <w:r>
        <w:rPr>
          <w:color w:val="231F20"/>
        </w:rPr>
        <w:t>активности</w:t>
      </w:r>
      <w:r>
        <w:rPr>
          <w:color w:val="231F20"/>
          <w:spacing w:val="-8"/>
        </w:rPr>
        <w:t> </w:t>
      </w:r>
      <w:r>
        <w:rPr>
          <w:color w:val="231F20"/>
          <w:spacing w:val="-3"/>
        </w:rPr>
        <w:t>од</w:t>
      </w:r>
      <w:r>
        <w:rPr>
          <w:color w:val="231F20"/>
          <w:spacing w:val="-8"/>
        </w:rPr>
        <w:t> </w:t>
      </w:r>
      <w:r>
        <w:rPr>
          <w:color w:val="231F20"/>
        </w:rPr>
        <w:t>јавног</w:t>
      </w:r>
      <w:r>
        <w:rPr>
          <w:color w:val="231F20"/>
          <w:spacing w:val="-8"/>
        </w:rPr>
        <w:t> </w:t>
      </w:r>
      <w:r>
        <w:rPr>
          <w:color w:val="231F20"/>
        </w:rPr>
        <w:t>интереса у развоју површинских </w:t>
      </w:r>
      <w:r>
        <w:rPr>
          <w:color w:val="231F20"/>
          <w:spacing w:val="-3"/>
        </w:rPr>
        <w:t>копова </w:t>
      </w:r>
      <w:r>
        <w:rPr>
          <w:color w:val="231F20"/>
        </w:rPr>
        <w:t>угља </w:t>
      </w:r>
      <w:r>
        <w:rPr>
          <w:color w:val="231F20"/>
          <w:spacing w:val="-3"/>
        </w:rPr>
        <w:t>од </w:t>
      </w:r>
      <w:r>
        <w:rPr>
          <w:color w:val="231F20"/>
        </w:rPr>
        <w:t>изузетног значаја је пред- лог европске асоцијације за угаљ EURACOAL да правни систем ЕУ и појединачних земаља треба да омогући и да развија начин  за обезбеђење приступа лежиштима угља, независно </w:t>
      </w:r>
      <w:r>
        <w:rPr>
          <w:color w:val="231F20"/>
          <w:spacing w:val="-3"/>
        </w:rPr>
        <w:t>од </w:t>
      </w:r>
      <w:r>
        <w:rPr>
          <w:color w:val="231F20"/>
        </w:rPr>
        <w:t>тога да ли се ради о површинском или подземном </w:t>
      </w:r>
      <w:r>
        <w:rPr>
          <w:color w:val="231F20"/>
          <w:spacing w:val="-3"/>
        </w:rPr>
        <w:t>лежишту. </w:t>
      </w:r>
      <w:r>
        <w:rPr>
          <w:color w:val="231F20"/>
        </w:rPr>
        <w:t>Чињеница да је експлоатација угља лимитирана локацијом мора да </w:t>
      </w:r>
      <w:r>
        <w:rPr>
          <w:color w:val="231F20"/>
          <w:spacing w:val="-5"/>
        </w:rPr>
        <w:t>буде </w:t>
      </w:r>
      <w:r>
        <w:rPr>
          <w:color w:val="231F20"/>
        </w:rPr>
        <w:t>узета у обзир и да се усвоји у свим разматрањима у развојним плановима и у прибављању планских</w:t>
      </w:r>
      <w:r>
        <w:rPr>
          <w:color w:val="231F20"/>
          <w:spacing w:val="-4"/>
        </w:rPr>
        <w:t> </w:t>
      </w:r>
      <w:r>
        <w:rPr>
          <w:color w:val="231F20"/>
        </w:rPr>
        <w:t>дозвола.</w:t>
      </w:r>
    </w:p>
    <w:p>
      <w:pPr>
        <w:spacing w:after="0" w:line="230" w:lineRule="auto"/>
        <w:sectPr>
          <w:pgSz w:w="12480" w:h="15690"/>
          <w:pgMar w:top="120" w:bottom="280" w:left="680" w:right="720"/>
          <w:cols w:num="2" w:equalWidth="0">
            <w:col w:w="5313" w:space="74"/>
            <w:col w:w="5693"/>
          </w:cols>
        </w:sectPr>
      </w:pPr>
    </w:p>
    <w:p>
      <w:pPr>
        <w:pStyle w:val="BodyText"/>
        <w:spacing w:line="232" w:lineRule="auto" w:before="73"/>
        <w:ind w:left="453" w:firstLine="397"/>
      </w:pPr>
      <w:r>
        <w:rPr/>
        <w:pict>
          <v:line style="position:absolute;mso-position-horizontal-relative:page;mso-position-vertical-relative:page;z-index:3280" from="318.897614pt,11.942451pt" to="318.897614pt,748.950451pt" stroked="true" strokeweight=".6pt" strokecolor="#231f20">
            <v:stroke dashstyle="solid"/>
            <w10:wrap type="none"/>
          </v:line>
        </w:pict>
      </w:r>
      <w:r>
        <w:rPr>
          <w:color w:val="231F20"/>
        </w:rPr>
        <w:t>За остваривање стратешких опредељења развоја </w:t>
      </w:r>
      <w:r>
        <w:rPr>
          <w:color w:val="231F20"/>
          <w:spacing w:val="-3"/>
        </w:rPr>
        <w:t>рударско- </w:t>
      </w:r>
      <w:r>
        <w:rPr>
          <w:color w:val="231F20"/>
        </w:rPr>
        <w:t>енергетско-индустријског сектора потребно је привлачење стра- них инвеститора (демонополизација, сигурност страних улагања, имплементација секторских правила и стандарда) и домаћих при- ватних инвестиција (стимулације, олакшице) у складу са Нацио- налном</w:t>
      </w:r>
      <w:r>
        <w:rPr>
          <w:color w:val="231F20"/>
          <w:spacing w:val="-6"/>
        </w:rPr>
        <w:t> </w:t>
      </w:r>
      <w:r>
        <w:rPr>
          <w:color w:val="231F20"/>
        </w:rPr>
        <w:t>стратегијом</w:t>
      </w:r>
      <w:r>
        <w:rPr>
          <w:color w:val="231F20"/>
          <w:spacing w:val="-6"/>
        </w:rPr>
        <w:t> </w:t>
      </w:r>
      <w:r>
        <w:rPr>
          <w:color w:val="231F20"/>
        </w:rPr>
        <w:t>развоја</w:t>
      </w:r>
      <w:r>
        <w:rPr>
          <w:color w:val="231F20"/>
          <w:spacing w:val="-6"/>
        </w:rPr>
        <w:t> </w:t>
      </w:r>
      <w:r>
        <w:rPr>
          <w:color w:val="231F20"/>
        </w:rPr>
        <w:t>енергетике</w:t>
      </w:r>
      <w:r>
        <w:rPr>
          <w:color w:val="231F20"/>
          <w:spacing w:val="-6"/>
        </w:rPr>
        <w:t> </w:t>
      </w:r>
      <w:r>
        <w:rPr>
          <w:color w:val="231F20"/>
        </w:rPr>
        <w:t>и</w:t>
      </w:r>
      <w:r>
        <w:rPr>
          <w:color w:val="231F20"/>
          <w:spacing w:val="-6"/>
        </w:rPr>
        <w:t> </w:t>
      </w:r>
      <w:r>
        <w:rPr>
          <w:color w:val="231F20"/>
        </w:rPr>
        <w:t>другим</w:t>
      </w:r>
      <w:r>
        <w:rPr>
          <w:color w:val="231F20"/>
          <w:spacing w:val="-6"/>
        </w:rPr>
        <w:t> </w:t>
      </w:r>
      <w:r>
        <w:rPr>
          <w:color w:val="231F20"/>
        </w:rPr>
        <w:t>релевантним</w:t>
      </w:r>
      <w:r>
        <w:rPr>
          <w:color w:val="231F20"/>
          <w:spacing w:val="-6"/>
        </w:rPr>
        <w:t> </w:t>
      </w:r>
      <w:r>
        <w:rPr>
          <w:color w:val="231F20"/>
        </w:rPr>
        <w:t>раз- војним документима. </w:t>
      </w:r>
      <w:r>
        <w:rPr>
          <w:color w:val="231F20"/>
          <w:spacing w:val="-2"/>
        </w:rPr>
        <w:t>Закони </w:t>
      </w:r>
      <w:r>
        <w:rPr>
          <w:color w:val="231F20"/>
        </w:rPr>
        <w:t>о страним улагањима, концесијама и финансијском </w:t>
      </w:r>
      <w:r>
        <w:rPr>
          <w:color w:val="231F20"/>
          <w:spacing w:val="-4"/>
        </w:rPr>
        <w:t>лизингу, </w:t>
      </w:r>
      <w:r>
        <w:rPr>
          <w:color w:val="231F20"/>
        </w:rPr>
        <w:t>добре су основе за нове финансијске ин- струменте у реализацији</w:t>
      </w:r>
      <w:r>
        <w:rPr>
          <w:color w:val="231F20"/>
          <w:spacing w:val="-1"/>
        </w:rPr>
        <w:t> </w:t>
      </w:r>
      <w:r>
        <w:rPr>
          <w:color w:val="231F20"/>
        </w:rPr>
        <w:t>опредељења.</w:t>
      </w:r>
    </w:p>
    <w:p>
      <w:pPr>
        <w:pStyle w:val="BodyText"/>
        <w:spacing w:line="232" w:lineRule="auto"/>
        <w:ind w:left="452" w:firstLine="397"/>
      </w:pPr>
      <w:r>
        <w:rPr>
          <w:color w:val="231F20"/>
          <w:spacing w:val="-3"/>
        </w:rPr>
        <w:t>Усмеравање </w:t>
      </w:r>
      <w:r>
        <w:rPr>
          <w:color w:val="231F20"/>
        </w:rPr>
        <w:t>територијалног развоја </w:t>
      </w:r>
      <w:r>
        <w:rPr>
          <w:color w:val="231F20"/>
          <w:spacing w:val="-3"/>
        </w:rPr>
        <w:t>рударства </w:t>
      </w:r>
      <w:r>
        <w:rPr>
          <w:color w:val="231F20"/>
        </w:rPr>
        <w:t>условљено је лежиштима угља, док ће се лоцирање МСП остваривати у складу са принципима децентрализације и дисперзије производних капа- цитета, социјалних и јавних служби у оквиру Планског подручја. Размештај производних погона (изван рударско-енергетског </w:t>
      </w:r>
      <w:r>
        <w:rPr>
          <w:color w:val="231F20"/>
          <w:spacing w:val="-4"/>
        </w:rPr>
        <w:t>ком- </w:t>
      </w:r>
      <w:r>
        <w:rPr>
          <w:color w:val="231F20"/>
        </w:rPr>
        <w:t>плекса) биће условљен применом критеријума за избор локације и смештаја капацитета, уз територијално и секторски диференци- ране мере и инструменте стимулисања развоја нових малих пред- узећа и инвестиција. Велики утицај на усмеравање размештаја привредних садржаја имаће енергетска, индустријска и друге по- литике, посебно примена фискалних инструмената (разних поре- за, пореских олакшица и подстицаја), финансијских инструмена- та (каматних стопа, </w:t>
      </w:r>
      <w:r>
        <w:rPr>
          <w:color w:val="231F20"/>
          <w:spacing w:val="-3"/>
        </w:rPr>
        <w:t>рокова </w:t>
      </w:r>
      <w:r>
        <w:rPr>
          <w:color w:val="231F20"/>
        </w:rPr>
        <w:t>и услова кредитирања, услова уласка страних</w:t>
      </w:r>
      <w:r>
        <w:rPr>
          <w:color w:val="231F20"/>
          <w:spacing w:val="-9"/>
        </w:rPr>
        <w:t> </w:t>
      </w:r>
      <w:r>
        <w:rPr>
          <w:color w:val="231F20"/>
        </w:rPr>
        <w:t>улагања</w:t>
      </w:r>
      <w:r>
        <w:rPr>
          <w:color w:val="231F20"/>
          <w:spacing w:val="-9"/>
        </w:rPr>
        <w:t> </w:t>
      </w:r>
      <w:r>
        <w:rPr>
          <w:color w:val="231F20"/>
        </w:rPr>
        <w:t>и</w:t>
      </w:r>
      <w:r>
        <w:rPr>
          <w:color w:val="231F20"/>
          <w:spacing w:val="-9"/>
        </w:rPr>
        <w:t> </w:t>
      </w:r>
      <w:r>
        <w:rPr>
          <w:color w:val="231F20"/>
        </w:rPr>
        <w:t>потенцијалних</w:t>
      </w:r>
      <w:r>
        <w:rPr>
          <w:color w:val="231F20"/>
          <w:spacing w:val="-9"/>
        </w:rPr>
        <w:t> </w:t>
      </w:r>
      <w:r>
        <w:rPr>
          <w:color w:val="231F20"/>
        </w:rPr>
        <w:t>кредитних</w:t>
      </w:r>
      <w:r>
        <w:rPr>
          <w:color w:val="231F20"/>
          <w:spacing w:val="-9"/>
        </w:rPr>
        <w:t> </w:t>
      </w:r>
      <w:r>
        <w:rPr>
          <w:color w:val="231F20"/>
        </w:rPr>
        <w:t>аранжмана</w:t>
      </w:r>
      <w:r>
        <w:rPr>
          <w:color w:val="231F20"/>
          <w:spacing w:val="-9"/>
        </w:rPr>
        <w:t> </w:t>
      </w:r>
      <w:r>
        <w:rPr>
          <w:color w:val="231F20"/>
        </w:rPr>
        <w:t>и</w:t>
      </w:r>
      <w:r>
        <w:rPr>
          <w:color w:val="231F20"/>
          <w:spacing w:val="-9"/>
        </w:rPr>
        <w:t> </w:t>
      </w:r>
      <w:r>
        <w:rPr>
          <w:color w:val="231F20"/>
        </w:rPr>
        <w:t>задужи- вања компанија – ЈП „ЕПС” и других, инструмената кредитно-мо- нетарне политике, субвенција и друго), инструмената трговинске политике (увозних и извозних субвенција, нецаринских баријера, увозне контроле и ограничења, царинске заштите и друго), непо- средне државне контроле (цена, учешћа у </w:t>
      </w:r>
      <w:r>
        <w:rPr>
          <w:color w:val="231F20"/>
          <w:spacing w:val="-3"/>
        </w:rPr>
        <w:t>власништву, </w:t>
      </w:r>
      <w:r>
        <w:rPr>
          <w:color w:val="231F20"/>
        </w:rPr>
        <w:t>степена приватизације и нових модела јавно-приватног партнерства, енер- гетских дозвола, инвестиционих и производних дозвола, односно у случају експлоатације угља и других минералних сировина – одобрења</w:t>
      </w:r>
      <w:r>
        <w:rPr>
          <w:color w:val="231F20"/>
          <w:spacing w:val="-7"/>
        </w:rPr>
        <w:t> </w:t>
      </w:r>
      <w:r>
        <w:rPr>
          <w:color w:val="231F20"/>
        </w:rPr>
        <w:t>за</w:t>
      </w:r>
      <w:r>
        <w:rPr>
          <w:color w:val="231F20"/>
          <w:spacing w:val="-7"/>
        </w:rPr>
        <w:t> </w:t>
      </w:r>
      <w:r>
        <w:rPr>
          <w:color w:val="231F20"/>
          <w:spacing w:val="-3"/>
        </w:rPr>
        <w:t>експлоатацију,</w:t>
      </w:r>
      <w:r>
        <w:rPr>
          <w:color w:val="231F20"/>
          <w:spacing w:val="-7"/>
        </w:rPr>
        <w:t> </w:t>
      </w:r>
      <w:r>
        <w:rPr>
          <w:color w:val="231F20"/>
        </w:rPr>
        <w:t>одобрења</w:t>
      </w:r>
      <w:r>
        <w:rPr>
          <w:color w:val="231F20"/>
          <w:spacing w:val="-7"/>
        </w:rPr>
        <w:t> </w:t>
      </w:r>
      <w:r>
        <w:rPr>
          <w:color w:val="231F20"/>
        </w:rPr>
        <w:t>за</w:t>
      </w:r>
      <w:r>
        <w:rPr>
          <w:color w:val="231F20"/>
          <w:spacing w:val="-7"/>
        </w:rPr>
        <w:t> </w:t>
      </w:r>
      <w:r>
        <w:rPr>
          <w:color w:val="231F20"/>
        </w:rPr>
        <w:t>извођење</w:t>
      </w:r>
      <w:r>
        <w:rPr>
          <w:color w:val="231F20"/>
          <w:spacing w:val="-7"/>
        </w:rPr>
        <w:t> </w:t>
      </w:r>
      <w:r>
        <w:rPr>
          <w:color w:val="231F20"/>
        </w:rPr>
        <w:t>рударских</w:t>
      </w:r>
      <w:r>
        <w:rPr>
          <w:color w:val="231F20"/>
          <w:spacing w:val="-7"/>
        </w:rPr>
        <w:t> </w:t>
      </w:r>
      <w:r>
        <w:rPr>
          <w:color w:val="231F20"/>
        </w:rPr>
        <w:t>радо- ва</w:t>
      </w:r>
      <w:r>
        <w:rPr>
          <w:color w:val="231F20"/>
          <w:spacing w:val="-8"/>
        </w:rPr>
        <w:t> </w:t>
      </w:r>
      <w:r>
        <w:rPr>
          <w:color w:val="231F20"/>
        </w:rPr>
        <w:t>и</w:t>
      </w:r>
      <w:r>
        <w:rPr>
          <w:color w:val="231F20"/>
          <w:spacing w:val="-8"/>
        </w:rPr>
        <w:t> </w:t>
      </w:r>
      <w:r>
        <w:rPr>
          <w:color w:val="231F20"/>
        </w:rPr>
        <w:t>одобрења</w:t>
      </w:r>
      <w:r>
        <w:rPr>
          <w:color w:val="231F20"/>
          <w:spacing w:val="-8"/>
        </w:rPr>
        <w:t> </w:t>
      </w:r>
      <w:r>
        <w:rPr>
          <w:color w:val="231F20"/>
        </w:rPr>
        <w:t>за</w:t>
      </w:r>
      <w:r>
        <w:rPr>
          <w:color w:val="231F20"/>
          <w:spacing w:val="-8"/>
        </w:rPr>
        <w:t> </w:t>
      </w:r>
      <w:r>
        <w:rPr>
          <w:color w:val="231F20"/>
        </w:rPr>
        <w:t>употребу</w:t>
      </w:r>
      <w:r>
        <w:rPr>
          <w:color w:val="231F20"/>
          <w:spacing w:val="-8"/>
        </w:rPr>
        <w:t> </w:t>
      </w:r>
      <w:r>
        <w:rPr>
          <w:color w:val="231F20"/>
        </w:rPr>
        <w:t>рударских</w:t>
      </w:r>
      <w:r>
        <w:rPr>
          <w:color w:val="231F20"/>
          <w:spacing w:val="-8"/>
        </w:rPr>
        <w:t> </w:t>
      </w:r>
      <w:r>
        <w:rPr>
          <w:color w:val="231F20"/>
        </w:rPr>
        <w:t>објеката,</w:t>
      </w:r>
      <w:r>
        <w:rPr>
          <w:color w:val="231F20"/>
          <w:spacing w:val="-8"/>
        </w:rPr>
        <w:t> </w:t>
      </w:r>
      <w:r>
        <w:rPr>
          <w:color w:val="231F20"/>
        </w:rPr>
        <w:t>све</w:t>
      </w:r>
      <w:r>
        <w:rPr>
          <w:color w:val="231F20"/>
          <w:spacing w:val="-8"/>
        </w:rPr>
        <w:t> </w:t>
      </w:r>
      <w:r>
        <w:rPr>
          <w:color w:val="231F20"/>
        </w:rPr>
        <w:t>према</w:t>
      </w:r>
      <w:r>
        <w:rPr>
          <w:color w:val="231F20"/>
          <w:spacing w:val="-8"/>
        </w:rPr>
        <w:t> </w:t>
      </w:r>
      <w:r>
        <w:rPr>
          <w:color w:val="231F20"/>
        </w:rPr>
        <w:t>члану</w:t>
      </w:r>
      <w:r>
        <w:rPr>
          <w:color w:val="231F20"/>
          <w:spacing w:val="-8"/>
        </w:rPr>
        <w:t> </w:t>
      </w:r>
      <w:r>
        <w:rPr>
          <w:color w:val="231F20"/>
        </w:rPr>
        <w:t>17. Закона о </w:t>
      </w:r>
      <w:r>
        <w:rPr>
          <w:color w:val="231F20"/>
          <w:spacing w:val="-3"/>
        </w:rPr>
        <w:t>рударству </w:t>
      </w:r>
      <w:r>
        <w:rPr>
          <w:color w:val="231F20"/>
        </w:rPr>
        <w:t>(„Службени гласник РС”, бр. 44/95, 85/05, 101/05, 34/06 и 104/09 </w:t>
      </w:r>
      <w:r>
        <w:rPr>
          <w:color w:val="231F20"/>
          <w:spacing w:val="-3"/>
        </w:rPr>
        <w:t>од </w:t>
      </w:r>
      <w:r>
        <w:rPr>
          <w:color w:val="231F20"/>
        </w:rPr>
        <w:t>24. децембра 2009. године) и осталих инструмената (локационих дозвола, грађевинских дозвола, </w:t>
      </w:r>
      <w:r>
        <w:rPr>
          <w:color w:val="231F20"/>
          <w:spacing w:val="-3"/>
        </w:rPr>
        <w:t>еколо- </w:t>
      </w:r>
      <w:r>
        <w:rPr>
          <w:color w:val="231F20"/>
        </w:rPr>
        <w:t>шких дозвола, техничких стандарда, стандарда заштите животне средине, образовања и </w:t>
      </w:r>
      <w:r>
        <w:rPr>
          <w:color w:val="231F20"/>
          <w:spacing w:val="-3"/>
        </w:rPr>
        <w:t>обуке </w:t>
      </w:r>
      <w:r>
        <w:rPr>
          <w:color w:val="231F20"/>
        </w:rPr>
        <w:t>кадра, инфраструктуре и</w:t>
      </w:r>
      <w:r>
        <w:rPr>
          <w:color w:val="231F20"/>
          <w:spacing w:val="-15"/>
        </w:rPr>
        <w:t> </w:t>
      </w:r>
      <w:r>
        <w:rPr>
          <w:color w:val="231F20"/>
        </w:rPr>
        <w:t>друго).</w:t>
      </w:r>
    </w:p>
    <w:p>
      <w:pPr>
        <w:pStyle w:val="BodyText"/>
        <w:spacing w:line="181" w:lineRule="exact"/>
        <w:ind w:left="849"/>
        <w:jc w:val="left"/>
      </w:pPr>
      <w:r>
        <w:rPr>
          <w:color w:val="231F20"/>
        </w:rPr>
        <w:t>Неопходно је уклањање баријера за поспешивање развоја</w:t>
      </w:r>
    </w:p>
    <w:p>
      <w:pPr>
        <w:pStyle w:val="BodyText"/>
        <w:spacing w:line="232" w:lineRule="auto"/>
        <w:ind w:left="452"/>
      </w:pPr>
      <w:r>
        <w:rPr>
          <w:color w:val="231F20"/>
        </w:rPr>
        <w:t>приватног сектора и за побољшање инвестиционе климе, а на- рочито: укидање претеране бирократско-административне про- цедуре, елиминисање корупције, побољшање рада судства, ко- ординација активности у домену олакшавања инвестирања на општинском подручју и увођења нових модела јавно-приватног партнерства, и друго.</w:t>
      </w:r>
    </w:p>
    <w:p>
      <w:pPr>
        <w:pStyle w:val="BodyText"/>
        <w:spacing w:line="232" w:lineRule="auto"/>
        <w:ind w:left="452" w:firstLine="396"/>
      </w:pPr>
      <w:r>
        <w:rPr>
          <w:color w:val="231F20"/>
        </w:rPr>
        <w:t>Очекује се активна улога надлежних органа и институција локалне самоуправе, управног округа и свих актера у креирању   и спровођењу локалне и регионалне политике развоја, уређења и заштите простора унапређењем информатичке и других облика сарадње. С обзиром на изузетну атрактивност и развојне могућ- ности подручја </w:t>
      </w:r>
      <w:r>
        <w:rPr>
          <w:color w:val="231F20"/>
          <w:spacing w:val="-3"/>
        </w:rPr>
        <w:t>Града </w:t>
      </w:r>
      <w:r>
        <w:rPr>
          <w:color w:val="231F20"/>
        </w:rPr>
        <w:t>Пожаревца, као и сложеност координације великог броја локалних, регионалних и секторских стратешких докумената и планова, очекује се проактивни приступ надлежних органа и институција локалне самоуправе и свих заинтересованих актера.</w:t>
      </w:r>
    </w:p>
    <w:p>
      <w:pPr>
        <w:pStyle w:val="BodyText"/>
        <w:spacing w:line="232" w:lineRule="auto"/>
        <w:ind w:left="453" w:firstLine="396"/>
      </w:pPr>
      <w:r>
        <w:rPr>
          <w:color w:val="231F20"/>
        </w:rPr>
        <w:t>Неопходна је институционално-организациона сарадња из- међу актера у имплементацији планских решења као што су: др- жавне институције (министарства надлежна за заштиту животне средине, </w:t>
      </w:r>
      <w:r>
        <w:rPr>
          <w:color w:val="231F20"/>
          <w:spacing w:val="-3"/>
        </w:rPr>
        <w:t>рударства </w:t>
      </w:r>
      <w:r>
        <w:rPr>
          <w:color w:val="231F20"/>
        </w:rPr>
        <w:t>и просторног планирања, инфраструктуре, привреде, финансија, и друго), јавна предузећа, Регионална раз- војна агенција за „Браничево – Подунавље”, локална јавна </w:t>
      </w:r>
      <w:r>
        <w:rPr>
          <w:color w:val="231F20"/>
          <w:spacing w:val="-3"/>
        </w:rPr>
        <w:t>кому- </w:t>
      </w:r>
      <w:r>
        <w:rPr>
          <w:color w:val="231F20"/>
        </w:rPr>
        <w:t>нална предузећа, регионална привредна </w:t>
      </w:r>
      <w:r>
        <w:rPr>
          <w:color w:val="231F20"/>
          <w:spacing w:val="-3"/>
        </w:rPr>
        <w:t>комора </w:t>
      </w:r>
      <w:r>
        <w:rPr>
          <w:color w:val="231F20"/>
        </w:rPr>
        <w:t>и </w:t>
      </w:r>
      <w:r>
        <w:rPr>
          <w:color w:val="231F20"/>
          <w:spacing w:val="-3"/>
        </w:rPr>
        <w:t>удружења </w:t>
      </w:r>
      <w:r>
        <w:rPr>
          <w:color w:val="231F20"/>
        </w:rPr>
        <w:t>при- ватних</w:t>
      </w:r>
      <w:r>
        <w:rPr>
          <w:color w:val="231F20"/>
          <w:spacing w:val="-11"/>
        </w:rPr>
        <w:t> </w:t>
      </w:r>
      <w:r>
        <w:rPr>
          <w:color w:val="231F20"/>
        </w:rPr>
        <w:t>предузетника,</w:t>
      </w:r>
      <w:r>
        <w:rPr>
          <w:color w:val="231F20"/>
          <w:spacing w:val="-10"/>
        </w:rPr>
        <w:t> </w:t>
      </w:r>
      <w:r>
        <w:rPr>
          <w:color w:val="231F20"/>
        </w:rPr>
        <w:t>надлежни</w:t>
      </w:r>
      <w:r>
        <w:rPr>
          <w:color w:val="231F20"/>
          <w:spacing w:val="-10"/>
        </w:rPr>
        <w:t> </w:t>
      </w:r>
      <w:r>
        <w:rPr>
          <w:color w:val="231F20"/>
        </w:rPr>
        <w:t>органи</w:t>
      </w:r>
      <w:r>
        <w:rPr>
          <w:color w:val="231F20"/>
          <w:spacing w:val="-11"/>
        </w:rPr>
        <w:t> </w:t>
      </w:r>
      <w:r>
        <w:rPr>
          <w:color w:val="231F20"/>
        </w:rPr>
        <w:t>локалне</w:t>
      </w:r>
      <w:r>
        <w:rPr>
          <w:color w:val="231F20"/>
          <w:spacing w:val="-11"/>
        </w:rPr>
        <w:t> </w:t>
      </w:r>
      <w:r>
        <w:rPr>
          <w:color w:val="231F20"/>
        </w:rPr>
        <w:t>самоуправе,</w:t>
      </w:r>
      <w:r>
        <w:rPr>
          <w:color w:val="231F20"/>
          <w:spacing w:val="-10"/>
        </w:rPr>
        <w:t> </w:t>
      </w:r>
      <w:r>
        <w:rPr>
          <w:color w:val="231F20"/>
        </w:rPr>
        <w:t>банке и</w:t>
      </w:r>
      <w:r>
        <w:rPr>
          <w:color w:val="231F20"/>
          <w:spacing w:val="-2"/>
        </w:rPr>
        <w:t> </w:t>
      </w:r>
      <w:r>
        <w:rPr>
          <w:color w:val="231F20"/>
        </w:rPr>
        <w:t>слично.</w:t>
      </w:r>
    </w:p>
    <w:p>
      <w:pPr>
        <w:pStyle w:val="BodyText"/>
        <w:spacing w:line="232" w:lineRule="auto"/>
        <w:ind w:left="453" w:firstLine="396"/>
      </w:pPr>
      <w:r>
        <w:rPr>
          <w:color w:val="231F20"/>
        </w:rPr>
        <w:t>Потребна је изградња таквих управљачких аранжмана </w:t>
      </w:r>
      <w:r>
        <w:rPr>
          <w:color w:val="231F20"/>
          <w:spacing w:val="-3"/>
        </w:rPr>
        <w:t>који </w:t>
      </w:r>
      <w:r>
        <w:rPr>
          <w:color w:val="231F20"/>
        </w:rPr>
        <w:t>ће утицати на смањивање ризика и неизвесности </w:t>
      </w:r>
      <w:r>
        <w:rPr>
          <w:color w:val="231F20"/>
          <w:spacing w:val="-3"/>
        </w:rPr>
        <w:t>од </w:t>
      </w:r>
      <w:r>
        <w:rPr>
          <w:color w:val="231F20"/>
        </w:rPr>
        <w:t>социјалних тензија, посебно као резултат транзицијског процеса, реструкту- рирања и приватизације привредних система и предузећа, текуће </w:t>
      </w:r>
      <w:r>
        <w:rPr>
          <w:color w:val="231F20"/>
          <w:spacing w:val="-3"/>
        </w:rPr>
        <w:t>економске </w:t>
      </w:r>
      <w:r>
        <w:rPr>
          <w:color w:val="231F20"/>
        </w:rPr>
        <w:t>и финансијске кризе, као и слабијег </w:t>
      </w:r>
      <w:r>
        <w:rPr>
          <w:color w:val="231F20"/>
          <w:spacing w:val="-3"/>
        </w:rPr>
        <w:t>преговарачког </w:t>
      </w:r>
      <w:r>
        <w:rPr>
          <w:color w:val="231F20"/>
        </w:rPr>
        <w:t>по- тенцијала неких актера и неизграђених механизама договарања </w:t>
      </w:r>
      <w:r>
        <w:rPr>
          <w:color w:val="231F20"/>
          <w:spacing w:val="-4"/>
        </w:rPr>
        <w:t>око </w:t>
      </w:r>
      <w:r>
        <w:rPr>
          <w:color w:val="231F20"/>
        </w:rPr>
        <w:t>спорних</w:t>
      </w:r>
      <w:r>
        <w:rPr>
          <w:color w:val="231F20"/>
          <w:spacing w:val="1"/>
        </w:rPr>
        <w:t> </w:t>
      </w:r>
      <w:r>
        <w:rPr>
          <w:color w:val="231F20"/>
        </w:rPr>
        <w:t>питања.</w:t>
      </w:r>
    </w:p>
    <w:p>
      <w:pPr>
        <w:pStyle w:val="BodyText"/>
        <w:spacing w:line="232" w:lineRule="auto"/>
        <w:ind w:left="453" w:firstLine="397"/>
      </w:pPr>
      <w:r>
        <w:rPr>
          <w:color w:val="231F20"/>
        </w:rPr>
        <w:t>Обавезна је сарадња државних институција и локалне упра- ве ради укључивања основних социјалних захтева, као и јачање инспекцијских служби (грађевинске, комуналне, урбанистичке,</w:t>
      </w:r>
    </w:p>
    <w:p>
      <w:pPr>
        <w:pStyle w:val="BodyText"/>
        <w:spacing w:line="232" w:lineRule="auto" w:before="69"/>
        <w:ind w:left="242" w:right="128"/>
      </w:pPr>
      <w:r>
        <w:rPr/>
        <w:br w:type="column"/>
      </w:r>
      <w:r>
        <w:rPr>
          <w:color w:val="231F20"/>
        </w:rPr>
        <w:t>заштите животне средине, тржишне, финансијске и друго). Нео- пходна је координација активности органа локалне управе у про- цесу пресељења домаћинстава и насељских садржаја, на уређењу локалитета за развој МСП, обезбеђењу инфраструктуре и слично.</w:t>
      </w:r>
    </w:p>
    <w:p>
      <w:pPr>
        <w:pStyle w:val="BodyText"/>
        <w:spacing w:line="232" w:lineRule="auto"/>
        <w:ind w:left="243" w:right="127" w:firstLine="396"/>
      </w:pPr>
      <w:r>
        <w:rPr>
          <w:color w:val="231F20"/>
        </w:rPr>
        <w:t>Потребно је обезбеђење ажурног катастра свих непокретно- сти и надземних и подземних инсталација, утврђивање градског грађевинског земљишта и грађевинског земљишта, посебно на подручју </w:t>
      </w:r>
      <w:r>
        <w:rPr>
          <w:color w:val="231F20"/>
          <w:spacing w:val="-3"/>
        </w:rPr>
        <w:t>будућих </w:t>
      </w:r>
      <w:r>
        <w:rPr>
          <w:color w:val="231F20"/>
        </w:rPr>
        <w:t>рударских </w:t>
      </w:r>
      <w:r>
        <w:rPr>
          <w:color w:val="231F20"/>
          <w:spacing w:val="-3"/>
        </w:rPr>
        <w:t>копова </w:t>
      </w:r>
      <w:r>
        <w:rPr>
          <w:color w:val="231F20"/>
        </w:rPr>
        <w:t>и других локалитета. Ове ак- тивности су значајне и због извесног облика предстојеће прива- тизације дела постојећих привредних актера, као и разграничења постојећих или планираних рударских површина у зонама река Млаве и Дунава. За сва питања правног режима грађевинског зе- мљишта, пољопривредног земљишта, шума и шумског земљишта у јавној својини основа је уређена </w:t>
      </w:r>
      <w:r>
        <w:rPr>
          <w:color w:val="231F20"/>
          <w:spacing w:val="-3"/>
        </w:rPr>
        <w:t>законом </w:t>
      </w:r>
      <w:r>
        <w:rPr>
          <w:color w:val="231F20"/>
        </w:rPr>
        <w:t>о планирању и изград- њи и </w:t>
      </w:r>
      <w:r>
        <w:rPr>
          <w:color w:val="231F20"/>
          <w:spacing w:val="-3"/>
        </w:rPr>
        <w:t>Законом </w:t>
      </w:r>
      <w:r>
        <w:rPr>
          <w:color w:val="231F20"/>
        </w:rPr>
        <w:t>о експропријацији. </w:t>
      </w:r>
      <w:r>
        <w:rPr>
          <w:color w:val="231F20"/>
          <w:spacing w:val="-3"/>
        </w:rPr>
        <w:t>Закон </w:t>
      </w:r>
      <w:r>
        <w:rPr>
          <w:color w:val="231F20"/>
        </w:rPr>
        <w:t>о јавној својини, чланом 8. упућује на надлежности наведене правне основе.</w:t>
      </w:r>
    </w:p>
    <w:p>
      <w:pPr>
        <w:pStyle w:val="BodyText"/>
        <w:spacing w:line="232" w:lineRule="auto"/>
        <w:ind w:left="243" w:right="127" w:firstLine="396"/>
      </w:pPr>
      <w:r>
        <w:rPr>
          <w:color w:val="231F20"/>
        </w:rPr>
        <w:t>У сектору комуналне привреде потребно је претприватиза- ционо реструктурирање и комерцијализација јавних комуналних служби, ради подизања конкурентности и ефикасности њиховог функционисања, кроз увођење приватног капитала и приватних оператера (предузећа).</w:t>
      </w:r>
    </w:p>
    <w:p>
      <w:pPr>
        <w:pStyle w:val="BodyText"/>
        <w:spacing w:line="232" w:lineRule="auto"/>
        <w:ind w:left="243" w:right="127" w:firstLine="397"/>
      </w:pPr>
      <w:r>
        <w:rPr>
          <w:color w:val="231F20"/>
        </w:rPr>
        <w:t>Потенцијална приватизација термоенергетског и </w:t>
      </w:r>
      <w:r>
        <w:rPr>
          <w:color w:val="231F20"/>
          <w:spacing w:val="-3"/>
        </w:rPr>
        <w:t>рударског комплекса. </w:t>
      </w:r>
      <w:r>
        <w:rPr>
          <w:color w:val="231F20"/>
        </w:rPr>
        <w:t>Ради веће тржишне снаге, повећања производње и ди- версификације</w:t>
      </w:r>
      <w:r>
        <w:rPr>
          <w:color w:val="231F20"/>
          <w:spacing w:val="-9"/>
        </w:rPr>
        <w:t> </w:t>
      </w:r>
      <w:r>
        <w:rPr>
          <w:color w:val="231F20"/>
        </w:rPr>
        <w:t>стратешког</w:t>
      </w:r>
      <w:r>
        <w:rPr>
          <w:color w:val="231F20"/>
          <w:spacing w:val="-9"/>
        </w:rPr>
        <w:t> </w:t>
      </w:r>
      <w:r>
        <w:rPr>
          <w:color w:val="231F20"/>
        </w:rPr>
        <w:t>пословног</w:t>
      </w:r>
      <w:r>
        <w:rPr>
          <w:color w:val="231F20"/>
          <w:spacing w:val="-9"/>
        </w:rPr>
        <w:t> </w:t>
      </w:r>
      <w:r>
        <w:rPr>
          <w:color w:val="231F20"/>
        </w:rPr>
        <w:t>ризика</w:t>
      </w:r>
      <w:r>
        <w:rPr>
          <w:color w:val="231F20"/>
          <w:spacing w:val="-9"/>
        </w:rPr>
        <w:t> </w:t>
      </w:r>
      <w:r>
        <w:rPr>
          <w:color w:val="231F20"/>
        </w:rPr>
        <w:t>у</w:t>
      </w:r>
      <w:r>
        <w:rPr>
          <w:color w:val="231F20"/>
          <w:spacing w:val="-9"/>
        </w:rPr>
        <w:t> </w:t>
      </w:r>
      <w:r>
        <w:rPr>
          <w:color w:val="231F20"/>
        </w:rPr>
        <w:t>овом</w:t>
      </w:r>
      <w:r>
        <w:rPr>
          <w:color w:val="231F20"/>
          <w:spacing w:val="-9"/>
        </w:rPr>
        <w:t> </w:t>
      </w:r>
      <w:r>
        <w:rPr>
          <w:color w:val="231F20"/>
        </w:rPr>
        <w:t>сектору</w:t>
      </w:r>
      <w:r>
        <w:rPr>
          <w:color w:val="231F20"/>
          <w:spacing w:val="-9"/>
        </w:rPr>
        <w:t> </w:t>
      </w:r>
      <w:r>
        <w:rPr>
          <w:color w:val="231F20"/>
        </w:rPr>
        <w:t>се</w:t>
      </w:r>
      <w:r>
        <w:rPr>
          <w:color w:val="231F20"/>
          <w:spacing w:val="-9"/>
        </w:rPr>
        <w:t> </w:t>
      </w:r>
      <w:r>
        <w:rPr>
          <w:color w:val="231F20"/>
        </w:rPr>
        <w:t>све чешће користе припајања и куповине (мерџери и аквизиције). У ово спадају и ризици приступа и повећаних трошкова капитала због светске </w:t>
      </w:r>
      <w:r>
        <w:rPr>
          <w:color w:val="231F20"/>
          <w:spacing w:val="-3"/>
        </w:rPr>
        <w:t>економске </w:t>
      </w:r>
      <w:r>
        <w:rPr>
          <w:color w:val="231F20"/>
        </w:rPr>
        <w:t>кризе. </w:t>
      </w:r>
      <w:r>
        <w:rPr>
          <w:color w:val="231F20"/>
          <w:spacing w:val="-6"/>
        </w:rPr>
        <w:t>Током </w:t>
      </w:r>
      <w:r>
        <w:rPr>
          <w:color w:val="231F20"/>
        </w:rPr>
        <w:t>2007. реализован је највећи број припајања и куповина компанија као последица раста цена роба и </w:t>
      </w:r>
      <w:r>
        <w:rPr>
          <w:color w:val="231F20"/>
          <w:spacing w:val="-3"/>
        </w:rPr>
        <w:t>прихода </w:t>
      </w:r>
      <w:r>
        <w:rPr>
          <w:color w:val="231F20"/>
        </w:rPr>
        <w:t>компанија, безбедности ресурса, одустајања </w:t>
      </w:r>
      <w:r>
        <w:rPr>
          <w:color w:val="231F20"/>
          <w:spacing w:val="-3"/>
        </w:rPr>
        <w:t>од </w:t>
      </w:r>
      <w:r>
        <w:rPr>
          <w:color w:val="231F20"/>
        </w:rPr>
        <w:t>нових пројеката и диверсификације ризика. Тржишни </w:t>
      </w:r>
      <w:r>
        <w:rPr>
          <w:color w:val="231F20"/>
          <w:spacing w:val="-3"/>
        </w:rPr>
        <w:t>удео </w:t>
      </w:r>
      <w:r>
        <w:rPr>
          <w:color w:val="231F20"/>
        </w:rPr>
        <w:t>Кине, Русије, Бразила и Индије у производњи угља и трговини угљем увећао се </w:t>
      </w:r>
      <w:r>
        <w:rPr>
          <w:color w:val="231F20"/>
          <w:spacing w:val="-4"/>
        </w:rPr>
        <w:t>неколико </w:t>
      </w:r>
      <w:r>
        <w:rPr>
          <w:color w:val="231F20"/>
        </w:rPr>
        <w:t>пута у периоду 2000 – 2007. Консолидација је омогућила стварање веће тржишне снаге и водећих нових произ- вођача, што је утицало на смањење фрагментације у набавкама. Тај тренд утицао је на повећање притиска на компаније ради по- већања трансакција или раста. </w:t>
      </w:r>
      <w:r>
        <w:rPr>
          <w:color w:val="231F20"/>
          <w:spacing w:val="-3"/>
        </w:rPr>
        <w:t>Гесло </w:t>
      </w:r>
      <w:r>
        <w:rPr>
          <w:color w:val="231F20"/>
        </w:rPr>
        <w:t>либералног тржишта „сви су за</w:t>
      </w:r>
      <w:r>
        <w:rPr>
          <w:color w:val="231F20"/>
          <w:spacing w:val="-8"/>
        </w:rPr>
        <w:t> </w:t>
      </w:r>
      <w:r>
        <w:rPr>
          <w:color w:val="231F20"/>
        </w:rPr>
        <w:t>столом</w:t>
      </w:r>
      <w:r>
        <w:rPr>
          <w:color w:val="231F20"/>
          <w:spacing w:val="18"/>
        </w:rPr>
        <w:t> </w:t>
      </w:r>
      <w:r>
        <w:rPr>
          <w:color w:val="231F20"/>
        </w:rPr>
        <w:t>–</w:t>
      </w:r>
      <w:r>
        <w:rPr>
          <w:color w:val="231F20"/>
          <w:spacing w:val="-8"/>
        </w:rPr>
        <w:t> </w:t>
      </w:r>
      <w:r>
        <w:rPr>
          <w:color w:val="231F20"/>
        </w:rPr>
        <w:t>ради</w:t>
      </w:r>
      <w:r>
        <w:rPr>
          <w:color w:val="231F20"/>
          <w:spacing w:val="-8"/>
        </w:rPr>
        <w:t> </w:t>
      </w:r>
      <w:r>
        <w:rPr>
          <w:color w:val="231F20"/>
        </w:rPr>
        <w:t>посао</w:t>
      </w:r>
      <w:r>
        <w:rPr>
          <w:color w:val="231F20"/>
          <w:spacing w:val="-8"/>
        </w:rPr>
        <w:t> </w:t>
      </w:r>
      <w:r>
        <w:rPr>
          <w:color w:val="231F20"/>
        </w:rPr>
        <w:t>или</w:t>
      </w:r>
      <w:r>
        <w:rPr>
          <w:color w:val="231F20"/>
          <w:spacing w:val="-8"/>
        </w:rPr>
        <w:t> </w:t>
      </w:r>
      <w:r>
        <w:rPr>
          <w:color w:val="231F20"/>
        </w:rPr>
        <w:t>ћеш</w:t>
      </w:r>
      <w:r>
        <w:rPr>
          <w:color w:val="231F20"/>
          <w:spacing w:val="-8"/>
        </w:rPr>
        <w:t> </w:t>
      </w:r>
      <w:r>
        <w:rPr>
          <w:color w:val="231F20"/>
        </w:rPr>
        <w:t>постати</w:t>
      </w:r>
      <w:r>
        <w:rPr>
          <w:color w:val="231F20"/>
          <w:spacing w:val="-8"/>
        </w:rPr>
        <w:t> </w:t>
      </w:r>
      <w:r>
        <w:rPr>
          <w:color w:val="231F20"/>
        </w:rPr>
        <w:t>храна</w:t>
      </w:r>
      <w:r>
        <w:rPr>
          <w:color w:val="231F20"/>
          <w:spacing w:val="-8"/>
        </w:rPr>
        <w:t> </w:t>
      </w:r>
      <w:r>
        <w:rPr>
          <w:color w:val="231F20"/>
        </w:rPr>
        <w:t>за</w:t>
      </w:r>
      <w:r>
        <w:rPr>
          <w:color w:val="231F20"/>
          <w:spacing w:val="-8"/>
        </w:rPr>
        <w:t> </w:t>
      </w:r>
      <w:r>
        <w:rPr>
          <w:color w:val="231F20"/>
        </w:rPr>
        <w:t>друге”</w:t>
      </w:r>
      <w:r>
        <w:rPr>
          <w:color w:val="231F20"/>
          <w:spacing w:val="-9"/>
        </w:rPr>
        <w:t> </w:t>
      </w:r>
      <w:r>
        <w:rPr>
          <w:color w:val="231F20"/>
        </w:rPr>
        <w:t>је</w:t>
      </w:r>
      <w:r>
        <w:rPr>
          <w:color w:val="231F20"/>
          <w:spacing w:val="-8"/>
        </w:rPr>
        <w:t> </w:t>
      </w:r>
      <w:r>
        <w:rPr>
          <w:color w:val="231F20"/>
        </w:rPr>
        <w:t>активно и на тржишту угља и енергије. У наредном периоду потребно је вратити у равнотежу дугорочно неодржив тренд нижих трошкова куповине ресурса и </w:t>
      </w:r>
      <w:r>
        <w:rPr>
          <w:color w:val="231F20"/>
          <w:spacing w:val="-3"/>
        </w:rPr>
        <w:t>рудника </w:t>
      </w:r>
      <w:r>
        <w:rPr>
          <w:color w:val="231F20"/>
        </w:rPr>
        <w:t>у односу на више трошкове истражи- вања, откривања и експлоатације нових</w:t>
      </w:r>
      <w:r>
        <w:rPr>
          <w:color w:val="231F20"/>
          <w:spacing w:val="-8"/>
        </w:rPr>
        <w:t> </w:t>
      </w:r>
      <w:r>
        <w:rPr>
          <w:color w:val="231F20"/>
          <w:spacing w:val="-3"/>
        </w:rPr>
        <w:t>рудника.</w:t>
      </w:r>
    </w:p>
    <w:p>
      <w:pPr>
        <w:pStyle w:val="BodyText"/>
        <w:spacing w:line="186" w:lineRule="exact"/>
        <w:ind w:left="640"/>
        <w:jc w:val="left"/>
      </w:pPr>
      <w:r>
        <w:rPr>
          <w:color w:val="231F20"/>
        </w:rPr>
        <w:t>Када је у питању ЈП „ЕПС”, да би се побољшала ефикасност</w:t>
      </w:r>
    </w:p>
    <w:p>
      <w:pPr>
        <w:pStyle w:val="BodyText"/>
        <w:spacing w:line="232" w:lineRule="auto"/>
        <w:ind w:left="243" w:right="127"/>
      </w:pPr>
      <w:r>
        <w:rPr>
          <w:color w:val="231F20"/>
        </w:rPr>
        <w:t>и рентабилност система, неопходно је предузети знатнија орга- низациона прилагођавања. У погледу својинског статуса, орга- низационе промене пратиће јачање корпорацијског пословања и развоја, као и могућа трансформацију „ЕПС”-а у неки од облика акционарског друштва. Развој обновљеног „ЕПС”-а имао би вели- ко подстицајно дејство на развој машинске, грађевинске и метал- ске индустрије.</w:t>
      </w:r>
    </w:p>
    <w:p>
      <w:pPr>
        <w:pStyle w:val="BodyText"/>
        <w:spacing w:line="232" w:lineRule="auto"/>
        <w:ind w:left="244" w:right="127" w:firstLine="396"/>
      </w:pPr>
      <w:r>
        <w:rPr>
          <w:color w:val="231F20"/>
        </w:rPr>
        <w:t>У процесу својинске трансформације и консолидације енер- гетског</w:t>
      </w:r>
      <w:r>
        <w:rPr>
          <w:color w:val="231F20"/>
          <w:spacing w:val="-7"/>
        </w:rPr>
        <w:t> </w:t>
      </w:r>
      <w:r>
        <w:rPr>
          <w:color w:val="231F20"/>
        </w:rPr>
        <w:t>сектора</w:t>
      </w:r>
      <w:r>
        <w:rPr>
          <w:color w:val="231F20"/>
          <w:spacing w:val="-7"/>
        </w:rPr>
        <w:t> </w:t>
      </w:r>
      <w:r>
        <w:rPr>
          <w:color w:val="231F20"/>
        </w:rPr>
        <w:t>требало</w:t>
      </w:r>
      <w:r>
        <w:rPr>
          <w:color w:val="231F20"/>
          <w:spacing w:val="-7"/>
        </w:rPr>
        <w:t> </w:t>
      </w:r>
      <w:r>
        <w:rPr>
          <w:color w:val="231F20"/>
        </w:rPr>
        <w:t>би</w:t>
      </w:r>
      <w:r>
        <w:rPr>
          <w:color w:val="231F20"/>
          <w:spacing w:val="-7"/>
        </w:rPr>
        <w:t> </w:t>
      </w:r>
      <w:r>
        <w:rPr>
          <w:color w:val="231F20"/>
        </w:rPr>
        <w:t>имати</w:t>
      </w:r>
      <w:r>
        <w:rPr>
          <w:color w:val="231F20"/>
          <w:spacing w:val="-7"/>
        </w:rPr>
        <w:t> </w:t>
      </w:r>
      <w:r>
        <w:rPr>
          <w:color w:val="231F20"/>
        </w:rPr>
        <w:t>у</w:t>
      </w:r>
      <w:r>
        <w:rPr>
          <w:color w:val="231F20"/>
          <w:spacing w:val="-7"/>
        </w:rPr>
        <w:t> </w:t>
      </w:r>
      <w:r>
        <w:rPr>
          <w:color w:val="231F20"/>
        </w:rPr>
        <w:t>виду</w:t>
      </w:r>
      <w:r>
        <w:rPr>
          <w:color w:val="231F20"/>
          <w:spacing w:val="-7"/>
        </w:rPr>
        <w:t> </w:t>
      </w:r>
      <w:r>
        <w:rPr>
          <w:color w:val="231F20"/>
        </w:rPr>
        <w:t>нови</w:t>
      </w:r>
      <w:r>
        <w:rPr>
          <w:color w:val="231F20"/>
          <w:spacing w:val="-7"/>
        </w:rPr>
        <w:t> </w:t>
      </w:r>
      <w:r>
        <w:rPr>
          <w:color w:val="231F20"/>
        </w:rPr>
        <w:t>тренд</w:t>
      </w:r>
      <w:r>
        <w:rPr>
          <w:color w:val="231F20"/>
          <w:spacing w:val="-7"/>
        </w:rPr>
        <w:t> </w:t>
      </w:r>
      <w:r>
        <w:rPr>
          <w:color w:val="231F20"/>
        </w:rPr>
        <w:t>у</w:t>
      </w:r>
      <w:r>
        <w:rPr>
          <w:color w:val="231F20"/>
          <w:spacing w:val="-7"/>
        </w:rPr>
        <w:t> </w:t>
      </w:r>
      <w:r>
        <w:rPr>
          <w:color w:val="231F20"/>
        </w:rPr>
        <w:t>земљама</w:t>
      </w:r>
      <w:r>
        <w:rPr>
          <w:color w:val="231F20"/>
          <w:spacing w:val="-7"/>
        </w:rPr>
        <w:t> </w:t>
      </w:r>
      <w:r>
        <w:rPr>
          <w:color w:val="231F20"/>
        </w:rPr>
        <w:t>ЕУ о томе да јавна својина подразумева традиционалне облике јавног власништва</w:t>
      </w:r>
      <w:r>
        <w:rPr>
          <w:color w:val="231F20"/>
          <w:spacing w:val="-7"/>
        </w:rPr>
        <w:t> </w:t>
      </w:r>
      <w:r>
        <w:rPr>
          <w:color w:val="231F20"/>
        </w:rPr>
        <w:t>и</w:t>
      </w:r>
      <w:r>
        <w:rPr>
          <w:color w:val="231F20"/>
          <w:spacing w:val="-7"/>
        </w:rPr>
        <w:t> </w:t>
      </w:r>
      <w:r>
        <w:rPr>
          <w:color w:val="231F20"/>
        </w:rPr>
        <w:t>нове</w:t>
      </w:r>
      <w:r>
        <w:rPr>
          <w:color w:val="231F20"/>
          <w:spacing w:val="-7"/>
        </w:rPr>
        <w:t> </w:t>
      </w:r>
      <w:r>
        <w:rPr>
          <w:color w:val="231F20"/>
        </w:rPr>
        <w:t>облике</w:t>
      </w:r>
      <w:r>
        <w:rPr>
          <w:color w:val="231F20"/>
          <w:spacing w:val="-7"/>
        </w:rPr>
        <w:t> </w:t>
      </w:r>
      <w:r>
        <w:rPr>
          <w:color w:val="231F20"/>
        </w:rPr>
        <w:t>јавног</w:t>
      </w:r>
      <w:r>
        <w:rPr>
          <w:color w:val="231F20"/>
          <w:spacing w:val="-7"/>
        </w:rPr>
        <w:t> </w:t>
      </w:r>
      <w:r>
        <w:rPr>
          <w:color w:val="231F20"/>
        </w:rPr>
        <w:t>учешћа.</w:t>
      </w:r>
      <w:r>
        <w:rPr>
          <w:color w:val="231F20"/>
          <w:spacing w:val="-7"/>
        </w:rPr>
        <w:t> </w:t>
      </w:r>
      <w:r>
        <w:rPr>
          <w:color w:val="231F20"/>
        </w:rPr>
        <w:t>Нови</w:t>
      </w:r>
      <w:r>
        <w:rPr>
          <w:color w:val="231F20"/>
          <w:spacing w:val="-7"/>
        </w:rPr>
        <w:t> </w:t>
      </w:r>
      <w:r>
        <w:rPr>
          <w:color w:val="231F20"/>
        </w:rPr>
        <w:t>облици</w:t>
      </w:r>
      <w:r>
        <w:rPr>
          <w:color w:val="231F20"/>
          <w:spacing w:val="-7"/>
        </w:rPr>
        <w:t> </w:t>
      </w:r>
      <w:r>
        <w:rPr>
          <w:color w:val="231F20"/>
        </w:rPr>
        <w:t>јавног</w:t>
      </w:r>
      <w:r>
        <w:rPr>
          <w:color w:val="231F20"/>
          <w:spacing w:val="-7"/>
        </w:rPr>
        <w:t> </w:t>
      </w:r>
      <w:r>
        <w:rPr>
          <w:color w:val="231F20"/>
        </w:rPr>
        <w:t>вла- сништва су заоштрили конкуренцију са приватним сектором, што потврђује</w:t>
      </w:r>
      <w:r>
        <w:rPr>
          <w:color w:val="231F20"/>
          <w:spacing w:val="-6"/>
        </w:rPr>
        <w:t> </w:t>
      </w:r>
      <w:r>
        <w:rPr>
          <w:color w:val="231F20"/>
        </w:rPr>
        <w:t>и</w:t>
      </w:r>
      <w:r>
        <w:rPr>
          <w:color w:val="231F20"/>
          <w:spacing w:val="-6"/>
        </w:rPr>
        <w:t> </w:t>
      </w:r>
      <w:r>
        <w:rPr>
          <w:color w:val="231F20"/>
        </w:rPr>
        <w:t>податак</w:t>
      </w:r>
      <w:r>
        <w:rPr>
          <w:color w:val="231F20"/>
          <w:spacing w:val="-6"/>
        </w:rPr>
        <w:t> </w:t>
      </w:r>
      <w:r>
        <w:rPr>
          <w:color w:val="231F20"/>
        </w:rPr>
        <w:t>да</w:t>
      </w:r>
      <w:r>
        <w:rPr>
          <w:color w:val="231F20"/>
          <w:spacing w:val="-6"/>
        </w:rPr>
        <w:t> </w:t>
      </w:r>
      <w:r>
        <w:rPr>
          <w:color w:val="231F20"/>
        </w:rPr>
        <w:t>су</w:t>
      </w:r>
      <w:r>
        <w:rPr>
          <w:color w:val="231F20"/>
          <w:spacing w:val="-6"/>
        </w:rPr>
        <w:t> </w:t>
      </w:r>
      <w:r>
        <w:rPr>
          <w:color w:val="231F20"/>
        </w:rPr>
        <w:t>електроенергетски</w:t>
      </w:r>
      <w:r>
        <w:rPr>
          <w:color w:val="231F20"/>
          <w:spacing w:val="-6"/>
        </w:rPr>
        <w:t> </w:t>
      </w:r>
      <w:r>
        <w:rPr>
          <w:color w:val="231F20"/>
        </w:rPr>
        <w:t>системи</w:t>
      </w:r>
      <w:r>
        <w:rPr>
          <w:color w:val="231F20"/>
          <w:spacing w:val="-6"/>
        </w:rPr>
        <w:t> </w:t>
      </w:r>
      <w:r>
        <w:rPr>
          <w:color w:val="231F20"/>
        </w:rPr>
        <w:t>у</w:t>
      </w:r>
      <w:r>
        <w:rPr>
          <w:color w:val="231F20"/>
          <w:spacing w:val="-6"/>
        </w:rPr>
        <w:t> </w:t>
      </w:r>
      <w:r>
        <w:rPr>
          <w:color w:val="231F20"/>
        </w:rPr>
        <w:t>приватном или већинском приватном власништву само у Великој Британији, </w:t>
      </w:r>
      <w:r>
        <w:rPr>
          <w:color w:val="231F20"/>
          <w:spacing w:val="-3"/>
        </w:rPr>
        <w:t>Немачкој, </w:t>
      </w:r>
      <w:r>
        <w:rPr>
          <w:color w:val="231F20"/>
        </w:rPr>
        <w:t>Белгији и Шпанији (OECD,</w:t>
      </w:r>
      <w:r>
        <w:rPr>
          <w:color w:val="231F20"/>
          <w:spacing w:val="0"/>
        </w:rPr>
        <w:t> </w:t>
      </w:r>
      <w:r>
        <w:rPr>
          <w:color w:val="231F20"/>
        </w:rPr>
        <w:t>2009).</w:t>
      </w:r>
    </w:p>
    <w:p>
      <w:pPr>
        <w:pStyle w:val="BodyText"/>
        <w:spacing w:line="232" w:lineRule="auto"/>
        <w:ind w:left="242" w:right="127" w:firstLine="397"/>
      </w:pPr>
      <w:r>
        <w:rPr>
          <w:color w:val="231F20"/>
        </w:rPr>
        <w:t>У процесу реструктурирања и својинске трансформације ру- дарских</w:t>
      </w:r>
      <w:r>
        <w:rPr>
          <w:color w:val="231F20"/>
          <w:spacing w:val="-5"/>
        </w:rPr>
        <w:t> </w:t>
      </w:r>
      <w:r>
        <w:rPr>
          <w:color w:val="231F20"/>
        </w:rPr>
        <w:t>и</w:t>
      </w:r>
      <w:r>
        <w:rPr>
          <w:color w:val="231F20"/>
          <w:spacing w:val="-5"/>
        </w:rPr>
        <w:t> </w:t>
      </w:r>
      <w:r>
        <w:rPr>
          <w:color w:val="231F20"/>
        </w:rPr>
        <w:t>енергетских</w:t>
      </w:r>
      <w:r>
        <w:rPr>
          <w:color w:val="231F20"/>
          <w:spacing w:val="-5"/>
        </w:rPr>
        <w:t> </w:t>
      </w:r>
      <w:r>
        <w:rPr>
          <w:color w:val="231F20"/>
        </w:rPr>
        <w:t>компанија</w:t>
      </w:r>
      <w:r>
        <w:rPr>
          <w:color w:val="231F20"/>
          <w:spacing w:val="-5"/>
        </w:rPr>
        <w:t> </w:t>
      </w:r>
      <w:r>
        <w:rPr>
          <w:color w:val="231F20"/>
        </w:rPr>
        <w:t>требало</w:t>
      </w:r>
      <w:r>
        <w:rPr>
          <w:color w:val="231F20"/>
          <w:spacing w:val="-5"/>
        </w:rPr>
        <w:t> </w:t>
      </w:r>
      <w:r>
        <w:rPr>
          <w:color w:val="231F20"/>
        </w:rPr>
        <w:t>би</w:t>
      </w:r>
      <w:r>
        <w:rPr>
          <w:color w:val="231F20"/>
          <w:spacing w:val="-5"/>
        </w:rPr>
        <w:t> </w:t>
      </w:r>
      <w:r>
        <w:rPr>
          <w:color w:val="231F20"/>
        </w:rPr>
        <w:t>имати</w:t>
      </w:r>
      <w:r>
        <w:rPr>
          <w:color w:val="231F20"/>
          <w:spacing w:val="-5"/>
        </w:rPr>
        <w:t> </w:t>
      </w:r>
      <w:r>
        <w:rPr>
          <w:color w:val="231F20"/>
        </w:rPr>
        <w:t>у</w:t>
      </w:r>
      <w:r>
        <w:rPr>
          <w:color w:val="231F20"/>
          <w:spacing w:val="-5"/>
        </w:rPr>
        <w:t> </w:t>
      </w:r>
      <w:r>
        <w:rPr>
          <w:color w:val="231F20"/>
        </w:rPr>
        <w:t>виду</w:t>
      </w:r>
      <w:r>
        <w:rPr>
          <w:color w:val="231F20"/>
          <w:spacing w:val="-5"/>
        </w:rPr>
        <w:t> </w:t>
      </w:r>
      <w:r>
        <w:rPr>
          <w:color w:val="231F20"/>
          <w:spacing w:val="-3"/>
        </w:rPr>
        <w:t>неколи- </w:t>
      </w:r>
      <w:r>
        <w:rPr>
          <w:color w:val="231F20"/>
          <w:spacing w:val="-5"/>
        </w:rPr>
        <w:t>ко </w:t>
      </w:r>
      <w:r>
        <w:rPr>
          <w:color w:val="231F20"/>
        </w:rPr>
        <w:t>изазова, посебно потенцираних светском </w:t>
      </w:r>
      <w:r>
        <w:rPr>
          <w:color w:val="231F20"/>
          <w:spacing w:val="-3"/>
        </w:rPr>
        <w:t>економском </w:t>
      </w:r>
      <w:r>
        <w:rPr>
          <w:color w:val="231F20"/>
        </w:rPr>
        <w:t>и финан- </w:t>
      </w:r>
      <w:r>
        <w:rPr>
          <w:color w:val="231F20"/>
          <w:spacing w:val="-3"/>
        </w:rPr>
        <w:t>сијском </w:t>
      </w:r>
      <w:r>
        <w:rPr>
          <w:color w:val="231F20"/>
        </w:rPr>
        <w:t>кризом. Прво, </w:t>
      </w:r>
      <w:r>
        <w:rPr>
          <w:color w:val="231F20"/>
          <w:spacing w:val="-3"/>
        </w:rPr>
        <w:t>након </w:t>
      </w:r>
      <w:r>
        <w:rPr>
          <w:color w:val="231F20"/>
        </w:rPr>
        <w:t>20 или више </w:t>
      </w:r>
      <w:r>
        <w:rPr>
          <w:color w:val="231F20"/>
          <w:spacing w:val="-3"/>
        </w:rPr>
        <w:t>година </w:t>
      </w:r>
      <w:r>
        <w:rPr>
          <w:color w:val="231F20"/>
        </w:rPr>
        <w:t>либерализације тржишта електричне енергије, реформа је и даље у току у земља- ма </w:t>
      </w:r>
      <w:r>
        <w:rPr>
          <w:color w:val="231F20"/>
          <w:spacing w:val="-10"/>
        </w:rPr>
        <w:t>ЕУ. </w:t>
      </w:r>
      <w:r>
        <w:rPr>
          <w:color w:val="231F20"/>
        </w:rPr>
        <w:t>Друго, климатске промене и политике у вези са њима на- мећу значајне нове захтеве и инвестиције у енергетском </w:t>
      </w:r>
      <w:r>
        <w:rPr>
          <w:color w:val="231F20"/>
          <w:spacing w:val="-4"/>
        </w:rPr>
        <w:t>сектору. </w:t>
      </w:r>
      <w:r>
        <w:rPr>
          <w:color w:val="231F20"/>
        </w:rPr>
        <w:t>Треће, поново се појављује политичка забринутост о безбедности фосилних горива енергије у многим земљама. Четврто, кретања ка приватизацији великих размера са независним прописима мо- гу да покрену питања политичког легитимитета. Пето, глобална финансијска криза је изазвала посебну забринутост у енергетском сектору </w:t>
      </w:r>
      <w:r>
        <w:rPr>
          <w:color w:val="231F20"/>
          <w:spacing w:val="-3"/>
        </w:rPr>
        <w:t>које </w:t>
      </w:r>
      <w:r>
        <w:rPr>
          <w:color w:val="231F20"/>
        </w:rPr>
        <w:t>приватно тржиште капитала неће моћи да финансира због растућих захтева инвестиција и неизвесног профита. Веома високо учешће јавне својине у енергетском сектору наставља да </w:t>
      </w:r>
      <w:r>
        <w:rPr>
          <w:color w:val="231F20"/>
          <w:spacing w:val="-5"/>
        </w:rPr>
        <w:t>буде </w:t>
      </w:r>
      <w:r>
        <w:rPr>
          <w:color w:val="231F20"/>
        </w:rPr>
        <w:t>значајно упркос дугорочног тренда ка приватизацији, </w:t>
      </w:r>
      <w:r>
        <w:rPr>
          <w:color w:val="231F20"/>
          <w:spacing w:val="-3"/>
        </w:rPr>
        <w:t>кон- </w:t>
      </w:r>
      <w:r>
        <w:rPr>
          <w:color w:val="231F20"/>
        </w:rPr>
        <w:t>куренције</w:t>
      </w:r>
      <w:r>
        <w:rPr>
          <w:color w:val="231F20"/>
          <w:spacing w:val="17"/>
        </w:rPr>
        <w:t> </w:t>
      </w:r>
      <w:r>
        <w:rPr>
          <w:color w:val="231F20"/>
        </w:rPr>
        <w:t>и</w:t>
      </w:r>
      <w:r>
        <w:rPr>
          <w:color w:val="231F20"/>
          <w:spacing w:val="17"/>
        </w:rPr>
        <w:t> </w:t>
      </w:r>
      <w:r>
        <w:rPr>
          <w:color w:val="231F20"/>
        </w:rPr>
        <w:t>независне</w:t>
      </w:r>
      <w:r>
        <w:rPr>
          <w:color w:val="231F20"/>
          <w:spacing w:val="17"/>
        </w:rPr>
        <w:t> </w:t>
      </w:r>
      <w:r>
        <w:rPr>
          <w:color w:val="231F20"/>
        </w:rPr>
        <w:t>регулације</w:t>
      </w:r>
      <w:r>
        <w:rPr>
          <w:color w:val="231F20"/>
          <w:spacing w:val="17"/>
        </w:rPr>
        <w:t> </w:t>
      </w:r>
      <w:r>
        <w:rPr>
          <w:color w:val="231F20"/>
        </w:rPr>
        <w:t>у</w:t>
      </w:r>
      <w:r>
        <w:rPr>
          <w:color w:val="231F20"/>
          <w:spacing w:val="17"/>
        </w:rPr>
        <w:t> </w:t>
      </w:r>
      <w:r>
        <w:rPr>
          <w:color w:val="231F20"/>
        </w:rPr>
        <w:t>енергетском</w:t>
      </w:r>
      <w:r>
        <w:rPr>
          <w:color w:val="231F20"/>
          <w:spacing w:val="17"/>
        </w:rPr>
        <w:t> </w:t>
      </w:r>
      <w:r>
        <w:rPr>
          <w:color w:val="231F20"/>
          <w:spacing w:val="-4"/>
        </w:rPr>
        <w:t>сектору,</w:t>
      </w:r>
      <w:r>
        <w:rPr>
          <w:color w:val="231F20"/>
          <w:spacing w:val="17"/>
        </w:rPr>
        <w:t> </w:t>
      </w:r>
      <w:r>
        <w:rPr>
          <w:color w:val="231F20"/>
        </w:rPr>
        <w:t>на</w:t>
      </w:r>
      <w:r>
        <w:rPr>
          <w:color w:val="231F20"/>
          <w:spacing w:val="17"/>
        </w:rPr>
        <w:t> </w:t>
      </w:r>
      <w:r>
        <w:rPr>
          <w:color w:val="231F20"/>
        </w:rPr>
        <w:t>шта</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left="169" w:right="38"/>
      </w:pPr>
      <w:r>
        <w:rPr/>
        <w:pict>
          <v:line style="position:absolute;mso-position-horizontal-relative:page;mso-position-vertical-relative:page;z-index:3304" from="304.724396pt,11.942451pt" to="304.724396pt,748.950451pt" stroked="true" strokeweight=".6pt" strokecolor="#231f20">
            <v:stroke dashstyle="solid"/>
            <w10:wrap type="none"/>
          </v:line>
        </w:pict>
      </w:r>
      <w:r>
        <w:rPr>
          <w:color w:val="231F20"/>
        </w:rPr>
        <w:t>указују нова истраживања објављена на Универзитету Кембриџ у Великој Британији. Јавно власништво остаје и даље потенцијално веома значајно за енергетски сектор и може бити атрактивније са- да него у </w:t>
      </w:r>
      <w:r>
        <w:rPr>
          <w:color w:val="231F20"/>
          <w:spacing w:val="-3"/>
        </w:rPr>
        <w:t>блиској </w:t>
      </w:r>
      <w:r>
        <w:rPr>
          <w:color w:val="231F20"/>
        </w:rPr>
        <w:t>прошлост пре свега </w:t>
      </w:r>
      <w:r>
        <w:rPr>
          <w:color w:val="231F20"/>
          <w:spacing w:val="-3"/>
        </w:rPr>
        <w:t>зато </w:t>
      </w:r>
      <w:r>
        <w:rPr>
          <w:color w:val="231F20"/>
        </w:rPr>
        <w:t>што јавно учешће може да</w:t>
      </w:r>
      <w:r>
        <w:rPr>
          <w:color w:val="231F20"/>
          <w:spacing w:val="-7"/>
        </w:rPr>
        <w:t> </w:t>
      </w:r>
      <w:r>
        <w:rPr>
          <w:color w:val="231F20"/>
        </w:rPr>
        <w:t>коегзистира</w:t>
      </w:r>
      <w:r>
        <w:rPr>
          <w:color w:val="231F20"/>
          <w:spacing w:val="-7"/>
        </w:rPr>
        <w:t> </w:t>
      </w:r>
      <w:r>
        <w:rPr>
          <w:color w:val="231F20"/>
        </w:rPr>
        <w:t>са</w:t>
      </w:r>
      <w:r>
        <w:rPr>
          <w:color w:val="231F20"/>
          <w:spacing w:val="-7"/>
        </w:rPr>
        <w:t> </w:t>
      </w:r>
      <w:r>
        <w:rPr>
          <w:color w:val="231F20"/>
        </w:rPr>
        <w:t>либерализованим</w:t>
      </w:r>
      <w:r>
        <w:rPr>
          <w:color w:val="231F20"/>
          <w:spacing w:val="-7"/>
        </w:rPr>
        <w:t> </w:t>
      </w:r>
      <w:r>
        <w:rPr>
          <w:color w:val="231F20"/>
        </w:rPr>
        <w:t>тржиштем</w:t>
      </w:r>
      <w:r>
        <w:rPr>
          <w:color w:val="231F20"/>
          <w:spacing w:val="-7"/>
        </w:rPr>
        <w:t> </w:t>
      </w:r>
      <w:r>
        <w:rPr>
          <w:color w:val="231F20"/>
        </w:rPr>
        <w:t>електричне</w:t>
      </w:r>
      <w:r>
        <w:rPr>
          <w:color w:val="231F20"/>
          <w:spacing w:val="-7"/>
        </w:rPr>
        <w:t> </w:t>
      </w:r>
      <w:r>
        <w:rPr>
          <w:color w:val="231F20"/>
        </w:rPr>
        <w:t>енерги- је, укључујући и ниво малопродајног тржишта. Јавно власништво може да се оствари кроз значајан број облика, укључујући: мешо- вито/заједничко власништво, потрошачке трустове (на пример у Новом Зеланду), државно власништво и општинско власништво (на пример на Новом </w:t>
      </w:r>
      <w:r>
        <w:rPr>
          <w:color w:val="231F20"/>
          <w:spacing w:val="-3"/>
        </w:rPr>
        <w:t>Зеланду, </w:t>
      </w:r>
      <w:r>
        <w:rPr>
          <w:color w:val="231F20"/>
        </w:rPr>
        <w:t>у неким деловима Велике Британи- је), као и </w:t>
      </w:r>
      <w:r>
        <w:rPr>
          <w:color w:val="231F20"/>
          <w:spacing w:val="-3"/>
        </w:rPr>
        <w:t>преко </w:t>
      </w:r>
      <w:r>
        <w:rPr>
          <w:color w:val="231F20"/>
        </w:rPr>
        <w:t>механизама пословања и избора одбора директо- ра.</w:t>
      </w:r>
      <w:r>
        <w:rPr>
          <w:color w:val="231F20"/>
          <w:spacing w:val="-8"/>
        </w:rPr>
        <w:t> </w:t>
      </w:r>
      <w:r>
        <w:rPr>
          <w:color w:val="231F20"/>
          <w:spacing w:val="-2"/>
        </w:rPr>
        <w:t>Модели</w:t>
      </w:r>
      <w:r>
        <w:rPr>
          <w:color w:val="231F20"/>
          <w:spacing w:val="-8"/>
        </w:rPr>
        <w:t> </w:t>
      </w:r>
      <w:r>
        <w:rPr>
          <w:color w:val="231F20"/>
        </w:rPr>
        <w:t>мешовитог</w:t>
      </w:r>
      <w:r>
        <w:rPr>
          <w:color w:val="231F20"/>
          <w:spacing w:val="-8"/>
        </w:rPr>
        <w:t> </w:t>
      </w:r>
      <w:r>
        <w:rPr>
          <w:color w:val="231F20"/>
        </w:rPr>
        <w:t>јавно-приватног</w:t>
      </w:r>
      <w:r>
        <w:rPr>
          <w:color w:val="231F20"/>
          <w:spacing w:val="-8"/>
        </w:rPr>
        <w:t> </w:t>
      </w:r>
      <w:r>
        <w:rPr>
          <w:color w:val="231F20"/>
        </w:rPr>
        <w:t>власништва</w:t>
      </w:r>
      <w:r>
        <w:rPr>
          <w:color w:val="231F20"/>
          <w:spacing w:val="-8"/>
        </w:rPr>
        <w:t> </w:t>
      </w:r>
      <w:r>
        <w:rPr>
          <w:color w:val="231F20"/>
        </w:rPr>
        <w:t>у</w:t>
      </w:r>
      <w:r>
        <w:rPr>
          <w:color w:val="231F20"/>
          <w:spacing w:val="-8"/>
        </w:rPr>
        <w:t> </w:t>
      </w:r>
      <w:r>
        <w:rPr>
          <w:color w:val="231F20"/>
        </w:rPr>
        <w:t>енергетском сектору се стално </w:t>
      </w:r>
      <w:r>
        <w:rPr>
          <w:color w:val="231F20"/>
          <w:spacing w:val="-2"/>
        </w:rPr>
        <w:t>побољшавају. </w:t>
      </w:r>
      <w:r>
        <w:rPr>
          <w:color w:val="231F20"/>
        </w:rPr>
        <w:t>Многе земље у Европи, у ствари, тек треба да уведу било какво значајније приватно учешће у сек- тору електричне енергије. Звучи врло атрактивно да истовремено коегзистира више облика својине </w:t>
      </w:r>
      <w:r>
        <w:rPr>
          <w:color w:val="231F20"/>
          <w:spacing w:val="-3"/>
        </w:rPr>
        <w:t>иако </w:t>
      </w:r>
      <w:r>
        <w:rPr>
          <w:color w:val="231F20"/>
        </w:rPr>
        <w:t>то може да наметне значај- не трошкове целом</w:t>
      </w:r>
      <w:r>
        <w:rPr>
          <w:color w:val="231F20"/>
          <w:spacing w:val="-2"/>
        </w:rPr>
        <w:t> </w:t>
      </w:r>
      <w:r>
        <w:rPr>
          <w:color w:val="231F20"/>
          <w:spacing w:val="-3"/>
        </w:rPr>
        <w:t>систему.</w:t>
      </w:r>
    </w:p>
    <w:p>
      <w:pPr>
        <w:pStyle w:val="BodyText"/>
        <w:spacing w:line="232" w:lineRule="auto"/>
        <w:ind w:right="38" w:firstLine="396"/>
      </w:pPr>
      <w:r>
        <w:rPr>
          <w:color w:val="231F20"/>
        </w:rPr>
        <w:t>Препоруке за наставак активности ПД ТЕКО у складу са до- маћом </w:t>
      </w:r>
      <w:r>
        <w:rPr>
          <w:color w:val="231F20"/>
          <w:spacing w:val="-4"/>
        </w:rPr>
        <w:t>еколошком </w:t>
      </w:r>
      <w:r>
        <w:rPr>
          <w:color w:val="231F20"/>
        </w:rPr>
        <w:t>регулативом. </w:t>
      </w:r>
      <w:r>
        <w:rPr>
          <w:color w:val="231F20"/>
          <w:spacing w:val="-3"/>
        </w:rPr>
        <w:t>Закон </w:t>
      </w:r>
      <w:r>
        <w:rPr>
          <w:color w:val="231F20"/>
        </w:rPr>
        <w:t>о интегрисаној дозволи за енергетски сектор одређује рок до 2017. </w:t>
      </w:r>
      <w:r>
        <w:rPr>
          <w:color w:val="231F20"/>
          <w:spacing w:val="-3"/>
        </w:rPr>
        <w:t>године </w:t>
      </w:r>
      <w:r>
        <w:rPr>
          <w:color w:val="231F20"/>
        </w:rPr>
        <w:t>за увођење огра- ничења</w:t>
      </w:r>
      <w:r>
        <w:rPr>
          <w:color w:val="231F20"/>
          <w:spacing w:val="-10"/>
        </w:rPr>
        <w:t> </w:t>
      </w:r>
      <w:r>
        <w:rPr>
          <w:color w:val="231F20"/>
        </w:rPr>
        <w:t>прекограничних</w:t>
      </w:r>
      <w:r>
        <w:rPr>
          <w:color w:val="231F20"/>
          <w:spacing w:val="-10"/>
        </w:rPr>
        <w:t> </w:t>
      </w:r>
      <w:r>
        <w:rPr>
          <w:color w:val="231F20"/>
        </w:rPr>
        <w:t>вредности</w:t>
      </w:r>
      <w:r>
        <w:rPr>
          <w:color w:val="231F20"/>
          <w:spacing w:val="-10"/>
        </w:rPr>
        <w:t> </w:t>
      </w:r>
      <w:r>
        <w:rPr>
          <w:color w:val="231F20"/>
        </w:rPr>
        <w:t>емисије</w:t>
      </w:r>
      <w:r>
        <w:rPr>
          <w:color w:val="231F20"/>
          <w:spacing w:val="-10"/>
        </w:rPr>
        <w:t> </w:t>
      </w:r>
      <w:r>
        <w:rPr>
          <w:color w:val="231F20"/>
        </w:rPr>
        <w:t>загађујућих</w:t>
      </w:r>
      <w:r>
        <w:rPr>
          <w:color w:val="231F20"/>
          <w:spacing w:val="-10"/>
        </w:rPr>
        <w:t> </w:t>
      </w:r>
      <w:r>
        <w:rPr>
          <w:color w:val="231F20"/>
        </w:rPr>
        <w:t>материја</w:t>
      </w:r>
      <w:r>
        <w:rPr>
          <w:color w:val="231F20"/>
          <w:spacing w:val="-10"/>
        </w:rPr>
        <w:t> </w:t>
      </w:r>
      <w:r>
        <w:rPr>
          <w:color w:val="231F20"/>
        </w:rPr>
        <w:t>у ваздух,</w:t>
      </w:r>
      <w:r>
        <w:rPr>
          <w:color w:val="231F20"/>
          <w:spacing w:val="-9"/>
        </w:rPr>
        <w:t> </w:t>
      </w:r>
      <w:r>
        <w:rPr>
          <w:color w:val="231F20"/>
        </w:rPr>
        <w:t>воде,</w:t>
      </w:r>
      <w:r>
        <w:rPr>
          <w:color w:val="231F20"/>
          <w:spacing w:val="-9"/>
        </w:rPr>
        <w:t> </w:t>
      </w:r>
      <w:r>
        <w:rPr>
          <w:color w:val="231F20"/>
        </w:rPr>
        <w:t>земљиште.</w:t>
      </w:r>
      <w:r>
        <w:rPr>
          <w:color w:val="231F20"/>
          <w:spacing w:val="-9"/>
        </w:rPr>
        <w:t> </w:t>
      </w:r>
      <w:r>
        <w:rPr>
          <w:color w:val="231F20"/>
        </w:rPr>
        <w:t>ПД</w:t>
      </w:r>
      <w:r>
        <w:rPr>
          <w:color w:val="231F20"/>
          <w:spacing w:val="-9"/>
        </w:rPr>
        <w:t> </w:t>
      </w:r>
      <w:r>
        <w:rPr>
          <w:color w:val="231F20"/>
        </w:rPr>
        <w:t>ТЕКО</w:t>
      </w:r>
      <w:r>
        <w:rPr>
          <w:color w:val="231F20"/>
          <w:spacing w:val="-9"/>
        </w:rPr>
        <w:t> </w:t>
      </w:r>
      <w:r>
        <w:rPr>
          <w:color w:val="231F20"/>
        </w:rPr>
        <w:t>предузима</w:t>
      </w:r>
      <w:r>
        <w:rPr>
          <w:color w:val="231F20"/>
          <w:spacing w:val="-9"/>
        </w:rPr>
        <w:t> </w:t>
      </w:r>
      <w:r>
        <w:rPr>
          <w:color w:val="231F20"/>
        </w:rPr>
        <w:t>опсежне</w:t>
      </w:r>
      <w:r>
        <w:rPr>
          <w:color w:val="231F20"/>
          <w:spacing w:val="-9"/>
        </w:rPr>
        <w:t> </w:t>
      </w:r>
      <w:r>
        <w:rPr>
          <w:color w:val="231F20"/>
        </w:rPr>
        <w:t>активности и припреме за примену низа мера и нових пројеката у области за- штите животне средине, као део укупног „развојног пакета” </w:t>
      </w:r>
      <w:r>
        <w:rPr>
          <w:color w:val="231F20"/>
          <w:spacing w:val="-4"/>
        </w:rPr>
        <w:t>ком- </w:t>
      </w:r>
      <w:r>
        <w:rPr>
          <w:color w:val="231F20"/>
        </w:rPr>
        <w:t>паније, све на основу европских</w:t>
      </w:r>
      <w:r>
        <w:rPr>
          <w:color w:val="231F20"/>
          <w:spacing w:val="-3"/>
        </w:rPr>
        <w:t> </w:t>
      </w:r>
      <w:r>
        <w:rPr>
          <w:color w:val="231F20"/>
        </w:rPr>
        <w:t>стандарда.</w:t>
      </w:r>
    </w:p>
    <w:p>
      <w:pPr>
        <w:pStyle w:val="BodyText"/>
        <w:spacing w:line="232" w:lineRule="auto"/>
        <w:ind w:right="38" w:firstLine="397"/>
      </w:pPr>
      <w:r>
        <w:rPr>
          <w:color w:val="231F20"/>
        </w:rPr>
        <w:t>Препоруке усклађивања са климатским променама у тер- моенергетском </w:t>
      </w:r>
      <w:r>
        <w:rPr>
          <w:color w:val="231F20"/>
          <w:spacing w:val="-4"/>
        </w:rPr>
        <w:t>сектору. </w:t>
      </w:r>
      <w:r>
        <w:rPr>
          <w:color w:val="231F20"/>
        </w:rPr>
        <w:t>Рударство је велики корисник енергије, земљишта, вода и других ресурса. Утицаји климатских промена су врло важни јер подразумевају промене регулативе, трошкове промена и усклађивања, ограничења инфраструктуре, политич- ку нестабилност, </w:t>
      </w:r>
      <w:r>
        <w:rPr>
          <w:color w:val="231F20"/>
          <w:spacing w:val="-3"/>
        </w:rPr>
        <w:t>наглу </w:t>
      </w:r>
      <w:r>
        <w:rPr>
          <w:color w:val="231F20"/>
        </w:rPr>
        <w:t>измену понашања потрошача и стратешке ризике пословања у складу са новим развојним модусом </w:t>
      </w:r>
      <w:r>
        <w:rPr>
          <w:color w:val="231F20"/>
          <w:spacing w:val="-3"/>
        </w:rPr>
        <w:t>рудар- </w:t>
      </w:r>
      <w:r>
        <w:rPr>
          <w:color w:val="231F20"/>
        </w:rPr>
        <w:t>ства и  индустрије ка присилном  увођењу  угљеничке економи-  је и пословања. Климатске промене у основи генеришу два типа ризика – дугорочни, због физичких промена климе и утицаја на производњу у </w:t>
      </w:r>
      <w:r>
        <w:rPr>
          <w:color w:val="231F20"/>
          <w:spacing w:val="-4"/>
        </w:rPr>
        <w:t>сектору, </w:t>
      </w:r>
      <w:r>
        <w:rPr>
          <w:color w:val="231F20"/>
        </w:rPr>
        <w:t>и дугорочни, </w:t>
      </w:r>
      <w:r>
        <w:rPr>
          <w:color w:val="231F20"/>
          <w:spacing w:val="-3"/>
        </w:rPr>
        <w:t>људски </w:t>
      </w:r>
      <w:r>
        <w:rPr>
          <w:color w:val="231F20"/>
        </w:rPr>
        <w:t>напори кроз мере по- литике и креирање регулације и неизвесности њиховог утицаја  на </w:t>
      </w:r>
      <w:r>
        <w:rPr>
          <w:color w:val="231F20"/>
          <w:spacing w:val="-3"/>
        </w:rPr>
        <w:t>производњу. Главни </w:t>
      </w:r>
      <w:r>
        <w:rPr>
          <w:color w:val="231F20"/>
        </w:rPr>
        <w:t>ризици политике укључују: а) повећање цена угљеника и других гасова „зелене баште”, б) минимум тех- нолошких стандарда, в) публицитет и јавност у истраживањима  и </w:t>
      </w:r>
      <w:r>
        <w:rPr>
          <w:color w:val="231F20"/>
          <w:spacing w:val="-3"/>
        </w:rPr>
        <w:t>развоју, </w:t>
      </w:r>
      <w:r>
        <w:rPr>
          <w:color w:val="231F20"/>
        </w:rPr>
        <w:t>г) нови интернационални фокус на прилагођавање по- словања. Тежак почетак реализације Кјото </w:t>
      </w:r>
      <w:r>
        <w:rPr>
          <w:color w:val="231F20"/>
          <w:spacing w:val="-3"/>
        </w:rPr>
        <w:t>протокола </w:t>
      </w:r>
      <w:r>
        <w:rPr>
          <w:color w:val="231F20"/>
        </w:rPr>
        <w:t>утицао је да се земље </w:t>
      </w:r>
      <w:r>
        <w:rPr>
          <w:color w:val="231F20"/>
          <w:spacing w:val="-3"/>
        </w:rPr>
        <w:t>углавном </w:t>
      </w:r>
      <w:r>
        <w:rPr>
          <w:color w:val="231F20"/>
        </w:rPr>
        <w:t>одлучују за уговор као облик прилагођавања на улогу климатских промена. Прилагођавање подразумева укљу- чивање захтева климатских промена у великим мултилатералним банкарским</w:t>
      </w:r>
      <w:r>
        <w:rPr>
          <w:color w:val="231F20"/>
          <w:spacing w:val="-8"/>
        </w:rPr>
        <w:t> </w:t>
      </w:r>
      <w:r>
        <w:rPr>
          <w:color w:val="231F20"/>
        </w:rPr>
        <w:t>одлукама</w:t>
      </w:r>
      <w:r>
        <w:rPr>
          <w:color w:val="231F20"/>
          <w:spacing w:val="-8"/>
        </w:rPr>
        <w:t> </w:t>
      </w:r>
      <w:r>
        <w:rPr>
          <w:color w:val="231F20"/>
        </w:rPr>
        <w:t>о</w:t>
      </w:r>
      <w:r>
        <w:rPr>
          <w:color w:val="231F20"/>
          <w:spacing w:val="-8"/>
        </w:rPr>
        <w:t> </w:t>
      </w:r>
      <w:r>
        <w:rPr>
          <w:color w:val="231F20"/>
        </w:rPr>
        <w:t>зајмовима</w:t>
      </w:r>
      <w:r>
        <w:rPr>
          <w:color w:val="231F20"/>
          <w:spacing w:val="-8"/>
        </w:rPr>
        <w:t> </w:t>
      </w:r>
      <w:r>
        <w:rPr>
          <w:color w:val="231F20"/>
          <w:spacing w:val="-3"/>
        </w:rPr>
        <w:t>који</w:t>
      </w:r>
      <w:r>
        <w:rPr>
          <w:color w:val="231F20"/>
          <w:spacing w:val="-8"/>
        </w:rPr>
        <w:t> </w:t>
      </w:r>
      <w:r>
        <w:rPr>
          <w:color w:val="231F20"/>
        </w:rPr>
        <w:t>могу</w:t>
      </w:r>
      <w:r>
        <w:rPr>
          <w:color w:val="231F20"/>
          <w:spacing w:val="-8"/>
        </w:rPr>
        <w:t> </w:t>
      </w:r>
      <w:r>
        <w:rPr>
          <w:color w:val="231F20"/>
        </w:rPr>
        <w:t>негативно</w:t>
      </w:r>
      <w:r>
        <w:rPr>
          <w:color w:val="231F20"/>
          <w:spacing w:val="-8"/>
        </w:rPr>
        <w:t> </w:t>
      </w:r>
      <w:r>
        <w:rPr>
          <w:color w:val="231F20"/>
        </w:rPr>
        <w:t>да</w:t>
      </w:r>
      <w:r>
        <w:rPr>
          <w:color w:val="231F20"/>
          <w:spacing w:val="-8"/>
        </w:rPr>
        <w:t> </w:t>
      </w:r>
      <w:r>
        <w:rPr>
          <w:color w:val="231F20"/>
        </w:rPr>
        <w:t>утичу</w:t>
      </w:r>
      <w:r>
        <w:rPr>
          <w:color w:val="231F20"/>
          <w:spacing w:val="-8"/>
        </w:rPr>
        <w:t> </w:t>
      </w:r>
      <w:r>
        <w:rPr>
          <w:color w:val="231F20"/>
        </w:rPr>
        <w:t>на енергетске и саобраћајне инфраструктурне пројекте због високих емисија фосилних горива (угљеника и друго). Владе земаља пове- ћавају подстицаје у истраживање и развој алтернативних горива, обновљиве енергије и у развој нискоугљеничких алтернатива. Не- извесно је каква ће бити динамика примене резултата кроз парт- нерство јавног и приватног сектора. Земље </w:t>
      </w:r>
      <w:r>
        <w:rPr>
          <w:color w:val="231F20"/>
          <w:spacing w:val="-3"/>
        </w:rPr>
        <w:t>које </w:t>
      </w:r>
      <w:r>
        <w:rPr>
          <w:color w:val="231F20"/>
        </w:rPr>
        <w:t>имају угаљ екс- тензивније примењују резултате. Минимум стандарда је најлакши начин</w:t>
      </w:r>
      <w:r>
        <w:rPr>
          <w:color w:val="231F20"/>
          <w:spacing w:val="-7"/>
        </w:rPr>
        <w:t> </w:t>
      </w:r>
      <w:r>
        <w:rPr>
          <w:color w:val="231F20"/>
        </w:rPr>
        <w:t>регулације</w:t>
      </w:r>
      <w:r>
        <w:rPr>
          <w:color w:val="231F20"/>
          <w:spacing w:val="-7"/>
        </w:rPr>
        <w:t> </w:t>
      </w:r>
      <w:r>
        <w:rPr>
          <w:color w:val="231F20"/>
        </w:rPr>
        <w:t>климатских</w:t>
      </w:r>
      <w:r>
        <w:rPr>
          <w:color w:val="231F20"/>
          <w:spacing w:val="-7"/>
        </w:rPr>
        <w:t> </w:t>
      </w:r>
      <w:r>
        <w:rPr>
          <w:color w:val="231F20"/>
        </w:rPr>
        <w:t>промена</w:t>
      </w:r>
      <w:r>
        <w:rPr>
          <w:color w:val="231F20"/>
          <w:spacing w:val="-7"/>
        </w:rPr>
        <w:t> </w:t>
      </w:r>
      <w:r>
        <w:rPr>
          <w:color w:val="231F20"/>
        </w:rPr>
        <w:t>на</w:t>
      </w:r>
      <w:r>
        <w:rPr>
          <w:color w:val="231F20"/>
          <w:spacing w:val="-7"/>
        </w:rPr>
        <w:t> </w:t>
      </w:r>
      <w:r>
        <w:rPr>
          <w:color w:val="231F20"/>
        </w:rPr>
        <w:t>националном</w:t>
      </w:r>
      <w:r>
        <w:rPr>
          <w:color w:val="231F20"/>
          <w:spacing w:val="-7"/>
        </w:rPr>
        <w:t> </w:t>
      </w:r>
      <w:r>
        <w:rPr>
          <w:color w:val="231F20"/>
        </w:rPr>
        <w:t>и</w:t>
      </w:r>
      <w:r>
        <w:rPr>
          <w:color w:val="231F20"/>
          <w:spacing w:val="-7"/>
        </w:rPr>
        <w:t> </w:t>
      </w:r>
      <w:r>
        <w:rPr>
          <w:color w:val="231F20"/>
        </w:rPr>
        <w:t>интерна- ционалном </w:t>
      </w:r>
      <w:r>
        <w:rPr>
          <w:color w:val="231F20"/>
          <w:spacing w:val="-5"/>
        </w:rPr>
        <w:t>нивоу.  </w:t>
      </w:r>
      <w:r>
        <w:rPr>
          <w:color w:val="231F20"/>
        </w:rPr>
        <w:t>Корисно је и у случају </w:t>
      </w:r>
      <w:r>
        <w:rPr>
          <w:color w:val="231F20"/>
          <w:spacing w:val="-4"/>
        </w:rPr>
        <w:t>ако </w:t>
      </w:r>
      <w:r>
        <w:rPr>
          <w:color w:val="231F20"/>
        </w:rPr>
        <w:t>трговање</w:t>
      </w:r>
      <w:r>
        <w:rPr>
          <w:color w:val="231F20"/>
          <w:spacing w:val="32"/>
        </w:rPr>
        <w:t> </w:t>
      </w:r>
      <w:r>
        <w:rPr>
          <w:color w:val="231F20"/>
        </w:rPr>
        <w:t>емисијама</w:t>
      </w:r>
    </w:p>
    <w:p>
      <w:pPr>
        <w:pStyle w:val="BodyText"/>
        <w:spacing w:line="211" w:lineRule="auto"/>
        <w:ind w:right="39"/>
      </w:pPr>
      <w:r>
        <w:rPr>
          <w:color w:val="231F20"/>
        </w:rPr>
        <w:t>CО</w:t>
      </w:r>
      <w:r>
        <w:rPr>
          <w:color w:val="231F20"/>
          <w:position w:val="-5"/>
          <w:sz w:val="10"/>
        </w:rPr>
        <w:t>2 </w:t>
      </w:r>
      <w:r>
        <w:rPr>
          <w:color w:val="231F20"/>
        </w:rPr>
        <w:t>ишчезне или постане постојано и одрживо у примени. Оче- кује се да ће преплитање политика на националном, субнационал- ном, регионалном тржишту повећати цене емисије угљеника. Та</w:t>
      </w:r>
    </w:p>
    <w:p>
      <w:pPr>
        <w:pStyle w:val="BodyText"/>
        <w:spacing w:line="232" w:lineRule="auto"/>
        <w:ind w:left="169" w:right="39"/>
      </w:pPr>
      <w:r>
        <w:rPr>
          <w:color w:val="231F20"/>
        </w:rPr>
        <w:t>политика</w:t>
      </w:r>
      <w:r>
        <w:rPr>
          <w:color w:val="231F20"/>
          <w:spacing w:val="-4"/>
        </w:rPr>
        <w:t> </w:t>
      </w:r>
      <w:r>
        <w:rPr>
          <w:color w:val="231F20"/>
        </w:rPr>
        <w:t>може</w:t>
      </w:r>
      <w:r>
        <w:rPr>
          <w:color w:val="231F20"/>
          <w:spacing w:val="-4"/>
        </w:rPr>
        <w:t> </w:t>
      </w:r>
      <w:r>
        <w:rPr>
          <w:color w:val="231F20"/>
        </w:rPr>
        <w:t>да</w:t>
      </w:r>
      <w:r>
        <w:rPr>
          <w:color w:val="231F20"/>
          <w:spacing w:val="-4"/>
        </w:rPr>
        <w:t> </w:t>
      </w:r>
      <w:r>
        <w:rPr>
          <w:color w:val="231F20"/>
        </w:rPr>
        <w:t>утиче</w:t>
      </w:r>
      <w:r>
        <w:rPr>
          <w:color w:val="231F20"/>
          <w:spacing w:val="-4"/>
        </w:rPr>
        <w:t> </w:t>
      </w:r>
      <w:r>
        <w:rPr>
          <w:color w:val="231F20"/>
        </w:rPr>
        <w:t>експлицитно</w:t>
      </w:r>
      <w:r>
        <w:rPr>
          <w:color w:val="231F20"/>
          <w:spacing w:val="-5"/>
        </w:rPr>
        <w:t> </w:t>
      </w:r>
      <w:r>
        <w:rPr>
          <w:color w:val="231F20"/>
          <w:spacing w:val="-3"/>
        </w:rPr>
        <w:t>преко</w:t>
      </w:r>
      <w:r>
        <w:rPr>
          <w:color w:val="231F20"/>
          <w:spacing w:val="-4"/>
        </w:rPr>
        <w:t> </w:t>
      </w:r>
      <w:r>
        <w:rPr>
          <w:color w:val="231F20"/>
        </w:rPr>
        <w:t>пореза</w:t>
      </w:r>
      <w:r>
        <w:rPr>
          <w:color w:val="231F20"/>
          <w:spacing w:val="-5"/>
        </w:rPr>
        <w:t> </w:t>
      </w:r>
      <w:r>
        <w:rPr>
          <w:color w:val="231F20"/>
        </w:rPr>
        <w:t>на</w:t>
      </w:r>
      <w:r>
        <w:rPr>
          <w:color w:val="231F20"/>
          <w:spacing w:val="-5"/>
        </w:rPr>
        <w:t> </w:t>
      </w:r>
      <w:r>
        <w:rPr>
          <w:color w:val="231F20"/>
        </w:rPr>
        <w:t>угљеник,</w:t>
      </w:r>
      <w:r>
        <w:rPr>
          <w:color w:val="231F20"/>
          <w:spacing w:val="-5"/>
        </w:rPr>
        <w:t> </w:t>
      </w:r>
      <w:r>
        <w:rPr>
          <w:color w:val="231F20"/>
        </w:rPr>
        <w:t>на гориво,</w:t>
      </w:r>
      <w:r>
        <w:rPr>
          <w:color w:val="231F20"/>
          <w:spacing w:val="-12"/>
        </w:rPr>
        <w:t> </w:t>
      </w:r>
      <w:r>
        <w:rPr>
          <w:color w:val="231F20"/>
        </w:rPr>
        <w:t>енергетског</w:t>
      </w:r>
      <w:r>
        <w:rPr>
          <w:color w:val="231F20"/>
          <w:spacing w:val="-12"/>
        </w:rPr>
        <w:t> </w:t>
      </w:r>
      <w:r>
        <w:rPr>
          <w:color w:val="231F20"/>
        </w:rPr>
        <w:t>пореза,</w:t>
      </w:r>
      <w:r>
        <w:rPr>
          <w:color w:val="231F20"/>
          <w:spacing w:val="-12"/>
        </w:rPr>
        <w:t> </w:t>
      </w:r>
      <w:r>
        <w:rPr>
          <w:color w:val="231F20"/>
        </w:rPr>
        <w:t>или</w:t>
      </w:r>
      <w:r>
        <w:rPr>
          <w:color w:val="231F20"/>
          <w:spacing w:val="-12"/>
        </w:rPr>
        <w:t> </w:t>
      </w:r>
      <w:r>
        <w:rPr>
          <w:color w:val="231F20"/>
        </w:rPr>
        <w:t>имплицитно</w:t>
      </w:r>
      <w:r>
        <w:rPr>
          <w:color w:val="231F20"/>
          <w:spacing w:val="12"/>
        </w:rPr>
        <w:t> </w:t>
      </w:r>
      <w:r>
        <w:rPr>
          <w:color w:val="231F20"/>
        </w:rPr>
        <w:t>–</w:t>
      </w:r>
      <w:r>
        <w:rPr>
          <w:color w:val="231F20"/>
          <w:spacing w:val="-12"/>
        </w:rPr>
        <w:t> </w:t>
      </w:r>
      <w:r>
        <w:rPr>
          <w:color w:val="231F20"/>
          <w:spacing w:val="-3"/>
        </w:rPr>
        <w:t>преко</w:t>
      </w:r>
      <w:r>
        <w:rPr>
          <w:color w:val="231F20"/>
          <w:spacing w:val="-12"/>
        </w:rPr>
        <w:t> </w:t>
      </w:r>
      <w:r>
        <w:rPr>
          <w:color w:val="231F20"/>
        </w:rPr>
        <w:t>система</w:t>
      </w:r>
      <w:r>
        <w:rPr>
          <w:color w:val="231F20"/>
          <w:spacing w:val="-12"/>
        </w:rPr>
        <w:t> </w:t>
      </w:r>
      <w:r>
        <w:rPr>
          <w:color w:val="231F20"/>
        </w:rPr>
        <w:t>трго- вања емисијама. Док систем трговања емисијама добија све више пажње, цене угљеника у овом систему су неизвесније за предви- ђање за разлику </w:t>
      </w:r>
      <w:r>
        <w:rPr>
          <w:color w:val="231F20"/>
          <w:spacing w:val="-3"/>
        </w:rPr>
        <w:t>од </w:t>
      </w:r>
      <w:r>
        <w:rPr>
          <w:color w:val="231F20"/>
        </w:rPr>
        <w:t>цена угљеника према систему пореза, </w:t>
      </w:r>
      <w:r>
        <w:rPr>
          <w:color w:val="231F20"/>
          <w:spacing w:val="-3"/>
        </w:rPr>
        <w:t>које </w:t>
      </w:r>
      <w:r>
        <w:rPr>
          <w:color w:val="231F20"/>
        </w:rPr>
        <w:t>су предвидљивије. У средњерочном периоду тражња за кредитним емисијама је врло неизвесна јер зависи </w:t>
      </w:r>
      <w:r>
        <w:rPr>
          <w:color w:val="231F20"/>
          <w:spacing w:val="-3"/>
        </w:rPr>
        <w:t>од </w:t>
      </w:r>
      <w:r>
        <w:rPr>
          <w:color w:val="231F20"/>
        </w:rPr>
        <w:t>великог броја учесни- ка (Русија, Кина, Сједињене Америчке Државе, Индија и друге) и степена технолошких</w:t>
      </w:r>
      <w:r>
        <w:rPr>
          <w:color w:val="231F20"/>
          <w:spacing w:val="-3"/>
        </w:rPr>
        <w:t> </w:t>
      </w:r>
      <w:r>
        <w:rPr>
          <w:color w:val="231F20"/>
        </w:rPr>
        <w:t>промена.</w:t>
      </w:r>
    </w:p>
    <w:p>
      <w:pPr>
        <w:pStyle w:val="BodyText"/>
        <w:spacing w:line="232" w:lineRule="auto"/>
        <w:ind w:left="169" w:right="39" w:firstLine="397"/>
      </w:pPr>
      <w:r>
        <w:rPr>
          <w:color w:val="231F20"/>
        </w:rPr>
        <w:t>Питање климатских промена се шири и напредовањем упра- вљања ризиком регулације. У будућности можемо да очекујемо означавање угљеника на производима, трговину угљеником ши- ром света, чврсту регулацију и „тешке” порезе на угљеник. Ком- паније морају да донесу одлуке о томе шта желе да буду у новој ниско-угљеничкој економији. Већина компанија ће да прихвати минималну одговорност и да следи регулативу или да радикално</w:t>
      </w:r>
    </w:p>
    <w:p>
      <w:pPr>
        <w:pStyle w:val="BodyText"/>
        <w:spacing w:line="232" w:lineRule="auto" w:before="72"/>
        <w:ind w:left="169" w:right="412"/>
      </w:pPr>
      <w:r>
        <w:rPr/>
        <w:br w:type="column"/>
      </w:r>
      <w:r>
        <w:rPr>
          <w:color w:val="231F20"/>
        </w:rPr>
        <w:t>смањи угљеничку интензивност </w:t>
      </w:r>
      <w:r>
        <w:rPr>
          <w:color w:val="231F20"/>
          <w:spacing w:val="-3"/>
        </w:rPr>
        <w:t>нудећи </w:t>
      </w:r>
      <w:r>
        <w:rPr>
          <w:color w:val="231F20"/>
        </w:rPr>
        <w:t>одрживе производе, стра- тегију</w:t>
      </w:r>
      <w:r>
        <w:rPr>
          <w:color w:val="231F20"/>
          <w:spacing w:val="-8"/>
        </w:rPr>
        <w:t> </w:t>
      </w:r>
      <w:r>
        <w:rPr>
          <w:color w:val="231F20"/>
        </w:rPr>
        <w:t>проширења</w:t>
      </w:r>
      <w:r>
        <w:rPr>
          <w:color w:val="231F20"/>
          <w:spacing w:val="-8"/>
        </w:rPr>
        <w:t> </w:t>
      </w:r>
      <w:r>
        <w:rPr>
          <w:color w:val="231F20"/>
        </w:rPr>
        <w:t>или</w:t>
      </w:r>
      <w:r>
        <w:rPr>
          <w:color w:val="231F20"/>
          <w:spacing w:val="-8"/>
        </w:rPr>
        <w:t> </w:t>
      </w:r>
      <w:r>
        <w:rPr>
          <w:color w:val="231F20"/>
        </w:rPr>
        <w:t>омекшавања</w:t>
      </w:r>
      <w:r>
        <w:rPr>
          <w:color w:val="231F20"/>
          <w:spacing w:val="-8"/>
        </w:rPr>
        <w:t> </w:t>
      </w:r>
      <w:r>
        <w:rPr>
          <w:color w:val="231F20"/>
        </w:rPr>
        <w:t>кроз</w:t>
      </w:r>
      <w:r>
        <w:rPr>
          <w:color w:val="231F20"/>
          <w:spacing w:val="-8"/>
        </w:rPr>
        <w:t> </w:t>
      </w:r>
      <w:r>
        <w:rPr>
          <w:color w:val="231F20"/>
        </w:rPr>
        <w:t>угљеничко</w:t>
      </w:r>
      <w:r>
        <w:rPr>
          <w:color w:val="231F20"/>
          <w:spacing w:val="-8"/>
        </w:rPr>
        <w:t> </w:t>
      </w:r>
      <w:r>
        <w:rPr>
          <w:color w:val="231F20"/>
        </w:rPr>
        <w:t>складиштење. Климатске промене омогућавају услуге трансфера вештина али отварају и нове неизвесности. Светска криза и планови за </w:t>
      </w:r>
      <w:r>
        <w:rPr>
          <w:color w:val="231F20"/>
          <w:spacing w:val="-3"/>
        </w:rPr>
        <w:t>економ- </w:t>
      </w:r>
      <w:r>
        <w:rPr>
          <w:color w:val="231F20"/>
        </w:rPr>
        <w:t>ски опоравак земаља показују да ера фосилних горива још није готова. Због сигурности снабдевања и </w:t>
      </w:r>
      <w:r>
        <w:rPr>
          <w:color w:val="231F20"/>
          <w:spacing w:val="-3"/>
        </w:rPr>
        <w:t>економског </w:t>
      </w:r>
      <w:r>
        <w:rPr>
          <w:color w:val="231F20"/>
        </w:rPr>
        <w:t>раста, угаљ ће се још </w:t>
      </w:r>
      <w:r>
        <w:rPr>
          <w:color w:val="231F20"/>
          <w:spacing w:val="-3"/>
        </w:rPr>
        <w:t>неко </w:t>
      </w:r>
      <w:r>
        <w:rPr>
          <w:color w:val="231F20"/>
        </w:rPr>
        <w:t>време користити. Ниво репозиционирања овог енер- гента</w:t>
      </w:r>
      <w:r>
        <w:rPr>
          <w:color w:val="231F20"/>
          <w:spacing w:val="-7"/>
        </w:rPr>
        <w:t> </w:t>
      </w:r>
      <w:r>
        <w:rPr>
          <w:color w:val="231F20"/>
        </w:rPr>
        <w:t>ће</w:t>
      </w:r>
      <w:r>
        <w:rPr>
          <w:color w:val="231F20"/>
          <w:spacing w:val="-7"/>
        </w:rPr>
        <w:t> </w:t>
      </w:r>
      <w:r>
        <w:rPr>
          <w:color w:val="231F20"/>
        </w:rPr>
        <w:t>варирати</w:t>
      </w:r>
      <w:r>
        <w:rPr>
          <w:color w:val="231F20"/>
          <w:spacing w:val="-7"/>
        </w:rPr>
        <w:t> </w:t>
      </w:r>
      <w:r>
        <w:rPr>
          <w:color w:val="231F20"/>
          <w:spacing w:val="-3"/>
        </w:rPr>
        <w:t>од</w:t>
      </w:r>
      <w:r>
        <w:rPr>
          <w:color w:val="231F20"/>
          <w:spacing w:val="-7"/>
        </w:rPr>
        <w:t> </w:t>
      </w:r>
      <w:r>
        <w:rPr>
          <w:color w:val="231F20"/>
        </w:rPr>
        <w:t>фирме</w:t>
      </w:r>
      <w:r>
        <w:rPr>
          <w:color w:val="231F20"/>
          <w:spacing w:val="-7"/>
        </w:rPr>
        <w:t> </w:t>
      </w:r>
      <w:r>
        <w:rPr>
          <w:color w:val="231F20"/>
        </w:rPr>
        <w:t>до</w:t>
      </w:r>
      <w:r>
        <w:rPr>
          <w:color w:val="231F20"/>
          <w:spacing w:val="-7"/>
        </w:rPr>
        <w:t> </w:t>
      </w:r>
      <w:r>
        <w:rPr>
          <w:color w:val="231F20"/>
        </w:rPr>
        <w:t>фирме</w:t>
      </w:r>
      <w:r>
        <w:rPr>
          <w:color w:val="231F20"/>
          <w:spacing w:val="-7"/>
        </w:rPr>
        <w:t> </w:t>
      </w:r>
      <w:r>
        <w:rPr>
          <w:color w:val="231F20"/>
        </w:rPr>
        <w:t>али</w:t>
      </w:r>
      <w:r>
        <w:rPr>
          <w:color w:val="231F20"/>
          <w:spacing w:val="-7"/>
        </w:rPr>
        <w:t> </w:t>
      </w:r>
      <w:r>
        <w:rPr>
          <w:color w:val="231F20"/>
        </w:rPr>
        <w:t>ће</w:t>
      </w:r>
      <w:r>
        <w:rPr>
          <w:color w:val="231F20"/>
          <w:spacing w:val="-7"/>
        </w:rPr>
        <w:t> </w:t>
      </w:r>
      <w:r>
        <w:rPr>
          <w:color w:val="231F20"/>
        </w:rPr>
        <w:t>већина</w:t>
      </w:r>
      <w:r>
        <w:rPr>
          <w:color w:val="231F20"/>
          <w:spacing w:val="-7"/>
        </w:rPr>
        <w:t> </w:t>
      </w:r>
      <w:r>
        <w:rPr>
          <w:color w:val="231F20"/>
        </w:rPr>
        <w:t>компанија</w:t>
      </w:r>
      <w:r>
        <w:rPr>
          <w:color w:val="231F20"/>
          <w:spacing w:val="-7"/>
        </w:rPr>
        <w:t> </w:t>
      </w:r>
      <w:r>
        <w:rPr>
          <w:color w:val="231F20"/>
        </w:rPr>
        <w:t>ићи ка примени чисте енергије, прилагођавању захтевима </w:t>
      </w:r>
      <w:r>
        <w:rPr>
          <w:color w:val="231F20"/>
          <w:spacing w:val="-2"/>
        </w:rPr>
        <w:t>еколошких </w:t>
      </w:r>
      <w:r>
        <w:rPr>
          <w:color w:val="231F20"/>
        </w:rPr>
        <w:t>пореза, трговања угљеником и означавањем производа са угљени- </w:t>
      </w:r>
      <w:r>
        <w:rPr>
          <w:color w:val="231F20"/>
          <w:spacing w:val="-4"/>
        </w:rPr>
        <w:t>ком.</w:t>
      </w:r>
      <w:r>
        <w:rPr>
          <w:color w:val="231F20"/>
          <w:spacing w:val="-9"/>
        </w:rPr>
        <w:t> </w:t>
      </w:r>
      <w:r>
        <w:rPr>
          <w:color w:val="231F20"/>
        </w:rPr>
        <w:t>Фирме</w:t>
      </w:r>
      <w:r>
        <w:rPr>
          <w:color w:val="231F20"/>
          <w:spacing w:val="-9"/>
        </w:rPr>
        <w:t> </w:t>
      </w:r>
      <w:r>
        <w:rPr>
          <w:color w:val="231F20"/>
          <w:spacing w:val="-3"/>
        </w:rPr>
        <w:t>које</w:t>
      </w:r>
      <w:r>
        <w:rPr>
          <w:color w:val="231F20"/>
          <w:spacing w:val="-9"/>
        </w:rPr>
        <w:t> </w:t>
      </w:r>
      <w:r>
        <w:rPr>
          <w:color w:val="231F20"/>
        </w:rPr>
        <w:t>имају</w:t>
      </w:r>
      <w:r>
        <w:rPr>
          <w:color w:val="231F20"/>
          <w:spacing w:val="-9"/>
        </w:rPr>
        <w:t> </w:t>
      </w:r>
      <w:r>
        <w:rPr>
          <w:color w:val="231F20"/>
        </w:rPr>
        <w:t>ниску</w:t>
      </w:r>
      <w:r>
        <w:rPr>
          <w:color w:val="231F20"/>
          <w:spacing w:val="-9"/>
        </w:rPr>
        <w:t> </w:t>
      </w:r>
      <w:r>
        <w:rPr>
          <w:color w:val="231F20"/>
        </w:rPr>
        <w:t>емисију</w:t>
      </w:r>
      <w:r>
        <w:rPr>
          <w:color w:val="231F20"/>
          <w:spacing w:val="-9"/>
        </w:rPr>
        <w:t> </w:t>
      </w:r>
      <w:r>
        <w:rPr>
          <w:color w:val="231F20"/>
        </w:rPr>
        <w:t>угљеника</w:t>
      </w:r>
      <w:r>
        <w:rPr>
          <w:color w:val="231F20"/>
          <w:spacing w:val="-9"/>
        </w:rPr>
        <w:t> </w:t>
      </w:r>
      <w:r>
        <w:rPr>
          <w:color w:val="231F20"/>
        </w:rPr>
        <w:t>или</w:t>
      </w:r>
      <w:r>
        <w:rPr>
          <w:color w:val="231F20"/>
          <w:spacing w:val="-9"/>
        </w:rPr>
        <w:t> </w:t>
      </w:r>
      <w:r>
        <w:rPr>
          <w:color w:val="231F20"/>
        </w:rPr>
        <w:t>користе</w:t>
      </w:r>
      <w:r>
        <w:rPr>
          <w:color w:val="231F20"/>
          <w:spacing w:val="-9"/>
        </w:rPr>
        <w:t> </w:t>
      </w:r>
      <w:r>
        <w:rPr>
          <w:color w:val="231F20"/>
        </w:rPr>
        <w:t>ниско- угљеничке изворе енергије имаће конкурентску</w:t>
      </w:r>
      <w:r>
        <w:rPr>
          <w:color w:val="231F20"/>
          <w:spacing w:val="-12"/>
        </w:rPr>
        <w:t> </w:t>
      </w:r>
      <w:r>
        <w:rPr>
          <w:color w:val="231F20"/>
        </w:rPr>
        <w:t>предност.</w:t>
      </w:r>
    </w:p>
    <w:p>
      <w:pPr>
        <w:pStyle w:val="BodyText"/>
        <w:spacing w:line="206" w:lineRule="auto" w:before="11"/>
        <w:ind w:right="411" w:firstLine="395"/>
      </w:pPr>
      <w:r>
        <w:rPr>
          <w:color w:val="231F20"/>
        </w:rPr>
        <w:t>Препоруке за захватање и складиштење CО</w:t>
      </w:r>
      <w:r>
        <w:rPr>
          <w:color w:val="231F20"/>
          <w:position w:val="-5"/>
          <w:sz w:val="10"/>
        </w:rPr>
        <w:t>2</w:t>
      </w:r>
      <w:r>
        <w:rPr>
          <w:color w:val="231F20"/>
        </w:rPr>
        <w:t>. Према подаци- ма европске асоцијације за угаљ (Fifth Coal Dialog, 2009) климат- ски</w:t>
      </w:r>
      <w:r>
        <w:rPr>
          <w:color w:val="231F20"/>
          <w:spacing w:val="-6"/>
        </w:rPr>
        <w:t> </w:t>
      </w:r>
      <w:r>
        <w:rPr>
          <w:color w:val="231F20"/>
        </w:rPr>
        <w:t>пакет</w:t>
      </w:r>
      <w:r>
        <w:rPr>
          <w:color w:val="231F20"/>
          <w:spacing w:val="-6"/>
        </w:rPr>
        <w:t> </w:t>
      </w:r>
      <w:r>
        <w:rPr>
          <w:color w:val="231F20"/>
        </w:rPr>
        <w:t>ЕУ</w:t>
      </w:r>
      <w:r>
        <w:rPr>
          <w:color w:val="231F20"/>
          <w:spacing w:val="-6"/>
        </w:rPr>
        <w:t> </w:t>
      </w:r>
      <w:r>
        <w:rPr>
          <w:color w:val="231F20"/>
        </w:rPr>
        <w:t>прихваћен</w:t>
      </w:r>
      <w:r>
        <w:rPr>
          <w:color w:val="231F20"/>
          <w:spacing w:val="-6"/>
        </w:rPr>
        <w:t> </w:t>
      </w:r>
      <w:r>
        <w:rPr>
          <w:color w:val="231F20"/>
        </w:rPr>
        <w:t>је</w:t>
      </w:r>
      <w:r>
        <w:rPr>
          <w:color w:val="231F20"/>
          <w:spacing w:val="-6"/>
        </w:rPr>
        <w:t> </w:t>
      </w:r>
      <w:r>
        <w:rPr>
          <w:color w:val="231F20"/>
        </w:rPr>
        <w:t>децембра</w:t>
      </w:r>
      <w:r>
        <w:rPr>
          <w:color w:val="231F20"/>
          <w:spacing w:val="-6"/>
        </w:rPr>
        <w:t> </w:t>
      </w:r>
      <w:r>
        <w:rPr>
          <w:color w:val="231F20"/>
        </w:rPr>
        <w:t>2008.</w:t>
      </w:r>
      <w:r>
        <w:rPr>
          <w:color w:val="231F20"/>
          <w:spacing w:val="-6"/>
        </w:rPr>
        <w:t> </w:t>
      </w:r>
      <w:r>
        <w:rPr>
          <w:color w:val="231F20"/>
        </w:rPr>
        <w:t>године.</w:t>
      </w:r>
      <w:r>
        <w:rPr>
          <w:color w:val="231F20"/>
          <w:spacing w:val="-6"/>
        </w:rPr>
        <w:t> </w:t>
      </w:r>
      <w:r>
        <w:rPr>
          <w:color w:val="231F20"/>
        </w:rPr>
        <w:t>Пакет</w:t>
      </w:r>
      <w:r>
        <w:rPr>
          <w:color w:val="231F20"/>
          <w:spacing w:val="-6"/>
        </w:rPr>
        <w:t> </w:t>
      </w:r>
      <w:r>
        <w:rPr>
          <w:color w:val="231F20"/>
        </w:rPr>
        <w:t>укључује</w:t>
      </w:r>
    </w:p>
    <w:p>
      <w:pPr>
        <w:pStyle w:val="BodyText"/>
        <w:spacing w:line="228" w:lineRule="auto" w:before="5"/>
        <w:ind w:right="410"/>
      </w:pPr>
      <w:r>
        <w:rPr>
          <w:color w:val="231F20"/>
        </w:rPr>
        <w:t>ЕУ ЕТС Директиве (о систему трговања емисијама), Директиве о обновљивим изворима и Директиву о захватању и складиштењу угљеника (CCS). Генерални директорат за транспорт и енерги-    ју Европске Комисије, и Директорат за конвенционалне енергије (European Commission Directorate – General for Energy and Tran- </w:t>
      </w:r>
      <w:r>
        <w:rPr>
          <w:color w:val="231F20"/>
          <w:spacing w:val="-3"/>
        </w:rPr>
        <w:t>spor, </w:t>
      </w:r>
      <w:r>
        <w:rPr>
          <w:color w:val="231F20"/>
        </w:rPr>
        <w:t>Directorate C – Conventional Energies), одлучио је да термо- енергетски капацитети ЕУ до 2020. </w:t>
      </w:r>
      <w:r>
        <w:rPr>
          <w:color w:val="231F20"/>
          <w:spacing w:val="-3"/>
        </w:rPr>
        <w:t>године </w:t>
      </w:r>
      <w:r>
        <w:rPr>
          <w:color w:val="231F20"/>
        </w:rPr>
        <w:t>остваре</w:t>
      </w:r>
      <w:r>
        <w:rPr>
          <w:color w:val="231F20"/>
          <w:spacing w:val="26"/>
        </w:rPr>
        <w:t> </w:t>
      </w:r>
      <w:r>
        <w:rPr>
          <w:color w:val="231F20"/>
        </w:rPr>
        <w:t>радикално</w:t>
      </w:r>
    </w:p>
    <w:p>
      <w:pPr>
        <w:pStyle w:val="BodyText"/>
        <w:spacing w:line="206" w:lineRule="auto" w:before="11"/>
        <w:ind w:right="411" w:firstLine="1"/>
      </w:pPr>
      <w:r>
        <w:rPr>
          <w:color w:val="231F20"/>
        </w:rPr>
        <w:t>смањење емисија CО</w:t>
      </w:r>
      <w:r>
        <w:rPr>
          <w:color w:val="231F20"/>
          <w:position w:val="-5"/>
          <w:sz w:val="10"/>
        </w:rPr>
        <w:t>2</w:t>
      </w:r>
      <w:r>
        <w:rPr>
          <w:color w:val="231F20"/>
        </w:rPr>
        <w:t>. Производни капацитети који користе фо- силна горива независно од типа, ће морати да користе CCS, што постаје генерална обавеза за производњу енергије и за индустрију</w:t>
      </w:r>
    </w:p>
    <w:p>
      <w:pPr>
        <w:pStyle w:val="BodyText"/>
        <w:spacing w:line="228" w:lineRule="auto" w:before="5"/>
        <w:ind w:left="169" w:right="411"/>
      </w:pPr>
      <w:r>
        <w:rPr>
          <w:color w:val="231F20"/>
        </w:rPr>
        <w:t>у Европи. Произвођачи ће морати да плате захватање, транспорт и складиштење угљеника, што треба урадити до 2020. </w:t>
      </w:r>
      <w:r>
        <w:rPr>
          <w:color w:val="231F20"/>
          <w:spacing w:val="-3"/>
        </w:rPr>
        <w:t>године. </w:t>
      </w:r>
      <w:r>
        <w:rPr>
          <w:color w:val="231F20"/>
        </w:rPr>
        <w:t>Концепт CCS је веома поуздана технологија у политици заштите климе због чега се планира мноштво демо-пројеката у пракси. ЕУ охрабрује</w:t>
      </w:r>
      <w:r>
        <w:rPr>
          <w:color w:val="231F20"/>
          <w:spacing w:val="-9"/>
        </w:rPr>
        <w:t> </w:t>
      </w:r>
      <w:r>
        <w:rPr>
          <w:color w:val="231F20"/>
        </w:rPr>
        <w:t>чланице</w:t>
      </w:r>
      <w:r>
        <w:rPr>
          <w:color w:val="231F20"/>
          <w:spacing w:val="-9"/>
        </w:rPr>
        <w:t> </w:t>
      </w:r>
      <w:r>
        <w:rPr>
          <w:color w:val="231F20"/>
        </w:rPr>
        <w:t>да</w:t>
      </w:r>
      <w:r>
        <w:rPr>
          <w:color w:val="231F20"/>
          <w:spacing w:val="-9"/>
        </w:rPr>
        <w:t> </w:t>
      </w:r>
      <w:r>
        <w:rPr>
          <w:color w:val="231F20"/>
        </w:rPr>
        <w:t>суфинансирају</w:t>
      </w:r>
      <w:r>
        <w:rPr>
          <w:color w:val="231F20"/>
          <w:spacing w:val="-9"/>
        </w:rPr>
        <w:t> </w:t>
      </w:r>
      <w:r>
        <w:rPr>
          <w:color w:val="231F20"/>
        </w:rPr>
        <w:t>ове</w:t>
      </w:r>
      <w:r>
        <w:rPr>
          <w:color w:val="231F20"/>
          <w:spacing w:val="-9"/>
        </w:rPr>
        <w:t> </w:t>
      </w:r>
      <w:r>
        <w:rPr>
          <w:color w:val="231F20"/>
        </w:rPr>
        <w:t>пројекте</w:t>
      </w:r>
      <w:r>
        <w:rPr>
          <w:color w:val="231F20"/>
          <w:spacing w:val="-9"/>
        </w:rPr>
        <w:t> </w:t>
      </w:r>
      <w:r>
        <w:rPr>
          <w:color w:val="231F20"/>
        </w:rPr>
        <w:t>из</w:t>
      </w:r>
      <w:r>
        <w:rPr>
          <w:color w:val="231F20"/>
          <w:spacing w:val="-9"/>
        </w:rPr>
        <w:t> </w:t>
      </w:r>
      <w:r>
        <w:rPr>
          <w:color w:val="231F20"/>
        </w:rPr>
        <w:t>јавних</w:t>
      </w:r>
      <w:r>
        <w:rPr>
          <w:color w:val="231F20"/>
          <w:spacing w:val="-9"/>
        </w:rPr>
        <w:t> </w:t>
      </w:r>
      <w:r>
        <w:rPr>
          <w:color w:val="231F20"/>
        </w:rPr>
        <w:t>прихо- да. Одлуке о CCS биће обавезујуће после 2015. године. У јануару 2009. </w:t>
      </w:r>
      <w:r>
        <w:rPr>
          <w:color w:val="231F20"/>
          <w:spacing w:val="-3"/>
        </w:rPr>
        <w:t>године </w:t>
      </w:r>
      <w:r>
        <w:rPr>
          <w:color w:val="231F20"/>
        </w:rPr>
        <w:t>Европска комисија прихватила је Програм опоравка уз предлог да се са 1.25 милијарди евра финансира пет великих CCS пројеката. Према Директиви земље чланице одлучују да ли и </w:t>
      </w:r>
      <w:r>
        <w:rPr>
          <w:color w:val="231F20"/>
          <w:spacing w:val="-4"/>
        </w:rPr>
        <w:t>где </w:t>
      </w:r>
      <w:r>
        <w:rPr>
          <w:color w:val="231F20"/>
        </w:rPr>
        <w:t>ће се градити CCS, односно компаније одлучују да ли ће </w:t>
      </w:r>
      <w:r>
        <w:rPr>
          <w:color w:val="231F20"/>
          <w:spacing w:val="-3"/>
        </w:rPr>
        <w:t>кори- </w:t>
      </w:r>
      <w:r>
        <w:rPr>
          <w:color w:val="231F20"/>
        </w:rPr>
        <w:t>стити CCS на основу услова на тржишту угљеника. Основни ци- љеви</w:t>
      </w:r>
      <w:r>
        <w:rPr>
          <w:color w:val="231F20"/>
          <w:spacing w:val="-5"/>
        </w:rPr>
        <w:t> </w:t>
      </w:r>
      <w:r>
        <w:rPr>
          <w:color w:val="231F20"/>
        </w:rPr>
        <w:t>и</w:t>
      </w:r>
      <w:r>
        <w:rPr>
          <w:color w:val="231F20"/>
          <w:spacing w:val="-5"/>
        </w:rPr>
        <w:t> </w:t>
      </w:r>
      <w:r>
        <w:rPr>
          <w:color w:val="231F20"/>
        </w:rPr>
        <w:t>принципи</w:t>
      </w:r>
      <w:r>
        <w:rPr>
          <w:color w:val="231F20"/>
          <w:spacing w:val="-5"/>
        </w:rPr>
        <w:t> </w:t>
      </w:r>
      <w:r>
        <w:rPr>
          <w:color w:val="231F20"/>
        </w:rPr>
        <w:t>ове</w:t>
      </w:r>
      <w:r>
        <w:rPr>
          <w:color w:val="231F20"/>
          <w:spacing w:val="-5"/>
        </w:rPr>
        <w:t> </w:t>
      </w:r>
      <w:r>
        <w:rPr>
          <w:color w:val="231F20"/>
        </w:rPr>
        <w:t>директиве</w:t>
      </w:r>
      <w:r>
        <w:rPr>
          <w:color w:val="231F20"/>
          <w:spacing w:val="-5"/>
        </w:rPr>
        <w:t> </w:t>
      </w:r>
      <w:r>
        <w:rPr>
          <w:color w:val="231F20"/>
        </w:rPr>
        <w:t>су</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обезбеди</w:t>
      </w:r>
      <w:r>
        <w:rPr>
          <w:color w:val="231F20"/>
          <w:spacing w:val="-5"/>
        </w:rPr>
        <w:t> </w:t>
      </w:r>
      <w:r>
        <w:rPr>
          <w:color w:val="231F20"/>
        </w:rPr>
        <w:t>правни</w:t>
      </w:r>
      <w:r>
        <w:rPr>
          <w:color w:val="231F20"/>
          <w:spacing w:val="-5"/>
        </w:rPr>
        <w:t> </w:t>
      </w:r>
      <w:r>
        <w:rPr>
          <w:color w:val="231F20"/>
        </w:rPr>
        <w:t>оквир</w:t>
      </w:r>
      <w:r>
        <w:rPr>
          <w:color w:val="231F20"/>
          <w:spacing w:val="-5"/>
        </w:rPr>
        <w:t> </w:t>
      </w:r>
      <w:r>
        <w:rPr>
          <w:color w:val="231F20"/>
        </w:rPr>
        <w:t>за управљање</w:t>
      </w:r>
      <w:r>
        <w:rPr>
          <w:color w:val="231F20"/>
          <w:spacing w:val="-11"/>
        </w:rPr>
        <w:t> </w:t>
      </w:r>
      <w:r>
        <w:rPr>
          <w:color w:val="231F20"/>
        </w:rPr>
        <w:t>енвајронменталним</w:t>
      </w:r>
      <w:r>
        <w:rPr>
          <w:color w:val="231F20"/>
          <w:spacing w:val="-10"/>
        </w:rPr>
        <w:t> </w:t>
      </w:r>
      <w:r>
        <w:rPr>
          <w:color w:val="231F20"/>
        </w:rPr>
        <w:t>ризицима,</w:t>
      </w:r>
      <w:r>
        <w:rPr>
          <w:color w:val="231F20"/>
          <w:spacing w:val="-10"/>
        </w:rPr>
        <w:t> </w:t>
      </w:r>
      <w:r>
        <w:rPr>
          <w:color w:val="231F20"/>
        </w:rPr>
        <w:t>прилагођавање</w:t>
      </w:r>
      <w:r>
        <w:rPr>
          <w:color w:val="231F20"/>
          <w:spacing w:val="-11"/>
        </w:rPr>
        <w:t> </w:t>
      </w:r>
      <w:r>
        <w:rPr>
          <w:color w:val="231F20"/>
        </w:rPr>
        <w:t>постоје- ћих правних баријера и коришћење постојећег оквира </w:t>
      </w:r>
      <w:r>
        <w:rPr>
          <w:color w:val="231F20"/>
          <w:spacing w:val="-4"/>
        </w:rPr>
        <w:t>где год </w:t>
      </w:r>
      <w:r>
        <w:rPr>
          <w:color w:val="231F20"/>
        </w:rPr>
        <w:t>је  то могуће. Фокус </w:t>
      </w:r>
      <w:r>
        <w:rPr>
          <w:color w:val="231F20"/>
          <w:spacing w:val="-3"/>
        </w:rPr>
        <w:t>будућег </w:t>
      </w:r>
      <w:r>
        <w:rPr>
          <w:color w:val="231F20"/>
        </w:rPr>
        <w:t>складиштења угљеника је на његовом захватању у складу са IPPC Директивом (коју је донела и Србија), док је транспорт регулисан у складу са </w:t>
      </w:r>
      <w:r>
        <w:rPr>
          <w:color w:val="231F20"/>
          <w:spacing w:val="-3"/>
        </w:rPr>
        <w:t>регулативом </w:t>
      </w:r>
      <w:r>
        <w:rPr>
          <w:color w:val="231F20"/>
        </w:rPr>
        <w:t>за транспорт природног гаса (уз коришћење EIA</w:t>
      </w:r>
      <w:r>
        <w:rPr>
          <w:color w:val="231F20"/>
          <w:spacing w:val="-17"/>
        </w:rPr>
        <w:t> </w:t>
      </w:r>
      <w:r>
        <w:rPr>
          <w:color w:val="231F20"/>
        </w:rPr>
        <w:t>инструмента).</w:t>
      </w:r>
    </w:p>
    <w:p>
      <w:pPr>
        <w:pStyle w:val="BodyText"/>
        <w:spacing w:line="228" w:lineRule="auto" w:before="5"/>
        <w:ind w:left="169" w:right="411" w:firstLine="396"/>
      </w:pPr>
      <w:r>
        <w:rPr>
          <w:color w:val="231F20"/>
        </w:rPr>
        <w:t>Према ЕУ ЕТS Directive (ЕУ Emission Trading System), 2008., од 2013. године планира се прелазак на потпуну јавну продају до-</w:t>
      </w:r>
    </w:p>
    <w:p>
      <w:pPr>
        <w:pStyle w:val="BodyText"/>
        <w:spacing w:line="206" w:lineRule="auto" w:before="10"/>
        <w:ind w:right="411" w:hanging="1"/>
      </w:pPr>
      <w:r>
        <w:rPr>
          <w:color w:val="231F20"/>
        </w:rPr>
        <w:t>звола за емисије CО</w:t>
      </w:r>
      <w:r>
        <w:rPr>
          <w:color w:val="231F20"/>
          <w:position w:val="-5"/>
          <w:sz w:val="10"/>
        </w:rPr>
        <w:t>2 </w:t>
      </w:r>
      <w:r>
        <w:rPr>
          <w:color w:val="231F20"/>
        </w:rPr>
        <w:t>за енергетски сектор. Када се CО</w:t>
      </w:r>
      <w:r>
        <w:rPr>
          <w:color w:val="231F20"/>
          <w:position w:val="-5"/>
          <w:sz w:val="10"/>
        </w:rPr>
        <w:t>2 </w:t>
      </w:r>
      <w:r>
        <w:rPr>
          <w:color w:val="231F20"/>
        </w:rPr>
        <w:t>захвати, транспортује и безбедно лагерује третира се као да нема емисија. Систем трговине емисијама CО</w:t>
      </w:r>
      <w:r>
        <w:rPr>
          <w:color w:val="231F20"/>
          <w:position w:val="-5"/>
          <w:sz w:val="10"/>
        </w:rPr>
        <w:t>2 </w:t>
      </w:r>
      <w:r>
        <w:rPr>
          <w:color w:val="231F20"/>
        </w:rPr>
        <w:t>је и покретач подршке за CCS,</w:t>
      </w:r>
    </w:p>
    <w:p>
      <w:pPr>
        <w:pStyle w:val="BodyText"/>
        <w:spacing w:line="156" w:lineRule="exact"/>
      </w:pPr>
      <w:r>
        <w:rPr>
          <w:color w:val="231F20"/>
        </w:rPr>
        <w:t>односно ова директива је извор подршке за примену концепта и</w:t>
      </w:r>
    </w:p>
    <w:p>
      <w:pPr>
        <w:pStyle w:val="BodyText"/>
        <w:spacing w:line="206" w:lineRule="auto" w:before="18"/>
        <w:ind w:right="411"/>
      </w:pPr>
      <w:r>
        <w:rPr>
          <w:color w:val="231F20"/>
        </w:rPr>
        <w:t>Директиве CCS. На овај начин се подстиче развој мреже инфра- структуре CО</w:t>
      </w:r>
      <w:r>
        <w:rPr>
          <w:color w:val="231F20"/>
          <w:position w:val="-5"/>
          <w:sz w:val="10"/>
        </w:rPr>
        <w:t>2 </w:t>
      </w:r>
      <w:r>
        <w:rPr>
          <w:color w:val="231F20"/>
        </w:rPr>
        <w:t>ради олакшавања преласка на ниско-угљенички енергетски систем и економију.</w:t>
      </w:r>
    </w:p>
    <w:p>
      <w:pPr>
        <w:pStyle w:val="BodyText"/>
        <w:spacing w:line="206" w:lineRule="auto" w:before="14"/>
        <w:ind w:right="411" w:firstLine="397"/>
      </w:pPr>
      <w:r>
        <w:rPr>
          <w:color w:val="231F20"/>
        </w:rPr>
        <w:t>Препоруке</w:t>
      </w:r>
      <w:r>
        <w:rPr>
          <w:color w:val="231F20"/>
          <w:spacing w:val="-9"/>
        </w:rPr>
        <w:t> </w:t>
      </w:r>
      <w:r>
        <w:rPr>
          <w:color w:val="231F20"/>
        </w:rPr>
        <w:t>за</w:t>
      </w:r>
      <w:r>
        <w:rPr>
          <w:color w:val="231F20"/>
          <w:spacing w:val="-9"/>
        </w:rPr>
        <w:t> </w:t>
      </w:r>
      <w:r>
        <w:rPr>
          <w:color w:val="231F20"/>
        </w:rPr>
        <w:t>увођење</w:t>
      </w:r>
      <w:r>
        <w:rPr>
          <w:color w:val="231F20"/>
          <w:spacing w:val="-9"/>
        </w:rPr>
        <w:t> </w:t>
      </w:r>
      <w:r>
        <w:rPr>
          <w:color w:val="231F20"/>
        </w:rPr>
        <w:t>концепта</w:t>
      </w:r>
      <w:r>
        <w:rPr>
          <w:color w:val="231F20"/>
          <w:spacing w:val="-9"/>
        </w:rPr>
        <w:t> </w:t>
      </w:r>
      <w:r>
        <w:rPr>
          <w:color w:val="231F20"/>
        </w:rPr>
        <w:t>чистог</w:t>
      </w:r>
      <w:r>
        <w:rPr>
          <w:color w:val="231F20"/>
          <w:spacing w:val="-9"/>
        </w:rPr>
        <w:t> </w:t>
      </w:r>
      <w:r>
        <w:rPr>
          <w:color w:val="231F20"/>
        </w:rPr>
        <w:t>угља</w:t>
      </w:r>
      <w:r>
        <w:rPr>
          <w:color w:val="231F20"/>
          <w:spacing w:val="-9"/>
        </w:rPr>
        <w:t> </w:t>
      </w:r>
      <w:r>
        <w:rPr>
          <w:color w:val="231F20"/>
        </w:rPr>
        <w:t>(Clean</w:t>
      </w:r>
      <w:r>
        <w:rPr>
          <w:color w:val="231F20"/>
          <w:spacing w:val="-9"/>
        </w:rPr>
        <w:t> </w:t>
      </w:r>
      <w:r>
        <w:rPr>
          <w:color w:val="231F20"/>
        </w:rPr>
        <w:t>Coal</w:t>
      </w:r>
      <w:r>
        <w:rPr>
          <w:color w:val="231F20"/>
          <w:spacing w:val="-9"/>
        </w:rPr>
        <w:t> </w:t>
      </w:r>
      <w:r>
        <w:rPr>
          <w:color w:val="231F20"/>
        </w:rPr>
        <w:t>Con- cept) и промовисање технологије за смањење емисије CО</w:t>
      </w:r>
      <w:r>
        <w:rPr>
          <w:color w:val="231F20"/>
          <w:position w:val="-5"/>
          <w:sz w:val="10"/>
        </w:rPr>
        <w:t>2 </w:t>
      </w:r>
      <w:r>
        <w:rPr>
          <w:color w:val="231F20"/>
        </w:rPr>
        <w:t>из но- вих</w:t>
      </w:r>
      <w:r>
        <w:rPr>
          <w:color w:val="231F20"/>
          <w:spacing w:val="25"/>
        </w:rPr>
        <w:t> </w:t>
      </w:r>
      <w:r>
        <w:rPr>
          <w:color w:val="231F20"/>
        </w:rPr>
        <w:t>костолачких</w:t>
      </w:r>
      <w:r>
        <w:rPr>
          <w:color w:val="231F20"/>
          <w:spacing w:val="25"/>
        </w:rPr>
        <w:t> </w:t>
      </w:r>
      <w:r>
        <w:rPr>
          <w:color w:val="231F20"/>
        </w:rPr>
        <w:t>термоелектрана.</w:t>
      </w:r>
      <w:r>
        <w:rPr>
          <w:color w:val="231F20"/>
          <w:spacing w:val="25"/>
        </w:rPr>
        <w:t> </w:t>
      </w:r>
      <w:r>
        <w:rPr>
          <w:color w:val="231F20"/>
        </w:rPr>
        <w:t>Стратешки</w:t>
      </w:r>
      <w:r>
        <w:rPr>
          <w:color w:val="231F20"/>
          <w:spacing w:val="25"/>
        </w:rPr>
        <w:t> </w:t>
      </w:r>
      <w:r>
        <w:rPr>
          <w:color w:val="231F20"/>
        </w:rPr>
        <w:t>развој</w:t>
      </w:r>
      <w:r>
        <w:rPr>
          <w:color w:val="231F20"/>
          <w:spacing w:val="25"/>
        </w:rPr>
        <w:t> </w:t>
      </w:r>
      <w:r>
        <w:rPr>
          <w:color w:val="231F20"/>
          <w:spacing w:val="-3"/>
        </w:rPr>
        <w:t>рударског</w:t>
      </w:r>
      <w:r>
        <w:rPr>
          <w:color w:val="231F20"/>
          <w:spacing w:val="25"/>
        </w:rPr>
        <w:t> </w:t>
      </w:r>
      <w:r>
        <w:rPr>
          <w:color w:val="231F20"/>
        </w:rPr>
        <w:t>и</w:t>
      </w:r>
    </w:p>
    <w:p>
      <w:pPr>
        <w:pStyle w:val="BodyText"/>
        <w:spacing w:line="228" w:lineRule="auto"/>
        <w:ind w:right="411"/>
      </w:pPr>
      <w:r>
        <w:rPr>
          <w:color w:val="231F20"/>
        </w:rPr>
        <w:t>енергетског сектора као и енергетска ситуација у Србији не могу да се процењују изоловано </w:t>
      </w:r>
      <w:r>
        <w:rPr>
          <w:color w:val="231F20"/>
          <w:spacing w:val="-3"/>
        </w:rPr>
        <w:t>од </w:t>
      </w:r>
      <w:r>
        <w:rPr>
          <w:color w:val="231F20"/>
        </w:rPr>
        <w:t>општих кретања у овом сектору у Европи и ширем </w:t>
      </w:r>
      <w:r>
        <w:rPr>
          <w:color w:val="231F20"/>
          <w:spacing w:val="-4"/>
        </w:rPr>
        <w:t>окружењу. </w:t>
      </w:r>
      <w:r>
        <w:rPr>
          <w:color w:val="231F20"/>
          <w:spacing w:val="-3"/>
        </w:rPr>
        <w:t>Комплекс </w:t>
      </w:r>
      <w:r>
        <w:rPr>
          <w:color w:val="231F20"/>
        </w:rPr>
        <w:t>производње угља и његове прераде изложен је различитим интерним и екстерним утицаји- ма, неизвесностима и ризицима. Општи тренд промена у сектору угља</w:t>
      </w:r>
      <w:r>
        <w:rPr>
          <w:color w:val="231F20"/>
          <w:spacing w:val="-8"/>
        </w:rPr>
        <w:t> </w:t>
      </w:r>
      <w:r>
        <w:rPr>
          <w:color w:val="231F20"/>
        </w:rPr>
        <w:t>је</w:t>
      </w:r>
      <w:r>
        <w:rPr>
          <w:color w:val="231F20"/>
          <w:spacing w:val="-8"/>
        </w:rPr>
        <w:t> </w:t>
      </w:r>
      <w:r>
        <w:rPr>
          <w:color w:val="231F20"/>
        </w:rPr>
        <w:t>релативно</w:t>
      </w:r>
      <w:r>
        <w:rPr>
          <w:color w:val="231F20"/>
          <w:spacing w:val="-8"/>
        </w:rPr>
        <w:t> </w:t>
      </w:r>
      <w:r>
        <w:rPr>
          <w:color w:val="231F20"/>
        </w:rPr>
        <w:t>динамичан.</w:t>
      </w:r>
      <w:r>
        <w:rPr>
          <w:color w:val="231F20"/>
          <w:spacing w:val="-8"/>
        </w:rPr>
        <w:t> </w:t>
      </w:r>
      <w:r>
        <w:rPr>
          <w:color w:val="231F20"/>
        </w:rPr>
        <w:t>У</w:t>
      </w:r>
      <w:r>
        <w:rPr>
          <w:color w:val="231F20"/>
          <w:spacing w:val="-8"/>
        </w:rPr>
        <w:t> </w:t>
      </w:r>
      <w:r>
        <w:rPr>
          <w:color w:val="231F20"/>
        </w:rPr>
        <w:t>наредном</w:t>
      </w:r>
      <w:r>
        <w:rPr>
          <w:color w:val="231F20"/>
          <w:spacing w:val="-8"/>
        </w:rPr>
        <w:t> </w:t>
      </w:r>
      <w:r>
        <w:rPr>
          <w:color w:val="231F20"/>
        </w:rPr>
        <w:t>периоду</w:t>
      </w:r>
      <w:r>
        <w:rPr>
          <w:color w:val="231F20"/>
          <w:spacing w:val="-8"/>
        </w:rPr>
        <w:t> </w:t>
      </w:r>
      <w:r>
        <w:rPr>
          <w:color w:val="231F20"/>
        </w:rPr>
        <w:t>може</w:t>
      </w:r>
      <w:r>
        <w:rPr>
          <w:color w:val="231F20"/>
          <w:spacing w:val="-8"/>
        </w:rPr>
        <w:t> </w:t>
      </w:r>
      <w:r>
        <w:rPr>
          <w:color w:val="231F20"/>
        </w:rPr>
        <w:t>се</w:t>
      </w:r>
      <w:r>
        <w:rPr>
          <w:color w:val="231F20"/>
          <w:spacing w:val="-8"/>
        </w:rPr>
        <w:t> </w:t>
      </w:r>
      <w:r>
        <w:rPr>
          <w:color w:val="231F20"/>
        </w:rPr>
        <w:t>очеки- </w:t>
      </w:r>
      <w:r>
        <w:rPr>
          <w:color w:val="231F20"/>
          <w:spacing w:val="-3"/>
        </w:rPr>
        <w:t>вати</w:t>
      </w:r>
      <w:r>
        <w:rPr>
          <w:color w:val="231F20"/>
          <w:spacing w:val="-6"/>
        </w:rPr>
        <w:t> </w:t>
      </w:r>
      <w:r>
        <w:rPr>
          <w:color w:val="231F20"/>
        </w:rPr>
        <w:t>све</w:t>
      </w:r>
      <w:r>
        <w:rPr>
          <w:color w:val="231F20"/>
          <w:spacing w:val="-6"/>
        </w:rPr>
        <w:t> </w:t>
      </w:r>
      <w:r>
        <w:rPr>
          <w:color w:val="231F20"/>
        </w:rPr>
        <w:t>већи</w:t>
      </w:r>
      <w:r>
        <w:rPr>
          <w:color w:val="231F20"/>
          <w:spacing w:val="-6"/>
        </w:rPr>
        <w:t> </w:t>
      </w:r>
      <w:r>
        <w:rPr>
          <w:color w:val="231F20"/>
        </w:rPr>
        <w:t>притисак</w:t>
      </w:r>
      <w:r>
        <w:rPr>
          <w:color w:val="231F20"/>
          <w:spacing w:val="-6"/>
        </w:rPr>
        <w:t> </w:t>
      </w:r>
      <w:r>
        <w:rPr>
          <w:color w:val="231F20"/>
        </w:rPr>
        <w:t>на</w:t>
      </w:r>
      <w:r>
        <w:rPr>
          <w:color w:val="231F20"/>
          <w:spacing w:val="-6"/>
        </w:rPr>
        <w:t> </w:t>
      </w:r>
      <w:r>
        <w:rPr>
          <w:color w:val="231F20"/>
        </w:rPr>
        <w:t>трансформацију</w:t>
      </w:r>
      <w:r>
        <w:rPr>
          <w:color w:val="231F20"/>
          <w:spacing w:val="-6"/>
        </w:rPr>
        <w:t> </w:t>
      </w:r>
      <w:r>
        <w:rPr>
          <w:color w:val="231F20"/>
        </w:rPr>
        <w:t>сектора,</w:t>
      </w:r>
      <w:r>
        <w:rPr>
          <w:color w:val="231F20"/>
          <w:spacing w:val="-6"/>
        </w:rPr>
        <w:t> </w:t>
      </w:r>
      <w:r>
        <w:rPr>
          <w:color w:val="231F20"/>
        </w:rPr>
        <w:t>због</w:t>
      </w:r>
      <w:r>
        <w:rPr>
          <w:color w:val="231F20"/>
          <w:spacing w:val="-6"/>
        </w:rPr>
        <w:t> </w:t>
      </w:r>
      <w:r>
        <w:rPr>
          <w:color w:val="231F20"/>
        </w:rPr>
        <w:t>захтева</w:t>
      </w:r>
      <w:r>
        <w:rPr>
          <w:color w:val="231F20"/>
          <w:spacing w:val="-6"/>
        </w:rPr>
        <w:t> </w:t>
      </w:r>
      <w:r>
        <w:rPr>
          <w:color w:val="231F20"/>
        </w:rPr>
        <w:t>за смањењем </w:t>
      </w:r>
      <w:r>
        <w:rPr>
          <w:color w:val="231F20"/>
          <w:spacing w:val="-3"/>
        </w:rPr>
        <w:t>улоге </w:t>
      </w:r>
      <w:r>
        <w:rPr>
          <w:color w:val="231F20"/>
        </w:rPr>
        <w:t>фосилних извора енергије, пре свега угља. Развој и пословање у сектору угља све више ће се одвијати као последи- ца рефлексија на међународном тржишту и захтева сталног раста конкурентности и продуктивности. </w:t>
      </w:r>
      <w:r>
        <w:rPr>
          <w:color w:val="231F20"/>
          <w:spacing w:val="-3"/>
        </w:rPr>
        <w:t>Главни </w:t>
      </w:r>
      <w:r>
        <w:rPr>
          <w:color w:val="231F20"/>
        </w:rPr>
        <w:t>фокус </w:t>
      </w:r>
      <w:r>
        <w:rPr>
          <w:color w:val="231F20"/>
          <w:spacing w:val="-3"/>
        </w:rPr>
        <w:t>будућег </w:t>
      </w:r>
      <w:r>
        <w:rPr>
          <w:color w:val="231F20"/>
        </w:rPr>
        <w:t>развоја </w:t>
      </w:r>
      <w:r>
        <w:rPr>
          <w:color w:val="231F20"/>
          <w:spacing w:val="-3"/>
        </w:rPr>
        <w:t>комплекса </w:t>
      </w:r>
      <w:r>
        <w:rPr>
          <w:color w:val="231F20"/>
        </w:rPr>
        <w:t>угља јесте одржавање и раст конкурентности, с обзи- ром на чињеницу да има доста простора за побољшање </w:t>
      </w:r>
      <w:r>
        <w:rPr>
          <w:color w:val="231F20"/>
          <w:spacing w:val="-3"/>
        </w:rPr>
        <w:t>рударског </w:t>
      </w:r>
      <w:r>
        <w:rPr>
          <w:color w:val="231F20"/>
        </w:rPr>
        <w:t>процеса.</w:t>
      </w:r>
      <w:r>
        <w:rPr>
          <w:color w:val="231F20"/>
          <w:spacing w:val="17"/>
        </w:rPr>
        <w:t> </w:t>
      </w:r>
      <w:r>
        <w:rPr>
          <w:color w:val="231F20"/>
        </w:rPr>
        <w:t>У</w:t>
      </w:r>
      <w:r>
        <w:rPr>
          <w:color w:val="231F20"/>
          <w:spacing w:val="17"/>
        </w:rPr>
        <w:t> </w:t>
      </w:r>
      <w:r>
        <w:rPr>
          <w:color w:val="231F20"/>
        </w:rPr>
        <w:t>непосредној</w:t>
      </w:r>
      <w:r>
        <w:rPr>
          <w:color w:val="231F20"/>
          <w:spacing w:val="17"/>
        </w:rPr>
        <w:t> </w:t>
      </w:r>
      <w:r>
        <w:rPr>
          <w:color w:val="231F20"/>
        </w:rPr>
        <w:t>будућности</w:t>
      </w:r>
      <w:r>
        <w:rPr>
          <w:color w:val="231F20"/>
          <w:spacing w:val="17"/>
        </w:rPr>
        <w:t> </w:t>
      </w:r>
      <w:r>
        <w:rPr>
          <w:color w:val="231F20"/>
        </w:rPr>
        <w:t>у</w:t>
      </w:r>
      <w:r>
        <w:rPr>
          <w:color w:val="231F20"/>
          <w:spacing w:val="17"/>
        </w:rPr>
        <w:t> </w:t>
      </w:r>
      <w:r>
        <w:rPr>
          <w:color w:val="231F20"/>
        </w:rPr>
        <w:t>области</w:t>
      </w:r>
      <w:r>
        <w:rPr>
          <w:color w:val="231F20"/>
          <w:spacing w:val="17"/>
        </w:rPr>
        <w:t> </w:t>
      </w:r>
      <w:r>
        <w:rPr>
          <w:color w:val="231F20"/>
        </w:rPr>
        <w:t>производње</w:t>
      </w:r>
      <w:r>
        <w:rPr>
          <w:color w:val="231F20"/>
          <w:spacing w:val="17"/>
        </w:rPr>
        <w:t> </w:t>
      </w:r>
      <w:r>
        <w:rPr>
          <w:color w:val="231F20"/>
        </w:rPr>
        <w:t>елек-</w:t>
      </w:r>
    </w:p>
    <w:p>
      <w:pPr>
        <w:pStyle w:val="BodyText"/>
        <w:spacing w:line="206" w:lineRule="auto" w:before="12"/>
        <w:ind w:right="411"/>
      </w:pPr>
      <w:r>
        <w:rPr>
          <w:color w:val="231F20"/>
        </w:rPr>
        <w:t>троенергије из угља основно питање везује се за смањење CО</w:t>
      </w:r>
      <w:r>
        <w:rPr>
          <w:color w:val="231F20"/>
          <w:position w:val="-5"/>
          <w:sz w:val="10"/>
        </w:rPr>
        <w:t>2 </w:t>
      </w:r>
      <w:r>
        <w:rPr>
          <w:color w:val="231F20"/>
        </w:rPr>
        <w:t>емисије под окриљем „концепта чистог угља”. У складу са Кјото протоколом, његовим механизмима и његовом применом у рудар-</w:t>
      </w:r>
    </w:p>
    <w:p>
      <w:pPr>
        <w:pStyle w:val="BodyText"/>
        <w:spacing w:line="228" w:lineRule="auto" w:before="5"/>
        <w:ind w:right="411"/>
      </w:pPr>
      <w:r>
        <w:rPr>
          <w:color w:val="231F20"/>
        </w:rPr>
        <w:t>ском и енергетском сектору у будућем периоду, кључни циљ раз- воја је захватање угљеника и његово складиштење, као и развој одговарајућих технологија на бази домаћег лигнита.</w:t>
      </w:r>
    </w:p>
    <w:p>
      <w:pPr>
        <w:spacing w:after="0" w:line="228" w:lineRule="auto"/>
        <w:sectPr>
          <w:pgSz w:w="12480" w:h="15690"/>
          <w:pgMar w:top="120" w:bottom="280" w:left="680" w:right="720"/>
          <w:cols w:num="2" w:equalWidth="0">
            <w:col w:w="5315" w:space="71"/>
            <w:col w:w="5694"/>
          </w:cols>
        </w:sectPr>
      </w:pPr>
    </w:p>
    <w:p>
      <w:pPr>
        <w:pStyle w:val="BodyText"/>
        <w:spacing w:line="235" w:lineRule="auto" w:before="71"/>
        <w:ind w:left="404" w:firstLine="396"/>
        <w:jc w:val="right"/>
      </w:pPr>
      <w:r>
        <w:rPr/>
        <w:pict>
          <v:line style="position:absolute;mso-position-horizontal-relative:page;mso-position-vertical-relative:page;z-index:3328" from="318.897614pt,11.942451pt" to="318.897614pt,748.950451pt" stroked="true" strokeweight=".6pt" strokecolor="#231f20">
            <v:stroke dashstyle="solid"/>
            <w10:wrap type="none"/>
          </v:line>
        </w:pict>
      </w:r>
      <w:r>
        <w:rPr>
          <w:color w:val="231F20"/>
          <w:spacing w:val="-3"/>
        </w:rPr>
        <w:t>Овај концепт </w:t>
      </w:r>
      <w:r>
        <w:rPr>
          <w:color w:val="231F20"/>
          <w:spacing w:val="-4"/>
        </w:rPr>
        <w:t>комбинује модернизацију, </w:t>
      </w:r>
      <w:r>
        <w:rPr>
          <w:color w:val="231F20"/>
        </w:rPr>
        <w:t>раст ефикасности до </w:t>
      </w:r>
      <w:r>
        <w:rPr>
          <w:color w:val="231F20"/>
          <w:spacing w:val="-5"/>
        </w:rPr>
        <w:t>око </w:t>
      </w:r>
      <w:r>
        <w:rPr>
          <w:color w:val="231F20"/>
        </w:rPr>
        <w:t>50% за нове термоелектране на бази угља </w:t>
      </w:r>
      <w:r>
        <w:rPr>
          <w:color w:val="231F20"/>
          <w:spacing w:val="-3"/>
        </w:rPr>
        <w:t>као </w:t>
      </w:r>
      <w:r>
        <w:rPr>
          <w:color w:val="231F20"/>
        </w:rPr>
        <w:t>и </w:t>
      </w:r>
      <w:r>
        <w:rPr>
          <w:color w:val="231F20"/>
          <w:spacing w:val="-3"/>
        </w:rPr>
        <w:t>технологије </w:t>
      </w:r>
      <w:r>
        <w:rPr>
          <w:color w:val="231F20"/>
        </w:rPr>
        <w:t>за </w:t>
      </w:r>
      <w:r>
        <w:rPr>
          <w:color w:val="231F20"/>
          <w:spacing w:val="-3"/>
        </w:rPr>
        <w:t>захватање </w:t>
      </w:r>
      <w:r>
        <w:rPr>
          <w:color w:val="231F20"/>
        </w:rPr>
        <w:t>и складиштење </w:t>
      </w:r>
      <w:r>
        <w:rPr>
          <w:color w:val="231F20"/>
          <w:spacing w:val="-3"/>
        </w:rPr>
        <w:t>угљеника </w:t>
      </w:r>
      <w:r>
        <w:rPr>
          <w:color w:val="231F20"/>
        </w:rPr>
        <w:t>после 2020. </w:t>
      </w:r>
      <w:r>
        <w:rPr>
          <w:color w:val="231F20"/>
          <w:spacing w:val="-4"/>
        </w:rPr>
        <w:t>године. </w:t>
      </w:r>
      <w:r>
        <w:rPr>
          <w:color w:val="231F20"/>
          <w:spacing w:val="-3"/>
        </w:rPr>
        <w:t>Концепт</w:t>
      </w:r>
      <w:r>
        <w:rPr>
          <w:color w:val="231F20"/>
        </w:rPr>
        <w:t> </w:t>
      </w:r>
      <w:r>
        <w:rPr>
          <w:color w:val="231F20"/>
          <w:spacing w:val="-3"/>
        </w:rPr>
        <w:t>подржава одрживи начин коришћења </w:t>
      </w:r>
      <w:r>
        <w:rPr>
          <w:color w:val="231F20"/>
        </w:rPr>
        <w:t>угља и </w:t>
      </w:r>
      <w:r>
        <w:rPr>
          <w:color w:val="231F20"/>
          <w:spacing w:val="-3"/>
        </w:rPr>
        <w:t>стимулише </w:t>
      </w:r>
      <w:r>
        <w:rPr>
          <w:color w:val="231F20"/>
        </w:rPr>
        <w:t>трансфер ЕУ </w:t>
      </w:r>
      <w:r>
        <w:rPr>
          <w:color w:val="231F20"/>
          <w:spacing w:val="-3"/>
        </w:rPr>
        <w:t>технологија </w:t>
      </w:r>
      <w:r>
        <w:rPr>
          <w:color w:val="231F20"/>
        </w:rPr>
        <w:t>у </w:t>
      </w:r>
      <w:r>
        <w:rPr>
          <w:color w:val="231F20"/>
          <w:spacing w:val="-3"/>
        </w:rPr>
        <w:t>друге </w:t>
      </w:r>
      <w:r>
        <w:rPr>
          <w:color w:val="231F20"/>
        </w:rPr>
        <w:t>земље. </w:t>
      </w:r>
      <w:r>
        <w:rPr>
          <w:color w:val="231F20"/>
          <w:spacing w:val="-3"/>
        </w:rPr>
        <w:t>Овај </w:t>
      </w:r>
      <w:r>
        <w:rPr>
          <w:color w:val="231F20"/>
          <w:spacing w:val="-4"/>
        </w:rPr>
        <w:t>концепт </w:t>
      </w:r>
      <w:r>
        <w:rPr>
          <w:color w:val="231F20"/>
          <w:spacing w:val="-2"/>
        </w:rPr>
        <w:t>има </w:t>
      </w:r>
      <w:r>
        <w:rPr>
          <w:color w:val="231F20"/>
        </w:rPr>
        <w:t>три </w:t>
      </w:r>
      <w:r>
        <w:rPr>
          <w:color w:val="231F20"/>
          <w:spacing w:val="-3"/>
        </w:rPr>
        <w:t>приступа/фазе:</w:t>
      </w:r>
      <w:r>
        <w:rPr>
          <w:color w:val="231F20"/>
        </w:rPr>
        <w:t> Clean Coal 1: Модернизација постојећих инсталација и из- градња нових термоелектрана према најбољој доступној техноло- гији ради повећања </w:t>
      </w:r>
      <w:r>
        <w:rPr>
          <w:color w:val="231F20"/>
          <w:spacing w:val="-3"/>
        </w:rPr>
        <w:t>економске </w:t>
      </w:r>
      <w:r>
        <w:rPr>
          <w:color w:val="231F20"/>
        </w:rPr>
        <w:t>ефикасности и смањења класичних</w:t>
      </w:r>
      <w:r>
        <w:rPr>
          <w:color w:val="231F20"/>
          <w:spacing w:val="-1"/>
        </w:rPr>
        <w:t> </w:t>
      </w:r>
      <w:r>
        <w:rPr>
          <w:color w:val="231F20"/>
        </w:rPr>
        <w:t>емисија СО</w:t>
      </w:r>
      <w:r>
        <w:rPr>
          <w:color w:val="231F20"/>
          <w:position w:val="-5"/>
          <w:sz w:val="10"/>
        </w:rPr>
        <w:t>2</w:t>
      </w:r>
      <w:r>
        <w:rPr>
          <w:color w:val="231F20"/>
        </w:rPr>
        <w:t>, НОx и пепела. У Европи има пуно добрих примера</w:t>
      </w:r>
    </w:p>
    <w:p>
      <w:pPr>
        <w:pStyle w:val="BodyText"/>
        <w:spacing w:line="158" w:lineRule="exact"/>
        <w:ind w:left="453"/>
        <w:jc w:val="left"/>
      </w:pPr>
      <w:r>
        <w:rPr>
          <w:color w:val="231F20"/>
        </w:rPr>
        <w:t>Clean Coal Concept 1 приступа, укључујући замену старијих елек-</w:t>
      </w:r>
    </w:p>
    <w:p>
      <w:pPr>
        <w:pStyle w:val="BodyText"/>
        <w:spacing w:line="204" w:lineRule="exact"/>
        <w:ind w:left="453"/>
        <w:jc w:val="left"/>
      </w:pPr>
      <w:r>
        <w:rPr>
          <w:color w:val="231F20"/>
        </w:rPr>
        <w:t>трана.</w:t>
      </w:r>
    </w:p>
    <w:p>
      <w:pPr>
        <w:pStyle w:val="BodyText"/>
        <w:spacing w:line="204" w:lineRule="exact" w:before="3"/>
        <w:ind w:left="453" w:firstLine="397"/>
        <w:jc w:val="right"/>
        <w:rPr>
          <w:sz w:val="10"/>
        </w:rPr>
      </w:pPr>
      <w:r>
        <w:rPr>
          <w:color w:val="231F20"/>
        </w:rPr>
        <w:t>Clean Coal 2: Развој и демонстрација концепта</w:t>
      </w:r>
      <w:r>
        <w:rPr>
          <w:color w:val="231F20"/>
          <w:spacing w:val="-21"/>
        </w:rPr>
        <w:t> </w:t>
      </w:r>
      <w:r>
        <w:rPr>
          <w:color w:val="231F20"/>
        </w:rPr>
        <w:t>нових</w:t>
      </w:r>
      <w:r>
        <w:rPr>
          <w:color w:val="231F20"/>
          <w:spacing w:val="-3"/>
        </w:rPr>
        <w:t> </w:t>
      </w:r>
      <w:r>
        <w:rPr>
          <w:color w:val="231F20"/>
        </w:rPr>
        <w:t>термое- лектрана са циљем повећања данашње ефикасности са 40%</w:t>
      </w:r>
      <w:r>
        <w:rPr>
          <w:color w:val="231F20"/>
          <w:spacing w:val="-16"/>
        </w:rPr>
        <w:t> </w:t>
      </w:r>
      <w:r>
        <w:rPr>
          <w:color w:val="231F20"/>
        </w:rPr>
        <w:t>на</w:t>
      </w:r>
      <w:r>
        <w:rPr>
          <w:color w:val="231F20"/>
          <w:spacing w:val="-2"/>
        </w:rPr>
        <w:t> </w:t>
      </w:r>
      <w:r>
        <w:rPr>
          <w:color w:val="231F20"/>
          <w:spacing w:val="-4"/>
        </w:rPr>
        <w:t>око</w:t>
      </w:r>
      <w:r>
        <w:rPr>
          <w:color w:val="231F20"/>
        </w:rPr>
        <w:t> 50%. Постоје три </w:t>
      </w:r>
      <w:r>
        <w:rPr>
          <w:color w:val="231F20"/>
          <w:spacing w:val="-3"/>
        </w:rPr>
        <w:t>главна </w:t>
      </w:r>
      <w:r>
        <w:rPr>
          <w:color w:val="231F20"/>
        </w:rPr>
        <w:t>начина за повећање</w:t>
      </w:r>
      <w:r>
        <w:rPr>
          <w:color w:val="231F20"/>
          <w:spacing w:val="6"/>
        </w:rPr>
        <w:t> </w:t>
      </w:r>
      <w:r>
        <w:rPr>
          <w:color w:val="231F20"/>
        </w:rPr>
        <w:t>ефикасности:</w:t>
      </w:r>
      <w:r>
        <w:rPr>
          <w:color w:val="231F20"/>
          <w:spacing w:val="12"/>
        </w:rPr>
        <w:t> </w:t>
      </w:r>
      <w:r>
        <w:rPr>
          <w:color w:val="231F20"/>
        </w:rPr>
        <w:t>поди- зање</w:t>
      </w:r>
      <w:r>
        <w:rPr>
          <w:color w:val="231F20"/>
          <w:spacing w:val="30"/>
        </w:rPr>
        <w:t> </w:t>
      </w:r>
      <w:r>
        <w:rPr>
          <w:color w:val="231F20"/>
        </w:rPr>
        <w:t>параметара</w:t>
      </w:r>
      <w:r>
        <w:rPr>
          <w:color w:val="231F20"/>
          <w:spacing w:val="30"/>
        </w:rPr>
        <w:t> </w:t>
      </w:r>
      <w:r>
        <w:rPr>
          <w:color w:val="231F20"/>
        </w:rPr>
        <w:t>сушења,</w:t>
      </w:r>
      <w:r>
        <w:rPr>
          <w:color w:val="231F20"/>
          <w:spacing w:val="30"/>
        </w:rPr>
        <w:t> </w:t>
      </w:r>
      <w:r>
        <w:rPr>
          <w:color w:val="231F20"/>
        </w:rPr>
        <w:t>претходне</w:t>
      </w:r>
      <w:r>
        <w:rPr>
          <w:color w:val="231F20"/>
          <w:spacing w:val="30"/>
        </w:rPr>
        <w:t> </w:t>
      </w:r>
      <w:r>
        <w:rPr>
          <w:color w:val="231F20"/>
        </w:rPr>
        <w:t>операције</w:t>
      </w:r>
      <w:r>
        <w:rPr>
          <w:color w:val="231F20"/>
          <w:spacing w:val="30"/>
        </w:rPr>
        <w:t> </w:t>
      </w:r>
      <w:r>
        <w:rPr>
          <w:color w:val="231F20"/>
        </w:rPr>
        <w:t>сушења</w:t>
      </w:r>
      <w:r>
        <w:rPr>
          <w:color w:val="231F20"/>
          <w:spacing w:val="30"/>
        </w:rPr>
        <w:t> </w:t>
      </w:r>
      <w:r>
        <w:rPr>
          <w:color w:val="231F20"/>
        </w:rPr>
        <w:t>сировог угља и комбиновани циклус гасне турбине. Развој</w:t>
      </w:r>
      <w:r>
        <w:rPr>
          <w:color w:val="231F20"/>
          <w:spacing w:val="-28"/>
        </w:rPr>
        <w:t> </w:t>
      </w:r>
      <w:r>
        <w:rPr>
          <w:color w:val="231F20"/>
        </w:rPr>
        <w:t>концепта</w:t>
      </w:r>
      <w:r>
        <w:rPr>
          <w:color w:val="231F20"/>
          <w:spacing w:val="-4"/>
        </w:rPr>
        <w:t> </w:t>
      </w:r>
      <w:r>
        <w:rPr>
          <w:color w:val="231F20"/>
        </w:rPr>
        <w:t>нових</w:t>
      </w:r>
      <w:r>
        <w:rPr>
          <w:color w:val="231F20"/>
          <w:spacing w:val="-1"/>
        </w:rPr>
        <w:t> </w:t>
      </w:r>
      <w:r>
        <w:rPr>
          <w:color w:val="231F20"/>
        </w:rPr>
        <w:t>термоелектрана</w:t>
      </w:r>
      <w:r>
        <w:rPr>
          <w:color w:val="231F20"/>
          <w:spacing w:val="-6"/>
        </w:rPr>
        <w:t> </w:t>
      </w:r>
      <w:r>
        <w:rPr>
          <w:color w:val="231F20"/>
        </w:rPr>
        <w:t>ће</w:t>
      </w:r>
      <w:r>
        <w:rPr>
          <w:color w:val="231F20"/>
          <w:spacing w:val="-6"/>
        </w:rPr>
        <w:t> </w:t>
      </w:r>
      <w:r>
        <w:rPr>
          <w:color w:val="231F20"/>
        </w:rPr>
        <w:t>повећати</w:t>
      </w:r>
      <w:r>
        <w:rPr>
          <w:color w:val="231F20"/>
          <w:spacing w:val="-6"/>
        </w:rPr>
        <w:t> </w:t>
      </w:r>
      <w:r>
        <w:rPr>
          <w:color w:val="231F20"/>
        </w:rPr>
        <w:t>ниво</w:t>
      </w:r>
      <w:r>
        <w:rPr>
          <w:color w:val="231F20"/>
          <w:spacing w:val="-6"/>
        </w:rPr>
        <w:t> </w:t>
      </w:r>
      <w:r>
        <w:rPr>
          <w:color w:val="231F20"/>
        </w:rPr>
        <w:t>енергетске</w:t>
      </w:r>
      <w:r>
        <w:rPr>
          <w:color w:val="231F20"/>
          <w:spacing w:val="-6"/>
        </w:rPr>
        <w:t> </w:t>
      </w:r>
      <w:r>
        <w:rPr>
          <w:color w:val="231F20"/>
        </w:rPr>
        <w:t>ефикасности</w:t>
      </w:r>
      <w:r>
        <w:rPr>
          <w:color w:val="231F20"/>
          <w:spacing w:val="-6"/>
        </w:rPr>
        <w:t> </w:t>
      </w:r>
      <w:r>
        <w:rPr>
          <w:color w:val="231F20"/>
        </w:rPr>
        <w:t>на</w:t>
      </w:r>
      <w:r>
        <w:rPr>
          <w:color w:val="231F20"/>
          <w:spacing w:val="-6"/>
        </w:rPr>
        <w:t> </w:t>
      </w:r>
      <w:r>
        <w:rPr>
          <w:color w:val="231F20"/>
        </w:rPr>
        <w:t>50%. Clean</w:t>
      </w:r>
      <w:r>
        <w:rPr>
          <w:color w:val="231F20"/>
          <w:spacing w:val="22"/>
        </w:rPr>
        <w:t> </w:t>
      </w:r>
      <w:r>
        <w:rPr>
          <w:color w:val="231F20"/>
        </w:rPr>
        <w:t>Coal</w:t>
      </w:r>
      <w:r>
        <w:rPr>
          <w:color w:val="231F20"/>
          <w:spacing w:val="22"/>
        </w:rPr>
        <w:t> </w:t>
      </w:r>
      <w:r>
        <w:rPr>
          <w:color w:val="231F20"/>
        </w:rPr>
        <w:t>3:</w:t>
      </w:r>
      <w:r>
        <w:rPr>
          <w:color w:val="231F20"/>
          <w:spacing w:val="22"/>
        </w:rPr>
        <w:t> </w:t>
      </w:r>
      <w:r>
        <w:rPr>
          <w:color w:val="231F20"/>
        </w:rPr>
        <w:t>Издвајање</w:t>
      </w:r>
      <w:r>
        <w:rPr>
          <w:color w:val="231F20"/>
          <w:spacing w:val="22"/>
        </w:rPr>
        <w:t> </w:t>
      </w:r>
      <w:r>
        <w:rPr>
          <w:color w:val="231F20"/>
        </w:rPr>
        <w:t>и</w:t>
      </w:r>
      <w:r>
        <w:rPr>
          <w:color w:val="231F20"/>
          <w:spacing w:val="22"/>
        </w:rPr>
        <w:t> </w:t>
      </w:r>
      <w:r>
        <w:rPr>
          <w:color w:val="231F20"/>
        </w:rPr>
        <w:t>складиштење</w:t>
      </w:r>
      <w:r>
        <w:rPr>
          <w:color w:val="231F20"/>
          <w:spacing w:val="22"/>
        </w:rPr>
        <w:t> </w:t>
      </w:r>
      <w:r>
        <w:rPr>
          <w:color w:val="231F20"/>
        </w:rPr>
        <w:t>CО</w:t>
      </w:r>
      <w:r>
        <w:rPr>
          <w:color w:val="231F20"/>
          <w:position w:val="-5"/>
          <w:sz w:val="10"/>
        </w:rPr>
        <w:t>2</w:t>
      </w:r>
      <w:r>
        <w:rPr>
          <w:color w:val="231F20"/>
          <w:spacing w:val="13"/>
          <w:position w:val="-5"/>
          <w:sz w:val="10"/>
        </w:rPr>
        <w:t> </w:t>
      </w:r>
      <w:r>
        <w:rPr>
          <w:color w:val="231F20"/>
          <w:spacing w:val="-3"/>
        </w:rPr>
        <w:t>који</w:t>
      </w:r>
      <w:r>
        <w:rPr>
          <w:color w:val="231F20"/>
          <w:spacing w:val="22"/>
        </w:rPr>
        <w:t> </w:t>
      </w:r>
      <w:r>
        <w:rPr>
          <w:color w:val="231F20"/>
        </w:rPr>
        <w:t>настаје</w:t>
      </w:r>
      <w:r>
        <w:rPr>
          <w:color w:val="231F20"/>
          <w:spacing w:val="22"/>
        </w:rPr>
        <w:t> </w:t>
      </w:r>
      <w:r>
        <w:rPr>
          <w:color w:val="231F20"/>
        </w:rPr>
        <w:t>у процесу</w:t>
      </w:r>
      <w:r>
        <w:rPr>
          <w:color w:val="231F20"/>
          <w:spacing w:val="-12"/>
        </w:rPr>
        <w:t> </w:t>
      </w:r>
      <w:r>
        <w:rPr>
          <w:color w:val="231F20"/>
        </w:rPr>
        <w:t>производње</w:t>
      </w:r>
      <w:r>
        <w:rPr>
          <w:color w:val="231F20"/>
          <w:spacing w:val="-12"/>
        </w:rPr>
        <w:t> </w:t>
      </w:r>
      <w:r>
        <w:rPr>
          <w:color w:val="231F20"/>
        </w:rPr>
        <w:t>електроенергије.</w:t>
      </w:r>
      <w:r>
        <w:rPr>
          <w:color w:val="231F20"/>
          <w:spacing w:val="-12"/>
        </w:rPr>
        <w:t> </w:t>
      </w:r>
      <w:r>
        <w:rPr>
          <w:color w:val="231F20"/>
        </w:rPr>
        <w:t>Ово</w:t>
      </w:r>
      <w:r>
        <w:rPr>
          <w:color w:val="231F20"/>
          <w:spacing w:val="-12"/>
        </w:rPr>
        <w:t> </w:t>
      </w:r>
      <w:r>
        <w:rPr>
          <w:color w:val="231F20"/>
        </w:rPr>
        <w:t>је</w:t>
      </w:r>
      <w:r>
        <w:rPr>
          <w:color w:val="231F20"/>
          <w:spacing w:val="-12"/>
        </w:rPr>
        <w:t> </w:t>
      </w:r>
      <w:r>
        <w:rPr>
          <w:color w:val="231F20"/>
        </w:rPr>
        <w:t>концепт</w:t>
      </w:r>
      <w:r>
        <w:rPr>
          <w:color w:val="231F20"/>
          <w:spacing w:val="-12"/>
        </w:rPr>
        <w:t> </w:t>
      </w:r>
      <w:r>
        <w:rPr>
          <w:color w:val="231F20"/>
        </w:rPr>
        <w:t>за</w:t>
      </w:r>
      <w:r>
        <w:rPr>
          <w:color w:val="231F20"/>
          <w:spacing w:val="-12"/>
        </w:rPr>
        <w:t> </w:t>
      </w:r>
      <w:r>
        <w:rPr>
          <w:color w:val="231F20"/>
        </w:rPr>
        <w:t>будућност </w:t>
      </w:r>
      <w:r>
        <w:rPr>
          <w:color w:val="231F20"/>
          <w:spacing w:val="-3"/>
        </w:rPr>
        <w:t>који </w:t>
      </w:r>
      <w:r>
        <w:rPr>
          <w:color w:val="231F20"/>
        </w:rPr>
        <w:t>подразумева визију </w:t>
      </w:r>
      <w:r>
        <w:rPr>
          <w:color w:val="231F20"/>
          <w:spacing w:val="-3"/>
        </w:rPr>
        <w:t>нулте </w:t>
      </w:r>
      <w:r>
        <w:rPr>
          <w:color w:val="231F20"/>
        </w:rPr>
        <w:t>емисије CО</w:t>
      </w:r>
      <w:r>
        <w:rPr>
          <w:color w:val="231F20"/>
          <w:position w:val="-5"/>
          <w:sz w:val="10"/>
        </w:rPr>
        <w:t>2</w:t>
      </w:r>
      <w:r>
        <w:rPr>
          <w:color w:val="231F20"/>
        </w:rPr>
        <w:t>,</w:t>
      </w:r>
      <w:r>
        <w:rPr>
          <w:color w:val="231F20"/>
          <w:spacing w:val="1"/>
        </w:rPr>
        <w:t> </w:t>
      </w:r>
      <w:r>
        <w:rPr>
          <w:color w:val="231F20"/>
        </w:rPr>
        <w:t>издвајање,</w:t>
      </w:r>
      <w:r>
        <w:rPr>
          <w:color w:val="231F20"/>
          <w:spacing w:val="5"/>
        </w:rPr>
        <w:t> </w:t>
      </w:r>
      <w:r>
        <w:rPr>
          <w:color w:val="231F20"/>
        </w:rPr>
        <w:t>захватање</w:t>
      </w:r>
      <w:r>
        <w:rPr>
          <w:color w:val="231F20"/>
          <w:spacing w:val="-1"/>
        </w:rPr>
        <w:t> </w:t>
      </w:r>
      <w:r>
        <w:rPr>
          <w:color w:val="231F20"/>
        </w:rPr>
        <w:t>и складиштење CО</w:t>
      </w:r>
      <w:r>
        <w:rPr>
          <w:color w:val="231F20"/>
          <w:position w:val="-5"/>
          <w:sz w:val="10"/>
        </w:rPr>
        <w:t>2 </w:t>
      </w:r>
      <w:r>
        <w:rPr>
          <w:color w:val="231F20"/>
        </w:rPr>
        <w:t>из сагоревања фосилних горива.</w:t>
      </w:r>
      <w:r>
        <w:rPr>
          <w:color w:val="231F20"/>
          <w:spacing w:val="11"/>
        </w:rPr>
        <w:t> </w:t>
      </w:r>
      <w:r>
        <w:rPr>
          <w:color w:val="231F20"/>
          <w:spacing w:val="-3"/>
        </w:rPr>
        <w:t>Главни</w:t>
      </w:r>
      <w:r>
        <w:rPr>
          <w:color w:val="231F20"/>
          <w:spacing w:val="7"/>
        </w:rPr>
        <w:t> </w:t>
      </w:r>
      <w:r>
        <w:rPr>
          <w:color w:val="231F20"/>
        </w:rPr>
        <w:t>под- стицај</w:t>
      </w:r>
      <w:r>
        <w:rPr>
          <w:color w:val="231F20"/>
          <w:spacing w:val="-10"/>
        </w:rPr>
        <w:t> </w:t>
      </w:r>
      <w:r>
        <w:rPr>
          <w:color w:val="231F20"/>
        </w:rPr>
        <w:t>је</w:t>
      </w:r>
      <w:r>
        <w:rPr>
          <w:color w:val="231F20"/>
          <w:spacing w:val="-10"/>
        </w:rPr>
        <w:t> </w:t>
      </w:r>
      <w:r>
        <w:rPr>
          <w:color w:val="231F20"/>
        </w:rPr>
        <w:t>у</w:t>
      </w:r>
      <w:r>
        <w:rPr>
          <w:color w:val="231F20"/>
          <w:spacing w:val="-10"/>
        </w:rPr>
        <w:t> </w:t>
      </w:r>
      <w:r>
        <w:rPr>
          <w:color w:val="231F20"/>
        </w:rPr>
        <w:t>полагању</w:t>
      </w:r>
      <w:r>
        <w:rPr>
          <w:color w:val="231F20"/>
          <w:spacing w:val="-10"/>
        </w:rPr>
        <w:t> </w:t>
      </w:r>
      <w:r>
        <w:rPr>
          <w:color w:val="231F20"/>
        </w:rPr>
        <w:t>пута</w:t>
      </w:r>
      <w:r>
        <w:rPr>
          <w:color w:val="231F20"/>
          <w:spacing w:val="-10"/>
        </w:rPr>
        <w:t> </w:t>
      </w:r>
      <w:r>
        <w:rPr>
          <w:color w:val="231F20"/>
        </w:rPr>
        <w:t>кроз</w:t>
      </w:r>
      <w:r>
        <w:rPr>
          <w:color w:val="231F20"/>
          <w:spacing w:val="-10"/>
        </w:rPr>
        <w:t> </w:t>
      </w:r>
      <w:r>
        <w:rPr>
          <w:color w:val="231F20"/>
        </w:rPr>
        <w:t>„виртуелно</w:t>
      </w:r>
      <w:r>
        <w:rPr>
          <w:color w:val="231F20"/>
          <w:spacing w:val="-10"/>
        </w:rPr>
        <w:t> </w:t>
      </w:r>
      <w:r>
        <w:rPr>
          <w:color w:val="231F20"/>
        </w:rPr>
        <w:t>неутралну”</w:t>
      </w:r>
      <w:r>
        <w:rPr>
          <w:color w:val="231F20"/>
          <w:spacing w:val="-10"/>
        </w:rPr>
        <w:t> </w:t>
      </w:r>
      <w:r>
        <w:rPr>
          <w:color w:val="231F20"/>
        </w:rPr>
        <w:t>производњу</w:t>
      </w:r>
      <w:r>
        <w:rPr>
          <w:color w:val="231F20"/>
          <w:spacing w:val="-1"/>
        </w:rPr>
        <w:t> </w:t>
      </w:r>
      <w:r>
        <w:rPr>
          <w:color w:val="231F20"/>
        </w:rPr>
        <w:t>струје, користећи угаљ као извор. Интегрисани</w:t>
      </w:r>
      <w:r>
        <w:rPr>
          <w:color w:val="231F20"/>
          <w:spacing w:val="7"/>
        </w:rPr>
        <w:t> </w:t>
      </w:r>
      <w:r>
        <w:rPr>
          <w:color w:val="231F20"/>
        </w:rPr>
        <w:t>приступ</w:t>
      </w:r>
      <w:r>
        <w:rPr>
          <w:color w:val="231F20"/>
          <w:spacing w:val="0"/>
        </w:rPr>
        <w:t> </w:t>
      </w:r>
      <w:r>
        <w:rPr>
          <w:color w:val="231F20"/>
        </w:rPr>
        <w:t>модерни- зације,</w:t>
      </w:r>
      <w:r>
        <w:rPr>
          <w:color w:val="231F20"/>
          <w:spacing w:val="-8"/>
        </w:rPr>
        <w:t> </w:t>
      </w:r>
      <w:r>
        <w:rPr>
          <w:color w:val="231F20"/>
        </w:rPr>
        <w:t>даљег</w:t>
      </w:r>
      <w:r>
        <w:rPr>
          <w:color w:val="231F20"/>
          <w:spacing w:val="-8"/>
        </w:rPr>
        <w:t> </w:t>
      </w:r>
      <w:r>
        <w:rPr>
          <w:color w:val="231F20"/>
        </w:rPr>
        <w:t>развоја</w:t>
      </w:r>
      <w:r>
        <w:rPr>
          <w:color w:val="231F20"/>
          <w:spacing w:val="-8"/>
        </w:rPr>
        <w:t> </w:t>
      </w:r>
      <w:r>
        <w:rPr>
          <w:color w:val="231F20"/>
        </w:rPr>
        <w:t>технологија</w:t>
      </w:r>
      <w:r>
        <w:rPr>
          <w:color w:val="231F20"/>
          <w:spacing w:val="-8"/>
        </w:rPr>
        <w:t> </w:t>
      </w:r>
      <w:r>
        <w:rPr>
          <w:color w:val="231F20"/>
        </w:rPr>
        <w:t>термоелектрана</w:t>
      </w:r>
      <w:r>
        <w:rPr>
          <w:color w:val="231F20"/>
          <w:spacing w:val="-8"/>
        </w:rPr>
        <w:t> </w:t>
      </w:r>
      <w:r>
        <w:rPr>
          <w:color w:val="231F20"/>
        </w:rPr>
        <w:t>и</w:t>
      </w:r>
      <w:r>
        <w:rPr>
          <w:color w:val="231F20"/>
          <w:spacing w:val="-8"/>
        </w:rPr>
        <w:t> </w:t>
      </w:r>
      <w:r>
        <w:rPr>
          <w:color w:val="231F20"/>
        </w:rPr>
        <w:t>технологија</w:t>
      </w:r>
      <w:r>
        <w:rPr>
          <w:color w:val="231F20"/>
          <w:spacing w:val="-8"/>
        </w:rPr>
        <w:t> </w:t>
      </w:r>
      <w:r>
        <w:rPr>
          <w:color w:val="231F20"/>
        </w:rPr>
        <w:t>за</w:t>
      </w:r>
      <w:r>
        <w:rPr>
          <w:color w:val="231F20"/>
          <w:spacing w:val="-1"/>
        </w:rPr>
        <w:t> </w:t>
      </w:r>
      <w:r>
        <w:rPr>
          <w:color w:val="231F20"/>
        </w:rPr>
        <w:t>захватање и складиштење CО</w:t>
      </w:r>
      <w:r>
        <w:rPr>
          <w:color w:val="231F20"/>
          <w:position w:val="-5"/>
          <w:sz w:val="10"/>
        </w:rPr>
        <w:t>2 </w:t>
      </w:r>
      <w:r>
        <w:rPr>
          <w:color w:val="231F20"/>
        </w:rPr>
        <w:t>је пут </w:t>
      </w:r>
      <w:r>
        <w:rPr>
          <w:color w:val="231F20"/>
          <w:spacing w:val="-3"/>
        </w:rPr>
        <w:t>који </w:t>
      </w:r>
      <w:r>
        <w:rPr>
          <w:color w:val="231F20"/>
        </w:rPr>
        <w:t>треба</w:t>
      </w:r>
      <w:r>
        <w:rPr>
          <w:color w:val="231F20"/>
          <w:spacing w:val="23"/>
        </w:rPr>
        <w:t> </w:t>
      </w:r>
      <w:r>
        <w:rPr>
          <w:color w:val="231F20"/>
        </w:rPr>
        <w:t>реализовати</w:t>
      </w:r>
      <w:r>
        <w:rPr>
          <w:color w:val="231F20"/>
          <w:spacing w:val="16"/>
        </w:rPr>
        <w:t> </w:t>
      </w:r>
      <w:r>
        <w:rPr>
          <w:color w:val="231F20"/>
        </w:rPr>
        <w:t>по- степено,</w:t>
      </w:r>
      <w:r>
        <w:rPr>
          <w:color w:val="231F20"/>
          <w:spacing w:val="-7"/>
        </w:rPr>
        <w:t> </w:t>
      </w:r>
      <w:r>
        <w:rPr>
          <w:color w:val="231F20"/>
        </w:rPr>
        <w:t>све</w:t>
      </w:r>
      <w:r>
        <w:rPr>
          <w:color w:val="231F20"/>
          <w:spacing w:val="-7"/>
        </w:rPr>
        <w:t> </w:t>
      </w:r>
      <w:r>
        <w:rPr>
          <w:color w:val="231F20"/>
        </w:rPr>
        <w:t>на</w:t>
      </w:r>
      <w:r>
        <w:rPr>
          <w:color w:val="231F20"/>
          <w:spacing w:val="-7"/>
        </w:rPr>
        <w:t> </w:t>
      </w:r>
      <w:r>
        <w:rPr>
          <w:color w:val="231F20"/>
        </w:rPr>
        <w:t>основу</w:t>
      </w:r>
      <w:r>
        <w:rPr>
          <w:color w:val="231F20"/>
          <w:spacing w:val="-7"/>
        </w:rPr>
        <w:t> </w:t>
      </w:r>
      <w:r>
        <w:rPr>
          <w:color w:val="231F20"/>
        </w:rPr>
        <w:t>Директиве</w:t>
      </w:r>
      <w:r>
        <w:rPr>
          <w:color w:val="231F20"/>
          <w:spacing w:val="-7"/>
        </w:rPr>
        <w:t> </w:t>
      </w:r>
      <w:r>
        <w:rPr>
          <w:color w:val="231F20"/>
        </w:rPr>
        <w:t>о</w:t>
      </w:r>
      <w:r>
        <w:rPr>
          <w:color w:val="231F20"/>
          <w:spacing w:val="-7"/>
        </w:rPr>
        <w:t> </w:t>
      </w:r>
      <w:r>
        <w:rPr>
          <w:color w:val="231F20"/>
        </w:rPr>
        <w:t>захватању</w:t>
      </w:r>
      <w:r>
        <w:rPr>
          <w:color w:val="231F20"/>
          <w:spacing w:val="-7"/>
        </w:rPr>
        <w:t> </w:t>
      </w:r>
      <w:r>
        <w:rPr>
          <w:color w:val="231F20"/>
        </w:rPr>
        <w:t>и</w:t>
      </w:r>
      <w:r>
        <w:rPr>
          <w:color w:val="231F20"/>
          <w:spacing w:val="-7"/>
        </w:rPr>
        <w:t> </w:t>
      </w:r>
      <w:r>
        <w:rPr>
          <w:color w:val="231F20"/>
        </w:rPr>
        <w:t>складиштењу</w:t>
      </w:r>
      <w:r>
        <w:rPr>
          <w:color w:val="231F20"/>
          <w:spacing w:val="-7"/>
        </w:rPr>
        <w:t> </w:t>
      </w:r>
      <w:r>
        <w:rPr>
          <w:color w:val="231F20"/>
        </w:rPr>
        <w:t>CО</w:t>
      </w:r>
      <w:r>
        <w:rPr>
          <w:color w:val="231F20"/>
          <w:position w:val="-5"/>
          <w:sz w:val="10"/>
        </w:rPr>
        <w:t>2</w:t>
      </w:r>
    </w:p>
    <w:p>
      <w:pPr>
        <w:pStyle w:val="BodyText"/>
        <w:spacing w:line="194" w:lineRule="exact"/>
        <w:ind w:left="453"/>
        <w:jc w:val="left"/>
      </w:pPr>
      <w:r>
        <w:rPr>
          <w:color w:val="231F20"/>
        </w:rPr>
        <w:t>(CCS – Carbon Capture System).</w:t>
      </w:r>
    </w:p>
    <w:p>
      <w:pPr>
        <w:pStyle w:val="BodyText"/>
        <w:spacing w:line="204" w:lineRule="exact" w:before="3"/>
        <w:ind w:left="453" w:firstLine="397"/>
      </w:pPr>
      <w:r>
        <w:rPr>
          <w:color w:val="231F20"/>
          <w:spacing w:val="-3"/>
        </w:rPr>
        <w:t>Коначне</w:t>
      </w:r>
      <w:r>
        <w:rPr>
          <w:color w:val="231F20"/>
          <w:spacing w:val="-7"/>
        </w:rPr>
        <w:t> </w:t>
      </w:r>
      <w:r>
        <w:rPr>
          <w:color w:val="231F20"/>
        </w:rPr>
        <w:t>одлуке</w:t>
      </w:r>
      <w:r>
        <w:rPr>
          <w:color w:val="231F20"/>
          <w:spacing w:val="-6"/>
        </w:rPr>
        <w:t> </w:t>
      </w:r>
      <w:r>
        <w:rPr>
          <w:color w:val="231F20"/>
        </w:rPr>
        <w:t>о</w:t>
      </w:r>
      <w:r>
        <w:rPr>
          <w:color w:val="231F20"/>
          <w:spacing w:val="-6"/>
        </w:rPr>
        <w:t> </w:t>
      </w:r>
      <w:r>
        <w:rPr>
          <w:color w:val="231F20"/>
        </w:rPr>
        <w:t>примени</w:t>
      </w:r>
      <w:r>
        <w:rPr>
          <w:color w:val="231F20"/>
          <w:spacing w:val="-6"/>
        </w:rPr>
        <w:t> </w:t>
      </w:r>
      <w:r>
        <w:rPr>
          <w:color w:val="231F20"/>
        </w:rPr>
        <w:t>поменутих</w:t>
      </w:r>
      <w:r>
        <w:rPr>
          <w:color w:val="231F20"/>
          <w:spacing w:val="-6"/>
        </w:rPr>
        <w:t> </w:t>
      </w:r>
      <w:r>
        <w:rPr>
          <w:color w:val="231F20"/>
        </w:rPr>
        <w:t>директива</w:t>
      </w:r>
      <w:r>
        <w:rPr>
          <w:color w:val="231F20"/>
          <w:spacing w:val="-6"/>
        </w:rPr>
        <w:t> </w:t>
      </w:r>
      <w:r>
        <w:rPr>
          <w:color w:val="231F20"/>
        </w:rPr>
        <w:t>доносиће</w:t>
      </w:r>
      <w:r>
        <w:rPr>
          <w:color w:val="231F20"/>
          <w:spacing w:val="-6"/>
        </w:rPr>
        <w:t> </w:t>
      </w:r>
      <w:r>
        <w:rPr>
          <w:color w:val="231F20"/>
        </w:rPr>
        <w:t>се на нивоу ЈП „ЕПС”. </w:t>
      </w:r>
      <w:r>
        <w:rPr>
          <w:color w:val="231F20"/>
          <w:spacing w:val="-3"/>
        </w:rPr>
        <w:t>Иако </w:t>
      </w:r>
      <w:r>
        <w:rPr>
          <w:color w:val="231F20"/>
        </w:rPr>
        <w:t>је Србија верификовала Кјото </w:t>
      </w:r>
      <w:r>
        <w:rPr>
          <w:color w:val="231F20"/>
          <w:spacing w:val="-3"/>
        </w:rPr>
        <w:t>протокол </w:t>
      </w:r>
      <w:r>
        <w:rPr>
          <w:color w:val="231F20"/>
        </w:rPr>
        <w:t>2007. </w:t>
      </w:r>
      <w:r>
        <w:rPr>
          <w:color w:val="231F20"/>
          <w:spacing w:val="-3"/>
        </w:rPr>
        <w:t>године </w:t>
      </w:r>
      <w:r>
        <w:rPr>
          <w:color w:val="231F20"/>
        </w:rPr>
        <w:t>и нема обавезу да га примени пре 2015/2017. годи- не (с обзиром да се не налази на списку Аnnеxа 2), у стратешком планирању развоја енергетског и </w:t>
      </w:r>
      <w:r>
        <w:rPr>
          <w:color w:val="231F20"/>
          <w:spacing w:val="-3"/>
        </w:rPr>
        <w:t>рударског </w:t>
      </w:r>
      <w:r>
        <w:rPr>
          <w:color w:val="231F20"/>
        </w:rPr>
        <w:t>сектора потребне су припреме и прилагођавања развојне политике у складу са општим трендом. Препорука је да се испита потенцијално/алтернативно решење начина за складиштење CО</w:t>
      </w:r>
      <w:r>
        <w:rPr>
          <w:color w:val="231F20"/>
          <w:position w:val="-5"/>
          <w:sz w:val="10"/>
        </w:rPr>
        <w:t>2 </w:t>
      </w:r>
      <w:r>
        <w:rPr>
          <w:color w:val="231F20"/>
        </w:rPr>
        <w:t>и његова оправданост. Једна могућност је резервација простора за изградњу подземног склади- шта</w:t>
      </w:r>
      <w:r>
        <w:rPr>
          <w:color w:val="231F20"/>
          <w:spacing w:val="5"/>
        </w:rPr>
        <w:t> </w:t>
      </w:r>
      <w:r>
        <w:rPr>
          <w:color w:val="231F20"/>
        </w:rPr>
        <w:t>(врло</w:t>
      </w:r>
      <w:r>
        <w:rPr>
          <w:color w:val="231F20"/>
          <w:spacing w:val="5"/>
        </w:rPr>
        <w:t> </w:t>
      </w:r>
      <w:r>
        <w:rPr>
          <w:color w:val="231F20"/>
        </w:rPr>
        <w:t>скупо</w:t>
      </w:r>
      <w:r>
        <w:rPr>
          <w:color w:val="231F20"/>
          <w:spacing w:val="5"/>
        </w:rPr>
        <w:t> </w:t>
      </w:r>
      <w:r>
        <w:rPr>
          <w:color w:val="231F20"/>
        </w:rPr>
        <w:t>решење)</w:t>
      </w:r>
      <w:r>
        <w:rPr>
          <w:color w:val="231F20"/>
          <w:spacing w:val="5"/>
        </w:rPr>
        <w:t> </w:t>
      </w:r>
      <w:r>
        <w:rPr>
          <w:color w:val="231F20"/>
        </w:rPr>
        <w:t>на</w:t>
      </w:r>
      <w:r>
        <w:rPr>
          <w:color w:val="231F20"/>
          <w:spacing w:val="5"/>
        </w:rPr>
        <w:t> </w:t>
      </w:r>
      <w:r>
        <w:rPr>
          <w:color w:val="231F20"/>
        </w:rPr>
        <w:t>подручју</w:t>
      </w:r>
      <w:r>
        <w:rPr>
          <w:color w:val="231F20"/>
          <w:spacing w:val="5"/>
        </w:rPr>
        <w:t> </w:t>
      </w:r>
      <w:r>
        <w:rPr>
          <w:color w:val="231F20"/>
        </w:rPr>
        <w:t>басена,</w:t>
      </w:r>
      <w:r>
        <w:rPr>
          <w:color w:val="231F20"/>
          <w:spacing w:val="5"/>
        </w:rPr>
        <w:t> </w:t>
      </w:r>
      <w:r>
        <w:rPr>
          <w:color w:val="231F20"/>
        </w:rPr>
        <w:t>док</w:t>
      </w:r>
      <w:r>
        <w:rPr>
          <w:color w:val="231F20"/>
          <w:spacing w:val="5"/>
        </w:rPr>
        <w:t> </w:t>
      </w:r>
      <w:r>
        <w:rPr>
          <w:color w:val="231F20"/>
        </w:rPr>
        <w:t>је</w:t>
      </w:r>
      <w:r>
        <w:rPr>
          <w:color w:val="231F20"/>
          <w:spacing w:val="5"/>
        </w:rPr>
        <w:t> </w:t>
      </w:r>
      <w:r>
        <w:rPr>
          <w:color w:val="231F20"/>
        </w:rPr>
        <w:t>друга</w:t>
      </w:r>
      <w:r>
        <w:rPr>
          <w:color w:val="231F20"/>
          <w:spacing w:val="5"/>
        </w:rPr>
        <w:t> </w:t>
      </w:r>
      <w:r>
        <w:rPr>
          <w:color w:val="231F20"/>
        </w:rPr>
        <w:t>опција</w:t>
      </w:r>
    </w:p>
    <w:p>
      <w:pPr>
        <w:pStyle w:val="BodyText"/>
        <w:spacing w:line="241" w:lineRule="exact"/>
        <w:ind w:left="454"/>
        <w:jc w:val="left"/>
      </w:pPr>
      <w:r>
        <w:rPr>
          <w:color w:val="231F20"/>
        </w:rPr>
        <w:t>„извоз” CО</w:t>
      </w:r>
      <w:r>
        <w:rPr>
          <w:color w:val="231F20"/>
          <w:position w:val="-5"/>
          <w:sz w:val="10"/>
        </w:rPr>
        <w:t>2 </w:t>
      </w:r>
      <w:r>
        <w:rPr>
          <w:color w:val="231F20"/>
        </w:rPr>
        <w:t>у неко друго подручје/државу (такође скупо решење).</w:t>
      </w:r>
    </w:p>
    <w:p>
      <w:pPr>
        <w:pStyle w:val="ListParagraph"/>
        <w:numPr>
          <w:ilvl w:val="1"/>
          <w:numId w:val="46"/>
        </w:numPr>
        <w:tabs>
          <w:tab w:pos="1995" w:val="left" w:leader="none"/>
        </w:tabs>
        <w:spacing w:line="240" w:lineRule="auto" w:before="124" w:after="0"/>
        <w:ind w:left="1994" w:right="0" w:hanging="315"/>
        <w:jc w:val="left"/>
        <w:rPr>
          <w:i/>
          <w:sz w:val="18"/>
        </w:rPr>
      </w:pPr>
      <w:r>
        <w:rPr>
          <w:i/>
          <w:color w:val="231F20"/>
          <w:sz w:val="18"/>
        </w:rPr>
        <w:t>Регионални и локални</w:t>
      </w:r>
      <w:r>
        <w:rPr>
          <w:i/>
          <w:color w:val="231F20"/>
          <w:spacing w:val="-5"/>
          <w:sz w:val="18"/>
        </w:rPr>
        <w:t> </w:t>
      </w:r>
      <w:r>
        <w:rPr>
          <w:i/>
          <w:color w:val="231F20"/>
          <w:sz w:val="18"/>
        </w:rPr>
        <w:t>аспекти</w:t>
      </w:r>
    </w:p>
    <w:p>
      <w:pPr>
        <w:pStyle w:val="BodyText"/>
        <w:spacing w:before="8"/>
        <w:ind w:left="0"/>
        <w:jc w:val="left"/>
        <w:rPr>
          <w:i/>
          <w:sz w:val="17"/>
        </w:rPr>
      </w:pPr>
    </w:p>
    <w:p>
      <w:pPr>
        <w:pStyle w:val="BodyText"/>
        <w:spacing w:line="235" w:lineRule="auto"/>
        <w:ind w:left="453" w:right="1" w:firstLine="396"/>
      </w:pPr>
      <w:r>
        <w:rPr>
          <w:color w:val="231F20"/>
        </w:rPr>
        <w:t>У регионалном окружењу Планског подручја, већ је</w:t>
      </w:r>
      <w:r>
        <w:rPr>
          <w:color w:val="231F20"/>
          <w:spacing w:val="-32"/>
        </w:rPr>
        <w:t> </w:t>
      </w:r>
      <w:r>
        <w:rPr>
          <w:color w:val="231F20"/>
        </w:rPr>
        <w:t>предузе- то мноштво акција за институционално и организационо прилаго- ђавање</w:t>
      </w:r>
      <w:r>
        <w:rPr>
          <w:color w:val="231F20"/>
          <w:spacing w:val="-6"/>
        </w:rPr>
        <w:t> </w:t>
      </w:r>
      <w:r>
        <w:rPr>
          <w:color w:val="231F20"/>
        </w:rPr>
        <w:t>за</w:t>
      </w:r>
      <w:r>
        <w:rPr>
          <w:color w:val="231F20"/>
          <w:spacing w:val="-6"/>
        </w:rPr>
        <w:t> </w:t>
      </w:r>
      <w:r>
        <w:rPr>
          <w:color w:val="231F20"/>
        </w:rPr>
        <w:t>ново</w:t>
      </w:r>
      <w:r>
        <w:rPr>
          <w:color w:val="231F20"/>
          <w:spacing w:val="-6"/>
        </w:rPr>
        <w:t> </w:t>
      </w:r>
      <w:r>
        <w:rPr>
          <w:color w:val="231F20"/>
        </w:rPr>
        <w:t>управљање</w:t>
      </w:r>
      <w:r>
        <w:rPr>
          <w:color w:val="231F20"/>
          <w:spacing w:val="-6"/>
        </w:rPr>
        <w:t> </w:t>
      </w:r>
      <w:r>
        <w:rPr>
          <w:color w:val="231F20"/>
        </w:rPr>
        <w:t>локалним</w:t>
      </w:r>
      <w:r>
        <w:rPr>
          <w:color w:val="231F20"/>
          <w:spacing w:val="-6"/>
        </w:rPr>
        <w:t> </w:t>
      </w:r>
      <w:r>
        <w:rPr>
          <w:color w:val="231F20"/>
        </w:rPr>
        <w:t>и</w:t>
      </w:r>
      <w:r>
        <w:rPr>
          <w:color w:val="231F20"/>
          <w:spacing w:val="-6"/>
        </w:rPr>
        <w:t> </w:t>
      </w:r>
      <w:r>
        <w:rPr>
          <w:color w:val="231F20"/>
        </w:rPr>
        <w:t>регионалним</w:t>
      </w:r>
      <w:r>
        <w:rPr>
          <w:color w:val="231F20"/>
          <w:spacing w:val="-6"/>
        </w:rPr>
        <w:t> </w:t>
      </w:r>
      <w:r>
        <w:rPr>
          <w:color w:val="231F20"/>
        </w:rPr>
        <w:t>развојем.</w:t>
      </w:r>
      <w:r>
        <w:rPr>
          <w:color w:val="231F20"/>
          <w:spacing w:val="-6"/>
        </w:rPr>
        <w:t> </w:t>
      </w:r>
      <w:r>
        <w:rPr>
          <w:color w:val="231F20"/>
        </w:rPr>
        <w:t>Још увек су отворена многа питања и ова проблематика изискује даља истраживања, евалуацију могућних опција и промишљен избор најбољих решења. Приложена је схема чија би примена </w:t>
      </w:r>
      <w:r>
        <w:rPr>
          <w:color w:val="231F20"/>
          <w:spacing w:val="-3"/>
        </w:rPr>
        <w:t>помогла  </w:t>
      </w:r>
      <w:r>
        <w:rPr>
          <w:color w:val="231F20"/>
        </w:rPr>
        <w:t>у успостављању сталне евалуације стратешких одлука у контек- сту општих институционално-организационих прилагођавања на регионалном</w:t>
      </w:r>
      <w:r>
        <w:rPr>
          <w:color w:val="231F20"/>
          <w:spacing w:val="-1"/>
        </w:rPr>
        <w:t> </w:t>
      </w:r>
      <w:r>
        <w:rPr>
          <w:color w:val="231F20"/>
          <w:spacing w:val="-5"/>
        </w:rPr>
        <w:t>нивоу.</w:t>
      </w:r>
    </w:p>
    <w:p>
      <w:pPr>
        <w:pStyle w:val="BodyText"/>
        <w:spacing w:line="235" w:lineRule="auto" w:before="7"/>
        <w:ind w:left="453" w:firstLine="396"/>
      </w:pPr>
      <w:r>
        <w:rPr>
          <w:color w:val="231F20"/>
        </w:rPr>
        <w:t>Трајна институционално-организациона решења за управља- ње на регионалном нивоу треба дефинисати и евалуирати кроз више алтернатива и могућности, оцењивањем њихових добрих и лоших страна, применом већег броја критеријума, међу којима су и следећа:</w:t>
      </w:r>
    </w:p>
    <w:p>
      <w:pPr>
        <w:pStyle w:val="BodyText"/>
        <w:spacing w:line="205" w:lineRule="exact"/>
        <w:ind w:left="851"/>
        <w:jc w:val="left"/>
      </w:pPr>
      <w:r>
        <w:rPr>
          <w:color w:val="231F20"/>
          <w:w w:val="66"/>
        </w:rPr>
        <w:t> </w:t>
      </w:r>
      <w:r>
        <w:rPr>
          <w:color w:val="231F20"/>
        </w:rPr>
        <w:t>– могућност мобилизације ресурса за развој;</w:t>
      </w:r>
    </w:p>
    <w:p>
      <w:pPr>
        <w:pStyle w:val="BodyText"/>
        <w:spacing w:line="235" w:lineRule="auto" w:before="2"/>
        <w:ind w:left="453" w:firstLine="397"/>
      </w:pPr>
      <w:r>
        <w:rPr>
          <w:color w:val="231F20"/>
          <w:w w:val="66"/>
        </w:rPr>
        <w:t> </w:t>
      </w:r>
      <w:r>
        <w:rPr>
          <w:color w:val="231F20"/>
        </w:rPr>
        <w:t>–</w:t>
      </w:r>
      <w:r>
        <w:rPr>
          <w:color w:val="231F20"/>
          <w:spacing w:val="-10"/>
        </w:rPr>
        <w:t> </w:t>
      </w:r>
      <w:r>
        <w:rPr>
          <w:color w:val="231F20"/>
        </w:rPr>
        <w:t>степен</w:t>
      </w:r>
      <w:r>
        <w:rPr>
          <w:color w:val="231F20"/>
          <w:spacing w:val="-11"/>
        </w:rPr>
        <w:t> </w:t>
      </w:r>
      <w:r>
        <w:rPr>
          <w:color w:val="231F20"/>
        </w:rPr>
        <w:t>де/централизације</w:t>
      </w:r>
      <w:r>
        <w:rPr>
          <w:color w:val="231F20"/>
          <w:spacing w:val="-11"/>
        </w:rPr>
        <w:t> </w:t>
      </w:r>
      <w:r>
        <w:rPr>
          <w:color w:val="231F20"/>
          <w:spacing w:val="-3"/>
        </w:rPr>
        <w:t>који</w:t>
      </w:r>
      <w:r>
        <w:rPr>
          <w:color w:val="231F20"/>
          <w:spacing w:val="-10"/>
        </w:rPr>
        <w:t> </w:t>
      </w:r>
      <w:r>
        <w:rPr>
          <w:color w:val="231F20"/>
        </w:rPr>
        <w:t>се</w:t>
      </w:r>
      <w:r>
        <w:rPr>
          <w:color w:val="231F20"/>
          <w:spacing w:val="-11"/>
        </w:rPr>
        <w:t> </w:t>
      </w:r>
      <w:r>
        <w:rPr>
          <w:color w:val="231F20"/>
        </w:rPr>
        <w:t>жели</w:t>
      </w:r>
      <w:r>
        <w:rPr>
          <w:color w:val="231F20"/>
          <w:spacing w:val="-10"/>
        </w:rPr>
        <w:t> </w:t>
      </w:r>
      <w:r>
        <w:rPr>
          <w:color w:val="231F20"/>
        </w:rPr>
        <w:t>остварити</w:t>
      </w:r>
      <w:r>
        <w:rPr>
          <w:color w:val="231F20"/>
          <w:spacing w:val="-10"/>
        </w:rPr>
        <w:t> </w:t>
      </w:r>
      <w:r>
        <w:rPr>
          <w:color w:val="231F20"/>
        </w:rPr>
        <w:t>на</w:t>
      </w:r>
      <w:r>
        <w:rPr>
          <w:color w:val="231F20"/>
          <w:spacing w:val="-11"/>
        </w:rPr>
        <w:t> </w:t>
      </w:r>
      <w:r>
        <w:rPr>
          <w:color w:val="231F20"/>
        </w:rPr>
        <w:t>суб-на- ционалним управљачким</w:t>
      </w:r>
      <w:r>
        <w:rPr>
          <w:color w:val="231F20"/>
          <w:spacing w:val="-2"/>
        </w:rPr>
        <w:t> </w:t>
      </w:r>
      <w:r>
        <w:rPr>
          <w:color w:val="231F20"/>
        </w:rPr>
        <w:t>нивоима;</w:t>
      </w:r>
    </w:p>
    <w:p>
      <w:pPr>
        <w:pStyle w:val="BodyText"/>
        <w:spacing w:line="203" w:lineRule="exact"/>
        <w:ind w:left="850"/>
        <w:jc w:val="left"/>
      </w:pPr>
      <w:r>
        <w:rPr>
          <w:color w:val="231F20"/>
          <w:w w:val="66"/>
        </w:rPr>
        <w:t> </w:t>
      </w:r>
      <w:r>
        <w:rPr>
          <w:color w:val="231F20"/>
        </w:rPr>
        <w:t>– ефикасност остваривања одлука;</w:t>
      </w:r>
    </w:p>
    <w:p>
      <w:pPr>
        <w:pStyle w:val="BodyText"/>
        <w:spacing w:line="235" w:lineRule="auto" w:before="2"/>
        <w:ind w:left="453" w:right="1" w:firstLine="397"/>
      </w:pPr>
      <w:r>
        <w:rPr>
          <w:color w:val="231F20"/>
          <w:w w:val="66"/>
        </w:rPr>
        <w:t> </w:t>
      </w:r>
      <w:r>
        <w:rPr>
          <w:color w:val="231F20"/>
        </w:rPr>
        <w:t>–</w:t>
      </w:r>
      <w:r>
        <w:rPr>
          <w:color w:val="231F20"/>
          <w:spacing w:val="-7"/>
        </w:rPr>
        <w:t> </w:t>
      </w:r>
      <w:r>
        <w:rPr>
          <w:color w:val="231F20"/>
        </w:rPr>
        <w:t>могућност</w:t>
      </w:r>
      <w:r>
        <w:rPr>
          <w:color w:val="231F20"/>
          <w:spacing w:val="-7"/>
        </w:rPr>
        <w:t> </w:t>
      </w:r>
      <w:r>
        <w:rPr>
          <w:color w:val="231F20"/>
        </w:rPr>
        <w:t>политичке</w:t>
      </w:r>
      <w:r>
        <w:rPr>
          <w:color w:val="231F20"/>
          <w:spacing w:val="-7"/>
        </w:rPr>
        <w:t> </w:t>
      </w:r>
      <w:r>
        <w:rPr>
          <w:color w:val="231F20"/>
        </w:rPr>
        <w:t>и</w:t>
      </w:r>
      <w:r>
        <w:rPr>
          <w:color w:val="231F20"/>
          <w:spacing w:val="-7"/>
        </w:rPr>
        <w:t> </w:t>
      </w:r>
      <w:r>
        <w:rPr>
          <w:color w:val="231F20"/>
        </w:rPr>
        <w:t>експертске</w:t>
      </w:r>
      <w:r>
        <w:rPr>
          <w:color w:val="231F20"/>
          <w:spacing w:val="-7"/>
        </w:rPr>
        <w:t> </w:t>
      </w:r>
      <w:r>
        <w:rPr>
          <w:color w:val="231F20"/>
        </w:rPr>
        <w:t>манипулације,</w:t>
      </w:r>
      <w:r>
        <w:rPr>
          <w:color w:val="231F20"/>
          <w:spacing w:val="-7"/>
        </w:rPr>
        <w:t> </w:t>
      </w:r>
      <w:r>
        <w:rPr>
          <w:color w:val="231F20"/>
        </w:rPr>
        <w:t>односно, њеног</w:t>
      </w:r>
      <w:r>
        <w:rPr>
          <w:color w:val="231F20"/>
          <w:spacing w:val="-2"/>
        </w:rPr>
        <w:t> </w:t>
      </w:r>
      <w:r>
        <w:rPr>
          <w:color w:val="231F20"/>
        </w:rPr>
        <w:t>спречавања;</w:t>
      </w:r>
    </w:p>
    <w:p>
      <w:pPr>
        <w:pStyle w:val="BodyText"/>
        <w:spacing w:line="203" w:lineRule="exact"/>
        <w:ind w:left="850"/>
        <w:jc w:val="left"/>
      </w:pPr>
      <w:r>
        <w:rPr>
          <w:color w:val="231F20"/>
          <w:w w:val="66"/>
        </w:rPr>
        <w:t> </w:t>
      </w:r>
      <w:r>
        <w:rPr>
          <w:color w:val="231F20"/>
        </w:rPr>
        <w:t>– могућности за решавање проблема фрагментације; и</w:t>
      </w:r>
    </w:p>
    <w:p>
      <w:pPr>
        <w:pStyle w:val="BodyText"/>
        <w:spacing w:line="204" w:lineRule="exact"/>
        <w:ind w:left="850"/>
        <w:jc w:val="left"/>
      </w:pPr>
      <w:r>
        <w:rPr>
          <w:color w:val="231F20"/>
          <w:w w:val="66"/>
        </w:rPr>
        <w:t> </w:t>
      </w:r>
      <w:r>
        <w:rPr>
          <w:color w:val="231F20"/>
        </w:rPr>
        <w:t>– степен надређености „планова вишег реда”.</w:t>
      </w:r>
    </w:p>
    <w:p>
      <w:pPr>
        <w:pStyle w:val="BodyText"/>
        <w:spacing w:line="235" w:lineRule="auto" w:before="1"/>
        <w:ind w:left="454" w:firstLine="396"/>
      </w:pPr>
      <w:r>
        <w:rPr>
          <w:color w:val="231F20"/>
        </w:rPr>
        <w:t>Ефикасан и рационалан развој рударско-енергетског ком- плекса, одрживо решавање просторних, еколошких и социоеко- номских конфликата на Планском подручју (посебно у домену пресељења становништва, односно измештања насеља, привред- них, инфраструктурних и других система), као и проблеми у синхронизацији бројних активности на решавању дугорочних и оперативних проблема захтевају доградњу институционалног си- стема, нормативних и других решења на републичком и локалном нивоу. Овим решењима треба обухватити следеће области, одно- сно групе проблема:</w:t>
      </w:r>
    </w:p>
    <w:p>
      <w:pPr>
        <w:pStyle w:val="BodyText"/>
        <w:spacing w:line="232" w:lineRule="auto" w:before="73"/>
        <w:ind w:left="242" w:right="127" w:firstLine="396"/>
      </w:pPr>
      <w:r>
        <w:rPr/>
        <w:br w:type="column"/>
      </w:r>
      <w:r>
        <w:rPr>
          <w:color w:val="231F20"/>
          <w:w w:val="66"/>
        </w:rPr>
        <w:t> </w:t>
      </w:r>
      <w:r>
        <w:rPr>
          <w:color w:val="231F20"/>
        </w:rPr>
        <w:t>– усклађивање израде и верификације </w:t>
      </w:r>
      <w:r>
        <w:rPr>
          <w:color w:val="231F20"/>
          <w:spacing w:val="-3"/>
        </w:rPr>
        <w:t>студијске, </w:t>
      </w:r>
      <w:r>
        <w:rPr>
          <w:color w:val="231F20"/>
        </w:rPr>
        <w:t>планске и техничке</w:t>
      </w:r>
      <w:r>
        <w:rPr>
          <w:color w:val="231F20"/>
          <w:spacing w:val="-7"/>
        </w:rPr>
        <w:t> </w:t>
      </w:r>
      <w:r>
        <w:rPr>
          <w:color w:val="231F20"/>
        </w:rPr>
        <w:t>документације</w:t>
      </w:r>
      <w:r>
        <w:rPr>
          <w:color w:val="231F20"/>
          <w:spacing w:val="-7"/>
        </w:rPr>
        <w:t> </w:t>
      </w:r>
      <w:r>
        <w:rPr>
          <w:color w:val="231F20"/>
        </w:rPr>
        <w:t>у</w:t>
      </w:r>
      <w:r>
        <w:rPr>
          <w:color w:val="231F20"/>
          <w:spacing w:val="-7"/>
        </w:rPr>
        <w:t> </w:t>
      </w:r>
      <w:r>
        <w:rPr>
          <w:color w:val="231F20"/>
        </w:rPr>
        <w:t>различитим</w:t>
      </w:r>
      <w:r>
        <w:rPr>
          <w:color w:val="231F20"/>
          <w:spacing w:val="-7"/>
        </w:rPr>
        <w:t> </w:t>
      </w:r>
      <w:r>
        <w:rPr>
          <w:color w:val="231F20"/>
        </w:rPr>
        <w:t>областима:</w:t>
      </w:r>
      <w:r>
        <w:rPr>
          <w:color w:val="231F20"/>
          <w:spacing w:val="-7"/>
        </w:rPr>
        <w:t> </w:t>
      </w:r>
      <w:r>
        <w:rPr>
          <w:color w:val="231F20"/>
          <w:spacing w:val="-5"/>
        </w:rPr>
        <w:t>рударству,</w:t>
      </w:r>
      <w:r>
        <w:rPr>
          <w:color w:val="231F20"/>
          <w:spacing w:val="-7"/>
        </w:rPr>
        <w:t> </w:t>
      </w:r>
      <w:r>
        <w:rPr>
          <w:color w:val="231F20"/>
        </w:rPr>
        <w:t>енер- гетици, </w:t>
      </w:r>
      <w:r>
        <w:rPr>
          <w:color w:val="231F20"/>
          <w:spacing w:val="-3"/>
        </w:rPr>
        <w:t>грађевинарству, </w:t>
      </w:r>
      <w:r>
        <w:rPr>
          <w:color w:val="231F20"/>
        </w:rPr>
        <w:t>уређењу простора, привредном и социјал- ном </w:t>
      </w:r>
      <w:r>
        <w:rPr>
          <w:color w:val="231F20"/>
          <w:spacing w:val="-3"/>
        </w:rPr>
        <w:t>развоју, </w:t>
      </w:r>
      <w:r>
        <w:rPr>
          <w:color w:val="231F20"/>
        </w:rPr>
        <w:t>саобраћају, водопривреди, пољопривреди и шумар- </w:t>
      </w:r>
      <w:r>
        <w:rPr>
          <w:color w:val="231F20"/>
          <w:spacing w:val="-5"/>
        </w:rPr>
        <w:t>ству, </w:t>
      </w:r>
      <w:r>
        <w:rPr>
          <w:color w:val="231F20"/>
        </w:rPr>
        <w:t>животној средини и друго;</w:t>
      </w:r>
    </w:p>
    <w:p>
      <w:pPr>
        <w:pStyle w:val="BodyText"/>
        <w:spacing w:line="232" w:lineRule="auto"/>
        <w:ind w:left="242" w:right="128" w:firstLine="396"/>
      </w:pPr>
      <w:r>
        <w:rPr>
          <w:color w:val="231F20"/>
          <w:w w:val="66"/>
        </w:rPr>
        <w:t> </w:t>
      </w:r>
      <w:r>
        <w:rPr>
          <w:color w:val="231F20"/>
        </w:rPr>
        <w:t>– институционална решења за управљање развојем и ускла- ђивање различитих интереса у развоју;</w:t>
      </w:r>
    </w:p>
    <w:p>
      <w:pPr>
        <w:pStyle w:val="BodyText"/>
        <w:spacing w:line="232" w:lineRule="auto"/>
        <w:ind w:left="242" w:right="127" w:firstLine="396"/>
      </w:pPr>
      <w:r>
        <w:rPr>
          <w:color w:val="231F20"/>
          <w:w w:val="66"/>
        </w:rPr>
        <w:t> </w:t>
      </w:r>
      <w:r>
        <w:rPr>
          <w:color w:val="231F20"/>
        </w:rPr>
        <w:t>– организовано пресељење становништва из зоне рударских радова, решавање својинских и имовинско-правних проблема, об- лици накнаде и слично;</w:t>
      </w:r>
    </w:p>
    <w:p>
      <w:pPr>
        <w:pStyle w:val="BodyText"/>
        <w:spacing w:line="232" w:lineRule="auto"/>
        <w:ind w:left="243" w:right="127" w:firstLine="396"/>
      </w:pPr>
      <w:r>
        <w:rPr>
          <w:color w:val="231F20"/>
          <w:w w:val="66"/>
        </w:rPr>
        <w:t> </w:t>
      </w:r>
      <w:r>
        <w:rPr>
          <w:color w:val="231F20"/>
        </w:rPr>
        <w:t>–</w:t>
      </w:r>
      <w:r>
        <w:rPr>
          <w:color w:val="231F20"/>
          <w:spacing w:val="-9"/>
        </w:rPr>
        <w:t> </w:t>
      </w:r>
      <w:r>
        <w:rPr>
          <w:color w:val="231F20"/>
        </w:rPr>
        <w:t>проблематика</w:t>
      </w:r>
      <w:r>
        <w:rPr>
          <w:color w:val="231F20"/>
          <w:spacing w:val="-9"/>
        </w:rPr>
        <w:t> </w:t>
      </w:r>
      <w:r>
        <w:rPr>
          <w:color w:val="231F20"/>
        </w:rPr>
        <w:t>животне</w:t>
      </w:r>
      <w:r>
        <w:rPr>
          <w:color w:val="231F20"/>
          <w:spacing w:val="-9"/>
        </w:rPr>
        <w:t> </w:t>
      </w:r>
      <w:r>
        <w:rPr>
          <w:color w:val="231F20"/>
        </w:rPr>
        <w:t>средине</w:t>
      </w:r>
      <w:r>
        <w:rPr>
          <w:color w:val="231F20"/>
          <w:spacing w:val="-9"/>
        </w:rPr>
        <w:t> </w:t>
      </w:r>
      <w:r>
        <w:rPr>
          <w:color w:val="231F20"/>
        </w:rPr>
        <w:t>и</w:t>
      </w:r>
      <w:r>
        <w:rPr>
          <w:color w:val="231F20"/>
          <w:spacing w:val="-9"/>
        </w:rPr>
        <w:t> </w:t>
      </w:r>
      <w:r>
        <w:rPr>
          <w:color w:val="231F20"/>
        </w:rPr>
        <w:t>рекултивације</w:t>
      </w:r>
      <w:r>
        <w:rPr>
          <w:color w:val="231F20"/>
          <w:spacing w:val="-9"/>
        </w:rPr>
        <w:t> </w:t>
      </w:r>
      <w:r>
        <w:rPr>
          <w:color w:val="231F20"/>
        </w:rPr>
        <w:t>оштећеног земљишта и уређење простора по завршетку рударских</w:t>
      </w:r>
      <w:r>
        <w:rPr>
          <w:color w:val="231F20"/>
          <w:spacing w:val="-21"/>
        </w:rPr>
        <w:t> </w:t>
      </w:r>
      <w:r>
        <w:rPr>
          <w:color w:val="231F20"/>
        </w:rPr>
        <w:t>радова;</w:t>
      </w:r>
    </w:p>
    <w:p>
      <w:pPr>
        <w:pStyle w:val="BodyText"/>
        <w:spacing w:line="232" w:lineRule="auto"/>
        <w:ind w:left="243" w:right="126" w:firstLine="396"/>
      </w:pPr>
      <w:r>
        <w:rPr>
          <w:color w:val="231F20"/>
          <w:w w:val="66"/>
        </w:rPr>
        <w:t> </w:t>
      </w:r>
      <w:r>
        <w:rPr>
          <w:color w:val="231F20"/>
        </w:rPr>
        <w:t>– заштита биодиверзитета и природних вредности, као и за- штита културног наслеђа;</w:t>
      </w:r>
    </w:p>
    <w:p>
      <w:pPr>
        <w:pStyle w:val="BodyText"/>
        <w:spacing w:line="232" w:lineRule="auto"/>
        <w:ind w:left="243" w:right="127" w:firstLine="397"/>
      </w:pPr>
      <w:r>
        <w:rPr>
          <w:color w:val="231F20"/>
          <w:w w:val="66"/>
        </w:rPr>
        <w:t> </w:t>
      </w:r>
      <w:r>
        <w:rPr>
          <w:color w:val="231F20"/>
        </w:rPr>
        <w:t>– питање финансирања развоја – покривања „непроизводних трошкова” и друго.</w:t>
      </w:r>
    </w:p>
    <w:p>
      <w:pPr>
        <w:pStyle w:val="BodyText"/>
        <w:spacing w:line="232" w:lineRule="auto"/>
        <w:ind w:left="186" w:right="127" w:firstLine="397"/>
        <w:jc w:val="right"/>
      </w:pPr>
      <w:r>
        <w:rPr>
          <w:color w:val="231F20"/>
        </w:rPr>
        <w:t>Поред организација на регионалном нивоу, одговарајућу планску службу треба организовати и за град Пожаревац, кроз спајање и јачање неких постојећих организација (завода, дирекци- ја и слично). Оне би се бавиле истоврсним пословима као што је наведено горе, и имале слична овлашћења, за подручје града. И овом случају треба дефинисати неколико алтернативних решења и извршити прелиминарну стручну евалуацију применом наведених критеријума, како би се о томе након тога обавила јавна расправа. Треба испитати могућност доношења посебног закона („lex spetialis”) за планирање и ревитализација зона обимне експлоата- ције минералних сировина уместо доградње и усклађивања посто-</w:t>
      </w:r>
    </w:p>
    <w:p>
      <w:pPr>
        <w:pStyle w:val="BodyText"/>
        <w:spacing w:line="198" w:lineRule="exact"/>
        <w:ind w:left="243"/>
        <w:jc w:val="left"/>
      </w:pPr>
      <w:r>
        <w:rPr>
          <w:color w:val="231F20"/>
        </w:rPr>
        <w:t>јећих закона. Таква решења постоје у неким земљама.</w:t>
      </w:r>
    </w:p>
    <w:p>
      <w:pPr>
        <w:pStyle w:val="BodyText"/>
        <w:spacing w:line="232" w:lineRule="auto" w:before="1"/>
        <w:ind w:left="243" w:right="126" w:firstLine="397"/>
      </w:pPr>
      <w:r>
        <w:rPr>
          <w:color w:val="231F20"/>
        </w:rPr>
        <w:t>У вези са унапређењем организационо-институционалних аспеката планирања и имплементације у великим рударским басе- нима требало би испитати могућност формирања посебног фонда за</w:t>
      </w:r>
      <w:r>
        <w:rPr>
          <w:color w:val="231F20"/>
          <w:spacing w:val="-11"/>
        </w:rPr>
        <w:t> </w:t>
      </w:r>
      <w:r>
        <w:rPr>
          <w:color w:val="231F20"/>
        </w:rPr>
        <w:t>финансирање</w:t>
      </w:r>
      <w:r>
        <w:rPr>
          <w:color w:val="231F20"/>
          <w:spacing w:val="-10"/>
        </w:rPr>
        <w:t> </w:t>
      </w:r>
      <w:r>
        <w:rPr>
          <w:color w:val="231F20"/>
        </w:rPr>
        <w:t>пратећих</w:t>
      </w:r>
      <w:r>
        <w:rPr>
          <w:color w:val="231F20"/>
          <w:spacing w:val="-10"/>
        </w:rPr>
        <w:t> </w:t>
      </w:r>
      <w:r>
        <w:rPr>
          <w:color w:val="231F20"/>
        </w:rPr>
        <w:t>активности</w:t>
      </w:r>
      <w:r>
        <w:rPr>
          <w:color w:val="231F20"/>
          <w:spacing w:val="-10"/>
        </w:rPr>
        <w:t> </w:t>
      </w:r>
      <w:r>
        <w:rPr>
          <w:color w:val="231F20"/>
        </w:rPr>
        <w:t>експлоатације</w:t>
      </w:r>
      <w:r>
        <w:rPr>
          <w:color w:val="231F20"/>
          <w:spacing w:val="-10"/>
        </w:rPr>
        <w:t> </w:t>
      </w:r>
      <w:r>
        <w:rPr>
          <w:color w:val="231F20"/>
        </w:rPr>
        <w:t>рударских</w:t>
      </w:r>
      <w:r>
        <w:rPr>
          <w:color w:val="231F20"/>
          <w:spacing w:val="-11"/>
        </w:rPr>
        <w:t> </w:t>
      </w:r>
      <w:r>
        <w:rPr>
          <w:color w:val="231F20"/>
        </w:rPr>
        <w:t>ба- сена (покривање непроизводних трошкова). </w:t>
      </w:r>
      <w:r>
        <w:rPr>
          <w:color w:val="231F20"/>
          <w:spacing w:val="-3"/>
        </w:rPr>
        <w:t>Такође, </w:t>
      </w:r>
      <w:r>
        <w:rPr>
          <w:color w:val="231F20"/>
        </w:rPr>
        <w:t>за препоруку је формирање посебне агенције (одбора, комисије) чије би надле- жности биле:</w:t>
      </w:r>
    </w:p>
    <w:p>
      <w:pPr>
        <w:pStyle w:val="BodyText"/>
        <w:spacing w:line="232" w:lineRule="auto"/>
        <w:ind w:left="243" w:right="127" w:firstLine="397"/>
      </w:pPr>
      <w:r>
        <w:rPr>
          <w:color w:val="231F20"/>
          <w:w w:val="66"/>
        </w:rPr>
        <w:t> </w:t>
      </w:r>
      <w:r>
        <w:rPr>
          <w:color w:val="231F20"/>
        </w:rPr>
        <w:t>–</w:t>
      </w:r>
      <w:r>
        <w:rPr>
          <w:color w:val="231F20"/>
          <w:spacing w:val="-8"/>
        </w:rPr>
        <w:t> </w:t>
      </w:r>
      <w:r>
        <w:rPr>
          <w:color w:val="231F20"/>
        </w:rPr>
        <w:t>координација</w:t>
      </w:r>
      <w:r>
        <w:rPr>
          <w:color w:val="231F20"/>
          <w:spacing w:val="-8"/>
        </w:rPr>
        <w:t> </w:t>
      </w:r>
      <w:r>
        <w:rPr>
          <w:color w:val="231F20"/>
        </w:rPr>
        <w:t>активности</w:t>
      </w:r>
      <w:r>
        <w:rPr>
          <w:color w:val="231F20"/>
          <w:spacing w:val="-8"/>
        </w:rPr>
        <w:t> </w:t>
      </w:r>
      <w:r>
        <w:rPr>
          <w:color w:val="231F20"/>
        </w:rPr>
        <w:t>на</w:t>
      </w:r>
      <w:r>
        <w:rPr>
          <w:color w:val="231F20"/>
          <w:spacing w:val="-9"/>
        </w:rPr>
        <w:t> </w:t>
      </w:r>
      <w:r>
        <w:rPr>
          <w:color w:val="231F20"/>
        </w:rPr>
        <w:t>припреми</w:t>
      </w:r>
      <w:r>
        <w:rPr>
          <w:color w:val="231F20"/>
          <w:spacing w:val="-8"/>
        </w:rPr>
        <w:t> </w:t>
      </w:r>
      <w:r>
        <w:rPr>
          <w:color w:val="231F20"/>
          <w:spacing w:val="-3"/>
        </w:rPr>
        <w:t>студијске,</w:t>
      </w:r>
      <w:r>
        <w:rPr>
          <w:color w:val="231F20"/>
          <w:spacing w:val="-8"/>
        </w:rPr>
        <w:t> </w:t>
      </w:r>
      <w:r>
        <w:rPr>
          <w:color w:val="231F20"/>
        </w:rPr>
        <w:t>планске</w:t>
      </w:r>
      <w:r>
        <w:rPr>
          <w:color w:val="231F20"/>
          <w:spacing w:val="-8"/>
        </w:rPr>
        <w:t> </w:t>
      </w:r>
      <w:r>
        <w:rPr>
          <w:color w:val="231F20"/>
        </w:rPr>
        <w:t>и техничке</w:t>
      </w:r>
      <w:r>
        <w:rPr>
          <w:color w:val="231F20"/>
          <w:spacing w:val="-7"/>
        </w:rPr>
        <w:t> </w:t>
      </w:r>
      <w:r>
        <w:rPr>
          <w:color w:val="231F20"/>
        </w:rPr>
        <w:t>документације,</w:t>
      </w:r>
      <w:r>
        <w:rPr>
          <w:color w:val="231F20"/>
          <w:spacing w:val="-7"/>
        </w:rPr>
        <w:t> </w:t>
      </w:r>
      <w:r>
        <w:rPr>
          <w:color w:val="231F20"/>
        </w:rPr>
        <w:t>односно</w:t>
      </w:r>
      <w:r>
        <w:rPr>
          <w:color w:val="231F20"/>
          <w:spacing w:val="-7"/>
        </w:rPr>
        <w:t> </w:t>
      </w:r>
      <w:r>
        <w:rPr>
          <w:color w:val="231F20"/>
        </w:rPr>
        <w:t>на</w:t>
      </w:r>
      <w:r>
        <w:rPr>
          <w:color w:val="231F20"/>
          <w:spacing w:val="-7"/>
        </w:rPr>
        <w:t> </w:t>
      </w:r>
      <w:r>
        <w:rPr>
          <w:color w:val="231F20"/>
        </w:rPr>
        <w:t>доношењу</w:t>
      </w:r>
      <w:r>
        <w:rPr>
          <w:color w:val="231F20"/>
          <w:spacing w:val="-7"/>
        </w:rPr>
        <w:t> </w:t>
      </w:r>
      <w:r>
        <w:rPr>
          <w:color w:val="231F20"/>
        </w:rPr>
        <w:t>и</w:t>
      </w:r>
      <w:r>
        <w:rPr>
          <w:color w:val="231F20"/>
          <w:spacing w:val="-7"/>
        </w:rPr>
        <w:t> </w:t>
      </w:r>
      <w:r>
        <w:rPr>
          <w:color w:val="231F20"/>
        </w:rPr>
        <w:t>имплементацији планских</w:t>
      </w:r>
      <w:r>
        <w:rPr>
          <w:color w:val="231F20"/>
          <w:spacing w:val="-1"/>
        </w:rPr>
        <w:t> </w:t>
      </w:r>
      <w:r>
        <w:rPr>
          <w:color w:val="231F20"/>
        </w:rPr>
        <w:t>одлука;</w:t>
      </w:r>
    </w:p>
    <w:p>
      <w:pPr>
        <w:pStyle w:val="BodyText"/>
        <w:spacing w:line="199" w:lineRule="exact"/>
        <w:ind w:left="639"/>
        <w:jc w:val="left"/>
      </w:pPr>
      <w:r>
        <w:rPr>
          <w:color w:val="231F20"/>
          <w:w w:val="66"/>
        </w:rPr>
        <w:t> </w:t>
      </w:r>
      <w:r>
        <w:rPr>
          <w:color w:val="231F20"/>
        </w:rPr>
        <w:t>– припрема оперативних планова и програма;</w:t>
      </w:r>
    </w:p>
    <w:p>
      <w:pPr>
        <w:pStyle w:val="BodyText"/>
        <w:spacing w:line="232" w:lineRule="auto" w:before="1"/>
        <w:ind w:left="243" w:right="127" w:firstLine="396"/>
      </w:pPr>
      <w:r>
        <w:rPr>
          <w:color w:val="231F20"/>
          <w:w w:val="66"/>
        </w:rPr>
        <w:t> </w:t>
      </w:r>
      <w:r>
        <w:rPr>
          <w:color w:val="231F20"/>
        </w:rPr>
        <w:t>– сервисирање фонда из </w:t>
      </w:r>
      <w:r>
        <w:rPr>
          <w:color w:val="231F20"/>
          <w:spacing w:val="-3"/>
        </w:rPr>
        <w:t>кога </w:t>
      </w:r>
      <w:r>
        <w:rPr>
          <w:color w:val="231F20"/>
        </w:rPr>
        <w:t>се алиментирају трошкови пре- сељења насеља, инфраструктурних и привредних објеката, </w:t>
      </w:r>
      <w:r>
        <w:rPr>
          <w:color w:val="231F20"/>
          <w:spacing w:val="-3"/>
        </w:rPr>
        <w:t>рекул- </w:t>
      </w:r>
      <w:r>
        <w:rPr>
          <w:color w:val="231F20"/>
        </w:rPr>
        <w:t>тивација депонија и других непроизводних трошкова;</w:t>
      </w:r>
    </w:p>
    <w:p>
      <w:pPr>
        <w:pStyle w:val="BodyText"/>
        <w:spacing w:line="232" w:lineRule="auto"/>
        <w:ind w:left="243" w:right="127" w:firstLine="396"/>
      </w:pPr>
      <w:r>
        <w:rPr>
          <w:color w:val="231F20"/>
          <w:w w:val="66"/>
        </w:rPr>
        <w:t> </w:t>
      </w:r>
      <w:r>
        <w:rPr>
          <w:color w:val="231F20"/>
        </w:rPr>
        <w:t>– контрола реализације годишњих и средњорочних програ- ма пресељења насеља (становништва) изградње и уређења нових локација;</w:t>
      </w:r>
    </w:p>
    <w:p>
      <w:pPr>
        <w:pStyle w:val="BodyText"/>
        <w:spacing w:line="232" w:lineRule="auto"/>
        <w:ind w:left="243" w:right="127" w:firstLine="396"/>
      </w:pPr>
      <w:r>
        <w:rPr>
          <w:color w:val="231F20"/>
          <w:w w:val="66"/>
        </w:rPr>
        <w:t> </w:t>
      </w:r>
      <w:r>
        <w:rPr>
          <w:color w:val="231F20"/>
        </w:rPr>
        <w:t>– контрола реализације програма рекултивације оштећеног земљишта и уређења рекултивисаних површина;</w:t>
      </w:r>
    </w:p>
    <w:p>
      <w:pPr>
        <w:pStyle w:val="BodyText"/>
        <w:spacing w:line="232" w:lineRule="auto"/>
        <w:ind w:left="243" w:right="127" w:firstLine="396"/>
      </w:pPr>
      <w:r>
        <w:rPr>
          <w:color w:val="231F20"/>
          <w:w w:val="66"/>
        </w:rPr>
        <w:t> </w:t>
      </w:r>
      <w:r>
        <w:rPr>
          <w:color w:val="231F20"/>
        </w:rPr>
        <w:t>– посредовање у договарању и усклађивању супротставље- них интереса у поступку спровођења планова и програма;</w:t>
      </w:r>
    </w:p>
    <w:p>
      <w:pPr>
        <w:pStyle w:val="BodyText"/>
        <w:spacing w:line="232" w:lineRule="auto"/>
        <w:ind w:left="243" w:right="126" w:firstLine="396"/>
      </w:pPr>
      <w:r>
        <w:rPr>
          <w:color w:val="231F20"/>
          <w:w w:val="66"/>
        </w:rPr>
        <w:t> </w:t>
      </w:r>
      <w:r>
        <w:rPr>
          <w:color w:val="231F20"/>
        </w:rPr>
        <w:t>– посредовање </w:t>
      </w:r>
      <w:r>
        <w:rPr>
          <w:color w:val="231F20"/>
          <w:spacing w:val="-6"/>
        </w:rPr>
        <w:t>код </w:t>
      </w:r>
      <w:r>
        <w:rPr>
          <w:color w:val="231F20"/>
        </w:rPr>
        <w:t>утврђивања накнада за експроприсане</w:t>
      </w:r>
      <w:r>
        <w:rPr>
          <w:color w:val="231F20"/>
          <w:spacing w:val="-27"/>
        </w:rPr>
        <w:t> </w:t>
      </w:r>
      <w:r>
        <w:rPr>
          <w:color w:val="231F20"/>
        </w:rPr>
        <w:t>не- покретности</w:t>
      </w:r>
      <w:r>
        <w:rPr>
          <w:color w:val="231F20"/>
          <w:spacing w:val="-6"/>
        </w:rPr>
        <w:t> </w:t>
      </w:r>
      <w:r>
        <w:rPr>
          <w:color w:val="231F20"/>
        </w:rPr>
        <w:t>и</w:t>
      </w:r>
      <w:r>
        <w:rPr>
          <w:color w:val="231F20"/>
          <w:spacing w:val="-6"/>
        </w:rPr>
        <w:t> </w:t>
      </w:r>
      <w:r>
        <w:rPr>
          <w:color w:val="231F20"/>
        </w:rPr>
        <w:t>утврђивање</w:t>
      </w:r>
      <w:r>
        <w:rPr>
          <w:color w:val="231F20"/>
          <w:spacing w:val="-6"/>
        </w:rPr>
        <w:t> </w:t>
      </w:r>
      <w:r>
        <w:rPr>
          <w:color w:val="231F20"/>
        </w:rPr>
        <w:t>других</w:t>
      </w:r>
      <w:r>
        <w:rPr>
          <w:color w:val="231F20"/>
          <w:spacing w:val="-6"/>
        </w:rPr>
        <w:t> </w:t>
      </w:r>
      <w:r>
        <w:rPr>
          <w:color w:val="231F20"/>
        </w:rPr>
        <w:t>услова</w:t>
      </w:r>
      <w:r>
        <w:rPr>
          <w:color w:val="231F20"/>
          <w:spacing w:val="-6"/>
        </w:rPr>
        <w:t> </w:t>
      </w:r>
      <w:r>
        <w:rPr>
          <w:color w:val="231F20"/>
        </w:rPr>
        <w:t>и</w:t>
      </w:r>
      <w:r>
        <w:rPr>
          <w:color w:val="231F20"/>
          <w:spacing w:val="-6"/>
        </w:rPr>
        <w:t> </w:t>
      </w:r>
      <w:r>
        <w:rPr>
          <w:color w:val="231F20"/>
        </w:rPr>
        <w:t>решења</w:t>
      </w:r>
      <w:r>
        <w:rPr>
          <w:color w:val="231F20"/>
          <w:spacing w:val="-6"/>
        </w:rPr>
        <w:t> </w:t>
      </w:r>
      <w:r>
        <w:rPr>
          <w:color w:val="231F20"/>
        </w:rPr>
        <w:t>у</w:t>
      </w:r>
      <w:r>
        <w:rPr>
          <w:color w:val="231F20"/>
          <w:spacing w:val="-6"/>
        </w:rPr>
        <w:t> </w:t>
      </w:r>
      <w:r>
        <w:rPr>
          <w:color w:val="231F20"/>
        </w:rPr>
        <w:t>поступку</w:t>
      </w:r>
      <w:r>
        <w:rPr>
          <w:color w:val="231F20"/>
          <w:spacing w:val="-6"/>
        </w:rPr>
        <w:t> </w:t>
      </w:r>
      <w:r>
        <w:rPr>
          <w:color w:val="231F20"/>
        </w:rPr>
        <w:t>ре- ализације програма пресељења становништва из зоне рударских радова;</w:t>
      </w:r>
      <w:r>
        <w:rPr>
          <w:color w:val="231F20"/>
          <w:spacing w:val="-1"/>
        </w:rPr>
        <w:t> </w:t>
      </w:r>
      <w:r>
        <w:rPr>
          <w:color w:val="231F20"/>
        </w:rPr>
        <w:t>и</w:t>
      </w:r>
    </w:p>
    <w:p>
      <w:pPr>
        <w:pStyle w:val="BodyText"/>
        <w:spacing w:line="232" w:lineRule="auto"/>
        <w:ind w:left="243" w:right="127" w:firstLine="397"/>
      </w:pPr>
      <w:r>
        <w:rPr>
          <w:color w:val="231F20"/>
          <w:w w:val="66"/>
        </w:rPr>
        <w:t> </w:t>
      </w:r>
      <w:r>
        <w:rPr>
          <w:color w:val="231F20"/>
        </w:rPr>
        <w:t>– предузимање других активности везаних за плански развој рударског басена и усклађивање супротних интереса.</w:t>
      </w:r>
    </w:p>
    <w:p>
      <w:pPr>
        <w:pStyle w:val="Heading1"/>
        <w:numPr>
          <w:ilvl w:val="0"/>
          <w:numId w:val="46"/>
        </w:numPr>
        <w:tabs>
          <w:tab w:pos="1083" w:val="left" w:leader="none"/>
        </w:tabs>
        <w:spacing w:line="240" w:lineRule="auto" w:before="164" w:after="0"/>
        <w:ind w:left="1082" w:right="0" w:hanging="180"/>
        <w:jc w:val="left"/>
      </w:pPr>
      <w:r>
        <w:rPr>
          <w:color w:val="231F20"/>
        </w:rPr>
        <w:t>Носиоци имплементације просторног</w:t>
      </w:r>
      <w:r>
        <w:rPr>
          <w:color w:val="231F20"/>
          <w:spacing w:val="-5"/>
        </w:rPr>
        <w:t> </w:t>
      </w:r>
      <w:r>
        <w:rPr>
          <w:color w:val="231F20"/>
        </w:rPr>
        <w:t>плана</w:t>
      </w:r>
    </w:p>
    <w:p>
      <w:pPr>
        <w:pStyle w:val="BodyText"/>
        <w:spacing w:before="4"/>
        <w:ind w:left="0"/>
        <w:jc w:val="left"/>
        <w:rPr>
          <w:b/>
          <w:sz w:val="17"/>
        </w:rPr>
      </w:pPr>
    </w:p>
    <w:p>
      <w:pPr>
        <w:pStyle w:val="BodyText"/>
        <w:spacing w:line="232" w:lineRule="auto"/>
        <w:ind w:left="243" w:right="127" w:firstLine="397"/>
      </w:pPr>
      <w:r>
        <w:rPr>
          <w:color w:val="231F20"/>
        </w:rPr>
        <w:t>Главни носиоци одговорности на примени и остваривању Просторног плана су:</w:t>
      </w:r>
    </w:p>
    <w:p>
      <w:pPr>
        <w:pStyle w:val="ListParagraph"/>
        <w:numPr>
          <w:ilvl w:val="0"/>
          <w:numId w:val="47"/>
        </w:numPr>
        <w:tabs>
          <w:tab w:pos="831" w:val="left" w:leader="none"/>
        </w:tabs>
        <w:spacing w:line="232" w:lineRule="auto" w:before="0" w:after="0"/>
        <w:ind w:left="243" w:right="127" w:firstLine="397"/>
        <w:jc w:val="both"/>
        <w:rPr>
          <w:sz w:val="18"/>
        </w:rPr>
      </w:pPr>
      <w:r>
        <w:rPr>
          <w:color w:val="231F20"/>
          <w:sz w:val="18"/>
        </w:rPr>
        <w:t>Влада </w:t>
      </w:r>
      <w:r>
        <w:rPr>
          <w:color w:val="231F20"/>
          <w:spacing w:val="-3"/>
          <w:sz w:val="18"/>
        </w:rPr>
        <w:t>Републике </w:t>
      </w:r>
      <w:r>
        <w:rPr>
          <w:color w:val="231F20"/>
          <w:sz w:val="18"/>
        </w:rPr>
        <w:t>Србије са министарствима и надлежним институцијама, посебно за области </w:t>
      </w:r>
      <w:r>
        <w:rPr>
          <w:color w:val="231F20"/>
          <w:spacing w:val="-3"/>
          <w:sz w:val="18"/>
        </w:rPr>
        <w:t>рударства </w:t>
      </w:r>
      <w:r>
        <w:rPr>
          <w:color w:val="231F20"/>
          <w:sz w:val="18"/>
        </w:rPr>
        <w:t>и енергетике, урба- низма и просторног планирања, финансија, водопривреде и пољо- привреде, животне средине, саобраћаја и</w:t>
      </w:r>
      <w:r>
        <w:rPr>
          <w:color w:val="231F20"/>
          <w:spacing w:val="-7"/>
          <w:sz w:val="18"/>
        </w:rPr>
        <w:t> </w:t>
      </w:r>
      <w:r>
        <w:rPr>
          <w:color w:val="231F20"/>
          <w:sz w:val="18"/>
        </w:rPr>
        <w:t>друго;</w:t>
      </w:r>
    </w:p>
    <w:p>
      <w:pPr>
        <w:pStyle w:val="ListParagraph"/>
        <w:numPr>
          <w:ilvl w:val="0"/>
          <w:numId w:val="47"/>
        </w:numPr>
        <w:tabs>
          <w:tab w:pos="821" w:val="left" w:leader="none"/>
        </w:tabs>
        <w:spacing w:line="199" w:lineRule="exact" w:before="0" w:after="0"/>
        <w:ind w:left="820" w:right="0" w:hanging="180"/>
        <w:jc w:val="left"/>
        <w:rPr>
          <w:sz w:val="18"/>
        </w:rPr>
      </w:pPr>
      <w:r>
        <w:rPr>
          <w:color w:val="231F20"/>
          <w:sz w:val="18"/>
        </w:rPr>
        <w:t>ЈП „Електропривреда</w:t>
      </w:r>
      <w:r>
        <w:rPr>
          <w:color w:val="231F20"/>
          <w:spacing w:val="-2"/>
          <w:sz w:val="18"/>
        </w:rPr>
        <w:t> </w:t>
      </w:r>
      <w:r>
        <w:rPr>
          <w:color w:val="231F20"/>
          <w:sz w:val="18"/>
        </w:rPr>
        <w:t>Србије”;</w:t>
      </w:r>
    </w:p>
    <w:p>
      <w:pPr>
        <w:pStyle w:val="ListParagraph"/>
        <w:numPr>
          <w:ilvl w:val="0"/>
          <w:numId w:val="47"/>
        </w:numPr>
        <w:tabs>
          <w:tab w:pos="821" w:val="left" w:leader="none"/>
        </w:tabs>
        <w:spacing w:line="201" w:lineRule="exact" w:before="0" w:after="0"/>
        <w:ind w:left="820" w:right="0" w:hanging="180"/>
        <w:jc w:val="left"/>
        <w:rPr>
          <w:sz w:val="18"/>
        </w:rPr>
      </w:pPr>
      <w:r>
        <w:rPr>
          <w:color w:val="231F20"/>
          <w:sz w:val="18"/>
        </w:rPr>
        <w:t>ПД ТЕ-КО „Костолац”;</w:t>
      </w:r>
      <w:r>
        <w:rPr>
          <w:color w:val="231F20"/>
          <w:spacing w:val="-4"/>
          <w:sz w:val="18"/>
        </w:rPr>
        <w:t> </w:t>
      </w:r>
      <w:r>
        <w:rPr>
          <w:color w:val="231F20"/>
          <w:sz w:val="18"/>
        </w:rPr>
        <w:t>и</w:t>
      </w:r>
    </w:p>
    <w:p>
      <w:pPr>
        <w:pStyle w:val="ListParagraph"/>
        <w:numPr>
          <w:ilvl w:val="0"/>
          <w:numId w:val="47"/>
        </w:numPr>
        <w:tabs>
          <w:tab w:pos="821" w:val="left" w:leader="none"/>
        </w:tabs>
        <w:spacing w:line="201" w:lineRule="exact" w:before="0" w:after="0"/>
        <w:ind w:left="820" w:right="0" w:hanging="180"/>
        <w:jc w:val="left"/>
        <w:rPr>
          <w:sz w:val="18"/>
        </w:rPr>
      </w:pPr>
      <w:r>
        <w:rPr>
          <w:color w:val="231F20"/>
          <w:spacing w:val="-3"/>
          <w:sz w:val="18"/>
        </w:rPr>
        <w:t>Град </w:t>
      </w:r>
      <w:r>
        <w:rPr>
          <w:color w:val="231F20"/>
          <w:sz w:val="18"/>
        </w:rPr>
        <w:t>Пожаревац са градским општинама; и</w:t>
      </w:r>
    </w:p>
    <w:p>
      <w:pPr>
        <w:pStyle w:val="ListParagraph"/>
        <w:numPr>
          <w:ilvl w:val="0"/>
          <w:numId w:val="47"/>
        </w:numPr>
        <w:tabs>
          <w:tab w:pos="821" w:val="left" w:leader="none"/>
        </w:tabs>
        <w:spacing w:line="201" w:lineRule="exact" w:before="0" w:after="0"/>
        <w:ind w:left="820" w:right="0" w:hanging="180"/>
        <w:jc w:val="left"/>
        <w:rPr>
          <w:sz w:val="18"/>
        </w:rPr>
      </w:pPr>
      <w:r>
        <w:rPr>
          <w:color w:val="231F20"/>
          <w:sz w:val="18"/>
        </w:rPr>
        <w:t>Општина Велико</w:t>
      </w:r>
      <w:r>
        <w:rPr>
          <w:color w:val="231F20"/>
          <w:spacing w:val="-3"/>
          <w:sz w:val="18"/>
        </w:rPr>
        <w:t> </w:t>
      </w:r>
      <w:r>
        <w:rPr>
          <w:color w:val="231F20"/>
          <w:sz w:val="18"/>
        </w:rPr>
        <w:t>Градиште.</w:t>
      </w:r>
    </w:p>
    <w:p>
      <w:pPr>
        <w:pStyle w:val="BodyText"/>
        <w:spacing w:line="201" w:lineRule="exact"/>
        <w:ind w:left="640"/>
        <w:jc w:val="left"/>
      </w:pPr>
      <w:r>
        <w:rPr>
          <w:color w:val="231F20"/>
        </w:rPr>
        <w:t>Учесници у имплементацији Просторног плана су и:</w:t>
      </w:r>
    </w:p>
    <w:p>
      <w:pPr>
        <w:pStyle w:val="BodyText"/>
        <w:spacing w:line="201" w:lineRule="exact"/>
        <w:ind w:left="640"/>
        <w:jc w:val="left"/>
      </w:pPr>
      <w:r>
        <w:rPr>
          <w:color w:val="231F20"/>
          <w:w w:val="66"/>
        </w:rPr>
        <w:t> </w:t>
      </w:r>
      <w:r>
        <w:rPr>
          <w:color w:val="231F20"/>
        </w:rPr>
        <w:t>– остала привредна предузећа (друштва);</w:t>
      </w:r>
    </w:p>
    <w:p>
      <w:pPr>
        <w:pStyle w:val="BodyText"/>
        <w:spacing w:line="201" w:lineRule="exact"/>
        <w:ind w:left="640"/>
        <w:jc w:val="left"/>
      </w:pPr>
      <w:r>
        <w:rPr>
          <w:color w:val="231F20"/>
          <w:w w:val="66"/>
        </w:rPr>
        <w:t> </w:t>
      </w:r>
      <w:r>
        <w:rPr>
          <w:color w:val="231F20"/>
        </w:rPr>
        <w:t>– јавни сектор у локалној самоуправи;</w:t>
      </w:r>
    </w:p>
    <w:p>
      <w:pPr>
        <w:pStyle w:val="BodyText"/>
        <w:spacing w:line="201" w:lineRule="exact"/>
        <w:ind w:left="640"/>
        <w:jc w:val="left"/>
      </w:pPr>
      <w:r>
        <w:rPr>
          <w:color w:val="231F20"/>
          <w:w w:val="66"/>
        </w:rPr>
        <w:t> </w:t>
      </w:r>
      <w:r>
        <w:rPr>
          <w:color w:val="231F20"/>
        </w:rPr>
        <w:t>– приватни инвеститори;</w:t>
      </w:r>
    </w:p>
    <w:p>
      <w:pPr>
        <w:pStyle w:val="BodyText"/>
        <w:spacing w:line="201" w:lineRule="exact"/>
        <w:ind w:left="640"/>
        <w:jc w:val="left"/>
      </w:pPr>
      <w:r>
        <w:rPr>
          <w:color w:val="231F20"/>
          <w:w w:val="66"/>
        </w:rPr>
        <w:t> </w:t>
      </w:r>
      <w:r>
        <w:rPr>
          <w:color w:val="231F20"/>
        </w:rPr>
        <w:t>– удружења предузетника (и друге асоцијације) и</w:t>
      </w:r>
    </w:p>
    <w:p>
      <w:pPr>
        <w:pStyle w:val="BodyText"/>
        <w:spacing w:line="204" w:lineRule="exact"/>
        <w:ind w:left="640"/>
        <w:jc w:val="left"/>
      </w:pPr>
      <w:r>
        <w:rPr>
          <w:color w:val="231F20"/>
          <w:w w:val="66"/>
        </w:rPr>
        <w:t> </w:t>
      </w:r>
      <w:r>
        <w:rPr>
          <w:color w:val="231F20"/>
        </w:rPr>
        <w:t>– невладин сектор.</w:t>
      </w:r>
    </w:p>
    <w:p>
      <w:pPr>
        <w:spacing w:after="0" w:line="204" w:lineRule="exact"/>
        <w:jc w:val="left"/>
        <w:sectPr>
          <w:pgSz w:w="12480" w:h="15690"/>
          <w:pgMar w:top="120" w:bottom="280" w:left="680" w:right="720"/>
          <w:cols w:num="2" w:equalWidth="0">
            <w:col w:w="5558" w:space="40"/>
            <w:col w:w="5482"/>
          </w:cols>
        </w:sectPr>
      </w:pPr>
    </w:p>
    <w:p>
      <w:pPr>
        <w:pStyle w:val="BodyText"/>
        <w:spacing w:line="204" w:lineRule="exact" w:before="68"/>
        <w:ind w:left="358"/>
        <w:jc w:val="left"/>
      </w:pPr>
      <w:r>
        <w:rPr/>
        <w:pict>
          <v:line style="position:absolute;mso-position-horizontal-relative:page;mso-position-vertical-relative:page;z-index:3352" from="304.724396pt,11.942451pt" to="304.724396pt,748.950451pt" stroked="true" strokeweight=".6pt" strokecolor="#231f20">
            <v:stroke dashstyle="solid"/>
            <w10:wrap type="none"/>
          </v:line>
        </w:pict>
      </w:r>
      <w:r>
        <w:rPr>
          <w:color w:val="231F20"/>
        </w:rPr>
        <w:t>Учесници у имплементацији Просторног плана по секторима</w:t>
      </w:r>
    </w:p>
    <w:p>
      <w:pPr>
        <w:pStyle w:val="ListParagraph"/>
        <w:numPr>
          <w:ilvl w:val="0"/>
          <w:numId w:val="48"/>
        </w:numPr>
        <w:tabs>
          <w:tab w:pos="751" w:val="left" w:leader="none"/>
        </w:tabs>
        <w:spacing w:line="232" w:lineRule="auto" w:before="1" w:after="0"/>
        <w:ind w:left="169" w:right="38" w:firstLine="398"/>
        <w:jc w:val="both"/>
        <w:rPr>
          <w:sz w:val="18"/>
        </w:rPr>
      </w:pPr>
      <w:r>
        <w:rPr>
          <w:color w:val="231F20"/>
          <w:sz w:val="18"/>
        </w:rPr>
        <w:t>Одрживи развој привреде и МСП: министарства надлежна за </w:t>
      </w:r>
      <w:r>
        <w:rPr>
          <w:color w:val="231F20"/>
          <w:spacing w:val="-3"/>
          <w:sz w:val="18"/>
        </w:rPr>
        <w:t>привреду, приватизацију, </w:t>
      </w:r>
      <w:r>
        <w:rPr>
          <w:color w:val="231F20"/>
          <w:sz w:val="18"/>
        </w:rPr>
        <w:t>трговину и услуге, економију и реги- онални развој са одговарајућим управама, дирекцијама и агенци- јама, у првом реду Агенција за национални инвестициони план, Агенција за развој МСП, Агенција за страна улагања и промоци- ју извоза – СИЕПА, Агенција за </w:t>
      </w:r>
      <w:r>
        <w:rPr>
          <w:color w:val="231F20"/>
          <w:spacing w:val="-3"/>
          <w:sz w:val="18"/>
        </w:rPr>
        <w:t>приватизацију, </w:t>
      </w:r>
      <w:r>
        <w:rPr>
          <w:color w:val="231F20"/>
          <w:sz w:val="18"/>
        </w:rPr>
        <w:t>Агенција за ре- гионални развој; Привредна </w:t>
      </w:r>
      <w:r>
        <w:rPr>
          <w:color w:val="231F20"/>
          <w:spacing w:val="-3"/>
          <w:sz w:val="18"/>
        </w:rPr>
        <w:t>комора </w:t>
      </w:r>
      <w:r>
        <w:rPr>
          <w:color w:val="231F20"/>
          <w:sz w:val="18"/>
        </w:rPr>
        <w:t>Србије, Регионална развојна агенција „Браничево-Подунавље”, регионална привредна  </w:t>
      </w:r>
      <w:r>
        <w:rPr>
          <w:color w:val="231F20"/>
          <w:spacing w:val="-3"/>
          <w:sz w:val="18"/>
        </w:rPr>
        <w:t>комо- </w:t>
      </w:r>
      <w:r>
        <w:rPr>
          <w:color w:val="231F20"/>
          <w:sz w:val="18"/>
        </w:rPr>
        <w:t>ра у </w:t>
      </w:r>
      <w:r>
        <w:rPr>
          <w:color w:val="231F20"/>
          <w:spacing w:val="-3"/>
          <w:sz w:val="18"/>
        </w:rPr>
        <w:t>Пожаревцу, </w:t>
      </w:r>
      <w:r>
        <w:rPr>
          <w:color w:val="231F20"/>
          <w:sz w:val="18"/>
        </w:rPr>
        <w:t>друге регионалне агенције, фондови и пословне асоцијације; органи управљања локалне самоуправе, асоцијаци- је/удружења привредника и предузетника, републички фондови за</w:t>
      </w:r>
      <w:r>
        <w:rPr>
          <w:color w:val="231F20"/>
          <w:spacing w:val="-5"/>
          <w:sz w:val="18"/>
        </w:rPr>
        <w:t> </w:t>
      </w:r>
      <w:r>
        <w:rPr>
          <w:color w:val="231F20"/>
          <w:sz w:val="18"/>
        </w:rPr>
        <w:t>развој</w:t>
      </w:r>
      <w:r>
        <w:rPr>
          <w:color w:val="231F20"/>
          <w:spacing w:val="-5"/>
          <w:sz w:val="18"/>
        </w:rPr>
        <w:t> </w:t>
      </w:r>
      <w:r>
        <w:rPr>
          <w:color w:val="231F20"/>
          <w:sz w:val="18"/>
        </w:rPr>
        <w:t>и</w:t>
      </w:r>
      <w:r>
        <w:rPr>
          <w:color w:val="231F20"/>
          <w:spacing w:val="-4"/>
          <w:sz w:val="18"/>
        </w:rPr>
        <w:t> </w:t>
      </w:r>
      <w:r>
        <w:rPr>
          <w:color w:val="231F20"/>
          <w:sz w:val="18"/>
        </w:rPr>
        <w:t>слично,</w:t>
      </w:r>
      <w:r>
        <w:rPr>
          <w:color w:val="231F20"/>
          <w:spacing w:val="-4"/>
          <w:sz w:val="18"/>
        </w:rPr>
        <w:t> </w:t>
      </w:r>
      <w:r>
        <w:rPr>
          <w:color w:val="231F20"/>
          <w:sz w:val="18"/>
        </w:rPr>
        <w:t>предприступни</w:t>
      </w:r>
      <w:r>
        <w:rPr>
          <w:color w:val="231F20"/>
          <w:spacing w:val="-5"/>
          <w:sz w:val="18"/>
        </w:rPr>
        <w:t> </w:t>
      </w:r>
      <w:r>
        <w:rPr>
          <w:color w:val="231F20"/>
          <w:sz w:val="18"/>
        </w:rPr>
        <w:t>фондови</w:t>
      </w:r>
      <w:r>
        <w:rPr>
          <w:color w:val="231F20"/>
          <w:spacing w:val="-4"/>
          <w:sz w:val="18"/>
        </w:rPr>
        <w:t> </w:t>
      </w:r>
      <w:r>
        <w:rPr>
          <w:color w:val="231F20"/>
          <w:sz w:val="18"/>
        </w:rPr>
        <w:t>Европске</w:t>
      </w:r>
      <w:r>
        <w:rPr>
          <w:color w:val="231F20"/>
          <w:spacing w:val="-5"/>
          <w:sz w:val="18"/>
        </w:rPr>
        <w:t> </w:t>
      </w:r>
      <w:r>
        <w:rPr>
          <w:color w:val="231F20"/>
          <w:sz w:val="18"/>
        </w:rPr>
        <w:t>уније</w:t>
      </w:r>
      <w:r>
        <w:rPr>
          <w:color w:val="231F20"/>
          <w:spacing w:val="-5"/>
          <w:sz w:val="18"/>
        </w:rPr>
        <w:t> </w:t>
      </w:r>
      <w:r>
        <w:rPr>
          <w:color w:val="231F20"/>
          <w:sz w:val="18"/>
        </w:rPr>
        <w:t>(за</w:t>
      </w:r>
      <w:r>
        <w:rPr>
          <w:color w:val="231F20"/>
          <w:spacing w:val="-5"/>
          <w:sz w:val="18"/>
        </w:rPr>
        <w:t> </w:t>
      </w:r>
      <w:r>
        <w:rPr>
          <w:color w:val="231F20"/>
          <w:sz w:val="18"/>
        </w:rPr>
        <w:t>ре- гионалну и преко-граничну </w:t>
      </w:r>
      <w:r>
        <w:rPr>
          <w:color w:val="231F20"/>
          <w:spacing w:val="-3"/>
          <w:sz w:val="18"/>
        </w:rPr>
        <w:t>сарадњу, </w:t>
      </w:r>
      <w:r>
        <w:rPr>
          <w:color w:val="231F20"/>
          <w:sz w:val="18"/>
        </w:rPr>
        <w:t>регионални развој и слично), Светска банка (WB), Европска банка за обнову и развој (EBRD), домаћи банкарски систем уз партнерство јавног и приватног сектора;</w:t>
      </w:r>
    </w:p>
    <w:p>
      <w:pPr>
        <w:pStyle w:val="ListParagraph"/>
        <w:numPr>
          <w:ilvl w:val="0"/>
          <w:numId w:val="48"/>
        </w:numPr>
        <w:tabs>
          <w:tab w:pos="769" w:val="left" w:leader="none"/>
        </w:tabs>
        <w:spacing w:line="232" w:lineRule="auto" w:before="0" w:after="0"/>
        <w:ind w:left="169" w:right="38" w:firstLine="397"/>
        <w:jc w:val="both"/>
        <w:rPr>
          <w:sz w:val="18"/>
        </w:rPr>
      </w:pPr>
      <w:r>
        <w:rPr>
          <w:color w:val="231F20"/>
          <w:sz w:val="18"/>
        </w:rPr>
        <w:t>Одрживо коришћење минералних сировина и развоја ру- дарства: Влада </w:t>
      </w:r>
      <w:r>
        <w:rPr>
          <w:color w:val="231F20"/>
          <w:spacing w:val="-3"/>
          <w:sz w:val="18"/>
        </w:rPr>
        <w:t>Републике </w:t>
      </w:r>
      <w:r>
        <w:rPr>
          <w:color w:val="231F20"/>
          <w:sz w:val="18"/>
        </w:rPr>
        <w:t>Србије, Министарство надлежно за по- слове инфраструктуре и енергетике, животне средине, </w:t>
      </w:r>
      <w:r>
        <w:rPr>
          <w:color w:val="231F20"/>
          <w:spacing w:val="-3"/>
          <w:sz w:val="18"/>
        </w:rPr>
        <w:t>рударства </w:t>
      </w:r>
      <w:r>
        <w:rPr>
          <w:color w:val="231F20"/>
          <w:sz w:val="18"/>
        </w:rPr>
        <w:t>и просторног планирања, Агенција за </w:t>
      </w:r>
      <w:r>
        <w:rPr>
          <w:color w:val="231F20"/>
          <w:spacing w:val="-3"/>
          <w:sz w:val="18"/>
        </w:rPr>
        <w:t>приватизацију, </w:t>
      </w:r>
      <w:r>
        <w:rPr>
          <w:color w:val="231F20"/>
          <w:sz w:val="18"/>
        </w:rPr>
        <w:t>Агенција за страна улагања и промоцију извоза, Фонд за развој, ЈП „Електро- привреда Србије”, ПД ТЕ-КО „Костолац”, Регионална привредна комора, органи локалне управе (секретаријати, инспекције и дру- го), одговарајући органи предузећа </w:t>
      </w:r>
      <w:r>
        <w:rPr>
          <w:color w:val="231F20"/>
          <w:spacing w:val="-3"/>
          <w:sz w:val="18"/>
        </w:rPr>
        <w:t>која </w:t>
      </w:r>
      <w:r>
        <w:rPr>
          <w:color w:val="231F20"/>
          <w:sz w:val="18"/>
        </w:rPr>
        <w:t>се баве експлоатацијом и прерадом минералних сировина и банкарски</w:t>
      </w:r>
      <w:r>
        <w:rPr>
          <w:color w:val="231F20"/>
          <w:spacing w:val="-7"/>
          <w:sz w:val="18"/>
        </w:rPr>
        <w:t> </w:t>
      </w:r>
      <w:r>
        <w:rPr>
          <w:color w:val="231F20"/>
          <w:sz w:val="18"/>
        </w:rPr>
        <w:t>сектор;</w:t>
      </w:r>
    </w:p>
    <w:p>
      <w:pPr>
        <w:pStyle w:val="ListParagraph"/>
        <w:numPr>
          <w:ilvl w:val="0"/>
          <w:numId w:val="48"/>
        </w:numPr>
        <w:tabs>
          <w:tab w:pos="766" w:val="left" w:leader="none"/>
        </w:tabs>
        <w:spacing w:line="232" w:lineRule="auto" w:before="0" w:after="0"/>
        <w:ind w:left="169" w:right="38" w:firstLine="397"/>
        <w:jc w:val="both"/>
        <w:rPr>
          <w:sz w:val="18"/>
        </w:rPr>
      </w:pPr>
      <w:r>
        <w:rPr>
          <w:color w:val="231F20"/>
          <w:sz w:val="18"/>
        </w:rPr>
        <w:t>Заштита и коришћење пољопривредног земљишта и одр- живи развој пољопривреде: министарства надлежна за пољопри- </w:t>
      </w:r>
      <w:r>
        <w:rPr>
          <w:color w:val="231F20"/>
          <w:spacing w:val="-4"/>
          <w:sz w:val="18"/>
        </w:rPr>
        <w:t>вреду, </w:t>
      </w:r>
      <w:r>
        <w:rPr>
          <w:color w:val="231F20"/>
          <w:sz w:val="18"/>
        </w:rPr>
        <w:t>шумарство, заштиту животне средине, просторно плани- рање; републички фондови за развој и заштиту животне средине; Регионална развојна агенција „Браничево – Подунавље”; локални органи управљања; породична пољопривредна газдинства, пољо- привредни</w:t>
      </w:r>
      <w:r>
        <w:rPr>
          <w:color w:val="231F20"/>
          <w:spacing w:val="-6"/>
          <w:sz w:val="18"/>
        </w:rPr>
        <w:t> </w:t>
      </w:r>
      <w:r>
        <w:rPr>
          <w:color w:val="231F20"/>
          <w:sz w:val="18"/>
        </w:rPr>
        <w:t>произвођачи,</w:t>
      </w:r>
      <w:r>
        <w:rPr>
          <w:color w:val="231F20"/>
          <w:spacing w:val="-6"/>
          <w:sz w:val="18"/>
        </w:rPr>
        <w:t> </w:t>
      </w:r>
      <w:r>
        <w:rPr>
          <w:color w:val="231F20"/>
          <w:sz w:val="18"/>
        </w:rPr>
        <w:t>заинтересовани</w:t>
      </w:r>
      <w:r>
        <w:rPr>
          <w:color w:val="231F20"/>
          <w:spacing w:val="-6"/>
          <w:sz w:val="18"/>
        </w:rPr>
        <w:t> </w:t>
      </w:r>
      <w:r>
        <w:rPr>
          <w:color w:val="231F20"/>
          <w:sz w:val="18"/>
        </w:rPr>
        <w:t>пословни</w:t>
      </w:r>
      <w:r>
        <w:rPr>
          <w:color w:val="231F20"/>
          <w:spacing w:val="-6"/>
          <w:sz w:val="18"/>
        </w:rPr>
        <w:t> </w:t>
      </w:r>
      <w:r>
        <w:rPr>
          <w:color w:val="231F20"/>
          <w:sz w:val="18"/>
        </w:rPr>
        <w:t>субјекти</w:t>
      </w:r>
      <w:r>
        <w:rPr>
          <w:color w:val="231F20"/>
          <w:spacing w:val="-6"/>
          <w:sz w:val="18"/>
        </w:rPr>
        <w:t> </w:t>
      </w:r>
      <w:r>
        <w:rPr>
          <w:color w:val="231F20"/>
          <w:sz w:val="18"/>
        </w:rPr>
        <w:t>и</w:t>
      </w:r>
      <w:r>
        <w:rPr>
          <w:color w:val="231F20"/>
          <w:spacing w:val="-6"/>
          <w:sz w:val="18"/>
        </w:rPr>
        <w:t> </w:t>
      </w:r>
      <w:r>
        <w:rPr>
          <w:color w:val="231F20"/>
          <w:sz w:val="18"/>
        </w:rPr>
        <w:t>дру- ги актери на регионалном, националном и међународном нивоу (на пример</w:t>
      </w:r>
      <w:r>
        <w:rPr>
          <w:color w:val="231F20"/>
          <w:spacing w:val="-1"/>
          <w:sz w:val="18"/>
        </w:rPr>
        <w:t> </w:t>
      </w:r>
      <w:r>
        <w:rPr>
          <w:color w:val="231F20"/>
          <w:spacing w:val="-5"/>
          <w:sz w:val="18"/>
        </w:rPr>
        <w:t>ФАО);</w:t>
      </w:r>
    </w:p>
    <w:p>
      <w:pPr>
        <w:pStyle w:val="ListParagraph"/>
        <w:numPr>
          <w:ilvl w:val="0"/>
          <w:numId w:val="48"/>
        </w:numPr>
        <w:tabs>
          <w:tab w:pos="756" w:val="left" w:leader="none"/>
        </w:tabs>
        <w:spacing w:line="232" w:lineRule="auto" w:before="0" w:after="0"/>
        <w:ind w:left="169" w:right="38" w:firstLine="397"/>
        <w:jc w:val="both"/>
        <w:rPr>
          <w:sz w:val="18"/>
        </w:rPr>
      </w:pPr>
      <w:r>
        <w:rPr>
          <w:color w:val="231F20"/>
          <w:sz w:val="18"/>
        </w:rPr>
        <w:t>Заштита и коришћење шума, одрживи развој шумарства и ловства: министарства надлежна за шумарство, ловство, зашти- ту животне средине, просторно планирање и туризам, </w:t>
      </w:r>
      <w:r>
        <w:rPr>
          <w:color w:val="231F20"/>
          <w:spacing w:val="-4"/>
          <w:sz w:val="18"/>
        </w:rPr>
        <w:t>Управа </w:t>
      </w:r>
      <w:r>
        <w:rPr>
          <w:color w:val="231F20"/>
          <w:sz w:val="18"/>
        </w:rPr>
        <w:t>за шуме </w:t>
      </w:r>
      <w:r>
        <w:rPr>
          <w:color w:val="231F20"/>
          <w:spacing w:val="-3"/>
          <w:sz w:val="18"/>
        </w:rPr>
        <w:t>Републике </w:t>
      </w:r>
      <w:r>
        <w:rPr>
          <w:color w:val="231F20"/>
          <w:sz w:val="18"/>
        </w:rPr>
        <w:t>Србије при Министарству пољопривреде, шу- марства и водопривреде; ЈП „Србијашуме”, ЈВП „Србијаводе”; </w:t>
      </w:r>
      <w:r>
        <w:rPr>
          <w:color w:val="231F20"/>
          <w:spacing w:val="-3"/>
          <w:sz w:val="18"/>
        </w:rPr>
        <w:t>Ловачки </w:t>
      </w:r>
      <w:r>
        <w:rPr>
          <w:color w:val="231F20"/>
          <w:sz w:val="18"/>
        </w:rPr>
        <w:t>савез </w:t>
      </w:r>
      <w:r>
        <w:rPr>
          <w:color w:val="231F20"/>
          <w:spacing w:val="-3"/>
          <w:sz w:val="18"/>
        </w:rPr>
        <w:t>Републике </w:t>
      </w:r>
      <w:r>
        <w:rPr>
          <w:color w:val="231F20"/>
          <w:sz w:val="18"/>
        </w:rPr>
        <w:t>Србије; ПД ХЕ </w:t>
      </w:r>
      <w:r>
        <w:rPr>
          <w:color w:val="231F20"/>
          <w:spacing w:val="-3"/>
          <w:sz w:val="18"/>
        </w:rPr>
        <w:t>„Ђердап”, </w:t>
      </w:r>
      <w:r>
        <w:rPr>
          <w:color w:val="231F20"/>
          <w:sz w:val="18"/>
        </w:rPr>
        <w:t>локални орга- ни управљања, власници приватних шума и корисници ловишта, НВО </w:t>
      </w:r>
      <w:r>
        <w:rPr>
          <w:color w:val="231F20"/>
          <w:spacing w:val="-3"/>
          <w:sz w:val="18"/>
        </w:rPr>
        <w:t>које </w:t>
      </w:r>
      <w:r>
        <w:rPr>
          <w:color w:val="231F20"/>
          <w:sz w:val="18"/>
        </w:rPr>
        <w:t>се баве заштитом природе и</w:t>
      </w:r>
      <w:r>
        <w:rPr>
          <w:color w:val="231F20"/>
          <w:spacing w:val="-4"/>
          <w:sz w:val="18"/>
        </w:rPr>
        <w:t> </w:t>
      </w:r>
      <w:r>
        <w:rPr>
          <w:color w:val="231F20"/>
          <w:sz w:val="18"/>
        </w:rPr>
        <w:t>друго;</w:t>
      </w:r>
    </w:p>
    <w:p>
      <w:pPr>
        <w:pStyle w:val="ListParagraph"/>
        <w:numPr>
          <w:ilvl w:val="0"/>
          <w:numId w:val="48"/>
        </w:numPr>
        <w:tabs>
          <w:tab w:pos="784" w:val="left" w:leader="none"/>
        </w:tabs>
        <w:spacing w:line="232" w:lineRule="auto" w:before="0" w:after="0"/>
        <w:ind w:left="169" w:right="38" w:firstLine="397"/>
        <w:jc w:val="both"/>
        <w:rPr>
          <w:sz w:val="18"/>
        </w:rPr>
      </w:pPr>
      <w:r>
        <w:rPr>
          <w:color w:val="231F20"/>
          <w:sz w:val="18"/>
        </w:rPr>
        <w:t>Одрживи развој туризма: на националном </w:t>
      </w:r>
      <w:r>
        <w:rPr>
          <w:color w:val="231F20"/>
          <w:spacing w:val="-3"/>
          <w:sz w:val="18"/>
        </w:rPr>
        <w:t>нивоу: </w:t>
      </w:r>
      <w:r>
        <w:rPr>
          <w:color w:val="231F20"/>
          <w:sz w:val="18"/>
        </w:rPr>
        <w:t>мини- старства са одговарајућим дирекцијама и управама (надлежним  за послове туризма, просторног планирања, заштите животне сре- дине и културе); јавна предузећа надлежна за послове пловног и </w:t>
      </w:r>
      <w:r>
        <w:rPr>
          <w:color w:val="231F20"/>
          <w:spacing w:val="-3"/>
          <w:sz w:val="18"/>
        </w:rPr>
        <w:t>друмског </w:t>
      </w:r>
      <w:r>
        <w:rPr>
          <w:color w:val="231F20"/>
          <w:sz w:val="18"/>
        </w:rPr>
        <w:t>саобраћаја, водопривреде, шумарства, као и заводи над- лежни за заштиту природе и споменика </w:t>
      </w:r>
      <w:r>
        <w:rPr>
          <w:color w:val="231F20"/>
          <w:spacing w:val="-3"/>
          <w:sz w:val="18"/>
        </w:rPr>
        <w:t>културе </w:t>
      </w:r>
      <w:r>
        <w:rPr>
          <w:color w:val="231F20"/>
          <w:sz w:val="18"/>
        </w:rPr>
        <w:t>и Туристичка ор- ганизација </w:t>
      </w:r>
      <w:r>
        <w:rPr>
          <w:color w:val="231F20"/>
          <w:spacing w:val="-3"/>
          <w:sz w:val="18"/>
        </w:rPr>
        <w:t>Републике </w:t>
      </w:r>
      <w:r>
        <w:rPr>
          <w:color w:val="231F20"/>
          <w:sz w:val="18"/>
        </w:rPr>
        <w:t>Србије; на регионалном </w:t>
      </w:r>
      <w:r>
        <w:rPr>
          <w:color w:val="231F20"/>
          <w:spacing w:val="-3"/>
          <w:sz w:val="18"/>
        </w:rPr>
        <w:t>нивоу: </w:t>
      </w:r>
      <w:r>
        <w:rPr>
          <w:color w:val="231F20"/>
          <w:sz w:val="18"/>
        </w:rPr>
        <w:t>Привредна </w:t>
      </w:r>
      <w:r>
        <w:rPr>
          <w:color w:val="231F20"/>
          <w:spacing w:val="-3"/>
          <w:sz w:val="18"/>
        </w:rPr>
        <w:t>комора </w:t>
      </w:r>
      <w:r>
        <w:rPr>
          <w:color w:val="231F20"/>
          <w:sz w:val="18"/>
        </w:rPr>
        <w:t>у </w:t>
      </w:r>
      <w:r>
        <w:rPr>
          <w:color w:val="231F20"/>
          <w:spacing w:val="-3"/>
          <w:sz w:val="18"/>
        </w:rPr>
        <w:t>Пожаревцу, </w:t>
      </w:r>
      <w:r>
        <w:rPr>
          <w:color w:val="231F20"/>
          <w:sz w:val="18"/>
        </w:rPr>
        <w:t>Регионална туристичка организација у са- радњи</w:t>
      </w:r>
      <w:r>
        <w:rPr>
          <w:color w:val="231F20"/>
          <w:spacing w:val="-11"/>
          <w:sz w:val="18"/>
        </w:rPr>
        <w:t> </w:t>
      </w:r>
      <w:r>
        <w:rPr>
          <w:color w:val="231F20"/>
          <w:sz w:val="18"/>
        </w:rPr>
        <w:t>са</w:t>
      </w:r>
      <w:r>
        <w:rPr>
          <w:color w:val="231F20"/>
          <w:spacing w:val="-11"/>
          <w:sz w:val="18"/>
        </w:rPr>
        <w:t> </w:t>
      </w:r>
      <w:r>
        <w:rPr>
          <w:color w:val="231F20"/>
          <w:sz w:val="18"/>
        </w:rPr>
        <w:t>Регионалном</w:t>
      </w:r>
      <w:r>
        <w:rPr>
          <w:color w:val="231F20"/>
          <w:spacing w:val="-11"/>
          <w:sz w:val="18"/>
        </w:rPr>
        <w:t> </w:t>
      </w:r>
      <w:r>
        <w:rPr>
          <w:color w:val="231F20"/>
          <w:sz w:val="18"/>
        </w:rPr>
        <w:t>развојном</w:t>
      </w:r>
      <w:r>
        <w:rPr>
          <w:color w:val="231F20"/>
          <w:spacing w:val="-11"/>
          <w:sz w:val="18"/>
        </w:rPr>
        <w:t> </w:t>
      </w:r>
      <w:r>
        <w:rPr>
          <w:color w:val="231F20"/>
          <w:sz w:val="18"/>
        </w:rPr>
        <w:t>агенцијом</w:t>
      </w:r>
      <w:r>
        <w:rPr>
          <w:color w:val="231F20"/>
          <w:spacing w:val="-11"/>
          <w:sz w:val="18"/>
        </w:rPr>
        <w:t> </w:t>
      </w:r>
      <w:r>
        <w:rPr>
          <w:color w:val="231F20"/>
          <w:sz w:val="18"/>
        </w:rPr>
        <w:t>„Браничево</w:t>
      </w:r>
      <w:r>
        <w:rPr>
          <w:color w:val="231F20"/>
          <w:spacing w:val="12"/>
          <w:sz w:val="18"/>
        </w:rPr>
        <w:t> </w:t>
      </w:r>
      <w:r>
        <w:rPr>
          <w:color w:val="231F20"/>
          <w:sz w:val="18"/>
        </w:rPr>
        <w:t>–</w:t>
      </w:r>
      <w:r>
        <w:rPr>
          <w:color w:val="231F20"/>
          <w:spacing w:val="-11"/>
          <w:sz w:val="18"/>
        </w:rPr>
        <w:t> </w:t>
      </w:r>
      <w:r>
        <w:rPr>
          <w:color w:val="231F20"/>
          <w:sz w:val="18"/>
        </w:rPr>
        <w:t>Подуна- вље”</w:t>
      </w:r>
      <w:r>
        <w:rPr>
          <w:color w:val="231F20"/>
          <w:spacing w:val="-7"/>
          <w:sz w:val="18"/>
        </w:rPr>
        <w:t> </w:t>
      </w:r>
      <w:r>
        <w:rPr>
          <w:color w:val="231F20"/>
          <w:sz w:val="18"/>
        </w:rPr>
        <w:t>и</w:t>
      </w:r>
      <w:r>
        <w:rPr>
          <w:color w:val="231F20"/>
          <w:spacing w:val="-8"/>
          <w:sz w:val="18"/>
        </w:rPr>
        <w:t> </w:t>
      </w:r>
      <w:r>
        <w:rPr>
          <w:color w:val="231F20"/>
          <w:sz w:val="18"/>
        </w:rPr>
        <w:t>друго;</w:t>
      </w:r>
      <w:r>
        <w:rPr>
          <w:color w:val="231F20"/>
          <w:spacing w:val="-8"/>
          <w:sz w:val="18"/>
        </w:rPr>
        <w:t> </w:t>
      </w:r>
      <w:r>
        <w:rPr>
          <w:color w:val="231F20"/>
          <w:sz w:val="18"/>
        </w:rPr>
        <w:t>на</w:t>
      </w:r>
      <w:r>
        <w:rPr>
          <w:color w:val="231F20"/>
          <w:spacing w:val="-8"/>
          <w:sz w:val="18"/>
        </w:rPr>
        <w:t> </w:t>
      </w:r>
      <w:r>
        <w:rPr>
          <w:color w:val="231F20"/>
          <w:sz w:val="18"/>
        </w:rPr>
        <w:t>локалном</w:t>
      </w:r>
      <w:r>
        <w:rPr>
          <w:color w:val="231F20"/>
          <w:spacing w:val="-8"/>
          <w:sz w:val="18"/>
        </w:rPr>
        <w:t> </w:t>
      </w:r>
      <w:r>
        <w:rPr>
          <w:color w:val="231F20"/>
          <w:spacing w:val="-3"/>
          <w:sz w:val="18"/>
        </w:rPr>
        <w:t>нивоу:</w:t>
      </w:r>
      <w:r>
        <w:rPr>
          <w:color w:val="231F20"/>
          <w:spacing w:val="-8"/>
          <w:sz w:val="18"/>
        </w:rPr>
        <w:t> </w:t>
      </w:r>
      <w:r>
        <w:rPr>
          <w:color w:val="231F20"/>
          <w:sz w:val="18"/>
        </w:rPr>
        <w:t>локалне</w:t>
      </w:r>
      <w:r>
        <w:rPr>
          <w:color w:val="231F20"/>
          <w:spacing w:val="-8"/>
          <w:sz w:val="18"/>
        </w:rPr>
        <w:t> </w:t>
      </w:r>
      <w:r>
        <w:rPr>
          <w:color w:val="231F20"/>
          <w:sz w:val="18"/>
        </w:rPr>
        <w:t>туристичке</w:t>
      </w:r>
      <w:r>
        <w:rPr>
          <w:color w:val="231F20"/>
          <w:spacing w:val="-8"/>
          <w:sz w:val="18"/>
        </w:rPr>
        <w:t> </w:t>
      </w:r>
      <w:r>
        <w:rPr>
          <w:color w:val="231F20"/>
          <w:sz w:val="18"/>
        </w:rPr>
        <w:t>организаци- је, музеји у </w:t>
      </w:r>
      <w:r>
        <w:rPr>
          <w:color w:val="231F20"/>
          <w:spacing w:val="-3"/>
          <w:sz w:val="18"/>
        </w:rPr>
        <w:t>Пожаревцу, </w:t>
      </w:r>
      <w:r>
        <w:rPr>
          <w:color w:val="231F20"/>
          <w:sz w:val="18"/>
        </w:rPr>
        <w:t>Костолцу и </w:t>
      </w:r>
      <w:r>
        <w:rPr>
          <w:color w:val="231F20"/>
          <w:spacing w:val="-3"/>
          <w:sz w:val="18"/>
        </w:rPr>
        <w:t>Великом </w:t>
      </w:r>
      <w:r>
        <w:rPr>
          <w:color w:val="231F20"/>
          <w:spacing w:val="-4"/>
          <w:sz w:val="18"/>
        </w:rPr>
        <w:t>Градишту, </w:t>
      </w:r>
      <w:r>
        <w:rPr>
          <w:color w:val="231F20"/>
          <w:sz w:val="18"/>
        </w:rPr>
        <w:t>надлежне службе локалне самоуправе, приватни инвеститори, туристичке агенције у сарадњи са локалним туристичким организацијама, спортска друштва (наутичка, планинарска, спелеолошка, ловна, риболовна и друга), </w:t>
      </w:r>
      <w:r>
        <w:rPr>
          <w:color w:val="231F20"/>
          <w:spacing w:val="-3"/>
          <w:sz w:val="18"/>
        </w:rPr>
        <w:t>удружења </w:t>
      </w:r>
      <w:r>
        <w:rPr>
          <w:color w:val="231F20"/>
          <w:sz w:val="18"/>
        </w:rPr>
        <w:t>домаћина у сеоском туризму и сме- штају у домаћој радиности, као и друга </w:t>
      </w:r>
      <w:r>
        <w:rPr>
          <w:color w:val="231F20"/>
          <w:spacing w:val="-3"/>
          <w:sz w:val="18"/>
        </w:rPr>
        <w:t>удружења </w:t>
      </w:r>
      <w:r>
        <w:rPr>
          <w:color w:val="231F20"/>
          <w:sz w:val="18"/>
        </w:rPr>
        <w:t>грађана </w:t>
      </w:r>
      <w:r>
        <w:rPr>
          <w:color w:val="231F20"/>
          <w:spacing w:val="-3"/>
          <w:sz w:val="18"/>
        </w:rPr>
        <w:t>која </w:t>
      </w:r>
      <w:r>
        <w:rPr>
          <w:color w:val="231F20"/>
          <w:sz w:val="18"/>
        </w:rPr>
        <w:t>имају интерес у унапређењу</w:t>
      </w:r>
      <w:r>
        <w:rPr>
          <w:color w:val="231F20"/>
          <w:spacing w:val="-3"/>
          <w:sz w:val="18"/>
        </w:rPr>
        <w:t> </w:t>
      </w:r>
      <w:r>
        <w:rPr>
          <w:color w:val="231F20"/>
          <w:sz w:val="18"/>
        </w:rPr>
        <w:t>туризма;</w:t>
      </w:r>
    </w:p>
    <w:p>
      <w:pPr>
        <w:pStyle w:val="ListParagraph"/>
        <w:numPr>
          <w:ilvl w:val="0"/>
          <w:numId w:val="48"/>
        </w:numPr>
        <w:tabs>
          <w:tab w:pos="762" w:val="left" w:leader="none"/>
        </w:tabs>
        <w:spacing w:line="232" w:lineRule="auto" w:before="0" w:after="0"/>
        <w:ind w:left="169" w:right="38" w:firstLine="397"/>
        <w:jc w:val="both"/>
        <w:rPr>
          <w:sz w:val="18"/>
        </w:rPr>
      </w:pPr>
      <w:r>
        <w:rPr>
          <w:color w:val="231F20"/>
          <w:sz w:val="18"/>
        </w:rPr>
        <w:t>Развоја људских ресурса, мреже насеља и јавних служби: министарства надлежна за рад, финансије, </w:t>
      </w:r>
      <w:r>
        <w:rPr>
          <w:color w:val="231F20"/>
          <w:spacing w:val="-3"/>
          <w:sz w:val="18"/>
        </w:rPr>
        <w:t>просвету, </w:t>
      </w:r>
      <w:r>
        <w:rPr>
          <w:color w:val="231F20"/>
          <w:sz w:val="18"/>
        </w:rPr>
        <w:t>здравље, со- цијалну </w:t>
      </w:r>
      <w:r>
        <w:rPr>
          <w:color w:val="231F20"/>
          <w:spacing w:val="-4"/>
          <w:sz w:val="18"/>
        </w:rPr>
        <w:t>политику, </w:t>
      </w:r>
      <w:r>
        <w:rPr>
          <w:color w:val="231F20"/>
          <w:spacing w:val="-5"/>
          <w:sz w:val="18"/>
        </w:rPr>
        <w:t>културу, </w:t>
      </w:r>
      <w:r>
        <w:rPr>
          <w:color w:val="231F20"/>
          <w:sz w:val="18"/>
        </w:rPr>
        <w:t>изградњу објеката, саобраћај, телеко- муникације, заштиту животне средине, просторно планирање, </w:t>
      </w:r>
      <w:r>
        <w:rPr>
          <w:color w:val="231F20"/>
          <w:spacing w:val="-3"/>
          <w:sz w:val="18"/>
        </w:rPr>
        <w:t>водопривреду, </w:t>
      </w:r>
      <w:r>
        <w:rPr>
          <w:color w:val="231F20"/>
          <w:sz w:val="18"/>
        </w:rPr>
        <w:t>економију и регионални развој, трговину и услуге, национални инвестициони план; Фонд за развој </w:t>
      </w:r>
      <w:r>
        <w:rPr>
          <w:color w:val="231F20"/>
          <w:spacing w:val="-3"/>
          <w:sz w:val="18"/>
        </w:rPr>
        <w:t>Републике </w:t>
      </w:r>
      <w:r>
        <w:rPr>
          <w:color w:val="231F20"/>
          <w:sz w:val="18"/>
        </w:rPr>
        <w:t>Срби- је, Национални савет за регионални развој; Национална служба за запошљавање и друго; органи управљања обухваћених општина/ града; републичке, регионалне и локалне јавне установе у домену здравства, образовања, </w:t>
      </w:r>
      <w:r>
        <w:rPr>
          <w:color w:val="231F20"/>
          <w:spacing w:val="-3"/>
          <w:sz w:val="18"/>
        </w:rPr>
        <w:t>културе </w:t>
      </w:r>
      <w:r>
        <w:rPr>
          <w:color w:val="231F20"/>
          <w:sz w:val="18"/>
        </w:rPr>
        <w:t>и социјалне заштите; Регионална развојна агенција „Браничево-Подунавље”, републичка и локална јавна предузећа, дирекције и фондови за </w:t>
      </w:r>
      <w:r>
        <w:rPr>
          <w:color w:val="231F20"/>
          <w:spacing w:val="-3"/>
          <w:sz w:val="18"/>
        </w:rPr>
        <w:t>изградњу, </w:t>
      </w:r>
      <w:r>
        <w:rPr>
          <w:color w:val="231F20"/>
          <w:sz w:val="18"/>
        </w:rPr>
        <w:t>развој саобра- ћајне и друге инфраструктуре и објекте заједничке комуналне по- трошње; локални савети за развој људских ресурса</w:t>
      </w:r>
      <w:r>
        <w:rPr>
          <w:color w:val="231F20"/>
          <w:spacing w:val="-19"/>
          <w:sz w:val="18"/>
        </w:rPr>
        <w:t> </w:t>
      </w:r>
      <w:r>
        <w:rPr>
          <w:color w:val="231F20"/>
          <w:sz w:val="18"/>
        </w:rPr>
        <w:t>(представници</w:t>
      </w:r>
    </w:p>
    <w:p>
      <w:pPr>
        <w:pStyle w:val="BodyText"/>
        <w:spacing w:line="232" w:lineRule="auto" w:before="69"/>
        <w:ind w:left="169" w:right="412"/>
      </w:pPr>
      <w:r>
        <w:rPr/>
        <w:br w:type="column"/>
      </w:r>
      <w:r>
        <w:rPr>
          <w:color w:val="231F20"/>
        </w:rPr>
        <w:t>локалне власти, послодаваца и репрезентативних синдиката, стру- ковних удружења, школских институција, научно-истраживачких организација, удружења); приватни сектор и НВО;</w:t>
      </w:r>
    </w:p>
    <w:p>
      <w:pPr>
        <w:pStyle w:val="ListParagraph"/>
        <w:numPr>
          <w:ilvl w:val="0"/>
          <w:numId w:val="48"/>
        </w:numPr>
        <w:tabs>
          <w:tab w:pos="776" w:val="left" w:leader="none"/>
        </w:tabs>
        <w:spacing w:line="232" w:lineRule="auto" w:before="1" w:after="0"/>
        <w:ind w:left="170" w:right="411" w:firstLine="396"/>
        <w:jc w:val="both"/>
        <w:rPr>
          <w:sz w:val="18"/>
        </w:rPr>
      </w:pPr>
      <w:r>
        <w:rPr>
          <w:color w:val="231F20"/>
          <w:sz w:val="18"/>
        </w:rPr>
        <w:t>Одрживи развој саобраћаја и саобраћајне инфраструкту- ре: министарства надлежна за инфраструктуру, животну </w:t>
      </w:r>
      <w:r>
        <w:rPr>
          <w:color w:val="231F20"/>
          <w:spacing w:val="-3"/>
          <w:sz w:val="18"/>
        </w:rPr>
        <w:t>средину, </w:t>
      </w:r>
      <w:r>
        <w:rPr>
          <w:color w:val="231F20"/>
          <w:sz w:val="18"/>
        </w:rPr>
        <w:t>просторно планирање и изградњу објеката, ЈП „Путеви Србије”, ЈП</w:t>
      </w:r>
      <w:r>
        <w:rPr>
          <w:color w:val="231F20"/>
          <w:spacing w:val="-7"/>
          <w:sz w:val="18"/>
        </w:rPr>
        <w:t> </w:t>
      </w:r>
      <w:r>
        <w:rPr>
          <w:color w:val="231F20"/>
          <w:sz w:val="18"/>
        </w:rPr>
        <w:t>„Железнице</w:t>
      </w:r>
      <w:r>
        <w:rPr>
          <w:color w:val="231F20"/>
          <w:spacing w:val="-7"/>
          <w:sz w:val="18"/>
        </w:rPr>
        <w:t> </w:t>
      </w:r>
      <w:r>
        <w:rPr>
          <w:color w:val="231F20"/>
          <w:sz w:val="18"/>
        </w:rPr>
        <w:t>Србије”,</w:t>
      </w:r>
      <w:r>
        <w:rPr>
          <w:color w:val="231F20"/>
          <w:spacing w:val="-7"/>
          <w:sz w:val="18"/>
        </w:rPr>
        <w:t> </w:t>
      </w:r>
      <w:r>
        <w:rPr>
          <w:color w:val="231F20"/>
          <w:sz w:val="18"/>
        </w:rPr>
        <w:t>„ПЛОВПУТ”,</w:t>
      </w:r>
      <w:r>
        <w:rPr>
          <w:color w:val="231F20"/>
          <w:spacing w:val="-7"/>
          <w:sz w:val="18"/>
        </w:rPr>
        <w:t> </w:t>
      </w:r>
      <w:r>
        <w:rPr>
          <w:color w:val="231F20"/>
          <w:sz w:val="18"/>
        </w:rPr>
        <w:t>Агенција</w:t>
      </w:r>
      <w:r>
        <w:rPr>
          <w:color w:val="231F20"/>
          <w:spacing w:val="-7"/>
          <w:sz w:val="18"/>
        </w:rPr>
        <w:t> </w:t>
      </w:r>
      <w:r>
        <w:rPr>
          <w:color w:val="231F20"/>
          <w:sz w:val="18"/>
        </w:rPr>
        <w:t>за</w:t>
      </w:r>
      <w:r>
        <w:rPr>
          <w:color w:val="231F20"/>
          <w:spacing w:val="-7"/>
          <w:sz w:val="18"/>
        </w:rPr>
        <w:t> </w:t>
      </w:r>
      <w:r>
        <w:rPr>
          <w:color w:val="231F20"/>
          <w:sz w:val="18"/>
        </w:rPr>
        <w:t>контролу</w:t>
      </w:r>
      <w:r>
        <w:rPr>
          <w:color w:val="231F20"/>
          <w:spacing w:val="-7"/>
          <w:sz w:val="18"/>
        </w:rPr>
        <w:t> </w:t>
      </w:r>
      <w:r>
        <w:rPr>
          <w:color w:val="231F20"/>
          <w:sz w:val="18"/>
        </w:rPr>
        <w:t>лете- ња – </w:t>
      </w:r>
      <w:r>
        <w:rPr>
          <w:color w:val="231F20"/>
          <w:spacing w:val="-4"/>
          <w:sz w:val="18"/>
        </w:rPr>
        <w:t>SMATSA, </w:t>
      </w:r>
      <w:r>
        <w:rPr>
          <w:color w:val="231F20"/>
          <w:sz w:val="18"/>
        </w:rPr>
        <w:t>Директорат цивилног ваздухопловства – ДЦВ, ре- публички</w:t>
      </w:r>
      <w:r>
        <w:rPr>
          <w:color w:val="231F20"/>
          <w:spacing w:val="-7"/>
          <w:sz w:val="18"/>
        </w:rPr>
        <w:t> </w:t>
      </w:r>
      <w:r>
        <w:rPr>
          <w:color w:val="231F20"/>
          <w:sz w:val="18"/>
        </w:rPr>
        <w:t>фондови</w:t>
      </w:r>
      <w:r>
        <w:rPr>
          <w:color w:val="231F20"/>
          <w:spacing w:val="-7"/>
          <w:sz w:val="18"/>
        </w:rPr>
        <w:t> </w:t>
      </w:r>
      <w:r>
        <w:rPr>
          <w:color w:val="231F20"/>
          <w:sz w:val="18"/>
        </w:rPr>
        <w:t>(за</w:t>
      </w:r>
      <w:r>
        <w:rPr>
          <w:color w:val="231F20"/>
          <w:spacing w:val="-7"/>
          <w:sz w:val="18"/>
        </w:rPr>
        <w:t> </w:t>
      </w:r>
      <w:r>
        <w:rPr>
          <w:color w:val="231F20"/>
          <w:sz w:val="18"/>
        </w:rPr>
        <w:t>развој,</w:t>
      </w:r>
      <w:r>
        <w:rPr>
          <w:color w:val="231F20"/>
          <w:spacing w:val="-7"/>
          <w:sz w:val="18"/>
        </w:rPr>
        <w:t> </w:t>
      </w:r>
      <w:r>
        <w:rPr>
          <w:color w:val="231F20"/>
          <w:sz w:val="18"/>
        </w:rPr>
        <w:t>регионални</w:t>
      </w:r>
      <w:r>
        <w:rPr>
          <w:color w:val="231F20"/>
          <w:spacing w:val="-7"/>
          <w:sz w:val="18"/>
        </w:rPr>
        <w:t> </w:t>
      </w:r>
      <w:r>
        <w:rPr>
          <w:color w:val="231F20"/>
          <w:sz w:val="18"/>
        </w:rPr>
        <w:t>развој,</w:t>
      </w:r>
      <w:r>
        <w:rPr>
          <w:color w:val="231F20"/>
          <w:spacing w:val="-7"/>
          <w:sz w:val="18"/>
        </w:rPr>
        <w:t> </w:t>
      </w:r>
      <w:r>
        <w:rPr>
          <w:color w:val="231F20"/>
          <w:sz w:val="18"/>
        </w:rPr>
        <w:t>животну</w:t>
      </w:r>
      <w:r>
        <w:rPr>
          <w:color w:val="231F20"/>
          <w:spacing w:val="-7"/>
          <w:sz w:val="18"/>
        </w:rPr>
        <w:t> </w:t>
      </w:r>
      <w:r>
        <w:rPr>
          <w:color w:val="231F20"/>
          <w:sz w:val="18"/>
        </w:rPr>
        <w:t>средину и друго); Регионална развојна агенција „Браничево-Подунавље”, локалне управе и јавна предузећа/ организације надлжене за ло- калне</w:t>
      </w:r>
      <w:r>
        <w:rPr>
          <w:color w:val="231F20"/>
          <w:spacing w:val="-2"/>
          <w:sz w:val="18"/>
        </w:rPr>
        <w:t> </w:t>
      </w:r>
      <w:r>
        <w:rPr>
          <w:color w:val="231F20"/>
          <w:sz w:val="18"/>
        </w:rPr>
        <w:t>путеве;</w:t>
      </w:r>
    </w:p>
    <w:p>
      <w:pPr>
        <w:pStyle w:val="ListParagraph"/>
        <w:numPr>
          <w:ilvl w:val="0"/>
          <w:numId w:val="48"/>
        </w:numPr>
        <w:tabs>
          <w:tab w:pos="748" w:val="left" w:leader="none"/>
        </w:tabs>
        <w:spacing w:line="232" w:lineRule="auto" w:before="3" w:after="0"/>
        <w:ind w:left="170" w:right="411" w:firstLine="397"/>
        <w:jc w:val="both"/>
        <w:rPr>
          <w:sz w:val="18"/>
        </w:rPr>
      </w:pPr>
      <w:r>
        <w:rPr>
          <w:color w:val="231F20"/>
          <w:sz w:val="18"/>
        </w:rPr>
        <w:t>Заштита</w:t>
      </w:r>
      <w:r>
        <w:rPr>
          <w:color w:val="231F20"/>
          <w:spacing w:val="-8"/>
          <w:sz w:val="18"/>
        </w:rPr>
        <w:t> </w:t>
      </w:r>
      <w:r>
        <w:rPr>
          <w:color w:val="231F20"/>
          <w:sz w:val="18"/>
        </w:rPr>
        <w:t>и</w:t>
      </w:r>
      <w:r>
        <w:rPr>
          <w:color w:val="231F20"/>
          <w:spacing w:val="-8"/>
          <w:sz w:val="18"/>
        </w:rPr>
        <w:t> </w:t>
      </w:r>
      <w:r>
        <w:rPr>
          <w:color w:val="231F20"/>
          <w:sz w:val="18"/>
        </w:rPr>
        <w:t>одрживо</w:t>
      </w:r>
      <w:r>
        <w:rPr>
          <w:color w:val="231F20"/>
          <w:spacing w:val="-8"/>
          <w:sz w:val="18"/>
        </w:rPr>
        <w:t> </w:t>
      </w:r>
      <w:r>
        <w:rPr>
          <w:color w:val="231F20"/>
          <w:sz w:val="18"/>
        </w:rPr>
        <w:t>коришћење</w:t>
      </w:r>
      <w:r>
        <w:rPr>
          <w:color w:val="231F20"/>
          <w:spacing w:val="-8"/>
          <w:sz w:val="18"/>
        </w:rPr>
        <w:t> </w:t>
      </w:r>
      <w:r>
        <w:rPr>
          <w:color w:val="231F20"/>
          <w:sz w:val="18"/>
        </w:rPr>
        <w:t>вода</w:t>
      </w:r>
      <w:r>
        <w:rPr>
          <w:color w:val="231F20"/>
          <w:spacing w:val="-8"/>
          <w:sz w:val="18"/>
        </w:rPr>
        <w:t> </w:t>
      </w:r>
      <w:r>
        <w:rPr>
          <w:color w:val="231F20"/>
          <w:sz w:val="18"/>
        </w:rPr>
        <w:t>и</w:t>
      </w:r>
      <w:r>
        <w:rPr>
          <w:color w:val="231F20"/>
          <w:spacing w:val="-8"/>
          <w:sz w:val="18"/>
        </w:rPr>
        <w:t> </w:t>
      </w:r>
      <w:r>
        <w:rPr>
          <w:color w:val="231F20"/>
          <w:sz w:val="18"/>
        </w:rPr>
        <w:t>развој</w:t>
      </w:r>
      <w:r>
        <w:rPr>
          <w:color w:val="231F20"/>
          <w:spacing w:val="-8"/>
          <w:sz w:val="18"/>
        </w:rPr>
        <w:t> </w:t>
      </w:r>
      <w:r>
        <w:rPr>
          <w:color w:val="231F20"/>
          <w:sz w:val="18"/>
        </w:rPr>
        <w:t>водопривред- не</w:t>
      </w:r>
      <w:r>
        <w:rPr>
          <w:color w:val="231F20"/>
          <w:spacing w:val="-7"/>
          <w:sz w:val="18"/>
        </w:rPr>
        <w:t> </w:t>
      </w:r>
      <w:r>
        <w:rPr>
          <w:color w:val="231F20"/>
          <w:sz w:val="18"/>
        </w:rPr>
        <w:t>инфраструктуре:</w:t>
      </w:r>
      <w:r>
        <w:rPr>
          <w:color w:val="231F20"/>
          <w:spacing w:val="-7"/>
          <w:sz w:val="18"/>
        </w:rPr>
        <w:t> </w:t>
      </w:r>
      <w:r>
        <w:rPr>
          <w:color w:val="231F20"/>
          <w:sz w:val="18"/>
        </w:rPr>
        <w:t>органи</w:t>
      </w:r>
      <w:r>
        <w:rPr>
          <w:color w:val="231F20"/>
          <w:spacing w:val="-7"/>
          <w:sz w:val="18"/>
        </w:rPr>
        <w:t> </w:t>
      </w:r>
      <w:r>
        <w:rPr>
          <w:color w:val="231F20"/>
          <w:sz w:val="18"/>
        </w:rPr>
        <w:t>и</w:t>
      </w:r>
      <w:r>
        <w:rPr>
          <w:color w:val="231F20"/>
          <w:spacing w:val="-7"/>
          <w:sz w:val="18"/>
        </w:rPr>
        <w:t> </w:t>
      </w:r>
      <w:r>
        <w:rPr>
          <w:color w:val="231F20"/>
          <w:sz w:val="18"/>
        </w:rPr>
        <w:t>јавна</w:t>
      </w:r>
      <w:r>
        <w:rPr>
          <w:color w:val="231F20"/>
          <w:spacing w:val="-7"/>
          <w:sz w:val="18"/>
        </w:rPr>
        <w:t> </w:t>
      </w:r>
      <w:r>
        <w:rPr>
          <w:color w:val="231F20"/>
          <w:sz w:val="18"/>
        </w:rPr>
        <w:t>предузећа</w:t>
      </w:r>
      <w:r>
        <w:rPr>
          <w:color w:val="231F20"/>
          <w:spacing w:val="-7"/>
          <w:sz w:val="18"/>
        </w:rPr>
        <w:t> </w:t>
      </w:r>
      <w:r>
        <w:rPr>
          <w:color w:val="231F20"/>
          <w:sz w:val="18"/>
        </w:rPr>
        <w:t>јединица</w:t>
      </w:r>
      <w:r>
        <w:rPr>
          <w:color w:val="231F20"/>
          <w:spacing w:val="-7"/>
          <w:sz w:val="18"/>
        </w:rPr>
        <w:t> </w:t>
      </w:r>
      <w:r>
        <w:rPr>
          <w:color w:val="231F20"/>
          <w:sz w:val="18"/>
        </w:rPr>
        <w:t>локалне</w:t>
      </w:r>
      <w:r>
        <w:rPr>
          <w:color w:val="231F20"/>
          <w:spacing w:val="-7"/>
          <w:sz w:val="18"/>
        </w:rPr>
        <w:t> </w:t>
      </w:r>
      <w:r>
        <w:rPr>
          <w:color w:val="231F20"/>
          <w:sz w:val="18"/>
        </w:rPr>
        <w:t>са- моуправе; ЈКП </w:t>
      </w:r>
      <w:r>
        <w:rPr>
          <w:color w:val="231F20"/>
          <w:spacing w:val="-3"/>
          <w:sz w:val="18"/>
        </w:rPr>
        <w:t>која </w:t>
      </w:r>
      <w:r>
        <w:rPr>
          <w:color w:val="231F20"/>
          <w:sz w:val="18"/>
        </w:rPr>
        <w:t>се старају за водоводе и канализације у локал- ној самоуправи; Републичка дирекција за воде, при Министарству за </w:t>
      </w:r>
      <w:r>
        <w:rPr>
          <w:color w:val="231F20"/>
          <w:spacing w:val="-3"/>
          <w:sz w:val="18"/>
        </w:rPr>
        <w:t>пољопривреду, </w:t>
      </w:r>
      <w:r>
        <w:rPr>
          <w:color w:val="231F20"/>
          <w:sz w:val="18"/>
        </w:rPr>
        <w:t>водопривреду и шумарство; ЈВП „Србијаводе”, ВПЦ</w:t>
      </w:r>
      <w:r>
        <w:rPr>
          <w:color w:val="231F20"/>
          <w:spacing w:val="32"/>
          <w:sz w:val="18"/>
        </w:rPr>
        <w:t> </w:t>
      </w:r>
      <w:r>
        <w:rPr>
          <w:color w:val="231F20"/>
          <w:sz w:val="18"/>
        </w:rPr>
        <w:t>„Сава</w:t>
      </w:r>
      <w:r>
        <w:rPr>
          <w:color w:val="231F20"/>
          <w:spacing w:val="-18"/>
          <w:sz w:val="18"/>
        </w:rPr>
        <w:t> </w:t>
      </w:r>
      <w:r>
        <w:rPr>
          <w:color w:val="231F20"/>
          <w:sz w:val="18"/>
        </w:rPr>
        <w:t>–Дунав”,</w:t>
      </w:r>
      <w:r>
        <w:rPr>
          <w:color w:val="231F20"/>
          <w:spacing w:val="32"/>
          <w:sz w:val="18"/>
        </w:rPr>
        <w:t> </w:t>
      </w:r>
      <w:r>
        <w:rPr>
          <w:color w:val="231F20"/>
          <w:sz w:val="18"/>
        </w:rPr>
        <w:t>ВПЦ</w:t>
      </w:r>
      <w:r>
        <w:rPr>
          <w:color w:val="231F20"/>
          <w:spacing w:val="32"/>
          <w:sz w:val="18"/>
        </w:rPr>
        <w:t> </w:t>
      </w:r>
      <w:r>
        <w:rPr>
          <w:color w:val="231F20"/>
          <w:sz w:val="18"/>
        </w:rPr>
        <w:t>„Дунав”,</w:t>
      </w:r>
      <w:r>
        <w:rPr>
          <w:color w:val="231F20"/>
          <w:spacing w:val="32"/>
          <w:sz w:val="18"/>
        </w:rPr>
        <w:t> </w:t>
      </w:r>
      <w:r>
        <w:rPr>
          <w:color w:val="231F20"/>
          <w:sz w:val="18"/>
        </w:rPr>
        <w:t>ВПЦ</w:t>
      </w:r>
      <w:r>
        <w:rPr>
          <w:color w:val="231F20"/>
          <w:spacing w:val="32"/>
          <w:sz w:val="18"/>
        </w:rPr>
        <w:t> </w:t>
      </w:r>
      <w:r>
        <w:rPr>
          <w:color w:val="231F20"/>
          <w:sz w:val="18"/>
        </w:rPr>
        <w:t>„Велика</w:t>
      </w:r>
      <w:r>
        <w:rPr>
          <w:color w:val="231F20"/>
          <w:spacing w:val="32"/>
          <w:sz w:val="18"/>
        </w:rPr>
        <w:t> </w:t>
      </w:r>
      <w:r>
        <w:rPr>
          <w:color w:val="231F20"/>
          <w:sz w:val="18"/>
        </w:rPr>
        <w:t>Морава”;</w:t>
      </w:r>
      <w:r>
        <w:rPr>
          <w:color w:val="231F20"/>
          <w:spacing w:val="32"/>
          <w:sz w:val="18"/>
        </w:rPr>
        <w:t> </w:t>
      </w:r>
      <w:r>
        <w:rPr>
          <w:color w:val="231F20"/>
          <w:sz w:val="18"/>
        </w:rPr>
        <w:t>ЈП</w:t>
      </w:r>
    </w:p>
    <w:p>
      <w:pPr>
        <w:pStyle w:val="BodyText"/>
        <w:spacing w:line="201" w:lineRule="exact"/>
        <w:jc w:val="left"/>
      </w:pPr>
      <w:r>
        <w:rPr>
          <w:color w:val="231F20"/>
        </w:rPr>
        <w:t>„Електропривреда Србије” и локалне електродистрибуције; П.Д.</w:t>
      </w:r>
    </w:p>
    <w:p>
      <w:pPr>
        <w:pStyle w:val="BodyText"/>
        <w:spacing w:line="232" w:lineRule="auto" w:before="2"/>
        <w:ind w:right="411"/>
      </w:pPr>
      <w:r>
        <w:rPr>
          <w:color w:val="231F20"/>
          <w:spacing w:val="-3"/>
        </w:rPr>
        <w:t>„Ђердап”, </w:t>
      </w:r>
      <w:r>
        <w:rPr>
          <w:color w:val="231F20"/>
        </w:rPr>
        <w:t>ХЕПС </w:t>
      </w:r>
      <w:r>
        <w:rPr>
          <w:color w:val="231F20"/>
          <w:spacing w:val="-4"/>
        </w:rPr>
        <w:t>„Ђердап </w:t>
      </w:r>
      <w:r>
        <w:rPr>
          <w:color w:val="231F20"/>
        </w:rPr>
        <w:t>I” и </w:t>
      </w:r>
      <w:r>
        <w:rPr>
          <w:color w:val="231F20"/>
          <w:spacing w:val="-4"/>
        </w:rPr>
        <w:t>„Ђердап </w:t>
      </w:r>
      <w:r>
        <w:rPr>
          <w:color w:val="231F20"/>
        </w:rPr>
        <w:t>II”, ЈП „Србијашуме”, при- ватни инвеститори и друго;</w:t>
      </w:r>
    </w:p>
    <w:p>
      <w:pPr>
        <w:pStyle w:val="ListParagraph"/>
        <w:numPr>
          <w:ilvl w:val="0"/>
          <w:numId w:val="48"/>
        </w:numPr>
        <w:tabs>
          <w:tab w:pos="746" w:val="left" w:leader="none"/>
        </w:tabs>
        <w:spacing w:line="232" w:lineRule="auto" w:before="0" w:after="0"/>
        <w:ind w:left="170" w:right="411" w:firstLine="397"/>
        <w:jc w:val="both"/>
        <w:rPr>
          <w:sz w:val="18"/>
        </w:rPr>
      </w:pPr>
      <w:r>
        <w:rPr>
          <w:color w:val="231F20"/>
          <w:sz w:val="18"/>
        </w:rPr>
        <w:t>Развој</w:t>
      </w:r>
      <w:r>
        <w:rPr>
          <w:color w:val="231F20"/>
          <w:spacing w:val="-8"/>
          <w:sz w:val="18"/>
        </w:rPr>
        <w:t> </w:t>
      </w:r>
      <w:r>
        <w:rPr>
          <w:color w:val="231F20"/>
          <w:sz w:val="18"/>
        </w:rPr>
        <w:t>енергетике</w:t>
      </w:r>
      <w:r>
        <w:rPr>
          <w:color w:val="231F20"/>
          <w:spacing w:val="-8"/>
          <w:sz w:val="18"/>
        </w:rPr>
        <w:t> </w:t>
      </w:r>
      <w:r>
        <w:rPr>
          <w:color w:val="231F20"/>
          <w:sz w:val="18"/>
        </w:rPr>
        <w:t>и</w:t>
      </w:r>
      <w:r>
        <w:rPr>
          <w:color w:val="231F20"/>
          <w:spacing w:val="-8"/>
          <w:sz w:val="18"/>
        </w:rPr>
        <w:t> </w:t>
      </w:r>
      <w:r>
        <w:rPr>
          <w:color w:val="231F20"/>
          <w:sz w:val="18"/>
        </w:rPr>
        <w:t>енергетске</w:t>
      </w:r>
      <w:r>
        <w:rPr>
          <w:color w:val="231F20"/>
          <w:spacing w:val="-8"/>
          <w:sz w:val="18"/>
        </w:rPr>
        <w:t> </w:t>
      </w:r>
      <w:r>
        <w:rPr>
          <w:color w:val="231F20"/>
          <w:sz w:val="18"/>
        </w:rPr>
        <w:t>инфраструктуре:</w:t>
      </w:r>
      <w:r>
        <w:rPr>
          <w:color w:val="231F20"/>
          <w:spacing w:val="-8"/>
          <w:sz w:val="18"/>
        </w:rPr>
        <w:t> </w:t>
      </w:r>
      <w:r>
        <w:rPr>
          <w:color w:val="231F20"/>
          <w:sz w:val="18"/>
        </w:rPr>
        <w:t>министар- ства</w:t>
      </w:r>
      <w:r>
        <w:rPr>
          <w:color w:val="231F20"/>
          <w:spacing w:val="-7"/>
          <w:sz w:val="18"/>
        </w:rPr>
        <w:t> </w:t>
      </w:r>
      <w:r>
        <w:rPr>
          <w:color w:val="231F20"/>
          <w:sz w:val="18"/>
        </w:rPr>
        <w:t>надлежна</w:t>
      </w:r>
      <w:r>
        <w:rPr>
          <w:color w:val="231F20"/>
          <w:spacing w:val="-7"/>
          <w:sz w:val="18"/>
        </w:rPr>
        <w:t> </w:t>
      </w:r>
      <w:r>
        <w:rPr>
          <w:color w:val="231F20"/>
          <w:sz w:val="18"/>
        </w:rPr>
        <w:t>за</w:t>
      </w:r>
      <w:r>
        <w:rPr>
          <w:color w:val="231F20"/>
          <w:spacing w:val="-7"/>
          <w:sz w:val="18"/>
        </w:rPr>
        <w:t> </w:t>
      </w:r>
      <w:r>
        <w:rPr>
          <w:color w:val="231F20"/>
          <w:spacing w:val="-3"/>
          <w:sz w:val="18"/>
        </w:rPr>
        <w:t>енергетику,</w:t>
      </w:r>
      <w:r>
        <w:rPr>
          <w:color w:val="231F20"/>
          <w:spacing w:val="-7"/>
          <w:sz w:val="18"/>
        </w:rPr>
        <w:t> </w:t>
      </w:r>
      <w:r>
        <w:rPr>
          <w:color w:val="231F20"/>
          <w:sz w:val="18"/>
        </w:rPr>
        <w:t>заштиту</w:t>
      </w:r>
      <w:r>
        <w:rPr>
          <w:color w:val="231F20"/>
          <w:spacing w:val="-7"/>
          <w:sz w:val="18"/>
        </w:rPr>
        <w:t> </w:t>
      </w:r>
      <w:r>
        <w:rPr>
          <w:color w:val="231F20"/>
          <w:sz w:val="18"/>
        </w:rPr>
        <w:t>животне</w:t>
      </w:r>
      <w:r>
        <w:rPr>
          <w:color w:val="231F20"/>
          <w:spacing w:val="-7"/>
          <w:sz w:val="18"/>
        </w:rPr>
        <w:t> </w:t>
      </w:r>
      <w:r>
        <w:rPr>
          <w:color w:val="231F20"/>
          <w:sz w:val="18"/>
        </w:rPr>
        <w:t>средине</w:t>
      </w:r>
      <w:r>
        <w:rPr>
          <w:color w:val="231F20"/>
          <w:spacing w:val="-7"/>
          <w:sz w:val="18"/>
        </w:rPr>
        <w:t> </w:t>
      </w:r>
      <w:r>
        <w:rPr>
          <w:color w:val="231F20"/>
          <w:sz w:val="18"/>
        </w:rPr>
        <w:t>и</w:t>
      </w:r>
      <w:r>
        <w:rPr>
          <w:color w:val="231F20"/>
          <w:spacing w:val="-7"/>
          <w:sz w:val="18"/>
        </w:rPr>
        <w:t> </w:t>
      </w:r>
      <w:r>
        <w:rPr>
          <w:color w:val="231F20"/>
          <w:sz w:val="18"/>
        </w:rPr>
        <w:t>водопри- </w:t>
      </w:r>
      <w:r>
        <w:rPr>
          <w:color w:val="231F20"/>
          <w:spacing w:val="-4"/>
          <w:sz w:val="18"/>
        </w:rPr>
        <w:t>вреду, </w:t>
      </w:r>
      <w:r>
        <w:rPr>
          <w:color w:val="231F20"/>
          <w:sz w:val="18"/>
        </w:rPr>
        <w:t>локални органи управљања, ЈП „Електромрежа Србије”,</w:t>
      </w:r>
      <w:r>
        <w:rPr>
          <w:color w:val="231F20"/>
          <w:spacing w:val="5"/>
          <w:sz w:val="18"/>
        </w:rPr>
        <w:t> </w:t>
      </w:r>
      <w:r>
        <w:rPr>
          <w:color w:val="231F20"/>
          <w:sz w:val="18"/>
        </w:rPr>
        <w:t>ЈП</w:t>
      </w:r>
    </w:p>
    <w:p>
      <w:pPr>
        <w:pStyle w:val="BodyText"/>
        <w:spacing w:line="232" w:lineRule="auto" w:before="1"/>
        <w:ind w:right="411"/>
      </w:pPr>
      <w:r>
        <w:rPr>
          <w:color w:val="231F20"/>
        </w:rPr>
        <w:t>„Електропривреда Србије”, ХЕПС „Ђердап I” и „Ђердап II”, ло- калне ЕДБ, ЈП „Србијагас”, ЈП „НИС”, „Gazprom”, „Југоросгаз”, и други актери у јавном и приватном сектору;</w:t>
      </w:r>
    </w:p>
    <w:p>
      <w:pPr>
        <w:pStyle w:val="ListParagraph"/>
        <w:numPr>
          <w:ilvl w:val="0"/>
          <w:numId w:val="48"/>
        </w:numPr>
        <w:tabs>
          <w:tab w:pos="875" w:val="left" w:leader="none"/>
        </w:tabs>
        <w:spacing w:line="232" w:lineRule="auto" w:before="1" w:after="0"/>
        <w:ind w:left="170" w:right="411" w:firstLine="397"/>
        <w:jc w:val="both"/>
        <w:rPr>
          <w:sz w:val="18"/>
        </w:rPr>
      </w:pPr>
      <w:r>
        <w:rPr>
          <w:color w:val="231F20"/>
          <w:sz w:val="18"/>
        </w:rPr>
        <w:t>Развој телекомуникација и поштанског саобраћаја: ми- нистарство надлежно за телекомуникације, ЈП „Поште Србије”, </w:t>
      </w:r>
      <w:r>
        <w:rPr>
          <w:color w:val="231F20"/>
          <w:spacing w:val="-4"/>
          <w:sz w:val="18"/>
        </w:rPr>
        <w:t>Телеком </w:t>
      </w:r>
      <w:r>
        <w:rPr>
          <w:color w:val="231F20"/>
          <w:sz w:val="18"/>
        </w:rPr>
        <w:t>„Србија”, Теlenor, VIP Mobile, ОRION group и други оператери </w:t>
      </w:r>
      <w:r>
        <w:rPr>
          <w:color w:val="231F20"/>
          <w:spacing w:val="-3"/>
          <w:sz w:val="18"/>
        </w:rPr>
        <w:t>који  </w:t>
      </w:r>
      <w:r>
        <w:rPr>
          <w:color w:val="231F20"/>
          <w:sz w:val="18"/>
        </w:rPr>
        <w:t>у међувремену добију лиценце, Радио телевизи-  ја Србије, локалне телевизијске и радио станице, локални органи управљања;</w:t>
      </w:r>
    </w:p>
    <w:p>
      <w:pPr>
        <w:pStyle w:val="ListParagraph"/>
        <w:numPr>
          <w:ilvl w:val="0"/>
          <w:numId w:val="48"/>
        </w:numPr>
        <w:tabs>
          <w:tab w:pos="868" w:val="left" w:leader="none"/>
        </w:tabs>
        <w:spacing w:line="232" w:lineRule="auto" w:before="2" w:after="0"/>
        <w:ind w:left="170" w:right="411" w:firstLine="397"/>
        <w:jc w:val="both"/>
        <w:rPr>
          <w:sz w:val="18"/>
        </w:rPr>
      </w:pPr>
      <w:r>
        <w:rPr>
          <w:color w:val="231F20"/>
          <w:sz w:val="18"/>
        </w:rPr>
        <w:t>Развој </w:t>
      </w:r>
      <w:r>
        <w:rPr>
          <w:color w:val="231F20"/>
          <w:spacing w:val="-4"/>
          <w:sz w:val="18"/>
        </w:rPr>
        <w:t>комуналне </w:t>
      </w:r>
      <w:r>
        <w:rPr>
          <w:color w:val="231F20"/>
          <w:spacing w:val="-3"/>
          <w:sz w:val="18"/>
        </w:rPr>
        <w:t>инфраструктуре: </w:t>
      </w:r>
      <w:r>
        <w:rPr>
          <w:color w:val="231F20"/>
          <w:sz w:val="18"/>
        </w:rPr>
        <w:t>министарство надле- жно</w:t>
      </w:r>
      <w:r>
        <w:rPr>
          <w:color w:val="231F20"/>
          <w:spacing w:val="-6"/>
          <w:sz w:val="18"/>
        </w:rPr>
        <w:t> </w:t>
      </w:r>
      <w:r>
        <w:rPr>
          <w:color w:val="231F20"/>
          <w:sz w:val="18"/>
        </w:rPr>
        <w:t>за</w:t>
      </w:r>
      <w:r>
        <w:rPr>
          <w:color w:val="231F20"/>
          <w:spacing w:val="-6"/>
          <w:sz w:val="18"/>
        </w:rPr>
        <w:t> </w:t>
      </w:r>
      <w:r>
        <w:rPr>
          <w:color w:val="231F20"/>
          <w:spacing w:val="-3"/>
          <w:sz w:val="18"/>
        </w:rPr>
        <w:t>заштиту</w:t>
      </w:r>
      <w:r>
        <w:rPr>
          <w:color w:val="231F20"/>
          <w:spacing w:val="-6"/>
          <w:sz w:val="18"/>
        </w:rPr>
        <w:t> </w:t>
      </w:r>
      <w:r>
        <w:rPr>
          <w:color w:val="231F20"/>
          <w:spacing w:val="-3"/>
          <w:sz w:val="18"/>
        </w:rPr>
        <w:t>животне</w:t>
      </w:r>
      <w:r>
        <w:rPr>
          <w:color w:val="231F20"/>
          <w:spacing w:val="-6"/>
          <w:sz w:val="18"/>
        </w:rPr>
        <w:t> </w:t>
      </w:r>
      <w:r>
        <w:rPr>
          <w:color w:val="231F20"/>
          <w:spacing w:val="-3"/>
          <w:sz w:val="18"/>
        </w:rPr>
        <w:t>средине</w:t>
      </w:r>
      <w:r>
        <w:rPr>
          <w:color w:val="231F20"/>
          <w:spacing w:val="-6"/>
          <w:sz w:val="18"/>
        </w:rPr>
        <w:t> </w:t>
      </w:r>
      <w:r>
        <w:rPr>
          <w:color w:val="231F20"/>
          <w:sz w:val="18"/>
        </w:rPr>
        <w:t>и</w:t>
      </w:r>
      <w:r>
        <w:rPr>
          <w:color w:val="231F20"/>
          <w:spacing w:val="-6"/>
          <w:sz w:val="18"/>
        </w:rPr>
        <w:t> </w:t>
      </w:r>
      <w:r>
        <w:rPr>
          <w:color w:val="231F20"/>
          <w:sz w:val="18"/>
        </w:rPr>
        <w:t>просторно</w:t>
      </w:r>
      <w:r>
        <w:rPr>
          <w:color w:val="231F20"/>
          <w:spacing w:val="-6"/>
          <w:sz w:val="18"/>
        </w:rPr>
        <w:t> </w:t>
      </w:r>
      <w:r>
        <w:rPr>
          <w:color w:val="231F20"/>
          <w:sz w:val="18"/>
        </w:rPr>
        <w:t>планирање</w:t>
      </w:r>
      <w:r>
        <w:rPr>
          <w:color w:val="231F20"/>
          <w:spacing w:val="-6"/>
          <w:sz w:val="18"/>
        </w:rPr>
        <w:t> </w:t>
      </w:r>
      <w:r>
        <w:rPr>
          <w:color w:val="231F20"/>
          <w:sz w:val="18"/>
        </w:rPr>
        <w:t>са</w:t>
      </w:r>
      <w:r>
        <w:rPr>
          <w:color w:val="231F20"/>
          <w:spacing w:val="-6"/>
          <w:sz w:val="18"/>
        </w:rPr>
        <w:t> </w:t>
      </w:r>
      <w:r>
        <w:rPr>
          <w:color w:val="231F20"/>
          <w:spacing w:val="-4"/>
          <w:sz w:val="18"/>
        </w:rPr>
        <w:t>одгова- </w:t>
      </w:r>
      <w:r>
        <w:rPr>
          <w:color w:val="231F20"/>
          <w:sz w:val="18"/>
        </w:rPr>
        <w:t>рајућим </w:t>
      </w:r>
      <w:r>
        <w:rPr>
          <w:color w:val="231F20"/>
          <w:spacing w:val="-3"/>
          <w:sz w:val="18"/>
        </w:rPr>
        <w:t>управама, дирекцијама </w:t>
      </w:r>
      <w:r>
        <w:rPr>
          <w:color w:val="231F20"/>
          <w:sz w:val="18"/>
        </w:rPr>
        <w:t>и </w:t>
      </w:r>
      <w:r>
        <w:rPr>
          <w:color w:val="231F20"/>
          <w:spacing w:val="-3"/>
          <w:sz w:val="18"/>
        </w:rPr>
        <w:t>агенцијама, </w:t>
      </w:r>
      <w:r>
        <w:rPr>
          <w:color w:val="231F20"/>
          <w:sz w:val="18"/>
        </w:rPr>
        <w:t>стручне организације за </w:t>
      </w:r>
      <w:r>
        <w:rPr>
          <w:color w:val="231F20"/>
          <w:spacing w:val="-3"/>
          <w:sz w:val="18"/>
        </w:rPr>
        <w:t>испитивање отпада; </w:t>
      </w:r>
      <w:r>
        <w:rPr>
          <w:color w:val="231F20"/>
          <w:sz w:val="18"/>
        </w:rPr>
        <w:t>локални органи управљања и јавна </w:t>
      </w:r>
      <w:r>
        <w:rPr>
          <w:color w:val="231F20"/>
          <w:spacing w:val="-3"/>
          <w:sz w:val="18"/>
        </w:rPr>
        <w:t>предузе- </w:t>
      </w:r>
      <w:r>
        <w:rPr>
          <w:color w:val="231F20"/>
          <w:sz w:val="18"/>
        </w:rPr>
        <w:t>ћа/организације </w:t>
      </w:r>
      <w:r>
        <w:rPr>
          <w:color w:val="231F20"/>
          <w:spacing w:val="-3"/>
          <w:sz w:val="18"/>
        </w:rPr>
        <w:t>надлежене </w:t>
      </w:r>
      <w:r>
        <w:rPr>
          <w:color w:val="231F20"/>
          <w:sz w:val="18"/>
        </w:rPr>
        <w:t>за </w:t>
      </w:r>
      <w:r>
        <w:rPr>
          <w:color w:val="231F20"/>
          <w:spacing w:val="-4"/>
          <w:sz w:val="18"/>
        </w:rPr>
        <w:t>комуналне </w:t>
      </w:r>
      <w:r>
        <w:rPr>
          <w:color w:val="231F20"/>
          <w:sz w:val="18"/>
        </w:rPr>
        <w:t>послове; и </w:t>
      </w:r>
      <w:r>
        <w:rPr>
          <w:color w:val="231F20"/>
          <w:spacing w:val="-3"/>
          <w:sz w:val="18"/>
        </w:rPr>
        <w:t>други актери </w:t>
      </w:r>
      <w:r>
        <w:rPr>
          <w:color w:val="231F20"/>
          <w:sz w:val="18"/>
        </w:rPr>
        <w:t>у </w:t>
      </w:r>
      <w:r>
        <w:rPr>
          <w:color w:val="231F20"/>
          <w:spacing w:val="-3"/>
          <w:sz w:val="18"/>
        </w:rPr>
        <w:t>јавном </w:t>
      </w:r>
      <w:r>
        <w:rPr>
          <w:color w:val="231F20"/>
          <w:sz w:val="18"/>
        </w:rPr>
        <w:t>и </w:t>
      </w:r>
      <w:r>
        <w:rPr>
          <w:color w:val="231F20"/>
          <w:spacing w:val="-4"/>
          <w:sz w:val="18"/>
        </w:rPr>
        <w:t>приватном </w:t>
      </w:r>
      <w:r>
        <w:rPr>
          <w:color w:val="231F20"/>
          <w:spacing w:val="-5"/>
          <w:sz w:val="18"/>
        </w:rPr>
        <w:t>сектору, </w:t>
      </w:r>
      <w:r>
        <w:rPr>
          <w:color w:val="231F20"/>
          <w:spacing w:val="-3"/>
          <w:sz w:val="18"/>
        </w:rPr>
        <w:t>предузећа </w:t>
      </w:r>
      <w:r>
        <w:rPr>
          <w:color w:val="231F20"/>
          <w:sz w:val="18"/>
        </w:rPr>
        <w:t>или </w:t>
      </w:r>
      <w:r>
        <w:rPr>
          <w:color w:val="231F20"/>
          <w:spacing w:val="-4"/>
          <w:sz w:val="18"/>
        </w:rPr>
        <w:t>компаније </w:t>
      </w:r>
      <w:r>
        <w:rPr>
          <w:color w:val="231F20"/>
          <w:sz w:val="18"/>
        </w:rPr>
        <w:t>за</w:t>
      </w:r>
      <w:r>
        <w:rPr>
          <w:color w:val="231F20"/>
          <w:spacing w:val="-32"/>
          <w:sz w:val="18"/>
        </w:rPr>
        <w:t> </w:t>
      </w:r>
      <w:r>
        <w:rPr>
          <w:color w:val="231F20"/>
          <w:sz w:val="18"/>
        </w:rPr>
        <w:t>управљање </w:t>
      </w:r>
      <w:r>
        <w:rPr>
          <w:color w:val="231F20"/>
          <w:spacing w:val="-3"/>
          <w:sz w:val="18"/>
        </w:rPr>
        <w:t>комуналним отпадом (приватни </w:t>
      </w:r>
      <w:r>
        <w:rPr>
          <w:color w:val="231F20"/>
          <w:sz w:val="18"/>
        </w:rPr>
        <w:t>инвеститори), НВО и</w:t>
      </w:r>
      <w:r>
        <w:rPr>
          <w:color w:val="231F20"/>
          <w:spacing w:val="-22"/>
          <w:sz w:val="18"/>
        </w:rPr>
        <w:t> </w:t>
      </w:r>
      <w:r>
        <w:rPr>
          <w:color w:val="231F20"/>
          <w:spacing w:val="-3"/>
          <w:sz w:val="18"/>
        </w:rPr>
        <w:t>друго;</w:t>
      </w:r>
    </w:p>
    <w:p>
      <w:pPr>
        <w:pStyle w:val="ListParagraph"/>
        <w:numPr>
          <w:ilvl w:val="0"/>
          <w:numId w:val="48"/>
        </w:numPr>
        <w:tabs>
          <w:tab w:pos="847" w:val="left" w:leader="none"/>
        </w:tabs>
        <w:spacing w:line="232" w:lineRule="auto" w:before="2" w:after="0"/>
        <w:ind w:left="171" w:right="410" w:firstLine="397"/>
        <w:jc w:val="both"/>
        <w:rPr>
          <w:sz w:val="18"/>
        </w:rPr>
      </w:pPr>
      <w:r>
        <w:rPr>
          <w:color w:val="231F20"/>
          <w:sz w:val="18"/>
        </w:rPr>
        <w:t>Заштита животне средине: министарства надлежна за за- штиту животне средине, просторно планирање, </w:t>
      </w:r>
      <w:r>
        <w:rPr>
          <w:color w:val="231F20"/>
          <w:spacing w:val="-3"/>
          <w:sz w:val="18"/>
        </w:rPr>
        <w:t>пољопривреду, </w:t>
      </w:r>
      <w:r>
        <w:rPr>
          <w:color w:val="231F20"/>
          <w:sz w:val="18"/>
        </w:rPr>
        <w:t>шумарство, </w:t>
      </w:r>
      <w:r>
        <w:rPr>
          <w:color w:val="231F20"/>
          <w:spacing w:val="-3"/>
          <w:sz w:val="18"/>
        </w:rPr>
        <w:t>водопривреду, инфраструктуру, </w:t>
      </w:r>
      <w:r>
        <w:rPr>
          <w:color w:val="231F20"/>
          <w:sz w:val="18"/>
        </w:rPr>
        <w:t>рударство и енерге- тику са одговарајућим управама, дирекцијама и агенцијама, Ин- ститут за јавно здравље </w:t>
      </w:r>
      <w:r>
        <w:rPr>
          <w:color w:val="231F20"/>
          <w:spacing w:val="-3"/>
          <w:sz w:val="18"/>
        </w:rPr>
        <w:t>Републике </w:t>
      </w:r>
      <w:r>
        <w:rPr>
          <w:color w:val="231F20"/>
          <w:sz w:val="18"/>
        </w:rPr>
        <w:t>Србије „Др Милан Јовановић Батут”, Агенција и Фонд за заштиту животне средине, локални органи управљања, Завод за јавно здравље Пожаревац, привредни субјекти, НВО и</w:t>
      </w:r>
      <w:r>
        <w:rPr>
          <w:color w:val="231F20"/>
          <w:spacing w:val="-3"/>
          <w:sz w:val="18"/>
        </w:rPr>
        <w:t> </w:t>
      </w:r>
      <w:r>
        <w:rPr>
          <w:color w:val="231F20"/>
          <w:sz w:val="18"/>
        </w:rPr>
        <w:t>друго;</w:t>
      </w:r>
    </w:p>
    <w:p>
      <w:pPr>
        <w:pStyle w:val="ListParagraph"/>
        <w:numPr>
          <w:ilvl w:val="0"/>
          <w:numId w:val="48"/>
        </w:numPr>
        <w:tabs>
          <w:tab w:pos="856" w:val="left" w:leader="none"/>
        </w:tabs>
        <w:spacing w:line="232" w:lineRule="auto" w:before="2" w:after="0"/>
        <w:ind w:left="170" w:right="410" w:firstLine="397"/>
        <w:jc w:val="both"/>
        <w:rPr>
          <w:sz w:val="18"/>
        </w:rPr>
      </w:pPr>
      <w:r>
        <w:rPr>
          <w:color w:val="231F20"/>
          <w:sz w:val="18"/>
        </w:rPr>
        <w:t>Заштита природе и природних вредности: министарство надлежно за послове животне средине, Завод за заштиту природе Србије,</w:t>
      </w:r>
      <w:r>
        <w:rPr>
          <w:color w:val="231F20"/>
          <w:spacing w:val="-8"/>
          <w:sz w:val="18"/>
        </w:rPr>
        <w:t> </w:t>
      </w:r>
      <w:r>
        <w:rPr>
          <w:color w:val="231F20"/>
          <w:sz w:val="18"/>
        </w:rPr>
        <w:t>управљачи</w:t>
      </w:r>
      <w:r>
        <w:rPr>
          <w:color w:val="231F20"/>
          <w:spacing w:val="-8"/>
          <w:sz w:val="18"/>
        </w:rPr>
        <w:t> </w:t>
      </w:r>
      <w:r>
        <w:rPr>
          <w:color w:val="231F20"/>
          <w:sz w:val="18"/>
        </w:rPr>
        <w:t>заштићених</w:t>
      </w:r>
      <w:r>
        <w:rPr>
          <w:color w:val="231F20"/>
          <w:spacing w:val="-8"/>
          <w:sz w:val="18"/>
        </w:rPr>
        <w:t> </w:t>
      </w:r>
      <w:r>
        <w:rPr>
          <w:color w:val="231F20"/>
          <w:sz w:val="18"/>
        </w:rPr>
        <w:t>подручја,</w:t>
      </w:r>
      <w:r>
        <w:rPr>
          <w:color w:val="231F20"/>
          <w:spacing w:val="-8"/>
          <w:sz w:val="18"/>
        </w:rPr>
        <w:t> </w:t>
      </w:r>
      <w:r>
        <w:rPr>
          <w:color w:val="231F20"/>
          <w:sz w:val="18"/>
        </w:rPr>
        <w:t>територијално</w:t>
      </w:r>
      <w:r>
        <w:rPr>
          <w:color w:val="231F20"/>
          <w:spacing w:val="-8"/>
          <w:sz w:val="18"/>
        </w:rPr>
        <w:t> </w:t>
      </w:r>
      <w:r>
        <w:rPr>
          <w:color w:val="231F20"/>
          <w:sz w:val="18"/>
        </w:rPr>
        <w:t>надлежне локалне управе, НВО</w:t>
      </w:r>
      <w:r>
        <w:rPr>
          <w:color w:val="231F20"/>
          <w:spacing w:val="-3"/>
          <w:sz w:val="18"/>
        </w:rPr>
        <w:t> </w:t>
      </w:r>
      <w:r>
        <w:rPr>
          <w:color w:val="231F20"/>
          <w:sz w:val="18"/>
        </w:rPr>
        <w:t>и</w:t>
      </w:r>
    </w:p>
    <w:p>
      <w:pPr>
        <w:pStyle w:val="ListParagraph"/>
        <w:numPr>
          <w:ilvl w:val="0"/>
          <w:numId w:val="48"/>
        </w:numPr>
        <w:tabs>
          <w:tab w:pos="877" w:val="left" w:leader="none"/>
        </w:tabs>
        <w:spacing w:line="232" w:lineRule="auto" w:before="1" w:after="0"/>
        <w:ind w:left="170" w:right="411" w:firstLine="397"/>
        <w:jc w:val="both"/>
        <w:rPr>
          <w:sz w:val="18"/>
        </w:rPr>
      </w:pPr>
      <w:r>
        <w:rPr>
          <w:color w:val="231F20"/>
          <w:sz w:val="18"/>
        </w:rPr>
        <w:t>Заштита непокретних културних добара: министарство надлежно за </w:t>
      </w:r>
      <w:r>
        <w:rPr>
          <w:color w:val="231F20"/>
          <w:spacing w:val="-5"/>
          <w:sz w:val="18"/>
        </w:rPr>
        <w:t>културу, </w:t>
      </w:r>
      <w:r>
        <w:rPr>
          <w:color w:val="231F20"/>
          <w:sz w:val="18"/>
        </w:rPr>
        <w:t>Завод за заштиту споменика </w:t>
      </w:r>
      <w:r>
        <w:rPr>
          <w:color w:val="231F20"/>
          <w:spacing w:val="-3"/>
          <w:sz w:val="18"/>
        </w:rPr>
        <w:t>културе </w:t>
      </w:r>
      <w:r>
        <w:rPr>
          <w:color w:val="231F20"/>
          <w:sz w:val="18"/>
        </w:rPr>
        <w:t>Смеде- рево, надлежне локалне управе, јавне установе културе, приватни сектор, невладине организације, регионалне и локалне туристичке организације.</w:t>
      </w:r>
    </w:p>
    <w:p>
      <w:pPr>
        <w:pStyle w:val="Heading1"/>
        <w:numPr>
          <w:ilvl w:val="0"/>
          <w:numId w:val="49"/>
        </w:numPr>
        <w:tabs>
          <w:tab w:pos="654" w:val="left" w:leader="none"/>
        </w:tabs>
        <w:spacing w:line="240" w:lineRule="auto" w:before="167" w:after="0"/>
        <w:ind w:left="653" w:right="0" w:hanging="180"/>
        <w:jc w:val="left"/>
      </w:pPr>
      <w:r>
        <w:rPr>
          <w:color w:val="231F20"/>
        </w:rPr>
        <w:t>Могући ризици у имплементацији просторног</w:t>
      </w:r>
      <w:r>
        <w:rPr>
          <w:color w:val="231F20"/>
          <w:spacing w:val="-9"/>
        </w:rPr>
        <w:t> </w:t>
      </w:r>
      <w:r>
        <w:rPr>
          <w:color w:val="231F20"/>
        </w:rPr>
        <w:t>плана</w:t>
      </w:r>
    </w:p>
    <w:p>
      <w:pPr>
        <w:pStyle w:val="ListParagraph"/>
        <w:numPr>
          <w:ilvl w:val="1"/>
          <w:numId w:val="49"/>
        </w:numPr>
        <w:tabs>
          <w:tab w:pos="2274" w:val="left" w:leader="none"/>
        </w:tabs>
        <w:spacing w:line="240" w:lineRule="auto" w:before="164" w:after="0"/>
        <w:ind w:left="2273" w:right="0" w:hanging="315"/>
        <w:jc w:val="left"/>
        <w:rPr>
          <w:i/>
          <w:sz w:val="18"/>
        </w:rPr>
      </w:pPr>
      <w:r>
        <w:rPr>
          <w:i/>
          <w:color w:val="231F20"/>
          <w:sz w:val="18"/>
        </w:rPr>
        <w:t>Основни</w:t>
      </w:r>
      <w:r>
        <w:rPr>
          <w:i/>
          <w:color w:val="231F20"/>
          <w:spacing w:val="-2"/>
          <w:sz w:val="18"/>
        </w:rPr>
        <w:t> </w:t>
      </w:r>
      <w:r>
        <w:rPr>
          <w:i/>
          <w:color w:val="231F20"/>
          <w:sz w:val="18"/>
        </w:rPr>
        <w:t>ризици</w:t>
      </w:r>
    </w:p>
    <w:p>
      <w:pPr>
        <w:pStyle w:val="BodyText"/>
        <w:spacing w:before="4"/>
        <w:ind w:left="0"/>
        <w:jc w:val="left"/>
        <w:rPr>
          <w:i/>
          <w:sz w:val="17"/>
        </w:rPr>
      </w:pPr>
    </w:p>
    <w:p>
      <w:pPr>
        <w:pStyle w:val="BodyText"/>
        <w:spacing w:line="232" w:lineRule="auto"/>
        <w:ind w:right="410" w:firstLine="396"/>
      </w:pPr>
      <w:r>
        <w:rPr>
          <w:color w:val="231F20"/>
        </w:rPr>
        <w:t>У </w:t>
      </w:r>
      <w:r>
        <w:rPr>
          <w:color w:val="231F20"/>
          <w:spacing w:val="-3"/>
        </w:rPr>
        <w:t>рударству </w:t>
      </w:r>
      <w:r>
        <w:rPr>
          <w:color w:val="231F20"/>
        </w:rPr>
        <w:t>и енергетици, и другим областима </w:t>
      </w:r>
      <w:r>
        <w:rPr>
          <w:color w:val="231F20"/>
          <w:spacing w:val="-3"/>
        </w:rPr>
        <w:t>која </w:t>
      </w:r>
      <w:r>
        <w:rPr>
          <w:color w:val="231F20"/>
        </w:rPr>
        <w:t>су непо- средно</w:t>
      </w:r>
      <w:r>
        <w:rPr>
          <w:color w:val="231F20"/>
          <w:spacing w:val="-5"/>
        </w:rPr>
        <w:t> </w:t>
      </w:r>
      <w:r>
        <w:rPr>
          <w:color w:val="231F20"/>
        </w:rPr>
        <w:t>повезане</w:t>
      </w:r>
      <w:r>
        <w:rPr>
          <w:color w:val="231F20"/>
          <w:spacing w:val="-5"/>
        </w:rPr>
        <w:t> </w:t>
      </w:r>
      <w:r>
        <w:rPr>
          <w:color w:val="231F20"/>
        </w:rPr>
        <w:t>с</w:t>
      </w:r>
      <w:r>
        <w:rPr>
          <w:color w:val="231F20"/>
          <w:spacing w:val="-5"/>
        </w:rPr>
        <w:t> </w:t>
      </w:r>
      <w:r>
        <w:rPr>
          <w:color w:val="231F20"/>
        </w:rPr>
        <w:t>њима,</w:t>
      </w:r>
      <w:r>
        <w:rPr>
          <w:color w:val="231F20"/>
          <w:spacing w:val="-5"/>
        </w:rPr>
        <w:t> </w:t>
      </w:r>
      <w:r>
        <w:rPr>
          <w:color w:val="231F20"/>
        </w:rPr>
        <w:t>а</w:t>
      </w:r>
      <w:r>
        <w:rPr>
          <w:color w:val="231F20"/>
          <w:spacing w:val="-5"/>
        </w:rPr>
        <w:t> </w:t>
      </w:r>
      <w:r>
        <w:rPr>
          <w:color w:val="231F20"/>
        </w:rPr>
        <w:t>у</w:t>
      </w:r>
      <w:r>
        <w:rPr>
          <w:color w:val="231F20"/>
          <w:spacing w:val="-5"/>
        </w:rPr>
        <w:t> </w:t>
      </w:r>
      <w:r>
        <w:rPr>
          <w:color w:val="231F20"/>
        </w:rPr>
        <w:t>првом</w:t>
      </w:r>
      <w:r>
        <w:rPr>
          <w:color w:val="231F20"/>
          <w:spacing w:val="-5"/>
        </w:rPr>
        <w:t> </w:t>
      </w:r>
      <w:r>
        <w:rPr>
          <w:color w:val="231F20"/>
        </w:rPr>
        <w:t>реду</w:t>
      </w:r>
      <w:r>
        <w:rPr>
          <w:color w:val="231F20"/>
          <w:spacing w:val="-5"/>
        </w:rPr>
        <w:t> </w:t>
      </w:r>
      <w:r>
        <w:rPr>
          <w:color w:val="231F20"/>
        </w:rPr>
        <w:t>у</w:t>
      </w:r>
      <w:r>
        <w:rPr>
          <w:color w:val="231F20"/>
          <w:spacing w:val="-5"/>
        </w:rPr>
        <w:t> </w:t>
      </w:r>
      <w:r>
        <w:rPr>
          <w:color w:val="231F20"/>
        </w:rPr>
        <w:t>заштити</w:t>
      </w:r>
      <w:r>
        <w:rPr>
          <w:color w:val="231F20"/>
          <w:spacing w:val="-5"/>
        </w:rPr>
        <w:t> </w:t>
      </w:r>
      <w:r>
        <w:rPr>
          <w:color w:val="231F20"/>
        </w:rPr>
        <w:t>животне</w:t>
      </w:r>
      <w:r>
        <w:rPr>
          <w:color w:val="231F20"/>
          <w:spacing w:val="-5"/>
        </w:rPr>
        <w:t> </w:t>
      </w:r>
      <w:r>
        <w:rPr>
          <w:color w:val="231F20"/>
        </w:rPr>
        <w:t>среди- не, просторном и урбанистичком планирању и регионалном орга- низовању и </w:t>
      </w:r>
      <w:r>
        <w:rPr>
          <w:color w:val="231F20"/>
          <w:spacing w:val="-3"/>
        </w:rPr>
        <w:t>управљању, </w:t>
      </w:r>
      <w:r>
        <w:rPr>
          <w:color w:val="231F20"/>
        </w:rPr>
        <w:t>у току је транзицијско реструктурирање. Оно има својинске, функционалне, институционалне, организаци- оне, тржишне и многе друге стране. У реструктурирању о којем  је реч још увек постоји већи број отворених питања и дилема у </w:t>
      </w:r>
      <w:r>
        <w:rPr>
          <w:color w:val="231F20"/>
          <w:spacing w:val="-3"/>
        </w:rPr>
        <w:t>погледу </w:t>
      </w:r>
      <w:r>
        <w:rPr>
          <w:color w:val="231F20"/>
        </w:rPr>
        <w:t>најбољих решења. Многа </w:t>
      </w:r>
      <w:r>
        <w:rPr>
          <w:color w:val="231F20"/>
          <w:spacing w:val="-3"/>
        </w:rPr>
        <w:t>од </w:t>
      </w:r>
      <w:r>
        <w:rPr>
          <w:color w:val="231F20"/>
        </w:rPr>
        <w:t>тих отворених питања пред- стављају </w:t>
      </w:r>
      <w:r>
        <w:rPr>
          <w:color w:val="231F20"/>
          <w:spacing w:val="-3"/>
        </w:rPr>
        <w:t>непознаницу, </w:t>
      </w:r>
      <w:r>
        <w:rPr>
          <w:color w:val="231F20"/>
        </w:rPr>
        <w:t>па самим тим уводе ризик и неизвесност, као</w:t>
      </w:r>
      <w:r>
        <w:rPr>
          <w:color w:val="231F20"/>
          <w:spacing w:val="-7"/>
        </w:rPr>
        <w:t> </w:t>
      </w:r>
      <w:r>
        <w:rPr>
          <w:color w:val="231F20"/>
        </w:rPr>
        <w:t>категорије</w:t>
      </w:r>
      <w:r>
        <w:rPr>
          <w:color w:val="231F20"/>
          <w:spacing w:val="-7"/>
        </w:rPr>
        <w:t> </w:t>
      </w:r>
      <w:r>
        <w:rPr>
          <w:color w:val="231F20"/>
          <w:spacing w:val="-3"/>
        </w:rPr>
        <w:t>које</w:t>
      </w:r>
      <w:r>
        <w:rPr>
          <w:color w:val="231F20"/>
          <w:spacing w:val="-7"/>
        </w:rPr>
        <w:t> </w:t>
      </w:r>
      <w:r>
        <w:rPr>
          <w:color w:val="231F20"/>
        </w:rPr>
        <w:t>треба</w:t>
      </w:r>
      <w:r>
        <w:rPr>
          <w:color w:val="231F20"/>
          <w:spacing w:val="-7"/>
        </w:rPr>
        <w:t> </w:t>
      </w:r>
      <w:r>
        <w:rPr>
          <w:color w:val="231F20"/>
        </w:rPr>
        <w:t>имати</w:t>
      </w:r>
      <w:r>
        <w:rPr>
          <w:color w:val="231F20"/>
          <w:spacing w:val="-7"/>
        </w:rPr>
        <w:t> </w:t>
      </w:r>
      <w:r>
        <w:rPr>
          <w:color w:val="231F20"/>
        </w:rPr>
        <w:t>у</w:t>
      </w:r>
      <w:r>
        <w:rPr>
          <w:color w:val="231F20"/>
          <w:spacing w:val="-7"/>
        </w:rPr>
        <w:t> </w:t>
      </w:r>
      <w:r>
        <w:rPr>
          <w:color w:val="231F20"/>
        </w:rPr>
        <w:t>виду</w:t>
      </w:r>
      <w:r>
        <w:rPr>
          <w:color w:val="231F20"/>
          <w:spacing w:val="-7"/>
        </w:rPr>
        <w:t> </w:t>
      </w:r>
      <w:r>
        <w:rPr>
          <w:color w:val="231F20"/>
        </w:rPr>
        <w:t>или</w:t>
      </w:r>
      <w:r>
        <w:rPr>
          <w:color w:val="231F20"/>
          <w:spacing w:val="-7"/>
        </w:rPr>
        <w:t> </w:t>
      </w:r>
      <w:r>
        <w:rPr>
          <w:color w:val="231F20"/>
        </w:rPr>
        <w:t>узети</w:t>
      </w:r>
      <w:r>
        <w:rPr>
          <w:color w:val="231F20"/>
          <w:spacing w:val="-7"/>
        </w:rPr>
        <w:t> </w:t>
      </w:r>
      <w:r>
        <w:rPr>
          <w:color w:val="231F20"/>
        </w:rPr>
        <w:t>у</w:t>
      </w:r>
      <w:r>
        <w:rPr>
          <w:color w:val="231F20"/>
          <w:spacing w:val="-7"/>
        </w:rPr>
        <w:t> </w:t>
      </w:r>
      <w:r>
        <w:rPr>
          <w:color w:val="231F20"/>
        </w:rPr>
        <w:t>обзир</w:t>
      </w:r>
      <w:r>
        <w:rPr>
          <w:color w:val="231F20"/>
          <w:spacing w:val="-7"/>
        </w:rPr>
        <w:t> </w:t>
      </w:r>
      <w:r>
        <w:rPr>
          <w:color w:val="231F20"/>
          <w:spacing w:val="-3"/>
        </w:rPr>
        <w:t>приликом </w:t>
      </w:r>
      <w:r>
        <w:rPr>
          <w:color w:val="231F20"/>
        </w:rPr>
        <w:t>оцењивања</w:t>
      </w:r>
      <w:r>
        <w:rPr>
          <w:color w:val="231F20"/>
          <w:spacing w:val="-6"/>
        </w:rPr>
        <w:t> </w:t>
      </w:r>
      <w:r>
        <w:rPr>
          <w:color w:val="231F20"/>
        </w:rPr>
        <w:t>развојних</w:t>
      </w:r>
      <w:r>
        <w:rPr>
          <w:color w:val="231F20"/>
          <w:spacing w:val="-6"/>
        </w:rPr>
        <w:t> </w:t>
      </w:r>
      <w:r>
        <w:rPr>
          <w:color w:val="231F20"/>
          <w:spacing w:val="-3"/>
        </w:rPr>
        <w:t>изгледа</w:t>
      </w:r>
      <w:r>
        <w:rPr>
          <w:color w:val="231F20"/>
          <w:spacing w:val="-6"/>
        </w:rPr>
        <w:t> </w:t>
      </w:r>
      <w:r>
        <w:rPr>
          <w:color w:val="231F20"/>
        </w:rPr>
        <w:t>Планског</w:t>
      </w:r>
      <w:r>
        <w:rPr>
          <w:color w:val="231F20"/>
          <w:spacing w:val="-6"/>
        </w:rPr>
        <w:t> </w:t>
      </w:r>
      <w:r>
        <w:rPr>
          <w:color w:val="231F20"/>
        </w:rPr>
        <w:t>подручја,</w:t>
      </w:r>
      <w:r>
        <w:rPr>
          <w:color w:val="231F20"/>
          <w:spacing w:val="-7"/>
        </w:rPr>
        <w:t> </w:t>
      </w:r>
      <w:r>
        <w:rPr>
          <w:color w:val="231F20"/>
        </w:rPr>
        <w:t>односно,</w:t>
      </w:r>
      <w:r>
        <w:rPr>
          <w:color w:val="231F20"/>
          <w:spacing w:val="-6"/>
        </w:rPr>
        <w:t> </w:t>
      </w:r>
      <w:r>
        <w:rPr>
          <w:color w:val="231F20"/>
        </w:rPr>
        <w:t>у</w:t>
      </w:r>
      <w:r>
        <w:rPr>
          <w:color w:val="231F20"/>
          <w:spacing w:val="-6"/>
        </w:rPr>
        <w:t> </w:t>
      </w:r>
      <w:r>
        <w:rPr>
          <w:color w:val="231F20"/>
          <w:spacing w:val="-3"/>
        </w:rPr>
        <w:t>кори- </w:t>
      </w:r>
      <w:r>
        <w:rPr>
          <w:color w:val="231F20"/>
        </w:rPr>
        <w:t>шћењу његовог такозваног „територијалног</w:t>
      </w:r>
      <w:r>
        <w:rPr>
          <w:color w:val="231F20"/>
          <w:spacing w:val="-10"/>
        </w:rPr>
        <w:t> </w:t>
      </w:r>
      <w:r>
        <w:rPr>
          <w:color w:val="231F20"/>
        </w:rPr>
        <w:t>капитала”.</w:t>
      </w:r>
    </w:p>
    <w:p>
      <w:pPr>
        <w:spacing w:after="0" w:line="232" w:lineRule="auto"/>
        <w:sectPr>
          <w:pgSz w:w="12480" w:h="15690"/>
          <w:pgMar w:top="120" w:bottom="280" w:left="680" w:right="720"/>
          <w:cols w:num="2" w:equalWidth="0">
            <w:col w:w="5313" w:space="72"/>
            <w:col w:w="5695"/>
          </w:cols>
        </w:sectPr>
      </w:pPr>
    </w:p>
    <w:p>
      <w:pPr>
        <w:pStyle w:val="BodyText"/>
        <w:spacing w:line="232" w:lineRule="auto" w:before="73"/>
        <w:ind w:left="453" w:firstLine="397"/>
      </w:pPr>
      <w:r>
        <w:rPr/>
        <w:pict>
          <v:line style="position:absolute;mso-position-horizontal-relative:page;mso-position-vertical-relative:page;z-index:3376" from="318.897614pt,11.942451pt" to="318.897614pt,748.950451pt" stroked="true" strokeweight=".6pt" strokecolor="#231f20">
            <v:stroke dashstyle="solid"/>
            <w10:wrap type="none"/>
          </v:line>
        </w:pict>
      </w:r>
      <w:r>
        <w:rPr>
          <w:color w:val="231F20"/>
        </w:rPr>
        <w:t>Велики број ових непознаница односи се на примену </w:t>
      </w:r>
      <w:r>
        <w:rPr>
          <w:color w:val="231F20"/>
          <w:spacing w:val="-3"/>
        </w:rPr>
        <w:t>неко- лико </w:t>
      </w:r>
      <w:r>
        <w:rPr>
          <w:color w:val="231F20"/>
        </w:rPr>
        <w:t>међународних докумената, а у првом реду на следеће: Про- </w:t>
      </w:r>
      <w:r>
        <w:rPr>
          <w:color w:val="231F20"/>
          <w:spacing w:val="-4"/>
        </w:rPr>
        <w:t>токол </w:t>
      </w:r>
      <w:r>
        <w:rPr>
          <w:color w:val="231F20"/>
        </w:rPr>
        <w:t>из Кјота; Архуска конвенција; прихватање „аки </w:t>
      </w:r>
      <w:r>
        <w:rPr>
          <w:color w:val="231F20"/>
          <w:spacing w:val="-3"/>
        </w:rPr>
        <w:t>коминотер” </w:t>
      </w:r>
      <w:r>
        <w:rPr>
          <w:color w:val="231F20"/>
        </w:rPr>
        <w:t>(„acquis communautaire”) у области енергетике, заштите животне средине и планирања у процесу придруживања Европској унији; и остваривање обавеза из </w:t>
      </w:r>
      <w:r>
        <w:rPr>
          <w:color w:val="231F20"/>
          <w:spacing w:val="-4"/>
        </w:rPr>
        <w:t>Уговора </w:t>
      </w:r>
      <w:r>
        <w:rPr>
          <w:color w:val="231F20"/>
        </w:rPr>
        <w:t>о оснивању енергетске заједни- це Југоисточне Европе. Одлагање прихватања односно примене докумената о </w:t>
      </w:r>
      <w:r>
        <w:rPr>
          <w:color w:val="231F20"/>
          <w:spacing w:val="-3"/>
        </w:rPr>
        <w:t>којима </w:t>
      </w:r>
      <w:r>
        <w:rPr>
          <w:color w:val="231F20"/>
        </w:rPr>
        <w:t>је реч </w:t>
      </w:r>
      <w:r>
        <w:rPr>
          <w:color w:val="231F20"/>
          <w:spacing w:val="-3"/>
        </w:rPr>
        <w:t>свакако </w:t>
      </w:r>
      <w:r>
        <w:rPr>
          <w:color w:val="231F20"/>
        </w:rPr>
        <w:t>би одложило доношење нове генерације развојних докумената </w:t>
      </w:r>
      <w:r>
        <w:rPr>
          <w:color w:val="231F20"/>
          <w:spacing w:val="-3"/>
        </w:rPr>
        <w:t>који </w:t>
      </w:r>
      <w:r>
        <w:rPr>
          <w:color w:val="231F20"/>
        </w:rPr>
        <w:t>се заснивају на принципи- ма и критеријумима одрживог развоја, па </w:t>
      </w:r>
      <w:r>
        <w:rPr>
          <w:color w:val="231F20"/>
          <w:spacing w:val="-3"/>
        </w:rPr>
        <w:t>тако </w:t>
      </w:r>
      <w:r>
        <w:rPr>
          <w:color w:val="231F20"/>
        </w:rPr>
        <w:t>и конципирање но- вог развоја на </w:t>
      </w:r>
      <w:r>
        <w:rPr>
          <w:color w:val="231F20"/>
          <w:spacing w:val="-3"/>
        </w:rPr>
        <w:t>Планском </w:t>
      </w:r>
      <w:r>
        <w:rPr>
          <w:color w:val="231F20"/>
        </w:rPr>
        <w:t>подручју у духу одрживости. Раст би се наставио по постојећем моделу „палео-индустријског развоја”, са свим већ познатим негативним последицама. Сумарно, </w:t>
      </w:r>
      <w:r>
        <w:rPr>
          <w:color w:val="231F20"/>
          <w:spacing w:val="-4"/>
        </w:rPr>
        <w:t>ако </w:t>
      </w:r>
      <w:r>
        <w:rPr>
          <w:color w:val="231F20"/>
        </w:rPr>
        <w:t>се не побољша еколошко-просторна пракса, полазећи </w:t>
      </w:r>
      <w:r>
        <w:rPr>
          <w:color w:val="231F20"/>
          <w:spacing w:val="-3"/>
        </w:rPr>
        <w:t>од </w:t>
      </w:r>
      <w:r>
        <w:rPr>
          <w:color w:val="231F20"/>
        </w:rPr>
        <w:t>нових стан- дарда и стратешких опредељења, то ће деловати: прво, као тако- звани „прохибитивни” фактор за остваривање „развојног капита- ла” Планског подручја; друго, отежаће дефинисање новог модела </w:t>
      </w:r>
      <w:r>
        <w:rPr>
          <w:color w:val="231F20"/>
          <w:spacing w:val="-3"/>
        </w:rPr>
        <w:t>економског </w:t>
      </w:r>
      <w:r>
        <w:rPr>
          <w:color w:val="231F20"/>
        </w:rPr>
        <w:t>развоја, чија реализација треба, између </w:t>
      </w:r>
      <w:r>
        <w:rPr>
          <w:color w:val="231F20"/>
          <w:spacing w:val="-3"/>
        </w:rPr>
        <w:t>осталог, </w:t>
      </w:r>
      <w:r>
        <w:rPr>
          <w:color w:val="231F20"/>
        </w:rPr>
        <w:t>и да допринесе обнови стратешког мишљења, истраживања и упра- вљања; и треће, тиме ће отежати дефинисање рационалних „стра- тегија изласка” из постојеће кризе (којима се још увек не распо- лаже, </w:t>
      </w:r>
      <w:r>
        <w:rPr>
          <w:color w:val="231F20"/>
          <w:spacing w:val="-4"/>
        </w:rPr>
        <w:t>како </w:t>
      </w:r>
      <w:r>
        <w:rPr>
          <w:color w:val="231F20"/>
        </w:rPr>
        <w:t>на националном – државном нивоу </w:t>
      </w:r>
      <w:r>
        <w:rPr>
          <w:color w:val="231F20"/>
          <w:spacing w:val="-3"/>
        </w:rPr>
        <w:t>тако </w:t>
      </w:r>
      <w:r>
        <w:rPr>
          <w:color w:val="231F20"/>
        </w:rPr>
        <w:t>ни на разним регионалним и локалним</w:t>
      </w:r>
      <w:r>
        <w:rPr>
          <w:color w:val="231F20"/>
          <w:spacing w:val="-4"/>
        </w:rPr>
        <w:t> </w:t>
      </w:r>
      <w:r>
        <w:rPr>
          <w:color w:val="231F20"/>
        </w:rPr>
        <w:t>нивоима).</w:t>
      </w:r>
    </w:p>
    <w:p>
      <w:pPr>
        <w:pStyle w:val="BodyText"/>
        <w:spacing w:line="184" w:lineRule="exact"/>
        <w:ind w:left="851"/>
        <w:jc w:val="left"/>
      </w:pPr>
      <w:r>
        <w:rPr>
          <w:color w:val="231F20"/>
        </w:rPr>
        <w:t>До 2015. </w:t>
      </w:r>
      <w:r>
        <w:rPr>
          <w:color w:val="231F20"/>
          <w:spacing w:val="-4"/>
        </w:rPr>
        <w:t>године </w:t>
      </w:r>
      <w:r>
        <w:rPr>
          <w:color w:val="231F20"/>
        </w:rPr>
        <w:t>„ЕПС” мора да достигне стандарде </w:t>
      </w:r>
      <w:r>
        <w:rPr>
          <w:color w:val="231F20"/>
          <w:spacing w:val="-3"/>
        </w:rPr>
        <w:t>Европске</w:t>
      </w:r>
    </w:p>
    <w:p>
      <w:pPr>
        <w:pStyle w:val="BodyText"/>
        <w:spacing w:line="232" w:lineRule="auto" w:before="1"/>
        <w:ind w:left="453"/>
      </w:pPr>
      <w:r>
        <w:rPr>
          <w:color w:val="231F20"/>
        </w:rPr>
        <w:t>уније</w:t>
      </w:r>
      <w:r>
        <w:rPr>
          <w:color w:val="231F20"/>
          <w:spacing w:val="-7"/>
        </w:rPr>
        <w:t> </w:t>
      </w:r>
      <w:r>
        <w:rPr>
          <w:color w:val="231F20"/>
        </w:rPr>
        <w:t>у</w:t>
      </w:r>
      <w:r>
        <w:rPr>
          <w:color w:val="231F20"/>
          <w:spacing w:val="-7"/>
        </w:rPr>
        <w:t> </w:t>
      </w:r>
      <w:r>
        <w:rPr>
          <w:color w:val="231F20"/>
          <w:spacing w:val="-3"/>
        </w:rPr>
        <w:t>области</w:t>
      </w:r>
      <w:r>
        <w:rPr>
          <w:color w:val="231F20"/>
          <w:spacing w:val="-7"/>
        </w:rPr>
        <w:t> </w:t>
      </w:r>
      <w:r>
        <w:rPr>
          <w:color w:val="231F20"/>
        </w:rPr>
        <w:t>заштите</w:t>
      </w:r>
      <w:r>
        <w:rPr>
          <w:color w:val="231F20"/>
          <w:spacing w:val="-7"/>
        </w:rPr>
        <w:t> </w:t>
      </w:r>
      <w:r>
        <w:rPr>
          <w:color w:val="231F20"/>
          <w:spacing w:val="-3"/>
        </w:rPr>
        <w:t>животне</w:t>
      </w:r>
      <w:r>
        <w:rPr>
          <w:color w:val="231F20"/>
          <w:spacing w:val="-7"/>
        </w:rPr>
        <w:t> </w:t>
      </w:r>
      <w:r>
        <w:rPr>
          <w:color w:val="231F20"/>
          <w:spacing w:val="-3"/>
        </w:rPr>
        <w:t>средине</w:t>
      </w:r>
      <w:r>
        <w:rPr>
          <w:color w:val="231F20"/>
          <w:spacing w:val="-7"/>
        </w:rPr>
        <w:t> </w:t>
      </w:r>
      <w:r>
        <w:rPr>
          <w:color w:val="231F20"/>
        </w:rPr>
        <w:t>(на</w:t>
      </w:r>
      <w:r>
        <w:rPr>
          <w:color w:val="231F20"/>
          <w:spacing w:val="-7"/>
        </w:rPr>
        <w:t> </w:t>
      </w:r>
      <w:r>
        <w:rPr>
          <w:color w:val="231F20"/>
          <w:spacing w:val="-3"/>
        </w:rPr>
        <w:t>основу</w:t>
      </w:r>
      <w:r>
        <w:rPr>
          <w:color w:val="231F20"/>
          <w:spacing w:val="-7"/>
        </w:rPr>
        <w:t> </w:t>
      </w:r>
      <w:r>
        <w:rPr>
          <w:color w:val="231F20"/>
        </w:rPr>
        <w:t>прописа</w:t>
      </w:r>
      <w:r>
        <w:rPr>
          <w:color w:val="231F20"/>
          <w:spacing w:val="-7"/>
        </w:rPr>
        <w:t> </w:t>
      </w:r>
      <w:r>
        <w:rPr>
          <w:color w:val="231F20"/>
          <w:spacing w:val="-5"/>
        </w:rPr>
        <w:t>Уније </w:t>
      </w:r>
      <w:r>
        <w:rPr>
          <w:color w:val="231F20"/>
        </w:rPr>
        <w:t>и </w:t>
      </w:r>
      <w:r>
        <w:rPr>
          <w:color w:val="231F20"/>
          <w:spacing w:val="-3"/>
        </w:rPr>
        <w:t>домаћих </w:t>
      </w:r>
      <w:r>
        <w:rPr>
          <w:color w:val="231F20"/>
        </w:rPr>
        <w:t>прописа, њима </w:t>
      </w:r>
      <w:r>
        <w:rPr>
          <w:color w:val="231F20"/>
          <w:spacing w:val="-3"/>
        </w:rPr>
        <w:t>прилагођених), што </w:t>
      </w:r>
      <w:r>
        <w:rPr>
          <w:color w:val="231F20"/>
        </w:rPr>
        <w:t>је </w:t>
      </w:r>
      <w:r>
        <w:rPr>
          <w:color w:val="231F20"/>
          <w:spacing w:val="-4"/>
        </w:rPr>
        <w:t>од </w:t>
      </w:r>
      <w:r>
        <w:rPr>
          <w:color w:val="231F20"/>
          <w:spacing w:val="-3"/>
        </w:rPr>
        <w:t>нарочитог </w:t>
      </w:r>
      <w:r>
        <w:rPr>
          <w:color w:val="231F20"/>
        </w:rPr>
        <w:t>зна- чаја</w:t>
      </w:r>
      <w:r>
        <w:rPr>
          <w:color w:val="231F20"/>
          <w:spacing w:val="-10"/>
        </w:rPr>
        <w:t> </w:t>
      </w:r>
      <w:r>
        <w:rPr>
          <w:color w:val="231F20"/>
        </w:rPr>
        <w:t>у</w:t>
      </w:r>
      <w:r>
        <w:rPr>
          <w:color w:val="231F20"/>
          <w:spacing w:val="-10"/>
        </w:rPr>
        <w:t> </w:t>
      </w:r>
      <w:r>
        <w:rPr>
          <w:color w:val="231F20"/>
          <w:spacing w:val="-3"/>
        </w:rPr>
        <w:t>ситуацији</w:t>
      </w:r>
      <w:r>
        <w:rPr>
          <w:color w:val="231F20"/>
          <w:spacing w:val="-10"/>
        </w:rPr>
        <w:t> </w:t>
      </w:r>
      <w:r>
        <w:rPr>
          <w:color w:val="231F20"/>
          <w:spacing w:val="-5"/>
        </w:rPr>
        <w:t>где</w:t>
      </w:r>
      <w:r>
        <w:rPr>
          <w:color w:val="231F20"/>
          <w:spacing w:val="-10"/>
        </w:rPr>
        <w:t> </w:t>
      </w:r>
      <w:r>
        <w:rPr>
          <w:color w:val="231F20"/>
        </w:rPr>
        <w:t>је</w:t>
      </w:r>
      <w:r>
        <w:rPr>
          <w:color w:val="231F20"/>
          <w:spacing w:val="-10"/>
        </w:rPr>
        <w:t> </w:t>
      </w:r>
      <w:r>
        <w:rPr>
          <w:color w:val="231F20"/>
        </w:rPr>
        <w:t>ЕПС</w:t>
      </w:r>
      <w:r>
        <w:rPr>
          <w:color w:val="231F20"/>
          <w:spacing w:val="-10"/>
        </w:rPr>
        <w:t> </w:t>
      </w:r>
      <w:r>
        <w:rPr>
          <w:color w:val="231F20"/>
        </w:rPr>
        <w:t>још</w:t>
      </w:r>
      <w:r>
        <w:rPr>
          <w:color w:val="231F20"/>
          <w:spacing w:val="-10"/>
        </w:rPr>
        <w:t> </w:t>
      </w:r>
      <w:r>
        <w:rPr>
          <w:color w:val="231F20"/>
        </w:rPr>
        <w:t>увек</w:t>
      </w:r>
      <w:r>
        <w:rPr>
          <w:color w:val="231F20"/>
          <w:spacing w:val="-10"/>
        </w:rPr>
        <w:t> </w:t>
      </w:r>
      <w:r>
        <w:rPr>
          <w:color w:val="231F20"/>
        </w:rPr>
        <w:t>највећи</w:t>
      </w:r>
      <w:r>
        <w:rPr>
          <w:color w:val="231F20"/>
          <w:spacing w:val="-10"/>
        </w:rPr>
        <w:t> </w:t>
      </w:r>
      <w:r>
        <w:rPr>
          <w:color w:val="231F20"/>
          <w:spacing w:val="-3"/>
        </w:rPr>
        <w:t>загађивач</w:t>
      </w:r>
      <w:r>
        <w:rPr>
          <w:color w:val="231F20"/>
          <w:spacing w:val="-10"/>
        </w:rPr>
        <w:t> </w:t>
      </w:r>
      <w:r>
        <w:rPr>
          <w:color w:val="231F20"/>
          <w:spacing w:val="-3"/>
        </w:rPr>
        <w:t>животне</w:t>
      </w:r>
      <w:r>
        <w:rPr>
          <w:color w:val="231F20"/>
          <w:spacing w:val="-10"/>
        </w:rPr>
        <w:t> </w:t>
      </w:r>
      <w:r>
        <w:rPr>
          <w:color w:val="231F20"/>
        </w:rPr>
        <w:t>сре- дине у Србији. У тим </w:t>
      </w:r>
      <w:r>
        <w:rPr>
          <w:color w:val="231F20"/>
          <w:spacing w:val="-3"/>
        </w:rPr>
        <w:t>оквирима, </w:t>
      </w:r>
      <w:r>
        <w:rPr>
          <w:color w:val="231F20"/>
        </w:rPr>
        <w:t>већ се </w:t>
      </w:r>
      <w:r>
        <w:rPr>
          <w:color w:val="231F20"/>
          <w:spacing w:val="-3"/>
        </w:rPr>
        <w:t>касни </w:t>
      </w:r>
      <w:r>
        <w:rPr>
          <w:color w:val="231F20"/>
        </w:rPr>
        <w:t>са </w:t>
      </w:r>
      <w:r>
        <w:rPr>
          <w:color w:val="231F20"/>
          <w:spacing w:val="-2"/>
        </w:rPr>
        <w:t>имплементацијом </w:t>
      </w:r>
      <w:r>
        <w:rPr>
          <w:color w:val="231F20"/>
          <w:spacing w:val="-3"/>
        </w:rPr>
        <w:t>Директиве </w:t>
      </w:r>
      <w:r>
        <w:rPr>
          <w:color w:val="231F20"/>
        </w:rPr>
        <w:t>у складу с </w:t>
      </w:r>
      <w:r>
        <w:rPr>
          <w:color w:val="231F20"/>
          <w:spacing w:val="-6"/>
        </w:rPr>
        <w:t>Уговором </w:t>
      </w:r>
      <w:r>
        <w:rPr>
          <w:color w:val="231F20"/>
        </w:rPr>
        <w:t>о оснивању </w:t>
      </w:r>
      <w:r>
        <w:rPr>
          <w:color w:val="231F20"/>
          <w:spacing w:val="-3"/>
        </w:rPr>
        <w:t>енергетске заједнице Југоисточне </w:t>
      </w:r>
      <w:r>
        <w:rPr>
          <w:color w:val="231F20"/>
        </w:rPr>
        <w:t>Европе, посебно оне </w:t>
      </w:r>
      <w:r>
        <w:rPr>
          <w:color w:val="231F20"/>
          <w:spacing w:val="-4"/>
        </w:rPr>
        <w:t>које </w:t>
      </w:r>
      <w:r>
        <w:rPr>
          <w:color w:val="231F20"/>
        </w:rPr>
        <w:t>се односе на </w:t>
      </w:r>
      <w:r>
        <w:rPr>
          <w:color w:val="231F20"/>
          <w:spacing w:val="-3"/>
        </w:rPr>
        <w:t>заштиту живот- </w:t>
      </w:r>
      <w:r>
        <w:rPr>
          <w:color w:val="231F20"/>
        </w:rPr>
        <w:t>не </w:t>
      </w:r>
      <w:r>
        <w:rPr>
          <w:color w:val="231F20"/>
          <w:spacing w:val="-3"/>
        </w:rPr>
        <w:t>средине, што </w:t>
      </w:r>
      <w:r>
        <w:rPr>
          <w:color w:val="231F20"/>
        </w:rPr>
        <w:t>је требало остварити већ до </w:t>
      </w:r>
      <w:r>
        <w:rPr>
          <w:color w:val="231F20"/>
          <w:spacing w:val="-3"/>
        </w:rPr>
        <w:t>2011. </w:t>
      </w:r>
      <w:r>
        <w:rPr>
          <w:color w:val="231F20"/>
          <w:spacing w:val="-4"/>
        </w:rPr>
        <w:t>године. </w:t>
      </w:r>
      <w:r>
        <w:rPr>
          <w:color w:val="231F20"/>
        </w:rPr>
        <w:t>Заштита је трећи </w:t>
      </w:r>
      <w:r>
        <w:rPr>
          <w:color w:val="231F20"/>
          <w:spacing w:val="-3"/>
        </w:rPr>
        <w:t>стратешки </w:t>
      </w:r>
      <w:r>
        <w:rPr>
          <w:color w:val="231F20"/>
        </w:rPr>
        <w:t>циљ </w:t>
      </w:r>
      <w:r>
        <w:rPr>
          <w:color w:val="231F20"/>
          <w:spacing w:val="-5"/>
        </w:rPr>
        <w:t>Уније, </w:t>
      </w:r>
      <w:r>
        <w:rPr>
          <w:color w:val="231F20"/>
        </w:rPr>
        <w:t>па се </w:t>
      </w:r>
      <w:r>
        <w:rPr>
          <w:color w:val="231F20"/>
          <w:spacing w:val="-5"/>
        </w:rPr>
        <w:t>око </w:t>
      </w:r>
      <w:r>
        <w:rPr>
          <w:color w:val="231F20"/>
        </w:rPr>
        <w:t>30% прописа </w:t>
      </w:r>
      <w:r>
        <w:rPr>
          <w:color w:val="231F20"/>
          <w:spacing w:val="-4"/>
        </w:rPr>
        <w:t>које </w:t>
      </w:r>
      <w:r>
        <w:rPr>
          <w:color w:val="231F20"/>
        </w:rPr>
        <w:t>се тичу </w:t>
      </w:r>
      <w:r>
        <w:rPr>
          <w:color w:val="231F20"/>
          <w:spacing w:val="-3"/>
        </w:rPr>
        <w:t>придруживања </w:t>
      </w:r>
      <w:r>
        <w:rPr>
          <w:color w:val="231F20"/>
        </w:rPr>
        <w:t>односе на </w:t>
      </w:r>
      <w:r>
        <w:rPr>
          <w:color w:val="231F20"/>
          <w:spacing w:val="-3"/>
        </w:rPr>
        <w:t>заштиту животне средине. </w:t>
      </w:r>
      <w:r>
        <w:rPr>
          <w:color w:val="231F20"/>
        </w:rPr>
        <w:t>За </w:t>
      </w:r>
      <w:r>
        <w:rPr>
          <w:color w:val="231F20"/>
          <w:spacing w:val="-3"/>
        </w:rPr>
        <w:t>заштиту</w:t>
      </w:r>
      <w:r>
        <w:rPr>
          <w:color w:val="231F20"/>
          <w:spacing w:val="-27"/>
        </w:rPr>
        <w:t> </w:t>
      </w:r>
      <w:r>
        <w:rPr>
          <w:color w:val="231F20"/>
        </w:rPr>
        <w:t>жи- </w:t>
      </w:r>
      <w:r>
        <w:rPr>
          <w:color w:val="231F20"/>
          <w:spacing w:val="-3"/>
        </w:rPr>
        <w:t>вотне средине </w:t>
      </w:r>
      <w:r>
        <w:rPr>
          <w:color w:val="231F20"/>
        </w:rPr>
        <w:t>потребна </w:t>
      </w:r>
      <w:r>
        <w:rPr>
          <w:color w:val="231F20"/>
          <w:spacing w:val="-3"/>
        </w:rPr>
        <w:t>су огромна средства, </w:t>
      </w:r>
      <w:r>
        <w:rPr>
          <w:color w:val="231F20"/>
        </w:rPr>
        <w:t>а само у </w:t>
      </w:r>
      <w:r>
        <w:rPr>
          <w:color w:val="231F20"/>
          <w:spacing w:val="-3"/>
        </w:rPr>
        <w:t>области </w:t>
      </w:r>
      <w:r>
        <w:rPr>
          <w:color w:val="231F20"/>
        </w:rPr>
        <w:t>тер- </w:t>
      </w:r>
      <w:r>
        <w:rPr>
          <w:color w:val="231F20"/>
          <w:spacing w:val="-3"/>
        </w:rPr>
        <w:t>моенергетике </w:t>
      </w:r>
      <w:r>
        <w:rPr>
          <w:color w:val="231F20"/>
        </w:rPr>
        <w:t>потребно је </w:t>
      </w:r>
      <w:r>
        <w:rPr>
          <w:color w:val="231F20"/>
          <w:spacing w:val="-4"/>
        </w:rPr>
        <w:t>уложити </w:t>
      </w:r>
      <w:r>
        <w:rPr>
          <w:color w:val="231F20"/>
          <w:spacing w:val="-5"/>
        </w:rPr>
        <w:t>око </w:t>
      </w:r>
      <w:r>
        <w:rPr>
          <w:color w:val="231F20"/>
        </w:rPr>
        <w:t>1,2 </w:t>
      </w:r>
      <w:r>
        <w:rPr>
          <w:color w:val="231F20"/>
          <w:spacing w:val="-3"/>
        </w:rPr>
        <w:t>милијарди </w:t>
      </w:r>
      <w:r>
        <w:rPr>
          <w:color w:val="231F20"/>
        </w:rPr>
        <w:t>евра </w:t>
      </w:r>
      <w:r>
        <w:rPr>
          <w:color w:val="231F20"/>
          <w:spacing w:val="-3"/>
        </w:rPr>
        <w:t>(то </w:t>
      </w:r>
      <w:r>
        <w:rPr>
          <w:color w:val="231F20"/>
          <w:spacing w:val="-4"/>
        </w:rPr>
        <w:t>јест, </w:t>
      </w:r>
      <w:r>
        <w:rPr>
          <w:color w:val="231F20"/>
        </w:rPr>
        <w:t>просечно</w:t>
      </w:r>
      <w:r>
        <w:rPr>
          <w:color w:val="231F20"/>
          <w:spacing w:val="-7"/>
        </w:rPr>
        <w:t> </w:t>
      </w:r>
      <w:r>
        <w:rPr>
          <w:color w:val="231F20"/>
          <w:spacing w:val="-4"/>
        </w:rPr>
        <w:t>преко</w:t>
      </w:r>
      <w:r>
        <w:rPr>
          <w:color w:val="231F20"/>
          <w:spacing w:val="-7"/>
        </w:rPr>
        <w:t> </w:t>
      </w:r>
      <w:r>
        <w:rPr>
          <w:color w:val="231F20"/>
        </w:rPr>
        <w:t>100</w:t>
      </w:r>
      <w:r>
        <w:rPr>
          <w:color w:val="231F20"/>
          <w:spacing w:val="-7"/>
        </w:rPr>
        <w:t> </w:t>
      </w:r>
      <w:r>
        <w:rPr>
          <w:color w:val="231F20"/>
        </w:rPr>
        <w:t>милиона</w:t>
      </w:r>
      <w:r>
        <w:rPr>
          <w:color w:val="231F20"/>
          <w:spacing w:val="-7"/>
        </w:rPr>
        <w:t> </w:t>
      </w:r>
      <w:r>
        <w:rPr>
          <w:color w:val="231F20"/>
        </w:rPr>
        <w:t>евра</w:t>
      </w:r>
      <w:r>
        <w:rPr>
          <w:color w:val="231F20"/>
          <w:spacing w:val="-7"/>
        </w:rPr>
        <w:t> </w:t>
      </w:r>
      <w:r>
        <w:rPr>
          <w:color w:val="231F20"/>
          <w:spacing w:val="-3"/>
        </w:rPr>
        <w:t>годишње),</w:t>
      </w:r>
      <w:r>
        <w:rPr>
          <w:color w:val="231F20"/>
          <w:spacing w:val="-7"/>
        </w:rPr>
        <w:t> </w:t>
      </w:r>
      <w:r>
        <w:rPr>
          <w:color w:val="231F20"/>
        </w:rPr>
        <w:t>да</w:t>
      </w:r>
      <w:r>
        <w:rPr>
          <w:color w:val="231F20"/>
          <w:spacing w:val="-7"/>
        </w:rPr>
        <w:t> </w:t>
      </w:r>
      <w:r>
        <w:rPr>
          <w:color w:val="231F20"/>
        </w:rPr>
        <w:t>би</w:t>
      </w:r>
      <w:r>
        <w:rPr>
          <w:color w:val="231F20"/>
          <w:spacing w:val="-7"/>
        </w:rPr>
        <w:t> </w:t>
      </w:r>
      <w:r>
        <w:rPr>
          <w:color w:val="231F20"/>
        </w:rPr>
        <w:t>се</w:t>
      </w:r>
      <w:r>
        <w:rPr>
          <w:color w:val="231F20"/>
          <w:spacing w:val="-7"/>
        </w:rPr>
        <w:t> </w:t>
      </w:r>
      <w:r>
        <w:rPr>
          <w:color w:val="231F20"/>
          <w:spacing w:val="-3"/>
        </w:rPr>
        <w:t>то</w:t>
      </w:r>
      <w:r>
        <w:rPr>
          <w:color w:val="231F20"/>
          <w:spacing w:val="-7"/>
        </w:rPr>
        <w:t> </w:t>
      </w:r>
      <w:r>
        <w:rPr>
          <w:color w:val="231F20"/>
          <w:spacing w:val="-3"/>
        </w:rPr>
        <w:t>постигло.</w:t>
      </w:r>
    </w:p>
    <w:p>
      <w:pPr>
        <w:pStyle w:val="BodyText"/>
        <w:spacing w:line="232" w:lineRule="auto"/>
        <w:ind w:left="453" w:firstLine="396"/>
      </w:pPr>
      <w:r>
        <w:rPr>
          <w:color w:val="231F20"/>
        </w:rPr>
        <w:t>У назначеним околностима, </w:t>
      </w:r>
      <w:r>
        <w:rPr>
          <w:color w:val="231F20"/>
          <w:spacing w:val="-4"/>
        </w:rPr>
        <w:t>где </w:t>
      </w:r>
      <w:r>
        <w:rPr>
          <w:color w:val="231F20"/>
        </w:rPr>
        <w:t>још увек нису познати сви кључни параметри, а нарочито у условима продужене међународ- не и домаће </w:t>
      </w:r>
      <w:r>
        <w:rPr>
          <w:color w:val="231F20"/>
          <w:spacing w:val="-3"/>
        </w:rPr>
        <w:t>економске </w:t>
      </w:r>
      <w:r>
        <w:rPr>
          <w:color w:val="231F20"/>
        </w:rPr>
        <w:t>и финансијске кризе, најпре у </w:t>
      </w:r>
      <w:r>
        <w:rPr>
          <w:color w:val="231F20"/>
          <w:spacing w:val="-3"/>
        </w:rPr>
        <w:t>погледу </w:t>
      </w:r>
      <w:r>
        <w:rPr>
          <w:color w:val="231F20"/>
        </w:rPr>
        <w:t>при- оритета финансирања, расте утицај ризика и неизвесности. Међу општим ризицима у сектору рударства, највећи утицај на развој Планског подручја имаће следећи:</w:t>
      </w:r>
    </w:p>
    <w:p>
      <w:pPr>
        <w:pStyle w:val="BodyText"/>
        <w:spacing w:line="232" w:lineRule="auto"/>
        <w:ind w:left="453" w:firstLine="396"/>
      </w:pPr>
      <w:r>
        <w:rPr>
          <w:color w:val="231F20"/>
          <w:w w:val="66"/>
        </w:rPr>
        <w:t> </w:t>
      </w:r>
      <w:r>
        <w:rPr>
          <w:color w:val="231F20"/>
        </w:rPr>
        <w:t>– стратешки ризици који се односе на изазове климатских промена;</w:t>
      </w:r>
    </w:p>
    <w:p>
      <w:pPr>
        <w:pStyle w:val="BodyText"/>
        <w:spacing w:line="232" w:lineRule="auto"/>
        <w:ind w:left="453" w:firstLine="396"/>
      </w:pPr>
      <w:r>
        <w:rPr>
          <w:color w:val="231F20"/>
          <w:w w:val="66"/>
        </w:rPr>
        <w:t> </w:t>
      </w:r>
      <w:r>
        <w:rPr>
          <w:color w:val="231F20"/>
        </w:rPr>
        <w:t>– ризици у погледу претежног власништва (јавног, приватно и мешовитог) у области енергетике;</w:t>
      </w:r>
    </w:p>
    <w:p>
      <w:pPr>
        <w:pStyle w:val="BodyText"/>
        <w:spacing w:line="232" w:lineRule="auto"/>
        <w:ind w:left="453" w:firstLine="397"/>
      </w:pPr>
      <w:r>
        <w:rPr>
          <w:color w:val="231F20"/>
          <w:w w:val="66"/>
        </w:rPr>
        <w:t> </w:t>
      </w:r>
      <w:r>
        <w:rPr>
          <w:color w:val="231F20"/>
        </w:rPr>
        <w:t>–</w:t>
      </w:r>
      <w:r>
        <w:rPr>
          <w:color w:val="231F20"/>
          <w:spacing w:val="-13"/>
        </w:rPr>
        <w:t> </w:t>
      </w:r>
      <w:r>
        <w:rPr>
          <w:color w:val="231F20"/>
        </w:rPr>
        <w:t>финансијски</w:t>
      </w:r>
      <w:r>
        <w:rPr>
          <w:color w:val="231F20"/>
          <w:spacing w:val="-13"/>
        </w:rPr>
        <w:t> </w:t>
      </w:r>
      <w:r>
        <w:rPr>
          <w:color w:val="231F20"/>
        </w:rPr>
        <w:t>ризици:</w:t>
      </w:r>
      <w:r>
        <w:rPr>
          <w:color w:val="231F20"/>
          <w:spacing w:val="-13"/>
        </w:rPr>
        <w:t> </w:t>
      </w:r>
      <w:r>
        <w:rPr>
          <w:color w:val="231F20"/>
        </w:rPr>
        <w:t>цене,</w:t>
      </w:r>
      <w:r>
        <w:rPr>
          <w:color w:val="231F20"/>
          <w:spacing w:val="-13"/>
        </w:rPr>
        <w:t> </w:t>
      </w:r>
      <w:r>
        <w:rPr>
          <w:color w:val="231F20"/>
        </w:rPr>
        <w:t>консолидација</w:t>
      </w:r>
      <w:r>
        <w:rPr>
          <w:color w:val="231F20"/>
          <w:spacing w:val="-13"/>
        </w:rPr>
        <w:t> </w:t>
      </w:r>
      <w:r>
        <w:rPr>
          <w:color w:val="231F20"/>
        </w:rPr>
        <w:t>и</w:t>
      </w:r>
      <w:r>
        <w:rPr>
          <w:color w:val="231F20"/>
          <w:spacing w:val="-13"/>
        </w:rPr>
        <w:t> </w:t>
      </w:r>
      <w:r>
        <w:rPr>
          <w:color w:val="231F20"/>
        </w:rPr>
        <w:t>реструктурира- ње компанија, структура капитала, ликвидност и кредити, повећа- ње</w:t>
      </w:r>
      <w:r>
        <w:rPr>
          <w:color w:val="231F20"/>
          <w:spacing w:val="-8"/>
        </w:rPr>
        <w:t> </w:t>
      </w:r>
      <w:r>
        <w:rPr>
          <w:color w:val="231F20"/>
        </w:rPr>
        <w:t>регулативе,</w:t>
      </w:r>
      <w:r>
        <w:rPr>
          <w:color w:val="231F20"/>
          <w:spacing w:val="-8"/>
        </w:rPr>
        <w:t> </w:t>
      </w:r>
      <w:r>
        <w:rPr>
          <w:color w:val="231F20"/>
        </w:rPr>
        <w:t>рачуноводство</w:t>
      </w:r>
      <w:r>
        <w:rPr>
          <w:color w:val="231F20"/>
          <w:spacing w:val="-8"/>
        </w:rPr>
        <w:t> </w:t>
      </w:r>
      <w:r>
        <w:rPr>
          <w:color w:val="231F20"/>
        </w:rPr>
        <w:t>и</w:t>
      </w:r>
      <w:r>
        <w:rPr>
          <w:color w:val="231F20"/>
          <w:spacing w:val="-8"/>
        </w:rPr>
        <w:t> </w:t>
      </w:r>
      <w:r>
        <w:rPr>
          <w:color w:val="231F20"/>
        </w:rPr>
        <w:t>извештавање,</w:t>
      </w:r>
      <w:r>
        <w:rPr>
          <w:color w:val="231F20"/>
          <w:spacing w:val="-8"/>
        </w:rPr>
        <w:t> </w:t>
      </w:r>
      <w:r>
        <w:rPr>
          <w:color w:val="231F20"/>
        </w:rPr>
        <w:t>увођење</w:t>
      </w:r>
      <w:r>
        <w:rPr>
          <w:color w:val="231F20"/>
          <w:spacing w:val="-8"/>
        </w:rPr>
        <w:t> </w:t>
      </w:r>
      <w:r>
        <w:rPr>
          <w:color w:val="231F20"/>
        </w:rPr>
        <w:t>такозваног енергетског „audit-a” и</w:t>
      </w:r>
      <w:r>
        <w:rPr>
          <w:color w:val="231F20"/>
          <w:spacing w:val="-2"/>
        </w:rPr>
        <w:t> </w:t>
      </w:r>
      <w:r>
        <w:rPr>
          <w:color w:val="231F20"/>
        </w:rPr>
        <w:t>слично;</w:t>
      </w:r>
    </w:p>
    <w:p>
      <w:pPr>
        <w:pStyle w:val="BodyText"/>
        <w:spacing w:line="232" w:lineRule="auto"/>
        <w:ind w:left="453" w:right="1" w:firstLine="397"/>
      </w:pPr>
      <w:r>
        <w:rPr>
          <w:color w:val="231F20"/>
          <w:w w:val="66"/>
        </w:rPr>
        <w:t> </w:t>
      </w:r>
      <w:r>
        <w:rPr>
          <w:color w:val="231F20"/>
        </w:rPr>
        <w:t>–</w:t>
      </w:r>
      <w:r>
        <w:rPr>
          <w:color w:val="231F20"/>
          <w:spacing w:val="-21"/>
        </w:rPr>
        <w:t> </w:t>
      </w:r>
      <w:r>
        <w:rPr>
          <w:color w:val="231F20"/>
        </w:rPr>
        <w:t>производни</w:t>
      </w:r>
      <w:r>
        <w:rPr>
          <w:color w:val="231F20"/>
          <w:spacing w:val="-21"/>
        </w:rPr>
        <w:t> </w:t>
      </w:r>
      <w:r>
        <w:rPr>
          <w:color w:val="231F20"/>
        </w:rPr>
        <w:t>ризици:</w:t>
      </w:r>
      <w:r>
        <w:rPr>
          <w:color w:val="231F20"/>
          <w:spacing w:val="-21"/>
        </w:rPr>
        <w:t> </w:t>
      </w:r>
      <w:r>
        <w:rPr>
          <w:color w:val="231F20"/>
        </w:rPr>
        <w:t>технички,</w:t>
      </w:r>
      <w:r>
        <w:rPr>
          <w:color w:val="231F20"/>
          <w:spacing w:val="-21"/>
        </w:rPr>
        <w:t> </w:t>
      </w:r>
      <w:r>
        <w:rPr>
          <w:color w:val="231F20"/>
        </w:rPr>
        <w:t>приступ</w:t>
      </w:r>
      <w:r>
        <w:rPr>
          <w:color w:val="231F20"/>
          <w:spacing w:val="-21"/>
        </w:rPr>
        <w:t> </w:t>
      </w:r>
      <w:r>
        <w:rPr>
          <w:color w:val="231F20"/>
        </w:rPr>
        <w:t>инфраструктури,</w:t>
      </w:r>
      <w:r>
        <w:rPr>
          <w:color w:val="231F20"/>
          <w:spacing w:val="-21"/>
        </w:rPr>
        <w:t> </w:t>
      </w:r>
      <w:r>
        <w:rPr>
          <w:color w:val="231F20"/>
        </w:rPr>
        <w:t>не- достатак</w:t>
      </w:r>
      <w:r>
        <w:rPr>
          <w:color w:val="231F20"/>
          <w:spacing w:val="-8"/>
        </w:rPr>
        <w:t> </w:t>
      </w:r>
      <w:r>
        <w:rPr>
          <w:color w:val="231F20"/>
        </w:rPr>
        <w:t>вештина</w:t>
      </w:r>
      <w:r>
        <w:rPr>
          <w:color w:val="231F20"/>
          <w:spacing w:val="-8"/>
        </w:rPr>
        <w:t> </w:t>
      </w:r>
      <w:r>
        <w:rPr>
          <w:color w:val="231F20"/>
        </w:rPr>
        <w:t>и</w:t>
      </w:r>
      <w:r>
        <w:rPr>
          <w:color w:val="231F20"/>
          <w:spacing w:val="-9"/>
        </w:rPr>
        <w:t> </w:t>
      </w:r>
      <w:r>
        <w:rPr>
          <w:color w:val="231F20"/>
        </w:rPr>
        <w:t>кадра,</w:t>
      </w:r>
      <w:r>
        <w:rPr>
          <w:color w:val="231F20"/>
          <w:spacing w:val="-9"/>
        </w:rPr>
        <w:t> </w:t>
      </w:r>
      <w:r>
        <w:rPr>
          <w:color w:val="231F20"/>
        </w:rPr>
        <w:t>социјални,</w:t>
      </w:r>
      <w:r>
        <w:rPr>
          <w:color w:val="231F20"/>
          <w:spacing w:val="-9"/>
        </w:rPr>
        <w:t> </w:t>
      </w:r>
      <w:r>
        <w:rPr>
          <w:color w:val="231F20"/>
        </w:rPr>
        <w:t>пројектни,</w:t>
      </w:r>
      <w:r>
        <w:rPr>
          <w:color w:val="231F20"/>
          <w:spacing w:val="-9"/>
        </w:rPr>
        <w:t> </w:t>
      </w:r>
      <w:r>
        <w:rPr>
          <w:color w:val="231F20"/>
        </w:rPr>
        <w:t>производни</w:t>
      </w:r>
      <w:r>
        <w:rPr>
          <w:color w:val="231F20"/>
          <w:spacing w:val="-9"/>
        </w:rPr>
        <w:t> </w:t>
      </w:r>
      <w:r>
        <w:rPr>
          <w:color w:val="231F20"/>
        </w:rPr>
        <w:t>кана- ли,</w:t>
      </w:r>
      <w:r>
        <w:rPr>
          <w:color w:val="231F20"/>
          <w:spacing w:val="-17"/>
        </w:rPr>
        <w:t> </w:t>
      </w:r>
      <w:r>
        <w:rPr>
          <w:color w:val="231F20"/>
        </w:rPr>
        <w:t>политички,</w:t>
      </w:r>
      <w:r>
        <w:rPr>
          <w:color w:val="231F20"/>
          <w:spacing w:val="-17"/>
        </w:rPr>
        <w:t> </w:t>
      </w:r>
      <w:r>
        <w:rPr>
          <w:color w:val="231F20"/>
        </w:rPr>
        <w:t>безбедносни,</w:t>
      </w:r>
      <w:r>
        <w:rPr>
          <w:color w:val="231F20"/>
          <w:spacing w:val="-17"/>
        </w:rPr>
        <w:t> </w:t>
      </w:r>
      <w:r>
        <w:rPr>
          <w:color w:val="231F20"/>
        </w:rPr>
        <w:t>могућности</w:t>
      </w:r>
      <w:r>
        <w:rPr>
          <w:color w:val="231F20"/>
          <w:spacing w:val="-17"/>
        </w:rPr>
        <w:t> </w:t>
      </w:r>
      <w:r>
        <w:rPr>
          <w:color w:val="231F20"/>
        </w:rPr>
        <w:t>заједничких</w:t>
      </w:r>
      <w:r>
        <w:rPr>
          <w:color w:val="231F20"/>
          <w:spacing w:val="-17"/>
        </w:rPr>
        <w:t> </w:t>
      </w:r>
      <w:r>
        <w:rPr>
          <w:color w:val="231F20"/>
        </w:rPr>
        <w:t>улагања</w:t>
      </w:r>
      <w:r>
        <w:rPr>
          <w:color w:val="231F20"/>
          <w:spacing w:val="-17"/>
        </w:rPr>
        <w:t> </w:t>
      </w:r>
      <w:r>
        <w:rPr>
          <w:color w:val="231F20"/>
        </w:rPr>
        <w:t>итд.;</w:t>
      </w:r>
    </w:p>
    <w:p>
      <w:pPr>
        <w:pStyle w:val="BodyText"/>
        <w:spacing w:line="232" w:lineRule="auto"/>
        <w:ind w:left="452" w:right="1" w:firstLine="397"/>
      </w:pPr>
      <w:r>
        <w:rPr>
          <w:color w:val="231F20"/>
          <w:w w:val="66"/>
        </w:rPr>
        <w:t> </w:t>
      </w:r>
      <w:r>
        <w:rPr>
          <w:color w:val="231F20"/>
        </w:rPr>
        <w:t>– ризици обезбеђивања сагласности: правне, регулативне, стандарди пословног управљања итд;</w:t>
      </w:r>
    </w:p>
    <w:p>
      <w:pPr>
        <w:pStyle w:val="BodyText"/>
        <w:spacing w:line="232" w:lineRule="auto"/>
        <w:ind w:left="452" w:right="1" w:firstLine="396"/>
      </w:pPr>
      <w:r>
        <w:rPr>
          <w:color w:val="231F20"/>
          <w:w w:val="66"/>
        </w:rPr>
        <w:t> </w:t>
      </w:r>
      <w:r>
        <w:rPr>
          <w:color w:val="231F20"/>
        </w:rPr>
        <w:t>– могућност уласка на енергетско тржиште независних а бо- гатих фондова (махом из Америке), али и других инвеститора из земаља које у последње време постижу висок економски раст (на пример, Кине, Русије, Индије и других), што отежава позицију традиционалних компанија – произвођача;</w:t>
      </w:r>
    </w:p>
    <w:p>
      <w:pPr>
        <w:pStyle w:val="BodyText"/>
        <w:spacing w:line="232" w:lineRule="auto"/>
        <w:ind w:left="452" w:right="1" w:firstLine="397"/>
      </w:pPr>
      <w:r>
        <w:rPr>
          <w:color w:val="231F20"/>
          <w:w w:val="66"/>
        </w:rPr>
        <w:t> </w:t>
      </w:r>
      <w:r>
        <w:rPr>
          <w:color w:val="231F20"/>
        </w:rPr>
        <w:t>– ризици који се односе на коришћење воде у технолошком процесу, који мање или више сви у први план стављају императив побољшања еколошких аспеката технологија (нарочито у погледу водне интензивности), неопходности пречишћавања отпадних во- да итд.;</w:t>
      </w:r>
    </w:p>
    <w:p>
      <w:pPr>
        <w:pStyle w:val="BodyText"/>
        <w:spacing w:line="232" w:lineRule="auto"/>
        <w:ind w:left="452" w:firstLine="396"/>
      </w:pPr>
      <w:r>
        <w:rPr>
          <w:color w:val="231F20"/>
          <w:w w:val="66"/>
        </w:rPr>
        <w:t> </w:t>
      </w:r>
      <w:r>
        <w:rPr>
          <w:color w:val="231F20"/>
        </w:rPr>
        <w:t>– неизвесност која се односи на императив да се радикално повећа транспарентност у припремању и доношењу стратешких одлука, нарочито кроз интензивније комуникације са НВО и нај- широм јавношћу;</w:t>
      </w:r>
    </w:p>
    <w:p>
      <w:pPr>
        <w:pStyle w:val="BodyText"/>
        <w:spacing w:line="232" w:lineRule="auto"/>
        <w:ind w:left="452" w:right="1" w:firstLine="397"/>
      </w:pPr>
      <w:r>
        <w:rPr>
          <w:color w:val="231F20"/>
          <w:w w:val="66"/>
        </w:rPr>
        <w:t> </w:t>
      </w:r>
      <w:r>
        <w:rPr>
          <w:color w:val="231F20"/>
        </w:rPr>
        <w:t>– неизвесност </w:t>
      </w:r>
      <w:r>
        <w:rPr>
          <w:color w:val="231F20"/>
          <w:spacing w:val="-3"/>
        </w:rPr>
        <w:t>која </w:t>
      </w:r>
      <w:r>
        <w:rPr>
          <w:color w:val="231F20"/>
        </w:rPr>
        <w:t>прати улазак приватних „обичних”</w:t>
      </w:r>
      <w:r>
        <w:rPr>
          <w:color w:val="231F20"/>
          <w:spacing w:val="-28"/>
        </w:rPr>
        <w:t> </w:t>
      </w:r>
      <w:r>
        <w:rPr>
          <w:color w:val="231F20"/>
        </w:rPr>
        <w:t>акција у рударски и металски сектор (што се може показати као велики стратешки пословни ризик), као </w:t>
      </w:r>
      <w:r>
        <w:rPr>
          <w:color w:val="231F20"/>
          <w:spacing w:val="-3"/>
        </w:rPr>
        <w:t>нагло </w:t>
      </w:r>
      <w:r>
        <w:rPr>
          <w:color w:val="231F20"/>
        </w:rPr>
        <w:t>ширећи тренд у најновијем </w:t>
      </w:r>
      <w:r>
        <w:rPr>
          <w:color w:val="231F20"/>
          <w:spacing w:val="-4"/>
        </w:rPr>
        <w:t>периоду, </w:t>
      </w:r>
      <w:r>
        <w:rPr>
          <w:color w:val="231F20"/>
          <w:spacing w:val="-3"/>
        </w:rPr>
        <w:t>након </w:t>
      </w:r>
      <w:r>
        <w:rPr>
          <w:color w:val="231F20"/>
        </w:rPr>
        <w:t>настанка глобалне кризе и њеног продуженог тра- јања, </w:t>
      </w:r>
      <w:r>
        <w:rPr>
          <w:color w:val="231F20"/>
          <w:spacing w:val="-3"/>
        </w:rPr>
        <w:t>које </w:t>
      </w:r>
      <w:r>
        <w:rPr>
          <w:color w:val="231F20"/>
        </w:rPr>
        <w:t>се, </w:t>
      </w:r>
      <w:r>
        <w:rPr>
          <w:color w:val="231F20"/>
          <w:spacing w:val="-3"/>
        </w:rPr>
        <w:t>очигледно, </w:t>
      </w:r>
      <w:r>
        <w:rPr>
          <w:color w:val="231F20"/>
        </w:rPr>
        <w:t>неће </w:t>
      </w:r>
      <w:r>
        <w:rPr>
          <w:color w:val="231F20"/>
          <w:spacing w:val="-3"/>
        </w:rPr>
        <w:t>тако </w:t>
      </w:r>
      <w:r>
        <w:rPr>
          <w:color w:val="231F20"/>
        </w:rPr>
        <w:t>брзо</w:t>
      </w:r>
      <w:r>
        <w:rPr>
          <w:color w:val="231F20"/>
          <w:spacing w:val="5"/>
        </w:rPr>
        <w:t> </w:t>
      </w:r>
      <w:r>
        <w:rPr>
          <w:color w:val="231F20"/>
        </w:rPr>
        <w:t>окончати;</w:t>
      </w:r>
    </w:p>
    <w:p>
      <w:pPr>
        <w:pStyle w:val="BodyText"/>
        <w:spacing w:line="232" w:lineRule="auto" w:before="69"/>
        <w:ind w:left="241" w:right="129" w:firstLine="396"/>
      </w:pPr>
      <w:r>
        <w:rPr/>
        <w:br w:type="column"/>
      </w:r>
      <w:r>
        <w:rPr>
          <w:color w:val="231F20"/>
          <w:w w:val="66"/>
        </w:rPr>
        <w:t> </w:t>
      </w:r>
      <w:r>
        <w:rPr>
          <w:color w:val="231F20"/>
        </w:rPr>
        <w:t>– отворено питање ризика и неизвесности који прате све интензивнију експлоатацију и оних резерви ресурса чије је ко- ришћење досад сматрано неекономичним (због ниског садржаја основног ресурса, неповољног просторног распореда односно до- ступности итд.);</w:t>
      </w:r>
    </w:p>
    <w:p>
      <w:pPr>
        <w:pStyle w:val="BodyText"/>
        <w:spacing w:line="232" w:lineRule="auto"/>
        <w:ind w:left="241" w:right="129" w:firstLine="397"/>
      </w:pPr>
      <w:r>
        <w:rPr>
          <w:color w:val="231F20"/>
          <w:w w:val="66"/>
        </w:rPr>
        <w:t> </w:t>
      </w:r>
      <w:r>
        <w:rPr>
          <w:color w:val="231F20"/>
        </w:rPr>
        <w:t>– нове, велике неизвесности и ризици који ће пратити тако- звану „структурна померања” светске енергетске понуде и тра- жње, која су извесна након најновијих катастрофа у области ну- клеарне енергије;</w:t>
      </w:r>
    </w:p>
    <w:p>
      <w:pPr>
        <w:pStyle w:val="BodyText"/>
        <w:spacing w:line="232" w:lineRule="auto"/>
        <w:ind w:left="241" w:right="129" w:firstLine="397"/>
      </w:pPr>
      <w:r>
        <w:rPr>
          <w:color w:val="231F20"/>
          <w:w w:val="66"/>
        </w:rPr>
        <w:t> </w:t>
      </w:r>
      <w:r>
        <w:rPr>
          <w:color w:val="231F20"/>
        </w:rPr>
        <w:t>– традиционални ризици и неизвесности који се тичу расе- љавања становништва које је диктирано потребама експлоатације и прераде основног ресурса;</w:t>
      </w:r>
    </w:p>
    <w:p>
      <w:pPr>
        <w:pStyle w:val="BodyText"/>
        <w:spacing w:line="199" w:lineRule="exact"/>
        <w:ind w:left="638"/>
        <w:jc w:val="left"/>
      </w:pPr>
      <w:r>
        <w:rPr>
          <w:color w:val="231F20"/>
          <w:w w:val="66"/>
        </w:rPr>
        <w:t> </w:t>
      </w:r>
      <w:r>
        <w:rPr>
          <w:color w:val="231F20"/>
        </w:rPr>
        <w:t>– ризици који потичу од неадкеватне заштите такозваних</w:t>
      </w:r>
    </w:p>
    <w:p>
      <w:pPr>
        <w:pStyle w:val="BodyText"/>
        <w:spacing w:line="201" w:lineRule="exact"/>
        <w:ind w:left="241"/>
        <w:jc w:val="left"/>
      </w:pPr>
      <w:r>
        <w:rPr>
          <w:color w:val="231F20"/>
        </w:rPr>
        <w:t>„трећих лица” у коришћењу простора, природних ресурса итд. и</w:t>
      </w:r>
    </w:p>
    <w:p>
      <w:pPr>
        <w:pStyle w:val="BodyText"/>
        <w:spacing w:line="232" w:lineRule="auto" w:before="1"/>
        <w:ind w:left="241" w:right="129" w:firstLine="396"/>
      </w:pPr>
      <w:r>
        <w:rPr>
          <w:color w:val="231F20"/>
          <w:w w:val="66"/>
        </w:rPr>
        <w:t> </w:t>
      </w:r>
      <w:r>
        <w:rPr>
          <w:color w:val="231F20"/>
        </w:rPr>
        <w:t>– ризици </w:t>
      </w:r>
      <w:r>
        <w:rPr>
          <w:color w:val="231F20"/>
          <w:spacing w:val="-3"/>
        </w:rPr>
        <w:t>који </w:t>
      </w:r>
      <w:r>
        <w:rPr>
          <w:color w:val="231F20"/>
        </w:rPr>
        <w:t>потичу </w:t>
      </w:r>
      <w:r>
        <w:rPr>
          <w:color w:val="231F20"/>
          <w:spacing w:val="-3"/>
        </w:rPr>
        <w:t>од </w:t>
      </w:r>
      <w:r>
        <w:rPr>
          <w:color w:val="231F20"/>
        </w:rPr>
        <w:t>недовољног учешћа јавности у про- цесу</w:t>
      </w:r>
      <w:r>
        <w:rPr>
          <w:color w:val="231F20"/>
          <w:spacing w:val="-8"/>
        </w:rPr>
        <w:t> </w:t>
      </w:r>
      <w:r>
        <w:rPr>
          <w:color w:val="231F20"/>
        </w:rPr>
        <w:t>припремања,</w:t>
      </w:r>
      <w:r>
        <w:rPr>
          <w:color w:val="231F20"/>
          <w:spacing w:val="-8"/>
        </w:rPr>
        <w:t> </w:t>
      </w:r>
      <w:r>
        <w:rPr>
          <w:color w:val="231F20"/>
        </w:rPr>
        <w:t>доношења</w:t>
      </w:r>
      <w:r>
        <w:rPr>
          <w:color w:val="231F20"/>
          <w:spacing w:val="-8"/>
        </w:rPr>
        <w:t> </w:t>
      </w:r>
      <w:r>
        <w:rPr>
          <w:color w:val="231F20"/>
        </w:rPr>
        <w:t>и</w:t>
      </w:r>
      <w:r>
        <w:rPr>
          <w:color w:val="231F20"/>
          <w:spacing w:val="-8"/>
        </w:rPr>
        <w:t> </w:t>
      </w:r>
      <w:r>
        <w:rPr>
          <w:color w:val="231F20"/>
        </w:rPr>
        <w:t>остваривања</w:t>
      </w:r>
      <w:r>
        <w:rPr>
          <w:color w:val="231F20"/>
          <w:spacing w:val="-8"/>
        </w:rPr>
        <w:t> </w:t>
      </w:r>
      <w:r>
        <w:rPr>
          <w:color w:val="231F20"/>
        </w:rPr>
        <w:t>планско</w:t>
      </w:r>
      <w:r>
        <w:rPr>
          <w:color w:val="231F20"/>
          <w:spacing w:val="-8"/>
        </w:rPr>
        <w:t> </w:t>
      </w:r>
      <w:r>
        <w:rPr>
          <w:color w:val="231F20"/>
        </w:rPr>
        <w:t>развојних</w:t>
      </w:r>
      <w:r>
        <w:rPr>
          <w:color w:val="231F20"/>
          <w:spacing w:val="-8"/>
        </w:rPr>
        <w:t> </w:t>
      </w:r>
      <w:r>
        <w:rPr>
          <w:color w:val="231F20"/>
        </w:rPr>
        <w:t>од- лука.</w:t>
      </w:r>
    </w:p>
    <w:p>
      <w:pPr>
        <w:pStyle w:val="BodyText"/>
        <w:spacing w:line="232" w:lineRule="auto"/>
        <w:ind w:left="241" w:right="128" w:firstLine="397"/>
      </w:pPr>
      <w:r>
        <w:rPr>
          <w:color w:val="231F20"/>
        </w:rPr>
        <w:t>Посебна група ризика настаће на основу најновијих промена </w:t>
      </w:r>
      <w:r>
        <w:rPr>
          <w:color w:val="231F20"/>
          <w:spacing w:val="-2"/>
        </w:rPr>
        <w:t>закона </w:t>
      </w:r>
      <w:r>
        <w:rPr>
          <w:color w:val="231F20"/>
        </w:rPr>
        <w:t>у области просторног и урбанистичког планирања, наиме, оних </w:t>
      </w:r>
      <w:r>
        <w:rPr>
          <w:color w:val="231F20"/>
          <w:spacing w:val="-3"/>
        </w:rPr>
        <w:t>који </w:t>
      </w:r>
      <w:r>
        <w:rPr>
          <w:color w:val="231F20"/>
        </w:rPr>
        <w:t>се односе на могућност конверзије права коришћења зе- мљишта – простора у власничко право. Овим одредбама омогуће- ни су поступци </w:t>
      </w:r>
      <w:r>
        <w:rPr>
          <w:color w:val="231F20"/>
          <w:spacing w:val="-3"/>
        </w:rPr>
        <w:t>који </w:t>
      </w:r>
      <w:r>
        <w:rPr>
          <w:color w:val="231F20"/>
        </w:rPr>
        <w:t>могу довести до настајања огромних и неса- </w:t>
      </w:r>
      <w:r>
        <w:rPr>
          <w:color w:val="231F20"/>
          <w:spacing w:val="-3"/>
        </w:rPr>
        <w:t>гледивих </w:t>
      </w:r>
      <w:r>
        <w:rPr>
          <w:color w:val="231F20"/>
        </w:rPr>
        <w:t>штета, и </w:t>
      </w:r>
      <w:r>
        <w:rPr>
          <w:color w:val="231F20"/>
          <w:spacing w:val="-3"/>
        </w:rPr>
        <w:t>компликованих  </w:t>
      </w:r>
      <w:r>
        <w:rPr>
          <w:color w:val="231F20"/>
        </w:rPr>
        <w:t>процедуралних компликација,  а нарочито </w:t>
      </w:r>
      <w:r>
        <w:rPr>
          <w:color w:val="231F20"/>
          <w:spacing w:val="-3"/>
        </w:rPr>
        <w:t>око: </w:t>
      </w:r>
      <w:r>
        <w:rPr>
          <w:color w:val="231F20"/>
        </w:rPr>
        <w:t>прво, неразјашњених власничких и корисничких односа међу разним актерима у промету непокретности (у разним облицима приватне, јавне и друге својине); и друго, неконтроли- сане конверзије квалитетног и другог пољопривредног земљишта за непољопривредне намене (што нарочито погађа Планско под- ручје).</w:t>
      </w:r>
    </w:p>
    <w:p>
      <w:pPr>
        <w:pStyle w:val="ListParagraph"/>
        <w:numPr>
          <w:ilvl w:val="1"/>
          <w:numId w:val="49"/>
        </w:numPr>
        <w:tabs>
          <w:tab w:pos="1882" w:val="left" w:leader="none"/>
        </w:tabs>
        <w:spacing w:line="240" w:lineRule="auto" w:before="164" w:after="0"/>
        <w:ind w:left="1881" w:right="0" w:hanging="315"/>
        <w:jc w:val="left"/>
        <w:rPr>
          <w:i/>
          <w:sz w:val="18"/>
        </w:rPr>
      </w:pPr>
      <w:r>
        <w:rPr>
          <w:i/>
          <w:color w:val="231F20"/>
          <w:sz w:val="18"/>
        </w:rPr>
        <w:t>Својински односи и</w:t>
      </w:r>
      <w:r>
        <w:rPr>
          <w:i/>
          <w:color w:val="231F20"/>
          <w:spacing w:val="-1"/>
          <w:sz w:val="18"/>
        </w:rPr>
        <w:t> </w:t>
      </w:r>
      <w:r>
        <w:rPr>
          <w:i/>
          <w:color w:val="231F20"/>
          <w:sz w:val="18"/>
        </w:rPr>
        <w:t>накнаде</w:t>
      </w:r>
    </w:p>
    <w:p>
      <w:pPr>
        <w:pStyle w:val="BodyText"/>
        <w:spacing w:before="4"/>
        <w:ind w:left="0"/>
        <w:jc w:val="left"/>
        <w:rPr>
          <w:i/>
          <w:sz w:val="17"/>
        </w:rPr>
      </w:pPr>
    </w:p>
    <w:p>
      <w:pPr>
        <w:pStyle w:val="BodyText"/>
        <w:spacing w:line="232" w:lineRule="auto"/>
        <w:ind w:left="241" w:right="128" w:firstLine="396"/>
      </w:pPr>
      <w:r>
        <w:rPr>
          <w:color w:val="231F20"/>
        </w:rPr>
        <w:t>Накнада за коришћење минералних сировина. Према одред- бама Закона о </w:t>
      </w:r>
      <w:r>
        <w:rPr>
          <w:color w:val="231F20"/>
          <w:spacing w:val="-3"/>
        </w:rPr>
        <w:t>рударству </w:t>
      </w:r>
      <w:r>
        <w:rPr>
          <w:color w:val="231F20"/>
        </w:rPr>
        <w:t>постоји обавеза да привредни субјекти </w:t>
      </w:r>
      <w:r>
        <w:rPr>
          <w:color w:val="231F20"/>
          <w:spacing w:val="-3"/>
        </w:rPr>
        <w:t>који </w:t>
      </w:r>
      <w:r>
        <w:rPr>
          <w:color w:val="231F20"/>
        </w:rPr>
        <w:t>се баве </w:t>
      </w:r>
      <w:r>
        <w:rPr>
          <w:color w:val="231F20"/>
          <w:spacing w:val="-3"/>
        </w:rPr>
        <w:t>рударством </w:t>
      </w:r>
      <w:r>
        <w:rPr>
          <w:color w:val="231F20"/>
        </w:rPr>
        <w:t>плаћају накнаду за коришћење минерал- них сировина, с тим да је висина накнаде одређена одредбама Закона о </w:t>
      </w:r>
      <w:r>
        <w:rPr>
          <w:color w:val="231F20"/>
          <w:spacing w:val="-3"/>
        </w:rPr>
        <w:t>рударству </w:t>
      </w:r>
      <w:r>
        <w:rPr>
          <w:color w:val="231F20"/>
        </w:rPr>
        <w:t>и уредбе о висини накнаде за коришћење ми- нералних ресурса </w:t>
      </w:r>
      <w:r>
        <w:rPr>
          <w:color w:val="231F20"/>
          <w:spacing w:val="-3"/>
        </w:rPr>
        <w:t>коју </w:t>
      </w:r>
      <w:r>
        <w:rPr>
          <w:color w:val="231F20"/>
        </w:rPr>
        <w:t>Влада доноси за сваку </w:t>
      </w:r>
      <w:r>
        <w:rPr>
          <w:color w:val="231F20"/>
          <w:spacing w:val="-5"/>
        </w:rPr>
        <w:t>годину, </w:t>
      </w:r>
      <w:r>
        <w:rPr>
          <w:color w:val="231F20"/>
        </w:rPr>
        <w:t>а на начин плаћања и контролу плаћања </w:t>
      </w:r>
      <w:r>
        <w:rPr>
          <w:color w:val="231F20"/>
          <w:spacing w:val="-3"/>
        </w:rPr>
        <w:t>сходно </w:t>
      </w:r>
      <w:r>
        <w:rPr>
          <w:color w:val="231F20"/>
        </w:rPr>
        <w:t>се примењују одредбе </w:t>
      </w:r>
      <w:r>
        <w:rPr>
          <w:color w:val="231F20"/>
          <w:spacing w:val="-3"/>
        </w:rPr>
        <w:t>Закона </w:t>
      </w:r>
      <w:r>
        <w:rPr>
          <w:color w:val="231F20"/>
        </w:rPr>
        <w:t>о пореском поступку и пореској администрацији („Службени </w:t>
      </w:r>
      <w:r>
        <w:rPr>
          <w:color w:val="231F20"/>
          <w:spacing w:val="-3"/>
        </w:rPr>
        <w:t>гла- </w:t>
      </w:r>
      <w:r>
        <w:rPr>
          <w:color w:val="231F20"/>
        </w:rPr>
        <w:t>сник РС”, бр. 80/02, 84/02, 72/09, и 53/10 </w:t>
      </w:r>
      <w:r>
        <w:rPr>
          <w:color w:val="231F20"/>
          <w:spacing w:val="-3"/>
        </w:rPr>
        <w:t>од </w:t>
      </w:r>
      <w:r>
        <w:rPr>
          <w:color w:val="231F20"/>
        </w:rPr>
        <w:t>29. </w:t>
      </w:r>
      <w:r>
        <w:rPr>
          <w:color w:val="231F20"/>
          <w:spacing w:val="-3"/>
        </w:rPr>
        <w:t>јула </w:t>
      </w:r>
      <w:r>
        <w:rPr>
          <w:color w:val="231F20"/>
        </w:rPr>
        <w:t>2010. године). Члан 16. Закона о </w:t>
      </w:r>
      <w:r>
        <w:rPr>
          <w:color w:val="231F20"/>
          <w:spacing w:val="-3"/>
        </w:rPr>
        <w:t>рударству </w:t>
      </w:r>
      <w:r>
        <w:rPr>
          <w:color w:val="231F20"/>
        </w:rPr>
        <w:t>утврђује да предузеће </w:t>
      </w:r>
      <w:r>
        <w:rPr>
          <w:color w:val="231F20"/>
          <w:spacing w:val="-3"/>
        </w:rPr>
        <w:t>које </w:t>
      </w:r>
      <w:r>
        <w:rPr>
          <w:color w:val="231F20"/>
        </w:rPr>
        <w:t>врши екс- плоатацију свих врста угља треба да плаћа накнаду за коришћење минералних сировина у висини 1% </w:t>
      </w:r>
      <w:r>
        <w:rPr>
          <w:color w:val="231F20"/>
          <w:spacing w:val="-3"/>
        </w:rPr>
        <w:t>од </w:t>
      </w:r>
      <w:r>
        <w:rPr>
          <w:color w:val="231F20"/>
        </w:rPr>
        <w:t>укупног прихода. Чланом 16а Закона предвиђа се да су средства остварена </w:t>
      </w:r>
      <w:r>
        <w:rPr>
          <w:color w:val="231F20"/>
          <w:spacing w:val="-3"/>
        </w:rPr>
        <w:t>од </w:t>
      </w:r>
      <w:r>
        <w:rPr>
          <w:color w:val="231F20"/>
        </w:rPr>
        <w:t>накнаде за </w:t>
      </w:r>
      <w:r>
        <w:rPr>
          <w:color w:val="231F20"/>
          <w:spacing w:val="-4"/>
        </w:rPr>
        <w:t>ко- </w:t>
      </w:r>
      <w:r>
        <w:rPr>
          <w:color w:val="231F20"/>
        </w:rPr>
        <w:t>ришћење минералних сировина у висини </w:t>
      </w:r>
      <w:r>
        <w:rPr>
          <w:color w:val="231F20"/>
          <w:spacing w:val="-3"/>
        </w:rPr>
        <w:t>од </w:t>
      </w:r>
      <w:r>
        <w:rPr>
          <w:color w:val="231F20"/>
        </w:rPr>
        <w:t>50% </w:t>
      </w:r>
      <w:r>
        <w:rPr>
          <w:color w:val="231F20"/>
          <w:spacing w:val="-3"/>
        </w:rPr>
        <w:t>приход </w:t>
      </w:r>
      <w:r>
        <w:rPr>
          <w:color w:val="231F20"/>
        </w:rPr>
        <w:t>Републи- </w:t>
      </w:r>
      <w:r>
        <w:rPr>
          <w:color w:val="231F20"/>
          <w:spacing w:val="-3"/>
        </w:rPr>
        <w:t>ке </w:t>
      </w:r>
      <w:r>
        <w:rPr>
          <w:color w:val="231F20"/>
        </w:rPr>
        <w:t>Србије, а у висини </w:t>
      </w:r>
      <w:r>
        <w:rPr>
          <w:color w:val="231F20"/>
          <w:spacing w:val="-3"/>
        </w:rPr>
        <w:t>од </w:t>
      </w:r>
      <w:r>
        <w:rPr>
          <w:color w:val="231F20"/>
        </w:rPr>
        <w:t>50% су </w:t>
      </w:r>
      <w:r>
        <w:rPr>
          <w:color w:val="231F20"/>
          <w:spacing w:val="-3"/>
        </w:rPr>
        <w:t>приход </w:t>
      </w:r>
      <w:r>
        <w:rPr>
          <w:color w:val="231F20"/>
        </w:rPr>
        <w:t>локалне самоуправе на чијој територији се врши експлоатација. Предлог новог Закона о </w:t>
      </w:r>
      <w:r>
        <w:rPr>
          <w:color w:val="231F20"/>
          <w:spacing w:val="-3"/>
        </w:rPr>
        <w:t>рударству </w:t>
      </w:r>
      <w:r>
        <w:rPr>
          <w:color w:val="231F20"/>
        </w:rPr>
        <w:t>даје нова решења у овој области, укључујући и повећа- ње накнаде. И нови Закон о јавној својини регулише да накнада  за коришћење природног богатства припада Републици Србији и јединици локалне самоуправе, на чијој територији се налази при- родно богатство, у складу са посебним законом. Добра </w:t>
      </w:r>
      <w:r>
        <w:rPr>
          <w:color w:val="231F20"/>
          <w:spacing w:val="-3"/>
        </w:rPr>
        <w:t>од </w:t>
      </w:r>
      <w:r>
        <w:rPr>
          <w:color w:val="231F20"/>
        </w:rPr>
        <w:t>општег интереса</w:t>
      </w:r>
      <w:r>
        <w:rPr>
          <w:color w:val="231F20"/>
          <w:spacing w:val="-5"/>
        </w:rPr>
        <w:t> </w:t>
      </w:r>
      <w:r>
        <w:rPr>
          <w:color w:val="231F20"/>
        </w:rPr>
        <w:t>у</w:t>
      </w:r>
      <w:r>
        <w:rPr>
          <w:color w:val="231F20"/>
          <w:spacing w:val="-5"/>
        </w:rPr>
        <w:t> </w:t>
      </w:r>
      <w:r>
        <w:rPr>
          <w:color w:val="231F20"/>
        </w:rPr>
        <w:t>јавној</w:t>
      </w:r>
      <w:r>
        <w:rPr>
          <w:color w:val="231F20"/>
          <w:spacing w:val="-5"/>
        </w:rPr>
        <w:t> </w:t>
      </w:r>
      <w:r>
        <w:rPr>
          <w:color w:val="231F20"/>
        </w:rPr>
        <w:t>својини,</w:t>
      </w:r>
      <w:r>
        <w:rPr>
          <w:color w:val="231F20"/>
          <w:spacing w:val="-5"/>
        </w:rPr>
        <w:t> </w:t>
      </w:r>
      <w:r>
        <w:rPr>
          <w:color w:val="231F20"/>
        </w:rPr>
        <w:t>у</w:t>
      </w:r>
      <w:r>
        <w:rPr>
          <w:color w:val="231F20"/>
          <w:spacing w:val="-5"/>
        </w:rPr>
        <w:t> </w:t>
      </w:r>
      <w:r>
        <w:rPr>
          <w:color w:val="231F20"/>
        </w:rPr>
        <w:t>смислу</w:t>
      </w:r>
      <w:r>
        <w:rPr>
          <w:color w:val="231F20"/>
          <w:spacing w:val="-5"/>
        </w:rPr>
        <w:t> </w:t>
      </w:r>
      <w:r>
        <w:rPr>
          <w:color w:val="231F20"/>
        </w:rPr>
        <w:t>потоњег</w:t>
      </w:r>
      <w:r>
        <w:rPr>
          <w:color w:val="231F20"/>
          <w:spacing w:val="-5"/>
        </w:rPr>
        <w:t> </w:t>
      </w:r>
      <w:r>
        <w:rPr>
          <w:color w:val="231F20"/>
        </w:rPr>
        <w:t>закона,</w:t>
      </w:r>
      <w:r>
        <w:rPr>
          <w:color w:val="231F20"/>
          <w:spacing w:val="-5"/>
        </w:rPr>
        <w:t> </w:t>
      </w:r>
      <w:r>
        <w:rPr>
          <w:color w:val="231F20"/>
        </w:rPr>
        <w:t>су</w:t>
      </w:r>
      <w:r>
        <w:rPr>
          <w:color w:val="231F20"/>
          <w:spacing w:val="-5"/>
        </w:rPr>
        <w:t> </w:t>
      </w:r>
      <w:r>
        <w:rPr>
          <w:color w:val="231F20"/>
        </w:rPr>
        <w:t>добра</w:t>
      </w:r>
      <w:r>
        <w:rPr>
          <w:color w:val="231F20"/>
          <w:spacing w:val="-5"/>
        </w:rPr>
        <w:t> </w:t>
      </w:r>
      <w:r>
        <w:rPr>
          <w:color w:val="231F20"/>
        </w:rPr>
        <w:t>у</w:t>
      </w:r>
      <w:r>
        <w:rPr>
          <w:color w:val="231F20"/>
          <w:spacing w:val="-5"/>
        </w:rPr>
        <w:t> </w:t>
      </w:r>
      <w:r>
        <w:rPr>
          <w:color w:val="231F20"/>
        </w:rPr>
        <w:t>оп- штој употреби и друге ствари </w:t>
      </w:r>
      <w:r>
        <w:rPr>
          <w:color w:val="231F20"/>
          <w:spacing w:val="-3"/>
        </w:rPr>
        <w:t>које </w:t>
      </w:r>
      <w:r>
        <w:rPr>
          <w:color w:val="231F20"/>
        </w:rPr>
        <w:t>су </w:t>
      </w:r>
      <w:r>
        <w:rPr>
          <w:color w:val="231F20"/>
          <w:spacing w:val="-3"/>
        </w:rPr>
        <w:t>законом </w:t>
      </w:r>
      <w:r>
        <w:rPr>
          <w:color w:val="231F20"/>
        </w:rPr>
        <w:t>одређене као добра </w:t>
      </w:r>
      <w:r>
        <w:rPr>
          <w:color w:val="231F20"/>
          <w:spacing w:val="-3"/>
        </w:rPr>
        <w:t>од </w:t>
      </w:r>
      <w:r>
        <w:rPr>
          <w:color w:val="231F20"/>
        </w:rPr>
        <w:t>општег интереса (пољопривредно земљиште, шуме и </w:t>
      </w:r>
      <w:r>
        <w:rPr>
          <w:color w:val="231F20"/>
          <w:spacing w:val="-3"/>
        </w:rPr>
        <w:t>шумско </w:t>
      </w:r>
      <w:r>
        <w:rPr>
          <w:color w:val="231F20"/>
        </w:rPr>
        <w:t>земљиште, водно земљиште, водни објекти, заштићена природна добра, </w:t>
      </w:r>
      <w:r>
        <w:rPr>
          <w:color w:val="231F20"/>
          <w:spacing w:val="-2"/>
        </w:rPr>
        <w:t>културна </w:t>
      </w:r>
      <w:r>
        <w:rPr>
          <w:color w:val="231F20"/>
        </w:rPr>
        <w:t>добра и друго), због чега уживају посебну зашти- </w:t>
      </w:r>
      <w:r>
        <w:rPr>
          <w:color w:val="231F20"/>
          <w:spacing w:val="-7"/>
        </w:rPr>
        <w:t>ту.</w:t>
      </w:r>
      <w:r>
        <w:rPr>
          <w:color w:val="231F20"/>
          <w:spacing w:val="-5"/>
        </w:rPr>
        <w:t> </w:t>
      </w:r>
      <w:r>
        <w:rPr>
          <w:color w:val="231F20"/>
        </w:rPr>
        <w:t>Добра</w:t>
      </w:r>
      <w:r>
        <w:rPr>
          <w:color w:val="231F20"/>
          <w:spacing w:val="-5"/>
        </w:rPr>
        <w:t> </w:t>
      </w:r>
      <w:r>
        <w:rPr>
          <w:color w:val="231F20"/>
        </w:rPr>
        <w:t>у</w:t>
      </w:r>
      <w:r>
        <w:rPr>
          <w:color w:val="231F20"/>
          <w:spacing w:val="-5"/>
        </w:rPr>
        <w:t> </w:t>
      </w:r>
      <w:r>
        <w:rPr>
          <w:color w:val="231F20"/>
        </w:rPr>
        <w:t>општој</w:t>
      </w:r>
      <w:r>
        <w:rPr>
          <w:color w:val="231F20"/>
          <w:spacing w:val="-5"/>
        </w:rPr>
        <w:t> </w:t>
      </w:r>
      <w:r>
        <w:rPr>
          <w:color w:val="231F20"/>
        </w:rPr>
        <w:t>употреби</w:t>
      </w:r>
      <w:r>
        <w:rPr>
          <w:color w:val="231F20"/>
          <w:spacing w:val="-5"/>
        </w:rPr>
        <w:t> </w:t>
      </w:r>
      <w:r>
        <w:rPr>
          <w:color w:val="231F20"/>
        </w:rPr>
        <w:t>су</w:t>
      </w:r>
      <w:r>
        <w:rPr>
          <w:color w:val="231F20"/>
          <w:spacing w:val="-5"/>
        </w:rPr>
        <w:t> </w:t>
      </w:r>
      <w:r>
        <w:rPr>
          <w:color w:val="231F20"/>
        </w:rPr>
        <w:t>у</w:t>
      </w:r>
      <w:r>
        <w:rPr>
          <w:color w:val="231F20"/>
          <w:spacing w:val="-5"/>
        </w:rPr>
        <w:t> </w:t>
      </w:r>
      <w:r>
        <w:rPr>
          <w:color w:val="231F20"/>
        </w:rPr>
        <w:t>својини</w:t>
      </w:r>
      <w:r>
        <w:rPr>
          <w:color w:val="231F20"/>
          <w:spacing w:val="-5"/>
        </w:rPr>
        <w:t> </w:t>
      </w:r>
      <w:r>
        <w:rPr>
          <w:color w:val="231F20"/>
          <w:spacing w:val="-3"/>
        </w:rPr>
        <w:t>Републике</w:t>
      </w:r>
      <w:r>
        <w:rPr>
          <w:color w:val="231F20"/>
          <w:spacing w:val="-5"/>
        </w:rPr>
        <w:t> </w:t>
      </w:r>
      <w:r>
        <w:rPr>
          <w:color w:val="231F20"/>
        </w:rPr>
        <w:t>Србије</w:t>
      </w:r>
      <w:r>
        <w:rPr>
          <w:color w:val="231F20"/>
          <w:spacing w:val="-5"/>
        </w:rPr>
        <w:t> </w:t>
      </w:r>
      <w:r>
        <w:rPr>
          <w:color w:val="231F20"/>
        </w:rPr>
        <w:t>изузев </w:t>
      </w:r>
      <w:r>
        <w:rPr>
          <w:color w:val="231F20"/>
          <w:spacing w:val="-2"/>
        </w:rPr>
        <w:t>улица, </w:t>
      </w:r>
      <w:r>
        <w:rPr>
          <w:color w:val="231F20"/>
          <w:spacing w:val="-3"/>
        </w:rPr>
        <w:t>које </w:t>
      </w:r>
      <w:r>
        <w:rPr>
          <w:color w:val="231F20"/>
        </w:rPr>
        <w:t>нису део аутопута, државног пута I и II реда, тргова и јавних паркова, </w:t>
      </w:r>
      <w:r>
        <w:rPr>
          <w:color w:val="231F20"/>
          <w:spacing w:val="-3"/>
        </w:rPr>
        <w:t>који </w:t>
      </w:r>
      <w:r>
        <w:rPr>
          <w:color w:val="231F20"/>
        </w:rPr>
        <w:t>су у јавној својини јединица локалне самоу- праве на чијој територији се</w:t>
      </w:r>
      <w:r>
        <w:rPr>
          <w:color w:val="231F20"/>
          <w:spacing w:val="-3"/>
        </w:rPr>
        <w:t> </w:t>
      </w:r>
      <w:r>
        <w:rPr>
          <w:color w:val="231F20"/>
        </w:rPr>
        <w:t>налазе.</w:t>
      </w:r>
    </w:p>
    <w:p>
      <w:pPr>
        <w:pStyle w:val="BodyText"/>
        <w:spacing w:line="232" w:lineRule="auto"/>
        <w:ind w:left="242" w:right="128" w:firstLine="397"/>
      </w:pPr>
      <w:r>
        <w:rPr>
          <w:color w:val="231F20"/>
        </w:rPr>
        <w:t>Накнада</w:t>
      </w:r>
      <w:r>
        <w:rPr>
          <w:color w:val="231F20"/>
          <w:spacing w:val="-9"/>
        </w:rPr>
        <w:t> </w:t>
      </w:r>
      <w:r>
        <w:rPr>
          <w:color w:val="231F20"/>
        </w:rPr>
        <w:t>за</w:t>
      </w:r>
      <w:r>
        <w:rPr>
          <w:color w:val="231F20"/>
          <w:spacing w:val="-9"/>
        </w:rPr>
        <w:t> </w:t>
      </w:r>
      <w:r>
        <w:rPr>
          <w:color w:val="231F20"/>
        </w:rPr>
        <w:t>загађивање</w:t>
      </w:r>
      <w:r>
        <w:rPr>
          <w:color w:val="231F20"/>
          <w:spacing w:val="-9"/>
        </w:rPr>
        <w:t> </w:t>
      </w:r>
      <w:r>
        <w:rPr>
          <w:color w:val="231F20"/>
        </w:rPr>
        <w:t>животне</w:t>
      </w:r>
      <w:r>
        <w:rPr>
          <w:color w:val="231F20"/>
          <w:spacing w:val="-9"/>
        </w:rPr>
        <w:t> </w:t>
      </w:r>
      <w:r>
        <w:rPr>
          <w:color w:val="231F20"/>
        </w:rPr>
        <w:t>средине.</w:t>
      </w:r>
      <w:r>
        <w:rPr>
          <w:color w:val="231F20"/>
          <w:spacing w:val="-9"/>
        </w:rPr>
        <w:t> </w:t>
      </w:r>
      <w:r>
        <w:rPr>
          <w:color w:val="231F20"/>
        </w:rPr>
        <w:t>У</w:t>
      </w:r>
      <w:r>
        <w:rPr>
          <w:color w:val="231F20"/>
          <w:spacing w:val="-9"/>
        </w:rPr>
        <w:t> </w:t>
      </w:r>
      <w:r>
        <w:rPr>
          <w:color w:val="231F20"/>
        </w:rPr>
        <w:t>складу</w:t>
      </w:r>
      <w:r>
        <w:rPr>
          <w:color w:val="231F20"/>
          <w:spacing w:val="-9"/>
        </w:rPr>
        <w:t> </w:t>
      </w:r>
      <w:r>
        <w:rPr>
          <w:color w:val="231F20"/>
        </w:rPr>
        <w:t>са</w:t>
      </w:r>
      <w:r>
        <w:rPr>
          <w:color w:val="231F20"/>
          <w:spacing w:val="-9"/>
        </w:rPr>
        <w:t> </w:t>
      </w:r>
      <w:r>
        <w:rPr>
          <w:color w:val="231F20"/>
          <w:spacing w:val="-3"/>
        </w:rPr>
        <w:t>Законом </w:t>
      </w:r>
      <w:r>
        <w:rPr>
          <w:color w:val="231F20"/>
        </w:rPr>
        <w:t>о заштити животне средине („Службени </w:t>
      </w:r>
      <w:r>
        <w:rPr>
          <w:color w:val="231F20"/>
          <w:spacing w:val="-3"/>
        </w:rPr>
        <w:t>гласник </w:t>
      </w:r>
      <w:r>
        <w:rPr>
          <w:color w:val="231F20"/>
        </w:rPr>
        <w:t>РС”, бр. 135/04, 36/09, 36/09 и 72/09) донета је </w:t>
      </w:r>
      <w:r>
        <w:rPr>
          <w:color w:val="231F20"/>
          <w:spacing w:val="-5"/>
        </w:rPr>
        <w:t>Уредба </w:t>
      </w:r>
      <w:r>
        <w:rPr>
          <w:color w:val="231F20"/>
        </w:rPr>
        <w:t>о врстама загађивања, кри- теријумима за </w:t>
      </w:r>
      <w:r>
        <w:rPr>
          <w:color w:val="231F20"/>
          <w:spacing w:val="-3"/>
        </w:rPr>
        <w:t>обрачун </w:t>
      </w:r>
      <w:r>
        <w:rPr>
          <w:color w:val="231F20"/>
        </w:rPr>
        <w:t>накнаде за загађивање животне средине и обвезницима, висини и </w:t>
      </w:r>
      <w:r>
        <w:rPr>
          <w:color w:val="231F20"/>
          <w:spacing w:val="-2"/>
        </w:rPr>
        <w:t>начину </w:t>
      </w:r>
      <w:r>
        <w:rPr>
          <w:color w:val="231F20"/>
        </w:rPr>
        <w:t>обрачунавања и плаћања накнаде („Службени </w:t>
      </w:r>
      <w:r>
        <w:rPr>
          <w:color w:val="231F20"/>
          <w:spacing w:val="-3"/>
        </w:rPr>
        <w:t>гласник </w:t>
      </w:r>
      <w:r>
        <w:rPr>
          <w:color w:val="231F20"/>
        </w:rPr>
        <w:t>РС”, бр. 113/05, 6/07 и 8/10 и 102/10) </w:t>
      </w:r>
      <w:r>
        <w:rPr>
          <w:color w:val="231F20"/>
          <w:spacing w:val="-4"/>
        </w:rPr>
        <w:t>којом </w:t>
      </w:r>
      <w:r>
        <w:rPr>
          <w:color w:val="231F20"/>
        </w:rPr>
        <w:t>се </w:t>
      </w:r>
      <w:r>
        <w:rPr>
          <w:color w:val="231F20"/>
          <w:spacing w:val="-3"/>
        </w:rPr>
        <w:t>ближе</w:t>
      </w:r>
      <w:r>
        <w:rPr>
          <w:color w:val="231F20"/>
          <w:spacing w:val="-6"/>
        </w:rPr>
        <w:t> </w:t>
      </w:r>
      <w:r>
        <w:rPr>
          <w:color w:val="231F20"/>
        </w:rPr>
        <w:t>одређују</w:t>
      </w:r>
      <w:r>
        <w:rPr>
          <w:color w:val="231F20"/>
          <w:spacing w:val="-6"/>
        </w:rPr>
        <w:t> </w:t>
      </w:r>
      <w:r>
        <w:rPr>
          <w:color w:val="231F20"/>
        </w:rPr>
        <w:t>врсте</w:t>
      </w:r>
      <w:r>
        <w:rPr>
          <w:color w:val="231F20"/>
          <w:spacing w:val="-6"/>
        </w:rPr>
        <w:t> </w:t>
      </w:r>
      <w:r>
        <w:rPr>
          <w:color w:val="231F20"/>
        </w:rPr>
        <w:t>загађивања,</w:t>
      </w:r>
      <w:r>
        <w:rPr>
          <w:color w:val="231F20"/>
          <w:spacing w:val="-6"/>
        </w:rPr>
        <w:t> </w:t>
      </w:r>
      <w:r>
        <w:rPr>
          <w:color w:val="231F20"/>
        </w:rPr>
        <w:t>критеријуми</w:t>
      </w:r>
      <w:r>
        <w:rPr>
          <w:color w:val="231F20"/>
          <w:spacing w:val="-6"/>
        </w:rPr>
        <w:t> </w:t>
      </w:r>
      <w:r>
        <w:rPr>
          <w:color w:val="231F20"/>
        </w:rPr>
        <w:t>за</w:t>
      </w:r>
      <w:r>
        <w:rPr>
          <w:color w:val="231F20"/>
          <w:spacing w:val="-6"/>
        </w:rPr>
        <w:t> </w:t>
      </w:r>
      <w:r>
        <w:rPr>
          <w:color w:val="231F20"/>
        </w:rPr>
        <w:t>обрачун</w:t>
      </w:r>
      <w:r>
        <w:rPr>
          <w:color w:val="231F20"/>
          <w:spacing w:val="-6"/>
        </w:rPr>
        <w:t> </w:t>
      </w:r>
      <w:r>
        <w:rPr>
          <w:color w:val="231F20"/>
        </w:rPr>
        <w:t>накнаде за загађивање животне средине и обвезници, висина и </w:t>
      </w:r>
      <w:r>
        <w:rPr>
          <w:color w:val="231F20"/>
          <w:spacing w:val="-3"/>
        </w:rPr>
        <w:t>начин </w:t>
      </w:r>
      <w:r>
        <w:rPr>
          <w:color w:val="231F20"/>
        </w:rPr>
        <w:t>об- рачунавања и плаћања накнаде. Чланом 5. потоње уредбе („Слу- </w:t>
      </w:r>
      <w:r>
        <w:rPr>
          <w:color w:val="231F20"/>
          <w:spacing w:val="-3"/>
        </w:rPr>
        <w:t>жбени</w:t>
      </w:r>
      <w:r>
        <w:rPr>
          <w:color w:val="231F20"/>
          <w:spacing w:val="-9"/>
        </w:rPr>
        <w:t> </w:t>
      </w:r>
      <w:r>
        <w:rPr>
          <w:color w:val="231F20"/>
          <w:spacing w:val="-3"/>
        </w:rPr>
        <w:t>гласник</w:t>
      </w:r>
      <w:r>
        <w:rPr>
          <w:color w:val="231F20"/>
          <w:spacing w:val="-9"/>
        </w:rPr>
        <w:t> </w:t>
      </w:r>
      <w:r>
        <w:rPr>
          <w:color w:val="231F20"/>
        </w:rPr>
        <w:t>РС”,</w:t>
      </w:r>
      <w:r>
        <w:rPr>
          <w:color w:val="231F20"/>
          <w:spacing w:val="-9"/>
        </w:rPr>
        <w:t> </w:t>
      </w:r>
      <w:r>
        <w:rPr>
          <w:color w:val="231F20"/>
        </w:rPr>
        <w:t>број</w:t>
      </w:r>
      <w:r>
        <w:rPr>
          <w:color w:val="231F20"/>
          <w:spacing w:val="-9"/>
        </w:rPr>
        <w:t> </w:t>
      </w:r>
      <w:r>
        <w:rPr>
          <w:color w:val="231F20"/>
        </w:rPr>
        <w:t>102/10)</w:t>
      </w:r>
      <w:r>
        <w:rPr>
          <w:color w:val="231F20"/>
          <w:spacing w:val="-9"/>
        </w:rPr>
        <w:t> </w:t>
      </w:r>
      <w:r>
        <w:rPr>
          <w:color w:val="231F20"/>
        </w:rPr>
        <w:t>обвезници</w:t>
      </w:r>
      <w:r>
        <w:rPr>
          <w:color w:val="231F20"/>
          <w:spacing w:val="-9"/>
        </w:rPr>
        <w:t> </w:t>
      </w:r>
      <w:r>
        <w:rPr>
          <w:color w:val="231F20"/>
        </w:rPr>
        <w:t>плаћања</w:t>
      </w:r>
      <w:r>
        <w:rPr>
          <w:color w:val="231F20"/>
          <w:spacing w:val="-9"/>
        </w:rPr>
        <w:t> </w:t>
      </w:r>
      <w:r>
        <w:rPr>
          <w:color w:val="231F20"/>
        </w:rPr>
        <w:t>накнаде</w:t>
      </w:r>
      <w:r>
        <w:rPr>
          <w:color w:val="231F20"/>
          <w:spacing w:val="-9"/>
        </w:rPr>
        <w:t> </w:t>
      </w:r>
      <w:r>
        <w:rPr>
          <w:color w:val="231F20"/>
        </w:rPr>
        <w:t>су</w:t>
      </w:r>
      <w:r>
        <w:rPr>
          <w:color w:val="231F20"/>
          <w:spacing w:val="-9"/>
        </w:rPr>
        <w:t> </w:t>
      </w:r>
      <w:r>
        <w:rPr>
          <w:color w:val="231F20"/>
        </w:rPr>
        <w:t>сва правна и физичка лица </w:t>
      </w:r>
      <w:r>
        <w:rPr>
          <w:color w:val="231F20"/>
          <w:spacing w:val="-4"/>
        </w:rPr>
        <w:t>која  </w:t>
      </w:r>
      <w:r>
        <w:rPr>
          <w:color w:val="231F20"/>
        </w:rPr>
        <w:t>узрокују загађење животне средине,  и</w:t>
      </w:r>
      <w:r>
        <w:rPr>
          <w:color w:val="231F20"/>
          <w:spacing w:val="15"/>
        </w:rPr>
        <w:t> </w:t>
      </w:r>
      <w:r>
        <w:rPr>
          <w:color w:val="231F20"/>
        </w:rPr>
        <w:t>то:</w:t>
      </w:r>
      <w:r>
        <w:rPr>
          <w:color w:val="231F20"/>
          <w:spacing w:val="15"/>
        </w:rPr>
        <w:t> </w:t>
      </w:r>
      <w:r>
        <w:rPr>
          <w:color w:val="231F20"/>
        </w:rPr>
        <w:t>1)</w:t>
      </w:r>
      <w:r>
        <w:rPr>
          <w:color w:val="231F20"/>
          <w:spacing w:val="15"/>
        </w:rPr>
        <w:t> </w:t>
      </w:r>
      <w:r>
        <w:rPr>
          <w:color w:val="231F20"/>
          <w:spacing w:val="-3"/>
        </w:rPr>
        <w:t>загађивачи</w:t>
      </w:r>
      <w:r>
        <w:rPr>
          <w:color w:val="231F20"/>
          <w:spacing w:val="15"/>
        </w:rPr>
        <w:t> </w:t>
      </w:r>
      <w:r>
        <w:rPr>
          <w:color w:val="231F20"/>
        </w:rPr>
        <w:t>за</w:t>
      </w:r>
      <w:r>
        <w:rPr>
          <w:color w:val="231F20"/>
          <w:spacing w:val="15"/>
        </w:rPr>
        <w:t> </w:t>
      </w:r>
      <w:r>
        <w:rPr>
          <w:color w:val="231F20"/>
        </w:rPr>
        <w:t>емисије</w:t>
      </w:r>
      <w:r>
        <w:rPr>
          <w:color w:val="231F20"/>
          <w:spacing w:val="15"/>
        </w:rPr>
        <w:t> </w:t>
      </w:r>
      <w:r>
        <w:rPr>
          <w:color w:val="231F20"/>
        </w:rPr>
        <w:t>СО2</w:t>
      </w:r>
      <w:r>
        <w:rPr>
          <w:color w:val="231F20"/>
          <w:spacing w:val="15"/>
        </w:rPr>
        <w:t> </w:t>
      </w:r>
      <w:r>
        <w:rPr>
          <w:color w:val="231F20"/>
        </w:rPr>
        <w:t>и/или</w:t>
      </w:r>
      <w:r>
        <w:rPr>
          <w:color w:val="231F20"/>
          <w:spacing w:val="15"/>
        </w:rPr>
        <w:t> </w:t>
      </w:r>
      <w:r>
        <w:rPr>
          <w:color w:val="231F20"/>
        </w:rPr>
        <w:t>NО2</w:t>
      </w:r>
      <w:r>
        <w:rPr>
          <w:color w:val="231F20"/>
          <w:spacing w:val="15"/>
        </w:rPr>
        <w:t> </w:t>
      </w:r>
      <w:r>
        <w:rPr>
          <w:color w:val="231F20"/>
        </w:rPr>
        <w:t>и/или</w:t>
      </w:r>
      <w:r>
        <w:rPr>
          <w:color w:val="231F20"/>
          <w:spacing w:val="15"/>
        </w:rPr>
        <w:t> </w:t>
      </w:r>
      <w:r>
        <w:rPr>
          <w:color w:val="231F20"/>
        </w:rPr>
        <w:t>прашкастих</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right="41" w:hanging="1"/>
      </w:pPr>
      <w:r>
        <w:rPr/>
        <w:pict>
          <v:line style="position:absolute;mso-position-horizontal-relative:page;mso-position-vertical-relative:page;z-index:3400" from="304.724396pt,11.942451pt" to="304.724396pt,748.950451pt" stroked="true" strokeweight=".6pt" strokecolor="#231f20">
            <v:stroke dashstyle="solid"/>
            <w10:wrap type="none"/>
          </v:line>
        </w:pict>
      </w:r>
      <w:r>
        <w:rPr>
          <w:color w:val="231F20"/>
        </w:rPr>
        <w:t>материја из постројења за </w:t>
      </w:r>
      <w:r>
        <w:rPr>
          <w:color w:val="231F20"/>
          <w:spacing w:val="-4"/>
        </w:rPr>
        <w:t>које </w:t>
      </w:r>
      <w:r>
        <w:rPr>
          <w:color w:val="231F20"/>
        </w:rPr>
        <w:t>се издаје интегрисана дозвола; 2) загађивачи</w:t>
      </w:r>
      <w:r>
        <w:rPr>
          <w:color w:val="231F20"/>
          <w:spacing w:val="-10"/>
        </w:rPr>
        <w:t> </w:t>
      </w:r>
      <w:r>
        <w:rPr>
          <w:color w:val="231F20"/>
        </w:rPr>
        <w:t>прашкастих</w:t>
      </w:r>
      <w:r>
        <w:rPr>
          <w:color w:val="231F20"/>
          <w:spacing w:val="-10"/>
        </w:rPr>
        <w:t> </w:t>
      </w:r>
      <w:r>
        <w:rPr>
          <w:color w:val="231F20"/>
        </w:rPr>
        <w:t>материја</w:t>
      </w:r>
      <w:r>
        <w:rPr>
          <w:color w:val="231F20"/>
          <w:spacing w:val="-10"/>
        </w:rPr>
        <w:t> </w:t>
      </w:r>
      <w:r>
        <w:rPr>
          <w:color w:val="231F20"/>
        </w:rPr>
        <w:t>из</w:t>
      </w:r>
      <w:r>
        <w:rPr>
          <w:color w:val="231F20"/>
          <w:spacing w:val="-10"/>
        </w:rPr>
        <w:t> </w:t>
      </w:r>
      <w:r>
        <w:rPr>
          <w:color w:val="231F20"/>
        </w:rPr>
        <w:t>асфалтних</w:t>
      </w:r>
      <w:r>
        <w:rPr>
          <w:color w:val="231F20"/>
          <w:spacing w:val="-10"/>
        </w:rPr>
        <w:t> </w:t>
      </w:r>
      <w:r>
        <w:rPr>
          <w:color w:val="231F20"/>
        </w:rPr>
        <w:t>база;</w:t>
      </w:r>
      <w:r>
        <w:rPr>
          <w:color w:val="231F20"/>
          <w:spacing w:val="-10"/>
        </w:rPr>
        <w:t> </w:t>
      </w:r>
      <w:r>
        <w:rPr>
          <w:color w:val="231F20"/>
        </w:rPr>
        <w:t>3)</w:t>
      </w:r>
      <w:r>
        <w:rPr>
          <w:color w:val="231F20"/>
          <w:spacing w:val="-10"/>
        </w:rPr>
        <w:t> </w:t>
      </w:r>
      <w:r>
        <w:rPr>
          <w:color w:val="231F20"/>
        </w:rPr>
        <w:t>произвођач, односно</w:t>
      </w:r>
      <w:r>
        <w:rPr>
          <w:color w:val="231F20"/>
          <w:spacing w:val="-7"/>
        </w:rPr>
        <w:t> </w:t>
      </w:r>
      <w:r>
        <w:rPr>
          <w:color w:val="231F20"/>
          <w:spacing w:val="-3"/>
        </w:rPr>
        <w:t>одлагач</w:t>
      </w:r>
      <w:r>
        <w:rPr>
          <w:color w:val="231F20"/>
          <w:spacing w:val="-7"/>
        </w:rPr>
        <w:t> </w:t>
      </w:r>
      <w:r>
        <w:rPr>
          <w:color w:val="231F20"/>
        </w:rPr>
        <w:t>неопасног</w:t>
      </w:r>
      <w:r>
        <w:rPr>
          <w:color w:val="231F20"/>
          <w:spacing w:val="-7"/>
        </w:rPr>
        <w:t> </w:t>
      </w:r>
      <w:r>
        <w:rPr>
          <w:color w:val="231F20"/>
        </w:rPr>
        <w:t>индустријског</w:t>
      </w:r>
      <w:r>
        <w:rPr>
          <w:color w:val="231F20"/>
          <w:spacing w:val="-7"/>
        </w:rPr>
        <w:t> </w:t>
      </w:r>
      <w:r>
        <w:rPr>
          <w:color w:val="231F20"/>
        </w:rPr>
        <w:t>отпада</w:t>
      </w:r>
      <w:r>
        <w:rPr>
          <w:color w:val="231F20"/>
          <w:spacing w:val="-7"/>
        </w:rPr>
        <w:t> </w:t>
      </w:r>
      <w:r>
        <w:rPr>
          <w:color w:val="231F20"/>
        </w:rPr>
        <w:t>и</w:t>
      </w:r>
      <w:r>
        <w:rPr>
          <w:color w:val="231F20"/>
          <w:spacing w:val="-7"/>
        </w:rPr>
        <w:t> </w:t>
      </w:r>
      <w:r>
        <w:rPr>
          <w:color w:val="231F20"/>
        </w:rPr>
        <w:t>опасног</w:t>
      </w:r>
      <w:r>
        <w:rPr>
          <w:color w:val="231F20"/>
          <w:spacing w:val="-7"/>
        </w:rPr>
        <w:t> </w:t>
      </w:r>
      <w:r>
        <w:rPr>
          <w:color w:val="231F20"/>
        </w:rPr>
        <w:t>отпада за постројења за </w:t>
      </w:r>
      <w:r>
        <w:rPr>
          <w:color w:val="231F20"/>
          <w:spacing w:val="-4"/>
        </w:rPr>
        <w:t>која </w:t>
      </w:r>
      <w:r>
        <w:rPr>
          <w:color w:val="231F20"/>
        </w:rPr>
        <w:t>се издаје интегрисана дозвола,</w:t>
      </w:r>
      <w:r>
        <w:rPr>
          <w:color w:val="231F20"/>
          <w:spacing w:val="-23"/>
        </w:rPr>
        <w:t> </w:t>
      </w:r>
      <w:r>
        <w:rPr>
          <w:color w:val="231F20"/>
        </w:rPr>
        <w:t>итд.</w:t>
      </w:r>
    </w:p>
    <w:p>
      <w:pPr>
        <w:pStyle w:val="BodyText"/>
        <w:spacing w:line="232" w:lineRule="auto"/>
        <w:ind w:right="40" w:firstLine="397"/>
      </w:pPr>
      <w:r>
        <w:rPr>
          <w:color w:val="231F20"/>
        </w:rPr>
        <w:t>У условима одсуства јавног интереса за производњу енерги- је и постојања јавног интереса за производњу угља, потребно је утврдити и прецизирати начин решавања оперативних проблема у процесу експропријације, односно решавања имовинско-прав- них питања у вези са обезбеђењем дела потребних површина (на пример обезбеђење земљишта за пресељење насеља, однос са</w:t>
      </w:r>
      <w:r>
        <w:rPr>
          <w:color w:val="231F20"/>
          <w:spacing w:val="20"/>
        </w:rPr>
        <w:t> </w:t>
      </w:r>
      <w:r>
        <w:rPr>
          <w:color w:val="231F20"/>
        </w:rPr>
        <w:t>ПП</w:t>
      </w:r>
    </w:p>
    <w:p>
      <w:pPr>
        <w:pStyle w:val="BodyText"/>
        <w:spacing w:line="232" w:lineRule="auto"/>
        <w:ind w:right="41"/>
      </w:pPr>
      <w:r>
        <w:rPr>
          <w:color w:val="231F20"/>
        </w:rPr>
        <w:t>„Храстовача”, питање својине ТЕ-КО „Костолац” над 600 hа шу- ма, разграничења у зони водног земљишта, итд.).</w:t>
      </w:r>
    </w:p>
    <w:p>
      <w:pPr>
        <w:pStyle w:val="BodyText"/>
        <w:spacing w:line="232" w:lineRule="auto"/>
        <w:ind w:right="39" w:firstLine="396"/>
      </w:pPr>
      <w:r>
        <w:rPr>
          <w:color w:val="231F20"/>
        </w:rPr>
        <w:t>У регулисању међусобних обавеза </w:t>
      </w:r>
      <w:r>
        <w:rPr>
          <w:color w:val="231F20"/>
          <w:spacing w:val="-3"/>
        </w:rPr>
        <w:t>рударско-енергетског </w:t>
      </w:r>
      <w:r>
        <w:rPr>
          <w:color w:val="231F20"/>
          <w:spacing w:val="-5"/>
        </w:rPr>
        <w:t>ком- </w:t>
      </w:r>
      <w:r>
        <w:rPr>
          <w:color w:val="231F20"/>
        </w:rPr>
        <w:t>плекса и </w:t>
      </w:r>
      <w:r>
        <w:rPr>
          <w:color w:val="231F20"/>
          <w:spacing w:val="-3"/>
        </w:rPr>
        <w:t>археолошког </w:t>
      </w:r>
      <w:r>
        <w:rPr>
          <w:color w:val="231F20"/>
        </w:rPr>
        <w:t>налазишта Виминацијум потребно је прона- ћи </w:t>
      </w:r>
      <w:r>
        <w:rPr>
          <w:color w:val="231F20"/>
          <w:spacing w:val="-3"/>
        </w:rPr>
        <w:t>одговарајућа </w:t>
      </w:r>
      <w:r>
        <w:rPr>
          <w:color w:val="231F20"/>
        </w:rPr>
        <w:t>прихватљива решења у складу са </w:t>
      </w:r>
      <w:r>
        <w:rPr>
          <w:color w:val="231F20"/>
          <w:spacing w:val="-3"/>
        </w:rPr>
        <w:t>законом. </w:t>
      </w:r>
      <w:r>
        <w:rPr>
          <w:color w:val="231F20"/>
        </w:rPr>
        <w:t>Према члану </w:t>
      </w:r>
      <w:r>
        <w:rPr>
          <w:color w:val="231F20"/>
          <w:spacing w:val="-3"/>
        </w:rPr>
        <w:t>11. Закона </w:t>
      </w:r>
      <w:r>
        <w:rPr>
          <w:color w:val="231F20"/>
        </w:rPr>
        <w:t>о </w:t>
      </w:r>
      <w:r>
        <w:rPr>
          <w:color w:val="231F20"/>
          <w:spacing w:val="-4"/>
        </w:rPr>
        <w:t>рударству </w:t>
      </w:r>
      <w:r>
        <w:rPr>
          <w:color w:val="231F20"/>
        </w:rPr>
        <w:t>на подручју </w:t>
      </w:r>
      <w:r>
        <w:rPr>
          <w:color w:val="231F20"/>
          <w:spacing w:val="-4"/>
        </w:rPr>
        <w:t>које </w:t>
      </w:r>
      <w:r>
        <w:rPr>
          <w:color w:val="231F20"/>
        </w:rPr>
        <w:t>представља зашти- ћени простор природе, целину </w:t>
      </w:r>
      <w:r>
        <w:rPr>
          <w:color w:val="231F20"/>
          <w:spacing w:val="-4"/>
        </w:rPr>
        <w:t>од </w:t>
      </w:r>
      <w:r>
        <w:rPr>
          <w:color w:val="231F20"/>
          <w:spacing w:val="-3"/>
        </w:rPr>
        <w:t>културно-историјског </w:t>
      </w:r>
      <w:r>
        <w:rPr>
          <w:color w:val="231F20"/>
        </w:rPr>
        <w:t>и гради- </w:t>
      </w:r>
      <w:r>
        <w:rPr>
          <w:color w:val="231F20"/>
          <w:spacing w:val="-3"/>
        </w:rPr>
        <w:t>тељског </w:t>
      </w:r>
      <w:r>
        <w:rPr>
          <w:color w:val="231F20"/>
        </w:rPr>
        <w:t>значаја, </w:t>
      </w:r>
      <w:r>
        <w:rPr>
          <w:color w:val="231F20"/>
          <w:spacing w:val="-3"/>
        </w:rPr>
        <w:t>туристичко </w:t>
      </w:r>
      <w:r>
        <w:rPr>
          <w:color w:val="231F20"/>
        </w:rPr>
        <w:t>рекреативну </w:t>
      </w:r>
      <w:r>
        <w:rPr>
          <w:color w:val="231F20"/>
          <w:spacing w:val="-4"/>
        </w:rPr>
        <w:t>целину, </w:t>
      </w:r>
      <w:r>
        <w:rPr>
          <w:color w:val="231F20"/>
        </w:rPr>
        <w:t>извориште </w:t>
      </w:r>
      <w:r>
        <w:rPr>
          <w:color w:val="231F20"/>
          <w:spacing w:val="-4"/>
        </w:rPr>
        <w:t>од </w:t>
      </w:r>
      <w:r>
        <w:rPr>
          <w:color w:val="231F20"/>
        </w:rPr>
        <w:t>по- себног</w:t>
      </w:r>
      <w:r>
        <w:rPr>
          <w:color w:val="231F20"/>
          <w:spacing w:val="-10"/>
        </w:rPr>
        <w:t> </w:t>
      </w:r>
      <w:r>
        <w:rPr>
          <w:color w:val="231F20"/>
        </w:rPr>
        <w:t>значаја</w:t>
      </w:r>
      <w:r>
        <w:rPr>
          <w:color w:val="231F20"/>
          <w:spacing w:val="-9"/>
        </w:rPr>
        <w:t> </w:t>
      </w:r>
      <w:r>
        <w:rPr>
          <w:color w:val="231F20"/>
        </w:rPr>
        <w:t>за</w:t>
      </w:r>
      <w:r>
        <w:rPr>
          <w:color w:val="231F20"/>
          <w:spacing w:val="-9"/>
        </w:rPr>
        <w:t> </w:t>
      </w:r>
      <w:r>
        <w:rPr>
          <w:color w:val="231F20"/>
        </w:rPr>
        <w:t>регионално</w:t>
      </w:r>
      <w:r>
        <w:rPr>
          <w:color w:val="231F20"/>
          <w:spacing w:val="-9"/>
        </w:rPr>
        <w:t> </w:t>
      </w:r>
      <w:r>
        <w:rPr>
          <w:color w:val="231F20"/>
        </w:rPr>
        <w:t>снабдевање</w:t>
      </w:r>
      <w:r>
        <w:rPr>
          <w:color w:val="231F20"/>
          <w:spacing w:val="-9"/>
        </w:rPr>
        <w:t> </w:t>
      </w:r>
      <w:r>
        <w:rPr>
          <w:color w:val="231F20"/>
          <w:spacing w:val="-4"/>
        </w:rPr>
        <w:t>водом</w:t>
      </w:r>
      <w:r>
        <w:rPr>
          <w:color w:val="231F20"/>
          <w:spacing w:val="-9"/>
        </w:rPr>
        <w:t> </w:t>
      </w:r>
      <w:r>
        <w:rPr>
          <w:color w:val="231F20"/>
        </w:rPr>
        <w:t>и</w:t>
      </w:r>
      <w:r>
        <w:rPr>
          <w:color w:val="231F20"/>
          <w:spacing w:val="-10"/>
        </w:rPr>
        <w:t> </w:t>
      </w:r>
      <w:r>
        <w:rPr>
          <w:color w:val="231F20"/>
        </w:rPr>
        <w:t>други</w:t>
      </w:r>
      <w:r>
        <w:rPr>
          <w:color w:val="231F20"/>
          <w:spacing w:val="-10"/>
        </w:rPr>
        <w:t> </w:t>
      </w:r>
      <w:r>
        <w:rPr>
          <w:color w:val="231F20"/>
        </w:rPr>
        <w:t>заштићени простор, експлоатација минералних сировина </w:t>
      </w:r>
      <w:r>
        <w:rPr>
          <w:color w:val="231F20"/>
          <w:spacing w:val="-3"/>
        </w:rPr>
        <w:t>може </w:t>
      </w:r>
      <w:r>
        <w:rPr>
          <w:color w:val="231F20"/>
        </w:rPr>
        <w:t>се одобрити када је то у општем </w:t>
      </w:r>
      <w:r>
        <w:rPr>
          <w:color w:val="231F20"/>
          <w:spacing w:val="-3"/>
        </w:rPr>
        <w:t>интересу, </w:t>
      </w:r>
      <w:r>
        <w:rPr>
          <w:color w:val="231F20"/>
        </w:rPr>
        <w:t>уз </w:t>
      </w:r>
      <w:r>
        <w:rPr>
          <w:color w:val="231F20"/>
          <w:spacing w:val="-3"/>
        </w:rPr>
        <w:t>претходну </w:t>
      </w:r>
      <w:r>
        <w:rPr>
          <w:color w:val="231F20"/>
        </w:rPr>
        <w:t>сагласност органа над- лежног за издавање услова за уређење простора. Према члану 7. Правилника</w:t>
      </w:r>
      <w:r>
        <w:rPr>
          <w:color w:val="231F20"/>
          <w:spacing w:val="-13"/>
        </w:rPr>
        <w:t> </w:t>
      </w:r>
      <w:r>
        <w:rPr>
          <w:color w:val="231F20"/>
        </w:rPr>
        <w:t>о</w:t>
      </w:r>
      <w:r>
        <w:rPr>
          <w:color w:val="231F20"/>
          <w:spacing w:val="-13"/>
        </w:rPr>
        <w:t> </w:t>
      </w:r>
      <w:r>
        <w:rPr>
          <w:color w:val="231F20"/>
        </w:rPr>
        <w:t>критеријумима</w:t>
      </w:r>
      <w:r>
        <w:rPr>
          <w:color w:val="231F20"/>
          <w:spacing w:val="-13"/>
        </w:rPr>
        <w:t> </w:t>
      </w:r>
      <w:r>
        <w:rPr>
          <w:color w:val="231F20"/>
        </w:rPr>
        <w:t>за</w:t>
      </w:r>
      <w:r>
        <w:rPr>
          <w:color w:val="231F20"/>
          <w:spacing w:val="-13"/>
        </w:rPr>
        <w:t> </w:t>
      </w:r>
      <w:r>
        <w:rPr>
          <w:color w:val="231F20"/>
        </w:rPr>
        <w:t>одређивање</w:t>
      </w:r>
      <w:r>
        <w:rPr>
          <w:color w:val="231F20"/>
          <w:spacing w:val="-13"/>
        </w:rPr>
        <w:t> </w:t>
      </w:r>
      <w:r>
        <w:rPr>
          <w:color w:val="231F20"/>
        </w:rPr>
        <w:t>накнаде</w:t>
      </w:r>
      <w:r>
        <w:rPr>
          <w:color w:val="231F20"/>
          <w:spacing w:val="-13"/>
        </w:rPr>
        <w:t> </w:t>
      </w:r>
      <w:r>
        <w:rPr>
          <w:color w:val="231F20"/>
        </w:rPr>
        <w:t>у</w:t>
      </w:r>
      <w:r>
        <w:rPr>
          <w:color w:val="231F20"/>
          <w:spacing w:val="-13"/>
        </w:rPr>
        <w:t> </w:t>
      </w:r>
      <w:r>
        <w:rPr>
          <w:color w:val="231F20"/>
        </w:rPr>
        <w:t>поступцима легализације, критеријумима за објекте за </w:t>
      </w:r>
      <w:r>
        <w:rPr>
          <w:color w:val="231F20"/>
          <w:spacing w:val="-4"/>
        </w:rPr>
        <w:t>које </w:t>
      </w:r>
      <w:r>
        <w:rPr>
          <w:color w:val="231F20"/>
        </w:rPr>
        <w:t>се не </w:t>
      </w:r>
      <w:r>
        <w:rPr>
          <w:color w:val="231F20"/>
          <w:spacing w:val="-3"/>
        </w:rPr>
        <w:t>може </w:t>
      </w:r>
      <w:r>
        <w:rPr>
          <w:color w:val="231F20"/>
        </w:rPr>
        <w:t>накнад- но </w:t>
      </w:r>
      <w:r>
        <w:rPr>
          <w:color w:val="231F20"/>
          <w:spacing w:val="-3"/>
        </w:rPr>
        <w:t>издати </w:t>
      </w:r>
      <w:r>
        <w:rPr>
          <w:color w:val="231F20"/>
        </w:rPr>
        <w:t>грађевинска дозвола, као и о садржини техничке доку- ментације</w:t>
      </w:r>
      <w:r>
        <w:rPr>
          <w:color w:val="231F20"/>
          <w:spacing w:val="-8"/>
        </w:rPr>
        <w:t> </w:t>
      </w:r>
      <w:r>
        <w:rPr>
          <w:color w:val="231F20"/>
        </w:rPr>
        <w:t>и</w:t>
      </w:r>
      <w:r>
        <w:rPr>
          <w:color w:val="231F20"/>
          <w:spacing w:val="-8"/>
        </w:rPr>
        <w:t> </w:t>
      </w:r>
      <w:r>
        <w:rPr>
          <w:color w:val="231F20"/>
        </w:rPr>
        <w:t>садржини</w:t>
      </w:r>
      <w:r>
        <w:rPr>
          <w:color w:val="231F20"/>
          <w:spacing w:val="-8"/>
        </w:rPr>
        <w:t> </w:t>
      </w:r>
      <w:r>
        <w:rPr>
          <w:color w:val="231F20"/>
        </w:rPr>
        <w:t>и</w:t>
      </w:r>
      <w:r>
        <w:rPr>
          <w:color w:val="231F20"/>
          <w:spacing w:val="-8"/>
        </w:rPr>
        <w:t> </w:t>
      </w:r>
      <w:r>
        <w:rPr>
          <w:color w:val="231F20"/>
          <w:spacing w:val="-3"/>
        </w:rPr>
        <w:t>начину</w:t>
      </w:r>
      <w:r>
        <w:rPr>
          <w:color w:val="231F20"/>
          <w:spacing w:val="-8"/>
        </w:rPr>
        <w:t> </w:t>
      </w:r>
      <w:r>
        <w:rPr>
          <w:color w:val="231F20"/>
        </w:rPr>
        <w:t>издавања</w:t>
      </w:r>
      <w:r>
        <w:rPr>
          <w:color w:val="231F20"/>
          <w:spacing w:val="-8"/>
        </w:rPr>
        <w:t> </w:t>
      </w:r>
      <w:r>
        <w:rPr>
          <w:color w:val="231F20"/>
        </w:rPr>
        <w:t>грађевинске</w:t>
      </w:r>
      <w:r>
        <w:rPr>
          <w:color w:val="231F20"/>
          <w:spacing w:val="-8"/>
        </w:rPr>
        <w:t> </w:t>
      </w:r>
      <w:r>
        <w:rPr>
          <w:color w:val="231F20"/>
        </w:rPr>
        <w:t>и</w:t>
      </w:r>
      <w:r>
        <w:rPr>
          <w:color w:val="231F20"/>
          <w:spacing w:val="-8"/>
        </w:rPr>
        <w:t> </w:t>
      </w:r>
      <w:r>
        <w:rPr>
          <w:color w:val="231F20"/>
        </w:rPr>
        <w:t>употребне дозволе за објекте </w:t>
      </w:r>
      <w:r>
        <w:rPr>
          <w:color w:val="231F20"/>
          <w:spacing w:val="-4"/>
        </w:rPr>
        <w:t>који </w:t>
      </w:r>
      <w:r>
        <w:rPr>
          <w:color w:val="231F20"/>
        </w:rPr>
        <w:t>су предмет легализације, („Службени </w:t>
      </w:r>
      <w:r>
        <w:rPr>
          <w:color w:val="231F20"/>
          <w:spacing w:val="-4"/>
        </w:rPr>
        <w:t>гла- </w:t>
      </w:r>
      <w:r>
        <w:rPr>
          <w:color w:val="231F20"/>
        </w:rPr>
        <w:t>сник РС”, бр. 89/09 и 5/10) објекти изграђени, односно </w:t>
      </w:r>
      <w:r>
        <w:rPr>
          <w:color w:val="231F20"/>
          <w:spacing w:val="-3"/>
        </w:rPr>
        <w:t>реконстру- </w:t>
      </w:r>
      <w:r>
        <w:rPr>
          <w:color w:val="231F20"/>
        </w:rPr>
        <w:t>исани или дограђени без грађевинске дозволе не могу бити пред- мет легализације </w:t>
      </w:r>
      <w:r>
        <w:rPr>
          <w:color w:val="231F20"/>
          <w:spacing w:val="-4"/>
        </w:rPr>
        <w:t>ако </w:t>
      </w:r>
      <w:r>
        <w:rPr>
          <w:color w:val="231F20"/>
        </w:rPr>
        <w:t>су изграђени, односно реконструисани или дограђени</w:t>
      </w:r>
      <w:r>
        <w:rPr>
          <w:color w:val="231F20"/>
          <w:spacing w:val="-9"/>
        </w:rPr>
        <w:t> </w:t>
      </w:r>
      <w:r>
        <w:rPr>
          <w:color w:val="231F20"/>
        </w:rPr>
        <w:t>у</w:t>
      </w:r>
      <w:r>
        <w:rPr>
          <w:color w:val="231F20"/>
          <w:spacing w:val="-9"/>
        </w:rPr>
        <w:t> </w:t>
      </w:r>
      <w:r>
        <w:rPr>
          <w:color w:val="231F20"/>
        </w:rPr>
        <w:t>I,</w:t>
      </w:r>
      <w:r>
        <w:rPr>
          <w:color w:val="231F20"/>
          <w:spacing w:val="-9"/>
        </w:rPr>
        <w:t> </w:t>
      </w:r>
      <w:r>
        <w:rPr>
          <w:color w:val="231F20"/>
        </w:rPr>
        <w:t>II</w:t>
      </w:r>
      <w:r>
        <w:rPr>
          <w:color w:val="231F20"/>
          <w:spacing w:val="-9"/>
        </w:rPr>
        <w:t> </w:t>
      </w:r>
      <w:r>
        <w:rPr>
          <w:color w:val="231F20"/>
        </w:rPr>
        <w:t>или</w:t>
      </w:r>
      <w:r>
        <w:rPr>
          <w:color w:val="231F20"/>
          <w:spacing w:val="-9"/>
        </w:rPr>
        <w:t> </w:t>
      </w:r>
      <w:r>
        <w:rPr>
          <w:color w:val="231F20"/>
        </w:rPr>
        <w:t>III</w:t>
      </w:r>
      <w:r>
        <w:rPr>
          <w:color w:val="231F20"/>
          <w:spacing w:val="-9"/>
        </w:rPr>
        <w:t> </w:t>
      </w:r>
      <w:r>
        <w:rPr>
          <w:color w:val="231F20"/>
        </w:rPr>
        <w:t>степену</w:t>
      </w:r>
      <w:r>
        <w:rPr>
          <w:color w:val="231F20"/>
          <w:spacing w:val="-9"/>
        </w:rPr>
        <w:t> </w:t>
      </w:r>
      <w:r>
        <w:rPr>
          <w:color w:val="231F20"/>
        </w:rPr>
        <w:t>заштите</w:t>
      </w:r>
      <w:r>
        <w:rPr>
          <w:color w:val="231F20"/>
          <w:spacing w:val="-9"/>
        </w:rPr>
        <w:t> </w:t>
      </w:r>
      <w:r>
        <w:rPr>
          <w:color w:val="231F20"/>
        </w:rPr>
        <w:t>природног</w:t>
      </w:r>
      <w:r>
        <w:rPr>
          <w:color w:val="231F20"/>
          <w:spacing w:val="-9"/>
        </w:rPr>
        <w:t> </w:t>
      </w:r>
      <w:r>
        <w:rPr>
          <w:color w:val="231F20"/>
        </w:rPr>
        <w:t>добра,</w:t>
      </w:r>
      <w:r>
        <w:rPr>
          <w:color w:val="231F20"/>
          <w:spacing w:val="-9"/>
        </w:rPr>
        <w:t> </w:t>
      </w:r>
      <w:r>
        <w:rPr>
          <w:color w:val="231F20"/>
        </w:rPr>
        <w:t>односно у првој зони заштите </w:t>
      </w:r>
      <w:r>
        <w:rPr>
          <w:color w:val="231F20"/>
          <w:spacing w:val="-3"/>
        </w:rPr>
        <w:t>културног </w:t>
      </w:r>
      <w:r>
        <w:rPr>
          <w:color w:val="231F20"/>
        </w:rPr>
        <w:t>добра, у складу са </w:t>
      </w:r>
      <w:r>
        <w:rPr>
          <w:color w:val="231F20"/>
          <w:spacing w:val="-3"/>
        </w:rPr>
        <w:t>законом. </w:t>
      </w:r>
      <w:r>
        <w:rPr>
          <w:color w:val="231F20"/>
          <w:spacing w:val="-4"/>
        </w:rPr>
        <w:t>Тако- </w:t>
      </w:r>
      <w:r>
        <w:rPr>
          <w:color w:val="231F20"/>
        </w:rPr>
        <w:t>ђе, објекти изграђени, односно реконструисани или дограђени без грађевинске дозволе у зони заштите </w:t>
      </w:r>
      <w:r>
        <w:rPr>
          <w:color w:val="231F20"/>
          <w:spacing w:val="-3"/>
        </w:rPr>
        <w:t>културног </w:t>
      </w:r>
      <w:r>
        <w:rPr>
          <w:color w:val="231F20"/>
        </w:rPr>
        <w:t>добра </w:t>
      </w:r>
      <w:r>
        <w:rPr>
          <w:color w:val="231F20"/>
          <w:spacing w:val="-4"/>
        </w:rPr>
        <w:t>од </w:t>
      </w:r>
      <w:r>
        <w:rPr>
          <w:color w:val="231F20"/>
        </w:rPr>
        <w:t>изузетног значаја</w:t>
      </w:r>
      <w:r>
        <w:rPr>
          <w:color w:val="231F20"/>
          <w:spacing w:val="-11"/>
        </w:rPr>
        <w:t> </w:t>
      </w:r>
      <w:r>
        <w:rPr>
          <w:color w:val="231F20"/>
        </w:rPr>
        <w:t>и</w:t>
      </w:r>
      <w:r>
        <w:rPr>
          <w:color w:val="231F20"/>
          <w:spacing w:val="-11"/>
        </w:rPr>
        <w:t> </w:t>
      </w:r>
      <w:r>
        <w:rPr>
          <w:color w:val="231F20"/>
        </w:rPr>
        <w:t>зони</w:t>
      </w:r>
      <w:r>
        <w:rPr>
          <w:color w:val="231F20"/>
          <w:spacing w:val="-11"/>
        </w:rPr>
        <w:t> </w:t>
      </w:r>
      <w:r>
        <w:rPr>
          <w:color w:val="231F20"/>
        </w:rPr>
        <w:t>заштите</w:t>
      </w:r>
      <w:r>
        <w:rPr>
          <w:color w:val="231F20"/>
          <w:spacing w:val="-11"/>
        </w:rPr>
        <w:t> </w:t>
      </w:r>
      <w:r>
        <w:rPr>
          <w:color w:val="231F20"/>
          <w:spacing w:val="-3"/>
        </w:rPr>
        <w:t>културних</w:t>
      </w:r>
      <w:r>
        <w:rPr>
          <w:color w:val="231F20"/>
          <w:spacing w:val="-11"/>
        </w:rPr>
        <w:t> </w:t>
      </w:r>
      <w:r>
        <w:rPr>
          <w:color w:val="231F20"/>
        </w:rPr>
        <w:t>добара</w:t>
      </w:r>
      <w:r>
        <w:rPr>
          <w:color w:val="231F20"/>
          <w:spacing w:val="-11"/>
        </w:rPr>
        <w:t> </w:t>
      </w:r>
      <w:r>
        <w:rPr>
          <w:color w:val="231F20"/>
        </w:rPr>
        <w:t>уписаних</w:t>
      </w:r>
      <w:r>
        <w:rPr>
          <w:color w:val="231F20"/>
          <w:spacing w:val="-11"/>
        </w:rPr>
        <w:t> </w:t>
      </w:r>
      <w:r>
        <w:rPr>
          <w:color w:val="231F20"/>
        </w:rPr>
        <w:t>у</w:t>
      </w:r>
      <w:r>
        <w:rPr>
          <w:color w:val="231F20"/>
          <w:spacing w:val="-11"/>
        </w:rPr>
        <w:t> </w:t>
      </w:r>
      <w:r>
        <w:rPr>
          <w:color w:val="231F20"/>
        </w:rPr>
        <w:t>Листу</w:t>
      </w:r>
      <w:r>
        <w:rPr>
          <w:color w:val="231F20"/>
          <w:spacing w:val="-11"/>
        </w:rPr>
        <w:t> </w:t>
      </w:r>
      <w:r>
        <w:rPr>
          <w:color w:val="231F20"/>
        </w:rPr>
        <w:t>светске </w:t>
      </w:r>
      <w:r>
        <w:rPr>
          <w:color w:val="231F20"/>
          <w:spacing w:val="-3"/>
        </w:rPr>
        <w:t>културне </w:t>
      </w:r>
      <w:r>
        <w:rPr>
          <w:color w:val="231F20"/>
        </w:rPr>
        <w:t>и природне баштине не могу бити предмет легализације, </w:t>
      </w:r>
      <w:r>
        <w:rPr>
          <w:color w:val="231F20"/>
          <w:spacing w:val="-4"/>
        </w:rPr>
        <w:t>ако </w:t>
      </w:r>
      <w:r>
        <w:rPr>
          <w:color w:val="231F20"/>
        </w:rPr>
        <w:t>надлежни орган, односно организација </w:t>
      </w:r>
      <w:r>
        <w:rPr>
          <w:color w:val="231F20"/>
          <w:spacing w:val="-4"/>
        </w:rPr>
        <w:t>која </w:t>
      </w:r>
      <w:r>
        <w:rPr>
          <w:color w:val="231F20"/>
        </w:rPr>
        <w:t>се бави послови- ма заштите </w:t>
      </w:r>
      <w:r>
        <w:rPr>
          <w:color w:val="231F20"/>
          <w:spacing w:val="-3"/>
        </w:rPr>
        <w:t>културних </w:t>
      </w:r>
      <w:r>
        <w:rPr>
          <w:color w:val="231F20"/>
        </w:rPr>
        <w:t>добара, по </w:t>
      </w:r>
      <w:r>
        <w:rPr>
          <w:color w:val="231F20"/>
          <w:spacing w:val="-3"/>
        </w:rPr>
        <w:t>захтеву </w:t>
      </w:r>
      <w:r>
        <w:rPr>
          <w:color w:val="231F20"/>
        </w:rPr>
        <w:t>органа надлежног за по- слове легализације, не утврди могућност легализације</w:t>
      </w:r>
      <w:r>
        <w:rPr>
          <w:color w:val="231F20"/>
          <w:spacing w:val="-14"/>
        </w:rPr>
        <w:t> </w:t>
      </w:r>
      <w:r>
        <w:rPr>
          <w:color w:val="231F20"/>
        </w:rPr>
        <w:t>предметног објекта са аспекта заштите </w:t>
      </w:r>
      <w:r>
        <w:rPr>
          <w:color w:val="231F20"/>
          <w:spacing w:val="-3"/>
        </w:rPr>
        <w:t>културног</w:t>
      </w:r>
      <w:r>
        <w:rPr>
          <w:color w:val="231F20"/>
          <w:spacing w:val="-13"/>
        </w:rPr>
        <w:t> </w:t>
      </w:r>
      <w:r>
        <w:rPr>
          <w:color w:val="231F20"/>
        </w:rPr>
        <w:t>добра.</w:t>
      </w:r>
    </w:p>
    <w:p>
      <w:pPr>
        <w:pStyle w:val="BodyText"/>
        <w:spacing w:line="232" w:lineRule="auto"/>
        <w:ind w:left="173" w:right="38" w:firstLine="396"/>
      </w:pPr>
      <w:r>
        <w:rPr>
          <w:color w:val="231F20"/>
        </w:rPr>
        <w:t>Од 2013. </w:t>
      </w:r>
      <w:r>
        <w:rPr>
          <w:color w:val="231F20"/>
          <w:spacing w:val="-3"/>
        </w:rPr>
        <w:t>године </w:t>
      </w:r>
      <w:r>
        <w:rPr>
          <w:color w:val="231F20"/>
        </w:rPr>
        <w:t>у </w:t>
      </w:r>
      <w:r>
        <w:rPr>
          <w:color w:val="231F20"/>
          <w:spacing w:val="-3"/>
        </w:rPr>
        <w:t>рударству </w:t>
      </w:r>
      <w:r>
        <w:rPr>
          <w:color w:val="231F20"/>
        </w:rPr>
        <w:t>ЕУ биће у примени 10 принципа одрживог развоја и нови индикатори одрживог развоја </w:t>
      </w:r>
      <w:r>
        <w:rPr>
          <w:color w:val="231F20"/>
          <w:spacing w:val="-3"/>
        </w:rPr>
        <w:t>рударства </w:t>
      </w:r>
      <w:r>
        <w:rPr>
          <w:color w:val="231F20"/>
        </w:rPr>
        <w:t>препоручени </w:t>
      </w:r>
      <w:r>
        <w:rPr>
          <w:color w:val="231F20"/>
          <w:spacing w:val="-3"/>
        </w:rPr>
        <w:t>од </w:t>
      </w:r>
      <w:r>
        <w:rPr>
          <w:color w:val="231F20"/>
        </w:rPr>
        <w:t>ICMM (International Council on Minning and Me- tals), што би требало примењивати и на </w:t>
      </w:r>
      <w:r>
        <w:rPr>
          <w:color w:val="231F20"/>
          <w:spacing w:val="-3"/>
        </w:rPr>
        <w:t>Планском</w:t>
      </w:r>
      <w:r>
        <w:rPr>
          <w:color w:val="231F20"/>
          <w:spacing w:val="-4"/>
        </w:rPr>
        <w:t> подручју.</w:t>
      </w:r>
    </w:p>
    <w:p>
      <w:pPr>
        <w:pStyle w:val="ListParagraph"/>
        <w:numPr>
          <w:ilvl w:val="1"/>
          <w:numId w:val="49"/>
        </w:numPr>
        <w:tabs>
          <w:tab w:pos="1102" w:val="left" w:leader="none"/>
        </w:tabs>
        <w:spacing w:line="240" w:lineRule="auto" w:before="161" w:after="0"/>
        <w:ind w:left="1101" w:right="0" w:hanging="315"/>
        <w:jc w:val="left"/>
        <w:rPr>
          <w:i/>
          <w:sz w:val="18"/>
        </w:rPr>
      </w:pPr>
      <w:r>
        <w:rPr>
          <w:i/>
          <w:color w:val="231F20"/>
          <w:sz w:val="18"/>
        </w:rPr>
        <w:t>Ризици и опасности у ванредним</w:t>
      </w:r>
      <w:r>
        <w:rPr>
          <w:i/>
          <w:color w:val="231F20"/>
          <w:spacing w:val="-6"/>
          <w:sz w:val="18"/>
        </w:rPr>
        <w:t> </w:t>
      </w:r>
      <w:r>
        <w:rPr>
          <w:i/>
          <w:color w:val="231F20"/>
          <w:sz w:val="18"/>
        </w:rPr>
        <w:t>ситуацијама</w:t>
      </w:r>
    </w:p>
    <w:p>
      <w:pPr>
        <w:pStyle w:val="BodyText"/>
        <w:spacing w:before="4"/>
        <w:ind w:left="0"/>
        <w:jc w:val="left"/>
        <w:rPr>
          <w:i/>
          <w:sz w:val="17"/>
        </w:rPr>
      </w:pPr>
    </w:p>
    <w:p>
      <w:pPr>
        <w:pStyle w:val="BodyText"/>
        <w:spacing w:line="232" w:lineRule="auto"/>
        <w:ind w:left="173" w:right="38" w:firstLine="397"/>
      </w:pPr>
      <w:r>
        <w:rPr>
          <w:color w:val="231F20"/>
        </w:rPr>
        <w:t>Природне, </w:t>
      </w:r>
      <w:r>
        <w:rPr>
          <w:color w:val="231F20"/>
          <w:spacing w:val="-3"/>
        </w:rPr>
        <w:t>еколошке, </w:t>
      </w:r>
      <w:r>
        <w:rPr>
          <w:color w:val="231F20"/>
        </w:rPr>
        <w:t>техничке и технолошке катастрофе и инциденти чији је узрок човек и епидемије хуманих или заразних болести могу створити изазове, ризике или претње по безбедност </w:t>
      </w:r>
      <w:r>
        <w:rPr>
          <w:color w:val="231F20"/>
          <w:spacing w:val="-4"/>
        </w:rPr>
        <w:t>људи </w:t>
      </w:r>
      <w:r>
        <w:rPr>
          <w:color w:val="231F20"/>
        </w:rPr>
        <w:t>и добара. Отклањање опасности и смањење њихових после- дица, укључујући просторно-планске мере, инструмент су безбед- носне политике, при чему се предност даје заштити </w:t>
      </w:r>
      <w:r>
        <w:rPr>
          <w:color w:val="231F20"/>
          <w:spacing w:val="-3"/>
        </w:rPr>
        <w:t>људи, </w:t>
      </w:r>
      <w:r>
        <w:rPr>
          <w:color w:val="231F20"/>
        </w:rPr>
        <w:t>критич- не инфраструктуре и виталних објеката. У вези са тим, приступ специфичној и комплексној проблематици заштите </w:t>
      </w:r>
      <w:r>
        <w:rPr>
          <w:color w:val="231F20"/>
          <w:spacing w:val="-3"/>
        </w:rPr>
        <w:t>од </w:t>
      </w:r>
      <w:r>
        <w:rPr>
          <w:color w:val="231F20"/>
        </w:rPr>
        <w:t>природних и изазваних катастрофа има полазиште у савременом концепту и пракси опште </w:t>
      </w:r>
      <w:r>
        <w:rPr>
          <w:color w:val="231F20"/>
          <w:spacing w:val="-3"/>
        </w:rPr>
        <w:t>људске </w:t>
      </w:r>
      <w:r>
        <w:rPr>
          <w:color w:val="231F20"/>
        </w:rPr>
        <w:t>безбедности.</w:t>
      </w:r>
    </w:p>
    <w:p>
      <w:pPr>
        <w:pStyle w:val="BodyText"/>
        <w:spacing w:line="232" w:lineRule="auto"/>
        <w:ind w:left="173" w:right="38" w:firstLine="397"/>
      </w:pPr>
      <w:r>
        <w:rPr>
          <w:color w:val="231F20"/>
        </w:rPr>
        <w:t>Питања везана за заштиту </w:t>
      </w:r>
      <w:r>
        <w:rPr>
          <w:color w:val="231F20"/>
          <w:spacing w:val="-3"/>
        </w:rPr>
        <w:t>од </w:t>
      </w:r>
      <w:r>
        <w:rPr>
          <w:color w:val="231F20"/>
        </w:rPr>
        <w:t>елементарних катастрофа и других облика угрожености могу се решавати само </w:t>
      </w:r>
      <w:r>
        <w:rPr>
          <w:color w:val="231F20"/>
          <w:spacing w:val="-4"/>
        </w:rPr>
        <w:t>ако </w:t>
      </w:r>
      <w:r>
        <w:rPr>
          <w:color w:val="231F20"/>
        </w:rPr>
        <w:t>се трети- рају на основу комплексних критеријума </w:t>
      </w:r>
      <w:r>
        <w:rPr>
          <w:color w:val="231F20"/>
          <w:spacing w:val="-4"/>
        </w:rPr>
        <w:t>техничког, </w:t>
      </w:r>
      <w:r>
        <w:rPr>
          <w:color w:val="231F20"/>
          <w:spacing w:val="-3"/>
        </w:rPr>
        <w:t>економског </w:t>
      </w:r>
      <w:r>
        <w:rPr>
          <w:color w:val="231F20"/>
        </w:rPr>
        <w:t>и функционалног</w:t>
      </w:r>
      <w:r>
        <w:rPr>
          <w:color w:val="231F20"/>
          <w:spacing w:val="-14"/>
        </w:rPr>
        <w:t> </w:t>
      </w:r>
      <w:r>
        <w:rPr>
          <w:color w:val="231F20"/>
        </w:rPr>
        <w:t>карактера.</w:t>
      </w:r>
      <w:r>
        <w:rPr>
          <w:color w:val="231F20"/>
          <w:spacing w:val="-14"/>
        </w:rPr>
        <w:t> </w:t>
      </w:r>
      <w:r>
        <w:rPr>
          <w:color w:val="231F20"/>
        </w:rPr>
        <w:t>Притом,</w:t>
      </w:r>
      <w:r>
        <w:rPr>
          <w:color w:val="231F20"/>
          <w:spacing w:val="-14"/>
        </w:rPr>
        <w:t> </w:t>
      </w:r>
      <w:r>
        <w:rPr>
          <w:color w:val="231F20"/>
        </w:rPr>
        <w:t>знатно</w:t>
      </w:r>
      <w:r>
        <w:rPr>
          <w:color w:val="231F20"/>
          <w:spacing w:val="-14"/>
        </w:rPr>
        <w:t> </w:t>
      </w:r>
      <w:r>
        <w:rPr>
          <w:color w:val="231F20"/>
        </w:rPr>
        <w:t>ефикасније</w:t>
      </w:r>
      <w:r>
        <w:rPr>
          <w:color w:val="231F20"/>
          <w:spacing w:val="-14"/>
        </w:rPr>
        <w:t> </w:t>
      </w:r>
      <w:r>
        <w:rPr>
          <w:color w:val="231F20"/>
        </w:rPr>
        <w:t>и</w:t>
      </w:r>
      <w:r>
        <w:rPr>
          <w:color w:val="231F20"/>
          <w:spacing w:val="-14"/>
        </w:rPr>
        <w:t> </w:t>
      </w:r>
      <w:r>
        <w:rPr>
          <w:color w:val="231F20"/>
        </w:rPr>
        <w:t>рационал- није је предузимање мера на отклањању последица првенствено у фази планирања него у каснијим фазама изградње и експлоатаци- је. Због тог је важно да се у плановима, програмима и пројектима, кроз имплементацију Просторног плана, раде посебни прилози са проценама ризика и мерама за његово</w:t>
      </w:r>
      <w:r>
        <w:rPr>
          <w:color w:val="231F20"/>
          <w:spacing w:val="-7"/>
        </w:rPr>
        <w:t> </w:t>
      </w:r>
      <w:r>
        <w:rPr>
          <w:color w:val="231F20"/>
        </w:rPr>
        <w:t>смањење.</w:t>
      </w:r>
    </w:p>
    <w:p>
      <w:pPr>
        <w:pStyle w:val="BodyText"/>
        <w:spacing w:line="232" w:lineRule="auto"/>
        <w:ind w:left="173" w:right="38" w:firstLine="396"/>
      </w:pPr>
      <w:r>
        <w:rPr>
          <w:color w:val="231F20"/>
        </w:rPr>
        <w:t>Заштита </w:t>
      </w:r>
      <w:r>
        <w:rPr>
          <w:color w:val="231F20"/>
          <w:spacing w:val="-3"/>
        </w:rPr>
        <w:t>од </w:t>
      </w:r>
      <w:r>
        <w:rPr>
          <w:color w:val="231F20"/>
        </w:rPr>
        <w:t>елементарних катастрофа и других облика угро- жености у </w:t>
      </w:r>
      <w:r>
        <w:rPr>
          <w:color w:val="231F20"/>
          <w:spacing w:val="-3"/>
        </w:rPr>
        <w:t>простору, </w:t>
      </w:r>
      <w:r>
        <w:rPr>
          <w:color w:val="231F20"/>
        </w:rPr>
        <w:t>мора бити заснована на поузданим подацима, добијеним из општих и секторских истраживања за Планско под- ручје, али и за шире подручје, и релевантне документације и под- лога </w:t>
      </w:r>
      <w:r>
        <w:rPr>
          <w:color w:val="231F20"/>
          <w:spacing w:val="-3"/>
        </w:rPr>
        <w:t>који </w:t>
      </w:r>
      <w:r>
        <w:rPr>
          <w:color w:val="231F20"/>
        </w:rPr>
        <w:t>ће бити доступни при уградњи заштитних мера у про- цесу урбанистичког планирања и пројектовања и кроз формирање посебне информационе основе (катастар појединачних хазарда у </w:t>
      </w:r>
      <w:r>
        <w:rPr>
          <w:color w:val="231F20"/>
          <w:spacing w:val="-3"/>
        </w:rPr>
        <w:t>простору, </w:t>
      </w:r>
      <w:r>
        <w:rPr>
          <w:color w:val="231F20"/>
        </w:rPr>
        <w:t>карте општих и појединачних ризика).</w:t>
      </w:r>
    </w:p>
    <w:p>
      <w:pPr>
        <w:pStyle w:val="BodyText"/>
        <w:spacing w:line="232" w:lineRule="auto" w:before="78"/>
        <w:ind w:right="408" w:firstLine="397"/>
      </w:pPr>
      <w:r>
        <w:rPr/>
        <w:br w:type="column"/>
      </w:r>
      <w:r>
        <w:rPr>
          <w:color w:val="231F20"/>
        </w:rPr>
        <w:t>Планирање мера заштите у обиму апсолутне заштите је еко- номски неприхватљиво, па је плански приступ конципиран на стратегији прихватљивог ризика од присутних облика угрожено- сти, односно на критеријуму да повећани трошкови пројектовања, изградње и финансијских улагања којима би се могла спречити оштећења или рушења и губици људских живота не смеју да пре- маше трошкове на отклањању последица могућих акцидената.</w:t>
      </w:r>
    </w:p>
    <w:p>
      <w:pPr>
        <w:pStyle w:val="BodyText"/>
        <w:spacing w:line="232" w:lineRule="auto"/>
        <w:ind w:right="407" w:firstLine="396"/>
      </w:pPr>
      <w:r>
        <w:rPr>
          <w:color w:val="231F20"/>
        </w:rPr>
        <w:t>Просторним планом су утврђене основне концепције, смер- нице и решења за организацију, уређење и изградњу простора, засноване на Стратегији националне безбедности, као предуслов за заштиту становништва, физичких структура, других материјал- них добара и природних ресурса, функционисања привредних и других делатности, комуницирања и руковођења у акцидентним и другим условима опште угрожености.</w:t>
      </w:r>
    </w:p>
    <w:p>
      <w:pPr>
        <w:pStyle w:val="BodyText"/>
        <w:spacing w:line="232" w:lineRule="auto"/>
        <w:ind w:right="408" w:firstLine="397"/>
      </w:pPr>
      <w:r>
        <w:rPr>
          <w:color w:val="231F20"/>
        </w:rPr>
        <w:t>За планирање и спровођење планских решења </w:t>
      </w:r>
      <w:r>
        <w:rPr>
          <w:color w:val="231F20"/>
          <w:spacing w:val="-3"/>
        </w:rPr>
        <w:t>која </w:t>
      </w:r>
      <w:r>
        <w:rPr>
          <w:color w:val="231F20"/>
        </w:rPr>
        <w:t>се односе на</w:t>
      </w:r>
      <w:r>
        <w:rPr>
          <w:color w:val="231F20"/>
          <w:spacing w:val="-8"/>
        </w:rPr>
        <w:t> </w:t>
      </w:r>
      <w:r>
        <w:rPr>
          <w:color w:val="231F20"/>
        </w:rPr>
        <w:t>смањење</w:t>
      </w:r>
      <w:r>
        <w:rPr>
          <w:color w:val="231F20"/>
          <w:spacing w:val="-8"/>
        </w:rPr>
        <w:t> </w:t>
      </w:r>
      <w:r>
        <w:rPr>
          <w:color w:val="231F20"/>
        </w:rPr>
        <w:t>ризика</w:t>
      </w:r>
      <w:r>
        <w:rPr>
          <w:color w:val="231F20"/>
          <w:spacing w:val="-8"/>
        </w:rPr>
        <w:t> </w:t>
      </w:r>
      <w:r>
        <w:rPr>
          <w:color w:val="231F20"/>
          <w:spacing w:val="-3"/>
        </w:rPr>
        <w:t>од</w:t>
      </w:r>
      <w:r>
        <w:rPr>
          <w:color w:val="231F20"/>
          <w:spacing w:val="-8"/>
        </w:rPr>
        <w:t> </w:t>
      </w:r>
      <w:r>
        <w:rPr>
          <w:color w:val="231F20"/>
        </w:rPr>
        <w:t>природних</w:t>
      </w:r>
      <w:r>
        <w:rPr>
          <w:color w:val="231F20"/>
          <w:spacing w:val="-8"/>
        </w:rPr>
        <w:t> </w:t>
      </w:r>
      <w:r>
        <w:rPr>
          <w:color w:val="231F20"/>
        </w:rPr>
        <w:t>и</w:t>
      </w:r>
      <w:r>
        <w:rPr>
          <w:color w:val="231F20"/>
          <w:spacing w:val="-8"/>
        </w:rPr>
        <w:t> </w:t>
      </w:r>
      <w:r>
        <w:rPr>
          <w:color w:val="231F20"/>
        </w:rPr>
        <w:t>изазваних</w:t>
      </w:r>
      <w:r>
        <w:rPr>
          <w:color w:val="231F20"/>
          <w:spacing w:val="-8"/>
        </w:rPr>
        <w:t> </w:t>
      </w:r>
      <w:r>
        <w:rPr>
          <w:color w:val="231F20"/>
        </w:rPr>
        <w:t>катастрофа</w:t>
      </w:r>
      <w:r>
        <w:rPr>
          <w:color w:val="231F20"/>
          <w:spacing w:val="-8"/>
        </w:rPr>
        <w:t> </w:t>
      </w:r>
      <w:r>
        <w:rPr>
          <w:color w:val="231F20"/>
        </w:rPr>
        <w:t>и</w:t>
      </w:r>
      <w:r>
        <w:rPr>
          <w:color w:val="231F20"/>
          <w:spacing w:val="-8"/>
        </w:rPr>
        <w:t> </w:t>
      </w:r>
      <w:r>
        <w:rPr>
          <w:color w:val="231F20"/>
        </w:rPr>
        <w:t>плани- раних мера заштите, неопходно је</w:t>
      </w:r>
      <w:r>
        <w:rPr>
          <w:color w:val="231F20"/>
          <w:spacing w:val="-7"/>
        </w:rPr>
        <w:t> </w:t>
      </w:r>
      <w:r>
        <w:rPr>
          <w:color w:val="231F20"/>
        </w:rPr>
        <w:t>обезбедити:</w:t>
      </w:r>
    </w:p>
    <w:p>
      <w:pPr>
        <w:pStyle w:val="BodyText"/>
        <w:spacing w:line="232" w:lineRule="auto"/>
        <w:ind w:right="407" w:firstLine="396"/>
      </w:pPr>
      <w:r>
        <w:rPr>
          <w:color w:val="231F20"/>
          <w:w w:val="66"/>
        </w:rPr>
        <w:t> </w:t>
      </w:r>
      <w:r>
        <w:rPr>
          <w:color w:val="231F20"/>
        </w:rPr>
        <w:t>–</w:t>
      </w:r>
      <w:r>
        <w:rPr>
          <w:color w:val="231F20"/>
          <w:spacing w:val="-6"/>
        </w:rPr>
        <w:t> </w:t>
      </w:r>
      <w:r>
        <w:rPr>
          <w:color w:val="231F20"/>
        </w:rPr>
        <w:t>законски</w:t>
      </w:r>
      <w:r>
        <w:rPr>
          <w:color w:val="231F20"/>
          <w:spacing w:val="-7"/>
        </w:rPr>
        <w:t> </w:t>
      </w:r>
      <w:r>
        <w:rPr>
          <w:color w:val="231F20"/>
        </w:rPr>
        <w:t>основ,</w:t>
      </w:r>
      <w:r>
        <w:rPr>
          <w:color w:val="231F20"/>
          <w:spacing w:val="-6"/>
        </w:rPr>
        <w:t> </w:t>
      </w:r>
      <w:r>
        <w:rPr>
          <w:color w:val="231F20"/>
        </w:rPr>
        <w:t>што</w:t>
      </w:r>
      <w:r>
        <w:rPr>
          <w:color w:val="231F20"/>
          <w:spacing w:val="-6"/>
        </w:rPr>
        <w:t> </w:t>
      </w:r>
      <w:r>
        <w:rPr>
          <w:color w:val="231F20"/>
        </w:rPr>
        <w:t>подразумева</w:t>
      </w:r>
      <w:r>
        <w:rPr>
          <w:color w:val="231F20"/>
          <w:spacing w:val="-6"/>
        </w:rPr>
        <w:t> </w:t>
      </w:r>
      <w:r>
        <w:rPr>
          <w:color w:val="231F20"/>
        </w:rPr>
        <w:t>комплетирање</w:t>
      </w:r>
      <w:r>
        <w:rPr>
          <w:color w:val="231F20"/>
          <w:spacing w:val="-6"/>
        </w:rPr>
        <w:t> </w:t>
      </w:r>
      <w:r>
        <w:rPr>
          <w:color w:val="231F20"/>
        </w:rPr>
        <w:t>у</w:t>
      </w:r>
      <w:r>
        <w:rPr>
          <w:color w:val="231F20"/>
          <w:spacing w:val="-6"/>
        </w:rPr>
        <w:t> </w:t>
      </w:r>
      <w:r>
        <w:rPr>
          <w:color w:val="231F20"/>
        </w:rPr>
        <w:t>доноше- њу и примени читавог низа </w:t>
      </w:r>
      <w:r>
        <w:rPr>
          <w:color w:val="231F20"/>
          <w:spacing w:val="-2"/>
        </w:rPr>
        <w:t>закона </w:t>
      </w:r>
      <w:r>
        <w:rPr>
          <w:color w:val="231F20"/>
        </w:rPr>
        <w:t>и подзаконских аката </w:t>
      </w:r>
      <w:r>
        <w:rPr>
          <w:color w:val="231F20"/>
          <w:spacing w:val="-3"/>
        </w:rPr>
        <w:t>којима </w:t>
      </w:r>
      <w:r>
        <w:rPr>
          <w:color w:val="231F20"/>
        </w:rPr>
        <w:t>се уређује област заштите и омогућује имплементација стратешких докумената и Закона о ванредним ситуацијама (у примени </w:t>
      </w:r>
      <w:r>
        <w:rPr>
          <w:color w:val="231F20"/>
          <w:spacing w:val="-3"/>
        </w:rPr>
        <w:t>од </w:t>
      </w:r>
      <w:r>
        <w:rPr>
          <w:color w:val="231F20"/>
        </w:rPr>
        <w:t>7. </w:t>
      </w:r>
      <w:r>
        <w:rPr>
          <w:color w:val="231F20"/>
          <w:spacing w:val="-3"/>
        </w:rPr>
        <w:t>јула </w:t>
      </w:r>
      <w:r>
        <w:rPr>
          <w:color w:val="231F20"/>
        </w:rPr>
        <w:t>2010. године); с обзиром на недостатак </w:t>
      </w:r>
      <w:r>
        <w:rPr>
          <w:color w:val="231F20"/>
          <w:spacing w:val="-3"/>
        </w:rPr>
        <w:t>законске </w:t>
      </w:r>
      <w:r>
        <w:rPr>
          <w:color w:val="231F20"/>
        </w:rPr>
        <w:t>регулативе, </w:t>
      </w:r>
      <w:r>
        <w:rPr>
          <w:color w:val="231F20"/>
          <w:spacing w:val="-3"/>
        </w:rPr>
        <w:t>која </w:t>
      </w:r>
      <w:r>
        <w:rPr>
          <w:color w:val="231F20"/>
        </w:rPr>
        <w:t>кроз мере заштите регулише просторни аспект елементарних катастрофа; за веће постојеће и планиране индустријске и </w:t>
      </w:r>
      <w:r>
        <w:rPr>
          <w:color w:val="231F20"/>
          <w:spacing w:val="-3"/>
        </w:rPr>
        <w:t>култур- </w:t>
      </w:r>
      <w:r>
        <w:rPr>
          <w:color w:val="231F20"/>
        </w:rPr>
        <w:t>но-историјске објекте и </w:t>
      </w:r>
      <w:r>
        <w:rPr>
          <w:color w:val="231F20"/>
          <w:spacing w:val="-3"/>
        </w:rPr>
        <w:t>комплексе </w:t>
      </w:r>
      <w:r>
        <w:rPr>
          <w:color w:val="231F20"/>
        </w:rPr>
        <w:t>и објекте крупне инфраструк- туре на </w:t>
      </w:r>
      <w:r>
        <w:rPr>
          <w:color w:val="231F20"/>
          <w:spacing w:val="-3"/>
        </w:rPr>
        <w:t>Планском </w:t>
      </w:r>
      <w:r>
        <w:rPr>
          <w:color w:val="231F20"/>
        </w:rPr>
        <w:t>подручју обезбедити израду пројеката могућих последица и мера заштите </w:t>
      </w:r>
      <w:r>
        <w:rPr>
          <w:color w:val="231F20"/>
          <w:spacing w:val="-3"/>
        </w:rPr>
        <w:t>од </w:t>
      </w:r>
      <w:r>
        <w:rPr>
          <w:color w:val="231F20"/>
        </w:rPr>
        <w:t>елементарних непогода (акцидена- та и катастрофа) са просторно-планског и просторно-уређајног аспекта и уградити их у одговарајуће планове за заштиту и спа- шавање и у појединачне акте о процени ризика на радном месту и у радној </w:t>
      </w:r>
      <w:r>
        <w:rPr>
          <w:color w:val="231F20"/>
          <w:spacing w:val="-3"/>
        </w:rPr>
        <w:t>околини </w:t>
      </w:r>
      <w:r>
        <w:rPr>
          <w:color w:val="231F20"/>
        </w:rPr>
        <w:t>(Закон о безбедности и здрављу на </w:t>
      </w:r>
      <w:r>
        <w:rPr>
          <w:color w:val="231F20"/>
          <w:spacing w:val="-4"/>
        </w:rPr>
        <w:t>раду, </w:t>
      </w:r>
      <w:r>
        <w:rPr>
          <w:color w:val="231F20"/>
        </w:rPr>
        <w:t>(„Слу- жбени гласник РС”, број</w:t>
      </w:r>
      <w:r>
        <w:rPr>
          <w:color w:val="231F20"/>
          <w:spacing w:val="-3"/>
        </w:rPr>
        <w:t> </w:t>
      </w:r>
      <w:r>
        <w:rPr>
          <w:color w:val="231F20"/>
        </w:rPr>
        <w:t>101/05));</w:t>
      </w:r>
    </w:p>
    <w:p>
      <w:pPr>
        <w:pStyle w:val="BodyText"/>
        <w:spacing w:line="232" w:lineRule="auto"/>
        <w:ind w:left="171" w:right="407" w:firstLine="397"/>
      </w:pPr>
      <w:r>
        <w:rPr>
          <w:color w:val="231F20"/>
          <w:w w:val="66"/>
        </w:rPr>
        <w:t> </w:t>
      </w:r>
      <w:r>
        <w:rPr>
          <w:color w:val="231F20"/>
        </w:rPr>
        <w:t>– институционалну организованост, што подразумева флек- сибилну безбедносну сарадњу и активирање надлежних органа  на различитим нивоима (државни, општински и међуопштински) са јасном поделом надлежности; с обзиром на то да је системски успостављена надлежност ресора унутрашњих послова на упра- вљању ризицима, заштитом, спасавањем и санацијом последица у ванредним ситуацијама (земљотреси, пожари и друге природне и техничко – технолошке катастрофе)</w:t>
      </w:r>
      <w:r>
        <w:rPr>
          <w:color w:val="231F20"/>
          <w:spacing w:val="-21"/>
        </w:rPr>
        <w:t> </w:t>
      </w:r>
      <w:r>
        <w:rPr>
          <w:color w:val="231F20"/>
        </w:rPr>
        <w:t>и</w:t>
      </w:r>
    </w:p>
    <w:p>
      <w:pPr>
        <w:pStyle w:val="BodyText"/>
        <w:spacing w:line="232" w:lineRule="auto"/>
        <w:ind w:left="172" w:right="406" w:firstLine="396"/>
      </w:pPr>
      <w:r>
        <w:rPr>
          <w:color w:val="231F20"/>
          <w:w w:val="66"/>
        </w:rPr>
        <w:t> </w:t>
      </w:r>
      <w:r>
        <w:rPr>
          <w:color w:val="231F20"/>
        </w:rPr>
        <w:t>–</w:t>
      </w:r>
      <w:r>
        <w:rPr>
          <w:color w:val="231F20"/>
          <w:spacing w:val="-11"/>
        </w:rPr>
        <w:t> </w:t>
      </w:r>
      <w:r>
        <w:rPr>
          <w:color w:val="231F20"/>
        </w:rPr>
        <w:t>развој</w:t>
      </w:r>
      <w:r>
        <w:rPr>
          <w:color w:val="231F20"/>
          <w:spacing w:val="-11"/>
        </w:rPr>
        <w:t> </w:t>
      </w:r>
      <w:r>
        <w:rPr>
          <w:color w:val="231F20"/>
        </w:rPr>
        <w:t>јединственог</w:t>
      </w:r>
      <w:r>
        <w:rPr>
          <w:color w:val="231F20"/>
          <w:spacing w:val="-11"/>
        </w:rPr>
        <w:t> </w:t>
      </w:r>
      <w:r>
        <w:rPr>
          <w:color w:val="231F20"/>
        </w:rPr>
        <w:t>система</w:t>
      </w:r>
      <w:r>
        <w:rPr>
          <w:color w:val="231F20"/>
          <w:spacing w:val="-11"/>
        </w:rPr>
        <w:t> </w:t>
      </w:r>
      <w:r>
        <w:rPr>
          <w:color w:val="231F20"/>
        </w:rPr>
        <w:t>информисања</w:t>
      </w:r>
      <w:r>
        <w:rPr>
          <w:color w:val="231F20"/>
          <w:spacing w:val="-11"/>
        </w:rPr>
        <w:t> </w:t>
      </w:r>
      <w:r>
        <w:rPr>
          <w:color w:val="231F20"/>
        </w:rPr>
        <w:t>и</w:t>
      </w:r>
      <w:r>
        <w:rPr>
          <w:color w:val="231F20"/>
          <w:spacing w:val="-11"/>
        </w:rPr>
        <w:t> </w:t>
      </w:r>
      <w:r>
        <w:rPr>
          <w:color w:val="231F20"/>
        </w:rPr>
        <w:t>мониторинга</w:t>
      </w:r>
      <w:r>
        <w:rPr>
          <w:color w:val="231F20"/>
          <w:spacing w:val="-11"/>
        </w:rPr>
        <w:t> </w:t>
      </w:r>
      <w:r>
        <w:rPr>
          <w:color w:val="231F20"/>
        </w:rPr>
        <w:t>у области појаве и заштите </w:t>
      </w:r>
      <w:r>
        <w:rPr>
          <w:color w:val="231F20"/>
          <w:spacing w:val="-3"/>
        </w:rPr>
        <w:t>од </w:t>
      </w:r>
      <w:r>
        <w:rPr>
          <w:color w:val="231F20"/>
        </w:rPr>
        <w:t>елементарних катастрофа, разраду и примену јединствене методологије за евидентирање, прикупљање и чување документације о елементарним катастрофама, као и</w:t>
      </w:r>
      <w:r>
        <w:rPr>
          <w:color w:val="231F20"/>
          <w:spacing w:val="-31"/>
        </w:rPr>
        <w:t> </w:t>
      </w:r>
      <w:r>
        <w:rPr>
          <w:color w:val="231F20"/>
        </w:rPr>
        <w:t>про- цену</w:t>
      </w:r>
      <w:r>
        <w:rPr>
          <w:color w:val="231F20"/>
          <w:spacing w:val="-5"/>
        </w:rPr>
        <w:t> </w:t>
      </w:r>
      <w:r>
        <w:rPr>
          <w:color w:val="231F20"/>
        </w:rPr>
        <w:t>штета</w:t>
      </w:r>
      <w:r>
        <w:rPr>
          <w:color w:val="231F20"/>
          <w:spacing w:val="-5"/>
        </w:rPr>
        <w:t> </w:t>
      </w:r>
      <w:r>
        <w:rPr>
          <w:color w:val="231F20"/>
          <w:spacing w:val="-3"/>
        </w:rPr>
        <w:t>од</w:t>
      </w:r>
      <w:r>
        <w:rPr>
          <w:color w:val="231F20"/>
          <w:spacing w:val="-5"/>
        </w:rPr>
        <w:t> </w:t>
      </w:r>
      <w:r>
        <w:rPr>
          <w:color w:val="231F20"/>
        </w:rPr>
        <w:t>елементарних</w:t>
      </w:r>
      <w:r>
        <w:rPr>
          <w:color w:val="231F20"/>
          <w:spacing w:val="-5"/>
        </w:rPr>
        <w:t> </w:t>
      </w:r>
      <w:r>
        <w:rPr>
          <w:color w:val="231F20"/>
        </w:rPr>
        <w:t>и</w:t>
      </w:r>
      <w:r>
        <w:rPr>
          <w:color w:val="231F20"/>
          <w:spacing w:val="-5"/>
        </w:rPr>
        <w:t> </w:t>
      </w:r>
      <w:r>
        <w:rPr>
          <w:color w:val="231F20"/>
        </w:rPr>
        <w:t>техничких</w:t>
      </w:r>
      <w:r>
        <w:rPr>
          <w:color w:val="231F20"/>
          <w:spacing w:val="-5"/>
        </w:rPr>
        <w:t> </w:t>
      </w:r>
      <w:r>
        <w:rPr>
          <w:color w:val="231F20"/>
        </w:rPr>
        <w:t>катастрофа</w:t>
      </w:r>
      <w:r>
        <w:rPr>
          <w:color w:val="231F20"/>
          <w:spacing w:val="-5"/>
        </w:rPr>
        <w:t> </w:t>
      </w:r>
      <w:r>
        <w:rPr>
          <w:color w:val="231F20"/>
        </w:rPr>
        <w:t>у</w:t>
      </w:r>
      <w:r>
        <w:rPr>
          <w:color w:val="231F20"/>
          <w:spacing w:val="-5"/>
        </w:rPr>
        <w:t> </w:t>
      </w:r>
      <w:r>
        <w:rPr>
          <w:color w:val="231F20"/>
        </w:rPr>
        <w:t>циљу</w:t>
      </w:r>
      <w:r>
        <w:rPr>
          <w:color w:val="231F20"/>
          <w:spacing w:val="-5"/>
        </w:rPr>
        <w:t> </w:t>
      </w:r>
      <w:r>
        <w:rPr>
          <w:color w:val="231F20"/>
        </w:rPr>
        <w:t>ства- рања катастра елементарних катастрофа на подручју </w:t>
      </w:r>
      <w:r>
        <w:rPr>
          <w:color w:val="231F20"/>
          <w:spacing w:val="-3"/>
        </w:rPr>
        <w:t>Костолачког </w:t>
      </w:r>
      <w:r>
        <w:rPr>
          <w:color w:val="231F20"/>
        </w:rPr>
        <w:t>угљеног</w:t>
      </w:r>
      <w:r>
        <w:rPr>
          <w:color w:val="231F20"/>
          <w:spacing w:val="-2"/>
        </w:rPr>
        <w:t> </w:t>
      </w:r>
      <w:r>
        <w:rPr>
          <w:color w:val="231F20"/>
        </w:rPr>
        <w:t>басена.</w:t>
      </w:r>
    </w:p>
    <w:p>
      <w:pPr>
        <w:pStyle w:val="BodyText"/>
        <w:spacing w:line="232" w:lineRule="auto"/>
        <w:ind w:left="172" w:right="406" w:firstLine="397"/>
      </w:pPr>
      <w:r>
        <w:rPr>
          <w:color w:val="231F20"/>
        </w:rPr>
        <w:t>Мере заштите од елементарних непогода обухватају превен- тивне мере, којима се непогоде спречавају или се ублажава њихо- во дејство, мере које се предузимају у случају непосредне опасно- сти или када наступе елементарне непогоде и мере ублажавања и отклањања непосредних последица, пре свега штета које су иза- зване.</w:t>
      </w:r>
    </w:p>
    <w:p>
      <w:pPr>
        <w:pStyle w:val="BodyText"/>
        <w:spacing w:line="232" w:lineRule="auto"/>
        <w:ind w:left="172" w:right="406" w:firstLine="397"/>
      </w:pPr>
      <w:r>
        <w:rPr>
          <w:color w:val="231F20"/>
        </w:rPr>
        <w:t>Неопходан предуслов за адекватну заштиту је институцио- нална организованост. Она не сме бити спроведена на локалним принципима (елементарне непогоде не познају административне границе), али територијално мора бити организована и дистрибу- ирана према простору </w:t>
      </w:r>
      <w:r>
        <w:rPr>
          <w:color w:val="231F20"/>
          <w:spacing w:val="-3"/>
        </w:rPr>
        <w:t>који </w:t>
      </w:r>
      <w:r>
        <w:rPr>
          <w:color w:val="231F20"/>
        </w:rPr>
        <w:t>се штити. </w:t>
      </w:r>
      <w:r>
        <w:rPr>
          <w:color w:val="231F20"/>
          <w:spacing w:val="-8"/>
        </w:rPr>
        <w:t>Уз </w:t>
      </w:r>
      <w:r>
        <w:rPr>
          <w:color w:val="231F20"/>
        </w:rPr>
        <w:t>институционалну, битна је</w:t>
      </w:r>
      <w:r>
        <w:rPr>
          <w:color w:val="231F20"/>
          <w:spacing w:val="-12"/>
        </w:rPr>
        <w:t> </w:t>
      </w:r>
      <w:r>
        <w:rPr>
          <w:color w:val="231F20"/>
        </w:rPr>
        <w:t>и</w:t>
      </w:r>
      <w:r>
        <w:rPr>
          <w:color w:val="231F20"/>
          <w:spacing w:val="-12"/>
        </w:rPr>
        <w:t> </w:t>
      </w:r>
      <w:r>
        <w:rPr>
          <w:color w:val="231F20"/>
        </w:rPr>
        <w:t>законодавна</w:t>
      </w:r>
      <w:r>
        <w:rPr>
          <w:color w:val="231F20"/>
          <w:spacing w:val="-12"/>
        </w:rPr>
        <w:t> </w:t>
      </w:r>
      <w:r>
        <w:rPr>
          <w:color w:val="231F20"/>
        </w:rPr>
        <w:t>организованост</w:t>
      </w:r>
      <w:r>
        <w:rPr>
          <w:color w:val="231F20"/>
          <w:spacing w:val="-12"/>
        </w:rPr>
        <w:t> </w:t>
      </w:r>
      <w:r>
        <w:rPr>
          <w:color w:val="231F20"/>
        </w:rPr>
        <w:t>(обезбеђивање</w:t>
      </w:r>
      <w:r>
        <w:rPr>
          <w:color w:val="231F20"/>
          <w:spacing w:val="-12"/>
        </w:rPr>
        <w:t> </w:t>
      </w:r>
      <w:r>
        <w:rPr>
          <w:color w:val="231F20"/>
          <w:spacing w:val="-3"/>
        </w:rPr>
        <w:t>законске</w:t>
      </w:r>
      <w:r>
        <w:rPr>
          <w:color w:val="231F20"/>
          <w:spacing w:val="-12"/>
        </w:rPr>
        <w:t> </w:t>
      </w:r>
      <w:r>
        <w:rPr>
          <w:color w:val="231F20"/>
        </w:rPr>
        <w:t>регулати- ве односно њено дограђивање кроз измене и допуне</w:t>
      </w:r>
      <w:r>
        <w:rPr>
          <w:color w:val="231F20"/>
          <w:spacing w:val="-28"/>
        </w:rPr>
        <w:t> </w:t>
      </w:r>
      <w:r>
        <w:rPr>
          <w:color w:val="231F20"/>
        </w:rPr>
        <w:t>подзаконских аката). При томе, треба максимално искористити законску снагу просторног</w:t>
      </w:r>
      <w:r>
        <w:rPr>
          <w:color w:val="231F20"/>
          <w:spacing w:val="-8"/>
        </w:rPr>
        <w:t> </w:t>
      </w:r>
      <w:r>
        <w:rPr>
          <w:color w:val="231F20"/>
        </w:rPr>
        <w:t>и</w:t>
      </w:r>
      <w:r>
        <w:rPr>
          <w:color w:val="231F20"/>
          <w:spacing w:val="-8"/>
        </w:rPr>
        <w:t> </w:t>
      </w:r>
      <w:r>
        <w:rPr>
          <w:color w:val="231F20"/>
        </w:rPr>
        <w:t>урбанистичког</w:t>
      </w:r>
      <w:r>
        <w:rPr>
          <w:color w:val="231F20"/>
          <w:spacing w:val="-8"/>
        </w:rPr>
        <w:t> </w:t>
      </w:r>
      <w:r>
        <w:rPr>
          <w:color w:val="231F20"/>
        </w:rPr>
        <w:t>планирања,</w:t>
      </w:r>
      <w:r>
        <w:rPr>
          <w:color w:val="231F20"/>
          <w:spacing w:val="-8"/>
        </w:rPr>
        <w:t> </w:t>
      </w:r>
      <w:r>
        <w:rPr>
          <w:color w:val="231F20"/>
        </w:rPr>
        <w:t>кроз</w:t>
      </w:r>
      <w:r>
        <w:rPr>
          <w:color w:val="231F20"/>
          <w:spacing w:val="-8"/>
        </w:rPr>
        <w:t> </w:t>
      </w:r>
      <w:r>
        <w:rPr>
          <w:color w:val="231F20"/>
        </w:rPr>
        <w:t>институт</w:t>
      </w:r>
      <w:r>
        <w:rPr>
          <w:color w:val="231F20"/>
          <w:spacing w:val="-8"/>
        </w:rPr>
        <w:t> </w:t>
      </w:r>
      <w:r>
        <w:rPr>
          <w:color w:val="231F20"/>
        </w:rPr>
        <w:t>имплемен- тације.</w:t>
      </w:r>
      <w:r>
        <w:rPr>
          <w:color w:val="231F20"/>
          <w:spacing w:val="-6"/>
        </w:rPr>
        <w:t> </w:t>
      </w:r>
      <w:r>
        <w:rPr>
          <w:color w:val="231F20"/>
        </w:rPr>
        <w:t>Обезбедити</w:t>
      </w:r>
      <w:r>
        <w:rPr>
          <w:color w:val="231F20"/>
          <w:spacing w:val="-6"/>
        </w:rPr>
        <w:t> </w:t>
      </w:r>
      <w:r>
        <w:rPr>
          <w:color w:val="231F20"/>
        </w:rPr>
        <w:t>спровођење</w:t>
      </w:r>
      <w:r>
        <w:rPr>
          <w:color w:val="231F20"/>
          <w:spacing w:val="-7"/>
        </w:rPr>
        <w:t> </w:t>
      </w:r>
      <w:r>
        <w:rPr>
          <w:color w:val="231F20"/>
        </w:rPr>
        <w:t>истраживања</w:t>
      </w:r>
      <w:r>
        <w:rPr>
          <w:color w:val="231F20"/>
          <w:spacing w:val="-7"/>
        </w:rPr>
        <w:t> </w:t>
      </w:r>
      <w:r>
        <w:rPr>
          <w:color w:val="231F20"/>
        </w:rPr>
        <w:t>општег</w:t>
      </w:r>
      <w:r>
        <w:rPr>
          <w:color w:val="231F20"/>
          <w:spacing w:val="-7"/>
        </w:rPr>
        <w:t> </w:t>
      </w:r>
      <w:r>
        <w:rPr>
          <w:color w:val="231F20"/>
        </w:rPr>
        <w:t>и</w:t>
      </w:r>
      <w:r>
        <w:rPr>
          <w:color w:val="231F20"/>
          <w:spacing w:val="-7"/>
        </w:rPr>
        <w:t> </w:t>
      </w:r>
      <w:r>
        <w:rPr>
          <w:color w:val="231F20"/>
        </w:rPr>
        <w:t>појединач- них ризика </w:t>
      </w:r>
      <w:r>
        <w:rPr>
          <w:color w:val="231F20"/>
          <w:spacing w:val="-3"/>
        </w:rPr>
        <w:t>од </w:t>
      </w:r>
      <w:r>
        <w:rPr>
          <w:color w:val="231F20"/>
        </w:rPr>
        <w:t>елементарних непогода, регистровање и праћење појава </w:t>
      </w:r>
      <w:r>
        <w:rPr>
          <w:color w:val="231F20"/>
          <w:spacing w:val="-3"/>
        </w:rPr>
        <w:t>које </w:t>
      </w:r>
      <w:r>
        <w:rPr>
          <w:color w:val="231F20"/>
        </w:rPr>
        <w:t>могу имати карактер елементарне непогоде, успоста- вљање и примену мера заштите </w:t>
      </w:r>
      <w:r>
        <w:rPr>
          <w:color w:val="231F20"/>
          <w:spacing w:val="-3"/>
        </w:rPr>
        <w:t>од </w:t>
      </w:r>
      <w:r>
        <w:rPr>
          <w:color w:val="231F20"/>
        </w:rPr>
        <w:t>општег нивоа припремљености подручја</w:t>
      </w:r>
      <w:r>
        <w:rPr>
          <w:color w:val="231F20"/>
          <w:spacing w:val="-10"/>
        </w:rPr>
        <w:t> </w:t>
      </w:r>
      <w:r>
        <w:rPr>
          <w:color w:val="231F20"/>
        </w:rPr>
        <w:t>до</w:t>
      </w:r>
      <w:r>
        <w:rPr>
          <w:color w:val="231F20"/>
          <w:spacing w:val="-10"/>
        </w:rPr>
        <w:t> </w:t>
      </w:r>
      <w:r>
        <w:rPr>
          <w:color w:val="231F20"/>
        </w:rPr>
        <w:t>оперативно-организационих</w:t>
      </w:r>
      <w:r>
        <w:rPr>
          <w:color w:val="231F20"/>
          <w:spacing w:val="-10"/>
        </w:rPr>
        <w:t> </w:t>
      </w:r>
      <w:r>
        <w:rPr>
          <w:color w:val="231F20"/>
        </w:rPr>
        <w:t>мера,</w:t>
      </w:r>
      <w:r>
        <w:rPr>
          <w:color w:val="231F20"/>
          <w:spacing w:val="-10"/>
        </w:rPr>
        <w:t> </w:t>
      </w:r>
      <w:r>
        <w:rPr>
          <w:color w:val="231F20"/>
        </w:rPr>
        <w:t>са</w:t>
      </w:r>
      <w:r>
        <w:rPr>
          <w:color w:val="231F20"/>
          <w:spacing w:val="-10"/>
        </w:rPr>
        <w:t> </w:t>
      </w:r>
      <w:r>
        <w:rPr>
          <w:color w:val="231F20"/>
        </w:rPr>
        <w:t>јасним</w:t>
      </w:r>
      <w:r>
        <w:rPr>
          <w:color w:val="231F20"/>
          <w:spacing w:val="-10"/>
        </w:rPr>
        <w:t> </w:t>
      </w:r>
      <w:r>
        <w:rPr>
          <w:color w:val="231F20"/>
        </w:rPr>
        <w:t>разграни- чењем обавеза и одговорности појединих</w:t>
      </w:r>
      <w:r>
        <w:rPr>
          <w:color w:val="231F20"/>
          <w:spacing w:val="-10"/>
        </w:rPr>
        <w:t> </w:t>
      </w:r>
      <w:r>
        <w:rPr>
          <w:color w:val="231F20"/>
        </w:rPr>
        <w:t>субјеката.</w:t>
      </w:r>
    </w:p>
    <w:p>
      <w:pPr>
        <w:pStyle w:val="BodyText"/>
        <w:spacing w:line="232" w:lineRule="auto"/>
        <w:ind w:left="171" w:right="407" w:firstLine="396"/>
      </w:pPr>
      <w:r>
        <w:rPr>
          <w:color w:val="231F20"/>
        </w:rPr>
        <w:t>Привредна друштва и друга правна лица планирају и обезбе- ђују средства за: организовање, опремање, оспособљавање и обу- чавање јединица цивилне заштите које образују, организовање и припремање личне, узајамне и колективне заштите и спровођење мера и задатака цивилне заштите запослених, као и материјалних и других добара.</w:t>
      </w:r>
    </w:p>
    <w:p>
      <w:pPr>
        <w:spacing w:after="0" w:line="232" w:lineRule="auto"/>
        <w:sectPr>
          <w:pgSz w:w="12480" w:h="15690"/>
          <w:pgMar w:top="120" w:bottom="280" w:left="680" w:right="720"/>
          <w:cols w:num="2" w:equalWidth="0">
            <w:col w:w="5317" w:space="72"/>
            <w:col w:w="5691"/>
          </w:cols>
        </w:sectPr>
      </w:pPr>
    </w:p>
    <w:p>
      <w:pPr>
        <w:pStyle w:val="BodyText"/>
        <w:spacing w:line="232" w:lineRule="auto" w:before="73"/>
        <w:ind w:left="453" w:right="1" w:firstLine="397"/>
      </w:pPr>
      <w:r>
        <w:rPr/>
        <w:pict>
          <v:line style="position:absolute;mso-position-horizontal-relative:page;mso-position-vertical-relative:page;z-index:3424" from="318.897614pt,11.942451pt" to="318.897614pt,748.950451pt" stroked="true" strokeweight=".6pt" strokecolor="#231f20">
            <v:stroke dashstyle="solid"/>
            <w10:wrap type="none"/>
          </v:line>
        </w:pict>
      </w:r>
      <w:r>
        <w:rPr>
          <w:color w:val="231F20"/>
        </w:rPr>
        <w:t>Заштита </w:t>
      </w:r>
      <w:r>
        <w:rPr>
          <w:color w:val="231F20"/>
          <w:spacing w:val="-3"/>
        </w:rPr>
        <w:t>од </w:t>
      </w:r>
      <w:r>
        <w:rPr>
          <w:color w:val="231F20"/>
        </w:rPr>
        <w:t>елементарних катастрофа на </w:t>
      </w:r>
      <w:r>
        <w:rPr>
          <w:color w:val="231F20"/>
          <w:spacing w:val="-3"/>
        </w:rPr>
        <w:t>Планском </w:t>
      </w:r>
      <w:r>
        <w:rPr>
          <w:color w:val="231F20"/>
        </w:rPr>
        <w:t>подруч- ју ће се базирати на релевантним резултатима посебне </w:t>
      </w:r>
      <w:r>
        <w:rPr>
          <w:color w:val="231F20"/>
          <w:spacing w:val="-3"/>
        </w:rPr>
        <w:t>студијско- </w:t>
      </w:r>
      <w:r>
        <w:rPr>
          <w:color w:val="231F20"/>
        </w:rPr>
        <w:t>аналитичке документације за дефинисање прихватљивог ризика </w:t>
      </w:r>
      <w:r>
        <w:rPr>
          <w:color w:val="231F20"/>
          <w:spacing w:val="-3"/>
        </w:rPr>
        <w:t>од </w:t>
      </w:r>
      <w:r>
        <w:rPr>
          <w:color w:val="231F20"/>
        </w:rPr>
        <w:t>елементарних катастрофа, на основу процене угрожености, и захтевима из оперативних планова локалних самоуправа и управ- них округа</w:t>
      </w:r>
      <w:r>
        <w:rPr>
          <w:color w:val="231F20"/>
          <w:spacing w:val="-3"/>
        </w:rPr>
        <w:t> </w:t>
      </w:r>
      <w:r>
        <w:rPr>
          <w:color w:val="231F20"/>
        </w:rPr>
        <w:t>у:</w:t>
      </w:r>
    </w:p>
    <w:p>
      <w:pPr>
        <w:pStyle w:val="BodyText"/>
        <w:spacing w:line="232" w:lineRule="auto"/>
        <w:ind w:left="453" w:right="1" w:firstLine="396"/>
      </w:pPr>
      <w:r>
        <w:rPr>
          <w:color w:val="231F20"/>
          <w:w w:val="66"/>
        </w:rPr>
        <w:t> </w:t>
      </w:r>
      <w:r>
        <w:rPr>
          <w:color w:val="231F20"/>
        </w:rPr>
        <w:t>– студији сеизмичког хазарда и ризика за подручје са проце- нама прихватљивог општег ризика за објекте и функције, на осно- ву које ће са израдити и примењивати сеизмичка карта подручја;</w:t>
      </w:r>
    </w:p>
    <w:p>
      <w:pPr>
        <w:pStyle w:val="BodyText"/>
        <w:spacing w:line="232" w:lineRule="auto"/>
        <w:ind w:left="453" w:right="1" w:firstLine="396"/>
      </w:pPr>
      <w:r>
        <w:rPr>
          <w:color w:val="231F20"/>
          <w:w w:val="66"/>
        </w:rPr>
        <w:t> </w:t>
      </w:r>
      <w:r>
        <w:rPr>
          <w:color w:val="231F20"/>
        </w:rPr>
        <w:t>– просторним анализама појединачних ризика од других по- јава које могу да поприме обим ванредне ситуације, удеса или ка- тастрофе;</w:t>
      </w:r>
    </w:p>
    <w:p>
      <w:pPr>
        <w:pStyle w:val="BodyText"/>
        <w:spacing w:line="232" w:lineRule="auto"/>
        <w:ind w:left="453" w:right="1" w:firstLine="397"/>
      </w:pPr>
      <w:r>
        <w:rPr>
          <w:color w:val="231F20"/>
          <w:w w:val="66"/>
        </w:rPr>
        <w:t> </w:t>
      </w:r>
      <w:r>
        <w:rPr>
          <w:color w:val="231F20"/>
        </w:rPr>
        <w:t>–</w:t>
      </w:r>
      <w:r>
        <w:rPr>
          <w:color w:val="231F20"/>
          <w:spacing w:val="-11"/>
        </w:rPr>
        <w:t> </w:t>
      </w:r>
      <w:r>
        <w:rPr>
          <w:color w:val="231F20"/>
        </w:rPr>
        <w:t>примени</w:t>
      </w:r>
      <w:r>
        <w:rPr>
          <w:color w:val="231F20"/>
          <w:spacing w:val="-11"/>
        </w:rPr>
        <w:t> </w:t>
      </w:r>
      <w:r>
        <w:rPr>
          <w:color w:val="231F20"/>
        </w:rPr>
        <w:t>секторских</w:t>
      </w:r>
      <w:r>
        <w:rPr>
          <w:color w:val="231F20"/>
          <w:spacing w:val="-11"/>
        </w:rPr>
        <w:t> </w:t>
      </w:r>
      <w:r>
        <w:rPr>
          <w:color w:val="231F20"/>
        </w:rPr>
        <w:t>закона,</w:t>
      </w:r>
      <w:r>
        <w:rPr>
          <w:color w:val="231F20"/>
          <w:spacing w:val="-11"/>
        </w:rPr>
        <w:t> </w:t>
      </w:r>
      <w:r>
        <w:rPr>
          <w:color w:val="231F20"/>
        </w:rPr>
        <w:t>техничких</w:t>
      </w:r>
      <w:r>
        <w:rPr>
          <w:color w:val="231F20"/>
          <w:spacing w:val="-11"/>
        </w:rPr>
        <w:t> </w:t>
      </w:r>
      <w:r>
        <w:rPr>
          <w:color w:val="231F20"/>
        </w:rPr>
        <w:t>и</w:t>
      </w:r>
      <w:r>
        <w:rPr>
          <w:color w:val="231F20"/>
          <w:spacing w:val="-11"/>
        </w:rPr>
        <w:t> </w:t>
      </w:r>
      <w:r>
        <w:rPr>
          <w:color w:val="231F20"/>
        </w:rPr>
        <w:t>других</w:t>
      </w:r>
      <w:r>
        <w:rPr>
          <w:color w:val="231F20"/>
          <w:spacing w:val="-11"/>
        </w:rPr>
        <w:t> </w:t>
      </w:r>
      <w:r>
        <w:rPr>
          <w:color w:val="231F20"/>
        </w:rPr>
        <w:t>норматива и</w:t>
      </w:r>
      <w:r>
        <w:rPr>
          <w:color w:val="231F20"/>
          <w:spacing w:val="-2"/>
        </w:rPr>
        <w:t> </w:t>
      </w:r>
      <w:r>
        <w:rPr>
          <w:color w:val="231F20"/>
        </w:rPr>
        <w:t>стандарда;</w:t>
      </w:r>
    </w:p>
    <w:p>
      <w:pPr>
        <w:pStyle w:val="BodyText"/>
        <w:spacing w:line="232" w:lineRule="auto"/>
        <w:ind w:left="453" w:firstLine="397"/>
      </w:pPr>
      <w:r>
        <w:rPr>
          <w:color w:val="231F20"/>
          <w:w w:val="66"/>
        </w:rPr>
        <w:t> </w:t>
      </w:r>
      <w:r>
        <w:rPr>
          <w:color w:val="231F20"/>
        </w:rPr>
        <w:t>– оперативним плановима противпожарне заштите</w:t>
      </w:r>
      <w:r>
        <w:rPr>
          <w:color w:val="231F20"/>
          <w:spacing w:val="-31"/>
        </w:rPr>
        <w:t> </w:t>
      </w:r>
      <w:r>
        <w:rPr>
          <w:color w:val="231F20"/>
        </w:rPr>
        <w:t>локалних самоуправа</w:t>
      </w:r>
      <w:r>
        <w:rPr>
          <w:color w:val="231F20"/>
          <w:spacing w:val="-1"/>
        </w:rPr>
        <w:t> </w:t>
      </w:r>
      <w:r>
        <w:rPr>
          <w:color w:val="231F20"/>
        </w:rPr>
        <w:t>и</w:t>
      </w:r>
    </w:p>
    <w:p>
      <w:pPr>
        <w:pStyle w:val="BodyText"/>
        <w:spacing w:line="232" w:lineRule="auto"/>
        <w:ind w:left="453" w:right="1" w:firstLine="396"/>
      </w:pPr>
      <w:r>
        <w:rPr>
          <w:color w:val="231F20"/>
          <w:w w:val="66"/>
        </w:rPr>
        <w:t> </w:t>
      </w:r>
      <w:r>
        <w:rPr>
          <w:color w:val="231F20"/>
        </w:rPr>
        <w:t>– оперативном плану управљања мерама заштите и другим мерама за обезбеђење унутрашње безбедности у ванредној ситу- ацији и то у оквиру припрема и јачања кључне инфраструктуре  за потребе одбране и заштите, обезбеђење инструмената јавног осматрања, упозорења и узбуњивања, спречавања, ограничавања и</w:t>
      </w:r>
      <w:r>
        <w:rPr>
          <w:color w:val="231F20"/>
          <w:spacing w:val="-8"/>
        </w:rPr>
        <w:t> </w:t>
      </w:r>
      <w:r>
        <w:rPr>
          <w:color w:val="231F20"/>
        </w:rPr>
        <w:t>управљања</w:t>
      </w:r>
      <w:r>
        <w:rPr>
          <w:color w:val="231F20"/>
          <w:spacing w:val="-8"/>
        </w:rPr>
        <w:t> </w:t>
      </w:r>
      <w:r>
        <w:rPr>
          <w:color w:val="231F20"/>
        </w:rPr>
        <w:t>последицама</w:t>
      </w:r>
      <w:r>
        <w:rPr>
          <w:color w:val="231F20"/>
          <w:spacing w:val="-7"/>
        </w:rPr>
        <w:t> </w:t>
      </w:r>
      <w:r>
        <w:rPr>
          <w:color w:val="231F20"/>
        </w:rPr>
        <w:t>штета,</w:t>
      </w:r>
      <w:r>
        <w:rPr>
          <w:color w:val="231F20"/>
          <w:spacing w:val="-7"/>
        </w:rPr>
        <w:t> </w:t>
      </w:r>
      <w:r>
        <w:rPr>
          <w:color w:val="231F20"/>
        </w:rPr>
        <w:t>управљања</w:t>
      </w:r>
      <w:r>
        <w:rPr>
          <w:color w:val="231F20"/>
          <w:spacing w:val="-8"/>
        </w:rPr>
        <w:t> </w:t>
      </w:r>
      <w:r>
        <w:rPr>
          <w:color w:val="231F20"/>
        </w:rPr>
        <w:t>мобилисаним</w:t>
      </w:r>
      <w:r>
        <w:rPr>
          <w:color w:val="231F20"/>
          <w:spacing w:val="-8"/>
        </w:rPr>
        <w:t> </w:t>
      </w:r>
      <w:r>
        <w:rPr>
          <w:color w:val="231F20"/>
        </w:rPr>
        <w:t>ресур- сима, организације и спровођења бриге о </w:t>
      </w:r>
      <w:r>
        <w:rPr>
          <w:color w:val="231F20"/>
          <w:spacing w:val="-3"/>
        </w:rPr>
        <w:t>људима који </w:t>
      </w:r>
      <w:r>
        <w:rPr>
          <w:color w:val="231F20"/>
        </w:rPr>
        <w:t>траже скло- ниште и у оквиру планирања, организације и спровођења заштите историјских и културних</w:t>
      </w:r>
      <w:r>
        <w:rPr>
          <w:color w:val="231F20"/>
          <w:spacing w:val="-4"/>
        </w:rPr>
        <w:t> </w:t>
      </w:r>
      <w:r>
        <w:rPr>
          <w:color w:val="231F20"/>
        </w:rPr>
        <w:t>добара.</w:t>
      </w:r>
    </w:p>
    <w:p>
      <w:pPr>
        <w:pStyle w:val="BodyText"/>
        <w:spacing w:line="232" w:lineRule="auto"/>
        <w:ind w:left="453" w:firstLine="397"/>
      </w:pPr>
      <w:r>
        <w:rPr>
          <w:color w:val="231F20"/>
        </w:rPr>
        <w:t>За планирање и спровођење планских решења </w:t>
      </w:r>
      <w:r>
        <w:rPr>
          <w:color w:val="231F20"/>
          <w:spacing w:val="-4"/>
        </w:rPr>
        <w:t>која </w:t>
      </w:r>
      <w:r>
        <w:rPr>
          <w:color w:val="231F20"/>
        </w:rPr>
        <w:t>се односе на смањење </w:t>
      </w:r>
      <w:r>
        <w:rPr>
          <w:color w:val="231F20"/>
          <w:spacing w:val="-3"/>
        </w:rPr>
        <w:t>ризика </w:t>
      </w:r>
      <w:r>
        <w:rPr>
          <w:color w:val="231F20"/>
          <w:spacing w:val="-4"/>
        </w:rPr>
        <w:t>од </w:t>
      </w:r>
      <w:r>
        <w:rPr>
          <w:color w:val="231F20"/>
          <w:spacing w:val="-3"/>
        </w:rPr>
        <w:t>природних </w:t>
      </w:r>
      <w:r>
        <w:rPr>
          <w:color w:val="231F20"/>
        </w:rPr>
        <w:t>и </w:t>
      </w:r>
      <w:r>
        <w:rPr>
          <w:color w:val="231F20"/>
          <w:spacing w:val="-3"/>
        </w:rPr>
        <w:t>изазваних катастрофа </w:t>
      </w:r>
      <w:r>
        <w:rPr>
          <w:color w:val="231F20"/>
        </w:rPr>
        <w:t>и плани- раних мера заштите, </w:t>
      </w:r>
      <w:r>
        <w:rPr>
          <w:color w:val="231F20"/>
          <w:spacing w:val="-4"/>
        </w:rPr>
        <w:t>неопходно </w:t>
      </w:r>
      <w:r>
        <w:rPr>
          <w:color w:val="231F20"/>
        </w:rPr>
        <w:t>је </w:t>
      </w:r>
      <w:r>
        <w:rPr>
          <w:color w:val="231F20"/>
          <w:spacing w:val="-3"/>
        </w:rPr>
        <w:t>обезбедити </w:t>
      </w:r>
      <w:r>
        <w:rPr>
          <w:color w:val="231F20"/>
        </w:rPr>
        <w:t>План заштите и спа- савања у </w:t>
      </w:r>
      <w:r>
        <w:rPr>
          <w:color w:val="231F20"/>
          <w:spacing w:val="-3"/>
        </w:rPr>
        <w:t>ванредним ситуацијама. </w:t>
      </w:r>
      <w:r>
        <w:rPr>
          <w:color w:val="231F20"/>
        </w:rPr>
        <w:t>Планови за </w:t>
      </w:r>
      <w:r>
        <w:rPr>
          <w:color w:val="231F20"/>
          <w:spacing w:val="-3"/>
        </w:rPr>
        <w:t>заштиту </w:t>
      </w:r>
      <w:r>
        <w:rPr>
          <w:color w:val="231F20"/>
        </w:rPr>
        <w:t>и спасавање израђују се на </w:t>
      </w:r>
      <w:r>
        <w:rPr>
          <w:color w:val="231F20"/>
          <w:spacing w:val="-3"/>
        </w:rPr>
        <w:t>основу елабората </w:t>
      </w:r>
      <w:r>
        <w:rPr>
          <w:color w:val="231F20"/>
        </w:rPr>
        <w:t>о процени </w:t>
      </w:r>
      <w:r>
        <w:rPr>
          <w:color w:val="231F20"/>
          <w:spacing w:val="-3"/>
        </w:rPr>
        <w:t>угрожености </w:t>
      </w:r>
      <w:r>
        <w:rPr>
          <w:color w:val="231F20"/>
          <w:spacing w:val="-4"/>
        </w:rPr>
        <w:t>који </w:t>
      </w:r>
      <w:r>
        <w:rPr>
          <w:color w:val="231F20"/>
        </w:rPr>
        <w:t>садр- жи </w:t>
      </w:r>
      <w:r>
        <w:rPr>
          <w:color w:val="231F20"/>
          <w:spacing w:val="-3"/>
        </w:rPr>
        <w:t>карактеристике територије, </w:t>
      </w:r>
      <w:r>
        <w:rPr>
          <w:color w:val="231F20"/>
        </w:rPr>
        <w:t>критична постројења, критична ме- ста и просторе са </w:t>
      </w:r>
      <w:r>
        <w:rPr>
          <w:color w:val="231F20"/>
          <w:spacing w:val="-4"/>
        </w:rPr>
        <w:t>гледишта </w:t>
      </w:r>
      <w:r>
        <w:rPr>
          <w:color w:val="231F20"/>
          <w:spacing w:val="-3"/>
        </w:rPr>
        <w:t>угрожености </w:t>
      </w:r>
      <w:r>
        <w:rPr>
          <w:color w:val="231F20"/>
          <w:spacing w:val="-4"/>
        </w:rPr>
        <w:t>од </w:t>
      </w:r>
      <w:r>
        <w:rPr>
          <w:color w:val="231F20"/>
        </w:rPr>
        <w:t>елементарних </w:t>
      </w:r>
      <w:r>
        <w:rPr>
          <w:color w:val="231F20"/>
          <w:spacing w:val="-4"/>
        </w:rPr>
        <w:t>непогода </w:t>
      </w:r>
      <w:r>
        <w:rPr>
          <w:color w:val="231F20"/>
        </w:rPr>
        <w:t>и </w:t>
      </w:r>
      <w:r>
        <w:rPr>
          <w:color w:val="231F20"/>
          <w:spacing w:val="-3"/>
        </w:rPr>
        <w:t>других </w:t>
      </w:r>
      <w:r>
        <w:rPr>
          <w:color w:val="231F20"/>
        </w:rPr>
        <w:t>несрећа, са </w:t>
      </w:r>
      <w:r>
        <w:rPr>
          <w:color w:val="231F20"/>
          <w:spacing w:val="-3"/>
        </w:rPr>
        <w:t>евентуалним прекограничним ефектима удеса. </w:t>
      </w:r>
      <w:r>
        <w:rPr>
          <w:color w:val="231F20"/>
        </w:rPr>
        <w:t>План</w:t>
      </w:r>
      <w:r>
        <w:rPr>
          <w:color w:val="231F20"/>
          <w:spacing w:val="-15"/>
        </w:rPr>
        <w:t> </w:t>
      </w:r>
      <w:r>
        <w:rPr>
          <w:color w:val="231F20"/>
        </w:rPr>
        <w:t>заштите</w:t>
      </w:r>
      <w:r>
        <w:rPr>
          <w:color w:val="231F20"/>
          <w:spacing w:val="-15"/>
        </w:rPr>
        <w:t> </w:t>
      </w:r>
      <w:r>
        <w:rPr>
          <w:color w:val="231F20"/>
        </w:rPr>
        <w:t>и</w:t>
      </w:r>
      <w:r>
        <w:rPr>
          <w:color w:val="231F20"/>
          <w:spacing w:val="-15"/>
        </w:rPr>
        <w:t> </w:t>
      </w:r>
      <w:r>
        <w:rPr>
          <w:color w:val="231F20"/>
        </w:rPr>
        <w:t>спасавања</w:t>
      </w:r>
      <w:r>
        <w:rPr>
          <w:color w:val="231F20"/>
          <w:spacing w:val="-15"/>
        </w:rPr>
        <w:t> </w:t>
      </w:r>
      <w:r>
        <w:rPr>
          <w:color w:val="231F20"/>
        </w:rPr>
        <w:t>и</w:t>
      </w:r>
      <w:r>
        <w:rPr>
          <w:color w:val="231F20"/>
          <w:spacing w:val="-15"/>
        </w:rPr>
        <w:t> </w:t>
      </w:r>
      <w:r>
        <w:rPr>
          <w:color w:val="231F20"/>
        </w:rPr>
        <w:t>Процену</w:t>
      </w:r>
      <w:r>
        <w:rPr>
          <w:color w:val="231F20"/>
          <w:spacing w:val="-15"/>
        </w:rPr>
        <w:t> </w:t>
      </w:r>
      <w:r>
        <w:rPr>
          <w:color w:val="231F20"/>
          <w:spacing w:val="-3"/>
        </w:rPr>
        <w:t>угрожености</w:t>
      </w:r>
      <w:r>
        <w:rPr>
          <w:color w:val="231F20"/>
          <w:spacing w:val="-15"/>
        </w:rPr>
        <w:t> </w:t>
      </w:r>
      <w:r>
        <w:rPr>
          <w:color w:val="231F20"/>
        </w:rPr>
        <w:t>израђују</w:t>
      </w:r>
      <w:r>
        <w:rPr>
          <w:color w:val="231F20"/>
          <w:spacing w:val="-15"/>
        </w:rPr>
        <w:t> </w:t>
      </w:r>
      <w:r>
        <w:rPr>
          <w:color w:val="231F20"/>
        </w:rPr>
        <w:t>лица</w:t>
      </w:r>
      <w:r>
        <w:rPr>
          <w:color w:val="231F20"/>
          <w:spacing w:val="-15"/>
        </w:rPr>
        <w:t> </w:t>
      </w:r>
      <w:r>
        <w:rPr>
          <w:color w:val="231F20"/>
        </w:rPr>
        <w:t>са </w:t>
      </w:r>
      <w:r>
        <w:rPr>
          <w:color w:val="231F20"/>
          <w:spacing w:val="-3"/>
        </w:rPr>
        <w:t>лиценцом </w:t>
      </w:r>
      <w:r>
        <w:rPr>
          <w:color w:val="231F20"/>
        </w:rPr>
        <w:t>за процену </w:t>
      </w:r>
      <w:r>
        <w:rPr>
          <w:color w:val="231F20"/>
          <w:spacing w:val="-3"/>
        </w:rPr>
        <w:t>ризика, </w:t>
      </w:r>
      <w:r>
        <w:rPr>
          <w:color w:val="231F20"/>
        </w:rPr>
        <w:t>на </w:t>
      </w:r>
      <w:r>
        <w:rPr>
          <w:color w:val="231F20"/>
          <w:spacing w:val="-4"/>
        </w:rPr>
        <w:t>начин </w:t>
      </w:r>
      <w:r>
        <w:rPr>
          <w:color w:val="231F20"/>
          <w:spacing w:val="-5"/>
        </w:rPr>
        <w:t>како </w:t>
      </w:r>
      <w:r>
        <w:rPr>
          <w:color w:val="231F20"/>
        </w:rPr>
        <w:t>је </w:t>
      </w:r>
      <w:r>
        <w:rPr>
          <w:color w:val="231F20"/>
          <w:spacing w:val="-3"/>
        </w:rPr>
        <w:t>то </w:t>
      </w:r>
      <w:r>
        <w:rPr>
          <w:color w:val="231F20"/>
        </w:rPr>
        <w:t>прописано </w:t>
      </w:r>
      <w:r>
        <w:rPr>
          <w:color w:val="231F20"/>
          <w:spacing w:val="-3"/>
        </w:rPr>
        <w:t>одно- </w:t>
      </w:r>
      <w:r>
        <w:rPr>
          <w:color w:val="231F20"/>
        </w:rPr>
        <w:t>сним </w:t>
      </w:r>
      <w:r>
        <w:rPr>
          <w:color w:val="231F20"/>
          <w:spacing w:val="-3"/>
        </w:rPr>
        <w:t>правилником</w:t>
      </w:r>
      <w:r>
        <w:rPr>
          <w:color w:val="231F20"/>
          <w:spacing w:val="-3"/>
          <w:position w:val="6"/>
          <w:sz w:val="10"/>
        </w:rPr>
        <w:t>14</w:t>
      </w:r>
      <w:r>
        <w:rPr>
          <w:color w:val="231F20"/>
          <w:spacing w:val="-3"/>
        </w:rPr>
        <w:t>. Планска </w:t>
      </w:r>
      <w:r>
        <w:rPr>
          <w:color w:val="231F20"/>
        </w:rPr>
        <w:t>решења, смернице и </w:t>
      </w:r>
      <w:r>
        <w:rPr>
          <w:color w:val="231F20"/>
          <w:spacing w:val="-3"/>
        </w:rPr>
        <w:t>препоруке </w:t>
      </w:r>
      <w:r>
        <w:rPr>
          <w:color w:val="231F20"/>
        </w:rPr>
        <w:t>Про- </w:t>
      </w:r>
      <w:r>
        <w:rPr>
          <w:color w:val="231F20"/>
          <w:spacing w:val="-3"/>
        </w:rPr>
        <w:t>сторног </w:t>
      </w:r>
      <w:r>
        <w:rPr>
          <w:color w:val="231F20"/>
        </w:rPr>
        <w:t>плана </w:t>
      </w:r>
      <w:r>
        <w:rPr>
          <w:color w:val="231F20"/>
          <w:spacing w:val="-3"/>
        </w:rPr>
        <w:t>спроводе </w:t>
      </w:r>
      <w:r>
        <w:rPr>
          <w:color w:val="231F20"/>
        </w:rPr>
        <w:t>се кроз </w:t>
      </w:r>
      <w:r>
        <w:rPr>
          <w:color w:val="231F20"/>
          <w:spacing w:val="-3"/>
        </w:rPr>
        <w:t>урбанистичке </w:t>
      </w:r>
      <w:r>
        <w:rPr>
          <w:color w:val="231F20"/>
        </w:rPr>
        <w:t>услове непосредно</w:t>
      </w:r>
      <w:r>
        <w:rPr>
          <w:color w:val="231F20"/>
          <w:spacing w:val="-32"/>
        </w:rPr>
        <w:t> </w:t>
      </w:r>
      <w:r>
        <w:rPr>
          <w:color w:val="231F20"/>
        </w:rPr>
        <w:t>и, кроз даљу разраду Плана, </w:t>
      </w:r>
      <w:r>
        <w:rPr>
          <w:color w:val="231F20"/>
          <w:spacing w:val="-3"/>
        </w:rPr>
        <w:t>израдом планова нижег реда. </w:t>
      </w:r>
      <w:r>
        <w:rPr>
          <w:color w:val="231F20"/>
          <w:spacing w:val="-4"/>
        </w:rPr>
        <w:t>Неопходно </w:t>
      </w:r>
      <w:r>
        <w:rPr>
          <w:color w:val="231F20"/>
        </w:rPr>
        <w:t>је</w:t>
      </w:r>
      <w:r>
        <w:rPr>
          <w:color w:val="231F20"/>
          <w:spacing w:val="-12"/>
        </w:rPr>
        <w:t> </w:t>
      </w:r>
      <w:r>
        <w:rPr>
          <w:color w:val="231F20"/>
        </w:rPr>
        <w:t>да</w:t>
      </w:r>
      <w:r>
        <w:rPr>
          <w:color w:val="231F20"/>
          <w:spacing w:val="-12"/>
        </w:rPr>
        <w:t> </w:t>
      </w:r>
      <w:r>
        <w:rPr>
          <w:color w:val="231F20"/>
        </w:rPr>
        <w:t>надлежни</w:t>
      </w:r>
      <w:r>
        <w:rPr>
          <w:color w:val="231F20"/>
          <w:spacing w:val="-12"/>
        </w:rPr>
        <w:t> </w:t>
      </w:r>
      <w:r>
        <w:rPr>
          <w:color w:val="231F20"/>
        </w:rPr>
        <w:t>орган</w:t>
      </w:r>
      <w:r>
        <w:rPr>
          <w:color w:val="231F20"/>
          <w:spacing w:val="-12"/>
        </w:rPr>
        <w:t> </w:t>
      </w:r>
      <w:r>
        <w:rPr>
          <w:color w:val="231F20"/>
        </w:rPr>
        <w:t>локалне</w:t>
      </w:r>
      <w:r>
        <w:rPr>
          <w:color w:val="231F20"/>
          <w:spacing w:val="-12"/>
        </w:rPr>
        <w:t> </w:t>
      </w:r>
      <w:r>
        <w:rPr>
          <w:color w:val="231F20"/>
          <w:spacing w:val="-3"/>
        </w:rPr>
        <w:t>самоуправе</w:t>
      </w:r>
      <w:r>
        <w:rPr>
          <w:color w:val="231F20"/>
          <w:spacing w:val="-12"/>
        </w:rPr>
        <w:t> </w:t>
      </w:r>
      <w:r>
        <w:rPr>
          <w:color w:val="231F20"/>
        </w:rPr>
        <w:t>донесе</w:t>
      </w:r>
      <w:r>
        <w:rPr>
          <w:color w:val="231F20"/>
          <w:spacing w:val="-12"/>
        </w:rPr>
        <w:t> </w:t>
      </w:r>
      <w:r>
        <w:rPr>
          <w:color w:val="231F20"/>
          <w:spacing w:val="-4"/>
        </w:rPr>
        <w:t>одлуку</w:t>
      </w:r>
      <w:r>
        <w:rPr>
          <w:color w:val="231F20"/>
          <w:spacing w:val="-12"/>
        </w:rPr>
        <w:t> </w:t>
      </w:r>
      <w:r>
        <w:rPr>
          <w:color w:val="231F20"/>
        </w:rPr>
        <w:t>о</w:t>
      </w:r>
      <w:r>
        <w:rPr>
          <w:color w:val="231F20"/>
          <w:spacing w:val="-12"/>
        </w:rPr>
        <w:t> </w:t>
      </w:r>
      <w:r>
        <w:rPr>
          <w:color w:val="231F20"/>
        </w:rPr>
        <w:t>ажурира- њу </w:t>
      </w:r>
      <w:r>
        <w:rPr>
          <w:color w:val="231F20"/>
          <w:spacing w:val="-3"/>
        </w:rPr>
        <w:t>оперативних планова </w:t>
      </w:r>
      <w:r>
        <w:rPr>
          <w:color w:val="231F20"/>
        </w:rPr>
        <w:t>заштите и спасавања, </w:t>
      </w:r>
      <w:r>
        <w:rPr>
          <w:color w:val="231F20"/>
          <w:spacing w:val="-3"/>
        </w:rPr>
        <w:t>планова </w:t>
      </w:r>
      <w:r>
        <w:rPr>
          <w:color w:val="231F20"/>
        </w:rPr>
        <w:t>заштите </w:t>
      </w:r>
      <w:r>
        <w:rPr>
          <w:color w:val="231F20"/>
          <w:spacing w:val="-4"/>
        </w:rPr>
        <w:t>од </w:t>
      </w:r>
      <w:r>
        <w:rPr>
          <w:color w:val="231F20"/>
          <w:spacing w:val="-3"/>
        </w:rPr>
        <w:t>пожара </w:t>
      </w:r>
      <w:r>
        <w:rPr>
          <w:color w:val="231F20"/>
        </w:rPr>
        <w:t>и </w:t>
      </w:r>
      <w:r>
        <w:rPr>
          <w:color w:val="231F20"/>
          <w:spacing w:val="-3"/>
        </w:rPr>
        <w:t>поплава </w:t>
      </w:r>
      <w:r>
        <w:rPr>
          <w:color w:val="231F20"/>
        </w:rPr>
        <w:t>локалних </w:t>
      </w:r>
      <w:r>
        <w:rPr>
          <w:color w:val="231F20"/>
          <w:spacing w:val="-3"/>
        </w:rPr>
        <w:t>самоуправа </w:t>
      </w:r>
      <w:r>
        <w:rPr>
          <w:color w:val="231F20"/>
        </w:rPr>
        <w:t>и </w:t>
      </w:r>
      <w:r>
        <w:rPr>
          <w:color w:val="231F20"/>
          <w:spacing w:val="-4"/>
        </w:rPr>
        <w:t>друго </w:t>
      </w:r>
      <w:r>
        <w:rPr>
          <w:color w:val="231F20"/>
        </w:rPr>
        <w:t>у циљу </w:t>
      </w:r>
      <w:r>
        <w:rPr>
          <w:color w:val="231F20"/>
          <w:spacing w:val="-3"/>
        </w:rPr>
        <w:t>усаглаша- вања </w:t>
      </w:r>
      <w:r>
        <w:rPr>
          <w:color w:val="231F20"/>
        </w:rPr>
        <w:t>са </w:t>
      </w:r>
      <w:r>
        <w:rPr>
          <w:color w:val="231F20"/>
          <w:spacing w:val="-3"/>
        </w:rPr>
        <w:t>новом </w:t>
      </w:r>
      <w:r>
        <w:rPr>
          <w:color w:val="231F20"/>
          <w:spacing w:val="-4"/>
        </w:rPr>
        <w:t>регулативом, </w:t>
      </w:r>
      <w:r>
        <w:rPr>
          <w:color w:val="231F20"/>
          <w:spacing w:val="-3"/>
        </w:rPr>
        <w:t>усвојеном Стратегијом безбедности </w:t>
      </w:r>
      <w:r>
        <w:rPr>
          <w:color w:val="231F20"/>
        </w:rPr>
        <w:t>и просторно-планским</w:t>
      </w:r>
      <w:r>
        <w:rPr>
          <w:color w:val="231F20"/>
          <w:spacing w:val="-20"/>
        </w:rPr>
        <w:t> </w:t>
      </w:r>
      <w:r>
        <w:rPr>
          <w:color w:val="231F20"/>
        </w:rPr>
        <w:t>пропозицијама</w:t>
      </w:r>
      <w:r>
        <w:rPr>
          <w:color w:val="231F20"/>
          <w:spacing w:val="-20"/>
        </w:rPr>
        <w:t> </w:t>
      </w:r>
      <w:r>
        <w:rPr>
          <w:color w:val="231F20"/>
        </w:rPr>
        <w:t>Просторног</w:t>
      </w:r>
      <w:r>
        <w:rPr>
          <w:color w:val="231F20"/>
          <w:spacing w:val="-20"/>
        </w:rPr>
        <w:t> </w:t>
      </w:r>
      <w:r>
        <w:rPr>
          <w:color w:val="231F20"/>
        </w:rPr>
        <w:t>плана.</w:t>
      </w:r>
      <w:r>
        <w:rPr>
          <w:color w:val="231F20"/>
          <w:spacing w:val="-20"/>
        </w:rPr>
        <w:t> </w:t>
      </w:r>
      <w:r>
        <w:rPr>
          <w:color w:val="231F20"/>
        </w:rPr>
        <w:t>Реализаци- ја</w:t>
      </w:r>
      <w:r>
        <w:rPr>
          <w:color w:val="231F20"/>
          <w:spacing w:val="-14"/>
        </w:rPr>
        <w:t> </w:t>
      </w:r>
      <w:r>
        <w:rPr>
          <w:color w:val="231F20"/>
        </w:rPr>
        <w:t>мера</w:t>
      </w:r>
      <w:r>
        <w:rPr>
          <w:color w:val="231F20"/>
          <w:spacing w:val="-14"/>
        </w:rPr>
        <w:t> </w:t>
      </w:r>
      <w:r>
        <w:rPr>
          <w:color w:val="231F20"/>
        </w:rPr>
        <w:t>и</w:t>
      </w:r>
      <w:r>
        <w:rPr>
          <w:color w:val="231F20"/>
          <w:spacing w:val="-14"/>
        </w:rPr>
        <w:t> </w:t>
      </w:r>
      <w:r>
        <w:rPr>
          <w:color w:val="231F20"/>
        </w:rPr>
        <w:t>активности</w:t>
      </w:r>
      <w:r>
        <w:rPr>
          <w:color w:val="231F20"/>
          <w:spacing w:val="-14"/>
        </w:rPr>
        <w:t> </w:t>
      </w:r>
      <w:r>
        <w:rPr>
          <w:color w:val="231F20"/>
        </w:rPr>
        <w:t>заштите</w:t>
      </w:r>
      <w:r>
        <w:rPr>
          <w:color w:val="231F20"/>
          <w:spacing w:val="-14"/>
        </w:rPr>
        <w:t> </w:t>
      </w:r>
      <w:r>
        <w:rPr>
          <w:color w:val="231F20"/>
          <w:spacing w:val="-3"/>
        </w:rPr>
        <w:t>спроводи</w:t>
      </w:r>
      <w:r>
        <w:rPr>
          <w:color w:val="231F20"/>
          <w:spacing w:val="-14"/>
        </w:rPr>
        <w:t> </w:t>
      </w:r>
      <w:r>
        <w:rPr>
          <w:color w:val="231F20"/>
          <w:spacing w:val="-3"/>
        </w:rPr>
        <w:t>применом</w:t>
      </w:r>
      <w:r>
        <w:rPr>
          <w:color w:val="231F20"/>
          <w:spacing w:val="-14"/>
        </w:rPr>
        <w:t> </w:t>
      </w:r>
      <w:r>
        <w:rPr>
          <w:color w:val="231F20"/>
        </w:rPr>
        <w:t>Плана</w:t>
      </w:r>
      <w:r>
        <w:rPr>
          <w:color w:val="231F20"/>
          <w:spacing w:val="-14"/>
        </w:rPr>
        <w:t> </w:t>
      </w:r>
      <w:r>
        <w:rPr>
          <w:color w:val="231F20"/>
        </w:rPr>
        <w:t>заштите</w:t>
      </w:r>
      <w:r>
        <w:rPr>
          <w:color w:val="231F20"/>
          <w:spacing w:val="-14"/>
        </w:rPr>
        <w:t> </w:t>
      </w:r>
      <w:r>
        <w:rPr>
          <w:color w:val="231F20"/>
          <w:spacing w:val="-4"/>
        </w:rPr>
        <w:t>од </w:t>
      </w:r>
      <w:r>
        <w:rPr>
          <w:color w:val="231F20"/>
          <w:spacing w:val="-3"/>
        </w:rPr>
        <w:t>удеса </w:t>
      </w:r>
      <w:r>
        <w:rPr>
          <w:color w:val="231F20"/>
          <w:spacing w:val="-4"/>
        </w:rPr>
        <w:t>који </w:t>
      </w:r>
      <w:r>
        <w:rPr>
          <w:color w:val="231F20"/>
        </w:rPr>
        <w:t>је израђен у складу са </w:t>
      </w:r>
      <w:r>
        <w:rPr>
          <w:color w:val="231F20"/>
          <w:spacing w:val="-3"/>
        </w:rPr>
        <w:t>Проценом</w:t>
      </w:r>
      <w:r>
        <w:rPr>
          <w:color w:val="231F20"/>
          <w:spacing w:val="-27"/>
        </w:rPr>
        <w:t> </w:t>
      </w:r>
      <w:r>
        <w:rPr>
          <w:color w:val="231F20"/>
          <w:spacing w:val="-3"/>
        </w:rPr>
        <w:t>угрожености.</w:t>
      </w:r>
    </w:p>
    <w:p>
      <w:pPr>
        <w:pStyle w:val="BodyText"/>
        <w:spacing w:line="232" w:lineRule="auto"/>
        <w:ind w:left="454" w:firstLine="397"/>
      </w:pPr>
      <w:r>
        <w:rPr>
          <w:color w:val="231F20"/>
        </w:rPr>
        <w:t>Остала правна лица у оквиру Акта о заштити на раду имају обавезу да прецизирају задатке и поступке у ванредним догађаји- ма или ситуацијама, с тим што је право радника да у конкретном случају процени личну угроженост.</w:t>
      </w:r>
    </w:p>
    <w:p>
      <w:pPr>
        <w:pStyle w:val="BodyText"/>
        <w:spacing w:line="232" w:lineRule="auto"/>
        <w:ind w:left="454" w:firstLine="397"/>
      </w:pPr>
      <w:r>
        <w:rPr>
          <w:color w:val="231F20"/>
          <w:spacing w:val="-5"/>
        </w:rPr>
        <w:t>Услове </w:t>
      </w:r>
      <w:r>
        <w:rPr>
          <w:color w:val="231F20"/>
        </w:rPr>
        <w:t>и мере заштите и спасавања, обавезу изградње скло- ништа у стамбеним зонама градских насеља (Пожаревац, Косто- лац) и пословним, индустријским и јавним зонама, тип (породич- на, кућна, </w:t>
      </w:r>
      <w:r>
        <w:rPr>
          <w:color w:val="231F20"/>
          <w:spacing w:val="-3"/>
        </w:rPr>
        <w:t>блоковска </w:t>
      </w:r>
      <w:r>
        <w:rPr>
          <w:color w:val="231F20"/>
        </w:rPr>
        <w:t>и јавна, по правилу двонаменска склоништа, основне или допунске) и отпорност склоништа (30, 50 или 100 kPa) и могућност прилагођавања других објеката погодних за за- штиту и склањање на </w:t>
      </w:r>
      <w:r>
        <w:rPr>
          <w:color w:val="231F20"/>
          <w:spacing w:val="-3"/>
        </w:rPr>
        <w:t>Планском </w:t>
      </w:r>
      <w:r>
        <w:rPr>
          <w:color w:val="231F20"/>
        </w:rPr>
        <w:t>подручју (природни заклони, са- обраћајни и комунални објекти) утврдило је Јавно предузеће за склоништа </w:t>
      </w:r>
      <w:r>
        <w:rPr>
          <w:color w:val="231F20"/>
          <w:spacing w:val="-4"/>
        </w:rPr>
        <w:t>(Услови </w:t>
      </w:r>
      <w:r>
        <w:rPr>
          <w:color w:val="231F20"/>
        </w:rPr>
        <w:t>и мере заштите </w:t>
      </w:r>
      <w:r>
        <w:rPr>
          <w:color w:val="231F20"/>
          <w:spacing w:val="-3"/>
        </w:rPr>
        <w:t>од </w:t>
      </w:r>
      <w:r>
        <w:rPr>
          <w:color w:val="231F20"/>
        </w:rPr>
        <w:t>ратних дејстава, број 42- 26/12-3 </w:t>
      </w:r>
      <w:r>
        <w:rPr>
          <w:color w:val="231F20"/>
          <w:spacing w:val="-3"/>
        </w:rPr>
        <w:t>од </w:t>
      </w:r>
      <w:r>
        <w:rPr>
          <w:color w:val="231F20"/>
        </w:rPr>
        <w:t>13. марта 2012. године), којем су ови послови поверени у</w:t>
      </w:r>
      <w:r>
        <w:rPr>
          <w:color w:val="231F20"/>
          <w:spacing w:val="-9"/>
        </w:rPr>
        <w:t> </w:t>
      </w:r>
      <w:r>
        <w:rPr>
          <w:color w:val="231F20"/>
        </w:rPr>
        <w:t>складу</w:t>
      </w:r>
      <w:r>
        <w:rPr>
          <w:color w:val="231F20"/>
          <w:spacing w:val="-9"/>
        </w:rPr>
        <w:t> </w:t>
      </w:r>
      <w:r>
        <w:rPr>
          <w:color w:val="231F20"/>
        </w:rPr>
        <w:t>са</w:t>
      </w:r>
      <w:r>
        <w:rPr>
          <w:color w:val="231F20"/>
          <w:spacing w:val="-9"/>
        </w:rPr>
        <w:t> </w:t>
      </w:r>
      <w:r>
        <w:rPr>
          <w:color w:val="231F20"/>
          <w:spacing w:val="-3"/>
        </w:rPr>
        <w:t>Законом</w:t>
      </w:r>
      <w:r>
        <w:rPr>
          <w:color w:val="231F20"/>
          <w:spacing w:val="-9"/>
        </w:rPr>
        <w:t> </w:t>
      </w:r>
      <w:r>
        <w:rPr>
          <w:color w:val="231F20"/>
        </w:rPr>
        <w:t>о</w:t>
      </w:r>
      <w:r>
        <w:rPr>
          <w:color w:val="231F20"/>
          <w:spacing w:val="-9"/>
        </w:rPr>
        <w:t> </w:t>
      </w:r>
      <w:r>
        <w:rPr>
          <w:color w:val="231F20"/>
        </w:rPr>
        <w:t>ванредним</w:t>
      </w:r>
      <w:r>
        <w:rPr>
          <w:color w:val="231F20"/>
          <w:spacing w:val="-9"/>
        </w:rPr>
        <w:t> </w:t>
      </w:r>
      <w:r>
        <w:rPr>
          <w:color w:val="231F20"/>
        </w:rPr>
        <w:t>ситуацијама</w:t>
      </w:r>
      <w:r>
        <w:rPr>
          <w:color w:val="231F20"/>
          <w:spacing w:val="-9"/>
        </w:rPr>
        <w:t> </w:t>
      </w:r>
      <w:r>
        <w:rPr>
          <w:color w:val="231F20"/>
        </w:rPr>
        <w:t>(„Службени</w:t>
      </w:r>
      <w:r>
        <w:rPr>
          <w:color w:val="231F20"/>
          <w:spacing w:val="-9"/>
        </w:rPr>
        <w:t> </w:t>
      </w:r>
      <w:r>
        <w:rPr>
          <w:color w:val="231F20"/>
        </w:rPr>
        <w:t>гласник РС”, бр. </w:t>
      </w:r>
      <w:r>
        <w:rPr>
          <w:color w:val="231F20"/>
          <w:spacing w:val="-3"/>
        </w:rPr>
        <w:t>111/09 </w:t>
      </w:r>
      <w:r>
        <w:rPr>
          <w:color w:val="231F20"/>
        </w:rPr>
        <w:t>и</w:t>
      </w:r>
      <w:r>
        <w:rPr>
          <w:color w:val="231F20"/>
          <w:spacing w:val="0"/>
        </w:rPr>
        <w:t> </w:t>
      </w:r>
      <w:r>
        <w:rPr>
          <w:color w:val="231F20"/>
        </w:rPr>
        <w:t>92/11).</w:t>
      </w:r>
    </w:p>
    <w:p>
      <w:pPr>
        <w:pStyle w:val="BodyText"/>
        <w:spacing w:line="232" w:lineRule="auto"/>
        <w:ind w:left="454" w:firstLine="396"/>
      </w:pPr>
      <w:r>
        <w:rPr>
          <w:color w:val="231F20"/>
        </w:rPr>
        <w:t>Према</w:t>
      </w:r>
      <w:r>
        <w:rPr>
          <w:color w:val="231F20"/>
          <w:spacing w:val="-13"/>
        </w:rPr>
        <w:t> </w:t>
      </w:r>
      <w:r>
        <w:rPr>
          <w:color w:val="231F20"/>
          <w:spacing w:val="-5"/>
        </w:rPr>
        <w:t>Условима</w:t>
      </w:r>
      <w:r>
        <w:rPr>
          <w:color w:val="231F20"/>
          <w:spacing w:val="-13"/>
        </w:rPr>
        <w:t> </w:t>
      </w:r>
      <w:r>
        <w:rPr>
          <w:color w:val="231F20"/>
        </w:rPr>
        <w:t>и</w:t>
      </w:r>
      <w:r>
        <w:rPr>
          <w:color w:val="231F20"/>
          <w:spacing w:val="-13"/>
        </w:rPr>
        <w:t> </w:t>
      </w:r>
      <w:r>
        <w:rPr>
          <w:color w:val="231F20"/>
          <w:spacing w:val="-2"/>
        </w:rPr>
        <w:t>мерама</w:t>
      </w:r>
      <w:r>
        <w:rPr>
          <w:color w:val="231F20"/>
          <w:spacing w:val="-13"/>
        </w:rPr>
        <w:t> </w:t>
      </w:r>
      <w:r>
        <w:rPr>
          <w:color w:val="231F20"/>
        </w:rPr>
        <w:t>заштите</w:t>
      </w:r>
      <w:r>
        <w:rPr>
          <w:color w:val="231F20"/>
          <w:spacing w:val="-13"/>
        </w:rPr>
        <w:t> </w:t>
      </w:r>
      <w:r>
        <w:rPr>
          <w:color w:val="231F20"/>
          <w:spacing w:val="-4"/>
        </w:rPr>
        <w:t>од</w:t>
      </w:r>
      <w:r>
        <w:rPr>
          <w:color w:val="231F20"/>
          <w:spacing w:val="-13"/>
        </w:rPr>
        <w:t> </w:t>
      </w:r>
      <w:r>
        <w:rPr>
          <w:color w:val="231F20"/>
          <w:spacing w:val="-3"/>
        </w:rPr>
        <w:t>ратних</w:t>
      </w:r>
      <w:r>
        <w:rPr>
          <w:color w:val="231F20"/>
          <w:spacing w:val="-13"/>
        </w:rPr>
        <w:t> </w:t>
      </w:r>
      <w:r>
        <w:rPr>
          <w:color w:val="231F20"/>
        </w:rPr>
        <w:t>дејстава,</w:t>
      </w:r>
      <w:r>
        <w:rPr>
          <w:color w:val="231F20"/>
          <w:spacing w:val="-13"/>
        </w:rPr>
        <w:t> </w:t>
      </w:r>
      <w:r>
        <w:rPr>
          <w:color w:val="231F20"/>
        </w:rPr>
        <w:t>број</w:t>
      </w:r>
      <w:r>
        <w:rPr>
          <w:color w:val="231F20"/>
          <w:spacing w:val="-13"/>
        </w:rPr>
        <w:t> </w:t>
      </w:r>
      <w:r>
        <w:rPr>
          <w:color w:val="231F20"/>
        </w:rPr>
        <w:t>42- 26/12-3</w:t>
      </w:r>
      <w:r>
        <w:rPr>
          <w:color w:val="231F20"/>
          <w:spacing w:val="-9"/>
        </w:rPr>
        <w:t> </w:t>
      </w:r>
      <w:r>
        <w:rPr>
          <w:color w:val="231F20"/>
          <w:spacing w:val="-4"/>
        </w:rPr>
        <w:t>од</w:t>
      </w:r>
      <w:r>
        <w:rPr>
          <w:color w:val="231F20"/>
          <w:spacing w:val="-9"/>
        </w:rPr>
        <w:t> </w:t>
      </w:r>
      <w:r>
        <w:rPr>
          <w:color w:val="231F20"/>
        </w:rPr>
        <w:t>13.</w:t>
      </w:r>
      <w:r>
        <w:rPr>
          <w:color w:val="231F20"/>
          <w:spacing w:val="-9"/>
        </w:rPr>
        <w:t> </w:t>
      </w:r>
      <w:r>
        <w:rPr>
          <w:color w:val="231F20"/>
          <w:spacing w:val="-3"/>
        </w:rPr>
        <w:t>марта</w:t>
      </w:r>
      <w:r>
        <w:rPr>
          <w:color w:val="231F20"/>
          <w:spacing w:val="-9"/>
        </w:rPr>
        <w:t> </w:t>
      </w:r>
      <w:r>
        <w:rPr>
          <w:color w:val="231F20"/>
        </w:rPr>
        <w:t>2012.</w:t>
      </w:r>
      <w:r>
        <w:rPr>
          <w:color w:val="231F20"/>
          <w:spacing w:val="-9"/>
        </w:rPr>
        <w:t> </w:t>
      </w:r>
      <w:r>
        <w:rPr>
          <w:color w:val="231F20"/>
          <w:spacing w:val="-4"/>
        </w:rPr>
        <w:t>године,</w:t>
      </w:r>
      <w:r>
        <w:rPr>
          <w:color w:val="231F20"/>
          <w:spacing w:val="-9"/>
        </w:rPr>
        <w:t> </w:t>
      </w:r>
      <w:r>
        <w:rPr>
          <w:color w:val="231F20"/>
        </w:rPr>
        <w:t>у</w:t>
      </w:r>
      <w:r>
        <w:rPr>
          <w:color w:val="231F20"/>
          <w:spacing w:val="-9"/>
        </w:rPr>
        <w:t> </w:t>
      </w:r>
      <w:r>
        <w:rPr>
          <w:color w:val="231F20"/>
        </w:rPr>
        <w:t>сеоским</w:t>
      </w:r>
      <w:r>
        <w:rPr>
          <w:color w:val="231F20"/>
          <w:spacing w:val="-9"/>
        </w:rPr>
        <w:t> </w:t>
      </w:r>
      <w:r>
        <w:rPr>
          <w:color w:val="231F20"/>
        </w:rPr>
        <w:t>насељима</w:t>
      </w:r>
      <w:r>
        <w:rPr>
          <w:color w:val="231F20"/>
          <w:spacing w:val="-9"/>
        </w:rPr>
        <w:t> </w:t>
      </w:r>
      <w:r>
        <w:rPr>
          <w:color w:val="231F20"/>
        </w:rPr>
        <w:t>на</w:t>
      </w:r>
      <w:r>
        <w:rPr>
          <w:color w:val="231F20"/>
          <w:spacing w:val="-9"/>
        </w:rPr>
        <w:t> </w:t>
      </w:r>
      <w:r>
        <w:rPr>
          <w:color w:val="231F20"/>
          <w:spacing w:val="-4"/>
        </w:rPr>
        <w:t>Планском </w:t>
      </w:r>
      <w:r>
        <w:rPr>
          <w:color w:val="231F20"/>
          <w:spacing w:val="-3"/>
        </w:rPr>
        <w:t>подручју </w:t>
      </w:r>
      <w:r>
        <w:rPr>
          <w:color w:val="231F20"/>
        </w:rPr>
        <w:t>нема посебних </w:t>
      </w:r>
      <w:r>
        <w:rPr>
          <w:color w:val="231F20"/>
          <w:spacing w:val="-3"/>
        </w:rPr>
        <w:t>услова </w:t>
      </w:r>
      <w:r>
        <w:rPr>
          <w:color w:val="231F20"/>
        </w:rPr>
        <w:t>у </w:t>
      </w:r>
      <w:r>
        <w:rPr>
          <w:color w:val="231F20"/>
          <w:spacing w:val="-4"/>
        </w:rPr>
        <w:t>погледу </w:t>
      </w:r>
      <w:r>
        <w:rPr>
          <w:color w:val="231F20"/>
        </w:rPr>
        <w:t>заштите </w:t>
      </w:r>
      <w:r>
        <w:rPr>
          <w:color w:val="231F20"/>
          <w:spacing w:val="-4"/>
        </w:rPr>
        <w:t>од </w:t>
      </w:r>
      <w:r>
        <w:rPr>
          <w:color w:val="231F20"/>
          <w:spacing w:val="-3"/>
        </w:rPr>
        <w:t>ратних </w:t>
      </w:r>
      <w:r>
        <w:rPr>
          <w:color w:val="231F20"/>
        </w:rPr>
        <w:t>раза- рања,</w:t>
      </w:r>
      <w:r>
        <w:rPr>
          <w:color w:val="231F20"/>
          <w:spacing w:val="-10"/>
        </w:rPr>
        <w:t> </w:t>
      </w:r>
      <w:r>
        <w:rPr>
          <w:color w:val="231F20"/>
        </w:rPr>
        <w:t>а</w:t>
      </w:r>
      <w:r>
        <w:rPr>
          <w:color w:val="231F20"/>
          <w:spacing w:val="-10"/>
        </w:rPr>
        <w:t> </w:t>
      </w:r>
      <w:r>
        <w:rPr>
          <w:color w:val="231F20"/>
        </w:rPr>
        <w:t>услови</w:t>
      </w:r>
      <w:r>
        <w:rPr>
          <w:color w:val="231F20"/>
          <w:spacing w:val="-10"/>
        </w:rPr>
        <w:t> </w:t>
      </w:r>
      <w:r>
        <w:rPr>
          <w:color w:val="231F20"/>
        </w:rPr>
        <w:t>за</w:t>
      </w:r>
      <w:r>
        <w:rPr>
          <w:color w:val="231F20"/>
          <w:spacing w:val="-10"/>
        </w:rPr>
        <w:t> </w:t>
      </w:r>
      <w:r>
        <w:rPr>
          <w:color w:val="231F20"/>
        </w:rPr>
        <w:t>изградњу</w:t>
      </w:r>
      <w:r>
        <w:rPr>
          <w:color w:val="231F20"/>
          <w:spacing w:val="-10"/>
        </w:rPr>
        <w:t> </w:t>
      </w:r>
      <w:r>
        <w:rPr>
          <w:color w:val="231F20"/>
        </w:rPr>
        <w:t>склоништа</w:t>
      </w:r>
      <w:r>
        <w:rPr>
          <w:color w:val="231F20"/>
          <w:spacing w:val="-10"/>
        </w:rPr>
        <w:t> </w:t>
      </w:r>
      <w:r>
        <w:rPr>
          <w:color w:val="231F20"/>
        </w:rPr>
        <w:t>у</w:t>
      </w:r>
      <w:r>
        <w:rPr>
          <w:color w:val="231F20"/>
          <w:spacing w:val="-10"/>
        </w:rPr>
        <w:t> </w:t>
      </w:r>
      <w:r>
        <w:rPr>
          <w:color w:val="231F20"/>
        </w:rPr>
        <w:t>градским</w:t>
      </w:r>
      <w:r>
        <w:rPr>
          <w:color w:val="231F20"/>
          <w:spacing w:val="-10"/>
        </w:rPr>
        <w:t> </w:t>
      </w:r>
      <w:r>
        <w:rPr>
          <w:color w:val="231F20"/>
        </w:rPr>
        <w:t>насељима</w:t>
      </w:r>
      <w:r>
        <w:rPr>
          <w:color w:val="231F20"/>
          <w:spacing w:val="-10"/>
        </w:rPr>
        <w:t> </w:t>
      </w:r>
      <w:r>
        <w:rPr>
          <w:color w:val="231F20"/>
          <w:spacing w:val="-4"/>
        </w:rPr>
        <w:t>ближе </w:t>
      </w:r>
      <w:r>
        <w:rPr>
          <w:color w:val="231F20"/>
        </w:rPr>
        <w:t>ће</w:t>
      </w:r>
      <w:r>
        <w:rPr>
          <w:color w:val="231F20"/>
          <w:spacing w:val="-6"/>
        </w:rPr>
        <w:t> </w:t>
      </w:r>
      <w:r>
        <w:rPr>
          <w:color w:val="231F20"/>
        </w:rPr>
        <w:t>се</w:t>
      </w:r>
      <w:r>
        <w:rPr>
          <w:color w:val="231F20"/>
          <w:spacing w:val="-6"/>
        </w:rPr>
        <w:t> </w:t>
      </w:r>
      <w:r>
        <w:rPr>
          <w:color w:val="231F20"/>
        </w:rPr>
        <w:t>разрадити</w:t>
      </w:r>
      <w:r>
        <w:rPr>
          <w:color w:val="231F20"/>
          <w:spacing w:val="-6"/>
        </w:rPr>
        <w:t> </w:t>
      </w:r>
      <w:r>
        <w:rPr>
          <w:color w:val="231F20"/>
        </w:rPr>
        <w:t>за</w:t>
      </w:r>
      <w:r>
        <w:rPr>
          <w:color w:val="231F20"/>
          <w:spacing w:val="-6"/>
        </w:rPr>
        <w:t> </w:t>
      </w:r>
      <w:r>
        <w:rPr>
          <w:color w:val="231F20"/>
          <w:spacing w:val="-3"/>
        </w:rPr>
        <w:t>потребе</w:t>
      </w:r>
      <w:r>
        <w:rPr>
          <w:color w:val="231F20"/>
          <w:spacing w:val="-6"/>
        </w:rPr>
        <w:t> </w:t>
      </w:r>
      <w:r>
        <w:rPr>
          <w:color w:val="231F20"/>
        </w:rPr>
        <w:t>израде</w:t>
      </w:r>
      <w:r>
        <w:rPr>
          <w:color w:val="231F20"/>
          <w:spacing w:val="-6"/>
        </w:rPr>
        <w:t> </w:t>
      </w:r>
      <w:r>
        <w:rPr>
          <w:color w:val="231F20"/>
          <w:spacing w:val="-3"/>
        </w:rPr>
        <w:t>планова</w:t>
      </w:r>
      <w:r>
        <w:rPr>
          <w:color w:val="231F20"/>
          <w:spacing w:val="-6"/>
        </w:rPr>
        <w:t> </w:t>
      </w:r>
      <w:r>
        <w:rPr>
          <w:color w:val="231F20"/>
        </w:rPr>
        <w:t>детаљне</w:t>
      </w:r>
      <w:r>
        <w:rPr>
          <w:color w:val="231F20"/>
          <w:spacing w:val="-6"/>
        </w:rPr>
        <w:t> </w:t>
      </w:r>
      <w:r>
        <w:rPr>
          <w:color w:val="231F20"/>
          <w:spacing w:val="-3"/>
        </w:rPr>
        <w:t>регулације.</w:t>
      </w:r>
    </w:p>
    <w:p>
      <w:pPr>
        <w:pStyle w:val="BodyText"/>
        <w:spacing w:line="232" w:lineRule="auto"/>
        <w:ind w:left="455" w:firstLine="396"/>
      </w:pPr>
      <w:r>
        <w:rPr>
          <w:color w:val="231F20"/>
          <w:spacing w:val="-6"/>
        </w:rPr>
        <w:t>Услови </w:t>
      </w:r>
      <w:r>
        <w:rPr>
          <w:color w:val="231F20"/>
        </w:rPr>
        <w:t>и </w:t>
      </w:r>
      <w:r>
        <w:rPr>
          <w:color w:val="231F20"/>
          <w:spacing w:val="-3"/>
        </w:rPr>
        <w:t>захтеви </w:t>
      </w:r>
      <w:r>
        <w:rPr>
          <w:color w:val="231F20"/>
        </w:rPr>
        <w:t>у вези са </w:t>
      </w:r>
      <w:r>
        <w:rPr>
          <w:color w:val="231F20"/>
          <w:spacing w:val="-2"/>
        </w:rPr>
        <w:t>потребама </w:t>
      </w:r>
      <w:r>
        <w:rPr>
          <w:color w:val="231F20"/>
          <w:spacing w:val="-3"/>
        </w:rPr>
        <w:t>одбране, </w:t>
      </w:r>
      <w:r>
        <w:rPr>
          <w:color w:val="231F20"/>
        </w:rPr>
        <w:t>у складу са условима Министарства </w:t>
      </w:r>
      <w:r>
        <w:rPr>
          <w:color w:val="231F20"/>
          <w:spacing w:val="-3"/>
        </w:rPr>
        <w:t>одбране, Сектора </w:t>
      </w:r>
      <w:r>
        <w:rPr>
          <w:color w:val="231F20"/>
        </w:rPr>
        <w:t>за </w:t>
      </w:r>
      <w:r>
        <w:rPr>
          <w:color w:val="231F20"/>
          <w:spacing w:val="-3"/>
        </w:rPr>
        <w:t>материјалне </w:t>
      </w:r>
      <w:r>
        <w:rPr>
          <w:color w:val="231F20"/>
        </w:rPr>
        <w:t>ресурсе, </w:t>
      </w:r>
      <w:r>
        <w:rPr>
          <w:color w:val="231F20"/>
          <w:spacing w:val="-5"/>
        </w:rPr>
        <w:t>Управа </w:t>
      </w:r>
      <w:r>
        <w:rPr>
          <w:color w:val="231F20"/>
        </w:rPr>
        <w:t>за </w:t>
      </w:r>
      <w:r>
        <w:rPr>
          <w:color w:val="231F20"/>
          <w:spacing w:val="-4"/>
        </w:rPr>
        <w:t>инфраструктуру, </w:t>
      </w:r>
      <w:r>
        <w:rPr>
          <w:color w:val="231F20"/>
          <w:spacing w:val="-5"/>
        </w:rPr>
        <w:t>инт. </w:t>
      </w:r>
      <w:r>
        <w:rPr>
          <w:color w:val="231F20"/>
        </w:rPr>
        <w:t>бр. 2292-4 </w:t>
      </w:r>
      <w:r>
        <w:rPr>
          <w:color w:val="231F20"/>
          <w:spacing w:val="-4"/>
        </w:rPr>
        <w:t>од </w:t>
      </w:r>
      <w:r>
        <w:rPr>
          <w:color w:val="231F20"/>
        </w:rPr>
        <w:t>8. септембра 2010.</w:t>
      </w:r>
      <w:r>
        <w:rPr>
          <w:color w:val="231F20"/>
          <w:spacing w:val="-18"/>
        </w:rPr>
        <w:t> </w:t>
      </w:r>
      <w:r>
        <w:rPr>
          <w:color w:val="231F20"/>
          <w:spacing w:val="-3"/>
        </w:rPr>
        <w:t>го- </w:t>
      </w:r>
      <w:r>
        <w:rPr>
          <w:color w:val="231F20"/>
        </w:rPr>
        <w:t>дине,</w:t>
      </w:r>
      <w:r>
        <w:rPr>
          <w:color w:val="231F20"/>
          <w:spacing w:val="-13"/>
        </w:rPr>
        <w:t> </w:t>
      </w:r>
      <w:r>
        <w:rPr>
          <w:color w:val="231F20"/>
        </w:rPr>
        <w:t>непосредно</w:t>
      </w:r>
      <w:r>
        <w:rPr>
          <w:color w:val="231F20"/>
          <w:spacing w:val="-13"/>
        </w:rPr>
        <w:t> </w:t>
      </w:r>
      <w:r>
        <w:rPr>
          <w:color w:val="231F20"/>
          <w:spacing w:val="-3"/>
        </w:rPr>
        <w:t>су</w:t>
      </w:r>
      <w:r>
        <w:rPr>
          <w:color w:val="231F20"/>
          <w:spacing w:val="-13"/>
        </w:rPr>
        <w:t> </w:t>
      </w:r>
      <w:r>
        <w:rPr>
          <w:color w:val="231F20"/>
        </w:rPr>
        <w:t>уграђени</w:t>
      </w:r>
      <w:r>
        <w:rPr>
          <w:color w:val="231F20"/>
          <w:spacing w:val="-13"/>
        </w:rPr>
        <w:t> </w:t>
      </w:r>
      <w:r>
        <w:rPr>
          <w:color w:val="231F20"/>
        </w:rPr>
        <w:t>у</w:t>
      </w:r>
      <w:r>
        <w:rPr>
          <w:color w:val="231F20"/>
          <w:spacing w:val="-13"/>
        </w:rPr>
        <w:t> </w:t>
      </w:r>
      <w:r>
        <w:rPr>
          <w:color w:val="231F20"/>
          <w:spacing w:val="-3"/>
        </w:rPr>
        <w:t>планска</w:t>
      </w:r>
      <w:r>
        <w:rPr>
          <w:color w:val="231F20"/>
          <w:spacing w:val="-13"/>
        </w:rPr>
        <w:t> </w:t>
      </w:r>
      <w:r>
        <w:rPr>
          <w:color w:val="231F20"/>
        </w:rPr>
        <w:t>решења</w:t>
      </w:r>
      <w:r>
        <w:rPr>
          <w:color w:val="231F20"/>
          <w:spacing w:val="-13"/>
        </w:rPr>
        <w:t> </w:t>
      </w:r>
      <w:r>
        <w:rPr>
          <w:color w:val="231F20"/>
        </w:rPr>
        <w:t>Просторног</w:t>
      </w:r>
      <w:r>
        <w:rPr>
          <w:color w:val="231F20"/>
          <w:spacing w:val="-13"/>
        </w:rPr>
        <w:t> </w:t>
      </w:r>
      <w:r>
        <w:rPr>
          <w:color w:val="231F20"/>
        </w:rPr>
        <w:t>плана.</w:t>
      </w:r>
    </w:p>
    <w:p>
      <w:pPr>
        <w:spacing w:line="152"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23"/>
        </w:numPr>
        <w:tabs>
          <w:tab w:pos="738" w:val="left" w:leader="none"/>
        </w:tabs>
        <w:spacing w:line="240" w:lineRule="auto" w:before="0" w:after="0"/>
        <w:ind w:left="737" w:right="0" w:hanging="284"/>
        <w:jc w:val="both"/>
        <w:rPr>
          <w:sz w:val="14"/>
        </w:rPr>
      </w:pPr>
      <w:r>
        <w:rPr>
          <w:color w:val="231F20"/>
          <w:spacing w:val="-3"/>
          <w:sz w:val="14"/>
        </w:rPr>
        <w:t>Градско </w:t>
      </w:r>
      <w:r>
        <w:rPr>
          <w:color w:val="231F20"/>
          <w:sz w:val="14"/>
        </w:rPr>
        <w:t>веће града Пожаревца је у року </w:t>
      </w:r>
      <w:r>
        <w:rPr>
          <w:color w:val="231F20"/>
          <w:spacing w:val="-3"/>
          <w:sz w:val="14"/>
        </w:rPr>
        <w:t>који </w:t>
      </w:r>
      <w:r>
        <w:rPr>
          <w:color w:val="231F20"/>
          <w:sz w:val="14"/>
        </w:rPr>
        <w:t>је предвиђен </w:t>
      </w:r>
      <w:r>
        <w:rPr>
          <w:color w:val="231F20"/>
          <w:spacing w:val="-3"/>
          <w:sz w:val="14"/>
        </w:rPr>
        <w:t>Уредбом  </w:t>
      </w:r>
      <w:r>
        <w:rPr>
          <w:color w:val="231F20"/>
          <w:sz w:val="14"/>
        </w:rPr>
        <w:t>о садржају  и начину израде планова заштите и спасавања у ванредним ситуацијама („Слу- жбени гласник РС”, број 8/11) усвојило Процену угрожености територије града Пожаревца</w:t>
      </w:r>
    </w:p>
    <w:p>
      <w:pPr>
        <w:pStyle w:val="Heading1"/>
        <w:spacing w:line="429" w:lineRule="auto" w:before="65"/>
        <w:ind w:left="749" w:right="636" w:firstLine="0"/>
        <w:jc w:val="center"/>
      </w:pPr>
      <w:r>
        <w:rPr>
          <w:b w:val="0"/>
        </w:rPr>
        <w:br w:type="column"/>
      </w:r>
      <w:r>
        <w:rPr>
          <w:color w:val="231F20"/>
        </w:rPr>
        <w:t>Kњига II: Правила изградње и правила уређења Уводне напомене</w:t>
      </w:r>
    </w:p>
    <w:p>
      <w:pPr>
        <w:pStyle w:val="BodyText"/>
        <w:spacing w:line="232" w:lineRule="auto" w:before="37"/>
        <w:ind w:left="240" w:right="127" w:firstLine="397"/>
      </w:pPr>
      <w:r>
        <w:rPr>
          <w:color w:val="231F20"/>
        </w:rPr>
        <w:t>Стратегијом развоја енергетике </w:t>
      </w:r>
      <w:r>
        <w:rPr>
          <w:color w:val="231F20"/>
          <w:spacing w:val="-3"/>
        </w:rPr>
        <w:t>Републике </w:t>
      </w:r>
      <w:r>
        <w:rPr>
          <w:color w:val="231F20"/>
        </w:rPr>
        <w:t>Србије до 2015. </w:t>
      </w:r>
      <w:r>
        <w:rPr>
          <w:color w:val="231F20"/>
          <w:spacing w:val="-3"/>
        </w:rPr>
        <w:t>године</w:t>
      </w:r>
      <w:r>
        <w:rPr>
          <w:color w:val="231F20"/>
          <w:spacing w:val="-11"/>
        </w:rPr>
        <w:t> </w:t>
      </w:r>
      <w:r>
        <w:rPr>
          <w:color w:val="231F20"/>
        </w:rPr>
        <w:t>(„Службени</w:t>
      </w:r>
      <w:r>
        <w:rPr>
          <w:color w:val="231F20"/>
          <w:spacing w:val="-11"/>
        </w:rPr>
        <w:t> </w:t>
      </w:r>
      <w:r>
        <w:rPr>
          <w:color w:val="231F20"/>
        </w:rPr>
        <w:t>гласник</w:t>
      </w:r>
      <w:r>
        <w:rPr>
          <w:color w:val="231F20"/>
          <w:spacing w:val="-11"/>
        </w:rPr>
        <w:t> </w:t>
      </w:r>
      <w:r>
        <w:rPr>
          <w:color w:val="231F20"/>
        </w:rPr>
        <w:t>РС”,</w:t>
      </w:r>
      <w:r>
        <w:rPr>
          <w:color w:val="231F20"/>
          <w:spacing w:val="-11"/>
        </w:rPr>
        <w:t> </w:t>
      </w:r>
      <w:r>
        <w:rPr>
          <w:color w:val="231F20"/>
        </w:rPr>
        <w:t>број</w:t>
      </w:r>
      <w:r>
        <w:rPr>
          <w:color w:val="231F20"/>
          <w:spacing w:val="-11"/>
        </w:rPr>
        <w:t> </w:t>
      </w:r>
      <w:r>
        <w:rPr>
          <w:color w:val="231F20"/>
        </w:rPr>
        <w:t>44/05)</w:t>
      </w:r>
      <w:r>
        <w:rPr>
          <w:color w:val="231F20"/>
          <w:spacing w:val="-11"/>
        </w:rPr>
        <w:t> </w:t>
      </w:r>
      <w:r>
        <w:rPr>
          <w:color w:val="231F20"/>
        </w:rPr>
        <w:t>и</w:t>
      </w:r>
      <w:r>
        <w:rPr>
          <w:color w:val="231F20"/>
          <w:spacing w:val="-11"/>
        </w:rPr>
        <w:t> </w:t>
      </w:r>
      <w:r>
        <w:rPr>
          <w:color w:val="231F20"/>
        </w:rPr>
        <w:t>Програмом</w:t>
      </w:r>
      <w:r>
        <w:rPr>
          <w:color w:val="231F20"/>
          <w:spacing w:val="-11"/>
        </w:rPr>
        <w:t> </w:t>
      </w:r>
      <w:r>
        <w:rPr>
          <w:color w:val="231F20"/>
        </w:rPr>
        <w:t>за</w:t>
      </w:r>
      <w:r>
        <w:rPr>
          <w:color w:val="231F20"/>
          <w:spacing w:val="-11"/>
        </w:rPr>
        <w:t> </w:t>
      </w:r>
      <w:r>
        <w:rPr>
          <w:color w:val="231F20"/>
        </w:rPr>
        <w:t>оства- ривање Стратегије енергетског развоја </w:t>
      </w:r>
      <w:r>
        <w:rPr>
          <w:color w:val="231F20"/>
          <w:spacing w:val="-3"/>
        </w:rPr>
        <w:t>Републике </w:t>
      </w:r>
      <w:r>
        <w:rPr>
          <w:color w:val="231F20"/>
        </w:rPr>
        <w:t>Србије до 2015. </w:t>
      </w:r>
      <w:r>
        <w:rPr>
          <w:color w:val="231F20"/>
          <w:spacing w:val="-3"/>
        </w:rPr>
        <w:t>године </w:t>
      </w:r>
      <w:r>
        <w:rPr>
          <w:color w:val="231F20"/>
        </w:rPr>
        <w:t>за период 2007 – 2012. </w:t>
      </w:r>
      <w:r>
        <w:rPr>
          <w:color w:val="231F20"/>
          <w:spacing w:val="-3"/>
        </w:rPr>
        <w:t>године </w:t>
      </w:r>
      <w:r>
        <w:rPr>
          <w:color w:val="231F20"/>
        </w:rPr>
        <w:t>(„Службени гласник РС”, број 27/10), предвиђен је раст енергетских потреба и производње електричне енергије уз повећано учешће домаћих енергетских из- вора. Имајући у виду стање постојећих термоенергетских објекта, као и могућу ревитализацију и модернизацију рударско-енергет- </w:t>
      </w:r>
      <w:r>
        <w:rPr>
          <w:color w:val="231F20"/>
          <w:spacing w:val="-3"/>
        </w:rPr>
        <w:t>ског </w:t>
      </w:r>
      <w:r>
        <w:rPr>
          <w:color w:val="231F20"/>
        </w:rPr>
        <w:t>система у </w:t>
      </w:r>
      <w:r>
        <w:rPr>
          <w:color w:val="231F20"/>
          <w:spacing w:val="-4"/>
        </w:rPr>
        <w:t>Костолачком </w:t>
      </w:r>
      <w:r>
        <w:rPr>
          <w:color w:val="231F20"/>
        </w:rPr>
        <w:t>угљеном </w:t>
      </w:r>
      <w:r>
        <w:rPr>
          <w:color w:val="231F20"/>
          <w:spacing w:val="-3"/>
        </w:rPr>
        <w:t>басену, </w:t>
      </w:r>
      <w:r>
        <w:rPr>
          <w:color w:val="231F20"/>
        </w:rPr>
        <w:t>(према „Стратегији развоја експлоатације у </w:t>
      </w:r>
      <w:r>
        <w:rPr>
          <w:color w:val="231F20"/>
          <w:spacing w:val="-4"/>
        </w:rPr>
        <w:t>Костолачком </w:t>
      </w:r>
      <w:r>
        <w:rPr>
          <w:color w:val="231F20"/>
        </w:rPr>
        <w:t>басену” као и у измењеном и допуњеном</w:t>
      </w:r>
      <w:r>
        <w:rPr>
          <w:color w:val="231F20"/>
          <w:spacing w:val="-7"/>
        </w:rPr>
        <w:t> </w:t>
      </w:r>
      <w:r>
        <w:rPr>
          <w:color w:val="231F20"/>
        </w:rPr>
        <w:t>Програму</w:t>
      </w:r>
      <w:r>
        <w:rPr>
          <w:color w:val="231F20"/>
          <w:spacing w:val="-7"/>
        </w:rPr>
        <w:t> </w:t>
      </w:r>
      <w:r>
        <w:rPr>
          <w:color w:val="231F20"/>
        </w:rPr>
        <w:t>остваривања</w:t>
      </w:r>
      <w:r>
        <w:rPr>
          <w:color w:val="231F20"/>
          <w:spacing w:val="-7"/>
        </w:rPr>
        <w:t> </w:t>
      </w:r>
      <w:r>
        <w:rPr>
          <w:color w:val="231F20"/>
        </w:rPr>
        <w:t>Стратегије</w:t>
      </w:r>
      <w:r>
        <w:rPr>
          <w:color w:val="231F20"/>
          <w:spacing w:val="-7"/>
        </w:rPr>
        <w:t> </w:t>
      </w:r>
      <w:r>
        <w:rPr>
          <w:color w:val="231F20"/>
        </w:rPr>
        <w:t>енергетског</w:t>
      </w:r>
      <w:r>
        <w:rPr>
          <w:color w:val="231F20"/>
          <w:spacing w:val="-7"/>
        </w:rPr>
        <w:t> </w:t>
      </w:r>
      <w:r>
        <w:rPr>
          <w:color w:val="231F20"/>
        </w:rPr>
        <w:t>развоја </w:t>
      </w:r>
      <w:r>
        <w:rPr>
          <w:color w:val="231F20"/>
          <w:spacing w:val="-3"/>
        </w:rPr>
        <w:t>Републике </w:t>
      </w:r>
      <w:r>
        <w:rPr>
          <w:color w:val="231F20"/>
        </w:rPr>
        <w:t>Србије до 2015. године)</w:t>
      </w:r>
      <w:r>
        <w:rPr>
          <w:color w:val="231F20"/>
          <w:position w:val="6"/>
          <w:sz w:val="10"/>
        </w:rPr>
        <w:t>1 </w:t>
      </w:r>
      <w:r>
        <w:rPr>
          <w:color w:val="231F20"/>
        </w:rPr>
        <w:t>утврђена је концепција разво- ја рударских и термоенергетских капата у </w:t>
      </w:r>
      <w:r>
        <w:rPr>
          <w:color w:val="231F20"/>
          <w:spacing w:val="-4"/>
        </w:rPr>
        <w:t>Костолачком </w:t>
      </w:r>
      <w:r>
        <w:rPr>
          <w:color w:val="231F20"/>
          <w:spacing w:val="-3"/>
        </w:rPr>
        <w:t>басену. </w:t>
      </w:r>
      <w:r>
        <w:rPr>
          <w:color w:val="231F20"/>
        </w:rPr>
        <w:t>За континуирани рад планираних термоенергетских капацитета (из- градња трећег блока у термоелектрани (у даљем тексту: ТЕ) </w:t>
      </w:r>
      <w:r>
        <w:rPr>
          <w:color w:val="231F20"/>
          <w:spacing w:val="-3"/>
        </w:rPr>
        <w:t>„Ко- </w:t>
      </w:r>
      <w:r>
        <w:rPr>
          <w:color w:val="231F20"/>
        </w:rPr>
        <w:t>столац Б”) потребна је годишња производња </w:t>
      </w:r>
      <w:r>
        <w:rPr>
          <w:color w:val="231F20"/>
          <w:spacing w:val="-3"/>
        </w:rPr>
        <w:t>од </w:t>
      </w:r>
      <w:r>
        <w:rPr>
          <w:color w:val="231F20"/>
        </w:rPr>
        <w:t>дванаест милиона тона угља годишње, што подразумева даље повећање капацитета површинског </w:t>
      </w:r>
      <w:r>
        <w:rPr>
          <w:color w:val="231F20"/>
          <w:spacing w:val="-3"/>
        </w:rPr>
        <w:t>копа </w:t>
      </w:r>
      <w:r>
        <w:rPr>
          <w:color w:val="231F20"/>
        </w:rPr>
        <w:t>(у даљем тексту: ПК)</w:t>
      </w:r>
      <w:r>
        <w:rPr>
          <w:color w:val="231F20"/>
          <w:spacing w:val="-7"/>
        </w:rPr>
        <w:t> </w:t>
      </w:r>
      <w:r>
        <w:rPr>
          <w:color w:val="231F20"/>
        </w:rPr>
        <w:t>„Дрмно”.</w:t>
      </w:r>
    </w:p>
    <w:p>
      <w:pPr>
        <w:pStyle w:val="BodyText"/>
        <w:spacing w:line="232" w:lineRule="auto" w:before="8"/>
        <w:ind w:left="242" w:right="127" w:firstLine="396"/>
      </w:pPr>
      <w:r>
        <w:rPr>
          <w:color w:val="231F20"/>
        </w:rPr>
        <w:t>У Просторном плану подручја посебне  намене  Костолач- ког угљеног басена (у даљем тексту: Просторни план) урађена су (ближа) правила изградње и правила уређења простора за десет просторних целина и коридора посебне намене, док су за остала подручја посебне намене и коридоре утврђена општа правила из- градње и уређења простора.</w:t>
      </w:r>
    </w:p>
    <w:p>
      <w:pPr>
        <w:pStyle w:val="BodyText"/>
        <w:spacing w:line="202" w:lineRule="exact"/>
        <w:ind w:left="639"/>
        <w:jc w:val="left"/>
      </w:pPr>
      <w:r>
        <w:rPr>
          <w:color w:val="231F20"/>
        </w:rPr>
        <w:t>Књига II: Правила изградње и правила уређења садржи:</w:t>
      </w:r>
    </w:p>
    <w:p>
      <w:pPr>
        <w:pStyle w:val="BodyText"/>
        <w:spacing w:line="232" w:lineRule="auto" w:before="2"/>
        <w:ind w:left="242" w:right="127" w:firstLine="396"/>
      </w:pPr>
      <w:r>
        <w:rPr>
          <w:color w:val="231F20"/>
          <w:w w:val="66"/>
        </w:rPr>
        <w:t> </w:t>
      </w:r>
      <w:r>
        <w:rPr>
          <w:color w:val="231F20"/>
        </w:rPr>
        <w:t>– Општа правила употребе земљишта, изградње, уређења и заштите простора; и</w:t>
      </w:r>
    </w:p>
    <w:p>
      <w:pPr>
        <w:pStyle w:val="BodyText"/>
        <w:spacing w:line="232" w:lineRule="auto" w:before="1"/>
        <w:ind w:left="242" w:right="127" w:firstLine="396"/>
      </w:pPr>
      <w:r>
        <w:rPr>
          <w:color w:val="231F20"/>
          <w:w w:val="66"/>
        </w:rPr>
        <w:t> </w:t>
      </w:r>
      <w:r>
        <w:rPr>
          <w:color w:val="231F20"/>
        </w:rPr>
        <w:t>– Правила изградње и правила уређења простора за простор- не целине и коридоре посебне намене са одговарајућим регула- ционим решењима за најзначајније рударске и термоенергетске системе у Костолачком басену, односно, за следеће просторне це- лине и коридоре посебне намене:</w:t>
      </w:r>
    </w:p>
    <w:p>
      <w:pPr>
        <w:pStyle w:val="ListParagraph"/>
        <w:numPr>
          <w:ilvl w:val="1"/>
          <w:numId w:val="23"/>
        </w:numPr>
        <w:tabs>
          <w:tab w:pos="836" w:val="left" w:leader="none"/>
        </w:tabs>
        <w:spacing w:line="201" w:lineRule="exact" w:before="0" w:after="0"/>
        <w:ind w:left="243" w:right="0" w:firstLine="397"/>
        <w:jc w:val="left"/>
        <w:rPr>
          <w:sz w:val="18"/>
        </w:rPr>
      </w:pPr>
      <w:r>
        <w:rPr>
          <w:color w:val="231F20"/>
          <w:spacing w:val="-3"/>
          <w:sz w:val="18"/>
        </w:rPr>
        <w:t>комплекс </w:t>
      </w:r>
      <w:r>
        <w:rPr>
          <w:color w:val="231F20"/>
          <w:sz w:val="18"/>
        </w:rPr>
        <w:t>ПК</w:t>
      </w:r>
      <w:r>
        <w:rPr>
          <w:color w:val="231F20"/>
          <w:spacing w:val="0"/>
          <w:sz w:val="18"/>
        </w:rPr>
        <w:t> </w:t>
      </w:r>
      <w:r>
        <w:rPr>
          <w:color w:val="231F20"/>
          <w:sz w:val="18"/>
        </w:rPr>
        <w:t>„Дрмно”;</w:t>
      </w:r>
    </w:p>
    <w:p>
      <w:pPr>
        <w:pStyle w:val="ListParagraph"/>
        <w:numPr>
          <w:ilvl w:val="1"/>
          <w:numId w:val="23"/>
        </w:numPr>
        <w:tabs>
          <w:tab w:pos="842" w:val="left" w:leader="none"/>
        </w:tabs>
        <w:spacing w:line="232" w:lineRule="auto" w:before="3" w:after="0"/>
        <w:ind w:left="243" w:right="127" w:firstLine="397"/>
        <w:jc w:val="both"/>
        <w:rPr>
          <w:sz w:val="18"/>
        </w:rPr>
      </w:pPr>
      <w:r>
        <w:rPr>
          <w:color w:val="231F20"/>
          <w:sz w:val="18"/>
        </w:rPr>
        <w:t>коридор трачног транспорта за угаљ ПК „Дрмно”-ТЕ </w:t>
      </w:r>
      <w:r>
        <w:rPr>
          <w:color w:val="231F20"/>
          <w:spacing w:val="-3"/>
          <w:sz w:val="18"/>
        </w:rPr>
        <w:t>„Ко- </w:t>
      </w:r>
      <w:r>
        <w:rPr>
          <w:color w:val="231F20"/>
          <w:sz w:val="18"/>
        </w:rPr>
        <w:t>столац</w:t>
      </w:r>
      <w:r>
        <w:rPr>
          <w:color w:val="231F20"/>
          <w:spacing w:val="-2"/>
          <w:sz w:val="18"/>
        </w:rPr>
        <w:t> </w:t>
      </w:r>
      <w:r>
        <w:rPr>
          <w:color w:val="231F20"/>
          <w:sz w:val="18"/>
        </w:rPr>
        <w:t>А”;</w:t>
      </w:r>
    </w:p>
    <w:p>
      <w:pPr>
        <w:pStyle w:val="ListParagraph"/>
        <w:numPr>
          <w:ilvl w:val="1"/>
          <w:numId w:val="23"/>
        </w:numPr>
        <w:tabs>
          <w:tab w:pos="833" w:val="left" w:leader="none"/>
        </w:tabs>
        <w:spacing w:line="232" w:lineRule="auto" w:before="1" w:after="0"/>
        <w:ind w:left="243" w:right="127" w:firstLine="397"/>
        <w:jc w:val="both"/>
        <w:rPr>
          <w:sz w:val="18"/>
        </w:rPr>
      </w:pPr>
      <w:r>
        <w:rPr>
          <w:color w:val="231F20"/>
          <w:sz w:val="18"/>
        </w:rPr>
        <w:t>коридор за транспорт </w:t>
      </w:r>
      <w:r>
        <w:rPr>
          <w:color w:val="231F20"/>
          <w:spacing w:val="-3"/>
          <w:sz w:val="18"/>
        </w:rPr>
        <w:t>рударске </w:t>
      </w:r>
      <w:r>
        <w:rPr>
          <w:color w:val="231F20"/>
          <w:sz w:val="18"/>
        </w:rPr>
        <w:t>механизације </w:t>
      </w:r>
      <w:r>
        <w:rPr>
          <w:color w:val="231F20"/>
          <w:spacing w:val="-3"/>
          <w:sz w:val="18"/>
        </w:rPr>
        <w:t>од </w:t>
      </w:r>
      <w:r>
        <w:rPr>
          <w:color w:val="231F20"/>
          <w:sz w:val="18"/>
        </w:rPr>
        <w:t>ПК</w:t>
      </w:r>
      <w:r>
        <w:rPr>
          <w:color w:val="231F20"/>
          <w:spacing w:val="-32"/>
          <w:sz w:val="18"/>
        </w:rPr>
        <w:t> </w:t>
      </w:r>
      <w:r>
        <w:rPr>
          <w:color w:val="231F20"/>
          <w:spacing w:val="-4"/>
          <w:sz w:val="18"/>
        </w:rPr>
        <w:t>„Ћири- </w:t>
      </w:r>
      <w:r>
        <w:rPr>
          <w:color w:val="231F20"/>
          <w:spacing w:val="-3"/>
          <w:sz w:val="18"/>
        </w:rPr>
        <w:t>ковац” </w:t>
      </w:r>
      <w:r>
        <w:rPr>
          <w:color w:val="231F20"/>
          <w:sz w:val="18"/>
        </w:rPr>
        <w:t>до ПК</w:t>
      </w:r>
      <w:r>
        <w:rPr>
          <w:color w:val="231F20"/>
          <w:spacing w:val="0"/>
          <w:sz w:val="18"/>
        </w:rPr>
        <w:t> </w:t>
      </w:r>
      <w:r>
        <w:rPr>
          <w:color w:val="231F20"/>
          <w:sz w:val="18"/>
        </w:rPr>
        <w:t>„Дрмно”;</w:t>
      </w:r>
    </w:p>
    <w:p>
      <w:pPr>
        <w:pStyle w:val="ListParagraph"/>
        <w:numPr>
          <w:ilvl w:val="1"/>
          <w:numId w:val="23"/>
        </w:numPr>
        <w:tabs>
          <w:tab w:pos="834" w:val="left" w:leader="none"/>
        </w:tabs>
        <w:spacing w:line="232" w:lineRule="auto" w:before="0" w:after="0"/>
        <w:ind w:left="243" w:right="127" w:firstLine="396"/>
        <w:jc w:val="both"/>
        <w:rPr>
          <w:sz w:val="18"/>
        </w:rPr>
      </w:pPr>
      <w:r>
        <w:rPr>
          <w:color w:val="231F20"/>
          <w:spacing w:val="-3"/>
          <w:sz w:val="18"/>
        </w:rPr>
        <w:t>комплекс </w:t>
      </w:r>
      <w:r>
        <w:rPr>
          <w:color w:val="231F20"/>
          <w:sz w:val="18"/>
        </w:rPr>
        <w:t>термоелектране „Костолац А” са робним приста- ништем;</w:t>
      </w:r>
    </w:p>
    <w:p>
      <w:pPr>
        <w:pStyle w:val="ListParagraph"/>
        <w:numPr>
          <w:ilvl w:val="1"/>
          <w:numId w:val="23"/>
        </w:numPr>
        <w:tabs>
          <w:tab w:pos="835" w:val="left" w:leader="none"/>
        </w:tabs>
        <w:spacing w:line="200" w:lineRule="exact" w:before="0" w:after="0"/>
        <w:ind w:left="834" w:right="0" w:hanging="195"/>
        <w:jc w:val="left"/>
        <w:rPr>
          <w:sz w:val="18"/>
        </w:rPr>
      </w:pPr>
      <w:r>
        <w:rPr>
          <w:color w:val="231F20"/>
          <w:spacing w:val="-3"/>
          <w:sz w:val="18"/>
        </w:rPr>
        <w:t>комплекс </w:t>
      </w:r>
      <w:r>
        <w:rPr>
          <w:color w:val="231F20"/>
          <w:sz w:val="18"/>
        </w:rPr>
        <w:t>термоелектране „Костолац</w:t>
      </w:r>
      <w:r>
        <w:rPr>
          <w:color w:val="231F20"/>
          <w:spacing w:val="-1"/>
          <w:sz w:val="18"/>
        </w:rPr>
        <w:t> </w:t>
      </w:r>
      <w:r>
        <w:rPr>
          <w:color w:val="231F20"/>
          <w:sz w:val="18"/>
        </w:rPr>
        <w:t>Б”;</w:t>
      </w:r>
    </w:p>
    <w:p>
      <w:pPr>
        <w:pStyle w:val="ListParagraph"/>
        <w:numPr>
          <w:ilvl w:val="1"/>
          <w:numId w:val="23"/>
        </w:numPr>
        <w:tabs>
          <w:tab w:pos="890" w:val="left" w:leader="none"/>
        </w:tabs>
        <w:spacing w:line="201" w:lineRule="exact" w:before="0" w:after="0"/>
        <w:ind w:left="889" w:right="0" w:hanging="250"/>
        <w:jc w:val="left"/>
        <w:rPr>
          <w:sz w:val="18"/>
        </w:rPr>
      </w:pPr>
      <w:r>
        <w:rPr>
          <w:color w:val="231F20"/>
          <w:sz w:val="18"/>
        </w:rPr>
        <w:t>коридор  пепеловода  </w:t>
      </w:r>
      <w:r>
        <w:rPr>
          <w:color w:val="231F20"/>
          <w:spacing w:val="-3"/>
          <w:sz w:val="18"/>
        </w:rPr>
        <w:t>од  </w:t>
      </w:r>
      <w:r>
        <w:rPr>
          <w:color w:val="231F20"/>
          <w:sz w:val="18"/>
        </w:rPr>
        <w:t>ТЕ  „Костолац  А”  до </w:t>
      </w:r>
      <w:r>
        <w:rPr>
          <w:color w:val="231F20"/>
          <w:spacing w:val="27"/>
          <w:sz w:val="18"/>
        </w:rPr>
        <w:t> </w:t>
      </w:r>
      <w:r>
        <w:rPr>
          <w:color w:val="231F20"/>
          <w:sz w:val="18"/>
        </w:rPr>
        <w:t>депоније</w:t>
      </w:r>
    </w:p>
    <w:p>
      <w:pPr>
        <w:pStyle w:val="BodyText"/>
        <w:spacing w:line="232" w:lineRule="auto" w:before="3"/>
        <w:ind w:left="243"/>
        <w:jc w:val="left"/>
      </w:pPr>
      <w:r>
        <w:rPr>
          <w:color w:val="231F20"/>
        </w:rPr>
        <w:t>„Средње костолачко острво” и од ТЕ „Костолац А” до депонијe у ПК „Ћириковац”;</w:t>
      </w:r>
    </w:p>
    <w:p>
      <w:pPr>
        <w:pStyle w:val="ListParagraph"/>
        <w:numPr>
          <w:ilvl w:val="1"/>
          <w:numId w:val="23"/>
        </w:numPr>
        <w:tabs>
          <w:tab w:pos="849" w:val="left" w:leader="none"/>
        </w:tabs>
        <w:spacing w:line="232" w:lineRule="auto" w:before="1" w:after="0"/>
        <w:ind w:left="242" w:right="127" w:firstLine="397"/>
        <w:jc w:val="both"/>
        <w:rPr>
          <w:sz w:val="18"/>
        </w:rPr>
      </w:pPr>
      <w:r>
        <w:rPr>
          <w:color w:val="231F20"/>
          <w:sz w:val="18"/>
        </w:rPr>
        <w:t>коридор за транспорт емулзије гипса </w:t>
      </w:r>
      <w:r>
        <w:rPr>
          <w:color w:val="231F20"/>
          <w:spacing w:val="-3"/>
          <w:sz w:val="18"/>
        </w:rPr>
        <w:t>од </w:t>
      </w:r>
      <w:r>
        <w:rPr>
          <w:color w:val="231F20"/>
          <w:sz w:val="18"/>
        </w:rPr>
        <w:t>ТЕ „Костолац Б” до депоније у ПК</w:t>
      </w:r>
      <w:r>
        <w:rPr>
          <w:color w:val="231F20"/>
          <w:spacing w:val="-2"/>
          <w:sz w:val="18"/>
        </w:rPr>
        <w:t> </w:t>
      </w:r>
      <w:r>
        <w:rPr>
          <w:color w:val="231F20"/>
          <w:sz w:val="18"/>
        </w:rPr>
        <w:t>„Дрмно”;</w:t>
      </w:r>
    </w:p>
    <w:p>
      <w:pPr>
        <w:pStyle w:val="ListParagraph"/>
        <w:numPr>
          <w:ilvl w:val="1"/>
          <w:numId w:val="23"/>
        </w:numPr>
        <w:tabs>
          <w:tab w:pos="856" w:val="left" w:leader="none"/>
        </w:tabs>
        <w:spacing w:line="232" w:lineRule="auto" w:before="0" w:after="0"/>
        <w:ind w:left="241" w:right="128" w:firstLine="398"/>
        <w:jc w:val="both"/>
        <w:rPr>
          <w:sz w:val="18"/>
        </w:rPr>
      </w:pPr>
      <w:r>
        <w:rPr>
          <w:color w:val="231F20"/>
          <w:sz w:val="18"/>
        </w:rPr>
        <w:t>депонију пепела и шљаке у површинском </w:t>
      </w:r>
      <w:r>
        <w:rPr>
          <w:color w:val="231F20"/>
          <w:spacing w:val="-3"/>
          <w:sz w:val="18"/>
        </w:rPr>
        <w:t>копу </w:t>
      </w:r>
      <w:r>
        <w:rPr>
          <w:color w:val="231F20"/>
          <w:spacing w:val="-4"/>
          <w:sz w:val="18"/>
        </w:rPr>
        <w:t>„Ћирико- </w:t>
      </w:r>
      <w:r>
        <w:rPr>
          <w:color w:val="231F20"/>
          <w:sz w:val="18"/>
        </w:rPr>
        <w:t>вац” и коридор пепеловода </w:t>
      </w:r>
      <w:r>
        <w:rPr>
          <w:color w:val="231F20"/>
          <w:spacing w:val="-3"/>
          <w:sz w:val="18"/>
        </w:rPr>
        <w:t>од </w:t>
      </w:r>
      <w:r>
        <w:rPr>
          <w:color w:val="231F20"/>
          <w:sz w:val="18"/>
        </w:rPr>
        <w:t>ТЕ „Костолац Б” до</w:t>
      </w:r>
      <w:r>
        <w:rPr>
          <w:color w:val="231F20"/>
          <w:spacing w:val="-20"/>
          <w:sz w:val="18"/>
        </w:rPr>
        <w:t> </w:t>
      </w:r>
      <w:r>
        <w:rPr>
          <w:color w:val="231F20"/>
          <w:sz w:val="18"/>
        </w:rPr>
        <w:t>депоније;</w:t>
      </w:r>
    </w:p>
    <w:p>
      <w:pPr>
        <w:pStyle w:val="ListParagraph"/>
        <w:numPr>
          <w:ilvl w:val="1"/>
          <w:numId w:val="23"/>
        </w:numPr>
        <w:tabs>
          <w:tab w:pos="870" w:val="left" w:leader="none"/>
        </w:tabs>
        <w:spacing w:line="232" w:lineRule="auto" w:before="1" w:after="0"/>
        <w:ind w:left="241" w:right="128" w:firstLine="397"/>
        <w:jc w:val="both"/>
        <w:rPr>
          <w:sz w:val="18"/>
        </w:rPr>
      </w:pPr>
      <w:r>
        <w:rPr>
          <w:color w:val="231F20"/>
          <w:sz w:val="18"/>
        </w:rPr>
        <w:t>коридор индустријског колосека </w:t>
      </w:r>
      <w:r>
        <w:rPr>
          <w:color w:val="231F20"/>
          <w:spacing w:val="-3"/>
          <w:sz w:val="18"/>
        </w:rPr>
        <w:t>од </w:t>
      </w:r>
      <w:r>
        <w:rPr>
          <w:color w:val="231F20"/>
          <w:sz w:val="18"/>
        </w:rPr>
        <w:t>железничке станице Стиг до ТЕ „Костолац Б”</w:t>
      </w:r>
      <w:r>
        <w:rPr>
          <w:color w:val="231F20"/>
          <w:spacing w:val="-4"/>
          <w:sz w:val="18"/>
        </w:rPr>
        <w:t> </w:t>
      </w:r>
      <w:r>
        <w:rPr>
          <w:color w:val="231F20"/>
          <w:sz w:val="18"/>
        </w:rPr>
        <w:t>и</w:t>
      </w:r>
    </w:p>
    <w:p>
      <w:pPr>
        <w:pStyle w:val="ListParagraph"/>
        <w:numPr>
          <w:ilvl w:val="1"/>
          <w:numId w:val="23"/>
        </w:numPr>
        <w:tabs>
          <w:tab w:pos="924" w:val="left" w:leader="none"/>
        </w:tabs>
        <w:spacing w:line="200" w:lineRule="exact" w:before="0" w:after="0"/>
        <w:ind w:left="923" w:right="0" w:hanging="285"/>
        <w:jc w:val="left"/>
        <w:rPr>
          <w:sz w:val="18"/>
        </w:rPr>
      </w:pPr>
      <w:r>
        <w:rPr>
          <w:color w:val="231F20"/>
          <w:spacing w:val="-3"/>
          <w:sz w:val="18"/>
        </w:rPr>
        <w:t>комплекс </w:t>
      </w:r>
      <w:r>
        <w:rPr>
          <w:color w:val="231F20"/>
          <w:sz w:val="18"/>
        </w:rPr>
        <w:t>„Долина реке</w:t>
      </w:r>
      <w:r>
        <w:rPr>
          <w:color w:val="231F20"/>
          <w:spacing w:val="0"/>
          <w:sz w:val="18"/>
        </w:rPr>
        <w:t> </w:t>
      </w:r>
      <w:r>
        <w:rPr>
          <w:color w:val="231F20"/>
          <w:sz w:val="18"/>
        </w:rPr>
        <w:t>Млаве”.</w:t>
      </w:r>
    </w:p>
    <w:p>
      <w:pPr>
        <w:pStyle w:val="BodyText"/>
        <w:spacing w:line="232" w:lineRule="auto" w:before="3"/>
        <w:ind w:left="242" w:right="128" w:firstLine="396"/>
      </w:pPr>
      <w:r>
        <w:rPr>
          <w:color w:val="231F20"/>
        </w:rPr>
        <w:t>На</w:t>
      </w:r>
      <w:r>
        <w:rPr>
          <w:color w:val="231F20"/>
          <w:spacing w:val="-9"/>
        </w:rPr>
        <w:t> </w:t>
      </w:r>
      <w:r>
        <w:rPr>
          <w:color w:val="231F20"/>
        </w:rPr>
        <w:t>основу</w:t>
      </w:r>
      <w:r>
        <w:rPr>
          <w:color w:val="231F20"/>
          <w:spacing w:val="-9"/>
        </w:rPr>
        <w:t> </w:t>
      </w:r>
      <w:r>
        <w:rPr>
          <w:color w:val="231F20"/>
        </w:rPr>
        <w:t>регулационих</w:t>
      </w:r>
      <w:r>
        <w:rPr>
          <w:color w:val="231F20"/>
          <w:spacing w:val="-9"/>
        </w:rPr>
        <w:t> </w:t>
      </w:r>
      <w:r>
        <w:rPr>
          <w:color w:val="231F20"/>
        </w:rPr>
        <w:t>решења,</w:t>
      </w:r>
      <w:r>
        <w:rPr>
          <w:color w:val="231F20"/>
          <w:spacing w:val="-9"/>
        </w:rPr>
        <w:t> </w:t>
      </w:r>
      <w:r>
        <w:rPr>
          <w:color w:val="231F20"/>
        </w:rPr>
        <w:t>односно,</w:t>
      </w:r>
      <w:r>
        <w:rPr>
          <w:color w:val="231F20"/>
          <w:spacing w:val="-9"/>
        </w:rPr>
        <w:t> </w:t>
      </w:r>
      <w:r>
        <w:rPr>
          <w:color w:val="231F20"/>
        </w:rPr>
        <w:t>правила</w:t>
      </w:r>
      <w:r>
        <w:rPr>
          <w:color w:val="231F20"/>
          <w:spacing w:val="-9"/>
        </w:rPr>
        <w:t> </w:t>
      </w:r>
      <w:r>
        <w:rPr>
          <w:color w:val="231F20"/>
        </w:rPr>
        <w:t>изградње и правила уређења простора, надлежни орган може издати инфор- мацију о локацији, локацијску дозволу за грађевинске објекте, из- </w:t>
      </w:r>
      <w:r>
        <w:rPr>
          <w:color w:val="231F20"/>
          <w:spacing w:val="-3"/>
        </w:rPr>
        <w:t>вод </w:t>
      </w:r>
      <w:r>
        <w:rPr>
          <w:color w:val="231F20"/>
        </w:rPr>
        <w:t>из планског документа за друге намене (рударство и друго) и информацију о локацији и извод из планског документа за објекте и</w:t>
      </w:r>
      <w:r>
        <w:rPr>
          <w:color w:val="231F20"/>
          <w:spacing w:val="-4"/>
        </w:rPr>
        <w:t> </w:t>
      </w:r>
      <w:r>
        <w:rPr>
          <w:color w:val="231F20"/>
        </w:rPr>
        <w:t>површине</w:t>
      </w:r>
      <w:r>
        <w:rPr>
          <w:color w:val="231F20"/>
          <w:spacing w:val="-5"/>
        </w:rPr>
        <w:t> </w:t>
      </w:r>
      <w:r>
        <w:rPr>
          <w:color w:val="231F20"/>
          <w:spacing w:val="-3"/>
        </w:rPr>
        <w:t>од</w:t>
      </w:r>
      <w:r>
        <w:rPr>
          <w:color w:val="231F20"/>
          <w:spacing w:val="-4"/>
        </w:rPr>
        <w:t> </w:t>
      </w:r>
      <w:r>
        <w:rPr>
          <w:color w:val="231F20"/>
        </w:rPr>
        <w:t>јавног</w:t>
      </w:r>
      <w:r>
        <w:rPr>
          <w:color w:val="231F20"/>
          <w:spacing w:val="-4"/>
        </w:rPr>
        <w:t> </w:t>
      </w:r>
      <w:r>
        <w:rPr>
          <w:color w:val="231F20"/>
        </w:rPr>
        <w:t>интереса</w:t>
      </w:r>
      <w:r>
        <w:rPr>
          <w:color w:val="231F20"/>
          <w:spacing w:val="-5"/>
        </w:rPr>
        <w:t> </w:t>
      </w:r>
      <w:r>
        <w:rPr>
          <w:color w:val="231F20"/>
        </w:rPr>
        <w:t>ради</w:t>
      </w:r>
      <w:r>
        <w:rPr>
          <w:color w:val="231F20"/>
          <w:spacing w:val="-4"/>
        </w:rPr>
        <w:t> </w:t>
      </w:r>
      <w:r>
        <w:rPr>
          <w:color w:val="231F20"/>
        </w:rPr>
        <w:t>утврђивања</w:t>
      </w:r>
      <w:r>
        <w:rPr>
          <w:color w:val="231F20"/>
          <w:spacing w:val="-5"/>
        </w:rPr>
        <w:t> </w:t>
      </w:r>
      <w:r>
        <w:rPr>
          <w:color w:val="231F20"/>
        </w:rPr>
        <w:t>јавног</w:t>
      </w:r>
      <w:r>
        <w:rPr>
          <w:color w:val="231F20"/>
          <w:spacing w:val="-4"/>
        </w:rPr>
        <w:t> </w:t>
      </w:r>
      <w:r>
        <w:rPr>
          <w:color w:val="231F20"/>
        </w:rPr>
        <w:t>интереса</w:t>
      </w:r>
      <w:r>
        <w:rPr>
          <w:color w:val="231F20"/>
          <w:spacing w:val="-5"/>
        </w:rPr>
        <w:t> </w:t>
      </w:r>
      <w:r>
        <w:rPr>
          <w:color w:val="231F20"/>
        </w:rPr>
        <w:t>и спровођења експропријације</w:t>
      </w:r>
      <w:r>
        <w:rPr>
          <w:color w:val="231F20"/>
          <w:spacing w:val="-2"/>
        </w:rPr>
        <w:t> </w:t>
      </w:r>
      <w:r>
        <w:rPr>
          <w:color w:val="231F20"/>
        </w:rPr>
        <w:t>непокретности.</w:t>
      </w:r>
    </w:p>
    <w:p>
      <w:pPr>
        <w:pStyle w:val="BodyText"/>
        <w:spacing w:line="232" w:lineRule="auto" w:before="3"/>
        <w:ind w:left="242" w:right="127" w:firstLine="396"/>
      </w:pPr>
      <w:r>
        <w:rPr>
          <w:color w:val="231F20"/>
        </w:rPr>
        <w:t>Неопходно је након доношења Просторног плана урадити пројекте парцелације и препарцелације за поједине просторне це- лине и коридоре посебне намене према приоритетима имплемен- тације Просторног плана.</w:t>
      </w:r>
    </w:p>
    <w:p>
      <w:pPr>
        <w:spacing w:line="153" w:lineRule="exact" w:before="0"/>
        <w:ind w:left="242"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526" w:val="left" w:leader="none"/>
        </w:tabs>
        <w:spacing w:line="240" w:lineRule="auto" w:before="0" w:after="0"/>
        <w:ind w:left="525" w:right="128" w:hanging="283"/>
        <w:jc w:val="both"/>
        <w:rPr>
          <w:sz w:val="14"/>
        </w:rPr>
      </w:pPr>
      <w:r>
        <w:rPr>
          <w:color w:val="231F20"/>
          <w:sz w:val="14"/>
        </w:rPr>
        <w:t>Према </w:t>
      </w:r>
      <w:r>
        <w:rPr>
          <w:color w:val="231F20"/>
          <w:spacing w:val="-3"/>
          <w:sz w:val="14"/>
        </w:rPr>
        <w:t>Уредби </w:t>
      </w:r>
      <w:r>
        <w:rPr>
          <w:color w:val="231F20"/>
          <w:sz w:val="14"/>
        </w:rPr>
        <w:t>Владе Републике Србије о изменама и допунама уредбе о утврђи- вању</w:t>
      </w:r>
      <w:r>
        <w:rPr>
          <w:color w:val="231F20"/>
          <w:spacing w:val="-7"/>
          <w:sz w:val="14"/>
        </w:rPr>
        <w:t> </w:t>
      </w:r>
      <w:r>
        <w:rPr>
          <w:color w:val="231F20"/>
          <w:sz w:val="14"/>
        </w:rPr>
        <w:t>Програма</w:t>
      </w:r>
      <w:r>
        <w:rPr>
          <w:color w:val="231F20"/>
          <w:spacing w:val="-7"/>
          <w:sz w:val="14"/>
        </w:rPr>
        <w:t> </w:t>
      </w:r>
      <w:r>
        <w:rPr>
          <w:color w:val="231F20"/>
          <w:sz w:val="14"/>
        </w:rPr>
        <w:t>остваривања</w:t>
      </w:r>
      <w:r>
        <w:rPr>
          <w:color w:val="231F20"/>
          <w:spacing w:val="-7"/>
          <w:sz w:val="14"/>
        </w:rPr>
        <w:t> </w:t>
      </w:r>
      <w:r>
        <w:rPr>
          <w:color w:val="231F20"/>
          <w:sz w:val="14"/>
        </w:rPr>
        <w:t>стратегије</w:t>
      </w:r>
      <w:r>
        <w:rPr>
          <w:color w:val="231F20"/>
          <w:spacing w:val="-7"/>
          <w:sz w:val="14"/>
        </w:rPr>
        <w:t> </w:t>
      </w:r>
      <w:r>
        <w:rPr>
          <w:color w:val="231F20"/>
          <w:sz w:val="14"/>
        </w:rPr>
        <w:t>енергетског</w:t>
      </w:r>
      <w:r>
        <w:rPr>
          <w:color w:val="231F20"/>
          <w:spacing w:val="-7"/>
          <w:sz w:val="14"/>
        </w:rPr>
        <w:t> </w:t>
      </w:r>
      <w:r>
        <w:rPr>
          <w:color w:val="231F20"/>
          <w:sz w:val="14"/>
        </w:rPr>
        <w:t>развоја</w:t>
      </w:r>
      <w:r>
        <w:rPr>
          <w:color w:val="231F20"/>
          <w:spacing w:val="-7"/>
          <w:sz w:val="14"/>
        </w:rPr>
        <w:t> </w:t>
      </w:r>
      <w:r>
        <w:rPr>
          <w:color w:val="231F20"/>
          <w:sz w:val="14"/>
        </w:rPr>
        <w:t>Републике</w:t>
      </w:r>
      <w:r>
        <w:rPr>
          <w:color w:val="231F20"/>
          <w:spacing w:val="-7"/>
          <w:sz w:val="14"/>
        </w:rPr>
        <w:t> </w:t>
      </w:r>
      <w:r>
        <w:rPr>
          <w:color w:val="231F20"/>
          <w:sz w:val="14"/>
        </w:rPr>
        <w:t>Србије</w:t>
      </w:r>
      <w:r>
        <w:rPr>
          <w:color w:val="231F20"/>
          <w:spacing w:val="-7"/>
          <w:sz w:val="14"/>
        </w:rPr>
        <w:t> </w:t>
      </w:r>
      <w:r>
        <w:rPr>
          <w:color w:val="231F20"/>
          <w:sz w:val="14"/>
        </w:rPr>
        <w:t>до 2015. године („Службени гласник РС”, број 27/10) изградња новог блока („Ц1”) </w:t>
      </w:r>
      <w:r>
        <w:rPr>
          <w:color w:val="231F20"/>
          <w:spacing w:val="-3"/>
          <w:sz w:val="14"/>
        </w:rPr>
        <w:t>од </w:t>
      </w:r>
      <w:r>
        <w:rPr>
          <w:color w:val="231F20"/>
          <w:sz w:val="14"/>
        </w:rPr>
        <w:t>350 МW уместо планиране 2024. године помера се на 2012. </w:t>
      </w:r>
      <w:r>
        <w:rPr>
          <w:color w:val="231F20"/>
          <w:spacing w:val="-4"/>
          <w:sz w:val="14"/>
        </w:rPr>
        <w:t>годину, </w:t>
      </w:r>
      <w:r>
        <w:rPr>
          <w:color w:val="231F20"/>
          <w:sz w:val="14"/>
        </w:rPr>
        <w:t>а након затварања</w:t>
      </w:r>
      <w:r>
        <w:rPr>
          <w:color w:val="231F20"/>
          <w:spacing w:val="-5"/>
          <w:sz w:val="14"/>
        </w:rPr>
        <w:t> </w:t>
      </w:r>
      <w:r>
        <w:rPr>
          <w:color w:val="231F20"/>
          <w:sz w:val="14"/>
        </w:rPr>
        <w:t>темоелектране</w:t>
      </w:r>
      <w:r>
        <w:rPr>
          <w:color w:val="231F20"/>
          <w:spacing w:val="-5"/>
          <w:sz w:val="14"/>
        </w:rPr>
        <w:t> </w:t>
      </w:r>
      <w:r>
        <w:rPr>
          <w:color w:val="231F20"/>
          <w:sz w:val="14"/>
        </w:rPr>
        <w:t>ТЕ</w:t>
      </w:r>
      <w:r>
        <w:rPr>
          <w:color w:val="231F20"/>
          <w:spacing w:val="-5"/>
          <w:sz w:val="14"/>
        </w:rPr>
        <w:t> </w:t>
      </w:r>
      <w:r>
        <w:rPr>
          <w:color w:val="231F20"/>
          <w:sz w:val="14"/>
        </w:rPr>
        <w:t>„Костолац</w:t>
      </w:r>
      <w:r>
        <w:rPr>
          <w:color w:val="231F20"/>
          <w:spacing w:val="-5"/>
          <w:sz w:val="14"/>
        </w:rPr>
        <w:t> </w:t>
      </w:r>
      <w:r>
        <w:rPr>
          <w:color w:val="231F20"/>
          <w:sz w:val="14"/>
        </w:rPr>
        <w:t>А”,</w:t>
      </w:r>
      <w:r>
        <w:rPr>
          <w:color w:val="231F20"/>
          <w:spacing w:val="-5"/>
          <w:sz w:val="14"/>
        </w:rPr>
        <w:t> </w:t>
      </w:r>
      <w:r>
        <w:rPr>
          <w:color w:val="231F20"/>
          <w:sz w:val="14"/>
        </w:rPr>
        <w:t>2024.</w:t>
      </w:r>
      <w:r>
        <w:rPr>
          <w:color w:val="231F20"/>
          <w:spacing w:val="-5"/>
          <w:sz w:val="14"/>
        </w:rPr>
        <w:t> </w:t>
      </w:r>
      <w:r>
        <w:rPr>
          <w:color w:val="231F20"/>
          <w:sz w:val="14"/>
        </w:rPr>
        <w:t>године</w:t>
      </w:r>
      <w:r>
        <w:rPr>
          <w:color w:val="231F20"/>
          <w:spacing w:val="-5"/>
          <w:sz w:val="14"/>
        </w:rPr>
        <w:t> </w:t>
      </w:r>
      <w:r>
        <w:rPr>
          <w:color w:val="231F20"/>
          <w:sz w:val="14"/>
        </w:rPr>
        <w:t>изградиће</w:t>
      </w:r>
      <w:r>
        <w:rPr>
          <w:color w:val="231F20"/>
          <w:spacing w:val="-5"/>
          <w:sz w:val="14"/>
        </w:rPr>
        <w:t> </w:t>
      </w:r>
      <w:r>
        <w:rPr>
          <w:color w:val="231F20"/>
          <w:sz w:val="14"/>
        </w:rPr>
        <w:t>се</w:t>
      </w:r>
      <w:r>
        <w:rPr>
          <w:color w:val="231F20"/>
          <w:spacing w:val="-5"/>
          <w:sz w:val="14"/>
        </w:rPr>
        <w:t> </w:t>
      </w:r>
      <w:r>
        <w:rPr>
          <w:color w:val="231F20"/>
          <w:sz w:val="14"/>
        </w:rPr>
        <w:t>нови</w:t>
      </w:r>
      <w:r>
        <w:rPr>
          <w:color w:val="231F20"/>
          <w:spacing w:val="-5"/>
          <w:sz w:val="14"/>
        </w:rPr>
        <w:t> </w:t>
      </w:r>
      <w:r>
        <w:rPr>
          <w:color w:val="231F20"/>
          <w:sz w:val="14"/>
        </w:rPr>
        <w:t>блок („Ц2”) снаге 350 </w:t>
      </w:r>
      <w:r>
        <w:rPr>
          <w:color w:val="231F20"/>
          <w:spacing w:val="-3"/>
          <w:sz w:val="14"/>
        </w:rPr>
        <w:t>МW; </w:t>
      </w:r>
      <w:r>
        <w:rPr>
          <w:color w:val="231F20"/>
          <w:sz w:val="14"/>
        </w:rPr>
        <w:t>рад свих </w:t>
      </w:r>
      <w:r>
        <w:rPr>
          <w:color w:val="231F20"/>
          <w:spacing w:val="-3"/>
          <w:sz w:val="14"/>
        </w:rPr>
        <w:t>блокова </w:t>
      </w:r>
      <w:r>
        <w:rPr>
          <w:color w:val="231F20"/>
          <w:sz w:val="14"/>
        </w:rPr>
        <w:t>(„Б” и „Ц”) планиран је до 2042. године, након чега би у раду остао само блок „Ц2” до 2054. године. Нови стратешки и програмски документи у области развоја енергетике и експлоатације минерал- них</w:t>
      </w:r>
      <w:r>
        <w:rPr>
          <w:color w:val="231F20"/>
          <w:spacing w:val="-7"/>
          <w:sz w:val="14"/>
        </w:rPr>
        <w:t> </w:t>
      </w:r>
      <w:r>
        <w:rPr>
          <w:color w:val="231F20"/>
          <w:sz w:val="14"/>
        </w:rPr>
        <w:t>сировина,</w:t>
      </w:r>
      <w:r>
        <w:rPr>
          <w:color w:val="231F20"/>
          <w:spacing w:val="-7"/>
          <w:sz w:val="14"/>
        </w:rPr>
        <w:t> </w:t>
      </w:r>
      <w:r>
        <w:rPr>
          <w:color w:val="231F20"/>
          <w:sz w:val="14"/>
        </w:rPr>
        <w:t>који</w:t>
      </w:r>
      <w:r>
        <w:rPr>
          <w:color w:val="231F20"/>
          <w:spacing w:val="-7"/>
          <w:sz w:val="14"/>
        </w:rPr>
        <w:t> </w:t>
      </w:r>
      <w:r>
        <w:rPr>
          <w:color w:val="231F20"/>
          <w:sz w:val="14"/>
        </w:rPr>
        <w:t>су</w:t>
      </w:r>
      <w:r>
        <w:rPr>
          <w:color w:val="231F20"/>
          <w:spacing w:val="-7"/>
          <w:sz w:val="14"/>
        </w:rPr>
        <w:t> </w:t>
      </w:r>
      <w:r>
        <w:rPr>
          <w:color w:val="231F20"/>
          <w:sz w:val="14"/>
        </w:rPr>
        <w:t>у</w:t>
      </w:r>
      <w:r>
        <w:rPr>
          <w:color w:val="231F20"/>
          <w:spacing w:val="-7"/>
          <w:sz w:val="14"/>
        </w:rPr>
        <w:t> </w:t>
      </w:r>
      <w:r>
        <w:rPr>
          <w:color w:val="231F20"/>
          <w:sz w:val="14"/>
        </w:rPr>
        <w:t>припреми,</w:t>
      </w:r>
      <w:r>
        <w:rPr>
          <w:color w:val="231F20"/>
          <w:spacing w:val="-7"/>
          <w:sz w:val="14"/>
        </w:rPr>
        <w:t> </w:t>
      </w:r>
      <w:r>
        <w:rPr>
          <w:color w:val="231F20"/>
          <w:sz w:val="14"/>
        </w:rPr>
        <w:t>такође</w:t>
      </w:r>
      <w:r>
        <w:rPr>
          <w:color w:val="231F20"/>
          <w:spacing w:val="-7"/>
          <w:sz w:val="14"/>
        </w:rPr>
        <w:t> </w:t>
      </w:r>
      <w:r>
        <w:rPr>
          <w:color w:val="231F20"/>
          <w:sz w:val="14"/>
        </w:rPr>
        <w:t>садрже</w:t>
      </w:r>
      <w:r>
        <w:rPr>
          <w:color w:val="231F20"/>
          <w:spacing w:val="-7"/>
          <w:sz w:val="14"/>
        </w:rPr>
        <w:t> </w:t>
      </w:r>
      <w:r>
        <w:rPr>
          <w:color w:val="231F20"/>
          <w:sz w:val="14"/>
        </w:rPr>
        <w:t>опредељење</w:t>
      </w:r>
      <w:r>
        <w:rPr>
          <w:color w:val="231F20"/>
          <w:spacing w:val="-7"/>
          <w:sz w:val="14"/>
        </w:rPr>
        <w:t> </w:t>
      </w:r>
      <w:r>
        <w:rPr>
          <w:color w:val="231F20"/>
          <w:sz w:val="14"/>
        </w:rPr>
        <w:t>за</w:t>
      </w:r>
      <w:r>
        <w:rPr>
          <w:color w:val="231F20"/>
          <w:spacing w:val="-7"/>
          <w:sz w:val="14"/>
        </w:rPr>
        <w:t> </w:t>
      </w:r>
      <w:r>
        <w:rPr>
          <w:color w:val="231F20"/>
          <w:sz w:val="14"/>
        </w:rPr>
        <w:t>изградњу</w:t>
      </w:r>
      <w:r>
        <w:rPr>
          <w:color w:val="231F20"/>
          <w:spacing w:val="-7"/>
          <w:sz w:val="14"/>
        </w:rPr>
        <w:t> </w:t>
      </w:r>
      <w:r>
        <w:rPr>
          <w:color w:val="231F20"/>
          <w:sz w:val="14"/>
        </w:rPr>
        <w:t>нових термоенергетских капацитета на бази костолачких</w:t>
      </w:r>
      <w:r>
        <w:rPr>
          <w:color w:val="231F20"/>
          <w:spacing w:val="-7"/>
          <w:sz w:val="14"/>
        </w:rPr>
        <w:t> </w:t>
      </w:r>
      <w:r>
        <w:rPr>
          <w:color w:val="231F20"/>
          <w:sz w:val="14"/>
        </w:rPr>
        <w:t>лигнита”.</w:t>
      </w:r>
    </w:p>
    <w:p>
      <w:pPr>
        <w:spacing w:after="0" w:line="240" w:lineRule="auto"/>
        <w:jc w:val="both"/>
        <w:rPr>
          <w:sz w:val="14"/>
        </w:rPr>
        <w:sectPr>
          <w:pgSz w:w="12480" w:h="15690"/>
          <w:pgMar w:top="120" w:bottom="280" w:left="680" w:right="720"/>
          <w:cols w:num="2" w:equalWidth="0">
            <w:col w:w="5558" w:space="40"/>
            <w:col w:w="5482"/>
          </w:cols>
        </w:sectPr>
      </w:pPr>
    </w:p>
    <w:p>
      <w:pPr>
        <w:pStyle w:val="BodyText"/>
        <w:spacing w:line="232" w:lineRule="auto" w:before="73"/>
        <w:ind w:right="40" w:firstLine="396"/>
      </w:pPr>
      <w:r>
        <w:rPr/>
        <w:pict>
          <v:line style="position:absolute;mso-position-horizontal-relative:page;mso-position-vertical-relative:page;z-index:3448" from="304.724396pt,11.942451pt" to="304.724396pt,748.950451pt" stroked="true" strokeweight=".6pt" strokecolor="#231f20">
            <v:stroke dashstyle="solid"/>
            <w10:wrap type="none"/>
          </v:line>
        </w:pict>
      </w:r>
      <w:r>
        <w:rPr>
          <w:color w:val="231F20"/>
        </w:rPr>
        <w:t>Рударско-енергетски </w:t>
      </w:r>
      <w:r>
        <w:rPr>
          <w:color w:val="231F20"/>
          <w:spacing w:val="-3"/>
        </w:rPr>
        <w:t>комплекс </w:t>
      </w:r>
      <w:r>
        <w:rPr>
          <w:color w:val="231F20"/>
        </w:rPr>
        <w:t>је динамичан систем </w:t>
      </w:r>
      <w:r>
        <w:rPr>
          <w:color w:val="231F20"/>
          <w:spacing w:val="-4"/>
        </w:rPr>
        <w:t>где </w:t>
      </w:r>
      <w:r>
        <w:rPr>
          <w:color w:val="231F20"/>
        </w:rPr>
        <w:t>се промене</w:t>
      </w:r>
      <w:r>
        <w:rPr>
          <w:color w:val="231F20"/>
          <w:spacing w:val="-7"/>
        </w:rPr>
        <w:t> </w:t>
      </w:r>
      <w:r>
        <w:rPr>
          <w:color w:val="231F20"/>
        </w:rPr>
        <w:t>догађају</w:t>
      </w:r>
      <w:r>
        <w:rPr>
          <w:color w:val="231F20"/>
          <w:spacing w:val="-7"/>
        </w:rPr>
        <w:t> </w:t>
      </w:r>
      <w:r>
        <w:rPr>
          <w:color w:val="231F20"/>
        </w:rPr>
        <w:t>у</w:t>
      </w:r>
      <w:r>
        <w:rPr>
          <w:color w:val="231F20"/>
          <w:spacing w:val="-7"/>
        </w:rPr>
        <w:t> </w:t>
      </w:r>
      <w:r>
        <w:rPr>
          <w:color w:val="231F20"/>
          <w:spacing w:val="-3"/>
        </w:rPr>
        <w:t>континуитету.</w:t>
      </w:r>
      <w:r>
        <w:rPr>
          <w:color w:val="231F20"/>
          <w:spacing w:val="-7"/>
        </w:rPr>
        <w:t> </w:t>
      </w:r>
      <w:r>
        <w:rPr>
          <w:color w:val="231F20"/>
        </w:rPr>
        <w:t>Неопходно</w:t>
      </w:r>
      <w:r>
        <w:rPr>
          <w:color w:val="231F20"/>
          <w:spacing w:val="-7"/>
        </w:rPr>
        <w:t> </w:t>
      </w:r>
      <w:r>
        <w:rPr>
          <w:color w:val="231F20"/>
        </w:rPr>
        <w:t>је</w:t>
      </w:r>
      <w:r>
        <w:rPr>
          <w:color w:val="231F20"/>
          <w:spacing w:val="-7"/>
        </w:rPr>
        <w:t> </w:t>
      </w:r>
      <w:r>
        <w:rPr>
          <w:color w:val="231F20"/>
        </w:rPr>
        <w:t>да</w:t>
      </w:r>
      <w:r>
        <w:rPr>
          <w:color w:val="231F20"/>
          <w:spacing w:val="-7"/>
        </w:rPr>
        <w:t> </w:t>
      </w:r>
      <w:r>
        <w:rPr>
          <w:color w:val="231F20"/>
        </w:rPr>
        <w:t>те</w:t>
      </w:r>
      <w:r>
        <w:rPr>
          <w:color w:val="231F20"/>
          <w:spacing w:val="-7"/>
        </w:rPr>
        <w:t> </w:t>
      </w:r>
      <w:r>
        <w:rPr>
          <w:color w:val="231F20"/>
        </w:rPr>
        <w:t>промене</w:t>
      </w:r>
      <w:r>
        <w:rPr>
          <w:color w:val="231F20"/>
          <w:spacing w:val="-7"/>
        </w:rPr>
        <w:t> </w:t>
      </w:r>
      <w:r>
        <w:rPr>
          <w:color w:val="231F20"/>
        </w:rPr>
        <w:t>пра- те континуиране и синхронизоване активности на изради </w:t>
      </w:r>
      <w:r>
        <w:rPr>
          <w:color w:val="231F20"/>
          <w:spacing w:val="-3"/>
        </w:rPr>
        <w:t>студиј- </w:t>
      </w:r>
      <w:r>
        <w:rPr>
          <w:color w:val="231F20"/>
        </w:rPr>
        <w:t>ске, планске и техничке</w:t>
      </w:r>
      <w:r>
        <w:rPr>
          <w:color w:val="231F20"/>
          <w:spacing w:val="-4"/>
        </w:rPr>
        <w:t> </w:t>
      </w:r>
      <w:r>
        <w:rPr>
          <w:color w:val="231F20"/>
        </w:rPr>
        <w:t>документације.</w:t>
      </w:r>
    </w:p>
    <w:p>
      <w:pPr>
        <w:pStyle w:val="BodyText"/>
        <w:spacing w:line="232" w:lineRule="auto" w:before="1"/>
        <w:ind w:left="169" w:right="40" w:firstLine="397"/>
      </w:pPr>
      <w:r>
        <w:rPr>
          <w:color w:val="231F20"/>
        </w:rPr>
        <w:t>С обзиром на то да је у пракси </w:t>
      </w:r>
      <w:r>
        <w:rPr>
          <w:color w:val="231F20"/>
          <w:spacing w:val="-3"/>
        </w:rPr>
        <w:t>тешко </w:t>
      </w:r>
      <w:r>
        <w:rPr>
          <w:color w:val="231F20"/>
        </w:rPr>
        <w:t>обезбедити континуи- тет у изради и потребан ниво детаљности техничке и планске до- кументације,</w:t>
      </w:r>
      <w:r>
        <w:rPr>
          <w:color w:val="231F20"/>
          <w:spacing w:val="-8"/>
        </w:rPr>
        <w:t> </w:t>
      </w:r>
      <w:r>
        <w:rPr>
          <w:color w:val="231F20"/>
          <w:spacing w:val="-3"/>
        </w:rPr>
        <w:t>приликом</w:t>
      </w:r>
      <w:r>
        <w:rPr>
          <w:color w:val="231F20"/>
          <w:spacing w:val="-8"/>
        </w:rPr>
        <w:t> </w:t>
      </w:r>
      <w:r>
        <w:rPr>
          <w:color w:val="231F20"/>
        </w:rPr>
        <w:t>издавања</w:t>
      </w:r>
      <w:r>
        <w:rPr>
          <w:color w:val="231F20"/>
          <w:spacing w:val="-8"/>
        </w:rPr>
        <w:t> </w:t>
      </w:r>
      <w:r>
        <w:rPr>
          <w:color w:val="231F20"/>
        </w:rPr>
        <w:t>локацијске</w:t>
      </w:r>
      <w:r>
        <w:rPr>
          <w:color w:val="231F20"/>
          <w:spacing w:val="-8"/>
        </w:rPr>
        <w:t> </w:t>
      </w:r>
      <w:r>
        <w:rPr>
          <w:color w:val="231F20"/>
        </w:rPr>
        <w:t>дозволе</w:t>
      </w:r>
      <w:r>
        <w:rPr>
          <w:color w:val="231F20"/>
          <w:spacing w:val="-8"/>
        </w:rPr>
        <w:t> </w:t>
      </w:r>
      <w:r>
        <w:rPr>
          <w:color w:val="231F20"/>
        </w:rPr>
        <w:t>за</w:t>
      </w:r>
      <w:r>
        <w:rPr>
          <w:color w:val="231F20"/>
          <w:spacing w:val="-8"/>
        </w:rPr>
        <w:t> </w:t>
      </w:r>
      <w:r>
        <w:rPr>
          <w:color w:val="231F20"/>
        </w:rPr>
        <w:t>енергетске објекте или информације о локацији са изводом из Просторног плана и одобрења за </w:t>
      </w:r>
      <w:r>
        <w:rPr>
          <w:color w:val="231F20"/>
          <w:spacing w:val="-3"/>
        </w:rPr>
        <w:t>рударске </w:t>
      </w:r>
      <w:r>
        <w:rPr>
          <w:color w:val="231F20"/>
        </w:rPr>
        <w:t>објекте, у случају мањих одступања </w:t>
      </w:r>
      <w:r>
        <w:rPr>
          <w:color w:val="231F20"/>
          <w:spacing w:val="-3"/>
        </w:rPr>
        <w:t>од </w:t>
      </w:r>
      <w:r>
        <w:rPr>
          <w:color w:val="231F20"/>
        </w:rPr>
        <w:t>утврђених регулационих решења (услед промене техничких и експлоатационих карактеристика, капацитета или диспозиционих елемената </w:t>
      </w:r>
      <w:r>
        <w:rPr>
          <w:color w:val="231F20"/>
          <w:spacing w:val="-6"/>
        </w:rPr>
        <w:t>код </w:t>
      </w:r>
      <w:r>
        <w:rPr>
          <w:color w:val="231F20"/>
        </w:rPr>
        <w:t>рударских и термоенергетских система), користити решења</w:t>
      </w:r>
      <w:r>
        <w:rPr>
          <w:color w:val="231F20"/>
          <w:spacing w:val="-9"/>
        </w:rPr>
        <w:t> </w:t>
      </w:r>
      <w:r>
        <w:rPr>
          <w:color w:val="231F20"/>
        </w:rPr>
        <w:t>из</w:t>
      </w:r>
      <w:r>
        <w:rPr>
          <w:color w:val="231F20"/>
          <w:spacing w:val="-9"/>
        </w:rPr>
        <w:t> </w:t>
      </w:r>
      <w:r>
        <w:rPr>
          <w:color w:val="231F20"/>
        </w:rPr>
        <w:t>нове</w:t>
      </w:r>
      <w:r>
        <w:rPr>
          <w:color w:val="231F20"/>
          <w:spacing w:val="-9"/>
        </w:rPr>
        <w:t> </w:t>
      </w:r>
      <w:r>
        <w:rPr>
          <w:color w:val="231F20"/>
          <w:spacing w:val="-3"/>
        </w:rPr>
        <w:t>студијске</w:t>
      </w:r>
      <w:r>
        <w:rPr>
          <w:color w:val="231F20"/>
          <w:spacing w:val="-9"/>
        </w:rPr>
        <w:t> </w:t>
      </w:r>
      <w:r>
        <w:rPr>
          <w:color w:val="231F20"/>
        </w:rPr>
        <w:t>и</w:t>
      </w:r>
      <w:r>
        <w:rPr>
          <w:color w:val="231F20"/>
          <w:spacing w:val="-9"/>
        </w:rPr>
        <w:t> </w:t>
      </w:r>
      <w:r>
        <w:rPr>
          <w:color w:val="231F20"/>
        </w:rPr>
        <w:t>техничке</w:t>
      </w:r>
      <w:r>
        <w:rPr>
          <w:color w:val="231F20"/>
          <w:spacing w:val="-9"/>
        </w:rPr>
        <w:t> </w:t>
      </w:r>
      <w:r>
        <w:rPr>
          <w:color w:val="231F20"/>
        </w:rPr>
        <w:t>документације</w:t>
      </w:r>
      <w:r>
        <w:rPr>
          <w:color w:val="231F20"/>
          <w:spacing w:val="-9"/>
        </w:rPr>
        <w:t> </w:t>
      </w:r>
      <w:r>
        <w:rPr>
          <w:color w:val="231F20"/>
        </w:rPr>
        <w:t>уз</w:t>
      </w:r>
      <w:r>
        <w:rPr>
          <w:color w:val="231F20"/>
          <w:spacing w:val="-9"/>
        </w:rPr>
        <w:t> </w:t>
      </w:r>
      <w:r>
        <w:rPr>
          <w:color w:val="231F20"/>
        </w:rPr>
        <w:t>одговарају- ће образложење којим се потврђује оправданост мањег одступања </w:t>
      </w:r>
      <w:r>
        <w:rPr>
          <w:color w:val="231F20"/>
          <w:spacing w:val="-3"/>
        </w:rPr>
        <w:t>од </w:t>
      </w:r>
      <w:r>
        <w:rPr>
          <w:color w:val="231F20"/>
        </w:rPr>
        <w:t>пропозиција Просторног</w:t>
      </w:r>
      <w:r>
        <w:rPr>
          <w:color w:val="231F20"/>
          <w:spacing w:val="0"/>
        </w:rPr>
        <w:t> </w:t>
      </w:r>
      <w:r>
        <w:rPr>
          <w:color w:val="231F20"/>
        </w:rPr>
        <w:t>плана.</w:t>
      </w:r>
    </w:p>
    <w:p>
      <w:pPr>
        <w:pStyle w:val="BodyText"/>
        <w:spacing w:line="232" w:lineRule="auto" w:before="3"/>
        <w:ind w:left="171" w:right="40" w:firstLine="396"/>
      </w:pPr>
      <w:r>
        <w:rPr>
          <w:color w:val="231F20"/>
        </w:rPr>
        <w:t>У случају када су та одступања знатнија, биће покренут по- ступак измена и допуна Просторног плана.</w:t>
      </w:r>
    </w:p>
    <w:p>
      <w:pPr>
        <w:pStyle w:val="Heading1"/>
        <w:numPr>
          <w:ilvl w:val="1"/>
          <w:numId w:val="50"/>
        </w:numPr>
        <w:tabs>
          <w:tab w:pos="508" w:val="left" w:leader="none"/>
        </w:tabs>
        <w:spacing w:line="232" w:lineRule="auto" w:before="171" w:after="0"/>
        <w:ind w:left="1918" w:right="216" w:hanging="1571"/>
        <w:jc w:val="left"/>
      </w:pPr>
      <w:r>
        <w:rPr>
          <w:color w:val="231F20"/>
        </w:rPr>
        <w:t>Општа правила употребе земљишта, изградње, уређења и заштите</w:t>
      </w:r>
      <w:r>
        <w:rPr>
          <w:color w:val="231F20"/>
          <w:spacing w:val="-3"/>
        </w:rPr>
        <w:t> </w:t>
      </w:r>
      <w:r>
        <w:rPr>
          <w:color w:val="231F20"/>
        </w:rPr>
        <w:t>простора</w:t>
      </w:r>
    </w:p>
    <w:p>
      <w:pPr>
        <w:pStyle w:val="BodyText"/>
        <w:spacing w:before="6"/>
        <w:ind w:left="0"/>
        <w:jc w:val="left"/>
        <w:rPr>
          <w:b/>
          <w:sz w:val="17"/>
        </w:rPr>
      </w:pPr>
    </w:p>
    <w:p>
      <w:pPr>
        <w:pStyle w:val="BodyText"/>
        <w:spacing w:line="232" w:lineRule="auto"/>
        <w:ind w:left="171" w:right="40" w:firstLine="396"/>
      </w:pPr>
      <w:r>
        <w:rPr>
          <w:color w:val="231F20"/>
        </w:rPr>
        <w:t>Општа правила употребе земљишта, изградње, уређења и за- штите</w:t>
      </w:r>
      <w:r>
        <w:rPr>
          <w:color w:val="231F20"/>
          <w:spacing w:val="-11"/>
        </w:rPr>
        <w:t> </w:t>
      </w:r>
      <w:r>
        <w:rPr>
          <w:color w:val="231F20"/>
        </w:rPr>
        <w:t>простора</w:t>
      </w:r>
      <w:r>
        <w:rPr>
          <w:color w:val="231F20"/>
          <w:spacing w:val="-11"/>
        </w:rPr>
        <w:t> </w:t>
      </w:r>
      <w:r>
        <w:rPr>
          <w:color w:val="231F20"/>
        </w:rPr>
        <w:t>односе</w:t>
      </w:r>
      <w:r>
        <w:rPr>
          <w:color w:val="231F20"/>
          <w:spacing w:val="-11"/>
        </w:rPr>
        <w:t> </w:t>
      </w:r>
      <w:r>
        <w:rPr>
          <w:color w:val="231F20"/>
        </w:rPr>
        <w:t>се</w:t>
      </w:r>
      <w:r>
        <w:rPr>
          <w:color w:val="231F20"/>
          <w:spacing w:val="-11"/>
        </w:rPr>
        <w:t> </w:t>
      </w:r>
      <w:r>
        <w:rPr>
          <w:color w:val="231F20"/>
        </w:rPr>
        <w:t>на</w:t>
      </w:r>
      <w:r>
        <w:rPr>
          <w:color w:val="231F20"/>
          <w:spacing w:val="-11"/>
        </w:rPr>
        <w:t> </w:t>
      </w:r>
      <w:r>
        <w:rPr>
          <w:color w:val="231F20"/>
        </w:rPr>
        <w:t>просторе</w:t>
      </w:r>
      <w:r>
        <w:rPr>
          <w:color w:val="231F20"/>
          <w:spacing w:val="-11"/>
        </w:rPr>
        <w:t> </w:t>
      </w:r>
      <w:r>
        <w:rPr>
          <w:color w:val="231F20"/>
        </w:rPr>
        <w:t>за</w:t>
      </w:r>
      <w:r>
        <w:rPr>
          <w:color w:val="231F20"/>
          <w:spacing w:val="-11"/>
        </w:rPr>
        <w:t> </w:t>
      </w:r>
      <w:r>
        <w:rPr>
          <w:color w:val="231F20"/>
          <w:spacing w:val="-4"/>
        </w:rPr>
        <w:t>које</w:t>
      </w:r>
      <w:r>
        <w:rPr>
          <w:color w:val="231F20"/>
          <w:spacing w:val="-11"/>
        </w:rPr>
        <w:t> </w:t>
      </w:r>
      <w:r>
        <w:rPr>
          <w:color w:val="231F20"/>
        </w:rPr>
        <w:t>нису</w:t>
      </w:r>
      <w:r>
        <w:rPr>
          <w:color w:val="231F20"/>
          <w:spacing w:val="-11"/>
        </w:rPr>
        <w:t> </w:t>
      </w:r>
      <w:r>
        <w:rPr>
          <w:color w:val="231F20"/>
        </w:rPr>
        <w:t>урађена</w:t>
      </w:r>
      <w:r>
        <w:rPr>
          <w:color w:val="231F20"/>
          <w:spacing w:val="-11"/>
        </w:rPr>
        <w:t> </w:t>
      </w:r>
      <w:r>
        <w:rPr>
          <w:color w:val="231F20"/>
        </w:rPr>
        <w:t>(ближа) правила изградње и правила уређења простора у Просторном пла- ну</w:t>
      </w:r>
      <w:r>
        <w:rPr>
          <w:color w:val="231F20"/>
          <w:spacing w:val="-5"/>
        </w:rPr>
        <w:t> </w:t>
      </w:r>
      <w:r>
        <w:rPr>
          <w:color w:val="231F20"/>
        </w:rPr>
        <w:t>и</w:t>
      </w:r>
      <w:r>
        <w:rPr>
          <w:color w:val="231F20"/>
          <w:spacing w:val="-5"/>
        </w:rPr>
        <w:t> </w:t>
      </w:r>
      <w:r>
        <w:rPr>
          <w:color w:val="231F20"/>
        </w:rPr>
        <w:t>за</w:t>
      </w:r>
      <w:r>
        <w:rPr>
          <w:color w:val="231F20"/>
          <w:spacing w:val="-5"/>
        </w:rPr>
        <w:t> </w:t>
      </w:r>
      <w:r>
        <w:rPr>
          <w:color w:val="231F20"/>
          <w:spacing w:val="-4"/>
        </w:rPr>
        <w:t>које</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накнадно</w:t>
      </w:r>
      <w:r>
        <w:rPr>
          <w:color w:val="231F20"/>
          <w:spacing w:val="-5"/>
        </w:rPr>
        <w:t> </w:t>
      </w:r>
      <w:r>
        <w:rPr>
          <w:color w:val="231F20"/>
        </w:rPr>
        <w:t>доносити</w:t>
      </w:r>
      <w:r>
        <w:rPr>
          <w:color w:val="231F20"/>
          <w:spacing w:val="-5"/>
        </w:rPr>
        <w:t> </w:t>
      </w:r>
      <w:r>
        <w:rPr>
          <w:color w:val="231F20"/>
        </w:rPr>
        <w:t>посебни</w:t>
      </w:r>
      <w:r>
        <w:rPr>
          <w:color w:val="231F20"/>
          <w:spacing w:val="-5"/>
        </w:rPr>
        <w:t> </w:t>
      </w:r>
      <w:r>
        <w:rPr>
          <w:color w:val="231F20"/>
        </w:rPr>
        <w:t>плански</w:t>
      </w:r>
      <w:r>
        <w:rPr>
          <w:color w:val="231F20"/>
          <w:spacing w:val="-5"/>
        </w:rPr>
        <w:t> </w:t>
      </w:r>
      <w:r>
        <w:rPr>
          <w:color w:val="231F20"/>
        </w:rPr>
        <w:t>документи.</w:t>
      </w:r>
    </w:p>
    <w:p>
      <w:pPr>
        <w:pStyle w:val="Heading1"/>
        <w:numPr>
          <w:ilvl w:val="2"/>
          <w:numId w:val="50"/>
        </w:numPr>
        <w:tabs>
          <w:tab w:pos="1553" w:val="left" w:leader="none"/>
        </w:tabs>
        <w:spacing w:line="240" w:lineRule="auto" w:before="166" w:after="0"/>
        <w:ind w:left="1100" w:right="0" w:firstLine="272"/>
        <w:jc w:val="left"/>
      </w:pPr>
      <w:r>
        <w:rPr>
          <w:color w:val="231F20"/>
        </w:rPr>
        <w:t>Рударско-енергетски</w:t>
      </w:r>
      <w:r>
        <w:rPr>
          <w:color w:val="231F20"/>
          <w:spacing w:val="-2"/>
        </w:rPr>
        <w:t> </w:t>
      </w:r>
      <w:r>
        <w:rPr>
          <w:color w:val="231F20"/>
        </w:rPr>
        <w:t>комплекс</w:t>
      </w:r>
    </w:p>
    <w:p>
      <w:pPr>
        <w:pStyle w:val="BodyText"/>
        <w:spacing w:before="5"/>
        <w:ind w:left="0"/>
        <w:jc w:val="left"/>
        <w:rPr>
          <w:b/>
          <w:sz w:val="17"/>
        </w:rPr>
      </w:pPr>
    </w:p>
    <w:p>
      <w:pPr>
        <w:pStyle w:val="BodyText"/>
        <w:spacing w:line="232" w:lineRule="auto"/>
        <w:ind w:left="171" w:right="39" w:firstLine="396"/>
      </w:pPr>
      <w:r>
        <w:rPr>
          <w:color w:val="231F20"/>
        </w:rPr>
        <w:t>Општа правила изградње, уређења и санације </w:t>
      </w:r>
      <w:r>
        <w:rPr>
          <w:color w:val="231F20"/>
          <w:spacing w:val="-3"/>
        </w:rPr>
        <w:t>рударских </w:t>
      </w:r>
      <w:r>
        <w:rPr>
          <w:color w:val="231F20"/>
        </w:rPr>
        <w:t>и енергетских објеката на </w:t>
      </w:r>
      <w:r>
        <w:rPr>
          <w:color w:val="231F20"/>
          <w:spacing w:val="-3"/>
        </w:rPr>
        <w:t>подручју </w:t>
      </w:r>
      <w:r>
        <w:rPr>
          <w:color w:val="231F20"/>
          <w:spacing w:val="-4"/>
        </w:rPr>
        <w:t>Костолачког </w:t>
      </w:r>
      <w:r>
        <w:rPr>
          <w:color w:val="231F20"/>
        </w:rPr>
        <w:t>угљеног басена </w:t>
      </w:r>
      <w:r>
        <w:rPr>
          <w:color w:val="231F20"/>
          <w:spacing w:val="-3"/>
        </w:rPr>
        <w:t>од- </w:t>
      </w:r>
      <w:r>
        <w:rPr>
          <w:color w:val="231F20"/>
        </w:rPr>
        <w:t>носе се на површине резервисане у Просторном плану за </w:t>
      </w:r>
      <w:r>
        <w:rPr>
          <w:color w:val="231F20"/>
          <w:spacing w:val="-4"/>
        </w:rPr>
        <w:t>рудар- </w:t>
      </w:r>
      <w:r>
        <w:rPr>
          <w:color w:val="231F20"/>
          <w:spacing w:val="-3"/>
        </w:rPr>
        <w:t>ске </w:t>
      </w:r>
      <w:r>
        <w:rPr>
          <w:color w:val="231F20"/>
        </w:rPr>
        <w:t>активности, енергетске и технолошке системе и</w:t>
      </w:r>
      <w:r>
        <w:rPr>
          <w:color w:val="231F20"/>
          <w:spacing w:val="-13"/>
        </w:rPr>
        <w:t> </w:t>
      </w:r>
      <w:r>
        <w:rPr>
          <w:color w:val="231F20"/>
        </w:rPr>
        <w:t>експлоатацију нафте и гаса. </w:t>
      </w:r>
      <w:r>
        <w:rPr>
          <w:color w:val="231F20"/>
          <w:spacing w:val="-8"/>
        </w:rPr>
        <w:t>То </w:t>
      </w:r>
      <w:r>
        <w:rPr>
          <w:color w:val="231F20"/>
          <w:spacing w:val="-3"/>
        </w:rPr>
        <w:t>су: </w:t>
      </w:r>
      <w:r>
        <w:rPr>
          <w:color w:val="231F20"/>
        </w:rPr>
        <w:t>лигнитска лежишта у централном и западном делу </w:t>
      </w:r>
      <w:r>
        <w:rPr>
          <w:color w:val="231F20"/>
          <w:spacing w:val="-4"/>
        </w:rPr>
        <w:t>Костолачког </w:t>
      </w:r>
      <w:r>
        <w:rPr>
          <w:color w:val="231F20"/>
        </w:rPr>
        <w:t>басена, лежиште „Пољана”, зоне истраживања и експлоатације</w:t>
      </w:r>
      <w:r>
        <w:rPr>
          <w:color w:val="231F20"/>
          <w:spacing w:val="-7"/>
        </w:rPr>
        <w:t> </w:t>
      </w:r>
      <w:r>
        <w:rPr>
          <w:color w:val="231F20"/>
        </w:rPr>
        <w:t>нафте</w:t>
      </w:r>
      <w:r>
        <w:rPr>
          <w:color w:val="231F20"/>
          <w:spacing w:val="-7"/>
        </w:rPr>
        <w:t> </w:t>
      </w:r>
      <w:r>
        <w:rPr>
          <w:color w:val="231F20"/>
        </w:rPr>
        <w:t>и</w:t>
      </w:r>
      <w:r>
        <w:rPr>
          <w:color w:val="231F20"/>
          <w:spacing w:val="-7"/>
        </w:rPr>
        <w:t> </w:t>
      </w:r>
      <w:r>
        <w:rPr>
          <w:color w:val="231F20"/>
        </w:rPr>
        <w:t>гаса,</w:t>
      </w:r>
      <w:r>
        <w:rPr>
          <w:color w:val="231F20"/>
          <w:spacing w:val="-7"/>
        </w:rPr>
        <w:t> </w:t>
      </w:r>
      <w:r>
        <w:rPr>
          <w:color w:val="231F20"/>
        </w:rPr>
        <w:t>депонија</w:t>
      </w:r>
      <w:r>
        <w:rPr>
          <w:color w:val="231F20"/>
          <w:spacing w:val="-7"/>
        </w:rPr>
        <w:t> </w:t>
      </w:r>
      <w:r>
        <w:rPr>
          <w:color w:val="231F20"/>
        </w:rPr>
        <w:t>пепела</w:t>
      </w:r>
      <w:r>
        <w:rPr>
          <w:color w:val="231F20"/>
          <w:spacing w:val="-7"/>
        </w:rPr>
        <w:t> </w:t>
      </w:r>
      <w:r>
        <w:rPr>
          <w:color w:val="231F20"/>
        </w:rPr>
        <w:t>на</w:t>
      </w:r>
      <w:r>
        <w:rPr>
          <w:color w:val="231F20"/>
          <w:spacing w:val="-7"/>
        </w:rPr>
        <w:t> </w:t>
      </w:r>
      <w:r>
        <w:rPr>
          <w:color w:val="231F20"/>
        </w:rPr>
        <w:t>Средњем</w:t>
      </w:r>
      <w:r>
        <w:rPr>
          <w:color w:val="231F20"/>
          <w:spacing w:val="-7"/>
        </w:rPr>
        <w:t> </w:t>
      </w:r>
      <w:r>
        <w:rPr>
          <w:color w:val="231F20"/>
          <w:spacing w:val="-4"/>
        </w:rPr>
        <w:t>костолач- </w:t>
      </w:r>
      <w:r>
        <w:rPr>
          <w:color w:val="231F20"/>
          <w:spacing w:val="-6"/>
        </w:rPr>
        <w:t>ком</w:t>
      </w:r>
      <w:r>
        <w:rPr>
          <w:color w:val="231F20"/>
          <w:spacing w:val="-8"/>
        </w:rPr>
        <w:t> </w:t>
      </w:r>
      <w:r>
        <w:rPr>
          <w:color w:val="231F20"/>
          <w:spacing w:val="-4"/>
        </w:rPr>
        <w:t>острву,</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технолошки</w:t>
      </w:r>
      <w:r>
        <w:rPr>
          <w:color w:val="231F20"/>
          <w:spacing w:val="-8"/>
        </w:rPr>
        <w:t> </w:t>
      </w:r>
      <w:r>
        <w:rPr>
          <w:color w:val="231F20"/>
        </w:rPr>
        <w:t>и</w:t>
      </w:r>
      <w:r>
        <w:rPr>
          <w:color w:val="231F20"/>
          <w:spacing w:val="-8"/>
        </w:rPr>
        <w:t> </w:t>
      </w:r>
      <w:r>
        <w:rPr>
          <w:color w:val="231F20"/>
        </w:rPr>
        <w:t>инфраструктурни</w:t>
      </w:r>
      <w:r>
        <w:rPr>
          <w:color w:val="231F20"/>
          <w:spacing w:val="-8"/>
        </w:rPr>
        <w:t> </w:t>
      </w:r>
      <w:r>
        <w:rPr>
          <w:color w:val="231F20"/>
        </w:rPr>
        <w:t>системи</w:t>
      </w:r>
      <w:r>
        <w:rPr>
          <w:color w:val="231F20"/>
          <w:spacing w:val="-8"/>
        </w:rPr>
        <w:t> </w:t>
      </w:r>
      <w:r>
        <w:rPr>
          <w:color w:val="231F20"/>
        </w:rPr>
        <w:t>и</w:t>
      </w:r>
      <w:r>
        <w:rPr>
          <w:color w:val="231F20"/>
          <w:spacing w:val="-8"/>
        </w:rPr>
        <w:t> </w:t>
      </w:r>
      <w:r>
        <w:rPr>
          <w:color w:val="231F20"/>
        </w:rPr>
        <w:t>прате- ћи објекти изван локација термоелектрана. Ове површине уређују се као „површине намењене објектима </w:t>
      </w:r>
      <w:r>
        <w:rPr>
          <w:color w:val="231F20"/>
          <w:spacing w:val="-4"/>
        </w:rPr>
        <w:t>од </w:t>
      </w:r>
      <w:r>
        <w:rPr>
          <w:color w:val="231F20"/>
        </w:rPr>
        <w:t>јавног</w:t>
      </w:r>
      <w:r>
        <w:rPr>
          <w:color w:val="231F20"/>
          <w:spacing w:val="-24"/>
        </w:rPr>
        <w:t> </w:t>
      </w:r>
      <w:r>
        <w:rPr>
          <w:color w:val="231F20"/>
        </w:rPr>
        <w:t>интереса”.</w:t>
      </w:r>
    </w:p>
    <w:p>
      <w:pPr>
        <w:pStyle w:val="BodyText"/>
        <w:spacing w:line="232" w:lineRule="auto" w:before="3"/>
        <w:ind w:left="172" w:right="38" w:firstLine="397"/>
      </w:pPr>
      <w:r>
        <w:rPr>
          <w:color w:val="231F20"/>
        </w:rPr>
        <w:t>На </w:t>
      </w:r>
      <w:r>
        <w:rPr>
          <w:color w:val="231F20"/>
          <w:spacing w:val="-4"/>
        </w:rPr>
        <w:t>површинском </w:t>
      </w:r>
      <w:r>
        <w:rPr>
          <w:color w:val="231F20"/>
          <w:spacing w:val="-5"/>
        </w:rPr>
        <w:t>копу </w:t>
      </w:r>
      <w:r>
        <w:rPr>
          <w:color w:val="231F20"/>
          <w:spacing w:val="-3"/>
        </w:rPr>
        <w:t>„Кленовник”, </w:t>
      </w:r>
      <w:r>
        <w:rPr>
          <w:color w:val="231F20"/>
          <w:spacing w:val="-5"/>
        </w:rPr>
        <w:t>где </w:t>
      </w:r>
      <w:r>
        <w:rPr>
          <w:color w:val="231F20"/>
        </w:rPr>
        <w:t>је </w:t>
      </w:r>
      <w:r>
        <w:rPr>
          <w:color w:val="231F20"/>
          <w:spacing w:val="-4"/>
        </w:rPr>
        <w:t>експлоатација </w:t>
      </w:r>
      <w:r>
        <w:rPr>
          <w:color w:val="231F20"/>
          <w:spacing w:val="-3"/>
        </w:rPr>
        <w:t>завр- шена, планира </w:t>
      </w:r>
      <w:r>
        <w:rPr>
          <w:color w:val="231F20"/>
        </w:rPr>
        <w:t>се </w:t>
      </w:r>
      <w:r>
        <w:rPr>
          <w:color w:val="231F20"/>
          <w:spacing w:val="-4"/>
        </w:rPr>
        <w:t>рекултивација, </w:t>
      </w:r>
      <w:r>
        <w:rPr>
          <w:color w:val="231F20"/>
          <w:spacing w:val="-3"/>
        </w:rPr>
        <w:t>ремедијација </w:t>
      </w:r>
      <w:r>
        <w:rPr>
          <w:color w:val="231F20"/>
        </w:rPr>
        <w:t>и </w:t>
      </w:r>
      <w:r>
        <w:rPr>
          <w:color w:val="231F20"/>
          <w:spacing w:val="-3"/>
        </w:rPr>
        <w:t>санација простора </w:t>
      </w:r>
      <w:r>
        <w:rPr>
          <w:color w:val="231F20"/>
        </w:rPr>
        <w:t>и </w:t>
      </w:r>
      <w:r>
        <w:rPr>
          <w:color w:val="231F20"/>
          <w:spacing w:val="-3"/>
        </w:rPr>
        <w:t>решавање </w:t>
      </w:r>
      <w:r>
        <w:rPr>
          <w:color w:val="231F20"/>
          <w:spacing w:val="-4"/>
        </w:rPr>
        <w:t>проблема </w:t>
      </w:r>
      <w:r>
        <w:rPr>
          <w:color w:val="231F20"/>
          <w:spacing w:val="-3"/>
        </w:rPr>
        <w:t>заштите </w:t>
      </w:r>
      <w:r>
        <w:rPr>
          <w:color w:val="231F20"/>
          <w:spacing w:val="-4"/>
        </w:rPr>
        <w:t>животне </w:t>
      </w:r>
      <w:r>
        <w:rPr>
          <w:color w:val="231F20"/>
          <w:spacing w:val="-3"/>
        </w:rPr>
        <w:t>средине насталих услед </w:t>
      </w:r>
      <w:r>
        <w:rPr>
          <w:color w:val="231F20"/>
          <w:spacing w:val="-5"/>
        </w:rPr>
        <w:t>рудар- </w:t>
      </w:r>
      <w:r>
        <w:rPr>
          <w:color w:val="231F20"/>
          <w:spacing w:val="-3"/>
        </w:rPr>
        <w:t>ских активности </w:t>
      </w:r>
      <w:r>
        <w:rPr>
          <w:color w:val="231F20"/>
        </w:rPr>
        <w:t>и </w:t>
      </w:r>
      <w:r>
        <w:rPr>
          <w:color w:val="231F20"/>
          <w:spacing w:val="-3"/>
        </w:rPr>
        <w:t>утврђује </w:t>
      </w:r>
      <w:r>
        <w:rPr>
          <w:color w:val="231F20"/>
          <w:spacing w:val="-4"/>
        </w:rPr>
        <w:t>начин коришћења </w:t>
      </w:r>
      <w:r>
        <w:rPr>
          <w:color w:val="231F20"/>
          <w:spacing w:val="-3"/>
        </w:rPr>
        <w:t>напуштених </w:t>
      </w:r>
      <w:r>
        <w:rPr>
          <w:color w:val="231F20"/>
          <w:spacing w:val="-5"/>
        </w:rPr>
        <w:t>рудар- </w:t>
      </w:r>
      <w:r>
        <w:rPr>
          <w:color w:val="231F20"/>
          <w:spacing w:val="-3"/>
        </w:rPr>
        <w:t>ских </w:t>
      </w:r>
      <w:r>
        <w:rPr>
          <w:color w:val="231F20"/>
          <w:spacing w:val="-4"/>
        </w:rPr>
        <w:t>објеката. </w:t>
      </w:r>
      <w:r>
        <w:rPr>
          <w:color w:val="231F20"/>
        </w:rPr>
        <w:t>На </w:t>
      </w:r>
      <w:r>
        <w:rPr>
          <w:color w:val="231F20"/>
          <w:spacing w:val="-3"/>
        </w:rPr>
        <w:t>делу ових површина планира </w:t>
      </w:r>
      <w:r>
        <w:rPr>
          <w:color w:val="231F20"/>
        </w:rPr>
        <w:t>се </w:t>
      </w:r>
      <w:r>
        <w:rPr>
          <w:color w:val="231F20"/>
          <w:spacing w:val="-3"/>
        </w:rPr>
        <w:t>уређење простора </w:t>
      </w:r>
      <w:r>
        <w:rPr>
          <w:color w:val="231F20"/>
        </w:rPr>
        <w:t>за </w:t>
      </w:r>
      <w:r>
        <w:rPr>
          <w:color w:val="231F20"/>
          <w:spacing w:val="-3"/>
        </w:rPr>
        <w:t>музеј </w:t>
      </w:r>
      <w:r>
        <w:rPr>
          <w:color w:val="231F20"/>
          <w:spacing w:val="-5"/>
        </w:rPr>
        <w:t>рударства </w:t>
      </w:r>
      <w:r>
        <w:rPr>
          <w:color w:val="231F20"/>
        </w:rPr>
        <w:t>на </w:t>
      </w:r>
      <w:r>
        <w:rPr>
          <w:color w:val="231F20"/>
          <w:spacing w:val="-4"/>
        </w:rPr>
        <w:t>отвореном. </w:t>
      </w:r>
      <w:r>
        <w:rPr>
          <w:color w:val="231F20"/>
        </w:rPr>
        <w:t>У </w:t>
      </w:r>
      <w:r>
        <w:rPr>
          <w:color w:val="231F20"/>
          <w:spacing w:val="-3"/>
        </w:rPr>
        <w:t>оквиру овог </w:t>
      </w:r>
      <w:r>
        <w:rPr>
          <w:color w:val="231F20"/>
          <w:spacing w:val="-5"/>
        </w:rPr>
        <w:t>комплекса </w:t>
      </w:r>
      <w:r>
        <w:rPr>
          <w:color w:val="231F20"/>
          <w:spacing w:val="-3"/>
        </w:rPr>
        <w:t>форми- рана </w:t>
      </w:r>
      <w:r>
        <w:rPr>
          <w:color w:val="231F20"/>
        </w:rPr>
        <w:t>је </w:t>
      </w:r>
      <w:r>
        <w:rPr>
          <w:color w:val="231F20"/>
          <w:spacing w:val="-3"/>
        </w:rPr>
        <w:t>привремена градска депонија </w:t>
      </w:r>
      <w:r>
        <w:rPr>
          <w:color w:val="231F20"/>
          <w:spacing w:val="-4"/>
        </w:rPr>
        <w:t>комуналног </w:t>
      </w:r>
      <w:r>
        <w:rPr>
          <w:color w:val="231F20"/>
          <w:spacing w:val="-3"/>
        </w:rPr>
        <w:t>отпада. Предвиђа </w:t>
      </w:r>
      <w:r>
        <w:rPr>
          <w:color w:val="231F20"/>
        </w:rPr>
        <w:t>се </w:t>
      </w:r>
      <w:r>
        <w:rPr>
          <w:color w:val="231F20"/>
          <w:spacing w:val="-3"/>
        </w:rPr>
        <w:t>санација депоније </w:t>
      </w:r>
      <w:r>
        <w:rPr>
          <w:color w:val="231F20"/>
        </w:rPr>
        <w:t>уз </w:t>
      </w:r>
      <w:r>
        <w:rPr>
          <w:color w:val="231F20"/>
          <w:spacing w:val="-3"/>
        </w:rPr>
        <w:t>временски ограничено </w:t>
      </w:r>
      <w:r>
        <w:rPr>
          <w:color w:val="231F20"/>
          <w:spacing w:val="-4"/>
        </w:rPr>
        <w:t>коришћење </w:t>
      </w:r>
      <w:r>
        <w:rPr>
          <w:color w:val="231F20"/>
        </w:rPr>
        <w:t>до </w:t>
      </w:r>
      <w:r>
        <w:rPr>
          <w:color w:val="231F20"/>
          <w:spacing w:val="-3"/>
        </w:rPr>
        <w:t>њеног </w:t>
      </w:r>
      <w:r>
        <w:rPr>
          <w:color w:val="231F20"/>
          <w:spacing w:val="-5"/>
        </w:rPr>
        <w:t>коначног </w:t>
      </w:r>
      <w:r>
        <w:rPr>
          <w:color w:val="231F20"/>
          <w:spacing w:val="-4"/>
        </w:rPr>
        <w:t>затварања, </w:t>
      </w:r>
      <w:r>
        <w:rPr>
          <w:color w:val="231F20"/>
        </w:rPr>
        <w:t>у </w:t>
      </w:r>
      <w:r>
        <w:rPr>
          <w:color w:val="231F20"/>
          <w:spacing w:val="-3"/>
        </w:rPr>
        <w:t>условима постизања </w:t>
      </w:r>
      <w:r>
        <w:rPr>
          <w:color w:val="231F20"/>
          <w:spacing w:val="-4"/>
        </w:rPr>
        <w:t>прихватљивог </w:t>
      </w:r>
      <w:r>
        <w:rPr>
          <w:color w:val="231F20"/>
          <w:spacing w:val="-3"/>
        </w:rPr>
        <w:t>нивоа </w:t>
      </w:r>
      <w:r>
        <w:rPr>
          <w:color w:val="231F20"/>
        </w:rPr>
        <w:t>са- </w:t>
      </w:r>
      <w:r>
        <w:rPr>
          <w:color w:val="231F20"/>
          <w:spacing w:val="-3"/>
        </w:rPr>
        <w:t>нитације (изградња лагуна, прекривање </w:t>
      </w:r>
      <w:r>
        <w:rPr>
          <w:color w:val="231F20"/>
          <w:spacing w:val="-5"/>
        </w:rPr>
        <w:t>одложеног </w:t>
      </w:r>
      <w:r>
        <w:rPr>
          <w:color w:val="231F20"/>
          <w:spacing w:val="-3"/>
        </w:rPr>
        <w:t>отпада инертним </w:t>
      </w:r>
      <w:r>
        <w:rPr>
          <w:color w:val="231F20"/>
          <w:spacing w:val="-4"/>
        </w:rPr>
        <w:t>материјалом, </w:t>
      </w:r>
      <w:r>
        <w:rPr>
          <w:color w:val="231F20"/>
          <w:spacing w:val="-3"/>
        </w:rPr>
        <w:t>ограђивање </w:t>
      </w:r>
      <w:r>
        <w:rPr>
          <w:color w:val="231F20"/>
        </w:rPr>
        <w:t>и </w:t>
      </w:r>
      <w:r>
        <w:rPr>
          <w:color w:val="231F20"/>
          <w:spacing w:val="-3"/>
        </w:rPr>
        <w:t>слично. </w:t>
      </w:r>
      <w:r>
        <w:rPr>
          <w:color w:val="231F20"/>
          <w:spacing w:val="-7"/>
        </w:rPr>
        <w:t>Услови </w:t>
      </w:r>
      <w:r>
        <w:rPr>
          <w:color w:val="231F20"/>
          <w:spacing w:val="-3"/>
        </w:rPr>
        <w:t>уређења овог </w:t>
      </w:r>
      <w:r>
        <w:rPr>
          <w:color w:val="231F20"/>
          <w:spacing w:val="-4"/>
        </w:rPr>
        <w:t>подручја </w:t>
      </w:r>
      <w:r>
        <w:rPr>
          <w:color w:val="231F20"/>
          <w:spacing w:val="-3"/>
        </w:rPr>
        <w:t>утврдиће </w:t>
      </w:r>
      <w:r>
        <w:rPr>
          <w:color w:val="231F20"/>
        </w:rPr>
        <w:t>се у </w:t>
      </w:r>
      <w:r>
        <w:rPr>
          <w:color w:val="231F20"/>
          <w:spacing w:val="-3"/>
        </w:rPr>
        <w:t>склопу </w:t>
      </w:r>
      <w:r>
        <w:rPr>
          <w:color w:val="231F20"/>
          <w:spacing w:val="-4"/>
        </w:rPr>
        <w:t>одговарајућег урбанистичког </w:t>
      </w:r>
      <w:r>
        <w:rPr>
          <w:color w:val="231F20"/>
          <w:spacing w:val="-3"/>
        </w:rPr>
        <w:t>плана.</w:t>
      </w:r>
    </w:p>
    <w:p>
      <w:pPr>
        <w:pStyle w:val="BodyText"/>
        <w:spacing w:line="232" w:lineRule="auto" w:before="3"/>
        <w:ind w:left="172" w:right="38" w:firstLine="396"/>
      </w:pPr>
      <w:r>
        <w:rPr>
          <w:color w:val="231F20"/>
        </w:rPr>
        <w:t>С </w:t>
      </w:r>
      <w:r>
        <w:rPr>
          <w:color w:val="231F20"/>
          <w:spacing w:val="-4"/>
        </w:rPr>
        <w:t>обзиром </w:t>
      </w:r>
      <w:r>
        <w:rPr>
          <w:color w:val="231F20"/>
        </w:rPr>
        <w:t>на </w:t>
      </w:r>
      <w:r>
        <w:rPr>
          <w:color w:val="231F20"/>
          <w:spacing w:val="-3"/>
        </w:rPr>
        <w:t>то </w:t>
      </w:r>
      <w:r>
        <w:rPr>
          <w:color w:val="231F20"/>
        </w:rPr>
        <w:t>да је у ПК </w:t>
      </w:r>
      <w:r>
        <w:rPr>
          <w:color w:val="231F20"/>
          <w:spacing w:val="-6"/>
        </w:rPr>
        <w:t>„Ћириковац” </w:t>
      </w:r>
      <w:r>
        <w:rPr>
          <w:color w:val="231F20"/>
        </w:rPr>
        <w:t>у </w:t>
      </w:r>
      <w:r>
        <w:rPr>
          <w:color w:val="231F20"/>
          <w:spacing w:val="-4"/>
        </w:rPr>
        <w:t>дужем периоду обу- </w:t>
      </w:r>
      <w:r>
        <w:rPr>
          <w:color w:val="231F20"/>
          <w:spacing w:val="-3"/>
        </w:rPr>
        <w:t>стављена </w:t>
      </w:r>
      <w:r>
        <w:rPr>
          <w:color w:val="231F20"/>
          <w:spacing w:val="-4"/>
        </w:rPr>
        <w:t>експлоатација, </w:t>
      </w:r>
      <w:r>
        <w:rPr>
          <w:color w:val="231F20"/>
          <w:spacing w:val="-3"/>
        </w:rPr>
        <w:t>постојећи објекти </w:t>
      </w:r>
      <w:r>
        <w:rPr>
          <w:color w:val="231F20"/>
        </w:rPr>
        <w:t>и </w:t>
      </w:r>
      <w:r>
        <w:rPr>
          <w:color w:val="231F20"/>
          <w:spacing w:val="-3"/>
        </w:rPr>
        <w:t>постројења </w:t>
      </w:r>
      <w:r>
        <w:rPr>
          <w:color w:val="231F20"/>
          <w:spacing w:val="-5"/>
        </w:rPr>
        <w:t>(„руднички </w:t>
      </w:r>
      <w:r>
        <w:rPr>
          <w:color w:val="231F20"/>
          <w:spacing w:val="-3"/>
        </w:rPr>
        <w:t>круг” </w:t>
      </w:r>
      <w:r>
        <w:rPr>
          <w:color w:val="231F20"/>
        </w:rPr>
        <w:t>и </w:t>
      </w:r>
      <w:r>
        <w:rPr>
          <w:color w:val="231F20"/>
          <w:spacing w:val="-5"/>
        </w:rPr>
        <w:t>комплекс </w:t>
      </w:r>
      <w:r>
        <w:rPr>
          <w:color w:val="231F20"/>
          <w:spacing w:val="-3"/>
        </w:rPr>
        <w:t>дробилане) </w:t>
      </w:r>
      <w:r>
        <w:rPr>
          <w:color w:val="231F20"/>
        </w:rPr>
        <w:t>се </w:t>
      </w:r>
      <w:r>
        <w:rPr>
          <w:color w:val="231F20"/>
          <w:spacing w:val="-5"/>
        </w:rPr>
        <w:t>уклањају, </w:t>
      </w:r>
      <w:r>
        <w:rPr>
          <w:color w:val="231F20"/>
          <w:spacing w:val="-3"/>
        </w:rPr>
        <w:t>демонтирају </w:t>
      </w:r>
      <w:r>
        <w:rPr>
          <w:color w:val="231F20"/>
        </w:rPr>
        <w:t>или </w:t>
      </w:r>
      <w:r>
        <w:rPr>
          <w:color w:val="231F20"/>
          <w:spacing w:val="-3"/>
        </w:rPr>
        <w:t>адапти- рају </w:t>
      </w:r>
      <w:r>
        <w:rPr>
          <w:color w:val="231F20"/>
        </w:rPr>
        <w:t>у </w:t>
      </w:r>
      <w:r>
        <w:rPr>
          <w:color w:val="231F20"/>
          <w:spacing w:val="-3"/>
        </w:rPr>
        <w:t>складу </w:t>
      </w:r>
      <w:r>
        <w:rPr>
          <w:color w:val="231F20"/>
        </w:rPr>
        <w:t>са </w:t>
      </w:r>
      <w:r>
        <w:rPr>
          <w:color w:val="231F20"/>
          <w:spacing w:val="-6"/>
        </w:rPr>
        <w:t>будућом </w:t>
      </w:r>
      <w:r>
        <w:rPr>
          <w:color w:val="231F20"/>
          <w:spacing w:val="-4"/>
        </w:rPr>
        <w:t>наменом </w:t>
      </w:r>
      <w:r>
        <w:rPr>
          <w:color w:val="231F20"/>
          <w:spacing w:val="-3"/>
        </w:rPr>
        <w:t>(привреда </w:t>
      </w:r>
      <w:r>
        <w:rPr>
          <w:color w:val="231F20"/>
        </w:rPr>
        <w:t>и </w:t>
      </w:r>
      <w:r>
        <w:rPr>
          <w:color w:val="231F20"/>
          <w:spacing w:val="-3"/>
        </w:rPr>
        <w:t>пословање), </w:t>
      </w:r>
      <w:r>
        <w:rPr>
          <w:color w:val="231F20"/>
        </w:rPr>
        <w:t>а </w:t>
      </w:r>
      <w:r>
        <w:rPr>
          <w:color w:val="231F20"/>
          <w:spacing w:val="-3"/>
        </w:rPr>
        <w:t>лока- ције </w:t>
      </w:r>
      <w:r>
        <w:rPr>
          <w:color w:val="231F20"/>
        </w:rPr>
        <w:t>се </w:t>
      </w:r>
      <w:r>
        <w:rPr>
          <w:color w:val="231F20"/>
          <w:spacing w:val="-3"/>
        </w:rPr>
        <w:t>уређују </w:t>
      </w:r>
      <w:r>
        <w:rPr>
          <w:color w:val="231F20"/>
        </w:rPr>
        <w:t>у </w:t>
      </w:r>
      <w:r>
        <w:rPr>
          <w:color w:val="231F20"/>
          <w:spacing w:val="-3"/>
        </w:rPr>
        <w:t>складу </w:t>
      </w:r>
      <w:r>
        <w:rPr>
          <w:color w:val="231F20"/>
        </w:rPr>
        <w:t>са </w:t>
      </w:r>
      <w:r>
        <w:rPr>
          <w:color w:val="231F20"/>
          <w:spacing w:val="-3"/>
        </w:rPr>
        <w:t>новим </w:t>
      </w:r>
      <w:r>
        <w:rPr>
          <w:color w:val="231F20"/>
          <w:spacing w:val="-5"/>
        </w:rPr>
        <w:t>начином </w:t>
      </w:r>
      <w:r>
        <w:rPr>
          <w:color w:val="231F20"/>
          <w:spacing w:val="-4"/>
        </w:rPr>
        <w:t>коришћења, </w:t>
      </w:r>
      <w:r>
        <w:rPr>
          <w:color w:val="231F20"/>
        </w:rPr>
        <w:t>док се </w:t>
      </w:r>
      <w:r>
        <w:rPr>
          <w:color w:val="231F20"/>
          <w:spacing w:val="-3"/>
        </w:rPr>
        <w:t>даље управљање земљиштем </w:t>
      </w:r>
      <w:r>
        <w:rPr>
          <w:color w:val="231F20"/>
          <w:spacing w:val="-4"/>
        </w:rPr>
        <w:t>регулише </w:t>
      </w:r>
      <w:r>
        <w:rPr>
          <w:color w:val="231F20"/>
        </w:rPr>
        <w:t>на </w:t>
      </w:r>
      <w:r>
        <w:rPr>
          <w:color w:val="231F20"/>
          <w:spacing w:val="-3"/>
        </w:rPr>
        <w:t>основу </w:t>
      </w:r>
      <w:r>
        <w:rPr>
          <w:color w:val="231F20"/>
          <w:spacing w:val="-4"/>
        </w:rPr>
        <w:t>Закона </w:t>
      </w:r>
      <w:r>
        <w:rPr>
          <w:color w:val="231F20"/>
        </w:rPr>
        <w:t>о </w:t>
      </w:r>
      <w:r>
        <w:rPr>
          <w:color w:val="231F20"/>
          <w:spacing w:val="-3"/>
        </w:rPr>
        <w:t>јавној својини. Ово </w:t>
      </w:r>
      <w:r>
        <w:rPr>
          <w:color w:val="231F20"/>
        </w:rPr>
        <w:t>се </w:t>
      </w:r>
      <w:r>
        <w:rPr>
          <w:color w:val="231F20"/>
          <w:spacing w:val="-3"/>
        </w:rPr>
        <w:t>односи </w:t>
      </w:r>
      <w:r>
        <w:rPr>
          <w:color w:val="231F20"/>
        </w:rPr>
        <w:t>и на </w:t>
      </w:r>
      <w:r>
        <w:rPr>
          <w:color w:val="231F20"/>
          <w:spacing w:val="-4"/>
        </w:rPr>
        <w:t>рекултивисана </w:t>
      </w:r>
      <w:r>
        <w:rPr>
          <w:color w:val="231F20"/>
          <w:spacing w:val="-3"/>
        </w:rPr>
        <w:t>спољна одлагалишта („Млава </w:t>
      </w:r>
      <w:r>
        <w:rPr>
          <w:color w:val="231F20"/>
        </w:rPr>
        <w:t>– </w:t>
      </w:r>
      <w:r>
        <w:rPr>
          <w:color w:val="231F20"/>
          <w:spacing w:val="-4"/>
        </w:rPr>
        <w:t>Могила”, </w:t>
      </w:r>
      <w:r>
        <w:rPr>
          <w:color w:val="231F20"/>
          <w:spacing w:val="-3"/>
        </w:rPr>
        <w:t>„Петка” </w:t>
      </w:r>
      <w:r>
        <w:rPr>
          <w:color w:val="231F20"/>
        </w:rPr>
        <w:t>и </w:t>
      </w:r>
      <w:r>
        <w:rPr>
          <w:color w:val="231F20"/>
          <w:spacing w:val="-3"/>
        </w:rPr>
        <w:t>спољно </w:t>
      </w:r>
      <w:r>
        <w:rPr>
          <w:color w:val="231F20"/>
          <w:spacing w:val="-4"/>
        </w:rPr>
        <w:t>одладалиште </w:t>
      </w:r>
      <w:r>
        <w:rPr>
          <w:color w:val="231F20"/>
        </w:rPr>
        <w:t>на </w:t>
      </w:r>
      <w:r>
        <w:rPr>
          <w:color w:val="231F20"/>
          <w:spacing w:val="-4"/>
        </w:rPr>
        <w:t>подручју </w:t>
      </w:r>
      <w:r>
        <w:rPr>
          <w:color w:val="231F20"/>
          <w:spacing w:val="-3"/>
        </w:rPr>
        <w:t>Брадарца), </w:t>
      </w:r>
      <w:r>
        <w:rPr>
          <w:color w:val="231F20"/>
        </w:rPr>
        <w:t>уз </w:t>
      </w:r>
      <w:r>
        <w:rPr>
          <w:color w:val="231F20"/>
          <w:spacing w:val="-3"/>
        </w:rPr>
        <w:t>обавезу праћења </w:t>
      </w:r>
      <w:r>
        <w:rPr>
          <w:color w:val="231F20"/>
        </w:rPr>
        <w:t>стања у </w:t>
      </w:r>
      <w:r>
        <w:rPr>
          <w:color w:val="231F20"/>
          <w:spacing w:val="-3"/>
        </w:rPr>
        <w:t>складу </w:t>
      </w:r>
      <w:r>
        <w:rPr>
          <w:color w:val="231F20"/>
        </w:rPr>
        <w:t>са </w:t>
      </w:r>
      <w:r>
        <w:rPr>
          <w:color w:val="231F20"/>
          <w:spacing w:val="-4"/>
        </w:rPr>
        <w:t>пројектима </w:t>
      </w:r>
      <w:r>
        <w:rPr>
          <w:color w:val="231F20"/>
          <w:spacing w:val="-3"/>
        </w:rPr>
        <w:t>мониторинга.</w:t>
      </w:r>
    </w:p>
    <w:p>
      <w:pPr>
        <w:pStyle w:val="BodyText"/>
        <w:spacing w:line="232" w:lineRule="auto" w:before="3"/>
        <w:ind w:left="172" w:right="38" w:firstLine="396"/>
      </w:pPr>
      <w:r>
        <w:rPr>
          <w:color w:val="231F20"/>
          <w:spacing w:val="-4"/>
        </w:rPr>
        <w:t>Услови </w:t>
      </w:r>
      <w:r>
        <w:rPr>
          <w:color w:val="231F20"/>
        </w:rPr>
        <w:t>и начин уређења простора, уређивање и коришћење грађевинског земљишта и изградња објеката и мрежа техничке инфраструктуре и техничко-технолошких система, </w:t>
      </w:r>
      <w:r>
        <w:rPr>
          <w:color w:val="231F20"/>
          <w:spacing w:val="-3"/>
        </w:rPr>
        <w:t>који </w:t>
      </w:r>
      <w:r>
        <w:rPr>
          <w:color w:val="231F20"/>
        </w:rPr>
        <w:t>функци- онално и садржајно припадају термоенергетским објектима, али су лоцирани или планирани на локацијама или у коридорима из- ван </w:t>
      </w:r>
      <w:r>
        <w:rPr>
          <w:color w:val="231F20"/>
          <w:spacing w:val="-3"/>
        </w:rPr>
        <w:t>комплекса </w:t>
      </w:r>
      <w:r>
        <w:rPr>
          <w:color w:val="231F20"/>
        </w:rPr>
        <w:t>ТЕ „Костолац А” и ТЕ „Костолац Б”, уређују се на основу истовремене израде техничке и планске документације за просторне</w:t>
      </w:r>
      <w:r>
        <w:rPr>
          <w:color w:val="231F20"/>
          <w:spacing w:val="-9"/>
        </w:rPr>
        <w:t> </w:t>
      </w:r>
      <w:r>
        <w:rPr>
          <w:color w:val="231F20"/>
        </w:rPr>
        <w:t>целине</w:t>
      </w:r>
      <w:r>
        <w:rPr>
          <w:color w:val="231F20"/>
          <w:spacing w:val="-9"/>
        </w:rPr>
        <w:t> </w:t>
      </w:r>
      <w:r>
        <w:rPr>
          <w:color w:val="231F20"/>
        </w:rPr>
        <w:t>и</w:t>
      </w:r>
      <w:r>
        <w:rPr>
          <w:color w:val="231F20"/>
          <w:spacing w:val="-9"/>
        </w:rPr>
        <w:t> </w:t>
      </w:r>
      <w:r>
        <w:rPr>
          <w:color w:val="231F20"/>
        </w:rPr>
        <w:t>коридоре</w:t>
      </w:r>
      <w:r>
        <w:rPr>
          <w:color w:val="231F20"/>
          <w:spacing w:val="-9"/>
        </w:rPr>
        <w:t> </w:t>
      </w:r>
      <w:r>
        <w:rPr>
          <w:color w:val="231F20"/>
          <w:spacing w:val="-3"/>
        </w:rPr>
        <w:t>од</w:t>
      </w:r>
      <w:r>
        <w:rPr>
          <w:color w:val="231F20"/>
          <w:spacing w:val="-9"/>
        </w:rPr>
        <w:t> </w:t>
      </w:r>
      <w:r>
        <w:rPr>
          <w:color w:val="231F20"/>
        </w:rPr>
        <w:t>јавног</w:t>
      </w:r>
      <w:r>
        <w:rPr>
          <w:color w:val="231F20"/>
          <w:spacing w:val="-8"/>
        </w:rPr>
        <w:t> </w:t>
      </w:r>
      <w:r>
        <w:rPr>
          <w:color w:val="231F20"/>
        </w:rPr>
        <w:t>интереса.</w:t>
      </w:r>
      <w:r>
        <w:rPr>
          <w:color w:val="231F20"/>
          <w:spacing w:val="-9"/>
        </w:rPr>
        <w:t> </w:t>
      </w:r>
      <w:r>
        <w:rPr>
          <w:color w:val="231F20"/>
        </w:rPr>
        <w:t>Ово</w:t>
      </w:r>
      <w:r>
        <w:rPr>
          <w:color w:val="231F20"/>
          <w:spacing w:val="-9"/>
        </w:rPr>
        <w:t> </w:t>
      </w:r>
      <w:r>
        <w:rPr>
          <w:color w:val="231F20"/>
        </w:rPr>
        <w:t>се</w:t>
      </w:r>
      <w:r>
        <w:rPr>
          <w:color w:val="231F20"/>
          <w:spacing w:val="-9"/>
        </w:rPr>
        <w:t> </w:t>
      </w:r>
      <w:r>
        <w:rPr>
          <w:color w:val="231F20"/>
        </w:rPr>
        <w:t>односи</w:t>
      </w:r>
      <w:r>
        <w:rPr>
          <w:color w:val="231F20"/>
          <w:spacing w:val="-9"/>
        </w:rPr>
        <w:t> </w:t>
      </w:r>
      <w:r>
        <w:rPr>
          <w:color w:val="231F20"/>
        </w:rPr>
        <w:t>на </w:t>
      </w:r>
      <w:r>
        <w:rPr>
          <w:color w:val="231F20"/>
          <w:spacing w:val="-3"/>
        </w:rPr>
        <w:t>изградњу, </w:t>
      </w:r>
      <w:r>
        <w:rPr>
          <w:color w:val="231F20"/>
        </w:rPr>
        <w:t>реконструкцију или замену угљених транспортних си- стема,</w:t>
      </w:r>
      <w:r>
        <w:rPr>
          <w:color w:val="231F20"/>
          <w:spacing w:val="-10"/>
        </w:rPr>
        <w:t> </w:t>
      </w:r>
      <w:r>
        <w:rPr>
          <w:color w:val="231F20"/>
        </w:rPr>
        <w:t>пепеловода</w:t>
      </w:r>
      <w:r>
        <w:rPr>
          <w:color w:val="231F20"/>
          <w:spacing w:val="-10"/>
        </w:rPr>
        <w:t> </w:t>
      </w:r>
      <w:r>
        <w:rPr>
          <w:color w:val="231F20"/>
        </w:rPr>
        <w:t>и</w:t>
      </w:r>
      <w:r>
        <w:rPr>
          <w:color w:val="231F20"/>
          <w:spacing w:val="-10"/>
        </w:rPr>
        <w:t> </w:t>
      </w:r>
      <w:r>
        <w:rPr>
          <w:color w:val="231F20"/>
        </w:rPr>
        <w:t>деривационог</w:t>
      </w:r>
      <w:r>
        <w:rPr>
          <w:color w:val="231F20"/>
          <w:spacing w:val="-10"/>
        </w:rPr>
        <w:t> </w:t>
      </w:r>
      <w:r>
        <w:rPr>
          <w:color w:val="231F20"/>
        </w:rPr>
        <w:t>транспорта</w:t>
      </w:r>
      <w:r>
        <w:rPr>
          <w:color w:val="231F20"/>
          <w:spacing w:val="-10"/>
        </w:rPr>
        <w:t> </w:t>
      </w:r>
      <w:r>
        <w:rPr>
          <w:color w:val="231F20"/>
        </w:rPr>
        <w:t>гипса,</w:t>
      </w:r>
      <w:r>
        <w:rPr>
          <w:color w:val="231F20"/>
          <w:spacing w:val="-10"/>
        </w:rPr>
        <w:t> </w:t>
      </w:r>
      <w:r>
        <w:rPr>
          <w:color w:val="231F20"/>
        </w:rPr>
        <w:t>индустријске железнице, робног пристаништа, депоније пепела и шљаке изван </w:t>
      </w:r>
      <w:r>
        <w:rPr>
          <w:color w:val="231F20"/>
          <w:spacing w:val="-3"/>
        </w:rPr>
        <w:t>откопних </w:t>
      </w:r>
      <w:r>
        <w:rPr>
          <w:color w:val="231F20"/>
        </w:rPr>
        <w:t>поља, на евентуално складиштење CO2 и друге објекте </w:t>
      </w:r>
      <w:r>
        <w:rPr>
          <w:color w:val="231F20"/>
          <w:spacing w:val="-3"/>
        </w:rPr>
        <w:t>који </w:t>
      </w:r>
      <w:r>
        <w:rPr>
          <w:color w:val="231F20"/>
        </w:rPr>
        <w:t>се граде или реконструишу у смислу унапређења енергетске ефикасности и обезбеђења сигурног и непрекидног функциониса- ње рударско-енергетског</w:t>
      </w:r>
      <w:r>
        <w:rPr>
          <w:color w:val="231F20"/>
          <w:spacing w:val="-3"/>
        </w:rPr>
        <w:t> комплекса.</w:t>
      </w:r>
    </w:p>
    <w:p>
      <w:pPr>
        <w:pStyle w:val="BodyText"/>
        <w:spacing w:line="232" w:lineRule="auto" w:before="73"/>
        <w:ind w:left="169" w:right="408" w:firstLine="397"/>
      </w:pPr>
      <w:r>
        <w:rPr/>
        <w:br w:type="column"/>
      </w:r>
      <w:r>
        <w:rPr>
          <w:color w:val="231F20"/>
        </w:rPr>
        <w:t>Депонија пепела на локацији „Средње </w:t>
      </w:r>
      <w:r>
        <w:rPr>
          <w:color w:val="231F20"/>
          <w:spacing w:val="-4"/>
        </w:rPr>
        <w:t>костолачко </w:t>
      </w:r>
      <w:r>
        <w:rPr>
          <w:color w:val="231F20"/>
        </w:rPr>
        <w:t>острво”. С обзиром на ограничене просторне могућности развоја и коришће- ња постојећег депонијског простора, предвиђа се затварање депо- није што обухвата низ активности и мера заштите животне среди- не, ремедијацију геосредине и заштиту </w:t>
      </w:r>
      <w:r>
        <w:rPr>
          <w:color w:val="231F20"/>
          <w:spacing w:val="-3"/>
        </w:rPr>
        <w:t>од </w:t>
      </w:r>
      <w:r>
        <w:rPr>
          <w:color w:val="231F20"/>
        </w:rPr>
        <w:t>техничко-технолошких акцидената, а у складу са истражним радовима и посебним ана- лизама. Приоритетно ће се приступити реализацији активности  на </w:t>
      </w:r>
      <w:r>
        <w:rPr>
          <w:color w:val="231F20"/>
          <w:spacing w:val="-3"/>
        </w:rPr>
        <w:t>коначној </w:t>
      </w:r>
      <w:r>
        <w:rPr>
          <w:color w:val="231F20"/>
        </w:rPr>
        <w:t>рекултивацији и ревитализацији на простору</w:t>
      </w:r>
      <w:r>
        <w:rPr>
          <w:color w:val="231F20"/>
          <w:spacing w:val="33"/>
        </w:rPr>
        <w:t> </w:t>
      </w:r>
      <w:r>
        <w:rPr>
          <w:color w:val="231F20"/>
        </w:rPr>
        <w:t>касета</w:t>
      </w:r>
    </w:p>
    <w:p>
      <w:pPr>
        <w:pStyle w:val="BodyText"/>
        <w:spacing w:line="232" w:lineRule="auto" w:before="2"/>
        <w:ind w:left="169" w:right="407"/>
      </w:pPr>
      <w:r>
        <w:rPr>
          <w:color w:val="231F20"/>
        </w:rPr>
        <w:t>„Б” и „Ц” депоније, као и непосредне заштићене </w:t>
      </w:r>
      <w:r>
        <w:rPr>
          <w:color w:val="231F20"/>
          <w:spacing w:val="-3"/>
        </w:rPr>
        <w:t>околине </w:t>
      </w:r>
      <w:r>
        <w:rPr>
          <w:color w:val="231F20"/>
        </w:rPr>
        <w:t>депо- није на којој ће се уредити парк  – шума. На касети „А” депони-  је ће се спроводити привремена рекултивација уз одржавање свих постојећих техничких система, с обзиром да ће ова касета имати функцију резервне депоније до успостављања нових система при- купљања, транспортовања и депоновања угушћене смеше пепела и шљаке из обе термоелектране или у евентуалном хаваријском случају на новим системима. Временски рок коришћења и мак- симално дозвољена </w:t>
      </w:r>
      <w:r>
        <w:rPr>
          <w:color w:val="231F20"/>
          <w:spacing w:val="-3"/>
        </w:rPr>
        <w:t>кота </w:t>
      </w:r>
      <w:r>
        <w:rPr>
          <w:color w:val="231F20"/>
        </w:rPr>
        <w:t>одлагања, као и други елементи урбани- стичке</w:t>
      </w:r>
      <w:r>
        <w:rPr>
          <w:color w:val="231F20"/>
          <w:spacing w:val="-9"/>
        </w:rPr>
        <w:t> </w:t>
      </w:r>
      <w:r>
        <w:rPr>
          <w:color w:val="231F20"/>
        </w:rPr>
        <w:t>регулације</w:t>
      </w:r>
      <w:r>
        <w:rPr>
          <w:color w:val="231F20"/>
          <w:spacing w:val="-9"/>
        </w:rPr>
        <w:t> </w:t>
      </w:r>
      <w:r>
        <w:rPr>
          <w:color w:val="231F20"/>
        </w:rPr>
        <w:t>и</w:t>
      </w:r>
      <w:r>
        <w:rPr>
          <w:color w:val="231F20"/>
          <w:spacing w:val="-9"/>
        </w:rPr>
        <w:t> </w:t>
      </w:r>
      <w:r>
        <w:rPr>
          <w:color w:val="231F20"/>
        </w:rPr>
        <w:t>заштите</w:t>
      </w:r>
      <w:r>
        <w:rPr>
          <w:color w:val="231F20"/>
          <w:spacing w:val="-9"/>
        </w:rPr>
        <w:t> </w:t>
      </w:r>
      <w:r>
        <w:rPr>
          <w:color w:val="231F20"/>
        </w:rPr>
        <w:t>животне</w:t>
      </w:r>
      <w:r>
        <w:rPr>
          <w:color w:val="231F20"/>
          <w:spacing w:val="-9"/>
        </w:rPr>
        <w:t> </w:t>
      </w:r>
      <w:r>
        <w:rPr>
          <w:color w:val="231F20"/>
        </w:rPr>
        <w:t>средине</w:t>
      </w:r>
      <w:r>
        <w:rPr>
          <w:color w:val="231F20"/>
          <w:spacing w:val="-9"/>
        </w:rPr>
        <w:t> </w:t>
      </w:r>
      <w:r>
        <w:rPr>
          <w:color w:val="231F20"/>
          <w:spacing w:val="-4"/>
        </w:rPr>
        <w:t>током</w:t>
      </w:r>
      <w:r>
        <w:rPr>
          <w:color w:val="231F20"/>
          <w:spacing w:val="-8"/>
        </w:rPr>
        <w:t> </w:t>
      </w:r>
      <w:r>
        <w:rPr>
          <w:color w:val="231F20"/>
        </w:rPr>
        <w:t>периода</w:t>
      </w:r>
      <w:r>
        <w:rPr>
          <w:color w:val="231F20"/>
          <w:spacing w:val="-9"/>
        </w:rPr>
        <w:t> </w:t>
      </w:r>
      <w:r>
        <w:rPr>
          <w:color w:val="231F20"/>
        </w:rPr>
        <w:t>сана- ције у </w:t>
      </w:r>
      <w:r>
        <w:rPr>
          <w:color w:val="231F20"/>
          <w:spacing w:val="-3"/>
        </w:rPr>
        <w:t>комплексу </w:t>
      </w:r>
      <w:r>
        <w:rPr>
          <w:color w:val="231F20"/>
        </w:rPr>
        <w:t>депоније до </w:t>
      </w:r>
      <w:r>
        <w:rPr>
          <w:color w:val="231F20"/>
          <w:spacing w:val="-3"/>
        </w:rPr>
        <w:t>коначне </w:t>
      </w:r>
      <w:r>
        <w:rPr>
          <w:color w:val="231F20"/>
        </w:rPr>
        <w:t>рекултивације, утврдиће се кроз израду посебног планског документа или у склопу измена и допуна Просторног</w:t>
      </w:r>
      <w:r>
        <w:rPr>
          <w:color w:val="231F20"/>
          <w:spacing w:val="-3"/>
        </w:rPr>
        <w:t> </w:t>
      </w:r>
      <w:r>
        <w:rPr>
          <w:color w:val="231F20"/>
        </w:rPr>
        <w:t>плана.</w:t>
      </w:r>
    </w:p>
    <w:p>
      <w:pPr>
        <w:pStyle w:val="BodyText"/>
        <w:spacing w:line="232" w:lineRule="auto" w:before="4"/>
        <w:ind w:left="171" w:right="407" w:firstLine="396"/>
      </w:pPr>
      <w:r>
        <w:rPr>
          <w:color w:val="231F20"/>
        </w:rPr>
        <w:t>Лигнитска и друга лежишта минералних сировина </w:t>
      </w:r>
      <w:r>
        <w:rPr>
          <w:color w:val="231F20"/>
          <w:spacing w:val="-3"/>
        </w:rPr>
        <w:t>(коначна </w:t>
      </w:r>
      <w:r>
        <w:rPr>
          <w:color w:val="231F20"/>
        </w:rPr>
        <w:t>контура</w:t>
      </w:r>
      <w:r>
        <w:rPr>
          <w:color w:val="231F20"/>
          <w:spacing w:val="-7"/>
        </w:rPr>
        <w:t> </w:t>
      </w:r>
      <w:r>
        <w:rPr>
          <w:color w:val="231F20"/>
          <w:spacing w:val="-3"/>
        </w:rPr>
        <w:t>копа</w:t>
      </w:r>
      <w:r>
        <w:rPr>
          <w:color w:val="231F20"/>
          <w:spacing w:val="-7"/>
        </w:rPr>
        <w:t> </w:t>
      </w:r>
      <w:r>
        <w:rPr>
          <w:color w:val="231F20"/>
        </w:rPr>
        <w:t>„Дрмно”;</w:t>
      </w:r>
      <w:r>
        <w:rPr>
          <w:color w:val="231F20"/>
          <w:spacing w:val="-6"/>
        </w:rPr>
        <w:t> </w:t>
      </w:r>
      <w:r>
        <w:rPr>
          <w:color w:val="231F20"/>
        </w:rPr>
        <w:t>западни</w:t>
      </w:r>
      <w:r>
        <w:rPr>
          <w:color w:val="231F20"/>
          <w:spacing w:val="-6"/>
        </w:rPr>
        <w:t> </w:t>
      </w:r>
      <w:r>
        <w:rPr>
          <w:color w:val="231F20"/>
        </w:rPr>
        <w:t>део</w:t>
      </w:r>
      <w:r>
        <w:rPr>
          <w:color w:val="231F20"/>
          <w:spacing w:val="-7"/>
        </w:rPr>
        <w:t> </w:t>
      </w:r>
      <w:r>
        <w:rPr>
          <w:color w:val="231F20"/>
          <w:spacing w:val="-3"/>
        </w:rPr>
        <w:t>Костолачког</w:t>
      </w:r>
      <w:r>
        <w:rPr>
          <w:color w:val="231F20"/>
          <w:spacing w:val="-7"/>
        </w:rPr>
        <w:t> </w:t>
      </w:r>
      <w:r>
        <w:rPr>
          <w:color w:val="231F20"/>
        </w:rPr>
        <w:t>басена,</w:t>
      </w:r>
      <w:r>
        <w:rPr>
          <w:color w:val="231F20"/>
          <w:spacing w:val="-7"/>
        </w:rPr>
        <w:t> </w:t>
      </w:r>
      <w:r>
        <w:rPr>
          <w:color w:val="231F20"/>
        </w:rPr>
        <w:t>„Пољана” и друго), треба заштитити </w:t>
      </w:r>
      <w:r>
        <w:rPr>
          <w:color w:val="231F20"/>
          <w:spacing w:val="-3"/>
        </w:rPr>
        <w:t>од </w:t>
      </w:r>
      <w:r>
        <w:rPr>
          <w:color w:val="231F20"/>
        </w:rPr>
        <w:t>деградације непланском изградњом и нерационалним уређивањем и коришћењем простора. У вези с тим неопходно је</w:t>
      </w:r>
      <w:r>
        <w:rPr>
          <w:color w:val="231F20"/>
          <w:spacing w:val="-2"/>
        </w:rPr>
        <w:t> </w:t>
      </w:r>
      <w:r>
        <w:rPr>
          <w:color w:val="231F20"/>
        </w:rPr>
        <w:t>следеће:</w:t>
      </w:r>
    </w:p>
    <w:p>
      <w:pPr>
        <w:pStyle w:val="BodyText"/>
        <w:spacing w:line="232" w:lineRule="auto" w:before="1"/>
        <w:ind w:left="171" w:right="407" w:firstLine="396"/>
      </w:pPr>
      <w:r>
        <w:rPr>
          <w:color w:val="231F20"/>
          <w:w w:val="66"/>
        </w:rPr>
        <w:t> </w:t>
      </w:r>
      <w:r>
        <w:rPr>
          <w:color w:val="231F20"/>
        </w:rPr>
        <w:t>– надлежне службе јединица локалне самоуправе ће контро- лисати изградњу, уређивање и коришћење простора у овим зона- ма према условима из Просторног плана и других одговарајућих планских докумената и у складу са динамиком развоја површин- ске експлоатације;</w:t>
      </w:r>
    </w:p>
    <w:p>
      <w:pPr>
        <w:pStyle w:val="BodyText"/>
        <w:spacing w:line="232" w:lineRule="auto" w:before="2"/>
        <w:ind w:left="171" w:right="406" w:firstLine="396"/>
      </w:pPr>
      <w:r>
        <w:rPr>
          <w:color w:val="231F20"/>
          <w:w w:val="66"/>
        </w:rPr>
        <w:t> </w:t>
      </w:r>
      <w:r>
        <w:rPr>
          <w:color w:val="231F20"/>
        </w:rPr>
        <w:t>– у зонама лежишта резервисаним за </w:t>
      </w:r>
      <w:r>
        <w:rPr>
          <w:color w:val="231F20"/>
          <w:spacing w:val="-3"/>
        </w:rPr>
        <w:t>рударске </w:t>
      </w:r>
      <w:r>
        <w:rPr>
          <w:color w:val="231F20"/>
        </w:rPr>
        <w:t>активности, као и другим подручјима </w:t>
      </w:r>
      <w:r>
        <w:rPr>
          <w:color w:val="231F20"/>
          <w:spacing w:val="-3"/>
        </w:rPr>
        <w:t>која </w:t>
      </w:r>
      <w:r>
        <w:rPr>
          <w:color w:val="231F20"/>
        </w:rPr>
        <w:t>су </w:t>
      </w:r>
      <w:r>
        <w:rPr>
          <w:color w:val="231F20"/>
          <w:spacing w:val="-3"/>
        </w:rPr>
        <w:t>од  </w:t>
      </w:r>
      <w:r>
        <w:rPr>
          <w:color w:val="231F20"/>
        </w:rPr>
        <w:t>интереса за развој </w:t>
      </w:r>
      <w:r>
        <w:rPr>
          <w:color w:val="231F20"/>
          <w:spacing w:val="-3"/>
        </w:rPr>
        <w:t>рударства  </w:t>
      </w:r>
      <w:r>
        <w:rPr>
          <w:color w:val="231F20"/>
        </w:rPr>
        <w:t>и енергетике, забрањује се изградња великих инвестиционих (гра- ђевинских) објеката као што су: привредни и индустријски објек- ти, саобраћајнице и саобраћајни објекти, хидротехнички објекти, већи објекти јавних служби, нова насеља, значајнији комунални објекти и слично, осим објеката </w:t>
      </w:r>
      <w:r>
        <w:rPr>
          <w:color w:val="231F20"/>
          <w:spacing w:val="-3"/>
        </w:rPr>
        <w:t>који </w:t>
      </w:r>
      <w:r>
        <w:rPr>
          <w:color w:val="231F20"/>
        </w:rPr>
        <w:t>су у функцији развоја </w:t>
      </w:r>
      <w:r>
        <w:rPr>
          <w:color w:val="231F20"/>
          <w:spacing w:val="-3"/>
        </w:rPr>
        <w:t>рудар- </w:t>
      </w:r>
      <w:r>
        <w:rPr>
          <w:color w:val="231F20"/>
        </w:rPr>
        <w:t>ско-енергетског система према утврђеној намени и планским про- позицијама Просторног плана</w:t>
      </w:r>
      <w:r>
        <w:rPr>
          <w:color w:val="231F20"/>
          <w:spacing w:val="-3"/>
        </w:rPr>
        <w:t> </w:t>
      </w:r>
      <w:r>
        <w:rPr>
          <w:color w:val="231F20"/>
        </w:rPr>
        <w:t>и</w:t>
      </w:r>
    </w:p>
    <w:p>
      <w:pPr>
        <w:pStyle w:val="BodyText"/>
        <w:spacing w:line="232" w:lineRule="auto" w:before="2"/>
        <w:ind w:left="171" w:right="406" w:firstLine="397"/>
      </w:pPr>
      <w:r>
        <w:rPr>
          <w:color w:val="231F20"/>
          <w:w w:val="66"/>
        </w:rPr>
        <w:t> </w:t>
      </w:r>
      <w:r>
        <w:rPr>
          <w:color w:val="231F20"/>
        </w:rPr>
        <w:t>–</w:t>
      </w:r>
      <w:r>
        <w:rPr>
          <w:color w:val="231F20"/>
          <w:spacing w:val="-8"/>
        </w:rPr>
        <w:t> </w:t>
      </w:r>
      <w:r>
        <w:rPr>
          <w:color w:val="231F20"/>
        </w:rPr>
        <w:t>у</w:t>
      </w:r>
      <w:r>
        <w:rPr>
          <w:color w:val="231F20"/>
          <w:spacing w:val="-8"/>
        </w:rPr>
        <w:t> </w:t>
      </w:r>
      <w:r>
        <w:rPr>
          <w:color w:val="231F20"/>
        </w:rPr>
        <w:t>зонама</w:t>
      </w:r>
      <w:r>
        <w:rPr>
          <w:color w:val="231F20"/>
          <w:spacing w:val="-8"/>
        </w:rPr>
        <w:t> </w:t>
      </w:r>
      <w:r>
        <w:rPr>
          <w:color w:val="231F20"/>
        </w:rPr>
        <w:t>истраживања</w:t>
      </w:r>
      <w:r>
        <w:rPr>
          <w:color w:val="231F20"/>
          <w:spacing w:val="-8"/>
        </w:rPr>
        <w:t> </w:t>
      </w:r>
      <w:r>
        <w:rPr>
          <w:color w:val="231F20"/>
        </w:rPr>
        <w:t>и</w:t>
      </w:r>
      <w:r>
        <w:rPr>
          <w:color w:val="231F20"/>
          <w:spacing w:val="-8"/>
        </w:rPr>
        <w:t> </w:t>
      </w:r>
      <w:r>
        <w:rPr>
          <w:color w:val="231F20"/>
        </w:rPr>
        <w:t>експлоатације</w:t>
      </w:r>
      <w:r>
        <w:rPr>
          <w:color w:val="231F20"/>
          <w:spacing w:val="-8"/>
        </w:rPr>
        <w:t> </w:t>
      </w:r>
      <w:r>
        <w:rPr>
          <w:color w:val="231F20"/>
        </w:rPr>
        <w:t>угља,</w:t>
      </w:r>
      <w:r>
        <w:rPr>
          <w:color w:val="231F20"/>
          <w:spacing w:val="-8"/>
        </w:rPr>
        <w:t> </w:t>
      </w:r>
      <w:r>
        <w:rPr>
          <w:color w:val="231F20"/>
        </w:rPr>
        <w:t>нафте</w:t>
      </w:r>
      <w:r>
        <w:rPr>
          <w:color w:val="231F20"/>
          <w:spacing w:val="-8"/>
        </w:rPr>
        <w:t> </w:t>
      </w:r>
      <w:r>
        <w:rPr>
          <w:color w:val="231F20"/>
        </w:rPr>
        <w:t>и</w:t>
      </w:r>
      <w:r>
        <w:rPr>
          <w:color w:val="231F20"/>
          <w:spacing w:val="-8"/>
        </w:rPr>
        <w:t> </w:t>
      </w:r>
      <w:r>
        <w:rPr>
          <w:color w:val="231F20"/>
        </w:rPr>
        <w:t>гаса</w:t>
      </w:r>
      <w:r>
        <w:rPr>
          <w:color w:val="231F20"/>
          <w:spacing w:val="-8"/>
        </w:rPr>
        <w:t> </w:t>
      </w:r>
      <w:r>
        <w:rPr>
          <w:color w:val="231F20"/>
        </w:rPr>
        <w:t>и других</w:t>
      </w:r>
      <w:r>
        <w:rPr>
          <w:color w:val="231F20"/>
          <w:spacing w:val="-9"/>
        </w:rPr>
        <w:t> </w:t>
      </w:r>
      <w:r>
        <w:rPr>
          <w:color w:val="231F20"/>
        </w:rPr>
        <w:t>минералних</w:t>
      </w:r>
      <w:r>
        <w:rPr>
          <w:color w:val="231F20"/>
          <w:spacing w:val="-9"/>
        </w:rPr>
        <w:t> </w:t>
      </w:r>
      <w:r>
        <w:rPr>
          <w:color w:val="231F20"/>
        </w:rPr>
        <w:t>сировина</w:t>
      </w:r>
      <w:r>
        <w:rPr>
          <w:color w:val="231F20"/>
          <w:spacing w:val="-9"/>
        </w:rPr>
        <w:t> </w:t>
      </w:r>
      <w:r>
        <w:rPr>
          <w:color w:val="231F20"/>
        </w:rPr>
        <w:t>обезбедити</w:t>
      </w:r>
      <w:r>
        <w:rPr>
          <w:color w:val="231F20"/>
          <w:spacing w:val="-9"/>
        </w:rPr>
        <w:t> </w:t>
      </w:r>
      <w:r>
        <w:rPr>
          <w:color w:val="231F20"/>
        </w:rPr>
        <w:t>ригорозну</w:t>
      </w:r>
      <w:r>
        <w:rPr>
          <w:color w:val="231F20"/>
          <w:spacing w:val="-9"/>
        </w:rPr>
        <w:t> </w:t>
      </w:r>
      <w:r>
        <w:rPr>
          <w:color w:val="231F20"/>
        </w:rPr>
        <w:t>заштиту</w:t>
      </w:r>
      <w:r>
        <w:rPr>
          <w:color w:val="231F20"/>
          <w:spacing w:val="-9"/>
        </w:rPr>
        <w:t> </w:t>
      </w:r>
      <w:r>
        <w:rPr>
          <w:color w:val="231F20"/>
        </w:rPr>
        <w:t>насе- ља, водотока, пољопривредног и шумског земљишта </w:t>
      </w:r>
      <w:r>
        <w:rPr>
          <w:color w:val="231F20"/>
          <w:spacing w:val="-3"/>
        </w:rPr>
        <w:t>од </w:t>
      </w:r>
      <w:r>
        <w:rPr>
          <w:color w:val="231F20"/>
        </w:rPr>
        <w:t>загађења и</w:t>
      </w:r>
      <w:r>
        <w:rPr>
          <w:color w:val="231F20"/>
          <w:spacing w:val="-2"/>
        </w:rPr>
        <w:t> </w:t>
      </w:r>
      <w:r>
        <w:rPr>
          <w:color w:val="231F20"/>
        </w:rPr>
        <w:t>деградације.</w:t>
      </w:r>
    </w:p>
    <w:p>
      <w:pPr>
        <w:pStyle w:val="Heading1"/>
        <w:numPr>
          <w:ilvl w:val="2"/>
          <w:numId w:val="50"/>
        </w:numPr>
        <w:tabs>
          <w:tab w:pos="562" w:val="left" w:leader="none"/>
        </w:tabs>
        <w:spacing w:line="232" w:lineRule="auto" w:before="172" w:after="0"/>
        <w:ind w:left="1100" w:right="616" w:hanging="719"/>
        <w:jc w:val="left"/>
      </w:pPr>
      <w:r>
        <w:rPr>
          <w:color w:val="231F20"/>
        </w:rPr>
        <w:t>Општа правила изградње и правила уређења простора у зонама утицаја рударских</w:t>
      </w:r>
      <w:r>
        <w:rPr>
          <w:color w:val="231F20"/>
          <w:spacing w:val="-6"/>
        </w:rPr>
        <w:t> </w:t>
      </w:r>
      <w:r>
        <w:rPr>
          <w:color w:val="231F20"/>
        </w:rPr>
        <w:t>активности</w:t>
      </w:r>
    </w:p>
    <w:p>
      <w:pPr>
        <w:pStyle w:val="ListParagraph"/>
        <w:numPr>
          <w:ilvl w:val="3"/>
          <w:numId w:val="50"/>
        </w:numPr>
        <w:tabs>
          <w:tab w:pos="822" w:val="left" w:leader="none"/>
        </w:tabs>
        <w:spacing w:line="240" w:lineRule="auto" w:before="165" w:after="0"/>
        <w:ind w:left="1971" w:right="0" w:hanging="1465"/>
        <w:jc w:val="left"/>
        <w:rPr>
          <w:i/>
          <w:sz w:val="18"/>
        </w:rPr>
      </w:pPr>
      <w:r>
        <w:rPr>
          <w:i/>
          <w:color w:val="231F20"/>
          <w:sz w:val="18"/>
        </w:rPr>
        <w:t>Насеља потенцијално угрожена рударским</w:t>
      </w:r>
      <w:r>
        <w:rPr>
          <w:i/>
          <w:color w:val="231F20"/>
          <w:spacing w:val="-9"/>
          <w:sz w:val="18"/>
        </w:rPr>
        <w:t> </w:t>
      </w:r>
      <w:r>
        <w:rPr>
          <w:i/>
          <w:color w:val="231F20"/>
          <w:sz w:val="18"/>
        </w:rPr>
        <w:t>радовима</w:t>
      </w:r>
    </w:p>
    <w:p>
      <w:pPr>
        <w:pStyle w:val="BodyText"/>
        <w:spacing w:before="5"/>
        <w:ind w:left="0"/>
        <w:jc w:val="left"/>
        <w:rPr>
          <w:i/>
          <w:sz w:val="17"/>
        </w:rPr>
      </w:pPr>
    </w:p>
    <w:p>
      <w:pPr>
        <w:pStyle w:val="BodyText"/>
        <w:spacing w:line="232" w:lineRule="auto"/>
        <w:ind w:left="171" w:right="406" w:firstLine="396"/>
      </w:pPr>
      <w:r>
        <w:rPr>
          <w:color w:val="231F20"/>
        </w:rPr>
        <w:t>С обзиром да у фази израде Просторног плана још увек ни- су била расположива поуздана предвиђања о потреби и времену евентуалног пресељења насеља, дати су само начелни услови из- градње и реконструкције објеката који се налазе изнад лигнитског лежишта.</w:t>
      </w:r>
    </w:p>
    <w:p>
      <w:pPr>
        <w:pStyle w:val="BodyText"/>
        <w:spacing w:line="232" w:lineRule="auto" w:before="1"/>
        <w:ind w:left="172" w:right="406" w:firstLine="396"/>
      </w:pPr>
      <w:r>
        <w:rPr>
          <w:color w:val="231F20"/>
        </w:rPr>
        <w:t>Према садашњим предвиђањима, до 2015. </w:t>
      </w:r>
      <w:r>
        <w:rPr>
          <w:color w:val="231F20"/>
          <w:spacing w:val="-3"/>
        </w:rPr>
        <w:t>године </w:t>
      </w:r>
      <w:r>
        <w:rPr>
          <w:color w:val="231F20"/>
        </w:rPr>
        <w:t>неће бити покренуто пресељење (делова) постојећих насеља угрожених ру- дарским радовима. У периоду </w:t>
      </w:r>
      <w:r>
        <w:rPr>
          <w:color w:val="231F20"/>
          <w:spacing w:val="-3"/>
        </w:rPr>
        <w:t>од </w:t>
      </w:r>
      <w:r>
        <w:rPr>
          <w:color w:val="231F20"/>
        </w:rPr>
        <w:t>2016 – 2020. </w:t>
      </w:r>
      <w:r>
        <w:rPr>
          <w:color w:val="231F20"/>
          <w:spacing w:val="-3"/>
        </w:rPr>
        <w:t>године </w:t>
      </w:r>
      <w:r>
        <w:rPr>
          <w:color w:val="231F20"/>
        </w:rPr>
        <w:t>могуће је покретање пресељења (делова) три насеља (Дубравица, Батовац и Острово) </w:t>
      </w:r>
      <w:r>
        <w:rPr>
          <w:color w:val="231F20"/>
          <w:spacing w:val="-3"/>
        </w:rPr>
        <w:t>која </w:t>
      </w:r>
      <w:r>
        <w:rPr>
          <w:color w:val="231F20"/>
        </w:rPr>
        <w:t>се налазе изнад лигнитског лежишта „Дубравица”. Није извесно да ли ће и када бити остварено пресељење делова насеља у зонама утицаја </w:t>
      </w:r>
      <w:r>
        <w:rPr>
          <w:color w:val="231F20"/>
          <w:spacing w:val="-3"/>
        </w:rPr>
        <w:t>Костолачког </w:t>
      </w:r>
      <w:r>
        <w:rPr>
          <w:color w:val="231F20"/>
        </w:rPr>
        <w:t>басена – Дрмно, Кленовник и</w:t>
      </w:r>
      <w:r>
        <w:rPr>
          <w:color w:val="231F20"/>
          <w:spacing w:val="-8"/>
        </w:rPr>
        <w:t> </w:t>
      </w:r>
      <w:r>
        <w:rPr>
          <w:color w:val="231F20"/>
        </w:rPr>
        <w:t>Ћириковац,</w:t>
      </w:r>
      <w:r>
        <w:rPr>
          <w:color w:val="231F20"/>
          <w:spacing w:val="-8"/>
        </w:rPr>
        <w:t> </w:t>
      </w:r>
      <w:r>
        <w:rPr>
          <w:color w:val="231F20"/>
        </w:rPr>
        <w:t>делова</w:t>
      </w:r>
      <w:r>
        <w:rPr>
          <w:color w:val="231F20"/>
          <w:spacing w:val="-8"/>
        </w:rPr>
        <w:t> </w:t>
      </w:r>
      <w:r>
        <w:rPr>
          <w:color w:val="231F20"/>
        </w:rPr>
        <w:t>насеља</w:t>
      </w:r>
      <w:r>
        <w:rPr>
          <w:color w:val="231F20"/>
          <w:spacing w:val="-8"/>
        </w:rPr>
        <w:t> </w:t>
      </w:r>
      <w:r>
        <w:rPr>
          <w:color w:val="231F20"/>
        </w:rPr>
        <w:t>у</w:t>
      </w:r>
      <w:r>
        <w:rPr>
          <w:color w:val="231F20"/>
          <w:spacing w:val="-8"/>
        </w:rPr>
        <w:t> </w:t>
      </w:r>
      <w:r>
        <w:rPr>
          <w:color w:val="231F20"/>
        </w:rPr>
        <w:t>зони</w:t>
      </w:r>
      <w:r>
        <w:rPr>
          <w:color w:val="231F20"/>
          <w:spacing w:val="-8"/>
        </w:rPr>
        <w:t> </w:t>
      </w:r>
      <w:r>
        <w:rPr>
          <w:color w:val="231F20"/>
        </w:rPr>
        <w:t>лежишта</w:t>
      </w:r>
      <w:r>
        <w:rPr>
          <w:color w:val="231F20"/>
          <w:spacing w:val="-8"/>
        </w:rPr>
        <w:t> </w:t>
      </w:r>
      <w:r>
        <w:rPr>
          <w:color w:val="231F20"/>
        </w:rPr>
        <w:t>„Пољана”,</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дела </w:t>
      </w:r>
      <w:r>
        <w:rPr>
          <w:color w:val="231F20"/>
          <w:spacing w:val="-3"/>
        </w:rPr>
        <w:t>комплекса </w:t>
      </w:r>
      <w:r>
        <w:rPr>
          <w:color w:val="231F20"/>
        </w:rPr>
        <w:t>„Забела” (после 2020. године). Ближи услови градње и уређења простора, као и пресељења насеља утврђују се посебним урбанистичким плановима и програмима</w:t>
      </w:r>
      <w:r>
        <w:rPr>
          <w:color w:val="231F20"/>
          <w:spacing w:val="-4"/>
        </w:rPr>
        <w:t> </w:t>
      </w:r>
      <w:r>
        <w:rPr>
          <w:color w:val="231F20"/>
        </w:rPr>
        <w:t>пресељења.</w:t>
      </w:r>
    </w:p>
    <w:p>
      <w:pPr>
        <w:pStyle w:val="BodyText"/>
        <w:spacing w:line="232" w:lineRule="auto" w:before="4"/>
        <w:ind w:left="172" w:right="405" w:firstLine="397"/>
      </w:pPr>
      <w:r>
        <w:rPr>
          <w:color w:val="231F20"/>
        </w:rPr>
        <w:t>Режим</w:t>
      </w:r>
      <w:r>
        <w:rPr>
          <w:color w:val="231F20"/>
          <w:spacing w:val="-7"/>
        </w:rPr>
        <w:t> </w:t>
      </w:r>
      <w:r>
        <w:rPr>
          <w:color w:val="231F20"/>
        </w:rPr>
        <w:t>изградње,</w:t>
      </w:r>
      <w:r>
        <w:rPr>
          <w:color w:val="231F20"/>
          <w:spacing w:val="-7"/>
        </w:rPr>
        <w:t> </w:t>
      </w:r>
      <w:r>
        <w:rPr>
          <w:color w:val="231F20"/>
        </w:rPr>
        <w:t>реконструкције</w:t>
      </w:r>
      <w:r>
        <w:rPr>
          <w:color w:val="231F20"/>
          <w:spacing w:val="-7"/>
        </w:rPr>
        <w:t> </w:t>
      </w:r>
      <w:r>
        <w:rPr>
          <w:color w:val="231F20"/>
        </w:rPr>
        <w:t>и</w:t>
      </w:r>
      <w:r>
        <w:rPr>
          <w:color w:val="231F20"/>
          <w:spacing w:val="-7"/>
        </w:rPr>
        <w:t> </w:t>
      </w:r>
      <w:r>
        <w:rPr>
          <w:color w:val="231F20"/>
        </w:rPr>
        <w:t>адаптације</w:t>
      </w:r>
      <w:r>
        <w:rPr>
          <w:color w:val="231F20"/>
          <w:spacing w:val="-7"/>
        </w:rPr>
        <w:t> </w:t>
      </w:r>
      <w:r>
        <w:rPr>
          <w:color w:val="231F20"/>
        </w:rPr>
        <w:t>објеката</w:t>
      </w:r>
      <w:r>
        <w:rPr>
          <w:color w:val="231F20"/>
          <w:spacing w:val="-7"/>
        </w:rPr>
        <w:t> </w:t>
      </w:r>
      <w:r>
        <w:rPr>
          <w:color w:val="231F20"/>
        </w:rPr>
        <w:t>дома- ћинстава у оквиру кућишта утврђује се у зависности </w:t>
      </w:r>
      <w:r>
        <w:rPr>
          <w:color w:val="231F20"/>
          <w:spacing w:val="-3"/>
        </w:rPr>
        <w:t>од </w:t>
      </w:r>
      <w:r>
        <w:rPr>
          <w:color w:val="231F20"/>
        </w:rPr>
        <w:t>динамике рударских радова, односно </w:t>
      </w:r>
      <w:r>
        <w:rPr>
          <w:color w:val="231F20"/>
          <w:spacing w:val="-3"/>
        </w:rPr>
        <w:t>од </w:t>
      </w:r>
      <w:r>
        <w:rPr>
          <w:color w:val="231F20"/>
        </w:rPr>
        <w:t>планираног времена за</w:t>
      </w:r>
      <w:r>
        <w:rPr>
          <w:color w:val="231F20"/>
          <w:spacing w:val="-25"/>
        </w:rPr>
        <w:t> </w:t>
      </w:r>
      <w:r>
        <w:rPr>
          <w:color w:val="231F20"/>
        </w:rPr>
        <w:t>пресељење.</w:t>
      </w:r>
    </w:p>
    <w:p>
      <w:pPr>
        <w:pStyle w:val="BodyText"/>
        <w:spacing w:line="232" w:lineRule="auto"/>
        <w:ind w:left="173" w:right="405" w:firstLine="396"/>
      </w:pPr>
      <w:r>
        <w:rPr>
          <w:color w:val="231F20"/>
        </w:rPr>
        <w:t>Изградња</w:t>
      </w:r>
      <w:r>
        <w:rPr>
          <w:color w:val="231F20"/>
          <w:spacing w:val="-10"/>
        </w:rPr>
        <w:t> </w:t>
      </w:r>
      <w:r>
        <w:rPr>
          <w:color w:val="231F20"/>
        </w:rPr>
        <w:t>или</w:t>
      </w:r>
      <w:r>
        <w:rPr>
          <w:color w:val="231F20"/>
          <w:spacing w:val="-10"/>
        </w:rPr>
        <w:t> </w:t>
      </w:r>
      <w:r>
        <w:rPr>
          <w:color w:val="231F20"/>
        </w:rPr>
        <w:t>реконструкција</w:t>
      </w:r>
      <w:r>
        <w:rPr>
          <w:color w:val="231F20"/>
          <w:spacing w:val="-10"/>
        </w:rPr>
        <w:t> </w:t>
      </w:r>
      <w:r>
        <w:rPr>
          <w:color w:val="231F20"/>
        </w:rPr>
        <w:t>насељских</w:t>
      </w:r>
      <w:r>
        <w:rPr>
          <w:color w:val="231F20"/>
          <w:spacing w:val="-10"/>
        </w:rPr>
        <w:t> </w:t>
      </w:r>
      <w:r>
        <w:rPr>
          <w:color w:val="231F20"/>
        </w:rPr>
        <w:t>комуналних</w:t>
      </w:r>
      <w:r>
        <w:rPr>
          <w:color w:val="231F20"/>
          <w:spacing w:val="-10"/>
        </w:rPr>
        <w:t> </w:t>
      </w:r>
      <w:r>
        <w:rPr>
          <w:color w:val="231F20"/>
        </w:rPr>
        <w:t>објека- та</w:t>
      </w:r>
      <w:r>
        <w:rPr>
          <w:color w:val="231F20"/>
          <w:spacing w:val="-8"/>
        </w:rPr>
        <w:t> </w:t>
      </w:r>
      <w:r>
        <w:rPr>
          <w:color w:val="231F20"/>
        </w:rPr>
        <w:t>и</w:t>
      </w:r>
      <w:r>
        <w:rPr>
          <w:color w:val="231F20"/>
          <w:spacing w:val="-8"/>
        </w:rPr>
        <w:t> </w:t>
      </w:r>
      <w:r>
        <w:rPr>
          <w:color w:val="231F20"/>
        </w:rPr>
        <w:t>мрежа</w:t>
      </w:r>
      <w:r>
        <w:rPr>
          <w:color w:val="231F20"/>
          <w:spacing w:val="-8"/>
        </w:rPr>
        <w:t> </w:t>
      </w:r>
      <w:r>
        <w:rPr>
          <w:color w:val="231F20"/>
        </w:rPr>
        <w:t>зависи,</w:t>
      </w:r>
      <w:r>
        <w:rPr>
          <w:color w:val="231F20"/>
          <w:spacing w:val="-8"/>
        </w:rPr>
        <w:t> </w:t>
      </w:r>
      <w:r>
        <w:rPr>
          <w:color w:val="231F20"/>
        </w:rPr>
        <w:t>такође,</w:t>
      </w:r>
      <w:r>
        <w:rPr>
          <w:color w:val="231F20"/>
          <w:spacing w:val="-8"/>
        </w:rPr>
        <w:t> </w:t>
      </w:r>
      <w:r>
        <w:rPr>
          <w:color w:val="231F20"/>
          <w:spacing w:val="-3"/>
        </w:rPr>
        <w:t>од</w:t>
      </w:r>
      <w:r>
        <w:rPr>
          <w:color w:val="231F20"/>
          <w:spacing w:val="-8"/>
        </w:rPr>
        <w:t> </w:t>
      </w:r>
      <w:r>
        <w:rPr>
          <w:color w:val="231F20"/>
        </w:rPr>
        <w:t>динамике</w:t>
      </w:r>
      <w:r>
        <w:rPr>
          <w:color w:val="231F20"/>
          <w:spacing w:val="-8"/>
        </w:rPr>
        <w:t> </w:t>
      </w:r>
      <w:r>
        <w:rPr>
          <w:color w:val="231F20"/>
        </w:rPr>
        <w:t>рударских</w:t>
      </w:r>
      <w:r>
        <w:rPr>
          <w:color w:val="231F20"/>
          <w:spacing w:val="-8"/>
        </w:rPr>
        <w:t> </w:t>
      </w:r>
      <w:r>
        <w:rPr>
          <w:color w:val="231F20"/>
        </w:rPr>
        <w:t>радова,</w:t>
      </w:r>
      <w:r>
        <w:rPr>
          <w:color w:val="231F20"/>
          <w:spacing w:val="-8"/>
        </w:rPr>
        <w:t> </w:t>
      </w:r>
      <w:r>
        <w:rPr>
          <w:color w:val="231F20"/>
        </w:rPr>
        <w:t>односно </w:t>
      </w:r>
      <w:r>
        <w:rPr>
          <w:color w:val="231F20"/>
          <w:spacing w:val="-3"/>
        </w:rPr>
        <w:t>од </w:t>
      </w:r>
      <w:r>
        <w:rPr>
          <w:color w:val="231F20"/>
        </w:rPr>
        <w:t>планираног времена за</w:t>
      </w:r>
      <w:r>
        <w:rPr>
          <w:color w:val="231F20"/>
          <w:spacing w:val="-2"/>
        </w:rPr>
        <w:t> </w:t>
      </w:r>
      <w:r>
        <w:rPr>
          <w:color w:val="231F20"/>
        </w:rPr>
        <w:t>измештање.</w:t>
      </w:r>
    </w:p>
    <w:p>
      <w:pPr>
        <w:pStyle w:val="BodyText"/>
        <w:spacing w:line="232" w:lineRule="auto" w:before="1"/>
        <w:ind w:left="173" w:right="406" w:firstLine="397"/>
      </w:pPr>
      <w:r>
        <w:rPr>
          <w:color w:val="231F20"/>
        </w:rPr>
        <w:t>У насељима </w:t>
      </w:r>
      <w:r>
        <w:rPr>
          <w:color w:val="231F20"/>
          <w:spacing w:val="-3"/>
        </w:rPr>
        <w:t>која </w:t>
      </w:r>
      <w:r>
        <w:rPr>
          <w:color w:val="231F20"/>
        </w:rPr>
        <w:t>се налазе изнад лигнитског лежишта утвр- ђује се, по </w:t>
      </w:r>
      <w:r>
        <w:rPr>
          <w:color w:val="231F20"/>
          <w:spacing w:val="-3"/>
        </w:rPr>
        <w:t>правилу, </w:t>
      </w:r>
      <w:r>
        <w:rPr>
          <w:color w:val="231F20"/>
        </w:rPr>
        <w:t>диференцирани режим изградње, уређивања и</w:t>
      </w:r>
    </w:p>
    <w:p>
      <w:pPr>
        <w:spacing w:after="0" w:line="232" w:lineRule="auto"/>
        <w:sectPr>
          <w:pgSz w:w="12480" w:h="15690"/>
          <w:pgMar w:top="120" w:bottom="280" w:left="680" w:right="720"/>
          <w:cols w:num="2" w:equalWidth="0">
            <w:col w:w="5317" w:space="73"/>
            <w:col w:w="5690"/>
          </w:cols>
        </w:sectPr>
      </w:pPr>
    </w:p>
    <w:p>
      <w:pPr>
        <w:pStyle w:val="BodyText"/>
        <w:spacing w:before="68"/>
        <w:ind w:left="453"/>
      </w:pPr>
      <w:r>
        <w:rPr/>
        <w:pict>
          <v:line style="position:absolute;mso-position-horizontal-relative:page;mso-position-vertical-relative:page;z-index:3472" from="318.897614pt,11.942451pt" to="318.897614pt,748.950451pt" stroked="true" strokeweight=".6pt" strokecolor="#231f20">
            <v:stroke dashstyle="solid"/>
            <w10:wrap type="none"/>
          </v:line>
        </w:pict>
      </w:r>
      <w:r>
        <w:rPr>
          <w:color w:val="231F20"/>
        </w:rPr>
        <w:t>коришћења простора у зависности </w:t>
      </w:r>
      <w:r>
        <w:rPr>
          <w:color w:val="231F20"/>
          <w:spacing w:val="-3"/>
        </w:rPr>
        <w:t>од </w:t>
      </w:r>
      <w:r>
        <w:rPr>
          <w:color w:val="231F20"/>
        </w:rPr>
        <w:t>динамике планиране повр- шинске</w:t>
      </w:r>
      <w:r>
        <w:rPr>
          <w:color w:val="231F20"/>
          <w:spacing w:val="-7"/>
        </w:rPr>
        <w:t> </w:t>
      </w:r>
      <w:r>
        <w:rPr>
          <w:color w:val="231F20"/>
        </w:rPr>
        <w:t>експлоатације,</w:t>
      </w:r>
      <w:r>
        <w:rPr>
          <w:color w:val="231F20"/>
          <w:spacing w:val="-7"/>
        </w:rPr>
        <w:t> </w:t>
      </w:r>
      <w:r>
        <w:rPr>
          <w:color w:val="231F20"/>
        </w:rPr>
        <w:t>односно</w:t>
      </w:r>
      <w:r>
        <w:rPr>
          <w:color w:val="231F20"/>
          <w:spacing w:val="-7"/>
        </w:rPr>
        <w:t> </w:t>
      </w:r>
      <w:r>
        <w:rPr>
          <w:color w:val="231F20"/>
        </w:rPr>
        <w:t>динамике</w:t>
      </w:r>
      <w:r>
        <w:rPr>
          <w:color w:val="231F20"/>
          <w:spacing w:val="-7"/>
        </w:rPr>
        <w:t> </w:t>
      </w:r>
      <w:r>
        <w:rPr>
          <w:color w:val="231F20"/>
        </w:rPr>
        <w:t>измештања</w:t>
      </w:r>
      <w:r>
        <w:rPr>
          <w:color w:val="231F20"/>
          <w:spacing w:val="-7"/>
        </w:rPr>
        <w:t> </w:t>
      </w:r>
      <w:r>
        <w:rPr>
          <w:color w:val="231F20"/>
        </w:rPr>
        <w:t>насеља,</w:t>
      </w:r>
      <w:r>
        <w:rPr>
          <w:color w:val="231F20"/>
          <w:spacing w:val="-7"/>
        </w:rPr>
        <w:t> </w:t>
      </w:r>
      <w:r>
        <w:rPr>
          <w:color w:val="231F20"/>
        </w:rPr>
        <w:t>и</w:t>
      </w:r>
      <w:r>
        <w:rPr>
          <w:color w:val="231F20"/>
          <w:spacing w:val="-7"/>
        </w:rPr>
        <w:t> </w:t>
      </w:r>
      <w:r>
        <w:rPr>
          <w:color w:val="231F20"/>
        </w:rPr>
        <w:t>то за период</w:t>
      </w:r>
      <w:r>
        <w:rPr>
          <w:color w:val="231F20"/>
          <w:spacing w:val="-2"/>
        </w:rPr>
        <w:t> </w:t>
      </w:r>
      <w:r>
        <w:rPr>
          <w:color w:val="231F20"/>
        </w:rPr>
        <w:t>од:</w:t>
      </w:r>
    </w:p>
    <w:p>
      <w:pPr>
        <w:pStyle w:val="BodyText"/>
        <w:spacing w:before="3"/>
        <w:ind w:left="453" w:firstLine="396"/>
      </w:pPr>
      <w:r>
        <w:rPr>
          <w:color w:val="231F20"/>
          <w:w w:val="66"/>
        </w:rPr>
        <w:t> </w:t>
      </w:r>
      <w:r>
        <w:rPr>
          <w:color w:val="231F20"/>
        </w:rPr>
        <w:t>– 5 –10 </w:t>
      </w:r>
      <w:r>
        <w:rPr>
          <w:color w:val="231F20"/>
          <w:spacing w:val="-3"/>
        </w:rPr>
        <w:t>година </w:t>
      </w:r>
      <w:r>
        <w:rPr>
          <w:color w:val="231F20"/>
        </w:rPr>
        <w:t>– утврђује се режим ограничења за изградњу нових,</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реконструкцију</w:t>
      </w:r>
      <w:r>
        <w:rPr>
          <w:color w:val="231F20"/>
          <w:spacing w:val="-6"/>
        </w:rPr>
        <w:t> </w:t>
      </w:r>
      <w:r>
        <w:rPr>
          <w:color w:val="231F20"/>
        </w:rPr>
        <w:t>и</w:t>
      </w:r>
      <w:r>
        <w:rPr>
          <w:color w:val="231F20"/>
          <w:spacing w:val="-6"/>
        </w:rPr>
        <w:t> </w:t>
      </w:r>
      <w:r>
        <w:rPr>
          <w:color w:val="231F20"/>
        </w:rPr>
        <w:t>надградњу</w:t>
      </w:r>
      <w:r>
        <w:rPr>
          <w:color w:val="231F20"/>
          <w:spacing w:val="-6"/>
        </w:rPr>
        <w:t> </w:t>
      </w:r>
      <w:r>
        <w:rPr>
          <w:color w:val="231F20"/>
        </w:rPr>
        <w:t>постојећих</w:t>
      </w:r>
      <w:r>
        <w:rPr>
          <w:color w:val="231F20"/>
          <w:spacing w:val="-6"/>
        </w:rPr>
        <w:t> </w:t>
      </w:r>
      <w:r>
        <w:rPr>
          <w:color w:val="231F20"/>
        </w:rPr>
        <w:t>објеката;</w:t>
      </w:r>
      <w:r>
        <w:rPr>
          <w:color w:val="231F20"/>
          <w:spacing w:val="-6"/>
        </w:rPr>
        <w:t> </w:t>
      </w:r>
      <w:r>
        <w:rPr>
          <w:color w:val="231F20"/>
        </w:rPr>
        <w:t>мо- гу се дозволити мање адаптације постојећих стамбених, </w:t>
      </w:r>
      <w:r>
        <w:rPr>
          <w:color w:val="231F20"/>
          <w:spacing w:val="-3"/>
        </w:rPr>
        <w:t>економ- </w:t>
      </w:r>
      <w:r>
        <w:rPr>
          <w:color w:val="231F20"/>
        </w:rPr>
        <w:t>ских, производних, јавних и других објеката ради обезбеђења њи- ховог нормалног коришћења, али </w:t>
      </w:r>
      <w:r>
        <w:rPr>
          <w:color w:val="231F20"/>
          <w:spacing w:val="-3"/>
        </w:rPr>
        <w:t>тако </w:t>
      </w:r>
      <w:r>
        <w:rPr>
          <w:color w:val="231F20"/>
        </w:rPr>
        <w:t>да се адаптацијом битно не увећа вредност тих</w:t>
      </w:r>
      <w:r>
        <w:rPr>
          <w:color w:val="231F20"/>
          <w:spacing w:val="-1"/>
        </w:rPr>
        <w:t> </w:t>
      </w:r>
      <w:r>
        <w:rPr>
          <w:color w:val="231F20"/>
        </w:rPr>
        <w:t>објеката;</w:t>
      </w:r>
    </w:p>
    <w:p>
      <w:pPr>
        <w:pStyle w:val="BodyText"/>
        <w:spacing w:before="7"/>
        <w:ind w:left="453" w:firstLine="397"/>
      </w:pPr>
      <w:r>
        <w:rPr>
          <w:color w:val="231F20"/>
          <w:w w:val="66"/>
        </w:rPr>
        <w:t> </w:t>
      </w:r>
      <w:r>
        <w:rPr>
          <w:color w:val="231F20"/>
        </w:rPr>
        <w:t>–</w:t>
      </w:r>
      <w:r>
        <w:rPr>
          <w:color w:val="231F20"/>
          <w:spacing w:val="-7"/>
        </w:rPr>
        <w:t> </w:t>
      </w:r>
      <w:r>
        <w:rPr>
          <w:color w:val="231F20"/>
        </w:rPr>
        <w:t>10</w:t>
      </w:r>
      <w:r>
        <w:rPr>
          <w:color w:val="231F20"/>
          <w:spacing w:val="-21"/>
        </w:rPr>
        <w:t> </w:t>
      </w:r>
      <w:r>
        <w:rPr>
          <w:color w:val="231F20"/>
        </w:rPr>
        <w:t>–20</w:t>
      </w:r>
      <w:r>
        <w:rPr>
          <w:color w:val="231F20"/>
          <w:spacing w:val="-7"/>
        </w:rPr>
        <w:t> </w:t>
      </w:r>
      <w:r>
        <w:rPr>
          <w:color w:val="231F20"/>
          <w:spacing w:val="-3"/>
        </w:rPr>
        <w:t>година</w:t>
      </w:r>
      <w:r>
        <w:rPr>
          <w:color w:val="231F20"/>
          <w:spacing w:val="17"/>
        </w:rPr>
        <w:t> </w:t>
      </w:r>
      <w:r>
        <w:rPr>
          <w:color w:val="231F20"/>
        </w:rPr>
        <w:t>–</w:t>
      </w:r>
      <w:r>
        <w:rPr>
          <w:color w:val="231F20"/>
          <w:spacing w:val="-7"/>
        </w:rPr>
        <w:t> </w:t>
      </w:r>
      <w:r>
        <w:rPr>
          <w:color w:val="231F20"/>
        </w:rPr>
        <w:t>утврђује</w:t>
      </w:r>
      <w:r>
        <w:rPr>
          <w:color w:val="231F20"/>
          <w:spacing w:val="-7"/>
        </w:rPr>
        <w:t> </w:t>
      </w:r>
      <w:r>
        <w:rPr>
          <w:color w:val="231F20"/>
        </w:rPr>
        <w:t>се</w:t>
      </w:r>
      <w:r>
        <w:rPr>
          <w:color w:val="231F20"/>
          <w:spacing w:val="-7"/>
        </w:rPr>
        <w:t> </w:t>
      </w:r>
      <w:r>
        <w:rPr>
          <w:color w:val="231F20"/>
        </w:rPr>
        <w:t>режим</w:t>
      </w:r>
      <w:r>
        <w:rPr>
          <w:color w:val="231F20"/>
          <w:spacing w:val="-7"/>
        </w:rPr>
        <w:t> </w:t>
      </w:r>
      <w:r>
        <w:rPr>
          <w:color w:val="231F20"/>
        </w:rPr>
        <w:t>изградње</w:t>
      </w:r>
      <w:r>
        <w:rPr>
          <w:color w:val="231F20"/>
          <w:spacing w:val="-7"/>
        </w:rPr>
        <w:t> </w:t>
      </w:r>
      <w:r>
        <w:rPr>
          <w:color w:val="231F20"/>
          <w:spacing w:val="-3"/>
        </w:rPr>
        <w:t>који</w:t>
      </w:r>
      <w:r>
        <w:rPr>
          <w:color w:val="231F20"/>
          <w:spacing w:val="-7"/>
        </w:rPr>
        <w:t> </w:t>
      </w:r>
      <w:r>
        <w:rPr>
          <w:color w:val="231F20"/>
        </w:rPr>
        <w:t>неће</w:t>
      </w:r>
      <w:r>
        <w:rPr>
          <w:color w:val="231F20"/>
          <w:spacing w:val="-7"/>
        </w:rPr>
        <w:t> </w:t>
      </w:r>
      <w:r>
        <w:rPr>
          <w:color w:val="231F20"/>
        </w:rPr>
        <w:t>угро- зити</w:t>
      </w:r>
      <w:r>
        <w:rPr>
          <w:color w:val="231F20"/>
          <w:spacing w:val="-10"/>
        </w:rPr>
        <w:t> </w:t>
      </w:r>
      <w:r>
        <w:rPr>
          <w:color w:val="231F20"/>
        </w:rPr>
        <w:t>одржавање</w:t>
      </w:r>
      <w:r>
        <w:rPr>
          <w:color w:val="231F20"/>
          <w:spacing w:val="-10"/>
        </w:rPr>
        <w:t> </w:t>
      </w:r>
      <w:r>
        <w:rPr>
          <w:color w:val="231F20"/>
        </w:rPr>
        <w:t>функција</w:t>
      </w:r>
      <w:r>
        <w:rPr>
          <w:color w:val="231F20"/>
          <w:spacing w:val="-10"/>
        </w:rPr>
        <w:t> </w:t>
      </w:r>
      <w:r>
        <w:rPr>
          <w:color w:val="231F20"/>
        </w:rPr>
        <w:t>привредних,</w:t>
      </w:r>
      <w:r>
        <w:rPr>
          <w:color w:val="231F20"/>
          <w:spacing w:val="-10"/>
        </w:rPr>
        <w:t> </w:t>
      </w:r>
      <w:r>
        <w:rPr>
          <w:color w:val="231F20"/>
        </w:rPr>
        <w:t>комуналних,</w:t>
      </w:r>
      <w:r>
        <w:rPr>
          <w:color w:val="231F20"/>
          <w:spacing w:val="-10"/>
        </w:rPr>
        <w:t> </w:t>
      </w:r>
      <w:r>
        <w:rPr>
          <w:color w:val="231F20"/>
        </w:rPr>
        <w:t>саобраћајних, стамбених и других објеката; може се у принципу дозволити из- градња</w:t>
      </w:r>
      <w:r>
        <w:rPr>
          <w:color w:val="231F20"/>
          <w:spacing w:val="-7"/>
        </w:rPr>
        <w:t> </w:t>
      </w:r>
      <w:r>
        <w:rPr>
          <w:color w:val="231F20"/>
        </w:rPr>
        <w:t>мањих</w:t>
      </w:r>
      <w:r>
        <w:rPr>
          <w:color w:val="231F20"/>
          <w:spacing w:val="-7"/>
        </w:rPr>
        <w:t> </w:t>
      </w:r>
      <w:r>
        <w:rPr>
          <w:color w:val="231F20"/>
        </w:rPr>
        <w:t>објеката</w:t>
      </w:r>
      <w:r>
        <w:rPr>
          <w:color w:val="231F20"/>
          <w:spacing w:val="-7"/>
        </w:rPr>
        <w:t> </w:t>
      </w:r>
      <w:r>
        <w:rPr>
          <w:color w:val="231F20"/>
        </w:rPr>
        <w:t>јавних</w:t>
      </w:r>
      <w:r>
        <w:rPr>
          <w:color w:val="231F20"/>
          <w:spacing w:val="-7"/>
        </w:rPr>
        <w:t> </w:t>
      </w:r>
      <w:r>
        <w:rPr>
          <w:color w:val="231F20"/>
        </w:rPr>
        <w:t>служби</w:t>
      </w:r>
      <w:r>
        <w:rPr>
          <w:color w:val="231F20"/>
          <w:spacing w:val="-7"/>
        </w:rPr>
        <w:t> </w:t>
      </w:r>
      <w:r>
        <w:rPr>
          <w:color w:val="231F20"/>
        </w:rPr>
        <w:t>монтажног</w:t>
      </w:r>
      <w:r>
        <w:rPr>
          <w:color w:val="231F20"/>
          <w:spacing w:val="-7"/>
        </w:rPr>
        <w:t> </w:t>
      </w:r>
      <w:r>
        <w:rPr>
          <w:color w:val="231F20"/>
        </w:rPr>
        <w:t>карактера,</w:t>
      </w:r>
      <w:r>
        <w:rPr>
          <w:color w:val="231F20"/>
          <w:spacing w:val="-7"/>
        </w:rPr>
        <w:t> </w:t>
      </w:r>
      <w:r>
        <w:rPr>
          <w:color w:val="231F20"/>
        </w:rPr>
        <w:t>заме- на мањих трошних објеката за становање и слично; треба забра- нити препарцелацију пољопривредног земљишта ради стварања нових грађевинских парцела;</w:t>
      </w:r>
      <w:r>
        <w:rPr>
          <w:color w:val="231F20"/>
          <w:spacing w:val="-3"/>
        </w:rPr>
        <w:t> </w:t>
      </w:r>
      <w:r>
        <w:rPr>
          <w:color w:val="231F20"/>
        </w:rPr>
        <w:t>и</w:t>
      </w:r>
    </w:p>
    <w:p>
      <w:pPr>
        <w:pStyle w:val="BodyText"/>
        <w:spacing w:before="7"/>
        <w:ind w:left="453" w:firstLine="396"/>
      </w:pPr>
      <w:r>
        <w:rPr>
          <w:color w:val="231F20"/>
          <w:w w:val="66"/>
        </w:rPr>
        <w:t> </w:t>
      </w:r>
      <w:r>
        <w:rPr>
          <w:color w:val="231F20"/>
        </w:rPr>
        <w:t>– после 20 </w:t>
      </w:r>
      <w:r>
        <w:rPr>
          <w:color w:val="231F20"/>
          <w:spacing w:val="-3"/>
        </w:rPr>
        <w:t>година </w:t>
      </w:r>
      <w:r>
        <w:rPr>
          <w:color w:val="231F20"/>
        </w:rPr>
        <w:t>– утврђује се режим изградње без посеб- них ограничења, осим забране изградње нових инфраструктурних система и других великих инвестиционих (грађевинских)</w:t>
      </w:r>
      <w:r>
        <w:rPr>
          <w:color w:val="231F20"/>
          <w:spacing w:val="-26"/>
        </w:rPr>
        <w:t> </w:t>
      </w:r>
      <w:r>
        <w:rPr>
          <w:color w:val="231F20"/>
        </w:rPr>
        <w:t>објеката (нпр. индустријских, туристичких </w:t>
      </w:r>
      <w:r>
        <w:rPr>
          <w:color w:val="231F20"/>
          <w:spacing w:val="-3"/>
        </w:rPr>
        <w:t>комплекса </w:t>
      </w:r>
      <w:r>
        <w:rPr>
          <w:color w:val="231F20"/>
        </w:rPr>
        <w:t>и слично).</w:t>
      </w:r>
    </w:p>
    <w:p>
      <w:pPr>
        <w:pStyle w:val="BodyText"/>
        <w:spacing w:before="5"/>
        <w:ind w:left="454" w:firstLine="397"/>
      </w:pPr>
      <w:r>
        <w:rPr>
          <w:color w:val="231F20"/>
        </w:rPr>
        <w:t>Потребно време за припрему и спровођење пресељења насе- ља је 5 –10 година пре почетка рударских радова.</w:t>
      </w:r>
    </w:p>
    <w:p>
      <w:pPr>
        <w:pStyle w:val="BodyText"/>
        <w:spacing w:before="2"/>
        <w:ind w:left="851"/>
        <w:jc w:val="left"/>
      </w:pPr>
      <w:r>
        <w:rPr>
          <w:color w:val="231F20"/>
        </w:rPr>
        <w:t>У насељима (катастарским општинама) која се налазе изнад</w:t>
      </w:r>
    </w:p>
    <w:p>
      <w:pPr>
        <w:pStyle w:val="BodyText"/>
        <w:spacing w:before="1"/>
        <w:ind w:left="454"/>
      </w:pPr>
      <w:r>
        <w:rPr>
          <w:color w:val="231F20"/>
        </w:rPr>
        <w:t>„потенцијалних” лигнитских лежишта забрањена је изградња ка- питалних привредних (индустријских), инфраструктурних и дру- гих објеката, чије би евентуално измештање у будућности зах- тевало велика финансијска средства, осим објеката предвиђених Просторним планом.</w:t>
      </w:r>
    </w:p>
    <w:p>
      <w:pPr>
        <w:pStyle w:val="BodyText"/>
        <w:spacing w:before="5"/>
        <w:ind w:left="454" w:firstLine="396"/>
      </w:pPr>
      <w:r>
        <w:rPr>
          <w:color w:val="231F20"/>
        </w:rPr>
        <w:t>Услови изградње и уређења простора са минималним огра- ничењима дати су у табелама бр. 3 и 4.</w:t>
      </w:r>
    </w:p>
    <w:p>
      <w:pPr>
        <w:pStyle w:val="BodyText"/>
        <w:spacing w:before="3"/>
        <w:ind w:left="0"/>
        <w:jc w:val="left"/>
      </w:pPr>
    </w:p>
    <w:p>
      <w:pPr>
        <w:pStyle w:val="BodyText"/>
        <w:ind w:left="1208" w:hanging="755"/>
        <w:jc w:val="left"/>
      </w:pPr>
      <w:r>
        <w:rPr>
          <w:color w:val="231F20"/>
        </w:rPr>
        <w:t>Табела 3: Услови изградње, реконструкције и адаптације објекта домаћинства</w:t>
      </w:r>
    </w:p>
    <w:p>
      <w:pPr>
        <w:pStyle w:val="BodyText"/>
        <w:spacing w:before="2"/>
        <w:ind w:left="0"/>
        <w:jc w:val="left"/>
        <w:rPr>
          <w:sz w:val="4"/>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4"/>
        <w:gridCol w:w="2835"/>
        <w:gridCol w:w="977"/>
        <w:gridCol w:w="959"/>
      </w:tblGrid>
      <w:tr>
        <w:trPr>
          <w:trHeight w:val="200" w:hRule="atLeast"/>
        </w:trPr>
        <w:tc>
          <w:tcPr>
            <w:tcW w:w="334" w:type="dxa"/>
            <w:vMerge w:val="restart"/>
          </w:tcPr>
          <w:p>
            <w:pPr>
              <w:pStyle w:val="TableParagraph"/>
              <w:spacing w:before="7"/>
              <w:jc w:val="left"/>
              <w:rPr>
                <w:sz w:val="17"/>
              </w:rPr>
            </w:pPr>
          </w:p>
          <w:p>
            <w:pPr>
              <w:pStyle w:val="TableParagraph"/>
              <w:spacing w:before="1"/>
              <w:ind w:left="61"/>
              <w:jc w:val="left"/>
              <w:rPr>
                <w:sz w:val="14"/>
              </w:rPr>
            </w:pPr>
            <w:r>
              <w:rPr>
                <w:color w:val="231F20"/>
                <w:sz w:val="14"/>
              </w:rPr>
              <w:t>Р.Б.</w:t>
            </w:r>
          </w:p>
        </w:tc>
        <w:tc>
          <w:tcPr>
            <w:tcW w:w="2835" w:type="dxa"/>
            <w:vMerge w:val="restart"/>
          </w:tcPr>
          <w:p>
            <w:pPr>
              <w:pStyle w:val="TableParagraph"/>
              <w:spacing w:before="7"/>
              <w:jc w:val="left"/>
              <w:rPr>
                <w:sz w:val="17"/>
              </w:rPr>
            </w:pPr>
          </w:p>
          <w:p>
            <w:pPr>
              <w:pStyle w:val="TableParagraph"/>
              <w:spacing w:before="1"/>
              <w:ind w:left="601"/>
              <w:jc w:val="left"/>
              <w:rPr>
                <w:sz w:val="14"/>
              </w:rPr>
            </w:pPr>
            <w:r>
              <w:rPr>
                <w:color w:val="231F20"/>
                <w:sz w:val="14"/>
              </w:rPr>
              <w:t>Врста грађевинских радова</w:t>
            </w:r>
          </w:p>
        </w:tc>
        <w:tc>
          <w:tcPr>
            <w:tcW w:w="1936" w:type="dxa"/>
            <w:gridSpan w:val="2"/>
          </w:tcPr>
          <w:p>
            <w:pPr>
              <w:pStyle w:val="TableParagraph"/>
              <w:ind w:left="66"/>
              <w:jc w:val="left"/>
              <w:rPr>
                <w:sz w:val="14"/>
              </w:rPr>
            </w:pPr>
            <w:r>
              <w:rPr>
                <w:color w:val="231F20"/>
                <w:sz w:val="14"/>
              </w:rPr>
              <w:t>Предвиђено време пресељења</w:t>
            </w:r>
          </w:p>
        </w:tc>
      </w:tr>
      <w:tr>
        <w:trPr>
          <w:trHeight w:val="360" w:hRule="atLeast"/>
        </w:trPr>
        <w:tc>
          <w:tcPr>
            <w:tcW w:w="334" w:type="dxa"/>
            <w:vMerge/>
            <w:tcBorders>
              <w:top w:val="nil"/>
            </w:tcBorders>
          </w:tcPr>
          <w:p>
            <w:pPr>
              <w:rPr>
                <w:sz w:val="2"/>
                <w:szCs w:val="2"/>
              </w:rPr>
            </w:pPr>
          </w:p>
        </w:tc>
        <w:tc>
          <w:tcPr>
            <w:tcW w:w="2835" w:type="dxa"/>
            <w:vMerge/>
            <w:tcBorders>
              <w:top w:val="nil"/>
            </w:tcBorders>
          </w:tcPr>
          <w:p>
            <w:pPr>
              <w:rPr>
                <w:sz w:val="2"/>
                <w:szCs w:val="2"/>
              </w:rPr>
            </w:pPr>
          </w:p>
        </w:tc>
        <w:tc>
          <w:tcPr>
            <w:tcW w:w="977" w:type="dxa"/>
          </w:tcPr>
          <w:p>
            <w:pPr>
              <w:pStyle w:val="TableParagraph"/>
              <w:ind w:left="111" w:firstLine="126"/>
              <w:jc w:val="left"/>
              <w:rPr>
                <w:sz w:val="14"/>
              </w:rPr>
            </w:pPr>
            <w:r>
              <w:rPr>
                <w:color w:val="231F20"/>
                <w:sz w:val="14"/>
              </w:rPr>
              <w:t>а. После 2020. године</w:t>
            </w:r>
          </w:p>
        </w:tc>
        <w:tc>
          <w:tcPr>
            <w:tcW w:w="959" w:type="dxa"/>
          </w:tcPr>
          <w:p>
            <w:pPr>
              <w:pStyle w:val="TableParagraph"/>
              <w:ind w:left="347" w:right="106" w:hanging="216"/>
              <w:jc w:val="left"/>
              <w:rPr>
                <w:sz w:val="14"/>
              </w:rPr>
            </w:pPr>
            <w:r>
              <w:rPr>
                <w:color w:val="231F20"/>
                <w:sz w:val="14"/>
              </w:rPr>
              <w:t>б. Не зна се када</w:t>
            </w:r>
          </w:p>
        </w:tc>
      </w:tr>
      <w:tr>
        <w:trPr>
          <w:trHeight w:val="520" w:hRule="atLeast"/>
        </w:trPr>
        <w:tc>
          <w:tcPr>
            <w:tcW w:w="334" w:type="dxa"/>
          </w:tcPr>
          <w:p>
            <w:pPr>
              <w:pStyle w:val="TableParagraph"/>
              <w:spacing w:before="5"/>
              <w:jc w:val="left"/>
              <w:rPr>
                <w:sz w:val="15"/>
              </w:rPr>
            </w:pPr>
          </w:p>
          <w:p>
            <w:pPr>
              <w:pStyle w:val="TableParagraph"/>
              <w:spacing w:before="0"/>
              <w:ind w:left="36" w:right="139"/>
              <w:jc w:val="center"/>
              <w:rPr>
                <w:sz w:val="14"/>
              </w:rPr>
            </w:pPr>
            <w:r>
              <w:rPr>
                <w:color w:val="231F20"/>
                <w:sz w:val="14"/>
              </w:rPr>
              <w:t>1.</w:t>
            </w:r>
          </w:p>
        </w:tc>
        <w:tc>
          <w:tcPr>
            <w:tcW w:w="2835" w:type="dxa"/>
          </w:tcPr>
          <w:p>
            <w:pPr>
              <w:pStyle w:val="TableParagraph"/>
              <w:ind w:left="56" w:right="261"/>
              <w:jc w:val="left"/>
              <w:rPr>
                <w:sz w:val="14"/>
              </w:rPr>
            </w:pPr>
            <w:r>
              <w:rPr>
                <w:color w:val="231F20"/>
                <w:sz w:val="14"/>
              </w:rPr>
              <w:t>Формирање нових грађевинских парцела у грађевинском подручју насеља у циљу досељавања новог становништва</w:t>
            </w:r>
          </w:p>
        </w:tc>
        <w:tc>
          <w:tcPr>
            <w:tcW w:w="977" w:type="dxa"/>
          </w:tcPr>
          <w:p>
            <w:pPr>
              <w:pStyle w:val="TableParagraph"/>
              <w:spacing w:before="5"/>
              <w:jc w:val="left"/>
              <w:rPr>
                <w:sz w:val="15"/>
              </w:rPr>
            </w:pPr>
          </w:p>
          <w:p>
            <w:pPr>
              <w:pStyle w:val="TableParagraph"/>
              <w:spacing w:before="0"/>
              <w:ind w:left="464"/>
              <w:jc w:val="left"/>
              <w:rPr>
                <w:sz w:val="14"/>
              </w:rPr>
            </w:pPr>
            <w:r>
              <w:rPr>
                <w:color w:val="231F20"/>
                <w:sz w:val="14"/>
              </w:rPr>
              <w:t>-</w:t>
            </w:r>
          </w:p>
        </w:tc>
        <w:tc>
          <w:tcPr>
            <w:tcW w:w="959" w:type="dxa"/>
          </w:tcPr>
          <w:p>
            <w:pPr>
              <w:pStyle w:val="TableParagraph"/>
              <w:spacing w:before="5"/>
              <w:jc w:val="left"/>
              <w:rPr>
                <w:sz w:val="15"/>
              </w:rPr>
            </w:pPr>
          </w:p>
          <w:p>
            <w:pPr>
              <w:pStyle w:val="TableParagraph"/>
              <w:spacing w:before="0"/>
              <w:ind w:right="429"/>
              <w:rPr>
                <w:sz w:val="14"/>
              </w:rPr>
            </w:pPr>
            <w:r>
              <w:rPr>
                <w:color w:val="231F20"/>
                <w:sz w:val="14"/>
              </w:rPr>
              <w:t>+</w:t>
            </w:r>
          </w:p>
        </w:tc>
      </w:tr>
      <w:tr>
        <w:trPr>
          <w:trHeight w:val="200" w:hRule="atLeast"/>
        </w:trPr>
        <w:tc>
          <w:tcPr>
            <w:tcW w:w="334" w:type="dxa"/>
          </w:tcPr>
          <w:p>
            <w:pPr>
              <w:pStyle w:val="TableParagraph"/>
              <w:ind w:left="36" w:right="139"/>
              <w:jc w:val="center"/>
              <w:rPr>
                <w:sz w:val="14"/>
              </w:rPr>
            </w:pPr>
            <w:r>
              <w:rPr>
                <w:color w:val="231F20"/>
                <w:sz w:val="14"/>
              </w:rPr>
              <w:t>2.</w:t>
            </w:r>
          </w:p>
        </w:tc>
        <w:tc>
          <w:tcPr>
            <w:tcW w:w="2835" w:type="dxa"/>
          </w:tcPr>
          <w:p>
            <w:pPr>
              <w:pStyle w:val="TableParagraph"/>
              <w:ind w:left="56"/>
              <w:jc w:val="left"/>
              <w:rPr>
                <w:sz w:val="14"/>
              </w:rPr>
            </w:pPr>
            <w:r>
              <w:rPr>
                <w:color w:val="231F20"/>
                <w:sz w:val="14"/>
              </w:rPr>
              <w:t>Изградња нове куће на постојећој парцели</w:t>
            </w:r>
          </w:p>
        </w:tc>
        <w:tc>
          <w:tcPr>
            <w:tcW w:w="977" w:type="dxa"/>
          </w:tcPr>
          <w:p>
            <w:pPr>
              <w:pStyle w:val="TableParagraph"/>
              <w:ind w:left="448"/>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200" w:hRule="atLeast"/>
        </w:trPr>
        <w:tc>
          <w:tcPr>
            <w:tcW w:w="334" w:type="dxa"/>
          </w:tcPr>
          <w:p>
            <w:pPr>
              <w:pStyle w:val="TableParagraph"/>
              <w:ind w:left="36" w:right="139"/>
              <w:jc w:val="center"/>
              <w:rPr>
                <w:sz w:val="14"/>
              </w:rPr>
            </w:pPr>
            <w:r>
              <w:rPr>
                <w:color w:val="231F20"/>
                <w:sz w:val="14"/>
              </w:rPr>
              <w:t>3.</w:t>
            </w:r>
          </w:p>
        </w:tc>
        <w:tc>
          <w:tcPr>
            <w:tcW w:w="2835" w:type="dxa"/>
          </w:tcPr>
          <w:p>
            <w:pPr>
              <w:pStyle w:val="TableParagraph"/>
              <w:ind w:left="56"/>
              <w:jc w:val="left"/>
              <w:rPr>
                <w:sz w:val="14"/>
              </w:rPr>
            </w:pPr>
            <w:r>
              <w:rPr>
                <w:color w:val="231F20"/>
                <w:sz w:val="14"/>
              </w:rPr>
              <w:t>Доградња старе куће</w:t>
            </w:r>
          </w:p>
        </w:tc>
        <w:tc>
          <w:tcPr>
            <w:tcW w:w="977" w:type="dxa"/>
          </w:tcPr>
          <w:p>
            <w:pPr>
              <w:pStyle w:val="TableParagraph"/>
              <w:ind w:left="448"/>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200" w:hRule="atLeast"/>
        </w:trPr>
        <w:tc>
          <w:tcPr>
            <w:tcW w:w="334" w:type="dxa"/>
          </w:tcPr>
          <w:p>
            <w:pPr>
              <w:pStyle w:val="TableParagraph"/>
              <w:ind w:left="36" w:right="139"/>
              <w:jc w:val="center"/>
              <w:rPr>
                <w:sz w:val="14"/>
              </w:rPr>
            </w:pPr>
            <w:r>
              <w:rPr>
                <w:color w:val="231F20"/>
                <w:sz w:val="14"/>
              </w:rPr>
              <w:t>4.</w:t>
            </w:r>
          </w:p>
        </w:tc>
        <w:tc>
          <w:tcPr>
            <w:tcW w:w="2835" w:type="dxa"/>
          </w:tcPr>
          <w:p>
            <w:pPr>
              <w:pStyle w:val="TableParagraph"/>
              <w:ind w:left="56"/>
              <w:jc w:val="left"/>
              <w:rPr>
                <w:sz w:val="14"/>
              </w:rPr>
            </w:pPr>
            <w:r>
              <w:rPr>
                <w:color w:val="231F20"/>
                <w:sz w:val="14"/>
              </w:rPr>
              <w:t>Адаптација старе куће</w:t>
            </w:r>
          </w:p>
        </w:tc>
        <w:tc>
          <w:tcPr>
            <w:tcW w:w="977" w:type="dxa"/>
          </w:tcPr>
          <w:p>
            <w:pPr>
              <w:pStyle w:val="TableParagraph"/>
              <w:ind w:left="448"/>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200" w:hRule="atLeast"/>
        </w:trPr>
        <w:tc>
          <w:tcPr>
            <w:tcW w:w="334" w:type="dxa"/>
          </w:tcPr>
          <w:p>
            <w:pPr>
              <w:pStyle w:val="TableParagraph"/>
              <w:ind w:left="36" w:right="138"/>
              <w:jc w:val="center"/>
              <w:rPr>
                <w:sz w:val="14"/>
              </w:rPr>
            </w:pPr>
            <w:r>
              <w:rPr>
                <w:color w:val="231F20"/>
                <w:sz w:val="14"/>
              </w:rPr>
              <w:t>5.</w:t>
            </w:r>
          </w:p>
        </w:tc>
        <w:tc>
          <w:tcPr>
            <w:tcW w:w="2835" w:type="dxa"/>
          </w:tcPr>
          <w:p>
            <w:pPr>
              <w:pStyle w:val="TableParagraph"/>
              <w:ind w:left="56"/>
              <w:jc w:val="left"/>
              <w:rPr>
                <w:sz w:val="14"/>
              </w:rPr>
            </w:pPr>
            <w:r>
              <w:rPr>
                <w:color w:val="231F20"/>
                <w:sz w:val="14"/>
              </w:rPr>
              <w:t>Изградња нових помоћних објеката</w:t>
            </w:r>
          </w:p>
        </w:tc>
        <w:tc>
          <w:tcPr>
            <w:tcW w:w="977" w:type="dxa"/>
          </w:tcPr>
          <w:p>
            <w:pPr>
              <w:pStyle w:val="TableParagraph"/>
              <w:ind w:left="448"/>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360" w:hRule="atLeast"/>
        </w:trPr>
        <w:tc>
          <w:tcPr>
            <w:tcW w:w="334" w:type="dxa"/>
          </w:tcPr>
          <w:p>
            <w:pPr>
              <w:pStyle w:val="TableParagraph"/>
              <w:spacing w:before="98"/>
              <w:ind w:left="36" w:right="138"/>
              <w:jc w:val="center"/>
              <w:rPr>
                <w:sz w:val="14"/>
              </w:rPr>
            </w:pPr>
            <w:r>
              <w:rPr>
                <w:color w:val="231F20"/>
                <w:sz w:val="14"/>
              </w:rPr>
              <w:t>6.</w:t>
            </w:r>
          </w:p>
        </w:tc>
        <w:tc>
          <w:tcPr>
            <w:tcW w:w="2835" w:type="dxa"/>
          </w:tcPr>
          <w:p>
            <w:pPr>
              <w:pStyle w:val="TableParagraph"/>
              <w:ind w:left="57" w:right="490"/>
              <w:jc w:val="left"/>
              <w:rPr>
                <w:sz w:val="14"/>
              </w:rPr>
            </w:pPr>
            <w:r>
              <w:rPr>
                <w:color w:val="231F20"/>
                <w:sz w:val="14"/>
              </w:rPr>
              <w:t>Доградња или адаптација просторних помоћних објеката</w:t>
            </w:r>
          </w:p>
        </w:tc>
        <w:tc>
          <w:tcPr>
            <w:tcW w:w="977" w:type="dxa"/>
          </w:tcPr>
          <w:p>
            <w:pPr>
              <w:pStyle w:val="TableParagraph"/>
              <w:spacing w:before="98"/>
              <w:ind w:left="448"/>
              <w:jc w:val="left"/>
              <w:rPr>
                <w:sz w:val="14"/>
              </w:rPr>
            </w:pPr>
            <w:r>
              <w:rPr>
                <w:color w:val="231F20"/>
                <w:sz w:val="14"/>
              </w:rPr>
              <w:t>+</w:t>
            </w:r>
          </w:p>
        </w:tc>
        <w:tc>
          <w:tcPr>
            <w:tcW w:w="959" w:type="dxa"/>
          </w:tcPr>
          <w:p>
            <w:pPr>
              <w:pStyle w:val="TableParagraph"/>
              <w:spacing w:before="98"/>
              <w:ind w:right="428"/>
              <w:rPr>
                <w:sz w:val="14"/>
              </w:rPr>
            </w:pPr>
            <w:r>
              <w:rPr>
                <w:color w:val="231F20"/>
                <w:sz w:val="14"/>
              </w:rPr>
              <w:t>+</w:t>
            </w:r>
          </w:p>
        </w:tc>
      </w:tr>
      <w:tr>
        <w:trPr>
          <w:trHeight w:val="200" w:hRule="atLeast"/>
        </w:trPr>
        <w:tc>
          <w:tcPr>
            <w:tcW w:w="334" w:type="dxa"/>
          </w:tcPr>
          <w:p>
            <w:pPr>
              <w:pStyle w:val="TableParagraph"/>
              <w:ind w:left="36" w:right="138"/>
              <w:jc w:val="center"/>
              <w:rPr>
                <w:sz w:val="14"/>
              </w:rPr>
            </w:pPr>
            <w:r>
              <w:rPr>
                <w:color w:val="231F20"/>
                <w:sz w:val="14"/>
              </w:rPr>
              <w:t>7.</w:t>
            </w:r>
          </w:p>
        </w:tc>
        <w:tc>
          <w:tcPr>
            <w:tcW w:w="2835" w:type="dxa"/>
          </w:tcPr>
          <w:p>
            <w:pPr>
              <w:pStyle w:val="TableParagraph"/>
              <w:ind w:left="57"/>
              <w:jc w:val="left"/>
              <w:rPr>
                <w:sz w:val="14"/>
              </w:rPr>
            </w:pPr>
            <w:r>
              <w:rPr>
                <w:color w:val="231F20"/>
                <w:sz w:val="14"/>
              </w:rPr>
              <w:t>Изградња нове ограде, капије</w:t>
            </w:r>
          </w:p>
        </w:tc>
        <w:tc>
          <w:tcPr>
            <w:tcW w:w="977" w:type="dxa"/>
          </w:tcPr>
          <w:p>
            <w:pPr>
              <w:pStyle w:val="TableParagraph"/>
              <w:ind w:left="449"/>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200" w:hRule="atLeast"/>
        </w:trPr>
        <w:tc>
          <w:tcPr>
            <w:tcW w:w="334" w:type="dxa"/>
          </w:tcPr>
          <w:p>
            <w:pPr>
              <w:pStyle w:val="TableParagraph"/>
              <w:ind w:left="36" w:right="137"/>
              <w:jc w:val="center"/>
              <w:rPr>
                <w:sz w:val="14"/>
              </w:rPr>
            </w:pPr>
            <w:r>
              <w:rPr>
                <w:color w:val="231F20"/>
                <w:sz w:val="14"/>
              </w:rPr>
              <w:t>8.</w:t>
            </w:r>
          </w:p>
        </w:tc>
        <w:tc>
          <w:tcPr>
            <w:tcW w:w="2835" w:type="dxa"/>
          </w:tcPr>
          <w:p>
            <w:pPr>
              <w:pStyle w:val="TableParagraph"/>
              <w:ind w:left="57"/>
              <w:jc w:val="left"/>
              <w:rPr>
                <w:sz w:val="14"/>
              </w:rPr>
            </w:pPr>
            <w:r>
              <w:rPr>
                <w:color w:val="231F20"/>
                <w:sz w:val="14"/>
              </w:rPr>
              <w:t>Реконструкција постојеће ограде</w:t>
            </w:r>
          </w:p>
        </w:tc>
        <w:tc>
          <w:tcPr>
            <w:tcW w:w="977" w:type="dxa"/>
          </w:tcPr>
          <w:p>
            <w:pPr>
              <w:pStyle w:val="TableParagraph"/>
              <w:ind w:left="449"/>
              <w:jc w:val="left"/>
              <w:rPr>
                <w:sz w:val="14"/>
              </w:rPr>
            </w:pPr>
            <w:r>
              <w:rPr>
                <w:color w:val="231F20"/>
                <w:sz w:val="14"/>
              </w:rPr>
              <w:t>+</w:t>
            </w:r>
          </w:p>
        </w:tc>
        <w:tc>
          <w:tcPr>
            <w:tcW w:w="959" w:type="dxa"/>
          </w:tcPr>
          <w:p>
            <w:pPr>
              <w:pStyle w:val="TableParagraph"/>
              <w:ind w:right="428"/>
              <w:rPr>
                <w:sz w:val="14"/>
              </w:rPr>
            </w:pPr>
            <w:r>
              <w:rPr>
                <w:color w:val="231F20"/>
                <w:sz w:val="14"/>
              </w:rPr>
              <w:t>+</w:t>
            </w:r>
          </w:p>
        </w:tc>
      </w:tr>
      <w:tr>
        <w:trPr>
          <w:trHeight w:val="360" w:hRule="atLeast"/>
        </w:trPr>
        <w:tc>
          <w:tcPr>
            <w:tcW w:w="334" w:type="dxa"/>
          </w:tcPr>
          <w:p>
            <w:pPr>
              <w:pStyle w:val="TableParagraph"/>
              <w:spacing w:before="98"/>
              <w:ind w:left="36" w:right="137"/>
              <w:jc w:val="center"/>
              <w:rPr>
                <w:sz w:val="14"/>
              </w:rPr>
            </w:pPr>
            <w:r>
              <w:rPr>
                <w:color w:val="231F20"/>
                <w:sz w:val="14"/>
              </w:rPr>
              <w:t>9.</w:t>
            </w:r>
          </w:p>
        </w:tc>
        <w:tc>
          <w:tcPr>
            <w:tcW w:w="2835" w:type="dxa"/>
          </w:tcPr>
          <w:p>
            <w:pPr>
              <w:pStyle w:val="TableParagraph"/>
              <w:ind w:left="57"/>
              <w:jc w:val="left"/>
              <w:rPr>
                <w:sz w:val="14"/>
              </w:rPr>
            </w:pPr>
            <w:r>
              <w:rPr>
                <w:color w:val="231F20"/>
                <w:sz w:val="14"/>
              </w:rPr>
              <w:t>Изградња новог привредног објекта на постојећој парцели</w:t>
            </w:r>
          </w:p>
        </w:tc>
        <w:tc>
          <w:tcPr>
            <w:tcW w:w="977" w:type="dxa"/>
          </w:tcPr>
          <w:p>
            <w:pPr>
              <w:pStyle w:val="TableParagraph"/>
              <w:spacing w:before="98"/>
              <w:ind w:left="449"/>
              <w:jc w:val="left"/>
              <w:rPr>
                <w:sz w:val="14"/>
              </w:rPr>
            </w:pPr>
            <w:r>
              <w:rPr>
                <w:color w:val="231F20"/>
                <w:sz w:val="14"/>
              </w:rPr>
              <w:t>+</w:t>
            </w:r>
          </w:p>
        </w:tc>
        <w:tc>
          <w:tcPr>
            <w:tcW w:w="959" w:type="dxa"/>
          </w:tcPr>
          <w:p>
            <w:pPr>
              <w:pStyle w:val="TableParagraph"/>
              <w:spacing w:before="98"/>
              <w:ind w:right="427"/>
              <w:rPr>
                <w:sz w:val="14"/>
              </w:rPr>
            </w:pPr>
            <w:r>
              <w:rPr>
                <w:color w:val="231F20"/>
                <w:sz w:val="14"/>
              </w:rPr>
              <w:t>+</w:t>
            </w:r>
          </w:p>
        </w:tc>
      </w:tr>
      <w:tr>
        <w:trPr>
          <w:trHeight w:val="200" w:hRule="atLeast"/>
        </w:trPr>
        <w:tc>
          <w:tcPr>
            <w:tcW w:w="334" w:type="dxa"/>
          </w:tcPr>
          <w:p>
            <w:pPr>
              <w:pStyle w:val="TableParagraph"/>
              <w:ind w:left="36" w:right="67"/>
              <w:jc w:val="center"/>
              <w:rPr>
                <w:sz w:val="14"/>
              </w:rPr>
            </w:pPr>
            <w:r>
              <w:rPr>
                <w:color w:val="231F20"/>
                <w:sz w:val="14"/>
              </w:rPr>
              <w:t>10.</w:t>
            </w:r>
          </w:p>
        </w:tc>
        <w:tc>
          <w:tcPr>
            <w:tcW w:w="2835" w:type="dxa"/>
          </w:tcPr>
          <w:p>
            <w:pPr>
              <w:pStyle w:val="TableParagraph"/>
              <w:ind w:left="57"/>
              <w:jc w:val="left"/>
              <w:rPr>
                <w:sz w:val="14"/>
              </w:rPr>
            </w:pPr>
            <w:r>
              <w:rPr>
                <w:color w:val="231F20"/>
                <w:sz w:val="14"/>
              </w:rPr>
              <w:t>Адаптација постојећег привредног објекта</w:t>
            </w:r>
          </w:p>
        </w:tc>
        <w:tc>
          <w:tcPr>
            <w:tcW w:w="977" w:type="dxa"/>
          </w:tcPr>
          <w:p>
            <w:pPr>
              <w:pStyle w:val="TableParagraph"/>
              <w:ind w:left="449"/>
              <w:jc w:val="left"/>
              <w:rPr>
                <w:sz w:val="14"/>
              </w:rPr>
            </w:pPr>
            <w:r>
              <w:rPr>
                <w:color w:val="231F20"/>
                <w:sz w:val="14"/>
              </w:rPr>
              <w:t>+</w:t>
            </w:r>
          </w:p>
        </w:tc>
        <w:tc>
          <w:tcPr>
            <w:tcW w:w="959" w:type="dxa"/>
          </w:tcPr>
          <w:p>
            <w:pPr>
              <w:pStyle w:val="TableParagraph"/>
              <w:ind w:right="427"/>
              <w:rPr>
                <w:sz w:val="14"/>
              </w:rPr>
            </w:pPr>
            <w:r>
              <w:rPr>
                <w:color w:val="231F20"/>
                <w:sz w:val="14"/>
              </w:rPr>
              <w:t>+</w:t>
            </w:r>
          </w:p>
        </w:tc>
      </w:tr>
      <w:tr>
        <w:trPr>
          <w:trHeight w:val="200" w:hRule="atLeast"/>
        </w:trPr>
        <w:tc>
          <w:tcPr>
            <w:tcW w:w="334" w:type="dxa"/>
          </w:tcPr>
          <w:p>
            <w:pPr>
              <w:pStyle w:val="TableParagraph"/>
              <w:ind w:left="33" w:right="69"/>
              <w:jc w:val="center"/>
              <w:rPr>
                <w:sz w:val="14"/>
              </w:rPr>
            </w:pPr>
            <w:r>
              <w:rPr>
                <w:color w:val="231F20"/>
                <w:sz w:val="14"/>
              </w:rPr>
              <w:t>11.</w:t>
            </w:r>
          </w:p>
        </w:tc>
        <w:tc>
          <w:tcPr>
            <w:tcW w:w="2835" w:type="dxa"/>
          </w:tcPr>
          <w:p>
            <w:pPr>
              <w:pStyle w:val="TableParagraph"/>
              <w:ind w:left="57"/>
              <w:jc w:val="left"/>
              <w:rPr>
                <w:sz w:val="14"/>
              </w:rPr>
            </w:pPr>
            <w:r>
              <w:rPr>
                <w:color w:val="231F20"/>
                <w:sz w:val="14"/>
              </w:rPr>
              <w:t>Извођење нових инсталација у кући</w:t>
            </w:r>
          </w:p>
        </w:tc>
        <w:tc>
          <w:tcPr>
            <w:tcW w:w="977" w:type="dxa"/>
          </w:tcPr>
          <w:p>
            <w:pPr>
              <w:pStyle w:val="TableParagraph"/>
              <w:ind w:left="449"/>
              <w:jc w:val="left"/>
              <w:rPr>
                <w:sz w:val="14"/>
              </w:rPr>
            </w:pPr>
            <w:r>
              <w:rPr>
                <w:color w:val="231F20"/>
                <w:sz w:val="14"/>
              </w:rPr>
              <w:t>+</w:t>
            </w:r>
          </w:p>
        </w:tc>
        <w:tc>
          <w:tcPr>
            <w:tcW w:w="959" w:type="dxa"/>
          </w:tcPr>
          <w:p>
            <w:pPr>
              <w:pStyle w:val="TableParagraph"/>
              <w:ind w:right="427"/>
              <w:rPr>
                <w:sz w:val="14"/>
              </w:rPr>
            </w:pPr>
            <w:r>
              <w:rPr>
                <w:color w:val="231F20"/>
                <w:sz w:val="14"/>
              </w:rPr>
              <w:t>+</w:t>
            </w:r>
          </w:p>
        </w:tc>
      </w:tr>
      <w:tr>
        <w:trPr>
          <w:trHeight w:val="360" w:hRule="atLeast"/>
        </w:trPr>
        <w:tc>
          <w:tcPr>
            <w:tcW w:w="334" w:type="dxa"/>
          </w:tcPr>
          <w:p>
            <w:pPr>
              <w:pStyle w:val="TableParagraph"/>
              <w:spacing w:before="98"/>
              <w:ind w:left="36" w:right="66"/>
              <w:jc w:val="center"/>
              <w:rPr>
                <w:sz w:val="14"/>
              </w:rPr>
            </w:pPr>
            <w:r>
              <w:rPr>
                <w:color w:val="231F20"/>
                <w:sz w:val="14"/>
              </w:rPr>
              <w:t>12.</w:t>
            </w:r>
          </w:p>
        </w:tc>
        <w:tc>
          <w:tcPr>
            <w:tcW w:w="2835" w:type="dxa"/>
          </w:tcPr>
          <w:p>
            <w:pPr>
              <w:pStyle w:val="TableParagraph"/>
              <w:ind w:left="57" w:right="22"/>
              <w:jc w:val="left"/>
              <w:rPr>
                <w:sz w:val="14"/>
              </w:rPr>
            </w:pPr>
            <w:r>
              <w:rPr>
                <w:color w:val="231F20"/>
                <w:sz w:val="14"/>
              </w:rPr>
              <w:t>Реконструкција постојећих инсталација у кући</w:t>
            </w:r>
          </w:p>
        </w:tc>
        <w:tc>
          <w:tcPr>
            <w:tcW w:w="977" w:type="dxa"/>
          </w:tcPr>
          <w:p>
            <w:pPr>
              <w:pStyle w:val="TableParagraph"/>
              <w:spacing w:before="98"/>
              <w:ind w:left="449"/>
              <w:jc w:val="left"/>
              <w:rPr>
                <w:sz w:val="14"/>
              </w:rPr>
            </w:pPr>
            <w:r>
              <w:rPr>
                <w:color w:val="231F20"/>
                <w:sz w:val="14"/>
              </w:rPr>
              <w:t>+</w:t>
            </w:r>
          </w:p>
        </w:tc>
        <w:tc>
          <w:tcPr>
            <w:tcW w:w="959" w:type="dxa"/>
          </w:tcPr>
          <w:p>
            <w:pPr>
              <w:pStyle w:val="TableParagraph"/>
              <w:spacing w:before="98"/>
              <w:ind w:right="427"/>
              <w:rPr>
                <w:sz w:val="14"/>
              </w:rPr>
            </w:pPr>
            <w:r>
              <w:rPr>
                <w:color w:val="231F20"/>
                <w:sz w:val="14"/>
              </w:rPr>
              <w:t>+</w:t>
            </w:r>
          </w:p>
        </w:tc>
      </w:tr>
      <w:tr>
        <w:trPr>
          <w:trHeight w:val="360" w:hRule="atLeast"/>
        </w:trPr>
        <w:tc>
          <w:tcPr>
            <w:tcW w:w="334" w:type="dxa"/>
          </w:tcPr>
          <w:p>
            <w:pPr>
              <w:pStyle w:val="TableParagraph"/>
              <w:spacing w:before="98"/>
              <w:ind w:left="36" w:right="66"/>
              <w:jc w:val="center"/>
              <w:rPr>
                <w:sz w:val="14"/>
              </w:rPr>
            </w:pPr>
            <w:r>
              <w:rPr>
                <w:color w:val="231F20"/>
                <w:sz w:val="14"/>
              </w:rPr>
              <w:t>13.</w:t>
            </w:r>
          </w:p>
        </w:tc>
        <w:tc>
          <w:tcPr>
            <w:tcW w:w="2835" w:type="dxa"/>
          </w:tcPr>
          <w:p>
            <w:pPr>
              <w:pStyle w:val="TableParagraph"/>
              <w:ind w:left="58"/>
              <w:jc w:val="left"/>
              <w:rPr>
                <w:sz w:val="14"/>
              </w:rPr>
            </w:pPr>
            <w:r>
              <w:rPr>
                <w:color w:val="231F20"/>
                <w:sz w:val="14"/>
              </w:rPr>
              <w:t>Изградња сенгруба, копање бунара, уређење дворишта</w:t>
            </w:r>
          </w:p>
        </w:tc>
        <w:tc>
          <w:tcPr>
            <w:tcW w:w="977" w:type="dxa"/>
          </w:tcPr>
          <w:p>
            <w:pPr>
              <w:pStyle w:val="TableParagraph"/>
              <w:spacing w:before="98"/>
              <w:ind w:left="449"/>
              <w:jc w:val="left"/>
              <w:rPr>
                <w:sz w:val="14"/>
              </w:rPr>
            </w:pPr>
            <w:r>
              <w:rPr>
                <w:color w:val="231F20"/>
                <w:sz w:val="14"/>
              </w:rPr>
              <w:t>+</w:t>
            </w:r>
          </w:p>
        </w:tc>
        <w:tc>
          <w:tcPr>
            <w:tcW w:w="959" w:type="dxa"/>
          </w:tcPr>
          <w:p>
            <w:pPr>
              <w:pStyle w:val="TableParagraph"/>
              <w:spacing w:before="98"/>
              <w:ind w:right="427"/>
              <w:rPr>
                <w:sz w:val="14"/>
              </w:rPr>
            </w:pPr>
            <w:r>
              <w:rPr>
                <w:color w:val="231F20"/>
                <w:sz w:val="14"/>
              </w:rPr>
              <w:t>+</w:t>
            </w:r>
          </w:p>
        </w:tc>
      </w:tr>
      <w:tr>
        <w:trPr>
          <w:trHeight w:val="520" w:hRule="atLeast"/>
        </w:trPr>
        <w:tc>
          <w:tcPr>
            <w:tcW w:w="334" w:type="dxa"/>
          </w:tcPr>
          <w:p>
            <w:pPr>
              <w:pStyle w:val="TableParagraph"/>
              <w:spacing w:before="6"/>
              <w:jc w:val="left"/>
              <w:rPr>
                <w:sz w:val="15"/>
              </w:rPr>
            </w:pPr>
          </w:p>
          <w:p>
            <w:pPr>
              <w:pStyle w:val="TableParagraph"/>
              <w:spacing w:before="0"/>
              <w:ind w:left="36" w:right="66"/>
              <w:jc w:val="center"/>
              <w:rPr>
                <w:sz w:val="14"/>
              </w:rPr>
            </w:pPr>
            <w:r>
              <w:rPr>
                <w:color w:val="231F20"/>
                <w:sz w:val="14"/>
              </w:rPr>
              <w:t>14.</w:t>
            </w:r>
          </w:p>
        </w:tc>
        <w:tc>
          <w:tcPr>
            <w:tcW w:w="2835" w:type="dxa"/>
          </w:tcPr>
          <w:p>
            <w:pPr>
              <w:pStyle w:val="TableParagraph"/>
              <w:ind w:left="58"/>
              <w:jc w:val="left"/>
              <w:rPr>
                <w:sz w:val="14"/>
              </w:rPr>
            </w:pPr>
            <w:r>
              <w:rPr>
                <w:color w:val="231F20"/>
                <w:sz w:val="14"/>
              </w:rPr>
              <w:t>Изградња пољопривредних и комуналних објеката ван грађевинског подручја насеља према правилима грађења из Плана</w:t>
            </w:r>
          </w:p>
        </w:tc>
        <w:tc>
          <w:tcPr>
            <w:tcW w:w="977" w:type="dxa"/>
          </w:tcPr>
          <w:p>
            <w:pPr>
              <w:pStyle w:val="TableParagraph"/>
              <w:spacing w:before="6"/>
              <w:jc w:val="left"/>
              <w:rPr>
                <w:sz w:val="15"/>
              </w:rPr>
            </w:pPr>
          </w:p>
          <w:p>
            <w:pPr>
              <w:pStyle w:val="TableParagraph"/>
              <w:spacing w:before="0"/>
              <w:ind w:left="450"/>
              <w:jc w:val="left"/>
              <w:rPr>
                <w:sz w:val="14"/>
              </w:rPr>
            </w:pPr>
            <w:r>
              <w:rPr>
                <w:color w:val="231F20"/>
                <w:sz w:val="14"/>
              </w:rPr>
              <w:t>+</w:t>
            </w:r>
          </w:p>
        </w:tc>
        <w:tc>
          <w:tcPr>
            <w:tcW w:w="959" w:type="dxa"/>
          </w:tcPr>
          <w:p>
            <w:pPr>
              <w:pStyle w:val="TableParagraph"/>
              <w:spacing w:before="6"/>
              <w:jc w:val="left"/>
              <w:rPr>
                <w:sz w:val="15"/>
              </w:rPr>
            </w:pPr>
          </w:p>
          <w:p>
            <w:pPr>
              <w:pStyle w:val="TableParagraph"/>
              <w:spacing w:before="0"/>
              <w:ind w:right="427"/>
              <w:rPr>
                <w:sz w:val="14"/>
              </w:rPr>
            </w:pPr>
            <w:r>
              <w:rPr>
                <w:color w:val="231F20"/>
                <w:sz w:val="14"/>
              </w:rPr>
              <w:t>+</w:t>
            </w:r>
          </w:p>
        </w:tc>
      </w:tr>
    </w:tbl>
    <w:p>
      <w:pPr>
        <w:spacing w:before="39"/>
        <w:ind w:left="455" w:right="0" w:firstLine="0"/>
        <w:jc w:val="left"/>
        <w:rPr>
          <w:sz w:val="14"/>
        </w:rPr>
      </w:pPr>
      <w:r>
        <w:rPr>
          <w:color w:val="231F20"/>
          <w:sz w:val="14"/>
        </w:rPr>
        <w:t>„-” није дозвољено „+” дозвољено</w:t>
      </w:r>
    </w:p>
    <w:p>
      <w:pPr>
        <w:pStyle w:val="BodyText"/>
        <w:spacing w:before="9"/>
        <w:ind w:left="0"/>
        <w:jc w:val="left"/>
      </w:pPr>
    </w:p>
    <w:p>
      <w:pPr>
        <w:pStyle w:val="BodyText"/>
        <w:spacing w:before="1"/>
        <w:ind w:left="1208" w:hanging="755"/>
        <w:jc w:val="left"/>
      </w:pPr>
      <w:r>
        <w:rPr>
          <w:color w:val="231F20"/>
        </w:rPr>
        <w:t>Табела 4: Услови изградње и реконструкције инфраструктурних система и објеката јавних служби у насељима</w:t>
      </w:r>
    </w:p>
    <w:p>
      <w:pPr>
        <w:pStyle w:val="BodyText"/>
        <w:spacing w:before="4"/>
        <w:ind w:left="0"/>
        <w:jc w:val="left"/>
        <w:rPr>
          <w:sz w:val="4"/>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4"/>
        <w:gridCol w:w="2835"/>
        <w:gridCol w:w="978"/>
        <w:gridCol w:w="946"/>
      </w:tblGrid>
      <w:tr>
        <w:trPr>
          <w:trHeight w:val="200" w:hRule="atLeast"/>
        </w:trPr>
        <w:tc>
          <w:tcPr>
            <w:tcW w:w="334" w:type="dxa"/>
            <w:vMerge w:val="restart"/>
          </w:tcPr>
          <w:p>
            <w:pPr>
              <w:pStyle w:val="TableParagraph"/>
              <w:spacing w:before="7"/>
              <w:jc w:val="left"/>
              <w:rPr>
                <w:sz w:val="17"/>
              </w:rPr>
            </w:pPr>
          </w:p>
          <w:p>
            <w:pPr>
              <w:pStyle w:val="TableParagraph"/>
              <w:spacing w:before="1"/>
              <w:ind w:left="61"/>
              <w:jc w:val="left"/>
              <w:rPr>
                <w:sz w:val="14"/>
              </w:rPr>
            </w:pPr>
            <w:r>
              <w:rPr>
                <w:color w:val="231F20"/>
                <w:sz w:val="14"/>
              </w:rPr>
              <w:t>Р.Б.</w:t>
            </w:r>
          </w:p>
        </w:tc>
        <w:tc>
          <w:tcPr>
            <w:tcW w:w="2835" w:type="dxa"/>
            <w:vMerge w:val="restart"/>
          </w:tcPr>
          <w:p>
            <w:pPr>
              <w:pStyle w:val="TableParagraph"/>
              <w:spacing w:before="7"/>
              <w:jc w:val="left"/>
              <w:rPr>
                <w:sz w:val="17"/>
              </w:rPr>
            </w:pPr>
          </w:p>
          <w:p>
            <w:pPr>
              <w:pStyle w:val="TableParagraph"/>
              <w:spacing w:before="1"/>
              <w:ind w:left="601"/>
              <w:jc w:val="left"/>
              <w:rPr>
                <w:sz w:val="14"/>
              </w:rPr>
            </w:pPr>
            <w:r>
              <w:rPr>
                <w:color w:val="231F20"/>
                <w:sz w:val="14"/>
              </w:rPr>
              <w:t>Врста грађевинских радова</w:t>
            </w:r>
          </w:p>
        </w:tc>
        <w:tc>
          <w:tcPr>
            <w:tcW w:w="1924" w:type="dxa"/>
            <w:gridSpan w:val="2"/>
          </w:tcPr>
          <w:p>
            <w:pPr>
              <w:pStyle w:val="TableParagraph"/>
              <w:ind w:left="60"/>
              <w:jc w:val="left"/>
              <w:rPr>
                <w:sz w:val="14"/>
              </w:rPr>
            </w:pPr>
            <w:r>
              <w:rPr>
                <w:color w:val="231F20"/>
                <w:sz w:val="14"/>
              </w:rPr>
              <w:t>Предвиђено време пресељења</w:t>
            </w:r>
          </w:p>
        </w:tc>
      </w:tr>
      <w:tr>
        <w:trPr>
          <w:trHeight w:val="360" w:hRule="atLeast"/>
        </w:trPr>
        <w:tc>
          <w:tcPr>
            <w:tcW w:w="334" w:type="dxa"/>
            <w:vMerge/>
            <w:tcBorders>
              <w:top w:val="nil"/>
            </w:tcBorders>
          </w:tcPr>
          <w:p>
            <w:pPr>
              <w:rPr>
                <w:sz w:val="2"/>
                <w:szCs w:val="2"/>
              </w:rPr>
            </w:pPr>
          </w:p>
        </w:tc>
        <w:tc>
          <w:tcPr>
            <w:tcW w:w="2835" w:type="dxa"/>
            <w:vMerge/>
            <w:tcBorders>
              <w:top w:val="nil"/>
            </w:tcBorders>
          </w:tcPr>
          <w:p>
            <w:pPr>
              <w:rPr>
                <w:sz w:val="2"/>
                <w:szCs w:val="2"/>
              </w:rPr>
            </w:pPr>
          </w:p>
        </w:tc>
        <w:tc>
          <w:tcPr>
            <w:tcW w:w="978" w:type="dxa"/>
          </w:tcPr>
          <w:p>
            <w:pPr>
              <w:pStyle w:val="TableParagraph"/>
              <w:ind w:left="111" w:firstLine="139"/>
              <w:jc w:val="left"/>
              <w:rPr>
                <w:sz w:val="14"/>
              </w:rPr>
            </w:pPr>
            <w:r>
              <w:rPr>
                <w:color w:val="231F20"/>
                <w:sz w:val="14"/>
              </w:rPr>
              <w:t>а. после 2020. године</w:t>
            </w:r>
          </w:p>
        </w:tc>
        <w:tc>
          <w:tcPr>
            <w:tcW w:w="946" w:type="dxa"/>
          </w:tcPr>
          <w:p>
            <w:pPr>
              <w:pStyle w:val="TableParagraph"/>
              <w:ind w:left="341" w:right="113" w:hanging="203"/>
              <w:jc w:val="left"/>
              <w:rPr>
                <w:sz w:val="14"/>
              </w:rPr>
            </w:pPr>
            <w:r>
              <w:rPr>
                <w:color w:val="231F20"/>
                <w:sz w:val="14"/>
              </w:rPr>
              <w:t>б. не зна се када</w:t>
            </w:r>
          </w:p>
        </w:tc>
      </w:tr>
      <w:tr>
        <w:trPr>
          <w:trHeight w:val="360" w:hRule="atLeast"/>
        </w:trPr>
        <w:tc>
          <w:tcPr>
            <w:tcW w:w="334" w:type="dxa"/>
          </w:tcPr>
          <w:p>
            <w:pPr>
              <w:pStyle w:val="TableParagraph"/>
              <w:spacing w:before="98"/>
              <w:ind w:left="56"/>
              <w:jc w:val="left"/>
              <w:rPr>
                <w:sz w:val="14"/>
              </w:rPr>
            </w:pPr>
            <w:r>
              <w:rPr>
                <w:color w:val="231F20"/>
                <w:sz w:val="14"/>
              </w:rPr>
              <w:t>1.</w:t>
            </w:r>
          </w:p>
        </w:tc>
        <w:tc>
          <w:tcPr>
            <w:tcW w:w="2835" w:type="dxa"/>
          </w:tcPr>
          <w:p>
            <w:pPr>
              <w:pStyle w:val="TableParagraph"/>
              <w:ind w:left="56"/>
              <w:jc w:val="left"/>
              <w:rPr>
                <w:sz w:val="14"/>
              </w:rPr>
            </w:pPr>
            <w:r>
              <w:rPr>
                <w:color w:val="231F20"/>
                <w:sz w:val="14"/>
              </w:rPr>
              <w:t>Одржавање функције постојећих инфра- структурних објеката и мрежа у насељу</w:t>
            </w:r>
          </w:p>
        </w:tc>
        <w:tc>
          <w:tcPr>
            <w:tcW w:w="978" w:type="dxa"/>
          </w:tcPr>
          <w:p>
            <w:pPr>
              <w:pStyle w:val="TableParagraph"/>
              <w:spacing w:before="98"/>
              <w:ind w:left="448"/>
              <w:jc w:val="left"/>
              <w:rPr>
                <w:sz w:val="14"/>
              </w:rPr>
            </w:pPr>
            <w:r>
              <w:rPr>
                <w:color w:val="231F20"/>
                <w:sz w:val="14"/>
              </w:rPr>
              <w:t>+</w:t>
            </w:r>
          </w:p>
        </w:tc>
        <w:tc>
          <w:tcPr>
            <w:tcW w:w="946" w:type="dxa"/>
          </w:tcPr>
          <w:p>
            <w:pPr>
              <w:pStyle w:val="TableParagraph"/>
              <w:spacing w:before="98"/>
              <w:ind w:left="432"/>
              <w:jc w:val="left"/>
              <w:rPr>
                <w:sz w:val="14"/>
              </w:rPr>
            </w:pPr>
            <w:r>
              <w:rPr>
                <w:color w:val="231F20"/>
                <w:sz w:val="14"/>
              </w:rPr>
              <w:t>+</w:t>
            </w:r>
          </w:p>
        </w:tc>
      </w:tr>
      <w:tr>
        <w:trPr>
          <w:trHeight w:val="200" w:hRule="atLeast"/>
        </w:trPr>
        <w:tc>
          <w:tcPr>
            <w:tcW w:w="334" w:type="dxa"/>
          </w:tcPr>
          <w:p>
            <w:pPr>
              <w:pStyle w:val="TableParagraph"/>
              <w:ind w:left="56"/>
              <w:jc w:val="left"/>
              <w:rPr>
                <w:sz w:val="14"/>
              </w:rPr>
            </w:pPr>
            <w:r>
              <w:rPr>
                <w:color w:val="231F20"/>
                <w:sz w:val="14"/>
              </w:rPr>
              <w:t>2.</w:t>
            </w:r>
          </w:p>
        </w:tc>
        <w:tc>
          <w:tcPr>
            <w:tcW w:w="2835" w:type="dxa"/>
          </w:tcPr>
          <w:p>
            <w:pPr>
              <w:pStyle w:val="TableParagraph"/>
              <w:ind w:left="56"/>
              <w:jc w:val="left"/>
              <w:rPr>
                <w:sz w:val="14"/>
              </w:rPr>
            </w:pPr>
            <w:r>
              <w:rPr>
                <w:color w:val="231F20"/>
                <w:sz w:val="14"/>
              </w:rPr>
              <w:t>Изградња нове канализације</w:t>
            </w:r>
          </w:p>
        </w:tc>
        <w:tc>
          <w:tcPr>
            <w:tcW w:w="978" w:type="dxa"/>
          </w:tcPr>
          <w:p>
            <w:pPr>
              <w:pStyle w:val="TableParagraph"/>
              <w:ind w:left="448"/>
              <w:jc w:val="left"/>
              <w:rPr>
                <w:sz w:val="14"/>
              </w:rPr>
            </w:pPr>
            <w:r>
              <w:rPr>
                <w:color w:val="231F20"/>
                <w:sz w:val="14"/>
              </w:rPr>
              <w:t>+</w:t>
            </w:r>
          </w:p>
        </w:tc>
        <w:tc>
          <w:tcPr>
            <w:tcW w:w="946" w:type="dxa"/>
          </w:tcPr>
          <w:p>
            <w:pPr>
              <w:pStyle w:val="TableParagraph"/>
              <w:ind w:left="432"/>
              <w:jc w:val="left"/>
              <w:rPr>
                <w:sz w:val="14"/>
              </w:rPr>
            </w:pPr>
            <w:r>
              <w:rPr>
                <w:color w:val="231F20"/>
                <w:sz w:val="14"/>
              </w:rPr>
              <w:t>+</w:t>
            </w:r>
          </w:p>
        </w:tc>
      </w:tr>
      <w:tr>
        <w:trPr>
          <w:trHeight w:val="200" w:hRule="atLeast"/>
        </w:trPr>
        <w:tc>
          <w:tcPr>
            <w:tcW w:w="334" w:type="dxa"/>
          </w:tcPr>
          <w:p>
            <w:pPr>
              <w:pStyle w:val="TableParagraph"/>
              <w:ind w:left="56"/>
              <w:jc w:val="left"/>
              <w:rPr>
                <w:sz w:val="14"/>
              </w:rPr>
            </w:pPr>
            <w:r>
              <w:rPr>
                <w:color w:val="231F20"/>
                <w:sz w:val="14"/>
              </w:rPr>
              <w:t>3.</w:t>
            </w:r>
          </w:p>
        </w:tc>
        <w:tc>
          <w:tcPr>
            <w:tcW w:w="2835" w:type="dxa"/>
          </w:tcPr>
          <w:p>
            <w:pPr>
              <w:pStyle w:val="TableParagraph"/>
              <w:ind w:left="56"/>
              <w:jc w:val="left"/>
              <w:rPr>
                <w:sz w:val="14"/>
              </w:rPr>
            </w:pPr>
            <w:r>
              <w:rPr>
                <w:color w:val="231F20"/>
                <w:sz w:val="14"/>
              </w:rPr>
              <w:t>Реконструкција постојеће канализације</w:t>
            </w:r>
          </w:p>
        </w:tc>
        <w:tc>
          <w:tcPr>
            <w:tcW w:w="978" w:type="dxa"/>
          </w:tcPr>
          <w:p>
            <w:pPr>
              <w:pStyle w:val="TableParagraph"/>
              <w:ind w:left="448"/>
              <w:jc w:val="left"/>
              <w:rPr>
                <w:sz w:val="14"/>
              </w:rPr>
            </w:pPr>
            <w:r>
              <w:rPr>
                <w:color w:val="231F20"/>
                <w:sz w:val="14"/>
              </w:rPr>
              <w:t>+</w:t>
            </w:r>
          </w:p>
        </w:tc>
        <w:tc>
          <w:tcPr>
            <w:tcW w:w="946" w:type="dxa"/>
          </w:tcPr>
          <w:p>
            <w:pPr>
              <w:pStyle w:val="TableParagraph"/>
              <w:ind w:left="432"/>
              <w:jc w:val="left"/>
              <w:rPr>
                <w:sz w:val="14"/>
              </w:rPr>
            </w:pPr>
            <w:r>
              <w:rPr>
                <w:color w:val="231F20"/>
                <w:sz w:val="14"/>
              </w:rPr>
              <w:t>+</w:t>
            </w:r>
          </w:p>
        </w:tc>
      </w:tr>
      <w:tr>
        <w:trPr>
          <w:trHeight w:val="200" w:hRule="atLeast"/>
        </w:trPr>
        <w:tc>
          <w:tcPr>
            <w:tcW w:w="334" w:type="dxa"/>
          </w:tcPr>
          <w:p>
            <w:pPr>
              <w:pStyle w:val="TableParagraph"/>
              <w:ind w:left="56"/>
              <w:jc w:val="left"/>
              <w:rPr>
                <w:sz w:val="14"/>
              </w:rPr>
            </w:pPr>
            <w:r>
              <w:rPr>
                <w:color w:val="231F20"/>
                <w:sz w:val="14"/>
              </w:rPr>
              <w:t>4.</w:t>
            </w:r>
          </w:p>
        </w:tc>
        <w:tc>
          <w:tcPr>
            <w:tcW w:w="2835" w:type="dxa"/>
          </w:tcPr>
          <w:p>
            <w:pPr>
              <w:pStyle w:val="TableParagraph"/>
              <w:ind w:left="56"/>
              <w:jc w:val="left"/>
              <w:rPr>
                <w:sz w:val="14"/>
              </w:rPr>
            </w:pPr>
            <w:r>
              <w:rPr>
                <w:color w:val="231F20"/>
                <w:sz w:val="14"/>
              </w:rPr>
              <w:t>Изградња новог водовода</w:t>
            </w:r>
          </w:p>
        </w:tc>
        <w:tc>
          <w:tcPr>
            <w:tcW w:w="978" w:type="dxa"/>
          </w:tcPr>
          <w:p>
            <w:pPr>
              <w:pStyle w:val="TableParagraph"/>
              <w:ind w:left="448"/>
              <w:jc w:val="left"/>
              <w:rPr>
                <w:sz w:val="14"/>
              </w:rPr>
            </w:pPr>
            <w:r>
              <w:rPr>
                <w:color w:val="231F20"/>
                <w:sz w:val="14"/>
              </w:rPr>
              <w:t>+</w:t>
            </w:r>
          </w:p>
        </w:tc>
        <w:tc>
          <w:tcPr>
            <w:tcW w:w="946" w:type="dxa"/>
          </w:tcPr>
          <w:p>
            <w:pPr>
              <w:pStyle w:val="TableParagraph"/>
              <w:ind w:left="432"/>
              <w:jc w:val="left"/>
              <w:rPr>
                <w:sz w:val="14"/>
              </w:rPr>
            </w:pPr>
            <w:r>
              <w:rPr>
                <w:color w:val="231F20"/>
                <w:sz w:val="14"/>
              </w:rPr>
              <w:t>+</w:t>
            </w:r>
          </w:p>
        </w:tc>
      </w:tr>
      <w:tr>
        <w:trPr>
          <w:trHeight w:val="200" w:hRule="atLeast"/>
        </w:trPr>
        <w:tc>
          <w:tcPr>
            <w:tcW w:w="334" w:type="dxa"/>
          </w:tcPr>
          <w:p>
            <w:pPr>
              <w:pStyle w:val="TableParagraph"/>
              <w:ind w:left="56"/>
              <w:jc w:val="left"/>
              <w:rPr>
                <w:sz w:val="14"/>
              </w:rPr>
            </w:pPr>
            <w:r>
              <w:rPr>
                <w:color w:val="231F20"/>
                <w:sz w:val="14"/>
              </w:rPr>
              <w:t>5.</w:t>
            </w:r>
          </w:p>
        </w:tc>
        <w:tc>
          <w:tcPr>
            <w:tcW w:w="2835" w:type="dxa"/>
          </w:tcPr>
          <w:p>
            <w:pPr>
              <w:pStyle w:val="TableParagraph"/>
              <w:ind w:left="56"/>
              <w:jc w:val="left"/>
              <w:rPr>
                <w:sz w:val="14"/>
              </w:rPr>
            </w:pPr>
            <w:r>
              <w:rPr>
                <w:color w:val="231F20"/>
                <w:sz w:val="14"/>
              </w:rPr>
              <w:t>Реконструкција постојећег водовода</w:t>
            </w:r>
          </w:p>
        </w:tc>
        <w:tc>
          <w:tcPr>
            <w:tcW w:w="978" w:type="dxa"/>
          </w:tcPr>
          <w:p>
            <w:pPr>
              <w:pStyle w:val="TableParagraph"/>
              <w:ind w:left="448"/>
              <w:jc w:val="left"/>
              <w:rPr>
                <w:sz w:val="14"/>
              </w:rPr>
            </w:pPr>
            <w:r>
              <w:rPr>
                <w:color w:val="231F20"/>
                <w:sz w:val="14"/>
              </w:rPr>
              <w:t>+</w:t>
            </w:r>
          </w:p>
        </w:tc>
        <w:tc>
          <w:tcPr>
            <w:tcW w:w="946" w:type="dxa"/>
          </w:tcPr>
          <w:p>
            <w:pPr>
              <w:pStyle w:val="TableParagraph"/>
              <w:ind w:left="432"/>
              <w:jc w:val="left"/>
              <w:rPr>
                <w:sz w:val="14"/>
              </w:rPr>
            </w:pPr>
            <w:r>
              <w:rPr>
                <w:color w:val="231F20"/>
                <w:sz w:val="14"/>
              </w:rPr>
              <w:t>+</w:t>
            </w:r>
          </w:p>
        </w:tc>
      </w:tr>
      <w:tr>
        <w:trPr>
          <w:trHeight w:val="360" w:hRule="atLeast"/>
        </w:trPr>
        <w:tc>
          <w:tcPr>
            <w:tcW w:w="334" w:type="dxa"/>
          </w:tcPr>
          <w:p>
            <w:pPr>
              <w:pStyle w:val="TableParagraph"/>
              <w:spacing w:before="98"/>
              <w:ind w:left="56"/>
              <w:jc w:val="left"/>
              <w:rPr>
                <w:sz w:val="14"/>
              </w:rPr>
            </w:pPr>
            <w:r>
              <w:rPr>
                <w:color w:val="231F20"/>
                <w:sz w:val="14"/>
              </w:rPr>
              <w:t>6.</w:t>
            </w:r>
          </w:p>
        </w:tc>
        <w:tc>
          <w:tcPr>
            <w:tcW w:w="2835" w:type="dxa"/>
          </w:tcPr>
          <w:p>
            <w:pPr>
              <w:pStyle w:val="TableParagraph"/>
              <w:ind w:left="56"/>
              <w:jc w:val="left"/>
              <w:rPr>
                <w:sz w:val="14"/>
              </w:rPr>
            </w:pPr>
            <w:r>
              <w:rPr>
                <w:color w:val="231F20"/>
                <w:sz w:val="14"/>
              </w:rPr>
              <w:t>Изградња новог енергетског и телекомуникационог система</w:t>
            </w:r>
          </w:p>
        </w:tc>
        <w:tc>
          <w:tcPr>
            <w:tcW w:w="978" w:type="dxa"/>
          </w:tcPr>
          <w:p>
            <w:pPr>
              <w:pStyle w:val="TableParagraph"/>
              <w:spacing w:before="98"/>
              <w:ind w:left="448"/>
              <w:jc w:val="left"/>
              <w:rPr>
                <w:sz w:val="14"/>
              </w:rPr>
            </w:pPr>
            <w:r>
              <w:rPr>
                <w:color w:val="231F20"/>
                <w:sz w:val="14"/>
              </w:rPr>
              <w:t>+</w:t>
            </w:r>
          </w:p>
        </w:tc>
        <w:tc>
          <w:tcPr>
            <w:tcW w:w="946" w:type="dxa"/>
          </w:tcPr>
          <w:p>
            <w:pPr>
              <w:pStyle w:val="TableParagraph"/>
              <w:spacing w:before="98"/>
              <w:ind w:left="432"/>
              <w:jc w:val="left"/>
              <w:rPr>
                <w:sz w:val="14"/>
              </w:rPr>
            </w:pPr>
            <w:r>
              <w:rPr>
                <w:color w:val="231F20"/>
                <w:sz w:val="14"/>
              </w:rPr>
              <w:t>+</w:t>
            </w:r>
          </w:p>
        </w:tc>
      </w:tr>
    </w:tbl>
    <w:p>
      <w:pPr>
        <w:pStyle w:val="BodyText"/>
        <w:spacing w:before="7"/>
        <w:ind w:left="0"/>
        <w:jc w:val="left"/>
        <w:rPr>
          <w:sz w:val="9"/>
        </w:rPr>
      </w:pPr>
      <w:r>
        <w:rPr/>
        <w:br w:type="column"/>
      </w:r>
      <w:r>
        <w:rPr>
          <w:sz w:val="9"/>
        </w:rPr>
      </w: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34"/>
        <w:gridCol w:w="2835"/>
        <w:gridCol w:w="978"/>
        <w:gridCol w:w="946"/>
      </w:tblGrid>
      <w:tr>
        <w:trPr>
          <w:trHeight w:val="200" w:hRule="atLeast"/>
        </w:trPr>
        <w:tc>
          <w:tcPr>
            <w:tcW w:w="334" w:type="dxa"/>
            <w:vMerge w:val="restart"/>
          </w:tcPr>
          <w:p>
            <w:pPr>
              <w:pStyle w:val="TableParagraph"/>
              <w:spacing w:before="7"/>
              <w:jc w:val="left"/>
              <w:rPr>
                <w:sz w:val="17"/>
              </w:rPr>
            </w:pPr>
          </w:p>
          <w:p>
            <w:pPr>
              <w:pStyle w:val="TableParagraph"/>
              <w:spacing w:before="1"/>
              <w:ind w:left="61"/>
              <w:jc w:val="left"/>
              <w:rPr>
                <w:sz w:val="14"/>
              </w:rPr>
            </w:pPr>
            <w:r>
              <w:rPr>
                <w:color w:val="231F20"/>
                <w:sz w:val="14"/>
              </w:rPr>
              <w:t>Р.Б.</w:t>
            </w:r>
          </w:p>
        </w:tc>
        <w:tc>
          <w:tcPr>
            <w:tcW w:w="2835" w:type="dxa"/>
            <w:vMerge w:val="restart"/>
          </w:tcPr>
          <w:p>
            <w:pPr>
              <w:pStyle w:val="TableParagraph"/>
              <w:spacing w:before="7"/>
              <w:jc w:val="left"/>
              <w:rPr>
                <w:sz w:val="17"/>
              </w:rPr>
            </w:pPr>
          </w:p>
          <w:p>
            <w:pPr>
              <w:pStyle w:val="TableParagraph"/>
              <w:spacing w:before="1"/>
              <w:ind w:left="601"/>
              <w:jc w:val="left"/>
              <w:rPr>
                <w:sz w:val="14"/>
              </w:rPr>
            </w:pPr>
            <w:r>
              <w:rPr>
                <w:color w:val="231F20"/>
                <w:sz w:val="14"/>
              </w:rPr>
              <w:t>Врста грађевинских радова</w:t>
            </w:r>
          </w:p>
        </w:tc>
        <w:tc>
          <w:tcPr>
            <w:tcW w:w="1924" w:type="dxa"/>
            <w:gridSpan w:val="2"/>
          </w:tcPr>
          <w:p>
            <w:pPr>
              <w:pStyle w:val="TableParagraph"/>
              <w:ind w:left="60"/>
              <w:jc w:val="left"/>
              <w:rPr>
                <w:sz w:val="14"/>
              </w:rPr>
            </w:pPr>
            <w:r>
              <w:rPr>
                <w:color w:val="231F20"/>
                <w:sz w:val="14"/>
              </w:rPr>
              <w:t>Предвиђено време пресељења</w:t>
            </w:r>
          </w:p>
        </w:tc>
      </w:tr>
      <w:tr>
        <w:trPr>
          <w:trHeight w:val="360" w:hRule="atLeast"/>
        </w:trPr>
        <w:tc>
          <w:tcPr>
            <w:tcW w:w="334" w:type="dxa"/>
            <w:vMerge/>
            <w:tcBorders>
              <w:top w:val="nil"/>
            </w:tcBorders>
          </w:tcPr>
          <w:p>
            <w:pPr>
              <w:rPr>
                <w:sz w:val="2"/>
                <w:szCs w:val="2"/>
              </w:rPr>
            </w:pPr>
          </w:p>
        </w:tc>
        <w:tc>
          <w:tcPr>
            <w:tcW w:w="2835" w:type="dxa"/>
            <w:vMerge/>
            <w:tcBorders>
              <w:top w:val="nil"/>
            </w:tcBorders>
          </w:tcPr>
          <w:p>
            <w:pPr>
              <w:rPr>
                <w:sz w:val="2"/>
                <w:szCs w:val="2"/>
              </w:rPr>
            </w:pPr>
          </w:p>
        </w:tc>
        <w:tc>
          <w:tcPr>
            <w:tcW w:w="978" w:type="dxa"/>
          </w:tcPr>
          <w:p>
            <w:pPr>
              <w:pStyle w:val="TableParagraph"/>
              <w:ind w:left="111" w:firstLine="139"/>
              <w:jc w:val="left"/>
              <w:rPr>
                <w:sz w:val="14"/>
              </w:rPr>
            </w:pPr>
            <w:r>
              <w:rPr>
                <w:color w:val="231F20"/>
                <w:sz w:val="14"/>
              </w:rPr>
              <w:t>а. после 2020. године</w:t>
            </w:r>
          </w:p>
        </w:tc>
        <w:tc>
          <w:tcPr>
            <w:tcW w:w="946" w:type="dxa"/>
          </w:tcPr>
          <w:p>
            <w:pPr>
              <w:pStyle w:val="TableParagraph"/>
              <w:ind w:left="341" w:right="113" w:hanging="203"/>
              <w:jc w:val="left"/>
              <w:rPr>
                <w:sz w:val="14"/>
              </w:rPr>
            </w:pPr>
            <w:r>
              <w:rPr>
                <w:color w:val="231F20"/>
                <w:sz w:val="14"/>
              </w:rPr>
              <w:t>б. не зна се када</w:t>
            </w:r>
          </w:p>
        </w:tc>
      </w:tr>
      <w:tr>
        <w:trPr>
          <w:trHeight w:val="360" w:hRule="atLeast"/>
        </w:trPr>
        <w:tc>
          <w:tcPr>
            <w:tcW w:w="334" w:type="dxa"/>
          </w:tcPr>
          <w:p>
            <w:pPr>
              <w:pStyle w:val="TableParagraph"/>
              <w:spacing w:before="98"/>
              <w:ind w:left="56"/>
              <w:jc w:val="left"/>
              <w:rPr>
                <w:sz w:val="14"/>
              </w:rPr>
            </w:pPr>
            <w:r>
              <w:rPr>
                <w:color w:val="231F20"/>
                <w:sz w:val="14"/>
              </w:rPr>
              <w:t>7.</w:t>
            </w:r>
          </w:p>
        </w:tc>
        <w:tc>
          <w:tcPr>
            <w:tcW w:w="2835" w:type="dxa"/>
          </w:tcPr>
          <w:p>
            <w:pPr>
              <w:pStyle w:val="TableParagraph"/>
              <w:ind w:left="56"/>
              <w:jc w:val="left"/>
              <w:rPr>
                <w:sz w:val="14"/>
              </w:rPr>
            </w:pPr>
            <w:r>
              <w:rPr>
                <w:color w:val="231F20"/>
                <w:sz w:val="14"/>
              </w:rPr>
              <w:t>Реконструкција постојећег енергетског и телекомуникационог система</w:t>
            </w:r>
          </w:p>
        </w:tc>
        <w:tc>
          <w:tcPr>
            <w:tcW w:w="978" w:type="dxa"/>
          </w:tcPr>
          <w:p>
            <w:pPr>
              <w:pStyle w:val="TableParagraph"/>
              <w:spacing w:before="98"/>
              <w:ind w:right="438"/>
              <w:rPr>
                <w:sz w:val="14"/>
              </w:rPr>
            </w:pPr>
            <w:r>
              <w:rPr>
                <w:color w:val="231F20"/>
                <w:sz w:val="14"/>
              </w:rPr>
              <w:t>+</w:t>
            </w:r>
          </w:p>
        </w:tc>
        <w:tc>
          <w:tcPr>
            <w:tcW w:w="946" w:type="dxa"/>
          </w:tcPr>
          <w:p>
            <w:pPr>
              <w:pStyle w:val="TableParagraph"/>
              <w:spacing w:before="98"/>
              <w:ind w:right="422"/>
              <w:rPr>
                <w:sz w:val="14"/>
              </w:rPr>
            </w:pPr>
            <w:r>
              <w:rPr>
                <w:color w:val="231F20"/>
                <w:sz w:val="14"/>
              </w:rPr>
              <w:t>+</w:t>
            </w:r>
          </w:p>
        </w:tc>
      </w:tr>
      <w:tr>
        <w:trPr>
          <w:trHeight w:val="360" w:hRule="atLeast"/>
        </w:trPr>
        <w:tc>
          <w:tcPr>
            <w:tcW w:w="334" w:type="dxa"/>
          </w:tcPr>
          <w:p>
            <w:pPr>
              <w:pStyle w:val="TableParagraph"/>
              <w:spacing w:before="98"/>
              <w:ind w:left="56"/>
              <w:jc w:val="left"/>
              <w:rPr>
                <w:sz w:val="14"/>
              </w:rPr>
            </w:pPr>
            <w:r>
              <w:rPr>
                <w:color w:val="231F20"/>
                <w:sz w:val="14"/>
              </w:rPr>
              <w:t>8.</w:t>
            </w:r>
          </w:p>
        </w:tc>
        <w:tc>
          <w:tcPr>
            <w:tcW w:w="2835" w:type="dxa"/>
          </w:tcPr>
          <w:p>
            <w:pPr>
              <w:pStyle w:val="TableParagraph"/>
              <w:ind w:left="56"/>
              <w:jc w:val="left"/>
              <w:rPr>
                <w:sz w:val="14"/>
              </w:rPr>
            </w:pPr>
            <w:r>
              <w:rPr>
                <w:color w:val="231F20"/>
                <w:sz w:val="14"/>
              </w:rPr>
              <w:t>Уређење јавних површина (парк, депонија, пијаца и друго)</w:t>
            </w:r>
          </w:p>
        </w:tc>
        <w:tc>
          <w:tcPr>
            <w:tcW w:w="978" w:type="dxa"/>
          </w:tcPr>
          <w:p>
            <w:pPr>
              <w:pStyle w:val="TableParagraph"/>
              <w:spacing w:before="98"/>
              <w:ind w:right="438"/>
              <w:rPr>
                <w:sz w:val="14"/>
              </w:rPr>
            </w:pPr>
            <w:r>
              <w:rPr>
                <w:color w:val="231F20"/>
                <w:sz w:val="14"/>
              </w:rPr>
              <w:t>+</w:t>
            </w:r>
          </w:p>
        </w:tc>
        <w:tc>
          <w:tcPr>
            <w:tcW w:w="946" w:type="dxa"/>
          </w:tcPr>
          <w:p>
            <w:pPr>
              <w:pStyle w:val="TableParagraph"/>
              <w:spacing w:before="98"/>
              <w:ind w:right="422"/>
              <w:rPr>
                <w:sz w:val="14"/>
              </w:rPr>
            </w:pPr>
            <w:r>
              <w:rPr>
                <w:color w:val="231F20"/>
                <w:sz w:val="14"/>
              </w:rPr>
              <w:t>+</w:t>
            </w:r>
          </w:p>
        </w:tc>
      </w:tr>
      <w:tr>
        <w:trPr>
          <w:trHeight w:val="520" w:hRule="atLeast"/>
        </w:trPr>
        <w:tc>
          <w:tcPr>
            <w:tcW w:w="334" w:type="dxa"/>
          </w:tcPr>
          <w:p>
            <w:pPr>
              <w:pStyle w:val="TableParagraph"/>
              <w:spacing w:before="5"/>
              <w:jc w:val="left"/>
              <w:rPr>
                <w:sz w:val="15"/>
              </w:rPr>
            </w:pPr>
          </w:p>
          <w:p>
            <w:pPr>
              <w:pStyle w:val="TableParagraph"/>
              <w:spacing w:before="1"/>
              <w:ind w:left="56"/>
              <w:jc w:val="left"/>
              <w:rPr>
                <w:sz w:val="14"/>
              </w:rPr>
            </w:pPr>
            <w:r>
              <w:rPr>
                <w:color w:val="231F20"/>
                <w:sz w:val="14"/>
              </w:rPr>
              <w:t>9.</w:t>
            </w:r>
          </w:p>
        </w:tc>
        <w:tc>
          <w:tcPr>
            <w:tcW w:w="2835" w:type="dxa"/>
          </w:tcPr>
          <w:p>
            <w:pPr>
              <w:pStyle w:val="TableParagraph"/>
              <w:ind w:left="56" w:right="45"/>
              <w:jc w:val="both"/>
              <w:rPr>
                <w:sz w:val="14"/>
              </w:rPr>
            </w:pPr>
            <w:r>
              <w:rPr>
                <w:color w:val="231F20"/>
                <w:sz w:val="14"/>
              </w:rPr>
              <w:t>Реконструкција/адаптација постојећих</w:t>
            </w:r>
            <w:r>
              <w:rPr>
                <w:color w:val="231F20"/>
                <w:spacing w:val="-14"/>
                <w:sz w:val="14"/>
              </w:rPr>
              <w:t> </w:t>
            </w:r>
            <w:r>
              <w:rPr>
                <w:color w:val="231F20"/>
                <w:sz w:val="14"/>
              </w:rPr>
              <w:t>јавних објеката (школа, здравствених објеката, дома културе, цркве и</w:t>
            </w:r>
            <w:r>
              <w:rPr>
                <w:color w:val="231F20"/>
                <w:spacing w:val="-3"/>
                <w:sz w:val="14"/>
              </w:rPr>
              <w:t> </w:t>
            </w:r>
            <w:r>
              <w:rPr>
                <w:color w:val="231F20"/>
                <w:sz w:val="14"/>
              </w:rPr>
              <w:t>слично)</w:t>
            </w:r>
          </w:p>
        </w:tc>
        <w:tc>
          <w:tcPr>
            <w:tcW w:w="978" w:type="dxa"/>
          </w:tcPr>
          <w:p>
            <w:pPr>
              <w:pStyle w:val="TableParagraph"/>
              <w:spacing w:before="5"/>
              <w:jc w:val="left"/>
              <w:rPr>
                <w:sz w:val="15"/>
              </w:rPr>
            </w:pPr>
          </w:p>
          <w:p>
            <w:pPr>
              <w:pStyle w:val="TableParagraph"/>
              <w:spacing w:before="1"/>
              <w:ind w:right="438"/>
              <w:rPr>
                <w:sz w:val="14"/>
              </w:rPr>
            </w:pPr>
            <w:r>
              <w:rPr>
                <w:color w:val="231F20"/>
                <w:sz w:val="14"/>
              </w:rPr>
              <w:t>+</w:t>
            </w:r>
          </w:p>
        </w:tc>
        <w:tc>
          <w:tcPr>
            <w:tcW w:w="946" w:type="dxa"/>
          </w:tcPr>
          <w:p>
            <w:pPr>
              <w:pStyle w:val="TableParagraph"/>
              <w:spacing w:before="5"/>
              <w:jc w:val="left"/>
              <w:rPr>
                <w:sz w:val="15"/>
              </w:rPr>
            </w:pPr>
          </w:p>
          <w:p>
            <w:pPr>
              <w:pStyle w:val="TableParagraph"/>
              <w:spacing w:before="1"/>
              <w:ind w:right="422"/>
              <w:rPr>
                <w:sz w:val="14"/>
              </w:rPr>
            </w:pPr>
            <w:r>
              <w:rPr>
                <w:color w:val="231F20"/>
                <w:sz w:val="14"/>
              </w:rPr>
              <w:t>+</w:t>
            </w:r>
          </w:p>
        </w:tc>
      </w:tr>
      <w:tr>
        <w:trPr>
          <w:trHeight w:val="200" w:hRule="atLeast"/>
        </w:trPr>
        <w:tc>
          <w:tcPr>
            <w:tcW w:w="334" w:type="dxa"/>
          </w:tcPr>
          <w:p>
            <w:pPr>
              <w:pStyle w:val="TableParagraph"/>
              <w:ind w:left="56"/>
              <w:jc w:val="left"/>
              <w:rPr>
                <w:sz w:val="14"/>
              </w:rPr>
            </w:pPr>
            <w:r>
              <w:rPr>
                <w:color w:val="231F20"/>
                <w:sz w:val="14"/>
              </w:rPr>
              <w:t>10.</w:t>
            </w:r>
          </w:p>
        </w:tc>
        <w:tc>
          <w:tcPr>
            <w:tcW w:w="2835" w:type="dxa"/>
          </w:tcPr>
          <w:p>
            <w:pPr>
              <w:pStyle w:val="TableParagraph"/>
              <w:ind w:left="56"/>
              <w:jc w:val="left"/>
              <w:rPr>
                <w:sz w:val="14"/>
              </w:rPr>
            </w:pPr>
            <w:r>
              <w:rPr>
                <w:color w:val="231F20"/>
                <w:sz w:val="14"/>
              </w:rPr>
              <w:t>Изградња нових јавних објеката</w:t>
            </w:r>
          </w:p>
        </w:tc>
        <w:tc>
          <w:tcPr>
            <w:tcW w:w="978" w:type="dxa"/>
          </w:tcPr>
          <w:p>
            <w:pPr>
              <w:pStyle w:val="TableParagraph"/>
              <w:ind w:right="454"/>
              <w:rPr>
                <w:sz w:val="14"/>
              </w:rPr>
            </w:pPr>
            <w:r>
              <w:rPr>
                <w:color w:val="231F20"/>
                <w:sz w:val="14"/>
              </w:rPr>
              <w:t>-</w:t>
            </w:r>
          </w:p>
        </w:tc>
        <w:tc>
          <w:tcPr>
            <w:tcW w:w="946" w:type="dxa"/>
          </w:tcPr>
          <w:p>
            <w:pPr>
              <w:pStyle w:val="TableParagraph"/>
              <w:ind w:right="422"/>
              <w:rPr>
                <w:sz w:val="14"/>
              </w:rPr>
            </w:pPr>
            <w:r>
              <w:rPr>
                <w:color w:val="231F20"/>
                <w:sz w:val="14"/>
              </w:rPr>
              <w:t>+</w:t>
            </w:r>
          </w:p>
        </w:tc>
      </w:tr>
    </w:tbl>
    <w:p>
      <w:pPr>
        <w:pStyle w:val="BodyText"/>
        <w:spacing w:line="235" w:lineRule="auto" w:before="37"/>
        <w:ind w:left="242" w:right="127" w:firstLine="396"/>
      </w:pPr>
      <w:r>
        <w:rPr>
          <w:color w:val="231F20"/>
        </w:rPr>
        <w:t>У категорију </w:t>
      </w:r>
      <w:r>
        <w:rPr>
          <w:color w:val="231F20"/>
          <w:spacing w:val="-3"/>
        </w:rPr>
        <w:t>под </w:t>
      </w:r>
      <w:r>
        <w:rPr>
          <w:color w:val="231F20"/>
        </w:rPr>
        <w:t>„а” спадају насеља Дубравица, Острово и Батовац, a </w:t>
      </w:r>
      <w:r>
        <w:rPr>
          <w:color w:val="231F20"/>
          <w:spacing w:val="-3"/>
        </w:rPr>
        <w:t>под </w:t>
      </w:r>
      <w:r>
        <w:rPr>
          <w:color w:val="231F20"/>
        </w:rPr>
        <w:t>„б” остала насеља </w:t>
      </w:r>
      <w:r>
        <w:rPr>
          <w:color w:val="231F20"/>
          <w:spacing w:val="-3"/>
        </w:rPr>
        <w:t>која </w:t>
      </w:r>
      <w:r>
        <w:rPr>
          <w:color w:val="231F20"/>
        </w:rPr>
        <w:t>се налазе у зонама „потен- цијалних рударских активности”. До 2020/22. </w:t>
      </w:r>
      <w:r>
        <w:rPr>
          <w:color w:val="231F20"/>
          <w:spacing w:val="-3"/>
        </w:rPr>
        <w:t>године </w:t>
      </w:r>
      <w:r>
        <w:rPr>
          <w:color w:val="231F20"/>
        </w:rPr>
        <w:t>није пред- виђено пресељење ни једног насеља. Пресељење насеља Дрмно у садашњим околностима није реално, па су предвиђене техничке, просторне (заштитни појас према ТЕ-КО) и друге мере заштите насеља</w:t>
      </w:r>
      <w:r>
        <w:rPr>
          <w:color w:val="231F20"/>
          <w:spacing w:val="-10"/>
        </w:rPr>
        <w:t> </w:t>
      </w:r>
      <w:r>
        <w:rPr>
          <w:color w:val="231F20"/>
          <w:spacing w:val="-3"/>
        </w:rPr>
        <w:t>од</w:t>
      </w:r>
      <w:r>
        <w:rPr>
          <w:color w:val="231F20"/>
          <w:spacing w:val="-10"/>
        </w:rPr>
        <w:t> </w:t>
      </w:r>
      <w:r>
        <w:rPr>
          <w:color w:val="231F20"/>
        </w:rPr>
        <w:t>негативних</w:t>
      </w:r>
      <w:r>
        <w:rPr>
          <w:color w:val="231F20"/>
          <w:spacing w:val="-10"/>
        </w:rPr>
        <w:t> </w:t>
      </w:r>
      <w:r>
        <w:rPr>
          <w:color w:val="231F20"/>
        </w:rPr>
        <w:t>утицаја</w:t>
      </w:r>
      <w:r>
        <w:rPr>
          <w:color w:val="231F20"/>
          <w:spacing w:val="-10"/>
        </w:rPr>
        <w:t> </w:t>
      </w:r>
      <w:r>
        <w:rPr>
          <w:color w:val="231F20"/>
        </w:rPr>
        <w:t>рударско-енергетског</w:t>
      </w:r>
      <w:r>
        <w:rPr>
          <w:color w:val="231F20"/>
          <w:spacing w:val="-10"/>
        </w:rPr>
        <w:t> </w:t>
      </w:r>
      <w:r>
        <w:rPr>
          <w:color w:val="231F20"/>
          <w:spacing w:val="-3"/>
        </w:rPr>
        <w:t>комплекса.</w:t>
      </w:r>
      <w:r>
        <w:rPr>
          <w:color w:val="231F20"/>
          <w:spacing w:val="-10"/>
        </w:rPr>
        <w:t> </w:t>
      </w:r>
      <w:r>
        <w:rPr>
          <w:color w:val="231F20"/>
        </w:rPr>
        <w:t>На простору предвиђеном за развој </w:t>
      </w:r>
      <w:r>
        <w:rPr>
          <w:color w:val="231F20"/>
          <w:spacing w:val="-3"/>
        </w:rPr>
        <w:t>копа </w:t>
      </w:r>
      <w:r>
        <w:rPr>
          <w:color w:val="231F20"/>
        </w:rPr>
        <w:t>„Дрмно” до 2022. </w:t>
      </w:r>
      <w:r>
        <w:rPr>
          <w:color w:val="231F20"/>
          <w:spacing w:val="-3"/>
        </w:rPr>
        <w:t>године </w:t>
      </w:r>
      <w:r>
        <w:rPr>
          <w:color w:val="231F20"/>
        </w:rPr>
        <w:t>ни- је</w:t>
      </w:r>
      <w:r>
        <w:rPr>
          <w:color w:val="231F20"/>
          <w:spacing w:val="-7"/>
        </w:rPr>
        <w:t> </w:t>
      </w:r>
      <w:r>
        <w:rPr>
          <w:color w:val="231F20"/>
        </w:rPr>
        <w:t>дозвољена</w:t>
      </w:r>
      <w:r>
        <w:rPr>
          <w:color w:val="231F20"/>
          <w:spacing w:val="-8"/>
        </w:rPr>
        <w:t> </w:t>
      </w:r>
      <w:r>
        <w:rPr>
          <w:color w:val="231F20"/>
        </w:rPr>
        <w:t>изградња</w:t>
      </w:r>
      <w:r>
        <w:rPr>
          <w:color w:val="231F20"/>
          <w:spacing w:val="-8"/>
        </w:rPr>
        <w:t> </w:t>
      </w:r>
      <w:r>
        <w:rPr>
          <w:color w:val="231F20"/>
        </w:rPr>
        <w:t>нових</w:t>
      </w:r>
      <w:r>
        <w:rPr>
          <w:color w:val="231F20"/>
          <w:spacing w:val="-8"/>
        </w:rPr>
        <w:t> </w:t>
      </w:r>
      <w:r>
        <w:rPr>
          <w:color w:val="231F20"/>
        </w:rPr>
        <w:t>објеката,</w:t>
      </w:r>
      <w:r>
        <w:rPr>
          <w:color w:val="231F20"/>
          <w:spacing w:val="-7"/>
        </w:rPr>
        <w:t> </w:t>
      </w:r>
      <w:r>
        <w:rPr>
          <w:color w:val="231F20"/>
        </w:rPr>
        <w:t>осим</w:t>
      </w:r>
      <w:r>
        <w:rPr>
          <w:color w:val="231F20"/>
          <w:spacing w:val="-7"/>
        </w:rPr>
        <w:t> </w:t>
      </w:r>
      <w:r>
        <w:rPr>
          <w:color w:val="231F20"/>
        </w:rPr>
        <w:t>објеката</w:t>
      </w:r>
      <w:r>
        <w:rPr>
          <w:color w:val="231F20"/>
          <w:spacing w:val="-7"/>
        </w:rPr>
        <w:t> </w:t>
      </w:r>
      <w:r>
        <w:rPr>
          <w:color w:val="231F20"/>
        </w:rPr>
        <w:t>и</w:t>
      </w:r>
      <w:r>
        <w:rPr>
          <w:color w:val="231F20"/>
          <w:spacing w:val="-8"/>
        </w:rPr>
        <w:t> </w:t>
      </w:r>
      <w:r>
        <w:rPr>
          <w:color w:val="231F20"/>
        </w:rPr>
        <w:t>радова</w:t>
      </w:r>
      <w:r>
        <w:rPr>
          <w:color w:val="231F20"/>
          <w:spacing w:val="-7"/>
        </w:rPr>
        <w:t> </w:t>
      </w:r>
      <w:r>
        <w:rPr>
          <w:color w:val="231F20"/>
          <w:spacing w:val="-3"/>
        </w:rPr>
        <w:t>који </w:t>
      </w:r>
      <w:r>
        <w:rPr>
          <w:color w:val="231F20"/>
        </w:rPr>
        <w:t>су у функцији рударско-енергетског</w:t>
      </w:r>
      <w:r>
        <w:rPr>
          <w:color w:val="231F20"/>
          <w:spacing w:val="-4"/>
        </w:rPr>
        <w:t> </w:t>
      </w:r>
      <w:r>
        <w:rPr>
          <w:color w:val="231F20"/>
          <w:spacing w:val="-3"/>
        </w:rPr>
        <w:t>комплекса.</w:t>
      </w:r>
    </w:p>
    <w:p>
      <w:pPr>
        <w:pStyle w:val="ListParagraph"/>
        <w:numPr>
          <w:ilvl w:val="3"/>
          <w:numId w:val="50"/>
        </w:numPr>
        <w:tabs>
          <w:tab w:pos="829" w:val="left" w:leader="none"/>
        </w:tabs>
        <w:spacing w:line="235" w:lineRule="auto" w:before="163" w:after="0"/>
        <w:ind w:left="1971" w:right="398" w:hanging="1458"/>
        <w:jc w:val="left"/>
        <w:rPr>
          <w:i/>
          <w:sz w:val="18"/>
        </w:rPr>
      </w:pPr>
      <w:r>
        <w:rPr>
          <w:i/>
          <w:color w:val="231F20"/>
          <w:sz w:val="18"/>
        </w:rPr>
        <w:t>Општа правила изградње и правила уређења простора </w:t>
      </w:r>
      <w:r>
        <w:rPr>
          <w:i/>
          <w:color w:val="231F20"/>
          <w:sz w:val="18"/>
        </w:rPr>
        <w:t>у зонама</w:t>
      </w:r>
      <w:r>
        <w:rPr>
          <w:i/>
          <w:color w:val="231F20"/>
          <w:spacing w:val="-2"/>
          <w:sz w:val="18"/>
        </w:rPr>
        <w:t> </w:t>
      </w:r>
      <w:r>
        <w:rPr>
          <w:i/>
          <w:color w:val="231F20"/>
          <w:sz w:val="18"/>
        </w:rPr>
        <w:t>насељавања</w:t>
      </w:r>
    </w:p>
    <w:p>
      <w:pPr>
        <w:pStyle w:val="BodyText"/>
        <w:spacing w:before="5"/>
        <w:ind w:left="0"/>
        <w:jc w:val="left"/>
        <w:rPr>
          <w:i/>
          <w:sz w:val="17"/>
        </w:rPr>
      </w:pPr>
    </w:p>
    <w:p>
      <w:pPr>
        <w:pStyle w:val="BodyText"/>
        <w:spacing w:line="235" w:lineRule="auto"/>
        <w:ind w:left="242" w:right="128" w:firstLine="397"/>
      </w:pPr>
      <w:r>
        <w:rPr>
          <w:color w:val="231F20"/>
        </w:rPr>
        <w:t>Потенцијалне локације за пресељење су, поред градских на- сеља Пожаревац и Костолац, атари сеоских насеља чији се делови измештају, као и насеља у непосредној близини насеља потенци- јално угрожених рударским радовима: Петка, Брежане, Живица и Драговац.</w:t>
      </w:r>
    </w:p>
    <w:p>
      <w:pPr>
        <w:pStyle w:val="BodyText"/>
        <w:spacing w:line="235" w:lineRule="auto"/>
        <w:ind w:left="242" w:right="128" w:firstLine="397"/>
      </w:pPr>
      <w:r>
        <w:rPr>
          <w:color w:val="231F20"/>
        </w:rPr>
        <w:t>Потенцијалне локације за прихват расељеног становништва треба уређивати према следећим урбанистичким критеријумима и стандардима:</w:t>
      </w:r>
    </w:p>
    <w:p>
      <w:pPr>
        <w:pStyle w:val="BodyText"/>
        <w:spacing w:line="235" w:lineRule="auto"/>
        <w:ind w:left="242" w:right="128" w:firstLine="396"/>
      </w:pPr>
      <w:r>
        <w:rPr>
          <w:color w:val="231F20"/>
          <w:w w:val="66"/>
        </w:rPr>
        <w:t> </w:t>
      </w:r>
      <w:r>
        <w:rPr>
          <w:color w:val="231F20"/>
        </w:rPr>
        <w:t>–</w:t>
      </w:r>
      <w:r>
        <w:rPr>
          <w:color w:val="231F20"/>
          <w:spacing w:val="-15"/>
        </w:rPr>
        <w:t> </w:t>
      </w:r>
      <w:r>
        <w:rPr>
          <w:color w:val="231F20"/>
        </w:rPr>
        <w:t>избор</w:t>
      </w:r>
      <w:r>
        <w:rPr>
          <w:color w:val="231F20"/>
          <w:spacing w:val="-15"/>
        </w:rPr>
        <w:t> </w:t>
      </w:r>
      <w:r>
        <w:rPr>
          <w:color w:val="231F20"/>
        </w:rPr>
        <w:t>локације,</w:t>
      </w:r>
      <w:r>
        <w:rPr>
          <w:color w:val="231F20"/>
          <w:spacing w:val="-15"/>
        </w:rPr>
        <w:t> </w:t>
      </w:r>
      <w:r>
        <w:rPr>
          <w:color w:val="231F20"/>
        </w:rPr>
        <w:t>планирање</w:t>
      </w:r>
      <w:r>
        <w:rPr>
          <w:color w:val="231F20"/>
          <w:spacing w:val="-15"/>
        </w:rPr>
        <w:t> </w:t>
      </w:r>
      <w:r>
        <w:rPr>
          <w:color w:val="231F20"/>
        </w:rPr>
        <w:t>организације,</w:t>
      </w:r>
      <w:r>
        <w:rPr>
          <w:color w:val="231F20"/>
          <w:spacing w:val="-15"/>
        </w:rPr>
        <w:t> </w:t>
      </w:r>
      <w:r>
        <w:rPr>
          <w:color w:val="231F20"/>
        </w:rPr>
        <w:t>уређивање</w:t>
      </w:r>
      <w:r>
        <w:rPr>
          <w:color w:val="231F20"/>
          <w:spacing w:val="-15"/>
        </w:rPr>
        <w:t> </w:t>
      </w:r>
      <w:r>
        <w:rPr>
          <w:color w:val="231F20"/>
        </w:rPr>
        <w:t>и</w:t>
      </w:r>
      <w:r>
        <w:rPr>
          <w:color w:val="231F20"/>
          <w:spacing w:val="-15"/>
        </w:rPr>
        <w:t> </w:t>
      </w:r>
      <w:r>
        <w:rPr>
          <w:color w:val="231F20"/>
        </w:rPr>
        <w:t>опре- мање насеља, као и избор типова (стамбених и других) објеката треба вршити у сарадњи са становништвом </w:t>
      </w:r>
      <w:r>
        <w:rPr>
          <w:color w:val="231F20"/>
          <w:spacing w:val="-4"/>
        </w:rPr>
        <w:t>које </w:t>
      </w:r>
      <w:r>
        <w:rPr>
          <w:color w:val="231F20"/>
        </w:rPr>
        <w:t>се</w:t>
      </w:r>
      <w:r>
        <w:rPr>
          <w:color w:val="231F20"/>
          <w:spacing w:val="-26"/>
        </w:rPr>
        <w:t> </w:t>
      </w:r>
      <w:r>
        <w:rPr>
          <w:color w:val="231F20"/>
        </w:rPr>
        <w:t>пресељава;</w:t>
      </w:r>
    </w:p>
    <w:p>
      <w:pPr>
        <w:pStyle w:val="BodyText"/>
        <w:spacing w:line="235" w:lineRule="auto"/>
        <w:ind w:left="241" w:right="127" w:firstLine="397"/>
      </w:pPr>
      <w:r>
        <w:rPr>
          <w:color w:val="231F20"/>
          <w:w w:val="66"/>
        </w:rPr>
        <w:t> </w:t>
      </w:r>
      <w:r>
        <w:rPr>
          <w:color w:val="231F20"/>
        </w:rPr>
        <w:t>– уколико се нова локација налази у саставу постојећег насе- ља, она мора да задовољи следеће критеријуме: а) квалитет ста- новања, комуналне и опремљености јавним службама и уређеност новог дела насеља мора бити исти или виши у односу на насеље из кога се становништво пресељава; б) избор нове локације и ње- но опремање мора се обавити уз учешће становништва које се пресељава и домицилног становништва, с тим да једна или више нових локација задрже особености и физиономију суседства; и в) неопходно је испитати више варијанти локација, чиме се будућим корисницима нуди могућност избора;</w:t>
      </w:r>
    </w:p>
    <w:p>
      <w:pPr>
        <w:pStyle w:val="BodyText"/>
        <w:spacing w:line="235" w:lineRule="auto"/>
        <w:ind w:left="241" w:right="128" w:firstLine="396"/>
      </w:pPr>
      <w:r>
        <w:rPr>
          <w:color w:val="231F20"/>
          <w:w w:val="66"/>
        </w:rPr>
        <w:t> </w:t>
      </w:r>
      <w:r>
        <w:rPr>
          <w:color w:val="231F20"/>
        </w:rPr>
        <w:t>– кроз посебне социо-економским програме разрадити мо- гућности задржавања постојећег, или промене занимања у новом насељу или на прихватљивој дистанци за чланове домаћинстава која се пресељавају и</w:t>
      </w:r>
    </w:p>
    <w:p>
      <w:pPr>
        <w:pStyle w:val="BodyText"/>
        <w:spacing w:line="235" w:lineRule="auto"/>
        <w:ind w:left="241" w:right="129" w:firstLine="397"/>
      </w:pPr>
      <w:r>
        <w:rPr>
          <w:color w:val="231F20"/>
          <w:w w:val="66"/>
        </w:rPr>
        <w:t> </w:t>
      </w:r>
      <w:r>
        <w:rPr>
          <w:color w:val="231F20"/>
        </w:rPr>
        <w:t>– мерама развојне политике, стандардима уређења и опрема- ња нових насеља, условима пресељења и слично стимулисати ор- ганизован начин пресељења читавог насеља или дела насеља.</w:t>
      </w:r>
    </w:p>
    <w:p>
      <w:pPr>
        <w:pStyle w:val="BodyText"/>
        <w:spacing w:line="235" w:lineRule="auto"/>
        <w:ind w:left="241" w:right="129" w:firstLine="397"/>
      </w:pPr>
      <w:r>
        <w:rPr>
          <w:color w:val="231F20"/>
        </w:rPr>
        <w:t>Избор локација, правила градње и правила уређења простора у насељима која се пресељавају као и на локацијама за насељава- ње и други услови пресељења становништва утврђују се одгова- рајућим урбанистичким плановима, односно, програмима пресе- љења становништва и измештања насељских, инфраструктурних, привредних и комуналних објеката.</w:t>
      </w:r>
    </w:p>
    <w:p>
      <w:pPr>
        <w:pStyle w:val="ListParagraph"/>
        <w:numPr>
          <w:ilvl w:val="3"/>
          <w:numId w:val="50"/>
        </w:numPr>
        <w:tabs>
          <w:tab w:pos="595" w:val="left" w:leader="none"/>
        </w:tabs>
        <w:spacing w:line="235" w:lineRule="auto" w:before="146" w:after="0"/>
        <w:ind w:left="2353" w:right="167" w:hanging="2074"/>
        <w:jc w:val="left"/>
        <w:rPr>
          <w:i/>
          <w:sz w:val="18"/>
        </w:rPr>
      </w:pPr>
      <w:r>
        <w:rPr>
          <w:i/>
          <w:color w:val="231F20"/>
          <w:sz w:val="18"/>
        </w:rPr>
        <w:t>Насеља</w:t>
      </w:r>
      <w:r>
        <w:rPr>
          <w:i/>
          <w:color w:val="231F20"/>
          <w:spacing w:val="-7"/>
          <w:sz w:val="18"/>
        </w:rPr>
        <w:t> </w:t>
      </w:r>
      <w:r>
        <w:rPr>
          <w:i/>
          <w:color w:val="231F20"/>
          <w:sz w:val="18"/>
        </w:rPr>
        <w:t>која</w:t>
      </w:r>
      <w:r>
        <w:rPr>
          <w:i/>
          <w:color w:val="231F20"/>
          <w:spacing w:val="-6"/>
          <w:sz w:val="18"/>
        </w:rPr>
        <w:t> </w:t>
      </w:r>
      <w:r>
        <w:rPr>
          <w:i/>
          <w:color w:val="231F20"/>
          <w:sz w:val="18"/>
        </w:rPr>
        <w:t>се</w:t>
      </w:r>
      <w:r>
        <w:rPr>
          <w:i/>
          <w:color w:val="231F20"/>
          <w:spacing w:val="-6"/>
          <w:sz w:val="18"/>
        </w:rPr>
        <w:t> </w:t>
      </w:r>
      <w:r>
        <w:rPr>
          <w:i/>
          <w:color w:val="231F20"/>
          <w:sz w:val="18"/>
        </w:rPr>
        <w:t>налазе</w:t>
      </w:r>
      <w:r>
        <w:rPr>
          <w:i/>
          <w:color w:val="231F20"/>
          <w:spacing w:val="-7"/>
          <w:sz w:val="18"/>
        </w:rPr>
        <w:t> </w:t>
      </w:r>
      <w:r>
        <w:rPr>
          <w:i/>
          <w:color w:val="231F20"/>
          <w:sz w:val="18"/>
        </w:rPr>
        <w:t>на</w:t>
      </w:r>
      <w:r>
        <w:rPr>
          <w:i/>
          <w:color w:val="231F20"/>
          <w:spacing w:val="-7"/>
          <w:sz w:val="18"/>
        </w:rPr>
        <w:t> </w:t>
      </w:r>
      <w:r>
        <w:rPr>
          <w:i/>
          <w:color w:val="231F20"/>
          <w:sz w:val="18"/>
        </w:rPr>
        <w:t>контакту</w:t>
      </w:r>
      <w:r>
        <w:rPr>
          <w:i/>
          <w:color w:val="231F20"/>
          <w:spacing w:val="-6"/>
          <w:sz w:val="18"/>
        </w:rPr>
        <w:t> </w:t>
      </w:r>
      <w:r>
        <w:rPr>
          <w:i/>
          <w:color w:val="231F20"/>
          <w:spacing w:val="-3"/>
          <w:sz w:val="18"/>
        </w:rPr>
        <w:t>са</w:t>
      </w:r>
      <w:r>
        <w:rPr>
          <w:i/>
          <w:color w:val="231F20"/>
          <w:spacing w:val="-6"/>
          <w:sz w:val="18"/>
        </w:rPr>
        <w:t> </w:t>
      </w:r>
      <w:r>
        <w:rPr>
          <w:i/>
          <w:color w:val="231F20"/>
          <w:sz w:val="18"/>
        </w:rPr>
        <w:t>рударско-енергетским </w:t>
      </w:r>
      <w:r>
        <w:rPr>
          <w:i/>
          <w:color w:val="231F20"/>
          <w:spacing w:val="-4"/>
          <w:sz w:val="18"/>
        </w:rPr>
        <w:t>комплексом</w:t>
      </w:r>
    </w:p>
    <w:p>
      <w:pPr>
        <w:pStyle w:val="BodyText"/>
        <w:spacing w:before="5"/>
        <w:ind w:left="0"/>
        <w:jc w:val="left"/>
        <w:rPr>
          <w:i/>
          <w:sz w:val="17"/>
        </w:rPr>
      </w:pPr>
    </w:p>
    <w:p>
      <w:pPr>
        <w:pStyle w:val="BodyText"/>
        <w:spacing w:line="235" w:lineRule="auto" w:before="1"/>
        <w:ind w:left="241" w:right="129" w:firstLine="397"/>
      </w:pPr>
      <w:r>
        <w:rPr>
          <w:color w:val="231F20"/>
        </w:rPr>
        <w:t>Насеља </w:t>
      </w:r>
      <w:r>
        <w:rPr>
          <w:color w:val="231F20"/>
          <w:spacing w:val="-3"/>
        </w:rPr>
        <w:t>која </w:t>
      </w:r>
      <w:r>
        <w:rPr>
          <w:color w:val="231F20"/>
        </w:rPr>
        <w:t>се налазе у непосредном контакту са рударским активностима, термоенергетским објектима и зоном експлоатаци- је нафте и гаса изложена су неповољним еколошким утицајима </w:t>
      </w:r>
      <w:r>
        <w:rPr>
          <w:color w:val="231F20"/>
          <w:spacing w:val="-3"/>
        </w:rPr>
        <w:t>од </w:t>
      </w:r>
      <w:r>
        <w:rPr>
          <w:color w:val="231F20"/>
        </w:rPr>
        <w:t>производних погона, транспортних коридора и пратећих активно- сти.</w:t>
      </w:r>
      <w:r>
        <w:rPr>
          <w:color w:val="231F20"/>
          <w:spacing w:val="-7"/>
        </w:rPr>
        <w:t> </w:t>
      </w:r>
      <w:r>
        <w:rPr>
          <w:color w:val="231F20"/>
        </w:rPr>
        <w:t>Делови</w:t>
      </w:r>
      <w:r>
        <w:rPr>
          <w:color w:val="231F20"/>
          <w:spacing w:val="-7"/>
        </w:rPr>
        <w:t> </w:t>
      </w:r>
      <w:r>
        <w:rPr>
          <w:color w:val="231F20"/>
        </w:rPr>
        <w:t>атара</w:t>
      </w:r>
      <w:r>
        <w:rPr>
          <w:color w:val="231F20"/>
          <w:spacing w:val="-7"/>
        </w:rPr>
        <w:t> </w:t>
      </w:r>
      <w:r>
        <w:rPr>
          <w:color w:val="231F20"/>
        </w:rPr>
        <w:t>многих</w:t>
      </w:r>
      <w:r>
        <w:rPr>
          <w:color w:val="231F20"/>
          <w:spacing w:val="-7"/>
        </w:rPr>
        <w:t> </w:t>
      </w:r>
      <w:r>
        <w:rPr>
          <w:color w:val="231F20"/>
        </w:rPr>
        <w:t>насеља</w:t>
      </w:r>
      <w:r>
        <w:rPr>
          <w:color w:val="231F20"/>
          <w:spacing w:val="-7"/>
        </w:rPr>
        <w:t> </w:t>
      </w:r>
      <w:r>
        <w:rPr>
          <w:color w:val="231F20"/>
        </w:rPr>
        <w:t>су</w:t>
      </w:r>
      <w:r>
        <w:rPr>
          <w:color w:val="231F20"/>
          <w:spacing w:val="-7"/>
        </w:rPr>
        <w:t> </w:t>
      </w:r>
      <w:r>
        <w:rPr>
          <w:color w:val="231F20"/>
        </w:rPr>
        <w:t>заузети</w:t>
      </w:r>
      <w:r>
        <w:rPr>
          <w:color w:val="231F20"/>
          <w:spacing w:val="-7"/>
        </w:rPr>
        <w:t> </w:t>
      </w:r>
      <w:r>
        <w:rPr>
          <w:color w:val="231F20"/>
        </w:rPr>
        <w:t>или</w:t>
      </w:r>
      <w:r>
        <w:rPr>
          <w:color w:val="231F20"/>
          <w:spacing w:val="-7"/>
        </w:rPr>
        <w:t> </w:t>
      </w:r>
      <w:r>
        <w:rPr>
          <w:color w:val="231F20"/>
        </w:rPr>
        <w:t>ће</w:t>
      </w:r>
      <w:r>
        <w:rPr>
          <w:color w:val="231F20"/>
          <w:spacing w:val="-7"/>
        </w:rPr>
        <w:t> </w:t>
      </w:r>
      <w:r>
        <w:rPr>
          <w:color w:val="231F20"/>
        </w:rPr>
        <w:t>бити</w:t>
      </w:r>
      <w:r>
        <w:rPr>
          <w:color w:val="231F20"/>
          <w:spacing w:val="-7"/>
        </w:rPr>
        <w:t> </w:t>
      </w:r>
      <w:r>
        <w:rPr>
          <w:color w:val="231F20"/>
        </w:rPr>
        <w:t>заузети</w:t>
      </w:r>
      <w:r>
        <w:rPr>
          <w:color w:val="231F20"/>
          <w:spacing w:val="-7"/>
        </w:rPr>
        <w:t> </w:t>
      </w:r>
      <w:r>
        <w:rPr>
          <w:color w:val="231F20"/>
        </w:rPr>
        <w:t>за потребе </w:t>
      </w:r>
      <w:r>
        <w:rPr>
          <w:color w:val="231F20"/>
          <w:spacing w:val="-3"/>
        </w:rPr>
        <w:t>рударства </w:t>
      </w:r>
      <w:r>
        <w:rPr>
          <w:color w:val="231F20"/>
        </w:rPr>
        <w:t>и енергетике, па су многа домаћинства остала или ће остати без поседа – пољопривредног и другог земљишта, што има за последицу промену у социоекономским структурама становништва.</w:t>
      </w:r>
    </w:p>
    <w:p>
      <w:pPr>
        <w:pStyle w:val="BodyText"/>
        <w:spacing w:line="235" w:lineRule="auto"/>
        <w:ind w:left="241" w:right="129" w:firstLine="396"/>
      </w:pPr>
      <w:r>
        <w:rPr>
          <w:color w:val="231F20"/>
        </w:rPr>
        <w:t>У овим насељима, у принципу, не постоје ограничења у из- градњи и уређивању простора. Неопходно је планским мерама</w:t>
      </w:r>
    </w:p>
    <w:p>
      <w:pPr>
        <w:spacing w:after="0" w:line="235" w:lineRule="auto"/>
        <w:sectPr>
          <w:pgSz w:w="12480" w:h="15690"/>
          <w:pgMar w:top="120" w:bottom="280" w:left="680" w:right="720"/>
          <w:cols w:num="2" w:equalWidth="0">
            <w:col w:w="5557" w:space="40"/>
            <w:col w:w="5483"/>
          </w:cols>
        </w:sectPr>
      </w:pPr>
    </w:p>
    <w:p>
      <w:pPr>
        <w:pStyle w:val="BodyText"/>
        <w:spacing w:line="232" w:lineRule="auto" w:before="73"/>
        <w:ind w:right="39"/>
      </w:pPr>
      <w:r>
        <w:rPr/>
        <w:pict>
          <v:line style="position:absolute;mso-position-horizontal-relative:page;mso-position-vertical-relative:page;z-index:3496" from="304.724396pt,11.942451pt" to="304.724396pt,748.950451pt" stroked="true" strokeweight=".6pt" strokecolor="#231f20">
            <v:stroke dashstyle="solid"/>
            <w10:wrap type="none"/>
          </v:line>
        </w:pict>
      </w:r>
      <w:r>
        <w:rPr>
          <w:color w:val="231F20"/>
        </w:rPr>
        <w:t>смањити неповољне утицаје ТЕ-КО „Костолац” на животну сре- дину</w:t>
      </w:r>
      <w:r>
        <w:rPr>
          <w:color w:val="231F20"/>
          <w:spacing w:val="-13"/>
        </w:rPr>
        <w:t> </w:t>
      </w:r>
      <w:r>
        <w:rPr>
          <w:color w:val="231F20"/>
        </w:rPr>
        <w:t>и</w:t>
      </w:r>
      <w:r>
        <w:rPr>
          <w:color w:val="231F20"/>
          <w:spacing w:val="-13"/>
        </w:rPr>
        <w:t> </w:t>
      </w:r>
      <w:r>
        <w:rPr>
          <w:color w:val="231F20"/>
        </w:rPr>
        <w:t>истовремено</w:t>
      </w:r>
      <w:r>
        <w:rPr>
          <w:color w:val="231F20"/>
          <w:spacing w:val="-13"/>
        </w:rPr>
        <w:t> </w:t>
      </w:r>
      <w:r>
        <w:rPr>
          <w:color w:val="231F20"/>
        </w:rPr>
        <w:t>решавати</w:t>
      </w:r>
      <w:r>
        <w:rPr>
          <w:color w:val="231F20"/>
          <w:spacing w:val="-13"/>
        </w:rPr>
        <w:t> </w:t>
      </w:r>
      <w:r>
        <w:rPr>
          <w:color w:val="231F20"/>
        </w:rPr>
        <w:t>социоекономске</w:t>
      </w:r>
      <w:r>
        <w:rPr>
          <w:color w:val="231F20"/>
          <w:spacing w:val="-13"/>
        </w:rPr>
        <w:t> </w:t>
      </w:r>
      <w:r>
        <w:rPr>
          <w:color w:val="231F20"/>
        </w:rPr>
        <w:t>проблеме</w:t>
      </w:r>
      <w:r>
        <w:rPr>
          <w:color w:val="231F20"/>
          <w:spacing w:val="-13"/>
        </w:rPr>
        <w:t> </w:t>
      </w:r>
      <w:r>
        <w:rPr>
          <w:color w:val="231F20"/>
        </w:rPr>
        <w:t>домаћин- става </w:t>
      </w:r>
      <w:r>
        <w:rPr>
          <w:color w:val="231F20"/>
          <w:spacing w:val="-3"/>
        </w:rPr>
        <w:t>која </w:t>
      </w:r>
      <w:r>
        <w:rPr>
          <w:color w:val="231F20"/>
        </w:rPr>
        <w:t>остају без</w:t>
      </w:r>
      <w:r>
        <w:rPr>
          <w:color w:val="231F20"/>
          <w:spacing w:val="1"/>
        </w:rPr>
        <w:t> </w:t>
      </w:r>
      <w:r>
        <w:rPr>
          <w:color w:val="231F20"/>
        </w:rPr>
        <w:t>земље.</w:t>
      </w:r>
    </w:p>
    <w:p>
      <w:pPr>
        <w:pStyle w:val="BodyText"/>
        <w:spacing w:line="232" w:lineRule="auto" w:before="2"/>
        <w:ind w:right="39" w:firstLine="396"/>
      </w:pPr>
      <w:r>
        <w:rPr>
          <w:color w:val="231F20"/>
        </w:rPr>
        <w:t>Имајући у виду пропозиције, критеријуме и полазишта из Просторног плана ближа решења везана за развој, уређење и из- градњу ових насеља решаваће се у одговарајућим урбанистичким плановима.</w:t>
      </w:r>
    </w:p>
    <w:p>
      <w:pPr>
        <w:pStyle w:val="Heading1"/>
        <w:numPr>
          <w:ilvl w:val="2"/>
          <w:numId w:val="50"/>
        </w:numPr>
        <w:tabs>
          <w:tab w:pos="517" w:val="left" w:leader="none"/>
        </w:tabs>
        <w:spacing w:line="204" w:lineRule="exact" w:before="167" w:after="0"/>
        <w:ind w:left="516" w:right="0" w:hanging="180"/>
        <w:jc w:val="left"/>
      </w:pPr>
      <w:r>
        <w:rPr>
          <w:color w:val="231F20"/>
        </w:rPr>
        <w:t>Општа правила употребе земљишта, изградње,</w:t>
      </w:r>
      <w:r>
        <w:rPr>
          <w:color w:val="231F20"/>
          <w:spacing w:val="-10"/>
        </w:rPr>
        <w:t> </w:t>
      </w:r>
      <w:r>
        <w:rPr>
          <w:color w:val="231F20"/>
        </w:rPr>
        <w:t>уређења</w:t>
      </w:r>
    </w:p>
    <w:p>
      <w:pPr>
        <w:spacing w:line="232" w:lineRule="auto" w:before="3"/>
        <w:ind w:left="172" w:right="42" w:firstLine="0"/>
        <w:jc w:val="center"/>
        <w:rPr>
          <w:b/>
          <w:sz w:val="18"/>
        </w:rPr>
      </w:pPr>
      <w:r>
        <w:rPr>
          <w:b/>
          <w:color w:val="231F20"/>
          <w:sz w:val="18"/>
        </w:rPr>
        <w:t>и заштите простора у осталим наменама и инфраструктурним коридорима</w:t>
      </w:r>
    </w:p>
    <w:p>
      <w:pPr>
        <w:pStyle w:val="ListParagraph"/>
        <w:numPr>
          <w:ilvl w:val="3"/>
          <w:numId w:val="50"/>
        </w:numPr>
        <w:tabs>
          <w:tab w:pos="1466" w:val="left" w:leader="none"/>
        </w:tabs>
        <w:spacing w:line="240" w:lineRule="auto" w:before="166" w:after="0"/>
        <w:ind w:left="1465" w:right="0" w:hanging="315"/>
        <w:jc w:val="left"/>
        <w:rPr>
          <w:i/>
          <w:sz w:val="18"/>
        </w:rPr>
      </w:pPr>
      <w:r>
        <w:rPr>
          <w:i/>
          <w:color w:val="231F20"/>
          <w:sz w:val="18"/>
        </w:rPr>
        <w:t>Привредни / индустријски</w:t>
      </w:r>
      <w:r>
        <w:rPr>
          <w:i/>
          <w:color w:val="231F20"/>
          <w:spacing w:val="-2"/>
          <w:sz w:val="18"/>
        </w:rPr>
        <w:t> </w:t>
      </w:r>
      <w:r>
        <w:rPr>
          <w:i/>
          <w:color w:val="231F20"/>
          <w:spacing w:val="-3"/>
          <w:sz w:val="18"/>
        </w:rPr>
        <w:t>комплекси</w:t>
      </w:r>
    </w:p>
    <w:p>
      <w:pPr>
        <w:pStyle w:val="BodyText"/>
        <w:spacing w:before="5"/>
        <w:ind w:left="0"/>
        <w:jc w:val="left"/>
        <w:rPr>
          <w:i/>
          <w:sz w:val="17"/>
        </w:rPr>
      </w:pPr>
    </w:p>
    <w:p>
      <w:pPr>
        <w:pStyle w:val="BodyText"/>
        <w:spacing w:line="232" w:lineRule="auto"/>
        <w:ind w:right="39" w:firstLine="396"/>
      </w:pPr>
      <w:r>
        <w:rPr>
          <w:color w:val="231F20"/>
        </w:rPr>
        <w:t>Основна</w:t>
      </w:r>
      <w:r>
        <w:rPr>
          <w:color w:val="231F20"/>
          <w:spacing w:val="-5"/>
        </w:rPr>
        <w:t> </w:t>
      </w:r>
      <w:r>
        <w:rPr>
          <w:color w:val="231F20"/>
        </w:rPr>
        <w:t>правила</w:t>
      </w:r>
      <w:r>
        <w:rPr>
          <w:color w:val="231F20"/>
          <w:spacing w:val="-5"/>
        </w:rPr>
        <w:t> </w:t>
      </w:r>
      <w:r>
        <w:rPr>
          <w:color w:val="231F20"/>
        </w:rPr>
        <w:t>коришћeња,</w:t>
      </w:r>
      <w:r>
        <w:rPr>
          <w:color w:val="231F20"/>
          <w:spacing w:val="-5"/>
        </w:rPr>
        <w:t> </w:t>
      </w:r>
      <w:r>
        <w:rPr>
          <w:color w:val="231F20"/>
        </w:rPr>
        <w:t>урeђeња</w:t>
      </w:r>
      <w:r>
        <w:rPr>
          <w:color w:val="231F20"/>
          <w:spacing w:val="-5"/>
        </w:rPr>
        <w:t> </w:t>
      </w:r>
      <w:r>
        <w:rPr>
          <w:color w:val="231F20"/>
        </w:rPr>
        <w:t>и</w:t>
      </w:r>
      <w:r>
        <w:rPr>
          <w:color w:val="231F20"/>
          <w:spacing w:val="-5"/>
        </w:rPr>
        <w:t> </w:t>
      </w:r>
      <w:r>
        <w:rPr>
          <w:color w:val="231F20"/>
        </w:rPr>
        <w:t>заштитe</w:t>
      </w:r>
      <w:r>
        <w:rPr>
          <w:color w:val="231F20"/>
          <w:spacing w:val="-5"/>
        </w:rPr>
        <w:t> </w:t>
      </w:r>
      <w:r>
        <w:rPr>
          <w:color w:val="231F20"/>
        </w:rPr>
        <w:t>простора</w:t>
      </w:r>
      <w:r>
        <w:rPr>
          <w:color w:val="231F20"/>
          <w:spacing w:val="-5"/>
        </w:rPr>
        <w:t> </w:t>
      </w:r>
      <w:r>
        <w:rPr>
          <w:color w:val="231F20"/>
        </w:rPr>
        <w:t>за лоцирањe привредних погона</w:t>
      </w:r>
      <w:r>
        <w:rPr>
          <w:color w:val="231F20"/>
          <w:spacing w:val="-5"/>
        </w:rPr>
        <w:t> </w:t>
      </w:r>
      <w:r>
        <w:rPr>
          <w:color w:val="231F20"/>
        </w:rPr>
        <w:t>су:</w:t>
      </w:r>
    </w:p>
    <w:p>
      <w:pPr>
        <w:pStyle w:val="BodyText"/>
        <w:spacing w:line="232" w:lineRule="auto" w:before="2"/>
        <w:ind w:right="40" w:firstLine="396"/>
      </w:pPr>
      <w:r>
        <w:rPr>
          <w:color w:val="231F20"/>
          <w:w w:val="66"/>
        </w:rPr>
        <w:t> </w:t>
      </w:r>
      <w:r>
        <w:rPr>
          <w:color w:val="231F20"/>
        </w:rPr>
        <w:t>– изградња нових и модернизација постојећих привредних капацитета мора да уважава мере заштите животне средине у складу са прописима;</w:t>
      </w:r>
    </w:p>
    <w:p>
      <w:pPr>
        <w:pStyle w:val="BodyText"/>
        <w:spacing w:line="232" w:lineRule="auto" w:before="2"/>
        <w:ind w:right="39" w:firstLine="396"/>
      </w:pPr>
      <w:r>
        <w:rPr>
          <w:color w:val="231F20"/>
          <w:w w:val="66"/>
        </w:rPr>
        <w:t> </w:t>
      </w:r>
      <w:r>
        <w:rPr>
          <w:color w:val="231F20"/>
        </w:rPr>
        <w:t>– капацитете рударско-енергетског комплекса који имају крупне просторне, саобраћајне, комуникационе и инфраструктур- не захтеве усмеравати у оквиру планираних зона/локалитета и ко- ридора, уз спровођење мера заштите животне средине које своде утицаје на околину на најмању/прихватљиву меру;</w:t>
      </w:r>
    </w:p>
    <w:p>
      <w:pPr>
        <w:pStyle w:val="BodyText"/>
        <w:spacing w:line="232" w:lineRule="auto" w:before="3"/>
        <w:ind w:right="39" w:firstLine="396"/>
      </w:pPr>
      <w:r>
        <w:rPr>
          <w:color w:val="231F20"/>
          <w:w w:val="66"/>
        </w:rPr>
        <w:t> </w:t>
      </w:r>
      <w:r>
        <w:rPr>
          <w:color w:val="231F20"/>
        </w:rPr>
        <w:t>– за напуштене објекте рудничког круга у ПК „Ћириковац” предвиђа се намена за привредне активности и пословање;</w:t>
      </w:r>
    </w:p>
    <w:p>
      <w:pPr>
        <w:pStyle w:val="BodyText"/>
        <w:spacing w:line="232" w:lineRule="auto" w:before="1"/>
        <w:ind w:right="39" w:firstLine="397"/>
      </w:pPr>
      <w:r>
        <w:rPr>
          <w:color w:val="231F20"/>
          <w:w w:val="66"/>
        </w:rPr>
        <w:t> </w:t>
      </w:r>
      <w:r>
        <w:rPr>
          <w:color w:val="231F20"/>
        </w:rPr>
        <w:t>–</w:t>
      </w:r>
      <w:r>
        <w:rPr>
          <w:color w:val="231F20"/>
          <w:spacing w:val="-11"/>
        </w:rPr>
        <w:t> </w:t>
      </w:r>
      <w:r>
        <w:rPr>
          <w:color w:val="231F20"/>
        </w:rPr>
        <w:t>за</w:t>
      </w:r>
      <w:r>
        <w:rPr>
          <w:color w:val="231F20"/>
          <w:spacing w:val="-11"/>
        </w:rPr>
        <w:t> </w:t>
      </w:r>
      <w:r>
        <w:rPr>
          <w:color w:val="231F20"/>
        </w:rPr>
        <w:t>скупне</w:t>
      </w:r>
      <w:r>
        <w:rPr>
          <w:color w:val="231F20"/>
          <w:spacing w:val="-11"/>
        </w:rPr>
        <w:t> </w:t>
      </w:r>
      <w:r>
        <w:rPr>
          <w:color w:val="231F20"/>
        </w:rPr>
        <w:t>локације</w:t>
      </w:r>
      <w:r>
        <w:rPr>
          <w:color w:val="231F20"/>
          <w:spacing w:val="-11"/>
        </w:rPr>
        <w:t> </w:t>
      </w:r>
      <w:r>
        <w:rPr>
          <w:color w:val="231F20"/>
        </w:rPr>
        <w:t>(индустријске</w:t>
      </w:r>
      <w:r>
        <w:rPr>
          <w:color w:val="231F20"/>
          <w:spacing w:val="-11"/>
        </w:rPr>
        <w:t> </w:t>
      </w:r>
      <w:r>
        <w:rPr>
          <w:color w:val="231F20"/>
        </w:rPr>
        <w:t>зоне)</w:t>
      </w:r>
      <w:r>
        <w:rPr>
          <w:color w:val="231F20"/>
          <w:spacing w:val="-11"/>
        </w:rPr>
        <w:t> </w:t>
      </w:r>
      <w:r>
        <w:rPr>
          <w:color w:val="231F20"/>
        </w:rPr>
        <w:t>предвидети,</w:t>
      </w:r>
      <w:r>
        <w:rPr>
          <w:color w:val="231F20"/>
          <w:spacing w:val="-11"/>
        </w:rPr>
        <w:t> </w:t>
      </w:r>
      <w:r>
        <w:rPr>
          <w:color w:val="231F20"/>
        </w:rPr>
        <w:t>евенту- ално,</w:t>
      </w:r>
      <w:r>
        <w:rPr>
          <w:color w:val="231F20"/>
          <w:spacing w:val="-8"/>
        </w:rPr>
        <w:t> </w:t>
      </w:r>
      <w:r>
        <w:rPr>
          <w:color w:val="231F20"/>
        </w:rPr>
        <w:t>заједничке</w:t>
      </w:r>
      <w:r>
        <w:rPr>
          <w:color w:val="231F20"/>
          <w:spacing w:val="-8"/>
        </w:rPr>
        <w:t> </w:t>
      </w:r>
      <w:r>
        <w:rPr>
          <w:color w:val="231F20"/>
        </w:rPr>
        <w:t>сервисе</w:t>
      </w:r>
      <w:r>
        <w:rPr>
          <w:color w:val="231F20"/>
          <w:spacing w:val="-8"/>
        </w:rPr>
        <w:t> </w:t>
      </w:r>
      <w:r>
        <w:rPr>
          <w:color w:val="231F20"/>
        </w:rPr>
        <w:t>као</w:t>
      </w:r>
      <w:r>
        <w:rPr>
          <w:color w:val="231F20"/>
          <w:spacing w:val="-8"/>
        </w:rPr>
        <w:t> </w:t>
      </w:r>
      <w:r>
        <w:rPr>
          <w:color w:val="231F20"/>
        </w:rPr>
        <w:t>што</w:t>
      </w:r>
      <w:r>
        <w:rPr>
          <w:color w:val="231F20"/>
          <w:spacing w:val="-8"/>
        </w:rPr>
        <w:t> </w:t>
      </w:r>
      <w:r>
        <w:rPr>
          <w:color w:val="231F20"/>
        </w:rPr>
        <w:t>су:</w:t>
      </w:r>
      <w:r>
        <w:rPr>
          <w:color w:val="231F20"/>
          <w:spacing w:val="-8"/>
        </w:rPr>
        <w:t> </w:t>
      </w:r>
      <w:r>
        <w:rPr>
          <w:color w:val="231F20"/>
          <w:spacing w:val="-3"/>
        </w:rPr>
        <w:t>техничко</w:t>
      </w:r>
      <w:r>
        <w:rPr>
          <w:color w:val="231F20"/>
          <w:spacing w:val="-8"/>
        </w:rPr>
        <w:t> </w:t>
      </w:r>
      <w:r>
        <w:rPr>
          <w:color w:val="231F20"/>
        </w:rPr>
        <w:t>одржавање</w:t>
      </w:r>
      <w:r>
        <w:rPr>
          <w:color w:val="231F20"/>
          <w:spacing w:val="-8"/>
        </w:rPr>
        <w:t> </w:t>
      </w:r>
      <w:r>
        <w:rPr>
          <w:color w:val="231F20"/>
        </w:rPr>
        <w:t>и</w:t>
      </w:r>
      <w:r>
        <w:rPr>
          <w:color w:val="231F20"/>
          <w:spacing w:val="-8"/>
        </w:rPr>
        <w:t> </w:t>
      </w:r>
      <w:r>
        <w:rPr>
          <w:color w:val="231F20"/>
        </w:rPr>
        <w:t>опслу- живање инфраструктурних, складишних и производних објеката, служба обезбеђења и надзора, логистичка</w:t>
      </w:r>
      <w:r>
        <w:rPr>
          <w:color w:val="231F20"/>
          <w:spacing w:val="-8"/>
        </w:rPr>
        <w:t> </w:t>
      </w:r>
      <w:r>
        <w:rPr>
          <w:color w:val="231F20"/>
        </w:rPr>
        <w:t>подршка;</w:t>
      </w:r>
    </w:p>
    <w:p>
      <w:pPr>
        <w:pStyle w:val="BodyText"/>
        <w:spacing w:line="232" w:lineRule="auto" w:before="3"/>
        <w:ind w:right="38" w:firstLine="396"/>
      </w:pPr>
      <w:r>
        <w:rPr>
          <w:color w:val="231F20"/>
          <w:w w:val="66"/>
        </w:rPr>
        <w:t> </w:t>
      </w:r>
      <w:r>
        <w:rPr>
          <w:color w:val="231F20"/>
        </w:rPr>
        <w:t>–</w:t>
      </w:r>
      <w:r>
        <w:rPr>
          <w:color w:val="231F20"/>
          <w:spacing w:val="-11"/>
        </w:rPr>
        <w:t> </w:t>
      </w:r>
      <w:r>
        <w:rPr>
          <w:color w:val="231F20"/>
        </w:rPr>
        <w:t>привредни</w:t>
      </w:r>
      <w:r>
        <w:rPr>
          <w:color w:val="231F20"/>
          <w:spacing w:val="-11"/>
        </w:rPr>
        <w:t> </w:t>
      </w:r>
      <w:r>
        <w:rPr>
          <w:color w:val="231F20"/>
        </w:rPr>
        <w:t>објекти</w:t>
      </w:r>
      <w:r>
        <w:rPr>
          <w:color w:val="231F20"/>
          <w:spacing w:val="-12"/>
        </w:rPr>
        <w:t> </w:t>
      </w:r>
      <w:r>
        <w:rPr>
          <w:color w:val="231F20"/>
        </w:rPr>
        <w:t>морају</w:t>
      </w:r>
      <w:r>
        <w:rPr>
          <w:color w:val="231F20"/>
          <w:spacing w:val="-12"/>
        </w:rPr>
        <w:t> </w:t>
      </w:r>
      <w:r>
        <w:rPr>
          <w:color w:val="231F20"/>
        </w:rPr>
        <w:t>имати</w:t>
      </w:r>
      <w:r>
        <w:rPr>
          <w:color w:val="231F20"/>
          <w:spacing w:val="-12"/>
        </w:rPr>
        <w:t> </w:t>
      </w:r>
      <w:r>
        <w:rPr>
          <w:color w:val="231F20"/>
        </w:rPr>
        <w:t>приступни</w:t>
      </w:r>
      <w:r>
        <w:rPr>
          <w:color w:val="231F20"/>
          <w:spacing w:val="-11"/>
        </w:rPr>
        <w:t> </w:t>
      </w:r>
      <w:r>
        <w:rPr>
          <w:color w:val="231F20"/>
        </w:rPr>
        <w:t>пут</w:t>
      </w:r>
      <w:r>
        <w:rPr>
          <w:color w:val="231F20"/>
          <w:spacing w:val="-12"/>
        </w:rPr>
        <w:t> </w:t>
      </w:r>
      <w:r>
        <w:rPr>
          <w:color w:val="231F20"/>
        </w:rPr>
        <w:t>и</w:t>
      </w:r>
      <w:r>
        <w:rPr>
          <w:color w:val="231F20"/>
          <w:spacing w:val="-12"/>
        </w:rPr>
        <w:t> </w:t>
      </w:r>
      <w:r>
        <w:rPr>
          <w:color w:val="231F20"/>
        </w:rPr>
        <w:t>одговара- јуће комуналне инсталације ради одвијања производног и других процеса или обављања услуга, морају пречишћавати загађене от- падне технолошке воде пре </w:t>
      </w:r>
      <w:r>
        <w:rPr>
          <w:color w:val="231F20"/>
          <w:spacing w:val="-3"/>
        </w:rPr>
        <w:t>улива </w:t>
      </w:r>
      <w:r>
        <w:rPr>
          <w:color w:val="231F20"/>
        </w:rPr>
        <w:t>у </w:t>
      </w:r>
      <w:r>
        <w:rPr>
          <w:color w:val="231F20"/>
          <w:spacing w:val="-3"/>
        </w:rPr>
        <w:t>водотоке, </w:t>
      </w:r>
      <w:r>
        <w:rPr>
          <w:color w:val="231F20"/>
        </w:rPr>
        <w:t>морају организовати депоновање</w:t>
      </w:r>
      <w:r>
        <w:rPr>
          <w:color w:val="231F20"/>
          <w:spacing w:val="-13"/>
        </w:rPr>
        <w:t> </w:t>
      </w:r>
      <w:r>
        <w:rPr>
          <w:color w:val="231F20"/>
        </w:rPr>
        <w:t>неорганског</w:t>
      </w:r>
      <w:r>
        <w:rPr>
          <w:color w:val="231F20"/>
          <w:spacing w:val="-13"/>
        </w:rPr>
        <w:t> </w:t>
      </w:r>
      <w:r>
        <w:rPr>
          <w:color w:val="231F20"/>
        </w:rPr>
        <w:t>индустријског</w:t>
      </w:r>
      <w:r>
        <w:rPr>
          <w:color w:val="231F20"/>
          <w:spacing w:val="-13"/>
        </w:rPr>
        <w:t> </w:t>
      </w:r>
      <w:r>
        <w:rPr>
          <w:color w:val="231F20"/>
        </w:rPr>
        <w:t>отпада</w:t>
      </w:r>
      <w:r>
        <w:rPr>
          <w:color w:val="231F20"/>
          <w:spacing w:val="-13"/>
        </w:rPr>
        <w:t> </w:t>
      </w:r>
      <w:r>
        <w:rPr>
          <w:color w:val="231F20"/>
        </w:rPr>
        <w:t>на</w:t>
      </w:r>
      <w:r>
        <w:rPr>
          <w:color w:val="231F20"/>
          <w:spacing w:val="-13"/>
        </w:rPr>
        <w:t> </w:t>
      </w:r>
      <w:r>
        <w:rPr>
          <w:color w:val="231F20"/>
        </w:rPr>
        <w:t>одговарајући</w:t>
      </w:r>
      <w:r>
        <w:rPr>
          <w:color w:val="231F20"/>
          <w:spacing w:val="-13"/>
        </w:rPr>
        <w:t> </w:t>
      </w:r>
      <w:r>
        <w:rPr>
          <w:color w:val="231F20"/>
        </w:rPr>
        <w:t>на- чин,</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третман/прераду</w:t>
      </w:r>
      <w:r>
        <w:rPr>
          <w:color w:val="231F20"/>
          <w:spacing w:val="-7"/>
        </w:rPr>
        <w:t> </w:t>
      </w:r>
      <w:r>
        <w:rPr>
          <w:color w:val="231F20"/>
        </w:rPr>
        <w:t>органског</w:t>
      </w:r>
      <w:r>
        <w:rPr>
          <w:color w:val="231F20"/>
          <w:spacing w:val="-7"/>
        </w:rPr>
        <w:t> </w:t>
      </w:r>
      <w:r>
        <w:rPr>
          <w:color w:val="231F20"/>
        </w:rPr>
        <w:t>отпада</w:t>
      </w:r>
      <w:r>
        <w:rPr>
          <w:color w:val="231F20"/>
          <w:spacing w:val="-7"/>
        </w:rPr>
        <w:t> </w:t>
      </w:r>
      <w:r>
        <w:rPr>
          <w:color w:val="231F20"/>
        </w:rPr>
        <w:t>у</w:t>
      </w:r>
      <w:r>
        <w:rPr>
          <w:color w:val="231F20"/>
          <w:spacing w:val="-7"/>
        </w:rPr>
        <w:t> </w:t>
      </w:r>
      <w:r>
        <w:rPr>
          <w:color w:val="231F20"/>
        </w:rPr>
        <w:t>складу</w:t>
      </w:r>
      <w:r>
        <w:rPr>
          <w:color w:val="231F20"/>
          <w:spacing w:val="-7"/>
        </w:rPr>
        <w:t> </w:t>
      </w:r>
      <w:r>
        <w:rPr>
          <w:color w:val="231F20"/>
        </w:rPr>
        <w:t>са</w:t>
      </w:r>
      <w:r>
        <w:rPr>
          <w:color w:val="231F20"/>
          <w:spacing w:val="-7"/>
        </w:rPr>
        <w:t> </w:t>
      </w:r>
      <w:r>
        <w:rPr>
          <w:color w:val="231F20"/>
        </w:rPr>
        <w:t>условима заштите животне средине и</w:t>
      </w:r>
      <w:r>
        <w:rPr>
          <w:color w:val="231F20"/>
          <w:spacing w:val="-5"/>
        </w:rPr>
        <w:t> </w:t>
      </w:r>
      <w:r>
        <w:rPr>
          <w:color w:val="231F20"/>
        </w:rPr>
        <w:t>друго.</w:t>
      </w:r>
    </w:p>
    <w:p>
      <w:pPr>
        <w:pStyle w:val="ListParagraph"/>
        <w:numPr>
          <w:ilvl w:val="3"/>
          <w:numId w:val="50"/>
        </w:numPr>
        <w:tabs>
          <w:tab w:pos="1883" w:val="left" w:leader="none"/>
        </w:tabs>
        <w:spacing w:line="240" w:lineRule="auto" w:before="169" w:after="0"/>
        <w:ind w:left="1882" w:right="0" w:hanging="315"/>
        <w:jc w:val="left"/>
        <w:rPr>
          <w:i/>
          <w:sz w:val="18"/>
        </w:rPr>
      </w:pPr>
      <w:r>
        <w:rPr>
          <w:i/>
          <w:color w:val="231F20"/>
          <w:sz w:val="18"/>
        </w:rPr>
        <w:t>Пољопривредне</w:t>
      </w:r>
      <w:r>
        <w:rPr>
          <w:i/>
          <w:color w:val="231F20"/>
          <w:spacing w:val="-2"/>
          <w:sz w:val="18"/>
        </w:rPr>
        <w:t> </w:t>
      </w:r>
      <w:r>
        <w:rPr>
          <w:i/>
          <w:color w:val="231F20"/>
          <w:sz w:val="18"/>
        </w:rPr>
        <w:t>површине</w:t>
      </w:r>
    </w:p>
    <w:p>
      <w:pPr>
        <w:pStyle w:val="BodyText"/>
        <w:spacing w:before="6"/>
        <w:ind w:left="0"/>
        <w:jc w:val="left"/>
        <w:rPr>
          <w:i/>
          <w:sz w:val="17"/>
        </w:rPr>
      </w:pPr>
    </w:p>
    <w:p>
      <w:pPr>
        <w:pStyle w:val="BodyText"/>
        <w:spacing w:line="232" w:lineRule="auto"/>
        <w:ind w:left="171" w:right="38" w:firstLine="396"/>
      </w:pPr>
      <w:r>
        <w:rPr>
          <w:color w:val="231F20"/>
        </w:rPr>
        <w:t>Према Закону о пољопривредном </w:t>
      </w:r>
      <w:r>
        <w:rPr>
          <w:color w:val="231F20"/>
          <w:spacing w:val="-3"/>
        </w:rPr>
        <w:t>земљишту, </w:t>
      </w:r>
      <w:r>
        <w:rPr>
          <w:color w:val="231F20"/>
        </w:rPr>
        <w:t>уређење по- љопривредног земљишта обухвата мере </w:t>
      </w:r>
      <w:r>
        <w:rPr>
          <w:color w:val="231F20"/>
          <w:spacing w:val="-3"/>
        </w:rPr>
        <w:t>којима </w:t>
      </w:r>
      <w:r>
        <w:rPr>
          <w:color w:val="231F20"/>
        </w:rPr>
        <w:t>се реализују про- сторно-плански документи кроз поступак комасације и мере ме- лиорације у циљу побољшања природних и економских услова на пољопривредном </w:t>
      </w:r>
      <w:r>
        <w:rPr>
          <w:color w:val="231F20"/>
          <w:spacing w:val="-3"/>
        </w:rPr>
        <w:t>земљишту. </w:t>
      </w:r>
      <w:r>
        <w:rPr>
          <w:color w:val="231F20"/>
        </w:rPr>
        <w:t>Рекултивација пољопривредног зе- мљишта</w:t>
      </w:r>
      <w:r>
        <w:rPr>
          <w:color w:val="231F20"/>
          <w:spacing w:val="-7"/>
        </w:rPr>
        <w:t> </w:t>
      </w:r>
      <w:r>
        <w:rPr>
          <w:color w:val="231F20"/>
          <w:spacing w:val="-3"/>
        </w:rPr>
        <w:t>које</w:t>
      </w:r>
      <w:r>
        <w:rPr>
          <w:color w:val="231F20"/>
          <w:spacing w:val="-7"/>
        </w:rPr>
        <w:t> </w:t>
      </w:r>
      <w:r>
        <w:rPr>
          <w:color w:val="231F20"/>
        </w:rPr>
        <w:t>је</w:t>
      </w:r>
      <w:r>
        <w:rPr>
          <w:color w:val="231F20"/>
          <w:spacing w:val="-7"/>
        </w:rPr>
        <w:t> </w:t>
      </w:r>
      <w:r>
        <w:rPr>
          <w:color w:val="231F20"/>
        </w:rPr>
        <w:t>коришћено</w:t>
      </w:r>
      <w:r>
        <w:rPr>
          <w:color w:val="231F20"/>
          <w:spacing w:val="-7"/>
        </w:rPr>
        <w:t> </w:t>
      </w:r>
      <w:r>
        <w:rPr>
          <w:color w:val="231F20"/>
        </w:rPr>
        <w:t>за</w:t>
      </w:r>
      <w:r>
        <w:rPr>
          <w:color w:val="231F20"/>
          <w:spacing w:val="-7"/>
        </w:rPr>
        <w:t> </w:t>
      </w:r>
      <w:r>
        <w:rPr>
          <w:color w:val="231F20"/>
        </w:rPr>
        <w:t>експлоатацију</w:t>
      </w:r>
      <w:r>
        <w:rPr>
          <w:color w:val="231F20"/>
          <w:spacing w:val="-8"/>
        </w:rPr>
        <w:t> </w:t>
      </w:r>
      <w:r>
        <w:rPr>
          <w:color w:val="231F20"/>
        </w:rPr>
        <w:t>минералних</w:t>
      </w:r>
      <w:r>
        <w:rPr>
          <w:color w:val="231F20"/>
          <w:spacing w:val="-7"/>
        </w:rPr>
        <w:t> </w:t>
      </w:r>
      <w:r>
        <w:rPr>
          <w:color w:val="231F20"/>
        </w:rPr>
        <w:t>сировина сврстана је у</w:t>
      </w:r>
      <w:r>
        <w:rPr>
          <w:color w:val="231F20"/>
          <w:spacing w:val="-2"/>
        </w:rPr>
        <w:t> </w:t>
      </w:r>
      <w:r>
        <w:rPr>
          <w:color w:val="231F20"/>
        </w:rPr>
        <w:t>мелиорације.</w:t>
      </w:r>
    </w:p>
    <w:p>
      <w:pPr>
        <w:pStyle w:val="BodyText"/>
        <w:spacing w:line="232" w:lineRule="auto" w:before="5"/>
        <w:ind w:left="171" w:right="38" w:firstLine="396"/>
      </w:pPr>
      <w:r>
        <w:rPr>
          <w:color w:val="231F20"/>
        </w:rPr>
        <w:t>У складу са Законом о пољопривредном земљишту, </w:t>
      </w:r>
      <w:r>
        <w:rPr>
          <w:i/>
          <w:color w:val="231F20"/>
        </w:rPr>
        <w:t>експро- </w:t>
      </w:r>
      <w:r>
        <w:rPr>
          <w:i/>
          <w:color w:val="231F20"/>
        </w:rPr>
        <w:t>присано пољопривредно земљиште </w:t>
      </w:r>
      <w:r>
        <w:rPr>
          <w:color w:val="231F20"/>
        </w:rPr>
        <w:t>се до времена привођења пла- нираној рударској, односно инфраструктурној намени, користи за пољопривредну производњу. На том земљишту, исто као и на зе- мљиштима која планским решењима трајно задржавају пољопри- вредну намену, забрањено је:</w:t>
      </w:r>
    </w:p>
    <w:p>
      <w:pPr>
        <w:pStyle w:val="BodyText"/>
        <w:spacing w:line="203" w:lineRule="exact"/>
        <w:ind w:left="568"/>
        <w:jc w:val="left"/>
      </w:pPr>
      <w:r>
        <w:rPr>
          <w:color w:val="231F20"/>
          <w:w w:val="66"/>
        </w:rPr>
        <w:t> </w:t>
      </w:r>
      <w:r>
        <w:rPr>
          <w:color w:val="231F20"/>
        </w:rPr>
        <w:t>– испуштање и одлагање опасних и штетних материја;</w:t>
      </w:r>
    </w:p>
    <w:p>
      <w:pPr>
        <w:pStyle w:val="BodyText"/>
        <w:spacing w:line="201" w:lineRule="exact"/>
        <w:ind w:left="568"/>
        <w:jc w:val="left"/>
      </w:pPr>
      <w:r>
        <w:rPr>
          <w:color w:val="231F20"/>
          <w:w w:val="66"/>
        </w:rPr>
        <w:t> </w:t>
      </w:r>
      <w:r>
        <w:rPr>
          <w:color w:val="231F20"/>
        </w:rPr>
        <w:t>– коришћење биолошки неразградиве фолије;</w:t>
      </w:r>
    </w:p>
    <w:p>
      <w:pPr>
        <w:pStyle w:val="BodyText"/>
        <w:spacing w:line="232" w:lineRule="auto" w:before="2"/>
        <w:ind w:left="171" w:right="38" w:firstLine="396"/>
      </w:pPr>
      <w:r>
        <w:rPr>
          <w:color w:val="231F20"/>
          <w:w w:val="66"/>
        </w:rPr>
        <w:t> </w:t>
      </w:r>
      <w:r>
        <w:rPr>
          <w:color w:val="231F20"/>
        </w:rPr>
        <w:t>– уништавање и оштећење усева, садница, стабала и пољо- привредне механизације на имањима;</w:t>
      </w:r>
    </w:p>
    <w:p>
      <w:pPr>
        <w:pStyle w:val="BodyText"/>
        <w:spacing w:line="232" w:lineRule="auto" w:before="1"/>
        <w:ind w:left="171" w:right="38" w:firstLine="396"/>
      </w:pPr>
      <w:r>
        <w:rPr>
          <w:color w:val="231F20"/>
          <w:w w:val="66"/>
        </w:rPr>
        <w:t> </w:t>
      </w:r>
      <w:r>
        <w:rPr>
          <w:color w:val="231F20"/>
        </w:rPr>
        <w:t>–</w:t>
      </w:r>
      <w:r>
        <w:rPr>
          <w:color w:val="231F20"/>
          <w:spacing w:val="-15"/>
        </w:rPr>
        <w:t> </w:t>
      </w:r>
      <w:r>
        <w:rPr>
          <w:color w:val="231F20"/>
          <w:spacing w:val="-4"/>
        </w:rPr>
        <w:t>изазивање</w:t>
      </w:r>
      <w:r>
        <w:rPr>
          <w:color w:val="231F20"/>
          <w:spacing w:val="-15"/>
        </w:rPr>
        <w:t> </w:t>
      </w:r>
      <w:r>
        <w:rPr>
          <w:color w:val="231F20"/>
          <w:spacing w:val="-4"/>
        </w:rPr>
        <w:t>оштећења</w:t>
      </w:r>
      <w:r>
        <w:rPr>
          <w:color w:val="231F20"/>
          <w:spacing w:val="-15"/>
        </w:rPr>
        <w:t> </w:t>
      </w:r>
      <w:r>
        <w:rPr>
          <w:color w:val="231F20"/>
          <w:spacing w:val="-6"/>
        </w:rPr>
        <w:t>која</w:t>
      </w:r>
      <w:r>
        <w:rPr>
          <w:color w:val="231F20"/>
          <w:spacing w:val="-15"/>
        </w:rPr>
        <w:t> </w:t>
      </w:r>
      <w:r>
        <w:rPr>
          <w:color w:val="231F20"/>
          <w:spacing w:val="-5"/>
        </w:rPr>
        <w:t>доводе</w:t>
      </w:r>
      <w:r>
        <w:rPr>
          <w:color w:val="231F20"/>
          <w:spacing w:val="-15"/>
        </w:rPr>
        <w:t> </w:t>
      </w:r>
      <w:r>
        <w:rPr>
          <w:color w:val="231F20"/>
        </w:rPr>
        <w:t>до</w:t>
      </w:r>
      <w:r>
        <w:rPr>
          <w:color w:val="231F20"/>
          <w:spacing w:val="-15"/>
        </w:rPr>
        <w:t> </w:t>
      </w:r>
      <w:r>
        <w:rPr>
          <w:color w:val="231F20"/>
          <w:spacing w:val="-4"/>
        </w:rPr>
        <w:t>смањења</w:t>
      </w:r>
      <w:r>
        <w:rPr>
          <w:color w:val="231F20"/>
          <w:spacing w:val="-15"/>
        </w:rPr>
        <w:t> </w:t>
      </w:r>
      <w:r>
        <w:rPr>
          <w:color w:val="231F20"/>
          <w:spacing w:val="-4"/>
        </w:rPr>
        <w:t>продуктивности, структуре</w:t>
      </w:r>
      <w:r>
        <w:rPr>
          <w:color w:val="231F20"/>
          <w:spacing w:val="-7"/>
        </w:rPr>
        <w:t> </w:t>
      </w:r>
      <w:r>
        <w:rPr>
          <w:color w:val="231F20"/>
        </w:rPr>
        <w:t>и</w:t>
      </w:r>
      <w:r>
        <w:rPr>
          <w:color w:val="231F20"/>
          <w:spacing w:val="-7"/>
        </w:rPr>
        <w:t> </w:t>
      </w:r>
      <w:r>
        <w:rPr>
          <w:color w:val="231F20"/>
          <w:spacing w:val="-4"/>
        </w:rPr>
        <w:t>слојева,</w:t>
      </w:r>
      <w:r>
        <w:rPr>
          <w:color w:val="231F20"/>
          <w:spacing w:val="-7"/>
        </w:rPr>
        <w:t> </w:t>
      </w:r>
      <w:r>
        <w:rPr>
          <w:color w:val="231F20"/>
          <w:spacing w:val="-4"/>
        </w:rPr>
        <w:t>као</w:t>
      </w:r>
      <w:r>
        <w:rPr>
          <w:color w:val="231F20"/>
          <w:spacing w:val="-7"/>
        </w:rPr>
        <w:t> </w:t>
      </w:r>
      <w:r>
        <w:rPr>
          <w:color w:val="231F20"/>
        </w:rPr>
        <w:t>и</w:t>
      </w:r>
      <w:r>
        <w:rPr>
          <w:color w:val="231F20"/>
          <w:spacing w:val="-7"/>
        </w:rPr>
        <w:t> </w:t>
      </w:r>
      <w:r>
        <w:rPr>
          <w:color w:val="231F20"/>
          <w:spacing w:val="-3"/>
        </w:rPr>
        <w:t>свих</w:t>
      </w:r>
      <w:r>
        <w:rPr>
          <w:color w:val="231F20"/>
          <w:spacing w:val="-7"/>
        </w:rPr>
        <w:t> </w:t>
      </w:r>
      <w:r>
        <w:rPr>
          <w:color w:val="231F20"/>
          <w:spacing w:val="-4"/>
        </w:rPr>
        <w:t>других</w:t>
      </w:r>
      <w:r>
        <w:rPr>
          <w:color w:val="231F20"/>
          <w:spacing w:val="-7"/>
        </w:rPr>
        <w:t> </w:t>
      </w:r>
      <w:r>
        <w:rPr>
          <w:color w:val="231F20"/>
          <w:spacing w:val="-4"/>
        </w:rPr>
        <w:t>оштећења</w:t>
      </w:r>
      <w:r>
        <w:rPr>
          <w:color w:val="231F20"/>
          <w:spacing w:val="-7"/>
        </w:rPr>
        <w:t> </w:t>
      </w:r>
      <w:r>
        <w:rPr>
          <w:color w:val="231F20"/>
          <w:spacing w:val="-5"/>
        </w:rPr>
        <w:t>педолошког</w:t>
      </w:r>
      <w:r>
        <w:rPr>
          <w:color w:val="231F20"/>
          <w:spacing w:val="-7"/>
        </w:rPr>
        <w:t> </w:t>
      </w:r>
      <w:r>
        <w:rPr>
          <w:color w:val="231F20"/>
          <w:spacing w:val="-4"/>
        </w:rPr>
        <w:t>слоја;</w:t>
      </w:r>
    </w:p>
    <w:p>
      <w:pPr>
        <w:pStyle w:val="BodyText"/>
        <w:spacing w:line="200" w:lineRule="exact"/>
        <w:ind w:left="568"/>
        <w:jc w:val="left"/>
      </w:pPr>
      <w:r>
        <w:rPr>
          <w:color w:val="231F20"/>
          <w:w w:val="66"/>
        </w:rPr>
        <w:t> </w:t>
      </w:r>
      <w:r>
        <w:rPr>
          <w:color w:val="231F20"/>
        </w:rPr>
        <w:t>– спаљивање органских остатака после жетве усева;</w:t>
      </w:r>
    </w:p>
    <w:p>
      <w:pPr>
        <w:pStyle w:val="BodyText"/>
        <w:spacing w:line="232" w:lineRule="auto" w:before="2"/>
        <w:ind w:left="171" w:right="38" w:firstLine="396"/>
      </w:pPr>
      <w:r>
        <w:rPr>
          <w:color w:val="231F20"/>
          <w:w w:val="66"/>
        </w:rPr>
        <w:t> </w:t>
      </w:r>
      <w:r>
        <w:rPr>
          <w:color w:val="231F20"/>
        </w:rPr>
        <w:t>– сеча мањих састојина шумског растиња на ораницама и дуж водотока; и друго.</w:t>
      </w:r>
    </w:p>
    <w:p>
      <w:pPr>
        <w:spacing w:line="232" w:lineRule="auto" w:before="2"/>
        <w:ind w:left="171" w:right="38" w:firstLine="396"/>
        <w:jc w:val="both"/>
        <w:rPr>
          <w:sz w:val="18"/>
        </w:rPr>
      </w:pPr>
      <w:r>
        <w:rPr>
          <w:i/>
          <w:color w:val="231F20"/>
          <w:sz w:val="18"/>
        </w:rPr>
        <w:t>Чување и заштита  површина  пољопривредног  земљишта </w:t>
      </w:r>
      <w:r>
        <w:rPr>
          <w:color w:val="231F20"/>
          <w:sz w:val="18"/>
        </w:rPr>
        <w:t>у процесу усмеравања просторног развоја подручја </w:t>
      </w:r>
      <w:r>
        <w:rPr>
          <w:color w:val="231F20"/>
          <w:spacing w:val="-3"/>
          <w:sz w:val="18"/>
        </w:rPr>
        <w:t>Костолачког </w:t>
      </w:r>
      <w:r>
        <w:rPr>
          <w:color w:val="231F20"/>
          <w:sz w:val="18"/>
        </w:rPr>
        <w:t>угљеног басена засниваће се на следећим општим</w:t>
      </w:r>
      <w:r>
        <w:rPr>
          <w:color w:val="231F20"/>
          <w:spacing w:val="-14"/>
          <w:sz w:val="18"/>
        </w:rPr>
        <w:t> </w:t>
      </w:r>
      <w:r>
        <w:rPr>
          <w:color w:val="231F20"/>
          <w:sz w:val="18"/>
        </w:rPr>
        <w:t>правилима:</w:t>
      </w:r>
    </w:p>
    <w:p>
      <w:pPr>
        <w:pStyle w:val="BodyText"/>
        <w:spacing w:line="232" w:lineRule="auto" w:before="2"/>
        <w:ind w:left="171" w:right="38" w:firstLine="396"/>
      </w:pPr>
      <w:r>
        <w:rPr>
          <w:color w:val="231F20"/>
          <w:w w:val="66"/>
        </w:rPr>
        <w:t> </w:t>
      </w:r>
      <w:r>
        <w:rPr>
          <w:color w:val="231F20"/>
        </w:rPr>
        <w:t>– на </w:t>
      </w:r>
      <w:r>
        <w:rPr>
          <w:color w:val="231F20"/>
          <w:spacing w:val="-3"/>
        </w:rPr>
        <w:t>пољопривредном земљишту </w:t>
      </w:r>
      <w:r>
        <w:rPr>
          <w:color w:val="231F20"/>
        </w:rPr>
        <w:t>је дозвољена изградња обје- </w:t>
      </w:r>
      <w:r>
        <w:rPr>
          <w:color w:val="231F20"/>
          <w:spacing w:val="-3"/>
        </w:rPr>
        <w:t>ката </w:t>
      </w:r>
      <w:r>
        <w:rPr>
          <w:color w:val="231F20"/>
          <w:spacing w:val="-4"/>
        </w:rPr>
        <w:t>који </w:t>
      </w:r>
      <w:r>
        <w:rPr>
          <w:color w:val="231F20"/>
          <w:spacing w:val="-3"/>
        </w:rPr>
        <w:t>служе </w:t>
      </w:r>
      <w:r>
        <w:rPr>
          <w:color w:val="231F20"/>
        </w:rPr>
        <w:t>за </w:t>
      </w:r>
      <w:r>
        <w:rPr>
          <w:color w:val="231F20"/>
          <w:spacing w:val="-3"/>
        </w:rPr>
        <w:t>одбрану </w:t>
      </w:r>
      <w:r>
        <w:rPr>
          <w:color w:val="231F20"/>
          <w:spacing w:val="-4"/>
        </w:rPr>
        <w:t>од </w:t>
      </w:r>
      <w:r>
        <w:rPr>
          <w:color w:val="231F20"/>
          <w:spacing w:val="-3"/>
        </w:rPr>
        <w:t>поплава, </w:t>
      </w:r>
      <w:r>
        <w:rPr>
          <w:color w:val="231F20"/>
          <w:spacing w:val="-4"/>
        </w:rPr>
        <w:t>одводњавање, </w:t>
      </w:r>
      <w:r>
        <w:rPr>
          <w:color w:val="231F20"/>
          <w:spacing w:val="-3"/>
        </w:rPr>
        <w:t>наводњавање, </w:t>
      </w:r>
      <w:r>
        <w:rPr>
          <w:color w:val="231F20"/>
        </w:rPr>
        <w:t>уређење </w:t>
      </w:r>
      <w:r>
        <w:rPr>
          <w:color w:val="231F20"/>
          <w:spacing w:val="-3"/>
        </w:rPr>
        <w:t>бујичних </w:t>
      </w:r>
      <w:r>
        <w:rPr>
          <w:color w:val="231F20"/>
          <w:spacing w:val="-4"/>
        </w:rPr>
        <w:t>токова, </w:t>
      </w:r>
      <w:r>
        <w:rPr>
          <w:color w:val="231F20"/>
          <w:spacing w:val="-3"/>
        </w:rPr>
        <w:t>као </w:t>
      </w:r>
      <w:r>
        <w:rPr>
          <w:color w:val="231F20"/>
        </w:rPr>
        <w:t>и за </w:t>
      </w:r>
      <w:r>
        <w:rPr>
          <w:color w:val="231F20"/>
          <w:spacing w:val="-3"/>
        </w:rPr>
        <w:t>регулацију </w:t>
      </w:r>
      <w:r>
        <w:rPr>
          <w:color w:val="231F20"/>
          <w:spacing w:val="-4"/>
        </w:rPr>
        <w:t>водотока </w:t>
      </w:r>
      <w:r>
        <w:rPr>
          <w:color w:val="231F20"/>
        </w:rPr>
        <w:t>и прошире- ње</w:t>
      </w:r>
      <w:r>
        <w:rPr>
          <w:color w:val="231F20"/>
          <w:spacing w:val="-11"/>
        </w:rPr>
        <w:t> </w:t>
      </w:r>
      <w:r>
        <w:rPr>
          <w:color w:val="231F20"/>
        </w:rPr>
        <w:t>пољских</w:t>
      </w:r>
      <w:r>
        <w:rPr>
          <w:color w:val="231F20"/>
          <w:spacing w:val="-11"/>
        </w:rPr>
        <w:t> </w:t>
      </w:r>
      <w:r>
        <w:rPr>
          <w:color w:val="231F20"/>
          <w:spacing w:val="-3"/>
        </w:rPr>
        <w:t>путева</w:t>
      </w:r>
      <w:r>
        <w:rPr>
          <w:color w:val="231F20"/>
          <w:spacing w:val="-11"/>
        </w:rPr>
        <w:t> </w:t>
      </w:r>
      <w:r>
        <w:rPr>
          <w:color w:val="231F20"/>
        </w:rPr>
        <w:t>у</w:t>
      </w:r>
      <w:r>
        <w:rPr>
          <w:color w:val="231F20"/>
          <w:spacing w:val="-11"/>
        </w:rPr>
        <w:t> </w:t>
      </w:r>
      <w:r>
        <w:rPr>
          <w:color w:val="231F20"/>
          <w:spacing w:val="-3"/>
        </w:rPr>
        <w:t>функцији</w:t>
      </w:r>
      <w:r>
        <w:rPr>
          <w:color w:val="231F20"/>
          <w:spacing w:val="-11"/>
        </w:rPr>
        <w:t> </w:t>
      </w:r>
      <w:r>
        <w:rPr>
          <w:color w:val="231F20"/>
        </w:rPr>
        <w:t>уређења</w:t>
      </w:r>
      <w:r>
        <w:rPr>
          <w:color w:val="231F20"/>
          <w:spacing w:val="-11"/>
        </w:rPr>
        <w:t> </w:t>
      </w:r>
      <w:r>
        <w:rPr>
          <w:color w:val="231F20"/>
          <w:spacing w:val="-3"/>
        </w:rPr>
        <w:t>пољопривредног</w:t>
      </w:r>
      <w:r>
        <w:rPr>
          <w:color w:val="231F20"/>
          <w:spacing w:val="-11"/>
        </w:rPr>
        <w:t> </w:t>
      </w:r>
      <w:r>
        <w:rPr>
          <w:color w:val="231F20"/>
        </w:rPr>
        <w:t>земљишта</w:t>
      </w:r>
    </w:p>
    <w:p>
      <w:pPr>
        <w:pStyle w:val="BodyText"/>
        <w:spacing w:line="232" w:lineRule="auto" w:before="2"/>
        <w:ind w:left="171" w:right="38" w:firstLine="397"/>
      </w:pPr>
      <w:r>
        <w:rPr>
          <w:color w:val="231F20"/>
          <w:w w:val="66"/>
        </w:rPr>
        <w:t> </w:t>
      </w:r>
      <w:r>
        <w:rPr>
          <w:color w:val="231F20"/>
        </w:rPr>
        <w:t>– на пољопривредном земљишту је дозвољена изградња или реконструкција породичне стамбене зграде пољопривредног до- маћинства у циљу побољшања услова становања чланова тог до- маћинства или у случају природног раздвајања пољопривредног домаћинства;</w:t>
      </w:r>
    </w:p>
    <w:p>
      <w:pPr>
        <w:pStyle w:val="BodyText"/>
        <w:spacing w:line="232" w:lineRule="auto" w:before="67"/>
        <w:ind w:right="409" w:firstLine="396"/>
      </w:pPr>
      <w:r>
        <w:rPr/>
        <w:br w:type="column"/>
      </w:r>
      <w:r>
        <w:rPr>
          <w:color w:val="231F20"/>
          <w:w w:val="66"/>
        </w:rPr>
        <w:t> </w:t>
      </w:r>
      <w:r>
        <w:rPr>
          <w:color w:val="231F20"/>
        </w:rPr>
        <w:t>– на пољопривредном земљишту је дозвољена изградња пратећих објеката за смештај пољопривредне механизације и ре- проматеријала, смештај и чување готових пољопривредних про- извода,</w:t>
      </w:r>
      <w:r>
        <w:rPr>
          <w:color w:val="231F20"/>
          <w:spacing w:val="-8"/>
        </w:rPr>
        <w:t> </w:t>
      </w:r>
      <w:r>
        <w:rPr>
          <w:color w:val="231F20"/>
        </w:rPr>
        <w:t>стаја</w:t>
      </w:r>
      <w:r>
        <w:rPr>
          <w:color w:val="231F20"/>
          <w:spacing w:val="-8"/>
        </w:rPr>
        <w:t> </w:t>
      </w:r>
      <w:r>
        <w:rPr>
          <w:color w:val="231F20"/>
        </w:rPr>
        <w:t>за</w:t>
      </w:r>
      <w:r>
        <w:rPr>
          <w:color w:val="231F20"/>
          <w:spacing w:val="-8"/>
        </w:rPr>
        <w:t> </w:t>
      </w:r>
      <w:r>
        <w:rPr>
          <w:color w:val="231F20"/>
        </w:rPr>
        <w:t>гајење</w:t>
      </w:r>
      <w:r>
        <w:rPr>
          <w:color w:val="231F20"/>
          <w:spacing w:val="-8"/>
        </w:rPr>
        <w:t> </w:t>
      </w:r>
      <w:r>
        <w:rPr>
          <w:color w:val="231F20"/>
        </w:rPr>
        <w:t>стоке,</w:t>
      </w:r>
      <w:r>
        <w:rPr>
          <w:color w:val="231F20"/>
          <w:spacing w:val="-8"/>
        </w:rPr>
        <w:t> </w:t>
      </w:r>
      <w:r>
        <w:rPr>
          <w:color w:val="231F20"/>
        </w:rPr>
        <w:t>објеката</w:t>
      </w:r>
      <w:r>
        <w:rPr>
          <w:color w:val="231F20"/>
          <w:spacing w:val="-8"/>
        </w:rPr>
        <w:t> </w:t>
      </w:r>
      <w:r>
        <w:rPr>
          <w:color w:val="231F20"/>
        </w:rPr>
        <w:t>за</w:t>
      </w:r>
      <w:r>
        <w:rPr>
          <w:color w:val="231F20"/>
          <w:spacing w:val="-8"/>
        </w:rPr>
        <w:t> </w:t>
      </w:r>
      <w:r>
        <w:rPr>
          <w:color w:val="231F20"/>
        </w:rPr>
        <w:t>гајење</w:t>
      </w:r>
      <w:r>
        <w:rPr>
          <w:color w:val="231F20"/>
          <w:spacing w:val="-8"/>
        </w:rPr>
        <w:t> </w:t>
      </w:r>
      <w:r>
        <w:rPr>
          <w:color w:val="231F20"/>
        </w:rPr>
        <w:t>и</w:t>
      </w:r>
      <w:r>
        <w:rPr>
          <w:color w:val="231F20"/>
          <w:spacing w:val="-8"/>
        </w:rPr>
        <w:t> </w:t>
      </w:r>
      <w:r>
        <w:rPr>
          <w:color w:val="231F20"/>
        </w:rPr>
        <w:t>приказивање</w:t>
      </w:r>
      <w:r>
        <w:rPr>
          <w:color w:val="231F20"/>
          <w:spacing w:val="-8"/>
        </w:rPr>
        <w:t> </w:t>
      </w:r>
      <w:r>
        <w:rPr>
          <w:color w:val="231F20"/>
        </w:rPr>
        <w:t>ста- рих </w:t>
      </w:r>
      <w:r>
        <w:rPr>
          <w:color w:val="231F20"/>
          <w:spacing w:val="-3"/>
        </w:rPr>
        <w:t>аутохтоних </w:t>
      </w:r>
      <w:r>
        <w:rPr>
          <w:color w:val="231F20"/>
        </w:rPr>
        <w:t>сорти биљних </w:t>
      </w:r>
      <w:r>
        <w:rPr>
          <w:color w:val="231F20"/>
          <w:spacing w:val="-3"/>
        </w:rPr>
        <w:t>култура </w:t>
      </w:r>
      <w:r>
        <w:rPr>
          <w:color w:val="231F20"/>
        </w:rPr>
        <w:t>и раса домаћих животиња, подизање стакленика, пластеника, рибњака и других економских објеката </w:t>
      </w:r>
      <w:r>
        <w:rPr>
          <w:color w:val="231F20"/>
          <w:spacing w:val="-3"/>
        </w:rPr>
        <w:t>који </w:t>
      </w:r>
      <w:r>
        <w:rPr>
          <w:color w:val="231F20"/>
        </w:rPr>
        <w:t>су у функцији примарне пољопривредне производ- ње, а власнику је пољопривреда основна делатност и </w:t>
      </w:r>
      <w:r>
        <w:rPr>
          <w:color w:val="231F20"/>
          <w:spacing w:val="-4"/>
        </w:rPr>
        <w:t>ако </w:t>
      </w:r>
      <w:r>
        <w:rPr>
          <w:color w:val="231F20"/>
        </w:rPr>
        <w:t>не посе- дује друго одговарајуће необрадиво</w:t>
      </w:r>
      <w:r>
        <w:rPr>
          <w:color w:val="231F20"/>
          <w:spacing w:val="-4"/>
        </w:rPr>
        <w:t> </w:t>
      </w:r>
      <w:r>
        <w:rPr>
          <w:color w:val="231F20"/>
        </w:rPr>
        <w:t>земљиште;</w:t>
      </w:r>
    </w:p>
    <w:p>
      <w:pPr>
        <w:pStyle w:val="BodyText"/>
        <w:spacing w:line="232" w:lineRule="auto" w:before="3"/>
        <w:ind w:right="409" w:firstLine="397"/>
      </w:pPr>
      <w:r>
        <w:rPr>
          <w:color w:val="231F20"/>
          <w:w w:val="66"/>
        </w:rPr>
        <w:t> </w:t>
      </w:r>
      <w:r>
        <w:rPr>
          <w:color w:val="231F20"/>
        </w:rPr>
        <w:t>– при избору локације за изградњу пољопривредних стам- бених и економских објеката треба водити рачуна о квалитету зе- мљишта и где год је то могуће објекте лоцирати на земљиштима нижих бонитетних карактеристика;</w:t>
      </w:r>
    </w:p>
    <w:p>
      <w:pPr>
        <w:pStyle w:val="BodyText"/>
        <w:spacing w:line="232" w:lineRule="auto" w:before="1"/>
        <w:ind w:right="409" w:firstLine="397"/>
      </w:pPr>
      <w:r>
        <w:rPr>
          <w:color w:val="231F20"/>
          <w:w w:val="66"/>
        </w:rPr>
        <w:t> </w:t>
      </w:r>
      <w:r>
        <w:rPr>
          <w:color w:val="231F20"/>
        </w:rPr>
        <w:t>–</w:t>
      </w:r>
      <w:r>
        <w:rPr>
          <w:color w:val="231F20"/>
          <w:spacing w:val="-13"/>
        </w:rPr>
        <w:t> </w:t>
      </w:r>
      <w:r>
        <w:rPr>
          <w:color w:val="231F20"/>
        </w:rPr>
        <w:t>на</w:t>
      </w:r>
      <w:r>
        <w:rPr>
          <w:color w:val="231F20"/>
          <w:spacing w:val="-13"/>
        </w:rPr>
        <w:t> </w:t>
      </w:r>
      <w:r>
        <w:rPr>
          <w:color w:val="231F20"/>
        </w:rPr>
        <w:t>обрадивом</w:t>
      </w:r>
      <w:r>
        <w:rPr>
          <w:color w:val="231F20"/>
          <w:spacing w:val="-13"/>
        </w:rPr>
        <w:t> </w:t>
      </w:r>
      <w:r>
        <w:rPr>
          <w:color w:val="231F20"/>
        </w:rPr>
        <w:t>пољопривредном</w:t>
      </w:r>
      <w:r>
        <w:rPr>
          <w:color w:val="231F20"/>
          <w:spacing w:val="-13"/>
        </w:rPr>
        <w:t> </w:t>
      </w:r>
      <w:r>
        <w:rPr>
          <w:color w:val="231F20"/>
        </w:rPr>
        <w:t>земљишту</w:t>
      </w:r>
      <w:r>
        <w:rPr>
          <w:color w:val="231F20"/>
          <w:spacing w:val="-13"/>
        </w:rPr>
        <w:t> </w:t>
      </w:r>
      <w:r>
        <w:rPr>
          <w:color w:val="231F20"/>
        </w:rPr>
        <w:t>је</w:t>
      </w:r>
      <w:r>
        <w:rPr>
          <w:color w:val="231F20"/>
          <w:spacing w:val="-13"/>
        </w:rPr>
        <w:t> </w:t>
      </w:r>
      <w:r>
        <w:rPr>
          <w:color w:val="231F20"/>
        </w:rPr>
        <w:t>дозвољено</w:t>
      </w:r>
      <w:r>
        <w:rPr>
          <w:color w:val="231F20"/>
          <w:spacing w:val="-13"/>
        </w:rPr>
        <w:t> </w:t>
      </w:r>
      <w:r>
        <w:rPr>
          <w:color w:val="231F20"/>
        </w:rPr>
        <w:t>по- дизање расадника за производњу репродуктивног материјала воћ- но - лозних и шумских дрвенастих врста</w:t>
      </w:r>
      <w:r>
        <w:rPr>
          <w:color w:val="231F20"/>
          <w:spacing w:val="-5"/>
        </w:rPr>
        <w:t> </w:t>
      </w:r>
      <w:r>
        <w:rPr>
          <w:color w:val="231F20"/>
        </w:rPr>
        <w:t>и</w:t>
      </w:r>
    </w:p>
    <w:p>
      <w:pPr>
        <w:pStyle w:val="BodyText"/>
        <w:spacing w:line="232" w:lineRule="auto" w:before="1"/>
        <w:ind w:right="409" w:firstLine="396"/>
      </w:pPr>
      <w:r>
        <w:rPr>
          <w:color w:val="231F20"/>
          <w:w w:val="66"/>
        </w:rPr>
        <w:t> </w:t>
      </w:r>
      <w:r>
        <w:rPr>
          <w:color w:val="231F20"/>
        </w:rPr>
        <w:t>– с </w:t>
      </w:r>
      <w:r>
        <w:rPr>
          <w:color w:val="231F20"/>
          <w:spacing w:val="-3"/>
        </w:rPr>
        <w:t>обзиром </w:t>
      </w:r>
      <w:r>
        <w:rPr>
          <w:color w:val="231F20"/>
        </w:rPr>
        <w:t>на </w:t>
      </w:r>
      <w:r>
        <w:rPr>
          <w:color w:val="231F20"/>
          <w:spacing w:val="-3"/>
        </w:rPr>
        <w:t>преовлађивање </w:t>
      </w:r>
      <w:r>
        <w:rPr>
          <w:color w:val="231F20"/>
        </w:rPr>
        <w:t>равничарских терена, </w:t>
      </w:r>
      <w:r>
        <w:rPr>
          <w:color w:val="231F20"/>
          <w:spacing w:val="-3"/>
        </w:rPr>
        <w:t>изложе- </w:t>
      </w:r>
      <w:r>
        <w:rPr>
          <w:color w:val="231F20"/>
        </w:rPr>
        <w:t>них учесталим јаким ветровима, посебну пажњу треба поклонити </w:t>
      </w:r>
      <w:r>
        <w:rPr>
          <w:color w:val="231F20"/>
          <w:spacing w:val="-3"/>
        </w:rPr>
        <w:t>формирању </w:t>
      </w:r>
      <w:r>
        <w:rPr>
          <w:color w:val="231F20"/>
        </w:rPr>
        <w:t>пољозаштитних појасева и </w:t>
      </w:r>
      <w:r>
        <w:rPr>
          <w:color w:val="231F20"/>
          <w:spacing w:val="-3"/>
        </w:rPr>
        <w:t>других видова </w:t>
      </w:r>
      <w:r>
        <w:rPr>
          <w:color w:val="231F20"/>
        </w:rPr>
        <w:t>заштите </w:t>
      </w:r>
      <w:r>
        <w:rPr>
          <w:color w:val="231F20"/>
          <w:spacing w:val="-4"/>
        </w:rPr>
        <w:t>од </w:t>
      </w:r>
      <w:r>
        <w:rPr>
          <w:color w:val="231F20"/>
          <w:spacing w:val="-3"/>
        </w:rPr>
        <w:t>еолске, </w:t>
      </w:r>
      <w:r>
        <w:rPr>
          <w:color w:val="231F20"/>
        </w:rPr>
        <w:t>а местимично и </w:t>
      </w:r>
      <w:r>
        <w:rPr>
          <w:color w:val="231F20"/>
          <w:spacing w:val="-4"/>
        </w:rPr>
        <w:t>од водне </w:t>
      </w:r>
      <w:r>
        <w:rPr>
          <w:color w:val="231F20"/>
        </w:rPr>
        <w:t>ерозије, </w:t>
      </w:r>
      <w:r>
        <w:rPr>
          <w:color w:val="231F20"/>
          <w:spacing w:val="-3"/>
        </w:rPr>
        <w:t>применом одговарајућих агротехничких </w:t>
      </w:r>
      <w:r>
        <w:rPr>
          <w:color w:val="231F20"/>
        </w:rPr>
        <w:t>и </w:t>
      </w:r>
      <w:r>
        <w:rPr>
          <w:color w:val="231F20"/>
          <w:spacing w:val="-3"/>
        </w:rPr>
        <w:t>шумских радова, односно усклађивањем начина коришћења</w:t>
      </w:r>
      <w:r>
        <w:rPr>
          <w:color w:val="231F20"/>
          <w:spacing w:val="-8"/>
        </w:rPr>
        <w:t> </w:t>
      </w:r>
      <w:r>
        <w:rPr>
          <w:color w:val="231F20"/>
        </w:rPr>
        <w:t>земљишта</w:t>
      </w:r>
      <w:r>
        <w:rPr>
          <w:color w:val="231F20"/>
          <w:spacing w:val="-8"/>
        </w:rPr>
        <w:t> </w:t>
      </w:r>
      <w:r>
        <w:rPr>
          <w:color w:val="231F20"/>
        </w:rPr>
        <w:t>с</w:t>
      </w:r>
      <w:r>
        <w:rPr>
          <w:color w:val="231F20"/>
          <w:spacing w:val="-8"/>
        </w:rPr>
        <w:t> </w:t>
      </w:r>
      <w:r>
        <w:rPr>
          <w:color w:val="231F20"/>
          <w:spacing w:val="-3"/>
        </w:rPr>
        <w:t>природним</w:t>
      </w:r>
      <w:r>
        <w:rPr>
          <w:color w:val="231F20"/>
          <w:spacing w:val="-8"/>
        </w:rPr>
        <w:t> </w:t>
      </w:r>
      <w:r>
        <w:rPr>
          <w:color w:val="231F20"/>
          <w:spacing w:val="-3"/>
        </w:rPr>
        <w:t>погодностима</w:t>
      </w:r>
      <w:r>
        <w:rPr>
          <w:color w:val="231F20"/>
          <w:spacing w:val="-8"/>
        </w:rPr>
        <w:t> </w:t>
      </w:r>
      <w:r>
        <w:rPr>
          <w:color w:val="231F20"/>
        </w:rPr>
        <w:t>и</w:t>
      </w:r>
      <w:r>
        <w:rPr>
          <w:color w:val="231F20"/>
          <w:spacing w:val="-8"/>
        </w:rPr>
        <w:t> </w:t>
      </w:r>
      <w:r>
        <w:rPr>
          <w:color w:val="231F20"/>
        </w:rPr>
        <w:t>ограничењима.</w:t>
      </w:r>
    </w:p>
    <w:p>
      <w:pPr>
        <w:pStyle w:val="ListParagraph"/>
        <w:numPr>
          <w:ilvl w:val="3"/>
          <w:numId w:val="50"/>
        </w:numPr>
        <w:tabs>
          <w:tab w:pos="2090" w:val="left" w:leader="none"/>
        </w:tabs>
        <w:spacing w:line="240" w:lineRule="auto" w:before="167" w:after="0"/>
        <w:ind w:left="2089" w:right="0" w:hanging="315"/>
        <w:jc w:val="left"/>
        <w:rPr>
          <w:i/>
          <w:sz w:val="18"/>
        </w:rPr>
      </w:pPr>
      <w:r>
        <w:rPr>
          <w:i/>
          <w:color w:val="231F20"/>
          <w:sz w:val="18"/>
        </w:rPr>
        <w:t>Шуме, лов и</w:t>
      </w:r>
      <w:r>
        <w:rPr>
          <w:i/>
          <w:color w:val="231F20"/>
          <w:spacing w:val="-2"/>
          <w:sz w:val="18"/>
        </w:rPr>
        <w:t> </w:t>
      </w:r>
      <w:r>
        <w:rPr>
          <w:i/>
          <w:color w:val="231F20"/>
          <w:sz w:val="18"/>
        </w:rPr>
        <w:t>риболов</w:t>
      </w:r>
    </w:p>
    <w:p>
      <w:pPr>
        <w:pStyle w:val="BodyText"/>
        <w:spacing w:before="4"/>
        <w:ind w:left="0"/>
        <w:jc w:val="left"/>
        <w:rPr>
          <w:i/>
          <w:sz w:val="17"/>
        </w:rPr>
      </w:pPr>
    </w:p>
    <w:p>
      <w:pPr>
        <w:pStyle w:val="BodyText"/>
        <w:spacing w:line="232" w:lineRule="auto" w:before="1"/>
        <w:ind w:right="410" w:firstLine="397"/>
      </w:pPr>
      <w:r>
        <w:rPr>
          <w:color w:val="231F20"/>
        </w:rPr>
        <w:t>Правила уређења шума и шумског земљишта, ловишта и ри- боловних подручја заснивају се на режимима, условима и мерама заштите који су утврђени важећом регулативом, шумским и лов- ним основама и програмима управљања рибарским подручјима.</w:t>
      </w:r>
    </w:p>
    <w:p>
      <w:pPr>
        <w:pStyle w:val="BodyText"/>
        <w:spacing w:line="232" w:lineRule="auto" w:before="1"/>
        <w:ind w:right="409" w:firstLine="396"/>
      </w:pPr>
      <w:r>
        <w:rPr>
          <w:color w:val="231F20"/>
        </w:rPr>
        <w:t>У оквиру простора који обухватају шуме и шумско земљи- ште утврђују се следећа правила:</w:t>
      </w:r>
    </w:p>
    <w:p>
      <w:pPr>
        <w:pStyle w:val="BodyText"/>
        <w:spacing w:line="232" w:lineRule="auto"/>
        <w:ind w:right="409" w:firstLine="396"/>
      </w:pPr>
      <w:r>
        <w:rPr>
          <w:color w:val="231F20"/>
          <w:w w:val="66"/>
        </w:rPr>
        <w:t> </w:t>
      </w:r>
      <w:r>
        <w:rPr>
          <w:color w:val="231F20"/>
        </w:rPr>
        <w:t>–</w:t>
      </w:r>
      <w:r>
        <w:rPr>
          <w:color w:val="231F20"/>
          <w:spacing w:val="-12"/>
        </w:rPr>
        <w:t> </w:t>
      </w:r>
      <w:r>
        <w:rPr>
          <w:color w:val="231F20"/>
        </w:rPr>
        <w:t>дозвољена</w:t>
      </w:r>
      <w:r>
        <w:rPr>
          <w:color w:val="231F20"/>
          <w:spacing w:val="-12"/>
        </w:rPr>
        <w:t> </w:t>
      </w:r>
      <w:r>
        <w:rPr>
          <w:color w:val="231F20"/>
        </w:rPr>
        <w:t>је</w:t>
      </w:r>
      <w:r>
        <w:rPr>
          <w:color w:val="231F20"/>
          <w:spacing w:val="-12"/>
        </w:rPr>
        <w:t> </w:t>
      </w:r>
      <w:r>
        <w:rPr>
          <w:color w:val="231F20"/>
        </w:rPr>
        <w:t>изградња</w:t>
      </w:r>
      <w:r>
        <w:rPr>
          <w:color w:val="231F20"/>
          <w:spacing w:val="-12"/>
        </w:rPr>
        <w:t> </w:t>
      </w:r>
      <w:r>
        <w:rPr>
          <w:color w:val="231F20"/>
        </w:rPr>
        <w:t>објеката</w:t>
      </w:r>
      <w:r>
        <w:rPr>
          <w:color w:val="231F20"/>
          <w:spacing w:val="-12"/>
        </w:rPr>
        <w:t> </w:t>
      </w:r>
      <w:r>
        <w:rPr>
          <w:color w:val="231F20"/>
        </w:rPr>
        <w:t>и</w:t>
      </w:r>
      <w:r>
        <w:rPr>
          <w:color w:val="231F20"/>
          <w:spacing w:val="-12"/>
        </w:rPr>
        <w:t> </w:t>
      </w:r>
      <w:r>
        <w:rPr>
          <w:color w:val="231F20"/>
        </w:rPr>
        <w:t>техничке</w:t>
      </w:r>
      <w:r>
        <w:rPr>
          <w:color w:val="231F20"/>
          <w:spacing w:val="-12"/>
        </w:rPr>
        <w:t> </w:t>
      </w:r>
      <w:r>
        <w:rPr>
          <w:color w:val="231F20"/>
        </w:rPr>
        <w:t>инфраструктуре (шумских</w:t>
      </w:r>
      <w:r>
        <w:rPr>
          <w:color w:val="231F20"/>
          <w:spacing w:val="-8"/>
        </w:rPr>
        <w:t> </w:t>
      </w:r>
      <w:r>
        <w:rPr>
          <w:color w:val="231F20"/>
        </w:rPr>
        <w:t>саобраћајница,</w:t>
      </w:r>
      <w:r>
        <w:rPr>
          <w:color w:val="231F20"/>
          <w:spacing w:val="-7"/>
        </w:rPr>
        <w:t> </w:t>
      </w:r>
      <w:r>
        <w:rPr>
          <w:color w:val="231F20"/>
        </w:rPr>
        <w:t>противпожарних</w:t>
      </w:r>
      <w:r>
        <w:rPr>
          <w:color w:val="231F20"/>
          <w:spacing w:val="-7"/>
        </w:rPr>
        <w:t> </w:t>
      </w:r>
      <w:r>
        <w:rPr>
          <w:color w:val="231F20"/>
        </w:rPr>
        <w:t>пруга)</w:t>
      </w:r>
      <w:r>
        <w:rPr>
          <w:color w:val="231F20"/>
          <w:spacing w:val="-7"/>
        </w:rPr>
        <w:t> </w:t>
      </w:r>
      <w:r>
        <w:rPr>
          <w:color w:val="231F20"/>
        </w:rPr>
        <w:t>на</w:t>
      </w:r>
      <w:r>
        <w:rPr>
          <w:color w:val="231F20"/>
          <w:spacing w:val="-8"/>
        </w:rPr>
        <w:t> </w:t>
      </w:r>
      <w:r>
        <w:rPr>
          <w:color w:val="231F20"/>
        </w:rPr>
        <w:t>начин</w:t>
      </w:r>
      <w:r>
        <w:rPr>
          <w:color w:val="231F20"/>
          <w:spacing w:val="-7"/>
        </w:rPr>
        <w:t> </w:t>
      </w:r>
      <w:r>
        <w:rPr>
          <w:color w:val="231F20"/>
          <w:spacing w:val="-3"/>
        </w:rPr>
        <w:t>који</w:t>
      </w:r>
      <w:r>
        <w:rPr>
          <w:color w:val="231F20"/>
          <w:spacing w:val="-8"/>
        </w:rPr>
        <w:t> </w:t>
      </w:r>
      <w:r>
        <w:rPr>
          <w:color w:val="231F20"/>
        </w:rPr>
        <w:t>не угрожава</w:t>
      </w:r>
      <w:r>
        <w:rPr>
          <w:color w:val="231F20"/>
          <w:spacing w:val="-7"/>
        </w:rPr>
        <w:t> </w:t>
      </w:r>
      <w:r>
        <w:rPr>
          <w:color w:val="231F20"/>
        </w:rPr>
        <w:t>изворишта</w:t>
      </w:r>
      <w:r>
        <w:rPr>
          <w:color w:val="231F20"/>
          <w:spacing w:val="-7"/>
        </w:rPr>
        <w:t> </w:t>
      </w:r>
      <w:r>
        <w:rPr>
          <w:color w:val="231F20"/>
        </w:rPr>
        <w:t>вода</w:t>
      </w:r>
      <w:r>
        <w:rPr>
          <w:color w:val="231F20"/>
          <w:spacing w:val="-7"/>
        </w:rPr>
        <w:t> </w:t>
      </w:r>
      <w:r>
        <w:rPr>
          <w:color w:val="231F20"/>
        </w:rPr>
        <w:t>и</w:t>
      </w:r>
      <w:r>
        <w:rPr>
          <w:color w:val="231F20"/>
          <w:spacing w:val="-7"/>
        </w:rPr>
        <w:t> </w:t>
      </w:r>
      <w:r>
        <w:rPr>
          <w:color w:val="231F20"/>
        </w:rPr>
        <w:t>водне</w:t>
      </w:r>
      <w:r>
        <w:rPr>
          <w:color w:val="231F20"/>
          <w:spacing w:val="-6"/>
        </w:rPr>
        <w:t> </w:t>
      </w:r>
      <w:r>
        <w:rPr>
          <w:color w:val="231F20"/>
          <w:spacing w:val="-3"/>
        </w:rPr>
        <w:t>токове,</w:t>
      </w:r>
      <w:r>
        <w:rPr>
          <w:color w:val="231F20"/>
          <w:spacing w:val="-7"/>
        </w:rPr>
        <w:t> </w:t>
      </w:r>
      <w:r>
        <w:rPr>
          <w:color w:val="231F20"/>
        </w:rPr>
        <w:t>станишта</w:t>
      </w:r>
      <w:r>
        <w:rPr>
          <w:color w:val="231F20"/>
          <w:spacing w:val="-7"/>
        </w:rPr>
        <w:t> </w:t>
      </w:r>
      <w:r>
        <w:rPr>
          <w:color w:val="231F20"/>
        </w:rPr>
        <w:t>значајна</w:t>
      </w:r>
      <w:r>
        <w:rPr>
          <w:color w:val="231F20"/>
          <w:spacing w:val="-6"/>
        </w:rPr>
        <w:t> </w:t>
      </w:r>
      <w:r>
        <w:rPr>
          <w:color w:val="231F20"/>
        </w:rPr>
        <w:t>за</w:t>
      </w:r>
      <w:r>
        <w:rPr>
          <w:color w:val="231F20"/>
          <w:spacing w:val="-7"/>
        </w:rPr>
        <w:t> </w:t>
      </w:r>
      <w:r>
        <w:rPr>
          <w:color w:val="231F20"/>
        </w:rPr>
        <w:t>оп- станак дивљих биљних и животињских врста, процесе природног подмлађивања у шумама, </w:t>
      </w:r>
      <w:r>
        <w:rPr>
          <w:color w:val="231F20"/>
          <w:spacing w:val="-2"/>
        </w:rPr>
        <w:t>културну </w:t>
      </w:r>
      <w:r>
        <w:rPr>
          <w:color w:val="231F20"/>
        </w:rPr>
        <w:t>и историјску </w:t>
      </w:r>
      <w:r>
        <w:rPr>
          <w:color w:val="231F20"/>
          <w:spacing w:val="-3"/>
        </w:rPr>
        <w:t>баштину, </w:t>
      </w:r>
      <w:r>
        <w:rPr>
          <w:color w:val="231F20"/>
        </w:rPr>
        <w:t>остале опште корисне функције</w:t>
      </w:r>
      <w:r>
        <w:rPr>
          <w:color w:val="231F20"/>
          <w:spacing w:val="-3"/>
        </w:rPr>
        <w:t> </w:t>
      </w:r>
      <w:r>
        <w:rPr>
          <w:color w:val="231F20"/>
        </w:rPr>
        <w:t>шума;</w:t>
      </w:r>
    </w:p>
    <w:p>
      <w:pPr>
        <w:pStyle w:val="BodyText"/>
        <w:spacing w:line="232" w:lineRule="auto" w:before="2"/>
        <w:ind w:right="409" w:firstLine="396"/>
      </w:pPr>
      <w:r>
        <w:rPr>
          <w:color w:val="231F20"/>
          <w:w w:val="66"/>
        </w:rPr>
        <w:t> </w:t>
      </w:r>
      <w:r>
        <w:rPr>
          <w:color w:val="231F20"/>
        </w:rPr>
        <w:t>– није дозвољена изградња ћумурана, кречана, циглана и других објеката са отвореном ватром у шуми и на удаљености ма- њој од 200 m од руба шуме;</w:t>
      </w:r>
    </w:p>
    <w:p>
      <w:pPr>
        <w:pStyle w:val="BodyText"/>
        <w:spacing w:line="232" w:lineRule="auto" w:before="1"/>
        <w:ind w:right="409" w:firstLine="396"/>
      </w:pPr>
      <w:r>
        <w:rPr>
          <w:color w:val="231F20"/>
          <w:w w:val="66"/>
        </w:rPr>
        <w:t> </w:t>
      </w:r>
      <w:r>
        <w:rPr>
          <w:color w:val="231F20"/>
        </w:rPr>
        <w:t>– успоставља се обавеза чувања шума од бесправног кори- шћења, забрана пашарења у младим шумским плантажама и упо- треба средства за заштиту биља у складу са законом;</w:t>
      </w:r>
    </w:p>
    <w:p>
      <w:pPr>
        <w:pStyle w:val="BodyText"/>
        <w:spacing w:line="232" w:lineRule="auto" w:before="1"/>
        <w:ind w:right="409" w:firstLine="397"/>
      </w:pPr>
      <w:r>
        <w:rPr>
          <w:color w:val="231F20"/>
          <w:w w:val="66"/>
        </w:rPr>
        <w:t> </w:t>
      </w:r>
      <w:r>
        <w:rPr>
          <w:color w:val="231F20"/>
        </w:rPr>
        <w:t>– успоставља се обавеза обележавања површине на </w:t>
      </w:r>
      <w:r>
        <w:rPr>
          <w:color w:val="231F20"/>
          <w:spacing w:val="-3"/>
        </w:rPr>
        <w:t>којима  </w:t>
      </w:r>
      <w:r>
        <w:rPr>
          <w:color w:val="231F20"/>
        </w:rPr>
        <w:t>је паша дозвољена, односно забрањена као и постављање </w:t>
      </w:r>
      <w:r>
        <w:rPr>
          <w:color w:val="231F20"/>
          <w:spacing w:val="-3"/>
        </w:rPr>
        <w:t>знакова </w:t>
      </w:r>
      <w:r>
        <w:rPr>
          <w:color w:val="231F20"/>
        </w:rPr>
        <w:t>обавештења и забране ложења</w:t>
      </w:r>
      <w:r>
        <w:rPr>
          <w:color w:val="231F20"/>
          <w:spacing w:val="-6"/>
        </w:rPr>
        <w:t> </w:t>
      </w:r>
      <w:r>
        <w:rPr>
          <w:color w:val="231F20"/>
        </w:rPr>
        <w:t>ватре;</w:t>
      </w:r>
    </w:p>
    <w:p>
      <w:pPr>
        <w:pStyle w:val="BodyText"/>
        <w:spacing w:line="232" w:lineRule="auto" w:before="1"/>
        <w:ind w:right="409" w:firstLine="396"/>
      </w:pPr>
      <w:r>
        <w:rPr>
          <w:color w:val="231F20"/>
          <w:w w:val="66"/>
        </w:rPr>
        <w:t> </w:t>
      </w:r>
      <w:r>
        <w:rPr>
          <w:color w:val="231F20"/>
        </w:rPr>
        <w:t>– обавезно је одржавање и обнављање граница као и ознака унутрашње поделе газдинских јединица;</w:t>
      </w:r>
    </w:p>
    <w:p>
      <w:pPr>
        <w:pStyle w:val="BodyText"/>
        <w:spacing w:line="232" w:lineRule="auto"/>
        <w:ind w:right="409" w:firstLine="396"/>
      </w:pPr>
      <w:r>
        <w:rPr>
          <w:color w:val="231F20"/>
          <w:w w:val="66"/>
        </w:rPr>
        <w:t> </w:t>
      </w:r>
      <w:r>
        <w:rPr>
          <w:color w:val="231F20"/>
        </w:rPr>
        <w:t>– у циљу заштите од пожара обавезно је постављање табла упозорења, доследно спровођење законских прописа;</w:t>
      </w:r>
    </w:p>
    <w:p>
      <w:pPr>
        <w:pStyle w:val="BodyText"/>
        <w:spacing w:line="232" w:lineRule="auto" w:before="1"/>
        <w:ind w:right="409" w:firstLine="396"/>
      </w:pPr>
      <w:r>
        <w:rPr>
          <w:color w:val="231F20"/>
          <w:w w:val="66"/>
        </w:rPr>
        <w:t> </w:t>
      </w:r>
      <w:r>
        <w:rPr>
          <w:color w:val="231F20"/>
        </w:rPr>
        <w:t>– обавезно је одржавање прогонских путева до испаше и по- јила; и</w:t>
      </w:r>
    </w:p>
    <w:p>
      <w:pPr>
        <w:pStyle w:val="BodyText"/>
        <w:spacing w:line="232" w:lineRule="auto"/>
        <w:ind w:right="409" w:firstLine="396"/>
      </w:pPr>
      <w:r>
        <w:rPr>
          <w:color w:val="231F20"/>
          <w:w w:val="66"/>
        </w:rPr>
        <w:t> </w:t>
      </w:r>
      <w:r>
        <w:rPr>
          <w:color w:val="231F20"/>
        </w:rPr>
        <w:t>–</w:t>
      </w:r>
      <w:r>
        <w:rPr>
          <w:color w:val="231F20"/>
          <w:spacing w:val="-15"/>
        </w:rPr>
        <w:t> </w:t>
      </w:r>
      <w:r>
        <w:rPr>
          <w:color w:val="231F20"/>
        </w:rPr>
        <w:t>обавезне</w:t>
      </w:r>
      <w:r>
        <w:rPr>
          <w:color w:val="231F20"/>
          <w:spacing w:val="-15"/>
        </w:rPr>
        <w:t> </w:t>
      </w:r>
      <w:r>
        <w:rPr>
          <w:color w:val="231F20"/>
        </w:rPr>
        <w:t>континуалне</w:t>
      </w:r>
      <w:r>
        <w:rPr>
          <w:color w:val="231F20"/>
          <w:spacing w:val="-14"/>
        </w:rPr>
        <w:t> </w:t>
      </w:r>
      <w:r>
        <w:rPr>
          <w:color w:val="231F20"/>
        </w:rPr>
        <w:t>мере</w:t>
      </w:r>
      <w:r>
        <w:rPr>
          <w:color w:val="231F20"/>
          <w:spacing w:val="-15"/>
        </w:rPr>
        <w:t> </w:t>
      </w:r>
      <w:r>
        <w:rPr>
          <w:color w:val="231F20"/>
        </w:rPr>
        <w:t>неге</w:t>
      </w:r>
      <w:r>
        <w:rPr>
          <w:color w:val="231F20"/>
          <w:spacing w:val="-14"/>
        </w:rPr>
        <w:t> </w:t>
      </w:r>
      <w:r>
        <w:rPr>
          <w:color w:val="231F20"/>
        </w:rPr>
        <w:t>шумских</w:t>
      </w:r>
      <w:r>
        <w:rPr>
          <w:color w:val="231F20"/>
          <w:spacing w:val="-15"/>
        </w:rPr>
        <w:t> </w:t>
      </w:r>
      <w:r>
        <w:rPr>
          <w:color w:val="231F20"/>
        </w:rPr>
        <w:t>плантажа</w:t>
      </w:r>
      <w:r>
        <w:rPr>
          <w:color w:val="231F20"/>
          <w:spacing w:val="-15"/>
        </w:rPr>
        <w:t> </w:t>
      </w:r>
      <w:r>
        <w:rPr>
          <w:color w:val="231F20"/>
        </w:rPr>
        <w:t>обухва- тају: окопавање и прашење, сечу изданака и избојака и уклањање корова, кресање грана, међуредну обраду и</w:t>
      </w:r>
      <w:r>
        <w:rPr>
          <w:color w:val="231F20"/>
          <w:spacing w:val="-12"/>
        </w:rPr>
        <w:t> </w:t>
      </w:r>
      <w:r>
        <w:rPr>
          <w:color w:val="231F20"/>
        </w:rPr>
        <w:t>проређивање.</w:t>
      </w:r>
    </w:p>
    <w:p>
      <w:pPr>
        <w:pStyle w:val="BodyText"/>
        <w:spacing w:line="232" w:lineRule="auto" w:before="1"/>
        <w:ind w:right="409" w:firstLine="396"/>
      </w:pPr>
      <w:r>
        <w:rPr>
          <w:color w:val="231F20"/>
        </w:rPr>
        <w:t>У ловиштима је дозвољена изградња хранилишта за срне, солишта, хранилишта са ситну дивљач, прихватилишта за фазане као и високих чека – осматрачница.</w:t>
      </w:r>
    </w:p>
    <w:p>
      <w:pPr>
        <w:pStyle w:val="BodyText"/>
        <w:spacing w:line="232" w:lineRule="auto" w:before="1"/>
        <w:ind w:left="171" w:right="408" w:firstLine="396"/>
      </w:pPr>
      <w:r>
        <w:rPr>
          <w:color w:val="231F20"/>
        </w:rPr>
        <w:t>На рибарском подручју забрањено је: преграђивати водени ток (осим за хидроенергетска постројења инсталиране снаге ве- ће </w:t>
      </w:r>
      <w:r>
        <w:rPr>
          <w:color w:val="231F20"/>
          <w:spacing w:val="-3"/>
        </w:rPr>
        <w:t>од </w:t>
      </w:r>
      <w:r>
        <w:rPr>
          <w:color w:val="231F20"/>
        </w:rPr>
        <w:t>1 MW); испуштати воду из природних и вештачких језера и других акумулација; постављати ограде или било какве препреке </w:t>
      </w:r>
      <w:r>
        <w:rPr>
          <w:color w:val="231F20"/>
          <w:spacing w:val="-3"/>
        </w:rPr>
        <w:t>којима </w:t>
      </w:r>
      <w:r>
        <w:rPr>
          <w:color w:val="231F20"/>
        </w:rPr>
        <w:t>се спречава приступ рибочуварима; затварати, одвраћати и исцрпљивати</w:t>
      </w:r>
      <w:r>
        <w:rPr>
          <w:color w:val="231F20"/>
          <w:spacing w:val="-7"/>
        </w:rPr>
        <w:t> </w:t>
      </w:r>
      <w:r>
        <w:rPr>
          <w:color w:val="231F20"/>
        </w:rPr>
        <w:t>воду</w:t>
      </w:r>
      <w:r>
        <w:rPr>
          <w:color w:val="231F20"/>
          <w:spacing w:val="-7"/>
        </w:rPr>
        <w:t> </w:t>
      </w:r>
      <w:r>
        <w:rPr>
          <w:color w:val="231F20"/>
        </w:rPr>
        <w:t>из</w:t>
      </w:r>
      <w:r>
        <w:rPr>
          <w:color w:val="231F20"/>
          <w:spacing w:val="-7"/>
        </w:rPr>
        <w:t> </w:t>
      </w:r>
      <w:r>
        <w:rPr>
          <w:color w:val="231F20"/>
        </w:rPr>
        <w:t>риболовне</w:t>
      </w:r>
      <w:r>
        <w:rPr>
          <w:color w:val="231F20"/>
          <w:spacing w:val="-7"/>
        </w:rPr>
        <w:t> </w:t>
      </w:r>
      <w:r>
        <w:rPr>
          <w:color w:val="231F20"/>
        </w:rPr>
        <w:t>воде</w:t>
      </w:r>
      <w:r>
        <w:rPr>
          <w:color w:val="231F20"/>
          <w:spacing w:val="-7"/>
        </w:rPr>
        <w:t> </w:t>
      </w:r>
      <w:r>
        <w:rPr>
          <w:color w:val="231F20"/>
          <w:spacing w:val="-4"/>
        </w:rPr>
        <w:t>ако</w:t>
      </w:r>
      <w:r>
        <w:rPr>
          <w:color w:val="231F20"/>
          <w:spacing w:val="-7"/>
        </w:rPr>
        <w:t> </w:t>
      </w:r>
      <w:r>
        <w:rPr>
          <w:color w:val="231F20"/>
        </w:rPr>
        <w:t>се</w:t>
      </w:r>
      <w:r>
        <w:rPr>
          <w:color w:val="231F20"/>
          <w:spacing w:val="-7"/>
        </w:rPr>
        <w:t> </w:t>
      </w:r>
      <w:r>
        <w:rPr>
          <w:color w:val="231F20"/>
        </w:rPr>
        <w:t>тиме</w:t>
      </w:r>
      <w:r>
        <w:rPr>
          <w:color w:val="231F20"/>
          <w:spacing w:val="-7"/>
        </w:rPr>
        <w:t> </w:t>
      </w:r>
      <w:r>
        <w:rPr>
          <w:color w:val="231F20"/>
        </w:rPr>
        <w:t>проузрокује</w:t>
      </w:r>
      <w:r>
        <w:rPr>
          <w:color w:val="231F20"/>
          <w:spacing w:val="-7"/>
        </w:rPr>
        <w:t> </w:t>
      </w:r>
      <w:r>
        <w:rPr>
          <w:color w:val="231F20"/>
        </w:rPr>
        <w:t>опа- сност за опстанак рибе; и ометати постављање </w:t>
      </w:r>
      <w:r>
        <w:rPr>
          <w:color w:val="231F20"/>
          <w:spacing w:val="-3"/>
        </w:rPr>
        <w:t>знакова којима </w:t>
      </w:r>
      <w:r>
        <w:rPr>
          <w:color w:val="231F20"/>
        </w:rPr>
        <w:t>се обележава рибарско</w:t>
      </w:r>
      <w:r>
        <w:rPr>
          <w:color w:val="231F20"/>
          <w:spacing w:val="-1"/>
        </w:rPr>
        <w:t> </w:t>
      </w:r>
      <w:r>
        <w:rPr>
          <w:color w:val="231F20"/>
        </w:rPr>
        <w:t>подручје.</w:t>
      </w:r>
    </w:p>
    <w:p>
      <w:pPr>
        <w:pStyle w:val="ListParagraph"/>
        <w:numPr>
          <w:ilvl w:val="3"/>
          <w:numId w:val="50"/>
        </w:numPr>
        <w:tabs>
          <w:tab w:pos="2070" w:val="left" w:leader="none"/>
        </w:tabs>
        <w:spacing w:line="240" w:lineRule="auto" w:before="167" w:after="0"/>
        <w:ind w:left="2069" w:right="0" w:hanging="315"/>
        <w:jc w:val="left"/>
        <w:rPr>
          <w:i/>
          <w:sz w:val="18"/>
        </w:rPr>
      </w:pPr>
      <w:r>
        <w:rPr>
          <w:i/>
          <w:color w:val="231F20"/>
          <w:sz w:val="18"/>
        </w:rPr>
        <w:t>Tуристичка</w:t>
      </w:r>
      <w:r>
        <w:rPr>
          <w:i/>
          <w:color w:val="231F20"/>
          <w:spacing w:val="-1"/>
          <w:sz w:val="18"/>
        </w:rPr>
        <w:t> </w:t>
      </w:r>
      <w:r>
        <w:rPr>
          <w:i/>
          <w:color w:val="231F20"/>
          <w:sz w:val="18"/>
        </w:rPr>
        <w:t>подручја</w:t>
      </w:r>
    </w:p>
    <w:p>
      <w:pPr>
        <w:pStyle w:val="BodyText"/>
        <w:spacing w:before="5"/>
        <w:ind w:left="0"/>
        <w:jc w:val="left"/>
        <w:rPr>
          <w:i/>
          <w:sz w:val="17"/>
        </w:rPr>
      </w:pPr>
    </w:p>
    <w:p>
      <w:pPr>
        <w:pStyle w:val="BodyText"/>
        <w:spacing w:line="232" w:lineRule="auto"/>
        <w:ind w:right="409" w:firstLine="397"/>
      </w:pPr>
      <w:r>
        <w:rPr>
          <w:color w:val="231F20"/>
        </w:rPr>
        <w:t>Објекти туристичке намене могу да се граде у зонама прете- жно стамбене и пословне намене у градским и сеоским насеља, посебно у потенцијалним туристичким насељима у приобаљу Ду- нава и Мораве (Костолац – град и Костолац – село, Речица, Бре- жане, Живица и Драговац). Објекти туристичке намене могу да се</w:t>
      </w:r>
    </w:p>
    <w:p>
      <w:pPr>
        <w:spacing w:after="0" w:line="232" w:lineRule="auto"/>
        <w:sectPr>
          <w:pgSz w:w="12480" w:h="15690"/>
          <w:pgMar w:top="120" w:bottom="280" w:left="680" w:right="720"/>
          <w:cols w:num="2" w:equalWidth="0">
            <w:col w:w="5315" w:space="73"/>
            <w:col w:w="5692"/>
          </w:cols>
        </w:sectPr>
      </w:pPr>
    </w:p>
    <w:p>
      <w:pPr>
        <w:pStyle w:val="BodyText"/>
        <w:spacing w:line="232" w:lineRule="auto" w:before="73"/>
        <w:ind w:left="454" w:hanging="1"/>
      </w:pPr>
      <w:r>
        <w:rPr/>
        <w:pict>
          <v:line style="position:absolute;mso-position-horizontal-relative:page;mso-position-vertical-relative:page;z-index:3520" from="318.897614pt,11.942451pt" to="318.897614pt,748.950451pt" stroked="true" strokeweight=".6pt" strokecolor="#231f20">
            <v:stroke dashstyle="solid"/>
            <w10:wrap type="none"/>
          </v:line>
        </w:pict>
      </w:r>
      <w:r>
        <w:rPr>
          <w:color w:val="231F20"/>
        </w:rPr>
        <w:t>граде у деловима Планског подручја где је предвиђена директна примена Просторног плана или на основу посебних планских до- кумената.</w:t>
      </w:r>
    </w:p>
    <w:p>
      <w:pPr>
        <w:pStyle w:val="BodyText"/>
        <w:spacing w:line="237" w:lineRule="auto"/>
        <w:ind w:left="454" w:firstLine="396"/>
        <w:jc w:val="right"/>
      </w:pPr>
      <w:r>
        <w:rPr>
          <w:color w:val="231F20"/>
        </w:rPr>
        <w:t>Правила изградње и правила уређења простора у градским насељима биће утврђена у Генералном урбанистичком плану По- жаревца и Плану генералне регулације Костолца, до 2012. године. Правила изградње и правила уређења простора за туристич-</w:t>
      </w:r>
    </w:p>
    <w:p>
      <w:pPr>
        <w:pStyle w:val="BodyText"/>
        <w:spacing w:line="237" w:lineRule="auto"/>
        <w:ind w:left="454"/>
      </w:pPr>
      <w:r>
        <w:rPr>
          <w:color w:val="231F20"/>
          <w:spacing w:val="-3"/>
        </w:rPr>
        <w:t>ке </w:t>
      </w:r>
      <w:r>
        <w:rPr>
          <w:color w:val="231F20"/>
        </w:rPr>
        <w:t>намене у потенцијалним туристичким насељима у приобаљу Дунава</w:t>
      </w:r>
      <w:r>
        <w:rPr>
          <w:color w:val="231F20"/>
          <w:spacing w:val="-8"/>
        </w:rPr>
        <w:t> </w:t>
      </w:r>
      <w:r>
        <w:rPr>
          <w:color w:val="231F20"/>
        </w:rPr>
        <w:t>и</w:t>
      </w:r>
      <w:r>
        <w:rPr>
          <w:color w:val="231F20"/>
          <w:spacing w:val="-8"/>
        </w:rPr>
        <w:t> </w:t>
      </w:r>
      <w:r>
        <w:rPr>
          <w:color w:val="231F20"/>
        </w:rPr>
        <w:t>Мораве</w:t>
      </w:r>
      <w:r>
        <w:rPr>
          <w:color w:val="231F20"/>
          <w:spacing w:val="-8"/>
        </w:rPr>
        <w:t> </w:t>
      </w:r>
      <w:r>
        <w:rPr>
          <w:color w:val="231F20"/>
        </w:rPr>
        <w:t>и</w:t>
      </w:r>
      <w:r>
        <w:rPr>
          <w:color w:val="231F20"/>
          <w:spacing w:val="-8"/>
        </w:rPr>
        <w:t> </w:t>
      </w:r>
      <w:r>
        <w:rPr>
          <w:color w:val="231F20"/>
        </w:rPr>
        <w:t>другим</w:t>
      </w:r>
      <w:r>
        <w:rPr>
          <w:color w:val="231F20"/>
          <w:spacing w:val="-8"/>
        </w:rPr>
        <w:t> </w:t>
      </w:r>
      <w:r>
        <w:rPr>
          <w:color w:val="231F20"/>
        </w:rPr>
        <w:t>селима</w:t>
      </w:r>
      <w:r>
        <w:rPr>
          <w:color w:val="231F20"/>
          <w:spacing w:val="-8"/>
        </w:rPr>
        <w:t> </w:t>
      </w:r>
      <w:r>
        <w:rPr>
          <w:color w:val="231F20"/>
        </w:rPr>
        <w:t>у</w:t>
      </w:r>
      <w:r>
        <w:rPr>
          <w:color w:val="231F20"/>
          <w:spacing w:val="-8"/>
        </w:rPr>
        <w:t> </w:t>
      </w:r>
      <w:r>
        <w:rPr>
          <w:color w:val="231F20"/>
        </w:rPr>
        <w:t>функцији</w:t>
      </w:r>
      <w:r>
        <w:rPr>
          <w:color w:val="231F20"/>
          <w:spacing w:val="-8"/>
        </w:rPr>
        <w:t> </w:t>
      </w:r>
      <w:r>
        <w:rPr>
          <w:color w:val="231F20"/>
        </w:rPr>
        <w:t>туризма</w:t>
      </w:r>
      <w:r>
        <w:rPr>
          <w:color w:val="231F20"/>
          <w:spacing w:val="-8"/>
        </w:rPr>
        <w:t> </w:t>
      </w:r>
      <w:r>
        <w:rPr>
          <w:color w:val="231F20"/>
        </w:rPr>
        <w:t>биће</w:t>
      </w:r>
      <w:r>
        <w:rPr>
          <w:color w:val="231F20"/>
          <w:spacing w:val="-8"/>
        </w:rPr>
        <w:t> </w:t>
      </w:r>
      <w:r>
        <w:rPr>
          <w:color w:val="231F20"/>
        </w:rPr>
        <w:t>урађе- на у одговарајућим планским</w:t>
      </w:r>
      <w:r>
        <w:rPr>
          <w:color w:val="231F20"/>
          <w:spacing w:val="-4"/>
        </w:rPr>
        <w:t> </w:t>
      </w:r>
      <w:r>
        <w:rPr>
          <w:color w:val="231F20"/>
        </w:rPr>
        <w:t>документима.</w:t>
      </w:r>
    </w:p>
    <w:p>
      <w:pPr>
        <w:pStyle w:val="BodyText"/>
        <w:spacing w:line="237" w:lineRule="auto"/>
        <w:ind w:left="391" w:firstLine="396"/>
        <w:jc w:val="right"/>
      </w:pPr>
      <w:r>
        <w:rPr>
          <w:color w:val="231F20"/>
        </w:rPr>
        <w:t>Забрањује се изградња кућа за одмор и других објеката у зо- ни од приобаља Дунава између планираног саобраћајног коридо- ра и Виминацијума, као и у зонама заштите других природних и непокретних културних добара на преосталом Планском подручју. Изван наведених зона може да се дозволи контролисана и ограничена изградња нових и комерцијализација постојећих ви- кенд кућа у туризму (уз могућу адаптацију и реконструкцију) у селима и другим просторима (која Просторним планом нису пред- виђена за друге намене) на основу одговарајућег планског доку-</w:t>
      </w:r>
    </w:p>
    <w:p>
      <w:pPr>
        <w:pStyle w:val="BodyText"/>
        <w:spacing w:line="200" w:lineRule="exact"/>
        <w:ind w:left="454"/>
        <w:jc w:val="left"/>
      </w:pPr>
      <w:r>
        <w:rPr>
          <w:color w:val="231F20"/>
        </w:rPr>
        <w:t>мента.</w:t>
      </w:r>
    </w:p>
    <w:p>
      <w:pPr>
        <w:pStyle w:val="BodyText"/>
        <w:spacing w:line="237" w:lineRule="auto"/>
        <w:ind w:left="454" w:firstLine="397"/>
      </w:pPr>
      <w:r>
        <w:rPr>
          <w:color w:val="231F20"/>
        </w:rPr>
        <w:t>У зонама туристичке намене препоручује се изградња тури- стичких објеката уз поштовање следећих принципа: интеграције туристичких и еколошких активности са комерцијалним послова- њем; био-климатске архитектуре и еколошких критеријума са ма- лим степеном утицаја на средину; коришћења обновљивих извора енергије и напредних техника градње које користе сунце за греја- ње и ветар за климатизацију, као и локалне грађевинске материја- ле; усаглашености са пејзажом; и друго.</w:t>
      </w:r>
    </w:p>
    <w:p>
      <w:pPr>
        <w:pStyle w:val="BodyText"/>
        <w:spacing w:line="237" w:lineRule="auto"/>
        <w:ind w:left="454" w:firstLine="396"/>
      </w:pPr>
      <w:r>
        <w:rPr>
          <w:color w:val="231F20"/>
        </w:rPr>
        <w:t>Правила изградње и правила уређења простора у туристич- ком подручју Археолошког налазишта Виминацијум биће утврђе- на у оквиру посебног просторног плана подручја посебне намене.</w:t>
      </w:r>
    </w:p>
    <w:p>
      <w:pPr>
        <w:pStyle w:val="ListParagraph"/>
        <w:numPr>
          <w:ilvl w:val="3"/>
          <w:numId w:val="50"/>
        </w:numPr>
        <w:tabs>
          <w:tab w:pos="1746" w:val="left" w:leader="none"/>
        </w:tabs>
        <w:spacing w:line="240" w:lineRule="auto" w:before="161" w:after="0"/>
        <w:ind w:left="1745" w:right="0" w:hanging="315"/>
        <w:jc w:val="left"/>
        <w:rPr>
          <w:i/>
          <w:sz w:val="18"/>
        </w:rPr>
      </w:pPr>
      <w:r>
        <w:rPr>
          <w:i/>
          <w:color w:val="231F20"/>
          <w:sz w:val="18"/>
        </w:rPr>
        <w:t>Зоне обновљивих енергетских</w:t>
      </w:r>
      <w:r>
        <w:rPr>
          <w:i/>
          <w:color w:val="231F20"/>
          <w:spacing w:val="-5"/>
          <w:sz w:val="18"/>
        </w:rPr>
        <w:t> </w:t>
      </w:r>
      <w:r>
        <w:rPr>
          <w:i/>
          <w:color w:val="231F20"/>
          <w:sz w:val="18"/>
        </w:rPr>
        <w:t>извора</w:t>
      </w:r>
    </w:p>
    <w:p>
      <w:pPr>
        <w:pStyle w:val="BodyText"/>
        <w:spacing w:before="167"/>
        <w:ind w:left="2309" w:right="1855"/>
        <w:jc w:val="center"/>
      </w:pPr>
      <w:r>
        <w:rPr>
          <w:color w:val="231F20"/>
        </w:rPr>
        <w:t>Биомаса</w:t>
      </w:r>
    </w:p>
    <w:p>
      <w:pPr>
        <w:pStyle w:val="BodyText"/>
        <w:spacing w:before="8"/>
        <w:ind w:left="0"/>
        <w:jc w:val="left"/>
        <w:rPr>
          <w:sz w:val="17"/>
        </w:rPr>
      </w:pPr>
    </w:p>
    <w:p>
      <w:pPr>
        <w:pStyle w:val="BodyText"/>
        <w:spacing w:line="237" w:lineRule="auto" w:before="1"/>
        <w:ind w:left="454" w:firstLine="397"/>
      </w:pPr>
      <w:r>
        <w:rPr>
          <w:color w:val="231F20"/>
        </w:rPr>
        <w:t>Шумске плантаже за производњу биогорива подижу се на земљиштима слабијег производно-економског потенцијала, на за- равњеним теренима који су погодни за коришћење механизације, примењујући густу садњу брзорастућих врста, попут багрема, то- поле или врбе, са периодом ротације од пет година.</w:t>
      </w:r>
    </w:p>
    <w:p>
      <w:pPr>
        <w:pStyle w:val="BodyText"/>
        <w:spacing w:line="237" w:lineRule="auto"/>
        <w:ind w:left="453" w:right="1" w:firstLine="397"/>
      </w:pPr>
      <w:r>
        <w:rPr>
          <w:color w:val="231F20"/>
          <w:spacing w:val="-3"/>
        </w:rPr>
        <w:t>Приликом </w:t>
      </w:r>
      <w:r>
        <w:rPr>
          <w:color w:val="231F20"/>
        </w:rPr>
        <w:t>доношења одлуке о изградњи електране на био- масу/биогас, расположиве </w:t>
      </w:r>
      <w:r>
        <w:rPr>
          <w:color w:val="231F20"/>
          <w:spacing w:val="-3"/>
        </w:rPr>
        <w:t>количине </w:t>
      </w:r>
      <w:r>
        <w:rPr>
          <w:color w:val="231F20"/>
        </w:rPr>
        <w:t>биомасе, односно сировине за производњу биогаса, морају се разматрати дугорочно и то по прихватљивим и конкурентним ценама. Истовремено, потребно је размотрити карактеристике биомасе, односно сировина за произ- водњу биогаса, као и могућности за њихов транспорт </w:t>
      </w:r>
      <w:r>
        <w:rPr>
          <w:color w:val="231F20"/>
          <w:spacing w:val="-3"/>
        </w:rPr>
        <w:t>од </w:t>
      </w:r>
      <w:r>
        <w:rPr>
          <w:color w:val="231F20"/>
        </w:rPr>
        <w:t>места на- станка до објекта електране на</w:t>
      </w:r>
      <w:r>
        <w:rPr>
          <w:color w:val="231F20"/>
          <w:spacing w:val="-5"/>
        </w:rPr>
        <w:t> </w:t>
      </w:r>
      <w:r>
        <w:rPr>
          <w:color w:val="231F20"/>
        </w:rPr>
        <w:t>биомасу/биогас.</w:t>
      </w:r>
    </w:p>
    <w:p>
      <w:pPr>
        <w:pStyle w:val="BodyText"/>
        <w:spacing w:line="237" w:lineRule="auto"/>
        <w:ind w:left="454" w:firstLine="396"/>
      </w:pPr>
      <w:r>
        <w:rPr>
          <w:color w:val="231F20"/>
        </w:rPr>
        <w:t>Студијом оправданости разматра се просторна, еколошка, социјална, тржишна и економска оправданост инвестиције за иза- брано решење, разрађено идејним пројектом, на основу којега се доноси одлука о оправданости улагања и покретању поступка за издавање грађевинске дозволе.</w:t>
      </w:r>
    </w:p>
    <w:p>
      <w:pPr>
        <w:pStyle w:val="BodyText"/>
        <w:spacing w:before="161"/>
        <w:ind w:left="2309" w:right="1856"/>
        <w:jc w:val="center"/>
      </w:pPr>
      <w:r>
        <w:rPr>
          <w:color w:val="231F20"/>
        </w:rPr>
        <w:t>Енергија ветра</w:t>
      </w:r>
    </w:p>
    <w:p>
      <w:pPr>
        <w:pStyle w:val="BodyText"/>
        <w:spacing w:before="6"/>
        <w:ind w:left="0"/>
        <w:jc w:val="left"/>
        <w:rPr>
          <w:sz w:val="17"/>
        </w:rPr>
      </w:pPr>
    </w:p>
    <w:p>
      <w:pPr>
        <w:pStyle w:val="BodyText"/>
        <w:spacing w:line="206" w:lineRule="exact"/>
        <w:ind w:left="851"/>
        <w:jc w:val="left"/>
      </w:pPr>
      <w:r>
        <w:rPr>
          <w:color w:val="231F20"/>
          <w:spacing w:val="-3"/>
        </w:rPr>
        <w:t>Критеријуми </w:t>
      </w:r>
      <w:r>
        <w:rPr>
          <w:color w:val="231F20"/>
        </w:rPr>
        <w:t>за </w:t>
      </w:r>
      <w:r>
        <w:rPr>
          <w:color w:val="231F20"/>
          <w:spacing w:val="-3"/>
        </w:rPr>
        <w:t>избор локације </w:t>
      </w:r>
      <w:r>
        <w:rPr>
          <w:color w:val="231F20"/>
        </w:rPr>
        <w:t>за </w:t>
      </w:r>
      <w:r>
        <w:rPr>
          <w:color w:val="231F20"/>
          <w:spacing w:val="-3"/>
        </w:rPr>
        <w:t>изградњу ветроелектране </w:t>
      </w:r>
      <w:r>
        <w:rPr>
          <w:color w:val="231F20"/>
          <w:spacing w:val="-4"/>
        </w:rPr>
        <w:t>су:</w:t>
      </w:r>
    </w:p>
    <w:p>
      <w:pPr>
        <w:pStyle w:val="BodyText"/>
        <w:spacing w:line="237" w:lineRule="auto" w:before="1"/>
        <w:ind w:left="454" w:firstLine="396"/>
      </w:pPr>
      <w:r>
        <w:rPr>
          <w:color w:val="231F20"/>
          <w:w w:val="66"/>
        </w:rPr>
        <w:t> </w:t>
      </w:r>
      <w:r>
        <w:rPr>
          <w:color w:val="231F20"/>
        </w:rPr>
        <w:t>–</w:t>
      </w:r>
      <w:r>
        <w:rPr>
          <w:color w:val="231F20"/>
          <w:spacing w:val="-8"/>
        </w:rPr>
        <w:t> </w:t>
      </w:r>
      <w:r>
        <w:rPr>
          <w:color w:val="231F20"/>
        </w:rPr>
        <w:t>брзина,</w:t>
      </w:r>
      <w:r>
        <w:rPr>
          <w:color w:val="231F20"/>
          <w:spacing w:val="-8"/>
        </w:rPr>
        <w:t> </w:t>
      </w:r>
      <w:r>
        <w:rPr>
          <w:color w:val="231F20"/>
        </w:rPr>
        <w:t>учесталост,</w:t>
      </w:r>
      <w:r>
        <w:rPr>
          <w:color w:val="231F20"/>
          <w:spacing w:val="-8"/>
        </w:rPr>
        <w:t> </w:t>
      </w:r>
      <w:r>
        <w:rPr>
          <w:color w:val="231F20"/>
        </w:rPr>
        <w:t>правац</w:t>
      </w:r>
      <w:r>
        <w:rPr>
          <w:color w:val="231F20"/>
          <w:spacing w:val="-8"/>
        </w:rPr>
        <w:t> </w:t>
      </w:r>
      <w:r>
        <w:rPr>
          <w:color w:val="231F20"/>
        </w:rPr>
        <w:t>и</w:t>
      </w:r>
      <w:r>
        <w:rPr>
          <w:color w:val="231F20"/>
          <w:spacing w:val="-8"/>
        </w:rPr>
        <w:t> </w:t>
      </w:r>
      <w:r>
        <w:rPr>
          <w:color w:val="231F20"/>
          <w:spacing w:val="-3"/>
        </w:rPr>
        <w:t>удари</w:t>
      </w:r>
      <w:r>
        <w:rPr>
          <w:color w:val="231F20"/>
          <w:spacing w:val="-8"/>
        </w:rPr>
        <w:t> </w:t>
      </w:r>
      <w:r>
        <w:rPr>
          <w:color w:val="231F20"/>
        </w:rPr>
        <w:t>ветра,</w:t>
      </w:r>
      <w:r>
        <w:rPr>
          <w:color w:val="231F20"/>
          <w:spacing w:val="-8"/>
        </w:rPr>
        <w:t> </w:t>
      </w:r>
      <w:r>
        <w:rPr>
          <w:color w:val="231F20"/>
        </w:rPr>
        <w:t>изложеност</w:t>
      </w:r>
      <w:r>
        <w:rPr>
          <w:color w:val="231F20"/>
          <w:spacing w:val="-8"/>
        </w:rPr>
        <w:t> </w:t>
      </w:r>
      <w:r>
        <w:rPr>
          <w:color w:val="231F20"/>
        </w:rPr>
        <w:t>лока- ције треба да је таква да омогућава проток ветра у свим</w:t>
      </w:r>
      <w:r>
        <w:rPr>
          <w:color w:val="231F20"/>
          <w:spacing w:val="15"/>
        </w:rPr>
        <w:t> </w:t>
      </w:r>
      <w:r>
        <w:rPr>
          <w:color w:val="231F20"/>
        </w:rPr>
        <w:t>правцима</w:t>
      </w:r>
    </w:p>
    <w:p>
      <w:pPr>
        <w:pStyle w:val="BodyText"/>
        <w:spacing w:line="237" w:lineRule="auto"/>
        <w:ind w:left="454" w:right="1"/>
      </w:pPr>
      <w:r>
        <w:rPr>
          <w:color w:val="231F20"/>
          <w:w w:val="66"/>
        </w:rPr>
        <w:t> </w:t>
      </w:r>
      <w:r>
        <w:rPr>
          <w:color w:val="231F20"/>
        </w:rPr>
        <w:t>–</w:t>
      </w:r>
      <w:r>
        <w:rPr>
          <w:color w:val="231F20"/>
          <w:spacing w:val="-9"/>
        </w:rPr>
        <w:t> </w:t>
      </w:r>
      <w:r>
        <w:rPr>
          <w:color w:val="231F20"/>
        </w:rPr>
        <w:t>локација</w:t>
      </w:r>
      <w:r>
        <w:rPr>
          <w:color w:val="231F20"/>
          <w:spacing w:val="-9"/>
        </w:rPr>
        <w:t> </w:t>
      </w:r>
      <w:r>
        <w:rPr>
          <w:color w:val="231F20"/>
        </w:rPr>
        <w:t>не</w:t>
      </w:r>
      <w:r>
        <w:rPr>
          <w:color w:val="231F20"/>
          <w:spacing w:val="-9"/>
        </w:rPr>
        <w:t> </w:t>
      </w:r>
      <w:r>
        <w:rPr>
          <w:color w:val="231F20"/>
        </w:rPr>
        <w:t>би</w:t>
      </w:r>
      <w:r>
        <w:rPr>
          <w:color w:val="231F20"/>
          <w:spacing w:val="-9"/>
        </w:rPr>
        <w:t> </w:t>
      </w:r>
      <w:r>
        <w:rPr>
          <w:color w:val="231F20"/>
        </w:rPr>
        <w:t>требало</w:t>
      </w:r>
      <w:r>
        <w:rPr>
          <w:color w:val="231F20"/>
          <w:spacing w:val="-9"/>
        </w:rPr>
        <w:t> </w:t>
      </w:r>
      <w:r>
        <w:rPr>
          <w:color w:val="231F20"/>
        </w:rPr>
        <w:t>да</w:t>
      </w:r>
      <w:r>
        <w:rPr>
          <w:color w:val="231F20"/>
          <w:spacing w:val="-9"/>
        </w:rPr>
        <w:t> </w:t>
      </w:r>
      <w:r>
        <w:rPr>
          <w:color w:val="231F20"/>
        </w:rPr>
        <w:t>има</w:t>
      </w:r>
      <w:r>
        <w:rPr>
          <w:color w:val="231F20"/>
          <w:spacing w:val="-9"/>
        </w:rPr>
        <w:t> </w:t>
      </w:r>
      <w:r>
        <w:rPr>
          <w:color w:val="231F20"/>
        </w:rPr>
        <w:t>дрвеће,</w:t>
      </w:r>
      <w:r>
        <w:rPr>
          <w:color w:val="231F20"/>
          <w:spacing w:val="-9"/>
        </w:rPr>
        <w:t> </w:t>
      </w:r>
      <w:r>
        <w:rPr>
          <w:color w:val="231F20"/>
        </w:rPr>
        <w:t>куће</w:t>
      </w:r>
      <w:r>
        <w:rPr>
          <w:color w:val="231F20"/>
          <w:spacing w:val="-9"/>
        </w:rPr>
        <w:t> </w:t>
      </w:r>
      <w:r>
        <w:rPr>
          <w:color w:val="231F20"/>
        </w:rPr>
        <w:t>или</w:t>
      </w:r>
      <w:r>
        <w:rPr>
          <w:color w:val="231F20"/>
          <w:spacing w:val="-9"/>
        </w:rPr>
        <w:t> </w:t>
      </w:r>
      <w:r>
        <w:rPr>
          <w:color w:val="231F20"/>
        </w:rPr>
        <w:t>било</w:t>
      </w:r>
      <w:r>
        <w:rPr>
          <w:color w:val="231F20"/>
          <w:spacing w:val="-9"/>
        </w:rPr>
        <w:t> </w:t>
      </w:r>
      <w:r>
        <w:rPr>
          <w:color w:val="231F20"/>
        </w:rPr>
        <w:t>какву</w:t>
      </w:r>
      <w:r>
        <w:rPr>
          <w:color w:val="231F20"/>
          <w:spacing w:val="-9"/>
        </w:rPr>
        <w:t> </w:t>
      </w:r>
      <w:r>
        <w:rPr>
          <w:color w:val="231F20"/>
        </w:rPr>
        <w:t>другу препреку </w:t>
      </w:r>
      <w:r>
        <w:rPr>
          <w:color w:val="231F20"/>
          <w:spacing w:val="-3"/>
        </w:rPr>
        <w:t>која </w:t>
      </w:r>
      <w:r>
        <w:rPr>
          <w:color w:val="231F20"/>
        </w:rPr>
        <w:t>би </w:t>
      </w:r>
      <w:r>
        <w:rPr>
          <w:color w:val="231F20"/>
          <w:spacing w:val="-3"/>
        </w:rPr>
        <w:t>могла </w:t>
      </w:r>
      <w:r>
        <w:rPr>
          <w:color w:val="231F20"/>
        </w:rPr>
        <w:t>да утиче на снагу</w:t>
      </w:r>
      <w:r>
        <w:rPr>
          <w:color w:val="231F20"/>
          <w:spacing w:val="1"/>
        </w:rPr>
        <w:t> </w:t>
      </w:r>
      <w:r>
        <w:rPr>
          <w:color w:val="231F20"/>
        </w:rPr>
        <w:t>ветра;</w:t>
      </w:r>
    </w:p>
    <w:p>
      <w:pPr>
        <w:pStyle w:val="BodyText"/>
        <w:spacing w:line="237" w:lineRule="auto"/>
        <w:ind w:left="454" w:firstLine="397"/>
      </w:pPr>
      <w:r>
        <w:rPr>
          <w:color w:val="231F20"/>
          <w:w w:val="66"/>
        </w:rPr>
        <w:t> </w:t>
      </w:r>
      <w:r>
        <w:rPr>
          <w:color w:val="231F20"/>
        </w:rPr>
        <w:t>– могућност изградње одређене ветроелектране на датој ло- кацији – топографија, нагиб терена, величина простора, врста ра- стиња и друго;</w:t>
      </w:r>
    </w:p>
    <w:p>
      <w:pPr>
        <w:pStyle w:val="BodyText"/>
        <w:spacing w:line="237" w:lineRule="auto"/>
        <w:ind w:left="454" w:right="1" w:firstLine="396"/>
      </w:pPr>
      <w:r>
        <w:rPr>
          <w:color w:val="231F20"/>
          <w:w w:val="66"/>
        </w:rPr>
        <w:t> </w:t>
      </w:r>
      <w:r>
        <w:rPr>
          <w:color w:val="231F20"/>
        </w:rPr>
        <w:t>– близина електро мреже (далеководи), трафостанице и мо- гућност прикључивања на електро-енергетски систем) – испитати да ли је потребна изградња нове инфраструктуре;</w:t>
      </w:r>
    </w:p>
    <w:p>
      <w:pPr>
        <w:pStyle w:val="BodyText"/>
        <w:spacing w:line="237" w:lineRule="auto"/>
        <w:ind w:left="454" w:firstLine="396"/>
      </w:pPr>
      <w:r>
        <w:rPr>
          <w:color w:val="231F20"/>
          <w:w w:val="66"/>
        </w:rPr>
        <w:t> </w:t>
      </w:r>
      <w:r>
        <w:rPr>
          <w:color w:val="231F20"/>
        </w:rPr>
        <w:t>–</w:t>
      </w:r>
      <w:r>
        <w:rPr>
          <w:color w:val="231F20"/>
          <w:spacing w:val="-10"/>
        </w:rPr>
        <w:t> </w:t>
      </w:r>
      <w:r>
        <w:rPr>
          <w:color w:val="231F20"/>
        </w:rPr>
        <w:t>квалитет</w:t>
      </w:r>
      <w:r>
        <w:rPr>
          <w:color w:val="231F20"/>
          <w:spacing w:val="-10"/>
        </w:rPr>
        <w:t> </w:t>
      </w:r>
      <w:r>
        <w:rPr>
          <w:color w:val="231F20"/>
        </w:rPr>
        <w:t>приступних</w:t>
      </w:r>
      <w:r>
        <w:rPr>
          <w:color w:val="231F20"/>
          <w:spacing w:val="-10"/>
        </w:rPr>
        <w:t> </w:t>
      </w:r>
      <w:r>
        <w:rPr>
          <w:color w:val="231F20"/>
        </w:rPr>
        <w:t>путева</w:t>
      </w:r>
      <w:r>
        <w:rPr>
          <w:color w:val="231F20"/>
          <w:spacing w:val="-10"/>
        </w:rPr>
        <w:t> </w:t>
      </w:r>
      <w:r>
        <w:rPr>
          <w:color w:val="231F20"/>
        </w:rPr>
        <w:t>и</w:t>
      </w:r>
      <w:r>
        <w:rPr>
          <w:color w:val="231F20"/>
          <w:spacing w:val="-10"/>
        </w:rPr>
        <w:t> </w:t>
      </w:r>
      <w:r>
        <w:rPr>
          <w:color w:val="231F20"/>
        </w:rPr>
        <w:t>тла</w:t>
      </w:r>
      <w:r>
        <w:rPr>
          <w:color w:val="231F20"/>
          <w:spacing w:val="15"/>
        </w:rPr>
        <w:t> </w:t>
      </w:r>
      <w:r>
        <w:rPr>
          <w:color w:val="231F20"/>
        </w:rPr>
        <w:t>–</w:t>
      </w:r>
      <w:r>
        <w:rPr>
          <w:color w:val="231F20"/>
          <w:spacing w:val="-10"/>
        </w:rPr>
        <w:t> </w:t>
      </w:r>
      <w:r>
        <w:rPr>
          <w:color w:val="231F20"/>
        </w:rPr>
        <w:t>да</w:t>
      </w:r>
      <w:r>
        <w:rPr>
          <w:color w:val="231F20"/>
          <w:spacing w:val="-10"/>
        </w:rPr>
        <w:t> </w:t>
      </w:r>
      <w:r>
        <w:rPr>
          <w:color w:val="231F20"/>
        </w:rPr>
        <w:t>ли</w:t>
      </w:r>
      <w:r>
        <w:rPr>
          <w:color w:val="231F20"/>
          <w:spacing w:val="-10"/>
        </w:rPr>
        <w:t> </w:t>
      </w:r>
      <w:r>
        <w:rPr>
          <w:color w:val="231F20"/>
        </w:rPr>
        <w:t>могуће</w:t>
      </w:r>
      <w:r>
        <w:rPr>
          <w:color w:val="231F20"/>
          <w:spacing w:val="-10"/>
        </w:rPr>
        <w:t> </w:t>
      </w:r>
      <w:r>
        <w:rPr>
          <w:color w:val="231F20"/>
        </w:rPr>
        <w:t>транспор- </w:t>
      </w:r>
      <w:r>
        <w:rPr>
          <w:color w:val="231F20"/>
          <w:spacing w:val="-2"/>
        </w:rPr>
        <w:t>товати </w:t>
      </w:r>
      <w:r>
        <w:rPr>
          <w:color w:val="231F20"/>
        </w:rPr>
        <w:t>опрему за ветроелектрану постојећим путевима (ширина, статика саобраћајница и</w:t>
      </w:r>
      <w:r>
        <w:rPr>
          <w:color w:val="231F20"/>
          <w:spacing w:val="-3"/>
        </w:rPr>
        <w:t> </w:t>
      </w:r>
      <w:r>
        <w:rPr>
          <w:color w:val="231F20"/>
        </w:rPr>
        <w:t>друго);</w:t>
      </w:r>
    </w:p>
    <w:p>
      <w:pPr>
        <w:pStyle w:val="BodyText"/>
        <w:spacing w:line="203" w:lineRule="exact"/>
        <w:ind w:left="851"/>
        <w:jc w:val="left"/>
      </w:pPr>
      <w:r>
        <w:rPr>
          <w:color w:val="231F20"/>
          <w:w w:val="66"/>
        </w:rPr>
        <w:t> </w:t>
      </w:r>
      <w:r>
        <w:rPr>
          <w:color w:val="231F20"/>
        </w:rPr>
        <w:t>– сеизмолошки аспекти;</w:t>
      </w:r>
    </w:p>
    <w:p>
      <w:pPr>
        <w:pStyle w:val="BodyText"/>
        <w:spacing w:line="237" w:lineRule="auto"/>
        <w:ind w:left="454" w:right="1" w:firstLine="397"/>
      </w:pPr>
      <w:r>
        <w:rPr>
          <w:color w:val="231F20"/>
          <w:w w:val="66"/>
        </w:rPr>
        <w:t> </w:t>
      </w:r>
      <w:r>
        <w:rPr>
          <w:color w:val="231F20"/>
        </w:rPr>
        <w:t>–</w:t>
      </w:r>
      <w:r>
        <w:rPr>
          <w:color w:val="231F20"/>
          <w:spacing w:val="-10"/>
        </w:rPr>
        <w:t> </w:t>
      </w:r>
      <w:r>
        <w:rPr>
          <w:color w:val="231F20"/>
        </w:rPr>
        <w:t>власништво</w:t>
      </w:r>
      <w:r>
        <w:rPr>
          <w:color w:val="231F20"/>
          <w:spacing w:val="-10"/>
        </w:rPr>
        <w:t> </w:t>
      </w:r>
      <w:r>
        <w:rPr>
          <w:color w:val="231F20"/>
        </w:rPr>
        <w:t>над</w:t>
      </w:r>
      <w:r>
        <w:rPr>
          <w:color w:val="231F20"/>
          <w:spacing w:val="-10"/>
        </w:rPr>
        <w:t> </w:t>
      </w:r>
      <w:r>
        <w:rPr>
          <w:color w:val="231F20"/>
        </w:rPr>
        <w:t>земљиштем</w:t>
      </w:r>
      <w:r>
        <w:rPr>
          <w:color w:val="231F20"/>
          <w:spacing w:val="13"/>
        </w:rPr>
        <w:t> </w:t>
      </w:r>
      <w:r>
        <w:rPr>
          <w:color w:val="231F20"/>
        </w:rPr>
        <w:t>–</w:t>
      </w:r>
      <w:r>
        <w:rPr>
          <w:color w:val="231F20"/>
          <w:spacing w:val="-10"/>
        </w:rPr>
        <w:t> </w:t>
      </w:r>
      <w:r>
        <w:rPr>
          <w:color w:val="231F20"/>
        </w:rPr>
        <w:t>да</w:t>
      </w:r>
      <w:r>
        <w:rPr>
          <w:color w:val="231F20"/>
          <w:spacing w:val="-10"/>
        </w:rPr>
        <w:t> </w:t>
      </w:r>
      <w:r>
        <w:rPr>
          <w:color w:val="231F20"/>
        </w:rPr>
        <w:t>ли</w:t>
      </w:r>
      <w:r>
        <w:rPr>
          <w:color w:val="231F20"/>
          <w:spacing w:val="-10"/>
        </w:rPr>
        <w:t> </w:t>
      </w:r>
      <w:r>
        <w:rPr>
          <w:color w:val="231F20"/>
        </w:rPr>
        <w:t>су</w:t>
      </w:r>
      <w:r>
        <w:rPr>
          <w:color w:val="231F20"/>
          <w:spacing w:val="-10"/>
        </w:rPr>
        <w:t> </w:t>
      </w:r>
      <w:r>
        <w:rPr>
          <w:color w:val="231F20"/>
        </w:rPr>
        <w:t>регулисани</w:t>
      </w:r>
      <w:r>
        <w:rPr>
          <w:color w:val="231F20"/>
          <w:spacing w:val="-10"/>
        </w:rPr>
        <w:t> </w:t>
      </w:r>
      <w:r>
        <w:rPr>
          <w:color w:val="231F20"/>
        </w:rPr>
        <w:t>имовин- ско-правни</w:t>
      </w:r>
      <w:r>
        <w:rPr>
          <w:color w:val="231F20"/>
          <w:spacing w:val="-2"/>
        </w:rPr>
        <w:t> </w:t>
      </w:r>
      <w:r>
        <w:rPr>
          <w:color w:val="231F20"/>
        </w:rPr>
        <w:t>односи;</w:t>
      </w:r>
    </w:p>
    <w:p>
      <w:pPr>
        <w:pStyle w:val="BodyText"/>
        <w:spacing w:line="232" w:lineRule="auto" w:before="69"/>
        <w:ind w:left="242" w:right="128" w:firstLine="396"/>
      </w:pPr>
      <w:r>
        <w:rPr/>
        <w:br w:type="column"/>
      </w:r>
      <w:r>
        <w:rPr>
          <w:color w:val="231F20"/>
          <w:w w:val="66"/>
        </w:rPr>
        <w:t> </w:t>
      </w:r>
      <w:r>
        <w:rPr>
          <w:color w:val="231F20"/>
        </w:rPr>
        <w:t>– едукација, подизање свести и припрема локалног јавног мњења (становништва и локалне самоуправе);</w:t>
      </w:r>
    </w:p>
    <w:p>
      <w:pPr>
        <w:pStyle w:val="BodyText"/>
        <w:spacing w:line="232" w:lineRule="auto" w:before="1"/>
        <w:ind w:left="242" w:right="127" w:firstLine="396"/>
      </w:pPr>
      <w:r>
        <w:rPr>
          <w:color w:val="231F20"/>
          <w:w w:val="66"/>
        </w:rPr>
        <w:t> </w:t>
      </w:r>
      <w:r>
        <w:rPr>
          <w:color w:val="231F20"/>
        </w:rPr>
        <w:t>– постојање подстицајних мера – пореске олакшице, субвен- ције и друго;</w:t>
      </w:r>
    </w:p>
    <w:p>
      <w:pPr>
        <w:pStyle w:val="BodyText"/>
        <w:spacing w:line="232" w:lineRule="auto"/>
        <w:ind w:left="242" w:right="127" w:firstLine="396"/>
      </w:pPr>
      <w:r>
        <w:rPr>
          <w:color w:val="231F20"/>
          <w:w w:val="66"/>
        </w:rPr>
        <w:t> </w:t>
      </w:r>
      <w:r>
        <w:rPr>
          <w:color w:val="231F20"/>
        </w:rPr>
        <w:t>– постојање посебних економско-финансијских захтева од стране локалне заједнице (проценат профита, помоћ у изградњи инфраструктуре, донације итд.);</w:t>
      </w:r>
    </w:p>
    <w:p>
      <w:pPr>
        <w:pStyle w:val="BodyText"/>
        <w:spacing w:line="232" w:lineRule="auto" w:before="1"/>
        <w:ind w:left="242" w:right="127" w:firstLine="396"/>
      </w:pPr>
      <w:r>
        <w:rPr>
          <w:color w:val="231F20"/>
          <w:w w:val="66"/>
        </w:rPr>
        <w:t> </w:t>
      </w:r>
      <w:r>
        <w:rPr>
          <w:color w:val="231F20"/>
        </w:rPr>
        <w:t>– утицај на животну средину – неугрожавање флоре и фауне (правац миграторних кретања птица, IBA – important bird areas), неугрожавање крајолика, заштићених природних добара, нацио- налних паркова, бука итд;</w:t>
      </w:r>
    </w:p>
    <w:p>
      <w:pPr>
        <w:pStyle w:val="BodyText"/>
        <w:spacing w:line="232" w:lineRule="auto" w:before="1"/>
        <w:ind w:left="242" w:right="127" w:firstLine="396"/>
      </w:pPr>
      <w:r>
        <w:rPr>
          <w:color w:val="231F20"/>
          <w:w w:val="66"/>
        </w:rPr>
        <w:t> </w:t>
      </w:r>
      <w:r>
        <w:rPr>
          <w:color w:val="231F20"/>
        </w:rPr>
        <w:t>– довољна удаљеност од насеља и стамбених објеката како би се избегло повeћање интензитета буке и</w:t>
      </w:r>
    </w:p>
    <w:p>
      <w:pPr>
        <w:pStyle w:val="BodyText"/>
        <w:spacing w:line="232" w:lineRule="auto" w:before="1"/>
        <w:ind w:left="242" w:right="127" w:firstLine="396"/>
      </w:pPr>
      <w:r>
        <w:rPr>
          <w:color w:val="231F20"/>
          <w:w w:val="66"/>
        </w:rPr>
        <w:t> </w:t>
      </w:r>
      <w:r>
        <w:rPr>
          <w:color w:val="231F20"/>
        </w:rPr>
        <w:t>–</w:t>
      </w:r>
      <w:r>
        <w:rPr>
          <w:color w:val="231F20"/>
          <w:spacing w:val="-11"/>
        </w:rPr>
        <w:t> </w:t>
      </w:r>
      <w:r>
        <w:rPr>
          <w:color w:val="231F20"/>
        </w:rPr>
        <w:t>довољна</w:t>
      </w:r>
      <w:r>
        <w:rPr>
          <w:color w:val="231F20"/>
          <w:spacing w:val="-11"/>
        </w:rPr>
        <w:t> </w:t>
      </w:r>
      <w:r>
        <w:rPr>
          <w:color w:val="231F20"/>
        </w:rPr>
        <w:t>удаљеност</w:t>
      </w:r>
      <w:r>
        <w:rPr>
          <w:color w:val="231F20"/>
          <w:spacing w:val="-11"/>
        </w:rPr>
        <w:t> </w:t>
      </w:r>
      <w:r>
        <w:rPr>
          <w:color w:val="231F20"/>
          <w:spacing w:val="-3"/>
        </w:rPr>
        <w:t>од</w:t>
      </w:r>
      <w:r>
        <w:rPr>
          <w:color w:val="231F20"/>
          <w:spacing w:val="-11"/>
        </w:rPr>
        <w:t> </w:t>
      </w:r>
      <w:r>
        <w:rPr>
          <w:color w:val="231F20"/>
        </w:rPr>
        <w:t>инфраструктурних</w:t>
      </w:r>
      <w:r>
        <w:rPr>
          <w:color w:val="231F20"/>
          <w:spacing w:val="-11"/>
        </w:rPr>
        <w:t> </w:t>
      </w:r>
      <w:r>
        <w:rPr>
          <w:color w:val="231F20"/>
        </w:rPr>
        <w:t>објеката</w:t>
      </w:r>
      <w:r>
        <w:rPr>
          <w:color w:val="231F20"/>
          <w:spacing w:val="-11"/>
        </w:rPr>
        <w:t> </w:t>
      </w:r>
      <w:r>
        <w:rPr>
          <w:color w:val="231F20"/>
        </w:rPr>
        <w:t>(телеко- муникационих, радарских, аеродрома, линијских инфраструктур- них објеката и</w:t>
      </w:r>
      <w:r>
        <w:rPr>
          <w:color w:val="231F20"/>
          <w:spacing w:val="-3"/>
        </w:rPr>
        <w:t> </w:t>
      </w:r>
      <w:r>
        <w:rPr>
          <w:color w:val="231F20"/>
        </w:rPr>
        <w:t>друго):</w:t>
      </w:r>
    </w:p>
    <w:p>
      <w:pPr>
        <w:pStyle w:val="BodyText"/>
        <w:spacing w:line="232" w:lineRule="auto" w:before="1"/>
        <w:ind w:left="243" w:right="126" w:firstLine="396"/>
      </w:pPr>
      <w:r>
        <w:rPr>
          <w:color w:val="231F20"/>
          <w:spacing w:val="-3"/>
        </w:rPr>
        <w:t>Приликом </w:t>
      </w:r>
      <w:r>
        <w:rPr>
          <w:color w:val="231F20"/>
        </w:rPr>
        <w:t>вредновања потенцијалних локација треба узети у обзир и друга ограничења, као што су: утицај рударско-енергет- </w:t>
      </w:r>
      <w:r>
        <w:rPr>
          <w:color w:val="231F20"/>
          <w:spacing w:val="-3"/>
        </w:rPr>
        <w:t>ског </w:t>
      </w:r>
      <w:r>
        <w:rPr>
          <w:color w:val="231F20"/>
        </w:rPr>
        <w:t>система, стабилност и носивост тла, близина археолошких локалитета и културних добара и слично. </w:t>
      </w:r>
      <w:r>
        <w:rPr>
          <w:color w:val="231F20"/>
          <w:spacing w:val="-5"/>
        </w:rPr>
        <w:t>Код </w:t>
      </w:r>
      <w:r>
        <w:rPr>
          <w:color w:val="231F20"/>
        </w:rPr>
        <w:t>изградње ветропар- </w:t>
      </w:r>
      <w:r>
        <w:rPr>
          <w:color w:val="231F20"/>
          <w:spacing w:val="-4"/>
        </w:rPr>
        <w:t>кова</w:t>
      </w:r>
      <w:r>
        <w:rPr>
          <w:color w:val="231F20"/>
          <w:spacing w:val="-8"/>
        </w:rPr>
        <w:t> </w:t>
      </w:r>
      <w:r>
        <w:rPr>
          <w:color w:val="231F20"/>
        </w:rPr>
        <w:t>веће</w:t>
      </w:r>
      <w:r>
        <w:rPr>
          <w:color w:val="231F20"/>
          <w:spacing w:val="-8"/>
        </w:rPr>
        <w:t> </w:t>
      </w:r>
      <w:r>
        <w:rPr>
          <w:color w:val="231F20"/>
        </w:rPr>
        <w:t>снаге</w:t>
      </w:r>
      <w:r>
        <w:rPr>
          <w:color w:val="231F20"/>
          <w:spacing w:val="-8"/>
        </w:rPr>
        <w:t> </w:t>
      </w:r>
      <w:r>
        <w:rPr>
          <w:color w:val="231F20"/>
        </w:rPr>
        <w:t>потребно</w:t>
      </w:r>
      <w:r>
        <w:rPr>
          <w:color w:val="231F20"/>
          <w:spacing w:val="-8"/>
        </w:rPr>
        <w:t> </w:t>
      </w:r>
      <w:r>
        <w:rPr>
          <w:color w:val="231F20"/>
        </w:rPr>
        <w:t>је</w:t>
      </w:r>
      <w:r>
        <w:rPr>
          <w:color w:val="231F20"/>
          <w:spacing w:val="-8"/>
        </w:rPr>
        <w:t> </w:t>
      </w:r>
      <w:r>
        <w:rPr>
          <w:color w:val="231F20"/>
        </w:rPr>
        <w:t>изградити</w:t>
      </w:r>
      <w:r>
        <w:rPr>
          <w:color w:val="231F20"/>
          <w:spacing w:val="-8"/>
        </w:rPr>
        <w:t> </w:t>
      </w:r>
      <w:r>
        <w:rPr>
          <w:color w:val="231F20"/>
        </w:rPr>
        <w:t>далеководе</w:t>
      </w:r>
      <w:r>
        <w:rPr>
          <w:color w:val="231F20"/>
          <w:spacing w:val="-8"/>
        </w:rPr>
        <w:t> </w:t>
      </w:r>
      <w:r>
        <w:rPr>
          <w:color w:val="231F20"/>
        </w:rPr>
        <w:t>за</w:t>
      </w:r>
      <w:r>
        <w:rPr>
          <w:color w:val="231F20"/>
          <w:spacing w:val="-8"/>
        </w:rPr>
        <w:t> </w:t>
      </w:r>
      <w:r>
        <w:rPr>
          <w:color w:val="231F20"/>
        </w:rPr>
        <w:t>њихово</w:t>
      </w:r>
      <w:r>
        <w:rPr>
          <w:color w:val="231F20"/>
          <w:spacing w:val="-8"/>
        </w:rPr>
        <w:t> </w:t>
      </w:r>
      <w:r>
        <w:rPr>
          <w:color w:val="231F20"/>
        </w:rPr>
        <w:t>укљу- чивање на преносну</w:t>
      </w:r>
      <w:r>
        <w:rPr>
          <w:color w:val="231F20"/>
          <w:spacing w:val="-2"/>
        </w:rPr>
        <w:t> </w:t>
      </w:r>
      <w:r>
        <w:rPr>
          <w:color w:val="231F20"/>
          <w:spacing w:val="-4"/>
        </w:rPr>
        <w:t>мрежу.</w:t>
      </w:r>
    </w:p>
    <w:p>
      <w:pPr>
        <w:pStyle w:val="ListParagraph"/>
        <w:numPr>
          <w:ilvl w:val="3"/>
          <w:numId w:val="50"/>
        </w:numPr>
        <w:tabs>
          <w:tab w:pos="2016" w:val="left" w:leader="none"/>
        </w:tabs>
        <w:spacing w:line="240" w:lineRule="auto" w:before="167" w:after="0"/>
        <w:ind w:left="2015" w:right="0" w:hanging="315"/>
        <w:jc w:val="left"/>
        <w:rPr>
          <w:i/>
          <w:sz w:val="18"/>
        </w:rPr>
      </w:pPr>
      <w:r>
        <w:rPr>
          <w:i/>
          <w:color w:val="231F20"/>
          <w:sz w:val="18"/>
        </w:rPr>
        <w:t>Енергетска</w:t>
      </w:r>
      <w:r>
        <w:rPr>
          <w:i/>
          <w:color w:val="231F20"/>
          <w:spacing w:val="-1"/>
          <w:sz w:val="18"/>
        </w:rPr>
        <w:t> </w:t>
      </w:r>
      <w:r>
        <w:rPr>
          <w:i/>
          <w:color w:val="231F20"/>
          <w:sz w:val="18"/>
        </w:rPr>
        <w:t>ефикасност</w:t>
      </w:r>
    </w:p>
    <w:p>
      <w:pPr>
        <w:pStyle w:val="BodyText"/>
        <w:spacing w:before="4"/>
        <w:ind w:left="0"/>
        <w:jc w:val="left"/>
        <w:rPr>
          <w:i/>
          <w:sz w:val="17"/>
        </w:rPr>
      </w:pPr>
    </w:p>
    <w:p>
      <w:pPr>
        <w:pStyle w:val="BodyText"/>
        <w:spacing w:line="232" w:lineRule="auto"/>
        <w:ind w:left="243" w:right="126" w:firstLine="396"/>
      </w:pPr>
      <w:r>
        <w:rPr>
          <w:color w:val="231F20"/>
        </w:rPr>
        <w:t>У изградњи нових и реконструкцији постојећих објеката по- штоваће се принципи енергетске ефикасности. Енергетска ефика- сност нових и постојећих објеката утврђиваће се у поступку енер- гетске сертификације и поседовањем енергетског пасоша.</w:t>
      </w:r>
    </w:p>
    <w:p>
      <w:pPr>
        <w:pStyle w:val="BodyText"/>
        <w:spacing w:line="232" w:lineRule="auto" w:before="1"/>
        <w:ind w:left="243" w:right="126" w:firstLine="396"/>
      </w:pPr>
      <w:r>
        <w:rPr>
          <w:color w:val="231F20"/>
        </w:rPr>
        <w:t>Приликом енергетске реконструкције постојећих објеката примењују се утврђена правила за изградњу објеката. За потребе реконструкције објекта који прелази дозвољене индексе могу се изводити радови на:</w:t>
      </w:r>
    </w:p>
    <w:p>
      <w:pPr>
        <w:pStyle w:val="BodyText"/>
        <w:spacing w:line="200" w:lineRule="exact"/>
        <w:ind w:left="640"/>
        <w:jc w:val="left"/>
      </w:pPr>
      <w:r>
        <w:rPr>
          <w:color w:val="231F20"/>
          <w:w w:val="66"/>
        </w:rPr>
        <w:t> </w:t>
      </w:r>
      <w:r>
        <w:rPr>
          <w:color w:val="231F20"/>
        </w:rPr>
        <w:t>– реконструкцији и редизајну фасаде по условима;</w:t>
      </w:r>
    </w:p>
    <w:p>
      <w:pPr>
        <w:pStyle w:val="BodyText"/>
        <w:spacing w:line="201" w:lineRule="exact"/>
        <w:ind w:left="640"/>
        <w:jc w:val="left"/>
      </w:pPr>
      <w:r>
        <w:rPr>
          <w:color w:val="231F20"/>
          <w:w w:val="66"/>
        </w:rPr>
        <w:t> </w:t>
      </w:r>
      <w:r>
        <w:rPr>
          <w:color w:val="231F20"/>
        </w:rPr>
        <w:t>– реконструкцији и замени крова и кровног покривача;</w:t>
      </w:r>
    </w:p>
    <w:p>
      <w:pPr>
        <w:pStyle w:val="BodyText"/>
        <w:spacing w:line="232" w:lineRule="auto" w:before="3"/>
        <w:ind w:left="244" w:right="126" w:firstLine="396"/>
      </w:pPr>
      <w:r>
        <w:rPr>
          <w:color w:val="231F20"/>
          <w:w w:val="66"/>
        </w:rPr>
        <w:t> </w:t>
      </w:r>
      <w:r>
        <w:rPr>
          <w:color w:val="231F20"/>
        </w:rPr>
        <w:t>– побољшању термичке заштите и енергетске ефикасности зграде и</w:t>
      </w:r>
    </w:p>
    <w:p>
      <w:pPr>
        <w:pStyle w:val="BodyText"/>
        <w:spacing w:line="200" w:lineRule="exact"/>
        <w:ind w:left="641"/>
        <w:jc w:val="left"/>
      </w:pPr>
      <w:r>
        <w:rPr>
          <w:color w:val="231F20"/>
          <w:w w:val="66"/>
        </w:rPr>
        <w:t> </w:t>
      </w:r>
      <w:r>
        <w:rPr>
          <w:color w:val="231F20"/>
        </w:rPr>
        <w:t>– други радови на побољшању општег квалитета објекта.</w:t>
      </w:r>
    </w:p>
    <w:p>
      <w:pPr>
        <w:pStyle w:val="BodyText"/>
        <w:spacing w:line="232" w:lineRule="auto" w:before="2"/>
        <w:ind w:left="243" w:right="126" w:firstLine="397"/>
      </w:pPr>
      <w:r>
        <w:rPr>
          <w:color w:val="231F20"/>
        </w:rPr>
        <w:t>За</w:t>
      </w:r>
      <w:r>
        <w:rPr>
          <w:color w:val="231F20"/>
          <w:spacing w:val="-10"/>
        </w:rPr>
        <w:t> </w:t>
      </w:r>
      <w:r>
        <w:rPr>
          <w:color w:val="231F20"/>
        </w:rPr>
        <w:t>потребе</w:t>
      </w:r>
      <w:r>
        <w:rPr>
          <w:color w:val="231F20"/>
          <w:spacing w:val="-10"/>
        </w:rPr>
        <w:t> </w:t>
      </w:r>
      <w:r>
        <w:rPr>
          <w:color w:val="231F20"/>
        </w:rPr>
        <w:t>реконструкције</w:t>
      </w:r>
      <w:r>
        <w:rPr>
          <w:color w:val="231F20"/>
          <w:spacing w:val="-10"/>
        </w:rPr>
        <w:t> </w:t>
      </w:r>
      <w:r>
        <w:rPr>
          <w:color w:val="231F20"/>
        </w:rPr>
        <w:t>објекта</w:t>
      </w:r>
      <w:r>
        <w:rPr>
          <w:color w:val="231F20"/>
          <w:spacing w:val="-10"/>
        </w:rPr>
        <w:t> </w:t>
      </w:r>
      <w:r>
        <w:rPr>
          <w:color w:val="231F20"/>
          <w:spacing w:val="-3"/>
        </w:rPr>
        <w:t>који</w:t>
      </w:r>
      <w:r>
        <w:rPr>
          <w:color w:val="231F20"/>
          <w:spacing w:val="-10"/>
        </w:rPr>
        <w:t> </w:t>
      </w:r>
      <w:r>
        <w:rPr>
          <w:color w:val="231F20"/>
        </w:rPr>
        <w:t>не</w:t>
      </w:r>
      <w:r>
        <w:rPr>
          <w:color w:val="231F20"/>
          <w:spacing w:val="-10"/>
        </w:rPr>
        <w:t> </w:t>
      </w:r>
      <w:r>
        <w:rPr>
          <w:color w:val="231F20"/>
        </w:rPr>
        <w:t>прелази</w:t>
      </w:r>
      <w:r>
        <w:rPr>
          <w:color w:val="231F20"/>
          <w:spacing w:val="-10"/>
        </w:rPr>
        <w:t> </w:t>
      </w:r>
      <w:r>
        <w:rPr>
          <w:color w:val="231F20"/>
        </w:rPr>
        <w:t>дозвољене индексе могу се изводити радови</w:t>
      </w:r>
      <w:r>
        <w:rPr>
          <w:color w:val="231F20"/>
          <w:spacing w:val="-4"/>
        </w:rPr>
        <w:t> </w:t>
      </w:r>
      <w:r>
        <w:rPr>
          <w:color w:val="231F20"/>
        </w:rPr>
        <w:t>на:</w:t>
      </w:r>
    </w:p>
    <w:p>
      <w:pPr>
        <w:pStyle w:val="BodyText"/>
        <w:spacing w:line="200" w:lineRule="exact"/>
        <w:ind w:left="641"/>
        <w:jc w:val="left"/>
      </w:pPr>
      <w:r>
        <w:rPr>
          <w:color w:val="231F20"/>
          <w:w w:val="66"/>
        </w:rPr>
        <w:t> </w:t>
      </w:r>
      <w:r>
        <w:rPr>
          <w:color w:val="231F20"/>
        </w:rPr>
        <w:t>– доградњи и надградњи до дозвољеног максимума;</w:t>
      </w:r>
    </w:p>
    <w:p>
      <w:pPr>
        <w:pStyle w:val="BodyText"/>
        <w:spacing w:line="201" w:lineRule="exact"/>
        <w:ind w:left="641"/>
        <w:jc w:val="left"/>
      </w:pPr>
      <w:r>
        <w:rPr>
          <w:color w:val="231F20"/>
          <w:w w:val="66"/>
        </w:rPr>
        <w:t> </w:t>
      </w:r>
      <w:r>
        <w:rPr>
          <w:color w:val="231F20"/>
        </w:rPr>
        <w:t>– реконструкцији и редизајну фасаде;</w:t>
      </w:r>
    </w:p>
    <w:p>
      <w:pPr>
        <w:pStyle w:val="BodyText"/>
        <w:spacing w:line="232" w:lineRule="auto" w:before="2"/>
        <w:ind w:left="244" w:right="125" w:firstLine="396"/>
      </w:pPr>
      <w:r>
        <w:rPr>
          <w:color w:val="231F20"/>
          <w:w w:val="66"/>
        </w:rPr>
        <w:t> </w:t>
      </w:r>
      <w:r>
        <w:rPr>
          <w:color w:val="231F20"/>
        </w:rPr>
        <w:t>–</w:t>
      </w:r>
      <w:r>
        <w:rPr>
          <w:color w:val="231F20"/>
          <w:spacing w:val="-4"/>
        </w:rPr>
        <w:t> </w:t>
      </w:r>
      <w:r>
        <w:rPr>
          <w:color w:val="231F20"/>
        </w:rPr>
        <w:t>реконструкцији</w:t>
      </w:r>
      <w:r>
        <w:rPr>
          <w:color w:val="231F20"/>
          <w:spacing w:val="-4"/>
        </w:rPr>
        <w:t> </w:t>
      </w:r>
      <w:r>
        <w:rPr>
          <w:color w:val="231F20"/>
        </w:rPr>
        <w:t>и</w:t>
      </w:r>
      <w:r>
        <w:rPr>
          <w:color w:val="231F20"/>
          <w:spacing w:val="-4"/>
        </w:rPr>
        <w:t> </w:t>
      </w:r>
      <w:r>
        <w:rPr>
          <w:color w:val="231F20"/>
        </w:rPr>
        <w:t>замени</w:t>
      </w:r>
      <w:r>
        <w:rPr>
          <w:color w:val="231F20"/>
          <w:spacing w:val="-4"/>
        </w:rPr>
        <w:t> </w:t>
      </w:r>
      <w:r>
        <w:rPr>
          <w:color w:val="231F20"/>
        </w:rPr>
        <w:t>крова</w:t>
      </w:r>
      <w:r>
        <w:rPr>
          <w:color w:val="231F20"/>
          <w:spacing w:val="-5"/>
        </w:rPr>
        <w:t> </w:t>
      </w:r>
      <w:r>
        <w:rPr>
          <w:color w:val="231F20"/>
        </w:rPr>
        <w:t>и</w:t>
      </w:r>
      <w:r>
        <w:rPr>
          <w:color w:val="231F20"/>
          <w:spacing w:val="-4"/>
        </w:rPr>
        <w:t> </w:t>
      </w:r>
      <w:r>
        <w:rPr>
          <w:color w:val="231F20"/>
        </w:rPr>
        <w:t>кровног</w:t>
      </w:r>
      <w:r>
        <w:rPr>
          <w:color w:val="231F20"/>
          <w:spacing w:val="-4"/>
        </w:rPr>
        <w:t> </w:t>
      </w:r>
      <w:r>
        <w:rPr>
          <w:color w:val="231F20"/>
        </w:rPr>
        <w:t>покривача</w:t>
      </w:r>
      <w:r>
        <w:rPr>
          <w:color w:val="231F20"/>
          <w:spacing w:val="-5"/>
        </w:rPr>
        <w:t> </w:t>
      </w:r>
      <w:r>
        <w:rPr>
          <w:color w:val="231F20"/>
        </w:rPr>
        <w:t>са</w:t>
      </w:r>
      <w:r>
        <w:rPr>
          <w:color w:val="231F20"/>
          <w:spacing w:val="-5"/>
        </w:rPr>
        <w:t> </w:t>
      </w:r>
      <w:r>
        <w:rPr>
          <w:color w:val="231F20"/>
        </w:rPr>
        <w:t>мо- гућношћу коришћења поткровља као корисног</w:t>
      </w:r>
      <w:r>
        <w:rPr>
          <w:color w:val="231F20"/>
          <w:spacing w:val="-13"/>
        </w:rPr>
        <w:t> </w:t>
      </w:r>
      <w:r>
        <w:rPr>
          <w:color w:val="231F20"/>
        </w:rPr>
        <w:t>простора;</w:t>
      </w:r>
    </w:p>
    <w:p>
      <w:pPr>
        <w:pStyle w:val="BodyText"/>
        <w:spacing w:line="232" w:lineRule="auto"/>
        <w:ind w:left="244" w:right="125" w:firstLine="396"/>
      </w:pPr>
      <w:r>
        <w:rPr>
          <w:color w:val="231F20"/>
          <w:w w:val="66"/>
        </w:rPr>
        <w:t> </w:t>
      </w:r>
      <w:r>
        <w:rPr>
          <w:color w:val="231F20"/>
        </w:rPr>
        <w:t>– побољшању термичке заштите и енергетске ефикасности зграде; и</w:t>
      </w:r>
    </w:p>
    <w:p>
      <w:pPr>
        <w:pStyle w:val="BodyText"/>
        <w:spacing w:line="232" w:lineRule="auto" w:before="1"/>
        <w:ind w:left="245" w:right="125" w:firstLine="396"/>
      </w:pPr>
      <w:r>
        <w:rPr>
          <w:color w:val="231F20"/>
          <w:w w:val="66"/>
        </w:rPr>
        <w:t> </w:t>
      </w:r>
      <w:r>
        <w:rPr>
          <w:color w:val="231F20"/>
        </w:rPr>
        <w:t>–</w:t>
      </w:r>
      <w:r>
        <w:rPr>
          <w:color w:val="231F20"/>
          <w:spacing w:val="-9"/>
        </w:rPr>
        <w:t> </w:t>
      </w:r>
      <w:r>
        <w:rPr>
          <w:color w:val="231F20"/>
        </w:rPr>
        <w:t>други</w:t>
      </w:r>
      <w:r>
        <w:rPr>
          <w:color w:val="231F20"/>
          <w:spacing w:val="-9"/>
        </w:rPr>
        <w:t> </w:t>
      </w:r>
      <w:r>
        <w:rPr>
          <w:color w:val="231F20"/>
        </w:rPr>
        <w:t>радови</w:t>
      </w:r>
      <w:r>
        <w:rPr>
          <w:color w:val="231F20"/>
          <w:spacing w:val="-9"/>
        </w:rPr>
        <w:t> </w:t>
      </w:r>
      <w:r>
        <w:rPr>
          <w:color w:val="231F20"/>
        </w:rPr>
        <w:t>на</w:t>
      </w:r>
      <w:r>
        <w:rPr>
          <w:color w:val="231F20"/>
          <w:spacing w:val="-9"/>
        </w:rPr>
        <w:t> </w:t>
      </w:r>
      <w:r>
        <w:rPr>
          <w:color w:val="231F20"/>
        </w:rPr>
        <w:t>побољшању</w:t>
      </w:r>
      <w:r>
        <w:rPr>
          <w:color w:val="231F20"/>
          <w:spacing w:val="-9"/>
        </w:rPr>
        <w:t> </w:t>
      </w:r>
      <w:r>
        <w:rPr>
          <w:color w:val="231F20"/>
        </w:rPr>
        <w:t>општег</w:t>
      </w:r>
      <w:r>
        <w:rPr>
          <w:color w:val="231F20"/>
          <w:spacing w:val="-9"/>
        </w:rPr>
        <w:t> </w:t>
      </w:r>
      <w:r>
        <w:rPr>
          <w:color w:val="231F20"/>
        </w:rPr>
        <w:t>квалитета</w:t>
      </w:r>
      <w:r>
        <w:rPr>
          <w:color w:val="231F20"/>
          <w:spacing w:val="-9"/>
        </w:rPr>
        <w:t> </w:t>
      </w:r>
      <w:r>
        <w:rPr>
          <w:color w:val="231F20"/>
        </w:rPr>
        <w:t>објекта</w:t>
      </w:r>
      <w:r>
        <w:rPr>
          <w:color w:val="231F20"/>
          <w:spacing w:val="-9"/>
        </w:rPr>
        <w:t> </w:t>
      </w:r>
      <w:r>
        <w:rPr>
          <w:color w:val="231F20"/>
          <w:spacing w:val="-3"/>
        </w:rPr>
        <w:t>који </w:t>
      </w:r>
      <w:r>
        <w:rPr>
          <w:color w:val="231F20"/>
        </w:rPr>
        <w:t>овде нису</w:t>
      </w:r>
      <w:r>
        <w:rPr>
          <w:color w:val="231F20"/>
          <w:spacing w:val="-1"/>
        </w:rPr>
        <w:t> </w:t>
      </w:r>
      <w:r>
        <w:rPr>
          <w:color w:val="231F20"/>
        </w:rPr>
        <w:t>наведени.</w:t>
      </w:r>
    </w:p>
    <w:p>
      <w:pPr>
        <w:pStyle w:val="ListParagraph"/>
        <w:numPr>
          <w:ilvl w:val="3"/>
          <w:numId w:val="50"/>
        </w:numPr>
        <w:tabs>
          <w:tab w:pos="1686" w:val="left" w:leader="none"/>
        </w:tabs>
        <w:spacing w:line="240" w:lineRule="auto" w:before="165" w:after="0"/>
        <w:ind w:left="1685" w:right="0" w:hanging="315"/>
        <w:jc w:val="left"/>
        <w:rPr>
          <w:i/>
          <w:sz w:val="18"/>
        </w:rPr>
      </w:pPr>
      <w:r>
        <w:rPr>
          <w:i/>
          <w:color w:val="231F20"/>
          <w:sz w:val="18"/>
        </w:rPr>
        <w:t>Водопривредна</w:t>
      </w:r>
      <w:r>
        <w:rPr>
          <w:i/>
          <w:color w:val="231F20"/>
          <w:spacing w:val="-2"/>
          <w:sz w:val="18"/>
        </w:rPr>
        <w:t> </w:t>
      </w:r>
      <w:r>
        <w:rPr>
          <w:i/>
          <w:color w:val="231F20"/>
          <w:sz w:val="18"/>
        </w:rPr>
        <w:t>инфраструктура</w:t>
      </w:r>
    </w:p>
    <w:p>
      <w:pPr>
        <w:pStyle w:val="BodyText"/>
        <w:spacing w:before="5"/>
        <w:ind w:left="0"/>
        <w:jc w:val="left"/>
        <w:rPr>
          <w:i/>
          <w:sz w:val="17"/>
        </w:rPr>
      </w:pPr>
    </w:p>
    <w:p>
      <w:pPr>
        <w:pStyle w:val="BodyText"/>
        <w:spacing w:line="232" w:lineRule="auto"/>
        <w:ind w:left="245" w:right="124" w:firstLine="396"/>
      </w:pPr>
      <w:r>
        <w:rPr>
          <w:color w:val="231F20"/>
        </w:rPr>
        <w:t>У зонама водног земљишта око свих водотока не дозвољава се подужно вођење саобраћајних и инфраструктурних система; на преласку плавних зона линијски системи (саобраћајнице, објекти за пренос енергије, цевоводи) морају се висински издићи и диспо- зиционо тако решити да буду заштићени од поплавних вода веро- ватноће 0,5% (тзв. двестогодишња велика вода).</w:t>
      </w:r>
    </w:p>
    <w:p>
      <w:pPr>
        <w:pStyle w:val="BodyText"/>
        <w:spacing w:line="201" w:lineRule="exact"/>
        <w:ind w:left="643"/>
        <w:jc w:val="left"/>
      </w:pPr>
      <w:r>
        <w:rPr>
          <w:color w:val="231F20"/>
        </w:rPr>
        <w:t>На водном земљишту је:</w:t>
      </w:r>
    </w:p>
    <w:p>
      <w:pPr>
        <w:pStyle w:val="BodyText"/>
        <w:spacing w:line="232" w:lineRule="auto" w:before="2"/>
        <w:ind w:left="246" w:right="123" w:firstLine="396"/>
      </w:pPr>
      <w:r>
        <w:rPr>
          <w:color w:val="231F20"/>
          <w:w w:val="66"/>
        </w:rPr>
        <w:t> </w:t>
      </w:r>
      <w:r>
        <w:rPr>
          <w:color w:val="231F20"/>
        </w:rPr>
        <w:t>–</w:t>
      </w:r>
      <w:r>
        <w:rPr>
          <w:color w:val="231F20"/>
          <w:spacing w:val="-9"/>
        </w:rPr>
        <w:t> </w:t>
      </w:r>
      <w:r>
        <w:rPr>
          <w:color w:val="231F20"/>
        </w:rPr>
        <w:t>забрањена</w:t>
      </w:r>
      <w:r>
        <w:rPr>
          <w:color w:val="231F20"/>
          <w:spacing w:val="-9"/>
        </w:rPr>
        <w:t> </w:t>
      </w:r>
      <w:r>
        <w:rPr>
          <w:color w:val="231F20"/>
        </w:rPr>
        <w:t>изградња</w:t>
      </w:r>
      <w:r>
        <w:rPr>
          <w:color w:val="231F20"/>
          <w:spacing w:val="-9"/>
        </w:rPr>
        <w:t> </w:t>
      </w:r>
      <w:r>
        <w:rPr>
          <w:color w:val="231F20"/>
        </w:rPr>
        <w:t>сталних</w:t>
      </w:r>
      <w:r>
        <w:rPr>
          <w:color w:val="231F20"/>
          <w:spacing w:val="-8"/>
        </w:rPr>
        <w:t> </w:t>
      </w:r>
      <w:r>
        <w:rPr>
          <w:color w:val="231F20"/>
        </w:rPr>
        <w:t>објеката</w:t>
      </w:r>
      <w:r>
        <w:rPr>
          <w:color w:val="231F20"/>
          <w:spacing w:val="-9"/>
        </w:rPr>
        <w:t> </w:t>
      </w:r>
      <w:r>
        <w:rPr>
          <w:color w:val="231F20"/>
        </w:rPr>
        <w:t>(кућа</w:t>
      </w:r>
      <w:r>
        <w:rPr>
          <w:color w:val="231F20"/>
          <w:spacing w:val="-9"/>
        </w:rPr>
        <w:t> </w:t>
      </w:r>
      <w:r>
        <w:rPr>
          <w:color w:val="231F20"/>
        </w:rPr>
        <w:t>за</w:t>
      </w:r>
      <w:r>
        <w:rPr>
          <w:color w:val="231F20"/>
          <w:spacing w:val="-9"/>
        </w:rPr>
        <w:t> </w:t>
      </w:r>
      <w:r>
        <w:rPr>
          <w:color w:val="231F20"/>
        </w:rPr>
        <w:t>одмор,</w:t>
      </w:r>
      <w:r>
        <w:rPr>
          <w:color w:val="231F20"/>
          <w:spacing w:val="-9"/>
        </w:rPr>
        <w:t> </w:t>
      </w:r>
      <w:r>
        <w:rPr>
          <w:color w:val="231F20"/>
        </w:rPr>
        <w:t>инду- стријских и других објеката) чије отпадне материје могу загадити воду и земљиште или угрозити безбедност водопривредне инфра- структуре и </w:t>
      </w:r>
      <w:r>
        <w:rPr>
          <w:color w:val="231F20"/>
          <w:spacing w:val="-3"/>
        </w:rPr>
        <w:t>које </w:t>
      </w:r>
      <w:r>
        <w:rPr>
          <w:color w:val="231F20"/>
        </w:rPr>
        <w:t>ометају развој водне инфраструктуре и одржава- ње објеката;</w:t>
      </w:r>
      <w:r>
        <w:rPr>
          <w:color w:val="231F20"/>
          <w:spacing w:val="-2"/>
        </w:rPr>
        <w:t> </w:t>
      </w:r>
      <w:r>
        <w:rPr>
          <w:color w:val="231F20"/>
        </w:rPr>
        <w:t>и</w:t>
      </w:r>
    </w:p>
    <w:p>
      <w:pPr>
        <w:pStyle w:val="BodyText"/>
        <w:spacing w:line="232" w:lineRule="auto" w:before="2"/>
        <w:ind w:left="246" w:right="123" w:firstLine="396"/>
      </w:pPr>
      <w:r>
        <w:rPr>
          <w:color w:val="231F20"/>
          <w:w w:val="66"/>
        </w:rPr>
        <w:t> </w:t>
      </w:r>
      <w:r>
        <w:rPr>
          <w:color w:val="231F20"/>
        </w:rPr>
        <w:t>– већ саграђени објекти на водном земљишту морају бити уклоњени о трошку власника, при чему први приоритет има укла- њање објеката који су саграђени на насипима, у зони њихових но- жица или у њиховој непосредној близини.</w:t>
      </w:r>
    </w:p>
    <w:p>
      <w:pPr>
        <w:pStyle w:val="BodyText"/>
        <w:spacing w:line="232" w:lineRule="auto" w:before="1"/>
        <w:ind w:left="246" w:right="123" w:firstLine="396"/>
      </w:pPr>
      <w:r>
        <w:rPr>
          <w:color w:val="231F20"/>
        </w:rPr>
        <w:t>Забране и ограничења коришћења водног земљишта про- писана су чланом 133. Закона о водама („Службени гласник РС”, број 30/10).</w:t>
      </w:r>
    </w:p>
    <w:p>
      <w:pPr>
        <w:pStyle w:val="BodyText"/>
        <w:spacing w:line="232" w:lineRule="auto" w:before="1"/>
        <w:ind w:left="246" w:right="123" w:firstLine="396"/>
      </w:pPr>
      <w:r>
        <w:rPr>
          <w:color w:val="231F20"/>
        </w:rPr>
        <w:t>Реализовани</w:t>
      </w:r>
      <w:r>
        <w:rPr>
          <w:color w:val="231F20"/>
          <w:spacing w:val="-25"/>
        </w:rPr>
        <w:t> </w:t>
      </w:r>
      <w:r>
        <w:rPr>
          <w:color w:val="231F20"/>
        </w:rPr>
        <w:t>дренажни</w:t>
      </w:r>
      <w:r>
        <w:rPr>
          <w:color w:val="231F20"/>
          <w:spacing w:val="-25"/>
        </w:rPr>
        <w:t> </w:t>
      </w:r>
      <w:r>
        <w:rPr>
          <w:color w:val="231F20"/>
          <w:spacing w:val="1"/>
        </w:rPr>
        <w:t>системиузони</w:t>
      </w:r>
      <w:r>
        <w:rPr>
          <w:color w:val="231F20"/>
          <w:spacing w:val="-25"/>
        </w:rPr>
        <w:t> </w:t>
      </w:r>
      <w:r>
        <w:rPr>
          <w:color w:val="231F20"/>
        </w:rPr>
        <w:t>успораод</w:t>
      </w:r>
      <w:r>
        <w:rPr>
          <w:color w:val="231F20"/>
          <w:spacing w:val="-25"/>
        </w:rPr>
        <w:t> </w:t>
      </w:r>
      <w:r>
        <w:rPr>
          <w:color w:val="231F20"/>
        </w:rPr>
        <w:t>ХЕ</w:t>
      </w:r>
      <w:r>
        <w:rPr>
          <w:color w:val="231F20"/>
          <w:spacing w:val="-25"/>
        </w:rPr>
        <w:t> </w:t>
      </w:r>
      <w:r>
        <w:rPr>
          <w:color w:val="231F20"/>
          <w:spacing w:val="-4"/>
        </w:rPr>
        <w:t>„Ђердап</w:t>
      </w:r>
      <w:r>
        <w:rPr>
          <w:color w:val="231F20"/>
          <w:spacing w:val="-25"/>
        </w:rPr>
        <w:t> </w:t>
      </w:r>
      <w:r>
        <w:rPr>
          <w:color w:val="231F20"/>
        </w:rPr>
        <w:t>1” су мера </w:t>
      </w:r>
      <w:r>
        <w:rPr>
          <w:color w:val="231F20"/>
          <w:spacing w:val="-3"/>
        </w:rPr>
        <w:t>која </w:t>
      </w:r>
      <w:r>
        <w:rPr>
          <w:color w:val="231F20"/>
        </w:rPr>
        <w:t>побољшава услове коришћења земљишта, јер уређу- је режиме подземних, провирних и брдских вода. </w:t>
      </w:r>
      <w:r>
        <w:rPr>
          <w:color w:val="231F20"/>
          <w:spacing w:val="-3"/>
        </w:rPr>
        <w:t>Ти </w:t>
      </w:r>
      <w:r>
        <w:rPr>
          <w:color w:val="231F20"/>
        </w:rPr>
        <w:t>системи су врло</w:t>
      </w:r>
      <w:r>
        <w:rPr>
          <w:color w:val="231F20"/>
          <w:spacing w:val="17"/>
        </w:rPr>
        <w:t> </w:t>
      </w:r>
      <w:r>
        <w:rPr>
          <w:color w:val="231F20"/>
        </w:rPr>
        <w:t>захтевни</w:t>
      </w:r>
      <w:r>
        <w:rPr>
          <w:color w:val="231F20"/>
          <w:spacing w:val="17"/>
        </w:rPr>
        <w:t> </w:t>
      </w:r>
      <w:r>
        <w:rPr>
          <w:color w:val="231F20"/>
        </w:rPr>
        <w:t>у</w:t>
      </w:r>
      <w:r>
        <w:rPr>
          <w:color w:val="231F20"/>
          <w:spacing w:val="17"/>
        </w:rPr>
        <w:t> </w:t>
      </w:r>
      <w:r>
        <w:rPr>
          <w:color w:val="231F20"/>
          <w:spacing w:val="-3"/>
        </w:rPr>
        <w:t>погледу</w:t>
      </w:r>
      <w:r>
        <w:rPr>
          <w:color w:val="231F20"/>
          <w:spacing w:val="17"/>
        </w:rPr>
        <w:t> </w:t>
      </w:r>
      <w:r>
        <w:rPr>
          <w:color w:val="231F20"/>
        </w:rPr>
        <w:t>одржавања,</w:t>
      </w:r>
      <w:r>
        <w:rPr>
          <w:color w:val="231F20"/>
          <w:spacing w:val="17"/>
        </w:rPr>
        <w:t> </w:t>
      </w:r>
      <w:r>
        <w:rPr>
          <w:color w:val="231F20"/>
        </w:rPr>
        <w:t>а</w:t>
      </w:r>
      <w:r>
        <w:rPr>
          <w:color w:val="231F20"/>
          <w:spacing w:val="17"/>
        </w:rPr>
        <w:t> </w:t>
      </w:r>
      <w:r>
        <w:rPr>
          <w:color w:val="231F20"/>
        </w:rPr>
        <w:t>повремено</w:t>
      </w:r>
      <w:r>
        <w:rPr>
          <w:color w:val="231F20"/>
          <w:spacing w:val="17"/>
        </w:rPr>
        <w:t> </w:t>
      </w:r>
      <w:r>
        <w:rPr>
          <w:color w:val="231F20"/>
        </w:rPr>
        <w:t>се</w:t>
      </w:r>
      <w:r>
        <w:rPr>
          <w:color w:val="231F20"/>
          <w:spacing w:val="17"/>
        </w:rPr>
        <w:t> </w:t>
      </w:r>
      <w:r>
        <w:rPr>
          <w:color w:val="231F20"/>
        </w:rPr>
        <w:t>употпуњују</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right="41"/>
      </w:pPr>
      <w:r>
        <w:rPr/>
        <w:pict>
          <v:line style="position:absolute;mso-position-horizontal-relative:page;mso-position-vertical-relative:page;z-index:3544" from="304.724396pt,11.942451pt" to="304.724396pt,748.950451pt" stroked="true" strokeweight=".6pt" strokecolor="#231f20">
            <v:stroke dashstyle="solid"/>
            <w10:wrap type="none"/>
          </v:line>
        </w:pict>
      </w:r>
      <w:r>
        <w:rPr>
          <w:color w:val="231F20"/>
        </w:rPr>
        <w:t>новим објектима (замена дренажних бунара, повећање габарита и капацитета канала, итд.). Због тога се простор у непосредној зо- ни дренажних система третира као водно земљиште и не може се користити за друге намене. </w:t>
      </w:r>
      <w:r>
        <w:rPr>
          <w:color w:val="231F20"/>
          <w:spacing w:val="-6"/>
        </w:rPr>
        <w:t>Уколико </w:t>
      </w:r>
      <w:r>
        <w:rPr>
          <w:color w:val="231F20"/>
        </w:rPr>
        <w:t>као део дренажних система постоје спољни магистрални канали, и/или рукавци са контроли- саним режимима (случај Дунавца, у </w:t>
      </w:r>
      <w:r>
        <w:rPr>
          <w:color w:val="231F20"/>
          <w:spacing w:val="-4"/>
        </w:rPr>
        <w:t>коме </w:t>
      </w:r>
      <w:r>
        <w:rPr>
          <w:color w:val="231F20"/>
        </w:rPr>
        <w:t>се нивои контролишу пумпним</w:t>
      </w:r>
      <w:r>
        <w:rPr>
          <w:color w:val="231F20"/>
          <w:spacing w:val="-8"/>
        </w:rPr>
        <w:t> </w:t>
      </w:r>
      <w:r>
        <w:rPr>
          <w:color w:val="231F20"/>
        </w:rPr>
        <w:t>станицама),</w:t>
      </w:r>
      <w:r>
        <w:rPr>
          <w:color w:val="231F20"/>
          <w:spacing w:val="-8"/>
        </w:rPr>
        <w:t> </w:t>
      </w:r>
      <w:r>
        <w:rPr>
          <w:color w:val="231F20"/>
        </w:rPr>
        <w:t>карактер</w:t>
      </w:r>
      <w:r>
        <w:rPr>
          <w:color w:val="231F20"/>
          <w:spacing w:val="-8"/>
        </w:rPr>
        <w:t> </w:t>
      </w:r>
      <w:r>
        <w:rPr>
          <w:color w:val="231F20"/>
        </w:rPr>
        <w:t>водног</w:t>
      </w:r>
      <w:r>
        <w:rPr>
          <w:color w:val="231F20"/>
          <w:spacing w:val="-8"/>
        </w:rPr>
        <w:t> </w:t>
      </w:r>
      <w:r>
        <w:rPr>
          <w:color w:val="231F20"/>
        </w:rPr>
        <w:t>земљишта</w:t>
      </w:r>
      <w:r>
        <w:rPr>
          <w:color w:val="231F20"/>
          <w:spacing w:val="-8"/>
        </w:rPr>
        <w:t> </w:t>
      </w:r>
      <w:r>
        <w:rPr>
          <w:color w:val="231F20"/>
        </w:rPr>
        <w:t>има</w:t>
      </w:r>
      <w:r>
        <w:rPr>
          <w:color w:val="231F20"/>
          <w:spacing w:val="-8"/>
        </w:rPr>
        <w:t> </w:t>
      </w:r>
      <w:r>
        <w:rPr>
          <w:color w:val="231F20"/>
        </w:rPr>
        <w:t>и</w:t>
      </w:r>
      <w:r>
        <w:rPr>
          <w:color w:val="231F20"/>
          <w:spacing w:val="-8"/>
        </w:rPr>
        <w:t> </w:t>
      </w:r>
      <w:r>
        <w:rPr>
          <w:color w:val="231F20"/>
        </w:rPr>
        <w:t>појас</w:t>
      </w:r>
      <w:r>
        <w:rPr>
          <w:color w:val="231F20"/>
          <w:spacing w:val="-8"/>
        </w:rPr>
        <w:t> </w:t>
      </w:r>
      <w:r>
        <w:rPr>
          <w:color w:val="231F20"/>
          <w:spacing w:val="-3"/>
        </w:rPr>
        <w:t>од</w:t>
      </w:r>
      <w:r>
        <w:rPr>
          <w:color w:val="231F20"/>
          <w:spacing w:val="-8"/>
        </w:rPr>
        <w:t> </w:t>
      </w:r>
      <w:r>
        <w:rPr>
          <w:color w:val="231F20"/>
        </w:rPr>
        <w:t>50 m дуж брањене стране</w:t>
      </w:r>
      <w:r>
        <w:rPr>
          <w:color w:val="231F20"/>
          <w:spacing w:val="-3"/>
        </w:rPr>
        <w:t> </w:t>
      </w:r>
      <w:r>
        <w:rPr>
          <w:color w:val="231F20"/>
        </w:rPr>
        <w:t>приобаља.</w:t>
      </w:r>
    </w:p>
    <w:p>
      <w:pPr>
        <w:pStyle w:val="BodyText"/>
        <w:spacing w:line="232" w:lineRule="auto"/>
        <w:ind w:right="41" w:firstLine="396"/>
      </w:pPr>
      <w:r>
        <w:rPr>
          <w:color w:val="231F20"/>
        </w:rPr>
        <w:t>Радови у зони </w:t>
      </w:r>
      <w:r>
        <w:rPr>
          <w:color w:val="231F20"/>
          <w:spacing w:val="-3"/>
        </w:rPr>
        <w:t>Костолачког </w:t>
      </w:r>
      <w:r>
        <w:rPr>
          <w:color w:val="231F20"/>
        </w:rPr>
        <w:t>басена морају </w:t>
      </w:r>
      <w:r>
        <w:rPr>
          <w:color w:val="231F20"/>
          <w:spacing w:val="-3"/>
        </w:rPr>
        <w:t>очувати </w:t>
      </w:r>
      <w:r>
        <w:rPr>
          <w:color w:val="231F20"/>
        </w:rPr>
        <w:t>функцију постојећих дренажних заштитних система </w:t>
      </w:r>
      <w:r>
        <w:rPr>
          <w:color w:val="231F20"/>
          <w:spacing w:val="-3"/>
        </w:rPr>
        <w:t>који </w:t>
      </w:r>
      <w:r>
        <w:rPr>
          <w:color w:val="231F20"/>
        </w:rPr>
        <w:t>су реализовани у оквиру ХЕ </w:t>
      </w:r>
      <w:r>
        <w:rPr>
          <w:color w:val="231F20"/>
          <w:spacing w:val="-4"/>
        </w:rPr>
        <w:t>„Ђердап </w:t>
      </w:r>
      <w:r>
        <w:rPr>
          <w:color w:val="231F20"/>
        </w:rPr>
        <w:t>1”. </w:t>
      </w:r>
      <w:r>
        <w:rPr>
          <w:color w:val="231F20"/>
          <w:spacing w:val="-7"/>
        </w:rPr>
        <w:t>То </w:t>
      </w:r>
      <w:r>
        <w:rPr>
          <w:color w:val="231F20"/>
        </w:rPr>
        <w:t>се односи на све отворене дренажне ка- нале, пумпне станице, дренажне бунаре, итд. Евентуална рекон- струкција заштитних система може се предузети у сарадњи и уз сагласност надлежног водопривредног органа.</w:t>
      </w:r>
    </w:p>
    <w:p>
      <w:pPr>
        <w:pStyle w:val="BodyText"/>
        <w:spacing w:line="232" w:lineRule="auto"/>
        <w:ind w:right="41" w:firstLine="397"/>
      </w:pPr>
      <w:r>
        <w:rPr>
          <w:color w:val="231F20"/>
        </w:rPr>
        <w:t>У</w:t>
      </w:r>
      <w:r>
        <w:rPr>
          <w:color w:val="231F20"/>
          <w:spacing w:val="-8"/>
        </w:rPr>
        <w:t> </w:t>
      </w:r>
      <w:r>
        <w:rPr>
          <w:color w:val="231F20"/>
        </w:rPr>
        <w:t>зони</w:t>
      </w:r>
      <w:r>
        <w:rPr>
          <w:color w:val="231F20"/>
          <w:spacing w:val="-8"/>
        </w:rPr>
        <w:t> </w:t>
      </w:r>
      <w:r>
        <w:rPr>
          <w:color w:val="231F20"/>
        </w:rPr>
        <w:t>изворишта</w:t>
      </w:r>
      <w:r>
        <w:rPr>
          <w:color w:val="231F20"/>
          <w:spacing w:val="-8"/>
        </w:rPr>
        <w:t> </w:t>
      </w:r>
      <w:r>
        <w:rPr>
          <w:color w:val="231F20"/>
        </w:rPr>
        <w:t>Кључ,</w:t>
      </w:r>
      <w:r>
        <w:rPr>
          <w:color w:val="231F20"/>
          <w:spacing w:val="-8"/>
        </w:rPr>
        <w:t> </w:t>
      </w:r>
      <w:r>
        <w:rPr>
          <w:color w:val="231F20"/>
        </w:rPr>
        <w:t>Меминац,</w:t>
      </w:r>
      <w:r>
        <w:rPr>
          <w:color w:val="231F20"/>
          <w:spacing w:val="-8"/>
        </w:rPr>
        <w:t> </w:t>
      </w:r>
      <w:r>
        <w:rPr>
          <w:color w:val="231F20"/>
        </w:rPr>
        <w:t>Ловац,</w:t>
      </w:r>
      <w:r>
        <w:rPr>
          <w:color w:val="231F20"/>
          <w:spacing w:val="-8"/>
        </w:rPr>
        <w:t> </w:t>
      </w:r>
      <w:r>
        <w:rPr>
          <w:color w:val="231F20"/>
        </w:rPr>
        <w:t>Петка,</w:t>
      </w:r>
      <w:r>
        <w:rPr>
          <w:color w:val="231F20"/>
          <w:spacing w:val="-8"/>
        </w:rPr>
        <w:t> </w:t>
      </w:r>
      <w:r>
        <w:rPr>
          <w:color w:val="231F20"/>
        </w:rPr>
        <w:t>Забела,</w:t>
      </w:r>
      <w:r>
        <w:rPr>
          <w:color w:val="231F20"/>
          <w:spacing w:val="-8"/>
        </w:rPr>
        <w:t> </w:t>
      </w:r>
      <w:r>
        <w:rPr>
          <w:color w:val="231F20"/>
        </w:rPr>
        <w:t>као и планираног новог изворишта Кличевац и изворишта Јагодица на </w:t>
      </w:r>
      <w:r>
        <w:rPr>
          <w:color w:val="231F20"/>
          <w:spacing w:val="-3"/>
        </w:rPr>
        <w:t>Горњем </w:t>
      </w:r>
      <w:r>
        <w:rPr>
          <w:color w:val="231F20"/>
          <w:spacing w:val="-4"/>
        </w:rPr>
        <w:t>Костолачком острву, </w:t>
      </w:r>
      <w:r>
        <w:rPr>
          <w:color w:val="231F20"/>
        </w:rPr>
        <w:t>успостављају се зоне заштите, у складу са Правилником о начину одређивања и одржавања зона санитарне заштите изворишта водоснабдевања („Службени </w:t>
      </w:r>
      <w:r>
        <w:rPr>
          <w:color w:val="231F20"/>
          <w:spacing w:val="-3"/>
        </w:rPr>
        <w:t>гла- </w:t>
      </w:r>
      <w:r>
        <w:rPr>
          <w:color w:val="231F20"/>
        </w:rPr>
        <w:t>сник РС”, број 92/08).</w:t>
      </w:r>
    </w:p>
    <w:p>
      <w:pPr>
        <w:pStyle w:val="BodyText"/>
        <w:spacing w:line="232" w:lineRule="auto"/>
        <w:ind w:right="41" w:firstLine="397"/>
      </w:pPr>
      <w:r>
        <w:rPr>
          <w:color w:val="231F20"/>
        </w:rPr>
        <w:t>У зонама изворишта није дозвољено грађење производних погона и других објеката </w:t>
      </w:r>
      <w:r>
        <w:rPr>
          <w:color w:val="231F20"/>
          <w:spacing w:val="-3"/>
        </w:rPr>
        <w:t>који </w:t>
      </w:r>
      <w:r>
        <w:rPr>
          <w:color w:val="231F20"/>
        </w:rPr>
        <w:t>као отпадне воде имају нутријенте и/или</w:t>
      </w:r>
      <w:r>
        <w:rPr>
          <w:color w:val="231F20"/>
          <w:spacing w:val="-7"/>
        </w:rPr>
        <w:t> </w:t>
      </w:r>
      <w:r>
        <w:rPr>
          <w:color w:val="231F20"/>
        </w:rPr>
        <w:t>друге</w:t>
      </w:r>
      <w:r>
        <w:rPr>
          <w:color w:val="231F20"/>
          <w:spacing w:val="-7"/>
        </w:rPr>
        <w:t> </w:t>
      </w:r>
      <w:r>
        <w:rPr>
          <w:color w:val="231F20"/>
        </w:rPr>
        <w:t>загађујуће</w:t>
      </w:r>
      <w:r>
        <w:rPr>
          <w:color w:val="231F20"/>
          <w:spacing w:val="-7"/>
        </w:rPr>
        <w:t> </w:t>
      </w:r>
      <w:r>
        <w:rPr>
          <w:color w:val="231F20"/>
        </w:rPr>
        <w:t>материје.</w:t>
      </w:r>
      <w:r>
        <w:rPr>
          <w:color w:val="231F20"/>
          <w:spacing w:val="-7"/>
        </w:rPr>
        <w:t> </w:t>
      </w:r>
      <w:r>
        <w:rPr>
          <w:color w:val="231F20"/>
        </w:rPr>
        <w:t>На</w:t>
      </w:r>
      <w:r>
        <w:rPr>
          <w:color w:val="231F20"/>
          <w:spacing w:val="-7"/>
        </w:rPr>
        <w:t> </w:t>
      </w:r>
      <w:r>
        <w:rPr>
          <w:color w:val="231F20"/>
          <w:spacing w:val="-3"/>
        </w:rPr>
        <w:t>том</w:t>
      </w:r>
      <w:r>
        <w:rPr>
          <w:color w:val="231F20"/>
          <w:spacing w:val="-7"/>
        </w:rPr>
        <w:t> </w:t>
      </w:r>
      <w:r>
        <w:rPr>
          <w:color w:val="231F20"/>
        </w:rPr>
        <w:t>простору</w:t>
      </w:r>
      <w:r>
        <w:rPr>
          <w:color w:val="231F20"/>
          <w:spacing w:val="-7"/>
        </w:rPr>
        <w:t> </w:t>
      </w:r>
      <w:r>
        <w:rPr>
          <w:color w:val="231F20"/>
        </w:rPr>
        <w:t>се</w:t>
      </w:r>
      <w:r>
        <w:rPr>
          <w:color w:val="231F20"/>
          <w:spacing w:val="-7"/>
        </w:rPr>
        <w:t> </w:t>
      </w:r>
      <w:r>
        <w:rPr>
          <w:color w:val="231F20"/>
        </w:rPr>
        <w:t>могу</w:t>
      </w:r>
      <w:r>
        <w:rPr>
          <w:color w:val="231F20"/>
          <w:spacing w:val="-7"/>
        </w:rPr>
        <w:t> </w:t>
      </w:r>
      <w:r>
        <w:rPr>
          <w:color w:val="231F20"/>
        </w:rPr>
        <w:t>реализо- </w:t>
      </w:r>
      <w:r>
        <w:rPr>
          <w:color w:val="231F20"/>
          <w:spacing w:val="-3"/>
        </w:rPr>
        <w:t>вати </w:t>
      </w:r>
      <w:r>
        <w:rPr>
          <w:color w:val="231F20"/>
        </w:rPr>
        <w:t>објекти виших нивоа финализације, са „чистим”</w:t>
      </w:r>
      <w:r>
        <w:rPr>
          <w:color w:val="231F20"/>
          <w:spacing w:val="-33"/>
        </w:rPr>
        <w:t> </w:t>
      </w:r>
      <w:r>
        <w:rPr>
          <w:color w:val="231F20"/>
        </w:rPr>
        <w:t>технологија- ма </w:t>
      </w:r>
      <w:r>
        <w:rPr>
          <w:color w:val="231F20"/>
          <w:spacing w:val="-3"/>
        </w:rPr>
        <w:t>које </w:t>
      </w:r>
      <w:r>
        <w:rPr>
          <w:color w:val="231F20"/>
        </w:rPr>
        <w:t>немају чврсте или течне отпадне и опасне</w:t>
      </w:r>
      <w:r>
        <w:rPr>
          <w:color w:val="231F20"/>
          <w:spacing w:val="-14"/>
        </w:rPr>
        <w:t> </w:t>
      </w:r>
      <w:r>
        <w:rPr>
          <w:color w:val="231F20"/>
        </w:rPr>
        <w:t>материје.</w:t>
      </w:r>
    </w:p>
    <w:p>
      <w:pPr>
        <w:pStyle w:val="BodyText"/>
        <w:spacing w:line="232" w:lineRule="auto"/>
        <w:ind w:right="41" w:firstLine="396"/>
      </w:pPr>
      <w:r>
        <w:rPr>
          <w:color w:val="231F20"/>
        </w:rPr>
        <w:t>У складу са чланом 77. Закона о водама („Службени гласник РС”, број 30/10), земљиште и водене површине у подручју шире и уже зоне заштите изворишта водоснабдевања штите се од намер- ног или случајног загађивања. Обавезно је уређење и одржавање уже зоне заштите изворишта, које обухвата редовну контролу на- менског коришћења земљишта.</w:t>
      </w:r>
    </w:p>
    <w:p>
      <w:pPr>
        <w:pStyle w:val="BodyText"/>
        <w:spacing w:line="232" w:lineRule="auto"/>
        <w:ind w:right="41" w:firstLine="396"/>
      </w:pPr>
      <w:r>
        <w:rPr>
          <w:color w:val="231F20"/>
        </w:rPr>
        <w:t>Експлоатација речног наноса може се обављати само на ло- кацијама </w:t>
      </w:r>
      <w:r>
        <w:rPr>
          <w:color w:val="231F20"/>
          <w:spacing w:val="-4"/>
        </w:rPr>
        <w:t>где </w:t>
      </w:r>
      <w:r>
        <w:rPr>
          <w:color w:val="231F20"/>
        </w:rPr>
        <w:t>је то </w:t>
      </w:r>
      <w:r>
        <w:rPr>
          <w:color w:val="231F20"/>
          <w:spacing w:val="-3"/>
        </w:rPr>
        <w:t>од </w:t>
      </w:r>
      <w:r>
        <w:rPr>
          <w:color w:val="231F20"/>
        </w:rPr>
        <w:t>интереса за очување или побољшање водног режима. Експлоатација је дозвољена само уз одговарајућу про- јектну</w:t>
      </w:r>
      <w:r>
        <w:rPr>
          <w:color w:val="231F20"/>
          <w:spacing w:val="-6"/>
        </w:rPr>
        <w:t> </w:t>
      </w:r>
      <w:r>
        <w:rPr>
          <w:color w:val="231F20"/>
        </w:rPr>
        <w:t>документацију</w:t>
      </w:r>
      <w:r>
        <w:rPr>
          <w:color w:val="231F20"/>
          <w:spacing w:val="-6"/>
        </w:rPr>
        <w:t> </w:t>
      </w:r>
      <w:r>
        <w:rPr>
          <w:color w:val="231F20"/>
        </w:rPr>
        <w:t>и</w:t>
      </w:r>
      <w:r>
        <w:rPr>
          <w:color w:val="231F20"/>
          <w:spacing w:val="-6"/>
        </w:rPr>
        <w:t> </w:t>
      </w:r>
      <w:r>
        <w:rPr>
          <w:color w:val="231F20"/>
        </w:rPr>
        <w:t>одобрење</w:t>
      </w:r>
      <w:r>
        <w:rPr>
          <w:color w:val="231F20"/>
          <w:spacing w:val="-7"/>
        </w:rPr>
        <w:t> </w:t>
      </w:r>
      <w:r>
        <w:rPr>
          <w:color w:val="231F20"/>
        </w:rPr>
        <w:t>надлежног</w:t>
      </w:r>
      <w:r>
        <w:rPr>
          <w:color w:val="231F20"/>
          <w:spacing w:val="-6"/>
        </w:rPr>
        <w:t> </w:t>
      </w:r>
      <w:r>
        <w:rPr>
          <w:color w:val="231F20"/>
        </w:rPr>
        <w:t>орган.</w:t>
      </w:r>
      <w:r>
        <w:rPr>
          <w:color w:val="231F20"/>
          <w:spacing w:val="-6"/>
        </w:rPr>
        <w:t> </w:t>
      </w:r>
      <w:r>
        <w:rPr>
          <w:color w:val="231F20"/>
          <w:spacing w:val="-7"/>
        </w:rPr>
        <w:t>То</w:t>
      </w:r>
      <w:r>
        <w:rPr>
          <w:color w:val="231F20"/>
          <w:spacing w:val="-6"/>
        </w:rPr>
        <w:t> </w:t>
      </w:r>
      <w:r>
        <w:rPr>
          <w:color w:val="231F20"/>
        </w:rPr>
        <w:t>подразуме- ва и стриктан надзор, по принципима као да се изводе радови на регулацији</w:t>
      </w:r>
      <w:r>
        <w:rPr>
          <w:color w:val="231F20"/>
          <w:spacing w:val="-1"/>
        </w:rPr>
        <w:t> </w:t>
      </w:r>
      <w:r>
        <w:rPr>
          <w:color w:val="231F20"/>
        </w:rPr>
        <w:t>реке.</w:t>
      </w:r>
    </w:p>
    <w:p>
      <w:pPr>
        <w:pStyle w:val="BodyText"/>
        <w:spacing w:line="232" w:lineRule="auto"/>
        <w:ind w:right="40" w:firstLine="396"/>
      </w:pPr>
      <w:r>
        <w:rPr>
          <w:color w:val="231F20"/>
        </w:rPr>
        <w:t>Имајући у виду да је поред насипа на десној обали Дунава предвиђена изградња путне саобраћајнице са бициклистичком и </w:t>
      </w:r>
      <w:r>
        <w:rPr>
          <w:color w:val="231F20"/>
          <w:spacing w:val="-3"/>
        </w:rPr>
        <w:t>пешачком </w:t>
      </w:r>
      <w:r>
        <w:rPr>
          <w:color w:val="231F20"/>
        </w:rPr>
        <w:t>стазом, као и измештање Дунавца на Доњем </w:t>
      </w:r>
      <w:r>
        <w:rPr>
          <w:color w:val="231F20"/>
          <w:spacing w:val="-3"/>
        </w:rPr>
        <w:t>костолач- </w:t>
      </w:r>
      <w:r>
        <w:rPr>
          <w:color w:val="231F20"/>
          <w:spacing w:val="-5"/>
        </w:rPr>
        <w:t>ком </w:t>
      </w:r>
      <w:r>
        <w:rPr>
          <w:color w:val="231F20"/>
        </w:rPr>
        <w:t>острву у зони планираног развоја површинског </w:t>
      </w:r>
      <w:r>
        <w:rPr>
          <w:color w:val="231F20"/>
          <w:spacing w:val="-3"/>
        </w:rPr>
        <w:t>копа </w:t>
      </w:r>
      <w:r>
        <w:rPr>
          <w:color w:val="231F20"/>
        </w:rPr>
        <w:t>„Дрмно”, неопходно је обезбедити за то подручје истовремену израду план- </w:t>
      </w:r>
      <w:r>
        <w:rPr>
          <w:color w:val="231F20"/>
          <w:spacing w:val="-3"/>
        </w:rPr>
        <w:t>ског </w:t>
      </w:r>
      <w:r>
        <w:rPr>
          <w:color w:val="231F20"/>
        </w:rPr>
        <w:t>документа и </w:t>
      </w:r>
      <w:r>
        <w:rPr>
          <w:color w:val="231F20"/>
          <w:spacing w:val="-3"/>
        </w:rPr>
        <w:t>студијске </w:t>
      </w:r>
      <w:r>
        <w:rPr>
          <w:color w:val="231F20"/>
        </w:rPr>
        <w:t>и техничке документације за водопри- вредне, </w:t>
      </w:r>
      <w:r>
        <w:rPr>
          <w:color w:val="231F20"/>
          <w:spacing w:val="-3"/>
        </w:rPr>
        <w:t>рударске </w:t>
      </w:r>
      <w:r>
        <w:rPr>
          <w:color w:val="231F20"/>
        </w:rPr>
        <w:t>и саобраћајне системе у сарадњи са надлежним државним органима и јавним предузећима и у складу са пропози- цијама Просторног плана.</w:t>
      </w:r>
    </w:p>
    <w:p>
      <w:pPr>
        <w:pStyle w:val="ListParagraph"/>
        <w:numPr>
          <w:ilvl w:val="3"/>
          <w:numId w:val="50"/>
        </w:numPr>
        <w:tabs>
          <w:tab w:pos="1503" w:val="left" w:leader="none"/>
        </w:tabs>
        <w:spacing w:line="240" w:lineRule="auto" w:before="161" w:after="0"/>
        <w:ind w:left="1502" w:right="0" w:hanging="315"/>
        <w:jc w:val="left"/>
        <w:rPr>
          <w:i/>
          <w:sz w:val="18"/>
        </w:rPr>
      </w:pPr>
      <w:r>
        <w:rPr>
          <w:i/>
          <w:color w:val="231F20"/>
          <w:sz w:val="18"/>
        </w:rPr>
        <w:t>Саобраћајни коридори и</w:t>
      </w:r>
      <w:r>
        <w:rPr>
          <w:i/>
          <w:color w:val="231F20"/>
          <w:spacing w:val="-4"/>
          <w:sz w:val="18"/>
        </w:rPr>
        <w:t> </w:t>
      </w:r>
      <w:r>
        <w:rPr>
          <w:i/>
          <w:color w:val="231F20"/>
          <w:sz w:val="18"/>
        </w:rPr>
        <w:t>терминали</w:t>
      </w:r>
    </w:p>
    <w:p>
      <w:pPr>
        <w:pStyle w:val="BodyText"/>
        <w:spacing w:before="4"/>
        <w:ind w:left="0"/>
        <w:jc w:val="left"/>
        <w:rPr>
          <w:i/>
          <w:sz w:val="17"/>
        </w:rPr>
      </w:pPr>
    </w:p>
    <w:p>
      <w:pPr>
        <w:pStyle w:val="BodyText"/>
        <w:spacing w:line="232" w:lineRule="auto"/>
        <w:ind w:left="172" w:right="39" w:firstLine="396"/>
        <w:jc w:val="right"/>
      </w:pPr>
      <w:r>
        <w:rPr>
          <w:color w:val="231F20"/>
        </w:rPr>
        <w:t>Путну мрежу чини систем објеката са различитим функци- јама за кретање и мировање учесника у саобраћају. Поред тога у појасу регулације јавног пута се постављају водови подземне и надземне инфраструктуре и обезбеђују површине за озелењавање. У коридорима саобраћајница, правила и услови изградње се дефинишу у зависности од функционалног ранга јавног пута и</w:t>
      </w:r>
    </w:p>
    <w:p>
      <w:pPr>
        <w:pStyle w:val="BodyText"/>
        <w:spacing w:line="198" w:lineRule="exact"/>
        <w:ind w:left="172"/>
        <w:jc w:val="left"/>
      </w:pPr>
      <w:r>
        <w:rPr>
          <w:color w:val="231F20"/>
        </w:rPr>
        <w:t>просторних могућности.</w:t>
      </w:r>
    </w:p>
    <w:p>
      <w:pPr>
        <w:pStyle w:val="BodyText"/>
        <w:spacing w:line="232" w:lineRule="auto" w:before="2"/>
        <w:ind w:left="172" w:right="39" w:firstLine="396"/>
      </w:pPr>
      <w:r>
        <w:rPr>
          <w:color w:val="231F20"/>
        </w:rPr>
        <w:t>На основу Закона о јавним путевима („Службени гласник РС”, бр. 101/05 и 123/07) мрежу путева неког простора чине јавни и некатегорисани путеви (административна категоризација).</w:t>
      </w:r>
    </w:p>
    <w:p>
      <w:pPr>
        <w:pStyle w:val="BodyText"/>
        <w:spacing w:line="232" w:lineRule="auto"/>
        <w:ind w:left="172" w:right="38" w:firstLine="396"/>
      </w:pPr>
      <w:r>
        <w:rPr>
          <w:color w:val="231F20"/>
        </w:rPr>
        <w:t>Сви путеви утврђени Просторним планом су јавни путеви и морају се пројектовати по прописима, нормативима и стандарди- ма за јавне путеве. Процедуре израде и усвајања пројеката, као и само грађење саобраћајне инфраструктуре, мора се спроводити у свему према важећој законској регулативи. Процедуре и активно- сти на пројектовању и грађењу саобраћајне инфраструктуре, ин- сталација техничке инфраструктуре и регулација водотокова, мо- рају се обједињавати.</w:t>
      </w:r>
    </w:p>
    <w:p>
      <w:pPr>
        <w:pStyle w:val="BodyText"/>
        <w:spacing w:line="232" w:lineRule="auto"/>
        <w:ind w:left="173" w:right="38" w:firstLine="396"/>
      </w:pPr>
      <w:r>
        <w:rPr>
          <w:color w:val="231F20"/>
        </w:rPr>
        <w:t>У заштитном појасу поред јавног пута, забрањена је изград- ња грађевинских или других објеката, као и постављање</w:t>
      </w:r>
      <w:r>
        <w:rPr>
          <w:color w:val="231F20"/>
          <w:spacing w:val="-31"/>
        </w:rPr>
        <w:t> </w:t>
      </w:r>
      <w:r>
        <w:rPr>
          <w:color w:val="231F20"/>
        </w:rPr>
        <w:t>построје- ња, уређаја и инсталација, осим изградње саобраћајних површина пратећих садржаја јавног пута, као и постројења, уређаја и инста- лација </w:t>
      </w:r>
      <w:r>
        <w:rPr>
          <w:color w:val="231F20"/>
          <w:spacing w:val="-3"/>
        </w:rPr>
        <w:t>који </w:t>
      </w:r>
      <w:r>
        <w:rPr>
          <w:color w:val="231F20"/>
        </w:rPr>
        <w:t>служе потребама јавног пута и саобраћаја на јавном </w:t>
      </w:r>
      <w:r>
        <w:rPr>
          <w:color w:val="231F20"/>
          <w:spacing w:val="-5"/>
        </w:rPr>
        <w:t>путу. </w:t>
      </w:r>
      <w:r>
        <w:rPr>
          <w:color w:val="231F20"/>
        </w:rPr>
        <w:t>У овом заштитном појасу је дозвољена изградња, односно постављање</w:t>
      </w:r>
      <w:r>
        <w:rPr>
          <w:color w:val="231F20"/>
          <w:spacing w:val="-8"/>
        </w:rPr>
        <w:t> </w:t>
      </w:r>
      <w:r>
        <w:rPr>
          <w:color w:val="231F20"/>
        </w:rPr>
        <w:t>водовода,</w:t>
      </w:r>
      <w:r>
        <w:rPr>
          <w:color w:val="231F20"/>
          <w:spacing w:val="-8"/>
        </w:rPr>
        <w:t> </w:t>
      </w:r>
      <w:r>
        <w:rPr>
          <w:color w:val="231F20"/>
        </w:rPr>
        <w:t>канализације,</w:t>
      </w:r>
      <w:r>
        <w:rPr>
          <w:color w:val="231F20"/>
          <w:spacing w:val="-8"/>
        </w:rPr>
        <w:t> </w:t>
      </w:r>
      <w:r>
        <w:rPr>
          <w:color w:val="231F20"/>
        </w:rPr>
        <w:t>топловода,</w:t>
      </w:r>
      <w:r>
        <w:rPr>
          <w:color w:val="231F20"/>
          <w:spacing w:val="-8"/>
        </w:rPr>
        <w:t> </w:t>
      </w:r>
      <w:r>
        <w:rPr>
          <w:color w:val="231F20"/>
        </w:rPr>
        <w:t>железничке</w:t>
      </w:r>
      <w:r>
        <w:rPr>
          <w:color w:val="231F20"/>
          <w:spacing w:val="-8"/>
        </w:rPr>
        <w:t> </w:t>
      </w:r>
      <w:r>
        <w:rPr>
          <w:color w:val="231F20"/>
        </w:rPr>
        <w:t>пруге</w:t>
      </w:r>
    </w:p>
    <w:p>
      <w:pPr>
        <w:pStyle w:val="BodyText"/>
        <w:spacing w:line="232" w:lineRule="auto" w:before="78"/>
        <w:ind w:right="407"/>
      </w:pPr>
      <w:r>
        <w:rPr/>
        <w:br w:type="column"/>
      </w:r>
      <w:r>
        <w:rPr>
          <w:color w:val="231F20"/>
        </w:rPr>
        <w:t>и слично, као и постављање телекомуникационих и електроводо- ва, инсталација, постројења и слично, по претходно прибављеној сагласности управљача јавног пута која садржи саобраћајно-тех- ничке услове.</w:t>
      </w:r>
    </w:p>
    <w:p>
      <w:pPr>
        <w:pStyle w:val="BodyText"/>
        <w:spacing w:line="232" w:lineRule="auto" w:before="1"/>
        <w:ind w:left="171" w:right="407" w:firstLine="396"/>
      </w:pPr>
      <w:r>
        <w:rPr>
          <w:color w:val="231F20"/>
        </w:rPr>
        <w:t>У појасу контролисане изградње забрањено је отварање руд- ника, каменолома и депонија отпада и смећа.</w:t>
      </w:r>
    </w:p>
    <w:p>
      <w:pPr>
        <w:pStyle w:val="ListParagraph"/>
        <w:numPr>
          <w:ilvl w:val="3"/>
          <w:numId w:val="50"/>
        </w:numPr>
        <w:tabs>
          <w:tab w:pos="1721" w:val="left" w:leader="none"/>
        </w:tabs>
        <w:spacing w:line="240" w:lineRule="auto" w:before="165" w:after="0"/>
        <w:ind w:left="1720" w:right="0" w:hanging="315"/>
        <w:jc w:val="left"/>
        <w:rPr>
          <w:i/>
          <w:sz w:val="18"/>
        </w:rPr>
      </w:pPr>
      <w:r>
        <w:rPr>
          <w:i/>
          <w:color w:val="231F20"/>
          <w:sz w:val="18"/>
        </w:rPr>
        <w:t>Коридори енергетских</w:t>
      </w:r>
      <w:r>
        <w:rPr>
          <w:i/>
          <w:color w:val="231F20"/>
          <w:spacing w:val="-2"/>
          <w:sz w:val="18"/>
        </w:rPr>
        <w:t> </w:t>
      </w:r>
      <w:r>
        <w:rPr>
          <w:i/>
          <w:color w:val="231F20"/>
          <w:sz w:val="18"/>
        </w:rPr>
        <w:t>мрежа</w:t>
      </w:r>
    </w:p>
    <w:p>
      <w:pPr>
        <w:pStyle w:val="BodyText"/>
        <w:spacing w:before="5"/>
        <w:ind w:left="0"/>
        <w:jc w:val="left"/>
        <w:rPr>
          <w:i/>
          <w:sz w:val="17"/>
        </w:rPr>
      </w:pPr>
    </w:p>
    <w:p>
      <w:pPr>
        <w:pStyle w:val="BodyText"/>
        <w:spacing w:line="232" w:lineRule="auto"/>
        <w:ind w:left="171" w:right="406" w:firstLine="396"/>
      </w:pPr>
      <w:r>
        <w:rPr>
          <w:color w:val="231F20"/>
        </w:rPr>
        <w:t>При дефинисању преноса и транспорта енергије мора се по- себна пажња посветити просторним могућностима, посебно код електричне и топлотне енергије, течних и гасовитих горива. На подручју Костолачког угљеног басена налазе се коридори прено- сне и дистрибутивне електричне мреже, производних нафтовода, гасовода и топловода.</w:t>
      </w:r>
    </w:p>
    <w:p>
      <w:pPr>
        <w:pStyle w:val="BodyText"/>
        <w:spacing w:line="232" w:lineRule="auto" w:before="2"/>
        <w:ind w:right="407" w:firstLine="397"/>
      </w:pPr>
      <w:r>
        <w:rPr>
          <w:i/>
          <w:color w:val="231F20"/>
        </w:rPr>
        <w:t>Пренос електричне енергије </w:t>
      </w:r>
      <w:r>
        <w:rPr>
          <w:color w:val="231F20"/>
        </w:rPr>
        <w:t>захтева дугорочно планирање и просторно оптимални размештај с обзиром на локације електрое- нергетских капацитета и потрошача. Преносна мрежа се планира у складу са сагледавањем пораста потрошње електричне енергије и снаге, </w:t>
      </w:r>
      <w:r>
        <w:rPr>
          <w:color w:val="231F20"/>
          <w:spacing w:val="-4"/>
        </w:rPr>
        <w:t>како </w:t>
      </w:r>
      <w:r>
        <w:rPr>
          <w:color w:val="231F20"/>
        </w:rPr>
        <w:t>укупне, </w:t>
      </w:r>
      <w:r>
        <w:rPr>
          <w:color w:val="231F20"/>
          <w:spacing w:val="-3"/>
        </w:rPr>
        <w:t>тако </w:t>
      </w:r>
      <w:r>
        <w:rPr>
          <w:color w:val="231F20"/>
        </w:rPr>
        <w:t>и по појединим подручјима, изградњом нових</w:t>
      </w:r>
      <w:r>
        <w:rPr>
          <w:color w:val="231F20"/>
          <w:spacing w:val="-7"/>
        </w:rPr>
        <w:t> </w:t>
      </w:r>
      <w:r>
        <w:rPr>
          <w:color w:val="231F20"/>
        </w:rPr>
        <w:t>производних</w:t>
      </w:r>
      <w:r>
        <w:rPr>
          <w:color w:val="231F20"/>
          <w:spacing w:val="-7"/>
        </w:rPr>
        <w:t> </w:t>
      </w:r>
      <w:r>
        <w:rPr>
          <w:color w:val="231F20"/>
        </w:rPr>
        <w:t>капацитета,</w:t>
      </w:r>
      <w:r>
        <w:rPr>
          <w:color w:val="231F20"/>
          <w:spacing w:val="-7"/>
        </w:rPr>
        <w:t> </w:t>
      </w:r>
      <w:r>
        <w:rPr>
          <w:color w:val="231F20"/>
        </w:rPr>
        <w:t>постојећим</w:t>
      </w:r>
      <w:r>
        <w:rPr>
          <w:color w:val="231F20"/>
          <w:spacing w:val="-7"/>
        </w:rPr>
        <w:t> </w:t>
      </w:r>
      <w:r>
        <w:rPr>
          <w:color w:val="231F20"/>
        </w:rPr>
        <w:t>и</w:t>
      </w:r>
      <w:r>
        <w:rPr>
          <w:color w:val="231F20"/>
          <w:spacing w:val="-7"/>
        </w:rPr>
        <w:t> </w:t>
      </w:r>
      <w:r>
        <w:rPr>
          <w:color w:val="231F20"/>
        </w:rPr>
        <w:t>новим</w:t>
      </w:r>
      <w:r>
        <w:rPr>
          <w:color w:val="231F20"/>
          <w:spacing w:val="-7"/>
        </w:rPr>
        <w:t> </w:t>
      </w:r>
      <w:r>
        <w:rPr>
          <w:color w:val="231F20"/>
        </w:rPr>
        <w:t>аранжманима за испоруку електричне енергије изван </w:t>
      </w:r>
      <w:r>
        <w:rPr>
          <w:color w:val="231F20"/>
          <w:spacing w:val="-3"/>
        </w:rPr>
        <w:t>конзумног </w:t>
      </w:r>
      <w:r>
        <w:rPr>
          <w:color w:val="231F20"/>
        </w:rPr>
        <w:t>подручја ЕПС-а (везе са суседним државама), резултатима студијских истражива- ња и дугорочног сагледавања</w:t>
      </w:r>
      <w:r>
        <w:rPr>
          <w:color w:val="231F20"/>
          <w:spacing w:val="-7"/>
        </w:rPr>
        <w:t> </w:t>
      </w:r>
      <w:r>
        <w:rPr>
          <w:color w:val="231F20"/>
        </w:rPr>
        <w:t>мреже.</w:t>
      </w:r>
    </w:p>
    <w:p>
      <w:pPr>
        <w:pStyle w:val="BodyText"/>
        <w:spacing w:line="232" w:lineRule="auto" w:before="2"/>
        <w:ind w:right="407" w:firstLine="397"/>
      </w:pPr>
      <w:r>
        <w:rPr>
          <w:color w:val="231F20"/>
        </w:rPr>
        <w:t>Имајући у виду просторне захтеве </w:t>
      </w:r>
      <w:r>
        <w:rPr>
          <w:color w:val="231F20"/>
          <w:spacing w:val="-3"/>
        </w:rPr>
        <w:t>који </w:t>
      </w:r>
      <w:r>
        <w:rPr>
          <w:color w:val="231F20"/>
        </w:rPr>
        <w:t>се постављају прено- сној мрежи </w:t>
      </w:r>
      <w:r>
        <w:rPr>
          <w:color w:val="231F20"/>
          <w:spacing w:val="-3"/>
        </w:rPr>
        <w:t>од </w:t>
      </w:r>
      <w:r>
        <w:rPr>
          <w:color w:val="231F20"/>
        </w:rPr>
        <w:t>400 </w:t>
      </w:r>
      <w:r>
        <w:rPr>
          <w:color w:val="231F20"/>
          <w:spacing w:val="-8"/>
        </w:rPr>
        <w:t>kV, </w:t>
      </w:r>
      <w:r>
        <w:rPr>
          <w:color w:val="231F20"/>
        </w:rPr>
        <w:t>220 kV и </w:t>
      </w:r>
      <w:r>
        <w:rPr>
          <w:color w:val="231F20"/>
          <w:spacing w:val="-3"/>
        </w:rPr>
        <w:t>110 </w:t>
      </w:r>
      <w:r>
        <w:rPr>
          <w:color w:val="231F20"/>
          <w:spacing w:val="-8"/>
        </w:rPr>
        <w:t>kV, </w:t>
      </w:r>
      <w:r>
        <w:rPr>
          <w:color w:val="231F20"/>
        </w:rPr>
        <w:t>неопходно је резервисати потребни простор за коридоре. Свака градња испод и у близини далековода</w:t>
      </w:r>
      <w:r>
        <w:rPr>
          <w:color w:val="231F20"/>
          <w:spacing w:val="-14"/>
        </w:rPr>
        <w:t> </w:t>
      </w:r>
      <w:r>
        <w:rPr>
          <w:color w:val="231F20"/>
        </w:rPr>
        <w:t>условљена</w:t>
      </w:r>
      <w:r>
        <w:rPr>
          <w:color w:val="231F20"/>
          <w:spacing w:val="-14"/>
        </w:rPr>
        <w:t> </w:t>
      </w:r>
      <w:r>
        <w:rPr>
          <w:color w:val="231F20"/>
        </w:rPr>
        <w:t>је</w:t>
      </w:r>
      <w:r>
        <w:rPr>
          <w:color w:val="231F20"/>
          <w:spacing w:val="-14"/>
        </w:rPr>
        <w:t> </w:t>
      </w:r>
      <w:r>
        <w:rPr>
          <w:color w:val="231F20"/>
        </w:rPr>
        <w:t>„Правилником</w:t>
      </w:r>
      <w:r>
        <w:rPr>
          <w:color w:val="231F20"/>
          <w:spacing w:val="-14"/>
        </w:rPr>
        <w:t> </w:t>
      </w:r>
      <w:r>
        <w:rPr>
          <w:color w:val="231F20"/>
        </w:rPr>
        <w:t>о</w:t>
      </w:r>
      <w:r>
        <w:rPr>
          <w:color w:val="231F20"/>
          <w:spacing w:val="-14"/>
        </w:rPr>
        <w:t> </w:t>
      </w:r>
      <w:r>
        <w:rPr>
          <w:color w:val="231F20"/>
        </w:rPr>
        <w:t>техничким</w:t>
      </w:r>
      <w:r>
        <w:rPr>
          <w:color w:val="231F20"/>
          <w:spacing w:val="-14"/>
        </w:rPr>
        <w:t> </w:t>
      </w:r>
      <w:r>
        <w:rPr>
          <w:color w:val="231F20"/>
        </w:rPr>
        <w:t>нормативима за</w:t>
      </w:r>
      <w:r>
        <w:rPr>
          <w:color w:val="231F20"/>
          <w:spacing w:val="-8"/>
        </w:rPr>
        <w:t> </w:t>
      </w:r>
      <w:r>
        <w:rPr>
          <w:color w:val="231F20"/>
        </w:rPr>
        <w:t>изградњу</w:t>
      </w:r>
      <w:r>
        <w:rPr>
          <w:color w:val="231F20"/>
          <w:spacing w:val="-8"/>
        </w:rPr>
        <w:t> </w:t>
      </w:r>
      <w:r>
        <w:rPr>
          <w:color w:val="231F20"/>
        </w:rPr>
        <w:t>надземних</w:t>
      </w:r>
      <w:r>
        <w:rPr>
          <w:color w:val="231F20"/>
          <w:spacing w:val="-8"/>
        </w:rPr>
        <w:t> </w:t>
      </w:r>
      <w:r>
        <w:rPr>
          <w:color w:val="231F20"/>
        </w:rPr>
        <w:t>електроенергетских</w:t>
      </w:r>
      <w:r>
        <w:rPr>
          <w:color w:val="231F20"/>
          <w:spacing w:val="-8"/>
        </w:rPr>
        <w:t> </w:t>
      </w:r>
      <w:r>
        <w:rPr>
          <w:color w:val="231F20"/>
        </w:rPr>
        <w:t>водова</w:t>
      </w:r>
      <w:r>
        <w:rPr>
          <w:color w:val="231F20"/>
          <w:spacing w:val="-8"/>
        </w:rPr>
        <w:t> </w:t>
      </w:r>
      <w:r>
        <w:rPr>
          <w:color w:val="231F20"/>
        </w:rPr>
        <w:t>називног</w:t>
      </w:r>
      <w:r>
        <w:rPr>
          <w:color w:val="231F20"/>
          <w:spacing w:val="-8"/>
        </w:rPr>
        <w:t> </w:t>
      </w:r>
      <w:r>
        <w:rPr>
          <w:color w:val="231F20"/>
        </w:rPr>
        <w:t>напо- на</w:t>
      </w:r>
      <w:r>
        <w:rPr>
          <w:color w:val="231F20"/>
          <w:spacing w:val="-6"/>
        </w:rPr>
        <w:t> </w:t>
      </w:r>
      <w:r>
        <w:rPr>
          <w:color w:val="231F20"/>
          <w:spacing w:val="-3"/>
        </w:rPr>
        <w:t>од</w:t>
      </w:r>
      <w:r>
        <w:rPr>
          <w:color w:val="231F20"/>
          <w:spacing w:val="-6"/>
        </w:rPr>
        <w:t> </w:t>
      </w:r>
      <w:r>
        <w:rPr>
          <w:color w:val="231F20"/>
        </w:rPr>
        <w:t>1</w:t>
      </w:r>
      <w:r>
        <w:rPr>
          <w:color w:val="231F20"/>
          <w:spacing w:val="-6"/>
        </w:rPr>
        <w:t> </w:t>
      </w:r>
      <w:r>
        <w:rPr>
          <w:color w:val="231F20"/>
        </w:rPr>
        <w:t>до</w:t>
      </w:r>
      <w:r>
        <w:rPr>
          <w:color w:val="231F20"/>
          <w:spacing w:val="-6"/>
        </w:rPr>
        <w:t> </w:t>
      </w:r>
      <w:r>
        <w:rPr>
          <w:color w:val="231F20"/>
        </w:rPr>
        <w:t>400</w:t>
      </w:r>
      <w:r>
        <w:rPr>
          <w:color w:val="231F20"/>
          <w:spacing w:val="-6"/>
        </w:rPr>
        <w:t> </w:t>
      </w:r>
      <w:r>
        <w:rPr>
          <w:color w:val="231F20"/>
        </w:rPr>
        <w:t>kV”</w:t>
      </w:r>
      <w:r>
        <w:rPr>
          <w:color w:val="231F20"/>
          <w:spacing w:val="-6"/>
        </w:rPr>
        <w:t> </w:t>
      </w:r>
      <w:r>
        <w:rPr>
          <w:color w:val="231F20"/>
        </w:rPr>
        <w:t>(„Службени</w:t>
      </w:r>
      <w:r>
        <w:rPr>
          <w:color w:val="231F20"/>
          <w:spacing w:val="-6"/>
        </w:rPr>
        <w:t> </w:t>
      </w:r>
      <w:r>
        <w:rPr>
          <w:color w:val="231F20"/>
        </w:rPr>
        <w:t>лист</w:t>
      </w:r>
      <w:r>
        <w:rPr>
          <w:color w:val="231F20"/>
          <w:spacing w:val="-6"/>
        </w:rPr>
        <w:t> </w:t>
      </w:r>
      <w:r>
        <w:rPr>
          <w:color w:val="231F20"/>
        </w:rPr>
        <w:t>СФРЈ”,</w:t>
      </w:r>
      <w:r>
        <w:rPr>
          <w:color w:val="231F20"/>
          <w:spacing w:val="-6"/>
        </w:rPr>
        <w:t> </w:t>
      </w:r>
      <w:r>
        <w:rPr>
          <w:color w:val="231F20"/>
        </w:rPr>
        <w:t>број</w:t>
      </w:r>
      <w:r>
        <w:rPr>
          <w:color w:val="231F20"/>
          <w:spacing w:val="-6"/>
        </w:rPr>
        <w:t> </w:t>
      </w:r>
      <w:r>
        <w:rPr>
          <w:color w:val="231F20"/>
        </w:rPr>
        <w:t>65/88),</w:t>
      </w:r>
      <w:r>
        <w:rPr>
          <w:color w:val="231F20"/>
          <w:spacing w:val="-6"/>
        </w:rPr>
        <w:t> </w:t>
      </w:r>
      <w:r>
        <w:rPr>
          <w:color w:val="231F20"/>
        </w:rPr>
        <w:t>(„Службе- ни лист СРЈ”, број 18/92), као и </w:t>
      </w:r>
      <w:r>
        <w:rPr>
          <w:color w:val="231F20"/>
          <w:spacing w:val="-2"/>
        </w:rPr>
        <w:t>Закона </w:t>
      </w:r>
      <w:r>
        <w:rPr>
          <w:color w:val="231F20"/>
        </w:rPr>
        <w:t>о заштити </w:t>
      </w:r>
      <w:r>
        <w:rPr>
          <w:color w:val="231F20"/>
          <w:spacing w:val="-3"/>
        </w:rPr>
        <w:t>од </w:t>
      </w:r>
      <w:r>
        <w:rPr>
          <w:color w:val="231F20"/>
        </w:rPr>
        <w:t>јонизујућег зрачења и о нуклеарној сигурности („Службени гласник РС”, бр. 36/09 и 93/12). За градњу објеката у близини или испод далеково- да потребна је сагласност ЈП „Електромрежа Србије”. Потребно</w:t>
      </w:r>
      <w:r>
        <w:rPr>
          <w:color w:val="231F20"/>
          <w:spacing w:val="-27"/>
        </w:rPr>
        <w:t> </w:t>
      </w:r>
      <w:r>
        <w:rPr>
          <w:color w:val="231F20"/>
        </w:rPr>
        <w:t>је обезбедити</w:t>
      </w:r>
      <w:r>
        <w:rPr>
          <w:color w:val="231F20"/>
          <w:spacing w:val="-5"/>
        </w:rPr>
        <w:t> </w:t>
      </w:r>
      <w:r>
        <w:rPr>
          <w:color w:val="231F20"/>
        </w:rPr>
        <w:t>приступ</w:t>
      </w:r>
      <w:r>
        <w:rPr>
          <w:color w:val="231F20"/>
          <w:spacing w:val="-5"/>
        </w:rPr>
        <w:t> </w:t>
      </w:r>
      <w:r>
        <w:rPr>
          <w:color w:val="231F20"/>
        </w:rPr>
        <w:t>и</w:t>
      </w:r>
      <w:r>
        <w:rPr>
          <w:color w:val="231F20"/>
          <w:spacing w:val="-5"/>
        </w:rPr>
        <w:t> </w:t>
      </w:r>
      <w:r>
        <w:rPr>
          <w:color w:val="231F20"/>
        </w:rPr>
        <w:t>остале</w:t>
      </w:r>
      <w:r>
        <w:rPr>
          <w:color w:val="231F20"/>
          <w:spacing w:val="-5"/>
        </w:rPr>
        <w:t> </w:t>
      </w:r>
      <w:r>
        <w:rPr>
          <w:color w:val="231F20"/>
        </w:rPr>
        <w:t>услове</w:t>
      </w:r>
      <w:r>
        <w:rPr>
          <w:color w:val="231F20"/>
          <w:spacing w:val="-5"/>
        </w:rPr>
        <w:t> </w:t>
      </w:r>
      <w:r>
        <w:rPr>
          <w:color w:val="231F20"/>
        </w:rPr>
        <w:t>за</w:t>
      </w:r>
      <w:r>
        <w:rPr>
          <w:color w:val="231F20"/>
          <w:spacing w:val="-5"/>
        </w:rPr>
        <w:t> </w:t>
      </w:r>
      <w:r>
        <w:rPr>
          <w:color w:val="231F20"/>
        </w:rPr>
        <w:t>нормално</w:t>
      </w:r>
      <w:r>
        <w:rPr>
          <w:color w:val="231F20"/>
          <w:spacing w:val="-5"/>
        </w:rPr>
        <w:t> </w:t>
      </w:r>
      <w:r>
        <w:rPr>
          <w:color w:val="231F20"/>
        </w:rPr>
        <w:t>одржавање</w:t>
      </w:r>
      <w:r>
        <w:rPr>
          <w:color w:val="231F20"/>
          <w:spacing w:val="-5"/>
        </w:rPr>
        <w:t> </w:t>
      </w:r>
      <w:r>
        <w:rPr>
          <w:color w:val="231F20"/>
        </w:rPr>
        <w:t>дале- </w:t>
      </w:r>
      <w:r>
        <w:rPr>
          <w:color w:val="231F20"/>
          <w:spacing w:val="-3"/>
        </w:rPr>
        <w:t>ковода </w:t>
      </w:r>
      <w:r>
        <w:rPr>
          <w:color w:val="231F20"/>
        </w:rPr>
        <w:t>напонског нивоа 100 kV и 400</w:t>
      </w:r>
      <w:r>
        <w:rPr>
          <w:color w:val="231F20"/>
          <w:spacing w:val="-5"/>
        </w:rPr>
        <w:t> </w:t>
      </w:r>
      <w:r>
        <w:rPr>
          <w:color w:val="231F20"/>
          <w:spacing w:val="-8"/>
        </w:rPr>
        <w:t>kV.</w:t>
      </w:r>
    </w:p>
    <w:p>
      <w:pPr>
        <w:pStyle w:val="BodyText"/>
        <w:spacing w:line="232" w:lineRule="auto" w:before="4"/>
        <w:ind w:right="407" w:firstLine="396"/>
      </w:pPr>
      <w:r>
        <w:rPr>
          <w:color w:val="231F20"/>
        </w:rPr>
        <w:t>Слична је ситуација и </w:t>
      </w:r>
      <w:r>
        <w:rPr>
          <w:color w:val="231F20"/>
          <w:spacing w:val="-6"/>
        </w:rPr>
        <w:t>код </w:t>
      </w:r>
      <w:r>
        <w:rPr>
          <w:color w:val="231F20"/>
        </w:rPr>
        <w:t>дефинисања простора за изградњу нафтовода,</w:t>
      </w:r>
      <w:r>
        <w:rPr>
          <w:color w:val="231F20"/>
          <w:spacing w:val="-10"/>
        </w:rPr>
        <w:t> </w:t>
      </w:r>
      <w:r>
        <w:rPr>
          <w:color w:val="231F20"/>
        </w:rPr>
        <w:t>продуктовода</w:t>
      </w:r>
      <w:r>
        <w:rPr>
          <w:color w:val="231F20"/>
          <w:spacing w:val="-10"/>
        </w:rPr>
        <w:t> </w:t>
      </w:r>
      <w:r>
        <w:rPr>
          <w:color w:val="231F20"/>
        </w:rPr>
        <w:t>и</w:t>
      </w:r>
      <w:r>
        <w:rPr>
          <w:color w:val="231F20"/>
          <w:spacing w:val="-10"/>
        </w:rPr>
        <w:t> </w:t>
      </w:r>
      <w:r>
        <w:rPr>
          <w:color w:val="231F20"/>
        </w:rPr>
        <w:t>гасовода.</w:t>
      </w:r>
      <w:r>
        <w:rPr>
          <w:color w:val="231F20"/>
          <w:spacing w:val="-10"/>
        </w:rPr>
        <w:t> </w:t>
      </w:r>
      <w:r>
        <w:rPr>
          <w:color w:val="231F20"/>
        </w:rPr>
        <w:t>За</w:t>
      </w:r>
      <w:r>
        <w:rPr>
          <w:color w:val="231F20"/>
          <w:spacing w:val="-10"/>
        </w:rPr>
        <w:t> </w:t>
      </w:r>
      <w:r>
        <w:rPr>
          <w:color w:val="231F20"/>
        </w:rPr>
        <w:t>све</w:t>
      </w:r>
      <w:r>
        <w:rPr>
          <w:color w:val="231F20"/>
          <w:spacing w:val="-10"/>
        </w:rPr>
        <w:t> </w:t>
      </w:r>
      <w:r>
        <w:rPr>
          <w:color w:val="231F20"/>
        </w:rPr>
        <w:t>трасе</w:t>
      </w:r>
      <w:r>
        <w:rPr>
          <w:color w:val="231F20"/>
          <w:spacing w:val="-10"/>
        </w:rPr>
        <w:t> </w:t>
      </w:r>
      <w:r>
        <w:rPr>
          <w:color w:val="231F20"/>
        </w:rPr>
        <w:t>и</w:t>
      </w:r>
      <w:r>
        <w:rPr>
          <w:color w:val="231F20"/>
          <w:spacing w:val="-10"/>
        </w:rPr>
        <w:t> </w:t>
      </w:r>
      <w:r>
        <w:rPr>
          <w:color w:val="231F20"/>
        </w:rPr>
        <w:t>правце</w:t>
      </w:r>
      <w:r>
        <w:rPr>
          <w:color w:val="231F20"/>
          <w:spacing w:val="-10"/>
        </w:rPr>
        <w:t> </w:t>
      </w:r>
      <w:r>
        <w:rPr>
          <w:color w:val="231F20"/>
        </w:rPr>
        <w:t>потреб- но је предвидети коридоре </w:t>
      </w:r>
      <w:r>
        <w:rPr>
          <w:color w:val="231F20"/>
          <w:spacing w:val="-3"/>
        </w:rPr>
        <w:t>који </w:t>
      </w:r>
      <w:r>
        <w:rPr>
          <w:color w:val="231F20"/>
        </w:rPr>
        <w:t>омогућавају избор најповољнијег техничког</w:t>
      </w:r>
      <w:r>
        <w:rPr>
          <w:color w:val="231F20"/>
          <w:spacing w:val="-1"/>
        </w:rPr>
        <w:t> </w:t>
      </w:r>
      <w:r>
        <w:rPr>
          <w:color w:val="231F20"/>
        </w:rPr>
        <w:t>решења.</w:t>
      </w:r>
    </w:p>
    <w:p>
      <w:pPr>
        <w:pStyle w:val="BodyText"/>
        <w:spacing w:line="232" w:lineRule="auto" w:before="1"/>
        <w:ind w:left="171" w:right="406" w:firstLine="396"/>
      </w:pPr>
      <w:r>
        <w:rPr>
          <w:color w:val="231F20"/>
          <w:spacing w:val="-6"/>
        </w:rPr>
        <w:t>Услови </w:t>
      </w:r>
      <w:r>
        <w:rPr>
          <w:color w:val="231F20"/>
        </w:rPr>
        <w:t>за </w:t>
      </w:r>
      <w:r>
        <w:rPr>
          <w:color w:val="231F20"/>
          <w:spacing w:val="-3"/>
        </w:rPr>
        <w:t>заштиту </w:t>
      </w:r>
      <w:r>
        <w:rPr>
          <w:color w:val="231F20"/>
        </w:rPr>
        <w:t>и уређење простора </w:t>
      </w:r>
      <w:r>
        <w:rPr>
          <w:color w:val="231F20"/>
          <w:spacing w:val="-7"/>
        </w:rPr>
        <w:t>код </w:t>
      </w:r>
      <w:r>
        <w:rPr>
          <w:color w:val="231F20"/>
        </w:rPr>
        <w:t>изградње </w:t>
      </w:r>
      <w:r>
        <w:rPr>
          <w:i/>
          <w:color w:val="231F20"/>
          <w:spacing w:val="-3"/>
        </w:rPr>
        <w:t>цевовод- </w:t>
      </w:r>
      <w:r>
        <w:rPr>
          <w:i/>
          <w:color w:val="231F20"/>
        </w:rPr>
        <w:t>ног транспорта </w:t>
      </w:r>
      <w:r>
        <w:rPr>
          <w:i/>
          <w:color w:val="231F20"/>
          <w:spacing w:val="-3"/>
        </w:rPr>
        <w:t>течних </w:t>
      </w:r>
      <w:r>
        <w:rPr>
          <w:i/>
          <w:color w:val="231F20"/>
        </w:rPr>
        <w:t>и </w:t>
      </w:r>
      <w:r>
        <w:rPr>
          <w:i/>
          <w:color w:val="231F20"/>
          <w:spacing w:val="-3"/>
        </w:rPr>
        <w:t>гасовитих угљоводоника </w:t>
      </w:r>
      <w:r>
        <w:rPr>
          <w:color w:val="231F20"/>
        </w:rPr>
        <w:t>дефинисани </w:t>
      </w:r>
      <w:r>
        <w:rPr>
          <w:color w:val="231F20"/>
          <w:spacing w:val="-3"/>
        </w:rPr>
        <w:t>су </w:t>
      </w:r>
      <w:r>
        <w:rPr>
          <w:color w:val="231F20"/>
        </w:rPr>
        <w:t>у </w:t>
      </w:r>
      <w:r>
        <w:rPr>
          <w:color w:val="231F20"/>
          <w:spacing w:val="-3"/>
        </w:rPr>
        <w:t>одговарајућим </w:t>
      </w:r>
      <w:r>
        <w:rPr>
          <w:color w:val="231F20"/>
          <w:spacing w:val="-4"/>
        </w:rPr>
        <w:t>законима (Закон </w:t>
      </w:r>
      <w:r>
        <w:rPr>
          <w:color w:val="231F20"/>
        </w:rPr>
        <w:t>о планирању и изградњи („Слу- </w:t>
      </w:r>
      <w:r>
        <w:rPr>
          <w:color w:val="231F20"/>
          <w:spacing w:val="-3"/>
        </w:rPr>
        <w:t>жбени </w:t>
      </w:r>
      <w:r>
        <w:rPr>
          <w:color w:val="231F20"/>
          <w:spacing w:val="-4"/>
        </w:rPr>
        <w:t>гласник </w:t>
      </w:r>
      <w:r>
        <w:rPr>
          <w:color w:val="231F20"/>
        </w:rPr>
        <w:t>РС”, бр. 72/09, 81/09, 64/10 и </w:t>
      </w:r>
      <w:r>
        <w:rPr>
          <w:color w:val="231F20"/>
          <w:spacing w:val="-3"/>
        </w:rPr>
        <w:t>24/11); </w:t>
      </w:r>
      <w:r>
        <w:rPr>
          <w:color w:val="231F20"/>
          <w:spacing w:val="-4"/>
        </w:rPr>
        <w:t>Закон </w:t>
      </w:r>
      <w:r>
        <w:rPr>
          <w:color w:val="231F20"/>
        </w:rPr>
        <w:t>о цево- </w:t>
      </w:r>
      <w:r>
        <w:rPr>
          <w:color w:val="231F20"/>
          <w:spacing w:val="-4"/>
        </w:rPr>
        <w:t>водном </w:t>
      </w:r>
      <w:r>
        <w:rPr>
          <w:color w:val="231F20"/>
          <w:spacing w:val="-3"/>
        </w:rPr>
        <w:t>транспорту </w:t>
      </w:r>
      <w:r>
        <w:rPr>
          <w:color w:val="231F20"/>
        </w:rPr>
        <w:t>гасовитих и </w:t>
      </w:r>
      <w:r>
        <w:rPr>
          <w:color w:val="231F20"/>
          <w:spacing w:val="-3"/>
        </w:rPr>
        <w:t>течних угљоводоника („Службени </w:t>
      </w:r>
      <w:r>
        <w:rPr>
          <w:color w:val="231F20"/>
          <w:spacing w:val="-4"/>
        </w:rPr>
        <w:t>гласник </w:t>
      </w:r>
      <w:r>
        <w:rPr>
          <w:color w:val="231F20"/>
        </w:rPr>
        <w:t>РС”, број 104/09); </w:t>
      </w:r>
      <w:r>
        <w:rPr>
          <w:color w:val="231F20"/>
          <w:spacing w:val="-4"/>
        </w:rPr>
        <w:t>Закон </w:t>
      </w:r>
      <w:r>
        <w:rPr>
          <w:color w:val="231F20"/>
        </w:rPr>
        <w:t>о </w:t>
      </w:r>
      <w:r>
        <w:rPr>
          <w:color w:val="231F20"/>
          <w:spacing w:val="-3"/>
        </w:rPr>
        <w:t>енергетици („Службени </w:t>
      </w:r>
      <w:r>
        <w:rPr>
          <w:color w:val="231F20"/>
          <w:spacing w:val="-4"/>
        </w:rPr>
        <w:t>гласник </w:t>
      </w:r>
      <w:r>
        <w:rPr>
          <w:color w:val="231F20"/>
        </w:rPr>
        <w:t>РС”,</w:t>
      </w:r>
      <w:r>
        <w:rPr>
          <w:color w:val="231F20"/>
          <w:spacing w:val="-10"/>
        </w:rPr>
        <w:t> </w:t>
      </w:r>
      <w:r>
        <w:rPr>
          <w:color w:val="231F20"/>
        </w:rPr>
        <w:t>бр.</w:t>
      </w:r>
      <w:r>
        <w:rPr>
          <w:color w:val="231F20"/>
          <w:spacing w:val="-10"/>
        </w:rPr>
        <w:t> </w:t>
      </w:r>
      <w:r>
        <w:rPr>
          <w:color w:val="231F20"/>
          <w:spacing w:val="-3"/>
        </w:rPr>
        <w:t>57/11,</w:t>
      </w:r>
      <w:r>
        <w:rPr>
          <w:color w:val="231F20"/>
          <w:spacing w:val="-10"/>
        </w:rPr>
        <w:t> </w:t>
      </w:r>
      <w:r>
        <w:rPr>
          <w:color w:val="231F20"/>
          <w:spacing w:val="-3"/>
        </w:rPr>
        <w:t>80/11</w:t>
      </w:r>
      <w:r>
        <w:rPr>
          <w:color w:val="231F20"/>
          <w:spacing w:val="13"/>
        </w:rPr>
        <w:t> </w:t>
      </w:r>
      <w:r>
        <w:rPr>
          <w:color w:val="231F20"/>
        </w:rPr>
        <w:t>–</w:t>
      </w:r>
      <w:r>
        <w:rPr>
          <w:color w:val="231F20"/>
          <w:spacing w:val="-10"/>
        </w:rPr>
        <w:t> </w:t>
      </w:r>
      <w:r>
        <w:rPr>
          <w:color w:val="231F20"/>
        </w:rPr>
        <w:t>испр.</w:t>
      </w:r>
      <w:r>
        <w:rPr>
          <w:color w:val="231F20"/>
          <w:spacing w:val="-10"/>
        </w:rPr>
        <w:t> </w:t>
      </w:r>
      <w:r>
        <w:rPr>
          <w:color w:val="231F20"/>
        </w:rPr>
        <w:t>и</w:t>
      </w:r>
      <w:r>
        <w:rPr>
          <w:color w:val="231F20"/>
          <w:spacing w:val="-10"/>
        </w:rPr>
        <w:t> </w:t>
      </w:r>
      <w:r>
        <w:rPr>
          <w:color w:val="231F20"/>
        </w:rPr>
        <w:t>93/12)</w:t>
      </w:r>
      <w:r>
        <w:rPr>
          <w:color w:val="231F20"/>
          <w:spacing w:val="-10"/>
        </w:rPr>
        <w:t> </w:t>
      </w:r>
      <w:r>
        <w:rPr>
          <w:color w:val="231F20"/>
        </w:rPr>
        <w:t>и</w:t>
      </w:r>
      <w:r>
        <w:rPr>
          <w:color w:val="231F20"/>
          <w:spacing w:val="-10"/>
        </w:rPr>
        <w:t> </w:t>
      </w:r>
      <w:r>
        <w:rPr>
          <w:color w:val="231F20"/>
        </w:rPr>
        <w:t>правилницима</w:t>
      </w:r>
      <w:r>
        <w:rPr>
          <w:color w:val="231F20"/>
          <w:spacing w:val="-10"/>
        </w:rPr>
        <w:t> </w:t>
      </w:r>
      <w:r>
        <w:rPr>
          <w:color w:val="231F20"/>
        </w:rPr>
        <w:t>(Правилник</w:t>
      </w:r>
      <w:r>
        <w:rPr>
          <w:color w:val="231F20"/>
          <w:spacing w:val="-10"/>
        </w:rPr>
        <w:t> </w:t>
      </w:r>
      <w:r>
        <w:rPr>
          <w:color w:val="231F20"/>
        </w:rPr>
        <w:t>о </w:t>
      </w:r>
      <w:r>
        <w:rPr>
          <w:color w:val="231F20"/>
          <w:spacing w:val="-3"/>
        </w:rPr>
        <w:t>техничким</w:t>
      </w:r>
      <w:r>
        <w:rPr>
          <w:color w:val="231F20"/>
          <w:spacing w:val="-11"/>
        </w:rPr>
        <w:t> </w:t>
      </w:r>
      <w:r>
        <w:rPr>
          <w:color w:val="231F20"/>
        </w:rPr>
        <w:t>условима</w:t>
      </w:r>
      <w:r>
        <w:rPr>
          <w:color w:val="231F20"/>
          <w:spacing w:val="-11"/>
        </w:rPr>
        <w:t> </w:t>
      </w:r>
      <w:r>
        <w:rPr>
          <w:color w:val="231F20"/>
        </w:rPr>
        <w:t>и</w:t>
      </w:r>
      <w:r>
        <w:rPr>
          <w:color w:val="231F20"/>
          <w:spacing w:val="-11"/>
        </w:rPr>
        <w:t> </w:t>
      </w:r>
      <w:r>
        <w:rPr>
          <w:color w:val="231F20"/>
          <w:spacing w:val="-3"/>
        </w:rPr>
        <w:t>нормативима</w:t>
      </w:r>
      <w:r>
        <w:rPr>
          <w:color w:val="231F20"/>
          <w:spacing w:val="-11"/>
        </w:rPr>
        <w:t> </w:t>
      </w:r>
      <w:r>
        <w:rPr>
          <w:color w:val="231F20"/>
        </w:rPr>
        <w:t>за</w:t>
      </w:r>
      <w:r>
        <w:rPr>
          <w:color w:val="231F20"/>
          <w:spacing w:val="-11"/>
        </w:rPr>
        <w:t> </w:t>
      </w:r>
      <w:r>
        <w:rPr>
          <w:color w:val="231F20"/>
          <w:spacing w:val="-3"/>
        </w:rPr>
        <w:t>безбедан</w:t>
      </w:r>
      <w:r>
        <w:rPr>
          <w:color w:val="231F20"/>
          <w:spacing w:val="-11"/>
        </w:rPr>
        <w:t> </w:t>
      </w:r>
      <w:r>
        <w:rPr>
          <w:color w:val="231F20"/>
        </w:rPr>
        <w:t>транспорт</w:t>
      </w:r>
      <w:r>
        <w:rPr>
          <w:color w:val="231F20"/>
          <w:spacing w:val="-11"/>
        </w:rPr>
        <w:t> </w:t>
      </w:r>
      <w:r>
        <w:rPr>
          <w:color w:val="231F20"/>
          <w:spacing w:val="-3"/>
        </w:rPr>
        <w:t>течних</w:t>
      </w:r>
      <w:r>
        <w:rPr>
          <w:color w:val="231F20"/>
          <w:spacing w:val="-11"/>
        </w:rPr>
        <w:t> </w:t>
      </w:r>
      <w:r>
        <w:rPr>
          <w:color w:val="231F20"/>
        </w:rPr>
        <w:t>и гасовитих </w:t>
      </w:r>
      <w:r>
        <w:rPr>
          <w:color w:val="231F20"/>
          <w:spacing w:val="-3"/>
        </w:rPr>
        <w:t>угљоводоника </w:t>
      </w:r>
      <w:r>
        <w:rPr>
          <w:color w:val="231F20"/>
        </w:rPr>
        <w:t>магистралним </w:t>
      </w:r>
      <w:r>
        <w:rPr>
          <w:color w:val="231F20"/>
          <w:spacing w:val="-3"/>
        </w:rPr>
        <w:t>нафтоводима </w:t>
      </w:r>
      <w:r>
        <w:rPr>
          <w:color w:val="231F20"/>
        </w:rPr>
        <w:t>и </w:t>
      </w:r>
      <w:r>
        <w:rPr>
          <w:color w:val="231F20"/>
          <w:spacing w:val="-3"/>
        </w:rPr>
        <w:t>гасоводима </w:t>
      </w:r>
      <w:r>
        <w:rPr>
          <w:color w:val="231F20"/>
        </w:rPr>
        <w:t>за</w:t>
      </w:r>
      <w:r>
        <w:rPr>
          <w:color w:val="231F20"/>
          <w:spacing w:val="-6"/>
        </w:rPr>
        <w:t> </w:t>
      </w:r>
      <w:r>
        <w:rPr>
          <w:color w:val="231F20"/>
          <w:spacing w:val="-3"/>
        </w:rPr>
        <w:t>међународни</w:t>
      </w:r>
      <w:r>
        <w:rPr>
          <w:color w:val="231F20"/>
          <w:spacing w:val="-6"/>
        </w:rPr>
        <w:t> </w:t>
      </w:r>
      <w:r>
        <w:rPr>
          <w:color w:val="231F20"/>
          <w:spacing w:val="-4"/>
        </w:rPr>
        <w:t>транспорт,</w:t>
      </w:r>
      <w:r>
        <w:rPr>
          <w:color w:val="231F20"/>
          <w:spacing w:val="-6"/>
        </w:rPr>
        <w:t> </w:t>
      </w:r>
      <w:r>
        <w:rPr>
          <w:color w:val="231F20"/>
          <w:spacing w:val="-3"/>
        </w:rPr>
        <w:t>„Службени</w:t>
      </w:r>
      <w:r>
        <w:rPr>
          <w:color w:val="231F20"/>
          <w:spacing w:val="-6"/>
        </w:rPr>
        <w:t> </w:t>
      </w:r>
      <w:r>
        <w:rPr>
          <w:color w:val="231F20"/>
        </w:rPr>
        <w:t>лист</w:t>
      </w:r>
      <w:r>
        <w:rPr>
          <w:color w:val="231F20"/>
          <w:spacing w:val="-6"/>
        </w:rPr>
        <w:t> </w:t>
      </w:r>
      <w:r>
        <w:rPr>
          <w:color w:val="231F20"/>
        </w:rPr>
        <w:t>СФРЈ”,</w:t>
      </w:r>
      <w:r>
        <w:rPr>
          <w:color w:val="231F20"/>
          <w:spacing w:val="-6"/>
        </w:rPr>
        <w:t> </w:t>
      </w:r>
      <w:r>
        <w:rPr>
          <w:color w:val="231F20"/>
        </w:rPr>
        <w:t>број</w:t>
      </w:r>
      <w:r>
        <w:rPr>
          <w:color w:val="231F20"/>
          <w:spacing w:val="-6"/>
        </w:rPr>
        <w:t> </w:t>
      </w:r>
      <w:r>
        <w:rPr>
          <w:color w:val="231F20"/>
        </w:rPr>
        <w:t>26</w:t>
      </w:r>
      <w:r>
        <w:rPr>
          <w:color w:val="231F20"/>
          <w:spacing w:val="-6"/>
        </w:rPr>
        <w:t> </w:t>
      </w:r>
      <w:r>
        <w:rPr>
          <w:color w:val="231F20"/>
        </w:rPr>
        <w:t>/1985).</w:t>
      </w:r>
    </w:p>
    <w:p>
      <w:pPr>
        <w:pStyle w:val="BodyText"/>
        <w:spacing w:line="232" w:lineRule="auto" w:before="3"/>
        <w:ind w:left="172" w:right="405" w:firstLine="396"/>
      </w:pPr>
      <w:r>
        <w:rPr>
          <w:color w:val="231F20"/>
        </w:rPr>
        <w:t>Код пројектовања и изградње </w:t>
      </w:r>
      <w:r>
        <w:rPr>
          <w:i/>
          <w:color w:val="231F20"/>
        </w:rPr>
        <w:t>објеката и водова за дистри- </w:t>
      </w:r>
      <w:r>
        <w:rPr>
          <w:i/>
          <w:color w:val="231F20"/>
        </w:rPr>
        <w:t>буцију топлотне енергије, </w:t>
      </w:r>
      <w:r>
        <w:rPr>
          <w:color w:val="231F20"/>
        </w:rPr>
        <w:t>обавезно је поштовање и примена свих важећих техничких прописа и норматива из ове области. Такође, при уређењу и изградњи простора у границама Костолачког угље- ног басена посебну пажњу обратити на то да се не угрози несме- тано обављање транспорта енергетских флуида, вреле воде за да- љинско грејање и водене паре за технолошке процесе.</w:t>
      </w:r>
    </w:p>
    <w:p>
      <w:pPr>
        <w:pStyle w:val="BodyText"/>
        <w:spacing w:line="232" w:lineRule="auto" w:before="2"/>
        <w:ind w:left="172" w:right="405" w:firstLine="396"/>
      </w:pPr>
      <w:r>
        <w:rPr>
          <w:color w:val="231F20"/>
          <w:spacing w:val="-3"/>
        </w:rPr>
        <w:t>Топловодна </w:t>
      </w:r>
      <w:r>
        <w:rPr>
          <w:color w:val="231F20"/>
        </w:rPr>
        <w:t>мрежа може да се постави подземно (каналски, предизоловано и цеви заливене изолационом масом) и надземно. Трасу топловода треба одабрати </w:t>
      </w:r>
      <w:r>
        <w:rPr>
          <w:color w:val="231F20"/>
          <w:spacing w:val="-3"/>
        </w:rPr>
        <w:t>тако </w:t>
      </w:r>
      <w:r>
        <w:rPr>
          <w:color w:val="231F20"/>
        </w:rPr>
        <w:t>да она испуњава оптималне техничке</w:t>
      </w:r>
      <w:r>
        <w:rPr>
          <w:color w:val="231F20"/>
          <w:spacing w:val="-6"/>
        </w:rPr>
        <w:t> </w:t>
      </w:r>
      <w:r>
        <w:rPr>
          <w:color w:val="231F20"/>
        </w:rPr>
        <w:t>и</w:t>
      </w:r>
      <w:r>
        <w:rPr>
          <w:color w:val="231F20"/>
          <w:spacing w:val="-6"/>
        </w:rPr>
        <w:t> </w:t>
      </w:r>
      <w:r>
        <w:rPr>
          <w:color w:val="231F20"/>
          <w:spacing w:val="-3"/>
        </w:rPr>
        <w:t>економске</w:t>
      </w:r>
      <w:r>
        <w:rPr>
          <w:color w:val="231F20"/>
          <w:spacing w:val="-6"/>
        </w:rPr>
        <w:t> </w:t>
      </w:r>
      <w:r>
        <w:rPr>
          <w:color w:val="231F20"/>
        </w:rPr>
        <w:t>услове.</w:t>
      </w:r>
      <w:r>
        <w:rPr>
          <w:color w:val="231F20"/>
          <w:spacing w:val="-6"/>
        </w:rPr>
        <w:t> </w:t>
      </w:r>
      <w:r>
        <w:rPr>
          <w:color w:val="231F20"/>
          <w:spacing w:val="-3"/>
        </w:rPr>
        <w:t>Топловодна</w:t>
      </w:r>
      <w:r>
        <w:rPr>
          <w:color w:val="231F20"/>
          <w:spacing w:val="-6"/>
        </w:rPr>
        <w:t> </w:t>
      </w:r>
      <w:r>
        <w:rPr>
          <w:color w:val="231F20"/>
        </w:rPr>
        <w:t>мрежа</w:t>
      </w:r>
      <w:r>
        <w:rPr>
          <w:color w:val="231F20"/>
          <w:spacing w:val="-6"/>
        </w:rPr>
        <w:t> </w:t>
      </w:r>
      <w:r>
        <w:rPr>
          <w:color w:val="231F20"/>
        </w:rPr>
        <w:t>се</w:t>
      </w:r>
      <w:r>
        <w:rPr>
          <w:color w:val="231F20"/>
          <w:spacing w:val="-6"/>
        </w:rPr>
        <w:t> </w:t>
      </w:r>
      <w:r>
        <w:rPr>
          <w:color w:val="231F20"/>
        </w:rPr>
        <w:t>води</w:t>
      </w:r>
      <w:r>
        <w:rPr>
          <w:color w:val="231F20"/>
          <w:spacing w:val="-6"/>
        </w:rPr>
        <w:t> </w:t>
      </w:r>
      <w:r>
        <w:rPr>
          <w:color w:val="231F20"/>
        </w:rPr>
        <w:t>до</w:t>
      </w:r>
      <w:r>
        <w:rPr>
          <w:color w:val="231F20"/>
          <w:spacing w:val="-6"/>
        </w:rPr>
        <w:t> </w:t>
      </w:r>
      <w:r>
        <w:rPr>
          <w:color w:val="231F20"/>
        </w:rPr>
        <w:t>потро- </w:t>
      </w:r>
      <w:r>
        <w:rPr>
          <w:color w:val="231F20"/>
          <w:spacing w:val="-3"/>
        </w:rPr>
        <w:t>шача </w:t>
      </w:r>
      <w:r>
        <w:rPr>
          <w:color w:val="231F20"/>
        </w:rPr>
        <w:t>и завршава се у предајним</w:t>
      </w:r>
      <w:r>
        <w:rPr>
          <w:color w:val="231F20"/>
          <w:spacing w:val="-1"/>
        </w:rPr>
        <w:t> </w:t>
      </w:r>
      <w:r>
        <w:rPr>
          <w:color w:val="231F20"/>
        </w:rPr>
        <w:t>станицама.</w:t>
      </w:r>
    </w:p>
    <w:p>
      <w:pPr>
        <w:pStyle w:val="BodyText"/>
        <w:spacing w:line="232" w:lineRule="auto" w:before="1"/>
        <w:ind w:left="172" w:right="405" w:firstLine="397"/>
      </w:pPr>
      <w:r>
        <w:rPr>
          <w:color w:val="231F20"/>
        </w:rPr>
        <w:t>При изградњи сваког енергетског постројења, неопходно је посветити посебну пажњу примени предвиђених правила и про- писа заштите и смањењу утицаја на животну средину, при чему је увек потребно одговарајућим пројектним, инвестиционим, закон- ским и административним мерама обезбедити поштовање предви- ђених норми и стандарда.</w:t>
      </w:r>
    </w:p>
    <w:p>
      <w:pPr>
        <w:pStyle w:val="ListParagraph"/>
        <w:numPr>
          <w:ilvl w:val="3"/>
          <w:numId w:val="50"/>
        </w:numPr>
        <w:tabs>
          <w:tab w:pos="1832" w:val="left" w:leader="none"/>
        </w:tabs>
        <w:spacing w:line="240" w:lineRule="auto" w:before="167" w:after="0"/>
        <w:ind w:left="1831" w:right="0" w:hanging="405"/>
        <w:jc w:val="left"/>
        <w:rPr>
          <w:i/>
          <w:sz w:val="18"/>
        </w:rPr>
      </w:pPr>
      <w:r>
        <w:rPr>
          <w:i/>
          <w:color w:val="231F20"/>
          <w:sz w:val="18"/>
        </w:rPr>
        <w:t>Kоридори</w:t>
      </w:r>
      <w:r>
        <w:rPr>
          <w:i/>
          <w:color w:val="231F20"/>
          <w:spacing w:val="-1"/>
          <w:sz w:val="18"/>
        </w:rPr>
        <w:t> </w:t>
      </w:r>
      <w:r>
        <w:rPr>
          <w:i/>
          <w:color w:val="231F20"/>
          <w:sz w:val="18"/>
        </w:rPr>
        <w:t>телекомуникација</w:t>
      </w:r>
    </w:p>
    <w:p>
      <w:pPr>
        <w:pStyle w:val="BodyText"/>
        <w:spacing w:before="4"/>
        <w:ind w:left="0"/>
        <w:jc w:val="left"/>
        <w:rPr>
          <w:i/>
          <w:sz w:val="17"/>
        </w:rPr>
      </w:pPr>
    </w:p>
    <w:p>
      <w:pPr>
        <w:pStyle w:val="BodyText"/>
        <w:spacing w:line="232" w:lineRule="auto" w:before="1"/>
        <w:ind w:left="172" w:right="406" w:firstLine="396"/>
      </w:pPr>
      <w:r>
        <w:rPr>
          <w:color w:val="231F20"/>
        </w:rPr>
        <w:t>Оптички каблови су основно средство за успешан развој те- лекомуникационих система. </w:t>
      </w:r>
      <w:r>
        <w:rPr>
          <w:color w:val="231F20"/>
          <w:spacing w:val="-5"/>
        </w:rPr>
        <w:t>Услед </w:t>
      </w:r>
      <w:r>
        <w:rPr>
          <w:color w:val="231F20"/>
        </w:rPr>
        <w:t>тога је неопходно уз </w:t>
      </w:r>
      <w:r>
        <w:rPr>
          <w:color w:val="231F20"/>
          <w:spacing w:val="-3"/>
        </w:rPr>
        <w:t>главне </w:t>
      </w:r>
      <w:r>
        <w:rPr>
          <w:color w:val="231F20"/>
        </w:rPr>
        <w:t>са- обраћајнице и прилазне путеве локацијама телекомуникационих</w:t>
      </w:r>
    </w:p>
    <w:p>
      <w:pPr>
        <w:spacing w:after="0" w:line="232" w:lineRule="auto"/>
        <w:sectPr>
          <w:pgSz w:w="12480" w:h="15690"/>
          <w:pgMar w:top="120" w:bottom="280" w:left="680" w:right="720"/>
          <w:cols w:num="2" w:equalWidth="0">
            <w:col w:w="5317" w:space="73"/>
            <w:col w:w="5690"/>
          </w:cols>
        </w:sectPr>
      </w:pPr>
    </w:p>
    <w:p>
      <w:pPr>
        <w:pStyle w:val="BodyText"/>
        <w:spacing w:line="232" w:lineRule="auto" w:before="73"/>
        <w:ind w:left="453"/>
      </w:pPr>
      <w:r>
        <w:rPr/>
        <w:pict>
          <v:line style="position:absolute;mso-position-horizontal-relative:page;mso-position-vertical-relative:page;z-index:3568" from="318.897614pt,11.942451pt" to="318.897614pt,748.950451pt" stroked="true" strokeweight=".6pt" strokecolor="#231f20">
            <v:stroke dashstyle="solid"/>
            <w10:wrap type="none"/>
          </v:line>
        </w:pict>
      </w:r>
      <w:r>
        <w:rPr>
          <w:color w:val="231F20"/>
        </w:rPr>
        <w:t>чворишта планирати коридоре за изградњу оптичких каблова. Приликом планирања нових саобраћајних коридора или рекон- струкције постојећих, потребно је планирати полагање ПЕ цеви пречника 40 mm, у оквиру парцела у власништву имаоца саобра- ћајне инфраструктуре, за касније провлачење оптичких каблова.</w:t>
      </w:r>
    </w:p>
    <w:p>
      <w:pPr>
        <w:pStyle w:val="BodyText"/>
        <w:spacing w:line="230" w:lineRule="auto"/>
        <w:ind w:left="454" w:firstLine="396"/>
      </w:pPr>
      <w:r>
        <w:rPr>
          <w:color w:val="231F20"/>
        </w:rPr>
        <w:t>На местима укрштања трасе кабла са рекама, потоцима, ка- налима,</w:t>
      </w:r>
      <w:r>
        <w:rPr>
          <w:color w:val="231F20"/>
          <w:spacing w:val="-8"/>
        </w:rPr>
        <w:t> </w:t>
      </w:r>
      <w:r>
        <w:rPr>
          <w:color w:val="231F20"/>
        </w:rPr>
        <w:t>путевима,</w:t>
      </w:r>
      <w:r>
        <w:rPr>
          <w:color w:val="231F20"/>
          <w:spacing w:val="-8"/>
        </w:rPr>
        <w:t> </w:t>
      </w:r>
      <w:r>
        <w:rPr>
          <w:color w:val="231F20"/>
        </w:rPr>
        <w:t>пругама,</w:t>
      </w:r>
      <w:r>
        <w:rPr>
          <w:color w:val="231F20"/>
          <w:spacing w:val="-8"/>
        </w:rPr>
        <w:t> </w:t>
      </w:r>
      <w:r>
        <w:rPr>
          <w:color w:val="231F20"/>
        </w:rPr>
        <w:t>односно</w:t>
      </w:r>
      <w:r>
        <w:rPr>
          <w:color w:val="231F20"/>
          <w:spacing w:val="-8"/>
        </w:rPr>
        <w:t> </w:t>
      </w:r>
      <w:r>
        <w:rPr>
          <w:color w:val="231F20"/>
        </w:rPr>
        <w:t>на</w:t>
      </w:r>
      <w:r>
        <w:rPr>
          <w:color w:val="231F20"/>
          <w:spacing w:val="-8"/>
        </w:rPr>
        <w:t> </w:t>
      </w:r>
      <w:r>
        <w:rPr>
          <w:color w:val="231F20"/>
        </w:rPr>
        <w:t>местима</w:t>
      </w:r>
      <w:r>
        <w:rPr>
          <w:color w:val="231F20"/>
          <w:spacing w:val="-8"/>
        </w:rPr>
        <w:t> </w:t>
      </w:r>
      <w:r>
        <w:rPr>
          <w:color w:val="231F20"/>
          <w:spacing w:val="-4"/>
        </w:rPr>
        <w:t>где</w:t>
      </w:r>
      <w:r>
        <w:rPr>
          <w:color w:val="231F20"/>
          <w:spacing w:val="-8"/>
        </w:rPr>
        <w:t> </w:t>
      </w:r>
      <w:r>
        <w:rPr>
          <w:color w:val="231F20"/>
        </w:rPr>
        <w:t>кабл</w:t>
      </w:r>
      <w:r>
        <w:rPr>
          <w:color w:val="231F20"/>
          <w:spacing w:val="-8"/>
        </w:rPr>
        <w:t> </w:t>
      </w:r>
      <w:r>
        <w:rPr>
          <w:color w:val="231F20"/>
        </w:rPr>
        <w:t>није</w:t>
      </w:r>
      <w:r>
        <w:rPr>
          <w:color w:val="231F20"/>
          <w:spacing w:val="-8"/>
        </w:rPr>
        <w:t> </w:t>
      </w:r>
      <w:r>
        <w:rPr>
          <w:color w:val="231F20"/>
        </w:rPr>
        <w:t>при- ступачан и </w:t>
      </w:r>
      <w:r>
        <w:rPr>
          <w:color w:val="231F20"/>
          <w:spacing w:val="-4"/>
        </w:rPr>
        <w:t>где </w:t>
      </w:r>
      <w:r>
        <w:rPr>
          <w:color w:val="231F20"/>
        </w:rPr>
        <w:t>не може да се изврши брза интервенција, кабл се поставља у цев. Постављање кабла у цев се врши и на местима на </w:t>
      </w:r>
      <w:r>
        <w:rPr>
          <w:color w:val="231F20"/>
          <w:spacing w:val="-3"/>
        </w:rPr>
        <w:t>којима </w:t>
      </w:r>
      <w:r>
        <w:rPr>
          <w:color w:val="231F20"/>
        </w:rPr>
        <w:t>је кабл изложен </w:t>
      </w:r>
      <w:r>
        <w:rPr>
          <w:color w:val="231F20"/>
          <w:spacing w:val="-3"/>
        </w:rPr>
        <w:t>механичком </w:t>
      </w:r>
      <w:r>
        <w:rPr>
          <w:color w:val="231F20"/>
        </w:rPr>
        <w:t>оптерећењу. </w:t>
      </w:r>
      <w:r>
        <w:rPr>
          <w:color w:val="231F20"/>
          <w:spacing w:val="-4"/>
        </w:rPr>
        <w:t>Ако </w:t>
      </w:r>
      <w:r>
        <w:rPr>
          <w:color w:val="231F20"/>
        </w:rPr>
        <w:t>се цеви по- лажу у земљу и </w:t>
      </w:r>
      <w:r>
        <w:rPr>
          <w:color w:val="231F20"/>
          <w:spacing w:val="-4"/>
        </w:rPr>
        <w:t>ако </w:t>
      </w:r>
      <w:r>
        <w:rPr>
          <w:color w:val="231F20"/>
        </w:rPr>
        <w:t>је слој земље изнад кабла дебљи </w:t>
      </w:r>
      <w:r>
        <w:rPr>
          <w:color w:val="231F20"/>
          <w:spacing w:val="-3"/>
        </w:rPr>
        <w:t>од </w:t>
      </w:r>
      <w:r>
        <w:rPr>
          <w:color w:val="231F20"/>
        </w:rPr>
        <w:t>60 cm, по- лажу се PЕ цеви или PVC цеви. На местима </w:t>
      </w:r>
      <w:r>
        <w:rPr>
          <w:color w:val="231F20"/>
          <w:spacing w:val="-4"/>
        </w:rPr>
        <w:t>где </w:t>
      </w:r>
      <w:r>
        <w:rPr>
          <w:color w:val="231F20"/>
        </w:rPr>
        <w:t>кабл пролази над- земно, односно није довољно заштићен слојем земље постављају се гвоздено-поцинковане (FeZn)</w:t>
      </w:r>
      <w:r>
        <w:rPr>
          <w:color w:val="231F20"/>
          <w:spacing w:val="-4"/>
        </w:rPr>
        <w:t> </w:t>
      </w:r>
      <w:r>
        <w:rPr>
          <w:color w:val="231F20"/>
        </w:rPr>
        <w:t>цеви.</w:t>
      </w:r>
    </w:p>
    <w:p>
      <w:pPr>
        <w:pStyle w:val="BodyText"/>
        <w:spacing w:line="230" w:lineRule="auto"/>
        <w:ind w:left="454" w:firstLine="396"/>
      </w:pPr>
      <w:r>
        <w:rPr>
          <w:color w:val="231F20"/>
        </w:rPr>
        <w:t>Укрштање оптичког кабла и кабловске електроенергетске мреже треба извести под углом од 45º тако да оптички кабл буде изнад електроенергетског.</w:t>
      </w:r>
    </w:p>
    <w:p>
      <w:pPr>
        <w:pStyle w:val="BodyText"/>
        <w:spacing w:line="230" w:lineRule="auto"/>
        <w:ind w:left="454" w:firstLine="396"/>
      </w:pPr>
      <w:r>
        <w:rPr>
          <w:color w:val="231F20"/>
        </w:rPr>
        <w:t>Укрштање оптичког кабла са постојећом ТТ мрежом треба извести тако да оптички кабл буде испод ТТ кабла.</w:t>
      </w:r>
    </w:p>
    <w:p>
      <w:pPr>
        <w:pStyle w:val="BodyText"/>
        <w:spacing w:line="230" w:lineRule="auto"/>
        <w:ind w:left="454" w:firstLine="396"/>
      </w:pPr>
      <w:r>
        <w:rPr>
          <w:color w:val="231F20"/>
        </w:rPr>
        <w:t>Укрштање оптичког кабла са гасоводом треба да буде под углом од 900. На месту укрштања кабл треба поставити у заштит- ну цев, а изнад на прописаном растојању поставити штитнике и упозоравајућу траку.</w:t>
      </w:r>
    </w:p>
    <w:p>
      <w:pPr>
        <w:pStyle w:val="BodyText"/>
        <w:spacing w:line="230" w:lineRule="auto"/>
        <w:ind w:left="454" w:firstLine="396"/>
      </w:pPr>
      <w:r>
        <w:rPr>
          <w:color w:val="231F20"/>
          <w:spacing w:val="-3"/>
        </w:rPr>
        <w:t>Приликом </w:t>
      </w:r>
      <w:r>
        <w:rPr>
          <w:color w:val="231F20"/>
        </w:rPr>
        <w:t>постављања базних станица мобилне телефоније треба водити рачуна о безбедној удаљености </w:t>
      </w:r>
      <w:r>
        <w:rPr>
          <w:color w:val="231F20"/>
          <w:spacing w:val="-3"/>
        </w:rPr>
        <w:t>од </w:t>
      </w:r>
      <w:r>
        <w:rPr>
          <w:color w:val="231F20"/>
        </w:rPr>
        <w:t>стамбених зграда, болница, </w:t>
      </w:r>
      <w:r>
        <w:rPr>
          <w:color w:val="231F20"/>
          <w:spacing w:val="-3"/>
        </w:rPr>
        <w:t>школа </w:t>
      </w:r>
      <w:r>
        <w:rPr>
          <w:color w:val="231F20"/>
        </w:rPr>
        <w:t>и дечјих установа.</w:t>
      </w:r>
    </w:p>
    <w:p>
      <w:pPr>
        <w:pStyle w:val="ListParagraph"/>
        <w:numPr>
          <w:ilvl w:val="3"/>
          <w:numId w:val="50"/>
        </w:numPr>
        <w:tabs>
          <w:tab w:pos="2517" w:val="left" w:leader="none"/>
        </w:tabs>
        <w:spacing w:line="240" w:lineRule="auto" w:before="149" w:after="0"/>
        <w:ind w:left="2516" w:right="0" w:hanging="392"/>
        <w:jc w:val="left"/>
        <w:rPr>
          <w:i/>
          <w:sz w:val="18"/>
        </w:rPr>
      </w:pPr>
      <w:r>
        <w:rPr>
          <w:i/>
          <w:color w:val="231F20"/>
          <w:sz w:val="18"/>
        </w:rPr>
        <w:t>Kомунални</w:t>
      </w:r>
      <w:r>
        <w:rPr>
          <w:i/>
          <w:color w:val="231F20"/>
          <w:spacing w:val="-2"/>
          <w:sz w:val="18"/>
        </w:rPr>
        <w:t> </w:t>
      </w:r>
      <w:r>
        <w:rPr>
          <w:i/>
          <w:color w:val="231F20"/>
          <w:sz w:val="18"/>
        </w:rPr>
        <w:t>отпад</w:t>
      </w:r>
    </w:p>
    <w:p>
      <w:pPr>
        <w:pStyle w:val="BodyText"/>
        <w:ind w:left="0"/>
        <w:jc w:val="left"/>
        <w:rPr>
          <w:i/>
          <w:sz w:val="17"/>
        </w:rPr>
      </w:pPr>
    </w:p>
    <w:p>
      <w:pPr>
        <w:pStyle w:val="BodyText"/>
        <w:spacing w:line="230" w:lineRule="auto"/>
        <w:ind w:left="454" w:firstLine="397"/>
      </w:pPr>
      <w:r>
        <w:rPr>
          <w:color w:val="231F20"/>
        </w:rPr>
        <w:t>С обзиром да је планиран развој регионалне депоније и цен- тра</w:t>
      </w:r>
      <w:r>
        <w:rPr>
          <w:color w:val="231F20"/>
          <w:spacing w:val="-7"/>
        </w:rPr>
        <w:t> </w:t>
      </w:r>
      <w:r>
        <w:rPr>
          <w:color w:val="231F20"/>
        </w:rPr>
        <w:t>за</w:t>
      </w:r>
      <w:r>
        <w:rPr>
          <w:color w:val="231F20"/>
          <w:spacing w:val="-7"/>
        </w:rPr>
        <w:t> </w:t>
      </w:r>
      <w:r>
        <w:rPr>
          <w:color w:val="231F20"/>
        </w:rPr>
        <w:t>рециклажу</w:t>
      </w:r>
      <w:r>
        <w:rPr>
          <w:color w:val="231F20"/>
          <w:spacing w:val="-7"/>
        </w:rPr>
        <w:t> </w:t>
      </w:r>
      <w:r>
        <w:rPr>
          <w:color w:val="231F20"/>
        </w:rPr>
        <w:t>ван</w:t>
      </w:r>
      <w:r>
        <w:rPr>
          <w:color w:val="231F20"/>
          <w:spacing w:val="-7"/>
        </w:rPr>
        <w:t> </w:t>
      </w:r>
      <w:r>
        <w:rPr>
          <w:color w:val="231F20"/>
        </w:rPr>
        <w:t>Планског</w:t>
      </w:r>
      <w:r>
        <w:rPr>
          <w:color w:val="231F20"/>
          <w:spacing w:val="-7"/>
        </w:rPr>
        <w:t> </w:t>
      </w:r>
      <w:r>
        <w:rPr>
          <w:color w:val="231F20"/>
        </w:rPr>
        <w:t>подручја,</w:t>
      </w:r>
      <w:r>
        <w:rPr>
          <w:color w:val="231F20"/>
          <w:spacing w:val="-7"/>
        </w:rPr>
        <w:t> </w:t>
      </w:r>
      <w:r>
        <w:rPr>
          <w:color w:val="231F20"/>
        </w:rPr>
        <w:t>на</w:t>
      </w:r>
      <w:r>
        <w:rPr>
          <w:color w:val="231F20"/>
          <w:spacing w:val="-7"/>
        </w:rPr>
        <w:t> </w:t>
      </w:r>
      <w:r>
        <w:rPr>
          <w:color w:val="231F20"/>
        </w:rPr>
        <w:t>овим</w:t>
      </w:r>
      <w:r>
        <w:rPr>
          <w:color w:val="231F20"/>
          <w:spacing w:val="-7"/>
        </w:rPr>
        <w:t> </w:t>
      </w:r>
      <w:r>
        <w:rPr>
          <w:color w:val="231F20"/>
        </w:rPr>
        <w:t>просторима</w:t>
      </w:r>
      <w:r>
        <w:rPr>
          <w:color w:val="231F20"/>
          <w:spacing w:val="-7"/>
        </w:rPr>
        <w:t> </w:t>
      </w:r>
      <w:r>
        <w:rPr>
          <w:color w:val="231F20"/>
        </w:rPr>
        <w:t>пла- ниране су трансфер станице. Локације трансфер станица и реци- клажних дворишта неопходно је да задовоље </w:t>
      </w:r>
      <w:r>
        <w:rPr>
          <w:color w:val="231F20"/>
          <w:spacing w:val="-4"/>
        </w:rPr>
        <w:t>неколико </w:t>
      </w:r>
      <w:r>
        <w:rPr>
          <w:color w:val="231F20"/>
        </w:rPr>
        <w:t>основних услова и</w:t>
      </w:r>
      <w:r>
        <w:rPr>
          <w:color w:val="231F20"/>
          <w:spacing w:val="-2"/>
        </w:rPr>
        <w:t> </w:t>
      </w:r>
      <w:r>
        <w:rPr>
          <w:color w:val="231F20"/>
        </w:rPr>
        <w:t>то:</w:t>
      </w:r>
    </w:p>
    <w:p>
      <w:pPr>
        <w:pStyle w:val="BodyText"/>
        <w:spacing w:line="193" w:lineRule="exact"/>
        <w:ind w:left="851"/>
        <w:jc w:val="left"/>
      </w:pPr>
      <w:r>
        <w:rPr>
          <w:color w:val="231F20"/>
          <w:w w:val="66"/>
        </w:rPr>
        <w:t> </w:t>
      </w:r>
      <w:r>
        <w:rPr>
          <w:color w:val="231F20"/>
        </w:rPr>
        <w:t>– најмање 500 m удаљене од најближих стамбених насеља;</w:t>
      </w:r>
    </w:p>
    <w:p>
      <w:pPr>
        <w:pStyle w:val="BodyText"/>
        <w:spacing w:line="230" w:lineRule="auto" w:before="3"/>
        <w:ind w:left="454" w:firstLine="396"/>
      </w:pPr>
      <w:r>
        <w:rPr>
          <w:color w:val="231F20"/>
          <w:w w:val="66"/>
        </w:rPr>
        <w:t> </w:t>
      </w:r>
      <w:r>
        <w:rPr>
          <w:color w:val="231F20"/>
        </w:rPr>
        <w:t>– најмање 1.000 m од водотока или изворишта водоснабде- вања;</w:t>
      </w:r>
    </w:p>
    <w:p>
      <w:pPr>
        <w:pStyle w:val="BodyText"/>
        <w:spacing w:line="230" w:lineRule="auto"/>
        <w:ind w:left="454" w:firstLine="397"/>
      </w:pPr>
      <w:r>
        <w:rPr>
          <w:color w:val="231F20"/>
          <w:w w:val="66"/>
        </w:rPr>
        <w:t> </w:t>
      </w:r>
      <w:r>
        <w:rPr>
          <w:color w:val="231F20"/>
        </w:rPr>
        <w:t>– најмање 500 m од зона заштите културно-историјских спо- меника;</w:t>
      </w:r>
    </w:p>
    <w:p>
      <w:pPr>
        <w:pStyle w:val="BodyText"/>
        <w:spacing w:line="230" w:lineRule="auto"/>
        <w:ind w:left="454" w:firstLine="397"/>
      </w:pPr>
      <w:r>
        <w:rPr>
          <w:color w:val="231F20"/>
          <w:w w:val="66"/>
        </w:rPr>
        <w:t> </w:t>
      </w:r>
      <w:r>
        <w:rPr>
          <w:color w:val="231F20"/>
        </w:rPr>
        <w:t>– најмање 2 km од здравствене станице и других медицин- ских центара са стационарним пацијентима;</w:t>
      </w:r>
    </w:p>
    <w:p>
      <w:pPr>
        <w:pStyle w:val="BodyText"/>
        <w:spacing w:line="230" w:lineRule="auto"/>
        <w:ind w:left="454" w:firstLine="396"/>
      </w:pPr>
      <w:r>
        <w:rPr>
          <w:color w:val="231F20"/>
          <w:w w:val="66"/>
        </w:rPr>
        <w:t> </w:t>
      </w:r>
      <w:r>
        <w:rPr>
          <w:color w:val="231F20"/>
        </w:rPr>
        <w:t>– најмање 500 m удаљена од аутобуских станица, складишта запаљивих материја и војних објеката и</w:t>
      </w:r>
    </w:p>
    <w:p>
      <w:pPr>
        <w:pStyle w:val="BodyText"/>
        <w:spacing w:line="230" w:lineRule="auto"/>
        <w:ind w:left="454" w:firstLine="397"/>
      </w:pPr>
      <w:r>
        <w:rPr>
          <w:color w:val="231F20"/>
          <w:w w:val="66"/>
        </w:rPr>
        <w:t> </w:t>
      </w:r>
      <w:r>
        <w:rPr>
          <w:color w:val="231F20"/>
        </w:rPr>
        <w:t>– препоручује се да се рециклажна дворишта лоцирају на ободима села (на већ постојећим „дивљим” депонијама), по мо- гућности на саобраћајним правцима према регионалној депонији</w:t>
      </w:r>
    </w:p>
    <w:p>
      <w:pPr>
        <w:pStyle w:val="BodyText"/>
        <w:spacing w:line="230" w:lineRule="auto"/>
        <w:ind w:left="454"/>
      </w:pPr>
      <w:r>
        <w:rPr>
          <w:color w:val="231F20"/>
        </w:rPr>
        <w:t>„Рашанац” (или алтернативној локацији за регионалну депонију), односно, трансфер станицама.</w:t>
      </w:r>
    </w:p>
    <w:p>
      <w:pPr>
        <w:pStyle w:val="ListParagraph"/>
        <w:numPr>
          <w:ilvl w:val="3"/>
          <w:numId w:val="50"/>
        </w:numPr>
        <w:tabs>
          <w:tab w:pos="1302" w:val="left" w:leader="none"/>
        </w:tabs>
        <w:spacing w:line="240" w:lineRule="auto" w:before="156" w:after="0"/>
        <w:ind w:left="1301" w:right="0" w:hanging="405"/>
        <w:jc w:val="left"/>
        <w:rPr>
          <w:i/>
          <w:sz w:val="18"/>
        </w:rPr>
      </w:pPr>
      <w:r>
        <w:rPr>
          <w:i/>
          <w:color w:val="231F20"/>
          <w:sz w:val="18"/>
        </w:rPr>
        <w:t>Рекултивација и уређење деградираних</w:t>
      </w:r>
      <w:r>
        <w:rPr>
          <w:i/>
          <w:color w:val="231F20"/>
          <w:spacing w:val="-8"/>
          <w:sz w:val="18"/>
        </w:rPr>
        <w:t> </w:t>
      </w:r>
      <w:r>
        <w:rPr>
          <w:i/>
          <w:color w:val="231F20"/>
          <w:sz w:val="18"/>
        </w:rPr>
        <w:t>простора</w:t>
      </w:r>
    </w:p>
    <w:p>
      <w:pPr>
        <w:pStyle w:val="BodyText"/>
        <w:spacing w:before="1"/>
        <w:ind w:left="0"/>
        <w:jc w:val="left"/>
        <w:rPr>
          <w:i/>
          <w:sz w:val="17"/>
        </w:rPr>
      </w:pPr>
    </w:p>
    <w:p>
      <w:pPr>
        <w:pStyle w:val="BodyText"/>
        <w:spacing w:line="230" w:lineRule="auto"/>
        <w:ind w:left="454" w:firstLine="397"/>
      </w:pPr>
      <w:r>
        <w:rPr>
          <w:color w:val="231F20"/>
        </w:rPr>
        <w:t>Планска решења се заснивају на мултидисциплинарном приступу целовитој природној, економској, естетској и функци- оналној рехабилитацији предела нарушених радом рудника и електрана, применом најбољег доступног знања у поступцима пројектовања и извођења потребних радова на: ремедијацији за- гађених локалитета; техничкој рекултивацији деградираних повр- шина; обнављању екосистемских, производних и других важних функција земљишта; и инфраструктурном опремању ревитализо- ваног простора.</w:t>
      </w:r>
    </w:p>
    <w:p>
      <w:pPr>
        <w:pStyle w:val="BodyText"/>
        <w:spacing w:line="230" w:lineRule="auto"/>
        <w:ind w:left="454" w:firstLine="396"/>
      </w:pPr>
      <w:r>
        <w:rPr>
          <w:color w:val="231F20"/>
        </w:rPr>
        <w:t>Заштита вода и геосредине </w:t>
      </w:r>
      <w:r>
        <w:rPr>
          <w:color w:val="231F20"/>
          <w:spacing w:val="-3"/>
        </w:rPr>
        <w:t>од </w:t>
      </w:r>
      <w:r>
        <w:rPr>
          <w:color w:val="231F20"/>
        </w:rPr>
        <w:t>штетних утицаја одлагалишта пепела и шљаке, као и </w:t>
      </w:r>
      <w:r>
        <w:rPr>
          <w:color w:val="231F20"/>
          <w:spacing w:val="-3"/>
        </w:rPr>
        <w:t>од </w:t>
      </w:r>
      <w:r>
        <w:rPr>
          <w:color w:val="231F20"/>
        </w:rPr>
        <w:t>евентуалних акцидената у току експлоа- тације минералних сировина, истраживања нафте и гаса и слично, обезбедиће се применом </w:t>
      </w:r>
      <w:r>
        <w:rPr>
          <w:i/>
          <w:color w:val="231F20"/>
        </w:rPr>
        <w:t>иновативних технологија ремедијације, </w:t>
      </w:r>
      <w:r>
        <w:rPr>
          <w:color w:val="231F20"/>
          <w:spacing w:val="-3"/>
        </w:rPr>
        <w:t>које</w:t>
      </w:r>
      <w:r>
        <w:rPr>
          <w:color w:val="231F20"/>
          <w:spacing w:val="-9"/>
        </w:rPr>
        <w:t> </w:t>
      </w:r>
      <w:r>
        <w:rPr>
          <w:color w:val="231F20"/>
        </w:rPr>
        <w:t>су</w:t>
      </w:r>
      <w:r>
        <w:rPr>
          <w:color w:val="231F20"/>
          <w:spacing w:val="-9"/>
        </w:rPr>
        <w:t> </w:t>
      </w:r>
      <w:r>
        <w:rPr>
          <w:color w:val="231F20"/>
        </w:rPr>
        <w:t>одрживе</w:t>
      </w:r>
      <w:r>
        <w:rPr>
          <w:color w:val="231F20"/>
          <w:spacing w:val="-9"/>
        </w:rPr>
        <w:t> </w:t>
      </w:r>
      <w:r>
        <w:rPr>
          <w:color w:val="231F20"/>
        </w:rPr>
        <w:t>и</w:t>
      </w:r>
      <w:r>
        <w:rPr>
          <w:color w:val="231F20"/>
          <w:spacing w:val="-9"/>
        </w:rPr>
        <w:t> </w:t>
      </w:r>
      <w:r>
        <w:rPr>
          <w:color w:val="231F20"/>
        </w:rPr>
        <w:t>еколошки</w:t>
      </w:r>
      <w:r>
        <w:rPr>
          <w:color w:val="231F20"/>
          <w:spacing w:val="-9"/>
        </w:rPr>
        <w:t> </w:t>
      </w:r>
      <w:r>
        <w:rPr>
          <w:color w:val="231F20"/>
        </w:rPr>
        <w:t>безбедне,</w:t>
      </w:r>
      <w:r>
        <w:rPr>
          <w:color w:val="231F20"/>
          <w:spacing w:val="-9"/>
        </w:rPr>
        <w:t> </w:t>
      </w:r>
      <w:r>
        <w:rPr>
          <w:color w:val="231F20"/>
        </w:rPr>
        <w:t>имају</w:t>
      </w:r>
      <w:r>
        <w:rPr>
          <w:color w:val="231F20"/>
          <w:spacing w:val="-9"/>
        </w:rPr>
        <w:t> </w:t>
      </w:r>
      <w:r>
        <w:rPr>
          <w:color w:val="231F20"/>
        </w:rPr>
        <w:t>минималан</w:t>
      </w:r>
      <w:r>
        <w:rPr>
          <w:color w:val="231F20"/>
          <w:spacing w:val="-9"/>
        </w:rPr>
        <w:t> </w:t>
      </w:r>
      <w:r>
        <w:rPr>
          <w:color w:val="231F20"/>
        </w:rPr>
        <w:t>негативни утицај на животну </w:t>
      </w:r>
      <w:r>
        <w:rPr>
          <w:color w:val="231F20"/>
          <w:spacing w:val="-3"/>
        </w:rPr>
        <w:t>средину, </w:t>
      </w:r>
      <w:r>
        <w:rPr>
          <w:color w:val="231F20"/>
        </w:rPr>
        <w:t>одликују се малом потрошњом енер- гије и необновљивих ресурса, економски су</w:t>
      </w:r>
      <w:r>
        <w:rPr>
          <w:color w:val="231F20"/>
          <w:spacing w:val="-10"/>
        </w:rPr>
        <w:t> </w:t>
      </w:r>
      <w:r>
        <w:rPr>
          <w:color w:val="231F20"/>
        </w:rPr>
        <w:t>рентабилне.</w:t>
      </w:r>
    </w:p>
    <w:p>
      <w:pPr>
        <w:pStyle w:val="BodyText"/>
        <w:spacing w:line="230" w:lineRule="auto"/>
        <w:ind w:left="454" w:firstLine="396"/>
      </w:pPr>
      <w:r>
        <w:rPr>
          <w:color w:val="231F20"/>
        </w:rPr>
        <w:t>У току спровођења </w:t>
      </w:r>
      <w:r>
        <w:rPr>
          <w:i/>
          <w:color w:val="231F20"/>
        </w:rPr>
        <w:t>техничке рекултивација </w:t>
      </w:r>
      <w:r>
        <w:rPr>
          <w:color w:val="231F20"/>
        </w:rPr>
        <w:t>треба примењи- </w:t>
      </w:r>
      <w:r>
        <w:rPr>
          <w:color w:val="231F20"/>
          <w:spacing w:val="-3"/>
        </w:rPr>
        <w:t>вати </w:t>
      </w:r>
      <w:r>
        <w:rPr>
          <w:color w:val="231F20"/>
        </w:rPr>
        <w:t>решења </w:t>
      </w:r>
      <w:r>
        <w:rPr>
          <w:color w:val="231F20"/>
          <w:spacing w:val="-3"/>
        </w:rPr>
        <w:t>којима </w:t>
      </w:r>
      <w:r>
        <w:rPr>
          <w:color w:val="231F20"/>
        </w:rPr>
        <w:t>се обезбеђује успешан </w:t>
      </w:r>
      <w:r>
        <w:rPr>
          <w:color w:val="231F20"/>
          <w:spacing w:val="-4"/>
        </w:rPr>
        <w:t>исход </w:t>
      </w:r>
      <w:r>
        <w:rPr>
          <w:color w:val="231F20"/>
        </w:rPr>
        <w:t>биолошке </w:t>
      </w:r>
      <w:r>
        <w:rPr>
          <w:color w:val="231F20"/>
          <w:spacing w:val="-2"/>
        </w:rPr>
        <w:t>рекул- </w:t>
      </w:r>
      <w:r>
        <w:rPr>
          <w:color w:val="231F20"/>
        </w:rPr>
        <w:t>тивације, поштовањем следећих правила:</w:t>
      </w:r>
    </w:p>
    <w:p>
      <w:pPr>
        <w:pStyle w:val="BodyText"/>
        <w:spacing w:line="230" w:lineRule="auto"/>
        <w:ind w:left="454" w:firstLine="396"/>
      </w:pPr>
      <w:r>
        <w:rPr>
          <w:color w:val="231F20"/>
          <w:w w:val="66"/>
        </w:rPr>
        <w:t> </w:t>
      </w:r>
      <w:r>
        <w:rPr>
          <w:color w:val="231F20"/>
        </w:rPr>
        <w:t>– насипање одлагалишта треба извршити тако да се јалови- на неповољног хемијског, физичког и литолошког састава, као и евентуални други штетни материјали, депонују у ниже/унутра- шње делове, а супстрат бољих физичко-хемијских особина у ви- ше/надземне делове одлагалишта;</w:t>
      </w:r>
    </w:p>
    <w:p>
      <w:pPr>
        <w:pStyle w:val="BodyText"/>
        <w:spacing w:line="232" w:lineRule="auto" w:before="74"/>
        <w:ind w:left="243" w:right="127" w:firstLine="396"/>
      </w:pPr>
      <w:r>
        <w:rPr/>
        <w:br w:type="column"/>
      </w:r>
      <w:r>
        <w:rPr>
          <w:color w:val="231F20"/>
          <w:w w:val="66"/>
        </w:rPr>
        <w:t> </w:t>
      </w:r>
      <w:r>
        <w:rPr>
          <w:color w:val="231F20"/>
        </w:rPr>
        <w:t>– </w:t>
      </w:r>
      <w:r>
        <w:rPr>
          <w:color w:val="231F20"/>
          <w:spacing w:val="-3"/>
        </w:rPr>
        <w:t>откопани </w:t>
      </w:r>
      <w:r>
        <w:rPr>
          <w:color w:val="231F20"/>
        </w:rPr>
        <w:t>слој </w:t>
      </w:r>
      <w:r>
        <w:rPr>
          <w:color w:val="231F20"/>
          <w:spacing w:val="-3"/>
        </w:rPr>
        <w:t>хумусног </w:t>
      </w:r>
      <w:r>
        <w:rPr>
          <w:color w:val="231F20"/>
        </w:rPr>
        <w:t>земљишта наноси се на површин- ски</w:t>
      </w:r>
      <w:r>
        <w:rPr>
          <w:color w:val="231F20"/>
          <w:spacing w:val="-13"/>
        </w:rPr>
        <w:t> </w:t>
      </w:r>
      <w:r>
        <w:rPr>
          <w:color w:val="231F20"/>
        </w:rPr>
        <w:t>део</w:t>
      </w:r>
      <w:r>
        <w:rPr>
          <w:color w:val="231F20"/>
          <w:spacing w:val="-13"/>
        </w:rPr>
        <w:t> </w:t>
      </w:r>
      <w:r>
        <w:rPr>
          <w:color w:val="231F20"/>
        </w:rPr>
        <w:t>одлагалишта,</w:t>
      </w:r>
      <w:r>
        <w:rPr>
          <w:color w:val="231F20"/>
          <w:spacing w:val="-13"/>
        </w:rPr>
        <w:t> </w:t>
      </w:r>
      <w:r>
        <w:rPr>
          <w:color w:val="231F20"/>
        </w:rPr>
        <w:t>на</w:t>
      </w:r>
      <w:r>
        <w:rPr>
          <w:color w:val="231F20"/>
          <w:spacing w:val="-13"/>
        </w:rPr>
        <w:t> </w:t>
      </w:r>
      <w:r>
        <w:rPr>
          <w:color w:val="231F20"/>
        </w:rPr>
        <w:t>самом</w:t>
      </w:r>
      <w:r>
        <w:rPr>
          <w:color w:val="231F20"/>
          <w:spacing w:val="-13"/>
        </w:rPr>
        <w:t> </w:t>
      </w:r>
      <w:r>
        <w:rPr>
          <w:color w:val="231F20"/>
        </w:rPr>
        <w:t>завршетку</w:t>
      </w:r>
      <w:r>
        <w:rPr>
          <w:color w:val="231F20"/>
          <w:spacing w:val="-13"/>
        </w:rPr>
        <w:t> </w:t>
      </w:r>
      <w:r>
        <w:rPr>
          <w:color w:val="231F20"/>
        </w:rPr>
        <w:t>техничке</w:t>
      </w:r>
      <w:r>
        <w:rPr>
          <w:color w:val="231F20"/>
          <w:spacing w:val="-13"/>
        </w:rPr>
        <w:t> </w:t>
      </w:r>
      <w:r>
        <w:rPr>
          <w:color w:val="231F20"/>
        </w:rPr>
        <w:t>рекултивације;</w:t>
      </w:r>
    </w:p>
    <w:p>
      <w:pPr>
        <w:pStyle w:val="BodyText"/>
        <w:spacing w:line="232" w:lineRule="auto"/>
        <w:ind w:left="243" w:right="127" w:firstLine="396"/>
      </w:pPr>
      <w:r>
        <w:rPr>
          <w:color w:val="231F20"/>
          <w:w w:val="66"/>
        </w:rPr>
        <w:t> </w:t>
      </w:r>
      <w:r>
        <w:rPr>
          <w:color w:val="231F20"/>
        </w:rPr>
        <w:t>– грубо обликовање завршних косина спроводи се током це- лог века површинске експлоатације лигнитских лежишта, пројек- товањем нагиба радних косина са одговарајућим фактором сигур- ности;</w:t>
      </w:r>
    </w:p>
    <w:p>
      <w:pPr>
        <w:pStyle w:val="BodyText"/>
        <w:spacing w:line="232" w:lineRule="auto"/>
        <w:ind w:left="243" w:right="126" w:firstLine="396"/>
      </w:pPr>
      <w:r>
        <w:rPr>
          <w:color w:val="231F20"/>
          <w:w w:val="66"/>
        </w:rPr>
        <w:t> </w:t>
      </w:r>
      <w:r>
        <w:rPr>
          <w:color w:val="231F20"/>
        </w:rPr>
        <w:t>– у </w:t>
      </w:r>
      <w:r>
        <w:rPr>
          <w:color w:val="231F20"/>
          <w:spacing w:val="-3"/>
        </w:rPr>
        <w:t>коначно обликовање </w:t>
      </w:r>
      <w:r>
        <w:rPr>
          <w:color w:val="231F20"/>
        </w:rPr>
        <w:t>косина морају се укључити одгова- рајући технички радови за спречавање </w:t>
      </w:r>
      <w:r>
        <w:rPr>
          <w:color w:val="231F20"/>
          <w:spacing w:val="-3"/>
        </w:rPr>
        <w:t>наглог </w:t>
      </w:r>
      <w:r>
        <w:rPr>
          <w:color w:val="231F20"/>
        </w:rPr>
        <w:t>отицања воде и </w:t>
      </w:r>
      <w:r>
        <w:rPr>
          <w:color w:val="231F20"/>
          <w:spacing w:val="-3"/>
        </w:rPr>
        <w:t>зау- </w:t>
      </w:r>
      <w:r>
        <w:rPr>
          <w:color w:val="231F20"/>
        </w:rPr>
        <w:t>стављање њеног ерозионог дејства, попут малих земљаних брана (берми), контурних рустикалних зидића </w:t>
      </w:r>
      <w:r>
        <w:rPr>
          <w:color w:val="231F20"/>
          <w:spacing w:val="-3"/>
        </w:rPr>
        <w:t>од </w:t>
      </w:r>
      <w:r>
        <w:rPr>
          <w:color w:val="231F20"/>
        </w:rPr>
        <w:t>камена, рустикалних преградица </w:t>
      </w:r>
      <w:r>
        <w:rPr>
          <w:color w:val="231F20"/>
          <w:spacing w:val="-3"/>
        </w:rPr>
        <w:t>од </w:t>
      </w:r>
      <w:r>
        <w:rPr>
          <w:color w:val="231F20"/>
        </w:rPr>
        <w:t>камена, контурних тераса (градона); контурних</w:t>
      </w:r>
      <w:r>
        <w:rPr>
          <w:color w:val="231F20"/>
          <w:spacing w:val="-30"/>
        </w:rPr>
        <w:t> </w:t>
      </w:r>
      <w:r>
        <w:rPr>
          <w:color w:val="231F20"/>
        </w:rPr>
        <w:t>јар- </w:t>
      </w:r>
      <w:r>
        <w:rPr>
          <w:color w:val="231F20"/>
          <w:spacing w:val="-3"/>
        </w:rPr>
        <w:t>кова; </w:t>
      </w:r>
      <w:r>
        <w:rPr>
          <w:color w:val="231F20"/>
        </w:rPr>
        <w:t>разних врста плетера, па и шкарпирања </w:t>
      </w:r>
      <w:r>
        <w:rPr>
          <w:color w:val="231F20"/>
          <w:spacing w:val="-3"/>
        </w:rPr>
        <w:t>јако </w:t>
      </w:r>
      <w:r>
        <w:rPr>
          <w:color w:val="231F20"/>
        </w:rPr>
        <w:t>нагнутих повр- ши на усеку или</w:t>
      </w:r>
      <w:r>
        <w:rPr>
          <w:color w:val="231F20"/>
          <w:spacing w:val="-4"/>
        </w:rPr>
        <w:t> </w:t>
      </w:r>
      <w:r>
        <w:rPr>
          <w:color w:val="231F20"/>
        </w:rPr>
        <w:t>наситу;</w:t>
      </w:r>
    </w:p>
    <w:p>
      <w:pPr>
        <w:pStyle w:val="BodyText"/>
        <w:spacing w:line="232" w:lineRule="auto"/>
        <w:ind w:left="244" w:right="126" w:firstLine="397"/>
      </w:pPr>
      <w:r>
        <w:rPr>
          <w:color w:val="231F20"/>
          <w:w w:val="66"/>
        </w:rPr>
        <w:t> </w:t>
      </w:r>
      <w:r>
        <w:rPr>
          <w:color w:val="231F20"/>
        </w:rPr>
        <w:t>– при завршном обликовању/равнању косина и платоа одла- галишта спроводи се парцелисање простора, уз посебно уважава- ње услова за изградњу пољских, односно шумских путева;</w:t>
      </w:r>
    </w:p>
    <w:p>
      <w:pPr>
        <w:pStyle w:val="BodyText"/>
        <w:spacing w:line="232" w:lineRule="auto"/>
        <w:ind w:left="243" w:right="126" w:firstLine="397"/>
      </w:pPr>
      <w:r>
        <w:rPr>
          <w:color w:val="231F20"/>
          <w:w w:val="66"/>
        </w:rPr>
        <w:t> </w:t>
      </w:r>
      <w:r>
        <w:rPr>
          <w:color w:val="231F20"/>
        </w:rPr>
        <w:t>– обавезна је изградња приступних путева од тврде подло- ге, довољно широких и са успонима који дозвољавају несметано кретање механизације за редовно обрађивање пољопривредног земљишта, односно обављање одговарајућих мера неге шумских засада; и</w:t>
      </w:r>
    </w:p>
    <w:p>
      <w:pPr>
        <w:pStyle w:val="BodyText"/>
        <w:spacing w:line="232" w:lineRule="auto"/>
        <w:ind w:left="243" w:right="127" w:firstLine="397"/>
      </w:pPr>
      <w:r>
        <w:rPr>
          <w:color w:val="231F20"/>
          <w:w w:val="66"/>
        </w:rPr>
        <w:t> </w:t>
      </w:r>
      <w:r>
        <w:rPr>
          <w:color w:val="231F20"/>
        </w:rPr>
        <w:t>– треба водити рачуна о локалним хидролошким ограниче- њима и потенцијалима за изградње одговарајуће хидротехничке инфраструктуре, односно објеката за наводњавање.</w:t>
      </w:r>
    </w:p>
    <w:p>
      <w:pPr>
        <w:pStyle w:val="BodyText"/>
        <w:spacing w:line="232" w:lineRule="auto"/>
        <w:ind w:left="242" w:right="127" w:firstLine="397"/>
      </w:pPr>
      <w:r>
        <w:rPr>
          <w:color w:val="231F20"/>
        </w:rPr>
        <w:t>При спровођењу </w:t>
      </w:r>
      <w:r>
        <w:rPr>
          <w:i/>
          <w:color w:val="231F20"/>
        </w:rPr>
        <w:t>биолошке рекултивације </w:t>
      </w:r>
      <w:r>
        <w:rPr>
          <w:color w:val="231F20"/>
        </w:rPr>
        <w:t>неопходно је вође- ње</w:t>
      </w:r>
      <w:r>
        <w:rPr>
          <w:color w:val="231F20"/>
          <w:spacing w:val="-6"/>
        </w:rPr>
        <w:t> </w:t>
      </w:r>
      <w:r>
        <w:rPr>
          <w:color w:val="231F20"/>
        </w:rPr>
        <w:t>рачуна</w:t>
      </w:r>
      <w:r>
        <w:rPr>
          <w:color w:val="231F20"/>
          <w:spacing w:val="-6"/>
        </w:rPr>
        <w:t> </w:t>
      </w:r>
      <w:r>
        <w:rPr>
          <w:color w:val="231F20"/>
        </w:rPr>
        <w:t>о</w:t>
      </w:r>
      <w:r>
        <w:rPr>
          <w:color w:val="231F20"/>
          <w:spacing w:val="-6"/>
        </w:rPr>
        <w:t> </w:t>
      </w:r>
      <w:r>
        <w:rPr>
          <w:color w:val="231F20"/>
        </w:rPr>
        <w:t>обезбеђењу</w:t>
      </w:r>
      <w:r>
        <w:rPr>
          <w:color w:val="231F20"/>
          <w:spacing w:val="-6"/>
        </w:rPr>
        <w:t> </w:t>
      </w:r>
      <w:r>
        <w:rPr>
          <w:color w:val="231F20"/>
        </w:rPr>
        <w:t>услова</w:t>
      </w:r>
      <w:r>
        <w:rPr>
          <w:color w:val="231F20"/>
          <w:spacing w:val="-6"/>
        </w:rPr>
        <w:t> </w:t>
      </w:r>
      <w:r>
        <w:rPr>
          <w:color w:val="231F20"/>
        </w:rPr>
        <w:t>за</w:t>
      </w:r>
      <w:r>
        <w:rPr>
          <w:color w:val="231F20"/>
          <w:spacing w:val="-6"/>
        </w:rPr>
        <w:t> </w:t>
      </w:r>
      <w:r>
        <w:rPr>
          <w:color w:val="231F20"/>
        </w:rPr>
        <w:t>сукцесивно</w:t>
      </w:r>
      <w:r>
        <w:rPr>
          <w:color w:val="231F20"/>
          <w:spacing w:val="-6"/>
        </w:rPr>
        <w:t> </w:t>
      </w:r>
      <w:r>
        <w:rPr>
          <w:color w:val="231F20"/>
        </w:rPr>
        <w:t>повећавање</w:t>
      </w:r>
      <w:r>
        <w:rPr>
          <w:color w:val="231F20"/>
          <w:spacing w:val="-6"/>
        </w:rPr>
        <w:t> </w:t>
      </w:r>
      <w:r>
        <w:rPr>
          <w:color w:val="231F20"/>
        </w:rPr>
        <w:t>садржа- ја органске материје и активности микроорганизама у </w:t>
      </w:r>
      <w:r>
        <w:rPr>
          <w:color w:val="231F20"/>
          <w:spacing w:val="-3"/>
        </w:rPr>
        <w:t>земљишту, </w:t>
      </w:r>
      <w:r>
        <w:rPr>
          <w:color w:val="231F20"/>
        </w:rPr>
        <w:t>као</w:t>
      </w:r>
      <w:r>
        <w:rPr>
          <w:color w:val="231F20"/>
          <w:spacing w:val="-6"/>
        </w:rPr>
        <w:t> </w:t>
      </w:r>
      <w:r>
        <w:rPr>
          <w:color w:val="231F20"/>
        </w:rPr>
        <w:t>и</w:t>
      </w:r>
      <w:r>
        <w:rPr>
          <w:color w:val="231F20"/>
          <w:spacing w:val="-6"/>
        </w:rPr>
        <w:t> </w:t>
      </w:r>
      <w:r>
        <w:rPr>
          <w:color w:val="231F20"/>
        </w:rPr>
        <w:t>о</w:t>
      </w:r>
      <w:r>
        <w:rPr>
          <w:color w:val="231F20"/>
          <w:spacing w:val="-6"/>
        </w:rPr>
        <w:t> </w:t>
      </w:r>
      <w:r>
        <w:rPr>
          <w:color w:val="231F20"/>
        </w:rPr>
        <w:t>поправљању</w:t>
      </w:r>
      <w:r>
        <w:rPr>
          <w:color w:val="231F20"/>
          <w:spacing w:val="-6"/>
        </w:rPr>
        <w:t> </w:t>
      </w:r>
      <w:r>
        <w:rPr>
          <w:color w:val="231F20"/>
        </w:rPr>
        <w:t>његових</w:t>
      </w:r>
      <w:r>
        <w:rPr>
          <w:color w:val="231F20"/>
          <w:spacing w:val="-6"/>
        </w:rPr>
        <w:t> </w:t>
      </w:r>
      <w:r>
        <w:rPr>
          <w:color w:val="231F20"/>
        </w:rPr>
        <w:t>физичких</w:t>
      </w:r>
      <w:r>
        <w:rPr>
          <w:color w:val="231F20"/>
          <w:spacing w:val="-6"/>
        </w:rPr>
        <w:t> </w:t>
      </w:r>
      <w:r>
        <w:rPr>
          <w:color w:val="231F20"/>
        </w:rPr>
        <w:t>и</w:t>
      </w:r>
      <w:r>
        <w:rPr>
          <w:color w:val="231F20"/>
          <w:spacing w:val="-6"/>
        </w:rPr>
        <w:t> </w:t>
      </w:r>
      <w:r>
        <w:rPr>
          <w:color w:val="231F20"/>
        </w:rPr>
        <w:t>хемијских</w:t>
      </w:r>
      <w:r>
        <w:rPr>
          <w:color w:val="231F20"/>
          <w:spacing w:val="-6"/>
        </w:rPr>
        <w:t> </w:t>
      </w:r>
      <w:r>
        <w:rPr>
          <w:color w:val="231F20"/>
        </w:rPr>
        <w:t>карактеристи- ка. </w:t>
      </w:r>
      <w:r>
        <w:rPr>
          <w:color w:val="231F20"/>
          <w:spacing w:val="-7"/>
        </w:rPr>
        <w:t>То </w:t>
      </w:r>
      <w:r>
        <w:rPr>
          <w:color w:val="231F20"/>
        </w:rPr>
        <w:t>се, у </w:t>
      </w:r>
      <w:r>
        <w:rPr>
          <w:color w:val="231F20"/>
          <w:spacing w:val="-3"/>
        </w:rPr>
        <w:t>принципу, </w:t>
      </w:r>
      <w:r>
        <w:rPr>
          <w:color w:val="231F20"/>
        </w:rPr>
        <w:t>обезбеђује наношењем хумусног хоризонта после равнања одлагалишта, а затим заоравањем усева (легуми- нозе, травне смеше, кукуруз, јечам и друго) у периоду </w:t>
      </w:r>
      <w:r>
        <w:rPr>
          <w:color w:val="231F20"/>
          <w:spacing w:val="-3"/>
        </w:rPr>
        <w:t>од </w:t>
      </w:r>
      <w:r>
        <w:rPr>
          <w:color w:val="231F20"/>
        </w:rPr>
        <w:t>три до пет година. Нарочита пажња се мора поклонити антиерозионој заштити и биолошкој обнови косина одлагалишта, сејањем ле- гуминозних смеша, </w:t>
      </w:r>
      <w:r>
        <w:rPr>
          <w:color w:val="231F20"/>
          <w:spacing w:val="-3"/>
        </w:rPr>
        <w:t>које </w:t>
      </w:r>
      <w:r>
        <w:rPr>
          <w:color w:val="231F20"/>
        </w:rPr>
        <w:t>повољно утичу на раст </w:t>
      </w:r>
      <w:r>
        <w:rPr>
          <w:color w:val="231F20"/>
          <w:spacing w:val="-3"/>
        </w:rPr>
        <w:t>жбуња </w:t>
      </w:r>
      <w:r>
        <w:rPr>
          <w:color w:val="231F20"/>
        </w:rPr>
        <w:t>и дрвећа. Заштитна функција шумских засада долази до изражаја тек после </w:t>
      </w:r>
      <w:r>
        <w:rPr>
          <w:color w:val="231F20"/>
          <w:spacing w:val="-4"/>
        </w:rPr>
        <w:t>неколико </w:t>
      </w:r>
      <w:r>
        <w:rPr>
          <w:color w:val="231F20"/>
        </w:rPr>
        <w:t>година, </w:t>
      </w:r>
      <w:r>
        <w:rPr>
          <w:color w:val="231F20"/>
          <w:spacing w:val="-3"/>
        </w:rPr>
        <w:t>након </w:t>
      </w:r>
      <w:r>
        <w:rPr>
          <w:color w:val="231F20"/>
        </w:rPr>
        <w:t>затварања склопа крошњи.</w:t>
      </w:r>
    </w:p>
    <w:p>
      <w:pPr>
        <w:pStyle w:val="BodyText"/>
        <w:spacing w:line="232" w:lineRule="auto"/>
        <w:ind w:left="242" w:right="127" w:firstLine="397"/>
      </w:pPr>
      <w:r>
        <w:rPr>
          <w:color w:val="231F20"/>
        </w:rPr>
        <w:t>Од </w:t>
      </w:r>
      <w:r>
        <w:rPr>
          <w:i/>
          <w:color w:val="231F20"/>
        </w:rPr>
        <w:t>природних фактора </w:t>
      </w:r>
      <w:r>
        <w:rPr>
          <w:color w:val="231F20"/>
          <w:spacing w:val="-3"/>
        </w:rPr>
        <w:t>који </w:t>
      </w:r>
      <w:r>
        <w:rPr>
          <w:color w:val="231F20"/>
        </w:rPr>
        <w:t>детерминишу правце биолошке рекултивације одлагалишта јаловине, највећи значај имају хидро- лошки услови, конфигурација терена, посебно нагиб на падинама, клима и доступност до педогенетског супстрата, што практично зависи </w:t>
      </w:r>
      <w:r>
        <w:rPr>
          <w:color w:val="231F20"/>
          <w:spacing w:val="-3"/>
        </w:rPr>
        <w:t>од </w:t>
      </w:r>
      <w:r>
        <w:rPr>
          <w:color w:val="231F20"/>
        </w:rPr>
        <w:t>тога да ли је хумусни слој откривке претходно скинут  и селективно депонован. Проблем обезбеђења водно-ваздушних особина земљишта, </w:t>
      </w:r>
      <w:r>
        <w:rPr>
          <w:color w:val="231F20"/>
          <w:spacing w:val="-3"/>
        </w:rPr>
        <w:t>које </w:t>
      </w:r>
      <w:r>
        <w:rPr>
          <w:color w:val="231F20"/>
        </w:rPr>
        <w:t>су </w:t>
      </w:r>
      <w:r>
        <w:rPr>
          <w:color w:val="231F20"/>
          <w:spacing w:val="-2"/>
        </w:rPr>
        <w:t>неопходне </w:t>
      </w:r>
      <w:r>
        <w:rPr>
          <w:color w:val="231F20"/>
        </w:rPr>
        <w:t>за раст и развитак биљака, посебно пољопривредних култура, усложњава се упоредо са</w:t>
      </w:r>
      <w:r>
        <w:rPr>
          <w:color w:val="231F20"/>
          <w:spacing w:val="-32"/>
        </w:rPr>
        <w:t> </w:t>
      </w:r>
      <w:r>
        <w:rPr>
          <w:color w:val="231F20"/>
        </w:rPr>
        <w:t>пове- ћавањем</w:t>
      </w:r>
      <w:r>
        <w:rPr>
          <w:color w:val="231F20"/>
          <w:spacing w:val="-8"/>
        </w:rPr>
        <w:t> </w:t>
      </w:r>
      <w:r>
        <w:rPr>
          <w:color w:val="231F20"/>
        </w:rPr>
        <w:t>дубине</w:t>
      </w:r>
      <w:r>
        <w:rPr>
          <w:color w:val="231F20"/>
          <w:spacing w:val="-8"/>
        </w:rPr>
        <w:t> </w:t>
      </w:r>
      <w:r>
        <w:rPr>
          <w:color w:val="231F20"/>
          <w:spacing w:val="-3"/>
        </w:rPr>
        <w:t>копова</w:t>
      </w:r>
      <w:r>
        <w:rPr>
          <w:color w:val="231F20"/>
          <w:spacing w:val="-8"/>
        </w:rPr>
        <w:t> </w:t>
      </w:r>
      <w:r>
        <w:rPr>
          <w:color w:val="231F20"/>
        </w:rPr>
        <w:t>и</w:t>
      </w:r>
      <w:r>
        <w:rPr>
          <w:color w:val="231F20"/>
          <w:spacing w:val="-8"/>
        </w:rPr>
        <w:t> </w:t>
      </w:r>
      <w:r>
        <w:rPr>
          <w:color w:val="231F20"/>
        </w:rPr>
        <w:t>времена</w:t>
      </w:r>
      <w:r>
        <w:rPr>
          <w:color w:val="231F20"/>
          <w:spacing w:val="-8"/>
        </w:rPr>
        <w:t> </w:t>
      </w:r>
      <w:r>
        <w:rPr>
          <w:color w:val="231F20"/>
        </w:rPr>
        <w:t>њихове</w:t>
      </w:r>
      <w:r>
        <w:rPr>
          <w:color w:val="231F20"/>
          <w:spacing w:val="-8"/>
        </w:rPr>
        <w:t> </w:t>
      </w:r>
      <w:r>
        <w:rPr>
          <w:color w:val="231F20"/>
        </w:rPr>
        <w:t>експлоатације.</w:t>
      </w:r>
      <w:r>
        <w:rPr>
          <w:color w:val="231F20"/>
          <w:spacing w:val="-8"/>
        </w:rPr>
        <w:t> </w:t>
      </w:r>
      <w:r>
        <w:rPr>
          <w:color w:val="231F20"/>
        </w:rPr>
        <w:t>У</w:t>
      </w:r>
      <w:r>
        <w:rPr>
          <w:color w:val="231F20"/>
          <w:spacing w:val="-8"/>
        </w:rPr>
        <w:t> </w:t>
      </w:r>
      <w:r>
        <w:rPr>
          <w:color w:val="231F20"/>
        </w:rPr>
        <w:t>проце- дури избора планираних намена рекултивације морају се узети у обзир не само природне погодности и ограничења, већ и дугороч- ни развојни интереси целог Планског подручја. У </w:t>
      </w:r>
      <w:r>
        <w:rPr>
          <w:color w:val="231F20"/>
          <w:spacing w:val="-3"/>
        </w:rPr>
        <w:t>том </w:t>
      </w:r>
      <w:r>
        <w:rPr>
          <w:color w:val="231F20"/>
        </w:rPr>
        <w:t>домену је потребна </w:t>
      </w:r>
      <w:r>
        <w:rPr>
          <w:i/>
          <w:color w:val="231F20"/>
        </w:rPr>
        <w:t>едукативна и информатичка подршка </w:t>
      </w:r>
      <w:r>
        <w:rPr>
          <w:color w:val="231F20"/>
        </w:rPr>
        <w:t>локалним зајед- ницама, ради ширења перспектива за избор решења </w:t>
      </w:r>
      <w:r>
        <w:rPr>
          <w:color w:val="231F20"/>
          <w:spacing w:val="-3"/>
        </w:rPr>
        <w:t>које </w:t>
      </w:r>
      <w:r>
        <w:rPr>
          <w:color w:val="231F20"/>
        </w:rPr>
        <w:t>допри- носе побољшању општих услова животне средине, дугорочном </w:t>
      </w:r>
      <w:r>
        <w:rPr>
          <w:color w:val="231F20"/>
          <w:spacing w:val="-3"/>
        </w:rPr>
        <w:t>економском </w:t>
      </w:r>
      <w:r>
        <w:rPr>
          <w:color w:val="231F20"/>
        </w:rPr>
        <w:t>развоју ширег региона и функционалном и естетском унапређивању пострударских</w:t>
      </w:r>
      <w:r>
        <w:rPr>
          <w:color w:val="231F20"/>
          <w:spacing w:val="-2"/>
        </w:rPr>
        <w:t> </w:t>
      </w:r>
      <w:r>
        <w:rPr>
          <w:color w:val="231F20"/>
        </w:rPr>
        <w:t>терена.</w:t>
      </w:r>
    </w:p>
    <w:p>
      <w:pPr>
        <w:pStyle w:val="BodyText"/>
        <w:spacing w:line="232" w:lineRule="auto"/>
        <w:ind w:left="242" w:right="127" w:firstLine="397"/>
      </w:pPr>
      <w:r>
        <w:rPr>
          <w:color w:val="231F20"/>
        </w:rPr>
        <w:t>За </w:t>
      </w:r>
      <w:r>
        <w:rPr>
          <w:i/>
          <w:color w:val="231F20"/>
        </w:rPr>
        <w:t>привођење рекултивисаних одлагалишта пољопривредној </w:t>
      </w:r>
      <w:r>
        <w:rPr>
          <w:i/>
          <w:color w:val="231F20"/>
        </w:rPr>
        <w:t>производњи </w:t>
      </w:r>
      <w:r>
        <w:rPr>
          <w:color w:val="231F20"/>
        </w:rPr>
        <w:t>најпогодније су велике заравњене површине. Дозво- љени су и благи нагиби до 30 за оранице, а за воћњаке, виногра- де, ливаде и пашњаке до 150. Претходним истраживањима треба потврдити нетоксичност супстрата, способност за покретање пе- догенетских процеса, садржај скелета (&lt;15%) и умерени pH (5,5</w:t>
      </w:r>
    </w:p>
    <w:p>
      <w:pPr>
        <w:pStyle w:val="BodyText"/>
        <w:spacing w:line="232" w:lineRule="auto"/>
        <w:ind w:left="242" w:right="127"/>
      </w:pPr>
      <w:r>
        <w:rPr>
          <w:color w:val="231F20"/>
          <w:w w:val="66"/>
        </w:rPr>
        <w:t> </w:t>
      </w:r>
      <w:r>
        <w:rPr>
          <w:color w:val="231F20"/>
        </w:rPr>
        <w:t>– 7,5). Затим се у случају ратарске производње утврђује </w:t>
      </w:r>
      <w:r>
        <w:rPr>
          <w:color w:val="231F20"/>
          <w:spacing w:val="-3"/>
        </w:rPr>
        <w:t>одгова- </w:t>
      </w:r>
      <w:r>
        <w:rPr>
          <w:color w:val="231F20"/>
        </w:rPr>
        <w:t>рајући плодоред, режим органског и минералног прихрањивања и примењивана агротехника. У случају подизања воћњака и вино- града</w:t>
      </w:r>
      <w:r>
        <w:rPr>
          <w:color w:val="231F20"/>
          <w:spacing w:val="-7"/>
        </w:rPr>
        <w:t> </w:t>
      </w:r>
      <w:r>
        <w:rPr>
          <w:color w:val="231F20"/>
        </w:rPr>
        <w:t>потребна</w:t>
      </w:r>
      <w:r>
        <w:rPr>
          <w:color w:val="231F20"/>
          <w:spacing w:val="-7"/>
        </w:rPr>
        <w:t> </w:t>
      </w:r>
      <w:r>
        <w:rPr>
          <w:color w:val="231F20"/>
        </w:rPr>
        <w:t>су</w:t>
      </w:r>
      <w:r>
        <w:rPr>
          <w:color w:val="231F20"/>
          <w:spacing w:val="-7"/>
        </w:rPr>
        <w:t> </w:t>
      </w:r>
      <w:r>
        <w:rPr>
          <w:color w:val="231F20"/>
        </w:rPr>
        <w:t>додатна</w:t>
      </w:r>
      <w:r>
        <w:rPr>
          <w:color w:val="231F20"/>
          <w:spacing w:val="-7"/>
        </w:rPr>
        <w:t> </w:t>
      </w:r>
      <w:r>
        <w:rPr>
          <w:color w:val="231F20"/>
        </w:rPr>
        <w:t>педолошка</w:t>
      </w:r>
      <w:r>
        <w:rPr>
          <w:color w:val="231F20"/>
          <w:spacing w:val="-7"/>
        </w:rPr>
        <w:t> </w:t>
      </w:r>
      <w:r>
        <w:rPr>
          <w:color w:val="231F20"/>
        </w:rPr>
        <w:t>истраживања</w:t>
      </w:r>
      <w:r>
        <w:rPr>
          <w:color w:val="231F20"/>
          <w:spacing w:val="-7"/>
        </w:rPr>
        <w:t> </w:t>
      </w:r>
      <w:r>
        <w:rPr>
          <w:color w:val="231F20"/>
        </w:rPr>
        <w:t>до</w:t>
      </w:r>
      <w:r>
        <w:rPr>
          <w:color w:val="231F20"/>
          <w:spacing w:val="-7"/>
        </w:rPr>
        <w:t> </w:t>
      </w:r>
      <w:r>
        <w:rPr>
          <w:color w:val="231F20"/>
        </w:rPr>
        <w:t>1,5</w:t>
      </w:r>
      <w:r>
        <w:rPr>
          <w:color w:val="231F20"/>
          <w:spacing w:val="-7"/>
        </w:rPr>
        <w:t> </w:t>
      </w:r>
      <w:r>
        <w:rPr>
          <w:color w:val="231F20"/>
        </w:rPr>
        <w:t>m</w:t>
      </w:r>
      <w:r>
        <w:rPr>
          <w:color w:val="231F20"/>
          <w:spacing w:val="-7"/>
        </w:rPr>
        <w:t> </w:t>
      </w:r>
      <w:r>
        <w:rPr>
          <w:color w:val="231F20"/>
        </w:rPr>
        <w:t>дуби- не депосола, с обзиром на развој кореновог</w:t>
      </w:r>
      <w:r>
        <w:rPr>
          <w:color w:val="231F20"/>
          <w:spacing w:val="-10"/>
        </w:rPr>
        <w:t> </w:t>
      </w:r>
      <w:r>
        <w:rPr>
          <w:color w:val="231F20"/>
        </w:rPr>
        <w:t>система.</w:t>
      </w:r>
    </w:p>
    <w:p>
      <w:pPr>
        <w:pStyle w:val="BodyText"/>
        <w:spacing w:line="232" w:lineRule="auto"/>
        <w:ind w:left="243" w:right="126" w:firstLine="397"/>
      </w:pPr>
      <w:r>
        <w:rPr>
          <w:i/>
          <w:color w:val="231F20"/>
        </w:rPr>
        <w:t>Поступак пољопривредне рекултивације </w:t>
      </w:r>
      <w:r>
        <w:rPr>
          <w:color w:val="231F20"/>
        </w:rPr>
        <w:t>обухвата следеће радове: завршно, фино равнање и чишћење терена </w:t>
      </w:r>
      <w:r>
        <w:rPr>
          <w:color w:val="231F20"/>
          <w:spacing w:val="-3"/>
        </w:rPr>
        <w:t>од </w:t>
      </w:r>
      <w:r>
        <w:rPr>
          <w:color w:val="231F20"/>
        </w:rPr>
        <w:t>остатака стена, камена, корена и других страних тела; минерално прихра- њивање, одређено на основу претходних истраживања хемијских особина депосола, односно нанетог супстрата; орање на дубину 25 – 30 cm; култивирање; дрљање; и сејање биљака према утвр- ђеном </w:t>
      </w:r>
      <w:r>
        <w:rPr>
          <w:color w:val="231F20"/>
          <w:spacing w:val="-3"/>
        </w:rPr>
        <w:t>плодореду. </w:t>
      </w:r>
      <w:r>
        <w:rPr>
          <w:color w:val="231F20"/>
        </w:rPr>
        <w:t>Основно правило је да се површине намењене пољопривредној производњи редовно обрађују, односно стално одржавају </w:t>
      </w:r>
      <w:r>
        <w:rPr>
          <w:color w:val="231F20"/>
          <w:spacing w:val="-3"/>
        </w:rPr>
        <w:t>под </w:t>
      </w:r>
      <w:r>
        <w:rPr>
          <w:color w:val="231F20"/>
        </w:rPr>
        <w:t>биљним покривачем </w:t>
      </w:r>
      <w:r>
        <w:rPr>
          <w:color w:val="231F20"/>
          <w:spacing w:val="-3"/>
        </w:rPr>
        <w:t>који </w:t>
      </w:r>
      <w:r>
        <w:rPr>
          <w:color w:val="231F20"/>
        </w:rPr>
        <w:t>најмање једном </w:t>
      </w:r>
      <w:r>
        <w:rPr>
          <w:color w:val="231F20"/>
          <w:spacing w:val="-3"/>
        </w:rPr>
        <w:t>годишње </w:t>
      </w:r>
      <w:r>
        <w:rPr>
          <w:color w:val="231F20"/>
        </w:rPr>
        <w:t>треба косити и остављати за</w:t>
      </w:r>
      <w:r>
        <w:rPr>
          <w:color w:val="231F20"/>
          <w:spacing w:val="-4"/>
        </w:rPr>
        <w:t> </w:t>
      </w:r>
      <w:r>
        <w:rPr>
          <w:color w:val="231F20"/>
        </w:rPr>
        <w:t>малчирање.</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left="169" w:right="38" w:firstLine="397"/>
      </w:pPr>
      <w:r>
        <w:rPr/>
        <w:pict>
          <v:line style="position:absolute;mso-position-horizontal-relative:page;mso-position-vertical-relative:page;z-index:3592" from="304.724396pt,11.942451pt" to="304.724396pt,748.950451pt" stroked="true" strokeweight=".6pt" strokecolor="#231f20">
            <v:stroke dashstyle="solid"/>
            <w10:wrap type="none"/>
          </v:line>
        </w:pict>
      </w:r>
      <w:r>
        <w:rPr>
          <w:i/>
          <w:color w:val="231F20"/>
        </w:rPr>
        <w:t>Рекултивација одлагалишта пошумљавањем </w:t>
      </w:r>
      <w:r>
        <w:rPr>
          <w:color w:val="231F20"/>
        </w:rPr>
        <w:t>се, по </w:t>
      </w:r>
      <w:r>
        <w:rPr>
          <w:color w:val="231F20"/>
          <w:spacing w:val="-3"/>
        </w:rPr>
        <w:t>правилу, </w:t>
      </w:r>
      <w:r>
        <w:rPr>
          <w:color w:val="231F20"/>
        </w:rPr>
        <w:t>спроводи</w:t>
      </w:r>
      <w:r>
        <w:rPr>
          <w:color w:val="231F20"/>
          <w:spacing w:val="-6"/>
        </w:rPr>
        <w:t> </w:t>
      </w:r>
      <w:r>
        <w:rPr>
          <w:color w:val="231F20"/>
        </w:rPr>
        <w:t>на</w:t>
      </w:r>
      <w:r>
        <w:rPr>
          <w:color w:val="231F20"/>
          <w:spacing w:val="-6"/>
        </w:rPr>
        <w:t> </w:t>
      </w:r>
      <w:r>
        <w:rPr>
          <w:color w:val="231F20"/>
        </w:rPr>
        <w:t>косим</w:t>
      </w:r>
      <w:r>
        <w:rPr>
          <w:color w:val="231F20"/>
          <w:spacing w:val="-6"/>
        </w:rPr>
        <w:t> </w:t>
      </w:r>
      <w:r>
        <w:rPr>
          <w:color w:val="231F20"/>
        </w:rPr>
        <w:t>површинама,</w:t>
      </w:r>
      <w:r>
        <w:rPr>
          <w:color w:val="231F20"/>
          <w:spacing w:val="-6"/>
        </w:rPr>
        <w:t> </w:t>
      </w:r>
      <w:r>
        <w:rPr>
          <w:color w:val="231F20"/>
        </w:rPr>
        <w:t>пожељно</w:t>
      </w:r>
      <w:r>
        <w:rPr>
          <w:color w:val="231F20"/>
          <w:spacing w:val="-6"/>
        </w:rPr>
        <w:t> </w:t>
      </w:r>
      <w:r>
        <w:rPr>
          <w:color w:val="231F20"/>
        </w:rPr>
        <w:t>са</w:t>
      </w:r>
      <w:r>
        <w:rPr>
          <w:color w:val="231F20"/>
          <w:spacing w:val="-6"/>
        </w:rPr>
        <w:t> </w:t>
      </w:r>
      <w:r>
        <w:rPr>
          <w:color w:val="231F20"/>
        </w:rPr>
        <w:t>нагибима</w:t>
      </w:r>
      <w:r>
        <w:rPr>
          <w:color w:val="231F20"/>
          <w:spacing w:val="-6"/>
        </w:rPr>
        <w:t> </w:t>
      </w:r>
      <w:r>
        <w:rPr>
          <w:color w:val="231F20"/>
        </w:rPr>
        <w:t>падине</w:t>
      </w:r>
      <w:r>
        <w:rPr>
          <w:color w:val="231F20"/>
          <w:spacing w:val="-6"/>
        </w:rPr>
        <w:t> </w:t>
      </w:r>
      <w:r>
        <w:rPr>
          <w:color w:val="231F20"/>
        </w:rPr>
        <w:t>ма- њим </w:t>
      </w:r>
      <w:r>
        <w:rPr>
          <w:color w:val="231F20"/>
          <w:spacing w:val="-3"/>
        </w:rPr>
        <w:t>од </w:t>
      </w:r>
      <w:r>
        <w:rPr>
          <w:color w:val="231F20"/>
        </w:rPr>
        <w:t>35% (200) дуж линије главног пада на западним, јужним и источним експозицијама, односно мањим </w:t>
      </w:r>
      <w:r>
        <w:rPr>
          <w:color w:val="231F20"/>
          <w:spacing w:val="-3"/>
        </w:rPr>
        <w:t>од </w:t>
      </w:r>
      <w:r>
        <w:rPr>
          <w:color w:val="231F20"/>
        </w:rPr>
        <w:t>25% (140) на север- ним експозицијама. </w:t>
      </w:r>
      <w:r>
        <w:rPr>
          <w:color w:val="231F20"/>
          <w:spacing w:val="-6"/>
        </w:rPr>
        <w:t>Уколико </w:t>
      </w:r>
      <w:r>
        <w:rPr>
          <w:color w:val="231F20"/>
        </w:rPr>
        <w:t>постоје непремостива просторна и геомеханичка ограничења за испоштовање тог захтева у поступку техничке рекултивације, садња шума се може планирати и на стр- мијим теренима, са нагибима до максимум 260 (49 %), уз исто- времено дефинисање потребних антиерозионих радова и мера. Заштитне шуме, посебно у функцији заштите насеља </w:t>
      </w:r>
      <w:r>
        <w:rPr>
          <w:color w:val="231F20"/>
          <w:spacing w:val="-3"/>
        </w:rPr>
        <w:t>од </w:t>
      </w:r>
      <w:r>
        <w:rPr>
          <w:color w:val="231F20"/>
        </w:rPr>
        <w:t>имисија аерозагађења, могу се подизати и на хоризонталним површинама одлагалишта.</w:t>
      </w:r>
    </w:p>
    <w:p>
      <w:pPr>
        <w:pStyle w:val="ListParagraph"/>
        <w:numPr>
          <w:ilvl w:val="3"/>
          <w:numId w:val="50"/>
        </w:numPr>
        <w:tabs>
          <w:tab w:pos="1808" w:val="left" w:leader="none"/>
        </w:tabs>
        <w:spacing w:line="240" w:lineRule="auto" w:before="164" w:after="0"/>
        <w:ind w:left="1807" w:right="0" w:hanging="405"/>
        <w:jc w:val="left"/>
        <w:rPr>
          <w:i/>
          <w:sz w:val="18"/>
        </w:rPr>
      </w:pPr>
      <w:r>
        <w:rPr>
          <w:i/>
          <w:color w:val="231F20"/>
          <w:sz w:val="18"/>
        </w:rPr>
        <w:t>Заштићена природна</w:t>
      </w:r>
      <w:r>
        <w:rPr>
          <w:i/>
          <w:color w:val="231F20"/>
          <w:spacing w:val="-3"/>
          <w:sz w:val="18"/>
        </w:rPr>
        <w:t> </w:t>
      </w:r>
      <w:r>
        <w:rPr>
          <w:i/>
          <w:color w:val="231F20"/>
          <w:sz w:val="18"/>
        </w:rPr>
        <w:t>добара</w:t>
      </w:r>
    </w:p>
    <w:p>
      <w:pPr>
        <w:pStyle w:val="BodyText"/>
        <w:spacing w:before="3"/>
        <w:ind w:left="0"/>
        <w:jc w:val="left"/>
        <w:rPr>
          <w:i/>
          <w:sz w:val="17"/>
        </w:rPr>
      </w:pPr>
    </w:p>
    <w:p>
      <w:pPr>
        <w:pStyle w:val="BodyText"/>
        <w:spacing w:line="232" w:lineRule="auto" w:before="1"/>
        <w:ind w:left="169" w:right="38" w:firstLine="396"/>
      </w:pPr>
      <w:r>
        <w:rPr>
          <w:color w:val="231F20"/>
          <w:spacing w:val="-3"/>
        </w:rPr>
        <w:t>Уређивање </w:t>
      </w:r>
      <w:r>
        <w:rPr>
          <w:color w:val="231F20"/>
        </w:rPr>
        <w:t>заштићених и предвиђених за заштиту природ- них добара, као и предела у целини биће усклађено са режимима, условима и мерама заштите </w:t>
      </w:r>
      <w:r>
        <w:rPr>
          <w:color w:val="231F20"/>
          <w:spacing w:val="-3"/>
        </w:rPr>
        <w:t>који </w:t>
      </w:r>
      <w:r>
        <w:rPr>
          <w:color w:val="231F20"/>
        </w:rPr>
        <w:t>су утврђени одговарајућим</w:t>
      </w:r>
      <w:r>
        <w:rPr>
          <w:color w:val="231F20"/>
          <w:spacing w:val="-25"/>
        </w:rPr>
        <w:t> </w:t>
      </w:r>
      <w:r>
        <w:rPr>
          <w:color w:val="231F20"/>
        </w:rPr>
        <w:t>реше- њима</w:t>
      </w:r>
      <w:r>
        <w:rPr>
          <w:color w:val="231F20"/>
          <w:spacing w:val="-6"/>
        </w:rPr>
        <w:t> </w:t>
      </w:r>
      <w:r>
        <w:rPr>
          <w:color w:val="231F20"/>
        </w:rPr>
        <w:t>о</w:t>
      </w:r>
      <w:r>
        <w:rPr>
          <w:color w:val="231F20"/>
          <w:spacing w:val="-6"/>
        </w:rPr>
        <w:t> </w:t>
      </w:r>
      <w:r>
        <w:rPr>
          <w:color w:val="231F20"/>
        </w:rPr>
        <w:t>стављању</w:t>
      </w:r>
      <w:r>
        <w:rPr>
          <w:color w:val="231F20"/>
          <w:spacing w:val="-6"/>
        </w:rPr>
        <w:t> </w:t>
      </w:r>
      <w:r>
        <w:rPr>
          <w:color w:val="231F20"/>
          <w:spacing w:val="-3"/>
        </w:rPr>
        <w:t>под</w:t>
      </w:r>
      <w:r>
        <w:rPr>
          <w:color w:val="231F20"/>
          <w:spacing w:val="-6"/>
        </w:rPr>
        <w:t> </w:t>
      </w:r>
      <w:r>
        <w:rPr>
          <w:color w:val="231F20"/>
          <w:spacing w:val="-4"/>
        </w:rPr>
        <w:t>заштиту,</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са</w:t>
      </w:r>
      <w:r>
        <w:rPr>
          <w:color w:val="231F20"/>
          <w:spacing w:val="-6"/>
        </w:rPr>
        <w:t> </w:t>
      </w:r>
      <w:r>
        <w:rPr>
          <w:color w:val="231F20"/>
        </w:rPr>
        <w:t>решењима</w:t>
      </w:r>
      <w:r>
        <w:rPr>
          <w:color w:val="231F20"/>
          <w:spacing w:val="-6"/>
        </w:rPr>
        <w:t> </w:t>
      </w:r>
      <w:r>
        <w:rPr>
          <w:color w:val="231F20"/>
        </w:rPr>
        <w:t>Закона</w:t>
      </w:r>
      <w:r>
        <w:rPr>
          <w:color w:val="231F20"/>
          <w:spacing w:val="-6"/>
        </w:rPr>
        <w:t> </w:t>
      </w:r>
      <w:r>
        <w:rPr>
          <w:color w:val="231F20"/>
        </w:rPr>
        <w:t>о</w:t>
      </w:r>
      <w:r>
        <w:rPr>
          <w:color w:val="231F20"/>
          <w:spacing w:val="-6"/>
        </w:rPr>
        <w:t> </w:t>
      </w:r>
      <w:r>
        <w:rPr>
          <w:color w:val="231F20"/>
        </w:rPr>
        <w:t>зашти- ти природе („Службени гласник РС”, бр. 36/09 и 88/10), </w:t>
      </w:r>
      <w:r>
        <w:rPr>
          <w:color w:val="231F20"/>
          <w:spacing w:val="-2"/>
        </w:rPr>
        <w:t>Закона </w:t>
      </w:r>
      <w:r>
        <w:rPr>
          <w:color w:val="231F20"/>
        </w:rPr>
        <w:t>о потврђивању Европске конвенције о пределу и других преузетих међународних обавеза („Службени гласник РС” – Међународни уговори број</w:t>
      </w:r>
      <w:r>
        <w:rPr>
          <w:color w:val="231F20"/>
          <w:spacing w:val="-1"/>
        </w:rPr>
        <w:t> </w:t>
      </w:r>
      <w:r>
        <w:rPr>
          <w:color w:val="231F20"/>
        </w:rPr>
        <w:t>4/11).</w:t>
      </w:r>
    </w:p>
    <w:p>
      <w:pPr>
        <w:pStyle w:val="BodyText"/>
        <w:spacing w:line="232" w:lineRule="auto"/>
        <w:ind w:left="169" w:right="39" w:firstLine="396"/>
      </w:pPr>
      <w:r>
        <w:rPr>
          <w:color w:val="231F20"/>
        </w:rPr>
        <w:t>На </w:t>
      </w:r>
      <w:r>
        <w:rPr>
          <w:color w:val="231F20"/>
          <w:spacing w:val="-3"/>
        </w:rPr>
        <w:t>Планском </w:t>
      </w:r>
      <w:r>
        <w:rPr>
          <w:color w:val="231F20"/>
        </w:rPr>
        <w:t>подручју установљени су посебни услови </w:t>
      </w:r>
      <w:r>
        <w:rPr>
          <w:color w:val="231F20"/>
          <w:spacing w:val="-3"/>
        </w:rPr>
        <w:t>кори- </w:t>
      </w:r>
      <w:r>
        <w:rPr>
          <w:color w:val="231F20"/>
        </w:rPr>
        <w:t>шћења и уређења заштићеног простора:</w:t>
      </w:r>
    </w:p>
    <w:p>
      <w:pPr>
        <w:pStyle w:val="ListParagraph"/>
        <w:numPr>
          <w:ilvl w:val="0"/>
          <w:numId w:val="51"/>
        </w:numPr>
        <w:tabs>
          <w:tab w:pos="778" w:val="left" w:leader="none"/>
        </w:tabs>
        <w:spacing w:line="232" w:lineRule="auto" w:before="0" w:after="0"/>
        <w:ind w:left="168" w:right="39" w:firstLine="398"/>
        <w:jc w:val="both"/>
        <w:rPr>
          <w:sz w:val="18"/>
        </w:rPr>
      </w:pPr>
      <w:r>
        <w:rPr>
          <w:color w:val="231F20"/>
          <w:sz w:val="18"/>
        </w:rPr>
        <w:t>У пределу нарочитог природне лепоте „Пругово” се при- </w:t>
      </w:r>
      <w:r>
        <w:rPr>
          <w:color w:val="231F20"/>
          <w:spacing w:val="-4"/>
          <w:sz w:val="18"/>
        </w:rPr>
        <w:t>ликом </w:t>
      </w:r>
      <w:r>
        <w:rPr>
          <w:color w:val="231F20"/>
          <w:sz w:val="18"/>
        </w:rPr>
        <w:t>допуштених коришћења у културне, инструктивно васпит- не, туристичке и рекреативне сврхе мора водити рачуна да се не сме мењати основна намена и природна карактеристика предела  и забрањује се уређивање као и подизање грађевинских и других објеката,</w:t>
      </w:r>
      <w:r>
        <w:rPr>
          <w:color w:val="231F20"/>
          <w:spacing w:val="-5"/>
          <w:sz w:val="18"/>
        </w:rPr>
        <w:t> </w:t>
      </w:r>
      <w:r>
        <w:rPr>
          <w:color w:val="231F20"/>
          <w:sz w:val="18"/>
        </w:rPr>
        <w:t>сеча</w:t>
      </w:r>
      <w:r>
        <w:rPr>
          <w:color w:val="231F20"/>
          <w:spacing w:val="-5"/>
          <w:sz w:val="18"/>
        </w:rPr>
        <w:t> </w:t>
      </w:r>
      <w:r>
        <w:rPr>
          <w:color w:val="231F20"/>
          <w:sz w:val="18"/>
        </w:rPr>
        <w:t>или</w:t>
      </w:r>
      <w:r>
        <w:rPr>
          <w:color w:val="231F20"/>
          <w:spacing w:val="-5"/>
          <w:sz w:val="18"/>
        </w:rPr>
        <w:t> </w:t>
      </w:r>
      <w:r>
        <w:rPr>
          <w:color w:val="231F20"/>
          <w:sz w:val="18"/>
        </w:rPr>
        <w:t>оштећење</w:t>
      </w:r>
      <w:r>
        <w:rPr>
          <w:color w:val="231F20"/>
          <w:spacing w:val="-5"/>
          <w:sz w:val="18"/>
        </w:rPr>
        <w:t> </w:t>
      </w:r>
      <w:r>
        <w:rPr>
          <w:color w:val="231F20"/>
          <w:sz w:val="18"/>
        </w:rPr>
        <w:t>стабала,</w:t>
      </w:r>
      <w:r>
        <w:rPr>
          <w:color w:val="231F20"/>
          <w:spacing w:val="-5"/>
          <w:sz w:val="18"/>
        </w:rPr>
        <w:t> </w:t>
      </w:r>
      <w:r>
        <w:rPr>
          <w:color w:val="231F20"/>
          <w:sz w:val="18"/>
        </w:rPr>
        <w:t>сеча</w:t>
      </w:r>
      <w:r>
        <w:rPr>
          <w:color w:val="231F20"/>
          <w:spacing w:val="-5"/>
          <w:sz w:val="18"/>
        </w:rPr>
        <w:t> </w:t>
      </w:r>
      <w:r>
        <w:rPr>
          <w:color w:val="231F20"/>
          <w:sz w:val="18"/>
        </w:rPr>
        <w:t>грана</w:t>
      </w:r>
      <w:r>
        <w:rPr>
          <w:color w:val="231F20"/>
          <w:spacing w:val="-5"/>
          <w:sz w:val="18"/>
        </w:rPr>
        <w:t> </w:t>
      </w:r>
      <w:r>
        <w:rPr>
          <w:color w:val="231F20"/>
          <w:sz w:val="18"/>
        </w:rPr>
        <w:t>и</w:t>
      </w:r>
      <w:r>
        <w:rPr>
          <w:color w:val="231F20"/>
          <w:spacing w:val="-5"/>
          <w:sz w:val="18"/>
        </w:rPr>
        <w:t> </w:t>
      </w:r>
      <w:r>
        <w:rPr>
          <w:color w:val="231F20"/>
          <w:sz w:val="18"/>
        </w:rPr>
        <w:t>гранчица,</w:t>
      </w:r>
      <w:r>
        <w:rPr>
          <w:color w:val="231F20"/>
          <w:spacing w:val="-5"/>
          <w:sz w:val="18"/>
        </w:rPr>
        <w:t> </w:t>
      </w:r>
      <w:r>
        <w:rPr>
          <w:color w:val="231F20"/>
          <w:sz w:val="18"/>
        </w:rPr>
        <w:t>одно- сно њихово ломљење као и предузимање других радњи на самим стаблима или њиховој непосредној </w:t>
      </w:r>
      <w:r>
        <w:rPr>
          <w:color w:val="231F20"/>
          <w:spacing w:val="-3"/>
          <w:sz w:val="18"/>
        </w:rPr>
        <w:t>околини које </w:t>
      </w:r>
      <w:r>
        <w:rPr>
          <w:color w:val="231F20"/>
          <w:sz w:val="18"/>
        </w:rPr>
        <w:t>би </w:t>
      </w:r>
      <w:r>
        <w:rPr>
          <w:color w:val="231F20"/>
          <w:spacing w:val="-3"/>
          <w:sz w:val="18"/>
        </w:rPr>
        <w:t>могле </w:t>
      </w:r>
      <w:r>
        <w:rPr>
          <w:color w:val="231F20"/>
          <w:sz w:val="18"/>
        </w:rPr>
        <w:t>изме- нити досадашње стање стабала и довести у питање њихов даљи биолошки</w:t>
      </w:r>
      <w:r>
        <w:rPr>
          <w:color w:val="231F20"/>
          <w:spacing w:val="-2"/>
          <w:sz w:val="18"/>
        </w:rPr>
        <w:t> </w:t>
      </w:r>
      <w:r>
        <w:rPr>
          <w:color w:val="231F20"/>
          <w:sz w:val="18"/>
        </w:rPr>
        <w:t>опоравак.</w:t>
      </w:r>
    </w:p>
    <w:p>
      <w:pPr>
        <w:pStyle w:val="ListParagraph"/>
        <w:numPr>
          <w:ilvl w:val="0"/>
          <w:numId w:val="51"/>
        </w:numPr>
        <w:tabs>
          <w:tab w:pos="779" w:val="left" w:leader="none"/>
        </w:tabs>
        <w:spacing w:line="232" w:lineRule="auto" w:before="0" w:after="0"/>
        <w:ind w:left="168" w:right="39" w:firstLine="397"/>
        <w:jc w:val="both"/>
        <w:rPr>
          <w:sz w:val="18"/>
        </w:rPr>
      </w:pPr>
      <w:r>
        <w:rPr>
          <w:color w:val="231F20"/>
          <w:sz w:val="18"/>
        </w:rPr>
        <w:t>Споменик природе </w:t>
      </w:r>
      <w:r>
        <w:rPr>
          <w:color w:val="231F20"/>
          <w:spacing w:val="-3"/>
          <w:sz w:val="18"/>
        </w:rPr>
        <w:t>„Група </w:t>
      </w:r>
      <w:r>
        <w:rPr>
          <w:color w:val="231F20"/>
          <w:sz w:val="18"/>
        </w:rPr>
        <w:t>стабала храста лужњака, пољ- </w:t>
      </w:r>
      <w:r>
        <w:rPr>
          <w:color w:val="231F20"/>
          <w:spacing w:val="-3"/>
          <w:sz w:val="18"/>
        </w:rPr>
        <w:t>ског </w:t>
      </w:r>
      <w:r>
        <w:rPr>
          <w:color w:val="231F20"/>
          <w:sz w:val="18"/>
        </w:rPr>
        <w:t>јасена, пољског бреста и ситнолисне липе” одржава се оба- вљањем</w:t>
      </w:r>
      <w:r>
        <w:rPr>
          <w:color w:val="231F20"/>
          <w:spacing w:val="-5"/>
          <w:sz w:val="18"/>
        </w:rPr>
        <w:t> </w:t>
      </w:r>
      <w:r>
        <w:rPr>
          <w:color w:val="231F20"/>
          <w:sz w:val="18"/>
        </w:rPr>
        <w:t>радова</w:t>
      </w:r>
      <w:r>
        <w:rPr>
          <w:color w:val="231F20"/>
          <w:spacing w:val="-5"/>
          <w:sz w:val="18"/>
        </w:rPr>
        <w:t> </w:t>
      </w:r>
      <w:r>
        <w:rPr>
          <w:color w:val="231F20"/>
          <w:sz w:val="18"/>
        </w:rPr>
        <w:t>на</w:t>
      </w:r>
      <w:r>
        <w:rPr>
          <w:color w:val="231F20"/>
          <w:spacing w:val="-5"/>
          <w:sz w:val="18"/>
        </w:rPr>
        <w:t> </w:t>
      </w:r>
      <w:r>
        <w:rPr>
          <w:color w:val="231F20"/>
          <w:sz w:val="18"/>
        </w:rPr>
        <w:t>основу</w:t>
      </w:r>
      <w:r>
        <w:rPr>
          <w:color w:val="231F20"/>
          <w:spacing w:val="-5"/>
          <w:sz w:val="18"/>
        </w:rPr>
        <w:t> </w:t>
      </w:r>
      <w:r>
        <w:rPr>
          <w:color w:val="231F20"/>
          <w:sz w:val="18"/>
        </w:rPr>
        <w:t>претходне</w:t>
      </w:r>
      <w:r>
        <w:rPr>
          <w:color w:val="231F20"/>
          <w:spacing w:val="-5"/>
          <w:sz w:val="18"/>
        </w:rPr>
        <w:t> </w:t>
      </w:r>
      <w:r>
        <w:rPr>
          <w:color w:val="231F20"/>
          <w:sz w:val="18"/>
        </w:rPr>
        <w:t>сагласности</w:t>
      </w:r>
      <w:r>
        <w:rPr>
          <w:color w:val="231F20"/>
          <w:spacing w:val="-5"/>
          <w:sz w:val="18"/>
        </w:rPr>
        <w:t> </w:t>
      </w:r>
      <w:r>
        <w:rPr>
          <w:color w:val="231F20"/>
          <w:sz w:val="18"/>
        </w:rPr>
        <w:t>Завода</w:t>
      </w:r>
      <w:r>
        <w:rPr>
          <w:color w:val="231F20"/>
          <w:spacing w:val="-5"/>
          <w:sz w:val="18"/>
        </w:rPr>
        <w:t> </w:t>
      </w:r>
      <w:r>
        <w:rPr>
          <w:color w:val="231F20"/>
          <w:sz w:val="18"/>
        </w:rPr>
        <w:t>за</w:t>
      </w:r>
      <w:r>
        <w:rPr>
          <w:color w:val="231F20"/>
          <w:spacing w:val="-5"/>
          <w:sz w:val="18"/>
        </w:rPr>
        <w:t> </w:t>
      </w:r>
      <w:r>
        <w:rPr>
          <w:color w:val="231F20"/>
          <w:sz w:val="18"/>
        </w:rPr>
        <w:t>зашти- ту природе</w:t>
      </w:r>
      <w:r>
        <w:rPr>
          <w:color w:val="231F20"/>
          <w:spacing w:val="-1"/>
          <w:sz w:val="18"/>
        </w:rPr>
        <w:t> </w:t>
      </w:r>
      <w:r>
        <w:rPr>
          <w:color w:val="231F20"/>
          <w:sz w:val="18"/>
        </w:rPr>
        <w:t>Србије.</w:t>
      </w:r>
    </w:p>
    <w:p>
      <w:pPr>
        <w:pStyle w:val="ListParagraph"/>
        <w:numPr>
          <w:ilvl w:val="0"/>
          <w:numId w:val="51"/>
        </w:numPr>
        <w:tabs>
          <w:tab w:pos="792" w:val="left" w:leader="none"/>
        </w:tabs>
        <w:spacing w:line="232" w:lineRule="auto" w:before="0" w:after="0"/>
        <w:ind w:left="169" w:right="39" w:firstLine="396"/>
        <w:jc w:val="both"/>
        <w:rPr>
          <w:sz w:val="18"/>
        </w:rPr>
      </w:pPr>
      <w:r>
        <w:rPr>
          <w:color w:val="231F20"/>
          <w:sz w:val="18"/>
        </w:rPr>
        <w:t>Споменик природе </w:t>
      </w:r>
      <w:r>
        <w:rPr>
          <w:color w:val="231F20"/>
          <w:spacing w:val="-4"/>
          <w:sz w:val="18"/>
        </w:rPr>
        <w:t>„Група од </w:t>
      </w:r>
      <w:r>
        <w:rPr>
          <w:color w:val="231F20"/>
          <w:sz w:val="18"/>
        </w:rPr>
        <w:t>16 храста лужњака у селу Драговцу”</w:t>
      </w:r>
      <w:r>
        <w:rPr>
          <w:color w:val="231F20"/>
          <w:spacing w:val="-15"/>
          <w:sz w:val="18"/>
        </w:rPr>
        <w:t> </w:t>
      </w:r>
      <w:r>
        <w:rPr>
          <w:color w:val="231F20"/>
          <w:sz w:val="18"/>
        </w:rPr>
        <w:t>и</w:t>
      </w:r>
      <w:r>
        <w:rPr>
          <w:color w:val="231F20"/>
          <w:spacing w:val="-15"/>
          <w:sz w:val="18"/>
        </w:rPr>
        <w:t> </w:t>
      </w:r>
      <w:r>
        <w:rPr>
          <w:color w:val="231F20"/>
          <w:sz w:val="18"/>
        </w:rPr>
        <w:t>Споменик</w:t>
      </w:r>
      <w:r>
        <w:rPr>
          <w:color w:val="231F20"/>
          <w:spacing w:val="-15"/>
          <w:sz w:val="18"/>
        </w:rPr>
        <w:t> </w:t>
      </w:r>
      <w:r>
        <w:rPr>
          <w:color w:val="231F20"/>
          <w:sz w:val="18"/>
        </w:rPr>
        <w:t>природе</w:t>
      </w:r>
      <w:r>
        <w:rPr>
          <w:color w:val="231F20"/>
          <w:spacing w:val="-15"/>
          <w:sz w:val="18"/>
        </w:rPr>
        <w:t> </w:t>
      </w:r>
      <w:r>
        <w:rPr>
          <w:color w:val="231F20"/>
          <w:sz w:val="18"/>
        </w:rPr>
        <w:t>„Стабло</w:t>
      </w:r>
      <w:r>
        <w:rPr>
          <w:color w:val="231F20"/>
          <w:spacing w:val="-15"/>
          <w:sz w:val="18"/>
        </w:rPr>
        <w:t> </w:t>
      </w:r>
      <w:r>
        <w:rPr>
          <w:color w:val="231F20"/>
          <w:sz w:val="18"/>
        </w:rPr>
        <w:t>храста</w:t>
      </w:r>
      <w:r>
        <w:rPr>
          <w:color w:val="231F20"/>
          <w:spacing w:val="-15"/>
          <w:sz w:val="18"/>
        </w:rPr>
        <w:t> </w:t>
      </w:r>
      <w:r>
        <w:rPr>
          <w:color w:val="231F20"/>
          <w:sz w:val="18"/>
        </w:rPr>
        <w:t>сладуна</w:t>
      </w:r>
      <w:r>
        <w:rPr>
          <w:color w:val="231F20"/>
          <w:spacing w:val="-15"/>
          <w:sz w:val="18"/>
        </w:rPr>
        <w:t> </w:t>
      </w:r>
      <w:r>
        <w:rPr>
          <w:color w:val="231F20"/>
          <w:sz w:val="18"/>
        </w:rPr>
        <w:t>у</w:t>
      </w:r>
      <w:r>
        <w:rPr>
          <w:color w:val="231F20"/>
          <w:spacing w:val="-15"/>
          <w:sz w:val="18"/>
        </w:rPr>
        <w:t> </w:t>
      </w:r>
      <w:r>
        <w:rPr>
          <w:color w:val="231F20"/>
          <w:sz w:val="18"/>
        </w:rPr>
        <w:t>селу</w:t>
      </w:r>
      <w:r>
        <w:rPr>
          <w:color w:val="231F20"/>
          <w:spacing w:val="-15"/>
          <w:sz w:val="18"/>
        </w:rPr>
        <w:t> </w:t>
      </w:r>
      <w:r>
        <w:rPr>
          <w:color w:val="231F20"/>
          <w:sz w:val="18"/>
        </w:rPr>
        <w:t>Бра- тинац” обухваћени су обавезама да привредни планови и</w:t>
      </w:r>
      <w:r>
        <w:rPr>
          <w:color w:val="231F20"/>
          <w:spacing w:val="-18"/>
          <w:sz w:val="18"/>
        </w:rPr>
        <w:t> </w:t>
      </w:r>
      <w:r>
        <w:rPr>
          <w:color w:val="231F20"/>
          <w:sz w:val="18"/>
        </w:rPr>
        <w:t>пројекти шумарских и других привредних организација као и обављање</w:t>
      </w:r>
      <w:r>
        <w:rPr>
          <w:color w:val="231F20"/>
          <w:spacing w:val="-24"/>
          <w:sz w:val="18"/>
        </w:rPr>
        <w:t> </w:t>
      </w:r>
      <w:r>
        <w:rPr>
          <w:color w:val="231F20"/>
          <w:sz w:val="18"/>
        </w:rPr>
        <w:t>ра- дова са циљем одржавања здравља заштићених храстова, морају </w:t>
      </w:r>
      <w:r>
        <w:rPr>
          <w:color w:val="231F20"/>
          <w:spacing w:val="-3"/>
          <w:sz w:val="18"/>
        </w:rPr>
        <w:t>имати претходну </w:t>
      </w:r>
      <w:r>
        <w:rPr>
          <w:color w:val="231F20"/>
          <w:sz w:val="18"/>
        </w:rPr>
        <w:t>сагласност </w:t>
      </w:r>
      <w:r>
        <w:rPr>
          <w:color w:val="231F20"/>
          <w:spacing w:val="-2"/>
          <w:sz w:val="18"/>
        </w:rPr>
        <w:t>Завода </w:t>
      </w:r>
      <w:r>
        <w:rPr>
          <w:color w:val="231F20"/>
          <w:sz w:val="18"/>
        </w:rPr>
        <w:t>за заштиту природе</w:t>
      </w:r>
      <w:r>
        <w:rPr>
          <w:color w:val="231F20"/>
          <w:spacing w:val="-23"/>
          <w:sz w:val="18"/>
        </w:rPr>
        <w:t> </w:t>
      </w:r>
      <w:r>
        <w:rPr>
          <w:color w:val="231F20"/>
          <w:sz w:val="18"/>
        </w:rPr>
        <w:t>Србије.</w:t>
      </w:r>
    </w:p>
    <w:p>
      <w:pPr>
        <w:pStyle w:val="ListParagraph"/>
        <w:numPr>
          <w:ilvl w:val="0"/>
          <w:numId w:val="51"/>
        </w:numPr>
        <w:tabs>
          <w:tab w:pos="801" w:val="left" w:leader="none"/>
        </w:tabs>
        <w:spacing w:line="232" w:lineRule="auto" w:before="0" w:after="0"/>
        <w:ind w:left="169" w:right="38" w:firstLine="397"/>
        <w:jc w:val="both"/>
        <w:rPr>
          <w:sz w:val="18"/>
        </w:rPr>
      </w:pPr>
      <w:r>
        <w:rPr>
          <w:color w:val="231F20"/>
          <w:sz w:val="18"/>
        </w:rPr>
        <w:t>У зони заштите Специјалног резервата природе „Дели- блатска пешчара” – Жилавска и Чибуклијска ада као и </w:t>
      </w:r>
      <w:r>
        <w:rPr>
          <w:color w:val="231F20"/>
          <w:spacing w:val="-3"/>
          <w:sz w:val="18"/>
        </w:rPr>
        <w:t>Лабудово </w:t>
      </w:r>
      <w:r>
        <w:rPr>
          <w:color w:val="231F20"/>
          <w:sz w:val="18"/>
        </w:rPr>
        <w:t>окно успостављен је режим заштите којим се забрањује: изград- ња индустријских и других објеката чији рад и постојање могу изазвати неповољне промене квалитета земљишта, воде, ваздуха, живог света, предела, односно могу се нарушити морфолошке и хидролошке карактеристике терена и интегритет простора; саку- пљање и коришћење биљних и животињских врста заштићених као природне реткости; испуштање непречишћених отпадних вода, отварање позајмишта песка; формирање депонија; замена </w:t>
      </w:r>
      <w:r>
        <w:rPr>
          <w:color w:val="231F20"/>
          <w:spacing w:val="-3"/>
          <w:sz w:val="18"/>
        </w:rPr>
        <w:t>аутохтоних</w:t>
      </w:r>
      <w:r>
        <w:rPr>
          <w:color w:val="231F20"/>
          <w:spacing w:val="-7"/>
          <w:sz w:val="18"/>
        </w:rPr>
        <w:t> </w:t>
      </w:r>
      <w:r>
        <w:rPr>
          <w:color w:val="231F20"/>
          <w:sz w:val="18"/>
        </w:rPr>
        <w:t>шума</w:t>
      </w:r>
      <w:r>
        <w:rPr>
          <w:color w:val="231F20"/>
          <w:spacing w:val="-7"/>
          <w:sz w:val="18"/>
        </w:rPr>
        <w:t> </w:t>
      </w:r>
      <w:r>
        <w:rPr>
          <w:color w:val="231F20"/>
          <w:sz w:val="18"/>
        </w:rPr>
        <w:t>састојинама</w:t>
      </w:r>
      <w:r>
        <w:rPr>
          <w:color w:val="231F20"/>
          <w:spacing w:val="-7"/>
          <w:sz w:val="18"/>
        </w:rPr>
        <w:t> </w:t>
      </w:r>
      <w:r>
        <w:rPr>
          <w:color w:val="231F20"/>
          <w:sz w:val="18"/>
        </w:rPr>
        <w:t>алохтоних</w:t>
      </w:r>
      <w:r>
        <w:rPr>
          <w:color w:val="231F20"/>
          <w:spacing w:val="-7"/>
          <w:sz w:val="18"/>
        </w:rPr>
        <w:t> </w:t>
      </w:r>
      <w:r>
        <w:rPr>
          <w:color w:val="231F20"/>
          <w:sz w:val="18"/>
        </w:rPr>
        <w:t>врста;</w:t>
      </w:r>
      <w:r>
        <w:rPr>
          <w:color w:val="231F20"/>
          <w:spacing w:val="-7"/>
          <w:sz w:val="18"/>
        </w:rPr>
        <w:t> </w:t>
      </w:r>
      <w:r>
        <w:rPr>
          <w:color w:val="231F20"/>
          <w:sz w:val="18"/>
        </w:rPr>
        <w:t>и</w:t>
      </w:r>
      <w:r>
        <w:rPr>
          <w:color w:val="231F20"/>
          <w:spacing w:val="-7"/>
          <w:sz w:val="18"/>
        </w:rPr>
        <w:t> </w:t>
      </w:r>
      <w:r>
        <w:rPr>
          <w:color w:val="231F20"/>
          <w:sz w:val="18"/>
        </w:rPr>
        <w:t>изградња</w:t>
      </w:r>
      <w:r>
        <w:rPr>
          <w:color w:val="231F20"/>
          <w:spacing w:val="-7"/>
          <w:sz w:val="18"/>
        </w:rPr>
        <w:t> </w:t>
      </w:r>
      <w:r>
        <w:rPr>
          <w:color w:val="231F20"/>
          <w:sz w:val="18"/>
        </w:rPr>
        <w:t>викенд насеља изван грађевинских подручја утврђених посебним план- ским</w:t>
      </w:r>
      <w:r>
        <w:rPr>
          <w:color w:val="231F20"/>
          <w:spacing w:val="-1"/>
          <w:sz w:val="18"/>
        </w:rPr>
        <w:t> </w:t>
      </w:r>
      <w:r>
        <w:rPr>
          <w:color w:val="231F20"/>
          <w:sz w:val="18"/>
        </w:rPr>
        <w:t>документима.</w:t>
      </w:r>
    </w:p>
    <w:p>
      <w:pPr>
        <w:pStyle w:val="BodyText"/>
        <w:spacing w:line="232" w:lineRule="auto"/>
        <w:ind w:left="169" w:right="39" w:firstLine="396"/>
      </w:pPr>
      <w:r>
        <w:rPr>
          <w:color w:val="231F20"/>
        </w:rPr>
        <w:t>Према условима Завода за заштиту природе Србије за про- сторе који су идентификовани и предвиђени за заштиту, Простор- ним планом утврђују се следеће мере:</w:t>
      </w:r>
    </w:p>
    <w:p>
      <w:pPr>
        <w:pStyle w:val="BodyText"/>
        <w:spacing w:line="232" w:lineRule="auto"/>
        <w:ind w:left="169" w:right="38" w:firstLine="396"/>
      </w:pPr>
      <w:r>
        <w:rPr>
          <w:color w:val="231F20"/>
          <w:w w:val="66"/>
        </w:rPr>
        <w:t> </w:t>
      </w:r>
      <w:r>
        <w:rPr>
          <w:color w:val="231F20"/>
        </w:rPr>
        <w:t>– забрана привредног риболова за бару Шугавицу </w:t>
      </w:r>
      <w:r>
        <w:rPr>
          <w:color w:val="231F20"/>
          <w:spacing w:val="-3"/>
        </w:rPr>
        <w:t>која </w:t>
      </w:r>
      <w:r>
        <w:rPr>
          <w:color w:val="231F20"/>
        </w:rPr>
        <w:t>пред- ставља мочварно подручје погодно за мрест бројних врста риба </w:t>
      </w:r>
      <w:r>
        <w:rPr>
          <w:color w:val="231F20"/>
          <w:spacing w:val="-3"/>
        </w:rPr>
        <w:t>које </w:t>
      </w:r>
      <w:r>
        <w:rPr>
          <w:color w:val="231F20"/>
        </w:rPr>
        <w:t>из Дунава доспевају Костолачким каналом као и забрана</w:t>
      </w:r>
      <w:r>
        <w:rPr>
          <w:color w:val="231F20"/>
          <w:spacing w:val="-25"/>
        </w:rPr>
        <w:t> </w:t>
      </w:r>
      <w:r>
        <w:rPr>
          <w:color w:val="231F20"/>
        </w:rPr>
        <w:t>свих осталих радњи, активности и делатности </w:t>
      </w:r>
      <w:r>
        <w:rPr>
          <w:color w:val="231F20"/>
          <w:spacing w:val="-3"/>
        </w:rPr>
        <w:t>којима </w:t>
      </w:r>
      <w:r>
        <w:rPr>
          <w:color w:val="231F20"/>
        </w:rPr>
        <w:t>се угрожава оп- станак и очување овог мочварног подручја</w:t>
      </w:r>
      <w:r>
        <w:rPr>
          <w:color w:val="231F20"/>
          <w:spacing w:val="-9"/>
        </w:rPr>
        <w:t> </w:t>
      </w:r>
      <w:r>
        <w:rPr>
          <w:color w:val="231F20"/>
        </w:rPr>
        <w:t>и</w:t>
      </w:r>
    </w:p>
    <w:p>
      <w:pPr>
        <w:pStyle w:val="BodyText"/>
        <w:spacing w:line="232" w:lineRule="auto"/>
        <w:ind w:right="38" w:firstLine="396"/>
      </w:pPr>
      <w:r>
        <w:rPr>
          <w:color w:val="231F20"/>
          <w:w w:val="66"/>
        </w:rPr>
        <w:t> </w:t>
      </w:r>
      <w:r>
        <w:rPr>
          <w:color w:val="231F20"/>
        </w:rPr>
        <w:t>– забрана било каквих рударских и других активности које могу угрозити палеонтолошки локалитет где је пронађен компле- тан скелет најстарије врсте мамута – </w:t>
      </w:r>
      <w:r>
        <w:rPr>
          <w:i/>
          <w:color w:val="231F20"/>
        </w:rPr>
        <w:t>Mammuthus meridionalis </w:t>
      </w:r>
      <w:r>
        <w:rPr>
          <w:color w:val="231F20"/>
        </w:rPr>
        <w:t>(Ју- жни мамут).</w:t>
      </w:r>
    </w:p>
    <w:p>
      <w:pPr>
        <w:pStyle w:val="BodyText"/>
        <w:spacing w:line="232" w:lineRule="auto"/>
        <w:ind w:right="38" w:firstLine="396"/>
      </w:pPr>
      <w:r>
        <w:rPr>
          <w:color w:val="231F20"/>
        </w:rPr>
        <w:t>За идентификоване просторе </w:t>
      </w:r>
      <w:r>
        <w:rPr>
          <w:color w:val="231F20"/>
          <w:spacing w:val="-3"/>
        </w:rPr>
        <w:t>који </w:t>
      </w:r>
      <w:r>
        <w:rPr>
          <w:color w:val="231F20"/>
        </w:rPr>
        <w:t>чине део </w:t>
      </w:r>
      <w:r>
        <w:rPr>
          <w:color w:val="231F20"/>
          <w:spacing w:val="-3"/>
        </w:rPr>
        <w:t>еколошке </w:t>
      </w:r>
      <w:r>
        <w:rPr>
          <w:color w:val="231F20"/>
        </w:rPr>
        <w:t>мреже </w:t>
      </w:r>
      <w:r>
        <w:rPr>
          <w:color w:val="231F20"/>
          <w:spacing w:val="-3"/>
        </w:rPr>
        <w:t>од </w:t>
      </w:r>
      <w:r>
        <w:rPr>
          <w:color w:val="231F20"/>
        </w:rPr>
        <w:t>националног значаја, а </w:t>
      </w:r>
      <w:r>
        <w:rPr>
          <w:color w:val="231F20"/>
          <w:spacing w:val="-3"/>
        </w:rPr>
        <w:t>који </w:t>
      </w:r>
      <w:r>
        <w:rPr>
          <w:color w:val="231F20"/>
        </w:rPr>
        <w:t>обухватају плавно подручје и део пловног пута Дунава са Адом Жилавом изградња и уређење се обавља у складу са режимима, условима и мерама заштите </w:t>
      </w:r>
      <w:r>
        <w:rPr>
          <w:color w:val="231F20"/>
          <w:spacing w:val="-3"/>
        </w:rPr>
        <w:t>који </w:t>
      </w:r>
      <w:r>
        <w:rPr>
          <w:color w:val="231F20"/>
        </w:rPr>
        <w:t>су</w:t>
      </w:r>
    </w:p>
    <w:p>
      <w:pPr>
        <w:pStyle w:val="BodyText"/>
        <w:spacing w:line="232" w:lineRule="auto" w:before="78"/>
        <w:ind w:left="169" w:right="342" w:hanging="1"/>
        <w:jc w:val="left"/>
      </w:pPr>
      <w:r>
        <w:rPr/>
        <w:br w:type="column"/>
      </w:r>
      <w:r>
        <w:rPr>
          <w:color w:val="231F20"/>
        </w:rPr>
        <w:t>утврђени Уредбом о еколошкој мрежи („Службени гласник РС”, број 102/10) и обухватају:</w:t>
      </w:r>
    </w:p>
    <w:p>
      <w:pPr>
        <w:pStyle w:val="BodyText"/>
        <w:spacing w:line="232" w:lineRule="auto"/>
        <w:ind w:left="169" w:right="411" w:firstLine="396"/>
      </w:pPr>
      <w:r>
        <w:rPr>
          <w:color w:val="231F20"/>
          <w:w w:val="66"/>
        </w:rPr>
        <w:t> </w:t>
      </w:r>
      <w:r>
        <w:rPr>
          <w:color w:val="231F20"/>
        </w:rPr>
        <w:t>– забрану уништавања и нарушавања станишта као и уни- штавање и узнемиравање дивљих врста;</w:t>
      </w:r>
    </w:p>
    <w:p>
      <w:pPr>
        <w:pStyle w:val="BodyText"/>
        <w:spacing w:line="232" w:lineRule="auto" w:before="1"/>
        <w:ind w:left="169" w:right="411" w:firstLine="396"/>
      </w:pPr>
      <w:r>
        <w:rPr>
          <w:color w:val="231F20"/>
          <w:w w:val="66"/>
        </w:rPr>
        <w:t> </w:t>
      </w:r>
      <w:r>
        <w:rPr>
          <w:color w:val="231F20"/>
        </w:rPr>
        <w:t>– забрану промене намене површина под природном и полу- природном вегетацијом (ливаде, пашњаци, тршћаци и друго);</w:t>
      </w:r>
    </w:p>
    <w:p>
      <w:pPr>
        <w:pStyle w:val="BodyText"/>
        <w:spacing w:line="232" w:lineRule="auto"/>
        <w:ind w:right="411" w:firstLine="396"/>
      </w:pPr>
      <w:r>
        <w:rPr>
          <w:color w:val="231F20"/>
          <w:w w:val="66"/>
        </w:rPr>
        <w:t> </w:t>
      </w:r>
      <w:r>
        <w:rPr>
          <w:color w:val="231F20"/>
        </w:rPr>
        <w:t>– забрану промене морфолошких и хидролошких особина подручја од којих зависи функционалност коридора;</w:t>
      </w:r>
    </w:p>
    <w:p>
      <w:pPr>
        <w:pStyle w:val="BodyText"/>
        <w:spacing w:line="232" w:lineRule="auto" w:before="1"/>
        <w:ind w:right="411" w:firstLine="396"/>
      </w:pPr>
      <w:r>
        <w:rPr>
          <w:color w:val="231F20"/>
          <w:w w:val="66"/>
        </w:rPr>
        <w:t> </w:t>
      </w:r>
      <w:r>
        <w:rPr>
          <w:color w:val="231F20"/>
        </w:rPr>
        <w:t>–</w:t>
      </w:r>
      <w:r>
        <w:rPr>
          <w:color w:val="231F20"/>
          <w:spacing w:val="-6"/>
        </w:rPr>
        <w:t> </w:t>
      </w:r>
      <w:r>
        <w:rPr>
          <w:color w:val="231F20"/>
        </w:rPr>
        <w:t>очување</w:t>
      </w:r>
      <w:r>
        <w:rPr>
          <w:color w:val="231F20"/>
          <w:spacing w:val="-6"/>
        </w:rPr>
        <w:t> </w:t>
      </w:r>
      <w:r>
        <w:rPr>
          <w:color w:val="231F20"/>
        </w:rPr>
        <w:t>и</w:t>
      </w:r>
      <w:r>
        <w:rPr>
          <w:color w:val="231F20"/>
          <w:spacing w:val="-6"/>
        </w:rPr>
        <w:t> </w:t>
      </w:r>
      <w:r>
        <w:rPr>
          <w:color w:val="231F20"/>
        </w:rPr>
        <w:t>унапређење</w:t>
      </w:r>
      <w:r>
        <w:rPr>
          <w:color w:val="231F20"/>
          <w:spacing w:val="-6"/>
        </w:rPr>
        <w:t> </w:t>
      </w:r>
      <w:r>
        <w:rPr>
          <w:color w:val="231F20"/>
        </w:rPr>
        <w:t>природних</w:t>
      </w:r>
      <w:r>
        <w:rPr>
          <w:color w:val="231F20"/>
          <w:spacing w:val="-6"/>
        </w:rPr>
        <w:t> </w:t>
      </w:r>
      <w:r>
        <w:rPr>
          <w:color w:val="231F20"/>
        </w:rPr>
        <w:t>и</w:t>
      </w:r>
      <w:r>
        <w:rPr>
          <w:color w:val="231F20"/>
          <w:spacing w:val="-6"/>
        </w:rPr>
        <w:t> </w:t>
      </w:r>
      <w:r>
        <w:rPr>
          <w:color w:val="231F20"/>
        </w:rPr>
        <w:t>полуприродних</w:t>
      </w:r>
      <w:r>
        <w:rPr>
          <w:color w:val="231F20"/>
          <w:spacing w:val="-6"/>
        </w:rPr>
        <w:t> </w:t>
      </w:r>
      <w:r>
        <w:rPr>
          <w:color w:val="231F20"/>
        </w:rPr>
        <w:t>елеме- ната коридора у складу са предеоним и вегетацијским карактери- стикама</w:t>
      </w:r>
      <w:r>
        <w:rPr>
          <w:color w:val="231F20"/>
          <w:spacing w:val="-1"/>
        </w:rPr>
        <w:t> </w:t>
      </w:r>
      <w:r>
        <w:rPr>
          <w:color w:val="231F20"/>
        </w:rPr>
        <w:t>подручја;</w:t>
      </w:r>
    </w:p>
    <w:p>
      <w:pPr>
        <w:pStyle w:val="BodyText"/>
        <w:spacing w:line="232" w:lineRule="auto" w:before="1"/>
        <w:ind w:right="410" w:firstLine="396"/>
      </w:pPr>
      <w:r>
        <w:rPr>
          <w:color w:val="231F20"/>
          <w:w w:val="66"/>
        </w:rPr>
        <w:t> </w:t>
      </w:r>
      <w:r>
        <w:rPr>
          <w:color w:val="231F20"/>
        </w:rPr>
        <w:t>– стимулисање традиционалног вида коришћења простора који доприноси очувању и унапређењу биодиверзитета;</w:t>
      </w:r>
    </w:p>
    <w:p>
      <w:pPr>
        <w:pStyle w:val="BodyText"/>
        <w:spacing w:line="232" w:lineRule="auto"/>
        <w:ind w:right="411" w:firstLine="396"/>
      </w:pPr>
      <w:r>
        <w:rPr>
          <w:color w:val="231F20"/>
          <w:w w:val="66"/>
        </w:rPr>
        <w:t> </w:t>
      </w:r>
      <w:r>
        <w:rPr>
          <w:color w:val="231F20"/>
        </w:rPr>
        <w:t>– предузимање мера којима се обезбеђује спречавање, одно- сно смањење, контрола и санација свих облика загађивања;</w:t>
      </w:r>
    </w:p>
    <w:p>
      <w:pPr>
        <w:pStyle w:val="BodyText"/>
        <w:spacing w:line="232" w:lineRule="auto" w:before="1"/>
        <w:ind w:left="169" w:right="411" w:firstLine="397"/>
      </w:pPr>
      <w:r>
        <w:rPr>
          <w:color w:val="231F20"/>
          <w:w w:val="66"/>
        </w:rPr>
        <w:t> </w:t>
      </w:r>
      <w:r>
        <w:rPr>
          <w:color w:val="231F20"/>
        </w:rPr>
        <w:t>– унапређење еколошких коридора унутар грађевинских подручја, успостављањем континуитета зелених површина чија структура и намена подржава функције коридора и</w:t>
      </w:r>
    </w:p>
    <w:p>
      <w:pPr>
        <w:pStyle w:val="BodyText"/>
        <w:spacing w:line="232" w:lineRule="auto" w:before="1"/>
        <w:ind w:left="169" w:right="411" w:firstLine="397"/>
      </w:pPr>
      <w:r>
        <w:rPr>
          <w:color w:val="231F20"/>
          <w:w w:val="66"/>
        </w:rPr>
        <w:t> </w:t>
      </w:r>
      <w:r>
        <w:rPr>
          <w:color w:val="231F20"/>
        </w:rPr>
        <w:t>– обавезу обезбеђења техничко –технолошка решења за нео- метано кретање дивљих врста на местима укрштања еколошких коридора са елементима инфраструктурних система.</w:t>
      </w:r>
    </w:p>
    <w:p>
      <w:pPr>
        <w:pStyle w:val="BodyText"/>
        <w:spacing w:line="232" w:lineRule="auto" w:before="1"/>
        <w:ind w:left="169" w:right="411" w:firstLine="397"/>
      </w:pPr>
      <w:r>
        <w:rPr>
          <w:color w:val="231F20"/>
        </w:rPr>
        <w:t>Поред националног, подручја укључена у еколошку мрежу Србије имају и међународни значај. Сходно томе, постоји обавеза поштовања:</w:t>
      </w:r>
    </w:p>
    <w:p>
      <w:pPr>
        <w:pStyle w:val="BodyText"/>
        <w:spacing w:line="232" w:lineRule="auto" w:before="1"/>
        <w:ind w:left="169" w:right="411" w:firstLine="397"/>
      </w:pPr>
      <w:r>
        <w:rPr>
          <w:color w:val="231F20"/>
          <w:w w:val="66"/>
        </w:rPr>
        <w:t> </w:t>
      </w:r>
      <w:r>
        <w:rPr>
          <w:color w:val="231F20"/>
        </w:rPr>
        <w:t>– Конвенције о подручјима влажних станишта (Уредба о ра- тификацији Конвенције о мочварама које су од међународног зна- чаја, „Службени гласник СФРЈ”, број 9/1977) за заштићено Рам- сарско подручје – „Лабудово окно” које се налази низводно од ушћа реке Млаве у Дунав; и</w:t>
      </w:r>
    </w:p>
    <w:p>
      <w:pPr>
        <w:pStyle w:val="BodyText"/>
        <w:spacing w:line="232" w:lineRule="auto" w:before="1"/>
        <w:ind w:left="168" w:right="412" w:firstLine="397"/>
      </w:pPr>
      <w:r>
        <w:rPr>
          <w:color w:val="231F20"/>
          <w:w w:val="66"/>
        </w:rPr>
        <w:t> </w:t>
      </w:r>
      <w:r>
        <w:rPr>
          <w:color w:val="231F20"/>
        </w:rPr>
        <w:t>–</w:t>
      </w:r>
      <w:r>
        <w:rPr>
          <w:color w:val="231F20"/>
          <w:spacing w:val="-12"/>
        </w:rPr>
        <w:t> </w:t>
      </w:r>
      <w:r>
        <w:rPr>
          <w:color w:val="231F20"/>
        </w:rPr>
        <w:t>Конвенције</w:t>
      </w:r>
      <w:r>
        <w:rPr>
          <w:color w:val="231F20"/>
          <w:spacing w:val="-12"/>
        </w:rPr>
        <w:t> </w:t>
      </w:r>
      <w:r>
        <w:rPr>
          <w:color w:val="231F20"/>
        </w:rPr>
        <w:t>о</w:t>
      </w:r>
      <w:r>
        <w:rPr>
          <w:color w:val="231F20"/>
          <w:spacing w:val="-12"/>
        </w:rPr>
        <w:t> </w:t>
      </w:r>
      <w:r>
        <w:rPr>
          <w:color w:val="231F20"/>
        </w:rPr>
        <w:t>очувању</w:t>
      </w:r>
      <w:r>
        <w:rPr>
          <w:color w:val="231F20"/>
          <w:spacing w:val="-12"/>
        </w:rPr>
        <w:t> </w:t>
      </w:r>
      <w:r>
        <w:rPr>
          <w:color w:val="231F20"/>
        </w:rPr>
        <w:t>дивљег</w:t>
      </w:r>
      <w:r>
        <w:rPr>
          <w:color w:val="231F20"/>
          <w:spacing w:val="-12"/>
        </w:rPr>
        <w:t> </w:t>
      </w:r>
      <w:r>
        <w:rPr>
          <w:color w:val="231F20"/>
        </w:rPr>
        <w:t>биљног</w:t>
      </w:r>
      <w:r>
        <w:rPr>
          <w:color w:val="231F20"/>
          <w:spacing w:val="-12"/>
        </w:rPr>
        <w:t> </w:t>
      </w:r>
      <w:r>
        <w:rPr>
          <w:color w:val="231F20"/>
        </w:rPr>
        <w:t>и</w:t>
      </w:r>
      <w:r>
        <w:rPr>
          <w:color w:val="231F20"/>
          <w:spacing w:val="-12"/>
        </w:rPr>
        <w:t> </w:t>
      </w:r>
      <w:r>
        <w:rPr>
          <w:color w:val="231F20"/>
        </w:rPr>
        <w:t>животињског</w:t>
      </w:r>
      <w:r>
        <w:rPr>
          <w:color w:val="231F20"/>
          <w:spacing w:val="-12"/>
        </w:rPr>
        <w:t> </w:t>
      </w:r>
      <w:r>
        <w:rPr>
          <w:color w:val="231F20"/>
        </w:rPr>
        <w:t>света и природних станишта Европе – Бернска конвенција („Службени гласник</w:t>
      </w:r>
      <w:r>
        <w:rPr>
          <w:color w:val="231F20"/>
          <w:spacing w:val="-5"/>
        </w:rPr>
        <w:t> </w:t>
      </w:r>
      <w:r>
        <w:rPr>
          <w:color w:val="231F20"/>
        </w:rPr>
        <w:t>РС”</w:t>
      </w:r>
      <w:r>
        <w:rPr>
          <w:color w:val="231F20"/>
          <w:spacing w:val="-21"/>
        </w:rPr>
        <w:t> </w:t>
      </w:r>
      <w:r>
        <w:rPr>
          <w:color w:val="231F20"/>
        </w:rPr>
        <w:t>–</w:t>
      </w:r>
      <w:r>
        <w:rPr>
          <w:color w:val="231F20"/>
          <w:spacing w:val="-4"/>
        </w:rPr>
        <w:t> </w:t>
      </w:r>
      <w:r>
        <w:rPr>
          <w:color w:val="231F20"/>
        </w:rPr>
        <w:t>Међународни</w:t>
      </w:r>
      <w:r>
        <w:rPr>
          <w:color w:val="231F20"/>
          <w:spacing w:val="-4"/>
        </w:rPr>
        <w:t> </w:t>
      </w:r>
      <w:r>
        <w:rPr>
          <w:color w:val="231F20"/>
        </w:rPr>
        <w:t>уговори,</w:t>
      </w:r>
      <w:r>
        <w:rPr>
          <w:color w:val="231F20"/>
          <w:spacing w:val="-4"/>
        </w:rPr>
        <w:t> </w:t>
      </w:r>
      <w:r>
        <w:rPr>
          <w:color w:val="231F20"/>
        </w:rPr>
        <w:t>број</w:t>
      </w:r>
      <w:r>
        <w:rPr>
          <w:color w:val="231F20"/>
          <w:spacing w:val="-5"/>
        </w:rPr>
        <w:t> </w:t>
      </w:r>
      <w:r>
        <w:rPr>
          <w:color w:val="231F20"/>
        </w:rPr>
        <w:t>102/07)</w:t>
      </w:r>
      <w:r>
        <w:rPr>
          <w:color w:val="231F20"/>
          <w:spacing w:val="-4"/>
        </w:rPr>
        <w:t> </w:t>
      </w:r>
      <w:r>
        <w:rPr>
          <w:color w:val="231F20"/>
        </w:rPr>
        <w:t>за</w:t>
      </w:r>
      <w:r>
        <w:rPr>
          <w:color w:val="231F20"/>
          <w:spacing w:val="-4"/>
        </w:rPr>
        <w:t> </w:t>
      </w:r>
      <w:r>
        <w:rPr>
          <w:color w:val="231F20"/>
        </w:rPr>
        <w:t>потенцијална Емералд</w:t>
      </w:r>
      <w:r>
        <w:rPr>
          <w:color w:val="231F20"/>
          <w:spacing w:val="-6"/>
        </w:rPr>
        <w:t> </w:t>
      </w:r>
      <w:r>
        <w:rPr>
          <w:color w:val="231F20"/>
        </w:rPr>
        <w:t>подручја</w:t>
      </w:r>
      <w:r>
        <w:rPr>
          <w:color w:val="231F20"/>
          <w:spacing w:val="-6"/>
        </w:rPr>
        <w:t> </w:t>
      </w:r>
      <w:r>
        <w:rPr>
          <w:color w:val="231F20"/>
          <w:spacing w:val="-3"/>
        </w:rPr>
        <w:t>која</w:t>
      </w:r>
      <w:r>
        <w:rPr>
          <w:color w:val="231F20"/>
          <w:spacing w:val="-6"/>
        </w:rPr>
        <w:t> </w:t>
      </w:r>
      <w:r>
        <w:rPr>
          <w:color w:val="231F20"/>
        </w:rPr>
        <w:t>су</w:t>
      </w:r>
      <w:r>
        <w:rPr>
          <w:color w:val="231F20"/>
          <w:spacing w:val="-6"/>
        </w:rPr>
        <w:t> </w:t>
      </w:r>
      <w:r>
        <w:rPr>
          <w:color w:val="231F20"/>
        </w:rPr>
        <w:t>у</w:t>
      </w:r>
      <w:r>
        <w:rPr>
          <w:color w:val="231F20"/>
          <w:spacing w:val="-6"/>
        </w:rPr>
        <w:t> </w:t>
      </w:r>
      <w:r>
        <w:rPr>
          <w:color w:val="231F20"/>
          <w:spacing w:val="-3"/>
        </w:rPr>
        <w:t>обухвату</w:t>
      </w:r>
      <w:r>
        <w:rPr>
          <w:color w:val="231F20"/>
          <w:spacing w:val="-6"/>
        </w:rPr>
        <w:t> </w:t>
      </w:r>
      <w:r>
        <w:rPr>
          <w:color w:val="231F20"/>
        </w:rPr>
        <w:t>Плана</w:t>
      </w:r>
      <w:r>
        <w:rPr>
          <w:color w:val="231F20"/>
          <w:spacing w:val="-6"/>
        </w:rPr>
        <w:t> </w:t>
      </w:r>
      <w:r>
        <w:rPr>
          <w:color w:val="231F20"/>
        </w:rPr>
        <w:t>(Жилавска</w:t>
      </w:r>
      <w:r>
        <w:rPr>
          <w:color w:val="231F20"/>
          <w:spacing w:val="-6"/>
        </w:rPr>
        <w:t> </w:t>
      </w:r>
      <w:r>
        <w:rPr>
          <w:color w:val="231F20"/>
        </w:rPr>
        <w:t>и</w:t>
      </w:r>
      <w:r>
        <w:rPr>
          <w:color w:val="231F20"/>
          <w:spacing w:val="-6"/>
        </w:rPr>
        <w:t> </w:t>
      </w:r>
      <w:r>
        <w:rPr>
          <w:color w:val="231F20"/>
        </w:rPr>
        <w:t>Чибуклиј- ска ада као и </w:t>
      </w:r>
      <w:r>
        <w:rPr>
          <w:color w:val="231F20"/>
          <w:spacing w:val="-3"/>
        </w:rPr>
        <w:t>Лабудово</w:t>
      </w:r>
      <w:r>
        <w:rPr>
          <w:color w:val="231F20"/>
          <w:spacing w:val="-2"/>
        </w:rPr>
        <w:t> </w:t>
      </w:r>
      <w:r>
        <w:rPr>
          <w:color w:val="231F20"/>
        </w:rPr>
        <w:t>окно).</w:t>
      </w:r>
    </w:p>
    <w:p>
      <w:pPr>
        <w:pStyle w:val="BodyText"/>
        <w:spacing w:line="232" w:lineRule="auto" w:before="1"/>
        <w:ind w:left="168" w:right="412" w:firstLine="397"/>
      </w:pPr>
      <w:r>
        <w:rPr>
          <w:color w:val="231F20"/>
        </w:rPr>
        <w:t>У складу са </w:t>
      </w:r>
      <w:r>
        <w:rPr>
          <w:color w:val="231F20"/>
          <w:spacing w:val="-4"/>
        </w:rPr>
        <w:t>Уредбом </w:t>
      </w:r>
      <w:r>
        <w:rPr>
          <w:color w:val="231F20"/>
        </w:rPr>
        <w:t>о </w:t>
      </w:r>
      <w:r>
        <w:rPr>
          <w:color w:val="231F20"/>
          <w:spacing w:val="-3"/>
        </w:rPr>
        <w:t>еколошкој </w:t>
      </w:r>
      <w:r>
        <w:rPr>
          <w:color w:val="231F20"/>
        </w:rPr>
        <w:t>мрежи на подручјима IBA, </w:t>
      </w:r>
      <w:r>
        <w:rPr>
          <w:color w:val="231F20"/>
          <w:spacing w:val="-5"/>
        </w:rPr>
        <w:t>IPA,</w:t>
      </w:r>
      <w:r>
        <w:rPr>
          <w:color w:val="231F20"/>
          <w:spacing w:val="-6"/>
        </w:rPr>
        <w:t> </w:t>
      </w:r>
      <w:r>
        <w:rPr>
          <w:color w:val="231F20"/>
        </w:rPr>
        <w:t>PBA</w:t>
      </w:r>
      <w:r>
        <w:rPr>
          <w:color w:val="231F20"/>
          <w:spacing w:val="-15"/>
        </w:rPr>
        <w:t> </w:t>
      </w:r>
      <w:r>
        <w:rPr>
          <w:color w:val="231F20"/>
        </w:rPr>
        <w:t>и</w:t>
      </w:r>
      <w:r>
        <w:rPr>
          <w:color w:val="231F20"/>
          <w:spacing w:val="-6"/>
        </w:rPr>
        <w:t> </w:t>
      </w:r>
      <w:r>
        <w:rPr>
          <w:color w:val="231F20"/>
        </w:rPr>
        <w:t>Емералд</w:t>
      </w:r>
      <w:r>
        <w:rPr>
          <w:color w:val="231F20"/>
          <w:spacing w:val="-6"/>
        </w:rPr>
        <w:t> </w:t>
      </w:r>
      <w:r>
        <w:rPr>
          <w:color w:val="231F20"/>
        </w:rPr>
        <w:t>мрежа</w:t>
      </w:r>
      <w:r>
        <w:rPr>
          <w:color w:val="231F20"/>
          <w:spacing w:val="-6"/>
        </w:rPr>
        <w:t> </w:t>
      </w:r>
      <w:r>
        <w:rPr>
          <w:color w:val="231F20"/>
        </w:rPr>
        <w:t>успоставља</w:t>
      </w:r>
      <w:r>
        <w:rPr>
          <w:color w:val="231F20"/>
          <w:spacing w:val="-6"/>
        </w:rPr>
        <w:t> </w:t>
      </w:r>
      <w:r>
        <w:rPr>
          <w:color w:val="231F20"/>
        </w:rPr>
        <w:t>се</w:t>
      </w:r>
      <w:r>
        <w:rPr>
          <w:color w:val="231F20"/>
          <w:spacing w:val="-6"/>
        </w:rPr>
        <w:t> </w:t>
      </w:r>
      <w:r>
        <w:rPr>
          <w:color w:val="231F20"/>
        </w:rPr>
        <w:t>обавеза</w:t>
      </w:r>
      <w:r>
        <w:rPr>
          <w:color w:val="231F20"/>
          <w:spacing w:val="-6"/>
        </w:rPr>
        <w:t> </w:t>
      </w:r>
      <w:r>
        <w:rPr>
          <w:color w:val="231F20"/>
        </w:rPr>
        <w:t>очувања</w:t>
      </w:r>
      <w:r>
        <w:rPr>
          <w:color w:val="231F20"/>
          <w:spacing w:val="-6"/>
        </w:rPr>
        <w:t> </w:t>
      </w:r>
      <w:r>
        <w:rPr>
          <w:color w:val="231F20"/>
        </w:rPr>
        <w:t>повољ- ног стања ретких и угрожених типова станишта и врста, односно избегавање пројекта и активности </w:t>
      </w:r>
      <w:r>
        <w:rPr>
          <w:color w:val="231F20"/>
          <w:spacing w:val="-3"/>
        </w:rPr>
        <w:t>којима </w:t>
      </w:r>
      <w:r>
        <w:rPr>
          <w:color w:val="231F20"/>
        </w:rPr>
        <w:t>се могу значајно угрози- ти заштићена станишта и врсте. За све планиране пројекте, радо- ве и активности на овим подручјима као и у њиховој непосредној близини,</w:t>
      </w:r>
      <w:r>
        <w:rPr>
          <w:color w:val="231F20"/>
          <w:spacing w:val="-8"/>
        </w:rPr>
        <w:t> </w:t>
      </w:r>
      <w:r>
        <w:rPr>
          <w:color w:val="231F20"/>
          <w:spacing w:val="-3"/>
        </w:rPr>
        <w:t>који</w:t>
      </w:r>
      <w:r>
        <w:rPr>
          <w:color w:val="231F20"/>
          <w:spacing w:val="-8"/>
        </w:rPr>
        <w:t> </w:t>
      </w:r>
      <w:r>
        <w:rPr>
          <w:color w:val="231F20"/>
        </w:rPr>
        <w:t>могу</w:t>
      </w:r>
      <w:r>
        <w:rPr>
          <w:color w:val="231F20"/>
          <w:spacing w:val="-8"/>
        </w:rPr>
        <w:t> </w:t>
      </w:r>
      <w:r>
        <w:rPr>
          <w:color w:val="231F20"/>
        </w:rPr>
        <w:t>имати</w:t>
      </w:r>
      <w:r>
        <w:rPr>
          <w:color w:val="231F20"/>
          <w:spacing w:val="-8"/>
        </w:rPr>
        <w:t> </w:t>
      </w:r>
      <w:r>
        <w:rPr>
          <w:color w:val="231F20"/>
        </w:rPr>
        <w:t>значајан</w:t>
      </w:r>
      <w:r>
        <w:rPr>
          <w:color w:val="231F20"/>
          <w:spacing w:val="-8"/>
        </w:rPr>
        <w:t> </w:t>
      </w:r>
      <w:r>
        <w:rPr>
          <w:color w:val="231F20"/>
        </w:rPr>
        <w:t>утицај</w:t>
      </w:r>
      <w:r>
        <w:rPr>
          <w:color w:val="231F20"/>
          <w:spacing w:val="-7"/>
        </w:rPr>
        <w:t> </w:t>
      </w:r>
      <w:r>
        <w:rPr>
          <w:color w:val="231F20"/>
        </w:rPr>
        <w:t>на</w:t>
      </w:r>
      <w:r>
        <w:rPr>
          <w:color w:val="231F20"/>
          <w:spacing w:val="-8"/>
        </w:rPr>
        <w:t> </w:t>
      </w:r>
      <w:r>
        <w:rPr>
          <w:color w:val="231F20"/>
        </w:rPr>
        <w:t>њихово</w:t>
      </w:r>
      <w:r>
        <w:rPr>
          <w:color w:val="231F20"/>
          <w:spacing w:val="-8"/>
        </w:rPr>
        <w:t> </w:t>
      </w:r>
      <w:r>
        <w:rPr>
          <w:color w:val="231F20"/>
        </w:rPr>
        <w:t>очување,</w:t>
      </w:r>
      <w:r>
        <w:rPr>
          <w:color w:val="231F20"/>
          <w:spacing w:val="-7"/>
        </w:rPr>
        <w:t> </w:t>
      </w:r>
      <w:r>
        <w:rPr>
          <w:color w:val="231F20"/>
        </w:rPr>
        <w:t>нео- </w:t>
      </w:r>
      <w:r>
        <w:rPr>
          <w:color w:val="231F20"/>
          <w:spacing w:val="-3"/>
        </w:rPr>
        <w:t>пходно</w:t>
      </w:r>
      <w:r>
        <w:rPr>
          <w:color w:val="231F20"/>
          <w:spacing w:val="-6"/>
        </w:rPr>
        <w:t> </w:t>
      </w:r>
      <w:r>
        <w:rPr>
          <w:color w:val="231F20"/>
        </w:rPr>
        <w:t>је</w:t>
      </w:r>
      <w:r>
        <w:rPr>
          <w:color w:val="231F20"/>
          <w:spacing w:val="-6"/>
        </w:rPr>
        <w:t> </w:t>
      </w:r>
      <w:r>
        <w:rPr>
          <w:color w:val="231F20"/>
        </w:rPr>
        <w:t>спровести</w:t>
      </w:r>
      <w:r>
        <w:rPr>
          <w:color w:val="231F20"/>
          <w:spacing w:val="-6"/>
        </w:rPr>
        <w:t> </w:t>
      </w:r>
      <w:r>
        <w:rPr>
          <w:color w:val="231F20"/>
        </w:rPr>
        <w:t>оцену</w:t>
      </w:r>
      <w:r>
        <w:rPr>
          <w:color w:val="231F20"/>
          <w:spacing w:val="-6"/>
        </w:rPr>
        <w:t> </w:t>
      </w:r>
      <w:r>
        <w:rPr>
          <w:color w:val="231F20"/>
        </w:rPr>
        <w:t>прихватљивости</w:t>
      </w:r>
      <w:r>
        <w:rPr>
          <w:color w:val="231F20"/>
          <w:spacing w:val="-6"/>
        </w:rPr>
        <w:t> </w:t>
      </w:r>
      <w:r>
        <w:rPr>
          <w:color w:val="231F20"/>
        </w:rPr>
        <w:t>у</w:t>
      </w:r>
      <w:r>
        <w:rPr>
          <w:color w:val="231F20"/>
          <w:spacing w:val="-6"/>
        </w:rPr>
        <w:t> </w:t>
      </w:r>
      <w:r>
        <w:rPr>
          <w:color w:val="231F20"/>
        </w:rPr>
        <w:t>складу</w:t>
      </w:r>
      <w:r>
        <w:rPr>
          <w:color w:val="231F20"/>
          <w:spacing w:val="-6"/>
        </w:rPr>
        <w:t> </w:t>
      </w:r>
      <w:r>
        <w:rPr>
          <w:color w:val="231F20"/>
        </w:rPr>
        <w:t>са</w:t>
      </w:r>
      <w:r>
        <w:rPr>
          <w:color w:val="231F20"/>
          <w:spacing w:val="-6"/>
        </w:rPr>
        <w:t> </w:t>
      </w:r>
      <w:r>
        <w:rPr>
          <w:color w:val="231F20"/>
        </w:rPr>
        <w:t>чланом</w:t>
      </w:r>
      <w:r>
        <w:rPr>
          <w:color w:val="231F20"/>
          <w:spacing w:val="-6"/>
        </w:rPr>
        <w:t> </w:t>
      </w:r>
      <w:r>
        <w:rPr>
          <w:color w:val="231F20"/>
        </w:rPr>
        <w:t>10. Закона о заштити</w:t>
      </w:r>
      <w:r>
        <w:rPr>
          <w:color w:val="231F20"/>
          <w:spacing w:val="-3"/>
        </w:rPr>
        <w:t> </w:t>
      </w:r>
      <w:r>
        <w:rPr>
          <w:color w:val="231F20"/>
        </w:rPr>
        <w:t>природе.</w:t>
      </w:r>
    </w:p>
    <w:p>
      <w:pPr>
        <w:pStyle w:val="ListParagraph"/>
        <w:numPr>
          <w:ilvl w:val="3"/>
          <w:numId w:val="50"/>
        </w:numPr>
        <w:tabs>
          <w:tab w:pos="1345" w:val="left" w:leader="none"/>
        </w:tabs>
        <w:spacing w:line="240" w:lineRule="auto" w:before="168" w:after="0"/>
        <w:ind w:left="1344" w:right="0" w:hanging="405"/>
        <w:jc w:val="left"/>
        <w:rPr>
          <w:i/>
          <w:sz w:val="18"/>
        </w:rPr>
      </w:pPr>
      <w:r>
        <w:rPr>
          <w:i/>
          <w:color w:val="231F20"/>
          <w:sz w:val="18"/>
        </w:rPr>
        <w:t>Подручја непокретних културних</w:t>
      </w:r>
      <w:r>
        <w:rPr>
          <w:i/>
          <w:color w:val="231F20"/>
          <w:spacing w:val="-6"/>
          <w:sz w:val="18"/>
        </w:rPr>
        <w:t> </w:t>
      </w:r>
      <w:r>
        <w:rPr>
          <w:i/>
          <w:color w:val="231F20"/>
          <w:sz w:val="18"/>
        </w:rPr>
        <w:t>добара</w:t>
      </w:r>
    </w:p>
    <w:p>
      <w:pPr>
        <w:pStyle w:val="BodyText"/>
        <w:spacing w:before="164"/>
        <w:ind w:left="1812"/>
        <w:jc w:val="left"/>
      </w:pPr>
      <w:r>
        <w:rPr>
          <w:color w:val="231F20"/>
        </w:rPr>
        <w:t>Археолошка налазишта</w:t>
      </w:r>
    </w:p>
    <w:p>
      <w:pPr>
        <w:pStyle w:val="BodyText"/>
        <w:spacing w:before="5"/>
        <w:ind w:left="0"/>
        <w:jc w:val="left"/>
        <w:rPr>
          <w:sz w:val="17"/>
        </w:rPr>
      </w:pPr>
    </w:p>
    <w:p>
      <w:pPr>
        <w:pStyle w:val="BodyText"/>
        <w:spacing w:line="232" w:lineRule="auto"/>
        <w:ind w:left="168" w:right="412" w:firstLine="397"/>
      </w:pPr>
      <w:r>
        <w:rPr>
          <w:color w:val="231F20"/>
        </w:rPr>
        <w:t>Археолошка истраживања на простору површинских </w:t>
      </w:r>
      <w:r>
        <w:rPr>
          <w:color w:val="231F20"/>
          <w:spacing w:val="-3"/>
        </w:rPr>
        <w:t>копова </w:t>
      </w:r>
      <w:r>
        <w:rPr>
          <w:color w:val="231F20"/>
        </w:rPr>
        <w:t>имају карактер заштитних интервенција </w:t>
      </w:r>
      <w:r>
        <w:rPr>
          <w:color w:val="231F20"/>
          <w:spacing w:val="-3"/>
        </w:rPr>
        <w:t>приликом </w:t>
      </w:r>
      <w:r>
        <w:rPr>
          <w:color w:val="231F20"/>
        </w:rPr>
        <w:t>извођења зе- мљаних и других радова. Истраживање археолошких локалитета изводи</w:t>
      </w:r>
      <w:r>
        <w:rPr>
          <w:color w:val="231F20"/>
          <w:spacing w:val="-8"/>
        </w:rPr>
        <w:t> </w:t>
      </w:r>
      <w:r>
        <w:rPr>
          <w:color w:val="231F20"/>
        </w:rPr>
        <w:t>се</w:t>
      </w:r>
      <w:r>
        <w:rPr>
          <w:color w:val="231F20"/>
          <w:spacing w:val="-8"/>
        </w:rPr>
        <w:t> </w:t>
      </w:r>
      <w:r>
        <w:rPr>
          <w:color w:val="231F20"/>
        </w:rPr>
        <w:t>у</w:t>
      </w:r>
      <w:r>
        <w:rPr>
          <w:color w:val="231F20"/>
          <w:spacing w:val="-8"/>
        </w:rPr>
        <w:t> </w:t>
      </w:r>
      <w:r>
        <w:rPr>
          <w:color w:val="231F20"/>
        </w:rPr>
        <w:t>зависности</w:t>
      </w:r>
      <w:r>
        <w:rPr>
          <w:color w:val="231F20"/>
          <w:spacing w:val="-8"/>
        </w:rPr>
        <w:t> </w:t>
      </w:r>
      <w:r>
        <w:rPr>
          <w:color w:val="231F20"/>
          <w:spacing w:val="-3"/>
        </w:rPr>
        <w:t>од</w:t>
      </w:r>
      <w:r>
        <w:rPr>
          <w:color w:val="231F20"/>
          <w:spacing w:val="-8"/>
        </w:rPr>
        <w:t> </w:t>
      </w:r>
      <w:r>
        <w:rPr>
          <w:color w:val="231F20"/>
        </w:rPr>
        <w:t>напредовања</w:t>
      </w:r>
      <w:r>
        <w:rPr>
          <w:color w:val="231F20"/>
          <w:spacing w:val="-8"/>
        </w:rPr>
        <w:t> </w:t>
      </w:r>
      <w:r>
        <w:rPr>
          <w:color w:val="231F20"/>
        </w:rPr>
        <w:t>радова</w:t>
      </w:r>
      <w:r>
        <w:rPr>
          <w:color w:val="231F20"/>
          <w:spacing w:val="-8"/>
        </w:rPr>
        <w:t> </w:t>
      </w:r>
      <w:r>
        <w:rPr>
          <w:color w:val="231F20"/>
        </w:rPr>
        <w:t>површинских</w:t>
      </w:r>
      <w:r>
        <w:rPr>
          <w:color w:val="231F20"/>
          <w:spacing w:val="-8"/>
        </w:rPr>
        <w:t> </w:t>
      </w:r>
      <w:r>
        <w:rPr>
          <w:color w:val="231F20"/>
          <w:spacing w:val="-3"/>
        </w:rPr>
        <w:t>копо- </w:t>
      </w:r>
      <w:r>
        <w:rPr>
          <w:color w:val="231F20"/>
        </w:rPr>
        <w:t>ва, а не по хронолошком, односно историјском</w:t>
      </w:r>
      <w:r>
        <w:rPr>
          <w:color w:val="231F20"/>
          <w:spacing w:val="-15"/>
        </w:rPr>
        <w:t> </w:t>
      </w:r>
      <w:r>
        <w:rPr>
          <w:color w:val="231F20"/>
          <w:spacing w:val="-3"/>
        </w:rPr>
        <w:t>распореду.</w:t>
      </w:r>
    </w:p>
    <w:p>
      <w:pPr>
        <w:pStyle w:val="BodyText"/>
        <w:spacing w:line="232" w:lineRule="auto" w:before="1"/>
        <w:ind w:left="169" w:right="411" w:firstLine="396"/>
      </w:pPr>
      <w:r>
        <w:rPr>
          <w:color w:val="231F20"/>
        </w:rPr>
        <w:t>Археолошка истраживања морају бити обухваћена посебним програмима, нарочито на подручју експлоатације површинских </w:t>
      </w:r>
      <w:r>
        <w:rPr>
          <w:color w:val="231F20"/>
          <w:spacing w:val="-3"/>
        </w:rPr>
        <w:t>копова </w:t>
      </w:r>
      <w:r>
        <w:rPr>
          <w:color w:val="231F20"/>
        </w:rPr>
        <w:t>и морају се спроводити континуирано. </w:t>
      </w:r>
      <w:r>
        <w:rPr>
          <w:color w:val="231F20"/>
          <w:spacing w:val="-7"/>
        </w:rPr>
        <w:t>То </w:t>
      </w:r>
      <w:r>
        <w:rPr>
          <w:color w:val="231F20"/>
        </w:rPr>
        <w:t>подразумева да је поред површинске проспекције терена (рекогносцирање) неоп- </w:t>
      </w:r>
      <w:r>
        <w:rPr>
          <w:color w:val="231F20"/>
          <w:spacing w:val="-3"/>
        </w:rPr>
        <w:t>ходна </w:t>
      </w:r>
      <w:r>
        <w:rPr>
          <w:color w:val="231F20"/>
        </w:rPr>
        <w:t>примена савремених мултидисциплинарних метода истра- живања – георадар, геоелектрика, ласерско мерење, авио снимање и друга. Ове методе омогућавају ефикасније дефинисање архео- лошке ситуације на терену и тиме скраћују време истраживања. На просторима </w:t>
      </w:r>
      <w:r>
        <w:rPr>
          <w:color w:val="231F20"/>
          <w:spacing w:val="-3"/>
        </w:rPr>
        <w:t>који </w:t>
      </w:r>
      <w:r>
        <w:rPr>
          <w:color w:val="231F20"/>
        </w:rPr>
        <w:t>су угрожени радовима површинских </w:t>
      </w:r>
      <w:r>
        <w:rPr>
          <w:color w:val="231F20"/>
          <w:spacing w:val="-3"/>
        </w:rPr>
        <w:t>копова </w:t>
      </w:r>
      <w:r>
        <w:rPr>
          <w:color w:val="231F20"/>
        </w:rPr>
        <w:t>нужна су интензивна заштитна археолошка ископавања ради бла- говременог откривања археолошких налаза. </w:t>
      </w:r>
      <w:r>
        <w:rPr>
          <w:color w:val="231F20"/>
          <w:spacing w:val="-3"/>
        </w:rPr>
        <w:t>Такође, </w:t>
      </w:r>
      <w:r>
        <w:rPr>
          <w:color w:val="231F20"/>
        </w:rPr>
        <w:t>потребно је обезбедити услове да не би дошло до оштећења објекта и предме- та </w:t>
      </w:r>
      <w:r>
        <w:rPr>
          <w:color w:val="231F20"/>
          <w:spacing w:val="-3"/>
        </w:rPr>
        <w:t>приликом </w:t>
      </w:r>
      <w:r>
        <w:rPr>
          <w:color w:val="231F20"/>
        </w:rPr>
        <w:t>рада </w:t>
      </w:r>
      <w:r>
        <w:rPr>
          <w:color w:val="231F20"/>
          <w:spacing w:val="-3"/>
        </w:rPr>
        <w:t>рударске</w:t>
      </w:r>
      <w:r>
        <w:rPr>
          <w:color w:val="231F20"/>
          <w:spacing w:val="1"/>
        </w:rPr>
        <w:t> </w:t>
      </w:r>
      <w:r>
        <w:rPr>
          <w:color w:val="231F20"/>
        </w:rPr>
        <w:t>механизације.</w:t>
      </w:r>
    </w:p>
    <w:p>
      <w:pPr>
        <w:pStyle w:val="BodyText"/>
        <w:spacing w:line="232" w:lineRule="auto" w:before="4"/>
        <w:ind w:left="169" w:right="410" w:firstLine="396"/>
      </w:pPr>
      <w:r>
        <w:rPr>
          <w:color w:val="231F20"/>
          <w:spacing w:val="-3"/>
        </w:rPr>
        <w:t>Приликом </w:t>
      </w:r>
      <w:r>
        <w:rPr>
          <w:color w:val="231F20"/>
        </w:rPr>
        <w:t>реализације инфраструктурне мреже (саобраћај, водовод, канализација, електрификација, телекомуникација, гасо- вод, и друго), инвеститор је дужан да финансира археолошку об- раду терена, надзор, промену динамике радова и измену у пројек- тима непосредно пре и у току радова. С обзиром на специфичност ове</w:t>
      </w:r>
      <w:r>
        <w:rPr>
          <w:color w:val="231F20"/>
          <w:spacing w:val="-7"/>
        </w:rPr>
        <w:t> </w:t>
      </w:r>
      <w:r>
        <w:rPr>
          <w:color w:val="231F20"/>
        </w:rPr>
        <w:t>групе</w:t>
      </w:r>
      <w:r>
        <w:rPr>
          <w:color w:val="231F20"/>
          <w:spacing w:val="-7"/>
        </w:rPr>
        <w:t> </w:t>
      </w:r>
      <w:r>
        <w:rPr>
          <w:color w:val="231F20"/>
        </w:rPr>
        <w:t>културних</w:t>
      </w:r>
      <w:r>
        <w:rPr>
          <w:color w:val="231F20"/>
          <w:spacing w:val="-7"/>
        </w:rPr>
        <w:t> </w:t>
      </w:r>
      <w:r>
        <w:rPr>
          <w:color w:val="231F20"/>
        </w:rPr>
        <w:t>добара</w:t>
      </w:r>
      <w:r>
        <w:rPr>
          <w:color w:val="231F20"/>
          <w:spacing w:val="-7"/>
        </w:rPr>
        <w:t> </w:t>
      </w:r>
      <w:r>
        <w:rPr>
          <w:color w:val="231F20"/>
        </w:rPr>
        <w:t>и</w:t>
      </w:r>
      <w:r>
        <w:rPr>
          <w:color w:val="231F20"/>
          <w:spacing w:val="-7"/>
        </w:rPr>
        <w:t> </w:t>
      </w:r>
      <w:r>
        <w:rPr>
          <w:color w:val="231F20"/>
        </w:rPr>
        <w:t>на</w:t>
      </w:r>
      <w:r>
        <w:rPr>
          <w:color w:val="231F20"/>
          <w:spacing w:val="-7"/>
        </w:rPr>
        <w:t> </w:t>
      </w:r>
      <w:r>
        <w:rPr>
          <w:color w:val="231F20"/>
        </w:rPr>
        <w:t>неистраженост</w:t>
      </w:r>
      <w:r>
        <w:rPr>
          <w:color w:val="231F20"/>
          <w:spacing w:val="-7"/>
        </w:rPr>
        <w:t> </w:t>
      </w:r>
      <w:r>
        <w:rPr>
          <w:color w:val="231F20"/>
        </w:rPr>
        <w:t>простора</w:t>
      </w:r>
      <w:r>
        <w:rPr>
          <w:color w:val="231F20"/>
          <w:spacing w:val="-7"/>
        </w:rPr>
        <w:t> </w:t>
      </w:r>
      <w:r>
        <w:rPr>
          <w:color w:val="231F20"/>
        </w:rPr>
        <w:t>важан</w:t>
      </w:r>
      <w:r>
        <w:rPr>
          <w:color w:val="231F20"/>
          <w:spacing w:val="-7"/>
        </w:rPr>
        <w:t> </w:t>
      </w:r>
      <w:r>
        <w:rPr>
          <w:color w:val="231F20"/>
        </w:rPr>
        <w:t>је стални надзор археолога </w:t>
      </w:r>
      <w:r>
        <w:rPr>
          <w:color w:val="231F20"/>
          <w:spacing w:val="-3"/>
        </w:rPr>
        <w:t>приликом </w:t>
      </w:r>
      <w:r>
        <w:rPr>
          <w:color w:val="231F20"/>
        </w:rPr>
        <w:t>извођења земљаних радова и по потреби</w:t>
      </w:r>
      <w:r>
        <w:rPr>
          <w:color w:val="231F20"/>
          <w:spacing w:val="-2"/>
        </w:rPr>
        <w:t> </w:t>
      </w:r>
      <w:r>
        <w:rPr>
          <w:color w:val="231F20"/>
        </w:rPr>
        <w:t>интервенције.</w:t>
      </w:r>
    </w:p>
    <w:p>
      <w:pPr>
        <w:spacing w:after="0" w:line="232" w:lineRule="auto"/>
        <w:sectPr>
          <w:pgSz w:w="12480" w:h="15690"/>
          <w:pgMar w:top="120" w:bottom="280" w:left="680" w:right="720"/>
          <w:cols w:num="2" w:equalWidth="0">
            <w:col w:w="5314" w:space="73"/>
            <w:col w:w="5693"/>
          </w:cols>
        </w:sectPr>
      </w:pPr>
    </w:p>
    <w:p>
      <w:pPr>
        <w:pStyle w:val="BodyText"/>
        <w:spacing w:line="232" w:lineRule="auto" w:before="73"/>
        <w:ind w:left="454" w:right="1" w:firstLine="396"/>
      </w:pPr>
      <w:r>
        <w:rPr/>
        <w:pict>
          <v:line style="position:absolute;mso-position-horizontal-relative:page;mso-position-vertical-relative:page;z-index:3616" from="318.897614pt,11.942451pt" to="318.897614pt,748.950451pt" stroked="true" strokeweight=".6pt" strokecolor="#231f20">
            <v:stroke dashstyle="solid"/>
            <w10:wrap type="none"/>
          </v:line>
        </w:pict>
      </w:r>
      <w:r>
        <w:rPr>
          <w:color w:val="231F20"/>
        </w:rPr>
        <w:t>Утврђују се следеће зоне од посебног археолошког значаја, које ће бити систематски археолошки истражене, валоризоване и презентиране:</w:t>
      </w:r>
    </w:p>
    <w:p>
      <w:pPr>
        <w:pStyle w:val="BodyText"/>
        <w:spacing w:line="232" w:lineRule="auto"/>
        <w:ind w:left="850" w:right="1387"/>
        <w:jc w:val="left"/>
      </w:pPr>
      <w:r>
        <w:rPr>
          <w:color w:val="231F20"/>
        </w:rPr>
        <w:t>А) Aрхеолошко налазиште Виминацијум, Б) Средњовековни град Браничево,</w:t>
      </w:r>
    </w:p>
    <w:p>
      <w:pPr>
        <w:pStyle w:val="BodyText"/>
        <w:spacing w:line="232" w:lineRule="auto"/>
        <w:ind w:left="851" w:right="1387" w:hanging="1"/>
        <w:jc w:val="left"/>
      </w:pPr>
      <w:r>
        <w:rPr>
          <w:color w:val="231F20"/>
        </w:rPr>
        <w:t>В) Палеонтолошко налазиште „Мамут” и Г) Маргум/Дубравица.</w:t>
      </w:r>
    </w:p>
    <w:p>
      <w:pPr>
        <w:pStyle w:val="BodyText"/>
        <w:spacing w:line="232" w:lineRule="auto"/>
        <w:ind w:left="454" w:right="1" w:firstLine="396"/>
      </w:pPr>
      <w:r>
        <w:rPr>
          <w:color w:val="231F20"/>
        </w:rPr>
        <w:t>А а) </w:t>
      </w:r>
      <w:r>
        <w:rPr>
          <w:color w:val="231F20"/>
          <w:spacing w:val="-3"/>
        </w:rPr>
        <w:t>Aрхеолошко </w:t>
      </w:r>
      <w:r>
        <w:rPr>
          <w:color w:val="231F20"/>
        </w:rPr>
        <w:t>налазиште Виминацијум је категорисано кao непокретно </w:t>
      </w:r>
      <w:r>
        <w:rPr>
          <w:color w:val="231F20"/>
          <w:spacing w:val="-2"/>
        </w:rPr>
        <w:t>културно </w:t>
      </w:r>
      <w:r>
        <w:rPr>
          <w:color w:val="231F20"/>
        </w:rPr>
        <w:t>добро </w:t>
      </w:r>
      <w:r>
        <w:rPr>
          <w:color w:val="231F20"/>
          <w:spacing w:val="-3"/>
        </w:rPr>
        <w:t>од </w:t>
      </w:r>
      <w:r>
        <w:rPr>
          <w:color w:val="231F20"/>
        </w:rPr>
        <w:t>изузетног значаја за Републику </w:t>
      </w:r>
      <w:r>
        <w:rPr>
          <w:color w:val="231F20"/>
          <w:spacing w:val="-3"/>
        </w:rPr>
        <w:t>Србију. </w:t>
      </w:r>
      <w:r>
        <w:rPr>
          <w:color w:val="231F20"/>
        </w:rPr>
        <w:t>Утврђују се следеће мере заштите овог археолошког нала- зишта:</w:t>
      </w:r>
    </w:p>
    <w:p>
      <w:pPr>
        <w:pStyle w:val="BodyText"/>
        <w:spacing w:line="232" w:lineRule="auto"/>
        <w:ind w:left="453" w:right="1" w:firstLine="397"/>
      </w:pPr>
      <w:r>
        <w:rPr>
          <w:color w:val="231F20"/>
          <w:w w:val="66"/>
        </w:rPr>
        <w:t> </w:t>
      </w:r>
      <w:r>
        <w:rPr>
          <w:color w:val="231F20"/>
        </w:rPr>
        <w:t>–</w:t>
      </w:r>
      <w:r>
        <w:rPr>
          <w:color w:val="231F20"/>
          <w:spacing w:val="-8"/>
        </w:rPr>
        <w:t> </w:t>
      </w:r>
      <w:r>
        <w:rPr>
          <w:color w:val="231F20"/>
        </w:rPr>
        <w:t>забрана</w:t>
      </w:r>
      <w:r>
        <w:rPr>
          <w:color w:val="231F20"/>
          <w:spacing w:val="-8"/>
        </w:rPr>
        <w:t> </w:t>
      </w:r>
      <w:r>
        <w:rPr>
          <w:color w:val="231F20"/>
        </w:rPr>
        <w:t>површинске</w:t>
      </w:r>
      <w:r>
        <w:rPr>
          <w:color w:val="231F20"/>
          <w:spacing w:val="-8"/>
        </w:rPr>
        <w:t> </w:t>
      </w:r>
      <w:r>
        <w:rPr>
          <w:color w:val="231F20"/>
        </w:rPr>
        <w:t>експлоатације</w:t>
      </w:r>
      <w:r>
        <w:rPr>
          <w:color w:val="231F20"/>
          <w:spacing w:val="-8"/>
        </w:rPr>
        <w:t> </w:t>
      </w:r>
      <w:r>
        <w:rPr>
          <w:color w:val="231F20"/>
        </w:rPr>
        <w:t>и</w:t>
      </w:r>
      <w:r>
        <w:rPr>
          <w:color w:val="231F20"/>
          <w:spacing w:val="-8"/>
        </w:rPr>
        <w:t> </w:t>
      </w:r>
      <w:r>
        <w:rPr>
          <w:color w:val="231F20"/>
        </w:rPr>
        <w:t>експлоатације</w:t>
      </w:r>
      <w:r>
        <w:rPr>
          <w:color w:val="231F20"/>
          <w:spacing w:val="-8"/>
        </w:rPr>
        <w:t> </w:t>
      </w:r>
      <w:r>
        <w:rPr>
          <w:color w:val="231F20"/>
        </w:rPr>
        <w:t>земљи- шта и сировина, као и свих врста истражних радова, осим архео- лошких ископавања и</w:t>
      </w:r>
      <w:r>
        <w:rPr>
          <w:color w:val="231F20"/>
          <w:spacing w:val="-5"/>
        </w:rPr>
        <w:t> </w:t>
      </w:r>
      <w:r>
        <w:rPr>
          <w:color w:val="231F20"/>
        </w:rPr>
        <w:t>истраживања;</w:t>
      </w:r>
    </w:p>
    <w:p>
      <w:pPr>
        <w:pStyle w:val="BodyText"/>
        <w:spacing w:line="232" w:lineRule="auto"/>
        <w:ind w:left="454" w:right="1" w:firstLine="396"/>
      </w:pPr>
      <w:r>
        <w:rPr>
          <w:color w:val="231F20"/>
          <w:w w:val="66"/>
        </w:rPr>
        <w:t> </w:t>
      </w:r>
      <w:r>
        <w:rPr>
          <w:color w:val="231F20"/>
        </w:rPr>
        <w:t>– забрана сађења високе вегетације и пошумљавања просто- ра, осим за потребе презентације археолошког налазишта;</w:t>
      </w:r>
    </w:p>
    <w:p>
      <w:pPr>
        <w:pStyle w:val="BodyText"/>
        <w:spacing w:line="232" w:lineRule="auto"/>
        <w:ind w:left="454" w:right="1" w:firstLine="396"/>
      </w:pPr>
      <w:r>
        <w:rPr>
          <w:color w:val="231F20"/>
          <w:w w:val="66"/>
        </w:rPr>
        <w:t> </w:t>
      </w:r>
      <w:r>
        <w:rPr>
          <w:color w:val="231F20"/>
        </w:rPr>
        <w:t>–</w:t>
      </w:r>
      <w:r>
        <w:rPr>
          <w:color w:val="231F20"/>
          <w:spacing w:val="-8"/>
        </w:rPr>
        <w:t> </w:t>
      </w:r>
      <w:r>
        <w:rPr>
          <w:color w:val="231F20"/>
        </w:rPr>
        <w:t>забрана</w:t>
      </w:r>
      <w:r>
        <w:rPr>
          <w:color w:val="231F20"/>
          <w:spacing w:val="-8"/>
        </w:rPr>
        <w:t> </w:t>
      </w:r>
      <w:r>
        <w:rPr>
          <w:color w:val="231F20"/>
        </w:rPr>
        <w:t>обраде</w:t>
      </w:r>
      <w:r>
        <w:rPr>
          <w:color w:val="231F20"/>
          <w:spacing w:val="-8"/>
        </w:rPr>
        <w:t> </w:t>
      </w:r>
      <w:r>
        <w:rPr>
          <w:color w:val="231F20"/>
        </w:rPr>
        <w:t>земљишта</w:t>
      </w:r>
      <w:r>
        <w:rPr>
          <w:color w:val="231F20"/>
          <w:spacing w:val="-8"/>
        </w:rPr>
        <w:t> </w:t>
      </w:r>
      <w:r>
        <w:rPr>
          <w:color w:val="231F20"/>
        </w:rPr>
        <w:t>дубоким</w:t>
      </w:r>
      <w:r>
        <w:rPr>
          <w:color w:val="231F20"/>
          <w:spacing w:val="-8"/>
        </w:rPr>
        <w:t> </w:t>
      </w:r>
      <w:r>
        <w:rPr>
          <w:color w:val="231F20"/>
        </w:rPr>
        <w:t>орањем,</w:t>
      </w:r>
      <w:r>
        <w:rPr>
          <w:color w:val="231F20"/>
          <w:spacing w:val="-8"/>
        </w:rPr>
        <w:t> </w:t>
      </w:r>
      <w:r>
        <w:rPr>
          <w:color w:val="231F20"/>
        </w:rPr>
        <w:t>риголовања</w:t>
      </w:r>
      <w:r>
        <w:rPr>
          <w:color w:val="231F20"/>
          <w:spacing w:val="-8"/>
        </w:rPr>
        <w:t> </w:t>
      </w:r>
      <w:r>
        <w:rPr>
          <w:color w:val="231F20"/>
        </w:rPr>
        <w:t>зе- мљишта за винограде до дубине веће </w:t>
      </w:r>
      <w:r>
        <w:rPr>
          <w:color w:val="231F20"/>
          <w:spacing w:val="-3"/>
        </w:rPr>
        <w:t>од </w:t>
      </w:r>
      <w:r>
        <w:rPr>
          <w:color w:val="231F20"/>
        </w:rPr>
        <w:t>0,30 m и забрана садње воћњака;</w:t>
      </w:r>
    </w:p>
    <w:p>
      <w:pPr>
        <w:pStyle w:val="BodyText"/>
        <w:spacing w:line="232" w:lineRule="auto"/>
        <w:ind w:left="454" w:right="1" w:firstLine="396"/>
      </w:pPr>
      <w:r>
        <w:rPr>
          <w:color w:val="231F20"/>
          <w:w w:val="66"/>
        </w:rPr>
        <w:t> </w:t>
      </w:r>
      <w:r>
        <w:rPr>
          <w:color w:val="231F20"/>
        </w:rPr>
        <w:t>– промена облика терена дозвољава се само у функцији пре- зентације</w:t>
      </w:r>
      <w:r>
        <w:rPr>
          <w:color w:val="231F20"/>
          <w:spacing w:val="-7"/>
        </w:rPr>
        <w:t> </w:t>
      </w:r>
      <w:r>
        <w:rPr>
          <w:color w:val="231F20"/>
        </w:rPr>
        <w:t>археолошког</w:t>
      </w:r>
      <w:r>
        <w:rPr>
          <w:color w:val="231F20"/>
          <w:spacing w:val="-7"/>
        </w:rPr>
        <w:t> </w:t>
      </w:r>
      <w:r>
        <w:rPr>
          <w:color w:val="231F20"/>
        </w:rPr>
        <w:t>налазишта</w:t>
      </w:r>
      <w:r>
        <w:rPr>
          <w:color w:val="231F20"/>
          <w:spacing w:val="-7"/>
        </w:rPr>
        <w:t> </w:t>
      </w:r>
      <w:r>
        <w:rPr>
          <w:color w:val="231F20"/>
        </w:rPr>
        <w:t>и</w:t>
      </w:r>
      <w:r>
        <w:rPr>
          <w:color w:val="231F20"/>
          <w:spacing w:val="-7"/>
        </w:rPr>
        <w:t> </w:t>
      </w:r>
      <w:r>
        <w:rPr>
          <w:color w:val="231F20"/>
        </w:rPr>
        <w:t>уз</w:t>
      </w:r>
      <w:r>
        <w:rPr>
          <w:color w:val="231F20"/>
          <w:spacing w:val="-7"/>
        </w:rPr>
        <w:t> </w:t>
      </w:r>
      <w:r>
        <w:rPr>
          <w:color w:val="231F20"/>
        </w:rPr>
        <w:t>адекватну</w:t>
      </w:r>
      <w:r>
        <w:rPr>
          <w:color w:val="231F20"/>
          <w:spacing w:val="-7"/>
        </w:rPr>
        <w:t> </w:t>
      </w:r>
      <w:r>
        <w:rPr>
          <w:color w:val="231F20"/>
        </w:rPr>
        <w:t>презентацију</w:t>
      </w:r>
      <w:r>
        <w:rPr>
          <w:color w:val="231F20"/>
          <w:spacing w:val="-7"/>
        </w:rPr>
        <w:t> </w:t>
      </w:r>
      <w:r>
        <w:rPr>
          <w:color w:val="231F20"/>
        </w:rPr>
        <w:t>на- лаза;</w:t>
      </w:r>
    </w:p>
    <w:p>
      <w:pPr>
        <w:pStyle w:val="BodyText"/>
        <w:spacing w:line="232" w:lineRule="auto"/>
        <w:ind w:left="454" w:firstLine="396"/>
      </w:pPr>
      <w:r>
        <w:rPr>
          <w:color w:val="231F20"/>
          <w:w w:val="66"/>
        </w:rPr>
        <w:t> </w:t>
      </w:r>
      <w:r>
        <w:rPr>
          <w:color w:val="231F20"/>
        </w:rPr>
        <w:t>– дозвољава се изградња објеката у функцији презентације археолошког налазишта на простору који је у потпуности архео- лошки истражен;</w:t>
      </w:r>
    </w:p>
    <w:p>
      <w:pPr>
        <w:pStyle w:val="BodyText"/>
        <w:spacing w:line="232" w:lineRule="auto"/>
        <w:ind w:left="455" w:right="1" w:firstLine="396"/>
      </w:pPr>
      <w:r>
        <w:rPr>
          <w:color w:val="231F20"/>
          <w:w w:val="66"/>
        </w:rPr>
        <w:t> </w:t>
      </w:r>
      <w:r>
        <w:rPr>
          <w:color w:val="231F20"/>
        </w:rPr>
        <w:t>– изградња привремене надземне инфраструктуре </w:t>
      </w:r>
      <w:r>
        <w:rPr>
          <w:color w:val="231F20"/>
          <w:spacing w:val="-3"/>
        </w:rPr>
        <w:t>преко </w:t>
      </w:r>
      <w:r>
        <w:rPr>
          <w:color w:val="231F20"/>
        </w:rPr>
        <w:t>ар- </w:t>
      </w:r>
      <w:r>
        <w:rPr>
          <w:color w:val="231F20"/>
          <w:spacing w:val="-3"/>
        </w:rPr>
        <w:t>хеолошког</w:t>
      </w:r>
      <w:r>
        <w:rPr>
          <w:color w:val="231F20"/>
          <w:spacing w:val="-6"/>
        </w:rPr>
        <w:t> </w:t>
      </w:r>
      <w:r>
        <w:rPr>
          <w:color w:val="231F20"/>
        </w:rPr>
        <w:t>налазишта</w:t>
      </w:r>
      <w:r>
        <w:rPr>
          <w:color w:val="231F20"/>
          <w:spacing w:val="-6"/>
        </w:rPr>
        <w:t> </w:t>
      </w:r>
      <w:r>
        <w:rPr>
          <w:color w:val="231F20"/>
        </w:rPr>
        <w:t>може</w:t>
      </w:r>
      <w:r>
        <w:rPr>
          <w:color w:val="231F20"/>
          <w:spacing w:val="-6"/>
        </w:rPr>
        <w:t> </w:t>
      </w:r>
      <w:r>
        <w:rPr>
          <w:color w:val="231F20"/>
        </w:rPr>
        <w:t>се</w:t>
      </w:r>
      <w:r>
        <w:rPr>
          <w:color w:val="231F20"/>
          <w:spacing w:val="-6"/>
        </w:rPr>
        <w:t> </w:t>
      </w:r>
      <w:r>
        <w:rPr>
          <w:color w:val="231F20"/>
        </w:rPr>
        <w:t>изузетно</w:t>
      </w:r>
      <w:r>
        <w:rPr>
          <w:color w:val="231F20"/>
          <w:spacing w:val="-6"/>
        </w:rPr>
        <w:t> </w:t>
      </w:r>
      <w:r>
        <w:rPr>
          <w:color w:val="231F20"/>
        </w:rPr>
        <w:t>дозволити</w:t>
      </w:r>
      <w:r>
        <w:rPr>
          <w:color w:val="231F20"/>
          <w:spacing w:val="-6"/>
        </w:rPr>
        <w:t> </w:t>
      </w:r>
      <w:r>
        <w:rPr>
          <w:color w:val="231F20"/>
        </w:rPr>
        <w:t>на</w:t>
      </w:r>
      <w:r>
        <w:rPr>
          <w:color w:val="231F20"/>
          <w:spacing w:val="-6"/>
        </w:rPr>
        <w:t> </w:t>
      </w:r>
      <w:r>
        <w:rPr>
          <w:color w:val="231F20"/>
        </w:rPr>
        <w:t>основу</w:t>
      </w:r>
      <w:r>
        <w:rPr>
          <w:color w:val="231F20"/>
          <w:spacing w:val="-6"/>
        </w:rPr>
        <w:t> </w:t>
      </w:r>
      <w:r>
        <w:rPr>
          <w:color w:val="231F20"/>
        </w:rPr>
        <w:t>усло- ва и сагласности надлежних установа заштите споменика </w:t>
      </w:r>
      <w:r>
        <w:rPr>
          <w:color w:val="231F20"/>
          <w:spacing w:val="-3"/>
        </w:rPr>
        <w:t>културе </w:t>
      </w:r>
      <w:r>
        <w:rPr>
          <w:color w:val="231F20"/>
        </w:rPr>
        <w:t>и</w:t>
      </w:r>
      <w:r>
        <w:rPr>
          <w:color w:val="231F20"/>
          <w:spacing w:val="-2"/>
        </w:rPr>
        <w:t> </w:t>
      </w:r>
      <w:r>
        <w:rPr>
          <w:color w:val="231F20"/>
        </w:rPr>
        <w:t>природе;</w:t>
      </w:r>
    </w:p>
    <w:p>
      <w:pPr>
        <w:pStyle w:val="BodyText"/>
        <w:spacing w:line="232" w:lineRule="auto"/>
        <w:ind w:left="455" w:firstLine="397"/>
      </w:pPr>
      <w:r>
        <w:rPr>
          <w:color w:val="231F20"/>
          <w:w w:val="66"/>
        </w:rPr>
        <w:t> </w:t>
      </w:r>
      <w:r>
        <w:rPr>
          <w:color w:val="231F20"/>
        </w:rPr>
        <w:t>– путна мрежа преко археолошког налазишта може се изгра- дити и користити само за потребе презентације археолошког на- лазишта, а може се привремено користити и за одређене потребе привредне делатности на основу одлуке надлежног завода за за- штиту споменика културе;</w:t>
      </w:r>
    </w:p>
    <w:p>
      <w:pPr>
        <w:pStyle w:val="BodyText"/>
        <w:spacing w:line="232" w:lineRule="auto"/>
        <w:ind w:left="455" w:firstLine="396"/>
      </w:pPr>
      <w:r>
        <w:rPr>
          <w:color w:val="231F20"/>
          <w:w w:val="66"/>
        </w:rPr>
        <w:t> </w:t>
      </w:r>
      <w:r>
        <w:rPr>
          <w:color w:val="231F20"/>
        </w:rPr>
        <w:t>– дозвољава се текуће и инвестиционо одржавање постоје- ћих објеката за одводњавање </w:t>
      </w:r>
      <w:r>
        <w:rPr>
          <w:color w:val="231F20"/>
          <w:spacing w:val="-3"/>
        </w:rPr>
        <w:t>копа </w:t>
      </w:r>
      <w:r>
        <w:rPr>
          <w:color w:val="231F20"/>
        </w:rPr>
        <w:t>„Дрмно” (магистрални цевовод </w:t>
      </w:r>
      <w:r>
        <w:rPr>
          <w:color w:val="231F20"/>
          <w:spacing w:val="-3"/>
        </w:rPr>
        <w:t>ГОЛ-2,</w:t>
      </w:r>
      <w:r>
        <w:rPr>
          <w:color w:val="231F20"/>
          <w:spacing w:val="-7"/>
        </w:rPr>
        <w:t> </w:t>
      </w:r>
      <w:r>
        <w:rPr>
          <w:color w:val="231F20"/>
        </w:rPr>
        <w:t>бунари</w:t>
      </w:r>
      <w:r>
        <w:rPr>
          <w:color w:val="231F20"/>
          <w:spacing w:val="-6"/>
        </w:rPr>
        <w:t> </w:t>
      </w:r>
      <w:r>
        <w:rPr>
          <w:color w:val="231F20"/>
        </w:rPr>
        <w:t>и</w:t>
      </w:r>
      <w:r>
        <w:rPr>
          <w:color w:val="231F20"/>
          <w:spacing w:val="-7"/>
        </w:rPr>
        <w:t> </w:t>
      </w:r>
      <w:r>
        <w:rPr>
          <w:color w:val="231F20"/>
          <w:spacing w:val="-3"/>
        </w:rPr>
        <w:t>одводни</w:t>
      </w:r>
      <w:r>
        <w:rPr>
          <w:color w:val="231F20"/>
          <w:spacing w:val="-7"/>
        </w:rPr>
        <w:t> </w:t>
      </w:r>
      <w:r>
        <w:rPr>
          <w:color w:val="231F20"/>
        </w:rPr>
        <w:t>цевоводи</w:t>
      </w:r>
      <w:r>
        <w:rPr>
          <w:color w:val="231F20"/>
          <w:spacing w:val="-6"/>
        </w:rPr>
        <w:t> </w:t>
      </w:r>
      <w:r>
        <w:rPr>
          <w:color w:val="231F20"/>
        </w:rPr>
        <w:t>ЛБ-5,</w:t>
      </w:r>
      <w:r>
        <w:rPr>
          <w:color w:val="231F20"/>
          <w:spacing w:val="-7"/>
        </w:rPr>
        <w:t> </w:t>
      </w:r>
      <w:r>
        <w:rPr>
          <w:color w:val="231F20"/>
        </w:rPr>
        <w:t>ЛЦ-5,</w:t>
      </w:r>
      <w:r>
        <w:rPr>
          <w:color w:val="231F20"/>
          <w:spacing w:val="-7"/>
        </w:rPr>
        <w:t> </w:t>
      </w:r>
      <w:r>
        <w:rPr>
          <w:color w:val="231F20"/>
        </w:rPr>
        <w:t>ЛЦ-6,</w:t>
      </w:r>
      <w:r>
        <w:rPr>
          <w:color w:val="231F20"/>
          <w:spacing w:val="-7"/>
        </w:rPr>
        <w:t> </w:t>
      </w:r>
      <w:r>
        <w:rPr>
          <w:color w:val="231F20"/>
        </w:rPr>
        <w:t>ЛЦ-7,</w:t>
      </w:r>
      <w:r>
        <w:rPr>
          <w:color w:val="231F20"/>
          <w:spacing w:val="-7"/>
        </w:rPr>
        <w:t> </w:t>
      </w:r>
      <w:r>
        <w:rPr>
          <w:color w:val="231F20"/>
        </w:rPr>
        <w:t>ЛЦ-8, ЛЦ-9, ЛЦ-10 и</w:t>
      </w:r>
      <w:r>
        <w:rPr>
          <w:color w:val="231F20"/>
          <w:spacing w:val="-4"/>
        </w:rPr>
        <w:t> </w:t>
      </w:r>
      <w:r>
        <w:rPr>
          <w:color w:val="231F20"/>
        </w:rPr>
        <w:t>ЛЦ-11);</w:t>
      </w:r>
    </w:p>
    <w:p>
      <w:pPr>
        <w:pStyle w:val="BodyText"/>
        <w:spacing w:line="232" w:lineRule="auto"/>
        <w:ind w:left="455" w:right="1" w:firstLine="396"/>
      </w:pPr>
      <w:r>
        <w:rPr>
          <w:color w:val="231F20"/>
          <w:w w:val="66"/>
        </w:rPr>
        <w:t> </w:t>
      </w:r>
      <w:r>
        <w:rPr>
          <w:color w:val="231F20"/>
        </w:rPr>
        <w:t>– забрана просипања, одлагања и привременог или трајног депоновања отпадака и штетних материја - хемијски агресивних, експлозивних, отровних и радиоактивних;</w:t>
      </w:r>
    </w:p>
    <w:p>
      <w:pPr>
        <w:pStyle w:val="BodyText"/>
        <w:spacing w:line="232" w:lineRule="auto"/>
        <w:ind w:left="456" w:right="1" w:firstLine="396"/>
      </w:pPr>
      <w:r>
        <w:rPr>
          <w:color w:val="231F20"/>
          <w:w w:val="66"/>
        </w:rPr>
        <w:t> </w:t>
      </w:r>
      <w:r>
        <w:rPr>
          <w:color w:val="231F20"/>
        </w:rPr>
        <w:t>– забрана испуштања отпадних вода површинских и дубин- ских</w:t>
      </w:r>
      <w:r>
        <w:rPr>
          <w:color w:val="231F20"/>
          <w:spacing w:val="-6"/>
        </w:rPr>
        <w:t> </w:t>
      </w:r>
      <w:r>
        <w:rPr>
          <w:color w:val="231F20"/>
        </w:rPr>
        <w:t>у</w:t>
      </w:r>
      <w:r>
        <w:rPr>
          <w:color w:val="231F20"/>
          <w:spacing w:val="-6"/>
        </w:rPr>
        <w:t> </w:t>
      </w:r>
      <w:r>
        <w:rPr>
          <w:color w:val="231F20"/>
        </w:rPr>
        <w:t>речне</w:t>
      </w:r>
      <w:r>
        <w:rPr>
          <w:color w:val="231F20"/>
          <w:spacing w:val="-6"/>
        </w:rPr>
        <w:t> </w:t>
      </w:r>
      <w:r>
        <w:rPr>
          <w:color w:val="231F20"/>
          <w:spacing w:val="-3"/>
        </w:rPr>
        <w:t>токове;</w:t>
      </w:r>
      <w:r>
        <w:rPr>
          <w:color w:val="231F20"/>
          <w:spacing w:val="-6"/>
        </w:rPr>
        <w:t> </w:t>
      </w:r>
      <w:r>
        <w:rPr>
          <w:color w:val="231F20"/>
        </w:rPr>
        <w:t>елиминацију</w:t>
      </w:r>
      <w:r>
        <w:rPr>
          <w:color w:val="231F20"/>
          <w:spacing w:val="-6"/>
        </w:rPr>
        <w:t> </w:t>
      </w:r>
      <w:r>
        <w:rPr>
          <w:color w:val="231F20"/>
        </w:rPr>
        <w:t>спровести</w:t>
      </w:r>
      <w:r>
        <w:rPr>
          <w:color w:val="231F20"/>
          <w:spacing w:val="-6"/>
        </w:rPr>
        <w:t> </w:t>
      </w:r>
      <w:r>
        <w:rPr>
          <w:color w:val="231F20"/>
        </w:rPr>
        <w:t>у</w:t>
      </w:r>
      <w:r>
        <w:rPr>
          <w:color w:val="231F20"/>
          <w:spacing w:val="-6"/>
        </w:rPr>
        <w:t> </w:t>
      </w:r>
      <w:r>
        <w:rPr>
          <w:color w:val="231F20"/>
        </w:rPr>
        <w:t>прописно</w:t>
      </w:r>
      <w:r>
        <w:rPr>
          <w:color w:val="231F20"/>
          <w:spacing w:val="-6"/>
        </w:rPr>
        <w:t> </w:t>
      </w:r>
      <w:r>
        <w:rPr>
          <w:color w:val="231F20"/>
        </w:rPr>
        <w:t>изграђене септичке јаме</w:t>
      </w:r>
      <w:r>
        <w:rPr>
          <w:color w:val="231F20"/>
          <w:spacing w:val="-1"/>
        </w:rPr>
        <w:t> </w:t>
      </w:r>
      <w:r>
        <w:rPr>
          <w:color w:val="231F20"/>
        </w:rPr>
        <w:t>и</w:t>
      </w:r>
    </w:p>
    <w:p>
      <w:pPr>
        <w:pStyle w:val="BodyText"/>
        <w:spacing w:line="232" w:lineRule="auto"/>
        <w:ind w:left="456" w:right="1" w:firstLine="396"/>
      </w:pPr>
      <w:r>
        <w:rPr>
          <w:color w:val="231F20"/>
          <w:w w:val="66"/>
        </w:rPr>
        <w:t> </w:t>
      </w:r>
      <w:r>
        <w:rPr>
          <w:color w:val="231F20"/>
        </w:rPr>
        <w:t>– забрана неовлашћеног прикупљања покретних археоло- шких површинских налаза.</w:t>
      </w:r>
    </w:p>
    <w:p>
      <w:pPr>
        <w:pStyle w:val="BodyText"/>
        <w:spacing w:line="232" w:lineRule="auto"/>
        <w:ind w:left="456" w:right="1" w:firstLine="397"/>
      </w:pPr>
      <w:r>
        <w:rPr>
          <w:color w:val="231F20"/>
        </w:rPr>
        <w:t>А б) Утврђују се следеће мере заштите околине археолошког налазишта Виминацијум:</w:t>
      </w:r>
    </w:p>
    <w:p>
      <w:pPr>
        <w:pStyle w:val="BodyText"/>
        <w:spacing w:line="197" w:lineRule="exact"/>
        <w:ind w:left="852"/>
        <w:jc w:val="left"/>
      </w:pPr>
      <w:r>
        <w:rPr>
          <w:color w:val="231F20"/>
          <w:w w:val="66"/>
        </w:rPr>
        <w:t> </w:t>
      </w:r>
      <w:r>
        <w:rPr>
          <w:color w:val="231F20"/>
        </w:rPr>
        <w:t>– забрана површинске експлоатације лежишта;</w:t>
      </w:r>
    </w:p>
    <w:p>
      <w:pPr>
        <w:pStyle w:val="BodyText"/>
        <w:spacing w:line="232" w:lineRule="auto"/>
        <w:ind w:left="455" w:firstLine="396"/>
      </w:pPr>
      <w:r>
        <w:rPr>
          <w:color w:val="231F20"/>
          <w:w w:val="66"/>
        </w:rPr>
        <w:t> </w:t>
      </w:r>
      <w:r>
        <w:rPr>
          <w:color w:val="231F20"/>
        </w:rPr>
        <w:t>– забрана обраде земљишта дубоким орањем и риголовања земљишта за винограде и воћњаке до дубине веће од 0,30 m;</w:t>
      </w:r>
    </w:p>
    <w:p>
      <w:pPr>
        <w:pStyle w:val="BodyText"/>
        <w:spacing w:line="232" w:lineRule="auto"/>
        <w:ind w:left="455" w:right="1" w:firstLine="396"/>
      </w:pPr>
      <w:r>
        <w:rPr>
          <w:color w:val="231F20"/>
          <w:w w:val="66"/>
        </w:rPr>
        <w:t> </w:t>
      </w:r>
      <w:r>
        <w:rPr>
          <w:color w:val="231F20"/>
        </w:rPr>
        <w:t>– забрана сађења високе вегетације и пошумљавања просто- ра,</w:t>
      </w:r>
      <w:r>
        <w:rPr>
          <w:color w:val="231F20"/>
          <w:spacing w:val="-7"/>
        </w:rPr>
        <w:t> </w:t>
      </w:r>
      <w:r>
        <w:rPr>
          <w:color w:val="231F20"/>
        </w:rPr>
        <w:t>осим</w:t>
      </w:r>
      <w:r>
        <w:rPr>
          <w:color w:val="231F20"/>
          <w:spacing w:val="-7"/>
        </w:rPr>
        <w:t> </w:t>
      </w:r>
      <w:r>
        <w:rPr>
          <w:color w:val="231F20"/>
        </w:rPr>
        <w:t>за</w:t>
      </w:r>
      <w:r>
        <w:rPr>
          <w:color w:val="231F20"/>
          <w:spacing w:val="-7"/>
        </w:rPr>
        <w:t> </w:t>
      </w:r>
      <w:r>
        <w:rPr>
          <w:color w:val="231F20"/>
        </w:rPr>
        <w:t>потребе</w:t>
      </w:r>
      <w:r>
        <w:rPr>
          <w:color w:val="231F20"/>
          <w:spacing w:val="-7"/>
        </w:rPr>
        <w:t> </w:t>
      </w:r>
      <w:r>
        <w:rPr>
          <w:color w:val="231F20"/>
        </w:rPr>
        <w:t>презентације</w:t>
      </w:r>
      <w:r>
        <w:rPr>
          <w:color w:val="231F20"/>
          <w:spacing w:val="-7"/>
        </w:rPr>
        <w:t> </w:t>
      </w:r>
      <w:r>
        <w:rPr>
          <w:color w:val="231F20"/>
        </w:rPr>
        <w:t>археолошког</w:t>
      </w:r>
      <w:r>
        <w:rPr>
          <w:color w:val="231F20"/>
          <w:spacing w:val="-7"/>
        </w:rPr>
        <w:t> </w:t>
      </w:r>
      <w:r>
        <w:rPr>
          <w:color w:val="231F20"/>
        </w:rPr>
        <w:t>налазишта,</w:t>
      </w:r>
      <w:r>
        <w:rPr>
          <w:color w:val="231F20"/>
          <w:spacing w:val="-7"/>
        </w:rPr>
        <w:t> </w:t>
      </w:r>
      <w:r>
        <w:rPr>
          <w:color w:val="231F20"/>
        </w:rPr>
        <w:t>уз</w:t>
      </w:r>
      <w:r>
        <w:rPr>
          <w:color w:val="231F20"/>
          <w:spacing w:val="-7"/>
        </w:rPr>
        <w:t> </w:t>
      </w:r>
      <w:r>
        <w:rPr>
          <w:color w:val="231F20"/>
        </w:rPr>
        <w:t>прет- </w:t>
      </w:r>
      <w:r>
        <w:rPr>
          <w:color w:val="231F20"/>
          <w:spacing w:val="-3"/>
        </w:rPr>
        <w:t>ходно </w:t>
      </w:r>
      <w:r>
        <w:rPr>
          <w:color w:val="231F20"/>
        </w:rPr>
        <w:t>обезбеђење заштитних археолошких ископавања, као и из- мештања и адекватне презентације</w:t>
      </w:r>
      <w:r>
        <w:rPr>
          <w:color w:val="231F20"/>
          <w:spacing w:val="-5"/>
        </w:rPr>
        <w:t> </w:t>
      </w:r>
      <w:r>
        <w:rPr>
          <w:color w:val="231F20"/>
        </w:rPr>
        <w:t>налаза;</w:t>
      </w:r>
    </w:p>
    <w:p>
      <w:pPr>
        <w:pStyle w:val="BodyText"/>
        <w:spacing w:line="232" w:lineRule="auto"/>
        <w:ind w:left="455" w:right="1" w:firstLine="396"/>
      </w:pPr>
      <w:r>
        <w:rPr>
          <w:color w:val="231F20"/>
          <w:w w:val="66"/>
        </w:rPr>
        <w:t> </w:t>
      </w:r>
      <w:r>
        <w:rPr>
          <w:color w:val="231F20"/>
        </w:rPr>
        <w:t>– дозвољава се изградња надземне и подземне инфраструк- туре,</w:t>
      </w:r>
      <w:r>
        <w:rPr>
          <w:color w:val="231F20"/>
          <w:spacing w:val="-7"/>
        </w:rPr>
        <w:t> </w:t>
      </w:r>
      <w:r>
        <w:rPr>
          <w:color w:val="231F20"/>
        </w:rPr>
        <w:t>текуће</w:t>
      </w:r>
      <w:r>
        <w:rPr>
          <w:color w:val="231F20"/>
          <w:spacing w:val="-7"/>
        </w:rPr>
        <w:t> </w:t>
      </w:r>
      <w:r>
        <w:rPr>
          <w:color w:val="231F20"/>
        </w:rPr>
        <w:t>и</w:t>
      </w:r>
      <w:r>
        <w:rPr>
          <w:color w:val="231F20"/>
          <w:spacing w:val="-7"/>
        </w:rPr>
        <w:t> </w:t>
      </w:r>
      <w:r>
        <w:rPr>
          <w:color w:val="231F20"/>
        </w:rPr>
        <w:t>инвестиционо</w:t>
      </w:r>
      <w:r>
        <w:rPr>
          <w:color w:val="231F20"/>
          <w:spacing w:val="-7"/>
        </w:rPr>
        <w:t> </w:t>
      </w:r>
      <w:r>
        <w:rPr>
          <w:color w:val="231F20"/>
        </w:rPr>
        <w:t>одржавање</w:t>
      </w:r>
      <w:r>
        <w:rPr>
          <w:color w:val="231F20"/>
          <w:spacing w:val="-7"/>
        </w:rPr>
        <w:t> </w:t>
      </w:r>
      <w:r>
        <w:rPr>
          <w:color w:val="231F20"/>
        </w:rPr>
        <w:t>објеката</w:t>
      </w:r>
      <w:r>
        <w:rPr>
          <w:color w:val="231F20"/>
          <w:spacing w:val="-7"/>
        </w:rPr>
        <w:t> </w:t>
      </w:r>
      <w:r>
        <w:rPr>
          <w:color w:val="231F20"/>
        </w:rPr>
        <w:t>и</w:t>
      </w:r>
      <w:r>
        <w:rPr>
          <w:color w:val="231F20"/>
          <w:spacing w:val="-7"/>
        </w:rPr>
        <w:t> </w:t>
      </w:r>
      <w:r>
        <w:rPr>
          <w:color w:val="231F20"/>
        </w:rPr>
        <w:t>постројења</w:t>
      </w:r>
      <w:r>
        <w:rPr>
          <w:color w:val="231F20"/>
          <w:spacing w:val="-7"/>
        </w:rPr>
        <w:t> </w:t>
      </w:r>
      <w:r>
        <w:rPr>
          <w:color w:val="231F20"/>
        </w:rPr>
        <w:t>као и изградња нових објеката и постројења за потребе Електропри- вреде Србије, на простору </w:t>
      </w:r>
      <w:r>
        <w:rPr>
          <w:color w:val="231F20"/>
          <w:spacing w:val="-3"/>
        </w:rPr>
        <w:t>који </w:t>
      </w:r>
      <w:r>
        <w:rPr>
          <w:color w:val="231F20"/>
        </w:rPr>
        <w:t>је у потпуности археолошки ис- тражен;</w:t>
      </w:r>
    </w:p>
    <w:p>
      <w:pPr>
        <w:pStyle w:val="BodyText"/>
        <w:spacing w:line="232" w:lineRule="auto"/>
        <w:ind w:left="456" w:right="1" w:firstLine="396"/>
      </w:pPr>
      <w:r>
        <w:rPr>
          <w:color w:val="231F20"/>
          <w:w w:val="66"/>
        </w:rPr>
        <w:t> </w:t>
      </w:r>
      <w:r>
        <w:rPr>
          <w:color w:val="231F20"/>
        </w:rPr>
        <w:t>– дозвољава се промена облика и нивелације терена, вађење песка, шљунка, камена или земље за потребе Електропривреде Србије, уз </w:t>
      </w:r>
      <w:r>
        <w:rPr>
          <w:color w:val="231F20"/>
          <w:spacing w:val="-2"/>
        </w:rPr>
        <w:t>претходно </w:t>
      </w:r>
      <w:r>
        <w:rPr>
          <w:color w:val="231F20"/>
        </w:rPr>
        <w:t>обезбеђење заштитних археолошких</w:t>
      </w:r>
      <w:r>
        <w:rPr>
          <w:color w:val="231F20"/>
          <w:spacing w:val="-28"/>
        </w:rPr>
        <w:t> </w:t>
      </w:r>
      <w:r>
        <w:rPr>
          <w:color w:val="231F20"/>
        </w:rPr>
        <w:t>ископа- вања, као и измештања и адекватне презентације</w:t>
      </w:r>
      <w:r>
        <w:rPr>
          <w:color w:val="231F20"/>
          <w:spacing w:val="-13"/>
        </w:rPr>
        <w:t> </w:t>
      </w:r>
      <w:r>
        <w:rPr>
          <w:color w:val="231F20"/>
        </w:rPr>
        <w:t>налаза;</w:t>
      </w:r>
    </w:p>
    <w:p>
      <w:pPr>
        <w:pStyle w:val="BodyText"/>
        <w:spacing w:line="196" w:lineRule="exact"/>
        <w:ind w:left="853"/>
        <w:jc w:val="left"/>
      </w:pPr>
      <w:r>
        <w:rPr>
          <w:color w:val="231F20"/>
          <w:w w:val="66"/>
        </w:rPr>
        <w:t> </w:t>
      </w:r>
      <w:r>
        <w:rPr>
          <w:color w:val="231F20"/>
        </w:rPr>
        <w:t>– забрана успостављања изворишта за водоснабдевање;</w:t>
      </w:r>
    </w:p>
    <w:p>
      <w:pPr>
        <w:pStyle w:val="BodyText"/>
        <w:spacing w:line="200" w:lineRule="exact"/>
        <w:ind w:left="853"/>
        <w:jc w:val="left"/>
      </w:pPr>
      <w:r>
        <w:rPr>
          <w:color w:val="231F20"/>
          <w:w w:val="66"/>
        </w:rPr>
        <w:t> </w:t>
      </w:r>
      <w:r>
        <w:rPr>
          <w:color w:val="231F20"/>
        </w:rPr>
        <w:t>– забрана мелиоративних радова;</w:t>
      </w:r>
    </w:p>
    <w:p>
      <w:pPr>
        <w:pStyle w:val="BodyText"/>
        <w:spacing w:line="232" w:lineRule="auto"/>
        <w:ind w:left="456" w:firstLine="396"/>
      </w:pPr>
      <w:r>
        <w:rPr>
          <w:color w:val="231F20"/>
          <w:w w:val="66"/>
        </w:rPr>
        <w:t> </w:t>
      </w:r>
      <w:r>
        <w:rPr>
          <w:color w:val="231F20"/>
        </w:rPr>
        <w:t>– постојећи водоток оставити у природном </w:t>
      </w:r>
      <w:r>
        <w:rPr>
          <w:color w:val="231F20"/>
          <w:spacing w:val="-4"/>
        </w:rPr>
        <w:t>стању, </w:t>
      </w:r>
      <w:r>
        <w:rPr>
          <w:color w:val="231F20"/>
        </w:rPr>
        <w:t>а регула- ционе</w:t>
      </w:r>
      <w:r>
        <w:rPr>
          <w:color w:val="231F20"/>
          <w:spacing w:val="-5"/>
        </w:rPr>
        <w:t> </w:t>
      </w:r>
      <w:r>
        <w:rPr>
          <w:color w:val="231F20"/>
        </w:rPr>
        <w:t>радове</w:t>
      </w:r>
      <w:r>
        <w:rPr>
          <w:color w:val="231F20"/>
          <w:spacing w:val="-5"/>
        </w:rPr>
        <w:t> </w:t>
      </w:r>
      <w:r>
        <w:rPr>
          <w:color w:val="231F20"/>
        </w:rPr>
        <w:t>изводити</w:t>
      </w:r>
      <w:r>
        <w:rPr>
          <w:color w:val="231F20"/>
          <w:spacing w:val="-5"/>
        </w:rPr>
        <w:t> </w:t>
      </w:r>
      <w:r>
        <w:rPr>
          <w:color w:val="231F20"/>
        </w:rPr>
        <w:t>само</w:t>
      </w:r>
      <w:r>
        <w:rPr>
          <w:color w:val="231F20"/>
          <w:spacing w:val="-5"/>
        </w:rPr>
        <w:t> </w:t>
      </w:r>
      <w:r>
        <w:rPr>
          <w:color w:val="231F20"/>
        </w:rPr>
        <w:t>у</w:t>
      </w:r>
      <w:r>
        <w:rPr>
          <w:color w:val="231F20"/>
          <w:spacing w:val="-5"/>
        </w:rPr>
        <w:t> </w:t>
      </w:r>
      <w:r>
        <w:rPr>
          <w:color w:val="231F20"/>
        </w:rPr>
        <w:t>случају</w:t>
      </w:r>
      <w:r>
        <w:rPr>
          <w:color w:val="231F20"/>
          <w:spacing w:val="-5"/>
        </w:rPr>
        <w:t> </w:t>
      </w:r>
      <w:r>
        <w:rPr>
          <w:color w:val="231F20"/>
        </w:rPr>
        <w:t>угрожености,</w:t>
      </w:r>
      <w:r>
        <w:rPr>
          <w:color w:val="231F20"/>
          <w:spacing w:val="-5"/>
        </w:rPr>
        <w:t> </w:t>
      </w:r>
      <w:r>
        <w:rPr>
          <w:color w:val="231F20"/>
        </w:rPr>
        <w:t>односно</w:t>
      </w:r>
      <w:r>
        <w:rPr>
          <w:color w:val="231F20"/>
          <w:spacing w:val="-5"/>
        </w:rPr>
        <w:t> </w:t>
      </w:r>
      <w:r>
        <w:rPr>
          <w:color w:val="231F20"/>
        </w:rPr>
        <w:t>у</w:t>
      </w:r>
      <w:r>
        <w:rPr>
          <w:color w:val="231F20"/>
          <w:spacing w:val="-5"/>
        </w:rPr>
        <w:t> </w:t>
      </w:r>
      <w:r>
        <w:rPr>
          <w:color w:val="231F20"/>
        </w:rPr>
        <w:t>ин- тересу заштите археолошког</w:t>
      </w:r>
      <w:r>
        <w:rPr>
          <w:color w:val="231F20"/>
          <w:spacing w:val="-2"/>
        </w:rPr>
        <w:t> </w:t>
      </w:r>
      <w:r>
        <w:rPr>
          <w:color w:val="231F20"/>
        </w:rPr>
        <w:t>налазишта;</w:t>
      </w:r>
    </w:p>
    <w:p>
      <w:pPr>
        <w:pStyle w:val="BodyText"/>
        <w:spacing w:line="232" w:lineRule="auto"/>
        <w:ind w:left="457" w:firstLine="396"/>
      </w:pPr>
      <w:r>
        <w:rPr>
          <w:color w:val="231F20"/>
          <w:w w:val="66"/>
        </w:rPr>
        <w:t> </w:t>
      </w:r>
      <w:r>
        <w:rPr>
          <w:color w:val="231F20"/>
        </w:rPr>
        <w:t>– забрана просипања, одлагања и привременог или трајног депоновања отпадних и штетних материја – хемијски агресивних, експлозивних, отровних и радиоактивних; и</w:t>
      </w:r>
    </w:p>
    <w:p>
      <w:pPr>
        <w:pStyle w:val="BodyText"/>
        <w:spacing w:line="232" w:lineRule="auto"/>
        <w:ind w:left="457" w:firstLine="396"/>
      </w:pPr>
      <w:r>
        <w:rPr>
          <w:color w:val="231F20"/>
          <w:w w:val="66"/>
        </w:rPr>
        <w:t> </w:t>
      </w:r>
      <w:r>
        <w:rPr>
          <w:color w:val="231F20"/>
        </w:rPr>
        <w:t>– забрана неовлашћеног прикупљања покретних археоло- шких површинских налаза.</w:t>
      </w:r>
    </w:p>
    <w:p>
      <w:pPr>
        <w:pStyle w:val="BodyText"/>
        <w:spacing w:line="235" w:lineRule="auto" w:before="67"/>
        <w:ind w:left="243" w:right="124" w:firstLine="396"/>
      </w:pPr>
      <w:r>
        <w:rPr/>
        <w:br w:type="column"/>
      </w:r>
      <w:r>
        <w:rPr>
          <w:color w:val="231F20"/>
        </w:rPr>
        <w:t>Б, В, Г Aрхеолошка налазишта: Средњовековни град Брани- чево, Палеонтолошко налазиште „Мамут”, Маргум/Дубравица</w:t>
      </w:r>
    </w:p>
    <w:p>
      <w:pPr>
        <w:pStyle w:val="BodyText"/>
        <w:spacing w:before="3"/>
        <w:ind w:left="243" w:right="124" w:firstLine="397"/>
      </w:pPr>
      <w:r>
        <w:rPr>
          <w:color w:val="231F20"/>
        </w:rPr>
        <w:t>Утврђују</w:t>
      </w:r>
      <w:r>
        <w:rPr>
          <w:color w:val="231F20"/>
          <w:spacing w:val="-7"/>
        </w:rPr>
        <w:t> </w:t>
      </w:r>
      <w:r>
        <w:rPr>
          <w:color w:val="231F20"/>
        </w:rPr>
        <w:t>се</w:t>
      </w:r>
      <w:r>
        <w:rPr>
          <w:color w:val="231F20"/>
          <w:spacing w:val="-7"/>
        </w:rPr>
        <w:t> </w:t>
      </w:r>
      <w:r>
        <w:rPr>
          <w:color w:val="231F20"/>
        </w:rPr>
        <w:t>опште</w:t>
      </w:r>
      <w:r>
        <w:rPr>
          <w:color w:val="231F20"/>
          <w:spacing w:val="-7"/>
        </w:rPr>
        <w:t> </w:t>
      </w:r>
      <w:r>
        <w:rPr>
          <w:color w:val="231F20"/>
        </w:rPr>
        <w:t>мере</w:t>
      </w:r>
      <w:r>
        <w:rPr>
          <w:color w:val="231F20"/>
          <w:spacing w:val="-7"/>
        </w:rPr>
        <w:t> </w:t>
      </w:r>
      <w:r>
        <w:rPr>
          <w:color w:val="231F20"/>
        </w:rPr>
        <w:t>заштите</w:t>
      </w:r>
      <w:r>
        <w:rPr>
          <w:color w:val="231F20"/>
          <w:spacing w:val="-7"/>
        </w:rPr>
        <w:t> </w:t>
      </w:r>
      <w:r>
        <w:rPr>
          <w:color w:val="231F20"/>
        </w:rPr>
        <w:t>и</w:t>
      </w:r>
      <w:r>
        <w:rPr>
          <w:color w:val="231F20"/>
          <w:spacing w:val="-7"/>
        </w:rPr>
        <w:t> </w:t>
      </w:r>
      <w:r>
        <w:rPr>
          <w:color w:val="231F20"/>
        </w:rPr>
        <w:t>услови</w:t>
      </w:r>
      <w:r>
        <w:rPr>
          <w:color w:val="231F20"/>
          <w:spacing w:val="-7"/>
        </w:rPr>
        <w:t> </w:t>
      </w:r>
      <w:r>
        <w:rPr>
          <w:color w:val="231F20"/>
        </w:rPr>
        <w:t>чувања</w:t>
      </w:r>
      <w:r>
        <w:rPr>
          <w:color w:val="231F20"/>
          <w:spacing w:val="-7"/>
        </w:rPr>
        <w:t> </w:t>
      </w:r>
      <w:r>
        <w:rPr>
          <w:color w:val="231F20"/>
        </w:rPr>
        <w:t>и</w:t>
      </w:r>
      <w:r>
        <w:rPr>
          <w:color w:val="231F20"/>
          <w:spacing w:val="-7"/>
        </w:rPr>
        <w:t> </w:t>
      </w:r>
      <w:r>
        <w:rPr>
          <w:color w:val="231F20"/>
        </w:rPr>
        <w:t>коришће- ња ових археолошких</w:t>
      </w:r>
      <w:r>
        <w:rPr>
          <w:color w:val="231F20"/>
          <w:spacing w:val="-3"/>
        </w:rPr>
        <w:t> </w:t>
      </w:r>
      <w:r>
        <w:rPr>
          <w:color w:val="231F20"/>
        </w:rPr>
        <w:t>налазишта:</w:t>
      </w:r>
    </w:p>
    <w:p>
      <w:pPr>
        <w:pStyle w:val="BodyText"/>
        <w:spacing w:before="4"/>
        <w:ind w:left="243" w:right="123" w:firstLine="396"/>
      </w:pPr>
      <w:r>
        <w:rPr>
          <w:color w:val="231F20"/>
          <w:w w:val="66"/>
        </w:rPr>
        <w:t> </w:t>
      </w:r>
      <w:r>
        <w:rPr>
          <w:color w:val="231F20"/>
        </w:rPr>
        <w:t>– мере техничке заштите и други радови на непокретном </w:t>
      </w:r>
      <w:r>
        <w:rPr>
          <w:color w:val="231F20"/>
          <w:spacing w:val="-3"/>
        </w:rPr>
        <w:t>културном </w:t>
      </w:r>
      <w:r>
        <w:rPr>
          <w:color w:val="231F20"/>
        </w:rPr>
        <w:t>добру </w:t>
      </w:r>
      <w:r>
        <w:rPr>
          <w:color w:val="231F20"/>
          <w:spacing w:val="-3"/>
        </w:rPr>
        <w:t>(археолошком </w:t>
      </w:r>
      <w:r>
        <w:rPr>
          <w:color w:val="231F20"/>
        </w:rPr>
        <w:t>налазишту) могу се изводити </w:t>
      </w:r>
      <w:r>
        <w:rPr>
          <w:color w:val="231F20"/>
          <w:spacing w:val="-3"/>
        </w:rPr>
        <w:t>под </w:t>
      </w:r>
      <w:r>
        <w:rPr>
          <w:color w:val="231F20"/>
        </w:rPr>
        <w:t>условима,</w:t>
      </w:r>
      <w:r>
        <w:rPr>
          <w:color w:val="231F20"/>
          <w:spacing w:val="-7"/>
        </w:rPr>
        <w:t> </w:t>
      </w:r>
      <w:r>
        <w:rPr>
          <w:color w:val="231F20"/>
        </w:rPr>
        <w:t>у</w:t>
      </w:r>
      <w:r>
        <w:rPr>
          <w:color w:val="231F20"/>
          <w:spacing w:val="-7"/>
        </w:rPr>
        <w:t> </w:t>
      </w:r>
      <w:r>
        <w:rPr>
          <w:color w:val="231F20"/>
        </w:rPr>
        <w:t>поступку</w:t>
      </w:r>
      <w:r>
        <w:rPr>
          <w:color w:val="231F20"/>
          <w:spacing w:val="-7"/>
        </w:rPr>
        <w:t> </w:t>
      </w:r>
      <w:r>
        <w:rPr>
          <w:color w:val="231F20"/>
        </w:rPr>
        <w:t>и</w:t>
      </w:r>
      <w:r>
        <w:rPr>
          <w:color w:val="231F20"/>
          <w:spacing w:val="-7"/>
        </w:rPr>
        <w:t> </w:t>
      </w:r>
      <w:r>
        <w:rPr>
          <w:color w:val="231F20"/>
        </w:rPr>
        <w:t>на</w:t>
      </w:r>
      <w:r>
        <w:rPr>
          <w:color w:val="231F20"/>
          <w:spacing w:val="-7"/>
        </w:rPr>
        <w:t> </w:t>
      </w:r>
      <w:r>
        <w:rPr>
          <w:color w:val="231F20"/>
        </w:rPr>
        <w:t>начин</w:t>
      </w:r>
      <w:r>
        <w:rPr>
          <w:color w:val="231F20"/>
          <w:spacing w:val="-7"/>
        </w:rPr>
        <w:t> </w:t>
      </w:r>
      <w:r>
        <w:rPr>
          <w:color w:val="231F20"/>
        </w:rPr>
        <w:t>утврђен</w:t>
      </w:r>
      <w:r>
        <w:rPr>
          <w:color w:val="231F20"/>
          <w:spacing w:val="-7"/>
        </w:rPr>
        <w:t> </w:t>
      </w:r>
      <w:r>
        <w:rPr>
          <w:color w:val="231F20"/>
          <w:spacing w:val="-3"/>
        </w:rPr>
        <w:t>Законом</w:t>
      </w:r>
      <w:r>
        <w:rPr>
          <w:color w:val="231F20"/>
          <w:spacing w:val="-7"/>
        </w:rPr>
        <w:t> </w:t>
      </w:r>
      <w:r>
        <w:rPr>
          <w:color w:val="231F20"/>
        </w:rPr>
        <w:t>о</w:t>
      </w:r>
      <w:r>
        <w:rPr>
          <w:color w:val="231F20"/>
          <w:spacing w:val="-7"/>
        </w:rPr>
        <w:t> </w:t>
      </w:r>
      <w:r>
        <w:rPr>
          <w:color w:val="231F20"/>
        </w:rPr>
        <w:t>културним</w:t>
      </w:r>
      <w:r>
        <w:rPr>
          <w:color w:val="231F20"/>
          <w:spacing w:val="-7"/>
        </w:rPr>
        <w:t> </w:t>
      </w:r>
      <w:r>
        <w:rPr>
          <w:color w:val="231F20"/>
        </w:rPr>
        <w:t>до- брима;</w:t>
      </w:r>
    </w:p>
    <w:p>
      <w:pPr>
        <w:pStyle w:val="BodyText"/>
        <w:spacing w:before="7"/>
        <w:ind w:left="244" w:right="123" w:firstLine="396"/>
      </w:pPr>
      <w:r>
        <w:rPr>
          <w:color w:val="231F20"/>
          <w:w w:val="66"/>
        </w:rPr>
        <w:t> </w:t>
      </w:r>
      <w:r>
        <w:rPr>
          <w:color w:val="231F20"/>
        </w:rPr>
        <w:t>– забрањује се раскопавање, рушење, преправљање, прези- ђивање и вршење свих радова који могу нарушити својства непо- кретног културног добра и</w:t>
      </w:r>
    </w:p>
    <w:p>
      <w:pPr>
        <w:pStyle w:val="BodyText"/>
        <w:spacing w:before="5"/>
        <w:ind w:left="244" w:right="123" w:firstLine="396"/>
      </w:pPr>
      <w:r>
        <w:rPr>
          <w:color w:val="231F20"/>
          <w:w w:val="66"/>
        </w:rPr>
        <w:t> </w:t>
      </w:r>
      <w:r>
        <w:rPr>
          <w:color w:val="231F20"/>
        </w:rPr>
        <w:t>–</w:t>
      </w:r>
      <w:r>
        <w:rPr>
          <w:color w:val="231F20"/>
          <w:spacing w:val="-11"/>
        </w:rPr>
        <w:t> </w:t>
      </w:r>
      <w:r>
        <w:rPr>
          <w:color w:val="231F20"/>
        </w:rPr>
        <w:t>забрањује</w:t>
      </w:r>
      <w:r>
        <w:rPr>
          <w:color w:val="231F20"/>
          <w:spacing w:val="-11"/>
        </w:rPr>
        <w:t> </w:t>
      </w:r>
      <w:r>
        <w:rPr>
          <w:color w:val="231F20"/>
        </w:rPr>
        <w:t>се</w:t>
      </w:r>
      <w:r>
        <w:rPr>
          <w:color w:val="231F20"/>
          <w:spacing w:val="-11"/>
        </w:rPr>
        <w:t> </w:t>
      </w:r>
      <w:r>
        <w:rPr>
          <w:color w:val="231F20"/>
        </w:rPr>
        <w:t>коришћење</w:t>
      </w:r>
      <w:r>
        <w:rPr>
          <w:color w:val="231F20"/>
          <w:spacing w:val="-11"/>
        </w:rPr>
        <w:t> </w:t>
      </w:r>
      <w:r>
        <w:rPr>
          <w:color w:val="231F20"/>
        </w:rPr>
        <w:t>или</w:t>
      </w:r>
      <w:r>
        <w:rPr>
          <w:color w:val="231F20"/>
          <w:spacing w:val="-11"/>
        </w:rPr>
        <w:t> </w:t>
      </w:r>
      <w:r>
        <w:rPr>
          <w:color w:val="231F20"/>
        </w:rPr>
        <w:t>употреба</w:t>
      </w:r>
      <w:r>
        <w:rPr>
          <w:color w:val="231F20"/>
          <w:spacing w:val="-11"/>
        </w:rPr>
        <w:t> </w:t>
      </w:r>
      <w:r>
        <w:rPr>
          <w:color w:val="231F20"/>
        </w:rPr>
        <w:t>непокретног</w:t>
      </w:r>
      <w:r>
        <w:rPr>
          <w:color w:val="231F20"/>
          <w:spacing w:val="-11"/>
        </w:rPr>
        <w:t> </w:t>
      </w:r>
      <w:r>
        <w:rPr>
          <w:color w:val="231F20"/>
        </w:rPr>
        <w:t>култур- ног добра (археолошког налазишта) у сврхе </w:t>
      </w:r>
      <w:r>
        <w:rPr>
          <w:color w:val="231F20"/>
          <w:spacing w:val="-3"/>
        </w:rPr>
        <w:t>које </w:t>
      </w:r>
      <w:r>
        <w:rPr>
          <w:color w:val="231F20"/>
        </w:rPr>
        <w:t>нису у складу са његовом</w:t>
      </w:r>
      <w:r>
        <w:rPr>
          <w:color w:val="231F20"/>
          <w:spacing w:val="-8"/>
        </w:rPr>
        <w:t> </w:t>
      </w:r>
      <w:r>
        <w:rPr>
          <w:color w:val="231F20"/>
        </w:rPr>
        <w:t>природом,</w:t>
      </w:r>
      <w:r>
        <w:rPr>
          <w:color w:val="231F20"/>
          <w:spacing w:val="-8"/>
        </w:rPr>
        <w:t> </w:t>
      </w:r>
      <w:r>
        <w:rPr>
          <w:color w:val="231F20"/>
        </w:rPr>
        <w:t>наменом</w:t>
      </w:r>
      <w:r>
        <w:rPr>
          <w:color w:val="231F20"/>
          <w:spacing w:val="-8"/>
        </w:rPr>
        <w:t> </w:t>
      </w:r>
      <w:r>
        <w:rPr>
          <w:color w:val="231F20"/>
        </w:rPr>
        <w:t>и</w:t>
      </w:r>
      <w:r>
        <w:rPr>
          <w:color w:val="231F20"/>
          <w:spacing w:val="-8"/>
        </w:rPr>
        <w:t> </w:t>
      </w:r>
      <w:r>
        <w:rPr>
          <w:color w:val="231F20"/>
        </w:rPr>
        <w:t>значајем</w:t>
      </w:r>
      <w:r>
        <w:rPr>
          <w:color w:val="231F20"/>
          <w:spacing w:val="-8"/>
        </w:rPr>
        <w:t> </w:t>
      </w:r>
      <w:r>
        <w:rPr>
          <w:color w:val="231F20"/>
        </w:rPr>
        <w:t>или</w:t>
      </w:r>
      <w:r>
        <w:rPr>
          <w:color w:val="231F20"/>
          <w:spacing w:val="-8"/>
        </w:rPr>
        <w:t> </w:t>
      </w:r>
      <w:r>
        <w:rPr>
          <w:color w:val="231F20"/>
        </w:rPr>
        <w:t>на</w:t>
      </w:r>
      <w:r>
        <w:rPr>
          <w:color w:val="231F20"/>
          <w:spacing w:val="-8"/>
        </w:rPr>
        <w:t> </w:t>
      </w:r>
      <w:r>
        <w:rPr>
          <w:color w:val="231F20"/>
        </w:rPr>
        <w:t>начин</w:t>
      </w:r>
      <w:r>
        <w:rPr>
          <w:color w:val="231F20"/>
          <w:spacing w:val="-8"/>
        </w:rPr>
        <w:t> </w:t>
      </w:r>
      <w:r>
        <w:rPr>
          <w:color w:val="231F20"/>
          <w:spacing w:val="-3"/>
        </w:rPr>
        <w:t>који</w:t>
      </w:r>
      <w:r>
        <w:rPr>
          <w:color w:val="231F20"/>
          <w:spacing w:val="-8"/>
        </w:rPr>
        <w:t> </w:t>
      </w:r>
      <w:r>
        <w:rPr>
          <w:color w:val="231F20"/>
        </w:rPr>
        <w:t>може</w:t>
      </w:r>
      <w:r>
        <w:rPr>
          <w:color w:val="231F20"/>
          <w:spacing w:val="-8"/>
        </w:rPr>
        <w:t> </w:t>
      </w:r>
      <w:r>
        <w:rPr>
          <w:color w:val="231F20"/>
        </w:rPr>
        <w:t>да доведе до његовог</w:t>
      </w:r>
      <w:r>
        <w:rPr>
          <w:color w:val="231F20"/>
          <w:spacing w:val="-1"/>
        </w:rPr>
        <w:t> </w:t>
      </w:r>
      <w:r>
        <w:rPr>
          <w:color w:val="231F20"/>
        </w:rPr>
        <w:t>оштећења.</w:t>
      </w:r>
    </w:p>
    <w:p>
      <w:pPr>
        <w:pStyle w:val="BodyText"/>
        <w:spacing w:before="3"/>
        <w:ind w:left="0"/>
        <w:jc w:val="left"/>
        <w:rPr>
          <w:sz w:val="25"/>
        </w:rPr>
      </w:pPr>
    </w:p>
    <w:p>
      <w:pPr>
        <w:pStyle w:val="Heading1"/>
        <w:numPr>
          <w:ilvl w:val="0"/>
          <w:numId w:val="52"/>
        </w:numPr>
        <w:tabs>
          <w:tab w:pos="916" w:val="left" w:leader="none"/>
        </w:tabs>
        <w:spacing w:line="240" w:lineRule="auto" w:before="1" w:after="0"/>
        <w:ind w:left="841" w:right="635" w:hanging="86"/>
        <w:jc w:val="left"/>
      </w:pPr>
      <w:r>
        <w:rPr>
          <w:color w:val="231F20"/>
        </w:rPr>
        <w:t>Правила изградње и правила уређења простора за просторне целине и коридоре посебне</w:t>
      </w:r>
      <w:r>
        <w:rPr>
          <w:color w:val="231F20"/>
          <w:spacing w:val="-21"/>
        </w:rPr>
        <w:t> </w:t>
      </w:r>
      <w:r>
        <w:rPr>
          <w:color w:val="231F20"/>
        </w:rPr>
        <w:t>намене</w:t>
      </w:r>
    </w:p>
    <w:p>
      <w:pPr>
        <w:pStyle w:val="ListParagraph"/>
        <w:numPr>
          <w:ilvl w:val="1"/>
          <w:numId w:val="52"/>
        </w:numPr>
        <w:tabs>
          <w:tab w:pos="1398" w:val="left" w:leader="none"/>
        </w:tabs>
        <w:spacing w:line="240" w:lineRule="auto" w:before="173" w:after="0"/>
        <w:ind w:left="1755" w:right="0" w:hanging="538"/>
        <w:jc w:val="left"/>
        <w:rPr>
          <w:b/>
          <w:sz w:val="18"/>
        </w:rPr>
      </w:pPr>
      <w:r>
        <w:rPr>
          <w:b/>
          <w:color w:val="231F20"/>
          <w:spacing w:val="-3"/>
          <w:sz w:val="18"/>
        </w:rPr>
        <w:t>Комплекс </w:t>
      </w:r>
      <w:r>
        <w:rPr>
          <w:b/>
          <w:color w:val="231F20"/>
          <w:sz w:val="18"/>
        </w:rPr>
        <w:t>површински коп „Дрмно”</w:t>
      </w:r>
    </w:p>
    <w:p>
      <w:pPr>
        <w:pStyle w:val="ListParagraph"/>
        <w:numPr>
          <w:ilvl w:val="2"/>
          <w:numId w:val="52"/>
        </w:numPr>
        <w:tabs>
          <w:tab w:pos="2304" w:val="left" w:leader="none"/>
        </w:tabs>
        <w:spacing w:line="240" w:lineRule="auto" w:before="172" w:after="0"/>
        <w:ind w:left="1649" w:right="0" w:firstLine="339"/>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4"/>
        <w:ind w:left="0"/>
        <w:jc w:val="left"/>
        <w:rPr>
          <w:i/>
        </w:rPr>
      </w:pPr>
    </w:p>
    <w:p>
      <w:pPr>
        <w:pStyle w:val="BodyText"/>
        <w:ind w:left="243" w:right="123" w:firstLine="396"/>
      </w:pPr>
      <w:r>
        <w:rPr>
          <w:color w:val="231F20"/>
        </w:rPr>
        <w:t>У циљу остварења континуитета развоја енергетског ком- плекса у Костолачком угљеном басену покренута је од стране ЈП</w:t>
      </w:r>
    </w:p>
    <w:p>
      <w:pPr>
        <w:pStyle w:val="BodyText"/>
        <w:spacing w:line="242" w:lineRule="auto" w:before="4"/>
        <w:ind w:left="239" w:right="124" w:firstLine="4"/>
      </w:pPr>
      <w:r>
        <w:rPr>
          <w:color w:val="231F20"/>
        </w:rPr>
        <w:t>„Електропривреда Србије” израда прединвестиционе документа- ције</w:t>
      </w:r>
      <w:r>
        <w:rPr>
          <w:color w:val="231F20"/>
          <w:position w:val="6"/>
          <w:sz w:val="10"/>
        </w:rPr>
        <w:t>2 </w:t>
      </w:r>
      <w:r>
        <w:rPr>
          <w:color w:val="231F20"/>
        </w:rPr>
        <w:t>и усвојена техноекономска анализа базирана на доказаним резервама угља ПК „Дрмно” и потенцијалима локације ТЕ </w:t>
      </w:r>
      <w:r>
        <w:rPr>
          <w:color w:val="231F20"/>
          <w:spacing w:val="-3"/>
        </w:rPr>
        <w:t>„Ко- </w:t>
      </w:r>
      <w:r>
        <w:rPr>
          <w:color w:val="231F20"/>
        </w:rPr>
        <w:t>столац Б” и њеног непосредног окружења. С обзиром на планира- ни капацитет </w:t>
      </w:r>
      <w:r>
        <w:rPr>
          <w:color w:val="231F20"/>
          <w:spacing w:val="-3"/>
        </w:rPr>
        <w:t>копа </w:t>
      </w:r>
      <w:r>
        <w:rPr>
          <w:color w:val="231F20"/>
        </w:rPr>
        <w:t>„Дрмно” </w:t>
      </w:r>
      <w:r>
        <w:rPr>
          <w:color w:val="231F20"/>
          <w:spacing w:val="-3"/>
        </w:rPr>
        <w:t>након </w:t>
      </w:r>
      <w:r>
        <w:rPr>
          <w:color w:val="231F20"/>
        </w:rPr>
        <w:t>2015. </w:t>
      </w:r>
      <w:r>
        <w:rPr>
          <w:color w:val="231F20"/>
          <w:spacing w:val="-3"/>
        </w:rPr>
        <w:t>године </w:t>
      </w:r>
      <w:r>
        <w:rPr>
          <w:color w:val="231F20"/>
        </w:rPr>
        <w:t>и капацитет тран- спортног система угља до електране, као и расположив простор  за изградњу на локацији електране, према резултатима предметне документације,</w:t>
      </w:r>
      <w:r>
        <w:rPr>
          <w:color w:val="231F20"/>
          <w:spacing w:val="-5"/>
        </w:rPr>
        <w:t> </w:t>
      </w:r>
      <w:r>
        <w:rPr>
          <w:color w:val="231F20"/>
        </w:rPr>
        <w:t>снага</w:t>
      </w:r>
      <w:r>
        <w:rPr>
          <w:color w:val="231F20"/>
          <w:spacing w:val="-5"/>
        </w:rPr>
        <w:t> </w:t>
      </w:r>
      <w:r>
        <w:rPr>
          <w:color w:val="231F20"/>
        </w:rPr>
        <w:t>новог</w:t>
      </w:r>
      <w:r>
        <w:rPr>
          <w:color w:val="231F20"/>
          <w:spacing w:val="-5"/>
        </w:rPr>
        <w:t> </w:t>
      </w:r>
      <w:r>
        <w:rPr>
          <w:color w:val="231F20"/>
        </w:rPr>
        <w:t>блока</w:t>
      </w:r>
      <w:r>
        <w:rPr>
          <w:color w:val="231F20"/>
          <w:spacing w:val="-5"/>
        </w:rPr>
        <w:t> </w:t>
      </w:r>
      <w:r>
        <w:rPr>
          <w:color w:val="231F20"/>
        </w:rPr>
        <w:t>лимитирана</w:t>
      </w:r>
      <w:r>
        <w:rPr>
          <w:color w:val="231F20"/>
          <w:spacing w:val="-5"/>
        </w:rPr>
        <w:t> </w:t>
      </w:r>
      <w:r>
        <w:rPr>
          <w:color w:val="231F20"/>
        </w:rPr>
        <w:t>је</w:t>
      </w:r>
      <w:r>
        <w:rPr>
          <w:color w:val="231F20"/>
          <w:spacing w:val="-5"/>
        </w:rPr>
        <w:t> </w:t>
      </w:r>
      <w:r>
        <w:rPr>
          <w:color w:val="231F20"/>
        </w:rPr>
        <w:t>на</w:t>
      </w:r>
      <w:r>
        <w:rPr>
          <w:color w:val="231F20"/>
          <w:spacing w:val="-5"/>
        </w:rPr>
        <w:t> </w:t>
      </w:r>
      <w:r>
        <w:rPr>
          <w:color w:val="231F20"/>
        </w:rPr>
        <w:t>600</w:t>
      </w:r>
      <w:r>
        <w:rPr>
          <w:color w:val="231F20"/>
          <w:spacing w:val="-5"/>
        </w:rPr>
        <w:t> </w:t>
      </w:r>
      <w:r>
        <w:rPr>
          <w:color w:val="231F20"/>
          <w:spacing w:val="-6"/>
        </w:rPr>
        <w:t>MW,</w:t>
      </w:r>
      <w:r>
        <w:rPr>
          <w:color w:val="231F20"/>
          <w:spacing w:val="-5"/>
        </w:rPr>
        <w:t> </w:t>
      </w:r>
      <w:r>
        <w:rPr>
          <w:color w:val="231F20"/>
        </w:rPr>
        <w:t>с</w:t>
      </w:r>
      <w:r>
        <w:rPr>
          <w:color w:val="231F20"/>
          <w:spacing w:val="-5"/>
        </w:rPr>
        <w:t> </w:t>
      </w:r>
      <w:r>
        <w:rPr>
          <w:color w:val="231F20"/>
        </w:rPr>
        <w:t>тим што се разматра и варијанта изградње два нова блока: „Б3” снаге 350 МW до 2022. године, и блока „Б4” после 2022.</w:t>
      </w:r>
      <w:r>
        <w:rPr>
          <w:color w:val="231F20"/>
          <w:spacing w:val="-20"/>
        </w:rPr>
        <w:t> </w:t>
      </w:r>
      <w:r>
        <w:rPr>
          <w:color w:val="231F20"/>
        </w:rPr>
        <w:t>године</w:t>
      </w:r>
      <w:r>
        <w:rPr>
          <w:color w:val="231F20"/>
          <w:position w:val="6"/>
          <w:sz w:val="10"/>
        </w:rPr>
        <w:t>3</w:t>
      </w:r>
      <w:r>
        <w:rPr>
          <w:color w:val="231F20"/>
        </w:rPr>
        <w:t>.</w:t>
      </w:r>
    </w:p>
    <w:p>
      <w:pPr>
        <w:pStyle w:val="BodyText"/>
        <w:spacing w:before="1"/>
        <w:ind w:left="238" w:right="128" w:firstLine="397"/>
      </w:pPr>
      <w:r>
        <w:rPr>
          <w:color w:val="231F20"/>
        </w:rPr>
        <w:t>„Иновираним дугорочним програмом развоја експлоатације у </w:t>
      </w:r>
      <w:r>
        <w:rPr>
          <w:color w:val="231F20"/>
          <w:spacing w:val="-4"/>
        </w:rPr>
        <w:t>Костолачком </w:t>
      </w:r>
      <w:r>
        <w:rPr>
          <w:color w:val="231F20"/>
        </w:rPr>
        <w:t>угљоносном басену” предвиђен је развој ПК „Дрм- но” за капацитет </w:t>
      </w:r>
      <w:r>
        <w:rPr>
          <w:color w:val="231F20"/>
          <w:spacing w:val="-3"/>
        </w:rPr>
        <w:t>од </w:t>
      </w:r>
      <w:r>
        <w:rPr>
          <w:color w:val="231F20"/>
        </w:rPr>
        <w:t>12</w:t>
      </w:r>
      <w:r>
        <w:rPr>
          <w:i/>
          <w:color w:val="231F20"/>
        </w:rPr>
        <w:t>×</w:t>
      </w:r>
      <w:r>
        <w:rPr>
          <w:color w:val="231F20"/>
        </w:rPr>
        <w:t>10</w:t>
      </w:r>
      <w:r>
        <w:rPr>
          <w:color w:val="231F20"/>
          <w:position w:val="6"/>
          <w:sz w:val="10"/>
        </w:rPr>
        <w:t>6 </w:t>
      </w:r>
      <w:r>
        <w:rPr>
          <w:color w:val="231F20"/>
        </w:rPr>
        <w:t>t угља годишње, а ограничење лежи- шта</w:t>
      </w:r>
      <w:r>
        <w:rPr>
          <w:color w:val="231F20"/>
          <w:spacing w:val="-8"/>
        </w:rPr>
        <w:t> </w:t>
      </w:r>
      <w:r>
        <w:rPr>
          <w:color w:val="231F20"/>
        </w:rPr>
        <w:t>је</w:t>
      </w:r>
      <w:r>
        <w:rPr>
          <w:color w:val="231F20"/>
          <w:spacing w:val="-8"/>
        </w:rPr>
        <w:t> </w:t>
      </w:r>
      <w:r>
        <w:rPr>
          <w:color w:val="231F20"/>
        </w:rPr>
        <w:t>извршено</w:t>
      </w:r>
      <w:r>
        <w:rPr>
          <w:color w:val="231F20"/>
          <w:spacing w:val="-8"/>
        </w:rPr>
        <w:t> </w:t>
      </w:r>
      <w:r>
        <w:rPr>
          <w:color w:val="231F20"/>
        </w:rPr>
        <w:t>на</w:t>
      </w:r>
      <w:r>
        <w:rPr>
          <w:color w:val="231F20"/>
          <w:spacing w:val="-8"/>
        </w:rPr>
        <w:t> </w:t>
      </w:r>
      <w:r>
        <w:rPr>
          <w:color w:val="231F20"/>
        </w:rPr>
        <w:t>основу</w:t>
      </w:r>
      <w:r>
        <w:rPr>
          <w:color w:val="231F20"/>
          <w:spacing w:val="-8"/>
        </w:rPr>
        <w:t> </w:t>
      </w:r>
      <w:r>
        <w:rPr>
          <w:color w:val="231F20"/>
        </w:rPr>
        <w:t>следећих</w:t>
      </w:r>
      <w:r>
        <w:rPr>
          <w:color w:val="231F20"/>
          <w:spacing w:val="-8"/>
        </w:rPr>
        <w:t> </w:t>
      </w:r>
      <w:r>
        <w:rPr>
          <w:color w:val="231F20"/>
        </w:rPr>
        <w:t>критеријума:</w:t>
      </w:r>
      <w:r>
        <w:rPr>
          <w:color w:val="231F20"/>
          <w:spacing w:val="-8"/>
        </w:rPr>
        <w:t> </w:t>
      </w:r>
      <w:r>
        <w:rPr>
          <w:color w:val="231F20"/>
        </w:rPr>
        <w:t>снабдевање</w:t>
      </w:r>
      <w:r>
        <w:rPr>
          <w:color w:val="231F20"/>
          <w:spacing w:val="-8"/>
        </w:rPr>
        <w:t> </w:t>
      </w:r>
      <w:r>
        <w:rPr>
          <w:color w:val="231F20"/>
        </w:rPr>
        <w:t>тер- моелектрана угљем у </w:t>
      </w:r>
      <w:r>
        <w:rPr>
          <w:color w:val="231F20"/>
          <w:spacing w:val="-3"/>
        </w:rPr>
        <w:t>количини од </w:t>
      </w:r>
      <w:r>
        <w:rPr>
          <w:color w:val="231F20"/>
        </w:rPr>
        <w:t>11.5</w:t>
      </w:r>
      <w:r>
        <w:rPr>
          <w:i/>
          <w:color w:val="231F20"/>
        </w:rPr>
        <w:t>×</w:t>
      </w:r>
      <w:r>
        <w:rPr>
          <w:color w:val="231F20"/>
        </w:rPr>
        <w:t>10</w:t>
      </w:r>
      <w:r>
        <w:rPr>
          <w:color w:val="231F20"/>
          <w:position w:val="6"/>
          <w:sz w:val="10"/>
        </w:rPr>
        <w:t>6 </w:t>
      </w:r>
      <w:r>
        <w:rPr>
          <w:color w:val="231F20"/>
        </w:rPr>
        <w:t>t годишње у периоду </w:t>
      </w:r>
      <w:r>
        <w:rPr>
          <w:color w:val="231F20"/>
          <w:spacing w:val="-3"/>
        </w:rPr>
        <w:t>од  </w:t>
      </w:r>
      <w:r>
        <w:rPr>
          <w:color w:val="231F20"/>
        </w:rPr>
        <w:t>2012. </w:t>
      </w:r>
      <w:r>
        <w:rPr>
          <w:color w:val="231F20"/>
          <w:spacing w:val="-3"/>
        </w:rPr>
        <w:t>године  </w:t>
      </w:r>
      <w:r>
        <w:rPr>
          <w:color w:val="231F20"/>
        </w:rPr>
        <w:t>на даље, снабдевање широке потрошње угљем   у </w:t>
      </w:r>
      <w:r>
        <w:rPr>
          <w:color w:val="231F20"/>
          <w:spacing w:val="-3"/>
        </w:rPr>
        <w:t>количини од </w:t>
      </w:r>
      <w:r>
        <w:rPr>
          <w:color w:val="231F20"/>
        </w:rPr>
        <w:t>0,5 </w:t>
      </w:r>
      <w:r>
        <w:rPr>
          <w:i/>
          <w:color w:val="231F20"/>
        </w:rPr>
        <w:t>× </w:t>
      </w:r>
      <w:r>
        <w:rPr>
          <w:color w:val="231F20"/>
        </w:rPr>
        <w:t>10</w:t>
      </w:r>
      <w:r>
        <w:rPr>
          <w:color w:val="231F20"/>
          <w:position w:val="6"/>
          <w:sz w:val="10"/>
        </w:rPr>
        <w:t>6 </w:t>
      </w:r>
      <w:r>
        <w:rPr>
          <w:color w:val="231F20"/>
        </w:rPr>
        <w:t>t годишње, геолошке резерве и квалитет угља (Елаборат о резервама из 2003. године), максимално искори- шћење лежишта, оптималне дужине радних етажа, диспозиција објеката термоелектране „Костолац Б”, положај археолошког на- лазишта Виминацијум, насељених места и реке</w:t>
      </w:r>
      <w:r>
        <w:rPr>
          <w:color w:val="231F20"/>
          <w:spacing w:val="-7"/>
        </w:rPr>
        <w:t> </w:t>
      </w:r>
      <w:r>
        <w:rPr>
          <w:color w:val="231F20"/>
        </w:rPr>
        <w:t>Дунав.</w:t>
      </w:r>
    </w:p>
    <w:p>
      <w:pPr>
        <w:pStyle w:val="BodyText"/>
        <w:spacing w:before="20"/>
        <w:ind w:left="239" w:right="128" w:firstLine="396"/>
      </w:pPr>
      <w:r>
        <w:rPr>
          <w:color w:val="231F20"/>
        </w:rPr>
        <w:t>Правила изградње и правила уређења простора утврђују се за простор </w:t>
      </w:r>
      <w:r>
        <w:rPr>
          <w:color w:val="231F20"/>
          <w:spacing w:val="-3"/>
        </w:rPr>
        <w:t>који </w:t>
      </w:r>
      <w:r>
        <w:rPr>
          <w:color w:val="231F20"/>
        </w:rPr>
        <w:t>ће бити </w:t>
      </w:r>
      <w:r>
        <w:rPr>
          <w:color w:val="231F20"/>
          <w:spacing w:val="-3"/>
        </w:rPr>
        <w:t>заузет </w:t>
      </w:r>
      <w:r>
        <w:rPr>
          <w:color w:val="231F20"/>
        </w:rPr>
        <w:t>рударским и пратећим активности- ма до 2022. године. За </w:t>
      </w:r>
      <w:r>
        <w:rPr>
          <w:color w:val="231F20"/>
          <w:spacing w:val="-3"/>
        </w:rPr>
        <w:t>рударске </w:t>
      </w:r>
      <w:r>
        <w:rPr>
          <w:color w:val="231F20"/>
        </w:rPr>
        <w:t>активности после 2022. </w:t>
      </w:r>
      <w:r>
        <w:rPr>
          <w:color w:val="231F20"/>
          <w:spacing w:val="-3"/>
        </w:rPr>
        <w:t>године </w:t>
      </w:r>
      <w:r>
        <w:rPr>
          <w:color w:val="231F20"/>
        </w:rPr>
        <w:t>у оквирним</w:t>
      </w:r>
      <w:r>
        <w:rPr>
          <w:color w:val="231F20"/>
          <w:spacing w:val="-9"/>
        </w:rPr>
        <w:t> </w:t>
      </w:r>
      <w:r>
        <w:rPr>
          <w:color w:val="231F20"/>
        </w:rPr>
        <w:t>границама</w:t>
      </w:r>
      <w:r>
        <w:rPr>
          <w:color w:val="231F20"/>
          <w:spacing w:val="-9"/>
        </w:rPr>
        <w:t> </w:t>
      </w:r>
      <w:r>
        <w:rPr>
          <w:color w:val="231F20"/>
          <w:spacing w:val="-3"/>
        </w:rPr>
        <w:t>коначне</w:t>
      </w:r>
      <w:r>
        <w:rPr>
          <w:color w:val="231F20"/>
          <w:spacing w:val="-9"/>
        </w:rPr>
        <w:t> </w:t>
      </w:r>
      <w:r>
        <w:rPr>
          <w:color w:val="231F20"/>
        </w:rPr>
        <w:t>контуре</w:t>
      </w:r>
      <w:r>
        <w:rPr>
          <w:color w:val="231F20"/>
          <w:spacing w:val="-9"/>
        </w:rPr>
        <w:t> </w:t>
      </w:r>
      <w:r>
        <w:rPr>
          <w:color w:val="231F20"/>
        </w:rPr>
        <w:t>површинског</w:t>
      </w:r>
      <w:r>
        <w:rPr>
          <w:color w:val="231F20"/>
          <w:spacing w:val="-9"/>
        </w:rPr>
        <w:t> </w:t>
      </w:r>
      <w:r>
        <w:rPr>
          <w:color w:val="231F20"/>
          <w:spacing w:val="-3"/>
        </w:rPr>
        <w:t>копа</w:t>
      </w:r>
      <w:r>
        <w:rPr>
          <w:color w:val="231F20"/>
          <w:spacing w:val="-9"/>
        </w:rPr>
        <w:t> </w:t>
      </w:r>
      <w:r>
        <w:rPr>
          <w:color w:val="231F20"/>
        </w:rPr>
        <w:t>„Дрмно”, Просторним планом се резервише планирани простор и утврђу-  ју правила уређења и коришћења простора до његовог привођења новој намени</w:t>
      </w:r>
      <w:r>
        <w:rPr>
          <w:color w:val="231F20"/>
          <w:spacing w:val="-2"/>
        </w:rPr>
        <w:t> </w:t>
      </w:r>
      <w:r>
        <w:rPr>
          <w:color w:val="231F20"/>
        </w:rPr>
        <w:t>(рударству).</w:t>
      </w:r>
    </w:p>
    <w:p>
      <w:pPr>
        <w:pStyle w:val="BodyText"/>
        <w:spacing w:before="8"/>
        <w:ind w:left="0"/>
        <w:jc w:val="left"/>
        <w:rPr>
          <w:sz w:val="25"/>
        </w:rPr>
      </w:pPr>
    </w:p>
    <w:p>
      <w:pPr>
        <w:pStyle w:val="ListParagraph"/>
        <w:numPr>
          <w:ilvl w:val="2"/>
          <w:numId w:val="52"/>
        </w:numPr>
        <w:tabs>
          <w:tab w:pos="686" w:val="left" w:leader="none"/>
        </w:tabs>
        <w:spacing w:line="240" w:lineRule="auto" w:before="1" w:after="0"/>
        <w:ind w:left="1649" w:right="258" w:hanging="1279"/>
        <w:jc w:val="left"/>
        <w:rPr>
          <w:i/>
          <w:sz w:val="18"/>
        </w:rPr>
      </w:pPr>
      <w:r>
        <w:rPr>
          <w:i/>
          <w:color w:val="231F20"/>
          <w:sz w:val="18"/>
        </w:rPr>
        <w:t>Просторни обухват и граница </w:t>
      </w:r>
      <w:r>
        <w:rPr>
          <w:i/>
          <w:color w:val="231F20"/>
          <w:spacing w:val="-3"/>
          <w:sz w:val="18"/>
        </w:rPr>
        <w:t>комплекса </w:t>
      </w:r>
      <w:r>
        <w:rPr>
          <w:i/>
          <w:color w:val="231F20"/>
          <w:sz w:val="18"/>
        </w:rPr>
        <w:t>„површински </w:t>
      </w:r>
      <w:r>
        <w:rPr>
          <w:i/>
          <w:color w:val="231F20"/>
          <w:spacing w:val="-3"/>
          <w:sz w:val="18"/>
        </w:rPr>
        <w:t>коп </w:t>
      </w:r>
      <w:r>
        <w:rPr>
          <w:i/>
          <w:color w:val="231F20"/>
          <w:spacing w:val="-3"/>
          <w:sz w:val="18"/>
        </w:rPr>
        <w:t>Дрмно </w:t>
      </w:r>
      <w:r>
        <w:rPr>
          <w:i/>
          <w:color w:val="231F20"/>
          <w:sz w:val="18"/>
        </w:rPr>
        <w:t>– стање 2022.</w:t>
      </w:r>
      <w:r>
        <w:rPr>
          <w:i/>
          <w:color w:val="231F20"/>
          <w:spacing w:val="0"/>
          <w:sz w:val="18"/>
        </w:rPr>
        <w:t> </w:t>
      </w:r>
      <w:r>
        <w:rPr>
          <w:i/>
          <w:color w:val="231F20"/>
          <w:sz w:val="18"/>
        </w:rPr>
        <w:t>године”</w:t>
      </w:r>
    </w:p>
    <w:p>
      <w:pPr>
        <w:pStyle w:val="BodyText"/>
        <w:spacing w:before="5"/>
        <w:ind w:left="0"/>
        <w:jc w:val="left"/>
        <w:rPr>
          <w:i/>
        </w:rPr>
      </w:pPr>
    </w:p>
    <w:p>
      <w:pPr>
        <w:pStyle w:val="BodyText"/>
        <w:ind w:left="238" w:right="128" w:firstLine="398"/>
      </w:pPr>
      <w:r>
        <w:rPr>
          <w:color w:val="231F20"/>
        </w:rPr>
        <w:t>Површински </w:t>
      </w:r>
      <w:r>
        <w:rPr>
          <w:color w:val="231F20"/>
          <w:spacing w:val="-4"/>
        </w:rPr>
        <w:t>коп </w:t>
      </w:r>
      <w:r>
        <w:rPr>
          <w:color w:val="231F20"/>
        </w:rPr>
        <w:t>„Дрмно” лоциран је на површини </w:t>
      </w:r>
      <w:r>
        <w:rPr>
          <w:color w:val="231F20"/>
          <w:spacing w:val="-3"/>
        </w:rPr>
        <w:t>од </w:t>
      </w:r>
      <w:r>
        <w:rPr>
          <w:color w:val="231F20"/>
          <w:spacing w:val="-4"/>
        </w:rPr>
        <w:t>око </w:t>
      </w:r>
      <w:r>
        <w:rPr>
          <w:color w:val="231F20"/>
        </w:rPr>
        <w:t>3700 hа у источном делу </w:t>
      </w:r>
      <w:r>
        <w:rPr>
          <w:color w:val="231F20"/>
          <w:spacing w:val="-3"/>
        </w:rPr>
        <w:t>Костолачког </w:t>
      </w:r>
      <w:r>
        <w:rPr>
          <w:color w:val="231F20"/>
        </w:rPr>
        <w:t>угљеног басена, на терито- рији града Пожаревца, и то на деловима подручја </w:t>
      </w:r>
      <w:r>
        <w:rPr>
          <w:color w:val="231F20"/>
          <w:spacing w:val="-3"/>
        </w:rPr>
        <w:t>КО </w:t>
      </w:r>
      <w:r>
        <w:rPr>
          <w:color w:val="231F20"/>
        </w:rPr>
        <w:t>Костолац село, </w:t>
      </w:r>
      <w:r>
        <w:rPr>
          <w:color w:val="231F20"/>
          <w:spacing w:val="-3"/>
        </w:rPr>
        <w:t>КО </w:t>
      </w:r>
      <w:r>
        <w:rPr>
          <w:color w:val="231F20"/>
        </w:rPr>
        <w:t>Кленовник (у оквиру </w:t>
      </w:r>
      <w:r>
        <w:rPr>
          <w:color w:val="231F20"/>
          <w:spacing w:val="-3"/>
        </w:rPr>
        <w:t>Градске </w:t>
      </w:r>
      <w:r>
        <w:rPr>
          <w:color w:val="231F20"/>
        </w:rPr>
        <w:t>општине Костолац), </w:t>
      </w:r>
      <w:r>
        <w:rPr>
          <w:color w:val="231F20"/>
          <w:spacing w:val="-3"/>
        </w:rPr>
        <w:t>КО </w:t>
      </w:r>
      <w:r>
        <w:rPr>
          <w:color w:val="231F20"/>
        </w:rPr>
        <w:t>Кличевац, </w:t>
      </w:r>
      <w:r>
        <w:rPr>
          <w:color w:val="231F20"/>
          <w:spacing w:val="-3"/>
        </w:rPr>
        <w:t>КО </w:t>
      </w:r>
      <w:r>
        <w:rPr>
          <w:color w:val="231F20"/>
        </w:rPr>
        <w:t>Брадарац, и </w:t>
      </w:r>
      <w:r>
        <w:rPr>
          <w:color w:val="231F20"/>
          <w:spacing w:val="-3"/>
        </w:rPr>
        <w:t>КО </w:t>
      </w:r>
      <w:r>
        <w:rPr>
          <w:color w:val="231F20"/>
        </w:rPr>
        <w:t>Дрмно (на подручју </w:t>
      </w:r>
      <w:r>
        <w:rPr>
          <w:color w:val="231F20"/>
          <w:spacing w:val="-3"/>
        </w:rPr>
        <w:t>Градске </w:t>
      </w:r>
      <w:r>
        <w:rPr>
          <w:color w:val="231F20"/>
        </w:rPr>
        <w:t>општи- не Пожаревац). Експлоатационо поље представља део лигнитског лежишта унутар граница одређених у „Иновираном дугорочном програму развоја експлоатације у </w:t>
      </w:r>
      <w:r>
        <w:rPr>
          <w:color w:val="231F20"/>
          <w:spacing w:val="-4"/>
        </w:rPr>
        <w:t>Костолачком </w:t>
      </w:r>
      <w:r>
        <w:rPr>
          <w:color w:val="231F20"/>
        </w:rPr>
        <w:t>угљоносном басе- ну” (РГФ, 2006.).</w:t>
      </w:r>
    </w:p>
    <w:p>
      <w:pPr>
        <w:spacing w:before="8"/>
        <w:ind w:left="239"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523" w:val="left" w:leader="none"/>
        </w:tabs>
        <w:spacing w:line="240" w:lineRule="auto" w:before="2" w:after="0"/>
        <w:ind w:left="522" w:right="128" w:hanging="283"/>
        <w:jc w:val="both"/>
        <w:rPr>
          <w:sz w:val="14"/>
        </w:rPr>
      </w:pPr>
      <w:r>
        <w:rPr>
          <w:color w:val="231F20"/>
          <w:sz w:val="14"/>
        </w:rPr>
        <w:t>ТЕ</w:t>
      </w:r>
      <w:r>
        <w:rPr>
          <w:color w:val="231F20"/>
          <w:spacing w:val="-10"/>
          <w:sz w:val="14"/>
        </w:rPr>
        <w:t> </w:t>
      </w:r>
      <w:r>
        <w:rPr>
          <w:color w:val="231F20"/>
          <w:sz w:val="14"/>
        </w:rPr>
        <w:t>„Костолац</w:t>
      </w:r>
      <w:r>
        <w:rPr>
          <w:color w:val="231F20"/>
          <w:spacing w:val="-10"/>
          <w:sz w:val="14"/>
        </w:rPr>
        <w:t> </w:t>
      </w:r>
      <w:r>
        <w:rPr>
          <w:color w:val="231F20"/>
          <w:sz w:val="14"/>
        </w:rPr>
        <w:t>Б”</w:t>
      </w:r>
      <w:r>
        <w:rPr>
          <w:color w:val="231F20"/>
          <w:spacing w:val="-17"/>
          <w:sz w:val="14"/>
        </w:rPr>
        <w:t> </w:t>
      </w:r>
      <w:r>
        <w:rPr>
          <w:color w:val="231F20"/>
          <w:sz w:val="14"/>
        </w:rPr>
        <w:t>–II</w:t>
      </w:r>
      <w:r>
        <w:rPr>
          <w:color w:val="231F20"/>
          <w:spacing w:val="-10"/>
          <w:sz w:val="14"/>
        </w:rPr>
        <w:t> </w:t>
      </w:r>
      <w:r>
        <w:rPr>
          <w:color w:val="231F20"/>
          <w:sz w:val="14"/>
        </w:rPr>
        <w:t>фаза,</w:t>
      </w:r>
      <w:r>
        <w:rPr>
          <w:color w:val="231F20"/>
          <w:spacing w:val="-10"/>
          <w:sz w:val="14"/>
        </w:rPr>
        <w:t> </w:t>
      </w:r>
      <w:r>
        <w:rPr>
          <w:color w:val="231F20"/>
          <w:sz w:val="14"/>
        </w:rPr>
        <w:t>Претходни</w:t>
      </w:r>
      <w:r>
        <w:rPr>
          <w:color w:val="231F20"/>
          <w:spacing w:val="-10"/>
          <w:sz w:val="14"/>
        </w:rPr>
        <w:t> </w:t>
      </w:r>
      <w:r>
        <w:rPr>
          <w:color w:val="231F20"/>
          <w:sz w:val="14"/>
        </w:rPr>
        <w:t>радови</w:t>
      </w:r>
      <w:r>
        <w:rPr>
          <w:color w:val="231F20"/>
          <w:spacing w:val="-10"/>
          <w:sz w:val="14"/>
        </w:rPr>
        <w:t> </w:t>
      </w:r>
      <w:r>
        <w:rPr>
          <w:color w:val="231F20"/>
          <w:sz w:val="14"/>
        </w:rPr>
        <w:t>за</w:t>
      </w:r>
      <w:r>
        <w:rPr>
          <w:color w:val="231F20"/>
          <w:spacing w:val="-10"/>
          <w:sz w:val="14"/>
        </w:rPr>
        <w:t> </w:t>
      </w:r>
      <w:r>
        <w:rPr>
          <w:color w:val="231F20"/>
          <w:sz w:val="14"/>
        </w:rPr>
        <w:t>изградњу</w:t>
      </w:r>
      <w:r>
        <w:rPr>
          <w:color w:val="231F20"/>
          <w:spacing w:val="-10"/>
          <w:sz w:val="14"/>
        </w:rPr>
        <w:t> </w:t>
      </w:r>
      <w:r>
        <w:rPr>
          <w:color w:val="231F20"/>
          <w:sz w:val="14"/>
        </w:rPr>
        <w:t>новог</w:t>
      </w:r>
      <w:r>
        <w:rPr>
          <w:color w:val="231F20"/>
          <w:spacing w:val="-10"/>
          <w:sz w:val="14"/>
        </w:rPr>
        <w:t> </w:t>
      </w:r>
      <w:r>
        <w:rPr>
          <w:color w:val="231F20"/>
          <w:sz w:val="14"/>
        </w:rPr>
        <w:t>термоенергетског постројења коришћењем угља са ПК „Дрмно”, Костолачки угљоносни басен (Енергопројект Ентел а.д. и Рударски институт д.о.о., 2010.</w:t>
      </w:r>
      <w:r>
        <w:rPr>
          <w:color w:val="231F20"/>
          <w:spacing w:val="-12"/>
          <w:sz w:val="14"/>
        </w:rPr>
        <w:t> </w:t>
      </w:r>
      <w:r>
        <w:rPr>
          <w:color w:val="231F20"/>
          <w:sz w:val="14"/>
        </w:rPr>
        <w:t>године)</w:t>
      </w:r>
    </w:p>
    <w:p>
      <w:pPr>
        <w:pStyle w:val="ListParagraph"/>
        <w:numPr>
          <w:ilvl w:val="0"/>
          <w:numId w:val="50"/>
        </w:numPr>
        <w:tabs>
          <w:tab w:pos="523" w:val="left" w:leader="none"/>
        </w:tabs>
        <w:spacing w:line="240" w:lineRule="auto" w:before="5" w:after="0"/>
        <w:ind w:left="522" w:right="128" w:hanging="283"/>
        <w:jc w:val="both"/>
        <w:rPr>
          <w:sz w:val="14"/>
        </w:rPr>
      </w:pPr>
      <w:r>
        <w:rPr>
          <w:color w:val="231F20"/>
          <w:sz w:val="14"/>
        </w:rPr>
        <w:t>Претходна</w:t>
      </w:r>
      <w:r>
        <w:rPr>
          <w:color w:val="231F20"/>
          <w:spacing w:val="-9"/>
          <w:sz w:val="14"/>
        </w:rPr>
        <w:t> </w:t>
      </w:r>
      <w:r>
        <w:rPr>
          <w:color w:val="231F20"/>
          <w:sz w:val="14"/>
        </w:rPr>
        <w:t>студија</w:t>
      </w:r>
      <w:r>
        <w:rPr>
          <w:color w:val="231F20"/>
          <w:spacing w:val="-9"/>
          <w:sz w:val="14"/>
        </w:rPr>
        <w:t> </w:t>
      </w:r>
      <w:r>
        <w:rPr>
          <w:color w:val="231F20"/>
          <w:sz w:val="14"/>
        </w:rPr>
        <w:t>оправданости</w:t>
      </w:r>
      <w:r>
        <w:rPr>
          <w:color w:val="231F20"/>
          <w:spacing w:val="-9"/>
          <w:sz w:val="14"/>
        </w:rPr>
        <w:t> </w:t>
      </w:r>
      <w:r>
        <w:rPr>
          <w:color w:val="231F20"/>
          <w:sz w:val="14"/>
        </w:rPr>
        <w:t>са</w:t>
      </w:r>
      <w:r>
        <w:rPr>
          <w:color w:val="231F20"/>
          <w:spacing w:val="-9"/>
          <w:sz w:val="14"/>
        </w:rPr>
        <w:t> </w:t>
      </w:r>
      <w:r>
        <w:rPr>
          <w:color w:val="231F20"/>
          <w:sz w:val="14"/>
        </w:rPr>
        <w:t>Генералним</w:t>
      </w:r>
      <w:r>
        <w:rPr>
          <w:color w:val="231F20"/>
          <w:spacing w:val="-9"/>
          <w:sz w:val="14"/>
        </w:rPr>
        <w:t> </w:t>
      </w:r>
      <w:r>
        <w:rPr>
          <w:color w:val="231F20"/>
          <w:sz w:val="14"/>
        </w:rPr>
        <w:t>пројектом</w:t>
      </w:r>
      <w:r>
        <w:rPr>
          <w:color w:val="231F20"/>
          <w:spacing w:val="-9"/>
          <w:sz w:val="14"/>
        </w:rPr>
        <w:t> </w:t>
      </w:r>
      <w:r>
        <w:rPr>
          <w:color w:val="231F20"/>
          <w:sz w:val="14"/>
        </w:rPr>
        <w:t>изградње</w:t>
      </w:r>
      <w:r>
        <w:rPr>
          <w:color w:val="231F20"/>
          <w:spacing w:val="-9"/>
          <w:sz w:val="14"/>
        </w:rPr>
        <w:t> </w:t>
      </w:r>
      <w:r>
        <w:rPr>
          <w:color w:val="231F20"/>
          <w:sz w:val="14"/>
        </w:rPr>
        <w:t>новог</w:t>
      </w:r>
      <w:r>
        <w:rPr>
          <w:color w:val="231F20"/>
          <w:spacing w:val="-9"/>
          <w:sz w:val="14"/>
        </w:rPr>
        <w:t> </w:t>
      </w:r>
      <w:r>
        <w:rPr>
          <w:color w:val="231F20"/>
          <w:sz w:val="14"/>
        </w:rPr>
        <w:t>блока Б3, на локацији ТЕ „Костолац Б”, Енергопројект-Ентел, 2011.</w:t>
      </w:r>
      <w:r>
        <w:rPr>
          <w:color w:val="231F20"/>
          <w:spacing w:val="-15"/>
          <w:sz w:val="14"/>
        </w:rPr>
        <w:t> </w:t>
      </w:r>
      <w:r>
        <w:rPr>
          <w:color w:val="231F20"/>
          <w:spacing w:val="-2"/>
          <w:sz w:val="14"/>
        </w:rPr>
        <w:t>године</w:t>
      </w:r>
    </w:p>
    <w:p>
      <w:pPr>
        <w:spacing w:after="0" w:line="240" w:lineRule="auto"/>
        <w:jc w:val="both"/>
        <w:rPr>
          <w:sz w:val="14"/>
        </w:rPr>
        <w:sectPr>
          <w:pgSz w:w="12480" w:h="15690"/>
          <w:pgMar w:top="120" w:bottom="280" w:left="680" w:right="720"/>
          <w:cols w:num="2" w:equalWidth="0">
            <w:col w:w="5561" w:space="40"/>
            <w:col w:w="5479"/>
          </w:cols>
        </w:sectPr>
      </w:pPr>
    </w:p>
    <w:p>
      <w:pPr>
        <w:pStyle w:val="BodyText"/>
        <w:spacing w:line="232" w:lineRule="auto" w:before="73"/>
        <w:ind w:right="39" w:firstLine="396"/>
      </w:pPr>
      <w:r>
        <w:rPr/>
        <w:pict>
          <v:line style="position:absolute;mso-position-horizontal-relative:page;mso-position-vertical-relative:page;z-index:3640" from="304.724396pt,11.942451pt" to="304.724396pt,748.950451pt" stroked="true" strokeweight=".6pt" strokecolor="#231f20">
            <v:stroke dashstyle="solid"/>
            <w10:wrap type="none"/>
          </v:line>
        </w:pict>
      </w:r>
      <w:r>
        <w:rPr>
          <w:color w:val="231F20"/>
          <w:spacing w:val="-3"/>
        </w:rPr>
        <w:t>Граница копа </w:t>
      </w:r>
      <w:r>
        <w:rPr>
          <w:color w:val="231F20"/>
        </w:rPr>
        <w:t>на западној страни одређена је на основу поло- жаја објеката ТЕ „Костолац Б” и археолошког налазишта</w:t>
      </w:r>
      <w:r>
        <w:rPr>
          <w:color w:val="231F20"/>
          <w:spacing w:val="-27"/>
        </w:rPr>
        <w:t> </w:t>
      </w:r>
      <w:r>
        <w:rPr>
          <w:color w:val="231F20"/>
        </w:rPr>
        <w:t>Вимина- цијум (Одлука о утврђивању локалитета Виминацијум у атару се- ла</w:t>
      </w:r>
      <w:r>
        <w:rPr>
          <w:color w:val="231F20"/>
          <w:spacing w:val="-9"/>
        </w:rPr>
        <w:t> </w:t>
      </w:r>
      <w:r>
        <w:rPr>
          <w:color w:val="231F20"/>
        </w:rPr>
        <w:t>Стари</w:t>
      </w:r>
      <w:r>
        <w:rPr>
          <w:color w:val="231F20"/>
          <w:spacing w:val="-9"/>
        </w:rPr>
        <w:t> </w:t>
      </w:r>
      <w:r>
        <w:rPr>
          <w:color w:val="231F20"/>
        </w:rPr>
        <w:t>Костолац</w:t>
      </w:r>
      <w:r>
        <w:rPr>
          <w:color w:val="231F20"/>
          <w:spacing w:val="-9"/>
        </w:rPr>
        <w:t> </w:t>
      </w:r>
      <w:r>
        <w:rPr>
          <w:color w:val="231F20"/>
        </w:rPr>
        <w:t>за</w:t>
      </w:r>
      <w:r>
        <w:rPr>
          <w:color w:val="231F20"/>
          <w:spacing w:val="-9"/>
        </w:rPr>
        <w:t> </w:t>
      </w:r>
      <w:r>
        <w:rPr>
          <w:color w:val="231F20"/>
        </w:rPr>
        <w:t>археолошко</w:t>
      </w:r>
      <w:r>
        <w:rPr>
          <w:color w:val="231F20"/>
          <w:spacing w:val="-9"/>
        </w:rPr>
        <w:t> </w:t>
      </w:r>
      <w:r>
        <w:rPr>
          <w:color w:val="231F20"/>
        </w:rPr>
        <w:t>налазиште,</w:t>
      </w:r>
      <w:r>
        <w:rPr>
          <w:color w:val="231F20"/>
          <w:spacing w:val="-9"/>
        </w:rPr>
        <w:t> </w:t>
      </w:r>
      <w:r>
        <w:rPr>
          <w:color w:val="231F20"/>
        </w:rPr>
        <w:t>(„Службени</w:t>
      </w:r>
      <w:r>
        <w:rPr>
          <w:color w:val="231F20"/>
          <w:spacing w:val="-9"/>
        </w:rPr>
        <w:t> </w:t>
      </w:r>
      <w:r>
        <w:rPr>
          <w:color w:val="231F20"/>
        </w:rPr>
        <w:t>гласник РС”, број 102/09). Северна граница </w:t>
      </w:r>
      <w:r>
        <w:rPr>
          <w:color w:val="231F20"/>
          <w:spacing w:val="-3"/>
        </w:rPr>
        <w:t>копа </w:t>
      </w:r>
      <w:r>
        <w:rPr>
          <w:color w:val="231F20"/>
        </w:rPr>
        <w:t>је одређена </w:t>
      </w:r>
      <w:r>
        <w:rPr>
          <w:color w:val="231F20"/>
          <w:spacing w:val="-3"/>
        </w:rPr>
        <w:t>реком </w:t>
      </w:r>
      <w:r>
        <w:rPr>
          <w:color w:val="231F20"/>
        </w:rPr>
        <w:t>Дунав, односно успостављањем заштитног појаса просечне ширине </w:t>
      </w:r>
      <w:r>
        <w:rPr>
          <w:color w:val="231F20"/>
          <w:spacing w:val="-4"/>
        </w:rPr>
        <w:t>око </w:t>
      </w:r>
      <w:r>
        <w:rPr>
          <w:color w:val="231F20"/>
        </w:rPr>
        <w:t>0,5</w:t>
      </w:r>
      <w:r>
        <w:rPr>
          <w:color w:val="231F20"/>
          <w:spacing w:val="-4"/>
        </w:rPr>
        <w:t> </w:t>
      </w:r>
      <w:r>
        <w:rPr>
          <w:color w:val="231F20"/>
        </w:rPr>
        <w:t>km</w:t>
      </w:r>
      <w:r>
        <w:rPr>
          <w:color w:val="231F20"/>
          <w:spacing w:val="-4"/>
        </w:rPr>
        <w:t> </w:t>
      </w:r>
      <w:r>
        <w:rPr>
          <w:color w:val="231F20"/>
        </w:rPr>
        <w:t>према</w:t>
      </w:r>
      <w:r>
        <w:rPr>
          <w:color w:val="231F20"/>
          <w:spacing w:val="-4"/>
        </w:rPr>
        <w:t> Дунаву. </w:t>
      </w:r>
      <w:r>
        <w:rPr>
          <w:color w:val="231F20"/>
        </w:rPr>
        <w:t>Источна</w:t>
      </w:r>
      <w:r>
        <w:rPr>
          <w:color w:val="231F20"/>
          <w:spacing w:val="-4"/>
        </w:rPr>
        <w:t> </w:t>
      </w:r>
      <w:r>
        <w:rPr>
          <w:color w:val="231F20"/>
        </w:rPr>
        <w:t>граница</w:t>
      </w:r>
      <w:r>
        <w:rPr>
          <w:color w:val="231F20"/>
          <w:spacing w:val="-4"/>
        </w:rPr>
        <w:t> </w:t>
      </w:r>
      <w:r>
        <w:rPr>
          <w:color w:val="231F20"/>
        </w:rPr>
        <w:t>је</w:t>
      </w:r>
      <w:r>
        <w:rPr>
          <w:color w:val="231F20"/>
          <w:spacing w:val="-4"/>
        </w:rPr>
        <w:t> </w:t>
      </w:r>
      <w:r>
        <w:rPr>
          <w:color w:val="231F20"/>
        </w:rPr>
        <w:t>одређена</w:t>
      </w:r>
      <w:r>
        <w:rPr>
          <w:color w:val="231F20"/>
          <w:spacing w:val="-4"/>
        </w:rPr>
        <w:t> </w:t>
      </w:r>
      <w:r>
        <w:rPr>
          <w:color w:val="231F20"/>
        </w:rPr>
        <w:t>на</w:t>
      </w:r>
      <w:r>
        <w:rPr>
          <w:color w:val="231F20"/>
          <w:spacing w:val="-4"/>
        </w:rPr>
        <w:t> </w:t>
      </w:r>
      <w:r>
        <w:rPr>
          <w:color w:val="231F20"/>
        </w:rPr>
        <w:t>терену</w:t>
      </w:r>
      <w:r>
        <w:rPr>
          <w:color w:val="231F20"/>
          <w:spacing w:val="-4"/>
        </w:rPr>
        <w:t> </w:t>
      </w:r>
      <w:r>
        <w:rPr>
          <w:color w:val="231F20"/>
        </w:rPr>
        <w:t>(иду- ћи </w:t>
      </w:r>
      <w:r>
        <w:rPr>
          <w:color w:val="231F20"/>
          <w:spacing w:val="-3"/>
        </w:rPr>
        <w:t>од </w:t>
      </w:r>
      <w:r>
        <w:rPr>
          <w:color w:val="231F20"/>
        </w:rPr>
        <w:t>севера ка југу) остављањем заштитног појаса према насељу Кличевац, а даље према југу границом исклињења угљеног слоја односно границом билансних</w:t>
      </w:r>
      <w:r>
        <w:rPr>
          <w:color w:val="231F20"/>
          <w:spacing w:val="-2"/>
        </w:rPr>
        <w:t> </w:t>
      </w:r>
      <w:r>
        <w:rPr>
          <w:color w:val="231F20"/>
        </w:rPr>
        <w:t>резерви.</w:t>
      </w:r>
    </w:p>
    <w:p>
      <w:pPr>
        <w:pStyle w:val="BodyText"/>
        <w:spacing w:line="230" w:lineRule="auto"/>
        <w:ind w:left="169" w:right="39" w:firstLine="397"/>
      </w:pPr>
      <w:r>
        <w:rPr>
          <w:color w:val="231F20"/>
        </w:rPr>
        <w:t>Ограничење површинског копа „Дрмно” за капацитет од 9×10</w:t>
      </w:r>
      <w:r>
        <w:rPr>
          <w:color w:val="231F20"/>
          <w:position w:val="6"/>
          <w:sz w:val="10"/>
        </w:rPr>
        <w:t>6 </w:t>
      </w:r>
      <w:r>
        <w:rPr>
          <w:color w:val="231F20"/>
        </w:rPr>
        <w:t>тона угља годишње</w:t>
      </w:r>
      <w:r>
        <w:rPr>
          <w:color w:val="231F20"/>
          <w:position w:val="6"/>
          <w:sz w:val="10"/>
        </w:rPr>
        <w:t>4 </w:t>
      </w:r>
      <w:r>
        <w:rPr>
          <w:color w:val="231F20"/>
        </w:rPr>
        <w:t>извршено је на основу следећих кри- теријума:</w:t>
      </w:r>
    </w:p>
    <w:p>
      <w:pPr>
        <w:pStyle w:val="BodyText"/>
        <w:spacing w:line="232" w:lineRule="auto"/>
        <w:ind w:right="39" w:firstLine="396"/>
      </w:pPr>
      <w:r>
        <w:rPr>
          <w:color w:val="231F20"/>
          <w:w w:val="66"/>
        </w:rPr>
        <w:t> </w:t>
      </w:r>
      <w:r>
        <w:rPr>
          <w:color w:val="231F20"/>
        </w:rPr>
        <w:t>–</w:t>
      </w:r>
      <w:r>
        <w:rPr>
          <w:color w:val="231F20"/>
          <w:spacing w:val="-6"/>
        </w:rPr>
        <w:t> </w:t>
      </w:r>
      <w:r>
        <w:rPr>
          <w:color w:val="231F20"/>
        </w:rPr>
        <w:t>снабдевање</w:t>
      </w:r>
      <w:r>
        <w:rPr>
          <w:color w:val="231F20"/>
          <w:spacing w:val="-6"/>
        </w:rPr>
        <w:t> </w:t>
      </w:r>
      <w:r>
        <w:rPr>
          <w:color w:val="231F20"/>
        </w:rPr>
        <w:t>термоелектрана</w:t>
      </w:r>
      <w:r>
        <w:rPr>
          <w:color w:val="231F20"/>
          <w:spacing w:val="-6"/>
        </w:rPr>
        <w:t> </w:t>
      </w:r>
      <w:r>
        <w:rPr>
          <w:color w:val="231F20"/>
        </w:rPr>
        <w:t>угљем</w:t>
      </w:r>
      <w:r>
        <w:rPr>
          <w:color w:val="231F20"/>
          <w:spacing w:val="-6"/>
        </w:rPr>
        <w:t> </w:t>
      </w:r>
      <w:r>
        <w:rPr>
          <w:color w:val="231F20"/>
        </w:rPr>
        <w:t>у</w:t>
      </w:r>
      <w:r>
        <w:rPr>
          <w:color w:val="231F20"/>
          <w:spacing w:val="-6"/>
        </w:rPr>
        <w:t> </w:t>
      </w:r>
      <w:r>
        <w:rPr>
          <w:color w:val="231F20"/>
          <w:spacing w:val="-3"/>
        </w:rPr>
        <w:t>количини</w:t>
      </w:r>
      <w:r>
        <w:rPr>
          <w:color w:val="231F20"/>
          <w:spacing w:val="-6"/>
        </w:rPr>
        <w:t> </w:t>
      </w:r>
      <w:r>
        <w:rPr>
          <w:color w:val="231F20"/>
          <w:spacing w:val="-3"/>
        </w:rPr>
        <w:t>од</w:t>
      </w:r>
      <w:r>
        <w:rPr>
          <w:color w:val="231F20"/>
          <w:spacing w:val="-6"/>
        </w:rPr>
        <w:t> </w:t>
      </w:r>
      <w:r>
        <w:rPr>
          <w:color w:val="231F20"/>
        </w:rPr>
        <w:t>8,5</w:t>
      </w:r>
      <w:r>
        <w:rPr>
          <w:color w:val="231F20"/>
          <w:spacing w:val="-6"/>
        </w:rPr>
        <w:t> </w:t>
      </w:r>
      <w:r>
        <w:rPr>
          <w:color w:val="231F20"/>
        </w:rPr>
        <w:t>×</w:t>
      </w:r>
      <w:r>
        <w:rPr>
          <w:color w:val="231F20"/>
          <w:spacing w:val="-6"/>
        </w:rPr>
        <w:t> </w:t>
      </w:r>
      <w:r>
        <w:rPr>
          <w:color w:val="231F20"/>
        </w:rPr>
        <w:t>10</w:t>
      </w:r>
      <w:r>
        <w:rPr>
          <w:color w:val="231F20"/>
          <w:position w:val="6"/>
          <w:sz w:val="10"/>
        </w:rPr>
        <w:t>6</w:t>
      </w:r>
      <w:r>
        <w:rPr>
          <w:color w:val="231F20"/>
          <w:spacing w:val="-13"/>
          <w:position w:val="6"/>
          <w:sz w:val="10"/>
        </w:rPr>
        <w:t> </w:t>
      </w:r>
      <w:r>
        <w:rPr>
          <w:color w:val="231F20"/>
        </w:rPr>
        <w:t>t годишње у периоду </w:t>
      </w:r>
      <w:r>
        <w:rPr>
          <w:color w:val="231F20"/>
          <w:spacing w:val="-3"/>
        </w:rPr>
        <w:t>од </w:t>
      </w:r>
      <w:r>
        <w:rPr>
          <w:color w:val="231F20"/>
        </w:rPr>
        <w:t>2010. </w:t>
      </w:r>
      <w:r>
        <w:rPr>
          <w:color w:val="231F20"/>
          <w:spacing w:val="-3"/>
        </w:rPr>
        <w:t>године </w:t>
      </w:r>
      <w:r>
        <w:rPr>
          <w:color w:val="231F20"/>
        </w:rPr>
        <w:t>на</w:t>
      </w:r>
      <w:r>
        <w:rPr>
          <w:color w:val="231F20"/>
          <w:spacing w:val="-1"/>
        </w:rPr>
        <w:t> </w:t>
      </w:r>
      <w:r>
        <w:rPr>
          <w:color w:val="231F20"/>
        </w:rPr>
        <w:t>даље;</w:t>
      </w:r>
    </w:p>
    <w:p>
      <w:pPr>
        <w:pStyle w:val="BodyText"/>
        <w:spacing w:line="232" w:lineRule="auto"/>
        <w:ind w:right="39" w:firstLine="396"/>
      </w:pPr>
      <w:r>
        <w:rPr>
          <w:color w:val="231F20"/>
          <w:w w:val="66"/>
        </w:rPr>
        <w:t> </w:t>
      </w:r>
      <w:r>
        <w:rPr>
          <w:color w:val="231F20"/>
        </w:rPr>
        <w:t>– снабдевање широке потрошње угљем у количини од 0,5 × 10</w:t>
      </w:r>
      <w:r>
        <w:rPr>
          <w:color w:val="231F20"/>
          <w:position w:val="6"/>
          <w:sz w:val="10"/>
        </w:rPr>
        <w:t>6 </w:t>
      </w:r>
      <w:r>
        <w:rPr>
          <w:color w:val="231F20"/>
        </w:rPr>
        <w:t>t годишње;</w:t>
      </w:r>
    </w:p>
    <w:p>
      <w:pPr>
        <w:pStyle w:val="BodyText"/>
        <w:spacing w:line="232" w:lineRule="auto"/>
        <w:ind w:right="39" w:firstLine="396"/>
      </w:pPr>
      <w:r>
        <w:rPr>
          <w:color w:val="231F20"/>
          <w:w w:val="66"/>
        </w:rPr>
        <w:t> </w:t>
      </w:r>
      <w:r>
        <w:rPr>
          <w:color w:val="231F20"/>
        </w:rPr>
        <w:t>– геолошке резерве и квалитет угља (Елаборат о резервама, 2008. године);</w:t>
      </w:r>
    </w:p>
    <w:p>
      <w:pPr>
        <w:pStyle w:val="BodyText"/>
        <w:spacing w:line="197" w:lineRule="exact"/>
        <w:ind w:left="567"/>
        <w:jc w:val="left"/>
      </w:pPr>
      <w:r>
        <w:rPr>
          <w:color w:val="231F20"/>
          <w:w w:val="66"/>
        </w:rPr>
        <w:t> </w:t>
      </w:r>
      <w:r>
        <w:rPr>
          <w:color w:val="231F20"/>
        </w:rPr>
        <w:t>– максимално искоришћење геолошких резерви у лежишту;</w:t>
      </w:r>
    </w:p>
    <w:p>
      <w:pPr>
        <w:pStyle w:val="BodyText"/>
        <w:spacing w:line="232" w:lineRule="auto"/>
        <w:ind w:right="39" w:firstLine="396"/>
      </w:pPr>
      <w:r>
        <w:rPr>
          <w:color w:val="231F20"/>
          <w:w w:val="66"/>
        </w:rPr>
        <w:t> </w:t>
      </w:r>
      <w:r>
        <w:rPr>
          <w:color w:val="231F20"/>
        </w:rPr>
        <w:t>– максимално обезбеђење косина копа у зони археолошког налазишта Виминацијум;</w:t>
      </w:r>
    </w:p>
    <w:p>
      <w:pPr>
        <w:pStyle w:val="BodyText"/>
        <w:spacing w:line="197" w:lineRule="exact"/>
        <w:ind w:left="567"/>
        <w:jc w:val="left"/>
      </w:pPr>
      <w:r>
        <w:rPr>
          <w:color w:val="231F20"/>
          <w:w w:val="66"/>
        </w:rPr>
        <w:t> </w:t>
      </w:r>
      <w:r>
        <w:rPr>
          <w:color w:val="231F20"/>
        </w:rPr>
        <w:t>– геолошке границе лежишта и</w:t>
      </w:r>
    </w:p>
    <w:p>
      <w:pPr>
        <w:pStyle w:val="BodyText"/>
        <w:spacing w:line="232" w:lineRule="auto"/>
        <w:ind w:right="39" w:firstLine="396"/>
      </w:pPr>
      <w:r>
        <w:rPr>
          <w:color w:val="231F20"/>
          <w:w w:val="66"/>
        </w:rPr>
        <w:t> </w:t>
      </w:r>
      <w:r>
        <w:rPr>
          <w:color w:val="231F20"/>
        </w:rPr>
        <w:t>– остваривање оптималних дужина радних етажа на копу и одлагалишту.</w:t>
      </w:r>
    </w:p>
    <w:p>
      <w:pPr>
        <w:pStyle w:val="BodyText"/>
        <w:spacing w:line="232" w:lineRule="auto"/>
        <w:ind w:right="38" w:firstLine="396"/>
      </w:pPr>
      <w:r>
        <w:rPr>
          <w:color w:val="231F20"/>
        </w:rPr>
        <w:t>Према постојећем стању организације простора и начину </w:t>
      </w:r>
      <w:r>
        <w:rPr>
          <w:color w:val="231F20"/>
          <w:spacing w:val="-4"/>
        </w:rPr>
        <w:t>ко- </w:t>
      </w:r>
      <w:r>
        <w:rPr>
          <w:color w:val="231F20"/>
        </w:rPr>
        <w:t>ришћења земљишта, границама експлоатационог поља „Дрмно” обухваћене су: зона унутрашњег одлагалишта и активних </w:t>
      </w:r>
      <w:r>
        <w:rPr>
          <w:color w:val="231F20"/>
          <w:spacing w:val="-3"/>
        </w:rPr>
        <w:t>рудар- </w:t>
      </w:r>
      <w:r>
        <w:rPr>
          <w:color w:val="231F20"/>
        </w:rPr>
        <w:t>ских</w:t>
      </w:r>
      <w:r>
        <w:rPr>
          <w:color w:val="231F20"/>
          <w:spacing w:val="-9"/>
        </w:rPr>
        <w:t> </w:t>
      </w:r>
      <w:r>
        <w:rPr>
          <w:color w:val="231F20"/>
        </w:rPr>
        <w:t>радова</w:t>
      </w:r>
      <w:r>
        <w:rPr>
          <w:color w:val="231F20"/>
          <w:spacing w:val="-9"/>
        </w:rPr>
        <w:t> </w:t>
      </w:r>
      <w:r>
        <w:rPr>
          <w:color w:val="231F20"/>
          <w:spacing w:val="-3"/>
        </w:rPr>
        <w:t>копа</w:t>
      </w:r>
      <w:r>
        <w:rPr>
          <w:color w:val="231F20"/>
          <w:spacing w:val="-9"/>
        </w:rPr>
        <w:t> </w:t>
      </w:r>
      <w:r>
        <w:rPr>
          <w:color w:val="231F20"/>
        </w:rPr>
        <w:t>„Дрмно”</w:t>
      </w:r>
      <w:r>
        <w:rPr>
          <w:color w:val="231F20"/>
          <w:spacing w:val="-9"/>
        </w:rPr>
        <w:t> </w:t>
      </w:r>
      <w:r>
        <w:rPr>
          <w:color w:val="231F20"/>
        </w:rPr>
        <w:t>са</w:t>
      </w:r>
      <w:r>
        <w:rPr>
          <w:color w:val="231F20"/>
          <w:spacing w:val="-9"/>
        </w:rPr>
        <w:t> </w:t>
      </w:r>
      <w:r>
        <w:rPr>
          <w:color w:val="231F20"/>
        </w:rPr>
        <w:t>коридором</w:t>
      </w:r>
      <w:r>
        <w:rPr>
          <w:color w:val="231F20"/>
          <w:spacing w:val="-9"/>
        </w:rPr>
        <w:t> </w:t>
      </w:r>
      <w:r>
        <w:rPr>
          <w:color w:val="231F20"/>
        </w:rPr>
        <w:t>техничке</w:t>
      </w:r>
      <w:r>
        <w:rPr>
          <w:color w:val="231F20"/>
          <w:spacing w:val="-9"/>
        </w:rPr>
        <w:t> </w:t>
      </w:r>
      <w:r>
        <w:rPr>
          <w:color w:val="231F20"/>
        </w:rPr>
        <w:t>инфраструктуре и објектима и постројењима за одводњавање </w:t>
      </w:r>
      <w:r>
        <w:rPr>
          <w:color w:val="231F20"/>
          <w:spacing w:val="-3"/>
        </w:rPr>
        <w:t>копа </w:t>
      </w:r>
      <w:r>
        <w:rPr>
          <w:color w:val="231F20"/>
        </w:rPr>
        <w:t>и заштиту </w:t>
      </w:r>
      <w:r>
        <w:rPr>
          <w:color w:val="231F20"/>
          <w:spacing w:val="-3"/>
        </w:rPr>
        <w:t>од </w:t>
      </w:r>
      <w:r>
        <w:rPr>
          <w:color w:val="231F20"/>
        </w:rPr>
        <w:t>атмосферских вода, цевоводима и каналима, део уређеног корита Дунавца, као и делови латералних канала; </w:t>
      </w:r>
      <w:r>
        <w:rPr>
          <w:color w:val="231F20"/>
          <w:spacing w:val="-3"/>
        </w:rPr>
        <w:t>комплекс </w:t>
      </w:r>
      <w:r>
        <w:rPr>
          <w:color w:val="231F20"/>
        </w:rPr>
        <w:t>објеката </w:t>
      </w:r>
      <w:r>
        <w:rPr>
          <w:color w:val="231F20"/>
          <w:spacing w:val="-4"/>
        </w:rPr>
        <w:t>ко- </w:t>
      </w:r>
      <w:r>
        <w:rPr>
          <w:color w:val="231F20"/>
        </w:rPr>
        <w:t>рисника ЈП „Србијашуме” на локацији „Храстовача” (сточарска и ратарска производња) и пољопривредне површине у атару Старог Костолца и Кличевца са пољским и некатегорисаним путевима; објекти</w:t>
      </w:r>
      <w:r>
        <w:rPr>
          <w:color w:val="231F20"/>
          <w:spacing w:val="-5"/>
        </w:rPr>
        <w:t> </w:t>
      </w:r>
      <w:r>
        <w:rPr>
          <w:color w:val="231F20"/>
        </w:rPr>
        <w:t>трафостаница</w:t>
      </w:r>
      <w:r>
        <w:rPr>
          <w:color w:val="231F20"/>
          <w:spacing w:val="-5"/>
        </w:rPr>
        <w:t> </w:t>
      </w:r>
      <w:r>
        <w:rPr>
          <w:color w:val="231F20"/>
        </w:rPr>
        <w:t>ТС</w:t>
      </w:r>
      <w:r>
        <w:rPr>
          <w:color w:val="231F20"/>
          <w:spacing w:val="-5"/>
        </w:rPr>
        <w:t> </w:t>
      </w:r>
      <w:r>
        <w:rPr>
          <w:color w:val="231F20"/>
        </w:rPr>
        <w:t>110/6</w:t>
      </w:r>
      <w:r>
        <w:rPr>
          <w:color w:val="231F20"/>
          <w:spacing w:val="-5"/>
        </w:rPr>
        <w:t> </w:t>
      </w:r>
      <w:r>
        <w:rPr>
          <w:color w:val="231F20"/>
        </w:rPr>
        <w:t>kV</w:t>
      </w:r>
      <w:r>
        <w:rPr>
          <w:color w:val="231F20"/>
          <w:spacing w:val="-8"/>
        </w:rPr>
        <w:t> </w:t>
      </w:r>
      <w:r>
        <w:rPr>
          <w:color w:val="231F20"/>
        </w:rPr>
        <w:t>са</w:t>
      </w:r>
      <w:r>
        <w:rPr>
          <w:color w:val="231F20"/>
          <w:spacing w:val="-5"/>
        </w:rPr>
        <w:t> </w:t>
      </w:r>
      <w:r>
        <w:rPr>
          <w:color w:val="231F20"/>
        </w:rPr>
        <w:t>деловима</w:t>
      </w:r>
      <w:r>
        <w:rPr>
          <w:color w:val="231F20"/>
          <w:spacing w:val="-5"/>
        </w:rPr>
        <w:t> </w:t>
      </w:r>
      <w:r>
        <w:rPr>
          <w:color w:val="231F20"/>
        </w:rPr>
        <w:t>далековода</w:t>
      </w:r>
      <w:r>
        <w:rPr>
          <w:color w:val="231F20"/>
          <w:spacing w:val="-5"/>
        </w:rPr>
        <w:t> </w:t>
      </w:r>
      <w:r>
        <w:rPr>
          <w:color w:val="231F20"/>
        </w:rPr>
        <w:t>напон- </w:t>
      </w:r>
      <w:r>
        <w:rPr>
          <w:color w:val="231F20"/>
          <w:spacing w:val="-3"/>
        </w:rPr>
        <w:t>ског </w:t>
      </w:r>
      <w:r>
        <w:rPr>
          <w:color w:val="231F20"/>
        </w:rPr>
        <w:t>нивоа </w:t>
      </w:r>
      <w:r>
        <w:rPr>
          <w:color w:val="231F20"/>
          <w:spacing w:val="-3"/>
        </w:rPr>
        <w:t>110 </w:t>
      </w:r>
      <w:r>
        <w:rPr>
          <w:color w:val="231F20"/>
          <w:spacing w:val="-5"/>
        </w:rPr>
        <w:t>kV; </w:t>
      </w:r>
      <w:r>
        <w:rPr>
          <w:color w:val="231F20"/>
        </w:rPr>
        <w:t>локација </w:t>
      </w:r>
      <w:r>
        <w:rPr>
          <w:color w:val="231F20"/>
          <w:spacing w:val="-3"/>
        </w:rPr>
        <w:t>„Рудничког </w:t>
      </w:r>
      <w:r>
        <w:rPr>
          <w:color w:val="231F20"/>
        </w:rPr>
        <w:t>круга” са припадајућим зградама, монтажним плацем и уређеним површинама; и две ло- кације контејнерског насеља, на јужној и источној контури </w:t>
      </w:r>
      <w:r>
        <w:rPr>
          <w:color w:val="231F20"/>
          <w:spacing w:val="-3"/>
        </w:rPr>
        <w:t>копа. </w:t>
      </w:r>
      <w:r>
        <w:rPr>
          <w:color w:val="231F20"/>
        </w:rPr>
        <w:t>Траса државног пута Р 105 већ је измештена из зоне рударских радова у коридор по југоисточној граници експлоатационог поља, а предстоји и изградња индустријске пруге по измештеној</w:t>
      </w:r>
      <w:r>
        <w:rPr>
          <w:color w:val="231F20"/>
          <w:spacing w:val="-28"/>
        </w:rPr>
        <w:t> </w:t>
      </w:r>
      <w:r>
        <w:rPr>
          <w:color w:val="231F20"/>
        </w:rPr>
        <w:t>траси.</w:t>
      </w:r>
    </w:p>
    <w:p>
      <w:pPr>
        <w:pStyle w:val="BodyText"/>
        <w:spacing w:line="232" w:lineRule="auto"/>
        <w:ind w:left="171" w:right="38" w:firstLine="396"/>
      </w:pPr>
      <w:r>
        <w:rPr>
          <w:color w:val="231F20"/>
        </w:rPr>
        <w:t>Развој рударских радова временом мења намену површина  и начин коришћења земљишта. Промене у експлоатационом под- ручју дешавају се у континуитету према динамици развоја </w:t>
      </w:r>
      <w:r>
        <w:rPr>
          <w:color w:val="231F20"/>
          <w:spacing w:val="-3"/>
        </w:rPr>
        <w:t>рудар- </w:t>
      </w:r>
      <w:r>
        <w:rPr>
          <w:color w:val="231F20"/>
        </w:rPr>
        <w:t>ских радова; помера се фронт рударских радова, заузимају нове површине за потребе рударских радова и уређење саобраћајних и инфраструктурних коридора, а делови </w:t>
      </w:r>
      <w:r>
        <w:rPr>
          <w:color w:val="231F20"/>
          <w:spacing w:val="-3"/>
        </w:rPr>
        <w:t>копова </w:t>
      </w:r>
      <w:r>
        <w:rPr>
          <w:color w:val="231F20"/>
        </w:rPr>
        <w:t>у </w:t>
      </w:r>
      <w:r>
        <w:rPr>
          <w:color w:val="231F20"/>
          <w:spacing w:val="-3"/>
        </w:rPr>
        <w:t>којима </w:t>
      </w:r>
      <w:r>
        <w:rPr>
          <w:color w:val="231F20"/>
        </w:rPr>
        <w:t>је експло- атација завршена користе се као одлагалишта, односно </w:t>
      </w:r>
      <w:r>
        <w:rPr>
          <w:color w:val="231F20"/>
          <w:spacing w:val="-3"/>
        </w:rPr>
        <w:t>коначно </w:t>
      </w:r>
      <w:r>
        <w:rPr>
          <w:color w:val="231F20"/>
        </w:rPr>
        <w:t>формирани делови одлагалишта се технички и биолошки </w:t>
      </w:r>
      <w:r>
        <w:rPr>
          <w:color w:val="231F20"/>
          <w:spacing w:val="-2"/>
        </w:rPr>
        <w:t>рекул- </w:t>
      </w:r>
      <w:r>
        <w:rPr>
          <w:color w:val="231F20"/>
          <w:spacing w:val="-4"/>
        </w:rPr>
        <w:t>тивишу. </w:t>
      </w:r>
      <w:r>
        <w:rPr>
          <w:color w:val="231F20"/>
        </w:rPr>
        <w:t>Поједине локације са садржајима пратећих рударских ак- тивности, сукцесивно се измештају на нове локације, </w:t>
      </w:r>
      <w:r>
        <w:rPr>
          <w:color w:val="231F20"/>
          <w:spacing w:val="-3"/>
        </w:rPr>
        <w:t>тако </w:t>
      </w:r>
      <w:r>
        <w:rPr>
          <w:color w:val="231F20"/>
        </w:rPr>
        <w:t>да се површине намењене за те активности увећавају или смањују у различитим временским</w:t>
      </w:r>
      <w:r>
        <w:rPr>
          <w:color w:val="231F20"/>
          <w:spacing w:val="-1"/>
        </w:rPr>
        <w:t> </w:t>
      </w:r>
      <w:r>
        <w:rPr>
          <w:color w:val="231F20"/>
        </w:rPr>
        <w:t>периодима.</w:t>
      </w:r>
    </w:p>
    <w:p>
      <w:pPr>
        <w:pStyle w:val="BodyText"/>
        <w:spacing w:line="232" w:lineRule="auto"/>
        <w:ind w:left="171" w:right="38" w:firstLine="396"/>
      </w:pPr>
      <w:r>
        <w:rPr>
          <w:color w:val="231F20"/>
        </w:rPr>
        <w:t>Површине на </w:t>
      </w:r>
      <w:r>
        <w:rPr>
          <w:color w:val="231F20"/>
          <w:spacing w:val="-3"/>
        </w:rPr>
        <w:t>којима </w:t>
      </w:r>
      <w:r>
        <w:rPr>
          <w:color w:val="231F20"/>
        </w:rPr>
        <w:t>су лоцирани рударски објекти или су намењене развоју рударских активности до 2022. године, групи- сане у просторну целину „Површински </w:t>
      </w:r>
      <w:r>
        <w:rPr>
          <w:color w:val="231F20"/>
          <w:spacing w:val="-4"/>
        </w:rPr>
        <w:t>коп </w:t>
      </w:r>
      <w:r>
        <w:rPr>
          <w:color w:val="231F20"/>
        </w:rPr>
        <w:t>– стање 2022. године”.</w:t>
      </w:r>
    </w:p>
    <w:p>
      <w:pPr>
        <w:pStyle w:val="BodyText"/>
        <w:spacing w:before="141"/>
        <w:ind w:left="568" w:hanging="392"/>
        <w:jc w:val="left"/>
      </w:pPr>
      <w:r>
        <w:rPr>
          <w:color w:val="231F20"/>
          <w:spacing w:val="-4"/>
        </w:rPr>
        <w:t>Граница</w:t>
      </w:r>
      <w:r>
        <w:rPr>
          <w:color w:val="231F20"/>
          <w:spacing w:val="-13"/>
        </w:rPr>
        <w:t> </w:t>
      </w:r>
      <w:r>
        <w:rPr>
          <w:color w:val="231F20"/>
        </w:rPr>
        <w:t>просторне</w:t>
      </w:r>
      <w:r>
        <w:rPr>
          <w:color w:val="231F20"/>
          <w:spacing w:val="-13"/>
        </w:rPr>
        <w:t> </w:t>
      </w:r>
      <w:r>
        <w:rPr>
          <w:color w:val="231F20"/>
        </w:rPr>
        <w:t>целине</w:t>
      </w:r>
      <w:r>
        <w:rPr>
          <w:color w:val="231F20"/>
          <w:spacing w:val="-13"/>
        </w:rPr>
        <w:t> </w:t>
      </w:r>
      <w:r>
        <w:rPr>
          <w:color w:val="231F20"/>
        </w:rPr>
        <w:t>„Површински</w:t>
      </w:r>
      <w:r>
        <w:rPr>
          <w:color w:val="231F20"/>
          <w:spacing w:val="-13"/>
        </w:rPr>
        <w:t> </w:t>
      </w:r>
      <w:r>
        <w:rPr>
          <w:color w:val="231F20"/>
          <w:spacing w:val="-5"/>
        </w:rPr>
        <w:t>коп</w:t>
      </w:r>
      <w:r>
        <w:rPr>
          <w:color w:val="231F20"/>
          <w:spacing w:val="10"/>
        </w:rPr>
        <w:t> </w:t>
      </w:r>
      <w:r>
        <w:rPr>
          <w:color w:val="231F20"/>
        </w:rPr>
        <w:t>–</w:t>
      </w:r>
      <w:r>
        <w:rPr>
          <w:color w:val="231F20"/>
          <w:spacing w:val="-13"/>
        </w:rPr>
        <w:t> </w:t>
      </w:r>
      <w:r>
        <w:rPr>
          <w:color w:val="231F20"/>
        </w:rPr>
        <w:t>стање</w:t>
      </w:r>
      <w:r>
        <w:rPr>
          <w:color w:val="231F20"/>
          <w:spacing w:val="-13"/>
        </w:rPr>
        <w:t> </w:t>
      </w:r>
      <w:r>
        <w:rPr>
          <w:color w:val="231F20"/>
        </w:rPr>
        <w:t>2022.</w:t>
      </w:r>
      <w:r>
        <w:rPr>
          <w:color w:val="231F20"/>
          <w:spacing w:val="-13"/>
        </w:rPr>
        <w:t> </w:t>
      </w:r>
      <w:r>
        <w:rPr>
          <w:color w:val="231F20"/>
          <w:spacing w:val="-4"/>
        </w:rPr>
        <w:t>године”</w:t>
      </w:r>
    </w:p>
    <w:p>
      <w:pPr>
        <w:pStyle w:val="BodyText"/>
        <w:spacing w:before="3"/>
        <w:ind w:left="0"/>
        <w:jc w:val="left"/>
        <w:rPr>
          <w:sz w:val="17"/>
        </w:rPr>
      </w:pPr>
    </w:p>
    <w:p>
      <w:pPr>
        <w:pStyle w:val="BodyText"/>
        <w:spacing w:line="232" w:lineRule="auto"/>
        <w:ind w:left="171" w:right="38" w:firstLine="397"/>
      </w:pPr>
      <w:r>
        <w:rPr>
          <w:color w:val="231F20"/>
        </w:rPr>
        <w:t>Ова просторна целина је лоцирана у централном и јужном делу експлоатационог поља „Дрмно” на површини од 2800 hа. Граница просторне целине одређена је као непрекинута линија дефинисана међним тачкама на границама обухваћених катастар- ских општина, границама постојећих катастарских парцела и ана- литички, тачкама са координатама у државном координатном си- стему</w:t>
      </w:r>
      <w:r>
        <w:rPr>
          <w:color w:val="231F20"/>
          <w:position w:val="6"/>
          <w:sz w:val="10"/>
        </w:rPr>
        <w:t>5</w:t>
      </w:r>
      <w:r>
        <w:rPr>
          <w:color w:val="231F20"/>
        </w:rPr>
        <w:t>, са следећим описом:</w:t>
      </w:r>
    </w:p>
    <w:p>
      <w:pPr>
        <w:pStyle w:val="BodyText"/>
        <w:spacing w:line="232" w:lineRule="auto"/>
        <w:ind w:right="39" w:firstLine="397"/>
      </w:pPr>
      <w:r>
        <w:rPr>
          <w:color w:val="231F20"/>
        </w:rPr>
        <w:t>од почетне тачке А0 на граничној линији к.п. бр. 91 сече к.п. бр. 91, 90, 498, 494, 493, 492, 491, 490, 489, 488, 487, 486 и 2909 по</w:t>
      </w:r>
    </w:p>
    <w:p>
      <w:pPr>
        <w:pStyle w:val="BodyText"/>
        <w:spacing w:line="232" w:lineRule="auto"/>
        <w:jc w:val="left"/>
      </w:pPr>
      <w:r>
        <w:rPr>
          <w:color w:val="231F20"/>
        </w:rPr>
        <w:t>правој линији између тачака А0 и А1; од тачке А1 на граници КО Дрмно / КО Костолац село сече к.п. бр. 798, 2690, 517, 516, 504,</w:t>
      </w:r>
    </w:p>
    <w:p>
      <w:pPr>
        <w:spacing w:line="151"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453" w:val="left" w:leader="none"/>
          <w:tab w:pos="454" w:val="left" w:leader="none"/>
        </w:tabs>
        <w:spacing w:line="160" w:lineRule="exact" w:before="0" w:after="0"/>
        <w:ind w:left="453" w:right="0" w:hanging="283"/>
        <w:jc w:val="left"/>
        <w:rPr>
          <w:sz w:val="14"/>
        </w:rPr>
      </w:pPr>
      <w:r>
        <w:rPr>
          <w:color w:val="231F20"/>
          <w:spacing w:val="-3"/>
          <w:sz w:val="14"/>
        </w:rPr>
        <w:t>Главни </w:t>
      </w:r>
      <w:r>
        <w:rPr>
          <w:color w:val="231F20"/>
          <w:sz w:val="14"/>
        </w:rPr>
        <w:t>рударски пројект (РГФ, 2008.</w:t>
      </w:r>
      <w:r>
        <w:rPr>
          <w:color w:val="231F20"/>
          <w:spacing w:val="-1"/>
          <w:sz w:val="14"/>
        </w:rPr>
        <w:t> </w:t>
      </w:r>
      <w:r>
        <w:rPr>
          <w:color w:val="231F20"/>
          <w:sz w:val="14"/>
        </w:rPr>
        <w:t>године)</w:t>
      </w:r>
    </w:p>
    <w:p>
      <w:pPr>
        <w:pStyle w:val="ListParagraph"/>
        <w:numPr>
          <w:ilvl w:val="0"/>
          <w:numId w:val="50"/>
        </w:numPr>
        <w:tabs>
          <w:tab w:pos="453" w:val="left" w:leader="none"/>
          <w:tab w:pos="454" w:val="left" w:leader="none"/>
        </w:tabs>
        <w:spacing w:line="240" w:lineRule="auto" w:before="0" w:after="0"/>
        <w:ind w:left="454" w:right="39" w:hanging="284"/>
        <w:jc w:val="left"/>
        <w:rPr>
          <w:sz w:val="14"/>
        </w:rPr>
      </w:pPr>
      <w:r>
        <w:rPr>
          <w:color w:val="231F20"/>
          <w:sz w:val="14"/>
        </w:rPr>
        <w:t>Координате</w:t>
      </w:r>
      <w:r>
        <w:rPr>
          <w:color w:val="231F20"/>
          <w:spacing w:val="-8"/>
          <w:sz w:val="14"/>
        </w:rPr>
        <w:t> </w:t>
      </w:r>
      <w:r>
        <w:rPr>
          <w:color w:val="231F20"/>
          <w:sz w:val="14"/>
        </w:rPr>
        <w:t>дате</w:t>
      </w:r>
      <w:r>
        <w:rPr>
          <w:color w:val="231F20"/>
          <w:spacing w:val="-8"/>
          <w:sz w:val="14"/>
        </w:rPr>
        <w:t> </w:t>
      </w:r>
      <w:r>
        <w:rPr>
          <w:color w:val="231F20"/>
          <w:sz w:val="14"/>
        </w:rPr>
        <w:t>у</w:t>
      </w:r>
      <w:r>
        <w:rPr>
          <w:color w:val="231F20"/>
          <w:spacing w:val="-8"/>
          <w:sz w:val="14"/>
        </w:rPr>
        <w:t> </w:t>
      </w:r>
      <w:r>
        <w:rPr>
          <w:color w:val="231F20"/>
          <w:sz w:val="14"/>
        </w:rPr>
        <w:t>Просторном</w:t>
      </w:r>
      <w:r>
        <w:rPr>
          <w:color w:val="231F20"/>
          <w:spacing w:val="-8"/>
          <w:sz w:val="14"/>
        </w:rPr>
        <w:t> </w:t>
      </w:r>
      <w:r>
        <w:rPr>
          <w:color w:val="231F20"/>
          <w:sz w:val="14"/>
        </w:rPr>
        <w:t>плану</w:t>
      </w:r>
      <w:r>
        <w:rPr>
          <w:color w:val="231F20"/>
          <w:spacing w:val="-8"/>
          <w:sz w:val="14"/>
        </w:rPr>
        <w:t> </w:t>
      </w:r>
      <w:r>
        <w:rPr>
          <w:color w:val="231F20"/>
          <w:sz w:val="14"/>
        </w:rPr>
        <w:t>су</w:t>
      </w:r>
      <w:r>
        <w:rPr>
          <w:color w:val="231F20"/>
          <w:spacing w:val="-8"/>
          <w:sz w:val="14"/>
        </w:rPr>
        <w:t> </w:t>
      </w:r>
      <w:r>
        <w:rPr>
          <w:color w:val="231F20"/>
          <w:sz w:val="14"/>
        </w:rPr>
        <w:t>оријентационе</w:t>
      </w:r>
      <w:r>
        <w:rPr>
          <w:color w:val="231F20"/>
          <w:spacing w:val="-8"/>
          <w:sz w:val="14"/>
        </w:rPr>
        <w:t> </w:t>
      </w:r>
      <w:r>
        <w:rPr>
          <w:color w:val="231F20"/>
          <w:sz w:val="14"/>
        </w:rPr>
        <w:t>и</w:t>
      </w:r>
      <w:r>
        <w:rPr>
          <w:color w:val="231F20"/>
          <w:spacing w:val="-8"/>
          <w:sz w:val="14"/>
        </w:rPr>
        <w:t> </w:t>
      </w:r>
      <w:r>
        <w:rPr>
          <w:color w:val="231F20"/>
          <w:sz w:val="14"/>
        </w:rPr>
        <w:t>захтевају</w:t>
      </w:r>
      <w:r>
        <w:rPr>
          <w:color w:val="231F20"/>
          <w:spacing w:val="-8"/>
          <w:sz w:val="14"/>
        </w:rPr>
        <w:t> </w:t>
      </w:r>
      <w:r>
        <w:rPr>
          <w:color w:val="231F20"/>
          <w:sz w:val="14"/>
        </w:rPr>
        <w:t>проверу</w:t>
      </w:r>
      <w:r>
        <w:rPr>
          <w:color w:val="231F20"/>
          <w:spacing w:val="-8"/>
          <w:sz w:val="14"/>
        </w:rPr>
        <w:t> </w:t>
      </w:r>
      <w:r>
        <w:rPr>
          <w:color w:val="231F20"/>
          <w:sz w:val="14"/>
        </w:rPr>
        <w:t>у</w:t>
      </w:r>
      <w:r>
        <w:rPr>
          <w:color w:val="231F20"/>
          <w:spacing w:val="-8"/>
          <w:sz w:val="14"/>
        </w:rPr>
        <w:t> </w:t>
      </w:r>
      <w:r>
        <w:rPr>
          <w:color w:val="231F20"/>
          <w:sz w:val="14"/>
        </w:rPr>
        <w:t>од- говарајућим</w:t>
      </w:r>
      <w:r>
        <w:rPr>
          <w:color w:val="231F20"/>
          <w:spacing w:val="-5"/>
          <w:sz w:val="14"/>
        </w:rPr>
        <w:t> </w:t>
      </w:r>
      <w:r>
        <w:rPr>
          <w:color w:val="231F20"/>
          <w:sz w:val="14"/>
        </w:rPr>
        <w:t>пројектима</w:t>
      </w:r>
      <w:r>
        <w:rPr>
          <w:color w:val="231F20"/>
          <w:spacing w:val="-5"/>
          <w:sz w:val="14"/>
        </w:rPr>
        <w:t> </w:t>
      </w:r>
      <w:r>
        <w:rPr>
          <w:color w:val="231F20"/>
          <w:sz w:val="14"/>
        </w:rPr>
        <w:t>парцелације</w:t>
      </w:r>
      <w:r>
        <w:rPr>
          <w:color w:val="231F20"/>
          <w:spacing w:val="-5"/>
          <w:sz w:val="14"/>
        </w:rPr>
        <w:t> </w:t>
      </w:r>
      <w:r>
        <w:rPr>
          <w:color w:val="231F20"/>
          <w:sz w:val="14"/>
        </w:rPr>
        <w:t>или</w:t>
      </w:r>
      <w:r>
        <w:rPr>
          <w:color w:val="231F20"/>
          <w:spacing w:val="-6"/>
          <w:sz w:val="14"/>
        </w:rPr>
        <w:t> </w:t>
      </w:r>
      <w:r>
        <w:rPr>
          <w:color w:val="231F20"/>
          <w:sz w:val="14"/>
        </w:rPr>
        <w:t>приликом</w:t>
      </w:r>
      <w:r>
        <w:rPr>
          <w:color w:val="231F20"/>
          <w:spacing w:val="-5"/>
          <w:sz w:val="14"/>
        </w:rPr>
        <w:t> </w:t>
      </w:r>
      <w:r>
        <w:rPr>
          <w:color w:val="231F20"/>
          <w:sz w:val="14"/>
        </w:rPr>
        <w:t>утврђивања</w:t>
      </w:r>
      <w:r>
        <w:rPr>
          <w:color w:val="231F20"/>
          <w:spacing w:val="-6"/>
          <w:sz w:val="14"/>
        </w:rPr>
        <w:t> </w:t>
      </w:r>
      <w:r>
        <w:rPr>
          <w:color w:val="231F20"/>
          <w:sz w:val="14"/>
        </w:rPr>
        <w:t>јавног</w:t>
      </w:r>
      <w:r>
        <w:rPr>
          <w:color w:val="231F20"/>
          <w:spacing w:val="-6"/>
          <w:sz w:val="14"/>
        </w:rPr>
        <w:t> </w:t>
      </w:r>
      <w:r>
        <w:rPr>
          <w:color w:val="231F20"/>
          <w:sz w:val="14"/>
        </w:rPr>
        <w:t>интереса.</w:t>
      </w:r>
    </w:p>
    <w:p>
      <w:pPr>
        <w:pStyle w:val="BodyText"/>
        <w:spacing w:line="204" w:lineRule="exact" w:before="68"/>
      </w:pPr>
      <w:r>
        <w:rPr/>
        <w:br w:type="column"/>
      </w:r>
      <w:r>
        <w:rPr>
          <w:color w:val="231F20"/>
        </w:rPr>
        <w:t>505, 506, 507, 508, 509, 510, 511, 512, 513 и 514 између тачака А1 и</w:t>
      </w:r>
    </w:p>
    <w:p>
      <w:pPr>
        <w:pStyle w:val="BodyText"/>
        <w:spacing w:line="232" w:lineRule="auto" w:before="1"/>
        <w:ind w:right="411"/>
      </w:pPr>
      <w:r>
        <w:rPr>
          <w:color w:val="231F20"/>
        </w:rPr>
        <w:t>А2; даље је по спољњој граници к.п. бр. 515, 702, 408/2 и 408/3 до </w:t>
      </w:r>
      <w:r>
        <w:rPr>
          <w:color w:val="231F20"/>
          <w:spacing w:val="-3"/>
        </w:rPr>
        <w:t>тачке</w:t>
      </w:r>
      <w:r>
        <w:rPr>
          <w:color w:val="231F20"/>
          <w:spacing w:val="-5"/>
        </w:rPr>
        <w:t> </w:t>
      </w:r>
      <w:r>
        <w:rPr>
          <w:color w:val="231F20"/>
        </w:rPr>
        <w:t>А3</w:t>
      </w:r>
      <w:r>
        <w:rPr>
          <w:color w:val="231F20"/>
          <w:spacing w:val="-5"/>
        </w:rPr>
        <w:t> </w:t>
      </w:r>
      <w:r>
        <w:rPr>
          <w:color w:val="231F20"/>
        </w:rPr>
        <w:t>у</w:t>
      </w:r>
      <w:r>
        <w:rPr>
          <w:color w:val="231F20"/>
          <w:spacing w:val="-5"/>
        </w:rPr>
        <w:t> </w:t>
      </w:r>
      <w:r>
        <w:rPr>
          <w:color w:val="231F20"/>
        </w:rPr>
        <w:t>којој</w:t>
      </w:r>
      <w:r>
        <w:rPr>
          <w:color w:val="231F20"/>
          <w:spacing w:val="-5"/>
        </w:rPr>
        <w:t> </w:t>
      </w:r>
      <w:r>
        <w:rPr>
          <w:color w:val="231F20"/>
        </w:rPr>
        <w:t>мења</w:t>
      </w:r>
      <w:r>
        <w:rPr>
          <w:color w:val="231F20"/>
          <w:spacing w:val="-5"/>
        </w:rPr>
        <w:t> </w:t>
      </w:r>
      <w:r>
        <w:rPr>
          <w:color w:val="231F20"/>
        </w:rPr>
        <w:t>правац</w:t>
      </w:r>
      <w:r>
        <w:rPr>
          <w:color w:val="231F20"/>
          <w:spacing w:val="-5"/>
        </w:rPr>
        <w:t> </w:t>
      </w:r>
      <w:r>
        <w:rPr>
          <w:color w:val="231F20"/>
        </w:rPr>
        <w:t>и</w:t>
      </w:r>
      <w:r>
        <w:rPr>
          <w:color w:val="231F20"/>
          <w:spacing w:val="-5"/>
        </w:rPr>
        <w:t> </w:t>
      </w:r>
      <w:r>
        <w:rPr>
          <w:color w:val="231F20"/>
        </w:rPr>
        <w:t>даље</w:t>
      </w:r>
      <w:r>
        <w:rPr>
          <w:color w:val="231F20"/>
          <w:spacing w:val="-5"/>
        </w:rPr>
        <w:t> </w:t>
      </w:r>
      <w:r>
        <w:rPr>
          <w:color w:val="231F20"/>
        </w:rPr>
        <w:t>сече,</w:t>
      </w:r>
      <w:r>
        <w:rPr>
          <w:color w:val="231F20"/>
          <w:spacing w:val="-5"/>
        </w:rPr>
        <w:t> </w:t>
      </w:r>
      <w:r>
        <w:rPr>
          <w:color w:val="231F20"/>
        </w:rPr>
        <w:t>по</w:t>
      </w:r>
      <w:r>
        <w:rPr>
          <w:color w:val="231F20"/>
          <w:spacing w:val="-5"/>
        </w:rPr>
        <w:t> </w:t>
      </w:r>
      <w:r>
        <w:rPr>
          <w:color w:val="231F20"/>
        </w:rPr>
        <w:t>правој</w:t>
      </w:r>
      <w:r>
        <w:rPr>
          <w:color w:val="231F20"/>
          <w:spacing w:val="-5"/>
        </w:rPr>
        <w:t> </w:t>
      </w:r>
      <w:r>
        <w:rPr>
          <w:color w:val="231F20"/>
        </w:rPr>
        <w:t>линији</w:t>
      </w:r>
      <w:r>
        <w:rPr>
          <w:color w:val="231F20"/>
          <w:spacing w:val="-5"/>
        </w:rPr>
        <w:t> </w:t>
      </w:r>
      <w:r>
        <w:rPr>
          <w:color w:val="231F20"/>
          <w:spacing w:val="-3"/>
        </w:rPr>
        <w:t>од</w:t>
      </w:r>
      <w:r>
        <w:rPr>
          <w:color w:val="231F20"/>
          <w:spacing w:val="-5"/>
        </w:rPr>
        <w:t> </w:t>
      </w:r>
      <w:r>
        <w:rPr>
          <w:color w:val="231F20"/>
        </w:rPr>
        <w:t>тач- </w:t>
      </w:r>
      <w:r>
        <w:rPr>
          <w:color w:val="231F20"/>
          <w:spacing w:val="-3"/>
        </w:rPr>
        <w:t>ке </w:t>
      </w:r>
      <w:r>
        <w:rPr>
          <w:color w:val="231F20"/>
        </w:rPr>
        <w:t>А3, к.п. бр. 408/3, 698, 405, 404, 403, 402, 401, 400, 399,</w:t>
      </w:r>
      <w:r>
        <w:rPr>
          <w:color w:val="231F20"/>
          <w:spacing w:val="-24"/>
        </w:rPr>
        <w:t> </w:t>
      </w:r>
      <w:r>
        <w:rPr>
          <w:color w:val="231F20"/>
        </w:rPr>
        <w:t>398,397,</w:t>
      </w:r>
    </w:p>
    <w:p>
      <w:pPr>
        <w:pStyle w:val="BodyText"/>
        <w:spacing w:line="197" w:lineRule="exact"/>
      </w:pPr>
      <w:r>
        <w:rPr>
          <w:color w:val="231F20"/>
        </w:rPr>
        <w:t>396, 395, 394, 393, 392, 391, 390, 389, 388, 387, 386, 385, 384, 383,</w:t>
      </w:r>
    </w:p>
    <w:p>
      <w:pPr>
        <w:pStyle w:val="BodyText"/>
        <w:spacing w:line="200" w:lineRule="exact"/>
      </w:pPr>
      <w:r>
        <w:rPr>
          <w:color w:val="231F20"/>
        </w:rPr>
        <w:t>382, 381, 380, 379, 378, 699, 235, 236, 237, 238, 239, 240, 241, 242,</w:t>
      </w:r>
    </w:p>
    <w:p>
      <w:pPr>
        <w:pStyle w:val="BodyText"/>
        <w:spacing w:line="200" w:lineRule="exact"/>
      </w:pPr>
      <w:r>
        <w:rPr>
          <w:color w:val="231F20"/>
        </w:rPr>
        <w:t>697, 243, 244, 245, 246, 247, 248, 249, 695, 671, 693, 183, 675, 670,</w:t>
      </w:r>
    </w:p>
    <w:p>
      <w:pPr>
        <w:pStyle w:val="BodyText"/>
        <w:spacing w:line="200" w:lineRule="exact"/>
      </w:pPr>
      <w:r>
        <w:rPr>
          <w:color w:val="231F20"/>
        </w:rPr>
        <w:t>679, 113, 112, 111, 110, 676, 46, 45, 44, 43, 42, 41 и 40 до тачке А4;</w:t>
      </w:r>
    </w:p>
    <w:p>
      <w:pPr>
        <w:pStyle w:val="BodyText"/>
        <w:spacing w:line="232" w:lineRule="auto" w:before="2"/>
        <w:ind w:right="411"/>
      </w:pPr>
      <w:r>
        <w:rPr>
          <w:color w:val="231F20"/>
          <w:spacing w:val="-3"/>
        </w:rPr>
        <w:t>од тачке </w:t>
      </w:r>
      <w:r>
        <w:rPr>
          <w:color w:val="231F20"/>
        </w:rPr>
        <w:t>А4, мења правац и по правој линији између тачака А4 и А5</w:t>
      </w:r>
      <w:r>
        <w:rPr>
          <w:color w:val="231F20"/>
          <w:spacing w:val="-3"/>
        </w:rPr>
        <w:t> </w:t>
      </w:r>
      <w:r>
        <w:rPr>
          <w:color w:val="231F20"/>
        </w:rPr>
        <w:t>поново</w:t>
      </w:r>
      <w:r>
        <w:rPr>
          <w:color w:val="231F20"/>
          <w:spacing w:val="-3"/>
        </w:rPr>
        <w:t> </w:t>
      </w:r>
      <w:r>
        <w:rPr>
          <w:color w:val="231F20"/>
        </w:rPr>
        <w:t>сече</w:t>
      </w:r>
      <w:r>
        <w:rPr>
          <w:color w:val="231F20"/>
          <w:spacing w:val="-3"/>
        </w:rPr>
        <w:t> </w:t>
      </w:r>
      <w:r>
        <w:rPr>
          <w:color w:val="231F20"/>
        </w:rPr>
        <w:t>к.п.</w:t>
      </w:r>
      <w:r>
        <w:rPr>
          <w:color w:val="231F20"/>
          <w:spacing w:val="-3"/>
        </w:rPr>
        <w:t> </w:t>
      </w:r>
      <w:r>
        <w:rPr>
          <w:color w:val="231F20"/>
        </w:rPr>
        <w:t>бр.</w:t>
      </w:r>
      <w:r>
        <w:rPr>
          <w:color w:val="231F20"/>
          <w:spacing w:val="-3"/>
        </w:rPr>
        <w:t> </w:t>
      </w:r>
      <w:r>
        <w:rPr>
          <w:color w:val="231F20"/>
        </w:rPr>
        <w:t>40,</w:t>
      </w:r>
      <w:r>
        <w:rPr>
          <w:color w:val="231F20"/>
          <w:spacing w:val="-3"/>
        </w:rPr>
        <w:t> </w:t>
      </w:r>
      <w:r>
        <w:rPr>
          <w:color w:val="231F20"/>
        </w:rPr>
        <w:t>41,</w:t>
      </w:r>
      <w:r>
        <w:rPr>
          <w:color w:val="231F20"/>
          <w:spacing w:val="-3"/>
        </w:rPr>
        <w:t> </w:t>
      </w:r>
      <w:r>
        <w:rPr>
          <w:color w:val="231F20"/>
        </w:rPr>
        <w:t>42,</w:t>
      </w:r>
      <w:r>
        <w:rPr>
          <w:color w:val="231F20"/>
          <w:spacing w:val="-3"/>
        </w:rPr>
        <w:t> </w:t>
      </w:r>
      <w:r>
        <w:rPr>
          <w:color w:val="231F20"/>
        </w:rPr>
        <w:t>43,</w:t>
      </w:r>
      <w:r>
        <w:rPr>
          <w:color w:val="231F20"/>
          <w:spacing w:val="-3"/>
        </w:rPr>
        <w:t> </w:t>
      </w:r>
      <w:r>
        <w:rPr>
          <w:color w:val="231F20"/>
        </w:rPr>
        <w:t>44,</w:t>
      </w:r>
      <w:r>
        <w:rPr>
          <w:color w:val="231F20"/>
          <w:spacing w:val="-3"/>
        </w:rPr>
        <w:t> </w:t>
      </w:r>
      <w:r>
        <w:rPr>
          <w:color w:val="231F20"/>
        </w:rPr>
        <w:t>45,</w:t>
      </w:r>
      <w:r>
        <w:rPr>
          <w:color w:val="231F20"/>
          <w:spacing w:val="-3"/>
        </w:rPr>
        <w:t> </w:t>
      </w:r>
      <w:r>
        <w:rPr>
          <w:color w:val="231F20"/>
        </w:rPr>
        <w:t>46</w:t>
      </w:r>
      <w:r>
        <w:rPr>
          <w:color w:val="231F20"/>
          <w:spacing w:val="-3"/>
        </w:rPr>
        <w:t> </w:t>
      </w:r>
      <w:r>
        <w:rPr>
          <w:color w:val="231F20"/>
        </w:rPr>
        <w:t>и</w:t>
      </w:r>
      <w:r>
        <w:rPr>
          <w:color w:val="231F20"/>
          <w:spacing w:val="-3"/>
        </w:rPr>
        <w:t> </w:t>
      </w:r>
      <w:r>
        <w:rPr>
          <w:color w:val="231F20"/>
        </w:rPr>
        <w:t>сече</w:t>
      </w:r>
      <w:r>
        <w:rPr>
          <w:color w:val="231F20"/>
          <w:spacing w:val="-3"/>
        </w:rPr>
        <w:t> </w:t>
      </w:r>
      <w:r>
        <w:rPr>
          <w:color w:val="231F20"/>
        </w:rPr>
        <w:t>к.п.</w:t>
      </w:r>
      <w:r>
        <w:rPr>
          <w:color w:val="231F20"/>
          <w:spacing w:val="-3"/>
        </w:rPr>
        <w:t> </w:t>
      </w:r>
      <w:r>
        <w:rPr>
          <w:color w:val="231F20"/>
        </w:rPr>
        <w:t>бр.</w:t>
      </w:r>
      <w:r>
        <w:rPr>
          <w:color w:val="231F20"/>
          <w:spacing w:val="-3"/>
        </w:rPr>
        <w:t> </w:t>
      </w:r>
      <w:r>
        <w:rPr>
          <w:color w:val="231F20"/>
        </w:rPr>
        <w:t>47;</w:t>
      </w:r>
      <w:r>
        <w:rPr>
          <w:color w:val="231F20"/>
          <w:spacing w:val="-3"/>
        </w:rPr>
        <w:t> </w:t>
      </w:r>
      <w:r>
        <w:rPr>
          <w:color w:val="231F20"/>
        </w:rPr>
        <w:t>у тачки</w:t>
      </w:r>
      <w:r>
        <w:rPr>
          <w:color w:val="231F20"/>
          <w:spacing w:val="-7"/>
        </w:rPr>
        <w:t> </w:t>
      </w:r>
      <w:r>
        <w:rPr>
          <w:color w:val="231F20"/>
        </w:rPr>
        <w:t>А5</w:t>
      </w:r>
      <w:r>
        <w:rPr>
          <w:color w:val="231F20"/>
          <w:spacing w:val="-7"/>
        </w:rPr>
        <w:t> </w:t>
      </w:r>
      <w:r>
        <w:rPr>
          <w:color w:val="231F20"/>
        </w:rPr>
        <w:t>мења</w:t>
      </w:r>
      <w:r>
        <w:rPr>
          <w:color w:val="231F20"/>
          <w:spacing w:val="-7"/>
        </w:rPr>
        <w:t> </w:t>
      </w:r>
      <w:r>
        <w:rPr>
          <w:color w:val="231F20"/>
        </w:rPr>
        <w:t>правац</w:t>
      </w:r>
      <w:r>
        <w:rPr>
          <w:color w:val="231F20"/>
          <w:spacing w:val="-7"/>
        </w:rPr>
        <w:t> </w:t>
      </w:r>
      <w:r>
        <w:rPr>
          <w:color w:val="231F20"/>
        </w:rPr>
        <w:t>према</w:t>
      </w:r>
      <w:r>
        <w:rPr>
          <w:color w:val="231F20"/>
          <w:spacing w:val="-7"/>
        </w:rPr>
        <w:t> </w:t>
      </w:r>
      <w:r>
        <w:rPr>
          <w:color w:val="231F20"/>
        </w:rPr>
        <w:t>северу</w:t>
      </w:r>
      <w:r>
        <w:rPr>
          <w:color w:val="231F20"/>
          <w:spacing w:val="-7"/>
        </w:rPr>
        <w:t> </w:t>
      </w:r>
      <w:r>
        <w:rPr>
          <w:color w:val="231F20"/>
        </w:rPr>
        <w:t>и</w:t>
      </w:r>
      <w:r>
        <w:rPr>
          <w:color w:val="231F20"/>
          <w:spacing w:val="-7"/>
        </w:rPr>
        <w:t> </w:t>
      </w:r>
      <w:r>
        <w:rPr>
          <w:color w:val="231F20"/>
        </w:rPr>
        <w:t>даље</w:t>
      </w:r>
      <w:r>
        <w:rPr>
          <w:color w:val="231F20"/>
          <w:spacing w:val="-7"/>
        </w:rPr>
        <w:t> </w:t>
      </w:r>
      <w:r>
        <w:rPr>
          <w:color w:val="231F20"/>
        </w:rPr>
        <w:t>сече</w:t>
      </w:r>
      <w:r>
        <w:rPr>
          <w:color w:val="231F20"/>
          <w:spacing w:val="-7"/>
        </w:rPr>
        <w:t> </w:t>
      </w:r>
      <w:r>
        <w:rPr>
          <w:color w:val="231F20"/>
        </w:rPr>
        <w:t>к.п.</w:t>
      </w:r>
      <w:r>
        <w:rPr>
          <w:color w:val="231F20"/>
          <w:spacing w:val="-7"/>
        </w:rPr>
        <w:t> </w:t>
      </w:r>
      <w:r>
        <w:rPr>
          <w:color w:val="231F20"/>
        </w:rPr>
        <w:t>бр.</w:t>
      </w:r>
      <w:r>
        <w:rPr>
          <w:color w:val="231F20"/>
          <w:spacing w:val="-7"/>
        </w:rPr>
        <w:t> </w:t>
      </w:r>
      <w:r>
        <w:rPr>
          <w:color w:val="231F20"/>
        </w:rPr>
        <w:t>673/2,</w:t>
      </w:r>
      <w:r>
        <w:rPr>
          <w:color w:val="231F20"/>
          <w:spacing w:val="-7"/>
        </w:rPr>
        <w:t> </w:t>
      </w:r>
      <w:r>
        <w:rPr>
          <w:color w:val="231F20"/>
        </w:rPr>
        <w:t>848, 847,</w:t>
      </w:r>
      <w:r>
        <w:rPr>
          <w:color w:val="231F20"/>
          <w:spacing w:val="-4"/>
        </w:rPr>
        <w:t> </w:t>
      </w:r>
      <w:r>
        <w:rPr>
          <w:color w:val="231F20"/>
        </w:rPr>
        <w:t>846,</w:t>
      </w:r>
      <w:r>
        <w:rPr>
          <w:color w:val="231F20"/>
          <w:spacing w:val="-4"/>
        </w:rPr>
        <w:t> </w:t>
      </w:r>
      <w:r>
        <w:rPr>
          <w:color w:val="231F20"/>
        </w:rPr>
        <w:t>845,</w:t>
      </w:r>
      <w:r>
        <w:rPr>
          <w:color w:val="231F20"/>
          <w:spacing w:val="-4"/>
        </w:rPr>
        <w:t> </w:t>
      </w:r>
      <w:r>
        <w:rPr>
          <w:color w:val="231F20"/>
        </w:rPr>
        <w:t>844,</w:t>
      </w:r>
      <w:r>
        <w:rPr>
          <w:color w:val="231F20"/>
          <w:spacing w:val="-4"/>
        </w:rPr>
        <w:t> </w:t>
      </w:r>
      <w:r>
        <w:rPr>
          <w:color w:val="231F20"/>
        </w:rPr>
        <w:t>843,</w:t>
      </w:r>
      <w:r>
        <w:rPr>
          <w:color w:val="231F20"/>
          <w:spacing w:val="-4"/>
        </w:rPr>
        <w:t> </w:t>
      </w:r>
      <w:r>
        <w:rPr>
          <w:color w:val="231F20"/>
        </w:rPr>
        <w:t>842,</w:t>
      </w:r>
      <w:r>
        <w:rPr>
          <w:color w:val="231F20"/>
          <w:spacing w:val="-4"/>
        </w:rPr>
        <w:t> </w:t>
      </w:r>
      <w:r>
        <w:rPr>
          <w:color w:val="231F20"/>
        </w:rPr>
        <w:t>841,</w:t>
      </w:r>
      <w:r>
        <w:rPr>
          <w:color w:val="231F20"/>
          <w:spacing w:val="-4"/>
        </w:rPr>
        <w:t> </w:t>
      </w:r>
      <w:r>
        <w:rPr>
          <w:color w:val="231F20"/>
        </w:rPr>
        <w:t>771/2,</w:t>
      </w:r>
      <w:r>
        <w:rPr>
          <w:color w:val="231F20"/>
          <w:spacing w:val="-4"/>
        </w:rPr>
        <w:t> </w:t>
      </w:r>
      <w:r>
        <w:rPr>
          <w:color w:val="231F20"/>
        </w:rPr>
        <w:t>739</w:t>
      </w:r>
      <w:r>
        <w:rPr>
          <w:color w:val="231F20"/>
          <w:spacing w:val="-4"/>
        </w:rPr>
        <w:t> </w:t>
      </w:r>
      <w:r>
        <w:rPr>
          <w:color w:val="231F20"/>
        </w:rPr>
        <w:t>и</w:t>
      </w:r>
      <w:r>
        <w:rPr>
          <w:color w:val="231F20"/>
          <w:spacing w:val="-4"/>
        </w:rPr>
        <w:t> </w:t>
      </w:r>
      <w:r>
        <w:rPr>
          <w:color w:val="231F20"/>
        </w:rPr>
        <w:t>742</w:t>
      </w:r>
      <w:r>
        <w:rPr>
          <w:color w:val="231F20"/>
          <w:spacing w:val="-4"/>
        </w:rPr>
        <w:t> </w:t>
      </w:r>
      <w:r>
        <w:rPr>
          <w:color w:val="231F20"/>
        </w:rPr>
        <w:t>између</w:t>
      </w:r>
      <w:r>
        <w:rPr>
          <w:color w:val="231F20"/>
          <w:spacing w:val="-4"/>
        </w:rPr>
        <w:t> </w:t>
      </w:r>
      <w:r>
        <w:rPr>
          <w:color w:val="231F20"/>
        </w:rPr>
        <w:t>тачака</w:t>
      </w:r>
      <w:r>
        <w:rPr>
          <w:color w:val="231F20"/>
          <w:spacing w:val="-4"/>
        </w:rPr>
        <w:t> </w:t>
      </w:r>
      <w:r>
        <w:rPr>
          <w:color w:val="231F20"/>
        </w:rPr>
        <w:t>А5</w:t>
      </w:r>
    </w:p>
    <w:p>
      <w:pPr>
        <w:pStyle w:val="BodyText"/>
        <w:spacing w:line="232" w:lineRule="auto"/>
        <w:ind w:left="169" w:right="411"/>
      </w:pPr>
      <w:r>
        <w:rPr>
          <w:color w:val="231F20"/>
        </w:rPr>
        <w:t>и А6; </w:t>
      </w:r>
      <w:r>
        <w:rPr>
          <w:color w:val="231F20"/>
          <w:spacing w:val="-3"/>
        </w:rPr>
        <w:t>од тачке </w:t>
      </w:r>
      <w:r>
        <w:rPr>
          <w:color w:val="231F20"/>
        </w:rPr>
        <w:t>А6 поново мења правац и по спољњој је граници к.п. бр. 742, 786, 738, 733 и 734 до </w:t>
      </w:r>
      <w:r>
        <w:rPr>
          <w:color w:val="231F20"/>
          <w:spacing w:val="-3"/>
        </w:rPr>
        <w:t>тачке </w:t>
      </w:r>
      <w:r>
        <w:rPr>
          <w:color w:val="231F20"/>
        </w:rPr>
        <w:t>А7; сече к.п. бр. 771/2 по линији</w:t>
      </w:r>
      <w:r>
        <w:rPr>
          <w:color w:val="231F20"/>
          <w:spacing w:val="-7"/>
        </w:rPr>
        <w:t> </w:t>
      </w:r>
      <w:r>
        <w:rPr>
          <w:color w:val="231F20"/>
        </w:rPr>
        <w:t>између</w:t>
      </w:r>
      <w:r>
        <w:rPr>
          <w:color w:val="231F20"/>
          <w:spacing w:val="-7"/>
        </w:rPr>
        <w:t> </w:t>
      </w:r>
      <w:r>
        <w:rPr>
          <w:color w:val="231F20"/>
        </w:rPr>
        <w:t>тачака</w:t>
      </w:r>
      <w:r>
        <w:rPr>
          <w:color w:val="231F20"/>
          <w:spacing w:val="-7"/>
        </w:rPr>
        <w:t> </w:t>
      </w:r>
      <w:r>
        <w:rPr>
          <w:color w:val="231F20"/>
        </w:rPr>
        <w:t>А7</w:t>
      </w:r>
      <w:r>
        <w:rPr>
          <w:color w:val="231F20"/>
          <w:spacing w:val="-7"/>
        </w:rPr>
        <w:t> </w:t>
      </w:r>
      <w:r>
        <w:rPr>
          <w:color w:val="231F20"/>
        </w:rPr>
        <w:t>и</w:t>
      </w:r>
      <w:r>
        <w:rPr>
          <w:color w:val="231F20"/>
          <w:spacing w:val="-7"/>
        </w:rPr>
        <w:t> </w:t>
      </w:r>
      <w:r>
        <w:rPr>
          <w:color w:val="231F20"/>
        </w:rPr>
        <w:t>А8</w:t>
      </w:r>
      <w:r>
        <w:rPr>
          <w:color w:val="231F20"/>
          <w:spacing w:val="-7"/>
        </w:rPr>
        <w:t> </w:t>
      </w:r>
      <w:r>
        <w:rPr>
          <w:color w:val="231F20"/>
        </w:rPr>
        <w:t>(све</w:t>
      </w:r>
      <w:r>
        <w:rPr>
          <w:color w:val="231F20"/>
          <w:spacing w:val="-7"/>
        </w:rPr>
        <w:t> </w:t>
      </w:r>
      <w:r>
        <w:rPr>
          <w:color w:val="231F20"/>
          <w:spacing w:val="-3"/>
        </w:rPr>
        <w:t>КО</w:t>
      </w:r>
      <w:r>
        <w:rPr>
          <w:color w:val="231F20"/>
          <w:spacing w:val="-7"/>
        </w:rPr>
        <w:t> </w:t>
      </w:r>
      <w:r>
        <w:rPr>
          <w:color w:val="231F20"/>
        </w:rPr>
        <w:t>Костолац</w:t>
      </w:r>
      <w:r>
        <w:rPr>
          <w:color w:val="231F20"/>
          <w:spacing w:val="-7"/>
        </w:rPr>
        <w:t> </w:t>
      </w:r>
      <w:r>
        <w:rPr>
          <w:color w:val="231F20"/>
        </w:rPr>
        <w:t>село);</w:t>
      </w:r>
      <w:r>
        <w:rPr>
          <w:color w:val="231F20"/>
          <w:spacing w:val="-7"/>
        </w:rPr>
        <w:t> </w:t>
      </w:r>
      <w:r>
        <w:rPr>
          <w:color w:val="231F20"/>
          <w:spacing w:val="-3"/>
        </w:rPr>
        <w:t>од</w:t>
      </w:r>
      <w:r>
        <w:rPr>
          <w:color w:val="231F20"/>
          <w:spacing w:val="-7"/>
        </w:rPr>
        <w:t> </w:t>
      </w:r>
      <w:r>
        <w:rPr>
          <w:color w:val="231F20"/>
          <w:spacing w:val="-3"/>
        </w:rPr>
        <w:t>тачке</w:t>
      </w:r>
      <w:r>
        <w:rPr>
          <w:color w:val="231F20"/>
          <w:spacing w:val="-7"/>
        </w:rPr>
        <w:t> </w:t>
      </w:r>
      <w:r>
        <w:rPr>
          <w:color w:val="231F20"/>
        </w:rPr>
        <w:t>А8 на граници </w:t>
      </w:r>
      <w:r>
        <w:rPr>
          <w:color w:val="231F20"/>
          <w:spacing w:val="-3"/>
        </w:rPr>
        <w:t>КО </w:t>
      </w:r>
      <w:r>
        <w:rPr>
          <w:color w:val="231F20"/>
        </w:rPr>
        <w:t>Костолац село / </w:t>
      </w:r>
      <w:r>
        <w:rPr>
          <w:color w:val="231F20"/>
          <w:spacing w:val="-3"/>
        </w:rPr>
        <w:t>КО </w:t>
      </w:r>
      <w:r>
        <w:rPr>
          <w:color w:val="231F20"/>
        </w:rPr>
        <w:t>Кличевац по спољњој граници к.п. бр. 1490 до </w:t>
      </w:r>
      <w:r>
        <w:rPr>
          <w:color w:val="231F20"/>
          <w:spacing w:val="-3"/>
        </w:rPr>
        <w:t>тачке </w:t>
      </w:r>
      <w:r>
        <w:rPr>
          <w:color w:val="231F20"/>
        </w:rPr>
        <w:t>А9 у којој сече исту парцелу по линији из- међу тачака А9 и А10; у тачки А10 мења правац према југозападу и поново је по спољњој граници к.п. бр. 1490 до </w:t>
      </w:r>
      <w:r>
        <w:rPr>
          <w:color w:val="231F20"/>
          <w:spacing w:val="-3"/>
        </w:rPr>
        <w:t>тачке </w:t>
      </w:r>
      <w:r>
        <w:rPr>
          <w:color w:val="231F20"/>
        </w:rPr>
        <w:t>А11; сече к.п.</w:t>
      </w:r>
      <w:r>
        <w:rPr>
          <w:color w:val="231F20"/>
          <w:spacing w:val="-5"/>
        </w:rPr>
        <w:t> </w:t>
      </w:r>
      <w:r>
        <w:rPr>
          <w:color w:val="231F20"/>
        </w:rPr>
        <w:t>бр.</w:t>
      </w:r>
      <w:r>
        <w:rPr>
          <w:color w:val="231F20"/>
          <w:spacing w:val="-5"/>
        </w:rPr>
        <w:t> </w:t>
      </w:r>
      <w:r>
        <w:rPr>
          <w:color w:val="231F20"/>
        </w:rPr>
        <w:t>6036</w:t>
      </w:r>
      <w:r>
        <w:rPr>
          <w:color w:val="231F20"/>
          <w:spacing w:val="-5"/>
        </w:rPr>
        <w:t> </w:t>
      </w:r>
      <w:r>
        <w:rPr>
          <w:color w:val="231F20"/>
        </w:rPr>
        <w:t>између</w:t>
      </w:r>
      <w:r>
        <w:rPr>
          <w:color w:val="231F20"/>
          <w:spacing w:val="-5"/>
        </w:rPr>
        <w:t> </w:t>
      </w:r>
      <w:r>
        <w:rPr>
          <w:color w:val="231F20"/>
        </w:rPr>
        <w:t>тачака</w:t>
      </w:r>
      <w:r>
        <w:rPr>
          <w:color w:val="231F20"/>
          <w:spacing w:val="-5"/>
        </w:rPr>
        <w:t> </w:t>
      </w:r>
      <w:r>
        <w:rPr>
          <w:color w:val="231F20"/>
          <w:spacing w:val="-3"/>
        </w:rPr>
        <w:t>А11</w:t>
      </w:r>
      <w:r>
        <w:rPr>
          <w:color w:val="231F20"/>
          <w:spacing w:val="-5"/>
        </w:rPr>
        <w:t> </w:t>
      </w:r>
      <w:r>
        <w:rPr>
          <w:color w:val="231F20"/>
        </w:rPr>
        <w:t>и</w:t>
      </w:r>
      <w:r>
        <w:rPr>
          <w:color w:val="231F20"/>
          <w:spacing w:val="-5"/>
        </w:rPr>
        <w:t> </w:t>
      </w:r>
      <w:r>
        <w:rPr>
          <w:color w:val="231F20"/>
        </w:rPr>
        <w:t>А12</w:t>
      </w:r>
      <w:r>
        <w:rPr>
          <w:color w:val="231F20"/>
          <w:spacing w:val="-5"/>
        </w:rPr>
        <w:t> </w:t>
      </w:r>
      <w:r>
        <w:rPr>
          <w:color w:val="231F20"/>
        </w:rPr>
        <w:t>и</w:t>
      </w:r>
      <w:r>
        <w:rPr>
          <w:color w:val="231F20"/>
          <w:spacing w:val="-5"/>
        </w:rPr>
        <w:t> </w:t>
      </w:r>
      <w:r>
        <w:rPr>
          <w:color w:val="231F20"/>
        </w:rPr>
        <w:t>даље</w:t>
      </w:r>
      <w:r>
        <w:rPr>
          <w:color w:val="231F20"/>
          <w:spacing w:val="-5"/>
        </w:rPr>
        <w:t> </w:t>
      </w:r>
      <w:r>
        <w:rPr>
          <w:color w:val="231F20"/>
        </w:rPr>
        <w:t>је</w:t>
      </w:r>
      <w:r>
        <w:rPr>
          <w:color w:val="231F20"/>
          <w:spacing w:val="-5"/>
        </w:rPr>
        <w:t> </w:t>
      </w:r>
      <w:r>
        <w:rPr>
          <w:color w:val="231F20"/>
        </w:rPr>
        <w:t>по</w:t>
      </w:r>
      <w:r>
        <w:rPr>
          <w:color w:val="231F20"/>
          <w:spacing w:val="-5"/>
        </w:rPr>
        <w:t> </w:t>
      </w:r>
      <w:r>
        <w:rPr>
          <w:color w:val="231F20"/>
        </w:rPr>
        <w:t>спољњој</w:t>
      </w:r>
      <w:r>
        <w:rPr>
          <w:color w:val="231F20"/>
          <w:spacing w:val="-5"/>
        </w:rPr>
        <w:t> </w:t>
      </w:r>
      <w:r>
        <w:rPr>
          <w:color w:val="231F20"/>
        </w:rPr>
        <w:t>грани- ци</w:t>
      </w:r>
      <w:r>
        <w:rPr>
          <w:color w:val="231F20"/>
          <w:spacing w:val="10"/>
        </w:rPr>
        <w:t> </w:t>
      </w:r>
      <w:r>
        <w:rPr>
          <w:color w:val="231F20"/>
        </w:rPr>
        <w:t>к.п.</w:t>
      </w:r>
      <w:r>
        <w:rPr>
          <w:color w:val="231F20"/>
          <w:spacing w:val="10"/>
        </w:rPr>
        <w:t> </w:t>
      </w:r>
      <w:r>
        <w:rPr>
          <w:color w:val="231F20"/>
        </w:rPr>
        <w:t>бр.</w:t>
      </w:r>
      <w:r>
        <w:rPr>
          <w:color w:val="231F20"/>
          <w:spacing w:val="10"/>
        </w:rPr>
        <w:t> </w:t>
      </w:r>
      <w:r>
        <w:rPr>
          <w:color w:val="231F20"/>
        </w:rPr>
        <w:t>4006,</w:t>
      </w:r>
      <w:r>
        <w:rPr>
          <w:color w:val="231F20"/>
          <w:spacing w:val="10"/>
        </w:rPr>
        <w:t> </w:t>
      </w:r>
      <w:r>
        <w:rPr>
          <w:color w:val="231F20"/>
        </w:rPr>
        <w:t>4004,</w:t>
      </w:r>
      <w:r>
        <w:rPr>
          <w:color w:val="231F20"/>
          <w:spacing w:val="10"/>
        </w:rPr>
        <w:t> </w:t>
      </w:r>
      <w:r>
        <w:rPr>
          <w:color w:val="231F20"/>
        </w:rPr>
        <w:t>4002,</w:t>
      </w:r>
      <w:r>
        <w:rPr>
          <w:color w:val="231F20"/>
          <w:spacing w:val="10"/>
        </w:rPr>
        <w:t> </w:t>
      </w:r>
      <w:r>
        <w:rPr>
          <w:color w:val="231F20"/>
        </w:rPr>
        <w:t>4007,</w:t>
      </w:r>
      <w:r>
        <w:rPr>
          <w:color w:val="231F20"/>
          <w:spacing w:val="10"/>
        </w:rPr>
        <w:t> </w:t>
      </w:r>
      <w:r>
        <w:rPr>
          <w:color w:val="231F20"/>
        </w:rPr>
        <w:t>4019,</w:t>
      </w:r>
      <w:r>
        <w:rPr>
          <w:color w:val="231F20"/>
          <w:spacing w:val="10"/>
        </w:rPr>
        <w:t> </w:t>
      </w:r>
      <w:r>
        <w:rPr>
          <w:color w:val="231F20"/>
        </w:rPr>
        <w:t>4008/2,</w:t>
      </w:r>
      <w:r>
        <w:rPr>
          <w:color w:val="231F20"/>
          <w:spacing w:val="10"/>
        </w:rPr>
        <w:t> </w:t>
      </w:r>
      <w:r>
        <w:rPr>
          <w:color w:val="231F20"/>
        </w:rPr>
        <w:t>4009,</w:t>
      </w:r>
      <w:r>
        <w:rPr>
          <w:color w:val="231F20"/>
          <w:spacing w:val="10"/>
        </w:rPr>
        <w:t> </w:t>
      </w:r>
      <w:r>
        <w:rPr>
          <w:color w:val="231F20"/>
        </w:rPr>
        <w:t>4010,</w:t>
      </w:r>
      <w:r>
        <w:rPr>
          <w:color w:val="231F20"/>
          <w:spacing w:val="10"/>
        </w:rPr>
        <w:t> </w:t>
      </w:r>
      <w:r>
        <w:rPr>
          <w:color w:val="231F20"/>
        </w:rPr>
        <w:t>4011,</w:t>
      </w:r>
    </w:p>
    <w:p>
      <w:pPr>
        <w:pStyle w:val="BodyText"/>
        <w:spacing w:line="193" w:lineRule="exact"/>
      </w:pPr>
      <w:r>
        <w:rPr>
          <w:color w:val="231F20"/>
        </w:rPr>
        <w:t>4575,  4576,  4615/1,  4615/2,  4590,  4591,  4593,  4595,  4597, 4598,</w:t>
      </w:r>
    </w:p>
    <w:p>
      <w:pPr>
        <w:pStyle w:val="BodyText"/>
        <w:spacing w:line="232" w:lineRule="auto"/>
        <w:ind w:right="411" w:hanging="1"/>
      </w:pPr>
      <w:r>
        <w:rPr>
          <w:color w:val="231F20"/>
        </w:rPr>
        <w:t>4603, 4604, 4607, 4615/3 и 4614; сече к.п. бр. 6033 између тачака А13 и А13а; у тачки А13а мења правац и по спољњој граници је исте катастарске парцеле и к.п. бр. 4613, 1528, 501, 502, 503, 504,</w:t>
      </w:r>
    </w:p>
    <w:p>
      <w:pPr>
        <w:pStyle w:val="BodyText"/>
        <w:spacing w:line="197" w:lineRule="exact"/>
      </w:pPr>
      <w:r>
        <w:rPr>
          <w:color w:val="231F20"/>
        </w:rPr>
        <w:t>505, 506, 507, 508/1, 508/2, 509, 510, 511, 512, 513, 1603, 514, 515,</w:t>
      </w:r>
    </w:p>
    <w:p>
      <w:pPr>
        <w:pStyle w:val="BodyText"/>
        <w:spacing w:line="200" w:lineRule="exact"/>
      </w:pPr>
      <w:r>
        <w:rPr>
          <w:color w:val="231F20"/>
        </w:rPr>
        <w:t>516, 517, 518, 519, 520, 1601, 521, 522, 523, 524, 525, 526, 527, 528,</w:t>
      </w:r>
    </w:p>
    <w:p>
      <w:pPr>
        <w:pStyle w:val="BodyText"/>
        <w:spacing w:line="200" w:lineRule="exact"/>
      </w:pPr>
      <w:r>
        <w:rPr>
          <w:color w:val="231F20"/>
        </w:rPr>
        <w:t>529, 530, 531, 532, 1575, 584, 585, 586, 587, 588, 589, 590, 591, 592,</w:t>
      </w:r>
    </w:p>
    <w:p>
      <w:pPr>
        <w:pStyle w:val="BodyText"/>
        <w:spacing w:line="200" w:lineRule="exact"/>
      </w:pPr>
      <w:r>
        <w:rPr>
          <w:color w:val="231F20"/>
        </w:rPr>
        <w:t>593, 594, 595, 596, 1577, 597, 598, 599, 600, 601, 602, 603, 604, 605,</w:t>
      </w:r>
    </w:p>
    <w:p>
      <w:pPr>
        <w:pStyle w:val="BodyText"/>
        <w:spacing w:line="232" w:lineRule="auto" w:before="1"/>
        <w:ind w:right="410" w:hanging="1"/>
      </w:pPr>
      <w:r>
        <w:rPr>
          <w:color w:val="231F20"/>
        </w:rPr>
        <w:t>606,</w:t>
      </w:r>
      <w:r>
        <w:rPr>
          <w:color w:val="231F20"/>
          <w:spacing w:val="-7"/>
        </w:rPr>
        <w:t> </w:t>
      </w:r>
      <w:r>
        <w:rPr>
          <w:color w:val="231F20"/>
        </w:rPr>
        <w:t>607,</w:t>
      </w:r>
      <w:r>
        <w:rPr>
          <w:color w:val="231F20"/>
          <w:spacing w:val="-7"/>
        </w:rPr>
        <w:t> </w:t>
      </w:r>
      <w:r>
        <w:rPr>
          <w:color w:val="231F20"/>
        </w:rPr>
        <w:t>608</w:t>
      </w:r>
      <w:r>
        <w:rPr>
          <w:color w:val="231F20"/>
          <w:spacing w:val="-7"/>
        </w:rPr>
        <w:t> </w:t>
      </w:r>
      <w:r>
        <w:rPr>
          <w:color w:val="231F20"/>
        </w:rPr>
        <w:t>и</w:t>
      </w:r>
      <w:r>
        <w:rPr>
          <w:color w:val="231F20"/>
          <w:spacing w:val="-7"/>
        </w:rPr>
        <w:t> </w:t>
      </w:r>
      <w:r>
        <w:rPr>
          <w:color w:val="231F20"/>
        </w:rPr>
        <w:t>1579;</w:t>
      </w:r>
      <w:r>
        <w:rPr>
          <w:color w:val="231F20"/>
          <w:spacing w:val="-7"/>
        </w:rPr>
        <w:t> </w:t>
      </w:r>
      <w:r>
        <w:rPr>
          <w:color w:val="231F20"/>
        </w:rPr>
        <w:t>између</w:t>
      </w:r>
      <w:r>
        <w:rPr>
          <w:color w:val="231F20"/>
          <w:spacing w:val="-7"/>
        </w:rPr>
        <w:t> </w:t>
      </w:r>
      <w:r>
        <w:rPr>
          <w:color w:val="231F20"/>
        </w:rPr>
        <w:t>тачака</w:t>
      </w:r>
      <w:r>
        <w:rPr>
          <w:color w:val="231F20"/>
          <w:spacing w:val="-7"/>
        </w:rPr>
        <w:t> </w:t>
      </w:r>
      <w:r>
        <w:rPr>
          <w:color w:val="231F20"/>
        </w:rPr>
        <w:t>А15</w:t>
      </w:r>
      <w:r>
        <w:rPr>
          <w:color w:val="231F20"/>
          <w:spacing w:val="-7"/>
        </w:rPr>
        <w:t> </w:t>
      </w:r>
      <w:r>
        <w:rPr>
          <w:color w:val="231F20"/>
        </w:rPr>
        <w:t>и</w:t>
      </w:r>
      <w:r>
        <w:rPr>
          <w:color w:val="231F20"/>
          <w:spacing w:val="-7"/>
        </w:rPr>
        <w:t> </w:t>
      </w:r>
      <w:r>
        <w:rPr>
          <w:color w:val="231F20"/>
        </w:rPr>
        <w:t>А16</w:t>
      </w:r>
      <w:r>
        <w:rPr>
          <w:color w:val="231F20"/>
          <w:spacing w:val="-7"/>
        </w:rPr>
        <w:t> </w:t>
      </w:r>
      <w:r>
        <w:rPr>
          <w:color w:val="231F20"/>
        </w:rPr>
        <w:t>граница</w:t>
      </w:r>
      <w:r>
        <w:rPr>
          <w:color w:val="231F20"/>
          <w:spacing w:val="-7"/>
        </w:rPr>
        <w:t> </w:t>
      </w:r>
      <w:r>
        <w:rPr>
          <w:color w:val="231F20"/>
        </w:rPr>
        <w:t>је</w:t>
      </w:r>
      <w:r>
        <w:rPr>
          <w:color w:val="231F20"/>
          <w:spacing w:val="-7"/>
        </w:rPr>
        <w:t> </w:t>
      </w:r>
      <w:r>
        <w:rPr>
          <w:color w:val="231F20"/>
        </w:rPr>
        <w:t>по</w:t>
      </w:r>
      <w:r>
        <w:rPr>
          <w:color w:val="231F20"/>
          <w:spacing w:val="-7"/>
        </w:rPr>
        <w:t> </w:t>
      </w:r>
      <w:r>
        <w:rPr>
          <w:color w:val="231F20"/>
        </w:rPr>
        <w:t>грани- ци </w:t>
      </w:r>
      <w:r>
        <w:rPr>
          <w:color w:val="231F20"/>
          <w:spacing w:val="-3"/>
        </w:rPr>
        <w:t>КО </w:t>
      </w:r>
      <w:r>
        <w:rPr>
          <w:color w:val="231F20"/>
        </w:rPr>
        <w:t>Кличевац / </w:t>
      </w:r>
      <w:r>
        <w:rPr>
          <w:color w:val="231F20"/>
          <w:spacing w:val="-3"/>
        </w:rPr>
        <w:t>КО </w:t>
      </w:r>
      <w:r>
        <w:rPr>
          <w:color w:val="231F20"/>
        </w:rPr>
        <w:t>Дрмно (све </w:t>
      </w:r>
      <w:r>
        <w:rPr>
          <w:color w:val="231F20"/>
          <w:spacing w:val="-3"/>
        </w:rPr>
        <w:t>КО </w:t>
      </w:r>
      <w:r>
        <w:rPr>
          <w:color w:val="231F20"/>
        </w:rPr>
        <w:t>Кличевац); </w:t>
      </w:r>
      <w:r>
        <w:rPr>
          <w:color w:val="231F20"/>
          <w:spacing w:val="-3"/>
        </w:rPr>
        <w:t>од тачке </w:t>
      </w:r>
      <w:r>
        <w:rPr>
          <w:color w:val="231F20"/>
        </w:rPr>
        <w:t>А16 по спољњој граници к.п. бр. 523, 311/1, 311/2, 312/1, 312/2, 313, 314, 315,</w:t>
      </w:r>
      <w:r>
        <w:rPr>
          <w:color w:val="231F20"/>
          <w:spacing w:val="15"/>
        </w:rPr>
        <w:t> </w:t>
      </w:r>
      <w:r>
        <w:rPr>
          <w:color w:val="231F20"/>
        </w:rPr>
        <w:t>316,</w:t>
      </w:r>
      <w:r>
        <w:rPr>
          <w:color w:val="231F20"/>
          <w:spacing w:val="15"/>
        </w:rPr>
        <w:t> </w:t>
      </w:r>
      <w:r>
        <w:rPr>
          <w:color w:val="231F20"/>
        </w:rPr>
        <w:t>2919,</w:t>
      </w:r>
      <w:r>
        <w:rPr>
          <w:color w:val="231F20"/>
          <w:spacing w:val="15"/>
        </w:rPr>
        <w:t> </w:t>
      </w:r>
      <w:r>
        <w:rPr>
          <w:color w:val="231F20"/>
        </w:rPr>
        <w:t>521,</w:t>
      </w:r>
      <w:r>
        <w:rPr>
          <w:color w:val="231F20"/>
          <w:spacing w:val="15"/>
        </w:rPr>
        <w:t> </w:t>
      </w:r>
      <w:r>
        <w:rPr>
          <w:color w:val="231F20"/>
        </w:rPr>
        <w:t>2920,</w:t>
      </w:r>
      <w:r>
        <w:rPr>
          <w:color w:val="231F20"/>
          <w:spacing w:val="15"/>
        </w:rPr>
        <w:t> </w:t>
      </w:r>
      <w:r>
        <w:rPr>
          <w:color w:val="231F20"/>
        </w:rPr>
        <w:t>320,</w:t>
      </w:r>
      <w:r>
        <w:rPr>
          <w:color w:val="231F20"/>
          <w:spacing w:val="15"/>
        </w:rPr>
        <w:t> </w:t>
      </w:r>
      <w:r>
        <w:rPr>
          <w:color w:val="231F20"/>
        </w:rPr>
        <w:t>514</w:t>
      </w:r>
      <w:r>
        <w:rPr>
          <w:color w:val="231F20"/>
          <w:spacing w:val="15"/>
        </w:rPr>
        <w:t> </w:t>
      </w:r>
      <w:r>
        <w:rPr>
          <w:color w:val="231F20"/>
        </w:rPr>
        <w:t>и</w:t>
      </w:r>
      <w:r>
        <w:rPr>
          <w:color w:val="231F20"/>
          <w:spacing w:val="13"/>
        </w:rPr>
        <w:t> </w:t>
      </w:r>
      <w:r>
        <w:rPr>
          <w:color w:val="231F20"/>
        </w:rPr>
        <w:t>1397/1</w:t>
      </w:r>
      <w:r>
        <w:rPr>
          <w:color w:val="231F20"/>
          <w:spacing w:val="15"/>
        </w:rPr>
        <w:t> </w:t>
      </w:r>
      <w:r>
        <w:rPr>
          <w:color w:val="231F20"/>
        </w:rPr>
        <w:t>(све</w:t>
      </w:r>
      <w:r>
        <w:rPr>
          <w:color w:val="231F20"/>
          <w:spacing w:val="15"/>
        </w:rPr>
        <w:t> </w:t>
      </w:r>
      <w:r>
        <w:rPr>
          <w:color w:val="231F20"/>
          <w:spacing w:val="-3"/>
        </w:rPr>
        <w:t>КО</w:t>
      </w:r>
      <w:r>
        <w:rPr>
          <w:color w:val="231F20"/>
          <w:spacing w:val="13"/>
        </w:rPr>
        <w:t> </w:t>
      </w:r>
      <w:r>
        <w:rPr>
          <w:color w:val="231F20"/>
        </w:rPr>
        <w:t>Дрмно)</w:t>
      </w:r>
      <w:r>
        <w:rPr>
          <w:color w:val="231F20"/>
          <w:spacing w:val="15"/>
        </w:rPr>
        <w:t> </w:t>
      </w:r>
      <w:r>
        <w:rPr>
          <w:color w:val="231F20"/>
        </w:rPr>
        <w:t>сти-</w:t>
      </w:r>
    </w:p>
    <w:p>
      <w:pPr>
        <w:pStyle w:val="BodyText"/>
        <w:spacing w:line="232" w:lineRule="auto"/>
        <w:ind w:right="411"/>
      </w:pPr>
      <w:r>
        <w:rPr>
          <w:color w:val="231F20"/>
        </w:rPr>
        <w:t>же до међне тачке 12 на граници КО Дрмно / КО Брадарац; мења правац по граници до тачке А17, а даље сече к.п. бр. 1894, 1895, 1896, 1897, 1898, 1899, 1900, 1901, 1902 и 1903 између тачака А17</w:t>
      </w:r>
    </w:p>
    <w:p>
      <w:pPr>
        <w:pStyle w:val="BodyText"/>
        <w:spacing w:line="232" w:lineRule="auto"/>
        <w:ind w:left="171" w:right="411" w:hanging="1"/>
      </w:pPr>
      <w:r>
        <w:rPr>
          <w:color w:val="231F20"/>
        </w:rPr>
        <w:t>и А18 и даље к.п. бр. 1904, 1905, 1906и 1907 између тачака А18 и А19; између тачака А19 и А20 сече к.п. бр. 1907, 1908, 1909, 1910,</w:t>
      </w:r>
    </w:p>
    <w:p>
      <w:pPr>
        <w:pStyle w:val="BodyText"/>
        <w:spacing w:line="232" w:lineRule="auto"/>
        <w:ind w:left="171" w:right="410"/>
      </w:pPr>
      <w:r>
        <w:rPr>
          <w:color w:val="231F20"/>
        </w:rPr>
        <w:t>1911, 1912, 1913, 1914, 1915, и 1916; даље између тачака А20 и А21 сече к.п. бр. 1916, 1917 и 1918, а између тачака А21 и А22 се- че</w:t>
      </w:r>
      <w:r>
        <w:rPr>
          <w:color w:val="231F20"/>
          <w:spacing w:val="-6"/>
        </w:rPr>
        <w:t> </w:t>
      </w:r>
      <w:r>
        <w:rPr>
          <w:color w:val="231F20"/>
        </w:rPr>
        <w:t>к.п.</w:t>
      </w:r>
      <w:r>
        <w:rPr>
          <w:color w:val="231F20"/>
          <w:spacing w:val="-6"/>
        </w:rPr>
        <w:t> </w:t>
      </w:r>
      <w:r>
        <w:rPr>
          <w:color w:val="231F20"/>
        </w:rPr>
        <w:t>бр.</w:t>
      </w:r>
      <w:r>
        <w:rPr>
          <w:color w:val="231F20"/>
          <w:spacing w:val="-6"/>
        </w:rPr>
        <w:t> </w:t>
      </w:r>
      <w:r>
        <w:rPr>
          <w:color w:val="231F20"/>
        </w:rPr>
        <w:t>1920,</w:t>
      </w:r>
      <w:r>
        <w:rPr>
          <w:color w:val="231F20"/>
          <w:spacing w:val="-6"/>
        </w:rPr>
        <w:t> </w:t>
      </w:r>
      <w:r>
        <w:rPr>
          <w:color w:val="231F20"/>
        </w:rPr>
        <w:t>1921,</w:t>
      </w:r>
      <w:r>
        <w:rPr>
          <w:color w:val="231F20"/>
          <w:spacing w:val="-6"/>
        </w:rPr>
        <w:t> </w:t>
      </w:r>
      <w:r>
        <w:rPr>
          <w:color w:val="231F20"/>
        </w:rPr>
        <w:t>1922,</w:t>
      </w:r>
      <w:r>
        <w:rPr>
          <w:color w:val="231F20"/>
          <w:spacing w:val="-6"/>
        </w:rPr>
        <w:t> </w:t>
      </w:r>
      <w:r>
        <w:rPr>
          <w:color w:val="231F20"/>
        </w:rPr>
        <w:t>1923</w:t>
      </w:r>
      <w:r>
        <w:rPr>
          <w:color w:val="231F20"/>
          <w:spacing w:val="-6"/>
        </w:rPr>
        <w:t> </w:t>
      </w:r>
      <w:r>
        <w:rPr>
          <w:color w:val="231F20"/>
        </w:rPr>
        <w:t>и</w:t>
      </w:r>
      <w:r>
        <w:rPr>
          <w:color w:val="231F20"/>
          <w:spacing w:val="-6"/>
        </w:rPr>
        <w:t> </w:t>
      </w:r>
      <w:r>
        <w:rPr>
          <w:color w:val="231F20"/>
        </w:rPr>
        <w:t>1925;</w:t>
      </w:r>
      <w:r>
        <w:rPr>
          <w:color w:val="231F20"/>
          <w:spacing w:val="-6"/>
        </w:rPr>
        <w:t> </w:t>
      </w:r>
      <w:r>
        <w:rPr>
          <w:color w:val="231F20"/>
        </w:rPr>
        <w:t>даље</w:t>
      </w:r>
      <w:r>
        <w:rPr>
          <w:color w:val="231F20"/>
          <w:spacing w:val="-6"/>
        </w:rPr>
        <w:t> </w:t>
      </w:r>
      <w:r>
        <w:rPr>
          <w:color w:val="231F20"/>
        </w:rPr>
        <w:t>између</w:t>
      </w:r>
      <w:r>
        <w:rPr>
          <w:color w:val="231F20"/>
          <w:spacing w:val="-6"/>
        </w:rPr>
        <w:t> </w:t>
      </w:r>
      <w:r>
        <w:rPr>
          <w:color w:val="231F20"/>
        </w:rPr>
        <w:t>тачака</w:t>
      </w:r>
      <w:r>
        <w:rPr>
          <w:color w:val="231F20"/>
          <w:spacing w:val="-6"/>
        </w:rPr>
        <w:t> </w:t>
      </w:r>
      <w:r>
        <w:rPr>
          <w:color w:val="231F20"/>
        </w:rPr>
        <w:t>А22</w:t>
      </w:r>
      <w:r>
        <w:rPr>
          <w:color w:val="231F20"/>
          <w:spacing w:val="-6"/>
        </w:rPr>
        <w:t> </w:t>
      </w:r>
      <w:r>
        <w:rPr>
          <w:color w:val="231F20"/>
        </w:rPr>
        <w:t>и А23 сече к.п. бр. 1926, 1927, 3348, а између тачака А23 и А24 сече к.п. бр. 1944, 1943 и 1942 и између тачака А24 и А25 сече к.п. бр. 1941; између тачака А25 и А26 поново сече к.п. бр. 1942 и 1943, сече и к.п. бр. 3347, а између тачака А26 и А27 сече к.п. бр. 2003; сече</w:t>
      </w:r>
      <w:r>
        <w:rPr>
          <w:color w:val="231F20"/>
          <w:spacing w:val="10"/>
        </w:rPr>
        <w:t> </w:t>
      </w:r>
      <w:r>
        <w:rPr>
          <w:color w:val="231F20"/>
        </w:rPr>
        <w:t>к.п.</w:t>
      </w:r>
      <w:r>
        <w:rPr>
          <w:color w:val="231F20"/>
          <w:spacing w:val="10"/>
        </w:rPr>
        <w:t> </w:t>
      </w:r>
      <w:r>
        <w:rPr>
          <w:color w:val="231F20"/>
        </w:rPr>
        <w:t>бр.</w:t>
      </w:r>
      <w:r>
        <w:rPr>
          <w:color w:val="231F20"/>
          <w:spacing w:val="10"/>
        </w:rPr>
        <w:t> </w:t>
      </w:r>
      <w:r>
        <w:rPr>
          <w:color w:val="231F20"/>
        </w:rPr>
        <w:t>2004,</w:t>
      </w:r>
      <w:r>
        <w:rPr>
          <w:color w:val="231F20"/>
          <w:spacing w:val="10"/>
        </w:rPr>
        <w:t> </w:t>
      </w:r>
      <w:r>
        <w:rPr>
          <w:color w:val="231F20"/>
        </w:rPr>
        <w:t>3346,</w:t>
      </w:r>
      <w:r>
        <w:rPr>
          <w:color w:val="231F20"/>
          <w:spacing w:val="10"/>
        </w:rPr>
        <w:t> </w:t>
      </w:r>
      <w:r>
        <w:rPr>
          <w:color w:val="231F20"/>
        </w:rPr>
        <w:t>2019,</w:t>
      </w:r>
      <w:r>
        <w:rPr>
          <w:color w:val="231F20"/>
          <w:spacing w:val="10"/>
        </w:rPr>
        <w:t> </w:t>
      </w:r>
      <w:r>
        <w:rPr>
          <w:color w:val="231F20"/>
        </w:rPr>
        <w:t>2017,</w:t>
      </w:r>
      <w:r>
        <w:rPr>
          <w:color w:val="231F20"/>
          <w:spacing w:val="10"/>
        </w:rPr>
        <w:t> </w:t>
      </w:r>
      <w:r>
        <w:rPr>
          <w:color w:val="231F20"/>
        </w:rPr>
        <w:t>2016,</w:t>
      </w:r>
      <w:r>
        <w:rPr>
          <w:color w:val="231F20"/>
          <w:spacing w:val="10"/>
        </w:rPr>
        <w:t> </w:t>
      </w:r>
      <w:r>
        <w:rPr>
          <w:color w:val="231F20"/>
        </w:rPr>
        <w:t>2015,</w:t>
      </w:r>
      <w:r>
        <w:rPr>
          <w:color w:val="231F20"/>
          <w:spacing w:val="10"/>
        </w:rPr>
        <w:t> </w:t>
      </w:r>
      <w:r>
        <w:rPr>
          <w:color w:val="231F20"/>
        </w:rPr>
        <w:t>2013,</w:t>
      </w:r>
      <w:r>
        <w:rPr>
          <w:color w:val="231F20"/>
          <w:spacing w:val="10"/>
        </w:rPr>
        <w:t> </w:t>
      </w:r>
      <w:r>
        <w:rPr>
          <w:color w:val="231F20"/>
        </w:rPr>
        <w:t>3345,</w:t>
      </w:r>
      <w:r>
        <w:rPr>
          <w:color w:val="231F20"/>
          <w:spacing w:val="10"/>
        </w:rPr>
        <w:t> </w:t>
      </w:r>
      <w:r>
        <w:rPr>
          <w:color w:val="231F20"/>
        </w:rPr>
        <w:t>2099,</w:t>
      </w:r>
    </w:p>
    <w:p>
      <w:pPr>
        <w:pStyle w:val="BodyText"/>
        <w:spacing w:line="194" w:lineRule="exact"/>
        <w:ind w:left="171"/>
      </w:pPr>
      <w:r>
        <w:rPr>
          <w:color w:val="231F20"/>
        </w:rPr>
        <w:t>989, 990, 991/1, 992/1, 993/1, 995/1, 996/1, 2119 и 2120 између та-</w:t>
      </w:r>
    </w:p>
    <w:p>
      <w:pPr>
        <w:pStyle w:val="BodyText"/>
        <w:spacing w:line="232" w:lineRule="auto"/>
        <w:ind w:left="171" w:right="409" w:hanging="1"/>
      </w:pPr>
      <w:r>
        <w:rPr>
          <w:color w:val="231F20"/>
        </w:rPr>
        <w:t>чака А27 и А28; по линији између тачака А28, А29, А30, А31 и А32 сече к.п. бр. 2122, 2131, 2130, 3339, 2179, 2180, 2181, 2182,</w:t>
      </w:r>
    </w:p>
    <w:p>
      <w:pPr>
        <w:pStyle w:val="BodyText"/>
        <w:spacing w:line="197" w:lineRule="exact"/>
        <w:ind w:left="171"/>
      </w:pPr>
      <w:r>
        <w:rPr>
          <w:color w:val="231F20"/>
        </w:rPr>
        <w:t>2185, 2186, 2189, 2190, 2191, 2193, 2197, 2198, 2199, 2224, 2225,</w:t>
      </w:r>
    </w:p>
    <w:p>
      <w:pPr>
        <w:pStyle w:val="BodyText"/>
        <w:spacing w:line="232" w:lineRule="auto"/>
        <w:ind w:left="171" w:right="409"/>
      </w:pPr>
      <w:r>
        <w:rPr>
          <w:color w:val="231F20"/>
        </w:rPr>
        <w:t>2226 и 3343, а по линији између тачака А32 до А40 сече к.п. бр. 2227, 2229, 2230, 2231, 2232, 3343, 2216, 2214, 2219, 1747, 1741,</w:t>
      </w:r>
    </w:p>
    <w:p>
      <w:pPr>
        <w:pStyle w:val="BodyText"/>
        <w:spacing w:line="232" w:lineRule="auto"/>
        <w:ind w:left="171" w:right="410"/>
      </w:pPr>
      <w:r>
        <w:rPr>
          <w:color w:val="231F20"/>
        </w:rPr>
        <w:t>1739, 1738, 1740, 1749, 1736 и 2895; по линији између тачака А40 до А44 најпре поново сече к.п. бр. 2895 и 1736, а затим и к.п.бр. 1730, 3343, 2258/1, 2259/1, 2262/1, 2263/1, 2264/1, 2265/1, 2266/1,</w:t>
      </w:r>
    </w:p>
    <w:p>
      <w:pPr>
        <w:pStyle w:val="BodyText"/>
        <w:spacing w:line="197" w:lineRule="exact"/>
        <w:ind w:left="171"/>
      </w:pPr>
      <w:r>
        <w:rPr>
          <w:color w:val="231F20"/>
        </w:rPr>
        <w:t>2269/1, 2270/1, 2271/1, 2272/1, 2273, 2274, 2275, 2276, 2277, 2278,</w:t>
      </w:r>
    </w:p>
    <w:p>
      <w:pPr>
        <w:pStyle w:val="BodyText"/>
        <w:spacing w:line="200" w:lineRule="exact"/>
        <w:ind w:left="171"/>
      </w:pPr>
      <w:r>
        <w:rPr>
          <w:color w:val="231F20"/>
        </w:rPr>
        <w:t>2279, 2280, 2281, 2282 и 2284; даље сече к.п. бр. 2284, 2286, 2287,</w:t>
      </w:r>
    </w:p>
    <w:p>
      <w:pPr>
        <w:pStyle w:val="BodyText"/>
        <w:spacing w:line="200" w:lineRule="exact"/>
        <w:ind w:left="171"/>
      </w:pPr>
      <w:r>
        <w:rPr>
          <w:color w:val="231F20"/>
        </w:rPr>
        <w:t>2288, 2289, 2290, 2291, 2292, 2293, 2294, 2296, 2297, 1653, 1654,</w:t>
      </w:r>
    </w:p>
    <w:p>
      <w:pPr>
        <w:pStyle w:val="BodyText"/>
        <w:spacing w:line="200" w:lineRule="exact"/>
        <w:ind w:left="171"/>
      </w:pPr>
      <w:r>
        <w:rPr>
          <w:color w:val="231F20"/>
        </w:rPr>
        <w:t>1655, 1656, 1652, 1651, 1648, 1647, 1646, 1645, 1644, 1643, 1641 и</w:t>
      </w:r>
    </w:p>
    <w:p>
      <w:pPr>
        <w:pStyle w:val="BodyText"/>
        <w:spacing w:line="232" w:lineRule="auto"/>
        <w:ind w:left="171" w:right="410"/>
      </w:pPr>
      <w:r>
        <w:rPr>
          <w:color w:val="231F20"/>
        </w:rPr>
        <w:t>3359/1 (све КО Брадарац) по линији између тачака А44 и А49; од тачке А49 на граници КО Брадарац / КО Кленовник сече к.п. бр. 1854, 1844, 1843, 1842, 1841, 1821, 1822, 1829 и 1828 по линији</w:t>
      </w:r>
    </w:p>
    <w:p>
      <w:pPr>
        <w:pStyle w:val="BodyText"/>
        <w:spacing w:line="232" w:lineRule="auto"/>
        <w:ind w:left="171" w:right="410"/>
      </w:pPr>
      <w:r>
        <w:rPr>
          <w:color w:val="231F20"/>
        </w:rPr>
        <w:t>између тачака А49 и А50; у тачки А50 мења правац и по спољњој је граници к.п. бр. 1828, 1829, 1830 и 1831 (све КО Кленовник) до тачке А51 на граници КО Брадарац / КО Кленовник, даље по тој граници је до међне тачке на граници КО Дрмно / КО Брадарац</w:t>
      </w:r>
    </w:p>
    <w:p>
      <w:pPr>
        <w:pStyle w:val="BodyText"/>
        <w:spacing w:line="232" w:lineRule="auto"/>
        <w:ind w:left="171" w:right="410"/>
      </w:pPr>
      <w:r>
        <w:rPr>
          <w:color w:val="231F20"/>
        </w:rPr>
        <w:t>/ КО Кленовник (А52); по спољњој граници к.п. бр. 1862, 1861, 1856/1, 1855, 2900, 1760, 1759, 2899, 1683, 1682, 1678, 1673,  1671,</w:t>
      </w:r>
    </w:p>
    <w:p>
      <w:pPr>
        <w:pStyle w:val="BodyText"/>
        <w:spacing w:line="232" w:lineRule="auto"/>
        <w:ind w:left="171" w:right="410"/>
      </w:pPr>
      <w:r>
        <w:rPr>
          <w:color w:val="231F20"/>
        </w:rPr>
        <w:t>1672, 1304 и 1305 до </w:t>
      </w:r>
      <w:r>
        <w:rPr>
          <w:color w:val="231F20"/>
          <w:spacing w:val="-3"/>
        </w:rPr>
        <w:t>тачке </w:t>
      </w:r>
      <w:r>
        <w:rPr>
          <w:color w:val="231F20"/>
        </w:rPr>
        <w:t>А54 у којој мења правац и сече к.п. бр. 1321 између тачака А54 и А55, а затим је по спољњој граници к.п. бр. 1337 и 1336 до </w:t>
      </w:r>
      <w:r>
        <w:rPr>
          <w:color w:val="231F20"/>
          <w:spacing w:val="-3"/>
        </w:rPr>
        <w:t>тачке </w:t>
      </w:r>
      <w:r>
        <w:rPr>
          <w:color w:val="231F20"/>
        </w:rPr>
        <w:t>А56; сече к.п. бр. 1321 између тачака А56 и А57; по спољњој је граници к.п. бр. 1341 и 1343, а сече к.п. бр. 1396 између тачака А58 и А59; даље је по спољњој граници к.п. бр. 821/8 и к.п. бр. 842 </w:t>
      </w:r>
      <w:r>
        <w:rPr>
          <w:color w:val="231F20"/>
          <w:spacing w:val="-3"/>
        </w:rPr>
        <w:t>коју </w:t>
      </w:r>
      <w:r>
        <w:rPr>
          <w:color w:val="231F20"/>
        </w:rPr>
        <w:t>даље сече између тачака А60 и А61;  у</w:t>
      </w:r>
    </w:p>
    <w:p>
      <w:pPr>
        <w:spacing w:after="0" w:line="232" w:lineRule="auto"/>
        <w:sectPr>
          <w:pgSz w:w="12480" w:h="15690"/>
          <w:pgMar w:top="120" w:bottom="280" w:left="680" w:right="720"/>
          <w:cols w:num="2" w:equalWidth="0">
            <w:col w:w="5315" w:space="71"/>
            <w:col w:w="5694"/>
          </w:cols>
        </w:sectPr>
      </w:pPr>
    </w:p>
    <w:p>
      <w:pPr>
        <w:pStyle w:val="BodyText"/>
        <w:spacing w:line="232" w:lineRule="auto" w:before="73"/>
        <w:ind w:left="453" w:right="1"/>
      </w:pPr>
      <w:r>
        <w:rPr/>
        <w:pict>
          <v:line style="position:absolute;mso-position-horizontal-relative:page;mso-position-vertical-relative:page;z-index:3664" from="318.897614pt,11.942451pt" to="318.897614pt,748.950451pt" stroked="true" strokeweight=".6pt" strokecolor="#231f20">
            <v:stroke dashstyle="solid"/>
            <w10:wrap type="none"/>
          </v:line>
        </w:pict>
      </w:r>
      <w:r>
        <w:rPr>
          <w:color w:val="231F20"/>
        </w:rPr>
        <w:t>тачки А61 мења правац и по спољњој је граници к.п. бр. 821/1 до </w:t>
      </w:r>
      <w:r>
        <w:rPr>
          <w:color w:val="231F20"/>
          <w:spacing w:val="-3"/>
        </w:rPr>
        <w:t>тачке </w:t>
      </w:r>
      <w:r>
        <w:rPr>
          <w:color w:val="231F20"/>
        </w:rPr>
        <w:t>А62; сече к.п. бр. 789 између тачака А62 и А63, а по спољ- њој граници к.п. бр. 800, 799/2, 798, 797, 794, 757/1 и 496 стиже у тачку</w:t>
      </w:r>
      <w:r>
        <w:rPr>
          <w:color w:val="231F20"/>
          <w:spacing w:val="-7"/>
        </w:rPr>
        <w:t> </w:t>
      </w:r>
      <w:r>
        <w:rPr>
          <w:color w:val="231F20"/>
        </w:rPr>
        <w:t>А64,</w:t>
      </w:r>
      <w:r>
        <w:rPr>
          <w:color w:val="231F20"/>
          <w:spacing w:val="-7"/>
        </w:rPr>
        <w:t> </w:t>
      </w:r>
      <w:r>
        <w:rPr>
          <w:color w:val="231F20"/>
        </w:rPr>
        <w:t>сече</w:t>
      </w:r>
      <w:r>
        <w:rPr>
          <w:color w:val="231F20"/>
          <w:spacing w:val="-7"/>
        </w:rPr>
        <w:t> </w:t>
      </w:r>
      <w:r>
        <w:rPr>
          <w:color w:val="231F20"/>
        </w:rPr>
        <w:t>к.п.</w:t>
      </w:r>
      <w:r>
        <w:rPr>
          <w:color w:val="231F20"/>
          <w:spacing w:val="-7"/>
        </w:rPr>
        <w:t> </w:t>
      </w:r>
      <w:r>
        <w:rPr>
          <w:color w:val="231F20"/>
        </w:rPr>
        <w:t>бр.</w:t>
      </w:r>
      <w:r>
        <w:rPr>
          <w:color w:val="231F20"/>
          <w:spacing w:val="-7"/>
        </w:rPr>
        <w:t> </w:t>
      </w:r>
      <w:r>
        <w:rPr>
          <w:color w:val="231F20"/>
        </w:rPr>
        <w:t>496</w:t>
      </w:r>
      <w:r>
        <w:rPr>
          <w:color w:val="231F20"/>
          <w:spacing w:val="-7"/>
        </w:rPr>
        <w:t> </w:t>
      </w:r>
      <w:r>
        <w:rPr>
          <w:color w:val="231F20"/>
        </w:rPr>
        <w:t>између</w:t>
      </w:r>
      <w:r>
        <w:rPr>
          <w:color w:val="231F20"/>
          <w:spacing w:val="-7"/>
        </w:rPr>
        <w:t> </w:t>
      </w:r>
      <w:r>
        <w:rPr>
          <w:color w:val="231F20"/>
        </w:rPr>
        <w:t>тачака</w:t>
      </w:r>
      <w:r>
        <w:rPr>
          <w:color w:val="231F20"/>
          <w:spacing w:val="-7"/>
        </w:rPr>
        <w:t> </w:t>
      </w:r>
      <w:r>
        <w:rPr>
          <w:color w:val="231F20"/>
        </w:rPr>
        <w:t>А64</w:t>
      </w:r>
      <w:r>
        <w:rPr>
          <w:color w:val="231F20"/>
          <w:spacing w:val="-7"/>
        </w:rPr>
        <w:t> </w:t>
      </w:r>
      <w:r>
        <w:rPr>
          <w:color w:val="231F20"/>
        </w:rPr>
        <w:t>и</w:t>
      </w:r>
      <w:r>
        <w:rPr>
          <w:color w:val="231F20"/>
          <w:spacing w:val="-7"/>
        </w:rPr>
        <w:t> </w:t>
      </w:r>
      <w:r>
        <w:rPr>
          <w:color w:val="231F20"/>
        </w:rPr>
        <w:t>А65</w:t>
      </w:r>
      <w:r>
        <w:rPr>
          <w:color w:val="231F20"/>
          <w:spacing w:val="-7"/>
        </w:rPr>
        <w:t> </w:t>
      </w:r>
      <w:r>
        <w:rPr>
          <w:color w:val="231F20"/>
        </w:rPr>
        <w:t>и</w:t>
      </w:r>
      <w:r>
        <w:rPr>
          <w:color w:val="231F20"/>
          <w:spacing w:val="-7"/>
        </w:rPr>
        <w:t> </w:t>
      </w:r>
      <w:r>
        <w:rPr>
          <w:color w:val="231F20"/>
        </w:rPr>
        <w:t>по</w:t>
      </w:r>
      <w:r>
        <w:rPr>
          <w:color w:val="231F20"/>
          <w:spacing w:val="-7"/>
        </w:rPr>
        <w:t> </w:t>
      </w:r>
      <w:r>
        <w:rPr>
          <w:color w:val="231F20"/>
        </w:rPr>
        <w:t>спољњој је граници к.п. бр. 98 до </w:t>
      </w:r>
      <w:r>
        <w:rPr>
          <w:color w:val="231F20"/>
          <w:spacing w:val="-3"/>
        </w:rPr>
        <w:t>тачке </w:t>
      </w:r>
      <w:r>
        <w:rPr>
          <w:color w:val="231F20"/>
        </w:rPr>
        <w:t>А66, сече </w:t>
      </w:r>
      <w:r>
        <w:rPr>
          <w:color w:val="231F20"/>
          <w:spacing w:val="-3"/>
        </w:rPr>
        <w:t>ову </w:t>
      </w:r>
      <w:r>
        <w:rPr>
          <w:color w:val="231F20"/>
        </w:rPr>
        <w:t>к.п. и к.п. бр. 97, 96, 95</w:t>
      </w:r>
      <w:r>
        <w:rPr>
          <w:color w:val="231F20"/>
          <w:spacing w:val="-4"/>
        </w:rPr>
        <w:t> </w:t>
      </w:r>
      <w:r>
        <w:rPr>
          <w:color w:val="231F20"/>
        </w:rPr>
        <w:t>и</w:t>
      </w:r>
      <w:r>
        <w:rPr>
          <w:color w:val="231F20"/>
          <w:spacing w:val="-4"/>
        </w:rPr>
        <w:t> </w:t>
      </w:r>
      <w:r>
        <w:rPr>
          <w:color w:val="231F20"/>
        </w:rPr>
        <w:t>94</w:t>
      </w:r>
      <w:r>
        <w:rPr>
          <w:color w:val="231F20"/>
          <w:spacing w:val="-4"/>
        </w:rPr>
        <w:t> </w:t>
      </w:r>
      <w:r>
        <w:rPr>
          <w:color w:val="231F20"/>
        </w:rPr>
        <w:t>по</w:t>
      </w:r>
      <w:r>
        <w:rPr>
          <w:color w:val="231F20"/>
          <w:spacing w:val="-4"/>
        </w:rPr>
        <w:t> </w:t>
      </w:r>
      <w:r>
        <w:rPr>
          <w:color w:val="231F20"/>
        </w:rPr>
        <w:t>линији</w:t>
      </w:r>
      <w:r>
        <w:rPr>
          <w:color w:val="231F20"/>
          <w:spacing w:val="-4"/>
        </w:rPr>
        <w:t> </w:t>
      </w:r>
      <w:r>
        <w:rPr>
          <w:color w:val="231F20"/>
        </w:rPr>
        <w:t>између</w:t>
      </w:r>
      <w:r>
        <w:rPr>
          <w:color w:val="231F20"/>
          <w:spacing w:val="-4"/>
        </w:rPr>
        <w:t> </w:t>
      </w:r>
      <w:r>
        <w:rPr>
          <w:color w:val="231F20"/>
        </w:rPr>
        <w:t>тачака</w:t>
      </w:r>
      <w:r>
        <w:rPr>
          <w:color w:val="231F20"/>
          <w:spacing w:val="-4"/>
        </w:rPr>
        <w:t> </w:t>
      </w:r>
      <w:r>
        <w:rPr>
          <w:color w:val="231F20"/>
        </w:rPr>
        <w:t>А66</w:t>
      </w:r>
      <w:r>
        <w:rPr>
          <w:color w:val="231F20"/>
          <w:spacing w:val="-4"/>
        </w:rPr>
        <w:t> </w:t>
      </w:r>
      <w:r>
        <w:rPr>
          <w:color w:val="231F20"/>
        </w:rPr>
        <w:t>и</w:t>
      </w:r>
      <w:r>
        <w:rPr>
          <w:color w:val="231F20"/>
          <w:spacing w:val="-4"/>
        </w:rPr>
        <w:t> </w:t>
      </w:r>
      <w:r>
        <w:rPr>
          <w:color w:val="231F20"/>
        </w:rPr>
        <w:t>А67;</w:t>
      </w:r>
      <w:r>
        <w:rPr>
          <w:color w:val="231F20"/>
          <w:spacing w:val="-4"/>
        </w:rPr>
        <w:t> </w:t>
      </w:r>
      <w:r>
        <w:rPr>
          <w:color w:val="231F20"/>
        </w:rPr>
        <w:t>даље</w:t>
      </w:r>
      <w:r>
        <w:rPr>
          <w:color w:val="231F20"/>
          <w:spacing w:val="-4"/>
        </w:rPr>
        <w:t> </w:t>
      </w:r>
      <w:r>
        <w:rPr>
          <w:color w:val="231F20"/>
        </w:rPr>
        <w:t>сече</w:t>
      </w:r>
      <w:r>
        <w:rPr>
          <w:color w:val="231F20"/>
          <w:spacing w:val="-4"/>
        </w:rPr>
        <w:t> </w:t>
      </w:r>
      <w:r>
        <w:rPr>
          <w:color w:val="231F20"/>
        </w:rPr>
        <w:t>к.п.</w:t>
      </w:r>
      <w:r>
        <w:rPr>
          <w:color w:val="231F20"/>
          <w:spacing w:val="-4"/>
        </w:rPr>
        <w:t> </w:t>
      </w:r>
      <w:r>
        <w:rPr>
          <w:color w:val="231F20"/>
        </w:rPr>
        <w:t>бр.</w:t>
      </w:r>
      <w:r>
        <w:rPr>
          <w:color w:val="231F20"/>
          <w:spacing w:val="-4"/>
        </w:rPr>
        <w:t> </w:t>
      </w:r>
      <w:r>
        <w:rPr>
          <w:color w:val="231F20"/>
        </w:rPr>
        <w:t>93</w:t>
      </w:r>
      <w:r>
        <w:rPr>
          <w:color w:val="231F20"/>
          <w:spacing w:val="-4"/>
        </w:rPr>
        <w:t> </w:t>
      </w:r>
      <w:r>
        <w:rPr>
          <w:color w:val="231F20"/>
        </w:rPr>
        <w:t>и 92 (све </w:t>
      </w:r>
      <w:r>
        <w:rPr>
          <w:color w:val="231F20"/>
          <w:spacing w:val="-3"/>
        </w:rPr>
        <w:t>КО </w:t>
      </w:r>
      <w:r>
        <w:rPr>
          <w:color w:val="231F20"/>
        </w:rPr>
        <w:t>Дрмно) по линији до почетне</w:t>
      </w:r>
      <w:r>
        <w:rPr>
          <w:color w:val="231F20"/>
          <w:spacing w:val="-5"/>
        </w:rPr>
        <w:t> </w:t>
      </w:r>
      <w:r>
        <w:rPr>
          <w:color w:val="231F20"/>
          <w:spacing w:val="-2"/>
        </w:rPr>
        <w:t>тачке.</w:t>
      </w:r>
    </w:p>
    <w:p>
      <w:pPr>
        <w:pStyle w:val="BodyText"/>
        <w:spacing w:line="198" w:lineRule="exact"/>
        <w:ind w:left="850"/>
        <w:jc w:val="left"/>
      </w:pPr>
      <w:r>
        <w:rPr>
          <w:color w:val="231F20"/>
        </w:rPr>
        <w:t>Преостале површине у границама експлоатационог поља</w:t>
      </w:r>
    </w:p>
    <w:p>
      <w:pPr>
        <w:pStyle w:val="BodyText"/>
        <w:spacing w:line="232" w:lineRule="auto" w:before="2"/>
        <w:ind w:left="453"/>
      </w:pPr>
      <w:r>
        <w:rPr>
          <w:color w:val="231F20"/>
        </w:rPr>
        <w:t>„Дрмно” </w:t>
      </w:r>
      <w:r>
        <w:rPr>
          <w:color w:val="231F20"/>
          <w:spacing w:val="-3"/>
        </w:rPr>
        <w:t>(око </w:t>
      </w:r>
      <w:r>
        <w:rPr>
          <w:color w:val="231F20"/>
        </w:rPr>
        <w:t>810 ha) резервисане су за ширење активне зоне </w:t>
      </w:r>
      <w:r>
        <w:rPr>
          <w:color w:val="231F20"/>
          <w:spacing w:val="-3"/>
        </w:rPr>
        <w:t>копа </w:t>
      </w:r>
      <w:r>
        <w:rPr>
          <w:color w:val="231F20"/>
        </w:rPr>
        <w:t>после</w:t>
      </w:r>
      <w:r>
        <w:rPr>
          <w:color w:val="231F20"/>
          <w:spacing w:val="-7"/>
        </w:rPr>
        <w:t> </w:t>
      </w:r>
      <w:r>
        <w:rPr>
          <w:color w:val="231F20"/>
        </w:rPr>
        <w:t>2022.</w:t>
      </w:r>
      <w:r>
        <w:rPr>
          <w:color w:val="231F20"/>
          <w:spacing w:val="-7"/>
        </w:rPr>
        <w:t> </w:t>
      </w:r>
      <w:r>
        <w:rPr>
          <w:color w:val="231F20"/>
        </w:rPr>
        <w:t>године.</w:t>
      </w:r>
      <w:r>
        <w:rPr>
          <w:color w:val="231F20"/>
          <w:spacing w:val="-7"/>
        </w:rPr>
        <w:t> </w:t>
      </w:r>
      <w:r>
        <w:rPr>
          <w:color w:val="231F20"/>
        </w:rPr>
        <w:t>Овим</w:t>
      </w:r>
      <w:r>
        <w:rPr>
          <w:color w:val="231F20"/>
          <w:spacing w:val="-7"/>
        </w:rPr>
        <w:t> </w:t>
      </w:r>
      <w:r>
        <w:rPr>
          <w:color w:val="231F20"/>
        </w:rPr>
        <w:t>површинама</w:t>
      </w:r>
      <w:r>
        <w:rPr>
          <w:color w:val="231F20"/>
          <w:spacing w:val="-7"/>
        </w:rPr>
        <w:t> </w:t>
      </w:r>
      <w:r>
        <w:rPr>
          <w:color w:val="231F20"/>
        </w:rPr>
        <w:t>придружене</w:t>
      </w:r>
      <w:r>
        <w:rPr>
          <w:color w:val="231F20"/>
          <w:spacing w:val="-7"/>
        </w:rPr>
        <w:t> </w:t>
      </w:r>
      <w:r>
        <w:rPr>
          <w:color w:val="231F20"/>
        </w:rPr>
        <w:t>су</w:t>
      </w:r>
      <w:r>
        <w:rPr>
          <w:color w:val="231F20"/>
          <w:spacing w:val="-7"/>
        </w:rPr>
        <w:t> </w:t>
      </w:r>
      <w:r>
        <w:rPr>
          <w:color w:val="231F20"/>
        </w:rPr>
        <w:t>површине</w:t>
      </w:r>
      <w:r>
        <w:rPr>
          <w:color w:val="231F20"/>
          <w:spacing w:val="-7"/>
        </w:rPr>
        <w:t> </w:t>
      </w:r>
      <w:r>
        <w:rPr>
          <w:color w:val="231F20"/>
        </w:rPr>
        <w:t>у приобаљу</w:t>
      </w:r>
      <w:r>
        <w:rPr>
          <w:color w:val="231F20"/>
          <w:spacing w:val="-8"/>
        </w:rPr>
        <w:t> </w:t>
      </w:r>
      <w:r>
        <w:rPr>
          <w:color w:val="231F20"/>
        </w:rPr>
        <w:t>Дунава,</w:t>
      </w:r>
      <w:r>
        <w:rPr>
          <w:color w:val="231F20"/>
          <w:spacing w:val="-8"/>
        </w:rPr>
        <w:t> </w:t>
      </w:r>
      <w:r>
        <w:rPr>
          <w:color w:val="231F20"/>
        </w:rPr>
        <w:t>с</w:t>
      </w:r>
      <w:r>
        <w:rPr>
          <w:color w:val="231F20"/>
          <w:spacing w:val="-8"/>
        </w:rPr>
        <w:t> </w:t>
      </w:r>
      <w:r>
        <w:rPr>
          <w:color w:val="231F20"/>
        </w:rPr>
        <w:t>обзиром</w:t>
      </w:r>
      <w:r>
        <w:rPr>
          <w:color w:val="231F20"/>
          <w:spacing w:val="-8"/>
        </w:rPr>
        <w:t> </w:t>
      </w:r>
      <w:r>
        <w:rPr>
          <w:color w:val="231F20"/>
        </w:rPr>
        <w:t>на</w:t>
      </w:r>
      <w:r>
        <w:rPr>
          <w:color w:val="231F20"/>
          <w:spacing w:val="-8"/>
        </w:rPr>
        <w:t> </w:t>
      </w:r>
      <w:r>
        <w:rPr>
          <w:color w:val="231F20"/>
        </w:rPr>
        <w:t>неопходност</w:t>
      </w:r>
      <w:r>
        <w:rPr>
          <w:color w:val="231F20"/>
          <w:spacing w:val="-8"/>
        </w:rPr>
        <w:t> </w:t>
      </w:r>
      <w:r>
        <w:rPr>
          <w:color w:val="231F20"/>
        </w:rPr>
        <w:t>истовремене</w:t>
      </w:r>
      <w:r>
        <w:rPr>
          <w:color w:val="231F20"/>
          <w:spacing w:val="-8"/>
        </w:rPr>
        <w:t> </w:t>
      </w:r>
      <w:r>
        <w:rPr>
          <w:color w:val="231F20"/>
        </w:rPr>
        <w:t>урбани- стичко-планске разраде, урбанистичке регулације и усклађивања урбанистичких и других услова изградње рударских, водних и са- обраћајних</w:t>
      </w:r>
      <w:r>
        <w:rPr>
          <w:color w:val="231F20"/>
          <w:spacing w:val="-2"/>
        </w:rPr>
        <w:t> </w:t>
      </w:r>
      <w:r>
        <w:rPr>
          <w:color w:val="231F20"/>
        </w:rPr>
        <w:t>објеката.</w:t>
      </w:r>
    </w:p>
    <w:p>
      <w:pPr>
        <w:pStyle w:val="BodyText"/>
        <w:spacing w:line="232" w:lineRule="auto"/>
        <w:ind w:left="454" w:firstLine="396"/>
      </w:pPr>
      <w:r>
        <w:rPr>
          <w:color w:val="231F20"/>
        </w:rPr>
        <w:t>Ове површине су у оквиру подручја КО Костолац село и то: целе к п. бр. 730, 731, 732, и 779, као и обухваћени део катастар- ских парцела к.п.бр. 780, 783, 775, 773, 771/4, 729, 728, 727, 726,</w:t>
      </w:r>
    </w:p>
    <w:p>
      <w:pPr>
        <w:pStyle w:val="BodyText"/>
        <w:spacing w:line="232" w:lineRule="auto"/>
        <w:ind w:left="454" w:right="1" w:hanging="1"/>
      </w:pPr>
      <w:r>
        <w:rPr>
          <w:color w:val="231F20"/>
        </w:rPr>
        <w:t>724 и 723. Задржавају постојећу намену у планском периоду, уз услов одржавања функције, реконструкцију и евентуалну доград- њу каналске мреже у систему заштите површинског копа од по- вршинских и подземних вода и заштите приобаља од успора вода Дунава.</w:t>
      </w:r>
    </w:p>
    <w:p>
      <w:pPr>
        <w:pStyle w:val="ListParagraph"/>
        <w:numPr>
          <w:ilvl w:val="2"/>
          <w:numId w:val="52"/>
        </w:numPr>
        <w:tabs>
          <w:tab w:pos="1128" w:val="left" w:leader="none"/>
        </w:tabs>
        <w:spacing w:line="240" w:lineRule="auto" w:before="163" w:after="0"/>
        <w:ind w:left="1127" w:right="0" w:hanging="315"/>
        <w:jc w:val="left"/>
        <w:rPr>
          <w:i/>
          <w:sz w:val="18"/>
        </w:rPr>
      </w:pPr>
      <w:r>
        <w:rPr>
          <w:i/>
          <w:color w:val="231F20"/>
          <w:sz w:val="18"/>
        </w:rPr>
        <w:t>Планирана намена простора и подела на </w:t>
      </w:r>
      <w:r>
        <w:rPr>
          <w:i/>
          <w:color w:val="231F20"/>
          <w:spacing w:val="-3"/>
          <w:sz w:val="18"/>
        </w:rPr>
        <w:t>уже</w:t>
      </w:r>
      <w:r>
        <w:rPr>
          <w:i/>
          <w:color w:val="231F20"/>
          <w:spacing w:val="-9"/>
          <w:sz w:val="18"/>
        </w:rPr>
        <w:t> </w:t>
      </w:r>
      <w:r>
        <w:rPr>
          <w:i/>
          <w:color w:val="231F20"/>
          <w:sz w:val="18"/>
        </w:rPr>
        <w:t>целине</w:t>
      </w:r>
    </w:p>
    <w:p>
      <w:pPr>
        <w:pStyle w:val="BodyText"/>
        <w:spacing w:before="4"/>
        <w:ind w:left="0"/>
        <w:jc w:val="left"/>
        <w:rPr>
          <w:i/>
          <w:sz w:val="17"/>
        </w:rPr>
      </w:pPr>
    </w:p>
    <w:p>
      <w:pPr>
        <w:pStyle w:val="BodyText"/>
        <w:spacing w:line="232" w:lineRule="auto"/>
        <w:ind w:left="454" w:right="1" w:firstLine="396"/>
      </w:pPr>
      <w:r>
        <w:rPr>
          <w:color w:val="231F20"/>
        </w:rPr>
        <w:t>Основну намену у оквиру просторне целине, чини зона ру- дарских активности, односно, производња угља на површинском </w:t>
      </w:r>
      <w:r>
        <w:rPr>
          <w:color w:val="231F20"/>
          <w:spacing w:val="-3"/>
        </w:rPr>
        <w:t>копу </w:t>
      </w:r>
      <w:r>
        <w:rPr>
          <w:color w:val="231F20"/>
        </w:rPr>
        <w:t>и друге намене у оквиру </w:t>
      </w:r>
      <w:r>
        <w:rPr>
          <w:color w:val="231F20"/>
          <w:spacing w:val="-3"/>
        </w:rPr>
        <w:t>рударства </w:t>
      </w:r>
      <w:r>
        <w:rPr>
          <w:color w:val="231F20"/>
        </w:rPr>
        <w:t>и енергетике, што заједно чини експлоатационо подручје.</w:t>
      </w:r>
    </w:p>
    <w:p>
      <w:pPr>
        <w:pStyle w:val="BodyText"/>
        <w:spacing w:line="232" w:lineRule="auto"/>
        <w:ind w:left="454" w:right="1" w:firstLine="396"/>
      </w:pPr>
      <w:r>
        <w:rPr>
          <w:color w:val="231F20"/>
        </w:rPr>
        <w:t>Издвојене</w:t>
      </w:r>
      <w:r>
        <w:rPr>
          <w:color w:val="231F20"/>
          <w:spacing w:val="-10"/>
        </w:rPr>
        <w:t> </w:t>
      </w:r>
      <w:r>
        <w:rPr>
          <w:color w:val="231F20"/>
        </w:rPr>
        <w:t>су</w:t>
      </w:r>
      <w:r>
        <w:rPr>
          <w:color w:val="231F20"/>
          <w:spacing w:val="-10"/>
        </w:rPr>
        <w:t> </w:t>
      </w:r>
      <w:r>
        <w:rPr>
          <w:color w:val="231F20"/>
        </w:rPr>
        <w:t>следеће</w:t>
      </w:r>
      <w:r>
        <w:rPr>
          <w:color w:val="231F20"/>
          <w:spacing w:val="-10"/>
        </w:rPr>
        <w:t> </w:t>
      </w:r>
      <w:r>
        <w:rPr>
          <w:color w:val="231F20"/>
        </w:rPr>
        <w:t>површине</w:t>
      </w:r>
      <w:r>
        <w:rPr>
          <w:color w:val="231F20"/>
          <w:spacing w:val="-10"/>
        </w:rPr>
        <w:t> </w:t>
      </w:r>
      <w:r>
        <w:rPr>
          <w:color w:val="231F20"/>
        </w:rPr>
        <w:t>намењене</w:t>
      </w:r>
      <w:r>
        <w:rPr>
          <w:color w:val="231F20"/>
          <w:spacing w:val="-10"/>
        </w:rPr>
        <w:t> </w:t>
      </w:r>
      <w:r>
        <w:rPr>
          <w:color w:val="231F20"/>
        </w:rPr>
        <w:t>рударским</w:t>
      </w:r>
      <w:r>
        <w:rPr>
          <w:color w:val="231F20"/>
          <w:spacing w:val="-10"/>
        </w:rPr>
        <w:t> </w:t>
      </w:r>
      <w:r>
        <w:rPr>
          <w:color w:val="231F20"/>
        </w:rPr>
        <w:t>радови- ма и</w:t>
      </w:r>
      <w:r>
        <w:rPr>
          <w:color w:val="231F20"/>
          <w:spacing w:val="-2"/>
        </w:rPr>
        <w:t> </w:t>
      </w:r>
      <w:r>
        <w:rPr>
          <w:color w:val="231F20"/>
        </w:rPr>
        <w:t>објектима:</w:t>
      </w:r>
    </w:p>
    <w:p>
      <w:pPr>
        <w:pStyle w:val="BodyText"/>
        <w:spacing w:line="199" w:lineRule="exact"/>
        <w:ind w:left="851"/>
        <w:jc w:val="left"/>
      </w:pPr>
      <w:r>
        <w:rPr>
          <w:color w:val="231F20"/>
          <w:w w:val="66"/>
        </w:rPr>
        <w:t> </w:t>
      </w:r>
      <w:r>
        <w:rPr>
          <w:color w:val="231F20"/>
        </w:rPr>
        <w:t>– скидање откривке и откоп угља;</w:t>
      </w:r>
    </w:p>
    <w:p>
      <w:pPr>
        <w:pStyle w:val="BodyText"/>
        <w:spacing w:line="201" w:lineRule="exact"/>
        <w:ind w:left="851"/>
        <w:jc w:val="left"/>
      </w:pPr>
      <w:r>
        <w:rPr>
          <w:color w:val="231F20"/>
          <w:w w:val="66"/>
        </w:rPr>
        <w:t> </w:t>
      </w:r>
      <w:r>
        <w:rPr>
          <w:color w:val="231F20"/>
        </w:rPr>
        <w:t>– унутрашње одлагалиште;</w:t>
      </w:r>
    </w:p>
    <w:p>
      <w:pPr>
        <w:pStyle w:val="BodyText"/>
        <w:spacing w:line="201" w:lineRule="exact"/>
        <w:ind w:left="851"/>
        <w:jc w:val="left"/>
      </w:pPr>
      <w:r>
        <w:rPr>
          <w:color w:val="231F20"/>
          <w:w w:val="66"/>
        </w:rPr>
        <w:t> </w:t>
      </w:r>
      <w:r>
        <w:rPr>
          <w:color w:val="231F20"/>
        </w:rPr>
        <w:t>– рекултивација унутрашњег одлагалишта;</w:t>
      </w:r>
    </w:p>
    <w:p>
      <w:pPr>
        <w:pStyle w:val="BodyText"/>
        <w:spacing w:line="232" w:lineRule="auto" w:before="2"/>
        <w:ind w:left="454" w:right="1" w:firstLine="396"/>
      </w:pPr>
      <w:r>
        <w:rPr>
          <w:color w:val="231F20"/>
          <w:w w:val="66"/>
        </w:rPr>
        <w:t> </w:t>
      </w:r>
      <w:r>
        <w:rPr>
          <w:color w:val="231F20"/>
        </w:rPr>
        <w:t>– рударски и други радови у </w:t>
      </w:r>
      <w:r>
        <w:rPr>
          <w:color w:val="231F20"/>
          <w:spacing w:val="-3"/>
        </w:rPr>
        <w:t>технолошком </w:t>
      </w:r>
      <w:r>
        <w:rPr>
          <w:color w:val="231F20"/>
        </w:rPr>
        <w:t>процесу и објекти техничке инфраструктуре;</w:t>
      </w:r>
    </w:p>
    <w:p>
      <w:pPr>
        <w:pStyle w:val="BodyText"/>
        <w:spacing w:line="199" w:lineRule="exact"/>
        <w:ind w:left="851"/>
        <w:jc w:val="left"/>
      </w:pPr>
      <w:r>
        <w:rPr>
          <w:color w:val="231F20"/>
          <w:w w:val="66"/>
        </w:rPr>
        <w:t> </w:t>
      </w:r>
      <w:r>
        <w:rPr>
          <w:color w:val="231F20"/>
        </w:rPr>
        <w:t>– заштита копа од површинских и подземних вода;</w:t>
      </w:r>
    </w:p>
    <w:p>
      <w:pPr>
        <w:pStyle w:val="BodyText"/>
        <w:spacing w:line="201" w:lineRule="exact"/>
        <w:ind w:left="851"/>
        <w:jc w:val="left"/>
      </w:pPr>
      <w:r>
        <w:rPr>
          <w:color w:val="231F20"/>
          <w:w w:val="66"/>
        </w:rPr>
        <w:t> </w:t>
      </w:r>
      <w:r>
        <w:rPr>
          <w:color w:val="231F20"/>
        </w:rPr>
        <w:t>–</w:t>
      </w:r>
      <w:r>
        <w:rPr>
          <w:color w:val="231F20"/>
          <w:spacing w:val="-12"/>
        </w:rPr>
        <w:t> </w:t>
      </w:r>
      <w:r>
        <w:rPr>
          <w:color w:val="231F20"/>
        </w:rPr>
        <w:t>локације</w:t>
      </w:r>
      <w:r>
        <w:rPr>
          <w:color w:val="231F20"/>
          <w:spacing w:val="-12"/>
        </w:rPr>
        <w:t> </w:t>
      </w:r>
      <w:r>
        <w:rPr>
          <w:color w:val="231F20"/>
        </w:rPr>
        <w:t>пратећих</w:t>
      </w:r>
      <w:r>
        <w:rPr>
          <w:color w:val="231F20"/>
          <w:spacing w:val="-12"/>
        </w:rPr>
        <w:t> </w:t>
      </w:r>
      <w:r>
        <w:rPr>
          <w:color w:val="231F20"/>
        </w:rPr>
        <w:t>објеката</w:t>
      </w:r>
      <w:r>
        <w:rPr>
          <w:color w:val="231F20"/>
          <w:spacing w:val="-12"/>
        </w:rPr>
        <w:t> </w:t>
      </w:r>
      <w:r>
        <w:rPr>
          <w:color w:val="231F20"/>
        </w:rPr>
        <w:t>и</w:t>
      </w:r>
      <w:r>
        <w:rPr>
          <w:color w:val="231F20"/>
          <w:spacing w:val="-12"/>
        </w:rPr>
        <w:t> </w:t>
      </w:r>
      <w:r>
        <w:rPr>
          <w:color w:val="231F20"/>
        </w:rPr>
        <w:t>помоћних</w:t>
      </w:r>
      <w:r>
        <w:rPr>
          <w:color w:val="231F20"/>
          <w:spacing w:val="-12"/>
        </w:rPr>
        <w:t> </w:t>
      </w:r>
      <w:r>
        <w:rPr>
          <w:color w:val="231F20"/>
        </w:rPr>
        <w:t>техничких</w:t>
      </w:r>
      <w:r>
        <w:rPr>
          <w:color w:val="231F20"/>
          <w:spacing w:val="-12"/>
        </w:rPr>
        <w:t> </w:t>
      </w:r>
      <w:r>
        <w:rPr>
          <w:color w:val="231F20"/>
        </w:rPr>
        <w:t>система;</w:t>
      </w:r>
    </w:p>
    <w:p>
      <w:pPr>
        <w:pStyle w:val="BodyText"/>
        <w:spacing w:line="232" w:lineRule="auto" w:before="2"/>
        <w:ind w:left="454" w:firstLine="396"/>
      </w:pPr>
      <w:r>
        <w:rPr>
          <w:color w:val="231F20"/>
          <w:w w:val="66"/>
        </w:rPr>
        <w:t> </w:t>
      </w:r>
      <w:r>
        <w:rPr>
          <w:color w:val="231F20"/>
        </w:rPr>
        <w:t>– електроенергетски објекти – ТС „Рудник 1” (110/6, 2x16 MVA) и (110/6 kV, 1x16 MVA) и коридори далековода напонског нивоа 110 kV (РП „Дрмно” – ТС „Рудник 2”, ТС „Рудник 2” – ТС</w:t>
      </w:r>
    </w:p>
    <w:p>
      <w:pPr>
        <w:pStyle w:val="BodyText"/>
        <w:spacing w:line="232" w:lineRule="auto"/>
        <w:ind w:left="455" w:hanging="1"/>
      </w:pPr>
      <w:r>
        <w:rPr>
          <w:color w:val="231F20"/>
          <w:spacing w:val="-3"/>
        </w:rPr>
        <w:t>„Рудник </w:t>
      </w:r>
      <w:r>
        <w:rPr>
          <w:color w:val="231F20"/>
        </w:rPr>
        <w:t>1”, ТС „Велико Градиште” – ТС </w:t>
      </w:r>
      <w:r>
        <w:rPr>
          <w:color w:val="231F20"/>
          <w:spacing w:val="-3"/>
        </w:rPr>
        <w:t>„Рудник </w:t>
      </w:r>
      <w:r>
        <w:rPr>
          <w:color w:val="231F20"/>
        </w:rPr>
        <w:t>1”), као и ново разводно</w:t>
      </w:r>
      <w:r>
        <w:rPr>
          <w:color w:val="231F20"/>
          <w:spacing w:val="-11"/>
        </w:rPr>
        <w:t> </w:t>
      </w:r>
      <w:r>
        <w:rPr>
          <w:color w:val="231F20"/>
        </w:rPr>
        <w:t>постројење</w:t>
      </w:r>
      <w:r>
        <w:rPr>
          <w:color w:val="231F20"/>
          <w:spacing w:val="-11"/>
        </w:rPr>
        <w:t> </w:t>
      </w:r>
      <w:r>
        <w:rPr>
          <w:color w:val="231F20"/>
        </w:rPr>
        <w:t>ТС</w:t>
      </w:r>
      <w:r>
        <w:rPr>
          <w:color w:val="231F20"/>
          <w:spacing w:val="-11"/>
        </w:rPr>
        <w:t> </w:t>
      </w:r>
      <w:r>
        <w:rPr>
          <w:color w:val="231F20"/>
          <w:spacing w:val="-3"/>
        </w:rPr>
        <w:t>„Рудник</w:t>
      </w:r>
      <w:r>
        <w:rPr>
          <w:color w:val="231F20"/>
          <w:spacing w:val="-11"/>
        </w:rPr>
        <w:t> </w:t>
      </w:r>
      <w:r>
        <w:rPr>
          <w:color w:val="231F20"/>
        </w:rPr>
        <w:t>3”</w:t>
      </w:r>
      <w:r>
        <w:rPr>
          <w:color w:val="231F20"/>
          <w:spacing w:val="-11"/>
        </w:rPr>
        <w:t> </w:t>
      </w:r>
      <w:r>
        <w:rPr>
          <w:color w:val="231F20"/>
        </w:rPr>
        <w:t>и</w:t>
      </w:r>
      <w:r>
        <w:rPr>
          <w:color w:val="231F20"/>
          <w:spacing w:val="-11"/>
        </w:rPr>
        <w:t> </w:t>
      </w:r>
      <w:r>
        <w:rPr>
          <w:color w:val="231F20"/>
        </w:rPr>
        <w:t>мобилне</w:t>
      </w:r>
      <w:r>
        <w:rPr>
          <w:color w:val="231F20"/>
          <w:spacing w:val="-11"/>
        </w:rPr>
        <w:t> </w:t>
      </w:r>
      <w:r>
        <w:rPr>
          <w:color w:val="231F20"/>
        </w:rPr>
        <w:t>трафостанице</w:t>
      </w:r>
      <w:r>
        <w:rPr>
          <w:color w:val="231F20"/>
          <w:spacing w:val="-11"/>
        </w:rPr>
        <w:t> </w:t>
      </w:r>
      <w:r>
        <w:rPr>
          <w:color w:val="231F20"/>
        </w:rPr>
        <w:t>МО</w:t>
      </w:r>
      <w:r>
        <w:rPr>
          <w:color w:val="231F20"/>
          <w:spacing w:val="-11"/>
        </w:rPr>
        <w:t> </w:t>
      </w:r>
      <w:r>
        <w:rPr>
          <w:color w:val="231F20"/>
        </w:rPr>
        <w:t>2 и МО 3 са деловима припадајућих далековода</w:t>
      </w:r>
      <w:r>
        <w:rPr>
          <w:color w:val="231F20"/>
          <w:spacing w:val="-7"/>
        </w:rPr>
        <w:t> </w:t>
      </w:r>
      <w:r>
        <w:rPr>
          <w:color w:val="231F20"/>
        </w:rPr>
        <w:t>и</w:t>
      </w:r>
    </w:p>
    <w:p>
      <w:pPr>
        <w:pStyle w:val="BodyText"/>
        <w:spacing w:line="232" w:lineRule="auto"/>
        <w:ind w:left="455" w:firstLine="396"/>
      </w:pPr>
      <w:r>
        <w:rPr>
          <w:color w:val="231F20"/>
          <w:w w:val="66"/>
        </w:rPr>
        <w:t> </w:t>
      </w:r>
      <w:r>
        <w:rPr>
          <w:color w:val="231F20"/>
        </w:rPr>
        <w:t>– заштитни појас према насељима Дрмно, Кличевац и Бра- дарац.</w:t>
      </w:r>
    </w:p>
    <w:p>
      <w:pPr>
        <w:pStyle w:val="BodyText"/>
        <w:spacing w:line="232" w:lineRule="auto"/>
        <w:ind w:left="455" w:firstLine="396"/>
      </w:pPr>
      <w:r>
        <w:rPr>
          <w:color w:val="231F20"/>
        </w:rPr>
        <w:t>Заштита ПК „Дрмно” </w:t>
      </w:r>
      <w:r>
        <w:rPr>
          <w:color w:val="231F20"/>
          <w:spacing w:val="-3"/>
        </w:rPr>
        <w:t>од </w:t>
      </w:r>
      <w:r>
        <w:rPr>
          <w:color w:val="231F20"/>
        </w:rPr>
        <w:t>површинских и подземних вода предвиђа се као комбинација више метода одводњавања, у зави- сности </w:t>
      </w:r>
      <w:r>
        <w:rPr>
          <w:color w:val="231F20"/>
          <w:spacing w:val="-3"/>
        </w:rPr>
        <w:t>од </w:t>
      </w:r>
      <w:r>
        <w:rPr>
          <w:color w:val="231F20"/>
        </w:rPr>
        <w:t>конкретних структурно-геолошких, хидрогеолошких, техничко-технолошких и других фактора. Предвиђена је заштита активног дела површинског </w:t>
      </w:r>
      <w:r>
        <w:rPr>
          <w:color w:val="231F20"/>
          <w:spacing w:val="-3"/>
        </w:rPr>
        <w:t>копа </w:t>
      </w:r>
      <w:r>
        <w:rPr>
          <w:color w:val="231F20"/>
        </w:rPr>
        <w:t>и унутрашњег одлагалишта </w:t>
      </w:r>
      <w:r>
        <w:rPr>
          <w:color w:val="231F20"/>
          <w:spacing w:val="-3"/>
        </w:rPr>
        <w:t>од </w:t>
      </w:r>
      <w:r>
        <w:rPr>
          <w:color w:val="231F20"/>
        </w:rPr>
        <w:t>подземних вода и то од: прилива подземних вода из алувијалних </w:t>
      </w:r>
      <w:r>
        <w:rPr>
          <w:color w:val="231F20"/>
          <w:spacing w:val="-3"/>
        </w:rPr>
        <w:t>шљункова </w:t>
      </w:r>
      <w:r>
        <w:rPr>
          <w:color w:val="231F20"/>
        </w:rPr>
        <w:t>Млаве и Дунава; подземних вода акумулираних у пе- </w:t>
      </w:r>
      <w:r>
        <w:rPr>
          <w:color w:val="231F20"/>
          <w:spacing w:val="-3"/>
        </w:rPr>
        <w:t>сковитом </w:t>
      </w:r>
      <w:r>
        <w:rPr>
          <w:color w:val="231F20"/>
        </w:rPr>
        <w:t>хидрогеолошком </w:t>
      </w:r>
      <w:r>
        <w:rPr>
          <w:color w:val="231F20"/>
          <w:spacing w:val="-3"/>
        </w:rPr>
        <w:t>колектору </w:t>
      </w:r>
      <w:r>
        <w:rPr>
          <w:color w:val="231F20"/>
        </w:rPr>
        <w:t>у кровини и подини угља; и подземних вода у прашинасто песковитим наслагама </w:t>
      </w:r>
      <w:r>
        <w:rPr>
          <w:color w:val="231F20"/>
          <w:spacing w:val="-3"/>
        </w:rPr>
        <w:t>који </w:t>
      </w:r>
      <w:r>
        <w:rPr>
          <w:color w:val="231F20"/>
        </w:rPr>
        <w:t>се нала- зе у непосредној кровини угља.</w:t>
      </w:r>
    </w:p>
    <w:p>
      <w:pPr>
        <w:pStyle w:val="BodyText"/>
        <w:spacing w:line="232" w:lineRule="auto"/>
        <w:ind w:left="455" w:firstLine="397"/>
      </w:pPr>
      <w:r>
        <w:rPr>
          <w:color w:val="231F20"/>
        </w:rPr>
        <w:t>Основна концепција заштите површинског </w:t>
      </w:r>
      <w:r>
        <w:rPr>
          <w:color w:val="231F20"/>
          <w:spacing w:val="-3"/>
        </w:rPr>
        <w:t>копа </w:t>
      </w:r>
      <w:r>
        <w:rPr>
          <w:color w:val="231F20"/>
        </w:rPr>
        <w:t>„Дрмно” </w:t>
      </w:r>
      <w:r>
        <w:rPr>
          <w:color w:val="231F20"/>
          <w:spacing w:val="-3"/>
        </w:rPr>
        <w:t>од </w:t>
      </w:r>
      <w:r>
        <w:rPr>
          <w:color w:val="231F20"/>
        </w:rPr>
        <w:t>подземних вода састоји се из система дренажних бунара (до краја експлоатационог века на </w:t>
      </w:r>
      <w:r>
        <w:rPr>
          <w:color w:val="231F20"/>
          <w:spacing w:val="-3"/>
        </w:rPr>
        <w:t>копу </w:t>
      </w:r>
      <w:r>
        <w:rPr>
          <w:color w:val="231F20"/>
        </w:rPr>
        <w:t>ће бити изграђено </w:t>
      </w:r>
      <w:r>
        <w:rPr>
          <w:color w:val="231F20"/>
          <w:spacing w:val="-4"/>
        </w:rPr>
        <w:t>око </w:t>
      </w:r>
      <w:r>
        <w:rPr>
          <w:color w:val="231F20"/>
        </w:rPr>
        <w:t>1200 бунара) водонепропусних</w:t>
      </w:r>
      <w:r>
        <w:rPr>
          <w:color w:val="231F20"/>
          <w:spacing w:val="-8"/>
        </w:rPr>
        <w:t> </w:t>
      </w:r>
      <w:r>
        <w:rPr>
          <w:color w:val="231F20"/>
        </w:rPr>
        <w:t>екрана,</w:t>
      </w:r>
      <w:r>
        <w:rPr>
          <w:color w:val="231F20"/>
          <w:spacing w:val="-8"/>
        </w:rPr>
        <w:t> </w:t>
      </w:r>
      <w:r>
        <w:rPr>
          <w:color w:val="231F20"/>
        </w:rPr>
        <w:t>хоризонталних</w:t>
      </w:r>
      <w:r>
        <w:rPr>
          <w:color w:val="231F20"/>
          <w:spacing w:val="-8"/>
        </w:rPr>
        <w:t> </w:t>
      </w:r>
      <w:r>
        <w:rPr>
          <w:color w:val="231F20"/>
        </w:rPr>
        <w:t>бушотина,</w:t>
      </w:r>
      <w:r>
        <w:rPr>
          <w:color w:val="231F20"/>
          <w:spacing w:val="-8"/>
        </w:rPr>
        <w:t> </w:t>
      </w:r>
      <w:r>
        <w:rPr>
          <w:color w:val="231F20"/>
          <w:spacing w:val="-3"/>
        </w:rPr>
        <w:t>игло</w:t>
      </w:r>
      <w:r>
        <w:rPr>
          <w:color w:val="231F20"/>
          <w:spacing w:val="-8"/>
        </w:rPr>
        <w:t> </w:t>
      </w:r>
      <w:r>
        <w:rPr>
          <w:color w:val="231F20"/>
        </w:rPr>
        <w:t>филтера, система етажних и дренажних канала и</w:t>
      </w:r>
      <w:r>
        <w:rPr>
          <w:color w:val="231F20"/>
          <w:spacing w:val="-8"/>
        </w:rPr>
        <w:t> </w:t>
      </w:r>
      <w:r>
        <w:rPr>
          <w:color w:val="231F20"/>
        </w:rPr>
        <w:t>водосабирника.</w:t>
      </w:r>
    </w:p>
    <w:p>
      <w:pPr>
        <w:pStyle w:val="BodyText"/>
        <w:spacing w:line="232" w:lineRule="auto"/>
        <w:ind w:left="454" w:firstLine="397"/>
      </w:pPr>
      <w:r>
        <w:rPr>
          <w:color w:val="231F20"/>
        </w:rPr>
        <w:t>У систему заштите површинског копа „Дрмно” изграђен је водонепропусни екран укупне дужине 2550 m и дубине од 12-30 m, по контури старог унутрашњег одлагалишта према Млави, као и насип за цевовод дуж контуре копа према селу Дрмно, укупне дужине 5300 m.</w:t>
      </w:r>
    </w:p>
    <w:p>
      <w:pPr>
        <w:pStyle w:val="BodyText"/>
        <w:spacing w:line="232" w:lineRule="auto"/>
        <w:ind w:left="455" w:firstLine="396"/>
      </w:pPr>
      <w:r>
        <w:rPr>
          <w:color w:val="231F20"/>
        </w:rPr>
        <w:t>Предвиђена је етапна израда новог водонепропусног екрана до</w:t>
      </w:r>
      <w:r>
        <w:rPr>
          <w:color w:val="231F20"/>
          <w:spacing w:val="-6"/>
        </w:rPr>
        <w:t> </w:t>
      </w:r>
      <w:r>
        <w:rPr>
          <w:color w:val="231F20"/>
        </w:rPr>
        <w:t>2020.</w:t>
      </w:r>
      <w:r>
        <w:rPr>
          <w:color w:val="231F20"/>
          <w:spacing w:val="-6"/>
        </w:rPr>
        <w:t> </w:t>
      </w:r>
      <w:r>
        <w:rPr>
          <w:color w:val="231F20"/>
        </w:rPr>
        <w:t>године,</w:t>
      </w:r>
      <w:r>
        <w:rPr>
          <w:color w:val="231F20"/>
          <w:spacing w:val="-6"/>
        </w:rPr>
        <w:t> </w:t>
      </w:r>
      <w:r>
        <w:rPr>
          <w:color w:val="231F20"/>
        </w:rPr>
        <w:t>с</w:t>
      </w:r>
      <w:r>
        <w:rPr>
          <w:color w:val="231F20"/>
          <w:spacing w:val="-6"/>
        </w:rPr>
        <w:t> </w:t>
      </w:r>
      <w:r>
        <w:rPr>
          <w:color w:val="231F20"/>
        </w:rPr>
        <w:t>тим</w:t>
      </w:r>
      <w:r>
        <w:rPr>
          <w:color w:val="231F20"/>
          <w:spacing w:val="-6"/>
        </w:rPr>
        <w:t> </w:t>
      </w:r>
      <w:r>
        <w:rPr>
          <w:color w:val="231F20"/>
        </w:rPr>
        <w:t>што</w:t>
      </w:r>
      <w:r>
        <w:rPr>
          <w:color w:val="231F20"/>
          <w:spacing w:val="-6"/>
        </w:rPr>
        <w:t> </w:t>
      </w:r>
      <w:r>
        <w:rPr>
          <w:color w:val="231F20"/>
        </w:rPr>
        <w:t>се</w:t>
      </w:r>
      <w:r>
        <w:rPr>
          <w:color w:val="231F20"/>
          <w:spacing w:val="-6"/>
        </w:rPr>
        <w:t> </w:t>
      </w:r>
      <w:r>
        <w:rPr>
          <w:color w:val="231F20"/>
        </w:rPr>
        <w:t>прва</w:t>
      </w:r>
      <w:r>
        <w:rPr>
          <w:color w:val="231F20"/>
          <w:spacing w:val="-6"/>
        </w:rPr>
        <w:t> </w:t>
      </w:r>
      <w:r>
        <w:rPr>
          <w:color w:val="231F20"/>
        </w:rPr>
        <w:t>етапа,</w:t>
      </w:r>
      <w:r>
        <w:rPr>
          <w:color w:val="231F20"/>
          <w:spacing w:val="-6"/>
        </w:rPr>
        <w:t> </w:t>
      </w:r>
      <w:r>
        <w:rPr>
          <w:color w:val="231F20"/>
        </w:rPr>
        <w:t>дужине</w:t>
      </w:r>
      <w:r>
        <w:rPr>
          <w:color w:val="231F20"/>
          <w:spacing w:val="-6"/>
        </w:rPr>
        <w:t> </w:t>
      </w:r>
      <w:r>
        <w:rPr>
          <w:color w:val="231F20"/>
          <w:spacing w:val="-4"/>
        </w:rPr>
        <w:t>око</w:t>
      </w:r>
      <w:r>
        <w:rPr>
          <w:color w:val="231F20"/>
          <w:spacing w:val="-6"/>
        </w:rPr>
        <w:t> </w:t>
      </w:r>
      <w:r>
        <w:rPr>
          <w:color w:val="231F20"/>
        </w:rPr>
        <w:t>1500</w:t>
      </w:r>
      <w:r>
        <w:rPr>
          <w:color w:val="231F20"/>
          <w:spacing w:val="-6"/>
        </w:rPr>
        <w:t> </w:t>
      </w:r>
      <w:r>
        <w:rPr>
          <w:color w:val="231F20"/>
        </w:rPr>
        <w:t>m,</w:t>
      </w:r>
      <w:r>
        <w:rPr>
          <w:color w:val="231F20"/>
          <w:spacing w:val="-6"/>
        </w:rPr>
        <w:t> </w:t>
      </w:r>
      <w:r>
        <w:rPr>
          <w:color w:val="231F20"/>
        </w:rPr>
        <w:t>мора извести приоритетно. Израда екрана се одвија у две фазе. У првој фази се врши </w:t>
      </w:r>
      <w:r>
        <w:rPr>
          <w:color w:val="231F20"/>
          <w:spacing w:val="-3"/>
        </w:rPr>
        <w:t>ископ </w:t>
      </w:r>
      <w:r>
        <w:rPr>
          <w:color w:val="231F20"/>
        </w:rPr>
        <w:t>са истовременим инјектирањем бентонитског раствора. У другој фази врши се</w:t>
      </w:r>
      <w:r>
        <w:rPr>
          <w:color w:val="231F20"/>
          <w:spacing w:val="-6"/>
        </w:rPr>
        <w:t> </w:t>
      </w:r>
      <w:r>
        <w:rPr>
          <w:color w:val="231F20"/>
        </w:rPr>
        <w:t>запуњавање.</w:t>
      </w:r>
    </w:p>
    <w:p>
      <w:pPr>
        <w:pStyle w:val="BodyText"/>
        <w:spacing w:line="232" w:lineRule="auto"/>
        <w:ind w:left="455" w:firstLine="397"/>
      </w:pPr>
      <w:r>
        <w:rPr>
          <w:color w:val="231F20"/>
        </w:rPr>
        <w:t>У првој фази развоја ПК „Дрмно” предвиђа се израда при- ступних и сервисних путева интерног карактера до баража бунара и екрана.</w:t>
      </w:r>
    </w:p>
    <w:p>
      <w:pPr>
        <w:pStyle w:val="BodyText"/>
        <w:spacing w:line="232" w:lineRule="auto" w:before="78"/>
        <w:ind w:left="242" w:right="126" w:firstLine="397"/>
      </w:pPr>
      <w:r>
        <w:rPr/>
        <w:br w:type="column"/>
      </w:r>
      <w:r>
        <w:rPr>
          <w:color w:val="231F20"/>
        </w:rPr>
        <w:t>За</w:t>
      </w:r>
      <w:r>
        <w:rPr>
          <w:color w:val="231F20"/>
          <w:spacing w:val="-7"/>
        </w:rPr>
        <w:t> </w:t>
      </w:r>
      <w:r>
        <w:rPr>
          <w:color w:val="231F20"/>
        </w:rPr>
        <w:t>заштиту</w:t>
      </w:r>
      <w:r>
        <w:rPr>
          <w:color w:val="231F20"/>
          <w:spacing w:val="-7"/>
        </w:rPr>
        <w:t> </w:t>
      </w:r>
      <w:r>
        <w:rPr>
          <w:color w:val="231F20"/>
        </w:rPr>
        <w:t>површинског</w:t>
      </w:r>
      <w:r>
        <w:rPr>
          <w:color w:val="231F20"/>
          <w:spacing w:val="-7"/>
        </w:rPr>
        <w:t> </w:t>
      </w:r>
      <w:r>
        <w:rPr>
          <w:color w:val="231F20"/>
          <w:spacing w:val="-3"/>
        </w:rPr>
        <w:t>копа</w:t>
      </w:r>
      <w:r>
        <w:rPr>
          <w:color w:val="231F20"/>
          <w:spacing w:val="-7"/>
        </w:rPr>
        <w:t> </w:t>
      </w:r>
      <w:r>
        <w:rPr>
          <w:color w:val="231F20"/>
        </w:rPr>
        <w:t>„Дрмно”</w:t>
      </w:r>
      <w:r>
        <w:rPr>
          <w:color w:val="231F20"/>
          <w:spacing w:val="-7"/>
        </w:rPr>
        <w:t> </w:t>
      </w:r>
      <w:r>
        <w:rPr>
          <w:color w:val="231F20"/>
          <w:spacing w:val="-3"/>
        </w:rPr>
        <w:t>од</w:t>
      </w:r>
      <w:r>
        <w:rPr>
          <w:color w:val="231F20"/>
          <w:spacing w:val="-7"/>
        </w:rPr>
        <w:t> </w:t>
      </w:r>
      <w:r>
        <w:rPr>
          <w:color w:val="231F20"/>
        </w:rPr>
        <w:t>површинских</w:t>
      </w:r>
      <w:r>
        <w:rPr>
          <w:color w:val="231F20"/>
          <w:spacing w:val="-7"/>
        </w:rPr>
        <w:t> </w:t>
      </w:r>
      <w:r>
        <w:rPr>
          <w:color w:val="231F20"/>
        </w:rPr>
        <w:t>вода изван радног подручја до 2015. </w:t>
      </w:r>
      <w:r>
        <w:rPr>
          <w:color w:val="231F20"/>
          <w:spacing w:val="-3"/>
        </w:rPr>
        <w:t>године </w:t>
      </w:r>
      <w:r>
        <w:rPr>
          <w:color w:val="231F20"/>
        </w:rPr>
        <w:t>није предвиђена посебна заштита,</w:t>
      </w:r>
      <w:r>
        <w:rPr>
          <w:color w:val="231F20"/>
          <w:spacing w:val="-7"/>
        </w:rPr>
        <w:t> </w:t>
      </w:r>
      <w:r>
        <w:rPr>
          <w:color w:val="231F20"/>
        </w:rPr>
        <w:t>с</w:t>
      </w:r>
      <w:r>
        <w:rPr>
          <w:color w:val="231F20"/>
          <w:spacing w:val="-7"/>
        </w:rPr>
        <w:t> </w:t>
      </w:r>
      <w:r>
        <w:rPr>
          <w:color w:val="231F20"/>
        </w:rPr>
        <w:t>обзиром</w:t>
      </w:r>
      <w:r>
        <w:rPr>
          <w:color w:val="231F20"/>
          <w:spacing w:val="-7"/>
        </w:rPr>
        <w:t> </w:t>
      </w:r>
      <w:r>
        <w:rPr>
          <w:color w:val="231F20"/>
        </w:rPr>
        <w:t>на</w:t>
      </w:r>
      <w:r>
        <w:rPr>
          <w:color w:val="231F20"/>
          <w:spacing w:val="-7"/>
        </w:rPr>
        <w:t> </w:t>
      </w:r>
      <w:r>
        <w:rPr>
          <w:color w:val="231F20"/>
        </w:rPr>
        <w:t>то</w:t>
      </w:r>
      <w:r>
        <w:rPr>
          <w:color w:val="231F20"/>
          <w:spacing w:val="-7"/>
        </w:rPr>
        <w:t> </w:t>
      </w:r>
      <w:r>
        <w:rPr>
          <w:color w:val="231F20"/>
        </w:rPr>
        <w:t>да</w:t>
      </w:r>
      <w:r>
        <w:rPr>
          <w:color w:val="231F20"/>
          <w:spacing w:val="-7"/>
        </w:rPr>
        <w:t> </w:t>
      </w:r>
      <w:r>
        <w:rPr>
          <w:color w:val="231F20"/>
        </w:rPr>
        <w:t>испред</w:t>
      </w:r>
      <w:r>
        <w:rPr>
          <w:color w:val="231F20"/>
          <w:spacing w:val="-7"/>
        </w:rPr>
        <w:t> </w:t>
      </w:r>
      <w:r>
        <w:rPr>
          <w:color w:val="231F20"/>
        </w:rPr>
        <w:t>фронта</w:t>
      </w:r>
      <w:r>
        <w:rPr>
          <w:color w:val="231F20"/>
          <w:spacing w:val="-7"/>
        </w:rPr>
        <w:t> </w:t>
      </w:r>
      <w:r>
        <w:rPr>
          <w:color w:val="231F20"/>
        </w:rPr>
        <w:t>радова</w:t>
      </w:r>
      <w:r>
        <w:rPr>
          <w:color w:val="231F20"/>
          <w:spacing w:val="-7"/>
        </w:rPr>
        <w:t> </w:t>
      </w:r>
      <w:r>
        <w:rPr>
          <w:color w:val="231F20"/>
        </w:rPr>
        <w:t>постоји</w:t>
      </w:r>
      <w:r>
        <w:rPr>
          <w:color w:val="231F20"/>
          <w:spacing w:val="-7"/>
        </w:rPr>
        <w:t> </w:t>
      </w:r>
      <w:r>
        <w:rPr>
          <w:color w:val="231F20"/>
        </w:rPr>
        <w:t>израђен систем канала за заштиту </w:t>
      </w:r>
      <w:r>
        <w:rPr>
          <w:color w:val="231F20"/>
          <w:spacing w:val="-3"/>
        </w:rPr>
        <w:t>од </w:t>
      </w:r>
      <w:r>
        <w:rPr>
          <w:color w:val="231F20"/>
        </w:rPr>
        <w:t>поплавног</w:t>
      </w:r>
      <w:r>
        <w:rPr>
          <w:color w:val="231F20"/>
          <w:spacing w:val="-3"/>
        </w:rPr>
        <w:t> </w:t>
      </w:r>
      <w:r>
        <w:rPr>
          <w:color w:val="231F20"/>
        </w:rPr>
        <w:t>таласа.</w:t>
      </w:r>
    </w:p>
    <w:p>
      <w:pPr>
        <w:pStyle w:val="BodyText"/>
        <w:spacing w:line="232" w:lineRule="auto" w:before="1"/>
        <w:ind w:left="242" w:right="127" w:firstLine="397"/>
      </w:pPr>
      <w:r>
        <w:rPr>
          <w:color w:val="231F20"/>
        </w:rPr>
        <w:t>Испред фронта радова налази се и </w:t>
      </w:r>
      <w:r>
        <w:rPr>
          <w:color w:val="231F20"/>
          <w:spacing w:val="-3"/>
        </w:rPr>
        <w:t>корито </w:t>
      </w:r>
      <w:r>
        <w:rPr>
          <w:color w:val="231F20"/>
        </w:rPr>
        <w:t>Дунавца </w:t>
      </w:r>
      <w:r>
        <w:rPr>
          <w:color w:val="231F20"/>
          <w:spacing w:val="-3"/>
        </w:rPr>
        <w:t>које </w:t>
      </w:r>
      <w:r>
        <w:rPr>
          <w:color w:val="231F20"/>
        </w:rPr>
        <w:t>поред подземних вода прикупља и атмосферске падавине. Доњи Дуна- вац, </w:t>
      </w:r>
      <w:r>
        <w:rPr>
          <w:color w:val="231F20"/>
          <w:spacing w:val="-3"/>
        </w:rPr>
        <w:t>од </w:t>
      </w:r>
      <w:r>
        <w:rPr>
          <w:color w:val="231F20"/>
        </w:rPr>
        <w:t>ушћа реке Млаве до Кличевца у дужини </w:t>
      </w:r>
      <w:r>
        <w:rPr>
          <w:color w:val="231F20"/>
          <w:spacing w:val="-3"/>
        </w:rPr>
        <w:t>од </w:t>
      </w:r>
      <w:r>
        <w:rPr>
          <w:color w:val="231F20"/>
        </w:rPr>
        <w:t>12 km прак- тично је исушен при нижем </w:t>
      </w:r>
      <w:r>
        <w:rPr>
          <w:color w:val="231F20"/>
          <w:spacing w:val="-3"/>
        </w:rPr>
        <w:t>водостају. </w:t>
      </w:r>
      <w:r>
        <w:rPr>
          <w:color w:val="231F20"/>
        </w:rPr>
        <w:t>Његово </w:t>
      </w:r>
      <w:r>
        <w:rPr>
          <w:color w:val="231F20"/>
          <w:spacing w:val="-3"/>
        </w:rPr>
        <w:t>корито </w:t>
      </w:r>
      <w:r>
        <w:rPr>
          <w:color w:val="231F20"/>
        </w:rPr>
        <w:t>служи као реципијент површинских и подземних вода са </w:t>
      </w:r>
      <w:r>
        <w:rPr>
          <w:color w:val="231F20"/>
          <w:spacing w:val="-3"/>
        </w:rPr>
        <w:t>околног </w:t>
      </w:r>
      <w:r>
        <w:rPr>
          <w:color w:val="231F20"/>
        </w:rPr>
        <w:t>терена, а ниво се регулише црпном станицом </w:t>
      </w:r>
      <w:r>
        <w:rPr>
          <w:color w:val="231F20"/>
          <w:spacing w:val="-6"/>
        </w:rPr>
        <w:t>код </w:t>
      </w:r>
      <w:r>
        <w:rPr>
          <w:color w:val="231F20"/>
        </w:rPr>
        <w:t>Речице.</w:t>
      </w:r>
    </w:p>
    <w:p>
      <w:pPr>
        <w:pStyle w:val="BodyText"/>
        <w:spacing w:line="232" w:lineRule="auto" w:before="1"/>
        <w:ind w:left="242" w:right="127" w:firstLine="397"/>
      </w:pPr>
      <w:r>
        <w:rPr>
          <w:color w:val="231F20"/>
          <w:spacing w:val="-4"/>
        </w:rPr>
        <w:t>Како </w:t>
      </w:r>
      <w:r>
        <w:rPr>
          <w:color w:val="231F20"/>
        </w:rPr>
        <w:t>је пресецање Дунавца екраном предвиђено у другој ета- пи извођења (2015.), потребно је што пре отпочети са израдом но- вих заштитних водних објеката, односно, приступити реконструк- цији дренажних канала.</w:t>
      </w:r>
    </w:p>
    <w:p>
      <w:pPr>
        <w:pStyle w:val="BodyText"/>
        <w:spacing w:line="232" w:lineRule="auto" w:before="2"/>
        <w:ind w:left="241" w:right="127" w:firstLine="397"/>
      </w:pPr>
      <w:r>
        <w:rPr>
          <w:color w:val="231F20"/>
          <w:spacing w:val="-4"/>
        </w:rPr>
        <w:t>Усвојено </w:t>
      </w:r>
      <w:r>
        <w:rPr>
          <w:color w:val="231F20"/>
        </w:rPr>
        <w:t>техничко решење одсумпоравања димних гасова </w:t>
      </w:r>
      <w:r>
        <w:rPr>
          <w:color w:val="231F20"/>
          <w:spacing w:val="-3"/>
        </w:rPr>
        <w:t>(ОДГ) </w:t>
      </w:r>
      <w:r>
        <w:rPr>
          <w:color w:val="231F20"/>
        </w:rPr>
        <w:t>из ТЕ „Костолац Б” предвиђа изградњу система за трет- ман и депоновање суспензије гипса и примењиваће се у случају да се не обезбеди комерцијална продаја сушеног гипса. Систем  се састоји из постројења за првостепено одводњавање суспензи- је гипса, система за транспорт суспензије до депоније и депоније гипса. Локација за одлагање гипса насталог у мокром </w:t>
      </w:r>
      <w:r>
        <w:rPr>
          <w:color w:val="231F20"/>
          <w:spacing w:val="-3"/>
        </w:rPr>
        <w:t>кречњачком </w:t>
      </w:r>
      <w:r>
        <w:rPr>
          <w:color w:val="231F20"/>
        </w:rPr>
        <w:t>поступку предвиђена је у </w:t>
      </w:r>
      <w:r>
        <w:rPr>
          <w:color w:val="231F20"/>
          <w:spacing w:val="-3"/>
        </w:rPr>
        <w:t>откопаном </w:t>
      </w:r>
      <w:r>
        <w:rPr>
          <w:color w:val="231F20"/>
        </w:rPr>
        <w:t>простору површинског</w:t>
      </w:r>
      <w:r>
        <w:rPr>
          <w:color w:val="231F20"/>
          <w:spacing w:val="0"/>
        </w:rPr>
        <w:t> </w:t>
      </w:r>
      <w:r>
        <w:rPr>
          <w:color w:val="231F20"/>
          <w:spacing w:val="-4"/>
        </w:rPr>
        <w:t>копа</w:t>
      </w:r>
    </w:p>
    <w:p>
      <w:pPr>
        <w:pStyle w:val="BodyText"/>
        <w:spacing w:line="204" w:lineRule="exact"/>
        <w:ind w:left="242"/>
        <w:jc w:val="left"/>
      </w:pPr>
      <w:r>
        <w:rPr>
          <w:color w:val="231F20"/>
        </w:rPr>
        <w:t>„Дрмно”.</w:t>
      </w:r>
    </w:p>
    <w:p>
      <w:pPr>
        <w:pStyle w:val="ListParagraph"/>
        <w:numPr>
          <w:ilvl w:val="2"/>
          <w:numId w:val="52"/>
        </w:numPr>
        <w:tabs>
          <w:tab w:pos="1120" w:val="left" w:leader="none"/>
        </w:tabs>
        <w:spacing w:line="240" w:lineRule="auto" w:before="164" w:after="0"/>
        <w:ind w:left="1119" w:right="0" w:hanging="315"/>
        <w:jc w:val="left"/>
        <w:rPr>
          <w:i/>
          <w:sz w:val="18"/>
        </w:rPr>
      </w:pPr>
      <w:r>
        <w:rPr>
          <w:i/>
          <w:color w:val="231F20"/>
          <w:sz w:val="18"/>
        </w:rPr>
        <w:t>Правила изградње и правила уређења</w:t>
      </w:r>
      <w:r>
        <w:rPr>
          <w:i/>
          <w:color w:val="231F20"/>
          <w:spacing w:val="-3"/>
          <w:sz w:val="18"/>
        </w:rPr>
        <w:t> </w:t>
      </w:r>
      <w:r>
        <w:rPr>
          <w:i/>
          <w:color w:val="231F20"/>
          <w:sz w:val="18"/>
        </w:rPr>
        <w:t>простора</w:t>
      </w:r>
    </w:p>
    <w:p>
      <w:pPr>
        <w:pStyle w:val="ListParagraph"/>
        <w:numPr>
          <w:ilvl w:val="2"/>
          <w:numId w:val="53"/>
        </w:numPr>
        <w:tabs>
          <w:tab w:pos="817" w:val="left" w:leader="none"/>
        </w:tabs>
        <w:spacing w:line="232" w:lineRule="auto" w:before="169" w:after="0"/>
        <w:ind w:left="2474" w:right="252" w:hanging="2108"/>
        <w:jc w:val="left"/>
        <w:rPr>
          <w:sz w:val="18"/>
        </w:rPr>
      </w:pPr>
      <w:r>
        <w:rPr>
          <w:color w:val="231F20"/>
          <w:spacing w:val="16"/>
          <w:sz w:val="18"/>
        </w:rPr>
        <w:t>Плански </w:t>
      </w:r>
      <w:r>
        <w:rPr>
          <w:color w:val="231F20"/>
          <w:sz w:val="18"/>
        </w:rPr>
        <w:t>о </w:t>
      </w:r>
      <w:r>
        <w:rPr>
          <w:color w:val="231F20"/>
          <w:spacing w:val="15"/>
          <w:sz w:val="18"/>
        </w:rPr>
        <w:t>снов </w:t>
      </w:r>
      <w:r>
        <w:rPr>
          <w:color w:val="231F20"/>
          <w:spacing w:val="10"/>
          <w:sz w:val="18"/>
        </w:rPr>
        <w:t>за </w:t>
      </w:r>
      <w:r>
        <w:rPr>
          <w:color w:val="231F20"/>
          <w:spacing w:val="15"/>
          <w:sz w:val="18"/>
        </w:rPr>
        <w:t>решење имовинско </w:t>
      </w:r>
      <w:r>
        <w:rPr>
          <w:color w:val="231F20"/>
          <w:spacing w:val="16"/>
          <w:sz w:val="18"/>
        </w:rPr>
        <w:t>правних </w:t>
      </w:r>
      <w:r>
        <w:rPr>
          <w:color w:val="231F20"/>
          <w:spacing w:val="12"/>
          <w:sz w:val="18"/>
        </w:rPr>
        <w:t>одно</w:t>
      </w:r>
      <w:r>
        <w:rPr>
          <w:color w:val="231F20"/>
          <w:spacing w:val="-19"/>
          <w:sz w:val="18"/>
        </w:rPr>
        <w:t> </w:t>
      </w:r>
      <w:r>
        <w:rPr>
          <w:color w:val="231F20"/>
          <w:sz w:val="18"/>
        </w:rPr>
        <w:t>с</w:t>
      </w:r>
      <w:r>
        <w:rPr>
          <w:color w:val="231F20"/>
          <w:spacing w:val="-22"/>
          <w:sz w:val="18"/>
        </w:rPr>
        <w:t> </w:t>
      </w:r>
      <w:r>
        <w:rPr>
          <w:color w:val="231F20"/>
          <w:sz w:val="18"/>
        </w:rPr>
        <w:t>а</w:t>
      </w:r>
    </w:p>
    <w:p>
      <w:pPr>
        <w:pStyle w:val="BodyText"/>
        <w:spacing w:before="6"/>
        <w:ind w:left="0"/>
        <w:jc w:val="left"/>
        <w:rPr>
          <w:sz w:val="17"/>
        </w:rPr>
      </w:pPr>
    </w:p>
    <w:p>
      <w:pPr>
        <w:pStyle w:val="BodyText"/>
        <w:spacing w:line="232" w:lineRule="auto"/>
        <w:ind w:left="242" w:right="127" w:firstLine="396"/>
      </w:pPr>
      <w:r>
        <w:rPr>
          <w:color w:val="231F20"/>
        </w:rPr>
        <w:t>Површине које су заузете или намењене рударским радови- ма, сагласно Закону, утврђују се као јавна површина намењена</w:t>
      </w:r>
    </w:p>
    <w:p>
      <w:pPr>
        <w:pStyle w:val="BodyText"/>
        <w:spacing w:line="232" w:lineRule="auto" w:before="1"/>
        <w:ind w:left="242"/>
        <w:jc w:val="left"/>
      </w:pPr>
      <w:r>
        <w:rPr>
          <w:color w:val="231F20"/>
        </w:rPr>
        <w:t>„објектима од јавног интереса”, и то на територији града Пожа- ревца делови катастарских општина:</w:t>
      </w:r>
    </w:p>
    <w:p>
      <w:pPr>
        <w:pStyle w:val="BodyText"/>
        <w:spacing w:line="200" w:lineRule="exact"/>
        <w:ind w:left="638"/>
        <w:jc w:val="left"/>
      </w:pPr>
      <w:r>
        <w:rPr>
          <w:color w:val="231F20"/>
        </w:rPr>
        <w:t>КО Костолац село (ГО Костолац)</w:t>
      </w:r>
    </w:p>
    <w:p>
      <w:pPr>
        <w:pStyle w:val="BodyText"/>
        <w:spacing w:line="201" w:lineRule="exact"/>
        <w:ind w:left="638"/>
        <w:jc w:val="left"/>
      </w:pPr>
      <w:r>
        <w:rPr>
          <w:color w:val="231F20"/>
        </w:rPr>
        <w:t>к. п. бр. 39, 40, 41, 42, 43, 44, 45, 46, 47, 48, 49, 50, 51, 52,  53,</w:t>
      </w:r>
    </w:p>
    <w:p>
      <w:pPr>
        <w:pStyle w:val="BodyText"/>
        <w:spacing w:line="201" w:lineRule="exact"/>
        <w:ind w:left="241"/>
        <w:jc w:val="left"/>
      </w:pPr>
      <w:r>
        <w:rPr>
          <w:color w:val="231F20"/>
        </w:rPr>
        <w:t>54, 55, 56, 57, 58, 59, 60, 61, 62, 63, 64, 65, 66, 67, 68, 69, 70, 71,</w:t>
      </w:r>
    </w:p>
    <w:p>
      <w:pPr>
        <w:pStyle w:val="BodyText"/>
        <w:spacing w:line="201" w:lineRule="exact"/>
        <w:ind w:left="241"/>
        <w:jc w:val="left"/>
      </w:pPr>
      <w:r>
        <w:rPr>
          <w:color w:val="231F20"/>
        </w:rPr>
        <w:t>109, 110, 111, 112, 113, 114, 115, 116, 117, 118, 119, 120, 121, 122,</w:t>
      </w:r>
    </w:p>
    <w:p>
      <w:pPr>
        <w:pStyle w:val="BodyText"/>
        <w:spacing w:line="201" w:lineRule="exact"/>
        <w:ind w:left="241"/>
        <w:jc w:val="left"/>
      </w:pPr>
      <w:r>
        <w:rPr>
          <w:color w:val="231F20"/>
        </w:rPr>
        <w:t>123, 124, 125, 126, 127, 128, 129, 130, 131, 132, 133, 134, 135,136,</w:t>
      </w:r>
    </w:p>
    <w:p>
      <w:pPr>
        <w:pStyle w:val="BodyText"/>
        <w:spacing w:line="201" w:lineRule="exact"/>
        <w:ind w:left="241"/>
        <w:jc w:val="left"/>
      </w:pPr>
      <w:r>
        <w:rPr>
          <w:color w:val="231F20"/>
        </w:rPr>
        <w:t>137, 138, 139, 140, 141, 142, 143, 144, 145, 146, 147, 148, 149, 150,</w:t>
      </w:r>
    </w:p>
    <w:p>
      <w:pPr>
        <w:pStyle w:val="BodyText"/>
        <w:spacing w:line="201" w:lineRule="exact"/>
        <w:ind w:left="241"/>
        <w:jc w:val="left"/>
      </w:pPr>
      <w:r>
        <w:rPr>
          <w:color w:val="231F20"/>
        </w:rPr>
        <w:t>151, 152, 153, 154, 155, 156, 157, 158, 159, 160, 161, 162, 163, 164,</w:t>
      </w:r>
    </w:p>
    <w:p>
      <w:pPr>
        <w:pStyle w:val="BodyText"/>
        <w:spacing w:line="201" w:lineRule="exact"/>
        <w:ind w:left="241"/>
        <w:jc w:val="left"/>
      </w:pPr>
      <w:r>
        <w:rPr>
          <w:color w:val="231F20"/>
        </w:rPr>
        <w:t>166, 167, 168, 169, 170, 171, 172, 173, 174, 175, 176, 177, 178, 179,</w:t>
      </w:r>
    </w:p>
    <w:p>
      <w:pPr>
        <w:pStyle w:val="BodyText"/>
        <w:spacing w:line="201" w:lineRule="exact"/>
        <w:ind w:left="241"/>
        <w:jc w:val="left"/>
      </w:pPr>
      <w:r>
        <w:rPr>
          <w:color w:val="231F20"/>
        </w:rPr>
        <w:t>180, 181, 182, 183,184, 185, 186, 187, 188, 189, 190, 191, 192, 193,</w:t>
      </w:r>
    </w:p>
    <w:p>
      <w:pPr>
        <w:pStyle w:val="BodyText"/>
        <w:spacing w:line="201" w:lineRule="exact"/>
        <w:ind w:left="241"/>
        <w:jc w:val="left"/>
      </w:pPr>
      <w:r>
        <w:rPr>
          <w:color w:val="231F20"/>
        </w:rPr>
        <w:t>194, 195, 196, 197, 198, 199, 200, 201, 202, 203, 204, 205, 206, 207,</w:t>
      </w:r>
    </w:p>
    <w:p>
      <w:pPr>
        <w:pStyle w:val="BodyText"/>
        <w:spacing w:line="201" w:lineRule="exact"/>
        <w:ind w:left="241"/>
        <w:jc w:val="left"/>
      </w:pPr>
      <w:r>
        <w:rPr>
          <w:color w:val="231F20"/>
        </w:rPr>
        <w:t>208, 209, 210, 211, 212, 213, 214, 215, 216, 217, 218, 219, 220, 221,</w:t>
      </w:r>
    </w:p>
    <w:p>
      <w:pPr>
        <w:pStyle w:val="BodyText"/>
        <w:spacing w:line="201" w:lineRule="exact"/>
        <w:ind w:left="241"/>
        <w:jc w:val="left"/>
      </w:pPr>
      <w:r>
        <w:rPr>
          <w:color w:val="231F20"/>
        </w:rPr>
        <w:t>222, 223, 224, 225, 226, 227, 228, 229, 230, 231, 232, 233, 234, 235,</w:t>
      </w:r>
    </w:p>
    <w:p>
      <w:pPr>
        <w:pStyle w:val="BodyText"/>
        <w:spacing w:line="201" w:lineRule="exact"/>
        <w:ind w:left="241"/>
        <w:jc w:val="left"/>
      </w:pPr>
      <w:r>
        <w:rPr>
          <w:color w:val="231F20"/>
        </w:rPr>
        <w:t>236, 237, 238, 239, 240, 241, 242, 243, 244, 245, 246, 247, 248, 249,</w:t>
      </w:r>
    </w:p>
    <w:p>
      <w:pPr>
        <w:pStyle w:val="BodyText"/>
        <w:spacing w:line="201" w:lineRule="exact"/>
        <w:ind w:left="241"/>
        <w:jc w:val="left"/>
      </w:pPr>
      <w:r>
        <w:rPr>
          <w:color w:val="231F20"/>
        </w:rPr>
        <w:t>376, 377, 378, 379, 380, 381, 382, 383, 384, 385, 386, 387, 388, 389,</w:t>
      </w:r>
    </w:p>
    <w:p>
      <w:pPr>
        <w:pStyle w:val="BodyText"/>
        <w:spacing w:line="201" w:lineRule="exact"/>
        <w:ind w:left="241"/>
        <w:jc w:val="left"/>
      </w:pPr>
      <w:r>
        <w:rPr>
          <w:color w:val="231F20"/>
        </w:rPr>
        <w:t>390, 391, 392, 393, 394, 395, 396, 397, 398, 399, 400, 401, 402, 403,</w:t>
      </w:r>
    </w:p>
    <w:p>
      <w:pPr>
        <w:pStyle w:val="BodyText"/>
        <w:spacing w:line="201" w:lineRule="exact"/>
        <w:ind w:left="241"/>
        <w:jc w:val="left"/>
      </w:pPr>
      <w:r>
        <w:rPr>
          <w:color w:val="231F20"/>
        </w:rPr>
        <w:t>404, 405, 406, 407/1, 407/2, 407/3, 407/4, 407/5, 407/6, 407/7, 407/8,</w:t>
      </w:r>
    </w:p>
    <w:p>
      <w:pPr>
        <w:pStyle w:val="BodyText"/>
        <w:spacing w:line="201" w:lineRule="exact"/>
        <w:ind w:left="241"/>
        <w:jc w:val="left"/>
      </w:pPr>
      <w:r>
        <w:rPr>
          <w:color w:val="231F20"/>
        </w:rPr>
        <w:t>407/9, 407/10, 408/3, 490, 491, 492, 493, 494, 495, 496, 497, 498, 500,</w:t>
      </w:r>
    </w:p>
    <w:p>
      <w:pPr>
        <w:pStyle w:val="BodyText"/>
        <w:spacing w:line="201" w:lineRule="exact"/>
        <w:ind w:left="241"/>
        <w:jc w:val="left"/>
      </w:pPr>
      <w:r>
        <w:rPr>
          <w:color w:val="231F20"/>
        </w:rPr>
        <w:t>501, 502, 503, 504, 505, 506, 507, 508, 509, 510, 511, 512, 513, 514,</w:t>
      </w:r>
    </w:p>
    <w:p>
      <w:pPr>
        <w:pStyle w:val="BodyText"/>
        <w:spacing w:line="201" w:lineRule="exact"/>
        <w:ind w:left="241"/>
        <w:jc w:val="left"/>
      </w:pPr>
      <w:r>
        <w:rPr>
          <w:color w:val="231F20"/>
        </w:rPr>
        <w:t>515, 516, 517, 587, 670, 671, 673/2, 674, 675, 676, 679, 688, 691, 692,</w:t>
      </w:r>
    </w:p>
    <w:p>
      <w:pPr>
        <w:pStyle w:val="BodyText"/>
        <w:spacing w:line="201" w:lineRule="exact"/>
        <w:ind w:left="241"/>
        <w:jc w:val="left"/>
      </w:pPr>
      <w:r>
        <w:rPr>
          <w:color w:val="231F20"/>
        </w:rPr>
        <w:t>693, 694, 695, 696, 697, 698, 699, 700/2, 702, 708, 733, 734, 735, 737,</w:t>
      </w:r>
    </w:p>
    <w:p>
      <w:pPr>
        <w:pStyle w:val="BodyText"/>
        <w:spacing w:line="201" w:lineRule="exact"/>
        <w:ind w:left="241"/>
        <w:jc w:val="left"/>
      </w:pPr>
      <w:r>
        <w:rPr>
          <w:color w:val="231F20"/>
        </w:rPr>
        <w:t>738, 739, 740, 741, 742, 771/2, 781, 785, 786, 799/1, 799/2, 800, 801,</w:t>
      </w:r>
    </w:p>
    <w:p>
      <w:pPr>
        <w:pStyle w:val="BodyText"/>
        <w:spacing w:line="201" w:lineRule="exact"/>
        <w:ind w:left="241"/>
        <w:jc w:val="left"/>
      </w:pPr>
      <w:r>
        <w:rPr>
          <w:color w:val="231F20"/>
        </w:rPr>
        <w:t>802, 803, 804, 805, 806, 807, 808, 809, 810, 811, 812, 813, 814, 815,</w:t>
      </w:r>
    </w:p>
    <w:p>
      <w:pPr>
        <w:pStyle w:val="BodyText"/>
        <w:spacing w:line="201" w:lineRule="exact"/>
        <w:ind w:left="241"/>
        <w:jc w:val="left"/>
      </w:pPr>
      <w:r>
        <w:rPr>
          <w:color w:val="231F20"/>
        </w:rPr>
        <w:t>816, 817, 818, 819, 820, 821, 822, 823, 824, 825, 826, 827, 828, 829,</w:t>
      </w:r>
    </w:p>
    <w:p>
      <w:pPr>
        <w:pStyle w:val="BodyText"/>
        <w:spacing w:line="201" w:lineRule="exact"/>
        <w:ind w:left="241"/>
        <w:jc w:val="left"/>
      </w:pPr>
      <w:r>
        <w:rPr>
          <w:color w:val="231F20"/>
        </w:rPr>
        <w:t>830, 831, 832, 833, 834, 835, 836, 837, 838, 839, 840, 841, 842, 843,</w:t>
      </w:r>
    </w:p>
    <w:p>
      <w:pPr>
        <w:pStyle w:val="BodyText"/>
        <w:spacing w:line="201" w:lineRule="exact"/>
        <w:ind w:left="241"/>
        <w:jc w:val="left"/>
      </w:pPr>
      <w:r>
        <w:rPr>
          <w:color w:val="231F20"/>
        </w:rPr>
        <w:t>844, 845, 846, 847, 848, 2690, 2691, 2692 и 2693;</w:t>
      </w:r>
    </w:p>
    <w:p>
      <w:pPr>
        <w:pStyle w:val="BodyText"/>
        <w:spacing w:line="201" w:lineRule="exact"/>
        <w:ind w:left="638"/>
        <w:jc w:val="left"/>
      </w:pPr>
      <w:r>
        <w:rPr>
          <w:color w:val="231F20"/>
        </w:rPr>
        <w:t>КО Кличевац (ГО Пожаревац)</w:t>
      </w:r>
    </w:p>
    <w:p>
      <w:pPr>
        <w:pStyle w:val="BodyText"/>
        <w:spacing w:line="201" w:lineRule="exact"/>
        <w:ind w:left="638"/>
        <w:jc w:val="left"/>
      </w:pPr>
      <w:r>
        <w:rPr>
          <w:color w:val="231F20"/>
        </w:rPr>
        <w:t>к. п. бр. 225, 226, 227, 228, 229, 230, 231, 232, 233, 234, 235,</w:t>
      </w:r>
    </w:p>
    <w:p>
      <w:pPr>
        <w:pStyle w:val="BodyText"/>
        <w:spacing w:line="201" w:lineRule="exact"/>
        <w:ind w:left="242"/>
        <w:jc w:val="left"/>
      </w:pPr>
      <w:r>
        <w:rPr>
          <w:color w:val="231F20"/>
        </w:rPr>
        <w:t>236, 237, 238, 239, 240, 241, 242, 243, 244, 245, 246, 247, 248, 249,</w:t>
      </w:r>
    </w:p>
    <w:p>
      <w:pPr>
        <w:pStyle w:val="BodyText"/>
        <w:spacing w:line="201" w:lineRule="exact"/>
        <w:ind w:left="242"/>
        <w:jc w:val="left"/>
      </w:pPr>
      <w:r>
        <w:rPr>
          <w:color w:val="231F20"/>
        </w:rPr>
        <w:t>250, 251, 252, 253, 254, 255, 256, 257, 258, 259, 260, 261, 262, 263,</w:t>
      </w:r>
    </w:p>
    <w:p>
      <w:pPr>
        <w:pStyle w:val="BodyText"/>
        <w:spacing w:line="201" w:lineRule="exact"/>
        <w:ind w:left="242"/>
        <w:jc w:val="left"/>
      </w:pPr>
      <w:r>
        <w:rPr>
          <w:color w:val="231F20"/>
        </w:rPr>
        <w:t>264, 265, 266, 267, 268, 269, 270, 271, 272, 273, 274, 275, 276, 277,</w:t>
      </w:r>
    </w:p>
    <w:p>
      <w:pPr>
        <w:pStyle w:val="BodyText"/>
        <w:spacing w:line="201" w:lineRule="exact"/>
        <w:ind w:left="242"/>
        <w:jc w:val="left"/>
      </w:pPr>
      <w:r>
        <w:rPr>
          <w:color w:val="231F20"/>
        </w:rPr>
        <w:t>278, 279, 280, 281, 282, 283, 284, 285, 286, 287, 288, 289, 290, 291,</w:t>
      </w:r>
    </w:p>
    <w:p>
      <w:pPr>
        <w:pStyle w:val="BodyText"/>
        <w:spacing w:line="201" w:lineRule="exact"/>
        <w:ind w:left="242"/>
        <w:jc w:val="left"/>
      </w:pPr>
      <w:r>
        <w:rPr>
          <w:color w:val="231F20"/>
        </w:rPr>
        <w:t>292, 293, 294, 295, 296, 297, 298, 299, 300, 301, 302, 303, 304, 305,</w:t>
      </w:r>
    </w:p>
    <w:p>
      <w:pPr>
        <w:pStyle w:val="BodyText"/>
        <w:spacing w:line="201" w:lineRule="exact"/>
        <w:ind w:left="242"/>
        <w:jc w:val="left"/>
      </w:pPr>
      <w:r>
        <w:rPr>
          <w:color w:val="231F20"/>
        </w:rPr>
        <w:t>306, 307, 308, 309, 310, 311, 312, 313/1, 313/2, 313/3, 313/4, 313/5,</w:t>
      </w:r>
    </w:p>
    <w:p>
      <w:pPr>
        <w:pStyle w:val="BodyText"/>
        <w:spacing w:line="201" w:lineRule="exact"/>
        <w:ind w:left="242"/>
        <w:jc w:val="left"/>
      </w:pPr>
      <w:r>
        <w:rPr>
          <w:color w:val="231F20"/>
        </w:rPr>
        <w:t>313/6, 313/7, 313/8, 313/9, 313/10, 313/11, 313/12, 313/13, 313/14,</w:t>
      </w:r>
    </w:p>
    <w:p>
      <w:pPr>
        <w:pStyle w:val="BodyText"/>
        <w:spacing w:line="201" w:lineRule="exact"/>
        <w:ind w:left="242"/>
        <w:jc w:val="left"/>
      </w:pPr>
      <w:r>
        <w:rPr>
          <w:color w:val="231F20"/>
        </w:rPr>
        <w:t>313/15, 313/16, 314/1, 314/2, 314/3, 314/4, 314/5, 314/6, 314/7, 314/8,</w:t>
      </w:r>
    </w:p>
    <w:p>
      <w:pPr>
        <w:pStyle w:val="BodyText"/>
        <w:spacing w:line="201" w:lineRule="exact"/>
        <w:ind w:left="242"/>
        <w:jc w:val="left"/>
      </w:pPr>
      <w:r>
        <w:rPr>
          <w:color w:val="231F20"/>
        </w:rPr>
        <w:t>314/9, 314/10, 314/11, 314/12, 314/13, 314/14, 314/15, 314/16, 315/1,</w:t>
      </w:r>
    </w:p>
    <w:p>
      <w:pPr>
        <w:pStyle w:val="BodyText"/>
        <w:spacing w:line="201" w:lineRule="exact"/>
        <w:ind w:left="242"/>
        <w:jc w:val="left"/>
      </w:pPr>
      <w:r>
        <w:rPr>
          <w:color w:val="231F20"/>
        </w:rPr>
        <w:t>315/2, 315/3, 315/4, 315/5, 315/6, 315/7, 315/8, 315/9, 315/10,  316/1,</w:t>
      </w:r>
    </w:p>
    <w:p>
      <w:pPr>
        <w:pStyle w:val="BodyText"/>
        <w:spacing w:line="201" w:lineRule="exact"/>
        <w:ind w:left="242"/>
        <w:jc w:val="left"/>
      </w:pPr>
      <w:r>
        <w:rPr>
          <w:color w:val="231F20"/>
        </w:rPr>
        <w:t>316/2, 316/3, 316/4, 316/5, 316/6, 316/7, 316/8, 316/9, 316/10, 316/11,</w:t>
      </w:r>
    </w:p>
    <w:p>
      <w:pPr>
        <w:pStyle w:val="BodyText"/>
        <w:spacing w:line="201" w:lineRule="exact"/>
        <w:ind w:left="242"/>
        <w:jc w:val="left"/>
      </w:pPr>
      <w:r>
        <w:rPr>
          <w:color w:val="231F20"/>
        </w:rPr>
        <w:t>316/12,  316/13,  316/14,  316/15,  316/16,  316/17,  316/18,  316/19,</w:t>
      </w:r>
    </w:p>
    <w:p>
      <w:pPr>
        <w:pStyle w:val="BodyText"/>
        <w:spacing w:line="201" w:lineRule="exact"/>
        <w:ind w:left="242"/>
        <w:jc w:val="left"/>
      </w:pPr>
      <w:r>
        <w:rPr>
          <w:color w:val="231F20"/>
        </w:rPr>
        <w:t>316/20,  316/21,  316/22,  316/23,  316/24,  316/25,  316/26,  317/1,</w:t>
      </w:r>
    </w:p>
    <w:p>
      <w:pPr>
        <w:pStyle w:val="BodyText"/>
        <w:spacing w:line="204" w:lineRule="exact"/>
        <w:ind w:left="242"/>
        <w:jc w:val="left"/>
      </w:pPr>
      <w:r>
        <w:rPr>
          <w:color w:val="231F20"/>
        </w:rPr>
        <w:t>317/2, 317/3, 318, 319/1, 319/2, 319/3, 319/4, 319/5, 319/6, 319/7,</w:t>
      </w:r>
    </w:p>
    <w:p>
      <w:pPr>
        <w:spacing w:after="0" w:line="204" w:lineRule="exact"/>
        <w:jc w:val="left"/>
        <w:sectPr>
          <w:pgSz w:w="12480" w:h="15690"/>
          <w:pgMar w:top="120" w:bottom="280" w:left="680" w:right="720"/>
          <w:cols w:num="2" w:equalWidth="0">
            <w:col w:w="5559" w:space="40"/>
            <w:col w:w="5481"/>
          </w:cols>
        </w:sect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4"/>
        <w:gridCol w:w="5295"/>
      </w:tblGrid>
      <w:tr>
        <w:trPr>
          <w:trHeight w:val="201" w:hRule="atLeast"/>
        </w:trPr>
        <w:tc>
          <w:tcPr>
            <w:tcW w:w="5294" w:type="dxa"/>
            <w:tcBorders>
              <w:right w:val="single" w:sz="6" w:space="0" w:color="231F20"/>
            </w:tcBorders>
          </w:tcPr>
          <w:p>
            <w:pPr>
              <w:pStyle w:val="TableParagraph"/>
              <w:spacing w:line="182" w:lineRule="exact" w:before="0"/>
              <w:ind w:left="50"/>
              <w:jc w:val="left"/>
              <w:rPr>
                <w:sz w:val="18"/>
              </w:rPr>
            </w:pPr>
            <w:r>
              <w:rPr>
                <w:color w:val="231F20"/>
                <w:sz w:val="18"/>
              </w:rPr>
              <w:t>319/8, 319/9, 319/10, 319/11, 319/12, 319/13, 319/14, 319/15, 319/16,</w:t>
            </w:r>
          </w:p>
        </w:tc>
        <w:tc>
          <w:tcPr>
            <w:tcW w:w="5295" w:type="dxa"/>
            <w:tcBorders>
              <w:left w:val="single" w:sz="6" w:space="0" w:color="231F20"/>
            </w:tcBorders>
          </w:tcPr>
          <w:p>
            <w:pPr>
              <w:pStyle w:val="TableParagraph"/>
              <w:spacing w:line="182" w:lineRule="exact" w:before="0"/>
              <w:ind w:right="49"/>
              <w:rPr>
                <w:sz w:val="18"/>
              </w:rPr>
            </w:pPr>
            <w:r>
              <w:rPr>
                <w:color w:val="231F20"/>
                <w:sz w:val="18"/>
              </w:rPr>
              <w:t>4403 4404, 4405, 4406, 4407, 4408, 4409, 4410, 4411, 4412, 4413,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319/17, 319/18, 319/19, 319/20, 319/21, 319/22, 319/23, 319/24,</w:t>
            </w:r>
          </w:p>
        </w:tc>
        <w:tc>
          <w:tcPr>
            <w:tcW w:w="5295" w:type="dxa"/>
            <w:tcBorders>
              <w:left w:val="single" w:sz="6" w:space="0" w:color="231F20"/>
            </w:tcBorders>
          </w:tcPr>
          <w:p>
            <w:pPr>
              <w:pStyle w:val="TableParagraph"/>
              <w:spacing w:line="180" w:lineRule="exact" w:before="0"/>
              <w:ind w:right="48"/>
              <w:rPr>
                <w:sz w:val="18"/>
              </w:rPr>
            </w:pPr>
            <w:r>
              <w:rPr>
                <w:color w:val="231F20"/>
                <w:sz w:val="18"/>
              </w:rPr>
              <w:t>4414, 4415, 4416, 4417, 4418, 4419, 4420, 4421, 4422, 4423, 4424,</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319/25, 319/26, 319/27, 319/28, 319/29, 319/30, 319/31, 319/32,</w:t>
            </w:r>
          </w:p>
        </w:tc>
        <w:tc>
          <w:tcPr>
            <w:tcW w:w="5295" w:type="dxa"/>
            <w:tcBorders>
              <w:left w:val="single" w:sz="6" w:space="0" w:color="231F20"/>
            </w:tcBorders>
          </w:tcPr>
          <w:p>
            <w:pPr>
              <w:pStyle w:val="TableParagraph"/>
              <w:spacing w:line="180" w:lineRule="exact" w:before="0"/>
              <w:ind w:right="48"/>
              <w:rPr>
                <w:sz w:val="18"/>
              </w:rPr>
            </w:pPr>
            <w:r>
              <w:rPr>
                <w:color w:val="231F20"/>
                <w:sz w:val="18"/>
              </w:rPr>
              <w:t>4425, 4426, 4427, 4429, 4430, 4431, 4432, 4433, 4434, 4435, 4436,</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319/33, 319/34, 319/35, 319/36, 319/37, 319/38, 319/39, 320/1, 320/2,</w:t>
            </w:r>
          </w:p>
        </w:tc>
        <w:tc>
          <w:tcPr>
            <w:tcW w:w="5295" w:type="dxa"/>
            <w:tcBorders>
              <w:left w:val="single" w:sz="6" w:space="0" w:color="231F20"/>
            </w:tcBorders>
          </w:tcPr>
          <w:p>
            <w:pPr>
              <w:pStyle w:val="TableParagraph"/>
              <w:spacing w:line="180" w:lineRule="exact" w:before="0"/>
              <w:ind w:right="48"/>
              <w:rPr>
                <w:sz w:val="18"/>
              </w:rPr>
            </w:pPr>
            <w:r>
              <w:rPr>
                <w:color w:val="231F20"/>
                <w:sz w:val="18"/>
              </w:rPr>
              <w:t>4437, 4439, 4440, 4441, 4442, 4443, 4444, 4445, 4446, 4447, 4448/1,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320/3, 320/4, 320/5, 321, 322, 323, 325, 326, 327, 328, 329, 330,</w:t>
            </w:r>
          </w:p>
        </w:tc>
        <w:tc>
          <w:tcPr>
            <w:tcW w:w="5295" w:type="dxa"/>
            <w:tcBorders>
              <w:left w:val="single" w:sz="6" w:space="0" w:color="231F20"/>
            </w:tcBorders>
          </w:tcPr>
          <w:p>
            <w:pPr>
              <w:pStyle w:val="TableParagraph"/>
              <w:spacing w:line="180" w:lineRule="exact" w:before="0"/>
              <w:ind w:right="48"/>
              <w:rPr>
                <w:sz w:val="18"/>
              </w:rPr>
            </w:pPr>
            <w:r>
              <w:rPr>
                <w:color w:val="231F20"/>
                <w:sz w:val="18"/>
              </w:rPr>
              <w:t>4448/2, 4449, 4450, 4451, 4452, 4453, 4454, 4455, 4456, 4457, 4458,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331, 332, 333, 334, 335, 336, 337, 338, 339, 340, 341, 342, 343, 344,</w:t>
            </w:r>
          </w:p>
        </w:tc>
        <w:tc>
          <w:tcPr>
            <w:tcW w:w="5295" w:type="dxa"/>
            <w:tcBorders>
              <w:left w:val="single" w:sz="6" w:space="0" w:color="231F20"/>
            </w:tcBorders>
          </w:tcPr>
          <w:p>
            <w:pPr>
              <w:pStyle w:val="TableParagraph"/>
              <w:spacing w:line="180" w:lineRule="exact" w:before="0"/>
              <w:ind w:right="48"/>
              <w:rPr>
                <w:sz w:val="18"/>
              </w:rPr>
            </w:pPr>
            <w:r>
              <w:rPr>
                <w:color w:val="231F20"/>
                <w:sz w:val="18"/>
              </w:rPr>
              <w:t>4459, 4460, 4461, 4462, 4463/1, 4463/2, 4464, 4465, 4466/1, 4466/2,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345, 346, 347, 348, 349, 350, 351, 352, 353, 354, 355, 356, 357, 358,</w:t>
            </w:r>
          </w:p>
        </w:tc>
        <w:tc>
          <w:tcPr>
            <w:tcW w:w="5295" w:type="dxa"/>
            <w:tcBorders>
              <w:left w:val="single" w:sz="6" w:space="0" w:color="231F20"/>
            </w:tcBorders>
          </w:tcPr>
          <w:p>
            <w:pPr>
              <w:pStyle w:val="TableParagraph"/>
              <w:spacing w:line="180" w:lineRule="exact" w:before="0"/>
              <w:ind w:right="48"/>
              <w:rPr>
                <w:sz w:val="18"/>
              </w:rPr>
            </w:pPr>
            <w:r>
              <w:rPr>
                <w:color w:val="231F20"/>
                <w:sz w:val="18"/>
              </w:rPr>
              <w:t>4467, 4468, 4469, 4470, 4471, 4472, 4473, 4474, 4475, 4476, 4477,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359, 360, 361, 362, 363, 364, 365, 366, 367, 368, 369, 370, 371, 372,</w:t>
            </w:r>
          </w:p>
        </w:tc>
        <w:tc>
          <w:tcPr>
            <w:tcW w:w="5295" w:type="dxa"/>
            <w:tcBorders>
              <w:left w:val="single" w:sz="6" w:space="0" w:color="231F20"/>
            </w:tcBorders>
          </w:tcPr>
          <w:p>
            <w:pPr>
              <w:pStyle w:val="TableParagraph"/>
              <w:spacing w:line="180" w:lineRule="exact" w:before="0"/>
              <w:ind w:right="48"/>
              <w:rPr>
                <w:sz w:val="18"/>
              </w:rPr>
            </w:pPr>
            <w:r>
              <w:rPr>
                <w:color w:val="231F20"/>
                <w:sz w:val="18"/>
              </w:rPr>
              <w:t>4478, 4479, 4480, 4481, 4482, 4483, 4484, 4485, 4486, 4487, 4488,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373, 374, 375, 376, 377, 386, 387, 388, 389, 390, 391, 392, 393, 394,</w:t>
            </w:r>
          </w:p>
        </w:tc>
        <w:tc>
          <w:tcPr>
            <w:tcW w:w="5295" w:type="dxa"/>
            <w:tcBorders>
              <w:left w:val="single" w:sz="6" w:space="0" w:color="231F20"/>
            </w:tcBorders>
          </w:tcPr>
          <w:p>
            <w:pPr>
              <w:pStyle w:val="TableParagraph"/>
              <w:spacing w:line="180" w:lineRule="exact" w:before="0"/>
              <w:ind w:right="48"/>
              <w:rPr>
                <w:sz w:val="18"/>
              </w:rPr>
            </w:pPr>
            <w:r>
              <w:rPr>
                <w:color w:val="231F20"/>
                <w:sz w:val="18"/>
              </w:rPr>
              <w:t>4489, 4490, 4491, 4492, 4493, 4494, 4495, 4496, 4497, 4498, 4499,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395, 396, 397, 398, 399, 400, 401, 402, 403, 404, 405, 406, 407, 408,</w:t>
            </w:r>
          </w:p>
        </w:tc>
        <w:tc>
          <w:tcPr>
            <w:tcW w:w="5295" w:type="dxa"/>
            <w:tcBorders>
              <w:left w:val="single" w:sz="6" w:space="0" w:color="231F20"/>
            </w:tcBorders>
          </w:tcPr>
          <w:p>
            <w:pPr>
              <w:pStyle w:val="TableParagraph"/>
              <w:spacing w:line="180" w:lineRule="exact" w:before="0"/>
              <w:ind w:right="48"/>
              <w:rPr>
                <w:sz w:val="18"/>
              </w:rPr>
            </w:pPr>
            <w:r>
              <w:rPr>
                <w:color w:val="231F20"/>
                <w:sz w:val="18"/>
              </w:rPr>
              <w:t>4500, 4501, 4502, 4503, 4504, 4505, 4506, 4507, 4508, 4509, 4510,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409, 410, 411, 412, 413, 414, 415, 416, 417, 418, 419, 420, 421, 422,</w:t>
            </w:r>
          </w:p>
        </w:tc>
        <w:tc>
          <w:tcPr>
            <w:tcW w:w="5295" w:type="dxa"/>
            <w:tcBorders>
              <w:left w:val="single" w:sz="6" w:space="0" w:color="231F20"/>
            </w:tcBorders>
          </w:tcPr>
          <w:p>
            <w:pPr>
              <w:pStyle w:val="TableParagraph"/>
              <w:spacing w:line="180" w:lineRule="exact" w:before="0"/>
              <w:ind w:right="48"/>
              <w:rPr>
                <w:sz w:val="18"/>
              </w:rPr>
            </w:pPr>
            <w:r>
              <w:rPr>
                <w:color w:val="231F20"/>
                <w:sz w:val="18"/>
              </w:rPr>
              <w:t>4511, 4512, 4513, 4514, 4515, 4516, 4518/1, 4518/2, 4518/3, 4518/4,</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423,424, 425, 426, 427, 428, 429, 430, 431, 432, 433, 434, 435, 436,</w:t>
            </w:r>
          </w:p>
        </w:tc>
        <w:tc>
          <w:tcPr>
            <w:tcW w:w="5295" w:type="dxa"/>
            <w:tcBorders>
              <w:left w:val="single" w:sz="6" w:space="0" w:color="231F20"/>
            </w:tcBorders>
          </w:tcPr>
          <w:p>
            <w:pPr>
              <w:pStyle w:val="TableParagraph"/>
              <w:spacing w:line="180" w:lineRule="exact" w:before="0"/>
              <w:ind w:right="48"/>
              <w:rPr>
                <w:sz w:val="18"/>
              </w:rPr>
            </w:pPr>
            <w:r>
              <w:rPr>
                <w:color w:val="231F20"/>
                <w:sz w:val="18"/>
              </w:rPr>
              <w:t>4519, 4520, 4521, 4522, 4523, 4524, 4525, 4526, 4527, 4528, 4529,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437, 438, 439, 440, 441/1, 441/2, 442, 443, 444, 445, 446, 447, 448,</w:t>
            </w:r>
          </w:p>
        </w:tc>
        <w:tc>
          <w:tcPr>
            <w:tcW w:w="5295" w:type="dxa"/>
            <w:tcBorders>
              <w:left w:val="single" w:sz="6" w:space="0" w:color="231F20"/>
            </w:tcBorders>
          </w:tcPr>
          <w:p>
            <w:pPr>
              <w:pStyle w:val="TableParagraph"/>
              <w:spacing w:line="180" w:lineRule="exact" w:before="0"/>
              <w:ind w:right="48"/>
              <w:rPr>
                <w:sz w:val="18"/>
              </w:rPr>
            </w:pPr>
            <w:r>
              <w:rPr>
                <w:color w:val="231F20"/>
                <w:sz w:val="18"/>
              </w:rPr>
              <w:t>4530, 4531, 4532, 4533, 4534, 4535, 4536, 4537, 4538, 4539, 4540,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449, 450, 451, 452, 453, 454/1, 454/2, 455, 456, 457, 458, 459, 460,</w:t>
            </w:r>
          </w:p>
        </w:tc>
        <w:tc>
          <w:tcPr>
            <w:tcW w:w="5295" w:type="dxa"/>
            <w:tcBorders>
              <w:left w:val="single" w:sz="6" w:space="0" w:color="231F20"/>
            </w:tcBorders>
          </w:tcPr>
          <w:p>
            <w:pPr>
              <w:pStyle w:val="TableParagraph"/>
              <w:spacing w:line="180" w:lineRule="exact" w:before="0"/>
              <w:ind w:right="48"/>
              <w:rPr>
                <w:sz w:val="18"/>
              </w:rPr>
            </w:pPr>
            <w:r>
              <w:rPr>
                <w:color w:val="231F20"/>
                <w:sz w:val="18"/>
              </w:rPr>
              <w:t>4541, 4542/1, 4542/2, 4543/1, 4543/2, 4544, 4545, 4546, 4547, 4548,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461, 463, 464, 465, 466, 467, 468, 469/1, 469/2, 470, 471, 472, 473,</w:t>
            </w:r>
          </w:p>
        </w:tc>
        <w:tc>
          <w:tcPr>
            <w:tcW w:w="5295" w:type="dxa"/>
            <w:tcBorders>
              <w:left w:val="single" w:sz="6" w:space="0" w:color="231F20"/>
            </w:tcBorders>
          </w:tcPr>
          <w:p>
            <w:pPr>
              <w:pStyle w:val="TableParagraph"/>
              <w:spacing w:line="180" w:lineRule="exact" w:before="0"/>
              <w:ind w:right="48"/>
              <w:rPr>
                <w:sz w:val="18"/>
              </w:rPr>
            </w:pPr>
            <w:r>
              <w:rPr>
                <w:color w:val="231F20"/>
                <w:sz w:val="18"/>
              </w:rPr>
              <w:t>4549, 4550, 4551, 4552, 4553, 4554, 4555, 4556, 4557, 4558, 4559,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474, 475, 476/1, 476/2, 477, 478, 479, 480, 481, 482, 483, 484, 485,</w:t>
            </w:r>
          </w:p>
        </w:tc>
        <w:tc>
          <w:tcPr>
            <w:tcW w:w="5295" w:type="dxa"/>
            <w:tcBorders>
              <w:left w:val="single" w:sz="6" w:space="0" w:color="231F20"/>
            </w:tcBorders>
          </w:tcPr>
          <w:p>
            <w:pPr>
              <w:pStyle w:val="TableParagraph"/>
              <w:spacing w:line="180" w:lineRule="exact" w:before="0"/>
              <w:ind w:right="48"/>
              <w:rPr>
                <w:sz w:val="18"/>
              </w:rPr>
            </w:pPr>
            <w:r>
              <w:rPr>
                <w:color w:val="231F20"/>
                <w:sz w:val="18"/>
              </w:rPr>
              <w:t>4560, 4561, 4562, 4563, 4564, 4565, 4566, 4567, 4568, 4569, 4570,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486, 487, 488, 489, 490, 491, 492, 493, 494, 495, 496, 497, 498, 499,</w:t>
            </w:r>
          </w:p>
        </w:tc>
        <w:tc>
          <w:tcPr>
            <w:tcW w:w="5295" w:type="dxa"/>
            <w:tcBorders>
              <w:left w:val="single" w:sz="6" w:space="0" w:color="231F20"/>
            </w:tcBorders>
          </w:tcPr>
          <w:p>
            <w:pPr>
              <w:pStyle w:val="TableParagraph"/>
              <w:spacing w:line="180" w:lineRule="exact" w:before="0"/>
              <w:ind w:right="48"/>
              <w:rPr>
                <w:sz w:val="18"/>
              </w:rPr>
            </w:pPr>
            <w:r>
              <w:rPr>
                <w:color w:val="231F20"/>
                <w:sz w:val="18"/>
              </w:rPr>
              <w:t>4571, 4572, 4573, 4574, 4575, 4576, 4577, 4578, 4579, 4580, 4581,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500/1, 500/2, 501, 502, 503, 504, 505, 506, 507, 508/1, 508/2, 509,</w:t>
            </w:r>
          </w:p>
        </w:tc>
        <w:tc>
          <w:tcPr>
            <w:tcW w:w="5295" w:type="dxa"/>
            <w:tcBorders>
              <w:left w:val="single" w:sz="6" w:space="0" w:color="231F20"/>
            </w:tcBorders>
          </w:tcPr>
          <w:p>
            <w:pPr>
              <w:pStyle w:val="TableParagraph"/>
              <w:spacing w:line="180" w:lineRule="exact" w:before="0"/>
              <w:ind w:right="48"/>
              <w:rPr>
                <w:sz w:val="18"/>
              </w:rPr>
            </w:pPr>
            <w:r>
              <w:rPr>
                <w:color w:val="231F20"/>
                <w:sz w:val="18"/>
              </w:rPr>
              <w:t>4582, 4583, 4584, 4585, 4586, 4587, 4588, 4589, 4590, 4591, 4593,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510, 511, 512, 513, 514, 515, 516, 517, 518, 519, 520, 521, 522, 523,</w:t>
            </w:r>
          </w:p>
        </w:tc>
        <w:tc>
          <w:tcPr>
            <w:tcW w:w="5295" w:type="dxa"/>
            <w:tcBorders>
              <w:left w:val="single" w:sz="6" w:space="0" w:color="231F20"/>
            </w:tcBorders>
          </w:tcPr>
          <w:p>
            <w:pPr>
              <w:pStyle w:val="TableParagraph"/>
              <w:spacing w:line="180" w:lineRule="exact" w:before="0"/>
              <w:ind w:right="48"/>
              <w:rPr>
                <w:sz w:val="18"/>
              </w:rPr>
            </w:pPr>
            <w:r>
              <w:rPr>
                <w:color w:val="231F20"/>
                <w:sz w:val="18"/>
              </w:rPr>
              <w:t>4594, 4596, 4597, 4598, 4599, 4600, 4601, 4602, 4603, 4604, 4605,</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524, 525, 526, 527, 528, 529, 530, 531, 532, 533, 534, 535, 536, 537,</w:t>
            </w:r>
          </w:p>
        </w:tc>
        <w:tc>
          <w:tcPr>
            <w:tcW w:w="5295" w:type="dxa"/>
            <w:tcBorders>
              <w:left w:val="single" w:sz="6" w:space="0" w:color="231F20"/>
            </w:tcBorders>
          </w:tcPr>
          <w:p>
            <w:pPr>
              <w:pStyle w:val="TableParagraph"/>
              <w:spacing w:line="180" w:lineRule="exact" w:before="0"/>
              <w:ind w:right="49"/>
              <w:rPr>
                <w:sz w:val="18"/>
              </w:rPr>
            </w:pPr>
            <w:r>
              <w:rPr>
                <w:color w:val="231F20"/>
                <w:sz w:val="18"/>
              </w:rPr>
              <w:t>4606, 4607, 4608, 4609, 4610, 4611, 4612, 4613, 4614, 4615/1,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538, 539, 540, 541, 542, 543, 544, 545, 546, 547, 548, 549, 550, 551,</w:t>
            </w:r>
          </w:p>
        </w:tc>
        <w:tc>
          <w:tcPr>
            <w:tcW w:w="5295" w:type="dxa"/>
            <w:tcBorders>
              <w:left w:val="single" w:sz="6" w:space="0" w:color="231F20"/>
            </w:tcBorders>
          </w:tcPr>
          <w:p>
            <w:pPr>
              <w:pStyle w:val="TableParagraph"/>
              <w:spacing w:line="180" w:lineRule="exact" w:before="0"/>
              <w:ind w:left="134"/>
              <w:jc w:val="left"/>
              <w:rPr>
                <w:sz w:val="18"/>
              </w:rPr>
            </w:pPr>
            <w:r>
              <w:rPr>
                <w:color w:val="231F20"/>
                <w:sz w:val="18"/>
              </w:rPr>
              <w:t>4615/2, 4615/3, 6036, 6037, 6038 и 6039;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552, 553, 554, 555, 556, 557, 558, 559, 560, 561, 562, 563, 564, 565,</w:t>
            </w:r>
          </w:p>
        </w:tc>
        <w:tc>
          <w:tcPr>
            <w:tcW w:w="5295" w:type="dxa"/>
            <w:tcBorders>
              <w:left w:val="single" w:sz="6" w:space="0" w:color="231F20"/>
            </w:tcBorders>
          </w:tcPr>
          <w:p>
            <w:pPr>
              <w:pStyle w:val="TableParagraph"/>
              <w:spacing w:line="180" w:lineRule="exact" w:before="0"/>
              <w:ind w:left="531"/>
              <w:jc w:val="left"/>
              <w:rPr>
                <w:sz w:val="18"/>
              </w:rPr>
            </w:pPr>
            <w:r>
              <w:rPr>
                <w:color w:val="231F20"/>
                <w:sz w:val="18"/>
              </w:rPr>
              <w:t>КО Дрмно (ГО Пожаревац)</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566, 567, 568, 569, 570, 571, 572, 573, 574, 575, 576, 577, 578, 579,</w:t>
            </w:r>
          </w:p>
        </w:tc>
        <w:tc>
          <w:tcPr>
            <w:tcW w:w="5295" w:type="dxa"/>
            <w:tcBorders>
              <w:left w:val="single" w:sz="6" w:space="0" w:color="231F20"/>
            </w:tcBorders>
          </w:tcPr>
          <w:p>
            <w:pPr>
              <w:pStyle w:val="TableParagraph"/>
              <w:spacing w:line="180" w:lineRule="exact" w:before="0"/>
              <w:ind w:right="48"/>
              <w:rPr>
                <w:sz w:val="18"/>
              </w:rPr>
            </w:pPr>
            <w:r>
              <w:rPr>
                <w:color w:val="231F20"/>
                <w:sz w:val="18"/>
              </w:rPr>
              <w:t>к. п. бр. 1, 2, 3, 4, 5, 6, 7, 8, 9, 10, 11, 12, 13, 14, 15, 16, 17, 18,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580, 581, 582, 583, 584, 585, 586, 587, 588, 589, 590, 591, 592, 593,</w:t>
            </w:r>
          </w:p>
        </w:tc>
        <w:tc>
          <w:tcPr>
            <w:tcW w:w="5295" w:type="dxa"/>
            <w:tcBorders>
              <w:left w:val="single" w:sz="6" w:space="0" w:color="231F20"/>
            </w:tcBorders>
          </w:tcPr>
          <w:p>
            <w:pPr>
              <w:pStyle w:val="TableParagraph"/>
              <w:spacing w:line="180" w:lineRule="exact" w:before="0"/>
              <w:ind w:right="49"/>
              <w:rPr>
                <w:sz w:val="18"/>
              </w:rPr>
            </w:pPr>
            <w:r>
              <w:rPr>
                <w:color w:val="231F20"/>
                <w:sz w:val="18"/>
              </w:rPr>
              <w:t>19, 20, 21, 22, 23, 24, 25/1, 25/2, 26/1, 26/2, 27/1, 27/2, 28/1, 28/2,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594, 595, 596, 597, 598, 599, 600, 601, 602, 603, 604, 605, 606, 607,</w:t>
            </w:r>
          </w:p>
        </w:tc>
        <w:tc>
          <w:tcPr>
            <w:tcW w:w="5295" w:type="dxa"/>
            <w:tcBorders>
              <w:left w:val="single" w:sz="6" w:space="0" w:color="231F20"/>
            </w:tcBorders>
          </w:tcPr>
          <w:p>
            <w:pPr>
              <w:pStyle w:val="TableParagraph"/>
              <w:spacing w:line="180" w:lineRule="exact" w:before="0"/>
              <w:ind w:right="49"/>
              <w:rPr>
                <w:sz w:val="18"/>
              </w:rPr>
            </w:pPr>
            <w:r>
              <w:rPr>
                <w:color w:val="231F20"/>
                <w:sz w:val="18"/>
              </w:rPr>
              <w:t>29/1, 29/2, 30/1, 30/2, 30/3, 30/4, 31/1, 31/2, 32, 33, 34, 35, 36, 37,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608, 609, 610, 611, 612, 613, 614, 615, 616, 617, 618, 619, 620, 621,</w:t>
            </w:r>
          </w:p>
        </w:tc>
        <w:tc>
          <w:tcPr>
            <w:tcW w:w="5295" w:type="dxa"/>
            <w:tcBorders>
              <w:left w:val="single" w:sz="6" w:space="0" w:color="231F20"/>
            </w:tcBorders>
          </w:tcPr>
          <w:p>
            <w:pPr>
              <w:pStyle w:val="TableParagraph"/>
              <w:spacing w:line="180" w:lineRule="exact" w:before="0"/>
              <w:ind w:right="49"/>
              <w:rPr>
                <w:sz w:val="18"/>
              </w:rPr>
            </w:pPr>
            <w:r>
              <w:rPr>
                <w:color w:val="231F20"/>
                <w:sz w:val="18"/>
              </w:rPr>
              <w:t>38, 39, 40, 41, 42, 43, 44, 45, 46, 47, 48, 49, 50, 51, 52, 53, 54, 55, 56,</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622, 623, 624, 625, 626, 627, 628, 629, 630, 631, 632, 633, 634, 635,</w:t>
            </w:r>
          </w:p>
        </w:tc>
        <w:tc>
          <w:tcPr>
            <w:tcW w:w="5295" w:type="dxa"/>
            <w:tcBorders>
              <w:left w:val="single" w:sz="6" w:space="0" w:color="231F20"/>
            </w:tcBorders>
          </w:tcPr>
          <w:p>
            <w:pPr>
              <w:pStyle w:val="TableParagraph"/>
              <w:spacing w:line="180" w:lineRule="exact" w:before="0"/>
              <w:ind w:right="49"/>
              <w:rPr>
                <w:sz w:val="18"/>
              </w:rPr>
            </w:pPr>
            <w:r>
              <w:rPr>
                <w:color w:val="231F20"/>
                <w:sz w:val="18"/>
              </w:rPr>
              <w:t>57, 58, 59, 60, 61, 62, 63, 64, 65, 66, 67, 68, 69, 70, 71, 72, 73, 74, 75,</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636, 637, 638/1, 638/2, 639/1, 639/2, 640, 641/1, 641/2, 642, 643, 644,</w:t>
            </w:r>
          </w:p>
        </w:tc>
        <w:tc>
          <w:tcPr>
            <w:tcW w:w="5295" w:type="dxa"/>
            <w:tcBorders>
              <w:left w:val="single" w:sz="6" w:space="0" w:color="231F20"/>
            </w:tcBorders>
          </w:tcPr>
          <w:p>
            <w:pPr>
              <w:pStyle w:val="TableParagraph"/>
              <w:spacing w:line="180" w:lineRule="exact" w:before="0"/>
              <w:ind w:right="49"/>
              <w:rPr>
                <w:sz w:val="18"/>
              </w:rPr>
            </w:pPr>
            <w:r>
              <w:rPr>
                <w:color w:val="231F20"/>
                <w:sz w:val="18"/>
              </w:rPr>
              <w:t>76, 77, 78, 79, 80, 81, 82, 83, 84, 85, 86, 87, 88, 89, 90, 91, 92, 93, 94,</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645, 646, 647, 648, 649, 650, 651, 652, 653, 654, 655, 656, 657, 658,</w:t>
            </w:r>
          </w:p>
        </w:tc>
        <w:tc>
          <w:tcPr>
            <w:tcW w:w="5295" w:type="dxa"/>
            <w:tcBorders>
              <w:left w:val="single" w:sz="6" w:space="0" w:color="231F20"/>
            </w:tcBorders>
          </w:tcPr>
          <w:p>
            <w:pPr>
              <w:pStyle w:val="TableParagraph"/>
              <w:spacing w:line="180" w:lineRule="exact" w:before="0"/>
              <w:ind w:right="48"/>
              <w:rPr>
                <w:sz w:val="18"/>
              </w:rPr>
            </w:pPr>
            <w:r>
              <w:rPr>
                <w:color w:val="231F20"/>
                <w:sz w:val="18"/>
              </w:rPr>
              <w:t>95, 96, 97, 98, 105, 106, 107, 108, 109, 110, 111, 112, 113, 114, 115,</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659, 660, 661, 662, 663, 664, 665, 666, 667, 668, 669, 670, 671, 672,</w:t>
            </w:r>
          </w:p>
        </w:tc>
        <w:tc>
          <w:tcPr>
            <w:tcW w:w="5295" w:type="dxa"/>
            <w:tcBorders>
              <w:left w:val="single" w:sz="6" w:space="0" w:color="231F20"/>
            </w:tcBorders>
          </w:tcPr>
          <w:p>
            <w:pPr>
              <w:pStyle w:val="TableParagraph"/>
              <w:spacing w:line="180" w:lineRule="exact" w:before="0"/>
              <w:ind w:right="49"/>
              <w:rPr>
                <w:sz w:val="18"/>
              </w:rPr>
            </w:pPr>
            <w:r>
              <w:rPr>
                <w:color w:val="231F20"/>
                <w:sz w:val="18"/>
              </w:rPr>
              <w:t>116, 117, 118, 119, 120, 121, 122, 123, 124, 125, 126, 127, 128, 129,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673, 674, 675, 676/1, 676/2, 677, 678/1, 678/2, 679, 680, 681, 682,</w:t>
            </w:r>
          </w:p>
        </w:tc>
        <w:tc>
          <w:tcPr>
            <w:tcW w:w="5295" w:type="dxa"/>
            <w:tcBorders>
              <w:left w:val="single" w:sz="6" w:space="0" w:color="231F20"/>
            </w:tcBorders>
          </w:tcPr>
          <w:p>
            <w:pPr>
              <w:pStyle w:val="TableParagraph"/>
              <w:spacing w:line="180" w:lineRule="exact" w:before="0"/>
              <w:ind w:right="48"/>
              <w:rPr>
                <w:sz w:val="18"/>
              </w:rPr>
            </w:pPr>
            <w:r>
              <w:rPr>
                <w:color w:val="231F20"/>
                <w:sz w:val="18"/>
              </w:rPr>
              <w:t>130, 131, 132, 133, 134, 135, 136, 137, 138, 139, 140, 141, 142, 143,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683, 684, 685, 686, 687, 688, 690/5, 1340, 1426/1, 1426/2, 1426/3,</w:t>
            </w:r>
          </w:p>
        </w:tc>
        <w:tc>
          <w:tcPr>
            <w:tcW w:w="5295" w:type="dxa"/>
            <w:tcBorders>
              <w:left w:val="single" w:sz="6" w:space="0" w:color="231F20"/>
            </w:tcBorders>
          </w:tcPr>
          <w:p>
            <w:pPr>
              <w:pStyle w:val="TableParagraph"/>
              <w:spacing w:line="180" w:lineRule="exact" w:before="0"/>
              <w:ind w:right="48"/>
              <w:rPr>
                <w:sz w:val="18"/>
              </w:rPr>
            </w:pPr>
            <w:r>
              <w:rPr>
                <w:color w:val="231F20"/>
                <w:sz w:val="18"/>
              </w:rPr>
              <w:t>144, 145, 146, 147, 148, 149, 150, 151, 152, 153, 154, 155, 156, 157,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1426/4, 1426/5, 1426/6, 1426/7, 1426/8, 1426/9, 1426/10, 1426/11,</w:t>
            </w:r>
          </w:p>
        </w:tc>
        <w:tc>
          <w:tcPr>
            <w:tcW w:w="5295" w:type="dxa"/>
            <w:tcBorders>
              <w:left w:val="single" w:sz="6" w:space="0" w:color="231F20"/>
            </w:tcBorders>
          </w:tcPr>
          <w:p>
            <w:pPr>
              <w:pStyle w:val="TableParagraph"/>
              <w:spacing w:line="180" w:lineRule="exact" w:before="0"/>
              <w:ind w:right="48"/>
              <w:rPr>
                <w:sz w:val="18"/>
              </w:rPr>
            </w:pPr>
            <w:r>
              <w:rPr>
                <w:color w:val="231F20"/>
                <w:sz w:val="18"/>
              </w:rPr>
              <w:t>158, 159, 160, 161, 162, 163, 164, 165, 166, 167, 168, 169, 171, 172,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1426/12, 1426/13, 1426/14, 1426/15, 1426/16, 1427, 1487, 1488,</w:t>
            </w:r>
          </w:p>
        </w:tc>
        <w:tc>
          <w:tcPr>
            <w:tcW w:w="5295" w:type="dxa"/>
            <w:tcBorders>
              <w:left w:val="single" w:sz="6" w:space="0" w:color="231F20"/>
            </w:tcBorders>
          </w:tcPr>
          <w:p>
            <w:pPr>
              <w:pStyle w:val="TableParagraph"/>
              <w:spacing w:line="180" w:lineRule="exact" w:before="0"/>
              <w:ind w:right="48"/>
              <w:rPr>
                <w:sz w:val="18"/>
              </w:rPr>
            </w:pPr>
            <w:r>
              <w:rPr>
                <w:color w:val="231F20"/>
                <w:sz w:val="18"/>
              </w:rPr>
              <w:t>173, 174, 175, 176, 177, 178, 179, 180, 181, 182, 183, 184, 185, 186,</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1489, 1490, 1494, 1528, 1529, 1537, 1538, 1539, 1540, 1541, 1542,</w:t>
            </w:r>
          </w:p>
        </w:tc>
        <w:tc>
          <w:tcPr>
            <w:tcW w:w="5295" w:type="dxa"/>
            <w:tcBorders>
              <w:left w:val="single" w:sz="6" w:space="0" w:color="231F20"/>
            </w:tcBorders>
          </w:tcPr>
          <w:p>
            <w:pPr>
              <w:pStyle w:val="TableParagraph"/>
              <w:spacing w:line="180" w:lineRule="exact" w:before="0"/>
              <w:ind w:right="48"/>
              <w:rPr>
                <w:sz w:val="18"/>
              </w:rPr>
            </w:pPr>
            <w:r>
              <w:rPr>
                <w:color w:val="231F20"/>
                <w:sz w:val="18"/>
              </w:rPr>
              <w:t>187, 188, 189, 190, 191, 192, 193, 194, 195, 196, 197, 198, 199, 200,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1543, 1544, 1545, 1546, 1547, 1548, 1550, 1551, 1552, 1553, 1554,</w:t>
            </w:r>
          </w:p>
        </w:tc>
        <w:tc>
          <w:tcPr>
            <w:tcW w:w="5295" w:type="dxa"/>
            <w:tcBorders>
              <w:left w:val="single" w:sz="6" w:space="0" w:color="231F20"/>
            </w:tcBorders>
          </w:tcPr>
          <w:p>
            <w:pPr>
              <w:pStyle w:val="TableParagraph"/>
              <w:spacing w:line="180" w:lineRule="exact" w:before="0"/>
              <w:ind w:right="48"/>
              <w:rPr>
                <w:sz w:val="18"/>
              </w:rPr>
            </w:pPr>
            <w:r>
              <w:rPr>
                <w:color w:val="231F20"/>
                <w:sz w:val="18"/>
              </w:rPr>
              <w:t>201, 202, 203, 204, 205, 206, 235, 236, 237, 238, 239, 240, 241, 242,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1556, 1557, 1558, 1559, 1571, 1574, 1575, 1576, 1577, 1578, 1579,</w:t>
            </w:r>
          </w:p>
        </w:tc>
        <w:tc>
          <w:tcPr>
            <w:tcW w:w="5295" w:type="dxa"/>
            <w:tcBorders>
              <w:left w:val="single" w:sz="6" w:space="0" w:color="231F20"/>
            </w:tcBorders>
          </w:tcPr>
          <w:p>
            <w:pPr>
              <w:pStyle w:val="TableParagraph"/>
              <w:spacing w:line="180" w:lineRule="exact" w:before="0"/>
              <w:ind w:right="48"/>
              <w:rPr>
                <w:sz w:val="18"/>
              </w:rPr>
            </w:pPr>
            <w:r>
              <w:rPr>
                <w:color w:val="231F20"/>
                <w:sz w:val="18"/>
              </w:rPr>
              <w:t>243, 244, 245, 246, 247, 248, 249, 250, 251, 252, 253, 254, 255, 256/1,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1580, 1581, 1582, 1601, 1602, 1603, 4002, 4004, 4005, 4006, 4007,</w:t>
            </w:r>
          </w:p>
        </w:tc>
        <w:tc>
          <w:tcPr>
            <w:tcW w:w="5295" w:type="dxa"/>
            <w:tcBorders>
              <w:left w:val="single" w:sz="6" w:space="0" w:color="231F20"/>
            </w:tcBorders>
          </w:tcPr>
          <w:p>
            <w:pPr>
              <w:pStyle w:val="TableParagraph"/>
              <w:spacing w:line="180" w:lineRule="exact" w:before="0"/>
              <w:ind w:right="48"/>
              <w:rPr>
                <w:sz w:val="18"/>
              </w:rPr>
            </w:pPr>
            <w:r>
              <w:rPr>
                <w:color w:val="231F20"/>
                <w:sz w:val="18"/>
              </w:rPr>
              <w:t>256/2, 257, 258, 259, 260, 261, 262, 263, 264, 265, 266, 267, 268, 269,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4008/1, 4008/2, 4009, 4010, 4011, 4012, 4013, 4014, 4015, 4016,</w:t>
            </w:r>
          </w:p>
        </w:tc>
        <w:tc>
          <w:tcPr>
            <w:tcW w:w="5295" w:type="dxa"/>
            <w:tcBorders>
              <w:left w:val="single" w:sz="6" w:space="0" w:color="231F20"/>
            </w:tcBorders>
          </w:tcPr>
          <w:p>
            <w:pPr>
              <w:pStyle w:val="TableParagraph"/>
              <w:spacing w:line="180" w:lineRule="exact" w:before="0"/>
              <w:ind w:right="48"/>
              <w:rPr>
                <w:sz w:val="18"/>
              </w:rPr>
            </w:pPr>
            <w:r>
              <w:rPr>
                <w:color w:val="231F20"/>
                <w:sz w:val="18"/>
              </w:rPr>
              <w:t>270, 271, 272, 273, 274, 275, 276, 277, 278, 279, 280, 281, 282, 283,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4017, 4018, 4019, 4021, 4022, 4023, 4024, 4025, 4026, 4027, 4028,</w:t>
            </w:r>
          </w:p>
        </w:tc>
        <w:tc>
          <w:tcPr>
            <w:tcW w:w="5295" w:type="dxa"/>
            <w:tcBorders>
              <w:left w:val="single" w:sz="6" w:space="0" w:color="231F20"/>
            </w:tcBorders>
          </w:tcPr>
          <w:p>
            <w:pPr>
              <w:pStyle w:val="TableParagraph"/>
              <w:spacing w:line="180" w:lineRule="exact" w:before="0"/>
              <w:ind w:right="48"/>
              <w:rPr>
                <w:sz w:val="18"/>
              </w:rPr>
            </w:pPr>
            <w:r>
              <w:rPr>
                <w:color w:val="231F20"/>
                <w:sz w:val="18"/>
              </w:rPr>
              <w:t>284, 285, 286, 287, 288, 289, 290, 291, 292, 293, 294, 295, 296, 297,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4029, 4033/1, 4033/2, 4034, 4035, 4036, 4037, 4038, 4039, 4040,</w:t>
            </w:r>
          </w:p>
        </w:tc>
        <w:tc>
          <w:tcPr>
            <w:tcW w:w="5295" w:type="dxa"/>
            <w:tcBorders>
              <w:left w:val="single" w:sz="6" w:space="0" w:color="231F20"/>
            </w:tcBorders>
          </w:tcPr>
          <w:p>
            <w:pPr>
              <w:pStyle w:val="TableParagraph"/>
              <w:spacing w:line="180" w:lineRule="exact" w:before="0"/>
              <w:ind w:right="48"/>
              <w:rPr>
                <w:sz w:val="18"/>
              </w:rPr>
            </w:pPr>
            <w:r>
              <w:rPr>
                <w:color w:val="231F20"/>
                <w:sz w:val="18"/>
              </w:rPr>
              <w:t>298, 299, 300, 301, 302, 303, 304, 305, 306, 307, 308, 309, 310, 311,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4042, 4043, 4044, 4045, 4046, 4047, 4048, 4049, 4050, 4051, 4052,</w:t>
            </w:r>
          </w:p>
        </w:tc>
        <w:tc>
          <w:tcPr>
            <w:tcW w:w="5295" w:type="dxa"/>
            <w:tcBorders>
              <w:left w:val="single" w:sz="6" w:space="0" w:color="231F20"/>
            </w:tcBorders>
          </w:tcPr>
          <w:p>
            <w:pPr>
              <w:pStyle w:val="TableParagraph"/>
              <w:spacing w:line="180" w:lineRule="exact" w:before="0"/>
              <w:ind w:right="48"/>
              <w:rPr>
                <w:sz w:val="18"/>
              </w:rPr>
            </w:pPr>
            <w:r>
              <w:rPr>
                <w:color w:val="231F20"/>
                <w:sz w:val="18"/>
              </w:rPr>
              <w:t>312/1, 312/2, 313, 314, 315, 316, 317, 318, 319, 320, 321, 322, 323,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4053, 4054, 4055, 4056, 4057, 4058, 4060, 4062, 4063, 4064, 4065,</w:t>
            </w:r>
          </w:p>
        </w:tc>
        <w:tc>
          <w:tcPr>
            <w:tcW w:w="5295" w:type="dxa"/>
            <w:tcBorders>
              <w:left w:val="single" w:sz="6" w:space="0" w:color="231F20"/>
            </w:tcBorders>
          </w:tcPr>
          <w:p>
            <w:pPr>
              <w:pStyle w:val="TableParagraph"/>
              <w:spacing w:line="180" w:lineRule="exact" w:before="0"/>
              <w:ind w:right="48"/>
              <w:rPr>
                <w:sz w:val="18"/>
              </w:rPr>
            </w:pPr>
            <w:r>
              <w:rPr>
                <w:color w:val="231F20"/>
                <w:sz w:val="18"/>
              </w:rPr>
              <w:t>324, 325, 326, 327, 467, 468, 469, 470, 471, 472, 473, 474, 475, 476,</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4067, 4068, 4069, 4070, 4071, 4072, 4073, 4074, 4075, 4076, 4077,</w:t>
            </w:r>
          </w:p>
        </w:tc>
        <w:tc>
          <w:tcPr>
            <w:tcW w:w="5295" w:type="dxa"/>
            <w:tcBorders>
              <w:left w:val="single" w:sz="6" w:space="0" w:color="231F20"/>
            </w:tcBorders>
          </w:tcPr>
          <w:p>
            <w:pPr>
              <w:pStyle w:val="TableParagraph"/>
              <w:spacing w:line="180" w:lineRule="exact" w:before="0"/>
              <w:ind w:right="48"/>
              <w:rPr>
                <w:sz w:val="18"/>
              </w:rPr>
            </w:pPr>
            <w:r>
              <w:rPr>
                <w:color w:val="231F20"/>
                <w:sz w:val="18"/>
              </w:rPr>
              <w:t>477, 478, 479, 480, 482, 483, 484, 486, 487, 488, 489, 490, 491, 492,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4078, 4079, 4080, 4081, 4082, 4083, 4084, 4085, 4086, 4087, 4088,</w:t>
            </w:r>
          </w:p>
        </w:tc>
        <w:tc>
          <w:tcPr>
            <w:tcW w:w="5295" w:type="dxa"/>
            <w:tcBorders>
              <w:left w:val="single" w:sz="6" w:space="0" w:color="231F20"/>
            </w:tcBorders>
          </w:tcPr>
          <w:p>
            <w:pPr>
              <w:pStyle w:val="TableParagraph"/>
              <w:spacing w:line="180" w:lineRule="exact" w:before="0"/>
              <w:ind w:right="48"/>
              <w:rPr>
                <w:sz w:val="18"/>
              </w:rPr>
            </w:pPr>
            <w:r>
              <w:rPr>
                <w:color w:val="231F20"/>
                <w:sz w:val="18"/>
              </w:rPr>
              <w:t>493, 494, 496, 497, 498, 499, 500, 501, 502, 503, 504, 505, 506, 507,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4089, 4090, 4091, 4092, 4093, 4094, 4095, 4096, 4097, 4098, 4100,</w:t>
            </w:r>
          </w:p>
        </w:tc>
        <w:tc>
          <w:tcPr>
            <w:tcW w:w="5295" w:type="dxa"/>
            <w:tcBorders>
              <w:left w:val="single" w:sz="6" w:space="0" w:color="231F20"/>
            </w:tcBorders>
          </w:tcPr>
          <w:p>
            <w:pPr>
              <w:pStyle w:val="TableParagraph"/>
              <w:spacing w:line="180" w:lineRule="exact" w:before="0"/>
              <w:ind w:right="47"/>
              <w:rPr>
                <w:sz w:val="18"/>
              </w:rPr>
            </w:pPr>
            <w:r>
              <w:rPr>
                <w:color w:val="231F20"/>
                <w:sz w:val="18"/>
              </w:rPr>
              <w:t>508, 510, 511, 513, 514, 515, 516, 518, 519, 520, 544, 673, 757/1,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4101, 4102, 4103, 4104, 4105, 4106, 4107, 4108, 4109, 4110, 4111,</w:t>
            </w:r>
          </w:p>
        </w:tc>
        <w:tc>
          <w:tcPr>
            <w:tcW w:w="5295" w:type="dxa"/>
            <w:tcBorders>
              <w:left w:val="single" w:sz="6" w:space="0" w:color="231F20"/>
            </w:tcBorders>
          </w:tcPr>
          <w:p>
            <w:pPr>
              <w:pStyle w:val="TableParagraph"/>
              <w:spacing w:line="180" w:lineRule="exact" w:before="0"/>
              <w:ind w:right="48"/>
              <w:rPr>
                <w:sz w:val="18"/>
              </w:rPr>
            </w:pPr>
            <w:r>
              <w:rPr>
                <w:color w:val="231F20"/>
                <w:sz w:val="18"/>
              </w:rPr>
              <w:t>759, 760, 761, 762, 763, 764, 765, 766, 767, 768, 769, 770, 771, 772,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4112, 4113, 4114, 4115, 4116, 4117, 4118, 4119, 4120/1, 4120/2, 4121,</w:t>
            </w:r>
          </w:p>
        </w:tc>
        <w:tc>
          <w:tcPr>
            <w:tcW w:w="5295" w:type="dxa"/>
            <w:tcBorders>
              <w:left w:val="single" w:sz="6" w:space="0" w:color="231F20"/>
            </w:tcBorders>
          </w:tcPr>
          <w:p>
            <w:pPr>
              <w:pStyle w:val="TableParagraph"/>
              <w:spacing w:line="180" w:lineRule="exact" w:before="0"/>
              <w:ind w:right="48"/>
              <w:rPr>
                <w:sz w:val="18"/>
              </w:rPr>
            </w:pPr>
            <w:r>
              <w:rPr>
                <w:color w:val="231F20"/>
                <w:sz w:val="18"/>
              </w:rPr>
              <w:t>773, 774/1, 774/2, 775, 776, 777, 778, 779, 780, 781, 782, 783, 784,</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4122, 4123, 4124, 4125, 4126, 4127, 4129, 4132, 4133, 4134, 4135,</w:t>
            </w:r>
          </w:p>
        </w:tc>
        <w:tc>
          <w:tcPr>
            <w:tcW w:w="5295" w:type="dxa"/>
            <w:tcBorders>
              <w:left w:val="single" w:sz="6" w:space="0" w:color="231F20"/>
            </w:tcBorders>
          </w:tcPr>
          <w:p>
            <w:pPr>
              <w:pStyle w:val="TableParagraph"/>
              <w:spacing w:line="180" w:lineRule="exact" w:before="0"/>
              <w:ind w:right="48"/>
              <w:rPr>
                <w:sz w:val="18"/>
              </w:rPr>
            </w:pPr>
            <w:r>
              <w:rPr>
                <w:color w:val="231F20"/>
                <w:sz w:val="18"/>
              </w:rPr>
              <w:t>785, 786, 787, 788, 789, 790, 791, 792, 793, 794, 795, 796, 797, 798,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4136, 4137, 4138, 4139, 4140, 4141, 4142, 4143/1, 4143/2, 4144,</w:t>
            </w:r>
          </w:p>
        </w:tc>
        <w:tc>
          <w:tcPr>
            <w:tcW w:w="5295" w:type="dxa"/>
            <w:tcBorders>
              <w:left w:val="single" w:sz="6" w:space="0" w:color="231F20"/>
            </w:tcBorders>
          </w:tcPr>
          <w:p>
            <w:pPr>
              <w:pStyle w:val="TableParagraph"/>
              <w:spacing w:line="180" w:lineRule="exact" w:before="0"/>
              <w:ind w:right="49"/>
              <w:rPr>
                <w:sz w:val="18"/>
              </w:rPr>
            </w:pPr>
            <w:r>
              <w:rPr>
                <w:color w:val="231F20"/>
                <w:sz w:val="18"/>
              </w:rPr>
              <w:t>799/1, 799/2, 800, 821/1, 821/2, 821/3, 821/4, 821/5, 821/6, 821/7,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4145, 4146, 4147, 4148, 4149/1, 4149/2, 4149/3, 4150, 4152, 4153/1,</w:t>
            </w:r>
          </w:p>
        </w:tc>
        <w:tc>
          <w:tcPr>
            <w:tcW w:w="5295" w:type="dxa"/>
            <w:tcBorders>
              <w:left w:val="single" w:sz="6" w:space="0" w:color="231F20"/>
            </w:tcBorders>
          </w:tcPr>
          <w:p>
            <w:pPr>
              <w:pStyle w:val="TableParagraph"/>
              <w:spacing w:line="180" w:lineRule="exact" w:before="0"/>
              <w:ind w:right="48"/>
              <w:rPr>
                <w:sz w:val="18"/>
              </w:rPr>
            </w:pPr>
            <w:r>
              <w:rPr>
                <w:color w:val="231F20"/>
                <w:sz w:val="18"/>
              </w:rPr>
              <w:t>821/8, 821/9,1304, 1305, 1306, 1307, 1308, 1309, 1310, 1311, 1312,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4153/2, 4155, 4160/1, 4160/2, 4161/1, 4161/2, 4161/3, 4164, 4165,</w:t>
            </w:r>
          </w:p>
        </w:tc>
        <w:tc>
          <w:tcPr>
            <w:tcW w:w="5295" w:type="dxa"/>
            <w:tcBorders>
              <w:left w:val="single" w:sz="6" w:space="0" w:color="231F20"/>
            </w:tcBorders>
          </w:tcPr>
          <w:p>
            <w:pPr>
              <w:pStyle w:val="TableParagraph"/>
              <w:spacing w:line="180" w:lineRule="exact" w:before="0"/>
              <w:ind w:right="48"/>
              <w:rPr>
                <w:sz w:val="18"/>
              </w:rPr>
            </w:pPr>
            <w:r>
              <w:rPr>
                <w:color w:val="231F20"/>
                <w:sz w:val="18"/>
              </w:rPr>
              <w:t>1313, 1314, 1315, 1316, 1317, 1318, 1319, 1320, 1321, 1336, 1337,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4166, 4167, 4168, 4169, 4170, 4171, 4172, 4173, 4174, 4175, 4176/1,</w:t>
            </w:r>
          </w:p>
        </w:tc>
        <w:tc>
          <w:tcPr>
            <w:tcW w:w="5295" w:type="dxa"/>
            <w:tcBorders>
              <w:left w:val="single" w:sz="6" w:space="0" w:color="231F20"/>
            </w:tcBorders>
          </w:tcPr>
          <w:p>
            <w:pPr>
              <w:pStyle w:val="TableParagraph"/>
              <w:spacing w:line="180" w:lineRule="exact" w:before="0"/>
              <w:ind w:right="48"/>
              <w:rPr>
                <w:sz w:val="18"/>
              </w:rPr>
            </w:pPr>
            <w:r>
              <w:rPr>
                <w:color w:val="231F20"/>
                <w:sz w:val="18"/>
              </w:rPr>
              <w:t>1338, 1339, 1340, 1341, 1342, 1343, 1344, 1345, 1347, 1348, 1349,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4176/2, 4177, 4178, 4179, 4180, 4181, 4182/1, 4182/2, 4183, 4184,</w:t>
            </w:r>
          </w:p>
        </w:tc>
        <w:tc>
          <w:tcPr>
            <w:tcW w:w="5295" w:type="dxa"/>
            <w:tcBorders>
              <w:left w:val="single" w:sz="6" w:space="0" w:color="231F20"/>
            </w:tcBorders>
          </w:tcPr>
          <w:p>
            <w:pPr>
              <w:pStyle w:val="TableParagraph"/>
              <w:spacing w:line="180" w:lineRule="exact" w:before="0"/>
              <w:ind w:right="48"/>
              <w:rPr>
                <w:sz w:val="18"/>
              </w:rPr>
            </w:pPr>
            <w:r>
              <w:rPr>
                <w:color w:val="231F20"/>
                <w:sz w:val="18"/>
              </w:rPr>
              <w:t>1350, 1351/1, 1351/2, 1352, 1353, 1354, 1355, 1356, 1357, 1358,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4185, 4186, 4187, 4188, 4189, 4190, 4191, 4192, 4193, 4194, 4195,</w:t>
            </w:r>
          </w:p>
        </w:tc>
        <w:tc>
          <w:tcPr>
            <w:tcW w:w="5295" w:type="dxa"/>
            <w:tcBorders>
              <w:left w:val="single" w:sz="6" w:space="0" w:color="231F20"/>
            </w:tcBorders>
          </w:tcPr>
          <w:p>
            <w:pPr>
              <w:pStyle w:val="TableParagraph"/>
              <w:spacing w:line="180" w:lineRule="exact" w:before="0"/>
              <w:ind w:right="48"/>
              <w:rPr>
                <w:sz w:val="18"/>
              </w:rPr>
            </w:pPr>
            <w:r>
              <w:rPr>
                <w:color w:val="231F20"/>
                <w:sz w:val="18"/>
              </w:rPr>
              <w:t>1359, 1360, 1361, 1362, 1363, 1364, 1365, 1366, 1367, 1368, 1369,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4196, 4197/1, 4197/2, 4197/3, 4197/4, 4198, 4199/1, 4199/2, 4200,</w:t>
            </w:r>
          </w:p>
        </w:tc>
        <w:tc>
          <w:tcPr>
            <w:tcW w:w="5295" w:type="dxa"/>
            <w:tcBorders>
              <w:left w:val="single" w:sz="6" w:space="0" w:color="231F20"/>
            </w:tcBorders>
          </w:tcPr>
          <w:p>
            <w:pPr>
              <w:pStyle w:val="TableParagraph"/>
              <w:spacing w:line="180" w:lineRule="exact" w:before="0"/>
              <w:ind w:right="48"/>
              <w:rPr>
                <w:sz w:val="18"/>
              </w:rPr>
            </w:pPr>
            <w:r>
              <w:rPr>
                <w:color w:val="231F20"/>
                <w:sz w:val="18"/>
              </w:rPr>
              <w:t>1370, 1371, 1372, 1373, 1374, 1375, 1376, 1377, 1378, 1379, 1380,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4201, 4203, 4204, 4205, 4206, 4207, 4208, 4209, 4210, 4211, 4212,</w:t>
            </w:r>
          </w:p>
        </w:tc>
        <w:tc>
          <w:tcPr>
            <w:tcW w:w="5295" w:type="dxa"/>
            <w:tcBorders>
              <w:left w:val="single" w:sz="6" w:space="0" w:color="231F20"/>
            </w:tcBorders>
          </w:tcPr>
          <w:p>
            <w:pPr>
              <w:pStyle w:val="TableParagraph"/>
              <w:spacing w:line="180" w:lineRule="exact" w:before="0"/>
              <w:ind w:right="48"/>
              <w:rPr>
                <w:sz w:val="18"/>
              </w:rPr>
            </w:pPr>
            <w:r>
              <w:rPr>
                <w:color w:val="231F20"/>
                <w:sz w:val="18"/>
              </w:rPr>
              <w:t>1381, 1382, 1383, 1384, 1385, 1386, 1387, 1388, 1389, 1390, 1391,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4213, 4214, 4215, 4216, 4217, 4218, 4219, 4221, 4222, 4223, 4224,</w:t>
            </w:r>
          </w:p>
        </w:tc>
        <w:tc>
          <w:tcPr>
            <w:tcW w:w="5295" w:type="dxa"/>
            <w:tcBorders>
              <w:left w:val="single" w:sz="6" w:space="0" w:color="231F20"/>
            </w:tcBorders>
          </w:tcPr>
          <w:p>
            <w:pPr>
              <w:pStyle w:val="TableParagraph"/>
              <w:spacing w:line="180" w:lineRule="exact" w:before="0"/>
              <w:ind w:right="48"/>
              <w:rPr>
                <w:sz w:val="18"/>
              </w:rPr>
            </w:pPr>
            <w:r>
              <w:rPr>
                <w:color w:val="231F20"/>
                <w:sz w:val="18"/>
              </w:rPr>
              <w:t>1392, 1393, 1394, 1396, 1397/1, 1397/2, 1397/3, 1397,/4, 1397/5,</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4225, 4225, 4226, 4227, 4228, 4229, 4230, 4231/1, 4231/2, 4232,</w:t>
            </w:r>
          </w:p>
        </w:tc>
        <w:tc>
          <w:tcPr>
            <w:tcW w:w="5295" w:type="dxa"/>
            <w:tcBorders>
              <w:left w:val="single" w:sz="6" w:space="0" w:color="231F20"/>
            </w:tcBorders>
          </w:tcPr>
          <w:p>
            <w:pPr>
              <w:pStyle w:val="TableParagraph"/>
              <w:spacing w:line="180" w:lineRule="exact" w:before="0"/>
              <w:ind w:right="49"/>
              <w:rPr>
                <w:sz w:val="18"/>
              </w:rPr>
            </w:pPr>
            <w:r>
              <w:rPr>
                <w:color w:val="231F20"/>
                <w:sz w:val="18"/>
              </w:rPr>
              <w:t>1397/6, 1397/7, 1397/8, 1397/9, 1397/10, 1397/11, 1397/12, 1397/13,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4234, 4235, 4236, 4237, 4238, 4239, 4240, 4241, 4242, 4243, 4244,</w:t>
            </w:r>
          </w:p>
        </w:tc>
        <w:tc>
          <w:tcPr>
            <w:tcW w:w="5295" w:type="dxa"/>
            <w:tcBorders>
              <w:left w:val="single" w:sz="6" w:space="0" w:color="231F20"/>
            </w:tcBorders>
          </w:tcPr>
          <w:p>
            <w:pPr>
              <w:pStyle w:val="TableParagraph"/>
              <w:spacing w:line="180" w:lineRule="exact" w:before="0"/>
              <w:ind w:right="48"/>
              <w:rPr>
                <w:sz w:val="18"/>
              </w:rPr>
            </w:pPr>
            <w:r>
              <w:rPr>
                <w:color w:val="231F20"/>
                <w:sz w:val="18"/>
              </w:rPr>
              <w:t>1397/14, 1398, 1399, 1400, 1401, 1402, 1403, 1404, 1405, 1406, 1407,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4245, 4246, 4247, 4248, 4249, 4251, 4252, 4253, 4254, 4255, 4256,</w:t>
            </w:r>
          </w:p>
        </w:tc>
        <w:tc>
          <w:tcPr>
            <w:tcW w:w="5295" w:type="dxa"/>
            <w:tcBorders>
              <w:left w:val="single" w:sz="6" w:space="0" w:color="231F20"/>
            </w:tcBorders>
          </w:tcPr>
          <w:p>
            <w:pPr>
              <w:pStyle w:val="TableParagraph"/>
              <w:spacing w:line="180" w:lineRule="exact" w:before="0"/>
              <w:ind w:right="49"/>
              <w:rPr>
                <w:sz w:val="18"/>
              </w:rPr>
            </w:pPr>
            <w:r>
              <w:rPr>
                <w:color w:val="231F20"/>
                <w:sz w:val="18"/>
              </w:rPr>
              <w:t>1408, 1409, 1410, 1411, 1412, 1413, 1414, 1415, 1416, 1417, 1418,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4257, 4258, 4259, 4260, 4261, 4262, 4263, 4264, 4265, 4266, 4267,</w:t>
            </w:r>
          </w:p>
        </w:tc>
        <w:tc>
          <w:tcPr>
            <w:tcW w:w="5295" w:type="dxa"/>
            <w:tcBorders>
              <w:left w:val="single" w:sz="6" w:space="0" w:color="231F20"/>
            </w:tcBorders>
          </w:tcPr>
          <w:p>
            <w:pPr>
              <w:pStyle w:val="TableParagraph"/>
              <w:spacing w:line="180" w:lineRule="exact" w:before="0"/>
              <w:ind w:right="48"/>
              <w:rPr>
                <w:sz w:val="18"/>
              </w:rPr>
            </w:pPr>
            <w:r>
              <w:rPr>
                <w:color w:val="231F20"/>
                <w:sz w:val="18"/>
              </w:rPr>
              <w:t>1419, 1420, 1421, 1422, 1423, 1424, 1425, 1426, 1427, 1428, 1429,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4268, 4269, 4270, 4271, 4272, 4273, 4274, 4275, 4276, 4277, 4278,</w:t>
            </w:r>
          </w:p>
        </w:tc>
        <w:tc>
          <w:tcPr>
            <w:tcW w:w="5295" w:type="dxa"/>
            <w:tcBorders>
              <w:left w:val="single" w:sz="6" w:space="0" w:color="231F20"/>
            </w:tcBorders>
          </w:tcPr>
          <w:p>
            <w:pPr>
              <w:pStyle w:val="TableParagraph"/>
              <w:spacing w:line="180" w:lineRule="exact" w:before="0"/>
              <w:ind w:right="48"/>
              <w:rPr>
                <w:sz w:val="18"/>
              </w:rPr>
            </w:pPr>
            <w:r>
              <w:rPr>
                <w:color w:val="231F20"/>
                <w:sz w:val="18"/>
              </w:rPr>
              <w:t>1430, 1431, 1432, 1433, 1434, 1435, 1436, 1437, 1438, 1439, 1440,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4279, 4280, 4281, 4282, 4283, 4284, 4286, 4287, 4288, 4289, 4290,</w:t>
            </w:r>
          </w:p>
        </w:tc>
        <w:tc>
          <w:tcPr>
            <w:tcW w:w="5295" w:type="dxa"/>
            <w:tcBorders>
              <w:left w:val="single" w:sz="6" w:space="0" w:color="231F20"/>
            </w:tcBorders>
          </w:tcPr>
          <w:p>
            <w:pPr>
              <w:pStyle w:val="TableParagraph"/>
              <w:spacing w:line="180" w:lineRule="exact" w:before="0"/>
              <w:ind w:right="48"/>
              <w:rPr>
                <w:sz w:val="18"/>
              </w:rPr>
            </w:pPr>
            <w:r>
              <w:rPr>
                <w:color w:val="231F20"/>
                <w:sz w:val="18"/>
              </w:rPr>
              <w:t>1441, 1442, 1443, 1445, 1450, 1451, 1453, 1454, 1455, 1456, 1457,</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4291, 4292, 4293, 4294, 4295, 4296, 4297, 4298, 4299, 4300, 4301,</w:t>
            </w:r>
          </w:p>
        </w:tc>
        <w:tc>
          <w:tcPr>
            <w:tcW w:w="5295" w:type="dxa"/>
            <w:tcBorders>
              <w:left w:val="single" w:sz="6" w:space="0" w:color="231F20"/>
            </w:tcBorders>
          </w:tcPr>
          <w:p>
            <w:pPr>
              <w:pStyle w:val="TableParagraph"/>
              <w:spacing w:line="180" w:lineRule="exact" w:before="0"/>
              <w:ind w:right="48"/>
              <w:rPr>
                <w:sz w:val="18"/>
              </w:rPr>
            </w:pPr>
            <w:r>
              <w:rPr>
                <w:color w:val="231F20"/>
                <w:sz w:val="18"/>
              </w:rPr>
              <w:t>1458, 1459, 1462, 1463, 1466, 1467, 1470, 1471, 1474, 1477, 1478,</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4302, 4303, 4305, 4306, 4307, 4308, 4309, 4310, 4311, 4312, 4313,</w:t>
            </w:r>
          </w:p>
        </w:tc>
        <w:tc>
          <w:tcPr>
            <w:tcW w:w="5295" w:type="dxa"/>
            <w:tcBorders>
              <w:left w:val="single" w:sz="6" w:space="0" w:color="231F20"/>
            </w:tcBorders>
          </w:tcPr>
          <w:p>
            <w:pPr>
              <w:pStyle w:val="TableParagraph"/>
              <w:spacing w:line="180" w:lineRule="exact" w:before="0"/>
              <w:ind w:right="48"/>
              <w:rPr>
                <w:sz w:val="18"/>
              </w:rPr>
            </w:pPr>
            <w:r>
              <w:rPr>
                <w:color w:val="231F20"/>
                <w:sz w:val="18"/>
              </w:rPr>
              <w:t>1479, 1480, 1481, 1482, 1483, 1484, 1485, 1486, 1487, 1488, 1489,</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4314, 4315, 4316, 4317, 4318, 4319, 4320, 4321, 4322, 4323, 4324,</w:t>
            </w:r>
          </w:p>
        </w:tc>
        <w:tc>
          <w:tcPr>
            <w:tcW w:w="5295" w:type="dxa"/>
            <w:tcBorders>
              <w:left w:val="single" w:sz="6" w:space="0" w:color="231F20"/>
            </w:tcBorders>
          </w:tcPr>
          <w:p>
            <w:pPr>
              <w:pStyle w:val="TableParagraph"/>
              <w:spacing w:line="180" w:lineRule="exact" w:before="0"/>
              <w:ind w:right="48"/>
              <w:rPr>
                <w:sz w:val="18"/>
              </w:rPr>
            </w:pPr>
            <w:r>
              <w:rPr>
                <w:color w:val="231F20"/>
                <w:sz w:val="18"/>
              </w:rPr>
              <w:t>1490, 1491, 1492, 1493, 1494, 1495, 1496, 1497, 1498, 1499, 1500,</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4325, 4326, 4327, 4328, 4329, 4330, 4331, 4332, 4333, 4334, 4335,</w:t>
            </w:r>
          </w:p>
        </w:tc>
        <w:tc>
          <w:tcPr>
            <w:tcW w:w="5295" w:type="dxa"/>
            <w:tcBorders>
              <w:left w:val="single" w:sz="6" w:space="0" w:color="231F20"/>
            </w:tcBorders>
          </w:tcPr>
          <w:p>
            <w:pPr>
              <w:pStyle w:val="TableParagraph"/>
              <w:spacing w:line="180" w:lineRule="exact" w:before="0"/>
              <w:ind w:right="49"/>
              <w:rPr>
                <w:sz w:val="18"/>
              </w:rPr>
            </w:pPr>
            <w:r>
              <w:rPr>
                <w:color w:val="231F20"/>
                <w:sz w:val="18"/>
              </w:rPr>
              <w:t>1501, 1502, 1503, 1504, 1505, 1506, 1507, 1508, 1509, 1510, 1511,</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4336, 4337, 4338, 4339, 4340, 4341, 4342, 4343, 4344, 4345, 4346,</w:t>
            </w:r>
          </w:p>
        </w:tc>
        <w:tc>
          <w:tcPr>
            <w:tcW w:w="5295" w:type="dxa"/>
            <w:tcBorders>
              <w:left w:val="single" w:sz="6" w:space="0" w:color="231F20"/>
            </w:tcBorders>
          </w:tcPr>
          <w:p>
            <w:pPr>
              <w:pStyle w:val="TableParagraph"/>
              <w:spacing w:line="180" w:lineRule="exact" w:before="0"/>
              <w:ind w:right="48"/>
              <w:rPr>
                <w:sz w:val="18"/>
              </w:rPr>
            </w:pPr>
            <w:r>
              <w:rPr>
                <w:color w:val="231F20"/>
                <w:sz w:val="18"/>
              </w:rPr>
              <w:t>1512, 1513, 1514, 1515, 1516, 1517, 1518, 1519, 1520, 1521, 1522,</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4347, 4348, 4349, 4350, 4351, 4352, 4353, 4354, 4355, 4356, 4357,</w:t>
            </w:r>
          </w:p>
        </w:tc>
        <w:tc>
          <w:tcPr>
            <w:tcW w:w="5295" w:type="dxa"/>
            <w:tcBorders>
              <w:left w:val="single" w:sz="6" w:space="0" w:color="231F20"/>
            </w:tcBorders>
          </w:tcPr>
          <w:p>
            <w:pPr>
              <w:pStyle w:val="TableParagraph"/>
              <w:spacing w:line="180" w:lineRule="exact" w:before="0"/>
              <w:ind w:right="48"/>
              <w:rPr>
                <w:sz w:val="18"/>
              </w:rPr>
            </w:pPr>
            <w:r>
              <w:rPr>
                <w:color w:val="231F20"/>
                <w:sz w:val="18"/>
              </w:rPr>
              <w:t>1523, 1524, 1525, 1526, 1527, 1528, 1529, 1530, 1531, 1532, 1533,</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4358, 4359, 4360, 4361, 4362, 4363, 4364, 4365, 4366, 4367, 4368,</w:t>
            </w:r>
          </w:p>
        </w:tc>
        <w:tc>
          <w:tcPr>
            <w:tcW w:w="5295" w:type="dxa"/>
            <w:tcBorders>
              <w:left w:val="single" w:sz="6" w:space="0" w:color="231F20"/>
            </w:tcBorders>
          </w:tcPr>
          <w:p>
            <w:pPr>
              <w:pStyle w:val="TableParagraph"/>
              <w:spacing w:line="180" w:lineRule="exact" w:before="0"/>
              <w:ind w:right="48"/>
              <w:rPr>
                <w:sz w:val="18"/>
              </w:rPr>
            </w:pPr>
            <w:r>
              <w:rPr>
                <w:color w:val="231F20"/>
                <w:sz w:val="18"/>
              </w:rPr>
              <w:t>1534, 1535, 1536, 1537, 1538, 1539, 1540, 1541, 1542, 1543, 1544,</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4369, 4370, 4371, 4372, 4373, 4374, 4375, 4376, 4378, 4379, 4380,</w:t>
            </w:r>
          </w:p>
        </w:tc>
        <w:tc>
          <w:tcPr>
            <w:tcW w:w="5295" w:type="dxa"/>
            <w:tcBorders>
              <w:left w:val="single" w:sz="6" w:space="0" w:color="231F20"/>
            </w:tcBorders>
          </w:tcPr>
          <w:p>
            <w:pPr>
              <w:pStyle w:val="TableParagraph"/>
              <w:spacing w:line="180" w:lineRule="exact" w:before="0"/>
              <w:ind w:right="48"/>
              <w:rPr>
                <w:sz w:val="18"/>
              </w:rPr>
            </w:pPr>
            <w:r>
              <w:rPr>
                <w:color w:val="231F20"/>
                <w:sz w:val="18"/>
              </w:rPr>
              <w:t>1545, 1546, 1547, 1548, 1549, 1551, 1552, 1553, 1554, 1555, 1556,</w:t>
            </w:r>
          </w:p>
        </w:tc>
      </w:tr>
      <w:tr>
        <w:trPr>
          <w:trHeight w:val="200" w:hRule="atLeast"/>
        </w:trPr>
        <w:tc>
          <w:tcPr>
            <w:tcW w:w="5294" w:type="dxa"/>
            <w:tcBorders>
              <w:right w:val="single" w:sz="6" w:space="0" w:color="231F20"/>
            </w:tcBorders>
          </w:tcPr>
          <w:p>
            <w:pPr>
              <w:pStyle w:val="TableParagraph"/>
              <w:spacing w:line="180" w:lineRule="exact" w:before="0"/>
              <w:ind w:left="50"/>
              <w:jc w:val="left"/>
              <w:rPr>
                <w:sz w:val="18"/>
              </w:rPr>
            </w:pPr>
            <w:r>
              <w:rPr>
                <w:color w:val="231F20"/>
                <w:sz w:val="18"/>
              </w:rPr>
              <w:t>4381, 4382, 4383, 4384, 4385, 4386, 4387, 4388, 4389, 4390, 4391,</w:t>
            </w:r>
          </w:p>
        </w:tc>
        <w:tc>
          <w:tcPr>
            <w:tcW w:w="5295" w:type="dxa"/>
            <w:tcBorders>
              <w:left w:val="single" w:sz="6" w:space="0" w:color="231F20"/>
            </w:tcBorders>
          </w:tcPr>
          <w:p>
            <w:pPr>
              <w:pStyle w:val="TableParagraph"/>
              <w:spacing w:line="180" w:lineRule="exact" w:before="0"/>
              <w:ind w:right="48"/>
              <w:rPr>
                <w:sz w:val="18"/>
              </w:rPr>
            </w:pPr>
            <w:r>
              <w:rPr>
                <w:color w:val="231F20"/>
                <w:sz w:val="18"/>
              </w:rPr>
              <w:t>1557, 1558, 1559, 1560, 1561, 1562, 1563, 1564, 1565, 1566, 1567,</w:t>
            </w:r>
          </w:p>
        </w:tc>
      </w:tr>
      <w:tr>
        <w:trPr>
          <w:trHeight w:val="201" w:hRule="atLeast"/>
        </w:trPr>
        <w:tc>
          <w:tcPr>
            <w:tcW w:w="5294" w:type="dxa"/>
            <w:tcBorders>
              <w:right w:val="single" w:sz="6" w:space="0" w:color="231F20"/>
            </w:tcBorders>
          </w:tcPr>
          <w:p>
            <w:pPr>
              <w:pStyle w:val="TableParagraph"/>
              <w:spacing w:line="182" w:lineRule="exact" w:before="0"/>
              <w:ind w:left="50"/>
              <w:jc w:val="left"/>
              <w:rPr>
                <w:sz w:val="18"/>
              </w:rPr>
            </w:pPr>
            <w:r>
              <w:rPr>
                <w:color w:val="231F20"/>
                <w:sz w:val="18"/>
              </w:rPr>
              <w:t>4392, 4393, 4394, 4395, 4396, 4397, , 4398, 4399, 4400, 4401, 4402,</w:t>
            </w:r>
          </w:p>
        </w:tc>
        <w:tc>
          <w:tcPr>
            <w:tcW w:w="5295" w:type="dxa"/>
            <w:tcBorders>
              <w:left w:val="single" w:sz="6" w:space="0" w:color="231F20"/>
            </w:tcBorders>
          </w:tcPr>
          <w:p>
            <w:pPr>
              <w:pStyle w:val="TableParagraph"/>
              <w:spacing w:line="182" w:lineRule="exact" w:before="0"/>
              <w:ind w:right="48"/>
              <w:rPr>
                <w:sz w:val="18"/>
              </w:rPr>
            </w:pPr>
            <w:r>
              <w:rPr>
                <w:color w:val="231F20"/>
                <w:sz w:val="18"/>
              </w:rPr>
              <w:t>1568, 1569, 1570, 1571, 1572, 1573, 1574, 1575, 1576, 1577, 1578,</w:t>
            </w:r>
          </w:p>
        </w:tc>
      </w:tr>
    </w:tbl>
    <w:p>
      <w:pPr>
        <w:spacing w:after="0" w:line="182" w:lineRule="exact"/>
        <w:rPr>
          <w:sz w:val="18"/>
        </w:rPr>
        <w:sectPr>
          <w:pgSz w:w="12480" w:h="15690"/>
          <w:pgMar w:top="200" w:bottom="280" w:left="680" w:right="720"/>
        </w:sectPr>
      </w:pPr>
    </w:p>
    <w:p>
      <w:pPr>
        <w:pStyle w:val="BodyText"/>
        <w:spacing w:line="204" w:lineRule="exact" w:before="68"/>
        <w:ind w:left="453"/>
        <w:jc w:val="left"/>
      </w:pPr>
      <w:r>
        <w:rPr/>
        <w:pict>
          <v:line style="position:absolute;mso-position-horizontal-relative:page;mso-position-vertical-relative:page;z-index:3688" from="318.897614pt,11.942451pt" to="318.897614pt,748.950451pt" stroked="true" strokeweight=".6pt" strokecolor="#231f20">
            <v:stroke dashstyle="solid"/>
            <w10:wrap type="none"/>
          </v:line>
        </w:pict>
      </w:r>
      <w:r>
        <w:rPr>
          <w:color w:val="231F20"/>
        </w:rPr>
        <w:t>1579, 1580, 1581, 1582, 1583, 1584, 1585, 1586, 1652, 1653, 1654,</w:t>
      </w:r>
    </w:p>
    <w:p>
      <w:pPr>
        <w:pStyle w:val="BodyText"/>
        <w:spacing w:line="200" w:lineRule="exact"/>
        <w:ind w:left="453"/>
        <w:jc w:val="left"/>
      </w:pPr>
      <w:r>
        <w:rPr>
          <w:color w:val="231F20"/>
        </w:rPr>
        <w:t>1656, 1657, 1658, 1659, 1660, 1661, 1662, 1663, 1664, 1665, 1666,</w:t>
      </w:r>
    </w:p>
    <w:p>
      <w:pPr>
        <w:pStyle w:val="BodyText"/>
        <w:spacing w:line="200" w:lineRule="exact"/>
        <w:ind w:left="453"/>
        <w:jc w:val="left"/>
      </w:pPr>
      <w:r>
        <w:rPr>
          <w:color w:val="231F20"/>
        </w:rPr>
        <w:t>1668, 1669, 1670, 1671, 1672, 1673, 1674, 1675, 1676, 1677, 1678,</w:t>
      </w:r>
    </w:p>
    <w:p>
      <w:pPr>
        <w:pStyle w:val="BodyText"/>
        <w:spacing w:line="200" w:lineRule="exact"/>
        <w:ind w:left="453"/>
        <w:jc w:val="left"/>
      </w:pPr>
      <w:r>
        <w:rPr>
          <w:color w:val="231F20"/>
        </w:rPr>
        <w:t>1679, 1680, 1681, 1682, 1683, 1684, 1685, 1686, 1687, 1688, 1689,</w:t>
      </w:r>
    </w:p>
    <w:p>
      <w:pPr>
        <w:pStyle w:val="BodyText"/>
        <w:spacing w:line="200" w:lineRule="exact"/>
        <w:ind w:left="453"/>
        <w:jc w:val="left"/>
      </w:pPr>
      <w:r>
        <w:rPr>
          <w:color w:val="231F20"/>
        </w:rPr>
        <w:t>1690, 1691, 1692, 1693, 1694, 1695, 1696, 1697, 1698, 1699, 1700,</w:t>
      </w:r>
    </w:p>
    <w:p>
      <w:pPr>
        <w:pStyle w:val="BodyText"/>
        <w:spacing w:line="200" w:lineRule="exact"/>
        <w:ind w:left="453"/>
        <w:jc w:val="left"/>
      </w:pPr>
      <w:r>
        <w:rPr>
          <w:color w:val="231F20"/>
        </w:rPr>
        <w:t>1701, 1702, 1703, 1704, 1705, 1706, 1707, 1708, 1709, 1710, 1711,</w:t>
      </w:r>
    </w:p>
    <w:p>
      <w:pPr>
        <w:pStyle w:val="BodyText"/>
        <w:spacing w:line="200" w:lineRule="exact"/>
        <w:ind w:left="453"/>
        <w:jc w:val="left"/>
      </w:pPr>
      <w:r>
        <w:rPr>
          <w:color w:val="231F20"/>
        </w:rPr>
        <w:t>1712, 1713, 1714, 1715, 1716, 1720, 1752, 1753, 1754, 1755, 1756,</w:t>
      </w:r>
    </w:p>
    <w:p>
      <w:pPr>
        <w:pStyle w:val="BodyText"/>
        <w:spacing w:line="200" w:lineRule="exact"/>
        <w:ind w:left="453"/>
        <w:jc w:val="left"/>
      </w:pPr>
      <w:r>
        <w:rPr>
          <w:color w:val="231F20"/>
        </w:rPr>
        <w:t>1757, 1758, 1759, 1760,1761, 1762, 1763, 1764, 1765, 1766, 1767,</w:t>
      </w:r>
    </w:p>
    <w:p>
      <w:pPr>
        <w:pStyle w:val="BodyText"/>
        <w:spacing w:line="200" w:lineRule="exact"/>
        <w:ind w:left="453"/>
        <w:jc w:val="left"/>
      </w:pPr>
      <w:r>
        <w:rPr>
          <w:color w:val="231F20"/>
        </w:rPr>
        <w:t>1768, 1769, 1770, 1771, 1777, 1806, 1807, 1808, 1810, 1811, 1812,</w:t>
      </w:r>
    </w:p>
    <w:p>
      <w:pPr>
        <w:pStyle w:val="BodyText"/>
        <w:spacing w:line="200" w:lineRule="exact"/>
        <w:ind w:left="453"/>
        <w:jc w:val="left"/>
      </w:pPr>
      <w:r>
        <w:rPr>
          <w:color w:val="231F20"/>
        </w:rPr>
        <w:t>1813,  1814/1,  1814/2,  1815,  1816,  1817,  1818,  1819,  1820, 1821,</w:t>
      </w:r>
    </w:p>
    <w:p>
      <w:pPr>
        <w:pStyle w:val="BodyText"/>
        <w:spacing w:line="200" w:lineRule="exact"/>
        <w:ind w:left="453"/>
        <w:jc w:val="left"/>
      </w:pPr>
      <w:r>
        <w:rPr>
          <w:color w:val="231F20"/>
        </w:rPr>
        <w:t>1822, 1823, 1824, 1825/1, 1825/2, 1825/3, 1826, 1827, 1828, 1829,</w:t>
      </w:r>
    </w:p>
    <w:p>
      <w:pPr>
        <w:pStyle w:val="BodyText"/>
        <w:spacing w:line="200" w:lineRule="exact"/>
        <w:ind w:left="453"/>
        <w:jc w:val="left"/>
      </w:pPr>
      <w:r>
        <w:rPr>
          <w:color w:val="231F20"/>
        </w:rPr>
        <w:t>1830, 1831, 1832, 1833, 1834, 1835, 1836/1, 1836/2, 1836/3, 1836/4,</w:t>
      </w:r>
    </w:p>
    <w:p>
      <w:pPr>
        <w:pStyle w:val="BodyText"/>
        <w:spacing w:line="200" w:lineRule="exact"/>
        <w:ind w:left="453"/>
        <w:jc w:val="left"/>
      </w:pPr>
      <w:r>
        <w:rPr>
          <w:color w:val="231F20"/>
        </w:rPr>
        <w:t>1836/5, 1837, 1838, 1839, 1840, 1841, 1843, 1844, 1845, 1846,  1847,</w:t>
      </w:r>
    </w:p>
    <w:p>
      <w:pPr>
        <w:pStyle w:val="BodyText"/>
        <w:spacing w:line="200" w:lineRule="exact"/>
        <w:ind w:left="453"/>
        <w:jc w:val="left"/>
      </w:pPr>
      <w:r>
        <w:rPr>
          <w:color w:val="231F20"/>
        </w:rPr>
        <w:t>1848, 1849, 1850, 1851, 1852, 1853, 1854, 1855, 1856/1, 1856,  1861,</w:t>
      </w:r>
    </w:p>
    <w:p>
      <w:pPr>
        <w:pStyle w:val="BodyText"/>
        <w:spacing w:line="200" w:lineRule="exact"/>
        <w:ind w:left="453"/>
        <w:jc w:val="left"/>
      </w:pPr>
      <w:r>
        <w:rPr>
          <w:color w:val="231F20"/>
        </w:rPr>
        <w:t>1862,  2070,  2071,  2072,  2074,  2075,  2076,  2077,  2171/1, 2171/2,</w:t>
      </w:r>
    </w:p>
    <w:p>
      <w:pPr>
        <w:pStyle w:val="BodyText"/>
        <w:spacing w:line="200" w:lineRule="exact"/>
        <w:ind w:left="453"/>
        <w:jc w:val="left"/>
      </w:pPr>
      <w:r>
        <w:rPr>
          <w:color w:val="231F20"/>
        </w:rPr>
        <w:t>2172, 2173, 2174, 2175, 2176, 2177, 2178, 2179, 2180, 2181, 2182,</w:t>
      </w:r>
    </w:p>
    <w:p>
      <w:pPr>
        <w:pStyle w:val="BodyText"/>
        <w:spacing w:line="200" w:lineRule="exact"/>
        <w:ind w:left="453"/>
        <w:jc w:val="left"/>
      </w:pPr>
      <w:r>
        <w:rPr>
          <w:color w:val="231F20"/>
        </w:rPr>
        <w:t>2183, 2184, 2185, 2186, 2187, 2188, 2189, 2190, 2191, 2192, 2193,</w:t>
      </w:r>
    </w:p>
    <w:p>
      <w:pPr>
        <w:pStyle w:val="BodyText"/>
        <w:spacing w:line="200" w:lineRule="exact"/>
        <w:ind w:left="453"/>
        <w:jc w:val="left"/>
      </w:pPr>
      <w:r>
        <w:rPr>
          <w:color w:val="231F20"/>
        </w:rPr>
        <w:t>2194,  2195,  2196,  2197,  2198,  2199/1,  2199/2,  2200,  2201, 2202,</w:t>
      </w:r>
    </w:p>
    <w:p>
      <w:pPr>
        <w:pStyle w:val="BodyText"/>
        <w:spacing w:line="200" w:lineRule="exact"/>
        <w:ind w:left="453"/>
        <w:jc w:val="left"/>
      </w:pPr>
      <w:r>
        <w:rPr>
          <w:color w:val="231F20"/>
        </w:rPr>
        <w:t>2203, 2204, 2205, 2206, 2207, 2208, 2209, 2210, 2211, 2212, 2213,</w:t>
      </w:r>
    </w:p>
    <w:p>
      <w:pPr>
        <w:pStyle w:val="BodyText"/>
        <w:spacing w:line="200" w:lineRule="exact"/>
        <w:ind w:left="453"/>
        <w:jc w:val="left"/>
      </w:pPr>
      <w:r>
        <w:rPr>
          <w:color w:val="231F20"/>
        </w:rPr>
        <w:t>2214, 2215, 2216, 2217, 2218, 2219, 2220, 2221, 2222, 2223, 2224,</w:t>
      </w:r>
    </w:p>
    <w:p>
      <w:pPr>
        <w:pStyle w:val="BodyText"/>
        <w:spacing w:line="200" w:lineRule="exact"/>
        <w:ind w:left="453"/>
        <w:jc w:val="left"/>
      </w:pPr>
      <w:r>
        <w:rPr>
          <w:color w:val="231F20"/>
        </w:rPr>
        <w:t>2225, 2226, 2227, 2228, 2229, 2230, 2231, 2232, 2233, 2234,  2235/1,</w:t>
      </w:r>
    </w:p>
    <w:p>
      <w:pPr>
        <w:pStyle w:val="BodyText"/>
        <w:spacing w:line="200" w:lineRule="exact"/>
        <w:ind w:left="453"/>
        <w:jc w:val="left"/>
      </w:pPr>
      <w:r>
        <w:rPr>
          <w:color w:val="231F20"/>
        </w:rPr>
        <w:t>2235/2,</w:t>
      </w:r>
      <w:r>
        <w:rPr>
          <w:color w:val="231F20"/>
          <w:spacing w:val="-6"/>
        </w:rPr>
        <w:t> </w:t>
      </w:r>
      <w:r>
        <w:rPr>
          <w:color w:val="231F20"/>
        </w:rPr>
        <w:t>2235/3,</w:t>
      </w:r>
      <w:r>
        <w:rPr>
          <w:color w:val="231F20"/>
          <w:spacing w:val="-6"/>
        </w:rPr>
        <w:t> </w:t>
      </w:r>
      <w:r>
        <w:rPr>
          <w:color w:val="231F20"/>
        </w:rPr>
        <w:t>2235/4,</w:t>
      </w:r>
      <w:r>
        <w:rPr>
          <w:color w:val="231F20"/>
          <w:spacing w:val="-6"/>
        </w:rPr>
        <w:t> </w:t>
      </w:r>
      <w:r>
        <w:rPr>
          <w:color w:val="231F20"/>
        </w:rPr>
        <w:t>2236,</w:t>
      </w:r>
      <w:r>
        <w:rPr>
          <w:color w:val="231F20"/>
          <w:spacing w:val="-6"/>
        </w:rPr>
        <w:t> </w:t>
      </w:r>
      <w:r>
        <w:rPr>
          <w:color w:val="231F20"/>
        </w:rPr>
        <w:t>2237,</w:t>
      </w:r>
      <w:r>
        <w:rPr>
          <w:color w:val="231F20"/>
          <w:spacing w:val="-6"/>
        </w:rPr>
        <w:t> </w:t>
      </w:r>
      <w:r>
        <w:rPr>
          <w:color w:val="231F20"/>
        </w:rPr>
        <w:t>2238,</w:t>
      </w:r>
      <w:r>
        <w:rPr>
          <w:color w:val="231F20"/>
          <w:spacing w:val="-6"/>
        </w:rPr>
        <w:t> </w:t>
      </w:r>
      <w:r>
        <w:rPr>
          <w:color w:val="231F20"/>
        </w:rPr>
        <w:t>2239,</w:t>
      </w:r>
      <w:r>
        <w:rPr>
          <w:color w:val="231F20"/>
          <w:spacing w:val="-6"/>
        </w:rPr>
        <w:t> </w:t>
      </w:r>
      <w:r>
        <w:rPr>
          <w:color w:val="231F20"/>
        </w:rPr>
        <w:t>2240,</w:t>
      </w:r>
      <w:r>
        <w:rPr>
          <w:color w:val="231F20"/>
          <w:spacing w:val="-6"/>
        </w:rPr>
        <w:t> </w:t>
      </w:r>
      <w:r>
        <w:rPr>
          <w:color w:val="231F20"/>
        </w:rPr>
        <w:t>2241/1,</w:t>
      </w:r>
      <w:r>
        <w:rPr>
          <w:color w:val="231F20"/>
          <w:spacing w:val="-6"/>
        </w:rPr>
        <w:t> </w:t>
      </w:r>
      <w:r>
        <w:rPr>
          <w:color w:val="231F20"/>
        </w:rPr>
        <w:t>2241/2,</w:t>
      </w:r>
    </w:p>
    <w:p>
      <w:pPr>
        <w:pStyle w:val="BodyText"/>
        <w:spacing w:line="200" w:lineRule="exact"/>
        <w:ind w:left="453"/>
        <w:jc w:val="left"/>
      </w:pPr>
      <w:r>
        <w:rPr>
          <w:color w:val="231F20"/>
        </w:rPr>
        <w:t>2242, 2243, 2244, 2245, 2246, 2247, 2248, 2249, 2250, 2255, 2256,</w:t>
      </w:r>
    </w:p>
    <w:p>
      <w:pPr>
        <w:pStyle w:val="BodyText"/>
        <w:spacing w:line="200" w:lineRule="exact"/>
        <w:ind w:left="453"/>
        <w:jc w:val="left"/>
      </w:pPr>
      <w:r>
        <w:rPr>
          <w:color w:val="231F20"/>
        </w:rPr>
        <w:t>2257, 2258, 2259, 2268, 2269, 2270, 2271, 2272, 2274, 2275, 2276,</w:t>
      </w:r>
    </w:p>
    <w:p>
      <w:pPr>
        <w:pStyle w:val="BodyText"/>
        <w:spacing w:line="200" w:lineRule="exact"/>
        <w:ind w:left="453"/>
        <w:jc w:val="left"/>
      </w:pPr>
      <w:r>
        <w:rPr>
          <w:color w:val="231F20"/>
        </w:rPr>
        <w:t>2277, 2278, 2279, 2280, 2282, 2283, 2284, 2285, 2286, 2287, 2288,</w:t>
      </w:r>
    </w:p>
    <w:p>
      <w:pPr>
        <w:pStyle w:val="BodyText"/>
        <w:spacing w:line="200" w:lineRule="exact"/>
        <w:ind w:left="453"/>
        <w:jc w:val="left"/>
      </w:pPr>
      <w:r>
        <w:rPr>
          <w:color w:val="231F20"/>
        </w:rPr>
        <w:t>2289, 2290, 2291, 2292, 2293, 2294, 2295, 2304, 2305, 2307, 2308,</w:t>
      </w:r>
    </w:p>
    <w:p>
      <w:pPr>
        <w:pStyle w:val="BodyText"/>
        <w:spacing w:line="200" w:lineRule="exact"/>
        <w:ind w:left="453"/>
        <w:jc w:val="left"/>
      </w:pPr>
      <w:r>
        <w:rPr>
          <w:color w:val="231F20"/>
        </w:rPr>
        <w:t>2309,  2310,  2311,  2312,  2313,  2314/1,  2314/2,  2315,  2316, 2317,</w:t>
      </w:r>
    </w:p>
    <w:p>
      <w:pPr>
        <w:pStyle w:val="BodyText"/>
        <w:spacing w:line="200" w:lineRule="exact"/>
        <w:ind w:left="453"/>
        <w:jc w:val="left"/>
      </w:pPr>
      <w:r>
        <w:rPr>
          <w:color w:val="231F20"/>
        </w:rPr>
        <w:t>2318, 2319, 2320, 2321, 2322, 2323, 2324, 2325, 2326, 2327, 2328,</w:t>
      </w:r>
    </w:p>
    <w:p>
      <w:pPr>
        <w:pStyle w:val="BodyText"/>
        <w:spacing w:line="200" w:lineRule="exact"/>
        <w:ind w:left="453"/>
        <w:jc w:val="left"/>
      </w:pPr>
      <w:r>
        <w:rPr>
          <w:color w:val="231F20"/>
        </w:rPr>
        <w:t>2329, 2330, 2331, 2332, 2333, 2334, 2335, 2336, 2337, 2338, 2339,</w:t>
      </w:r>
    </w:p>
    <w:p>
      <w:pPr>
        <w:pStyle w:val="BodyText"/>
        <w:spacing w:line="200" w:lineRule="exact"/>
        <w:ind w:left="453"/>
        <w:jc w:val="left"/>
      </w:pPr>
      <w:r>
        <w:rPr>
          <w:color w:val="231F20"/>
        </w:rPr>
        <w:t>2340, 2341, 2342, 2343, 2344, 2345, 2346, 2895, 2896, 2897, 2900,</w:t>
      </w:r>
    </w:p>
    <w:p>
      <w:pPr>
        <w:pStyle w:val="BodyText"/>
        <w:spacing w:line="200" w:lineRule="exact"/>
        <w:ind w:left="453"/>
        <w:jc w:val="left"/>
      </w:pPr>
      <w:r>
        <w:rPr>
          <w:color w:val="231F20"/>
        </w:rPr>
        <w:t>2902, 2905, 2906, 2907, 2908, 2909, 2910, 2911, 2912, 2913, 2914,</w:t>
      </w:r>
    </w:p>
    <w:p>
      <w:pPr>
        <w:pStyle w:val="BodyText"/>
        <w:spacing w:line="200" w:lineRule="exact"/>
        <w:ind w:left="453"/>
        <w:jc w:val="left"/>
      </w:pPr>
      <w:r>
        <w:rPr>
          <w:color w:val="231F20"/>
        </w:rPr>
        <w:t>2915, 2916, 2917, 2918, 2919 и 2920;</w:t>
      </w:r>
    </w:p>
    <w:p>
      <w:pPr>
        <w:pStyle w:val="BodyText"/>
        <w:spacing w:line="200" w:lineRule="exact"/>
        <w:ind w:left="850"/>
        <w:jc w:val="left"/>
      </w:pPr>
      <w:r>
        <w:rPr>
          <w:color w:val="231F20"/>
        </w:rPr>
        <w:t>КО Брадарац (ГО Пожаревац)</w:t>
      </w:r>
    </w:p>
    <w:p>
      <w:pPr>
        <w:pStyle w:val="BodyText"/>
        <w:spacing w:line="200" w:lineRule="exact"/>
        <w:ind w:left="850"/>
        <w:jc w:val="left"/>
      </w:pPr>
      <w:r>
        <w:rPr>
          <w:color w:val="231F20"/>
        </w:rPr>
        <w:t>к. п. бр. 988, 996/1, 995/1, 993/1, 992/1, 991/1, 990, 989, 1616,</w:t>
      </w:r>
    </w:p>
    <w:p>
      <w:pPr>
        <w:pStyle w:val="BodyText"/>
        <w:spacing w:line="200" w:lineRule="exact"/>
        <w:ind w:left="454"/>
        <w:jc w:val="left"/>
      </w:pPr>
      <w:r>
        <w:rPr>
          <w:color w:val="231F20"/>
        </w:rPr>
        <w:t>1617, 1618, 1619, 1620, 1621, 1622, 1623, 1624, 1625, 1626, 1627,</w:t>
      </w:r>
    </w:p>
    <w:p>
      <w:pPr>
        <w:pStyle w:val="BodyText"/>
        <w:spacing w:line="200" w:lineRule="exact"/>
        <w:ind w:left="454"/>
        <w:jc w:val="left"/>
      </w:pPr>
      <w:r>
        <w:rPr>
          <w:color w:val="231F20"/>
        </w:rPr>
        <w:t>1628, 1629, 1630, 1631, 1632, 1633, 1634, 1635, 1636, 1637, 1638,</w:t>
      </w:r>
    </w:p>
    <w:p>
      <w:pPr>
        <w:pStyle w:val="BodyText"/>
        <w:spacing w:line="200" w:lineRule="exact"/>
        <w:ind w:left="454"/>
        <w:jc w:val="left"/>
      </w:pPr>
      <w:r>
        <w:rPr>
          <w:color w:val="231F20"/>
        </w:rPr>
        <w:t>1639, 1640, 1641,1642, 1643, 1644, 1645, 1646, 1647, 1648, 1651,</w:t>
      </w:r>
    </w:p>
    <w:p>
      <w:pPr>
        <w:pStyle w:val="BodyText"/>
        <w:spacing w:line="200" w:lineRule="exact"/>
        <w:ind w:left="454"/>
        <w:jc w:val="left"/>
      </w:pPr>
      <w:r>
        <w:rPr>
          <w:color w:val="231F20"/>
        </w:rPr>
        <w:t>1652, 1653, 1654, 1655,1656, 1657, 1658, 1659, 1660, 1661, 1662,</w:t>
      </w:r>
    </w:p>
    <w:p>
      <w:pPr>
        <w:pStyle w:val="BodyText"/>
        <w:spacing w:line="200" w:lineRule="exact"/>
        <w:ind w:left="454"/>
        <w:jc w:val="left"/>
      </w:pPr>
      <w:r>
        <w:rPr>
          <w:color w:val="231F20"/>
        </w:rPr>
        <w:t>1663, 1664, 1665, 1666, 1667, 1668, 1669, 1670, 1671, 1672, 1673,</w:t>
      </w:r>
    </w:p>
    <w:p>
      <w:pPr>
        <w:pStyle w:val="BodyText"/>
        <w:spacing w:line="200" w:lineRule="exact"/>
        <w:ind w:left="454"/>
        <w:jc w:val="left"/>
      </w:pPr>
      <w:r>
        <w:rPr>
          <w:color w:val="231F20"/>
        </w:rPr>
        <w:t>1674, 1675, 1676, 1677, 1678, 1679, 1680, 1681, 1682, 1683, 1684,</w:t>
      </w:r>
    </w:p>
    <w:p>
      <w:pPr>
        <w:pStyle w:val="BodyText"/>
        <w:spacing w:line="200" w:lineRule="exact"/>
        <w:ind w:left="454"/>
        <w:jc w:val="left"/>
      </w:pPr>
      <w:r>
        <w:rPr>
          <w:color w:val="231F20"/>
        </w:rPr>
        <w:t>1685, 1686, 1687, 1688, 1689, 1690, 1691, 1692, 1693, 1694, 1695,</w:t>
      </w:r>
    </w:p>
    <w:p>
      <w:pPr>
        <w:pStyle w:val="BodyText"/>
        <w:spacing w:line="200" w:lineRule="exact"/>
        <w:ind w:left="454"/>
        <w:jc w:val="left"/>
      </w:pPr>
      <w:r>
        <w:rPr>
          <w:color w:val="231F20"/>
        </w:rPr>
        <w:t>1696, 1697, 1698, 1699, 1700, 1701, 1702, 1703, 1704, 1705, 1706,</w:t>
      </w:r>
    </w:p>
    <w:p>
      <w:pPr>
        <w:pStyle w:val="BodyText"/>
        <w:spacing w:line="200" w:lineRule="exact"/>
        <w:ind w:left="454"/>
        <w:jc w:val="left"/>
      </w:pPr>
      <w:r>
        <w:rPr>
          <w:color w:val="231F20"/>
        </w:rPr>
        <w:t>1707, 1708, 1709, 1710, 1711, 1712, 1713, 1714, 1715, 1716, 1717,</w:t>
      </w:r>
    </w:p>
    <w:p>
      <w:pPr>
        <w:pStyle w:val="BodyText"/>
        <w:spacing w:line="200" w:lineRule="exact"/>
        <w:ind w:left="454"/>
        <w:jc w:val="left"/>
      </w:pPr>
      <w:r>
        <w:rPr>
          <w:color w:val="231F20"/>
        </w:rPr>
        <w:t>1718, 1719, 1720, 1721, 1722, 1723, 1724, 1725, 1726, 1727, 1728,</w:t>
      </w:r>
    </w:p>
    <w:p>
      <w:pPr>
        <w:pStyle w:val="BodyText"/>
        <w:spacing w:line="200" w:lineRule="exact"/>
        <w:ind w:left="454"/>
        <w:jc w:val="left"/>
      </w:pPr>
      <w:r>
        <w:rPr>
          <w:color w:val="231F20"/>
        </w:rPr>
        <w:t>1729, 1730, 1736, 1738, 1739, 1740, 1741, 1747,1748, 1749, 1750,</w:t>
      </w:r>
    </w:p>
    <w:p>
      <w:pPr>
        <w:pStyle w:val="BodyText"/>
        <w:spacing w:line="200" w:lineRule="exact"/>
        <w:ind w:left="454"/>
        <w:jc w:val="left"/>
      </w:pPr>
      <w:r>
        <w:rPr>
          <w:color w:val="231F20"/>
        </w:rPr>
        <w:t>1751, 1752, 1753, 1754, 1755, 1756, 1757, 1758, 1759, 1760, 1761,</w:t>
      </w:r>
    </w:p>
    <w:p>
      <w:pPr>
        <w:pStyle w:val="BodyText"/>
        <w:spacing w:line="200" w:lineRule="exact"/>
        <w:ind w:left="454"/>
        <w:jc w:val="left"/>
      </w:pPr>
      <w:r>
        <w:rPr>
          <w:color w:val="231F20"/>
        </w:rPr>
        <w:t>1762, 1763, 1764, 1765, 1766, 1767, 1768, 1769, 1770, 1771, 1772,</w:t>
      </w:r>
    </w:p>
    <w:p>
      <w:pPr>
        <w:pStyle w:val="BodyText"/>
        <w:spacing w:line="200" w:lineRule="exact"/>
        <w:ind w:left="454"/>
        <w:jc w:val="left"/>
      </w:pPr>
      <w:r>
        <w:rPr>
          <w:color w:val="231F20"/>
        </w:rPr>
        <w:t>1773, 1774, 1775, 1776, 1777, 1778, 1779, 1780, 1781, 1782, 1783,</w:t>
      </w:r>
    </w:p>
    <w:p>
      <w:pPr>
        <w:pStyle w:val="BodyText"/>
        <w:spacing w:line="200" w:lineRule="exact"/>
        <w:ind w:left="454"/>
        <w:jc w:val="left"/>
      </w:pPr>
      <w:r>
        <w:rPr>
          <w:color w:val="231F20"/>
        </w:rPr>
        <w:t>1784, 1785, 1786, 1787, 1788, 1789, 1790, 1791, 1792, 1793, 1794,</w:t>
      </w:r>
    </w:p>
    <w:p>
      <w:pPr>
        <w:pStyle w:val="BodyText"/>
        <w:spacing w:line="200" w:lineRule="exact"/>
        <w:ind w:left="454"/>
        <w:jc w:val="left"/>
      </w:pPr>
      <w:r>
        <w:rPr>
          <w:color w:val="231F20"/>
        </w:rPr>
        <w:t>1795, 1796, 1797, 1798, 1799, 1800, 1801, 1802, 1803, 1804, 1805,</w:t>
      </w:r>
    </w:p>
    <w:p>
      <w:pPr>
        <w:pStyle w:val="BodyText"/>
        <w:spacing w:line="200" w:lineRule="exact"/>
        <w:ind w:left="454"/>
        <w:jc w:val="left"/>
      </w:pPr>
      <w:r>
        <w:rPr>
          <w:color w:val="231F20"/>
        </w:rPr>
        <w:t>1806, 1807, 1808, 1809, 1810, 1811, 1812, 1813, 1814, 1815, 1816,</w:t>
      </w:r>
    </w:p>
    <w:p>
      <w:pPr>
        <w:pStyle w:val="BodyText"/>
        <w:spacing w:line="200" w:lineRule="exact"/>
        <w:ind w:left="454"/>
        <w:jc w:val="left"/>
      </w:pPr>
      <w:r>
        <w:rPr>
          <w:color w:val="231F20"/>
        </w:rPr>
        <w:t>1817, 1818, 1819, 1820, 1821, 1822, 1823, 1824, 1825, 1826, 1827,</w:t>
      </w:r>
    </w:p>
    <w:p>
      <w:pPr>
        <w:pStyle w:val="BodyText"/>
        <w:spacing w:line="200" w:lineRule="exact"/>
        <w:ind w:left="454"/>
        <w:jc w:val="left"/>
      </w:pPr>
      <w:r>
        <w:rPr>
          <w:color w:val="231F20"/>
        </w:rPr>
        <w:t>1828, 1829, 1830, 1831, 1832, 1833, 1834, 1835, 1836, 1837, 1838,</w:t>
      </w:r>
    </w:p>
    <w:p>
      <w:pPr>
        <w:pStyle w:val="BodyText"/>
        <w:spacing w:line="200" w:lineRule="exact"/>
        <w:ind w:left="454"/>
        <w:jc w:val="left"/>
      </w:pPr>
      <w:r>
        <w:rPr>
          <w:color w:val="231F20"/>
        </w:rPr>
        <w:t>1839, 1840, 1841, 1842, 1843, 1844, 1845, 1846, 1847, 1848, 1849,</w:t>
      </w:r>
    </w:p>
    <w:p>
      <w:pPr>
        <w:pStyle w:val="BodyText"/>
        <w:spacing w:line="200" w:lineRule="exact"/>
        <w:ind w:left="454"/>
        <w:jc w:val="left"/>
      </w:pPr>
      <w:r>
        <w:rPr>
          <w:color w:val="231F20"/>
        </w:rPr>
        <w:t>1850, 1851, 1852, 1853, 1854, 1855, 1856, 1857, 1858, 1859, 1860,</w:t>
      </w:r>
    </w:p>
    <w:p>
      <w:pPr>
        <w:pStyle w:val="BodyText"/>
        <w:spacing w:line="200" w:lineRule="exact"/>
        <w:ind w:left="454"/>
        <w:jc w:val="left"/>
      </w:pPr>
      <w:r>
        <w:rPr>
          <w:color w:val="231F20"/>
        </w:rPr>
        <w:t>1861, 1862, 1863, 1864, 1865, 1866, 1867, 1868, 1869, 1870, 1871,</w:t>
      </w:r>
    </w:p>
    <w:p>
      <w:pPr>
        <w:pStyle w:val="BodyText"/>
        <w:spacing w:line="200" w:lineRule="exact"/>
        <w:ind w:left="454"/>
        <w:jc w:val="left"/>
      </w:pPr>
      <w:r>
        <w:rPr>
          <w:color w:val="231F20"/>
        </w:rPr>
        <w:t>1872, 1873, 1874, 1875, 1876, 1877, 1878, 1879, 1880, 1882, 1883,</w:t>
      </w:r>
    </w:p>
    <w:p>
      <w:pPr>
        <w:pStyle w:val="BodyText"/>
        <w:spacing w:line="200" w:lineRule="exact"/>
        <w:ind w:left="454"/>
        <w:jc w:val="left"/>
      </w:pPr>
      <w:r>
        <w:rPr>
          <w:color w:val="231F20"/>
        </w:rPr>
        <w:t>1884, 1885, 1886, 1887, 1888, 1889, 1890, 1891, 1892, 1893, 1894,</w:t>
      </w:r>
    </w:p>
    <w:p>
      <w:pPr>
        <w:pStyle w:val="BodyText"/>
        <w:spacing w:line="200" w:lineRule="exact"/>
        <w:ind w:left="454"/>
        <w:jc w:val="left"/>
      </w:pPr>
      <w:r>
        <w:rPr>
          <w:color w:val="231F20"/>
        </w:rPr>
        <w:t>1895, 1896, 1897, 1898, 1899, 1900, 1901, 1902, 1903, 1904, 1905,</w:t>
      </w:r>
    </w:p>
    <w:p>
      <w:pPr>
        <w:pStyle w:val="BodyText"/>
        <w:spacing w:line="200" w:lineRule="exact"/>
        <w:ind w:left="454"/>
        <w:jc w:val="left"/>
      </w:pPr>
      <w:r>
        <w:rPr>
          <w:color w:val="231F20"/>
        </w:rPr>
        <w:t>1906, 1907, 1908, 1909, 1910, 1911, 1912, 1913, 1914, 1915, 1916,</w:t>
      </w:r>
    </w:p>
    <w:p>
      <w:pPr>
        <w:pStyle w:val="BodyText"/>
        <w:spacing w:line="200" w:lineRule="exact"/>
        <w:ind w:left="454"/>
        <w:jc w:val="left"/>
      </w:pPr>
      <w:r>
        <w:rPr>
          <w:color w:val="231F20"/>
        </w:rPr>
        <w:t>1917, 1918, 1919, 1920, 1921, 1922, 1923, 1925, 1926, 1927, 1941,</w:t>
      </w:r>
    </w:p>
    <w:p>
      <w:pPr>
        <w:pStyle w:val="BodyText"/>
        <w:spacing w:line="200" w:lineRule="exact"/>
        <w:ind w:left="454"/>
        <w:jc w:val="left"/>
      </w:pPr>
      <w:r>
        <w:rPr>
          <w:color w:val="231F20"/>
        </w:rPr>
        <w:t>1942, 1943, 1944,1945, 1946, 1947, 1949, 1950, 1951, 1952, 1953,</w:t>
      </w:r>
    </w:p>
    <w:p>
      <w:pPr>
        <w:pStyle w:val="BodyText"/>
        <w:spacing w:line="200" w:lineRule="exact"/>
        <w:ind w:left="454"/>
        <w:jc w:val="left"/>
      </w:pPr>
      <w:r>
        <w:rPr>
          <w:color w:val="231F20"/>
        </w:rPr>
        <w:t>1954, 1955, 1956, 1957, 1958, 1958, 1959, 1960, 1961, 1962, 1963,</w:t>
      </w:r>
    </w:p>
    <w:p>
      <w:pPr>
        <w:pStyle w:val="BodyText"/>
        <w:spacing w:line="200" w:lineRule="exact"/>
        <w:ind w:left="454"/>
        <w:jc w:val="left"/>
      </w:pPr>
      <w:r>
        <w:rPr>
          <w:color w:val="231F20"/>
        </w:rPr>
        <w:t>1964,  1965,  1966,  1967,  1968,  1969,  1970/1,  1970/2,  1971, 1972,</w:t>
      </w:r>
    </w:p>
    <w:p>
      <w:pPr>
        <w:pStyle w:val="BodyText"/>
        <w:spacing w:line="200" w:lineRule="exact"/>
        <w:ind w:left="454"/>
        <w:jc w:val="left"/>
      </w:pPr>
      <w:r>
        <w:rPr>
          <w:color w:val="231F20"/>
        </w:rPr>
        <w:t>1973, 1974, 1975, 1976, 1977, 1978, 1979, 1980, 1981, 1982, 1983,</w:t>
      </w:r>
    </w:p>
    <w:p>
      <w:pPr>
        <w:pStyle w:val="BodyText"/>
        <w:spacing w:line="200" w:lineRule="exact"/>
        <w:ind w:left="454"/>
        <w:jc w:val="left"/>
      </w:pPr>
      <w:r>
        <w:rPr>
          <w:color w:val="231F20"/>
        </w:rPr>
        <w:t>1984, 1985, 1986, 1987, 1988, 1989, 1990, 1991, 1992, 1993, 1994,</w:t>
      </w:r>
    </w:p>
    <w:p>
      <w:pPr>
        <w:pStyle w:val="BodyText"/>
        <w:spacing w:line="200" w:lineRule="exact"/>
        <w:ind w:left="454"/>
        <w:jc w:val="left"/>
      </w:pPr>
      <w:r>
        <w:rPr>
          <w:color w:val="231F20"/>
        </w:rPr>
        <w:t>1995, 1996, 1997, 1998, 1999, 2000, 2001, 2002, 2003, 2004, 2013,</w:t>
      </w:r>
    </w:p>
    <w:p>
      <w:pPr>
        <w:pStyle w:val="BodyText"/>
        <w:spacing w:line="200" w:lineRule="exact"/>
        <w:ind w:left="454"/>
        <w:jc w:val="left"/>
      </w:pPr>
      <w:r>
        <w:rPr>
          <w:color w:val="231F20"/>
        </w:rPr>
        <w:t>2015, 2016, 2017, 2019, 2020, 2021, 2022, 2023, 2024, 2025, 2026,</w:t>
      </w:r>
    </w:p>
    <w:p>
      <w:pPr>
        <w:pStyle w:val="BodyText"/>
        <w:spacing w:line="200" w:lineRule="exact"/>
        <w:ind w:left="454"/>
        <w:jc w:val="left"/>
      </w:pPr>
      <w:r>
        <w:rPr>
          <w:color w:val="231F20"/>
        </w:rPr>
        <w:t>2027, 2028, 2029, 2030, 2031, 2032, 2033, 2034, 2035, 2036, 2037,</w:t>
      </w:r>
    </w:p>
    <w:p>
      <w:pPr>
        <w:pStyle w:val="BodyText"/>
        <w:spacing w:line="200" w:lineRule="exact"/>
        <w:ind w:left="454"/>
        <w:jc w:val="left"/>
      </w:pPr>
      <w:r>
        <w:rPr>
          <w:color w:val="231F20"/>
        </w:rPr>
        <w:t>2038, 2039, 2040, 2042, 2043, 2044, 2045, 2046, 2047, 2048, 2049,</w:t>
      </w:r>
    </w:p>
    <w:p>
      <w:pPr>
        <w:pStyle w:val="BodyText"/>
        <w:spacing w:line="200" w:lineRule="exact"/>
        <w:ind w:left="454"/>
        <w:jc w:val="left"/>
      </w:pPr>
      <w:r>
        <w:rPr>
          <w:color w:val="231F20"/>
        </w:rPr>
        <w:t>2050, 2051, 2052, 2053, 2054, 2055, 2056, 2057, 2058, 2059, 2060,</w:t>
      </w:r>
    </w:p>
    <w:p>
      <w:pPr>
        <w:pStyle w:val="BodyText"/>
        <w:spacing w:line="200" w:lineRule="exact"/>
        <w:ind w:left="454"/>
        <w:jc w:val="left"/>
      </w:pPr>
      <w:r>
        <w:rPr>
          <w:color w:val="231F20"/>
        </w:rPr>
        <w:t>2061, 2062, 2063, 2064, 2065, 2066, 2067, 2068, 2069, 2070, 2070,</w:t>
      </w:r>
    </w:p>
    <w:p>
      <w:pPr>
        <w:pStyle w:val="BodyText"/>
        <w:spacing w:line="200" w:lineRule="exact"/>
        <w:ind w:left="454"/>
        <w:jc w:val="left"/>
      </w:pPr>
      <w:r>
        <w:rPr>
          <w:color w:val="231F20"/>
        </w:rPr>
        <w:t>2071, 2072, 2073, 2074, 2075, 2076, 2077, 2078, 2079, 2080, 2081,</w:t>
      </w:r>
    </w:p>
    <w:p>
      <w:pPr>
        <w:pStyle w:val="BodyText"/>
        <w:spacing w:line="204" w:lineRule="exact"/>
        <w:ind w:left="454"/>
        <w:jc w:val="left"/>
      </w:pPr>
      <w:r>
        <w:rPr>
          <w:color w:val="231F20"/>
        </w:rPr>
        <w:t>2082, 2083, 2084, 2085, 2086, 2087, 2088, 2089, 2090, 2091, 2092,</w:t>
      </w:r>
    </w:p>
    <w:p>
      <w:pPr>
        <w:pStyle w:val="BodyText"/>
        <w:spacing w:line="204" w:lineRule="exact" w:before="64"/>
        <w:ind w:left="242"/>
        <w:jc w:val="left"/>
      </w:pPr>
      <w:r>
        <w:rPr/>
        <w:br w:type="column"/>
      </w:r>
      <w:r>
        <w:rPr>
          <w:color w:val="231F20"/>
        </w:rPr>
        <w:t>2093, 2094, 2095, 2096, 2097, 2098, 2099, 2100, 2101, 2102, 2103,</w:t>
      </w:r>
    </w:p>
    <w:p>
      <w:pPr>
        <w:pStyle w:val="BodyText"/>
        <w:spacing w:line="200" w:lineRule="exact"/>
        <w:ind w:left="242"/>
        <w:jc w:val="left"/>
      </w:pPr>
      <w:r>
        <w:rPr>
          <w:color w:val="231F20"/>
        </w:rPr>
        <w:t>2104,  2105,  2106,  2107,  2108,  2109,  2110,  2111,  2112/1, 2112/2,</w:t>
      </w:r>
    </w:p>
    <w:p>
      <w:pPr>
        <w:pStyle w:val="BodyText"/>
        <w:spacing w:line="200" w:lineRule="exact"/>
        <w:ind w:left="242"/>
        <w:jc w:val="left"/>
      </w:pPr>
      <w:r>
        <w:rPr>
          <w:color w:val="231F20"/>
        </w:rPr>
        <w:t>2112/4, 2113/1, 2113/2, 2112/3, 2114, 2115, 2116, 2117, 2118, 2119,</w:t>
      </w:r>
    </w:p>
    <w:p>
      <w:pPr>
        <w:pStyle w:val="BodyText"/>
        <w:spacing w:line="200" w:lineRule="exact"/>
        <w:ind w:left="242"/>
        <w:jc w:val="left"/>
      </w:pPr>
      <w:r>
        <w:rPr>
          <w:color w:val="231F20"/>
        </w:rPr>
        <w:t>2120, 2121/1, 2121/2, 2122, 2123, 2124, 2125, 2126, 2127, 2128, 2129,</w:t>
      </w:r>
    </w:p>
    <w:p>
      <w:pPr>
        <w:pStyle w:val="BodyText"/>
        <w:spacing w:line="200" w:lineRule="exact"/>
        <w:ind w:left="242"/>
        <w:jc w:val="left"/>
      </w:pPr>
      <w:r>
        <w:rPr>
          <w:color w:val="231F20"/>
        </w:rPr>
        <w:t>2130, 2152, 2153, 2154, 2155, 2156, 2157, 2158, 2159, 2160, 2161,</w:t>
      </w:r>
    </w:p>
    <w:p>
      <w:pPr>
        <w:pStyle w:val="BodyText"/>
        <w:spacing w:line="200" w:lineRule="exact"/>
        <w:ind w:left="242"/>
        <w:jc w:val="left"/>
      </w:pPr>
      <w:r>
        <w:rPr>
          <w:color w:val="231F20"/>
        </w:rPr>
        <w:t>2162, 2163, 2164, 2165, 2166, 2167, 2168, 2169, 2170, 2171, 2172,</w:t>
      </w:r>
    </w:p>
    <w:p>
      <w:pPr>
        <w:pStyle w:val="BodyText"/>
        <w:spacing w:line="200" w:lineRule="exact"/>
        <w:ind w:left="242"/>
        <w:jc w:val="left"/>
      </w:pPr>
      <w:r>
        <w:rPr>
          <w:color w:val="231F20"/>
        </w:rPr>
        <w:t>2173, 2174, 2175, 2179, 2180, 2181, 2182, 2185, 2186, 2189, 2190,</w:t>
      </w:r>
    </w:p>
    <w:p>
      <w:pPr>
        <w:pStyle w:val="BodyText"/>
        <w:spacing w:line="200" w:lineRule="exact"/>
        <w:ind w:left="242"/>
        <w:jc w:val="left"/>
      </w:pPr>
      <w:r>
        <w:rPr>
          <w:color w:val="231F20"/>
        </w:rPr>
        <w:t>2191, 2193, 2194, 2195, 2196, 2197, 2198, 2199, 2200, 2201, 2202,</w:t>
      </w:r>
    </w:p>
    <w:p>
      <w:pPr>
        <w:pStyle w:val="BodyText"/>
        <w:spacing w:line="200" w:lineRule="exact"/>
        <w:ind w:left="242"/>
        <w:jc w:val="left"/>
      </w:pPr>
      <w:r>
        <w:rPr>
          <w:color w:val="231F20"/>
        </w:rPr>
        <w:t>2203, 2204, 2205, 2206, 2207, 2208, 2209, 2210, 2211, 2212, 2213,</w:t>
      </w:r>
    </w:p>
    <w:p>
      <w:pPr>
        <w:pStyle w:val="BodyText"/>
        <w:spacing w:line="200" w:lineRule="exact"/>
        <w:ind w:left="242"/>
        <w:jc w:val="left"/>
      </w:pPr>
      <w:r>
        <w:rPr>
          <w:color w:val="231F20"/>
        </w:rPr>
        <w:t>2214, 2215, 2216, 2217, 2218, 2219, 2220, 2221, 2222, 2223, 2224,</w:t>
      </w:r>
    </w:p>
    <w:p>
      <w:pPr>
        <w:pStyle w:val="BodyText"/>
        <w:spacing w:line="200" w:lineRule="exact"/>
        <w:ind w:left="242"/>
        <w:jc w:val="left"/>
      </w:pPr>
      <w:r>
        <w:rPr>
          <w:color w:val="231F20"/>
        </w:rPr>
        <w:t>2225, 2226, 2227, 2229, 2230, 2231, 2232, 2258/1, 2259/1, 2262/1,</w:t>
      </w:r>
    </w:p>
    <w:p>
      <w:pPr>
        <w:pStyle w:val="BodyText"/>
        <w:spacing w:line="200" w:lineRule="exact"/>
        <w:ind w:left="242"/>
        <w:jc w:val="left"/>
      </w:pPr>
      <w:r>
        <w:rPr>
          <w:color w:val="231F20"/>
        </w:rPr>
        <w:t>2263/1, 2264/1, 2265/1, 2266/1, 2269/1, 2270/1, 2271/1, 2272/1, 2273,</w:t>
      </w:r>
    </w:p>
    <w:p>
      <w:pPr>
        <w:pStyle w:val="BodyText"/>
        <w:spacing w:line="200" w:lineRule="exact"/>
        <w:ind w:left="242"/>
        <w:jc w:val="left"/>
      </w:pPr>
      <w:r>
        <w:rPr>
          <w:color w:val="231F20"/>
        </w:rPr>
        <w:t>2274, 2275, 2276, 2277, 2278, 2279, 2280, 2281, 2282, 2284, 2286,</w:t>
      </w:r>
    </w:p>
    <w:p>
      <w:pPr>
        <w:pStyle w:val="BodyText"/>
        <w:spacing w:line="200" w:lineRule="exact"/>
        <w:ind w:left="242"/>
        <w:jc w:val="left"/>
      </w:pPr>
      <w:r>
        <w:rPr>
          <w:color w:val="231F20"/>
        </w:rPr>
        <w:t>2287, 2288, 2289, 2290, 2291, 2292, 2293, 2294, 2295, 2296, 2297,</w:t>
      </w:r>
    </w:p>
    <w:p>
      <w:pPr>
        <w:pStyle w:val="BodyText"/>
        <w:spacing w:line="200" w:lineRule="exact"/>
        <w:ind w:left="242"/>
        <w:jc w:val="left"/>
      </w:pPr>
      <w:r>
        <w:rPr>
          <w:color w:val="231F20"/>
        </w:rPr>
        <w:t>3339, 3343, 3344, 3345, 3346, 3347, 3348, 3355 и 3359/1 и</w:t>
      </w:r>
    </w:p>
    <w:p>
      <w:pPr>
        <w:pStyle w:val="BodyText"/>
        <w:spacing w:line="200" w:lineRule="exact"/>
        <w:ind w:left="639"/>
        <w:jc w:val="left"/>
      </w:pPr>
      <w:r>
        <w:rPr>
          <w:color w:val="231F20"/>
        </w:rPr>
        <w:t>КО Кленовник (ГО Костолац)</w:t>
      </w:r>
    </w:p>
    <w:p>
      <w:pPr>
        <w:pStyle w:val="BodyText"/>
        <w:spacing w:line="200" w:lineRule="exact"/>
        <w:ind w:left="639"/>
        <w:jc w:val="left"/>
      </w:pPr>
      <w:r>
        <w:rPr>
          <w:color w:val="231F20"/>
        </w:rPr>
        <w:t>к. п. бр. 1821, 1822, 1828, 1829, 1830, 1831, 1832, 1833, 1834,</w:t>
      </w:r>
    </w:p>
    <w:p>
      <w:pPr>
        <w:pStyle w:val="BodyText"/>
        <w:spacing w:line="200" w:lineRule="exact"/>
        <w:ind w:left="242"/>
        <w:jc w:val="left"/>
      </w:pPr>
      <w:r>
        <w:rPr>
          <w:color w:val="231F20"/>
        </w:rPr>
        <w:t>1835, 1836, 1837, 1838, 1839, 1840, 1841, 1842, 1843, 1844 и 1854.</w:t>
      </w:r>
    </w:p>
    <w:p>
      <w:pPr>
        <w:pStyle w:val="BodyText"/>
        <w:spacing w:line="232" w:lineRule="auto" w:before="2"/>
        <w:ind w:left="242" w:right="128" w:firstLine="397"/>
      </w:pPr>
      <w:r>
        <w:rPr>
          <w:color w:val="231F20"/>
        </w:rPr>
        <w:t>Извођењу рударских радова по </w:t>
      </w:r>
      <w:r>
        <w:rPr>
          <w:color w:val="231F20"/>
          <w:spacing w:val="-3"/>
        </w:rPr>
        <w:t>главном </w:t>
      </w:r>
      <w:r>
        <w:rPr>
          <w:color w:val="231F20"/>
        </w:rPr>
        <w:t>и допунском </w:t>
      </w:r>
      <w:r>
        <w:rPr>
          <w:color w:val="231F20"/>
          <w:spacing w:val="-3"/>
        </w:rPr>
        <w:t>рудар- </w:t>
      </w:r>
      <w:r>
        <w:rPr>
          <w:color w:val="231F20"/>
          <w:spacing w:val="-4"/>
        </w:rPr>
        <w:t>ском </w:t>
      </w:r>
      <w:r>
        <w:rPr>
          <w:color w:val="231F20"/>
        </w:rPr>
        <w:t>пројекту може се приступити када се прибави одобрење за извођење рударских радова, </w:t>
      </w:r>
      <w:r>
        <w:rPr>
          <w:color w:val="231F20"/>
          <w:spacing w:val="-3"/>
        </w:rPr>
        <w:t>које </w:t>
      </w:r>
      <w:r>
        <w:rPr>
          <w:color w:val="231F20"/>
        </w:rPr>
        <w:t>издаје надлежно министарство. Одобрењем се утврђује и обавеза рекултивације земљишта, у све- му према </w:t>
      </w:r>
      <w:r>
        <w:rPr>
          <w:color w:val="231F20"/>
          <w:spacing w:val="-3"/>
        </w:rPr>
        <w:t>планском </w:t>
      </w:r>
      <w:r>
        <w:rPr>
          <w:color w:val="231F20"/>
        </w:rPr>
        <w:t>документу и </w:t>
      </w:r>
      <w:r>
        <w:rPr>
          <w:color w:val="231F20"/>
          <w:spacing w:val="-3"/>
        </w:rPr>
        <w:t>пројекту. </w:t>
      </w:r>
      <w:r>
        <w:rPr>
          <w:color w:val="231F20"/>
        </w:rPr>
        <w:t>Предузеће </w:t>
      </w:r>
      <w:r>
        <w:rPr>
          <w:color w:val="231F20"/>
          <w:spacing w:val="-3"/>
        </w:rPr>
        <w:t>које </w:t>
      </w:r>
      <w:r>
        <w:rPr>
          <w:color w:val="231F20"/>
        </w:rPr>
        <w:t>врши експлоатацију минералних сировина, може користити за своје по- требе</w:t>
      </w:r>
      <w:r>
        <w:rPr>
          <w:color w:val="231F20"/>
          <w:spacing w:val="-9"/>
        </w:rPr>
        <w:t> </w:t>
      </w:r>
      <w:r>
        <w:rPr>
          <w:color w:val="231F20"/>
        </w:rPr>
        <w:t>воде</w:t>
      </w:r>
      <w:r>
        <w:rPr>
          <w:color w:val="231F20"/>
          <w:spacing w:val="-9"/>
        </w:rPr>
        <w:t> </w:t>
      </w:r>
      <w:r>
        <w:rPr>
          <w:color w:val="231F20"/>
        </w:rPr>
        <w:t>из</w:t>
      </w:r>
      <w:r>
        <w:rPr>
          <w:color w:val="231F20"/>
          <w:spacing w:val="-10"/>
        </w:rPr>
        <w:t> </w:t>
      </w:r>
      <w:r>
        <w:rPr>
          <w:color w:val="231F20"/>
        </w:rPr>
        <w:t>зоне</w:t>
      </w:r>
      <w:r>
        <w:rPr>
          <w:color w:val="231F20"/>
          <w:spacing w:val="-10"/>
        </w:rPr>
        <w:t> </w:t>
      </w:r>
      <w:r>
        <w:rPr>
          <w:color w:val="231F20"/>
        </w:rPr>
        <w:t>рударских</w:t>
      </w:r>
      <w:r>
        <w:rPr>
          <w:color w:val="231F20"/>
          <w:spacing w:val="-9"/>
        </w:rPr>
        <w:t> </w:t>
      </w:r>
      <w:r>
        <w:rPr>
          <w:color w:val="231F20"/>
        </w:rPr>
        <w:t>радова</w:t>
      </w:r>
      <w:r>
        <w:rPr>
          <w:color w:val="231F20"/>
          <w:spacing w:val="-9"/>
        </w:rPr>
        <w:t> </w:t>
      </w:r>
      <w:r>
        <w:rPr>
          <w:color w:val="231F20"/>
        </w:rPr>
        <w:t>све</w:t>
      </w:r>
      <w:r>
        <w:rPr>
          <w:color w:val="231F20"/>
          <w:spacing w:val="-9"/>
        </w:rPr>
        <w:t> </w:t>
      </w:r>
      <w:r>
        <w:rPr>
          <w:color w:val="231F20"/>
        </w:rPr>
        <w:t>до</w:t>
      </w:r>
      <w:r>
        <w:rPr>
          <w:color w:val="231F20"/>
          <w:spacing w:val="-9"/>
        </w:rPr>
        <w:t> </w:t>
      </w:r>
      <w:r>
        <w:rPr>
          <w:color w:val="231F20"/>
        </w:rPr>
        <w:t>њиховог</w:t>
      </w:r>
      <w:r>
        <w:rPr>
          <w:color w:val="231F20"/>
          <w:spacing w:val="-9"/>
        </w:rPr>
        <w:t> </w:t>
      </w:r>
      <w:r>
        <w:rPr>
          <w:color w:val="231F20"/>
        </w:rPr>
        <w:t>утока</w:t>
      </w:r>
      <w:r>
        <w:rPr>
          <w:color w:val="231F20"/>
          <w:spacing w:val="-9"/>
        </w:rPr>
        <w:t> </w:t>
      </w:r>
      <w:r>
        <w:rPr>
          <w:color w:val="231F20"/>
        </w:rPr>
        <w:t>у</w:t>
      </w:r>
      <w:r>
        <w:rPr>
          <w:color w:val="231F20"/>
          <w:spacing w:val="-9"/>
        </w:rPr>
        <w:t> </w:t>
      </w:r>
      <w:r>
        <w:rPr>
          <w:color w:val="231F20"/>
        </w:rPr>
        <w:t>сталне површинске воде, по прописима о водама и прописима о заштити животне</w:t>
      </w:r>
      <w:r>
        <w:rPr>
          <w:color w:val="231F20"/>
          <w:spacing w:val="-2"/>
        </w:rPr>
        <w:t> </w:t>
      </w:r>
      <w:r>
        <w:rPr>
          <w:color w:val="231F20"/>
        </w:rPr>
        <w:t>средине.</w:t>
      </w:r>
    </w:p>
    <w:p>
      <w:pPr>
        <w:pStyle w:val="BodyText"/>
        <w:spacing w:line="232" w:lineRule="auto"/>
        <w:ind w:left="242" w:right="128" w:firstLine="397"/>
      </w:pPr>
      <w:r>
        <w:rPr>
          <w:color w:val="231F20"/>
        </w:rPr>
        <w:t>Зона рударских активности обухвата </w:t>
      </w:r>
      <w:r>
        <w:rPr>
          <w:color w:val="231F20"/>
          <w:spacing w:val="-3"/>
        </w:rPr>
        <w:t>рударске </w:t>
      </w:r>
      <w:r>
        <w:rPr>
          <w:color w:val="231F20"/>
        </w:rPr>
        <w:t>објекте: по- вршински </w:t>
      </w:r>
      <w:r>
        <w:rPr>
          <w:color w:val="231F20"/>
          <w:spacing w:val="-3"/>
        </w:rPr>
        <w:t>коп, </w:t>
      </w:r>
      <w:r>
        <w:rPr>
          <w:color w:val="231F20"/>
        </w:rPr>
        <w:t>унутрашње одлагалишта јаловине, објекте и по- стројења у саставу површинског </w:t>
      </w:r>
      <w:r>
        <w:rPr>
          <w:color w:val="231F20"/>
          <w:spacing w:val="-3"/>
        </w:rPr>
        <w:t>копа који </w:t>
      </w:r>
      <w:r>
        <w:rPr>
          <w:color w:val="231F20"/>
        </w:rPr>
        <w:t>су непосредно везани за технолошки процес експлоатације, транспортне системе, ин- терне путеве и транспорт јаловине до одлагалишта, радионице    за ремонт и одржавање опреме у </w:t>
      </w:r>
      <w:r>
        <w:rPr>
          <w:color w:val="231F20"/>
          <w:spacing w:val="-3"/>
        </w:rPr>
        <w:t>технолошком процесу, </w:t>
      </w:r>
      <w:r>
        <w:rPr>
          <w:color w:val="231F20"/>
        </w:rPr>
        <w:t>објекте и постројења за одводњавање површинског </w:t>
      </w:r>
      <w:r>
        <w:rPr>
          <w:color w:val="231F20"/>
          <w:spacing w:val="-3"/>
        </w:rPr>
        <w:t>копа, </w:t>
      </w:r>
      <w:r>
        <w:rPr>
          <w:color w:val="231F20"/>
        </w:rPr>
        <w:t>електроенергетске објекте, постројења и уређаје </w:t>
      </w:r>
      <w:r>
        <w:rPr>
          <w:color w:val="231F20"/>
          <w:spacing w:val="-3"/>
        </w:rPr>
        <w:t>који </w:t>
      </w:r>
      <w:r>
        <w:rPr>
          <w:color w:val="231F20"/>
        </w:rPr>
        <w:t>служе за транспорт угља, водо- </w:t>
      </w:r>
      <w:r>
        <w:rPr>
          <w:color w:val="231F20"/>
          <w:spacing w:val="-5"/>
        </w:rPr>
        <w:t>водну, </w:t>
      </w:r>
      <w:r>
        <w:rPr>
          <w:color w:val="231F20"/>
        </w:rPr>
        <w:t>електричну и телекомуникациону мрежу </w:t>
      </w:r>
      <w:r>
        <w:rPr>
          <w:color w:val="231F20"/>
          <w:spacing w:val="-3"/>
        </w:rPr>
        <w:t>копа </w:t>
      </w:r>
      <w:r>
        <w:rPr>
          <w:color w:val="231F20"/>
        </w:rPr>
        <w:t>и</w:t>
      </w:r>
      <w:r>
        <w:rPr>
          <w:color w:val="231F20"/>
          <w:spacing w:val="-11"/>
        </w:rPr>
        <w:t> </w:t>
      </w:r>
      <w:r>
        <w:rPr>
          <w:color w:val="231F20"/>
        </w:rPr>
        <w:t>друго.</w:t>
      </w:r>
    </w:p>
    <w:p>
      <w:pPr>
        <w:pStyle w:val="BodyText"/>
        <w:spacing w:line="232" w:lineRule="auto"/>
        <w:ind w:left="242" w:right="128" w:firstLine="397"/>
      </w:pPr>
      <w:r>
        <w:rPr>
          <w:color w:val="231F20"/>
        </w:rPr>
        <w:t>Површине </w:t>
      </w:r>
      <w:r>
        <w:rPr>
          <w:color w:val="231F20"/>
          <w:spacing w:val="-3"/>
        </w:rPr>
        <w:t>које </w:t>
      </w:r>
      <w:r>
        <w:rPr>
          <w:color w:val="231F20"/>
        </w:rPr>
        <w:t>се заузимају за </w:t>
      </w:r>
      <w:r>
        <w:rPr>
          <w:color w:val="231F20"/>
          <w:spacing w:val="-3"/>
        </w:rPr>
        <w:t>рударске </w:t>
      </w:r>
      <w:r>
        <w:rPr>
          <w:color w:val="231F20"/>
        </w:rPr>
        <w:t>активности обухва- тају и површине у појасу минималне ширине 150 m, </w:t>
      </w:r>
      <w:r>
        <w:rPr>
          <w:color w:val="231F20"/>
          <w:spacing w:val="-3"/>
        </w:rPr>
        <w:t>које </w:t>
      </w:r>
      <w:r>
        <w:rPr>
          <w:color w:val="231F20"/>
        </w:rPr>
        <w:t>се уре- ђују као површине за потребе пратећих рударских активности и као зелене површине у функцији заштите, у складу са динамиком напредовања рударских радова и представљају заштитни појас према</w:t>
      </w:r>
      <w:r>
        <w:rPr>
          <w:color w:val="231F20"/>
          <w:spacing w:val="-10"/>
        </w:rPr>
        <w:t> </w:t>
      </w:r>
      <w:r>
        <w:rPr>
          <w:color w:val="231F20"/>
        </w:rPr>
        <w:t>површинама</w:t>
      </w:r>
      <w:r>
        <w:rPr>
          <w:color w:val="231F20"/>
          <w:spacing w:val="-10"/>
        </w:rPr>
        <w:t> </w:t>
      </w:r>
      <w:r>
        <w:rPr>
          <w:color w:val="231F20"/>
        </w:rPr>
        <w:t>друге</w:t>
      </w:r>
      <w:r>
        <w:rPr>
          <w:color w:val="231F20"/>
          <w:spacing w:val="-10"/>
        </w:rPr>
        <w:t> </w:t>
      </w:r>
      <w:r>
        <w:rPr>
          <w:color w:val="231F20"/>
        </w:rPr>
        <w:t>намене,</w:t>
      </w:r>
      <w:r>
        <w:rPr>
          <w:color w:val="231F20"/>
          <w:spacing w:val="-10"/>
        </w:rPr>
        <w:t> </w:t>
      </w:r>
      <w:r>
        <w:rPr>
          <w:color w:val="231F20"/>
        </w:rPr>
        <w:t>првенствено</w:t>
      </w:r>
      <w:r>
        <w:rPr>
          <w:color w:val="231F20"/>
          <w:spacing w:val="-10"/>
        </w:rPr>
        <w:t> </w:t>
      </w:r>
      <w:r>
        <w:rPr>
          <w:color w:val="231F20"/>
        </w:rPr>
        <w:t>према</w:t>
      </w:r>
      <w:r>
        <w:rPr>
          <w:color w:val="231F20"/>
          <w:spacing w:val="-10"/>
        </w:rPr>
        <w:t> </w:t>
      </w:r>
      <w:r>
        <w:rPr>
          <w:color w:val="231F20"/>
        </w:rPr>
        <w:t>суседним</w:t>
      </w:r>
      <w:r>
        <w:rPr>
          <w:color w:val="231F20"/>
          <w:spacing w:val="-10"/>
        </w:rPr>
        <w:t> </w:t>
      </w:r>
      <w:r>
        <w:rPr>
          <w:color w:val="231F20"/>
        </w:rPr>
        <w:t>на- сељима Дрмно, Кличевац и</w:t>
      </w:r>
      <w:r>
        <w:rPr>
          <w:color w:val="231F20"/>
          <w:spacing w:val="-4"/>
        </w:rPr>
        <w:t> </w:t>
      </w:r>
      <w:r>
        <w:rPr>
          <w:color w:val="231F20"/>
        </w:rPr>
        <w:t>Брадарац.</w:t>
      </w:r>
    </w:p>
    <w:p>
      <w:pPr>
        <w:pStyle w:val="BodyText"/>
        <w:spacing w:line="232" w:lineRule="auto"/>
        <w:ind w:left="240" w:right="129" w:firstLine="397"/>
      </w:pPr>
      <w:r>
        <w:rPr>
          <w:color w:val="231F20"/>
        </w:rPr>
        <w:t>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Законом,</w:t>
      </w:r>
      <w:r>
        <w:rPr>
          <w:color w:val="231F20"/>
          <w:spacing w:val="-8"/>
        </w:rPr>
        <w:t> </w:t>
      </w:r>
      <w:r>
        <w:rPr>
          <w:color w:val="231F20"/>
        </w:rPr>
        <w:t>Влада</w:t>
      </w:r>
      <w:r>
        <w:rPr>
          <w:color w:val="231F20"/>
          <w:spacing w:val="-8"/>
        </w:rPr>
        <w:t> </w:t>
      </w:r>
      <w:r>
        <w:rPr>
          <w:color w:val="231F20"/>
          <w:spacing w:val="-3"/>
        </w:rPr>
        <w:t>Републике</w:t>
      </w:r>
      <w:r>
        <w:rPr>
          <w:color w:val="231F20"/>
          <w:spacing w:val="-8"/>
        </w:rPr>
        <w:t> </w:t>
      </w:r>
      <w:r>
        <w:rPr>
          <w:color w:val="231F20"/>
        </w:rPr>
        <w:t>Србије</w:t>
      </w:r>
      <w:r>
        <w:rPr>
          <w:color w:val="231F20"/>
          <w:spacing w:val="-8"/>
        </w:rPr>
        <w:t> </w:t>
      </w:r>
      <w:r>
        <w:rPr>
          <w:color w:val="231F20"/>
        </w:rPr>
        <w:t>може</w:t>
      </w:r>
      <w:r>
        <w:rPr>
          <w:color w:val="231F20"/>
          <w:spacing w:val="-8"/>
        </w:rPr>
        <w:t> </w:t>
      </w:r>
      <w:r>
        <w:rPr>
          <w:color w:val="231F20"/>
        </w:rPr>
        <w:t>утврдити јавни интерес за експропријацију и јавни интерес за администра- тивни пренос, када је експропријација непокретности </w:t>
      </w:r>
      <w:r>
        <w:rPr>
          <w:color w:val="231F20"/>
          <w:spacing w:val="-3"/>
        </w:rPr>
        <w:t>неопходна </w:t>
      </w:r>
      <w:r>
        <w:rPr>
          <w:color w:val="231F20"/>
        </w:rPr>
        <w:t>за екплоатацију минералних сировина, за обезбеђење заштите животне средине и заштите </w:t>
      </w:r>
      <w:r>
        <w:rPr>
          <w:color w:val="231F20"/>
          <w:spacing w:val="-3"/>
        </w:rPr>
        <w:t>од </w:t>
      </w:r>
      <w:r>
        <w:rPr>
          <w:color w:val="231F20"/>
        </w:rPr>
        <w:t>елементарних непогода, али и за прибављање неизграђеног земљишта потребног ради измештања објеката и мрежа комуналне инфраструктуре и, наравно, других инфраструктурних објеката и мрежа, </w:t>
      </w:r>
      <w:r>
        <w:rPr>
          <w:color w:val="231F20"/>
          <w:spacing w:val="-4"/>
        </w:rPr>
        <w:t>ако </w:t>
      </w:r>
      <w:r>
        <w:rPr>
          <w:color w:val="231F20"/>
        </w:rPr>
        <w:t>је на подручју насеља или дела насеља утврђен јавни интерес за експропријацију или јавни интерес за административни пренос непокретности ради експлоатације минералних сировина. С тим у вези, Влада може утврдити јавни интерес за експропријацију и јавни интерес за ад- министративни пренос површина у коридору индустријске пруге на деоници измештеној из зоне развоја рударских активности, у зонама нових изворишта за насеља чије је водоснабдевање угро- жено експлоатацијом угља (Дрмно, Кличевац) и</w:t>
      </w:r>
      <w:r>
        <w:rPr>
          <w:color w:val="231F20"/>
          <w:spacing w:val="-12"/>
        </w:rPr>
        <w:t> </w:t>
      </w:r>
      <w:r>
        <w:rPr>
          <w:color w:val="231F20"/>
        </w:rPr>
        <w:t>слично.</w:t>
      </w:r>
    </w:p>
    <w:p>
      <w:pPr>
        <w:pStyle w:val="BodyText"/>
        <w:spacing w:line="232" w:lineRule="auto"/>
        <w:ind w:left="241" w:right="129" w:firstLine="397"/>
      </w:pPr>
      <w:r>
        <w:rPr>
          <w:color w:val="231F20"/>
        </w:rPr>
        <w:t>Регулацијом земљишта, тј. регулационим и урбанистичким условима уређења простора у обухвату границе просторне цели- не, обезбеђује се заштита јавног интереса и резервација простора</w:t>
      </w:r>
    </w:p>
    <w:p>
      <w:pPr>
        <w:pStyle w:val="BodyText"/>
        <w:spacing w:line="232" w:lineRule="auto"/>
        <w:ind w:left="240"/>
        <w:jc w:val="left"/>
      </w:pPr>
      <w:r>
        <w:rPr>
          <w:color w:val="231F20"/>
          <w:w w:val="66"/>
        </w:rPr>
        <w:t> </w:t>
      </w:r>
      <w:r>
        <w:rPr>
          <w:color w:val="231F20"/>
        </w:rPr>
        <w:t>– површина намењених „рударским објектима и активностима од јавног интереса”.</w:t>
      </w:r>
    </w:p>
    <w:p>
      <w:pPr>
        <w:pStyle w:val="BodyText"/>
        <w:spacing w:line="197" w:lineRule="exact"/>
        <w:ind w:left="638"/>
        <w:jc w:val="left"/>
      </w:pPr>
      <w:r>
        <w:rPr>
          <w:color w:val="231F20"/>
        </w:rPr>
        <w:t>Основни елемент регулације у оквиру ове просторне целине</w:t>
      </w:r>
    </w:p>
    <w:p>
      <w:pPr>
        <w:pStyle w:val="BodyText"/>
        <w:spacing w:line="200" w:lineRule="exact"/>
        <w:ind w:left="241"/>
        <w:jc w:val="left"/>
      </w:pPr>
      <w:r>
        <w:rPr>
          <w:color w:val="231F20"/>
        </w:rPr>
        <w:t>јесу:</w:t>
      </w:r>
    </w:p>
    <w:p>
      <w:pPr>
        <w:pStyle w:val="ListParagraph"/>
        <w:numPr>
          <w:ilvl w:val="3"/>
          <w:numId w:val="53"/>
        </w:numPr>
        <w:tabs>
          <w:tab w:pos="857" w:val="left" w:leader="none"/>
        </w:tabs>
        <w:spacing w:line="232" w:lineRule="auto" w:before="0" w:after="0"/>
        <w:ind w:left="240" w:right="130" w:firstLine="398"/>
        <w:jc w:val="both"/>
        <w:rPr>
          <w:sz w:val="18"/>
        </w:rPr>
      </w:pPr>
      <w:r>
        <w:rPr>
          <w:color w:val="231F20"/>
          <w:sz w:val="18"/>
        </w:rPr>
        <w:t>граничне линије према површинама и просторним цели- нама других намена (по граници просторне целине „Површински </w:t>
      </w:r>
      <w:r>
        <w:rPr>
          <w:color w:val="231F20"/>
          <w:spacing w:val="-4"/>
          <w:sz w:val="18"/>
        </w:rPr>
        <w:t>коп</w:t>
      </w:r>
      <w:r>
        <w:rPr>
          <w:color w:val="231F20"/>
          <w:spacing w:val="17"/>
          <w:sz w:val="18"/>
        </w:rPr>
        <w:t> </w:t>
      </w:r>
      <w:r>
        <w:rPr>
          <w:color w:val="231F20"/>
          <w:sz w:val="18"/>
        </w:rPr>
        <w:t>–</w:t>
      </w:r>
      <w:r>
        <w:rPr>
          <w:color w:val="231F20"/>
          <w:spacing w:val="-8"/>
          <w:sz w:val="18"/>
        </w:rPr>
        <w:t> </w:t>
      </w:r>
      <w:r>
        <w:rPr>
          <w:color w:val="231F20"/>
          <w:sz w:val="18"/>
        </w:rPr>
        <w:t>стање</w:t>
      </w:r>
      <w:r>
        <w:rPr>
          <w:color w:val="231F20"/>
          <w:spacing w:val="-9"/>
          <w:sz w:val="18"/>
        </w:rPr>
        <w:t> </w:t>
      </w:r>
      <w:r>
        <w:rPr>
          <w:color w:val="231F20"/>
          <w:sz w:val="18"/>
        </w:rPr>
        <w:t>2022.</w:t>
      </w:r>
      <w:r>
        <w:rPr>
          <w:color w:val="231F20"/>
          <w:spacing w:val="-8"/>
          <w:sz w:val="18"/>
        </w:rPr>
        <w:t> </w:t>
      </w:r>
      <w:r>
        <w:rPr>
          <w:color w:val="231F20"/>
          <w:sz w:val="18"/>
        </w:rPr>
        <w:t>године”</w:t>
      </w:r>
      <w:r>
        <w:rPr>
          <w:color w:val="231F20"/>
          <w:spacing w:val="-9"/>
          <w:sz w:val="18"/>
        </w:rPr>
        <w:t> </w:t>
      </w:r>
      <w:r>
        <w:rPr>
          <w:color w:val="231F20"/>
          <w:sz w:val="18"/>
        </w:rPr>
        <w:t>између</w:t>
      </w:r>
      <w:r>
        <w:rPr>
          <w:color w:val="231F20"/>
          <w:spacing w:val="-8"/>
          <w:sz w:val="18"/>
        </w:rPr>
        <w:t> </w:t>
      </w:r>
      <w:r>
        <w:rPr>
          <w:color w:val="231F20"/>
          <w:sz w:val="18"/>
        </w:rPr>
        <w:t>тачака</w:t>
      </w:r>
      <w:r>
        <w:rPr>
          <w:color w:val="231F20"/>
          <w:spacing w:val="-8"/>
          <w:sz w:val="18"/>
        </w:rPr>
        <w:t> </w:t>
      </w:r>
      <w:r>
        <w:rPr>
          <w:color w:val="231F20"/>
          <w:sz w:val="18"/>
        </w:rPr>
        <w:t>дефинисаних</w:t>
      </w:r>
      <w:r>
        <w:rPr>
          <w:color w:val="231F20"/>
          <w:spacing w:val="-8"/>
          <w:sz w:val="18"/>
        </w:rPr>
        <w:t> </w:t>
      </w:r>
      <w:r>
        <w:rPr>
          <w:color w:val="231F20"/>
          <w:sz w:val="18"/>
        </w:rPr>
        <w:t>у</w:t>
      </w:r>
      <w:r>
        <w:rPr>
          <w:color w:val="231F20"/>
          <w:spacing w:val="-8"/>
          <w:sz w:val="18"/>
        </w:rPr>
        <w:t> </w:t>
      </w:r>
      <w:r>
        <w:rPr>
          <w:color w:val="231F20"/>
          <w:sz w:val="18"/>
        </w:rPr>
        <w:t>државном </w:t>
      </w:r>
      <w:r>
        <w:rPr>
          <w:color w:val="231F20"/>
          <w:spacing w:val="-3"/>
          <w:sz w:val="18"/>
        </w:rPr>
        <w:t>координатном </w:t>
      </w:r>
      <w:r>
        <w:rPr>
          <w:color w:val="231F20"/>
          <w:sz w:val="18"/>
        </w:rPr>
        <w:t>систему: А5 – А6, А6 – А8, А8 – А14, А52 –</w:t>
      </w:r>
      <w:r>
        <w:rPr>
          <w:color w:val="231F20"/>
          <w:spacing w:val="10"/>
          <w:sz w:val="18"/>
        </w:rPr>
        <w:t> </w:t>
      </w:r>
      <w:r>
        <w:rPr>
          <w:color w:val="231F20"/>
          <w:sz w:val="18"/>
        </w:rPr>
        <w:t>А67);</w:t>
      </w:r>
    </w:p>
    <w:p>
      <w:pPr>
        <w:pStyle w:val="ListParagraph"/>
        <w:numPr>
          <w:ilvl w:val="3"/>
          <w:numId w:val="53"/>
        </w:numPr>
        <w:tabs>
          <w:tab w:pos="844" w:val="left" w:leader="none"/>
        </w:tabs>
        <w:spacing w:line="232" w:lineRule="auto" w:before="0" w:after="0"/>
        <w:ind w:left="240" w:right="129" w:firstLine="397"/>
        <w:jc w:val="both"/>
        <w:rPr>
          <w:sz w:val="18"/>
        </w:rPr>
      </w:pPr>
      <w:r>
        <w:rPr>
          <w:color w:val="231F20"/>
          <w:sz w:val="18"/>
        </w:rPr>
        <w:t>линија разграничења заштићене </w:t>
      </w:r>
      <w:r>
        <w:rPr>
          <w:color w:val="231F20"/>
          <w:spacing w:val="-3"/>
          <w:sz w:val="18"/>
        </w:rPr>
        <w:t>околине </w:t>
      </w:r>
      <w:r>
        <w:rPr>
          <w:color w:val="231F20"/>
          <w:sz w:val="18"/>
        </w:rPr>
        <w:t>археолошког ло- калитета Виминацијум и ПК „Дрмно” (по граници просторне це- лине „Површински </w:t>
      </w:r>
      <w:r>
        <w:rPr>
          <w:color w:val="231F20"/>
          <w:spacing w:val="-4"/>
          <w:sz w:val="18"/>
        </w:rPr>
        <w:t>коп </w:t>
      </w:r>
      <w:r>
        <w:rPr>
          <w:color w:val="231F20"/>
          <w:sz w:val="18"/>
        </w:rPr>
        <w:t>до 2022. године” између тачака А0 и А5 дефинисаних у државном </w:t>
      </w:r>
      <w:r>
        <w:rPr>
          <w:color w:val="231F20"/>
          <w:spacing w:val="-3"/>
          <w:sz w:val="18"/>
        </w:rPr>
        <w:t>координатном </w:t>
      </w:r>
      <w:r>
        <w:rPr>
          <w:color w:val="231F20"/>
          <w:sz w:val="18"/>
        </w:rPr>
        <w:t>систему</w:t>
      </w:r>
      <w:r>
        <w:rPr>
          <w:color w:val="231F20"/>
          <w:spacing w:val="0"/>
          <w:sz w:val="18"/>
        </w:rPr>
        <w:t> </w:t>
      </w:r>
      <w:r>
        <w:rPr>
          <w:color w:val="231F20"/>
          <w:sz w:val="18"/>
        </w:rPr>
        <w:t>);</w:t>
      </w:r>
    </w:p>
    <w:p>
      <w:pPr>
        <w:spacing w:after="0" w:line="232" w:lineRule="auto"/>
        <w:jc w:val="both"/>
        <w:rPr>
          <w:sz w:val="18"/>
        </w:rPr>
        <w:sectPr>
          <w:pgSz w:w="12480" w:h="15690"/>
          <w:pgMar w:top="120" w:bottom="280" w:left="680" w:right="720"/>
          <w:cols w:num="2" w:equalWidth="0">
            <w:col w:w="5558" w:space="40"/>
            <w:col w:w="5482"/>
          </w:cols>
        </w:sectPr>
      </w:pPr>
    </w:p>
    <w:p>
      <w:pPr>
        <w:pStyle w:val="ListParagraph"/>
        <w:numPr>
          <w:ilvl w:val="3"/>
          <w:numId w:val="53"/>
        </w:numPr>
        <w:tabs>
          <w:tab w:pos="813" w:val="left" w:leader="none"/>
        </w:tabs>
        <w:spacing w:line="232" w:lineRule="auto" w:before="73" w:after="0"/>
        <w:ind w:left="170" w:right="39" w:firstLine="397"/>
        <w:jc w:val="both"/>
        <w:rPr>
          <w:sz w:val="18"/>
        </w:rPr>
      </w:pPr>
      <w:r>
        <w:rPr/>
        <w:pict>
          <v:line style="position:absolute;mso-position-horizontal-relative:page;mso-position-vertical-relative:page;z-index:3712" from="304.724396pt,11.942451pt" to="304.724396pt,748.950451pt" stroked="true" strokeweight=".6pt" strokecolor="#231f20">
            <v:stroke dashstyle="solid"/>
            <w10:wrap type="none"/>
          </v:line>
        </w:pict>
      </w:r>
      <w:r>
        <w:rPr>
          <w:color w:val="231F20"/>
          <w:sz w:val="18"/>
        </w:rPr>
        <w:t>границе земљишних појаса инфраструктурних објеката (државни пут II реда Брадарац – Кличевац, дренажни канали у приобаљу Дунава, индустријска пруга по измештеној траси изме- ђу тачака А17 и А51 на граници просторне целине, ободни канал и друго);</w:t>
      </w:r>
      <w:r>
        <w:rPr>
          <w:color w:val="231F20"/>
          <w:spacing w:val="-2"/>
          <w:sz w:val="18"/>
        </w:rPr>
        <w:t> </w:t>
      </w:r>
      <w:r>
        <w:rPr>
          <w:color w:val="231F20"/>
          <w:sz w:val="18"/>
        </w:rPr>
        <w:t>и</w:t>
      </w:r>
    </w:p>
    <w:p>
      <w:pPr>
        <w:pStyle w:val="ListParagraph"/>
        <w:numPr>
          <w:ilvl w:val="3"/>
          <w:numId w:val="53"/>
        </w:numPr>
        <w:tabs>
          <w:tab w:pos="782" w:val="left" w:leader="none"/>
        </w:tabs>
        <w:spacing w:line="232" w:lineRule="auto" w:before="2" w:after="0"/>
        <w:ind w:left="170" w:right="39" w:firstLine="397"/>
        <w:jc w:val="both"/>
        <w:rPr>
          <w:sz w:val="18"/>
        </w:rPr>
      </w:pPr>
      <w:r>
        <w:rPr>
          <w:color w:val="231F20"/>
          <w:sz w:val="18"/>
        </w:rPr>
        <w:t>унутрашње регулационе линије (регулације баража буна- ра, интерних и сервисних саобраћајница и интерне саобраћајнице уз водонепропусни</w:t>
      </w:r>
      <w:r>
        <w:rPr>
          <w:color w:val="231F20"/>
          <w:spacing w:val="-1"/>
          <w:sz w:val="18"/>
        </w:rPr>
        <w:t> </w:t>
      </w:r>
      <w:r>
        <w:rPr>
          <w:color w:val="231F20"/>
          <w:sz w:val="18"/>
        </w:rPr>
        <w:t>екран).</w:t>
      </w:r>
    </w:p>
    <w:p>
      <w:pPr>
        <w:pStyle w:val="ListParagraph"/>
        <w:numPr>
          <w:ilvl w:val="2"/>
          <w:numId w:val="53"/>
        </w:numPr>
        <w:tabs>
          <w:tab w:pos="1060" w:val="left" w:leader="none"/>
        </w:tabs>
        <w:spacing w:line="240" w:lineRule="auto" w:before="166" w:after="0"/>
        <w:ind w:left="1059" w:right="0" w:hanging="450"/>
        <w:jc w:val="left"/>
        <w:rPr>
          <w:sz w:val="18"/>
        </w:rPr>
      </w:pPr>
      <w:r>
        <w:rPr>
          <w:color w:val="231F20"/>
          <w:spacing w:val="16"/>
          <w:sz w:val="18"/>
        </w:rPr>
        <w:t>Правила </w:t>
      </w:r>
      <w:r>
        <w:rPr>
          <w:color w:val="231F20"/>
          <w:spacing w:val="17"/>
          <w:sz w:val="18"/>
        </w:rPr>
        <w:t>парцелације </w:t>
      </w:r>
      <w:r>
        <w:rPr>
          <w:color w:val="231F20"/>
          <w:sz w:val="18"/>
        </w:rPr>
        <w:t>и</w:t>
      </w:r>
      <w:r>
        <w:rPr>
          <w:color w:val="231F20"/>
          <w:spacing w:val="-18"/>
          <w:sz w:val="18"/>
        </w:rPr>
        <w:t> </w:t>
      </w:r>
      <w:r>
        <w:rPr>
          <w:color w:val="231F20"/>
          <w:spacing w:val="17"/>
          <w:sz w:val="18"/>
        </w:rPr>
        <w:t>препарцелације</w:t>
      </w:r>
    </w:p>
    <w:p>
      <w:pPr>
        <w:pStyle w:val="BodyText"/>
        <w:spacing w:before="5"/>
        <w:ind w:left="0"/>
        <w:jc w:val="left"/>
        <w:rPr>
          <w:sz w:val="17"/>
        </w:rPr>
      </w:pPr>
    </w:p>
    <w:p>
      <w:pPr>
        <w:pStyle w:val="BodyText"/>
        <w:spacing w:line="232" w:lineRule="auto"/>
        <w:ind w:right="39" w:firstLine="396"/>
      </w:pPr>
      <w:r>
        <w:rPr>
          <w:color w:val="231F20"/>
        </w:rPr>
        <w:t>На површинама у просторној целини „Површински коп – стање 2022. године” мења се постојећа катастарска парцелација ради формирања нових парцела на јавном земљишту у складу са успостављеним режимом коришћења, променом намене и ката- старске културе.</w:t>
      </w:r>
    </w:p>
    <w:p>
      <w:pPr>
        <w:pStyle w:val="BodyText"/>
        <w:spacing w:line="232" w:lineRule="auto" w:before="2"/>
        <w:ind w:right="39" w:firstLine="397"/>
      </w:pPr>
      <w:r>
        <w:rPr>
          <w:color w:val="231F20"/>
        </w:rPr>
        <w:t>Нове катастарске парцеле се формирају на основу валидног и ажурираног катастарског плана и пројекта геодетског обележа- вања, а према овереном пројекту парцелације. Орган надлежан за послове државног премера и катастра доноси решење о формира- њу катастарских</w:t>
      </w:r>
      <w:r>
        <w:rPr>
          <w:color w:val="231F20"/>
          <w:spacing w:val="-2"/>
        </w:rPr>
        <w:t> </w:t>
      </w:r>
      <w:r>
        <w:rPr>
          <w:color w:val="231F20"/>
        </w:rPr>
        <w:t>парцела</w:t>
      </w:r>
    </w:p>
    <w:p>
      <w:pPr>
        <w:pStyle w:val="BodyText"/>
        <w:spacing w:line="232" w:lineRule="auto" w:before="3"/>
        <w:ind w:right="39" w:firstLine="397"/>
      </w:pPr>
      <w:r>
        <w:rPr>
          <w:color w:val="231F20"/>
        </w:rPr>
        <w:t>У складу са општим правилима за уређење простора у овој просторној целини утврђују се правила за спровођење нове ката- старске парцелације:</w:t>
      </w:r>
    </w:p>
    <w:p>
      <w:pPr>
        <w:pStyle w:val="BodyText"/>
        <w:spacing w:line="232" w:lineRule="auto" w:before="1"/>
        <w:ind w:right="39" w:firstLine="396"/>
      </w:pPr>
      <w:r>
        <w:rPr>
          <w:color w:val="231F20"/>
          <w:w w:val="66"/>
        </w:rPr>
        <w:t> </w:t>
      </w:r>
      <w:r>
        <w:rPr>
          <w:color w:val="231F20"/>
        </w:rPr>
        <w:t>–</w:t>
      </w:r>
      <w:r>
        <w:rPr>
          <w:color w:val="231F20"/>
          <w:spacing w:val="-6"/>
        </w:rPr>
        <w:t> </w:t>
      </w:r>
      <w:r>
        <w:rPr>
          <w:color w:val="231F20"/>
        </w:rPr>
        <w:t>формирање</w:t>
      </w:r>
      <w:r>
        <w:rPr>
          <w:color w:val="231F20"/>
          <w:spacing w:val="-6"/>
        </w:rPr>
        <w:t> </w:t>
      </w:r>
      <w:r>
        <w:rPr>
          <w:color w:val="231F20"/>
        </w:rPr>
        <w:t>нових</w:t>
      </w:r>
      <w:r>
        <w:rPr>
          <w:color w:val="231F20"/>
          <w:spacing w:val="-6"/>
        </w:rPr>
        <w:t> </w:t>
      </w:r>
      <w:r>
        <w:rPr>
          <w:color w:val="231F20"/>
        </w:rPr>
        <w:t>парцела</w:t>
      </w:r>
      <w:r>
        <w:rPr>
          <w:color w:val="231F20"/>
          <w:spacing w:val="-6"/>
        </w:rPr>
        <w:t> </w:t>
      </w:r>
      <w:r>
        <w:rPr>
          <w:color w:val="231F20"/>
        </w:rPr>
        <w:t>се</w:t>
      </w:r>
      <w:r>
        <w:rPr>
          <w:color w:val="231F20"/>
          <w:spacing w:val="-6"/>
        </w:rPr>
        <w:t> </w:t>
      </w:r>
      <w:r>
        <w:rPr>
          <w:color w:val="231F20"/>
        </w:rPr>
        <w:t>обавља</w:t>
      </w:r>
      <w:r>
        <w:rPr>
          <w:color w:val="231F20"/>
          <w:spacing w:val="-6"/>
        </w:rPr>
        <w:t> </w:t>
      </w:r>
      <w:r>
        <w:rPr>
          <w:color w:val="231F20"/>
        </w:rPr>
        <w:t>према</w:t>
      </w:r>
      <w:r>
        <w:rPr>
          <w:color w:val="231F20"/>
          <w:spacing w:val="-6"/>
        </w:rPr>
        <w:t> </w:t>
      </w:r>
      <w:r>
        <w:rPr>
          <w:color w:val="231F20"/>
        </w:rPr>
        <w:t>динамици</w:t>
      </w:r>
      <w:r>
        <w:rPr>
          <w:color w:val="231F20"/>
          <w:spacing w:val="-6"/>
        </w:rPr>
        <w:t> </w:t>
      </w:r>
      <w:r>
        <w:rPr>
          <w:color w:val="231F20"/>
        </w:rPr>
        <w:t>при- бављања земљишта у јавну</w:t>
      </w:r>
      <w:r>
        <w:rPr>
          <w:color w:val="231F20"/>
          <w:spacing w:val="-3"/>
        </w:rPr>
        <w:t> </w:t>
      </w:r>
      <w:r>
        <w:rPr>
          <w:color w:val="231F20"/>
        </w:rPr>
        <w:t>својину;</w:t>
      </w:r>
    </w:p>
    <w:p>
      <w:pPr>
        <w:pStyle w:val="BodyText"/>
        <w:spacing w:line="232" w:lineRule="auto" w:before="1"/>
        <w:ind w:right="38" w:firstLine="396"/>
      </w:pPr>
      <w:r>
        <w:rPr>
          <w:color w:val="231F20"/>
          <w:w w:val="66"/>
        </w:rPr>
        <w:t> </w:t>
      </w:r>
      <w:r>
        <w:rPr>
          <w:color w:val="231F20"/>
        </w:rPr>
        <w:t>–</w:t>
      </w:r>
      <w:r>
        <w:rPr>
          <w:color w:val="231F20"/>
          <w:spacing w:val="-10"/>
        </w:rPr>
        <w:t> </w:t>
      </w:r>
      <w:r>
        <w:rPr>
          <w:color w:val="231F20"/>
        </w:rPr>
        <w:t>положај</w:t>
      </w:r>
      <w:r>
        <w:rPr>
          <w:color w:val="231F20"/>
          <w:spacing w:val="-10"/>
        </w:rPr>
        <w:t> </w:t>
      </w:r>
      <w:r>
        <w:rPr>
          <w:color w:val="231F20"/>
        </w:rPr>
        <w:t>новоформираних</w:t>
      </w:r>
      <w:r>
        <w:rPr>
          <w:color w:val="231F20"/>
          <w:spacing w:val="-10"/>
        </w:rPr>
        <w:t> </w:t>
      </w:r>
      <w:r>
        <w:rPr>
          <w:color w:val="231F20"/>
        </w:rPr>
        <w:t>катастарских</w:t>
      </w:r>
      <w:r>
        <w:rPr>
          <w:color w:val="231F20"/>
          <w:spacing w:val="-10"/>
        </w:rPr>
        <w:t> </w:t>
      </w:r>
      <w:r>
        <w:rPr>
          <w:color w:val="231F20"/>
        </w:rPr>
        <w:t>парцела</w:t>
      </w:r>
      <w:r>
        <w:rPr>
          <w:color w:val="231F20"/>
          <w:spacing w:val="-10"/>
        </w:rPr>
        <w:t> </w:t>
      </w:r>
      <w:r>
        <w:rPr>
          <w:color w:val="231F20"/>
        </w:rPr>
        <w:t>дефинисан је границом просторне целине, односно разделним линијама пре- ма суседним просторним целинама друге намене, као и линијом разграничења заштићене </w:t>
      </w:r>
      <w:r>
        <w:rPr>
          <w:color w:val="231F20"/>
          <w:spacing w:val="-3"/>
        </w:rPr>
        <w:t>околине </w:t>
      </w:r>
      <w:r>
        <w:rPr>
          <w:color w:val="231F20"/>
        </w:rPr>
        <w:t>археолошког локалитета Вими- нацијум и ПК</w:t>
      </w:r>
      <w:r>
        <w:rPr>
          <w:color w:val="231F20"/>
          <w:spacing w:val="-3"/>
        </w:rPr>
        <w:t> </w:t>
      </w:r>
      <w:r>
        <w:rPr>
          <w:color w:val="231F20"/>
        </w:rPr>
        <w:t>„Дрмно”</w:t>
      </w:r>
      <w:r>
        <w:rPr>
          <w:color w:val="231F20"/>
          <w:position w:val="6"/>
          <w:sz w:val="10"/>
        </w:rPr>
        <w:t>6</w:t>
      </w:r>
      <w:r>
        <w:rPr>
          <w:color w:val="231F20"/>
        </w:rPr>
        <w:t>;</w:t>
      </w:r>
    </w:p>
    <w:p>
      <w:pPr>
        <w:pStyle w:val="BodyText"/>
        <w:spacing w:line="232" w:lineRule="auto" w:before="1"/>
        <w:ind w:right="39" w:firstLine="397"/>
      </w:pPr>
      <w:r>
        <w:rPr>
          <w:color w:val="231F20"/>
          <w:w w:val="66"/>
        </w:rPr>
        <w:t> </w:t>
      </w:r>
      <w:r>
        <w:rPr>
          <w:color w:val="231F20"/>
        </w:rPr>
        <w:t>– новоформиране катастарске парцеле изван границе повр- шинског копа до 2022. године не мењају катастарску намену;</w:t>
      </w:r>
    </w:p>
    <w:p>
      <w:pPr>
        <w:pStyle w:val="BodyText"/>
        <w:spacing w:line="200" w:lineRule="exact"/>
        <w:ind w:left="566"/>
        <w:jc w:val="left"/>
      </w:pPr>
      <w:r>
        <w:rPr>
          <w:color w:val="231F20"/>
          <w:w w:val="66"/>
        </w:rPr>
        <w:t> </w:t>
      </w:r>
      <w:r>
        <w:rPr>
          <w:color w:val="231F20"/>
        </w:rPr>
        <w:t>– могућа је, али не и неопходна, препарцелација;</w:t>
      </w:r>
    </w:p>
    <w:p>
      <w:pPr>
        <w:pStyle w:val="BodyText"/>
        <w:spacing w:line="232" w:lineRule="auto" w:before="2"/>
        <w:ind w:left="169" w:right="39" w:firstLine="397"/>
      </w:pPr>
      <w:r>
        <w:rPr>
          <w:color w:val="231F20"/>
          <w:w w:val="66"/>
        </w:rPr>
        <w:t> </w:t>
      </w:r>
      <w:r>
        <w:rPr>
          <w:color w:val="231F20"/>
        </w:rPr>
        <w:t>–</w:t>
      </w:r>
      <w:r>
        <w:rPr>
          <w:color w:val="231F20"/>
          <w:spacing w:val="-7"/>
        </w:rPr>
        <w:t> </w:t>
      </w:r>
      <w:r>
        <w:rPr>
          <w:color w:val="231F20"/>
        </w:rPr>
        <w:t>у</w:t>
      </w:r>
      <w:r>
        <w:rPr>
          <w:color w:val="231F20"/>
          <w:spacing w:val="-7"/>
        </w:rPr>
        <w:t> </w:t>
      </w:r>
      <w:r>
        <w:rPr>
          <w:color w:val="231F20"/>
        </w:rPr>
        <w:t>случају</w:t>
      </w:r>
      <w:r>
        <w:rPr>
          <w:color w:val="231F20"/>
          <w:spacing w:val="-8"/>
        </w:rPr>
        <w:t> </w:t>
      </w:r>
      <w:r>
        <w:rPr>
          <w:color w:val="231F20"/>
        </w:rPr>
        <w:t>када</w:t>
      </w:r>
      <w:r>
        <w:rPr>
          <w:color w:val="231F20"/>
          <w:spacing w:val="-8"/>
        </w:rPr>
        <w:t> </w:t>
      </w:r>
      <w:r>
        <w:rPr>
          <w:color w:val="231F20"/>
        </w:rPr>
        <w:t>се</w:t>
      </w:r>
      <w:r>
        <w:rPr>
          <w:color w:val="231F20"/>
          <w:spacing w:val="-8"/>
        </w:rPr>
        <w:t> </w:t>
      </w:r>
      <w:r>
        <w:rPr>
          <w:color w:val="231F20"/>
        </w:rPr>
        <w:t>нове</w:t>
      </w:r>
      <w:r>
        <w:rPr>
          <w:color w:val="231F20"/>
          <w:spacing w:val="-8"/>
        </w:rPr>
        <w:t> </w:t>
      </w:r>
      <w:r>
        <w:rPr>
          <w:color w:val="231F20"/>
        </w:rPr>
        <w:t>парцеле</w:t>
      </w:r>
      <w:r>
        <w:rPr>
          <w:color w:val="231F20"/>
          <w:spacing w:val="-8"/>
        </w:rPr>
        <w:t> </w:t>
      </w:r>
      <w:r>
        <w:rPr>
          <w:color w:val="231F20"/>
        </w:rPr>
        <w:t>формирају</w:t>
      </w:r>
      <w:r>
        <w:rPr>
          <w:color w:val="231F20"/>
          <w:spacing w:val="-8"/>
        </w:rPr>
        <w:t> </w:t>
      </w:r>
      <w:r>
        <w:rPr>
          <w:color w:val="231F20"/>
        </w:rPr>
        <w:t>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w:t>
      </w:r>
      <w:r>
        <w:rPr>
          <w:color w:val="231F20"/>
          <w:spacing w:val="-4"/>
        </w:rPr>
        <w:t> </w:t>
      </w:r>
      <w:r>
        <w:rPr>
          <w:color w:val="231F20"/>
        </w:rPr>
        <w:t>парцела;</w:t>
      </w:r>
    </w:p>
    <w:p>
      <w:pPr>
        <w:pStyle w:val="BodyText"/>
        <w:spacing w:line="232" w:lineRule="auto" w:before="2"/>
        <w:ind w:left="169" w:right="40" w:firstLine="396"/>
      </w:pPr>
      <w:r>
        <w:rPr>
          <w:color w:val="231F20"/>
          <w:w w:val="66"/>
        </w:rPr>
        <w:t> </w:t>
      </w:r>
      <w:r>
        <w:rPr>
          <w:color w:val="231F20"/>
        </w:rPr>
        <w:t>–</w:t>
      </w:r>
      <w:r>
        <w:rPr>
          <w:color w:val="231F20"/>
          <w:spacing w:val="-10"/>
        </w:rPr>
        <w:t> </w:t>
      </w:r>
      <w:r>
        <w:rPr>
          <w:color w:val="231F20"/>
        </w:rPr>
        <w:t>на</w:t>
      </w:r>
      <w:r>
        <w:rPr>
          <w:color w:val="231F20"/>
          <w:spacing w:val="-10"/>
        </w:rPr>
        <w:t> </w:t>
      </w:r>
      <w:r>
        <w:rPr>
          <w:color w:val="231F20"/>
        </w:rPr>
        <w:t>новоформираним</w:t>
      </w:r>
      <w:r>
        <w:rPr>
          <w:color w:val="231F20"/>
          <w:spacing w:val="-10"/>
        </w:rPr>
        <w:t> </w:t>
      </w:r>
      <w:r>
        <w:rPr>
          <w:color w:val="231F20"/>
        </w:rPr>
        <w:t>катастарским</w:t>
      </w:r>
      <w:r>
        <w:rPr>
          <w:color w:val="231F20"/>
          <w:spacing w:val="-10"/>
        </w:rPr>
        <w:t> </w:t>
      </w:r>
      <w:r>
        <w:rPr>
          <w:color w:val="231F20"/>
        </w:rPr>
        <w:t>парцелама</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про- сторне целине спроводи се пренамена у остало земљиште / ве- штачки створено неплодно земљиште (површински</w:t>
      </w:r>
      <w:r>
        <w:rPr>
          <w:color w:val="231F20"/>
          <w:spacing w:val="-12"/>
        </w:rPr>
        <w:t> </w:t>
      </w:r>
      <w:r>
        <w:rPr>
          <w:color w:val="231F20"/>
        </w:rPr>
        <w:t>коп).</w:t>
      </w:r>
    </w:p>
    <w:p>
      <w:pPr>
        <w:pStyle w:val="BodyText"/>
        <w:spacing w:line="232" w:lineRule="auto" w:before="2"/>
        <w:ind w:left="169" w:right="39" w:firstLine="396"/>
      </w:pPr>
      <w:r>
        <w:rPr>
          <w:color w:val="231F20"/>
        </w:rPr>
        <w:t>По извршеној деоби катастарских парцела на појединачне земљишне честице, новоформиране парцеле се уводе у евиденци- ју непокретности по основу законом регулисане надлежности на одржавању и управљању на појединим инфраструктурним објек- тима и јавним површинама.</w:t>
      </w:r>
    </w:p>
    <w:p>
      <w:pPr>
        <w:pStyle w:val="BodyText"/>
        <w:spacing w:line="232" w:lineRule="auto" w:before="2"/>
        <w:ind w:right="39" w:firstLine="396"/>
      </w:pPr>
      <w:r>
        <w:rPr>
          <w:color w:val="231F20"/>
        </w:rPr>
        <w:t>На парцелацијом формираним катастарским парцелама у за- штитном појасу археолошког налазишта изван границе просторне целине, примењују се заштитне мере и ограничења у коришћењу простора , и уводи у евиденцију непокретности носилац права ко- ришћења, у складу са Одлуком о утврђивању локалитета Вими- нацијум у атару села Стари Костолац за археолошко налазиште, („Службени гласник РС”, број 102/09).</w:t>
      </w:r>
    </w:p>
    <w:p>
      <w:pPr>
        <w:pStyle w:val="BodyText"/>
        <w:spacing w:line="232" w:lineRule="auto" w:before="3"/>
        <w:ind w:right="38" w:firstLine="396"/>
      </w:pPr>
      <w:r>
        <w:rPr>
          <w:color w:val="231F20"/>
        </w:rPr>
        <w:t>Катастарска парцела се може делити парцелацијом до мини- мума утврђеног применом правила о катастарској парцелацији. </w:t>
      </w:r>
      <w:r>
        <w:rPr>
          <w:color w:val="231F20"/>
          <w:spacing w:val="-6"/>
        </w:rPr>
        <w:t>Уколико </w:t>
      </w:r>
      <w:r>
        <w:rPr>
          <w:color w:val="231F20"/>
        </w:rPr>
        <w:t>на појединачној парцели није могуће извршити деобу та- </w:t>
      </w:r>
      <w:r>
        <w:rPr>
          <w:color w:val="231F20"/>
          <w:spacing w:val="-5"/>
        </w:rPr>
        <w:t>ко </w:t>
      </w:r>
      <w:r>
        <w:rPr>
          <w:color w:val="231F20"/>
        </w:rPr>
        <w:t>да се формира нова катастарска парцела изван утврђене грани- це ове просторне целине или да се задржи њена постојећа намена, постојећа</w:t>
      </w:r>
      <w:r>
        <w:rPr>
          <w:color w:val="231F20"/>
          <w:spacing w:val="-6"/>
        </w:rPr>
        <w:t> </w:t>
      </w:r>
      <w:r>
        <w:rPr>
          <w:color w:val="231F20"/>
        </w:rPr>
        <w:t>катастарска</w:t>
      </w:r>
      <w:r>
        <w:rPr>
          <w:color w:val="231F20"/>
          <w:spacing w:val="-6"/>
        </w:rPr>
        <w:t> </w:t>
      </w:r>
      <w:r>
        <w:rPr>
          <w:color w:val="231F20"/>
        </w:rPr>
        <w:t>парцела</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целини</w:t>
      </w:r>
      <w:r>
        <w:rPr>
          <w:color w:val="231F20"/>
          <w:spacing w:val="-6"/>
        </w:rPr>
        <w:t> </w:t>
      </w:r>
      <w:r>
        <w:rPr>
          <w:color w:val="231F20"/>
        </w:rPr>
        <w:t>прикључује</w:t>
      </w:r>
      <w:r>
        <w:rPr>
          <w:color w:val="231F20"/>
          <w:spacing w:val="-6"/>
        </w:rPr>
        <w:t> </w:t>
      </w:r>
      <w:r>
        <w:rPr>
          <w:color w:val="231F20"/>
        </w:rPr>
        <w:t>просторној целини и уређује према правилима уређења за </w:t>
      </w:r>
      <w:r>
        <w:rPr>
          <w:color w:val="231F20"/>
          <w:spacing w:val="-3"/>
        </w:rPr>
        <w:t>ову </w:t>
      </w:r>
      <w:r>
        <w:rPr>
          <w:color w:val="231F20"/>
        </w:rPr>
        <w:t>просторну це- </w:t>
      </w:r>
      <w:r>
        <w:rPr>
          <w:color w:val="231F20"/>
          <w:spacing w:val="-5"/>
        </w:rPr>
        <w:t>лину.</w:t>
      </w:r>
    </w:p>
    <w:p>
      <w:pPr>
        <w:pStyle w:val="BodyText"/>
        <w:spacing w:line="232" w:lineRule="auto" w:before="4"/>
        <w:ind w:left="171" w:right="38" w:firstLine="396"/>
      </w:pPr>
      <w:r>
        <w:rPr>
          <w:color w:val="231F20"/>
        </w:rPr>
        <w:t>За потребе изградње, реконструкције и </w:t>
      </w:r>
      <w:r>
        <w:rPr>
          <w:color w:val="231F20"/>
          <w:spacing w:val="-2"/>
        </w:rPr>
        <w:t>коришћења </w:t>
      </w:r>
      <w:r>
        <w:rPr>
          <w:color w:val="231F20"/>
        </w:rPr>
        <w:t>објеката на јавним површинама у оквиру новоформираних катастарских парцела изван просторне целине „Површински </w:t>
      </w:r>
      <w:r>
        <w:rPr>
          <w:color w:val="231F20"/>
          <w:spacing w:val="-4"/>
        </w:rPr>
        <w:t>коп </w:t>
      </w:r>
      <w:r>
        <w:rPr>
          <w:color w:val="231F20"/>
        </w:rPr>
        <w:t>– стање 2022. </w:t>
      </w:r>
      <w:r>
        <w:rPr>
          <w:color w:val="231F20"/>
          <w:spacing w:val="-3"/>
        </w:rPr>
        <w:t>године”, </w:t>
      </w:r>
      <w:r>
        <w:rPr>
          <w:color w:val="231F20"/>
        </w:rPr>
        <w:t>грађевинске парцеле се могу формирати на основу урба- нистичке</w:t>
      </w:r>
      <w:r>
        <w:rPr>
          <w:color w:val="231F20"/>
          <w:spacing w:val="-17"/>
        </w:rPr>
        <w:t> </w:t>
      </w:r>
      <w:r>
        <w:rPr>
          <w:color w:val="231F20"/>
        </w:rPr>
        <w:t>и</w:t>
      </w:r>
      <w:r>
        <w:rPr>
          <w:color w:val="231F20"/>
          <w:spacing w:val="-17"/>
        </w:rPr>
        <w:t> </w:t>
      </w:r>
      <w:r>
        <w:rPr>
          <w:color w:val="231F20"/>
        </w:rPr>
        <w:t>урбанистичко-техничке</w:t>
      </w:r>
      <w:r>
        <w:rPr>
          <w:color w:val="231F20"/>
          <w:spacing w:val="-17"/>
        </w:rPr>
        <w:t> </w:t>
      </w:r>
      <w:r>
        <w:rPr>
          <w:color w:val="231F20"/>
        </w:rPr>
        <w:t>документације</w:t>
      </w:r>
      <w:r>
        <w:rPr>
          <w:color w:val="231F20"/>
          <w:spacing w:val="-17"/>
        </w:rPr>
        <w:t> </w:t>
      </w:r>
      <w:r>
        <w:rPr>
          <w:color w:val="231F20"/>
        </w:rPr>
        <w:t>израђене</w:t>
      </w:r>
      <w:r>
        <w:rPr>
          <w:color w:val="231F20"/>
          <w:spacing w:val="-17"/>
        </w:rPr>
        <w:t> </w:t>
      </w:r>
      <w:r>
        <w:rPr>
          <w:color w:val="231F20"/>
        </w:rPr>
        <w:t>у</w:t>
      </w:r>
      <w:r>
        <w:rPr>
          <w:color w:val="231F20"/>
          <w:spacing w:val="-17"/>
        </w:rPr>
        <w:t> </w:t>
      </w:r>
      <w:r>
        <w:rPr>
          <w:color w:val="231F20"/>
        </w:rPr>
        <w:t>скла- ду</w:t>
      </w:r>
      <w:r>
        <w:rPr>
          <w:color w:val="231F20"/>
          <w:spacing w:val="-10"/>
        </w:rPr>
        <w:t> </w:t>
      </w:r>
      <w:r>
        <w:rPr>
          <w:color w:val="231F20"/>
        </w:rPr>
        <w:t>са</w:t>
      </w:r>
      <w:r>
        <w:rPr>
          <w:color w:val="231F20"/>
          <w:spacing w:val="-10"/>
        </w:rPr>
        <w:t> </w:t>
      </w:r>
      <w:r>
        <w:rPr>
          <w:color w:val="231F20"/>
          <w:spacing w:val="-3"/>
        </w:rPr>
        <w:t>Законом</w:t>
      </w:r>
      <w:r>
        <w:rPr>
          <w:color w:val="231F20"/>
          <w:spacing w:val="-10"/>
        </w:rPr>
        <w:t> </w:t>
      </w:r>
      <w:r>
        <w:rPr>
          <w:color w:val="231F20"/>
        </w:rPr>
        <w:t>о</w:t>
      </w:r>
      <w:r>
        <w:rPr>
          <w:color w:val="231F20"/>
          <w:spacing w:val="-10"/>
        </w:rPr>
        <w:t> </w:t>
      </w:r>
      <w:r>
        <w:rPr>
          <w:color w:val="231F20"/>
        </w:rPr>
        <w:t>планирању</w:t>
      </w:r>
      <w:r>
        <w:rPr>
          <w:color w:val="231F20"/>
          <w:spacing w:val="-10"/>
        </w:rPr>
        <w:t> </w:t>
      </w:r>
      <w:r>
        <w:rPr>
          <w:color w:val="231F20"/>
        </w:rPr>
        <w:t>и</w:t>
      </w:r>
      <w:r>
        <w:rPr>
          <w:color w:val="231F20"/>
          <w:spacing w:val="-10"/>
        </w:rPr>
        <w:t> </w:t>
      </w:r>
      <w:r>
        <w:rPr>
          <w:color w:val="231F20"/>
        </w:rPr>
        <w:t>изградњи</w:t>
      </w:r>
      <w:r>
        <w:rPr>
          <w:color w:val="231F20"/>
          <w:spacing w:val="-10"/>
        </w:rPr>
        <w:t> </w:t>
      </w:r>
      <w:r>
        <w:rPr>
          <w:color w:val="231F20"/>
        </w:rPr>
        <w:t>и</w:t>
      </w:r>
      <w:r>
        <w:rPr>
          <w:color w:val="231F20"/>
          <w:spacing w:val="-10"/>
        </w:rPr>
        <w:t> </w:t>
      </w:r>
      <w:r>
        <w:rPr>
          <w:color w:val="231F20"/>
        </w:rPr>
        <w:t>према</w:t>
      </w:r>
      <w:r>
        <w:rPr>
          <w:color w:val="231F20"/>
          <w:spacing w:val="-10"/>
        </w:rPr>
        <w:t> </w:t>
      </w:r>
      <w:r>
        <w:rPr>
          <w:color w:val="231F20"/>
        </w:rPr>
        <w:t>општим</w:t>
      </w:r>
      <w:r>
        <w:rPr>
          <w:color w:val="231F20"/>
          <w:spacing w:val="-10"/>
        </w:rPr>
        <w:t> </w:t>
      </w:r>
      <w:r>
        <w:rPr>
          <w:color w:val="231F20"/>
        </w:rPr>
        <w:t>правилима изградње и уређења простора утврђених Просторним</w:t>
      </w:r>
      <w:r>
        <w:rPr>
          <w:color w:val="231F20"/>
          <w:spacing w:val="-30"/>
        </w:rPr>
        <w:t> </w:t>
      </w:r>
      <w:r>
        <w:rPr>
          <w:color w:val="231F20"/>
        </w:rPr>
        <w:t>планом.</w:t>
      </w:r>
    </w:p>
    <w:p>
      <w:pPr>
        <w:spacing w:line="154"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454" w:val="left" w:leader="none"/>
        </w:tabs>
        <w:spacing w:line="240" w:lineRule="auto" w:before="0" w:after="0"/>
        <w:ind w:left="453" w:right="39" w:hanging="283"/>
        <w:jc w:val="both"/>
        <w:rPr>
          <w:sz w:val="14"/>
        </w:rPr>
      </w:pPr>
      <w:r>
        <w:rPr>
          <w:color w:val="231F20"/>
          <w:sz w:val="14"/>
        </w:rPr>
        <w:t>Линија</w:t>
      </w:r>
      <w:r>
        <w:rPr>
          <w:color w:val="231F20"/>
          <w:spacing w:val="-7"/>
          <w:sz w:val="14"/>
        </w:rPr>
        <w:t> </w:t>
      </w:r>
      <w:r>
        <w:rPr>
          <w:color w:val="231F20"/>
          <w:sz w:val="14"/>
        </w:rPr>
        <w:t>разграничења</w:t>
      </w:r>
      <w:r>
        <w:rPr>
          <w:color w:val="231F20"/>
          <w:spacing w:val="-6"/>
          <w:sz w:val="14"/>
        </w:rPr>
        <w:t> </w:t>
      </w:r>
      <w:r>
        <w:rPr>
          <w:color w:val="231F20"/>
          <w:sz w:val="14"/>
        </w:rPr>
        <w:t>заштићене</w:t>
      </w:r>
      <w:r>
        <w:rPr>
          <w:color w:val="231F20"/>
          <w:spacing w:val="-6"/>
          <w:sz w:val="14"/>
        </w:rPr>
        <w:t> </w:t>
      </w:r>
      <w:r>
        <w:rPr>
          <w:color w:val="231F20"/>
          <w:sz w:val="14"/>
        </w:rPr>
        <w:t>околине</w:t>
      </w:r>
      <w:r>
        <w:rPr>
          <w:color w:val="231F20"/>
          <w:spacing w:val="-6"/>
          <w:sz w:val="14"/>
        </w:rPr>
        <w:t> </w:t>
      </w:r>
      <w:r>
        <w:rPr>
          <w:color w:val="231F20"/>
          <w:sz w:val="14"/>
        </w:rPr>
        <w:t>археолошког</w:t>
      </w:r>
      <w:r>
        <w:rPr>
          <w:color w:val="231F20"/>
          <w:spacing w:val="-6"/>
          <w:sz w:val="14"/>
        </w:rPr>
        <w:t> </w:t>
      </w:r>
      <w:r>
        <w:rPr>
          <w:color w:val="231F20"/>
          <w:sz w:val="14"/>
        </w:rPr>
        <w:t>локалитета</w:t>
      </w:r>
      <w:r>
        <w:rPr>
          <w:color w:val="231F20"/>
          <w:spacing w:val="-6"/>
          <w:sz w:val="14"/>
        </w:rPr>
        <w:t> </w:t>
      </w:r>
      <w:r>
        <w:rPr>
          <w:color w:val="231F20"/>
          <w:sz w:val="14"/>
        </w:rPr>
        <w:t>Виминацијум и ПК „Дрмно” успостављена је и дефинисана пописом катастарских парцела и координатама</w:t>
      </w:r>
      <w:r>
        <w:rPr>
          <w:color w:val="231F20"/>
          <w:spacing w:val="-4"/>
          <w:sz w:val="14"/>
        </w:rPr>
        <w:t> </w:t>
      </w:r>
      <w:r>
        <w:rPr>
          <w:color w:val="231F20"/>
          <w:sz w:val="14"/>
        </w:rPr>
        <w:t>преломних</w:t>
      </w:r>
      <w:r>
        <w:rPr>
          <w:color w:val="231F20"/>
          <w:spacing w:val="-4"/>
          <w:sz w:val="14"/>
        </w:rPr>
        <w:t> </w:t>
      </w:r>
      <w:r>
        <w:rPr>
          <w:color w:val="231F20"/>
          <w:sz w:val="14"/>
        </w:rPr>
        <w:t>тачака</w:t>
      </w:r>
      <w:r>
        <w:rPr>
          <w:color w:val="231F20"/>
          <w:spacing w:val="-4"/>
          <w:sz w:val="14"/>
        </w:rPr>
        <w:t> </w:t>
      </w:r>
      <w:r>
        <w:rPr>
          <w:color w:val="231F20"/>
          <w:sz w:val="14"/>
        </w:rPr>
        <w:t>у</w:t>
      </w:r>
      <w:r>
        <w:rPr>
          <w:color w:val="231F20"/>
          <w:spacing w:val="-4"/>
          <w:sz w:val="14"/>
        </w:rPr>
        <w:t> </w:t>
      </w:r>
      <w:r>
        <w:rPr>
          <w:color w:val="231F20"/>
          <w:sz w:val="14"/>
        </w:rPr>
        <w:t>државном</w:t>
      </w:r>
      <w:r>
        <w:rPr>
          <w:color w:val="231F20"/>
          <w:spacing w:val="-4"/>
          <w:sz w:val="14"/>
        </w:rPr>
        <w:t> </w:t>
      </w:r>
      <w:r>
        <w:rPr>
          <w:color w:val="231F20"/>
          <w:sz w:val="14"/>
        </w:rPr>
        <w:t>координатном</w:t>
      </w:r>
      <w:r>
        <w:rPr>
          <w:color w:val="231F20"/>
          <w:spacing w:val="-4"/>
          <w:sz w:val="14"/>
        </w:rPr>
        <w:t> </w:t>
      </w:r>
      <w:r>
        <w:rPr>
          <w:color w:val="231F20"/>
          <w:sz w:val="14"/>
        </w:rPr>
        <w:t>систему,</w:t>
      </w:r>
      <w:r>
        <w:rPr>
          <w:color w:val="231F20"/>
          <w:spacing w:val="-4"/>
          <w:sz w:val="14"/>
        </w:rPr>
        <w:t> </w:t>
      </w:r>
      <w:r>
        <w:rPr>
          <w:color w:val="231F20"/>
          <w:sz w:val="14"/>
        </w:rPr>
        <w:t>у</w:t>
      </w:r>
      <w:r>
        <w:rPr>
          <w:color w:val="231F20"/>
          <w:spacing w:val="-4"/>
          <w:sz w:val="14"/>
        </w:rPr>
        <w:t> </w:t>
      </w:r>
      <w:r>
        <w:rPr>
          <w:color w:val="231F20"/>
          <w:sz w:val="14"/>
        </w:rPr>
        <w:t>складу</w:t>
      </w:r>
      <w:r>
        <w:rPr>
          <w:color w:val="231F20"/>
          <w:spacing w:val="-4"/>
          <w:sz w:val="14"/>
        </w:rPr>
        <w:t> </w:t>
      </w:r>
      <w:r>
        <w:rPr>
          <w:color w:val="231F20"/>
          <w:sz w:val="14"/>
        </w:rPr>
        <w:t>са Одлуком</w:t>
      </w:r>
      <w:r>
        <w:rPr>
          <w:color w:val="231F20"/>
          <w:spacing w:val="-5"/>
          <w:sz w:val="14"/>
        </w:rPr>
        <w:t> </w:t>
      </w:r>
      <w:r>
        <w:rPr>
          <w:color w:val="231F20"/>
          <w:sz w:val="14"/>
        </w:rPr>
        <w:t>о</w:t>
      </w:r>
      <w:r>
        <w:rPr>
          <w:color w:val="231F20"/>
          <w:spacing w:val="-5"/>
          <w:sz w:val="14"/>
        </w:rPr>
        <w:t> </w:t>
      </w:r>
      <w:r>
        <w:rPr>
          <w:color w:val="231F20"/>
          <w:sz w:val="14"/>
        </w:rPr>
        <w:t>утврђивању</w:t>
      </w:r>
      <w:r>
        <w:rPr>
          <w:color w:val="231F20"/>
          <w:spacing w:val="-5"/>
          <w:sz w:val="14"/>
        </w:rPr>
        <w:t> </w:t>
      </w:r>
      <w:r>
        <w:rPr>
          <w:color w:val="231F20"/>
          <w:sz w:val="14"/>
        </w:rPr>
        <w:t>локалитета</w:t>
      </w:r>
      <w:r>
        <w:rPr>
          <w:color w:val="231F20"/>
          <w:spacing w:val="-5"/>
          <w:sz w:val="14"/>
        </w:rPr>
        <w:t> </w:t>
      </w:r>
      <w:r>
        <w:rPr>
          <w:color w:val="231F20"/>
          <w:sz w:val="14"/>
        </w:rPr>
        <w:t>Виминацијум</w:t>
      </w:r>
      <w:r>
        <w:rPr>
          <w:color w:val="231F20"/>
          <w:spacing w:val="-5"/>
          <w:sz w:val="14"/>
        </w:rPr>
        <w:t> </w:t>
      </w:r>
      <w:r>
        <w:rPr>
          <w:color w:val="231F20"/>
          <w:sz w:val="14"/>
        </w:rPr>
        <w:t>у</w:t>
      </w:r>
      <w:r>
        <w:rPr>
          <w:color w:val="231F20"/>
          <w:spacing w:val="-5"/>
          <w:sz w:val="14"/>
        </w:rPr>
        <w:t> </w:t>
      </w:r>
      <w:r>
        <w:rPr>
          <w:color w:val="231F20"/>
          <w:sz w:val="14"/>
        </w:rPr>
        <w:t>атару</w:t>
      </w:r>
      <w:r>
        <w:rPr>
          <w:color w:val="231F20"/>
          <w:spacing w:val="-5"/>
          <w:sz w:val="14"/>
        </w:rPr>
        <w:t> </w:t>
      </w:r>
      <w:r>
        <w:rPr>
          <w:color w:val="231F20"/>
          <w:sz w:val="14"/>
        </w:rPr>
        <w:t>села</w:t>
      </w:r>
      <w:r>
        <w:rPr>
          <w:color w:val="231F20"/>
          <w:spacing w:val="-5"/>
          <w:sz w:val="14"/>
        </w:rPr>
        <w:t> </w:t>
      </w:r>
      <w:r>
        <w:rPr>
          <w:color w:val="231F20"/>
          <w:sz w:val="14"/>
        </w:rPr>
        <w:t>Стари</w:t>
      </w:r>
      <w:r>
        <w:rPr>
          <w:color w:val="231F20"/>
          <w:spacing w:val="-5"/>
          <w:sz w:val="14"/>
        </w:rPr>
        <w:t> </w:t>
      </w:r>
      <w:r>
        <w:rPr>
          <w:color w:val="231F20"/>
          <w:sz w:val="14"/>
        </w:rPr>
        <w:t>Костолац</w:t>
      </w:r>
      <w:r>
        <w:rPr>
          <w:color w:val="231F20"/>
          <w:spacing w:val="-5"/>
          <w:sz w:val="14"/>
        </w:rPr>
        <w:t> </w:t>
      </w:r>
      <w:r>
        <w:rPr>
          <w:color w:val="231F20"/>
          <w:sz w:val="14"/>
        </w:rPr>
        <w:t>за археолошко налазиште, („Службени гласник РС”, број</w:t>
      </w:r>
      <w:r>
        <w:rPr>
          <w:color w:val="231F20"/>
          <w:spacing w:val="-8"/>
          <w:sz w:val="14"/>
        </w:rPr>
        <w:t> </w:t>
      </w:r>
      <w:r>
        <w:rPr>
          <w:color w:val="231F20"/>
          <w:sz w:val="14"/>
        </w:rPr>
        <w:t>102/09).</w:t>
      </w:r>
    </w:p>
    <w:p>
      <w:pPr>
        <w:pStyle w:val="BodyText"/>
        <w:spacing w:line="232" w:lineRule="auto" w:before="73"/>
        <w:ind w:right="410" w:firstLine="396"/>
      </w:pPr>
      <w:r>
        <w:rPr/>
        <w:br w:type="column"/>
      </w:r>
      <w:r>
        <w:rPr>
          <w:color w:val="231F20"/>
        </w:rPr>
        <w:t>За полагање преко водног или шумског земљишта делова инфраструктурних мрежа и објеката техничке инфраструктуре (укључујући извођење шумских и пољских путева), не формирају се грађевинске парцеле, а као доказ о решеним имовинско-прав- ним односима признаје се уговор о установљавању права службе- ности са јавним предузећем, односно другом организацијом које газдује водним, односно шумским земљиштем, у складу са посеб- ним законом. Извођење пољских путева, у случају да је прилаз појединим пољопривредним парцелама у својини физичких лица онемогућен или изразито отежан врши се у појасу непотпуне екс- пропријације.</w:t>
      </w:r>
    </w:p>
    <w:p>
      <w:pPr>
        <w:pStyle w:val="ListParagraph"/>
        <w:numPr>
          <w:ilvl w:val="2"/>
          <w:numId w:val="53"/>
        </w:numPr>
        <w:tabs>
          <w:tab w:pos="882" w:val="left" w:leader="none"/>
        </w:tabs>
        <w:spacing w:line="232" w:lineRule="auto" w:before="173" w:after="0"/>
        <w:ind w:left="2119" w:right="670" w:hanging="1688"/>
        <w:jc w:val="left"/>
        <w:rPr>
          <w:sz w:val="18"/>
        </w:rPr>
      </w:pPr>
      <w:r>
        <w:rPr>
          <w:color w:val="231F20"/>
          <w:spacing w:val="15"/>
          <w:sz w:val="18"/>
        </w:rPr>
        <w:t>Уређење </w:t>
      </w:r>
      <w:r>
        <w:rPr>
          <w:color w:val="231F20"/>
          <w:spacing w:val="12"/>
          <w:sz w:val="18"/>
        </w:rPr>
        <w:t>про </w:t>
      </w:r>
      <w:r>
        <w:rPr>
          <w:color w:val="231F20"/>
          <w:spacing w:val="15"/>
          <w:sz w:val="18"/>
        </w:rPr>
        <w:t>стора </w:t>
      </w:r>
      <w:r>
        <w:rPr>
          <w:color w:val="231F20"/>
          <w:spacing w:val="16"/>
          <w:sz w:val="18"/>
        </w:rPr>
        <w:t>намењеног </w:t>
      </w:r>
      <w:r>
        <w:rPr>
          <w:color w:val="231F20"/>
          <w:spacing w:val="15"/>
          <w:sz w:val="18"/>
        </w:rPr>
        <w:t>рударству </w:t>
      </w:r>
      <w:r>
        <w:rPr>
          <w:color w:val="231F20"/>
          <w:spacing w:val="10"/>
          <w:sz w:val="18"/>
        </w:rPr>
        <w:t>до </w:t>
      </w:r>
      <w:r>
        <w:rPr>
          <w:color w:val="231F20"/>
          <w:spacing w:val="15"/>
          <w:sz w:val="18"/>
        </w:rPr>
        <w:t>2022 </w:t>
      </w:r>
      <w:r>
        <w:rPr>
          <w:color w:val="231F20"/>
          <w:sz w:val="18"/>
        </w:rPr>
        <w:t>.</w:t>
      </w:r>
      <w:r>
        <w:rPr>
          <w:color w:val="231F20"/>
          <w:spacing w:val="3"/>
          <w:sz w:val="18"/>
        </w:rPr>
        <w:t> </w:t>
      </w:r>
      <w:r>
        <w:rPr>
          <w:color w:val="231F20"/>
          <w:spacing w:val="15"/>
          <w:sz w:val="18"/>
        </w:rPr>
        <w:t>године</w:t>
      </w:r>
    </w:p>
    <w:p>
      <w:pPr>
        <w:pStyle w:val="BodyText"/>
        <w:spacing w:before="6"/>
        <w:ind w:left="0"/>
        <w:jc w:val="left"/>
        <w:rPr>
          <w:sz w:val="17"/>
        </w:rPr>
      </w:pPr>
    </w:p>
    <w:p>
      <w:pPr>
        <w:pStyle w:val="BodyText"/>
        <w:spacing w:line="232" w:lineRule="auto"/>
        <w:ind w:left="171" w:right="410" w:firstLine="397"/>
      </w:pPr>
      <w:r>
        <w:rPr>
          <w:color w:val="231F20"/>
        </w:rPr>
        <w:t>Правила уређења површина намењених рударству, у погледу унутрашње регулације и нивелационих решења, дата су као гене- рална регулација и нивелација, и морају се проверити, усагласи- ти и разрадити кроз израду рударске техничке документације, на основу резултата истражних радова и одговарајућих техничких и економских анализа, применом највиших техничких норматива и стандарда и мера заштите животне и радне средине.</w:t>
      </w:r>
    </w:p>
    <w:p>
      <w:pPr>
        <w:pStyle w:val="BodyText"/>
        <w:spacing w:line="232" w:lineRule="auto" w:before="2"/>
        <w:ind w:right="410" w:firstLine="397"/>
        <w:jc w:val="right"/>
      </w:pPr>
      <w:r>
        <w:rPr>
          <w:color w:val="231F20"/>
        </w:rPr>
        <w:t>Нивелацију нове интерне и сервисних</w:t>
      </w:r>
      <w:r>
        <w:rPr>
          <w:color w:val="231F20"/>
          <w:spacing w:val="13"/>
        </w:rPr>
        <w:t> </w:t>
      </w:r>
      <w:r>
        <w:rPr>
          <w:color w:val="231F20"/>
        </w:rPr>
        <w:t>саобраћајнице</w:t>
      </w:r>
      <w:r>
        <w:rPr>
          <w:color w:val="231F20"/>
          <w:spacing w:val="10"/>
        </w:rPr>
        <w:t> </w:t>
      </w:r>
      <w:r>
        <w:rPr>
          <w:color w:val="231F20"/>
          <w:spacing w:val="-3"/>
        </w:rPr>
        <w:t>макси-</w:t>
      </w:r>
      <w:r>
        <w:rPr>
          <w:color w:val="231F20"/>
        </w:rPr>
        <w:t> мално</w:t>
      </w:r>
      <w:r>
        <w:rPr>
          <w:color w:val="231F20"/>
          <w:spacing w:val="-18"/>
        </w:rPr>
        <w:t> </w:t>
      </w:r>
      <w:r>
        <w:rPr>
          <w:color w:val="231F20"/>
          <w:spacing w:val="-3"/>
        </w:rPr>
        <w:t>прилагодити</w:t>
      </w:r>
      <w:r>
        <w:rPr>
          <w:color w:val="231F20"/>
          <w:spacing w:val="-18"/>
        </w:rPr>
        <w:t> </w:t>
      </w:r>
      <w:r>
        <w:rPr>
          <w:color w:val="231F20"/>
        </w:rPr>
        <w:t>условима</w:t>
      </w:r>
      <w:r>
        <w:rPr>
          <w:color w:val="231F20"/>
          <w:spacing w:val="-18"/>
        </w:rPr>
        <w:t> </w:t>
      </w:r>
      <w:r>
        <w:rPr>
          <w:color w:val="231F20"/>
        </w:rPr>
        <w:t>на</w:t>
      </w:r>
      <w:r>
        <w:rPr>
          <w:color w:val="231F20"/>
          <w:spacing w:val="-18"/>
        </w:rPr>
        <w:t> </w:t>
      </w:r>
      <w:r>
        <w:rPr>
          <w:color w:val="231F20"/>
        </w:rPr>
        <w:t>терену</w:t>
      </w:r>
      <w:r>
        <w:rPr>
          <w:color w:val="231F20"/>
          <w:spacing w:val="-18"/>
        </w:rPr>
        <w:t> </w:t>
      </w:r>
      <w:r>
        <w:rPr>
          <w:color w:val="231F20"/>
        </w:rPr>
        <w:t>и</w:t>
      </w:r>
      <w:r>
        <w:rPr>
          <w:color w:val="231F20"/>
          <w:spacing w:val="-18"/>
        </w:rPr>
        <w:t> </w:t>
      </w:r>
      <w:r>
        <w:rPr>
          <w:color w:val="231F20"/>
        </w:rPr>
        <w:t>постојећој</w:t>
      </w:r>
      <w:r>
        <w:rPr>
          <w:color w:val="231F20"/>
          <w:spacing w:val="-18"/>
        </w:rPr>
        <w:t> </w:t>
      </w:r>
      <w:r>
        <w:rPr>
          <w:color w:val="231F20"/>
        </w:rPr>
        <w:t>нивелацији</w:t>
      </w:r>
      <w:r>
        <w:rPr>
          <w:color w:val="231F20"/>
          <w:spacing w:val="-18"/>
        </w:rPr>
        <w:t> </w:t>
      </w:r>
      <w:r>
        <w:rPr>
          <w:color w:val="231F20"/>
        </w:rPr>
        <w:t>јав- них саобраћајница на местима на </w:t>
      </w:r>
      <w:r>
        <w:rPr>
          <w:color w:val="231F20"/>
          <w:spacing w:val="-4"/>
        </w:rPr>
        <w:t>којима </w:t>
      </w:r>
      <w:r>
        <w:rPr>
          <w:color w:val="231F20"/>
        </w:rPr>
        <w:t>се</w:t>
      </w:r>
      <w:r>
        <w:rPr>
          <w:color w:val="231F20"/>
          <w:spacing w:val="-9"/>
        </w:rPr>
        <w:t> </w:t>
      </w:r>
      <w:r>
        <w:rPr>
          <w:color w:val="231F20"/>
          <w:spacing w:val="-3"/>
        </w:rPr>
        <w:t>формирају</w:t>
      </w:r>
      <w:r>
        <w:rPr>
          <w:color w:val="231F20"/>
          <w:spacing w:val="-2"/>
        </w:rPr>
        <w:t> </w:t>
      </w:r>
      <w:r>
        <w:rPr>
          <w:color w:val="231F20"/>
        </w:rPr>
        <w:t>саобраћајни прикључци. </w:t>
      </w:r>
      <w:r>
        <w:rPr>
          <w:color w:val="231F20"/>
          <w:spacing w:val="-3"/>
        </w:rPr>
        <w:t>Друга </w:t>
      </w:r>
      <w:r>
        <w:rPr>
          <w:color w:val="231F20"/>
        </w:rPr>
        <w:t>нивелациона решења </w:t>
      </w:r>
      <w:r>
        <w:rPr>
          <w:color w:val="231F20"/>
          <w:spacing w:val="-3"/>
        </w:rPr>
        <w:t>су дата као</w:t>
      </w:r>
      <w:r>
        <w:rPr>
          <w:color w:val="231F20"/>
          <w:spacing w:val="16"/>
        </w:rPr>
        <w:t> </w:t>
      </w:r>
      <w:r>
        <w:rPr>
          <w:color w:val="231F20"/>
        </w:rPr>
        <w:t>основне</w:t>
      </w:r>
      <w:r>
        <w:rPr>
          <w:color w:val="231F20"/>
          <w:spacing w:val="0"/>
        </w:rPr>
        <w:t> </w:t>
      </w:r>
      <w:r>
        <w:rPr>
          <w:color w:val="231F20"/>
        </w:rPr>
        <w:t>смер- нице</w:t>
      </w:r>
      <w:r>
        <w:rPr>
          <w:color w:val="231F20"/>
          <w:spacing w:val="-6"/>
        </w:rPr>
        <w:t> </w:t>
      </w:r>
      <w:r>
        <w:rPr>
          <w:color w:val="231F20"/>
          <w:spacing w:val="-4"/>
        </w:rPr>
        <w:t>којих</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фази</w:t>
      </w:r>
      <w:r>
        <w:rPr>
          <w:color w:val="231F20"/>
          <w:spacing w:val="-6"/>
        </w:rPr>
        <w:t> </w:t>
      </w:r>
      <w:r>
        <w:rPr>
          <w:color w:val="231F20"/>
          <w:spacing w:val="-3"/>
        </w:rPr>
        <w:t>пројектне</w:t>
      </w:r>
      <w:r>
        <w:rPr>
          <w:color w:val="231F20"/>
          <w:spacing w:val="-6"/>
        </w:rPr>
        <w:t> </w:t>
      </w:r>
      <w:r>
        <w:rPr>
          <w:color w:val="231F20"/>
        </w:rPr>
        <w:t>разраде</w:t>
      </w:r>
      <w:r>
        <w:rPr>
          <w:color w:val="231F20"/>
          <w:spacing w:val="-6"/>
        </w:rPr>
        <w:t> </w:t>
      </w:r>
      <w:r>
        <w:rPr>
          <w:color w:val="231F20"/>
        </w:rPr>
        <w:t>треба</w:t>
      </w:r>
      <w:r>
        <w:rPr>
          <w:color w:val="231F20"/>
          <w:spacing w:val="-6"/>
        </w:rPr>
        <w:t> </w:t>
      </w:r>
      <w:r>
        <w:rPr>
          <w:color w:val="231F20"/>
          <w:spacing w:val="-3"/>
        </w:rPr>
        <w:t>начелно</w:t>
      </w:r>
      <w:r>
        <w:rPr>
          <w:color w:val="231F20"/>
          <w:spacing w:val="-6"/>
        </w:rPr>
        <w:t> </w:t>
      </w:r>
      <w:r>
        <w:rPr>
          <w:color w:val="231F20"/>
          <w:spacing w:val="-3"/>
        </w:rPr>
        <w:t>придржавати.</w:t>
      </w:r>
      <w:r>
        <w:rPr>
          <w:color w:val="231F20"/>
        </w:rPr>
        <w:t> У</w:t>
      </w:r>
      <w:r>
        <w:rPr>
          <w:color w:val="231F20"/>
          <w:spacing w:val="21"/>
        </w:rPr>
        <w:t> </w:t>
      </w:r>
      <w:r>
        <w:rPr>
          <w:color w:val="231F20"/>
        </w:rPr>
        <w:t>оквиру</w:t>
      </w:r>
      <w:r>
        <w:rPr>
          <w:color w:val="231F20"/>
          <w:spacing w:val="21"/>
        </w:rPr>
        <w:t> </w:t>
      </w:r>
      <w:r>
        <w:rPr>
          <w:color w:val="231F20"/>
        </w:rPr>
        <w:t>просторне</w:t>
      </w:r>
      <w:r>
        <w:rPr>
          <w:color w:val="231F20"/>
          <w:spacing w:val="21"/>
        </w:rPr>
        <w:t> </w:t>
      </w:r>
      <w:r>
        <w:rPr>
          <w:color w:val="231F20"/>
        </w:rPr>
        <w:t>целине</w:t>
      </w:r>
      <w:r>
        <w:rPr>
          <w:color w:val="231F20"/>
          <w:spacing w:val="21"/>
        </w:rPr>
        <w:t> </w:t>
      </w:r>
      <w:r>
        <w:rPr>
          <w:color w:val="231F20"/>
        </w:rPr>
        <w:t>успостављена</w:t>
      </w:r>
      <w:r>
        <w:rPr>
          <w:color w:val="231F20"/>
          <w:spacing w:val="21"/>
        </w:rPr>
        <w:t> </w:t>
      </w:r>
      <w:r>
        <w:rPr>
          <w:color w:val="231F20"/>
        </w:rPr>
        <w:t>је</w:t>
      </w:r>
      <w:r>
        <w:rPr>
          <w:color w:val="231F20"/>
          <w:spacing w:val="21"/>
        </w:rPr>
        <w:t> </w:t>
      </w:r>
      <w:r>
        <w:rPr>
          <w:color w:val="231F20"/>
        </w:rPr>
        <w:t>подела</w:t>
      </w:r>
      <w:r>
        <w:rPr>
          <w:color w:val="231F20"/>
          <w:spacing w:val="21"/>
        </w:rPr>
        <w:t> </w:t>
      </w:r>
      <w:r>
        <w:rPr>
          <w:color w:val="231F20"/>
        </w:rPr>
        <w:t>на</w:t>
      </w:r>
      <w:r>
        <w:rPr>
          <w:color w:val="231F20"/>
          <w:spacing w:val="21"/>
        </w:rPr>
        <w:t> </w:t>
      </w:r>
      <w:r>
        <w:rPr>
          <w:color w:val="231F20"/>
        </w:rPr>
        <w:t>по- вршине</w:t>
      </w:r>
      <w:r>
        <w:rPr>
          <w:color w:val="231F20"/>
          <w:position w:val="6"/>
          <w:sz w:val="10"/>
        </w:rPr>
        <w:t>7 </w:t>
      </w:r>
      <w:r>
        <w:rPr>
          <w:color w:val="231F20"/>
        </w:rPr>
        <w:t>према основним наменама и</w:t>
      </w:r>
      <w:r>
        <w:rPr>
          <w:color w:val="231F20"/>
          <w:spacing w:val="-11"/>
        </w:rPr>
        <w:t> </w:t>
      </w:r>
      <w:r>
        <w:rPr>
          <w:color w:val="231F20"/>
        </w:rPr>
        <w:t>посебним</w:t>
      </w:r>
      <w:r>
        <w:rPr>
          <w:color w:val="231F20"/>
          <w:spacing w:val="32"/>
        </w:rPr>
        <w:t> </w:t>
      </w:r>
      <w:r>
        <w:rPr>
          <w:color w:val="231F20"/>
        </w:rPr>
        <w:t>урбанистичким карактеристикама, технолошким захтевима, условима</w:t>
      </w:r>
      <w:r>
        <w:rPr>
          <w:color w:val="231F20"/>
          <w:spacing w:val="-1"/>
        </w:rPr>
        <w:t> </w:t>
      </w:r>
      <w:r>
        <w:rPr>
          <w:color w:val="231F20"/>
        </w:rPr>
        <w:t>и</w:t>
      </w:r>
      <w:r>
        <w:rPr>
          <w:color w:val="231F20"/>
          <w:spacing w:val="32"/>
        </w:rPr>
        <w:t> </w:t>
      </w:r>
      <w:r>
        <w:rPr>
          <w:color w:val="231F20"/>
        </w:rPr>
        <w:t>мерама енергетске ефикасности, заштите природног и</w:t>
      </w:r>
      <w:r>
        <w:rPr>
          <w:color w:val="231F20"/>
          <w:spacing w:val="-1"/>
        </w:rPr>
        <w:t> </w:t>
      </w:r>
      <w:r>
        <w:rPr>
          <w:color w:val="231F20"/>
        </w:rPr>
        <w:t>културног наслеђа, заштите</w:t>
      </w:r>
      <w:r>
        <w:rPr>
          <w:color w:val="231F20"/>
          <w:spacing w:val="13"/>
        </w:rPr>
        <w:t> </w:t>
      </w:r>
      <w:r>
        <w:rPr>
          <w:color w:val="231F20"/>
        </w:rPr>
        <w:t>животне</w:t>
      </w:r>
      <w:r>
        <w:rPr>
          <w:color w:val="231F20"/>
          <w:spacing w:val="13"/>
        </w:rPr>
        <w:t> </w:t>
      </w:r>
      <w:r>
        <w:rPr>
          <w:color w:val="231F20"/>
        </w:rPr>
        <w:t>и</w:t>
      </w:r>
      <w:r>
        <w:rPr>
          <w:color w:val="231F20"/>
          <w:spacing w:val="13"/>
        </w:rPr>
        <w:t> </w:t>
      </w:r>
      <w:r>
        <w:rPr>
          <w:color w:val="231F20"/>
        </w:rPr>
        <w:t>радне</w:t>
      </w:r>
      <w:r>
        <w:rPr>
          <w:color w:val="231F20"/>
          <w:spacing w:val="13"/>
        </w:rPr>
        <w:t> </w:t>
      </w:r>
      <w:r>
        <w:rPr>
          <w:color w:val="231F20"/>
        </w:rPr>
        <w:t>средине,</w:t>
      </w:r>
      <w:r>
        <w:rPr>
          <w:color w:val="231F20"/>
          <w:spacing w:val="13"/>
        </w:rPr>
        <w:t> </w:t>
      </w:r>
      <w:r>
        <w:rPr>
          <w:color w:val="231F20"/>
        </w:rPr>
        <w:t>а</w:t>
      </w:r>
      <w:r>
        <w:rPr>
          <w:color w:val="231F20"/>
          <w:spacing w:val="13"/>
        </w:rPr>
        <w:t> </w:t>
      </w:r>
      <w:r>
        <w:rPr>
          <w:color w:val="231F20"/>
        </w:rPr>
        <w:t>по</w:t>
      </w:r>
      <w:r>
        <w:rPr>
          <w:color w:val="231F20"/>
          <w:spacing w:val="13"/>
        </w:rPr>
        <w:t> </w:t>
      </w:r>
      <w:r>
        <w:rPr>
          <w:color w:val="231F20"/>
        </w:rPr>
        <w:t>принципу</w:t>
      </w:r>
      <w:r>
        <w:rPr>
          <w:color w:val="231F20"/>
          <w:spacing w:val="13"/>
        </w:rPr>
        <w:t> </w:t>
      </w:r>
      <w:r>
        <w:rPr>
          <w:color w:val="231F20"/>
        </w:rPr>
        <w:t>успостављања</w:t>
      </w:r>
      <w:r>
        <w:rPr>
          <w:color w:val="231F20"/>
          <w:spacing w:val="-1"/>
        </w:rPr>
        <w:t> </w:t>
      </w:r>
      <w:r>
        <w:rPr>
          <w:color w:val="231F20"/>
        </w:rPr>
        <w:t>зона</w:t>
      </w:r>
      <w:r>
        <w:rPr>
          <w:color w:val="231F20"/>
          <w:spacing w:val="11"/>
        </w:rPr>
        <w:t> </w:t>
      </w:r>
      <w:r>
        <w:rPr>
          <w:color w:val="231F20"/>
        </w:rPr>
        <w:t>и</w:t>
      </w:r>
      <w:r>
        <w:rPr>
          <w:color w:val="231F20"/>
          <w:spacing w:val="11"/>
        </w:rPr>
        <w:t> </w:t>
      </w:r>
      <w:r>
        <w:rPr>
          <w:color w:val="231F20"/>
        </w:rPr>
        <w:t>урбанистичких</w:t>
      </w:r>
      <w:r>
        <w:rPr>
          <w:color w:val="231F20"/>
          <w:spacing w:val="11"/>
        </w:rPr>
        <w:t> </w:t>
      </w:r>
      <w:r>
        <w:rPr>
          <w:color w:val="231F20"/>
        </w:rPr>
        <w:t>целина</w:t>
      </w:r>
      <w:r>
        <w:rPr>
          <w:color w:val="231F20"/>
          <w:spacing w:val="11"/>
        </w:rPr>
        <w:t> </w:t>
      </w:r>
      <w:r>
        <w:rPr>
          <w:color w:val="231F20"/>
        </w:rPr>
        <w:t>са</w:t>
      </w:r>
      <w:r>
        <w:rPr>
          <w:color w:val="231F20"/>
          <w:spacing w:val="11"/>
        </w:rPr>
        <w:t> </w:t>
      </w:r>
      <w:r>
        <w:rPr>
          <w:color w:val="231F20"/>
        </w:rPr>
        <w:t>истим</w:t>
      </w:r>
      <w:r>
        <w:rPr>
          <w:color w:val="231F20"/>
          <w:spacing w:val="11"/>
        </w:rPr>
        <w:t> </w:t>
      </w:r>
      <w:r>
        <w:rPr>
          <w:color w:val="231F20"/>
        </w:rPr>
        <w:t>појединачним</w:t>
      </w:r>
      <w:r>
        <w:rPr>
          <w:color w:val="231F20"/>
          <w:spacing w:val="11"/>
        </w:rPr>
        <w:t> </w:t>
      </w:r>
      <w:r>
        <w:rPr>
          <w:color w:val="231F20"/>
        </w:rPr>
        <w:t>правилима уређења</w:t>
      </w:r>
      <w:r>
        <w:rPr>
          <w:color w:val="231F20"/>
          <w:spacing w:val="8"/>
        </w:rPr>
        <w:t> </w:t>
      </w:r>
      <w:r>
        <w:rPr>
          <w:color w:val="231F20"/>
        </w:rPr>
        <w:t>и</w:t>
      </w:r>
      <w:r>
        <w:rPr>
          <w:color w:val="231F20"/>
          <w:spacing w:val="8"/>
        </w:rPr>
        <w:t> </w:t>
      </w:r>
      <w:r>
        <w:rPr>
          <w:color w:val="231F20"/>
        </w:rPr>
        <w:t>то</w:t>
      </w:r>
      <w:r>
        <w:rPr>
          <w:color w:val="231F20"/>
          <w:spacing w:val="8"/>
        </w:rPr>
        <w:t> </w:t>
      </w:r>
      <w:r>
        <w:rPr>
          <w:color w:val="231F20"/>
        </w:rPr>
        <w:t>за:</w:t>
      </w:r>
      <w:r>
        <w:rPr>
          <w:color w:val="231F20"/>
          <w:spacing w:val="8"/>
        </w:rPr>
        <w:t> </w:t>
      </w:r>
      <w:r>
        <w:rPr>
          <w:color w:val="231F20"/>
        </w:rPr>
        <w:t>1)</w:t>
      </w:r>
      <w:r>
        <w:rPr>
          <w:color w:val="231F20"/>
          <w:spacing w:val="8"/>
        </w:rPr>
        <w:t> </w:t>
      </w:r>
      <w:r>
        <w:rPr>
          <w:color w:val="231F20"/>
        </w:rPr>
        <w:t>површински</w:t>
      </w:r>
      <w:r>
        <w:rPr>
          <w:color w:val="231F20"/>
          <w:spacing w:val="8"/>
        </w:rPr>
        <w:t> </w:t>
      </w:r>
      <w:r>
        <w:rPr>
          <w:color w:val="231F20"/>
          <w:spacing w:val="-3"/>
        </w:rPr>
        <w:t>коп;</w:t>
      </w:r>
      <w:r>
        <w:rPr>
          <w:color w:val="231F20"/>
          <w:spacing w:val="8"/>
        </w:rPr>
        <w:t> </w:t>
      </w:r>
      <w:r>
        <w:rPr>
          <w:color w:val="231F20"/>
        </w:rPr>
        <w:t>2)</w:t>
      </w:r>
      <w:r>
        <w:rPr>
          <w:color w:val="231F20"/>
          <w:spacing w:val="8"/>
        </w:rPr>
        <w:t> </w:t>
      </w:r>
      <w:r>
        <w:rPr>
          <w:color w:val="231F20"/>
        </w:rPr>
        <w:t>унутрашње</w:t>
      </w:r>
      <w:r>
        <w:rPr>
          <w:color w:val="231F20"/>
          <w:spacing w:val="8"/>
        </w:rPr>
        <w:t> </w:t>
      </w:r>
      <w:r>
        <w:rPr>
          <w:color w:val="231F20"/>
        </w:rPr>
        <w:t>одлагалиште;</w:t>
      </w:r>
    </w:p>
    <w:p>
      <w:pPr>
        <w:pStyle w:val="BodyText"/>
        <w:spacing w:line="232" w:lineRule="auto" w:before="3"/>
        <w:ind w:right="343"/>
        <w:jc w:val="left"/>
      </w:pPr>
      <w:r>
        <w:rPr>
          <w:color w:val="231F20"/>
        </w:rPr>
        <w:t>3) објекте одводњавања; 4) електроенергетске и телекомуникацио- не објекте и 5) заштитни појас копа.</w:t>
      </w:r>
    </w:p>
    <w:p>
      <w:pPr>
        <w:pStyle w:val="BodyText"/>
        <w:spacing w:before="166"/>
        <w:ind w:left="2071"/>
        <w:jc w:val="left"/>
      </w:pPr>
      <w:r>
        <w:rPr>
          <w:color w:val="231F20"/>
        </w:rPr>
        <w:t>Површински коп</w:t>
      </w:r>
    </w:p>
    <w:p>
      <w:pPr>
        <w:pStyle w:val="BodyText"/>
        <w:spacing w:before="11"/>
        <w:ind w:left="0"/>
        <w:jc w:val="left"/>
        <w:rPr>
          <w:sz w:val="16"/>
        </w:rPr>
      </w:pPr>
    </w:p>
    <w:p>
      <w:pPr>
        <w:pStyle w:val="BodyText"/>
        <w:spacing w:line="204" w:lineRule="exact"/>
        <w:ind w:left="567"/>
        <w:jc w:val="left"/>
      </w:pPr>
      <w:r>
        <w:rPr>
          <w:color w:val="231F20"/>
        </w:rPr>
        <w:t>Утврђују се следећа правила уређења за површински коп</w:t>
      </w:r>
    </w:p>
    <w:p>
      <w:pPr>
        <w:pStyle w:val="BodyText"/>
        <w:spacing w:line="201" w:lineRule="exact"/>
        <w:jc w:val="left"/>
      </w:pPr>
      <w:r>
        <w:rPr>
          <w:color w:val="231F20"/>
        </w:rPr>
        <w:t>„Дрмно” до 2022. године:</w:t>
      </w:r>
    </w:p>
    <w:p>
      <w:pPr>
        <w:pStyle w:val="BodyText"/>
        <w:spacing w:line="232" w:lineRule="auto" w:before="2"/>
        <w:ind w:right="412" w:firstLine="397"/>
      </w:pPr>
      <w:r>
        <w:rPr>
          <w:color w:val="231F20"/>
          <w:w w:val="66"/>
        </w:rPr>
        <w:t> </w:t>
      </w:r>
      <w:r>
        <w:rPr>
          <w:color w:val="231F20"/>
        </w:rPr>
        <w:t>– експлоатационe границе површинског </w:t>
      </w:r>
      <w:r>
        <w:rPr>
          <w:color w:val="231F20"/>
          <w:spacing w:val="-3"/>
        </w:rPr>
        <w:t>копа </w:t>
      </w:r>
      <w:r>
        <w:rPr>
          <w:color w:val="231F20"/>
        </w:rPr>
        <w:t>дефинисати унутар утврђене генералне регулације, водећи рачуна о потребној ширини сигурносног појаса и регулационој ширини и ширини из- </w:t>
      </w:r>
      <w:r>
        <w:rPr>
          <w:color w:val="231F20"/>
          <w:spacing w:val="-3"/>
        </w:rPr>
        <w:t>вођачког </w:t>
      </w:r>
      <w:r>
        <w:rPr>
          <w:color w:val="231F20"/>
        </w:rPr>
        <w:t>појаса за појединачне линијске системе</w:t>
      </w:r>
      <w:r>
        <w:rPr>
          <w:color w:val="231F20"/>
          <w:spacing w:val="-33"/>
        </w:rPr>
        <w:t> </w:t>
      </w:r>
      <w:r>
        <w:rPr>
          <w:color w:val="231F20"/>
        </w:rPr>
        <w:t>(водонепропусни екран, ободна саобраћајница,</w:t>
      </w:r>
      <w:r>
        <w:rPr>
          <w:color w:val="231F20"/>
          <w:spacing w:val="-4"/>
        </w:rPr>
        <w:t> </w:t>
      </w:r>
      <w:r>
        <w:rPr>
          <w:color w:val="231F20"/>
        </w:rPr>
        <w:t>далеководи);</w:t>
      </w:r>
    </w:p>
    <w:p>
      <w:pPr>
        <w:pStyle w:val="BodyText"/>
        <w:spacing w:line="232" w:lineRule="auto" w:before="1"/>
        <w:ind w:left="169" w:right="412" w:firstLine="397"/>
      </w:pPr>
      <w:r>
        <w:rPr>
          <w:color w:val="231F20"/>
          <w:w w:val="66"/>
        </w:rPr>
        <w:t> </w:t>
      </w:r>
      <w:r>
        <w:rPr>
          <w:color w:val="231F20"/>
        </w:rPr>
        <w:t>– при пројектовању сигурносног појаса, посебно водити ра- чуна да у завршној фази експлоатације дубина </w:t>
      </w:r>
      <w:r>
        <w:rPr>
          <w:color w:val="231F20"/>
          <w:spacing w:val="-3"/>
        </w:rPr>
        <w:t>копа </w:t>
      </w:r>
      <w:r>
        <w:rPr>
          <w:color w:val="231F20"/>
        </w:rPr>
        <w:t>износи 150  m, односно, да са напредовањем </w:t>
      </w:r>
      <w:r>
        <w:rPr>
          <w:color w:val="231F20"/>
          <w:spacing w:val="-3"/>
        </w:rPr>
        <w:t>копа </w:t>
      </w:r>
      <w:r>
        <w:rPr>
          <w:color w:val="231F20"/>
        </w:rPr>
        <w:t>ка северној граници, услови експлоатације</w:t>
      </w:r>
      <w:r>
        <w:rPr>
          <w:color w:val="231F20"/>
          <w:spacing w:val="-9"/>
        </w:rPr>
        <w:t> </w:t>
      </w:r>
      <w:r>
        <w:rPr>
          <w:color w:val="231F20"/>
        </w:rPr>
        <w:t>постају</w:t>
      </w:r>
      <w:r>
        <w:rPr>
          <w:color w:val="231F20"/>
          <w:spacing w:val="-9"/>
        </w:rPr>
        <w:t> </w:t>
      </w:r>
      <w:r>
        <w:rPr>
          <w:color w:val="231F20"/>
        </w:rPr>
        <w:t>све</w:t>
      </w:r>
      <w:r>
        <w:rPr>
          <w:color w:val="231F20"/>
          <w:spacing w:val="-9"/>
        </w:rPr>
        <w:t> </w:t>
      </w:r>
      <w:r>
        <w:rPr>
          <w:color w:val="231F20"/>
        </w:rPr>
        <w:t>сложенији;</w:t>
      </w:r>
      <w:r>
        <w:rPr>
          <w:color w:val="231F20"/>
          <w:spacing w:val="-9"/>
        </w:rPr>
        <w:t> </w:t>
      </w:r>
      <w:r>
        <w:rPr>
          <w:color w:val="231F20"/>
        </w:rPr>
        <w:t>при</w:t>
      </w:r>
      <w:r>
        <w:rPr>
          <w:color w:val="231F20"/>
          <w:spacing w:val="-9"/>
        </w:rPr>
        <w:t> </w:t>
      </w:r>
      <w:r>
        <w:rPr>
          <w:color w:val="231F20"/>
        </w:rPr>
        <w:t>том,</w:t>
      </w:r>
      <w:r>
        <w:rPr>
          <w:color w:val="231F20"/>
          <w:spacing w:val="-9"/>
        </w:rPr>
        <w:t> </w:t>
      </w:r>
      <w:r>
        <w:rPr>
          <w:color w:val="231F20"/>
        </w:rPr>
        <w:t>максимална</w:t>
      </w:r>
      <w:r>
        <w:rPr>
          <w:color w:val="231F20"/>
          <w:spacing w:val="-9"/>
        </w:rPr>
        <w:t> </w:t>
      </w:r>
      <w:r>
        <w:rPr>
          <w:color w:val="231F20"/>
        </w:rPr>
        <w:t>дебљи- на угља је 25 m у западном делу оконтуреног</w:t>
      </w:r>
      <w:r>
        <w:rPr>
          <w:color w:val="231F20"/>
          <w:spacing w:val="-10"/>
        </w:rPr>
        <w:t> </w:t>
      </w:r>
      <w:r>
        <w:rPr>
          <w:color w:val="231F20"/>
          <w:spacing w:val="-3"/>
        </w:rPr>
        <w:t>копа;</w:t>
      </w:r>
    </w:p>
    <w:p>
      <w:pPr>
        <w:pStyle w:val="BodyText"/>
        <w:spacing w:line="232" w:lineRule="auto" w:before="2"/>
        <w:ind w:left="169" w:right="412" w:firstLine="397"/>
      </w:pPr>
      <w:r>
        <w:rPr>
          <w:color w:val="231F20"/>
          <w:w w:val="66"/>
        </w:rPr>
        <w:t> </w:t>
      </w:r>
      <w:r>
        <w:rPr>
          <w:color w:val="231F20"/>
        </w:rPr>
        <w:t>– техничка документација за све објекте рударског система треба да садржи и студију ризика и заштите од елементарних не- погода;</w:t>
      </w:r>
    </w:p>
    <w:p>
      <w:pPr>
        <w:pStyle w:val="BodyText"/>
        <w:spacing w:line="232" w:lineRule="auto" w:before="1"/>
        <w:ind w:left="169" w:right="412" w:firstLine="396"/>
      </w:pPr>
      <w:r>
        <w:rPr>
          <w:color w:val="231F20"/>
          <w:w w:val="66"/>
        </w:rPr>
        <w:t> </w:t>
      </w:r>
      <w:r>
        <w:rPr>
          <w:color w:val="231F20"/>
        </w:rPr>
        <w:t>–</w:t>
      </w:r>
      <w:r>
        <w:rPr>
          <w:color w:val="231F20"/>
          <w:spacing w:val="-8"/>
        </w:rPr>
        <w:t> </w:t>
      </w:r>
      <w:r>
        <w:rPr>
          <w:color w:val="231F20"/>
        </w:rPr>
        <w:t>да</w:t>
      </w:r>
      <w:r>
        <w:rPr>
          <w:color w:val="231F20"/>
          <w:spacing w:val="-8"/>
        </w:rPr>
        <w:t> </w:t>
      </w:r>
      <w:r>
        <w:rPr>
          <w:color w:val="231F20"/>
        </w:rPr>
        <w:t>би</w:t>
      </w:r>
      <w:r>
        <w:rPr>
          <w:color w:val="231F20"/>
          <w:spacing w:val="-8"/>
        </w:rPr>
        <w:t> </w:t>
      </w:r>
      <w:r>
        <w:rPr>
          <w:color w:val="231F20"/>
        </w:rPr>
        <w:t>се</w:t>
      </w:r>
      <w:r>
        <w:rPr>
          <w:color w:val="231F20"/>
          <w:spacing w:val="-8"/>
        </w:rPr>
        <w:t> </w:t>
      </w:r>
      <w:r>
        <w:rPr>
          <w:color w:val="231F20"/>
        </w:rPr>
        <w:t>оценио</w:t>
      </w:r>
      <w:r>
        <w:rPr>
          <w:color w:val="231F20"/>
          <w:spacing w:val="-8"/>
        </w:rPr>
        <w:t> </w:t>
      </w:r>
      <w:r>
        <w:rPr>
          <w:color w:val="231F20"/>
        </w:rPr>
        <w:t>прихватљив</w:t>
      </w:r>
      <w:r>
        <w:rPr>
          <w:color w:val="231F20"/>
          <w:spacing w:val="-8"/>
        </w:rPr>
        <w:t> </w:t>
      </w:r>
      <w:r>
        <w:rPr>
          <w:color w:val="231F20"/>
        </w:rPr>
        <w:t>сеизмички</w:t>
      </w:r>
      <w:r>
        <w:rPr>
          <w:color w:val="231F20"/>
          <w:spacing w:val="-8"/>
        </w:rPr>
        <w:t> </w:t>
      </w:r>
      <w:r>
        <w:rPr>
          <w:color w:val="231F20"/>
        </w:rPr>
        <w:t>ризик</w:t>
      </w:r>
      <w:r>
        <w:rPr>
          <w:color w:val="231F20"/>
          <w:spacing w:val="-8"/>
        </w:rPr>
        <w:t> </w:t>
      </w:r>
      <w:r>
        <w:rPr>
          <w:color w:val="231F20"/>
        </w:rPr>
        <w:t>експлоатаци- оних поља неопходно је посебно проценити повредљивост терена при земљотресима различитог интензитета, затим повредљивост технологије, као и </w:t>
      </w:r>
      <w:r>
        <w:rPr>
          <w:color w:val="231F20"/>
          <w:spacing w:val="-3"/>
        </w:rPr>
        <w:t>њихову </w:t>
      </w:r>
      <w:r>
        <w:rPr>
          <w:color w:val="231F20"/>
        </w:rPr>
        <w:t>интеракцију;</w:t>
      </w:r>
    </w:p>
    <w:p>
      <w:pPr>
        <w:pStyle w:val="BodyText"/>
        <w:spacing w:line="232" w:lineRule="auto" w:before="1"/>
        <w:ind w:left="169" w:right="412" w:firstLine="396"/>
      </w:pPr>
      <w:r>
        <w:rPr>
          <w:color w:val="231F20"/>
          <w:w w:val="66"/>
        </w:rPr>
        <w:t> </w:t>
      </w:r>
      <w:r>
        <w:rPr>
          <w:color w:val="231F20"/>
        </w:rPr>
        <w:t>–</w:t>
      </w:r>
      <w:r>
        <w:rPr>
          <w:color w:val="231F20"/>
          <w:spacing w:val="-6"/>
        </w:rPr>
        <w:t> </w:t>
      </w:r>
      <w:r>
        <w:rPr>
          <w:color w:val="231F20"/>
        </w:rPr>
        <w:t>сва</w:t>
      </w:r>
      <w:r>
        <w:rPr>
          <w:color w:val="231F20"/>
          <w:spacing w:val="-6"/>
        </w:rPr>
        <w:t> </w:t>
      </w:r>
      <w:r>
        <w:rPr>
          <w:color w:val="231F20"/>
        </w:rPr>
        <w:t>опрема</w:t>
      </w:r>
      <w:r>
        <w:rPr>
          <w:color w:val="231F20"/>
          <w:spacing w:val="-6"/>
        </w:rPr>
        <w:t> </w:t>
      </w:r>
      <w:r>
        <w:rPr>
          <w:color w:val="231F20"/>
        </w:rPr>
        <w:t>и</w:t>
      </w:r>
      <w:r>
        <w:rPr>
          <w:color w:val="231F20"/>
          <w:spacing w:val="-6"/>
        </w:rPr>
        <w:t> </w:t>
      </w:r>
      <w:r>
        <w:rPr>
          <w:color w:val="231F20"/>
        </w:rPr>
        <w:t>постројења</w:t>
      </w:r>
      <w:r>
        <w:rPr>
          <w:color w:val="231F20"/>
          <w:spacing w:val="-6"/>
        </w:rPr>
        <w:t> </w:t>
      </w:r>
      <w:r>
        <w:rPr>
          <w:color w:val="231F20"/>
        </w:rPr>
        <w:t>на</w:t>
      </w:r>
      <w:r>
        <w:rPr>
          <w:color w:val="231F20"/>
          <w:spacing w:val="-6"/>
        </w:rPr>
        <w:t> </w:t>
      </w:r>
      <w:r>
        <w:rPr>
          <w:color w:val="231F20"/>
          <w:spacing w:val="-3"/>
        </w:rPr>
        <w:t>копу</w:t>
      </w:r>
      <w:r>
        <w:rPr>
          <w:color w:val="231F20"/>
          <w:spacing w:val="-6"/>
        </w:rPr>
        <w:t> </w:t>
      </w:r>
      <w:r>
        <w:rPr>
          <w:color w:val="231F20"/>
        </w:rPr>
        <w:t>морају</w:t>
      </w:r>
      <w:r>
        <w:rPr>
          <w:color w:val="231F20"/>
          <w:spacing w:val="-6"/>
        </w:rPr>
        <w:t> </w:t>
      </w:r>
      <w:r>
        <w:rPr>
          <w:color w:val="231F20"/>
        </w:rPr>
        <w:t>бити</w:t>
      </w:r>
      <w:r>
        <w:rPr>
          <w:color w:val="231F20"/>
          <w:spacing w:val="-6"/>
        </w:rPr>
        <w:t> </w:t>
      </w:r>
      <w:r>
        <w:rPr>
          <w:color w:val="231F20"/>
        </w:rPr>
        <w:t>атестирана</w:t>
      </w:r>
      <w:r>
        <w:rPr>
          <w:color w:val="231F20"/>
          <w:spacing w:val="-6"/>
        </w:rPr>
        <w:t> </w:t>
      </w:r>
      <w:r>
        <w:rPr>
          <w:color w:val="231F20"/>
        </w:rPr>
        <w:t>на ветар и земљотрес; наиме, сеизмички хазард експлоатационих по- ља је веома висок, а с обзиром на могућност прекида производње и могућност довођења технологије за откопавање угља до степена неупотребљивости, веома је висок и сеизмички ризик</w:t>
      </w:r>
      <w:r>
        <w:rPr>
          <w:color w:val="231F20"/>
          <w:spacing w:val="-8"/>
        </w:rPr>
        <w:t> </w:t>
      </w:r>
      <w:r>
        <w:rPr>
          <w:color w:val="231F20"/>
        </w:rPr>
        <w:t>;</w:t>
      </w:r>
    </w:p>
    <w:p>
      <w:pPr>
        <w:pStyle w:val="BodyText"/>
        <w:spacing w:line="232" w:lineRule="auto" w:before="1"/>
        <w:ind w:left="169" w:right="412" w:firstLine="396"/>
      </w:pPr>
      <w:r>
        <w:rPr>
          <w:color w:val="231F20"/>
          <w:w w:val="66"/>
        </w:rPr>
        <w:t> </w:t>
      </w:r>
      <w:r>
        <w:rPr>
          <w:color w:val="231F20"/>
        </w:rPr>
        <w:t>–</w:t>
      </w:r>
      <w:r>
        <w:rPr>
          <w:color w:val="231F20"/>
          <w:spacing w:val="-7"/>
        </w:rPr>
        <w:t> </w:t>
      </w:r>
      <w:r>
        <w:rPr>
          <w:color w:val="231F20"/>
        </w:rPr>
        <w:t>технологија</w:t>
      </w:r>
      <w:r>
        <w:rPr>
          <w:color w:val="231F20"/>
          <w:spacing w:val="-7"/>
        </w:rPr>
        <w:t> </w:t>
      </w:r>
      <w:r>
        <w:rPr>
          <w:color w:val="231F20"/>
          <w:spacing w:val="-3"/>
        </w:rPr>
        <w:t>која</w:t>
      </w:r>
      <w:r>
        <w:rPr>
          <w:color w:val="231F20"/>
          <w:spacing w:val="-7"/>
        </w:rPr>
        <w:t> </w:t>
      </w:r>
      <w:r>
        <w:rPr>
          <w:color w:val="231F20"/>
        </w:rPr>
        <w:t>се</w:t>
      </w:r>
      <w:r>
        <w:rPr>
          <w:color w:val="231F20"/>
          <w:spacing w:val="-7"/>
        </w:rPr>
        <w:t> </w:t>
      </w:r>
      <w:r>
        <w:rPr>
          <w:color w:val="231F20"/>
        </w:rPr>
        <w:t>примењује</w:t>
      </w:r>
      <w:r>
        <w:rPr>
          <w:color w:val="231F20"/>
          <w:spacing w:val="-7"/>
        </w:rPr>
        <w:t> </w:t>
      </w:r>
      <w:r>
        <w:rPr>
          <w:color w:val="231F20"/>
        </w:rPr>
        <w:t>на</w:t>
      </w:r>
      <w:r>
        <w:rPr>
          <w:color w:val="231F20"/>
          <w:spacing w:val="-7"/>
        </w:rPr>
        <w:t> </w:t>
      </w:r>
      <w:r>
        <w:rPr>
          <w:color w:val="231F20"/>
        </w:rPr>
        <w:t>објектима</w:t>
      </w:r>
      <w:r>
        <w:rPr>
          <w:color w:val="231F20"/>
          <w:spacing w:val="-7"/>
        </w:rPr>
        <w:t> </w:t>
      </w:r>
      <w:r>
        <w:rPr>
          <w:color w:val="231F20"/>
        </w:rPr>
        <w:t>рударско-енер- гетског </w:t>
      </w:r>
      <w:r>
        <w:rPr>
          <w:color w:val="231F20"/>
          <w:spacing w:val="-3"/>
        </w:rPr>
        <w:t>комплекса </w:t>
      </w:r>
      <w:r>
        <w:rPr>
          <w:color w:val="231F20"/>
        </w:rPr>
        <w:t>веома је повредљива у условима земљотреса, пре свега багерски системи (због могућности покретања одлага- лишта, одлагачи у условима земљотреса, такође, могу претрпе-  ти хаварије до степена њихове неупотребљивости); на повећање сеизмичког ризика технологије </w:t>
      </w:r>
      <w:r>
        <w:rPr>
          <w:color w:val="231F20"/>
          <w:spacing w:val="-3"/>
        </w:rPr>
        <w:t>која </w:t>
      </w:r>
      <w:r>
        <w:rPr>
          <w:color w:val="231F20"/>
        </w:rPr>
        <w:t>се примењује за откопавање, утиче и додатна повредљивост багера у процесу његовог</w:t>
      </w:r>
      <w:r>
        <w:rPr>
          <w:color w:val="231F20"/>
          <w:spacing w:val="-31"/>
        </w:rPr>
        <w:t> </w:t>
      </w:r>
      <w:r>
        <w:rPr>
          <w:color w:val="231F20"/>
        </w:rPr>
        <w:t>ремонта;</w:t>
      </w:r>
    </w:p>
    <w:p>
      <w:pPr>
        <w:spacing w:line="155"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455" w:val="left" w:leader="none"/>
        </w:tabs>
        <w:spacing w:line="240" w:lineRule="auto" w:before="0" w:after="0"/>
        <w:ind w:left="454" w:right="411" w:hanging="284"/>
        <w:jc w:val="both"/>
        <w:rPr>
          <w:sz w:val="14"/>
        </w:rPr>
      </w:pPr>
      <w:r>
        <w:rPr>
          <w:color w:val="231F20"/>
          <w:sz w:val="14"/>
        </w:rPr>
        <w:t>Обухват</w:t>
      </w:r>
      <w:r>
        <w:rPr>
          <w:color w:val="231F20"/>
          <w:spacing w:val="-6"/>
          <w:sz w:val="14"/>
        </w:rPr>
        <w:t> </w:t>
      </w:r>
      <w:r>
        <w:rPr>
          <w:color w:val="231F20"/>
          <w:sz w:val="14"/>
        </w:rPr>
        <w:t>површина</w:t>
      </w:r>
      <w:r>
        <w:rPr>
          <w:color w:val="231F20"/>
          <w:spacing w:val="-6"/>
          <w:sz w:val="14"/>
        </w:rPr>
        <w:t> </w:t>
      </w:r>
      <w:r>
        <w:rPr>
          <w:color w:val="231F20"/>
          <w:sz w:val="14"/>
        </w:rPr>
        <w:t>као</w:t>
      </w:r>
      <w:r>
        <w:rPr>
          <w:color w:val="231F20"/>
          <w:spacing w:val="-6"/>
          <w:sz w:val="14"/>
        </w:rPr>
        <w:t> </w:t>
      </w:r>
      <w:r>
        <w:rPr>
          <w:color w:val="231F20"/>
          <w:sz w:val="14"/>
        </w:rPr>
        <w:t>што</w:t>
      </w:r>
      <w:r>
        <w:rPr>
          <w:color w:val="231F20"/>
          <w:spacing w:val="-6"/>
          <w:sz w:val="14"/>
        </w:rPr>
        <w:t> </w:t>
      </w:r>
      <w:r>
        <w:rPr>
          <w:color w:val="231F20"/>
          <w:sz w:val="14"/>
        </w:rPr>
        <w:t>су</w:t>
      </w:r>
      <w:r>
        <w:rPr>
          <w:color w:val="231F20"/>
          <w:spacing w:val="-6"/>
          <w:sz w:val="14"/>
        </w:rPr>
        <w:t> </w:t>
      </w:r>
      <w:r>
        <w:rPr>
          <w:color w:val="231F20"/>
          <w:sz w:val="14"/>
        </w:rPr>
        <w:t>површински</w:t>
      </w:r>
      <w:r>
        <w:rPr>
          <w:color w:val="231F20"/>
          <w:spacing w:val="-6"/>
          <w:sz w:val="14"/>
        </w:rPr>
        <w:t> </w:t>
      </w:r>
      <w:r>
        <w:rPr>
          <w:color w:val="231F20"/>
          <w:sz w:val="14"/>
        </w:rPr>
        <w:t>коп,</w:t>
      </w:r>
      <w:r>
        <w:rPr>
          <w:color w:val="231F20"/>
          <w:spacing w:val="-6"/>
          <w:sz w:val="14"/>
        </w:rPr>
        <w:t> </w:t>
      </w:r>
      <w:r>
        <w:rPr>
          <w:color w:val="231F20"/>
          <w:sz w:val="14"/>
        </w:rPr>
        <w:t>одлагалиште</w:t>
      </w:r>
      <w:r>
        <w:rPr>
          <w:color w:val="231F20"/>
          <w:spacing w:val="-6"/>
          <w:sz w:val="14"/>
        </w:rPr>
        <w:t> </w:t>
      </w:r>
      <w:r>
        <w:rPr>
          <w:color w:val="231F20"/>
          <w:sz w:val="14"/>
        </w:rPr>
        <w:t>и</w:t>
      </w:r>
      <w:r>
        <w:rPr>
          <w:color w:val="231F20"/>
          <w:spacing w:val="-6"/>
          <w:sz w:val="14"/>
        </w:rPr>
        <w:t> </w:t>
      </w:r>
      <w:r>
        <w:rPr>
          <w:color w:val="231F20"/>
          <w:sz w:val="14"/>
        </w:rPr>
        <w:t>зона</w:t>
      </w:r>
      <w:r>
        <w:rPr>
          <w:color w:val="231F20"/>
          <w:spacing w:val="-6"/>
          <w:sz w:val="14"/>
        </w:rPr>
        <w:t> </w:t>
      </w:r>
      <w:r>
        <w:rPr>
          <w:color w:val="231F20"/>
          <w:sz w:val="14"/>
        </w:rPr>
        <w:t>рударских</w:t>
      </w:r>
      <w:r>
        <w:rPr>
          <w:color w:val="231F20"/>
          <w:spacing w:val="-6"/>
          <w:sz w:val="14"/>
        </w:rPr>
        <w:t> </w:t>
      </w:r>
      <w:r>
        <w:rPr>
          <w:color w:val="231F20"/>
          <w:sz w:val="14"/>
        </w:rPr>
        <w:t>и других радова у технолошком процесу и објеката техничке инфраструктуре ме- ња се са развојем експлоатације. На Рефералној карти 6.1.1. приказане су повр- шине и зоне које одговарају стању рударских радова 2022.</w:t>
      </w:r>
      <w:r>
        <w:rPr>
          <w:color w:val="231F20"/>
          <w:spacing w:val="-18"/>
          <w:sz w:val="14"/>
        </w:rPr>
        <w:t> </w:t>
      </w:r>
      <w:r>
        <w:rPr>
          <w:color w:val="231F20"/>
          <w:sz w:val="14"/>
        </w:rPr>
        <w:t>године.</w:t>
      </w:r>
    </w:p>
    <w:p>
      <w:pPr>
        <w:spacing w:after="0" w:line="240" w:lineRule="auto"/>
        <w:jc w:val="both"/>
        <w:rPr>
          <w:sz w:val="14"/>
        </w:rPr>
        <w:sectPr>
          <w:pgSz w:w="12480" w:h="15690"/>
          <w:pgMar w:top="120" w:bottom="280" w:left="680" w:right="720"/>
          <w:cols w:num="2" w:equalWidth="0">
            <w:col w:w="5315" w:space="71"/>
            <w:col w:w="5694"/>
          </w:cols>
        </w:sectPr>
      </w:pPr>
    </w:p>
    <w:p>
      <w:pPr>
        <w:pStyle w:val="BodyText"/>
        <w:spacing w:line="223" w:lineRule="auto" w:before="79"/>
        <w:ind w:left="453" w:right="1" w:firstLine="397"/>
      </w:pPr>
      <w:r>
        <w:rPr/>
        <w:pict>
          <v:line style="position:absolute;mso-position-horizontal-relative:page;mso-position-vertical-relative:page;z-index:3736" from="318.897614pt,11.942451pt" to="318.897614pt,748.950451pt" stroked="true" strokeweight=".6pt" strokecolor="#231f20">
            <v:stroke dashstyle="solid"/>
            <w10:wrap type="none"/>
          </v:line>
        </w:pict>
      </w:r>
      <w:r>
        <w:rPr>
          <w:color w:val="231F20"/>
          <w:w w:val="66"/>
        </w:rPr>
        <w:t> </w:t>
      </w:r>
      <w:r>
        <w:rPr>
          <w:color w:val="231F20"/>
        </w:rPr>
        <w:t>– на површинском </w:t>
      </w:r>
      <w:r>
        <w:rPr>
          <w:color w:val="231F20"/>
          <w:spacing w:val="-3"/>
        </w:rPr>
        <w:t>копу </w:t>
      </w:r>
      <w:r>
        <w:rPr>
          <w:color w:val="231F20"/>
        </w:rPr>
        <w:t>и у ножици одлагалишта, на довољ- ном</w:t>
      </w:r>
      <w:r>
        <w:rPr>
          <w:color w:val="231F20"/>
          <w:spacing w:val="-9"/>
        </w:rPr>
        <w:t> </w:t>
      </w:r>
      <w:r>
        <w:rPr>
          <w:color w:val="231F20"/>
        </w:rPr>
        <w:t>одстојању</w:t>
      </w:r>
      <w:r>
        <w:rPr>
          <w:color w:val="231F20"/>
          <w:spacing w:val="-9"/>
        </w:rPr>
        <w:t> </w:t>
      </w:r>
      <w:r>
        <w:rPr>
          <w:color w:val="231F20"/>
          <w:spacing w:val="-3"/>
        </w:rPr>
        <w:t>од</w:t>
      </w:r>
      <w:r>
        <w:rPr>
          <w:color w:val="231F20"/>
          <w:spacing w:val="-9"/>
        </w:rPr>
        <w:t> </w:t>
      </w:r>
      <w:r>
        <w:rPr>
          <w:color w:val="231F20"/>
        </w:rPr>
        <w:t>ивице</w:t>
      </w:r>
      <w:r>
        <w:rPr>
          <w:color w:val="231F20"/>
          <w:spacing w:val="-9"/>
        </w:rPr>
        <w:t> </w:t>
      </w:r>
      <w:r>
        <w:rPr>
          <w:color w:val="231F20"/>
        </w:rPr>
        <w:t>површинског</w:t>
      </w:r>
      <w:r>
        <w:rPr>
          <w:color w:val="231F20"/>
          <w:spacing w:val="-9"/>
        </w:rPr>
        <w:t> </w:t>
      </w:r>
      <w:r>
        <w:rPr>
          <w:color w:val="231F20"/>
          <w:spacing w:val="-3"/>
        </w:rPr>
        <w:t>копа</w:t>
      </w:r>
      <w:r>
        <w:rPr>
          <w:color w:val="231F20"/>
          <w:spacing w:val="-9"/>
        </w:rPr>
        <w:t> </w:t>
      </w:r>
      <w:r>
        <w:rPr>
          <w:color w:val="231F20"/>
        </w:rPr>
        <w:t>и</w:t>
      </w:r>
      <w:r>
        <w:rPr>
          <w:color w:val="231F20"/>
          <w:spacing w:val="-9"/>
        </w:rPr>
        <w:t> </w:t>
      </w:r>
      <w:r>
        <w:rPr>
          <w:color w:val="231F20"/>
        </w:rPr>
        <w:t>ножице</w:t>
      </w:r>
      <w:r>
        <w:rPr>
          <w:color w:val="231F20"/>
          <w:spacing w:val="-9"/>
        </w:rPr>
        <w:t> </w:t>
      </w:r>
      <w:r>
        <w:rPr>
          <w:color w:val="231F20"/>
        </w:rPr>
        <w:t>одлагалишта, морају бити изведене сигурносне мере (препреке </w:t>
      </w:r>
      <w:r>
        <w:rPr>
          <w:color w:val="231F20"/>
          <w:spacing w:val="-3"/>
        </w:rPr>
        <w:t>од </w:t>
      </w:r>
      <w:r>
        <w:rPr>
          <w:color w:val="231F20"/>
        </w:rPr>
        <w:t>ужади, бране, канали, живице, земљани насипи или табле са упозорењем о за- брани) против ненамерног приступа неовлашћених лица на</w:t>
      </w:r>
      <w:r>
        <w:rPr>
          <w:color w:val="231F20"/>
          <w:spacing w:val="-27"/>
        </w:rPr>
        <w:t> </w:t>
      </w:r>
      <w:r>
        <w:rPr>
          <w:color w:val="231F20"/>
          <w:spacing w:val="-3"/>
        </w:rPr>
        <w:t>коп;</w:t>
      </w:r>
    </w:p>
    <w:p>
      <w:pPr>
        <w:pStyle w:val="BodyText"/>
        <w:spacing w:line="228" w:lineRule="auto" w:before="2"/>
        <w:ind w:left="454" w:firstLine="396"/>
      </w:pPr>
      <w:r>
        <w:rPr>
          <w:color w:val="231F20"/>
          <w:w w:val="66"/>
        </w:rPr>
        <w:t> </w:t>
      </w:r>
      <w:r>
        <w:rPr>
          <w:color w:val="231F20"/>
        </w:rPr>
        <w:t>– на основу </w:t>
      </w:r>
      <w:r>
        <w:rPr>
          <w:color w:val="231F20"/>
          <w:spacing w:val="-3"/>
        </w:rPr>
        <w:t>рударско-геолошких </w:t>
      </w:r>
      <w:r>
        <w:rPr>
          <w:color w:val="231F20"/>
        </w:rPr>
        <w:t>услова и пројектних пара- метара основне опреме на угљу </w:t>
      </w:r>
      <w:r>
        <w:rPr>
          <w:color w:val="231F20"/>
          <w:spacing w:val="-3"/>
        </w:rPr>
        <w:t>пројектовати </w:t>
      </w:r>
      <w:r>
        <w:rPr>
          <w:color w:val="231F20"/>
        </w:rPr>
        <w:t>уздужни и попречни нагиб </w:t>
      </w:r>
      <w:r>
        <w:rPr>
          <w:color w:val="231F20"/>
          <w:spacing w:val="-3"/>
        </w:rPr>
        <w:t>косих </w:t>
      </w:r>
      <w:r>
        <w:rPr>
          <w:color w:val="231F20"/>
        </w:rPr>
        <w:t>етажа на угљу до максимално 3% и висине етажа до највише 15 m; успоставити перманентни систем </w:t>
      </w:r>
      <w:r>
        <w:rPr>
          <w:color w:val="231F20"/>
          <w:spacing w:val="-3"/>
        </w:rPr>
        <w:t>контроле </w:t>
      </w:r>
      <w:r>
        <w:rPr>
          <w:color w:val="231F20"/>
        </w:rPr>
        <w:t>(визуел- ни </w:t>
      </w:r>
      <w:r>
        <w:rPr>
          <w:color w:val="231F20"/>
          <w:spacing w:val="-3"/>
        </w:rPr>
        <w:t>прегледи, </w:t>
      </w:r>
      <w:r>
        <w:rPr>
          <w:color w:val="231F20"/>
        </w:rPr>
        <w:t>нарочито пре почетка или наставка рада, у условима мраза, јаких ветрова и обилних </w:t>
      </w:r>
      <w:r>
        <w:rPr>
          <w:color w:val="231F20"/>
          <w:spacing w:val="-3"/>
        </w:rPr>
        <w:t>пљускова </w:t>
      </w:r>
      <w:r>
        <w:rPr>
          <w:color w:val="231F20"/>
          <w:spacing w:val="-4"/>
        </w:rPr>
        <w:t>који </w:t>
      </w:r>
      <w:r>
        <w:rPr>
          <w:color w:val="231F20"/>
        </w:rPr>
        <w:t>могу да имају еро- зивно</w:t>
      </w:r>
      <w:r>
        <w:rPr>
          <w:color w:val="231F20"/>
          <w:spacing w:val="-10"/>
        </w:rPr>
        <w:t> </w:t>
      </w:r>
      <w:r>
        <w:rPr>
          <w:color w:val="231F20"/>
        </w:rPr>
        <w:t>дејство)</w:t>
      </w:r>
      <w:r>
        <w:rPr>
          <w:color w:val="231F20"/>
          <w:spacing w:val="-10"/>
        </w:rPr>
        <w:t> </w:t>
      </w:r>
      <w:r>
        <w:rPr>
          <w:color w:val="231F20"/>
        </w:rPr>
        <w:t>радне</w:t>
      </w:r>
      <w:r>
        <w:rPr>
          <w:color w:val="231F20"/>
          <w:spacing w:val="-10"/>
        </w:rPr>
        <w:t> </w:t>
      </w:r>
      <w:r>
        <w:rPr>
          <w:color w:val="231F20"/>
        </w:rPr>
        <w:t>равни</w:t>
      </w:r>
      <w:r>
        <w:rPr>
          <w:color w:val="231F20"/>
          <w:spacing w:val="-10"/>
        </w:rPr>
        <w:t> </w:t>
      </w:r>
      <w:r>
        <w:rPr>
          <w:color w:val="231F20"/>
          <w:spacing w:val="-2"/>
        </w:rPr>
        <w:t>косине</w:t>
      </w:r>
      <w:r>
        <w:rPr>
          <w:color w:val="231F20"/>
          <w:spacing w:val="-10"/>
        </w:rPr>
        <w:t> </w:t>
      </w:r>
      <w:r>
        <w:rPr>
          <w:color w:val="231F20"/>
        </w:rPr>
        <w:t>у</w:t>
      </w:r>
      <w:r>
        <w:rPr>
          <w:color w:val="231F20"/>
          <w:spacing w:val="-10"/>
        </w:rPr>
        <w:t> </w:t>
      </w:r>
      <w:r>
        <w:rPr>
          <w:color w:val="231F20"/>
        </w:rPr>
        <w:t>односу</w:t>
      </w:r>
      <w:r>
        <w:rPr>
          <w:color w:val="231F20"/>
          <w:spacing w:val="-10"/>
        </w:rPr>
        <w:t> </w:t>
      </w:r>
      <w:r>
        <w:rPr>
          <w:color w:val="231F20"/>
        </w:rPr>
        <w:t>на</w:t>
      </w:r>
      <w:r>
        <w:rPr>
          <w:color w:val="231F20"/>
          <w:spacing w:val="-10"/>
        </w:rPr>
        <w:t> </w:t>
      </w:r>
      <w:r>
        <w:rPr>
          <w:color w:val="231F20"/>
        </w:rPr>
        <w:t>постојање</w:t>
      </w:r>
      <w:r>
        <w:rPr>
          <w:color w:val="231F20"/>
          <w:spacing w:val="-10"/>
        </w:rPr>
        <w:t> </w:t>
      </w:r>
      <w:r>
        <w:rPr>
          <w:color w:val="231F20"/>
          <w:spacing w:val="-3"/>
        </w:rPr>
        <w:t>пукотина, </w:t>
      </w:r>
      <w:r>
        <w:rPr>
          <w:color w:val="231F20"/>
        </w:rPr>
        <w:t>испирање, осипања и </w:t>
      </w:r>
      <w:r>
        <w:rPr>
          <w:color w:val="231F20"/>
          <w:spacing w:val="-3"/>
        </w:rPr>
        <w:t>одваљивања </w:t>
      </w:r>
      <w:r>
        <w:rPr>
          <w:color w:val="231F20"/>
          <w:spacing w:val="-4"/>
        </w:rPr>
        <w:t>од </w:t>
      </w:r>
      <w:r>
        <w:rPr>
          <w:color w:val="231F20"/>
        </w:rPr>
        <w:t>масива растресите стене, на </w:t>
      </w:r>
      <w:r>
        <w:rPr>
          <w:color w:val="231F20"/>
          <w:spacing w:val="-3"/>
        </w:rPr>
        <w:t>којима</w:t>
      </w:r>
      <w:r>
        <w:rPr>
          <w:color w:val="231F20"/>
          <w:spacing w:val="-6"/>
        </w:rPr>
        <w:t> </w:t>
      </w:r>
      <w:r>
        <w:rPr>
          <w:color w:val="231F20"/>
        </w:rPr>
        <w:t>се</w:t>
      </w:r>
      <w:r>
        <w:rPr>
          <w:color w:val="231F20"/>
          <w:spacing w:val="-6"/>
        </w:rPr>
        <w:t> </w:t>
      </w:r>
      <w:r>
        <w:rPr>
          <w:color w:val="231F20"/>
        </w:rPr>
        <w:t>или</w:t>
      </w:r>
      <w:r>
        <w:rPr>
          <w:color w:val="231F20"/>
          <w:spacing w:val="-6"/>
        </w:rPr>
        <w:t> </w:t>
      </w:r>
      <w:r>
        <w:rPr>
          <w:color w:val="231F20"/>
        </w:rPr>
        <w:t>испред</w:t>
      </w:r>
      <w:r>
        <w:rPr>
          <w:color w:val="231F20"/>
          <w:spacing w:val="-6"/>
        </w:rPr>
        <w:t> </w:t>
      </w:r>
      <w:r>
        <w:rPr>
          <w:color w:val="231F20"/>
          <w:spacing w:val="-3"/>
        </w:rPr>
        <w:t>којих</w:t>
      </w:r>
      <w:r>
        <w:rPr>
          <w:color w:val="231F20"/>
          <w:spacing w:val="-6"/>
        </w:rPr>
        <w:t> </w:t>
      </w:r>
      <w:r>
        <w:rPr>
          <w:color w:val="231F20"/>
        </w:rPr>
        <w:t>се</w:t>
      </w:r>
      <w:r>
        <w:rPr>
          <w:color w:val="231F20"/>
          <w:spacing w:val="-6"/>
        </w:rPr>
        <w:t> </w:t>
      </w:r>
      <w:r>
        <w:rPr>
          <w:color w:val="231F20"/>
        </w:rPr>
        <w:t>ради</w:t>
      </w:r>
      <w:r>
        <w:rPr>
          <w:color w:val="231F20"/>
          <w:spacing w:val="-6"/>
        </w:rPr>
        <w:t> </w:t>
      </w:r>
      <w:r>
        <w:rPr>
          <w:color w:val="231F20"/>
        </w:rPr>
        <w:t>и</w:t>
      </w:r>
      <w:r>
        <w:rPr>
          <w:color w:val="231F20"/>
          <w:spacing w:val="-6"/>
        </w:rPr>
        <w:t> </w:t>
      </w:r>
      <w:r>
        <w:rPr>
          <w:color w:val="231F20"/>
        </w:rPr>
        <w:t>евиденцију</w:t>
      </w:r>
      <w:r>
        <w:rPr>
          <w:color w:val="231F20"/>
          <w:spacing w:val="-6"/>
        </w:rPr>
        <w:t> </w:t>
      </w:r>
      <w:r>
        <w:rPr>
          <w:color w:val="231F20"/>
        </w:rPr>
        <w:t>стања</w:t>
      </w:r>
      <w:r>
        <w:rPr>
          <w:color w:val="231F20"/>
          <w:spacing w:val="-6"/>
        </w:rPr>
        <w:t> </w:t>
      </w:r>
      <w:r>
        <w:rPr>
          <w:color w:val="231F20"/>
        </w:rPr>
        <w:t>радилишта;</w:t>
      </w:r>
    </w:p>
    <w:p>
      <w:pPr>
        <w:pStyle w:val="BodyText"/>
        <w:spacing w:line="228" w:lineRule="auto"/>
        <w:ind w:left="454" w:firstLine="397"/>
      </w:pPr>
      <w:r>
        <w:rPr>
          <w:color w:val="231F20"/>
          <w:w w:val="66"/>
        </w:rPr>
        <w:t> </w:t>
      </w:r>
      <w:r>
        <w:rPr>
          <w:color w:val="231F20"/>
        </w:rPr>
        <w:t>– нагибе завршних косина </w:t>
      </w:r>
      <w:r>
        <w:rPr>
          <w:color w:val="231F20"/>
          <w:spacing w:val="-3"/>
        </w:rPr>
        <w:t>копа </w:t>
      </w:r>
      <w:r>
        <w:rPr>
          <w:color w:val="231F20"/>
        </w:rPr>
        <w:t>одредити на основу геоме- ханичке анализе стабилности завршних косина за одговарајуће коефицијенте сигурности према објектима на терену </w:t>
      </w:r>
      <w:r>
        <w:rPr>
          <w:color w:val="231F20"/>
          <w:spacing w:val="-3"/>
        </w:rPr>
        <w:t>од </w:t>
      </w:r>
      <w:r>
        <w:rPr>
          <w:color w:val="231F20"/>
        </w:rPr>
        <w:t>130 (са коефицијентом сигурности 1,5 према селу Дрмно и Кличевац, ар- </w:t>
      </w:r>
      <w:r>
        <w:rPr>
          <w:color w:val="231F20"/>
          <w:spacing w:val="-3"/>
        </w:rPr>
        <w:t>хеолошком </w:t>
      </w:r>
      <w:r>
        <w:rPr>
          <w:color w:val="231F20"/>
        </w:rPr>
        <w:t>налазишту Виминацијум и реци Дунав) до 220 (у оста- лим деловима површинског</w:t>
      </w:r>
      <w:r>
        <w:rPr>
          <w:color w:val="231F20"/>
          <w:spacing w:val="-3"/>
        </w:rPr>
        <w:t> копа);</w:t>
      </w:r>
    </w:p>
    <w:p>
      <w:pPr>
        <w:pStyle w:val="BodyText"/>
        <w:spacing w:line="228" w:lineRule="auto"/>
        <w:ind w:left="454" w:firstLine="396"/>
      </w:pPr>
      <w:r>
        <w:rPr>
          <w:color w:val="231F20"/>
          <w:w w:val="66"/>
        </w:rPr>
        <w:t> </w:t>
      </w:r>
      <w:r>
        <w:rPr>
          <w:color w:val="231F20"/>
        </w:rPr>
        <w:t>– лабораторијским и теренским испитивањима утврдити, са степеном поузданости од најмање 75%, геотехничке параметре за прорачун стабилности површинског копа;</w:t>
      </w:r>
    </w:p>
    <w:p>
      <w:pPr>
        <w:pStyle w:val="BodyText"/>
        <w:spacing w:line="228" w:lineRule="auto"/>
        <w:ind w:left="455" w:firstLine="396"/>
      </w:pPr>
      <w:r>
        <w:rPr>
          <w:color w:val="231F20"/>
          <w:w w:val="66"/>
        </w:rPr>
        <w:t> </w:t>
      </w:r>
      <w:r>
        <w:rPr>
          <w:color w:val="231F20"/>
        </w:rPr>
        <w:t>– у току експлоатације морају се проверавати геотехнички параметри на отвореним етажама, а нагибе радних косина</w:t>
      </w:r>
      <w:r>
        <w:rPr>
          <w:color w:val="231F20"/>
          <w:spacing w:val="-25"/>
        </w:rPr>
        <w:t> </w:t>
      </w:r>
      <w:r>
        <w:rPr>
          <w:color w:val="231F20"/>
        </w:rPr>
        <w:t>контро- лисати најмање једном у шест</w:t>
      </w:r>
      <w:r>
        <w:rPr>
          <w:color w:val="231F20"/>
          <w:spacing w:val="-3"/>
        </w:rPr>
        <w:t> </w:t>
      </w:r>
      <w:r>
        <w:rPr>
          <w:color w:val="231F20"/>
        </w:rPr>
        <w:t>месеци;</w:t>
      </w:r>
    </w:p>
    <w:p>
      <w:pPr>
        <w:pStyle w:val="BodyText"/>
        <w:spacing w:line="228" w:lineRule="auto"/>
        <w:ind w:left="454" w:firstLine="397"/>
      </w:pPr>
      <w:r>
        <w:rPr>
          <w:color w:val="231F20"/>
          <w:w w:val="66"/>
        </w:rPr>
        <w:t> </w:t>
      </w:r>
      <w:r>
        <w:rPr>
          <w:color w:val="231F20"/>
        </w:rPr>
        <w:t>–</w:t>
      </w:r>
      <w:r>
        <w:rPr>
          <w:color w:val="231F20"/>
          <w:spacing w:val="-8"/>
        </w:rPr>
        <w:t> </w:t>
      </w:r>
      <w:r>
        <w:rPr>
          <w:color w:val="231F20"/>
        </w:rPr>
        <w:t>коефицијент</w:t>
      </w:r>
      <w:r>
        <w:rPr>
          <w:color w:val="231F20"/>
          <w:spacing w:val="-7"/>
        </w:rPr>
        <w:t> </w:t>
      </w:r>
      <w:r>
        <w:rPr>
          <w:color w:val="231F20"/>
        </w:rPr>
        <w:t>стабилности</w:t>
      </w:r>
      <w:r>
        <w:rPr>
          <w:color w:val="231F20"/>
          <w:spacing w:val="-7"/>
        </w:rPr>
        <w:t> </w:t>
      </w:r>
      <w:r>
        <w:rPr>
          <w:color w:val="231F20"/>
        </w:rPr>
        <w:t>парцијалних</w:t>
      </w:r>
      <w:r>
        <w:rPr>
          <w:color w:val="231F20"/>
          <w:spacing w:val="-7"/>
        </w:rPr>
        <w:t> </w:t>
      </w:r>
      <w:r>
        <w:rPr>
          <w:color w:val="231F20"/>
        </w:rPr>
        <w:t>радних</w:t>
      </w:r>
      <w:r>
        <w:rPr>
          <w:color w:val="231F20"/>
          <w:spacing w:val="-7"/>
        </w:rPr>
        <w:t> </w:t>
      </w:r>
      <w:r>
        <w:rPr>
          <w:color w:val="231F20"/>
        </w:rPr>
        <w:t>косина</w:t>
      </w:r>
      <w:r>
        <w:rPr>
          <w:color w:val="231F20"/>
          <w:spacing w:val="-8"/>
        </w:rPr>
        <w:t> </w:t>
      </w:r>
      <w:r>
        <w:rPr>
          <w:color w:val="231F20"/>
        </w:rPr>
        <w:t>мора бити најмање</w:t>
      </w:r>
      <w:r>
        <w:rPr>
          <w:color w:val="231F20"/>
          <w:spacing w:val="-2"/>
        </w:rPr>
        <w:t> </w:t>
      </w:r>
      <w:r>
        <w:rPr>
          <w:color w:val="231F20"/>
        </w:rPr>
        <w:t>1,3;</w:t>
      </w:r>
    </w:p>
    <w:p>
      <w:pPr>
        <w:pStyle w:val="BodyText"/>
        <w:spacing w:line="228" w:lineRule="auto"/>
        <w:ind w:left="454" w:firstLine="396"/>
      </w:pPr>
      <w:r>
        <w:rPr>
          <w:color w:val="231F20"/>
          <w:w w:val="66"/>
        </w:rPr>
        <w:t> </w:t>
      </w:r>
      <w:r>
        <w:rPr>
          <w:color w:val="231F20"/>
        </w:rPr>
        <w:t>– </w:t>
      </w:r>
      <w:r>
        <w:rPr>
          <w:color w:val="231F20"/>
          <w:spacing w:val="-3"/>
        </w:rPr>
        <w:t>транспортне путеве </w:t>
      </w:r>
      <w:r>
        <w:rPr>
          <w:color w:val="231F20"/>
        </w:rPr>
        <w:t>у </w:t>
      </w:r>
      <w:r>
        <w:rPr>
          <w:color w:val="231F20"/>
          <w:spacing w:val="-5"/>
        </w:rPr>
        <w:t>копу </w:t>
      </w:r>
      <w:r>
        <w:rPr>
          <w:color w:val="231F20"/>
          <w:spacing w:val="-3"/>
        </w:rPr>
        <w:t>дефинисати </w:t>
      </w:r>
      <w:r>
        <w:rPr>
          <w:color w:val="231F20"/>
        </w:rPr>
        <w:t>на </w:t>
      </w:r>
      <w:r>
        <w:rPr>
          <w:color w:val="231F20"/>
          <w:spacing w:val="-3"/>
        </w:rPr>
        <w:t>основу доказане носивости </w:t>
      </w:r>
      <w:r>
        <w:rPr>
          <w:color w:val="231F20"/>
          <w:spacing w:val="-4"/>
        </w:rPr>
        <w:t>тла, </w:t>
      </w:r>
      <w:r>
        <w:rPr>
          <w:color w:val="231F20"/>
        </w:rPr>
        <w:t>а </w:t>
      </w:r>
      <w:r>
        <w:rPr>
          <w:color w:val="231F20"/>
          <w:spacing w:val="-3"/>
        </w:rPr>
        <w:t>интерне путеве (приступ етажама, постројењима    </w:t>
      </w:r>
      <w:r>
        <w:rPr>
          <w:color w:val="231F20"/>
        </w:rPr>
        <w:t>и </w:t>
      </w:r>
      <w:r>
        <w:rPr>
          <w:color w:val="231F20"/>
          <w:spacing w:val="-3"/>
        </w:rPr>
        <w:t>машинама) </w:t>
      </w:r>
      <w:r>
        <w:rPr>
          <w:color w:val="231F20"/>
          <w:spacing w:val="-4"/>
        </w:rPr>
        <w:t>изводити </w:t>
      </w:r>
      <w:r>
        <w:rPr>
          <w:color w:val="231F20"/>
        </w:rPr>
        <w:t>са </w:t>
      </w:r>
      <w:r>
        <w:rPr>
          <w:color w:val="231F20"/>
          <w:spacing w:val="-4"/>
        </w:rPr>
        <w:t>максималним нагибом </w:t>
      </w:r>
      <w:r>
        <w:rPr>
          <w:color w:val="231F20"/>
          <w:spacing w:val="-3"/>
        </w:rPr>
        <w:t>20°, </w:t>
      </w:r>
      <w:r>
        <w:rPr>
          <w:color w:val="231F20"/>
          <w:spacing w:val="-4"/>
        </w:rPr>
        <w:t>изузетно, </w:t>
      </w:r>
      <w:r>
        <w:rPr>
          <w:color w:val="231F20"/>
          <w:spacing w:val="-7"/>
        </w:rPr>
        <w:t>код </w:t>
      </w:r>
      <w:r>
        <w:rPr>
          <w:color w:val="231F20"/>
          <w:spacing w:val="-3"/>
        </w:rPr>
        <w:t>прилазних</w:t>
      </w:r>
      <w:r>
        <w:rPr>
          <w:color w:val="231F20"/>
          <w:spacing w:val="-7"/>
        </w:rPr>
        <w:t> </w:t>
      </w:r>
      <w:r>
        <w:rPr>
          <w:color w:val="231F20"/>
          <w:spacing w:val="-3"/>
        </w:rPr>
        <w:t>путева</w:t>
      </w:r>
      <w:r>
        <w:rPr>
          <w:color w:val="231F20"/>
          <w:spacing w:val="-7"/>
        </w:rPr>
        <w:t> </w:t>
      </w:r>
      <w:r>
        <w:rPr>
          <w:color w:val="231F20"/>
        </w:rPr>
        <w:t>по</w:t>
      </w:r>
      <w:r>
        <w:rPr>
          <w:color w:val="231F20"/>
          <w:spacing w:val="-7"/>
        </w:rPr>
        <w:t> </w:t>
      </w:r>
      <w:r>
        <w:rPr>
          <w:color w:val="231F20"/>
          <w:spacing w:val="-4"/>
        </w:rPr>
        <w:t>косинама</w:t>
      </w:r>
      <w:r>
        <w:rPr>
          <w:color w:val="231F20"/>
          <w:spacing w:val="-7"/>
        </w:rPr>
        <w:t> </w:t>
      </w:r>
      <w:r>
        <w:rPr>
          <w:color w:val="231F20"/>
        </w:rPr>
        <w:t>са</w:t>
      </w:r>
      <w:r>
        <w:rPr>
          <w:color w:val="231F20"/>
          <w:spacing w:val="-7"/>
        </w:rPr>
        <w:t> </w:t>
      </w:r>
      <w:r>
        <w:rPr>
          <w:color w:val="231F20"/>
          <w:spacing w:val="-3"/>
        </w:rPr>
        <w:t>већим</w:t>
      </w:r>
      <w:r>
        <w:rPr>
          <w:color w:val="231F20"/>
          <w:spacing w:val="-7"/>
        </w:rPr>
        <w:t> </w:t>
      </w:r>
      <w:r>
        <w:rPr>
          <w:color w:val="231F20"/>
          <w:spacing w:val="-3"/>
        </w:rPr>
        <w:t>нагибима</w:t>
      </w:r>
      <w:r>
        <w:rPr>
          <w:color w:val="231F20"/>
          <w:spacing w:val="-7"/>
        </w:rPr>
        <w:t> </w:t>
      </w:r>
      <w:r>
        <w:rPr>
          <w:color w:val="231F20"/>
          <w:spacing w:val="-3"/>
        </w:rPr>
        <w:t>предвидети</w:t>
      </w:r>
      <w:r>
        <w:rPr>
          <w:color w:val="231F20"/>
          <w:spacing w:val="-7"/>
        </w:rPr>
        <w:t> </w:t>
      </w:r>
      <w:r>
        <w:rPr>
          <w:color w:val="231F20"/>
          <w:spacing w:val="-3"/>
        </w:rPr>
        <w:t>степе- нице </w:t>
      </w:r>
      <w:r>
        <w:rPr>
          <w:color w:val="231F20"/>
        </w:rPr>
        <w:t>и </w:t>
      </w:r>
      <w:r>
        <w:rPr>
          <w:color w:val="231F20"/>
          <w:spacing w:val="-3"/>
        </w:rPr>
        <w:t>осигурање против пада </w:t>
      </w:r>
      <w:r>
        <w:rPr>
          <w:color w:val="231F20"/>
        </w:rPr>
        <w:t>низ </w:t>
      </w:r>
      <w:r>
        <w:rPr>
          <w:color w:val="231F20"/>
          <w:spacing w:val="-4"/>
        </w:rPr>
        <w:t>косину </w:t>
      </w:r>
      <w:r>
        <w:rPr>
          <w:color w:val="231F20"/>
        </w:rPr>
        <w:t>на </w:t>
      </w:r>
      <w:r>
        <w:rPr>
          <w:color w:val="231F20"/>
          <w:spacing w:val="-4"/>
        </w:rPr>
        <w:t>отвореној </w:t>
      </w:r>
      <w:r>
        <w:rPr>
          <w:color w:val="231F20"/>
          <w:spacing w:val="-3"/>
        </w:rPr>
        <w:t>страни</w:t>
      </w:r>
      <w:r>
        <w:rPr>
          <w:color w:val="231F20"/>
          <w:spacing w:val="-30"/>
        </w:rPr>
        <w:t> </w:t>
      </w:r>
      <w:r>
        <w:rPr>
          <w:color w:val="231F20"/>
        </w:rPr>
        <w:t>пута;</w:t>
      </w:r>
    </w:p>
    <w:p>
      <w:pPr>
        <w:pStyle w:val="BodyText"/>
        <w:spacing w:line="228" w:lineRule="auto"/>
        <w:ind w:left="454" w:firstLine="396"/>
      </w:pPr>
      <w:r>
        <w:rPr>
          <w:color w:val="231F20"/>
          <w:w w:val="66"/>
        </w:rPr>
        <w:t> </w:t>
      </w:r>
      <w:r>
        <w:rPr>
          <w:color w:val="231F20"/>
        </w:rPr>
        <w:t>–</w:t>
      </w:r>
      <w:r>
        <w:rPr>
          <w:color w:val="231F20"/>
          <w:spacing w:val="-6"/>
        </w:rPr>
        <w:t> </w:t>
      </w:r>
      <w:r>
        <w:rPr>
          <w:color w:val="231F20"/>
          <w:spacing w:val="-3"/>
        </w:rPr>
        <w:t>тло</w:t>
      </w:r>
      <w:r>
        <w:rPr>
          <w:color w:val="231F20"/>
          <w:spacing w:val="-6"/>
        </w:rPr>
        <w:t> </w:t>
      </w:r>
      <w:r>
        <w:rPr>
          <w:color w:val="231F20"/>
        </w:rPr>
        <w:t>на</w:t>
      </w:r>
      <w:r>
        <w:rPr>
          <w:color w:val="231F20"/>
          <w:spacing w:val="-6"/>
        </w:rPr>
        <w:t> </w:t>
      </w:r>
      <w:r>
        <w:rPr>
          <w:color w:val="231F20"/>
          <w:spacing w:val="-4"/>
        </w:rPr>
        <w:t>које</w:t>
      </w:r>
      <w:r>
        <w:rPr>
          <w:color w:val="231F20"/>
          <w:spacing w:val="-6"/>
        </w:rPr>
        <w:t> </w:t>
      </w:r>
      <w:r>
        <w:rPr>
          <w:color w:val="231F20"/>
        </w:rPr>
        <w:t>се</w:t>
      </w:r>
      <w:r>
        <w:rPr>
          <w:color w:val="231F20"/>
          <w:spacing w:val="-6"/>
        </w:rPr>
        <w:t> </w:t>
      </w:r>
      <w:r>
        <w:rPr>
          <w:color w:val="231F20"/>
        </w:rPr>
        <w:t>постављају</w:t>
      </w:r>
      <w:r>
        <w:rPr>
          <w:color w:val="231F20"/>
          <w:spacing w:val="-6"/>
        </w:rPr>
        <w:t> </w:t>
      </w:r>
      <w:r>
        <w:rPr>
          <w:color w:val="231F20"/>
        </w:rPr>
        <w:t>транспортери</w:t>
      </w:r>
      <w:r>
        <w:rPr>
          <w:color w:val="231F20"/>
          <w:spacing w:val="-6"/>
        </w:rPr>
        <w:t> </w:t>
      </w:r>
      <w:r>
        <w:rPr>
          <w:color w:val="231F20"/>
        </w:rPr>
        <w:t>са</w:t>
      </w:r>
      <w:r>
        <w:rPr>
          <w:color w:val="231F20"/>
          <w:spacing w:val="-6"/>
        </w:rPr>
        <w:t> </w:t>
      </w:r>
      <w:r>
        <w:rPr>
          <w:color w:val="231F20"/>
        </w:rPr>
        <w:t>гуменим</w:t>
      </w:r>
      <w:r>
        <w:rPr>
          <w:color w:val="231F20"/>
          <w:spacing w:val="-6"/>
        </w:rPr>
        <w:t> </w:t>
      </w:r>
      <w:r>
        <w:rPr>
          <w:color w:val="231F20"/>
        </w:rPr>
        <w:t>тракама мора</w:t>
      </w:r>
      <w:r>
        <w:rPr>
          <w:color w:val="231F20"/>
          <w:spacing w:val="-8"/>
        </w:rPr>
        <w:t> </w:t>
      </w:r>
      <w:r>
        <w:rPr>
          <w:color w:val="231F20"/>
        </w:rPr>
        <w:t>бити</w:t>
      </w:r>
      <w:r>
        <w:rPr>
          <w:color w:val="231F20"/>
          <w:spacing w:val="-8"/>
        </w:rPr>
        <w:t> </w:t>
      </w:r>
      <w:r>
        <w:rPr>
          <w:color w:val="231F20"/>
          <w:spacing w:val="-3"/>
        </w:rPr>
        <w:t>одговарајуће</w:t>
      </w:r>
      <w:r>
        <w:rPr>
          <w:color w:val="231F20"/>
          <w:spacing w:val="-8"/>
        </w:rPr>
        <w:t> </w:t>
      </w:r>
      <w:r>
        <w:rPr>
          <w:color w:val="231F20"/>
        </w:rPr>
        <w:t>носивости,</w:t>
      </w:r>
      <w:r>
        <w:rPr>
          <w:color w:val="231F20"/>
          <w:spacing w:val="-8"/>
        </w:rPr>
        <w:t> </w:t>
      </w:r>
      <w:r>
        <w:rPr>
          <w:color w:val="231F20"/>
          <w:spacing w:val="-3"/>
        </w:rPr>
        <w:t>одводњено,</w:t>
      </w:r>
      <w:r>
        <w:rPr>
          <w:color w:val="231F20"/>
          <w:spacing w:val="-8"/>
        </w:rPr>
        <w:t> </w:t>
      </w:r>
      <w:r>
        <w:rPr>
          <w:color w:val="231F20"/>
        </w:rPr>
        <w:t>обезбеђено</w:t>
      </w:r>
      <w:r>
        <w:rPr>
          <w:color w:val="231F20"/>
          <w:spacing w:val="-8"/>
        </w:rPr>
        <w:t> </w:t>
      </w:r>
      <w:r>
        <w:rPr>
          <w:color w:val="231F20"/>
          <w:spacing w:val="-4"/>
        </w:rPr>
        <w:t>од</w:t>
      </w:r>
      <w:r>
        <w:rPr>
          <w:color w:val="231F20"/>
          <w:spacing w:val="-9"/>
        </w:rPr>
        <w:t> </w:t>
      </w:r>
      <w:r>
        <w:rPr>
          <w:color w:val="231F20"/>
        </w:rPr>
        <w:t>пота- пања и заштићено објектима </w:t>
      </w:r>
      <w:r>
        <w:rPr>
          <w:color w:val="231F20"/>
          <w:spacing w:val="-3"/>
        </w:rPr>
        <w:t>одводњавања </w:t>
      </w:r>
      <w:r>
        <w:rPr>
          <w:color w:val="231F20"/>
          <w:spacing w:val="-4"/>
        </w:rPr>
        <w:t>од </w:t>
      </w:r>
      <w:r>
        <w:rPr>
          <w:color w:val="231F20"/>
        </w:rPr>
        <w:t>површинских</w:t>
      </w:r>
      <w:r>
        <w:rPr>
          <w:color w:val="231F20"/>
          <w:spacing w:val="-23"/>
        </w:rPr>
        <w:t> </w:t>
      </w:r>
      <w:r>
        <w:rPr>
          <w:color w:val="231F20"/>
          <w:spacing w:val="-3"/>
        </w:rPr>
        <w:t>вода;</w:t>
      </w:r>
    </w:p>
    <w:p>
      <w:pPr>
        <w:pStyle w:val="BodyText"/>
        <w:spacing w:line="228" w:lineRule="auto"/>
        <w:ind w:left="454" w:firstLine="396"/>
      </w:pPr>
      <w:r>
        <w:rPr>
          <w:color w:val="231F20"/>
          <w:w w:val="66"/>
        </w:rPr>
        <w:t> </w:t>
      </w:r>
      <w:r>
        <w:rPr>
          <w:color w:val="231F20"/>
        </w:rPr>
        <w:t>– </w:t>
      </w:r>
      <w:r>
        <w:rPr>
          <w:color w:val="231F20"/>
          <w:spacing w:val="-3"/>
        </w:rPr>
        <w:t>одстојање најистуренијег </w:t>
      </w:r>
      <w:r>
        <w:rPr>
          <w:color w:val="231F20"/>
        </w:rPr>
        <w:t>дела транспортера на површин- </w:t>
      </w:r>
      <w:r>
        <w:rPr>
          <w:color w:val="231F20"/>
          <w:spacing w:val="-5"/>
        </w:rPr>
        <w:t>ском </w:t>
      </w:r>
      <w:r>
        <w:rPr>
          <w:color w:val="231F20"/>
          <w:spacing w:val="-4"/>
        </w:rPr>
        <w:t>копу од </w:t>
      </w:r>
      <w:r>
        <w:rPr>
          <w:color w:val="231F20"/>
        </w:rPr>
        <w:t>било </w:t>
      </w:r>
      <w:r>
        <w:rPr>
          <w:color w:val="231F20"/>
          <w:spacing w:val="-3"/>
        </w:rPr>
        <w:t>каквог чврстог </w:t>
      </w:r>
      <w:r>
        <w:rPr>
          <w:color w:val="231F20"/>
        </w:rPr>
        <w:t>предмета мора бити најмање 1,0 m,</w:t>
      </w:r>
      <w:r>
        <w:rPr>
          <w:color w:val="231F20"/>
          <w:spacing w:val="-7"/>
        </w:rPr>
        <w:t> </w:t>
      </w:r>
      <w:r>
        <w:rPr>
          <w:color w:val="231F20"/>
        </w:rPr>
        <w:t>а</w:t>
      </w:r>
      <w:r>
        <w:rPr>
          <w:color w:val="231F20"/>
          <w:spacing w:val="-7"/>
        </w:rPr>
        <w:t> </w:t>
      </w:r>
      <w:r>
        <w:rPr>
          <w:color w:val="231F20"/>
          <w:spacing w:val="-3"/>
        </w:rPr>
        <w:t>растојање</w:t>
      </w:r>
      <w:r>
        <w:rPr>
          <w:color w:val="231F20"/>
          <w:spacing w:val="-7"/>
        </w:rPr>
        <w:t> </w:t>
      </w:r>
      <w:r>
        <w:rPr>
          <w:color w:val="231F20"/>
          <w:spacing w:val="-4"/>
        </w:rPr>
        <w:t>од</w:t>
      </w:r>
      <w:r>
        <w:rPr>
          <w:color w:val="231F20"/>
          <w:spacing w:val="-7"/>
        </w:rPr>
        <w:t> </w:t>
      </w:r>
      <w:r>
        <w:rPr>
          <w:color w:val="231F20"/>
        </w:rPr>
        <w:t>ивице</w:t>
      </w:r>
      <w:r>
        <w:rPr>
          <w:color w:val="231F20"/>
          <w:spacing w:val="-7"/>
        </w:rPr>
        <w:t> </w:t>
      </w:r>
      <w:r>
        <w:rPr>
          <w:color w:val="231F20"/>
        </w:rPr>
        <w:t>етаже</w:t>
      </w:r>
      <w:r>
        <w:rPr>
          <w:color w:val="231F20"/>
          <w:spacing w:val="-7"/>
        </w:rPr>
        <w:t> </w:t>
      </w:r>
      <w:r>
        <w:rPr>
          <w:color w:val="231F20"/>
        </w:rPr>
        <w:t>мора</w:t>
      </w:r>
      <w:r>
        <w:rPr>
          <w:color w:val="231F20"/>
          <w:spacing w:val="-7"/>
        </w:rPr>
        <w:t> </w:t>
      </w:r>
      <w:r>
        <w:rPr>
          <w:color w:val="231F20"/>
        </w:rPr>
        <w:t>бити</w:t>
      </w:r>
      <w:r>
        <w:rPr>
          <w:color w:val="231F20"/>
          <w:spacing w:val="-7"/>
        </w:rPr>
        <w:t> </w:t>
      </w:r>
      <w:r>
        <w:rPr>
          <w:color w:val="231F20"/>
        </w:rPr>
        <w:t>веће</w:t>
      </w:r>
      <w:r>
        <w:rPr>
          <w:color w:val="231F20"/>
          <w:spacing w:val="-7"/>
        </w:rPr>
        <w:t> </w:t>
      </w:r>
      <w:r>
        <w:rPr>
          <w:color w:val="231F20"/>
          <w:spacing w:val="-4"/>
        </w:rPr>
        <w:t>од</w:t>
      </w:r>
      <w:r>
        <w:rPr>
          <w:color w:val="231F20"/>
          <w:spacing w:val="-7"/>
        </w:rPr>
        <w:t> </w:t>
      </w:r>
      <w:r>
        <w:rPr>
          <w:color w:val="231F20"/>
          <w:spacing w:val="-3"/>
        </w:rPr>
        <w:t>круга</w:t>
      </w:r>
      <w:r>
        <w:rPr>
          <w:color w:val="231F20"/>
          <w:spacing w:val="-7"/>
        </w:rPr>
        <w:t> </w:t>
      </w:r>
      <w:r>
        <w:rPr>
          <w:color w:val="231F20"/>
          <w:spacing w:val="-3"/>
        </w:rPr>
        <w:t>зарушавања;</w:t>
      </w:r>
    </w:p>
    <w:p>
      <w:pPr>
        <w:pStyle w:val="BodyText"/>
        <w:spacing w:line="228" w:lineRule="auto"/>
        <w:ind w:left="455" w:firstLine="397"/>
      </w:pPr>
      <w:r>
        <w:rPr>
          <w:color w:val="231F20"/>
          <w:w w:val="66"/>
        </w:rPr>
        <w:t> </w:t>
      </w:r>
      <w:r>
        <w:rPr>
          <w:color w:val="231F20"/>
        </w:rPr>
        <w:t>– транспортери при превозу материјала косим трасама</w:t>
      </w:r>
      <w:r>
        <w:rPr>
          <w:color w:val="231F20"/>
          <w:spacing w:val="-22"/>
        </w:rPr>
        <w:t> </w:t>
      </w:r>
      <w:r>
        <w:rPr>
          <w:color w:val="231F20"/>
        </w:rPr>
        <w:t>изнад 5° морају имати уређај за </w:t>
      </w:r>
      <w:r>
        <w:rPr>
          <w:color w:val="231F20"/>
          <w:spacing w:val="-4"/>
        </w:rPr>
        <w:t>аутоматско </w:t>
      </w:r>
      <w:r>
        <w:rPr>
          <w:color w:val="231F20"/>
        </w:rPr>
        <w:t>заустављање у случају не- станка погонске енергије, а елементи трења </w:t>
      </w:r>
      <w:r>
        <w:rPr>
          <w:color w:val="231F20"/>
          <w:spacing w:val="-3"/>
        </w:rPr>
        <w:t>кочнице </w:t>
      </w:r>
      <w:r>
        <w:rPr>
          <w:color w:val="231F20"/>
        </w:rPr>
        <w:t>морају бити израђени</w:t>
      </w:r>
      <w:r>
        <w:rPr>
          <w:color w:val="231F20"/>
          <w:spacing w:val="-9"/>
        </w:rPr>
        <w:t> </w:t>
      </w:r>
      <w:r>
        <w:rPr>
          <w:color w:val="231F20"/>
          <w:spacing w:val="-3"/>
        </w:rPr>
        <w:t>од</w:t>
      </w:r>
      <w:r>
        <w:rPr>
          <w:color w:val="231F20"/>
          <w:spacing w:val="-9"/>
        </w:rPr>
        <w:t> </w:t>
      </w:r>
      <w:r>
        <w:rPr>
          <w:color w:val="231F20"/>
        </w:rPr>
        <w:t>незапаљивог</w:t>
      </w:r>
      <w:r>
        <w:rPr>
          <w:color w:val="231F20"/>
          <w:spacing w:val="-9"/>
        </w:rPr>
        <w:t> </w:t>
      </w:r>
      <w:r>
        <w:rPr>
          <w:color w:val="231F20"/>
        </w:rPr>
        <w:t>материјала</w:t>
      </w:r>
      <w:r>
        <w:rPr>
          <w:color w:val="231F20"/>
          <w:spacing w:val="-9"/>
        </w:rPr>
        <w:t> </w:t>
      </w:r>
      <w:r>
        <w:rPr>
          <w:color w:val="231F20"/>
        </w:rPr>
        <w:t>по</w:t>
      </w:r>
      <w:r>
        <w:rPr>
          <w:color w:val="231F20"/>
          <w:spacing w:val="-9"/>
        </w:rPr>
        <w:t> </w:t>
      </w:r>
      <w:r>
        <w:rPr>
          <w:color w:val="231F20"/>
        </w:rPr>
        <w:t>којем</w:t>
      </w:r>
      <w:r>
        <w:rPr>
          <w:color w:val="231F20"/>
          <w:spacing w:val="-9"/>
        </w:rPr>
        <w:t> </w:t>
      </w:r>
      <w:r>
        <w:rPr>
          <w:color w:val="231F20"/>
        </w:rPr>
        <w:t>се</w:t>
      </w:r>
      <w:r>
        <w:rPr>
          <w:color w:val="231F20"/>
          <w:spacing w:val="-9"/>
        </w:rPr>
        <w:t> </w:t>
      </w:r>
      <w:r>
        <w:rPr>
          <w:color w:val="231F20"/>
        </w:rPr>
        <w:t>не</w:t>
      </w:r>
      <w:r>
        <w:rPr>
          <w:color w:val="231F20"/>
          <w:spacing w:val="-9"/>
        </w:rPr>
        <w:t> </w:t>
      </w:r>
      <w:r>
        <w:rPr>
          <w:color w:val="231F20"/>
        </w:rPr>
        <w:t>може</w:t>
      </w:r>
      <w:r>
        <w:rPr>
          <w:color w:val="231F20"/>
          <w:spacing w:val="-9"/>
        </w:rPr>
        <w:t> </w:t>
      </w:r>
      <w:r>
        <w:rPr>
          <w:color w:val="231F20"/>
        </w:rPr>
        <w:t>сакупља- ти статички</w:t>
      </w:r>
      <w:r>
        <w:rPr>
          <w:color w:val="231F20"/>
          <w:spacing w:val="-1"/>
        </w:rPr>
        <w:t> </w:t>
      </w:r>
      <w:r>
        <w:rPr>
          <w:color w:val="231F20"/>
        </w:rPr>
        <w:t>електрицитет;</w:t>
      </w:r>
    </w:p>
    <w:p>
      <w:pPr>
        <w:pStyle w:val="BodyText"/>
        <w:spacing w:line="228" w:lineRule="auto"/>
        <w:ind w:left="455" w:firstLine="396"/>
      </w:pPr>
      <w:r>
        <w:rPr>
          <w:color w:val="231F20"/>
          <w:w w:val="66"/>
        </w:rPr>
        <w:t> </w:t>
      </w:r>
      <w:r>
        <w:rPr>
          <w:color w:val="231F20"/>
        </w:rPr>
        <w:t>– за прелаз запосленог особља преко транспортера, на 500 m растојања, морају бити постављени прелази ширине најмање 0,8 m, обезбеђени оградом и рукохватима;</w:t>
      </w:r>
    </w:p>
    <w:p>
      <w:pPr>
        <w:pStyle w:val="BodyText"/>
        <w:spacing w:line="228" w:lineRule="auto"/>
        <w:ind w:left="455" w:firstLine="397"/>
      </w:pPr>
      <w:r>
        <w:rPr>
          <w:color w:val="231F20"/>
          <w:w w:val="66"/>
        </w:rPr>
        <w:t> </w:t>
      </w:r>
      <w:r>
        <w:rPr>
          <w:color w:val="231F20"/>
        </w:rPr>
        <w:t>– угао нагиба транспортера са </w:t>
      </w:r>
      <w:r>
        <w:rPr>
          <w:color w:val="231F20"/>
          <w:spacing w:val="-5"/>
        </w:rPr>
        <w:t>глатком </w:t>
      </w:r>
      <w:r>
        <w:rPr>
          <w:color w:val="231F20"/>
        </w:rPr>
        <w:t>транспортном </w:t>
      </w:r>
      <w:r>
        <w:rPr>
          <w:color w:val="231F20"/>
          <w:spacing w:val="-3"/>
        </w:rPr>
        <w:t>траком </w:t>
      </w:r>
      <w:r>
        <w:rPr>
          <w:color w:val="231F20"/>
        </w:rPr>
        <w:t>при</w:t>
      </w:r>
      <w:r>
        <w:rPr>
          <w:color w:val="231F20"/>
          <w:spacing w:val="-4"/>
        </w:rPr>
        <w:t> </w:t>
      </w:r>
      <w:r>
        <w:rPr>
          <w:color w:val="231F20"/>
        </w:rPr>
        <w:t>подизању</w:t>
      </w:r>
      <w:r>
        <w:rPr>
          <w:color w:val="231F20"/>
          <w:spacing w:val="-4"/>
        </w:rPr>
        <w:t> </w:t>
      </w:r>
      <w:r>
        <w:rPr>
          <w:color w:val="231F20"/>
        </w:rPr>
        <w:t>материјала</w:t>
      </w:r>
      <w:r>
        <w:rPr>
          <w:color w:val="231F20"/>
          <w:spacing w:val="-4"/>
        </w:rPr>
        <w:t> </w:t>
      </w:r>
      <w:r>
        <w:rPr>
          <w:color w:val="231F20"/>
        </w:rPr>
        <w:t>може</w:t>
      </w:r>
      <w:r>
        <w:rPr>
          <w:color w:val="231F20"/>
          <w:spacing w:val="-4"/>
        </w:rPr>
        <w:t> </w:t>
      </w:r>
      <w:r>
        <w:rPr>
          <w:color w:val="231F20"/>
        </w:rPr>
        <w:t>бити</w:t>
      </w:r>
      <w:r>
        <w:rPr>
          <w:color w:val="231F20"/>
          <w:spacing w:val="-4"/>
        </w:rPr>
        <w:t> </w:t>
      </w:r>
      <w:r>
        <w:rPr>
          <w:color w:val="231F20"/>
        </w:rPr>
        <w:t>највише</w:t>
      </w:r>
      <w:r>
        <w:rPr>
          <w:color w:val="231F20"/>
          <w:spacing w:val="-4"/>
        </w:rPr>
        <w:t> </w:t>
      </w:r>
      <w:r>
        <w:rPr>
          <w:color w:val="231F20"/>
        </w:rPr>
        <w:t>18°,</w:t>
      </w:r>
      <w:r>
        <w:rPr>
          <w:color w:val="231F20"/>
          <w:spacing w:val="-4"/>
        </w:rPr>
        <w:t> </w:t>
      </w:r>
      <w:r>
        <w:rPr>
          <w:color w:val="231F20"/>
        </w:rPr>
        <w:t>а</w:t>
      </w:r>
      <w:r>
        <w:rPr>
          <w:color w:val="231F20"/>
          <w:spacing w:val="-4"/>
        </w:rPr>
        <w:t> </w:t>
      </w:r>
      <w:r>
        <w:rPr>
          <w:color w:val="231F20"/>
        </w:rPr>
        <w:t>при</w:t>
      </w:r>
      <w:r>
        <w:rPr>
          <w:color w:val="231F20"/>
          <w:spacing w:val="-4"/>
        </w:rPr>
        <w:t> </w:t>
      </w:r>
      <w:r>
        <w:rPr>
          <w:color w:val="231F20"/>
        </w:rPr>
        <w:t>спуштању материјала највише 15°</w:t>
      </w:r>
      <w:r>
        <w:rPr>
          <w:color w:val="231F20"/>
          <w:spacing w:val="-3"/>
        </w:rPr>
        <w:t> </w:t>
      </w:r>
      <w:r>
        <w:rPr>
          <w:color w:val="231F20"/>
        </w:rPr>
        <w:t>и</w:t>
      </w:r>
    </w:p>
    <w:p>
      <w:pPr>
        <w:pStyle w:val="BodyText"/>
        <w:spacing w:line="228" w:lineRule="auto"/>
        <w:ind w:left="454" w:firstLine="397"/>
      </w:pPr>
      <w:r>
        <w:rPr>
          <w:color w:val="231F20"/>
          <w:w w:val="66"/>
        </w:rPr>
        <w:t> </w:t>
      </w:r>
      <w:r>
        <w:rPr>
          <w:color w:val="231F20"/>
        </w:rPr>
        <w:t>– на основу Правилника о техничким нормативима за повр- шинску експлоатацију лежишта минералних сировина, радна ме- ста на транспортеру, као и цела траса транспортера, морају бити осветљена при ноћном раду и слабој видљивости.</w:t>
      </w:r>
    </w:p>
    <w:p>
      <w:pPr>
        <w:pStyle w:val="BodyText"/>
        <w:spacing w:before="158"/>
        <w:ind w:left="2042"/>
        <w:jc w:val="left"/>
      </w:pPr>
      <w:r>
        <w:rPr>
          <w:color w:val="231F20"/>
        </w:rPr>
        <w:t>Унутрашње одлагалиште</w:t>
      </w:r>
    </w:p>
    <w:p>
      <w:pPr>
        <w:pStyle w:val="BodyText"/>
        <w:spacing w:before="10"/>
        <w:ind w:left="0"/>
        <w:jc w:val="left"/>
        <w:rPr>
          <w:sz w:val="16"/>
        </w:rPr>
      </w:pPr>
    </w:p>
    <w:p>
      <w:pPr>
        <w:pStyle w:val="BodyText"/>
        <w:spacing w:line="228" w:lineRule="auto"/>
        <w:ind w:left="454" w:right="1" w:firstLine="396"/>
      </w:pPr>
      <w:r>
        <w:rPr>
          <w:color w:val="231F20"/>
        </w:rPr>
        <w:t>Утврђују се следећа правила уређења за унутрашње одлага- лиште површинског копа „Дрмно”:</w:t>
      </w:r>
    </w:p>
    <w:p>
      <w:pPr>
        <w:pStyle w:val="BodyText"/>
        <w:spacing w:line="228" w:lineRule="auto"/>
        <w:ind w:left="454" w:firstLine="396"/>
      </w:pPr>
      <w:r>
        <w:rPr>
          <w:color w:val="231F20"/>
          <w:w w:val="66"/>
        </w:rPr>
        <w:t> </w:t>
      </w:r>
      <w:r>
        <w:rPr>
          <w:color w:val="231F20"/>
        </w:rPr>
        <w:t>– на делу обухваћених површина иза фронта напредовања копа, формира се унутрашње одлагалиште јаловине, а по форми- рању завршних контура одлагалишта предузеће се радови на ње- говој рекултивацији;</w:t>
      </w:r>
    </w:p>
    <w:p>
      <w:pPr>
        <w:pStyle w:val="BodyText"/>
        <w:spacing w:line="228" w:lineRule="auto"/>
        <w:ind w:left="454" w:firstLine="396"/>
      </w:pPr>
      <w:r>
        <w:rPr>
          <w:color w:val="231F20"/>
          <w:w w:val="66"/>
        </w:rPr>
        <w:t> </w:t>
      </w:r>
      <w:r>
        <w:rPr>
          <w:color w:val="231F20"/>
        </w:rPr>
        <w:t>– висине платоа </w:t>
      </w:r>
      <w:r>
        <w:rPr>
          <w:color w:val="231F20"/>
          <w:spacing w:val="-3"/>
        </w:rPr>
        <w:t>коначно </w:t>
      </w:r>
      <w:r>
        <w:rPr>
          <w:color w:val="231F20"/>
        </w:rPr>
        <w:t>формираног одлагалишта су </w:t>
      </w:r>
      <w:r>
        <w:rPr>
          <w:color w:val="231F20"/>
          <w:spacing w:val="-3"/>
        </w:rPr>
        <w:t>од </w:t>
      </w:r>
      <w:r>
        <w:rPr>
          <w:color w:val="231F20"/>
        </w:rPr>
        <w:t>105 mнм до 121 mнм, а евентуална одступања су могућа само на</w:t>
      </w:r>
      <w:r>
        <w:rPr>
          <w:color w:val="231F20"/>
          <w:spacing w:val="-21"/>
        </w:rPr>
        <w:t> </w:t>
      </w:r>
      <w:r>
        <w:rPr>
          <w:color w:val="231F20"/>
        </w:rPr>
        <w:t>осно- </w:t>
      </w:r>
      <w:r>
        <w:rPr>
          <w:color w:val="231F20"/>
          <w:spacing w:val="-4"/>
        </w:rPr>
        <w:t>ву </w:t>
      </w:r>
      <w:r>
        <w:rPr>
          <w:color w:val="231F20"/>
        </w:rPr>
        <w:t>опсежних истражних радова, прорачуна стабилности и техное- кономских</w:t>
      </w:r>
      <w:r>
        <w:rPr>
          <w:color w:val="231F20"/>
          <w:spacing w:val="-1"/>
        </w:rPr>
        <w:t> </w:t>
      </w:r>
      <w:r>
        <w:rPr>
          <w:color w:val="231F20"/>
        </w:rPr>
        <w:t>анализа;</w:t>
      </w:r>
    </w:p>
    <w:p>
      <w:pPr>
        <w:pStyle w:val="BodyText"/>
        <w:spacing w:line="232" w:lineRule="auto"/>
        <w:ind w:left="453" w:right="1" w:firstLine="397"/>
      </w:pPr>
      <w:r>
        <w:rPr>
          <w:color w:val="231F20"/>
          <w:w w:val="66"/>
        </w:rPr>
        <w:t> </w:t>
      </w:r>
      <w:r>
        <w:rPr>
          <w:color w:val="231F20"/>
        </w:rPr>
        <w:t>–</w:t>
      </w:r>
      <w:r>
        <w:rPr>
          <w:color w:val="231F20"/>
          <w:spacing w:val="-8"/>
        </w:rPr>
        <w:t> </w:t>
      </w:r>
      <w:r>
        <w:rPr>
          <w:color w:val="231F20"/>
        </w:rPr>
        <w:t>на</w:t>
      </w:r>
      <w:r>
        <w:rPr>
          <w:color w:val="231F20"/>
          <w:spacing w:val="-8"/>
        </w:rPr>
        <w:t> </w:t>
      </w:r>
      <w:r>
        <w:rPr>
          <w:color w:val="231F20"/>
        </w:rPr>
        <w:t>делу</w:t>
      </w:r>
      <w:r>
        <w:rPr>
          <w:color w:val="231F20"/>
          <w:spacing w:val="-8"/>
        </w:rPr>
        <w:t> </w:t>
      </w:r>
      <w:r>
        <w:rPr>
          <w:color w:val="231F20"/>
        </w:rPr>
        <w:t>старог</w:t>
      </w:r>
      <w:r>
        <w:rPr>
          <w:color w:val="231F20"/>
          <w:spacing w:val="-8"/>
        </w:rPr>
        <w:t> </w:t>
      </w:r>
      <w:r>
        <w:rPr>
          <w:color w:val="231F20"/>
        </w:rPr>
        <w:t>одлагалишта</w:t>
      </w:r>
      <w:r>
        <w:rPr>
          <w:color w:val="231F20"/>
          <w:spacing w:val="-8"/>
        </w:rPr>
        <w:t> </w:t>
      </w:r>
      <w:r>
        <w:rPr>
          <w:color w:val="231F20"/>
        </w:rPr>
        <w:t>у</w:t>
      </w:r>
      <w:r>
        <w:rPr>
          <w:color w:val="231F20"/>
          <w:spacing w:val="-8"/>
        </w:rPr>
        <w:t> </w:t>
      </w:r>
      <w:r>
        <w:rPr>
          <w:color w:val="231F20"/>
        </w:rPr>
        <w:t>зони</w:t>
      </w:r>
      <w:r>
        <w:rPr>
          <w:color w:val="231F20"/>
          <w:spacing w:val="-8"/>
        </w:rPr>
        <w:t> </w:t>
      </w:r>
      <w:r>
        <w:rPr>
          <w:color w:val="231F20"/>
        </w:rPr>
        <w:t>села</w:t>
      </w:r>
      <w:r>
        <w:rPr>
          <w:color w:val="231F20"/>
          <w:spacing w:val="-8"/>
        </w:rPr>
        <w:t> </w:t>
      </w:r>
      <w:r>
        <w:rPr>
          <w:color w:val="231F20"/>
        </w:rPr>
        <w:t>Дрмно</w:t>
      </w:r>
      <w:r>
        <w:rPr>
          <w:color w:val="231F20"/>
          <w:position w:val="6"/>
          <w:sz w:val="10"/>
        </w:rPr>
        <w:t>8</w:t>
      </w:r>
      <w:r>
        <w:rPr>
          <w:color w:val="231F20"/>
        </w:rPr>
        <w:t>,</w:t>
      </w:r>
      <w:r>
        <w:rPr>
          <w:color w:val="231F20"/>
          <w:spacing w:val="-8"/>
        </w:rPr>
        <w:t> </w:t>
      </w:r>
      <w:r>
        <w:rPr>
          <w:color w:val="231F20"/>
        </w:rPr>
        <w:t>на</w:t>
      </w:r>
      <w:r>
        <w:rPr>
          <w:color w:val="231F20"/>
          <w:spacing w:val="-8"/>
        </w:rPr>
        <w:t> </w:t>
      </w:r>
      <w:r>
        <w:rPr>
          <w:color w:val="231F20"/>
        </w:rPr>
        <w:t>делу</w:t>
      </w:r>
      <w:r>
        <w:rPr>
          <w:color w:val="231F20"/>
          <w:spacing w:val="-8"/>
        </w:rPr>
        <w:t> </w:t>
      </w:r>
      <w:r>
        <w:rPr>
          <w:color w:val="231F20"/>
          <w:spacing w:val="-4"/>
        </w:rPr>
        <w:t>где </w:t>
      </w:r>
      <w:r>
        <w:rPr>
          <w:color w:val="231F20"/>
        </w:rPr>
        <w:t>је у </w:t>
      </w:r>
      <w:r>
        <w:rPr>
          <w:color w:val="231F20"/>
          <w:spacing w:val="-3"/>
        </w:rPr>
        <w:t>претходном </w:t>
      </w:r>
      <w:r>
        <w:rPr>
          <w:color w:val="231F20"/>
        </w:rPr>
        <w:t>периоду прекинуто одлагање висинских</w:t>
      </w:r>
      <w:r>
        <w:rPr>
          <w:color w:val="231F20"/>
          <w:spacing w:val="15"/>
        </w:rPr>
        <w:t> </w:t>
      </w:r>
      <w:r>
        <w:rPr>
          <w:color w:val="231F20"/>
          <w:spacing w:val="-3"/>
        </w:rPr>
        <w:t>блокова,</w:t>
      </w:r>
    </w:p>
    <w:p>
      <w:pPr>
        <w:spacing w:line="152"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738" w:val="left" w:leader="none"/>
        </w:tabs>
        <w:spacing w:line="240" w:lineRule="auto" w:before="0" w:after="0"/>
        <w:ind w:left="737" w:right="1" w:hanging="284"/>
        <w:jc w:val="both"/>
        <w:rPr>
          <w:sz w:val="14"/>
        </w:rPr>
      </w:pPr>
      <w:r>
        <w:rPr>
          <w:color w:val="231F20"/>
          <w:sz w:val="14"/>
        </w:rPr>
        <w:t>Према </w:t>
      </w:r>
      <w:r>
        <w:rPr>
          <w:color w:val="231F20"/>
          <w:spacing w:val="-3"/>
          <w:sz w:val="14"/>
        </w:rPr>
        <w:t>Упрошћеном рударском </w:t>
      </w:r>
      <w:r>
        <w:rPr>
          <w:color w:val="231F20"/>
          <w:sz w:val="14"/>
        </w:rPr>
        <w:t>пројекту одлагања откривке V БТО системом на унутрашњем</w:t>
      </w:r>
      <w:r>
        <w:rPr>
          <w:color w:val="231F20"/>
          <w:spacing w:val="-4"/>
          <w:sz w:val="14"/>
        </w:rPr>
        <w:t> </w:t>
      </w:r>
      <w:r>
        <w:rPr>
          <w:color w:val="231F20"/>
          <w:sz w:val="14"/>
        </w:rPr>
        <w:t>одлагалишту</w:t>
      </w:r>
      <w:r>
        <w:rPr>
          <w:color w:val="231F20"/>
          <w:spacing w:val="-4"/>
          <w:sz w:val="14"/>
        </w:rPr>
        <w:t> </w:t>
      </w:r>
      <w:r>
        <w:rPr>
          <w:color w:val="231F20"/>
          <w:sz w:val="14"/>
        </w:rPr>
        <w:t>ПК</w:t>
      </w:r>
      <w:r>
        <w:rPr>
          <w:color w:val="231F20"/>
          <w:spacing w:val="-4"/>
          <w:sz w:val="14"/>
        </w:rPr>
        <w:t> </w:t>
      </w:r>
      <w:r>
        <w:rPr>
          <w:color w:val="231F20"/>
          <w:sz w:val="14"/>
        </w:rPr>
        <w:t>“Дрмно”,</w:t>
      </w:r>
      <w:r>
        <w:rPr>
          <w:color w:val="231F20"/>
          <w:spacing w:val="-4"/>
          <w:sz w:val="14"/>
        </w:rPr>
        <w:t> </w:t>
      </w:r>
      <w:r>
        <w:rPr>
          <w:color w:val="231F20"/>
          <w:sz w:val="14"/>
        </w:rPr>
        <w:t>РГФ,</w:t>
      </w:r>
      <w:r>
        <w:rPr>
          <w:color w:val="231F20"/>
          <w:spacing w:val="-4"/>
          <w:sz w:val="14"/>
        </w:rPr>
        <w:t> </w:t>
      </w:r>
      <w:r>
        <w:rPr>
          <w:color w:val="231F20"/>
          <w:sz w:val="14"/>
        </w:rPr>
        <w:t>2010.</w:t>
      </w:r>
      <w:r>
        <w:rPr>
          <w:color w:val="231F20"/>
          <w:spacing w:val="-4"/>
          <w:sz w:val="14"/>
        </w:rPr>
        <w:t> </w:t>
      </w:r>
      <w:r>
        <w:rPr>
          <w:color w:val="231F20"/>
          <w:sz w:val="14"/>
        </w:rPr>
        <w:t>године,</w:t>
      </w:r>
      <w:r>
        <w:rPr>
          <w:color w:val="231F20"/>
          <w:spacing w:val="-4"/>
          <w:sz w:val="14"/>
        </w:rPr>
        <w:t> </w:t>
      </w:r>
      <w:r>
        <w:rPr>
          <w:color w:val="231F20"/>
          <w:sz w:val="14"/>
        </w:rPr>
        <w:t>на</w:t>
      </w:r>
      <w:r>
        <w:rPr>
          <w:color w:val="231F20"/>
          <w:spacing w:val="-4"/>
          <w:sz w:val="14"/>
        </w:rPr>
        <w:t> </w:t>
      </w:r>
      <w:r>
        <w:rPr>
          <w:color w:val="231F20"/>
          <w:sz w:val="14"/>
        </w:rPr>
        <w:t>делу</w:t>
      </w:r>
      <w:r>
        <w:rPr>
          <w:color w:val="231F20"/>
          <w:spacing w:val="-4"/>
          <w:sz w:val="14"/>
        </w:rPr>
        <w:t> </w:t>
      </w:r>
      <w:r>
        <w:rPr>
          <w:color w:val="231F20"/>
          <w:sz w:val="14"/>
        </w:rPr>
        <w:t>старог</w:t>
      </w:r>
      <w:r>
        <w:rPr>
          <w:color w:val="231F20"/>
          <w:spacing w:val="-4"/>
          <w:sz w:val="14"/>
        </w:rPr>
        <w:t> </w:t>
      </w:r>
      <w:r>
        <w:rPr>
          <w:color w:val="231F20"/>
          <w:sz w:val="14"/>
        </w:rPr>
        <w:t>одла- галишта у зони села Дрмно, </w:t>
      </w:r>
      <w:r>
        <w:rPr>
          <w:color w:val="231F20"/>
          <w:spacing w:val="-3"/>
          <w:sz w:val="14"/>
        </w:rPr>
        <w:t>где </w:t>
      </w:r>
      <w:r>
        <w:rPr>
          <w:color w:val="231F20"/>
          <w:sz w:val="14"/>
        </w:rPr>
        <w:t>је дошло до одступања </w:t>
      </w:r>
      <w:r>
        <w:rPr>
          <w:color w:val="231F20"/>
          <w:spacing w:val="-3"/>
          <w:sz w:val="14"/>
        </w:rPr>
        <w:t>од </w:t>
      </w:r>
      <w:r>
        <w:rPr>
          <w:color w:val="231F20"/>
          <w:sz w:val="14"/>
        </w:rPr>
        <w:t>пројектоване техно- логије (одлагање радијалним радом и формирањем дубинског блока до </w:t>
      </w:r>
      <w:r>
        <w:rPr>
          <w:color w:val="231F20"/>
          <w:spacing w:val="-3"/>
          <w:sz w:val="14"/>
        </w:rPr>
        <w:t>коте </w:t>
      </w:r>
      <w:r>
        <w:rPr>
          <w:color w:val="231F20"/>
          <w:sz w:val="14"/>
        </w:rPr>
        <w:t>90 mнм, и висинског блока до </w:t>
      </w:r>
      <w:r>
        <w:rPr>
          <w:color w:val="231F20"/>
          <w:spacing w:val="-3"/>
          <w:sz w:val="14"/>
        </w:rPr>
        <w:t>коте </w:t>
      </w:r>
      <w:r>
        <w:rPr>
          <w:color w:val="231F20"/>
          <w:sz w:val="14"/>
        </w:rPr>
        <w:t>105 mнм) услед деформација одложених маса у зони</w:t>
      </w:r>
      <w:r>
        <w:rPr>
          <w:color w:val="231F20"/>
          <w:spacing w:val="-4"/>
          <w:sz w:val="14"/>
        </w:rPr>
        <w:t> </w:t>
      </w:r>
      <w:r>
        <w:rPr>
          <w:color w:val="231F20"/>
          <w:sz w:val="14"/>
        </w:rPr>
        <w:t>испред</w:t>
      </w:r>
      <w:r>
        <w:rPr>
          <w:color w:val="231F20"/>
          <w:spacing w:val="-4"/>
          <w:sz w:val="14"/>
        </w:rPr>
        <w:t> </w:t>
      </w:r>
      <w:r>
        <w:rPr>
          <w:color w:val="231F20"/>
          <w:sz w:val="14"/>
        </w:rPr>
        <w:t>и</w:t>
      </w:r>
      <w:r>
        <w:rPr>
          <w:color w:val="231F20"/>
          <w:spacing w:val="-4"/>
          <w:sz w:val="14"/>
        </w:rPr>
        <w:t> </w:t>
      </w:r>
      <w:r>
        <w:rPr>
          <w:color w:val="231F20"/>
          <w:sz w:val="14"/>
        </w:rPr>
        <w:t>дуж</w:t>
      </w:r>
      <w:r>
        <w:rPr>
          <w:color w:val="231F20"/>
          <w:spacing w:val="-4"/>
          <w:sz w:val="14"/>
        </w:rPr>
        <w:t> </w:t>
      </w:r>
      <w:r>
        <w:rPr>
          <w:color w:val="231F20"/>
          <w:sz w:val="14"/>
        </w:rPr>
        <w:t>одлагалишног</w:t>
      </w:r>
      <w:r>
        <w:rPr>
          <w:color w:val="231F20"/>
          <w:spacing w:val="-4"/>
          <w:sz w:val="14"/>
        </w:rPr>
        <w:t> </w:t>
      </w:r>
      <w:r>
        <w:rPr>
          <w:color w:val="231F20"/>
          <w:sz w:val="14"/>
        </w:rPr>
        <w:t>фронта,</w:t>
      </w:r>
      <w:r>
        <w:rPr>
          <w:color w:val="231F20"/>
          <w:spacing w:val="-4"/>
          <w:sz w:val="14"/>
        </w:rPr>
        <w:t> </w:t>
      </w:r>
      <w:r>
        <w:rPr>
          <w:color w:val="231F20"/>
          <w:sz w:val="14"/>
        </w:rPr>
        <w:t>остварене</w:t>
      </w:r>
      <w:r>
        <w:rPr>
          <w:color w:val="231F20"/>
          <w:spacing w:val="-4"/>
          <w:sz w:val="14"/>
        </w:rPr>
        <w:t> </w:t>
      </w:r>
      <w:r>
        <w:rPr>
          <w:color w:val="231F20"/>
          <w:spacing w:val="-3"/>
          <w:sz w:val="14"/>
        </w:rPr>
        <w:t>коте</w:t>
      </w:r>
      <w:r>
        <w:rPr>
          <w:color w:val="231F20"/>
          <w:spacing w:val="-4"/>
          <w:sz w:val="14"/>
        </w:rPr>
        <w:t> </w:t>
      </w:r>
      <w:r>
        <w:rPr>
          <w:color w:val="231F20"/>
          <w:sz w:val="14"/>
        </w:rPr>
        <w:t>при</w:t>
      </w:r>
      <w:r>
        <w:rPr>
          <w:color w:val="231F20"/>
          <w:spacing w:val="-4"/>
          <w:sz w:val="14"/>
        </w:rPr>
        <w:t> </w:t>
      </w:r>
      <w:r>
        <w:rPr>
          <w:color w:val="231F20"/>
          <w:sz w:val="14"/>
        </w:rPr>
        <w:t>формирању</w:t>
      </w:r>
      <w:r>
        <w:rPr>
          <w:color w:val="231F20"/>
          <w:spacing w:val="-4"/>
          <w:sz w:val="14"/>
        </w:rPr>
        <w:t> </w:t>
      </w:r>
      <w:r>
        <w:rPr>
          <w:color w:val="231F20"/>
          <w:sz w:val="14"/>
        </w:rPr>
        <w:t>дубин- ске етаже одступају 10 m </w:t>
      </w:r>
      <w:r>
        <w:rPr>
          <w:color w:val="231F20"/>
          <w:spacing w:val="-3"/>
          <w:sz w:val="14"/>
        </w:rPr>
        <w:t>од </w:t>
      </w:r>
      <w:r>
        <w:rPr>
          <w:color w:val="231F20"/>
          <w:sz w:val="14"/>
        </w:rPr>
        <w:t>раније</w:t>
      </w:r>
      <w:r>
        <w:rPr>
          <w:color w:val="231F20"/>
          <w:spacing w:val="-1"/>
          <w:sz w:val="14"/>
        </w:rPr>
        <w:t> </w:t>
      </w:r>
      <w:r>
        <w:rPr>
          <w:color w:val="231F20"/>
          <w:sz w:val="14"/>
        </w:rPr>
        <w:t>пројектованих.</w:t>
      </w:r>
    </w:p>
    <w:p>
      <w:pPr>
        <w:pStyle w:val="BodyText"/>
        <w:spacing w:line="232" w:lineRule="auto" w:before="73"/>
        <w:ind w:left="241" w:right="128"/>
      </w:pPr>
      <w:r>
        <w:rPr/>
        <w:br w:type="column"/>
      </w:r>
      <w:r>
        <w:rPr>
          <w:color w:val="231F20"/>
        </w:rPr>
        <w:t>висина етажа је смањена на 12 m, уз претпоставку максималне од- водњености одложених маса, одлагање је радијално, а формиране етажне равни немају константну нивелету, тако да се, са генерал- ним падом према селу Дрмно, формира најпре шест блокова (108</w:t>
      </w:r>
    </w:p>
    <w:p>
      <w:pPr>
        <w:pStyle w:val="BodyText"/>
        <w:spacing w:line="200" w:lineRule="exact"/>
        <w:ind w:left="242"/>
        <w:jc w:val="left"/>
      </w:pPr>
      <w:r>
        <w:rPr>
          <w:color w:val="231F20"/>
          <w:w w:val="66"/>
        </w:rPr>
        <w:t> </w:t>
      </w:r>
      <w:r>
        <w:rPr>
          <w:color w:val="231F20"/>
        </w:rPr>
        <w:t>– 94 mнм), а затим нових седам сегмената (120 – 106 mнм);</w:t>
      </w:r>
    </w:p>
    <w:p>
      <w:pPr>
        <w:pStyle w:val="BodyText"/>
        <w:spacing w:line="228" w:lineRule="auto" w:before="3"/>
        <w:ind w:left="242" w:right="127" w:firstLine="396"/>
      </w:pPr>
      <w:r>
        <w:rPr>
          <w:color w:val="231F20"/>
          <w:w w:val="66"/>
        </w:rPr>
        <w:t> </w:t>
      </w:r>
      <w:r>
        <w:rPr>
          <w:color w:val="231F20"/>
        </w:rPr>
        <w:t>– на осталом делу, унутрашње одлагалиште је подељено на пет основних етажа, а положај сваке етаже одређен је геометриј- ском анализом на основу пројектних параметара основне опреме на одлагалишту;</w:t>
      </w:r>
    </w:p>
    <w:p>
      <w:pPr>
        <w:pStyle w:val="BodyText"/>
        <w:spacing w:line="228" w:lineRule="auto" w:before="4"/>
        <w:ind w:left="242" w:right="127" w:firstLine="396"/>
      </w:pPr>
      <w:r>
        <w:rPr>
          <w:color w:val="231F20"/>
          <w:w w:val="66"/>
        </w:rPr>
        <w:t> </w:t>
      </w:r>
      <w:r>
        <w:rPr>
          <w:color w:val="231F20"/>
        </w:rPr>
        <w:t>– свака етажа се формира са по две подетаже – дубинском и висинском,</w:t>
      </w:r>
      <w:r>
        <w:rPr>
          <w:color w:val="231F20"/>
          <w:spacing w:val="-6"/>
        </w:rPr>
        <w:t> </w:t>
      </w:r>
      <w:r>
        <w:rPr>
          <w:color w:val="231F20"/>
        </w:rPr>
        <w:t>у</w:t>
      </w:r>
      <w:r>
        <w:rPr>
          <w:color w:val="231F20"/>
          <w:spacing w:val="-6"/>
        </w:rPr>
        <w:t> </w:t>
      </w:r>
      <w:r>
        <w:rPr>
          <w:color w:val="231F20"/>
        </w:rPr>
        <w:t>циљу</w:t>
      </w:r>
      <w:r>
        <w:rPr>
          <w:color w:val="231F20"/>
          <w:spacing w:val="-6"/>
        </w:rPr>
        <w:t> </w:t>
      </w:r>
      <w:r>
        <w:rPr>
          <w:color w:val="231F20"/>
        </w:rPr>
        <w:t>стабилизације</w:t>
      </w:r>
      <w:r>
        <w:rPr>
          <w:color w:val="231F20"/>
          <w:spacing w:val="-6"/>
        </w:rPr>
        <w:t> </w:t>
      </w:r>
      <w:r>
        <w:rPr>
          <w:color w:val="231F20"/>
        </w:rPr>
        <w:t>дубинске</w:t>
      </w:r>
      <w:r>
        <w:rPr>
          <w:color w:val="231F20"/>
          <w:spacing w:val="-6"/>
        </w:rPr>
        <w:t> </w:t>
      </w:r>
      <w:r>
        <w:rPr>
          <w:color w:val="231F20"/>
        </w:rPr>
        <w:t>етаже</w:t>
      </w:r>
      <w:r>
        <w:rPr>
          <w:color w:val="231F20"/>
          <w:spacing w:val="-6"/>
        </w:rPr>
        <w:t> </w:t>
      </w:r>
      <w:r>
        <w:rPr>
          <w:color w:val="231F20"/>
        </w:rPr>
        <w:t>ради</w:t>
      </w:r>
      <w:r>
        <w:rPr>
          <w:color w:val="231F20"/>
          <w:spacing w:val="-6"/>
        </w:rPr>
        <w:t> </w:t>
      </w:r>
      <w:r>
        <w:rPr>
          <w:color w:val="231F20"/>
        </w:rPr>
        <w:t>сигурнијег кретања одлагача по радном</w:t>
      </w:r>
      <w:r>
        <w:rPr>
          <w:color w:val="231F20"/>
          <w:spacing w:val="-5"/>
        </w:rPr>
        <w:t> </w:t>
      </w:r>
      <w:r>
        <w:rPr>
          <w:color w:val="231F20"/>
        </w:rPr>
        <w:t>плануму;</w:t>
      </w:r>
    </w:p>
    <w:p>
      <w:pPr>
        <w:pStyle w:val="BodyText"/>
        <w:spacing w:line="228" w:lineRule="auto" w:before="2"/>
        <w:ind w:left="242" w:right="127" w:firstLine="396"/>
      </w:pPr>
      <w:r>
        <w:rPr>
          <w:color w:val="231F20"/>
          <w:w w:val="66"/>
        </w:rPr>
        <w:t> </w:t>
      </w:r>
      <w:r>
        <w:rPr>
          <w:color w:val="231F20"/>
        </w:rPr>
        <w:t>– положај етажа по висини условљен је положајем подине угљеног</w:t>
      </w:r>
      <w:r>
        <w:rPr>
          <w:color w:val="231F20"/>
          <w:spacing w:val="-11"/>
        </w:rPr>
        <w:t> </w:t>
      </w:r>
      <w:r>
        <w:rPr>
          <w:color w:val="231F20"/>
        </w:rPr>
        <w:t>слоја,</w:t>
      </w:r>
      <w:r>
        <w:rPr>
          <w:color w:val="231F20"/>
          <w:spacing w:val="-11"/>
        </w:rPr>
        <w:t> </w:t>
      </w:r>
      <w:r>
        <w:rPr>
          <w:color w:val="231F20"/>
          <w:spacing w:val="-4"/>
        </w:rPr>
        <w:t>који</w:t>
      </w:r>
      <w:r>
        <w:rPr>
          <w:color w:val="231F20"/>
          <w:spacing w:val="-11"/>
        </w:rPr>
        <w:t> </w:t>
      </w:r>
      <w:r>
        <w:rPr>
          <w:color w:val="231F20"/>
        </w:rPr>
        <w:t>се</w:t>
      </w:r>
      <w:r>
        <w:rPr>
          <w:color w:val="231F20"/>
          <w:spacing w:val="-11"/>
        </w:rPr>
        <w:t> </w:t>
      </w:r>
      <w:r>
        <w:rPr>
          <w:color w:val="231F20"/>
        </w:rPr>
        <w:t>мења</w:t>
      </w:r>
      <w:r>
        <w:rPr>
          <w:color w:val="231F20"/>
          <w:spacing w:val="-11"/>
        </w:rPr>
        <w:t> </w:t>
      </w:r>
      <w:r>
        <w:rPr>
          <w:color w:val="231F20"/>
        </w:rPr>
        <w:t>у</w:t>
      </w:r>
      <w:r>
        <w:rPr>
          <w:color w:val="231F20"/>
          <w:spacing w:val="-11"/>
        </w:rPr>
        <w:t> </w:t>
      </w:r>
      <w:r>
        <w:rPr>
          <w:color w:val="231F20"/>
        </w:rPr>
        <w:t>правцу</w:t>
      </w:r>
      <w:r>
        <w:rPr>
          <w:color w:val="231F20"/>
          <w:spacing w:val="-11"/>
        </w:rPr>
        <w:t> </w:t>
      </w:r>
      <w:r>
        <w:rPr>
          <w:color w:val="231F20"/>
        </w:rPr>
        <w:t>напредовања</w:t>
      </w:r>
      <w:r>
        <w:rPr>
          <w:color w:val="231F20"/>
          <w:spacing w:val="-11"/>
        </w:rPr>
        <w:t> </w:t>
      </w:r>
      <w:r>
        <w:rPr>
          <w:color w:val="231F20"/>
        </w:rPr>
        <w:t>етажа</w:t>
      </w:r>
      <w:r>
        <w:rPr>
          <w:color w:val="231F20"/>
          <w:spacing w:val="-11"/>
        </w:rPr>
        <w:t> </w:t>
      </w:r>
      <w:r>
        <w:rPr>
          <w:color w:val="231F20"/>
        </w:rPr>
        <w:t>на</w:t>
      </w:r>
      <w:r>
        <w:rPr>
          <w:color w:val="231F20"/>
          <w:spacing w:val="-11"/>
        </w:rPr>
        <w:t> </w:t>
      </w:r>
      <w:r>
        <w:rPr>
          <w:color w:val="231F20"/>
        </w:rPr>
        <w:t>одлага- њу </w:t>
      </w:r>
      <w:r>
        <w:rPr>
          <w:color w:val="231F20"/>
          <w:spacing w:val="-4"/>
        </w:rPr>
        <w:t>од </w:t>
      </w:r>
      <w:r>
        <w:rPr>
          <w:color w:val="231F20"/>
        </w:rPr>
        <w:t>југа ка северу; промене су релативно мале, а мање су </w:t>
      </w:r>
      <w:r>
        <w:rPr>
          <w:color w:val="231F20"/>
          <w:spacing w:val="-4"/>
        </w:rPr>
        <w:t>од </w:t>
      </w:r>
      <w:r>
        <w:rPr>
          <w:color w:val="231F20"/>
        </w:rPr>
        <w:t>до- звољеног</w:t>
      </w:r>
      <w:r>
        <w:rPr>
          <w:color w:val="231F20"/>
          <w:spacing w:val="-6"/>
        </w:rPr>
        <w:t> </w:t>
      </w:r>
      <w:r>
        <w:rPr>
          <w:color w:val="231F20"/>
        </w:rPr>
        <w:t>попречног</w:t>
      </w:r>
      <w:r>
        <w:rPr>
          <w:color w:val="231F20"/>
          <w:spacing w:val="-6"/>
        </w:rPr>
        <w:t> </w:t>
      </w:r>
      <w:r>
        <w:rPr>
          <w:color w:val="231F20"/>
        </w:rPr>
        <w:t>нагиба</w:t>
      </w:r>
      <w:r>
        <w:rPr>
          <w:color w:val="231F20"/>
          <w:spacing w:val="-6"/>
        </w:rPr>
        <w:t> </w:t>
      </w:r>
      <w:r>
        <w:rPr>
          <w:color w:val="231F20"/>
          <w:spacing w:val="-3"/>
        </w:rPr>
        <w:t>под</w:t>
      </w:r>
      <w:r>
        <w:rPr>
          <w:color w:val="231F20"/>
          <w:spacing w:val="-6"/>
        </w:rPr>
        <w:t> </w:t>
      </w:r>
      <w:r>
        <w:rPr>
          <w:color w:val="231F20"/>
          <w:spacing w:val="-3"/>
        </w:rPr>
        <w:t>којим</w:t>
      </w:r>
      <w:r>
        <w:rPr>
          <w:color w:val="231F20"/>
          <w:spacing w:val="-6"/>
        </w:rPr>
        <w:t> </w:t>
      </w:r>
      <w:r>
        <w:rPr>
          <w:color w:val="231F20"/>
        </w:rPr>
        <w:t>је</w:t>
      </w:r>
      <w:r>
        <w:rPr>
          <w:color w:val="231F20"/>
          <w:spacing w:val="-6"/>
        </w:rPr>
        <w:t> </w:t>
      </w:r>
      <w:r>
        <w:rPr>
          <w:color w:val="231F20"/>
          <w:spacing w:val="-3"/>
        </w:rPr>
        <w:t>одлагачима</w:t>
      </w:r>
      <w:r>
        <w:rPr>
          <w:color w:val="231F20"/>
          <w:spacing w:val="-6"/>
        </w:rPr>
        <w:t> </w:t>
      </w:r>
      <w:r>
        <w:rPr>
          <w:color w:val="231F20"/>
        </w:rPr>
        <w:t>дозвољен</w:t>
      </w:r>
      <w:r>
        <w:rPr>
          <w:color w:val="231F20"/>
          <w:spacing w:val="-6"/>
        </w:rPr>
        <w:t> </w:t>
      </w:r>
      <w:r>
        <w:rPr>
          <w:color w:val="231F20"/>
        </w:rPr>
        <w:t>рад;</w:t>
      </w:r>
    </w:p>
    <w:p>
      <w:pPr>
        <w:pStyle w:val="BodyText"/>
        <w:spacing w:line="228" w:lineRule="auto" w:before="3"/>
        <w:ind w:left="242" w:right="127" w:firstLine="397"/>
      </w:pPr>
      <w:r>
        <w:rPr>
          <w:color w:val="231F20"/>
          <w:w w:val="66"/>
        </w:rPr>
        <w:t> </w:t>
      </w:r>
      <w:r>
        <w:rPr>
          <w:color w:val="231F20"/>
        </w:rPr>
        <w:t>– уређење унутрашњег одлагалишта мора бити уз обезбеђе- ње косина за тло у миру и у условима земљотреса;</w:t>
      </w:r>
    </w:p>
    <w:p>
      <w:pPr>
        <w:pStyle w:val="BodyText"/>
        <w:spacing w:line="228" w:lineRule="auto" w:before="2"/>
        <w:ind w:left="241" w:right="127" w:firstLine="397"/>
      </w:pPr>
      <w:r>
        <w:rPr>
          <w:color w:val="231F20"/>
          <w:w w:val="66"/>
        </w:rPr>
        <w:t> </w:t>
      </w:r>
      <w:r>
        <w:rPr>
          <w:color w:val="231F20"/>
        </w:rPr>
        <w:t>– за потребе формирања депоније гипса из поступка одсум- поравања димних гасова у ТЕ „Костолац Б” предвиђено је да се приликом одлагања откривке на унутрашњем одлагалишту, на ко- ти блиској коти терена (нпр. на другој етажи одлагалишта</w:t>
      </w:r>
      <w:r>
        <w:rPr>
          <w:color w:val="231F20"/>
          <w:position w:val="6"/>
          <w:sz w:val="10"/>
        </w:rPr>
        <w:t>9</w:t>
      </w:r>
      <w:r>
        <w:rPr>
          <w:color w:val="231F20"/>
        </w:rPr>
        <w:t>, одно- сно, на коти 85 mнм како је то дато у расположивој техничкој до- кументацији за изградњу новог блока Б3</w:t>
      </w:r>
      <w:r>
        <w:rPr>
          <w:color w:val="231F20"/>
          <w:position w:val="6"/>
          <w:sz w:val="10"/>
        </w:rPr>
        <w:t>10</w:t>
      </w:r>
      <w:r>
        <w:rPr>
          <w:color w:val="231F20"/>
        </w:rPr>
        <w:t>), обезбеди простор од око 100 ha у основи, што одговара површини на којој ће се грађе- винском механизацијом уредити једна касета депоније и резерви- сати простор за још две касете за потребе одлагања гипса из свих блокова термоелектране;</w:t>
      </w:r>
    </w:p>
    <w:p>
      <w:pPr>
        <w:pStyle w:val="BodyText"/>
        <w:spacing w:line="228" w:lineRule="auto" w:before="10"/>
        <w:ind w:left="242" w:right="127" w:firstLine="396"/>
      </w:pPr>
      <w:r>
        <w:rPr>
          <w:color w:val="231F20"/>
          <w:w w:val="66"/>
        </w:rPr>
        <w:t> </w:t>
      </w:r>
      <w:r>
        <w:rPr>
          <w:color w:val="231F20"/>
        </w:rPr>
        <w:t>–</w:t>
      </w:r>
      <w:r>
        <w:rPr>
          <w:color w:val="231F20"/>
          <w:spacing w:val="-8"/>
        </w:rPr>
        <w:t> </w:t>
      </w:r>
      <w:r>
        <w:rPr>
          <w:color w:val="231F20"/>
        </w:rPr>
        <w:t>у</w:t>
      </w:r>
      <w:r>
        <w:rPr>
          <w:color w:val="231F20"/>
          <w:spacing w:val="-8"/>
        </w:rPr>
        <w:t> </w:t>
      </w:r>
      <w:r>
        <w:rPr>
          <w:color w:val="231F20"/>
        </w:rPr>
        <w:t>последњој</w:t>
      </w:r>
      <w:r>
        <w:rPr>
          <w:color w:val="231F20"/>
          <w:spacing w:val="-8"/>
        </w:rPr>
        <w:t> </w:t>
      </w:r>
      <w:r>
        <w:rPr>
          <w:color w:val="231F20"/>
        </w:rPr>
        <w:t>планској</w:t>
      </w:r>
      <w:r>
        <w:rPr>
          <w:color w:val="231F20"/>
          <w:spacing w:val="-8"/>
        </w:rPr>
        <w:t> </w:t>
      </w:r>
      <w:r>
        <w:rPr>
          <w:color w:val="231F20"/>
        </w:rPr>
        <w:t>етапи,</w:t>
      </w:r>
      <w:r>
        <w:rPr>
          <w:color w:val="231F20"/>
          <w:spacing w:val="-8"/>
        </w:rPr>
        <w:t> </w:t>
      </w:r>
      <w:r>
        <w:rPr>
          <w:color w:val="231F20"/>
        </w:rPr>
        <w:t>у</w:t>
      </w:r>
      <w:r>
        <w:rPr>
          <w:color w:val="231F20"/>
          <w:spacing w:val="-8"/>
        </w:rPr>
        <w:t> </w:t>
      </w:r>
      <w:r>
        <w:rPr>
          <w:color w:val="231F20"/>
        </w:rPr>
        <w:t>истој</w:t>
      </w:r>
      <w:r>
        <w:rPr>
          <w:color w:val="231F20"/>
          <w:spacing w:val="-8"/>
        </w:rPr>
        <w:t> </w:t>
      </w:r>
      <w:r>
        <w:rPr>
          <w:color w:val="231F20"/>
        </w:rPr>
        <w:t>зони</w:t>
      </w:r>
      <w:r>
        <w:rPr>
          <w:color w:val="231F20"/>
          <w:spacing w:val="-8"/>
        </w:rPr>
        <w:t> </w:t>
      </w:r>
      <w:r>
        <w:rPr>
          <w:color w:val="231F20"/>
        </w:rPr>
        <w:t>одлагалишта,</w:t>
      </w:r>
      <w:r>
        <w:rPr>
          <w:color w:val="231F20"/>
          <w:spacing w:val="-8"/>
        </w:rPr>
        <w:t> </w:t>
      </w:r>
      <w:r>
        <w:rPr>
          <w:color w:val="231F20"/>
        </w:rPr>
        <w:t>уре- ђује се једна депонија шљаке и пепела из новог блока термоелек- тране, односно, врши резервација површина за преостале потреб- не</w:t>
      </w:r>
      <w:r>
        <w:rPr>
          <w:color w:val="231F20"/>
          <w:spacing w:val="-6"/>
        </w:rPr>
        <w:t> </w:t>
      </w:r>
      <w:r>
        <w:rPr>
          <w:color w:val="231F20"/>
        </w:rPr>
        <w:t>касете</w:t>
      </w:r>
      <w:r>
        <w:rPr>
          <w:color w:val="231F20"/>
          <w:spacing w:val="-6"/>
        </w:rPr>
        <w:t> </w:t>
      </w:r>
      <w:r>
        <w:rPr>
          <w:color w:val="231F20"/>
        </w:rPr>
        <w:t>депоније</w:t>
      </w:r>
      <w:r>
        <w:rPr>
          <w:color w:val="231F20"/>
          <w:spacing w:val="-6"/>
        </w:rPr>
        <w:t> </w:t>
      </w:r>
      <w:r>
        <w:rPr>
          <w:color w:val="231F20"/>
        </w:rPr>
        <w:t>пепела</w:t>
      </w:r>
      <w:r>
        <w:rPr>
          <w:color w:val="231F20"/>
          <w:spacing w:val="-6"/>
        </w:rPr>
        <w:t> </w:t>
      </w:r>
      <w:r>
        <w:rPr>
          <w:color w:val="231F20"/>
        </w:rPr>
        <w:t>и</w:t>
      </w:r>
      <w:r>
        <w:rPr>
          <w:color w:val="231F20"/>
          <w:spacing w:val="-6"/>
        </w:rPr>
        <w:t> </w:t>
      </w:r>
      <w:r>
        <w:rPr>
          <w:color w:val="231F20"/>
        </w:rPr>
        <w:t>шљаке</w:t>
      </w:r>
      <w:r>
        <w:rPr>
          <w:color w:val="231F20"/>
          <w:spacing w:val="-6"/>
        </w:rPr>
        <w:t> </w:t>
      </w:r>
      <w:r>
        <w:rPr>
          <w:color w:val="231F20"/>
        </w:rPr>
        <w:t>насталих</w:t>
      </w:r>
      <w:r>
        <w:rPr>
          <w:color w:val="231F20"/>
          <w:spacing w:val="-6"/>
        </w:rPr>
        <w:t> </w:t>
      </w:r>
      <w:r>
        <w:rPr>
          <w:color w:val="231F20"/>
        </w:rPr>
        <w:t>сагоревањем</w:t>
      </w:r>
      <w:r>
        <w:rPr>
          <w:color w:val="231F20"/>
          <w:spacing w:val="-6"/>
        </w:rPr>
        <w:t> </w:t>
      </w:r>
      <w:r>
        <w:rPr>
          <w:color w:val="231F20"/>
        </w:rPr>
        <w:t>лигнита у ложиштима блока Б3 и, евентуално, блока</w:t>
      </w:r>
      <w:r>
        <w:rPr>
          <w:color w:val="231F20"/>
          <w:spacing w:val="-11"/>
        </w:rPr>
        <w:t> </w:t>
      </w:r>
      <w:r>
        <w:rPr>
          <w:color w:val="231F20"/>
        </w:rPr>
        <w:t>Б4;</w:t>
      </w:r>
    </w:p>
    <w:p>
      <w:pPr>
        <w:pStyle w:val="BodyText"/>
        <w:spacing w:line="228" w:lineRule="auto" w:before="4"/>
        <w:ind w:left="242" w:right="127" w:firstLine="397"/>
      </w:pPr>
      <w:r>
        <w:rPr>
          <w:color w:val="231F20"/>
          <w:w w:val="66"/>
        </w:rPr>
        <w:t> </w:t>
      </w:r>
      <w:r>
        <w:rPr>
          <w:color w:val="231F20"/>
        </w:rPr>
        <w:t>– приликом пројектовања косина, радних етажа, као и изра- де пројекта коначне рекултивације одлагалишта, на делу где се формирају касете депоније за гипс и депоније за одлагање пепела и шљаке из блока Б3, обезбедити коридоре за транспорт гипса и угушћене мешавине пепела и шљаке са одговарајућим сервисним саобраћајницама, односно усагласити решења из одговарајућих техничких документација;</w:t>
      </w:r>
    </w:p>
    <w:p>
      <w:pPr>
        <w:pStyle w:val="BodyText"/>
        <w:spacing w:line="228" w:lineRule="auto" w:before="5"/>
        <w:ind w:left="242" w:right="127" w:firstLine="396"/>
      </w:pPr>
      <w:r>
        <w:rPr>
          <w:color w:val="231F20"/>
          <w:w w:val="66"/>
        </w:rPr>
        <w:t> </w:t>
      </w:r>
      <w:r>
        <w:rPr>
          <w:color w:val="231F20"/>
        </w:rPr>
        <w:t>– на целокупном простору унутрашњег одлагалишта неоп- </w:t>
      </w:r>
      <w:r>
        <w:rPr>
          <w:color w:val="231F20"/>
          <w:spacing w:val="-3"/>
        </w:rPr>
        <w:t>ходно </w:t>
      </w:r>
      <w:r>
        <w:rPr>
          <w:color w:val="231F20"/>
        </w:rPr>
        <w:t>је обезбедити заштиту </w:t>
      </w:r>
      <w:r>
        <w:rPr>
          <w:color w:val="231F20"/>
          <w:spacing w:val="-3"/>
        </w:rPr>
        <w:t>од </w:t>
      </w:r>
      <w:r>
        <w:rPr>
          <w:color w:val="231F20"/>
        </w:rPr>
        <w:t>обрушавања, одроњавања и по- тапања земљишта и дефинисати мере заштите при транспорту и одлагању материјала, услове за сигурно кретање </w:t>
      </w:r>
      <w:r>
        <w:rPr>
          <w:color w:val="231F20"/>
          <w:spacing w:val="-4"/>
        </w:rPr>
        <w:t>људи </w:t>
      </w:r>
      <w:r>
        <w:rPr>
          <w:color w:val="231F20"/>
        </w:rPr>
        <w:t>на повр- </w:t>
      </w:r>
      <w:r>
        <w:rPr>
          <w:color w:val="231F20"/>
          <w:spacing w:val="-3"/>
        </w:rPr>
        <w:t>шинском копу </w:t>
      </w:r>
      <w:r>
        <w:rPr>
          <w:color w:val="231F20"/>
        </w:rPr>
        <w:t>као и остале мере заштите </w:t>
      </w:r>
      <w:r>
        <w:rPr>
          <w:color w:val="231F20"/>
          <w:spacing w:val="-3"/>
        </w:rPr>
        <w:t>од </w:t>
      </w:r>
      <w:r>
        <w:rPr>
          <w:color w:val="231F20"/>
        </w:rPr>
        <w:t>присутних и потенци- јалних опасности;</w:t>
      </w:r>
    </w:p>
    <w:p>
      <w:pPr>
        <w:pStyle w:val="BodyText"/>
        <w:spacing w:line="228" w:lineRule="auto" w:before="5"/>
        <w:ind w:left="242" w:right="127" w:firstLine="396"/>
      </w:pPr>
      <w:r>
        <w:rPr>
          <w:color w:val="231F20"/>
          <w:w w:val="66"/>
        </w:rPr>
        <w:t> </w:t>
      </w:r>
      <w:r>
        <w:rPr>
          <w:color w:val="231F20"/>
        </w:rPr>
        <w:t>– током експлоатације обезбедити минимално растојања из- међу ножице одлагалишта и ножице угља 200 m;</w:t>
      </w:r>
    </w:p>
    <w:p>
      <w:pPr>
        <w:pStyle w:val="BodyText"/>
        <w:spacing w:line="228" w:lineRule="auto" w:before="2"/>
        <w:ind w:left="242" w:right="127" w:firstLine="396"/>
      </w:pPr>
      <w:r>
        <w:rPr>
          <w:color w:val="231F20"/>
          <w:w w:val="66"/>
        </w:rPr>
        <w:t> </w:t>
      </w:r>
      <w:r>
        <w:rPr>
          <w:color w:val="231F20"/>
        </w:rPr>
        <w:t>–</w:t>
      </w:r>
      <w:r>
        <w:rPr>
          <w:color w:val="231F20"/>
          <w:spacing w:val="-8"/>
        </w:rPr>
        <w:t> </w:t>
      </w:r>
      <w:r>
        <w:rPr>
          <w:color w:val="231F20"/>
        </w:rPr>
        <w:t>нагиби</w:t>
      </w:r>
      <w:r>
        <w:rPr>
          <w:color w:val="231F20"/>
          <w:spacing w:val="-8"/>
        </w:rPr>
        <w:t> </w:t>
      </w:r>
      <w:r>
        <w:rPr>
          <w:color w:val="231F20"/>
        </w:rPr>
        <w:t>радне</w:t>
      </w:r>
      <w:r>
        <w:rPr>
          <w:color w:val="231F20"/>
          <w:spacing w:val="-8"/>
        </w:rPr>
        <w:t> </w:t>
      </w:r>
      <w:r>
        <w:rPr>
          <w:color w:val="231F20"/>
        </w:rPr>
        <w:t>косине</w:t>
      </w:r>
      <w:r>
        <w:rPr>
          <w:color w:val="231F20"/>
          <w:spacing w:val="-8"/>
        </w:rPr>
        <w:t> </w:t>
      </w:r>
      <w:r>
        <w:rPr>
          <w:color w:val="231F20"/>
        </w:rPr>
        <w:t>одлагалишта</w:t>
      </w:r>
      <w:r>
        <w:rPr>
          <w:color w:val="231F20"/>
          <w:spacing w:val="-8"/>
        </w:rPr>
        <w:t> </w:t>
      </w:r>
      <w:r>
        <w:rPr>
          <w:color w:val="231F20"/>
        </w:rPr>
        <w:t>морају</w:t>
      </w:r>
      <w:r>
        <w:rPr>
          <w:color w:val="231F20"/>
          <w:spacing w:val="-8"/>
        </w:rPr>
        <w:t> </w:t>
      </w:r>
      <w:r>
        <w:rPr>
          <w:color w:val="231F20"/>
        </w:rPr>
        <w:t>се</w:t>
      </w:r>
      <w:r>
        <w:rPr>
          <w:color w:val="231F20"/>
          <w:spacing w:val="-8"/>
        </w:rPr>
        <w:t> </w:t>
      </w:r>
      <w:r>
        <w:rPr>
          <w:color w:val="231F20"/>
        </w:rPr>
        <w:t>најмање</w:t>
      </w:r>
      <w:r>
        <w:rPr>
          <w:color w:val="231F20"/>
          <w:spacing w:val="-8"/>
        </w:rPr>
        <w:t> </w:t>
      </w:r>
      <w:r>
        <w:rPr>
          <w:color w:val="231F20"/>
        </w:rPr>
        <w:t>2</w:t>
      </w:r>
      <w:r>
        <w:rPr>
          <w:color w:val="231F20"/>
          <w:spacing w:val="-8"/>
        </w:rPr>
        <w:t> </w:t>
      </w:r>
      <w:r>
        <w:rPr>
          <w:color w:val="231F20"/>
        </w:rPr>
        <w:t>пута годишње проверавати нарочито на појаве покрета косина, стабил- ност косина, скупљање воде на косинама, појаве испирања, одр- жавање сигурносних одстојања, довољно запречавање приступа и сигурност </w:t>
      </w:r>
      <w:r>
        <w:rPr>
          <w:color w:val="231F20"/>
          <w:spacing w:val="-3"/>
        </w:rPr>
        <w:t>од </w:t>
      </w:r>
      <w:r>
        <w:rPr>
          <w:color w:val="231F20"/>
        </w:rPr>
        <w:t>котрљања растреситог материјала низ</w:t>
      </w:r>
      <w:r>
        <w:rPr>
          <w:color w:val="231F20"/>
          <w:spacing w:val="-11"/>
        </w:rPr>
        <w:t> </w:t>
      </w:r>
      <w:r>
        <w:rPr>
          <w:color w:val="231F20"/>
        </w:rPr>
        <w:t>косину;</w:t>
      </w:r>
    </w:p>
    <w:p>
      <w:pPr>
        <w:pStyle w:val="BodyText"/>
        <w:spacing w:line="228" w:lineRule="auto" w:before="4"/>
        <w:ind w:left="242" w:right="127" w:firstLine="397"/>
      </w:pPr>
      <w:r>
        <w:rPr>
          <w:color w:val="231F20"/>
          <w:w w:val="66"/>
        </w:rPr>
        <w:t> </w:t>
      </w:r>
      <w:r>
        <w:rPr>
          <w:color w:val="231F20"/>
        </w:rPr>
        <w:t>–</w:t>
      </w:r>
      <w:r>
        <w:rPr>
          <w:color w:val="231F20"/>
          <w:spacing w:val="-5"/>
        </w:rPr>
        <w:t> </w:t>
      </w:r>
      <w:r>
        <w:rPr>
          <w:color w:val="231F20"/>
          <w:spacing w:val="-4"/>
        </w:rPr>
        <w:t>уколико</w:t>
      </w:r>
      <w:r>
        <w:rPr>
          <w:color w:val="231F20"/>
          <w:spacing w:val="-5"/>
        </w:rPr>
        <w:t> </w:t>
      </w:r>
      <w:r>
        <w:rPr>
          <w:color w:val="231F20"/>
        </w:rPr>
        <w:t>је</w:t>
      </w:r>
      <w:r>
        <w:rPr>
          <w:color w:val="231F20"/>
          <w:spacing w:val="-5"/>
        </w:rPr>
        <w:t> </w:t>
      </w:r>
      <w:r>
        <w:rPr>
          <w:color w:val="231F20"/>
        </w:rPr>
        <w:t>тло</w:t>
      </w:r>
      <w:r>
        <w:rPr>
          <w:color w:val="231F20"/>
          <w:spacing w:val="-5"/>
        </w:rPr>
        <w:t> </w:t>
      </w:r>
      <w:r>
        <w:rPr>
          <w:color w:val="231F20"/>
        </w:rPr>
        <w:t>на</w:t>
      </w:r>
      <w:r>
        <w:rPr>
          <w:color w:val="231F20"/>
          <w:spacing w:val="-5"/>
        </w:rPr>
        <w:t> </w:t>
      </w:r>
      <w:r>
        <w:rPr>
          <w:color w:val="231F20"/>
          <w:spacing w:val="-4"/>
        </w:rPr>
        <w:t>коме</w:t>
      </w:r>
      <w:r>
        <w:rPr>
          <w:color w:val="231F20"/>
          <w:spacing w:val="-5"/>
        </w:rPr>
        <w:t> </w:t>
      </w:r>
      <w:r>
        <w:rPr>
          <w:color w:val="231F20"/>
        </w:rPr>
        <w:t>се</w:t>
      </w:r>
      <w:r>
        <w:rPr>
          <w:color w:val="231F20"/>
          <w:spacing w:val="-5"/>
        </w:rPr>
        <w:t> </w:t>
      </w:r>
      <w:r>
        <w:rPr>
          <w:color w:val="231F20"/>
        </w:rPr>
        <w:t>одлажу</w:t>
      </w:r>
      <w:r>
        <w:rPr>
          <w:color w:val="231F20"/>
          <w:spacing w:val="-5"/>
        </w:rPr>
        <w:t> </w:t>
      </w:r>
      <w:r>
        <w:rPr>
          <w:color w:val="231F20"/>
        </w:rPr>
        <w:t>масе</w:t>
      </w:r>
      <w:r>
        <w:rPr>
          <w:color w:val="231F20"/>
          <w:spacing w:val="-5"/>
        </w:rPr>
        <w:t> </w:t>
      </w:r>
      <w:r>
        <w:rPr>
          <w:color w:val="231F20"/>
        </w:rPr>
        <w:t>заводњено</w:t>
      </w:r>
      <w:r>
        <w:rPr>
          <w:color w:val="231F20"/>
          <w:spacing w:val="-5"/>
        </w:rPr>
        <w:t> </w:t>
      </w:r>
      <w:r>
        <w:rPr>
          <w:color w:val="231F20"/>
        </w:rPr>
        <w:t>и</w:t>
      </w:r>
      <w:r>
        <w:rPr>
          <w:color w:val="231F20"/>
          <w:spacing w:val="-4"/>
        </w:rPr>
        <w:t> </w:t>
      </w:r>
      <w:r>
        <w:rPr>
          <w:color w:val="231F20"/>
        </w:rPr>
        <w:t>подзем- на вода се налази </w:t>
      </w:r>
      <w:r>
        <w:rPr>
          <w:color w:val="231F20"/>
          <w:spacing w:val="-3"/>
        </w:rPr>
        <w:t>под </w:t>
      </w:r>
      <w:r>
        <w:rPr>
          <w:color w:val="231F20"/>
        </w:rPr>
        <w:t>притиском, пре почетка одлагања мора се снизити</w:t>
      </w:r>
      <w:r>
        <w:rPr>
          <w:color w:val="231F20"/>
          <w:spacing w:val="-8"/>
        </w:rPr>
        <w:t> </w:t>
      </w:r>
      <w:r>
        <w:rPr>
          <w:color w:val="231F20"/>
        </w:rPr>
        <w:t>притисак</w:t>
      </w:r>
      <w:r>
        <w:rPr>
          <w:color w:val="231F20"/>
          <w:spacing w:val="-8"/>
        </w:rPr>
        <w:t> </w:t>
      </w:r>
      <w:r>
        <w:rPr>
          <w:color w:val="231F20"/>
        </w:rPr>
        <w:t>подземне</w:t>
      </w:r>
      <w:r>
        <w:rPr>
          <w:color w:val="231F20"/>
          <w:spacing w:val="-8"/>
        </w:rPr>
        <w:t> </w:t>
      </w:r>
      <w:r>
        <w:rPr>
          <w:color w:val="231F20"/>
        </w:rPr>
        <w:t>воде</w:t>
      </w:r>
      <w:r>
        <w:rPr>
          <w:color w:val="231F20"/>
          <w:spacing w:val="-8"/>
        </w:rPr>
        <w:t> </w:t>
      </w:r>
      <w:r>
        <w:rPr>
          <w:color w:val="231F20"/>
        </w:rPr>
        <w:t>до</w:t>
      </w:r>
      <w:r>
        <w:rPr>
          <w:color w:val="231F20"/>
          <w:spacing w:val="-8"/>
        </w:rPr>
        <w:t> </w:t>
      </w:r>
      <w:r>
        <w:rPr>
          <w:color w:val="231F20"/>
        </w:rPr>
        <w:t>величине</w:t>
      </w:r>
      <w:r>
        <w:rPr>
          <w:color w:val="231F20"/>
          <w:spacing w:val="-8"/>
        </w:rPr>
        <w:t> </w:t>
      </w:r>
      <w:r>
        <w:rPr>
          <w:color w:val="231F20"/>
          <w:spacing w:val="-3"/>
        </w:rPr>
        <w:t>која</w:t>
      </w:r>
      <w:r>
        <w:rPr>
          <w:color w:val="231F20"/>
          <w:spacing w:val="-8"/>
        </w:rPr>
        <w:t> </w:t>
      </w:r>
      <w:r>
        <w:rPr>
          <w:color w:val="231F20"/>
        </w:rPr>
        <w:t>спречава</w:t>
      </w:r>
      <w:r>
        <w:rPr>
          <w:color w:val="231F20"/>
          <w:spacing w:val="-8"/>
        </w:rPr>
        <w:t> </w:t>
      </w:r>
      <w:r>
        <w:rPr>
          <w:color w:val="231F20"/>
        </w:rPr>
        <w:t>проди- рање</w:t>
      </w:r>
      <w:r>
        <w:rPr>
          <w:color w:val="231F20"/>
          <w:spacing w:val="-10"/>
        </w:rPr>
        <w:t> </w:t>
      </w:r>
      <w:r>
        <w:rPr>
          <w:color w:val="231F20"/>
        </w:rPr>
        <w:t>воде</w:t>
      </w:r>
      <w:r>
        <w:rPr>
          <w:color w:val="231F20"/>
          <w:spacing w:val="-10"/>
        </w:rPr>
        <w:t> </w:t>
      </w:r>
      <w:r>
        <w:rPr>
          <w:color w:val="231F20"/>
        </w:rPr>
        <w:t>у</w:t>
      </w:r>
      <w:r>
        <w:rPr>
          <w:color w:val="231F20"/>
          <w:spacing w:val="-10"/>
        </w:rPr>
        <w:t> </w:t>
      </w:r>
      <w:r>
        <w:rPr>
          <w:color w:val="231F20"/>
        </w:rPr>
        <w:t>одложене</w:t>
      </w:r>
      <w:r>
        <w:rPr>
          <w:color w:val="231F20"/>
          <w:spacing w:val="-10"/>
        </w:rPr>
        <w:t> </w:t>
      </w:r>
      <w:r>
        <w:rPr>
          <w:color w:val="231F20"/>
        </w:rPr>
        <w:t>масе</w:t>
      </w:r>
      <w:r>
        <w:rPr>
          <w:color w:val="231F20"/>
          <w:spacing w:val="-10"/>
        </w:rPr>
        <w:t> </w:t>
      </w:r>
      <w:r>
        <w:rPr>
          <w:color w:val="231F20"/>
        </w:rPr>
        <w:t>и</w:t>
      </w:r>
      <w:r>
        <w:rPr>
          <w:color w:val="231F20"/>
          <w:spacing w:val="-10"/>
        </w:rPr>
        <w:t> </w:t>
      </w:r>
      <w:r>
        <w:rPr>
          <w:color w:val="231F20"/>
        </w:rPr>
        <w:t>мора</w:t>
      </w:r>
      <w:r>
        <w:rPr>
          <w:color w:val="231F20"/>
          <w:spacing w:val="-10"/>
        </w:rPr>
        <w:t> </w:t>
      </w:r>
      <w:r>
        <w:rPr>
          <w:color w:val="231F20"/>
        </w:rPr>
        <w:t>бити</w:t>
      </w:r>
      <w:r>
        <w:rPr>
          <w:color w:val="231F20"/>
          <w:spacing w:val="-10"/>
        </w:rPr>
        <w:t> </w:t>
      </w:r>
      <w:r>
        <w:rPr>
          <w:color w:val="231F20"/>
        </w:rPr>
        <w:t>испод</w:t>
      </w:r>
      <w:r>
        <w:rPr>
          <w:color w:val="231F20"/>
          <w:spacing w:val="-10"/>
        </w:rPr>
        <w:t> </w:t>
      </w:r>
      <w:r>
        <w:rPr>
          <w:color w:val="231F20"/>
        </w:rPr>
        <w:t>контакта</w:t>
      </w:r>
      <w:r>
        <w:rPr>
          <w:color w:val="231F20"/>
          <w:spacing w:val="-10"/>
        </w:rPr>
        <w:t> </w:t>
      </w:r>
      <w:r>
        <w:rPr>
          <w:color w:val="231F20"/>
        </w:rPr>
        <w:t>одложених маса и</w:t>
      </w:r>
      <w:r>
        <w:rPr>
          <w:color w:val="231F20"/>
          <w:spacing w:val="-2"/>
        </w:rPr>
        <w:t> </w:t>
      </w:r>
      <w:r>
        <w:rPr>
          <w:color w:val="231F20"/>
        </w:rPr>
        <w:t>подлоге;</w:t>
      </w:r>
    </w:p>
    <w:p>
      <w:pPr>
        <w:pStyle w:val="BodyText"/>
        <w:spacing w:line="228" w:lineRule="auto" w:before="4"/>
        <w:ind w:left="243" w:right="126" w:firstLine="396"/>
      </w:pPr>
      <w:r>
        <w:rPr>
          <w:color w:val="231F20"/>
          <w:w w:val="66"/>
        </w:rPr>
        <w:t> </w:t>
      </w:r>
      <w:r>
        <w:rPr>
          <w:color w:val="231F20"/>
        </w:rPr>
        <w:t>– ножица одлагалишта и све завршне косине морају бити обезбеђене од дејства површинских и подземних вода, њиховог утицаја на стабилност косина, а плануми (равни) одлагалишта мо- рају се редовно одводњавати од атмосферских вода;</w:t>
      </w:r>
    </w:p>
    <w:p>
      <w:pPr>
        <w:pStyle w:val="BodyText"/>
        <w:spacing w:line="228" w:lineRule="auto" w:before="4"/>
        <w:ind w:left="243" w:right="126" w:firstLine="397"/>
      </w:pPr>
      <w:r>
        <w:rPr>
          <w:color w:val="231F20"/>
          <w:w w:val="66"/>
        </w:rPr>
        <w:t> </w:t>
      </w:r>
      <w:r>
        <w:rPr>
          <w:color w:val="231F20"/>
        </w:rPr>
        <w:t>– мере и поступке заштите од елементарних непогода угра- дити у рударске пројекте рекултивације земљишта и спроводити перманентно кроз све фазе, од ископа односно транспорта и одла- гања раскривке, кроз морфолошко уређивање терена и инжењер- ске поступке његове стабилизације, до биолошке рекултивације;</w:t>
      </w:r>
    </w:p>
    <w:p>
      <w:pPr>
        <w:pStyle w:val="BodyText"/>
        <w:spacing w:line="228" w:lineRule="auto" w:before="4"/>
        <w:ind w:left="243" w:right="126" w:firstLine="396"/>
      </w:pPr>
      <w:r>
        <w:rPr>
          <w:color w:val="231F20"/>
          <w:w w:val="66"/>
        </w:rPr>
        <w:t> </w:t>
      </w:r>
      <w:r>
        <w:rPr>
          <w:color w:val="231F20"/>
        </w:rPr>
        <w:t>– </w:t>
      </w:r>
      <w:r>
        <w:rPr>
          <w:color w:val="231F20"/>
          <w:spacing w:val="-3"/>
        </w:rPr>
        <w:t>организовати </w:t>
      </w:r>
      <w:r>
        <w:rPr>
          <w:color w:val="231F20"/>
        </w:rPr>
        <w:t>и </w:t>
      </w:r>
      <w:r>
        <w:rPr>
          <w:color w:val="231F20"/>
          <w:spacing w:val="-3"/>
        </w:rPr>
        <w:t>спроводити перманентна визуелна </w:t>
      </w:r>
      <w:r>
        <w:rPr>
          <w:color w:val="231F20"/>
        </w:rPr>
        <w:t>и перио- дична</w:t>
      </w:r>
      <w:r>
        <w:rPr>
          <w:color w:val="231F20"/>
          <w:spacing w:val="-15"/>
        </w:rPr>
        <w:t> </w:t>
      </w:r>
      <w:r>
        <w:rPr>
          <w:color w:val="231F20"/>
        </w:rPr>
        <w:t>инструментална</w:t>
      </w:r>
      <w:r>
        <w:rPr>
          <w:color w:val="231F20"/>
          <w:spacing w:val="-15"/>
        </w:rPr>
        <w:t> </w:t>
      </w:r>
      <w:r>
        <w:rPr>
          <w:color w:val="231F20"/>
        </w:rPr>
        <w:t>осматрања,</w:t>
      </w:r>
      <w:r>
        <w:rPr>
          <w:color w:val="231F20"/>
          <w:spacing w:val="-16"/>
        </w:rPr>
        <w:t> </w:t>
      </w:r>
      <w:r>
        <w:rPr>
          <w:color w:val="231F20"/>
        </w:rPr>
        <w:t>а</w:t>
      </w:r>
      <w:r>
        <w:rPr>
          <w:color w:val="231F20"/>
          <w:spacing w:val="-15"/>
        </w:rPr>
        <w:t> </w:t>
      </w:r>
      <w:r>
        <w:rPr>
          <w:color w:val="231F20"/>
        </w:rPr>
        <w:t>у</w:t>
      </w:r>
      <w:r>
        <w:rPr>
          <w:color w:val="231F20"/>
          <w:spacing w:val="-16"/>
        </w:rPr>
        <w:t> </w:t>
      </w:r>
      <w:r>
        <w:rPr>
          <w:color w:val="231F20"/>
        </w:rPr>
        <w:t>случају</w:t>
      </w:r>
      <w:r>
        <w:rPr>
          <w:color w:val="231F20"/>
          <w:spacing w:val="-16"/>
        </w:rPr>
        <w:t> </w:t>
      </w:r>
      <w:r>
        <w:rPr>
          <w:color w:val="231F20"/>
        </w:rPr>
        <w:t>да</w:t>
      </w:r>
      <w:r>
        <w:rPr>
          <w:color w:val="231F20"/>
          <w:spacing w:val="-15"/>
        </w:rPr>
        <w:t> </w:t>
      </w:r>
      <w:r>
        <w:rPr>
          <w:color w:val="231F20"/>
        </w:rPr>
        <w:t>се</w:t>
      </w:r>
      <w:r>
        <w:rPr>
          <w:color w:val="231F20"/>
          <w:spacing w:val="-15"/>
        </w:rPr>
        <w:t> </w:t>
      </w:r>
      <w:r>
        <w:rPr>
          <w:color w:val="231F20"/>
        </w:rPr>
        <w:t>појаве</w:t>
      </w:r>
      <w:r>
        <w:rPr>
          <w:color w:val="231F20"/>
          <w:spacing w:val="-15"/>
        </w:rPr>
        <w:t> </w:t>
      </w:r>
      <w:r>
        <w:rPr>
          <w:color w:val="231F20"/>
          <w:spacing w:val="-3"/>
        </w:rPr>
        <w:t>деформа- </w:t>
      </w:r>
      <w:r>
        <w:rPr>
          <w:color w:val="231F20"/>
        </w:rPr>
        <w:t>ције</w:t>
      </w:r>
      <w:r>
        <w:rPr>
          <w:color w:val="231F20"/>
          <w:spacing w:val="-9"/>
        </w:rPr>
        <w:t> </w:t>
      </w:r>
      <w:r>
        <w:rPr>
          <w:color w:val="231F20"/>
        </w:rPr>
        <w:t>на</w:t>
      </w:r>
      <w:r>
        <w:rPr>
          <w:color w:val="231F20"/>
          <w:spacing w:val="-9"/>
        </w:rPr>
        <w:t> </w:t>
      </w:r>
      <w:r>
        <w:rPr>
          <w:color w:val="231F20"/>
        </w:rPr>
        <w:t>етажама</w:t>
      </w:r>
      <w:r>
        <w:rPr>
          <w:color w:val="231F20"/>
          <w:spacing w:val="-9"/>
        </w:rPr>
        <w:t> </w:t>
      </w:r>
      <w:r>
        <w:rPr>
          <w:color w:val="231F20"/>
        </w:rPr>
        <w:t>и</w:t>
      </w:r>
      <w:r>
        <w:rPr>
          <w:color w:val="231F20"/>
          <w:spacing w:val="-9"/>
        </w:rPr>
        <w:t> </w:t>
      </w:r>
      <w:r>
        <w:rPr>
          <w:color w:val="231F20"/>
          <w:spacing w:val="-3"/>
        </w:rPr>
        <w:t>одлагалишту</w:t>
      </w:r>
      <w:r>
        <w:rPr>
          <w:color w:val="231F20"/>
          <w:spacing w:val="-9"/>
        </w:rPr>
        <w:t> </w:t>
      </w:r>
      <w:r>
        <w:rPr>
          <w:color w:val="231F20"/>
          <w:spacing w:val="-3"/>
        </w:rPr>
        <w:t>предузети</w:t>
      </w:r>
      <w:r>
        <w:rPr>
          <w:color w:val="231F20"/>
          <w:spacing w:val="-9"/>
        </w:rPr>
        <w:t> </w:t>
      </w:r>
      <w:r>
        <w:rPr>
          <w:color w:val="231F20"/>
        </w:rPr>
        <w:t>потребне</w:t>
      </w:r>
      <w:r>
        <w:rPr>
          <w:color w:val="231F20"/>
          <w:spacing w:val="-9"/>
        </w:rPr>
        <w:t> </w:t>
      </w:r>
      <w:r>
        <w:rPr>
          <w:color w:val="231F20"/>
        </w:rPr>
        <w:t>мере</w:t>
      </w:r>
      <w:r>
        <w:rPr>
          <w:color w:val="231F20"/>
          <w:spacing w:val="-9"/>
        </w:rPr>
        <w:t> </w:t>
      </w:r>
      <w:r>
        <w:rPr>
          <w:color w:val="231F20"/>
        </w:rPr>
        <w:t>санирања;</w:t>
      </w:r>
    </w:p>
    <w:p>
      <w:pPr>
        <w:spacing w:line="160" w:lineRule="exact" w:before="0"/>
        <w:ind w:left="241"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526" w:val="left" w:leader="none"/>
        </w:tabs>
        <w:spacing w:line="240" w:lineRule="auto" w:before="0" w:after="0"/>
        <w:ind w:left="525" w:right="128" w:hanging="284"/>
        <w:jc w:val="both"/>
        <w:rPr>
          <w:sz w:val="14"/>
        </w:rPr>
      </w:pPr>
      <w:r>
        <w:rPr>
          <w:color w:val="231F20"/>
          <w:sz w:val="14"/>
        </w:rPr>
        <w:t>Инвестиционо</w:t>
      </w:r>
      <w:r>
        <w:rPr>
          <w:color w:val="231F20"/>
          <w:spacing w:val="10"/>
          <w:sz w:val="14"/>
        </w:rPr>
        <w:t> </w:t>
      </w:r>
      <w:r>
        <w:rPr>
          <w:color w:val="231F20"/>
          <w:sz w:val="14"/>
        </w:rPr>
        <w:t>–</w:t>
      </w:r>
      <w:r>
        <w:rPr>
          <w:color w:val="231F20"/>
          <w:spacing w:val="-9"/>
          <w:sz w:val="14"/>
        </w:rPr>
        <w:t> </w:t>
      </w:r>
      <w:r>
        <w:rPr>
          <w:color w:val="231F20"/>
          <w:sz w:val="14"/>
        </w:rPr>
        <w:t>техничка</w:t>
      </w:r>
      <w:r>
        <w:rPr>
          <w:color w:val="231F20"/>
          <w:spacing w:val="-9"/>
          <w:sz w:val="14"/>
        </w:rPr>
        <w:t> </w:t>
      </w:r>
      <w:r>
        <w:rPr>
          <w:color w:val="231F20"/>
          <w:sz w:val="14"/>
        </w:rPr>
        <w:t>документација</w:t>
      </w:r>
      <w:r>
        <w:rPr>
          <w:color w:val="231F20"/>
          <w:spacing w:val="-9"/>
          <w:sz w:val="14"/>
        </w:rPr>
        <w:t> </w:t>
      </w:r>
      <w:r>
        <w:rPr>
          <w:color w:val="231F20"/>
          <w:sz w:val="14"/>
        </w:rPr>
        <w:t>одсумпоравања</w:t>
      </w:r>
      <w:r>
        <w:rPr>
          <w:color w:val="231F20"/>
          <w:spacing w:val="-9"/>
          <w:sz w:val="14"/>
        </w:rPr>
        <w:t> </w:t>
      </w:r>
      <w:r>
        <w:rPr>
          <w:color w:val="231F20"/>
          <w:sz w:val="14"/>
        </w:rPr>
        <w:t>димних</w:t>
      </w:r>
      <w:r>
        <w:rPr>
          <w:color w:val="231F20"/>
          <w:spacing w:val="-9"/>
          <w:sz w:val="14"/>
        </w:rPr>
        <w:t> </w:t>
      </w:r>
      <w:r>
        <w:rPr>
          <w:color w:val="231F20"/>
          <w:sz w:val="14"/>
        </w:rPr>
        <w:t>гасова</w:t>
      </w:r>
      <w:r>
        <w:rPr>
          <w:color w:val="231F20"/>
          <w:spacing w:val="-9"/>
          <w:sz w:val="14"/>
        </w:rPr>
        <w:t> </w:t>
      </w:r>
      <w:r>
        <w:rPr>
          <w:color w:val="231F20"/>
          <w:sz w:val="14"/>
        </w:rPr>
        <w:t>ТЕ</w:t>
      </w:r>
      <w:r>
        <w:rPr>
          <w:color w:val="231F20"/>
          <w:spacing w:val="-9"/>
          <w:sz w:val="14"/>
        </w:rPr>
        <w:t> </w:t>
      </w:r>
      <w:r>
        <w:rPr>
          <w:color w:val="231F20"/>
          <w:sz w:val="14"/>
        </w:rPr>
        <w:t>“Ко- столац Б” , Конзорцијум: Машински факултет УБ, Рударско-геолошки факултет УБ, </w:t>
      </w:r>
      <w:r>
        <w:rPr>
          <w:color w:val="231F20"/>
          <w:spacing w:val="-3"/>
          <w:sz w:val="14"/>
        </w:rPr>
        <w:t>Worley </w:t>
      </w:r>
      <w:r>
        <w:rPr>
          <w:color w:val="231F20"/>
          <w:sz w:val="14"/>
        </w:rPr>
        <w:t>Parson resources &amp; energy, Energoprojekt – Entel,</w:t>
      </w:r>
      <w:r>
        <w:rPr>
          <w:color w:val="231F20"/>
          <w:spacing w:val="-24"/>
          <w:sz w:val="14"/>
        </w:rPr>
        <w:t> </w:t>
      </w:r>
      <w:r>
        <w:rPr>
          <w:color w:val="231F20"/>
          <w:sz w:val="14"/>
        </w:rPr>
        <w:t>2008.</w:t>
      </w:r>
    </w:p>
    <w:p>
      <w:pPr>
        <w:pStyle w:val="ListParagraph"/>
        <w:numPr>
          <w:ilvl w:val="0"/>
          <w:numId w:val="50"/>
        </w:numPr>
        <w:tabs>
          <w:tab w:pos="526" w:val="left" w:leader="none"/>
        </w:tabs>
        <w:spacing w:line="240" w:lineRule="auto" w:before="2" w:after="0"/>
        <w:ind w:left="525" w:right="128" w:hanging="284"/>
        <w:jc w:val="left"/>
        <w:rPr>
          <w:sz w:val="14"/>
        </w:rPr>
      </w:pPr>
      <w:r>
        <w:rPr>
          <w:color w:val="231F20"/>
          <w:sz w:val="14"/>
        </w:rPr>
        <w:t>Претходна студија оправданости са идејним пројектом изградње новог блока Б3 на локацији ТЕ „Костолац Б”, Енергопројект – Ентел, 2011.</w:t>
      </w:r>
      <w:r>
        <w:rPr>
          <w:color w:val="231F20"/>
          <w:spacing w:val="2"/>
          <w:sz w:val="14"/>
        </w:rPr>
        <w:t> </w:t>
      </w:r>
      <w:r>
        <w:rPr>
          <w:color w:val="231F20"/>
          <w:spacing w:val="-2"/>
          <w:sz w:val="14"/>
        </w:rPr>
        <w:t>године</w:t>
      </w:r>
    </w:p>
    <w:p>
      <w:pPr>
        <w:spacing w:after="0" w:line="240" w:lineRule="auto"/>
        <w:jc w:val="left"/>
        <w:rPr>
          <w:sz w:val="14"/>
        </w:rPr>
        <w:sectPr>
          <w:pgSz w:w="12480" w:h="15690"/>
          <w:pgMar w:top="120" w:bottom="280" w:left="680" w:right="720"/>
          <w:cols w:num="2" w:equalWidth="0">
            <w:col w:w="5558" w:space="40"/>
            <w:col w:w="5482"/>
          </w:cols>
        </w:sectPr>
      </w:pPr>
    </w:p>
    <w:p>
      <w:pPr>
        <w:pStyle w:val="BodyText"/>
        <w:spacing w:line="232" w:lineRule="auto" w:before="73"/>
        <w:ind w:right="38" w:firstLine="397"/>
      </w:pPr>
      <w:r>
        <w:rPr/>
        <w:pict>
          <v:line style="position:absolute;mso-position-horizontal-relative:page;mso-position-vertical-relative:page;z-index:3760" from="304.724396pt,11.942451pt" to="304.724396pt,748.950451pt" stroked="true" strokeweight=".6pt" strokecolor="#231f20">
            <v:stroke dashstyle="solid"/>
            <w10:wrap type="none"/>
          </v:line>
        </w:pict>
      </w:r>
      <w:r>
        <w:rPr>
          <w:color w:val="231F20"/>
          <w:w w:val="66"/>
        </w:rPr>
        <w:t> </w:t>
      </w:r>
      <w:r>
        <w:rPr>
          <w:color w:val="231F20"/>
        </w:rPr>
        <w:t>–</w:t>
      </w:r>
      <w:r>
        <w:rPr>
          <w:color w:val="231F20"/>
          <w:spacing w:val="-6"/>
        </w:rPr>
        <w:t> </w:t>
      </w:r>
      <w:r>
        <w:rPr>
          <w:color w:val="231F20"/>
        </w:rPr>
        <w:t>планирана</w:t>
      </w:r>
      <w:r>
        <w:rPr>
          <w:color w:val="231F20"/>
          <w:spacing w:val="-6"/>
        </w:rPr>
        <w:t> </w:t>
      </w:r>
      <w:r>
        <w:rPr>
          <w:color w:val="231F20"/>
        </w:rPr>
        <w:t>рекултивација</w:t>
      </w:r>
      <w:r>
        <w:rPr>
          <w:color w:val="231F20"/>
          <w:spacing w:val="-6"/>
        </w:rPr>
        <w:t> </w:t>
      </w:r>
      <w:r>
        <w:rPr>
          <w:color w:val="231F20"/>
        </w:rPr>
        <w:t>одвијаће</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три</w:t>
      </w:r>
      <w:r>
        <w:rPr>
          <w:color w:val="231F20"/>
          <w:spacing w:val="-6"/>
        </w:rPr>
        <w:t> </w:t>
      </w:r>
      <w:r>
        <w:rPr>
          <w:color w:val="231F20"/>
        </w:rPr>
        <w:t>извођачке</w:t>
      </w:r>
      <w:r>
        <w:rPr>
          <w:color w:val="231F20"/>
          <w:spacing w:val="-6"/>
        </w:rPr>
        <w:t> </w:t>
      </w:r>
      <w:r>
        <w:rPr>
          <w:color w:val="231F20"/>
        </w:rPr>
        <w:t>фазе: као техничка рекултивација, биолошка рекултивација и уређива- ње предела, применом уобичајених мера целовите рехабилитаци- је простора деградираног рударским радовима у свему према оп- штим правилима Просторног</w:t>
      </w:r>
      <w:r>
        <w:rPr>
          <w:color w:val="231F20"/>
          <w:spacing w:val="-4"/>
        </w:rPr>
        <w:t> </w:t>
      </w:r>
      <w:r>
        <w:rPr>
          <w:color w:val="231F20"/>
        </w:rPr>
        <w:t>плана;</w:t>
      </w:r>
    </w:p>
    <w:p>
      <w:pPr>
        <w:pStyle w:val="BodyText"/>
        <w:spacing w:line="232" w:lineRule="auto" w:before="5"/>
        <w:ind w:right="38" w:firstLine="396"/>
      </w:pPr>
      <w:r>
        <w:rPr>
          <w:color w:val="231F20"/>
          <w:w w:val="66"/>
        </w:rPr>
        <w:t> </w:t>
      </w:r>
      <w:r>
        <w:rPr>
          <w:color w:val="231F20"/>
        </w:rPr>
        <w:t>– на највишој етажи и у подножју косина одлагалишта у ре- култивацији, предвидети одговарајуће ветрозаштитне појасе уре- ђене по принципу степенасте садње и</w:t>
      </w:r>
    </w:p>
    <w:p>
      <w:pPr>
        <w:pStyle w:val="BodyText"/>
        <w:spacing w:line="235" w:lineRule="auto" w:before="3"/>
        <w:ind w:left="169" w:right="39" w:firstLine="397"/>
      </w:pPr>
      <w:r>
        <w:rPr>
          <w:color w:val="231F20"/>
          <w:w w:val="66"/>
        </w:rPr>
        <w:t> </w:t>
      </w:r>
      <w:r>
        <w:rPr>
          <w:color w:val="231F20"/>
        </w:rPr>
        <w:t>– динамику изградње јавних (шумских и пољских) путева прилагодити потребном времену за консолидацију рекултивиса- ног земљишта.</w:t>
      </w:r>
    </w:p>
    <w:p>
      <w:pPr>
        <w:pStyle w:val="BodyText"/>
        <w:spacing w:before="170"/>
        <w:ind w:left="1883"/>
        <w:jc w:val="left"/>
      </w:pPr>
      <w:r>
        <w:rPr>
          <w:color w:val="231F20"/>
        </w:rPr>
        <w:t>Објекти одводњавања</w:t>
      </w:r>
    </w:p>
    <w:p>
      <w:pPr>
        <w:pStyle w:val="BodyText"/>
        <w:spacing w:before="8"/>
        <w:ind w:left="0"/>
        <w:jc w:val="left"/>
        <w:rPr>
          <w:sz w:val="17"/>
        </w:rPr>
      </w:pPr>
    </w:p>
    <w:p>
      <w:pPr>
        <w:pStyle w:val="BodyText"/>
        <w:spacing w:line="235" w:lineRule="auto"/>
        <w:ind w:left="169" w:right="39" w:firstLine="397"/>
      </w:pPr>
      <w:r>
        <w:rPr>
          <w:color w:val="231F20"/>
        </w:rPr>
        <w:t>Утврђују се следећа правила уређења за објекте одводњава- ња површинског копа „Дрмно” – стање 2022. године:</w:t>
      </w:r>
    </w:p>
    <w:p>
      <w:pPr>
        <w:pStyle w:val="BodyText"/>
        <w:spacing w:line="235" w:lineRule="auto" w:before="2"/>
        <w:ind w:left="169" w:right="39" w:firstLine="396"/>
      </w:pPr>
      <w:r>
        <w:rPr>
          <w:color w:val="231F20"/>
          <w:w w:val="66"/>
        </w:rPr>
        <w:t> </w:t>
      </w:r>
      <w:r>
        <w:rPr>
          <w:color w:val="231F20"/>
        </w:rPr>
        <w:t>– на основу одговарајућих истражних радова при изради ру- дарских пројеката предвидети и </w:t>
      </w:r>
      <w:r>
        <w:rPr>
          <w:color w:val="231F20"/>
          <w:spacing w:val="-4"/>
        </w:rPr>
        <w:t>током </w:t>
      </w:r>
      <w:r>
        <w:rPr>
          <w:color w:val="231F20"/>
        </w:rPr>
        <w:t>експлоатације спроводи- ти мере заштите </w:t>
      </w:r>
      <w:r>
        <w:rPr>
          <w:color w:val="231F20"/>
          <w:spacing w:val="-3"/>
        </w:rPr>
        <w:t>копа од </w:t>
      </w:r>
      <w:r>
        <w:rPr>
          <w:color w:val="231F20"/>
        </w:rPr>
        <w:t>површинских и подземних вода </w:t>
      </w:r>
      <w:r>
        <w:rPr>
          <w:color w:val="231F20"/>
          <w:spacing w:val="-3"/>
        </w:rPr>
        <w:t>тако </w:t>
      </w:r>
      <w:r>
        <w:rPr>
          <w:color w:val="231F20"/>
        </w:rPr>
        <w:t>да се спречи, или сведе на минимални, утицај површинског </w:t>
      </w:r>
      <w:r>
        <w:rPr>
          <w:color w:val="231F20"/>
          <w:spacing w:val="-3"/>
        </w:rPr>
        <w:t>копа </w:t>
      </w:r>
      <w:r>
        <w:rPr>
          <w:color w:val="231F20"/>
        </w:rPr>
        <w:t>на режим и квалитет подземних и површинских вода, при чему тре- ба</w:t>
      </w:r>
      <w:r>
        <w:rPr>
          <w:color w:val="231F20"/>
          <w:spacing w:val="7"/>
        </w:rPr>
        <w:t> </w:t>
      </w:r>
      <w:r>
        <w:rPr>
          <w:color w:val="231F20"/>
        </w:rPr>
        <w:t>узети</w:t>
      </w:r>
      <w:r>
        <w:rPr>
          <w:color w:val="231F20"/>
          <w:spacing w:val="7"/>
        </w:rPr>
        <w:t> </w:t>
      </w:r>
      <w:r>
        <w:rPr>
          <w:color w:val="231F20"/>
        </w:rPr>
        <w:t>у</w:t>
      </w:r>
      <w:r>
        <w:rPr>
          <w:color w:val="231F20"/>
          <w:spacing w:val="7"/>
        </w:rPr>
        <w:t> </w:t>
      </w:r>
      <w:r>
        <w:rPr>
          <w:color w:val="231F20"/>
        </w:rPr>
        <w:t>обзир</w:t>
      </w:r>
      <w:r>
        <w:rPr>
          <w:color w:val="231F20"/>
          <w:spacing w:val="7"/>
        </w:rPr>
        <w:t> </w:t>
      </w:r>
      <w:r>
        <w:rPr>
          <w:color w:val="231F20"/>
        </w:rPr>
        <w:t>чињеницу</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даља</w:t>
      </w:r>
      <w:r>
        <w:rPr>
          <w:color w:val="231F20"/>
          <w:spacing w:val="7"/>
        </w:rPr>
        <w:t> </w:t>
      </w:r>
      <w:r>
        <w:rPr>
          <w:color w:val="231F20"/>
        </w:rPr>
        <w:t>експлоатација</w:t>
      </w:r>
      <w:r>
        <w:rPr>
          <w:color w:val="231F20"/>
          <w:spacing w:val="7"/>
        </w:rPr>
        <w:t> </w:t>
      </w:r>
      <w:r>
        <w:rPr>
          <w:color w:val="231F20"/>
        </w:rPr>
        <w:t>угља</w:t>
      </w:r>
      <w:r>
        <w:rPr>
          <w:color w:val="231F20"/>
          <w:spacing w:val="7"/>
        </w:rPr>
        <w:t> </w:t>
      </w:r>
      <w:r>
        <w:rPr>
          <w:color w:val="231F20"/>
        </w:rPr>
        <w:t>на</w:t>
      </w:r>
      <w:r>
        <w:rPr>
          <w:color w:val="231F20"/>
          <w:spacing w:val="7"/>
        </w:rPr>
        <w:t> </w:t>
      </w:r>
      <w:r>
        <w:rPr>
          <w:color w:val="231F20"/>
        </w:rPr>
        <w:t>ПК</w:t>
      </w:r>
    </w:p>
    <w:p>
      <w:pPr>
        <w:pStyle w:val="BodyText"/>
        <w:spacing w:line="235" w:lineRule="auto" w:before="5"/>
        <w:ind w:left="169"/>
        <w:jc w:val="left"/>
      </w:pPr>
      <w:r>
        <w:rPr>
          <w:color w:val="231F20"/>
        </w:rPr>
        <w:t>„Дрмно” врши се у све сложенијим хидрогеолошким условима, а да у завршној фази експлоатације дубина копа износи 150 m;</w:t>
      </w:r>
    </w:p>
    <w:p>
      <w:pPr>
        <w:pStyle w:val="BodyText"/>
        <w:spacing w:line="235" w:lineRule="auto" w:before="2"/>
        <w:ind w:left="169" w:right="39" w:firstLine="397"/>
      </w:pPr>
      <w:r>
        <w:rPr>
          <w:color w:val="231F20"/>
          <w:w w:val="66"/>
        </w:rPr>
        <w:t> </w:t>
      </w:r>
      <w:r>
        <w:rPr>
          <w:color w:val="231F20"/>
        </w:rPr>
        <w:t>–</w:t>
      </w:r>
      <w:r>
        <w:rPr>
          <w:color w:val="231F20"/>
          <w:spacing w:val="-14"/>
        </w:rPr>
        <w:t> </w:t>
      </w:r>
      <w:r>
        <w:rPr>
          <w:color w:val="231F20"/>
        </w:rPr>
        <w:t>поред</w:t>
      </w:r>
      <w:r>
        <w:rPr>
          <w:color w:val="231F20"/>
          <w:spacing w:val="-14"/>
        </w:rPr>
        <w:t> </w:t>
      </w:r>
      <w:r>
        <w:rPr>
          <w:color w:val="231F20"/>
        </w:rPr>
        <w:t>општег</w:t>
      </w:r>
      <w:r>
        <w:rPr>
          <w:color w:val="231F20"/>
          <w:spacing w:val="-14"/>
        </w:rPr>
        <w:t> </w:t>
      </w:r>
      <w:r>
        <w:rPr>
          <w:color w:val="231F20"/>
        </w:rPr>
        <w:t>захтева</w:t>
      </w:r>
      <w:r>
        <w:rPr>
          <w:color w:val="231F20"/>
          <w:spacing w:val="-14"/>
        </w:rPr>
        <w:t> </w:t>
      </w:r>
      <w:r>
        <w:rPr>
          <w:color w:val="231F20"/>
        </w:rPr>
        <w:t>да</w:t>
      </w:r>
      <w:r>
        <w:rPr>
          <w:color w:val="231F20"/>
          <w:spacing w:val="-14"/>
        </w:rPr>
        <w:t> </w:t>
      </w:r>
      <w:r>
        <w:rPr>
          <w:color w:val="231F20"/>
        </w:rPr>
        <w:t>се</w:t>
      </w:r>
      <w:r>
        <w:rPr>
          <w:color w:val="231F20"/>
          <w:spacing w:val="-14"/>
        </w:rPr>
        <w:t> </w:t>
      </w:r>
      <w:r>
        <w:rPr>
          <w:color w:val="231F20"/>
        </w:rPr>
        <w:t>спречи</w:t>
      </w:r>
      <w:r>
        <w:rPr>
          <w:color w:val="231F20"/>
          <w:spacing w:val="-14"/>
        </w:rPr>
        <w:t> </w:t>
      </w:r>
      <w:r>
        <w:rPr>
          <w:color w:val="231F20"/>
        </w:rPr>
        <w:t>загађивање</w:t>
      </w:r>
      <w:r>
        <w:rPr>
          <w:color w:val="231F20"/>
          <w:spacing w:val="-14"/>
        </w:rPr>
        <w:t> </w:t>
      </w:r>
      <w:r>
        <w:rPr>
          <w:color w:val="231F20"/>
        </w:rPr>
        <w:t>тла,</w:t>
      </w:r>
      <w:r>
        <w:rPr>
          <w:color w:val="231F20"/>
          <w:spacing w:val="-14"/>
        </w:rPr>
        <w:t> </w:t>
      </w:r>
      <w:r>
        <w:rPr>
          <w:color w:val="231F20"/>
        </w:rPr>
        <w:t>водотока и</w:t>
      </w:r>
      <w:r>
        <w:rPr>
          <w:color w:val="231F20"/>
          <w:spacing w:val="-5"/>
        </w:rPr>
        <w:t> </w:t>
      </w:r>
      <w:r>
        <w:rPr>
          <w:color w:val="231F20"/>
        </w:rPr>
        <w:t>подземних</w:t>
      </w:r>
      <w:r>
        <w:rPr>
          <w:color w:val="231F20"/>
          <w:spacing w:val="-5"/>
        </w:rPr>
        <w:t> </w:t>
      </w:r>
      <w:r>
        <w:rPr>
          <w:color w:val="231F20"/>
        </w:rPr>
        <w:t>вода,</w:t>
      </w:r>
      <w:r>
        <w:rPr>
          <w:color w:val="231F20"/>
          <w:spacing w:val="-5"/>
        </w:rPr>
        <w:t> </w:t>
      </w:r>
      <w:r>
        <w:rPr>
          <w:color w:val="231F20"/>
        </w:rPr>
        <w:t>посебно</w:t>
      </w:r>
      <w:r>
        <w:rPr>
          <w:color w:val="231F20"/>
          <w:spacing w:val="-5"/>
        </w:rPr>
        <w:t> </w:t>
      </w:r>
      <w:r>
        <w:rPr>
          <w:color w:val="231F20"/>
        </w:rPr>
        <w:t>обратити</w:t>
      </w:r>
      <w:r>
        <w:rPr>
          <w:color w:val="231F20"/>
          <w:spacing w:val="-5"/>
        </w:rPr>
        <w:t> </w:t>
      </w:r>
      <w:r>
        <w:rPr>
          <w:color w:val="231F20"/>
        </w:rPr>
        <w:t>пажњу</w:t>
      </w:r>
      <w:r>
        <w:rPr>
          <w:color w:val="231F20"/>
          <w:spacing w:val="-5"/>
        </w:rPr>
        <w:t> </w:t>
      </w:r>
      <w:r>
        <w:rPr>
          <w:color w:val="231F20"/>
        </w:rPr>
        <w:t>на</w:t>
      </w:r>
      <w:r>
        <w:rPr>
          <w:color w:val="231F20"/>
          <w:spacing w:val="-5"/>
        </w:rPr>
        <w:t> </w:t>
      </w:r>
      <w:r>
        <w:rPr>
          <w:color w:val="231F20"/>
        </w:rPr>
        <w:t>то</w:t>
      </w:r>
      <w:r>
        <w:rPr>
          <w:color w:val="231F20"/>
          <w:spacing w:val="-5"/>
        </w:rPr>
        <w:t> </w:t>
      </w:r>
      <w:r>
        <w:rPr>
          <w:color w:val="231F20"/>
        </w:rPr>
        <w:t>да</w:t>
      </w:r>
      <w:r>
        <w:rPr>
          <w:color w:val="231F20"/>
          <w:spacing w:val="-5"/>
        </w:rPr>
        <w:t> </w:t>
      </w:r>
      <w:r>
        <w:rPr>
          <w:color w:val="231F20"/>
        </w:rPr>
        <w:t>је</w:t>
      </w:r>
      <w:r>
        <w:rPr>
          <w:color w:val="231F20"/>
          <w:spacing w:val="-5"/>
        </w:rPr>
        <w:t> </w:t>
      </w:r>
      <w:r>
        <w:rPr>
          <w:color w:val="231F20"/>
        </w:rPr>
        <w:t>испуштање непречишћених вода из система заштите </w:t>
      </w:r>
      <w:r>
        <w:rPr>
          <w:color w:val="231F20"/>
          <w:spacing w:val="-3"/>
        </w:rPr>
        <w:t>копа </w:t>
      </w:r>
      <w:r>
        <w:rPr>
          <w:color w:val="231F20"/>
        </w:rPr>
        <w:t>у </w:t>
      </w:r>
      <w:r>
        <w:rPr>
          <w:color w:val="231F20"/>
          <w:spacing w:val="-3"/>
        </w:rPr>
        <w:t>коначне </w:t>
      </w:r>
      <w:r>
        <w:rPr>
          <w:color w:val="231F20"/>
        </w:rPr>
        <w:t>реципи- јенте (реке: Дунав и Млава) могуће само </w:t>
      </w:r>
      <w:r>
        <w:rPr>
          <w:color w:val="231F20"/>
          <w:spacing w:val="-4"/>
        </w:rPr>
        <w:t>ако </w:t>
      </w:r>
      <w:r>
        <w:rPr>
          <w:color w:val="231F20"/>
        </w:rPr>
        <w:t>се, кроз стално пона- вљана</w:t>
      </w:r>
      <w:r>
        <w:rPr>
          <w:color w:val="231F20"/>
          <w:spacing w:val="-7"/>
        </w:rPr>
        <w:t> </w:t>
      </w:r>
      <w:r>
        <w:rPr>
          <w:color w:val="231F20"/>
        </w:rPr>
        <w:t>мерења</w:t>
      </w:r>
      <w:r>
        <w:rPr>
          <w:color w:val="231F20"/>
          <w:spacing w:val="-7"/>
        </w:rPr>
        <w:t> </w:t>
      </w:r>
      <w:r>
        <w:rPr>
          <w:color w:val="231F20"/>
        </w:rPr>
        <w:t>и</w:t>
      </w:r>
      <w:r>
        <w:rPr>
          <w:color w:val="231F20"/>
          <w:spacing w:val="-7"/>
        </w:rPr>
        <w:t> </w:t>
      </w:r>
      <w:r>
        <w:rPr>
          <w:color w:val="231F20"/>
        </w:rPr>
        <w:t>анализе,</w:t>
      </w:r>
      <w:r>
        <w:rPr>
          <w:color w:val="231F20"/>
          <w:spacing w:val="-7"/>
        </w:rPr>
        <w:t> </w:t>
      </w:r>
      <w:r>
        <w:rPr>
          <w:color w:val="231F20"/>
        </w:rPr>
        <w:t>докаже</w:t>
      </w:r>
      <w:r>
        <w:rPr>
          <w:color w:val="231F20"/>
          <w:spacing w:val="-7"/>
        </w:rPr>
        <w:t> </w:t>
      </w:r>
      <w:r>
        <w:rPr>
          <w:color w:val="231F20"/>
        </w:rPr>
        <w:t>да</w:t>
      </w:r>
      <w:r>
        <w:rPr>
          <w:color w:val="231F20"/>
          <w:spacing w:val="-7"/>
        </w:rPr>
        <w:t> </w:t>
      </w:r>
      <w:r>
        <w:rPr>
          <w:color w:val="231F20"/>
        </w:rPr>
        <w:t>пречишћавање,</w:t>
      </w:r>
      <w:r>
        <w:rPr>
          <w:color w:val="231F20"/>
          <w:spacing w:val="-7"/>
        </w:rPr>
        <w:t> </w:t>
      </w:r>
      <w:r>
        <w:rPr>
          <w:color w:val="231F20"/>
        </w:rPr>
        <w:t>у</w:t>
      </w:r>
      <w:r>
        <w:rPr>
          <w:color w:val="231F20"/>
          <w:spacing w:val="-7"/>
        </w:rPr>
        <w:t> </w:t>
      </w:r>
      <w:r>
        <w:rPr>
          <w:color w:val="231F20"/>
        </w:rPr>
        <w:t>смислу</w:t>
      </w:r>
      <w:r>
        <w:rPr>
          <w:color w:val="231F20"/>
          <w:spacing w:val="-8"/>
        </w:rPr>
        <w:t> </w:t>
      </w:r>
      <w:r>
        <w:rPr>
          <w:color w:val="231F20"/>
        </w:rPr>
        <w:t>Зако- на о водама, није</w:t>
      </w:r>
      <w:r>
        <w:rPr>
          <w:color w:val="231F20"/>
          <w:spacing w:val="-3"/>
        </w:rPr>
        <w:t> </w:t>
      </w:r>
      <w:r>
        <w:rPr>
          <w:color w:val="231F20"/>
        </w:rPr>
        <w:t>неопходно;</w:t>
      </w:r>
    </w:p>
    <w:p>
      <w:pPr>
        <w:pStyle w:val="BodyText"/>
        <w:spacing w:line="235" w:lineRule="auto" w:before="6"/>
        <w:ind w:left="169" w:right="39" w:firstLine="397"/>
      </w:pPr>
      <w:r>
        <w:rPr>
          <w:color w:val="231F20"/>
          <w:w w:val="66"/>
        </w:rPr>
        <w:t> </w:t>
      </w:r>
      <w:r>
        <w:rPr>
          <w:color w:val="231F20"/>
        </w:rPr>
        <w:t>–</w:t>
      </w:r>
      <w:r>
        <w:rPr>
          <w:color w:val="231F20"/>
          <w:spacing w:val="-14"/>
        </w:rPr>
        <w:t> </w:t>
      </w:r>
      <w:r>
        <w:rPr>
          <w:color w:val="231F20"/>
        </w:rPr>
        <w:t>систем</w:t>
      </w:r>
      <w:r>
        <w:rPr>
          <w:color w:val="231F20"/>
          <w:spacing w:val="-14"/>
        </w:rPr>
        <w:t> </w:t>
      </w:r>
      <w:r>
        <w:rPr>
          <w:color w:val="231F20"/>
        </w:rPr>
        <w:t>заштите</w:t>
      </w:r>
      <w:r>
        <w:rPr>
          <w:color w:val="231F20"/>
          <w:spacing w:val="-14"/>
        </w:rPr>
        <w:t> </w:t>
      </w:r>
      <w:r>
        <w:rPr>
          <w:color w:val="231F20"/>
          <w:spacing w:val="-3"/>
        </w:rPr>
        <w:t>копа</w:t>
      </w:r>
      <w:r>
        <w:rPr>
          <w:color w:val="231F20"/>
          <w:spacing w:val="-14"/>
        </w:rPr>
        <w:t> </w:t>
      </w:r>
      <w:r>
        <w:rPr>
          <w:color w:val="231F20"/>
        </w:rPr>
        <w:t>чине</w:t>
      </w:r>
      <w:r>
        <w:rPr>
          <w:color w:val="231F20"/>
          <w:spacing w:val="-14"/>
        </w:rPr>
        <w:t> </w:t>
      </w:r>
      <w:r>
        <w:rPr>
          <w:color w:val="231F20"/>
        </w:rPr>
        <w:t>објекти</w:t>
      </w:r>
      <w:r>
        <w:rPr>
          <w:color w:val="231F20"/>
          <w:spacing w:val="-14"/>
        </w:rPr>
        <w:t> </w:t>
      </w:r>
      <w:r>
        <w:rPr>
          <w:color w:val="231F20"/>
        </w:rPr>
        <w:t>водонепропусних</w:t>
      </w:r>
      <w:r>
        <w:rPr>
          <w:color w:val="231F20"/>
          <w:spacing w:val="-14"/>
        </w:rPr>
        <w:t> </w:t>
      </w:r>
      <w:r>
        <w:rPr>
          <w:color w:val="231F20"/>
        </w:rPr>
        <w:t>екрана, бунара, водосабирника и други, </w:t>
      </w:r>
      <w:r>
        <w:rPr>
          <w:color w:val="231F20"/>
          <w:spacing w:val="-3"/>
        </w:rPr>
        <w:t>који </w:t>
      </w:r>
      <w:r>
        <w:rPr>
          <w:color w:val="231F20"/>
        </w:rPr>
        <w:t>се диспозиционо и функцио- нално изводе као објекти заштите јаловинских и угљених етажа, објекти заштите откопаног простора и објекти заштите простора унутрашњег</w:t>
      </w:r>
      <w:r>
        <w:rPr>
          <w:color w:val="231F20"/>
          <w:spacing w:val="-2"/>
        </w:rPr>
        <w:t> </w:t>
      </w:r>
      <w:r>
        <w:rPr>
          <w:color w:val="231F20"/>
        </w:rPr>
        <w:t>одлагалишта;</w:t>
      </w:r>
    </w:p>
    <w:p>
      <w:pPr>
        <w:pStyle w:val="BodyText"/>
        <w:spacing w:line="235" w:lineRule="auto" w:before="4"/>
        <w:ind w:left="169" w:right="38" w:firstLine="396"/>
      </w:pPr>
      <w:r>
        <w:rPr>
          <w:color w:val="231F20"/>
          <w:w w:val="66"/>
        </w:rPr>
        <w:t> </w:t>
      </w:r>
      <w:r>
        <w:rPr>
          <w:color w:val="231F20"/>
        </w:rPr>
        <w:t>– испумпане воде </w:t>
      </w:r>
      <w:r>
        <w:rPr>
          <w:color w:val="231F20"/>
          <w:spacing w:val="-3"/>
        </w:rPr>
        <w:t>одводе </w:t>
      </w:r>
      <w:r>
        <w:rPr>
          <w:color w:val="231F20"/>
        </w:rPr>
        <w:t>се ван подручја површинског </w:t>
      </w:r>
      <w:r>
        <w:rPr>
          <w:color w:val="231F20"/>
          <w:spacing w:val="-4"/>
        </w:rPr>
        <w:t>копа </w:t>
      </w:r>
      <w:r>
        <w:rPr>
          <w:color w:val="231F20"/>
        </w:rPr>
        <w:t>магистралним одводним цевоводима до реке Млаве. </w:t>
      </w:r>
      <w:r>
        <w:rPr>
          <w:color w:val="231F20"/>
          <w:spacing w:val="-3"/>
        </w:rPr>
        <w:t>Унутар </w:t>
      </w:r>
      <w:r>
        <w:rPr>
          <w:color w:val="231F20"/>
        </w:rPr>
        <w:t>повр- шинског </w:t>
      </w:r>
      <w:r>
        <w:rPr>
          <w:color w:val="231F20"/>
          <w:spacing w:val="-3"/>
        </w:rPr>
        <w:t>копа, </w:t>
      </w:r>
      <w:r>
        <w:rPr>
          <w:color w:val="231F20"/>
        </w:rPr>
        <w:t>на најнижој </w:t>
      </w:r>
      <w:r>
        <w:rPr>
          <w:color w:val="231F20"/>
          <w:spacing w:val="-4"/>
        </w:rPr>
        <w:t>коти </w:t>
      </w:r>
      <w:r>
        <w:rPr>
          <w:color w:val="231F20"/>
        </w:rPr>
        <w:t>је лоциран </w:t>
      </w:r>
      <w:r>
        <w:rPr>
          <w:color w:val="231F20"/>
          <w:spacing w:val="-3"/>
        </w:rPr>
        <w:t>главни </w:t>
      </w:r>
      <w:r>
        <w:rPr>
          <w:color w:val="231F20"/>
        </w:rPr>
        <w:t>водосабирник ВС-1 </w:t>
      </w:r>
      <w:r>
        <w:rPr>
          <w:color w:val="231F20"/>
          <w:spacing w:val="-3"/>
        </w:rPr>
        <w:t>који </w:t>
      </w:r>
      <w:r>
        <w:rPr>
          <w:color w:val="231F20"/>
        </w:rPr>
        <w:t>представља реципијент за све површинске воде и под- земне воде истекле из косина етажа, прикупљене интервентним водосабирницима и спроведене дренажним каналима; из водоса- бирника ВС-1 вода се транспортује потисним цевоводима</w:t>
      </w:r>
      <w:r>
        <w:rPr>
          <w:color w:val="231F20"/>
          <w:spacing w:val="-33"/>
        </w:rPr>
        <w:t> </w:t>
      </w:r>
      <w:r>
        <w:rPr>
          <w:color w:val="231F20"/>
        </w:rPr>
        <w:t>пречни- ка 400 и 300 mm до магистралног одводног цевовода и даље у ре- ку Млаву; укупне </w:t>
      </w:r>
      <w:r>
        <w:rPr>
          <w:color w:val="231F20"/>
          <w:spacing w:val="-3"/>
        </w:rPr>
        <w:t>количине </w:t>
      </w:r>
      <w:r>
        <w:rPr>
          <w:color w:val="231F20"/>
        </w:rPr>
        <w:t>испумпане воде из површинског </w:t>
      </w:r>
      <w:r>
        <w:rPr>
          <w:color w:val="231F20"/>
          <w:spacing w:val="-4"/>
        </w:rPr>
        <w:t>копа </w:t>
      </w:r>
      <w:r>
        <w:rPr>
          <w:color w:val="231F20"/>
        </w:rPr>
        <w:t>Дрмно из </w:t>
      </w:r>
      <w:r>
        <w:rPr>
          <w:color w:val="231F20"/>
          <w:spacing w:val="-3"/>
        </w:rPr>
        <w:t>одводних </w:t>
      </w:r>
      <w:r>
        <w:rPr>
          <w:color w:val="231F20"/>
        </w:rPr>
        <w:t>линија и баража </w:t>
      </w:r>
      <w:r>
        <w:rPr>
          <w:color w:val="231F20"/>
          <w:spacing w:val="-3"/>
        </w:rPr>
        <w:t>копа одводе </w:t>
      </w:r>
      <w:r>
        <w:rPr>
          <w:color w:val="231F20"/>
        </w:rPr>
        <w:t>се ван подручја </w:t>
      </w:r>
      <w:r>
        <w:rPr>
          <w:color w:val="231F20"/>
          <w:spacing w:val="-3"/>
        </w:rPr>
        <w:t>копа </w:t>
      </w:r>
      <w:r>
        <w:rPr>
          <w:color w:val="231F20"/>
        </w:rPr>
        <w:t>и испуштају у реку Млаву на два </w:t>
      </w:r>
      <w:r>
        <w:rPr>
          <w:color w:val="231F20"/>
          <w:spacing w:val="-2"/>
        </w:rPr>
        <w:t>уливна </w:t>
      </w:r>
      <w:r>
        <w:rPr>
          <w:color w:val="231F20"/>
        </w:rPr>
        <w:t>пункта, и то: </w:t>
      </w:r>
      <w:r>
        <w:rPr>
          <w:color w:val="231F20"/>
          <w:spacing w:val="-3"/>
        </w:rPr>
        <w:t>преко главне одводне </w:t>
      </w:r>
      <w:r>
        <w:rPr>
          <w:color w:val="231F20"/>
        </w:rPr>
        <w:t>линије </w:t>
      </w:r>
      <w:r>
        <w:rPr>
          <w:color w:val="231F20"/>
          <w:spacing w:val="-4"/>
        </w:rPr>
        <w:t>ГОЛ-1 </w:t>
      </w:r>
      <w:r>
        <w:rPr>
          <w:color w:val="231F20"/>
        </w:rPr>
        <w:t>северозападно </w:t>
      </w:r>
      <w:r>
        <w:rPr>
          <w:color w:val="231F20"/>
          <w:spacing w:val="-3"/>
        </w:rPr>
        <w:t>од </w:t>
      </w:r>
      <w:r>
        <w:rPr>
          <w:color w:val="231F20"/>
        </w:rPr>
        <w:t>експлоатационог поља, и </w:t>
      </w:r>
      <w:r>
        <w:rPr>
          <w:color w:val="231F20"/>
          <w:spacing w:val="-3"/>
        </w:rPr>
        <w:t>преко </w:t>
      </w:r>
      <w:r>
        <w:rPr>
          <w:color w:val="231F20"/>
        </w:rPr>
        <w:t>преливне пумпне станице западно </w:t>
      </w:r>
      <w:r>
        <w:rPr>
          <w:color w:val="231F20"/>
          <w:spacing w:val="-3"/>
        </w:rPr>
        <w:t>од </w:t>
      </w:r>
      <w:r>
        <w:rPr>
          <w:color w:val="231F20"/>
        </w:rPr>
        <w:t>експлоатаци- оног</w:t>
      </w:r>
      <w:r>
        <w:rPr>
          <w:color w:val="231F20"/>
          <w:spacing w:val="-2"/>
        </w:rPr>
        <w:t> </w:t>
      </w:r>
      <w:r>
        <w:rPr>
          <w:color w:val="231F20"/>
        </w:rPr>
        <w:t>поља;</w:t>
      </w:r>
    </w:p>
    <w:p>
      <w:pPr>
        <w:pStyle w:val="BodyText"/>
        <w:spacing w:line="235" w:lineRule="auto" w:before="13"/>
        <w:ind w:right="39" w:firstLine="396"/>
      </w:pPr>
      <w:r>
        <w:rPr>
          <w:color w:val="231F20"/>
          <w:w w:val="66"/>
        </w:rPr>
        <w:t> </w:t>
      </w:r>
      <w:r>
        <w:rPr>
          <w:color w:val="231F20"/>
        </w:rPr>
        <w:t>–</w:t>
      </w:r>
      <w:r>
        <w:rPr>
          <w:color w:val="231F20"/>
          <w:spacing w:val="-7"/>
        </w:rPr>
        <w:t> </w:t>
      </w:r>
      <w:r>
        <w:rPr>
          <w:color w:val="231F20"/>
        </w:rPr>
        <w:t>планирани</w:t>
      </w:r>
      <w:r>
        <w:rPr>
          <w:color w:val="231F20"/>
          <w:spacing w:val="-7"/>
        </w:rPr>
        <w:t> </w:t>
      </w:r>
      <w:r>
        <w:rPr>
          <w:color w:val="231F20"/>
        </w:rPr>
        <w:t>водонепропусни</w:t>
      </w:r>
      <w:r>
        <w:rPr>
          <w:color w:val="231F20"/>
          <w:spacing w:val="-7"/>
        </w:rPr>
        <w:t> </w:t>
      </w:r>
      <w:r>
        <w:rPr>
          <w:color w:val="231F20"/>
        </w:rPr>
        <w:t>екран</w:t>
      </w:r>
      <w:r>
        <w:rPr>
          <w:color w:val="231F20"/>
          <w:spacing w:val="-7"/>
        </w:rPr>
        <w:t> </w:t>
      </w:r>
      <w:r>
        <w:rPr>
          <w:color w:val="231F20"/>
        </w:rPr>
        <w:t>се</w:t>
      </w:r>
      <w:r>
        <w:rPr>
          <w:color w:val="231F20"/>
          <w:spacing w:val="-7"/>
        </w:rPr>
        <w:t> </w:t>
      </w:r>
      <w:r>
        <w:rPr>
          <w:color w:val="231F20"/>
        </w:rPr>
        <w:t>састоји</w:t>
      </w:r>
      <w:r>
        <w:rPr>
          <w:color w:val="231F20"/>
          <w:spacing w:val="-7"/>
        </w:rPr>
        <w:t> </w:t>
      </w:r>
      <w:r>
        <w:rPr>
          <w:color w:val="231F20"/>
        </w:rPr>
        <w:t>из</w:t>
      </w:r>
      <w:r>
        <w:rPr>
          <w:color w:val="231F20"/>
          <w:spacing w:val="-7"/>
        </w:rPr>
        <w:t> </w:t>
      </w:r>
      <w:r>
        <w:rPr>
          <w:color w:val="231F20"/>
        </w:rPr>
        <w:t>8</w:t>
      </w:r>
      <w:r>
        <w:rPr>
          <w:color w:val="231F20"/>
          <w:spacing w:val="-7"/>
        </w:rPr>
        <w:t> </w:t>
      </w:r>
      <w:r>
        <w:rPr>
          <w:color w:val="231F20"/>
        </w:rPr>
        <w:t>деоница</w:t>
      </w:r>
      <w:r>
        <w:rPr>
          <w:color w:val="231F20"/>
          <w:spacing w:val="-7"/>
        </w:rPr>
        <w:t> </w:t>
      </w:r>
      <w:r>
        <w:rPr>
          <w:color w:val="231F20"/>
        </w:rPr>
        <w:t>и има укупну дужину </w:t>
      </w:r>
      <w:r>
        <w:rPr>
          <w:color w:val="231F20"/>
          <w:spacing w:val="-4"/>
        </w:rPr>
        <w:t>око </w:t>
      </w:r>
      <w:r>
        <w:rPr>
          <w:color w:val="231F20"/>
        </w:rPr>
        <w:t>12.800 m, укупна пројектована површина екрана је 424.500 m², док је укупна запремина 368.000</w:t>
      </w:r>
      <w:r>
        <w:rPr>
          <w:color w:val="231F20"/>
          <w:spacing w:val="-9"/>
        </w:rPr>
        <w:t> </w:t>
      </w:r>
      <w:r>
        <w:rPr>
          <w:color w:val="231F20"/>
        </w:rPr>
        <w:t>m³;</w:t>
      </w:r>
    </w:p>
    <w:p>
      <w:pPr>
        <w:pStyle w:val="BodyText"/>
        <w:spacing w:line="235" w:lineRule="auto" w:before="3"/>
        <w:ind w:right="38" w:firstLine="396"/>
      </w:pPr>
      <w:r>
        <w:rPr>
          <w:color w:val="231F20"/>
          <w:w w:val="66"/>
        </w:rPr>
        <w:t> </w:t>
      </w:r>
      <w:r>
        <w:rPr>
          <w:color w:val="231F20"/>
        </w:rPr>
        <w:t>– као помоћна метода одводњавања предвиђено је одводња- вање помоћу игло филтера; на један колектор је могуће везати до 115 игло филтера дубине 8 m на међусобном растојању од 1 m, а предвиђена су 3 комплета игло филтера;</w:t>
      </w:r>
    </w:p>
    <w:p>
      <w:pPr>
        <w:pStyle w:val="BodyText"/>
        <w:spacing w:line="235" w:lineRule="auto" w:before="4"/>
        <w:ind w:right="38" w:firstLine="396"/>
      </w:pPr>
      <w:r>
        <w:rPr>
          <w:color w:val="231F20"/>
          <w:w w:val="66"/>
        </w:rPr>
        <w:t> </w:t>
      </w:r>
      <w:r>
        <w:rPr>
          <w:color w:val="231F20"/>
        </w:rPr>
        <w:t>– измештање корита Дунавца, односно, изградња ободног канала, као и евентуалне интервенције на латералним каналима и линијским дренажним каналима, мора се изводити искључиво као део система заштите приобаља услед успора и других негативних утицаја акумулационог језера, који су настали у оквиру редовног режима рада ХЕПС „Ђердап”, односно, у складу са планираним ојачањима и проширењима одбрамбеног насипа са баластом;</w:t>
      </w:r>
    </w:p>
    <w:p>
      <w:pPr>
        <w:pStyle w:val="BodyText"/>
        <w:spacing w:line="235" w:lineRule="auto" w:before="6"/>
        <w:ind w:right="38" w:firstLine="397"/>
      </w:pPr>
      <w:r>
        <w:rPr>
          <w:color w:val="231F20"/>
          <w:w w:val="66"/>
        </w:rPr>
        <w:t> </w:t>
      </w:r>
      <w:r>
        <w:rPr>
          <w:color w:val="231F20"/>
        </w:rPr>
        <w:t>– </w:t>
      </w:r>
      <w:r>
        <w:rPr>
          <w:color w:val="231F20"/>
          <w:spacing w:val="-3"/>
        </w:rPr>
        <w:t>приликом </w:t>
      </w:r>
      <w:r>
        <w:rPr>
          <w:color w:val="231F20"/>
        </w:rPr>
        <w:t>израде одговарајуће техничке документације, на основу техноекономских анализа, оцениће се потреба изградње нове</w:t>
      </w:r>
      <w:r>
        <w:rPr>
          <w:color w:val="231F20"/>
          <w:spacing w:val="-5"/>
        </w:rPr>
        <w:t> </w:t>
      </w:r>
      <w:r>
        <w:rPr>
          <w:color w:val="231F20"/>
        </w:rPr>
        <w:t>црпне</w:t>
      </w:r>
      <w:r>
        <w:rPr>
          <w:color w:val="231F20"/>
          <w:spacing w:val="-5"/>
        </w:rPr>
        <w:t> </w:t>
      </w:r>
      <w:r>
        <w:rPr>
          <w:color w:val="231F20"/>
        </w:rPr>
        <w:t>станице</w:t>
      </w:r>
      <w:r>
        <w:rPr>
          <w:color w:val="231F20"/>
          <w:spacing w:val="-5"/>
        </w:rPr>
        <w:t> </w:t>
      </w:r>
      <w:r>
        <w:rPr>
          <w:color w:val="231F20"/>
        </w:rPr>
        <w:t>са</w:t>
      </w:r>
      <w:r>
        <w:rPr>
          <w:color w:val="231F20"/>
          <w:spacing w:val="-5"/>
        </w:rPr>
        <w:t> </w:t>
      </w:r>
      <w:r>
        <w:rPr>
          <w:color w:val="231F20"/>
        </w:rPr>
        <w:t>пумпним</w:t>
      </w:r>
      <w:r>
        <w:rPr>
          <w:color w:val="231F20"/>
          <w:spacing w:val="-5"/>
        </w:rPr>
        <w:t> </w:t>
      </w:r>
      <w:r>
        <w:rPr>
          <w:color w:val="231F20"/>
        </w:rPr>
        <w:t>агрегатима,</w:t>
      </w:r>
      <w:r>
        <w:rPr>
          <w:color w:val="231F20"/>
          <w:spacing w:val="-5"/>
        </w:rPr>
        <w:t> </w:t>
      </w:r>
      <w:r>
        <w:rPr>
          <w:color w:val="231F20"/>
          <w:spacing w:val="-3"/>
        </w:rPr>
        <w:t>која</w:t>
      </w:r>
      <w:r>
        <w:rPr>
          <w:color w:val="231F20"/>
          <w:spacing w:val="-5"/>
        </w:rPr>
        <w:t> </w:t>
      </w:r>
      <w:r>
        <w:rPr>
          <w:color w:val="231F20"/>
        </w:rPr>
        <w:t>би</w:t>
      </w:r>
      <w:r>
        <w:rPr>
          <w:color w:val="231F20"/>
          <w:spacing w:val="-5"/>
        </w:rPr>
        <w:t> </w:t>
      </w:r>
      <w:r>
        <w:rPr>
          <w:color w:val="231F20"/>
        </w:rPr>
        <w:t>заменила</w:t>
      </w:r>
      <w:r>
        <w:rPr>
          <w:color w:val="231F20"/>
          <w:spacing w:val="-5"/>
        </w:rPr>
        <w:t> </w:t>
      </w:r>
      <w:r>
        <w:rPr>
          <w:color w:val="231F20"/>
        </w:rPr>
        <w:t>црп- ну станицу</w:t>
      </w:r>
      <w:r>
        <w:rPr>
          <w:color w:val="231F20"/>
          <w:spacing w:val="-3"/>
        </w:rPr>
        <w:t> </w:t>
      </w:r>
      <w:r>
        <w:rPr>
          <w:color w:val="231F20"/>
        </w:rPr>
        <w:t>„Завојска”;</w:t>
      </w:r>
    </w:p>
    <w:p>
      <w:pPr>
        <w:pStyle w:val="BodyText"/>
        <w:spacing w:line="232" w:lineRule="auto" w:before="3"/>
        <w:ind w:left="169" w:right="38" w:firstLine="397"/>
      </w:pPr>
      <w:r>
        <w:rPr>
          <w:color w:val="231F20"/>
          <w:w w:val="66"/>
        </w:rPr>
        <w:t> </w:t>
      </w:r>
      <w:r>
        <w:rPr>
          <w:color w:val="231F20"/>
        </w:rPr>
        <w:t>– ново корито Дунавца (нови ободни канал) мора бити пре- кривено непропустивом фолијом, а преграђивање старог корита врши се глиненим чепом и</w:t>
      </w:r>
    </w:p>
    <w:p>
      <w:pPr>
        <w:pStyle w:val="BodyText"/>
        <w:spacing w:line="232" w:lineRule="auto" w:before="3"/>
        <w:ind w:left="169" w:right="38" w:firstLine="396"/>
      </w:pPr>
      <w:r>
        <w:rPr>
          <w:color w:val="231F20"/>
          <w:w w:val="66"/>
        </w:rPr>
        <w:t> </w:t>
      </w:r>
      <w:r>
        <w:rPr>
          <w:color w:val="231F20"/>
        </w:rPr>
        <w:t>– након преусмеравања тока Дунавца, старо корито ће још неколико година бити у функцији система заштите од поплавног таласа Дунава.</w:t>
      </w:r>
    </w:p>
    <w:p>
      <w:pPr>
        <w:pStyle w:val="BodyText"/>
        <w:spacing w:before="64"/>
        <w:ind w:left="522" w:right="764"/>
        <w:jc w:val="center"/>
      </w:pPr>
      <w:r>
        <w:rPr/>
        <w:br w:type="column"/>
      </w:r>
      <w:r>
        <w:rPr>
          <w:color w:val="231F20"/>
        </w:rPr>
        <w:t>Електроенергетски и телекомуникациони објекти</w:t>
      </w:r>
    </w:p>
    <w:p>
      <w:pPr>
        <w:pStyle w:val="BodyText"/>
        <w:spacing w:before="10"/>
        <w:ind w:left="0"/>
        <w:jc w:val="left"/>
        <w:rPr>
          <w:sz w:val="16"/>
        </w:rPr>
      </w:pPr>
    </w:p>
    <w:p>
      <w:pPr>
        <w:pStyle w:val="BodyText"/>
        <w:spacing w:line="204" w:lineRule="exact"/>
        <w:ind w:left="566"/>
        <w:jc w:val="left"/>
      </w:pPr>
      <w:r>
        <w:rPr>
          <w:color w:val="231F20"/>
        </w:rPr>
        <w:t>Утврђују се следећа правила уређења за површински коп</w:t>
      </w:r>
    </w:p>
    <w:p>
      <w:pPr>
        <w:pStyle w:val="BodyText"/>
        <w:spacing w:line="201" w:lineRule="exact"/>
      </w:pPr>
      <w:r>
        <w:rPr>
          <w:color w:val="231F20"/>
        </w:rPr>
        <w:t>„Дрмно” до 2022. године:</w:t>
      </w:r>
    </w:p>
    <w:p>
      <w:pPr>
        <w:pStyle w:val="BodyText"/>
        <w:spacing w:line="201" w:lineRule="exact"/>
        <w:ind w:left="567"/>
        <w:jc w:val="left"/>
      </w:pPr>
      <w:r>
        <w:rPr>
          <w:color w:val="231F20"/>
          <w:w w:val="66"/>
        </w:rPr>
        <w:t> </w:t>
      </w:r>
      <w:r>
        <w:rPr>
          <w:color w:val="231F20"/>
        </w:rPr>
        <w:t>– постојећи и планирани електроенергетски систем копа</w:t>
      </w:r>
    </w:p>
    <w:p>
      <w:pPr>
        <w:pStyle w:val="BodyText"/>
        <w:spacing w:line="232" w:lineRule="auto" w:before="2"/>
        <w:ind w:right="411"/>
      </w:pPr>
      <w:r>
        <w:rPr>
          <w:color w:val="231F20"/>
        </w:rPr>
        <w:t>„Дрмно” састоји се из: разводних постројења 110/6 kV, трафоста- нице 35/6 kV, кабловске надземне 6 kV мреже, трафостанице 6/0,4 kV и електроразвода;</w:t>
      </w:r>
    </w:p>
    <w:p>
      <w:pPr>
        <w:pStyle w:val="BodyText"/>
        <w:spacing w:line="232" w:lineRule="auto"/>
        <w:ind w:right="411" w:firstLine="396"/>
      </w:pPr>
      <w:r>
        <w:rPr>
          <w:color w:val="231F20"/>
          <w:w w:val="66"/>
        </w:rPr>
        <w:t> </w:t>
      </w:r>
      <w:r>
        <w:rPr>
          <w:color w:val="231F20"/>
        </w:rPr>
        <w:t>–</w:t>
      </w:r>
      <w:r>
        <w:rPr>
          <w:color w:val="231F20"/>
          <w:spacing w:val="-8"/>
        </w:rPr>
        <w:t> </w:t>
      </w:r>
      <w:r>
        <w:rPr>
          <w:color w:val="231F20"/>
        </w:rPr>
        <w:t>за</w:t>
      </w:r>
      <w:r>
        <w:rPr>
          <w:color w:val="231F20"/>
          <w:spacing w:val="-8"/>
        </w:rPr>
        <w:t> </w:t>
      </w:r>
      <w:r>
        <w:rPr>
          <w:color w:val="231F20"/>
        </w:rPr>
        <w:t>ефикасно</w:t>
      </w:r>
      <w:r>
        <w:rPr>
          <w:color w:val="231F20"/>
          <w:spacing w:val="-8"/>
        </w:rPr>
        <w:t> </w:t>
      </w:r>
      <w:r>
        <w:rPr>
          <w:color w:val="231F20"/>
        </w:rPr>
        <w:t>спровођење</w:t>
      </w:r>
      <w:r>
        <w:rPr>
          <w:color w:val="231F20"/>
          <w:spacing w:val="-8"/>
        </w:rPr>
        <w:t> </w:t>
      </w:r>
      <w:r>
        <w:rPr>
          <w:color w:val="231F20"/>
        </w:rPr>
        <w:t>заштитних</w:t>
      </w:r>
      <w:r>
        <w:rPr>
          <w:color w:val="231F20"/>
          <w:spacing w:val="-7"/>
        </w:rPr>
        <w:t> </w:t>
      </w:r>
      <w:r>
        <w:rPr>
          <w:color w:val="231F20"/>
        </w:rPr>
        <w:t>мера</w:t>
      </w:r>
      <w:r>
        <w:rPr>
          <w:color w:val="231F20"/>
          <w:spacing w:val="-8"/>
        </w:rPr>
        <w:t> </w:t>
      </w:r>
      <w:r>
        <w:rPr>
          <w:color w:val="231F20"/>
        </w:rPr>
        <w:t>неопходно</w:t>
      </w:r>
      <w:r>
        <w:rPr>
          <w:color w:val="231F20"/>
          <w:spacing w:val="-8"/>
        </w:rPr>
        <w:t> </w:t>
      </w:r>
      <w:r>
        <w:rPr>
          <w:color w:val="231F20"/>
        </w:rPr>
        <w:t>је</w:t>
      </w:r>
      <w:r>
        <w:rPr>
          <w:color w:val="231F20"/>
          <w:spacing w:val="-8"/>
        </w:rPr>
        <w:t> </w:t>
      </w:r>
      <w:r>
        <w:rPr>
          <w:color w:val="231F20"/>
        </w:rPr>
        <w:t>про- писно извођење и одржавање електроенергетских постројења, као и стручно</w:t>
      </w:r>
      <w:r>
        <w:rPr>
          <w:color w:val="231F20"/>
          <w:spacing w:val="-3"/>
        </w:rPr>
        <w:t> </w:t>
      </w:r>
      <w:r>
        <w:rPr>
          <w:color w:val="231F20"/>
        </w:rPr>
        <w:t>манипулисање;</w:t>
      </w:r>
    </w:p>
    <w:p>
      <w:pPr>
        <w:pStyle w:val="BodyText"/>
        <w:spacing w:line="232" w:lineRule="auto"/>
        <w:ind w:left="169" w:right="412" w:firstLine="397"/>
      </w:pPr>
      <w:r>
        <w:rPr>
          <w:color w:val="231F20"/>
          <w:w w:val="66"/>
        </w:rPr>
        <w:t> </w:t>
      </w:r>
      <w:r>
        <w:rPr>
          <w:color w:val="231F20"/>
        </w:rPr>
        <w:t>– према Правилнику о техничким нормативима за електро- енергетска постројења, уређаје и инсталације у рудницима са по- вршинском експлоатацијом минералних сировина обавезна је за- штита од појава струја различитих од номиналних вредности, а запослене треба штитити од превисоког напона додира;</w:t>
      </w:r>
    </w:p>
    <w:p>
      <w:pPr>
        <w:pStyle w:val="BodyText"/>
        <w:spacing w:line="232" w:lineRule="auto"/>
        <w:ind w:left="169" w:right="412" w:firstLine="397"/>
      </w:pPr>
      <w:r>
        <w:rPr>
          <w:color w:val="231F20"/>
          <w:w w:val="66"/>
        </w:rPr>
        <w:t> </w:t>
      </w:r>
      <w:r>
        <w:rPr>
          <w:color w:val="231F20"/>
        </w:rPr>
        <w:t>– етажни, вучни и каблови на бубњевима, који су под елек- тричним напоном, смеју се покретати на само за то предвиђеним помоћним средствима, која делују изолирујуће и обезбеђују до- вољно заштитно одстојање;</w:t>
      </w:r>
    </w:p>
    <w:p>
      <w:pPr>
        <w:pStyle w:val="BodyText"/>
        <w:spacing w:line="232" w:lineRule="auto"/>
        <w:ind w:left="169" w:right="412" w:firstLine="396"/>
      </w:pPr>
      <w:r>
        <w:rPr>
          <w:color w:val="231F20"/>
          <w:w w:val="66"/>
        </w:rPr>
        <w:t> </w:t>
      </w:r>
      <w:r>
        <w:rPr>
          <w:color w:val="231F20"/>
        </w:rPr>
        <w:t>– опасност од напона корака отклонити израдом заједничког уземљења на које је везана трафостаница; с обзиром на то да је звездиште на 6 k\/ страни изоловано, предвиђа се да је заштитно уземљење објекта 6 k\/ по копу одвојено од заштитног уземљења трафостанице 35/6,3 kV;</w:t>
      </w:r>
    </w:p>
    <w:p>
      <w:pPr>
        <w:pStyle w:val="BodyText"/>
        <w:spacing w:line="232" w:lineRule="auto"/>
        <w:ind w:left="169" w:right="412" w:firstLine="397"/>
      </w:pPr>
      <w:r>
        <w:rPr>
          <w:color w:val="231F20"/>
          <w:w w:val="66"/>
        </w:rPr>
        <w:t> </w:t>
      </w:r>
      <w:r>
        <w:rPr>
          <w:color w:val="231F20"/>
        </w:rPr>
        <w:t>– опасност </w:t>
      </w:r>
      <w:r>
        <w:rPr>
          <w:color w:val="231F20"/>
          <w:spacing w:val="-3"/>
        </w:rPr>
        <w:t>од </w:t>
      </w:r>
      <w:r>
        <w:rPr>
          <w:color w:val="231F20"/>
        </w:rPr>
        <w:t>пожара отклонити изградњом уљне јаме и ја- ме за одвођење уља испод трансформатора и њиховим правилним димензионисањем, уградњом апарата за гашење пожара на елек- тричним инсталацијама типа СО2 постављеним на свим улазним вратима, постављањем сандука са сувим </w:t>
      </w:r>
      <w:r>
        <w:rPr>
          <w:color w:val="231F20"/>
          <w:spacing w:val="-2"/>
        </w:rPr>
        <w:t>песком </w:t>
      </w:r>
      <w:r>
        <w:rPr>
          <w:color w:val="231F20"/>
        </w:rPr>
        <w:t>и довољним бро- јем врата за излаз из просторије трафостанице </w:t>
      </w:r>
      <w:r>
        <w:rPr>
          <w:color w:val="231F20"/>
          <w:spacing w:val="-3"/>
        </w:rPr>
        <w:t>која </w:t>
      </w:r>
      <w:r>
        <w:rPr>
          <w:color w:val="231F20"/>
        </w:rPr>
        <w:t>се </w:t>
      </w:r>
      <w:r>
        <w:rPr>
          <w:color w:val="231F20"/>
          <w:spacing w:val="-3"/>
        </w:rPr>
        <w:t>лако </w:t>
      </w:r>
      <w:r>
        <w:rPr>
          <w:color w:val="231F20"/>
        </w:rPr>
        <w:t>отвара- ју са унутрашње стране;</w:t>
      </w:r>
    </w:p>
    <w:p>
      <w:pPr>
        <w:pStyle w:val="BodyText"/>
        <w:spacing w:line="232" w:lineRule="auto"/>
        <w:ind w:left="169" w:right="412" w:firstLine="396"/>
      </w:pPr>
      <w:r>
        <w:rPr>
          <w:color w:val="231F20"/>
          <w:w w:val="66"/>
        </w:rPr>
        <w:t> </w:t>
      </w:r>
      <w:r>
        <w:rPr>
          <w:color w:val="231F20"/>
        </w:rPr>
        <w:t>– опасност од утицаја влаге, воде и прашине отклонити пра- вилним избором опреме, разводних табли и њихових поставља- њем и</w:t>
      </w:r>
    </w:p>
    <w:p>
      <w:pPr>
        <w:pStyle w:val="BodyText"/>
        <w:spacing w:line="232" w:lineRule="auto"/>
        <w:ind w:left="169" w:right="412" w:firstLine="396"/>
      </w:pPr>
      <w:r>
        <w:rPr>
          <w:color w:val="231F20"/>
          <w:w w:val="66"/>
        </w:rPr>
        <w:t> </w:t>
      </w:r>
      <w:r>
        <w:rPr>
          <w:color w:val="231F20"/>
        </w:rPr>
        <w:t>– телекомуникациону инфраструктуру </w:t>
      </w:r>
      <w:r>
        <w:rPr>
          <w:color w:val="231F20"/>
          <w:spacing w:val="-3"/>
        </w:rPr>
        <w:t>копа </w:t>
      </w:r>
      <w:r>
        <w:rPr>
          <w:color w:val="231F20"/>
        </w:rPr>
        <w:t>чини </w:t>
      </w:r>
      <w:r>
        <w:rPr>
          <w:color w:val="231F20"/>
          <w:spacing w:val="-3"/>
        </w:rPr>
        <w:t>аутономни </w:t>
      </w:r>
      <w:r>
        <w:rPr>
          <w:color w:val="231F20"/>
        </w:rPr>
        <w:t>систем у овој просторној целини са појединачним објектима и ве- зама: 1) контролни центар, смештен у управној згради </w:t>
      </w:r>
      <w:r>
        <w:rPr>
          <w:color w:val="231F20"/>
          <w:spacing w:val="-3"/>
        </w:rPr>
        <w:t>копа </w:t>
      </w:r>
      <w:r>
        <w:rPr>
          <w:color w:val="231F20"/>
        </w:rPr>
        <w:t>„Дрм- но” на локацији „Руднички круг”, у склопу којег се планира етап- но увођење и проширивање рачунарске и програмске подршке за надзор и контролу рада свих система на </w:t>
      </w:r>
      <w:r>
        <w:rPr>
          <w:color w:val="231F20"/>
          <w:spacing w:val="-3"/>
        </w:rPr>
        <w:t>копу; </w:t>
      </w:r>
      <w:r>
        <w:rPr>
          <w:color w:val="231F20"/>
        </w:rPr>
        <w:t>капацитет преноса података</w:t>
      </w:r>
      <w:r>
        <w:rPr>
          <w:color w:val="231F20"/>
          <w:spacing w:val="-5"/>
        </w:rPr>
        <w:t> </w:t>
      </w:r>
      <w:r>
        <w:rPr>
          <w:color w:val="231F20"/>
        </w:rPr>
        <w:t>је</w:t>
      </w:r>
      <w:r>
        <w:rPr>
          <w:color w:val="231F20"/>
          <w:spacing w:val="-5"/>
        </w:rPr>
        <w:t> </w:t>
      </w:r>
      <w:r>
        <w:rPr>
          <w:color w:val="231F20"/>
        </w:rPr>
        <w:t>100</w:t>
      </w:r>
      <w:r>
        <w:rPr>
          <w:color w:val="231F20"/>
          <w:spacing w:val="-5"/>
        </w:rPr>
        <w:t> </w:t>
      </w:r>
      <w:r>
        <w:rPr>
          <w:color w:val="231F20"/>
        </w:rPr>
        <w:t>Mb/s,</w:t>
      </w:r>
      <w:r>
        <w:rPr>
          <w:color w:val="231F20"/>
          <w:spacing w:val="-5"/>
        </w:rPr>
        <w:t> </w:t>
      </w:r>
      <w:r>
        <w:rPr>
          <w:color w:val="231F20"/>
        </w:rPr>
        <w:t>а</w:t>
      </w:r>
      <w:r>
        <w:rPr>
          <w:color w:val="231F20"/>
          <w:spacing w:val="-5"/>
        </w:rPr>
        <w:t> </w:t>
      </w:r>
      <w:r>
        <w:rPr>
          <w:color w:val="231F20"/>
        </w:rPr>
        <w:t>веза</w:t>
      </w:r>
      <w:r>
        <w:rPr>
          <w:color w:val="231F20"/>
          <w:spacing w:val="-5"/>
        </w:rPr>
        <w:t> </w:t>
      </w:r>
      <w:r>
        <w:rPr>
          <w:color w:val="231F20"/>
        </w:rPr>
        <w:t>се</w:t>
      </w:r>
      <w:r>
        <w:rPr>
          <w:color w:val="231F20"/>
          <w:spacing w:val="-5"/>
        </w:rPr>
        <w:t> </w:t>
      </w:r>
      <w:r>
        <w:rPr>
          <w:color w:val="231F20"/>
        </w:rPr>
        <w:t>остварује</w:t>
      </w:r>
      <w:r>
        <w:rPr>
          <w:color w:val="231F20"/>
          <w:spacing w:val="-5"/>
        </w:rPr>
        <w:t> </w:t>
      </w:r>
      <w:r>
        <w:rPr>
          <w:color w:val="231F20"/>
        </w:rPr>
        <w:t>помоћу</w:t>
      </w:r>
      <w:r>
        <w:rPr>
          <w:color w:val="231F20"/>
          <w:spacing w:val="-5"/>
        </w:rPr>
        <w:t> </w:t>
      </w:r>
      <w:r>
        <w:rPr>
          <w:color w:val="231F20"/>
        </w:rPr>
        <w:t>оптичких</w:t>
      </w:r>
      <w:r>
        <w:rPr>
          <w:color w:val="231F20"/>
          <w:spacing w:val="-5"/>
        </w:rPr>
        <w:t> </w:t>
      </w:r>
      <w:r>
        <w:rPr>
          <w:color w:val="231F20"/>
        </w:rPr>
        <w:t>каблова са мономодним влакнима према </w:t>
      </w:r>
      <w:r>
        <w:rPr>
          <w:color w:val="231F20"/>
          <w:spacing w:val="-3"/>
        </w:rPr>
        <w:t>сваком </w:t>
      </w:r>
      <w:r>
        <w:rPr>
          <w:color w:val="231F20"/>
        </w:rPr>
        <w:t>БТО и </w:t>
      </w:r>
      <w:r>
        <w:rPr>
          <w:color w:val="231F20"/>
          <w:spacing w:val="-5"/>
        </w:rPr>
        <w:t>БТД </w:t>
      </w:r>
      <w:r>
        <w:rPr>
          <w:color w:val="231F20"/>
        </w:rPr>
        <w:t>систему; 2) ва- здушни систем UHF веза којим су повезане све </w:t>
      </w:r>
      <w:r>
        <w:rPr>
          <w:color w:val="231F20"/>
          <w:spacing w:val="-3"/>
        </w:rPr>
        <w:t>рударске </w:t>
      </w:r>
      <w:r>
        <w:rPr>
          <w:color w:val="231F20"/>
        </w:rPr>
        <w:t>машине на </w:t>
      </w:r>
      <w:r>
        <w:rPr>
          <w:color w:val="231F20"/>
          <w:spacing w:val="-6"/>
        </w:rPr>
        <w:t>копу, </w:t>
      </w:r>
      <w:r>
        <w:rPr>
          <w:color w:val="231F20"/>
        </w:rPr>
        <w:t>разводна постројења, мобилне и ручне станице; 3) бежич- ни пренос информација за контролу и надзор рударских машина типа</w:t>
      </w:r>
      <w:r>
        <w:rPr>
          <w:color w:val="231F20"/>
          <w:spacing w:val="-10"/>
        </w:rPr>
        <w:t> </w:t>
      </w:r>
      <w:r>
        <w:rPr>
          <w:color w:val="231F20"/>
        </w:rPr>
        <w:t>Wireless</w:t>
      </w:r>
      <w:r>
        <w:rPr>
          <w:color w:val="231F20"/>
          <w:spacing w:val="-8"/>
        </w:rPr>
        <w:t> </w:t>
      </w:r>
      <w:r>
        <w:rPr>
          <w:color w:val="231F20"/>
        </w:rPr>
        <w:t>LAN,</w:t>
      </w:r>
      <w:r>
        <w:rPr>
          <w:color w:val="231F20"/>
          <w:spacing w:val="-8"/>
        </w:rPr>
        <w:t> </w:t>
      </w:r>
      <w:r>
        <w:rPr>
          <w:color w:val="231F20"/>
        </w:rPr>
        <w:t>IEEE</w:t>
      </w:r>
      <w:r>
        <w:rPr>
          <w:color w:val="231F20"/>
          <w:spacing w:val="-8"/>
        </w:rPr>
        <w:t> </w:t>
      </w:r>
      <w:r>
        <w:rPr>
          <w:color w:val="231F20"/>
        </w:rPr>
        <w:t>802.11a,</w:t>
      </w:r>
      <w:r>
        <w:rPr>
          <w:color w:val="231F20"/>
          <w:spacing w:val="-8"/>
        </w:rPr>
        <w:t> </w:t>
      </w:r>
      <w:r>
        <w:rPr>
          <w:color w:val="231F20"/>
        </w:rPr>
        <w:t>5GHz,</w:t>
      </w:r>
      <w:r>
        <w:rPr>
          <w:color w:val="231F20"/>
          <w:spacing w:val="-8"/>
        </w:rPr>
        <w:t> </w:t>
      </w:r>
      <w:r>
        <w:rPr>
          <w:color w:val="231F20"/>
        </w:rPr>
        <w:t>протока</w:t>
      </w:r>
      <w:r>
        <w:rPr>
          <w:color w:val="231F20"/>
          <w:spacing w:val="-8"/>
        </w:rPr>
        <w:t> </w:t>
      </w:r>
      <w:r>
        <w:rPr>
          <w:color w:val="231F20"/>
        </w:rPr>
        <w:t>до</w:t>
      </w:r>
      <w:r>
        <w:rPr>
          <w:color w:val="231F20"/>
          <w:spacing w:val="-8"/>
        </w:rPr>
        <w:t> </w:t>
      </w:r>
      <w:r>
        <w:rPr>
          <w:color w:val="231F20"/>
        </w:rPr>
        <w:t>54</w:t>
      </w:r>
      <w:r>
        <w:rPr>
          <w:color w:val="231F20"/>
          <w:spacing w:val="-8"/>
        </w:rPr>
        <w:t> </w:t>
      </w:r>
      <w:r>
        <w:rPr>
          <w:color w:val="231F20"/>
        </w:rPr>
        <w:t>Mb/s,</w:t>
      </w:r>
      <w:r>
        <w:rPr>
          <w:color w:val="231F20"/>
          <w:spacing w:val="-8"/>
        </w:rPr>
        <w:t> </w:t>
      </w:r>
      <w:r>
        <w:rPr>
          <w:color w:val="231F20"/>
        </w:rPr>
        <w:t>којим се успоставља повезивање мобилних рударских машина са трач- ним транспортерима, односно, до антена на багерима, </w:t>
      </w:r>
      <w:r>
        <w:rPr>
          <w:color w:val="231F20"/>
          <w:spacing w:val="-2"/>
        </w:rPr>
        <w:t>одлагачима </w:t>
      </w:r>
      <w:r>
        <w:rPr>
          <w:color w:val="231F20"/>
        </w:rPr>
        <w:t>и одговарајућим трачним транспортерима; и 4) систем оптичких каблова</w:t>
      </w:r>
      <w:r>
        <w:rPr>
          <w:color w:val="231F20"/>
          <w:spacing w:val="-5"/>
        </w:rPr>
        <w:t> </w:t>
      </w:r>
      <w:r>
        <w:rPr>
          <w:color w:val="231F20"/>
        </w:rPr>
        <w:t>за</w:t>
      </w:r>
      <w:r>
        <w:rPr>
          <w:color w:val="231F20"/>
          <w:spacing w:val="-5"/>
        </w:rPr>
        <w:t> </w:t>
      </w:r>
      <w:r>
        <w:rPr>
          <w:color w:val="231F20"/>
        </w:rPr>
        <w:t>повезивање</w:t>
      </w:r>
      <w:r>
        <w:rPr>
          <w:color w:val="231F20"/>
          <w:spacing w:val="-5"/>
        </w:rPr>
        <w:t> </w:t>
      </w:r>
      <w:r>
        <w:rPr>
          <w:color w:val="231F20"/>
        </w:rPr>
        <w:t>појединачног</w:t>
      </w:r>
      <w:r>
        <w:rPr>
          <w:color w:val="231F20"/>
          <w:spacing w:val="-5"/>
        </w:rPr>
        <w:t> </w:t>
      </w:r>
      <w:r>
        <w:rPr>
          <w:color w:val="231F20"/>
        </w:rPr>
        <w:t>БТО</w:t>
      </w:r>
      <w:r>
        <w:rPr>
          <w:color w:val="231F20"/>
          <w:spacing w:val="-5"/>
        </w:rPr>
        <w:t> </w:t>
      </w:r>
      <w:r>
        <w:rPr>
          <w:color w:val="231F20"/>
        </w:rPr>
        <w:t>или</w:t>
      </w:r>
      <w:r>
        <w:rPr>
          <w:color w:val="231F20"/>
          <w:spacing w:val="-5"/>
        </w:rPr>
        <w:t> БТД </w:t>
      </w:r>
      <w:r>
        <w:rPr>
          <w:color w:val="231F20"/>
        </w:rPr>
        <w:t>система</w:t>
      </w:r>
      <w:r>
        <w:rPr>
          <w:color w:val="231F20"/>
          <w:spacing w:val="-5"/>
        </w:rPr>
        <w:t> </w:t>
      </w:r>
      <w:r>
        <w:rPr>
          <w:color w:val="231F20"/>
        </w:rPr>
        <w:t>са</w:t>
      </w:r>
      <w:r>
        <w:rPr>
          <w:color w:val="231F20"/>
          <w:spacing w:val="-5"/>
        </w:rPr>
        <w:t> </w:t>
      </w:r>
      <w:r>
        <w:rPr>
          <w:color w:val="231F20"/>
          <w:spacing w:val="-3"/>
        </w:rPr>
        <w:t>кон- </w:t>
      </w:r>
      <w:r>
        <w:rPr>
          <w:color w:val="231F20"/>
        </w:rPr>
        <w:t>тролним</w:t>
      </w:r>
      <w:r>
        <w:rPr>
          <w:color w:val="231F20"/>
          <w:spacing w:val="-2"/>
        </w:rPr>
        <w:t> </w:t>
      </w:r>
      <w:r>
        <w:rPr>
          <w:color w:val="231F20"/>
        </w:rPr>
        <w:t>центром.</w:t>
      </w:r>
    </w:p>
    <w:p>
      <w:pPr>
        <w:pStyle w:val="BodyText"/>
        <w:spacing w:before="161"/>
        <w:ind w:left="521" w:right="764"/>
        <w:jc w:val="center"/>
      </w:pPr>
      <w:r>
        <w:rPr>
          <w:color w:val="231F20"/>
        </w:rPr>
        <w:t>Заштитни појас копа</w:t>
      </w:r>
    </w:p>
    <w:p>
      <w:pPr>
        <w:pStyle w:val="BodyText"/>
        <w:spacing w:before="4"/>
        <w:ind w:left="0"/>
        <w:jc w:val="left"/>
        <w:rPr>
          <w:sz w:val="17"/>
        </w:rPr>
      </w:pPr>
    </w:p>
    <w:p>
      <w:pPr>
        <w:pStyle w:val="BodyText"/>
        <w:spacing w:line="232" w:lineRule="auto"/>
        <w:ind w:left="169" w:right="412" w:firstLine="396"/>
      </w:pPr>
      <w:r>
        <w:rPr>
          <w:color w:val="231F20"/>
        </w:rPr>
        <w:t>Утврђују</w:t>
      </w:r>
      <w:r>
        <w:rPr>
          <w:color w:val="231F20"/>
          <w:spacing w:val="-6"/>
        </w:rPr>
        <w:t> </w:t>
      </w:r>
      <w:r>
        <w:rPr>
          <w:color w:val="231F20"/>
        </w:rPr>
        <w:t>се</w:t>
      </w:r>
      <w:r>
        <w:rPr>
          <w:color w:val="231F20"/>
          <w:spacing w:val="-6"/>
        </w:rPr>
        <w:t> </w:t>
      </w:r>
      <w:r>
        <w:rPr>
          <w:color w:val="231F20"/>
        </w:rPr>
        <w:t>следећа</w:t>
      </w:r>
      <w:r>
        <w:rPr>
          <w:color w:val="231F20"/>
          <w:spacing w:val="-6"/>
        </w:rPr>
        <w:t> </w:t>
      </w:r>
      <w:r>
        <w:rPr>
          <w:color w:val="231F20"/>
        </w:rPr>
        <w:t>правила</w:t>
      </w:r>
      <w:r>
        <w:rPr>
          <w:color w:val="231F20"/>
          <w:spacing w:val="-6"/>
        </w:rPr>
        <w:t> </w:t>
      </w:r>
      <w:r>
        <w:rPr>
          <w:color w:val="231F20"/>
        </w:rPr>
        <w:t>уређења</w:t>
      </w:r>
      <w:r>
        <w:rPr>
          <w:color w:val="231F20"/>
          <w:spacing w:val="-6"/>
        </w:rPr>
        <w:t> </w:t>
      </w:r>
      <w:r>
        <w:rPr>
          <w:color w:val="231F20"/>
        </w:rPr>
        <w:t>заштитног</w:t>
      </w:r>
      <w:r>
        <w:rPr>
          <w:color w:val="231F20"/>
          <w:spacing w:val="-6"/>
        </w:rPr>
        <w:t> </w:t>
      </w:r>
      <w:r>
        <w:rPr>
          <w:color w:val="231F20"/>
        </w:rPr>
        <w:t>појаса</w:t>
      </w:r>
      <w:r>
        <w:rPr>
          <w:color w:val="231F20"/>
          <w:spacing w:val="-6"/>
        </w:rPr>
        <w:t> </w:t>
      </w:r>
      <w:r>
        <w:rPr>
          <w:color w:val="231F20"/>
        </w:rPr>
        <w:t>повр- шинског </w:t>
      </w:r>
      <w:r>
        <w:rPr>
          <w:color w:val="231F20"/>
          <w:spacing w:val="-3"/>
        </w:rPr>
        <w:t>копа </w:t>
      </w:r>
      <w:r>
        <w:rPr>
          <w:color w:val="231F20"/>
        </w:rPr>
        <w:t>„Дрмно” до 2022.</w:t>
      </w:r>
      <w:r>
        <w:rPr>
          <w:color w:val="231F20"/>
          <w:spacing w:val="-1"/>
        </w:rPr>
        <w:t> </w:t>
      </w:r>
      <w:r>
        <w:rPr>
          <w:color w:val="231F20"/>
          <w:spacing w:val="-3"/>
        </w:rPr>
        <w:t>године:</w:t>
      </w:r>
    </w:p>
    <w:p>
      <w:pPr>
        <w:pStyle w:val="BodyText"/>
        <w:spacing w:line="232" w:lineRule="auto"/>
        <w:ind w:left="169" w:right="412" w:firstLine="397"/>
      </w:pPr>
      <w:r>
        <w:rPr>
          <w:color w:val="231F20"/>
          <w:w w:val="66"/>
        </w:rPr>
        <w:t> </w:t>
      </w:r>
      <w:r>
        <w:rPr>
          <w:color w:val="231F20"/>
        </w:rPr>
        <w:t>– заштитни појас </w:t>
      </w:r>
      <w:r>
        <w:rPr>
          <w:color w:val="231F20"/>
          <w:spacing w:val="-3"/>
        </w:rPr>
        <w:t>копа </w:t>
      </w:r>
      <w:r>
        <w:rPr>
          <w:color w:val="231F20"/>
        </w:rPr>
        <w:t>представља сигурносни појас према </w:t>
      </w:r>
      <w:r>
        <w:rPr>
          <w:color w:val="231F20"/>
          <w:spacing w:val="-3"/>
        </w:rPr>
        <w:t>коначним </w:t>
      </w:r>
      <w:r>
        <w:rPr>
          <w:color w:val="231F20"/>
        </w:rPr>
        <w:t>контурама </w:t>
      </w:r>
      <w:r>
        <w:rPr>
          <w:color w:val="231F20"/>
          <w:spacing w:val="-3"/>
        </w:rPr>
        <w:t>копа </w:t>
      </w:r>
      <w:r>
        <w:rPr>
          <w:color w:val="231F20"/>
        </w:rPr>
        <w:t>и одлагалишта, чија се минимална ши- рина,</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услови</w:t>
      </w:r>
      <w:r>
        <w:rPr>
          <w:color w:val="231F20"/>
          <w:spacing w:val="-6"/>
        </w:rPr>
        <w:t> </w:t>
      </w:r>
      <w:r>
        <w:rPr>
          <w:color w:val="231F20"/>
        </w:rPr>
        <w:t>коришћења,</w:t>
      </w:r>
      <w:r>
        <w:rPr>
          <w:color w:val="231F20"/>
          <w:spacing w:val="-6"/>
        </w:rPr>
        <w:t> </w:t>
      </w:r>
      <w:r>
        <w:rPr>
          <w:color w:val="231F20"/>
        </w:rPr>
        <w:t>морају</w:t>
      </w:r>
      <w:r>
        <w:rPr>
          <w:color w:val="231F20"/>
          <w:spacing w:val="-6"/>
        </w:rPr>
        <w:t> </w:t>
      </w:r>
      <w:r>
        <w:rPr>
          <w:color w:val="231F20"/>
        </w:rPr>
        <w:t>утврдити</w:t>
      </w:r>
      <w:r>
        <w:rPr>
          <w:color w:val="231F20"/>
          <w:spacing w:val="-6"/>
        </w:rPr>
        <w:t> </w:t>
      </w:r>
      <w:r>
        <w:rPr>
          <w:color w:val="231F20"/>
        </w:rPr>
        <w:t>при</w:t>
      </w:r>
      <w:r>
        <w:rPr>
          <w:color w:val="231F20"/>
          <w:spacing w:val="-6"/>
        </w:rPr>
        <w:t> </w:t>
      </w:r>
      <w:r>
        <w:rPr>
          <w:color w:val="231F20"/>
        </w:rPr>
        <w:t>изради</w:t>
      </w:r>
      <w:r>
        <w:rPr>
          <w:color w:val="231F20"/>
          <w:spacing w:val="-6"/>
        </w:rPr>
        <w:t> </w:t>
      </w:r>
      <w:r>
        <w:rPr>
          <w:color w:val="231F20"/>
          <w:spacing w:val="-3"/>
        </w:rPr>
        <w:t>рудар- </w:t>
      </w:r>
      <w:r>
        <w:rPr>
          <w:color w:val="231F20"/>
        </w:rPr>
        <w:t>ске техничке документације и заштитни зелени појас према повр- шинама друге намене, пре свега насељима Кличевац, Брадарац и Дрмно, као и </w:t>
      </w:r>
      <w:r>
        <w:rPr>
          <w:color w:val="231F20"/>
          <w:spacing w:val="-3"/>
        </w:rPr>
        <w:t>археолошком </w:t>
      </w:r>
      <w:r>
        <w:rPr>
          <w:color w:val="231F20"/>
        </w:rPr>
        <w:t>налазишту Виминацијум и зони новог изворишта водоснабдевања локалног значаја </w:t>
      </w:r>
      <w:r>
        <w:rPr>
          <w:color w:val="231F20"/>
          <w:spacing w:val="-4"/>
        </w:rPr>
        <w:t>(код</w:t>
      </w:r>
      <w:r>
        <w:rPr>
          <w:color w:val="231F20"/>
          <w:spacing w:val="-15"/>
        </w:rPr>
        <w:t> </w:t>
      </w:r>
      <w:r>
        <w:rPr>
          <w:color w:val="231F20"/>
        </w:rPr>
        <w:t>Кличевца);</w:t>
      </w:r>
    </w:p>
    <w:p>
      <w:pPr>
        <w:pStyle w:val="BodyText"/>
        <w:spacing w:line="232" w:lineRule="auto"/>
        <w:ind w:left="169" w:right="411" w:firstLine="396"/>
      </w:pPr>
      <w:r>
        <w:rPr>
          <w:color w:val="231F20"/>
          <w:w w:val="66"/>
        </w:rPr>
        <w:t> </w:t>
      </w:r>
      <w:r>
        <w:rPr>
          <w:color w:val="231F20"/>
        </w:rPr>
        <w:t>– будући да је земљиште у заштитном појасу у режиму по- вршина намењених „рударским објектима и активностима од јав- ног интереса”, могуће је на овим површинама постављање систе- ма саобраћајне и техничке инфраструктуре копа и успостављање привремених коридора, ширине 40 – 50 m, за интерни транспорт рударске механизације, као и саобраћајних прикључака на јавне саобраћајнице, као и делова коридора за изградњу канала, одно- сно полагање цевовода за евакуацију површинских и подземних вода и других објеката за обезбеђење укрштања са индустријском пругом на делу међусобне регулације,</w:t>
      </w:r>
    </w:p>
    <w:p>
      <w:pPr>
        <w:spacing w:after="0" w:line="232" w:lineRule="auto"/>
        <w:sectPr>
          <w:pgSz w:w="12480" w:h="15690"/>
          <w:pgMar w:top="120" w:bottom="280" w:left="680" w:right="720"/>
          <w:cols w:num="2" w:equalWidth="0">
            <w:col w:w="5314" w:space="72"/>
            <w:col w:w="5694"/>
          </w:cols>
        </w:sectPr>
      </w:pPr>
    </w:p>
    <w:p>
      <w:pPr>
        <w:pStyle w:val="BodyText"/>
        <w:spacing w:line="232" w:lineRule="auto" w:before="73"/>
        <w:ind w:left="454" w:firstLine="396"/>
      </w:pPr>
      <w:r>
        <w:rPr/>
        <w:pict>
          <v:line style="position:absolute;mso-position-horizontal-relative:page;mso-position-vertical-relative:page;z-index:3784" from="318.897614pt,11.942451pt" to="318.897614pt,748.950451pt" stroked="true" strokeweight=".6pt" strokecolor="#231f20">
            <v:stroke dashstyle="solid"/>
            <w10:wrap type="none"/>
          </v:line>
        </w:pict>
      </w:r>
      <w:r>
        <w:rPr>
          <w:color w:val="231F20"/>
          <w:w w:val="66"/>
        </w:rPr>
        <w:t> </w:t>
      </w:r>
      <w:r>
        <w:rPr>
          <w:color w:val="231F20"/>
        </w:rPr>
        <w:t>– прикључак на јавну саобраћајницу остварује се по</w:t>
      </w:r>
      <w:r>
        <w:rPr>
          <w:color w:val="231F20"/>
          <w:spacing w:val="-27"/>
        </w:rPr>
        <w:t> </w:t>
      </w:r>
      <w:r>
        <w:rPr>
          <w:color w:val="231F20"/>
        </w:rPr>
        <w:t>правилу коришћењем постојећих</w:t>
      </w:r>
      <w:r>
        <w:rPr>
          <w:color w:val="231F20"/>
          <w:spacing w:val="-2"/>
        </w:rPr>
        <w:t> </w:t>
      </w:r>
      <w:r>
        <w:rPr>
          <w:color w:val="231F20"/>
        </w:rPr>
        <w:t>саобраћајница;</w:t>
      </w:r>
    </w:p>
    <w:p>
      <w:pPr>
        <w:pStyle w:val="BodyText"/>
        <w:spacing w:line="232" w:lineRule="auto"/>
        <w:ind w:left="453" w:firstLine="397"/>
      </w:pPr>
      <w:r>
        <w:rPr>
          <w:color w:val="231F20"/>
          <w:w w:val="66"/>
        </w:rPr>
        <w:t> </w:t>
      </w:r>
      <w:r>
        <w:rPr>
          <w:color w:val="231F20"/>
        </w:rPr>
        <w:t>–</w:t>
      </w:r>
      <w:r>
        <w:rPr>
          <w:color w:val="231F20"/>
          <w:spacing w:val="-6"/>
        </w:rPr>
        <w:t> </w:t>
      </w:r>
      <w:r>
        <w:rPr>
          <w:color w:val="231F20"/>
        </w:rPr>
        <w:t>тачна</w:t>
      </w:r>
      <w:r>
        <w:rPr>
          <w:color w:val="231F20"/>
          <w:spacing w:val="-6"/>
        </w:rPr>
        <w:t> </w:t>
      </w:r>
      <w:r>
        <w:rPr>
          <w:color w:val="231F20"/>
        </w:rPr>
        <w:t>диспозиција</w:t>
      </w:r>
      <w:r>
        <w:rPr>
          <w:color w:val="231F20"/>
          <w:spacing w:val="-6"/>
        </w:rPr>
        <w:t> </w:t>
      </w:r>
      <w:r>
        <w:rPr>
          <w:color w:val="231F20"/>
        </w:rPr>
        <w:t>канала</w:t>
      </w:r>
      <w:r>
        <w:rPr>
          <w:color w:val="231F20"/>
          <w:spacing w:val="-6"/>
        </w:rPr>
        <w:t> </w:t>
      </w:r>
      <w:r>
        <w:rPr>
          <w:color w:val="231F20"/>
        </w:rPr>
        <w:t>односно</w:t>
      </w:r>
      <w:r>
        <w:rPr>
          <w:color w:val="231F20"/>
          <w:spacing w:val="-6"/>
        </w:rPr>
        <w:t> </w:t>
      </w:r>
      <w:r>
        <w:rPr>
          <w:color w:val="231F20"/>
        </w:rPr>
        <w:t>рова</w:t>
      </w:r>
      <w:r>
        <w:rPr>
          <w:color w:val="231F20"/>
          <w:spacing w:val="-6"/>
        </w:rPr>
        <w:t> </w:t>
      </w:r>
      <w:r>
        <w:rPr>
          <w:color w:val="231F20"/>
        </w:rPr>
        <w:t>и</w:t>
      </w:r>
      <w:r>
        <w:rPr>
          <w:color w:val="231F20"/>
          <w:spacing w:val="-6"/>
        </w:rPr>
        <w:t> </w:t>
      </w:r>
      <w:r>
        <w:rPr>
          <w:color w:val="231F20"/>
        </w:rPr>
        <w:t>других</w:t>
      </w:r>
      <w:r>
        <w:rPr>
          <w:color w:val="231F20"/>
          <w:spacing w:val="-6"/>
        </w:rPr>
        <w:t> </w:t>
      </w:r>
      <w:r>
        <w:rPr>
          <w:color w:val="231F20"/>
        </w:rPr>
        <w:t>објеката</w:t>
      </w:r>
      <w:r>
        <w:rPr>
          <w:color w:val="231F20"/>
          <w:spacing w:val="-6"/>
        </w:rPr>
        <w:t> </w:t>
      </w:r>
      <w:r>
        <w:rPr>
          <w:color w:val="231F20"/>
        </w:rPr>
        <w:t>у функцији одводњавања </w:t>
      </w:r>
      <w:r>
        <w:rPr>
          <w:color w:val="231F20"/>
          <w:spacing w:val="-3"/>
        </w:rPr>
        <w:t>копа, </w:t>
      </w:r>
      <w:r>
        <w:rPr>
          <w:color w:val="231F20"/>
        </w:rPr>
        <w:t>као и нивелационо решење, димен- зије и техничке карактеристике евакуационих објеката утврдиће се у </w:t>
      </w:r>
      <w:r>
        <w:rPr>
          <w:color w:val="231F20"/>
          <w:spacing w:val="-3"/>
        </w:rPr>
        <w:t>главном </w:t>
      </w:r>
      <w:r>
        <w:rPr>
          <w:color w:val="231F20"/>
          <w:spacing w:val="-4"/>
        </w:rPr>
        <w:t>рударском </w:t>
      </w:r>
      <w:r>
        <w:rPr>
          <w:color w:val="231F20"/>
        </w:rPr>
        <w:t>пројекту на основу одговарајућег пројек- та одводњавања </w:t>
      </w:r>
      <w:r>
        <w:rPr>
          <w:color w:val="231F20"/>
          <w:spacing w:val="-3"/>
        </w:rPr>
        <w:t>копа, </w:t>
      </w:r>
      <w:r>
        <w:rPr>
          <w:color w:val="231F20"/>
        </w:rPr>
        <w:t>у свему према условима институција надле- жних за управљање рударским и водним</w:t>
      </w:r>
      <w:r>
        <w:rPr>
          <w:color w:val="231F20"/>
          <w:spacing w:val="-13"/>
        </w:rPr>
        <w:t> </w:t>
      </w:r>
      <w:r>
        <w:rPr>
          <w:color w:val="231F20"/>
        </w:rPr>
        <w:t>земљиштем;</w:t>
      </w:r>
    </w:p>
    <w:p>
      <w:pPr>
        <w:pStyle w:val="BodyText"/>
        <w:spacing w:line="232" w:lineRule="auto"/>
        <w:ind w:left="453" w:firstLine="397"/>
      </w:pPr>
      <w:r>
        <w:rPr>
          <w:color w:val="231F20"/>
          <w:w w:val="66"/>
        </w:rPr>
        <w:t> </w:t>
      </w:r>
      <w:r>
        <w:rPr>
          <w:color w:val="231F20"/>
        </w:rPr>
        <w:t>– у оквиру заштите копа од вода у заштитном појасу пред- виђено је отварање нових бунара дуж источне и западне контуре копа;</w:t>
      </w:r>
    </w:p>
    <w:p>
      <w:pPr>
        <w:pStyle w:val="BodyText"/>
        <w:spacing w:line="232" w:lineRule="auto"/>
        <w:ind w:left="452" w:firstLine="397"/>
      </w:pPr>
      <w:r>
        <w:rPr>
          <w:color w:val="231F20"/>
          <w:w w:val="66"/>
        </w:rPr>
        <w:t> </w:t>
      </w:r>
      <w:r>
        <w:rPr>
          <w:color w:val="231F20"/>
        </w:rPr>
        <w:t>– електроенергетски објекти, објекти и мреже техничке ин- фраструктуре, површине и објекти за монтажу и сервисирање </w:t>
      </w:r>
      <w:r>
        <w:rPr>
          <w:color w:val="231F20"/>
          <w:spacing w:val="-3"/>
        </w:rPr>
        <w:t>рударске </w:t>
      </w:r>
      <w:r>
        <w:rPr>
          <w:color w:val="231F20"/>
        </w:rPr>
        <w:t>механизације (монтажни плац, радионице, сервиси, ма- гацини и складишта, бункери и слично); и привремени монтажни објекти – бараке и контејнери за управу </w:t>
      </w:r>
      <w:r>
        <w:rPr>
          <w:color w:val="231F20"/>
          <w:spacing w:val="-3"/>
        </w:rPr>
        <w:t>рудника </w:t>
      </w:r>
      <w:r>
        <w:rPr>
          <w:color w:val="231F20"/>
        </w:rPr>
        <w:t>и погонску адми- нистрацију, гардеробе и санитарни уређаји, привремени смештај и исхрану радника и слично, груписани су у оквиру мањег броја постојећих</w:t>
      </w:r>
      <w:r>
        <w:rPr>
          <w:color w:val="231F20"/>
          <w:spacing w:val="-6"/>
        </w:rPr>
        <w:t> </w:t>
      </w:r>
      <w:r>
        <w:rPr>
          <w:color w:val="231F20"/>
        </w:rPr>
        <w:t>и</w:t>
      </w:r>
      <w:r>
        <w:rPr>
          <w:color w:val="231F20"/>
          <w:spacing w:val="-7"/>
        </w:rPr>
        <w:t> </w:t>
      </w:r>
      <w:r>
        <w:rPr>
          <w:color w:val="231F20"/>
        </w:rPr>
        <w:t>нових</w:t>
      </w:r>
      <w:r>
        <w:rPr>
          <w:color w:val="231F20"/>
          <w:spacing w:val="-7"/>
        </w:rPr>
        <w:t> </w:t>
      </w:r>
      <w:r>
        <w:rPr>
          <w:color w:val="231F20"/>
        </w:rPr>
        <w:t>локација</w:t>
      </w:r>
      <w:r>
        <w:rPr>
          <w:color w:val="231F20"/>
          <w:spacing w:val="-6"/>
        </w:rPr>
        <w:t> </w:t>
      </w:r>
      <w:r>
        <w:rPr>
          <w:color w:val="231F20"/>
        </w:rPr>
        <w:t>(„Руднички</w:t>
      </w:r>
      <w:r>
        <w:rPr>
          <w:color w:val="231F20"/>
          <w:spacing w:val="-6"/>
        </w:rPr>
        <w:t> </w:t>
      </w:r>
      <w:r>
        <w:rPr>
          <w:color w:val="231F20"/>
        </w:rPr>
        <w:t>круг”,</w:t>
      </w:r>
      <w:r>
        <w:rPr>
          <w:color w:val="231F20"/>
          <w:spacing w:val="-6"/>
        </w:rPr>
        <w:t> </w:t>
      </w:r>
      <w:r>
        <w:rPr>
          <w:color w:val="231F20"/>
        </w:rPr>
        <w:t>контејнерска</w:t>
      </w:r>
      <w:r>
        <w:rPr>
          <w:color w:val="231F20"/>
          <w:spacing w:val="-6"/>
        </w:rPr>
        <w:t> </w:t>
      </w:r>
      <w:r>
        <w:rPr>
          <w:color w:val="231F20"/>
        </w:rPr>
        <w:t>насе- ља „Југ” и „Запад” и „Исток” са </w:t>
      </w:r>
      <w:r>
        <w:rPr>
          <w:color w:val="231F20"/>
          <w:spacing w:val="-3"/>
        </w:rPr>
        <w:t>булдозерском </w:t>
      </w:r>
      <w:r>
        <w:rPr>
          <w:color w:val="231F20"/>
        </w:rPr>
        <w:t>радионицом), </w:t>
      </w:r>
      <w:r>
        <w:rPr>
          <w:color w:val="231F20"/>
          <w:spacing w:val="-3"/>
        </w:rPr>
        <w:t>које </w:t>
      </w:r>
      <w:r>
        <w:rPr>
          <w:color w:val="231F20"/>
        </w:rPr>
        <w:t>се уређују као површине намењене техничким системима </w:t>
      </w:r>
      <w:r>
        <w:rPr>
          <w:color w:val="231F20"/>
          <w:spacing w:val="-3"/>
        </w:rPr>
        <w:t>копа </w:t>
      </w:r>
      <w:r>
        <w:rPr>
          <w:color w:val="231F20"/>
        </w:rPr>
        <w:t>и објектима пратећих рударских</w:t>
      </w:r>
      <w:r>
        <w:rPr>
          <w:color w:val="231F20"/>
          <w:spacing w:val="-3"/>
        </w:rPr>
        <w:t> </w:t>
      </w:r>
      <w:r>
        <w:rPr>
          <w:color w:val="231F20"/>
        </w:rPr>
        <w:t>активности;</w:t>
      </w:r>
    </w:p>
    <w:p>
      <w:pPr>
        <w:pStyle w:val="BodyText"/>
        <w:spacing w:line="232" w:lineRule="auto"/>
        <w:ind w:left="452" w:right="1" w:firstLine="397"/>
      </w:pPr>
      <w:r>
        <w:rPr>
          <w:color w:val="231F20"/>
          <w:w w:val="66"/>
        </w:rPr>
        <w:t> </w:t>
      </w:r>
      <w:r>
        <w:rPr>
          <w:color w:val="231F20"/>
        </w:rPr>
        <w:t>– пратеће рударске активности на овим локацијама одвија- ће се у склопу објеката (зграда и манипулативних, складишних и радних површина) за одржавање опреме (радионице, магацини, пралишта и др.), објеката за монтажу опреме (кранови, нови мон- тажни плац за транспортне и друге техничке системе рудника), и објеката за смештај радника и управу (контејнерска насеља, кан- тине, портирнице и друго);</w:t>
      </w:r>
    </w:p>
    <w:p>
      <w:pPr>
        <w:pStyle w:val="BodyText"/>
        <w:spacing w:line="232" w:lineRule="auto"/>
        <w:ind w:left="452" w:right="1" w:firstLine="396"/>
      </w:pPr>
      <w:r>
        <w:rPr>
          <w:color w:val="231F20"/>
          <w:w w:val="66"/>
        </w:rPr>
        <w:t> </w:t>
      </w:r>
      <w:r>
        <w:rPr>
          <w:color w:val="231F20"/>
        </w:rPr>
        <w:t>– диспозиција појединачних објеката и уређених платоа, складишних и манипулативних, условљена је технолошким зах- тевима и потребним интерним комуникацијама, али уз неопход- но поштовање следећих захтева: растојања појединачних зграда не смеју бити мања од најнижих критеријума за очекиване ефекте (рушење, пожар); посебну пажњу обратити на безбедносне поја- се између објеката којима се спречава ширење пожара; и приступ објектима са саобраћајница не сме бити спречен надстрешницама и другим препрекама;</w:t>
      </w:r>
    </w:p>
    <w:p>
      <w:pPr>
        <w:pStyle w:val="BodyText"/>
        <w:spacing w:line="232" w:lineRule="auto"/>
        <w:ind w:left="452" w:right="1" w:firstLine="396"/>
      </w:pPr>
      <w:r>
        <w:rPr>
          <w:color w:val="231F20"/>
          <w:w w:val="66"/>
        </w:rPr>
        <w:t> </w:t>
      </w:r>
      <w:r>
        <w:rPr>
          <w:color w:val="231F20"/>
        </w:rPr>
        <w:t>– у оквиру заштитног појаса, у непосредној близини нове трафостанице „Рудник 3”, формира се локација за прикупљање    и привремено складиштење опасног и неопасног отпада, а уз њу уређује се простор за складиштење рабљених уља и</w:t>
      </w:r>
      <w:r>
        <w:rPr>
          <w:color w:val="231F20"/>
          <w:spacing w:val="-11"/>
        </w:rPr>
        <w:t> </w:t>
      </w:r>
      <w:r>
        <w:rPr>
          <w:color w:val="231F20"/>
        </w:rPr>
        <w:t>мазива;</w:t>
      </w:r>
    </w:p>
    <w:p>
      <w:pPr>
        <w:pStyle w:val="BodyText"/>
        <w:spacing w:line="232" w:lineRule="auto"/>
        <w:ind w:left="452" w:firstLine="396"/>
      </w:pPr>
      <w:r>
        <w:rPr>
          <w:color w:val="231F20"/>
          <w:w w:val="66"/>
        </w:rPr>
        <w:t> </w:t>
      </w:r>
      <w:r>
        <w:rPr>
          <w:color w:val="231F20"/>
        </w:rPr>
        <w:t>– с обзиром на привремено задржавање отпада насталог у технолошким процесима у оквиру </w:t>
      </w:r>
      <w:r>
        <w:rPr>
          <w:color w:val="231F20"/>
          <w:spacing w:val="-4"/>
        </w:rPr>
        <w:t>рударско </w:t>
      </w:r>
      <w:r>
        <w:rPr>
          <w:color w:val="231F20"/>
        </w:rPr>
        <w:t>– енергетске произ- водње, неопходно је пре успостављања функционисања ових де- поа, усагласити решење управљања отпадом у </w:t>
      </w:r>
      <w:r>
        <w:rPr>
          <w:color w:val="231F20"/>
          <w:spacing w:val="-4"/>
        </w:rPr>
        <w:t>рударском </w:t>
      </w:r>
      <w:r>
        <w:rPr>
          <w:color w:val="231F20"/>
        </w:rPr>
        <w:t>предузе- ћу са стратешким и планско-програмским документима локалног и регионалног значаја, пре свега са Планом управљања отпадом града Пожаревца, нарочито у </w:t>
      </w:r>
      <w:r>
        <w:rPr>
          <w:color w:val="231F20"/>
          <w:spacing w:val="-3"/>
        </w:rPr>
        <w:t>погледу </w:t>
      </w:r>
      <w:r>
        <w:rPr>
          <w:color w:val="231F20"/>
        </w:rPr>
        <w:t>времена задржавања одре- ђене </w:t>
      </w:r>
      <w:r>
        <w:rPr>
          <w:color w:val="231F20"/>
          <w:spacing w:val="-3"/>
        </w:rPr>
        <w:t>количине </w:t>
      </w:r>
      <w:r>
        <w:rPr>
          <w:color w:val="231F20"/>
        </w:rPr>
        <w:t>и структуре отпада, начина складиштења и даљег транспорта до места </w:t>
      </w:r>
      <w:r>
        <w:rPr>
          <w:color w:val="231F20"/>
          <w:spacing w:val="-3"/>
        </w:rPr>
        <w:t>коначног </w:t>
      </w:r>
      <w:r>
        <w:rPr>
          <w:color w:val="231F20"/>
        </w:rPr>
        <w:t>одлагања;</w:t>
      </w:r>
    </w:p>
    <w:p>
      <w:pPr>
        <w:pStyle w:val="BodyText"/>
        <w:spacing w:line="232" w:lineRule="auto"/>
        <w:ind w:left="453" w:firstLine="396"/>
      </w:pPr>
      <w:r>
        <w:rPr>
          <w:color w:val="231F20"/>
          <w:w w:val="66"/>
        </w:rPr>
        <w:t> </w:t>
      </w:r>
      <w:r>
        <w:rPr>
          <w:color w:val="231F20"/>
        </w:rPr>
        <w:t>– </w:t>
      </w:r>
      <w:r>
        <w:rPr>
          <w:color w:val="231F20"/>
          <w:spacing w:val="-3"/>
        </w:rPr>
        <w:t>приликом </w:t>
      </w:r>
      <w:r>
        <w:rPr>
          <w:color w:val="231F20"/>
        </w:rPr>
        <w:t>пројектовања, извођења и употребе привремене локације, предузети све стандарде, нормативе и препоруке у ве- зи са могућим утицајем на елементе животне средине, а пре свега на безбедност </w:t>
      </w:r>
      <w:r>
        <w:rPr>
          <w:color w:val="231F20"/>
          <w:spacing w:val="-3"/>
        </w:rPr>
        <w:t>људи, </w:t>
      </w:r>
      <w:r>
        <w:rPr>
          <w:color w:val="231F20"/>
        </w:rPr>
        <w:t>захтеване </w:t>
      </w:r>
      <w:r>
        <w:rPr>
          <w:color w:val="231F20"/>
          <w:spacing w:val="-6"/>
        </w:rPr>
        <w:t>код </w:t>
      </w:r>
      <w:r>
        <w:rPr>
          <w:color w:val="231F20"/>
        </w:rPr>
        <w:t>објеката трансфер станица и за трајно складиштење опасног и неопасног</w:t>
      </w:r>
      <w:r>
        <w:rPr>
          <w:color w:val="231F20"/>
          <w:spacing w:val="-5"/>
        </w:rPr>
        <w:t> </w:t>
      </w:r>
      <w:r>
        <w:rPr>
          <w:color w:val="231F20"/>
        </w:rPr>
        <w:t>отпада;</w:t>
      </w:r>
    </w:p>
    <w:p>
      <w:pPr>
        <w:pStyle w:val="BodyText"/>
        <w:spacing w:line="232" w:lineRule="auto"/>
        <w:ind w:left="452" w:firstLine="397"/>
      </w:pPr>
      <w:r>
        <w:rPr>
          <w:color w:val="231F20"/>
          <w:w w:val="66"/>
        </w:rPr>
        <w:t> </w:t>
      </w:r>
      <w:r>
        <w:rPr>
          <w:color w:val="231F20"/>
        </w:rPr>
        <w:t>– с обзиром на то да је обим и вероватна учесталост тех- ничко-технолошких катастрофа највећа код рударских и енергет- ских објеката који представљају ризик за животну средину и код нормалног рада постројења, односно где су присутни ризици од складиштења, манипулације и транспорта лакозапаљивих, екс- плозивних и отровних материја, а пре свега ризици који произла- зе из технолошког процеса и величине капацитета, неопходно је извршити посебне студијске анализе утицаја са аспекта ризика од елементарних непогода; при том анализе треба извршити за сце- нарије успостављене према тачној оцени највероватнијих критич- них фаза за примењену технологију; извршити процене ризика за уређаје и опрему;</w:t>
      </w:r>
    </w:p>
    <w:p>
      <w:pPr>
        <w:pStyle w:val="BodyText"/>
        <w:spacing w:line="232" w:lineRule="auto"/>
        <w:ind w:left="452" w:right="1" w:firstLine="397"/>
      </w:pPr>
      <w:r>
        <w:rPr>
          <w:color w:val="231F20"/>
          <w:w w:val="66"/>
        </w:rPr>
        <w:t> </w:t>
      </w:r>
      <w:r>
        <w:rPr>
          <w:color w:val="231F20"/>
        </w:rPr>
        <w:t>– обезбедити периодично праћење стања комплекса и окол- них површина у заштитном појасу ради процене утицаја рудар- ских активности;</w:t>
      </w:r>
    </w:p>
    <w:p>
      <w:pPr>
        <w:pStyle w:val="BodyText"/>
        <w:spacing w:line="232" w:lineRule="auto"/>
        <w:ind w:left="452" w:right="1" w:firstLine="397"/>
      </w:pPr>
      <w:r>
        <w:rPr>
          <w:color w:val="231F20"/>
          <w:w w:val="66"/>
        </w:rPr>
        <w:t> </w:t>
      </w:r>
      <w:r>
        <w:rPr>
          <w:color w:val="231F20"/>
        </w:rPr>
        <w:t>–</w:t>
      </w:r>
      <w:r>
        <w:rPr>
          <w:color w:val="231F20"/>
          <w:spacing w:val="-7"/>
        </w:rPr>
        <w:t> </w:t>
      </w:r>
      <w:r>
        <w:rPr>
          <w:color w:val="231F20"/>
        </w:rPr>
        <w:t>зоне</w:t>
      </w:r>
      <w:r>
        <w:rPr>
          <w:color w:val="231F20"/>
          <w:spacing w:val="-7"/>
        </w:rPr>
        <w:t> </w:t>
      </w:r>
      <w:r>
        <w:rPr>
          <w:color w:val="231F20"/>
        </w:rPr>
        <w:t>других</w:t>
      </w:r>
      <w:r>
        <w:rPr>
          <w:color w:val="231F20"/>
          <w:spacing w:val="-7"/>
        </w:rPr>
        <w:t> </w:t>
      </w:r>
      <w:r>
        <w:rPr>
          <w:color w:val="231F20"/>
        </w:rPr>
        <w:t>намена</w:t>
      </w:r>
      <w:r>
        <w:rPr>
          <w:color w:val="231F20"/>
          <w:spacing w:val="-7"/>
        </w:rPr>
        <w:t> </w:t>
      </w:r>
      <w:r>
        <w:rPr>
          <w:color w:val="231F20"/>
        </w:rPr>
        <w:t>раздвојити</w:t>
      </w:r>
      <w:r>
        <w:rPr>
          <w:color w:val="231F20"/>
          <w:spacing w:val="-7"/>
        </w:rPr>
        <w:t> </w:t>
      </w:r>
      <w:r>
        <w:rPr>
          <w:color w:val="231F20"/>
          <w:spacing w:val="-3"/>
        </w:rPr>
        <w:t>од</w:t>
      </w:r>
      <w:r>
        <w:rPr>
          <w:color w:val="231F20"/>
          <w:spacing w:val="-7"/>
        </w:rPr>
        <w:t> </w:t>
      </w:r>
      <w:r>
        <w:rPr>
          <w:color w:val="231F20"/>
        </w:rPr>
        <w:t>зона</w:t>
      </w:r>
      <w:r>
        <w:rPr>
          <w:color w:val="231F20"/>
          <w:spacing w:val="-7"/>
        </w:rPr>
        <w:t> </w:t>
      </w:r>
      <w:r>
        <w:rPr>
          <w:color w:val="231F20"/>
        </w:rPr>
        <w:t>активних</w:t>
      </w:r>
      <w:r>
        <w:rPr>
          <w:color w:val="231F20"/>
          <w:spacing w:val="-7"/>
        </w:rPr>
        <w:t> </w:t>
      </w:r>
      <w:r>
        <w:rPr>
          <w:color w:val="231F20"/>
        </w:rPr>
        <w:t>рударских радова</w:t>
      </w:r>
      <w:r>
        <w:rPr>
          <w:color w:val="231F20"/>
          <w:spacing w:val="-8"/>
        </w:rPr>
        <w:t> </w:t>
      </w:r>
      <w:r>
        <w:rPr>
          <w:color w:val="231F20"/>
        </w:rPr>
        <w:t>одговарајућим</w:t>
      </w:r>
      <w:r>
        <w:rPr>
          <w:color w:val="231F20"/>
          <w:spacing w:val="-8"/>
        </w:rPr>
        <w:t> </w:t>
      </w:r>
      <w:r>
        <w:rPr>
          <w:color w:val="231F20"/>
        </w:rPr>
        <w:t>сигурносним</w:t>
      </w:r>
      <w:r>
        <w:rPr>
          <w:color w:val="231F20"/>
          <w:spacing w:val="-8"/>
        </w:rPr>
        <w:t> </w:t>
      </w:r>
      <w:r>
        <w:rPr>
          <w:color w:val="231F20"/>
        </w:rPr>
        <w:t>одстојањем</w:t>
      </w:r>
      <w:r>
        <w:rPr>
          <w:color w:val="231F20"/>
          <w:spacing w:val="-8"/>
        </w:rPr>
        <w:t> </w:t>
      </w:r>
      <w:r>
        <w:rPr>
          <w:color w:val="231F20"/>
        </w:rPr>
        <w:t>и</w:t>
      </w:r>
      <w:r>
        <w:rPr>
          <w:color w:val="231F20"/>
          <w:spacing w:val="-8"/>
        </w:rPr>
        <w:t> </w:t>
      </w:r>
      <w:r>
        <w:rPr>
          <w:color w:val="231F20"/>
        </w:rPr>
        <w:t>заштитним</w:t>
      </w:r>
      <w:r>
        <w:rPr>
          <w:color w:val="231F20"/>
          <w:spacing w:val="-8"/>
        </w:rPr>
        <w:t> </w:t>
      </w:r>
      <w:r>
        <w:rPr>
          <w:color w:val="231F20"/>
        </w:rPr>
        <w:t>зеле- нилом;</w:t>
      </w:r>
    </w:p>
    <w:p>
      <w:pPr>
        <w:pStyle w:val="BodyText"/>
        <w:spacing w:line="223" w:lineRule="auto" w:before="76"/>
        <w:ind w:left="241" w:right="129" w:firstLine="396"/>
      </w:pPr>
      <w:r>
        <w:rPr/>
        <w:br w:type="column"/>
      </w:r>
      <w:r>
        <w:rPr>
          <w:color w:val="231F20"/>
          <w:w w:val="66"/>
        </w:rPr>
        <w:t> </w:t>
      </w:r>
      <w:r>
        <w:rPr>
          <w:color w:val="231F20"/>
        </w:rPr>
        <w:t>– водоснабдевање рударско-енергетског </w:t>
      </w:r>
      <w:r>
        <w:rPr>
          <w:color w:val="231F20"/>
          <w:spacing w:val="-3"/>
        </w:rPr>
        <w:t>комплекса </w:t>
      </w:r>
      <w:r>
        <w:rPr>
          <w:color w:val="231F20"/>
        </w:rPr>
        <w:t>и насеља у</w:t>
      </w:r>
      <w:r>
        <w:rPr>
          <w:color w:val="231F20"/>
          <w:spacing w:val="-5"/>
        </w:rPr>
        <w:t> </w:t>
      </w:r>
      <w:r>
        <w:rPr>
          <w:color w:val="231F20"/>
        </w:rPr>
        <w:t>непосредном</w:t>
      </w:r>
      <w:r>
        <w:rPr>
          <w:color w:val="231F20"/>
          <w:spacing w:val="-5"/>
        </w:rPr>
        <w:t> </w:t>
      </w:r>
      <w:r>
        <w:rPr>
          <w:color w:val="231F20"/>
        </w:rPr>
        <w:t>окружењу</w:t>
      </w:r>
      <w:r>
        <w:rPr>
          <w:color w:val="231F20"/>
          <w:spacing w:val="-5"/>
        </w:rPr>
        <w:t> </w:t>
      </w:r>
      <w:r>
        <w:rPr>
          <w:color w:val="231F20"/>
        </w:rPr>
        <w:t>обезбеђује</w:t>
      </w:r>
      <w:r>
        <w:rPr>
          <w:color w:val="231F20"/>
          <w:spacing w:val="-5"/>
        </w:rPr>
        <w:t> </w:t>
      </w:r>
      <w:r>
        <w:rPr>
          <w:color w:val="231F20"/>
        </w:rPr>
        <w:t>се</w:t>
      </w:r>
      <w:r>
        <w:rPr>
          <w:color w:val="231F20"/>
          <w:spacing w:val="-5"/>
        </w:rPr>
        <w:t> </w:t>
      </w:r>
      <w:r>
        <w:rPr>
          <w:color w:val="231F20"/>
        </w:rPr>
        <w:t>у</w:t>
      </w:r>
      <w:r>
        <w:rPr>
          <w:color w:val="231F20"/>
          <w:spacing w:val="-5"/>
        </w:rPr>
        <w:t> </w:t>
      </w:r>
      <w:r>
        <w:rPr>
          <w:color w:val="231F20"/>
        </w:rPr>
        <w:t>оквиру</w:t>
      </w:r>
      <w:r>
        <w:rPr>
          <w:color w:val="231F20"/>
          <w:spacing w:val="-5"/>
        </w:rPr>
        <w:t> </w:t>
      </w:r>
      <w:r>
        <w:rPr>
          <w:color w:val="231F20"/>
        </w:rPr>
        <w:t>малих</w:t>
      </w:r>
      <w:r>
        <w:rPr>
          <w:color w:val="231F20"/>
          <w:spacing w:val="-5"/>
        </w:rPr>
        <w:t> </w:t>
      </w:r>
      <w:r>
        <w:rPr>
          <w:color w:val="231F20"/>
        </w:rPr>
        <w:t>насељских система</w:t>
      </w:r>
      <w:r>
        <w:rPr>
          <w:color w:val="231F20"/>
          <w:spacing w:val="-5"/>
        </w:rPr>
        <w:t> </w:t>
      </w:r>
      <w:r>
        <w:rPr>
          <w:color w:val="231F20"/>
          <w:spacing w:val="-3"/>
        </w:rPr>
        <w:t>који</w:t>
      </w:r>
      <w:r>
        <w:rPr>
          <w:color w:val="231F20"/>
          <w:spacing w:val="-5"/>
        </w:rPr>
        <w:t> </w:t>
      </w:r>
      <w:r>
        <w:rPr>
          <w:color w:val="231F20"/>
        </w:rPr>
        <w:t>ће</w:t>
      </w:r>
      <w:r>
        <w:rPr>
          <w:color w:val="231F20"/>
          <w:spacing w:val="-5"/>
        </w:rPr>
        <w:t> </w:t>
      </w:r>
      <w:r>
        <w:rPr>
          <w:color w:val="231F20"/>
        </w:rPr>
        <w:t>у</w:t>
      </w:r>
      <w:r>
        <w:rPr>
          <w:color w:val="231F20"/>
          <w:spacing w:val="-5"/>
        </w:rPr>
        <w:t> </w:t>
      </w:r>
      <w:r>
        <w:rPr>
          <w:color w:val="231F20"/>
        </w:rPr>
        <w:t>перспективи</w:t>
      </w:r>
      <w:r>
        <w:rPr>
          <w:color w:val="231F20"/>
          <w:spacing w:val="-5"/>
        </w:rPr>
        <w:t> </w:t>
      </w:r>
      <w:r>
        <w:rPr>
          <w:color w:val="231F20"/>
        </w:rPr>
        <w:t>бити</w:t>
      </w:r>
      <w:r>
        <w:rPr>
          <w:color w:val="231F20"/>
          <w:spacing w:val="-5"/>
        </w:rPr>
        <w:t> </w:t>
      </w:r>
      <w:r>
        <w:rPr>
          <w:color w:val="231F20"/>
        </w:rPr>
        <w:t>повезани</w:t>
      </w:r>
      <w:r>
        <w:rPr>
          <w:color w:val="231F20"/>
          <w:spacing w:val="-5"/>
        </w:rPr>
        <w:t> </w:t>
      </w:r>
      <w:r>
        <w:rPr>
          <w:color w:val="231F20"/>
        </w:rPr>
        <w:t>у</w:t>
      </w:r>
      <w:r>
        <w:rPr>
          <w:color w:val="231F20"/>
          <w:spacing w:val="-5"/>
        </w:rPr>
        <w:t> </w:t>
      </w:r>
      <w:r>
        <w:rPr>
          <w:color w:val="231F20"/>
        </w:rPr>
        <w:t>регионални</w:t>
      </w:r>
      <w:r>
        <w:rPr>
          <w:color w:val="231F20"/>
          <w:spacing w:val="-5"/>
        </w:rPr>
        <w:t> </w:t>
      </w:r>
      <w:r>
        <w:rPr>
          <w:color w:val="231F20"/>
        </w:rPr>
        <w:t>систем водоснабдевања;</w:t>
      </w:r>
    </w:p>
    <w:p>
      <w:pPr>
        <w:pStyle w:val="BodyText"/>
        <w:spacing w:line="223" w:lineRule="auto"/>
        <w:ind w:left="242" w:right="129" w:firstLine="396"/>
      </w:pPr>
      <w:r>
        <w:rPr>
          <w:color w:val="231F20"/>
          <w:w w:val="66"/>
        </w:rPr>
        <w:t> </w:t>
      </w:r>
      <w:r>
        <w:rPr>
          <w:color w:val="231F20"/>
        </w:rPr>
        <w:t>– постојеће локације пратећих објеката прикључене су на насељске водоводе у Дрмну и Брадарцу; а изградња и одржавање ових водоводних система, у организационом и </w:t>
      </w:r>
      <w:r>
        <w:rPr>
          <w:color w:val="231F20"/>
          <w:spacing w:val="-3"/>
        </w:rPr>
        <w:t>техничком смислу, </w:t>
      </w:r>
      <w:r>
        <w:rPr>
          <w:color w:val="231F20"/>
        </w:rPr>
        <w:t>спроводи се у оквиру радне јединице ТЕ-КО; наиме, у саставу по- вршинског </w:t>
      </w:r>
      <w:r>
        <w:rPr>
          <w:color w:val="231F20"/>
          <w:spacing w:val="-3"/>
        </w:rPr>
        <w:t>копа </w:t>
      </w:r>
      <w:r>
        <w:rPr>
          <w:color w:val="231F20"/>
        </w:rPr>
        <w:t>„Дрмно” налазе се и спољни цевоводи са изво- риштима и бунари (по 2 бунара, с тим што се планира отварање нових</w:t>
      </w:r>
      <w:r>
        <w:rPr>
          <w:color w:val="231F20"/>
          <w:spacing w:val="-8"/>
        </w:rPr>
        <w:t> </w:t>
      </w:r>
      <w:r>
        <w:rPr>
          <w:color w:val="231F20"/>
        </w:rPr>
        <w:t>бунара</w:t>
      </w:r>
      <w:r>
        <w:rPr>
          <w:color w:val="231F20"/>
          <w:spacing w:val="-8"/>
        </w:rPr>
        <w:t> </w:t>
      </w:r>
      <w:r>
        <w:rPr>
          <w:color w:val="231F20"/>
        </w:rPr>
        <w:t>водовода</w:t>
      </w:r>
      <w:r>
        <w:rPr>
          <w:color w:val="231F20"/>
          <w:spacing w:val="-8"/>
        </w:rPr>
        <w:t> </w:t>
      </w:r>
      <w:r>
        <w:rPr>
          <w:color w:val="231F20"/>
        </w:rPr>
        <w:t>„Дрмно”,</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изградња</w:t>
      </w:r>
      <w:r>
        <w:rPr>
          <w:color w:val="231F20"/>
          <w:spacing w:val="-8"/>
        </w:rPr>
        <w:t> </w:t>
      </w:r>
      <w:r>
        <w:rPr>
          <w:color w:val="231F20"/>
        </w:rPr>
        <w:t>одговарајућег</w:t>
      </w:r>
      <w:r>
        <w:rPr>
          <w:color w:val="231F20"/>
          <w:spacing w:val="-8"/>
        </w:rPr>
        <w:t> </w:t>
      </w:r>
      <w:r>
        <w:rPr>
          <w:color w:val="231F20"/>
        </w:rPr>
        <w:t>по- стројења) у селима Дрмно и Брадарац, </w:t>
      </w:r>
      <w:r>
        <w:rPr>
          <w:color w:val="231F20"/>
          <w:spacing w:val="-3"/>
        </w:rPr>
        <w:t>који </w:t>
      </w:r>
      <w:r>
        <w:rPr>
          <w:color w:val="231F20"/>
        </w:rPr>
        <w:t>спадају у објекте од- водњавања </w:t>
      </w:r>
      <w:r>
        <w:rPr>
          <w:color w:val="231F20"/>
          <w:spacing w:val="-3"/>
        </w:rPr>
        <w:t>копа; </w:t>
      </w:r>
      <w:r>
        <w:rPr>
          <w:color w:val="231F20"/>
        </w:rPr>
        <w:t>техничку целину чине: и зграда и два базена у селу Брадарац, као и зграда и два базена у селу Дрмно, </w:t>
      </w:r>
      <w:r>
        <w:rPr>
          <w:color w:val="231F20"/>
          <w:spacing w:val="-3"/>
        </w:rPr>
        <w:t>водовод </w:t>
      </w:r>
      <w:r>
        <w:rPr>
          <w:color w:val="231F20"/>
        </w:rPr>
        <w:t>II-15 и цевоводи за подземно и површинско</w:t>
      </w:r>
      <w:r>
        <w:rPr>
          <w:color w:val="231F20"/>
          <w:spacing w:val="-23"/>
        </w:rPr>
        <w:t> </w:t>
      </w:r>
      <w:r>
        <w:rPr>
          <w:color w:val="231F20"/>
        </w:rPr>
        <w:t>одводњавање;</w:t>
      </w:r>
    </w:p>
    <w:p>
      <w:pPr>
        <w:pStyle w:val="BodyText"/>
        <w:spacing w:line="223" w:lineRule="auto"/>
        <w:ind w:left="242" w:right="128" w:firstLine="396"/>
      </w:pPr>
      <w:r>
        <w:rPr>
          <w:color w:val="231F20"/>
          <w:w w:val="66"/>
        </w:rPr>
        <w:t> </w:t>
      </w:r>
      <w:r>
        <w:rPr>
          <w:color w:val="231F20"/>
        </w:rPr>
        <w:t>– водоснабдевање нове локације на источној страни копа предвиђено је прикључивањем на насељски водовод у Кличевцу, чија је изградња планирана као једна од приоритетних активности у оквиру ТЕ-КО;</w:t>
      </w:r>
    </w:p>
    <w:p>
      <w:pPr>
        <w:pStyle w:val="BodyText"/>
        <w:spacing w:line="223" w:lineRule="auto"/>
        <w:ind w:left="242" w:right="128" w:firstLine="396"/>
      </w:pPr>
      <w:r>
        <w:rPr>
          <w:color w:val="231F20"/>
          <w:w w:val="66"/>
        </w:rPr>
        <w:t> </w:t>
      </w:r>
      <w:r>
        <w:rPr>
          <w:color w:val="231F20"/>
        </w:rPr>
        <w:t>–</w:t>
      </w:r>
      <w:r>
        <w:rPr>
          <w:color w:val="231F20"/>
          <w:spacing w:val="-9"/>
        </w:rPr>
        <w:t> </w:t>
      </w:r>
      <w:r>
        <w:rPr>
          <w:color w:val="231F20"/>
        </w:rPr>
        <w:t>капацитет</w:t>
      </w:r>
      <w:r>
        <w:rPr>
          <w:color w:val="231F20"/>
          <w:spacing w:val="-9"/>
        </w:rPr>
        <w:t> </w:t>
      </w:r>
      <w:r>
        <w:rPr>
          <w:color w:val="231F20"/>
        </w:rPr>
        <w:t>водоводне</w:t>
      </w:r>
      <w:r>
        <w:rPr>
          <w:color w:val="231F20"/>
          <w:spacing w:val="-9"/>
        </w:rPr>
        <w:t> </w:t>
      </w:r>
      <w:r>
        <w:rPr>
          <w:color w:val="231F20"/>
        </w:rPr>
        <w:t>мреже</w:t>
      </w:r>
      <w:r>
        <w:rPr>
          <w:color w:val="231F20"/>
          <w:spacing w:val="-9"/>
        </w:rPr>
        <w:t> </w:t>
      </w:r>
      <w:r>
        <w:rPr>
          <w:color w:val="231F20"/>
        </w:rPr>
        <w:t>и</w:t>
      </w:r>
      <w:r>
        <w:rPr>
          <w:color w:val="231F20"/>
          <w:spacing w:val="-9"/>
        </w:rPr>
        <w:t> </w:t>
      </w:r>
      <w:r>
        <w:rPr>
          <w:color w:val="231F20"/>
        </w:rPr>
        <w:t>хидранте</w:t>
      </w:r>
      <w:r>
        <w:rPr>
          <w:color w:val="231F20"/>
          <w:spacing w:val="-9"/>
        </w:rPr>
        <w:t> </w:t>
      </w:r>
      <w:r>
        <w:rPr>
          <w:color w:val="231F20"/>
        </w:rPr>
        <w:t>обавезно</w:t>
      </w:r>
      <w:r>
        <w:rPr>
          <w:color w:val="231F20"/>
          <w:spacing w:val="-9"/>
        </w:rPr>
        <w:t> </w:t>
      </w:r>
      <w:r>
        <w:rPr>
          <w:color w:val="231F20"/>
        </w:rPr>
        <w:t>предвиде- ти и за ПП</w:t>
      </w:r>
      <w:r>
        <w:rPr>
          <w:color w:val="231F20"/>
          <w:spacing w:val="-4"/>
        </w:rPr>
        <w:t> </w:t>
      </w:r>
      <w:r>
        <w:rPr>
          <w:color w:val="231F20"/>
        </w:rPr>
        <w:t>заштиту;</w:t>
      </w:r>
    </w:p>
    <w:p>
      <w:pPr>
        <w:pStyle w:val="BodyText"/>
        <w:spacing w:line="223" w:lineRule="auto"/>
        <w:ind w:left="242" w:right="128" w:firstLine="397"/>
      </w:pPr>
      <w:r>
        <w:rPr>
          <w:color w:val="231F20"/>
          <w:w w:val="66"/>
        </w:rPr>
        <w:t> </w:t>
      </w:r>
      <w:r>
        <w:rPr>
          <w:color w:val="231F20"/>
        </w:rPr>
        <w:t>– на постојећим и планираним локацијама (Руднички круг, контејнерска насеља „Југ”, „Запад” и „Исток”) постоји канализа- циона мрежа којом се прикупљају отпадне воде и спроводе до по- стројења за пречишћавање, а из њега се преко цевног испуста ис- пуштају у ободни канал ПК „Дрмно”; на новој локацији „Исток” предвиђа се постављање типског постројења за уклањање масти и уља након претходног процеса таложења песка и</w:t>
      </w:r>
    </w:p>
    <w:p>
      <w:pPr>
        <w:pStyle w:val="BodyText"/>
        <w:spacing w:line="223" w:lineRule="auto"/>
        <w:ind w:left="242" w:right="128" w:firstLine="396"/>
      </w:pPr>
      <w:r>
        <w:rPr>
          <w:color w:val="231F20"/>
          <w:w w:val="66"/>
        </w:rPr>
        <w:t> </w:t>
      </w:r>
      <w:r>
        <w:rPr>
          <w:color w:val="231F20"/>
        </w:rPr>
        <w:t>–</w:t>
      </w:r>
      <w:r>
        <w:rPr>
          <w:color w:val="231F20"/>
          <w:spacing w:val="-8"/>
        </w:rPr>
        <w:t> </w:t>
      </w:r>
      <w:r>
        <w:rPr>
          <w:color w:val="231F20"/>
        </w:rPr>
        <w:t>атмосферске</w:t>
      </w:r>
      <w:r>
        <w:rPr>
          <w:color w:val="231F20"/>
          <w:spacing w:val="-8"/>
        </w:rPr>
        <w:t> </w:t>
      </w:r>
      <w:r>
        <w:rPr>
          <w:color w:val="231F20"/>
        </w:rPr>
        <w:t>воде</w:t>
      </w:r>
      <w:r>
        <w:rPr>
          <w:color w:val="231F20"/>
          <w:spacing w:val="-8"/>
        </w:rPr>
        <w:t> </w:t>
      </w:r>
      <w:r>
        <w:rPr>
          <w:color w:val="231F20"/>
        </w:rPr>
        <w:t>са</w:t>
      </w:r>
      <w:r>
        <w:rPr>
          <w:color w:val="231F20"/>
          <w:spacing w:val="-8"/>
        </w:rPr>
        <w:t> </w:t>
      </w:r>
      <w:r>
        <w:rPr>
          <w:color w:val="231F20"/>
        </w:rPr>
        <w:t>отворених</w:t>
      </w:r>
      <w:r>
        <w:rPr>
          <w:color w:val="231F20"/>
          <w:spacing w:val="-8"/>
        </w:rPr>
        <w:t> </w:t>
      </w:r>
      <w:r>
        <w:rPr>
          <w:color w:val="231F20"/>
        </w:rPr>
        <w:t>површина</w:t>
      </w:r>
      <w:r>
        <w:rPr>
          <w:color w:val="231F20"/>
          <w:spacing w:val="-8"/>
        </w:rPr>
        <w:t> </w:t>
      </w:r>
      <w:r>
        <w:rPr>
          <w:color w:val="231F20"/>
        </w:rPr>
        <w:t>на</w:t>
      </w:r>
      <w:r>
        <w:rPr>
          <w:color w:val="231F20"/>
          <w:spacing w:val="-8"/>
        </w:rPr>
        <w:t> </w:t>
      </w:r>
      <w:r>
        <w:rPr>
          <w:color w:val="231F20"/>
        </w:rPr>
        <w:t>појединачним локацијама прикупљају се и </w:t>
      </w:r>
      <w:r>
        <w:rPr>
          <w:color w:val="231F20"/>
          <w:spacing w:val="-3"/>
        </w:rPr>
        <w:t>преко </w:t>
      </w:r>
      <w:r>
        <w:rPr>
          <w:color w:val="231F20"/>
        </w:rPr>
        <w:t>система бетонских канала ис- пуштају у</w:t>
      </w:r>
      <w:r>
        <w:rPr>
          <w:color w:val="231F20"/>
          <w:spacing w:val="-1"/>
        </w:rPr>
        <w:t> </w:t>
      </w:r>
      <w:r>
        <w:rPr>
          <w:color w:val="231F20"/>
        </w:rPr>
        <w:t>реципијенте.</w:t>
      </w:r>
    </w:p>
    <w:p>
      <w:pPr>
        <w:pStyle w:val="BodyText"/>
        <w:spacing w:line="223" w:lineRule="auto"/>
        <w:ind w:left="242" w:right="128" w:firstLine="396"/>
      </w:pPr>
      <w:r>
        <w:rPr>
          <w:color w:val="231F20"/>
          <w:w w:val="66"/>
        </w:rPr>
        <w:t> </w:t>
      </w:r>
      <w:r>
        <w:rPr>
          <w:color w:val="231F20"/>
        </w:rPr>
        <w:t>–</w:t>
      </w:r>
      <w:r>
        <w:rPr>
          <w:color w:val="231F20"/>
          <w:spacing w:val="-10"/>
        </w:rPr>
        <w:t> </w:t>
      </w:r>
      <w:r>
        <w:rPr>
          <w:color w:val="231F20"/>
        </w:rPr>
        <w:t>дужина</w:t>
      </w:r>
      <w:r>
        <w:rPr>
          <w:color w:val="231F20"/>
          <w:spacing w:val="-10"/>
        </w:rPr>
        <w:t> </w:t>
      </w:r>
      <w:r>
        <w:rPr>
          <w:color w:val="231F20"/>
        </w:rPr>
        <w:t>могућих</w:t>
      </w:r>
      <w:r>
        <w:rPr>
          <w:color w:val="231F20"/>
          <w:spacing w:val="-10"/>
        </w:rPr>
        <w:t> </w:t>
      </w:r>
      <w:r>
        <w:rPr>
          <w:color w:val="231F20"/>
        </w:rPr>
        <w:t>прикључака</w:t>
      </w:r>
      <w:r>
        <w:rPr>
          <w:color w:val="231F20"/>
          <w:spacing w:val="-10"/>
        </w:rPr>
        <w:t> </w:t>
      </w:r>
      <w:r>
        <w:rPr>
          <w:color w:val="231F20"/>
        </w:rPr>
        <w:t>на</w:t>
      </w:r>
      <w:r>
        <w:rPr>
          <w:color w:val="231F20"/>
          <w:spacing w:val="-10"/>
        </w:rPr>
        <w:t> </w:t>
      </w:r>
      <w:r>
        <w:rPr>
          <w:color w:val="231F20"/>
        </w:rPr>
        <w:t>магистрални</w:t>
      </w:r>
      <w:r>
        <w:rPr>
          <w:color w:val="231F20"/>
          <w:spacing w:val="-10"/>
        </w:rPr>
        <w:t> </w:t>
      </w:r>
      <w:r>
        <w:rPr>
          <w:color w:val="231F20"/>
        </w:rPr>
        <w:t>топловод,</w:t>
      </w:r>
      <w:r>
        <w:rPr>
          <w:color w:val="231F20"/>
          <w:spacing w:val="-10"/>
        </w:rPr>
        <w:t> </w:t>
      </w:r>
      <w:r>
        <w:rPr>
          <w:color w:val="231F20"/>
        </w:rPr>
        <w:t>као и међусобна удаљеност појединачних локација, условљавају из- градњу локацијских </w:t>
      </w:r>
      <w:r>
        <w:rPr>
          <w:color w:val="231F20"/>
          <w:spacing w:val="-3"/>
        </w:rPr>
        <w:t>котларница, </w:t>
      </w:r>
      <w:r>
        <w:rPr>
          <w:color w:val="231F20"/>
        </w:rPr>
        <w:t>односно, у случају појединачних објеката</w:t>
      </w:r>
      <w:r>
        <w:rPr>
          <w:color w:val="231F20"/>
          <w:spacing w:val="-8"/>
        </w:rPr>
        <w:t> </w:t>
      </w:r>
      <w:r>
        <w:rPr>
          <w:color w:val="231F20"/>
        </w:rPr>
        <w:t>на</w:t>
      </w:r>
      <w:r>
        <w:rPr>
          <w:color w:val="231F20"/>
          <w:spacing w:val="-9"/>
        </w:rPr>
        <w:t> </w:t>
      </w:r>
      <w:r>
        <w:rPr>
          <w:color w:val="231F20"/>
        </w:rPr>
        <w:t>локацији</w:t>
      </w:r>
      <w:r>
        <w:rPr>
          <w:color w:val="231F20"/>
          <w:spacing w:val="-8"/>
        </w:rPr>
        <w:t> </w:t>
      </w:r>
      <w:r>
        <w:rPr>
          <w:color w:val="231F20"/>
        </w:rPr>
        <w:t>„Руднички</w:t>
      </w:r>
      <w:r>
        <w:rPr>
          <w:color w:val="231F20"/>
          <w:spacing w:val="-8"/>
        </w:rPr>
        <w:t> </w:t>
      </w:r>
      <w:r>
        <w:rPr>
          <w:color w:val="231F20"/>
        </w:rPr>
        <w:t>круг”</w:t>
      </w:r>
      <w:r>
        <w:rPr>
          <w:color w:val="231F20"/>
          <w:spacing w:val="-8"/>
        </w:rPr>
        <w:t> </w:t>
      </w:r>
      <w:r>
        <w:rPr>
          <w:color w:val="231F20"/>
        </w:rPr>
        <w:t>прикључивање</w:t>
      </w:r>
      <w:r>
        <w:rPr>
          <w:color w:val="231F20"/>
          <w:spacing w:val="-9"/>
        </w:rPr>
        <w:t> </w:t>
      </w:r>
      <w:r>
        <w:rPr>
          <w:color w:val="231F20"/>
        </w:rPr>
        <w:t>на</w:t>
      </w:r>
      <w:r>
        <w:rPr>
          <w:color w:val="231F20"/>
          <w:spacing w:val="-9"/>
        </w:rPr>
        <w:t> </w:t>
      </w:r>
      <w:r>
        <w:rPr>
          <w:color w:val="231F20"/>
        </w:rPr>
        <w:t>постојећу </w:t>
      </w:r>
      <w:r>
        <w:rPr>
          <w:color w:val="231F20"/>
          <w:spacing w:val="-3"/>
        </w:rPr>
        <w:t>котларницу; </w:t>
      </w:r>
      <w:r>
        <w:rPr>
          <w:color w:val="231F20"/>
        </w:rPr>
        <w:t>неопходно је испитати стање и капацитет постојеће </w:t>
      </w:r>
      <w:r>
        <w:rPr>
          <w:color w:val="231F20"/>
          <w:spacing w:val="-3"/>
        </w:rPr>
        <w:t>котларнице </w:t>
      </w:r>
      <w:r>
        <w:rPr>
          <w:color w:val="231F20"/>
        </w:rPr>
        <w:t>централног грејања и по потреби предузети активно- сти на њеној</w:t>
      </w:r>
      <w:r>
        <w:rPr>
          <w:color w:val="231F20"/>
          <w:spacing w:val="-3"/>
        </w:rPr>
        <w:t> </w:t>
      </w:r>
      <w:r>
        <w:rPr>
          <w:color w:val="231F20"/>
        </w:rPr>
        <w:t>реконструкцији;</w:t>
      </w:r>
    </w:p>
    <w:p>
      <w:pPr>
        <w:pStyle w:val="BodyText"/>
        <w:spacing w:line="223" w:lineRule="auto"/>
        <w:ind w:left="243" w:right="128" w:firstLine="397"/>
      </w:pPr>
      <w:r>
        <w:rPr>
          <w:color w:val="231F20"/>
          <w:w w:val="66"/>
        </w:rPr>
        <w:t> </w:t>
      </w:r>
      <w:r>
        <w:rPr>
          <w:color w:val="231F20"/>
        </w:rPr>
        <w:t>– уколико се створе услови за успостављање рационалнијег повезивања на систем даљинског грејања нпр. кроз евентуалну доградњу магистралне мреже за потребе снабдевања резидената предвидети одговарајуће прикључивање појединачних објеката;</w:t>
      </w:r>
    </w:p>
    <w:p>
      <w:pPr>
        <w:pStyle w:val="BodyText"/>
        <w:spacing w:line="223" w:lineRule="auto"/>
        <w:ind w:left="243" w:right="127" w:firstLine="396"/>
      </w:pPr>
      <w:r>
        <w:rPr>
          <w:color w:val="231F20"/>
          <w:w w:val="66"/>
        </w:rPr>
        <w:t> </w:t>
      </w:r>
      <w:r>
        <w:rPr>
          <w:color w:val="231F20"/>
        </w:rPr>
        <w:t>–</w:t>
      </w:r>
      <w:r>
        <w:rPr>
          <w:color w:val="231F20"/>
          <w:spacing w:val="-14"/>
        </w:rPr>
        <w:t> </w:t>
      </w:r>
      <w:r>
        <w:rPr>
          <w:color w:val="231F20"/>
        </w:rPr>
        <w:t>планирана</w:t>
      </w:r>
      <w:r>
        <w:rPr>
          <w:color w:val="231F20"/>
          <w:spacing w:val="-14"/>
        </w:rPr>
        <w:t> </w:t>
      </w:r>
      <w:r>
        <w:rPr>
          <w:color w:val="231F20"/>
          <w:spacing w:val="-3"/>
        </w:rPr>
        <w:t>ободна</w:t>
      </w:r>
      <w:r>
        <w:rPr>
          <w:color w:val="231F20"/>
          <w:spacing w:val="-14"/>
        </w:rPr>
        <w:t> </w:t>
      </w:r>
      <w:r>
        <w:rPr>
          <w:color w:val="231F20"/>
        </w:rPr>
        <w:t>саобраћајница</w:t>
      </w:r>
      <w:r>
        <w:rPr>
          <w:color w:val="231F20"/>
          <w:spacing w:val="-14"/>
        </w:rPr>
        <w:t> </w:t>
      </w:r>
      <w:r>
        <w:rPr>
          <w:color w:val="231F20"/>
          <w:spacing w:val="-2"/>
        </w:rPr>
        <w:t>има</w:t>
      </w:r>
      <w:r>
        <w:rPr>
          <w:color w:val="231F20"/>
          <w:spacing w:val="-14"/>
        </w:rPr>
        <w:t> </w:t>
      </w:r>
      <w:r>
        <w:rPr>
          <w:color w:val="231F20"/>
        </w:rPr>
        <w:t>интерни</w:t>
      </w:r>
      <w:r>
        <w:rPr>
          <w:color w:val="231F20"/>
          <w:spacing w:val="-14"/>
        </w:rPr>
        <w:t> </w:t>
      </w:r>
      <w:r>
        <w:rPr>
          <w:color w:val="231F20"/>
          <w:spacing w:val="-3"/>
        </w:rPr>
        <w:t>карактер</w:t>
      </w:r>
      <w:r>
        <w:rPr>
          <w:color w:val="231F20"/>
          <w:spacing w:val="-14"/>
        </w:rPr>
        <w:t> </w:t>
      </w:r>
      <w:r>
        <w:rPr>
          <w:color w:val="231F20"/>
        </w:rPr>
        <w:t>и</w:t>
      </w:r>
      <w:r>
        <w:rPr>
          <w:color w:val="231F20"/>
          <w:spacing w:val="-14"/>
        </w:rPr>
        <w:t> </w:t>
      </w:r>
      <w:r>
        <w:rPr>
          <w:color w:val="231F20"/>
        </w:rPr>
        <w:t>на- мењена је за кретање </w:t>
      </w:r>
      <w:r>
        <w:rPr>
          <w:color w:val="231F20"/>
          <w:spacing w:val="-3"/>
        </w:rPr>
        <w:t>механизације, </w:t>
      </w:r>
      <w:r>
        <w:rPr>
          <w:color w:val="231F20"/>
        </w:rPr>
        <w:t>несметан </w:t>
      </w:r>
      <w:r>
        <w:rPr>
          <w:color w:val="231F20"/>
          <w:spacing w:val="-3"/>
        </w:rPr>
        <w:t>проток </w:t>
      </w:r>
      <w:r>
        <w:rPr>
          <w:color w:val="231F20"/>
        </w:rPr>
        <w:t>возила, </w:t>
      </w:r>
      <w:r>
        <w:rPr>
          <w:color w:val="231F20"/>
          <w:spacing w:val="-5"/>
        </w:rPr>
        <w:t>људи </w:t>
      </w:r>
      <w:r>
        <w:rPr>
          <w:color w:val="231F20"/>
        </w:rPr>
        <w:t>и </w:t>
      </w:r>
      <w:r>
        <w:rPr>
          <w:color w:val="231F20"/>
          <w:spacing w:val="-3"/>
        </w:rPr>
        <w:t>снабдевања; повезује  локације  појединачних  пратећих  објеката </w:t>
      </w:r>
      <w:r>
        <w:rPr>
          <w:color w:val="231F20"/>
        </w:rPr>
        <w:t>и </w:t>
      </w:r>
      <w:r>
        <w:rPr>
          <w:color w:val="231F20"/>
          <w:spacing w:val="-3"/>
        </w:rPr>
        <w:t>техничких </w:t>
      </w:r>
      <w:r>
        <w:rPr>
          <w:color w:val="231F20"/>
        </w:rPr>
        <w:t>система, а повезивањем ове саобраћајнице са посто- јећим, јавним и интерним, саобраћајницама </w:t>
      </w:r>
      <w:r>
        <w:rPr>
          <w:color w:val="231F20"/>
          <w:spacing w:val="-3"/>
        </w:rPr>
        <w:t>дуж источне </w:t>
      </w:r>
      <w:r>
        <w:rPr>
          <w:color w:val="231F20"/>
        </w:rPr>
        <w:t>и </w:t>
      </w:r>
      <w:r>
        <w:rPr>
          <w:color w:val="231F20"/>
          <w:spacing w:val="-3"/>
        </w:rPr>
        <w:t>јужне </w:t>
      </w:r>
      <w:r>
        <w:rPr>
          <w:color w:val="231F20"/>
        </w:rPr>
        <w:t>стране </w:t>
      </w:r>
      <w:r>
        <w:rPr>
          <w:color w:val="231F20"/>
          <w:spacing w:val="-4"/>
        </w:rPr>
        <w:t>копа, </w:t>
      </w:r>
      <w:r>
        <w:rPr>
          <w:color w:val="231F20"/>
          <w:spacing w:val="-3"/>
        </w:rPr>
        <w:t>формира потпуни комуникацијски </w:t>
      </w:r>
      <w:r>
        <w:rPr>
          <w:color w:val="231F20"/>
        </w:rPr>
        <w:t>прстен </w:t>
      </w:r>
      <w:r>
        <w:rPr>
          <w:color w:val="231F20"/>
          <w:spacing w:val="-5"/>
        </w:rPr>
        <w:t>око</w:t>
      </w:r>
      <w:r>
        <w:rPr>
          <w:color w:val="231F20"/>
          <w:spacing w:val="-14"/>
        </w:rPr>
        <w:t> </w:t>
      </w:r>
      <w:r>
        <w:rPr>
          <w:color w:val="231F20"/>
          <w:spacing w:val="-4"/>
        </w:rPr>
        <w:t>копа;</w:t>
      </w:r>
    </w:p>
    <w:p>
      <w:pPr>
        <w:pStyle w:val="BodyText"/>
        <w:spacing w:line="223" w:lineRule="auto"/>
        <w:ind w:left="244" w:right="127" w:firstLine="396"/>
      </w:pPr>
      <w:r>
        <w:rPr>
          <w:color w:val="231F20"/>
          <w:w w:val="66"/>
        </w:rPr>
        <w:t> </w:t>
      </w:r>
      <w:r>
        <w:rPr>
          <w:color w:val="231F20"/>
        </w:rPr>
        <w:t>– предвиђа се изградња саобраћајнице пуног профила са две саобраћајне траке укупне ширине 6,0 m и са </w:t>
      </w:r>
      <w:r>
        <w:rPr>
          <w:color w:val="231F20"/>
          <w:spacing w:val="-3"/>
        </w:rPr>
        <w:t>коловозом од </w:t>
      </w:r>
      <w:r>
        <w:rPr>
          <w:color w:val="231F20"/>
        </w:rPr>
        <w:t>асфалт бетона;</w:t>
      </w:r>
      <w:r>
        <w:rPr>
          <w:color w:val="231F20"/>
          <w:spacing w:val="-11"/>
        </w:rPr>
        <w:t> </w:t>
      </w:r>
      <w:r>
        <w:rPr>
          <w:color w:val="231F20"/>
        </w:rPr>
        <w:t>укупна</w:t>
      </w:r>
      <w:r>
        <w:rPr>
          <w:color w:val="231F20"/>
          <w:spacing w:val="-11"/>
        </w:rPr>
        <w:t> </w:t>
      </w:r>
      <w:r>
        <w:rPr>
          <w:color w:val="231F20"/>
        </w:rPr>
        <w:t>дужина</w:t>
      </w:r>
      <w:r>
        <w:rPr>
          <w:color w:val="231F20"/>
          <w:spacing w:val="-11"/>
        </w:rPr>
        <w:t> </w:t>
      </w:r>
      <w:r>
        <w:rPr>
          <w:color w:val="231F20"/>
        </w:rPr>
        <w:t>саобраћајнице</w:t>
      </w:r>
      <w:r>
        <w:rPr>
          <w:color w:val="231F20"/>
          <w:spacing w:val="-11"/>
        </w:rPr>
        <w:t> </w:t>
      </w:r>
      <w:r>
        <w:rPr>
          <w:color w:val="231F20"/>
        </w:rPr>
        <w:t>процењује</w:t>
      </w:r>
      <w:r>
        <w:rPr>
          <w:color w:val="231F20"/>
          <w:spacing w:val="-11"/>
        </w:rPr>
        <w:t> </w:t>
      </w:r>
      <w:r>
        <w:rPr>
          <w:color w:val="231F20"/>
        </w:rPr>
        <w:t>се</w:t>
      </w:r>
      <w:r>
        <w:rPr>
          <w:color w:val="231F20"/>
          <w:spacing w:val="-11"/>
        </w:rPr>
        <w:t> </w:t>
      </w:r>
      <w:r>
        <w:rPr>
          <w:color w:val="231F20"/>
        </w:rPr>
        <w:t>на</w:t>
      </w:r>
      <w:r>
        <w:rPr>
          <w:color w:val="231F20"/>
          <w:spacing w:val="-11"/>
        </w:rPr>
        <w:t> </w:t>
      </w:r>
      <w:r>
        <w:rPr>
          <w:color w:val="231F20"/>
          <w:spacing w:val="-4"/>
        </w:rPr>
        <w:t>око</w:t>
      </w:r>
      <w:r>
        <w:rPr>
          <w:color w:val="231F20"/>
          <w:spacing w:val="-11"/>
        </w:rPr>
        <w:t> </w:t>
      </w:r>
      <w:r>
        <w:rPr>
          <w:color w:val="231F20"/>
        </w:rPr>
        <w:t>16,0</w:t>
      </w:r>
      <w:r>
        <w:rPr>
          <w:color w:val="231F20"/>
          <w:spacing w:val="-11"/>
        </w:rPr>
        <w:t> </w:t>
      </w:r>
      <w:r>
        <w:rPr>
          <w:color w:val="231F20"/>
        </w:rPr>
        <w:t>km, али предвиђа се фазно извођење ове саобраћајнице до функцио- налних веза са интерним саобраћајницама и сервисним саобраћај- ницама испред фронта рударских радова;</w:t>
      </w:r>
      <w:r>
        <w:rPr>
          <w:color w:val="231F20"/>
          <w:spacing w:val="-4"/>
        </w:rPr>
        <w:t> </w:t>
      </w:r>
      <w:r>
        <w:rPr>
          <w:color w:val="231F20"/>
        </w:rPr>
        <w:t>и</w:t>
      </w:r>
    </w:p>
    <w:p>
      <w:pPr>
        <w:pStyle w:val="BodyText"/>
        <w:spacing w:line="223" w:lineRule="auto"/>
        <w:ind w:left="244" w:right="126" w:firstLine="396"/>
      </w:pPr>
      <w:r>
        <w:rPr>
          <w:color w:val="231F20"/>
          <w:w w:val="66"/>
        </w:rPr>
        <w:t> </w:t>
      </w:r>
      <w:r>
        <w:rPr>
          <w:color w:val="231F20"/>
        </w:rPr>
        <w:t>– прва фаза пројектовања и изградње обухвата око 3,6 km дуж западне границе копа и у потпуности задовољава пројектова- но напредовање границе копа до 2015. године.</w:t>
      </w:r>
    </w:p>
    <w:p>
      <w:pPr>
        <w:pStyle w:val="BodyText"/>
        <w:spacing w:line="200" w:lineRule="exact" w:before="144"/>
        <w:ind w:left="717"/>
        <w:jc w:val="left"/>
      </w:pPr>
      <w:r>
        <w:rPr>
          <w:color w:val="231F20"/>
        </w:rPr>
        <w:t>1.4.3. Режим уређења и коришћења про стора</w:t>
      </w:r>
    </w:p>
    <w:p>
      <w:pPr>
        <w:pStyle w:val="BodyText"/>
        <w:spacing w:line="223" w:lineRule="auto" w:before="4"/>
        <w:ind w:left="1885" w:right="514" w:hanging="1393"/>
        <w:jc w:val="left"/>
      </w:pPr>
      <w:r>
        <w:rPr>
          <w:color w:val="231F20"/>
        </w:rPr>
        <w:t>у </w:t>
      </w:r>
      <w:r>
        <w:rPr>
          <w:color w:val="231F20"/>
          <w:spacing w:val="15"/>
        </w:rPr>
        <w:t>делу </w:t>
      </w:r>
      <w:r>
        <w:rPr>
          <w:color w:val="231F20"/>
          <w:spacing w:val="11"/>
        </w:rPr>
        <w:t>који </w:t>
      </w:r>
      <w:r>
        <w:rPr>
          <w:color w:val="231F20"/>
        </w:rPr>
        <w:t>ј е </w:t>
      </w:r>
      <w:r>
        <w:rPr>
          <w:color w:val="231F20"/>
          <w:spacing w:val="10"/>
        </w:rPr>
        <w:t>ре </w:t>
      </w:r>
      <w:r>
        <w:rPr>
          <w:color w:val="231F20"/>
          <w:spacing w:val="15"/>
        </w:rPr>
        <w:t>зервис </w:t>
      </w:r>
      <w:r>
        <w:rPr>
          <w:color w:val="231F20"/>
          <w:spacing w:val="10"/>
        </w:rPr>
        <w:t>ан за </w:t>
      </w:r>
      <w:r>
        <w:rPr>
          <w:color w:val="231F20"/>
          <w:spacing w:val="15"/>
        </w:rPr>
        <w:t>развој </w:t>
      </w:r>
      <w:r>
        <w:rPr>
          <w:color w:val="231F20"/>
          <w:spacing w:val="10"/>
        </w:rPr>
        <w:t>ПК </w:t>
      </w:r>
      <w:r>
        <w:rPr>
          <w:color w:val="231F20"/>
        </w:rPr>
        <w:t>„ </w:t>
      </w:r>
      <w:r>
        <w:rPr>
          <w:color w:val="231F20"/>
          <w:spacing w:val="15"/>
        </w:rPr>
        <w:t>Дрмно” </w:t>
      </w:r>
      <w:r>
        <w:rPr>
          <w:color w:val="231F20"/>
          <w:spacing w:val="10"/>
        </w:rPr>
        <w:t>по </w:t>
      </w:r>
      <w:r>
        <w:rPr>
          <w:color w:val="231F20"/>
          <w:spacing w:val="12"/>
        </w:rPr>
        <w:t>сле </w:t>
      </w:r>
      <w:r>
        <w:rPr>
          <w:color w:val="231F20"/>
          <w:spacing w:val="15"/>
        </w:rPr>
        <w:t>2022 </w:t>
      </w:r>
      <w:r>
        <w:rPr>
          <w:color w:val="231F20"/>
        </w:rPr>
        <w:t>.</w:t>
      </w:r>
      <w:r>
        <w:rPr>
          <w:color w:val="231F20"/>
          <w:spacing w:val="5"/>
        </w:rPr>
        <w:t> </w:t>
      </w:r>
      <w:r>
        <w:rPr>
          <w:color w:val="231F20"/>
          <w:spacing w:val="15"/>
        </w:rPr>
        <w:t>године</w:t>
      </w:r>
    </w:p>
    <w:p>
      <w:pPr>
        <w:pStyle w:val="BodyText"/>
        <w:spacing w:before="8"/>
        <w:ind w:left="0"/>
        <w:jc w:val="left"/>
        <w:rPr>
          <w:sz w:val="16"/>
        </w:rPr>
      </w:pPr>
    </w:p>
    <w:p>
      <w:pPr>
        <w:pStyle w:val="BodyText"/>
        <w:spacing w:line="223" w:lineRule="auto"/>
        <w:ind w:left="244" w:right="126" w:firstLine="397"/>
      </w:pPr>
      <w:r>
        <w:rPr>
          <w:color w:val="231F20"/>
        </w:rPr>
        <w:t>За потребе развоја површинског копа „Дрмно” после 2022. године резервисан је простор укупне површине око 808,0 ha, који обухвата претежно пољопривредно земљиште испресецано кана- лима за одбрану од успора вода Дунава.</w:t>
      </w:r>
    </w:p>
    <w:p>
      <w:pPr>
        <w:pStyle w:val="BodyText"/>
        <w:spacing w:line="223" w:lineRule="auto"/>
        <w:ind w:left="245" w:right="126" w:firstLine="396"/>
      </w:pPr>
      <w:r>
        <w:rPr>
          <w:color w:val="231F20"/>
        </w:rPr>
        <w:t>На овом простору забрањена је изградња насеља, инфра- структурних, привредних, комуналних и других објеката трајног карактера.</w:t>
      </w:r>
    </w:p>
    <w:p>
      <w:pPr>
        <w:pStyle w:val="BodyText"/>
        <w:spacing w:line="187" w:lineRule="exact"/>
        <w:ind w:left="642"/>
        <w:jc w:val="left"/>
      </w:pPr>
      <w:r>
        <w:rPr>
          <w:color w:val="231F20"/>
        </w:rPr>
        <w:t>На овом простору дозвољено је:</w:t>
      </w:r>
    </w:p>
    <w:p>
      <w:pPr>
        <w:pStyle w:val="BodyText"/>
        <w:spacing w:line="223" w:lineRule="auto" w:before="3"/>
        <w:ind w:left="245" w:right="125" w:firstLine="396"/>
      </w:pPr>
      <w:r>
        <w:rPr>
          <w:color w:val="231F20"/>
          <w:w w:val="66"/>
        </w:rPr>
        <w:t> </w:t>
      </w:r>
      <w:r>
        <w:rPr>
          <w:color w:val="231F20"/>
        </w:rPr>
        <w:t>– одржавање и реконструкција постојећих и изградња нових постројења за одбрану приобаља од успора вода Дунава;</w:t>
      </w:r>
    </w:p>
    <w:p>
      <w:pPr>
        <w:pStyle w:val="BodyText"/>
        <w:spacing w:line="187" w:lineRule="exact"/>
        <w:ind w:left="642"/>
        <w:jc w:val="left"/>
      </w:pPr>
      <w:r>
        <w:rPr>
          <w:color w:val="231F20"/>
          <w:w w:val="66"/>
        </w:rPr>
        <w:t> </w:t>
      </w:r>
      <w:r>
        <w:rPr>
          <w:color w:val="231F20"/>
        </w:rPr>
        <w:t>– адаптација и одржавање постојећих објеката комбината</w:t>
      </w:r>
    </w:p>
    <w:p>
      <w:pPr>
        <w:pStyle w:val="BodyText"/>
        <w:spacing w:line="196" w:lineRule="exact"/>
        <w:ind w:left="246"/>
        <w:jc w:val="left"/>
      </w:pPr>
      <w:r>
        <w:rPr>
          <w:color w:val="231F20"/>
        </w:rPr>
        <w:t>„Храстовача” у функцији пољопривредне производње и</w:t>
      </w:r>
    </w:p>
    <w:p>
      <w:pPr>
        <w:pStyle w:val="BodyText"/>
        <w:spacing w:line="232" w:lineRule="auto" w:before="2"/>
        <w:ind w:left="246" w:right="125" w:firstLine="396"/>
      </w:pPr>
      <w:r>
        <w:rPr>
          <w:color w:val="231F20"/>
          <w:w w:val="66"/>
        </w:rPr>
        <w:t> </w:t>
      </w:r>
      <w:r>
        <w:rPr>
          <w:color w:val="231F20"/>
        </w:rPr>
        <w:t>– коришћење пољопривредних површина које нису заузете рударским и пратећим радовима за потребе пољопривредне про- изводње.</w:t>
      </w:r>
    </w:p>
    <w:p>
      <w:pPr>
        <w:spacing w:after="0" w:line="232" w:lineRule="auto"/>
        <w:sectPr>
          <w:pgSz w:w="12480" w:h="15690"/>
          <w:pgMar w:top="120" w:bottom="280" w:left="680" w:right="720"/>
          <w:cols w:num="2" w:equalWidth="0">
            <w:col w:w="5557" w:space="40"/>
            <w:col w:w="5483"/>
          </w:cols>
        </w:sectPr>
      </w:pPr>
    </w:p>
    <w:p>
      <w:pPr>
        <w:pStyle w:val="ListParagraph"/>
        <w:numPr>
          <w:ilvl w:val="1"/>
          <w:numId w:val="54"/>
        </w:numPr>
        <w:tabs>
          <w:tab w:pos="2178" w:val="left" w:leader="none"/>
        </w:tabs>
        <w:spacing w:line="240" w:lineRule="auto" w:before="68" w:after="0"/>
        <w:ind w:left="2177" w:right="0" w:hanging="315"/>
        <w:jc w:val="left"/>
        <w:rPr>
          <w:i/>
          <w:sz w:val="18"/>
        </w:rPr>
      </w:pPr>
      <w:r>
        <w:rPr/>
        <w:pict>
          <v:line style="position:absolute;mso-position-horizontal-relative:page;mso-position-vertical-relative:page;z-index:3808" from="304.724396pt,11.942451pt" to="304.724396pt,748.950451pt" stroked="true" strokeweight=".6pt" strokecolor="#231f20">
            <v:stroke dashstyle="solid"/>
            <w10:wrap type="none"/>
          </v:line>
        </w:pict>
      </w:r>
      <w:r>
        <w:rPr>
          <w:i/>
          <w:color w:val="231F20"/>
          <w:sz w:val="18"/>
        </w:rPr>
        <w:t>Правила</w:t>
      </w:r>
      <w:r>
        <w:rPr>
          <w:i/>
          <w:color w:val="231F20"/>
          <w:spacing w:val="-1"/>
          <w:sz w:val="18"/>
        </w:rPr>
        <w:t> </w:t>
      </w:r>
      <w:r>
        <w:rPr>
          <w:i/>
          <w:color w:val="231F20"/>
          <w:sz w:val="18"/>
        </w:rPr>
        <w:t>изградње</w:t>
      </w:r>
    </w:p>
    <w:p>
      <w:pPr>
        <w:pStyle w:val="ListParagraph"/>
        <w:numPr>
          <w:ilvl w:val="2"/>
          <w:numId w:val="55"/>
        </w:numPr>
        <w:tabs>
          <w:tab w:pos="1022" w:val="left" w:leader="none"/>
        </w:tabs>
        <w:spacing w:line="232" w:lineRule="auto" w:before="170" w:after="0"/>
        <w:ind w:left="2358" w:right="440" w:hanging="1787"/>
        <w:jc w:val="left"/>
        <w:rPr>
          <w:sz w:val="18"/>
        </w:rPr>
      </w:pPr>
      <w:r>
        <w:rPr>
          <w:color w:val="231F20"/>
          <w:spacing w:val="17"/>
          <w:sz w:val="18"/>
        </w:rPr>
        <w:t>Површински </w:t>
      </w:r>
      <w:r>
        <w:rPr>
          <w:color w:val="231F20"/>
          <w:spacing w:val="10"/>
          <w:sz w:val="18"/>
        </w:rPr>
        <w:t>коп </w:t>
      </w:r>
      <w:r>
        <w:rPr>
          <w:color w:val="231F20"/>
          <w:sz w:val="18"/>
        </w:rPr>
        <w:t>„ </w:t>
      </w:r>
      <w:r>
        <w:rPr>
          <w:color w:val="231F20"/>
          <w:spacing w:val="15"/>
          <w:sz w:val="18"/>
        </w:rPr>
        <w:t>Дрмно” </w:t>
      </w:r>
      <w:r>
        <w:rPr>
          <w:color w:val="231F20"/>
          <w:sz w:val="18"/>
        </w:rPr>
        <w:t>с а </w:t>
      </w:r>
      <w:r>
        <w:rPr>
          <w:color w:val="231F20"/>
          <w:spacing w:val="16"/>
          <w:sz w:val="18"/>
        </w:rPr>
        <w:t>заштитним </w:t>
      </w:r>
      <w:r>
        <w:rPr>
          <w:color w:val="231F20"/>
          <w:spacing w:val="15"/>
          <w:sz w:val="18"/>
        </w:rPr>
        <w:t>појасом</w:t>
      </w:r>
    </w:p>
    <w:p>
      <w:pPr>
        <w:pStyle w:val="BodyText"/>
        <w:spacing w:before="6"/>
        <w:ind w:left="0"/>
        <w:jc w:val="left"/>
        <w:rPr>
          <w:sz w:val="17"/>
        </w:rPr>
      </w:pPr>
    </w:p>
    <w:p>
      <w:pPr>
        <w:pStyle w:val="BodyText"/>
        <w:spacing w:line="232" w:lineRule="auto"/>
        <w:ind w:right="39" w:firstLine="396"/>
      </w:pPr>
      <w:r>
        <w:rPr>
          <w:color w:val="231F20"/>
        </w:rPr>
        <w:t>На површинама у границама подручја где су планирани ру- дарски радови или друге активности као последица извођења ру- дарских радова није дозвољена:</w:t>
      </w:r>
    </w:p>
    <w:p>
      <w:pPr>
        <w:pStyle w:val="BodyText"/>
        <w:spacing w:line="232" w:lineRule="auto"/>
        <w:ind w:right="39" w:firstLine="396"/>
      </w:pPr>
      <w:r>
        <w:rPr>
          <w:color w:val="231F20"/>
          <w:w w:val="66"/>
        </w:rPr>
        <w:t> </w:t>
      </w:r>
      <w:r>
        <w:rPr>
          <w:color w:val="231F20"/>
        </w:rPr>
        <w:t>– изградња инфраструктурних система (саобраћајница,</w:t>
      </w:r>
      <w:r>
        <w:rPr>
          <w:color w:val="231F20"/>
          <w:spacing w:val="-34"/>
        </w:rPr>
        <w:t> </w:t>
      </w:r>
      <w:r>
        <w:rPr>
          <w:color w:val="231F20"/>
        </w:rPr>
        <w:t>енер- гетских и других водова), осим за технолошке и друге потребе у оквиру рударских активности и инфраструктурних коридора у приобаљу Дунава (саобраћајни и водни</w:t>
      </w:r>
      <w:r>
        <w:rPr>
          <w:color w:val="231F20"/>
          <w:spacing w:val="-8"/>
        </w:rPr>
        <w:t> </w:t>
      </w:r>
      <w:r>
        <w:rPr>
          <w:color w:val="231F20"/>
        </w:rPr>
        <w:t>објекти);</w:t>
      </w:r>
    </w:p>
    <w:p>
      <w:pPr>
        <w:pStyle w:val="BodyText"/>
        <w:spacing w:line="232" w:lineRule="auto"/>
        <w:ind w:right="39" w:firstLine="396"/>
      </w:pPr>
      <w:r>
        <w:rPr>
          <w:color w:val="231F20"/>
          <w:w w:val="66"/>
        </w:rPr>
        <w:t> </w:t>
      </w:r>
      <w:r>
        <w:rPr>
          <w:color w:val="231F20"/>
        </w:rPr>
        <w:t>– изградња сталних индустријских, складишних и других привредних објеката и</w:t>
      </w:r>
    </w:p>
    <w:p>
      <w:pPr>
        <w:pStyle w:val="BodyText"/>
        <w:spacing w:line="232" w:lineRule="auto"/>
        <w:ind w:left="171" w:right="38" w:firstLine="396"/>
      </w:pPr>
      <w:r>
        <w:rPr>
          <w:color w:val="231F20"/>
          <w:w w:val="66"/>
        </w:rPr>
        <w:t> </w:t>
      </w:r>
      <w:r>
        <w:rPr>
          <w:color w:val="231F20"/>
        </w:rPr>
        <w:t>– изградња сталних објеката за јавне намене, објеката дома- ћинстава и комуналног уређења постојећих насеља и других трај- них грађевинских објеката.</w:t>
      </w:r>
    </w:p>
    <w:p>
      <w:pPr>
        <w:pStyle w:val="BodyText"/>
        <w:spacing w:line="232" w:lineRule="auto"/>
        <w:ind w:left="171" w:right="38" w:firstLine="396"/>
      </w:pPr>
      <w:r>
        <w:rPr>
          <w:color w:val="231F20"/>
        </w:rPr>
        <w:t>Изузетно, изградња јавних путева и других саобраћајница, канала, електричних водова високог напона са заштитним стубо- вима на експлоатационом </w:t>
      </w:r>
      <w:r>
        <w:rPr>
          <w:color w:val="231F20"/>
          <w:spacing w:val="-5"/>
        </w:rPr>
        <w:t>пољу, </w:t>
      </w:r>
      <w:r>
        <w:rPr>
          <w:color w:val="231F20"/>
        </w:rPr>
        <w:t>као и осталих инфраструктурних објеката, може се одобрити по </w:t>
      </w:r>
      <w:r>
        <w:rPr>
          <w:color w:val="231F20"/>
          <w:spacing w:val="-2"/>
        </w:rPr>
        <w:t>претходно </w:t>
      </w:r>
      <w:r>
        <w:rPr>
          <w:color w:val="231F20"/>
        </w:rPr>
        <w:t>прибављеној сагласно- сти министарства надлежног за послове </w:t>
      </w:r>
      <w:r>
        <w:rPr>
          <w:color w:val="231F20"/>
          <w:spacing w:val="-3"/>
        </w:rPr>
        <w:t>рударства </w:t>
      </w:r>
      <w:r>
        <w:rPr>
          <w:color w:val="231F20"/>
        </w:rPr>
        <w:t>и геологије и уз накнаду стварне штете проузроковане изградњом ових</w:t>
      </w:r>
      <w:r>
        <w:rPr>
          <w:color w:val="231F20"/>
          <w:spacing w:val="-33"/>
        </w:rPr>
        <w:t> </w:t>
      </w:r>
      <w:r>
        <w:rPr>
          <w:color w:val="231F20"/>
        </w:rPr>
        <w:t>објеката привредном субјекту </w:t>
      </w:r>
      <w:r>
        <w:rPr>
          <w:color w:val="231F20"/>
          <w:spacing w:val="-3"/>
        </w:rPr>
        <w:t>који </w:t>
      </w:r>
      <w:r>
        <w:rPr>
          <w:color w:val="231F20"/>
        </w:rPr>
        <w:t>врши </w:t>
      </w:r>
      <w:r>
        <w:rPr>
          <w:color w:val="231F20"/>
          <w:spacing w:val="-3"/>
        </w:rPr>
        <w:t>експлоатацију. </w:t>
      </w:r>
      <w:r>
        <w:rPr>
          <w:color w:val="231F20"/>
        </w:rPr>
        <w:t>Пре издавања ло- кацијске дозволе за изградњу ових објеката прибавља се мишље- ње привредног субјекта </w:t>
      </w:r>
      <w:r>
        <w:rPr>
          <w:color w:val="231F20"/>
          <w:spacing w:val="-3"/>
        </w:rPr>
        <w:t>који </w:t>
      </w:r>
      <w:r>
        <w:rPr>
          <w:color w:val="231F20"/>
        </w:rPr>
        <w:t>врши експлоатацију о предложеном </w:t>
      </w:r>
      <w:r>
        <w:rPr>
          <w:color w:val="231F20"/>
          <w:spacing w:val="-4"/>
        </w:rPr>
        <w:t>правцу, </w:t>
      </w:r>
      <w:r>
        <w:rPr>
          <w:color w:val="231F20"/>
        </w:rPr>
        <w:t>положају и ограниченом трајању експлоатације ових обје- ката на експлоатационом</w:t>
      </w:r>
      <w:r>
        <w:rPr>
          <w:color w:val="231F20"/>
          <w:spacing w:val="-2"/>
        </w:rPr>
        <w:t> </w:t>
      </w:r>
      <w:r>
        <w:rPr>
          <w:color w:val="231F20"/>
          <w:spacing w:val="-5"/>
        </w:rPr>
        <w:t>пољу.</w:t>
      </w:r>
    </w:p>
    <w:p>
      <w:pPr>
        <w:pStyle w:val="BodyText"/>
        <w:spacing w:line="232" w:lineRule="auto"/>
        <w:ind w:right="38" w:firstLine="397"/>
      </w:pPr>
      <w:r>
        <w:rPr>
          <w:color w:val="231F20"/>
        </w:rPr>
        <w:t>Објекти у склопу појединачних локација у заштитном појасу </w:t>
      </w:r>
      <w:r>
        <w:rPr>
          <w:color w:val="231F20"/>
          <w:spacing w:val="-3"/>
        </w:rPr>
        <w:t>копа, </w:t>
      </w:r>
      <w:r>
        <w:rPr>
          <w:color w:val="231F20"/>
        </w:rPr>
        <w:t>пројектују се и граде уз поштовање стандарда и норматива прописаних за објекте високоградње, са свим захтевима заштите животне и радне средине, по правилу као објекти приземне спрат- ности. С обзиром на њихов привремени карактер, у зависности </w:t>
      </w:r>
      <w:r>
        <w:rPr>
          <w:color w:val="231F20"/>
          <w:spacing w:val="-3"/>
        </w:rPr>
        <w:t>од </w:t>
      </w:r>
      <w:r>
        <w:rPr>
          <w:color w:val="231F20"/>
        </w:rPr>
        <w:t>потреба површинске експлоатације, препоручује се контејнерски (модуларни) или неки други монтажно-демонтажни систем из- градње.</w:t>
      </w:r>
      <w:r>
        <w:rPr>
          <w:color w:val="231F20"/>
          <w:spacing w:val="-6"/>
        </w:rPr>
        <w:t> Уколико </w:t>
      </w:r>
      <w:r>
        <w:rPr>
          <w:color w:val="231F20"/>
        </w:rPr>
        <w:t>конкретни</w:t>
      </w:r>
      <w:r>
        <w:rPr>
          <w:color w:val="231F20"/>
          <w:spacing w:val="-6"/>
        </w:rPr>
        <w:t> </w:t>
      </w:r>
      <w:r>
        <w:rPr>
          <w:color w:val="231F20"/>
        </w:rPr>
        <w:t>технолошки</w:t>
      </w:r>
      <w:r>
        <w:rPr>
          <w:color w:val="231F20"/>
          <w:spacing w:val="-6"/>
        </w:rPr>
        <w:t> </w:t>
      </w:r>
      <w:r>
        <w:rPr>
          <w:color w:val="231F20"/>
        </w:rPr>
        <w:t>услови</w:t>
      </w:r>
      <w:r>
        <w:rPr>
          <w:color w:val="231F20"/>
          <w:spacing w:val="-6"/>
        </w:rPr>
        <w:t> </w:t>
      </w:r>
      <w:r>
        <w:rPr>
          <w:color w:val="231F20"/>
        </w:rPr>
        <w:t>и</w:t>
      </w:r>
      <w:r>
        <w:rPr>
          <w:color w:val="231F20"/>
          <w:spacing w:val="-6"/>
        </w:rPr>
        <w:t> </w:t>
      </w:r>
      <w:r>
        <w:rPr>
          <w:color w:val="231F20"/>
        </w:rPr>
        <w:t>предвиђени</w:t>
      </w:r>
      <w:r>
        <w:rPr>
          <w:color w:val="231F20"/>
          <w:spacing w:val="-6"/>
        </w:rPr>
        <w:t> </w:t>
      </w:r>
      <w:r>
        <w:rPr>
          <w:color w:val="231F20"/>
        </w:rPr>
        <w:t>рад- ни</w:t>
      </w:r>
      <w:r>
        <w:rPr>
          <w:color w:val="231F20"/>
          <w:spacing w:val="-5"/>
        </w:rPr>
        <w:t> </w:t>
      </w:r>
      <w:r>
        <w:rPr>
          <w:color w:val="231F20"/>
        </w:rPr>
        <w:t>процеси</w:t>
      </w:r>
      <w:r>
        <w:rPr>
          <w:color w:val="231F20"/>
          <w:spacing w:val="-5"/>
        </w:rPr>
        <w:t> </w:t>
      </w:r>
      <w:r>
        <w:rPr>
          <w:color w:val="231F20"/>
        </w:rPr>
        <w:t>захтевају</w:t>
      </w:r>
      <w:r>
        <w:rPr>
          <w:color w:val="231F20"/>
          <w:spacing w:val="-5"/>
        </w:rPr>
        <w:t> </w:t>
      </w:r>
      <w:r>
        <w:rPr>
          <w:color w:val="231F20"/>
        </w:rPr>
        <w:t>примену</w:t>
      </w:r>
      <w:r>
        <w:rPr>
          <w:color w:val="231F20"/>
          <w:spacing w:val="-5"/>
        </w:rPr>
        <w:t> </w:t>
      </w:r>
      <w:r>
        <w:rPr>
          <w:color w:val="231F20"/>
        </w:rPr>
        <w:t>концепта</w:t>
      </w:r>
      <w:r>
        <w:rPr>
          <w:color w:val="231F20"/>
          <w:spacing w:val="-5"/>
        </w:rPr>
        <w:t> </w:t>
      </w:r>
      <w:r>
        <w:rPr>
          <w:color w:val="231F20"/>
        </w:rPr>
        <w:t>масивне</w:t>
      </w:r>
      <w:r>
        <w:rPr>
          <w:color w:val="231F20"/>
          <w:spacing w:val="-5"/>
        </w:rPr>
        <w:t> </w:t>
      </w:r>
      <w:r>
        <w:rPr>
          <w:color w:val="231F20"/>
        </w:rPr>
        <w:t>градње,</w:t>
      </w:r>
      <w:r>
        <w:rPr>
          <w:color w:val="231F20"/>
          <w:spacing w:val="-5"/>
        </w:rPr>
        <w:t> </w:t>
      </w:r>
      <w:r>
        <w:rPr>
          <w:color w:val="231F20"/>
        </w:rPr>
        <w:t>треба</w:t>
      </w:r>
      <w:r>
        <w:rPr>
          <w:color w:val="231F20"/>
          <w:spacing w:val="-5"/>
        </w:rPr>
        <w:t> </w:t>
      </w:r>
      <w:r>
        <w:rPr>
          <w:color w:val="231F20"/>
        </w:rPr>
        <w:t>те- жити примени једноставнијих склопова, спољашње и унутрашње обраде и скромније сталне</w:t>
      </w:r>
      <w:r>
        <w:rPr>
          <w:color w:val="231F20"/>
          <w:spacing w:val="-3"/>
        </w:rPr>
        <w:t> </w:t>
      </w:r>
      <w:r>
        <w:rPr>
          <w:color w:val="231F20"/>
        </w:rPr>
        <w:t>опреме.</w:t>
      </w:r>
    </w:p>
    <w:p>
      <w:pPr>
        <w:pStyle w:val="ListParagraph"/>
        <w:numPr>
          <w:ilvl w:val="2"/>
          <w:numId w:val="55"/>
        </w:numPr>
        <w:tabs>
          <w:tab w:pos="1252" w:val="left" w:leader="none"/>
        </w:tabs>
        <w:spacing w:line="240" w:lineRule="auto" w:before="132" w:after="0"/>
        <w:ind w:left="1251" w:right="0" w:hanging="450"/>
        <w:jc w:val="left"/>
        <w:rPr>
          <w:sz w:val="18"/>
        </w:rPr>
      </w:pPr>
      <w:r>
        <w:rPr>
          <w:color w:val="231F20"/>
          <w:spacing w:val="16"/>
          <w:sz w:val="18"/>
        </w:rPr>
        <w:t>Извориште </w:t>
      </w:r>
      <w:r>
        <w:rPr>
          <w:color w:val="231F20"/>
          <w:spacing w:val="15"/>
          <w:sz w:val="18"/>
        </w:rPr>
        <w:t>пијаће </w:t>
      </w:r>
      <w:r>
        <w:rPr>
          <w:color w:val="231F20"/>
          <w:spacing w:val="12"/>
          <w:sz w:val="18"/>
        </w:rPr>
        <w:t>воде </w:t>
      </w:r>
      <w:r>
        <w:rPr>
          <w:color w:val="231F20"/>
          <w:sz w:val="18"/>
        </w:rPr>
        <w:t>„</w:t>
      </w:r>
      <w:r>
        <w:rPr>
          <w:color w:val="231F20"/>
          <w:spacing w:val="12"/>
          <w:sz w:val="18"/>
        </w:rPr>
        <w:t> </w:t>
      </w:r>
      <w:r>
        <w:rPr>
          <w:color w:val="231F20"/>
          <w:spacing w:val="16"/>
          <w:sz w:val="18"/>
        </w:rPr>
        <w:t>Кличевац”</w:t>
      </w:r>
    </w:p>
    <w:p>
      <w:pPr>
        <w:pStyle w:val="BodyText"/>
        <w:spacing w:before="4"/>
        <w:ind w:left="0"/>
        <w:jc w:val="left"/>
        <w:rPr>
          <w:sz w:val="17"/>
        </w:rPr>
      </w:pPr>
    </w:p>
    <w:p>
      <w:pPr>
        <w:pStyle w:val="BodyText"/>
        <w:spacing w:line="230" w:lineRule="auto"/>
        <w:ind w:right="38" w:firstLine="396"/>
      </w:pPr>
      <w:r>
        <w:rPr>
          <w:color w:val="231F20"/>
        </w:rPr>
        <w:t>Извориште се налази поред источне границе површинског </w:t>
      </w:r>
      <w:r>
        <w:rPr>
          <w:color w:val="231F20"/>
          <w:spacing w:val="-3"/>
        </w:rPr>
        <w:t>копа </w:t>
      </w:r>
      <w:r>
        <w:rPr>
          <w:color w:val="231F20"/>
        </w:rPr>
        <w:t>„Дрмно” на подручју </w:t>
      </w:r>
      <w:r>
        <w:rPr>
          <w:color w:val="231F20"/>
          <w:spacing w:val="-3"/>
        </w:rPr>
        <w:t>КО </w:t>
      </w:r>
      <w:r>
        <w:rPr>
          <w:color w:val="231F20"/>
        </w:rPr>
        <w:t>Кличевац (К.П. бр. 987). Ново из- вориште формира се за потребе водоснабдевања насеља Кличевац и Речица. Изградња објеката водоводног система „Кличевац”, у складу</w:t>
      </w:r>
      <w:r>
        <w:rPr>
          <w:color w:val="231F20"/>
          <w:spacing w:val="-10"/>
        </w:rPr>
        <w:t> </w:t>
      </w:r>
      <w:r>
        <w:rPr>
          <w:color w:val="231F20"/>
        </w:rPr>
        <w:t>са</w:t>
      </w:r>
      <w:r>
        <w:rPr>
          <w:color w:val="231F20"/>
          <w:spacing w:val="-10"/>
        </w:rPr>
        <w:t> </w:t>
      </w:r>
      <w:r>
        <w:rPr>
          <w:color w:val="231F20"/>
        </w:rPr>
        <w:t>резултатима</w:t>
      </w:r>
      <w:r>
        <w:rPr>
          <w:color w:val="231F20"/>
          <w:spacing w:val="-10"/>
        </w:rPr>
        <w:t> </w:t>
      </w:r>
      <w:r>
        <w:rPr>
          <w:color w:val="231F20"/>
        </w:rPr>
        <w:t>истраживања</w:t>
      </w:r>
      <w:r>
        <w:rPr>
          <w:color w:val="231F20"/>
          <w:spacing w:val="-10"/>
        </w:rPr>
        <w:t> </w:t>
      </w:r>
      <w:r>
        <w:rPr>
          <w:color w:val="231F20"/>
        </w:rPr>
        <w:t>спроведених</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Пројек- та истраживања и одређивања залиха и капацитета новог извори- шта („Георад” д.о.о. Дрмно, 2010 – 2011. године), неће бити угро- жена утицајем </w:t>
      </w:r>
      <w:r>
        <w:rPr>
          <w:color w:val="231F20"/>
          <w:spacing w:val="-3"/>
        </w:rPr>
        <w:t>будућих </w:t>
      </w:r>
      <w:r>
        <w:rPr>
          <w:color w:val="231F20"/>
        </w:rPr>
        <w:t>рударских радова. Извршене су основне анализе квалитета подземне воде (хемијске и микробиолошке) и тестирање оба истражна и експлоатациона бунара, применом степ тест методе са три снижења и праћењем повраћаја нивоа подзем- них</w:t>
      </w:r>
      <w:r>
        <w:rPr>
          <w:color w:val="231F20"/>
          <w:spacing w:val="-9"/>
        </w:rPr>
        <w:t> </w:t>
      </w:r>
      <w:r>
        <w:rPr>
          <w:color w:val="231F20"/>
        </w:rPr>
        <w:t>вода.</w:t>
      </w:r>
      <w:r>
        <w:rPr>
          <w:color w:val="231F20"/>
          <w:spacing w:val="-9"/>
        </w:rPr>
        <w:t> </w:t>
      </w:r>
      <w:r>
        <w:rPr>
          <w:color w:val="231F20"/>
        </w:rPr>
        <w:t>Истовремено</w:t>
      </w:r>
      <w:r>
        <w:rPr>
          <w:color w:val="231F20"/>
          <w:spacing w:val="-9"/>
        </w:rPr>
        <w:t> </w:t>
      </w:r>
      <w:r>
        <w:rPr>
          <w:color w:val="231F20"/>
        </w:rPr>
        <w:t>је</w:t>
      </w:r>
      <w:r>
        <w:rPr>
          <w:color w:val="231F20"/>
          <w:spacing w:val="-9"/>
        </w:rPr>
        <w:t> </w:t>
      </w:r>
      <w:r>
        <w:rPr>
          <w:color w:val="231F20"/>
        </w:rPr>
        <w:t>осматран</w:t>
      </w:r>
      <w:r>
        <w:rPr>
          <w:color w:val="231F20"/>
          <w:spacing w:val="-9"/>
        </w:rPr>
        <w:t> </w:t>
      </w:r>
      <w:r>
        <w:rPr>
          <w:color w:val="231F20"/>
        </w:rPr>
        <w:t>ниво</w:t>
      </w:r>
      <w:r>
        <w:rPr>
          <w:color w:val="231F20"/>
          <w:spacing w:val="-9"/>
        </w:rPr>
        <w:t> </w:t>
      </w:r>
      <w:r>
        <w:rPr>
          <w:color w:val="231F20"/>
        </w:rPr>
        <w:t>подземних</w:t>
      </w:r>
      <w:r>
        <w:rPr>
          <w:color w:val="231F20"/>
          <w:spacing w:val="-9"/>
        </w:rPr>
        <w:t> </w:t>
      </w:r>
      <w:r>
        <w:rPr>
          <w:color w:val="231F20"/>
        </w:rPr>
        <w:t>вода</w:t>
      </w:r>
      <w:r>
        <w:rPr>
          <w:color w:val="231F20"/>
          <w:spacing w:val="-9"/>
        </w:rPr>
        <w:t> </w:t>
      </w:r>
      <w:r>
        <w:rPr>
          <w:color w:val="231F20"/>
        </w:rPr>
        <w:t>на</w:t>
      </w:r>
      <w:r>
        <w:rPr>
          <w:color w:val="231F20"/>
          <w:spacing w:val="-9"/>
        </w:rPr>
        <w:t> </w:t>
      </w:r>
      <w:r>
        <w:rPr>
          <w:color w:val="231F20"/>
        </w:rPr>
        <w:t>мрежи пијезометара у засипу бунара. Утврђено је да је водоносни слој </w:t>
      </w:r>
      <w:r>
        <w:rPr>
          <w:color w:val="231F20"/>
          <w:spacing w:val="-3"/>
        </w:rPr>
        <w:t>који </w:t>
      </w:r>
      <w:r>
        <w:rPr>
          <w:color w:val="231F20"/>
        </w:rPr>
        <w:t>је каптиран бунарима и пијезометрима, хомогених хидроло- шких параметара (за моћност слоја </w:t>
      </w:r>
      <w:r>
        <w:rPr>
          <w:color w:val="231F20"/>
          <w:spacing w:val="-3"/>
        </w:rPr>
        <w:t>од </w:t>
      </w:r>
      <w:r>
        <w:rPr>
          <w:color w:val="231F20"/>
        </w:rPr>
        <w:t>50 m добијен је коефици- јент филтрације k=3x10</w:t>
      </w:r>
      <w:r>
        <w:rPr>
          <w:color w:val="231F20"/>
          <w:position w:val="6"/>
          <w:sz w:val="10"/>
        </w:rPr>
        <w:t>-5 </w:t>
      </w:r>
      <w:r>
        <w:rPr>
          <w:color w:val="231F20"/>
        </w:rPr>
        <w:t>m/s и висина воденог стуба пре почетка црпљења 170 m, а при искључењу пумпе повраћај NPV је </w:t>
      </w:r>
      <w:r>
        <w:rPr>
          <w:color w:val="231F20"/>
          <w:spacing w:val="-3"/>
        </w:rPr>
        <w:t>готово </w:t>
      </w:r>
      <w:r>
        <w:rPr>
          <w:color w:val="231F20"/>
        </w:rPr>
        <w:t>тренутан). На основу добијених резултата, применом најстрожи- јих прорачунских критеријума, из аспекта одржавања нивоа под- земних вода и за рачунски период </w:t>
      </w:r>
      <w:r>
        <w:rPr>
          <w:color w:val="231F20"/>
          <w:spacing w:val="-3"/>
        </w:rPr>
        <w:t>од </w:t>
      </w:r>
      <w:r>
        <w:rPr>
          <w:color w:val="231F20"/>
        </w:rPr>
        <w:t>20 година добијен је опти- мални капацитет појединачног бунара Q opt = 10,42</w:t>
      </w:r>
      <w:r>
        <w:rPr>
          <w:color w:val="231F20"/>
          <w:spacing w:val="-14"/>
        </w:rPr>
        <w:t> </w:t>
      </w:r>
      <w:r>
        <w:rPr>
          <w:color w:val="231F20"/>
        </w:rPr>
        <w:t>l/s.</w:t>
      </w:r>
    </w:p>
    <w:p>
      <w:pPr>
        <w:pStyle w:val="BodyText"/>
        <w:spacing w:line="232" w:lineRule="auto" w:before="19"/>
        <w:ind w:right="39" w:firstLine="397"/>
      </w:pPr>
      <w:r>
        <w:rPr>
          <w:color w:val="231F20"/>
        </w:rPr>
        <w:t>Водоснабдевањем Кличевца са новог изворишта остварује</w:t>
      </w:r>
      <w:r>
        <w:rPr>
          <w:color w:val="231F20"/>
          <w:spacing w:val="-26"/>
        </w:rPr>
        <w:t> </w:t>
      </w:r>
      <w:r>
        <w:rPr>
          <w:color w:val="231F20"/>
        </w:rPr>
        <w:t>се поуздано јавно снабдевање хигијенски исправном </w:t>
      </w:r>
      <w:r>
        <w:rPr>
          <w:color w:val="231F20"/>
          <w:spacing w:val="-3"/>
        </w:rPr>
        <w:t>водом </w:t>
      </w:r>
      <w:r>
        <w:rPr>
          <w:color w:val="231F20"/>
        </w:rPr>
        <w:t>за пиће и унапређује се квалитет живота у </w:t>
      </w:r>
      <w:r>
        <w:rPr>
          <w:color w:val="231F20"/>
          <w:spacing w:val="-3"/>
        </w:rPr>
        <w:t>насељу, </w:t>
      </w:r>
      <w:r>
        <w:rPr>
          <w:color w:val="231F20"/>
        </w:rPr>
        <w:t>што је </w:t>
      </w:r>
      <w:r>
        <w:rPr>
          <w:color w:val="231F20"/>
          <w:spacing w:val="-3"/>
        </w:rPr>
        <w:t>од </w:t>
      </w:r>
      <w:r>
        <w:rPr>
          <w:color w:val="231F20"/>
        </w:rPr>
        <w:t>посебног зна- чаја</w:t>
      </w:r>
      <w:r>
        <w:rPr>
          <w:color w:val="231F20"/>
          <w:spacing w:val="-6"/>
        </w:rPr>
        <w:t> </w:t>
      </w:r>
      <w:r>
        <w:rPr>
          <w:color w:val="231F20"/>
        </w:rPr>
        <w:t>с</w:t>
      </w:r>
      <w:r>
        <w:rPr>
          <w:color w:val="231F20"/>
          <w:spacing w:val="-6"/>
        </w:rPr>
        <w:t> </w:t>
      </w:r>
      <w:r>
        <w:rPr>
          <w:color w:val="231F20"/>
        </w:rPr>
        <w:t>обзиром</w:t>
      </w:r>
      <w:r>
        <w:rPr>
          <w:color w:val="231F20"/>
          <w:spacing w:val="-6"/>
        </w:rPr>
        <w:t> </w:t>
      </w:r>
      <w:r>
        <w:rPr>
          <w:color w:val="231F20"/>
        </w:rPr>
        <w:t>на</w:t>
      </w:r>
      <w:r>
        <w:rPr>
          <w:color w:val="231F20"/>
          <w:spacing w:val="-6"/>
        </w:rPr>
        <w:t> </w:t>
      </w:r>
      <w:r>
        <w:rPr>
          <w:color w:val="231F20"/>
        </w:rPr>
        <w:t>то</w:t>
      </w:r>
      <w:r>
        <w:rPr>
          <w:color w:val="231F20"/>
          <w:spacing w:val="-6"/>
        </w:rPr>
        <w:t> </w:t>
      </w:r>
      <w:r>
        <w:rPr>
          <w:color w:val="231F20"/>
        </w:rPr>
        <w:t>да</w:t>
      </w:r>
      <w:r>
        <w:rPr>
          <w:color w:val="231F20"/>
          <w:spacing w:val="-6"/>
        </w:rPr>
        <w:t> </w:t>
      </w:r>
      <w:r>
        <w:rPr>
          <w:color w:val="231F20"/>
        </w:rPr>
        <w:t>је</w:t>
      </w:r>
      <w:r>
        <w:rPr>
          <w:color w:val="231F20"/>
          <w:spacing w:val="-6"/>
        </w:rPr>
        <w:t> </w:t>
      </w:r>
      <w:r>
        <w:rPr>
          <w:color w:val="231F20"/>
        </w:rPr>
        <w:t>ово</w:t>
      </w:r>
      <w:r>
        <w:rPr>
          <w:color w:val="231F20"/>
          <w:spacing w:val="-6"/>
        </w:rPr>
        <w:t> </w:t>
      </w:r>
      <w:r>
        <w:rPr>
          <w:color w:val="231F20"/>
        </w:rPr>
        <w:t>насеље</w:t>
      </w:r>
      <w:r>
        <w:rPr>
          <w:color w:val="231F20"/>
          <w:spacing w:val="-6"/>
        </w:rPr>
        <w:t> </w:t>
      </w:r>
      <w:r>
        <w:rPr>
          <w:color w:val="231F20"/>
        </w:rPr>
        <w:t>идентификовано</w:t>
      </w:r>
      <w:r>
        <w:rPr>
          <w:color w:val="231F20"/>
          <w:spacing w:val="-6"/>
        </w:rPr>
        <w:t> </w:t>
      </w:r>
      <w:r>
        <w:rPr>
          <w:color w:val="231F20"/>
        </w:rPr>
        <w:t>као</w:t>
      </w:r>
      <w:r>
        <w:rPr>
          <w:color w:val="231F20"/>
          <w:spacing w:val="-6"/>
        </w:rPr>
        <w:t> </w:t>
      </w:r>
      <w:r>
        <w:rPr>
          <w:color w:val="231F20"/>
        </w:rPr>
        <w:t>једно</w:t>
      </w:r>
      <w:r>
        <w:rPr>
          <w:color w:val="231F20"/>
          <w:spacing w:val="-6"/>
        </w:rPr>
        <w:t> </w:t>
      </w:r>
      <w:r>
        <w:rPr>
          <w:color w:val="231F20"/>
          <w:spacing w:val="-3"/>
        </w:rPr>
        <w:t>од </w:t>
      </w:r>
      <w:r>
        <w:rPr>
          <w:color w:val="231F20"/>
        </w:rPr>
        <w:t>најугроженијих на територији града Пожаревца</w:t>
      </w:r>
      <w:r>
        <w:rPr>
          <w:color w:val="231F20"/>
          <w:position w:val="6"/>
          <w:sz w:val="10"/>
        </w:rPr>
        <w:t>11 </w:t>
      </w:r>
      <w:r>
        <w:rPr>
          <w:color w:val="231F20"/>
        </w:rPr>
        <w:t>а неисправност је утврђена на свим анализираним узорцима из индивидуалних бунара из којих се тамошња домаћинства </w:t>
      </w:r>
      <w:r>
        <w:rPr>
          <w:color w:val="231F20"/>
          <w:spacing w:val="-3"/>
        </w:rPr>
        <w:t>снабдевају. </w:t>
      </w:r>
      <w:r>
        <w:rPr>
          <w:color w:val="231F20"/>
        </w:rPr>
        <w:t>Ситуација је још тежа, пошто је издашност бунара у насељу смањена, што је могућа последица одводњавања ПК</w:t>
      </w:r>
      <w:r>
        <w:rPr>
          <w:color w:val="231F20"/>
          <w:spacing w:val="-6"/>
        </w:rPr>
        <w:t> </w:t>
      </w:r>
      <w:r>
        <w:rPr>
          <w:color w:val="231F20"/>
        </w:rPr>
        <w:t>„Дрмно”.</w:t>
      </w:r>
    </w:p>
    <w:p>
      <w:pPr>
        <w:spacing w:line="146"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454" w:val="left" w:leader="none"/>
        </w:tabs>
        <w:spacing w:line="240" w:lineRule="auto" w:before="1" w:after="0"/>
        <w:ind w:left="454" w:right="39" w:hanging="284"/>
        <w:jc w:val="left"/>
        <w:rPr>
          <w:sz w:val="14"/>
        </w:rPr>
      </w:pPr>
      <w:r>
        <w:rPr>
          <w:color w:val="231F20"/>
          <w:sz w:val="14"/>
        </w:rPr>
        <w:t>Генерални развојни план водоснабдевања општине Пожаревац, Институт за во- допривреду „Јарослав Черни”,Београд, 2007.</w:t>
      </w:r>
      <w:r>
        <w:rPr>
          <w:color w:val="231F20"/>
          <w:spacing w:val="-3"/>
          <w:sz w:val="14"/>
        </w:rPr>
        <w:t> </w:t>
      </w:r>
      <w:r>
        <w:rPr>
          <w:color w:val="231F20"/>
          <w:spacing w:val="-2"/>
          <w:sz w:val="14"/>
        </w:rPr>
        <w:t>године</w:t>
      </w:r>
    </w:p>
    <w:p>
      <w:pPr>
        <w:pStyle w:val="BodyText"/>
        <w:spacing w:line="232" w:lineRule="auto" w:before="73"/>
        <w:ind w:right="411" w:firstLine="396"/>
      </w:pPr>
      <w:r>
        <w:rPr/>
        <w:br w:type="column"/>
      </w:r>
      <w:r>
        <w:rPr>
          <w:color w:val="231F20"/>
          <w:spacing w:val="-3"/>
        </w:rPr>
        <w:t>Појединачни објекти водоснабдевања </w:t>
      </w:r>
      <w:r>
        <w:rPr>
          <w:color w:val="231F20"/>
        </w:rPr>
        <w:t>се граде на </w:t>
      </w:r>
      <w:r>
        <w:rPr>
          <w:color w:val="231F20"/>
          <w:spacing w:val="-3"/>
        </w:rPr>
        <w:t>основу </w:t>
      </w:r>
      <w:r>
        <w:rPr>
          <w:color w:val="231F20"/>
          <w:spacing w:val="-4"/>
        </w:rPr>
        <w:t>од- </w:t>
      </w:r>
      <w:r>
        <w:rPr>
          <w:color w:val="231F20"/>
          <w:spacing w:val="-3"/>
        </w:rPr>
        <w:t>говарајуће техничке документације</w:t>
      </w:r>
      <w:r>
        <w:rPr>
          <w:color w:val="231F20"/>
          <w:spacing w:val="-3"/>
          <w:position w:val="6"/>
          <w:sz w:val="10"/>
        </w:rPr>
        <w:t>12 </w:t>
      </w:r>
      <w:r>
        <w:rPr>
          <w:color w:val="231F20"/>
          <w:spacing w:val="-3"/>
        </w:rPr>
        <w:t>усаглашене </w:t>
      </w:r>
      <w:r>
        <w:rPr>
          <w:color w:val="231F20"/>
        </w:rPr>
        <w:t>са </w:t>
      </w:r>
      <w:r>
        <w:rPr>
          <w:color w:val="231F20"/>
          <w:spacing w:val="-3"/>
        </w:rPr>
        <w:t>верификованим </w:t>
      </w:r>
      <w:r>
        <w:rPr>
          <w:color w:val="231F20"/>
        </w:rPr>
        <w:t>генералним </w:t>
      </w:r>
      <w:r>
        <w:rPr>
          <w:color w:val="231F20"/>
          <w:spacing w:val="-3"/>
        </w:rPr>
        <w:t>пројектом водоснабдевања </w:t>
      </w:r>
      <w:r>
        <w:rPr>
          <w:color w:val="231F20"/>
        </w:rPr>
        <w:t>општине </w:t>
      </w:r>
      <w:r>
        <w:rPr>
          <w:color w:val="231F20"/>
          <w:spacing w:val="-3"/>
        </w:rPr>
        <w:t>Пожаревац </w:t>
      </w:r>
      <w:r>
        <w:rPr>
          <w:color w:val="231F20"/>
        </w:rPr>
        <w:t>и </w:t>
      </w:r>
      <w:r>
        <w:rPr>
          <w:color w:val="231F20"/>
          <w:spacing w:val="-3"/>
        </w:rPr>
        <w:t>то:</w:t>
      </w:r>
    </w:p>
    <w:p>
      <w:pPr>
        <w:pStyle w:val="BodyText"/>
        <w:spacing w:line="232" w:lineRule="auto" w:before="1"/>
        <w:ind w:right="411" w:firstLine="397"/>
      </w:pPr>
      <w:r>
        <w:rPr>
          <w:color w:val="231F20"/>
          <w:w w:val="66"/>
        </w:rPr>
        <w:t> </w:t>
      </w:r>
      <w:r>
        <w:rPr>
          <w:color w:val="231F20"/>
        </w:rPr>
        <w:t>– два истражна и експлоатациона субартеска бунара (почет- ни пречник бушења је Ф 1100 mm, завршни Ф 820 mm, укупна дубина бушења је 238 m ) са уграђеном </w:t>
      </w:r>
      <w:r>
        <w:rPr>
          <w:color w:val="231F20"/>
          <w:spacing w:val="-3"/>
        </w:rPr>
        <w:t>бунарском </w:t>
      </w:r>
      <w:r>
        <w:rPr>
          <w:color w:val="231F20"/>
        </w:rPr>
        <w:t>PVC ојачаном конструкцијом</w:t>
      </w:r>
      <w:r>
        <w:rPr>
          <w:color w:val="231F20"/>
          <w:spacing w:val="-6"/>
        </w:rPr>
        <w:t> </w:t>
      </w:r>
      <w:r>
        <w:rPr>
          <w:color w:val="231F20"/>
        </w:rPr>
        <w:t>укупне</w:t>
      </w:r>
      <w:r>
        <w:rPr>
          <w:color w:val="231F20"/>
          <w:spacing w:val="-6"/>
        </w:rPr>
        <w:t> </w:t>
      </w:r>
      <w:r>
        <w:rPr>
          <w:color w:val="231F20"/>
        </w:rPr>
        <w:t>дужине</w:t>
      </w:r>
      <w:r>
        <w:rPr>
          <w:color w:val="231F20"/>
          <w:spacing w:val="-6"/>
        </w:rPr>
        <w:t> </w:t>
      </w:r>
      <w:r>
        <w:rPr>
          <w:color w:val="231F20"/>
        </w:rPr>
        <w:t>(230+1)</w:t>
      </w:r>
      <w:r>
        <w:rPr>
          <w:color w:val="231F20"/>
          <w:spacing w:val="-6"/>
        </w:rPr>
        <w:t> </w:t>
      </w:r>
      <w:r>
        <w:rPr>
          <w:color w:val="231F20"/>
        </w:rPr>
        <w:t>m</w:t>
      </w:r>
      <w:r>
        <w:rPr>
          <w:color w:val="231F20"/>
          <w:spacing w:val="-6"/>
        </w:rPr>
        <w:t> </w:t>
      </w:r>
      <w:r>
        <w:rPr>
          <w:color w:val="231F20"/>
        </w:rPr>
        <w:t>пречника</w:t>
      </w:r>
      <w:r>
        <w:rPr>
          <w:color w:val="231F20"/>
          <w:spacing w:val="-6"/>
        </w:rPr>
        <w:t> </w:t>
      </w:r>
      <w:r>
        <w:rPr>
          <w:color w:val="231F20"/>
        </w:rPr>
        <w:t>Ф</w:t>
      </w:r>
      <w:r>
        <w:rPr>
          <w:color w:val="231F20"/>
          <w:spacing w:val="-6"/>
        </w:rPr>
        <w:t> </w:t>
      </w:r>
      <w:r>
        <w:rPr>
          <w:color w:val="231F20"/>
        </w:rPr>
        <w:t>330/300</w:t>
      </w:r>
      <w:r>
        <w:rPr>
          <w:color w:val="231F20"/>
          <w:spacing w:val="-6"/>
        </w:rPr>
        <w:t> </w:t>
      </w:r>
      <w:r>
        <w:rPr>
          <w:color w:val="231F20"/>
        </w:rPr>
        <w:t>mm, таложником на дубини </w:t>
      </w:r>
      <w:r>
        <w:rPr>
          <w:color w:val="231F20"/>
          <w:spacing w:val="-3"/>
        </w:rPr>
        <w:t>од </w:t>
      </w:r>
      <w:r>
        <w:rPr>
          <w:color w:val="231F20"/>
        </w:rPr>
        <w:t>220 до 230 m и филтером </w:t>
      </w:r>
      <w:r>
        <w:rPr>
          <w:color w:val="231F20"/>
          <w:spacing w:val="-3"/>
        </w:rPr>
        <w:t>од </w:t>
      </w:r>
      <w:r>
        <w:rPr>
          <w:color w:val="231F20"/>
        </w:rPr>
        <w:t>перфори- рана PVC цеви на дубини </w:t>
      </w:r>
      <w:r>
        <w:rPr>
          <w:color w:val="231F20"/>
          <w:spacing w:val="-3"/>
        </w:rPr>
        <w:t>од </w:t>
      </w:r>
      <w:r>
        <w:rPr>
          <w:color w:val="231F20"/>
        </w:rPr>
        <w:t>184 до 220 m и уграђеном пијезоме- тарском</w:t>
      </w:r>
      <w:r>
        <w:rPr>
          <w:color w:val="231F20"/>
          <w:spacing w:val="-11"/>
        </w:rPr>
        <w:t> </w:t>
      </w:r>
      <w:r>
        <w:rPr>
          <w:color w:val="231F20"/>
        </w:rPr>
        <w:t>конструкцијом</w:t>
      </w:r>
      <w:r>
        <w:rPr>
          <w:color w:val="231F20"/>
          <w:spacing w:val="-11"/>
        </w:rPr>
        <w:t> </w:t>
      </w:r>
      <w:r>
        <w:rPr>
          <w:color w:val="231F20"/>
        </w:rPr>
        <w:t>у</w:t>
      </w:r>
      <w:r>
        <w:rPr>
          <w:color w:val="231F20"/>
          <w:spacing w:val="-11"/>
        </w:rPr>
        <w:t> </w:t>
      </w:r>
      <w:r>
        <w:rPr>
          <w:color w:val="231F20"/>
        </w:rPr>
        <w:t>засипу</w:t>
      </w:r>
      <w:r>
        <w:rPr>
          <w:color w:val="231F20"/>
          <w:spacing w:val="-11"/>
        </w:rPr>
        <w:t> </w:t>
      </w:r>
      <w:r>
        <w:rPr>
          <w:color w:val="231F20"/>
        </w:rPr>
        <w:t>бунара;</w:t>
      </w:r>
      <w:r>
        <w:rPr>
          <w:color w:val="231F20"/>
          <w:spacing w:val="-11"/>
        </w:rPr>
        <w:t> </w:t>
      </w:r>
      <w:r>
        <w:rPr>
          <w:color w:val="231F20"/>
        </w:rPr>
        <w:t>сваки</w:t>
      </w:r>
      <w:r>
        <w:rPr>
          <w:color w:val="231F20"/>
          <w:spacing w:val="-11"/>
        </w:rPr>
        <w:t> </w:t>
      </w:r>
      <w:r>
        <w:rPr>
          <w:color w:val="231F20"/>
          <w:spacing w:val="-3"/>
        </w:rPr>
        <w:t>од</w:t>
      </w:r>
      <w:r>
        <w:rPr>
          <w:color w:val="231F20"/>
          <w:spacing w:val="-11"/>
        </w:rPr>
        <w:t> </w:t>
      </w:r>
      <w:r>
        <w:rPr>
          <w:color w:val="231F20"/>
        </w:rPr>
        <w:t>бунара</w:t>
      </w:r>
      <w:r>
        <w:rPr>
          <w:color w:val="231F20"/>
          <w:spacing w:val="-11"/>
        </w:rPr>
        <w:t> </w:t>
      </w:r>
      <w:r>
        <w:rPr>
          <w:color w:val="231F20"/>
        </w:rPr>
        <w:t>има</w:t>
      </w:r>
      <w:r>
        <w:rPr>
          <w:color w:val="231F20"/>
          <w:spacing w:val="-11"/>
        </w:rPr>
        <w:t> </w:t>
      </w:r>
      <w:r>
        <w:rPr>
          <w:color w:val="231F20"/>
        </w:rPr>
        <w:t>изда- шност 10 l/s;</w:t>
      </w:r>
    </w:p>
    <w:p>
      <w:pPr>
        <w:pStyle w:val="BodyText"/>
        <w:spacing w:line="235" w:lineRule="auto" w:before="2"/>
        <w:ind w:right="412" w:firstLine="396"/>
      </w:pPr>
      <w:r>
        <w:rPr>
          <w:color w:val="231F20"/>
          <w:w w:val="66"/>
        </w:rPr>
        <w:t> </w:t>
      </w:r>
      <w:r>
        <w:rPr>
          <w:color w:val="231F20"/>
        </w:rPr>
        <w:t>– уграђена потапајућа пумпа од 18,5 MW, са усисом на коти 99 m и потисним цевоводом од 4’’;</w:t>
      </w:r>
    </w:p>
    <w:p>
      <w:pPr>
        <w:pStyle w:val="BodyText"/>
        <w:spacing w:line="235" w:lineRule="auto" w:before="1"/>
        <w:ind w:right="411" w:firstLine="396"/>
      </w:pPr>
      <w:r>
        <w:rPr>
          <w:color w:val="231F20"/>
          <w:w w:val="66"/>
        </w:rPr>
        <w:t> </w:t>
      </w:r>
      <w:r>
        <w:rPr>
          <w:color w:val="231F20"/>
        </w:rPr>
        <w:t>–</w:t>
      </w:r>
      <w:r>
        <w:rPr>
          <w:color w:val="231F20"/>
          <w:spacing w:val="-10"/>
        </w:rPr>
        <w:t> </w:t>
      </w:r>
      <w:r>
        <w:rPr>
          <w:color w:val="231F20"/>
        </w:rPr>
        <w:t>мањи</w:t>
      </w:r>
      <w:r>
        <w:rPr>
          <w:color w:val="231F20"/>
          <w:spacing w:val="-10"/>
        </w:rPr>
        <w:t> </w:t>
      </w:r>
      <w:r>
        <w:rPr>
          <w:color w:val="231F20"/>
        </w:rPr>
        <w:t>резервоар</w:t>
      </w:r>
      <w:r>
        <w:rPr>
          <w:color w:val="231F20"/>
          <w:spacing w:val="-10"/>
        </w:rPr>
        <w:t> </w:t>
      </w:r>
      <w:r>
        <w:rPr>
          <w:color w:val="231F20"/>
        </w:rPr>
        <w:t>за</w:t>
      </w:r>
      <w:r>
        <w:rPr>
          <w:color w:val="231F20"/>
          <w:spacing w:val="-10"/>
        </w:rPr>
        <w:t> </w:t>
      </w:r>
      <w:r>
        <w:rPr>
          <w:color w:val="231F20"/>
        </w:rPr>
        <w:t>мешање</w:t>
      </w:r>
      <w:r>
        <w:rPr>
          <w:color w:val="231F20"/>
          <w:spacing w:val="-10"/>
        </w:rPr>
        <w:t> </w:t>
      </w:r>
      <w:r>
        <w:rPr>
          <w:color w:val="231F20"/>
        </w:rPr>
        <w:t>воде</w:t>
      </w:r>
      <w:r>
        <w:rPr>
          <w:color w:val="231F20"/>
          <w:spacing w:val="-10"/>
        </w:rPr>
        <w:t> </w:t>
      </w:r>
      <w:r>
        <w:rPr>
          <w:color w:val="231F20"/>
        </w:rPr>
        <w:t>из</w:t>
      </w:r>
      <w:r>
        <w:rPr>
          <w:color w:val="231F20"/>
          <w:spacing w:val="-10"/>
        </w:rPr>
        <w:t> </w:t>
      </w:r>
      <w:r>
        <w:rPr>
          <w:color w:val="231F20"/>
        </w:rPr>
        <w:t>два</w:t>
      </w:r>
      <w:r>
        <w:rPr>
          <w:color w:val="231F20"/>
          <w:spacing w:val="-10"/>
        </w:rPr>
        <w:t> </w:t>
      </w:r>
      <w:r>
        <w:rPr>
          <w:color w:val="231F20"/>
        </w:rPr>
        <w:t>бунара</w:t>
      </w:r>
      <w:r>
        <w:rPr>
          <w:color w:val="231F20"/>
          <w:spacing w:val="-10"/>
        </w:rPr>
        <w:t> </w:t>
      </w:r>
      <w:r>
        <w:rPr>
          <w:color w:val="231F20"/>
        </w:rPr>
        <w:t>и</w:t>
      </w:r>
      <w:r>
        <w:rPr>
          <w:color w:val="231F20"/>
          <w:spacing w:val="-10"/>
        </w:rPr>
        <w:t> </w:t>
      </w:r>
      <w:r>
        <w:rPr>
          <w:color w:val="231F20"/>
        </w:rPr>
        <w:t>за</w:t>
      </w:r>
      <w:r>
        <w:rPr>
          <w:color w:val="231F20"/>
          <w:spacing w:val="-10"/>
        </w:rPr>
        <w:t> </w:t>
      </w:r>
      <w:r>
        <w:rPr>
          <w:color w:val="231F20"/>
        </w:rPr>
        <w:t>хлориса- ње на </w:t>
      </w:r>
      <w:r>
        <w:rPr>
          <w:color w:val="231F20"/>
          <w:spacing w:val="-4"/>
        </w:rPr>
        <w:t>коти </w:t>
      </w:r>
      <w:r>
        <w:rPr>
          <w:color w:val="231F20"/>
        </w:rPr>
        <w:t>изворишта (126</w:t>
      </w:r>
      <w:r>
        <w:rPr>
          <w:color w:val="231F20"/>
          <w:spacing w:val="0"/>
        </w:rPr>
        <w:t> </w:t>
      </w:r>
      <w:r>
        <w:rPr>
          <w:color w:val="231F20"/>
        </w:rPr>
        <w:t>mнм);</w:t>
      </w:r>
    </w:p>
    <w:p>
      <w:pPr>
        <w:pStyle w:val="BodyText"/>
        <w:spacing w:line="235" w:lineRule="auto"/>
        <w:ind w:right="411" w:firstLine="396"/>
      </w:pPr>
      <w:r>
        <w:rPr>
          <w:color w:val="231F20"/>
          <w:w w:val="66"/>
        </w:rPr>
        <w:t> </w:t>
      </w:r>
      <w:r>
        <w:rPr>
          <w:color w:val="231F20"/>
        </w:rPr>
        <w:t>– мањи објекат хидростанице са уграђеним хидрофорским постројењем које ће хлорисану воду да дистрибуира у систем и до контрарезервоара (две пумпе за повећање притиска);</w:t>
      </w:r>
    </w:p>
    <w:p>
      <w:pPr>
        <w:pStyle w:val="BodyText"/>
        <w:spacing w:line="235" w:lineRule="auto" w:before="1"/>
        <w:ind w:right="412" w:firstLine="396"/>
      </w:pPr>
      <w:r>
        <w:rPr>
          <w:color w:val="231F20"/>
          <w:w w:val="66"/>
        </w:rPr>
        <w:t> </w:t>
      </w:r>
      <w:r>
        <w:rPr>
          <w:color w:val="231F20"/>
        </w:rPr>
        <w:t>– резервоар 2 x 200 m³ са затварачницом на к.п. бр. 3333, 3336, 3340, 3341 и 3342 (све КО Кличевац) и</w:t>
      </w:r>
    </w:p>
    <w:p>
      <w:pPr>
        <w:pStyle w:val="BodyText"/>
        <w:spacing w:line="235" w:lineRule="auto"/>
        <w:ind w:right="412" w:firstLine="397"/>
      </w:pPr>
      <w:r>
        <w:rPr>
          <w:color w:val="231F20"/>
          <w:w w:val="66"/>
        </w:rPr>
        <w:t> </w:t>
      </w:r>
      <w:r>
        <w:rPr>
          <w:color w:val="231F20"/>
        </w:rPr>
        <w:t>–</w:t>
      </w:r>
      <w:r>
        <w:rPr>
          <w:color w:val="231F20"/>
          <w:spacing w:val="-8"/>
        </w:rPr>
        <w:t> </w:t>
      </w:r>
      <w:r>
        <w:rPr>
          <w:color w:val="231F20"/>
          <w:spacing w:val="-3"/>
        </w:rPr>
        <w:t>главни</w:t>
      </w:r>
      <w:r>
        <w:rPr>
          <w:color w:val="231F20"/>
          <w:spacing w:val="-8"/>
        </w:rPr>
        <w:t> </w:t>
      </w:r>
      <w:r>
        <w:rPr>
          <w:color w:val="231F20"/>
        </w:rPr>
        <w:t>потисно-дистрибутивни</w:t>
      </w:r>
      <w:r>
        <w:rPr>
          <w:color w:val="231F20"/>
          <w:spacing w:val="-8"/>
        </w:rPr>
        <w:t> </w:t>
      </w:r>
      <w:r>
        <w:rPr>
          <w:color w:val="231F20"/>
        </w:rPr>
        <w:t>цевовод</w:t>
      </w:r>
      <w:r>
        <w:rPr>
          <w:color w:val="231F20"/>
          <w:spacing w:val="-8"/>
        </w:rPr>
        <w:t> </w:t>
      </w:r>
      <w:r>
        <w:rPr>
          <w:color w:val="231F20"/>
        </w:rPr>
        <w:t>(примари</w:t>
      </w:r>
      <w:r>
        <w:rPr>
          <w:color w:val="231F20"/>
          <w:spacing w:val="-8"/>
        </w:rPr>
        <w:t> </w:t>
      </w:r>
      <w:r>
        <w:rPr>
          <w:color w:val="231F20"/>
        </w:rPr>
        <w:t>Ф</w:t>
      </w:r>
      <w:r>
        <w:rPr>
          <w:color w:val="231F20"/>
          <w:spacing w:val="-8"/>
        </w:rPr>
        <w:t> </w:t>
      </w:r>
      <w:r>
        <w:rPr>
          <w:color w:val="231F20"/>
        </w:rPr>
        <w:t>200</w:t>
      </w:r>
      <w:r>
        <w:rPr>
          <w:color w:val="231F20"/>
          <w:spacing w:val="-8"/>
        </w:rPr>
        <w:t> </w:t>
      </w:r>
      <w:r>
        <w:rPr>
          <w:color w:val="231F20"/>
        </w:rPr>
        <w:t>)</w:t>
      </w:r>
      <w:r>
        <w:rPr>
          <w:color w:val="231F20"/>
          <w:spacing w:val="-8"/>
        </w:rPr>
        <w:t> </w:t>
      </w:r>
      <w:r>
        <w:rPr>
          <w:color w:val="231F20"/>
        </w:rPr>
        <w:t>и секундарни</w:t>
      </w:r>
      <w:r>
        <w:rPr>
          <w:color w:val="231F20"/>
          <w:spacing w:val="-7"/>
        </w:rPr>
        <w:t> </w:t>
      </w:r>
      <w:r>
        <w:rPr>
          <w:color w:val="231F20"/>
        </w:rPr>
        <w:t>разводни</w:t>
      </w:r>
      <w:r>
        <w:rPr>
          <w:color w:val="231F20"/>
          <w:spacing w:val="-7"/>
        </w:rPr>
        <w:t> </w:t>
      </w:r>
      <w:r>
        <w:rPr>
          <w:color w:val="231F20"/>
        </w:rPr>
        <w:t>цевовод</w:t>
      </w:r>
      <w:r>
        <w:rPr>
          <w:color w:val="231F20"/>
          <w:spacing w:val="-8"/>
        </w:rPr>
        <w:t> </w:t>
      </w:r>
      <w:r>
        <w:rPr>
          <w:color w:val="231F20"/>
        </w:rPr>
        <w:t>кроз</w:t>
      </w:r>
      <w:r>
        <w:rPr>
          <w:color w:val="231F20"/>
          <w:spacing w:val="-8"/>
        </w:rPr>
        <w:t> </w:t>
      </w:r>
      <w:r>
        <w:rPr>
          <w:color w:val="231F20"/>
        </w:rPr>
        <w:t>насеље</w:t>
      </w:r>
      <w:r>
        <w:rPr>
          <w:color w:val="231F20"/>
          <w:spacing w:val="-8"/>
        </w:rPr>
        <w:t> </w:t>
      </w:r>
      <w:r>
        <w:rPr>
          <w:color w:val="231F20"/>
        </w:rPr>
        <w:t>Кличевац</w:t>
      </w:r>
      <w:r>
        <w:rPr>
          <w:color w:val="231F20"/>
          <w:spacing w:val="-8"/>
        </w:rPr>
        <w:t> </w:t>
      </w:r>
      <w:r>
        <w:rPr>
          <w:color w:val="231F20"/>
        </w:rPr>
        <w:t>и</w:t>
      </w:r>
      <w:r>
        <w:rPr>
          <w:color w:val="231F20"/>
          <w:spacing w:val="-8"/>
        </w:rPr>
        <w:t> </w:t>
      </w:r>
      <w:r>
        <w:rPr>
          <w:color w:val="231F20"/>
        </w:rPr>
        <w:t>до</w:t>
      </w:r>
      <w:r>
        <w:rPr>
          <w:color w:val="231F20"/>
          <w:spacing w:val="-8"/>
        </w:rPr>
        <w:t> </w:t>
      </w:r>
      <w:r>
        <w:rPr>
          <w:color w:val="231F20"/>
        </w:rPr>
        <w:t>локације</w:t>
      </w:r>
    </w:p>
    <w:p>
      <w:pPr>
        <w:pStyle w:val="BodyText"/>
        <w:spacing w:line="235" w:lineRule="auto"/>
        <w:ind w:right="412" w:hanging="1"/>
      </w:pPr>
      <w:r>
        <w:rPr>
          <w:color w:val="231F20"/>
        </w:rPr>
        <w:t>„Исток” у заштитном појасу ПК „Дрмно” положени у одговарају- ћем</w:t>
      </w:r>
      <w:r>
        <w:rPr>
          <w:color w:val="231F20"/>
          <w:spacing w:val="-5"/>
        </w:rPr>
        <w:t> </w:t>
      </w:r>
      <w:r>
        <w:rPr>
          <w:color w:val="231F20"/>
        </w:rPr>
        <w:t>рову</w:t>
      </w:r>
      <w:r>
        <w:rPr>
          <w:color w:val="231F20"/>
          <w:spacing w:val="-5"/>
        </w:rPr>
        <w:t> </w:t>
      </w:r>
      <w:r>
        <w:rPr>
          <w:color w:val="231F20"/>
        </w:rPr>
        <w:t>уз</w:t>
      </w:r>
      <w:r>
        <w:rPr>
          <w:color w:val="231F20"/>
          <w:spacing w:val="-5"/>
        </w:rPr>
        <w:t> </w:t>
      </w:r>
      <w:r>
        <w:rPr>
          <w:color w:val="231F20"/>
        </w:rPr>
        <w:t>саобраћајнице</w:t>
      </w:r>
      <w:r>
        <w:rPr>
          <w:color w:val="231F20"/>
          <w:spacing w:val="-5"/>
        </w:rPr>
        <w:t> </w:t>
      </w:r>
      <w:r>
        <w:rPr>
          <w:color w:val="231F20"/>
        </w:rPr>
        <w:t>и</w:t>
      </w:r>
      <w:r>
        <w:rPr>
          <w:color w:val="231F20"/>
          <w:spacing w:val="-5"/>
        </w:rPr>
        <w:t> </w:t>
      </w:r>
      <w:r>
        <w:rPr>
          <w:color w:val="231F20"/>
        </w:rPr>
        <w:t>са</w:t>
      </w:r>
      <w:r>
        <w:rPr>
          <w:color w:val="231F20"/>
          <w:spacing w:val="-5"/>
        </w:rPr>
        <w:t> </w:t>
      </w:r>
      <w:r>
        <w:rPr>
          <w:color w:val="231F20"/>
        </w:rPr>
        <w:t>потребним</w:t>
      </w:r>
      <w:r>
        <w:rPr>
          <w:color w:val="231F20"/>
          <w:spacing w:val="-5"/>
        </w:rPr>
        <w:t> </w:t>
      </w:r>
      <w:r>
        <w:rPr>
          <w:color w:val="231F20"/>
        </w:rPr>
        <w:t>бројем</w:t>
      </w:r>
      <w:r>
        <w:rPr>
          <w:color w:val="231F20"/>
          <w:spacing w:val="-5"/>
        </w:rPr>
        <w:t> </w:t>
      </w:r>
      <w:r>
        <w:rPr>
          <w:color w:val="231F20"/>
        </w:rPr>
        <w:t>шахтова</w:t>
      </w:r>
      <w:r>
        <w:rPr>
          <w:color w:val="231F20"/>
          <w:spacing w:val="-5"/>
        </w:rPr>
        <w:t> </w:t>
      </w:r>
      <w:r>
        <w:rPr>
          <w:color w:val="231F20"/>
        </w:rPr>
        <w:t>одгова- рајућих димензија и уграђеним анкер</w:t>
      </w:r>
      <w:r>
        <w:rPr>
          <w:color w:val="231F20"/>
          <w:spacing w:val="-3"/>
        </w:rPr>
        <w:t> блоковима.</w:t>
      </w:r>
    </w:p>
    <w:p>
      <w:pPr>
        <w:pStyle w:val="BodyText"/>
        <w:spacing w:line="235" w:lineRule="auto" w:before="1"/>
        <w:ind w:right="412" w:firstLine="396"/>
      </w:pPr>
      <w:r>
        <w:rPr>
          <w:color w:val="231F20"/>
        </w:rPr>
        <w:t>Сви објекти морају бити изведени у складу са условима надлежног јавног комуналног предузећа. Зона око водозахватног објекта мора бити прописно ограђена и око ње уређен појас изо- лационог зеленила.</w:t>
      </w:r>
    </w:p>
    <w:p>
      <w:pPr>
        <w:pStyle w:val="BodyText"/>
        <w:spacing w:line="235" w:lineRule="auto" w:before="1"/>
        <w:ind w:right="411" w:firstLine="397"/>
      </w:pPr>
      <w:r>
        <w:rPr>
          <w:color w:val="231F20"/>
        </w:rPr>
        <w:t>Препоручује се израда Елабората о зонама санитарне зашти- те изворишта. Површине и просторно пружање зона санитарне заштите изворишта мора бити обележенo и постављени одговара- јући знаци упозорења, </w:t>
      </w:r>
      <w:r>
        <w:rPr>
          <w:color w:val="231F20"/>
          <w:spacing w:val="-4"/>
        </w:rPr>
        <w:t>уколико </w:t>
      </w:r>
      <w:r>
        <w:rPr>
          <w:color w:val="231F20"/>
        </w:rPr>
        <w:t>зоне </w:t>
      </w:r>
      <w:r>
        <w:rPr>
          <w:color w:val="231F20"/>
          <w:spacing w:val="-5"/>
        </w:rPr>
        <w:t>буду </w:t>
      </w:r>
      <w:r>
        <w:rPr>
          <w:color w:val="231F20"/>
        </w:rPr>
        <w:t>утврђене </w:t>
      </w:r>
      <w:r>
        <w:rPr>
          <w:color w:val="231F20"/>
          <w:spacing w:val="-3"/>
        </w:rPr>
        <w:t>од </w:t>
      </w:r>
      <w:r>
        <w:rPr>
          <w:color w:val="231F20"/>
        </w:rPr>
        <w:t>надлежних органа на </w:t>
      </w:r>
      <w:r>
        <w:rPr>
          <w:color w:val="231F20"/>
          <w:spacing w:val="-3"/>
        </w:rPr>
        <w:t>законом </w:t>
      </w:r>
      <w:r>
        <w:rPr>
          <w:color w:val="231F20"/>
        </w:rPr>
        <w:t>прописани начин, а све у складу са Правилни- </w:t>
      </w:r>
      <w:r>
        <w:rPr>
          <w:color w:val="231F20"/>
          <w:spacing w:val="-5"/>
        </w:rPr>
        <w:t>ком </w:t>
      </w:r>
      <w:r>
        <w:rPr>
          <w:color w:val="231F20"/>
        </w:rPr>
        <w:t>о начину одређивања и одржавања зона санитарне заштите изворишта водоснабдевања („Службени гласник РС”, број 92/08). Посебну пажњу обратити на простирање зоне санитарне заштите према локацији месног гробља. Све саобраћајнице у санитарној зони морају имати одговарајући канал за одводњавање, а </w:t>
      </w:r>
      <w:r>
        <w:rPr>
          <w:color w:val="231F20"/>
          <w:spacing w:val="-3"/>
        </w:rPr>
        <w:t>њихову </w:t>
      </w:r>
      <w:r>
        <w:rPr>
          <w:color w:val="231F20"/>
        </w:rPr>
        <w:t>евентуалну</w:t>
      </w:r>
      <w:r>
        <w:rPr>
          <w:color w:val="231F20"/>
          <w:spacing w:val="-9"/>
        </w:rPr>
        <w:t> </w:t>
      </w:r>
      <w:r>
        <w:rPr>
          <w:color w:val="231F20"/>
        </w:rPr>
        <w:t>реконструкцију</w:t>
      </w:r>
      <w:r>
        <w:rPr>
          <w:color w:val="231F20"/>
          <w:spacing w:val="-9"/>
        </w:rPr>
        <w:t> </w:t>
      </w:r>
      <w:r>
        <w:rPr>
          <w:color w:val="231F20"/>
        </w:rPr>
        <w:t>у</w:t>
      </w:r>
      <w:r>
        <w:rPr>
          <w:color w:val="231F20"/>
          <w:spacing w:val="-9"/>
        </w:rPr>
        <w:t> </w:t>
      </w:r>
      <w:r>
        <w:rPr>
          <w:color w:val="231F20"/>
          <w:spacing w:val="-3"/>
        </w:rPr>
        <w:t>том</w:t>
      </w:r>
      <w:r>
        <w:rPr>
          <w:color w:val="231F20"/>
          <w:spacing w:val="-9"/>
        </w:rPr>
        <w:t> </w:t>
      </w:r>
      <w:r>
        <w:rPr>
          <w:color w:val="231F20"/>
          <w:spacing w:val="-3"/>
        </w:rPr>
        <w:t>смислу,</w:t>
      </w:r>
      <w:r>
        <w:rPr>
          <w:color w:val="231F20"/>
          <w:spacing w:val="-9"/>
        </w:rPr>
        <w:t> </w:t>
      </w:r>
      <w:r>
        <w:rPr>
          <w:color w:val="231F20"/>
        </w:rPr>
        <w:t>изводити</w:t>
      </w:r>
      <w:r>
        <w:rPr>
          <w:color w:val="231F20"/>
          <w:spacing w:val="-9"/>
        </w:rPr>
        <w:t> </w:t>
      </w:r>
      <w:r>
        <w:rPr>
          <w:color w:val="231F20"/>
        </w:rPr>
        <w:t>у</w:t>
      </w:r>
      <w:r>
        <w:rPr>
          <w:color w:val="231F20"/>
          <w:spacing w:val="-9"/>
        </w:rPr>
        <w:t> </w:t>
      </w:r>
      <w:r>
        <w:rPr>
          <w:color w:val="231F20"/>
        </w:rPr>
        <w:t>појасу</w:t>
      </w:r>
      <w:r>
        <w:rPr>
          <w:color w:val="231F20"/>
          <w:spacing w:val="-9"/>
        </w:rPr>
        <w:t> </w:t>
      </w:r>
      <w:r>
        <w:rPr>
          <w:color w:val="231F20"/>
        </w:rPr>
        <w:t>непот- пуне експропријације. Доследно спроводити ограничења </w:t>
      </w:r>
      <w:r>
        <w:rPr>
          <w:color w:val="231F20"/>
          <w:spacing w:val="-3"/>
        </w:rPr>
        <w:t>која </w:t>
      </w:r>
      <w:r>
        <w:rPr>
          <w:color w:val="231F20"/>
        </w:rPr>
        <w:t>су прописана Правилником, а у зони III не могу се градити или упо- требљавати</w:t>
      </w:r>
      <w:r>
        <w:rPr>
          <w:color w:val="231F20"/>
          <w:spacing w:val="-6"/>
        </w:rPr>
        <w:t> </w:t>
      </w:r>
      <w:r>
        <w:rPr>
          <w:color w:val="231F20"/>
        </w:rPr>
        <w:t>објекти</w:t>
      </w:r>
      <w:r>
        <w:rPr>
          <w:color w:val="231F20"/>
          <w:spacing w:val="-6"/>
        </w:rPr>
        <w:t> </w:t>
      </w:r>
      <w:r>
        <w:rPr>
          <w:color w:val="231F20"/>
        </w:rPr>
        <w:t>и</w:t>
      </w:r>
      <w:r>
        <w:rPr>
          <w:color w:val="231F20"/>
          <w:spacing w:val="-6"/>
        </w:rPr>
        <w:t> </w:t>
      </w:r>
      <w:r>
        <w:rPr>
          <w:color w:val="231F20"/>
        </w:rPr>
        <w:t>постројења,</w:t>
      </w:r>
      <w:r>
        <w:rPr>
          <w:color w:val="231F20"/>
          <w:spacing w:val="-6"/>
        </w:rPr>
        <w:t> </w:t>
      </w:r>
      <w:r>
        <w:rPr>
          <w:color w:val="231F20"/>
        </w:rPr>
        <w:t>користити</w:t>
      </w:r>
      <w:r>
        <w:rPr>
          <w:color w:val="231F20"/>
          <w:spacing w:val="-6"/>
        </w:rPr>
        <w:t> </w:t>
      </w:r>
      <w:r>
        <w:rPr>
          <w:color w:val="231F20"/>
        </w:rPr>
        <w:t>земљиште</w:t>
      </w:r>
      <w:r>
        <w:rPr>
          <w:color w:val="231F20"/>
          <w:spacing w:val="-6"/>
        </w:rPr>
        <w:t> </w:t>
      </w:r>
      <w:r>
        <w:rPr>
          <w:color w:val="231F20"/>
        </w:rPr>
        <w:t>или</w:t>
      </w:r>
      <w:r>
        <w:rPr>
          <w:color w:val="231F20"/>
          <w:spacing w:val="-6"/>
        </w:rPr>
        <w:t> </w:t>
      </w:r>
      <w:r>
        <w:rPr>
          <w:color w:val="231F20"/>
        </w:rPr>
        <w:t>врши- ти</w:t>
      </w:r>
      <w:r>
        <w:rPr>
          <w:color w:val="231F20"/>
          <w:spacing w:val="-8"/>
        </w:rPr>
        <w:t> </w:t>
      </w:r>
      <w:r>
        <w:rPr>
          <w:color w:val="231F20"/>
        </w:rPr>
        <w:t>друге</w:t>
      </w:r>
      <w:r>
        <w:rPr>
          <w:color w:val="231F20"/>
          <w:spacing w:val="-8"/>
        </w:rPr>
        <w:t> </w:t>
      </w:r>
      <w:r>
        <w:rPr>
          <w:color w:val="231F20"/>
        </w:rPr>
        <w:t>делатности,</w:t>
      </w:r>
      <w:r>
        <w:rPr>
          <w:color w:val="231F20"/>
          <w:spacing w:val="-8"/>
        </w:rPr>
        <w:t> </w:t>
      </w:r>
      <w:r>
        <w:rPr>
          <w:color w:val="231F20"/>
          <w:spacing w:val="-4"/>
        </w:rPr>
        <w:t>ако</w:t>
      </w:r>
      <w:r>
        <w:rPr>
          <w:color w:val="231F20"/>
          <w:spacing w:val="-8"/>
        </w:rPr>
        <w:t> </w:t>
      </w:r>
      <w:r>
        <w:rPr>
          <w:color w:val="231F20"/>
        </w:rPr>
        <w:t>то</w:t>
      </w:r>
      <w:r>
        <w:rPr>
          <w:color w:val="231F20"/>
          <w:spacing w:val="-8"/>
        </w:rPr>
        <w:t> </w:t>
      </w:r>
      <w:r>
        <w:rPr>
          <w:color w:val="231F20"/>
        </w:rPr>
        <w:t>угрожава</w:t>
      </w:r>
      <w:r>
        <w:rPr>
          <w:color w:val="231F20"/>
          <w:spacing w:val="-8"/>
        </w:rPr>
        <w:t> </w:t>
      </w:r>
      <w:r>
        <w:rPr>
          <w:color w:val="231F20"/>
        </w:rPr>
        <w:t>здравствену</w:t>
      </w:r>
      <w:r>
        <w:rPr>
          <w:color w:val="231F20"/>
          <w:spacing w:val="-8"/>
        </w:rPr>
        <w:t> </w:t>
      </w:r>
      <w:r>
        <w:rPr>
          <w:color w:val="231F20"/>
        </w:rPr>
        <w:t>исправност</w:t>
      </w:r>
      <w:r>
        <w:rPr>
          <w:color w:val="231F20"/>
          <w:spacing w:val="-8"/>
        </w:rPr>
        <w:t> </w:t>
      </w:r>
      <w:r>
        <w:rPr>
          <w:color w:val="231F20"/>
        </w:rPr>
        <w:t>воде на </w:t>
      </w:r>
      <w:r>
        <w:rPr>
          <w:color w:val="231F20"/>
          <w:spacing w:val="-3"/>
        </w:rPr>
        <w:t>изворишту. </w:t>
      </w:r>
      <w:r>
        <w:rPr>
          <w:color w:val="231F20"/>
        </w:rPr>
        <w:t>Препоручује се да се у ободним деловима заштитне зоне</w:t>
      </w:r>
      <w:r>
        <w:rPr>
          <w:color w:val="231F20"/>
          <w:spacing w:val="-6"/>
        </w:rPr>
        <w:t> </w:t>
      </w:r>
      <w:r>
        <w:rPr>
          <w:color w:val="231F20"/>
        </w:rPr>
        <w:t>успостави</w:t>
      </w:r>
      <w:r>
        <w:rPr>
          <w:color w:val="231F20"/>
          <w:spacing w:val="-6"/>
        </w:rPr>
        <w:t> </w:t>
      </w:r>
      <w:r>
        <w:rPr>
          <w:color w:val="231F20"/>
        </w:rPr>
        <w:t>зелени</w:t>
      </w:r>
      <w:r>
        <w:rPr>
          <w:color w:val="231F20"/>
          <w:spacing w:val="-6"/>
        </w:rPr>
        <w:t> </w:t>
      </w:r>
      <w:r>
        <w:rPr>
          <w:color w:val="231F20"/>
        </w:rPr>
        <w:t>тампон</w:t>
      </w:r>
      <w:r>
        <w:rPr>
          <w:color w:val="231F20"/>
          <w:spacing w:val="-6"/>
        </w:rPr>
        <w:t> </w:t>
      </w:r>
      <w:r>
        <w:rPr>
          <w:color w:val="231F20"/>
        </w:rPr>
        <w:t>одговарајућом</w:t>
      </w:r>
      <w:r>
        <w:rPr>
          <w:color w:val="231F20"/>
          <w:spacing w:val="-5"/>
        </w:rPr>
        <w:t> </w:t>
      </w:r>
      <w:r>
        <w:rPr>
          <w:color w:val="231F20"/>
        </w:rPr>
        <w:t>садњом</w:t>
      </w:r>
      <w:r>
        <w:rPr>
          <w:color w:val="231F20"/>
          <w:spacing w:val="-5"/>
        </w:rPr>
        <w:t> </w:t>
      </w:r>
      <w:r>
        <w:rPr>
          <w:color w:val="231F20"/>
        </w:rPr>
        <w:t>за</w:t>
      </w:r>
      <w:r>
        <w:rPr>
          <w:color w:val="231F20"/>
          <w:spacing w:val="-6"/>
        </w:rPr>
        <w:t> </w:t>
      </w:r>
      <w:r>
        <w:rPr>
          <w:color w:val="231F20"/>
        </w:rPr>
        <w:t>производ- њу</w:t>
      </w:r>
      <w:r>
        <w:rPr>
          <w:color w:val="231F20"/>
          <w:spacing w:val="-2"/>
        </w:rPr>
        <w:t> </w:t>
      </w:r>
      <w:r>
        <w:rPr>
          <w:color w:val="231F20"/>
        </w:rPr>
        <w:t>биомасе.</w:t>
      </w:r>
    </w:p>
    <w:p>
      <w:pPr>
        <w:pStyle w:val="ListParagraph"/>
        <w:numPr>
          <w:ilvl w:val="1"/>
          <w:numId w:val="54"/>
        </w:numPr>
        <w:tabs>
          <w:tab w:pos="540" w:val="left" w:leader="none"/>
        </w:tabs>
        <w:spacing w:line="240" w:lineRule="auto" w:before="170" w:after="0"/>
        <w:ind w:left="539" w:right="0" w:hanging="315"/>
        <w:jc w:val="left"/>
        <w:rPr>
          <w:i/>
          <w:sz w:val="18"/>
        </w:rPr>
      </w:pPr>
      <w:r>
        <w:rPr>
          <w:i/>
          <w:color w:val="231F20"/>
          <w:sz w:val="18"/>
        </w:rPr>
        <w:t>Мере енергетске ефикасности и заштите животне</w:t>
      </w:r>
      <w:r>
        <w:rPr>
          <w:i/>
          <w:color w:val="231F20"/>
          <w:spacing w:val="-18"/>
          <w:sz w:val="18"/>
        </w:rPr>
        <w:t> </w:t>
      </w:r>
      <w:r>
        <w:rPr>
          <w:i/>
          <w:color w:val="231F20"/>
          <w:sz w:val="18"/>
        </w:rPr>
        <w:t>средине</w:t>
      </w:r>
    </w:p>
    <w:p>
      <w:pPr>
        <w:pStyle w:val="ListParagraph"/>
        <w:numPr>
          <w:ilvl w:val="2"/>
          <w:numId w:val="54"/>
        </w:numPr>
        <w:tabs>
          <w:tab w:pos="1838" w:val="left" w:leader="none"/>
        </w:tabs>
        <w:spacing w:line="240" w:lineRule="auto" w:before="166" w:after="0"/>
        <w:ind w:left="1837"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7"/>
        <w:ind w:left="0"/>
        <w:jc w:val="left"/>
        <w:rPr>
          <w:sz w:val="17"/>
        </w:rPr>
      </w:pPr>
    </w:p>
    <w:p>
      <w:pPr>
        <w:pStyle w:val="BodyText"/>
        <w:spacing w:line="235" w:lineRule="auto"/>
        <w:ind w:right="411" w:firstLine="396"/>
      </w:pPr>
      <w:r>
        <w:rPr>
          <w:color w:val="231F20"/>
        </w:rPr>
        <w:t>Енергетски ефикасна експлоатације угља са пратећим делат- ностима на ПК „Дрмно” представља право и обавезу носиоца пра- ва експлоатације у вези са рационалном и ефикасном употребом енергије. Спроводи се кроз мере и ЕЕ активности у оквиру успо- стављања система енергетског менаџмента и минималних захтева енергетске ефикасности постројења, опреме и зграда, на основу циљева у области рационалне и ефикаснe употребе енергије у</w:t>
      </w:r>
      <w:r>
        <w:rPr>
          <w:color w:val="231F20"/>
          <w:spacing w:val="-31"/>
        </w:rPr>
        <w:t> </w:t>
      </w:r>
      <w:r>
        <w:rPr>
          <w:color w:val="231F20"/>
        </w:rPr>
        <w:t>сек- тору производње у ширем </w:t>
      </w:r>
      <w:r>
        <w:rPr>
          <w:color w:val="231F20"/>
          <w:spacing w:val="-3"/>
        </w:rPr>
        <w:t>смислу, </w:t>
      </w:r>
      <w:r>
        <w:rPr>
          <w:color w:val="231F20"/>
        </w:rPr>
        <w:t>с тим што се у овом </w:t>
      </w:r>
      <w:r>
        <w:rPr>
          <w:color w:val="231F20"/>
          <w:spacing w:val="-3"/>
        </w:rPr>
        <w:t>случају, </w:t>
      </w:r>
      <w:r>
        <w:rPr>
          <w:color w:val="231F20"/>
        </w:rPr>
        <w:t>мере специфично односе и на област преношења, дистрибуције и потрошње</w:t>
      </w:r>
      <w:r>
        <w:rPr>
          <w:color w:val="231F20"/>
          <w:spacing w:val="-2"/>
        </w:rPr>
        <w:t> </w:t>
      </w:r>
      <w:r>
        <w:rPr>
          <w:color w:val="231F20"/>
        </w:rPr>
        <w:t>енергије.</w:t>
      </w:r>
    </w:p>
    <w:p>
      <w:pPr>
        <w:pStyle w:val="BodyText"/>
        <w:spacing w:line="235" w:lineRule="auto" w:before="2"/>
        <w:ind w:right="411" w:firstLine="397"/>
      </w:pPr>
      <w:r>
        <w:rPr>
          <w:color w:val="231F20"/>
        </w:rPr>
        <w:t>Површински</w:t>
      </w:r>
      <w:r>
        <w:rPr>
          <w:color w:val="231F20"/>
          <w:spacing w:val="-7"/>
        </w:rPr>
        <w:t> </w:t>
      </w:r>
      <w:r>
        <w:rPr>
          <w:color w:val="231F20"/>
          <w:spacing w:val="-4"/>
        </w:rPr>
        <w:t>коп</w:t>
      </w:r>
      <w:r>
        <w:rPr>
          <w:color w:val="231F20"/>
          <w:spacing w:val="-6"/>
        </w:rPr>
        <w:t> </w:t>
      </w:r>
      <w:r>
        <w:rPr>
          <w:color w:val="231F20"/>
        </w:rPr>
        <w:t>„Дрмно”</w:t>
      </w:r>
      <w:r>
        <w:rPr>
          <w:color w:val="231F20"/>
          <w:spacing w:val="-6"/>
        </w:rPr>
        <w:t> </w:t>
      </w:r>
      <w:r>
        <w:rPr>
          <w:color w:val="231F20"/>
        </w:rPr>
        <w:t>ће</w:t>
      </w:r>
      <w:r>
        <w:rPr>
          <w:color w:val="231F20"/>
          <w:spacing w:val="-6"/>
        </w:rPr>
        <w:t> </w:t>
      </w:r>
      <w:r>
        <w:rPr>
          <w:color w:val="231F20"/>
        </w:rPr>
        <w:t>имати</w:t>
      </w:r>
      <w:r>
        <w:rPr>
          <w:color w:val="231F20"/>
          <w:spacing w:val="-6"/>
        </w:rPr>
        <w:t> </w:t>
      </w:r>
      <w:r>
        <w:rPr>
          <w:color w:val="231F20"/>
        </w:rPr>
        <w:t>пет</w:t>
      </w:r>
      <w:r>
        <w:rPr>
          <w:color w:val="231F20"/>
          <w:spacing w:val="-6"/>
        </w:rPr>
        <w:t> </w:t>
      </w:r>
      <w:r>
        <w:rPr>
          <w:color w:val="231F20"/>
        </w:rPr>
        <w:t>јаловинских</w:t>
      </w:r>
      <w:r>
        <w:rPr>
          <w:color w:val="231F20"/>
          <w:spacing w:val="-7"/>
        </w:rPr>
        <w:t> </w:t>
      </w:r>
      <w:r>
        <w:rPr>
          <w:color w:val="231F20"/>
        </w:rPr>
        <w:t>система, један систем на откопавању хумуса, два угљена система, односно, два паралелна радилишна система </w:t>
      </w:r>
      <w:r>
        <w:rPr>
          <w:color w:val="231F20"/>
          <w:spacing w:val="-3"/>
        </w:rPr>
        <w:t>која </w:t>
      </w:r>
      <w:r>
        <w:rPr>
          <w:color w:val="231F20"/>
        </w:rPr>
        <w:t>су везана за збирни тран- спортер. Правилни избор основне опреме и дефинисање радних површина и радијуса, </w:t>
      </w:r>
      <w:r>
        <w:rPr>
          <w:color w:val="231F20"/>
          <w:spacing w:val="-3"/>
        </w:rPr>
        <w:t>од </w:t>
      </w:r>
      <w:r>
        <w:rPr>
          <w:color w:val="231F20"/>
        </w:rPr>
        <w:t>највећег је значаја за постизање енергет- ске ефикасности. Постројења, уређаји и машине, морају бити из- грађени, монтирани, периодично ремонтовани, одржавани и уса- вршавани </w:t>
      </w:r>
      <w:r>
        <w:rPr>
          <w:color w:val="231F20"/>
          <w:spacing w:val="-3"/>
        </w:rPr>
        <w:t>тако </w:t>
      </w:r>
      <w:r>
        <w:rPr>
          <w:color w:val="231F20"/>
        </w:rPr>
        <w:t>да сигурност и ефективност у раду </w:t>
      </w:r>
      <w:r>
        <w:rPr>
          <w:color w:val="231F20"/>
          <w:spacing w:val="-5"/>
        </w:rPr>
        <w:t>буде </w:t>
      </w:r>
      <w:r>
        <w:rPr>
          <w:color w:val="231F20"/>
        </w:rPr>
        <w:t>обезбеђена </w:t>
      </w:r>
      <w:r>
        <w:rPr>
          <w:color w:val="231F20"/>
          <w:spacing w:val="-4"/>
        </w:rPr>
        <w:t>током </w:t>
      </w:r>
      <w:r>
        <w:rPr>
          <w:color w:val="231F20"/>
        </w:rPr>
        <w:t>целог експлоатационог периода.</w:t>
      </w:r>
    </w:p>
    <w:p>
      <w:pPr>
        <w:spacing w:line="159"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50"/>
        </w:numPr>
        <w:tabs>
          <w:tab w:pos="455" w:val="left" w:leader="none"/>
        </w:tabs>
        <w:spacing w:line="240" w:lineRule="auto" w:before="0" w:after="0"/>
        <w:ind w:left="454" w:right="411" w:hanging="284"/>
        <w:jc w:val="left"/>
        <w:rPr>
          <w:sz w:val="14"/>
        </w:rPr>
      </w:pPr>
      <w:r>
        <w:rPr>
          <w:color w:val="231F20"/>
          <w:spacing w:val="-3"/>
          <w:sz w:val="14"/>
        </w:rPr>
        <w:t>Главни </w:t>
      </w:r>
      <w:r>
        <w:rPr>
          <w:color w:val="231F20"/>
          <w:sz w:val="14"/>
        </w:rPr>
        <w:t>пројект водоснабдевања места Кличевац </w:t>
      </w:r>
      <w:r>
        <w:rPr>
          <w:color w:val="231F20"/>
          <w:spacing w:val="-5"/>
          <w:sz w:val="14"/>
        </w:rPr>
        <w:t>код </w:t>
      </w:r>
      <w:r>
        <w:rPr>
          <w:color w:val="231F20"/>
          <w:sz w:val="14"/>
        </w:rPr>
        <w:t>Костолац, Институт „Кири- ло Савић” Београд, 2011.</w:t>
      </w:r>
      <w:r>
        <w:rPr>
          <w:color w:val="231F20"/>
          <w:spacing w:val="-4"/>
          <w:sz w:val="14"/>
        </w:rPr>
        <w:t> </w:t>
      </w:r>
      <w:r>
        <w:rPr>
          <w:color w:val="231F20"/>
          <w:spacing w:val="-2"/>
          <w:sz w:val="14"/>
        </w:rPr>
        <w:t>године</w:t>
      </w:r>
    </w:p>
    <w:p>
      <w:pPr>
        <w:spacing w:after="0" w:line="240" w:lineRule="auto"/>
        <w:jc w:val="left"/>
        <w:rPr>
          <w:sz w:val="14"/>
        </w:rPr>
        <w:sectPr>
          <w:pgSz w:w="12480" w:h="15690"/>
          <w:pgMar w:top="120" w:bottom="280" w:left="680" w:right="720"/>
          <w:cols w:num="2" w:equalWidth="0">
            <w:col w:w="5315" w:space="70"/>
            <w:col w:w="5695"/>
          </w:cols>
        </w:sectPr>
      </w:pPr>
    </w:p>
    <w:p>
      <w:pPr>
        <w:pStyle w:val="BodyText"/>
        <w:spacing w:before="68"/>
        <w:ind w:left="453" w:firstLine="397"/>
      </w:pPr>
      <w:r>
        <w:rPr>
          <w:color w:val="231F20"/>
        </w:rPr>
        <w:t>Објекти</w:t>
      </w:r>
      <w:r>
        <w:rPr>
          <w:color w:val="231F20"/>
          <w:spacing w:val="-5"/>
        </w:rPr>
        <w:t> </w:t>
      </w:r>
      <w:r>
        <w:rPr>
          <w:color w:val="231F20"/>
        </w:rPr>
        <w:t>за</w:t>
      </w:r>
      <w:r>
        <w:rPr>
          <w:color w:val="231F20"/>
          <w:spacing w:val="-5"/>
        </w:rPr>
        <w:t> </w:t>
      </w:r>
      <w:r>
        <w:rPr>
          <w:color w:val="231F20"/>
        </w:rPr>
        <w:t>снабдевање</w:t>
      </w:r>
      <w:r>
        <w:rPr>
          <w:color w:val="231F20"/>
          <w:spacing w:val="-5"/>
        </w:rPr>
        <w:t> </w:t>
      </w:r>
      <w:r>
        <w:rPr>
          <w:color w:val="231F20"/>
        </w:rPr>
        <w:t>енергијом</w:t>
      </w:r>
      <w:r>
        <w:rPr>
          <w:color w:val="231F20"/>
          <w:spacing w:val="-5"/>
        </w:rPr>
        <w:t> </w:t>
      </w:r>
      <w:r>
        <w:rPr>
          <w:color w:val="231F20"/>
        </w:rPr>
        <w:t>морају</w:t>
      </w:r>
      <w:r>
        <w:rPr>
          <w:color w:val="231F20"/>
          <w:spacing w:val="-5"/>
        </w:rPr>
        <w:t> </w:t>
      </w:r>
      <w:r>
        <w:rPr>
          <w:color w:val="231F20"/>
        </w:rPr>
        <w:t>да</w:t>
      </w:r>
      <w:r>
        <w:rPr>
          <w:color w:val="231F20"/>
          <w:spacing w:val="-5"/>
        </w:rPr>
        <w:t> </w:t>
      </w:r>
      <w:r>
        <w:rPr>
          <w:color w:val="231F20"/>
        </w:rPr>
        <w:t>омогуће</w:t>
      </w:r>
      <w:r>
        <w:rPr>
          <w:color w:val="231F20"/>
          <w:spacing w:val="-5"/>
        </w:rPr>
        <w:t> </w:t>
      </w:r>
      <w:r>
        <w:rPr>
          <w:color w:val="231F20"/>
        </w:rPr>
        <w:t>довољан доток електричне енергије из система ка опреми површинског </w:t>
      </w:r>
      <w:r>
        <w:rPr>
          <w:color w:val="231F20"/>
          <w:spacing w:val="-4"/>
        </w:rPr>
        <w:t>ко- </w:t>
      </w:r>
      <w:r>
        <w:rPr>
          <w:color w:val="231F20"/>
        </w:rPr>
        <w:t>па „Дрмно” </w:t>
      </w:r>
      <w:r>
        <w:rPr>
          <w:color w:val="231F20"/>
          <w:spacing w:val="-3"/>
        </w:rPr>
        <w:t>преко </w:t>
      </w:r>
      <w:r>
        <w:rPr>
          <w:color w:val="231F20"/>
        </w:rPr>
        <w:t>разводних постројења. </w:t>
      </w:r>
      <w:r>
        <w:rPr>
          <w:color w:val="231F20"/>
          <w:spacing w:val="-5"/>
        </w:rPr>
        <w:t>Услов </w:t>
      </w:r>
      <w:r>
        <w:rPr>
          <w:color w:val="231F20"/>
          <w:spacing w:val="-3"/>
        </w:rPr>
        <w:t>који </w:t>
      </w:r>
      <w:r>
        <w:rPr>
          <w:color w:val="231F20"/>
        </w:rPr>
        <w:t>мора да се постигне је да инсталисана снага у разводним постројењима </w:t>
      </w:r>
      <w:r>
        <w:rPr>
          <w:color w:val="231F20"/>
          <w:spacing w:val="-5"/>
        </w:rPr>
        <w:t>буде </w:t>
      </w:r>
      <w:r>
        <w:rPr>
          <w:color w:val="231F20"/>
        </w:rPr>
        <w:t>већа </w:t>
      </w:r>
      <w:r>
        <w:rPr>
          <w:color w:val="231F20"/>
          <w:spacing w:val="-3"/>
        </w:rPr>
        <w:t>од </w:t>
      </w:r>
      <w:r>
        <w:rPr>
          <w:color w:val="231F20"/>
        </w:rPr>
        <w:t>потребне једновремене привидне снаге целокупне опре- ме </w:t>
      </w:r>
      <w:r>
        <w:rPr>
          <w:color w:val="231F20"/>
          <w:spacing w:val="-3"/>
        </w:rPr>
        <w:t>копа, </w:t>
      </w:r>
      <w:r>
        <w:rPr>
          <w:color w:val="231F20"/>
        </w:rPr>
        <w:t>али у мери </w:t>
      </w:r>
      <w:r>
        <w:rPr>
          <w:color w:val="231F20"/>
          <w:spacing w:val="-3"/>
        </w:rPr>
        <w:t>која </w:t>
      </w:r>
      <w:r>
        <w:rPr>
          <w:color w:val="231F20"/>
        </w:rPr>
        <w:t>је оправдана са аспекта ефикасног рада система. Из овога је произашла потреба увођења две нове тран- сформаторске јединице 110/6 kV снаге по 16 </w:t>
      </w:r>
      <w:r>
        <w:rPr>
          <w:color w:val="231F20"/>
          <w:spacing w:val="-7"/>
        </w:rPr>
        <w:t>MVA, </w:t>
      </w:r>
      <w:r>
        <w:rPr>
          <w:color w:val="231F20"/>
          <w:spacing w:val="-3"/>
        </w:rPr>
        <w:t>које </w:t>
      </w:r>
      <w:r>
        <w:rPr>
          <w:color w:val="231F20"/>
        </w:rPr>
        <w:t>ће бити део разводног постројења „Рудник 3” на источној страни </w:t>
      </w:r>
      <w:r>
        <w:rPr>
          <w:color w:val="231F20"/>
          <w:spacing w:val="-3"/>
        </w:rPr>
        <w:t>копа. </w:t>
      </w:r>
      <w:r>
        <w:rPr>
          <w:color w:val="231F20"/>
        </w:rPr>
        <w:t>На западној</w:t>
      </w:r>
      <w:r>
        <w:rPr>
          <w:color w:val="231F20"/>
          <w:spacing w:val="-8"/>
        </w:rPr>
        <w:t> </w:t>
      </w:r>
      <w:r>
        <w:rPr>
          <w:color w:val="231F20"/>
        </w:rPr>
        <w:t>страни</w:t>
      </w:r>
      <w:r>
        <w:rPr>
          <w:color w:val="231F20"/>
          <w:spacing w:val="-8"/>
        </w:rPr>
        <w:t> </w:t>
      </w:r>
      <w:r>
        <w:rPr>
          <w:color w:val="231F20"/>
          <w:spacing w:val="-3"/>
        </w:rPr>
        <w:t>копа</w:t>
      </w:r>
      <w:r>
        <w:rPr>
          <w:color w:val="231F20"/>
          <w:spacing w:val="-8"/>
        </w:rPr>
        <w:t> </w:t>
      </w:r>
      <w:r>
        <w:rPr>
          <w:color w:val="231F20"/>
        </w:rPr>
        <w:t>инсталисаће</w:t>
      </w:r>
      <w:r>
        <w:rPr>
          <w:color w:val="231F20"/>
          <w:spacing w:val="-8"/>
        </w:rPr>
        <w:t> </w:t>
      </w:r>
      <w:r>
        <w:rPr>
          <w:color w:val="231F20"/>
        </w:rPr>
        <w:t>се</w:t>
      </w:r>
      <w:r>
        <w:rPr>
          <w:color w:val="231F20"/>
          <w:spacing w:val="-8"/>
        </w:rPr>
        <w:t> </w:t>
      </w:r>
      <w:r>
        <w:rPr>
          <w:color w:val="231F20"/>
        </w:rPr>
        <w:t>једна</w:t>
      </w:r>
      <w:r>
        <w:rPr>
          <w:color w:val="231F20"/>
          <w:spacing w:val="-8"/>
        </w:rPr>
        <w:t> </w:t>
      </w:r>
      <w:r>
        <w:rPr>
          <w:color w:val="231F20"/>
        </w:rPr>
        <w:t>трансформаторска</w:t>
      </w:r>
      <w:r>
        <w:rPr>
          <w:color w:val="231F20"/>
          <w:spacing w:val="-8"/>
        </w:rPr>
        <w:t> </w:t>
      </w:r>
      <w:r>
        <w:rPr>
          <w:color w:val="231F20"/>
        </w:rPr>
        <w:t>једи- ница 35/6 </w:t>
      </w:r>
      <w:r>
        <w:rPr>
          <w:color w:val="231F20"/>
          <w:spacing w:val="-8"/>
        </w:rPr>
        <w:t>kV, </w:t>
      </w:r>
      <w:r>
        <w:rPr>
          <w:color w:val="231F20"/>
        </w:rPr>
        <w:t>6,3 </w:t>
      </w:r>
      <w:r>
        <w:rPr>
          <w:color w:val="231F20"/>
          <w:spacing w:val="-7"/>
        </w:rPr>
        <w:t>MVA, </w:t>
      </w:r>
      <w:r>
        <w:rPr>
          <w:color w:val="231F20"/>
          <w:spacing w:val="-3"/>
        </w:rPr>
        <w:t>која </w:t>
      </w:r>
      <w:r>
        <w:rPr>
          <w:color w:val="231F20"/>
        </w:rPr>
        <w:t>ће имати ознаку „MO2”, а напајаће се из </w:t>
      </w:r>
      <w:r>
        <w:rPr>
          <w:color w:val="231F20"/>
          <w:spacing w:val="-3"/>
        </w:rPr>
        <w:t>одводне </w:t>
      </w:r>
      <w:r>
        <w:rPr>
          <w:color w:val="231F20"/>
        </w:rPr>
        <w:t>ћелије постројења „MO1”.</w:t>
      </w:r>
    </w:p>
    <w:p>
      <w:pPr>
        <w:pStyle w:val="BodyText"/>
        <w:spacing w:before="21"/>
        <w:ind w:left="454" w:firstLine="396"/>
      </w:pPr>
      <w:r>
        <w:rPr>
          <w:color w:val="231F20"/>
        </w:rPr>
        <w:t>Укупна инсталисана снага трансформаторских јединица на источној страни копа је (64 MVA), и то:</w:t>
      </w:r>
    </w:p>
    <w:p>
      <w:pPr>
        <w:pStyle w:val="BodyText"/>
        <w:spacing w:before="4"/>
        <w:ind w:left="851"/>
        <w:jc w:val="left"/>
      </w:pPr>
      <w:r>
        <w:rPr>
          <w:color w:val="231F20"/>
          <w:w w:val="66"/>
        </w:rPr>
        <w:t> </w:t>
      </w:r>
      <w:r>
        <w:rPr>
          <w:color w:val="231F20"/>
        </w:rPr>
        <w:t>– „Рудник 1” , 110/6 kV , 2x16 MVA = 32 MVA, и</w:t>
      </w:r>
    </w:p>
    <w:p>
      <w:pPr>
        <w:pStyle w:val="BodyText"/>
        <w:spacing w:before="2"/>
        <w:ind w:left="851"/>
        <w:jc w:val="left"/>
      </w:pPr>
      <w:r>
        <w:rPr>
          <w:color w:val="231F20"/>
          <w:w w:val="66"/>
        </w:rPr>
        <w:t> </w:t>
      </w:r>
      <w:r>
        <w:rPr>
          <w:color w:val="231F20"/>
        </w:rPr>
        <w:t>– „Рудник 3” , 110/6 kV , 2x16 MVA = 32 MVA.</w:t>
      </w:r>
    </w:p>
    <w:p>
      <w:pPr>
        <w:pStyle w:val="BodyText"/>
        <w:spacing w:before="2"/>
        <w:ind w:left="455" w:firstLine="396"/>
      </w:pPr>
      <w:r>
        <w:rPr>
          <w:color w:val="231F20"/>
        </w:rPr>
        <w:t>Резерва</w:t>
      </w:r>
      <w:r>
        <w:rPr>
          <w:color w:val="231F20"/>
          <w:spacing w:val="-9"/>
        </w:rPr>
        <w:t> </w:t>
      </w:r>
      <w:r>
        <w:rPr>
          <w:color w:val="231F20"/>
        </w:rPr>
        <w:t>у</w:t>
      </w:r>
      <w:r>
        <w:rPr>
          <w:color w:val="231F20"/>
          <w:spacing w:val="-9"/>
        </w:rPr>
        <w:t> </w:t>
      </w:r>
      <w:r>
        <w:rPr>
          <w:color w:val="231F20"/>
        </w:rPr>
        <w:t>инсталисаној</w:t>
      </w:r>
      <w:r>
        <w:rPr>
          <w:color w:val="231F20"/>
          <w:spacing w:val="-10"/>
        </w:rPr>
        <w:t> </w:t>
      </w:r>
      <w:r>
        <w:rPr>
          <w:color w:val="231F20"/>
        </w:rPr>
        <w:t>снази</w:t>
      </w:r>
      <w:r>
        <w:rPr>
          <w:color w:val="231F20"/>
          <w:spacing w:val="-9"/>
        </w:rPr>
        <w:t> </w:t>
      </w:r>
      <w:r>
        <w:rPr>
          <w:color w:val="231F20"/>
          <w:spacing w:val="-3"/>
        </w:rPr>
        <w:t>која</w:t>
      </w:r>
      <w:r>
        <w:rPr>
          <w:color w:val="231F20"/>
          <w:spacing w:val="-9"/>
        </w:rPr>
        <w:t> </w:t>
      </w:r>
      <w:r>
        <w:rPr>
          <w:color w:val="231F20"/>
        </w:rPr>
        <w:t>је</w:t>
      </w:r>
      <w:r>
        <w:rPr>
          <w:color w:val="231F20"/>
          <w:spacing w:val="-10"/>
        </w:rPr>
        <w:t> </w:t>
      </w:r>
      <w:r>
        <w:rPr>
          <w:color w:val="231F20"/>
        </w:rPr>
        <w:t>расположива</w:t>
      </w:r>
      <w:r>
        <w:rPr>
          <w:color w:val="231F20"/>
          <w:spacing w:val="-9"/>
        </w:rPr>
        <w:t> </w:t>
      </w:r>
      <w:r>
        <w:rPr>
          <w:color w:val="231F20"/>
        </w:rPr>
        <w:t>на</w:t>
      </w:r>
      <w:r>
        <w:rPr>
          <w:color w:val="231F20"/>
          <w:spacing w:val="-10"/>
        </w:rPr>
        <w:t> </w:t>
      </w:r>
      <w:r>
        <w:rPr>
          <w:color w:val="231F20"/>
        </w:rPr>
        <w:t>источној страни </w:t>
      </w:r>
      <w:r>
        <w:rPr>
          <w:color w:val="231F20"/>
          <w:spacing w:val="-3"/>
        </w:rPr>
        <w:t>копа </w:t>
      </w:r>
      <w:r>
        <w:rPr>
          <w:color w:val="231F20"/>
        </w:rPr>
        <w:t>износи 3,5</w:t>
      </w:r>
      <w:r>
        <w:rPr>
          <w:color w:val="231F20"/>
          <w:spacing w:val="0"/>
        </w:rPr>
        <w:t> </w:t>
      </w:r>
      <w:r>
        <w:rPr>
          <w:color w:val="231F20"/>
          <w:spacing w:val="-7"/>
        </w:rPr>
        <w:t>MVA.</w:t>
      </w:r>
    </w:p>
    <w:p>
      <w:pPr>
        <w:pStyle w:val="BodyText"/>
        <w:spacing w:before="3"/>
        <w:ind w:left="455" w:firstLine="396"/>
      </w:pPr>
      <w:r>
        <w:rPr>
          <w:color w:val="231F20"/>
        </w:rPr>
        <w:t>На западном делу </w:t>
      </w:r>
      <w:r>
        <w:rPr>
          <w:color w:val="231F20"/>
          <w:spacing w:val="-3"/>
        </w:rPr>
        <w:t>копа </w:t>
      </w:r>
      <w:r>
        <w:rPr>
          <w:color w:val="231F20"/>
        </w:rPr>
        <w:t>потребна инсталирана снага трафо- станица је 28,1 </w:t>
      </w:r>
      <w:r>
        <w:rPr>
          <w:color w:val="231F20"/>
          <w:spacing w:val="-7"/>
        </w:rPr>
        <w:t>MVA, </w:t>
      </w:r>
      <w:r>
        <w:rPr>
          <w:color w:val="231F20"/>
        </w:rPr>
        <w:t>а укупна инсталирана снага трансформатор- ских јединица на западној страни </w:t>
      </w:r>
      <w:r>
        <w:rPr>
          <w:color w:val="231F20"/>
          <w:spacing w:val="-3"/>
        </w:rPr>
        <w:t>копа </w:t>
      </w:r>
      <w:r>
        <w:rPr>
          <w:color w:val="231F20"/>
        </w:rPr>
        <w:t>је 28,6 </w:t>
      </w:r>
      <w:r>
        <w:rPr>
          <w:color w:val="231F20"/>
          <w:spacing w:val="-9"/>
        </w:rPr>
        <w:t>MVA </w:t>
      </w:r>
      <w:r>
        <w:rPr>
          <w:color w:val="231F20"/>
        </w:rPr>
        <w:t>и то:</w:t>
      </w:r>
    </w:p>
    <w:p>
      <w:pPr>
        <w:pStyle w:val="BodyText"/>
        <w:spacing w:line="204" w:lineRule="exact" w:before="69"/>
        <w:ind w:left="640"/>
        <w:jc w:val="left"/>
      </w:pPr>
      <w:r>
        <w:rPr/>
        <w:br w:type="column"/>
      </w:r>
      <w:r>
        <w:rPr>
          <w:color w:val="231F20"/>
          <w:w w:val="66"/>
        </w:rPr>
        <w:t> </w:t>
      </w:r>
      <w:r>
        <w:rPr>
          <w:color w:val="231F20"/>
        </w:rPr>
        <w:t>– „Рудник 2”,110/6 kV , 1 x 16 MVA = 16 MVA,</w:t>
      </w:r>
    </w:p>
    <w:p>
      <w:pPr>
        <w:pStyle w:val="BodyText"/>
        <w:spacing w:line="200" w:lineRule="exact"/>
        <w:ind w:left="640"/>
        <w:jc w:val="left"/>
      </w:pPr>
      <w:r>
        <w:rPr/>
        <w:pict>
          <v:line style="position:absolute;mso-position-horizontal-relative:page;mso-position-vertical-relative:paragraph;z-index:3832" from="318.897614pt,-8.110925pt" to="318.897614pt,206.850075pt" stroked="true" strokeweight=".6pt" strokecolor="#231f20">
            <v:stroke dashstyle="solid"/>
            <w10:wrap type="none"/>
          </v:line>
        </w:pict>
      </w:r>
      <w:r>
        <w:rPr>
          <w:color w:val="231F20"/>
          <w:w w:val="66"/>
        </w:rPr>
        <w:t> </w:t>
      </w:r>
      <w:r>
        <w:rPr>
          <w:color w:val="231F20"/>
        </w:rPr>
        <w:t>– „МО1”, 35/6 kV, 1 x 6,3 MVA = 6,3 MVA, и</w:t>
      </w:r>
    </w:p>
    <w:p>
      <w:pPr>
        <w:pStyle w:val="BodyText"/>
        <w:spacing w:line="199" w:lineRule="exact"/>
        <w:ind w:left="640"/>
        <w:jc w:val="left"/>
      </w:pPr>
      <w:r>
        <w:rPr>
          <w:color w:val="231F20"/>
          <w:w w:val="66"/>
        </w:rPr>
        <w:t> </w:t>
      </w:r>
      <w:r>
        <w:rPr>
          <w:color w:val="231F20"/>
        </w:rPr>
        <w:t>– „МО2”, 35/6 kV, 1 x 6,3 MVA = 6,3 MVA</w:t>
      </w:r>
    </w:p>
    <w:p>
      <w:pPr>
        <w:pStyle w:val="BodyText"/>
        <w:spacing w:line="230" w:lineRule="auto" w:before="3"/>
        <w:ind w:left="243" w:right="127" w:firstLine="396"/>
      </w:pPr>
      <w:r>
        <w:rPr>
          <w:color w:val="231F20"/>
        </w:rPr>
        <w:t>Резерва</w:t>
      </w:r>
      <w:r>
        <w:rPr>
          <w:color w:val="231F20"/>
          <w:spacing w:val="-7"/>
        </w:rPr>
        <w:t> </w:t>
      </w:r>
      <w:r>
        <w:rPr>
          <w:color w:val="231F20"/>
        </w:rPr>
        <w:t>у</w:t>
      </w:r>
      <w:r>
        <w:rPr>
          <w:color w:val="231F20"/>
          <w:spacing w:val="-7"/>
        </w:rPr>
        <w:t> </w:t>
      </w:r>
      <w:r>
        <w:rPr>
          <w:color w:val="231F20"/>
        </w:rPr>
        <w:t>инсталисаној</w:t>
      </w:r>
      <w:r>
        <w:rPr>
          <w:color w:val="231F20"/>
          <w:spacing w:val="-7"/>
        </w:rPr>
        <w:t> </w:t>
      </w:r>
      <w:r>
        <w:rPr>
          <w:color w:val="231F20"/>
        </w:rPr>
        <w:t>снази</w:t>
      </w:r>
      <w:r>
        <w:rPr>
          <w:color w:val="231F20"/>
          <w:spacing w:val="-7"/>
        </w:rPr>
        <w:t> </w:t>
      </w:r>
      <w:r>
        <w:rPr>
          <w:color w:val="231F20"/>
          <w:spacing w:val="-3"/>
        </w:rPr>
        <w:t>која</w:t>
      </w:r>
      <w:r>
        <w:rPr>
          <w:color w:val="231F20"/>
          <w:spacing w:val="-7"/>
        </w:rPr>
        <w:t> </w:t>
      </w:r>
      <w:r>
        <w:rPr>
          <w:color w:val="231F20"/>
        </w:rPr>
        <w:t>је</w:t>
      </w:r>
      <w:r>
        <w:rPr>
          <w:color w:val="231F20"/>
          <w:spacing w:val="-7"/>
        </w:rPr>
        <w:t> </w:t>
      </w:r>
      <w:r>
        <w:rPr>
          <w:color w:val="231F20"/>
        </w:rPr>
        <w:t>расположива</w:t>
      </w:r>
      <w:r>
        <w:rPr>
          <w:color w:val="231F20"/>
          <w:spacing w:val="-7"/>
        </w:rPr>
        <w:t> </w:t>
      </w:r>
      <w:r>
        <w:rPr>
          <w:color w:val="231F20"/>
        </w:rPr>
        <w:t>на</w:t>
      </w:r>
      <w:r>
        <w:rPr>
          <w:color w:val="231F20"/>
          <w:spacing w:val="-7"/>
        </w:rPr>
        <w:t> </w:t>
      </w:r>
      <w:r>
        <w:rPr>
          <w:color w:val="231F20"/>
        </w:rPr>
        <w:t>западној страни </w:t>
      </w:r>
      <w:r>
        <w:rPr>
          <w:color w:val="231F20"/>
          <w:spacing w:val="-3"/>
        </w:rPr>
        <w:t>копа </w:t>
      </w:r>
      <w:r>
        <w:rPr>
          <w:color w:val="231F20"/>
        </w:rPr>
        <w:t>износи 0,5</w:t>
      </w:r>
      <w:r>
        <w:rPr>
          <w:color w:val="231F20"/>
          <w:spacing w:val="0"/>
        </w:rPr>
        <w:t> </w:t>
      </w:r>
      <w:r>
        <w:rPr>
          <w:color w:val="231F20"/>
          <w:spacing w:val="-7"/>
        </w:rPr>
        <w:t>MVA.</w:t>
      </w:r>
    </w:p>
    <w:p>
      <w:pPr>
        <w:pStyle w:val="BodyText"/>
        <w:spacing w:line="230" w:lineRule="auto"/>
        <w:ind w:left="243" w:right="126" w:firstLine="396"/>
      </w:pPr>
      <w:r>
        <w:rPr>
          <w:color w:val="231F20"/>
        </w:rPr>
        <w:t>У оквиру снабдевања копа енергијом, поред надземне ка- бловске 6 kV мреже и трафо станица 6/0.4 kV, налазе се и далеко- води напонског нивоа 110 kV:</w:t>
      </w:r>
    </w:p>
    <w:p>
      <w:pPr>
        <w:pStyle w:val="BodyText"/>
        <w:spacing w:line="230" w:lineRule="auto"/>
        <w:ind w:left="243" w:right="127" w:firstLine="396"/>
      </w:pPr>
      <w:r>
        <w:rPr>
          <w:color w:val="231F20"/>
          <w:w w:val="66"/>
        </w:rPr>
        <w:t> </w:t>
      </w:r>
      <w:r>
        <w:rPr>
          <w:color w:val="231F20"/>
        </w:rPr>
        <w:t>– </w:t>
      </w:r>
      <w:r>
        <w:rPr>
          <w:color w:val="231F20"/>
          <w:spacing w:val="-3"/>
        </w:rPr>
        <w:t>далековод </w:t>
      </w:r>
      <w:r>
        <w:rPr>
          <w:color w:val="231F20"/>
        </w:rPr>
        <w:t>бр. 1196 </w:t>
      </w:r>
      <w:r>
        <w:rPr>
          <w:color w:val="231F20"/>
          <w:spacing w:val="-3"/>
        </w:rPr>
        <w:t>Велико </w:t>
      </w:r>
      <w:r>
        <w:rPr>
          <w:color w:val="231F20"/>
        </w:rPr>
        <w:t>Градиште – </w:t>
      </w:r>
      <w:r>
        <w:rPr>
          <w:color w:val="231F20"/>
          <w:spacing w:val="-3"/>
        </w:rPr>
        <w:t>„Рудник </w:t>
      </w:r>
      <w:r>
        <w:rPr>
          <w:color w:val="231F20"/>
        </w:rPr>
        <w:t>1”, дужина 22,9 km,</w:t>
      </w:r>
    </w:p>
    <w:p>
      <w:pPr>
        <w:pStyle w:val="BodyText"/>
        <w:spacing w:line="230" w:lineRule="auto"/>
        <w:ind w:left="243" w:right="127" w:firstLine="396"/>
      </w:pPr>
      <w:r>
        <w:rPr>
          <w:color w:val="231F20"/>
          <w:w w:val="66"/>
        </w:rPr>
        <w:t> </w:t>
      </w:r>
      <w:r>
        <w:rPr>
          <w:color w:val="231F20"/>
        </w:rPr>
        <w:t>– далековод бр. 1128/1, ТЕ „Костолац А” – ТС „Рудник 1”, дужина 12,074 km,</w:t>
      </w:r>
    </w:p>
    <w:p>
      <w:pPr>
        <w:pStyle w:val="BodyText"/>
        <w:spacing w:line="230" w:lineRule="auto"/>
        <w:ind w:left="243" w:right="127" w:firstLine="396"/>
      </w:pPr>
      <w:r>
        <w:rPr>
          <w:color w:val="231F20"/>
          <w:w w:val="66"/>
        </w:rPr>
        <w:t> </w:t>
      </w:r>
      <w:r>
        <w:rPr>
          <w:color w:val="231F20"/>
        </w:rPr>
        <w:t>– далековод бр. 1128/2, ТС „Рудник 1” – ТС „Рудник 2”, ду- жина 6,735 km,</w:t>
      </w:r>
    </w:p>
    <w:p>
      <w:pPr>
        <w:pStyle w:val="BodyText"/>
        <w:spacing w:line="230" w:lineRule="auto"/>
        <w:ind w:left="243" w:right="127" w:firstLine="396"/>
      </w:pPr>
      <w:r>
        <w:rPr>
          <w:color w:val="231F20"/>
          <w:w w:val="66"/>
        </w:rPr>
        <w:t> </w:t>
      </w:r>
      <w:r>
        <w:rPr>
          <w:color w:val="231F20"/>
        </w:rPr>
        <w:t>– далековод бр. 1160 ТС „Рудник 2” – РП „Дрмно”, дужине 2,572 km, и</w:t>
      </w:r>
    </w:p>
    <w:p>
      <w:pPr>
        <w:pStyle w:val="BodyText"/>
        <w:spacing w:line="230" w:lineRule="auto"/>
        <w:ind w:left="243" w:right="126" w:firstLine="396"/>
      </w:pPr>
      <w:r>
        <w:rPr>
          <w:color w:val="231F20"/>
          <w:w w:val="66"/>
        </w:rPr>
        <w:t> </w:t>
      </w:r>
      <w:r>
        <w:rPr>
          <w:color w:val="231F20"/>
        </w:rPr>
        <w:t>–</w:t>
      </w:r>
      <w:r>
        <w:rPr>
          <w:color w:val="231F20"/>
          <w:spacing w:val="-6"/>
        </w:rPr>
        <w:t> </w:t>
      </w:r>
      <w:r>
        <w:rPr>
          <w:color w:val="231F20"/>
          <w:spacing w:val="-3"/>
        </w:rPr>
        <w:t>далековод</w:t>
      </w:r>
      <w:r>
        <w:rPr>
          <w:color w:val="231F20"/>
          <w:spacing w:val="-6"/>
        </w:rPr>
        <w:t> </w:t>
      </w:r>
      <w:r>
        <w:rPr>
          <w:color w:val="231F20"/>
        </w:rPr>
        <w:t>бр.</w:t>
      </w:r>
      <w:r>
        <w:rPr>
          <w:color w:val="231F20"/>
          <w:spacing w:val="-6"/>
        </w:rPr>
        <w:t> </w:t>
      </w:r>
      <w:r>
        <w:rPr>
          <w:color w:val="231F20"/>
        </w:rPr>
        <w:t>1159</w:t>
      </w:r>
      <w:r>
        <w:rPr>
          <w:color w:val="231F20"/>
          <w:spacing w:val="-6"/>
        </w:rPr>
        <w:t> </w:t>
      </w:r>
      <w:r>
        <w:rPr>
          <w:color w:val="231F20"/>
        </w:rPr>
        <w:t>РП</w:t>
      </w:r>
      <w:r>
        <w:rPr>
          <w:color w:val="231F20"/>
          <w:spacing w:val="-6"/>
        </w:rPr>
        <w:t> </w:t>
      </w:r>
      <w:r>
        <w:rPr>
          <w:color w:val="231F20"/>
        </w:rPr>
        <w:t>„Дрмно”</w:t>
      </w:r>
      <w:r>
        <w:rPr>
          <w:color w:val="231F20"/>
          <w:spacing w:val="-6"/>
        </w:rPr>
        <w:t> </w:t>
      </w:r>
      <w:r>
        <w:rPr>
          <w:color w:val="231F20"/>
        </w:rPr>
        <w:t>-</w:t>
      </w:r>
      <w:r>
        <w:rPr>
          <w:color w:val="231F20"/>
          <w:spacing w:val="-6"/>
        </w:rPr>
        <w:t> </w:t>
      </w:r>
      <w:r>
        <w:rPr>
          <w:color w:val="231F20"/>
        </w:rPr>
        <w:t>ТЕ</w:t>
      </w:r>
      <w:r>
        <w:rPr>
          <w:color w:val="231F20"/>
          <w:spacing w:val="-6"/>
        </w:rPr>
        <w:t> </w:t>
      </w:r>
      <w:r>
        <w:rPr>
          <w:color w:val="231F20"/>
        </w:rPr>
        <w:t>„Костолац</w:t>
      </w:r>
      <w:r>
        <w:rPr>
          <w:color w:val="231F20"/>
          <w:spacing w:val="-6"/>
        </w:rPr>
        <w:t> </w:t>
      </w:r>
      <w:r>
        <w:rPr>
          <w:color w:val="231F20"/>
        </w:rPr>
        <w:t>А”,</w:t>
      </w:r>
      <w:r>
        <w:rPr>
          <w:color w:val="231F20"/>
          <w:spacing w:val="-6"/>
        </w:rPr>
        <w:t> </w:t>
      </w:r>
      <w:r>
        <w:rPr>
          <w:color w:val="231F20"/>
        </w:rPr>
        <w:t>дужине 9,9 km.</w:t>
      </w:r>
    </w:p>
    <w:p>
      <w:pPr>
        <w:pStyle w:val="BodyText"/>
        <w:spacing w:line="230" w:lineRule="auto"/>
        <w:ind w:left="243" w:right="126" w:firstLine="396"/>
      </w:pPr>
      <w:r>
        <w:rPr>
          <w:color w:val="231F20"/>
        </w:rPr>
        <w:t>Иновирано идејно решење снабдевања електричном енерги- јом ПК „Дрмно” до краја века експлоатације засновано је на опти- мизацији расположивих трансформацијских јединица, с обзиром на диспозију и инсталисане капацитете.</w:t>
      </w:r>
    </w:p>
    <w:p>
      <w:pPr>
        <w:spacing w:after="0" w:line="230" w:lineRule="auto"/>
        <w:sectPr>
          <w:pgSz w:w="12480" w:h="15690"/>
          <w:pgMar w:top="120" w:bottom="280" w:left="680" w:right="720"/>
          <w:cols w:num="2" w:equalWidth="0">
            <w:col w:w="5558" w:space="40"/>
            <w:col w:w="5482"/>
          </w:cols>
        </w:sectPr>
      </w:pPr>
    </w:p>
    <w:p>
      <w:pPr>
        <w:pStyle w:val="BodyText"/>
        <w:ind w:left="0"/>
        <w:jc w:val="left"/>
        <w:rPr>
          <w:sz w:val="20"/>
        </w:rPr>
      </w:pPr>
    </w:p>
    <w:p>
      <w:pPr>
        <w:pStyle w:val="BodyText"/>
        <w:ind w:left="0"/>
        <w:jc w:val="left"/>
        <w:rPr>
          <w:sz w:val="20"/>
        </w:rPr>
      </w:pPr>
    </w:p>
    <w:p>
      <w:pPr>
        <w:pStyle w:val="BodyText"/>
        <w:ind w:left="0"/>
        <w:jc w:val="left"/>
        <w:rPr>
          <w:sz w:val="14"/>
        </w:rPr>
      </w:pPr>
    </w:p>
    <w:p>
      <w:pPr>
        <w:pStyle w:val="BodyText"/>
        <w:ind w:left="1400"/>
        <w:jc w:val="left"/>
        <w:rPr>
          <w:sz w:val="20"/>
        </w:rPr>
      </w:pPr>
      <w:r>
        <w:rPr>
          <w:sz w:val="20"/>
        </w:rPr>
        <w:drawing>
          <wp:inline distT="0" distB="0" distL="0" distR="0">
            <wp:extent cx="5383072" cy="3584448"/>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5383072" cy="3584448"/>
                    </a:xfrm>
                    <a:prstGeom prst="rect">
                      <a:avLst/>
                    </a:prstGeom>
                  </pic:spPr>
                </pic:pic>
              </a:graphicData>
            </a:graphic>
          </wp:inline>
        </w:drawing>
      </w:r>
      <w:r>
        <w:rPr>
          <w:sz w:val="20"/>
        </w:rPr>
      </w:r>
    </w:p>
    <w:p>
      <w:pPr>
        <w:pStyle w:val="BodyText"/>
        <w:ind w:left="0"/>
        <w:jc w:val="left"/>
        <w:rPr>
          <w:sz w:val="20"/>
        </w:rPr>
      </w:pPr>
    </w:p>
    <w:p>
      <w:pPr>
        <w:pStyle w:val="BodyText"/>
        <w:ind w:left="0"/>
        <w:jc w:val="left"/>
        <w:rPr>
          <w:sz w:val="20"/>
        </w:rPr>
      </w:pPr>
    </w:p>
    <w:p>
      <w:pPr>
        <w:pStyle w:val="BodyText"/>
        <w:spacing w:before="9"/>
        <w:ind w:left="0"/>
        <w:jc w:val="left"/>
        <w:rPr>
          <w:sz w:val="26"/>
        </w:rPr>
      </w:pPr>
    </w:p>
    <w:p>
      <w:pPr>
        <w:spacing w:after="0"/>
        <w:jc w:val="left"/>
        <w:rPr>
          <w:sz w:val="26"/>
        </w:rPr>
        <w:sectPr>
          <w:type w:val="continuous"/>
          <w:pgSz w:w="12480" w:h="15690"/>
          <w:pgMar w:top="880" w:bottom="280" w:left="680" w:right="720"/>
        </w:sectPr>
      </w:pPr>
    </w:p>
    <w:p>
      <w:pPr>
        <w:pStyle w:val="BodyText"/>
        <w:spacing w:line="232" w:lineRule="auto" w:before="98"/>
        <w:ind w:left="453" w:firstLine="396"/>
      </w:pPr>
      <w:r>
        <w:rPr>
          <w:color w:val="231F20"/>
        </w:rPr>
        <w:t>У циљу ефикасне примене пројектованих мера енергетске ефикасности, односно перманентних ЕЕ активности на ПК „Дрм- но”, неопходно је увођење система енергетског менаџмента у ор- ганизациону структуру рударског предузећа.</w:t>
      </w:r>
    </w:p>
    <w:p>
      <w:pPr>
        <w:pStyle w:val="BodyText"/>
        <w:spacing w:line="223" w:lineRule="auto"/>
        <w:ind w:left="453" w:firstLine="397"/>
      </w:pPr>
      <w:r>
        <w:rPr>
          <w:color w:val="231F20"/>
        </w:rPr>
        <w:t>У експлоатационом раду копа нужно је наставити мерење, бележење и анализирање енергетске потрошње, укључујући изра- чунавање кључних вредности, детаљније анализе и сагледавање могућности примене нових ЕЕ активности. У том смислу препо- ручују се периодичне провере и иновирање пројеката електро- снабдевања копа.</w:t>
      </w:r>
    </w:p>
    <w:p>
      <w:pPr>
        <w:pStyle w:val="BodyText"/>
        <w:spacing w:line="223" w:lineRule="auto"/>
        <w:ind w:left="454" w:firstLine="396"/>
      </w:pPr>
      <w:r>
        <w:rPr>
          <w:color w:val="231F20"/>
        </w:rPr>
        <w:t>Код реконструкције или изградње појединачних пратећих објеката применити све доступне мере енергетске ефикасности, као што су: повећање термоизолационих својстава зидова и ста- клених површина, загревање и хлађење простора у зависности од намене и технолошких захтева, односно, у мери у којој то захте- ва радни процес, опремање апаратима и уређајима одговарајуће енергетске класе и друго.</w:t>
      </w:r>
    </w:p>
    <w:p>
      <w:pPr>
        <w:pStyle w:val="ListParagraph"/>
        <w:numPr>
          <w:ilvl w:val="2"/>
          <w:numId w:val="54"/>
        </w:numPr>
        <w:tabs>
          <w:tab w:pos="1786" w:val="left" w:leader="none"/>
        </w:tabs>
        <w:spacing w:line="240" w:lineRule="auto" w:before="93" w:after="0"/>
        <w:ind w:left="1785" w:right="0" w:hanging="450"/>
        <w:jc w:val="left"/>
        <w:rPr>
          <w:sz w:val="18"/>
        </w:rPr>
      </w:pPr>
      <w:r>
        <w:rPr>
          <w:color w:val="231F20"/>
          <w:spacing w:val="20"/>
          <w:sz w:val="18"/>
        </w:rPr>
        <w:br w:type="column"/>
      </w:r>
      <w:r>
        <w:rPr>
          <w:color w:val="231F20"/>
          <w:spacing w:val="15"/>
          <w:sz w:val="18"/>
        </w:rPr>
        <w:t>Заштит </w:t>
      </w:r>
      <w:r>
        <w:rPr>
          <w:color w:val="231F20"/>
          <w:sz w:val="18"/>
        </w:rPr>
        <w:t>а </w:t>
      </w:r>
      <w:r>
        <w:rPr>
          <w:color w:val="231F20"/>
          <w:spacing w:val="15"/>
          <w:sz w:val="18"/>
        </w:rPr>
        <w:t>животне</w:t>
      </w:r>
      <w:r>
        <w:rPr>
          <w:color w:val="231F20"/>
          <w:spacing w:val="6"/>
          <w:sz w:val="18"/>
        </w:rPr>
        <w:t> </w:t>
      </w:r>
      <w:r>
        <w:rPr>
          <w:color w:val="231F20"/>
          <w:spacing w:val="15"/>
          <w:sz w:val="18"/>
        </w:rPr>
        <w:t>средине</w:t>
      </w:r>
    </w:p>
    <w:p>
      <w:pPr>
        <w:pStyle w:val="BodyText"/>
        <w:spacing w:before="4"/>
        <w:ind w:left="0"/>
        <w:jc w:val="left"/>
        <w:rPr>
          <w:sz w:val="17"/>
        </w:rPr>
      </w:pPr>
    </w:p>
    <w:p>
      <w:pPr>
        <w:pStyle w:val="BodyText"/>
        <w:ind w:left="243" w:right="127" w:firstLine="396"/>
      </w:pPr>
      <w:r>
        <w:rPr/>
        <w:pict>
          <v:line style="position:absolute;mso-position-horizontal-relative:page;mso-position-vertical-relative:paragraph;z-index:3856" from="318.897614pt,-18.177355pt" to="318.897614pt,143.396645pt" stroked="true" strokeweight=".6pt" strokecolor="#231f20">
            <v:stroke dashstyle="solid"/>
            <w10:wrap type="none"/>
          </v:line>
        </w:pict>
      </w:r>
      <w:r>
        <w:rPr>
          <w:color w:val="231F20"/>
        </w:rPr>
        <w:t>Површински  </w:t>
      </w:r>
      <w:r>
        <w:rPr>
          <w:color w:val="231F20"/>
          <w:spacing w:val="-4"/>
        </w:rPr>
        <w:t>коп  </w:t>
      </w:r>
      <w:r>
        <w:rPr>
          <w:color w:val="231F20"/>
        </w:rPr>
        <w:t>„Дрмно”   изазива   значајну   деградаци- ју простора, </w:t>
      </w:r>
      <w:r>
        <w:rPr>
          <w:color w:val="231F20"/>
          <w:spacing w:val="-3"/>
        </w:rPr>
        <w:t>која </w:t>
      </w:r>
      <w:r>
        <w:rPr>
          <w:color w:val="231F20"/>
        </w:rPr>
        <w:t>обухвата заузимање пољопривредног земљи- шта, загађивање ваздуха суспендованим честицама (минералном прашином) и лебдећом прашином; контаминација и погоршање структуре горњег слоја земљишта; измене пејзажних карактери- стика; спуштање нивоа подземних вода; водоносни слој у подини угља изложен је потенцијалној инфилтрацији загађујућих матери- ја; </w:t>
      </w:r>
      <w:r>
        <w:rPr>
          <w:color w:val="231F20"/>
          <w:spacing w:val="-3"/>
        </w:rPr>
        <w:t>бука </w:t>
      </w:r>
      <w:r>
        <w:rPr>
          <w:color w:val="231F20"/>
        </w:rPr>
        <w:t>у радној средини; и друго. У вези са тим предвиђају се следеће техничко-технолошке мере</w:t>
      </w:r>
      <w:r>
        <w:rPr>
          <w:color w:val="231F20"/>
          <w:spacing w:val="-4"/>
        </w:rPr>
        <w:t> </w:t>
      </w:r>
      <w:r>
        <w:rPr>
          <w:color w:val="231F20"/>
        </w:rPr>
        <w:t>заштите:</w:t>
      </w:r>
    </w:p>
    <w:p>
      <w:pPr>
        <w:pStyle w:val="BodyText"/>
        <w:spacing w:line="237" w:lineRule="auto"/>
        <w:ind w:left="244" w:right="127" w:firstLine="396"/>
      </w:pPr>
      <w:r>
        <w:rPr>
          <w:color w:val="231F20"/>
          <w:w w:val="66"/>
        </w:rPr>
        <w:t> </w:t>
      </w:r>
      <w:r>
        <w:rPr>
          <w:color w:val="231F20"/>
        </w:rPr>
        <w:t>– реализовати селективно откопавање и одлагање повлатних слојева;</w:t>
      </w:r>
    </w:p>
    <w:p>
      <w:pPr>
        <w:pStyle w:val="BodyText"/>
        <w:ind w:left="244" w:right="126" w:firstLine="396"/>
      </w:pPr>
      <w:r>
        <w:rPr>
          <w:color w:val="231F20"/>
          <w:w w:val="66"/>
        </w:rPr>
        <w:t> </w:t>
      </w:r>
      <w:r>
        <w:rPr>
          <w:color w:val="231F20"/>
        </w:rPr>
        <w:t>–</w:t>
      </w:r>
      <w:r>
        <w:rPr>
          <w:color w:val="231F20"/>
          <w:spacing w:val="-12"/>
        </w:rPr>
        <w:t> </w:t>
      </w:r>
      <w:r>
        <w:rPr>
          <w:color w:val="231F20"/>
        </w:rPr>
        <w:t>применити</w:t>
      </w:r>
      <w:r>
        <w:rPr>
          <w:color w:val="231F20"/>
          <w:spacing w:val="-12"/>
        </w:rPr>
        <w:t> </w:t>
      </w:r>
      <w:r>
        <w:rPr>
          <w:color w:val="231F20"/>
        </w:rPr>
        <w:t>поступак</w:t>
      </w:r>
      <w:r>
        <w:rPr>
          <w:color w:val="231F20"/>
          <w:spacing w:val="-12"/>
        </w:rPr>
        <w:t> </w:t>
      </w:r>
      <w:r>
        <w:rPr>
          <w:color w:val="231F20"/>
        </w:rPr>
        <w:t>орошавања</w:t>
      </w:r>
      <w:r>
        <w:rPr>
          <w:color w:val="231F20"/>
          <w:spacing w:val="-12"/>
        </w:rPr>
        <w:t> </w:t>
      </w:r>
      <w:r>
        <w:rPr>
          <w:color w:val="231F20"/>
          <w:spacing w:val="-3"/>
        </w:rPr>
        <w:t>водом</w:t>
      </w:r>
      <w:r>
        <w:rPr>
          <w:color w:val="231F20"/>
          <w:spacing w:val="-12"/>
        </w:rPr>
        <w:t> </w:t>
      </w:r>
      <w:r>
        <w:rPr>
          <w:color w:val="231F20"/>
        </w:rPr>
        <w:t>активних</w:t>
      </w:r>
      <w:r>
        <w:rPr>
          <w:color w:val="231F20"/>
          <w:spacing w:val="-12"/>
        </w:rPr>
        <w:t> </w:t>
      </w:r>
      <w:r>
        <w:rPr>
          <w:color w:val="231F20"/>
        </w:rPr>
        <w:t>рударских површина – орошавање и квашење </w:t>
      </w:r>
      <w:r>
        <w:rPr>
          <w:color w:val="231F20"/>
          <w:spacing w:val="-3"/>
        </w:rPr>
        <w:t>водом </w:t>
      </w:r>
      <w:r>
        <w:rPr>
          <w:color w:val="231F20"/>
        </w:rPr>
        <w:t>помоћу наменских вози- ла – аутоцистерни, са опремом за</w:t>
      </w:r>
      <w:r>
        <w:rPr>
          <w:color w:val="231F20"/>
          <w:spacing w:val="-28"/>
        </w:rPr>
        <w:t> </w:t>
      </w:r>
      <w:r>
        <w:rPr>
          <w:color w:val="231F20"/>
        </w:rPr>
        <w:t>орошавање;</w:t>
      </w:r>
    </w:p>
    <w:p>
      <w:pPr>
        <w:spacing w:after="0"/>
        <w:sectPr>
          <w:type w:val="continuous"/>
          <w:pgSz w:w="12480" w:h="15690"/>
          <w:pgMar w:top="880" w:bottom="280" w:left="680" w:right="720"/>
          <w:cols w:num="2" w:equalWidth="0">
            <w:col w:w="5557" w:space="40"/>
            <w:col w:w="5483"/>
          </w:cols>
        </w:sectPr>
      </w:pPr>
    </w:p>
    <w:p>
      <w:pPr>
        <w:pStyle w:val="BodyText"/>
        <w:spacing w:line="232" w:lineRule="auto" w:before="73"/>
        <w:ind w:right="38" w:firstLine="396"/>
      </w:pPr>
      <w:r>
        <w:rPr/>
        <w:pict>
          <v:line style="position:absolute;mso-position-horizontal-relative:page;mso-position-vertical-relative:page;z-index:3880" from="304.724396pt,11.942451pt" to="304.724396pt,748.950451pt" stroked="true" strokeweight=".6pt" strokecolor="#231f20">
            <v:stroke dashstyle="solid"/>
            <w10:wrap type="none"/>
          </v:line>
        </w:pict>
      </w:r>
      <w:r>
        <w:rPr>
          <w:color w:val="231F20"/>
          <w:w w:val="66"/>
        </w:rPr>
        <w:t> </w:t>
      </w:r>
      <w:r>
        <w:rPr>
          <w:color w:val="231F20"/>
        </w:rPr>
        <w:t>–</w:t>
      </w:r>
      <w:r>
        <w:rPr>
          <w:color w:val="231F20"/>
          <w:spacing w:val="-6"/>
        </w:rPr>
        <w:t> </w:t>
      </w:r>
      <w:r>
        <w:rPr>
          <w:color w:val="231F20"/>
        </w:rPr>
        <w:t>применити</w:t>
      </w:r>
      <w:r>
        <w:rPr>
          <w:color w:val="231F20"/>
          <w:spacing w:val="-6"/>
        </w:rPr>
        <w:t> </w:t>
      </w:r>
      <w:r>
        <w:rPr>
          <w:color w:val="231F20"/>
        </w:rPr>
        <w:t>мокри</w:t>
      </w:r>
      <w:r>
        <w:rPr>
          <w:color w:val="231F20"/>
          <w:spacing w:val="-6"/>
        </w:rPr>
        <w:t> </w:t>
      </w:r>
      <w:r>
        <w:rPr>
          <w:color w:val="231F20"/>
        </w:rPr>
        <w:t>(орошавања</w:t>
      </w:r>
      <w:r>
        <w:rPr>
          <w:color w:val="231F20"/>
          <w:spacing w:val="-6"/>
        </w:rPr>
        <w:t> </w:t>
      </w:r>
      <w:r>
        <w:rPr>
          <w:color w:val="231F20"/>
          <w:spacing w:val="-2"/>
        </w:rPr>
        <w:t>водом)</w:t>
      </w:r>
      <w:r>
        <w:rPr>
          <w:color w:val="231F20"/>
          <w:spacing w:val="-6"/>
        </w:rPr>
        <w:t> </w:t>
      </w:r>
      <w:r>
        <w:rPr>
          <w:color w:val="231F20"/>
        </w:rPr>
        <w:t>или</w:t>
      </w:r>
      <w:r>
        <w:rPr>
          <w:color w:val="231F20"/>
          <w:spacing w:val="-6"/>
        </w:rPr>
        <w:t> </w:t>
      </w:r>
      <w:r>
        <w:rPr>
          <w:color w:val="231F20"/>
        </w:rPr>
        <w:t>суви</w:t>
      </w:r>
      <w:r>
        <w:rPr>
          <w:color w:val="231F20"/>
          <w:spacing w:val="-6"/>
        </w:rPr>
        <w:t> </w:t>
      </w:r>
      <w:r>
        <w:rPr>
          <w:color w:val="231F20"/>
        </w:rPr>
        <w:t>поступак</w:t>
      </w:r>
      <w:r>
        <w:rPr>
          <w:color w:val="231F20"/>
          <w:spacing w:val="-6"/>
        </w:rPr>
        <w:t> </w:t>
      </w:r>
      <w:r>
        <w:rPr>
          <w:color w:val="231F20"/>
        </w:rPr>
        <w:t>за спречавања емитовања прашине на пресипним местима у систему транспортера са</w:t>
      </w:r>
      <w:r>
        <w:rPr>
          <w:color w:val="231F20"/>
          <w:spacing w:val="-1"/>
        </w:rPr>
        <w:t> </w:t>
      </w:r>
      <w:r>
        <w:rPr>
          <w:color w:val="231F20"/>
        </w:rPr>
        <w:t>траком;</w:t>
      </w:r>
    </w:p>
    <w:p>
      <w:pPr>
        <w:pStyle w:val="BodyText"/>
        <w:spacing w:line="232" w:lineRule="auto"/>
        <w:ind w:right="38" w:firstLine="396"/>
      </w:pPr>
      <w:r>
        <w:rPr>
          <w:color w:val="231F20"/>
          <w:w w:val="66"/>
        </w:rPr>
        <w:t> </w:t>
      </w:r>
      <w:r>
        <w:rPr>
          <w:color w:val="231F20"/>
        </w:rPr>
        <w:t>– применити мере заштите режима и квалитета подземних и површинских вода и земљишта – у копу и у околини;</w:t>
      </w:r>
    </w:p>
    <w:p>
      <w:pPr>
        <w:pStyle w:val="BodyText"/>
        <w:spacing w:line="232" w:lineRule="auto"/>
        <w:ind w:right="38" w:firstLine="396"/>
      </w:pPr>
      <w:r>
        <w:rPr>
          <w:color w:val="231F20"/>
          <w:w w:val="66"/>
        </w:rPr>
        <w:t> </w:t>
      </w:r>
      <w:r>
        <w:rPr>
          <w:color w:val="231F20"/>
        </w:rPr>
        <w:t>–</w:t>
      </w:r>
      <w:r>
        <w:rPr>
          <w:color w:val="231F20"/>
          <w:spacing w:val="-9"/>
        </w:rPr>
        <w:t> </w:t>
      </w:r>
      <w:r>
        <w:rPr>
          <w:color w:val="231F20"/>
        </w:rPr>
        <w:t>између</w:t>
      </w:r>
      <w:r>
        <w:rPr>
          <w:color w:val="231F20"/>
          <w:spacing w:val="-9"/>
        </w:rPr>
        <w:t> </w:t>
      </w:r>
      <w:r>
        <w:rPr>
          <w:color w:val="231F20"/>
        </w:rPr>
        <w:t>површинског</w:t>
      </w:r>
      <w:r>
        <w:rPr>
          <w:color w:val="231F20"/>
          <w:spacing w:val="-9"/>
        </w:rPr>
        <w:t> </w:t>
      </w:r>
      <w:r>
        <w:rPr>
          <w:color w:val="231F20"/>
          <w:spacing w:val="-3"/>
        </w:rPr>
        <w:t>копа</w:t>
      </w:r>
      <w:r>
        <w:rPr>
          <w:color w:val="231F20"/>
          <w:spacing w:val="-9"/>
        </w:rPr>
        <w:t> </w:t>
      </w:r>
      <w:r>
        <w:rPr>
          <w:color w:val="231F20"/>
        </w:rPr>
        <w:t>и</w:t>
      </w:r>
      <w:r>
        <w:rPr>
          <w:color w:val="231F20"/>
          <w:spacing w:val="-9"/>
        </w:rPr>
        <w:t> </w:t>
      </w:r>
      <w:r>
        <w:rPr>
          <w:color w:val="231F20"/>
        </w:rPr>
        <w:t>насељених</w:t>
      </w:r>
      <w:r>
        <w:rPr>
          <w:color w:val="231F20"/>
          <w:spacing w:val="-9"/>
        </w:rPr>
        <w:t> </w:t>
      </w:r>
      <w:r>
        <w:rPr>
          <w:color w:val="231F20"/>
        </w:rPr>
        <w:t>места</w:t>
      </w:r>
      <w:r>
        <w:rPr>
          <w:color w:val="231F20"/>
          <w:spacing w:val="-9"/>
        </w:rPr>
        <w:t> </w:t>
      </w:r>
      <w:r>
        <w:rPr>
          <w:color w:val="231F20"/>
        </w:rPr>
        <w:t>поставити</w:t>
      </w:r>
      <w:r>
        <w:rPr>
          <w:color w:val="231F20"/>
          <w:spacing w:val="-9"/>
        </w:rPr>
        <w:t> </w:t>
      </w:r>
      <w:r>
        <w:rPr>
          <w:color w:val="231F20"/>
        </w:rPr>
        <w:t>ба- ријере или изградити ветрозаштитне појасеве ради смањења </w:t>
      </w:r>
      <w:r>
        <w:rPr>
          <w:color w:val="231F20"/>
          <w:spacing w:val="-3"/>
        </w:rPr>
        <w:t>буке </w:t>
      </w:r>
      <w:r>
        <w:rPr>
          <w:color w:val="231F20"/>
        </w:rPr>
        <w:t>и развејавања суспендованих</w:t>
      </w:r>
      <w:r>
        <w:rPr>
          <w:color w:val="231F20"/>
          <w:spacing w:val="-4"/>
        </w:rPr>
        <w:t> </w:t>
      </w:r>
      <w:r>
        <w:rPr>
          <w:color w:val="231F20"/>
        </w:rPr>
        <w:t>честица.</w:t>
      </w:r>
    </w:p>
    <w:p>
      <w:pPr>
        <w:pStyle w:val="BodyText"/>
        <w:spacing w:line="232" w:lineRule="auto"/>
        <w:ind w:right="38" w:firstLine="396"/>
      </w:pPr>
      <w:r>
        <w:rPr>
          <w:color w:val="231F20"/>
          <w:w w:val="66"/>
        </w:rPr>
        <w:t> </w:t>
      </w:r>
      <w:r>
        <w:rPr>
          <w:color w:val="231F20"/>
        </w:rPr>
        <w:t>–</w:t>
      </w:r>
      <w:r>
        <w:rPr>
          <w:color w:val="231F20"/>
          <w:spacing w:val="-17"/>
        </w:rPr>
        <w:t> </w:t>
      </w:r>
      <w:r>
        <w:rPr>
          <w:color w:val="231F20"/>
        </w:rPr>
        <w:t>извршити</w:t>
      </w:r>
      <w:r>
        <w:rPr>
          <w:color w:val="231F20"/>
          <w:spacing w:val="-17"/>
        </w:rPr>
        <w:t> </w:t>
      </w:r>
      <w:r>
        <w:rPr>
          <w:color w:val="231F20"/>
        </w:rPr>
        <w:t>ревитализацију/ремедијацију,</w:t>
      </w:r>
      <w:r>
        <w:rPr>
          <w:color w:val="231F20"/>
          <w:spacing w:val="-17"/>
        </w:rPr>
        <w:t> </w:t>
      </w:r>
      <w:r>
        <w:rPr>
          <w:color w:val="231F20"/>
        </w:rPr>
        <w:t>агротехничку</w:t>
      </w:r>
      <w:r>
        <w:rPr>
          <w:color w:val="231F20"/>
          <w:spacing w:val="-17"/>
        </w:rPr>
        <w:t> </w:t>
      </w:r>
      <w:r>
        <w:rPr>
          <w:color w:val="231F20"/>
        </w:rPr>
        <w:t>и</w:t>
      </w:r>
      <w:r>
        <w:rPr>
          <w:color w:val="231F20"/>
          <w:spacing w:val="-17"/>
        </w:rPr>
        <w:t> </w:t>
      </w:r>
      <w:r>
        <w:rPr>
          <w:color w:val="231F20"/>
        </w:rPr>
        <w:t>би- олошку рекултивацију деградираних простора (делови површин- </w:t>
      </w:r>
      <w:r>
        <w:rPr>
          <w:color w:val="231F20"/>
          <w:spacing w:val="-3"/>
        </w:rPr>
        <w:t>ског копа </w:t>
      </w:r>
      <w:r>
        <w:rPr>
          <w:color w:val="231F20"/>
        </w:rPr>
        <w:t>у </w:t>
      </w:r>
      <w:r>
        <w:rPr>
          <w:color w:val="231F20"/>
          <w:spacing w:val="-3"/>
        </w:rPr>
        <w:t>којима </w:t>
      </w:r>
      <w:r>
        <w:rPr>
          <w:color w:val="231F20"/>
        </w:rPr>
        <w:t>је завршена експлоатација, спољна и унутра- шња одлагалишта, и</w:t>
      </w:r>
      <w:r>
        <w:rPr>
          <w:color w:val="231F20"/>
          <w:spacing w:val="-3"/>
        </w:rPr>
        <w:t> </w:t>
      </w:r>
      <w:r>
        <w:rPr>
          <w:color w:val="231F20"/>
        </w:rPr>
        <w:t>друго);</w:t>
      </w:r>
    </w:p>
    <w:p>
      <w:pPr>
        <w:pStyle w:val="BodyText"/>
        <w:spacing w:line="232" w:lineRule="auto"/>
        <w:ind w:left="171" w:right="38" w:firstLine="396"/>
      </w:pPr>
      <w:r>
        <w:rPr>
          <w:color w:val="231F20"/>
          <w:w w:val="66"/>
        </w:rPr>
        <w:t> </w:t>
      </w:r>
      <w:r>
        <w:rPr>
          <w:color w:val="231F20"/>
        </w:rPr>
        <w:t>– применити мере заштите подземних вода и земљишта на депонији гипса и депонији пепела и шљаке ради спречавања про- дирања</w:t>
      </w:r>
      <w:r>
        <w:rPr>
          <w:color w:val="231F20"/>
          <w:spacing w:val="-13"/>
        </w:rPr>
        <w:t> </w:t>
      </w:r>
      <w:r>
        <w:rPr>
          <w:color w:val="231F20"/>
        </w:rPr>
        <w:t>процедних</w:t>
      </w:r>
      <w:r>
        <w:rPr>
          <w:color w:val="231F20"/>
          <w:spacing w:val="-13"/>
        </w:rPr>
        <w:t> </w:t>
      </w:r>
      <w:r>
        <w:rPr>
          <w:color w:val="231F20"/>
        </w:rPr>
        <w:t>вода</w:t>
      </w:r>
      <w:r>
        <w:rPr>
          <w:color w:val="231F20"/>
          <w:spacing w:val="-13"/>
        </w:rPr>
        <w:t> </w:t>
      </w:r>
      <w:r>
        <w:rPr>
          <w:color w:val="231F20"/>
        </w:rPr>
        <w:t>(адекватно</w:t>
      </w:r>
      <w:r>
        <w:rPr>
          <w:color w:val="231F20"/>
          <w:spacing w:val="-13"/>
        </w:rPr>
        <w:t> </w:t>
      </w:r>
      <w:r>
        <w:rPr>
          <w:color w:val="231F20"/>
        </w:rPr>
        <w:t>техничко</w:t>
      </w:r>
      <w:r>
        <w:rPr>
          <w:color w:val="231F20"/>
          <w:spacing w:val="-13"/>
        </w:rPr>
        <w:t> </w:t>
      </w:r>
      <w:r>
        <w:rPr>
          <w:color w:val="231F20"/>
        </w:rPr>
        <w:t>опремање</w:t>
      </w:r>
      <w:r>
        <w:rPr>
          <w:color w:val="231F20"/>
          <w:spacing w:val="-13"/>
        </w:rPr>
        <w:t> </w:t>
      </w:r>
      <w:r>
        <w:rPr>
          <w:color w:val="231F20"/>
        </w:rPr>
        <w:t>и</w:t>
      </w:r>
      <w:r>
        <w:rPr>
          <w:color w:val="231F20"/>
          <w:spacing w:val="-13"/>
        </w:rPr>
        <w:t> </w:t>
      </w:r>
      <w:r>
        <w:rPr>
          <w:color w:val="231F20"/>
        </w:rPr>
        <w:t>облагање хидроизолационим</w:t>
      </w:r>
      <w:r>
        <w:rPr>
          <w:color w:val="231F20"/>
          <w:spacing w:val="-2"/>
        </w:rPr>
        <w:t> </w:t>
      </w:r>
      <w:r>
        <w:rPr>
          <w:color w:val="231F20"/>
        </w:rPr>
        <w:t>материјалом);</w:t>
      </w:r>
    </w:p>
    <w:p>
      <w:pPr>
        <w:pStyle w:val="BodyText"/>
        <w:spacing w:line="232" w:lineRule="auto"/>
        <w:ind w:right="38" w:firstLine="397"/>
      </w:pPr>
      <w:r>
        <w:rPr>
          <w:color w:val="231F20"/>
          <w:w w:val="66"/>
        </w:rPr>
        <w:t> </w:t>
      </w:r>
      <w:r>
        <w:rPr>
          <w:color w:val="231F20"/>
        </w:rPr>
        <w:t>–</w:t>
      </w:r>
      <w:r>
        <w:rPr>
          <w:color w:val="231F20"/>
          <w:spacing w:val="-10"/>
        </w:rPr>
        <w:t> </w:t>
      </w:r>
      <w:r>
        <w:rPr>
          <w:color w:val="231F20"/>
        </w:rPr>
        <w:t>извршити</w:t>
      </w:r>
      <w:r>
        <w:rPr>
          <w:color w:val="231F20"/>
          <w:spacing w:val="-10"/>
        </w:rPr>
        <w:t> </w:t>
      </w:r>
      <w:r>
        <w:rPr>
          <w:color w:val="231F20"/>
        </w:rPr>
        <w:t>рециркулацију</w:t>
      </w:r>
      <w:r>
        <w:rPr>
          <w:color w:val="231F20"/>
          <w:spacing w:val="-10"/>
        </w:rPr>
        <w:t> </w:t>
      </w:r>
      <w:r>
        <w:rPr>
          <w:color w:val="231F20"/>
        </w:rPr>
        <w:t>процедне</w:t>
      </w:r>
      <w:r>
        <w:rPr>
          <w:color w:val="231F20"/>
          <w:spacing w:val="-10"/>
        </w:rPr>
        <w:t> </w:t>
      </w:r>
      <w:r>
        <w:rPr>
          <w:color w:val="231F20"/>
        </w:rPr>
        <w:t>воде</w:t>
      </w:r>
      <w:r>
        <w:rPr>
          <w:color w:val="231F20"/>
          <w:spacing w:val="-10"/>
        </w:rPr>
        <w:t> </w:t>
      </w:r>
      <w:r>
        <w:rPr>
          <w:color w:val="231F20"/>
        </w:rPr>
        <w:t>са</w:t>
      </w:r>
      <w:r>
        <w:rPr>
          <w:color w:val="231F20"/>
          <w:spacing w:val="-10"/>
        </w:rPr>
        <w:t> </w:t>
      </w:r>
      <w:r>
        <w:rPr>
          <w:color w:val="231F20"/>
        </w:rPr>
        <w:t>депоније</w:t>
      </w:r>
      <w:r>
        <w:rPr>
          <w:color w:val="231F20"/>
          <w:spacing w:val="-10"/>
        </w:rPr>
        <w:t> </w:t>
      </w:r>
      <w:r>
        <w:rPr>
          <w:color w:val="231F20"/>
        </w:rPr>
        <w:t>пепела и шљаке, и атмосферске воде </w:t>
      </w:r>
      <w:r>
        <w:rPr>
          <w:color w:val="231F20"/>
          <w:spacing w:val="-3"/>
        </w:rPr>
        <w:t>преко </w:t>
      </w:r>
      <w:r>
        <w:rPr>
          <w:color w:val="231F20"/>
        </w:rPr>
        <w:t>дренажног система, прелив- них</w:t>
      </w:r>
      <w:r>
        <w:rPr>
          <w:color w:val="231F20"/>
          <w:spacing w:val="-8"/>
        </w:rPr>
        <w:t> </w:t>
      </w:r>
      <w:r>
        <w:rPr>
          <w:color w:val="231F20"/>
        </w:rPr>
        <w:t>цеви</w:t>
      </w:r>
      <w:r>
        <w:rPr>
          <w:color w:val="231F20"/>
          <w:spacing w:val="-8"/>
        </w:rPr>
        <w:t> </w:t>
      </w:r>
      <w:r>
        <w:rPr>
          <w:color w:val="231F20"/>
        </w:rPr>
        <w:t>и</w:t>
      </w:r>
      <w:r>
        <w:rPr>
          <w:color w:val="231F20"/>
          <w:spacing w:val="-9"/>
        </w:rPr>
        <w:t> </w:t>
      </w:r>
      <w:r>
        <w:rPr>
          <w:color w:val="231F20"/>
        </w:rPr>
        <w:t>базена</w:t>
      </w:r>
      <w:r>
        <w:rPr>
          <w:color w:val="231F20"/>
          <w:spacing w:val="-8"/>
        </w:rPr>
        <w:t> </w:t>
      </w:r>
      <w:r>
        <w:rPr>
          <w:color w:val="231F20"/>
        </w:rPr>
        <w:t>у</w:t>
      </w:r>
      <w:r>
        <w:rPr>
          <w:color w:val="231F20"/>
          <w:spacing w:val="-8"/>
        </w:rPr>
        <w:t> </w:t>
      </w:r>
      <w:r>
        <w:rPr>
          <w:color w:val="231F20"/>
        </w:rPr>
        <w:t>багер</w:t>
      </w:r>
      <w:r>
        <w:rPr>
          <w:color w:val="231F20"/>
          <w:spacing w:val="-8"/>
        </w:rPr>
        <w:t> </w:t>
      </w:r>
      <w:r>
        <w:rPr>
          <w:color w:val="231F20"/>
        </w:rPr>
        <w:t>станицу</w:t>
      </w:r>
      <w:r>
        <w:rPr>
          <w:color w:val="231F20"/>
          <w:spacing w:val="-8"/>
        </w:rPr>
        <w:t> </w:t>
      </w:r>
      <w:r>
        <w:rPr>
          <w:color w:val="231F20"/>
        </w:rPr>
        <w:t>термоелектране</w:t>
      </w:r>
      <w:r>
        <w:rPr>
          <w:color w:val="231F20"/>
          <w:spacing w:val="-8"/>
        </w:rPr>
        <w:t> </w:t>
      </w:r>
      <w:r>
        <w:rPr>
          <w:color w:val="231F20"/>
        </w:rPr>
        <w:t>и</w:t>
      </w:r>
      <w:r>
        <w:rPr>
          <w:color w:val="231F20"/>
          <w:spacing w:val="-9"/>
        </w:rPr>
        <w:t> </w:t>
      </w:r>
      <w:r>
        <w:rPr>
          <w:color w:val="231F20"/>
        </w:rPr>
        <w:t>коришћење</w:t>
      </w:r>
      <w:r>
        <w:rPr>
          <w:color w:val="231F20"/>
          <w:spacing w:val="-8"/>
        </w:rPr>
        <w:t> </w:t>
      </w:r>
      <w:r>
        <w:rPr>
          <w:color w:val="231F20"/>
        </w:rPr>
        <w:t>за припрему и транспорт хидромешавине или за прскање</w:t>
      </w:r>
      <w:r>
        <w:rPr>
          <w:color w:val="231F20"/>
          <w:spacing w:val="-22"/>
        </w:rPr>
        <w:t> </w:t>
      </w:r>
      <w:r>
        <w:rPr>
          <w:color w:val="231F20"/>
        </w:rPr>
        <w:t>депоније;</w:t>
      </w:r>
    </w:p>
    <w:p>
      <w:pPr>
        <w:pStyle w:val="BodyText"/>
        <w:spacing w:line="232" w:lineRule="auto"/>
        <w:ind w:right="38" w:firstLine="397"/>
      </w:pPr>
      <w:r>
        <w:rPr>
          <w:color w:val="231F20"/>
          <w:w w:val="66"/>
        </w:rPr>
        <w:t> </w:t>
      </w:r>
      <w:r>
        <w:rPr>
          <w:color w:val="231F20"/>
        </w:rPr>
        <w:t>– пројектовати систем за заштиту депонија </w:t>
      </w:r>
      <w:r>
        <w:rPr>
          <w:color w:val="231F20"/>
          <w:spacing w:val="-3"/>
        </w:rPr>
        <w:t>од </w:t>
      </w:r>
      <w:r>
        <w:rPr>
          <w:color w:val="231F20"/>
        </w:rPr>
        <w:t>еолске</w:t>
      </w:r>
      <w:r>
        <w:rPr>
          <w:color w:val="231F20"/>
          <w:spacing w:val="-25"/>
        </w:rPr>
        <w:t> </w:t>
      </w:r>
      <w:r>
        <w:rPr>
          <w:color w:val="231F20"/>
        </w:rPr>
        <w:t>ерозије у складу са највишим могућим стандардима и обезбедити контро- лу његовог адекватног функционисања </w:t>
      </w:r>
      <w:r>
        <w:rPr>
          <w:color w:val="231F20"/>
          <w:spacing w:val="-4"/>
        </w:rPr>
        <w:t>током</w:t>
      </w:r>
      <w:r>
        <w:rPr>
          <w:color w:val="231F20"/>
          <w:spacing w:val="-16"/>
        </w:rPr>
        <w:t> </w:t>
      </w:r>
      <w:r>
        <w:rPr>
          <w:color w:val="231F20"/>
        </w:rPr>
        <w:t>експлоатације;</w:t>
      </w:r>
    </w:p>
    <w:p>
      <w:pPr>
        <w:pStyle w:val="BodyText"/>
        <w:spacing w:line="232" w:lineRule="auto"/>
        <w:ind w:left="169" w:right="39" w:firstLine="397"/>
      </w:pPr>
      <w:r>
        <w:rPr>
          <w:color w:val="231F20"/>
          <w:w w:val="66"/>
        </w:rPr>
        <w:t> </w:t>
      </w:r>
      <w:r>
        <w:rPr>
          <w:color w:val="231F20"/>
        </w:rPr>
        <w:t>– предвидети одговарајућу заштиту и ремедијацију депонија кроз пројектну документацију у циљу заштите околине;</w:t>
      </w:r>
    </w:p>
    <w:p>
      <w:pPr>
        <w:pStyle w:val="BodyText"/>
        <w:spacing w:line="232" w:lineRule="auto"/>
        <w:ind w:left="169" w:right="39" w:firstLine="396"/>
      </w:pPr>
      <w:r>
        <w:rPr>
          <w:color w:val="231F20"/>
          <w:w w:val="66"/>
        </w:rPr>
        <w:t> </w:t>
      </w:r>
      <w:r>
        <w:rPr>
          <w:color w:val="231F20"/>
        </w:rPr>
        <w:t>– </w:t>
      </w:r>
      <w:r>
        <w:rPr>
          <w:color w:val="231F20"/>
          <w:spacing w:val="-4"/>
        </w:rPr>
        <w:t>израдити пројекте </w:t>
      </w:r>
      <w:r>
        <w:rPr>
          <w:color w:val="231F20"/>
          <w:spacing w:val="-5"/>
        </w:rPr>
        <w:t>рекултивације </w:t>
      </w:r>
      <w:r>
        <w:rPr>
          <w:color w:val="231F20"/>
        </w:rPr>
        <w:t>за </w:t>
      </w:r>
      <w:r>
        <w:rPr>
          <w:color w:val="231F20"/>
          <w:spacing w:val="-5"/>
        </w:rPr>
        <w:t>сваку од експлоатационих </w:t>
      </w:r>
      <w:r>
        <w:rPr>
          <w:color w:val="231F20"/>
          <w:spacing w:val="-4"/>
        </w:rPr>
        <w:t>касета депоније </w:t>
      </w:r>
      <w:r>
        <w:rPr>
          <w:color w:val="231F20"/>
        </w:rPr>
        <w:t>по </w:t>
      </w:r>
      <w:r>
        <w:rPr>
          <w:color w:val="231F20"/>
          <w:spacing w:val="-4"/>
        </w:rPr>
        <w:t>њеном фазном </w:t>
      </w:r>
      <w:r>
        <w:rPr>
          <w:color w:val="231F20"/>
          <w:spacing w:val="-3"/>
        </w:rPr>
        <w:t>или </w:t>
      </w:r>
      <w:r>
        <w:rPr>
          <w:color w:val="231F20"/>
          <w:spacing w:val="-6"/>
        </w:rPr>
        <w:t>коначном </w:t>
      </w:r>
      <w:r>
        <w:rPr>
          <w:color w:val="231F20"/>
          <w:spacing w:val="-4"/>
        </w:rPr>
        <w:t>напуштању као </w:t>
      </w:r>
      <w:r>
        <w:rPr>
          <w:color w:val="231F20"/>
        </w:rPr>
        <w:t>и </w:t>
      </w:r>
      <w:r>
        <w:rPr>
          <w:color w:val="231F20"/>
          <w:spacing w:val="-5"/>
        </w:rPr>
        <w:t>пројекат </w:t>
      </w:r>
      <w:r>
        <w:rPr>
          <w:color w:val="231F20"/>
          <w:spacing w:val="-4"/>
        </w:rPr>
        <w:t>формирања заштитног зеленог </w:t>
      </w:r>
      <w:r>
        <w:rPr>
          <w:color w:val="231F20"/>
          <w:spacing w:val="-3"/>
        </w:rPr>
        <w:t>појаса </w:t>
      </w:r>
      <w:r>
        <w:rPr>
          <w:color w:val="231F20"/>
          <w:spacing w:val="-6"/>
        </w:rPr>
        <w:t>око </w:t>
      </w:r>
      <w:r>
        <w:rPr>
          <w:color w:val="231F20"/>
          <w:spacing w:val="-4"/>
        </w:rPr>
        <w:t>депоније пепела;</w:t>
      </w:r>
    </w:p>
    <w:p>
      <w:pPr>
        <w:pStyle w:val="BodyText"/>
        <w:spacing w:line="232" w:lineRule="auto"/>
        <w:ind w:left="169" w:right="39" w:firstLine="396"/>
      </w:pPr>
      <w:r>
        <w:rPr>
          <w:color w:val="231F20"/>
          <w:w w:val="66"/>
        </w:rPr>
        <w:t> </w:t>
      </w:r>
      <w:r>
        <w:rPr>
          <w:color w:val="231F20"/>
        </w:rPr>
        <w:t>–</w:t>
      </w:r>
      <w:r>
        <w:rPr>
          <w:color w:val="231F20"/>
          <w:spacing w:val="-9"/>
        </w:rPr>
        <w:t> </w:t>
      </w:r>
      <w:r>
        <w:rPr>
          <w:color w:val="231F20"/>
        </w:rPr>
        <w:t>складиште</w:t>
      </w:r>
      <w:r>
        <w:rPr>
          <w:color w:val="231F20"/>
          <w:spacing w:val="-9"/>
        </w:rPr>
        <w:t> </w:t>
      </w:r>
      <w:r>
        <w:rPr>
          <w:color w:val="231F20"/>
        </w:rPr>
        <w:t>за</w:t>
      </w:r>
      <w:r>
        <w:rPr>
          <w:color w:val="231F20"/>
          <w:spacing w:val="-9"/>
        </w:rPr>
        <w:t> </w:t>
      </w:r>
      <w:r>
        <w:rPr>
          <w:color w:val="231F20"/>
        </w:rPr>
        <w:t>привремено</w:t>
      </w:r>
      <w:r>
        <w:rPr>
          <w:color w:val="231F20"/>
          <w:spacing w:val="-9"/>
        </w:rPr>
        <w:t> </w:t>
      </w:r>
      <w:r>
        <w:rPr>
          <w:color w:val="231F20"/>
        </w:rPr>
        <w:t>складиштење</w:t>
      </w:r>
      <w:r>
        <w:rPr>
          <w:color w:val="231F20"/>
          <w:spacing w:val="-9"/>
        </w:rPr>
        <w:t> </w:t>
      </w:r>
      <w:r>
        <w:rPr>
          <w:color w:val="231F20"/>
        </w:rPr>
        <w:t>индустријског</w:t>
      </w:r>
      <w:r>
        <w:rPr>
          <w:color w:val="231F20"/>
          <w:spacing w:val="-9"/>
        </w:rPr>
        <w:t> </w:t>
      </w:r>
      <w:r>
        <w:rPr>
          <w:color w:val="231F20"/>
        </w:rPr>
        <w:t>опа- сног и неопасног отпада формирати уз предузимање свих пропи- саних мера заштите животне</w:t>
      </w:r>
      <w:r>
        <w:rPr>
          <w:color w:val="231F20"/>
          <w:spacing w:val="-4"/>
        </w:rPr>
        <w:t> </w:t>
      </w:r>
      <w:r>
        <w:rPr>
          <w:color w:val="231F20"/>
        </w:rPr>
        <w:t>средине;</w:t>
      </w:r>
    </w:p>
    <w:p>
      <w:pPr>
        <w:pStyle w:val="BodyText"/>
        <w:spacing w:line="232" w:lineRule="auto"/>
        <w:ind w:right="38" w:firstLine="396"/>
      </w:pPr>
      <w:r>
        <w:rPr>
          <w:color w:val="231F20"/>
          <w:w w:val="66"/>
        </w:rPr>
        <w:t> </w:t>
      </w:r>
      <w:r>
        <w:rPr>
          <w:color w:val="231F20"/>
        </w:rPr>
        <w:t>– складиште за привремено складиштење рабљених уља и мазива</w:t>
      </w:r>
      <w:r>
        <w:rPr>
          <w:color w:val="231F20"/>
          <w:spacing w:val="-7"/>
        </w:rPr>
        <w:t> </w:t>
      </w:r>
      <w:r>
        <w:rPr>
          <w:color w:val="231F20"/>
        </w:rPr>
        <w:t>формирати</w:t>
      </w:r>
      <w:r>
        <w:rPr>
          <w:color w:val="231F20"/>
          <w:spacing w:val="-7"/>
        </w:rPr>
        <w:t> </w:t>
      </w:r>
      <w:r>
        <w:rPr>
          <w:color w:val="231F20"/>
        </w:rPr>
        <w:t>уз</w:t>
      </w:r>
      <w:r>
        <w:rPr>
          <w:color w:val="231F20"/>
          <w:spacing w:val="-7"/>
        </w:rPr>
        <w:t> </w:t>
      </w:r>
      <w:r>
        <w:rPr>
          <w:color w:val="231F20"/>
        </w:rPr>
        <w:t>предузимање</w:t>
      </w:r>
      <w:r>
        <w:rPr>
          <w:color w:val="231F20"/>
          <w:spacing w:val="-7"/>
        </w:rPr>
        <w:t> </w:t>
      </w:r>
      <w:r>
        <w:rPr>
          <w:color w:val="231F20"/>
        </w:rPr>
        <w:t>свих</w:t>
      </w:r>
      <w:r>
        <w:rPr>
          <w:color w:val="231F20"/>
          <w:spacing w:val="-7"/>
        </w:rPr>
        <w:t> </w:t>
      </w:r>
      <w:r>
        <w:rPr>
          <w:color w:val="231F20"/>
        </w:rPr>
        <w:t>прописаних</w:t>
      </w:r>
      <w:r>
        <w:rPr>
          <w:color w:val="231F20"/>
          <w:spacing w:val="-7"/>
        </w:rPr>
        <w:t> </w:t>
      </w:r>
      <w:r>
        <w:rPr>
          <w:color w:val="231F20"/>
        </w:rPr>
        <w:t>мера</w:t>
      </w:r>
      <w:r>
        <w:rPr>
          <w:color w:val="231F20"/>
          <w:spacing w:val="-7"/>
        </w:rPr>
        <w:t> </w:t>
      </w:r>
      <w:r>
        <w:rPr>
          <w:color w:val="231F20"/>
        </w:rPr>
        <w:t>заштите животне средине, а нарочито обратити пажњу на заштиту земљи- шта и подземних</w:t>
      </w:r>
      <w:r>
        <w:rPr>
          <w:color w:val="231F20"/>
          <w:spacing w:val="-3"/>
        </w:rPr>
        <w:t> </w:t>
      </w:r>
      <w:r>
        <w:rPr>
          <w:color w:val="231F20"/>
        </w:rPr>
        <w:t>вода;</w:t>
      </w:r>
    </w:p>
    <w:p>
      <w:pPr>
        <w:pStyle w:val="BodyText"/>
        <w:spacing w:line="232" w:lineRule="auto"/>
        <w:ind w:right="38" w:firstLine="396"/>
      </w:pPr>
      <w:r>
        <w:rPr>
          <w:color w:val="231F20"/>
          <w:w w:val="66"/>
        </w:rPr>
        <w:t> </w:t>
      </w:r>
      <w:r>
        <w:rPr>
          <w:color w:val="231F20"/>
        </w:rPr>
        <w:t>– размотрити могућност коришћења пепела и шљаке у це- ментној индустрији, индустрији бетона и путоградњи и друго и</w:t>
      </w:r>
    </w:p>
    <w:p>
      <w:pPr>
        <w:pStyle w:val="BodyText"/>
        <w:spacing w:line="232" w:lineRule="auto"/>
        <w:ind w:right="38" w:firstLine="396"/>
      </w:pPr>
      <w:r>
        <w:rPr>
          <w:color w:val="231F20"/>
          <w:w w:val="66"/>
        </w:rPr>
        <w:t> </w:t>
      </w:r>
      <w:r>
        <w:rPr>
          <w:color w:val="231F20"/>
        </w:rPr>
        <w:t>–</w:t>
      </w:r>
      <w:r>
        <w:rPr>
          <w:color w:val="231F20"/>
          <w:spacing w:val="-9"/>
        </w:rPr>
        <w:t> </w:t>
      </w:r>
      <w:r>
        <w:rPr>
          <w:color w:val="231F20"/>
        </w:rPr>
        <w:t>обезбедити</w:t>
      </w:r>
      <w:r>
        <w:rPr>
          <w:color w:val="231F20"/>
          <w:spacing w:val="-9"/>
        </w:rPr>
        <w:t> </w:t>
      </w:r>
      <w:r>
        <w:rPr>
          <w:color w:val="231F20"/>
        </w:rPr>
        <w:t>косине</w:t>
      </w:r>
      <w:r>
        <w:rPr>
          <w:color w:val="231F20"/>
          <w:spacing w:val="-9"/>
        </w:rPr>
        <w:t> </w:t>
      </w:r>
      <w:r>
        <w:rPr>
          <w:color w:val="231F20"/>
          <w:spacing w:val="-3"/>
        </w:rPr>
        <w:t>копа</w:t>
      </w:r>
      <w:r>
        <w:rPr>
          <w:color w:val="231F20"/>
          <w:spacing w:val="-9"/>
        </w:rPr>
        <w:t> </w:t>
      </w:r>
      <w:r>
        <w:rPr>
          <w:color w:val="231F20"/>
        </w:rPr>
        <w:t>у</w:t>
      </w:r>
      <w:r>
        <w:rPr>
          <w:color w:val="231F20"/>
          <w:spacing w:val="-9"/>
        </w:rPr>
        <w:t> </w:t>
      </w:r>
      <w:r>
        <w:rPr>
          <w:color w:val="231F20"/>
        </w:rPr>
        <w:t>зони</w:t>
      </w:r>
      <w:r>
        <w:rPr>
          <w:color w:val="231F20"/>
          <w:spacing w:val="-9"/>
        </w:rPr>
        <w:t> </w:t>
      </w:r>
      <w:r>
        <w:rPr>
          <w:color w:val="231F20"/>
        </w:rPr>
        <w:t>археолошког</w:t>
      </w:r>
      <w:r>
        <w:rPr>
          <w:color w:val="231F20"/>
          <w:spacing w:val="-9"/>
        </w:rPr>
        <w:t> </w:t>
      </w:r>
      <w:r>
        <w:rPr>
          <w:color w:val="231F20"/>
        </w:rPr>
        <w:t>налазишта</w:t>
      </w:r>
      <w:r>
        <w:rPr>
          <w:color w:val="231F20"/>
          <w:spacing w:val="-9"/>
        </w:rPr>
        <w:t> </w:t>
      </w:r>
      <w:r>
        <w:rPr>
          <w:color w:val="231F20"/>
        </w:rPr>
        <w:t>Ви- минацијум.</w:t>
      </w:r>
    </w:p>
    <w:p>
      <w:pPr>
        <w:pStyle w:val="BodyText"/>
        <w:spacing w:line="232" w:lineRule="auto"/>
        <w:ind w:right="38" w:firstLine="396"/>
      </w:pPr>
      <w:r>
        <w:rPr>
          <w:color w:val="231F20"/>
        </w:rPr>
        <w:t>Опште мере заштите за контролу и управљање имисијама и емисијама обухватају увођење система мониторинга (уз израду одговарајућих Програма праћења утицаја на животну средину):</w:t>
      </w:r>
    </w:p>
    <w:p>
      <w:pPr>
        <w:pStyle w:val="BodyText"/>
        <w:spacing w:line="232" w:lineRule="auto"/>
        <w:ind w:right="38" w:firstLine="396"/>
      </w:pPr>
      <w:r>
        <w:rPr>
          <w:color w:val="231F20"/>
          <w:w w:val="66"/>
        </w:rPr>
        <w:t> </w:t>
      </w:r>
      <w:r>
        <w:rPr>
          <w:color w:val="231F20"/>
        </w:rPr>
        <w:t>– </w:t>
      </w:r>
      <w:r>
        <w:rPr>
          <w:color w:val="231F20"/>
          <w:spacing w:val="-3"/>
        </w:rPr>
        <w:t>подземних </w:t>
      </w:r>
      <w:r>
        <w:rPr>
          <w:color w:val="231F20"/>
          <w:spacing w:val="-4"/>
        </w:rPr>
        <w:t>вода </w:t>
      </w:r>
      <w:r>
        <w:rPr>
          <w:color w:val="231F20"/>
        </w:rPr>
        <w:t>(укључујући аквифере ширег </w:t>
      </w:r>
      <w:r>
        <w:rPr>
          <w:color w:val="231F20"/>
          <w:spacing w:val="-3"/>
        </w:rPr>
        <w:t>водоносног подручја) </w:t>
      </w:r>
      <w:r>
        <w:rPr>
          <w:color w:val="231F20"/>
        </w:rPr>
        <w:t>и потенцијалних </w:t>
      </w:r>
      <w:r>
        <w:rPr>
          <w:color w:val="231F20"/>
          <w:spacing w:val="-3"/>
        </w:rPr>
        <w:t>токсичних материја, нарочито </w:t>
      </w:r>
      <w:r>
        <w:rPr>
          <w:color w:val="231F20"/>
        </w:rPr>
        <w:t>у непо- </w:t>
      </w:r>
      <w:r>
        <w:rPr>
          <w:color w:val="231F20"/>
          <w:spacing w:val="-3"/>
        </w:rPr>
        <w:t>средној</w:t>
      </w:r>
      <w:r>
        <w:rPr>
          <w:color w:val="231F20"/>
          <w:spacing w:val="-12"/>
        </w:rPr>
        <w:t> </w:t>
      </w:r>
      <w:r>
        <w:rPr>
          <w:color w:val="231F20"/>
          <w:spacing w:val="-3"/>
        </w:rPr>
        <w:t>близини</w:t>
      </w:r>
      <w:r>
        <w:rPr>
          <w:color w:val="231F20"/>
          <w:spacing w:val="-11"/>
        </w:rPr>
        <w:t> </w:t>
      </w:r>
      <w:r>
        <w:rPr>
          <w:color w:val="231F20"/>
        </w:rPr>
        <w:t>потенцијалних</w:t>
      </w:r>
      <w:r>
        <w:rPr>
          <w:color w:val="231F20"/>
          <w:spacing w:val="-11"/>
        </w:rPr>
        <w:t> </w:t>
      </w:r>
      <w:r>
        <w:rPr>
          <w:color w:val="231F20"/>
          <w:spacing w:val="-2"/>
        </w:rPr>
        <w:t>извора</w:t>
      </w:r>
      <w:r>
        <w:rPr>
          <w:color w:val="231F20"/>
          <w:spacing w:val="-11"/>
        </w:rPr>
        <w:t> </w:t>
      </w:r>
      <w:r>
        <w:rPr>
          <w:color w:val="231F20"/>
        </w:rPr>
        <w:t>загађења</w:t>
      </w:r>
      <w:r>
        <w:rPr>
          <w:color w:val="231F20"/>
          <w:spacing w:val="-12"/>
        </w:rPr>
        <w:t> </w:t>
      </w:r>
      <w:r>
        <w:rPr>
          <w:color w:val="231F20"/>
        </w:rPr>
        <w:t>(депонија</w:t>
      </w:r>
      <w:r>
        <w:rPr>
          <w:color w:val="231F20"/>
          <w:spacing w:val="-12"/>
        </w:rPr>
        <w:t> </w:t>
      </w:r>
      <w:r>
        <w:rPr>
          <w:color w:val="231F20"/>
        </w:rPr>
        <w:t>и</w:t>
      </w:r>
      <w:r>
        <w:rPr>
          <w:color w:val="231F20"/>
          <w:spacing w:val="-12"/>
        </w:rPr>
        <w:t> </w:t>
      </w:r>
      <w:r>
        <w:rPr>
          <w:color w:val="231F20"/>
          <w:spacing w:val="-3"/>
        </w:rPr>
        <w:t>друго);</w:t>
      </w:r>
    </w:p>
    <w:p>
      <w:pPr>
        <w:pStyle w:val="BodyText"/>
        <w:spacing w:line="232" w:lineRule="auto"/>
        <w:ind w:right="39" w:firstLine="396"/>
      </w:pPr>
      <w:r>
        <w:rPr>
          <w:color w:val="231F20"/>
          <w:w w:val="66"/>
        </w:rPr>
        <w:t> </w:t>
      </w:r>
      <w:r>
        <w:rPr>
          <w:color w:val="231F20"/>
        </w:rPr>
        <w:t>– површинских (Млава и притоке, акумулације воде на дну површинских копова) и подземних вода </w:t>
      </w:r>
      <w:r>
        <w:rPr>
          <w:color w:val="231F20"/>
          <w:spacing w:val="-3"/>
        </w:rPr>
        <w:t>које </w:t>
      </w:r>
      <w:r>
        <w:rPr>
          <w:color w:val="231F20"/>
        </w:rPr>
        <w:t>се </w:t>
      </w:r>
      <w:r>
        <w:rPr>
          <w:color w:val="231F20"/>
          <w:spacing w:val="-3"/>
        </w:rPr>
        <w:t>одводе </w:t>
      </w:r>
      <w:r>
        <w:rPr>
          <w:color w:val="231F20"/>
        </w:rPr>
        <w:t>из </w:t>
      </w:r>
      <w:r>
        <w:rPr>
          <w:color w:val="231F20"/>
          <w:spacing w:val="-3"/>
        </w:rPr>
        <w:t>рудника;</w:t>
      </w:r>
    </w:p>
    <w:p>
      <w:pPr>
        <w:pStyle w:val="BodyText"/>
        <w:spacing w:line="199" w:lineRule="exact"/>
        <w:ind w:left="567"/>
        <w:jc w:val="left"/>
      </w:pPr>
      <w:r>
        <w:rPr>
          <w:color w:val="231F20"/>
          <w:w w:val="66"/>
        </w:rPr>
        <w:t> </w:t>
      </w:r>
      <w:r>
        <w:rPr>
          <w:color w:val="231F20"/>
        </w:rPr>
        <w:t>– квалитета отпадних вода;</w:t>
      </w:r>
    </w:p>
    <w:p>
      <w:pPr>
        <w:pStyle w:val="BodyText"/>
        <w:spacing w:line="201" w:lineRule="exact"/>
        <w:ind w:left="567"/>
        <w:jc w:val="left"/>
      </w:pPr>
      <w:r>
        <w:rPr>
          <w:color w:val="231F20"/>
          <w:w w:val="66"/>
        </w:rPr>
        <w:t> </w:t>
      </w:r>
      <w:r>
        <w:rPr>
          <w:color w:val="231F20"/>
        </w:rPr>
        <w:t>– </w:t>
      </w:r>
      <w:r>
        <w:rPr>
          <w:color w:val="231F20"/>
          <w:spacing w:val="-5"/>
        </w:rPr>
        <w:t>квалитета земљишта, </w:t>
      </w:r>
      <w:r>
        <w:rPr>
          <w:color w:val="231F20"/>
          <w:spacing w:val="-6"/>
        </w:rPr>
        <w:t>коришћења </w:t>
      </w:r>
      <w:r>
        <w:rPr>
          <w:color w:val="231F20"/>
        </w:rPr>
        <w:t>и </w:t>
      </w:r>
      <w:r>
        <w:rPr>
          <w:color w:val="231F20"/>
          <w:spacing w:val="-5"/>
        </w:rPr>
        <w:t>рехабилитације земљишта;</w:t>
      </w:r>
    </w:p>
    <w:p>
      <w:pPr>
        <w:pStyle w:val="BodyText"/>
        <w:spacing w:line="220" w:lineRule="exact"/>
        <w:ind w:left="567"/>
        <w:jc w:val="left"/>
      </w:pPr>
      <w:r>
        <w:rPr>
          <w:color w:val="231F20"/>
          <w:w w:val="66"/>
        </w:rPr>
        <w:t> </w:t>
      </w:r>
      <w:r>
        <w:rPr>
          <w:color w:val="231F20"/>
        </w:rPr>
        <w:t>–</w:t>
      </w:r>
      <w:r>
        <w:rPr>
          <w:color w:val="231F20"/>
          <w:spacing w:val="-12"/>
        </w:rPr>
        <w:t> </w:t>
      </w:r>
      <w:r>
        <w:rPr>
          <w:color w:val="231F20"/>
          <w:spacing w:val="-5"/>
        </w:rPr>
        <w:t>квалитета</w:t>
      </w:r>
      <w:r>
        <w:rPr>
          <w:color w:val="231F20"/>
          <w:spacing w:val="-12"/>
        </w:rPr>
        <w:t> </w:t>
      </w:r>
      <w:r>
        <w:rPr>
          <w:color w:val="231F20"/>
          <w:spacing w:val="-6"/>
        </w:rPr>
        <w:t>ваздуха</w:t>
      </w:r>
      <w:r>
        <w:rPr>
          <w:color w:val="231F20"/>
          <w:spacing w:val="-12"/>
        </w:rPr>
        <w:t> </w:t>
      </w:r>
      <w:r>
        <w:rPr>
          <w:color w:val="231F20"/>
          <w:spacing w:val="-5"/>
        </w:rPr>
        <w:t>(емисије):</w:t>
      </w:r>
      <w:r>
        <w:rPr>
          <w:color w:val="231F20"/>
          <w:spacing w:val="-12"/>
        </w:rPr>
        <w:t> </w:t>
      </w:r>
      <w:r>
        <w:rPr>
          <w:color w:val="231F20"/>
          <w:spacing w:val="-4"/>
        </w:rPr>
        <w:t>честица</w:t>
      </w:r>
      <w:r>
        <w:rPr>
          <w:color w:val="231F20"/>
          <w:spacing w:val="-12"/>
        </w:rPr>
        <w:t> </w:t>
      </w:r>
      <w:r>
        <w:rPr>
          <w:color w:val="231F20"/>
          <w:spacing w:val="-5"/>
        </w:rPr>
        <w:t>прашине,</w:t>
      </w:r>
      <w:r>
        <w:rPr>
          <w:color w:val="231F20"/>
          <w:spacing w:val="-12"/>
        </w:rPr>
        <w:t> </w:t>
      </w:r>
      <w:r>
        <w:rPr>
          <w:color w:val="231F20"/>
          <w:spacing w:val="-3"/>
        </w:rPr>
        <w:t>SО</w:t>
      </w:r>
      <w:r>
        <w:rPr>
          <w:color w:val="231F20"/>
          <w:spacing w:val="-3"/>
          <w:position w:val="-5"/>
          <w:sz w:val="10"/>
        </w:rPr>
        <w:t>2</w:t>
      </w:r>
      <w:r>
        <w:rPr>
          <w:color w:val="231F20"/>
          <w:spacing w:val="-3"/>
        </w:rPr>
        <w:t>,</w:t>
      </w:r>
      <w:r>
        <w:rPr>
          <w:color w:val="231F20"/>
          <w:spacing w:val="-12"/>
        </w:rPr>
        <w:t> </w:t>
      </w:r>
      <w:r>
        <w:rPr>
          <w:color w:val="231F20"/>
          <w:spacing w:val="-4"/>
        </w:rPr>
        <w:t>NОx</w:t>
      </w:r>
      <w:r>
        <w:rPr>
          <w:color w:val="231F20"/>
          <w:spacing w:val="-12"/>
        </w:rPr>
        <w:t> </w:t>
      </w:r>
      <w:r>
        <w:rPr>
          <w:color w:val="231F20"/>
        </w:rPr>
        <w:t>и</w:t>
      </w:r>
      <w:r>
        <w:rPr>
          <w:color w:val="231F20"/>
          <w:spacing w:val="-12"/>
        </w:rPr>
        <w:t> </w:t>
      </w:r>
      <w:r>
        <w:rPr>
          <w:color w:val="231F20"/>
          <w:spacing w:val="-4"/>
        </w:rPr>
        <w:t>CO;</w:t>
      </w:r>
    </w:p>
    <w:p>
      <w:pPr>
        <w:pStyle w:val="BodyText"/>
        <w:spacing w:line="178" w:lineRule="exact"/>
        <w:ind w:left="567"/>
        <w:jc w:val="left"/>
      </w:pPr>
      <w:r>
        <w:rPr>
          <w:color w:val="231F20"/>
          <w:w w:val="66"/>
        </w:rPr>
        <w:t> </w:t>
      </w:r>
      <w:r>
        <w:rPr>
          <w:color w:val="231F20"/>
        </w:rPr>
        <w:t>– чврстог отпада; и</w:t>
      </w:r>
    </w:p>
    <w:p>
      <w:pPr>
        <w:pStyle w:val="BodyText"/>
        <w:spacing w:line="201" w:lineRule="exact"/>
        <w:ind w:left="567"/>
        <w:jc w:val="left"/>
      </w:pPr>
      <w:r>
        <w:rPr>
          <w:color w:val="231F20"/>
          <w:w w:val="66"/>
        </w:rPr>
        <w:t> </w:t>
      </w:r>
      <w:r>
        <w:rPr>
          <w:color w:val="231F20"/>
        </w:rPr>
        <w:t>– нивоа буке.</w:t>
      </w:r>
    </w:p>
    <w:p>
      <w:pPr>
        <w:pStyle w:val="BodyText"/>
        <w:spacing w:line="232" w:lineRule="auto"/>
        <w:ind w:right="38" w:firstLine="397"/>
      </w:pPr>
      <w:r>
        <w:rPr>
          <w:color w:val="231F20"/>
        </w:rPr>
        <w:t>Треба предвидети организационе и оперативне поступке у случају прекорачења дозвољених вредности параметара утицаја. Поред тога, најмање два пута годишње, потребно је вршити пери- одична</w:t>
      </w:r>
      <w:r>
        <w:rPr>
          <w:color w:val="231F20"/>
          <w:spacing w:val="-6"/>
        </w:rPr>
        <w:t> </w:t>
      </w:r>
      <w:r>
        <w:rPr>
          <w:color w:val="231F20"/>
        </w:rPr>
        <w:t>испитивања</w:t>
      </w:r>
      <w:r>
        <w:rPr>
          <w:color w:val="231F20"/>
          <w:spacing w:val="-6"/>
        </w:rPr>
        <w:t> </w:t>
      </w:r>
      <w:r>
        <w:rPr>
          <w:color w:val="231F20"/>
        </w:rPr>
        <w:t>радне</w:t>
      </w:r>
      <w:r>
        <w:rPr>
          <w:color w:val="231F20"/>
          <w:spacing w:val="-6"/>
        </w:rPr>
        <w:t> </w:t>
      </w:r>
      <w:r>
        <w:rPr>
          <w:color w:val="231F20"/>
        </w:rPr>
        <w:t>средине</w:t>
      </w:r>
      <w:r>
        <w:rPr>
          <w:color w:val="231F20"/>
          <w:spacing w:val="-6"/>
        </w:rPr>
        <w:t> </w:t>
      </w:r>
      <w:r>
        <w:rPr>
          <w:color w:val="231F20"/>
        </w:rPr>
        <w:t>на</w:t>
      </w:r>
      <w:r>
        <w:rPr>
          <w:color w:val="231F20"/>
          <w:spacing w:val="-6"/>
        </w:rPr>
        <w:t> </w:t>
      </w:r>
      <w:r>
        <w:rPr>
          <w:color w:val="231F20"/>
        </w:rPr>
        <w:t>угроженим</w:t>
      </w:r>
      <w:r>
        <w:rPr>
          <w:color w:val="231F20"/>
          <w:spacing w:val="-6"/>
        </w:rPr>
        <w:t> </w:t>
      </w:r>
      <w:r>
        <w:rPr>
          <w:color w:val="231F20"/>
        </w:rPr>
        <w:t>радним</w:t>
      </w:r>
      <w:r>
        <w:rPr>
          <w:color w:val="231F20"/>
          <w:spacing w:val="-6"/>
        </w:rPr>
        <w:t> </w:t>
      </w:r>
      <w:r>
        <w:rPr>
          <w:color w:val="231F20"/>
        </w:rPr>
        <w:t>местима.</w:t>
      </w:r>
    </w:p>
    <w:p>
      <w:pPr>
        <w:pStyle w:val="ListParagraph"/>
        <w:numPr>
          <w:ilvl w:val="1"/>
          <w:numId w:val="54"/>
        </w:numPr>
        <w:tabs>
          <w:tab w:pos="1839" w:val="left" w:leader="none"/>
        </w:tabs>
        <w:spacing w:line="240" w:lineRule="auto" w:before="163" w:after="0"/>
        <w:ind w:left="1838" w:right="0" w:hanging="315"/>
        <w:jc w:val="left"/>
        <w:rPr>
          <w:i/>
          <w:sz w:val="18"/>
        </w:rPr>
      </w:pPr>
      <w:r>
        <w:rPr>
          <w:i/>
          <w:color w:val="231F20"/>
          <w:sz w:val="18"/>
        </w:rPr>
        <w:t>Приоритетне</w:t>
      </w:r>
      <w:r>
        <w:rPr>
          <w:i/>
          <w:color w:val="231F20"/>
          <w:spacing w:val="-2"/>
          <w:sz w:val="18"/>
        </w:rPr>
        <w:t> </w:t>
      </w:r>
      <w:r>
        <w:rPr>
          <w:i/>
          <w:color w:val="231F20"/>
          <w:sz w:val="18"/>
        </w:rPr>
        <w:t>активности</w:t>
      </w:r>
    </w:p>
    <w:p>
      <w:pPr>
        <w:pStyle w:val="BodyText"/>
        <w:spacing w:before="3"/>
        <w:ind w:left="0"/>
        <w:jc w:val="left"/>
        <w:rPr>
          <w:i/>
          <w:sz w:val="17"/>
        </w:rPr>
      </w:pPr>
    </w:p>
    <w:p>
      <w:pPr>
        <w:pStyle w:val="BodyText"/>
        <w:spacing w:line="232" w:lineRule="auto" w:before="1"/>
        <w:ind w:left="168" w:right="39" w:firstLine="397"/>
      </w:pPr>
      <w:r>
        <w:rPr>
          <w:color w:val="231F20"/>
        </w:rPr>
        <w:t>С обзиром на стратешки значај одрживог и еколошки уна- пређеног функционисања и даљег развоја термоенергетских ка- пацитета, експлоатација угља на једином активном површинском копу у Костолачком угљеном басену, ПК „Дрмно” значајно ће се интензивирати у наредном периоду. Уводе се нови процеси, а на постојећим технолошким процесима обим радова се повећава. У том смислу утврђују се као приоритетне следеће активности у пр- вом планском периоду до 2015. године:</w:t>
      </w:r>
    </w:p>
    <w:p>
      <w:pPr>
        <w:pStyle w:val="BodyText"/>
        <w:spacing w:line="232" w:lineRule="auto"/>
        <w:ind w:left="168" w:right="40" w:firstLine="396"/>
      </w:pPr>
      <w:r>
        <w:rPr>
          <w:color w:val="231F20"/>
          <w:w w:val="66"/>
        </w:rPr>
        <w:t> </w:t>
      </w:r>
      <w:r>
        <w:rPr>
          <w:color w:val="231F20"/>
        </w:rPr>
        <w:t>– на локацији, </w:t>
      </w:r>
      <w:r>
        <w:rPr>
          <w:color w:val="231F20"/>
          <w:spacing w:val="-4"/>
        </w:rPr>
        <w:t>око </w:t>
      </w:r>
      <w:r>
        <w:rPr>
          <w:color w:val="231F20"/>
        </w:rPr>
        <w:t>2600 m дуж пута Дрмно – Кличевац </w:t>
      </w:r>
      <w:r>
        <w:rPr>
          <w:color w:val="231F20"/>
          <w:spacing w:val="-4"/>
        </w:rPr>
        <w:t>уда- </w:t>
      </w:r>
      <w:r>
        <w:rPr>
          <w:color w:val="231F20"/>
        </w:rPr>
        <w:t>љеној </w:t>
      </w:r>
      <w:r>
        <w:rPr>
          <w:color w:val="231F20"/>
          <w:spacing w:val="-3"/>
        </w:rPr>
        <w:t>од „Рудничког </w:t>
      </w:r>
      <w:r>
        <w:rPr>
          <w:color w:val="231F20"/>
        </w:rPr>
        <w:t>круга”, завршетак изградње </w:t>
      </w:r>
      <w:r>
        <w:rPr>
          <w:color w:val="231F20"/>
          <w:spacing w:val="-3"/>
        </w:rPr>
        <w:t>булдозерске </w:t>
      </w:r>
      <w:r>
        <w:rPr>
          <w:color w:val="231F20"/>
        </w:rPr>
        <w:t>радионице површинe </w:t>
      </w:r>
      <w:r>
        <w:rPr>
          <w:color w:val="231F20"/>
          <w:spacing w:val="-3"/>
        </w:rPr>
        <w:t>од </w:t>
      </w:r>
      <w:r>
        <w:rPr>
          <w:color w:val="231F20"/>
          <w:spacing w:val="-4"/>
        </w:rPr>
        <w:t>око </w:t>
      </w:r>
      <w:r>
        <w:rPr>
          <w:color w:val="231F20"/>
        </w:rPr>
        <w:t>900 m² са 10 канала за поправку и сервисирање тешке механизације, радних машина и теренских во- зила, </w:t>
      </w:r>
      <w:r>
        <w:rPr>
          <w:color w:val="231F20"/>
          <w:spacing w:val="-3"/>
        </w:rPr>
        <w:t>компресорском </w:t>
      </w:r>
      <w:r>
        <w:rPr>
          <w:color w:val="231F20"/>
        </w:rPr>
        <w:t>радионицом са разводом, два спољна кана- ла за мање оправке и две наткривене рампе за прање машина и возила,</w:t>
      </w:r>
      <w:r>
        <w:rPr>
          <w:color w:val="231F20"/>
          <w:spacing w:val="20"/>
        </w:rPr>
        <w:t> </w:t>
      </w:r>
      <w:r>
        <w:rPr>
          <w:color w:val="231F20"/>
        </w:rPr>
        <w:t>опремање</w:t>
      </w:r>
      <w:r>
        <w:rPr>
          <w:color w:val="231F20"/>
          <w:spacing w:val="20"/>
        </w:rPr>
        <w:t> </w:t>
      </w:r>
      <w:r>
        <w:rPr>
          <w:color w:val="231F20"/>
        </w:rPr>
        <w:t>мосним</w:t>
      </w:r>
      <w:r>
        <w:rPr>
          <w:color w:val="231F20"/>
          <w:spacing w:val="20"/>
        </w:rPr>
        <w:t> </w:t>
      </w:r>
      <w:r>
        <w:rPr>
          <w:color w:val="231F20"/>
        </w:rPr>
        <w:t>краном</w:t>
      </w:r>
      <w:r>
        <w:rPr>
          <w:color w:val="231F20"/>
          <w:spacing w:val="20"/>
        </w:rPr>
        <w:t> </w:t>
      </w:r>
      <w:r>
        <w:rPr>
          <w:color w:val="231F20"/>
        </w:rPr>
        <w:t>носивости</w:t>
      </w:r>
      <w:r>
        <w:rPr>
          <w:color w:val="231F20"/>
          <w:spacing w:val="20"/>
        </w:rPr>
        <w:t> </w:t>
      </w:r>
      <w:r>
        <w:rPr>
          <w:color w:val="231F20"/>
        </w:rPr>
        <w:t>25</w:t>
      </w:r>
      <w:r>
        <w:rPr>
          <w:color w:val="231F20"/>
          <w:spacing w:val="20"/>
        </w:rPr>
        <w:t> </w:t>
      </w:r>
      <w:r>
        <w:rPr>
          <w:color w:val="231F20"/>
        </w:rPr>
        <w:t>t</w:t>
      </w:r>
      <w:r>
        <w:rPr>
          <w:color w:val="231F20"/>
          <w:spacing w:val="20"/>
        </w:rPr>
        <w:t> </w:t>
      </w:r>
      <w:r>
        <w:rPr>
          <w:color w:val="231F20"/>
        </w:rPr>
        <w:t>и</w:t>
      </w:r>
      <w:r>
        <w:rPr>
          <w:color w:val="231F20"/>
          <w:spacing w:val="20"/>
        </w:rPr>
        <w:t> </w:t>
      </w:r>
      <w:r>
        <w:rPr>
          <w:color w:val="231F20"/>
        </w:rPr>
        <w:t>сепаратором</w:t>
      </w:r>
    </w:p>
    <w:p>
      <w:pPr>
        <w:pStyle w:val="BodyText"/>
        <w:spacing w:line="232" w:lineRule="auto" w:before="74"/>
        <w:ind w:left="169" w:right="412" w:hanging="1"/>
      </w:pPr>
      <w:r>
        <w:rPr/>
        <w:br w:type="column"/>
      </w:r>
      <w:r>
        <w:rPr>
          <w:color w:val="231F20"/>
        </w:rPr>
        <w:t>за прикупљање уља и масти, као и израда мањег контејнерског насеља у близини </w:t>
      </w:r>
      <w:r>
        <w:rPr>
          <w:color w:val="231F20"/>
          <w:spacing w:val="-3"/>
        </w:rPr>
        <w:t>булдозерске </w:t>
      </w:r>
      <w:r>
        <w:rPr>
          <w:color w:val="231F20"/>
        </w:rPr>
        <w:t>радионице, попут постојећег </w:t>
      </w:r>
      <w:r>
        <w:rPr>
          <w:color w:val="231F20"/>
          <w:spacing w:val="-3"/>
        </w:rPr>
        <w:t>кон- </w:t>
      </w:r>
      <w:r>
        <w:rPr>
          <w:color w:val="231F20"/>
        </w:rPr>
        <w:t>тејнерског насеља на западној ивици </w:t>
      </w:r>
      <w:r>
        <w:rPr>
          <w:color w:val="231F20"/>
          <w:spacing w:val="-3"/>
        </w:rPr>
        <w:t>копа, </w:t>
      </w:r>
      <w:r>
        <w:rPr>
          <w:color w:val="231F20"/>
        </w:rPr>
        <w:t>са 10 објеката </w:t>
      </w:r>
      <w:r>
        <w:rPr>
          <w:color w:val="231F20"/>
          <w:spacing w:val="-3"/>
        </w:rPr>
        <w:t>који </w:t>
      </w:r>
      <w:r>
        <w:rPr>
          <w:color w:val="231F20"/>
        </w:rPr>
        <w:t>се формирају </w:t>
      </w:r>
      <w:r>
        <w:rPr>
          <w:color w:val="231F20"/>
          <w:spacing w:val="-3"/>
        </w:rPr>
        <w:t>од </w:t>
      </w:r>
      <w:r>
        <w:rPr>
          <w:color w:val="231F20"/>
        </w:rPr>
        <w:t>типских, међусобно спојених, префабрикованих контејнерa (гардеробере за раднике, </w:t>
      </w:r>
      <w:r>
        <w:rPr>
          <w:color w:val="231F20"/>
          <w:spacing w:val="-4"/>
        </w:rPr>
        <w:t>неколико </w:t>
      </w:r>
      <w:r>
        <w:rPr>
          <w:color w:val="231F20"/>
        </w:rPr>
        <w:t>контејнера на над- зорно </w:t>
      </w:r>
      <w:r>
        <w:rPr>
          <w:color w:val="231F20"/>
          <w:spacing w:val="-3"/>
        </w:rPr>
        <w:t>техничко </w:t>
      </w:r>
      <w:r>
        <w:rPr>
          <w:color w:val="231F20"/>
        </w:rPr>
        <w:t>особље и ресторан за исхрану радника, контејнери за смештај радника и друго);</w:t>
      </w:r>
    </w:p>
    <w:p>
      <w:pPr>
        <w:pStyle w:val="BodyText"/>
        <w:spacing w:line="228" w:lineRule="auto" w:before="4"/>
        <w:ind w:left="169" w:right="412" w:firstLine="396"/>
      </w:pPr>
      <w:r>
        <w:rPr>
          <w:color w:val="231F20"/>
          <w:w w:val="66"/>
        </w:rPr>
        <w:t> </w:t>
      </w:r>
      <w:r>
        <w:rPr>
          <w:color w:val="231F20"/>
        </w:rPr>
        <w:t>– изградња нове електро-радионице на  монтажном  плацу (у оквиру локације „Руднички круг”) и проширење магацинских простора;</w:t>
      </w:r>
    </w:p>
    <w:p>
      <w:pPr>
        <w:pStyle w:val="BodyText"/>
        <w:spacing w:line="228" w:lineRule="auto" w:before="2"/>
        <w:ind w:left="169" w:right="413" w:firstLine="396"/>
      </w:pPr>
      <w:r>
        <w:rPr>
          <w:color w:val="231F20"/>
          <w:w w:val="66"/>
        </w:rPr>
        <w:t> </w:t>
      </w:r>
      <w:r>
        <w:rPr>
          <w:color w:val="231F20"/>
        </w:rPr>
        <w:t>– изградња дела прве деонице ободне сервисне саобраћајни- це,</w:t>
      </w:r>
      <w:r>
        <w:rPr>
          <w:color w:val="231F20"/>
          <w:spacing w:val="-8"/>
        </w:rPr>
        <w:t> </w:t>
      </w:r>
      <w:r>
        <w:rPr>
          <w:color w:val="231F20"/>
        </w:rPr>
        <w:t>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динамиком</w:t>
      </w:r>
      <w:r>
        <w:rPr>
          <w:color w:val="231F20"/>
          <w:spacing w:val="-8"/>
        </w:rPr>
        <w:t> </w:t>
      </w:r>
      <w:r>
        <w:rPr>
          <w:color w:val="231F20"/>
        </w:rPr>
        <w:t>реализације</w:t>
      </w:r>
      <w:r>
        <w:rPr>
          <w:color w:val="231F20"/>
          <w:spacing w:val="-8"/>
        </w:rPr>
        <w:t> </w:t>
      </w:r>
      <w:r>
        <w:rPr>
          <w:color w:val="231F20"/>
        </w:rPr>
        <w:t>експлоатације</w:t>
      </w:r>
      <w:r>
        <w:rPr>
          <w:color w:val="231F20"/>
          <w:spacing w:val="-8"/>
        </w:rPr>
        <w:t> </w:t>
      </w:r>
      <w:r>
        <w:rPr>
          <w:color w:val="231F20"/>
        </w:rPr>
        <w:t>на</w:t>
      </w:r>
      <w:r>
        <w:rPr>
          <w:color w:val="231F20"/>
          <w:spacing w:val="-8"/>
        </w:rPr>
        <w:t> </w:t>
      </w:r>
      <w:r>
        <w:rPr>
          <w:color w:val="231F20"/>
        </w:rPr>
        <w:t>површин- </w:t>
      </w:r>
      <w:r>
        <w:rPr>
          <w:color w:val="231F20"/>
          <w:spacing w:val="-4"/>
        </w:rPr>
        <w:t>ском</w:t>
      </w:r>
      <w:r>
        <w:rPr>
          <w:color w:val="231F20"/>
        </w:rPr>
        <w:t> </w:t>
      </w:r>
      <w:r>
        <w:rPr>
          <w:color w:val="231F20"/>
          <w:spacing w:val="-3"/>
        </w:rPr>
        <w:t>копу;</w:t>
      </w:r>
    </w:p>
    <w:p>
      <w:pPr>
        <w:pStyle w:val="BodyText"/>
        <w:spacing w:line="228" w:lineRule="auto" w:before="3"/>
        <w:ind w:left="169" w:right="412" w:firstLine="396"/>
      </w:pPr>
      <w:r>
        <w:rPr>
          <w:color w:val="231F20"/>
          <w:w w:val="66"/>
        </w:rPr>
        <w:t> </w:t>
      </w:r>
      <w:r>
        <w:rPr>
          <w:color w:val="231F20"/>
        </w:rPr>
        <w:t>– изградња складишта за привремено складиштење рабље- них уља и мазива непосредно уз локацију „Руднички круг”;</w:t>
      </w:r>
    </w:p>
    <w:p>
      <w:pPr>
        <w:pStyle w:val="BodyText"/>
        <w:spacing w:line="228" w:lineRule="auto" w:before="2"/>
        <w:ind w:left="169" w:right="412" w:firstLine="396"/>
      </w:pPr>
      <w:r>
        <w:rPr>
          <w:color w:val="231F20"/>
          <w:w w:val="66"/>
        </w:rPr>
        <w:t> </w:t>
      </w:r>
      <w:r>
        <w:rPr>
          <w:color w:val="231F20"/>
        </w:rPr>
        <w:t>– изградња складишта за привремено складиштење инду- стријског опасног и неопасног отпада, уз локацију ТС „Рудник 1”;</w:t>
      </w:r>
    </w:p>
    <w:p>
      <w:pPr>
        <w:pStyle w:val="BodyText"/>
        <w:spacing w:line="228" w:lineRule="auto" w:before="1"/>
        <w:ind w:left="169" w:right="413" w:firstLine="396"/>
      </w:pPr>
      <w:r>
        <w:rPr>
          <w:color w:val="231F20"/>
          <w:w w:val="66"/>
        </w:rPr>
        <w:t> </w:t>
      </w:r>
      <w:r>
        <w:rPr>
          <w:color w:val="231F20"/>
        </w:rPr>
        <w:t>– на делу унутрашњег одлагалишта формирање касета депо- није гипса;</w:t>
      </w:r>
    </w:p>
    <w:p>
      <w:pPr>
        <w:pStyle w:val="BodyText"/>
        <w:spacing w:line="195" w:lineRule="exact"/>
        <w:ind w:left="566"/>
        <w:jc w:val="left"/>
      </w:pPr>
      <w:r>
        <w:rPr>
          <w:color w:val="231F20"/>
          <w:w w:val="66"/>
        </w:rPr>
        <w:t> </w:t>
      </w:r>
      <w:r>
        <w:rPr>
          <w:color w:val="231F20"/>
        </w:rPr>
        <w:t>– успостављање пуне функције система за откопавање хумуса;</w:t>
      </w:r>
    </w:p>
    <w:p>
      <w:pPr>
        <w:pStyle w:val="BodyText"/>
        <w:spacing w:line="228" w:lineRule="auto" w:before="4"/>
        <w:ind w:left="169" w:right="413" w:firstLine="396"/>
      </w:pPr>
      <w:r>
        <w:rPr>
          <w:color w:val="231F20"/>
          <w:w w:val="66"/>
        </w:rPr>
        <w:t> </w:t>
      </w:r>
      <w:r>
        <w:rPr>
          <w:color w:val="231F20"/>
        </w:rPr>
        <w:t>– изградња трафо станице „Рудник 3”, 110/6/6 kV, 2x16/8/8 MVA и делова далековода;</w:t>
      </w:r>
    </w:p>
    <w:p>
      <w:pPr>
        <w:pStyle w:val="BodyText"/>
        <w:spacing w:line="228" w:lineRule="auto" w:before="2"/>
        <w:ind w:left="169" w:right="412" w:firstLine="397"/>
      </w:pPr>
      <w:r>
        <w:rPr>
          <w:color w:val="231F20"/>
          <w:w w:val="66"/>
        </w:rPr>
        <w:t> </w:t>
      </w:r>
      <w:r>
        <w:rPr>
          <w:color w:val="231F20"/>
        </w:rPr>
        <w:t>–</w:t>
      </w:r>
      <w:r>
        <w:rPr>
          <w:color w:val="231F20"/>
          <w:spacing w:val="-6"/>
        </w:rPr>
        <w:t> </w:t>
      </w:r>
      <w:r>
        <w:rPr>
          <w:color w:val="231F20"/>
        </w:rPr>
        <w:t>израда</w:t>
      </w:r>
      <w:r>
        <w:rPr>
          <w:color w:val="231F20"/>
          <w:spacing w:val="-6"/>
        </w:rPr>
        <w:t> </w:t>
      </w:r>
      <w:r>
        <w:rPr>
          <w:color w:val="231F20"/>
        </w:rPr>
        <w:t>одређених</w:t>
      </w:r>
      <w:r>
        <w:rPr>
          <w:color w:val="231F20"/>
          <w:spacing w:val="-6"/>
        </w:rPr>
        <w:t> </w:t>
      </w:r>
      <w:r>
        <w:rPr>
          <w:color w:val="231F20"/>
        </w:rPr>
        <w:t>линија</w:t>
      </w:r>
      <w:r>
        <w:rPr>
          <w:color w:val="231F20"/>
          <w:spacing w:val="-6"/>
        </w:rPr>
        <w:t> </w:t>
      </w:r>
      <w:r>
        <w:rPr>
          <w:color w:val="231F20"/>
        </w:rPr>
        <w:t>бунара</w:t>
      </w:r>
      <w:r>
        <w:rPr>
          <w:color w:val="231F20"/>
          <w:spacing w:val="-6"/>
        </w:rPr>
        <w:t> </w:t>
      </w:r>
      <w:r>
        <w:rPr>
          <w:color w:val="231F20"/>
        </w:rPr>
        <w:t>и</w:t>
      </w:r>
      <w:r>
        <w:rPr>
          <w:color w:val="231F20"/>
          <w:spacing w:val="-6"/>
        </w:rPr>
        <w:t> </w:t>
      </w:r>
      <w:r>
        <w:rPr>
          <w:color w:val="231F20"/>
        </w:rPr>
        <w:t>гравитационих</w:t>
      </w:r>
      <w:r>
        <w:rPr>
          <w:color w:val="231F20"/>
          <w:spacing w:val="-6"/>
        </w:rPr>
        <w:t> </w:t>
      </w:r>
      <w:r>
        <w:rPr>
          <w:color w:val="231F20"/>
        </w:rPr>
        <w:t>цевовода лоцираних поред пројектованих баража бунара; етажних и дрена- жних канала, као и водосабирника у радном подручју површин- </w:t>
      </w:r>
      <w:r>
        <w:rPr>
          <w:color w:val="231F20"/>
          <w:spacing w:val="-3"/>
        </w:rPr>
        <w:t>ског копа који </w:t>
      </w:r>
      <w:r>
        <w:rPr>
          <w:color w:val="231F20"/>
        </w:rPr>
        <w:t>ће се померати са напредовањем радова; </w:t>
      </w:r>
      <w:r>
        <w:rPr>
          <w:color w:val="231F20"/>
          <w:spacing w:val="-3"/>
        </w:rPr>
        <w:t>главна </w:t>
      </w:r>
      <w:r>
        <w:rPr>
          <w:color w:val="231F20"/>
        </w:rPr>
        <w:t>пумпна станица се лоцира увек уз </w:t>
      </w:r>
      <w:r>
        <w:rPr>
          <w:color w:val="231F20"/>
          <w:spacing w:val="-3"/>
        </w:rPr>
        <w:t>главни </w:t>
      </w:r>
      <w:r>
        <w:rPr>
          <w:color w:val="231F20"/>
        </w:rPr>
        <w:t>водосабирник и са на- предовањем фронта радова прати померање</w:t>
      </w:r>
      <w:r>
        <w:rPr>
          <w:color w:val="231F20"/>
          <w:spacing w:val="-12"/>
        </w:rPr>
        <w:t> </w:t>
      </w:r>
      <w:r>
        <w:rPr>
          <w:color w:val="231F20"/>
        </w:rPr>
        <w:t>водосабирника;</w:t>
      </w:r>
    </w:p>
    <w:p>
      <w:pPr>
        <w:pStyle w:val="BodyText"/>
        <w:spacing w:line="199" w:lineRule="exact"/>
        <w:ind w:left="566"/>
        <w:jc w:val="left"/>
      </w:pPr>
      <w:r>
        <w:rPr>
          <w:color w:val="231F20"/>
          <w:w w:val="66"/>
        </w:rPr>
        <w:t> </w:t>
      </w:r>
      <w:r>
        <w:rPr>
          <w:color w:val="231F20"/>
        </w:rPr>
        <w:t>– израда прве етапе водонепропусног екрана дужине 1500 m;</w:t>
      </w:r>
    </w:p>
    <w:p>
      <w:pPr>
        <w:pStyle w:val="BodyText"/>
        <w:spacing w:line="228" w:lineRule="auto" w:before="3"/>
        <w:ind w:right="412" w:firstLine="396"/>
      </w:pPr>
      <w:r>
        <w:rPr>
          <w:color w:val="231F20"/>
          <w:w w:val="66"/>
        </w:rPr>
        <w:t> </w:t>
      </w:r>
      <w:r>
        <w:rPr>
          <w:color w:val="231F20"/>
        </w:rPr>
        <w:t>–</w:t>
      </w:r>
      <w:r>
        <w:rPr>
          <w:color w:val="231F20"/>
          <w:spacing w:val="-6"/>
        </w:rPr>
        <w:t> </w:t>
      </w:r>
      <w:r>
        <w:rPr>
          <w:color w:val="231F20"/>
        </w:rPr>
        <w:t>отпочињање</w:t>
      </w:r>
      <w:r>
        <w:rPr>
          <w:color w:val="231F20"/>
          <w:spacing w:val="-6"/>
        </w:rPr>
        <w:t> </w:t>
      </w:r>
      <w:r>
        <w:rPr>
          <w:color w:val="231F20"/>
        </w:rPr>
        <w:t>претходних</w:t>
      </w:r>
      <w:r>
        <w:rPr>
          <w:color w:val="231F20"/>
          <w:spacing w:val="-6"/>
        </w:rPr>
        <w:t> </w:t>
      </w:r>
      <w:r>
        <w:rPr>
          <w:color w:val="231F20"/>
        </w:rPr>
        <w:t>и</w:t>
      </w:r>
      <w:r>
        <w:rPr>
          <w:color w:val="231F20"/>
          <w:spacing w:val="-6"/>
        </w:rPr>
        <w:t> </w:t>
      </w:r>
      <w:r>
        <w:rPr>
          <w:color w:val="231F20"/>
        </w:rPr>
        <w:t>припремних</w:t>
      </w:r>
      <w:r>
        <w:rPr>
          <w:color w:val="231F20"/>
          <w:spacing w:val="-6"/>
        </w:rPr>
        <w:t> </w:t>
      </w:r>
      <w:r>
        <w:rPr>
          <w:color w:val="231F20"/>
        </w:rPr>
        <w:t>радова</w:t>
      </w:r>
      <w:r>
        <w:rPr>
          <w:color w:val="231F20"/>
          <w:spacing w:val="-6"/>
        </w:rPr>
        <w:t> </w:t>
      </w:r>
      <w:r>
        <w:rPr>
          <w:color w:val="231F20"/>
        </w:rPr>
        <w:t>за</w:t>
      </w:r>
      <w:r>
        <w:rPr>
          <w:color w:val="231F20"/>
          <w:spacing w:val="-6"/>
        </w:rPr>
        <w:t> </w:t>
      </w:r>
      <w:r>
        <w:rPr>
          <w:color w:val="231F20"/>
        </w:rPr>
        <w:t>измешта- ње корита Дунавца и, евентуално, црпне</w:t>
      </w:r>
      <w:r>
        <w:rPr>
          <w:color w:val="231F20"/>
          <w:spacing w:val="-11"/>
        </w:rPr>
        <w:t> </w:t>
      </w:r>
      <w:r>
        <w:rPr>
          <w:color w:val="231F20"/>
        </w:rPr>
        <w:t>станице;</w:t>
      </w:r>
    </w:p>
    <w:p>
      <w:pPr>
        <w:pStyle w:val="BodyText"/>
        <w:spacing w:line="228" w:lineRule="auto" w:before="2"/>
        <w:ind w:right="412" w:firstLine="396"/>
      </w:pPr>
      <w:r>
        <w:rPr>
          <w:color w:val="231F20"/>
          <w:w w:val="66"/>
        </w:rPr>
        <w:t> </w:t>
      </w:r>
      <w:r>
        <w:rPr>
          <w:color w:val="231F20"/>
        </w:rPr>
        <w:t>–</w:t>
      </w:r>
      <w:r>
        <w:rPr>
          <w:color w:val="231F20"/>
          <w:spacing w:val="-10"/>
        </w:rPr>
        <w:t> </w:t>
      </w:r>
      <w:r>
        <w:rPr>
          <w:color w:val="231F20"/>
          <w:spacing w:val="-4"/>
        </w:rPr>
        <w:t>комплетирање</w:t>
      </w:r>
      <w:r>
        <w:rPr>
          <w:color w:val="231F20"/>
          <w:spacing w:val="-10"/>
        </w:rPr>
        <w:t> </w:t>
      </w:r>
      <w:r>
        <w:rPr>
          <w:color w:val="231F20"/>
          <w:spacing w:val="-3"/>
        </w:rPr>
        <w:t>прве</w:t>
      </w:r>
      <w:r>
        <w:rPr>
          <w:color w:val="231F20"/>
          <w:spacing w:val="-10"/>
        </w:rPr>
        <w:t> </w:t>
      </w:r>
      <w:r>
        <w:rPr>
          <w:color w:val="231F20"/>
          <w:spacing w:val="-3"/>
        </w:rPr>
        <w:t>етапе</w:t>
      </w:r>
      <w:r>
        <w:rPr>
          <w:color w:val="231F20"/>
          <w:spacing w:val="-10"/>
        </w:rPr>
        <w:t> </w:t>
      </w:r>
      <w:r>
        <w:rPr>
          <w:color w:val="231F20"/>
          <w:spacing w:val="-3"/>
        </w:rPr>
        <w:t>изградње,</w:t>
      </w:r>
      <w:r>
        <w:rPr>
          <w:color w:val="231F20"/>
          <w:spacing w:val="-10"/>
        </w:rPr>
        <w:t> </w:t>
      </w:r>
      <w:r>
        <w:rPr>
          <w:color w:val="231F20"/>
          <w:spacing w:val="-3"/>
        </w:rPr>
        <w:t>дужине</w:t>
      </w:r>
      <w:r>
        <w:rPr>
          <w:color w:val="231F20"/>
          <w:spacing w:val="-10"/>
        </w:rPr>
        <w:t> </w:t>
      </w:r>
      <w:r>
        <w:rPr>
          <w:color w:val="231F20"/>
          <w:spacing w:val="-5"/>
        </w:rPr>
        <w:t>око</w:t>
      </w:r>
      <w:r>
        <w:rPr>
          <w:color w:val="231F20"/>
          <w:spacing w:val="-10"/>
        </w:rPr>
        <w:t> </w:t>
      </w:r>
      <w:r>
        <w:rPr>
          <w:color w:val="231F20"/>
        </w:rPr>
        <w:t>6,5</w:t>
      </w:r>
      <w:r>
        <w:rPr>
          <w:color w:val="231F20"/>
          <w:spacing w:val="-10"/>
        </w:rPr>
        <w:t> </w:t>
      </w:r>
      <w:r>
        <w:rPr>
          <w:color w:val="231F20"/>
        </w:rPr>
        <w:t>km,</w:t>
      </w:r>
      <w:r>
        <w:rPr>
          <w:color w:val="231F20"/>
          <w:spacing w:val="-10"/>
        </w:rPr>
        <w:t> </w:t>
      </w:r>
      <w:r>
        <w:rPr>
          <w:color w:val="231F20"/>
          <w:spacing w:val="-4"/>
        </w:rPr>
        <w:t>обод- </w:t>
      </w:r>
      <w:r>
        <w:rPr>
          <w:color w:val="231F20"/>
        </w:rPr>
        <w:t>не</w:t>
      </w:r>
      <w:r>
        <w:rPr>
          <w:color w:val="231F20"/>
          <w:spacing w:val="-8"/>
        </w:rPr>
        <w:t> </w:t>
      </w:r>
      <w:r>
        <w:rPr>
          <w:color w:val="231F20"/>
          <w:spacing w:val="-3"/>
        </w:rPr>
        <w:t>сервисне</w:t>
      </w:r>
      <w:r>
        <w:rPr>
          <w:color w:val="231F20"/>
          <w:spacing w:val="-8"/>
        </w:rPr>
        <w:t> </w:t>
      </w:r>
      <w:r>
        <w:rPr>
          <w:color w:val="231F20"/>
          <w:spacing w:val="-3"/>
        </w:rPr>
        <w:t>саобраћајнице</w:t>
      </w:r>
      <w:r>
        <w:rPr>
          <w:color w:val="231F20"/>
          <w:spacing w:val="-8"/>
        </w:rPr>
        <w:t> </w:t>
      </w:r>
      <w:r>
        <w:rPr>
          <w:color w:val="231F20"/>
        </w:rPr>
        <w:t>за</w:t>
      </w:r>
      <w:r>
        <w:rPr>
          <w:color w:val="231F20"/>
          <w:spacing w:val="-8"/>
        </w:rPr>
        <w:t> </w:t>
      </w:r>
      <w:r>
        <w:rPr>
          <w:color w:val="231F20"/>
          <w:spacing w:val="-3"/>
        </w:rPr>
        <w:t>планирану</w:t>
      </w:r>
      <w:r>
        <w:rPr>
          <w:color w:val="231F20"/>
          <w:spacing w:val="-8"/>
        </w:rPr>
        <w:t> </w:t>
      </w:r>
      <w:r>
        <w:rPr>
          <w:color w:val="231F20"/>
          <w:spacing w:val="-4"/>
        </w:rPr>
        <w:t>експлоатацију</w:t>
      </w:r>
      <w:r>
        <w:rPr>
          <w:color w:val="231F20"/>
          <w:spacing w:val="-8"/>
        </w:rPr>
        <w:t> </w:t>
      </w:r>
      <w:r>
        <w:rPr>
          <w:color w:val="231F20"/>
          <w:spacing w:val="-5"/>
        </w:rPr>
        <w:t>копа</w:t>
      </w:r>
      <w:r>
        <w:rPr>
          <w:color w:val="231F20"/>
          <w:spacing w:val="-8"/>
        </w:rPr>
        <w:t> </w:t>
      </w:r>
      <w:r>
        <w:rPr>
          <w:color w:val="231F20"/>
        </w:rPr>
        <w:t>до</w:t>
      </w:r>
      <w:r>
        <w:rPr>
          <w:color w:val="231F20"/>
          <w:spacing w:val="-8"/>
        </w:rPr>
        <w:t> </w:t>
      </w:r>
      <w:r>
        <w:rPr>
          <w:color w:val="231F20"/>
          <w:spacing w:val="-3"/>
        </w:rPr>
        <w:t>2017. </w:t>
      </w:r>
      <w:r>
        <w:rPr>
          <w:color w:val="231F20"/>
          <w:spacing w:val="-5"/>
        </w:rPr>
        <w:t>године </w:t>
      </w:r>
      <w:r>
        <w:rPr>
          <w:color w:val="231F20"/>
        </w:rPr>
        <w:t>и </w:t>
      </w:r>
      <w:r>
        <w:rPr>
          <w:color w:val="231F20"/>
          <w:spacing w:val="-4"/>
        </w:rPr>
        <w:t>отпочињање </w:t>
      </w:r>
      <w:r>
        <w:rPr>
          <w:color w:val="231F20"/>
          <w:spacing w:val="-3"/>
        </w:rPr>
        <w:t>даљег наставка изградње </w:t>
      </w:r>
      <w:r>
        <w:rPr>
          <w:color w:val="231F20"/>
          <w:spacing w:val="-4"/>
        </w:rPr>
        <w:t>(источна</w:t>
      </w:r>
      <w:r>
        <w:rPr>
          <w:color w:val="231F20"/>
          <w:spacing w:val="-15"/>
        </w:rPr>
        <w:t> </w:t>
      </w:r>
      <w:r>
        <w:rPr>
          <w:color w:val="231F20"/>
          <w:spacing w:val="-3"/>
        </w:rPr>
        <w:t>веза);</w:t>
      </w:r>
    </w:p>
    <w:p>
      <w:pPr>
        <w:pStyle w:val="BodyText"/>
        <w:spacing w:line="228" w:lineRule="auto" w:before="2"/>
        <w:ind w:left="169" w:right="411" w:firstLine="397"/>
      </w:pPr>
      <w:r>
        <w:rPr>
          <w:color w:val="231F20"/>
          <w:w w:val="66"/>
        </w:rPr>
        <w:t> </w:t>
      </w:r>
      <w:r>
        <w:rPr>
          <w:color w:val="231F20"/>
        </w:rPr>
        <w:t>– обезбеђење свих потребних техничких и технолошких еле- мената за постизање експлоатационог капацитета ПК „Дрмно” од 12×10</w:t>
      </w:r>
      <w:r>
        <w:rPr>
          <w:color w:val="231F20"/>
          <w:position w:val="6"/>
          <w:sz w:val="10"/>
        </w:rPr>
        <w:t>6 </w:t>
      </w:r>
      <w:r>
        <w:rPr>
          <w:color w:val="231F20"/>
        </w:rPr>
        <w:t>тона угља годишње, као предуслов за успостављање функ- ционисања новог блока Б3 и</w:t>
      </w:r>
    </w:p>
    <w:p>
      <w:pPr>
        <w:pStyle w:val="BodyText"/>
        <w:spacing w:line="228" w:lineRule="auto"/>
        <w:ind w:right="412" w:firstLine="396"/>
      </w:pPr>
      <w:r>
        <w:rPr>
          <w:color w:val="231F20"/>
          <w:w w:val="66"/>
        </w:rPr>
        <w:t> </w:t>
      </w:r>
      <w:r>
        <w:rPr>
          <w:color w:val="231F20"/>
        </w:rPr>
        <w:t>– припрема и уређење, у оквиру унутрашњег одлагалишта </w:t>
      </w:r>
      <w:r>
        <w:rPr>
          <w:color w:val="231F20"/>
          <w:spacing w:val="-3"/>
        </w:rPr>
        <w:t>копа, </w:t>
      </w:r>
      <w:r>
        <w:rPr>
          <w:color w:val="231F20"/>
        </w:rPr>
        <w:t>потребних депонијских простора за одлагање пепела, шљаке и гипса као отпадних продуката рада новог блока, као и коридора за њихов транспорт и друго.</w:t>
      </w:r>
    </w:p>
    <w:p>
      <w:pPr>
        <w:pStyle w:val="ListParagraph"/>
        <w:numPr>
          <w:ilvl w:val="1"/>
          <w:numId w:val="54"/>
        </w:numPr>
        <w:tabs>
          <w:tab w:pos="1128" w:val="left" w:leader="none"/>
        </w:tabs>
        <w:spacing w:line="240" w:lineRule="auto" w:before="165" w:after="0"/>
        <w:ind w:left="1127" w:right="0" w:hanging="315"/>
        <w:jc w:val="left"/>
        <w:rPr>
          <w:i/>
          <w:sz w:val="18"/>
        </w:rPr>
      </w:pPr>
      <w:r>
        <w:rPr>
          <w:i/>
          <w:color w:val="231F20"/>
          <w:sz w:val="18"/>
        </w:rPr>
        <w:t>Смернице за спровођење планског</w:t>
      </w:r>
      <w:r>
        <w:rPr>
          <w:i/>
          <w:color w:val="231F20"/>
          <w:spacing w:val="-3"/>
          <w:sz w:val="18"/>
        </w:rPr>
        <w:t> </w:t>
      </w:r>
      <w:r>
        <w:rPr>
          <w:i/>
          <w:color w:val="231F20"/>
          <w:sz w:val="18"/>
        </w:rPr>
        <w:t>документа</w:t>
      </w:r>
    </w:p>
    <w:p>
      <w:pPr>
        <w:pStyle w:val="BodyText"/>
        <w:ind w:left="0"/>
        <w:jc w:val="left"/>
        <w:rPr>
          <w:i/>
          <w:sz w:val="17"/>
        </w:rPr>
      </w:pPr>
    </w:p>
    <w:p>
      <w:pPr>
        <w:pStyle w:val="BodyText"/>
        <w:spacing w:line="228" w:lineRule="auto"/>
        <w:ind w:right="411" w:firstLine="396"/>
      </w:pPr>
      <w:r>
        <w:rPr>
          <w:color w:val="231F20"/>
        </w:rPr>
        <w:t>Планска решења, смернице и препоруке, као и правила из- градње и правила уређења простора за просторну целину, спро- воде се непосредно, приликом издавања информације о локацији, као извод из планске документације за потребе формирања захте- ва за утврђивање јавног интереса и даљу разраду у посебним де- ловима рударске техничке документације.</w:t>
      </w:r>
    </w:p>
    <w:p>
      <w:pPr>
        <w:pStyle w:val="BodyText"/>
        <w:spacing w:line="228" w:lineRule="auto" w:before="5"/>
        <w:ind w:right="411" w:firstLine="397"/>
      </w:pPr>
      <w:r>
        <w:rPr>
          <w:color w:val="231F20"/>
        </w:rPr>
        <w:t>На површинама у просторној целини „Површински </w:t>
      </w:r>
      <w:r>
        <w:rPr>
          <w:color w:val="231F20"/>
          <w:spacing w:val="-4"/>
        </w:rPr>
        <w:t>коп </w:t>
      </w:r>
      <w:r>
        <w:rPr>
          <w:color w:val="231F20"/>
        </w:rPr>
        <w:t>до 2022. године” мења се постојећа катастарска парцелација ради формирања нових парцела на јавном земљишту у складу са успо- стављеним режимом коришћења, променом намене и катастарске културе. Нове катастарске парцеле се формирају према</w:t>
      </w:r>
      <w:r>
        <w:rPr>
          <w:color w:val="231F20"/>
          <w:spacing w:val="-31"/>
        </w:rPr>
        <w:t> </w:t>
      </w:r>
      <w:r>
        <w:rPr>
          <w:color w:val="231F20"/>
        </w:rPr>
        <w:t>утврђеним правилима и уводе у евиденцију непокретности на основу валид- ног</w:t>
      </w:r>
      <w:r>
        <w:rPr>
          <w:color w:val="231F20"/>
          <w:spacing w:val="-5"/>
        </w:rPr>
        <w:t> </w:t>
      </w:r>
      <w:r>
        <w:rPr>
          <w:color w:val="231F20"/>
        </w:rPr>
        <w:t>и</w:t>
      </w:r>
      <w:r>
        <w:rPr>
          <w:color w:val="231F20"/>
          <w:spacing w:val="-5"/>
        </w:rPr>
        <w:t> </w:t>
      </w:r>
      <w:r>
        <w:rPr>
          <w:color w:val="231F20"/>
        </w:rPr>
        <w:t>ажурираног</w:t>
      </w:r>
      <w:r>
        <w:rPr>
          <w:color w:val="231F20"/>
          <w:spacing w:val="-5"/>
        </w:rPr>
        <w:t> </w:t>
      </w:r>
      <w:r>
        <w:rPr>
          <w:color w:val="231F20"/>
        </w:rPr>
        <w:t>катастарског</w:t>
      </w:r>
      <w:r>
        <w:rPr>
          <w:color w:val="231F20"/>
          <w:spacing w:val="-5"/>
        </w:rPr>
        <w:t> </w:t>
      </w:r>
      <w:r>
        <w:rPr>
          <w:color w:val="231F20"/>
        </w:rPr>
        <w:t>плана</w:t>
      </w:r>
      <w:r>
        <w:rPr>
          <w:color w:val="231F20"/>
          <w:spacing w:val="-5"/>
        </w:rPr>
        <w:t> </w:t>
      </w:r>
      <w:r>
        <w:rPr>
          <w:color w:val="231F20"/>
        </w:rPr>
        <w:t>и</w:t>
      </w:r>
      <w:r>
        <w:rPr>
          <w:color w:val="231F20"/>
          <w:spacing w:val="-5"/>
        </w:rPr>
        <w:t> </w:t>
      </w:r>
      <w:r>
        <w:rPr>
          <w:color w:val="231F20"/>
        </w:rPr>
        <w:t>пројекта</w:t>
      </w:r>
      <w:r>
        <w:rPr>
          <w:color w:val="231F20"/>
          <w:spacing w:val="-5"/>
        </w:rPr>
        <w:t> </w:t>
      </w:r>
      <w:r>
        <w:rPr>
          <w:color w:val="231F20"/>
        </w:rPr>
        <w:t>геодетског</w:t>
      </w:r>
      <w:r>
        <w:rPr>
          <w:color w:val="231F20"/>
          <w:spacing w:val="-5"/>
        </w:rPr>
        <w:t> </w:t>
      </w:r>
      <w:r>
        <w:rPr>
          <w:color w:val="231F20"/>
        </w:rPr>
        <w:t>обеле- жавања, а према овереном пројекту</w:t>
      </w:r>
      <w:r>
        <w:rPr>
          <w:color w:val="231F20"/>
          <w:spacing w:val="-6"/>
        </w:rPr>
        <w:t> </w:t>
      </w:r>
      <w:r>
        <w:rPr>
          <w:color w:val="231F20"/>
        </w:rPr>
        <w:t>парцелације.</w:t>
      </w:r>
    </w:p>
    <w:p>
      <w:pPr>
        <w:pStyle w:val="BodyText"/>
        <w:spacing w:line="228" w:lineRule="auto" w:before="7"/>
        <w:ind w:right="411" w:firstLine="396"/>
      </w:pPr>
      <w:r>
        <w:rPr>
          <w:color w:val="231F20"/>
        </w:rPr>
        <w:t>Изменама и допунама Просторног плана утврдиће се прави- ла изградње и правила уређења простора за подручје у приобаљу Дунава,</w:t>
      </w:r>
      <w:r>
        <w:rPr>
          <w:color w:val="231F20"/>
          <w:spacing w:val="-8"/>
        </w:rPr>
        <w:t> </w:t>
      </w:r>
      <w:r>
        <w:rPr>
          <w:color w:val="231F20"/>
        </w:rPr>
        <w:t>у</w:t>
      </w:r>
      <w:r>
        <w:rPr>
          <w:color w:val="231F20"/>
          <w:spacing w:val="-8"/>
        </w:rPr>
        <w:t> </w:t>
      </w:r>
      <w:r>
        <w:rPr>
          <w:color w:val="231F20"/>
        </w:rPr>
        <w:t>циљу</w:t>
      </w:r>
      <w:r>
        <w:rPr>
          <w:color w:val="231F20"/>
          <w:spacing w:val="-8"/>
        </w:rPr>
        <w:t> </w:t>
      </w:r>
      <w:r>
        <w:rPr>
          <w:color w:val="231F20"/>
        </w:rPr>
        <w:t>усаглашавања</w:t>
      </w:r>
      <w:r>
        <w:rPr>
          <w:color w:val="231F20"/>
          <w:spacing w:val="-8"/>
        </w:rPr>
        <w:t> </w:t>
      </w:r>
      <w:r>
        <w:rPr>
          <w:color w:val="231F20"/>
        </w:rPr>
        <w:t>просторно-планских</w:t>
      </w:r>
      <w:r>
        <w:rPr>
          <w:color w:val="231F20"/>
          <w:spacing w:val="-8"/>
        </w:rPr>
        <w:t> </w:t>
      </w:r>
      <w:r>
        <w:rPr>
          <w:color w:val="231F20"/>
        </w:rPr>
        <w:t>мера</w:t>
      </w:r>
      <w:r>
        <w:rPr>
          <w:color w:val="231F20"/>
          <w:spacing w:val="-8"/>
        </w:rPr>
        <w:t> </w:t>
      </w:r>
      <w:r>
        <w:rPr>
          <w:color w:val="231F20"/>
        </w:rPr>
        <w:t>и</w:t>
      </w:r>
      <w:r>
        <w:rPr>
          <w:color w:val="231F20"/>
          <w:spacing w:val="-8"/>
        </w:rPr>
        <w:t> </w:t>
      </w:r>
      <w:r>
        <w:rPr>
          <w:color w:val="231F20"/>
        </w:rPr>
        <w:t>технич- ких решења за важне водне и саобраћајне објекте и успостављање </w:t>
      </w:r>
      <w:r>
        <w:rPr>
          <w:color w:val="231F20"/>
          <w:spacing w:val="-3"/>
        </w:rPr>
        <w:t>коначне </w:t>
      </w:r>
      <w:r>
        <w:rPr>
          <w:color w:val="231F20"/>
        </w:rPr>
        <w:t>регулације рударских и других јавних површина и објека- та у вези</w:t>
      </w:r>
      <w:r>
        <w:rPr>
          <w:color w:val="231F20"/>
          <w:spacing w:val="-1"/>
        </w:rPr>
        <w:t> </w:t>
      </w:r>
      <w:r>
        <w:rPr>
          <w:color w:val="231F20"/>
        </w:rPr>
        <w:t>са:</w:t>
      </w:r>
    </w:p>
    <w:p>
      <w:pPr>
        <w:pStyle w:val="BodyText"/>
        <w:spacing w:line="228" w:lineRule="auto" w:before="5"/>
        <w:ind w:right="411" w:firstLine="396"/>
      </w:pPr>
      <w:r>
        <w:rPr>
          <w:color w:val="231F20"/>
          <w:w w:val="66"/>
        </w:rPr>
        <w:t> </w:t>
      </w:r>
      <w:r>
        <w:rPr>
          <w:color w:val="231F20"/>
        </w:rPr>
        <w:t>– потребом реконструкције, дограђивања или допуне Систе- ма</w:t>
      </w:r>
      <w:r>
        <w:rPr>
          <w:color w:val="231F20"/>
          <w:spacing w:val="-9"/>
        </w:rPr>
        <w:t> </w:t>
      </w:r>
      <w:r>
        <w:rPr>
          <w:color w:val="231F20"/>
        </w:rPr>
        <w:t>заштите</w:t>
      </w:r>
      <w:r>
        <w:rPr>
          <w:color w:val="231F20"/>
          <w:spacing w:val="-9"/>
        </w:rPr>
        <w:t> </w:t>
      </w:r>
      <w:r>
        <w:rPr>
          <w:color w:val="231F20"/>
        </w:rPr>
        <w:t>приобаља</w:t>
      </w:r>
      <w:r>
        <w:rPr>
          <w:color w:val="231F20"/>
          <w:spacing w:val="-9"/>
        </w:rPr>
        <w:t> </w:t>
      </w:r>
      <w:r>
        <w:rPr>
          <w:color w:val="231F20"/>
        </w:rPr>
        <w:t>и</w:t>
      </w:r>
      <w:r>
        <w:rPr>
          <w:color w:val="231F20"/>
          <w:spacing w:val="-9"/>
        </w:rPr>
        <w:t> </w:t>
      </w:r>
      <w:r>
        <w:rPr>
          <w:color w:val="231F20"/>
        </w:rPr>
        <w:t>отклањања</w:t>
      </w:r>
      <w:r>
        <w:rPr>
          <w:color w:val="231F20"/>
          <w:spacing w:val="-9"/>
        </w:rPr>
        <w:t> </w:t>
      </w:r>
      <w:r>
        <w:rPr>
          <w:color w:val="231F20"/>
        </w:rPr>
        <w:t>негативног</w:t>
      </w:r>
      <w:r>
        <w:rPr>
          <w:color w:val="231F20"/>
          <w:spacing w:val="-9"/>
        </w:rPr>
        <w:t> </w:t>
      </w:r>
      <w:r>
        <w:rPr>
          <w:color w:val="231F20"/>
        </w:rPr>
        <w:t>утицаја</w:t>
      </w:r>
      <w:r>
        <w:rPr>
          <w:color w:val="231F20"/>
          <w:spacing w:val="-9"/>
        </w:rPr>
        <w:t> </w:t>
      </w:r>
      <w:r>
        <w:rPr>
          <w:color w:val="231F20"/>
        </w:rPr>
        <w:t>акумулаци- оног језера ХЕ</w:t>
      </w:r>
      <w:r>
        <w:rPr>
          <w:color w:val="231F20"/>
          <w:spacing w:val="-3"/>
        </w:rPr>
        <w:t> „Ђердап”;</w:t>
      </w:r>
    </w:p>
    <w:p>
      <w:pPr>
        <w:pStyle w:val="BodyText"/>
        <w:spacing w:line="228" w:lineRule="auto" w:before="2"/>
        <w:ind w:right="411" w:firstLine="396"/>
      </w:pPr>
      <w:r>
        <w:rPr>
          <w:color w:val="231F20"/>
          <w:w w:val="66"/>
        </w:rPr>
        <w:t> </w:t>
      </w:r>
      <w:r>
        <w:rPr>
          <w:color w:val="231F20"/>
        </w:rPr>
        <w:t>– изградњом деонице новог саобраћајног коридора на десној обали</w:t>
      </w:r>
      <w:r>
        <w:rPr>
          <w:color w:val="231F20"/>
          <w:spacing w:val="-7"/>
        </w:rPr>
        <w:t> </w:t>
      </w:r>
      <w:r>
        <w:rPr>
          <w:color w:val="231F20"/>
        </w:rPr>
        <w:t>Дунава</w:t>
      </w:r>
      <w:r>
        <w:rPr>
          <w:color w:val="231F20"/>
          <w:spacing w:val="-7"/>
        </w:rPr>
        <w:t> </w:t>
      </w:r>
      <w:r>
        <w:rPr>
          <w:color w:val="231F20"/>
          <w:spacing w:val="-3"/>
        </w:rPr>
        <w:t>од</w:t>
      </w:r>
      <w:r>
        <w:rPr>
          <w:color w:val="231F20"/>
          <w:spacing w:val="-7"/>
        </w:rPr>
        <w:t> </w:t>
      </w:r>
      <w:r>
        <w:rPr>
          <w:color w:val="231F20"/>
        </w:rPr>
        <w:t>Шалинца</w:t>
      </w:r>
      <w:r>
        <w:rPr>
          <w:color w:val="231F20"/>
          <w:spacing w:val="-7"/>
        </w:rPr>
        <w:t> </w:t>
      </w:r>
      <w:r>
        <w:rPr>
          <w:color w:val="231F20"/>
        </w:rPr>
        <w:t>(град</w:t>
      </w:r>
      <w:r>
        <w:rPr>
          <w:color w:val="231F20"/>
          <w:spacing w:val="-7"/>
        </w:rPr>
        <w:t> </w:t>
      </w:r>
      <w:r>
        <w:rPr>
          <w:color w:val="231F20"/>
        </w:rPr>
        <w:t>Смедерево)</w:t>
      </w:r>
      <w:r>
        <w:rPr>
          <w:color w:val="231F20"/>
          <w:spacing w:val="-7"/>
        </w:rPr>
        <w:t> </w:t>
      </w:r>
      <w:r>
        <w:rPr>
          <w:color w:val="231F20"/>
        </w:rPr>
        <w:t>до</w:t>
      </w:r>
      <w:r>
        <w:rPr>
          <w:color w:val="231F20"/>
          <w:spacing w:val="-7"/>
        </w:rPr>
        <w:t> </w:t>
      </w:r>
      <w:r>
        <w:rPr>
          <w:color w:val="231F20"/>
        </w:rPr>
        <w:t>Рама</w:t>
      </w:r>
      <w:r>
        <w:rPr>
          <w:color w:val="231F20"/>
          <w:spacing w:val="-7"/>
        </w:rPr>
        <w:t> </w:t>
      </w:r>
      <w:r>
        <w:rPr>
          <w:color w:val="231F20"/>
        </w:rPr>
        <w:t>(општина</w:t>
      </w:r>
      <w:r>
        <w:rPr>
          <w:color w:val="231F20"/>
          <w:spacing w:val="-7"/>
        </w:rPr>
        <w:t> </w:t>
      </w:r>
      <w:r>
        <w:rPr>
          <w:color w:val="231F20"/>
        </w:rPr>
        <w:t>Ве- </w:t>
      </w:r>
      <w:r>
        <w:rPr>
          <w:color w:val="231F20"/>
          <w:spacing w:val="-3"/>
        </w:rPr>
        <w:t>лико </w:t>
      </w:r>
      <w:r>
        <w:rPr>
          <w:color w:val="231F20"/>
        </w:rPr>
        <w:t>Градиште) чиме би се повезала насеља и добио јединствен коридор дуж десне обале Дунава </w:t>
      </w:r>
      <w:r>
        <w:rPr>
          <w:color w:val="231F20"/>
          <w:spacing w:val="-3"/>
        </w:rPr>
        <w:t>од </w:t>
      </w:r>
      <w:r>
        <w:rPr>
          <w:color w:val="231F20"/>
        </w:rPr>
        <w:t>Београда до Неготина</w:t>
      </w:r>
      <w:r>
        <w:rPr>
          <w:color w:val="231F20"/>
          <w:spacing w:val="-13"/>
        </w:rPr>
        <w:t> </w:t>
      </w:r>
      <w:r>
        <w:rPr>
          <w:color w:val="231F20"/>
        </w:rPr>
        <w:t>и</w:t>
      </w:r>
    </w:p>
    <w:p>
      <w:pPr>
        <w:pStyle w:val="BodyText"/>
        <w:spacing w:line="232" w:lineRule="auto" w:before="4"/>
        <w:ind w:right="412" w:firstLine="397"/>
      </w:pPr>
      <w:r>
        <w:rPr>
          <w:color w:val="231F20"/>
          <w:w w:val="66"/>
        </w:rPr>
        <w:t> </w:t>
      </w:r>
      <w:r>
        <w:rPr>
          <w:color w:val="231F20"/>
        </w:rPr>
        <w:t>– развојем излетничког, рекреативног и туристичког кори- шћења подручја (веза са основном трасом транс-европске бици- клистичке руте, Археолошки парк „Виминацијум” и друго) .</w:t>
      </w:r>
    </w:p>
    <w:p>
      <w:pPr>
        <w:spacing w:after="0" w:line="232" w:lineRule="auto"/>
        <w:sectPr>
          <w:pgSz w:w="12480" w:h="15690"/>
          <w:pgMar w:top="120" w:bottom="280" w:left="680" w:right="720"/>
          <w:cols w:num="2" w:equalWidth="0">
            <w:col w:w="5314" w:space="72"/>
            <w:col w:w="5694"/>
          </w:cols>
        </w:sectPr>
      </w:pPr>
    </w:p>
    <w:p>
      <w:pPr>
        <w:pStyle w:val="Heading1"/>
        <w:numPr>
          <w:ilvl w:val="1"/>
          <w:numId w:val="52"/>
        </w:numPr>
        <w:tabs>
          <w:tab w:pos="1043" w:val="left" w:leader="none"/>
        </w:tabs>
        <w:spacing w:line="235" w:lineRule="auto" w:before="68" w:after="0"/>
        <w:ind w:left="1755" w:right="407" w:hanging="893"/>
        <w:jc w:val="left"/>
      </w:pPr>
      <w:r>
        <w:rPr/>
        <w:pict>
          <v:line style="position:absolute;mso-position-horizontal-relative:page;mso-position-vertical-relative:page;z-index:3904" from="318.897614pt,11.942451pt" to="318.897614pt,748.950451pt" stroked="true" strokeweight=".6pt" strokecolor="#231f20">
            <v:stroke dashstyle="solid"/>
            <w10:wrap type="none"/>
          </v:line>
        </w:pict>
      </w:r>
      <w:r>
        <w:rPr>
          <w:color w:val="231F20"/>
        </w:rPr>
        <w:t>Коридор трачног транспорта за угаљ ПК</w:t>
      </w:r>
      <w:r>
        <w:rPr>
          <w:color w:val="231F20"/>
          <w:spacing w:val="-29"/>
        </w:rPr>
        <w:t> </w:t>
      </w:r>
      <w:r>
        <w:rPr>
          <w:color w:val="231F20"/>
        </w:rPr>
        <w:t>„Дрмно” Термоелектрана „Костолац</w:t>
      </w:r>
      <w:r>
        <w:rPr>
          <w:color w:val="231F20"/>
          <w:spacing w:val="-5"/>
        </w:rPr>
        <w:t> </w:t>
      </w:r>
      <w:r>
        <w:rPr>
          <w:color w:val="231F20"/>
        </w:rPr>
        <w:t>А”</w:t>
      </w:r>
    </w:p>
    <w:p>
      <w:pPr>
        <w:pStyle w:val="ListParagraph"/>
        <w:numPr>
          <w:ilvl w:val="2"/>
          <w:numId w:val="52"/>
        </w:numPr>
        <w:tabs>
          <w:tab w:pos="2514" w:val="left" w:leader="none"/>
        </w:tabs>
        <w:spacing w:line="240" w:lineRule="auto" w:before="165" w:after="0"/>
        <w:ind w:left="2513"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5"/>
        <w:ind w:left="0"/>
        <w:jc w:val="left"/>
        <w:rPr>
          <w:i/>
          <w:sz w:val="17"/>
        </w:rPr>
      </w:pPr>
    </w:p>
    <w:p>
      <w:pPr>
        <w:pStyle w:val="BodyText"/>
        <w:spacing w:line="235" w:lineRule="auto"/>
        <w:ind w:left="453" w:firstLine="397"/>
      </w:pPr>
      <w:r>
        <w:rPr>
          <w:color w:val="231F20"/>
        </w:rPr>
        <w:t>Основном</w:t>
      </w:r>
      <w:r>
        <w:rPr>
          <w:color w:val="231F20"/>
          <w:spacing w:val="-12"/>
        </w:rPr>
        <w:t> </w:t>
      </w:r>
      <w:r>
        <w:rPr>
          <w:color w:val="231F20"/>
          <w:spacing w:val="-3"/>
        </w:rPr>
        <w:t>концепцијом</w:t>
      </w:r>
      <w:r>
        <w:rPr>
          <w:color w:val="231F20"/>
          <w:spacing w:val="-12"/>
        </w:rPr>
        <w:t> </w:t>
      </w:r>
      <w:r>
        <w:rPr>
          <w:color w:val="231F20"/>
        </w:rPr>
        <w:t>експлоатације</w:t>
      </w:r>
      <w:r>
        <w:rPr>
          <w:color w:val="231F20"/>
          <w:spacing w:val="-12"/>
        </w:rPr>
        <w:t> </w:t>
      </w:r>
      <w:r>
        <w:rPr>
          <w:color w:val="231F20"/>
        </w:rPr>
        <w:t>угља</w:t>
      </w:r>
      <w:r>
        <w:rPr>
          <w:color w:val="231F20"/>
          <w:spacing w:val="-12"/>
        </w:rPr>
        <w:t> </w:t>
      </w:r>
      <w:r>
        <w:rPr>
          <w:color w:val="231F20"/>
        </w:rPr>
        <w:t>у</w:t>
      </w:r>
      <w:r>
        <w:rPr>
          <w:color w:val="231F20"/>
          <w:spacing w:val="-12"/>
        </w:rPr>
        <w:t> </w:t>
      </w:r>
      <w:r>
        <w:rPr>
          <w:color w:val="231F20"/>
          <w:spacing w:val="-4"/>
        </w:rPr>
        <w:t>Костолачком</w:t>
      </w:r>
      <w:r>
        <w:rPr>
          <w:color w:val="231F20"/>
          <w:spacing w:val="-12"/>
        </w:rPr>
        <w:t> </w:t>
      </w:r>
      <w:r>
        <w:rPr>
          <w:color w:val="231F20"/>
        </w:rPr>
        <w:t>ба- сену предвиђено је да се у наредном периоду снабдевање потреб- ним </w:t>
      </w:r>
      <w:r>
        <w:rPr>
          <w:color w:val="231F20"/>
          <w:spacing w:val="-3"/>
        </w:rPr>
        <w:t>количинама </w:t>
      </w:r>
      <w:r>
        <w:rPr>
          <w:color w:val="231F20"/>
        </w:rPr>
        <w:t>угља, обезбеди из површинског </w:t>
      </w:r>
      <w:r>
        <w:rPr>
          <w:color w:val="231F20"/>
          <w:spacing w:val="-4"/>
        </w:rPr>
        <w:t>копа</w:t>
      </w:r>
      <w:r>
        <w:rPr>
          <w:color w:val="231F20"/>
          <w:spacing w:val="-33"/>
        </w:rPr>
        <w:t> </w:t>
      </w:r>
      <w:r>
        <w:rPr>
          <w:color w:val="231F20"/>
        </w:rPr>
        <w:t>„Дрмно”.</w:t>
      </w:r>
    </w:p>
    <w:p>
      <w:pPr>
        <w:pStyle w:val="BodyText"/>
        <w:spacing w:line="235" w:lineRule="auto"/>
        <w:ind w:left="453" w:firstLine="396"/>
      </w:pPr>
      <w:r>
        <w:rPr>
          <w:color w:val="231F20"/>
        </w:rPr>
        <w:t>Обезбеђење потребних количина угља за ТЕ „Костолац А” извршиће се преусмеравањем одређених количина угља са ПК</w:t>
      </w:r>
    </w:p>
    <w:p>
      <w:pPr>
        <w:pStyle w:val="BodyText"/>
        <w:spacing w:line="235" w:lineRule="auto"/>
        <w:ind w:left="454" w:hanging="1"/>
      </w:pPr>
      <w:r>
        <w:rPr>
          <w:color w:val="231F20"/>
        </w:rPr>
        <w:t>„Дрмно”, </w:t>
      </w:r>
      <w:r>
        <w:rPr>
          <w:color w:val="231F20"/>
          <w:spacing w:val="-3"/>
        </w:rPr>
        <w:t>које </w:t>
      </w:r>
      <w:r>
        <w:rPr>
          <w:color w:val="231F20"/>
        </w:rPr>
        <w:t>ће бити преузете са угљеног транспортног система </w:t>
      </w:r>
      <w:r>
        <w:rPr>
          <w:color w:val="231F20"/>
          <w:spacing w:val="-3"/>
        </w:rPr>
        <w:t>који </w:t>
      </w:r>
      <w:r>
        <w:rPr>
          <w:color w:val="231F20"/>
        </w:rPr>
        <w:t>повезује </w:t>
      </w:r>
      <w:r>
        <w:rPr>
          <w:color w:val="231F20"/>
          <w:spacing w:val="-4"/>
        </w:rPr>
        <w:t>коп </w:t>
      </w:r>
      <w:r>
        <w:rPr>
          <w:color w:val="231F20"/>
        </w:rPr>
        <w:t>„Дрмно” са дробиланом „Дрмно”. Траса трачног транспортера води </w:t>
      </w:r>
      <w:r>
        <w:rPr>
          <w:color w:val="231F20"/>
          <w:spacing w:val="-3"/>
        </w:rPr>
        <w:t>од </w:t>
      </w:r>
      <w:r>
        <w:rPr>
          <w:color w:val="231F20"/>
        </w:rPr>
        <w:t>„Разделног бункера” у </w:t>
      </w:r>
      <w:r>
        <w:rPr>
          <w:color w:val="231F20"/>
          <w:spacing w:val="-3"/>
        </w:rPr>
        <w:t>комплексу </w:t>
      </w:r>
      <w:r>
        <w:rPr>
          <w:color w:val="231F20"/>
        </w:rPr>
        <w:t>ТЕ </w:t>
      </w:r>
      <w:r>
        <w:rPr>
          <w:color w:val="231F20"/>
          <w:spacing w:val="-3"/>
        </w:rPr>
        <w:t>„Ко- </w:t>
      </w:r>
      <w:r>
        <w:rPr>
          <w:color w:val="231F20"/>
        </w:rPr>
        <w:t>столац Б” до ТЕ „Костолац А”.</w:t>
      </w:r>
    </w:p>
    <w:p>
      <w:pPr>
        <w:pStyle w:val="BodyText"/>
        <w:spacing w:line="235" w:lineRule="auto"/>
        <w:ind w:left="453" w:firstLine="397"/>
      </w:pPr>
      <w:r>
        <w:rPr>
          <w:color w:val="231F20"/>
        </w:rPr>
        <w:t>Основном концепцијом и дефинисаном технологијом рада транспортног</w:t>
      </w:r>
      <w:r>
        <w:rPr>
          <w:color w:val="231F20"/>
          <w:spacing w:val="-7"/>
        </w:rPr>
        <w:t> </w:t>
      </w:r>
      <w:r>
        <w:rPr>
          <w:color w:val="231F20"/>
        </w:rPr>
        <w:t>система</w:t>
      </w:r>
      <w:r>
        <w:rPr>
          <w:color w:val="231F20"/>
          <w:spacing w:val="-6"/>
        </w:rPr>
        <w:t> </w:t>
      </w:r>
      <w:r>
        <w:rPr>
          <w:color w:val="231F20"/>
        </w:rPr>
        <w:t>обезбеђена</w:t>
      </w:r>
      <w:r>
        <w:rPr>
          <w:color w:val="231F20"/>
          <w:spacing w:val="-7"/>
        </w:rPr>
        <w:t> </w:t>
      </w:r>
      <w:r>
        <w:rPr>
          <w:color w:val="231F20"/>
        </w:rPr>
        <w:t>су</w:t>
      </w:r>
      <w:r>
        <w:rPr>
          <w:color w:val="231F20"/>
          <w:spacing w:val="-6"/>
        </w:rPr>
        <w:t> </w:t>
      </w:r>
      <w:r>
        <w:rPr>
          <w:color w:val="231F20"/>
        </w:rPr>
        <w:t>поуздана</w:t>
      </w:r>
      <w:r>
        <w:rPr>
          <w:color w:val="231F20"/>
          <w:spacing w:val="-7"/>
        </w:rPr>
        <w:t> </w:t>
      </w:r>
      <w:r>
        <w:rPr>
          <w:color w:val="231F20"/>
        </w:rPr>
        <w:t>техничка</w:t>
      </w:r>
      <w:r>
        <w:rPr>
          <w:color w:val="231F20"/>
          <w:spacing w:val="-6"/>
        </w:rPr>
        <w:t> </w:t>
      </w:r>
      <w:r>
        <w:rPr>
          <w:color w:val="231F20"/>
        </w:rPr>
        <w:t>решења</w:t>
      </w:r>
      <w:r>
        <w:rPr>
          <w:color w:val="231F20"/>
          <w:spacing w:val="-7"/>
        </w:rPr>
        <w:t> </w:t>
      </w:r>
      <w:r>
        <w:rPr>
          <w:color w:val="231F20"/>
        </w:rPr>
        <w:t>за регуларан рад, односно, редовно снабдевање угљем за обе термо- електране. Основном концепцијом и диспозицијом кључних обје- ката транспортног система обезбеђено је да се задрже постојеће функције и опрема у објектима пријема и прераде угља у обе тер- моелектране.</w:t>
      </w:r>
    </w:p>
    <w:p>
      <w:pPr>
        <w:pStyle w:val="BodyText"/>
        <w:spacing w:line="235" w:lineRule="auto"/>
        <w:ind w:left="453" w:firstLine="396"/>
      </w:pPr>
      <w:r>
        <w:rPr>
          <w:color w:val="231F20"/>
        </w:rPr>
        <w:t>У целом систему везног транспортног система кључна функ- ција је везана за рад комплекса за преузимање угља са ПК „Дрм- но”, имајући у виду да се у једној технолошкој тачки врши ди- стрибуција угља за рад две термоелектране.</w:t>
      </w:r>
    </w:p>
    <w:p>
      <w:pPr>
        <w:pStyle w:val="BodyText"/>
        <w:spacing w:line="235" w:lineRule="auto"/>
        <w:ind w:left="453" w:firstLine="396"/>
      </w:pPr>
      <w:r>
        <w:rPr>
          <w:color w:val="231F20"/>
        </w:rPr>
        <w:t>Траса транспортера не угрожава ни једну </w:t>
      </w:r>
      <w:r>
        <w:rPr>
          <w:color w:val="231F20"/>
          <w:spacing w:val="-3"/>
        </w:rPr>
        <w:t>од </w:t>
      </w:r>
      <w:r>
        <w:rPr>
          <w:color w:val="231F20"/>
        </w:rPr>
        <w:t>постојећих функција саобраћајница са </w:t>
      </w:r>
      <w:r>
        <w:rPr>
          <w:color w:val="231F20"/>
          <w:spacing w:val="-3"/>
        </w:rPr>
        <w:t>којима </w:t>
      </w:r>
      <w:r>
        <w:rPr>
          <w:color w:val="231F20"/>
        </w:rPr>
        <w:t>се укршта. Сва укрштања обез- беђују</w:t>
      </w:r>
      <w:r>
        <w:rPr>
          <w:color w:val="231F20"/>
          <w:spacing w:val="-7"/>
        </w:rPr>
        <w:t> </w:t>
      </w:r>
      <w:r>
        <w:rPr>
          <w:color w:val="231F20"/>
        </w:rPr>
        <w:t>несметан</w:t>
      </w:r>
      <w:r>
        <w:rPr>
          <w:color w:val="231F20"/>
          <w:spacing w:val="-7"/>
        </w:rPr>
        <w:t> </w:t>
      </w:r>
      <w:r>
        <w:rPr>
          <w:color w:val="231F20"/>
        </w:rPr>
        <w:t>рад</w:t>
      </w:r>
      <w:r>
        <w:rPr>
          <w:color w:val="231F20"/>
          <w:spacing w:val="-7"/>
        </w:rPr>
        <w:t> </w:t>
      </w:r>
      <w:r>
        <w:rPr>
          <w:color w:val="231F20"/>
        </w:rPr>
        <w:t>транспортера</w:t>
      </w:r>
      <w:r>
        <w:rPr>
          <w:color w:val="231F20"/>
          <w:spacing w:val="-7"/>
        </w:rPr>
        <w:t> </w:t>
      </w:r>
      <w:r>
        <w:rPr>
          <w:color w:val="231F20"/>
        </w:rPr>
        <w:t>и</w:t>
      </w:r>
      <w:r>
        <w:rPr>
          <w:color w:val="231F20"/>
          <w:spacing w:val="-7"/>
        </w:rPr>
        <w:t> </w:t>
      </w:r>
      <w:r>
        <w:rPr>
          <w:color w:val="231F20"/>
        </w:rPr>
        <w:t>регуларно</w:t>
      </w:r>
      <w:r>
        <w:rPr>
          <w:color w:val="231F20"/>
          <w:spacing w:val="-7"/>
        </w:rPr>
        <w:t> </w:t>
      </w:r>
      <w:r>
        <w:rPr>
          <w:color w:val="231F20"/>
        </w:rPr>
        <w:t>коришћење</w:t>
      </w:r>
      <w:r>
        <w:rPr>
          <w:color w:val="231F20"/>
          <w:spacing w:val="-7"/>
        </w:rPr>
        <w:t> </w:t>
      </w:r>
      <w:r>
        <w:rPr>
          <w:color w:val="231F20"/>
        </w:rPr>
        <w:t>саобра- ћајница.</w:t>
      </w:r>
    </w:p>
    <w:p>
      <w:pPr>
        <w:pStyle w:val="BodyText"/>
        <w:spacing w:line="235" w:lineRule="auto"/>
        <w:ind w:left="454" w:firstLine="396"/>
      </w:pPr>
      <w:r>
        <w:rPr>
          <w:color w:val="231F20"/>
        </w:rPr>
        <w:t>Технолошки</w:t>
      </w:r>
      <w:r>
        <w:rPr>
          <w:color w:val="231F20"/>
          <w:spacing w:val="-7"/>
        </w:rPr>
        <w:t> </w:t>
      </w:r>
      <w:r>
        <w:rPr>
          <w:color w:val="231F20"/>
        </w:rPr>
        <w:t>процес</w:t>
      </w:r>
      <w:r>
        <w:rPr>
          <w:color w:val="231F20"/>
          <w:spacing w:val="-7"/>
        </w:rPr>
        <w:t> </w:t>
      </w:r>
      <w:r>
        <w:rPr>
          <w:color w:val="231F20"/>
        </w:rPr>
        <w:t>обраде</w:t>
      </w:r>
      <w:r>
        <w:rPr>
          <w:color w:val="231F20"/>
          <w:spacing w:val="-7"/>
        </w:rPr>
        <w:t> </w:t>
      </w:r>
      <w:r>
        <w:rPr>
          <w:color w:val="231F20"/>
        </w:rPr>
        <w:t>угља</w:t>
      </w:r>
      <w:r>
        <w:rPr>
          <w:color w:val="231F20"/>
          <w:spacing w:val="-7"/>
        </w:rPr>
        <w:t> </w:t>
      </w:r>
      <w:r>
        <w:rPr>
          <w:color w:val="231F20"/>
        </w:rPr>
        <w:t>захтева</w:t>
      </w:r>
      <w:r>
        <w:rPr>
          <w:color w:val="231F20"/>
          <w:spacing w:val="-7"/>
        </w:rPr>
        <w:t> </w:t>
      </w:r>
      <w:r>
        <w:rPr>
          <w:color w:val="231F20"/>
        </w:rPr>
        <w:t>изградњу</w:t>
      </w:r>
      <w:r>
        <w:rPr>
          <w:color w:val="231F20"/>
          <w:spacing w:val="-7"/>
        </w:rPr>
        <w:t> </w:t>
      </w:r>
      <w:r>
        <w:rPr>
          <w:color w:val="231F20"/>
        </w:rPr>
        <w:t>пепелово- да </w:t>
      </w:r>
      <w:r>
        <w:rPr>
          <w:color w:val="231F20"/>
          <w:spacing w:val="-3"/>
        </w:rPr>
        <w:t>који </w:t>
      </w:r>
      <w:r>
        <w:rPr>
          <w:color w:val="231F20"/>
        </w:rPr>
        <w:t>води </w:t>
      </w:r>
      <w:r>
        <w:rPr>
          <w:color w:val="231F20"/>
          <w:spacing w:val="-3"/>
        </w:rPr>
        <w:t>од </w:t>
      </w:r>
      <w:r>
        <w:rPr>
          <w:color w:val="231F20"/>
        </w:rPr>
        <w:t>ТЕ „Костолац А” до ПК </w:t>
      </w:r>
      <w:r>
        <w:rPr>
          <w:color w:val="231F20"/>
          <w:spacing w:val="-3"/>
        </w:rPr>
        <w:t>„Ћириковац”. </w:t>
      </w:r>
      <w:r>
        <w:rPr>
          <w:color w:val="231F20"/>
        </w:rPr>
        <w:t>Траса пепе- ловода се делимично води заједничким коридором паралелно са трасом транспортера за угаљ, да би затим наставила ка ПК </w:t>
      </w:r>
      <w:r>
        <w:rPr>
          <w:color w:val="231F20"/>
          <w:spacing w:val="-5"/>
        </w:rPr>
        <w:t>„Ћи- </w:t>
      </w:r>
      <w:r>
        <w:rPr>
          <w:color w:val="231F20"/>
        </w:rPr>
        <w:t>риковац”.</w:t>
      </w:r>
    </w:p>
    <w:p>
      <w:pPr>
        <w:pStyle w:val="BodyText"/>
        <w:spacing w:line="235" w:lineRule="auto"/>
        <w:ind w:left="453" w:firstLine="397"/>
      </w:pPr>
      <w:r>
        <w:rPr>
          <w:color w:val="231F20"/>
        </w:rPr>
        <w:t>Коридор транспортера се пружа по равном или </w:t>
      </w:r>
      <w:r>
        <w:rPr>
          <w:color w:val="231F20"/>
          <w:spacing w:val="-3"/>
        </w:rPr>
        <w:t>благо </w:t>
      </w:r>
      <w:r>
        <w:rPr>
          <w:color w:val="231F20"/>
        </w:rPr>
        <w:t>затала- саном </w:t>
      </w:r>
      <w:r>
        <w:rPr>
          <w:color w:val="231F20"/>
          <w:spacing w:val="-3"/>
        </w:rPr>
        <w:t>терену, од </w:t>
      </w:r>
      <w:r>
        <w:rPr>
          <w:color w:val="231F20"/>
        </w:rPr>
        <w:t>реке Млаве ка Костолцу и ТЕ „Костолац А”, </w:t>
      </w:r>
      <w:r>
        <w:rPr>
          <w:color w:val="231F20"/>
          <w:spacing w:val="-3"/>
        </w:rPr>
        <w:t>који </w:t>
      </w:r>
      <w:r>
        <w:rPr>
          <w:color w:val="231F20"/>
        </w:rPr>
        <w:t>је у нагибу </w:t>
      </w:r>
      <w:r>
        <w:rPr>
          <w:color w:val="231F20"/>
          <w:spacing w:val="-3"/>
        </w:rPr>
        <w:t>од </w:t>
      </w:r>
      <w:r>
        <w:rPr>
          <w:color w:val="231F20"/>
        </w:rPr>
        <w:t>3° – 5° и то </w:t>
      </w:r>
      <w:r>
        <w:rPr>
          <w:color w:val="231F20"/>
          <w:spacing w:val="-3"/>
        </w:rPr>
        <w:t>преко </w:t>
      </w:r>
      <w:r>
        <w:rPr>
          <w:color w:val="231F20"/>
        </w:rPr>
        <w:t>материјала </w:t>
      </w:r>
      <w:r>
        <w:rPr>
          <w:color w:val="231F20"/>
          <w:spacing w:val="-3"/>
        </w:rPr>
        <w:t>који </w:t>
      </w:r>
      <w:r>
        <w:rPr>
          <w:color w:val="231F20"/>
        </w:rPr>
        <w:t>су оцењени као условно повољни и повољни за извођење насипа. Терен се састо- ји </w:t>
      </w:r>
      <w:r>
        <w:rPr>
          <w:color w:val="231F20"/>
          <w:spacing w:val="-3"/>
        </w:rPr>
        <w:t>од </w:t>
      </w:r>
      <w:r>
        <w:rPr>
          <w:color w:val="231F20"/>
        </w:rPr>
        <w:t>алувијалних наноса са зонама угља, леса и </w:t>
      </w:r>
      <w:r>
        <w:rPr>
          <w:color w:val="231F20"/>
          <w:spacing w:val="-3"/>
        </w:rPr>
        <w:t>глине </w:t>
      </w:r>
      <w:r>
        <w:rPr>
          <w:color w:val="231F20"/>
        </w:rPr>
        <w:t>у подини.  С обзиром да ова врста објекта у највећем делу мало оптерећује подлогу и имајући у виду да је траса положена у </w:t>
      </w:r>
      <w:r>
        <w:rPr>
          <w:color w:val="231F20"/>
          <w:spacing w:val="-4"/>
        </w:rPr>
        <w:t>насипу, </w:t>
      </w:r>
      <w:r>
        <w:rPr>
          <w:color w:val="231F20"/>
        </w:rPr>
        <w:t>делови терена </w:t>
      </w:r>
      <w:r>
        <w:rPr>
          <w:color w:val="231F20"/>
          <w:spacing w:val="-3"/>
        </w:rPr>
        <w:t>којима </w:t>
      </w:r>
      <w:r>
        <w:rPr>
          <w:color w:val="231F20"/>
        </w:rPr>
        <w:t>се трасе воде нису проблематични и нису посебно геотехнички</w:t>
      </w:r>
      <w:r>
        <w:rPr>
          <w:color w:val="231F20"/>
          <w:spacing w:val="-1"/>
        </w:rPr>
        <w:t> </w:t>
      </w:r>
      <w:r>
        <w:rPr>
          <w:color w:val="231F20"/>
        </w:rPr>
        <w:t>испитивани.</w:t>
      </w:r>
    </w:p>
    <w:p>
      <w:pPr>
        <w:pStyle w:val="ListParagraph"/>
        <w:numPr>
          <w:ilvl w:val="2"/>
          <w:numId w:val="52"/>
        </w:numPr>
        <w:tabs>
          <w:tab w:pos="2009" w:val="left" w:leader="none"/>
        </w:tabs>
        <w:spacing w:line="240" w:lineRule="auto" w:before="133" w:after="0"/>
        <w:ind w:left="2008" w:right="0" w:hanging="315"/>
        <w:jc w:val="left"/>
        <w:rPr>
          <w:i/>
          <w:sz w:val="18"/>
        </w:rPr>
      </w:pPr>
      <w:r>
        <w:rPr>
          <w:i/>
          <w:color w:val="231F20"/>
          <w:sz w:val="18"/>
        </w:rPr>
        <w:t>Просторни обухват</w:t>
      </w:r>
      <w:r>
        <w:rPr>
          <w:i/>
          <w:color w:val="231F20"/>
          <w:spacing w:val="-3"/>
          <w:sz w:val="18"/>
        </w:rPr>
        <w:t> </w:t>
      </w:r>
      <w:r>
        <w:rPr>
          <w:i/>
          <w:color w:val="231F20"/>
          <w:sz w:val="18"/>
        </w:rPr>
        <w:t>коридора</w:t>
      </w:r>
    </w:p>
    <w:p>
      <w:pPr>
        <w:pStyle w:val="BodyText"/>
        <w:spacing w:before="5"/>
        <w:ind w:left="0"/>
        <w:jc w:val="left"/>
        <w:rPr>
          <w:i/>
          <w:sz w:val="17"/>
        </w:rPr>
      </w:pPr>
    </w:p>
    <w:p>
      <w:pPr>
        <w:pStyle w:val="BodyText"/>
        <w:spacing w:line="235" w:lineRule="auto"/>
        <w:ind w:left="454" w:firstLine="396"/>
      </w:pPr>
      <w:r>
        <w:rPr>
          <w:color w:val="231F20"/>
        </w:rPr>
        <w:t>Подручје припада катастарским општинама КО Костолац Град КО Костолац Село и КО Дрмно.</w:t>
      </w:r>
    </w:p>
    <w:p>
      <w:pPr>
        <w:pStyle w:val="BodyText"/>
        <w:spacing w:line="199" w:lineRule="exact"/>
        <w:ind w:left="850"/>
        <w:jc w:val="left"/>
      </w:pPr>
      <w:r>
        <w:rPr>
          <w:color w:val="231F20"/>
        </w:rPr>
        <w:t>У КО Костолац град пресеца кп.бр 1640/1</w:t>
      </w:r>
    </w:p>
    <w:p>
      <w:pPr>
        <w:pStyle w:val="BodyText"/>
        <w:spacing w:line="235" w:lineRule="auto" w:before="1"/>
        <w:ind w:left="453" w:firstLine="397"/>
      </w:pPr>
      <w:r>
        <w:rPr>
          <w:color w:val="231F20"/>
        </w:rPr>
        <w:t>У </w:t>
      </w:r>
      <w:r>
        <w:rPr>
          <w:color w:val="231F20"/>
          <w:spacing w:val="-3"/>
        </w:rPr>
        <w:t>КО </w:t>
      </w:r>
      <w:r>
        <w:rPr>
          <w:color w:val="231F20"/>
        </w:rPr>
        <w:t>Костолац Село обухвата  целе  кп.бр.1921,  1920,  1922,</w:t>
      </w:r>
      <w:r>
        <w:rPr>
          <w:color w:val="231F20"/>
          <w:spacing w:val="23"/>
        </w:rPr>
        <w:t> </w:t>
      </w:r>
      <w:r>
        <w:rPr>
          <w:color w:val="231F20"/>
        </w:rPr>
        <w:t>2455,</w:t>
      </w:r>
      <w:r>
        <w:rPr>
          <w:color w:val="231F20"/>
          <w:spacing w:val="23"/>
        </w:rPr>
        <w:t> </w:t>
      </w:r>
      <w:r>
        <w:rPr>
          <w:color w:val="231F20"/>
        </w:rPr>
        <w:t>1930,</w:t>
      </w:r>
      <w:r>
        <w:rPr>
          <w:color w:val="231F20"/>
          <w:spacing w:val="23"/>
        </w:rPr>
        <w:t> </w:t>
      </w:r>
      <w:r>
        <w:rPr>
          <w:color w:val="231F20"/>
        </w:rPr>
        <w:t>1928,</w:t>
      </w:r>
      <w:r>
        <w:rPr>
          <w:color w:val="231F20"/>
          <w:spacing w:val="23"/>
        </w:rPr>
        <w:t> </w:t>
      </w:r>
      <w:r>
        <w:rPr>
          <w:color w:val="231F20"/>
        </w:rPr>
        <w:t>1929,</w:t>
      </w:r>
      <w:r>
        <w:rPr>
          <w:color w:val="231F20"/>
          <w:spacing w:val="23"/>
        </w:rPr>
        <w:t> </w:t>
      </w:r>
      <w:r>
        <w:rPr>
          <w:color w:val="231F20"/>
        </w:rPr>
        <w:t>1928,</w:t>
      </w:r>
      <w:r>
        <w:rPr>
          <w:color w:val="231F20"/>
          <w:spacing w:val="23"/>
        </w:rPr>
        <w:t> </w:t>
      </w:r>
      <w:r>
        <w:rPr>
          <w:color w:val="231F20"/>
        </w:rPr>
        <w:t>1931,</w:t>
      </w:r>
      <w:r>
        <w:rPr>
          <w:color w:val="231F20"/>
          <w:spacing w:val="23"/>
        </w:rPr>
        <w:t> </w:t>
      </w:r>
      <w:r>
        <w:rPr>
          <w:color w:val="231F20"/>
        </w:rPr>
        <w:t>2443,</w:t>
      </w:r>
      <w:r>
        <w:rPr>
          <w:color w:val="231F20"/>
          <w:spacing w:val="23"/>
        </w:rPr>
        <w:t> </w:t>
      </w:r>
      <w:r>
        <w:rPr>
          <w:color w:val="231F20"/>
        </w:rPr>
        <w:t>2441,</w:t>
      </w:r>
      <w:r>
        <w:rPr>
          <w:color w:val="231F20"/>
          <w:spacing w:val="23"/>
        </w:rPr>
        <w:t> </w:t>
      </w:r>
      <w:r>
        <w:rPr>
          <w:color w:val="231F20"/>
        </w:rPr>
        <w:t>целе</w:t>
      </w:r>
      <w:r>
        <w:rPr>
          <w:color w:val="231F20"/>
          <w:spacing w:val="23"/>
        </w:rPr>
        <w:t> </w:t>
      </w:r>
      <w:r>
        <w:rPr>
          <w:color w:val="231F20"/>
        </w:rPr>
        <w:t>2273,</w:t>
      </w:r>
    </w:p>
    <w:p>
      <w:pPr>
        <w:pStyle w:val="BodyText"/>
        <w:spacing w:line="199" w:lineRule="exact"/>
        <w:ind w:left="453"/>
      </w:pPr>
      <w:r>
        <w:rPr>
          <w:color w:val="231F20"/>
        </w:rPr>
        <w:t>2275,2277, 2278, 2279, 2280 целе 2359, 2357, 2356 и делове 2440,</w:t>
      </w:r>
    </w:p>
    <w:p>
      <w:pPr>
        <w:pStyle w:val="BodyText"/>
        <w:spacing w:line="202" w:lineRule="exact"/>
        <w:ind w:left="453"/>
      </w:pPr>
      <w:r>
        <w:rPr>
          <w:color w:val="231F20"/>
        </w:rPr>
        <w:t>3437, 2436, 2435/2, 2419, 2405, 2406, 2407, 2412, 2413, 2414,  2415,</w:t>
      </w:r>
    </w:p>
    <w:p>
      <w:pPr>
        <w:pStyle w:val="BodyText"/>
        <w:spacing w:line="202" w:lineRule="exact"/>
        <w:ind w:left="453"/>
      </w:pPr>
      <w:r>
        <w:rPr>
          <w:color w:val="231F20"/>
        </w:rPr>
        <w:t>2417, 2418, 2421, 2423, 2422 део 2420, 2424, 2427, 2358, и део</w:t>
      </w:r>
      <w:r>
        <w:rPr>
          <w:color w:val="231F20"/>
          <w:spacing w:val="-12"/>
        </w:rPr>
        <w:t> </w:t>
      </w:r>
      <w:r>
        <w:rPr>
          <w:color w:val="231F20"/>
        </w:rPr>
        <w:t>пута</w:t>
      </w:r>
    </w:p>
    <w:p>
      <w:pPr>
        <w:pStyle w:val="BodyText"/>
        <w:spacing w:line="202" w:lineRule="exact"/>
        <w:ind w:left="453"/>
      </w:pPr>
      <w:r>
        <w:rPr>
          <w:color w:val="231F20"/>
        </w:rPr>
        <w:t>2685 и 2361.</w:t>
      </w:r>
    </w:p>
    <w:p>
      <w:pPr>
        <w:pStyle w:val="BodyText"/>
        <w:spacing w:line="235" w:lineRule="auto" w:before="1"/>
        <w:ind w:left="453" w:firstLine="396"/>
      </w:pPr>
      <w:r>
        <w:rPr>
          <w:color w:val="231F20"/>
        </w:rPr>
        <w:t>У КО Дрмно обухвата целе кп 2005/9, 2005/11, 2005/12, 2005/13, 2005/14, 2005/15, 2005/16, 2005/17, 2005/18, 1980, 1981,</w:t>
      </w:r>
    </w:p>
    <w:p>
      <w:pPr>
        <w:pStyle w:val="BodyText"/>
        <w:spacing w:line="199" w:lineRule="exact"/>
        <w:ind w:left="453"/>
      </w:pPr>
      <w:r>
        <w:rPr>
          <w:color w:val="231F20"/>
        </w:rPr>
        <w:t>1985,  1986,  1979,  1977,  1976,  1974,  пресеца  канал  и  наставља</w:t>
      </w:r>
    </w:p>
    <w:p>
      <w:pPr>
        <w:pStyle w:val="BodyText"/>
        <w:spacing w:line="202" w:lineRule="exact"/>
        <w:ind w:left="453"/>
      </w:pPr>
      <w:r>
        <w:rPr>
          <w:color w:val="231F20"/>
        </w:rPr>
        <w:t>на 1951, 1952, 1953, 1954, 1955, 1949, 1959, 1958, 1957, 1956/1,</w:t>
      </w:r>
    </w:p>
    <w:p>
      <w:pPr>
        <w:pStyle w:val="BodyText"/>
        <w:spacing w:line="202" w:lineRule="exact"/>
        <w:ind w:left="453"/>
      </w:pPr>
      <w:r>
        <w:rPr>
          <w:color w:val="231F20"/>
        </w:rPr>
        <w:t>1915,1918, 1919, 1920, 1921, 1922, 1886, 1890, 1889, 1888, 1887,</w:t>
      </w:r>
    </w:p>
    <w:p>
      <w:pPr>
        <w:pStyle w:val="BodyText"/>
        <w:spacing w:line="202" w:lineRule="exact"/>
        <w:ind w:left="453"/>
      </w:pPr>
      <w:r>
        <w:rPr>
          <w:color w:val="231F20"/>
        </w:rPr>
        <w:t>1885, 1884, 1883, 1882, 1876, 1875, 1874, 1873, 569, 570, 571, 568,</w:t>
      </w:r>
    </w:p>
    <w:p>
      <w:pPr>
        <w:pStyle w:val="BodyText"/>
        <w:spacing w:line="202" w:lineRule="exact"/>
        <w:ind w:left="453"/>
      </w:pPr>
      <w:r>
        <w:rPr>
          <w:color w:val="231F20"/>
        </w:rPr>
        <w:t>563, 562, 561/1, 558, 551, 572, 567, 566, 565, 554, 560/1, 560/2,</w:t>
      </w:r>
    </w:p>
    <w:p>
      <w:pPr>
        <w:pStyle w:val="BodyText"/>
        <w:spacing w:line="204" w:lineRule="exact"/>
        <w:ind w:left="453"/>
      </w:pPr>
      <w:r>
        <w:rPr>
          <w:color w:val="231F20"/>
        </w:rPr>
        <w:t>561/2, 559.</w:t>
      </w:r>
    </w:p>
    <w:p>
      <w:pPr>
        <w:pStyle w:val="ListParagraph"/>
        <w:numPr>
          <w:ilvl w:val="2"/>
          <w:numId w:val="52"/>
        </w:numPr>
        <w:tabs>
          <w:tab w:pos="1237" w:val="left" w:leader="none"/>
        </w:tabs>
        <w:spacing w:line="240" w:lineRule="auto" w:before="165" w:after="0"/>
        <w:ind w:left="1236" w:right="0" w:hanging="315"/>
        <w:jc w:val="left"/>
        <w:rPr>
          <w:i/>
          <w:sz w:val="18"/>
        </w:rPr>
      </w:pPr>
      <w:r>
        <w:rPr>
          <w:i/>
          <w:color w:val="231F20"/>
          <w:sz w:val="18"/>
        </w:rPr>
        <w:t>Планирана намена и начин коришћења</w:t>
      </w:r>
      <w:r>
        <w:rPr>
          <w:i/>
          <w:color w:val="231F20"/>
          <w:spacing w:val="-11"/>
          <w:sz w:val="18"/>
        </w:rPr>
        <w:t> </w:t>
      </w:r>
      <w:r>
        <w:rPr>
          <w:i/>
          <w:color w:val="231F20"/>
          <w:sz w:val="18"/>
        </w:rPr>
        <w:t>земљишта</w:t>
      </w:r>
    </w:p>
    <w:p>
      <w:pPr>
        <w:pStyle w:val="BodyText"/>
        <w:spacing w:line="404" w:lineRule="exact" w:before="10"/>
        <w:ind w:left="850" w:hanging="380"/>
        <w:jc w:val="left"/>
      </w:pPr>
      <w:r>
        <w:rPr>
          <w:color w:val="231F20"/>
        </w:rPr>
        <w:t>2.3.1. Положај т ранспортне т раке и пратећих објекат а Основни елементи транспортног система који повезује повр-</w:t>
      </w:r>
    </w:p>
    <w:p>
      <w:pPr>
        <w:pStyle w:val="BodyText"/>
        <w:spacing w:line="158" w:lineRule="exact"/>
        <w:ind w:left="453"/>
        <w:jc w:val="left"/>
      </w:pPr>
      <w:r>
        <w:rPr>
          <w:color w:val="231F20"/>
        </w:rPr>
        <w:t>шински коп „Дрмно” и ТЕ „Костолац А” су следећи:</w:t>
      </w:r>
    </w:p>
    <w:p>
      <w:pPr>
        <w:pStyle w:val="BodyText"/>
        <w:spacing w:line="202" w:lineRule="exact"/>
        <w:ind w:left="850"/>
        <w:jc w:val="left"/>
      </w:pPr>
      <w:r>
        <w:rPr>
          <w:color w:val="231F20"/>
          <w:w w:val="66"/>
        </w:rPr>
        <w:t> </w:t>
      </w:r>
      <w:r>
        <w:rPr>
          <w:color w:val="231F20"/>
        </w:rPr>
        <w:t>– објекат преузимања угља са површинског копа „Дрмно”;</w:t>
      </w:r>
    </w:p>
    <w:p>
      <w:pPr>
        <w:pStyle w:val="BodyText"/>
        <w:spacing w:line="202" w:lineRule="exact"/>
        <w:ind w:left="850"/>
        <w:jc w:val="left"/>
      </w:pPr>
      <w:r>
        <w:rPr>
          <w:color w:val="231F20"/>
          <w:w w:val="66"/>
        </w:rPr>
        <w:t> </w:t>
      </w:r>
      <w:r>
        <w:rPr>
          <w:color w:val="231F20"/>
        </w:rPr>
        <w:t>– траса транспортера са припадајућом инфраструктуром и</w:t>
      </w:r>
    </w:p>
    <w:p>
      <w:pPr>
        <w:pStyle w:val="BodyText"/>
        <w:spacing w:line="235" w:lineRule="auto"/>
        <w:ind w:left="850" w:right="372"/>
        <w:jc w:val="left"/>
      </w:pPr>
      <w:r>
        <w:rPr>
          <w:color w:val="231F20"/>
          <w:w w:val="66"/>
        </w:rPr>
        <w:t> </w:t>
      </w:r>
      <w:r>
        <w:rPr>
          <w:color w:val="231F20"/>
        </w:rPr>
        <w:t>– објекат предаје угља у термоелектрани „Костолац А”. Преузимање угља са површинског копа „Дрмно”</w:t>
      </w:r>
    </w:p>
    <w:p>
      <w:pPr>
        <w:pStyle w:val="BodyText"/>
        <w:spacing w:line="232" w:lineRule="auto" w:before="70"/>
        <w:ind w:left="242" w:right="127" w:firstLine="396"/>
      </w:pPr>
      <w:r>
        <w:rPr/>
        <w:br w:type="column"/>
      </w:r>
      <w:r>
        <w:rPr>
          <w:color w:val="231F20"/>
        </w:rPr>
        <w:t>Преузимање ровног угља са површинског копа „Дрмно” се врши у објекту „Расподелног бункера”, који се налази на траси транспортера УЗ-4, којим се угаљ допремао до дробилане „Дрм- но” и представља почетну тачку предметног транспортног систе- ма. Погонска станица УЗ-4 се помера уназад и подиже да би се обезбедило пресипно место за нови транспортер УЗ-4.1, којим се угаљ уводи у објекат „Расподелног бункера”.</w:t>
      </w:r>
    </w:p>
    <w:p>
      <w:pPr>
        <w:pStyle w:val="BodyText"/>
        <w:spacing w:line="232" w:lineRule="auto"/>
        <w:ind w:left="242" w:right="128" w:firstLine="396"/>
      </w:pPr>
      <w:r>
        <w:rPr>
          <w:color w:val="231F20"/>
        </w:rPr>
        <w:t>„Расподелни бункер” треба да обезбеди несметани проток потребних </w:t>
      </w:r>
      <w:r>
        <w:rPr>
          <w:color w:val="231F20"/>
          <w:spacing w:val="-3"/>
        </w:rPr>
        <w:t>количина </w:t>
      </w:r>
      <w:r>
        <w:rPr>
          <w:color w:val="231F20"/>
        </w:rPr>
        <w:t>угља према термоелектранама „Костолац А” и</w:t>
      </w:r>
      <w:r>
        <w:rPr>
          <w:color w:val="231F20"/>
          <w:spacing w:val="-6"/>
        </w:rPr>
        <w:t> </w:t>
      </w:r>
      <w:r>
        <w:rPr>
          <w:color w:val="231F20"/>
        </w:rPr>
        <w:t>„Костолац</w:t>
      </w:r>
      <w:r>
        <w:rPr>
          <w:color w:val="231F20"/>
          <w:spacing w:val="-6"/>
        </w:rPr>
        <w:t> </w:t>
      </w:r>
      <w:r>
        <w:rPr>
          <w:color w:val="231F20"/>
        </w:rPr>
        <w:t>Б”.</w:t>
      </w:r>
      <w:r>
        <w:rPr>
          <w:color w:val="231F20"/>
          <w:spacing w:val="-6"/>
        </w:rPr>
        <w:t> </w:t>
      </w:r>
      <w:r>
        <w:rPr>
          <w:color w:val="231F20"/>
        </w:rPr>
        <w:t>Одбојном</w:t>
      </w:r>
      <w:r>
        <w:rPr>
          <w:color w:val="231F20"/>
          <w:spacing w:val="-6"/>
        </w:rPr>
        <w:t> </w:t>
      </w:r>
      <w:r>
        <w:rPr>
          <w:color w:val="231F20"/>
        </w:rPr>
        <w:t>клапном</w:t>
      </w:r>
      <w:r>
        <w:rPr>
          <w:color w:val="231F20"/>
          <w:spacing w:val="-6"/>
        </w:rPr>
        <w:t> </w:t>
      </w:r>
      <w:r>
        <w:rPr>
          <w:color w:val="231F20"/>
        </w:rPr>
        <w:t>транспортера</w:t>
      </w:r>
      <w:r>
        <w:rPr>
          <w:color w:val="231F20"/>
          <w:spacing w:val="-6"/>
        </w:rPr>
        <w:t> </w:t>
      </w:r>
      <w:r>
        <w:rPr>
          <w:color w:val="231F20"/>
        </w:rPr>
        <w:t>УЗ-4.1</w:t>
      </w:r>
      <w:r>
        <w:rPr>
          <w:color w:val="231F20"/>
          <w:spacing w:val="-6"/>
        </w:rPr>
        <w:t> </w:t>
      </w:r>
      <w:r>
        <w:rPr>
          <w:color w:val="231F20"/>
        </w:rPr>
        <w:t>регулише се динамика и капацитет пуњења линија за обе</w:t>
      </w:r>
      <w:r>
        <w:rPr>
          <w:color w:val="231F20"/>
          <w:spacing w:val="-24"/>
        </w:rPr>
        <w:t> </w:t>
      </w:r>
      <w:r>
        <w:rPr>
          <w:color w:val="231F20"/>
        </w:rPr>
        <w:t>термоелектране.</w:t>
      </w:r>
    </w:p>
    <w:p>
      <w:pPr>
        <w:pStyle w:val="BodyText"/>
        <w:spacing w:line="232" w:lineRule="auto"/>
        <w:ind w:left="242" w:right="128" w:firstLine="396"/>
      </w:pPr>
      <w:r>
        <w:rPr>
          <w:color w:val="231F20"/>
        </w:rPr>
        <w:t>Комплекс преузимања угља са површинског копа „Дрмно” чине:</w:t>
      </w:r>
    </w:p>
    <w:p>
      <w:pPr>
        <w:pStyle w:val="BodyText"/>
        <w:spacing w:line="197" w:lineRule="exact"/>
        <w:ind w:left="639"/>
        <w:jc w:val="left"/>
      </w:pPr>
      <w:r>
        <w:rPr>
          <w:color w:val="231F20"/>
          <w:w w:val="66"/>
        </w:rPr>
        <w:t> </w:t>
      </w:r>
      <w:r>
        <w:rPr>
          <w:color w:val="231F20"/>
        </w:rPr>
        <w:t>– расподелни бункер – димензија 8,0 х 18,0 m, висине 20,0 m;</w:t>
      </w:r>
    </w:p>
    <w:p>
      <w:pPr>
        <w:pStyle w:val="BodyText"/>
        <w:spacing w:line="232" w:lineRule="auto"/>
        <w:ind w:left="242" w:right="128" w:firstLine="396"/>
      </w:pPr>
      <w:r>
        <w:rPr>
          <w:color w:val="231F20"/>
          <w:w w:val="66"/>
        </w:rPr>
        <w:t> </w:t>
      </w:r>
      <w:r>
        <w:rPr>
          <w:color w:val="231F20"/>
        </w:rPr>
        <w:t>– пријемни бункер - димензија 10,0 х 89,0 m, висине 20,0 m, на удаљености 45,0 m од расподелног бункера;</w:t>
      </w:r>
    </w:p>
    <w:p>
      <w:pPr>
        <w:pStyle w:val="BodyText"/>
        <w:spacing w:line="232" w:lineRule="auto"/>
        <w:ind w:left="243" w:right="128" w:firstLine="396"/>
      </w:pPr>
      <w:r>
        <w:rPr>
          <w:color w:val="231F20"/>
          <w:w w:val="66"/>
        </w:rPr>
        <w:t> </w:t>
      </w:r>
      <w:r>
        <w:rPr>
          <w:color w:val="231F20"/>
        </w:rPr>
        <w:t>– транспортери за повезивање истоварних станица и распо- делних бункера; и</w:t>
      </w:r>
    </w:p>
    <w:p>
      <w:pPr>
        <w:pStyle w:val="BodyText"/>
        <w:spacing w:line="232" w:lineRule="auto"/>
        <w:ind w:left="639" w:right="514"/>
        <w:jc w:val="left"/>
      </w:pPr>
      <w:r>
        <w:rPr>
          <w:color w:val="231F20"/>
          <w:w w:val="66"/>
        </w:rPr>
        <w:t> </w:t>
      </w:r>
      <w:r>
        <w:rPr>
          <w:color w:val="231F20"/>
        </w:rPr>
        <w:t>– објекат електро постројења јаке и слабе струје. Систем транспортера</w:t>
      </w:r>
    </w:p>
    <w:p>
      <w:pPr>
        <w:pStyle w:val="BodyText"/>
        <w:spacing w:line="232" w:lineRule="auto"/>
        <w:ind w:left="243" w:right="127" w:firstLine="396"/>
      </w:pPr>
      <w:r>
        <w:rPr>
          <w:color w:val="231F20"/>
        </w:rPr>
        <w:t>Траса транспортног система, укупне дужине 3.980 m и ши- рине 10 m, састоји се </w:t>
      </w:r>
      <w:r>
        <w:rPr>
          <w:color w:val="231F20"/>
          <w:spacing w:val="-3"/>
        </w:rPr>
        <w:t>од </w:t>
      </w:r>
      <w:r>
        <w:rPr>
          <w:color w:val="231F20"/>
        </w:rPr>
        <w:t>четири деонице, </w:t>
      </w:r>
      <w:r>
        <w:rPr>
          <w:color w:val="231F20"/>
          <w:spacing w:val="-3"/>
        </w:rPr>
        <w:t>од </w:t>
      </w:r>
      <w:r>
        <w:rPr>
          <w:color w:val="231F20"/>
        </w:rPr>
        <w:t>којих свака припада одговарајућем транспортеру са </w:t>
      </w:r>
      <w:r>
        <w:rPr>
          <w:color w:val="231F20"/>
          <w:spacing w:val="-3"/>
        </w:rPr>
        <w:t>траком </w:t>
      </w:r>
      <w:r>
        <w:rPr>
          <w:color w:val="231F20"/>
        </w:rPr>
        <w:t>– Т1, Т2, Т3 и Т4. Секције су</w:t>
      </w:r>
      <w:r>
        <w:rPr>
          <w:color w:val="231F20"/>
          <w:spacing w:val="-7"/>
        </w:rPr>
        <w:t> </w:t>
      </w:r>
      <w:r>
        <w:rPr>
          <w:color w:val="231F20"/>
        </w:rPr>
        <w:t>дефинисане</w:t>
      </w:r>
      <w:r>
        <w:rPr>
          <w:color w:val="231F20"/>
          <w:spacing w:val="-7"/>
        </w:rPr>
        <w:t> </w:t>
      </w:r>
      <w:r>
        <w:rPr>
          <w:color w:val="231F20"/>
        </w:rPr>
        <w:t>реперним</w:t>
      </w:r>
      <w:r>
        <w:rPr>
          <w:color w:val="231F20"/>
          <w:spacing w:val="-7"/>
        </w:rPr>
        <w:t> </w:t>
      </w:r>
      <w:r>
        <w:rPr>
          <w:color w:val="231F20"/>
        </w:rPr>
        <w:t>тачкама,</w:t>
      </w:r>
      <w:r>
        <w:rPr>
          <w:color w:val="231F20"/>
          <w:spacing w:val="-7"/>
        </w:rPr>
        <w:t> </w:t>
      </w:r>
      <w:r>
        <w:rPr>
          <w:color w:val="231F20"/>
          <w:spacing w:val="-3"/>
        </w:rPr>
        <w:t>које</w:t>
      </w:r>
      <w:r>
        <w:rPr>
          <w:color w:val="231F20"/>
          <w:spacing w:val="-7"/>
        </w:rPr>
        <w:t> </w:t>
      </w:r>
      <w:r>
        <w:rPr>
          <w:color w:val="231F20"/>
        </w:rPr>
        <w:t>представљају</w:t>
      </w:r>
      <w:r>
        <w:rPr>
          <w:color w:val="231F20"/>
          <w:spacing w:val="-7"/>
        </w:rPr>
        <w:t> </w:t>
      </w:r>
      <w:r>
        <w:rPr>
          <w:color w:val="231F20"/>
        </w:rPr>
        <w:t>пресечне</w:t>
      </w:r>
      <w:r>
        <w:rPr>
          <w:color w:val="231F20"/>
          <w:spacing w:val="-7"/>
        </w:rPr>
        <w:t> </w:t>
      </w:r>
      <w:r>
        <w:rPr>
          <w:color w:val="231F20"/>
        </w:rPr>
        <w:t>тач- </w:t>
      </w:r>
      <w:r>
        <w:rPr>
          <w:color w:val="231F20"/>
          <w:spacing w:val="-3"/>
        </w:rPr>
        <w:t>ке </w:t>
      </w:r>
      <w:r>
        <w:rPr>
          <w:color w:val="231F20"/>
        </w:rPr>
        <w:t>подужних оса транспортера са </w:t>
      </w:r>
      <w:r>
        <w:rPr>
          <w:color w:val="231F20"/>
          <w:spacing w:val="-3"/>
        </w:rPr>
        <w:t>траком </w:t>
      </w:r>
      <w:r>
        <w:rPr>
          <w:color w:val="231F20"/>
        </w:rPr>
        <w:t>(графички прилог бр.1). Технички елементи транспортера дати СУ у следећој</w:t>
      </w:r>
      <w:r>
        <w:rPr>
          <w:color w:val="231F20"/>
          <w:spacing w:val="-15"/>
        </w:rPr>
        <w:t> </w:t>
      </w:r>
      <w:r>
        <w:rPr>
          <w:color w:val="231F20"/>
        </w:rPr>
        <w:t>табели:</w:t>
      </w:r>
    </w:p>
    <w:p>
      <w:pPr>
        <w:pStyle w:val="BodyText"/>
        <w:spacing w:before="178"/>
        <w:ind w:left="243"/>
        <w:jc w:val="left"/>
      </w:pPr>
      <w:r>
        <w:rPr>
          <w:color w:val="231F20"/>
        </w:rPr>
        <w:t>Табела 2.1: Координате реперних тачака</w:t>
      </w:r>
    </w:p>
    <w:p>
      <w:pPr>
        <w:pStyle w:val="BodyText"/>
        <w:spacing w:before="10"/>
        <w:ind w:left="0"/>
        <w:jc w:val="left"/>
        <w:rPr>
          <w:sz w:val="5"/>
        </w:rPr>
      </w:pPr>
    </w:p>
    <w:p>
      <w:pPr>
        <w:pStyle w:val="BodyText"/>
        <w:ind w:left="242"/>
        <w:jc w:val="left"/>
        <w:rPr>
          <w:sz w:val="20"/>
        </w:rPr>
      </w:pPr>
      <w:r>
        <w:rPr>
          <w:sz w:val="20"/>
        </w:rPr>
        <w:drawing>
          <wp:inline distT="0" distB="0" distL="0" distR="0">
            <wp:extent cx="3207837" cy="1536191"/>
            <wp:effectExtent l="0" t="0" r="0" b="0"/>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3207837" cy="1536191"/>
                    </a:xfrm>
                    <a:prstGeom prst="rect">
                      <a:avLst/>
                    </a:prstGeom>
                  </pic:spPr>
                </pic:pic>
              </a:graphicData>
            </a:graphic>
          </wp:inline>
        </w:drawing>
      </w:r>
      <w:r>
        <w:rPr>
          <w:sz w:val="20"/>
        </w:rPr>
      </w:r>
    </w:p>
    <w:p>
      <w:pPr>
        <w:pStyle w:val="BodyText"/>
        <w:spacing w:line="232" w:lineRule="auto" w:before="114"/>
        <w:ind w:left="243" w:right="128" w:firstLine="396"/>
      </w:pPr>
      <w:r>
        <w:rPr>
          <w:color w:val="231F20"/>
        </w:rPr>
        <w:t>Траса транспортера је дефинисана </w:t>
      </w:r>
      <w:r>
        <w:rPr>
          <w:color w:val="231F20"/>
          <w:spacing w:val="-3"/>
        </w:rPr>
        <w:t>тако </w:t>
      </w:r>
      <w:r>
        <w:rPr>
          <w:color w:val="231F20"/>
        </w:rPr>
        <w:t>да омогући оптимал- не</w:t>
      </w:r>
      <w:r>
        <w:rPr>
          <w:color w:val="231F20"/>
          <w:spacing w:val="-7"/>
        </w:rPr>
        <w:t> </w:t>
      </w:r>
      <w:r>
        <w:rPr>
          <w:color w:val="231F20"/>
        </w:rPr>
        <w:t>услове</w:t>
      </w:r>
      <w:r>
        <w:rPr>
          <w:color w:val="231F20"/>
          <w:spacing w:val="-7"/>
        </w:rPr>
        <w:t> </w:t>
      </w:r>
      <w:r>
        <w:rPr>
          <w:color w:val="231F20"/>
        </w:rPr>
        <w:t>изградње</w:t>
      </w:r>
      <w:r>
        <w:rPr>
          <w:color w:val="231F20"/>
          <w:spacing w:val="-7"/>
        </w:rPr>
        <w:t> </w:t>
      </w:r>
      <w:r>
        <w:rPr>
          <w:color w:val="231F20"/>
        </w:rPr>
        <w:t>и</w:t>
      </w:r>
      <w:r>
        <w:rPr>
          <w:color w:val="231F20"/>
          <w:spacing w:val="-7"/>
        </w:rPr>
        <w:t> </w:t>
      </w:r>
      <w:r>
        <w:rPr>
          <w:color w:val="231F20"/>
        </w:rPr>
        <w:t>експлоатације</w:t>
      </w:r>
      <w:r>
        <w:rPr>
          <w:color w:val="231F20"/>
          <w:spacing w:val="-7"/>
        </w:rPr>
        <w:t> </w:t>
      </w:r>
      <w:r>
        <w:rPr>
          <w:color w:val="231F20"/>
        </w:rPr>
        <w:t>транспортног</w:t>
      </w:r>
      <w:r>
        <w:rPr>
          <w:color w:val="231F20"/>
          <w:spacing w:val="-7"/>
        </w:rPr>
        <w:t> </w:t>
      </w:r>
      <w:r>
        <w:rPr>
          <w:color w:val="231F20"/>
        </w:rPr>
        <w:t>система</w:t>
      </w:r>
      <w:r>
        <w:rPr>
          <w:color w:val="231F20"/>
          <w:spacing w:val="-7"/>
        </w:rPr>
        <w:t> </w:t>
      </w:r>
      <w:r>
        <w:rPr>
          <w:color w:val="231F20"/>
        </w:rPr>
        <w:t>у</w:t>
      </w:r>
      <w:r>
        <w:rPr>
          <w:color w:val="231F20"/>
          <w:spacing w:val="-7"/>
        </w:rPr>
        <w:t> </w:t>
      </w:r>
      <w:r>
        <w:rPr>
          <w:color w:val="231F20"/>
        </w:rPr>
        <w:t>функ- цији: укупне дужине транспортног система; конфигурације тере- на; услова заштите </w:t>
      </w:r>
      <w:r>
        <w:rPr>
          <w:color w:val="231F20"/>
          <w:spacing w:val="-3"/>
        </w:rPr>
        <w:t>околине; </w:t>
      </w:r>
      <w:r>
        <w:rPr>
          <w:color w:val="231F20"/>
        </w:rPr>
        <w:t>услова експропријације земљишта; времена изградње и услова и трошкова одржавања</w:t>
      </w:r>
      <w:r>
        <w:rPr>
          <w:color w:val="231F20"/>
          <w:spacing w:val="-19"/>
        </w:rPr>
        <w:t> </w:t>
      </w:r>
      <w:r>
        <w:rPr>
          <w:color w:val="231F20"/>
        </w:rPr>
        <w:t>система.</w:t>
      </w:r>
    </w:p>
    <w:p>
      <w:pPr>
        <w:pStyle w:val="BodyText"/>
        <w:spacing w:line="232" w:lineRule="auto"/>
        <w:ind w:left="243" w:right="127" w:firstLine="396"/>
      </w:pPr>
      <w:r>
        <w:rPr>
          <w:color w:val="231F20"/>
        </w:rPr>
        <w:t>Траса транспортера Т1 дефинисана је реперним тачкама „A” и „B”. Почетак трасе је у „Расподелном бункеру” и прати посто- јећу конфигурацију терена. У једном делу траса иде уз ограду ТЕ</w:t>
      </w:r>
    </w:p>
    <w:p>
      <w:pPr>
        <w:pStyle w:val="BodyText"/>
        <w:spacing w:line="232" w:lineRule="auto"/>
        <w:ind w:left="243" w:right="127"/>
      </w:pPr>
      <w:r>
        <w:rPr>
          <w:color w:val="231F20"/>
        </w:rPr>
        <w:t>„Костолац Б”, поред пута за Дрмно на растојању од око 60 m. На овој деоници траса прелази преко локалног сеоског пута. Укршта- ње је регулисано изградњом надвожњака за сеоски пут. Дужина трасе транспортера Т1 износи 717,67 m.</w:t>
      </w:r>
    </w:p>
    <w:p>
      <w:pPr>
        <w:pStyle w:val="BodyText"/>
        <w:spacing w:line="232" w:lineRule="auto"/>
        <w:ind w:left="243" w:right="127" w:firstLine="397"/>
      </w:pPr>
      <w:r>
        <w:rPr>
          <w:color w:val="231F20"/>
        </w:rPr>
        <w:t>Траса транспортера Т2 дефинисана је реперним тачкама „B” и „C”. Од реперне </w:t>
      </w:r>
      <w:r>
        <w:rPr>
          <w:color w:val="231F20"/>
          <w:spacing w:val="-3"/>
        </w:rPr>
        <w:t>тачке </w:t>
      </w:r>
      <w:r>
        <w:rPr>
          <w:color w:val="231F20"/>
        </w:rPr>
        <w:t>„B” траса иде по терену у дужини </w:t>
      </w:r>
      <w:r>
        <w:rPr>
          <w:color w:val="231F20"/>
          <w:spacing w:val="-3"/>
        </w:rPr>
        <w:t>од </w:t>
      </w:r>
      <w:r>
        <w:rPr>
          <w:color w:val="231F20"/>
          <w:spacing w:val="-4"/>
        </w:rPr>
        <w:t>око </w:t>
      </w:r>
      <w:r>
        <w:rPr>
          <w:color w:val="231F20"/>
        </w:rPr>
        <w:t>42,0 m, а </w:t>
      </w:r>
      <w:r>
        <w:rPr>
          <w:color w:val="231F20"/>
          <w:spacing w:val="-3"/>
        </w:rPr>
        <w:t>потом улази </w:t>
      </w:r>
      <w:r>
        <w:rPr>
          <w:color w:val="231F20"/>
        </w:rPr>
        <w:t>у усек дужине </w:t>
      </w:r>
      <w:r>
        <w:rPr>
          <w:color w:val="231F20"/>
          <w:spacing w:val="-4"/>
        </w:rPr>
        <w:t>око </w:t>
      </w:r>
      <w:r>
        <w:rPr>
          <w:color w:val="231F20"/>
        </w:rPr>
        <w:t>70,0 m. </w:t>
      </w:r>
      <w:r>
        <w:rPr>
          <w:color w:val="231F20"/>
          <w:spacing w:val="-6"/>
        </w:rPr>
        <w:t>Усек </w:t>
      </w:r>
      <w:r>
        <w:rPr>
          <w:color w:val="231F20"/>
        </w:rPr>
        <w:t>је пројекто- ван да би се обезбедила могућност проласка транспортера испод пута Стари Костолац – Дрмно. </w:t>
      </w:r>
      <w:r>
        <w:rPr>
          <w:color w:val="231F20"/>
          <w:spacing w:val="-3"/>
        </w:rPr>
        <w:t>Укрштање </w:t>
      </w:r>
      <w:r>
        <w:rPr>
          <w:color w:val="231F20"/>
        </w:rPr>
        <w:t>је регулисано на тај на- чин</w:t>
      </w:r>
      <w:r>
        <w:rPr>
          <w:color w:val="231F20"/>
          <w:spacing w:val="-5"/>
        </w:rPr>
        <w:t> </w:t>
      </w:r>
      <w:r>
        <w:rPr>
          <w:color w:val="231F20"/>
        </w:rPr>
        <w:t>што</w:t>
      </w:r>
      <w:r>
        <w:rPr>
          <w:color w:val="231F20"/>
          <w:spacing w:val="-5"/>
        </w:rPr>
        <w:t> </w:t>
      </w:r>
      <w:r>
        <w:rPr>
          <w:color w:val="231F20"/>
        </w:rPr>
        <w:t>је</w:t>
      </w:r>
      <w:r>
        <w:rPr>
          <w:color w:val="231F20"/>
          <w:spacing w:val="-5"/>
        </w:rPr>
        <w:t> </w:t>
      </w:r>
      <w:r>
        <w:rPr>
          <w:color w:val="231F20"/>
        </w:rPr>
        <w:t>у</w:t>
      </w:r>
      <w:r>
        <w:rPr>
          <w:color w:val="231F20"/>
          <w:spacing w:val="-5"/>
        </w:rPr>
        <w:t> </w:t>
      </w:r>
      <w:r>
        <w:rPr>
          <w:color w:val="231F20"/>
        </w:rPr>
        <w:t>зони</w:t>
      </w:r>
      <w:r>
        <w:rPr>
          <w:color w:val="231F20"/>
          <w:spacing w:val="-5"/>
        </w:rPr>
        <w:t> </w:t>
      </w:r>
      <w:r>
        <w:rPr>
          <w:color w:val="231F20"/>
        </w:rPr>
        <w:t>укрштања</w:t>
      </w:r>
      <w:r>
        <w:rPr>
          <w:color w:val="231F20"/>
          <w:spacing w:val="-5"/>
        </w:rPr>
        <w:t> </w:t>
      </w:r>
      <w:r>
        <w:rPr>
          <w:color w:val="231F20"/>
        </w:rPr>
        <w:t>предвиђен</w:t>
      </w:r>
      <w:r>
        <w:rPr>
          <w:color w:val="231F20"/>
          <w:spacing w:val="-5"/>
        </w:rPr>
        <w:t> </w:t>
      </w:r>
      <w:r>
        <w:rPr>
          <w:color w:val="231F20"/>
        </w:rPr>
        <w:t>подвожњак</w:t>
      </w:r>
      <w:r>
        <w:rPr>
          <w:color w:val="231F20"/>
          <w:spacing w:val="-5"/>
        </w:rPr>
        <w:t> </w:t>
      </w:r>
      <w:r>
        <w:rPr>
          <w:color w:val="231F20"/>
        </w:rPr>
        <w:t>за</w:t>
      </w:r>
      <w:r>
        <w:rPr>
          <w:color w:val="231F20"/>
          <w:spacing w:val="-5"/>
        </w:rPr>
        <w:t> </w:t>
      </w:r>
      <w:r>
        <w:rPr>
          <w:color w:val="231F20"/>
        </w:rPr>
        <w:t>транспортер Т2. У зони укрштања предвиђен је бетонски пропуст испод посто- јећег</w:t>
      </w:r>
      <w:r>
        <w:rPr>
          <w:color w:val="231F20"/>
          <w:spacing w:val="-6"/>
        </w:rPr>
        <w:t> </w:t>
      </w:r>
      <w:r>
        <w:rPr>
          <w:color w:val="231F20"/>
        </w:rPr>
        <w:t>пута</w:t>
      </w:r>
      <w:r>
        <w:rPr>
          <w:color w:val="231F20"/>
          <w:spacing w:val="-7"/>
        </w:rPr>
        <w:t> </w:t>
      </w:r>
      <w:r>
        <w:rPr>
          <w:color w:val="231F20"/>
        </w:rPr>
        <w:t>(пропуст</w:t>
      </w:r>
      <w:r>
        <w:rPr>
          <w:color w:val="231F20"/>
          <w:spacing w:val="-7"/>
        </w:rPr>
        <w:t> </w:t>
      </w:r>
      <w:r>
        <w:rPr>
          <w:color w:val="231F20"/>
        </w:rPr>
        <w:t>Н-1).</w:t>
      </w:r>
      <w:r>
        <w:rPr>
          <w:color w:val="231F20"/>
          <w:spacing w:val="-7"/>
        </w:rPr>
        <w:t> </w:t>
      </w:r>
      <w:r>
        <w:rPr>
          <w:color w:val="231F20"/>
        </w:rPr>
        <w:t>Потом</w:t>
      </w:r>
      <w:r>
        <w:rPr>
          <w:color w:val="231F20"/>
          <w:spacing w:val="-7"/>
        </w:rPr>
        <w:t> </w:t>
      </w:r>
      <w:r>
        <w:rPr>
          <w:color w:val="231F20"/>
        </w:rPr>
        <w:t>траса</w:t>
      </w:r>
      <w:r>
        <w:rPr>
          <w:color w:val="231F20"/>
          <w:spacing w:val="-7"/>
        </w:rPr>
        <w:t> </w:t>
      </w:r>
      <w:r>
        <w:rPr>
          <w:color w:val="231F20"/>
        </w:rPr>
        <w:t>наставља</w:t>
      </w:r>
      <w:r>
        <w:rPr>
          <w:color w:val="231F20"/>
          <w:spacing w:val="-7"/>
        </w:rPr>
        <w:t> </w:t>
      </w:r>
      <w:r>
        <w:rPr>
          <w:color w:val="231F20"/>
        </w:rPr>
        <w:t>да</w:t>
      </w:r>
      <w:r>
        <w:rPr>
          <w:color w:val="231F20"/>
          <w:spacing w:val="-7"/>
        </w:rPr>
        <w:t> </w:t>
      </w:r>
      <w:r>
        <w:rPr>
          <w:color w:val="231F20"/>
        </w:rPr>
        <w:t>прати</w:t>
      </w:r>
      <w:r>
        <w:rPr>
          <w:color w:val="231F20"/>
          <w:spacing w:val="-6"/>
        </w:rPr>
        <w:t> </w:t>
      </w:r>
      <w:r>
        <w:rPr>
          <w:color w:val="231F20"/>
        </w:rPr>
        <w:t>конфигу- рацију терена. На дужини </w:t>
      </w:r>
      <w:r>
        <w:rPr>
          <w:color w:val="231F20"/>
          <w:spacing w:val="-3"/>
        </w:rPr>
        <w:t>од </w:t>
      </w:r>
      <w:r>
        <w:rPr>
          <w:color w:val="231F20"/>
          <w:spacing w:val="-4"/>
        </w:rPr>
        <w:t>око </w:t>
      </w:r>
      <w:r>
        <w:rPr>
          <w:color w:val="231F20"/>
        </w:rPr>
        <w:t>70 m пре круне ободног насипа реке Млаве траса се насипа у дужини </w:t>
      </w:r>
      <w:r>
        <w:rPr>
          <w:color w:val="231F20"/>
          <w:spacing w:val="-4"/>
        </w:rPr>
        <w:t>око </w:t>
      </w:r>
      <w:r>
        <w:rPr>
          <w:color w:val="231F20"/>
        </w:rPr>
        <w:t>50 m ради постизања потребне</w:t>
      </w:r>
      <w:r>
        <w:rPr>
          <w:color w:val="231F20"/>
          <w:spacing w:val="5"/>
        </w:rPr>
        <w:t> </w:t>
      </w:r>
      <w:r>
        <w:rPr>
          <w:color w:val="231F20"/>
        </w:rPr>
        <w:t>нивелете</w:t>
      </w:r>
      <w:r>
        <w:rPr>
          <w:color w:val="231F20"/>
          <w:spacing w:val="5"/>
        </w:rPr>
        <w:t> </w:t>
      </w:r>
      <w:r>
        <w:rPr>
          <w:color w:val="231F20"/>
        </w:rPr>
        <w:t>за</w:t>
      </w:r>
      <w:r>
        <w:rPr>
          <w:color w:val="231F20"/>
          <w:spacing w:val="5"/>
        </w:rPr>
        <w:t> </w:t>
      </w:r>
      <w:r>
        <w:rPr>
          <w:color w:val="231F20"/>
          <w:spacing w:val="-2"/>
        </w:rPr>
        <w:t>улазак</w:t>
      </w:r>
      <w:r>
        <w:rPr>
          <w:color w:val="231F20"/>
          <w:spacing w:val="5"/>
        </w:rPr>
        <w:t> </w:t>
      </w:r>
      <w:r>
        <w:rPr>
          <w:color w:val="231F20"/>
        </w:rPr>
        <w:t>на</w:t>
      </w:r>
      <w:r>
        <w:rPr>
          <w:color w:val="231F20"/>
          <w:spacing w:val="5"/>
        </w:rPr>
        <w:t> </w:t>
      </w:r>
      <w:r>
        <w:rPr>
          <w:color w:val="231F20"/>
        </w:rPr>
        <w:t>челични</w:t>
      </w:r>
      <w:r>
        <w:rPr>
          <w:color w:val="231F20"/>
          <w:spacing w:val="5"/>
        </w:rPr>
        <w:t> </w:t>
      </w:r>
      <w:r>
        <w:rPr>
          <w:color w:val="231F20"/>
        </w:rPr>
        <w:t>мост</w:t>
      </w:r>
      <w:r>
        <w:rPr>
          <w:color w:val="231F20"/>
          <w:spacing w:val="5"/>
        </w:rPr>
        <w:t> </w:t>
      </w:r>
      <w:r>
        <w:rPr>
          <w:color w:val="231F20"/>
        </w:rPr>
        <w:t>М-3,</w:t>
      </w:r>
      <w:r>
        <w:rPr>
          <w:color w:val="231F20"/>
          <w:spacing w:val="5"/>
        </w:rPr>
        <w:t> </w:t>
      </w:r>
      <w:r>
        <w:rPr>
          <w:color w:val="231F20"/>
        </w:rPr>
        <w:t>дужине</w:t>
      </w:r>
      <w:r>
        <w:rPr>
          <w:color w:val="231F20"/>
          <w:spacing w:val="5"/>
        </w:rPr>
        <w:t> </w:t>
      </w:r>
      <w:r>
        <w:rPr>
          <w:color w:val="231F20"/>
          <w:spacing w:val="-4"/>
        </w:rPr>
        <w:t>око</w:t>
      </w:r>
      <w:r>
        <w:rPr>
          <w:color w:val="231F20"/>
          <w:spacing w:val="5"/>
        </w:rPr>
        <w:t> </w:t>
      </w:r>
      <w:r>
        <w:rPr>
          <w:color w:val="231F20"/>
        </w:rPr>
        <w:t>80</w:t>
      </w:r>
    </w:p>
    <w:p>
      <w:pPr>
        <w:pStyle w:val="BodyText"/>
        <w:spacing w:line="232" w:lineRule="auto"/>
        <w:ind w:left="243" w:right="128"/>
      </w:pPr>
      <w:r>
        <w:rPr>
          <w:color w:val="231F20"/>
        </w:rPr>
        <w:t>m. По преласку реке Млаве, након 30 m, изграђен је насип (напер) да би се траса правилно увела на нивелету погонске станице тран- спортера Т2, на коти од 85 m. У делу напера траса прелази преко локалног пута, који је регулисан челичним мостом М-2, дужине око 15 m. Дужина трасе транспортера Т2 износи 1.347,20 m.</w:t>
      </w:r>
    </w:p>
    <w:p>
      <w:pPr>
        <w:pStyle w:val="BodyText"/>
        <w:spacing w:line="232" w:lineRule="auto"/>
        <w:ind w:left="243" w:right="127" w:firstLine="396"/>
      </w:pPr>
      <w:r>
        <w:rPr>
          <w:color w:val="231F20"/>
        </w:rPr>
        <w:t>Траса транспортера Т3 дефинисана је реперним тачкама „C” и „D” и прати постојећу конфигурацију терена. У почетном де-  лу трасе, на 40 m </w:t>
      </w:r>
      <w:r>
        <w:rPr>
          <w:color w:val="231F20"/>
          <w:spacing w:val="-3"/>
        </w:rPr>
        <w:t>од тачке  </w:t>
      </w:r>
      <w:r>
        <w:rPr>
          <w:color w:val="231F20"/>
        </w:rPr>
        <w:t>„C” пројектован је бетонски пропуст  за </w:t>
      </w:r>
      <w:r>
        <w:rPr>
          <w:color w:val="231F20"/>
          <w:spacing w:val="-4"/>
        </w:rPr>
        <w:t>траку, </w:t>
      </w:r>
      <w:r>
        <w:rPr>
          <w:color w:val="231F20"/>
        </w:rPr>
        <w:t>којим се пролази испод локалног сеоског пута. Следеће укрштање</w:t>
      </w:r>
      <w:r>
        <w:rPr>
          <w:color w:val="231F20"/>
          <w:spacing w:val="22"/>
        </w:rPr>
        <w:t> </w:t>
      </w:r>
      <w:r>
        <w:rPr>
          <w:color w:val="231F20"/>
        </w:rPr>
        <w:t>са</w:t>
      </w:r>
      <w:r>
        <w:rPr>
          <w:color w:val="231F20"/>
          <w:spacing w:val="22"/>
        </w:rPr>
        <w:t> </w:t>
      </w:r>
      <w:r>
        <w:rPr>
          <w:color w:val="231F20"/>
        </w:rPr>
        <w:t>сеоским</w:t>
      </w:r>
      <w:r>
        <w:rPr>
          <w:color w:val="231F20"/>
          <w:spacing w:val="22"/>
        </w:rPr>
        <w:t> </w:t>
      </w:r>
      <w:r>
        <w:rPr>
          <w:color w:val="231F20"/>
        </w:rPr>
        <w:t>путем</w:t>
      </w:r>
      <w:r>
        <w:rPr>
          <w:color w:val="231F20"/>
          <w:spacing w:val="22"/>
        </w:rPr>
        <w:t> </w:t>
      </w:r>
      <w:r>
        <w:rPr>
          <w:color w:val="231F20"/>
        </w:rPr>
        <w:t>је</w:t>
      </w:r>
      <w:r>
        <w:rPr>
          <w:color w:val="231F20"/>
          <w:spacing w:val="22"/>
        </w:rPr>
        <w:t> </w:t>
      </w:r>
      <w:r>
        <w:rPr>
          <w:color w:val="231F20"/>
        </w:rPr>
        <w:t>на</w:t>
      </w:r>
      <w:r>
        <w:rPr>
          <w:color w:val="231F20"/>
          <w:spacing w:val="22"/>
        </w:rPr>
        <w:t> </w:t>
      </w:r>
      <w:r>
        <w:rPr>
          <w:color w:val="231F20"/>
        </w:rPr>
        <w:t>650</w:t>
      </w:r>
      <w:r>
        <w:rPr>
          <w:color w:val="231F20"/>
          <w:spacing w:val="22"/>
        </w:rPr>
        <w:t> </w:t>
      </w:r>
      <w:r>
        <w:rPr>
          <w:color w:val="231F20"/>
        </w:rPr>
        <w:t>m</w:t>
      </w:r>
      <w:r>
        <w:rPr>
          <w:color w:val="231F20"/>
          <w:spacing w:val="22"/>
        </w:rPr>
        <w:t> </w:t>
      </w:r>
      <w:r>
        <w:rPr>
          <w:color w:val="231F20"/>
        </w:rPr>
        <w:t>и</w:t>
      </w:r>
      <w:r>
        <w:rPr>
          <w:color w:val="231F20"/>
          <w:spacing w:val="22"/>
        </w:rPr>
        <w:t> </w:t>
      </w:r>
      <w:r>
        <w:rPr>
          <w:color w:val="231F20"/>
        </w:rPr>
        <w:t>регулисано</w:t>
      </w:r>
      <w:r>
        <w:rPr>
          <w:color w:val="231F20"/>
          <w:spacing w:val="22"/>
        </w:rPr>
        <w:t> </w:t>
      </w:r>
      <w:r>
        <w:rPr>
          <w:color w:val="231F20"/>
        </w:rPr>
        <w:t>је</w:t>
      </w:r>
      <w:r>
        <w:rPr>
          <w:color w:val="231F20"/>
          <w:spacing w:val="22"/>
        </w:rPr>
        <w:t> </w:t>
      </w:r>
      <w:r>
        <w:rPr>
          <w:color w:val="231F20"/>
        </w:rPr>
        <w:t>такође</w:t>
      </w:r>
    </w:p>
    <w:p>
      <w:pPr>
        <w:spacing w:after="0" w:line="232" w:lineRule="auto"/>
        <w:sectPr>
          <w:pgSz w:w="12480" w:h="15690"/>
          <w:pgMar w:top="120" w:bottom="280" w:left="680" w:right="720"/>
          <w:cols w:num="2" w:equalWidth="0">
            <w:col w:w="5557" w:space="40"/>
            <w:col w:w="5483"/>
          </w:cols>
        </w:sectPr>
      </w:pPr>
    </w:p>
    <w:p>
      <w:pPr>
        <w:pStyle w:val="BodyText"/>
        <w:spacing w:line="232" w:lineRule="auto" w:before="73"/>
        <w:ind w:right="38"/>
      </w:pPr>
      <w:r>
        <w:rPr/>
        <w:pict>
          <v:line style="position:absolute;mso-position-horizontal-relative:page;mso-position-vertical-relative:page;z-index:3928" from="304.724396pt,11.942451pt" to="304.724396pt,748.950451pt" stroked="true" strokeweight=".6pt" strokecolor="#231f20">
            <v:stroke dashstyle="solid"/>
            <w10:wrap type="none"/>
          </v:line>
        </w:pict>
      </w:r>
      <w:r>
        <w:rPr>
          <w:color w:val="231F20"/>
        </w:rPr>
        <w:t>бетонским пропустом за транспортну траку. На даље, траса се пење уз терен како би достигла плато погонске станице на коти 126,50 m. Дужина трасе транспортера Т3 износи 1.098,50 m.</w:t>
      </w:r>
    </w:p>
    <w:p>
      <w:pPr>
        <w:pStyle w:val="BodyText"/>
        <w:spacing w:before="1"/>
        <w:ind w:right="38" w:firstLine="396"/>
      </w:pPr>
      <w:r>
        <w:rPr>
          <w:color w:val="231F20"/>
        </w:rPr>
        <w:t>Траса транспортера Т4 дефинисана је реперним тачкама „D” и „E”. Траса је у константном паду до краја деонице </w:t>
      </w:r>
      <w:r>
        <w:rPr>
          <w:color w:val="231F20"/>
          <w:spacing w:val="-4"/>
        </w:rPr>
        <w:t>где </w:t>
      </w:r>
      <w:r>
        <w:rPr>
          <w:color w:val="231F20"/>
        </w:rPr>
        <w:t>се</w:t>
      </w:r>
      <w:r>
        <w:rPr>
          <w:color w:val="231F20"/>
          <w:spacing w:val="-28"/>
        </w:rPr>
        <w:t> </w:t>
      </w:r>
      <w:r>
        <w:rPr>
          <w:color w:val="231F20"/>
        </w:rPr>
        <w:t>укршта са железничким </w:t>
      </w:r>
      <w:r>
        <w:rPr>
          <w:color w:val="231F20"/>
          <w:spacing w:val="-3"/>
        </w:rPr>
        <w:t>колосеком, </w:t>
      </w:r>
      <w:r>
        <w:rPr>
          <w:color w:val="231F20"/>
        </w:rPr>
        <w:t>ДП II реда за ПК „Дрмно” (у плану је његова</w:t>
      </w:r>
      <w:r>
        <w:rPr>
          <w:color w:val="231F20"/>
          <w:spacing w:val="11"/>
        </w:rPr>
        <w:t> </w:t>
      </w:r>
      <w:r>
        <w:rPr>
          <w:color w:val="231F20"/>
        </w:rPr>
        <w:t>прекатегоризација)</w:t>
      </w:r>
      <w:r>
        <w:rPr>
          <w:color w:val="231F20"/>
          <w:spacing w:val="11"/>
        </w:rPr>
        <w:t> </w:t>
      </w:r>
      <w:r>
        <w:rPr>
          <w:color w:val="231F20"/>
        </w:rPr>
        <w:t>и</w:t>
      </w:r>
      <w:r>
        <w:rPr>
          <w:color w:val="231F20"/>
          <w:spacing w:val="11"/>
        </w:rPr>
        <w:t> </w:t>
      </w:r>
      <w:r>
        <w:rPr>
          <w:color w:val="231F20"/>
        </w:rPr>
        <w:t>делом</w:t>
      </w:r>
      <w:r>
        <w:rPr>
          <w:color w:val="231F20"/>
          <w:spacing w:val="11"/>
        </w:rPr>
        <w:t> </w:t>
      </w:r>
      <w:r>
        <w:rPr>
          <w:color w:val="231F20"/>
        </w:rPr>
        <w:t>индустријског</w:t>
      </w:r>
      <w:r>
        <w:rPr>
          <w:color w:val="231F20"/>
          <w:spacing w:val="11"/>
        </w:rPr>
        <w:t> </w:t>
      </w:r>
      <w:r>
        <w:rPr>
          <w:color w:val="231F20"/>
        </w:rPr>
        <w:t>круга</w:t>
      </w:r>
      <w:r>
        <w:rPr>
          <w:color w:val="231F20"/>
          <w:spacing w:val="11"/>
        </w:rPr>
        <w:t> </w:t>
      </w:r>
      <w:r>
        <w:rPr>
          <w:color w:val="231F20"/>
        </w:rPr>
        <w:t>фабрике</w:t>
      </w:r>
    </w:p>
    <w:p>
      <w:pPr>
        <w:pStyle w:val="BodyText"/>
        <w:spacing w:before="1"/>
        <w:ind w:right="39"/>
      </w:pPr>
      <w:r>
        <w:rPr>
          <w:color w:val="231F20"/>
        </w:rPr>
        <w:t>„ПРИМ”. На овој деоници пројектован је мост М-4 дужине 154  m </w:t>
      </w:r>
      <w:r>
        <w:rPr>
          <w:color w:val="231F20"/>
          <w:spacing w:val="-3"/>
        </w:rPr>
        <w:t>којим </w:t>
      </w:r>
      <w:r>
        <w:rPr>
          <w:color w:val="231F20"/>
        </w:rPr>
        <w:t>се траса завршава на платформи за истресање угља у по- стојећем</w:t>
      </w:r>
      <w:r>
        <w:rPr>
          <w:color w:val="231F20"/>
          <w:spacing w:val="-8"/>
        </w:rPr>
        <w:t> </w:t>
      </w:r>
      <w:r>
        <w:rPr>
          <w:color w:val="231F20"/>
        </w:rPr>
        <w:t>објекту</w:t>
      </w:r>
      <w:r>
        <w:rPr>
          <w:color w:val="231F20"/>
          <w:spacing w:val="-8"/>
        </w:rPr>
        <w:t> </w:t>
      </w:r>
      <w:r>
        <w:rPr>
          <w:color w:val="231F20"/>
        </w:rPr>
        <w:t>истоварног</w:t>
      </w:r>
      <w:r>
        <w:rPr>
          <w:color w:val="231F20"/>
          <w:spacing w:val="-8"/>
        </w:rPr>
        <w:t> </w:t>
      </w:r>
      <w:r>
        <w:rPr>
          <w:color w:val="231F20"/>
        </w:rPr>
        <w:t>бункера</w:t>
      </w:r>
      <w:r>
        <w:rPr>
          <w:color w:val="231F20"/>
          <w:spacing w:val="-8"/>
        </w:rPr>
        <w:t> </w:t>
      </w:r>
      <w:r>
        <w:rPr>
          <w:color w:val="231F20"/>
        </w:rPr>
        <w:t>Дробилане</w:t>
      </w:r>
      <w:r>
        <w:rPr>
          <w:color w:val="231F20"/>
          <w:spacing w:val="-8"/>
        </w:rPr>
        <w:t> </w:t>
      </w:r>
      <w:r>
        <w:rPr>
          <w:color w:val="231F20"/>
        </w:rPr>
        <w:t>ТЕ</w:t>
      </w:r>
      <w:r>
        <w:rPr>
          <w:color w:val="231F20"/>
          <w:spacing w:val="-8"/>
        </w:rPr>
        <w:t> </w:t>
      </w:r>
      <w:r>
        <w:rPr>
          <w:color w:val="231F20"/>
        </w:rPr>
        <w:t>„Костолац</w:t>
      </w:r>
      <w:r>
        <w:rPr>
          <w:color w:val="231F20"/>
          <w:spacing w:val="-8"/>
        </w:rPr>
        <w:t> </w:t>
      </w:r>
      <w:r>
        <w:rPr>
          <w:color w:val="231F20"/>
        </w:rPr>
        <w:t>А”, на </w:t>
      </w:r>
      <w:r>
        <w:rPr>
          <w:color w:val="231F20"/>
          <w:spacing w:val="-4"/>
        </w:rPr>
        <w:t>коти </w:t>
      </w:r>
      <w:r>
        <w:rPr>
          <w:color w:val="231F20"/>
        </w:rPr>
        <w:t>95,50 m. Дужина трасе транспортера Т3 износи 814,50</w:t>
      </w:r>
      <w:r>
        <w:rPr>
          <w:color w:val="231F20"/>
          <w:spacing w:val="-1"/>
        </w:rPr>
        <w:t> </w:t>
      </w:r>
      <w:r>
        <w:rPr>
          <w:color w:val="231F20"/>
        </w:rPr>
        <w:t>m.</w:t>
      </w:r>
    </w:p>
    <w:p>
      <w:pPr>
        <w:pStyle w:val="BodyText"/>
        <w:ind w:right="38" w:firstLine="396"/>
      </w:pPr>
      <w:r>
        <w:rPr>
          <w:color w:val="231F20"/>
        </w:rPr>
        <w:t>Паралелно</w:t>
      </w:r>
      <w:r>
        <w:rPr>
          <w:color w:val="231F20"/>
          <w:spacing w:val="-7"/>
        </w:rPr>
        <w:t> </w:t>
      </w:r>
      <w:r>
        <w:rPr>
          <w:color w:val="231F20"/>
        </w:rPr>
        <w:t>траси</w:t>
      </w:r>
      <w:r>
        <w:rPr>
          <w:color w:val="231F20"/>
          <w:spacing w:val="-7"/>
        </w:rPr>
        <w:t> </w:t>
      </w:r>
      <w:r>
        <w:rPr>
          <w:color w:val="231F20"/>
        </w:rPr>
        <w:t>трачног</w:t>
      </w:r>
      <w:r>
        <w:rPr>
          <w:color w:val="231F20"/>
          <w:spacing w:val="-7"/>
        </w:rPr>
        <w:t> </w:t>
      </w:r>
      <w:r>
        <w:rPr>
          <w:color w:val="231F20"/>
        </w:rPr>
        <w:t>транспортера</w:t>
      </w:r>
      <w:r>
        <w:rPr>
          <w:color w:val="231F20"/>
          <w:spacing w:val="-7"/>
        </w:rPr>
        <w:t> </w:t>
      </w:r>
      <w:r>
        <w:rPr>
          <w:color w:val="231F20"/>
        </w:rPr>
        <w:t>предвиђена</w:t>
      </w:r>
      <w:r>
        <w:rPr>
          <w:color w:val="231F20"/>
          <w:spacing w:val="-7"/>
        </w:rPr>
        <w:t> </w:t>
      </w:r>
      <w:r>
        <w:rPr>
          <w:color w:val="231F20"/>
        </w:rPr>
        <w:t>је</w:t>
      </w:r>
      <w:r>
        <w:rPr>
          <w:color w:val="231F20"/>
          <w:spacing w:val="-7"/>
        </w:rPr>
        <w:t> </w:t>
      </w:r>
      <w:r>
        <w:rPr>
          <w:color w:val="231F20"/>
        </w:rPr>
        <w:t>изград- ња пепеловода за одвођење пепела из ТЕ „Костолац А” до касета за одлагање пепела на простору унутрашњег одлагалишта повр- шинског </w:t>
      </w:r>
      <w:r>
        <w:rPr>
          <w:color w:val="231F20"/>
          <w:spacing w:val="-3"/>
        </w:rPr>
        <w:t>копа</w:t>
      </w:r>
      <w:r>
        <w:rPr>
          <w:color w:val="231F20"/>
          <w:spacing w:val="-2"/>
        </w:rPr>
        <w:t> </w:t>
      </w:r>
      <w:r>
        <w:rPr>
          <w:color w:val="231F20"/>
          <w:spacing w:val="-3"/>
        </w:rPr>
        <w:t>„Ћириковац”.</w:t>
      </w:r>
    </w:p>
    <w:p>
      <w:pPr>
        <w:pStyle w:val="BodyText"/>
        <w:ind w:right="38" w:firstLine="397"/>
      </w:pPr>
      <w:r>
        <w:rPr>
          <w:color w:val="231F20"/>
        </w:rPr>
        <w:t>Подсистем транспорта пепела тј. густе хидромешавине или пасте, од термоелектране до депоније дефинише се у заједничком коридору са трачним транспортером.</w:t>
      </w:r>
    </w:p>
    <w:p>
      <w:pPr>
        <w:pStyle w:val="BodyText"/>
        <w:ind w:right="38" w:firstLine="396"/>
      </w:pPr>
      <w:r>
        <w:rPr>
          <w:color w:val="231F20"/>
        </w:rPr>
        <w:t>Цевоводи</w:t>
      </w:r>
      <w:r>
        <w:rPr>
          <w:color w:val="231F20"/>
          <w:spacing w:val="-8"/>
        </w:rPr>
        <w:t> </w:t>
      </w:r>
      <w:r>
        <w:rPr>
          <w:color w:val="231F20"/>
        </w:rPr>
        <w:t>се</w:t>
      </w:r>
      <w:r>
        <w:rPr>
          <w:color w:val="231F20"/>
          <w:spacing w:val="-8"/>
        </w:rPr>
        <w:t> </w:t>
      </w:r>
      <w:r>
        <w:rPr>
          <w:color w:val="231F20"/>
        </w:rPr>
        <w:t>воде</w:t>
      </w:r>
      <w:r>
        <w:rPr>
          <w:color w:val="231F20"/>
          <w:spacing w:val="-8"/>
        </w:rPr>
        <w:t> </w:t>
      </w:r>
      <w:r>
        <w:rPr>
          <w:color w:val="231F20"/>
        </w:rPr>
        <w:t>на</w:t>
      </w:r>
      <w:r>
        <w:rPr>
          <w:color w:val="231F20"/>
          <w:spacing w:val="-8"/>
        </w:rPr>
        <w:t> </w:t>
      </w:r>
      <w:r>
        <w:rPr>
          <w:color w:val="231F20"/>
        </w:rPr>
        <w:t>високим</w:t>
      </w:r>
      <w:r>
        <w:rPr>
          <w:color w:val="231F20"/>
          <w:spacing w:val="-8"/>
        </w:rPr>
        <w:t> </w:t>
      </w:r>
      <w:r>
        <w:rPr>
          <w:color w:val="231F20"/>
        </w:rPr>
        <w:t>носачима</w:t>
      </w:r>
      <w:r>
        <w:rPr>
          <w:color w:val="231F20"/>
          <w:spacing w:val="-8"/>
        </w:rPr>
        <w:t> </w:t>
      </w:r>
      <w:r>
        <w:rPr>
          <w:color w:val="231F20"/>
        </w:rPr>
        <w:t>и</w:t>
      </w:r>
      <w:r>
        <w:rPr>
          <w:color w:val="231F20"/>
          <w:spacing w:val="-8"/>
        </w:rPr>
        <w:t> </w:t>
      </w:r>
      <w:r>
        <w:rPr>
          <w:color w:val="231F20"/>
        </w:rPr>
        <w:t>прате</w:t>
      </w:r>
      <w:r>
        <w:rPr>
          <w:color w:val="231F20"/>
          <w:spacing w:val="-8"/>
        </w:rPr>
        <w:t> </w:t>
      </w:r>
      <w:r>
        <w:rPr>
          <w:color w:val="231F20"/>
        </w:rPr>
        <w:t>трасу</w:t>
      </w:r>
      <w:r>
        <w:rPr>
          <w:color w:val="231F20"/>
          <w:spacing w:val="-8"/>
        </w:rPr>
        <w:t> </w:t>
      </w:r>
      <w:r>
        <w:rPr>
          <w:color w:val="231F20"/>
        </w:rPr>
        <w:t>трачног транспортера са северне стране све до надвожњака, да би </w:t>
      </w:r>
      <w:r>
        <w:rPr>
          <w:color w:val="231F20"/>
          <w:spacing w:val="-3"/>
        </w:rPr>
        <w:t>након </w:t>
      </w:r>
      <w:r>
        <w:rPr>
          <w:color w:val="231F20"/>
        </w:rPr>
        <w:t>тога прешли на другу страну и спојили се са пепеловодом </w:t>
      </w:r>
      <w:r>
        <w:rPr>
          <w:color w:val="231F20"/>
          <w:spacing w:val="-3"/>
        </w:rPr>
        <w:t>који </w:t>
      </w:r>
      <w:r>
        <w:rPr>
          <w:color w:val="231F20"/>
        </w:rPr>
        <w:t>во- ди </w:t>
      </w:r>
      <w:r>
        <w:rPr>
          <w:color w:val="231F20"/>
          <w:spacing w:val="-3"/>
        </w:rPr>
        <w:t>од </w:t>
      </w:r>
      <w:r>
        <w:rPr>
          <w:color w:val="231F20"/>
        </w:rPr>
        <w:t>ТЕ „Костолац Б” до одлагалишта</w:t>
      </w:r>
      <w:r>
        <w:rPr>
          <w:color w:val="231F20"/>
          <w:spacing w:val="-4"/>
        </w:rPr>
        <w:t> </w:t>
      </w:r>
      <w:r>
        <w:rPr>
          <w:color w:val="231F20"/>
          <w:spacing w:val="-3"/>
        </w:rPr>
        <w:t>„Ћириковац”.</w:t>
      </w:r>
    </w:p>
    <w:p>
      <w:pPr>
        <w:pStyle w:val="BodyText"/>
        <w:ind w:right="38" w:firstLine="397"/>
      </w:pPr>
      <w:r>
        <w:rPr>
          <w:color w:val="231F20"/>
        </w:rPr>
        <w:t>Технолошки процес обраде угља у ТЕ „Костолац Б” и про- дукти процеса одсумпоравања захтевају транспорт материјала си- стемом</w:t>
      </w:r>
      <w:r>
        <w:rPr>
          <w:color w:val="231F20"/>
          <w:spacing w:val="-7"/>
        </w:rPr>
        <w:t> </w:t>
      </w:r>
      <w:r>
        <w:rPr>
          <w:color w:val="231F20"/>
        </w:rPr>
        <w:t>цевовода</w:t>
      </w:r>
      <w:r>
        <w:rPr>
          <w:color w:val="231F20"/>
          <w:spacing w:val="-7"/>
        </w:rPr>
        <w:t> </w:t>
      </w:r>
      <w:r>
        <w:rPr>
          <w:color w:val="231F20"/>
        </w:rPr>
        <w:t>до</w:t>
      </w:r>
      <w:r>
        <w:rPr>
          <w:color w:val="231F20"/>
          <w:spacing w:val="-7"/>
        </w:rPr>
        <w:t> </w:t>
      </w:r>
      <w:r>
        <w:rPr>
          <w:color w:val="231F20"/>
        </w:rPr>
        <w:t>депоније</w:t>
      </w:r>
      <w:r>
        <w:rPr>
          <w:color w:val="231F20"/>
          <w:spacing w:val="-7"/>
        </w:rPr>
        <w:t> </w:t>
      </w:r>
      <w:r>
        <w:rPr>
          <w:color w:val="231F20"/>
          <w:spacing w:val="-3"/>
        </w:rPr>
        <w:t>„Ћириковац”.</w:t>
      </w:r>
      <w:r>
        <w:rPr>
          <w:color w:val="231F20"/>
          <w:spacing w:val="-7"/>
        </w:rPr>
        <w:t> </w:t>
      </w:r>
      <w:r>
        <w:rPr>
          <w:color w:val="231F20"/>
        </w:rPr>
        <w:t>Пепеловод</w:t>
      </w:r>
      <w:r>
        <w:rPr>
          <w:color w:val="231F20"/>
          <w:spacing w:val="-7"/>
        </w:rPr>
        <w:t> </w:t>
      </w:r>
      <w:r>
        <w:rPr>
          <w:color w:val="231F20"/>
        </w:rPr>
        <w:t>се</w:t>
      </w:r>
      <w:r>
        <w:rPr>
          <w:color w:val="231F20"/>
          <w:spacing w:val="-7"/>
        </w:rPr>
        <w:t> </w:t>
      </w:r>
      <w:r>
        <w:rPr>
          <w:color w:val="231F20"/>
        </w:rPr>
        <w:t>из</w:t>
      </w:r>
      <w:r>
        <w:rPr>
          <w:color w:val="231F20"/>
          <w:spacing w:val="-7"/>
        </w:rPr>
        <w:t> </w:t>
      </w:r>
      <w:r>
        <w:rPr>
          <w:color w:val="231F20"/>
        </w:rPr>
        <w:t>ТЕКО</w:t>
      </w:r>
    </w:p>
    <w:p>
      <w:pPr>
        <w:pStyle w:val="BodyText"/>
        <w:ind w:right="38"/>
      </w:pPr>
      <w:r>
        <w:rPr>
          <w:color w:val="231F20"/>
        </w:rPr>
        <w:t>„Б”</w:t>
      </w:r>
      <w:r>
        <w:rPr>
          <w:color w:val="231F20"/>
          <w:spacing w:val="-8"/>
        </w:rPr>
        <w:t> </w:t>
      </w:r>
      <w:r>
        <w:rPr>
          <w:color w:val="231F20"/>
        </w:rPr>
        <w:t>једним</w:t>
      </w:r>
      <w:r>
        <w:rPr>
          <w:color w:val="231F20"/>
          <w:spacing w:val="-8"/>
        </w:rPr>
        <w:t> </w:t>
      </w:r>
      <w:r>
        <w:rPr>
          <w:color w:val="231F20"/>
        </w:rPr>
        <w:t>својим</w:t>
      </w:r>
      <w:r>
        <w:rPr>
          <w:color w:val="231F20"/>
          <w:spacing w:val="-8"/>
        </w:rPr>
        <w:t> </w:t>
      </w:r>
      <w:r>
        <w:rPr>
          <w:color w:val="231F20"/>
        </w:rPr>
        <w:t>делом</w:t>
      </w:r>
      <w:r>
        <w:rPr>
          <w:color w:val="231F20"/>
          <w:spacing w:val="-8"/>
        </w:rPr>
        <w:t> </w:t>
      </w:r>
      <w:r>
        <w:rPr>
          <w:color w:val="231F20"/>
        </w:rPr>
        <w:t>води</w:t>
      </w:r>
      <w:r>
        <w:rPr>
          <w:color w:val="231F20"/>
          <w:spacing w:val="-8"/>
        </w:rPr>
        <w:t> </w:t>
      </w:r>
      <w:r>
        <w:rPr>
          <w:color w:val="231F20"/>
        </w:rPr>
        <w:t>са</w:t>
      </w:r>
      <w:r>
        <w:rPr>
          <w:color w:val="231F20"/>
          <w:spacing w:val="-8"/>
        </w:rPr>
        <w:t> </w:t>
      </w:r>
      <w:r>
        <w:rPr>
          <w:color w:val="231F20"/>
        </w:rPr>
        <w:t>северне</w:t>
      </w:r>
      <w:r>
        <w:rPr>
          <w:color w:val="231F20"/>
          <w:spacing w:val="-8"/>
        </w:rPr>
        <w:t> </w:t>
      </w:r>
      <w:r>
        <w:rPr>
          <w:color w:val="231F20"/>
        </w:rPr>
        <w:t>стране</w:t>
      </w:r>
      <w:r>
        <w:rPr>
          <w:color w:val="231F20"/>
          <w:spacing w:val="-8"/>
        </w:rPr>
        <w:t> </w:t>
      </w:r>
      <w:r>
        <w:rPr>
          <w:color w:val="231F20"/>
        </w:rPr>
        <w:t>трачног</w:t>
      </w:r>
      <w:r>
        <w:rPr>
          <w:color w:val="231F20"/>
          <w:spacing w:val="-8"/>
        </w:rPr>
        <w:t> </w:t>
      </w:r>
      <w:r>
        <w:rPr>
          <w:color w:val="231F20"/>
        </w:rPr>
        <w:t>транспор- тера,</w:t>
      </w:r>
      <w:r>
        <w:rPr>
          <w:color w:val="231F20"/>
          <w:spacing w:val="17"/>
        </w:rPr>
        <w:t> </w:t>
      </w:r>
      <w:r>
        <w:rPr>
          <w:color w:val="231F20"/>
        </w:rPr>
        <w:t>да</w:t>
      </w:r>
      <w:r>
        <w:rPr>
          <w:color w:val="231F20"/>
          <w:spacing w:val="17"/>
        </w:rPr>
        <w:t> </w:t>
      </w:r>
      <w:r>
        <w:rPr>
          <w:color w:val="231F20"/>
        </w:rPr>
        <w:t>би</w:t>
      </w:r>
      <w:r>
        <w:rPr>
          <w:color w:val="231F20"/>
          <w:spacing w:val="17"/>
        </w:rPr>
        <w:t> </w:t>
      </w:r>
      <w:r>
        <w:rPr>
          <w:color w:val="231F20"/>
        </w:rPr>
        <w:t>се</w:t>
      </w:r>
      <w:r>
        <w:rPr>
          <w:color w:val="231F20"/>
          <w:spacing w:val="17"/>
        </w:rPr>
        <w:t> </w:t>
      </w:r>
      <w:r>
        <w:rPr>
          <w:color w:val="231F20"/>
        </w:rPr>
        <w:t>на</w:t>
      </w:r>
      <w:r>
        <w:rPr>
          <w:color w:val="231F20"/>
          <w:spacing w:val="17"/>
        </w:rPr>
        <w:t> </w:t>
      </w:r>
      <w:r>
        <w:rPr>
          <w:color w:val="231F20"/>
        </w:rPr>
        <w:t>одређеном</w:t>
      </w:r>
      <w:r>
        <w:rPr>
          <w:color w:val="231F20"/>
          <w:spacing w:val="17"/>
        </w:rPr>
        <w:t> </w:t>
      </w:r>
      <w:r>
        <w:rPr>
          <w:color w:val="231F20"/>
        </w:rPr>
        <w:t>месту</w:t>
      </w:r>
      <w:r>
        <w:rPr>
          <w:color w:val="231F20"/>
          <w:spacing w:val="17"/>
        </w:rPr>
        <w:t> </w:t>
      </w:r>
      <w:r>
        <w:rPr>
          <w:color w:val="231F20"/>
        </w:rPr>
        <w:t>спојио</w:t>
      </w:r>
      <w:r>
        <w:rPr>
          <w:color w:val="231F20"/>
          <w:spacing w:val="17"/>
        </w:rPr>
        <w:t> </w:t>
      </w:r>
      <w:r>
        <w:rPr>
          <w:color w:val="231F20"/>
        </w:rPr>
        <w:t>са</w:t>
      </w:r>
      <w:r>
        <w:rPr>
          <w:color w:val="231F20"/>
          <w:spacing w:val="17"/>
        </w:rPr>
        <w:t> </w:t>
      </w:r>
      <w:r>
        <w:rPr>
          <w:color w:val="231F20"/>
        </w:rPr>
        <w:t>пепеловодом</w:t>
      </w:r>
      <w:r>
        <w:rPr>
          <w:color w:val="231F20"/>
          <w:spacing w:val="17"/>
        </w:rPr>
        <w:t> </w:t>
      </w:r>
      <w:r>
        <w:rPr>
          <w:color w:val="231F20"/>
        </w:rPr>
        <w:t>из</w:t>
      </w:r>
      <w:r>
        <w:rPr>
          <w:color w:val="231F20"/>
          <w:spacing w:val="17"/>
        </w:rPr>
        <w:t> </w:t>
      </w:r>
      <w:r>
        <w:rPr>
          <w:color w:val="231F20"/>
        </w:rPr>
        <w:t>ТЕ</w:t>
      </w:r>
    </w:p>
    <w:p>
      <w:pPr>
        <w:pStyle w:val="BodyText"/>
        <w:ind w:right="38"/>
      </w:pPr>
      <w:r>
        <w:rPr>
          <w:color w:val="231F20"/>
        </w:rPr>
        <w:t>„Костолац</w:t>
      </w:r>
      <w:r>
        <w:rPr>
          <w:color w:val="231F20"/>
          <w:spacing w:val="-7"/>
        </w:rPr>
        <w:t> </w:t>
      </w:r>
      <w:r>
        <w:rPr>
          <w:color w:val="231F20"/>
        </w:rPr>
        <w:t>А”,</w:t>
      </w:r>
      <w:r>
        <w:rPr>
          <w:color w:val="231F20"/>
          <w:spacing w:val="-7"/>
        </w:rPr>
        <w:t> </w:t>
      </w:r>
      <w:r>
        <w:rPr>
          <w:color w:val="231F20"/>
        </w:rPr>
        <w:t>укрстио</w:t>
      </w:r>
      <w:r>
        <w:rPr>
          <w:color w:val="231F20"/>
          <w:spacing w:val="-7"/>
        </w:rPr>
        <w:t> </w:t>
      </w:r>
      <w:r>
        <w:rPr>
          <w:color w:val="231F20"/>
        </w:rPr>
        <w:t>са</w:t>
      </w:r>
      <w:r>
        <w:rPr>
          <w:color w:val="231F20"/>
          <w:spacing w:val="-7"/>
        </w:rPr>
        <w:t> </w:t>
      </w:r>
      <w:r>
        <w:rPr>
          <w:color w:val="231F20"/>
        </w:rPr>
        <w:t>трасом</w:t>
      </w:r>
      <w:r>
        <w:rPr>
          <w:color w:val="231F20"/>
          <w:spacing w:val="-7"/>
        </w:rPr>
        <w:t> </w:t>
      </w:r>
      <w:r>
        <w:rPr>
          <w:color w:val="231F20"/>
        </w:rPr>
        <w:t>трачног</w:t>
      </w:r>
      <w:r>
        <w:rPr>
          <w:color w:val="231F20"/>
          <w:spacing w:val="-7"/>
        </w:rPr>
        <w:t> </w:t>
      </w:r>
      <w:r>
        <w:rPr>
          <w:color w:val="231F20"/>
        </w:rPr>
        <w:t>транспортера</w:t>
      </w:r>
      <w:r>
        <w:rPr>
          <w:color w:val="231F20"/>
          <w:spacing w:val="-7"/>
        </w:rPr>
        <w:t> </w:t>
      </w:r>
      <w:r>
        <w:rPr>
          <w:color w:val="231F20"/>
        </w:rPr>
        <w:t>и</w:t>
      </w:r>
      <w:r>
        <w:rPr>
          <w:color w:val="231F20"/>
          <w:spacing w:val="-7"/>
        </w:rPr>
        <w:t> </w:t>
      </w:r>
      <w:r>
        <w:rPr>
          <w:color w:val="231F20"/>
        </w:rPr>
        <w:t>наставио у</w:t>
      </w:r>
      <w:r>
        <w:rPr>
          <w:color w:val="231F20"/>
          <w:spacing w:val="-9"/>
        </w:rPr>
        <w:t> </w:t>
      </w:r>
      <w:r>
        <w:rPr>
          <w:color w:val="231F20"/>
        </w:rPr>
        <w:t>заједничком</w:t>
      </w:r>
      <w:r>
        <w:rPr>
          <w:color w:val="231F20"/>
          <w:spacing w:val="-9"/>
        </w:rPr>
        <w:t> </w:t>
      </w:r>
      <w:r>
        <w:rPr>
          <w:color w:val="231F20"/>
        </w:rPr>
        <w:t>коридору</w:t>
      </w:r>
      <w:r>
        <w:rPr>
          <w:color w:val="231F20"/>
          <w:spacing w:val="-9"/>
        </w:rPr>
        <w:t> </w:t>
      </w:r>
      <w:r>
        <w:rPr>
          <w:color w:val="231F20"/>
        </w:rPr>
        <w:t>до</w:t>
      </w:r>
      <w:r>
        <w:rPr>
          <w:color w:val="231F20"/>
          <w:spacing w:val="-9"/>
        </w:rPr>
        <w:t> </w:t>
      </w:r>
      <w:r>
        <w:rPr>
          <w:color w:val="231F20"/>
        </w:rPr>
        <w:t>депоније</w:t>
      </w:r>
      <w:r>
        <w:rPr>
          <w:color w:val="231F20"/>
          <w:spacing w:val="-9"/>
        </w:rPr>
        <w:t> </w:t>
      </w:r>
      <w:r>
        <w:rPr>
          <w:color w:val="231F20"/>
        </w:rPr>
        <w:t>на</w:t>
      </w:r>
      <w:r>
        <w:rPr>
          <w:color w:val="231F20"/>
          <w:spacing w:val="-9"/>
        </w:rPr>
        <w:t> </w:t>
      </w:r>
      <w:r>
        <w:rPr>
          <w:color w:val="231F20"/>
        </w:rPr>
        <w:t>одлагалишту</w:t>
      </w:r>
      <w:r>
        <w:rPr>
          <w:color w:val="231F20"/>
          <w:spacing w:val="-9"/>
        </w:rPr>
        <w:t> </w:t>
      </w:r>
      <w:r>
        <w:rPr>
          <w:color w:val="231F20"/>
          <w:spacing w:val="-3"/>
        </w:rPr>
        <w:t>„Ћириковац”.</w:t>
      </w:r>
    </w:p>
    <w:p>
      <w:pPr>
        <w:pStyle w:val="BodyText"/>
        <w:ind w:left="567"/>
        <w:jc w:val="left"/>
      </w:pPr>
      <w:r>
        <w:rPr>
          <w:color w:val="231F20"/>
        </w:rPr>
        <w:t>Објекти за пријем угља у ТЕ „Костолац А”</w:t>
      </w:r>
    </w:p>
    <w:p>
      <w:pPr>
        <w:pStyle w:val="BodyText"/>
        <w:ind w:right="38" w:firstLine="396"/>
      </w:pPr>
      <w:r>
        <w:rPr>
          <w:color w:val="231F20"/>
        </w:rPr>
        <w:t>Предаја угља у ТЕ „Костолац А” врши се на позицији „При- јемни бункер”. Објекти пријема угља су истоварни </w:t>
      </w:r>
      <w:r>
        <w:rPr>
          <w:color w:val="231F20"/>
          <w:spacing w:val="-3"/>
        </w:rPr>
        <w:t>бункер </w:t>
      </w:r>
      <w:r>
        <w:rPr>
          <w:color w:val="231F20"/>
        </w:rPr>
        <w:t>и дро- билана.</w:t>
      </w:r>
      <w:r>
        <w:rPr>
          <w:color w:val="231F20"/>
          <w:spacing w:val="-8"/>
        </w:rPr>
        <w:t> </w:t>
      </w:r>
      <w:r>
        <w:rPr>
          <w:color w:val="231F20"/>
        </w:rPr>
        <w:t>Предаја</w:t>
      </w:r>
      <w:r>
        <w:rPr>
          <w:color w:val="231F20"/>
          <w:spacing w:val="-8"/>
        </w:rPr>
        <w:t> </w:t>
      </w:r>
      <w:r>
        <w:rPr>
          <w:color w:val="231F20"/>
        </w:rPr>
        <w:t>угља</w:t>
      </w:r>
      <w:r>
        <w:rPr>
          <w:color w:val="231F20"/>
          <w:spacing w:val="-8"/>
        </w:rPr>
        <w:t> </w:t>
      </w:r>
      <w:r>
        <w:rPr>
          <w:color w:val="231F20"/>
        </w:rPr>
        <w:t>врши</w:t>
      </w:r>
      <w:r>
        <w:rPr>
          <w:color w:val="231F20"/>
          <w:spacing w:val="-8"/>
        </w:rPr>
        <w:t> </w:t>
      </w:r>
      <w:r>
        <w:rPr>
          <w:color w:val="231F20"/>
        </w:rPr>
        <w:t>се</w:t>
      </w:r>
      <w:r>
        <w:rPr>
          <w:color w:val="231F20"/>
          <w:spacing w:val="-8"/>
        </w:rPr>
        <w:t> </w:t>
      </w:r>
      <w:r>
        <w:rPr>
          <w:color w:val="231F20"/>
        </w:rPr>
        <w:t>са</w:t>
      </w:r>
      <w:r>
        <w:rPr>
          <w:color w:val="231F20"/>
          <w:spacing w:val="-8"/>
        </w:rPr>
        <w:t> </w:t>
      </w:r>
      <w:r>
        <w:rPr>
          <w:color w:val="231F20"/>
        </w:rPr>
        <w:t>транспортера</w:t>
      </w:r>
      <w:r>
        <w:rPr>
          <w:color w:val="231F20"/>
          <w:spacing w:val="-8"/>
        </w:rPr>
        <w:t> </w:t>
      </w:r>
      <w:r>
        <w:rPr>
          <w:color w:val="231F20"/>
        </w:rPr>
        <w:t>Т4</w:t>
      </w:r>
      <w:r>
        <w:rPr>
          <w:color w:val="231F20"/>
          <w:spacing w:val="-8"/>
        </w:rPr>
        <w:t> </w:t>
      </w:r>
      <w:r>
        <w:rPr>
          <w:color w:val="231F20"/>
        </w:rPr>
        <w:t>у</w:t>
      </w:r>
      <w:r>
        <w:rPr>
          <w:color w:val="231F20"/>
          <w:spacing w:val="-8"/>
        </w:rPr>
        <w:t> </w:t>
      </w:r>
      <w:r>
        <w:rPr>
          <w:color w:val="231F20"/>
        </w:rPr>
        <w:t>постојећи</w:t>
      </w:r>
      <w:r>
        <w:rPr>
          <w:color w:val="231F20"/>
          <w:spacing w:val="-8"/>
        </w:rPr>
        <w:t> </w:t>
      </w:r>
      <w:r>
        <w:rPr>
          <w:color w:val="231F20"/>
        </w:rPr>
        <w:t>„Ис- товарни бункер” дробилане ТЕ „Костолац А” капацитета 2х150 t, чији капацитет износи 600 t/h, по једној технолошкој</w:t>
      </w:r>
      <w:r>
        <w:rPr>
          <w:color w:val="231F20"/>
          <w:spacing w:val="-20"/>
        </w:rPr>
        <w:t> </w:t>
      </w:r>
      <w:r>
        <w:rPr>
          <w:color w:val="231F20"/>
        </w:rPr>
        <w:t>линији.</w:t>
      </w:r>
    </w:p>
    <w:p>
      <w:pPr>
        <w:pStyle w:val="BodyText"/>
        <w:ind w:right="38" w:firstLine="396"/>
      </w:pPr>
      <w:r>
        <w:rPr>
          <w:color w:val="231F20"/>
        </w:rPr>
        <w:t>Не предвиђа се изградња нових помоћних објеката, већ задр- жавање и експлоатација постојећих.</w:t>
      </w:r>
    </w:p>
    <w:p>
      <w:pPr>
        <w:pStyle w:val="BodyText"/>
        <w:spacing w:before="7"/>
        <w:ind w:left="0"/>
        <w:jc w:val="left"/>
        <w:rPr>
          <w:sz w:val="29"/>
        </w:rPr>
      </w:pPr>
    </w:p>
    <w:p>
      <w:pPr>
        <w:spacing w:before="0"/>
        <w:ind w:left="1901" w:right="0" w:firstLine="0"/>
        <w:jc w:val="left"/>
        <w:rPr>
          <w:i/>
          <w:sz w:val="18"/>
        </w:rPr>
      </w:pPr>
      <w:r>
        <w:rPr>
          <w:i/>
          <w:color w:val="231F20"/>
          <w:sz w:val="18"/>
        </w:rPr>
        <w:t>2.4. Правила уређења</w:t>
      </w:r>
    </w:p>
    <w:p>
      <w:pPr>
        <w:pStyle w:val="BodyText"/>
        <w:ind w:left="0"/>
        <w:jc w:val="left"/>
        <w:rPr>
          <w:i/>
        </w:rPr>
      </w:pPr>
    </w:p>
    <w:p>
      <w:pPr>
        <w:pStyle w:val="BodyText"/>
        <w:ind w:right="38" w:firstLine="397"/>
      </w:pPr>
      <w:r>
        <w:rPr>
          <w:color w:val="231F20"/>
        </w:rPr>
        <w:t>Обухват коридора трачног транспорта угља је дефинисан до уласка у комплекс Термоелектране одакле успоставља своју регу- лацију као на рефералној карти бр. 6.2.2. „Основи за парцелацију и прибављање земљишта”.</w:t>
      </w:r>
    </w:p>
    <w:p>
      <w:pPr>
        <w:pStyle w:val="BodyText"/>
        <w:ind w:right="38" w:firstLine="396"/>
      </w:pPr>
      <w:r>
        <w:rPr>
          <w:color w:val="231F20"/>
        </w:rPr>
        <w:t>На</w:t>
      </w:r>
      <w:r>
        <w:rPr>
          <w:color w:val="231F20"/>
          <w:spacing w:val="-8"/>
        </w:rPr>
        <w:t> </w:t>
      </w:r>
      <w:r>
        <w:rPr>
          <w:color w:val="231F20"/>
        </w:rPr>
        <w:t>делу</w:t>
      </w:r>
      <w:r>
        <w:rPr>
          <w:color w:val="231F20"/>
          <w:spacing w:val="-8"/>
        </w:rPr>
        <w:t> </w:t>
      </w:r>
      <w:r>
        <w:rPr>
          <w:color w:val="231F20"/>
        </w:rPr>
        <w:t>заједничког</w:t>
      </w:r>
      <w:r>
        <w:rPr>
          <w:color w:val="231F20"/>
          <w:spacing w:val="-8"/>
        </w:rPr>
        <w:t> </w:t>
      </w:r>
      <w:r>
        <w:rPr>
          <w:color w:val="231F20"/>
        </w:rPr>
        <w:t>вођења</w:t>
      </w:r>
      <w:r>
        <w:rPr>
          <w:color w:val="231F20"/>
          <w:spacing w:val="-8"/>
        </w:rPr>
        <w:t> </w:t>
      </w:r>
      <w:r>
        <w:rPr>
          <w:color w:val="231F20"/>
        </w:rPr>
        <w:t>трасе</w:t>
      </w:r>
      <w:r>
        <w:rPr>
          <w:color w:val="231F20"/>
          <w:spacing w:val="-8"/>
        </w:rPr>
        <w:t> </w:t>
      </w:r>
      <w:r>
        <w:rPr>
          <w:color w:val="231F20"/>
        </w:rPr>
        <w:t>трачног</w:t>
      </w:r>
      <w:r>
        <w:rPr>
          <w:color w:val="231F20"/>
          <w:spacing w:val="-8"/>
        </w:rPr>
        <w:t> </w:t>
      </w:r>
      <w:r>
        <w:rPr>
          <w:color w:val="231F20"/>
        </w:rPr>
        <w:t>транспортера</w:t>
      </w:r>
      <w:r>
        <w:rPr>
          <w:color w:val="231F20"/>
          <w:spacing w:val="-8"/>
        </w:rPr>
        <w:t> </w:t>
      </w:r>
      <w:r>
        <w:rPr>
          <w:color w:val="231F20"/>
        </w:rPr>
        <w:t>и</w:t>
      </w:r>
      <w:r>
        <w:rPr>
          <w:color w:val="231F20"/>
          <w:spacing w:val="-8"/>
        </w:rPr>
        <w:t> </w:t>
      </w:r>
      <w:r>
        <w:rPr>
          <w:color w:val="231F20"/>
        </w:rPr>
        <w:t>пе- пеловода налази се и сервисна саобраћајница </w:t>
      </w:r>
      <w:r>
        <w:rPr>
          <w:color w:val="231F20"/>
          <w:spacing w:val="-3"/>
        </w:rPr>
        <w:t>која </w:t>
      </w:r>
      <w:r>
        <w:rPr>
          <w:color w:val="231F20"/>
        </w:rPr>
        <w:t>ће служити оба подсистема и заједно са њима чинити јединствени</w:t>
      </w:r>
      <w:r>
        <w:rPr>
          <w:color w:val="231F20"/>
          <w:spacing w:val="-18"/>
        </w:rPr>
        <w:t> </w:t>
      </w:r>
      <w:r>
        <w:rPr>
          <w:color w:val="231F20"/>
        </w:rPr>
        <w:t>коридор.</w:t>
      </w:r>
    </w:p>
    <w:p>
      <w:pPr>
        <w:pStyle w:val="BodyText"/>
        <w:ind w:right="38" w:firstLine="396"/>
      </w:pPr>
      <w:r>
        <w:rPr>
          <w:color w:val="231F20"/>
        </w:rPr>
        <w:t>Траса трачног транспортера представља појас </w:t>
      </w:r>
      <w:r>
        <w:rPr>
          <w:color w:val="231F20"/>
          <w:spacing w:val="-3"/>
        </w:rPr>
        <w:t>од </w:t>
      </w:r>
      <w:r>
        <w:rPr>
          <w:color w:val="231F20"/>
        </w:rPr>
        <w:t>10-14 м </w:t>
      </w:r>
      <w:r>
        <w:rPr>
          <w:color w:val="231F20"/>
          <w:spacing w:val="-4"/>
        </w:rPr>
        <w:t>ко- </w:t>
      </w:r>
      <w:r>
        <w:rPr>
          <w:color w:val="231F20"/>
        </w:rPr>
        <w:t>ја</w:t>
      </w:r>
      <w:r>
        <w:rPr>
          <w:color w:val="231F20"/>
          <w:spacing w:val="-12"/>
        </w:rPr>
        <w:t> </w:t>
      </w:r>
      <w:r>
        <w:rPr>
          <w:color w:val="231F20"/>
        </w:rPr>
        <w:t>је</w:t>
      </w:r>
      <w:r>
        <w:rPr>
          <w:color w:val="231F20"/>
          <w:spacing w:val="-12"/>
        </w:rPr>
        <w:t> </w:t>
      </w:r>
      <w:r>
        <w:rPr>
          <w:color w:val="231F20"/>
        </w:rPr>
        <w:t>дефинисан</w:t>
      </w:r>
      <w:r>
        <w:rPr>
          <w:color w:val="231F20"/>
          <w:spacing w:val="-12"/>
        </w:rPr>
        <w:t> </w:t>
      </w:r>
      <w:r>
        <w:rPr>
          <w:color w:val="231F20"/>
        </w:rPr>
        <w:t>одговарајућим</w:t>
      </w:r>
      <w:r>
        <w:rPr>
          <w:color w:val="231F20"/>
          <w:spacing w:val="-12"/>
        </w:rPr>
        <w:t> </w:t>
      </w:r>
      <w:r>
        <w:rPr>
          <w:color w:val="231F20"/>
        </w:rPr>
        <w:t>аналитичко</w:t>
      </w:r>
      <w:r>
        <w:rPr>
          <w:color w:val="231F20"/>
          <w:spacing w:val="-12"/>
        </w:rPr>
        <w:t> </w:t>
      </w:r>
      <w:r>
        <w:rPr>
          <w:color w:val="231F20"/>
        </w:rPr>
        <w:t>геодетским</w:t>
      </w:r>
      <w:r>
        <w:rPr>
          <w:color w:val="231F20"/>
          <w:spacing w:val="-12"/>
        </w:rPr>
        <w:t> </w:t>
      </w:r>
      <w:r>
        <w:rPr>
          <w:color w:val="231F20"/>
        </w:rPr>
        <w:t>елементима приказаним у табели бр. 1. и на рефералној карти бр. 6.2.1. „Пла- нирана намена</w:t>
      </w:r>
      <w:r>
        <w:rPr>
          <w:color w:val="231F20"/>
          <w:spacing w:val="-3"/>
        </w:rPr>
        <w:t> </w:t>
      </w:r>
      <w:r>
        <w:rPr>
          <w:color w:val="231F20"/>
        </w:rPr>
        <w:t>површина”.</w:t>
      </w:r>
    </w:p>
    <w:p>
      <w:pPr>
        <w:pStyle w:val="BodyText"/>
        <w:ind w:right="38" w:firstLine="397"/>
      </w:pPr>
      <w:r>
        <w:rPr>
          <w:color w:val="231F20"/>
        </w:rPr>
        <w:t>Линија обухвата (коридора трачног транспорта угља) је </w:t>
      </w:r>
      <w:r>
        <w:rPr>
          <w:color w:val="231F20"/>
          <w:spacing w:val="-3"/>
        </w:rPr>
        <w:t>од- </w:t>
      </w:r>
      <w:r>
        <w:rPr>
          <w:color w:val="231F20"/>
        </w:rPr>
        <w:t>ређена пописом припадајућих катастарских парцела. </w:t>
      </w:r>
      <w:r>
        <w:rPr>
          <w:color w:val="231F20"/>
          <w:spacing w:val="-3"/>
        </w:rPr>
        <w:t>Обухват </w:t>
      </w:r>
      <w:r>
        <w:rPr>
          <w:color w:val="231F20"/>
        </w:rPr>
        <w:t>по- чиње</w:t>
      </w:r>
      <w:r>
        <w:rPr>
          <w:color w:val="231F20"/>
          <w:spacing w:val="-6"/>
        </w:rPr>
        <w:t> </w:t>
      </w:r>
      <w:r>
        <w:rPr>
          <w:color w:val="231F20"/>
          <w:spacing w:val="-3"/>
        </w:rPr>
        <w:t>од</w:t>
      </w:r>
      <w:r>
        <w:rPr>
          <w:color w:val="231F20"/>
          <w:spacing w:val="-6"/>
        </w:rPr>
        <w:t> </w:t>
      </w:r>
      <w:r>
        <w:rPr>
          <w:color w:val="231F20"/>
        </w:rPr>
        <w:t>пријемног</w:t>
      </w:r>
      <w:r>
        <w:rPr>
          <w:color w:val="231F20"/>
          <w:spacing w:val="-6"/>
        </w:rPr>
        <w:t> </w:t>
      </w:r>
      <w:r>
        <w:rPr>
          <w:color w:val="231F20"/>
        </w:rPr>
        <w:t>бункера</w:t>
      </w:r>
      <w:r>
        <w:rPr>
          <w:color w:val="231F20"/>
          <w:spacing w:val="-6"/>
        </w:rPr>
        <w:t> </w:t>
      </w:r>
      <w:r>
        <w:rPr>
          <w:color w:val="231F20"/>
        </w:rPr>
        <w:t>у</w:t>
      </w:r>
      <w:r>
        <w:rPr>
          <w:color w:val="231F20"/>
          <w:spacing w:val="-6"/>
        </w:rPr>
        <w:t> </w:t>
      </w:r>
      <w:r>
        <w:rPr>
          <w:color w:val="231F20"/>
          <w:spacing w:val="-3"/>
        </w:rPr>
        <w:t>КО</w:t>
      </w:r>
      <w:r>
        <w:rPr>
          <w:color w:val="231F20"/>
          <w:spacing w:val="-6"/>
        </w:rPr>
        <w:t> </w:t>
      </w:r>
      <w:r>
        <w:rPr>
          <w:color w:val="231F20"/>
        </w:rPr>
        <w:t>Костолац</w:t>
      </w:r>
      <w:r>
        <w:rPr>
          <w:color w:val="231F20"/>
          <w:spacing w:val="-6"/>
        </w:rPr>
        <w:t> </w:t>
      </w:r>
      <w:r>
        <w:rPr>
          <w:color w:val="231F20"/>
          <w:spacing w:val="-3"/>
        </w:rPr>
        <w:t>Град</w:t>
      </w:r>
      <w:r>
        <w:rPr>
          <w:color w:val="231F20"/>
          <w:spacing w:val="-6"/>
        </w:rPr>
        <w:t> </w:t>
      </w:r>
      <w:r>
        <w:rPr>
          <w:color w:val="231F20"/>
        </w:rPr>
        <w:t>пресецајући</w:t>
      </w:r>
      <w:r>
        <w:rPr>
          <w:color w:val="231F20"/>
          <w:spacing w:val="-6"/>
        </w:rPr>
        <w:t> </w:t>
      </w:r>
      <w:r>
        <w:rPr>
          <w:color w:val="231F20"/>
        </w:rPr>
        <w:t>кп.бр 1640/1 </w:t>
      </w:r>
      <w:r>
        <w:rPr>
          <w:color w:val="231F20"/>
          <w:spacing w:val="-3"/>
        </w:rPr>
        <w:t>КО </w:t>
      </w:r>
      <w:r>
        <w:rPr>
          <w:color w:val="231F20"/>
        </w:rPr>
        <w:t>Костолац Село према у тачкама </w:t>
      </w:r>
      <w:r>
        <w:rPr>
          <w:color w:val="231F20"/>
          <w:spacing w:val="-3"/>
        </w:rPr>
        <w:t>од </w:t>
      </w:r>
      <w:r>
        <w:rPr>
          <w:color w:val="231F20"/>
        </w:rPr>
        <w:t>1-9 у табели бр.1. Обухватајући кп.бр.1921, 1920, 1922, 2455, 1930, 1928, 1929,</w:t>
      </w:r>
      <w:r>
        <w:rPr>
          <w:color w:val="231F20"/>
          <w:spacing w:val="-14"/>
        </w:rPr>
        <w:t> </w:t>
      </w:r>
      <w:r>
        <w:rPr>
          <w:color w:val="231F20"/>
        </w:rPr>
        <w:t>1928,</w:t>
      </w:r>
    </w:p>
    <w:p>
      <w:pPr>
        <w:pStyle w:val="BodyText"/>
      </w:pPr>
      <w:r>
        <w:rPr>
          <w:color w:val="231F20"/>
        </w:rPr>
        <w:t>1931, 2443, 2441, пресеца 2440, 3437, 2436, 2435/2, 2419, наставља</w:t>
      </w:r>
    </w:p>
    <w:p>
      <w:pPr>
        <w:pStyle w:val="BodyText"/>
      </w:pPr>
      <w:r>
        <w:rPr>
          <w:color w:val="231F20"/>
        </w:rPr>
        <w:t>обухватајући 2405, 2406, 2407, 2412, 2413, 2414, 2415, 2417, 2418,</w:t>
      </w:r>
    </w:p>
    <w:p>
      <w:pPr>
        <w:pStyle w:val="BodyText"/>
      </w:pPr>
      <w:r>
        <w:rPr>
          <w:color w:val="231F20"/>
        </w:rPr>
        <w:t>2421, 2423, 2422 пресецајући 2420, 2424, 2427, 2358, и пут 2685</w:t>
      </w:r>
    </w:p>
    <w:p>
      <w:pPr>
        <w:pStyle w:val="BodyText"/>
      </w:pPr>
      <w:r>
        <w:rPr>
          <w:color w:val="231F20"/>
        </w:rPr>
        <w:t>обухвата целу 2359, 2357, 2356 пресеца пут 2361 и обухвата 2273,</w:t>
      </w:r>
    </w:p>
    <w:p>
      <w:pPr>
        <w:pStyle w:val="BodyText"/>
        <w:ind w:right="38"/>
      </w:pPr>
      <w:r>
        <w:rPr>
          <w:color w:val="231F20"/>
        </w:rPr>
        <w:t>2275,2277, 2278, 2279, 2280 до старог корита реке Млаве, а онда улази у КО Дрмно обухватајући 2005/9, 2005/11, 2005/12, 2005/13, 2005/14, 2005/15, 2005/16, 2005/17, 2005/18 до реке Млаве. Линија наставља обухватајући 1980, 1981, 1985, 1986, 1979, 1977, 1976,</w:t>
      </w:r>
    </w:p>
    <w:p>
      <w:pPr>
        <w:pStyle w:val="BodyText"/>
      </w:pPr>
      <w:r>
        <w:rPr>
          <w:color w:val="231F20"/>
        </w:rPr>
        <w:t>1974, пресеца канал и наставља на 1951, 1952, 1953, 1954, 1955,</w:t>
      </w:r>
    </w:p>
    <w:p>
      <w:pPr>
        <w:pStyle w:val="BodyText"/>
      </w:pPr>
      <w:r>
        <w:rPr>
          <w:color w:val="231F20"/>
        </w:rPr>
        <w:t>1949, 1959, 1958, 1957, 1956/1, 1915,1918, 1919, 1920, 1921, 1922,</w:t>
      </w:r>
    </w:p>
    <w:p>
      <w:pPr>
        <w:pStyle w:val="BodyText"/>
      </w:pPr>
      <w:r>
        <w:rPr>
          <w:color w:val="231F20"/>
        </w:rPr>
        <w:t>1886, 1890, 1889, 1888, 1887, 1885, 1884, 1883, 1882, 1876, 1875,</w:t>
      </w:r>
    </w:p>
    <w:p>
      <w:pPr>
        <w:pStyle w:val="BodyText"/>
      </w:pPr>
      <w:r>
        <w:rPr>
          <w:color w:val="231F20"/>
        </w:rPr>
        <w:t>1874, 1873, 569, 570, 571, 568, 563, 562, 561/1, 558, 551, 572, 567,</w:t>
      </w:r>
    </w:p>
    <w:p>
      <w:pPr>
        <w:pStyle w:val="BodyText"/>
        <w:ind w:right="38"/>
      </w:pPr>
      <w:r>
        <w:rPr>
          <w:color w:val="231F20"/>
        </w:rPr>
        <w:t>566, 565, 554, 560/1, 560/2, 561/2, 559, када прелази Улицу Краља Петра у улази у комплекс Термоелектране и наставља дефиниса- ним тачкама од 18-23.</w:t>
      </w:r>
    </w:p>
    <w:p>
      <w:pPr>
        <w:pStyle w:val="BodyText"/>
        <w:spacing w:before="64"/>
        <w:ind w:left="171"/>
        <w:jc w:val="left"/>
      </w:pPr>
      <w:r>
        <w:rPr/>
        <w:br w:type="column"/>
      </w:r>
      <w:r>
        <w:rPr>
          <w:color w:val="231F20"/>
        </w:rPr>
        <w:t>Табела 2.2: Координате обухвата трасе трачног транспортера</w:t>
      </w:r>
    </w:p>
    <w:p>
      <w:pPr>
        <w:pStyle w:val="BodyText"/>
        <w:spacing w:before="11"/>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50"/>
        <w:gridCol w:w="850"/>
        <w:gridCol w:w="850"/>
        <w:gridCol w:w="850"/>
        <w:gridCol w:w="850"/>
        <w:gridCol w:w="850"/>
      </w:tblGrid>
      <w:tr>
        <w:trPr>
          <w:trHeight w:val="200" w:hRule="atLeast"/>
        </w:trPr>
        <w:tc>
          <w:tcPr>
            <w:tcW w:w="5100" w:type="dxa"/>
            <w:gridSpan w:val="6"/>
          </w:tcPr>
          <w:p>
            <w:pPr>
              <w:pStyle w:val="TableParagraph"/>
              <w:ind w:left="1425"/>
              <w:jc w:val="left"/>
              <w:rPr>
                <w:sz w:val="14"/>
              </w:rPr>
            </w:pPr>
            <w:r>
              <w:rPr>
                <w:color w:val="231F20"/>
                <w:sz w:val="14"/>
              </w:rPr>
              <w:t>КООРДИНАТЕ ТАЧАКA КОРИДОРА</w:t>
            </w:r>
          </w:p>
        </w:tc>
      </w:tr>
      <w:tr>
        <w:trPr>
          <w:trHeight w:val="200" w:hRule="atLeast"/>
        </w:trPr>
        <w:tc>
          <w:tcPr>
            <w:tcW w:w="850" w:type="dxa"/>
          </w:tcPr>
          <w:p>
            <w:pPr>
              <w:pStyle w:val="TableParagraph"/>
              <w:ind w:left="70" w:right="61"/>
              <w:jc w:val="center"/>
              <w:rPr>
                <w:sz w:val="14"/>
              </w:rPr>
            </w:pPr>
            <w:r>
              <w:rPr>
                <w:color w:val="231F20"/>
                <w:sz w:val="14"/>
              </w:rPr>
              <w:t>Број тачке</w:t>
            </w:r>
          </w:p>
        </w:tc>
        <w:tc>
          <w:tcPr>
            <w:tcW w:w="1700" w:type="dxa"/>
            <w:gridSpan w:val="2"/>
          </w:tcPr>
          <w:p>
            <w:pPr>
              <w:pStyle w:val="TableParagraph"/>
              <w:ind w:left="501"/>
              <w:jc w:val="left"/>
              <w:rPr>
                <w:sz w:val="14"/>
              </w:rPr>
            </w:pPr>
            <w:r>
              <w:rPr>
                <w:color w:val="231F20"/>
                <w:sz w:val="14"/>
              </w:rPr>
              <w:t>Координате</w:t>
            </w:r>
          </w:p>
        </w:tc>
        <w:tc>
          <w:tcPr>
            <w:tcW w:w="850" w:type="dxa"/>
          </w:tcPr>
          <w:p>
            <w:pPr>
              <w:pStyle w:val="TableParagraph"/>
              <w:ind w:left="71" w:right="59"/>
              <w:jc w:val="center"/>
              <w:rPr>
                <w:sz w:val="14"/>
              </w:rPr>
            </w:pPr>
            <w:r>
              <w:rPr>
                <w:color w:val="231F20"/>
                <w:sz w:val="14"/>
              </w:rPr>
              <w:t>Број тачке</w:t>
            </w:r>
          </w:p>
        </w:tc>
        <w:tc>
          <w:tcPr>
            <w:tcW w:w="1700" w:type="dxa"/>
            <w:gridSpan w:val="2"/>
          </w:tcPr>
          <w:p>
            <w:pPr>
              <w:pStyle w:val="TableParagraph"/>
              <w:ind w:left="502"/>
              <w:jc w:val="left"/>
              <w:rPr>
                <w:sz w:val="14"/>
              </w:rPr>
            </w:pPr>
            <w:r>
              <w:rPr>
                <w:color w:val="231F20"/>
                <w:sz w:val="14"/>
              </w:rPr>
              <w:t>Координате</w:t>
            </w:r>
          </w:p>
        </w:tc>
      </w:tr>
      <w:tr>
        <w:trPr>
          <w:trHeight w:val="200" w:hRule="atLeast"/>
        </w:trPr>
        <w:tc>
          <w:tcPr>
            <w:tcW w:w="850" w:type="dxa"/>
          </w:tcPr>
          <w:p>
            <w:pPr>
              <w:pStyle w:val="TableParagraph"/>
              <w:ind w:left="9"/>
              <w:jc w:val="center"/>
              <w:rPr>
                <w:sz w:val="14"/>
              </w:rPr>
            </w:pPr>
            <w:r>
              <w:rPr>
                <w:color w:val="231F20"/>
                <w:sz w:val="14"/>
              </w:rPr>
              <w:t>Т</w:t>
            </w:r>
          </w:p>
        </w:tc>
        <w:tc>
          <w:tcPr>
            <w:tcW w:w="850" w:type="dxa"/>
          </w:tcPr>
          <w:p>
            <w:pPr>
              <w:pStyle w:val="TableParagraph"/>
              <w:ind w:left="71" w:right="61"/>
              <w:jc w:val="center"/>
              <w:rPr>
                <w:sz w:val="14"/>
              </w:rPr>
            </w:pPr>
            <w:r>
              <w:rPr>
                <w:color w:val="231F20"/>
                <w:sz w:val="14"/>
              </w:rPr>
              <w:t>Y [ m ]</w:t>
            </w:r>
          </w:p>
        </w:tc>
        <w:tc>
          <w:tcPr>
            <w:tcW w:w="850" w:type="dxa"/>
          </w:tcPr>
          <w:p>
            <w:pPr>
              <w:pStyle w:val="TableParagraph"/>
              <w:ind w:left="71" w:right="60"/>
              <w:jc w:val="center"/>
              <w:rPr>
                <w:sz w:val="14"/>
              </w:rPr>
            </w:pPr>
            <w:r>
              <w:rPr>
                <w:color w:val="231F20"/>
                <w:sz w:val="14"/>
              </w:rPr>
              <w:t>X [ m ]</w:t>
            </w:r>
          </w:p>
        </w:tc>
        <w:tc>
          <w:tcPr>
            <w:tcW w:w="850" w:type="dxa"/>
          </w:tcPr>
          <w:p>
            <w:pPr>
              <w:pStyle w:val="TableParagraph"/>
              <w:ind w:left="12"/>
              <w:jc w:val="center"/>
              <w:rPr>
                <w:sz w:val="14"/>
              </w:rPr>
            </w:pPr>
            <w:r>
              <w:rPr>
                <w:color w:val="231F20"/>
                <w:sz w:val="14"/>
              </w:rPr>
              <w:t>Т</w:t>
            </w:r>
          </w:p>
        </w:tc>
        <w:tc>
          <w:tcPr>
            <w:tcW w:w="850" w:type="dxa"/>
          </w:tcPr>
          <w:p>
            <w:pPr>
              <w:pStyle w:val="TableParagraph"/>
              <w:ind w:left="71" w:right="58"/>
              <w:jc w:val="center"/>
              <w:rPr>
                <w:sz w:val="14"/>
              </w:rPr>
            </w:pPr>
            <w:r>
              <w:rPr>
                <w:color w:val="231F20"/>
                <w:sz w:val="14"/>
              </w:rPr>
              <w:t>Y [ m ]</w:t>
            </w:r>
          </w:p>
        </w:tc>
        <w:tc>
          <w:tcPr>
            <w:tcW w:w="850" w:type="dxa"/>
          </w:tcPr>
          <w:p>
            <w:pPr>
              <w:pStyle w:val="TableParagraph"/>
              <w:ind w:left="71" w:right="58"/>
              <w:jc w:val="center"/>
              <w:rPr>
                <w:sz w:val="14"/>
              </w:rPr>
            </w:pPr>
            <w:r>
              <w:rPr>
                <w:color w:val="231F20"/>
                <w:sz w:val="14"/>
              </w:rPr>
              <w:t>X [ m ]</w:t>
            </w:r>
          </w:p>
        </w:tc>
      </w:tr>
      <w:tr>
        <w:trPr>
          <w:trHeight w:val="200" w:hRule="atLeast"/>
        </w:trPr>
        <w:tc>
          <w:tcPr>
            <w:tcW w:w="850" w:type="dxa"/>
          </w:tcPr>
          <w:p>
            <w:pPr>
              <w:pStyle w:val="TableParagraph"/>
              <w:ind w:left="9"/>
              <w:jc w:val="center"/>
              <w:rPr>
                <w:sz w:val="14"/>
              </w:rPr>
            </w:pPr>
            <w:r>
              <w:rPr>
                <w:color w:val="231F20"/>
                <w:sz w:val="14"/>
              </w:rPr>
              <w:t>1</w:t>
            </w:r>
          </w:p>
        </w:tc>
        <w:tc>
          <w:tcPr>
            <w:tcW w:w="850" w:type="dxa"/>
          </w:tcPr>
          <w:p>
            <w:pPr>
              <w:pStyle w:val="TableParagraph"/>
              <w:ind w:left="71" w:right="61"/>
              <w:jc w:val="center"/>
              <w:rPr>
                <w:sz w:val="14"/>
              </w:rPr>
            </w:pPr>
            <w:r>
              <w:rPr>
                <w:color w:val="231F20"/>
                <w:sz w:val="14"/>
              </w:rPr>
              <w:t>7514466.72</w:t>
            </w:r>
          </w:p>
        </w:tc>
        <w:tc>
          <w:tcPr>
            <w:tcW w:w="850" w:type="dxa"/>
          </w:tcPr>
          <w:p>
            <w:pPr>
              <w:pStyle w:val="TableParagraph"/>
              <w:ind w:left="71" w:right="60"/>
              <w:jc w:val="center"/>
              <w:rPr>
                <w:sz w:val="14"/>
              </w:rPr>
            </w:pPr>
            <w:r>
              <w:rPr>
                <w:color w:val="231F20"/>
                <w:sz w:val="14"/>
              </w:rPr>
              <w:t>4953078.91</w:t>
            </w:r>
          </w:p>
        </w:tc>
        <w:tc>
          <w:tcPr>
            <w:tcW w:w="850" w:type="dxa"/>
          </w:tcPr>
          <w:p>
            <w:pPr>
              <w:pStyle w:val="TableParagraph"/>
              <w:ind w:left="71" w:right="59"/>
              <w:jc w:val="center"/>
              <w:rPr>
                <w:sz w:val="14"/>
              </w:rPr>
            </w:pPr>
            <w:r>
              <w:rPr>
                <w:color w:val="231F20"/>
                <w:sz w:val="14"/>
              </w:rPr>
              <w:t>13</w:t>
            </w:r>
          </w:p>
        </w:tc>
        <w:tc>
          <w:tcPr>
            <w:tcW w:w="850" w:type="dxa"/>
          </w:tcPr>
          <w:p>
            <w:pPr>
              <w:pStyle w:val="TableParagraph"/>
              <w:ind w:left="71" w:right="59"/>
              <w:jc w:val="center"/>
              <w:rPr>
                <w:sz w:val="14"/>
              </w:rPr>
            </w:pPr>
            <w:r>
              <w:rPr>
                <w:color w:val="231F20"/>
                <w:sz w:val="14"/>
              </w:rPr>
              <w:t>7516129.63</w:t>
            </w:r>
          </w:p>
        </w:tc>
        <w:tc>
          <w:tcPr>
            <w:tcW w:w="850" w:type="dxa"/>
          </w:tcPr>
          <w:p>
            <w:pPr>
              <w:pStyle w:val="TableParagraph"/>
              <w:ind w:left="71" w:right="58"/>
              <w:jc w:val="center"/>
              <w:rPr>
                <w:sz w:val="14"/>
              </w:rPr>
            </w:pPr>
            <w:r>
              <w:rPr>
                <w:color w:val="231F20"/>
                <w:sz w:val="14"/>
              </w:rPr>
              <w:t>4952515.64</w:t>
            </w:r>
          </w:p>
        </w:tc>
      </w:tr>
      <w:tr>
        <w:trPr>
          <w:trHeight w:val="200" w:hRule="atLeast"/>
        </w:trPr>
        <w:tc>
          <w:tcPr>
            <w:tcW w:w="850" w:type="dxa"/>
          </w:tcPr>
          <w:p>
            <w:pPr>
              <w:pStyle w:val="TableParagraph"/>
              <w:ind w:left="9"/>
              <w:jc w:val="center"/>
              <w:rPr>
                <w:sz w:val="14"/>
              </w:rPr>
            </w:pPr>
            <w:r>
              <w:rPr>
                <w:color w:val="231F20"/>
                <w:sz w:val="14"/>
              </w:rPr>
              <w:t>2</w:t>
            </w:r>
          </w:p>
        </w:tc>
        <w:tc>
          <w:tcPr>
            <w:tcW w:w="850" w:type="dxa"/>
          </w:tcPr>
          <w:p>
            <w:pPr>
              <w:pStyle w:val="TableParagraph"/>
              <w:ind w:left="71" w:right="61"/>
              <w:jc w:val="center"/>
              <w:rPr>
                <w:sz w:val="14"/>
              </w:rPr>
            </w:pPr>
            <w:r>
              <w:rPr>
                <w:color w:val="231F20"/>
                <w:sz w:val="14"/>
              </w:rPr>
              <w:t>7514466.56</w:t>
            </w:r>
          </w:p>
        </w:tc>
        <w:tc>
          <w:tcPr>
            <w:tcW w:w="850" w:type="dxa"/>
          </w:tcPr>
          <w:p>
            <w:pPr>
              <w:pStyle w:val="TableParagraph"/>
              <w:ind w:left="71" w:right="60"/>
              <w:jc w:val="center"/>
              <w:rPr>
                <w:sz w:val="14"/>
              </w:rPr>
            </w:pPr>
            <w:r>
              <w:rPr>
                <w:color w:val="231F20"/>
                <w:sz w:val="14"/>
              </w:rPr>
              <w:t>4953089.28</w:t>
            </w:r>
          </w:p>
        </w:tc>
        <w:tc>
          <w:tcPr>
            <w:tcW w:w="850" w:type="dxa"/>
          </w:tcPr>
          <w:p>
            <w:pPr>
              <w:pStyle w:val="TableParagraph"/>
              <w:ind w:left="71" w:right="60"/>
              <w:jc w:val="center"/>
              <w:rPr>
                <w:sz w:val="14"/>
              </w:rPr>
            </w:pPr>
            <w:r>
              <w:rPr>
                <w:color w:val="231F20"/>
                <w:sz w:val="14"/>
              </w:rPr>
              <w:t>14</w:t>
            </w:r>
          </w:p>
        </w:tc>
        <w:tc>
          <w:tcPr>
            <w:tcW w:w="850" w:type="dxa"/>
          </w:tcPr>
          <w:p>
            <w:pPr>
              <w:pStyle w:val="TableParagraph"/>
              <w:ind w:left="71" w:right="59"/>
              <w:jc w:val="center"/>
              <w:rPr>
                <w:sz w:val="14"/>
              </w:rPr>
            </w:pPr>
            <w:r>
              <w:rPr>
                <w:color w:val="231F20"/>
                <w:sz w:val="14"/>
              </w:rPr>
              <w:t>7516349.85</w:t>
            </w:r>
          </w:p>
        </w:tc>
        <w:tc>
          <w:tcPr>
            <w:tcW w:w="850" w:type="dxa"/>
          </w:tcPr>
          <w:p>
            <w:pPr>
              <w:pStyle w:val="TableParagraph"/>
              <w:ind w:left="71" w:right="58"/>
              <w:jc w:val="center"/>
              <w:rPr>
                <w:sz w:val="14"/>
              </w:rPr>
            </w:pPr>
            <w:r>
              <w:rPr>
                <w:color w:val="231F20"/>
                <w:sz w:val="14"/>
              </w:rPr>
              <w:t>4952644.04</w:t>
            </w:r>
          </w:p>
        </w:tc>
      </w:tr>
      <w:tr>
        <w:trPr>
          <w:trHeight w:val="200" w:hRule="atLeast"/>
        </w:trPr>
        <w:tc>
          <w:tcPr>
            <w:tcW w:w="850" w:type="dxa"/>
          </w:tcPr>
          <w:p>
            <w:pPr>
              <w:pStyle w:val="TableParagraph"/>
              <w:ind w:left="9"/>
              <w:jc w:val="center"/>
              <w:rPr>
                <w:sz w:val="14"/>
              </w:rPr>
            </w:pPr>
            <w:r>
              <w:rPr>
                <w:color w:val="231F20"/>
                <w:sz w:val="14"/>
              </w:rPr>
              <w:t>3</w:t>
            </w:r>
          </w:p>
        </w:tc>
        <w:tc>
          <w:tcPr>
            <w:tcW w:w="850" w:type="dxa"/>
          </w:tcPr>
          <w:p>
            <w:pPr>
              <w:pStyle w:val="TableParagraph"/>
              <w:ind w:left="71" w:right="61"/>
              <w:jc w:val="center"/>
              <w:rPr>
                <w:sz w:val="14"/>
              </w:rPr>
            </w:pPr>
            <w:r>
              <w:rPr>
                <w:color w:val="231F20"/>
                <w:sz w:val="14"/>
              </w:rPr>
              <w:t>7514466.28</w:t>
            </w:r>
          </w:p>
        </w:tc>
        <w:tc>
          <w:tcPr>
            <w:tcW w:w="850" w:type="dxa"/>
          </w:tcPr>
          <w:p>
            <w:pPr>
              <w:pStyle w:val="TableParagraph"/>
              <w:ind w:left="71" w:right="61"/>
              <w:jc w:val="center"/>
              <w:rPr>
                <w:sz w:val="14"/>
              </w:rPr>
            </w:pPr>
            <w:r>
              <w:rPr>
                <w:color w:val="231F20"/>
                <w:sz w:val="14"/>
              </w:rPr>
              <w:t>4953106.10</w:t>
            </w:r>
          </w:p>
        </w:tc>
        <w:tc>
          <w:tcPr>
            <w:tcW w:w="850" w:type="dxa"/>
          </w:tcPr>
          <w:p>
            <w:pPr>
              <w:pStyle w:val="TableParagraph"/>
              <w:ind w:left="71" w:right="60"/>
              <w:jc w:val="center"/>
              <w:rPr>
                <w:sz w:val="14"/>
              </w:rPr>
            </w:pPr>
            <w:r>
              <w:rPr>
                <w:color w:val="231F20"/>
                <w:sz w:val="14"/>
              </w:rPr>
              <w:t>15</w:t>
            </w:r>
          </w:p>
        </w:tc>
        <w:tc>
          <w:tcPr>
            <w:tcW w:w="850" w:type="dxa"/>
          </w:tcPr>
          <w:p>
            <w:pPr>
              <w:pStyle w:val="TableParagraph"/>
              <w:ind w:left="71" w:right="59"/>
              <w:jc w:val="center"/>
              <w:rPr>
                <w:sz w:val="14"/>
              </w:rPr>
            </w:pPr>
            <w:r>
              <w:rPr>
                <w:color w:val="231F20"/>
                <w:sz w:val="14"/>
              </w:rPr>
              <w:t>7516345.61</w:t>
            </w:r>
          </w:p>
        </w:tc>
        <w:tc>
          <w:tcPr>
            <w:tcW w:w="850" w:type="dxa"/>
          </w:tcPr>
          <w:p>
            <w:pPr>
              <w:pStyle w:val="TableParagraph"/>
              <w:ind w:left="71" w:right="59"/>
              <w:jc w:val="center"/>
              <w:rPr>
                <w:sz w:val="14"/>
              </w:rPr>
            </w:pPr>
            <w:r>
              <w:rPr>
                <w:color w:val="231F20"/>
                <w:sz w:val="14"/>
              </w:rPr>
              <w:t>4952653.19</w:t>
            </w:r>
          </w:p>
        </w:tc>
      </w:tr>
      <w:tr>
        <w:trPr>
          <w:trHeight w:val="200" w:hRule="atLeast"/>
        </w:trPr>
        <w:tc>
          <w:tcPr>
            <w:tcW w:w="850" w:type="dxa"/>
          </w:tcPr>
          <w:p>
            <w:pPr>
              <w:pStyle w:val="TableParagraph"/>
              <w:ind w:left="9"/>
              <w:jc w:val="center"/>
              <w:rPr>
                <w:sz w:val="14"/>
              </w:rPr>
            </w:pPr>
            <w:r>
              <w:rPr>
                <w:color w:val="231F20"/>
                <w:sz w:val="14"/>
              </w:rPr>
              <w:t>4</w:t>
            </w:r>
          </w:p>
        </w:tc>
        <w:tc>
          <w:tcPr>
            <w:tcW w:w="850" w:type="dxa"/>
          </w:tcPr>
          <w:p>
            <w:pPr>
              <w:pStyle w:val="TableParagraph"/>
              <w:ind w:left="70" w:right="61"/>
              <w:jc w:val="center"/>
              <w:rPr>
                <w:sz w:val="14"/>
              </w:rPr>
            </w:pPr>
            <w:r>
              <w:rPr>
                <w:color w:val="231F20"/>
                <w:sz w:val="14"/>
              </w:rPr>
              <w:t>7515113.47</w:t>
            </w:r>
          </w:p>
        </w:tc>
        <w:tc>
          <w:tcPr>
            <w:tcW w:w="850" w:type="dxa"/>
          </w:tcPr>
          <w:p>
            <w:pPr>
              <w:pStyle w:val="TableParagraph"/>
              <w:ind w:left="71" w:right="61"/>
              <w:jc w:val="center"/>
              <w:rPr>
                <w:sz w:val="14"/>
              </w:rPr>
            </w:pPr>
            <w:r>
              <w:rPr>
                <w:color w:val="231F20"/>
                <w:sz w:val="14"/>
              </w:rPr>
              <w:t>4952913.82</w:t>
            </w:r>
          </w:p>
        </w:tc>
        <w:tc>
          <w:tcPr>
            <w:tcW w:w="850" w:type="dxa"/>
          </w:tcPr>
          <w:p>
            <w:pPr>
              <w:pStyle w:val="TableParagraph"/>
              <w:ind w:left="71" w:right="60"/>
              <w:jc w:val="center"/>
              <w:rPr>
                <w:sz w:val="14"/>
              </w:rPr>
            </w:pPr>
            <w:r>
              <w:rPr>
                <w:color w:val="231F20"/>
                <w:sz w:val="14"/>
              </w:rPr>
              <w:t>16</w:t>
            </w:r>
          </w:p>
        </w:tc>
        <w:tc>
          <w:tcPr>
            <w:tcW w:w="850" w:type="dxa"/>
          </w:tcPr>
          <w:p>
            <w:pPr>
              <w:pStyle w:val="TableParagraph"/>
              <w:ind w:left="71" w:right="59"/>
              <w:jc w:val="center"/>
              <w:rPr>
                <w:sz w:val="14"/>
              </w:rPr>
            </w:pPr>
            <w:r>
              <w:rPr>
                <w:color w:val="231F20"/>
                <w:sz w:val="14"/>
              </w:rPr>
              <w:t>7516431.46</w:t>
            </w:r>
          </w:p>
        </w:tc>
        <w:tc>
          <w:tcPr>
            <w:tcW w:w="850" w:type="dxa"/>
          </w:tcPr>
          <w:p>
            <w:pPr>
              <w:pStyle w:val="TableParagraph"/>
              <w:ind w:left="71" w:right="59"/>
              <w:jc w:val="center"/>
              <w:rPr>
                <w:sz w:val="14"/>
              </w:rPr>
            </w:pPr>
            <w:r>
              <w:rPr>
                <w:color w:val="231F20"/>
                <w:sz w:val="14"/>
              </w:rPr>
              <w:t>4952696.01</w:t>
            </w:r>
          </w:p>
        </w:tc>
      </w:tr>
      <w:tr>
        <w:trPr>
          <w:trHeight w:val="200" w:hRule="atLeast"/>
        </w:trPr>
        <w:tc>
          <w:tcPr>
            <w:tcW w:w="850" w:type="dxa"/>
          </w:tcPr>
          <w:p>
            <w:pPr>
              <w:pStyle w:val="TableParagraph"/>
              <w:ind w:left="9"/>
              <w:jc w:val="center"/>
              <w:rPr>
                <w:sz w:val="14"/>
              </w:rPr>
            </w:pPr>
            <w:r>
              <w:rPr>
                <w:color w:val="231F20"/>
                <w:sz w:val="14"/>
              </w:rPr>
              <w:t>5</w:t>
            </w:r>
          </w:p>
        </w:tc>
        <w:tc>
          <w:tcPr>
            <w:tcW w:w="850" w:type="dxa"/>
          </w:tcPr>
          <w:p>
            <w:pPr>
              <w:pStyle w:val="TableParagraph"/>
              <w:ind w:left="70" w:right="61"/>
              <w:jc w:val="center"/>
              <w:rPr>
                <w:sz w:val="14"/>
              </w:rPr>
            </w:pPr>
            <w:r>
              <w:rPr>
                <w:color w:val="231F20"/>
                <w:sz w:val="14"/>
              </w:rPr>
              <w:t>7515119.40</w:t>
            </w:r>
          </w:p>
        </w:tc>
        <w:tc>
          <w:tcPr>
            <w:tcW w:w="850" w:type="dxa"/>
          </w:tcPr>
          <w:p>
            <w:pPr>
              <w:pStyle w:val="TableParagraph"/>
              <w:ind w:left="71" w:right="61"/>
              <w:jc w:val="center"/>
              <w:rPr>
                <w:sz w:val="14"/>
              </w:rPr>
            </w:pPr>
            <w:r>
              <w:rPr>
                <w:color w:val="231F20"/>
                <w:sz w:val="14"/>
              </w:rPr>
              <w:t>4952922.27</w:t>
            </w:r>
          </w:p>
        </w:tc>
        <w:tc>
          <w:tcPr>
            <w:tcW w:w="850" w:type="dxa"/>
          </w:tcPr>
          <w:p>
            <w:pPr>
              <w:pStyle w:val="TableParagraph"/>
              <w:ind w:left="71" w:right="60"/>
              <w:jc w:val="center"/>
              <w:rPr>
                <w:sz w:val="14"/>
              </w:rPr>
            </w:pPr>
            <w:r>
              <w:rPr>
                <w:color w:val="231F20"/>
                <w:sz w:val="14"/>
              </w:rPr>
              <w:t>17</w:t>
            </w:r>
          </w:p>
        </w:tc>
        <w:tc>
          <w:tcPr>
            <w:tcW w:w="850" w:type="dxa"/>
          </w:tcPr>
          <w:p>
            <w:pPr>
              <w:pStyle w:val="TableParagraph"/>
              <w:ind w:left="71" w:right="59"/>
              <w:jc w:val="center"/>
              <w:rPr>
                <w:sz w:val="14"/>
              </w:rPr>
            </w:pPr>
            <w:r>
              <w:rPr>
                <w:color w:val="231F20"/>
                <w:sz w:val="14"/>
              </w:rPr>
              <w:t>7516427.29</w:t>
            </w:r>
          </w:p>
        </w:tc>
        <w:tc>
          <w:tcPr>
            <w:tcW w:w="850" w:type="dxa"/>
          </w:tcPr>
          <w:p>
            <w:pPr>
              <w:pStyle w:val="TableParagraph"/>
              <w:ind w:left="71" w:right="59"/>
              <w:jc w:val="center"/>
              <w:rPr>
                <w:sz w:val="14"/>
              </w:rPr>
            </w:pPr>
            <w:r>
              <w:rPr>
                <w:color w:val="231F20"/>
                <w:sz w:val="14"/>
              </w:rPr>
              <w:t>4952705.21</w:t>
            </w:r>
          </w:p>
        </w:tc>
      </w:tr>
      <w:tr>
        <w:trPr>
          <w:trHeight w:val="200" w:hRule="atLeast"/>
        </w:trPr>
        <w:tc>
          <w:tcPr>
            <w:tcW w:w="850" w:type="dxa"/>
          </w:tcPr>
          <w:p>
            <w:pPr>
              <w:pStyle w:val="TableParagraph"/>
              <w:spacing w:before="17"/>
              <w:ind w:left="9"/>
              <w:jc w:val="center"/>
              <w:rPr>
                <w:sz w:val="14"/>
              </w:rPr>
            </w:pPr>
            <w:r>
              <w:rPr>
                <w:color w:val="231F20"/>
                <w:sz w:val="14"/>
              </w:rPr>
              <w:t>6</w:t>
            </w:r>
          </w:p>
        </w:tc>
        <w:tc>
          <w:tcPr>
            <w:tcW w:w="850" w:type="dxa"/>
          </w:tcPr>
          <w:p>
            <w:pPr>
              <w:pStyle w:val="TableParagraph"/>
              <w:spacing w:before="17"/>
              <w:ind w:left="70" w:right="61"/>
              <w:jc w:val="center"/>
              <w:rPr>
                <w:sz w:val="14"/>
              </w:rPr>
            </w:pPr>
            <w:r>
              <w:rPr>
                <w:color w:val="231F20"/>
                <w:sz w:val="14"/>
              </w:rPr>
              <w:t>7515149.34</w:t>
            </w:r>
          </w:p>
        </w:tc>
        <w:tc>
          <w:tcPr>
            <w:tcW w:w="850" w:type="dxa"/>
          </w:tcPr>
          <w:p>
            <w:pPr>
              <w:pStyle w:val="TableParagraph"/>
              <w:spacing w:before="17"/>
              <w:ind w:left="71" w:right="61"/>
              <w:jc w:val="center"/>
              <w:rPr>
                <w:sz w:val="14"/>
              </w:rPr>
            </w:pPr>
            <w:r>
              <w:rPr>
                <w:color w:val="231F20"/>
                <w:sz w:val="14"/>
              </w:rPr>
              <w:t>4952941.95</w:t>
            </w:r>
          </w:p>
        </w:tc>
        <w:tc>
          <w:tcPr>
            <w:tcW w:w="850" w:type="dxa"/>
          </w:tcPr>
          <w:p>
            <w:pPr>
              <w:pStyle w:val="TableParagraph"/>
              <w:spacing w:before="17"/>
              <w:ind w:left="71" w:right="60"/>
              <w:jc w:val="center"/>
              <w:rPr>
                <w:sz w:val="14"/>
              </w:rPr>
            </w:pPr>
            <w:r>
              <w:rPr>
                <w:color w:val="231F20"/>
                <w:sz w:val="14"/>
              </w:rPr>
              <w:t>18</w:t>
            </w:r>
          </w:p>
        </w:tc>
        <w:tc>
          <w:tcPr>
            <w:tcW w:w="850" w:type="dxa"/>
          </w:tcPr>
          <w:p>
            <w:pPr>
              <w:pStyle w:val="TableParagraph"/>
              <w:spacing w:before="17"/>
              <w:ind w:left="71" w:right="59"/>
              <w:jc w:val="center"/>
              <w:rPr>
                <w:sz w:val="14"/>
              </w:rPr>
            </w:pPr>
            <w:r>
              <w:rPr>
                <w:color w:val="231F20"/>
                <w:sz w:val="14"/>
              </w:rPr>
              <w:t>7517196.11</w:t>
            </w:r>
          </w:p>
        </w:tc>
        <w:tc>
          <w:tcPr>
            <w:tcW w:w="850" w:type="dxa"/>
          </w:tcPr>
          <w:p>
            <w:pPr>
              <w:pStyle w:val="TableParagraph"/>
              <w:spacing w:before="17"/>
              <w:ind w:left="71" w:right="59"/>
              <w:jc w:val="center"/>
              <w:rPr>
                <w:sz w:val="14"/>
              </w:rPr>
            </w:pPr>
            <w:r>
              <w:rPr>
                <w:color w:val="231F20"/>
                <w:sz w:val="14"/>
              </w:rPr>
              <w:t>4953182.99</w:t>
            </w:r>
          </w:p>
        </w:tc>
      </w:tr>
      <w:tr>
        <w:trPr>
          <w:trHeight w:val="200" w:hRule="atLeast"/>
        </w:trPr>
        <w:tc>
          <w:tcPr>
            <w:tcW w:w="850" w:type="dxa"/>
          </w:tcPr>
          <w:p>
            <w:pPr>
              <w:pStyle w:val="TableParagraph"/>
              <w:spacing w:before="17"/>
              <w:ind w:left="9"/>
              <w:jc w:val="center"/>
              <w:rPr>
                <w:sz w:val="14"/>
              </w:rPr>
            </w:pPr>
            <w:r>
              <w:rPr>
                <w:color w:val="231F20"/>
                <w:sz w:val="14"/>
              </w:rPr>
              <w:t>7</w:t>
            </w:r>
          </w:p>
        </w:tc>
        <w:tc>
          <w:tcPr>
            <w:tcW w:w="850" w:type="dxa"/>
          </w:tcPr>
          <w:p>
            <w:pPr>
              <w:pStyle w:val="TableParagraph"/>
              <w:spacing w:before="17"/>
              <w:ind w:left="70" w:right="61"/>
              <w:jc w:val="center"/>
              <w:rPr>
                <w:sz w:val="14"/>
              </w:rPr>
            </w:pPr>
            <w:r>
              <w:rPr>
                <w:color w:val="231F20"/>
                <w:sz w:val="14"/>
              </w:rPr>
              <w:t>7515510.69</w:t>
            </w:r>
          </w:p>
        </w:tc>
        <w:tc>
          <w:tcPr>
            <w:tcW w:w="850" w:type="dxa"/>
          </w:tcPr>
          <w:p>
            <w:pPr>
              <w:pStyle w:val="TableParagraph"/>
              <w:spacing w:before="17"/>
              <w:ind w:left="71" w:right="61"/>
              <w:jc w:val="center"/>
              <w:rPr>
                <w:sz w:val="14"/>
              </w:rPr>
            </w:pPr>
            <w:r>
              <w:rPr>
                <w:color w:val="231F20"/>
                <w:sz w:val="14"/>
              </w:rPr>
              <w:t>4952753.99</w:t>
            </w:r>
          </w:p>
        </w:tc>
        <w:tc>
          <w:tcPr>
            <w:tcW w:w="850" w:type="dxa"/>
          </w:tcPr>
          <w:p>
            <w:pPr>
              <w:pStyle w:val="TableParagraph"/>
              <w:spacing w:before="17"/>
              <w:ind w:left="71" w:right="60"/>
              <w:jc w:val="center"/>
              <w:rPr>
                <w:sz w:val="14"/>
              </w:rPr>
            </w:pPr>
            <w:r>
              <w:rPr>
                <w:color w:val="231F20"/>
                <w:sz w:val="14"/>
              </w:rPr>
              <w:t>19</w:t>
            </w:r>
          </w:p>
        </w:tc>
        <w:tc>
          <w:tcPr>
            <w:tcW w:w="850" w:type="dxa"/>
          </w:tcPr>
          <w:p>
            <w:pPr>
              <w:pStyle w:val="TableParagraph"/>
              <w:spacing w:before="17"/>
              <w:ind w:left="71" w:right="60"/>
              <w:jc w:val="center"/>
              <w:rPr>
                <w:sz w:val="14"/>
              </w:rPr>
            </w:pPr>
            <w:r>
              <w:rPr>
                <w:color w:val="231F20"/>
                <w:sz w:val="14"/>
              </w:rPr>
              <w:t>7517189.89</w:t>
            </w:r>
          </w:p>
        </w:tc>
        <w:tc>
          <w:tcPr>
            <w:tcW w:w="850" w:type="dxa"/>
          </w:tcPr>
          <w:p>
            <w:pPr>
              <w:pStyle w:val="TableParagraph"/>
              <w:spacing w:before="17"/>
              <w:ind w:left="71" w:right="59"/>
              <w:jc w:val="center"/>
              <w:rPr>
                <w:sz w:val="14"/>
              </w:rPr>
            </w:pPr>
            <w:r>
              <w:rPr>
                <w:color w:val="231F20"/>
                <w:sz w:val="14"/>
              </w:rPr>
              <w:t>4953190.89</w:t>
            </w:r>
          </w:p>
        </w:tc>
      </w:tr>
      <w:tr>
        <w:trPr>
          <w:trHeight w:val="200" w:hRule="atLeast"/>
        </w:trPr>
        <w:tc>
          <w:tcPr>
            <w:tcW w:w="850" w:type="dxa"/>
          </w:tcPr>
          <w:p>
            <w:pPr>
              <w:pStyle w:val="TableParagraph"/>
              <w:spacing w:before="17"/>
              <w:ind w:left="8"/>
              <w:jc w:val="center"/>
              <w:rPr>
                <w:sz w:val="14"/>
              </w:rPr>
            </w:pPr>
            <w:r>
              <w:rPr>
                <w:color w:val="231F20"/>
                <w:sz w:val="14"/>
              </w:rPr>
              <w:t>8</w:t>
            </w:r>
          </w:p>
        </w:tc>
        <w:tc>
          <w:tcPr>
            <w:tcW w:w="850" w:type="dxa"/>
          </w:tcPr>
          <w:p>
            <w:pPr>
              <w:pStyle w:val="TableParagraph"/>
              <w:spacing w:before="17"/>
              <w:ind w:left="70" w:right="61"/>
              <w:jc w:val="center"/>
              <w:rPr>
                <w:sz w:val="14"/>
              </w:rPr>
            </w:pPr>
            <w:r>
              <w:rPr>
                <w:color w:val="231F20"/>
                <w:sz w:val="14"/>
              </w:rPr>
              <w:t>7515514.42</w:t>
            </w:r>
          </w:p>
        </w:tc>
        <w:tc>
          <w:tcPr>
            <w:tcW w:w="850" w:type="dxa"/>
          </w:tcPr>
          <w:p>
            <w:pPr>
              <w:pStyle w:val="TableParagraph"/>
              <w:spacing w:before="17"/>
              <w:ind w:left="71" w:right="61"/>
              <w:jc w:val="center"/>
              <w:rPr>
                <w:sz w:val="14"/>
              </w:rPr>
            </w:pPr>
            <w:r>
              <w:rPr>
                <w:color w:val="231F20"/>
                <w:sz w:val="14"/>
              </w:rPr>
              <w:t>4952763.27</w:t>
            </w:r>
          </w:p>
        </w:tc>
        <w:tc>
          <w:tcPr>
            <w:tcW w:w="850" w:type="dxa"/>
          </w:tcPr>
          <w:p>
            <w:pPr>
              <w:pStyle w:val="TableParagraph"/>
              <w:spacing w:before="17"/>
              <w:ind w:left="71" w:right="61"/>
              <w:jc w:val="center"/>
              <w:rPr>
                <w:sz w:val="14"/>
              </w:rPr>
            </w:pPr>
            <w:r>
              <w:rPr>
                <w:color w:val="231F20"/>
                <w:sz w:val="14"/>
              </w:rPr>
              <w:t>20</w:t>
            </w:r>
          </w:p>
        </w:tc>
        <w:tc>
          <w:tcPr>
            <w:tcW w:w="850" w:type="dxa"/>
          </w:tcPr>
          <w:p>
            <w:pPr>
              <w:pStyle w:val="TableParagraph"/>
              <w:spacing w:before="17"/>
              <w:ind w:left="71" w:right="60"/>
              <w:jc w:val="center"/>
              <w:rPr>
                <w:sz w:val="14"/>
              </w:rPr>
            </w:pPr>
            <w:r>
              <w:rPr>
                <w:color w:val="231F20"/>
                <w:sz w:val="14"/>
              </w:rPr>
              <w:t>7517265.24</w:t>
            </w:r>
          </w:p>
        </w:tc>
        <w:tc>
          <w:tcPr>
            <w:tcW w:w="850" w:type="dxa"/>
          </w:tcPr>
          <w:p>
            <w:pPr>
              <w:pStyle w:val="TableParagraph"/>
              <w:spacing w:before="17"/>
              <w:ind w:left="71" w:right="59"/>
              <w:jc w:val="center"/>
              <w:rPr>
                <w:sz w:val="14"/>
              </w:rPr>
            </w:pPr>
            <w:r>
              <w:rPr>
                <w:color w:val="231F20"/>
                <w:sz w:val="14"/>
              </w:rPr>
              <w:t>4953227.02</w:t>
            </w:r>
          </w:p>
        </w:tc>
      </w:tr>
      <w:tr>
        <w:trPr>
          <w:trHeight w:val="200" w:hRule="atLeast"/>
        </w:trPr>
        <w:tc>
          <w:tcPr>
            <w:tcW w:w="850" w:type="dxa"/>
          </w:tcPr>
          <w:p>
            <w:pPr>
              <w:pStyle w:val="TableParagraph"/>
              <w:spacing w:before="17"/>
              <w:ind w:left="8"/>
              <w:jc w:val="center"/>
              <w:rPr>
                <w:sz w:val="14"/>
              </w:rPr>
            </w:pPr>
            <w:r>
              <w:rPr>
                <w:color w:val="231F20"/>
                <w:sz w:val="14"/>
              </w:rPr>
              <w:t>9</w:t>
            </w:r>
          </w:p>
        </w:tc>
        <w:tc>
          <w:tcPr>
            <w:tcW w:w="850" w:type="dxa"/>
          </w:tcPr>
          <w:p>
            <w:pPr>
              <w:pStyle w:val="TableParagraph"/>
              <w:spacing w:before="17"/>
              <w:ind w:left="70" w:right="61"/>
              <w:jc w:val="center"/>
              <w:rPr>
                <w:sz w:val="14"/>
              </w:rPr>
            </w:pPr>
            <w:r>
              <w:rPr>
                <w:color w:val="231F20"/>
                <w:sz w:val="14"/>
              </w:rPr>
              <w:t>7515529.30</w:t>
            </w:r>
          </w:p>
        </w:tc>
        <w:tc>
          <w:tcPr>
            <w:tcW w:w="850" w:type="dxa"/>
          </w:tcPr>
          <w:p>
            <w:pPr>
              <w:pStyle w:val="TableParagraph"/>
              <w:spacing w:before="17"/>
              <w:ind w:left="70" w:right="61"/>
              <w:jc w:val="center"/>
              <w:rPr>
                <w:sz w:val="14"/>
              </w:rPr>
            </w:pPr>
            <w:r>
              <w:rPr>
                <w:color w:val="231F20"/>
                <w:sz w:val="14"/>
              </w:rPr>
              <w:t>4952776.48</w:t>
            </w:r>
          </w:p>
        </w:tc>
        <w:tc>
          <w:tcPr>
            <w:tcW w:w="850" w:type="dxa"/>
          </w:tcPr>
          <w:p>
            <w:pPr>
              <w:pStyle w:val="TableParagraph"/>
              <w:spacing w:before="17"/>
              <w:ind w:left="71" w:right="61"/>
              <w:jc w:val="center"/>
              <w:rPr>
                <w:sz w:val="14"/>
              </w:rPr>
            </w:pPr>
            <w:r>
              <w:rPr>
                <w:color w:val="231F20"/>
                <w:sz w:val="14"/>
              </w:rPr>
              <w:t>21</w:t>
            </w:r>
          </w:p>
        </w:tc>
        <w:tc>
          <w:tcPr>
            <w:tcW w:w="850" w:type="dxa"/>
          </w:tcPr>
          <w:p>
            <w:pPr>
              <w:pStyle w:val="TableParagraph"/>
              <w:spacing w:before="17"/>
              <w:ind w:left="71" w:right="60"/>
              <w:jc w:val="center"/>
              <w:rPr>
                <w:sz w:val="14"/>
              </w:rPr>
            </w:pPr>
            <w:r>
              <w:rPr>
                <w:color w:val="231F20"/>
                <w:sz w:val="14"/>
              </w:rPr>
              <w:t>7517263.12</w:t>
            </w:r>
          </w:p>
        </w:tc>
        <w:tc>
          <w:tcPr>
            <w:tcW w:w="850" w:type="dxa"/>
          </w:tcPr>
          <w:p>
            <w:pPr>
              <w:pStyle w:val="TableParagraph"/>
              <w:spacing w:before="17"/>
              <w:ind w:left="71" w:right="59"/>
              <w:jc w:val="center"/>
              <w:rPr>
                <w:sz w:val="14"/>
              </w:rPr>
            </w:pPr>
            <w:r>
              <w:rPr>
                <w:color w:val="231F20"/>
                <w:sz w:val="14"/>
              </w:rPr>
              <w:t>4953237.52</w:t>
            </w:r>
          </w:p>
        </w:tc>
      </w:tr>
      <w:tr>
        <w:trPr>
          <w:trHeight w:val="200" w:hRule="atLeast"/>
        </w:trPr>
        <w:tc>
          <w:tcPr>
            <w:tcW w:w="850" w:type="dxa"/>
          </w:tcPr>
          <w:p>
            <w:pPr>
              <w:pStyle w:val="TableParagraph"/>
              <w:spacing w:before="17"/>
              <w:ind w:left="69" w:right="61"/>
              <w:jc w:val="center"/>
              <w:rPr>
                <w:sz w:val="14"/>
              </w:rPr>
            </w:pPr>
            <w:r>
              <w:rPr>
                <w:color w:val="231F20"/>
                <w:sz w:val="14"/>
              </w:rPr>
              <w:t>10</w:t>
            </w:r>
          </w:p>
        </w:tc>
        <w:tc>
          <w:tcPr>
            <w:tcW w:w="850" w:type="dxa"/>
          </w:tcPr>
          <w:p>
            <w:pPr>
              <w:pStyle w:val="TableParagraph"/>
              <w:spacing w:before="17"/>
              <w:ind w:left="69" w:right="61"/>
              <w:jc w:val="center"/>
              <w:rPr>
                <w:sz w:val="14"/>
              </w:rPr>
            </w:pPr>
            <w:r>
              <w:rPr>
                <w:color w:val="231F20"/>
                <w:sz w:val="14"/>
              </w:rPr>
              <w:t>7516031.54</w:t>
            </w:r>
          </w:p>
        </w:tc>
        <w:tc>
          <w:tcPr>
            <w:tcW w:w="850" w:type="dxa"/>
          </w:tcPr>
          <w:p>
            <w:pPr>
              <w:pStyle w:val="TableParagraph"/>
              <w:spacing w:before="17"/>
              <w:ind w:left="70" w:right="61"/>
              <w:jc w:val="center"/>
              <w:rPr>
                <w:sz w:val="14"/>
              </w:rPr>
            </w:pPr>
            <w:r>
              <w:rPr>
                <w:color w:val="231F20"/>
                <w:sz w:val="14"/>
              </w:rPr>
              <w:t>4952544.35</w:t>
            </w:r>
          </w:p>
        </w:tc>
        <w:tc>
          <w:tcPr>
            <w:tcW w:w="850" w:type="dxa"/>
          </w:tcPr>
          <w:p>
            <w:pPr>
              <w:pStyle w:val="TableParagraph"/>
              <w:spacing w:before="17"/>
              <w:ind w:left="71" w:right="61"/>
              <w:jc w:val="center"/>
              <w:rPr>
                <w:sz w:val="14"/>
              </w:rPr>
            </w:pPr>
            <w:r>
              <w:rPr>
                <w:color w:val="231F20"/>
                <w:sz w:val="14"/>
              </w:rPr>
              <w:t>22</w:t>
            </w:r>
          </w:p>
        </w:tc>
        <w:tc>
          <w:tcPr>
            <w:tcW w:w="850" w:type="dxa"/>
          </w:tcPr>
          <w:p>
            <w:pPr>
              <w:pStyle w:val="TableParagraph"/>
              <w:spacing w:before="17"/>
              <w:ind w:left="71" w:right="60"/>
              <w:jc w:val="center"/>
              <w:rPr>
                <w:sz w:val="14"/>
              </w:rPr>
            </w:pPr>
            <w:r>
              <w:rPr>
                <w:color w:val="231F20"/>
                <w:sz w:val="14"/>
              </w:rPr>
              <w:t>7517925.60</w:t>
            </w:r>
          </w:p>
        </w:tc>
        <w:tc>
          <w:tcPr>
            <w:tcW w:w="850" w:type="dxa"/>
          </w:tcPr>
          <w:p>
            <w:pPr>
              <w:pStyle w:val="TableParagraph"/>
              <w:spacing w:before="17"/>
              <w:ind w:left="71" w:right="60"/>
              <w:jc w:val="center"/>
              <w:rPr>
                <w:sz w:val="14"/>
              </w:rPr>
            </w:pPr>
            <w:r>
              <w:rPr>
                <w:color w:val="231F20"/>
                <w:sz w:val="14"/>
              </w:rPr>
              <w:t>4953125.18</w:t>
            </w:r>
          </w:p>
        </w:tc>
      </w:tr>
      <w:tr>
        <w:trPr>
          <w:trHeight w:val="200" w:hRule="atLeast"/>
        </w:trPr>
        <w:tc>
          <w:tcPr>
            <w:tcW w:w="850" w:type="dxa"/>
          </w:tcPr>
          <w:p>
            <w:pPr>
              <w:pStyle w:val="TableParagraph"/>
              <w:spacing w:before="17"/>
              <w:ind w:left="68" w:right="61"/>
              <w:jc w:val="center"/>
              <w:rPr>
                <w:sz w:val="14"/>
              </w:rPr>
            </w:pPr>
            <w:r>
              <w:rPr>
                <w:color w:val="231F20"/>
                <w:sz w:val="14"/>
              </w:rPr>
              <w:t>11</w:t>
            </w:r>
          </w:p>
        </w:tc>
        <w:tc>
          <w:tcPr>
            <w:tcW w:w="850" w:type="dxa"/>
          </w:tcPr>
          <w:p>
            <w:pPr>
              <w:pStyle w:val="TableParagraph"/>
              <w:spacing w:before="17"/>
              <w:ind w:left="69" w:right="61"/>
              <w:jc w:val="center"/>
              <w:rPr>
                <w:sz w:val="14"/>
              </w:rPr>
            </w:pPr>
            <w:r>
              <w:rPr>
                <w:color w:val="231F20"/>
                <w:sz w:val="14"/>
              </w:rPr>
              <w:t>7516035.27</w:t>
            </w:r>
          </w:p>
        </w:tc>
        <w:tc>
          <w:tcPr>
            <w:tcW w:w="850" w:type="dxa"/>
          </w:tcPr>
          <w:p>
            <w:pPr>
              <w:pStyle w:val="TableParagraph"/>
              <w:spacing w:before="17"/>
              <w:ind w:left="70" w:right="61"/>
              <w:jc w:val="center"/>
              <w:rPr>
                <w:sz w:val="14"/>
              </w:rPr>
            </w:pPr>
            <w:r>
              <w:rPr>
                <w:color w:val="231F20"/>
                <w:sz w:val="14"/>
              </w:rPr>
              <w:t>4952553.62</w:t>
            </w:r>
          </w:p>
        </w:tc>
        <w:tc>
          <w:tcPr>
            <w:tcW w:w="850" w:type="dxa"/>
          </w:tcPr>
          <w:p>
            <w:pPr>
              <w:pStyle w:val="TableParagraph"/>
              <w:spacing w:before="17"/>
              <w:ind w:left="71" w:right="61"/>
              <w:jc w:val="center"/>
              <w:rPr>
                <w:sz w:val="14"/>
              </w:rPr>
            </w:pPr>
            <w:r>
              <w:rPr>
                <w:color w:val="231F20"/>
                <w:sz w:val="14"/>
              </w:rPr>
              <w:t>23</w:t>
            </w:r>
          </w:p>
        </w:tc>
        <w:tc>
          <w:tcPr>
            <w:tcW w:w="850" w:type="dxa"/>
          </w:tcPr>
          <w:p>
            <w:pPr>
              <w:pStyle w:val="TableParagraph"/>
              <w:spacing w:before="17"/>
              <w:ind w:left="71" w:right="61"/>
              <w:jc w:val="center"/>
              <w:rPr>
                <w:sz w:val="14"/>
              </w:rPr>
            </w:pPr>
            <w:r>
              <w:rPr>
                <w:color w:val="231F20"/>
                <w:sz w:val="14"/>
              </w:rPr>
              <w:t>7517937.08</w:t>
            </w:r>
          </w:p>
        </w:tc>
        <w:tc>
          <w:tcPr>
            <w:tcW w:w="850" w:type="dxa"/>
          </w:tcPr>
          <w:p>
            <w:pPr>
              <w:pStyle w:val="TableParagraph"/>
              <w:spacing w:before="17"/>
              <w:ind w:left="71" w:right="60"/>
              <w:jc w:val="center"/>
              <w:rPr>
                <w:sz w:val="14"/>
              </w:rPr>
            </w:pPr>
            <w:r>
              <w:rPr>
                <w:color w:val="231F20"/>
                <w:sz w:val="14"/>
              </w:rPr>
              <w:t>4953113.74</w:t>
            </w:r>
          </w:p>
        </w:tc>
      </w:tr>
      <w:tr>
        <w:trPr>
          <w:trHeight w:val="200" w:hRule="atLeast"/>
        </w:trPr>
        <w:tc>
          <w:tcPr>
            <w:tcW w:w="850" w:type="dxa"/>
          </w:tcPr>
          <w:p>
            <w:pPr>
              <w:pStyle w:val="TableParagraph"/>
              <w:spacing w:before="17"/>
              <w:ind w:left="68" w:right="61"/>
              <w:jc w:val="center"/>
              <w:rPr>
                <w:sz w:val="14"/>
              </w:rPr>
            </w:pPr>
            <w:r>
              <w:rPr>
                <w:color w:val="231F20"/>
                <w:sz w:val="14"/>
              </w:rPr>
              <w:t>12</w:t>
            </w:r>
          </w:p>
        </w:tc>
        <w:tc>
          <w:tcPr>
            <w:tcW w:w="850" w:type="dxa"/>
          </w:tcPr>
          <w:p>
            <w:pPr>
              <w:pStyle w:val="TableParagraph"/>
              <w:spacing w:before="17"/>
              <w:ind w:left="69" w:right="61"/>
              <w:jc w:val="center"/>
              <w:rPr>
                <w:sz w:val="14"/>
              </w:rPr>
            </w:pPr>
            <w:r>
              <w:rPr>
                <w:color w:val="231F20"/>
                <w:sz w:val="14"/>
              </w:rPr>
              <w:t>7516130.67</w:t>
            </w:r>
          </w:p>
        </w:tc>
        <w:tc>
          <w:tcPr>
            <w:tcW w:w="850" w:type="dxa"/>
          </w:tcPr>
          <w:p>
            <w:pPr>
              <w:pStyle w:val="TableParagraph"/>
              <w:spacing w:before="17"/>
              <w:ind w:left="70" w:right="61"/>
              <w:jc w:val="center"/>
              <w:rPr>
                <w:sz w:val="14"/>
              </w:rPr>
            </w:pPr>
            <w:r>
              <w:rPr>
                <w:color w:val="231F20"/>
                <w:sz w:val="14"/>
              </w:rPr>
              <w:t>4952504.45</w:t>
            </w:r>
          </w:p>
        </w:tc>
        <w:tc>
          <w:tcPr>
            <w:tcW w:w="850" w:type="dxa"/>
          </w:tcPr>
          <w:p>
            <w:pPr>
              <w:pStyle w:val="TableParagraph"/>
              <w:spacing w:before="0"/>
              <w:jc w:val="left"/>
              <w:rPr>
                <w:sz w:val="12"/>
              </w:rPr>
            </w:pPr>
          </w:p>
        </w:tc>
        <w:tc>
          <w:tcPr>
            <w:tcW w:w="850" w:type="dxa"/>
          </w:tcPr>
          <w:p>
            <w:pPr>
              <w:pStyle w:val="TableParagraph"/>
              <w:spacing w:before="0"/>
              <w:jc w:val="left"/>
              <w:rPr>
                <w:sz w:val="12"/>
              </w:rPr>
            </w:pPr>
          </w:p>
        </w:tc>
        <w:tc>
          <w:tcPr>
            <w:tcW w:w="850" w:type="dxa"/>
          </w:tcPr>
          <w:p>
            <w:pPr>
              <w:pStyle w:val="TableParagraph"/>
              <w:spacing w:before="0"/>
              <w:jc w:val="left"/>
              <w:rPr>
                <w:sz w:val="12"/>
              </w:rPr>
            </w:pPr>
          </w:p>
        </w:tc>
      </w:tr>
    </w:tbl>
    <w:p>
      <w:pPr>
        <w:pStyle w:val="BodyText"/>
        <w:ind w:left="0"/>
        <w:jc w:val="left"/>
        <w:rPr>
          <w:sz w:val="20"/>
        </w:rPr>
      </w:pPr>
    </w:p>
    <w:p>
      <w:pPr>
        <w:pStyle w:val="BodyText"/>
        <w:spacing w:line="232" w:lineRule="auto" w:before="148"/>
        <w:ind w:left="627" w:right="868" w:firstLine="89"/>
        <w:jc w:val="left"/>
      </w:pPr>
      <w:r>
        <w:rPr>
          <w:color w:val="231F20"/>
        </w:rPr>
        <w:t>2.4.1. </w:t>
      </w:r>
      <w:r>
        <w:rPr>
          <w:color w:val="231F20"/>
          <w:spacing w:val="15"/>
        </w:rPr>
        <w:t>Основи </w:t>
      </w:r>
      <w:r>
        <w:rPr>
          <w:color w:val="231F20"/>
          <w:spacing w:val="17"/>
        </w:rPr>
        <w:t>парцелације,  препарцелације </w:t>
      </w:r>
      <w:r>
        <w:rPr>
          <w:color w:val="231F20"/>
        </w:rPr>
        <w:t>и  </w:t>
      </w:r>
      <w:r>
        <w:rPr>
          <w:color w:val="231F20"/>
          <w:spacing w:val="16"/>
        </w:rPr>
        <w:t>исправке границе парцела </w:t>
      </w:r>
      <w:r>
        <w:rPr>
          <w:color w:val="231F20"/>
          <w:spacing w:val="38"/>
        </w:rPr>
        <w:t> </w:t>
      </w:r>
      <w:r>
        <w:rPr>
          <w:color w:val="231F20"/>
          <w:spacing w:val="10"/>
        </w:rPr>
        <w:t>за  </w:t>
      </w:r>
      <w:r>
        <w:rPr>
          <w:color w:val="231F20"/>
          <w:spacing w:val="17"/>
        </w:rPr>
        <w:t>прибављање</w:t>
      </w:r>
    </w:p>
    <w:p>
      <w:pPr>
        <w:pStyle w:val="BodyText"/>
        <w:spacing w:line="201" w:lineRule="exact"/>
        <w:ind w:left="2289" w:right="2530"/>
        <w:jc w:val="center"/>
      </w:pPr>
      <w:r>
        <w:rPr>
          <w:color w:val="231F20"/>
        </w:rPr>
        <w:t>земљишт а</w:t>
      </w:r>
    </w:p>
    <w:p>
      <w:pPr>
        <w:pStyle w:val="BodyText"/>
        <w:spacing w:before="3"/>
        <w:ind w:left="0"/>
        <w:jc w:val="left"/>
        <w:rPr>
          <w:sz w:val="17"/>
        </w:rPr>
      </w:pPr>
    </w:p>
    <w:p>
      <w:pPr>
        <w:pStyle w:val="BodyText"/>
        <w:spacing w:line="232" w:lineRule="auto"/>
        <w:ind w:right="412" w:firstLine="397"/>
      </w:pPr>
      <w:r>
        <w:rPr>
          <w:color w:val="231F20"/>
        </w:rPr>
        <w:t>Овим документом дефинишу се се општа правила и услови парцелације, регулације и изградње, којима се оквирно одређује величина, облик и површина грађевинске парцеле која се форми- ра, начин уређења грађевинских парцела, регулационе линије и правила изградње.</w:t>
      </w:r>
    </w:p>
    <w:p>
      <w:pPr>
        <w:pStyle w:val="BodyText"/>
        <w:spacing w:line="232" w:lineRule="auto"/>
        <w:ind w:right="412" w:firstLine="396"/>
      </w:pPr>
      <w:r>
        <w:rPr>
          <w:color w:val="231F20"/>
        </w:rPr>
        <w:t>Правила важе за изградњу предметног објеката, </w:t>
      </w:r>
      <w:r>
        <w:rPr>
          <w:color w:val="231F20"/>
          <w:spacing w:val="-3"/>
        </w:rPr>
        <w:t>замену, </w:t>
      </w:r>
      <w:r>
        <w:rPr>
          <w:color w:val="231F20"/>
        </w:rPr>
        <w:t>до- градњу и </w:t>
      </w:r>
      <w:r>
        <w:rPr>
          <w:color w:val="231F20"/>
          <w:spacing w:val="-3"/>
        </w:rPr>
        <w:t>реконструкцију, </w:t>
      </w:r>
      <w:r>
        <w:rPr>
          <w:color w:val="231F20"/>
        </w:rPr>
        <w:t>што значи да се </w:t>
      </w:r>
      <w:r>
        <w:rPr>
          <w:color w:val="231F20"/>
          <w:spacing w:val="-3"/>
        </w:rPr>
        <w:t>приликом </w:t>
      </w:r>
      <w:r>
        <w:rPr>
          <w:color w:val="231F20"/>
        </w:rPr>
        <w:t>доградње и реконструкције</w:t>
      </w:r>
      <w:r>
        <w:rPr>
          <w:color w:val="231F20"/>
          <w:spacing w:val="-13"/>
        </w:rPr>
        <w:t> </w:t>
      </w:r>
      <w:r>
        <w:rPr>
          <w:color w:val="231F20"/>
        </w:rPr>
        <w:t>треба</w:t>
      </w:r>
      <w:r>
        <w:rPr>
          <w:color w:val="231F20"/>
          <w:spacing w:val="-13"/>
        </w:rPr>
        <w:t> </w:t>
      </w:r>
      <w:r>
        <w:rPr>
          <w:color w:val="231F20"/>
        </w:rPr>
        <w:t>поштовати</w:t>
      </w:r>
      <w:r>
        <w:rPr>
          <w:color w:val="231F20"/>
          <w:spacing w:val="-13"/>
        </w:rPr>
        <w:t> </w:t>
      </w:r>
      <w:r>
        <w:rPr>
          <w:color w:val="231F20"/>
        </w:rPr>
        <w:t>урбанистичко-регулациони</w:t>
      </w:r>
      <w:r>
        <w:rPr>
          <w:color w:val="231F20"/>
          <w:spacing w:val="-13"/>
        </w:rPr>
        <w:t> </w:t>
      </w:r>
      <w:r>
        <w:rPr>
          <w:color w:val="231F20"/>
        </w:rPr>
        <w:t>пара- метри дефинисани на рефералној карти бр. 6.2.2. „Основи за пар- целацију и прибављање земљишта”</w:t>
      </w:r>
      <w:r>
        <w:rPr>
          <w:color w:val="231F20"/>
          <w:spacing w:val="-4"/>
        </w:rPr>
        <w:t> </w:t>
      </w:r>
      <w:r>
        <w:rPr>
          <w:color w:val="231F20"/>
        </w:rPr>
        <w:t>(1:2500).</w:t>
      </w:r>
    </w:p>
    <w:p>
      <w:pPr>
        <w:pStyle w:val="BodyText"/>
        <w:spacing w:line="232" w:lineRule="auto"/>
        <w:ind w:right="411" w:firstLine="396"/>
      </w:pPr>
      <w:r>
        <w:rPr>
          <w:color w:val="231F20"/>
        </w:rPr>
        <w:t>Јавни интерес за прибављање земљишта може се утврдити по</w:t>
      </w:r>
      <w:r>
        <w:rPr>
          <w:color w:val="231F20"/>
          <w:spacing w:val="-2"/>
        </w:rPr>
        <w:t> </w:t>
      </w:r>
      <w:r>
        <w:rPr>
          <w:color w:val="231F20"/>
        </w:rPr>
        <w:t>основу:</w:t>
      </w:r>
    </w:p>
    <w:p>
      <w:pPr>
        <w:pStyle w:val="BodyText"/>
        <w:spacing w:line="198" w:lineRule="exact"/>
        <w:ind w:left="567"/>
        <w:jc w:val="left"/>
      </w:pPr>
      <w:r>
        <w:rPr>
          <w:color w:val="231F20"/>
          <w:w w:val="66"/>
        </w:rPr>
        <w:t> </w:t>
      </w:r>
      <w:r>
        <w:rPr>
          <w:color w:val="231F20"/>
          <w:w w:val="95"/>
        </w:rPr>
        <w:t>– експропријације,</w:t>
      </w:r>
    </w:p>
    <w:p>
      <w:pPr>
        <w:pStyle w:val="BodyText"/>
        <w:spacing w:line="201" w:lineRule="exact"/>
        <w:ind w:left="567"/>
        <w:jc w:val="left"/>
      </w:pPr>
      <w:r>
        <w:rPr>
          <w:color w:val="231F20"/>
          <w:w w:val="66"/>
        </w:rPr>
        <w:t> </w:t>
      </w:r>
      <w:r>
        <w:rPr>
          <w:color w:val="231F20"/>
        </w:rPr>
        <w:t>– административног преноса или</w:t>
      </w:r>
    </w:p>
    <w:p>
      <w:pPr>
        <w:pStyle w:val="BodyText"/>
        <w:spacing w:line="201" w:lineRule="exact"/>
        <w:ind w:left="567"/>
        <w:jc w:val="left"/>
      </w:pPr>
      <w:r>
        <w:rPr>
          <w:color w:val="231F20"/>
          <w:w w:val="66"/>
        </w:rPr>
        <w:t> </w:t>
      </w:r>
      <w:r>
        <w:rPr>
          <w:color w:val="231F20"/>
        </w:rPr>
        <w:t>– непотпуне експропријације (права службености).</w:t>
      </w:r>
    </w:p>
    <w:p>
      <w:pPr>
        <w:pStyle w:val="BodyText"/>
        <w:spacing w:line="232" w:lineRule="auto"/>
        <w:ind w:right="411" w:firstLine="396"/>
      </w:pPr>
      <w:r>
        <w:rPr>
          <w:color w:val="231F20"/>
        </w:rPr>
        <w:t>Пројектом препарцелације чији је саставни део и Пројекат геодетског обележавања ће се прецизно дефинисати грађевинска парцела за трачни транспорт угља и сервисне саобраћајнице и других инфраструктурних система.</w:t>
      </w:r>
    </w:p>
    <w:p>
      <w:pPr>
        <w:pStyle w:val="BodyText"/>
        <w:spacing w:line="232" w:lineRule="auto"/>
        <w:ind w:left="171" w:right="410" w:firstLine="396"/>
      </w:pPr>
      <w:r>
        <w:rPr>
          <w:color w:val="231F20"/>
        </w:rPr>
        <w:t>Напомена: У случају неслагања горе наведених бројева ка- тастарских парцела, важи граница утврђена рефералној карти бр.</w:t>
      </w:r>
    </w:p>
    <w:p>
      <w:pPr>
        <w:pStyle w:val="BodyText"/>
        <w:spacing w:line="232" w:lineRule="auto"/>
        <w:ind w:left="0" w:right="411"/>
        <w:jc w:val="right"/>
      </w:pPr>
      <w:r>
        <w:rPr>
          <w:color w:val="231F20"/>
        </w:rPr>
        <w:t>6.2.2. „Основи за парцелацију и прибављање земљишта” (1:2500). Граница коридора трачног транспорта за угаљ је одређена ко- ординатама граничних тачака које су приказане у следећој табели</w:t>
      </w:r>
    </w:p>
    <w:p>
      <w:pPr>
        <w:pStyle w:val="BodyText"/>
        <w:spacing w:line="201" w:lineRule="exact"/>
        <w:ind w:left="171"/>
        <w:jc w:val="left"/>
      </w:pPr>
      <w:r>
        <w:rPr>
          <w:color w:val="231F20"/>
        </w:rPr>
        <w:t>као и на рефералној карти.</w:t>
      </w:r>
    </w:p>
    <w:p>
      <w:pPr>
        <w:pStyle w:val="BodyText"/>
        <w:spacing w:before="5"/>
        <w:ind w:left="0"/>
        <w:jc w:val="left"/>
        <w:rPr>
          <w:sz w:val="19"/>
        </w:rPr>
      </w:pPr>
    </w:p>
    <w:p>
      <w:pPr>
        <w:pStyle w:val="BodyText"/>
        <w:spacing w:line="232" w:lineRule="auto"/>
        <w:ind w:left="1892" w:right="928" w:hanging="919"/>
        <w:jc w:val="left"/>
      </w:pPr>
      <w:r>
        <w:rPr>
          <w:color w:val="231F20"/>
        </w:rPr>
        <w:t>2.4.2. Ус лови за укршт ање с а о ст а лом инфраст руктуром</w:t>
      </w:r>
    </w:p>
    <w:p>
      <w:pPr>
        <w:pStyle w:val="BodyText"/>
        <w:spacing w:before="165"/>
        <w:ind w:left="1148"/>
        <w:jc w:val="left"/>
      </w:pPr>
      <w:r>
        <w:rPr>
          <w:color w:val="231F20"/>
        </w:rPr>
        <w:t>Укрштања са друмским саобраћајницама</w:t>
      </w:r>
    </w:p>
    <w:p>
      <w:pPr>
        <w:pStyle w:val="BodyText"/>
        <w:spacing w:before="3"/>
        <w:ind w:left="0"/>
        <w:jc w:val="left"/>
        <w:rPr>
          <w:sz w:val="17"/>
        </w:rPr>
      </w:pPr>
    </w:p>
    <w:p>
      <w:pPr>
        <w:pStyle w:val="BodyText"/>
        <w:spacing w:line="232" w:lineRule="auto"/>
        <w:ind w:left="172" w:right="410" w:firstLine="396"/>
      </w:pPr>
      <w:r>
        <w:rPr>
          <w:color w:val="231F20"/>
        </w:rPr>
        <w:t>На  простору  коридора  трачног  транспортера  предвиђен  је сервисни </w:t>
      </w:r>
      <w:r>
        <w:rPr>
          <w:color w:val="231F20"/>
          <w:spacing w:val="-4"/>
        </w:rPr>
        <w:t>пут, </w:t>
      </w:r>
      <w:r>
        <w:rPr>
          <w:color w:val="231F20"/>
          <w:spacing w:val="-3"/>
        </w:rPr>
        <w:t>који </w:t>
      </w:r>
      <w:r>
        <w:rPr>
          <w:color w:val="231F20"/>
        </w:rPr>
        <w:t>се пружа целом дужином транспортера и  има функцију противпожарног пута. Генерална позиција саобра- ћајнице је:</w:t>
      </w:r>
    </w:p>
    <w:p>
      <w:pPr>
        <w:pStyle w:val="BodyText"/>
        <w:spacing w:line="198" w:lineRule="exact"/>
        <w:ind w:left="568"/>
        <w:jc w:val="left"/>
      </w:pPr>
      <w:r>
        <w:rPr>
          <w:color w:val="231F20"/>
          <w:w w:val="66"/>
        </w:rPr>
        <w:t> </w:t>
      </w:r>
      <w:r>
        <w:rPr>
          <w:color w:val="231F20"/>
        </w:rPr>
        <w:t>– у зони транспортера Т1 – са леве стране транспортне траке;</w:t>
      </w:r>
    </w:p>
    <w:p>
      <w:pPr>
        <w:pStyle w:val="BodyText"/>
        <w:spacing w:line="232" w:lineRule="auto" w:before="2"/>
        <w:ind w:left="172" w:right="410" w:firstLine="396"/>
      </w:pPr>
      <w:r>
        <w:rPr>
          <w:color w:val="231F20"/>
          <w:w w:val="66"/>
        </w:rPr>
        <w:t> </w:t>
      </w:r>
      <w:r>
        <w:rPr>
          <w:color w:val="231F20"/>
        </w:rPr>
        <w:t>– у зони транспортера Т2 – са десне стране транспортне тра- ке до ободног канала реке Млаве и</w:t>
      </w:r>
    </w:p>
    <w:p>
      <w:pPr>
        <w:pStyle w:val="BodyText"/>
        <w:spacing w:line="232" w:lineRule="auto"/>
        <w:ind w:left="172" w:right="410" w:firstLine="396"/>
      </w:pPr>
      <w:r>
        <w:rPr>
          <w:color w:val="231F20"/>
          <w:w w:val="66"/>
        </w:rPr>
        <w:t> </w:t>
      </w:r>
      <w:r>
        <w:rPr>
          <w:color w:val="231F20"/>
        </w:rPr>
        <w:t>– у зони транспортера Т3 и Т4 – са десне стране</w:t>
      </w:r>
      <w:r>
        <w:rPr>
          <w:color w:val="231F20"/>
          <w:spacing w:val="-30"/>
        </w:rPr>
        <w:t> </w:t>
      </w:r>
      <w:r>
        <w:rPr>
          <w:color w:val="231F20"/>
        </w:rPr>
        <w:t>транспортне траке.</w:t>
      </w:r>
    </w:p>
    <w:p>
      <w:pPr>
        <w:pStyle w:val="BodyText"/>
        <w:spacing w:line="232" w:lineRule="auto"/>
        <w:ind w:left="173" w:right="409" w:firstLine="396"/>
      </w:pPr>
      <w:r>
        <w:rPr>
          <w:color w:val="231F20"/>
        </w:rPr>
        <w:t>Траса саобраћајнице се води паралелно траси транспортне траке на осовинском растојању </w:t>
      </w:r>
      <w:r>
        <w:rPr>
          <w:color w:val="231F20"/>
          <w:spacing w:val="-3"/>
        </w:rPr>
        <w:t>од </w:t>
      </w:r>
      <w:r>
        <w:rPr>
          <w:color w:val="231F20"/>
        </w:rPr>
        <w:t>4,0-6,0 m. Ширина саобраћај- нице</w:t>
      </w:r>
      <w:r>
        <w:rPr>
          <w:color w:val="231F20"/>
          <w:spacing w:val="-7"/>
        </w:rPr>
        <w:t> </w:t>
      </w:r>
      <w:r>
        <w:rPr>
          <w:color w:val="231F20"/>
        </w:rPr>
        <w:t>је</w:t>
      </w:r>
      <w:r>
        <w:rPr>
          <w:color w:val="231F20"/>
          <w:spacing w:val="-7"/>
        </w:rPr>
        <w:t> </w:t>
      </w:r>
      <w:r>
        <w:rPr>
          <w:color w:val="231F20"/>
        </w:rPr>
        <w:t>4,0</w:t>
      </w:r>
      <w:r>
        <w:rPr>
          <w:color w:val="231F20"/>
          <w:spacing w:val="-7"/>
        </w:rPr>
        <w:t> </w:t>
      </w:r>
      <w:r>
        <w:rPr>
          <w:color w:val="231F20"/>
        </w:rPr>
        <w:t>m,</w:t>
      </w:r>
      <w:r>
        <w:rPr>
          <w:color w:val="231F20"/>
          <w:spacing w:val="-7"/>
        </w:rPr>
        <w:t> </w:t>
      </w:r>
      <w:r>
        <w:rPr>
          <w:color w:val="231F20"/>
        </w:rPr>
        <w:t>док</w:t>
      </w:r>
      <w:r>
        <w:rPr>
          <w:color w:val="231F20"/>
          <w:spacing w:val="-7"/>
        </w:rPr>
        <w:t> </w:t>
      </w:r>
      <w:r>
        <w:rPr>
          <w:color w:val="231F20"/>
        </w:rPr>
        <w:t>ширина</w:t>
      </w:r>
      <w:r>
        <w:rPr>
          <w:color w:val="231F20"/>
          <w:spacing w:val="-7"/>
        </w:rPr>
        <w:t> </w:t>
      </w:r>
      <w:r>
        <w:rPr>
          <w:color w:val="231F20"/>
        </w:rPr>
        <w:t>попречног</w:t>
      </w:r>
      <w:r>
        <w:rPr>
          <w:color w:val="231F20"/>
          <w:spacing w:val="-7"/>
        </w:rPr>
        <w:t> </w:t>
      </w:r>
      <w:r>
        <w:rPr>
          <w:color w:val="231F20"/>
        </w:rPr>
        <w:t>пресека</w:t>
      </w:r>
      <w:r>
        <w:rPr>
          <w:color w:val="231F20"/>
          <w:spacing w:val="-7"/>
        </w:rPr>
        <w:t> </w:t>
      </w:r>
      <w:r>
        <w:rPr>
          <w:color w:val="231F20"/>
        </w:rPr>
        <w:t>планума</w:t>
      </w:r>
      <w:r>
        <w:rPr>
          <w:color w:val="231F20"/>
          <w:spacing w:val="-7"/>
        </w:rPr>
        <w:t> </w:t>
      </w:r>
      <w:r>
        <w:rPr>
          <w:color w:val="231F20"/>
        </w:rPr>
        <w:t>износи</w:t>
      </w:r>
      <w:r>
        <w:rPr>
          <w:color w:val="231F20"/>
          <w:spacing w:val="-7"/>
        </w:rPr>
        <w:t> </w:t>
      </w:r>
      <w:r>
        <w:rPr>
          <w:color w:val="231F20"/>
        </w:rPr>
        <w:t>про- сечно 10,0 m у насипу и 12,0 m у</w:t>
      </w:r>
      <w:r>
        <w:rPr>
          <w:color w:val="231F20"/>
          <w:spacing w:val="-4"/>
        </w:rPr>
        <w:t> усеку.</w:t>
      </w:r>
    </w:p>
    <w:p>
      <w:pPr>
        <w:pStyle w:val="BodyText"/>
        <w:spacing w:line="198" w:lineRule="exact"/>
        <w:ind w:left="569"/>
        <w:jc w:val="left"/>
      </w:pPr>
      <w:r>
        <w:rPr>
          <w:color w:val="231F20"/>
        </w:rPr>
        <w:t>Транспортер се укршта са два локална пута на следећи на-</w:t>
      </w:r>
    </w:p>
    <w:p>
      <w:pPr>
        <w:pStyle w:val="BodyText"/>
        <w:spacing w:line="201" w:lineRule="exact"/>
        <w:ind w:left="173"/>
        <w:jc w:val="left"/>
      </w:pPr>
      <w:r>
        <w:rPr>
          <w:color w:val="231F20"/>
        </w:rPr>
        <w:t>чин:</w:t>
      </w:r>
    </w:p>
    <w:p>
      <w:pPr>
        <w:pStyle w:val="BodyText"/>
        <w:spacing w:line="232" w:lineRule="auto" w:before="1"/>
        <w:ind w:left="173" w:right="409" w:firstLine="397"/>
      </w:pPr>
      <w:r>
        <w:rPr>
          <w:color w:val="231F20"/>
          <w:w w:val="66"/>
        </w:rPr>
        <w:t> </w:t>
      </w:r>
      <w:r>
        <w:rPr>
          <w:color w:val="231F20"/>
        </w:rPr>
        <w:t>– са општинским путем Костолац – Стари Костолац мостов- ском конструкцијом и</w:t>
      </w:r>
    </w:p>
    <w:p>
      <w:pPr>
        <w:pStyle w:val="BodyText"/>
        <w:spacing w:line="232" w:lineRule="auto"/>
        <w:ind w:left="172" w:right="409" w:firstLine="397"/>
      </w:pPr>
      <w:r>
        <w:rPr>
          <w:color w:val="231F20"/>
          <w:w w:val="66"/>
        </w:rPr>
        <w:t> </w:t>
      </w:r>
      <w:r>
        <w:rPr>
          <w:color w:val="231F20"/>
        </w:rPr>
        <w:t>–</w:t>
      </w:r>
      <w:r>
        <w:rPr>
          <w:color w:val="231F20"/>
          <w:spacing w:val="-9"/>
        </w:rPr>
        <w:t> </w:t>
      </w:r>
      <w:r>
        <w:rPr>
          <w:color w:val="231F20"/>
        </w:rPr>
        <w:t>са</w:t>
      </w:r>
      <w:r>
        <w:rPr>
          <w:color w:val="231F20"/>
          <w:spacing w:val="-9"/>
        </w:rPr>
        <w:t> </w:t>
      </w:r>
      <w:r>
        <w:rPr>
          <w:color w:val="231F20"/>
        </w:rPr>
        <w:t>општинским</w:t>
      </w:r>
      <w:r>
        <w:rPr>
          <w:color w:val="231F20"/>
          <w:spacing w:val="-9"/>
        </w:rPr>
        <w:t> </w:t>
      </w:r>
      <w:r>
        <w:rPr>
          <w:color w:val="231F20"/>
        </w:rPr>
        <w:t>путем</w:t>
      </w:r>
      <w:r>
        <w:rPr>
          <w:color w:val="231F20"/>
          <w:spacing w:val="-9"/>
        </w:rPr>
        <w:t> </w:t>
      </w:r>
      <w:r>
        <w:rPr>
          <w:color w:val="231F20"/>
        </w:rPr>
        <w:t>Стари</w:t>
      </w:r>
      <w:r>
        <w:rPr>
          <w:color w:val="231F20"/>
          <w:spacing w:val="-9"/>
        </w:rPr>
        <w:t> </w:t>
      </w:r>
      <w:r>
        <w:rPr>
          <w:color w:val="231F20"/>
        </w:rPr>
        <w:t>Костолац</w:t>
      </w:r>
      <w:r>
        <w:rPr>
          <w:color w:val="231F20"/>
          <w:spacing w:val="15"/>
        </w:rPr>
        <w:t> </w:t>
      </w:r>
      <w:r>
        <w:rPr>
          <w:color w:val="231F20"/>
        </w:rPr>
        <w:t>–</w:t>
      </w:r>
      <w:r>
        <w:rPr>
          <w:color w:val="231F20"/>
          <w:spacing w:val="-9"/>
        </w:rPr>
        <w:t> </w:t>
      </w:r>
      <w:r>
        <w:rPr>
          <w:color w:val="231F20"/>
        </w:rPr>
        <w:t>село</w:t>
      </w:r>
      <w:r>
        <w:rPr>
          <w:color w:val="231F20"/>
          <w:spacing w:val="-9"/>
        </w:rPr>
        <w:t> </w:t>
      </w:r>
      <w:r>
        <w:rPr>
          <w:color w:val="231F20"/>
        </w:rPr>
        <w:t>Дрмно</w:t>
      </w:r>
      <w:r>
        <w:rPr>
          <w:color w:val="231F20"/>
          <w:spacing w:val="-9"/>
        </w:rPr>
        <w:t> </w:t>
      </w:r>
      <w:r>
        <w:rPr>
          <w:color w:val="231F20"/>
        </w:rPr>
        <w:t>санду- частим</w:t>
      </w:r>
      <w:r>
        <w:rPr>
          <w:color w:val="231F20"/>
          <w:spacing w:val="-7"/>
        </w:rPr>
        <w:t> </w:t>
      </w:r>
      <w:r>
        <w:rPr>
          <w:color w:val="231F20"/>
        </w:rPr>
        <w:t>пропустом</w:t>
      </w:r>
      <w:r>
        <w:rPr>
          <w:color w:val="231F20"/>
          <w:spacing w:val="-7"/>
        </w:rPr>
        <w:t> </w:t>
      </w:r>
      <w:r>
        <w:rPr>
          <w:color w:val="231F20"/>
        </w:rPr>
        <w:t>испод</w:t>
      </w:r>
      <w:r>
        <w:rPr>
          <w:color w:val="231F20"/>
          <w:spacing w:val="-7"/>
        </w:rPr>
        <w:t> </w:t>
      </w:r>
      <w:r>
        <w:rPr>
          <w:color w:val="231F20"/>
        </w:rPr>
        <w:t>пута</w:t>
      </w:r>
      <w:r>
        <w:rPr>
          <w:color w:val="231F20"/>
          <w:spacing w:val="-7"/>
        </w:rPr>
        <w:t> </w:t>
      </w:r>
      <w:r>
        <w:rPr>
          <w:color w:val="231F20"/>
        </w:rPr>
        <w:t>уз</w:t>
      </w:r>
      <w:r>
        <w:rPr>
          <w:color w:val="231F20"/>
          <w:spacing w:val="-7"/>
        </w:rPr>
        <w:t> </w:t>
      </w:r>
      <w:r>
        <w:rPr>
          <w:color w:val="231F20"/>
        </w:rPr>
        <w:t>претходно</w:t>
      </w:r>
      <w:r>
        <w:rPr>
          <w:color w:val="231F20"/>
          <w:spacing w:val="-7"/>
        </w:rPr>
        <w:t> </w:t>
      </w:r>
      <w:r>
        <w:rPr>
          <w:color w:val="231F20"/>
        </w:rPr>
        <w:t>изграђену</w:t>
      </w:r>
      <w:r>
        <w:rPr>
          <w:color w:val="231F20"/>
          <w:spacing w:val="-7"/>
        </w:rPr>
        <w:t> </w:t>
      </w:r>
      <w:r>
        <w:rPr>
          <w:color w:val="231F20"/>
        </w:rPr>
        <w:t>привремену девијацију постојећег</w:t>
      </w:r>
      <w:r>
        <w:rPr>
          <w:color w:val="231F20"/>
          <w:spacing w:val="-1"/>
        </w:rPr>
        <w:t> </w:t>
      </w:r>
      <w:r>
        <w:rPr>
          <w:color w:val="231F20"/>
        </w:rPr>
        <w:t>пута.</w:t>
      </w:r>
    </w:p>
    <w:p>
      <w:pPr>
        <w:spacing w:after="0" w:line="232" w:lineRule="auto"/>
        <w:sectPr>
          <w:pgSz w:w="12480" w:h="15690"/>
          <w:pgMar w:top="120" w:bottom="280" w:left="680" w:right="720"/>
          <w:cols w:num="2" w:equalWidth="0">
            <w:col w:w="5314" w:space="71"/>
            <w:col w:w="5695"/>
          </w:cols>
        </w:sectPr>
      </w:pPr>
    </w:p>
    <w:p>
      <w:pPr>
        <w:pStyle w:val="BodyText"/>
        <w:spacing w:line="230" w:lineRule="auto" w:before="74"/>
        <w:ind w:left="453" w:right="1" w:firstLine="396"/>
      </w:pPr>
      <w:r>
        <w:rPr/>
        <w:pict>
          <v:line style="position:absolute;mso-position-horizontal-relative:page;mso-position-vertical-relative:page;z-index:3952" from="318.897614pt,11.942451pt" to="318.897614pt,748.950451pt" stroked="true" strokeweight=".6pt" strokecolor="#231f20">
            <v:stroke dashstyle="solid"/>
            <w10:wrap type="none"/>
          </v:line>
        </w:pict>
      </w:r>
      <w:r>
        <w:rPr>
          <w:color w:val="231F20"/>
        </w:rPr>
        <w:t>На укрштању трачног транспортера и пута Костолац – Ста- ри Костолац, који се изводи мостовском конструкцијом, као и код укрштања са другим јавним и сервисним саобраћајницама, испо- штовати висину од 4,5 m од површине коловоза до доње ивице конструкције транспортера.</w:t>
      </w:r>
    </w:p>
    <w:p>
      <w:pPr>
        <w:pStyle w:val="BodyText"/>
        <w:spacing w:before="167"/>
        <w:ind w:left="1756"/>
        <w:jc w:val="left"/>
      </w:pPr>
      <w:r>
        <w:rPr>
          <w:color w:val="231F20"/>
        </w:rPr>
        <w:t>Укрштање са трасом пепеловода</w:t>
      </w:r>
    </w:p>
    <w:p>
      <w:pPr>
        <w:pStyle w:val="BodyText"/>
        <w:spacing w:before="4"/>
        <w:ind w:left="0"/>
        <w:jc w:val="left"/>
        <w:rPr>
          <w:sz w:val="17"/>
        </w:rPr>
      </w:pPr>
    </w:p>
    <w:p>
      <w:pPr>
        <w:pStyle w:val="BodyText"/>
        <w:spacing w:line="230" w:lineRule="auto"/>
        <w:ind w:left="454" w:firstLine="396"/>
      </w:pPr>
      <w:r>
        <w:rPr>
          <w:color w:val="231F20"/>
        </w:rPr>
        <w:t>Траса пепеловода из ТЕ „Костолац Б” се води паралелно са трасом трачног транспортера на међусобном растојању од око 15</w:t>
      </w:r>
    </w:p>
    <w:p>
      <w:pPr>
        <w:pStyle w:val="BodyText"/>
        <w:spacing w:line="230" w:lineRule="auto" w:before="1"/>
        <w:ind w:left="455" w:hanging="1"/>
      </w:pPr>
      <w:r>
        <w:rPr>
          <w:color w:val="231F20"/>
        </w:rPr>
        <w:t>m. На </w:t>
      </w:r>
      <w:r>
        <w:rPr>
          <w:color w:val="231F20"/>
          <w:spacing w:val="-4"/>
        </w:rPr>
        <w:t>око </w:t>
      </w:r>
      <w:r>
        <w:rPr>
          <w:color w:val="231F20"/>
        </w:rPr>
        <w:t>35 m пре моста </w:t>
      </w:r>
      <w:r>
        <w:rPr>
          <w:color w:val="231F20"/>
          <w:spacing w:val="-3"/>
        </w:rPr>
        <w:t>преко </w:t>
      </w:r>
      <w:r>
        <w:rPr>
          <w:color w:val="231F20"/>
        </w:rPr>
        <w:t>реке Млаве, конструкција пепело- вода се води </w:t>
      </w:r>
      <w:r>
        <w:rPr>
          <w:color w:val="231F20"/>
          <w:spacing w:val="-3"/>
        </w:rPr>
        <w:t>преко </w:t>
      </w:r>
      <w:r>
        <w:rPr>
          <w:color w:val="231F20"/>
        </w:rPr>
        <w:t>постојећег моста, при чему је потребна рекон- струкција одређених сегмената мостовске конструкције.</w:t>
      </w:r>
    </w:p>
    <w:p>
      <w:pPr>
        <w:pStyle w:val="BodyText"/>
        <w:spacing w:line="230" w:lineRule="auto" w:before="2"/>
        <w:ind w:left="455" w:firstLine="396"/>
      </w:pPr>
      <w:r>
        <w:rPr>
          <w:color w:val="231F20"/>
        </w:rPr>
        <w:t>Након преласка реке Млаве траса пепеловода напушта кон- струкцију моста и спаја се са трасом пепеловода који води из ТЕ</w:t>
      </w:r>
    </w:p>
    <w:p>
      <w:pPr>
        <w:pStyle w:val="BodyText"/>
        <w:spacing w:line="230" w:lineRule="auto" w:before="2"/>
        <w:ind w:left="455" w:hanging="1"/>
      </w:pPr>
      <w:r>
        <w:rPr>
          <w:color w:val="231F20"/>
        </w:rPr>
        <w:t>„Костолац А” и који трасу трачног транспортера прелази испод трачног транспортера тј. испод постојећег моста М-3.</w:t>
      </w:r>
    </w:p>
    <w:p>
      <w:pPr>
        <w:pStyle w:val="BodyText"/>
        <w:spacing w:line="230" w:lineRule="auto" w:before="1"/>
        <w:ind w:left="456" w:right="1" w:firstLine="396"/>
      </w:pPr>
      <w:r>
        <w:rPr>
          <w:color w:val="231F20"/>
          <w:spacing w:val="-3"/>
        </w:rPr>
        <w:t>Након </w:t>
      </w:r>
      <w:r>
        <w:rPr>
          <w:color w:val="231F20"/>
        </w:rPr>
        <w:t>преласка трачног транспортера пепеловоди се воде за- </w:t>
      </w:r>
      <w:r>
        <w:rPr>
          <w:color w:val="231F20"/>
          <w:spacing w:val="-3"/>
        </w:rPr>
        <w:t>једничком</w:t>
      </w:r>
      <w:r>
        <w:rPr>
          <w:color w:val="231F20"/>
          <w:spacing w:val="-7"/>
        </w:rPr>
        <w:t> </w:t>
      </w:r>
      <w:r>
        <w:rPr>
          <w:color w:val="231F20"/>
        </w:rPr>
        <w:t>конструкцијом</w:t>
      </w:r>
      <w:r>
        <w:rPr>
          <w:color w:val="231F20"/>
          <w:spacing w:val="-7"/>
        </w:rPr>
        <w:t> </w:t>
      </w:r>
      <w:r>
        <w:rPr>
          <w:color w:val="231F20"/>
        </w:rPr>
        <w:t>на</w:t>
      </w:r>
      <w:r>
        <w:rPr>
          <w:color w:val="231F20"/>
          <w:spacing w:val="-7"/>
        </w:rPr>
        <w:t> </w:t>
      </w:r>
      <w:r>
        <w:rPr>
          <w:color w:val="231F20"/>
        </w:rPr>
        <w:t>стубовима</w:t>
      </w:r>
      <w:r>
        <w:rPr>
          <w:color w:val="231F20"/>
          <w:spacing w:val="-7"/>
        </w:rPr>
        <w:t> </w:t>
      </w:r>
      <w:r>
        <w:rPr>
          <w:color w:val="231F20"/>
        </w:rPr>
        <w:t>према</w:t>
      </w:r>
      <w:r>
        <w:rPr>
          <w:color w:val="231F20"/>
          <w:spacing w:val="-7"/>
        </w:rPr>
        <w:t> </w:t>
      </w:r>
      <w:r>
        <w:rPr>
          <w:color w:val="231F20"/>
        </w:rPr>
        <w:t>Касети</w:t>
      </w:r>
      <w:r>
        <w:rPr>
          <w:color w:val="231F20"/>
          <w:spacing w:val="-7"/>
        </w:rPr>
        <w:t> </w:t>
      </w:r>
      <w:r>
        <w:rPr>
          <w:color w:val="231F20"/>
        </w:rPr>
        <w:t>1</w:t>
      </w:r>
      <w:r>
        <w:rPr>
          <w:color w:val="231F20"/>
          <w:spacing w:val="-7"/>
        </w:rPr>
        <w:t> </w:t>
      </w:r>
      <w:r>
        <w:rPr>
          <w:color w:val="231F20"/>
        </w:rPr>
        <w:t>на</w:t>
      </w:r>
      <w:r>
        <w:rPr>
          <w:color w:val="231F20"/>
          <w:spacing w:val="-7"/>
        </w:rPr>
        <w:t> </w:t>
      </w:r>
      <w:r>
        <w:rPr>
          <w:color w:val="231F20"/>
        </w:rPr>
        <w:t>депони- ји </w:t>
      </w:r>
      <w:r>
        <w:rPr>
          <w:color w:val="231F20"/>
          <w:spacing w:val="-3"/>
        </w:rPr>
        <w:t>„Ћириковац”.</w:t>
      </w:r>
    </w:p>
    <w:p>
      <w:pPr>
        <w:pStyle w:val="BodyText"/>
        <w:spacing w:before="166"/>
        <w:ind w:left="1620"/>
        <w:jc w:val="left"/>
      </w:pPr>
      <w:r>
        <w:rPr>
          <w:color w:val="231F20"/>
        </w:rPr>
        <w:t>Снабдевање електричном енергијом</w:t>
      </w:r>
    </w:p>
    <w:p>
      <w:pPr>
        <w:pStyle w:val="BodyText"/>
        <w:spacing w:before="3"/>
        <w:ind w:left="0"/>
        <w:jc w:val="left"/>
        <w:rPr>
          <w:sz w:val="17"/>
        </w:rPr>
      </w:pPr>
    </w:p>
    <w:p>
      <w:pPr>
        <w:pStyle w:val="BodyText"/>
        <w:spacing w:line="230" w:lineRule="auto"/>
        <w:ind w:left="455" w:right="1" w:firstLine="396"/>
      </w:pPr>
      <w:r>
        <w:rPr>
          <w:color w:val="231F20"/>
        </w:rPr>
        <w:t>Снабдевање електричном енергијом транспортног система врши се на следећи начин:</w:t>
      </w:r>
    </w:p>
    <w:p>
      <w:pPr>
        <w:pStyle w:val="BodyText"/>
        <w:spacing w:line="230" w:lineRule="auto" w:before="2"/>
        <w:ind w:left="455" w:firstLine="397"/>
      </w:pPr>
      <w:r>
        <w:rPr>
          <w:color w:val="231F20"/>
          <w:w w:val="66"/>
        </w:rPr>
        <w:t> </w:t>
      </w:r>
      <w:r>
        <w:rPr>
          <w:color w:val="231F20"/>
        </w:rPr>
        <w:t>– из ТС „Дробилана” у ТЕ „Костолац Б” напаја се електро постројење транспортног система које обезбеђује електричну енергију комплексу за преузимање угља са ПК „Дрмно” и тран- спортеру Т1;</w:t>
      </w:r>
    </w:p>
    <w:p>
      <w:pPr>
        <w:pStyle w:val="BodyText"/>
        <w:spacing w:line="230" w:lineRule="auto" w:before="3"/>
        <w:ind w:left="455" w:firstLine="396"/>
      </w:pPr>
      <w:r>
        <w:rPr>
          <w:color w:val="231F20"/>
          <w:w w:val="66"/>
        </w:rPr>
        <w:t> </w:t>
      </w:r>
      <w:r>
        <w:rPr>
          <w:color w:val="231F20"/>
        </w:rPr>
        <w:t>– из ТС „Рудник” напајају се електричном енергијом тран- спортери Т2, Т3и Т4 и</w:t>
      </w:r>
    </w:p>
    <w:p>
      <w:pPr>
        <w:pStyle w:val="BodyText"/>
        <w:spacing w:line="230" w:lineRule="auto" w:before="1"/>
        <w:ind w:left="455" w:firstLine="397"/>
      </w:pPr>
      <w:r>
        <w:rPr>
          <w:color w:val="231F20"/>
          <w:w w:val="66"/>
        </w:rPr>
        <w:t> </w:t>
      </w:r>
      <w:r>
        <w:rPr>
          <w:color w:val="231F20"/>
        </w:rPr>
        <w:t>– из ТС „Дробилана” у ТЕ „Костолац А” напајају се елек- тричном</w:t>
      </w:r>
      <w:r>
        <w:rPr>
          <w:color w:val="231F20"/>
          <w:spacing w:val="-7"/>
        </w:rPr>
        <w:t> </w:t>
      </w:r>
      <w:r>
        <w:rPr>
          <w:color w:val="231F20"/>
        </w:rPr>
        <w:t>енергијом</w:t>
      </w:r>
      <w:r>
        <w:rPr>
          <w:color w:val="231F20"/>
          <w:spacing w:val="-7"/>
        </w:rPr>
        <w:t> </w:t>
      </w:r>
      <w:r>
        <w:rPr>
          <w:color w:val="231F20"/>
        </w:rPr>
        <w:t>дробилице</w:t>
      </w:r>
      <w:r>
        <w:rPr>
          <w:color w:val="231F20"/>
          <w:spacing w:val="-7"/>
        </w:rPr>
        <w:t> </w:t>
      </w:r>
      <w:r>
        <w:rPr>
          <w:color w:val="231F20"/>
        </w:rPr>
        <w:t>UD-1</w:t>
      </w:r>
      <w:r>
        <w:rPr>
          <w:color w:val="231F20"/>
          <w:spacing w:val="-7"/>
        </w:rPr>
        <w:t> </w:t>
      </w:r>
      <w:r>
        <w:rPr>
          <w:color w:val="231F20"/>
        </w:rPr>
        <w:t>и</w:t>
      </w:r>
      <w:r>
        <w:rPr>
          <w:color w:val="231F20"/>
          <w:spacing w:val="-7"/>
        </w:rPr>
        <w:t> </w:t>
      </w:r>
      <w:r>
        <w:rPr>
          <w:color w:val="231F20"/>
        </w:rPr>
        <w:t>UD-2</w:t>
      </w:r>
      <w:r>
        <w:rPr>
          <w:color w:val="231F20"/>
          <w:spacing w:val="-7"/>
        </w:rPr>
        <w:t> </w:t>
      </w:r>
      <w:r>
        <w:rPr>
          <w:color w:val="231F20"/>
        </w:rPr>
        <w:t>пројектоване</w:t>
      </w:r>
      <w:r>
        <w:rPr>
          <w:color w:val="231F20"/>
          <w:spacing w:val="-7"/>
        </w:rPr>
        <w:t> </w:t>
      </w:r>
      <w:r>
        <w:rPr>
          <w:color w:val="231F20"/>
        </w:rPr>
        <w:t>у</w:t>
      </w:r>
      <w:r>
        <w:rPr>
          <w:color w:val="231F20"/>
          <w:spacing w:val="-7"/>
        </w:rPr>
        <w:t> </w:t>
      </w:r>
      <w:r>
        <w:rPr>
          <w:color w:val="231F20"/>
        </w:rPr>
        <w:t>дроби- лани ТЕ „Костолац</w:t>
      </w:r>
      <w:r>
        <w:rPr>
          <w:color w:val="231F20"/>
          <w:spacing w:val="-3"/>
        </w:rPr>
        <w:t> </w:t>
      </w:r>
      <w:r>
        <w:rPr>
          <w:color w:val="231F20"/>
        </w:rPr>
        <w:t>А”.</w:t>
      </w:r>
    </w:p>
    <w:p>
      <w:pPr>
        <w:pStyle w:val="BodyText"/>
        <w:spacing w:before="166"/>
        <w:ind w:left="1597"/>
        <w:jc w:val="left"/>
      </w:pPr>
      <w:r>
        <w:rPr>
          <w:color w:val="231F20"/>
        </w:rPr>
        <w:t>Укрштања са електричним водовима</w:t>
      </w:r>
    </w:p>
    <w:p>
      <w:pPr>
        <w:pStyle w:val="BodyText"/>
        <w:spacing w:before="3"/>
        <w:ind w:left="0"/>
        <w:jc w:val="left"/>
        <w:rPr>
          <w:sz w:val="17"/>
        </w:rPr>
      </w:pPr>
    </w:p>
    <w:p>
      <w:pPr>
        <w:pStyle w:val="BodyText"/>
        <w:spacing w:line="230" w:lineRule="auto"/>
        <w:ind w:left="455" w:firstLine="396"/>
      </w:pPr>
      <w:r>
        <w:rPr>
          <w:color w:val="231F20"/>
        </w:rPr>
        <w:t>Водови напона 110 kV и 400 kV се издижу на довољну ви- сину изнад транспортне траке и пута, уз механичко и електрично појачавање у складу са прописима, а траса транспортне траке се прилагођава постојећем распореду стубова далековода. Трасе ви- соконапонских далековода представљају условно повољне повр- шине за пролазак, с тим да паралелно пружање трасе транспортне траке и трасе далековода представља веће ограничење од попреч- ног укрштања траса.</w:t>
      </w:r>
    </w:p>
    <w:p>
      <w:pPr>
        <w:pStyle w:val="BodyText"/>
        <w:spacing w:before="169"/>
        <w:ind w:left="1286"/>
        <w:jc w:val="left"/>
      </w:pPr>
      <w:r>
        <w:rPr>
          <w:color w:val="231F20"/>
        </w:rPr>
        <w:t>Укрштања са трасом индустријског колосека</w:t>
      </w:r>
    </w:p>
    <w:p>
      <w:pPr>
        <w:pStyle w:val="BodyText"/>
        <w:spacing w:before="3"/>
        <w:ind w:left="0"/>
        <w:jc w:val="left"/>
        <w:rPr>
          <w:sz w:val="17"/>
        </w:rPr>
      </w:pPr>
    </w:p>
    <w:p>
      <w:pPr>
        <w:pStyle w:val="BodyText"/>
        <w:spacing w:line="230" w:lineRule="auto" w:before="1"/>
        <w:ind w:left="456" w:right="1" w:firstLine="396"/>
      </w:pPr>
      <w:r>
        <w:rPr>
          <w:color w:val="231F20"/>
        </w:rPr>
        <w:t>Траса трачног транспортера се укршта са трасом планираног индустријског колосека у km: 14+160 предметне пруге. Ово укр- штање биће разрешено „спуштањем” траке испод нивелете коло- сека, односно изградњом плочастог пропуста отвора око 5 m кроз који ће бити проведена трака.</w:t>
      </w:r>
    </w:p>
    <w:p>
      <w:pPr>
        <w:pStyle w:val="BodyText"/>
        <w:spacing w:line="230" w:lineRule="auto" w:before="3"/>
        <w:ind w:left="456" w:right="1" w:firstLine="397"/>
      </w:pPr>
      <w:r>
        <w:rPr>
          <w:color w:val="231F20"/>
        </w:rPr>
        <w:t>Са леве стране транспортне траке предвиђен је армирано бе- тонски зид дужине 110 m, с обзиром да се непосредно уз траку налази друмска саобраћајница.</w:t>
      </w:r>
    </w:p>
    <w:p>
      <w:pPr>
        <w:pStyle w:val="BodyText"/>
        <w:spacing w:line="230" w:lineRule="auto" w:before="3"/>
        <w:ind w:left="456" w:firstLine="396"/>
      </w:pPr>
      <w:r>
        <w:rPr>
          <w:color w:val="231F20"/>
          <w:spacing w:val="-3"/>
        </w:rPr>
        <w:t>Са десне </w:t>
      </w:r>
      <w:r>
        <w:rPr>
          <w:color w:val="231F20"/>
          <w:spacing w:val="-4"/>
        </w:rPr>
        <w:t>стране </w:t>
      </w:r>
      <w:r>
        <w:rPr>
          <w:color w:val="231F20"/>
          <w:spacing w:val="-5"/>
        </w:rPr>
        <w:t>транспортне траке </w:t>
      </w:r>
      <w:r>
        <w:rPr>
          <w:color w:val="231F20"/>
          <w:spacing w:val="-3"/>
        </w:rPr>
        <w:t>је </w:t>
      </w:r>
      <w:r>
        <w:rPr>
          <w:color w:val="231F20"/>
          <w:spacing w:val="-5"/>
        </w:rPr>
        <w:t>отворени трапезни канал  </w:t>
      </w:r>
      <w:r>
        <w:rPr>
          <w:color w:val="231F20"/>
        </w:rPr>
        <w:t>и </w:t>
      </w:r>
      <w:r>
        <w:rPr>
          <w:color w:val="231F20"/>
          <w:spacing w:val="-5"/>
        </w:rPr>
        <w:t>земљана косина. Овај канал прикупља кишницу </w:t>
      </w:r>
      <w:r>
        <w:rPr>
          <w:color w:val="231F20"/>
          <w:spacing w:val="-4"/>
        </w:rPr>
        <w:t>дуж </w:t>
      </w:r>
      <w:r>
        <w:rPr>
          <w:color w:val="231F20"/>
          <w:spacing w:val="-5"/>
        </w:rPr>
        <w:t>усека </w:t>
      </w:r>
      <w:r>
        <w:rPr>
          <w:color w:val="231F20"/>
        </w:rPr>
        <w:t>и </w:t>
      </w:r>
      <w:r>
        <w:rPr>
          <w:color w:val="231F20"/>
          <w:spacing w:val="-4"/>
        </w:rPr>
        <w:t>тран- </w:t>
      </w:r>
      <w:r>
        <w:rPr>
          <w:color w:val="231F20"/>
          <w:spacing w:val="-5"/>
        </w:rPr>
        <w:t>спортне траке </w:t>
      </w:r>
      <w:r>
        <w:rPr>
          <w:color w:val="231F20"/>
        </w:rPr>
        <w:t>и </w:t>
      </w:r>
      <w:r>
        <w:rPr>
          <w:color w:val="231F20"/>
          <w:spacing w:val="-6"/>
        </w:rPr>
        <w:t>води </w:t>
      </w:r>
      <w:r>
        <w:rPr>
          <w:color w:val="231F20"/>
          <w:spacing w:val="-3"/>
        </w:rPr>
        <w:t>је </w:t>
      </w:r>
      <w:r>
        <w:rPr>
          <w:color w:val="231F20"/>
        </w:rPr>
        <w:t>у </w:t>
      </w:r>
      <w:r>
        <w:rPr>
          <w:color w:val="231F20"/>
          <w:spacing w:val="-4"/>
        </w:rPr>
        <w:t>црпну станицу </w:t>
      </w:r>
      <w:r>
        <w:rPr>
          <w:color w:val="231F20"/>
          <w:spacing w:val="-5"/>
        </w:rPr>
        <w:t>шахтног </w:t>
      </w:r>
      <w:r>
        <w:rPr>
          <w:color w:val="231F20"/>
          <w:spacing w:val="-4"/>
        </w:rPr>
        <w:t>типа </w:t>
      </w:r>
      <w:r>
        <w:rPr>
          <w:color w:val="231F20"/>
          <w:spacing w:val="-6"/>
        </w:rPr>
        <w:t>која </w:t>
      </w:r>
      <w:r>
        <w:rPr>
          <w:color w:val="231F20"/>
          <w:spacing w:val="-3"/>
        </w:rPr>
        <w:t>је </w:t>
      </w:r>
      <w:r>
        <w:rPr>
          <w:color w:val="231F20"/>
          <w:spacing w:val="-5"/>
        </w:rPr>
        <w:t>смеште- </w:t>
      </w:r>
      <w:r>
        <w:rPr>
          <w:color w:val="231F20"/>
          <w:spacing w:val="-3"/>
        </w:rPr>
        <w:t>на </w:t>
      </w:r>
      <w:r>
        <w:rPr>
          <w:color w:val="231F20"/>
        </w:rPr>
        <w:t>у </w:t>
      </w:r>
      <w:r>
        <w:rPr>
          <w:color w:val="231F20"/>
          <w:spacing w:val="-5"/>
        </w:rPr>
        <w:t>најнижем </w:t>
      </w:r>
      <w:r>
        <w:rPr>
          <w:color w:val="231F20"/>
          <w:spacing w:val="-4"/>
        </w:rPr>
        <w:t>делу </w:t>
      </w:r>
      <w:r>
        <w:rPr>
          <w:color w:val="231F20"/>
          <w:spacing w:val="-5"/>
        </w:rPr>
        <w:t>канала. Предвиђају </w:t>
      </w:r>
      <w:r>
        <w:rPr>
          <w:color w:val="231F20"/>
        </w:rPr>
        <w:t>се </w:t>
      </w:r>
      <w:r>
        <w:rPr>
          <w:color w:val="231F20"/>
          <w:spacing w:val="-4"/>
        </w:rPr>
        <w:t>две </w:t>
      </w:r>
      <w:r>
        <w:rPr>
          <w:color w:val="231F20"/>
          <w:spacing w:val="-5"/>
        </w:rPr>
        <w:t>потопљене пумпе </w:t>
      </w:r>
      <w:r>
        <w:rPr>
          <w:color w:val="231F20"/>
          <w:spacing w:val="-3"/>
        </w:rPr>
        <w:t>за </w:t>
      </w:r>
      <w:r>
        <w:rPr>
          <w:color w:val="231F20"/>
          <w:spacing w:val="-6"/>
        </w:rPr>
        <w:t>евакуацију</w:t>
      </w:r>
      <w:r>
        <w:rPr>
          <w:color w:val="231F20"/>
          <w:spacing w:val="-9"/>
        </w:rPr>
        <w:t> </w:t>
      </w:r>
      <w:r>
        <w:rPr>
          <w:color w:val="231F20"/>
          <w:spacing w:val="-6"/>
        </w:rPr>
        <w:t>воде</w:t>
      </w:r>
      <w:r>
        <w:rPr>
          <w:color w:val="231F20"/>
          <w:spacing w:val="-9"/>
        </w:rPr>
        <w:t> </w:t>
      </w:r>
      <w:r>
        <w:rPr>
          <w:color w:val="231F20"/>
          <w:spacing w:val="-3"/>
        </w:rPr>
        <w:t>из</w:t>
      </w:r>
      <w:r>
        <w:rPr>
          <w:color w:val="231F20"/>
          <w:spacing w:val="-9"/>
        </w:rPr>
        <w:t> </w:t>
      </w:r>
      <w:r>
        <w:rPr>
          <w:color w:val="231F20"/>
          <w:spacing w:val="-5"/>
        </w:rPr>
        <w:t>шахте.</w:t>
      </w:r>
      <w:r>
        <w:rPr>
          <w:color w:val="231F20"/>
          <w:spacing w:val="-9"/>
        </w:rPr>
        <w:t> </w:t>
      </w:r>
      <w:r>
        <w:rPr>
          <w:color w:val="231F20"/>
          <w:spacing w:val="-5"/>
        </w:rPr>
        <w:t>Потисни</w:t>
      </w:r>
      <w:r>
        <w:rPr>
          <w:color w:val="231F20"/>
          <w:spacing w:val="-9"/>
        </w:rPr>
        <w:t> </w:t>
      </w:r>
      <w:r>
        <w:rPr>
          <w:color w:val="231F20"/>
          <w:spacing w:val="-6"/>
        </w:rPr>
        <w:t>цевовод</w:t>
      </w:r>
      <w:r>
        <w:rPr>
          <w:color w:val="231F20"/>
          <w:spacing w:val="-9"/>
        </w:rPr>
        <w:t> </w:t>
      </w:r>
      <w:r>
        <w:rPr>
          <w:color w:val="231F20"/>
          <w:spacing w:val="-3"/>
        </w:rPr>
        <w:t>из</w:t>
      </w:r>
      <w:r>
        <w:rPr>
          <w:color w:val="231F20"/>
          <w:spacing w:val="-9"/>
        </w:rPr>
        <w:t> </w:t>
      </w:r>
      <w:r>
        <w:rPr>
          <w:color w:val="231F20"/>
          <w:spacing w:val="-5"/>
        </w:rPr>
        <w:t>шахта</w:t>
      </w:r>
      <w:r>
        <w:rPr>
          <w:color w:val="231F20"/>
          <w:spacing w:val="-9"/>
        </w:rPr>
        <w:t> </w:t>
      </w:r>
      <w:r>
        <w:rPr>
          <w:color w:val="231F20"/>
          <w:spacing w:val="-3"/>
        </w:rPr>
        <w:t>је</w:t>
      </w:r>
      <w:r>
        <w:rPr>
          <w:color w:val="231F20"/>
          <w:spacing w:val="-9"/>
        </w:rPr>
        <w:t> </w:t>
      </w:r>
      <w:r>
        <w:rPr>
          <w:color w:val="231F20"/>
          <w:spacing w:val="-5"/>
        </w:rPr>
        <w:t>дубине</w:t>
      </w:r>
      <w:r>
        <w:rPr>
          <w:color w:val="231F20"/>
          <w:spacing w:val="-9"/>
        </w:rPr>
        <w:t> </w:t>
      </w:r>
      <w:r>
        <w:rPr>
          <w:color w:val="231F20"/>
          <w:spacing w:val="-4"/>
        </w:rPr>
        <w:t>1,0</w:t>
      </w:r>
      <w:r>
        <w:rPr>
          <w:color w:val="231F20"/>
          <w:spacing w:val="-9"/>
        </w:rPr>
        <w:t> </w:t>
      </w:r>
      <w:r>
        <w:rPr>
          <w:color w:val="231F20"/>
        </w:rPr>
        <w:t>m</w:t>
      </w:r>
      <w:r>
        <w:rPr>
          <w:color w:val="231F20"/>
          <w:spacing w:val="-9"/>
        </w:rPr>
        <w:t> </w:t>
      </w:r>
      <w:r>
        <w:rPr>
          <w:color w:val="231F20"/>
        </w:rPr>
        <w:t>и </w:t>
      </w:r>
      <w:r>
        <w:rPr>
          <w:color w:val="231F20"/>
          <w:spacing w:val="-3"/>
        </w:rPr>
        <w:t>на </w:t>
      </w:r>
      <w:r>
        <w:rPr>
          <w:color w:val="231F20"/>
          <w:spacing w:val="-5"/>
        </w:rPr>
        <w:t>вертикалним скретањима </w:t>
      </w:r>
      <w:r>
        <w:rPr>
          <w:color w:val="231F20"/>
          <w:spacing w:val="-3"/>
        </w:rPr>
        <w:t>је </w:t>
      </w:r>
      <w:r>
        <w:rPr>
          <w:color w:val="231F20"/>
          <w:spacing w:val="-5"/>
        </w:rPr>
        <w:t>обезбеђен бетонским</w:t>
      </w:r>
      <w:r>
        <w:rPr>
          <w:color w:val="231F20"/>
          <w:spacing w:val="-31"/>
        </w:rPr>
        <w:t> </w:t>
      </w:r>
      <w:r>
        <w:rPr>
          <w:color w:val="231F20"/>
          <w:spacing w:val="-5"/>
        </w:rPr>
        <w:t>анкерима.</w:t>
      </w:r>
    </w:p>
    <w:p>
      <w:pPr>
        <w:pStyle w:val="BodyText"/>
        <w:spacing w:before="167"/>
        <w:ind w:left="1929"/>
        <w:jc w:val="left"/>
      </w:pPr>
      <w:r>
        <w:rPr>
          <w:color w:val="231F20"/>
        </w:rPr>
        <w:t>Укрштање са реком Млавом</w:t>
      </w:r>
    </w:p>
    <w:p>
      <w:pPr>
        <w:pStyle w:val="BodyText"/>
        <w:spacing w:before="3"/>
        <w:ind w:left="0"/>
        <w:jc w:val="left"/>
        <w:rPr>
          <w:sz w:val="17"/>
        </w:rPr>
      </w:pPr>
    </w:p>
    <w:p>
      <w:pPr>
        <w:pStyle w:val="BodyText"/>
        <w:spacing w:line="230" w:lineRule="auto" w:before="1"/>
        <w:ind w:left="457" w:firstLine="396"/>
      </w:pPr>
      <w:r>
        <w:rPr>
          <w:color w:val="231F20"/>
        </w:rPr>
        <w:t>Траса трачног транспортера пресеца ток реке Млаве </w:t>
      </w:r>
      <w:r>
        <w:rPr>
          <w:color w:val="231F20"/>
          <w:spacing w:val="-3"/>
        </w:rPr>
        <w:t>под </w:t>
      </w:r>
      <w:r>
        <w:rPr>
          <w:color w:val="231F20"/>
        </w:rPr>
        <w:t>правим </w:t>
      </w:r>
      <w:r>
        <w:rPr>
          <w:color w:val="231F20"/>
          <w:spacing w:val="-3"/>
        </w:rPr>
        <w:t>углом </w:t>
      </w:r>
      <w:r>
        <w:rPr>
          <w:color w:val="231F20"/>
        </w:rPr>
        <w:t>на делу транспортера Т-2. Реку прелази челичном мостовском конструкцијом дужине 80 m. Стубови моста су</w:t>
      </w:r>
      <w:r>
        <w:rPr>
          <w:color w:val="231F20"/>
          <w:spacing w:val="-22"/>
        </w:rPr>
        <w:t> </w:t>
      </w:r>
      <w:r>
        <w:rPr>
          <w:color w:val="231F20"/>
        </w:rPr>
        <w:t>поста- вљени на обалама</w:t>
      </w:r>
      <w:r>
        <w:rPr>
          <w:color w:val="231F20"/>
          <w:spacing w:val="-3"/>
        </w:rPr>
        <w:t> </w:t>
      </w:r>
      <w:r>
        <w:rPr>
          <w:color w:val="231F20"/>
        </w:rPr>
        <w:t>реке.</w:t>
      </w:r>
    </w:p>
    <w:p>
      <w:pPr>
        <w:pStyle w:val="BodyText"/>
        <w:spacing w:line="230" w:lineRule="auto" w:before="3"/>
        <w:ind w:left="457" w:firstLine="396"/>
      </w:pPr>
      <w:r>
        <w:rPr>
          <w:color w:val="231F20"/>
        </w:rPr>
        <w:t>Конструкција моста је димензионисана на основу максимал- ног оптерећења трачног транспортера, што омогућује несметани рад пуним капацитетом.</w:t>
      </w:r>
    </w:p>
    <w:p>
      <w:pPr>
        <w:pStyle w:val="BodyText"/>
        <w:spacing w:line="230" w:lineRule="auto" w:before="2"/>
        <w:ind w:left="457" w:firstLine="397"/>
      </w:pPr>
      <w:r>
        <w:rPr>
          <w:color w:val="231F20"/>
        </w:rPr>
        <w:t>Неопходна</w:t>
      </w:r>
      <w:r>
        <w:rPr>
          <w:color w:val="231F20"/>
          <w:spacing w:val="-8"/>
        </w:rPr>
        <w:t> </w:t>
      </w:r>
      <w:r>
        <w:rPr>
          <w:color w:val="231F20"/>
        </w:rPr>
        <w:t>је</w:t>
      </w:r>
      <w:r>
        <w:rPr>
          <w:color w:val="231F20"/>
          <w:spacing w:val="-8"/>
        </w:rPr>
        <w:t> </w:t>
      </w:r>
      <w:r>
        <w:rPr>
          <w:color w:val="231F20"/>
        </w:rPr>
        <w:t>реконструкција</w:t>
      </w:r>
      <w:r>
        <w:rPr>
          <w:color w:val="231F20"/>
          <w:spacing w:val="-8"/>
        </w:rPr>
        <w:t> </w:t>
      </w:r>
      <w:r>
        <w:rPr>
          <w:color w:val="231F20"/>
        </w:rPr>
        <w:t>појединих</w:t>
      </w:r>
      <w:r>
        <w:rPr>
          <w:color w:val="231F20"/>
          <w:spacing w:val="-8"/>
        </w:rPr>
        <w:t> </w:t>
      </w:r>
      <w:r>
        <w:rPr>
          <w:color w:val="231F20"/>
        </w:rPr>
        <w:t>сегмената</w:t>
      </w:r>
      <w:r>
        <w:rPr>
          <w:color w:val="231F20"/>
          <w:spacing w:val="-8"/>
        </w:rPr>
        <w:t> </w:t>
      </w:r>
      <w:r>
        <w:rPr>
          <w:color w:val="231F20"/>
        </w:rPr>
        <w:t>мостовске конструкције, </w:t>
      </w:r>
      <w:r>
        <w:rPr>
          <w:color w:val="231F20"/>
          <w:spacing w:val="-4"/>
        </w:rPr>
        <w:t>како </w:t>
      </w:r>
      <w:r>
        <w:rPr>
          <w:color w:val="231F20"/>
        </w:rPr>
        <w:t>би се </w:t>
      </w:r>
      <w:r>
        <w:rPr>
          <w:color w:val="231F20"/>
          <w:spacing w:val="-3"/>
        </w:rPr>
        <w:t>преко </w:t>
      </w:r>
      <w:r>
        <w:rPr>
          <w:color w:val="231F20"/>
        </w:rPr>
        <w:t>њега спровеле цеви пепеловода </w:t>
      </w:r>
      <w:r>
        <w:rPr>
          <w:color w:val="231F20"/>
          <w:spacing w:val="-4"/>
        </w:rPr>
        <w:t>ко- </w:t>
      </w:r>
      <w:r>
        <w:rPr>
          <w:color w:val="231F20"/>
        </w:rPr>
        <w:t>ји води из ТЕ „Костолац Б” према депонији</w:t>
      </w:r>
      <w:r>
        <w:rPr>
          <w:color w:val="231F20"/>
          <w:spacing w:val="-13"/>
        </w:rPr>
        <w:t> </w:t>
      </w:r>
      <w:r>
        <w:rPr>
          <w:color w:val="231F20"/>
          <w:spacing w:val="-3"/>
        </w:rPr>
        <w:t>„Ћириковац”.</w:t>
      </w:r>
    </w:p>
    <w:p>
      <w:pPr>
        <w:pStyle w:val="BodyText"/>
        <w:spacing w:line="232" w:lineRule="auto" w:before="70"/>
        <w:ind w:left="243" w:right="124" w:firstLine="396"/>
      </w:pPr>
      <w:r>
        <w:rPr/>
        <w:br w:type="column"/>
      </w:r>
      <w:r>
        <w:rPr>
          <w:color w:val="231F20"/>
          <w:spacing w:val="-3"/>
        </w:rPr>
        <w:t>Укрштање </w:t>
      </w:r>
      <w:r>
        <w:rPr>
          <w:color w:val="231F20"/>
        </w:rPr>
        <w:t>са трасом транспорта емулзије гипса и транспорта пепела и шљаке до депоније у ПК „Дрмно”</w:t>
      </w:r>
    </w:p>
    <w:p>
      <w:pPr>
        <w:pStyle w:val="BodyText"/>
        <w:spacing w:line="230" w:lineRule="auto"/>
        <w:ind w:left="243" w:right="124" w:firstLine="396"/>
      </w:pPr>
      <w:r>
        <w:rPr>
          <w:color w:val="231F20"/>
        </w:rPr>
        <w:t>Траса</w:t>
      </w:r>
      <w:r>
        <w:rPr>
          <w:color w:val="231F20"/>
          <w:spacing w:val="-6"/>
        </w:rPr>
        <w:t> </w:t>
      </w:r>
      <w:r>
        <w:rPr>
          <w:color w:val="231F20"/>
        </w:rPr>
        <w:t>трачног</w:t>
      </w:r>
      <w:r>
        <w:rPr>
          <w:color w:val="231F20"/>
          <w:spacing w:val="-6"/>
        </w:rPr>
        <w:t> </w:t>
      </w:r>
      <w:r>
        <w:rPr>
          <w:color w:val="231F20"/>
        </w:rPr>
        <w:t>транспортера</w:t>
      </w:r>
      <w:r>
        <w:rPr>
          <w:color w:val="231F20"/>
          <w:spacing w:val="-6"/>
        </w:rPr>
        <w:t> </w:t>
      </w:r>
      <w:r>
        <w:rPr>
          <w:color w:val="231F20"/>
        </w:rPr>
        <w:t>се</w:t>
      </w:r>
      <w:r>
        <w:rPr>
          <w:color w:val="231F20"/>
          <w:spacing w:val="-6"/>
        </w:rPr>
        <w:t> </w:t>
      </w:r>
      <w:r>
        <w:rPr>
          <w:color w:val="231F20"/>
        </w:rPr>
        <w:t>на</w:t>
      </w:r>
      <w:r>
        <w:rPr>
          <w:color w:val="231F20"/>
          <w:spacing w:val="-6"/>
        </w:rPr>
        <w:t> </w:t>
      </w:r>
      <w:r>
        <w:rPr>
          <w:color w:val="231F20"/>
        </w:rPr>
        <w:t>делу</w:t>
      </w:r>
      <w:r>
        <w:rPr>
          <w:color w:val="231F20"/>
          <w:spacing w:val="-6"/>
        </w:rPr>
        <w:t> </w:t>
      </w:r>
      <w:r>
        <w:rPr>
          <w:color w:val="231F20"/>
        </w:rPr>
        <w:t>транспортера</w:t>
      </w:r>
      <w:r>
        <w:rPr>
          <w:color w:val="231F20"/>
          <w:spacing w:val="-6"/>
        </w:rPr>
        <w:t> </w:t>
      </w:r>
      <w:r>
        <w:rPr>
          <w:color w:val="231F20"/>
        </w:rPr>
        <w:t>Т-1</w:t>
      </w:r>
      <w:r>
        <w:rPr>
          <w:color w:val="231F20"/>
          <w:spacing w:val="-6"/>
        </w:rPr>
        <w:t> </w:t>
      </w:r>
      <w:r>
        <w:rPr>
          <w:color w:val="231F20"/>
        </w:rPr>
        <w:t>укр- шта са коридором планираног пепеловода и гипсовода, </w:t>
      </w:r>
      <w:r>
        <w:rPr>
          <w:color w:val="231F20"/>
          <w:spacing w:val="-3"/>
        </w:rPr>
        <w:t>који </w:t>
      </w:r>
      <w:r>
        <w:rPr>
          <w:color w:val="231F20"/>
        </w:rPr>
        <w:t>воде из ТЕ „Костолац Б” према одлагалишту „Дрмно”. </w:t>
      </w:r>
      <w:r>
        <w:rPr>
          <w:color w:val="231F20"/>
          <w:spacing w:val="-3"/>
        </w:rPr>
        <w:t>Преко </w:t>
      </w:r>
      <w:r>
        <w:rPr>
          <w:color w:val="231F20"/>
        </w:rPr>
        <w:t>трачног транспортера прелазе конструкцијом, при чему је потребно испо- штовати минималну висину </w:t>
      </w:r>
      <w:r>
        <w:rPr>
          <w:color w:val="231F20"/>
          <w:spacing w:val="-3"/>
        </w:rPr>
        <w:t>од </w:t>
      </w:r>
      <w:r>
        <w:rPr>
          <w:color w:val="231F20"/>
        </w:rPr>
        <w:t>3,5 m </w:t>
      </w:r>
      <w:r>
        <w:rPr>
          <w:color w:val="231F20"/>
          <w:spacing w:val="-3"/>
        </w:rPr>
        <w:t>од </w:t>
      </w:r>
      <w:r>
        <w:rPr>
          <w:color w:val="231F20"/>
        </w:rPr>
        <w:t>покретне</w:t>
      </w:r>
      <w:r>
        <w:rPr>
          <w:color w:val="231F20"/>
          <w:spacing w:val="-6"/>
        </w:rPr>
        <w:t> </w:t>
      </w:r>
      <w:r>
        <w:rPr>
          <w:color w:val="231F20"/>
        </w:rPr>
        <w:t>траке.</w:t>
      </w:r>
    </w:p>
    <w:p>
      <w:pPr>
        <w:pStyle w:val="BodyText"/>
        <w:spacing w:line="230" w:lineRule="auto"/>
        <w:ind w:left="243" w:right="123" w:firstLine="396"/>
      </w:pPr>
      <w:r>
        <w:rPr>
          <w:color w:val="231F20"/>
        </w:rPr>
        <w:t>Ова денивелација не захтева додатно издизање траса пепело- вода и гасовода, имајући у виду да је у овом делу трака транспор- тера спуштена због укрштања са железничким колосеком, које је реализовано на растојању од 65 m. Стубови који носе конструк- цију пепеловода и гипсовода се могу постављати на минималном растојању од 3,0 m од крајње ивице трачног транспортера.</w:t>
      </w:r>
    </w:p>
    <w:p>
      <w:pPr>
        <w:spacing w:before="161"/>
        <w:ind w:left="1936" w:right="0" w:firstLine="0"/>
        <w:jc w:val="left"/>
        <w:rPr>
          <w:i/>
          <w:sz w:val="18"/>
        </w:rPr>
      </w:pPr>
      <w:r>
        <w:rPr>
          <w:i/>
          <w:color w:val="231F20"/>
          <w:sz w:val="18"/>
        </w:rPr>
        <w:t>2.5. Правила изградње</w:t>
      </w:r>
    </w:p>
    <w:p>
      <w:pPr>
        <w:pStyle w:val="ListParagraph"/>
        <w:numPr>
          <w:ilvl w:val="2"/>
          <w:numId w:val="56"/>
        </w:numPr>
        <w:tabs>
          <w:tab w:pos="1174" w:val="left" w:leader="none"/>
        </w:tabs>
        <w:spacing w:line="230" w:lineRule="auto" w:before="168" w:after="0"/>
        <w:ind w:left="2340" w:right="603" w:hanging="1617"/>
        <w:jc w:val="left"/>
        <w:rPr>
          <w:sz w:val="18"/>
        </w:rPr>
      </w:pPr>
      <w:r>
        <w:rPr>
          <w:color w:val="231F20"/>
          <w:spacing w:val="16"/>
          <w:sz w:val="18"/>
        </w:rPr>
        <w:t>Основне карактеристике </w:t>
      </w:r>
      <w:r>
        <w:rPr>
          <w:color w:val="231F20"/>
          <w:sz w:val="18"/>
        </w:rPr>
        <w:t>т </w:t>
      </w:r>
      <w:r>
        <w:rPr>
          <w:color w:val="231F20"/>
          <w:spacing w:val="17"/>
          <w:sz w:val="18"/>
        </w:rPr>
        <w:t>ранспортера </w:t>
      </w:r>
      <w:r>
        <w:rPr>
          <w:color w:val="231F20"/>
          <w:sz w:val="18"/>
        </w:rPr>
        <w:t>с а</w:t>
      </w:r>
      <w:r>
        <w:rPr>
          <w:color w:val="231F20"/>
          <w:spacing w:val="-1"/>
          <w:sz w:val="18"/>
        </w:rPr>
        <w:t> </w:t>
      </w:r>
      <w:r>
        <w:rPr>
          <w:color w:val="231F20"/>
          <w:sz w:val="18"/>
        </w:rPr>
        <w:t>т </w:t>
      </w:r>
      <w:r>
        <w:rPr>
          <w:color w:val="231F20"/>
          <w:spacing w:val="12"/>
          <w:sz w:val="18"/>
        </w:rPr>
        <w:t>раком</w:t>
      </w:r>
    </w:p>
    <w:p>
      <w:pPr>
        <w:pStyle w:val="BodyText"/>
        <w:spacing w:before="3"/>
        <w:ind w:left="0"/>
        <w:jc w:val="left"/>
        <w:rPr>
          <w:sz w:val="17"/>
        </w:rPr>
      </w:pPr>
    </w:p>
    <w:p>
      <w:pPr>
        <w:pStyle w:val="BodyText"/>
        <w:spacing w:line="230" w:lineRule="auto"/>
        <w:ind w:left="243" w:right="123" w:firstLine="397"/>
      </w:pPr>
      <w:r>
        <w:rPr>
          <w:color w:val="231F20"/>
        </w:rPr>
        <w:t>Транспортери су стационарни објекти, без могућности поме- рања у току експлоатације. Састоје се од следећих технолошких елемената: погонска станица; повратна станица; стандардне сек- ције (чланци) са слоговима ваљака; навозни мост (коси чланак); понтон за стандардне секције и гумене траке ширине 1,4 m.</w:t>
      </w:r>
    </w:p>
    <w:p>
      <w:pPr>
        <w:pStyle w:val="BodyText"/>
        <w:spacing w:line="230" w:lineRule="auto"/>
        <w:ind w:left="242" w:right="124" w:firstLine="397"/>
      </w:pPr>
      <w:r>
        <w:rPr>
          <w:color w:val="231F20"/>
        </w:rPr>
        <w:t>Ширина</w:t>
      </w:r>
      <w:r>
        <w:rPr>
          <w:color w:val="231F20"/>
          <w:spacing w:val="-7"/>
        </w:rPr>
        <w:t> </w:t>
      </w:r>
      <w:r>
        <w:rPr>
          <w:color w:val="231F20"/>
        </w:rPr>
        <w:t>гумене</w:t>
      </w:r>
      <w:r>
        <w:rPr>
          <w:color w:val="231F20"/>
          <w:spacing w:val="-7"/>
        </w:rPr>
        <w:t> </w:t>
      </w:r>
      <w:r>
        <w:rPr>
          <w:color w:val="231F20"/>
        </w:rPr>
        <w:t>траке</w:t>
      </w:r>
      <w:r>
        <w:rPr>
          <w:color w:val="231F20"/>
          <w:spacing w:val="-7"/>
        </w:rPr>
        <w:t> </w:t>
      </w:r>
      <w:r>
        <w:rPr>
          <w:color w:val="231F20"/>
        </w:rPr>
        <w:t>задовољава</w:t>
      </w:r>
      <w:r>
        <w:rPr>
          <w:color w:val="231F20"/>
          <w:spacing w:val="-7"/>
        </w:rPr>
        <w:t> </w:t>
      </w:r>
      <w:r>
        <w:rPr>
          <w:color w:val="231F20"/>
        </w:rPr>
        <w:t>тражени</w:t>
      </w:r>
      <w:r>
        <w:rPr>
          <w:color w:val="231F20"/>
          <w:spacing w:val="-7"/>
        </w:rPr>
        <w:t> </w:t>
      </w:r>
      <w:r>
        <w:rPr>
          <w:color w:val="231F20"/>
        </w:rPr>
        <w:t>максимални</w:t>
      </w:r>
      <w:r>
        <w:rPr>
          <w:color w:val="231F20"/>
          <w:spacing w:val="-7"/>
        </w:rPr>
        <w:t> </w:t>
      </w:r>
      <w:r>
        <w:rPr>
          <w:color w:val="231F20"/>
        </w:rPr>
        <w:t>капа- цитет транспортног система </w:t>
      </w:r>
      <w:r>
        <w:rPr>
          <w:color w:val="231F20"/>
          <w:spacing w:val="-3"/>
        </w:rPr>
        <w:t>од </w:t>
      </w:r>
      <w:r>
        <w:rPr>
          <w:color w:val="231F20"/>
        </w:rPr>
        <w:t>1.200 t/h, уз брзину кретања траке V=4,6 m/sec, док погонске станице заједно са погонским агрегати- ма, </w:t>
      </w:r>
      <w:r>
        <w:rPr>
          <w:color w:val="231F20"/>
          <w:spacing w:val="-3"/>
        </w:rPr>
        <w:t>кочницама </w:t>
      </w:r>
      <w:r>
        <w:rPr>
          <w:color w:val="231F20"/>
        </w:rPr>
        <w:t>и електро витловима за затезање траке омогућавају континуирани проток</w:t>
      </w:r>
      <w:r>
        <w:rPr>
          <w:color w:val="231F20"/>
          <w:spacing w:val="-3"/>
        </w:rPr>
        <w:t> </w:t>
      </w:r>
      <w:r>
        <w:rPr>
          <w:color w:val="231F20"/>
        </w:rPr>
        <w:t>материјала.</w:t>
      </w:r>
    </w:p>
    <w:p>
      <w:pPr>
        <w:pStyle w:val="BodyText"/>
        <w:spacing w:line="230" w:lineRule="auto"/>
        <w:ind w:left="242" w:right="124" w:firstLine="396"/>
      </w:pPr>
      <w:r>
        <w:rPr>
          <w:color w:val="231F20"/>
        </w:rPr>
        <w:t>Повратно истоварне станице су типске и израђене су заједно са пријемним </w:t>
      </w:r>
      <w:r>
        <w:rPr>
          <w:color w:val="231F20"/>
          <w:spacing w:val="-3"/>
        </w:rPr>
        <w:t>коритом </w:t>
      </w:r>
      <w:r>
        <w:rPr>
          <w:color w:val="231F20"/>
        </w:rPr>
        <w:t>за усип материјала. Ослањање елемената транспортног система на тло врши се </w:t>
      </w:r>
      <w:r>
        <w:rPr>
          <w:color w:val="231F20"/>
          <w:spacing w:val="-3"/>
        </w:rPr>
        <w:t>преко </w:t>
      </w:r>
      <w:r>
        <w:rPr>
          <w:color w:val="231F20"/>
        </w:rPr>
        <w:t>челичних и бетонских понтона.</w:t>
      </w:r>
    </w:p>
    <w:p>
      <w:pPr>
        <w:pStyle w:val="BodyText"/>
        <w:spacing w:line="230" w:lineRule="auto"/>
        <w:ind w:left="242" w:right="126" w:firstLine="396"/>
      </w:pPr>
      <w:r>
        <w:rPr>
          <w:color w:val="231F20"/>
        </w:rPr>
        <w:t>Платои се изграђују као хоризонталне деонице транспортне трасе, са одговарајућим бочним нагибима за одводњавање повр- шинских вода.</w:t>
      </w:r>
    </w:p>
    <w:p>
      <w:pPr>
        <w:pStyle w:val="BodyText"/>
        <w:spacing w:line="230" w:lineRule="auto"/>
        <w:ind w:left="242" w:right="124" w:firstLine="396"/>
      </w:pPr>
      <w:r>
        <w:rPr>
          <w:color w:val="231F20"/>
        </w:rPr>
        <w:t>Дуж целе транспортне трасе предвиђена је сервисна саобра- ћајница, која је истовремено и противпожарни пут.</w:t>
      </w:r>
    </w:p>
    <w:p>
      <w:pPr>
        <w:pStyle w:val="BodyText"/>
        <w:spacing w:line="230" w:lineRule="auto"/>
        <w:ind w:left="242" w:right="124" w:firstLine="396"/>
      </w:pPr>
      <w:r>
        <w:rPr>
          <w:color w:val="231F20"/>
        </w:rPr>
        <w:t>Имајући у виду да је трачни транспортер објекат са високим степеном ризика на раду, потребно је обезбедити контролисани приступ траци и пратећим објектима. У ту сврху се предлаже из- градња заштитне ограде целом дужином пружања траке која ће онемогућити приступ незапосленим особама и животињама. Пре- лазе преко траке за раднике и пешаке је потребно обезбедити пре- ко денивелисаних пешачких прелаза, обезбеђеним оградама.</w:t>
      </w:r>
    </w:p>
    <w:p>
      <w:pPr>
        <w:pStyle w:val="ListParagraph"/>
        <w:numPr>
          <w:ilvl w:val="2"/>
          <w:numId w:val="56"/>
        </w:numPr>
        <w:tabs>
          <w:tab w:pos="1034" w:val="left" w:leader="none"/>
        </w:tabs>
        <w:spacing w:line="240" w:lineRule="auto" w:before="159" w:after="0"/>
        <w:ind w:left="1033" w:right="0" w:hanging="450"/>
        <w:jc w:val="left"/>
        <w:rPr>
          <w:sz w:val="18"/>
        </w:rPr>
      </w:pPr>
      <w:r>
        <w:rPr>
          <w:color w:val="231F20"/>
          <w:spacing w:val="16"/>
          <w:sz w:val="18"/>
        </w:rPr>
        <w:t>Правила изградње </w:t>
      </w:r>
      <w:r>
        <w:rPr>
          <w:color w:val="231F20"/>
          <w:spacing w:val="10"/>
          <w:sz w:val="18"/>
        </w:rPr>
        <w:t>за </w:t>
      </w:r>
      <w:r>
        <w:rPr>
          <w:color w:val="231F20"/>
          <w:spacing w:val="15"/>
          <w:sz w:val="18"/>
        </w:rPr>
        <w:t>елект </w:t>
      </w:r>
      <w:r>
        <w:rPr>
          <w:color w:val="231F20"/>
          <w:spacing w:val="15"/>
          <w:sz w:val="18"/>
        </w:rPr>
        <w:t>роинст </w:t>
      </w:r>
      <w:r>
        <w:rPr>
          <w:color w:val="231F20"/>
          <w:sz w:val="18"/>
        </w:rPr>
        <w:t>а</w:t>
      </w:r>
      <w:r>
        <w:rPr>
          <w:color w:val="231F20"/>
          <w:spacing w:val="5"/>
          <w:sz w:val="18"/>
        </w:rPr>
        <w:t> </w:t>
      </w:r>
      <w:r>
        <w:rPr>
          <w:color w:val="231F20"/>
          <w:spacing w:val="15"/>
          <w:sz w:val="18"/>
        </w:rPr>
        <w:t>лације</w:t>
      </w:r>
    </w:p>
    <w:p>
      <w:pPr>
        <w:pStyle w:val="BodyText"/>
        <w:spacing w:before="2"/>
        <w:ind w:left="0"/>
        <w:jc w:val="left"/>
        <w:rPr>
          <w:sz w:val="17"/>
        </w:rPr>
      </w:pPr>
    </w:p>
    <w:p>
      <w:pPr>
        <w:pStyle w:val="BodyText"/>
        <w:spacing w:line="230" w:lineRule="auto"/>
        <w:ind w:left="242" w:right="125" w:firstLine="397"/>
      </w:pPr>
      <w:r>
        <w:rPr>
          <w:color w:val="231F20"/>
        </w:rPr>
        <w:t>С обзиром на диспозицију потрошача електричне енергије у оквиру транспортног система за повезивање ПК „Дрмно” са ТЕ</w:t>
      </w:r>
    </w:p>
    <w:p>
      <w:pPr>
        <w:pStyle w:val="BodyText"/>
        <w:spacing w:line="230" w:lineRule="auto"/>
        <w:ind w:left="242" w:right="124"/>
      </w:pPr>
      <w:r>
        <w:rPr>
          <w:color w:val="231F20"/>
        </w:rPr>
        <w:t>„Костолац</w:t>
      </w:r>
      <w:r>
        <w:rPr>
          <w:color w:val="231F20"/>
          <w:spacing w:val="-5"/>
        </w:rPr>
        <w:t> </w:t>
      </w:r>
      <w:r>
        <w:rPr>
          <w:color w:val="231F20"/>
        </w:rPr>
        <w:t>А”</w:t>
      </w:r>
      <w:r>
        <w:rPr>
          <w:color w:val="231F20"/>
          <w:spacing w:val="-5"/>
        </w:rPr>
        <w:t> </w:t>
      </w:r>
      <w:r>
        <w:rPr>
          <w:color w:val="231F20"/>
        </w:rPr>
        <w:t>генерални</w:t>
      </w:r>
      <w:r>
        <w:rPr>
          <w:color w:val="231F20"/>
          <w:spacing w:val="-5"/>
        </w:rPr>
        <w:t> </w:t>
      </w:r>
      <w:r>
        <w:rPr>
          <w:color w:val="231F20"/>
        </w:rPr>
        <w:t>правци</w:t>
      </w:r>
      <w:r>
        <w:rPr>
          <w:color w:val="231F20"/>
          <w:spacing w:val="-5"/>
        </w:rPr>
        <w:t> </w:t>
      </w:r>
      <w:r>
        <w:rPr>
          <w:color w:val="231F20"/>
        </w:rPr>
        <w:t>и</w:t>
      </w:r>
      <w:r>
        <w:rPr>
          <w:color w:val="231F20"/>
          <w:spacing w:val="-5"/>
        </w:rPr>
        <w:t> </w:t>
      </w:r>
      <w:r>
        <w:rPr>
          <w:color w:val="231F20"/>
        </w:rPr>
        <w:t>извори</w:t>
      </w:r>
      <w:r>
        <w:rPr>
          <w:color w:val="231F20"/>
          <w:spacing w:val="-5"/>
        </w:rPr>
        <w:t> </w:t>
      </w:r>
      <w:r>
        <w:rPr>
          <w:color w:val="231F20"/>
        </w:rPr>
        <w:t>напајања</w:t>
      </w:r>
      <w:r>
        <w:rPr>
          <w:color w:val="231F20"/>
          <w:spacing w:val="-5"/>
        </w:rPr>
        <w:t> </w:t>
      </w:r>
      <w:r>
        <w:rPr>
          <w:color w:val="231F20"/>
        </w:rPr>
        <w:t>дефинисани</w:t>
      </w:r>
      <w:r>
        <w:rPr>
          <w:color w:val="231F20"/>
          <w:spacing w:val="-5"/>
        </w:rPr>
        <w:t> </w:t>
      </w:r>
      <w:r>
        <w:rPr>
          <w:color w:val="231F20"/>
        </w:rPr>
        <w:t>су поглављу Снабдевање електричном енергијом. Детаљна техничка решења везана за електроснабдевање транспортног система по- требно је урадити у електро</w:t>
      </w:r>
      <w:r>
        <w:rPr>
          <w:color w:val="231F20"/>
          <w:spacing w:val="-3"/>
        </w:rPr>
        <w:t> </w:t>
      </w:r>
      <w:r>
        <w:rPr>
          <w:color w:val="231F20"/>
        </w:rPr>
        <w:t>пројектима.</w:t>
      </w:r>
    </w:p>
    <w:p>
      <w:pPr>
        <w:pStyle w:val="BodyText"/>
        <w:spacing w:line="230" w:lineRule="auto"/>
        <w:ind w:left="242" w:right="124" w:firstLine="439"/>
      </w:pPr>
      <w:r>
        <w:rPr>
          <w:color w:val="231F20"/>
        </w:rPr>
        <w:t>Извођење</w:t>
      </w:r>
      <w:r>
        <w:rPr>
          <w:color w:val="231F20"/>
          <w:spacing w:val="-8"/>
        </w:rPr>
        <w:t> </w:t>
      </w:r>
      <w:r>
        <w:rPr>
          <w:color w:val="231F20"/>
        </w:rPr>
        <w:t>радова</w:t>
      </w:r>
      <w:r>
        <w:rPr>
          <w:color w:val="231F20"/>
          <w:spacing w:val="-8"/>
        </w:rPr>
        <w:t> </w:t>
      </w:r>
      <w:r>
        <w:rPr>
          <w:color w:val="231F20"/>
        </w:rPr>
        <w:t>се</w:t>
      </w:r>
      <w:r>
        <w:rPr>
          <w:color w:val="231F20"/>
          <w:spacing w:val="-8"/>
        </w:rPr>
        <w:t> </w:t>
      </w:r>
      <w:r>
        <w:rPr>
          <w:color w:val="231F20"/>
        </w:rPr>
        <w:t>врши</w:t>
      </w:r>
      <w:r>
        <w:rPr>
          <w:color w:val="231F20"/>
          <w:spacing w:val="-8"/>
        </w:rPr>
        <w:t> </w:t>
      </w:r>
      <w:r>
        <w:rPr>
          <w:color w:val="231F20"/>
        </w:rPr>
        <w:t>на</w:t>
      </w:r>
      <w:r>
        <w:rPr>
          <w:color w:val="231F20"/>
          <w:spacing w:val="-8"/>
        </w:rPr>
        <w:t> </w:t>
      </w:r>
      <w:r>
        <w:rPr>
          <w:color w:val="231F20"/>
        </w:rPr>
        <w:t>основу</w:t>
      </w:r>
      <w:r>
        <w:rPr>
          <w:color w:val="231F20"/>
          <w:spacing w:val="-8"/>
        </w:rPr>
        <w:t> </w:t>
      </w:r>
      <w:r>
        <w:rPr>
          <w:color w:val="231F20"/>
        </w:rPr>
        <w:t>техничке</w:t>
      </w:r>
      <w:r>
        <w:rPr>
          <w:color w:val="231F20"/>
          <w:spacing w:val="-8"/>
        </w:rPr>
        <w:t> </w:t>
      </w:r>
      <w:r>
        <w:rPr>
          <w:color w:val="231F20"/>
        </w:rPr>
        <w:t>документације изграђене сагласно техничким условима надлежног предузећа уз примену важећих прописа и техничких порука електродистрибу- ције Србије и</w:t>
      </w:r>
      <w:r>
        <w:rPr>
          <w:color w:val="231F20"/>
          <w:spacing w:val="-2"/>
        </w:rPr>
        <w:t> </w:t>
      </w:r>
      <w:r>
        <w:rPr>
          <w:color w:val="231F20"/>
        </w:rPr>
        <w:t>то:</w:t>
      </w:r>
    </w:p>
    <w:p>
      <w:pPr>
        <w:pStyle w:val="BodyText"/>
        <w:spacing w:line="230" w:lineRule="auto"/>
        <w:ind w:left="242" w:right="125" w:firstLine="397"/>
      </w:pPr>
      <w:r>
        <w:rPr>
          <w:color w:val="231F20"/>
          <w:w w:val="66"/>
        </w:rPr>
        <w:t> </w:t>
      </w:r>
      <w:r>
        <w:rPr>
          <w:color w:val="231F20"/>
        </w:rPr>
        <w:t>– Правилника о техничким нормативима за изградњу ниско- напонских надземних водова („Службени лист СФРЈ”, број 6/92);</w:t>
      </w:r>
    </w:p>
    <w:p>
      <w:pPr>
        <w:pStyle w:val="BodyText"/>
        <w:spacing w:line="230" w:lineRule="auto"/>
        <w:ind w:left="242" w:right="124" w:firstLine="396"/>
      </w:pPr>
      <w:r>
        <w:rPr>
          <w:color w:val="231F20"/>
          <w:w w:val="66"/>
        </w:rPr>
        <w:t> </w:t>
      </w:r>
      <w:r>
        <w:rPr>
          <w:color w:val="231F20"/>
        </w:rPr>
        <w:t>–</w:t>
      </w:r>
      <w:r>
        <w:rPr>
          <w:color w:val="231F20"/>
          <w:spacing w:val="-13"/>
        </w:rPr>
        <w:t> </w:t>
      </w:r>
      <w:r>
        <w:rPr>
          <w:color w:val="231F20"/>
        </w:rPr>
        <w:t>Правилника</w:t>
      </w:r>
      <w:r>
        <w:rPr>
          <w:color w:val="231F20"/>
          <w:spacing w:val="-13"/>
        </w:rPr>
        <w:t> </w:t>
      </w:r>
      <w:r>
        <w:rPr>
          <w:color w:val="231F20"/>
        </w:rPr>
        <w:t>о</w:t>
      </w:r>
      <w:r>
        <w:rPr>
          <w:color w:val="231F20"/>
          <w:spacing w:val="-13"/>
        </w:rPr>
        <w:t> </w:t>
      </w:r>
      <w:r>
        <w:rPr>
          <w:color w:val="231F20"/>
        </w:rPr>
        <w:t>техничким</w:t>
      </w:r>
      <w:r>
        <w:rPr>
          <w:color w:val="231F20"/>
          <w:spacing w:val="-13"/>
        </w:rPr>
        <w:t> </w:t>
      </w:r>
      <w:r>
        <w:rPr>
          <w:color w:val="231F20"/>
        </w:rPr>
        <w:t>нормативима</w:t>
      </w:r>
      <w:r>
        <w:rPr>
          <w:color w:val="231F20"/>
          <w:spacing w:val="-13"/>
        </w:rPr>
        <w:t> </w:t>
      </w:r>
      <w:r>
        <w:rPr>
          <w:color w:val="231F20"/>
        </w:rPr>
        <w:t>за</w:t>
      </w:r>
      <w:r>
        <w:rPr>
          <w:color w:val="231F20"/>
          <w:spacing w:val="-13"/>
        </w:rPr>
        <w:t> </w:t>
      </w:r>
      <w:r>
        <w:rPr>
          <w:color w:val="231F20"/>
        </w:rPr>
        <w:t>заштиту</w:t>
      </w:r>
      <w:r>
        <w:rPr>
          <w:color w:val="231F20"/>
          <w:spacing w:val="-13"/>
        </w:rPr>
        <w:t> </w:t>
      </w:r>
      <w:r>
        <w:rPr>
          <w:color w:val="231F20"/>
        </w:rPr>
        <w:t>нискона- понских мрежа и припадајућих ТС („Службени лист СФРЈ”, број 13/78 и „Службени лист СРЈ”, број 37/95)</w:t>
      </w:r>
      <w:r>
        <w:rPr>
          <w:color w:val="231F20"/>
          <w:spacing w:val="-6"/>
        </w:rPr>
        <w:t> </w:t>
      </w:r>
      <w:r>
        <w:rPr>
          <w:color w:val="231F20"/>
        </w:rPr>
        <w:t>и</w:t>
      </w:r>
    </w:p>
    <w:p>
      <w:pPr>
        <w:pStyle w:val="BodyText"/>
        <w:spacing w:line="230" w:lineRule="auto"/>
        <w:ind w:left="242" w:right="125" w:firstLine="397"/>
      </w:pPr>
      <w:r>
        <w:rPr>
          <w:color w:val="231F20"/>
          <w:w w:val="66"/>
        </w:rPr>
        <w:t> </w:t>
      </w:r>
      <w:r>
        <w:rPr>
          <w:color w:val="231F20"/>
        </w:rPr>
        <w:t>– Техничких препорука ЕД Србије: tp1a „Дистрибутивне ТС 10/0.4kV, и 20/0.4kV.</w:t>
      </w:r>
    </w:p>
    <w:p>
      <w:pPr>
        <w:pStyle w:val="BodyText"/>
        <w:spacing w:line="230" w:lineRule="auto"/>
        <w:ind w:left="242" w:right="124" w:firstLine="396"/>
      </w:pPr>
      <w:r>
        <w:rPr>
          <w:color w:val="231F20"/>
        </w:rPr>
        <w:t>Код укрштања, приближавања и паралелног вођења, стубови надземне мреже ниског напона могу се постављати уз саму ивицу каблова за саобраћајнице или кабловских улаза.</w:t>
      </w:r>
    </w:p>
    <w:p>
      <w:pPr>
        <w:pStyle w:val="BodyText"/>
        <w:spacing w:line="230" w:lineRule="auto"/>
        <w:ind w:left="243" w:right="124" w:firstLine="396"/>
      </w:pPr>
      <w:r>
        <w:rPr>
          <w:color w:val="231F20"/>
        </w:rPr>
        <w:t>Енергетски кабловски водови могу се поставити уз услов да су обезбеђени потребни минимални размаци од других врста ин- сталација и објеката и то:</w:t>
      </w:r>
    </w:p>
    <w:p>
      <w:pPr>
        <w:pStyle w:val="BodyText"/>
        <w:spacing w:line="196" w:lineRule="exact"/>
        <w:ind w:left="640"/>
        <w:jc w:val="left"/>
      </w:pPr>
      <w:r>
        <w:rPr>
          <w:color w:val="231F20"/>
          <w:w w:val="66"/>
        </w:rPr>
        <w:t> </w:t>
      </w:r>
      <w:r>
        <w:rPr>
          <w:color w:val="231F20"/>
        </w:rPr>
        <w:t>– 0,4m – од цеви водовода и канализације,</w:t>
      </w:r>
    </w:p>
    <w:p>
      <w:pPr>
        <w:pStyle w:val="BodyText"/>
        <w:spacing w:line="199" w:lineRule="exact"/>
        <w:ind w:left="640"/>
        <w:jc w:val="left"/>
      </w:pPr>
      <w:r>
        <w:rPr>
          <w:color w:val="231F20"/>
          <w:w w:val="66"/>
        </w:rPr>
        <w:t> </w:t>
      </w:r>
      <w:r>
        <w:rPr>
          <w:color w:val="231F20"/>
        </w:rPr>
        <w:t>– 0,5m – од телекоминикационих каблова,</w:t>
      </w:r>
    </w:p>
    <w:p>
      <w:pPr>
        <w:pStyle w:val="BodyText"/>
        <w:spacing w:line="200" w:lineRule="exact"/>
        <w:ind w:left="640"/>
        <w:jc w:val="left"/>
      </w:pPr>
      <w:r>
        <w:rPr>
          <w:color w:val="231F20"/>
          <w:w w:val="66"/>
        </w:rPr>
        <w:t> </w:t>
      </w:r>
      <w:r>
        <w:rPr>
          <w:color w:val="231F20"/>
        </w:rPr>
        <w:t>– 0,6m – од спољне ивице канала за топловод и</w:t>
      </w:r>
    </w:p>
    <w:p>
      <w:pPr>
        <w:pStyle w:val="BodyText"/>
        <w:spacing w:line="204" w:lineRule="exact"/>
        <w:ind w:left="640"/>
        <w:jc w:val="left"/>
      </w:pPr>
      <w:r>
        <w:rPr>
          <w:color w:val="231F20"/>
          <w:w w:val="66"/>
        </w:rPr>
        <w:t> </w:t>
      </w:r>
      <w:r>
        <w:rPr>
          <w:color w:val="231F20"/>
        </w:rPr>
        <w:t>– 0,8m – од гасовода у насељу.</w:t>
      </w:r>
    </w:p>
    <w:p>
      <w:pPr>
        <w:spacing w:after="0" w:line="204" w:lineRule="exact"/>
        <w:jc w:val="left"/>
        <w:sectPr>
          <w:pgSz w:w="12480" w:h="15690"/>
          <w:pgMar w:top="120" w:bottom="280" w:left="680" w:right="720"/>
          <w:cols w:num="2" w:equalWidth="0">
            <w:col w:w="5561" w:space="40"/>
            <w:col w:w="5479"/>
          </w:cols>
        </w:sectPr>
      </w:pPr>
    </w:p>
    <w:p>
      <w:pPr>
        <w:pStyle w:val="BodyText"/>
        <w:spacing w:line="232" w:lineRule="auto" w:before="73"/>
        <w:ind w:right="39" w:firstLine="396"/>
      </w:pPr>
      <w:r>
        <w:rPr/>
        <w:pict>
          <v:line style="position:absolute;mso-position-horizontal-relative:page;mso-position-vertical-relative:page;z-index:3976" from="304.724396pt,11.942451pt" to="304.724396pt,748.950451pt" stroked="true" strokeweight=".6pt" strokecolor="#231f20">
            <v:stroke dashstyle="solid"/>
            <w10:wrap type="none"/>
          </v:line>
        </w:pict>
      </w:r>
      <w:r>
        <w:rPr>
          <w:color w:val="231F20"/>
          <w:spacing w:val="-4"/>
        </w:rPr>
        <w:t>Ако</w:t>
      </w:r>
      <w:r>
        <w:rPr>
          <w:color w:val="231F20"/>
          <w:spacing w:val="-5"/>
        </w:rPr>
        <w:t> </w:t>
      </w:r>
      <w:r>
        <w:rPr>
          <w:color w:val="231F20"/>
        </w:rPr>
        <w:t>се</w:t>
      </w:r>
      <w:r>
        <w:rPr>
          <w:color w:val="231F20"/>
          <w:spacing w:val="-5"/>
        </w:rPr>
        <w:t> </w:t>
      </w:r>
      <w:r>
        <w:rPr>
          <w:color w:val="231F20"/>
        </w:rPr>
        <w:t>потребни</w:t>
      </w:r>
      <w:r>
        <w:rPr>
          <w:color w:val="231F20"/>
          <w:spacing w:val="-5"/>
        </w:rPr>
        <w:t> </w:t>
      </w:r>
      <w:r>
        <w:rPr>
          <w:color w:val="231F20"/>
        </w:rPr>
        <w:t>размаци</w:t>
      </w:r>
      <w:r>
        <w:rPr>
          <w:color w:val="231F20"/>
          <w:spacing w:val="-5"/>
        </w:rPr>
        <w:t> </w:t>
      </w:r>
      <w:r>
        <w:rPr>
          <w:color w:val="231F20"/>
        </w:rPr>
        <w:t>не</w:t>
      </w:r>
      <w:r>
        <w:rPr>
          <w:color w:val="231F20"/>
          <w:spacing w:val="-5"/>
        </w:rPr>
        <w:t> </w:t>
      </w:r>
      <w:r>
        <w:rPr>
          <w:color w:val="231F20"/>
        </w:rPr>
        <w:t>могу</w:t>
      </w:r>
      <w:r>
        <w:rPr>
          <w:color w:val="231F20"/>
          <w:spacing w:val="-5"/>
        </w:rPr>
        <w:t> </w:t>
      </w:r>
      <w:r>
        <w:rPr>
          <w:color w:val="231F20"/>
        </w:rPr>
        <w:t>постићи</w:t>
      </w:r>
      <w:r>
        <w:rPr>
          <w:color w:val="231F20"/>
          <w:spacing w:val="-5"/>
        </w:rPr>
        <w:t> </w:t>
      </w:r>
      <w:r>
        <w:rPr>
          <w:color w:val="231F20"/>
        </w:rPr>
        <w:t>енергетски</w:t>
      </w:r>
      <w:r>
        <w:rPr>
          <w:color w:val="231F20"/>
          <w:spacing w:val="-5"/>
        </w:rPr>
        <w:t> </w:t>
      </w:r>
      <w:r>
        <w:rPr>
          <w:color w:val="231F20"/>
        </w:rPr>
        <w:t>кабл</w:t>
      </w:r>
      <w:r>
        <w:rPr>
          <w:color w:val="231F20"/>
          <w:spacing w:val="-5"/>
        </w:rPr>
        <w:t> </w:t>
      </w:r>
      <w:r>
        <w:rPr>
          <w:color w:val="231F20"/>
        </w:rPr>
        <w:t>се полаже у заштитни појас пута са обе стране место укрштања, или целом дужином </w:t>
      </w:r>
      <w:r>
        <w:rPr>
          <w:color w:val="231F20"/>
          <w:spacing w:val="-6"/>
        </w:rPr>
        <w:t>код </w:t>
      </w:r>
      <w:r>
        <w:rPr>
          <w:color w:val="231F20"/>
        </w:rPr>
        <w:t>паралелног вођења, при чему најмањи размак не не сме бити мањи </w:t>
      </w:r>
      <w:r>
        <w:rPr>
          <w:color w:val="231F20"/>
          <w:spacing w:val="-3"/>
        </w:rPr>
        <w:t>од </w:t>
      </w:r>
      <w:r>
        <w:rPr>
          <w:color w:val="231F20"/>
        </w:rPr>
        <w:t>0,3</w:t>
      </w:r>
      <w:r>
        <w:rPr>
          <w:color w:val="231F20"/>
          <w:spacing w:val="-1"/>
        </w:rPr>
        <w:t> </w:t>
      </w:r>
      <w:r>
        <w:rPr>
          <w:color w:val="231F20"/>
        </w:rPr>
        <w:t>m.</w:t>
      </w:r>
    </w:p>
    <w:p>
      <w:pPr>
        <w:pStyle w:val="BodyText"/>
        <w:spacing w:line="223" w:lineRule="auto"/>
        <w:ind w:right="39" w:firstLine="396"/>
      </w:pPr>
      <w:r>
        <w:rPr>
          <w:color w:val="231F20"/>
        </w:rPr>
        <w:t>Није дозвољено паралелно вођење енергетских каблова, ис- под или изнад гасовода топловода и цеви водова и канализације.</w:t>
      </w:r>
    </w:p>
    <w:p>
      <w:pPr>
        <w:pStyle w:val="BodyText"/>
        <w:spacing w:line="223" w:lineRule="auto" w:before="1"/>
        <w:ind w:right="39" w:firstLine="397"/>
      </w:pPr>
      <w:r>
        <w:rPr>
          <w:color w:val="231F20"/>
          <w:spacing w:val="-3"/>
        </w:rPr>
        <w:t>Укрштање </w:t>
      </w:r>
      <w:r>
        <w:rPr>
          <w:color w:val="231F20"/>
        </w:rPr>
        <w:t>енергетског и телекомуникационог кабла је мо- гуће уз поштовање минималног размака, </w:t>
      </w:r>
      <w:r>
        <w:rPr>
          <w:color w:val="231F20"/>
          <w:spacing w:val="-3"/>
        </w:rPr>
        <w:t>под углом </w:t>
      </w:r>
      <w:r>
        <w:rPr>
          <w:color w:val="231F20"/>
        </w:rPr>
        <w:t>што ближе 90°, не мање </w:t>
      </w:r>
      <w:r>
        <w:rPr>
          <w:color w:val="231F20"/>
          <w:spacing w:val="-3"/>
        </w:rPr>
        <w:t>од </w:t>
      </w:r>
      <w:r>
        <w:rPr>
          <w:color w:val="231F20"/>
        </w:rPr>
        <w:t>30° у </w:t>
      </w:r>
      <w:r>
        <w:rPr>
          <w:color w:val="231F20"/>
          <w:spacing w:val="-3"/>
        </w:rPr>
        <w:t>насељу, </w:t>
      </w:r>
      <w:r>
        <w:rPr>
          <w:color w:val="231F20"/>
        </w:rPr>
        <w:t>односно, 45° ван насеља. Енергет- ски кабл се полаже испод телекомуникационог кабла. У односу на зидове или темеље грађевинских објеката минимални размак треба да је 0,3m. На прелазу </w:t>
      </w:r>
      <w:r>
        <w:rPr>
          <w:color w:val="231F20"/>
          <w:spacing w:val="-3"/>
        </w:rPr>
        <w:t>преко </w:t>
      </w:r>
      <w:r>
        <w:rPr>
          <w:color w:val="231F20"/>
        </w:rPr>
        <w:t>саобраћајнице кабл се полаже у </w:t>
      </w:r>
      <w:r>
        <w:rPr>
          <w:color w:val="231F20"/>
          <w:spacing w:val="-3"/>
        </w:rPr>
        <w:t>кабловској </w:t>
      </w:r>
      <w:r>
        <w:rPr>
          <w:color w:val="231F20"/>
        </w:rPr>
        <w:t>канализацији, односно, у заштитној цеви на дубини мин.0,8m испод површине</w:t>
      </w:r>
      <w:r>
        <w:rPr>
          <w:color w:val="231F20"/>
          <w:spacing w:val="-2"/>
        </w:rPr>
        <w:t> </w:t>
      </w:r>
      <w:r>
        <w:rPr>
          <w:color w:val="231F20"/>
          <w:spacing w:val="-3"/>
        </w:rPr>
        <w:t>коловоза.</w:t>
      </w:r>
    </w:p>
    <w:p>
      <w:pPr>
        <w:pStyle w:val="ListParagraph"/>
        <w:numPr>
          <w:ilvl w:val="2"/>
          <w:numId w:val="56"/>
        </w:numPr>
        <w:tabs>
          <w:tab w:pos="777" w:val="left" w:leader="none"/>
        </w:tabs>
        <w:spacing w:line="386" w:lineRule="exact" w:before="23" w:after="0"/>
        <w:ind w:left="567" w:right="39" w:hanging="241"/>
        <w:jc w:val="left"/>
        <w:rPr>
          <w:sz w:val="18"/>
        </w:rPr>
      </w:pPr>
      <w:r>
        <w:rPr>
          <w:color w:val="231F20"/>
          <w:spacing w:val="16"/>
          <w:sz w:val="18"/>
        </w:rPr>
        <w:t>Правила изградње телекомуникационе  </w:t>
      </w:r>
      <w:r>
        <w:rPr>
          <w:color w:val="231F20"/>
          <w:spacing w:val="15"/>
          <w:sz w:val="18"/>
        </w:rPr>
        <w:t>мреже </w:t>
      </w:r>
      <w:r>
        <w:rPr>
          <w:color w:val="231F20"/>
          <w:sz w:val="18"/>
        </w:rPr>
        <w:t>На</w:t>
      </w:r>
      <w:r>
        <w:rPr>
          <w:color w:val="231F20"/>
          <w:spacing w:val="-7"/>
          <w:sz w:val="18"/>
        </w:rPr>
        <w:t> </w:t>
      </w:r>
      <w:r>
        <w:rPr>
          <w:color w:val="231F20"/>
          <w:spacing w:val="-4"/>
          <w:sz w:val="18"/>
        </w:rPr>
        <w:t>командном</w:t>
      </w:r>
      <w:r>
        <w:rPr>
          <w:color w:val="231F20"/>
          <w:spacing w:val="-7"/>
          <w:sz w:val="18"/>
        </w:rPr>
        <w:t> </w:t>
      </w:r>
      <w:r>
        <w:rPr>
          <w:color w:val="231F20"/>
          <w:spacing w:val="-3"/>
          <w:sz w:val="18"/>
        </w:rPr>
        <w:t>пулту</w:t>
      </w:r>
      <w:r>
        <w:rPr>
          <w:color w:val="231F20"/>
          <w:spacing w:val="-7"/>
          <w:sz w:val="18"/>
        </w:rPr>
        <w:t> </w:t>
      </w:r>
      <w:r>
        <w:rPr>
          <w:color w:val="231F20"/>
          <w:sz w:val="18"/>
        </w:rPr>
        <w:t>постројења</w:t>
      </w:r>
      <w:r>
        <w:rPr>
          <w:color w:val="231F20"/>
          <w:spacing w:val="-7"/>
          <w:sz w:val="18"/>
        </w:rPr>
        <w:t> </w:t>
      </w:r>
      <w:r>
        <w:rPr>
          <w:color w:val="231F20"/>
          <w:sz w:val="18"/>
        </w:rPr>
        <w:t>за</w:t>
      </w:r>
      <w:r>
        <w:rPr>
          <w:color w:val="231F20"/>
          <w:spacing w:val="-7"/>
          <w:sz w:val="18"/>
        </w:rPr>
        <w:t> </w:t>
      </w:r>
      <w:r>
        <w:rPr>
          <w:color w:val="231F20"/>
          <w:sz w:val="18"/>
        </w:rPr>
        <w:t>преузимање</w:t>
      </w:r>
      <w:r>
        <w:rPr>
          <w:color w:val="231F20"/>
          <w:spacing w:val="-7"/>
          <w:sz w:val="18"/>
        </w:rPr>
        <w:t> </w:t>
      </w:r>
      <w:r>
        <w:rPr>
          <w:color w:val="231F20"/>
          <w:sz w:val="18"/>
        </w:rPr>
        <w:t>угља</w:t>
      </w:r>
      <w:r>
        <w:rPr>
          <w:color w:val="231F20"/>
          <w:spacing w:val="-7"/>
          <w:sz w:val="18"/>
        </w:rPr>
        <w:t> </w:t>
      </w:r>
      <w:r>
        <w:rPr>
          <w:color w:val="231F20"/>
          <w:sz w:val="18"/>
        </w:rPr>
        <w:t>извешће</w:t>
      </w:r>
    </w:p>
    <w:p>
      <w:pPr>
        <w:pStyle w:val="BodyText"/>
        <w:spacing w:line="148" w:lineRule="exact"/>
        <w:jc w:val="left"/>
      </w:pPr>
      <w:r>
        <w:rPr>
          <w:color w:val="231F20"/>
        </w:rPr>
        <w:t>се оптички сигнал рада транспортера Т1. Такође, изведена је и те-</w:t>
      </w:r>
    </w:p>
    <w:p>
      <w:pPr>
        <w:pStyle w:val="BodyText"/>
        <w:spacing w:line="223" w:lineRule="auto" w:before="5"/>
        <w:ind w:left="521" w:right="39" w:hanging="398"/>
        <w:jc w:val="right"/>
      </w:pPr>
      <w:r>
        <w:rPr>
          <w:color w:val="231F20"/>
        </w:rPr>
        <w:t>лефонска веза између </w:t>
      </w:r>
      <w:r>
        <w:rPr>
          <w:color w:val="231F20"/>
          <w:spacing w:val="-3"/>
        </w:rPr>
        <w:t>командног пулта </w:t>
      </w:r>
      <w:r>
        <w:rPr>
          <w:color w:val="231F20"/>
        </w:rPr>
        <w:t>у дробиличном </w:t>
      </w:r>
      <w:r>
        <w:rPr>
          <w:color w:val="231F20"/>
          <w:spacing w:val="-3"/>
        </w:rPr>
        <w:t>постројењу.</w:t>
      </w:r>
      <w:r>
        <w:rPr>
          <w:color w:val="231F20"/>
        </w:rPr>
        <w:t> Подземни телекомуникациони водови транспортне, приступ-</w:t>
      </w:r>
    </w:p>
    <w:p>
      <w:pPr>
        <w:pStyle w:val="BodyText"/>
        <w:spacing w:line="223" w:lineRule="auto" w:before="1"/>
        <w:ind w:right="39"/>
      </w:pPr>
      <w:r>
        <w:rPr>
          <w:color w:val="231F20"/>
        </w:rPr>
        <w:t>не,</w:t>
      </w:r>
      <w:r>
        <w:rPr>
          <w:color w:val="231F20"/>
          <w:spacing w:val="-5"/>
        </w:rPr>
        <w:t> </w:t>
      </w:r>
      <w:r>
        <w:rPr>
          <w:color w:val="231F20"/>
        </w:rPr>
        <w:t>и</w:t>
      </w:r>
      <w:r>
        <w:rPr>
          <w:color w:val="231F20"/>
          <w:spacing w:val="-6"/>
        </w:rPr>
        <w:t> </w:t>
      </w:r>
      <w:r>
        <w:rPr>
          <w:color w:val="231F20"/>
        </w:rPr>
        <w:t>телекомуникационе</w:t>
      </w:r>
      <w:r>
        <w:rPr>
          <w:color w:val="231F20"/>
          <w:spacing w:val="-6"/>
        </w:rPr>
        <w:t> </w:t>
      </w:r>
      <w:r>
        <w:rPr>
          <w:color w:val="231F20"/>
        </w:rPr>
        <w:t>канализације</w:t>
      </w:r>
      <w:r>
        <w:rPr>
          <w:color w:val="231F20"/>
          <w:spacing w:val="-6"/>
        </w:rPr>
        <w:t> </w:t>
      </w:r>
      <w:r>
        <w:rPr>
          <w:color w:val="231F20"/>
        </w:rPr>
        <w:t>постављају</w:t>
      </w:r>
      <w:r>
        <w:rPr>
          <w:color w:val="231F20"/>
          <w:spacing w:val="-6"/>
        </w:rPr>
        <w:t> </w:t>
      </w:r>
      <w:r>
        <w:rPr>
          <w:color w:val="231F20"/>
        </w:rPr>
        <w:t>се</w:t>
      </w:r>
      <w:r>
        <w:rPr>
          <w:color w:val="231F20"/>
          <w:spacing w:val="-6"/>
        </w:rPr>
        <w:t> </w:t>
      </w:r>
      <w:r>
        <w:rPr>
          <w:color w:val="231F20"/>
        </w:rPr>
        <w:t>испод</w:t>
      </w:r>
      <w:r>
        <w:rPr>
          <w:color w:val="231F20"/>
          <w:spacing w:val="-6"/>
        </w:rPr>
        <w:t> </w:t>
      </w:r>
      <w:r>
        <w:rPr>
          <w:color w:val="231F20"/>
        </w:rPr>
        <w:t>грађе- винских парцела уз сагласност власника – корисника. Подземни телекомуникациони каблови полажу се у ров ширине 0,4m на ду- бини</w:t>
      </w:r>
      <w:r>
        <w:rPr>
          <w:color w:val="231F20"/>
          <w:spacing w:val="-6"/>
        </w:rPr>
        <w:t> </w:t>
      </w:r>
      <w:r>
        <w:rPr>
          <w:color w:val="231F20"/>
          <w:spacing w:val="-3"/>
        </w:rPr>
        <w:t>од</w:t>
      </w:r>
      <w:r>
        <w:rPr>
          <w:color w:val="231F20"/>
          <w:spacing w:val="-6"/>
        </w:rPr>
        <w:t> </w:t>
      </w:r>
      <w:r>
        <w:rPr>
          <w:color w:val="231F20"/>
        </w:rPr>
        <w:t>0,8</w:t>
      </w:r>
      <w:r>
        <w:rPr>
          <w:color w:val="231F20"/>
          <w:spacing w:val="-6"/>
        </w:rPr>
        <w:t> </w:t>
      </w:r>
      <w:r>
        <w:rPr>
          <w:color w:val="231F20"/>
        </w:rPr>
        <w:t>до</w:t>
      </w:r>
      <w:r>
        <w:rPr>
          <w:color w:val="231F20"/>
          <w:spacing w:val="-6"/>
        </w:rPr>
        <w:t> </w:t>
      </w:r>
      <w:r>
        <w:rPr>
          <w:color w:val="231F20"/>
        </w:rPr>
        <w:t>1,0m</w:t>
      </w:r>
      <w:r>
        <w:rPr>
          <w:color w:val="231F20"/>
          <w:spacing w:val="-6"/>
        </w:rPr>
        <w:t> </w:t>
      </w:r>
      <w:r>
        <w:rPr>
          <w:color w:val="231F20"/>
        </w:rPr>
        <w:t>према</w:t>
      </w:r>
      <w:r>
        <w:rPr>
          <w:color w:val="231F20"/>
          <w:spacing w:val="-6"/>
        </w:rPr>
        <w:t> </w:t>
      </w:r>
      <w:r>
        <w:rPr>
          <w:color w:val="231F20"/>
        </w:rPr>
        <w:t>важећим</w:t>
      </w:r>
      <w:r>
        <w:rPr>
          <w:color w:val="231F20"/>
          <w:spacing w:val="-6"/>
        </w:rPr>
        <w:t> </w:t>
      </w:r>
      <w:r>
        <w:rPr>
          <w:color w:val="231F20"/>
        </w:rPr>
        <w:t>техничким</w:t>
      </w:r>
      <w:r>
        <w:rPr>
          <w:color w:val="231F20"/>
          <w:spacing w:val="-6"/>
        </w:rPr>
        <w:t> </w:t>
      </w:r>
      <w:r>
        <w:rPr>
          <w:color w:val="231F20"/>
        </w:rPr>
        <w:t>прописима</w:t>
      </w:r>
      <w:r>
        <w:rPr>
          <w:color w:val="231F20"/>
          <w:spacing w:val="-6"/>
        </w:rPr>
        <w:t> </w:t>
      </w:r>
      <w:r>
        <w:rPr>
          <w:color w:val="231F20"/>
        </w:rPr>
        <w:t>за</w:t>
      </w:r>
      <w:r>
        <w:rPr>
          <w:color w:val="231F20"/>
          <w:spacing w:val="-6"/>
        </w:rPr>
        <w:t> </w:t>
      </w:r>
      <w:r>
        <w:rPr>
          <w:color w:val="231F20"/>
        </w:rPr>
        <w:t>пола- гање ТТ каблова у</w:t>
      </w:r>
      <w:r>
        <w:rPr>
          <w:color w:val="231F20"/>
          <w:spacing w:val="-2"/>
        </w:rPr>
        <w:t> </w:t>
      </w:r>
      <w:r>
        <w:rPr>
          <w:color w:val="231F20"/>
        </w:rPr>
        <w:t>ров.</w:t>
      </w:r>
    </w:p>
    <w:p>
      <w:pPr>
        <w:pStyle w:val="BodyText"/>
        <w:spacing w:line="223" w:lineRule="auto" w:before="3"/>
        <w:ind w:right="39" w:firstLine="396"/>
      </w:pPr>
      <w:r>
        <w:rPr>
          <w:color w:val="231F20"/>
        </w:rPr>
        <w:t>Код приближавања и укрштања ТТ каблова са осталим ин- фраструктурним објектима потребно је остварити минималне раз- маке.</w:t>
      </w:r>
    </w:p>
    <w:p>
      <w:pPr>
        <w:pStyle w:val="ListParagraph"/>
        <w:numPr>
          <w:ilvl w:val="1"/>
          <w:numId w:val="57"/>
        </w:numPr>
        <w:tabs>
          <w:tab w:pos="1798" w:val="left" w:leader="none"/>
        </w:tabs>
        <w:spacing w:line="240" w:lineRule="auto" w:before="160" w:after="0"/>
        <w:ind w:left="1797" w:right="0" w:hanging="315"/>
        <w:jc w:val="left"/>
        <w:rPr>
          <w:i/>
          <w:sz w:val="18"/>
        </w:rPr>
      </w:pPr>
      <w:r>
        <w:rPr>
          <w:i/>
          <w:color w:val="231F20"/>
          <w:sz w:val="18"/>
        </w:rPr>
        <w:t>Заштита животне</w:t>
      </w:r>
      <w:r>
        <w:rPr>
          <w:i/>
          <w:color w:val="231F20"/>
          <w:spacing w:val="-2"/>
          <w:sz w:val="18"/>
        </w:rPr>
        <w:t> </w:t>
      </w:r>
      <w:r>
        <w:rPr>
          <w:i/>
          <w:color w:val="231F20"/>
          <w:sz w:val="18"/>
        </w:rPr>
        <w:t>средине</w:t>
      </w:r>
    </w:p>
    <w:p>
      <w:pPr>
        <w:pStyle w:val="ListParagraph"/>
        <w:numPr>
          <w:ilvl w:val="2"/>
          <w:numId w:val="57"/>
        </w:numPr>
        <w:tabs>
          <w:tab w:pos="2044" w:val="left" w:leader="none"/>
        </w:tabs>
        <w:spacing w:line="240" w:lineRule="auto" w:before="157" w:after="0"/>
        <w:ind w:left="1603" w:right="0" w:hanging="10"/>
        <w:jc w:val="left"/>
        <w:rPr>
          <w:sz w:val="18"/>
        </w:rPr>
      </w:pPr>
      <w:r>
        <w:rPr>
          <w:color w:val="231F20"/>
          <w:spacing w:val="13"/>
          <w:sz w:val="18"/>
        </w:rPr>
        <w:t>Мере </w:t>
      </w:r>
      <w:r>
        <w:rPr>
          <w:color w:val="231F20"/>
          <w:spacing w:val="16"/>
          <w:sz w:val="18"/>
        </w:rPr>
        <w:t>заштите</w:t>
      </w:r>
      <w:r>
        <w:rPr>
          <w:color w:val="231F20"/>
          <w:spacing w:val="13"/>
          <w:sz w:val="18"/>
        </w:rPr>
        <w:t> </w:t>
      </w:r>
      <w:r>
        <w:rPr>
          <w:color w:val="231F20"/>
          <w:spacing w:val="12"/>
          <w:sz w:val="18"/>
        </w:rPr>
        <w:t>вода</w:t>
      </w:r>
    </w:p>
    <w:p>
      <w:pPr>
        <w:pStyle w:val="BodyText"/>
        <w:spacing w:before="6"/>
        <w:ind w:left="0"/>
        <w:jc w:val="left"/>
        <w:rPr>
          <w:sz w:val="16"/>
        </w:rPr>
      </w:pPr>
    </w:p>
    <w:p>
      <w:pPr>
        <w:pStyle w:val="BodyText"/>
        <w:spacing w:line="223" w:lineRule="auto"/>
        <w:ind w:left="122" w:right="39" w:firstLine="397"/>
        <w:jc w:val="right"/>
      </w:pPr>
      <w:r>
        <w:rPr>
          <w:color w:val="231F20"/>
        </w:rPr>
        <w:t>У складу са очекиваним привредним развојем, а тиме и пове- ћаним обимом производње, </w:t>
      </w:r>
      <w:r>
        <w:rPr>
          <w:color w:val="231F20"/>
          <w:spacing w:val="-3"/>
        </w:rPr>
        <w:t>неопходно </w:t>
      </w:r>
      <w:r>
        <w:rPr>
          <w:color w:val="231F20"/>
        </w:rPr>
        <w:t>је спровести превентивне и санационе мере ради очувања квалитета површинских и подзем- них </w:t>
      </w:r>
      <w:r>
        <w:rPr>
          <w:color w:val="231F20"/>
          <w:spacing w:val="-3"/>
        </w:rPr>
        <w:t>вода, </w:t>
      </w:r>
      <w:r>
        <w:rPr>
          <w:color w:val="231F20"/>
          <w:spacing w:val="-4"/>
        </w:rPr>
        <w:t>како </w:t>
      </w:r>
      <w:r>
        <w:rPr>
          <w:color w:val="231F20"/>
        </w:rPr>
        <w:t>на предметном </w:t>
      </w:r>
      <w:r>
        <w:rPr>
          <w:color w:val="231F20"/>
          <w:spacing w:val="-4"/>
        </w:rPr>
        <w:t>подручју, </w:t>
      </w:r>
      <w:r>
        <w:rPr>
          <w:color w:val="231F20"/>
          <w:spacing w:val="-3"/>
        </w:rPr>
        <w:t>тако </w:t>
      </w:r>
      <w:r>
        <w:rPr>
          <w:color w:val="231F20"/>
        </w:rPr>
        <w:t>и у </w:t>
      </w:r>
      <w:r>
        <w:rPr>
          <w:color w:val="231F20"/>
          <w:spacing w:val="-3"/>
        </w:rPr>
        <w:t>ближем </w:t>
      </w:r>
      <w:r>
        <w:rPr>
          <w:color w:val="231F20"/>
          <w:spacing w:val="-4"/>
        </w:rPr>
        <w:t>окружењу.</w:t>
      </w:r>
    </w:p>
    <w:p>
      <w:pPr>
        <w:pStyle w:val="BodyText"/>
        <w:spacing w:line="223" w:lineRule="auto" w:before="3"/>
        <w:ind w:right="39" w:firstLine="396"/>
      </w:pPr>
      <w:r>
        <w:rPr>
          <w:color w:val="231F20"/>
        </w:rPr>
        <w:t>Физичко-хемијске анализе узорака прелива дренажне воде копа „Дрмно” показале су да су Главни параметри који не задо- вољавају захтевани квалитет Млаве су минерална уља, феноли и биолошка потрошња кисеоника.</w:t>
      </w:r>
    </w:p>
    <w:p>
      <w:pPr>
        <w:pStyle w:val="BodyText"/>
        <w:spacing w:line="191" w:lineRule="exact"/>
        <w:ind w:left="567"/>
        <w:jc w:val="left"/>
      </w:pPr>
      <w:r>
        <w:rPr>
          <w:color w:val="231F20"/>
        </w:rPr>
        <w:t>Концепција заштите вода заснива се пре свега на:</w:t>
      </w:r>
    </w:p>
    <w:p>
      <w:pPr>
        <w:pStyle w:val="BodyText"/>
        <w:spacing w:line="223" w:lineRule="auto" w:before="5"/>
        <w:ind w:right="39" w:firstLine="396"/>
      </w:pPr>
      <w:r>
        <w:rPr>
          <w:color w:val="231F20"/>
          <w:w w:val="66"/>
        </w:rPr>
        <w:t> </w:t>
      </w:r>
      <w:r>
        <w:rPr>
          <w:color w:val="231F20"/>
        </w:rPr>
        <w:t>– спречавању деградације подземних вода (физичка, хемиј- ска и биолошка стабилност) у водоносном хоризонту;</w:t>
      </w:r>
    </w:p>
    <w:p>
      <w:pPr>
        <w:pStyle w:val="BodyText"/>
        <w:spacing w:line="223" w:lineRule="auto" w:before="1"/>
        <w:ind w:right="39" w:firstLine="397"/>
      </w:pPr>
      <w:r>
        <w:rPr>
          <w:color w:val="231F20"/>
          <w:w w:val="66"/>
        </w:rPr>
        <w:t> </w:t>
      </w:r>
      <w:r>
        <w:rPr>
          <w:color w:val="231F20"/>
        </w:rPr>
        <w:t>– обезбеђењу редовне контроле стања система за одвођење дренажних, етажних, атмосферских процедних вода, као и хидра- уличних пумпи; неопходно је стално праћење физичких и хемиј- ских параметара квалитета вода пре испуштања у реципијент; ка- ко услед употребе механизације ове воде могу садржати извесне количине уља и мазива, неопходно је омогућити адекватан трет- ман применом сепаратора уља и масти и</w:t>
      </w:r>
    </w:p>
    <w:p>
      <w:pPr>
        <w:pStyle w:val="BodyText"/>
        <w:spacing w:line="223" w:lineRule="auto" w:before="5"/>
        <w:ind w:right="39" w:firstLine="396"/>
      </w:pPr>
      <w:r>
        <w:rPr>
          <w:color w:val="231F20"/>
          <w:w w:val="66"/>
        </w:rPr>
        <w:t> </w:t>
      </w:r>
      <w:r>
        <w:rPr>
          <w:color w:val="231F20"/>
        </w:rPr>
        <w:t>– одрживом развоју, што подразумева разумно коришћење простора и ресурса, очување животне средине на начин којим се истовремено доприноси побољшању њеног квалитета.</w:t>
      </w:r>
    </w:p>
    <w:p>
      <w:pPr>
        <w:pStyle w:val="ListParagraph"/>
        <w:numPr>
          <w:ilvl w:val="2"/>
          <w:numId w:val="57"/>
        </w:numPr>
        <w:tabs>
          <w:tab w:pos="1775" w:val="left" w:leader="none"/>
        </w:tabs>
        <w:spacing w:line="240" w:lineRule="auto" w:before="160" w:after="0"/>
        <w:ind w:left="1774" w:right="0" w:hanging="450"/>
        <w:jc w:val="left"/>
        <w:rPr>
          <w:sz w:val="18"/>
        </w:rPr>
      </w:pPr>
      <w:r>
        <w:rPr>
          <w:color w:val="231F20"/>
          <w:spacing w:val="13"/>
          <w:sz w:val="18"/>
        </w:rPr>
        <w:t>Мере </w:t>
      </w:r>
      <w:r>
        <w:rPr>
          <w:color w:val="231F20"/>
          <w:spacing w:val="16"/>
          <w:sz w:val="18"/>
        </w:rPr>
        <w:t>заштите земљишт</w:t>
      </w:r>
      <w:r>
        <w:rPr>
          <w:color w:val="231F20"/>
          <w:spacing w:val="-24"/>
          <w:sz w:val="18"/>
        </w:rPr>
        <w:t> </w:t>
      </w:r>
      <w:r>
        <w:rPr>
          <w:color w:val="231F20"/>
          <w:sz w:val="18"/>
        </w:rPr>
        <w:t>а</w:t>
      </w:r>
    </w:p>
    <w:p>
      <w:pPr>
        <w:pStyle w:val="BodyText"/>
        <w:spacing w:before="7"/>
        <w:ind w:left="0"/>
        <w:jc w:val="left"/>
        <w:rPr>
          <w:sz w:val="16"/>
        </w:rPr>
      </w:pPr>
    </w:p>
    <w:p>
      <w:pPr>
        <w:pStyle w:val="BodyText"/>
        <w:spacing w:line="223" w:lineRule="auto"/>
        <w:ind w:right="39" w:firstLine="396"/>
      </w:pPr>
      <w:r>
        <w:rPr>
          <w:color w:val="231F20"/>
        </w:rPr>
        <w:t>Заштита </w:t>
      </w:r>
      <w:r>
        <w:rPr>
          <w:color w:val="231F20"/>
          <w:spacing w:val="-3"/>
        </w:rPr>
        <w:t>пољопривредног, </w:t>
      </w:r>
      <w:r>
        <w:rPr>
          <w:color w:val="231F20"/>
        </w:rPr>
        <w:t>грађевинског и осталог неплодног земљишта ће се постићи спровођењем следећих мера:</w:t>
      </w:r>
    </w:p>
    <w:p>
      <w:pPr>
        <w:pStyle w:val="BodyText"/>
        <w:spacing w:line="190" w:lineRule="exact"/>
        <w:ind w:left="567"/>
        <w:jc w:val="left"/>
      </w:pPr>
      <w:r>
        <w:rPr>
          <w:color w:val="231F20"/>
          <w:w w:val="66"/>
        </w:rPr>
        <w:t> </w:t>
      </w:r>
      <w:r>
        <w:rPr>
          <w:color w:val="231F20"/>
        </w:rPr>
        <w:t>– пошумљавањем, озелењавањем контактних зона;</w:t>
      </w:r>
    </w:p>
    <w:p>
      <w:pPr>
        <w:pStyle w:val="BodyText"/>
        <w:spacing w:line="223" w:lineRule="auto" w:before="5"/>
        <w:ind w:right="39" w:firstLine="396"/>
      </w:pPr>
      <w:r>
        <w:rPr>
          <w:color w:val="231F20"/>
          <w:w w:val="66"/>
        </w:rPr>
        <w:t> </w:t>
      </w:r>
      <w:r>
        <w:rPr>
          <w:color w:val="231F20"/>
        </w:rPr>
        <w:t>–</w:t>
      </w:r>
      <w:r>
        <w:rPr>
          <w:color w:val="231F20"/>
          <w:spacing w:val="-7"/>
        </w:rPr>
        <w:t> </w:t>
      </w:r>
      <w:r>
        <w:rPr>
          <w:color w:val="231F20"/>
        </w:rPr>
        <w:t>забраном</w:t>
      </w:r>
      <w:r>
        <w:rPr>
          <w:color w:val="231F20"/>
          <w:spacing w:val="-7"/>
        </w:rPr>
        <w:t> </w:t>
      </w:r>
      <w:r>
        <w:rPr>
          <w:color w:val="231F20"/>
        </w:rPr>
        <w:t>одлагања</w:t>
      </w:r>
      <w:r>
        <w:rPr>
          <w:color w:val="231F20"/>
          <w:spacing w:val="-7"/>
        </w:rPr>
        <w:t> </w:t>
      </w:r>
      <w:r>
        <w:rPr>
          <w:color w:val="231F20"/>
        </w:rPr>
        <w:t>отпадних</w:t>
      </w:r>
      <w:r>
        <w:rPr>
          <w:color w:val="231F20"/>
          <w:spacing w:val="-6"/>
        </w:rPr>
        <w:t> </w:t>
      </w:r>
      <w:r>
        <w:rPr>
          <w:color w:val="231F20"/>
        </w:rPr>
        <w:t>материја</w:t>
      </w:r>
      <w:r>
        <w:rPr>
          <w:color w:val="231F20"/>
          <w:spacing w:val="-7"/>
        </w:rPr>
        <w:t> </w:t>
      </w:r>
      <w:r>
        <w:rPr>
          <w:color w:val="231F20"/>
        </w:rPr>
        <w:t>на</w:t>
      </w:r>
      <w:r>
        <w:rPr>
          <w:color w:val="231F20"/>
          <w:spacing w:val="-7"/>
        </w:rPr>
        <w:t> </w:t>
      </w:r>
      <w:r>
        <w:rPr>
          <w:color w:val="231F20"/>
        </w:rPr>
        <w:t>за</w:t>
      </w:r>
      <w:r>
        <w:rPr>
          <w:color w:val="231F20"/>
          <w:spacing w:val="-7"/>
        </w:rPr>
        <w:t> </w:t>
      </w:r>
      <w:r>
        <w:rPr>
          <w:color w:val="231F20"/>
        </w:rPr>
        <w:t>то</w:t>
      </w:r>
      <w:r>
        <w:rPr>
          <w:color w:val="231F20"/>
          <w:spacing w:val="-7"/>
        </w:rPr>
        <w:t> </w:t>
      </w:r>
      <w:r>
        <w:rPr>
          <w:color w:val="231F20"/>
        </w:rPr>
        <w:t>непредвиђе- ним локацијама</w:t>
      </w:r>
      <w:r>
        <w:rPr>
          <w:color w:val="231F20"/>
          <w:spacing w:val="-2"/>
        </w:rPr>
        <w:t> </w:t>
      </w:r>
      <w:r>
        <w:rPr>
          <w:color w:val="231F20"/>
        </w:rPr>
        <w:t>и</w:t>
      </w:r>
    </w:p>
    <w:p>
      <w:pPr>
        <w:pStyle w:val="BodyText"/>
        <w:spacing w:line="223" w:lineRule="auto" w:before="1"/>
        <w:ind w:left="171" w:right="38" w:firstLine="396"/>
      </w:pPr>
      <w:r>
        <w:rPr>
          <w:color w:val="231F20"/>
          <w:w w:val="66"/>
        </w:rPr>
        <w:t> </w:t>
      </w:r>
      <w:r>
        <w:rPr>
          <w:color w:val="231F20"/>
        </w:rPr>
        <w:t>– одговарајућим техничко-технолошким решењима (уград- њом</w:t>
      </w:r>
      <w:r>
        <w:rPr>
          <w:color w:val="231F20"/>
          <w:spacing w:val="-10"/>
        </w:rPr>
        <w:t> </w:t>
      </w:r>
      <w:r>
        <w:rPr>
          <w:color w:val="231F20"/>
        </w:rPr>
        <w:t>пречистача</w:t>
      </w:r>
      <w:r>
        <w:rPr>
          <w:color w:val="231F20"/>
          <w:spacing w:val="-10"/>
        </w:rPr>
        <w:t> </w:t>
      </w:r>
      <w:r>
        <w:rPr>
          <w:color w:val="231F20"/>
        </w:rPr>
        <w:t>отпадних</w:t>
      </w:r>
      <w:r>
        <w:rPr>
          <w:color w:val="231F20"/>
          <w:spacing w:val="-10"/>
        </w:rPr>
        <w:t> </w:t>
      </w:r>
      <w:r>
        <w:rPr>
          <w:color w:val="231F20"/>
        </w:rPr>
        <w:t>гасова</w:t>
      </w:r>
      <w:r>
        <w:rPr>
          <w:color w:val="231F20"/>
          <w:spacing w:val="-10"/>
        </w:rPr>
        <w:t> </w:t>
      </w:r>
      <w:r>
        <w:rPr>
          <w:color w:val="231F20"/>
        </w:rPr>
        <w:t>и</w:t>
      </w:r>
      <w:r>
        <w:rPr>
          <w:color w:val="231F20"/>
          <w:spacing w:val="-10"/>
        </w:rPr>
        <w:t> </w:t>
      </w:r>
      <w:r>
        <w:rPr>
          <w:color w:val="231F20"/>
        </w:rPr>
        <w:t>чађи),</w:t>
      </w:r>
      <w:r>
        <w:rPr>
          <w:color w:val="231F20"/>
          <w:spacing w:val="-10"/>
        </w:rPr>
        <w:t> </w:t>
      </w:r>
      <w:r>
        <w:rPr>
          <w:color w:val="231F20"/>
        </w:rPr>
        <w:t>као</w:t>
      </w:r>
      <w:r>
        <w:rPr>
          <w:color w:val="231F20"/>
          <w:spacing w:val="-10"/>
        </w:rPr>
        <w:t> </w:t>
      </w:r>
      <w:r>
        <w:rPr>
          <w:color w:val="231F20"/>
        </w:rPr>
        <w:t>и</w:t>
      </w:r>
      <w:r>
        <w:rPr>
          <w:color w:val="231F20"/>
          <w:spacing w:val="-10"/>
        </w:rPr>
        <w:t> </w:t>
      </w:r>
      <w:r>
        <w:rPr>
          <w:color w:val="231F20"/>
        </w:rPr>
        <w:t>редовним</w:t>
      </w:r>
      <w:r>
        <w:rPr>
          <w:color w:val="231F20"/>
          <w:spacing w:val="-9"/>
        </w:rPr>
        <w:t> </w:t>
      </w:r>
      <w:r>
        <w:rPr>
          <w:color w:val="231F20"/>
        </w:rPr>
        <w:t>одржава- њем чистоће у циљу смањења</w:t>
      </w:r>
      <w:r>
        <w:rPr>
          <w:color w:val="231F20"/>
          <w:spacing w:val="-5"/>
        </w:rPr>
        <w:t> </w:t>
      </w:r>
      <w:r>
        <w:rPr>
          <w:color w:val="231F20"/>
        </w:rPr>
        <w:t>запрашености.</w:t>
      </w:r>
    </w:p>
    <w:p>
      <w:pPr>
        <w:pStyle w:val="ListParagraph"/>
        <w:numPr>
          <w:ilvl w:val="2"/>
          <w:numId w:val="57"/>
        </w:numPr>
        <w:tabs>
          <w:tab w:pos="1903" w:val="left" w:leader="none"/>
        </w:tabs>
        <w:spacing w:line="240" w:lineRule="auto" w:before="160" w:after="0"/>
        <w:ind w:left="1902" w:right="0" w:hanging="450"/>
        <w:jc w:val="left"/>
        <w:rPr>
          <w:sz w:val="18"/>
        </w:rPr>
      </w:pPr>
      <w:r>
        <w:rPr>
          <w:color w:val="231F20"/>
          <w:spacing w:val="13"/>
          <w:sz w:val="18"/>
        </w:rPr>
        <w:t>Мере </w:t>
      </w:r>
      <w:r>
        <w:rPr>
          <w:color w:val="231F20"/>
          <w:spacing w:val="16"/>
          <w:sz w:val="18"/>
        </w:rPr>
        <w:t>заштите </w:t>
      </w:r>
      <w:r>
        <w:rPr>
          <w:color w:val="231F20"/>
          <w:spacing w:val="6"/>
          <w:sz w:val="18"/>
        </w:rPr>
        <w:t>од</w:t>
      </w:r>
      <w:r>
        <w:rPr>
          <w:color w:val="231F20"/>
          <w:spacing w:val="40"/>
          <w:sz w:val="18"/>
        </w:rPr>
        <w:t> </w:t>
      </w:r>
      <w:r>
        <w:rPr>
          <w:color w:val="231F20"/>
          <w:spacing w:val="11"/>
          <w:sz w:val="18"/>
        </w:rPr>
        <w:t>буке</w:t>
      </w:r>
    </w:p>
    <w:p>
      <w:pPr>
        <w:pStyle w:val="BodyText"/>
        <w:spacing w:before="7"/>
        <w:ind w:left="0"/>
        <w:jc w:val="left"/>
        <w:rPr>
          <w:sz w:val="16"/>
        </w:rPr>
      </w:pPr>
    </w:p>
    <w:p>
      <w:pPr>
        <w:pStyle w:val="BodyText"/>
        <w:spacing w:line="223" w:lineRule="auto"/>
        <w:ind w:left="171" w:right="38" w:firstLine="397"/>
      </w:pPr>
      <w:r>
        <w:rPr>
          <w:color w:val="231F20"/>
        </w:rPr>
        <w:t>Повећан ниво буке јавља се дуж трасе трачног транспорта за угаљ и дуж саобраћајница и у оквиру парцела постојећих објека- та. Због смањења загађивања буком могуће је спровести следећу заштиту:</w:t>
      </w:r>
    </w:p>
    <w:p>
      <w:pPr>
        <w:pStyle w:val="BodyText"/>
        <w:spacing w:line="232" w:lineRule="auto" w:before="4"/>
        <w:ind w:left="171" w:right="38" w:firstLine="396"/>
      </w:pPr>
      <w:r>
        <w:rPr>
          <w:color w:val="231F20"/>
          <w:w w:val="66"/>
        </w:rPr>
        <w:t> </w:t>
      </w:r>
      <w:r>
        <w:rPr>
          <w:color w:val="231F20"/>
        </w:rPr>
        <w:t>– на самом извору буке: техничко-технолошким решењима на уређајима који производе буку, као и учесталом строгом тех- ничком контролом рада моторних возила и применом важећих прописа;</w:t>
      </w:r>
    </w:p>
    <w:p>
      <w:pPr>
        <w:pStyle w:val="BodyText"/>
        <w:spacing w:line="232" w:lineRule="auto" w:before="76"/>
        <w:ind w:left="172" w:right="410" w:firstLine="396"/>
      </w:pPr>
      <w:r>
        <w:rPr/>
        <w:br w:type="column"/>
      </w:r>
      <w:r>
        <w:rPr>
          <w:color w:val="231F20"/>
          <w:w w:val="66"/>
        </w:rPr>
        <w:t> </w:t>
      </w:r>
      <w:r>
        <w:rPr>
          <w:color w:val="231F20"/>
        </w:rPr>
        <w:t>– на путу од извора буке до пријемника: подизањем заштит- них зидова типа екрана око извора буке и</w:t>
      </w:r>
    </w:p>
    <w:p>
      <w:pPr>
        <w:pStyle w:val="BodyText"/>
        <w:spacing w:line="232" w:lineRule="auto" w:before="1"/>
        <w:ind w:left="172" w:right="409" w:firstLine="396"/>
      </w:pPr>
      <w:r>
        <w:rPr>
          <w:color w:val="231F20"/>
          <w:w w:val="66"/>
        </w:rPr>
        <w:t> </w:t>
      </w:r>
      <w:r>
        <w:rPr>
          <w:color w:val="231F20"/>
        </w:rPr>
        <w:t>– на месту пријема звука: ефикасним архитектонским и гра- ђевинским решењима (правилном локацијом извора буке, добрим избором грађевинских материјала слабе звучне проводљивости као и оних који имају повећану апсорпцију звука; при пројекто- вању објеката спровести одређивање правилног распореда про- сторија, као и увођење боље звучне изолације при пројектовању и градњи стамбених објеката).</w:t>
      </w:r>
    </w:p>
    <w:p>
      <w:pPr>
        <w:pStyle w:val="BodyText"/>
        <w:spacing w:line="232" w:lineRule="auto" w:before="4"/>
        <w:ind w:left="172" w:right="409" w:firstLine="396"/>
      </w:pPr>
      <w:r>
        <w:rPr>
          <w:color w:val="231F20"/>
        </w:rPr>
        <w:t>Емитовање </w:t>
      </w:r>
      <w:r>
        <w:rPr>
          <w:color w:val="231F20"/>
          <w:spacing w:val="-3"/>
        </w:rPr>
        <w:t>буке </w:t>
      </w:r>
      <w:r>
        <w:rPr>
          <w:color w:val="231F20"/>
        </w:rPr>
        <w:t>из постојећих и планираних привредних објеката</w:t>
      </w:r>
      <w:r>
        <w:rPr>
          <w:color w:val="231F20"/>
          <w:spacing w:val="-7"/>
        </w:rPr>
        <w:t> </w:t>
      </w:r>
      <w:r>
        <w:rPr>
          <w:color w:val="231F20"/>
        </w:rPr>
        <w:t>не</w:t>
      </w:r>
      <w:r>
        <w:rPr>
          <w:color w:val="231F20"/>
          <w:spacing w:val="-7"/>
        </w:rPr>
        <w:t> </w:t>
      </w:r>
      <w:r>
        <w:rPr>
          <w:color w:val="231F20"/>
        </w:rPr>
        <w:t>сме</w:t>
      </w:r>
      <w:r>
        <w:rPr>
          <w:color w:val="231F20"/>
          <w:spacing w:val="-7"/>
        </w:rPr>
        <w:t> </w:t>
      </w:r>
      <w:r>
        <w:rPr>
          <w:color w:val="231F20"/>
        </w:rPr>
        <w:t>прекорачити</w:t>
      </w:r>
      <w:r>
        <w:rPr>
          <w:color w:val="231F20"/>
          <w:spacing w:val="-7"/>
        </w:rPr>
        <w:t> </w:t>
      </w:r>
      <w:r>
        <w:rPr>
          <w:color w:val="231F20"/>
          <w:spacing w:val="-3"/>
        </w:rPr>
        <w:t>законске</w:t>
      </w:r>
      <w:r>
        <w:rPr>
          <w:color w:val="231F20"/>
          <w:spacing w:val="-7"/>
        </w:rPr>
        <w:t> </w:t>
      </w:r>
      <w:r>
        <w:rPr>
          <w:color w:val="231F20"/>
        </w:rPr>
        <w:t>норме</w:t>
      </w:r>
      <w:r>
        <w:rPr>
          <w:color w:val="231F20"/>
          <w:spacing w:val="-7"/>
        </w:rPr>
        <w:t> </w:t>
      </w:r>
      <w:r>
        <w:rPr>
          <w:color w:val="231F20"/>
        </w:rPr>
        <w:t>дефинисане</w:t>
      </w:r>
      <w:r>
        <w:rPr>
          <w:color w:val="231F20"/>
          <w:spacing w:val="-7"/>
        </w:rPr>
        <w:t> </w:t>
      </w:r>
      <w:r>
        <w:rPr>
          <w:color w:val="231F20"/>
        </w:rPr>
        <w:t>„Правил- </w:t>
      </w:r>
      <w:r>
        <w:rPr>
          <w:color w:val="231F20"/>
          <w:spacing w:val="-4"/>
        </w:rPr>
        <w:t>ником </w:t>
      </w:r>
      <w:r>
        <w:rPr>
          <w:color w:val="231F20"/>
        </w:rPr>
        <w:t>о дозвољеном нивоу </w:t>
      </w:r>
      <w:r>
        <w:rPr>
          <w:color w:val="231F20"/>
          <w:spacing w:val="-3"/>
        </w:rPr>
        <w:t>буке </w:t>
      </w:r>
      <w:r>
        <w:rPr>
          <w:color w:val="231F20"/>
        </w:rPr>
        <w:t>у животној средини” („Службени гласник РС”, број 54/92). Посебно се истиче обавеза формирања зеленог</w:t>
      </w:r>
      <w:r>
        <w:rPr>
          <w:color w:val="231F20"/>
          <w:spacing w:val="-8"/>
        </w:rPr>
        <w:t> </w:t>
      </w:r>
      <w:r>
        <w:rPr>
          <w:color w:val="231F20"/>
        </w:rPr>
        <w:t>заштитног</w:t>
      </w:r>
      <w:r>
        <w:rPr>
          <w:color w:val="231F20"/>
          <w:spacing w:val="-8"/>
        </w:rPr>
        <w:t> </w:t>
      </w:r>
      <w:r>
        <w:rPr>
          <w:color w:val="231F20"/>
        </w:rPr>
        <w:t>појаса</w:t>
      </w:r>
      <w:r>
        <w:rPr>
          <w:color w:val="231F20"/>
          <w:spacing w:val="-8"/>
        </w:rPr>
        <w:t> </w:t>
      </w:r>
      <w:r>
        <w:rPr>
          <w:color w:val="231F20"/>
        </w:rPr>
        <w:t>дуж</w:t>
      </w:r>
      <w:r>
        <w:rPr>
          <w:color w:val="231F20"/>
          <w:spacing w:val="-8"/>
        </w:rPr>
        <w:t> </w:t>
      </w:r>
      <w:r>
        <w:rPr>
          <w:color w:val="231F20"/>
        </w:rPr>
        <w:t>трасе</w:t>
      </w:r>
      <w:r>
        <w:rPr>
          <w:color w:val="231F20"/>
          <w:spacing w:val="-8"/>
        </w:rPr>
        <w:t> </w:t>
      </w:r>
      <w:r>
        <w:rPr>
          <w:color w:val="231F20"/>
        </w:rPr>
        <w:t>(од</w:t>
      </w:r>
      <w:r>
        <w:rPr>
          <w:color w:val="231F20"/>
          <w:spacing w:val="-8"/>
        </w:rPr>
        <w:t> </w:t>
      </w:r>
      <w:r>
        <w:rPr>
          <w:color w:val="231F20"/>
        </w:rPr>
        <w:t>листопадних</w:t>
      </w:r>
      <w:r>
        <w:rPr>
          <w:color w:val="231F20"/>
          <w:spacing w:val="-8"/>
        </w:rPr>
        <w:t> </w:t>
      </w:r>
      <w:r>
        <w:rPr>
          <w:color w:val="231F20"/>
        </w:rPr>
        <w:t>врста</w:t>
      </w:r>
      <w:r>
        <w:rPr>
          <w:color w:val="231F20"/>
          <w:spacing w:val="-8"/>
        </w:rPr>
        <w:t> </w:t>
      </w:r>
      <w:r>
        <w:rPr>
          <w:color w:val="231F20"/>
        </w:rPr>
        <w:t>дрвећа, високе</w:t>
      </w:r>
      <w:r>
        <w:rPr>
          <w:color w:val="231F20"/>
          <w:spacing w:val="-1"/>
        </w:rPr>
        <w:t> </w:t>
      </w:r>
      <w:r>
        <w:rPr>
          <w:color w:val="231F20"/>
        </w:rPr>
        <w:t>крошње).</w:t>
      </w:r>
    </w:p>
    <w:p>
      <w:pPr>
        <w:pStyle w:val="ListParagraph"/>
        <w:numPr>
          <w:ilvl w:val="2"/>
          <w:numId w:val="57"/>
        </w:numPr>
        <w:tabs>
          <w:tab w:pos="715" w:val="left" w:leader="none"/>
        </w:tabs>
        <w:spacing w:line="232" w:lineRule="auto" w:before="174" w:after="0"/>
        <w:ind w:left="1603" w:right="501" w:hanging="1339"/>
        <w:jc w:val="left"/>
        <w:rPr>
          <w:sz w:val="18"/>
        </w:rPr>
      </w:pPr>
      <w:r>
        <w:rPr>
          <w:color w:val="231F20"/>
          <w:spacing w:val="13"/>
          <w:sz w:val="18"/>
        </w:rPr>
        <w:t>Мере </w:t>
      </w:r>
      <w:r>
        <w:rPr>
          <w:color w:val="231F20"/>
          <w:spacing w:val="16"/>
          <w:sz w:val="18"/>
        </w:rPr>
        <w:t>заштите </w:t>
      </w:r>
      <w:r>
        <w:rPr>
          <w:color w:val="231F20"/>
          <w:spacing w:val="6"/>
          <w:sz w:val="18"/>
        </w:rPr>
        <w:t>од </w:t>
      </w:r>
      <w:r>
        <w:rPr>
          <w:color w:val="231F20"/>
          <w:spacing w:val="15"/>
          <w:sz w:val="18"/>
        </w:rPr>
        <w:t>техничко- </w:t>
      </w:r>
      <w:r>
        <w:rPr>
          <w:color w:val="231F20"/>
          <w:spacing w:val="16"/>
          <w:sz w:val="18"/>
        </w:rPr>
        <w:t>технолошких </w:t>
      </w:r>
      <w:r>
        <w:rPr>
          <w:color w:val="231F20"/>
          <w:spacing w:val="10"/>
          <w:sz w:val="18"/>
        </w:rPr>
        <w:t>уде </w:t>
      </w:r>
      <w:r>
        <w:rPr>
          <w:color w:val="231F20"/>
          <w:sz w:val="18"/>
        </w:rPr>
        <w:t>с а и </w:t>
      </w:r>
      <w:r>
        <w:rPr>
          <w:color w:val="231F20"/>
          <w:spacing w:val="16"/>
          <w:sz w:val="18"/>
        </w:rPr>
        <w:t>хаваријских</w:t>
      </w:r>
      <w:r>
        <w:rPr>
          <w:color w:val="231F20"/>
          <w:spacing w:val="43"/>
          <w:sz w:val="18"/>
        </w:rPr>
        <w:t> </w:t>
      </w:r>
      <w:r>
        <w:rPr>
          <w:color w:val="231F20"/>
          <w:spacing w:val="16"/>
          <w:sz w:val="18"/>
        </w:rPr>
        <w:t>загађења</w:t>
      </w:r>
    </w:p>
    <w:p>
      <w:pPr>
        <w:pStyle w:val="BodyText"/>
        <w:spacing w:before="8"/>
        <w:ind w:left="0"/>
        <w:jc w:val="left"/>
        <w:rPr>
          <w:sz w:val="17"/>
        </w:rPr>
      </w:pPr>
    </w:p>
    <w:p>
      <w:pPr>
        <w:pStyle w:val="BodyText"/>
        <w:spacing w:line="232" w:lineRule="auto"/>
        <w:ind w:left="172" w:right="409" w:firstLine="397"/>
      </w:pPr>
      <w:r>
        <w:rPr>
          <w:color w:val="231F20"/>
        </w:rPr>
        <w:t>У случају транспорта опасних материја, односно </w:t>
      </w:r>
      <w:r>
        <w:rPr>
          <w:color w:val="231F20"/>
          <w:spacing w:val="-3"/>
        </w:rPr>
        <w:t>приликом </w:t>
      </w:r>
      <w:r>
        <w:rPr>
          <w:color w:val="231F20"/>
        </w:rPr>
        <w:t>њиховог утовара и истовара предузећа и друга правна и приватна лица дужна су да контролишу исправност уређаја и електричних инсталација на тим местима, физички их обезбеде и воде рачуна  о техничкој исправности опреме за гашење евентуалних пожара на тим местима, у складу са </w:t>
      </w:r>
      <w:r>
        <w:rPr>
          <w:color w:val="231F20"/>
          <w:spacing w:val="-3"/>
        </w:rPr>
        <w:t>Законом </w:t>
      </w:r>
      <w:r>
        <w:rPr>
          <w:color w:val="231F20"/>
        </w:rPr>
        <w:t>о превозу опасних материја („Службени гласник РС”, број</w:t>
      </w:r>
      <w:r>
        <w:rPr>
          <w:color w:val="231F20"/>
          <w:spacing w:val="-3"/>
        </w:rPr>
        <w:t> </w:t>
      </w:r>
      <w:r>
        <w:rPr>
          <w:color w:val="231F20"/>
        </w:rPr>
        <w:t>68/02).</w:t>
      </w:r>
    </w:p>
    <w:p>
      <w:pPr>
        <w:pStyle w:val="BodyText"/>
        <w:spacing w:line="232" w:lineRule="auto" w:before="4"/>
        <w:ind w:left="172" w:right="409" w:firstLine="397"/>
      </w:pPr>
      <w:r>
        <w:rPr>
          <w:color w:val="231F20"/>
        </w:rPr>
        <w:t>Основна превентивна мера у поступку издавања грађевинске дозволе за реконструкцију и новопланиране објекте је целовито сагледавање процена опасности објеката и </w:t>
      </w:r>
      <w:r>
        <w:rPr>
          <w:color w:val="231F20"/>
          <w:spacing w:val="-3"/>
        </w:rPr>
        <w:t>околног </w:t>
      </w:r>
      <w:r>
        <w:rPr>
          <w:color w:val="231F20"/>
        </w:rPr>
        <w:t>простора </w:t>
      </w:r>
      <w:r>
        <w:rPr>
          <w:color w:val="231F20"/>
          <w:spacing w:val="-3"/>
        </w:rPr>
        <w:t>од </w:t>
      </w:r>
      <w:r>
        <w:rPr>
          <w:color w:val="231F20"/>
        </w:rPr>
        <w:t>могућих</w:t>
      </w:r>
      <w:r>
        <w:rPr>
          <w:color w:val="231F20"/>
          <w:spacing w:val="-9"/>
        </w:rPr>
        <w:t> </w:t>
      </w:r>
      <w:r>
        <w:rPr>
          <w:color w:val="231F20"/>
        </w:rPr>
        <w:t>удеса</w:t>
      </w:r>
      <w:r>
        <w:rPr>
          <w:color w:val="231F20"/>
          <w:spacing w:val="-9"/>
        </w:rPr>
        <w:t> </w:t>
      </w:r>
      <w:r>
        <w:rPr>
          <w:color w:val="231F20"/>
        </w:rPr>
        <w:t>и</w:t>
      </w:r>
      <w:r>
        <w:rPr>
          <w:color w:val="231F20"/>
          <w:spacing w:val="-9"/>
        </w:rPr>
        <w:t> </w:t>
      </w:r>
      <w:r>
        <w:rPr>
          <w:color w:val="231F20"/>
        </w:rPr>
        <w:t>прописати</w:t>
      </w:r>
      <w:r>
        <w:rPr>
          <w:color w:val="231F20"/>
          <w:spacing w:val="-9"/>
        </w:rPr>
        <w:t> </w:t>
      </w:r>
      <w:r>
        <w:rPr>
          <w:color w:val="231F20"/>
        </w:rPr>
        <w:t>неопходне</w:t>
      </w:r>
      <w:r>
        <w:rPr>
          <w:color w:val="231F20"/>
          <w:spacing w:val="-9"/>
        </w:rPr>
        <w:t> </w:t>
      </w:r>
      <w:r>
        <w:rPr>
          <w:color w:val="231F20"/>
        </w:rPr>
        <w:t>мере</w:t>
      </w:r>
      <w:r>
        <w:rPr>
          <w:color w:val="231F20"/>
          <w:spacing w:val="-9"/>
        </w:rPr>
        <w:t> </w:t>
      </w:r>
      <w:r>
        <w:rPr>
          <w:color w:val="231F20"/>
        </w:rPr>
        <w:t>заштите,</w:t>
      </w:r>
      <w:r>
        <w:rPr>
          <w:color w:val="231F20"/>
          <w:spacing w:val="-9"/>
        </w:rPr>
        <w:t> </w:t>
      </w:r>
      <w:r>
        <w:rPr>
          <w:color w:val="231F20"/>
        </w:rPr>
        <w:t>ради</w:t>
      </w:r>
      <w:r>
        <w:rPr>
          <w:color w:val="231F20"/>
          <w:spacing w:val="-9"/>
        </w:rPr>
        <w:t> </w:t>
      </w:r>
      <w:r>
        <w:rPr>
          <w:color w:val="231F20"/>
        </w:rPr>
        <w:t>заштите </w:t>
      </w:r>
      <w:r>
        <w:rPr>
          <w:color w:val="231F20"/>
          <w:spacing w:val="-4"/>
        </w:rPr>
        <w:t>људи </w:t>
      </w:r>
      <w:r>
        <w:rPr>
          <w:color w:val="231F20"/>
        </w:rPr>
        <w:t>и материјалних добара, према Закону о безбедности и здра- вљу на раду („Службени гласник РС”, број 101/05) као и правила понашања у конкретним</w:t>
      </w:r>
      <w:r>
        <w:rPr>
          <w:color w:val="231F20"/>
          <w:spacing w:val="-4"/>
        </w:rPr>
        <w:t> </w:t>
      </w:r>
      <w:r>
        <w:rPr>
          <w:color w:val="231F20"/>
        </w:rPr>
        <w:t>условима.</w:t>
      </w:r>
    </w:p>
    <w:p>
      <w:pPr>
        <w:pStyle w:val="ListParagraph"/>
        <w:numPr>
          <w:ilvl w:val="2"/>
          <w:numId w:val="57"/>
        </w:numPr>
        <w:tabs>
          <w:tab w:pos="1773" w:val="left" w:leader="none"/>
        </w:tabs>
        <w:spacing w:line="240" w:lineRule="auto" w:before="170" w:after="0"/>
        <w:ind w:left="1772" w:right="0" w:hanging="450"/>
        <w:jc w:val="left"/>
        <w:rPr>
          <w:sz w:val="18"/>
        </w:rPr>
      </w:pPr>
      <w:r>
        <w:rPr>
          <w:color w:val="231F20"/>
          <w:spacing w:val="13"/>
          <w:sz w:val="18"/>
        </w:rPr>
        <w:t>Мере </w:t>
      </w:r>
      <w:r>
        <w:rPr>
          <w:color w:val="231F20"/>
          <w:spacing w:val="16"/>
          <w:sz w:val="18"/>
        </w:rPr>
        <w:t>заштите </w:t>
      </w:r>
      <w:r>
        <w:rPr>
          <w:color w:val="231F20"/>
          <w:spacing w:val="6"/>
          <w:sz w:val="18"/>
        </w:rPr>
        <w:t>од</w:t>
      </w:r>
      <w:r>
        <w:rPr>
          <w:color w:val="231F20"/>
          <w:spacing w:val="40"/>
          <w:sz w:val="18"/>
        </w:rPr>
        <w:t> </w:t>
      </w:r>
      <w:r>
        <w:rPr>
          <w:color w:val="231F20"/>
          <w:spacing w:val="15"/>
          <w:sz w:val="18"/>
        </w:rPr>
        <w:t>пожара</w:t>
      </w:r>
    </w:p>
    <w:p>
      <w:pPr>
        <w:pStyle w:val="BodyText"/>
        <w:spacing w:before="5"/>
        <w:ind w:left="0"/>
        <w:jc w:val="left"/>
        <w:rPr>
          <w:sz w:val="17"/>
        </w:rPr>
      </w:pPr>
    </w:p>
    <w:p>
      <w:pPr>
        <w:pStyle w:val="BodyText"/>
        <w:spacing w:line="232" w:lineRule="auto"/>
        <w:ind w:left="172" w:right="410" w:firstLine="397"/>
      </w:pPr>
      <w:r>
        <w:rPr>
          <w:color w:val="231F20"/>
          <w:spacing w:val="-4"/>
        </w:rPr>
        <w:t>Приликом </w:t>
      </w:r>
      <w:r>
        <w:rPr>
          <w:color w:val="231F20"/>
        </w:rPr>
        <w:t>постављања </w:t>
      </w:r>
      <w:r>
        <w:rPr>
          <w:color w:val="231F20"/>
          <w:spacing w:val="-3"/>
        </w:rPr>
        <w:t>концепције </w:t>
      </w:r>
      <w:r>
        <w:rPr>
          <w:color w:val="231F20"/>
        </w:rPr>
        <w:t>заштите </w:t>
      </w:r>
      <w:r>
        <w:rPr>
          <w:color w:val="231F20"/>
          <w:spacing w:val="-4"/>
        </w:rPr>
        <w:t>од </w:t>
      </w:r>
      <w:r>
        <w:rPr>
          <w:color w:val="231F20"/>
          <w:spacing w:val="-3"/>
        </w:rPr>
        <w:t>пожара </w:t>
      </w:r>
      <w:r>
        <w:rPr>
          <w:color w:val="231F20"/>
        </w:rPr>
        <w:t>на гра- </w:t>
      </w:r>
      <w:r>
        <w:rPr>
          <w:color w:val="231F20"/>
          <w:spacing w:val="-3"/>
        </w:rPr>
        <w:t>дилишту</w:t>
      </w:r>
      <w:r>
        <w:rPr>
          <w:color w:val="231F20"/>
          <w:spacing w:val="-14"/>
        </w:rPr>
        <w:t> </w:t>
      </w:r>
      <w:r>
        <w:rPr>
          <w:color w:val="231F20"/>
        </w:rPr>
        <w:t>за</w:t>
      </w:r>
      <w:r>
        <w:rPr>
          <w:color w:val="231F20"/>
          <w:spacing w:val="-14"/>
        </w:rPr>
        <w:t> </w:t>
      </w:r>
      <w:r>
        <w:rPr>
          <w:color w:val="231F20"/>
        </w:rPr>
        <w:t>време</w:t>
      </w:r>
      <w:r>
        <w:rPr>
          <w:color w:val="231F20"/>
          <w:spacing w:val="-14"/>
        </w:rPr>
        <w:t> </w:t>
      </w:r>
      <w:r>
        <w:rPr>
          <w:color w:val="231F20"/>
        </w:rPr>
        <w:t>изградње</w:t>
      </w:r>
      <w:r>
        <w:rPr>
          <w:color w:val="231F20"/>
          <w:spacing w:val="-14"/>
        </w:rPr>
        <w:t> </w:t>
      </w:r>
      <w:r>
        <w:rPr>
          <w:color w:val="231F20"/>
        </w:rPr>
        <w:t>треба</w:t>
      </w:r>
      <w:r>
        <w:rPr>
          <w:color w:val="231F20"/>
          <w:spacing w:val="-14"/>
        </w:rPr>
        <w:t> </w:t>
      </w:r>
      <w:r>
        <w:rPr>
          <w:color w:val="231F20"/>
        </w:rPr>
        <w:t>поћи</w:t>
      </w:r>
      <w:r>
        <w:rPr>
          <w:color w:val="231F20"/>
          <w:spacing w:val="-14"/>
        </w:rPr>
        <w:t> </w:t>
      </w:r>
      <w:r>
        <w:rPr>
          <w:color w:val="231F20"/>
          <w:spacing w:val="-4"/>
        </w:rPr>
        <w:t>од</w:t>
      </w:r>
      <w:r>
        <w:rPr>
          <w:color w:val="231F20"/>
          <w:spacing w:val="-14"/>
        </w:rPr>
        <w:t> </w:t>
      </w:r>
      <w:r>
        <w:rPr>
          <w:color w:val="231F20"/>
          <w:spacing w:val="-3"/>
        </w:rPr>
        <w:t>следеће</w:t>
      </w:r>
      <w:r>
        <w:rPr>
          <w:color w:val="231F20"/>
          <w:spacing w:val="-14"/>
        </w:rPr>
        <w:t> </w:t>
      </w:r>
      <w:r>
        <w:rPr>
          <w:color w:val="231F20"/>
        </w:rPr>
        <w:t>битних</w:t>
      </w:r>
      <w:r>
        <w:rPr>
          <w:color w:val="231F20"/>
          <w:spacing w:val="-14"/>
        </w:rPr>
        <w:t> </w:t>
      </w:r>
      <w:r>
        <w:rPr>
          <w:color w:val="231F20"/>
        </w:rPr>
        <w:t>елемента:</w:t>
      </w:r>
    </w:p>
    <w:p>
      <w:pPr>
        <w:pStyle w:val="BodyText"/>
        <w:spacing w:line="232" w:lineRule="auto" w:before="2"/>
        <w:ind w:left="172" w:right="410" w:firstLine="396"/>
      </w:pPr>
      <w:r>
        <w:rPr>
          <w:color w:val="231F20"/>
          <w:w w:val="66"/>
        </w:rPr>
        <w:t> </w:t>
      </w:r>
      <w:r>
        <w:rPr>
          <w:color w:val="231F20"/>
        </w:rPr>
        <w:t>– поступци при демонтажи и монтажи елемената старе тран- спортне траке,</w:t>
      </w:r>
    </w:p>
    <w:p>
      <w:pPr>
        <w:pStyle w:val="BodyText"/>
        <w:spacing w:line="200" w:lineRule="exact"/>
        <w:ind w:left="569"/>
        <w:jc w:val="left"/>
      </w:pPr>
      <w:r>
        <w:rPr>
          <w:color w:val="231F20"/>
          <w:w w:val="66"/>
        </w:rPr>
        <w:t> </w:t>
      </w:r>
      <w:r>
        <w:rPr>
          <w:color w:val="231F20"/>
        </w:rPr>
        <w:t>– присуство запаљивих и других опасних материја дуж трасе и</w:t>
      </w:r>
    </w:p>
    <w:p>
      <w:pPr>
        <w:pStyle w:val="BodyText"/>
        <w:spacing w:line="201" w:lineRule="exact"/>
        <w:ind w:left="569"/>
        <w:jc w:val="left"/>
      </w:pPr>
      <w:r>
        <w:rPr>
          <w:color w:val="231F20"/>
          <w:w w:val="66"/>
        </w:rPr>
        <w:t> </w:t>
      </w:r>
      <w:r>
        <w:rPr>
          <w:color w:val="231F20"/>
        </w:rPr>
        <w:t>– присуство извора паљења дуж трасе.</w:t>
      </w:r>
    </w:p>
    <w:p>
      <w:pPr>
        <w:pStyle w:val="BodyText"/>
        <w:spacing w:line="232" w:lineRule="auto" w:before="2"/>
        <w:ind w:left="172" w:right="410" w:firstLine="397"/>
      </w:pPr>
      <w:r>
        <w:rPr>
          <w:color w:val="231F20"/>
        </w:rPr>
        <w:t>Ради заштите од пожара објекти морају бити реализовани према одговарајућим техничким противпожарним прописима, стандардима и нормативима:</w:t>
      </w:r>
    </w:p>
    <w:p>
      <w:pPr>
        <w:pStyle w:val="BodyText"/>
        <w:spacing w:line="232" w:lineRule="auto" w:before="2"/>
        <w:ind w:left="172" w:right="410" w:firstLine="396"/>
      </w:pPr>
      <w:r>
        <w:rPr>
          <w:color w:val="231F20"/>
          <w:w w:val="66"/>
        </w:rPr>
        <w:t> </w:t>
      </w:r>
      <w:r>
        <w:rPr>
          <w:color w:val="231F20"/>
        </w:rPr>
        <w:t>– објекти морају бити реализовани у складу са Законом о за- штити од пожара („Службени гласник РС”, број 111/09),</w:t>
      </w:r>
    </w:p>
    <w:p>
      <w:pPr>
        <w:pStyle w:val="BodyText"/>
        <w:spacing w:line="232" w:lineRule="auto" w:before="1"/>
        <w:ind w:left="171" w:right="410" w:firstLine="397"/>
      </w:pPr>
      <w:r>
        <w:rPr>
          <w:color w:val="231F20"/>
          <w:w w:val="66"/>
        </w:rPr>
        <w:t> </w:t>
      </w:r>
      <w:r>
        <w:rPr>
          <w:color w:val="231F20"/>
        </w:rPr>
        <w:t>– објектима мора бити обезбеђен приступни пут за ватрога- сна возила, сходно Правилнику о техничким нормативима за при- ступне путеве („Службени лист СРЈ”, број 8/95),</w:t>
      </w:r>
    </w:p>
    <w:p>
      <w:pPr>
        <w:pStyle w:val="BodyText"/>
        <w:spacing w:line="232" w:lineRule="auto" w:before="2"/>
        <w:ind w:left="171" w:right="410" w:firstLine="397"/>
      </w:pPr>
      <w:r>
        <w:rPr>
          <w:color w:val="231F20"/>
          <w:w w:val="66"/>
        </w:rPr>
        <w:t> </w:t>
      </w:r>
      <w:r>
        <w:rPr>
          <w:color w:val="231F20"/>
        </w:rPr>
        <w:t>– објекти морају бити реализовани у складу са Одлукама о техничким нормативима за електричне инсталације ниског напо- на („Службени лист СФРЈ”, бр. 53, 54/88 и 28/95), Правилником  о техничким нормативима за заштиту објеката </w:t>
      </w:r>
      <w:r>
        <w:rPr>
          <w:color w:val="231F20"/>
          <w:spacing w:val="-3"/>
        </w:rPr>
        <w:t>од </w:t>
      </w:r>
      <w:r>
        <w:rPr>
          <w:color w:val="231F20"/>
        </w:rPr>
        <w:t>атмосферског пражњења, („Службени лист СРЈ”, број 11/96), Правилником о техничким нормативима за системе за одвођење дима и топлоте насталих у пожару („Службени лист СФРЈ” број 45/85) и Правил- </w:t>
      </w:r>
      <w:r>
        <w:rPr>
          <w:color w:val="231F20"/>
          <w:spacing w:val="-4"/>
        </w:rPr>
        <w:t>ником </w:t>
      </w:r>
      <w:r>
        <w:rPr>
          <w:color w:val="231F20"/>
        </w:rPr>
        <w:t>о техничким нормативима за заштиту складишта </w:t>
      </w:r>
      <w:r>
        <w:rPr>
          <w:color w:val="231F20"/>
          <w:spacing w:val="-3"/>
        </w:rPr>
        <w:t>од </w:t>
      </w:r>
      <w:r>
        <w:rPr>
          <w:color w:val="231F20"/>
        </w:rPr>
        <w:t>пожара и експлозија („Службени лист СФРЈ”, број 24/87)</w:t>
      </w:r>
      <w:r>
        <w:rPr>
          <w:color w:val="231F20"/>
          <w:spacing w:val="-8"/>
        </w:rPr>
        <w:t> </w:t>
      </w:r>
      <w:r>
        <w:rPr>
          <w:color w:val="231F20"/>
        </w:rPr>
        <w:t>и</w:t>
      </w:r>
    </w:p>
    <w:p>
      <w:pPr>
        <w:pStyle w:val="BodyText"/>
        <w:spacing w:line="232" w:lineRule="auto" w:before="6"/>
        <w:ind w:right="411" w:firstLine="397"/>
      </w:pPr>
      <w:r>
        <w:rPr>
          <w:color w:val="231F20"/>
          <w:w w:val="66"/>
        </w:rPr>
        <w:t> </w:t>
      </w:r>
      <w:r>
        <w:rPr>
          <w:color w:val="231F20"/>
        </w:rPr>
        <w:t>– објекти морају бити реализовани у складу са Правилни- </w:t>
      </w:r>
      <w:r>
        <w:rPr>
          <w:color w:val="231F20"/>
          <w:spacing w:val="-5"/>
        </w:rPr>
        <w:t>ком </w:t>
      </w:r>
      <w:r>
        <w:rPr>
          <w:color w:val="231F20"/>
        </w:rPr>
        <w:t>о техничким нормативима за заштиту електроенергетских постројења и уређаја </w:t>
      </w:r>
      <w:r>
        <w:rPr>
          <w:color w:val="231F20"/>
          <w:spacing w:val="-3"/>
        </w:rPr>
        <w:t>од </w:t>
      </w:r>
      <w:r>
        <w:rPr>
          <w:color w:val="231F20"/>
        </w:rPr>
        <w:t>пожара („Службени лист СФРЈ”, број 87/93),</w:t>
      </w:r>
      <w:r>
        <w:rPr>
          <w:color w:val="231F20"/>
          <w:spacing w:val="-7"/>
        </w:rPr>
        <w:t> </w:t>
      </w:r>
      <w:r>
        <w:rPr>
          <w:color w:val="231F20"/>
        </w:rPr>
        <w:t>Правилником</w:t>
      </w:r>
      <w:r>
        <w:rPr>
          <w:color w:val="231F20"/>
          <w:spacing w:val="-7"/>
        </w:rPr>
        <w:t> </w:t>
      </w:r>
      <w:r>
        <w:rPr>
          <w:color w:val="231F20"/>
        </w:rPr>
        <w:t>о</w:t>
      </w:r>
      <w:r>
        <w:rPr>
          <w:color w:val="231F20"/>
          <w:spacing w:val="-7"/>
        </w:rPr>
        <w:t> </w:t>
      </w:r>
      <w:r>
        <w:rPr>
          <w:color w:val="231F20"/>
        </w:rPr>
        <w:t>техничким</w:t>
      </w:r>
      <w:r>
        <w:rPr>
          <w:color w:val="231F20"/>
          <w:spacing w:val="-7"/>
        </w:rPr>
        <w:t> </w:t>
      </w:r>
      <w:r>
        <w:rPr>
          <w:color w:val="231F20"/>
        </w:rPr>
        <w:t>нормативима</w:t>
      </w:r>
      <w:r>
        <w:rPr>
          <w:color w:val="231F20"/>
          <w:spacing w:val="-7"/>
        </w:rPr>
        <w:t> </w:t>
      </w:r>
      <w:r>
        <w:rPr>
          <w:color w:val="231F20"/>
        </w:rPr>
        <w:t>за</w:t>
      </w:r>
      <w:r>
        <w:rPr>
          <w:color w:val="231F20"/>
          <w:spacing w:val="-7"/>
        </w:rPr>
        <w:t> </w:t>
      </w:r>
      <w:r>
        <w:rPr>
          <w:color w:val="231F20"/>
        </w:rPr>
        <w:t>заштиту</w:t>
      </w:r>
      <w:r>
        <w:rPr>
          <w:color w:val="231F20"/>
          <w:spacing w:val="-7"/>
        </w:rPr>
        <w:t> </w:t>
      </w:r>
      <w:r>
        <w:rPr>
          <w:color w:val="231F20"/>
        </w:rPr>
        <w:t>ниско- напонских мрежа и припадајућих трафостаница („Службени лист СФРЈ”,</w:t>
      </w:r>
      <w:r>
        <w:rPr>
          <w:color w:val="231F20"/>
          <w:spacing w:val="-8"/>
        </w:rPr>
        <w:t> </w:t>
      </w:r>
      <w:r>
        <w:rPr>
          <w:color w:val="231F20"/>
        </w:rPr>
        <w:t>број</w:t>
      </w:r>
      <w:r>
        <w:rPr>
          <w:color w:val="231F20"/>
          <w:spacing w:val="-8"/>
        </w:rPr>
        <w:t> </w:t>
      </w:r>
      <w:r>
        <w:rPr>
          <w:color w:val="231F20"/>
        </w:rPr>
        <w:t>13/78)</w:t>
      </w:r>
      <w:r>
        <w:rPr>
          <w:color w:val="231F20"/>
          <w:spacing w:val="-8"/>
        </w:rPr>
        <w:t> </w:t>
      </w:r>
      <w:r>
        <w:rPr>
          <w:color w:val="231F20"/>
        </w:rPr>
        <w:t>и</w:t>
      </w:r>
      <w:r>
        <w:rPr>
          <w:color w:val="231F20"/>
          <w:spacing w:val="-8"/>
        </w:rPr>
        <w:t> </w:t>
      </w:r>
      <w:r>
        <w:rPr>
          <w:color w:val="231F20"/>
        </w:rPr>
        <w:t>Правилником</w:t>
      </w:r>
      <w:r>
        <w:rPr>
          <w:color w:val="231F20"/>
          <w:spacing w:val="-8"/>
        </w:rPr>
        <w:t> </w:t>
      </w:r>
      <w:r>
        <w:rPr>
          <w:color w:val="231F20"/>
        </w:rPr>
        <w:t>о</w:t>
      </w:r>
      <w:r>
        <w:rPr>
          <w:color w:val="231F20"/>
          <w:spacing w:val="-8"/>
        </w:rPr>
        <w:t> </w:t>
      </w:r>
      <w:r>
        <w:rPr>
          <w:color w:val="231F20"/>
        </w:rPr>
        <w:t>изменама</w:t>
      </w:r>
      <w:r>
        <w:rPr>
          <w:color w:val="231F20"/>
          <w:spacing w:val="-8"/>
        </w:rPr>
        <w:t> </w:t>
      </w:r>
      <w:r>
        <w:rPr>
          <w:color w:val="231F20"/>
        </w:rPr>
        <w:t>и</w:t>
      </w:r>
      <w:r>
        <w:rPr>
          <w:color w:val="231F20"/>
          <w:spacing w:val="-8"/>
        </w:rPr>
        <w:t> </w:t>
      </w:r>
      <w:r>
        <w:rPr>
          <w:color w:val="231F20"/>
        </w:rPr>
        <w:t>допунама</w:t>
      </w:r>
      <w:r>
        <w:rPr>
          <w:color w:val="231F20"/>
          <w:spacing w:val="-8"/>
        </w:rPr>
        <w:t> </w:t>
      </w:r>
      <w:r>
        <w:rPr>
          <w:color w:val="231F20"/>
        </w:rPr>
        <w:t>технич- ких норматива за заштиту нисконапонских мрежа и припадајућих трафостаница („Службени лист СФРЈ”, број</w:t>
      </w:r>
      <w:r>
        <w:rPr>
          <w:color w:val="231F20"/>
          <w:spacing w:val="-5"/>
        </w:rPr>
        <w:t> </w:t>
      </w:r>
      <w:r>
        <w:rPr>
          <w:color w:val="231F20"/>
        </w:rPr>
        <w:t>37/95).</w:t>
      </w:r>
    </w:p>
    <w:p>
      <w:pPr>
        <w:spacing w:before="170"/>
        <w:ind w:left="1615" w:right="0" w:firstLine="0"/>
        <w:jc w:val="left"/>
        <w:rPr>
          <w:i/>
          <w:sz w:val="18"/>
        </w:rPr>
      </w:pPr>
      <w:r>
        <w:rPr>
          <w:i/>
          <w:color w:val="231F20"/>
          <w:sz w:val="18"/>
        </w:rPr>
        <w:t>2.7. Смернице за спровођење</w:t>
      </w:r>
    </w:p>
    <w:p>
      <w:pPr>
        <w:pStyle w:val="BodyText"/>
        <w:spacing w:before="6"/>
        <w:ind w:left="0"/>
        <w:jc w:val="left"/>
        <w:rPr>
          <w:i/>
          <w:sz w:val="17"/>
        </w:rPr>
      </w:pPr>
    </w:p>
    <w:p>
      <w:pPr>
        <w:pStyle w:val="BodyText"/>
        <w:spacing w:line="232" w:lineRule="auto"/>
        <w:ind w:right="411" w:firstLine="396"/>
      </w:pPr>
      <w:r>
        <w:rPr>
          <w:color w:val="231F20"/>
          <w:spacing w:val="-3"/>
        </w:rPr>
        <w:t>Смернице </w:t>
      </w:r>
      <w:r>
        <w:rPr>
          <w:color w:val="231F20"/>
        </w:rPr>
        <w:t>из </w:t>
      </w:r>
      <w:r>
        <w:rPr>
          <w:color w:val="231F20"/>
          <w:spacing w:val="-4"/>
        </w:rPr>
        <w:t>планског </w:t>
      </w:r>
      <w:r>
        <w:rPr>
          <w:color w:val="231F20"/>
          <w:spacing w:val="-3"/>
        </w:rPr>
        <w:t>решења представљају </w:t>
      </w:r>
      <w:r>
        <w:rPr>
          <w:color w:val="231F20"/>
        </w:rPr>
        <w:t>основ за </w:t>
      </w:r>
      <w:r>
        <w:rPr>
          <w:color w:val="231F20"/>
          <w:spacing w:val="-3"/>
        </w:rPr>
        <w:t>парцела- цију </w:t>
      </w:r>
      <w:r>
        <w:rPr>
          <w:color w:val="231F20"/>
        </w:rPr>
        <w:t>и </w:t>
      </w:r>
      <w:r>
        <w:rPr>
          <w:color w:val="231F20"/>
          <w:spacing w:val="-3"/>
        </w:rPr>
        <w:t>прибављање земљишта као </w:t>
      </w:r>
      <w:r>
        <w:rPr>
          <w:color w:val="231F20"/>
        </w:rPr>
        <w:t>и </w:t>
      </w:r>
      <w:r>
        <w:rPr>
          <w:color w:val="231F20"/>
          <w:spacing w:val="-3"/>
        </w:rPr>
        <w:t>добијање </w:t>
      </w:r>
      <w:r>
        <w:rPr>
          <w:color w:val="231F20"/>
          <w:spacing w:val="-4"/>
        </w:rPr>
        <w:t>Информације </w:t>
      </w:r>
      <w:r>
        <w:rPr>
          <w:color w:val="231F20"/>
        </w:rPr>
        <w:t>о </w:t>
      </w:r>
      <w:r>
        <w:rPr>
          <w:color w:val="231F20"/>
          <w:spacing w:val="-3"/>
        </w:rPr>
        <w:t>лока- цији надлежног органа </w:t>
      </w:r>
      <w:r>
        <w:rPr>
          <w:color w:val="231F20"/>
        </w:rPr>
        <w:t>и </w:t>
      </w:r>
      <w:r>
        <w:rPr>
          <w:color w:val="231F20"/>
          <w:spacing w:val="-4"/>
        </w:rPr>
        <w:t>Локацијске дозволе. </w:t>
      </w:r>
      <w:r>
        <w:rPr>
          <w:color w:val="231F20"/>
          <w:spacing w:val="-3"/>
        </w:rPr>
        <w:t>Као основа </w:t>
      </w:r>
      <w:r>
        <w:rPr>
          <w:color w:val="231F20"/>
          <w:spacing w:val="-4"/>
        </w:rPr>
        <w:t>коришћена </w:t>
      </w:r>
      <w:r>
        <w:rPr>
          <w:color w:val="231F20"/>
          <w:spacing w:val="-3"/>
        </w:rPr>
        <w:t>су планска </w:t>
      </w:r>
      <w:r>
        <w:rPr>
          <w:color w:val="231F20"/>
        </w:rPr>
        <w:t>– </w:t>
      </w:r>
      <w:r>
        <w:rPr>
          <w:color w:val="231F20"/>
          <w:spacing w:val="-3"/>
        </w:rPr>
        <w:t>пројектантска решења </w:t>
      </w:r>
      <w:r>
        <w:rPr>
          <w:color w:val="231F20"/>
        </w:rPr>
        <w:t>из </w:t>
      </w:r>
      <w:r>
        <w:rPr>
          <w:color w:val="231F20"/>
          <w:spacing w:val="-3"/>
        </w:rPr>
        <w:t>Идејног пројекта изградње</w:t>
      </w:r>
    </w:p>
    <w:p>
      <w:pPr>
        <w:spacing w:after="0" w:line="232" w:lineRule="auto"/>
        <w:sectPr>
          <w:pgSz w:w="12480" w:h="15690"/>
          <w:pgMar w:top="120" w:bottom="280" w:left="680" w:right="720"/>
          <w:cols w:num="2" w:equalWidth="0">
            <w:col w:w="5315" w:space="70"/>
            <w:col w:w="5695"/>
          </w:cols>
        </w:sectPr>
      </w:pPr>
    </w:p>
    <w:p>
      <w:pPr>
        <w:pStyle w:val="BodyText"/>
        <w:spacing w:line="235" w:lineRule="auto" w:before="71"/>
        <w:ind w:left="453"/>
        <w:jc w:val="left"/>
      </w:pPr>
      <w:r>
        <w:rPr/>
        <w:pict>
          <v:line style="position:absolute;mso-position-horizontal-relative:page;mso-position-vertical-relative:page;z-index:4000" from="318.897614pt,11.942451pt" to="318.897614pt,748.950451pt" stroked="true" strokeweight=".6pt" strokecolor="#231f20">
            <v:stroke dashstyle="solid"/>
            <w10:wrap type="none"/>
          </v:line>
        </w:pict>
      </w:r>
      <w:r>
        <w:rPr>
          <w:color w:val="231F20"/>
          <w:spacing w:val="-4"/>
        </w:rPr>
        <w:t>индустријског колосека од </w:t>
      </w:r>
      <w:r>
        <w:rPr>
          <w:color w:val="231F20"/>
        </w:rPr>
        <w:t>ТЕ </w:t>
      </w:r>
      <w:r>
        <w:rPr>
          <w:color w:val="231F20"/>
          <w:spacing w:val="-4"/>
        </w:rPr>
        <w:t>„Костолац </w:t>
      </w:r>
      <w:r>
        <w:rPr>
          <w:color w:val="231F20"/>
        </w:rPr>
        <w:t>Б” до </w:t>
      </w:r>
      <w:r>
        <w:rPr>
          <w:color w:val="231F20"/>
          <w:spacing w:val="-3"/>
        </w:rPr>
        <w:t>постојеће железнич- </w:t>
      </w:r>
      <w:r>
        <w:rPr>
          <w:color w:val="231F20"/>
          <w:spacing w:val="-4"/>
        </w:rPr>
        <w:t>ке </w:t>
      </w:r>
      <w:r>
        <w:rPr>
          <w:color w:val="231F20"/>
          <w:spacing w:val="-3"/>
        </w:rPr>
        <w:t>мреже </w:t>
      </w:r>
      <w:r>
        <w:rPr>
          <w:color w:val="231F20"/>
        </w:rPr>
        <w:t>за </w:t>
      </w:r>
      <w:r>
        <w:rPr>
          <w:color w:val="231F20"/>
          <w:spacing w:val="-4"/>
        </w:rPr>
        <w:t>потребе </w:t>
      </w:r>
      <w:r>
        <w:rPr>
          <w:color w:val="231F20"/>
        </w:rPr>
        <w:t>ПД </w:t>
      </w:r>
      <w:r>
        <w:rPr>
          <w:color w:val="231F20"/>
          <w:spacing w:val="-3"/>
        </w:rPr>
        <w:t>термоелектране </w:t>
      </w:r>
      <w:r>
        <w:rPr>
          <w:color w:val="231F20"/>
        </w:rPr>
        <w:t>и </w:t>
      </w:r>
      <w:r>
        <w:rPr>
          <w:color w:val="231F20"/>
          <w:spacing w:val="-4"/>
        </w:rPr>
        <w:t>копови Костолац.</w:t>
      </w:r>
    </w:p>
    <w:p>
      <w:pPr>
        <w:pStyle w:val="BodyText"/>
        <w:spacing w:line="235" w:lineRule="auto"/>
        <w:ind w:left="453" w:firstLine="396"/>
      </w:pPr>
      <w:r>
        <w:rPr>
          <w:color w:val="231F20"/>
        </w:rPr>
        <w:t>Кроз следеће нивое разраде планских решења ће се спрово- дити</w:t>
      </w:r>
      <w:r>
        <w:rPr>
          <w:color w:val="231F20"/>
          <w:spacing w:val="-13"/>
        </w:rPr>
        <w:t> </w:t>
      </w:r>
      <w:r>
        <w:rPr>
          <w:color w:val="231F20"/>
        </w:rPr>
        <w:t>Пројектом</w:t>
      </w:r>
      <w:r>
        <w:rPr>
          <w:color w:val="231F20"/>
          <w:spacing w:val="-13"/>
        </w:rPr>
        <w:t> </w:t>
      </w:r>
      <w:r>
        <w:rPr>
          <w:color w:val="231F20"/>
        </w:rPr>
        <w:t>препарцелације</w:t>
      </w:r>
      <w:r>
        <w:rPr>
          <w:color w:val="231F20"/>
          <w:spacing w:val="-13"/>
        </w:rPr>
        <w:t> </w:t>
      </w:r>
      <w:r>
        <w:rPr>
          <w:color w:val="231F20"/>
        </w:rPr>
        <w:t>и</w:t>
      </w:r>
      <w:r>
        <w:rPr>
          <w:color w:val="231F20"/>
          <w:spacing w:val="-13"/>
        </w:rPr>
        <w:t> </w:t>
      </w:r>
      <w:r>
        <w:rPr>
          <w:color w:val="231F20"/>
        </w:rPr>
        <w:t>Пројектом</w:t>
      </w:r>
      <w:r>
        <w:rPr>
          <w:color w:val="231F20"/>
          <w:spacing w:val="-13"/>
        </w:rPr>
        <w:t> </w:t>
      </w:r>
      <w:r>
        <w:rPr>
          <w:color w:val="231F20"/>
        </w:rPr>
        <w:t>геодеског</w:t>
      </w:r>
      <w:r>
        <w:rPr>
          <w:color w:val="231F20"/>
          <w:spacing w:val="-13"/>
        </w:rPr>
        <w:t> </w:t>
      </w:r>
      <w:r>
        <w:rPr>
          <w:color w:val="231F20"/>
        </w:rPr>
        <w:t>обележава- ња као и Идејним и Генералним</w:t>
      </w:r>
      <w:r>
        <w:rPr>
          <w:color w:val="231F20"/>
          <w:spacing w:val="-10"/>
        </w:rPr>
        <w:t> </w:t>
      </w:r>
      <w:r>
        <w:rPr>
          <w:color w:val="231F20"/>
        </w:rPr>
        <w:t>пројектима.</w:t>
      </w:r>
    </w:p>
    <w:p>
      <w:pPr>
        <w:pStyle w:val="BodyText"/>
        <w:spacing w:line="235" w:lineRule="auto"/>
        <w:ind w:left="453" w:firstLine="449"/>
      </w:pPr>
      <w:r>
        <w:rPr>
          <w:color w:val="231F20"/>
        </w:rPr>
        <w:t>Поједини елементи дефинисани у Плану могу се проверити и преиспитати израдом Пројекта парцелације или у поступку екс- пропријације.</w:t>
      </w:r>
    </w:p>
    <w:p>
      <w:pPr>
        <w:pStyle w:val="BodyText"/>
        <w:spacing w:line="235" w:lineRule="auto"/>
        <w:ind w:left="452" w:firstLine="397"/>
      </w:pPr>
      <w:r>
        <w:rPr>
          <w:color w:val="231F20"/>
          <w:spacing w:val="-6"/>
        </w:rPr>
        <w:t>Уколико</w:t>
      </w:r>
      <w:r>
        <w:rPr>
          <w:color w:val="231F20"/>
          <w:spacing w:val="-7"/>
        </w:rPr>
        <w:t> </w:t>
      </w:r>
      <w:r>
        <w:rPr>
          <w:color w:val="231F20"/>
        </w:rPr>
        <w:t>при</w:t>
      </w:r>
      <w:r>
        <w:rPr>
          <w:color w:val="231F20"/>
          <w:spacing w:val="-7"/>
        </w:rPr>
        <w:t> </w:t>
      </w:r>
      <w:r>
        <w:rPr>
          <w:color w:val="231F20"/>
        </w:rPr>
        <w:t>реализацији</w:t>
      </w:r>
      <w:r>
        <w:rPr>
          <w:color w:val="231F20"/>
          <w:spacing w:val="-7"/>
        </w:rPr>
        <w:t> </w:t>
      </w:r>
      <w:r>
        <w:rPr>
          <w:color w:val="231F20"/>
        </w:rPr>
        <w:t>новог</w:t>
      </w:r>
      <w:r>
        <w:rPr>
          <w:color w:val="231F20"/>
          <w:spacing w:val="-7"/>
        </w:rPr>
        <w:t> </w:t>
      </w:r>
      <w:r>
        <w:rPr>
          <w:color w:val="231F20"/>
        </w:rPr>
        <w:t>„БЛОКА</w:t>
      </w:r>
      <w:r>
        <w:rPr>
          <w:color w:val="231F20"/>
          <w:spacing w:val="-7"/>
        </w:rPr>
        <w:t> </w:t>
      </w:r>
      <w:r>
        <w:rPr>
          <w:color w:val="231F20"/>
        </w:rPr>
        <w:t>3”</w:t>
      </w:r>
      <w:r>
        <w:rPr>
          <w:color w:val="231F20"/>
          <w:spacing w:val="-7"/>
        </w:rPr>
        <w:t> </w:t>
      </w:r>
      <w:r>
        <w:rPr>
          <w:color w:val="231F20"/>
        </w:rPr>
        <w:t>дође</w:t>
      </w:r>
      <w:r>
        <w:rPr>
          <w:color w:val="231F20"/>
          <w:spacing w:val="-7"/>
        </w:rPr>
        <w:t> </w:t>
      </w:r>
      <w:r>
        <w:rPr>
          <w:color w:val="231F20"/>
        </w:rPr>
        <w:t>до</w:t>
      </w:r>
      <w:r>
        <w:rPr>
          <w:color w:val="231F20"/>
          <w:spacing w:val="-7"/>
        </w:rPr>
        <w:t> </w:t>
      </w:r>
      <w:r>
        <w:rPr>
          <w:color w:val="231F20"/>
        </w:rPr>
        <w:t>значајни- је </w:t>
      </w:r>
      <w:r>
        <w:rPr>
          <w:color w:val="231F20"/>
          <w:spacing w:val="-3"/>
        </w:rPr>
        <w:t>колизије </w:t>
      </w:r>
      <w:r>
        <w:rPr>
          <w:color w:val="231F20"/>
        </w:rPr>
        <w:t>са решењима из овог планског документа, предвиђа се мања измена и допуна планског</w:t>
      </w:r>
      <w:r>
        <w:rPr>
          <w:color w:val="231F20"/>
          <w:spacing w:val="-8"/>
        </w:rPr>
        <w:t> </w:t>
      </w:r>
      <w:r>
        <w:rPr>
          <w:color w:val="231F20"/>
        </w:rPr>
        <w:t>документа.</w:t>
      </w:r>
    </w:p>
    <w:p>
      <w:pPr>
        <w:pStyle w:val="Heading1"/>
        <w:numPr>
          <w:ilvl w:val="1"/>
          <w:numId w:val="52"/>
        </w:numPr>
        <w:tabs>
          <w:tab w:pos="1248" w:val="left" w:leader="none"/>
        </w:tabs>
        <w:spacing w:line="235" w:lineRule="auto" w:before="160" w:after="0"/>
        <w:ind w:left="1694" w:right="613" w:hanging="627"/>
        <w:jc w:val="left"/>
      </w:pPr>
      <w:r>
        <w:rPr>
          <w:color w:val="231F20"/>
        </w:rPr>
        <w:t>Коридор за транспорт </w:t>
      </w:r>
      <w:r>
        <w:rPr>
          <w:color w:val="231F20"/>
          <w:spacing w:val="-3"/>
        </w:rPr>
        <w:t>рударске</w:t>
      </w:r>
      <w:r>
        <w:rPr>
          <w:color w:val="231F20"/>
          <w:spacing w:val="-25"/>
        </w:rPr>
        <w:t> </w:t>
      </w:r>
      <w:r>
        <w:rPr>
          <w:color w:val="231F20"/>
        </w:rPr>
        <w:t>механизације ПК </w:t>
      </w:r>
      <w:r>
        <w:rPr>
          <w:color w:val="231F20"/>
          <w:spacing w:val="-3"/>
        </w:rPr>
        <w:t>„Ћириковац” </w:t>
      </w:r>
      <w:r>
        <w:rPr>
          <w:color w:val="231F20"/>
        </w:rPr>
        <w:t>– ПК „Дрмно”</w:t>
      </w:r>
    </w:p>
    <w:p>
      <w:pPr>
        <w:pStyle w:val="ListParagraph"/>
        <w:numPr>
          <w:ilvl w:val="2"/>
          <w:numId w:val="52"/>
        </w:numPr>
        <w:tabs>
          <w:tab w:pos="2513" w:val="left" w:leader="none"/>
        </w:tabs>
        <w:spacing w:line="240" w:lineRule="auto" w:before="165" w:after="0"/>
        <w:ind w:left="2512"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5"/>
        <w:ind w:left="0"/>
        <w:jc w:val="left"/>
        <w:rPr>
          <w:i/>
          <w:sz w:val="17"/>
        </w:rPr>
      </w:pPr>
    </w:p>
    <w:p>
      <w:pPr>
        <w:pStyle w:val="BodyText"/>
        <w:spacing w:line="235" w:lineRule="auto"/>
        <w:ind w:left="452" w:firstLine="397"/>
      </w:pPr>
      <w:r>
        <w:rPr>
          <w:color w:val="231F20"/>
        </w:rPr>
        <w:t>Траса коридора је генерално утврђена имајући у виду да по- стоји</w:t>
      </w:r>
      <w:r>
        <w:rPr>
          <w:color w:val="231F20"/>
          <w:spacing w:val="-9"/>
        </w:rPr>
        <w:t> </w:t>
      </w:r>
      <w:r>
        <w:rPr>
          <w:color w:val="231F20"/>
        </w:rPr>
        <w:t>транспортни</w:t>
      </w:r>
      <w:r>
        <w:rPr>
          <w:color w:val="231F20"/>
          <w:spacing w:val="-9"/>
        </w:rPr>
        <w:t> </w:t>
      </w:r>
      <w:r>
        <w:rPr>
          <w:color w:val="231F20"/>
        </w:rPr>
        <w:t>пут</w:t>
      </w:r>
      <w:r>
        <w:rPr>
          <w:color w:val="231F20"/>
          <w:spacing w:val="-9"/>
        </w:rPr>
        <w:t> </w:t>
      </w:r>
      <w:r>
        <w:rPr>
          <w:color w:val="231F20"/>
        </w:rPr>
        <w:t>којим</w:t>
      </w:r>
      <w:r>
        <w:rPr>
          <w:color w:val="231F20"/>
          <w:spacing w:val="-9"/>
        </w:rPr>
        <w:t> </w:t>
      </w:r>
      <w:r>
        <w:rPr>
          <w:color w:val="231F20"/>
        </w:rPr>
        <w:t>се</w:t>
      </w:r>
      <w:r>
        <w:rPr>
          <w:color w:val="231F20"/>
          <w:spacing w:val="-9"/>
        </w:rPr>
        <w:t> </w:t>
      </w:r>
      <w:r>
        <w:rPr>
          <w:color w:val="231F20"/>
        </w:rPr>
        <w:t>и</w:t>
      </w:r>
      <w:r>
        <w:rPr>
          <w:color w:val="231F20"/>
          <w:spacing w:val="-9"/>
        </w:rPr>
        <w:t> </w:t>
      </w:r>
      <w:r>
        <w:rPr>
          <w:color w:val="231F20"/>
        </w:rPr>
        <w:t>раније</w:t>
      </w:r>
      <w:r>
        <w:rPr>
          <w:color w:val="231F20"/>
          <w:spacing w:val="-9"/>
        </w:rPr>
        <w:t> </w:t>
      </w:r>
      <w:r>
        <w:rPr>
          <w:color w:val="231F20"/>
        </w:rPr>
        <w:t>транспортовала</w:t>
      </w:r>
      <w:r>
        <w:rPr>
          <w:color w:val="231F20"/>
          <w:spacing w:val="-9"/>
        </w:rPr>
        <w:t> </w:t>
      </w:r>
      <w:r>
        <w:rPr>
          <w:color w:val="231F20"/>
        </w:rPr>
        <w:t>механиза- ција </w:t>
      </w:r>
      <w:r>
        <w:rPr>
          <w:color w:val="231F20"/>
          <w:spacing w:val="-3"/>
        </w:rPr>
        <w:t>преко </w:t>
      </w:r>
      <w:r>
        <w:rPr>
          <w:color w:val="231F20"/>
        </w:rPr>
        <w:t>реке Млаве, и на којем је решено питање експроприја- ције.</w:t>
      </w:r>
      <w:r>
        <w:rPr>
          <w:color w:val="231F20"/>
          <w:spacing w:val="-5"/>
        </w:rPr>
        <w:t> </w:t>
      </w:r>
      <w:r>
        <w:rPr>
          <w:color w:val="231F20"/>
        </w:rPr>
        <w:t>Планом</w:t>
      </w:r>
      <w:r>
        <w:rPr>
          <w:color w:val="231F20"/>
          <w:spacing w:val="-5"/>
        </w:rPr>
        <w:t> </w:t>
      </w:r>
      <w:r>
        <w:rPr>
          <w:color w:val="231F20"/>
        </w:rPr>
        <w:t>се</w:t>
      </w:r>
      <w:r>
        <w:rPr>
          <w:color w:val="231F20"/>
          <w:spacing w:val="-5"/>
        </w:rPr>
        <w:t> </w:t>
      </w:r>
      <w:r>
        <w:rPr>
          <w:color w:val="231F20"/>
        </w:rPr>
        <w:t>предметни</w:t>
      </w:r>
      <w:r>
        <w:rPr>
          <w:color w:val="231F20"/>
          <w:spacing w:val="-5"/>
        </w:rPr>
        <w:t> </w:t>
      </w:r>
      <w:r>
        <w:rPr>
          <w:color w:val="231F20"/>
        </w:rPr>
        <w:t>коридор</w:t>
      </w:r>
      <w:r>
        <w:rPr>
          <w:color w:val="231F20"/>
          <w:spacing w:val="-5"/>
        </w:rPr>
        <w:t> </w:t>
      </w:r>
      <w:r>
        <w:rPr>
          <w:color w:val="231F20"/>
        </w:rPr>
        <w:t>резервише,</w:t>
      </w:r>
      <w:r>
        <w:rPr>
          <w:color w:val="231F20"/>
          <w:spacing w:val="-5"/>
        </w:rPr>
        <w:t> </w:t>
      </w:r>
      <w:r>
        <w:rPr>
          <w:color w:val="231F20"/>
          <w:spacing w:val="-4"/>
        </w:rPr>
        <w:t>како</w:t>
      </w:r>
      <w:r>
        <w:rPr>
          <w:color w:val="231F20"/>
          <w:spacing w:val="-5"/>
        </w:rPr>
        <w:t> </w:t>
      </w:r>
      <w:r>
        <w:rPr>
          <w:color w:val="231F20"/>
        </w:rPr>
        <w:t>би</w:t>
      </w:r>
      <w:r>
        <w:rPr>
          <w:color w:val="231F20"/>
          <w:spacing w:val="-5"/>
        </w:rPr>
        <w:t> </w:t>
      </w:r>
      <w:r>
        <w:rPr>
          <w:color w:val="231F20"/>
        </w:rPr>
        <w:t>се</w:t>
      </w:r>
      <w:r>
        <w:rPr>
          <w:color w:val="231F20"/>
          <w:spacing w:val="-5"/>
        </w:rPr>
        <w:t> </w:t>
      </w:r>
      <w:r>
        <w:rPr>
          <w:color w:val="231F20"/>
        </w:rPr>
        <w:t>сачувао за </w:t>
      </w:r>
      <w:r>
        <w:rPr>
          <w:color w:val="231F20"/>
          <w:spacing w:val="-4"/>
        </w:rPr>
        <w:t>будуће</w:t>
      </w:r>
      <w:r>
        <w:rPr>
          <w:color w:val="231F20"/>
          <w:spacing w:val="-2"/>
        </w:rPr>
        <w:t> </w:t>
      </w:r>
      <w:r>
        <w:rPr>
          <w:color w:val="231F20"/>
        </w:rPr>
        <w:t>потребе.</w:t>
      </w:r>
    </w:p>
    <w:p>
      <w:pPr>
        <w:pStyle w:val="BodyText"/>
        <w:spacing w:line="235" w:lineRule="auto"/>
        <w:ind w:left="452" w:firstLine="396"/>
      </w:pPr>
      <w:r>
        <w:rPr>
          <w:color w:val="231F20"/>
        </w:rPr>
        <w:t>Основна механизација подразумева роторне багере, </w:t>
      </w:r>
      <w:r>
        <w:rPr>
          <w:color w:val="231F20"/>
          <w:spacing w:val="-3"/>
        </w:rPr>
        <w:t>самоход- </w:t>
      </w:r>
      <w:r>
        <w:rPr>
          <w:color w:val="231F20"/>
        </w:rPr>
        <w:t>ни трачни транспортер и багер дреглајн.</w:t>
      </w:r>
    </w:p>
    <w:p>
      <w:pPr>
        <w:pStyle w:val="BodyText"/>
        <w:spacing w:line="199" w:lineRule="exact"/>
        <w:ind w:left="849"/>
        <w:jc w:val="left"/>
      </w:pPr>
      <w:r>
        <w:rPr>
          <w:color w:val="231F20"/>
        </w:rPr>
        <w:t>Траса коридора је подељена на три деонице:</w:t>
      </w:r>
    </w:p>
    <w:p>
      <w:pPr>
        <w:pStyle w:val="BodyText"/>
        <w:spacing w:line="202" w:lineRule="exact"/>
        <w:ind w:left="849"/>
        <w:jc w:val="left"/>
      </w:pPr>
      <w:r>
        <w:rPr>
          <w:color w:val="231F20"/>
          <w:w w:val="66"/>
        </w:rPr>
        <w:t> </w:t>
      </w:r>
      <w:r>
        <w:rPr>
          <w:color w:val="231F20"/>
        </w:rPr>
        <w:t>–</w:t>
      </w:r>
      <w:r>
        <w:rPr>
          <w:color w:val="231F20"/>
          <w:spacing w:val="-11"/>
        </w:rPr>
        <w:t> </w:t>
      </w:r>
      <w:r>
        <w:rPr>
          <w:color w:val="231F20"/>
        </w:rPr>
        <w:t>деоница</w:t>
      </w:r>
      <w:r>
        <w:rPr>
          <w:color w:val="231F20"/>
          <w:spacing w:val="-11"/>
        </w:rPr>
        <w:t> </w:t>
      </w:r>
      <w:r>
        <w:rPr>
          <w:color w:val="231F20"/>
        </w:rPr>
        <w:t>I:</w:t>
      </w:r>
      <w:r>
        <w:rPr>
          <w:color w:val="231F20"/>
          <w:spacing w:val="-11"/>
        </w:rPr>
        <w:t> </w:t>
      </w:r>
      <w:r>
        <w:rPr>
          <w:color w:val="231F20"/>
          <w:spacing w:val="-4"/>
        </w:rPr>
        <w:t>од</w:t>
      </w:r>
      <w:r>
        <w:rPr>
          <w:color w:val="231F20"/>
          <w:spacing w:val="-11"/>
        </w:rPr>
        <w:t> </w:t>
      </w:r>
      <w:r>
        <w:rPr>
          <w:color w:val="231F20"/>
        </w:rPr>
        <w:t>ПК</w:t>
      </w:r>
      <w:r>
        <w:rPr>
          <w:color w:val="231F20"/>
          <w:spacing w:val="-11"/>
        </w:rPr>
        <w:t> </w:t>
      </w:r>
      <w:r>
        <w:rPr>
          <w:color w:val="231F20"/>
          <w:spacing w:val="-5"/>
        </w:rPr>
        <w:t>„Ћириковац”</w:t>
      </w:r>
      <w:r>
        <w:rPr>
          <w:color w:val="231F20"/>
          <w:spacing w:val="-11"/>
        </w:rPr>
        <w:t> </w:t>
      </w:r>
      <w:r>
        <w:rPr>
          <w:color w:val="231F20"/>
        </w:rPr>
        <w:t>до</w:t>
      </w:r>
      <w:r>
        <w:rPr>
          <w:color w:val="231F20"/>
          <w:spacing w:val="-11"/>
        </w:rPr>
        <w:t> </w:t>
      </w:r>
      <w:r>
        <w:rPr>
          <w:color w:val="231F20"/>
          <w:spacing w:val="-3"/>
        </w:rPr>
        <w:t>реке</w:t>
      </w:r>
      <w:r>
        <w:rPr>
          <w:color w:val="231F20"/>
          <w:spacing w:val="-11"/>
        </w:rPr>
        <w:t> </w:t>
      </w:r>
      <w:r>
        <w:rPr>
          <w:color w:val="231F20"/>
        </w:rPr>
        <w:t>Млаве,</w:t>
      </w:r>
      <w:r>
        <w:rPr>
          <w:color w:val="231F20"/>
          <w:spacing w:val="-11"/>
        </w:rPr>
        <w:t> </w:t>
      </w:r>
      <w:r>
        <w:rPr>
          <w:color w:val="231F20"/>
          <w:spacing w:val="-3"/>
        </w:rPr>
        <w:t>дужине</w:t>
      </w:r>
      <w:r>
        <w:rPr>
          <w:color w:val="231F20"/>
          <w:spacing w:val="-11"/>
        </w:rPr>
        <w:t> </w:t>
      </w:r>
      <w:r>
        <w:rPr>
          <w:color w:val="231F20"/>
        </w:rPr>
        <w:t>695</w:t>
      </w:r>
      <w:r>
        <w:rPr>
          <w:color w:val="231F20"/>
          <w:spacing w:val="-11"/>
        </w:rPr>
        <w:t> </w:t>
      </w:r>
      <w:r>
        <w:rPr>
          <w:color w:val="231F20"/>
        </w:rPr>
        <w:t>m;</w:t>
      </w:r>
    </w:p>
    <w:p>
      <w:pPr>
        <w:pStyle w:val="BodyText"/>
        <w:spacing w:line="235" w:lineRule="auto"/>
        <w:ind w:left="453" w:firstLine="396"/>
      </w:pPr>
      <w:r>
        <w:rPr>
          <w:color w:val="231F20"/>
          <w:w w:val="66"/>
        </w:rPr>
        <w:t> </w:t>
      </w:r>
      <w:r>
        <w:rPr>
          <w:color w:val="231F20"/>
        </w:rPr>
        <w:t>– деоница II: прелазак преко реке Млаве, са изградњом при- временог објекта у кориту реке, дужине око 20 m и</w:t>
      </w:r>
    </w:p>
    <w:p>
      <w:pPr>
        <w:pStyle w:val="BodyText"/>
        <w:spacing w:line="202" w:lineRule="exact"/>
        <w:ind w:left="849"/>
        <w:jc w:val="left"/>
      </w:pPr>
      <w:r>
        <w:rPr>
          <w:color w:val="231F20"/>
          <w:w w:val="66"/>
        </w:rPr>
        <w:t> </w:t>
      </w:r>
      <w:r>
        <w:rPr>
          <w:color w:val="231F20"/>
        </w:rPr>
        <w:t>–</w:t>
      </w:r>
      <w:r>
        <w:rPr>
          <w:color w:val="231F20"/>
          <w:spacing w:val="-10"/>
        </w:rPr>
        <w:t> </w:t>
      </w:r>
      <w:r>
        <w:rPr>
          <w:color w:val="231F20"/>
        </w:rPr>
        <w:t>деоница</w:t>
      </w:r>
      <w:r>
        <w:rPr>
          <w:color w:val="231F20"/>
          <w:spacing w:val="-10"/>
        </w:rPr>
        <w:t> </w:t>
      </w:r>
      <w:r>
        <w:rPr>
          <w:color w:val="231F20"/>
        </w:rPr>
        <w:t>III:</w:t>
      </w:r>
      <w:r>
        <w:rPr>
          <w:color w:val="231F20"/>
          <w:spacing w:val="-10"/>
        </w:rPr>
        <w:t> </w:t>
      </w:r>
      <w:r>
        <w:rPr>
          <w:color w:val="231F20"/>
          <w:spacing w:val="-4"/>
        </w:rPr>
        <w:t>од</w:t>
      </w:r>
      <w:r>
        <w:rPr>
          <w:color w:val="231F20"/>
          <w:spacing w:val="-10"/>
        </w:rPr>
        <w:t> </w:t>
      </w:r>
      <w:r>
        <w:rPr>
          <w:color w:val="231F20"/>
        </w:rPr>
        <w:t>реке</w:t>
      </w:r>
      <w:r>
        <w:rPr>
          <w:color w:val="231F20"/>
          <w:spacing w:val="-10"/>
        </w:rPr>
        <w:t> </w:t>
      </w:r>
      <w:r>
        <w:rPr>
          <w:color w:val="231F20"/>
        </w:rPr>
        <w:t>Млаве</w:t>
      </w:r>
      <w:r>
        <w:rPr>
          <w:color w:val="231F20"/>
          <w:spacing w:val="-10"/>
        </w:rPr>
        <w:t> </w:t>
      </w:r>
      <w:r>
        <w:rPr>
          <w:color w:val="231F20"/>
        </w:rPr>
        <w:t>до</w:t>
      </w:r>
      <w:r>
        <w:rPr>
          <w:color w:val="231F20"/>
          <w:spacing w:val="-10"/>
        </w:rPr>
        <w:t> </w:t>
      </w:r>
      <w:r>
        <w:rPr>
          <w:color w:val="231F20"/>
        </w:rPr>
        <w:t>ПК</w:t>
      </w:r>
      <w:r>
        <w:rPr>
          <w:color w:val="231F20"/>
          <w:spacing w:val="-10"/>
        </w:rPr>
        <w:t> </w:t>
      </w:r>
      <w:r>
        <w:rPr>
          <w:color w:val="231F20"/>
        </w:rPr>
        <w:t>„Дрмно”,</w:t>
      </w:r>
      <w:r>
        <w:rPr>
          <w:color w:val="231F20"/>
          <w:spacing w:val="-10"/>
        </w:rPr>
        <w:t> </w:t>
      </w:r>
      <w:r>
        <w:rPr>
          <w:color w:val="231F20"/>
        </w:rPr>
        <w:t>дужине</w:t>
      </w:r>
      <w:r>
        <w:rPr>
          <w:color w:val="231F20"/>
          <w:spacing w:val="-10"/>
        </w:rPr>
        <w:t> </w:t>
      </w:r>
      <w:r>
        <w:rPr>
          <w:color w:val="231F20"/>
        </w:rPr>
        <w:t>2.650</w:t>
      </w:r>
      <w:r>
        <w:rPr>
          <w:color w:val="231F20"/>
          <w:spacing w:val="-10"/>
        </w:rPr>
        <w:t> </w:t>
      </w:r>
      <w:r>
        <w:rPr>
          <w:color w:val="231F20"/>
        </w:rPr>
        <w:t>m.</w:t>
      </w:r>
    </w:p>
    <w:p>
      <w:pPr>
        <w:pStyle w:val="ListParagraph"/>
        <w:numPr>
          <w:ilvl w:val="2"/>
          <w:numId w:val="52"/>
        </w:numPr>
        <w:tabs>
          <w:tab w:pos="1236" w:val="left" w:leader="none"/>
        </w:tabs>
        <w:spacing w:line="240" w:lineRule="auto" w:before="162" w:after="0"/>
        <w:ind w:left="1235" w:right="0" w:hanging="315"/>
        <w:jc w:val="left"/>
        <w:rPr>
          <w:i/>
          <w:sz w:val="18"/>
        </w:rPr>
      </w:pPr>
      <w:r>
        <w:rPr>
          <w:i/>
          <w:color w:val="231F20"/>
          <w:sz w:val="18"/>
        </w:rPr>
        <w:t>Планирана намена и начин коришћења</w:t>
      </w:r>
      <w:r>
        <w:rPr>
          <w:i/>
          <w:color w:val="231F20"/>
          <w:spacing w:val="-11"/>
          <w:sz w:val="18"/>
        </w:rPr>
        <w:t> </w:t>
      </w:r>
      <w:r>
        <w:rPr>
          <w:i/>
          <w:color w:val="231F20"/>
          <w:sz w:val="18"/>
        </w:rPr>
        <w:t>земљишта</w:t>
      </w:r>
    </w:p>
    <w:p>
      <w:pPr>
        <w:pStyle w:val="ListParagraph"/>
        <w:numPr>
          <w:ilvl w:val="2"/>
          <w:numId w:val="58"/>
        </w:numPr>
        <w:tabs>
          <w:tab w:pos="1034" w:val="left" w:leader="none"/>
        </w:tabs>
        <w:spacing w:line="235" w:lineRule="auto" w:before="168" w:after="0"/>
        <w:ind w:left="2754" w:right="130" w:hanging="2171"/>
        <w:jc w:val="left"/>
        <w:rPr>
          <w:sz w:val="18"/>
        </w:rPr>
      </w:pPr>
      <w:r>
        <w:rPr>
          <w:color w:val="231F20"/>
          <w:spacing w:val="15"/>
          <w:sz w:val="18"/>
        </w:rPr>
        <w:t>Положај коридора </w:t>
      </w:r>
      <w:r>
        <w:rPr>
          <w:color w:val="231F20"/>
          <w:sz w:val="18"/>
        </w:rPr>
        <w:t>и </w:t>
      </w:r>
      <w:r>
        <w:rPr>
          <w:color w:val="231F20"/>
          <w:spacing w:val="15"/>
          <w:sz w:val="18"/>
        </w:rPr>
        <w:t>техничке </w:t>
      </w:r>
      <w:r>
        <w:rPr>
          <w:color w:val="231F20"/>
          <w:spacing w:val="16"/>
          <w:sz w:val="18"/>
        </w:rPr>
        <w:t>карактеристике  </w:t>
      </w:r>
      <w:r>
        <w:rPr>
          <w:color w:val="231F20"/>
          <w:sz w:val="18"/>
        </w:rPr>
        <w:t>т</w:t>
      </w:r>
      <w:r>
        <w:rPr>
          <w:color w:val="231F20"/>
          <w:spacing w:val="-22"/>
          <w:sz w:val="18"/>
        </w:rPr>
        <w:t> </w:t>
      </w:r>
      <w:r>
        <w:rPr>
          <w:color w:val="231F20"/>
          <w:spacing w:val="12"/>
          <w:sz w:val="18"/>
        </w:rPr>
        <w:t>рас</w:t>
      </w:r>
      <w:r>
        <w:rPr>
          <w:color w:val="231F20"/>
          <w:spacing w:val="-22"/>
          <w:sz w:val="18"/>
        </w:rPr>
        <w:t> </w:t>
      </w:r>
      <w:r>
        <w:rPr>
          <w:color w:val="231F20"/>
          <w:sz w:val="18"/>
        </w:rPr>
        <w:t>е</w:t>
      </w:r>
    </w:p>
    <w:p>
      <w:pPr>
        <w:pStyle w:val="BodyText"/>
        <w:spacing w:before="1"/>
        <w:ind w:left="0"/>
        <w:jc w:val="left"/>
        <w:rPr>
          <w:sz w:val="17"/>
        </w:rPr>
      </w:pPr>
    </w:p>
    <w:p>
      <w:pPr>
        <w:spacing w:line="204" w:lineRule="exact" w:before="0"/>
        <w:ind w:left="849" w:right="0" w:firstLine="0"/>
        <w:jc w:val="left"/>
        <w:rPr>
          <w:i/>
          <w:sz w:val="18"/>
        </w:rPr>
      </w:pPr>
      <w:r>
        <w:rPr>
          <w:i/>
          <w:color w:val="231F20"/>
          <w:sz w:val="18"/>
        </w:rPr>
        <w:t>Деоница I: од ПК „Ћириковац” до реке Млаве</w:t>
      </w:r>
    </w:p>
    <w:p>
      <w:pPr>
        <w:pStyle w:val="BodyText"/>
        <w:spacing w:line="235" w:lineRule="auto" w:before="1"/>
        <w:ind w:left="452" w:right="1" w:firstLine="397"/>
      </w:pPr>
      <w:r>
        <w:rPr>
          <w:color w:val="231F20"/>
        </w:rPr>
        <w:t>Према техничким карактеристикама </w:t>
      </w:r>
      <w:r>
        <w:rPr>
          <w:color w:val="231F20"/>
          <w:spacing w:val="-3"/>
        </w:rPr>
        <w:t>рударске </w:t>
      </w:r>
      <w:r>
        <w:rPr>
          <w:color w:val="231F20"/>
        </w:rPr>
        <w:t>механизације и конфигурације терена дефинисани су максимални нагиби тран- спортне равни и то: уздужни нагиб: 1:20 (5%); и попречни нагиб 1:33 (3%).</w:t>
      </w:r>
    </w:p>
    <w:p>
      <w:pPr>
        <w:pStyle w:val="BodyText"/>
        <w:spacing w:line="235" w:lineRule="auto"/>
        <w:ind w:left="451" w:right="1" w:firstLine="397"/>
      </w:pPr>
      <w:r>
        <w:rPr>
          <w:color w:val="231F20"/>
        </w:rPr>
        <w:t>Коридор је потребно резервисати у ширини </w:t>
      </w:r>
      <w:r>
        <w:rPr>
          <w:color w:val="231F20"/>
          <w:spacing w:val="-3"/>
        </w:rPr>
        <w:t>од </w:t>
      </w:r>
      <w:r>
        <w:rPr>
          <w:color w:val="231F20"/>
        </w:rPr>
        <w:t>25 m, </w:t>
      </w:r>
      <w:r>
        <w:rPr>
          <w:color w:val="231F20"/>
          <w:spacing w:val="-4"/>
        </w:rPr>
        <w:t>како </w:t>
      </w:r>
      <w:r>
        <w:rPr>
          <w:color w:val="231F20"/>
        </w:rPr>
        <w:t>би се</w:t>
      </w:r>
      <w:r>
        <w:rPr>
          <w:color w:val="231F20"/>
          <w:spacing w:val="-7"/>
        </w:rPr>
        <w:t> </w:t>
      </w:r>
      <w:r>
        <w:rPr>
          <w:color w:val="231F20"/>
        </w:rPr>
        <w:t>омогућио</w:t>
      </w:r>
      <w:r>
        <w:rPr>
          <w:color w:val="231F20"/>
          <w:spacing w:val="-7"/>
        </w:rPr>
        <w:t> </w:t>
      </w:r>
      <w:r>
        <w:rPr>
          <w:color w:val="231F20"/>
        </w:rPr>
        <w:t>приступ</w:t>
      </w:r>
      <w:r>
        <w:rPr>
          <w:color w:val="231F20"/>
          <w:spacing w:val="-7"/>
        </w:rPr>
        <w:t> </w:t>
      </w:r>
      <w:r>
        <w:rPr>
          <w:color w:val="231F20"/>
        </w:rPr>
        <w:t>помоћној</w:t>
      </w:r>
      <w:r>
        <w:rPr>
          <w:color w:val="231F20"/>
          <w:spacing w:val="-7"/>
        </w:rPr>
        <w:t> </w:t>
      </w:r>
      <w:r>
        <w:rPr>
          <w:color w:val="231F20"/>
        </w:rPr>
        <w:t>механизацији</w:t>
      </w:r>
      <w:r>
        <w:rPr>
          <w:color w:val="231F20"/>
          <w:spacing w:val="-7"/>
        </w:rPr>
        <w:t> </w:t>
      </w:r>
      <w:r>
        <w:rPr>
          <w:color w:val="231F20"/>
        </w:rPr>
        <w:t>у</w:t>
      </w:r>
      <w:r>
        <w:rPr>
          <w:color w:val="231F20"/>
          <w:spacing w:val="-7"/>
        </w:rPr>
        <w:t> </w:t>
      </w:r>
      <w:r>
        <w:rPr>
          <w:color w:val="231F20"/>
        </w:rPr>
        <w:t>случају</w:t>
      </w:r>
      <w:r>
        <w:rPr>
          <w:color w:val="231F20"/>
          <w:spacing w:val="-7"/>
        </w:rPr>
        <w:t> </w:t>
      </w:r>
      <w:r>
        <w:rPr>
          <w:color w:val="231F20"/>
        </w:rPr>
        <w:t>непланира- них</w:t>
      </w:r>
      <w:r>
        <w:rPr>
          <w:color w:val="231F20"/>
          <w:spacing w:val="-2"/>
        </w:rPr>
        <w:t> </w:t>
      </w:r>
      <w:r>
        <w:rPr>
          <w:color w:val="231F20"/>
        </w:rPr>
        <w:t>интервенција.</w:t>
      </w:r>
    </w:p>
    <w:p>
      <w:pPr>
        <w:pStyle w:val="BodyText"/>
        <w:spacing w:line="235" w:lineRule="auto"/>
        <w:ind w:left="451" w:right="1" w:firstLine="396"/>
      </w:pPr>
      <w:r>
        <w:rPr>
          <w:color w:val="231F20"/>
        </w:rPr>
        <w:t>Траса</w:t>
      </w:r>
      <w:r>
        <w:rPr>
          <w:color w:val="231F20"/>
          <w:spacing w:val="-5"/>
        </w:rPr>
        <w:t> </w:t>
      </w:r>
      <w:r>
        <w:rPr>
          <w:color w:val="231F20"/>
        </w:rPr>
        <w:t>се</w:t>
      </w:r>
      <w:r>
        <w:rPr>
          <w:color w:val="231F20"/>
          <w:spacing w:val="-5"/>
        </w:rPr>
        <w:t> </w:t>
      </w:r>
      <w:r>
        <w:rPr>
          <w:color w:val="231F20"/>
        </w:rPr>
        <w:t>пружа</w:t>
      </w:r>
      <w:r>
        <w:rPr>
          <w:color w:val="231F20"/>
          <w:spacing w:val="-5"/>
        </w:rPr>
        <w:t> </w:t>
      </w:r>
      <w:r>
        <w:rPr>
          <w:color w:val="231F20"/>
          <w:spacing w:val="-3"/>
        </w:rPr>
        <w:t>од</w:t>
      </w:r>
      <w:r>
        <w:rPr>
          <w:color w:val="231F20"/>
          <w:spacing w:val="-5"/>
        </w:rPr>
        <w:t> </w:t>
      </w:r>
      <w:r>
        <w:rPr>
          <w:color w:val="231F20"/>
        </w:rPr>
        <w:t>ПК</w:t>
      </w:r>
      <w:r>
        <w:rPr>
          <w:color w:val="231F20"/>
          <w:spacing w:val="-5"/>
        </w:rPr>
        <w:t> </w:t>
      </w:r>
      <w:r>
        <w:rPr>
          <w:color w:val="231F20"/>
          <w:spacing w:val="-3"/>
        </w:rPr>
        <w:t>„Ћириковац”,</w:t>
      </w:r>
      <w:r>
        <w:rPr>
          <w:color w:val="231F20"/>
          <w:spacing w:val="-5"/>
        </w:rPr>
        <w:t> </w:t>
      </w:r>
      <w:r>
        <w:rPr>
          <w:color w:val="231F20"/>
        </w:rPr>
        <w:t>одакле</w:t>
      </w:r>
      <w:r>
        <w:rPr>
          <w:color w:val="231F20"/>
          <w:spacing w:val="-5"/>
        </w:rPr>
        <w:t> </w:t>
      </w:r>
      <w:r>
        <w:rPr>
          <w:color w:val="231F20"/>
        </w:rPr>
        <w:t>се</w:t>
      </w:r>
      <w:r>
        <w:rPr>
          <w:color w:val="231F20"/>
          <w:spacing w:val="-5"/>
        </w:rPr>
        <w:t> </w:t>
      </w:r>
      <w:r>
        <w:rPr>
          <w:color w:val="231F20"/>
        </w:rPr>
        <w:t>користи</w:t>
      </w:r>
      <w:r>
        <w:rPr>
          <w:color w:val="231F20"/>
          <w:spacing w:val="-5"/>
        </w:rPr>
        <w:t> </w:t>
      </w:r>
      <w:r>
        <w:rPr>
          <w:color w:val="231F20"/>
        </w:rPr>
        <w:t>посто- јећа траса пута, </w:t>
      </w:r>
      <w:r>
        <w:rPr>
          <w:color w:val="231F20"/>
          <w:spacing w:val="-3"/>
        </w:rPr>
        <w:t>којом </w:t>
      </w:r>
      <w:r>
        <w:rPr>
          <w:color w:val="231F20"/>
        </w:rPr>
        <w:t>се и ранијих </w:t>
      </w:r>
      <w:r>
        <w:rPr>
          <w:color w:val="231F20"/>
          <w:spacing w:val="-3"/>
        </w:rPr>
        <w:t>година </w:t>
      </w:r>
      <w:r>
        <w:rPr>
          <w:color w:val="231F20"/>
        </w:rPr>
        <w:t>транспортовала механи- зација и води до леве обале реке Млаве. На траси није потребно откопавање јаловине у циљу њеног</w:t>
      </w:r>
      <w:r>
        <w:rPr>
          <w:color w:val="231F20"/>
          <w:spacing w:val="-9"/>
        </w:rPr>
        <w:t> </w:t>
      </w:r>
      <w:r>
        <w:rPr>
          <w:color w:val="231F20"/>
        </w:rPr>
        <w:t>формирања.</w:t>
      </w:r>
    </w:p>
    <w:p>
      <w:pPr>
        <w:pStyle w:val="BodyText"/>
        <w:spacing w:line="235" w:lineRule="auto"/>
        <w:ind w:left="374" w:right="1" w:firstLine="396"/>
        <w:jc w:val="right"/>
      </w:pPr>
      <w:r>
        <w:rPr>
          <w:color w:val="231F20"/>
        </w:rPr>
        <w:t>Приликом преласка механизације преко асфалтног пута пре- ма манастиру Рукумија, неопходно је обезбедити асфалтну подло- гу насипањем довољне количине песка преко парчића гуме. Након преласка механизације пут је потребно довести у првобитно стање.</w:t>
      </w:r>
    </w:p>
    <w:p>
      <w:pPr>
        <w:pStyle w:val="BodyText"/>
        <w:spacing w:line="235" w:lineRule="auto"/>
        <w:ind w:left="451" w:right="1" w:firstLine="397"/>
      </w:pPr>
      <w:r>
        <w:rPr>
          <w:color w:val="231F20"/>
        </w:rPr>
        <w:t>Дуж коридора је потребно обезбедити трасирање напонских каблова који ће служити за пребацивање основне механизације.</w:t>
      </w:r>
    </w:p>
    <w:p>
      <w:pPr>
        <w:spacing w:line="199" w:lineRule="exact" w:before="0"/>
        <w:ind w:left="848" w:right="0" w:firstLine="0"/>
        <w:jc w:val="left"/>
        <w:rPr>
          <w:i/>
          <w:sz w:val="18"/>
        </w:rPr>
      </w:pPr>
      <w:r>
        <w:rPr>
          <w:i/>
          <w:color w:val="231F20"/>
          <w:sz w:val="18"/>
        </w:rPr>
        <w:t>Деоница 2: прелазак преко реке Млаве</w:t>
      </w:r>
    </w:p>
    <w:p>
      <w:pPr>
        <w:pStyle w:val="BodyText"/>
        <w:spacing w:line="235" w:lineRule="auto"/>
        <w:ind w:left="451" w:right="1" w:firstLine="397"/>
      </w:pPr>
      <w:r>
        <w:rPr>
          <w:color w:val="231F20"/>
        </w:rPr>
        <w:t>Природно ушће реке Млаве, које је било неколико киломе- тара низводно, изградњом термоелектране је измештено на дана- шњу локацију. Од ушћа у Дунав до Брадарца је прокопано ново корито Млаве. Траса новог корита пружа се по ободу долине, чи- ме је избегнута изградња двоструких насипа, па је на поменутом сектору изграђен само насип дуж десне обале реке Млаве, што је уједно и успорни дунавски насип.</w:t>
      </w:r>
    </w:p>
    <w:p>
      <w:pPr>
        <w:pStyle w:val="BodyText"/>
        <w:spacing w:line="235" w:lineRule="auto"/>
        <w:ind w:left="451" w:firstLine="397"/>
      </w:pPr>
      <w:r>
        <w:rPr>
          <w:color w:val="231F20"/>
        </w:rPr>
        <w:t>Узводно од прокопаног корита, на левој обали реке Млаве се налази површински коп „Ћириковац”, док се монтажни плац на површинском копу „Дрмно” налази на десној страни.</w:t>
      </w:r>
    </w:p>
    <w:p>
      <w:pPr>
        <w:pStyle w:val="BodyText"/>
        <w:spacing w:line="235" w:lineRule="auto"/>
        <w:ind w:left="451" w:firstLine="397"/>
      </w:pPr>
      <w:r>
        <w:rPr>
          <w:color w:val="231F20"/>
        </w:rPr>
        <w:t>За прелаз рударске механизације преко реке Млаве предвиђа се реализација привременог објекта у зони речног корита. Пред- виђени радови треба да обезбеде сигурност опреме, стабилност обала и корита водотока, као и безбедност приобаља у случају на- иласка таласа велике воде реке Млаве.</w:t>
      </w:r>
    </w:p>
    <w:p>
      <w:pPr>
        <w:pStyle w:val="BodyText"/>
        <w:spacing w:line="235" w:lineRule="auto"/>
        <w:ind w:left="451" w:firstLine="396"/>
      </w:pPr>
      <w:r>
        <w:rPr>
          <w:color w:val="231F20"/>
        </w:rPr>
        <w:t>Предвиђено је да се радови у </w:t>
      </w:r>
      <w:r>
        <w:rPr>
          <w:color w:val="231F20"/>
          <w:spacing w:val="-3"/>
        </w:rPr>
        <w:t>кориту </w:t>
      </w:r>
      <w:r>
        <w:rPr>
          <w:color w:val="231F20"/>
        </w:rPr>
        <w:t>реке Млаве обављају у периоду август – септембар, </w:t>
      </w:r>
      <w:r>
        <w:rPr>
          <w:color w:val="231F20"/>
          <w:spacing w:val="-3"/>
        </w:rPr>
        <w:t>који </w:t>
      </w:r>
      <w:r>
        <w:rPr>
          <w:color w:val="231F20"/>
        </w:rPr>
        <w:t>је оцењен као најповољнији са становишта речног водостаја. Дефинисани период је сасвим дово- љан за реализацију радова и прелаз </w:t>
      </w:r>
      <w:r>
        <w:rPr>
          <w:color w:val="231F20"/>
          <w:spacing w:val="-3"/>
        </w:rPr>
        <w:t>рударске </w:t>
      </w:r>
      <w:r>
        <w:rPr>
          <w:color w:val="231F20"/>
        </w:rPr>
        <w:t>опреме </w:t>
      </w:r>
      <w:r>
        <w:rPr>
          <w:color w:val="231F20"/>
          <w:spacing w:val="-3"/>
        </w:rPr>
        <w:t>преко </w:t>
      </w:r>
      <w:r>
        <w:rPr>
          <w:color w:val="231F20"/>
        </w:rPr>
        <w:t>корита водотока.</w:t>
      </w:r>
    </w:p>
    <w:p>
      <w:pPr>
        <w:pStyle w:val="BodyText"/>
        <w:spacing w:line="232" w:lineRule="auto" w:before="73"/>
        <w:ind w:left="241" w:right="129" w:firstLine="396"/>
      </w:pPr>
      <w:r>
        <w:rPr/>
        <w:br w:type="column"/>
      </w:r>
      <w:r>
        <w:rPr>
          <w:color w:val="231F20"/>
          <w:spacing w:val="-3"/>
        </w:rPr>
        <w:t>Резултати </w:t>
      </w:r>
      <w:r>
        <w:rPr>
          <w:color w:val="231F20"/>
        </w:rPr>
        <w:t>сондажних истраживања и анализа узорака наноса из дна корита спроведених 2003. године, показали су да се у дну корита реке Млаве у профилу прелаза </w:t>
      </w:r>
      <w:r>
        <w:rPr>
          <w:color w:val="231F20"/>
          <w:spacing w:val="-3"/>
        </w:rPr>
        <w:t>рударске </w:t>
      </w:r>
      <w:r>
        <w:rPr>
          <w:color w:val="231F20"/>
        </w:rPr>
        <w:t>опреме налази ма- теријал</w:t>
      </w:r>
      <w:r>
        <w:rPr>
          <w:color w:val="231F20"/>
          <w:spacing w:val="-8"/>
        </w:rPr>
        <w:t> </w:t>
      </w:r>
      <w:r>
        <w:rPr>
          <w:color w:val="231F20"/>
        </w:rPr>
        <w:t>погодан</w:t>
      </w:r>
      <w:r>
        <w:rPr>
          <w:color w:val="231F20"/>
          <w:spacing w:val="-8"/>
        </w:rPr>
        <w:t> </w:t>
      </w:r>
      <w:r>
        <w:rPr>
          <w:color w:val="231F20"/>
        </w:rPr>
        <w:t>као</w:t>
      </w:r>
      <w:r>
        <w:rPr>
          <w:color w:val="231F20"/>
          <w:spacing w:val="-8"/>
        </w:rPr>
        <w:t> </w:t>
      </w:r>
      <w:r>
        <w:rPr>
          <w:color w:val="231F20"/>
        </w:rPr>
        <w:t>подлога</w:t>
      </w:r>
      <w:r>
        <w:rPr>
          <w:color w:val="231F20"/>
          <w:spacing w:val="-8"/>
        </w:rPr>
        <w:t> </w:t>
      </w:r>
      <w:r>
        <w:rPr>
          <w:color w:val="231F20"/>
        </w:rPr>
        <w:t>при</w:t>
      </w:r>
      <w:r>
        <w:rPr>
          <w:color w:val="231F20"/>
          <w:spacing w:val="-8"/>
        </w:rPr>
        <w:t> </w:t>
      </w:r>
      <w:r>
        <w:rPr>
          <w:color w:val="231F20"/>
        </w:rPr>
        <w:t>изради</w:t>
      </w:r>
      <w:r>
        <w:rPr>
          <w:color w:val="231F20"/>
          <w:spacing w:val="-8"/>
        </w:rPr>
        <w:t> </w:t>
      </w:r>
      <w:r>
        <w:rPr>
          <w:color w:val="231F20"/>
        </w:rPr>
        <w:t>предвиђеног</w:t>
      </w:r>
      <w:r>
        <w:rPr>
          <w:color w:val="231F20"/>
          <w:spacing w:val="-8"/>
        </w:rPr>
        <w:t> </w:t>
      </w:r>
      <w:r>
        <w:rPr>
          <w:color w:val="231F20"/>
        </w:rPr>
        <w:t>привременог објекта у </w:t>
      </w:r>
      <w:r>
        <w:rPr>
          <w:color w:val="231F20"/>
          <w:spacing w:val="-5"/>
        </w:rPr>
        <w:t>кориту.</w:t>
      </w:r>
    </w:p>
    <w:p>
      <w:pPr>
        <w:pStyle w:val="BodyText"/>
        <w:spacing w:line="232" w:lineRule="auto"/>
        <w:ind w:left="241" w:right="130" w:firstLine="397"/>
      </w:pPr>
      <w:r>
        <w:rPr>
          <w:color w:val="231F20"/>
        </w:rPr>
        <w:t>Предвиђени објекат у кориту реке Млаве за прелаз рударске опреме је дужине око 20 m, ширине у круни 24 m (потребна ши- рина трасе за кретање рударске опреме) и висине око 3 m. Круна објекта је на коти 73,00 mnm, што су уједно и коте терена леве и десне обале у зони приобаља на траси којом ће се кретати рудар- ска опрема.</w:t>
      </w:r>
    </w:p>
    <w:p>
      <w:pPr>
        <w:pStyle w:val="BodyText"/>
        <w:spacing w:line="232" w:lineRule="auto"/>
        <w:ind w:left="241" w:right="130" w:firstLine="396"/>
      </w:pPr>
      <w:r>
        <w:rPr>
          <w:color w:val="231F20"/>
        </w:rPr>
        <w:t>У привременом објекту се постављају цеви различитих преч- ника (700, 900 и 1.000 mm), </w:t>
      </w:r>
      <w:r>
        <w:rPr>
          <w:color w:val="231F20"/>
          <w:spacing w:val="-3"/>
        </w:rPr>
        <w:t>којима </w:t>
      </w:r>
      <w:r>
        <w:rPr>
          <w:color w:val="231F20"/>
        </w:rPr>
        <w:t>се омогућава несметан проток речног тока </w:t>
      </w:r>
      <w:r>
        <w:rPr>
          <w:color w:val="231F20"/>
          <w:spacing w:val="-4"/>
        </w:rPr>
        <w:t>током </w:t>
      </w:r>
      <w:r>
        <w:rPr>
          <w:color w:val="231F20"/>
        </w:rPr>
        <w:t>транспорта механизације, при пројектованом протоку </w:t>
      </w:r>
      <w:r>
        <w:rPr>
          <w:color w:val="231F20"/>
          <w:spacing w:val="-3"/>
        </w:rPr>
        <w:t>од </w:t>
      </w:r>
      <w:r>
        <w:rPr>
          <w:color w:val="231F20"/>
        </w:rPr>
        <w:t>6 m³/s у разматраном </w:t>
      </w:r>
      <w:r>
        <w:rPr>
          <w:color w:val="231F20"/>
          <w:spacing w:val="-4"/>
        </w:rPr>
        <w:t>периоду. </w:t>
      </w:r>
      <w:r>
        <w:rPr>
          <w:color w:val="231F20"/>
        </w:rPr>
        <w:t>Потребан број и профи- ли цеви биће одређени кроз израду одговарајуће пројектне доку- ментације.</w:t>
      </w:r>
    </w:p>
    <w:p>
      <w:pPr>
        <w:spacing w:line="198" w:lineRule="exact" w:before="0"/>
        <w:ind w:left="638" w:right="0" w:firstLine="0"/>
        <w:jc w:val="left"/>
        <w:rPr>
          <w:i/>
          <w:sz w:val="18"/>
        </w:rPr>
      </w:pPr>
      <w:r>
        <w:rPr>
          <w:i/>
          <w:color w:val="231F20"/>
          <w:sz w:val="18"/>
        </w:rPr>
        <w:t>Деоница 3: од реке Млаве до ПК „Дрмно”</w:t>
      </w:r>
    </w:p>
    <w:p>
      <w:pPr>
        <w:pStyle w:val="BodyText"/>
        <w:spacing w:line="232" w:lineRule="auto" w:before="1"/>
        <w:ind w:left="241" w:right="130" w:firstLine="396"/>
      </w:pPr>
      <w:r>
        <w:rPr>
          <w:color w:val="231F20"/>
        </w:rPr>
        <w:t>Након преласка реке Млаве траса прелази преко асфалтног пута Брадарац – Дрмно – Костолац све до подножја висинске ета- же одлагалишта. Приликом преласка пута потребно је оштећења свести на најмању могућу меру и након завршетка преласка оба- везно извршити неопходне поправке у циљу враћања пута у прво- битно стање.</w:t>
      </w:r>
    </w:p>
    <w:p>
      <w:pPr>
        <w:pStyle w:val="BodyText"/>
        <w:spacing w:line="232" w:lineRule="auto"/>
        <w:ind w:left="241" w:right="129" w:firstLine="396"/>
      </w:pPr>
      <w:r>
        <w:rPr>
          <w:color w:val="231F20"/>
        </w:rPr>
        <w:t>Прелазак </w:t>
      </w:r>
      <w:r>
        <w:rPr>
          <w:color w:val="231F20"/>
          <w:spacing w:val="-3"/>
        </w:rPr>
        <w:t>преко </w:t>
      </w:r>
      <w:r>
        <w:rPr>
          <w:color w:val="231F20"/>
        </w:rPr>
        <w:t>планираног индустријског колосека је по- требно извршити са изузетном пажњом, при чему се мора водити рачуна о очувању стабилности доњег строја пруге, као и елеме- ната горњег строја. </w:t>
      </w:r>
      <w:r>
        <w:rPr>
          <w:color w:val="231F20"/>
          <w:spacing w:val="-7"/>
        </w:rPr>
        <w:t>То </w:t>
      </w:r>
      <w:r>
        <w:rPr>
          <w:color w:val="231F20"/>
        </w:rPr>
        <w:t>се пре свега односи на очување нормалне ширине</w:t>
      </w:r>
      <w:r>
        <w:rPr>
          <w:color w:val="231F20"/>
          <w:spacing w:val="-5"/>
        </w:rPr>
        <w:t> </w:t>
      </w:r>
      <w:r>
        <w:rPr>
          <w:color w:val="231F20"/>
        </w:rPr>
        <w:t>колосека</w:t>
      </w:r>
      <w:r>
        <w:rPr>
          <w:color w:val="231F20"/>
          <w:spacing w:val="-5"/>
        </w:rPr>
        <w:t> </w:t>
      </w:r>
      <w:r>
        <w:rPr>
          <w:color w:val="231F20"/>
          <w:spacing w:val="-3"/>
        </w:rPr>
        <w:t>која</w:t>
      </w:r>
      <w:r>
        <w:rPr>
          <w:color w:val="231F20"/>
          <w:spacing w:val="-5"/>
        </w:rPr>
        <w:t> </w:t>
      </w:r>
      <w:r>
        <w:rPr>
          <w:color w:val="231F20"/>
        </w:rPr>
        <w:t>износи</w:t>
      </w:r>
      <w:r>
        <w:rPr>
          <w:color w:val="231F20"/>
          <w:spacing w:val="-5"/>
        </w:rPr>
        <w:t> </w:t>
      </w:r>
      <w:r>
        <w:rPr>
          <w:color w:val="231F20"/>
        </w:rPr>
        <w:t>1.435</w:t>
      </w:r>
      <w:r>
        <w:rPr>
          <w:color w:val="231F20"/>
          <w:spacing w:val="-5"/>
        </w:rPr>
        <w:t> </w:t>
      </w:r>
      <w:r>
        <w:rPr>
          <w:color w:val="231F20"/>
        </w:rPr>
        <w:t>mm,</w:t>
      </w:r>
      <w:r>
        <w:rPr>
          <w:color w:val="231F20"/>
          <w:spacing w:val="-5"/>
        </w:rPr>
        <w:t> </w:t>
      </w:r>
      <w:r>
        <w:rPr>
          <w:color w:val="231F20"/>
        </w:rPr>
        <w:t>с</w:t>
      </w:r>
      <w:r>
        <w:rPr>
          <w:color w:val="231F20"/>
          <w:spacing w:val="-5"/>
        </w:rPr>
        <w:t> </w:t>
      </w:r>
      <w:r>
        <w:rPr>
          <w:color w:val="231F20"/>
        </w:rPr>
        <w:t>тим</w:t>
      </w:r>
      <w:r>
        <w:rPr>
          <w:color w:val="231F20"/>
          <w:spacing w:val="-5"/>
        </w:rPr>
        <w:t> </w:t>
      </w:r>
      <w:r>
        <w:rPr>
          <w:color w:val="231F20"/>
        </w:rPr>
        <w:t>да</w:t>
      </w:r>
      <w:r>
        <w:rPr>
          <w:color w:val="231F20"/>
          <w:spacing w:val="-5"/>
        </w:rPr>
        <w:t> </w:t>
      </w:r>
      <w:r>
        <w:rPr>
          <w:color w:val="231F20"/>
        </w:rPr>
        <w:t>не</w:t>
      </w:r>
      <w:r>
        <w:rPr>
          <w:color w:val="231F20"/>
          <w:spacing w:val="-5"/>
        </w:rPr>
        <w:t> </w:t>
      </w:r>
      <w:r>
        <w:rPr>
          <w:color w:val="231F20"/>
        </w:rPr>
        <w:t>сме</w:t>
      </w:r>
      <w:r>
        <w:rPr>
          <w:color w:val="231F20"/>
          <w:spacing w:val="-5"/>
        </w:rPr>
        <w:t> </w:t>
      </w:r>
      <w:r>
        <w:rPr>
          <w:color w:val="231F20"/>
        </w:rPr>
        <w:t>бити</w:t>
      </w:r>
      <w:r>
        <w:rPr>
          <w:color w:val="231F20"/>
          <w:spacing w:val="-5"/>
        </w:rPr>
        <w:t> </w:t>
      </w:r>
      <w:r>
        <w:rPr>
          <w:color w:val="231F20"/>
        </w:rPr>
        <w:t>мања </w:t>
      </w:r>
      <w:r>
        <w:rPr>
          <w:color w:val="231F20"/>
          <w:spacing w:val="-3"/>
        </w:rPr>
        <w:t>од </w:t>
      </w:r>
      <w:r>
        <w:rPr>
          <w:color w:val="231F20"/>
        </w:rPr>
        <w:t>1.430 mm ни већа </w:t>
      </w:r>
      <w:r>
        <w:rPr>
          <w:color w:val="231F20"/>
          <w:spacing w:val="-3"/>
        </w:rPr>
        <w:t>од </w:t>
      </w:r>
      <w:r>
        <w:rPr>
          <w:color w:val="231F20"/>
        </w:rPr>
        <w:t>1.470</w:t>
      </w:r>
      <w:r>
        <w:rPr>
          <w:color w:val="231F20"/>
          <w:spacing w:val="3"/>
        </w:rPr>
        <w:t> </w:t>
      </w:r>
      <w:r>
        <w:rPr>
          <w:color w:val="231F20"/>
        </w:rPr>
        <w:t>mm.</w:t>
      </w:r>
    </w:p>
    <w:p>
      <w:pPr>
        <w:pStyle w:val="BodyText"/>
        <w:spacing w:line="232" w:lineRule="auto"/>
        <w:ind w:left="242" w:right="129" w:firstLine="396"/>
      </w:pPr>
      <w:r>
        <w:rPr>
          <w:color w:val="231F20"/>
        </w:rPr>
        <w:t>Након преласка преко индустријског колосека, коридор за транспорт рударске механизације улази у просторну целину ПК</w:t>
      </w:r>
    </w:p>
    <w:p>
      <w:pPr>
        <w:pStyle w:val="BodyText"/>
        <w:spacing w:line="232" w:lineRule="auto"/>
        <w:ind w:left="242" w:hanging="1"/>
        <w:jc w:val="left"/>
      </w:pPr>
      <w:r>
        <w:rPr>
          <w:color w:val="231F20"/>
        </w:rPr>
        <w:t>„Дрмно” и надаље ће се формирати сходно примењеној техноло- гији рада, уз поштовање коридора у ширини од 25 m.</w:t>
      </w:r>
    </w:p>
    <w:p>
      <w:pPr>
        <w:pStyle w:val="BodyText"/>
        <w:spacing w:line="232" w:lineRule="auto"/>
        <w:ind w:left="242" w:right="128" w:firstLine="396"/>
      </w:pPr>
      <w:r>
        <w:rPr>
          <w:color w:val="231F20"/>
        </w:rPr>
        <w:t>Већи део трасе налази се у простору унутрашњег одлагали- шта, </w:t>
      </w:r>
      <w:r>
        <w:rPr>
          <w:color w:val="231F20"/>
          <w:spacing w:val="-3"/>
        </w:rPr>
        <w:t>које </w:t>
      </w:r>
      <w:r>
        <w:rPr>
          <w:color w:val="231F20"/>
        </w:rPr>
        <w:t>је запуњено хетерогеним материјалом одложеним у току откривања угља. Површина одлагалишта прекривена је пескови- тим материјалом. Деоница </w:t>
      </w:r>
      <w:r>
        <w:rPr>
          <w:color w:val="231F20"/>
          <w:spacing w:val="-3"/>
        </w:rPr>
        <w:t>од </w:t>
      </w:r>
      <w:r>
        <w:rPr>
          <w:color w:val="231F20"/>
        </w:rPr>
        <w:t>реке Млаве до подножја висинске етаже одлагалишта састоји се </w:t>
      </w:r>
      <w:r>
        <w:rPr>
          <w:color w:val="231F20"/>
          <w:spacing w:val="-3"/>
        </w:rPr>
        <w:t>од </w:t>
      </w:r>
      <w:r>
        <w:rPr>
          <w:color w:val="231F20"/>
        </w:rPr>
        <w:t>непоремећене здравице прекри- вене високим растињем </w:t>
      </w:r>
      <w:r>
        <w:rPr>
          <w:color w:val="231F20"/>
          <w:spacing w:val="-3"/>
        </w:rPr>
        <w:t>које </w:t>
      </w:r>
      <w:r>
        <w:rPr>
          <w:color w:val="231F20"/>
        </w:rPr>
        <w:t>треба уклонити пре почетка радова на изради</w:t>
      </w:r>
      <w:r>
        <w:rPr>
          <w:color w:val="231F20"/>
          <w:spacing w:val="-1"/>
        </w:rPr>
        <w:t> </w:t>
      </w:r>
      <w:r>
        <w:rPr>
          <w:color w:val="231F20"/>
        </w:rPr>
        <w:t>трасе.</w:t>
      </w:r>
    </w:p>
    <w:p>
      <w:pPr>
        <w:pStyle w:val="BodyText"/>
        <w:spacing w:line="232" w:lineRule="auto"/>
        <w:ind w:left="243" w:right="128" w:firstLine="396"/>
      </w:pPr>
      <w:r>
        <w:rPr>
          <w:color w:val="231F20"/>
        </w:rPr>
        <w:t>У</w:t>
      </w:r>
      <w:r>
        <w:rPr>
          <w:color w:val="231F20"/>
          <w:spacing w:val="-9"/>
        </w:rPr>
        <w:t> </w:t>
      </w:r>
      <w:r>
        <w:rPr>
          <w:color w:val="231F20"/>
        </w:rPr>
        <w:t>циљу</w:t>
      </w:r>
      <w:r>
        <w:rPr>
          <w:color w:val="231F20"/>
          <w:spacing w:val="-9"/>
        </w:rPr>
        <w:t> </w:t>
      </w:r>
      <w:r>
        <w:rPr>
          <w:color w:val="231F20"/>
        </w:rPr>
        <w:t>смештаја</w:t>
      </w:r>
      <w:r>
        <w:rPr>
          <w:color w:val="231F20"/>
          <w:spacing w:val="-9"/>
        </w:rPr>
        <w:t> </w:t>
      </w:r>
      <w:r>
        <w:rPr>
          <w:color w:val="231F20"/>
        </w:rPr>
        <w:t>и</w:t>
      </w:r>
      <w:r>
        <w:rPr>
          <w:color w:val="231F20"/>
          <w:spacing w:val="-9"/>
        </w:rPr>
        <w:t> </w:t>
      </w:r>
      <w:r>
        <w:rPr>
          <w:color w:val="231F20"/>
        </w:rPr>
        <w:t>оправке</w:t>
      </w:r>
      <w:r>
        <w:rPr>
          <w:color w:val="231F20"/>
          <w:spacing w:val="-9"/>
        </w:rPr>
        <w:t> </w:t>
      </w:r>
      <w:r>
        <w:rPr>
          <w:color w:val="231F20"/>
        </w:rPr>
        <w:t>транспортоване</w:t>
      </w:r>
      <w:r>
        <w:rPr>
          <w:color w:val="231F20"/>
          <w:spacing w:val="-9"/>
        </w:rPr>
        <w:t> </w:t>
      </w:r>
      <w:r>
        <w:rPr>
          <w:color w:val="231F20"/>
        </w:rPr>
        <w:t>механизације</w:t>
      </w:r>
      <w:r>
        <w:rPr>
          <w:color w:val="231F20"/>
          <w:spacing w:val="-9"/>
        </w:rPr>
        <w:t> </w:t>
      </w:r>
      <w:r>
        <w:rPr>
          <w:color w:val="231F20"/>
        </w:rPr>
        <w:t>по- требно је резервисати простор за платое на </w:t>
      </w:r>
      <w:r>
        <w:rPr>
          <w:color w:val="231F20"/>
          <w:spacing w:val="-3"/>
        </w:rPr>
        <w:t>којима </w:t>
      </w:r>
      <w:r>
        <w:rPr>
          <w:color w:val="231F20"/>
        </w:rPr>
        <w:t>ће се изврши- ти постављање помоћне механизације за рад. Димензије платоа су 200 х 160 m.</w:t>
      </w:r>
    </w:p>
    <w:p>
      <w:pPr>
        <w:pStyle w:val="ListParagraph"/>
        <w:numPr>
          <w:ilvl w:val="2"/>
          <w:numId w:val="58"/>
        </w:numPr>
        <w:tabs>
          <w:tab w:pos="1240" w:val="left" w:leader="none"/>
        </w:tabs>
        <w:spacing w:line="232" w:lineRule="auto" w:before="168" w:after="0"/>
        <w:ind w:left="699" w:right="584" w:firstLine="90"/>
        <w:jc w:val="left"/>
        <w:rPr>
          <w:sz w:val="18"/>
        </w:rPr>
      </w:pPr>
      <w:r>
        <w:rPr>
          <w:color w:val="231F20"/>
          <w:spacing w:val="15"/>
          <w:sz w:val="18"/>
        </w:rPr>
        <w:t>Основи </w:t>
      </w:r>
      <w:r>
        <w:rPr>
          <w:color w:val="231F20"/>
          <w:spacing w:val="17"/>
          <w:sz w:val="18"/>
        </w:rPr>
        <w:t>парцелације,  препарцелације </w:t>
      </w:r>
      <w:r>
        <w:rPr>
          <w:color w:val="231F20"/>
          <w:sz w:val="18"/>
        </w:rPr>
        <w:t>и </w:t>
      </w:r>
      <w:r>
        <w:rPr>
          <w:color w:val="231F20"/>
          <w:spacing w:val="16"/>
          <w:sz w:val="18"/>
        </w:rPr>
        <w:t>исправке границе парцела</w:t>
      </w:r>
      <w:r>
        <w:rPr>
          <w:color w:val="231F20"/>
          <w:spacing w:val="37"/>
          <w:sz w:val="18"/>
        </w:rPr>
        <w:t> </w:t>
      </w:r>
      <w:r>
        <w:rPr>
          <w:color w:val="231F20"/>
          <w:spacing w:val="10"/>
          <w:sz w:val="18"/>
        </w:rPr>
        <w:t>за </w:t>
      </w:r>
      <w:r>
        <w:rPr>
          <w:color w:val="231F20"/>
          <w:spacing w:val="17"/>
          <w:sz w:val="18"/>
        </w:rPr>
        <w:t>прибављање</w:t>
      </w:r>
    </w:p>
    <w:p>
      <w:pPr>
        <w:pStyle w:val="BodyText"/>
        <w:spacing w:line="202" w:lineRule="exact"/>
        <w:ind w:left="535" w:right="423"/>
        <w:jc w:val="center"/>
      </w:pPr>
      <w:r>
        <w:rPr>
          <w:color w:val="231F20"/>
        </w:rPr>
        <w:t>земљишт а</w:t>
      </w:r>
    </w:p>
    <w:p>
      <w:pPr>
        <w:pStyle w:val="BodyText"/>
        <w:spacing w:before="4"/>
        <w:ind w:left="0"/>
        <w:jc w:val="left"/>
        <w:rPr>
          <w:sz w:val="17"/>
        </w:rPr>
      </w:pPr>
    </w:p>
    <w:p>
      <w:pPr>
        <w:pStyle w:val="BodyText"/>
        <w:spacing w:line="232" w:lineRule="auto"/>
        <w:ind w:left="242" w:right="128" w:firstLine="397"/>
      </w:pPr>
      <w:r>
        <w:rPr>
          <w:color w:val="231F20"/>
        </w:rPr>
        <w:t>Овим документом дефинишу се се општа правила и услови парцелације, регулације и изградње, </w:t>
      </w:r>
      <w:r>
        <w:rPr>
          <w:color w:val="231F20"/>
          <w:spacing w:val="-3"/>
        </w:rPr>
        <w:t>којима </w:t>
      </w:r>
      <w:r>
        <w:rPr>
          <w:color w:val="231F20"/>
        </w:rPr>
        <w:t>се оквирно одређује величина,</w:t>
      </w:r>
      <w:r>
        <w:rPr>
          <w:color w:val="231F20"/>
          <w:spacing w:val="-8"/>
        </w:rPr>
        <w:t> </w:t>
      </w:r>
      <w:r>
        <w:rPr>
          <w:color w:val="231F20"/>
        </w:rPr>
        <w:t>облик</w:t>
      </w:r>
      <w:r>
        <w:rPr>
          <w:color w:val="231F20"/>
          <w:spacing w:val="-7"/>
        </w:rPr>
        <w:t> </w:t>
      </w:r>
      <w:r>
        <w:rPr>
          <w:color w:val="231F20"/>
        </w:rPr>
        <w:t>и</w:t>
      </w:r>
      <w:r>
        <w:rPr>
          <w:color w:val="231F20"/>
          <w:spacing w:val="-8"/>
        </w:rPr>
        <w:t> </w:t>
      </w:r>
      <w:r>
        <w:rPr>
          <w:color w:val="231F20"/>
        </w:rPr>
        <w:t>површина</w:t>
      </w:r>
      <w:r>
        <w:rPr>
          <w:color w:val="231F20"/>
          <w:spacing w:val="-8"/>
        </w:rPr>
        <w:t> </w:t>
      </w:r>
      <w:r>
        <w:rPr>
          <w:color w:val="231F20"/>
        </w:rPr>
        <w:t>парцеле</w:t>
      </w:r>
      <w:r>
        <w:rPr>
          <w:color w:val="231F20"/>
          <w:spacing w:val="-7"/>
        </w:rPr>
        <w:t> </w:t>
      </w:r>
      <w:r>
        <w:rPr>
          <w:color w:val="231F20"/>
          <w:spacing w:val="-3"/>
        </w:rPr>
        <w:t>која</w:t>
      </w:r>
      <w:r>
        <w:rPr>
          <w:color w:val="231F20"/>
          <w:spacing w:val="-8"/>
        </w:rPr>
        <w:t> </w:t>
      </w:r>
      <w:r>
        <w:rPr>
          <w:color w:val="231F20"/>
        </w:rPr>
        <w:t>се</w:t>
      </w:r>
      <w:r>
        <w:rPr>
          <w:color w:val="231F20"/>
          <w:spacing w:val="-7"/>
        </w:rPr>
        <w:t> </w:t>
      </w:r>
      <w:r>
        <w:rPr>
          <w:color w:val="231F20"/>
        </w:rPr>
        <w:t>формира</w:t>
      </w:r>
      <w:r>
        <w:rPr>
          <w:color w:val="231F20"/>
          <w:spacing w:val="-7"/>
        </w:rPr>
        <w:t> </w:t>
      </w:r>
      <w:r>
        <w:rPr>
          <w:color w:val="231F20"/>
        </w:rPr>
        <w:t>и</w:t>
      </w:r>
      <w:r>
        <w:rPr>
          <w:color w:val="231F20"/>
          <w:spacing w:val="-8"/>
        </w:rPr>
        <w:t> </w:t>
      </w:r>
      <w:r>
        <w:rPr>
          <w:color w:val="231F20"/>
        </w:rPr>
        <w:t>начин</w:t>
      </w:r>
      <w:r>
        <w:rPr>
          <w:color w:val="231F20"/>
          <w:spacing w:val="-7"/>
        </w:rPr>
        <w:t> </w:t>
      </w:r>
      <w:r>
        <w:rPr>
          <w:color w:val="231F20"/>
        </w:rPr>
        <w:t>уре- ђења</w:t>
      </w:r>
      <w:r>
        <w:rPr>
          <w:color w:val="231F20"/>
          <w:spacing w:val="-2"/>
        </w:rPr>
        <w:t> </w:t>
      </w:r>
      <w:r>
        <w:rPr>
          <w:color w:val="231F20"/>
        </w:rPr>
        <w:t>парцела.</w:t>
      </w:r>
    </w:p>
    <w:p>
      <w:pPr>
        <w:pStyle w:val="BodyText"/>
        <w:spacing w:line="232" w:lineRule="auto"/>
        <w:ind w:left="242" w:right="128" w:firstLine="396"/>
      </w:pPr>
      <w:r>
        <w:rPr>
          <w:color w:val="231F20"/>
        </w:rPr>
        <w:t>Пројектом препарцелације чији је саставни део и Пројекат геодетског</w:t>
      </w:r>
      <w:r>
        <w:rPr>
          <w:color w:val="231F20"/>
          <w:spacing w:val="-9"/>
        </w:rPr>
        <w:t> </w:t>
      </w:r>
      <w:r>
        <w:rPr>
          <w:color w:val="231F20"/>
        </w:rPr>
        <w:t>обележавања</w:t>
      </w:r>
      <w:r>
        <w:rPr>
          <w:color w:val="231F20"/>
          <w:spacing w:val="-9"/>
        </w:rPr>
        <w:t> </w:t>
      </w:r>
      <w:r>
        <w:rPr>
          <w:color w:val="231F20"/>
        </w:rPr>
        <w:t>ће</w:t>
      </w:r>
      <w:r>
        <w:rPr>
          <w:color w:val="231F20"/>
          <w:spacing w:val="-9"/>
        </w:rPr>
        <w:t> </w:t>
      </w:r>
      <w:r>
        <w:rPr>
          <w:color w:val="231F20"/>
        </w:rPr>
        <w:t>се</w:t>
      </w:r>
      <w:r>
        <w:rPr>
          <w:color w:val="231F20"/>
          <w:spacing w:val="-9"/>
        </w:rPr>
        <w:t> </w:t>
      </w:r>
      <w:r>
        <w:rPr>
          <w:color w:val="231F20"/>
        </w:rPr>
        <w:t>прецизно</w:t>
      </w:r>
      <w:r>
        <w:rPr>
          <w:color w:val="231F20"/>
          <w:spacing w:val="-9"/>
        </w:rPr>
        <w:t> </w:t>
      </w:r>
      <w:r>
        <w:rPr>
          <w:color w:val="231F20"/>
        </w:rPr>
        <w:t>дефинисати</w:t>
      </w:r>
      <w:r>
        <w:rPr>
          <w:color w:val="231F20"/>
          <w:spacing w:val="-9"/>
        </w:rPr>
        <w:t> </w:t>
      </w:r>
      <w:r>
        <w:rPr>
          <w:color w:val="231F20"/>
        </w:rPr>
        <w:t>парцеле</w:t>
      </w:r>
      <w:r>
        <w:rPr>
          <w:color w:val="231F20"/>
          <w:spacing w:val="-9"/>
        </w:rPr>
        <w:t> </w:t>
      </w:r>
      <w:r>
        <w:rPr>
          <w:color w:val="231F20"/>
        </w:rPr>
        <w:t>за</w:t>
      </w:r>
      <w:r>
        <w:rPr>
          <w:color w:val="231F20"/>
          <w:spacing w:val="-9"/>
        </w:rPr>
        <w:t> </w:t>
      </w:r>
      <w:r>
        <w:rPr>
          <w:color w:val="231F20"/>
          <w:spacing w:val="-4"/>
        </w:rPr>
        <w:t>ко- </w:t>
      </w:r>
      <w:r>
        <w:rPr>
          <w:color w:val="231F20"/>
        </w:rPr>
        <w:t>ридор транспорта </w:t>
      </w:r>
      <w:r>
        <w:rPr>
          <w:color w:val="231F20"/>
          <w:spacing w:val="-3"/>
        </w:rPr>
        <w:t>рударске </w:t>
      </w:r>
      <w:r>
        <w:rPr>
          <w:color w:val="231F20"/>
        </w:rPr>
        <w:t>механизације и други инфраструктур- ни</w:t>
      </w:r>
      <w:r>
        <w:rPr>
          <w:color w:val="231F20"/>
          <w:spacing w:val="-2"/>
        </w:rPr>
        <w:t> </w:t>
      </w:r>
      <w:r>
        <w:rPr>
          <w:color w:val="231F20"/>
        </w:rPr>
        <w:t>коридори.</w:t>
      </w:r>
    </w:p>
    <w:p>
      <w:pPr>
        <w:pStyle w:val="BodyText"/>
        <w:spacing w:line="232" w:lineRule="auto"/>
        <w:ind w:left="243" w:right="128" w:firstLine="396"/>
      </w:pPr>
      <w:r>
        <w:rPr>
          <w:color w:val="231F20"/>
        </w:rPr>
        <w:t>У оквиру границе обухвата коридора за транспорт механиза- ције налазе се следеће катастарске парцеле и делови катастарских парцела:</w:t>
      </w:r>
    </w:p>
    <w:p>
      <w:pPr>
        <w:pStyle w:val="BodyText"/>
        <w:spacing w:line="199" w:lineRule="exact"/>
        <w:ind w:left="640"/>
        <w:jc w:val="left"/>
      </w:pPr>
      <w:r>
        <w:rPr>
          <w:color w:val="231F20"/>
          <w:w w:val="66"/>
        </w:rPr>
        <w:t> </w:t>
      </w:r>
      <w:r>
        <w:rPr>
          <w:color w:val="231F20"/>
        </w:rPr>
        <w:t>– целе катастарске парцеле бр.:1786, 1785, 1787, 2209,  2206,</w:t>
      </w:r>
    </w:p>
    <w:p>
      <w:pPr>
        <w:pStyle w:val="BodyText"/>
        <w:spacing w:line="201" w:lineRule="exact"/>
        <w:ind w:left="243"/>
        <w:jc w:val="left"/>
      </w:pPr>
      <w:r>
        <w:rPr>
          <w:color w:val="231F20"/>
        </w:rPr>
        <w:t>2208, 2190, 2184, 2187,2183, 2169, 2170, 2163, 2161, 2164, 2162,</w:t>
      </w:r>
    </w:p>
    <w:p>
      <w:pPr>
        <w:pStyle w:val="BodyText"/>
        <w:spacing w:line="201" w:lineRule="exact"/>
        <w:ind w:left="243"/>
        <w:jc w:val="left"/>
      </w:pPr>
      <w:r>
        <w:rPr>
          <w:color w:val="231F20"/>
        </w:rPr>
        <w:t>2160, 2158, 2157, 3039, 3038, 3037, 3036, 3050, 3040, 3039, 3038,</w:t>
      </w:r>
    </w:p>
    <w:p>
      <w:pPr>
        <w:pStyle w:val="BodyText"/>
        <w:spacing w:line="201" w:lineRule="exact"/>
        <w:ind w:left="243"/>
        <w:jc w:val="left"/>
      </w:pPr>
      <w:r>
        <w:rPr>
          <w:color w:val="231F20"/>
        </w:rPr>
        <w:t>3037, 3036, 3010, 3011, 3009, 3008, 3007, 3006, 3005 и</w:t>
      </w:r>
    </w:p>
    <w:p>
      <w:pPr>
        <w:pStyle w:val="BodyText"/>
        <w:spacing w:line="232" w:lineRule="auto" w:before="1"/>
        <w:ind w:left="243" w:right="127" w:firstLine="396"/>
      </w:pPr>
      <w:r>
        <w:rPr>
          <w:color w:val="231F20"/>
        </w:rPr>
        <w:t>делови катастарских парцела бр.: део 1702,1701,1780, 2205, 2210, 2221, 2207, 2199, 2198, 2197, 2196, 2195, 2194, 2191, 2189,</w:t>
      </w:r>
    </w:p>
    <w:p>
      <w:pPr>
        <w:pStyle w:val="BodyText"/>
        <w:spacing w:line="199" w:lineRule="exact"/>
        <w:ind w:left="243"/>
        <w:jc w:val="left"/>
      </w:pPr>
      <w:r>
        <w:rPr>
          <w:color w:val="231F20"/>
        </w:rPr>
        <w:t>2185, 2186, 2179, 2172, 2171,3050, 3049, 3048, 3019.</w:t>
      </w:r>
    </w:p>
    <w:p>
      <w:pPr>
        <w:pStyle w:val="BodyText"/>
        <w:spacing w:line="232" w:lineRule="auto" w:before="2"/>
        <w:ind w:left="243" w:right="127" w:firstLine="396"/>
      </w:pPr>
      <w:r>
        <w:rPr>
          <w:color w:val="231F20"/>
        </w:rPr>
        <w:t>Напомена: у случају неслагања горе наведених бројева ката- старских парцела, важи граница утврђена на рефералној карти бр. 6.3.2: „Основи за парцелацију и прибављање земљишта (1:2500).</w:t>
      </w:r>
    </w:p>
    <w:p>
      <w:pPr>
        <w:pStyle w:val="BodyText"/>
        <w:spacing w:line="232" w:lineRule="auto"/>
        <w:ind w:left="244" w:right="127" w:firstLine="396"/>
      </w:pPr>
      <w:r>
        <w:rPr>
          <w:color w:val="231F20"/>
        </w:rPr>
        <w:t>Коридор за транспорта </w:t>
      </w:r>
      <w:r>
        <w:rPr>
          <w:color w:val="231F20"/>
          <w:spacing w:val="-3"/>
        </w:rPr>
        <w:t>рударске </w:t>
      </w:r>
      <w:r>
        <w:rPr>
          <w:color w:val="231F20"/>
        </w:rPr>
        <w:t>механизације је већ </w:t>
      </w:r>
      <w:r>
        <w:rPr>
          <w:color w:val="231F20"/>
          <w:spacing w:val="-3"/>
        </w:rPr>
        <w:t>кори- </w:t>
      </w:r>
      <w:r>
        <w:rPr>
          <w:color w:val="231F20"/>
        </w:rPr>
        <w:t>шћен</w:t>
      </w:r>
      <w:r>
        <w:rPr>
          <w:color w:val="231F20"/>
          <w:spacing w:val="-7"/>
        </w:rPr>
        <w:t> </w:t>
      </w:r>
      <w:r>
        <w:rPr>
          <w:color w:val="231F20"/>
        </w:rPr>
        <w:t>и</w:t>
      </w:r>
      <w:r>
        <w:rPr>
          <w:color w:val="231F20"/>
          <w:spacing w:val="-7"/>
        </w:rPr>
        <w:t> </w:t>
      </w:r>
      <w:r>
        <w:rPr>
          <w:color w:val="231F20"/>
        </w:rPr>
        <w:t>тада</w:t>
      </w:r>
      <w:r>
        <w:rPr>
          <w:color w:val="231F20"/>
          <w:spacing w:val="-7"/>
        </w:rPr>
        <w:t> </w:t>
      </w:r>
      <w:r>
        <w:rPr>
          <w:color w:val="231F20"/>
        </w:rPr>
        <w:t>је</w:t>
      </w:r>
      <w:r>
        <w:rPr>
          <w:color w:val="231F20"/>
          <w:spacing w:val="-7"/>
        </w:rPr>
        <w:t> </w:t>
      </w:r>
      <w:r>
        <w:rPr>
          <w:color w:val="231F20"/>
        </w:rPr>
        <w:t>траса</w:t>
      </w:r>
      <w:r>
        <w:rPr>
          <w:color w:val="231F20"/>
          <w:spacing w:val="-7"/>
        </w:rPr>
        <w:t> </w:t>
      </w:r>
      <w:r>
        <w:rPr>
          <w:color w:val="231F20"/>
        </w:rPr>
        <w:t>одређена</w:t>
      </w:r>
      <w:r>
        <w:rPr>
          <w:color w:val="231F20"/>
          <w:spacing w:val="-7"/>
        </w:rPr>
        <w:t> </w:t>
      </w:r>
      <w:r>
        <w:rPr>
          <w:color w:val="231F20"/>
        </w:rPr>
        <w:t>координатама</w:t>
      </w:r>
      <w:r>
        <w:rPr>
          <w:color w:val="231F20"/>
          <w:spacing w:val="-7"/>
        </w:rPr>
        <w:t> </w:t>
      </w:r>
      <w:r>
        <w:rPr>
          <w:color w:val="231F20"/>
        </w:rPr>
        <w:t>граничних</w:t>
      </w:r>
      <w:r>
        <w:rPr>
          <w:color w:val="231F20"/>
          <w:spacing w:val="-7"/>
        </w:rPr>
        <w:t> </w:t>
      </w:r>
      <w:r>
        <w:rPr>
          <w:color w:val="231F20"/>
        </w:rPr>
        <w:t>тачака</w:t>
      </w:r>
      <w:r>
        <w:rPr>
          <w:color w:val="231F20"/>
          <w:spacing w:val="-7"/>
        </w:rPr>
        <w:t> </w:t>
      </w:r>
      <w:r>
        <w:rPr>
          <w:color w:val="231F20"/>
          <w:spacing w:val="-3"/>
        </w:rPr>
        <w:t>које </w:t>
      </w:r>
      <w:r>
        <w:rPr>
          <w:color w:val="231F20"/>
        </w:rPr>
        <w:t>су приказане у Табели 3.1. као и на графичком</w:t>
      </w:r>
      <w:r>
        <w:rPr>
          <w:color w:val="231F20"/>
          <w:spacing w:val="-17"/>
        </w:rPr>
        <w:t> </w:t>
      </w:r>
      <w:r>
        <w:rPr>
          <w:color w:val="231F20"/>
          <w:spacing w:val="-3"/>
        </w:rPr>
        <w:t>прилогу.</w:t>
      </w:r>
    </w:p>
    <w:p>
      <w:pPr>
        <w:spacing w:after="0" w:line="232" w:lineRule="auto"/>
        <w:sectPr>
          <w:pgSz w:w="12480" w:h="15690"/>
          <w:pgMar w:top="120" w:bottom="280" w:left="680" w:right="720"/>
          <w:cols w:num="2" w:equalWidth="0">
            <w:col w:w="5557" w:space="40"/>
            <w:col w:w="5483"/>
          </w:cols>
        </w:sectPr>
      </w:pPr>
    </w:p>
    <w:p>
      <w:pPr>
        <w:pStyle w:val="BodyText"/>
        <w:spacing w:before="68" w:after="41"/>
        <w:jc w:val="left"/>
      </w:pPr>
      <w:r>
        <w:rPr>
          <w:color w:val="231F20"/>
        </w:rPr>
        <w:t>Табела 3.1: Координате обухвата коридора за транспорт рударске механизације</w:t>
      </w: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62"/>
        <w:gridCol w:w="1162"/>
        <w:gridCol w:w="1162"/>
        <w:gridCol w:w="1162"/>
        <w:gridCol w:w="1162"/>
        <w:gridCol w:w="1162"/>
        <w:gridCol w:w="1162"/>
        <w:gridCol w:w="1162"/>
        <w:gridCol w:w="1162"/>
      </w:tblGrid>
      <w:tr>
        <w:trPr>
          <w:trHeight w:val="200" w:hRule="atLeast"/>
        </w:trPr>
        <w:tc>
          <w:tcPr>
            <w:tcW w:w="10458" w:type="dxa"/>
            <w:gridSpan w:val="9"/>
          </w:tcPr>
          <w:p>
            <w:pPr>
              <w:pStyle w:val="TableParagraph"/>
              <w:ind w:left="4091" w:right="4080"/>
              <w:jc w:val="center"/>
              <w:rPr>
                <w:sz w:val="14"/>
              </w:rPr>
            </w:pPr>
            <w:r>
              <w:rPr>
                <w:color w:val="231F20"/>
                <w:sz w:val="14"/>
              </w:rPr>
              <w:t>КООРДИНАТЕ ТАЧАКA ГРАНИЦЕ</w:t>
            </w:r>
          </w:p>
        </w:tc>
      </w:tr>
      <w:tr>
        <w:trPr>
          <w:trHeight w:val="200" w:hRule="atLeast"/>
        </w:trPr>
        <w:tc>
          <w:tcPr>
            <w:tcW w:w="1162" w:type="dxa"/>
          </w:tcPr>
          <w:p>
            <w:pPr>
              <w:pStyle w:val="TableParagraph"/>
              <w:ind w:left="153" w:right="144"/>
              <w:jc w:val="center"/>
              <w:rPr>
                <w:sz w:val="14"/>
              </w:rPr>
            </w:pPr>
            <w:r>
              <w:rPr>
                <w:color w:val="231F20"/>
                <w:sz w:val="14"/>
              </w:rPr>
              <w:t>Број тачке</w:t>
            </w:r>
          </w:p>
        </w:tc>
        <w:tc>
          <w:tcPr>
            <w:tcW w:w="2324" w:type="dxa"/>
            <w:gridSpan w:val="2"/>
          </w:tcPr>
          <w:p>
            <w:pPr>
              <w:pStyle w:val="TableParagraph"/>
              <w:ind w:left="785" w:right="775"/>
              <w:jc w:val="center"/>
              <w:rPr>
                <w:sz w:val="14"/>
              </w:rPr>
            </w:pPr>
            <w:r>
              <w:rPr>
                <w:color w:val="231F20"/>
                <w:sz w:val="14"/>
              </w:rPr>
              <w:t>Координате</w:t>
            </w:r>
          </w:p>
        </w:tc>
        <w:tc>
          <w:tcPr>
            <w:tcW w:w="1162" w:type="dxa"/>
          </w:tcPr>
          <w:p>
            <w:pPr>
              <w:pStyle w:val="TableParagraph"/>
              <w:ind w:left="153" w:right="142"/>
              <w:jc w:val="center"/>
              <w:rPr>
                <w:sz w:val="14"/>
              </w:rPr>
            </w:pPr>
            <w:r>
              <w:rPr>
                <w:color w:val="231F20"/>
                <w:sz w:val="14"/>
              </w:rPr>
              <w:t>Број тачке</w:t>
            </w:r>
          </w:p>
        </w:tc>
        <w:tc>
          <w:tcPr>
            <w:tcW w:w="2324" w:type="dxa"/>
            <w:gridSpan w:val="2"/>
          </w:tcPr>
          <w:p>
            <w:pPr>
              <w:pStyle w:val="TableParagraph"/>
              <w:ind w:left="786" w:right="775"/>
              <w:jc w:val="center"/>
              <w:rPr>
                <w:sz w:val="14"/>
              </w:rPr>
            </w:pPr>
            <w:r>
              <w:rPr>
                <w:color w:val="231F20"/>
                <w:sz w:val="14"/>
              </w:rPr>
              <w:t>Координате</w:t>
            </w:r>
          </w:p>
        </w:tc>
        <w:tc>
          <w:tcPr>
            <w:tcW w:w="1162" w:type="dxa"/>
          </w:tcPr>
          <w:p>
            <w:pPr>
              <w:pStyle w:val="TableParagraph"/>
              <w:ind w:left="153" w:right="141"/>
              <w:jc w:val="center"/>
              <w:rPr>
                <w:sz w:val="14"/>
              </w:rPr>
            </w:pPr>
            <w:r>
              <w:rPr>
                <w:color w:val="231F20"/>
                <w:sz w:val="14"/>
              </w:rPr>
              <w:t>Број тачке</w:t>
            </w:r>
          </w:p>
        </w:tc>
        <w:tc>
          <w:tcPr>
            <w:tcW w:w="2324" w:type="dxa"/>
            <w:gridSpan w:val="2"/>
          </w:tcPr>
          <w:p>
            <w:pPr>
              <w:pStyle w:val="TableParagraph"/>
              <w:ind w:left="787" w:right="774"/>
              <w:jc w:val="center"/>
              <w:rPr>
                <w:sz w:val="14"/>
              </w:rPr>
            </w:pPr>
            <w:r>
              <w:rPr>
                <w:color w:val="231F20"/>
                <w:sz w:val="14"/>
              </w:rPr>
              <w:t>Координате</w:t>
            </w:r>
          </w:p>
        </w:tc>
      </w:tr>
      <w:tr>
        <w:trPr>
          <w:trHeight w:val="200" w:hRule="atLeast"/>
        </w:trPr>
        <w:tc>
          <w:tcPr>
            <w:tcW w:w="1162" w:type="dxa"/>
          </w:tcPr>
          <w:p>
            <w:pPr>
              <w:pStyle w:val="TableParagraph"/>
              <w:spacing w:before="0"/>
              <w:jc w:val="left"/>
              <w:rPr>
                <w:sz w:val="12"/>
              </w:rPr>
            </w:pPr>
          </w:p>
        </w:tc>
        <w:tc>
          <w:tcPr>
            <w:tcW w:w="1162" w:type="dxa"/>
          </w:tcPr>
          <w:p>
            <w:pPr>
              <w:pStyle w:val="TableParagraph"/>
              <w:ind w:left="153" w:right="143"/>
              <w:jc w:val="center"/>
              <w:rPr>
                <w:sz w:val="14"/>
              </w:rPr>
            </w:pPr>
            <w:r>
              <w:rPr>
                <w:color w:val="231F20"/>
                <w:sz w:val="14"/>
              </w:rPr>
              <w:t>Y [ m ]</w:t>
            </w:r>
          </w:p>
        </w:tc>
        <w:tc>
          <w:tcPr>
            <w:tcW w:w="1162" w:type="dxa"/>
          </w:tcPr>
          <w:p>
            <w:pPr>
              <w:pStyle w:val="TableParagraph"/>
              <w:ind w:left="153" w:right="142"/>
              <w:jc w:val="center"/>
              <w:rPr>
                <w:sz w:val="14"/>
              </w:rPr>
            </w:pPr>
            <w:r>
              <w:rPr>
                <w:color w:val="231F20"/>
                <w:sz w:val="14"/>
              </w:rPr>
              <w:t>X [ m ]</w:t>
            </w:r>
          </w:p>
        </w:tc>
        <w:tc>
          <w:tcPr>
            <w:tcW w:w="1162" w:type="dxa"/>
          </w:tcPr>
          <w:p>
            <w:pPr>
              <w:pStyle w:val="TableParagraph"/>
              <w:spacing w:before="0"/>
              <w:jc w:val="left"/>
              <w:rPr>
                <w:sz w:val="12"/>
              </w:rPr>
            </w:pPr>
          </w:p>
        </w:tc>
        <w:tc>
          <w:tcPr>
            <w:tcW w:w="1162" w:type="dxa"/>
          </w:tcPr>
          <w:p>
            <w:pPr>
              <w:pStyle w:val="TableParagraph"/>
              <w:ind w:left="153" w:right="142"/>
              <w:jc w:val="center"/>
              <w:rPr>
                <w:sz w:val="14"/>
              </w:rPr>
            </w:pPr>
            <w:r>
              <w:rPr>
                <w:color w:val="231F20"/>
                <w:sz w:val="14"/>
              </w:rPr>
              <w:t>Y [ m ]</w:t>
            </w:r>
          </w:p>
        </w:tc>
        <w:tc>
          <w:tcPr>
            <w:tcW w:w="1162" w:type="dxa"/>
          </w:tcPr>
          <w:p>
            <w:pPr>
              <w:pStyle w:val="TableParagraph"/>
              <w:ind w:left="153" w:right="141"/>
              <w:jc w:val="center"/>
              <w:rPr>
                <w:sz w:val="14"/>
              </w:rPr>
            </w:pPr>
            <w:r>
              <w:rPr>
                <w:color w:val="231F20"/>
                <w:sz w:val="14"/>
              </w:rPr>
              <w:t>X [ m ]</w:t>
            </w:r>
          </w:p>
        </w:tc>
        <w:tc>
          <w:tcPr>
            <w:tcW w:w="1162" w:type="dxa"/>
          </w:tcPr>
          <w:p>
            <w:pPr>
              <w:pStyle w:val="TableParagraph"/>
              <w:spacing w:before="0"/>
              <w:jc w:val="left"/>
              <w:rPr>
                <w:sz w:val="12"/>
              </w:rPr>
            </w:pPr>
          </w:p>
        </w:tc>
        <w:tc>
          <w:tcPr>
            <w:tcW w:w="1162" w:type="dxa"/>
          </w:tcPr>
          <w:p>
            <w:pPr>
              <w:pStyle w:val="TableParagraph"/>
              <w:ind w:left="153" w:right="141"/>
              <w:jc w:val="center"/>
              <w:rPr>
                <w:sz w:val="14"/>
              </w:rPr>
            </w:pPr>
            <w:r>
              <w:rPr>
                <w:color w:val="231F20"/>
                <w:sz w:val="14"/>
              </w:rPr>
              <w:t>Y [ m ]</w:t>
            </w:r>
          </w:p>
        </w:tc>
        <w:tc>
          <w:tcPr>
            <w:tcW w:w="1162" w:type="dxa"/>
          </w:tcPr>
          <w:p>
            <w:pPr>
              <w:pStyle w:val="TableParagraph"/>
              <w:ind w:left="153" w:right="140"/>
              <w:jc w:val="center"/>
              <w:rPr>
                <w:sz w:val="14"/>
              </w:rPr>
            </w:pPr>
            <w:r>
              <w:rPr>
                <w:color w:val="231F20"/>
                <w:sz w:val="14"/>
              </w:rPr>
              <w:t>X [ m ]</w:t>
            </w:r>
          </w:p>
        </w:tc>
      </w:tr>
      <w:tr>
        <w:trPr>
          <w:trHeight w:val="200" w:hRule="atLeast"/>
        </w:trPr>
        <w:tc>
          <w:tcPr>
            <w:tcW w:w="1162" w:type="dxa"/>
          </w:tcPr>
          <w:p>
            <w:pPr>
              <w:pStyle w:val="TableParagraph"/>
              <w:ind w:left="10"/>
              <w:jc w:val="center"/>
              <w:rPr>
                <w:sz w:val="14"/>
              </w:rPr>
            </w:pPr>
            <w:r>
              <w:rPr>
                <w:color w:val="231F20"/>
                <w:sz w:val="14"/>
              </w:rPr>
              <w:t>1</w:t>
            </w:r>
          </w:p>
        </w:tc>
        <w:tc>
          <w:tcPr>
            <w:tcW w:w="1162" w:type="dxa"/>
          </w:tcPr>
          <w:p>
            <w:pPr>
              <w:pStyle w:val="TableParagraph"/>
              <w:ind w:left="153" w:right="143"/>
              <w:jc w:val="center"/>
              <w:rPr>
                <w:sz w:val="14"/>
              </w:rPr>
            </w:pPr>
            <w:r>
              <w:rPr>
                <w:color w:val="231F20"/>
                <w:sz w:val="14"/>
              </w:rPr>
              <w:t>7 517346,61</w:t>
            </w:r>
          </w:p>
        </w:tc>
        <w:tc>
          <w:tcPr>
            <w:tcW w:w="1162" w:type="dxa"/>
          </w:tcPr>
          <w:p>
            <w:pPr>
              <w:pStyle w:val="TableParagraph"/>
              <w:ind w:left="153" w:right="143"/>
              <w:jc w:val="center"/>
              <w:rPr>
                <w:sz w:val="14"/>
              </w:rPr>
            </w:pPr>
            <w:r>
              <w:rPr>
                <w:color w:val="231F20"/>
                <w:sz w:val="14"/>
              </w:rPr>
              <w:t>4 949652,25</w:t>
            </w:r>
          </w:p>
        </w:tc>
        <w:tc>
          <w:tcPr>
            <w:tcW w:w="1162" w:type="dxa"/>
          </w:tcPr>
          <w:p>
            <w:pPr>
              <w:pStyle w:val="TableParagraph"/>
              <w:ind w:left="153" w:right="143"/>
              <w:jc w:val="center"/>
              <w:rPr>
                <w:sz w:val="14"/>
              </w:rPr>
            </w:pPr>
            <w:r>
              <w:rPr>
                <w:color w:val="231F20"/>
                <w:sz w:val="14"/>
              </w:rPr>
              <w:t>15</w:t>
            </w:r>
          </w:p>
        </w:tc>
        <w:tc>
          <w:tcPr>
            <w:tcW w:w="1162" w:type="dxa"/>
          </w:tcPr>
          <w:p>
            <w:pPr>
              <w:pStyle w:val="TableParagraph"/>
              <w:ind w:left="153" w:right="142"/>
              <w:jc w:val="center"/>
              <w:rPr>
                <w:sz w:val="14"/>
              </w:rPr>
            </w:pPr>
            <w:r>
              <w:rPr>
                <w:color w:val="231F20"/>
                <w:sz w:val="14"/>
              </w:rPr>
              <w:t>7 517430,54</w:t>
            </w:r>
          </w:p>
        </w:tc>
        <w:tc>
          <w:tcPr>
            <w:tcW w:w="1162" w:type="dxa"/>
          </w:tcPr>
          <w:p>
            <w:pPr>
              <w:pStyle w:val="TableParagraph"/>
              <w:ind w:left="153" w:right="142"/>
              <w:jc w:val="center"/>
              <w:rPr>
                <w:sz w:val="14"/>
              </w:rPr>
            </w:pPr>
            <w:r>
              <w:rPr>
                <w:color w:val="231F20"/>
                <w:sz w:val="14"/>
              </w:rPr>
              <w:t>4 949961,96</w:t>
            </w:r>
          </w:p>
        </w:tc>
        <w:tc>
          <w:tcPr>
            <w:tcW w:w="1162" w:type="dxa"/>
          </w:tcPr>
          <w:p>
            <w:pPr>
              <w:pStyle w:val="TableParagraph"/>
              <w:ind w:left="153" w:right="142"/>
              <w:jc w:val="center"/>
              <w:rPr>
                <w:sz w:val="14"/>
              </w:rPr>
            </w:pPr>
            <w:r>
              <w:rPr>
                <w:color w:val="231F20"/>
                <w:sz w:val="14"/>
              </w:rPr>
              <w:t>31</w:t>
            </w:r>
          </w:p>
        </w:tc>
        <w:tc>
          <w:tcPr>
            <w:tcW w:w="1162" w:type="dxa"/>
          </w:tcPr>
          <w:p>
            <w:pPr>
              <w:pStyle w:val="TableParagraph"/>
              <w:ind w:left="153" w:right="142"/>
              <w:jc w:val="center"/>
              <w:rPr>
                <w:sz w:val="14"/>
              </w:rPr>
            </w:pPr>
            <w:r>
              <w:rPr>
                <w:color w:val="231F20"/>
                <w:sz w:val="14"/>
              </w:rPr>
              <w:t>7 517767,43</w:t>
            </w:r>
          </w:p>
        </w:tc>
        <w:tc>
          <w:tcPr>
            <w:tcW w:w="1162" w:type="dxa"/>
          </w:tcPr>
          <w:p>
            <w:pPr>
              <w:pStyle w:val="TableParagraph"/>
              <w:ind w:left="153" w:right="141"/>
              <w:jc w:val="center"/>
              <w:rPr>
                <w:sz w:val="14"/>
              </w:rPr>
            </w:pPr>
            <w:r>
              <w:rPr>
                <w:color w:val="231F20"/>
                <w:sz w:val="14"/>
              </w:rPr>
              <w:t>4 950347,65</w:t>
            </w:r>
          </w:p>
        </w:tc>
      </w:tr>
      <w:tr>
        <w:trPr>
          <w:trHeight w:val="200" w:hRule="atLeast"/>
        </w:trPr>
        <w:tc>
          <w:tcPr>
            <w:tcW w:w="1162" w:type="dxa"/>
          </w:tcPr>
          <w:p>
            <w:pPr>
              <w:pStyle w:val="TableParagraph"/>
              <w:ind w:left="8"/>
              <w:jc w:val="center"/>
              <w:rPr>
                <w:sz w:val="14"/>
              </w:rPr>
            </w:pPr>
            <w:r>
              <w:rPr>
                <w:color w:val="231F20"/>
                <w:sz w:val="14"/>
              </w:rPr>
              <w:t>2</w:t>
            </w:r>
          </w:p>
        </w:tc>
        <w:tc>
          <w:tcPr>
            <w:tcW w:w="1162" w:type="dxa"/>
          </w:tcPr>
          <w:p>
            <w:pPr>
              <w:pStyle w:val="TableParagraph"/>
              <w:ind w:left="153" w:right="144"/>
              <w:jc w:val="center"/>
              <w:rPr>
                <w:sz w:val="14"/>
              </w:rPr>
            </w:pPr>
            <w:r>
              <w:rPr>
                <w:color w:val="231F20"/>
                <w:sz w:val="14"/>
              </w:rPr>
              <w:t>7 517349,04</w:t>
            </w:r>
          </w:p>
        </w:tc>
        <w:tc>
          <w:tcPr>
            <w:tcW w:w="1162" w:type="dxa"/>
          </w:tcPr>
          <w:p>
            <w:pPr>
              <w:pStyle w:val="TableParagraph"/>
              <w:ind w:left="153" w:right="144"/>
              <w:jc w:val="center"/>
              <w:rPr>
                <w:sz w:val="14"/>
              </w:rPr>
            </w:pPr>
            <w:r>
              <w:rPr>
                <w:color w:val="231F20"/>
                <w:sz w:val="14"/>
              </w:rPr>
              <w:t>4 949595,61</w:t>
            </w:r>
          </w:p>
        </w:tc>
        <w:tc>
          <w:tcPr>
            <w:tcW w:w="1162" w:type="dxa"/>
          </w:tcPr>
          <w:p>
            <w:pPr>
              <w:pStyle w:val="TableParagraph"/>
              <w:ind w:left="153" w:right="144"/>
              <w:jc w:val="center"/>
              <w:rPr>
                <w:sz w:val="14"/>
              </w:rPr>
            </w:pPr>
            <w:r>
              <w:rPr>
                <w:color w:val="231F20"/>
                <w:sz w:val="14"/>
              </w:rPr>
              <w:t>16</w:t>
            </w:r>
          </w:p>
        </w:tc>
        <w:tc>
          <w:tcPr>
            <w:tcW w:w="1162" w:type="dxa"/>
          </w:tcPr>
          <w:p>
            <w:pPr>
              <w:pStyle w:val="TableParagraph"/>
              <w:ind w:left="153" w:right="143"/>
              <w:jc w:val="center"/>
              <w:rPr>
                <w:sz w:val="14"/>
              </w:rPr>
            </w:pPr>
            <w:r>
              <w:rPr>
                <w:color w:val="231F20"/>
                <w:sz w:val="14"/>
              </w:rPr>
              <w:t>7 517485,27</w:t>
            </w:r>
          </w:p>
        </w:tc>
        <w:tc>
          <w:tcPr>
            <w:tcW w:w="1162" w:type="dxa"/>
          </w:tcPr>
          <w:p>
            <w:pPr>
              <w:pStyle w:val="TableParagraph"/>
              <w:ind w:left="153" w:right="143"/>
              <w:jc w:val="center"/>
              <w:rPr>
                <w:sz w:val="14"/>
              </w:rPr>
            </w:pPr>
            <w:r>
              <w:rPr>
                <w:color w:val="231F20"/>
                <w:sz w:val="14"/>
              </w:rPr>
              <w:t>4 950058,89</w:t>
            </w:r>
          </w:p>
        </w:tc>
        <w:tc>
          <w:tcPr>
            <w:tcW w:w="1162" w:type="dxa"/>
          </w:tcPr>
          <w:p>
            <w:pPr>
              <w:pStyle w:val="TableParagraph"/>
              <w:ind w:left="153" w:right="143"/>
              <w:jc w:val="center"/>
              <w:rPr>
                <w:sz w:val="14"/>
              </w:rPr>
            </w:pPr>
            <w:r>
              <w:rPr>
                <w:color w:val="231F20"/>
                <w:sz w:val="14"/>
              </w:rPr>
              <w:t>32</w:t>
            </w:r>
          </w:p>
        </w:tc>
        <w:tc>
          <w:tcPr>
            <w:tcW w:w="1162" w:type="dxa"/>
          </w:tcPr>
          <w:p>
            <w:pPr>
              <w:pStyle w:val="TableParagraph"/>
              <w:ind w:left="153" w:right="143"/>
              <w:jc w:val="center"/>
              <w:rPr>
                <w:sz w:val="14"/>
              </w:rPr>
            </w:pPr>
            <w:r>
              <w:rPr>
                <w:color w:val="231F20"/>
                <w:sz w:val="14"/>
              </w:rPr>
              <w:t>7 517791,31</w:t>
            </w:r>
          </w:p>
        </w:tc>
        <w:tc>
          <w:tcPr>
            <w:tcW w:w="1162" w:type="dxa"/>
          </w:tcPr>
          <w:p>
            <w:pPr>
              <w:pStyle w:val="TableParagraph"/>
              <w:ind w:left="153" w:right="142"/>
              <w:jc w:val="center"/>
              <w:rPr>
                <w:sz w:val="14"/>
              </w:rPr>
            </w:pPr>
            <w:r>
              <w:rPr>
                <w:color w:val="231F20"/>
                <w:sz w:val="14"/>
              </w:rPr>
              <w:t>4 950340,22</w:t>
            </w:r>
          </w:p>
        </w:tc>
      </w:tr>
      <w:tr>
        <w:trPr>
          <w:trHeight w:val="200" w:hRule="atLeast"/>
        </w:trPr>
        <w:tc>
          <w:tcPr>
            <w:tcW w:w="1162" w:type="dxa"/>
          </w:tcPr>
          <w:p>
            <w:pPr>
              <w:pStyle w:val="TableParagraph"/>
              <w:ind w:left="7"/>
              <w:jc w:val="center"/>
              <w:rPr>
                <w:sz w:val="14"/>
              </w:rPr>
            </w:pPr>
            <w:r>
              <w:rPr>
                <w:color w:val="231F20"/>
                <w:sz w:val="14"/>
              </w:rPr>
              <w:t>3</w:t>
            </w:r>
          </w:p>
        </w:tc>
        <w:tc>
          <w:tcPr>
            <w:tcW w:w="1162" w:type="dxa"/>
          </w:tcPr>
          <w:p>
            <w:pPr>
              <w:pStyle w:val="TableParagraph"/>
              <w:ind w:left="153" w:right="145"/>
              <w:jc w:val="center"/>
              <w:rPr>
                <w:sz w:val="14"/>
              </w:rPr>
            </w:pPr>
            <w:r>
              <w:rPr>
                <w:color w:val="231F20"/>
                <w:sz w:val="14"/>
              </w:rPr>
              <w:t>7 517321,64</w:t>
            </w:r>
          </w:p>
        </w:tc>
        <w:tc>
          <w:tcPr>
            <w:tcW w:w="1162" w:type="dxa"/>
          </w:tcPr>
          <w:p>
            <w:pPr>
              <w:pStyle w:val="TableParagraph"/>
              <w:ind w:left="153" w:right="145"/>
              <w:jc w:val="center"/>
              <w:rPr>
                <w:sz w:val="14"/>
              </w:rPr>
            </w:pPr>
            <w:r>
              <w:rPr>
                <w:color w:val="231F20"/>
                <w:sz w:val="14"/>
              </w:rPr>
              <w:t>4 949566,80</w:t>
            </w:r>
          </w:p>
        </w:tc>
        <w:tc>
          <w:tcPr>
            <w:tcW w:w="1162" w:type="dxa"/>
          </w:tcPr>
          <w:p>
            <w:pPr>
              <w:pStyle w:val="TableParagraph"/>
              <w:ind w:left="153" w:right="145"/>
              <w:jc w:val="center"/>
              <w:rPr>
                <w:sz w:val="14"/>
              </w:rPr>
            </w:pPr>
            <w:r>
              <w:rPr>
                <w:color w:val="231F20"/>
                <w:sz w:val="14"/>
              </w:rPr>
              <w:t>17</w:t>
            </w:r>
          </w:p>
        </w:tc>
        <w:tc>
          <w:tcPr>
            <w:tcW w:w="1162" w:type="dxa"/>
          </w:tcPr>
          <w:p>
            <w:pPr>
              <w:pStyle w:val="TableParagraph"/>
              <w:ind w:left="153" w:right="145"/>
              <w:jc w:val="center"/>
              <w:rPr>
                <w:sz w:val="14"/>
              </w:rPr>
            </w:pPr>
            <w:r>
              <w:rPr>
                <w:color w:val="231F20"/>
                <w:sz w:val="14"/>
              </w:rPr>
              <w:t>7 517500,59</w:t>
            </w:r>
          </w:p>
        </w:tc>
        <w:tc>
          <w:tcPr>
            <w:tcW w:w="1162" w:type="dxa"/>
          </w:tcPr>
          <w:p>
            <w:pPr>
              <w:pStyle w:val="TableParagraph"/>
              <w:ind w:left="153" w:right="144"/>
              <w:jc w:val="center"/>
              <w:rPr>
                <w:sz w:val="14"/>
              </w:rPr>
            </w:pPr>
            <w:r>
              <w:rPr>
                <w:color w:val="231F20"/>
                <w:sz w:val="14"/>
              </w:rPr>
              <w:t>4 950038,25</w:t>
            </w:r>
          </w:p>
        </w:tc>
        <w:tc>
          <w:tcPr>
            <w:tcW w:w="1162" w:type="dxa"/>
          </w:tcPr>
          <w:p>
            <w:pPr>
              <w:pStyle w:val="TableParagraph"/>
              <w:ind w:left="153" w:right="144"/>
              <w:jc w:val="center"/>
              <w:rPr>
                <w:sz w:val="14"/>
              </w:rPr>
            </w:pPr>
            <w:r>
              <w:rPr>
                <w:color w:val="231F20"/>
                <w:sz w:val="14"/>
              </w:rPr>
              <w:t>33</w:t>
            </w:r>
          </w:p>
        </w:tc>
        <w:tc>
          <w:tcPr>
            <w:tcW w:w="1162" w:type="dxa"/>
          </w:tcPr>
          <w:p>
            <w:pPr>
              <w:pStyle w:val="TableParagraph"/>
              <w:ind w:left="153" w:right="144"/>
              <w:jc w:val="center"/>
              <w:rPr>
                <w:sz w:val="14"/>
              </w:rPr>
            </w:pPr>
            <w:r>
              <w:rPr>
                <w:color w:val="231F20"/>
                <w:sz w:val="14"/>
              </w:rPr>
              <w:t>7 517766,78</w:t>
            </w:r>
          </w:p>
        </w:tc>
        <w:tc>
          <w:tcPr>
            <w:tcW w:w="1162" w:type="dxa"/>
          </w:tcPr>
          <w:p>
            <w:pPr>
              <w:pStyle w:val="TableParagraph"/>
              <w:ind w:left="153" w:right="143"/>
              <w:jc w:val="center"/>
              <w:rPr>
                <w:sz w:val="14"/>
              </w:rPr>
            </w:pPr>
            <w:r>
              <w:rPr>
                <w:color w:val="231F20"/>
                <w:sz w:val="14"/>
              </w:rPr>
              <w:t>4 950345,35</w:t>
            </w:r>
          </w:p>
        </w:tc>
      </w:tr>
      <w:tr>
        <w:trPr>
          <w:trHeight w:val="200" w:hRule="atLeast"/>
        </w:trPr>
        <w:tc>
          <w:tcPr>
            <w:tcW w:w="1162" w:type="dxa"/>
          </w:tcPr>
          <w:p>
            <w:pPr>
              <w:pStyle w:val="TableParagraph"/>
              <w:ind w:left="6"/>
              <w:jc w:val="center"/>
              <w:rPr>
                <w:sz w:val="14"/>
              </w:rPr>
            </w:pPr>
            <w:r>
              <w:rPr>
                <w:color w:val="231F20"/>
                <w:sz w:val="14"/>
              </w:rPr>
              <w:t>4</w:t>
            </w:r>
          </w:p>
        </w:tc>
        <w:tc>
          <w:tcPr>
            <w:tcW w:w="1162" w:type="dxa"/>
          </w:tcPr>
          <w:p>
            <w:pPr>
              <w:pStyle w:val="TableParagraph"/>
              <w:ind w:left="152" w:right="146"/>
              <w:jc w:val="center"/>
              <w:rPr>
                <w:sz w:val="14"/>
              </w:rPr>
            </w:pPr>
            <w:r>
              <w:rPr>
                <w:color w:val="231F20"/>
                <w:sz w:val="14"/>
              </w:rPr>
              <w:t>7 517278,38</w:t>
            </w:r>
          </w:p>
        </w:tc>
        <w:tc>
          <w:tcPr>
            <w:tcW w:w="1162" w:type="dxa"/>
          </w:tcPr>
          <w:p>
            <w:pPr>
              <w:pStyle w:val="TableParagraph"/>
              <w:ind w:left="153" w:right="146"/>
              <w:jc w:val="center"/>
              <w:rPr>
                <w:sz w:val="14"/>
              </w:rPr>
            </w:pPr>
            <w:r>
              <w:rPr>
                <w:color w:val="231F20"/>
                <w:sz w:val="14"/>
              </w:rPr>
              <w:t>4 949566,50</w:t>
            </w:r>
          </w:p>
        </w:tc>
        <w:tc>
          <w:tcPr>
            <w:tcW w:w="1162" w:type="dxa"/>
          </w:tcPr>
          <w:p>
            <w:pPr>
              <w:pStyle w:val="TableParagraph"/>
              <w:ind w:left="153" w:right="146"/>
              <w:jc w:val="center"/>
              <w:rPr>
                <w:sz w:val="14"/>
              </w:rPr>
            </w:pPr>
            <w:r>
              <w:rPr>
                <w:color w:val="231F20"/>
                <w:sz w:val="14"/>
              </w:rPr>
              <w:t>18</w:t>
            </w:r>
          </w:p>
        </w:tc>
        <w:tc>
          <w:tcPr>
            <w:tcW w:w="1162" w:type="dxa"/>
          </w:tcPr>
          <w:p>
            <w:pPr>
              <w:pStyle w:val="TableParagraph"/>
              <w:ind w:left="153" w:right="146"/>
              <w:jc w:val="center"/>
              <w:rPr>
                <w:sz w:val="14"/>
              </w:rPr>
            </w:pPr>
            <w:r>
              <w:rPr>
                <w:color w:val="231F20"/>
                <w:sz w:val="14"/>
              </w:rPr>
              <w:t>7 517532,48</w:t>
            </w:r>
          </w:p>
        </w:tc>
        <w:tc>
          <w:tcPr>
            <w:tcW w:w="1162" w:type="dxa"/>
          </w:tcPr>
          <w:p>
            <w:pPr>
              <w:pStyle w:val="TableParagraph"/>
              <w:ind w:left="153" w:right="145"/>
              <w:jc w:val="center"/>
              <w:rPr>
                <w:sz w:val="14"/>
              </w:rPr>
            </w:pPr>
            <w:r>
              <w:rPr>
                <w:color w:val="231F20"/>
                <w:sz w:val="14"/>
              </w:rPr>
              <w:t>4 950075,82</w:t>
            </w:r>
          </w:p>
        </w:tc>
        <w:tc>
          <w:tcPr>
            <w:tcW w:w="1162" w:type="dxa"/>
          </w:tcPr>
          <w:p>
            <w:pPr>
              <w:pStyle w:val="TableParagraph"/>
              <w:ind w:left="153" w:right="145"/>
              <w:jc w:val="center"/>
              <w:rPr>
                <w:sz w:val="14"/>
              </w:rPr>
            </w:pPr>
            <w:r>
              <w:rPr>
                <w:color w:val="231F20"/>
                <w:sz w:val="14"/>
              </w:rPr>
              <w:t>34</w:t>
            </w:r>
          </w:p>
        </w:tc>
        <w:tc>
          <w:tcPr>
            <w:tcW w:w="1162" w:type="dxa"/>
          </w:tcPr>
          <w:p>
            <w:pPr>
              <w:pStyle w:val="TableParagraph"/>
              <w:ind w:left="153" w:right="145"/>
              <w:jc w:val="center"/>
              <w:rPr>
                <w:sz w:val="14"/>
              </w:rPr>
            </w:pPr>
            <w:r>
              <w:rPr>
                <w:color w:val="231F20"/>
                <w:sz w:val="14"/>
              </w:rPr>
              <w:t>7 517790,75</w:t>
            </w:r>
          </w:p>
        </w:tc>
        <w:tc>
          <w:tcPr>
            <w:tcW w:w="1162" w:type="dxa"/>
          </w:tcPr>
          <w:p>
            <w:pPr>
              <w:pStyle w:val="TableParagraph"/>
              <w:ind w:left="153" w:right="145"/>
              <w:jc w:val="center"/>
              <w:rPr>
                <w:sz w:val="14"/>
              </w:rPr>
            </w:pPr>
            <w:r>
              <w:rPr>
                <w:color w:val="231F20"/>
                <w:sz w:val="14"/>
              </w:rPr>
              <w:t>4 950338,12</w:t>
            </w:r>
          </w:p>
        </w:tc>
      </w:tr>
      <w:tr>
        <w:trPr>
          <w:trHeight w:val="200" w:hRule="atLeast"/>
        </w:trPr>
        <w:tc>
          <w:tcPr>
            <w:tcW w:w="1162" w:type="dxa"/>
          </w:tcPr>
          <w:p>
            <w:pPr>
              <w:pStyle w:val="TableParagraph"/>
              <w:ind w:left="151" w:right="146"/>
              <w:jc w:val="center"/>
              <w:rPr>
                <w:sz w:val="14"/>
              </w:rPr>
            </w:pPr>
            <w:r>
              <w:rPr>
                <w:color w:val="231F20"/>
                <w:sz w:val="14"/>
              </w:rPr>
              <w:t>4а</w:t>
            </w:r>
          </w:p>
        </w:tc>
        <w:tc>
          <w:tcPr>
            <w:tcW w:w="1162" w:type="dxa"/>
          </w:tcPr>
          <w:p>
            <w:pPr>
              <w:pStyle w:val="TableParagraph"/>
              <w:ind w:left="151" w:right="146"/>
              <w:jc w:val="center"/>
              <w:rPr>
                <w:sz w:val="14"/>
              </w:rPr>
            </w:pPr>
            <w:r>
              <w:rPr>
                <w:color w:val="231F20"/>
                <w:sz w:val="14"/>
              </w:rPr>
              <w:t>7 517289,24</w:t>
            </w:r>
          </w:p>
        </w:tc>
        <w:tc>
          <w:tcPr>
            <w:tcW w:w="1162" w:type="dxa"/>
          </w:tcPr>
          <w:p>
            <w:pPr>
              <w:pStyle w:val="TableParagraph"/>
              <w:ind w:left="152" w:right="146"/>
              <w:jc w:val="center"/>
              <w:rPr>
                <w:sz w:val="14"/>
              </w:rPr>
            </w:pPr>
            <w:r>
              <w:rPr>
                <w:color w:val="231F20"/>
                <w:sz w:val="14"/>
              </w:rPr>
              <w:t>4949591,53</w:t>
            </w:r>
          </w:p>
        </w:tc>
        <w:tc>
          <w:tcPr>
            <w:tcW w:w="1162" w:type="dxa"/>
          </w:tcPr>
          <w:p>
            <w:pPr>
              <w:pStyle w:val="TableParagraph"/>
              <w:ind w:left="152" w:right="146"/>
              <w:jc w:val="center"/>
              <w:rPr>
                <w:sz w:val="14"/>
              </w:rPr>
            </w:pPr>
            <w:r>
              <w:rPr>
                <w:color w:val="231F20"/>
                <w:sz w:val="14"/>
              </w:rPr>
              <w:t>19</w:t>
            </w:r>
          </w:p>
        </w:tc>
        <w:tc>
          <w:tcPr>
            <w:tcW w:w="1162" w:type="dxa"/>
          </w:tcPr>
          <w:p>
            <w:pPr>
              <w:pStyle w:val="TableParagraph"/>
              <w:ind w:left="152" w:right="146"/>
              <w:jc w:val="center"/>
              <w:rPr>
                <w:sz w:val="14"/>
              </w:rPr>
            </w:pPr>
            <w:r>
              <w:rPr>
                <w:color w:val="231F20"/>
                <w:sz w:val="14"/>
              </w:rPr>
              <w:t>7 517534,51</w:t>
            </w:r>
          </w:p>
        </w:tc>
        <w:tc>
          <w:tcPr>
            <w:tcW w:w="1162" w:type="dxa"/>
          </w:tcPr>
          <w:p>
            <w:pPr>
              <w:pStyle w:val="TableParagraph"/>
              <w:ind w:left="152" w:right="146"/>
              <w:jc w:val="center"/>
              <w:rPr>
                <w:sz w:val="14"/>
              </w:rPr>
            </w:pPr>
            <w:r>
              <w:rPr>
                <w:color w:val="231F20"/>
                <w:sz w:val="14"/>
              </w:rPr>
              <w:t>4 950050,07</w:t>
            </w:r>
          </w:p>
        </w:tc>
        <w:tc>
          <w:tcPr>
            <w:tcW w:w="1162" w:type="dxa"/>
          </w:tcPr>
          <w:p>
            <w:pPr>
              <w:pStyle w:val="TableParagraph"/>
              <w:ind w:left="153" w:right="146"/>
              <w:jc w:val="center"/>
              <w:rPr>
                <w:sz w:val="14"/>
              </w:rPr>
            </w:pPr>
            <w:r>
              <w:rPr>
                <w:color w:val="231F20"/>
                <w:sz w:val="14"/>
              </w:rPr>
              <w:t>35</w:t>
            </w:r>
          </w:p>
        </w:tc>
        <w:tc>
          <w:tcPr>
            <w:tcW w:w="1162" w:type="dxa"/>
          </w:tcPr>
          <w:p>
            <w:pPr>
              <w:pStyle w:val="TableParagraph"/>
              <w:ind w:left="153" w:right="146"/>
              <w:jc w:val="center"/>
              <w:rPr>
                <w:sz w:val="14"/>
              </w:rPr>
            </w:pPr>
            <w:r>
              <w:rPr>
                <w:color w:val="231F20"/>
                <w:sz w:val="14"/>
              </w:rPr>
              <w:t>7 517776,39</w:t>
            </w:r>
          </w:p>
        </w:tc>
        <w:tc>
          <w:tcPr>
            <w:tcW w:w="1162" w:type="dxa"/>
          </w:tcPr>
          <w:p>
            <w:pPr>
              <w:pStyle w:val="TableParagraph"/>
              <w:ind w:left="153" w:right="146"/>
              <w:jc w:val="center"/>
              <w:rPr>
                <w:sz w:val="14"/>
              </w:rPr>
            </w:pPr>
            <w:r>
              <w:rPr>
                <w:color w:val="231F20"/>
                <w:sz w:val="14"/>
              </w:rPr>
              <w:t>4 950401,31</w:t>
            </w:r>
          </w:p>
        </w:tc>
      </w:tr>
      <w:tr>
        <w:trPr>
          <w:trHeight w:val="200" w:hRule="atLeast"/>
        </w:trPr>
        <w:tc>
          <w:tcPr>
            <w:tcW w:w="1162" w:type="dxa"/>
          </w:tcPr>
          <w:p>
            <w:pPr>
              <w:pStyle w:val="TableParagraph"/>
              <w:spacing w:before="17"/>
              <w:ind w:left="150" w:right="146"/>
              <w:jc w:val="center"/>
              <w:rPr>
                <w:sz w:val="14"/>
              </w:rPr>
            </w:pPr>
            <w:r>
              <w:rPr>
                <w:color w:val="231F20"/>
                <w:sz w:val="14"/>
              </w:rPr>
              <w:t>4б</w:t>
            </w:r>
          </w:p>
        </w:tc>
        <w:tc>
          <w:tcPr>
            <w:tcW w:w="1162" w:type="dxa"/>
          </w:tcPr>
          <w:p>
            <w:pPr>
              <w:pStyle w:val="TableParagraph"/>
              <w:spacing w:before="17"/>
              <w:ind w:left="150" w:right="146"/>
              <w:jc w:val="center"/>
              <w:rPr>
                <w:sz w:val="14"/>
              </w:rPr>
            </w:pPr>
            <w:r>
              <w:rPr>
                <w:color w:val="231F20"/>
                <w:sz w:val="14"/>
              </w:rPr>
              <w:t>7517321,58</w:t>
            </w:r>
          </w:p>
        </w:tc>
        <w:tc>
          <w:tcPr>
            <w:tcW w:w="1162" w:type="dxa"/>
          </w:tcPr>
          <w:p>
            <w:pPr>
              <w:pStyle w:val="TableParagraph"/>
              <w:spacing w:before="17"/>
              <w:ind w:left="151" w:right="146"/>
              <w:jc w:val="center"/>
              <w:rPr>
                <w:sz w:val="14"/>
              </w:rPr>
            </w:pPr>
            <w:r>
              <w:rPr>
                <w:color w:val="231F20"/>
                <w:sz w:val="14"/>
              </w:rPr>
              <w:t>4949591,60</w:t>
            </w:r>
          </w:p>
        </w:tc>
        <w:tc>
          <w:tcPr>
            <w:tcW w:w="1162" w:type="dxa"/>
          </w:tcPr>
          <w:p>
            <w:pPr>
              <w:pStyle w:val="TableParagraph"/>
              <w:spacing w:before="17"/>
              <w:ind w:left="151" w:right="146"/>
              <w:jc w:val="center"/>
              <w:rPr>
                <w:sz w:val="14"/>
              </w:rPr>
            </w:pPr>
            <w:r>
              <w:rPr>
                <w:color w:val="231F20"/>
                <w:sz w:val="14"/>
              </w:rPr>
              <w:t>20</w:t>
            </w:r>
          </w:p>
        </w:tc>
        <w:tc>
          <w:tcPr>
            <w:tcW w:w="1162" w:type="dxa"/>
          </w:tcPr>
          <w:p>
            <w:pPr>
              <w:pStyle w:val="TableParagraph"/>
              <w:spacing w:before="17"/>
              <w:ind w:left="151" w:right="146"/>
              <w:jc w:val="center"/>
              <w:rPr>
                <w:sz w:val="14"/>
              </w:rPr>
            </w:pPr>
            <w:r>
              <w:rPr>
                <w:color w:val="231F20"/>
                <w:sz w:val="14"/>
              </w:rPr>
              <w:t>7 517656,57</w:t>
            </w:r>
          </w:p>
        </w:tc>
        <w:tc>
          <w:tcPr>
            <w:tcW w:w="1162" w:type="dxa"/>
          </w:tcPr>
          <w:p>
            <w:pPr>
              <w:pStyle w:val="TableParagraph"/>
              <w:spacing w:before="17"/>
              <w:ind w:left="152" w:right="146"/>
              <w:jc w:val="center"/>
              <w:rPr>
                <w:sz w:val="14"/>
              </w:rPr>
            </w:pPr>
            <w:r>
              <w:rPr>
                <w:color w:val="231F20"/>
                <w:sz w:val="14"/>
              </w:rPr>
              <w:t>4 950134,33</w:t>
            </w:r>
          </w:p>
        </w:tc>
        <w:tc>
          <w:tcPr>
            <w:tcW w:w="1162" w:type="dxa"/>
          </w:tcPr>
          <w:p>
            <w:pPr>
              <w:pStyle w:val="TableParagraph"/>
              <w:spacing w:before="17"/>
              <w:ind w:left="152" w:right="146"/>
              <w:jc w:val="center"/>
              <w:rPr>
                <w:sz w:val="14"/>
              </w:rPr>
            </w:pPr>
            <w:r>
              <w:rPr>
                <w:color w:val="231F20"/>
                <w:sz w:val="14"/>
              </w:rPr>
              <w:t>36</w:t>
            </w:r>
          </w:p>
        </w:tc>
        <w:tc>
          <w:tcPr>
            <w:tcW w:w="1162" w:type="dxa"/>
          </w:tcPr>
          <w:p>
            <w:pPr>
              <w:pStyle w:val="TableParagraph"/>
              <w:spacing w:before="17"/>
              <w:ind w:left="152" w:right="146"/>
              <w:jc w:val="center"/>
              <w:rPr>
                <w:sz w:val="14"/>
              </w:rPr>
            </w:pPr>
            <w:r>
              <w:rPr>
                <w:color w:val="231F20"/>
                <w:sz w:val="14"/>
              </w:rPr>
              <w:t>7 517801,39</w:t>
            </w:r>
          </w:p>
        </w:tc>
        <w:tc>
          <w:tcPr>
            <w:tcW w:w="1162" w:type="dxa"/>
          </w:tcPr>
          <w:p>
            <w:pPr>
              <w:pStyle w:val="TableParagraph"/>
              <w:spacing w:before="17"/>
              <w:ind w:left="152" w:right="146"/>
              <w:jc w:val="center"/>
              <w:rPr>
                <w:sz w:val="14"/>
              </w:rPr>
            </w:pPr>
            <w:r>
              <w:rPr>
                <w:color w:val="231F20"/>
                <w:sz w:val="14"/>
              </w:rPr>
              <w:t>4 950401,36</w:t>
            </w:r>
          </w:p>
        </w:tc>
      </w:tr>
      <w:tr>
        <w:trPr>
          <w:trHeight w:val="200" w:hRule="atLeast"/>
        </w:trPr>
        <w:tc>
          <w:tcPr>
            <w:tcW w:w="1162" w:type="dxa"/>
          </w:tcPr>
          <w:p>
            <w:pPr>
              <w:pStyle w:val="TableParagraph"/>
              <w:spacing w:before="17"/>
              <w:ind w:left="3"/>
              <w:jc w:val="center"/>
              <w:rPr>
                <w:sz w:val="14"/>
              </w:rPr>
            </w:pPr>
            <w:r>
              <w:rPr>
                <w:color w:val="231F20"/>
                <w:sz w:val="14"/>
              </w:rPr>
              <w:t>5</w:t>
            </w:r>
          </w:p>
        </w:tc>
        <w:tc>
          <w:tcPr>
            <w:tcW w:w="1162" w:type="dxa"/>
          </w:tcPr>
          <w:p>
            <w:pPr>
              <w:pStyle w:val="TableParagraph"/>
              <w:spacing w:before="17"/>
              <w:ind w:left="149" w:right="146"/>
              <w:jc w:val="center"/>
              <w:rPr>
                <w:sz w:val="14"/>
              </w:rPr>
            </w:pPr>
            <w:r>
              <w:rPr>
                <w:color w:val="231F20"/>
                <w:sz w:val="14"/>
              </w:rPr>
              <w:t>7 517322,14</w:t>
            </w:r>
          </w:p>
        </w:tc>
        <w:tc>
          <w:tcPr>
            <w:tcW w:w="1162" w:type="dxa"/>
          </w:tcPr>
          <w:p>
            <w:pPr>
              <w:pStyle w:val="TableParagraph"/>
              <w:spacing w:before="17"/>
              <w:ind w:left="150" w:right="146"/>
              <w:jc w:val="center"/>
              <w:rPr>
                <w:sz w:val="14"/>
              </w:rPr>
            </w:pPr>
            <w:r>
              <w:rPr>
                <w:color w:val="231F20"/>
                <w:sz w:val="14"/>
              </w:rPr>
              <w:t>4 949658,14</w:t>
            </w:r>
          </w:p>
        </w:tc>
        <w:tc>
          <w:tcPr>
            <w:tcW w:w="1162" w:type="dxa"/>
          </w:tcPr>
          <w:p>
            <w:pPr>
              <w:pStyle w:val="TableParagraph"/>
              <w:spacing w:before="17"/>
              <w:ind w:left="150" w:right="146"/>
              <w:jc w:val="center"/>
              <w:rPr>
                <w:sz w:val="14"/>
              </w:rPr>
            </w:pPr>
            <w:r>
              <w:rPr>
                <w:color w:val="231F20"/>
                <w:sz w:val="14"/>
              </w:rPr>
              <w:t>21</w:t>
            </w:r>
          </w:p>
        </w:tc>
        <w:tc>
          <w:tcPr>
            <w:tcW w:w="1162" w:type="dxa"/>
          </w:tcPr>
          <w:p>
            <w:pPr>
              <w:pStyle w:val="TableParagraph"/>
              <w:spacing w:before="17"/>
              <w:ind w:left="150" w:right="146"/>
              <w:jc w:val="center"/>
              <w:rPr>
                <w:sz w:val="14"/>
              </w:rPr>
            </w:pPr>
            <w:r>
              <w:rPr>
                <w:color w:val="231F20"/>
                <w:sz w:val="14"/>
              </w:rPr>
              <w:t>7 517663,53</w:t>
            </w:r>
          </w:p>
        </w:tc>
        <w:tc>
          <w:tcPr>
            <w:tcW w:w="1162" w:type="dxa"/>
          </w:tcPr>
          <w:p>
            <w:pPr>
              <w:pStyle w:val="TableParagraph"/>
              <w:spacing w:before="17"/>
              <w:ind w:left="150" w:right="146"/>
              <w:jc w:val="center"/>
              <w:rPr>
                <w:sz w:val="14"/>
              </w:rPr>
            </w:pPr>
            <w:r>
              <w:rPr>
                <w:color w:val="231F20"/>
                <w:sz w:val="14"/>
              </w:rPr>
              <w:t>4 950084,25</w:t>
            </w:r>
          </w:p>
        </w:tc>
        <w:tc>
          <w:tcPr>
            <w:tcW w:w="1162" w:type="dxa"/>
          </w:tcPr>
          <w:p>
            <w:pPr>
              <w:pStyle w:val="TableParagraph"/>
              <w:spacing w:before="17"/>
              <w:ind w:left="151" w:right="146"/>
              <w:jc w:val="center"/>
              <w:rPr>
                <w:sz w:val="14"/>
              </w:rPr>
            </w:pPr>
            <w:r>
              <w:rPr>
                <w:color w:val="231F20"/>
                <w:sz w:val="14"/>
              </w:rPr>
              <w:t>37</w:t>
            </w:r>
          </w:p>
        </w:tc>
        <w:tc>
          <w:tcPr>
            <w:tcW w:w="1162" w:type="dxa"/>
          </w:tcPr>
          <w:p>
            <w:pPr>
              <w:pStyle w:val="TableParagraph"/>
              <w:spacing w:before="17"/>
              <w:ind w:left="151" w:right="146"/>
              <w:jc w:val="center"/>
              <w:rPr>
                <w:sz w:val="14"/>
              </w:rPr>
            </w:pPr>
            <w:r>
              <w:rPr>
                <w:color w:val="231F20"/>
                <w:sz w:val="14"/>
              </w:rPr>
              <w:t>7 517796,27</w:t>
            </w:r>
          </w:p>
        </w:tc>
        <w:tc>
          <w:tcPr>
            <w:tcW w:w="1162" w:type="dxa"/>
          </w:tcPr>
          <w:p>
            <w:pPr>
              <w:pStyle w:val="TableParagraph"/>
              <w:spacing w:before="17"/>
              <w:ind w:left="151" w:right="146"/>
              <w:jc w:val="center"/>
              <w:rPr>
                <w:sz w:val="14"/>
              </w:rPr>
            </w:pPr>
            <w:r>
              <w:rPr>
                <w:color w:val="231F20"/>
                <w:sz w:val="14"/>
              </w:rPr>
              <w:t>4 950445,47</w:t>
            </w:r>
          </w:p>
        </w:tc>
      </w:tr>
      <w:tr>
        <w:trPr>
          <w:trHeight w:val="200" w:hRule="atLeast"/>
        </w:trPr>
        <w:tc>
          <w:tcPr>
            <w:tcW w:w="1162" w:type="dxa"/>
          </w:tcPr>
          <w:p>
            <w:pPr>
              <w:pStyle w:val="TableParagraph"/>
              <w:spacing w:before="17"/>
              <w:ind w:left="2"/>
              <w:jc w:val="center"/>
              <w:rPr>
                <w:sz w:val="14"/>
              </w:rPr>
            </w:pPr>
            <w:r>
              <w:rPr>
                <w:color w:val="231F20"/>
                <w:sz w:val="14"/>
              </w:rPr>
              <w:t>6</w:t>
            </w:r>
          </w:p>
        </w:tc>
        <w:tc>
          <w:tcPr>
            <w:tcW w:w="1162" w:type="dxa"/>
          </w:tcPr>
          <w:p>
            <w:pPr>
              <w:pStyle w:val="TableParagraph"/>
              <w:spacing w:before="17"/>
              <w:ind w:left="148" w:right="146"/>
              <w:jc w:val="center"/>
              <w:rPr>
                <w:sz w:val="14"/>
              </w:rPr>
            </w:pPr>
            <w:r>
              <w:rPr>
                <w:color w:val="231F20"/>
                <w:sz w:val="14"/>
              </w:rPr>
              <w:t>7 517361,61</w:t>
            </w:r>
          </w:p>
        </w:tc>
        <w:tc>
          <w:tcPr>
            <w:tcW w:w="1162" w:type="dxa"/>
          </w:tcPr>
          <w:p>
            <w:pPr>
              <w:pStyle w:val="TableParagraph"/>
              <w:spacing w:before="17"/>
              <w:ind w:left="149" w:right="146"/>
              <w:jc w:val="center"/>
              <w:rPr>
                <w:sz w:val="14"/>
              </w:rPr>
            </w:pPr>
            <w:r>
              <w:rPr>
                <w:color w:val="231F20"/>
                <w:sz w:val="14"/>
              </w:rPr>
              <w:t>4 949730,03</w:t>
            </w:r>
          </w:p>
        </w:tc>
        <w:tc>
          <w:tcPr>
            <w:tcW w:w="1162" w:type="dxa"/>
          </w:tcPr>
          <w:p>
            <w:pPr>
              <w:pStyle w:val="TableParagraph"/>
              <w:spacing w:before="17"/>
              <w:ind w:left="149" w:right="146"/>
              <w:jc w:val="center"/>
              <w:rPr>
                <w:sz w:val="14"/>
              </w:rPr>
            </w:pPr>
            <w:r>
              <w:rPr>
                <w:color w:val="231F20"/>
                <w:sz w:val="14"/>
              </w:rPr>
              <w:t>22</w:t>
            </w:r>
          </w:p>
        </w:tc>
        <w:tc>
          <w:tcPr>
            <w:tcW w:w="1162" w:type="dxa"/>
          </w:tcPr>
          <w:p>
            <w:pPr>
              <w:pStyle w:val="TableParagraph"/>
              <w:spacing w:before="17"/>
              <w:ind w:left="149" w:right="146"/>
              <w:jc w:val="center"/>
              <w:rPr>
                <w:sz w:val="14"/>
              </w:rPr>
            </w:pPr>
            <w:r>
              <w:rPr>
                <w:color w:val="231F20"/>
                <w:sz w:val="14"/>
              </w:rPr>
              <w:t>7 517786,29</w:t>
            </w:r>
          </w:p>
        </w:tc>
        <w:tc>
          <w:tcPr>
            <w:tcW w:w="1162" w:type="dxa"/>
          </w:tcPr>
          <w:p>
            <w:pPr>
              <w:pStyle w:val="TableParagraph"/>
              <w:spacing w:before="17"/>
              <w:ind w:left="149" w:right="146"/>
              <w:jc w:val="center"/>
              <w:rPr>
                <w:sz w:val="14"/>
              </w:rPr>
            </w:pPr>
            <w:r>
              <w:rPr>
                <w:color w:val="231F20"/>
                <w:sz w:val="14"/>
              </w:rPr>
              <w:t>4 950069,41</w:t>
            </w:r>
          </w:p>
        </w:tc>
        <w:tc>
          <w:tcPr>
            <w:tcW w:w="1162" w:type="dxa"/>
          </w:tcPr>
          <w:p>
            <w:pPr>
              <w:pStyle w:val="TableParagraph"/>
              <w:spacing w:before="17"/>
              <w:ind w:left="150" w:right="146"/>
              <w:jc w:val="center"/>
              <w:rPr>
                <w:sz w:val="14"/>
              </w:rPr>
            </w:pPr>
            <w:r>
              <w:rPr>
                <w:color w:val="231F20"/>
                <w:sz w:val="14"/>
              </w:rPr>
              <w:t>38</w:t>
            </w:r>
          </w:p>
        </w:tc>
        <w:tc>
          <w:tcPr>
            <w:tcW w:w="1162" w:type="dxa"/>
          </w:tcPr>
          <w:p>
            <w:pPr>
              <w:pStyle w:val="TableParagraph"/>
              <w:spacing w:before="17"/>
              <w:ind w:left="150" w:right="146"/>
              <w:jc w:val="center"/>
              <w:rPr>
                <w:sz w:val="14"/>
              </w:rPr>
            </w:pPr>
            <w:r>
              <w:rPr>
                <w:color w:val="231F20"/>
                <w:sz w:val="14"/>
              </w:rPr>
              <w:t>7 517774,57</w:t>
            </w:r>
          </w:p>
        </w:tc>
        <w:tc>
          <w:tcPr>
            <w:tcW w:w="1162" w:type="dxa"/>
          </w:tcPr>
          <w:p>
            <w:pPr>
              <w:pStyle w:val="TableParagraph"/>
              <w:spacing w:before="17"/>
              <w:ind w:left="150" w:right="146"/>
              <w:jc w:val="center"/>
              <w:rPr>
                <w:sz w:val="14"/>
              </w:rPr>
            </w:pPr>
            <w:r>
              <w:rPr>
                <w:color w:val="231F20"/>
                <w:sz w:val="14"/>
              </w:rPr>
              <w:t>4 950423,14</w:t>
            </w:r>
          </w:p>
        </w:tc>
      </w:tr>
      <w:tr>
        <w:trPr>
          <w:trHeight w:val="200" w:hRule="atLeast"/>
        </w:trPr>
        <w:tc>
          <w:tcPr>
            <w:tcW w:w="1162" w:type="dxa"/>
          </w:tcPr>
          <w:p>
            <w:pPr>
              <w:pStyle w:val="TableParagraph"/>
              <w:spacing w:before="17"/>
              <w:ind w:left="1"/>
              <w:jc w:val="center"/>
              <w:rPr>
                <w:sz w:val="14"/>
              </w:rPr>
            </w:pPr>
            <w:r>
              <w:rPr>
                <w:color w:val="231F20"/>
                <w:sz w:val="14"/>
              </w:rPr>
              <w:t>7</w:t>
            </w:r>
          </w:p>
        </w:tc>
        <w:tc>
          <w:tcPr>
            <w:tcW w:w="1162" w:type="dxa"/>
          </w:tcPr>
          <w:p>
            <w:pPr>
              <w:pStyle w:val="TableParagraph"/>
              <w:spacing w:before="17"/>
              <w:ind w:left="147" w:right="146"/>
              <w:jc w:val="center"/>
              <w:rPr>
                <w:sz w:val="14"/>
              </w:rPr>
            </w:pPr>
            <w:r>
              <w:rPr>
                <w:color w:val="231F20"/>
                <w:sz w:val="14"/>
              </w:rPr>
              <w:t>7 517336,58</w:t>
            </w:r>
          </w:p>
        </w:tc>
        <w:tc>
          <w:tcPr>
            <w:tcW w:w="1162" w:type="dxa"/>
          </w:tcPr>
          <w:p>
            <w:pPr>
              <w:pStyle w:val="TableParagraph"/>
              <w:spacing w:before="17"/>
              <w:ind w:left="147" w:right="146"/>
              <w:jc w:val="center"/>
              <w:rPr>
                <w:sz w:val="14"/>
              </w:rPr>
            </w:pPr>
            <w:r>
              <w:rPr>
                <w:color w:val="231F20"/>
                <w:sz w:val="14"/>
              </w:rPr>
              <w:t>4 949732,19</w:t>
            </w:r>
          </w:p>
        </w:tc>
        <w:tc>
          <w:tcPr>
            <w:tcW w:w="1162" w:type="dxa"/>
          </w:tcPr>
          <w:p>
            <w:pPr>
              <w:pStyle w:val="TableParagraph"/>
              <w:spacing w:before="17"/>
              <w:ind w:left="148" w:right="146"/>
              <w:jc w:val="center"/>
              <w:rPr>
                <w:sz w:val="14"/>
              </w:rPr>
            </w:pPr>
            <w:r>
              <w:rPr>
                <w:color w:val="231F20"/>
                <w:sz w:val="14"/>
              </w:rPr>
              <w:t>23</w:t>
            </w:r>
          </w:p>
        </w:tc>
        <w:tc>
          <w:tcPr>
            <w:tcW w:w="1162" w:type="dxa"/>
          </w:tcPr>
          <w:p>
            <w:pPr>
              <w:pStyle w:val="TableParagraph"/>
              <w:spacing w:before="17"/>
              <w:ind w:left="148" w:right="146"/>
              <w:jc w:val="center"/>
              <w:rPr>
                <w:sz w:val="14"/>
              </w:rPr>
            </w:pPr>
            <w:r>
              <w:rPr>
                <w:color w:val="231F20"/>
                <w:sz w:val="14"/>
              </w:rPr>
              <w:t>7 517811,90</w:t>
            </w:r>
          </w:p>
        </w:tc>
        <w:tc>
          <w:tcPr>
            <w:tcW w:w="1162" w:type="dxa"/>
          </w:tcPr>
          <w:p>
            <w:pPr>
              <w:pStyle w:val="TableParagraph"/>
              <w:spacing w:before="17"/>
              <w:ind w:left="149" w:right="146"/>
              <w:jc w:val="center"/>
              <w:rPr>
                <w:sz w:val="14"/>
              </w:rPr>
            </w:pPr>
            <w:r>
              <w:rPr>
                <w:color w:val="231F20"/>
                <w:sz w:val="14"/>
              </w:rPr>
              <w:t>4 950176,42</w:t>
            </w:r>
          </w:p>
        </w:tc>
        <w:tc>
          <w:tcPr>
            <w:tcW w:w="1162" w:type="dxa"/>
          </w:tcPr>
          <w:p>
            <w:pPr>
              <w:pStyle w:val="TableParagraph"/>
              <w:spacing w:before="17"/>
              <w:ind w:left="149" w:right="146"/>
              <w:jc w:val="center"/>
              <w:rPr>
                <w:sz w:val="14"/>
              </w:rPr>
            </w:pPr>
            <w:r>
              <w:rPr>
                <w:color w:val="231F20"/>
                <w:sz w:val="14"/>
              </w:rPr>
              <w:t>39</w:t>
            </w:r>
          </w:p>
        </w:tc>
        <w:tc>
          <w:tcPr>
            <w:tcW w:w="1162" w:type="dxa"/>
          </w:tcPr>
          <w:p>
            <w:pPr>
              <w:pStyle w:val="TableParagraph"/>
              <w:spacing w:before="17"/>
              <w:ind w:left="149" w:right="146"/>
              <w:jc w:val="center"/>
              <w:rPr>
                <w:sz w:val="14"/>
              </w:rPr>
            </w:pPr>
            <w:r>
              <w:rPr>
                <w:color w:val="231F20"/>
                <w:sz w:val="14"/>
              </w:rPr>
              <w:t>7 517755,93</w:t>
            </w:r>
          </w:p>
        </w:tc>
        <w:tc>
          <w:tcPr>
            <w:tcW w:w="1162" w:type="dxa"/>
          </w:tcPr>
          <w:p>
            <w:pPr>
              <w:pStyle w:val="TableParagraph"/>
              <w:spacing w:before="17"/>
              <w:ind w:left="149" w:right="146"/>
              <w:jc w:val="center"/>
              <w:rPr>
                <w:sz w:val="14"/>
              </w:rPr>
            </w:pPr>
            <w:r>
              <w:rPr>
                <w:color w:val="231F20"/>
                <w:sz w:val="14"/>
              </w:rPr>
              <w:t>4 950601,76</w:t>
            </w:r>
          </w:p>
        </w:tc>
      </w:tr>
      <w:tr>
        <w:trPr>
          <w:trHeight w:val="200" w:hRule="atLeast"/>
        </w:trPr>
        <w:tc>
          <w:tcPr>
            <w:tcW w:w="1162" w:type="dxa"/>
          </w:tcPr>
          <w:p>
            <w:pPr>
              <w:pStyle w:val="TableParagraph"/>
              <w:spacing w:before="17"/>
              <w:jc w:val="center"/>
              <w:rPr>
                <w:sz w:val="14"/>
              </w:rPr>
            </w:pPr>
            <w:r>
              <w:rPr>
                <w:color w:val="231F20"/>
                <w:sz w:val="14"/>
              </w:rPr>
              <w:t>8</w:t>
            </w:r>
          </w:p>
        </w:tc>
        <w:tc>
          <w:tcPr>
            <w:tcW w:w="1162" w:type="dxa"/>
          </w:tcPr>
          <w:p>
            <w:pPr>
              <w:pStyle w:val="TableParagraph"/>
              <w:spacing w:before="17"/>
              <w:ind w:left="146" w:right="146"/>
              <w:jc w:val="center"/>
              <w:rPr>
                <w:sz w:val="14"/>
              </w:rPr>
            </w:pPr>
            <w:r>
              <w:rPr>
                <w:color w:val="231F20"/>
                <w:sz w:val="14"/>
              </w:rPr>
              <w:t>7 517342,23</w:t>
            </w:r>
          </w:p>
        </w:tc>
        <w:tc>
          <w:tcPr>
            <w:tcW w:w="1162" w:type="dxa"/>
          </w:tcPr>
          <w:p>
            <w:pPr>
              <w:pStyle w:val="TableParagraph"/>
              <w:spacing w:before="17"/>
              <w:ind w:left="147" w:right="146"/>
              <w:jc w:val="center"/>
              <w:rPr>
                <w:sz w:val="14"/>
              </w:rPr>
            </w:pPr>
            <w:r>
              <w:rPr>
                <w:color w:val="231F20"/>
                <w:sz w:val="14"/>
              </w:rPr>
              <w:t>4 949760,85</w:t>
            </w:r>
          </w:p>
        </w:tc>
        <w:tc>
          <w:tcPr>
            <w:tcW w:w="1162" w:type="dxa"/>
          </w:tcPr>
          <w:p>
            <w:pPr>
              <w:pStyle w:val="TableParagraph"/>
              <w:spacing w:before="17"/>
              <w:ind w:left="147" w:right="146"/>
              <w:jc w:val="center"/>
              <w:rPr>
                <w:sz w:val="14"/>
              </w:rPr>
            </w:pPr>
            <w:r>
              <w:rPr>
                <w:color w:val="231F20"/>
                <w:sz w:val="14"/>
              </w:rPr>
              <w:t>24</w:t>
            </w:r>
          </w:p>
        </w:tc>
        <w:tc>
          <w:tcPr>
            <w:tcW w:w="1162" w:type="dxa"/>
          </w:tcPr>
          <w:p>
            <w:pPr>
              <w:pStyle w:val="TableParagraph"/>
              <w:spacing w:before="17"/>
              <w:ind w:left="147" w:right="146"/>
              <w:jc w:val="center"/>
              <w:rPr>
                <w:sz w:val="14"/>
              </w:rPr>
            </w:pPr>
            <w:r>
              <w:rPr>
                <w:color w:val="231F20"/>
                <w:sz w:val="14"/>
              </w:rPr>
              <w:t>7 517675,31</w:t>
            </w:r>
          </w:p>
        </w:tc>
        <w:tc>
          <w:tcPr>
            <w:tcW w:w="1162" w:type="dxa"/>
          </w:tcPr>
          <w:p>
            <w:pPr>
              <w:pStyle w:val="TableParagraph"/>
              <w:spacing w:before="17"/>
              <w:ind w:left="147" w:right="146"/>
              <w:jc w:val="center"/>
              <w:rPr>
                <w:sz w:val="14"/>
              </w:rPr>
            </w:pPr>
            <w:r>
              <w:rPr>
                <w:color w:val="231F20"/>
                <w:sz w:val="14"/>
              </w:rPr>
              <w:t>4 950212,29</w:t>
            </w:r>
          </w:p>
        </w:tc>
        <w:tc>
          <w:tcPr>
            <w:tcW w:w="1162" w:type="dxa"/>
          </w:tcPr>
          <w:p>
            <w:pPr>
              <w:pStyle w:val="TableParagraph"/>
              <w:spacing w:before="17"/>
              <w:ind w:left="148" w:right="146"/>
              <w:jc w:val="center"/>
              <w:rPr>
                <w:sz w:val="14"/>
              </w:rPr>
            </w:pPr>
            <w:r>
              <w:rPr>
                <w:color w:val="231F20"/>
                <w:sz w:val="14"/>
              </w:rPr>
              <w:t>40</w:t>
            </w:r>
          </w:p>
        </w:tc>
        <w:tc>
          <w:tcPr>
            <w:tcW w:w="1162" w:type="dxa"/>
          </w:tcPr>
          <w:p>
            <w:pPr>
              <w:pStyle w:val="TableParagraph"/>
              <w:spacing w:before="17"/>
              <w:ind w:left="148" w:right="146"/>
              <w:jc w:val="center"/>
              <w:rPr>
                <w:sz w:val="14"/>
              </w:rPr>
            </w:pPr>
            <w:r>
              <w:rPr>
                <w:color w:val="231F20"/>
                <w:sz w:val="14"/>
              </w:rPr>
              <w:t>7 517726,78</w:t>
            </w:r>
          </w:p>
        </w:tc>
        <w:tc>
          <w:tcPr>
            <w:tcW w:w="1162" w:type="dxa"/>
          </w:tcPr>
          <w:p>
            <w:pPr>
              <w:pStyle w:val="TableParagraph"/>
              <w:spacing w:before="17"/>
              <w:ind w:left="148" w:right="146"/>
              <w:jc w:val="center"/>
              <w:rPr>
                <w:sz w:val="14"/>
              </w:rPr>
            </w:pPr>
            <w:r>
              <w:rPr>
                <w:color w:val="231F20"/>
                <w:sz w:val="14"/>
              </w:rPr>
              <w:t>4 950615,15</w:t>
            </w:r>
          </w:p>
        </w:tc>
      </w:tr>
      <w:tr>
        <w:trPr>
          <w:trHeight w:val="200" w:hRule="atLeast"/>
        </w:trPr>
        <w:tc>
          <w:tcPr>
            <w:tcW w:w="1162" w:type="dxa"/>
          </w:tcPr>
          <w:p>
            <w:pPr>
              <w:pStyle w:val="TableParagraph"/>
              <w:spacing w:before="17"/>
              <w:jc w:val="center"/>
              <w:rPr>
                <w:sz w:val="14"/>
              </w:rPr>
            </w:pPr>
            <w:r>
              <w:rPr>
                <w:color w:val="231F20"/>
                <w:sz w:val="14"/>
              </w:rPr>
              <w:t>9</w:t>
            </w:r>
          </w:p>
        </w:tc>
        <w:tc>
          <w:tcPr>
            <w:tcW w:w="1162" w:type="dxa"/>
          </w:tcPr>
          <w:p>
            <w:pPr>
              <w:pStyle w:val="TableParagraph"/>
              <w:spacing w:before="17"/>
              <w:ind w:left="146" w:right="146"/>
              <w:jc w:val="center"/>
              <w:rPr>
                <w:sz w:val="14"/>
              </w:rPr>
            </w:pPr>
            <w:r>
              <w:rPr>
                <w:color w:val="231F20"/>
                <w:sz w:val="14"/>
              </w:rPr>
              <w:t>7 517366,69</w:t>
            </w:r>
          </w:p>
        </w:tc>
        <w:tc>
          <w:tcPr>
            <w:tcW w:w="1162" w:type="dxa"/>
          </w:tcPr>
          <w:p>
            <w:pPr>
              <w:pStyle w:val="TableParagraph"/>
              <w:spacing w:before="17"/>
              <w:ind w:left="146" w:right="146"/>
              <w:jc w:val="center"/>
              <w:rPr>
                <w:sz w:val="14"/>
              </w:rPr>
            </w:pPr>
            <w:r>
              <w:rPr>
                <w:color w:val="231F20"/>
                <w:sz w:val="14"/>
              </w:rPr>
              <w:t>4 949755,47</w:t>
            </w:r>
          </w:p>
        </w:tc>
        <w:tc>
          <w:tcPr>
            <w:tcW w:w="1162" w:type="dxa"/>
          </w:tcPr>
          <w:p>
            <w:pPr>
              <w:pStyle w:val="TableParagraph"/>
              <w:spacing w:before="17"/>
              <w:ind w:left="146" w:right="146"/>
              <w:jc w:val="center"/>
              <w:rPr>
                <w:sz w:val="14"/>
              </w:rPr>
            </w:pPr>
            <w:r>
              <w:rPr>
                <w:color w:val="231F20"/>
                <w:sz w:val="14"/>
              </w:rPr>
              <w:t>25</w:t>
            </w:r>
          </w:p>
        </w:tc>
        <w:tc>
          <w:tcPr>
            <w:tcW w:w="1162" w:type="dxa"/>
          </w:tcPr>
          <w:p>
            <w:pPr>
              <w:pStyle w:val="TableParagraph"/>
              <w:spacing w:before="17"/>
              <w:ind w:left="146" w:right="146"/>
              <w:jc w:val="center"/>
              <w:rPr>
                <w:sz w:val="14"/>
              </w:rPr>
            </w:pPr>
            <w:r>
              <w:rPr>
                <w:color w:val="231F20"/>
                <w:sz w:val="14"/>
              </w:rPr>
              <w:t>7 517735,69</w:t>
            </w:r>
          </w:p>
        </w:tc>
        <w:tc>
          <w:tcPr>
            <w:tcW w:w="1162" w:type="dxa"/>
          </w:tcPr>
          <w:p>
            <w:pPr>
              <w:pStyle w:val="TableParagraph"/>
              <w:spacing w:before="17"/>
              <w:ind w:left="146" w:right="146"/>
              <w:jc w:val="center"/>
              <w:rPr>
                <w:sz w:val="14"/>
              </w:rPr>
            </w:pPr>
            <w:r>
              <w:rPr>
                <w:color w:val="231F20"/>
                <w:sz w:val="14"/>
              </w:rPr>
              <w:t>4 950219,41</w:t>
            </w:r>
          </w:p>
        </w:tc>
        <w:tc>
          <w:tcPr>
            <w:tcW w:w="1162" w:type="dxa"/>
          </w:tcPr>
          <w:p>
            <w:pPr>
              <w:pStyle w:val="TableParagraph"/>
              <w:spacing w:before="17"/>
              <w:ind w:left="147" w:right="146"/>
              <w:jc w:val="center"/>
              <w:rPr>
                <w:sz w:val="14"/>
              </w:rPr>
            </w:pPr>
            <w:r>
              <w:rPr>
                <w:color w:val="231F20"/>
                <w:sz w:val="14"/>
              </w:rPr>
              <w:t>41</w:t>
            </w:r>
          </w:p>
        </w:tc>
        <w:tc>
          <w:tcPr>
            <w:tcW w:w="1162" w:type="dxa"/>
          </w:tcPr>
          <w:p>
            <w:pPr>
              <w:pStyle w:val="TableParagraph"/>
              <w:spacing w:before="17"/>
              <w:ind w:left="147" w:right="146"/>
              <w:jc w:val="center"/>
              <w:rPr>
                <w:sz w:val="14"/>
              </w:rPr>
            </w:pPr>
            <w:r>
              <w:rPr>
                <w:color w:val="231F20"/>
                <w:sz w:val="14"/>
              </w:rPr>
              <w:t>7 517725,45</w:t>
            </w:r>
          </w:p>
        </w:tc>
        <w:tc>
          <w:tcPr>
            <w:tcW w:w="1162" w:type="dxa"/>
          </w:tcPr>
          <w:p>
            <w:pPr>
              <w:pStyle w:val="TableParagraph"/>
              <w:spacing w:before="17"/>
              <w:ind w:left="147" w:right="146"/>
              <w:jc w:val="center"/>
              <w:rPr>
                <w:sz w:val="14"/>
              </w:rPr>
            </w:pPr>
            <w:r>
              <w:rPr>
                <w:color w:val="231F20"/>
                <w:sz w:val="14"/>
              </w:rPr>
              <w:t>4 950645,27</w:t>
            </w:r>
          </w:p>
        </w:tc>
      </w:tr>
      <w:tr>
        <w:trPr>
          <w:trHeight w:val="200" w:hRule="atLeast"/>
        </w:trPr>
        <w:tc>
          <w:tcPr>
            <w:tcW w:w="1162" w:type="dxa"/>
          </w:tcPr>
          <w:p>
            <w:pPr>
              <w:pStyle w:val="TableParagraph"/>
              <w:spacing w:before="17"/>
              <w:ind w:left="145" w:right="146"/>
              <w:jc w:val="center"/>
              <w:rPr>
                <w:sz w:val="14"/>
              </w:rPr>
            </w:pPr>
            <w:r>
              <w:rPr>
                <w:color w:val="231F20"/>
                <w:sz w:val="14"/>
              </w:rPr>
              <w:t>10</w:t>
            </w:r>
          </w:p>
        </w:tc>
        <w:tc>
          <w:tcPr>
            <w:tcW w:w="1162" w:type="dxa"/>
          </w:tcPr>
          <w:p>
            <w:pPr>
              <w:pStyle w:val="TableParagraph"/>
              <w:spacing w:before="17"/>
              <w:ind w:left="145" w:right="146"/>
              <w:jc w:val="center"/>
              <w:rPr>
                <w:sz w:val="14"/>
              </w:rPr>
            </w:pPr>
            <w:r>
              <w:rPr>
                <w:color w:val="231F20"/>
                <w:sz w:val="14"/>
              </w:rPr>
              <w:t>7 517386,98</w:t>
            </w:r>
          </w:p>
        </w:tc>
        <w:tc>
          <w:tcPr>
            <w:tcW w:w="1162" w:type="dxa"/>
          </w:tcPr>
          <w:p>
            <w:pPr>
              <w:pStyle w:val="TableParagraph"/>
              <w:spacing w:before="17"/>
              <w:ind w:left="145" w:right="146"/>
              <w:jc w:val="center"/>
              <w:rPr>
                <w:sz w:val="14"/>
              </w:rPr>
            </w:pPr>
            <w:r>
              <w:rPr>
                <w:color w:val="231F20"/>
                <w:sz w:val="14"/>
              </w:rPr>
              <w:t>4 949871,59</w:t>
            </w:r>
          </w:p>
        </w:tc>
        <w:tc>
          <w:tcPr>
            <w:tcW w:w="1162" w:type="dxa"/>
          </w:tcPr>
          <w:p>
            <w:pPr>
              <w:pStyle w:val="TableParagraph"/>
              <w:spacing w:before="17"/>
              <w:ind w:left="146" w:right="146"/>
              <w:jc w:val="center"/>
              <w:rPr>
                <w:sz w:val="14"/>
              </w:rPr>
            </w:pPr>
            <w:r>
              <w:rPr>
                <w:color w:val="231F20"/>
                <w:sz w:val="14"/>
              </w:rPr>
              <w:t>26</w:t>
            </w:r>
          </w:p>
        </w:tc>
        <w:tc>
          <w:tcPr>
            <w:tcW w:w="1162" w:type="dxa"/>
          </w:tcPr>
          <w:p>
            <w:pPr>
              <w:pStyle w:val="TableParagraph"/>
              <w:spacing w:before="17"/>
              <w:ind w:left="146" w:right="146"/>
              <w:jc w:val="center"/>
              <w:rPr>
                <w:sz w:val="14"/>
              </w:rPr>
            </w:pPr>
            <w:r>
              <w:rPr>
                <w:color w:val="231F20"/>
                <w:sz w:val="14"/>
              </w:rPr>
              <w:t>7 517759.96</w:t>
            </w:r>
          </w:p>
        </w:tc>
        <w:tc>
          <w:tcPr>
            <w:tcW w:w="1162" w:type="dxa"/>
          </w:tcPr>
          <w:p>
            <w:pPr>
              <w:pStyle w:val="TableParagraph"/>
              <w:spacing w:before="17"/>
              <w:ind w:left="146" w:right="146"/>
              <w:jc w:val="center"/>
              <w:rPr>
                <w:sz w:val="14"/>
              </w:rPr>
            </w:pPr>
            <w:r>
              <w:rPr>
                <w:color w:val="231F20"/>
                <w:sz w:val="14"/>
              </w:rPr>
              <w:t>4 950213,42</w:t>
            </w:r>
          </w:p>
        </w:tc>
        <w:tc>
          <w:tcPr>
            <w:tcW w:w="1162" w:type="dxa"/>
          </w:tcPr>
          <w:p>
            <w:pPr>
              <w:pStyle w:val="TableParagraph"/>
              <w:spacing w:before="17"/>
              <w:ind w:left="146" w:right="146"/>
              <w:jc w:val="center"/>
              <w:rPr>
                <w:sz w:val="14"/>
              </w:rPr>
            </w:pPr>
            <w:r>
              <w:rPr>
                <w:color w:val="231F20"/>
                <w:sz w:val="14"/>
              </w:rPr>
              <w:t>42</w:t>
            </w:r>
          </w:p>
        </w:tc>
        <w:tc>
          <w:tcPr>
            <w:tcW w:w="1162" w:type="dxa"/>
          </w:tcPr>
          <w:p>
            <w:pPr>
              <w:pStyle w:val="TableParagraph"/>
              <w:spacing w:before="17"/>
              <w:ind w:left="146" w:right="146"/>
              <w:jc w:val="center"/>
              <w:rPr>
                <w:sz w:val="14"/>
              </w:rPr>
            </w:pPr>
            <w:r>
              <w:rPr>
                <w:color w:val="231F20"/>
                <w:sz w:val="14"/>
              </w:rPr>
              <w:t>7 517755,03</w:t>
            </w:r>
          </w:p>
        </w:tc>
        <w:tc>
          <w:tcPr>
            <w:tcW w:w="1162" w:type="dxa"/>
          </w:tcPr>
          <w:p>
            <w:pPr>
              <w:pStyle w:val="TableParagraph"/>
              <w:spacing w:before="17"/>
              <w:ind w:left="146" w:right="146"/>
              <w:jc w:val="center"/>
              <w:rPr>
                <w:sz w:val="14"/>
              </w:rPr>
            </w:pPr>
            <w:r>
              <w:rPr>
                <w:color w:val="231F20"/>
                <w:sz w:val="14"/>
              </w:rPr>
              <w:t>4 950640,55</w:t>
            </w:r>
          </w:p>
        </w:tc>
      </w:tr>
      <w:tr>
        <w:trPr>
          <w:trHeight w:val="200" w:hRule="atLeast"/>
        </w:trPr>
        <w:tc>
          <w:tcPr>
            <w:tcW w:w="1162" w:type="dxa"/>
          </w:tcPr>
          <w:p>
            <w:pPr>
              <w:pStyle w:val="TableParagraph"/>
              <w:spacing w:before="17"/>
              <w:ind w:left="146" w:right="146"/>
              <w:jc w:val="center"/>
              <w:rPr>
                <w:sz w:val="14"/>
              </w:rPr>
            </w:pPr>
            <w:r>
              <w:rPr>
                <w:color w:val="231F20"/>
                <w:sz w:val="14"/>
              </w:rPr>
              <w:t>11</w:t>
            </w:r>
          </w:p>
        </w:tc>
        <w:tc>
          <w:tcPr>
            <w:tcW w:w="1162" w:type="dxa"/>
          </w:tcPr>
          <w:p>
            <w:pPr>
              <w:pStyle w:val="TableParagraph"/>
              <w:spacing w:before="17"/>
              <w:ind w:left="146" w:right="146"/>
              <w:jc w:val="center"/>
              <w:rPr>
                <w:sz w:val="14"/>
              </w:rPr>
            </w:pPr>
            <w:r>
              <w:rPr>
                <w:color w:val="231F20"/>
                <w:sz w:val="14"/>
              </w:rPr>
              <w:t>7 517409,53</w:t>
            </w:r>
          </w:p>
        </w:tc>
        <w:tc>
          <w:tcPr>
            <w:tcW w:w="1162" w:type="dxa"/>
          </w:tcPr>
          <w:p>
            <w:pPr>
              <w:pStyle w:val="TableParagraph"/>
              <w:spacing w:before="17"/>
              <w:ind w:left="146" w:right="146"/>
              <w:jc w:val="center"/>
              <w:rPr>
                <w:sz w:val="14"/>
              </w:rPr>
            </w:pPr>
            <w:r>
              <w:rPr>
                <w:color w:val="231F20"/>
                <w:sz w:val="14"/>
              </w:rPr>
              <w:t>4 949859,89</w:t>
            </w:r>
          </w:p>
        </w:tc>
        <w:tc>
          <w:tcPr>
            <w:tcW w:w="1162" w:type="dxa"/>
          </w:tcPr>
          <w:p>
            <w:pPr>
              <w:pStyle w:val="TableParagraph"/>
              <w:spacing w:before="17"/>
              <w:ind w:left="145" w:right="146"/>
              <w:jc w:val="center"/>
              <w:rPr>
                <w:sz w:val="14"/>
              </w:rPr>
            </w:pPr>
            <w:r>
              <w:rPr>
                <w:color w:val="231F20"/>
                <w:sz w:val="14"/>
              </w:rPr>
              <w:t>27</w:t>
            </w:r>
          </w:p>
        </w:tc>
        <w:tc>
          <w:tcPr>
            <w:tcW w:w="1162" w:type="dxa"/>
          </w:tcPr>
          <w:p>
            <w:pPr>
              <w:pStyle w:val="TableParagraph"/>
              <w:spacing w:before="17"/>
              <w:ind w:left="145" w:right="146"/>
              <w:jc w:val="center"/>
              <w:rPr>
                <w:sz w:val="14"/>
              </w:rPr>
            </w:pPr>
            <w:r>
              <w:rPr>
                <w:color w:val="231F20"/>
                <w:sz w:val="14"/>
              </w:rPr>
              <w:t>7 517734,77</w:t>
            </w:r>
          </w:p>
        </w:tc>
        <w:tc>
          <w:tcPr>
            <w:tcW w:w="1162" w:type="dxa"/>
          </w:tcPr>
          <w:p>
            <w:pPr>
              <w:pStyle w:val="TableParagraph"/>
              <w:spacing w:before="17"/>
              <w:ind w:left="145" w:right="146"/>
              <w:jc w:val="center"/>
              <w:rPr>
                <w:sz w:val="14"/>
              </w:rPr>
            </w:pPr>
            <w:r>
              <w:rPr>
                <w:color w:val="231F20"/>
                <w:sz w:val="14"/>
              </w:rPr>
              <w:t>4 950252,24</w:t>
            </w:r>
          </w:p>
        </w:tc>
        <w:tc>
          <w:tcPr>
            <w:tcW w:w="1162" w:type="dxa"/>
          </w:tcPr>
          <w:p>
            <w:pPr>
              <w:pStyle w:val="TableParagraph"/>
              <w:spacing w:before="17"/>
              <w:ind w:left="146" w:right="146"/>
              <w:jc w:val="center"/>
              <w:rPr>
                <w:sz w:val="14"/>
              </w:rPr>
            </w:pPr>
            <w:r>
              <w:rPr>
                <w:color w:val="231F20"/>
                <w:sz w:val="14"/>
              </w:rPr>
              <w:t>43</w:t>
            </w:r>
          </w:p>
        </w:tc>
        <w:tc>
          <w:tcPr>
            <w:tcW w:w="1162" w:type="dxa"/>
          </w:tcPr>
          <w:p>
            <w:pPr>
              <w:pStyle w:val="TableParagraph"/>
              <w:spacing w:before="17"/>
              <w:ind w:left="146" w:right="146"/>
              <w:jc w:val="center"/>
              <w:rPr>
                <w:sz w:val="14"/>
              </w:rPr>
            </w:pPr>
            <w:r>
              <w:rPr>
                <w:color w:val="231F20"/>
                <w:sz w:val="14"/>
              </w:rPr>
              <w:t>7 517744,00</w:t>
            </w:r>
          </w:p>
        </w:tc>
        <w:tc>
          <w:tcPr>
            <w:tcW w:w="1162" w:type="dxa"/>
          </w:tcPr>
          <w:p>
            <w:pPr>
              <w:pStyle w:val="TableParagraph"/>
              <w:spacing w:before="17"/>
              <w:ind w:left="146" w:right="146"/>
              <w:jc w:val="center"/>
              <w:rPr>
                <w:sz w:val="14"/>
              </w:rPr>
            </w:pPr>
            <w:r>
              <w:rPr>
                <w:color w:val="231F20"/>
                <w:sz w:val="14"/>
              </w:rPr>
              <w:t>4 950683,88</w:t>
            </w:r>
          </w:p>
        </w:tc>
      </w:tr>
      <w:tr>
        <w:trPr>
          <w:trHeight w:val="200" w:hRule="atLeast"/>
        </w:trPr>
        <w:tc>
          <w:tcPr>
            <w:tcW w:w="1162" w:type="dxa"/>
          </w:tcPr>
          <w:p>
            <w:pPr>
              <w:pStyle w:val="TableParagraph"/>
              <w:spacing w:before="17"/>
              <w:ind w:left="145" w:right="146"/>
              <w:jc w:val="center"/>
              <w:rPr>
                <w:sz w:val="14"/>
              </w:rPr>
            </w:pPr>
            <w:r>
              <w:rPr>
                <w:color w:val="231F20"/>
                <w:sz w:val="14"/>
              </w:rPr>
              <w:t>12</w:t>
            </w:r>
          </w:p>
        </w:tc>
        <w:tc>
          <w:tcPr>
            <w:tcW w:w="1162" w:type="dxa"/>
          </w:tcPr>
          <w:p>
            <w:pPr>
              <w:pStyle w:val="TableParagraph"/>
              <w:spacing w:before="17"/>
              <w:ind w:left="145" w:right="146"/>
              <w:jc w:val="center"/>
              <w:rPr>
                <w:sz w:val="14"/>
              </w:rPr>
            </w:pPr>
            <w:r>
              <w:rPr>
                <w:color w:val="231F20"/>
                <w:sz w:val="14"/>
              </w:rPr>
              <w:t>7 517394,61</w:t>
            </w:r>
          </w:p>
        </w:tc>
        <w:tc>
          <w:tcPr>
            <w:tcW w:w="1162" w:type="dxa"/>
          </w:tcPr>
          <w:p>
            <w:pPr>
              <w:pStyle w:val="TableParagraph"/>
              <w:spacing w:before="17"/>
              <w:ind w:left="145" w:right="146"/>
              <w:jc w:val="center"/>
              <w:rPr>
                <w:sz w:val="14"/>
              </w:rPr>
            </w:pPr>
            <w:r>
              <w:rPr>
                <w:color w:val="231F20"/>
                <w:sz w:val="14"/>
              </w:rPr>
              <w:t>4 949896,30</w:t>
            </w:r>
          </w:p>
        </w:tc>
        <w:tc>
          <w:tcPr>
            <w:tcW w:w="1162" w:type="dxa"/>
          </w:tcPr>
          <w:p>
            <w:pPr>
              <w:pStyle w:val="TableParagraph"/>
              <w:spacing w:before="17"/>
              <w:ind w:left="146" w:right="146"/>
              <w:jc w:val="center"/>
              <w:rPr>
                <w:sz w:val="14"/>
              </w:rPr>
            </w:pPr>
            <w:r>
              <w:rPr>
                <w:color w:val="231F20"/>
                <w:sz w:val="14"/>
              </w:rPr>
              <w:t>28</w:t>
            </w:r>
          </w:p>
        </w:tc>
        <w:tc>
          <w:tcPr>
            <w:tcW w:w="1162" w:type="dxa"/>
          </w:tcPr>
          <w:p>
            <w:pPr>
              <w:pStyle w:val="TableParagraph"/>
              <w:spacing w:before="17"/>
              <w:ind w:left="146" w:right="146"/>
              <w:jc w:val="center"/>
              <w:rPr>
                <w:sz w:val="14"/>
              </w:rPr>
            </w:pPr>
            <w:r>
              <w:rPr>
                <w:color w:val="231F20"/>
                <w:sz w:val="14"/>
              </w:rPr>
              <w:t>7 517772,81</w:t>
            </w:r>
          </w:p>
        </w:tc>
        <w:tc>
          <w:tcPr>
            <w:tcW w:w="1162" w:type="dxa"/>
          </w:tcPr>
          <w:p>
            <w:pPr>
              <w:pStyle w:val="TableParagraph"/>
              <w:spacing w:before="17"/>
              <w:ind w:left="146" w:right="146"/>
              <w:jc w:val="center"/>
              <w:rPr>
                <w:sz w:val="14"/>
              </w:rPr>
            </w:pPr>
            <w:r>
              <w:rPr>
                <w:color w:val="231F20"/>
                <w:sz w:val="14"/>
              </w:rPr>
              <w:t>4 950238,88</w:t>
            </w:r>
          </w:p>
        </w:tc>
        <w:tc>
          <w:tcPr>
            <w:tcW w:w="1162" w:type="dxa"/>
          </w:tcPr>
          <w:p>
            <w:pPr>
              <w:pStyle w:val="TableParagraph"/>
              <w:spacing w:before="17"/>
              <w:ind w:left="146" w:right="146"/>
              <w:jc w:val="center"/>
              <w:rPr>
                <w:sz w:val="14"/>
              </w:rPr>
            </w:pPr>
            <w:r>
              <w:rPr>
                <w:color w:val="231F20"/>
                <w:sz w:val="14"/>
              </w:rPr>
              <w:t>44</w:t>
            </w:r>
          </w:p>
        </w:tc>
        <w:tc>
          <w:tcPr>
            <w:tcW w:w="1162" w:type="dxa"/>
          </w:tcPr>
          <w:p>
            <w:pPr>
              <w:pStyle w:val="TableParagraph"/>
              <w:spacing w:before="17"/>
              <w:ind w:left="145" w:right="146"/>
              <w:jc w:val="center"/>
              <w:rPr>
                <w:sz w:val="14"/>
              </w:rPr>
            </w:pPr>
            <w:r>
              <w:rPr>
                <w:color w:val="231F20"/>
                <w:sz w:val="14"/>
              </w:rPr>
              <w:t>7 517776,02</w:t>
            </w:r>
          </w:p>
        </w:tc>
        <w:tc>
          <w:tcPr>
            <w:tcW w:w="1162" w:type="dxa"/>
          </w:tcPr>
          <w:p>
            <w:pPr>
              <w:pStyle w:val="TableParagraph"/>
              <w:spacing w:before="17"/>
              <w:ind w:left="145" w:right="146"/>
              <w:jc w:val="center"/>
              <w:rPr>
                <w:sz w:val="14"/>
              </w:rPr>
            </w:pPr>
            <w:r>
              <w:rPr>
                <w:color w:val="231F20"/>
                <w:sz w:val="14"/>
              </w:rPr>
              <w:t>4 950681,95</w:t>
            </w:r>
          </w:p>
        </w:tc>
      </w:tr>
      <w:tr>
        <w:trPr>
          <w:trHeight w:val="200" w:hRule="atLeast"/>
        </w:trPr>
        <w:tc>
          <w:tcPr>
            <w:tcW w:w="1162" w:type="dxa"/>
          </w:tcPr>
          <w:p>
            <w:pPr>
              <w:pStyle w:val="TableParagraph"/>
              <w:spacing w:before="17"/>
              <w:ind w:left="144" w:right="146"/>
              <w:jc w:val="center"/>
              <w:rPr>
                <w:sz w:val="14"/>
              </w:rPr>
            </w:pPr>
            <w:r>
              <w:rPr>
                <w:color w:val="231F20"/>
                <w:sz w:val="14"/>
              </w:rPr>
              <w:t>13</w:t>
            </w:r>
          </w:p>
        </w:tc>
        <w:tc>
          <w:tcPr>
            <w:tcW w:w="1162" w:type="dxa"/>
          </w:tcPr>
          <w:p>
            <w:pPr>
              <w:pStyle w:val="TableParagraph"/>
              <w:spacing w:before="17"/>
              <w:ind w:left="144" w:right="146"/>
              <w:jc w:val="center"/>
              <w:rPr>
                <w:sz w:val="14"/>
              </w:rPr>
            </w:pPr>
            <w:r>
              <w:rPr>
                <w:color w:val="231F20"/>
                <w:sz w:val="14"/>
              </w:rPr>
              <w:t>7 517419,49</w:t>
            </w:r>
          </w:p>
        </w:tc>
        <w:tc>
          <w:tcPr>
            <w:tcW w:w="1162" w:type="dxa"/>
          </w:tcPr>
          <w:p>
            <w:pPr>
              <w:pStyle w:val="TableParagraph"/>
              <w:spacing w:before="17"/>
              <w:ind w:left="144" w:right="146"/>
              <w:jc w:val="center"/>
              <w:rPr>
                <w:sz w:val="14"/>
              </w:rPr>
            </w:pPr>
            <w:r>
              <w:rPr>
                <w:color w:val="231F20"/>
                <w:sz w:val="14"/>
              </w:rPr>
              <w:t>4 949892,84</w:t>
            </w:r>
          </w:p>
        </w:tc>
        <w:tc>
          <w:tcPr>
            <w:tcW w:w="1162" w:type="dxa"/>
          </w:tcPr>
          <w:p>
            <w:pPr>
              <w:pStyle w:val="TableParagraph"/>
              <w:spacing w:before="17"/>
              <w:ind w:left="145" w:right="146"/>
              <w:jc w:val="center"/>
              <w:rPr>
                <w:sz w:val="14"/>
              </w:rPr>
            </w:pPr>
            <w:r>
              <w:rPr>
                <w:color w:val="231F20"/>
                <w:sz w:val="14"/>
              </w:rPr>
              <w:t>29</w:t>
            </w:r>
          </w:p>
        </w:tc>
        <w:tc>
          <w:tcPr>
            <w:tcW w:w="1162" w:type="dxa"/>
          </w:tcPr>
          <w:p>
            <w:pPr>
              <w:pStyle w:val="TableParagraph"/>
              <w:spacing w:before="17"/>
              <w:ind w:left="145" w:right="146"/>
              <w:jc w:val="center"/>
              <w:rPr>
                <w:sz w:val="14"/>
              </w:rPr>
            </w:pPr>
            <w:r>
              <w:rPr>
                <w:color w:val="231F20"/>
                <w:sz w:val="14"/>
              </w:rPr>
              <w:t>7 517740,95</w:t>
            </w:r>
          </w:p>
        </w:tc>
        <w:tc>
          <w:tcPr>
            <w:tcW w:w="1162" w:type="dxa"/>
          </w:tcPr>
          <w:p>
            <w:pPr>
              <w:pStyle w:val="TableParagraph"/>
              <w:spacing w:before="17"/>
              <w:ind w:left="145" w:right="146"/>
              <w:jc w:val="center"/>
              <w:rPr>
                <w:sz w:val="14"/>
              </w:rPr>
            </w:pPr>
            <w:r>
              <w:rPr>
                <w:color w:val="231F20"/>
                <w:sz w:val="14"/>
              </w:rPr>
              <w:t>4 950270,26</w:t>
            </w:r>
          </w:p>
        </w:tc>
        <w:tc>
          <w:tcPr>
            <w:tcW w:w="1162" w:type="dxa"/>
          </w:tcPr>
          <w:p>
            <w:pPr>
              <w:pStyle w:val="TableParagraph"/>
              <w:spacing w:before="17"/>
              <w:ind w:left="145" w:right="146"/>
              <w:jc w:val="center"/>
              <w:rPr>
                <w:sz w:val="14"/>
              </w:rPr>
            </w:pPr>
            <w:r>
              <w:rPr>
                <w:color w:val="231F20"/>
                <w:sz w:val="14"/>
              </w:rPr>
              <w:t>45</w:t>
            </w:r>
          </w:p>
        </w:tc>
        <w:tc>
          <w:tcPr>
            <w:tcW w:w="1162" w:type="dxa"/>
          </w:tcPr>
          <w:p>
            <w:pPr>
              <w:pStyle w:val="TableParagraph"/>
              <w:spacing w:before="17"/>
              <w:ind w:left="146" w:right="146"/>
              <w:jc w:val="center"/>
              <w:rPr>
                <w:sz w:val="14"/>
              </w:rPr>
            </w:pPr>
            <w:r>
              <w:rPr>
                <w:color w:val="231F20"/>
                <w:sz w:val="14"/>
              </w:rPr>
              <w:t>7 517872,98</w:t>
            </w:r>
          </w:p>
        </w:tc>
        <w:tc>
          <w:tcPr>
            <w:tcW w:w="1162" w:type="dxa"/>
          </w:tcPr>
          <w:p>
            <w:pPr>
              <w:pStyle w:val="TableParagraph"/>
              <w:spacing w:before="17"/>
              <w:ind w:left="146" w:right="146"/>
              <w:jc w:val="center"/>
              <w:rPr>
                <w:sz w:val="14"/>
              </w:rPr>
            </w:pPr>
            <w:r>
              <w:rPr>
                <w:color w:val="231F20"/>
                <w:sz w:val="14"/>
              </w:rPr>
              <w:t>4 950825,84</w:t>
            </w:r>
          </w:p>
        </w:tc>
      </w:tr>
      <w:tr>
        <w:trPr>
          <w:trHeight w:val="200" w:hRule="atLeast"/>
        </w:trPr>
        <w:tc>
          <w:tcPr>
            <w:tcW w:w="1162" w:type="dxa"/>
          </w:tcPr>
          <w:p>
            <w:pPr>
              <w:pStyle w:val="TableParagraph"/>
              <w:spacing w:before="17"/>
              <w:ind w:left="143" w:right="146"/>
              <w:jc w:val="center"/>
              <w:rPr>
                <w:sz w:val="14"/>
              </w:rPr>
            </w:pPr>
            <w:r>
              <w:rPr>
                <w:color w:val="231F20"/>
                <w:sz w:val="14"/>
              </w:rPr>
              <w:t>14</w:t>
            </w:r>
          </w:p>
        </w:tc>
        <w:tc>
          <w:tcPr>
            <w:tcW w:w="1162" w:type="dxa"/>
          </w:tcPr>
          <w:p>
            <w:pPr>
              <w:pStyle w:val="TableParagraph"/>
              <w:spacing w:before="17"/>
              <w:ind w:left="143" w:right="146"/>
              <w:jc w:val="center"/>
              <w:rPr>
                <w:sz w:val="14"/>
              </w:rPr>
            </w:pPr>
            <w:r>
              <w:rPr>
                <w:color w:val="231F20"/>
                <w:sz w:val="14"/>
              </w:rPr>
              <w:t>7 517405,08</w:t>
            </w:r>
          </w:p>
        </w:tc>
        <w:tc>
          <w:tcPr>
            <w:tcW w:w="1162" w:type="dxa"/>
          </w:tcPr>
          <w:p>
            <w:pPr>
              <w:pStyle w:val="TableParagraph"/>
              <w:spacing w:before="17"/>
              <w:ind w:left="143" w:right="146"/>
              <w:jc w:val="center"/>
              <w:rPr>
                <w:sz w:val="14"/>
              </w:rPr>
            </w:pPr>
            <w:r>
              <w:rPr>
                <w:color w:val="231F20"/>
                <w:sz w:val="14"/>
              </w:rPr>
              <w:t>4 949965,92</w:t>
            </w:r>
          </w:p>
        </w:tc>
        <w:tc>
          <w:tcPr>
            <w:tcW w:w="1162" w:type="dxa"/>
          </w:tcPr>
          <w:p>
            <w:pPr>
              <w:pStyle w:val="TableParagraph"/>
              <w:spacing w:before="17"/>
              <w:ind w:left="143" w:right="146"/>
              <w:jc w:val="center"/>
              <w:rPr>
                <w:sz w:val="14"/>
              </w:rPr>
            </w:pPr>
            <w:r>
              <w:rPr>
                <w:color w:val="231F20"/>
                <w:sz w:val="14"/>
              </w:rPr>
              <w:t>30</w:t>
            </w:r>
          </w:p>
        </w:tc>
        <w:tc>
          <w:tcPr>
            <w:tcW w:w="1162" w:type="dxa"/>
          </w:tcPr>
          <w:p>
            <w:pPr>
              <w:pStyle w:val="TableParagraph"/>
              <w:spacing w:before="17"/>
              <w:ind w:left="144" w:right="146"/>
              <w:jc w:val="center"/>
              <w:rPr>
                <w:sz w:val="14"/>
              </w:rPr>
            </w:pPr>
            <w:r>
              <w:rPr>
                <w:color w:val="231F20"/>
                <w:sz w:val="14"/>
              </w:rPr>
              <w:t>7 517778,99</w:t>
            </w:r>
          </w:p>
        </w:tc>
        <w:tc>
          <w:tcPr>
            <w:tcW w:w="1162" w:type="dxa"/>
          </w:tcPr>
          <w:p>
            <w:pPr>
              <w:pStyle w:val="TableParagraph"/>
              <w:spacing w:before="17"/>
              <w:ind w:left="144" w:right="146"/>
              <w:jc w:val="center"/>
              <w:rPr>
                <w:sz w:val="14"/>
              </w:rPr>
            </w:pPr>
            <w:r>
              <w:rPr>
                <w:color w:val="231F20"/>
                <w:sz w:val="14"/>
              </w:rPr>
              <w:t>4 950257,90</w:t>
            </w:r>
          </w:p>
        </w:tc>
        <w:tc>
          <w:tcPr>
            <w:tcW w:w="1162" w:type="dxa"/>
          </w:tcPr>
          <w:p>
            <w:pPr>
              <w:pStyle w:val="TableParagraph"/>
              <w:spacing w:before="17"/>
              <w:ind w:left="144" w:right="146"/>
              <w:jc w:val="center"/>
              <w:rPr>
                <w:sz w:val="14"/>
              </w:rPr>
            </w:pPr>
            <w:r>
              <w:rPr>
                <w:color w:val="231F20"/>
                <w:sz w:val="14"/>
              </w:rPr>
              <w:t>46</w:t>
            </w:r>
          </w:p>
        </w:tc>
        <w:tc>
          <w:tcPr>
            <w:tcW w:w="1162" w:type="dxa"/>
          </w:tcPr>
          <w:p>
            <w:pPr>
              <w:pStyle w:val="TableParagraph"/>
              <w:spacing w:before="17"/>
              <w:ind w:left="145" w:right="146"/>
              <w:jc w:val="center"/>
              <w:rPr>
                <w:sz w:val="14"/>
              </w:rPr>
            </w:pPr>
            <w:r>
              <w:rPr>
                <w:color w:val="231F20"/>
                <w:sz w:val="14"/>
              </w:rPr>
              <w:t>7 517902,60</w:t>
            </w:r>
          </w:p>
        </w:tc>
        <w:tc>
          <w:tcPr>
            <w:tcW w:w="1162" w:type="dxa"/>
          </w:tcPr>
          <w:p>
            <w:pPr>
              <w:pStyle w:val="TableParagraph"/>
              <w:spacing w:before="17"/>
              <w:ind w:left="145" w:right="146"/>
              <w:jc w:val="center"/>
              <w:rPr>
                <w:sz w:val="14"/>
              </w:rPr>
            </w:pPr>
            <w:r>
              <w:rPr>
                <w:color w:val="231F20"/>
                <w:sz w:val="14"/>
              </w:rPr>
              <w:t>4 950821,30</w:t>
            </w:r>
          </w:p>
        </w:tc>
      </w:tr>
    </w:tbl>
    <w:p>
      <w:pPr>
        <w:pStyle w:val="BodyText"/>
        <w:ind w:left="0"/>
        <w:jc w:val="left"/>
        <w:rPr>
          <w:sz w:val="20"/>
        </w:rPr>
      </w:pPr>
    </w:p>
    <w:p>
      <w:pPr>
        <w:pStyle w:val="BodyText"/>
        <w:spacing w:before="3"/>
        <w:ind w:left="0"/>
        <w:jc w:val="left"/>
      </w:pPr>
    </w:p>
    <w:p>
      <w:pPr>
        <w:spacing w:after="0"/>
        <w:jc w:val="left"/>
        <w:sectPr>
          <w:pgSz w:w="12480" w:h="15690"/>
          <w:pgMar w:top="120" w:bottom="280" w:left="680" w:right="720"/>
        </w:sectPr>
      </w:pPr>
    </w:p>
    <w:p>
      <w:pPr>
        <w:pStyle w:val="BodyText"/>
        <w:spacing w:line="204" w:lineRule="exact" w:before="94"/>
        <w:ind w:left="567"/>
        <w:jc w:val="left"/>
      </w:pPr>
      <w:r>
        <w:rPr>
          <w:color w:val="231F20"/>
        </w:rPr>
        <w:t>Укрштање са просторним целинама:</w:t>
      </w:r>
    </w:p>
    <w:p>
      <w:pPr>
        <w:pStyle w:val="BodyText"/>
        <w:spacing w:line="232" w:lineRule="auto" w:before="2"/>
        <w:ind w:right="39" w:firstLine="396"/>
      </w:pPr>
      <w:r>
        <w:rPr>
          <w:color w:val="231F20"/>
          <w:w w:val="66"/>
        </w:rPr>
        <w:t> </w:t>
      </w:r>
      <w:r>
        <w:rPr>
          <w:color w:val="231F20"/>
        </w:rPr>
        <w:t>– у тачкама 31 и 32 са просторном целином „ПК Дрмно до 2022”;</w:t>
      </w:r>
    </w:p>
    <w:p>
      <w:pPr>
        <w:pStyle w:val="BodyText"/>
        <w:spacing w:line="232" w:lineRule="auto" w:before="2"/>
        <w:ind w:right="39" w:firstLine="396"/>
      </w:pPr>
      <w:r>
        <w:rPr>
          <w:color w:val="231F20"/>
          <w:w w:val="66"/>
        </w:rPr>
        <w:t> </w:t>
      </w:r>
      <w:r>
        <w:rPr>
          <w:color w:val="231F20"/>
        </w:rPr>
        <w:t>–</w:t>
      </w:r>
      <w:r>
        <w:rPr>
          <w:color w:val="231F20"/>
          <w:spacing w:val="-7"/>
        </w:rPr>
        <w:t> </w:t>
      </w:r>
      <w:r>
        <w:rPr>
          <w:color w:val="231F20"/>
        </w:rPr>
        <w:t>у</w:t>
      </w:r>
      <w:r>
        <w:rPr>
          <w:color w:val="231F20"/>
          <w:spacing w:val="-7"/>
        </w:rPr>
        <w:t> </w:t>
      </w:r>
      <w:r>
        <w:rPr>
          <w:color w:val="231F20"/>
        </w:rPr>
        <w:t>тачкама</w:t>
      </w:r>
      <w:r>
        <w:rPr>
          <w:color w:val="231F20"/>
          <w:spacing w:val="-7"/>
        </w:rPr>
        <w:t> </w:t>
      </w:r>
      <w:r>
        <w:rPr>
          <w:color w:val="231F20"/>
        </w:rPr>
        <w:t>27</w:t>
      </w:r>
      <w:r>
        <w:rPr>
          <w:color w:val="231F20"/>
          <w:spacing w:val="-7"/>
        </w:rPr>
        <w:t> </w:t>
      </w:r>
      <w:r>
        <w:rPr>
          <w:color w:val="231F20"/>
        </w:rPr>
        <w:t>и</w:t>
      </w:r>
      <w:r>
        <w:rPr>
          <w:color w:val="231F20"/>
          <w:spacing w:val="-7"/>
        </w:rPr>
        <w:t> </w:t>
      </w:r>
      <w:r>
        <w:rPr>
          <w:color w:val="231F20"/>
        </w:rPr>
        <w:t>28</w:t>
      </w:r>
      <w:r>
        <w:rPr>
          <w:color w:val="231F20"/>
          <w:spacing w:val="-7"/>
        </w:rPr>
        <w:t> </w:t>
      </w:r>
      <w:r>
        <w:rPr>
          <w:color w:val="231F20"/>
        </w:rPr>
        <w:t>са</w:t>
      </w:r>
      <w:r>
        <w:rPr>
          <w:color w:val="231F20"/>
          <w:spacing w:val="-7"/>
        </w:rPr>
        <w:t> </w:t>
      </w:r>
      <w:r>
        <w:rPr>
          <w:color w:val="231F20"/>
        </w:rPr>
        <w:t>саобраћајницом</w:t>
      </w:r>
      <w:r>
        <w:rPr>
          <w:color w:val="231F20"/>
          <w:spacing w:val="-7"/>
        </w:rPr>
        <w:t> </w:t>
      </w:r>
      <w:r>
        <w:rPr>
          <w:color w:val="231F20"/>
        </w:rPr>
        <w:t>у</w:t>
      </w:r>
      <w:r>
        <w:rPr>
          <w:color w:val="231F20"/>
          <w:spacing w:val="-7"/>
        </w:rPr>
        <w:t> </w:t>
      </w:r>
      <w:r>
        <w:rPr>
          <w:color w:val="231F20"/>
        </w:rPr>
        <w:t>коридору</w:t>
      </w:r>
      <w:r>
        <w:rPr>
          <w:color w:val="231F20"/>
          <w:spacing w:val="-7"/>
        </w:rPr>
        <w:t> </w:t>
      </w:r>
      <w:r>
        <w:rPr>
          <w:color w:val="231F20"/>
        </w:rPr>
        <w:t>индустриј- </w:t>
      </w:r>
      <w:r>
        <w:rPr>
          <w:color w:val="231F20"/>
          <w:spacing w:val="-3"/>
        </w:rPr>
        <w:t>ског</w:t>
      </w:r>
      <w:r>
        <w:rPr>
          <w:color w:val="231F20"/>
          <w:spacing w:val="-1"/>
        </w:rPr>
        <w:t> </w:t>
      </w:r>
      <w:r>
        <w:rPr>
          <w:color w:val="231F20"/>
        </w:rPr>
        <w:t>колосека;</w:t>
      </w:r>
    </w:p>
    <w:p>
      <w:pPr>
        <w:pStyle w:val="BodyText"/>
        <w:spacing w:line="201" w:lineRule="exact"/>
        <w:ind w:left="567"/>
        <w:jc w:val="left"/>
      </w:pPr>
      <w:r>
        <w:rPr>
          <w:color w:val="231F20"/>
          <w:w w:val="66"/>
        </w:rPr>
        <w:t> </w:t>
      </w:r>
      <w:r>
        <w:rPr>
          <w:color w:val="231F20"/>
        </w:rPr>
        <w:t>–</w:t>
      </w:r>
      <w:r>
        <w:rPr>
          <w:color w:val="231F20"/>
          <w:spacing w:val="-13"/>
        </w:rPr>
        <w:t> </w:t>
      </w:r>
      <w:r>
        <w:rPr>
          <w:color w:val="231F20"/>
        </w:rPr>
        <w:t>у</w:t>
      </w:r>
      <w:r>
        <w:rPr>
          <w:color w:val="231F20"/>
          <w:spacing w:val="-13"/>
        </w:rPr>
        <w:t> </w:t>
      </w:r>
      <w:r>
        <w:rPr>
          <w:color w:val="231F20"/>
          <w:spacing w:val="-4"/>
        </w:rPr>
        <w:t>тачкама</w:t>
      </w:r>
      <w:r>
        <w:rPr>
          <w:color w:val="231F20"/>
          <w:spacing w:val="-13"/>
        </w:rPr>
        <w:t> </w:t>
      </w:r>
      <w:r>
        <w:rPr>
          <w:color w:val="231F20"/>
        </w:rPr>
        <w:t>20</w:t>
      </w:r>
      <w:r>
        <w:rPr>
          <w:color w:val="231F20"/>
          <w:spacing w:val="-13"/>
        </w:rPr>
        <w:t> </w:t>
      </w:r>
      <w:r>
        <w:rPr>
          <w:color w:val="231F20"/>
        </w:rPr>
        <w:t>и</w:t>
      </w:r>
      <w:r>
        <w:rPr>
          <w:color w:val="231F20"/>
          <w:spacing w:val="-13"/>
        </w:rPr>
        <w:t> </w:t>
      </w:r>
      <w:r>
        <w:rPr>
          <w:color w:val="231F20"/>
        </w:rPr>
        <w:t>21,</w:t>
      </w:r>
      <w:r>
        <w:rPr>
          <w:color w:val="231F20"/>
          <w:spacing w:val="-13"/>
        </w:rPr>
        <w:t> </w:t>
      </w:r>
      <w:r>
        <w:rPr>
          <w:color w:val="231F20"/>
        </w:rPr>
        <w:t>18</w:t>
      </w:r>
      <w:r>
        <w:rPr>
          <w:color w:val="231F20"/>
          <w:spacing w:val="-13"/>
        </w:rPr>
        <w:t> </w:t>
      </w:r>
      <w:r>
        <w:rPr>
          <w:color w:val="231F20"/>
        </w:rPr>
        <w:t>и</w:t>
      </w:r>
      <w:r>
        <w:rPr>
          <w:color w:val="231F20"/>
          <w:spacing w:val="-13"/>
        </w:rPr>
        <w:t> </w:t>
      </w:r>
      <w:r>
        <w:rPr>
          <w:color w:val="231F20"/>
        </w:rPr>
        <w:t>19</w:t>
      </w:r>
      <w:r>
        <w:rPr>
          <w:color w:val="231F20"/>
          <w:spacing w:val="-13"/>
        </w:rPr>
        <w:t> </w:t>
      </w:r>
      <w:r>
        <w:rPr>
          <w:color w:val="231F20"/>
        </w:rPr>
        <w:t>са</w:t>
      </w:r>
      <w:r>
        <w:rPr>
          <w:color w:val="231F20"/>
          <w:spacing w:val="-13"/>
        </w:rPr>
        <w:t> </w:t>
      </w:r>
      <w:r>
        <w:rPr>
          <w:color w:val="231F20"/>
          <w:spacing w:val="-4"/>
        </w:rPr>
        <w:t>водним</w:t>
      </w:r>
      <w:r>
        <w:rPr>
          <w:color w:val="231F20"/>
          <w:spacing w:val="-13"/>
        </w:rPr>
        <w:t> </w:t>
      </w:r>
      <w:r>
        <w:rPr>
          <w:color w:val="231F20"/>
          <w:spacing w:val="-3"/>
        </w:rPr>
        <w:t>земљиштем</w:t>
      </w:r>
      <w:r>
        <w:rPr>
          <w:color w:val="231F20"/>
          <w:spacing w:val="-13"/>
        </w:rPr>
        <w:t> </w:t>
      </w:r>
      <w:r>
        <w:rPr>
          <w:color w:val="231F20"/>
          <w:spacing w:val="-4"/>
        </w:rPr>
        <w:t>реке</w:t>
      </w:r>
      <w:r>
        <w:rPr>
          <w:color w:val="231F20"/>
          <w:spacing w:val="-13"/>
        </w:rPr>
        <w:t> </w:t>
      </w:r>
      <w:r>
        <w:rPr>
          <w:color w:val="231F20"/>
          <w:spacing w:val="-3"/>
        </w:rPr>
        <w:t>Млаве</w:t>
      </w:r>
      <w:r>
        <w:rPr>
          <w:color w:val="231F20"/>
          <w:spacing w:val="-13"/>
        </w:rPr>
        <w:t> </w:t>
      </w:r>
      <w:r>
        <w:rPr>
          <w:color w:val="231F20"/>
        </w:rPr>
        <w:t>и</w:t>
      </w:r>
    </w:p>
    <w:p>
      <w:pPr>
        <w:pStyle w:val="BodyText"/>
        <w:spacing w:line="204" w:lineRule="exact"/>
        <w:ind w:left="567"/>
        <w:jc w:val="left"/>
      </w:pPr>
      <w:r>
        <w:rPr>
          <w:color w:val="231F20"/>
          <w:w w:val="66"/>
        </w:rPr>
        <w:t> </w:t>
      </w:r>
      <w:r>
        <w:rPr>
          <w:color w:val="231F20"/>
        </w:rPr>
        <w:t>– у </w:t>
      </w:r>
      <w:r>
        <w:rPr>
          <w:color w:val="231F20"/>
          <w:spacing w:val="-3"/>
        </w:rPr>
        <w:t>тачки </w:t>
      </w:r>
      <w:r>
        <w:rPr>
          <w:color w:val="231F20"/>
        </w:rPr>
        <w:t>7 са </w:t>
      </w:r>
      <w:r>
        <w:rPr>
          <w:color w:val="231F20"/>
          <w:spacing w:val="-4"/>
        </w:rPr>
        <w:t>рекултивацијом </w:t>
      </w:r>
      <w:r>
        <w:rPr>
          <w:color w:val="231F20"/>
        </w:rPr>
        <w:t>на депонији пепела </w:t>
      </w:r>
      <w:r>
        <w:rPr>
          <w:color w:val="231F20"/>
          <w:spacing w:val="-3"/>
        </w:rPr>
        <w:t>Ћириковац.</w:t>
      </w:r>
    </w:p>
    <w:p>
      <w:pPr>
        <w:spacing w:before="165"/>
        <w:ind w:left="1862" w:right="0" w:firstLine="0"/>
        <w:jc w:val="left"/>
        <w:rPr>
          <w:i/>
          <w:sz w:val="18"/>
        </w:rPr>
      </w:pPr>
      <w:r>
        <w:rPr>
          <w:i/>
          <w:color w:val="231F20"/>
          <w:sz w:val="18"/>
        </w:rPr>
        <w:t>3.3. Правила изградње</w:t>
      </w:r>
    </w:p>
    <w:p>
      <w:pPr>
        <w:pStyle w:val="ListParagraph"/>
        <w:numPr>
          <w:ilvl w:val="2"/>
          <w:numId w:val="59"/>
        </w:numPr>
        <w:tabs>
          <w:tab w:pos="963" w:val="left" w:leader="none"/>
        </w:tabs>
        <w:spacing w:line="404" w:lineRule="exact" w:before="10" w:after="0"/>
        <w:ind w:left="567" w:right="38" w:hanging="55"/>
        <w:jc w:val="left"/>
        <w:rPr>
          <w:sz w:val="18"/>
        </w:rPr>
      </w:pPr>
      <w:r>
        <w:rPr>
          <w:color w:val="231F20"/>
          <w:spacing w:val="17"/>
          <w:sz w:val="18"/>
        </w:rPr>
        <w:t>Привремени </w:t>
      </w:r>
      <w:r>
        <w:rPr>
          <w:color w:val="231F20"/>
          <w:spacing w:val="15"/>
          <w:sz w:val="18"/>
        </w:rPr>
        <w:t>објекат  </w:t>
      </w:r>
      <w:r>
        <w:rPr>
          <w:color w:val="231F20"/>
          <w:sz w:val="18"/>
        </w:rPr>
        <w:t>у  </w:t>
      </w:r>
      <w:r>
        <w:rPr>
          <w:color w:val="231F20"/>
          <w:spacing w:val="13"/>
          <w:sz w:val="18"/>
        </w:rPr>
        <w:t>кориту  реке  </w:t>
      </w:r>
      <w:r>
        <w:rPr>
          <w:color w:val="231F20"/>
          <w:spacing w:val="15"/>
          <w:sz w:val="18"/>
        </w:rPr>
        <w:t>Млаве </w:t>
      </w:r>
      <w:r>
        <w:rPr>
          <w:color w:val="231F20"/>
          <w:sz w:val="18"/>
        </w:rPr>
        <w:t>Пре изградње објекта, </w:t>
      </w:r>
      <w:r>
        <w:rPr>
          <w:color w:val="231F20"/>
          <w:spacing w:val="-3"/>
          <w:sz w:val="18"/>
        </w:rPr>
        <w:t>након </w:t>
      </w:r>
      <w:r>
        <w:rPr>
          <w:color w:val="231F20"/>
          <w:sz w:val="18"/>
        </w:rPr>
        <w:t>равњања речног дна, по дну</w:t>
      </w:r>
      <w:r>
        <w:rPr>
          <w:color w:val="231F20"/>
          <w:spacing w:val="1"/>
          <w:sz w:val="18"/>
        </w:rPr>
        <w:t> </w:t>
      </w:r>
      <w:r>
        <w:rPr>
          <w:color w:val="231F20"/>
          <w:spacing w:val="-4"/>
          <w:sz w:val="18"/>
        </w:rPr>
        <w:t>ко-</w:t>
      </w:r>
    </w:p>
    <w:p>
      <w:pPr>
        <w:pStyle w:val="BodyText"/>
        <w:spacing w:line="157" w:lineRule="exact"/>
        <w:ind w:left="171"/>
        <w:jc w:val="left"/>
      </w:pPr>
      <w:r>
        <w:rPr>
          <w:color w:val="231F20"/>
        </w:rPr>
        <w:t>рита полаже се одговарајући број батерија челичних цеви, дужине</w:t>
      </w:r>
    </w:p>
    <w:p>
      <w:pPr>
        <w:pStyle w:val="BodyText"/>
        <w:spacing w:line="232" w:lineRule="auto" w:before="2"/>
        <w:ind w:left="171" w:right="38" w:hanging="1"/>
        <w:jc w:val="right"/>
      </w:pPr>
      <w:r>
        <w:rPr>
          <w:color w:val="231F20"/>
        </w:rPr>
        <w:t>32 m, </w:t>
      </w:r>
      <w:r>
        <w:rPr>
          <w:color w:val="231F20"/>
          <w:spacing w:val="-4"/>
        </w:rPr>
        <w:t>које </w:t>
      </w:r>
      <w:r>
        <w:rPr>
          <w:color w:val="231F20"/>
        </w:rPr>
        <w:t>се спајају (заварују) у </w:t>
      </w:r>
      <w:r>
        <w:rPr>
          <w:color w:val="231F20"/>
          <w:spacing w:val="-3"/>
        </w:rPr>
        <w:t>кориту </w:t>
      </w:r>
      <w:r>
        <w:rPr>
          <w:color w:val="231F20"/>
        </w:rPr>
        <w:t>реке (једна</w:t>
      </w:r>
      <w:r>
        <w:rPr>
          <w:color w:val="231F20"/>
          <w:spacing w:val="3"/>
        </w:rPr>
        <w:t> </w:t>
      </w:r>
      <w:r>
        <w:rPr>
          <w:color w:val="231F20"/>
        </w:rPr>
        <w:t>батерија</w:t>
      </w:r>
      <w:r>
        <w:rPr>
          <w:color w:val="231F20"/>
          <w:spacing w:val="7"/>
        </w:rPr>
        <w:t> </w:t>
      </w:r>
      <w:r>
        <w:rPr>
          <w:color w:val="231F20"/>
        </w:rPr>
        <w:t>цеви састоји</w:t>
      </w:r>
      <w:r>
        <w:rPr>
          <w:color w:val="231F20"/>
          <w:spacing w:val="-8"/>
        </w:rPr>
        <w:t> </w:t>
      </w:r>
      <w:r>
        <w:rPr>
          <w:color w:val="231F20"/>
        </w:rPr>
        <w:t>се</w:t>
      </w:r>
      <w:r>
        <w:rPr>
          <w:color w:val="231F20"/>
          <w:spacing w:val="-8"/>
        </w:rPr>
        <w:t> </w:t>
      </w:r>
      <w:r>
        <w:rPr>
          <w:color w:val="231F20"/>
          <w:spacing w:val="-4"/>
        </w:rPr>
        <w:t>од</w:t>
      </w:r>
      <w:r>
        <w:rPr>
          <w:color w:val="231F20"/>
          <w:spacing w:val="-8"/>
        </w:rPr>
        <w:t> </w:t>
      </w:r>
      <w:r>
        <w:rPr>
          <w:color w:val="231F20"/>
        </w:rPr>
        <w:t>две</w:t>
      </w:r>
      <w:r>
        <w:rPr>
          <w:color w:val="231F20"/>
          <w:spacing w:val="-8"/>
        </w:rPr>
        <w:t> </w:t>
      </w:r>
      <w:r>
        <w:rPr>
          <w:color w:val="231F20"/>
        </w:rPr>
        <w:t>цеви</w:t>
      </w:r>
      <w:r>
        <w:rPr>
          <w:color w:val="231F20"/>
          <w:spacing w:val="-8"/>
        </w:rPr>
        <w:t> </w:t>
      </w:r>
      <w:r>
        <w:rPr>
          <w:color w:val="231F20"/>
        </w:rPr>
        <w:t>дужине</w:t>
      </w:r>
      <w:r>
        <w:rPr>
          <w:color w:val="231F20"/>
          <w:spacing w:val="-8"/>
        </w:rPr>
        <w:t> </w:t>
      </w:r>
      <w:r>
        <w:rPr>
          <w:color w:val="231F20"/>
        </w:rPr>
        <w:t>по</w:t>
      </w:r>
      <w:r>
        <w:rPr>
          <w:color w:val="231F20"/>
          <w:spacing w:val="-8"/>
        </w:rPr>
        <w:t> </w:t>
      </w:r>
      <w:r>
        <w:rPr>
          <w:color w:val="231F20"/>
        </w:rPr>
        <w:t>12,0</w:t>
      </w:r>
      <w:r>
        <w:rPr>
          <w:color w:val="231F20"/>
          <w:spacing w:val="-8"/>
        </w:rPr>
        <w:t> </w:t>
      </w:r>
      <w:r>
        <w:rPr>
          <w:color w:val="231F20"/>
        </w:rPr>
        <w:t>m</w:t>
      </w:r>
      <w:r>
        <w:rPr>
          <w:color w:val="231F20"/>
          <w:spacing w:val="-8"/>
        </w:rPr>
        <w:t> </w:t>
      </w:r>
      <w:r>
        <w:rPr>
          <w:color w:val="231F20"/>
        </w:rPr>
        <w:t>и</w:t>
      </w:r>
      <w:r>
        <w:rPr>
          <w:color w:val="231F20"/>
          <w:spacing w:val="-8"/>
        </w:rPr>
        <w:t> </w:t>
      </w:r>
      <w:r>
        <w:rPr>
          <w:color w:val="231F20"/>
        </w:rPr>
        <w:t>једне</w:t>
      </w:r>
      <w:r>
        <w:rPr>
          <w:color w:val="231F20"/>
          <w:spacing w:val="-8"/>
        </w:rPr>
        <w:t> </w:t>
      </w:r>
      <w:r>
        <w:rPr>
          <w:color w:val="231F20"/>
        </w:rPr>
        <w:t>цеви</w:t>
      </w:r>
      <w:r>
        <w:rPr>
          <w:color w:val="231F20"/>
          <w:spacing w:val="-8"/>
        </w:rPr>
        <w:t> </w:t>
      </w:r>
      <w:r>
        <w:rPr>
          <w:color w:val="231F20"/>
        </w:rPr>
        <w:t>дужине</w:t>
      </w:r>
      <w:r>
        <w:rPr>
          <w:color w:val="231F20"/>
          <w:spacing w:val="-8"/>
        </w:rPr>
        <w:t> </w:t>
      </w:r>
      <w:r>
        <w:rPr>
          <w:color w:val="231F20"/>
        </w:rPr>
        <w:t>8,0</w:t>
      </w:r>
      <w:r>
        <w:rPr>
          <w:color w:val="231F20"/>
          <w:spacing w:val="-8"/>
        </w:rPr>
        <w:t> </w:t>
      </w:r>
      <w:r>
        <w:rPr>
          <w:color w:val="231F20"/>
        </w:rPr>
        <w:t>m.</w:t>
      </w:r>
    </w:p>
    <w:p>
      <w:pPr>
        <w:pStyle w:val="BodyText"/>
        <w:spacing w:line="232" w:lineRule="auto" w:before="2"/>
        <w:ind w:left="171" w:right="38" w:firstLine="397"/>
      </w:pPr>
      <w:r>
        <w:rPr>
          <w:color w:val="231F20"/>
        </w:rPr>
        <w:t>Објекат се гради од три врсте материјала. Први, најдубљи слој je сачињен од најкрупнијег материјала (ломљени камен круп- ноће 60/120 mm). Изнад овог слоја уграђују се два слоја дробље- ног камена (туцаник) крупноће 0/63 mm. Преко слоја туцаника уграђује се песковити шљунак (крупноће 0/45 mm), до коте при- обалног терена – 73,00 mnm (укупна дебљина песковитог шљунка износи око 1,80 m).</w:t>
      </w:r>
    </w:p>
    <w:p>
      <w:pPr>
        <w:pStyle w:val="BodyText"/>
        <w:spacing w:line="232" w:lineRule="auto" w:before="7"/>
        <w:ind w:left="171" w:right="38" w:firstLine="396"/>
      </w:pPr>
      <w:r>
        <w:rPr>
          <w:color w:val="231F20"/>
        </w:rPr>
        <w:t>На</w:t>
      </w:r>
      <w:r>
        <w:rPr>
          <w:color w:val="231F20"/>
          <w:spacing w:val="-9"/>
        </w:rPr>
        <w:t> </w:t>
      </w:r>
      <w:r>
        <w:rPr>
          <w:color w:val="231F20"/>
        </w:rPr>
        <w:t>овај</w:t>
      </w:r>
      <w:r>
        <w:rPr>
          <w:color w:val="231F20"/>
          <w:spacing w:val="-8"/>
        </w:rPr>
        <w:t> </w:t>
      </w:r>
      <w:r>
        <w:rPr>
          <w:color w:val="231F20"/>
        </w:rPr>
        <w:t>начин</w:t>
      </w:r>
      <w:r>
        <w:rPr>
          <w:color w:val="231F20"/>
          <w:spacing w:val="-8"/>
        </w:rPr>
        <w:t> </w:t>
      </w:r>
      <w:r>
        <w:rPr>
          <w:color w:val="231F20"/>
        </w:rPr>
        <w:t>обезбеђена</w:t>
      </w:r>
      <w:r>
        <w:rPr>
          <w:color w:val="231F20"/>
          <w:spacing w:val="-9"/>
        </w:rPr>
        <w:t> </w:t>
      </w:r>
      <w:r>
        <w:rPr>
          <w:color w:val="231F20"/>
        </w:rPr>
        <w:t>је</w:t>
      </w:r>
      <w:r>
        <w:rPr>
          <w:color w:val="231F20"/>
          <w:spacing w:val="-8"/>
        </w:rPr>
        <w:t> </w:t>
      </w:r>
      <w:r>
        <w:rPr>
          <w:color w:val="231F20"/>
        </w:rPr>
        <w:t>носивост</w:t>
      </w:r>
      <w:r>
        <w:rPr>
          <w:color w:val="231F20"/>
          <w:spacing w:val="-8"/>
        </w:rPr>
        <w:t> </w:t>
      </w:r>
      <w:r>
        <w:rPr>
          <w:color w:val="231F20"/>
        </w:rPr>
        <w:t>пројектованог</w:t>
      </w:r>
      <w:r>
        <w:rPr>
          <w:color w:val="231F20"/>
          <w:spacing w:val="-8"/>
        </w:rPr>
        <w:t> </w:t>
      </w:r>
      <w:r>
        <w:rPr>
          <w:color w:val="231F20"/>
        </w:rPr>
        <w:t>објекта</w:t>
      </w:r>
      <w:r>
        <w:rPr>
          <w:color w:val="231F20"/>
          <w:spacing w:val="-8"/>
        </w:rPr>
        <w:t> </w:t>
      </w:r>
      <w:r>
        <w:rPr>
          <w:color w:val="231F20"/>
        </w:rPr>
        <w:t>и за највећи багер, чија је маса </w:t>
      </w:r>
      <w:r>
        <w:rPr>
          <w:color w:val="231F20"/>
          <w:spacing w:val="-4"/>
        </w:rPr>
        <w:t>око </w:t>
      </w:r>
      <w:r>
        <w:rPr>
          <w:color w:val="231F20"/>
        </w:rPr>
        <w:t>660 t, дужина </w:t>
      </w:r>
      <w:r>
        <w:rPr>
          <w:color w:val="231F20"/>
          <w:spacing w:val="-4"/>
        </w:rPr>
        <w:t>око </w:t>
      </w:r>
      <w:r>
        <w:rPr>
          <w:color w:val="231F20"/>
        </w:rPr>
        <w:t>60 m, ширина </w:t>
      </w:r>
      <w:r>
        <w:rPr>
          <w:color w:val="231F20"/>
          <w:spacing w:val="-4"/>
        </w:rPr>
        <w:t>око </w:t>
      </w:r>
      <w:r>
        <w:rPr>
          <w:color w:val="231F20"/>
        </w:rPr>
        <w:t>15,5 m, а средњи притисак на тло износи 10,5</w:t>
      </w:r>
      <w:r>
        <w:rPr>
          <w:color w:val="231F20"/>
          <w:spacing w:val="-5"/>
        </w:rPr>
        <w:t> </w:t>
      </w:r>
      <w:r>
        <w:rPr>
          <w:color w:val="231F20"/>
        </w:rPr>
        <w:t>N/cm².</w:t>
      </w:r>
    </w:p>
    <w:p>
      <w:pPr>
        <w:pStyle w:val="BodyText"/>
        <w:spacing w:line="232" w:lineRule="auto" w:before="3"/>
        <w:ind w:left="171" w:right="38" w:firstLine="397"/>
      </w:pPr>
      <w:r>
        <w:rPr>
          <w:color w:val="231F20"/>
          <w:spacing w:val="-3"/>
        </w:rPr>
        <w:t>Након </w:t>
      </w:r>
      <w:r>
        <w:rPr>
          <w:color w:val="231F20"/>
        </w:rPr>
        <w:t>завршене изградње привремене преграде у </w:t>
      </w:r>
      <w:r>
        <w:rPr>
          <w:color w:val="231F20"/>
          <w:spacing w:val="-3"/>
        </w:rPr>
        <w:t>кориту </w:t>
      </w:r>
      <w:r>
        <w:rPr>
          <w:color w:val="231F20"/>
        </w:rPr>
        <w:t>во- дотока, потребно је изградити навозну рампу са небрањене</w:t>
      </w:r>
      <w:r>
        <w:rPr>
          <w:color w:val="231F20"/>
          <w:spacing w:val="-28"/>
        </w:rPr>
        <w:t> </w:t>
      </w:r>
      <w:r>
        <w:rPr>
          <w:color w:val="231F20"/>
        </w:rPr>
        <w:t>стране насипа (навозна рампа са брањене стране насипа се ради раније   с обзиром да њена изградња не ремети радове на изградњи пре- граде у </w:t>
      </w:r>
      <w:r>
        <w:rPr>
          <w:color w:val="231F20"/>
          <w:spacing w:val="-3"/>
        </w:rPr>
        <w:t>кориту) </w:t>
      </w:r>
      <w:r>
        <w:rPr>
          <w:color w:val="231F20"/>
        </w:rPr>
        <w:t>и уклонити део деснообалног насипа висине 1,5  m у односу на круну насипа. Израдом навозних рампи у нагибу i=3 % обезбеђује се задовољавајући подужни нагиб за безбедан прелаз </w:t>
      </w:r>
      <w:r>
        <w:rPr>
          <w:color w:val="231F20"/>
          <w:spacing w:val="-3"/>
        </w:rPr>
        <w:t>рударске </w:t>
      </w:r>
      <w:r>
        <w:rPr>
          <w:color w:val="231F20"/>
        </w:rPr>
        <w:t>опреме </w:t>
      </w:r>
      <w:r>
        <w:rPr>
          <w:color w:val="231F20"/>
          <w:spacing w:val="-3"/>
        </w:rPr>
        <w:t>преко </w:t>
      </w:r>
      <w:r>
        <w:rPr>
          <w:color w:val="231F20"/>
        </w:rPr>
        <w:t>насипа. Ширина просека на </w:t>
      </w:r>
      <w:r>
        <w:rPr>
          <w:color w:val="231F20"/>
          <w:spacing w:val="-4"/>
        </w:rPr>
        <w:t>коти </w:t>
      </w:r>
      <w:r>
        <w:rPr>
          <w:color w:val="231F20"/>
        </w:rPr>
        <w:t>74,30 mnm (пројектована </w:t>
      </w:r>
      <w:r>
        <w:rPr>
          <w:color w:val="231F20"/>
          <w:spacing w:val="-3"/>
        </w:rPr>
        <w:t>кота </w:t>
      </w:r>
      <w:r>
        <w:rPr>
          <w:color w:val="231F20"/>
        </w:rPr>
        <w:t>круне просека) треба да износи</w:t>
      </w:r>
      <w:r>
        <w:rPr>
          <w:color w:val="231F20"/>
          <w:spacing w:val="21"/>
        </w:rPr>
        <w:t> </w:t>
      </w:r>
      <w:r>
        <w:rPr>
          <w:color w:val="231F20"/>
        </w:rPr>
        <w:t>24</w:t>
      </w:r>
    </w:p>
    <w:p>
      <w:pPr>
        <w:pStyle w:val="BodyText"/>
        <w:spacing w:line="232" w:lineRule="auto" w:before="9"/>
        <w:ind w:left="171" w:right="38"/>
      </w:pPr>
      <w:r>
        <w:rPr>
          <w:color w:val="231F20"/>
        </w:rPr>
        <w:t>m. Бочне нагибе просека и навозне рампе урадити у нагибу 1:2, што обезбеђује потребну стабилност материјала у телу насипа и навозне рампе.</w:t>
      </w:r>
    </w:p>
    <w:p>
      <w:pPr>
        <w:pStyle w:val="BodyText"/>
        <w:spacing w:line="232" w:lineRule="auto" w:before="3"/>
        <w:ind w:right="38" w:firstLine="397"/>
      </w:pPr>
      <w:r>
        <w:rPr>
          <w:color w:val="231F20"/>
        </w:rPr>
        <w:t>Непосредно </w:t>
      </w:r>
      <w:r>
        <w:rPr>
          <w:color w:val="231F20"/>
          <w:spacing w:val="-3"/>
        </w:rPr>
        <w:t>након </w:t>
      </w:r>
      <w:r>
        <w:rPr>
          <w:color w:val="231F20"/>
        </w:rPr>
        <w:t>преласка </w:t>
      </w:r>
      <w:r>
        <w:rPr>
          <w:color w:val="231F20"/>
          <w:spacing w:val="-3"/>
        </w:rPr>
        <w:t>рударске </w:t>
      </w:r>
      <w:r>
        <w:rPr>
          <w:color w:val="231F20"/>
        </w:rPr>
        <w:t>опреме </w:t>
      </w:r>
      <w:r>
        <w:rPr>
          <w:color w:val="231F20"/>
          <w:spacing w:val="-3"/>
        </w:rPr>
        <w:t>преко </w:t>
      </w:r>
      <w:r>
        <w:rPr>
          <w:color w:val="231F20"/>
        </w:rPr>
        <w:t>пројек- тованог објекта у </w:t>
      </w:r>
      <w:r>
        <w:rPr>
          <w:color w:val="231F20"/>
          <w:spacing w:val="-3"/>
        </w:rPr>
        <w:t>кориту </w:t>
      </w:r>
      <w:r>
        <w:rPr>
          <w:color w:val="231F20"/>
        </w:rPr>
        <w:t>реке Млаве, потребно је уклонити </w:t>
      </w:r>
      <w:r>
        <w:rPr>
          <w:color w:val="231F20"/>
          <w:spacing w:val="-3"/>
        </w:rPr>
        <w:t>ову </w:t>
      </w:r>
      <w:r>
        <w:rPr>
          <w:color w:val="231F20"/>
        </w:rPr>
        <w:t>грађевину привременог карактера из корита водотока. </w:t>
      </w:r>
      <w:r>
        <w:rPr>
          <w:color w:val="231F20"/>
          <w:spacing w:val="-3"/>
        </w:rPr>
        <w:t>Такође, </w:t>
      </w:r>
      <w:r>
        <w:rPr>
          <w:color w:val="231F20"/>
        </w:rPr>
        <w:t>не- посредно по проласку </w:t>
      </w:r>
      <w:r>
        <w:rPr>
          <w:color w:val="231F20"/>
          <w:spacing w:val="-3"/>
        </w:rPr>
        <w:t>рударске </w:t>
      </w:r>
      <w:r>
        <w:rPr>
          <w:color w:val="231F20"/>
        </w:rPr>
        <w:t>опреме кроз направљен просек у телу насипа, потребно је у што краћем року вратити насип у</w:t>
      </w:r>
      <w:r>
        <w:rPr>
          <w:color w:val="231F20"/>
          <w:spacing w:val="-30"/>
        </w:rPr>
        <w:t> </w:t>
      </w:r>
      <w:r>
        <w:rPr>
          <w:color w:val="231F20"/>
        </w:rPr>
        <w:t>прво- битно стање, чиме ће и дефинитивно безбедност приобаља у слу- чају наиласка таласа велике воде реке Млаве бити поново успо- стављена.</w:t>
      </w:r>
    </w:p>
    <w:p>
      <w:pPr>
        <w:pStyle w:val="BodyText"/>
        <w:spacing w:line="232" w:lineRule="auto" w:before="8"/>
        <w:ind w:left="171" w:right="38" w:firstLine="396"/>
      </w:pPr>
      <w:r>
        <w:rPr>
          <w:color w:val="231F20"/>
          <w:spacing w:val="-4"/>
        </w:rPr>
        <w:t>Како </w:t>
      </w:r>
      <w:r>
        <w:rPr>
          <w:color w:val="231F20"/>
        </w:rPr>
        <w:t>безбедност приобаља не би била угрожена у случају евентуалног наиласка таласа велике воде реке Млаве, тачан да- тум почетка радова на преграђивању Млаве, пресецању насипа    и</w:t>
      </w:r>
      <w:r>
        <w:rPr>
          <w:color w:val="231F20"/>
          <w:spacing w:val="26"/>
        </w:rPr>
        <w:t> </w:t>
      </w:r>
      <w:r>
        <w:rPr>
          <w:color w:val="231F20"/>
        </w:rPr>
        <w:t>превођењу</w:t>
      </w:r>
      <w:r>
        <w:rPr>
          <w:color w:val="231F20"/>
          <w:spacing w:val="26"/>
        </w:rPr>
        <w:t> </w:t>
      </w:r>
      <w:r>
        <w:rPr>
          <w:color w:val="231F20"/>
        </w:rPr>
        <w:t>механизације</w:t>
      </w:r>
      <w:r>
        <w:rPr>
          <w:color w:val="231F20"/>
          <w:spacing w:val="26"/>
        </w:rPr>
        <w:t> </w:t>
      </w:r>
      <w:r>
        <w:rPr>
          <w:color w:val="231F20"/>
        </w:rPr>
        <w:t>треба</w:t>
      </w:r>
      <w:r>
        <w:rPr>
          <w:color w:val="231F20"/>
          <w:spacing w:val="26"/>
        </w:rPr>
        <w:t> </w:t>
      </w:r>
      <w:r>
        <w:rPr>
          <w:color w:val="231F20"/>
        </w:rPr>
        <w:t>потврдити</w:t>
      </w:r>
      <w:r>
        <w:rPr>
          <w:color w:val="231F20"/>
          <w:spacing w:val="27"/>
        </w:rPr>
        <w:t> </w:t>
      </w:r>
      <w:r>
        <w:rPr>
          <w:color w:val="231F20"/>
        </w:rPr>
        <w:t>на</w:t>
      </w:r>
      <w:r>
        <w:rPr>
          <w:color w:val="231F20"/>
          <w:spacing w:val="26"/>
        </w:rPr>
        <w:t> </w:t>
      </w:r>
      <w:r>
        <w:rPr>
          <w:color w:val="231F20"/>
        </w:rPr>
        <w:t>основу</w:t>
      </w:r>
      <w:r>
        <w:rPr>
          <w:color w:val="231F20"/>
          <w:spacing w:val="27"/>
        </w:rPr>
        <w:t> </w:t>
      </w:r>
      <w:r>
        <w:rPr>
          <w:color w:val="231F20"/>
        </w:rPr>
        <w:t>актуелне</w:t>
      </w:r>
    </w:p>
    <w:p>
      <w:pPr>
        <w:pStyle w:val="BodyText"/>
        <w:spacing w:line="235" w:lineRule="auto" w:before="96"/>
        <w:ind w:left="172" w:right="410" w:hanging="1"/>
      </w:pPr>
      <w:r>
        <w:rPr/>
        <w:br w:type="column"/>
      </w:r>
      <w:r>
        <w:rPr>
          <w:color w:val="231F20"/>
        </w:rPr>
        <w:t>краткорочне метеоролошке и хидролошке прогнозе </w:t>
      </w:r>
      <w:r>
        <w:rPr>
          <w:color w:val="231F20"/>
          <w:spacing w:val="-3"/>
        </w:rPr>
        <w:t>Републичког </w:t>
      </w:r>
      <w:r>
        <w:rPr>
          <w:color w:val="231F20"/>
        </w:rPr>
        <w:t>хидрометеоролошког завода. Посебно се наглашава </w:t>
      </w:r>
      <w:r>
        <w:rPr>
          <w:color w:val="231F20"/>
          <w:spacing w:val="-3"/>
        </w:rPr>
        <w:t>улога РХМЗ-а </w:t>
      </w:r>
      <w:r>
        <w:rPr>
          <w:color w:val="231F20"/>
        </w:rPr>
        <w:t>у сталном праћењу метеоролошке и хидролошке ситуације </w:t>
      </w:r>
      <w:r>
        <w:rPr>
          <w:color w:val="231F20"/>
          <w:spacing w:val="-4"/>
        </w:rPr>
        <w:t>током </w:t>
      </w:r>
      <w:r>
        <w:rPr>
          <w:color w:val="231F20"/>
        </w:rPr>
        <w:t>реализације пројектованих радова и благовременом сигнализира- њу евентуалног наиласка таласа велике воде.</w:t>
      </w:r>
    </w:p>
    <w:p>
      <w:pPr>
        <w:pStyle w:val="ListParagraph"/>
        <w:numPr>
          <w:ilvl w:val="2"/>
          <w:numId w:val="59"/>
        </w:numPr>
        <w:tabs>
          <w:tab w:pos="1449" w:val="left" w:leader="none"/>
        </w:tabs>
        <w:spacing w:line="240" w:lineRule="auto" w:before="165" w:after="0"/>
        <w:ind w:left="1448" w:right="0" w:hanging="450"/>
        <w:jc w:val="left"/>
        <w:rPr>
          <w:sz w:val="18"/>
        </w:rPr>
      </w:pPr>
      <w:r>
        <w:rPr/>
        <w:pict>
          <v:line style="position:absolute;mso-position-horizontal-relative:page;mso-position-vertical-relative:paragraph;z-index:4024" from="304.724396pt,-48.673164pt" to="304.724396pt,448.806836pt" stroked="true" strokeweight=".6pt" strokecolor="#231f20">
            <v:stroke dashstyle="solid"/>
            <w10:wrap type="none"/>
          </v:line>
        </w:pict>
      </w:r>
      <w:r>
        <w:rPr>
          <w:color w:val="231F20"/>
          <w:spacing w:val="13"/>
          <w:sz w:val="18"/>
        </w:rPr>
        <w:t>Плато </w:t>
      </w:r>
      <w:r>
        <w:rPr>
          <w:color w:val="231F20"/>
          <w:spacing w:val="10"/>
          <w:sz w:val="18"/>
        </w:rPr>
        <w:t>за </w:t>
      </w:r>
      <w:r>
        <w:rPr>
          <w:color w:val="231F20"/>
          <w:spacing w:val="15"/>
          <w:sz w:val="18"/>
        </w:rPr>
        <w:t>смешт </w:t>
      </w:r>
      <w:r>
        <w:rPr>
          <w:color w:val="231F20"/>
          <w:sz w:val="18"/>
        </w:rPr>
        <w:t>а ј</w:t>
      </w:r>
      <w:r>
        <w:rPr>
          <w:color w:val="231F20"/>
          <w:spacing w:val="-8"/>
          <w:sz w:val="18"/>
        </w:rPr>
        <w:t> </w:t>
      </w:r>
      <w:r>
        <w:rPr>
          <w:color w:val="231F20"/>
          <w:spacing w:val="17"/>
          <w:sz w:val="18"/>
        </w:rPr>
        <w:t>механизације</w:t>
      </w:r>
    </w:p>
    <w:p>
      <w:pPr>
        <w:pStyle w:val="BodyText"/>
        <w:spacing w:before="6"/>
        <w:ind w:left="0"/>
        <w:jc w:val="left"/>
        <w:rPr>
          <w:sz w:val="17"/>
        </w:rPr>
      </w:pPr>
    </w:p>
    <w:p>
      <w:pPr>
        <w:pStyle w:val="BodyText"/>
        <w:spacing w:line="235" w:lineRule="auto"/>
        <w:ind w:left="171" w:right="410" w:firstLine="397"/>
      </w:pPr>
      <w:r>
        <w:rPr>
          <w:color w:val="231F20"/>
        </w:rPr>
        <w:t>Плато мора да </w:t>
      </w:r>
      <w:r>
        <w:rPr>
          <w:color w:val="231F20"/>
          <w:spacing w:val="-5"/>
        </w:rPr>
        <w:t>буде </w:t>
      </w:r>
      <w:r>
        <w:rPr>
          <w:color w:val="231F20"/>
        </w:rPr>
        <w:t>раван, а терен набијен са благим падом до</w:t>
      </w:r>
      <w:r>
        <w:rPr>
          <w:color w:val="231F20"/>
          <w:spacing w:val="-5"/>
        </w:rPr>
        <w:t> </w:t>
      </w:r>
      <w:r>
        <w:rPr>
          <w:color w:val="231F20"/>
        </w:rPr>
        <w:t>1</w:t>
      </w:r>
      <w:r>
        <w:rPr>
          <w:color w:val="231F20"/>
          <w:spacing w:val="-5"/>
        </w:rPr>
        <w:t> </w:t>
      </w:r>
      <w:r>
        <w:rPr>
          <w:color w:val="231F20"/>
        </w:rPr>
        <w:t>%</w:t>
      </w:r>
      <w:r>
        <w:rPr>
          <w:color w:val="231F20"/>
          <w:spacing w:val="-5"/>
        </w:rPr>
        <w:t> </w:t>
      </w:r>
      <w:r>
        <w:rPr>
          <w:color w:val="231F20"/>
        </w:rPr>
        <w:t>ради</w:t>
      </w:r>
      <w:r>
        <w:rPr>
          <w:color w:val="231F20"/>
          <w:spacing w:val="-5"/>
        </w:rPr>
        <w:t> </w:t>
      </w:r>
      <w:r>
        <w:rPr>
          <w:color w:val="231F20"/>
        </w:rPr>
        <w:t>отицања</w:t>
      </w:r>
      <w:r>
        <w:rPr>
          <w:color w:val="231F20"/>
          <w:spacing w:val="-5"/>
        </w:rPr>
        <w:t> </w:t>
      </w:r>
      <w:r>
        <w:rPr>
          <w:color w:val="231F20"/>
        </w:rPr>
        <w:t>воде</w:t>
      </w:r>
      <w:r>
        <w:rPr>
          <w:color w:val="231F20"/>
          <w:spacing w:val="-5"/>
        </w:rPr>
        <w:t> </w:t>
      </w:r>
      <w:r>
        <w:rPr>
          <w:color w:val="231F20"/>
        </w:rPr>
        <w:t>и</w:t>
      </w:r>
      <w:r>
        <w:rPr>
          <w:color w:val="231F20"/>
          <w:spacing w:val="-5"/>
        </w:rPr>
        <w:t> </w:t>
      </w:r>
      <w:r>
        <w:rPr>
          <w:color w:val="231F20"/>
        </w:rPr>
        <w:t>да</w:t>
      </w:r>
      <w:r>
        <w:rPr>
          <w:color w:val="231F20"/>
          <w:spacing w:val="-5"/>
        </w:rPr>
        <w:t> буде </w:t>
      </w:r>
      <w:r>
        <w:rPr>
          <w:color w:val="231F20"/>
        </w:rPr>
        <w:t>повезан</w:t>
      </w:r>
      <w:r>
        <w:rPr>
          <w:color w:val="231F20"/>
          <w:spacing w:val="-5"/>
        </w:rPr>
        <w:t> </w:t>
      </w:r>
      <w:r>
        <w:rPr>
          <w:color w:val="231F20"/>
        </w:rPr>
        <w:t>путном</w:t>
      </w:r>
      <w:r>
        <w:rPr>
          <w:color w:val="231F20"/>
          <w:spacing w:val="-5"/>
        </w:rPr>
        <w:t> </w:t>
      </w:r>
      <w:r>
        <w:rPr>
          <w:color w:val="231F20"/>
        </w:rPr>
        <w:t>мрежом</w:t>
      </w:r>
      <w:r>
        <w:rPr>
          <w:color w:val="231F20"/>
          <w:spacing w:val="-5"/>
        </w:rPr>
        <w:t> </w:t>
      </w:r>
      <w:r>
        <w:rPr>
          <w:color w:val="231F20"/>
        </w:rPr>
        <w:t>са</w:t>
      </w:r>
      <w:r>
        <w:rPr>
          <w:color w:val="231F20"/>
          <w:spacing w:val="-5"/>
        </w:rPr>
        <w:t> </w:t>
      </w:r>
      <w:r>
        <w:rPr>
          <w:color w:val="231F20"/>
        </w:rPr>
        <w:t>од- говарајућим</w:t>
      </w:r>
      <w:r>
        <w:rPr>
          <w:color w:val="231F20"/>
          <w:spacing w:val="-9"/>
        </w:rPr>
        <w:t> </w:t>
      </w:r>
      <w:r>
        <w:rPr>
          <w:color w:val="231F20"/>
        </w:rPr>
        <w:t>објектима.</w:t>
      </w:r>
      <w:r>
        <w:rPr>
          <w:color w:val="231F20"/>
          <w:spacing w:val="-9"/>
        </w:rPr>
        <w:t> </w:t>
      </w:r>
      <w:r>
        <w:rPr>
          <w:color w:val="231F20"/>
        </w:rPr>
        <w:t>По</w:t>
      </w:r>
      <w:r>
        <w:rPr>
          <w:color w:val="231F20"/>
          <w:spacing w:val="-9"/>
        </w:rPr>
        <w:t> </w:t>
      </w:r>
      <w:r>
        <w:rPr>
          <w:color w:val="231F20"/>
        </w:rPr>
        <w:t>правцу</w:t>
      </w:r>
      <w:r>
        <w:rPr>
          <w:color w:val="231F20"/>
          <w:spacing w:val="-9"/>
        </w:rPr>
        <w:t> </w:t>
      </w:r>
      <w:r>
        <w:rPr>
          <w:color w:val="231F20"/>
        </w:rPr>
        <w:t>спољних</w:t>
      </w:r>
      <w:r>
        <w:rPr>
          <w:color w:val="231F20"/>
          <w:spacing w:val="-9"/>
        </w:rPr>
        <w:t> </w:t>
      </w:r>
      <w:r>
        <w:rPr>
          <w:color w:val="231F20"/>
        </w:rPr>
        <w:t>контура</w:t>
      </w:r>
      <w:r>
        <w:rPr>
          <w:color w:val="231F20"/>
          <w:spacing w:val="-9"/>
        </w:rPr>
        <w:t> </w:t>
      </w:r>
      <w:r>
        <w:rPr>
          <w:color w:val="231F20"/>
        </w:rPr>
        <w:t>плаца</w:t>
      </w:r>
      <w:r>
        <w:rPr>
          <w:color w:val="231F20"/>
          <w:spacing w:val="-9"/>
        </w:rPr>
        <w:t> </w:t>
      </w:r>
      <w:r>
        <w:rPr>
          <w:color w:val="231F20"/>
        </w:rPr>
        <w:t>потреб- но је предвидети ободни канал </w:t>
      </w:r>
      <w:r>
        <w:rPr>
          <w:color w:val="231F20"/>
          <w:spacing w:val="-3"/>
        </w:rPr>
        <w:t>који </w:t>
      </w:r>
      <w:r>
        <w:rPr>
          <w:color w:val="231F20"/>
        </w:rPr>
        <w:t>ће штитити плац </w:t>
      </w:r>
      <w:r>
        <w:rPr>
          <w:color w:val="231F20"/>
          <w:spacing w:val="-3"/>
        </w:rPr>
        <w:t>од </w:t>
      </w:r>
      <w:r>
        <w:rPr>
          <w:color w:val="231F20"/>
        </w:rPr>
        <w:t>прилива вода</w:t>
      </w:r>
      <w:r>
        <w:rPr>
          <w:color w:val="231F20"/>
          <w:spacing w:val="-8"/>
        </w:rPr>
        <w:t> </w:t>
      </w:r>
      <w:r>
        <w:rPr>
          <w:color w:val="231F20"/>
        </w:rPr>
        <w:t>у</w:t>
      </w:r>
      <w:r>
        <w:rPr>
          <w:color w:val="231F20"/>
          <w:spacing w:val="-8"/>
        </w:rPr>
        <w:t> </w:t>
      </w:r>
      <w:r>
        <w:rPr>
          <w:color w:val="231F20"/>
        </w:rPr>
        <w:t>периоду</w:t>
      </w:r>
      <w:r>
        <w:rPr>
          <w:color w:val="231F20"/>
          <w:spacing w:val="-8"/>
        </w:rPr>
        <w:t> </w:t>
      </w:r>
      <w:r>
        <w:rPr>
          <w:color w:val="231F20"/>
        </w:rPr>
        <w:t>оправке.</w:t>
      </w:r>
      <w:r>
        <w:rPr>
          <w:color w:val="231F20"/>
          <w:spacing w:val="-8"/>
        </w:rPr>
        <w:t> </w:t>
      </w:r>
      <w:r>
        <w:rPr>
          <w:color w:val="231F20"/>
          <w:spacing w:val="-2"/>
        </w:rPr>
        <w:t>Неопходно</w:t>
      </w:r>
      <w:r>
        <w:rPr>
          <w:color w:val="231F20"/>
          <w:spacing w:val="-8"/>
        </w:rPr>
        <w:t> </w:t>
      </w:r>
      <w:r>
        <w:rPr>
          <w:color w:val="231F20"/>
        </w:rPr>
        <w:t>је</w:t>
      </w:r>
      <w:r>
        <w:rPr>
          <w:color w:val="231F20"/>
          <w:spacing w:val="-8"/>
        </w:rPr>
        <w:t> </w:t>
      </w:r>
      <w:r>
        <w:rPr>
          <w:color w:val="231F20"/>
        </w:rPr>
        <w:t>да</w:t>
      </w:r>
      <w:r>
        <w:rPr>
          <w:color w:val="231F20"/>
          <w:spacing w:val="-8"/>
        </w:rPr>
        <w:t> </w:t>
      </w:r>
      <w:r>
        <w:rPr>
          <w:color w:val="231F20"/>
        </w:rPr>
        <w:t>се</w:t>
      </w:r>
      <w:r>
        <w:rPr>
          <w:color w:val="231F20"/>
          <w:spacing w:val="-8"/>
        </w:rPr>
        <w:t> </w:t>
      </w:r>
      <w:r>
        <w:rPr>
          <w:color w:val="231F20"/>
        </w:rPr>
        <w:t>до</w:t>
      </w:r>
      <w:r>
        <w:rPr>
          <w:color w:val="231F20"/>
          <w:spacing w:val="-8"/>
        </w:rPr>
        <w:t> </w:t>
      </w:r>
      <w:r>
        <w:rPr>
          <w:color w:val="231F20"/>
        </w:rPr>
        <w:t>сваке</w:t>
      </w:r>
      <w:r>
        <w:rPr>
          <w:color w:val="231F20"/>
          <w:spacing w:val="-8"/>
        </w:rPr>
        <w:t> </w:t>
      </w:r>
      <w:r>
        <w:rPr>
          <w:color w:val="231F20"/>
        </w:rPr>
        <w:t>машине</w:t>
      </w:r>
      <w:r>
        <w:rPr>
          <w:color w:val="231F20"/>
          <w:spacing w:val="-8"/>
        </w:rPr>
        <w:t> </w:t>
      </w:r>
      <w:r>
        <w:rPr>
          <w:color w:val="231F20"/>
        </w:rPr>
        <w:t>уради пут</w:t>
      </w:r>
      <w:r>
        <w:rPr>
          <w:color w:val="231F20"/>
          <w:spacing w:val="-7"/>
        </w:rPr>
        <w:t> </w:t>
      </w:r>
      <w:r>
        <w:rPr>
          <w:color w:val="231F20"/>
        </w:rPr>
        <w:t>за</w:t>
      </w:r>
      <w:r>
        <w:rPr>
          <w:color w:val="231F20"/>
          <w:spacing w:val="-7"/>
        </w:rPr>
        <w:t> </w:t>
      </w:r>
      <w:r>
        <w:rPr>
          <w:color w:val="231F20"/>
        </w:rPr>
        <w:t>кретање</w:t>
      </w:r>
      <w:r>
        <w:rPr>
          <w:color w:val="231F20"/>
          <w:spacing w:val="-7"/>
        </w:rPr>
        <w:t> </w:t>
      </w:r>
      <w:r>
        <w:rPr>
          <w:color w:val="231F20"/>
        </w:rPr>
        <w:t>и</w:t>
      </w:r>
      <w:r>
        <w:rPr>
          <w:color w:val="231F20"/>
          <w:spacing w:val="-7"/>
        </w:rPr>
        <w:t> </w:t>
      </w:r>
      <w:r>
        <w:rPr>
          <w:color w:val="231F20"/>
        </w:rPr>
        <w:t>постављање</w:t>
      </w:r>
      <w:r>
        <w:rPr>
          <w:color w:val="231F20"/>
          <w:spacing w:val="-7"/>
        </w:rPr>
        <w:t> </w:t>
      </w:r>
      <w:r>
        <w:rPr>
          <w:color w:val="231F20"/>
        </w:rPr>
        <w:t>тешке</w:t>
      </w:r>
      <w:r>
        <w:rPr>
          <w:color w:val="231F20"/>
          <w:spacing w:val="-7"/>
        </w:rPr>
        <w:t> </w:t>
      </w:r>
      <w:r>
        <w:rPr>
          <w:color w:val="231F20"/>
        </w:rPr>
        <w:t>механизације</w:t>
      </w:r>
      <w:r>
        <w:rPr>
          <w:color w:val="231F20"/>
          <w:spacing w:val="-7"/>
        </w:rPr>
        <w:t> </w:t>
      </w:r>
      <w:r>
        <w:rPr>
          <w:color w:val="231F20"/>
        </w:rPr>
        <w:t>(дизалице,</w:t>
      </w:r>
      <w:r>
        <w:rPr>
          <w:color w:val="231F20"/>
          <w:spacing w:val="-7"/>
        </w:rPr>
        <w:t> </w:t>
      </w:r>
      <w:r>
        <w:rPr>
          <w:color w:val="231F20"/>
        </w:rPr>
        <w:t>трак- тори са теретом, камиони, померачи и</w:t>
      </w:r>
      <w:r>
        <w:rPr>
          <w:color w:val="231F20"/>
          <w:spacing w:val="-8"/>
        </w:rPr>
        <w:t> </w:t>
      </w:r>
      <w:r>
        <w:rPr>
          <w:color w:val="231F20"/>
        </w:rPr>
        <w:t>друго).</w:t>
      </w:r>
    </w:p>
    <w:p>
      <w:pPr>
        <w:pStyle w:val="ListParagraph"/>
        <w:numPr>
          <w:ilvl w:val="2"/>
          <w:numId w:val="59"/>
        </w:numPr>
        <w:tabs>
          <w:tab w:pos="939" w:val="left" w:leader="none"/>
        </w:tabs>
        <w:spacing w:line="406" w:lineRule="exact" w:before="8" w:after="0"/>
        <w:ind w:left="568" w:right="411" w:hanging="80"/>
        <w:jc w:val="left"/>
        <w:rPr>
          <w:sz w:val="18"/>
        </w:rPr>
      </w:pPr>
      <w:r>
        <w:rPr>
          <w:color w:val="231F20"/>
          <w:sz w:val="18"/>
        </w:rPr>
        <w:t>Ус </w:t>
      </w:r>
      <w:r>
        <w:rPr>
          <w:color w:val="231F20"/>
          <w:spacing w:val="15"/>
          <w:sz w:val="18"/>
        </w:rPr>
        <w:t>лови </w:t>
      </w:r>
      <w:r>
        <w:rPr>
          <w:color w:val="231F20"/>
          <w:spacing w:val="10"/>
          <w:sz w:val="18"/>
        </w:rPr>
        <w:t>за по ст </w:t>
      </w:r>
      <w:r>
        <w:rPr>
          <w:color w:val="231F20"/>
          <w:spacing w:val="15"/>
          <w:sz w:val="18"/>
        </w:rPr>
        <w:t>ављање </w:t>
      </w:r>
      <w:r>
        <w:rPr>
          <w:color w:val="231F20"/>
          <w:spacing w:val="16"/>
          <w:sz w:val="18"/>
        </w:rPr>
        <w:t>напонских </w:t>
      </w:r>
      <w:r>
        <w:rPr>
          <w:color w:val="231F20"/>
          <w:spacing w:val="15"/>
          <w:sz w:val="18"/>
        </w:rPr>
        <w:t>каблова </w:t>
      </w:r>
      <w:r>
        <w:rPr>
          <w:color w:val="231F20"/>
          <w:sz w:val="18"/>
        </w:rPr>
        <w:t>Каблове по терену је потребно постављати на носаче</w:t>
      </w:r>
      <w:r>
        <w:rPr>
          <w:color w:val="231F20"/>
          <w:spacing w:val="30"/>
          <w:sz w:val="18"/>
        </w:rPr>
        <w:t> </w:t>
      </w:r>
      <w:r>
        <w:rPr>
          <w:color w:val="231F20"/>
          <w:sz w:val="18"/>
        </w:rPr>
        <w:t>одмак-</w:t>
      </w:r>
    </w:p>
    <w:p>
      <w:pPr>
        <w:pStyle w:val="BodyText"/>
        <w:spacing w:line="157" w:lineRule="exact"/>
        <w:ind w:left="171"/>
        <w:jc w:val="left"/>
      </w:pPr>
      <w:r>
        <w:rPr>
          <w:color w:val="231F20"/>
        </w:rPr>
        <w:t>нуте од тла 20 cm, учвршћене на местима скретања трасе и про-</w:t>
      </w:r>
    </w:p>
    <w:p>
      <w:pPr>
        <w:pStyle w:val="BodyText"/>
        <w:spacing w:line="235" w:lineRule="auto" w:before="1"/>
        <w:ind w:left="171" w:right="411"/>
      </w:pPr>
      <w:r>
        <w:rPr>
          <w:color w:val="231F20"/>
        </w:rPr>
        <w:t>мене нагиба. У случају постављања каблова преко косине, ако је нагиб већи од 20°, требало би кабл причврстити на челично уже које ће преузети део затезања.</w:t>
      </w:r>
    </w:p>
    <w:p>
      <w:pPr>
        <w:pStyle w:val="BodyText"/>
        <w:spacing w:line="235" w:lineRule="auto"/>
        <w:ind w:left="171" w:right="411" w:firstLine="396"/>
      </w:pPr>
      <w:r>
        <w:rPr>
          <w:color w:val="231F20"/>
        </w:rPr>
        <w:t>При полагању каблова </w:t>
      </w:r>
      <w:r>
        <w:rPr>
          <w:color w:val="231F20"/>
          <w:spacing w:val="-6"/>
        </w:rPr>
        <w:t>6KV, </w:t>
      </w:r>
      <w:r>
        <w:rPr>
          <w:color w:val="231F20"/>
        </w:rPr>
        <w:t>један поред другог или један иза </w:t>
      </w:r>
      <w:r>
        <w:rPr>
          <w:color w:val="231F20"/>
          <w:spacing w:val="-5"/>
        </w:rPr>
        <w:t>другог, </w:t>
      </w:r>
      <w:r>
        <w:rPr>
          <w:color w:val="231F20"/>
        </w:rPr>
        <w:t>потребно је обезбедити растојање </w:t>
      </w:r>
      <w:r>
        <w:rPr>
          <w:color w:val="231F20"/>
          <w:spacing w:val="-3"/>
        </w:rPr>
        <w:t>од </w:t>
      </w:r>
      <w:r>
        <w:rPr>
          <w:color w:val="231F20"/>
        </w:rPr>
        <w:t>10 cm. У случају укр- штања два кабла 6 кV требало би обезбедити размак </w:t>
      </w:r>
      <w:r>
        <w:rPr>
          <w:color w:val="231F20"/>
          <w:spacing w:val="-3"/>
        </w:rPr>
        <w:t>од </w:t>
      </w:r>
      <w:r>
        <w:rPr>
          <w:color w:val="231F20"/>
        </w:rPr>
        <w:t>25 cm, с тим да се кабл већег пресека нормално полаже. У случају укршта- ња кабла 0,4 kV и 6 kV требало би оставити размак </w:t>
      </w:r>
      <w:r>
        <w:rPr>
          <w:color w:val="231F20"/>
          <w:spacing w:val="-3"/>
        </w:rPr>
        <w:t>од </w:t>
      </w:r>
      <w:r>
        <w:rPr>
          <w:color w:val="231F20"/>
        </w:rPr>
        <w:t>50 cm. По правилу кабл 6 kV се полаже изнад кабла 0,4 </w:t>
      </w:r>
      <w:r>
        <w:rPr>
          <w:color w:val="231F20"/>
          <w:spacing w:val="-8"/>
        </w:rPr>
        <w:t>kV.</w:t>
      </w:r>
    </w:p>
    <w:p>
      <w:pPr>
        <w:pStyle w:val="BodyText"/>
        <w:spacing w:line="235" w:lineRule="auto"/>
        <w:ind w:left="171" w:right="411" w:firstLine="396"/>
      </w:pPr>
      <w:r>
        <w:rPr>
          <w:color w:val="231F20"/>
        </w:rPr>
        <w:t>Каблови се постављају на довољном растојању да у току кретања и транспорта механизације не дође до њиховог оште- ћења. Ако се каблови полажу на тло, морају се заштитити, да их транспортна средства не би оштетила (нпр. на стазама и путевима транспорта).</w:t>
      </w:r>
    </w:p>
    <w:p>
      <w:pPr>
        <w:pStyle w:val="BodyText"/>
        <w:spacing w:line="235" w:lineRule="auto"/>
        <w:ind w:left="171" w:right="411" w:firstLine="397"/>
      </w:pPr>
      <w:r>
        <w:rPr>
          <w:color w:val="231F20"/>
        </w:rPr>
        <w:t>Извођење радова се врши на основу техничке документације изграђене сагласно техничким условима надлежног предузећа уз примену важећих прописа и техничких порука електродистрибу- ције Републике Србије и то:</w:t>
      </w:r>
    </w:p>
    <w:p>
      <w:pPr>
        <w:pStyle w:val="BodyText"/>
        <w:spacing w:line="235" w:lineRule="auto"/>
        <w:ind w:right="411" w:firstLine="397"/>
      </w:pPr>
      <w:r>
        <w:rPr>
          <w:color w:val="231F20"/>
          <w:w w:val="66"/>
        </w:rPr>
        <w:t> </w:t>
      </w:r>
      <w:r>
        <w:rPr>
          <w:color w:val="231F20"/>
        </w:rPr>
        <w:t>– Правилника о техничким нормативима за изградњу ниско- напонских надземних водова („Службени гласник СФРЈ”, број 6/92) и</w:t>
      </w:r>
    </w:p>
    <w:p>
      <w:pPr>
        <w:pStyle w:val="BodyText"/>
        <w:spacing w:line="235" w:lineRule="auto"/>
        <w:ind w:right="412" w:firstLine="397"/>
      </w:pPr>
      <w:r>
        <w:rPr>
          <w:color w:val="231F20"/>
          <w:w w:val="66"/>
        </w:rPr>
        <w:t> </w:t>
      </w:r>
      <w:r>
        <w:rPr>
          <w:color w:val="231F20"/>
        </w:rPr>
        <w:t>– Правилника о техничким нормативима за заштиту ниско- напонских мрежа и припадајућих ТС („Службени гласник СФРЈ”, број 13/78 и „Службени лист СРЈ”, број 37/95).</w:t>
      </w:r>
    </w:p>
    <w:p>
      <w:pPr>
        <w:pStyle w:val="ListParagraph"/>
        <w:numPr>
          <w:ilvl w:val="2"/>
          <w:numId w:val="59"/>
        </w:numPr>
        <w:tabs>
          <w:tab w:pos="834" w:val="left" w:leader="none"/>
        </w:tabs>
        <w:spacing w:line="404" w:lineRule="exact" w:before="3" w:after="0"/>
        <w:ind w:left="567" w:right="412" w:hanging="184"/>
        <w:jc w:val="left"/>
        <w:rPr>
          <w:sz w:val="18"/>
        </w:rPr>
      </w:pPr>
      <w:r>
        <w:rPr>
          <w:color w:val="231F20"/>
          <w:spacing w:val="16"/>
          <w:sz w:val="18"/>
        </w:rPr>
        <w:t>Правила грађења телекомуникационе </w:t>
      </w:r>
      <w:r>
        <w:rPr>
          <w:color w:val="231F20"/>
          <w:spacing w:val="15"/>
          <w:sz w:val="18"/>
        </w:rPr>
        <w:t>мреже </w:t>
      </w:r>
      <w:r>
        <w:rPr>
          <w:color w:val="231F20"/>
          <w:sz w:val="18"/>
        </w:rPr>
        <w:t>Подземни</w:t>
      </w:r>
      <w:r>
        <w:rPr>
          <w:color w:val="231F20"/>
          <w:spacing w:val="-10"/>
          <w:sz w:val="18"/>
        </w:rPr>
        <w:t> </w:t>
      </w:r>
      <w:r>
        <w:rPr>
          <w:color w:val="231F20"/>
          <w:sz w:val="18"/>
        </w:rPr>
        <w:t>телекомуникациони</w:t>
      </w:r>
      <w:r>
        <w:rPr>
          <w:color w:val="231F20"/>
          <w:spacing w:val="-10"/>
          <w:sz w:val="18"/>
        </w:rPr>
        <w:t> </w:t>
      </w:r>
      <w:r>
        <w:rPr>
          <w:color w:val="231F20"/>
          <w:sz w:val="18"/>
        </w:rPr>
        <w:t>водови</w:t>
      </w:r>
      <w:r>
        <w:rPr>
          <w:color w:val="231F20"/>
          <w:spacing w:val="-10"/>
          <w:sz w:val="18"/>
        </w:rPr>
        <w:t> </w:t>
      </w:r>
      <w:r>
        <w:rPr>
          <w:color w:val="231F20"/>
          <w:sz w:val="18"/>
        </w:rPr>
        <w:t>транспортне,</w:t>
      </w:r>
      <w:r>
        <w:rPr>
          <w:color w:val="231F20"/>
          <w:spacing w:val="-10"/>
          <w:sz w:val="18"/>
        </w:rPr>
        <w:t> </w:t>
      </w:r>
      <w:r>
        <w:rPr>
          <w:color w:val="231F20"/>
          <w:sz w:val="18"/>
        </w:rPr>
        <w:t>приступ-</w:t>
      </w:r>
    </w:p>
    <w:p>
      <w:pPr>
        <w:pStyle w:val="BodyText"/>
        <w:spacing w:line="159" w:lineRule="exact"/>
      </w:pPr>
      <w:r>
        <w:rPr>
          <w:color w:val="231F20"/>
        </w:rPr>
        <w:t>не, и телекомуникационе канализације постављају се испод парце-</w:t>
      </w:r>
    </w:p>
    <w:p>
      <w:pPr>
        <w:pStyle w:val="BodyText"/>
        <w:spacing w:line="205" w:lineRule="exact"/>
      </w:pPr>
      <w:r>
        <w:rPr>
          <w:color w:val="231F20"/>
        </w:rPr>
        <w:t>ла уз сагласност власника – корисника.</w:t>
      </w:r>
    </w:p>
    <w:p>
      <w:pPr>
        <w:spacing w:after="0" w:line="205" w:lineRule="exact"/>
        <w:sectPr>
          <w:type w:val="continuous"/>
          <w:pgSz w:w="12480" w:h="15690"/>
          <w:pgMar w:top="880" w:bottom="280" w:left="680" w:right="720"/>
          <w:cols w:num="2" w:equalWidth="0">
            <w:col w:w="5315" w:space="70"/>
            <w:col w:w="5695"/>
          </w:cols>
        </w:sectPr>
      </w:pPr>
    </w:p>
    <w:p>
      <w:pPr>
        <w:pStyle w:val="BodyText"/>
        <w:spacing w:line="235" w:lineRule="auto" w:before="71"/>
        <w:ind w:left="453" w:right="1" w:firstLine="397"/>
      </w:pPr>
      <w:r>
        <w:rPr/>
        <w:pict>
          <v:line style="position:absolute;mso-position-horizontal-relative:page;mso-position-vertical-relative:page;z-index:4048" from="318.897614pt,11.942451pt" to="318.897614pt,748.950451pt" stroked="true" strokeweight=".6pt" strokecolor="#231f20">
            <v:stroke dashstyle="solid"/>
            <w10:wrap type="none"/>
          </v:line>
        </w:pict>
      </w:r>
      <w:r>
        <w:rPr>
          <w:color w:val="231F20"/>
        </w:rPr>
        <w:t>Подземни телекомуникациони каблови полажу се у ров ши- рине 0,4m на дубини од 0,8 до 1,0m према важећим техничким прописима за полагање ТТ каблова у ров.</w:t>
      </w:r>
    </w:p>
    <w:p>
      <w:pPr>
        <w:pStyle w:val="BodyText"/>
        <w:spacing w:line="235" w:lineRule="auto"/>
        <w:ind w:left="453" w:right="1" w:firstLine="396"/>
      </w:pPr>
      <w:r>
        <w:rPr>
          <w:color w:val="231F20"/>
        </w:rPr>
        <w:t>Код приближавања и укрштања ТТ каблова са осталим ин- фраструктурним објектима потребно је остварити минималне раз- маке.</w:t>
      </w:r>
    </w:p>
    <w:p>
      <w:pPr>
        <w:pStyle w:val="ListParagraph"/>
        <w:numPr>
          <w:ilvl w:val="1"/>
          <w:numId w:val="60"/>
        </w:numPr>
        <w:tabs>
          <w:tab w:pos="2081" w:val="left" w:leader="none"/>
        </w:tabs>
        <w:spacing w:line="240" w:lineRule="auto" w:before="167" w:after="0"/>
        <w:ind w:left="2080" w:right="0" w:hanging="315"/>
        <w:jc w:val="left"/>
        <w:rPr>
          <w:i/>
          <w:sz w:val="18"/>
        </w:rPr>
      </w:pPr>
      <w:r>
        <w:rPr>
          <w:i/>
          <w:color w:val="231F20"/>
          <w:sz w:val="18"/>
        </w:rPr>
        <w:t>Заштита животне</w:t>
      </w:r>
      <w:r>
        <w:rPr>
          <w:i/>
          <w:color w:val="231F20"/>
          <w:spacing w:val="-2"/>
          <w:sz w:val="18"/>
        </w:rPr>
        <w:t> </w:t>
      </w:r>
      <w:r>
        <w:rPr>
          <w:i/>
          <w:color w:val="231F20"/>
          <w:sz w:val="18"/>
        </w:rPr>
        <w:t>средине</w:t>
      </w:r>
    </w:p>
    <w:p>
      <w:pPr>
        <w:pStyle w:val="ListParagraph"/>
        <w:numPr>
          <w:ilvl w:val="2"/>
          <w:numId w:val="60"/>
        </w:numPr>
        <w:tabs>
          <w:tab w:pos="2326" w:val="left" w:leader="none"/>
        </w:tabs>
        <w:spacing w:line="240" w:lineRule="auto" w:before="166" w:after="0"/>
        <w:ind w:left="1886" w:right="0" w:hanging="11"/>
        <w:jc w:val="left"/>
        <w:rPr>
          <w:sz w:val="18"/>
        </w:rPr>
      </w:pPr>
      <w:r>
        <w:rPr>
          <w:color w:val="231F20"/>
          <w:spacing w:val="15"/>
          <w:sz w:val="18"/>
        </w:rPr>
        <w:t>Mере </w:t>
      </w:r>
      <w:r>
        <w:rPr>
          <w:color w:val="231F20"/>
          <w:spacing w:val="16"/>
          <w:sz w:val="18"/>
        </w:rPr>
        <w:t>заштите</w:t>
      </w:r>
      <w:r>
        <w:rPr>
          <w:color w:val="231F20"/>
          <w:spacing w:val="11"/>
          <w:sz w:val="18"/>
        </w:rPr>
        <w:t> </w:t>
      </w:r>
      <w:r>
        <w:rPr>
          <w:color w:val="231F20"/>
          <w:spacing w:val="12"/>
          <w:sz w:val="18"/>
        </w:rPr>
        <w:t>вода</w:t>
      </w:r>
    </w:p>
    <w:p>
      <w:pPr>
        <w:pStyle w:val="BodyText"/>
        <w:spacing w:before="6"/>
        <w:ind w:left="0"/>
        <w:jc w:val="left"/>
        <w:rPr>
          <w:sz w:val="17"/>
        </w:rPr>
      </w:pPr>
    </w:p>
    <w:p>
      <w:pPr>
        <w:pStyle w:val="BodyText"/>
        <w:spacing w:line="235" w:lineRule="auto" w:before="1"/>
        <w:ind w:left="454" w:firstLine="396"/>
      </w:pPr>
      <w:r>
        <w:rPr>
          <w:color w:val="231F20"/>
        </w:rPr>
        <w:t>Према</w:t>
      </w:r>
      <w:r>
        <w:rPr>
          <w:color w:val="231F20"/>
          <w:spacing w:val="-6"/>
        </w:rPr>
        <w:t> </w:t>
      </w:r>
      <w:r>
        <w:rPr>
          <w:color w:val="231F20"/>
        </w:rPr>
        <w:t>Закону</w:t>
      </w:r>
      <w:r>
        <w:rPr>
          <w:color w:val="231F20"/>
          <w:spacing w:val="-6"/>
        </w:rPr>
        <w:t> </w:t>
      </w:r>
      <w:r>
        <w:rPr>
          <w:color w:val="231F20"/>
        </w:rPr>
        <w:t>о</w:t>
      </w:r>
      <w:r>
        <w:rPr>
          <w:color w:val="231F20"/>
          <w:spacing w:val="-6"/>
        </w:rPr>
        <w:t> </w:t>
      </w:r>
      <w:r>
        <w:rPr>
          <w:color w:val="231F20"/>
        </w:rPr>
        <w:t>водама</w:t>
      </w:r>
      <w:r>
        <w:rPr>
          <w:color w:val="231F20"/>
          <w:spacing w:val="-6"/>
        </w:rPr>
        <w:t> </w:t>
      </w:r>
      <w:r>
        <w:rPr>
          <w:color w:val="231F20"/>
        </w:rPr>
        <w:t>(„Службени</w:t>
      </w:r>
      <w:r>
        <w:rPr>
          <w:color w:val="231F20"/>
          <w:spacing w:val="-6"/>
        </w:rPr>
        <w:t> </w:t>
      </w:r>
      <w:r>
        <w:rPr>
          <w:color w:val="231F20"/>
        </w:rPr>
        <w:t>гласник</w:t>
      </w:r>
      <w:r>
        <w:rPr>
          <w:color w:val="231F20"/>
          <w:spacing w:val="-6"/>
        </w:rPr>
        <w:t> </w:t>
      </w:r>
      <w:r>
        <w:rPr>
          <w:color w:val="231F20"/>
        </w:rPr>
        <w:t>РС”,</w:t>
      </w:r>
      <w:r>
        <w:rPr>
          <w:color w:val="231F20"/>
          <w:spacing w:val="-6"/>
        </w:rPr>
        <w:t> </w:t>
      </w:r>
      <w:r>
        <w:rPr>
          <w:color w:val="231F20"/>
        </w:rPr>
        <w:t>број</w:t>
      </w:r>
      <w:r>
        <w:rPr>
          <w:color w:val="231F20"/>
          <w:spacing w:val="-6"/>
        </w:rPr>
        <w:t> </w:t>
      </w:r>
      <w:r>
        <w:rPr>
          <w:color w:val="231F20"/>
        </w:rPr>
        <w:t>30/10), саобраћајна инфраструктура мора се градити </w:t>
      </w:r>
      <w:r>
        <w:rPr>
          <w:color w:val="231F20"/>
          <w:spacing w:val="-3"/>
        </w:rPr>
        <w:t>тако </w:t>
      </w:r>
      <w:r>
        <w:rPr>
          <w:color w:val="231F20"/>
        </w:rPr>
        <w:t>да:</w:t>
      </w:r>
    </w:p>
    <w:p>
      <w:pPr>
        <w:pStyle w:val="BodyText"/>
        <w:spacing w:line="202" w:lineRule="exact"/>
        <w:ind w:left="851"/>
        <w:jc w:val="left"/>
      </w:pPr>
      <w:r>
        <w:rPr>
          <w:color w:val="231F20"/>
          <w:w w:val="66"/>
        </w:rPr>
        <w:t> </w:t>
      </w:r>
      <w:r>
        <w:rPr>
          <w:color w:val="231F20"/>
        </w:rPr>
        <w:t>– не ремети проток воде и</w:t>
      </w:r>
    </w:p>
    <w:p>
      <w:pPr>
        <w:pStyle w:val="BodyText"/>
        <w:spacing w:line="235" w:lineRule="auto" w:before="1"/>
        <w:ind w:left="454" w:firstLine="396"/>
      </w:pPr>
      <w:r>
        <w:rPr>
          <w:color w:val="231F20"/>
          <w:w w:val="66"/>
        </w:rPr>
        <w:t> </w:t>
      </w:r>
      <w:r>
        <w:rPr>
          <w:color w:val="231F20"/>
        </w:rPr>
        <w:t>–</w:t>
      </w:r>
      <w:r>
        <w:rPr>
          <w:color w:val="231F20"/>
          <w:spacing w:val="-10"/>
        </w:rPr>
        <w:t> </w:t>
      </w:r>
      <w:r>
        <w:rPr>
          <w:color w:val="231F20"/>
        </w:rPr>
        <w:t>на</w:t>
      </w:r>
      <w:r>
        <w:rPr>
          <w:color w:val="231F20"/>
          <w:spacing w:val="-10"/>
        </w:rPr>
        <w:t> </w:t>
      </w:r>
      <w:r>
        <w:rPr>
          <w:color w:val="231F20"/>
        </w:rPr>
        <w:t>угроженим</w:t>
      </w:r>
      <w:r>
        <w:rPr>
          <w:color w:val="231F20"/>
          <w:spacing w:val="-10"/>
        </w:rPr>
        <w:t> </w:t>
      </w:r>
      <w:r>
        <w:rPr>
          <w:color w:val="231F20"/>
        </w:rPr>
        <w:t>деоницама</w:t>
      </w:r>
      <w:r>
        <w:rPr>
          <w:color w:val="231F20"/>
          <w:spacing w:val="-10"/>
        </w:rPr>
        <w:t> </w:t>
      </w:r>
      <w:r>
        <w:rPr>
          <w:color w:val="231F20"/>
          <w:spacing w:val="-3"/>
        </w:rPr>
        <w:t>водотока</w:t>
      </w:r>
      <w:r>
        <w:rPr>
          <w:color w:val="231F20"/>
          <w:spacing w:val="-10"/>
        </w:rPr>
        <w:t> </w:t>
      </w:r>
      <w:r>
        <w:rPr>
          <w:color w:val="231F20"/>
        </w:rPr>
        <w:t>представља</w:t>
      </w:r>
      <w:r>
        <w:rPr>
          <w:color w:val="231F20"/>
          <w:spacing w:val="-10"/>
        </w:rPr>
        <w:t> </w:t>
      </w:r>
      <w:r>
        <w:rPr>
          <w:color w:val="231F20"/>
        </w:rPr>
        <w:t>локализаци- оне одбрамбене</w:t>
      </w:r>
      <w:r>
        <w:rPr>
          <w:color w:val="231F20"/>
          <w:spacing w:val="-3"/>
        </w:rPr>
        <w:t> </w:t>
      </w:r>
      <w:r>
        <w:rPr>
          <w:color w:val="231F20"/>
        </w:rPr>
        <w:t>линије.</w:t>
      </w:r>
    </w:p>
    <w:p>
      <w:pPr>
        <w:pStyle w:val="BodyText"/>
        <w:spacing w:line="235" w:lineRule="auto"/>
        <w:ind w:left="454" w:firstLine="396"/>
      </w:pPr>
      <w:r>
        <w:rPr>
          <w:color w:val="231F20"/>
        </w:rPr>
        <w:t>Главни параметри који могу угрозити захтевани квалитет Млаве су минерална уља, феноли и биолошка потрошња кисео- ника.</w:t>
      </w:r>
    </w:p>
    <w:p>
      <w:pPr>
        <w:pStyle w:val="BodyText"/>
        <w:spacing w:line="202" w:lineRule="exact"/>
        <w:ind w:left="851"/>
        <w:jc w:val="left"/>
      </w:pPr>
      <w:r>
        <w:rPr>
          <w:color w:val="231F20"/>
        </w:rPr>
        <w:t>Концепција заштите вода треба да се заснива пре свега на:</w:t>
      </w:r>
    </w:p>
    <w:p>
      <w:pPr>
        <w:pStyle w:val="BodyText"/>
        <w:spacing w:line="235" w:lineRule="auto" w:before="1"/>
        <w:ind w:left="454" w:firstLine="396"/>
      </w:pPr>
      <w:r>
        <w:rPr>
          <w:color w:val="231F20"/>
          <w:w w:val="66"/>
        </w:rPr>
        <w:t> </w:t>
      </w:r>
      <w:r>
        <w:rPr>
          <w:color w:val="231F20"/>
        </w:rPr>
        <w:t>– избећи деградацију подземних вода (физичка, хемијска и биолошка стабилност) у водоносном хоризонту;</w:t>
      </w:r>
    </w:p>
    <w:p>
      <w:pPr>
        <w:pStyle w:val="BodyText"/>
        <w:spacing w:line="235" w:lineRule="auto"/>
        <w:ind w:left="454" w:firstLine="396"/>
      </w:pPr>
      <w:r>
        <w:rPr>
          <w:color w:val="231F20"/>
          <w:w w:val="66"/>
        </w:rPr>
        <w:t> </w:t>
      </w:r>
      <w:r>
        <w:rPr>
          <w:color w:val="231F20"/>
        </w:rPr>
        <w:t>– обезбедити редовну контролу стања система за одвођење дренажних, етажних, атмосферских процедних вода, као и хидра- уличних пумпи. </w:t>
      </w:r>
      <w:r>
        <w:rPr>
          <w:color w:val="231F20"/>
          <w:spacing w:val="-4"/>
        </w:rPr>
        <w:t>Како </w:t>
      </w:r>
      <w:r>
        <w:rPr>
          <w:color w:val="231F20"/>
        </w:rPr>
        <w:t>услед употребе механизације ове воде могу садржати извесне </w:t>
      </w:r>
      <w:r>
        <w:rPr>
          <w:color w:val="231F20"/>
          <w:spacing w:val="-3"/>
        </w:rPr>
        <w:t>количине </w:t>
      </w:r>
      <w:r>
        <w:rPr>
          <w:color w:val="231F20"/>
        </w:rPr>
        <w:t>уља и мазива, </w:t>
      </w:r>
      <w:r>
        <w:rPr>
          <w:color w:val="231F20"/>
          <w:spacing w:val="-2"/>
        </w:rPr>
        <w:t>неопходно </w:t>
      </w:r>
      <w:r>
        <w:rPr>
          <w:color w:val="231F20"/>
        </w:rPr>
        <w:t>је омогућити адекватан третман применом сепаратора уља и масти и</w:t>
      </w:r>
    </w:p>
    <w:p>
      <w:pPr>
        <w:pStyle w:val="BodyText"/>
        <w:spacing w:line="235" w:lineRule="auto"/>
        <w:ind w:left="455" w:right="1" w:firstLine="396"/>
      </w:pPr>
      <w:r>
        <w:rPr>
          <w:color w:val="231F20"/>
          <w:w w:val="66"/>
        </w:rPr>
        <w:t> </w:t>
      </w:r>
      <w:r>
        <w:rPr>
          <w:color w:val="231F20"/>
        </w:rPr>
        <w:t>– одрживом развоју, што подразумева разумно коришћење простора и ресурса, очување животне средине на начин којим се истовремено доприноси побољшању њеног квалитета.</w:t>
      </w:r>
    </w:p>
    <w:p>
      <w:pPr>
        <w:pStyle w:val="BodyText"/>
        <w:spacing w:line="235" w:lineRule="auto"/>
        <w:ind w:left="455" w:right="1" w:firstLine="396"/>
      </w:pPr>
      <w:r>
        <w:rPr>
          <w:color w:val="231F20"/>
        </w:rPr>
        <w:t>Од изузетне важности је на безбедан и ефикасан начин, по потреби, демонтирати привремени објекат у </w:t>
      </w:r>
      <w:r>
        <w:rPr>
          <w:color w:val="231F20"/>
          <w:spacing w:val="-3"/>
        </w:rPr>
        <w:t>кориту </w:t>
      </w:r>
      <w:r>
        <w:rPr>
          <w:color w:val="231F20"/>
        </w:rPr>
        <w:t>реке Млаве, без ремећења природног тока реке. Деснообални одбрамбени на- сип је потребно довести у пројектовано стање сагласно са препо- рукама</w:t>
      </w:r>
      <w:r>
        <w:rPr>
          <w:color w:val="231F20"/>
          <w:spacing w:val="-7"/>
        </w:rPr>
        <w:t> </w:t>
      </w:r>
      <w:r>
        <w:rPr>
          <w:color w:val="231F20"/>
        </w:rPr>
        <w:t>надлежних</w:t>
      </w:r>
      <w:r>
        <w:rPr>
          <w:color w:val="231F20"/>
          <w:spacing w:val="-7"/>
        </w:rPr>
        <w:t> </w:t>
      </w:r>
      <w:r>
        <w:rPr>
          <w:color w:val="231F20"/>
        </w:rPr>
        <w:t>институција,</w:t>
      </w:r>
      <w:r>
        <w:rPr>
          <w:color w:val="231F20"/>
          <w:spacing w:val="-7"/>
        </w:rPr>
        <w:t> </w:t>
      </w:r>
      <w:r>
        <w:rPr>
          <w:color w:val="231F20"/>
        </w:rPr>
        <w:t>а</w:t>
      </w:r>
      <w:r>
        <w:rPr>
          <w:color w:val="231F20"/>
          <w:spacing w:val="-7"/>
        </w:rPr>
        <w:t> </w:t>
      </w:r>
      <w:r>
        <w:rPr>
          <w:color w:val="231F20"/>
        </w:rPr>
        <w:t>на</w:t>
      </w:r>
      <w:r>
        <w:rPr>
          <w:color w:val="231F20"/>
          <w:spacing w:val="-7"/>
        </w:rPr>
        <w:t> </w:t>
      </w:r>
      <w:r>
        <w:rPr>
          <w:color w:val="231F20"/>
        </w:rPr>
        <w:t>основу</w:t>
      </w:r>
      <w:r>
        <w:rPr>
          <w:color w:val="231F20"/>
          <w:spacing w:val="-7"/>
        </w:rPr>
        <w:t> </w:t>
      </w:r>
      <w:r>
        <w:rPr>
          <w:color w:val="231F20"/>
          <w:spacing w:val="-3"/>
        </w:rPr>
        <w:t>рударско-техничке</w:t>
      </w:r>
      <w:r>
        <w:rPr>
          <w:color w:val="231F20"/>
          <w:spacing w:val="-7"/>
        </w:rPr>
        <w:t> </w:t>
      </w:r>
      <w:r>
        <w:rPr>
          <w:color w:val="231F20"/>
        </w:rPr>
        <w:t>до- кументације.</w:t>
      </w:r>
    </w:p>
    <w:p>
      <w:pPr>
        <w:pStyle w:val="ListParagraph"/>
        <w:numPr>
          <w:ilvl w:val="2"/>
          <w:numId w:val="60"/>
        </w:numPr>
        <w:tabs>
          <w:tab w:pos="2186" w:val="left" w:leader="none"/>
        </w:tabs>
        <w:spacing w:line="240" w:lineRule="auto" w:before="167" w:after="0"/>
        <w:ind w:left="2185" w:right="0" w:hanging="450"/>
        <w:jc w:val="left"/>
        <w:rPr>
          <w:sz w:val="18"/>
        </w:rPr>
      </w:pPr>
      <w:r>
        <w:rPr>
          <w:color w:val="231F20"/>
          <w:spacing w:val="15"/>
          <w:sz w:val="18"/>
        </w:rPr>
        <w:t>Mере </w:t>
      </w:r>
      <w:r>
        <w:rPr>
          <w:color w:val="231F20"/>
          <w:spacing w:val="16"/>
          <w:sz w:val="18"/>
        </w:rPr>
        <w:t>заштите </w:t>
      </w:r>
      <w:r>
        <w:rPr>
          <w:color w:val="231F20"/>
          <w:spacing w:val="6"/>
          <w:sz w:val="18"/>
        </w:rPr>
        <w:t>од</w:t>
      </w:r>
      <w:r>
        <w:rPr>
          <w:color w:val="231F20"/>
          <w:spacing w:val="38"/>
          <w:sz w:val="18"/>
        </w:rPr>
        <w:t> </w:t>
      </w:r>
      <w:r>
        <w:rPr>
          <w:color w:val="231F20"/>
          <w:spacing w:val="11"/>
          <w:sz w:val="18"/>
        </w:rPr>
        <w:t>буке</w:t>
      </w:r>
    </w:p>
    <w:p>
      <w:pPr>
        <w:pStyle w:val="BodyText"/>
        <w:spacing w:before="7"/>
        <w:ind w:left="0"/>
        <w:jc w:val="left"/>
        <w:rPr>
          <w:sz w:val="17"/>
        </w:rPr>
      </w:pPr>
    </w:p>
    <w:p>
      <w:pPr>
        <w:pStyle w:val="BodyText"/>
        <w:spacing w:line="235" w:lineRule="auto"/>
        <w:ind w:left="455" w:right="1" w:firstLine="397"/>
      </w:pPr>
      <w:r>
        <w:rPr>
          <w:color w:val="231F20"/>
        </w:rPr>
        <w:t>Повећан ниво буке јавља се приликом транспорта рударске механизације, дуж трасе. Због смањења загађивања буком могуће је спровести следећу заштиту:</w:t>
      </w:r>
    </w:p>
    <w:p>
      <w:pPr>
        <w:pStyle w:val="BodyText"/>
        <w:spacing w:line="235" w:lineRule="auto"/>
        <w:ind w:left="455" w:right="1" w:firstLine="396"/>
      </w:pPr>
      <w:r>
        <w:rPr>
          <w:color w:val="231F20"/>
          <w:w w:val="66"/>
        </w:rPr>
        <w:t> </w:t>
      </w:r>
      <w:r>
        <w:rPr>
          <w:color w:val="231F20"/>
        </w:rPr>
        <w:t>– на самом извору буке: техничко-технолошким решењима на уређајима који производе буку, као и учесталом строгом тех- ничком контролом рада моторних возила и применом важећих прописа; и</w:t>
      </w:r>
    </w:p>
    <w:p>
      <w:pPr>
        <w:pStyle w:val="BodyText"/>
        <w:spacing w:line="235" w:lineRule="auto"/>
        <w:ind w:left="455" w:right="1" w:firstLine="396"/>
      </w:pPr>
      <w:r>
        <w:rPr>
          <w:color w:val="231F20"/>
          <w:w w:val="66"/>
        </w:rPr>
        <w:t> </w:t>
      </w:r>
      <w:r>
        <w:rPr>
          <w:color w:val="231F20"/>
        </w:rPr>
        <w:t>– на путу од извора буке до пријемника: подизањем заштит- них зидова типа екрана око извора буке.</w:t>
      </w:r>
    </w:p>
    <w:p>
      <w:pPr>
        <w:pStyle w:val="BodyText"/>
        <w:spacing w:line="235" w:lineRule="auto"/>
        <w:ind w:left="455" w:right="1" w:firstLine="396"/>
      </w:pPr>
      <w:r>
        <w:rPr>
          <w:color w:val="231F20"/>
        </w:rPr>
        <w:t>Емитовање </w:t>
      </w:r>
      <w:r>
        <w:rPr>
          <w:color w:val="231F20"/>
          <w:spacing w:val="-3"/>
        </w:rPr>
        <w:t>буке </w:t>
      </w:r>
      <w:r>
        <w:rPr>
          <w:color w:val="231F20"/>
        </w:rPr>
        <w:t>из постојећих и планираних привредних објеката</w:t>
      </w:r>
      <w:r>
        <w:rPr>
          <w:color w:val="231F20"/>
          <w:spacing w:val="-7"/>
        </w:rPr>
        <w:t> </w:t>
      </w:r>
      <w:r>
        <w:rPr>
          <w:color w:val="231F20"/>
        </w:rPr>
        <w:t>не</w:t>
      </w:r>
      <w:r>
        <w:rPr>
          <w:color w:val="231F20"/>
          <w:spacing w:val="-7"/>
        </w:rPr>
        <w:t> </w:t>
      </w:r>
      <w:r>
        <w:rPr>
          <w:color w:val="231F20"/>
        </w:rPr>
        <w:t>сме</w:t>
      </w:r>
      <w:r>
        <w:rPr>
          <w:color w:val="231F20"/>
          <w:spacing w:val="-7"/>
        </w:rPr>
        <w:t> </w:t>
      </w:r>
      <w:r>
        <w:rPr>
          <w:color w:val="231F20"/>
        </w:rPr>
        <w:t>прекорачити</w:t>
      </w:r>
      <w:r>
        <w:rPr>
          <w:color w:val="231F20"/>
          <w:spacing w:val="-7"/>
        </w:rPr>
        <w:t> </w:t>
      </w:r>
      <w:r>
        <w:rPr>
          <w:color w:val="231F20"/>
          <w:spacing w:val="-3"/>
        </w:rPr>
        <w:t>законске</w:t>
      </w:r>
      <w:r>
        <w:rPr>
          <w:color w:val="231F20"/>
          <w:spacing w:val="-7"/>
        </w:rPr>
        <w:t> </w:t>
      </w:r>
      <w:r>
        <w:rPr>
          <w:color w:val="231F20"/>
        </w:rPr>
        <w:t>норме</w:t>
      </w:r>
      <w:r>
        <w:rPr>
          <w:color w:val="231F20"/>
          <w:spacing w:val="-7"/>
        </w:rPr>
        <w:t> </w:t>
      </w:r>
      <w:r>
        <w:rPr>
          <w:color w:val="231F20"/>
        </w:rPr>
        <w:t>дефинисане</w:t>
      </w:r>
      <w:r>
        <w:rPr>
          <w:color w:val="231F20"/>
          <w:spacing w:val="-7"/>
        </w:rPr>
        <w:t> </w:t>
      </w:r>
      <w:r>
        <w:rPr>
          <w:color w:val="231F20"/>
        </w:rPr>
        <w:t>„Правил- </w:t>
      </w:r>
      <w:r>
        <w:rPr>
          <w:color w:val="231F20"/>
          <w:spacing w:val="-4"/>
        </w:rPr>
        <w:t>ником </w:t>
      </w:r>
      <w:r>
        <w:rPr>
          <w:color w:val="231F20"/>
        </w:rPr>
        <w:t>о дозвољеном нивоу </w:t>
      </w:r>
      <w:r>
        <w:rPr>
          <w:color w:val="231F20"/>
          <w:spacing w:val="-3"/>
        </w:rPr>
        <w:t>буке </w:t>
      </w:r>
      <w:r>
        <w:rPr>
          <w:color w:val="231F20"/>
        </w:rPr>
        <w:t>у животној средини” („Службени гласник РС”, број</w:t>
      </w:r>
      <w:r>
        <w:rPr>
          <w:color w:val="231F20"/>
          <w:spacing w:val="-1"/>
        </w:rPr>
        <w:t> </w:t>
      </w:r>
      <w:r>
        <w:rPr>
          <w:color w:val="231F20"/>
        </w:rPr>
        <w:t>54/92).</w:t>
      </w:r>
    </w:p>
    <w:p>
      <w:pPr>
        <w:pStyle w:val="ListParagraph"/>
        <w:numPr>
          <w:ilvl w:val="2"/>
          <w:numId w:val="60"/>
        </w:numPr>
        <w:tabs>
          <w:tab w:pos="997" w:val="left" w:leader="none"/>
        </w:tabs>
        <w:spacing w:line="235" w:lineRule="auto" w:before="170" w:after="0"/>
        <w:ind w:left="1886" w:right="89" w:hanging="1340"/>
        <w:jc w:val="left"/>
        <w:rPr>
          <w:sz w:val="18"/>
        </w:rPr>
      </w:pPr>
      <w:r>
        <w:rPr>
          <w:color w:val="231F20"/>
          <w:spacing w:val="15"/>
          <w:sz w:val="18"/>
        </w:rPr>
        <w:t>Mере </w:t>
      </w:r>
      <w:r>
        <w:rPr>
          <w:color w:val="231F20"/>
          <w:spacing w:val="16"/>
          <w:sz w:val="18"/>
        </w:rPr>
        <w:t>заштите </w:t>
      </w:r>
      <w:r>
        <w:rPr>
          <w:color w:val="231F20"/>
          <w:spacing w:val="6"/>
          <w:sz w:val="18"/>
        </w:rPr>
        <w:t>од </w:t>
      </w:r>
      <w:r>
        <w:rPr>
          <w:color w:val="231F20"/>
          <w:spacing w:val="15"/>
          <w:sz w:val="18"/>
        </w:rPr>
        <w:t>техничко- </w:t>
      </w:r>
      <w:r>
        <w:rPr>
          <w:color w:val="231F20"/>
          <w:spacing w:val="16"/>
          <w:sz w:val="18"/>
        </w:rPr>
        <w:t>технолошких </w:t>
      </w:r>
      <w:r>
        <w:rPr>
          <w:color w:val="231F20"/>
          <w:spacing w:val="10"/>
          <w:sz w:val="18"/>
        </w:rPr>
        <w:t>уде </w:t>
      </w:r>
      <w:r>
        <w:rPr>
          <w:color w:val="231F20"/>
          <w:sz w:val="18"/>
        </w:rPr>
        <w:t>с а и </w:t>
      </w:r>
      <w:r>
        <w:rPr>
          <w:color w:val="231F20"/>
          <w:spacing w:val="16"/>
          <w:sz w:val="18"/>
        </w:rPr>
        <w:t>хаваријских</w:t>
      </w:r>
      <w:r>
        <w:rPr>
          <w:color w:val="231F20"/>
          <w:spacing w:val="43"/>
          <w:sz w:val="18"/>
        </w:rPr>
        <w:t> </w:t>
      </w:r>
      <w:r>
        <w:rPr>
          <w:color w:val="231F20"/>
          <w:spacing w:val="16"/>
          <w:sz w:val="18"/>
        </w:rPr>
        <w:t>загађења</w:t>
      </w:r>
    </w:p>
    <w:p>
      <w:pPr>
        <w:pStyle w:val="BodyText"/>
        <w:spacing w:before="8"/>
        <w:ind w:left="0"/>
        <w:jc w:val="left"/>
        <w:rPr>
          <w:sz w:val="17"/>
        </w:rPr>
      </w:pPr>
    </w:p>
    <w:p>
      <w:pPr>
        <w:pStyle w:val="BodyText"/>
        <w:spacing w:line="235" w:lineRule="auto"/>
        <w:ind w:left="456" w:firstLine="396"/>
      </w:pPr>
      <w:r>
        <w:rPr>
          <w:color w:val="231F20"/>
        </w:rPr>
        <w:t>Имајући у виду планирану намену простора – изградњу и реконструкцију инфраструктурних објеката, неопходно је да сви постојећи и новопланирани објекти имају одговарајући план за- штите </w:t>
      </w:r>
      <w:r>
        <w:rPr>
          <w:color w:val="231F20"/>
          <w:spacing w:val="-3"/>
        </w:rPr>
        <w:t>од </w:t>
      </w:r>
      <w:r>
        <w:rPr>
          <w:color w:val="231F20"/>
        </w:rPr>
        <w:t>удеса, као основну меру приправности у случају изне- надних и непредвиђених индустријских удеса и хаваријских зага- ђења.</w:t>
      </w:r>
      <w:r>
        <w:rPr>
          <w:color w:val="231F20"/>
          <w:spacing w:val="-9"/>
        </w:rPr>
        <w:t> </w:t>
      </w:r>
      <w:r>
        <w:rPr>
          <w:color w:val="231F20"/>
        </w:rPr>
        <w:t>План</w:t>
      </w:r>
      <w:r>
        <w:rPr>
          <w:color w:val="231F20"/>
          <w:spacing w:val="-9"/>
        </w:rPr>
        <w:t> </w:t>
      </w:r>
      <w:r>
        <w:rPr>
          <w:color w:val="231F20"/>
        </w:rPr>
        <w:t>заштите</w:t>
      </w:r>
      <w:r>
        <w:rPr>
          <w:color w:val="231F20"/>
          <w:spacing w:val="-9"/>
        </w:rPr>
        <w:t> </w:t>
      </w:r>
      <w:r>
        <w:rPr>
          <w:color w:val="231F20"/>
          <w:spacing w:val="-3"/>
        </w:rPr>
        <w:t>од</w:t>
      </w:r>
      <w:r>
        <w:rPr>
          <w:color w:val="231F20"/>
          <w:spacing w:val="-9"/>
        </w:rPr>
        <w:t> </w:t>
      </w:r>
      <w:r>
        <w:rPr>
          <w:color w:val="231F20"/>
        </w:rPr>
        <w:t>удеса</w:t>
      </w:r>
      <w:r>
        <w:rPr>
          <w:color w:val="231F20"/>
          <w:spacing w:val="-9"/>
        </w:rPr>
        <w:t> </w:t>
      </w:r>
      <w:r>
        <w:rPr>
          <w:color w:val="231F20"/>
        </w:rPr>
        <w:t>прецизно</w:t>
      </w:r>
      <w:r>
        <w:rPr>
          <w:color w:val="231F20"/>
          <w:spacing w:val="-9"/>
        </w:rPr>
        <w:t> </w:t>
      </w:r>
      <w:r>
        <w:rPr>
          <w:color w:val="231F20"/>
        </w:rPr>
        <w:t>дефинише</w:t>
      </w:r>
      <w:r>
        <w:rPr>
          <w:color w:val="231F20"/>
          <w:spacing w:val="-9"/>
        </w:rPr>
        <w:t> </w:t>
      </w:r>
      <w:r>
        <w:rPr>
          <w:color w:val="231F20"/>
        </w:rPr>
        <w:t>процену</w:t>
      </w:r>
      <w:r>
        <w:rPr>
          <w:color w:val="231F20"/>
          <w:spacing w:val="-9"/>
        </w:rPr>
        <w:t> </w:t>
      </w:r>
      <w:r>
        <w:rPr>
          <w:color w:val="231F20"/>
        </w:rPr>
        <w:t>степена опасности </w:t>
      </w:r>
      <w:r>
        <w:rPr>
          <w:color w:val="231F20"/>
          <w:spacing w:val="-3"/>
        </w:rPr>
        <w:t>од </w:t>
      </w:r>
      <w:r>
        <w:rPr>
          <w:color w:val="231F20"/>
        </w:rPr>
        <w:t>ризика, ниво повредљивости и субјекте надлежне за </w:t>
      </w:r>
      <w:r>
        <w:rPr>
          <w:color w:val="231F20"/>
          <w:spacing w:val="-3"/>
        </w:rPr>
        <w:t>његову </w:t>
      </w:r>
      <w:r>
        <w:rPr>
          <w:color w:val="231F20"/>
        </w:rPr>
        <w:t>реализацију, а доноси се на основу „Правилника о методо- логији за процену опасности </w:t>
      </w:r>
      <w:r>
        <w:rPr>
          <w:color w:val="231F20"/>
          <w:spacing w:val="-3"/>
        </w:rPr>
        <w:t>од </w:t>
      </w:r>
      <w:r>
        <w:rPr>
          <w:color w:val="231F20"/>
        </w:rPr>
        <w:t>хемијског удеса и </w:t>
      </w:r>
      <w:r>
        <w:rPr>
          <w:color w:val="231F20"/>
          <w:spacing w:val="-3"/>
        </w:rPr>
        <w:t>од </w:t>
      </w:r>
      <w:r>
        <w:rPr>
          <w:color w:val="231F20"/>
        </w:rPr>
        <w:t>загађивања животне</w:t>
      </w:r>
      <w:r>
        <w:rPr>
          <w:color w:val="231F20"/>
          <w:spacing w:val="-5"/>
        </w:rPr>
        <w:t> </w:t>
      </w:r>
      <w:r>
        <w:rPr>
          <w:color w:val="231F20"/>
        </w:rPr>
        <w:t>средине,</w:t>
      </w:r>
      <w:r>
        <w:rPr>
          <w:color w:val="231F20"/>
          <w:spacing w:val="-5"/>
        </w:rPr>
        <w:t> </w:t>
      </w:r>
      <w:r>
        <w:rPr>
          <w:color w:val="231F20"/>
        </w:rPr>
        <w:t>мерама</w:t>
      </w:r>
      <w:r>
        <w:rPr>
          <w:color w:val="231F20"/>
          <w:spacing w:val="-6"/>
        </w:rPr>
        <w:t> </w:t>
      </w:r>
      <w:r>
        <w:rPr>
          <w:color w:val="231F20"/>
        </w:rPr>
        <w:t>припреме</w:t>
      </w:r>
      <w:r>
        <w:rPr>
          <w:color w:val="231F20"/>
          <w:spacing w:val="-5"/>
        </w:rPr>
        <w:t> </w:t>
      </w:r>
      <w:r>
        <w:rPr>
          <w:color w:val="231F20"/>
        </w:rPr>
        <w:t>и</w:t>
      </w:r>
      <w:r>
        <w:rPr>
          <w:color w:val="231F20"/>
          <w:spacing w:val="-5"/>
        </w:rPr>
        <w:t> </w:t>
      </w:r>
      <w:r>
        <w:rPr>
          <w:color w:val="231F20"/>
        </w:rPr>
        <w:t>мерама</w:t>
      </w:r>
      <w:r>
        <w:rPr>
          <w:color w:val="231F20"/>
          <w:spacing w:val="-5"/>
        </w:rPr>
        <w:t> </w:t>
      </w:r>
      <w:r>
        <w:rPr>
          <w:color w:val="231F20"/>
        </w:rPr>
        <w:t>за</w:t>
      </w:r>
      <w:r>
        <w:rPr>
          <w:color w:val="231F20"/>
          <w:spacing w:val="-6"/>
        </w:rPr>
        <w:t> </w:t>
      </w:r>
      <w:r>
        <w:rPr>
          <w:color w:val="231F20"/>
        </w:rPr>
        <w:t>отклањање</w:t>
      </w:r>
      <w:r>
        <w:rPr>
          <w:color w:val="231F20"/>
          <w:spacing w:val="-5"/>
        </w:rPr>
        <w:t> </w:t>
      </w:r>
      <w:r>
        <w:rPr>
          <w:color w:val="231F20"/>
        </w:rPr>
        <w:t>после- дица” („Службени гласник РС”, бр. 60/94 и</w:t>
      </w:r>
      <w:r>
        <w:rPr>
          <w:color w:val="231F20"/>
          <w:spacing w:val="-8"/>
        </w:rPr>
        <w:t> </w:t>
      </w:r>
      <w:r>
        <w:rPr>
          <w:color w:val="231F20"/>
        </w:rPr>
        <w:t>63/94).</w:t>
      </w:r>
    </w:p>
    <w:p>
      <w:pPr>
        <w:pStyle w:val="Heading1"/>
        <w:numPr>
          <w:ilvl w:val="1"/>
          <w:numId w:val="52"/>
        </w:numPr>
        <w:tabs>
          <w:tab w:pos="911" w:val="left" w:leader="none"/>
        </w:tabs>
        <w:spacing w:line="240" w:lineRule="auto" w:before="167" w:after="0"/>
        <w:ind w:left="910" w:right="0" w:hanging="180"/>
        <w:jc w:val="left"/>
      </w:pPr>
      <w:r>
        <w:rPr>
          <w:color w:val="231F20"/>
          <w:spacing w:val="-3"/>
        </w:rPr>
        <w:t>Комплекс </w:t>
      </w:r>
      <w:r>
        <w:rPr>
          <w:color w:val="231F20"/>
        </w:rPr>
        <w:t>ТЕ „Костолац А” са робним</w:t>
      </w:r>
      <w:r>
        <w:rPr>
          <w:color w:val="231F20"/>
          <w:spacing w:val="-13"/>
        </w:rPr>
        <w:t> </w:t>
      </w:r>
      <w:r>
        <w:rPr>
          <w:color w:val="231F20"/>
        </w:rPr>
        <w:t>пристаништем</w:t>
      </w:r>
    </w:p>
    <w:p>
      <w:pPr>
        <w:pStyle w:val="ListParagraph"/>
        <w:numPr>
          <w:ilvl w:val="2"/>
          <w:numId w:val="52"/>
        </w:numPr>
        <w:tabs>
          <w:tab w:pos="2517" w:val="left" w:leader="none"/>
        </w:tabs>
        <w:spacing w:line="240" w:lineRule="auto" w:before="166" w:after="0"/>
        <w:ind w:left="2516"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6"/>
        <w:ind w:left="0"/>
        <w:jc w:val="left"/>
        <w:rPr>
          <w:i/>
          <w:sz w:val="17"/>
        </w:rPr>
      </w:pPr>
    </w:p>
    <w:p>
      <w:pPr>
        <w:pStyle w:val="BodyText"/>
        <w:spacing w:line="235" w:lineRule="auto" w:before="1"/>
        <w:ind w:left="456" w:firstLine="397"/>
      </w:pPr>
      <w:r>
        <w:rPr>
          <w:color w:val="231F20"/>
        </w:rPr>
        <w:t>У периоду од 1948 – 1965. године, електрична енергија се производила на бази костолачких лигнита у ТЕ „Мали Костолац”,</w:t>
      </w:r>
    </w:p>
    <w:p>
      <w:pPr>
        <w:pStyle w:val="BodyText"/>
        <w:spacing w:line="204" w:lineRule="exact" w:before="65"/>
        <w:ind w:left="242"/>
        <w:jc w:val="left"/>
      </w:pPr>
      <w:r>
        <w:rPr/>
        <w:br w:type="column"/>
      </w:r>
      <w:r>
        <w:rPr>
          <w:color w:val="231F20"/>
        </w:rPr>
        <w:t>снаге 8 MW. На истој локацији формиран је садашњи комплекс ТЕ</w:t>
      </w:r>
    </w:p>
    <w:p>
      <w:pPr>
        <w:pStyle w:val="BodyText"/>
        <w:spacing w:line="204" w:lineRule="exact"/>
        <w:ind w:left="242"/>
        <w:jc w:val="left"/>
      </w:pPr>
      <w:r>
        <w:rPr>
          <w:color w:val="231F20"/>
        </w:rPr>
        <w:t>„Костолац А”.</w:t>
      </w:r>
    </w:p>
    <w:p>
      <w:pPr>
        <w:pStyle w:val="BodyText"/>
        <w:spacing w:before="3"/>
        <w:ind w:left="240" w:right="128" w:firstLine="399"/>
      </w:pPr>
      <w:r>
        <w:rPr>
          <w:color w:val="231F20"/>
        </w:rPr>
        <w:t>ТЕ „Костолац А” је кондензациона</w:t>
      </w:r>
      <w:r>
        <w:rPr>
          <w:color w:val="231F20"/>
          <w:position w:val="6"/>
          <w:sz w:val="10"/>
        </w:rPr>
        <w:t>13</w:t>
      </w:r>
      <w:r>
        <w:rPr>
          <w:color w:val="231F20"/>
        </w:rPr>
        <w:t>, </w:t>
      </w:r>
      <w:r>
        <w:rPr>
          <w:color w:val="231F20"/>
          <w:spacing w:val="-3"/>
        </w:rPr>
        <w:t>блоковског </w:t>
      </w:r>
      <w:r>
        <w:rPr>
          <w:color w:val="231F20"/>
        </w:rPr>
        <w:t>типа са про- точним хлађењем. Инсталисана су два енергетска блока: блок А1, инсталисане снаге 100 </w:t>
      </w:r>
      <w:r>
        <w:rPr>
          <w:color w:val="231F20"/>
          <w:spacing w:val="-6"/>
        </w:rPr>
        <w:t>MW, </w:t>
      </w:r>
      <w:r>
        <w:rPr>
          <w:color w:val="231F20"/>
          <w:spacing w:val="-3"/>
        </w:rPr>
        <w:t>који </w:t>
      </w:r>
      <w:r>
        <w:rPr>
          <w:color w:val="231F20"/>
        </w:rPr>
        <w:t>је пуштен у рад 1967. године, и блок А2, инсталисане снаге 210 </w:t>
      </w:r>
      <w:r>
        <w:rPr>
          <w:color w:val="231F20"/>
          <w:spacing w:val="-6"/>
        </w:rPr>
        <w:t>MW, </w:t>
      </w:r>
      <w:r>
        <w:rPr>
          <w:color w:val="231F20"/>
        </w:rPr>
        <w:t>пуштен у рад 1980. </w:t>
      </w:r>
      <w:r>
        <w:rPr>
          <w:color w:val="231F20"/>
          <w:spacing w:val="-3"/>
        </w:rPr>
        <w:t>године.</w:t>
      </w:r>
    </w:p>
    <w:p>
      <w:pPr>
        <w:pStyle w:val="BodyText"/>
        <w:spacing w:before="4"/>
        <w:ind w:left="239" w:right="128" w:firstLine="397"/>
      </w:pPr>
      <w:r>
        <w:rPr>
          <w:color w:val="231F20"/>
        </w:rPr>
        <w:t>Вода, </w:t>
      </w:r>
      <w:r>
        <w:rPr>
          <w:color w:val="231F20"/>
          <w:spacing w:val="-3"/>
        </w:rPr>
        <w:t>која </w:t>
      </w:r>
      <w:r>
        <w:rPr>
          <w:color w:val="231F20"/>
        </w:rPr>
        <w:t>се помоћу пумпне станице усисава из Дунавца, служи</w:t>
      </w:r>
      <w:r>
        <w:rPr>
          <w:color w:val="231F20"/>
          <w:spacing w:val="-4"/>
        </w:rPr>
        <w:t> </w:t>
      </w:r>
      <w:r>
        <w:rPr>
          <w:color w:val="231F20"/>
        </w:rPr>
        <w:t>као</w:t>
      </w:r>
      <w:r>
        <w:rPr>
          <w:color w:val="231F20"/>
          <w:spacing w:val="-4"/>
        </w:rPr>
        <w:t> </w:t>
      </w:r>
      <w:r>
        <w:rPr>
          <w:color w:val="231F20"/>
        </w:rPr>
        <w:t>транспортни</w:t>
      </w:r>
      <w:r>
        <w:rPr>
          <w:color w:val="231F20"/>
          <w:spacing w:val="-4"/>
        </w:rPr>
        <w:t> </w:t>
      </w:r>
      <w:r>
        <w:rPr>
          <w:color w:val="231F20"/>
        </w:rPr>
        <w:t>и</w:t>
      </w:r>
      <w:r>
        <w:rPr>
          <w:color w:val="231F20"/>
          <w:spacing w:val="-4"/>
        </w:rPr>
        <w:t> </w:t>
      </w:r>
      <w:r>
        <w:rPr>
          <w:color w:val="231F20"/>
        </w:rPr>
        <w:t>расхладни</w:t>
      </w:r>
      <w:r>
        <w:rPr>
          <w:color w:val="231F20"/>
          <w:spacing w:val="-4"/>
        </w:rPr>
        <w:t> </w:t>
      </w:r>
      <w:r>
        <w:rPr>
          <w:color w:val="231F20"/>
        </w:rPr>
        <w:t>флуид,</w:t>
      </w:r>
      <w:r>
        <w:rPr>
          <w:color w:val="231F20"/>
          <w:spacing w:val="-4"/>
        </w:rPr>
        <w:t> </w:t>
      </w:r>
      <w:r>
        <w:rPr>
          <w:color w:val="231F20"/>
        </w:rPr>
        <w:t>мањим</w:t>
      </w:r>
      <w:r>
        <w:rPr>
          <w:color w:val="231F20"/>
          <w:spacing w:val="-4"/>
        </w:rPr>
        <w:t> </w:t>
      </w:r>
      <w:r>
        <w:rPr>
          <w:color w:val="231F20"/>
        </w:rPr>
        <w:t>делом</w:t>
      </w:r>
      <w:r>
        <w:rPr>
          <w:color w:val="231F20"/>
          <w:spacing w:val="-4"/>
        </w:rPr>
        <w:t> </w:t>
      </w:r>
      <w:r>
        <w:rPr>
          <w:color w:val="231F20"/>
        </w:rPr>
        <w:t>као</w:t>
      </w:r>
      <w:r>
        <w:rPr>
          <w:color w:val="231F20"/>
          <w:spacing w:val="-4"/>
        </w:rPr>
        <w:t> </w:t>
      </w:r>
      <w:r>
        <w:rPr>
          <w:color w:val="231F20"/>
        </w:rPr>
        <w:t>пре- носилац енергије (топловод), а користи се и за санитарне потребе. Пумпна станица, </w:t>
      </w:r>
      <w:r>
        <w:rPr>
          <w:color w:val="231F20"/>
          <w:spacing w:val="-3"/>
        </w:rPr>
        <w:t>одвод </w:t>
      </w:r>
      <w:r>
        <w:rPr>
          <w:color w:val="231F20"/>
        </w:rPr>
        <w:t>и довод воде спадају у постројења термо- електране.</w:t>
      </w:r>
    </w:p>
    <w:p>
      <w:pPr>
        <w:pStyle w:val="BodyText"/>
        <w:spacing w:before="5"/>
        <w:ind w:left="239" w:right="128" w:firstLine="397"/>
      </w:pPr>
      <w:r>
        <w:rPr>
          <w:color w:val="231F20"/>
        </w:rPr>
        <w:t>Основни енергетски извор – лигнит са ПК „Дрмно” трака- стим транспортерима допрема се на депонију угља у кругу елек- тране. Још 2002. године је извршено повезивање ПК „Дрмно” и ТЕ „Костолац А” транспортним системом ради обезбеђења </w:t>
      </w:r>
      <w:r>
        <w:rPr>
          <w:color w:val="231F20"/>
          <w:spacing w:val="-3"/>
        </w:rPr>
        <w:t>кон- </w:t>
      </w:r>
      <w:r>
        <w:rPr>
          <w:color w:val="231F20"/>
        </w:rPr>
        <w:t>тинуалног снабдевања термоелектране угљем у случају смањене производње или краћег радног века ПК </w:t>
      </w:r>
      <w:r>
        <w:rPr>
          <w:color w:val="231F20"/>
          <w:spacing w:val="-3"/>
        </w:rPr>
        <w:t>„Ћириковац”. </w:t>
      </w:r>
      <w:r>
        <w:rPr>
          <w:color w:val="231F20"/>
        </w:rPr>
        <w:t>У првој фа- зи</w:t>
      </w:r>
      <w:r>
        <w:rPr>
          <w:color w:val="231F20"/>
          <w:spacing w:val="-8"/>
        </w:rPr>
        <w:t> </w:t>
      </w:r>
      <w:r>
        <w:rPr>
          <w:color w:val="231F20"/>
        </w:rPr>
        <w:t>капацитет</w:t>
      </w:r>
      <w:r>
        <w:rPr>
          <w:color w:val="231F20"/>
          <w:spacing w:val="-8"/>
        </w:rPr>
        <w:t> </w:t>
      </w:r>
      <w:r>
        <w:rPr>
          <w:color w:val="231F20"/>
        </w:rPr>
        <w:t>транспортног</w:t>
      </w:r>
      <w:r>
        <w:rPr>
          <w:color w:val="231F20"/>
          <w:spacing w:val="-7"/>
        </w:rPr>
        <w:t> </w:t>
      </w:r>
      <w:r>
        <w:rPr>
          <w:color w:val="231F20"/>
        </w:rPr>
        <w:t>система</w:t>
      </w:r>
      <w:r>
        <w:rPr>
          <w:color w:val="231F20"/>
          <w:spacing w:val="-8"/>
        </w:rPr>
        <w:t> </w:t>
      </w:r>
      <w:r>
        <w:rPr>
          <w:color w:val="231F20"/>
        </w:rPr>
        <w:t>је</w:t>
      </w:r>
      <w:r>
        <w:rPr>
          <w:color w:val="231F20"/>
          <w:spacing w:val="-8"/>
        </w:rPr>
        <w:t> </w:t>
      </w:r>
      <w:r>
        <w:rPr>
          <w:color w:val="231F20"/>
        </w:rPr>
        <w:t>био</w:t>
      </w:r>
      <w:r>
        <w:rPr>
          <w:color w:val="231F20"/>
          <w:spacing w:val="-8"/>
        </w:rPr>
        <w:t> </w:t>
      </w:r>
      <w:r>
        <w:rPr>
          <w:color w:val="231F20"/>
        </w:rPr>
        <w:t>лимитиран</w:t>
      </w:r>
      <w:r>
        <w:rPr>
          <w:color w:val="231F20"/>
          <w:spacing w:val="-8"/>
        </w:rPr>
        <w:t> </w:t>
      </w:r>
      <w:r>
        <w:rPr>
          <w:color w:val="231F20"/>
        </w:rPr>
        <w:t>капацитетом дробилица</w:t>
      </w:r>
      <w:r>
        <w:rPr>
          <w:color w:val="231F20"/>
          <w:spacing w:val="-5"/>
        </w:rPr>
        <w:t> </w:t>
      </w:r>
      <w:r>
        <w:rPr>
          <w:color w:val="231F20"/>
        </w:rPr>
        <w:t>у</w:t>
      </w:r>
      <w:r>
        <w:rPr>
          <w:color w:val="231F20"/>
          <w:spacing w:val="-5"/>
        </w:rPr>
        <w:t> </w:t>
      </w:r>
      <w:r>
        <w:rPr>
          <w:color w:val="231F20"/>
        </w:rPr>
        <w:t>термоелектрани</w:t>
      </w:r>
      <w:r>
        <w:rPr>
          <w:color w:val="231F20"/>
          <w:spacing w:val="-5"/>
        </w:rPr>
        <w:t> </w:t>
      </w:r>
      <w:r>
        <w:rPr>
          <w:color w:val="231F20"/>
        </w:rPr>
        <w:t>„Костолац</w:t>
      </w:r>
      <w:r>
        <w:rPr>
          <w:color w:val="231F20"/>
          <w:spacing w:val="-5"/>
        </w:rPr>
        <w:t> </w:t>
      </w:r>
      <w:r>
        <w:rPr>
          <w:color w:val="231F20"/>
        </w:rPr>
        <w:t>А”</w:t>
      </w:r>
      <w:r>
        <w:rPr>
          <w:color w:val="231F20"/>
          <w:spacing w:val="-5"/>
        </w:rPr>
        <w:t> </w:t>
      </w:r>
      <w:r>
        <w:rPr>
          <w:color w:val="231F20"/>
        </w:rPr>
        <w:t>на</w:t>
      </w:r>
      <w:r>
        <w:rPr>
          <w:color w:val="231F20"/>
          <w:spacing w:val="-5"/>
        </w:rPr>
        <w:t> </w:t>
      </w:r>
      <w:r>
        <w:rPr>
          <w:color w:val="231F20"/>
        </w:rPr>
        <w:t>600</w:t>
      </w:r>
      <w:r>
        <w:rPr>
          <w:color w:val="231F20"/>
          <w:spacing w:val="-5"/>
        </w:rPr>
        <w:t> </w:t>
      </w:r>
      <w:r>
        <w:rPr>
          <w:color w:val="231F20"/>
        </w:rPr>
        <w:t>t/h;</w:t>
      </w:r>
      <w:r>
        <w:rPr>
          <w:color w:val="231F20"/>
          <w:spacing w:val="-5"/>
        </w:rPr>
        <w:t> </w:t>
      </w:r>
      <w:r>
        <w:rPr>
          <w:color w:val="231F20"/>
        </w:rPr>
        <w:t>у</w:t>
      </w:r>
      <w:r>
        <w:rPr>
          <w:color w:val="231F20"/>
          <w:spacing w:val="-5"/>
        </w:rPr>
        <w:t> </w:t>
      </w:r>
      <w:r>
        <w:rPr>
          <w:color w:val="231F20"/>
        </w:rPr>
        <w:t>другој</w:t>
      </w:r>
      <w:r>
        <w:rPr>
          <w:color w:val="231F20"/>
          <w:spacing w:val="-5"/>
        </w:rPr>
        <w:t> </w:t>
      </w:r>
      <w:r>
        <w:rPr>
          <w:color w:val="231F20"/>
        </w:rPr>
        <w:t>фа- зи капацитет дробљења jе повећан на 1200 t/h укључивањем у рад још једне дробилице, чиме су створени услови да се са ПК „Дрм- но” транспортује у ТЕ „Костолац А” потребних 2,5 x 106 t угља годишње.</w:t>
      </w:r>
      <w:r>
        <w:rPr>
          <w:color w:val="231F20"/>
          <w:spacing w:val="-9"/>
        </w:rPr>
        <w:t> </w:t>
      </w:r>
      <w:r>
        <w:rPr>
          <w:color w:val="231F20"/>
        </w:rPr>
        <w:t>На</w:t>
      </w:r>
      <w:r>
        <w:rPr>
          <w:color w:val="231F20"/>
          <w:spacing w:val="-9"/>
        </w:rPr>
        <w:t> </w:t>
      </w:r>
      <w:r>
        <w:rPr>
          <w:color w:val="231F20"/>
        </w:rPr>
        <w:t>овај</w:t>
      </w:r>
      <w:r>
        <w:rPr>
          <w:color w:val="231F20"/>
          <w:spacing w:val="-9"/>
        </w:rPr>
        <w:t> </w:t>
      </w:r>
      <w:r>
        <w:rPr>
          <w:color w:val="231F20"/>
        </w:rPr>
        <w:t>начин</w:t>
      </w:r>
      <w:r>
        <w:rPr>
          <w:color w:val="231F20"/>
          <w:spacing w:val="-9"/>
        </w:rPr>
        <w:t> </w:t>
      </w:r>
      <w:r>
        <w:rPr>
          <w:color w:val="231F20"/>
        </w:rPr>
        <w:t>је</w:t>
      </w:r>
      <w:r>
        <w:rPr>
          <w:color w:val="231F20"/>
          <w:spacing w:val="-9"/>
        </w:rPr>
        <w:t> </w:t>
      </w:r>
      <w:r>
        <w:rPr>
          <w:color w:val="231F20"/>
        </w:rPr>
        <w:t>обезбеђено</w:t>
      </w:r>
      <w:r>
        <w:rPr>
          <w:color w:val="231F20"/>
          <w:spacing w:val="-9"/>
        </w:rPr>
        <w:t> </w:t>
      </w:r>
      <w:r>
        <w:rPr>
          <w:color w:val="231F20"/>
        </w:rPr>
        <w:t>поуздано</w:t>
      </w:r>
      <w:r>
        <w:rPr>
          <w:color w:val="231F20"/>
          <w:spacing w:val="-9"/>
        </w:rPr>
        <w:t> </w:t>
      </w:r>
      <w:r>
        <w:rPr>
          <w:color w:val="231F20"/>
        </w:rPr>
        <w:t>снабдевање</w:t>
      </w:r>
      <w:r>
        <w:rPr>
          <w:color w:val="231F20"/>
          <w:spacing w:val="-9"/>
        </w:rPr>
        <w:t> </w:t>
      </w:r>
      <w:r>
        <w:rPr>
          <w:color w:val="231F20"/>
        </w:rPr>
        <w:t>угљем </w:t>
      </w:r>
      <w:r>
        <w:rPr>
          <w:color w:val="231F20"/>
          <w:spacing w:val="-3"/>
        </w:rPr>
        <w:t>блокова </w:t>
      </w:r>
      <w:r>
        <w:rPr>
          <w:color w:val="231F20"/>
        </w:rPr>
        <w:t>снаге 100 + 210 МW после престанка рада ПК „Кленов- ник” и ПК</w:t>
      </w:r>
      <w:r>
        <w:rPr>
          <w:color w:val="231F20"/>
          <w:spacing w:val="-4"/>
        </w:rPr>
        <w:t> </w:t>
      </w:r>
      <w:r>
        <w:rPr>
          <w:color w:val="231F20"/>
          <w:spacing w:val="-3"/>
        </w:rPr>
        <w:t>„Ћириковац”.</w:t>
      </w:r>
    </w:p>
    <w:p>
      <w:pPr>
        <w:pStyle w:val="BodyText"/>
        <w:spacing w:before="13"/>
        <w:ind w:left="239" w:right="128" w:firstLine="397"/>
      </w:pPr>
      <w:r>
        <w:rPr>
          <w:color w:val="231F20"/>
        </w:rPr>
        <w:t>Према уредбама Владе Републике Србије из децембра 2005. године, као загађивач из категорије великих загађивача, предузе- ће Термоелектране „Костолац” је обавезно да уплати у посебан фонд значајну накнаду, али и стимулисано да улагањем средста- ва у заштиту животне средине и смањење емисије штетних гасо- ва, оствари могућност ослобађања дела својих обавеза. Тако се, у оквиру програма заштите животне средине, у ТЕ „Костолац”, по- чев од 2006. године, реализује више пројеката.</w:t>
      </w:r>
    </w:p>
    <w:p>
      <w:pPr>
        <w:pStyle w:val="BodyText"/>
        <w:spacing w:before="7"/>
        <w:ind w:left="239" w:right="128" w:firstLine="397"/>
      </w:pPr>
      <w:r>
        <w:rPr>
          <w:color w:val="231F20"/>
        </w:rPr>
        <w:t>Најзначајнији </w:t>
      </w:r>
      <w:r>
        <w:rPr>
          <w:color w:val="231F20"/>
          <w:spacing w:val="-3"/>
        </w:rPr>
        <w:t>од </w:t>
      </w:r>
      <w:r>
        <w:rPr>
          <w:color w:val="231F20"/>
        </w:rPr>
        <w:t>тих пројеката је завршетак ревитализације блока </w:t>
      </w:r>
      <w:r>
        <w:rPr>
          <w:color w:val="231F20"/>
          <w:spacing w:val="-3"/>
        </w:rPr>
        <w:t>од </w:t>
      </w:r>
      <w:r>
        <w:rPr>
          <w:color w:val="231F20"/>
        </w:rPr>
        <w:t>100 </w:t>
      </w:r>
      <w:r>
        <w:rPr>
          <w:color w:val="231F20"/>
          <w:spacing w:val="-6"/>
        </w:rPr>
        <w:t>МW, </w:t>
      </w:r>
      <w:r>
        <w:rPr>
          <w:color w:val="231F20"/>
        </w:rPr>
        <w:t>једне </w:t>
      </w:r>
      <w:r>
        <w:rPr>
          <w:color w:val="231F20"/>
          <w:spacing w:val="-3"/>
        </w:rPr>
        <w:t>од </w:t>
      </w:r>
      <w:r>
        <w:rPr>
          <w:color w:val="231F20"/>
        </w:rPr>
        <w:t>најстаријих производних јединица у систему ЕПС-а </w:t>
      </w:r>
      <w:r>
        <w:rPr>
          <w:color w:val="231F20"/>
          <w:spacing w:val="-3"/>
        </w:rPr>
        <w:t>који </w:t>
      </w:r>
      <w:r>
        <w:rPr>
          <w:color w:val="231F20"/>
        </w:rPr>
        <w:t>је, после нешто више </w:t>
      </w:r>
      <w:r>
        <w:rPr>
          <w:color w:val="231F20"/>
          <w:spacing w:val="-3"/>
        </w:rPr>
        <w:t>од </w:t>
      </w:r>
      <w:r>
        <w:rPr>
          <w:color w:val="231F20"/>
        </w:rPr>
        <w:t>две </w:t>
      </w:r>
      <w:r>
        <w:rPr>
          <w:color w:val="231F20"/>
          <w:spacing w:val="-3"/>
        </w:rPr>
        <w:t>године </w:t>
      </w:r>
      <w:r>
        <w:rPr>
          <w:color w:val="231F20"/>
        </w:rPr>
        <w:t>трајања ремонта, 30. априла 2007. поново везан на мрежу електроенергет- </w:t>
      </w:r>
      <w:r>
        <w:rPr>
          <w:color w:val="231F20"/>
          <w:spacing w:val="-3"/>
        </w:rPr>
        <w:t>ског </w:t>
      </w:r>
      <w:r>
        <w:rPr>
          <w:color w:val="231F20"/>
        </w:rPr>
        <w:t>система Србије. </w:t>
      </w:r>
      <w:r>
        <w:rPr>
          <w:color w:val="231F20"/>
          <w:spacing w:val="-3"/>
        </w:rPr>
        <w:t>Након </w:t>
      </w:r>
      <w:r>
        <w:rPr>
          <w:color w:val="231F20"/>
        </w:rPr>
        <w:t>извршене реконструкције и обнове, радни век блока је продужен за најмање 15 година. Замењена су оба </w:t>
      </w:r>
      <w:r>
        <w:rPr>
          <w:color w:val="231F20"/>
          <w:spacing w:val="-4"/>
        </w:rPr>
        <w:t>котла, </w:t>
      </w:r>
      <w:r>
        <w:rPr>
          <w:color w:val="231F20"/>
        </w:rPr>
        <w:t>уграђени нови електрофилтри по важећим европским стандардима (емитовање чврстих материја не прелази 50 mg/m³), инсталисана нова опрема за мерење, регулацију и управљање. На блоку је уграђен и нови генератор, као и турбина високог прити- ска, а извршена је и реконструкција турбине за рад у комбинова- ном </w:t>
      </w:r>
      <w:r>
        <w:rPr>
          <w:color w:val="231F20"/>
          <w:spacing w:val="-3"/>
        </w:rPr>
        <w:t>циклусу, </w:t>
      </w:r>
      <w:r>
        <w:rPr>
          <w:color w:val="231F20"/>
        </w:rPr>
        <w:t>чиме је, поред производње електричне енергије, овај блок припремљен и за обезбеђивање додатних 155 MW топлотне енергије</w:t>
      </w:r>
      <w:r>
        <w:rPr>
          <w:color w:val="231F20"/>
          <w:spacing w:val="-10"/>
        </w:rPr>
        <w:t> </w:t>
      </w:r>
      <w:r>
        <w:rPr>
          <w:color w:val="231F20"/>
        </w:rPr>
        <w:t>за</w:t>
      </w:r>
      <w:r>
        <w:rPr>
          <w:color w:val="231F20"/>
          <w:spacing w:val="-10"/>
        </w:rPr>
        <w:t> </w:t>
      </w:r>
      <w:r>
        <w:rPr>
          <w:color w:val="231F20"/>
        </w:rPr>
        <w:t>потребе</w:t>
      </w:r>
      <w:r>
        <w:rPr>
          <w:color w:val="231F20"/>
          <w:spacing w:val="-10"/>
        </w:rPr>
        <w:t> </w:t>
      </w:r>
      <w:r>
        <w:rPr>
          <w:color w:val="231F20"/>
        </w:rPr>
        <w:t>топлификације</w:t>
      </w:r>
      <w:r>
        <w:rPr>
          <w:color w:val="231F20"/>
          <w:spacing w:val="-10"/>
        </w:rPr>
        <w:t> </w:t>
      </w:r>
      <w:r>
        <w:rPr>
          <w:color w:val="231F20"/>
        </w:rPr>
        <w:t>Костолца</w:t>
      </w:r>
      <w:r>
        <w:rPr>
          <w:color w:val="231F20"/>
          <w:spacing w:val="-10"/>
        </w:rPr>
        <w:t> </w:t>
      </w:r>
      <w:r>
        <w:rPr>
          <w:color w:val="231F20"/>
        </w:rPr>
        <w:t>и</w:t>
      </w:r>
      <w:r>
        <w:rPr>
          <w:color w:val="231F20"/>
          <w:spacing w:val="-10"/>
        </w:rPr>
        <w:t> </w:t>
      </w:r>
      <w:r>
        <w:rPr>
          <w:color w:val="231F20"/>
        </w:rPr>
        <w:t>Пожаревца.</w:t>
      </w:r>
      <w:r>
        <w:rPr>
          <w:color w:val="231F20"/>
          <w:spacing w:val="-10"/>
        </w:rPr>
        <w:t> </w:t>
      </w:r>
      <w:r>
        <w:rPr>
          <w:color w:val="231F20"/>
        </w:rPr>
        <w:t>На</w:t>
      </w:r>
      <w:r>
        <w:rPr>
          <w:color w:val="231F20"/>
          <w:spacing w:val="-10"/>
        </w:rPr>
        <w:t> </w:t>
      </w:r>
      <w:r>
        <w:rPr>
          <w:color w:val="231F20"/>
        </w:rPr>
        <w:t>овај начин, ТЕ „Костолац А” сада ради као топлификациона електрана у којој се остварује спојна (когенерацијска) производња електрич- не и топлотне</w:t>
      </w:r>
      <w:r>
        <w:rPr>
          <w:color w:val="231F20"/>
          <w:spacing w:val="-4"/>
        </w:rPr>
        <w:t> </w:t>
      </w:r>
      <w:r>
        <w:rPr>
          <w:color w:val="231F20"/>
        </w:rPr>
        <w:t>енергије.</w:t>
      </w:r>
    </w:p>
    <w:p>
      <w:pPr>
        <w:pStyle w:val="BodyText"/>
        <w:spacing w:before="15"/>
        <w:ind w:left="239" w:right="129" w:firstLine="396"/>
      </w:pPr>
      <w:r>
        <w:rPr>
          <w:color w:val="231F20"/>
        </w:rPr>
        <w:t>С обзиром на то да је текући ремонт на </w:t>
      </w:r>
      <w:r>
        <w:rPr>
          <w:color w:val="231F20"/>
          <w:spacing w:val="-3"/>
        </w:rPr>
        <w:t>блоку </w:t>
      </w:r>
      <w:r>
        <w:rPr>
          <w:color w:val="231F20"/>
          <w:spacing w:val="-4"/>
        </w:rPr>
        <w:t>од </w:t>
      </w:r>
      <w:r>
        <w:rPr>
          <w:color w:val="231F20"/>
        </w:rPr>
        <w:t>210 </w:t>
      </w:r>
      <w:r>
        <w:rPr>
          <w:color w:val="231F20"/>
          <w:spacing w:val="-7"/>
        </w:rPr>
        <w:t>МW, </w:t>
      </w:r>
      <w:r>
        <w:rPr>
          <w:color w:val="231F20"/>
          <w:spacing w:val="-3"/>
        </w:rPr>
        <w:t>обухватио </w:t>
      </w:r>
      <w:r>
        <w:rPr>
          <w:color w:val="231F20"/>
        </w:rPr>
        <w:t>и замену електрофилтера, обе производне јединице у ТЕ </w:t>
      </w:r>
      <w:r>
        <w:rPr>
          <w:color w:val="231F20"/>
          <w:spacing w:val="-3"/>
        </w:rPr>
        <w:t>„Костолац </w:t>
      </w:r>
      <w:r>
        <w:rPr>
          <w:color w:val="231F20"/>
        </w:rPr>
        <w:t>А”, </w:t>
      </w:r>
      <w:r>
        <w:rPr>
          <w:color w:val="231F20"/>
          <w:spacing w:val="-4"/>
        </w:rPr>
        <w:t>које </w:t>
      </w:r>
      <w:r>
        <w:rPr>
          <w:color w:val="231F20"/>
        </w:rPr>
        <w:t>су у непосредној близини центра </w:t>
      </w:r>
      <w:r>
        <w:rPr>
          <w:color w:val="231F20"/>
          <w:spacing w:val="-3"/>
        </w:rPr>
        <w:t>Костол- </w:t>
      </w:r>
      <w:r>
        <w:rPr>
          <w:color w:val="231F20"/>
        </w:rPr>
        <w:t>ца,</w:t>
      </w:r>
      <w:r>
        <w:rPr>
          <w:color w:val="231F20"/>
          <w:spacing w:val="-4"/>
        </w:rPr>
        <w:t> </w:t>
      </w:r>
      <w:r>
        <w:rPr>
          <w:color w:val="231F20"/>
        </w:rPr>
        <w:t>смањиле</w:t>
      </w:r>
      <w:r>
        <w:rPr>
          <w:color w:val="231F20"/>
          <w:spacing w:val="-4"/>
        </w:rPr>
        <w:t> </w:t>
      </w:r>
      <w:r>
        <w:rPr>
          <w:color w:val="231F20"/>
        </w:rPr>
        <w:t>су</w:t>
      </w:r>
      <w:r>
        <w:rPr>
          <w:color w:val="231F20"/>
          <w:spacing w:val="-4"/>
        </w:rPr>
        <w:t> </w:t>
      </w:r>
      <w:r>
        <w:rPr>
          <w:color w:val="231F20"/>
        </w:rPr>
        <w:t>емисију</w:t>
      </w:r>
      <w:r>
        <w:rPr>
          <w:color w:val="231F20"/>
          <w:spacing w:val="-4"/>
        </w:rPr>
        <w:t> </w:t>
      </w:r>
      <w:r>
        <w:rPr>
          <w:color w:val="231F20"/>
        </w:rPr>
        <w:t>штетних</w:t>
      </w:r>
      <w:r>
        <w:rPr>
          <w:color w:val="231F20"/>
          <w:spacing w:val="-4"/>
        </w:rPr>
        <w:t> </w:t>
      </w:r>
      <w:r>
        <w:rPr>
          <w:color w:val="231F20"/>
        </w:rPr>
        <w:t>гасова</w:t>
      </w:r>
      <w:r>
        <w:rPr>
          <w:color w:val="231F20"/>
          <w:spacing w:val="-4"/>
        </w:rPr>
        <w:t> </w:t>
      </w:r>
      <w:r>
        <w:rPr>
          <w:color w:val="231F20"/>
        </w:rPr>
        <w:t>у</w:t>
      </w:r>
      <w:r>
        <w:rPr>
          <w:color w:val="231F20"/>
          <w:spacing w:val="-4"/>
        </w:rPr>
        <w:t> </w:t>
      </w:r>
      <w:r>
        <w:rPr>
          <w:color w:val="231F20"/>
        </w:rPr>
        <w:t>атмосферу</w:t>
      </w:r>
      <w:r>
        <w:rPr>
          <w:color w:val="231F20"/>
          <w:spacing w:val="-4"/>
        </w:rPr>
        <w:t> </w:t>
      </w:r>
      <w:r>
        <w:rPr>
          <w:color w:val="231F20"/>
        </w:rPr>
        <w:t>за</w:t>
      </w:r>
      <w:r>
        <w:rPr>
          <w:color w:val="231F20"/>
          <w:spacing w:val="-4"/>
        </w:rPr>
        <w:t> </w:t>
      </w:r>
      <w:r>
        <w:rPr>
          <w:color w:val="231F20"/>
        </w:rPr>
        <w:t>десет</w:t>
      </w:r>
      <w:r>
        <w:rPr>
          <w:color w:val="231F20"/>
          <w:spacing w:val="-4"/>
        </w:rPr>
        <w:t> </w:t>
      </w:r>
      <w:r>
        <w:rPr>
          <w:color w:val="231F20"/>
        </w:rPr>
        <w:t>пута. Што</w:t>
      </w:r>
      <w:r>
        <w:rPr>
          <w:color w:val="231F20"/>
          <w:spacing w:val="-8"/>
        </w:rPr>
        <w:t> </w:t>
      </w:r>
      <w:r>
        <w:rPr>
          <w:color w:val="231F20"/>
        </w:rPr>
        <w:t>се</w:t>
      </w:r>
      <w:r>
        <w:rPr>
          <w:color w:val="231F20"/>
          <w:spacing w:val="-8"/>
        </w:rPr>
        <w:t> </w:t>
      </w:r>
      <w:r>
        <w:rPr>
          <w:color w:val="231F20"/>
        </w:rPr>
        <w:t>електроопреме</w:t>
      </w:r>
      <w:r>
        <w:rPr>
          <w:color w:val="231F20"/>
          <w:spacing w:val="-8"/>
        </w:rPr>
        <w:t> </w:t>
      </w:r>
      <w:r>
        <w:rPr>
          <w:color w:val="231F20"/>
        </w:rPr>
        <w:t>тиче,</w:t>
      </w:r>
      <w:r>
        <w:rPr>
          <w:color w:val="231F20"/>
          <w:spacing w:val="-8"/>
        </w:rPr>
        <w:t> </w:t>
      </w:r>
      <w:r>
        <w:rPr>
          <w:color w:val="231F20"/>
        </w:rPr>
        <w:t>замењена</w:t>
      </w:r>
      <w:r>
        <w:rPr>
          <w:color w:val="231F20"/>
          <w:spacing w:val="-8"/>
        </w:rPr>
        <w:t> </w:t>
      </w:r>
      <w:r>
        <w:rPr>
          <w:color w:val="231F20"/>
        </w:rPr>
        <w:t>су</w:t>
      </w:r>
      <w:r>
        <w:rPr>
          <w:color w:val="231F20"/>
          <w:spacing w:val="-8"/>
        </w:rPr>
        <w:t> </w:t>
      </w:r>
      <w:r>
        <w:rPr>
          <w:color w:val="231F20"/>
        </w:rPr>
        <w:t>електропостројења</w:t>
      </w:r>
      <w:r>
        <w:rPr>
          <w:color w:val="231F20"/>
          <w:spacing w:val="-8"/>
        </w:rPr>
        <w:t> </w:t>
      </w:r>
      <w:r>
        <w:rPr>
          <w:color w:val="231F20"/>
        </w:rPr>
        <w:t>(0,4</w:t>
      </w:r>
      <w:r>
        <w:rPr>
          <w:color w:val="231F20"/>
          <w:spacing w:val="-8"/>
        </w:rPr>
        <w:t> </w:t>
      </w:r>
      <w:r>
        <w:rPr>
          <w:color w:val="231F20"/>
        </w:rPr>
        <w:t>и 6</w:t>
      </w:r>
      <w:r>
        <w:rPr>
          <w:color w:val="231F20"/>
          <w:spacing w:val="-6"/>
        </w:rPr>
        <w:t> </w:t>
      </w:r>
      <w:r>
        <w:rPr>
          <w:color w:val="231F20"/>
        </w:rPr>
        <w:t>kV),</w:t>
      </w:r>
      <w:r>
        <w:rPr>
          <w:color w:val="231F20"/>
          <w:spacing w:val="-6"/>
        </w:rPr>
        <w:t> </w:t>
      </w:r>
      <w:r>
        <w:rPr>
          <w:color w:val="231F20"/>
        </w:rPr>
        <w:t>а</w:t>
      </w:r>
      <w:r>
        <w:rPr>
          <w:color w:val="231F20"/>
          <w:spacing w:val="-6"/>
        </w:rPr>
        <w:t> </w:t>
      </w:r>
      <w:r>
        <w:rPr>
          <w:color w:val="231F20"/>
        </w:rPr>
        <w:t>у</w:t>
      </w:r>
      <w:r>
        <w:rPr>
          <w:color w:val="231F20"/>
          <w:spacing w:val="-6"/>
        </w:rPr>
        <w:t> </w:t>
      </w:r>
      <w:r>
        <w:rPr>
          <w:color w:val="231F20"/>
        </w:rPr>
        <w:t>значајној</w:t>
      </w:r>
      <w:r>
        <w:rPr>
          <w:color w:val="231F20"/>
          <w:spacing w:val="-6"/>
        </w:rPr>
        <w:t> </w:t>
      </w:r>
      <w:r>
        <w:rPr>
          <w:color w:val="231F20"/>
        </w:rPr>
        <w:t>мери</w:t>
      </w:r>
      <w:r>
        <w:rPr>
          <w:color w:val="231F20"/>
          <w:spacing w:val="-6"/>
        </w:rPr>
        <w:t> </w:t>
      </w:r>
      <w:r>
        <w:rPr>
          <w:color w:val="231F20"/>
        </w:rPr>
        <w:t>реконструисано</w:t>
      </w:r>
      <w:r>
        <w:rPr>
          <w:color w:val="231F20"/>
          <w:spacing w:val="-6"/>
        </w:rPr>
        <w:t> </w:t>
      </w:r>
      <w:r>
        <w:rPr>
          <w:color w:val="231F20"/>
        </w:rPr>
        <w:t>је</w:t>
      </w:r>
      <w:r>
        <w:rPr>
          <w:color w:val="231F20"/>
          <w:spacing w:val="-6"/>
        </w:rPr>
        <w:t> </w:t>
      </w:r>
      <w:r>
        <w:rPr>
          <w:color w:val="231F20"/>
        </w:rPr>
        <w:t>и</w:t>
      </w:r>
      <w:r>
        <w:rPr>
          <w:color w:val="231F20"/>
          <w:spacing w:val="-6"/>
        </w:rPr>
        <w:t> </w:t>
      </w:r>
      <w:r>
        <w:rPr>
          <w:color w:val="231F20"/>
          <w:spacing w:val="-3"/>
        </w:rPr>
        <w:t>110</w:t>
      </w:r>
      <w:r>
        <w:rPr>
          <w:color w:val="231F20"/>
          <w:spacing w:val="-6"/>
        </w:rPr>
        <w:t> </w:t>
      </w:r>
      <w:r>
        <w:rPr>
          <w:color w:val="231F20"/>
        </w:rPr>
        <w:t>KV</w:t>
      </w:r>
      <w:r>
        <w:rPr>
          <w:color w:val="231F20"/>
          <w:spacing w:val="-10"/>
        </w:rPr>
        <w:t> </w:t>
      </w:r>
      <w:r>
        <w:rPr>
          <w:color w:val="231F20"/>
        </w:rPr>
        <w:t>постројење.</w:t>
      </w:r>
    </w:p>
    <w:p>
      <w:pPr>
        <w:pStyle w:val="BodyText"/>
        <w:spacing w:before="6"/>
        <w:ind w:left="239" w:right="128" w:firstLine="396"/>
      </w:pPr>
      <w:r>
        <w:rPr>
          <w:color w:val="231F20"/>
        </w:rPr>
        <w:t>На TЕ „Костолац А2” у продуженом четворомесечном ре- монту 2006/2007. године замењени су пароводи свеже паре, ре- конструисани електрофилтри и спроведени значајни захвати на котловском постројењу и обимни ремонтни захвати на осталој опреми.</w:t>
      </w:r>
    </w:p>
    <w:p>
      <w:pPr>
        <w:pStyle w:val="BodyText"/>
        <w:spacing w:before="5"/>
        <w:ind w:left="239" w:right="128" w:firstLine="397"/>
      </w:pPr>
      <w:r>
        <w:rPr>
          <w:color w:val="231F20"/>
        </w:rPr>
        <w:t>Рехабилитација</w:t>
      </w:r>
      <w:r>
        <w:rPr>
          <w:color w:val="231F20"/>
          <w:spacing w:val="-12"/>
        </w:rPr>
        <w:t> </w:t>
      </w:r>
      <w:r>
        <w:rPr>
          <w:color w:val="231F20"/>
        </w:rPr>
        <w:t>блока</w:t>
      </w:r>
      <w:r>
        <w:rPr>
          <w:color w:val="231F20"/>
          <w:spacing w:val="-12"/>
        </w:rPr>
        <w:t> </w:t>
      </w:r>
      <w:r>
        <w:rPr>
          <w:color w:val="231F20"/>
        </w:rPr>
        <w:t>ТЕ</w:t>
      </w:r>
      <w:r>
        <w:rPr>
          <w:color w:val="231F20"/>
          <w:spacing w:val="-12"/>
        </w:rPr>
        <w:t> </w:t>
      </w:r>
      <w:r>
        <w:rPr>
          <w:color w:val="231F20"/>
        </w:rPr>
        <w:t>„Костолац</w:t>
      </w:r>
      <w:r>
        <w:rPr>
          <w:color w:val="231F20"/>
          <w:spacing w:val="-12"/>
        </w:rPr>
        <w:t> </w:t>
      </w:r>
      <w:r>
        <w:rPr>
          <w:color w:val="231F20"/>
        </w:rPr>
        <w:t>А1”</w:t>
      </w:r>
      <w:r>
        <w:rPr>
          <w:color w:val="231F20"/>
          <w:spacing w:val="-12"/>
        </w:rPr>
        <w:t> </w:t>
      </w:r>
      <w:r>
        <w:rPr>
          <w:color w:val="231F20"/>
        </w:rPr>
        <w:t>је</w:t>
      </w:r>
      <w:r>
        <w:rPr>
          <w:color w:val="231F20"/>
          <w:spacing w:val="-12"/>
        </w:rPr>
        <w:t> </w:t>
      </w:r>
      <w:r>
        <w:rPr>
          <w:color w:val="231F20"/>
        </w:rPr>
        <w:t>обухватила</w:t>
      </w:r>
      <w:r>
        <w:rPr>
          <w:color w:val="231F20"/>
          <w:spacing w:val="-12"/>
        </w:rPr>
        <w:t> </w:t>
      </w:r>
      <w:r>
        <w:rPr>
          <w:color w:val="231F20"/>
        </w:rPr>
        <w:t>уград- њу нове опреме на цевном систему </w:t>
      </w:r>
      <w:r>
        <w:rPr>
          <w:color w:val="231F20"/>
          <w:spacing w:val="-4"/>
        </w:rPr>
        <w:t>котла, </w:t>
      </w:r>
      <w:r>
        <w:rPr>
          <w:color w:val="231F20"/>
        </w:rPr>
        <w:t>генератору и турбини високог притиска, цевоводима, опреми за </w:t>
      </w:r>
      <w:r>
        <w:rPr>
          <w:color w:val="231F20"/>
          <w:spacing w:val="-9"/>
        </w:rPr>
        <w:t>МРУ, </w:t>
      </w:r>
      <w:r>
        <w:rPr>
          <w:color w:val="231F20"/>
        </w:rPr>
        <w:t>електрофилтру, веће захвате на грађевинском делу и електроенергетском постро- </w:t>
      </w:r>
      <w:r>
        <w:rPr>
          <w:color w:val="231F20"/>
          <w:spacing w:val="-4"/>
        </w:rPr>
        <w:t>јењу, </w:t>
      </w:r>
      <w:r>
        <w:rPr>
          <w:color w:val="231F20"/>
        </w:rPr>
        <w:t>капитални ремонт ложног уређаја </w:t>
      </w:r>
      <w:r>
        <w:rPr>
          <w:color w:val="231F20"/>
          <w:spacing w:val="-4"/>
        </w:rPr>
        <w:t>котла </w:t>
      </w:r>
      <w:r>
        <w:rPr>
          <w:color w:val="231F20"/>
        </w:rPr>
        <w:t>и значајне ремонтне радове на помоћној</w:t>
      </w:r>
      <w:r>
        <w:rPr>
          <w:color w:val="231F20"/>
          <w:spacing w:val="-3"/>
        </w:rPr>
        <w:t> </w:t>
      </w:r>
      <w:r>
        <w:rPr>
          <w:color w:val="231F20"/>
        </w:rPr>
        <w:t>опреми.</w:t>
      </w:r>
    </w:p>
    <w:p>
      <w:pPr>
        <w:pStyle w:val="BodyText"/>
        <w:spacing w:before="5"/>
        <w:ind w:left="239" w:right="128" w:firstLine="397"/>
      </w:pPr>
      <w:r>
        <w:rPr>
          <w:color w:val="231F20"/>
        </w:rPr>
        <w:t>На</w:t>
      </w:r>
      <w:r>
        <w:rPr>
          <w:color w:val="231F20"/>
          <w:spacing w:val="-9"/>
        </w:rPr>
        <w:t> </w:t>
      </w:r>
      <w:r>
        <w:rPr>
          <w:color w:val="231F20"/>
        </w:rPr>
        <w:t>оба</w:t>
      </w:r>
      <w:r>
        <w:rPr>
          <w:color w:val="231F20"/>
          <w:spacing w:val="-9"/>
        </w:rPr>
        <w:t> </w:t>
      </w:r>
      <w:r>
        <w:rPr>
          <w:color w:val="231F20"/>
        </w:rPr>
        <w:t>блока</w:t>
      </w:r>
      <w:r>
        <w:rPr>
          <w:color w:val="231F20"/>
          <w:spacing w:val="-9"/>
        </w:rPr>
        <w:t> </w:t>
      </w:r>
      <w:r>
        <w:rPr>
          <w:color w:val="231F20"/>
        </w:rPr>
        <w:t>ТЕ</w:t>
      </w:r>
      <w:r>
        <w:rPr>
          <w:color w:val="231F20"/>
          <w:spacing w:val="-9"/>
        </w:rPr>
        <w:t> </w:t>
      </w:r>
      <w:r>
        <w:rPr>
          <w:color w:val="231F20"/>
        </w:rPr>
        <w:t>„Костолац</w:t>
      </w:r>
      <w:r>
        <w:rPr>
          <w:color w:val="231F20"/>
          <w:spacing w:val="-9"/>
        </w:rPr>
        <w:t> </w:t>
      </w:r>
      <w:r>
        <w:rPr>
          <w:color w:val="231F20"/>
        </w:rPr>
        <w:t>А”,</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на</w:t>
      </w:r>
      <w:r>
        <w:rPr>
          <w:color w:val="231F20"/>
          <w:spacing w:val="-9"/>
        </w:rPr>
        <w:t> </w:t>
      </w:r>
      <w:r>
        <w:rPr>
          <w:color w:val="231F20"/>
        </w:rPr>
        <w:t>блоку</w:t>
      </w:r>
      <w:r>
        <w:rPr>
          <w:color w:val="231F20"/>
          <w:spacing w:val="-9"/>
        </w:rPr>
        <w:t> </w:t>
      </w:r>
      <w:r>
        <w:rPr>
          <w:color w:val="231F20"/>
        </w:rPr>
        <w:t>Б1,</w:t>
      </w:r>
      <w:r>
        <w:rPr>
          <w:color w:val="231F20"/>
          <w:spacing w:val="-9"/>
        </w:rPr>
        <w:t> </w:t>
      </w:r>
      <w:r>
        <w:rPr>
          <w:color w:val="231F20"/>
          <w:spacing w:val="-4"/>
        </w:rPr>
        <w:t>током</w:t>
      </w:r>
      <w:r>
        <w:rPr>
          <w:color w:val="231F20"/>
          <w:spacing w:val="-9"/>
        </w:rPr>
        <w:t> </w:t>
      </w:r>
      <w:r>
        <w:rPr>
          <w:color w:val="231F20"/>
        </w:rPr>
        <w:t>2010. </w:t>
      </w:r>
      <w:r>
        <w:rPr>
          <w:color w:val="231F20"/>
          <w:spacing w:val="-3"/>
        </w:rPr>
        <w:t>године </w:t>
      </w:r>
      <w:r>
        <w:rPr>
          <w:color w:val="231F20"/>
        </w:rPr>
        <w:t>обављени су стандардни ремонти у трајању </w:t>
      </w:r>
      <w:r>
        <w:rPr>
          <w:color w:val="231F20"/>
          <w:spacing w:val="-3"/>
        </w:rPr>
        <w:t>од </w:t>
      </w:r>
      <w:r>
        <w:rPr>
          <w:color w:val="231F20"/>
        </w:rPr>
        <w:t>30</w:t>
      </w:r>
      <w:r>
        <w:rPr>
          <w:color w:val="231F20"/>
          <w:spacing w:val="-3"/>
        </w:rPr>
        <w:t> </w:t>
      </w:r>
      <w:r>
        <w:rPr>
          <w:color w:val="231F20"/>
        </w:rPr>
        <w:t>дана.</w:t>
      </w:r>
    </w:p>
    <w:p>
      <w:pPr>
        <w:spacing w:line="153" w:lineRule="exact" w:before="0"/>
        <w:ind w:left="24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524" w:val="left" w:leader="none"/>
        </w:tabs>
        <w:spacing w:line="240" w:lineRule="auto" w:before="1" w:after="0"/>
        <w:ind w:left="523" w:right="128" w:hanging="283"/>
        <w:jc w:val="left"/>
        <w:rPr>
          <w:sz w:val="14"/>
        </w:rPr>
      </w:pPr>
      <w:r>
        <w:rPr>
          <w:color w:val="231F20"/>
          <w:sz w:val="14"/>
        </w:rPr>
        <w:t>Накнадном реконструкцијом постројења, један део паре се одузима између тур- бине средњег и ниског притиска зa потребе даљинског</w:t>
      </w:r>
      <w:r>
        <w:rPr>
          <w:color w:val="231F20"/>
          <w:spacing w:val="-13"/>
          <w:sz w:val="14"/>
        </w:rPr>
        <w:t> </w:t>
      </w:r>
      <w:r>
        <w:rPr>
          <w:color w:val="231F20"/>
          <w:sz w:val="14"/>
        </w:rPr>
        <w:t>грејања.</w:t>
      </w:r>
    </w:p>
    <w:p>
      <w:pPr>
        <w:spacing w:after="0" w:line="240" w:lineRule="auto"/>
        <w:jc w:val="left"/>
        <w:rPr>
          <w:sz w:val="14"/>
        </w:rPr>
        <w:sectPr>
          <w:pgSz w:w="12480" w:h="15690"/>
          <w:pgMar w:top="120" w:bottom="280" w:left="680" w:right="720"/>
          <w:cols w:num="2" w:equalWidth="0">
            <w:col w:w="5560" w:space="40"/>
            <w:col w:w="5480"/>
          </w:cols>
        </w:sectPr>
      </w:pPr>
    </w:p>
    <w:p>
      <w:pPr>
        <w:pStyle w:val="BodyText"/>
        <w:spacing w:line="232" w:lineRule="auto" w:before="73"/>
        <w:ind w:right="39" w:firstLine="396"/>
        <w:rPr>
          <w:sz w:val="10"/>
        </w:rPr>
      </w:pPr>
      <w:r>
        <w:rPr/>
        <w:pict>
          <v:line style="position:absolute;mso-position-horizontal-relative:page;mso-position-vertical-relative:page;z-index:4072" from="304.724396pt,11.942451pt" to="304.724396pt,748.950451pt" stroked="true" strokeweight=".6pt" strokecolor="#231f20">
            <v:stroke dashstyle="solid"/>
            <w10:wrap type="none"/>
          </v:line>
        </w:pict>
      </w:r>
      <w:r>
        <w:rPr>
          <w:color w:val="231F20"/>
        </w:rPr>
        <w:t>У</w:t>
      </w:r>
      <w:r>
        <w:rPr>
          <w:color w:val="231F20"/>
          <w:spacing w:val="-7"/>
        </w:rPr>
        <w:t> </w:t>
      </w:r>
      <w:r>
        <w:rPr>
          <w:color w:val="231F20"/>
        </w:rPr>
        <w:t>периоду</w:t>
      </w:r>
      <w:r>
        <w:rPr>
          <w:color w:val="231F20"/>
          <w:spacing w:val="-8"/>
        </w:rPr>
        <w:t> </w:t>
      </w:r>
      <w:r>
        <w:rPr>
          <w:color w:val="231F20"/>
        </w:rPr>
        <w:t>до</w:t>
      </w:r>
      <w:r>
        <w:rPr>
          <w:color w:val="231F20"/>
          <w:spacing w:val="-8"/>
        </w:rPr>
        <w:t> </w:t>
      </w:r>
      <w:r>
        <w:rPr>
          <w:color w:val="231F20"/>
        </w:rPr>
        <w:t>2012.</w:t>
      </w:r>
      <w:r>
        <w:rPr>
          <w:color w:val="231F20"/>
          <w:spacing w:val="-8"/>
        </w:rPr>
        <w:t> </w:t>
      </w:r>
      <w:r>
        <w:rPr>
          <w:color w:val="231F20"/>
        </w:rPr>
        <w:t>године</w:t>
      </w:r>
      <w:r>
        <w:rPr>
          <w:color w:val="231F20"/>
          <w:spacing w:val="-8"/>
        </w:rPr>
        <w:t> </w:t>
      </w:r>
      <w:r>
        <w:rPr>
          <w:color w:val="231F20"/>
        </w:rPr>
        <w:t>не</w:t>
      </w:r>
      <w:r>
        <w:rPr>
          <w:color w:val="231F20"/>
          <w:spacing w:val="-8"/>
        </w:rPr>
        <w:t> </w:t>
      </w:r>
      <w:r>
        <w:rPr>
          <w:color w:val="231F20"/>
        </w:rPr>
        <w:t>може</w:t>
      </w:r>
      <w:r>
        <w:rPr>
          <w:color w:val="231F20"/>
          <w:spacing w:val="-8"/>
        </w:rPr>
        <w:t> </w:t>
      </w:r>
      <w:r>
        <w:rPr>
          <w:color w:val="231F20"/>
        </w:rPr>
        <w:t>се</w:t>
      </w:r>
      <w:r>
        <w:rPr>
          <w:color w:val="231F20"/>
          <w:spacing w:val="-8"/>
        </w:rPr>
        <w:t> </w:t>
      </w:r>
      <w:r>
        <w:rPr>
          <w:color w:val="231F20"/>
        </w:rPr>
        <w:t>очекивати</w:t>
      </w:r>
      <w:r>
        <w:rPr>
          <w:color w:val="231F20"/>
          <w:spacing w:val="-8"/>
        </w:rPr>
        <w:t> </w:t>
      </w:r>
      <w:r>
        <w:rPr>
          <w:color w:val="231F20"/>
        </w:rPr>
        <w:t>наставак</w:t>
      </w:r>
      <w:r>
        <w:rPr>
          <w:color w:val="231F20"/>
          <w:spacing w:val="-8"/>
        </w:rPr>
        <w:t> </w:t>
      </w:r>
      <w:r>
        <w:rPr>
          <w:color w:val="231F20"/>
        </w:rPr>
        <w:t>ис- казаног тренда побољшања експлоатационих карактеристика по- стојећих термоелектрана као у периоду 2000 – 2008. године, јер</w:t>
      </w:r>
      <w:r>
        <w:rPr>
          <w:color w:val="231F20"/>
          <w:spacing w:val="-33"/>
        </w:rPr>
        <w:t> </w:t>
      </w:r>
      <w:r>
        <w:rPr>
          <w:color w:val="231F20"/>
        </w:rPr>
        <w:t>ће се активности рехабилитације спроводити на </w:t>
      </w:r>
      <w:r>
        <w:rPr>
          <w:color w:val="231F20"/>
          <w:spacing w:val="-3"/>
        </w:rPr>
        <w:t>блоковима који </w:t>
      </w:r>
      <w:r>
        <w:rPr>
          <w:color w:val="231F20"/>
        </w:rPr>
        <w:t>су у бољем стању у односу на стање </w:t>
      </w:r>
      <w:r>
        <w:rPr>
          <w:color w:val="231F20"/>
          <w:spacing w:val="-3"/>
        </w:rPr>
        <w:t>блокова који </w:t>
      </w:r>
      <w:r>
        <w:rPr>
          <w:color w:val="231F20"/>
        </w:rPr>
        <w:t>су досада обухваће- ни пројектима продужења радног</w:t>
      </w:r>
      <w:r>
        <w:rPr>
          <w:color w:val="231F20"/>
          <w:spacing w:val="-6"/>
        </w:rPr>
        <w:t> </w:t>
      </w:r>
      <w:r>
        <w:rPr>
          <w:color w:val="231F20"/>
        </w:rPr>
        <w:t>века.</w:t>
      </w:r>
      <w:r>
        <w:rPr>
          <w:color w:val="231F20"/>
          <w:position w:val="6"/>
          <w:sz w:val="10"/>
        </w:rPr>
        <w:t>14</w:t>
      </w:r>
    </w:p>
    <w:p>
      <w:pPr>
        <w:pStyle w:val="BodyText"/>
        <w:spacing w:line="232" w:lineRule="auto"/>
        <w:ind w:right="39" w:firstLine="396"/>
      </w:pPr>
      <w:r>
        <w:rPr>
          <w:color w:val="231F20"/>
        </w:rPr>
        <w:t>Оцена стања овог термоенергетског капацитета, као и</w:t>
      </w:r>
      <w:r>
        <w:rPr>
          <w:color w:val="231F20"/>
          <w:spacing w:val="-33"/>
        </w:rPr>
        <w:t> </w:t>
      </w:r>
      <w:r>
        <w:rPr>
          <w:color w:val="231F20"/>
        </w:rPr>
        <w:t>могућ- ности и ефеката даље реконструкције и рехабилитације, садржана је у Програму за остваривања Стратегије развоја енергетике</w:t>
      </w:r>
      <w:r>
        <w:rPr>
          <w:color w:val="231F20"/>
          <w:spacing w:val="-26"/>
        </w:rPr>
        <w:t> </w:t>
      </w:r>
      <w:r>
        <w:rPr>
          <w:color w:val="231F20"/>
        </w:rPr>
        <w:t>Репу- </w:t>
      </w:r>
      <w:r>
        <w:rPr>
          <w:color w:val="231F20"/>
          <w:spacing w:val="-3"/>
        </w:rPr>
        <w:t>блике </w:t>
      </w:r>
      <w:r>
        <w:rPr>
          <w:color w:val="231F20"/>
        </w:rPr>
        <w:t>Србије до 2015. </w:t>
      </w:r>
      <w:r>
        <w:rPr>
          <w:color w:val="231F20"/>
          <w:spacing w:val="-3"/>
        </w:rPr>
        <w:t>године </w:t>
      </w:r>
      <w:r>
        <w:rPr>
          <w:color w:val="231F20"/>
        </w:rPr>
        <w:t>за период </w:t>
      </w:r>
      <w:r>
        <w:rPr>
          <w:color w:val="231F20"/>
          <w:spacing w:val="-3"/>
        </w:rPr>
        <w:t>од </w:t>
      </w:r>
      <w:r>
        <w:rPr>
          <w:color w:val="231F20"/>
        </w:rPr>
        <w:t>2007. до 2012.</w:t>
      </w:r>
      <w:r>
        <w:rPr>
          <w:color w:val="231F20"/>
          <w:spacing w:val="-5"/>
        </w:rPr>
        <w:t> </w:t>
      </w:r>
      <w:r>
        <w:rPr>
          <w:color w:val="231F20"/>
        </w:rPr>
        <w:t>године</w:t>
      </w:r>
      <w:r>
        <w:rPr>
          <w:color w:val="231F20"/>
          <w:position w:val="6"/>
          <w:sz w:val="10"/>
        </w:rPr>
        <w:t>15</w:t>
      </w:r>
      <w:r>
        <w:rPr>
          <w:color w:val="231F20"/>
        </w:rPr>
        <w:t>:</w:t>
      </w:r>
    </w:p>
    <w:p>
      <w:pPr>
        <w:pStyle w:val="ListParagraph"/>
        <w:numPr>
          <w:ilvl w:val="1"/>
          <w:numId w:val="61"/>
        </w:numPr>
        <w:tabs>
          <w:tab w:pos="764" w:val="left" w:leader="none"/>
        </w:tabs>
        <w:spacing w:line="232" w:lineRule="auto" w:before="0" w:after="0"/>
        <w:ind w:left="169" w:right="39" w:firstLine="398"/>
        <w:jc w:val="both"/>
        <w:rPr>
          <w:sz w:val="18"/>
        </w:rPr>
      </w:pPr>
      <w:r>
        <w:rPr>
          <w:color w:val="231F20"/>
          <w:sz w:val="18"/>
        </w:rPr>
        <w:t>достигнути ниво производње и поузданости капацитета</w:t>
      </w:r>
      <w:r>
        <w:rPr>
          <w:color w:val="231F20"/>
          <w:spacing w:val="-31"/>
          <w:sz w:val="18"/>
        </w:rPr>
        <w:t> </w:t>
      </w:r>
      <w:r>
        <w:rPr>
          <w:color w:val="231F20"/>
          <w:sz w:val="18"/>
        </w:rPr>
        <w:t>не може се одржати и унапређивати без даљих већих улагања у</w:t>
      </w:r>
      <w:r>
        <w:rPr>
          <w:color w:val="231F20"/>
          <w:spacing w:val="-24"/>
          <w:sz w:val="18"/>
        </w:rPr>
        <w:t> </w:t>
      </w:r>
      <w:r>
        <w:rPr>
          <w:color w:val="231F20"/>
          <w:sz w:val="18"/>
        </w:rPr>
        <w:t>реха- билитацију и модернизацију производних капацитета; поред </w:t>
      </w:r>
      <w:r>
        <w:rPr>
          <w:color w:val="231F20"/>
          <w:spacing w:val="-3"/>
          <w:sz w:val="18"/>
        </w:rPr>
        <w:t>ула- </w:t>
      </w:r>
      <w:r>
        <w:rPr>
          <w:color w:val="231F20"/>
          <w:sz w:val="18"/>
        </w:rPr>
        <w:t>гања</w:t>
      </w:r>
      <w:r>
        <w:rPr>
          <w:color w:val="231F20"/>
          <w:spacing w:val="-8"/>
          <w:sz w:val="18"/>
        </w:rPr>
        <w:t> </w:t>
      </w:r>
      <w:r>
        <w:rPr>
          <w:color w:val="231F20"/>
          <w:sz w:val="18"/>
        </w:rPr>
        <w:t>у</w:t>
      </w:r>
      <w:r>
        <w:rPr>
          <w:color w:val="231F20"/>
          <w:spacing w:val="-8"/>
          <w:sz w:val="18"/>
        </w:rPr>
        <w:t> </w:t>
      </w:r>
      <w:r>
        <w:rPr>
          <w:color w:val="231F20"/>
          <w:sz w:val="18"/>
        </w:rPr>
        <w:t>рационализацију</w:t>
      </w:r>
      <w:r>
        <w:rPr>
          <w:color w:val="231F20"/>
          <w:spacing w:val="-8"/>
          <w:sz w:val="18"/>
        </w:rPr>
        <w:t> </w:t>
      </w:r>
      <w:r>
        <w:rPr>
          <w:color w:val="231F20"/>
          <w:sz w:val="18"/>
        </w:rPr>
        <w:t>потрошње</w:t>
      </w:r>
      <w:r>
        <w:rPr>
          <w:color w:val="231F20"/>
          <w:spacing w:val="-8"/>
          <w:sz w:val="18"/>
        </w:rPr>
        <w:t> </w:t>
      </w:r>
      <w:r>
        <w:rPr>
          <w:color w:val="231F20"/>
          <w:sz w:val="18"/>
        </w:rPr>
        <w:t>електричне</w:t>
      </w:r>
      <w:r>
        <w:rPr>
          <w:color w:val="231F20"/>
          <w:spacing w:val="-8"/>
          <w:sz w:val="18"/>
        </w:rPr>
        <w:t> </w:t>
      </w:r>
      <w:r>
        <w:rPr>
          <w:color w:val="231F20"/>
          <w:sz w:val="18"/>
        </w:rPr>
        <w:t>енергије,</w:t>
      </w:r>
      <w:r>
        <w:rPr>
          <w:color w:val="231F20"/>
          <w:spacing w:val="-8"/>
          <w:sz w:val="18"/>
        </w:rPr>
        <w:t> </w:t>
      </w:r>
      <w:r>
        <w:rPr>
          <w:color w:val="231F20"/>
          <w:sz w:val="18"/>
        </w:rPr>
        <w:t>улагање</w:t>
      </w:r>
      <w:r>
        <w:rPr>
          <w:color w:val="231F20"/>
          <w:spacing w:val="-8"/>
          <w:sz w:val="18"/>
        </w:rPr>
        <w:t> </w:t>
      </w:r>
      <w:r>
        <w:rPr>
          <w:color w:val="231F20"/>
          <w:sz w:val="18"/>
        </w:rPr>
        <w:t>у повећање производних могућности постојећих капацитета и про- дужење њиховог радног века представља најбржи вид решавања садашњих електроенергетских проблема;</w:t>
      </w:r>
      <w:r>
        <w:rPr>
          <w:color w:val="231F20"/>
          <w:spacing w:val="-2"/>
          <w:sz w:val="18"/>
        </w:rPr>
        <w:t> </w:t>
      </w:r>
      <w:r>
        <w:rPr>
          <w:color w:val="231F20"/>
          <w:sz w:val="18"/>
        </w:rPr>
        <w:t>и</w:t>
      </w:r>
    </w:p>
    <w:p>
      <w:pPr>
        <w:pStyle w:val="ListParagraph"/>
        <w:numPr>
          <w:ilvl w:val="1"/>
          <w:numId w:val="61"/>
        </w:numPr>
        <w:tabs>
          <w:tab w:pos="786" w:val="left" w:leader="none"/>
        </w:tabs>
        <w:spacing w:line="232" w:lineRule="auto" w:before="0" w:after="0"/>
        <w:ind w:left="169" w:right="39" w:firstLine="398"/>
        <w:jc w:val="both"/>
        <w:rPr>
          <w:sz w:val="18"/>
        </w:rPr>
      </w:pPr>
      <w:r>
        <w:rPr>
          <w:color w:val="231F20"/>
          <w:sz w:val="18"/>
        </w:rPr>
        <w:t>и поред наведених позитивних утицаја реализованих ре- хабилитација </w:t>
      </w:r>
      <w:r>
        <w:rPr>
          <w:color w:val="231F20"/>
          <w:spacing w:val="-3"/>
          <w:sz w:val="18"/>
        </w:rPr>
        <w:t>блокова, </w:t>
      </w:r>
      <w:r>
        <w:rPr>
          <w:color w:val="231F20"/>
          <w:sz w:val="18"/>
        </w:rPr>
        <w:t>као и очекиваних унапређења спровођењем планираних захвата, не сме се занемарити чињеница да је просеч- на старост термоелектрана 29 година; због тога </w:t>
      </w:r>
      <w:r>
        <w:rPr>
          <w:color w:val="231F20"/>
          <w:spacing w:val="-6"/>
          <w:sz w:val="18"/>
        </w:rPr>
        <w:t>код </w:t>
      </w:r>
      <w:r>
        <w:rPr>
          <w:color w:val="231F20"/>
          <w:sz w:val="18"/>
        </w:rPr>
        <w:t>оцене технич- </w:t>
      </w:r>
      <w:r>
        <w:rPr>
          <w:color w:val="231F20"/>
          <w:spacing w:val="-4"/>
          <w:sz w:val="18"/>
        </w:rPr>
        <w:t>ког </w:t>
      </w:r>
      <w:r>
        <w:rPr>
          <w:color w:val="231F20"/>
          <w:sz w:val="18"/>
        </w:rPr>
        <w:t>стања капацитета ЈП ЕПС-а, треба имати у </w:t>
      </w:r>
      <w:r>
        <w:rPr>
          <w:color w:val="231F20"/>
          <w:spacing w:val="-4"/>
          <w:sz w:val="18"/>
        </w:rPr>
        <w:t>виду, </w:t>
      </w:r>
      <w:r>
        <w:rPr>
          <w:color w:val="231F20"/>
          <w:sz w:val="18"/>
        </w:rPr>
        <w:t>пре свега, старост капацитета и застарелост технологије, </w:t>
      </w:r>
      <w:r>
        <w:rPr>
          <w:color w:val="231F20"/>
          <w:spacing w:val="-3"/>
          <w:sz w:val="18"/>
        </w:rPr>
        <w:t>тако </w:t>
      </w:r>
      <w:r>
        <w:rPr>
          <w:color w:val="231F20"/>
          <w:sz w:val="18"/>
        </w:rPr>
        <w:t>да ће и </w:t>
      </w:r>
      <w:r>
        <w:rPr>
          <w:color w:val="231F20"/>
          <w:spacing w:val="-3"/>
          <w:sz w:val="18"/>
        </w:rPr>
        <w:t>након </w:t>
      </w:r>
      <w:r>
        <w:rPr>
          <w:color w:val="231F20"/>
          <w:sz w:val="18"/>
        </w:rPr>
        <w:t>предвиђених рехабилитација и модернизација </w:t>
      </w:r>
      <w:r>
        <w:rPr>
          <w:color w:val="231F20"/>
          <w:spacing w:val="-3"/>
          <w:sz w:val="18"/>
        </w:rPr>
        <w:t>техничко </w:t>
      </w:r>
      <w:r>
        <w:rPr>
          <w:color w:val="231F20"/>
          <w:sz w:val="18"/>
        </w:rPr>
        <w:t>стање производних капацитета и даље заостајати у односу на електрое- нергетске системе развијених европских</w:t>
      </w:r>
      <w:r>
        <w:rPr>
          <w:color w:val="231F20"/>
          <w:spacing w:val="-4"/>
          <w:sz w:val="18"/>
        </w:rPr>
        <w:t> </w:t>
      </w:r>
      <w:r>
        <w:rPr>
          <w:color w:val="231F20"/>
          <w:sz w:val="18"/>
        </w:rPr>
        <w:t>земаља.</w:t>
      </w:r>
    </w:p>
    <w:p>
      <w:pPr>
        <w:pStyle w:val="BodyText"/>
        <w:spacing w:line="232" w:lineRule="auto"/>
        <w:ind w:left="169" w:right="40" w:firstLine="397"/>
      </w:pPr>
      <w:r>
        <w:rPr>
          <w:color w:val="231F20"/>
        </w:rPr>
        <w:t>Развојним плановима ЕПС-а и ТЕ-КО „Костолац” предвиђе- но је да блок А1 има радни век до 2017. године, а за блок А2 пла- нира се да буде у функцији до 2024. године. Пре коначног искљу- чења ових блокова из система Електропривреде Србије било би значајно кроз израду студијске документације оценити могућност даљег наставка рада топлане.</w:t>
      </w:r>
    </w:p>
    <w:p>
      <w:pPr>
        <w:pStyle w:val="BodyText"/>
        <w:spacing w:line="232" w:lineRule="auto"/>
        <w:ind w:left="169" w:right="40" w:firstLine="396"/>
      </w:pPr>
      <w:r>
        <w:rPr>
          <w:color w:val="231F20"/>
        </w:rPr>
        <w:t>У</w:t>
      </w:r>
      <w:r>
        <w:rPr>
          <w:color w:val="231F20"/>
          <w:spacing w:val="-4"/>
        </w:rPr>
        <w:t> </w:t>
      </w:r>
      <w:r>
        <w:rPr>
          <w:color w:val="231F20"/>
        </w:rPr>
        <w:t>акваторији</w:t>
      </w:r>
      <w:r>
        <w:rPr>
          <w:color w:val="231F20"/>
          <w:spacing w:val="-4"/>
        </w:rPr>
        <w:t> </w:t>
      </w:r>
      <w:r>
        <w:rPr>
          <w:color w:val="231F20"/>
        </w:rPr>
        <w:t>Дунавца,</w:t>
      </w:r>
      <w:r>
        <w:rPr>
          <w:color w:val="231F20"/>
          <w:spacing w:val="-4"/>
        </w:rPr>
        <w:t> </w:t>
      </w:r>
      <w:r>
        <w:rPr>
          <w:color w:val="231F20"/>
        </w:rPr>
        <w:t>на</w:t>
      </w:r>
      <w:r>
        <w:rPr>
          <w:color w:val="231F20"/>
          <w:spacing w:val="-4"/>
        </w:rPr>
        <w:t> </w:t>
      </w:r>
      <w:r>
        <w:rPr>
          <w:color w:val="231F20"/>
        </w:rPr>
        <w:t>каналу</w:t>
      </w:r>
      <w:r>
        <w:rPr>
          <w:color w:val="231F20"/>
          <w:spacing w:val="-4"/>
        </w:rPr>
        <w:t> </w:t>
      </w:r>
      <w:r>
        <w:rPr>
          <w:color w:val="231F20"/>
        </w:rPr>
        <w:t>расхладне</w:t>
      </w:r>
      <w:r>
        <w:rPr>
          <w:color w:val="231F20"/>
          <w:spacing w:val="-4"/>
        </w:rPr>
        <w:t> </w:t>
      </w:r>
      <w:r>
        <w:rPr>
          <w:color w:val="231F20"/>
        </w:rPr>
        <w:t>воде,</w:t>
      </w:r>
      <w:r>
        <w:rPr>
          <w:color w:val="231F20"/>
          <w:spacing w:val="-4"/>
        </w:rPr>
        <w:t> </w:t>
      </w:r>
      <w:r>
        <w:rPr>
          <w:color w:val="231F20"/>
        </w:rPr>
        <w:t>и</w:t>
      </w:r>
      <w:r>
        <w:rPr>
          <w:color w:val="231F20"/>
          <w:spacing w:val="-4"/>
        </w:rPr>
        <w:t> </w:t>
      </w:r>
      <w:r>
        <w:rPr>
          <w:color w:val="231F20"/>
        </w:rPr>
        <w:t>у</w:t>
      </w:r>
      <w:r>
        <w:rPr>
          <w:color w:val="231F20"/>
          <w:spacing w:val="-4"/>
        </w:rPr>
        <w:t> </w:t>
      </w:r>
      <w:r>
        <w:rPr>
          <w:color w:val="231F20"/>
        </w:rPr>
        <w:t>приоба- </w:t>
      </w:r>
      <w:r>
        <w:rPr>
          <w:color w:val="231F20"/>
          <w:spacing w:val="-7"/>
        </w:rPr>
        <w:t>љу, </w:t>
      </w:r>
      <w:r>
        <w:rPr>
          <w:color w:val="231F20"/>
        </w:rPr>
        <w:t>у непосредној близини </w:t>
      </w:r>
      <w:r>
        <w:rPr>
          <w:color w:val="231F20"/>
          <w:spacing w:val="-3"/>
        </w:rPr>
        <w:t>комплекса </w:t>
      </w:r>
      <w:r>
        <w:rPr>
          <w:color w:val="231F20"/>
        </w:rPr>
        <w:t>ТЕ „Костолац А”, развојним плановима ЕПС-а и на нивоу претходне </w:t>
      </w:r>
      <w:r>
        <w:rPr>
          <w:color w:val="231F20"/>
          <w:spacing w:val="-3"/>
        </w:rPr>
        <w:t>студије </w:t>
      </w:r>
      <w:r>
        <w:rPr>
          <w:color w:val="231F20"/>
        </w:rPr>
        <w:t>оправданости, предвиђa</w:t>
      </w:r>
      <w:r>
        <w:rPr>
          <w:color w:val="231F20"/>
          <w:spacing w:val="-7"/>
        </w:rPr>
        <w:t> </w:t>
      </w:r>
      <w:r>
        <w:rPr>
          <w:color w:val="231F20"/>
        </w:rPr>
        <w:t>се</w:t>
      </w:r>
      <w:r>
        <w:rPr>
          <w:color w:val="231F20"/>
          <w:spacing w:val="-7"/>
        </w:rPr>
        <w:t> </w:t>
      </w:r>
      <w:r>
        <w:rPr>
          <w:color w:val="231F20"/>
        </w:rPr>
        <w:t>уређење</w:t>
      </w:r>
      <w:r>
        <w:rPr>
          <w:color w:val="231F20"/>
          <w:spacing w:val="-7"/>
        </w:rPr>
        <w:t> </w:t>
      </w:r>
      <w:r>
        <w:rPr>
          <w:color w:val="231F20"/>
        </w:rPr>
        <w:t>робног</w:t>
      </w:r>
      <w:r>
        <w:rPr>
          <w:color w:val="231F20"/>
          <w:spacing w:val="-7"/>
        </w:rPr>
        <w:t> </w:t>
      </w:r>
      <w:r>
        <w:rPr>
          <w:color w:val="231F20"/>
        </w:rPr>
        <w:t>пристаништа</w:t>
      </w:r>
      <w:r>
        <w:rPr>
          <w:color w:val="231F20"/>
          <w:spacing w:val="-7"/>
        </w:rPr>
        <w:t> </w:t>
      </w:r>
      <w:r>
        <w:rPr>
          <w:color w:val="231F20"/>
        </w:rPr>
        <w:t>са</w:t>
      </w:r>
      <w:r>
        <w:rPr>
          <w:color w:val="231F20"/>
          <w:spacing w:val="-7"/>
        </w:rPr>
        <w:t> </w:t>
      </w:r>
      <w:r>
        <w:rPr>
          <w:color w:val="231F20"/>
        </w:rPr>
        <w:t>пратећим</w:t>
      </w:r>
      <w:r>
        <w:rPr>
          <w:color w:val="231F20"/>
          <w:spacing w:val="-7"/>
        </w:rPr>
        <w:t> </w:t>
      </w:r>
      <w:r>
        <w:rPr>
          <w:color w:val="231F20"/>
        </w:rPr>
        <w:t>садржајима и манипулативним и складишним</w:t>
      </w:r>
      <w:r>
        <w:rPr>
          <w:color w:val="231F20"/>
          <w:spacing w:val="-8"/>
        </w:rPr>
        <w:t> </w:t>
      </w:r>
      <w:r>
        <w:rPr>
          <w:color w:val="231F20"/>
        </w:rPr>
        <w:t>површинама.</w:t>
      </w:r>
    </w:p>
    <w:p>
      <w:pPr>
        <w:pStyle w:val="BodyText"/>
        <w:spacing w:line="232" w:lineRule="auto"/>
        <w:ind w:left="169" w:right="40" w:firstLine="396"/>
      </w:pPr>
      <w:r>
        <w:rPr>
          <w:color w:val="231F20"/>
        </w:rPr>
        <w:t>У претходном периоду је разматрано више могућих локаци- ја индустријског пристаништа базенског типа за потребе ТЕ-КО</w:t>
      </w:r>
    </w:p>
    <w:p>
      <w:pPr>
        <w:pStyle w:val="BodyText"/>
        <w:spacing w:line="232" w:lineRule="auto"/>
        <w:ind w:left="168" w:right="39"/>
      </w:pPr>
      <w:r>
        <w:rPr>
          <w:color w:val="231F20"/>
        </w:rPr>
        <w:t>„Костолац”, а за локацију на реци Млави, у непосредној близини ТЕ „Костолац Б”, доказана је оправданост и рационалност изград- ње</w:t>
      </w:r>
      <w:r>
        <w:rPr>
          <w:color w:val="231F20"/>
          <w:position w:val="6"/>
          <w:sz w:val="10"/>
        </w:rPr>
        <w:t>16</w:t>
      </w:r>
      <w:r>
        <w:rPr>
          <w:color w:val="231F20"/>
        </w:rPr>
        <w:t>. Међутим, за </w:t>
      </w:r>
      <w:r>
        <w:rPr>
          <w:color w:val="231F20"/>
          <w:spacing w:val="-3"/>
        </w:rPr>
        <w:t>ову </w:t>
      </w:r>
      <w:r>
        <w:rPr>
          <w:color w:val="231F20"/>
        </w:rPr>
        <w:t>локацију је стручна служба </w:t>
      </w:r>
      <w:r>
        <w:rPr>
          <w:color w:val="231F20"/>
          <w:spacing w:val="-3"/>
        </w:rPr>
        <w:t>Републичког </w:t>
      </w:r>
      <w:r>
        <w:rPr>
          <w:color w:val="231F20"/>
        </w:rPr>
        <w:t>завода за заштиту споменика </w:t>
      </w:r>
      <w:r>
        <w:rPr>
          <w:color w:val="231F20"/>
          <w:spacing w:val="-3"/>
        </w:rPr>
        <w:t>културе </w:t>
      </w:r>
      <w:r>
        <w:rPr>
          <w:color w:val="231F20"/>
        </w:rPr>
        <w:t>из Београда дала негативно мишљење (допис 0302 р./Реф. 2/1949 </w:t>
      </w:r>
      <w:r>
        <w:rPr>
          <w:color w:val="231F20"/>
          <w:spacing w:val="-3"/>
        </w:rPr>
        <w:t>од </w:t>
      </w:r>
      <w:r>
        <w:rPr>
          <w:color w:val="231F20"/>
        </w:rPr>
        <w:t>17.08.2010.) са образло- жењем</w:t>
      </w:r>
      <w:r>
        <w:rPr>
          <w:color w:val="231F20"/>
          <w:spacing w:val="-5"/>
        </w:rPr>
        <w:t> </w:t>
      </w:r>
      <w:r>
        <w:rPr>
          <w:color w:val="231F20"/>
        </w:rPr>
        <w:t>да</w:t>
      </w:r>
      <w:r>
        <w:rPr>
          <w:color w:val="231F20"/>
          <w:spacing w:val="-5"/>
        </w:rPr>
        <w:t> </w:t>
      </w:r>
      <w:r>
        <w:rPr>
          <w:color w:val="231F20"/>
        </w:rPr>
        <w:t>се</w:t>
      </w:r>
      <w:r>
        <w:rPr>
          <w:color w:val="231F20"/>
          <w:spacing w:val="-6"/>
        </w:rPr>
        <w:t> </w:t>
      </w:r>
      <w:r>
        <w:rPr>
          <w:color w:val="231F20"/>
        </w:rPr>
        <w:t>налази</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зоне</w:t>
      </w:r>
      <w:r>
        <w:rPr>
          <w:color w:val="231F20"/>
          <w:spacing w:val="-6"/>
        </w:rPr>
        <w:t> </w:t>
      </w:r>
      <w:r>
        <w:rPr>
          <w:color w:val="231F20"/>
        </w:rPr>
        <w:t>заштићене</w:t>
      </w:r>
      <w:r>
        <w:rPr>
          <w:color w:val="231F20"/>
          <w:spacing w:val="-6"/>
        </w:rPr>
        <w:t> </w:t>
      </w:r>
      <w:r>
        <w:rPr>
          <w:color w:val="231F20"/>
          <w:spacing w:val="-3"/>
        </w:rPr>
        <w:t>околине</w:t>
      </w:r>
      <w:r>
        <w:rPr>
          <w:color w:val="231F20"/>
          <w:spacing w:val="-6"/>
        </w:rPr>
        <w:t> </w:t>
      </w:r>
      <w:r>
        <w:rPr>
          <w:color w:val="231F20"/>
        </w:rPr>
        <w:t>непокретног културног добра </w:t>
      </w:r>
      <w:r>
        <w:rPr>
          <w:color w:val="231F20"/>
          <w:spacing w:val="-3"/>
        </w:rPr>
        <w:t>од </w:t>
      </w:r>
      <w:r>
        <w:rPr>
          <w:color w:val="231F20"/>
        </w:rPr>
        <w:t>изузетног значаја за Републику Србију – архе- </w:t>
      </w:r>
      <w:r>
        <w:rPr>
          <w:color w:val="231F20"/>
          <w:spacing w:val="-3"/>
        </w:rPr>
        <w:t>олошког </w:t>
      </w:r>
      <w:r>
        <w:rPr>
          <w:color w:val="231F20"/>
        </w:rPr>
        <w:t>налазишта Виминацијум, и да би изградња пристаништа на овој локацији имала директан неповољан утицај на </w:t>
      </w:r>
      <w:r>
        <w:rPr>
          <w:color w:val="231F20"/>
          <w:spacing w:val="-3"/>
        </w:rPr>
        <w:t>културне </w:t>
      </w:r>
      <w:r>
        <w:rPr>
          <w:color w:val="231F20"/>
        </w:rPr>
        <w:t>слојеве, као и на презентоване остатке античког</w:t>
      </w:r>
      <w:r>
        <w:rPr>
          <w:color w:val="231F20"/>
          <w:spacing w:val="-13"/>
        </w:rPr>
        <w:t> </w:t>
      </w:r>
      <w:r>
        <w:rPr>
          <w:color w:val="231F20"/>
        </w:rPr>
        <w:t>града.</w:t>
      </w:r>
    </w:p>
    <w:p>
      <w:pPr>
        <w:pStyle w:val="BodyText"/>
        <w:spacing w:line="232" w:lineRule="auto"/>
        <w:ind w:left="171" w:right="38" w:firstLine="396"/>
      </w:pPr>
      <w:r>
        <w:rPr>
          <w:color w:val="231F20"/>
        </w:rPr>
        <w:t>У складу са </w:t>
      </w:r>
      <w:r>
        <w:rPr>
          <w:color w:val="231F20"/>
          <w:spacing w:val="-4"/>
        </w:rPr>
        <w:t>резултатима </w:t>
      </w:r>
      <w:r>
        <w:rPr>
          <w:color w:val="231F20"/>
        </w:rPr>
        <w:t>транспортне </w:t>
      </w:r>
      <w:r>
        <w:rPr>
          <w:color w:val="231F20"/>
          <w:spacing w:val="-4"/>
        </w:rPr>
        <w:t>студије </w:t>
      </w:r>
      <w:r>
        <w:rPr>
          <w:color w:val="231F20"/>
        </w:rPr>
        <w:t>и с </w:t>
      </w:r>
      <w:r>
        <w:rPr>
          <w:color w:val="231F20"/>
          <w:spacing w:val="-3"/>
        </w:rPr>
        <w:t>обзиром </w:t>
      </w:r>
      <w:r>
        <w:rPr>
          <w:color w:val="231F20"/>
        </w:rPr>
        <w:t>на </w:t>
      </w:r>
      <w:r>
        <w:rPr>
          <w:color w:val="231F20"/>
          <w:spacing w:val="-3"/>
        </w:rPr>
        <w:t>оперативне </w:t>
      </w:r>
      <w:r>
        <w:rPr>
          <w:color w:val="231F20"/>
        </w:rPr>
        <w:t>могућности успостављања </w:t>
      </w:r>
      <w:r>
        <w:rPr>
          <w:color w:val="231F20"/>
          <w:spacing w:val="-3"/>
        </w:rPr>
        <w:t>базенског </w:t>
      </w:r>
      <w:r>
        <w:rPr>
          <w:color w:val="231F20"/>
        </w:rPr>
        <w:t>пристаништа на </w:t>
      </w:r>
      <w:r>
        <w:rPr>
          <w:color w:val="231F20"/>
          <w:spacing w:val="-3"/>
        </w:rPr>
        <w:t>међународном пловном путу реке </w:t>
      </w:r>
      <w:r>
        <w:rPr>
          <w:color w:val="231F20"/>
        </w:rPr>
        <w:t>Дунав </w:t>
      </w:r>
      <w:r>
        <w:rPr>
          <w:color w:val="231F20"/>
          <w:spacing w:val="-3"/>
        </w:rPr>
        <w:t>размотриће </w:t>
      </w:r>
      <w:r>
        <w:rPr>
          <w:color w:val="231F20"/>
        </w:rPr>
        <w:t>се изградња </w:t>
      </w:r>
      <w:r>
        <w:rPr>
          <w:color w:val="231F20"/>
          <w:spacing w:val="-3"/>
        </w:rPr>
        <w:t>следеће </w:t>
      </w:r>
      <w:r>
        <w:rPr>
          <w:color w:val="231F20"/>
        </w:rPr>
        <w:t>етапе уређења пристаништа </w:t>
      </w:r>
      <w:r>
        <w:rPr>
          <w:color w:val="231F20"/>
          <w:spacing w:val="-3"/>
        </w:rPr>
        <w:t>као инфраструктурног </w:t>
      </w:r>
      <w:r>
        <w:rPr>
          <w:color w:val="231F20"/>
        </w:rPr>
        <w:t>објекта </w:t>
      </w:r>
      <w:r>
        <w:rPr>
          <w:color w:val="231F20"/>
          <w:spacing w:val="-3"/>
        </w:rPr>
        <w:t>речног </w:t>
      </w:r>
      <w:r>
        <w:rPr>
          <w:color w:val="231F20"/>
        </w:rPr>
        <w:t>транспорта </w:t>
      </w:r>
      <w:r>
        <w:rPr>
          <w:color w:val="231F20"/>
          <w:spacing w:val="-5"/>
        </w:rPr>
        <w:t>око </w:t>
      </w:r>
      <w:r>
        <w:rPr>
          <w:color w:val="231F20"/>
          <w:spacing w:val="-4"/>
        </w:rPr>
        <w:t>кога </w:t>
      </w:r>
      <w:r>
        <w:rPr>
          <w:color w:val="231F20"/>
        </w:rPr>
        <w:t>се </w:t>
      </w:r>
      <w:r>
        <w:rPr>
          <w:color w:val="231F20"/>
          <w:spacing w:val="-3"/>
        </w:rPr>
        <w:t>формира </w:t>
      </w:r>
      <w:r>
        <w:rPr>
          <w:color w:val="231F20"/>
          <w:spacing w:val="-4"/>
        </w:rPr>
        <w:t>комплекс </w:t>
      </w:r>
      <w:r>
        <w:rPr>
          <w:color w:val="231F20"/>
        </w:rPr>
        <w:t>са складишним, </w:t>
      </w:r>
      <w:r>
        <w:rPr>
          <w:color w:val="231F20"/>
          <w:spacing w:val="-3"/>
        </w:rPr>
        <w:t>производним</w:t>
      </w:r>
      <w:r>
        <w:rPr>
          <w:color w:val="231F20"/>
          <w:spacing w:val="-7"/>
        </w:rPr>
        <w:t> </w:t>
      </w:r>
      <w:r>
        <w:rPr>
          <w:color w:val="231F20"/>
        </w:rPr>
        <w:t>и</w:t>
      </w:r>
      <w:r>
        <w:rPr>
          <w:color w:val="231F20"/>
          <w:spacing w:val="-7"/>
        </w:rPr>
        <w:t> </w:t>
      </w:r>
      <w:r>
        <w:rPr>
          <w:color w:val="231F20"/>
          <w:spacing w:val="-3"/>
        </w:rPr>
        <w:t>комерцијалним</w:t>
      </w:r>
      <w:r>
        <w:rPr>
          <w:color w:val="231F20"/>
          <w:spacing w:val="-7"/>
        </w:rPr>
        <w:t> </w:t>
      </w:r>
      <w:r>
        <w:rPr>
          <w:color w:val="231F20"/>
        </w:rPr>
        <w:t>садржајима.</w:t>
      </w:r>
      <w:r>
        <w:rPr>
          <w:color w:val="231F20"/>
          <w:spacing w:val="-7"/>
        </w:rPr>
        <w:t> </w:t>
      </w:r>
      <w:r>
        <w:rPr>
          <w:color w:val="231F20"/>
        </w:rPr>
        <w:t>За</w:t>
      </w:r>
      <w:r>
        <w:rPr>
          <w:color w:val="231F20"/>
          <w:spacing w:val="-7"/>
        </w:rPr>
        <w:t> </w:t>
      </w:r>
      <w:r>
        <w:rPr>
          <w:color w:val="231F20"/>
        </w:rPr>
        <w:t>ове</w:t>
      </w:r>
      <w:r>
        <w:rPr>
          <w:color w:val="231F20"/>
          <w:spacing w:val="-7"/>
        </w:rPr>
        <w:t> </w:t>
      </w:r>
      <w:r>
        <w:rPr>
          <w:color w:val="231F20"/>
          <w:spacing w:val="-3"/>
        </w:rPr>
        <w:t>потребе</w:t>
      </w:r>
      <w:r>
        <w:rPr>
          <w:color w:val="231F20"/>
          <w:spacing w:val="-7"/>
        </w:rPr>
        <w:t> </w:t>
      </w:r>
      <w:r>
        <w:rPr>
          <w:color w:val="231F20"/>
        </w:rPr>
        <w:t>резерви- ше</w:t>
      </w:r>
      <w:r>
        <w:rPr>
          <w:color w:val="231F20"/>
          <w:spacing w:val="-10"/>
        </w:rPr>
        <w:t> </w:t>
      </w:r>
      <w:r>
        <w:rPr>
          <w:color w:val="231F20"/>
        </w:rPr>
        <w:t>се</w:t>
      </w:r>
      <w:r>
        <w:rPr>
          <w:color w:val="231F20"/>
          <w:spacing w:val="-10"/>
        </w:rPr>
        <w:t> </w:t>
      </w:r>
      <w:r>
        <w:rPr>
          <w:color w:val="231F20"/>
        </w:rPr>
        <w:t>простор</w:t>
      </w:r>
      <w:r>
        <w:rPr>
          <w:color w:val="231F20"/>
          <w:spacing w:val="-10"/>
        </w:rPr>
        <w:t> </w:t>
      </w:r>
      <w:r>
        <w:rPr>
          <w:color w:val="231F20"/>
        </w:rPr>
        <w:t>у</w:t>
      </w:r>
      <w:r>
        <w:rPr>
          <w:color w:val="231F20"/>
          <w:spacing w:val="-10"/>
        </w:rPr>
        <w:t> </w:t>
      </w:r>
      <w:r>
        <w:rPr>
          <w:color w:val="231F20"/>
        </w:rPr>
        <w:t>непосредној</w:t>
      </w:r>
      <w:r>
        <w:rPr>
          <w:color w:val="231F20"/>
          <w:spacing w:val="-10"/>
        </w:rPr>
        <w:t> </w:t>
      </w:r>
      <w:r>
        <w:rPr>
          <w:color w:val="231F20"/>
          <w:spacing w:val="-3"/>
        </w:rPr>
        <w:t>близини</w:t>
      </w:r>
      <w:r>
        <w:rPr>
          <w:color w:val="231F20"/>
          <w:spacing w:val="-10"/>
        </w:rPr>
        <w:t> </w:t>
      </w:r>
      <w:r>
        <w:rPr>
          <w:color w:val="231F20"/>
        </w:rPr>
        <w:t>новог</w:t>
      </w:r>
      <w:r>
        <w:rPr>
          <w:color w:val="231F20"/>
          <w:spacing w:val="-10"/>
        </w:rPr>
        <w:t> </w:t>
      </w:r>
      <w:r>
        <w:rPr>
          <w:color w:val="231F20"/>
        </w:rPr>
        <w:t>робног</w:t>
      </w:r>
      <w:r>
        <w:rPr>
          <w:color w:val="231F20"/>
          <w:spacing w:val="-10"/>
        </w:rPr>
        <w:t> </w:t>
      </w:r>
      <w:r>
        <w:rPr>
          <w:color w:val="231F20"/>
        </w:rPr>
        <w:t>пристаништа.</w:t>
      </w:r>
    </w:p>
    <w:p>
      <w:pPr>
        <w:pStyle w:val="BodyText"/>
        <w:spacing w:line="232" w:lineRule="auto"/>
        <w:ind w:left="171" w:right="38" w:firstLine="397"/>
      </w:pPr>
      <w:r>
        <w:rPr>
          <w:color w:val="231F20"/>
        </w:rPr>
        <w:t>Стратегија Европске </w:t>
      </w:r>
      <w:r>
        <w:rPr>
          <w:color w:val="231F20"/>
          <w:spacing w:val="-4"/>
        </w:rPr>
        <w:t>Уније </w:t>
      </w:r>
      <w:r>
        <w:rPr>
          <w:color w:val="231F20"/>
        </w:rPr>
        <w:t>за Дунавски регион са пратећим Акционим планом представља одрживи оквир за политику инте- грације и </w:t>
      </w:r>
      <w:r>
        <w:rPr>
          <w:color w:val="231F20"/>
          <w:spacing w:val="-3"/>
        </w:rPr>
        <w:t>кохерентни </w:t>
      </w:r>
      <w:r>
        <w:rPr>
          <w:color w:val="231F20"/>
        </w:rPr>
        <w:t>развој Дунавског региона, базирано на три стуба</w:t>
      </w:r>
      <w:r>
        <w:rPr>
          <w:color w:val="231F20"/>
          <w:spacing w:val="-9"/>
        </w:rPr>
        <w:t> </w:t>
      </w:r>
      <w:r>
        <w:rPr>
          <w:color w:val="231F20"/>
        </w:rPr>
        <w:t>развоја</w:t>
      </w:r>
      <w:r>
        <w:rPr>
          <w:color w:val="231F20"/>
          <w:spacing w:val="-9"/>
        </w:rPr>
        <w:t> </w:t>
      </w:r>
      <w:r>
        <w:rPr>
          <w:color w:val="231F20"/>
        </w:rPr>
        <w:t>1)</w:t>
      </w:r>
      <w:r>
        <w:rPr>
          <w:color w:val="231F20"/>
          <w:spacing w:val="-9"/>
        </w:rPr>
        <w:t> </w:t>
      </w:r>
      <w:r>
        <w:rPr>
          <w:color w:val="231F20"/>
        </w:rPr>
        <w:t>успостављање</w:t>
      </w:r>
      <w:r>
        <w:rPr>
          <w:color w:val="231F20"/>
          <w:spacing w:val="-9"/>
        </w:rPr>
        <w:t> </w:t>
      </w:r>
      <w:r>
        <w:rPr>
          <w:color w:val="231F20"/>
        </w:rPr>
        <w:t>система</w:t>
      </w:r>
      <w:r>
        <w:rPr>
          <w:color w:val="231F20"/>
          <w:spacing w:val="-9"/>
        </w:rPr>
        <w:t> </w:t>
      </w:r>
      <w:r>
        <w:rPr>
          <w:color w:val="231F20"/>
        </w:rPr>
        <w:t>безбедне</w:t>
      </w:r>
      <w:r>
        <w:rPr>
          <w:color w:val="231F20"/>
          <w:spacing w:val="-9"/>
        </w:rPr>
        <w:t> </w:t>
      </w:r>
      <w:r>
        <w:rPr>
          <w:color w:val="231F20"/>
        </w:rPr>
        <w:t>пловидбе</w:t>
      </w:r>
      <w:r>
        <w:rPr>
          <w:color w:val="231F20"/>
          <w:spacing w:val="-9"/>
        </w:rPr>
        <w:t> </w:t>
      </w:r>
      <w:r>
        <w:rPr>
          <w:color w:val="231F20"/>
        </w:rPr>
        <w:t>и</w:t>
      </w:r>
      <w:r>
        <w:rPr>
          <w:color w:val="231F20"/>
          <w:spacing w:val="-9"/>
        </w:rPr>
        <w:t> </w:t>
      </w:r>
      <w:r>
        <w:rPr>
          <w:color w:val="231F20"/>
        </w:rPr>
        <w:t>развој транспорта и пратеће инфраструктуре; 2) заштита животне сре- дине и одрживо коришћење природног богатства и 3) економски развој и јачање регионалне сарадње и партнерства у региону По- дунавља). Овим документима, и документом „Позиција Републи- </w:t>
      </w:r>
      <w:r>
        <w:rPr>
          <w:color w:val="231F20"/>
          <w:spacing w:val="-3"/>
        </w:rPr>
        <w:t>ке</w:t>
      </w:r>
      <w:r>
        <w:rPr>
          <w:color w:val="231F20"/>
          <w:spacing w:val="20"/>
        </w:rPr>
        <w:t> </w:t>
      </w:r>
      <w:r>
        <w:rPr>
          <w:color w:val="231F20"/>
        </w:rPr>
        <w:t>Србије</w:t>
      </w:r>
      <w:r>
        <w:rPr>
          <w:color w:val="231F20"/>
          <w:spacing w:val="20"/>
        </w:rPr>
        <w:t> </w:t>
      </w:r>
      <w:r>
        <w:rPr>
          <w:color w:val="231F20"/>
        </w:rPr>
        <w:t>за</w:t>
      </w:r>
      <w:r>
        <w:rPr>
          <w:color w:val="231F20"/>
          <w:spacing w:val="20"/>
        </w:rPr>
        <w:t> </w:t>
      </w:r>
      <w:r>
        <w:rPr>
          <w:color w:val="231F20"/>
        </w:rPr>
        <w:t>учешће</w:t>
      </w:r>
      <w:r>
        <w:rPr>
          <w:color w:val="231F20"/>
          <w:spacing w:val="20"/>
        </w:rPr>
        <w:t> </w:t>
      </w:r>
      <w:r>
        <w:rPr>
          <w:color w:val="231F20"/>
        </w:rPr>
        <w:t>у</w:t>
      </w:r>
      <w:r>
        <w:rPr>
          <w:color w:val="231F20"/>
          <w:spacing w:val="20"/>
        </w:rPr>
        <w:t> </w:t>
      </w:r>
      <w:r>
        <w:rPr>
          <w:color w:val="231F20"/>
        </w:rPr>
        <w:t>изради</w:t>
      </w:r>
      <w:r>
        <w:rPr>
          <w:color w:val="231F20"/>
          <w:spacing w:val="20"/>
        </w:rPr>
        <w:t> </w:t>
      </w:r>
      <w:r>
        <w:rPr>
          <w:color w:val="231F20"/>
        </w:rPr>
        <w:t>свеобухватне</w:t>
      </w:r>
      <w:r>
        <w:rPr>
          <w:color w:val="231F20"/>
          <w:spacing w:val="20"/>
        </w:rPr>
        <w:t> </w:t>
      </w:r>
      <w:r>
        <w:rPr>
          <w:color w:val="231F20"/>
        </w:rPr>
        <w:t>стратегије</w:t>
      </w:r>
      <w:r>
        <w:rPr>
          <w:color w:val="231F20"/>
          <w:spacing w:val="20"/>
        </w:rPr>
        <w:t> </w:t>
      </w:r>
      <w:r>
        <w:rPr>
          <w:color w:val="231F20"/>
        </w:rPr>
        <w:t>Европске</w:t>
      </w:r>
    </w:p>
    <w:p>
      <w:pPr>
        <w:spacing w:line="153"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240" w:lineRule="auto" w:before="0" w:after="0"/>
        <w:ind w:left="453" w:right="39" w:hanging="283"/>
        <w:jc w:val="both"/>
        <w:rPr>
          <w:sz w:val="14"/>
        </w:rPr>
      </w:pPr>
      <w:r>
        <w:rPr>
          <w:color w:val="231F20"/>
          <w:spacing w:val="-3"/>
          <w:sz w:val="14"/>
        </w:rPr>
        <w:t>Уредба </w:t>
      </w:r>
      <w:r>
        <w:rPr>
          <w:color w:val="231F20"/>
          <w:sz w:val="14"/>
        </w:rPr>
        <w:t>о изменама и допунама </w:t>
      </w:r>
      <w:r>
        <w:rPr>
          <w:color w:val="231F20"/>
          <w:spacing w:val="-3"/>
          <w:sz w:val="14"/>
        </w:rPr>
        <w:t>Уредбе </w:t>
      </w:r>
      <w:r>
        <w:rPr>
          <w:color w:val="231F20"/>
          <w:sz w:val="14"/>
        </w:rPr>
        <w:t>о утврђивању програма остваривања Стратегије развоја енергетике Републике Србије до 2015. године за период </w:t>
      </w:r>
      <w:r>
        <w:rPr>
          <w:color w:val="231F20"/>
          <w:spacing w:val="-3"/>
          <w:sz w:val="14"/>
        </w:rPr>
        <w:t>од </w:t>
      </w:r>
      <w:r>
        <w:rPr>
          <w:color w:val="231F20"/>
          <w:sz w:val="14"/>
        </w:rPr>
        <w:t>2007. до 2012. године („Службени гласник РС”, бр.</w:t>
      </w:r>
      <w:r>
        <w:rPr>
          <w:color w:val="231F20"/>
          <w:spacing w:val="-7"/>
          <w:sz w:val="14"/>
        </w:rPr>
        <w:t> </w:t>
      </w:r>
      <w:r>
        <w:rPr>
          <w:color w:val="231F20"/>
          <w:sz w:val="14"/>
        </w:rPr>
        <w:t>27/10)</w:t>
      </w:r>
    </w:p>
    <w:p>
      <w:pPr>
        <w:pStyle w:val="ListParagraph"/>
        <w:numPr>
          <w:ilvl w:val="0"/>
          <w:numId w:val="61"/>
        </w:numPr>
        <w:tabs>
          <w:tab w:pos="455" w:val="left" w:leader="none"/>
        </w:tabs>
        <w:spacing w:line="240" w:lineRule="auto" w:before="0" w:after="0"/>
        <w:ind w:left="454" w:right="39" w:hanging="284"/>
        <w:jc w:val="both"/>
        <w:rPr>
          <w:sz w:val="14"/>
        </w:rPr>
      </w:pPr>
      <w:r>
        <w:rPr>
          <w:color w:val="231F20"/>
          <w:spacing w:val="-3"/>
          <w:sz w:val="14"/>
        </w:rPr>
        <w:t>Уредба </w:t>
      </w:r>
      <w:r>
        <w:rPr>
          <w:color w:val="231F20"/>
          <w:sz w:val="14"/>
        </w:rPr>
        <w:t>о утврђивању програма остваривања Стратегије развоја енергетике Ре- публике Србије до 2015. године за период </w:t>
      </w:r>
      <w:r>
        <w:rPr>
          <w:color w:val="231F20"/>
          <w:spacing w:val="-3"/>
          <w:sz w:val="14"/>
        </w:rPr>
        <w:t>од </w:t>
      </w:r>
      <w:r>
        <w:rPr>
          <w:color w:val="231F20"/>
          <w:sz w:val="14"/>
        </w:rPr>
        <w:t>2007. до 2012. године ( „Службени гласник РС”,</w:t>
      </w:r>
      <w:r>
        <w:rPr>
          <w:color w:val="231F20"/>
          <w:spacing w:val="-1"/>
          <w:sz w:val="14"/>
        </w:rPr>
        <w:t> </w:t>
      </w:r>
      <w:r>
        <w:rPr>
          <w:color w:val="231F20"/>
          <w:sz w:val="14"/>
        </w:rPr>
        <w:t>бр.44/05)</w:t>
      </w:r>
    </w:p>
    <w:p>
      <w:pPr>
        <w:pStyle w:val="ListParagraph"/>
        <w:numPr>
          <w:ilvl w:val="0"/>
          <w:numId w:val="61"/>
        </w:numPr>
        <w:tabs>
          <w:tab w:pos="455" w:val="left" w:leader="none"/>
        </w:tabs>
        <w:spacing w:line="240" w:lineRule="auto" w:before="0" w:after="0"/>
        <w:ind w:left="454" w:right="39" w:hanging="284"/>
        <w:jc w:val="both"/>
        <w:rPr>
          <w:sz w:val="14"/>
        </w:rPr>
      </w:pPr>
      <w:r>
        <w:rPr>
          <w:color w:val="231F20"/>
          <w:sz w:val="14"/>
        </w:rPr>
        <w:t>Претходна студија оправданости са Генералним пројектом за изградњу приста- ништа за речни транспорт кречњака, </w:t>
      </w:r>
      <w:r>
        <w:rPr>
          <w:color w:val="231F20"/>
          <w:spacing w:val="-3"/>
          <w:sz w:val="14"/>
        </w:rPr>
        <w:t>од </w:t>
      </w:r>
      <w:r>
        <w:rPr>
          <w:color w:val="231F20"/>
          <w:sz w:val="14"/>
        </w:rPr>
        <w:t>каменолома Јеленска стена </w:t>
      </w:r>
      <w:r>
        <w:rPr>
          <w:color w:val="231F20"/>
          <w:spacing w:val="-5"/>
          <w:sz w:val="14"/>
        </w:rPr>
        <w:t>код </w:t>
      </w:r>
      <w:r>
        <w:rPr>
          <w:color w:val="231F20"/>
          <w:spacing w:val="-3"/>
          <w:sz w:val="14"/>
        </w:rPr>
        <w:t>Голупца </w:t>
      </w:r>
      <w:r>
        <w:rPr>
          <w:color w:val="231F20"/>
          <w:sz w:val="14"/>
        </w:rPr>
        <w:t>до ТЕ „Костолац Б, опреме и одвоз пепела, гипса и друго, Ehting, </w:t>
      </w:r>
      <w:r>
        <w:rPr>
          <w:color w:val="231F20"/>
          <w:spacing w:val="-4"/>
          <w:sz w:val="14"/>
        </w:rPr>
        <w:t>CIP, </w:t>
      </w:r>
      <w:r>
        <w:rPr>
          <w:color w:val="231F20"/>
          <w:sz w:val="14"/>
        </w:rPr>
        <w:t>Београд, </w:t>
      </w:r>
      <w:r>
        <w:rPr>
          <w:color w:val="231F20"/>
          <w:spacing w:val="-3"/>
          <w:sz w:val="14"/>
        </w:rPr>
        <w:t>2010.г.</w:t>
      </w:r>
    </w:p>
    <w:p>
      <w:pPr>
        <w:pStyle w:val="BodyText"/>
        <w:spacing w:line="232" w:lineRule="auto" w:before="73"/>
        <w:ind w:left="169" w:right="411"/>
      </w:pPr>
      <w:r>
        <w:rPr/>
        <w:br w:type="column"/>
      </w:r>
      <w:r>
        <w:rPr>
          <w:color w:val="231F20"/>
          <w:spacing w:val="-4"/>
        </w:rPr>
        <w:t>Уније </w:t>
      </w:r>
      <w:r>
        <w:rPr>
          <w:color w:val="231F20"/>
        </w:rPr>
        <w:t>за регион Дунава” </w:t>
      </w:r>
      <w:r>
        <w:rPr>
          <w:color w:val="231F20"/>
          <w:spacing w:val="-3"/>
        </w:rPr>
        <w:t>који </w:t>
      </w:r>
      <w:r>
        <w:rPr>
          <w:color w:val="231F20"/>
        </w:rPr>
        <w:t>је Влада </w:t>
      </w:r>
      <w:r>
        <w:rPr>
          <w:color w:val="231F20"/>
          <w:spacing w:val="-3"/>
        </w:rPr>
        <w:t>Републике </w:t>
      </w:r>
      <w:r>
        <w:rPr>
          <w:color w:val="231F20"/>
        </w:rPr>
        <w:t>Србије усвоји- ла 2010. године, као приоритетне до 2020. </w:t>
      </w:r>
      <w:r>
        <w:rPr>
          <w:color w:val="231F20"/>
          <w:spacing w:val="-3"/>
        </w:rPr>
        <w:t>године </w:t>
      </w:r>
      <w:r>
        <w:rPr>
          <w:color w:val="231F20"/>
        </w:rPr>
        <w:t>идентификоване су активности на развоју транспорта, енергетике и информацио- но-комуникационих технологија (ИКТ) дуж читавог тока Дунава. Наиме, у Подунављу су смештени највећи енергетски капацитети </w:t>
      </w:r>
      <w:r>
        <w:rPr>
          <w:color w:val="231F20"/>
          <w:spacing w:val="-3"/>
        </w:rPr>
        <w:t>Републике </w:t>
      </w:r>
      <w:r>
        <w:rPr>
          <w:color w:val="231F20"/>
        </w:rPr>
        <w:t>Србије (ТЕ Костолац), као и значајне </w:t>
      </w:r>
      <w:r>
        <w:rPr>
          <w:color w:val="231F20"/>
          <w:spacing w:val="-3"/>
        </w:rPr>
        <w:t>количине </w:t>
      </w:r>
      <w:r>
        <w:rPr>
          <w:color w:val="231F20"/>
        </w:rPr>
        <w:t>мине- ралних сировина, пре свега лигнита. </w:t>
      </w:r>
      <w:r>
        <w:rPr>
          <w:color w:val="231F20"/>
          <w:spacing w:val="-5"/>
        </w:rPr>
        <w:t>Ту </w:t>
      </w:r>
      <w:r>
        <w:rPr>
          <w:color w:val="231F20"/>
        </w:rPr>
        <w:t>се налазе и објекти енер- гетске мрежне инфраструктуре што укључује гасоводе високог притиска, део Јадранског нафтовода и далеководе за пренос елек- тричне енергије </w:t>
      </w:r>
      <w:r>
        <w:rPr>
          <w:color w:val="231F20"/>
          <w:spacing w:val="-3"/>
        </w:rPr>
        <w:t>који </w:t>
      </w:r>
      <w:r>
        <w:rPr>
          <w:color w:val="231F20"/>
        </w:rPr>
        <w:t>су </w:t>
      </w:r>
      <w:r>
        <w:rPr>
          <w:color w:val="231F20"/>
          <w:spacing w:val="-3"/>
        </w:rPr>
        <w:t>од </w:t>
      </w:r>
      <w:r>
        <w:rPr>
          <w:color w:val="231F20"/>
        </w:rPr>
        <w:t>ширег регионалног</w:t>
      </w:r>
      <w:r>
        <w:rPr>
          <w:color w:val="231F20"/>
          <w:spacing w:val="-1"/>
        </w:rPr>
        <w:t> </w:t>
      </w:r>
      <w:r>
        <w:rPr>
          <w:color w:val="231F20"/>
        </w:rPr>
        <w:t>значаја.</w:t>
      </w:r>
    </w:p>
    <w:p>
      <w:pPr>
        <w:pStyle w:val="BodyText"/>
        <w:spacing w:line="232" w:lineRule="auto"/>
        <w:ind w:left="169" w:right="411" w:firstLine="397"/>
      </w:pPr>
      <w:r>
        <w:rPr>
          <w:color w:val="231F20"/>
        </w:rPr>
        <w:t>При том, у периоду након 2010. године приоритет је дат ре- витализацији и реконструкцији постојећих постројења (ТЕ „Ко- столац” А и Б), као и ширењу дистрибутивне мреже.</w:t>
      </w:r>
    </w:p>
    <w:p>
      <w:pPr>
        <w:pStyle w:val="BodyText"/>
        <w:spacing w:line="232" w:lineRule="auto"/>
        <w:ind w:left="168" w:right="411" w:firstLine="397"/>
      </w:pPr>
      <w:r>
        <w:rPr>
          <w:color w:val="231F20"/>
        </w:rPr>
        <w:t>У циљу стварања алтернатива за друмски транспорт робе стимулише се развој интермодалног транспорта. Терминали мо- рају бити стратешки пројектовани и лоцирани у близини укршта- ња важне транспортне инфраструктуре (друм – железница – река) уз флексибилност и могућност проширења у складу са потребама тржишта. </w:t>
      </w:r>
      <w:r>
        <w:rPr>
          <w:color w:val="231F20"/>
          <w:spacing w:val="-3"/>
        </w:rPr>
        <w:t>Приликом </w:t>
      </w:r>
      <w:r>
        <w:rPr>
          <w:color w:val="231F20"/>
        </w:rPr>
        <w:t>разматрања погодних локација за иницијал- ни развој терминала, у складу са праксом и захтевима </w:t>
      </w:r>
      <w:r>
        <w:rPr>
          <w:color w:val="231F20"/>
          <w:spacing w:val="-10"/>
        </w:rPr>
        <w:t>ЕУ, </w:t>
      </w:r>
      <w:r>
        <w:rPr>
          <w:color w:val="231F20"/>
        </w:rPr>
        <w:t>између осталог</w:t>
      </w:r>
      <w:r>
        <w:rPr>
          <w:color w:val="231F20"/>
          <w:spacing w:val="-6"/>
        </w:rPr>
        <w:t> </w:t>
      </w:r>
      <w:r>
        <w:rPr>
          <w:color w:val="231F20"/>
        </w:rPr>
        <w:t>треба</w:t>
      </w:r>
      <w:r>
        <w:rPr>
          <w:color w:val="231F20"/>
          <w:spacing w:val="-6"/>
        </w:rPr>
        <w:t> </w:t>
      </w:r>
      <w:r>
        <w:rPr>
          <w:color w:val="231F20"/>
        </w:rPr>
        <w:t>водити</w:t>
      </w:r>
      <w:r>
        <w:rPr>
          <w:color w:val="231F20"/>
          <w:spacing w:val="-6"/>
        </w:rPr>
        <w:t> </w:t>
      </w:r>
      <w:r>
        <w:rPr>
          <w:color w:val="231F20"/>
        </w:rPr>
        <w:t>рачуна</w:t>
      </w:r>
      <w:r>
        <w:rPr>
          <w:color w:val="231F20"/>
          <w:spacing w:val="-6"/>
        </w:rPr>
        <w:t> </w:t>
      </w:r>
      <w:r>
        <w:rPr>
          <w:color w:val="231F20"/>
        </w:rPr>
        <w:t>о</w:t>
      </w:r>
      <w:r>
        <w:rPr>
          <w:color w:val="231F20"/>
          <w:spacing w:val="-6"/>
        </w:rPr>
        <w:t> </w:t>
      </w:r>
      <w:r>
        <w:rPr>
          <w:color w:val="231F20"/>
        </w:rPr>
        <w:t>везама</w:t>
      </w:r>
      <w:r>
        <w:rPr>
          <w:color w:val="231F20"/>
          <w:spacing w:val="-6"/>
        </w:rPr>
        <w:t> </w:t>
      </w:r>
      <w:r>
        <w:rPr>
          <w:color w:val="231F20"/>
        </w:rPr>
        <w:t>са</w:t>
      </w:r>
      <w:r>
        <w:rPr>
          <w:color w:val="231F20"/>
          <w:spacing w:val="-6"/>
        </w:rPr>
        <w:t> </w:t>
      </w:r>
      <w:r>
        <w:rPr>
          <w:color w:val="231F20"/>
        </w:rPr>
        <w:t>железничком,</w:t>
      </w:r>
      <w:r>
        <w:rPr>
          <w:color w:val="231F20"/>
          <w:spacing w:val="-6"/>
        </w:rPr>
        <w:t> </w:t>
      </w:r>
      <w:r>
        <w:rPr>
          <w:color w:val="231F20"/>
          <w:spacing w:val="-3"/>
        </w:rPr>
        <w:t>друмском</w:t>
      </w:r>
      <w:r>
        <w:rPr>
          <w:color w:val="231F20"/>
          <w:spacing w:val="-6"/>
        </w:rPr>
        <w:t> </w:t>
      </w:r>
      <w:r>
        <w:rPr>
          <w:color w:val="231F20"/>
        </w:rPr>
        <w:t>и речном мрежом (Пан-Европски коридори VII и</w:t>
      </w:r>
      <w:r>
        <w:rPr>
          <w:color w:val="231F20"/>
          <w:spacing w:val="-13"/>
        </w:rPr>
        <w:t> </w:t>
      </w:r>
      <w:r>
        <w:rPr>
          <w:color w:val="231F20"/>
        </w:rPr>
        <w:t>X).</w:t>
      </w:r>
    </w:p>
    <w:p>
      <w:pPr>
        <w:pStyle w:val="BodyText"/>
        <w:spacing w:line="232" w:lineRule="auto"/>
        <w:ind w:left="168" w:right="411" w:firstLine="397"/>
      </w:pPr>
      <w:r>
        <w:rPr>
          <w:color w:val="231F20"/>
          <w:spacing w:val="-3"/>
        </w:rPr>
        <w:t>Иако</w:t>
      </w:r>
      <w:r>
        <w:rPr>
          <w:color w:val="231F20"/>
          <w:spacing w:val="-9"/>
        </w:rPr>
        <w:t> </w:t>
      </w:r>
      <w:r>
        <w:rPr>
          <w:color w:val="231F20"/>
        </w:rPr>
        <w:t>су</w:t>
      </w:r>
      <w:r>
        <w:rPr>
          <w:color w:val="231F20"/>
          <w:spacing w:val="-9"/>
        </w:rPr>
        <w:t> </w:t>
      </w:r>
      <w:r>
        <w:rPr>
          <w:color w:val="231F20"/>
        </w:rPr>
        <w:t>у</w:t>
      </w:r>
      <w:r>
        <w:rPr>
          <w:color w:val="231F20"/>
          <w:spacing w:val="-9"/>
        </w:rPr>
        <w:t> </w:t>
      </w:r>
      <w:r>
        <w:rPr>
          <w:color w:val="231F20"/>
        </w:rPr>
        <w:t>Акционом</w:t>
      </w:r>
      <w:r>
        <w:rPr>
          <w:color w:val="231F20"/>
          <w:spacing w:val="-9"/>
        </w:rPr>
        <w:t> </w:t>
      </w:r>
      <w:r>
        <w:rPr>
          <w:color w:val="231F20"/>
        </w:rPr>
        <w:t>плану</w:t>
      </w:r>
      <w:r>
        <w:rPr>
          <w:color w:val="231F20"/>
          <w:spacing w:val="-9"/>
        </w:rPr>
        <w:t> </w:t>
      </w:r>
      <w:r>
        <w:rPr>
          <w:color w:val="231F20"/>
        </w:rPr>
        <w:t>идентификована</w:t>
      </w:r>
      <w:r>
        <w:rPr>
          <w:color w:val="231F20"/>
          <w:spacing w:val="-9"/>
        </w:rPr>
        <w:t> </w:t>
      </w:r>
      <w:r>
        <w:rPr>
          <w:color w:val="231F20"/>
        </w:rPr>
        <w:t>само</w:t>
      </w:r>
      <w:r>
        <w:rPr>
          <w:color w:val="231F20"/>
          <w:spacing w:val="-9"/>
        </w:rPr>
        <w:t> </w:t>
      </w:r>
      <w:r>
        <w:rPr>
          <w:color w:val="231F20"/>
        </w:rPr>
        <w:t>четири</w:t>
      </w:r>
      <w:r>
        <w:rPr>
          <w:color w:val="231F20"/>
          <w:spacing w:val="-9"/>
        </w:rPr>
        <w:t> </w:t>
      </w:r>
      <w:r>
        <w:rPr>
          <w:color w:val="231F20"/>
        </w:rPr>
        <w:t>про- јекта уређења речних терминала, наведени документи и њихове претпоставке дају јасан стратешки оквир успостављању робног пристаништа за </w:t>
      </w:r>
      <w:r>
        <w:rPr>
          <w:color w:val="231F20"/>
          <w:spacing w:val="-3"/>
        </w:rPr>
        <w:t>које </w:t>
      </w:r>
      <w:r>
        <w:rPr>
          <w:color w:val="231F20"/>
        </w:rPr>
        <w:t>одговарајућом </w:t>
      </w:r>
      <w:r>
        <w:rPr>
          <w:color w:val="231F20"/>
          <w:spacing w:val="-3"/>
        </w:rPr>
        <w:t>студијском </w:t>
      </w:r>
      <w:r>
        <w:rPr>
          <w:color w:val="231F20"/>
        </w:rPr>
        <w:t>документацијом треба доказати оправданост</w:t>
      </w:r>
      <w:r>
        <w:rPr>
          <w:color w:val="231F20"/>
          <w:spacing w:val="-2"/>
        </w:rPr>
        <w:t> </w:t>
      </w:r>
      <w:r>
        <w:rPr>
          <w:color w:val="231F20"/>
        </w:rPr>
        <w:t>изградње.</w:t>
      </w:r>
    </w:p>
    <w:p>
      <w:pPr>
        <w:pStyle w:val="BodyText"/>
        <w:spacing w:line="232" w:lineRule="auto"/>
        <w:ind w:left="168" w:right="412" w:firstLine="396"/>
      </w:pPr>
      <w:r>
        <w:rPr>
          <w:color w:val="231F20"/>
        </w:rPr>
        <w:t>Просторни план Републике Србије предвиђа, такође, могућ- ност изградње робних и путничких пристаништа на овим просто- рима.</w:t>
      </w:r>
    </w:p>
    <w:p>
      <w:pPr>
        <w:pStyle w:val="ListParagraph"/>
        <w:numPr>
          <w:ilvl w:val="2"/>
          <w:numId w:val="52"/>
        </w:numPr>
        <w:tabs>
          <w:tab w:pos="1326" w:val="left" w:leader="none"/>
        </w:tabs>
        <w:spacing w:line="240" w:lineRule="auto" w:before="162" w:after="0"/>
        <w:ind w:left="1325" w:right="0" w:hanging="315"/>
        <w:jc w:val="left"/>
        <w:rPr>
          <w:i/>
          <w:sz w:val="18"/>
        </w:rPr>
      </w:pPr>
      <w:r>
        <w:rPr>
          <w:i/>
          <w:color w:val="231F20"/>
          <w:sz w:val="18"/>
        </w:rPr>
        <w:t>Намена и просторни обухват</w:t>
      </w:r>
      <w:r>
        <w:rPr>
          <w:i/>
          <w:color w:val="231F20"/>
          <w:spacing w:val="-4"/>
          <w:sz w:val="18"/>
        </w:rPr>
        <w:t> </w:t>
      </w:r>
      <w:r>
        <w:rPr>
          <w:i/>
          <w:color w:val="231F20"/>
          <w:spacing w:val="-3"/>
          <w:sz w:val="18"/>
        </w:rPr>
        <w:t>комплекса</w:t>
      </w:r>
    </w:p>
    <w:p>
      <w:pPr>
        <w:pStyle w:val="BodyText"/>
        <w:spacing w:before="4"/>
        <w:ind w:left="0"/>
        <w:jc w:val="left"/>
        <w:rPr>
          <w:i/>
          <w:sz w:val="17"/>
        </w:rPr>
      </w:pPr>
    </w:p>
    <w:p>
      <w:pPr>
        <w:pStyle w:val="BodyText"/>
        <w:spacing w:line="232" w:lineRule="auto"/>
        <w:ind w:left="169" w:right="411" w:firstLine="396"/>
      </w:pPr>
      <w:r>
        <w:rPr>
          <w:color w:val="231F20"/>
        </w:rPr>
        <w:t>Комплекс термоелектране „Костолац А”, ограђене површине око 18 ha, поред главних, помоћних и пратећих објеката и депо- није угља, обухвата интерне саобраћајнице (пожарни пут) са ин- сталацијама, техничком инфраструктуром и прикључцима на ко- муналну инфраструктуру и јавне саобраћајнице.</w:t>
      </w:r>
    </w:p>
    <w:p>
      <w:pPr>
        <w:pStyle w:val="BodyText"/>
        <w:spacing w:line="232" w:lineRule="auto"/>
        <w:ind w:left="169" w:right="411" w:firstLine="397"/>
      </w:pPr>
      <w:r>
        <w:rPr>
          <w:color w:val="231F20"/>
        </w:rPr>
        <w:t>Канали</w:t>
      </w:r>
      <w:r>
        <w:rPr>
          <w:color w:val="231F20"/>
          <w:spacing w:val="-8"/>
        </w:rPr>
        <w:t> </w:t>
      </w:r>
      <w:r>
        <w:rPr>
          <w:color w:val="231F20"/>
        </w:rPr>
        <w:t>расхладне</w:t>
      </w:r>
      <w:r>
        <w:rPr>
          <w:color w:val="231F20"/>
          <w:spacing w:val="-8"/>
        </w:rPr>
        <w:t> </w:t>
      </w:r>
      <w:r>
        <w:rPr>
          <w:color w:val="231F20"/>
        </w:rPr>
        <w:t>и</w:t>
      </w:r>
      <w:r>
        <w:rPr>
          <w:color w:val="231F20"/>
          <w:spacing w:val="-8"/>
        </w:rPr>
        <w:t> </w:t>
      </w:r>
      <w:r>
        <w:rPr>
          <w:color w:val="231F20"/>
        </w:rPr>
        <w:t>топле</w:t>
      </w:r>
      <w:r>
        <w:rPr>
          <w:color w:val="231F20"/>
          <w:spacing w:val="-8"/>
        </w:rPr>
        <w:t> </w:t>
      </w:r>
      <w:r>
        <w:rPr>
          <w:color w:val="231F20"/>
        </w:rPr>
        <w:t>воде</w:t>
      </w:r>
      <w:r>
        <w:rPr>
          <w:color w:val="231F20"/>
          <w:spacing w:val="-8"/>
        </w:rPr>
        <w:t> </w:t>
      </w:r>
      <w:r>
        <w:rPr>
          <w:color w:val="231F20"/>
        </w:rPr>
        <w:t>и</w:t>
      </w:r>
      <w:r>
        <w:rPr>
          <w:color w:val="231F20"/>
          <w:spacing w:val="-8"/>
        </w:rPr>
        <w:t> </w:t>
      </w:r>
      <w:r>
        <w:rPr>
          <w:color w:val="231F20"/>
        </w:rPr>
        <w:t>депонија</w:t>
      </w:r>
      <w:r>
        <w:rPr>
          <w:color w:val="231F20"/>
          <w:spacing w:val="-8"/>
        </w:rPr>
        <w:t> </w:t>
      </w:r>
      <w:r>
        <w:rPr>
          <w:color w:val="231F20"/>
        </w:rPr>
        <w:t>пепела</w:t>
      </w:r>
      <w:r>
        <w:rPr>
          <w:color w:val="231F20"/>
          <w:spacing w:val="-8"/>
        </w:rPr>
        <w:t> </w:t>
      </w:r>
      <w:r>
        <w:rPr>
          <w:color w:val="231F20"/>
        </w:rPr>
        <w:t>и</w:t>
      </w:r>
      <w:r>
        <w:rPr>
          <w:color w:val="231F20"/>
          <w:spacing w:val="-8"/>
        </w:rPr>
        <w:t> </w:t>
      </w:r>
      <w:r>
        <w:rPr>
          <w:color w:val="231F20"/>
        </w:rPr>
        <w:t>шљаке</w:t>
      </w:r>
      <w:r>
        <w:rPr>
          <w:color w:val="231F20"/>
          <w:spacing w:val="-8"/>
        </w:rPr>
        <w:t> </w:t>
      </w:r>
      <w:r>
        <w:rPr>
          <w:color w:val="231F20"/>
        </w:rPr>
        <w:t>на Средњем </w:t>
      </w:r>
      <w:r>
        <w:rPr>
          <w:color w:val="231F20"/>
          <w:spacing w:val="-4"/>
        </w:rPr>
        <w:t>костолачком острву, </w:t>
      </w:r>
      <w:r>
        <w:rPr>
          <w:color w:val="231F20"/>
        </w:rPr>
        <w:t>важни су објекти за функционисање термоелектране.</w:t>
      </w:r>
    </w:p>
    <w:p>
      <w:pPr>
        <w:pStyle w:val="BodyText"/>
        <w:spacing w:line="232" w:lineRule="auto"/>
        <w:ind w:left="169" w:right="411" w:firstLine="396"/>
      </w:pPr>
      <w:r>
        <w:rPr>
          <w:color w:val="231F20"/>
        </w:rPr>
        <w:t>Дунавац је рукавац Дунава на </w:t>
      </w:r>
      <w:r>
        <w:rPr>
          <w:color w:val="231F20"/>
          <w:spacing w:val="-4"/>
        </w:rPr>
        <w:t>Костолачком </w:t>
      </w:r>
      <w:r>
        <w:rPr>
          <w:color w:val="231F20"/>
        </w:rPr>
        <w:t>делу његовог то- ка, дужине </w:t>
      </w:r>
      <w:r>
        <w:rPr>
          <w:color w:val="231F20"/>
          <w:spacing w:val="-4"/>
        </w:rPr>
        <w:t>око </w:t>
      </w:r>
      <w:r>
        <w:rPr>
          <w:color w:val="231F20"/>
        </w:rPr>
        <w:t>15 km, </w:t>
      </w:r>
      <w:r>
        <w:rPr>
          <w:color w:val="231F20"/>
          <w:spacing w:val="-3"/>
        </w:rPr>
        <w:t>који </w:t>
      </w:r>
      <w:r>
        <w:rPr>
          <w:color w:val="231F20"/>
        </w:rPr>
        <w:t>је пресечен каналом расхладне воде за ТЕ</w:t>
      </w:r>
      <w:r>
        <w:rPr>
          <w:color w:val="231F20"/>
          <w:spacing w:val="-8"/>
        </w:rPr>
        <w:t> </w:t>
      </w:r>
      <w:r>
        <w:rPr>
          <w:color w:val="231F20"/>
        </w:rPr>
        <w:t>„Костолац</w:t>
      </w:r>
      <w:r>
        <w:rPr>
          <w:color w:val="231F20"/>
          <w:spacing w:val="-8"/>
        </w:rPr>
        <w:t> </w:t>
      </w:r>
      <w:r>
        <w:rPr>
          <w:color w:val="231F20"/>
        </w:rPr>
        <w:t>А”</w:t>
      </w:r>
      <w:r>
        <w:rPr>
          <w:color w:val="231F20"/>
          <w:spacing w:val="-8"/>
        </w:rPr>
        <w:t> </w:t>
      </w:r>
      <w:r>
        <w:rPr>
          <w:color w:val="231F20"/>
        </w:rPr>
        <w:t>и</w:t>
      </w:r>
      <w:r>
        <w:rPr>
          <w:color w:val="231F20"/>
          <w:spacing w:val="-8"/>
        </w:rPr>
        <w:t> </w:t>
      </w:r>
      <w:r>
        <w:rPr>
          <w:color w:val="231F20"/>
        </w:rPr>
        <w:t>измештеним</w:t>
      </w:r>
      <w:r>
        <w:rPr>
          <w:color w:val="231F20"/>
          <w:spacing w:val="-8"/>
        </w:rPr>
        <w:t> </w:t>
      </w:r>
      <w:r>
        <w:rPr>
          <w:color w:val="231F20"/>
          <w:spacing w:val="-3"/>
        </w:rPr>
        <w:t>коритом</w:t>
      </w:r>
      <w:r>
        <w:rPr>
          <w:color w:val="231F20"/>
          <w:spacing w:val="-8"/>
        </w:rPr>
        <w:t> </w:t>
      </w:r>
      <w:r>
        <w:rPr>
          <w:color w:val="231F20"/>
        </w:rPr>
        <w:t>Млаве</w:t>
      </w:r>
      <w:r>
        <w:rPr>
          <w:color w:val="231F20"/>
          <w:spacing w:val="-8"/>
        </w:rPr>
        <w:t> </w:t>
      </w:r>
      <w:r>
        <w:rPr>
          <w:color w:val="231F20"/>
        </w:rPr>
        <w:t>(канали</w:t>
      </w:r>
      <w:r>
        <w:rPr>
          <w:color w:val="231F20"/>
          <w:spacing w:val="-8"/>
        </w:rPr>
        <w:t> </w:t>
      </w:r>
      <w:r>
        <w:rPr>
          <w:color w:val="231F20"/>
        </w:rPr>
        <w:t>расхладне и</w:t>
      </w:r>
      <w:r>
        <w:rPr>
          <w:color w:val="231F20"/>
          <w:spacing w:val="-4"/>
        </w:rPr>
        <w:t> </w:t>
      </w:r>
      <w:r>
        <w:rPr>
          <w:color w:val="231F20"/>
        </w:rPr>
        <w:t>топле</w:t>
      </w:r>
      <w:r>
        <w:rPr>
          <w:color w:val="231F20"/>
          <w:spacing w:val="-3"/>
        </w:rPr>
        <w:t> </w:t>
      </w:r>
      <w:r>
        <w:rPr>
          <w:color w:val="231F20"/>
        </w:rPr>
        <w:t>воде</w:t>
      </w:r>
      <w:r>
        <w:rPr>
          <w:color w:val="231F20"/>
          <w:spacing w:val="-4"/>
        </w:rPr>
        <w:t> </w:t>
      </w:r>
      <w:r>
        <w:rPr>
          <w:color w:val="231F20"/>
        </w:rPr>
        <w:t>за</w:t>
      </w:r>
      <w:r>
        <w:rPr>
          <w:color w:val="231F20"/>
          <w:spacing w:val="-4"/>
        </w:rPr>
        <w:t> </w:t>
      </w:r>
      <w:r>
        <w:rPr>
          <w:color w:val="231F20"/>
        </w:rPr>
        <w:t>ТЕ</w:t>
      </w:r>
      <w:r>
        <w:rPr>
          <w:color w:val="231F20"/>
          <w:spacing w:val="-4"/>
        </w:rPr>
        <w:t> </w:t>
      </w:r>
      <w:r>
        <w:rPr>
          <w:color w:val="231F20"/>
        </w:rPr>
        <w:t>„Костолац</w:t>
      </w:r>
      <w:r>
        <w:rPr>
          <w:color w:val="231F20"/>
          <w:spacing w:val="-4"/>
        </w:rPr>
        <w:t> </w:t>
      </w:r>
      <w:r>
        <w:rPr>
          <w:color w:val="231F20"/>
        </w:rPr>
        <w:t>Б”),</w:t>
      </w:r>
      <w:r>
        <w:rPr>
          <w:color w:val="231F20"/>
          <w:spacing w:val="-4"/>
        </w:rPr>
        <w:t> </w:t>
      </w:r>
      <w:r>
        <w:rPr>
          <w:color w:val="231F20"/>
        </w:rPr>
        <w:t>а</w:t>
      </w:r>
      <w:r>
        <w:rPr>
          <w:color w:val="231F20"/>
          <w:spacing w:val="-4"/>
        </w:rPr>
        <w:t> </w:t>
      </w:r>
      <w:r>
        <w:rPr>
          <w:color w:val="231F20"/>
        </w:rPr>
        <w:t>на</w:t>
      </w:r>
      <w:r>
        <w:rPr>
          <w:color w:val="231F20"/>
          <w:spacing w:val="-4"/>
        </w:rPr>
        <w:t> </w:t>
      </w:r>
      <w:r>
        <w:rPr>
          <w:color w:val="231F20"/>
        </w:rPr>
        <w:t>тај</w:t>
      </w:r>
      <w:r>
        <w:rPr>
          <w:color w:val="231F20"/>
          <w:spacing w:val="-4"/>
        </w:rPr>
        <w:t> </w:t>
      </w:r>
      <w:r>
        <w:rPr>
          <w:color w:val="231F20"/>
        </w:rPr>
        <w:t>начин</w:t>
      </w:r>
      <w:r>
        <w:rPr>
          <w:color w:val="231F20"/>
          <w:spacing w:val="-4"/>
        </w:rPr>
        <w:t> </w:t>
      </w:r>
      <w:r>
        <w:rPr>
          <w:color w:val="231F20"/>
        </w:rPr>
        <w:t>формирано</w:t>
      </w:r>
      <w:r>
        <w:rPr>
          <w:color w:val="231F20"/>
          <w:spacing w:val="-4"/>
        </w:rPr>
        <w:t> </w:t>
      </w:r>
      <w:r>
        <w:rPr>
          <w:color w:val="231F20"/>
        </w:rPr>
        <w:t>је</w:t>
      </w:r>
      <w:r>
        <w:rPr>
          <w:color w:val="231F20"/>
          <w:spacing w:val="-4"/>
        </w:rPr>
        <w:t> </w:t>
      </w:r>
      <w:r>
        <w:rPr>
          <w:color w:val="231F20"/>
        </w:rPr>
        <w:t>До- ње, Средње и </w:t>
      </w:r>
      <w:r>
        <w:rPr>
          <w:color w:val="231F20"/>
          <w:spacing w:val="-4"/>
        </w:rPr>
        <w:t>Горње костолачко </w:t>
      </w:r>
      <w:r>
        <w:rPr>
          <w:color w:val="231F20"/>
        </w:rPr>
        <w:t>острво. Низводно, на делу „Кипе Дунавац”, канал је делимично насут јаловином. Ниво воде у Ду- навцу се одржава на </w:t>
      </w:r>
      <w:r>
        <w:rPr>
          <w:color w:val="231F20"/>
          <w:spacing w:val="-4"/>
        </w:rPr>
        <w:t>коти </w:t>
      </w:r>
      <w:r>
        <w:rPr>
          <w:color w:val="231F20"/>
        </w:rPr>
        <w:t>67,20 mнм </w:t>
      </w:r>
      <w:r>
        <w:rPr>
          <w:color w:val="231F20"/>
          <w:spacing w:val="-3"/>
        </w:rPr>
        <w:t>преко </w:t>
      </w:r>
      <w:r>
        <w:rPr>
          <w:color w:val="231F20"/>
        </w:rPr>
        <w:t>рада црпних</w:t>
      </w:r>
      <w:r>
        <w:rPr>
          <w:color w:val="231F20"/>
          <w:spacing w:val="-8"/>
        </w:rPr>
        <w:t> </w:t>
      </w:r>
      <w:r>
        <w:rPr>
          <w:color w:val="231F20"/>
        </w:rPr>
        <w:t>станица.</w:t>
      </w:r>
    </w:p>
    <w:p>
      <w:pPr>
        <w:pStyle w:val="BodyText"/>
        <w:spacing w:line="232" w:lineRule="auto"/>
        <w:ind w:left="169" w:right="411" w:firstLine="397"/>
      </w:pPr>
      <w:r>
        <w:rPr>
          <w:color w:val="231F20"/>
        </w:rPr>
        <w:t>Што се тиче одлагања пепела, а с обзиром на ограничени просторни и еколошки капацитет депоније „Средње </w:t>
      </w:r>
      <w:r>
        <w:rPr>
          <w:color w:val="231F20"/>
          <w:spacing w:val="-4"/>
        </w:rPr>
        <w:t>костолачко </w:t>
      </w:r>
      <w:r>
        <w:rPr>
          <w:color w:val="231F20"/>
        </w:rPr>
        <w:t>острво”, кроз одговарајуће просторне и техничке анализе, размо- трена је могућност транспорта пепела на нову депонију изграђену за потребе ТЕ „Костолац Б” на простору </w:t>
      </w:r>
      <w:r>
        <w:rPr>
          <w:color w:val="231F20"/>
          <w:spacing w:val="-3"/>
        </w:rPr>
        <w:t>копа </w:t>
      </w:r>
      <w:r>
        <w:rPr>
          <w:color w:val="231F20"/>
          <w:spacing w:val="-4"/>
        </w:rPr>
        <w:t>„Ћириковац” </w:t>
      </w:r>
      <w:r>
        <w:rPr>
          <w:color w:val="231F20"/>
        </w:rPr>
        <w:t>и усво- јена нова концепција транспорта и одлагања пепела и шљаке.</w:t>
      </w:r>
    </w:p>
    <w:p>
      <w:pPr>
        <w:pStyle w:val="BodyText"/>
        <w:spacing w:line="232" w:lineRule="auto"/>
        <w:ind w:left="169" w:right="411" w:firstLine="396"/>
      </w:pPr>
      <w:r>
        <w:rPr>
          <w:color w:val="231F20"/>
        </w:rPr>
        <w:t>Непосредно уз локацију Термоелектране и делимично дуж обале Костолачког канала (канала расхладне воде) према насељу</w:t>
      </w:r>
    </w:p>
    <w:p>
      <w:pPr>
        <w:pStyle w:val="BodyText"/>
        <w:spacing w:line="232" w:lineRule="auto"/>
        <w:ind w:left="169" w:right="411"/>
      </w:pPr>
      <w:r>
        <w:rPr>
          <w:color w:val="231F20"/>
        </w:rPr>
        <w:t>„Канал”, као и на делу Дунавца, планирано је уређење индустриј- ског пристаништа базенског типа за потребе ПД ТЕ-КО „Косто- лац”, тако да тзв. лучко подручје, односно, подручје пристаништа одређено за пристајање бродова на којем се обавља утовар, исто- вар, привремено ускладиштење и друге манипулације робом, као и укрцај и искрцај робе у првој фази изградње за потребе ТЕ - КО</w:t>
      </w:r>
    </w:p>
    <w:p>
      <w:pPr>
        <w:pStyle w:val="BodyText"/>
        <w:spacing w:line="198" w:lineRule="exact"/>
        <w:ind w:left="169"/>
        <w:jc w:val="left"/>
      </w:pPr>
      <w:r>
        <w:rPr>
          <w:color w:val="231F20"/>
        </w:rPr>
        <w:t>„Костолац” обухвата 7,40 ha.</w:t>
      </w:r>
    </w:p>
    <w:p>
      <w:pPr>
        <w:pStyle w:val="BodyText"/>
        <w:spacing w:line="232" w:lineRule="auto"/>
        <w:ind w:left="169" w:right="411" w:firstLine="396"/>
      </w:pPr>
      <w:r>
        <w:rPr>
          <w:color w:val="231F20"/>
        </w:rPr>
        <w:t>На овој површини успоставиће се посебан режим контроле доласка и одласка пловила, као и </w:t>
      </w:r>
      <w:r>
        <w:rPr>
          <w:color w:val="231F20"/>
          <w:spacing w:val="-3"/>
        </w:rPr>
        <w:t>уласка </w:t>
      </w:r>
      <w:r>
        <w:rPr>
          <w:color w:val="231F20"/>
        </w:rPr>
        <w:t>и изласка возила и лица. Акваторија пристаништа обухвата навигациони и оперативни</w:t>
      </w:r>
      <w:r>
        <w:rPr>
          <w:color w:val="231F20"/>
          <w:spacing w:val="-29"/>
        </w:rPr>
        <w:t> </w:t>
      </w:r>
      <w:r>
        <w:rPr>
          <w:color w:val="231F20"/>
        </w:rPr>
        <w:t>део, а чине је </w:t>
      </w:r>
      <w:r>
        <w:rPr>
          <w:color w:val="231F20"/>
          <w:spacing w:val="-3"/>
        </w:rPr>
        <w:t>Костолачки </w:t>
      </w:r>
      <w:r>
        <w:rPr>
          <w:color w:val="231F20"/>
        </w:rPr>
        <w:t>канал и базенски део у </w:t>
      </w:r>
      <w:r>
        <w:rPr>
          <w:color w:val="231F20"/>
          <w:spacing w:val="-3"/>
        </w:rPr>
        <w:t>Дунавцу. </w:t>
      </w:r>
      <w:r>
        <w:rPr>
          <w:color w:val="231F20"/>
        </w:rPr>
        <w:t>Сидриште се формира изван акваторије</w:t>
      </w:r>
      <w:r>
        <w:rPr>
          <w:color w:val="231F20"/>
          <w:spacing w:val="-2"/>
        </w:rPr>
        <w:t> </w:t>
      </w:r>
      <w:r>
        <w:rPr>
          <w:color w:val="231F20"/>
        </w:rPr>
        <w:t>пристаништа.</w:t>
      </w:r>
    </w:p>
    <w:p>
      <w:pPr>
        <w:pStyle w:val="BodyText"/>
        <w:spacing w:line="232" w:lineRule="auto"/>
        <w:ind w:right="410" w:firstLine="396"/>
      </w:pPr>
      <w:r>
        <w:rPr>
          <w:color w:val="231F20"/>
        </w:rPr>
        <w:t>Саобраћајна</w:t>
      </w:r>
      <w:r>
        <w:rPr>
          <w:color w:val="231F20"/>
          <w:spacing w:val="-10"/>
        </w:rPr>
        <w:t> </w:t>
      </w:r>
      <w:r>
        <w:rPr>
          <w:color w:val="231F20"/>
        </w:rPr>
        <w:t>доступност</w:t>
      </w:r>
      <w:r>
        <w:rPr>
          <w:color w:val="231F20"/>
          <w:spacing w:val="-10"/>
        </w:rPr>
        <w:t> </w:t>
      </w:r>
      <w:r>
        <w:rPr>
          <w:color w:val="231F20"/>
        </w:rPr>
        <w:t>саме</w:t>
      </w:r>
      <w:r>
        <w:rPr>
          <w:color w:val="231F20"/>
          <w:spacing w:val="-10"/>
        </w:rPr>
        <w:t> </w:t>
      </w:r>
      <w:r>
        <w:rPr>
          <w:color w:val="231F20"/>
          <w:spacing w:val="-3"/>
        </w:rPr>
        <w:t>локације</w:t>
      </w:r>
      <w:r>
        <w:rPr>
          <w:color w:val="231F20"/>
          <w:spacing w:val="-10"/>
        </w:rPr>
        <w:t> </w:t>
      </w:r>
      <w:r>
        <w:rPr>
          <w:color w:val="231F20"/>
        </w:rPr>
        <w:t>и</w:t>
      </w:r>
      <w:r>
        <w:rPr>
          <w:color w:val="231F20"/>
          <w:spacing w:val="-10"/>
        </w:rPr>
        <w:t> </w:t>
      </w:r>
      <w:r>
        <w:rPr>
          <w:color w:val="231F20"/>
          <w:spacing w:val="-3"/>
        </w:rPr>
        <w:t>суседног</w:t>
      </w:r>
      <w:r>
        <w:rPr>
          <w:color w:val="231F20"/>
          <w:spacing w:val="-10"/>
        </w:rPr>
        <w:t> </w:t>
      </w:r>
      <w:r>
        <w:rPr>
          <w:color w:val="231F20"/>
        </w:rPr>
        <w:t>насеља</w:t>
      </w:r>
      <w:r>
        <w:rPr>
          <w:color w:val="231F20"/>
          <w:spacing w:val="-10"/>
        </w:rPr>
        <w:t> </w:t>
      </w:r>
      <w:r>
        <w:rPr>
          <w:color w:val="231F20"/>
          <w:spacing w:val="-3"/>
        </w:rPr>
        <w:t>„Ка- </w:t>
      </w:r>
      <w:r>
        <w:rPr>
          <w:color w:val="231F20"/>
        </w:rPr>
        <w:t>нал”, </w:t>
      </w:r>
      <w:r>
        <w:rPr>
          <w:color w:val="231F20"/>
          <w:spacing w:val="-3"/>
        </w:rPr>
        <w:t>као </w:t>
      </w:r>
      <w:r>
        <w:rPr>
          <w:color w:val="231F20"/>
        </w:rPr>
        <w:t>и обале </w:t>
      </w:r>
      <w:r>
        <w:rPr>
          <w:color w:val="231F20"/>
          <w:spacing w:val="-3"/>
        </w:rPr>
        <w:t>Дунава </w:t>
      </w:r>
      <w:r>
        <w:rPr>
          <w:color w:val="231F20"/>
        </w:rPr>
        <w:t>са садржајима у </w:t>
      </w:r>
      <w:r>
        <w:rPr>
          <w:color w:val="231F20"/>
          <w:spacing w:val="-4"/>
        </w:rPr>
        <w:t>приобаљу, </w:t>
      </w:r>
      <w:r>
        <w:rPr>
          <w:color w:val="231F20"/>
          <w:spacing w:val="-3"/>
        </w:rPr>
        <w:t>обезбеђује </w:t>
      </w:r>
      <w:r>
        <w:rPr>
          <w:color w:val="231F20"/>
        </w:rPr>
        <w:t>се успостављањем нових </w:t>
      </w:r>
      <w:r>
        <w:rPr>
          <w:color w:val="231F20"/>
          <w:spacing w:val="-3"/>
        </w:rPr>
        <w:t>приступних </w:t>
      </w:r>
      <w:r>
        <w:rPr>
          <w:color w:val="231F20"/>
        </w:rPr>
        <w:t>саобраћајница на делу </w:t>
      </w:r>
      <w:r>
        <w:rPr>
          <w:color w:val="231F20"/>
          <w:spacing w:val="-3"/>
        </w:rPr>
        <w:t>некада- </w:t>
      </w:r>
      <w:r>
        <w:rPr>
          <w:color w:val="231F20"/>
        </w:rPr>
        <w:t>шњег јаловишта „Кипа </w:t>
      </w:r>
      <w:r>
        <w:rPr>
          <w:color w:val="231F20"/>
          <w:spacing w:val="-3"/>
        </w:rPr>
        <w:t>Дунавац”, односно реконструкцијом </w:t>
      </w:r>
      <w:r>
        <w:rPr>
          <w:color w:val="231F20"/>
        </w:rPr>
        <w:t>посто- јеће</w:t>
      </w:r>
      <w:r>
        <w:rPr>
          <w:color w:val="231F20"/>
          <w:spacing w:val="-7"/>
        </w:rPr>
        <w:t> </w:t>
      </w:r>
      <w:r>
        <w:rPr>
          <w:color w:val="231F20"/>
        </w:rPr>
        <w:t>раскрснице</w:t>
      </w:r>
      <w:r>
        <w:rPr>
          <w:color w:val="231F20"/>
          <w:spacing w:val="-7"/>
        </w:rPr>
        <w:t> </w:t>
      </w:r>
      <w:r>
        <w:rPr>
          <w:color w:val="231F20"/>
        </w:rPr>
        <w:t>у</w:t>
      </w:r>
      <w:r>
        <w:rPr>
          <w:color w:val="231F20"/>
          <w:spacing w:val="-7"/>
        </w:rPr>
        <w:t> </w:t>
      </w:r>
      <w:r>
        <w:rPr>
          <w:color w:val="231F20"/>
        </w:rPr>
        <w:t>зони</w:t>
      </w:r>
      <w:r>
        <w:rPr>
          <w:color w:val="231F20"/>
          <w:spacing w:val="-7"/>
        </w:rPr>
        <w:t> </w:t>
      </w:r>
      <w:r>
        <w:rPr>
          <w:color w:val="231F20"/>
        </w:rPr>
        <w:t>„Расадника”</w:t>
      </w:r>
      <w:r>
        <w:rPr>
          <w:color w:val="231F20"/>
          <w:spacing w:val="-7"/>
        </w:rPr>
        <w:t> </w:t>
      </w:r>
      <w:r>
        <w:rPr>
          <w:color w:val="231F20"/>
        </w:rPr>
        <w:t>на</w:t>
      </w:r>
      <w:r>
        <w:rPr>
          <w:color w:val="231F20"/>
          <w:spacing w:val="-7"/>
        </w:rPr>
        <w:t> </w:t>
      </w:r>
      <w:r>
        <w:rPr>
          <w:color w:val="231F20"/>
        </w:rPr>
        <w:t>траси</w:t>
      </w:r>
      <w:r>
        <w:rPr>
          <w:color w:val="231F20"/>
          <w:spacing w:val="-7"/>
        </w:rPr>
        <w:t> </w:t>
      </w:r>
      <w:r>
        <w:rPr>
          <w:color w:val="231F20"/>
        </w:rPr>
        <w:t>државног</w:t>
      </w:r>
      <w:r>
        <w:rPr>
          <w:color w:val="231F20"/>
          <w:spacing w:val="-7"/>
        </w:rPr>
        <w:t> </w:t>
      </w:r>
      <w:r>
        <w:rPr>
          <w:color w:val="231F20"/>
        </w:rPr>
        <w:t>пута</w:t>
      </w:r>
      <w:r>
        <w:rPr>
          <w:color w:val="231F20"/>
          <w:spacing w:val="-7"/>
        </w:rPr>
        <w:t> </w:t>
      </w:r>
      <w:r>
        <w:rPr>
          <w:color w:val="231F20"/>
        </w:rPr>
        <w:t>II</w:t>
      </w:r>
      <w:r>
        <w:rPr>
          <w:color w:val="231F20"/>
          <w:spacing w:val="-7"/>
        </w:rPr>
        <w:t> </w:t>
      </w:r>
      <w:r>
        <w:rPr>
          <w:color w:val="231F20"/>
        </w:rPr>
        <w:t>реда Р</w:t>
      </w:r>
      <w:r>
        <w:rPr>
          <w:color w:val="231F20"/>
          <w:spacing w:val="-6"/>
        </w:rPr>
        <w:t> </w:t>
      </w:r>
      <w:r>
        <w:rPr>
          <w:color w:val="231F20"/>
        </w:rPr>
        <w:t>103,</w:t>
      </w:r>
      <w:r>
        <w:rPr>
          <w:color w:val="231F20"/>
          <w:spacing w:val="-6"/>
        </w:rPr>
        <w:t> </w:t>
      </w:r>
      <w:r>
        <w:rPr>
          <w:color w:val="231F20"/>
        </w:rPr>
        <w:t>за</w:t>
      </w:r>
      <w:r>
        <w:rPr>
          <w:color w:val="231F20"/>
          <w:spacing w:val="-6"/>
        </w:rPr>
        <w:t> </w:t>
      </w:r>
      <w:r>
        <w:rPr>
          <w:color w:val="231F20"/>
          <w:spacing w:val="-4"/>
        </w:rPr>
        <w:t>који</w:t>
      </w:r>
      <w:r>
        <w:rPr>
          <w:color w:val="231F20"/>
          <w:spacing w:val="-6"/>
        </w:rPr>
        <w:t> </w:t>
      </w:r>
      <w:r>
        <w:rPr>
          <w:color w:val="231F20"/>
        </w:rPr>
        <w:t>је</w:t>
      </w:r>
      <w:r>
        <w:rPr>
          <w:color w:val="231F20"/>
          <w:spacing w:val="-6"/>
        </w:rPr>
        <w:t> </w:t>
      </w:r>
      <w:r>
        <w:rPr>
          <w:color w:val="231F20"/>
        </w:rPr>
        <w:t>планирана</w:t>
      </w:r>
      <w:r>
        <w:rPr>
          <w:color w:val="231F20"/>
          <w:spacing w:val="-6"/>
        </w:rPr>
        <w:t> </w:t>
      </w:r>
      <w:r>
        <w:rPr>
          <w:color w:val="231F20"/>
          <w:spacing w:val="-3"/>
        </w:rPr>
        <w:t>прекатегоризација</w:t>
      </w:r>
      <w:r>
        <w:rPr>
          <w:color w:val="231F20"/>
          <w:spacing w:val="-6"/>
        </w:rPr>
        <w:t> </w:t>
      </w:r>
      <w:r>
        <w:rPr>
          <w:color w:val="231F20"/>
        </w:rPr>
        <w:t>у</w:t>
      </w:r>
      <w:r>
        <w:rPr>
          <w:color w:val="231F20"/>
          <w:spacing w:val="-6"/>
        </w:rPr>
        <w:t> </w:t>
      </w:r>
      <w:r>
        <w:rPr>
          <w:color w:val="231F20"/>
        </w:rPr>
        <w:t>општински</w:t>
      </w:r>
      <w:r>
        <w:rPr>
          <w:color w:val="231F20"/>
          <w:spacing w:val="-6"/>
        </w:rPr>
        <w:t> </w:t>
      </w:r>
      <w:r>
        <w:rPr>
          <w:color w:val="231F20"/>
          <w:spacing w:val="-5"/>
        </w:rPr>
        <w:t>пут.</w:t>
      </w:r>
    </w:p>
    <w:p>
      <w:pPr>
        <w:spacing w:after="0" w:line="232" w:lineRule="auto"/>
        <w:sectPr>
          <w:pgSz w:w="12480" w:h="15690"/>
          <w:pgMar w:top="120" w:bottom="280" w:left="680" w:right="720"/>
          <w:cols w:num="2" w:equalWidth="0">
            <w:col w:w="5315" w:space="72"/>
            <w:col w:w="5693"/>
          </w:cols>
        </w:sectPr>
      </w:pPr>
    </w:p>
    <w:p>
      <w:pPr>
        <w:pStyle w:val="BodyText"/>
        <w:spacing w:line="232" w:lineRule="auto" w:before="73"/>
        <w:ind w:left="453" w:right="1" w:firstLine="396"/>
      </w:pPr>
      <w:r>
        <w:rPr/>
        <w:pict>
          <v:line style="position:absolute;mso-position-horizontal-relative:page;mso-position-vertical-relative:page;z-index:4096" from="318.897614pt,11.942451pt" to="318.897614pt,748.950451pt" stroked="true" strokeweight=".6pt" strokecolor="#231f20">
            <v:stroke dashstyle="solid"/>
            <w10:wrap type="none"/>
          </v:line>
        </w:pict>
      </w:r>
      <w:r>
        <w:rPr>
          <w:color w:val="231F20"/>
        </w:rPr>
        <w:t>Индустријско пристаниште се успоставља првенствено за потребе робног транспорта у вези са новим техничким и техноло- шким капацитетима и системима ТЕ „Костолац Б”.</w:t>
      </w:r>
    </w:p>
    <w:p>
      <w:pPr>
        <w:pStyle w:val="BodyText"/>
        <w:spacing w:before="1"/>
        <w:ind w:left="453" w:firstLine="396"/>
      </w:pPr>
      <w:r>
        <w:rPr>
          <w:color w:val="231F20"/>
        </w:rPr>
        <w:t>Наиме, за процес одсумпоравања потребно је обезбедити до- воз око 170.000 тона кречњака годишње. Локације за снабдевање ТЕ „Костолац Б” кречњаком сагледане су у „Студији о могућно- стима снабдевања кречњаком за потребе одсумпоравањa димних гасова ТЕ Костолац Б”. Локације за снабдевање кречњаком су ка- менолом „Јеленска стена” код Голупца или каменолом „Ковило- вача” код Деспотовца. Као нуспроизвод рада електране и процеса одсумпоравања јављају се пепео и гипс, које треба дистрибуирати преко пристаништа.</w:t>
      </w:r>
    </w:p>
    <w:p>
      <w:pPr>
        <w:pStyle w:val="BodyText"/>
        <w:spacing w:line="192" w:lineRule="exact"/>
        <w:ind w:left="850"/>
        <w:jc w:val="left"/>
      </w:pPr>
      <w:r>
        <w:rPr>
          <w:color w:val="231F20"/>
        </w:rPr>
        <w:t>Повећана производња угља на површинском копу „Дрмно”,</w:t>
      </w:r>
    </w:p>
    <w:p>
      <w:pPr>
        <w:pStyle w:val="BodyText"/>
        <w:ind w:left="453" w:right="1"/>
      </w:pPr>
      <w:r>
        <w:rPr>
          <w:color w:val="231F20"/>
        </w:rPr>
        <w:t>омогућава ТЕ-КО „Костолац” дистрибуцију одређене количине угља, за широку потрошњу, преко пристаништа.</w:t>
      </w:r>
    </w:p>
    <w:p>
      <w:pPr>
        <w:pStyle w:val="BodyText"/>
        <w:spacing w:line="237" w:lineRule="auto"/>
        <w:ind w:left="453" w:right="1" w:firstLine="396"/>
      </w:pPr>
      <w:r>
        <w:rPr>
          <w:color w:val="231F20"/>
        </w:rPr>
        <w:t>Планирано је отварање новог блока Б3, као и</w:t>
      </w:r>
      <w:r>
        <w:rPr>
          <w:color w:val="231F20"/>
          <w:spacing w:val="-26"/>
        </w:rPr>
        <w:t> </w:t>
      </w:r>
      <w:r>
        <w:rPr>
          <w:color w:val="231F20"/>
        </w:rPr>
        <w:t>реконструкција постојећих </w:t>
      </w:r>
      <w:r>
        <w:rPr>
          <w:color w:val="231F20"/>
          <w:spacing w:val="-3"/>
        </w:rPr>
        <w:t>блокова, </w:t>
      </w:r>
      <w:r>
        <w:rPr>
          <w:color w:val="231F20"/>
        </w:rPr>
        <w:t>што подразумева довоз опреме великих</w:t>
      </w:r>
      <w:r>
        <w:rPr>
          <w:color w:val="231F20"/>
          <w:spacing w:val="-25"/>
        </w:rPr>
        <w:t> </w:t>
      </w:r>
      <w:r>
        <w:rPr>
          <w:color w:val="231F20"/>
        </w:rPr>
        <w:t>тежи- на и габарита, у току дужег временског</w:t>
      </w:r>
      <w:r>
        <w:rPr>
          <w:color w:val="231F20"/>
          <w:spacing w:val="-9"/>
        </w:rPr>
        <w:t> </w:t>
      </w:r>
      <w:r>
        <w:rPr>
          <w:color w:val="231F20"/>
        </w:rPr>
        <w:t>периода.</w:t>
      </w:r>
    </w:p>
    <w:p>
      <w:pPr>
        <w:pStyle w:val="BodyText"/>
        <w:ind w:left="453" w:right="1" w:firstLine="397"/>
      </w:pPr>
      <w:r>
        <w:rPr>
          <w:color w:val="231F20"/>
        </w:rPr>
        <w:t>Количине</w:t>
      </w:r>
      <w:r>
        <w:rPr>
          <w:color w:val="231F20"/>
          <w:spacing w:val="-10"/>
        </w:rPr>
        <w:t> </w:t>
      </w:r>
      <w:r>
        <w:rPr>
          <w:color w:val="231F20"/>
        </w:rPr>
        <w:t>робе</w:t>
      </w:r>
      <w:r>
        <w:rPr>
          <w:color w:val="231F20"/>
          <w:spacing w:val="-10"/>
        </w:rPr>
        <w:t> </w:t>
      </w:r>
      <w:r>
        <w:rPr>
          <w:color w:val="231F20"/>
        </w:rPr>
        <w:t>и</w:t>
      </w:r>
      <w:r>
        <w:rPr>
          <w:color w:val="231F20"/>
          <w:spacing w:val="-10"/>
        </w:rPr>
        <w:t> </w:t>
      </w:r>
      <w:r>
        <w:rPr>
          <w:color w:val="231F20"/>
        </w:rPr>
        <w:t>интензитет</w:t>
      </w:r>
      <w:r>
        <w:rPr>
          <w:color w:val="231F20"/>
          <w:spacing w:val="-10"/>
        </w:rPr>
        <w:t> </w:t>
      </w:r>
      <w:r>
        <w:rPr>
          <w:color w:val="231F20"/>
        </w:rPr>
        <w:t>опслуживања</w:t>
      </w:r>
      <w:r>
        <w:rPr>
          <w:color w:val="231F20"/>
          <w:spacing w:val="-10"/>
        </w:rPr>
        <w:t> </w:t>
      </w:r>
      <w:r>
        <w:rPr>
          <w:color w:val="231F20"/>
        </w:rPr>
        <w:t>(просечни</w:t>
      </w:r>
      <w:r>
        <w:rPr>
          <w:color w:val="231F20"/>
          <w:spacing w:val="-10"/>
        </w:rPr>
        <w:t> </w:t>
      </w:r>
      <w:r>
        <w:rPr>
          <w:color w:val="231F20"/>
        </w:rPr>
        <w:t>број</w:t>
      </w:r>
      <w:r>
        <w:rPr>
          <w:color w:val="231F20"/>
          <w:spacing w:val="-10"/>
        </w:rPr>
        <w:t> </w:t>
      </w:r>
      <w:r>
        <w:rPr>
          <w:color w:val="231F20"/>
        </w:rPr>
        <w:t>ис- товарених пловила у јединици времена) условили су потребну по- вршину територије пристаништа у првој фази</w:t>
      </w:r>
      <w:r>
        <w:rPr>
          <w:color w:val="231F20"/>
          <w:spacing w:val="-9"/>
        </w:rPr>
        <w:t> </w:t>
      </w:r>
      <w:r>
        <w:rPr>
          <w:color w:val="231F20"/>
        </w:rPr>
        <w:t>изградње.</w:t>
      </w:r>
    </w:p>
    <w:p>
      <w:pPr>
        <w:pStyle w:val="BodyText"/>
        <w:spacing w:line="237" w:lineRule="auto"/>
        <w:ind w:left="452" w:firstLine="397"/>
      </w:pPr>
      <w:r>
        <w:rPr>
          <w:color w:val="231F20"/>
        </w:rPr>
        <w:t>Непосредно уз локацију пристаништа, према насељу, резер- висана је површина од око 7,8 ha за евентуално проширење лока- ције у наредном периоду.</w:t>
      </w:r>
    </w:p>
    <w:p>
      <w:pPr>
        <w:pStyle w:val="ListParagraph"/>
        <w:numPr>
          <w:ilvl w:val="2"/>
          <w:numId w:val="52"/>
        </w:numPr>
        <w:tabs>
          <w:tab w:pos="2129" w:val="left" w:leader="none"/>
        </w:tabs>
        <w:spacing w:line="240" w:lineRule="auto" w:before="164" w:after="0"/>
        <w:ind w:left="2128" w:right="0" w:hanging="315"/>
        <w:jc w:val="left"/>
        <w:rPr>
          <w:i/>
          <w:sz w:val="18"/>
        </w:rPr>
      </w:pPr>
      <w:r>
        <w:rPr>
          <w:i/>
          <w:color w:val="231F20"/>
          <w:sz w:val="18"/>
        </w:rPr>
        <w:t>Граница просторне</w:t>
      </w:r>
      <w:r>
        <w:rPr>
          <w:i/>
          <w:color w:val="231F20"/>
          <w:spacing w:val="-2"/>
          <w:sz w:val="18"/>
        </w:rPr>
        <w:t> </w:t>
      </w:r>
      <w:r>
        <w:rPr>
          <w:i/>
          <w:color w:val="231F20"/>
          <w:sz w:val="18"/>
        </w:rPr>
        <w:t>целине</w:t>
      </w:r>
    </w:p>
    <w:p>
      <w:pPr>
        <w:pStyle w:val="BodyText"/>
        <w:spacing w:before="8"/>
        <w:ind w:left="0"/>
        <w:jc w:val="left"/>
        <w:rPr>
          <w:i/>
          <w:sz w:val="17"/>
        </w:rPr>
      </w:pPr>
    </w:p>
    <w:p>
      <w:pPr>
        <w:pStyle w:val="BodyText"/>
        <w:ind w:left="452" w:right="1" w:firstLine="396"/>
      </w:pPr>
      <w:r>
        <w:rPr>
          <w:color w:val="231F20"/>
        </w:rPr>
        <w:t>На северном ободу комплекса, са друге стране насељске са- обраћајнице </w:t>
      </w:r>
      <w:r>
        <w:rPr>
          <w:color w:val="231F20"/>
          <w:spacing w:val="-3"/>
        </w:rPr>
        <w:t>ул. </w:t>
      </w:r>
      <w:r>
        <w:rPr>
          <w:color w:val="231F20"/>
        </w:rPr>
        <w:t>Кнеза Лазара, налази се локација циглане („ИГ- МА”); улица Николе Тесле граница је ТЕ „Костолац А” према локацији ПРИМ-а („Производња ремонт и монтажа машина и опреме”) и железничкој станици; </w:t>
      </w:r>
      <w:r>
        <w:rPr>
          <w:color w:val="231F20"/>
          <w:spacing w:val="-3"/>
        </w:rPr>
        <w:t>од </w:t>
      </w:r>
      <w:r>
        <w:rPr>
          <w:color w:val="231F20"/>
        </w:rPr>
        <w:t>бочног службеног улаза у комплекс из улице Николе Тесле, граница мења правац према за- </w:t>
      </w:r>
      <w:r>
        <w:rPr>
          <w:color w:val="231F20"/>
          <w:spacing w:val="-4"/>
        </w:rPr>
        <w:t>паду, </w:t>
      </w:r>
      <w:r>
        <w:rPr>
          <w:color w:val="231F20"/>
        </w:rPr>
        <w:t>по огради је локације „Аутотранспорта” и даље, према ју-  гу наставља задњом страном дворишта породичних кућа у улици Вељка Дугошевића до главног улаза у комплекс; даље граница мења правац према североистоку, поред Ватрогасне станице и   по</w:t>
      </w:r>
      <w:r>
        <w:rPr>
          <w:color w:val="231F20"/>
          <w:spacing w:val="30"/>
        </w:rPr>
        <w:t> </w:t>
      </w:r>
      <w:r>
        <w:rPr>
          <w:color w:val="231F20"/>
        </w:rPr>
        <w:t>ободу</w:t>
      </w:r>
      <w:r>
        <w:rPr>
          <w:color w:val="231F20"/>
          <w:spacing w:val="30"/>
        </w:rPr>
        <w:t> </w:t>
      </w:r>
      <w:r>
        <w:rPr>
          <w:color w:val="231F20"/>
        </w:rPr>
        <w:t>је</w:t>
      </w:r>
      <w:r>
        <w:rPr>
          <w:color w:val="231F20"/>
          <w:spacing w:val="30"/>
        </w:rPr>
        <w:t> </w:t>
      </w:r>
      <w:r>
        <w:rPr>
          <w:color w:val="231F20"/>
        </w:rPr>
        <w:t>локације</w:t>
      </w:r>
      <w:r>
        <w:rPr>
          <w:color w:val="231F20"/>
          <w:spacing w:val="30"/>
        </w:rPr>
        <w:t> </w:t>
      </w:r>
      <w:r>
        <w:rPr>
          <w:color w:val="231F20"/>
        </w:rPr>
        <w:t>Водовода</w:t>
      </w:r>
      <w:r>
        <w:rPr>
          <w:color w:val="231F20"/>
          <w:spacing w:val="30"/>
        </w:rPr>
        <w:t> </w:t>
      </w:r>
      <w:r>
        <w:rPr>
          <w:color w:val="231F20"/>
        </w:rPr>
        <w:t>(извориште</w:t>
      </w:r>
      <w:r>
        <w:rPr>
          <w:color w:val="231F20"/>
          <w:spacing w:val="30"/>
        </w:rPr>
        <w:t> </w:t>
      </w:r>
      <w:r>
        <w:rPr>
          <w:color w:val="231F20"/>
        </w:rPr>
        <w:t>„Ловац”</w:t>
      </w:r>
      <w:r>
        <w:rPr>
          <w:color w:val="231F20"/>
          <w:spacing w:val="30"/>
        </w:rPr>
        <w:t> </w:t>
      </w:r>
      <w:r>
        <w:rPr>
          <w:color w:val="231F20"/>
        </w:rPr>
        <w:t>и</w:t>
      </w:r>
      <w:r>
        <w:rPr>
          <w:color w:val="231F20"/>
          <w:spacing w:val="28"/>
        </w:rPr>
        <w:t> </w:t>
      </w:r>
      <w:r>
        <w:rPr>
          <w:color w:val="231F20"/>
        </w:rPr>
        <w:t>локација</w:t>
      </w:r>
    </w:p>
    <w:p>
      <w:pPr>
        <w:pStyle w:val="BodyText"/>
        <w:spacing w:line="189" w:lineRule="exact"/>
        <w:ind w:left="453"/>
        <w:jc w:val="left"/>
      </w:pPr>
      <w:r>
        <w:rPr>
          <w:color w:val="231F20"/>
        </w:rPr>
        <w:t>„Ловачки дом”); даље у смеру северозапада, по ободу комплекса</w:t>
      </w:r>
    </w:p>
    <w:p>
      <w:pPr>
        <w:pStyle w:val="BodyText"/>
        <w:ind w:left="453" w:right="1" w:hanging="1"/>
      </w:pPr>
      <w:r>
        <w:rPr>
          <w:color w:val="231F20"/>
        </w:rPr>
        <w:t>„Балкан ласера” и прелазећи преко колосека интерне пруге, </w:t>
      </w:r>
      <w:r>
        <w:rPr>
          <w:color w:val="231F20"/>
          <w:spacing w:val="-5"/>
        </w:rPr>
        <w:t>код </w:t>
      </w:r>
      <w:r>
        <w:rPr>
          <w:color w:val="231F20"/>
        </w:rPr>
        <w:t>разводног постројења излази на Дунавац; обухвата део Костолач- </w:t>
      </w:r>
      <w:r>
        <w:rPr>
          <w:color w:val="231F20"/>
          <w:spacing w:val="-3"/>
        </w:rPr>
        <w:t>ког </w:t>
      </w:r>
      <w:r>
        <w:rPr>
          <w:color w:val="231F20"/>
        </w:rPr>
        <w:t>канала, мења правац и излази на улицу Кнеза Лазара у зони раскрснице са улицом Милоша Обилића, поново мења правац и прати</w:t>
      </w:r>
      <w:r>
        <w:rPr>
          <w:color w:val="231F20"/>
          <w:spacing w:val="-5"/>
        </w:rPr>
        <w:t> </w:t>
      </w:r>
      <w:r>
        <w:rPr>
          <w:color w:val="231F20"/>
        </w:rPr>
        <w:t>улицу</w:t>
      </w:r>
      <w:r>
        <w:rPr>
          <w:color w:val="231F20"/>
          <w:spacing w:val="-5"/>
        </w:rPr>
        <w:t> </w:t>
      </w:r>
      <w:r>
        <w:rPr>
          <w:color w:val="231F20"/>
        </w:rPr>
        <w:t>Кнеза</w:t>
      </w:r>
      <w:r>
        <w:rPr>
          <w:color w:val="231F20"/>
          <w:spacing w:val="-5"/>
        </w:rPr>
        <w:t> </w:t>
      </w:r>
      <w:r>
        <w:rPr>
          <w:color w:val="231F20"/>
        </w:rPr>
        <w:t>Лазара</w:t>
      </w:r>
      <w:r>
        <w:rPr>
          <w:color w:val="231F20"/>
          <w:spacing w:val="-5"/>
        </w:rPr>
        <w:t> </w:t>
      </w:r>
      <w:r>
        <w:rPr>
          <w:color w:val="231F20"/>
        </w:rPr>
        <w:t>по</w:t>
      </w:r>
      <w:r>
        <w:rPr>
          <w:color w:val="231F20"/>
          <w:spacing w:val="-5"/>
        </w:rPr>
        <w:t> </w:t>
      </w:r>
      <w:r>
        <w:rPr>
          <w:color w:val="231F20"/>
        </w:rPr>
        <w:t>затеченој</w:t>
      </w:r>
      <w:r>
        <w:rPr>
          <w:color w:val="231F20"/>
          <w:spacing w:val="-5"/>
        </w:rPr>
        <w:t> </w:t>
      </w:r>
      <w:r>
        <w:rPr>
          <w:color w:val="231F20"/>
        </w:rPr>
        <w:t>регулацији</w:t>
      </w:r>
      <w:r>
        <w:rPr>
          <w:color w:val="231F20"/>
          <w:spacing w:val="-5"/>
        </w:rPr>
        <w:t> </w:t>
      </w:r>
      <w:r>
        <w:rPr>
          <w:color w:val="231F20"/>
        </w:rPr>
        <w:t>до</w:t>
      </w:r>
      <w:r>
        <w:rPr>
          <w:color w:val="231F20"/>
          <w:spacing w:val="-5"/>
        </w:rPr>
        <w:t> </w:t>
      </w:r>
      <w:r>
        <w:rPr>
          <w:color w:val="231F20"/>
        </w:rPr>
        <w:t>локације</w:t>
      </w:r>
      <w:r>
        <w:rPr>
          <w:color w:val="231F20"/>
          <w:spacing w:val="-5"/>
        </w:rPr>
        <w:t> </w:t>
      </w:r>
      <w:r>
        <w:rPr>
          <w:color w:val="231F20"/>
        </w:rPr>
        <w:t>ре- сторана </w:t>
      </w:r>
      <w:r>
        <w:rPr>
          <w:color w:val="231F20"/>
          <w:spacing w:val="-5"/>
        </w:rPr>
        <w:t>„Черга”, </w:t>
      </w:r>
      <w:r>
        <w:rPr>
          <w:color w:val="231F20"/>
          <w:spacing w:val="-3"/>
        </w:rPr>
        <w:t>где </w:t>
      </w:r>
      <w:r>
        <w:rPr>
          <w:color w:val="231F20"/>
        </w:rPr>
        <w:t>мења правац до улице Десанке Максимовић, прелази ту улицу и Канал топле воде по правцу дужине 107 m; скреће у правцу југозапада према групацији кућа и, приближно по раније дефинисаној граници грађевинског подручја, стиже до почетне тачке.</w:t>
      </w:r>
    </w:p>
    <w:p>
      <w:pPr>
        <w:pStyle w:val="BodyText"/>
        <w:spacing w:line="190" w:lineRule="exact"/>
        <w:ind w:left="850"/>
        <w:jc w:val="left"/>
      </w:pPr>
      <w:r>
        <w:rPr>
          <w:color w:val="231F20"/>
        </w:rPr>
        <w:t>Унутар ове границе по линији између тачака III2, III3, III4 и</w:t>
      </w:r>
    </w:p>
    <w:p>
      <w:pPr>
        <w:pStyle w:val="BodyText"/>
        <w:ind w:left="453" w:right="1"/>
      </w:pPr>
      <w:r>
        <w:rPr>
          <w:color w:val="231F20"/>
        </w:rPr>
        <w:t>III5, дефинисаних координатама у државном </w:t>
      </w:r>
      <w:r>
        <w:rPr>
          <w:color w:val="231F20"/>
          <w:spacing w:val="-3"/>
        </w:rPr>
        <w:t>координатном </w:t>
      </w:r>
      <w:r>
        <w:rPr>
          <w:color w:val="231F20"/>
        </w:rPr>
        <w:t>систе- му</w:t>
      </w:r>
      <w:r>
        <w:rPr>
          <w:color w:val="231F20"/>
          <w:position w:val="6"/>
          <w:sz w:val="10"/>
        </w:rPr>
        <w:t>17 </w:t>
      </w:r>
      <w:r>
        <w:rPr>
          <w:color w:val="231F20"/>
        </w:rPr>
        <w:t>издвојене су две потцелине: 1) </w:t>
      </w:r>
      <w:r>
        <w:rPr>
          <w:color w:val="231F20"/>
          <w:spacing w:val="-3"/>
        </w:rPr>
        <w:t>Комплекс </w:t>
      </w:r>
      <w:r>
        <w:rPr>
          <w:color w:val="231F20"/>
        </w:rPr>
        <w:t>ТЕ „Костолац А”,</w:t>
      </w:r>
    </w:p>
    <w:p>
      <w:pPr>
        <w:pStyle w:val="BodyText"/>
        <w:ind w:left="453" w:right="1"/>
      </w:pPr>
      <w:r>
        <w:rPr>
          <w:color w:val="231F20"/>
        </w:rPr>
        <w:t>2)</w:t>
      </w:r>
      <w:r>
        <w:rPr>
          <w:color w:val="231F20"/>
          <w:spacing w:val="-10"/>
        </w:rPr>
        <w:t> </w:t>
      </w:r>
      <w:r>
        <w:rPr>
          <w:color w:val="231F20"/>
        </w:rPr>
        <w:t>Индустријско</w:t>
      </w:r>
      <w:r>
        <w:rPr>
          <w:color w:val="231F20"/>
          <w:spacing w:val="-10"/>
        </w:rPr>
        <w:t> </w:t>
      </w:r>
      <w:r>
        <w:rPr>
          <w:color w:val="231F20"/>
        </w:rPr>
        <w:t>пристаниште,</w:t>
      </w:r>
      <w:r>
        <w:rPr>
          <w:color w:val="231F20"/>
          <w:spacing w:val="-10"/>
        </w:rPr>
        <w:t> </w:t>
      </w:r>
      <w:r>
        <w:rPr>
          <w:color w:val="231F20"/>
        </w:rPr>
        <w:t>и</w:t>
      </w:r>
      <w:r>
        <w:rPr>
          <w:color w:val="231F20"/>
          <w:spacing w:val="-10"/>
        </w:rPr>
        <w:t> </w:t>
      </w:r>
      <w:r>
        <w:rPr>
          <w:color w:val="231F20"/>
        </w:rPr>
        <w:t>коридори</w:t>
      </w:r>
      <w:r>
        <w:rPr>
          <w:color w:val="231F20"/>
          <w:spacing w:val="-10"/>
        </w:rPr>
        <w:t> </w:t>
      </w:r>
      <w:r>
        <w:rPr>
          <w:color w:val="231F20"/>
        </w:rPr>
        <w:t>нових</w:t>
      </w:r>
      <w:r>
        <w:rPr>
          <w:color w:val="231F20"/>
          <w:spacing w:val="-10"/>
        </w:rPr>
        <w:t> </w:t>
      </w:r>
      <w:r>
        <w:rPr>
          <w:color w:val="231F20"/>
        </w:rPr>
        <w:t>саобраћајница</w:t>
      </w:r>
      <w:r>
        <w:rPr>
          <w:color w:val="231F20"/>
          <w:spacing w:val="-10"/>
        </w:rPr>
        <w:t> </w:t>
      </w:r>
      <w:r>
        <w:rPr>
          <w:color w:val="231F20"/>
        </w:rPr>
        <w:t>на делу потеза „Кипа</w:t>
      </w:r>
      <w:r>
        <w:rPr>
          <w:color w:val="231F20"/>
          <w:spacing w:val="-4"/>
        </w:rPr>
        <w:t> </w:t>
      </w:r>
      <w:r>
        <w:rPr>
          <w:color w:val="231F20"/>
        </w:rPr>
        <w:t>Дунавац”.</w:t>
      </w:r>
    </w:p>
    <w:p>
      <w:pPr>
        <w:pStyle w:val="BodyText"/>
        <w:spacing w:line="237" w:lineRule="auto"/>
        <w:ind w:left="453" w:firstLine="397"/>
      </w:pPr>
      <w:r>
        <w:rPr>
          <w:color w:val="231F20"/>
        </w:rPr>
        <w:t>Овом границом, поред ограђеног </w:t>
      </w:r>
      <w:r>
        <w:rPr>
          <w:color w:val="231F20"/>
          <w:spacing w:val="-3"/>
        </w:rPr>
        <w:t>комплекса </w:t>
      </w:r>
      <w:r>
        <w:rPr>
          <w:color w:val="231F20"/>
        </w:rPr>
        <w:t>ТЕ „Костолац А”,</w:t>
      </w:r>
      <w:r>
        <w:rPr>
          <w:color w:val="231F20"/>
          <w:spacing w:val="-10"/>
        </w:rPr>
        <w:t> </w:t>
      </w:r>
      <w:r>
        <w:rPr>
          <w:color w:val="231F20"/>
        </w:rPr>
        <w:t>обухваћени</w:t>
      </w:r>
      <w:r>
        <w:rPr>
          <w:color w:val="231F20"/>
          <w:spacing w:val="-10"/>
        </w:rPr>
        <w:t> </w:t>
      </w:r>
      <w:r>
        <w:rPr>
          <w:color w:val="231F20"/>
        </w:rPr>
        <w:t>су</w:t>
      </w:r>
      <w:r>
        <w:rPr>
          <w:color w:val="231F20"/>
          <w:spacing w:val="-10"/>
        </w:rPr>
        <w:t> </w:t>
      </w:r>
      <w:r>
        <w:rPr>
          <w:color w:val="231F20"/>
        </w:rPr>
        <w:t>црпилиште</w:t>
      </w:r>
      <w:r>
        <w:rPr>
          <w:color w:val="231F20"/>
          <w:spacing w:val="-10"/>
        </w:rPr>
        <w:t> </w:t>
      </w:r>
      <w:r>
        <w:rPr>
          <w:color w:val="231F20"/>
        </w:rPr>
        <w:t>и</w:t>
      </w:r>
      <w:r>
        <w:rPr>
          <w:color w:val="231F20"/>
          <w:spacing w:val="-10"/>
        </w:rPr>
        <w:t> </w:t>
      </w:r>
      <w:r>
        <w:rPr>
          <w:color w:val="231F20"/>
        </w:rPr>
        <w:t>мало</w:t>
      </w:r>
      <w:r>
        <w:rPr>
          <w:color w:val="231F20"/>
          <w:spacing w:val="-10"/>
        </w:rPr>
        <w:t> </w:t>
      </w:r>
      <w:r>
        <w:rPr>
          <w:color w:val="231F20"/>
        </w:rPr>
        <w:t>пристаниште</w:t>
      </w:r>
      <w:r>
        <w:rPr>
          <w:color w:val="231F20"/>
          <w:spacing w:val="-10"/>
        </w:rPr>
        <w:t> </w:t>
      </w:r>
      <w:r>
        <w:rPr>
          <w:color w:val="231F20"/>
        </w:rPr>
        <w:t>за</w:t>
      </w:r>
      <w:r>
        <w:rPr>
          <w:color w:val="231F20"/>
          <w:spacing w:val="-10"/>
        </w:rPr>
        <w:t> </w:t>
      </w:r>
      <w:r>
        <w:rPr>
          <w:color w:val="231F20"/>
        </w:rPr>
        <w:t>потребе</w:t>
      </w:r>
      <w:r>
        <w:rPr>
          <w:color w:val="231F20"/>
          <w:spacing w:val="-10"/>
        </w:rPr>
        <w:t> </w:t>
      </w:r>
      <w:r>
        <w:rPr>
          <w:color w:val="231F20"/>
        </w:rPr>
        <w:t>Тер- моелектране, део насељских саобраћајница, објекти и трасе тех- ничке инфраструктуре ТЕ „Костолац А” (пропан-бутан станица, пепеловоди према Средњем </w:t>
      </w:r>
      <w:r>
        <w:rPr>
          <w:color w:val="231F20"/>
          <w:spacing w:val="-4"/>
        </w:rPr>
        <w:t>Костолачком острву, </w:t>
      </w:r>
      <w:r>
        <w:rPr>
          <w:color w:val="231F20"/>
        </w:rPr>
        <w:t>испусна грађеви- на и део канала топле воде, објекти ВПЦ, вреловод и друго) </w:t>
      </w:r>
      <w:r>
        <w:rPr>
          <w:color w:val="231F20"/>
          <w:spacing w:val="-3"/>
        </w:rPr>
        <w:t>који </w:t>
      </w:r>
      <w:r>
        <w:rPr>
          <w:color w:val="231F20"/>
        </w:rPr>
        <w:t>се измештају ради формирања локације индустријског пристани- шта, односно, уклањају у случају да одржавање њихове функције у међувремену изгуби</w:t>
      </w:r>
      <w:r>
        <w:rPr>
          <w:color w:val="231F20"/>
          <w:spacing w:val="-2"/>
        </w:rPr>
        <w:t> </w:t>
      </w:r>
      <w:r>
        <w:rPr>
          <w:color w:val="231F20"/>
        </w:rPr>
        <w:t>значај.</w:t>
      </w:r>
    </w:p>
    <w:p>
      <w:pPr>
        <w:pStyle w:val="BodyText"/>
        <w:ind w:left="454" w:firstLine="396"/>
      </w:pPr>
      <w:r>
        <w:rPr>
          <w:color w:val="231F20"/>
        </w:rPr>
        <w:t>Поред</w:t>
      </w:r>
      <w:r>
        <w:rPr>
          <w:color w:val="231F20"/>
          <w:spacing w:val="-6"/>
        </w:rPr>
        <w:t> </w:t>
      </w:r>
      <w:r>
        <w:rPr>
          <w:color w:val="231F20"/>
        </w:rPr>
        <w:t>постојећих</w:t>
      </w:r>
      <w:r>
        <w:rPr>
          <w:color w:val="231F20"/>
          <w:spacing w:val="-6"/>
        </w:rPr>
        <w:t> </w:t>
      </w:r>
      <w:r>
        <w:rPr>
          <w:color w:val="231F20"/>
        </w:rPr>
        <w:t>објеката</w:t>
      </w:r>
      <w:r>
        <w:rPr>
          <w:color w:val="231F20"/>
          <w:spacing w:val="-6"/>
        </w:rPr>
        <w:t> </w:t>
      </w:r>
      <w:r>
        <w:rPr>
          <w:color w:val="231F20"/>
        </w:rPr>
        <w:t>у</w:t>
      </w:r>
      <w:r>
        <w:rPr>
          <w:color w:val="231F20"/>
          <w:spacing w:val="-6"/>
        </w:rPr>
        <w:t> </w:t>
      </w:r>
      <w:r>
        <w:rPr>
          <w:color w:val="231F20"/>
        </w:rPr>
        <w:t>систему</w:t>
      </w:r>
      <w:r>
        <w:rPr>
          <w:color w:val="231F20"/>
          <w:spacing w:val="-6"/>
        </w:rPr>
        <w:t> </w:t>
      </w:r>
      <w:r>
        <w:rPr>
          <w:color w:val="231F20"/>
        </w:rPr>
        <w:t>ТЕ-КО</w:t>
      </w:r>
      <w:r>
        <w:rPr>
          <w:color w:val="231F20"/>
          <w:spacing w:val="-6"/>
        </w:rPr>
        <w:t> </w:t>
      </w:r>
      <w:r>
        <w:rPr>
          <w:color w:val="231F20"/>
        </w:rPr>
        <w:t>„Костолац”</w:t>
      </w:r>
      <w:r>
        <w:rPr>
          <w:color w:val="231F20"/>
          <w:spacing w:val="-6"/>
        </w:rPr>
        <w:t> </w:t>
      </w:r>
      <w:r>
        <w:rPr>
          <w:color w:val="231F20"/>
        </w:rPr>
        <w:t>обу- хваћени су: уређена обала канала и рукавца, </w:t>
      </w:r>
      <w:r>
        <w:rPr>
          <w:color w:val="231F20"/>
          <w:spacing w:val="-4"/>
        </w:rPr>
        <w:t>фудбалско </w:t>
      </w:r>
      <w:r>
        <w:rPr>
          <w:color w:val="231F20"/>
        </w:rPr>
        <w:t>игралиште у </w:t>
      </w:r>
      <w:r>
        <w:rPr>
          <w:color w:val="231F20"/>
          <w:spacing w:val="-3"/>
        </w:rPr>
        <w:t>приобаљу, </w:t>
      </w:r>
      <w:r>
        <w:rPr>
          <w:color w:val="231F20"/>
        </w:rPr>
        <w:t>зграде и уређене површине угоститељског објекта, објекти</w:t>
      </w:r>
      <w:r>
        <w:rPr>
          <w:color w:val="231F20"/>
          <w:spacing w:val="-5"/>
        </w:rPr>
        <w:t> </w:t>
      </w:r>
      <w:r>
        <w:rPr>
          <w:color w:val="231F20"/>
        </w:rPr>
        <w:t>и</w:t>
      </w:r>
      <w:r>
        <w:rPr>
          <w:color w:val="231F20"/>
          <w:spacing w:val="-6"/>
        </w:rPr>
        <w:t> </w:t>
      </w:r>
      <w:r>
        <w:rPr>
          <w:color w:val="231F20"/>
        </w:rPr>
        <w:t>површине</w:t>
      </w:r>
      <w:r>
        <w:rPr>
          <w:color w:val="231F20"/>
          <w:spacing w:val="-6"/>
        </w:rPr>
        <w:t> </w:t>
      </w:r>
      <w:r>
        <w:rPr>
          <w:color w:val="231F20"/>
        </w:rPr>
        <w:t>„Пловпута”</w:t>
      </w:r>
      <w:r>
        <w:rPr>
          <w:color w:val="231F20"/>
          <w:spacing w:val="-5"/>
        </w:rPr>
        <w:t> </w:t>
      </w:r>
      <w:r>
        <w:rPr>
          <w:color w:val="231F20"/>
        </w:rPr>
        <w:t>и</w:t>
      </w:r>
      <w:r>
        <w:rPr>
          <w:color w:val="231F20"/>
          <w:spacing w:val="-6"/>
        </w:rPr>
        <w:t> </w:t>
      </w:r>
      <w:r>
        <w:rPr>
          <w:color w:val="231F20"/>
        </w:rPr>
        <w:t>пункт</w:t>
      </w:r>
      <w:r>
        <w:rPr>
          <w:color w:val="231F20"/>
          <w:spacing w:val="-5"/>
        </w:rPr>
        <w:t> </w:t>
      </w:r>
      <w:r>
        <w:rPr>
          <w:color w:val="231F20"/>
        </w:rPr>
        <w:t>речне</w:t>
      </w:r>
      <w:r>
        <w:rPr>
          <w:color w:val="231F20"/>
          <w:spacing w:val="-6"/>
        </w:rPr>
        <w:t> </w:t>
      </w:r>
      <w:r>
        <w:rPr>
          <w:color w:val="231F20"/>
        </w:rPr>
        <w:t>полиције</w:t>
      </w:r>
      <w:r>
        <w:rPr>
          <w:color w:val="231F20"/>
          <w:spacing w:val="-5"/>
        </w:rPr>
        <w:t> </w:t>
      </w:r>
      <w:r>
        <w:rPr>
          <w:color w:val="231F20"/>
        </w:rPr>
        <w:t>(полициј- ска</w:t>
      </w:r>
      <w:r>
        <w:rPr>
          <w:color w:val="231F20"/>
          <w:spacing w:val="-6"/>
        </w:rPr>
        <w:t> </w:t>
      </w:r>
      <w:r>
        <w:rPr>
          <w:color w:val="231F20"/>
        </w:rPr>
        <w:t>испостава</w:t>
      </w:r>
      <w:r>
        <w:rPr>
          <w:color w:val="231F20"/>
          <w:spacing w:val="-6"/>
        </w:rPr>
        <w:t> </w:t>
      </w:r>
      <w:r>
        <w:rPr>
          <w:color w:val="231F20"/>
        </w:rPr>
        <w:t>за</w:t>
      </w:r>
      <w:r>
        <w:rPr>
          <w:color w:val="231F20"/>
          <w:spacing w:val="-6"/>
        </w:rPr>
        <w:t> </w:t>
      </w:r>
      <w:r>
        <w:rPr>
          <w:color w:val="231F20"/>
        </w:rPr>
        <w:t>безбедност</w:t>
      </w:r>
      <w:r>
        <w:rPr>
          <w:color w:val="231F20"/>
          <w:spacing w:val="-6"/>
        </w:rPr>
        <w:t> </w:t>
      </w:r>
      <w:r>
        <w:rPr>
          <w:color w:val="231F20"/>
        </w:rPr>
        <w:t>на</w:t>
      </w:r>
      <w:r>
        <w:rPr>
          <w:color w:val="231F20"/>
          <w:spacing w:val="-6"/>
        </w:rPr>
        <w:t> </w:t>
      </w:r>
      <w:r>
        <w:rPr>
          <w:color w:val="231F20"/>
        </w:rPr>
        <w:t>рекама)</w:t>
      </w:r>
      <w:r>
        <w:rPr>
          <w:color w:val="231F20"/>
          <w:spacing w:val="-6"/>
        </w:rPr>
        <w:t> </w:t>
      </w:r>
      <w:r>
        <w:rPr>
          <w:color w:val="231F20"/>
        </w:rPr>
        <w:t>са</w:t>
      </w:r>
      <w:r>
        <w:rPr>
          <w:color w:val="231F20"/>
          <w:spacing w:val="-6"/>
        </w:rPr>
        <w:t> </w:t>
      </w:r>
      <w:r>
        <w:rPr>
          <w:color w:val="231F20"/>
        </w:rPr>
        <w:t>привезима</w:t>
      </w:r>
      <w:r>
        <w:rPr>
          <w:color w:val="231F20"/>
          <w:spacing w:val="-6"/>
        </w:rPr>
        <w:t> </w:t>
      </w:r>
      <w:r>
        <w:rPr>
          <w:color w:val="231F20"/>
        </w:rPr>
        <w:t>и</w:t>
      </w:r>
      <w:r>
        <w:rPr>
          <w:color w:val="231F20"/>
          <w:spacing w:val="-6"/>
        </w:rPr>
        <w:t> </w:t>
      </w:r>
      <w:r>
        <w:rPr>
          <w:color w:val="231F20"/>
        </w:rPr>
        <w:t>плутајућим објектом. Наведене површине се заузимају у складу са новом на- меном, а објекти</w:t>
      </w:r>
      <w:r>
        <w:rPr>
          <w:color w:val="231F20"/>
          <w:spacing w:val="-1"/>
        </w:rPr>
        <w:t> </w:t>
      </w:r>
      <w:r>
        <w:rPr>
          <w:color w:val="231F20"/>
          <w:spacing w:val="-3"/>
        </w:rPr>
        <w:t>уклањају.</w:t>
      </w:r>
    </w:p>
    <w:p>
      <w:pPr>
        <w:spacing w:line="144"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738" w:val="left" w:leader="none"/>
        </w:tabs>
        <w:spacing w:line="240" w:lineRule="auto" w:before="0" w:after="0"/>
        <w:ind w:left="737" w:right="1" w:hanging="284"/>
        <w:jc w:val="left"/>
        <w:rPr>
          <w:sz w:val="14"/>
        </w:rPr>
      </w:pPr>
      <w:r>
        <w:rPr>
          <w:color w:val="231F20"/>
          <w:sz w:val="14"/>
        </w:rPr>
        <w:t>Координате тачака дефинисане у Просторном плану су оријентационе и морају се проверити приликом израде пројеката</w:t>
      </w:r>
      <w:r>
        <w:rPr>
          <w:color w:val="231F20"/>
          <w:spacing w:val="-4"/>
          <w:sz w:val="14"/>
        </w:rPr>
        <w:t> </w:t>
      </w:r>
      <w:r>
        <w:rPr>
          <w:color w:val="231F20"/>
          <w:sz w:val="14"/>
        </w:rPr>
        <w:t>парцелације</w:t>
      </w:r>
    </w:p>
    <w:p>
      <w:pPr>
        <w:pStyle w:val="BodyText"/>
        <w:spacing w:line="232" w:lineRule="auto" w:before="73"/>
        <w:ind w:left="242" w:right="127" w:firstLine="396"/>
      </w:pPr>
      <w:r>
        <w:rPr/>
        <w:br w:type="column"/>
      </w:r>
      <w:r>
        <w:rPr>
          <w:color w:val="231F20"/>
        </w:rPr>
        <w:t>Седиште Одељења „Дунав” Полицијске управе у </w:t>
      </w:r>
      <w:r>
        <w:rPr>
          <w:color w:val="231F20"/>
          <w:spacing w:val="-3"/>
        </w:rPr>
        <w:t>Пожаревцу, </w:t>
      </w:r>
      <w:r>
        <w:rPr>
          <w:color w:val="231F20"/>
        </w:rPr>
        <w:t>на рукавцу ове реке и у сарадњи са Капетанијом у </w:t>
      </w:r>
      <w:r>
        <w:rPr>
          <w:color w:val="231F20"/>
          <w:spacing w:val="-3"/>
        </w:rPr>
        <w:t>Великом Гради- </w:t>
      </w:r>
      <w:r>
        <w:rPr>
          <w:color w:val="231F20"/>
        </w:rPr>
        <w:t>шту покрива десну обалу реке </w:t>
      </w:r>
      <w:r>
        <w:rPr>
          <w:color w:val="231F20"/>
          <w:spacing w:val="-3"/>
        </w:rPr>
        <w:t>од </w:t>
      </w:r>
      <w:r>
        <w:rPr>
          <w:color w:val="231F20"/>
        </w:rPr>
        <w:t>1080. до 1104 km пловног пута, Велику</w:t>
      </w:r>
      <w:r>
        <w:rPr>
          <w:color w:val="231F20"/>
          <w:spacing w:val="-9"/>
        </w:rPr>
        <w:t> </w:t>
      </w:r>
      <w:r>
        <w:rPr>
          <w:color w:val="231F20"/>
        </w:rPr>
        <w:t>Мораву</w:t>
      </w:r>
      <w:r>
        <w:rPr>
          <w:color w:val="231F20"/>
          <w:spacing w:val="-9"/>
        </w:rPr>
        <w:t> </w:t>
      </w:r>
      <w:r>
        <w:rPr>
          <w:color w:val="231F20"/>
          <w:spacing w:val="-3"/>
        </w:rPr>
        <w:t>од</w:t>
      </w:r>
      <w:r>
        <w:rPr>
          <w:color w:val="231F20"/>
          <w:spacing w:val="-9"/>
        </w:rPr>
        <w:t> </w:t>
      </w:r>
      <w:r>
        <w:rPr>
          <w:color w:val="231F20"/>
        </w:rPr>
        <w:t>њеног</w:t>
      </w:r>
      <w:r>
        <w:rPr>
          <w:color w:val="231F20"/>
          <w:spacing w:val="-9"/>
        </w:rPr>
        <w:t> </w:t>
      </w:r>
      <w:r>
        <w:rPr>
          <w:color w:val="231F20"/>
        </w:rPr>
        <w:t>ушћа</w:t>
      </w:r>
      <w:r>
        <w:rPr>
          <w:color w:val="231F20"/>
          <w:spacing w:val="-9"/>
        </w:rPr>
        <w:t> </w:t>
      </w:r>
      <w:r>
        <w:rPr>
          <w:color w:val="231F20"/>
        </w:rPr>
        <w:t>у</w:t>
      </w:r>
      <w:r>
        <w:rPr>
          <w:color w:val="231F20"/>
          <w:spacing w:val="-9"/>
        </w:rPr>
        <w:t> </w:t>
      </w:r>
      <w:r>
        <w:rPr>
          <w:color w:val="231F20"/>
        </w:rPr>
        <w:t>Дунав</w:t>
      </w:r>
      <w:r>
        <w:rPr>
          <w:color w:val="231F20"/>
          <w:spacing w:val="-9"/>
        </w:rPr>
        <w:t> </w:t>
      </w:r>
      <w:r>
        <w:rPr>
          <w:color w:val="231F20"/>
        </w:rPr>
        <w:t>до</w:t>
      </w:r>
      <w:r>
        <w:rPr>
          <w:color w:val="231F20"/>
          <w:spacing w:val="-9"/>
        </w:rPr>
        <w:t> </w:t>
      </w:r>
      <w:r>
        <w:rPr>
          <w:color w:val="231F20"/>
        </w:rPr>
        <w:t>Љубичевског</w:t>
      </w:r>
      <w:r>
        <w:rPr>
          <w:color w:val="231F20"/>
          <w:spacing w:val="-9"/>
        </w:rPr>
        <w:t> </w:t>
      </w:r>
      <w:r>
        <w:rPr>
          <w:color w:val="231F20"/>
        </w:rPr>
        <w:t>моста,</w:t>
      </w:r>
      <w:r>
        <w:rPr>
          <w:color w:val="231F20"/>
          <w:spacing w:val="-9"/>
        </w:rPr>
        <w:t> </w:t>
      </w:r>
      <w:r>
        <w:rPr>
          <w:color w:val="231F20"/>
        </w:rPr>
        <w:t>као и пловни део реке Млаве узводно </w:t>
      </w:r>
      <w:r>
        <w:rPr>
          <w:color w:val="231F20"/>
          <w:spacing w:val="-3"/>
        </w:rPr>
        <w:t>од </w:t>
      </w:r>
      <w:r>
        <w:rPr>
          <w:color w:val="231F20"/>
        </w:rPr>
        <w:t>њеног ушћа у Дунав. У са- радњи</w:t>
      </w:r>
      <w:r>
        <w:rPr>
          <w:color w:val="231F20"/>
          <w:spacing w:val="-9"/>
        </w:rPr>
        <w:t> </w:t>
      </w:r>
      <w:r>
        <w:rPr>
          <w:color w:val="231F20"/>
        </w:rPr>
        <w:t>са</w:t>
      </w:r>
      <w:r>
        <w:rPr>
          <w:color w:val="231F20"/>
          <w:spacing w:val="-9"/>
        </w:rPr>
        <w:t> </w:t>
      </w:r>
      <w:r>
        <w:rPr>
          <w:color w:val="231F20"/>
        </w:rPr>
        <w:t>надлежним</w:t>
      </w:r>
      <w:r>
        <w:rPr>
          <w:color w:val="231F20"/>
          <w:spacing w:val="-9"/>
        </w:rPr>
        <w:t> </w:t>
      </w:r>
      <w:r>
        <w:rPr>
          <w:color w:val="231F20"/>
        </w:rPr>
        <w:t>службама,</w:t>
      </w:r>
      <w:r>
        <w:rPr>
          <w:color w:val="231F20"/>
          <w:spacing w:val="-10"/>
        </w:rPr>
        <w:t> </w:t>
      </w:r>
      <w:r>
        <w:rPr>
          <w:color w:val="231F20"/>
        </w:rPr>
        <w:t>оперативно</w:t>
      </w:r>
      <w:r>
        <w:rPr>
          <w:color w:val="231F20"/>
          <w:spacing w:val="-9"/>
        </w:rPr>
        <w:t> </w:t>
      </w:r>
      <w:r>
        <w:rPr>
          <w:color w:val="231F20"/>
        </w:rPr>
        <w:t>функционисање</w:t>
      </w:r>
      <w:r>
        <w:rPr>
          <w:color w:val="231F20"/>
          <w:spacing w:val="-9"/>
        </w:rPr>
        <w:t> </w:t>
      </w:r>
      <w:r>
        <w:rPr>
          <w:color w:val="231F20"/>
        </w:rPr>
        <w:t>речне полиције је неопходно одржати било на новој локацији </w:t>
      </w:r>
      <w:r>
        <w:rPr>
          <w:color w:val="231F20"/>
          <w:spacing w:val="-3"/>
        </w:rPr>
        <w:t>која </w:t>
      </w:r>
      <w:r>
        <w:rPr>
          <w:color w:val="231F20"/>
          <w:spacing w:val="-5"/>
        </w:rPr>
        <w:t>буде </w:t>
      </w:r>
      <w:r>
        <w:rPr>
          <w:color w:val="231F20"/>
        </w:rPr>
        <w:t>одређена у сарадњи са надлежним службама, било у оквиру новог </w:t>
      </w:r>
      <w:r>
        <w:rPr>
          <w:color w:val="231F20"/>
          <w:spacing w:val="-3"/>
        </w:rPr>
        <w:t>комплекса. </w:t>
      </w:r>
      <w:r>
        <w:rPr>
          <w:color w:val="231F20"/>
        </w:rPr>
        <w:t>Иста обавеза се односи и на објекте и површине Репу- </w:t>
      </w:r>
      <w:r>
        <w:rPr>
          <w:color w:val="231F20"/>
          <w:spacing w:val="-3"/>
        </w:rPr>
        <w:t>бличке </w:t>
      </w:r>
      <w:r>
        <w:rPr>
          <w:color w:val="231F20"/>
        </w:rPr>
        <w:t>дирекције</w:t>
      </w:r>
      <w:r>
        <w:rPr>
          <w:color w:val="231F20"/>
          <w:spacing w:val="1"/>
        </w:rPr>
        <w:t> </w:t>
      </w:r>
      <w:r>
        <w:rPr>
          <w:color w:val="231F20"/>
        </w:rPr>
        <w:t>(„Пловпут”).</w:t>
      </w:r>
    </w:p>
    <w:p>
      <w:pPr>
        <w:pStyle w:val="BodyText"/>
        <w:spacing w:line="232" w:lineRule="auto" w:before="3"/>
        <w:ind w:left="242" w:right="127" w:firstLine="397"/>
      </w:pPr>
      <w:r>
        <w:rPr>
          <w:color w:val="231F20"/>
        </w:rPr>
        <w:t>Објекти и површине у склопу ТЕ „Костолац А” организова- ни су у оквиру дела катастарске парцеле бр. 463/1, КО Костолац</w:t>
      </w:r>
    </w:p>
    <w:p>
      <w:pPr>
        <w:pStyle w:val="BodyText"/>
        <w:spacing w:line="200" w:lineRule="exact"/>
        <w:ind w:left="242"/>
        <w:jc w:val="left"/>
      </w:pPr>
      <w:r>
        <w:rPr>
          <w:color w:val="231F20"/>
          <w:w w:val="66"/>
        </w:rPr>
        <w:t> </w:t>
      </w:r>
      <w:r>
        <w:rPr>
          <w:color w:val="231F20"/>
          <w:w w:val="95"/>
        </w:rPr>
        <w:t>– град.</w:t>
      </w:r>
    </w:p>
    <w:p>
      <w:pPr>
        <w:pStyle w:val="BodyText"/>
        <w:spacing w:line="201" w:lineRule="exact"/>
        <w:ind w:left="639"/>
        <w:jc w:val="left"/>
      </w:pPr>
      <w:r>
        <w:rPr>
          <w:color w:val="231F20"/>
        </w:rPr>
        <w:t>У оквиру комплекса изграђени су и у функцији:</w:t>
      </w:r>
    </w:p>
    <w:p>
      <w:pPr>
        <w:pStyle w:val="BodyText"/>
        <w:spacing w:line="232" w:lineRule="auto" w:before="2"/>
        <w:ind w:left="242" w:right="128" w:firstLine="396"/>
      </w:pPr>
      <w:r>
        <w:rPr>
          <w:color w:val="231F20"/>
          <w:w w:val="66"/>
        </w:rPr>
        <w:t> </w:t>
      </w:r>
      <w:r>
        <w:rPr>
          <w:color w:val="231F20"/>
        </w:rPr>
        <w:t>– главни погонски објекти (ГПО) у којима су смештени ко- тлови, турбине, генератори и друго,</w:t>
      </w:r>
    </w:p>
    <w:p>
      <w:pPr>
        <w:pStyle w:val="BodyText"/>
        <w:spacing w:line="200" w:lineRule="exact"/>
        <w:ind w:left="639"/>
        <w:jc w:val="left"/>
      </w:pPr>
      <w:r>
        <w:rPr>
          <w:color w:val="231F20"/>
          <w:w w:val="66"/>
        </w:rPr>
        <w:t> </w:t>
      </w:r>
      <w:r>
        <w:rPr>
          <w:color w:val="231F20"/>
        </w:rPr>
        <w:t>– црпна станица расхладне воде,</w:t>
      </w:r>
    </w:p>
    <w:p>
      <w:pPr>
        <w:pStyle w:val="BodyText"/>
        <w:spacing w:line="201" w:lineRule="exact"/>
        <w:ind w:left="639"/>
        <w:jc w:val="left"/>
      </w:pPr>
      <w:r>
        <w:rPr>
          <w:color w:val="231F20"/>
          <w:w w:val="66"/>
        </w:rPr>
        <w:t> </w:t>
      </w:r>
      <w:r>
        <w:rPr>
          <w:color w:val="231F20"/>
        </w:rPr>
        <w:t>– помоћна зграда за хемијску припрему воде (погон ХПВ),</w:t>
      </w:r>
    </w:p>
    <w:p>
      <w:pPr>
        <w:pStyle w:val="BodyText"/>
        <w:spacing w:line="232" w:lineRule="auto" w:before="2"/>
        <w:ind w:left="242" w:right="127" w:firstLine="396"/>
      </w:pPr>
      <w:r>
        <w:rPr>
          <w:color w:val="231F20"/>
          <w:w w:val="66"/>
        </w:rPr>
        <w:t> </w:t>
      </w:r>
      <w:r>
        <w:rPr>
          <w:color w:val="231F20"/>
        </w:rPr>
        <w:t>– депонија угља (депои угља, млинска зграда са дробилица- ма, командна и пресипна места, коси мостови),</w:t>
      </w:r>
    </w:p>
    <w:p>
      <w:pPr>
        <w:pStyle w:val="BodyText"/>
        <w:spacing w:line="200" w:lineRule="exact"/>
        <w:ind w:left="639"/>
        <w:jc w:val="left"/>
      </w:pPr>
      <w:r>
        <w:rPr>
          <w:color w:val="231F20"/>
          <w:w w:val="66"/>
        </w:rPr>
        <w:t> </w:t>
      </w:r>
      <w:r>
        <w:rPr>
          <w:color w:val="231F20"/>
        </w:rPr>
        <w:t>– електрофилтерско постројење са димњаком,</w:t>
      </w:r>
    </w:p>
    <w:p>
      <w:pPr>
        <w:pStyle w:val="BodyText"/>
        <w:spacing w:line="201" w:lineRule="exact"/>
        <w:ind w:left="639"/>
        <w:jc w:val="left"/>
      </w:pPr>
      <w:r>
        <w:rPr>
          <w:color w:val="231F20"/>
          <w:w w:val="66"/>
        </w:rPr>
        <w:t> </w:t>
      </w:r>
      <w:r>
        <w:rPr>
          <w:color w:val="231F20"/>
        </w:rPr>
        <w:t>– разводно постројење 110 KV,</w:t>
      </w:r>
    </w:p>
    <w:p>
      <w:pPr>
        <w:pStyle w:val="BodyText"/>
        <w:spacing w:line="201" w:lineRule="exact"/>
        <w:ind w:left="639"/>
        <w:jc w:val="left"/>
      </w:pPr>
      <w:r>
        <w:rPr>
          <w:color w:val="231F20"/>
          <w:w w:val="66"/>
        </w:rPr>
        <w:t> </w:t>
      </w:r>
      <w:r>
        <w:rPr>
          <w:color w:val="231F20"/>
        </w:rPr>
        <w:t>– трафои и електроенергетска постројења,</w:t>
      </w:r>
    </w:p>
    <w:p>
      <w:pPr>
        <w:pStyle w:val="BodyText"/>
        <w:spacing w:line="232" w:lineRule="auto" w:before="2"/>
        <w:ind w:left="243" w:right="127" w:firstLine="396"/>
      </w:pPr>
      <w:r>
        <w:rPr>
          <w:color w:val="231F20"/>
          <w:w w:val="66"/>
        </w:rPr>
        <w:t> </w:t>
      </w:r>
      <w:r>
        <w:rPr>
          <w:color w:val="231F20"/>
        </w:rPr>
        <w:t>– пумпне станице, надземни и подземни резервоари и отво- рена и затворена складишта различите намене,</w:t>
      </w:r>
    </w:p>
    <w:p>
      <w:pPr>
        <w:pStyle w:val="BodyText"/>
        <w:spacing w:line="232" w:lineRule="auto"/>
        <w:ind w:left="243" w:right="127" w:firstLine="397"/>
      </w:pPr>
      <w:r>
        <w:rPr>
          <w:color w:val="231F20"/>
          <w:w w:val="66"/>
        </w:rPr>
        <w:t> </w:t>
      </w:r>
      <w:r>
        <w:rPr>
          <w:color w:val="231F20"/>
        </w:rPr>
        <w:t>– монтажни објекти за припремне, пратеће и службе одржа- вања,</w:t>
      </w:r>
    </w:p>
    <w:p>
      <w:pPr>
        <w:pStyle w:val="BodyText"/>
        <w:spacing w:line="232" w:lineRule="auto" w:before="1"/>
        <w:ind w:left="243" w:right="127" w:firstLine="396"/>
      </w:pPr>
      <w:r>
        <w:rPr>
          <w:color w:val="231F20"/>
          <w:w w:val="66"/>
        </w:rPr>
        <w:t> </w:t>
      </w:r>
      <w:r>
        <w:rPr>
          <w:color w:val="231F20"/>
        </w:rPr>
        <w:t>– управна и техничко-управна зграда, ресторан друштвене исхране,</w:t>
      </w:r>
    </w:p>
    <w:p>
      <w:pPr>
        <w:pStyle w:val="BodyText"/>
        <w:spacing w:line="232" w:lineRule="auto" w:before="1"/>
        <w:ind w:left="243" w:right="127" w:firstLine="396"/>
      </w:pPr>
      <w:r>
        <w:rPr>
          <w:color w:val="231F20"/>
          <w:w w:val="66"/>
        </w:rPr>
        <w:t> </w:t>
      </w:r>
      <w:r>
        <w:rPr>
          <w:color w:val="231F20"/>
        </w:rPr>
        <w:t>– зграда за смештај дежурних радника, портирнице и ватро- гасни дом и</w:t>
      </w:r>
    </w:p>
    <w:p>
      <w:pPr>
        <w:pStyle w:val="BodyText"/>
        <w:spacing w:line="200" w:lineRule="exact"/>
        <w:ind w:left="640"/>
        <w:jc w:val="left"/>
      </w:pPr>
      <w:r>
        <w:rPr>
          <w:color w:val="231F20"/>
          <w:w w:val="66"/>
        </w:rPr>
        <w:t> </w:t>
      </w:r>
      <w:r>
        <w:rPr>
          <w:color w:val="231F20"/>
        </w:rPr>
        <w:t>– машинска радионица, магацини и други објекти.</w:t>
      </w:r>
    </w:p>
    <w:p>
      <w:pPr>
        <w:pStyle w:val="BodyText"/>
        <w:spacing w:line="232" w:lineRule="auto" w:before="2"/>
        <w:ind w:left="243" w:right="127" w:firstLine="396"/>
      </w:pPr>
      <w:r>
        <w:rPr>
          <w:color w:val="231F20"/>
        </w:rPr>
        <w:t>Зграда</w:t>
      </w:r>
      <w:r>
        <w:rPr>
          <w:color w:val="231F20"/>
          <w:spacing w:val="-10"/>
        </w:rPr>
        <w:t> </w:t>
      </w:r>
      <w:r>
        <w:rPr>
          <w:color w:val="231F20"/>
        </w:rPr>
        <w:t>некадашњег</w:t>
      </w:r>
      <w:r>
        <w:rPr>
          <w:color w:val="231F20"/>
          <w:spacing w:val="-10"/>
        </w:rPr>
        <w:t> </w:t>
      </w:r>
      <w:r>
        <w:rPr>
          <w:color w:val="231F20"/>
        </w:rPr>
        <w:t>„Малог</w:t>
      </w:r>
      <w:r>
        <w:rPr>
          <w:color w:val="231F20"/>
          <w:spacing w:val="-10"/>
        </w:rPr>
        <w:t> </w:t>
      </w:r>
      <w:r>
        <w:rPr>
          <w:color w:val="231F20"/>
        </w:rPr>
        <w:t>Костолца”</w:t>
      </w:r>
      <w:r>
        <w:rPr>
          <w:color w:val="231F20"/>
          <w:spacing w:val="-10"/>
        </w:rPr>
        <w:t> </w:t>
      </w:r>
      <w:r>
        <w:rPr>
          <w:color w:val="231F20"/>
        </w:rPr>
        <w:t>користи</w:t>
      </w:r>
      <w:r>
        <w:rPr>
          <w:color w:val="231F20"/>
          <w:spacing w:val="-10"/>
        </w:rPr>
        <w:t> </w:t>
      </w:r>
      <w:r>
        <w:rPr>
          <w:color w:val="231F20"/>
        </w:rPr>
        <w:t>се</w:t>
      </w:r>
      <w:r>
        <w:rPr>
          <w:color w:val="231F20"/>
          <w:spacing w:val="-10"/>
        </w:rPr>
        <w:t> </w:t>
      </w:r>
      <w:r>
        <w:rPr>
          <w:color w:val="231F20"/>
        </w:rPr>
        <w:t>као</w:t>
      </w:r>
      <w:r>
        <w:rPr>
          <w:color w:val="231F20"/>
          <w:spacing w:val="-10"/>
        </w:rPr>
        <w:t> </w:t>
      </w:r>
      <w:r>
        <w:rPr>
          <w:color w:val="231F20"/>
        </w:rPr>
        <w:t>склади- ште разне</w:t>
      </w:r>
      <w:r>
        <w:rPr>
          <w:color w:val="231F20"/>
          <w:spacing w:val="-3"/>
        </w:rPr>
        <w:t> </w:t>
      </w:r>
      <w:r>
        <w:rPr>
          <w:color w:val="231F20"/>
        </w:rPr>
        <w:t>опреме.</w:t>
      </w:r>
    </w:p>
    <w:p>
      <w:pPr>
        <w:pStyle w:val="ListParagraph"/>
        <w:numPr>
          <w:ilvl w:val="2"/>
          <w:numId w:val="52"/>
        </w:numPr>
        <w:tabs>
          <w:tab w:pos="1836" w:val="left" w:leader="none"/>
        </w:tabs>
        <w:spacing w:line="240" w:lineRule="auto" w:before="165" w:after="0"/>
        <w:ind w:left="1835" w:right="0" w:hanging="315"/>
        <w:jc w:val="left"/>
        <w:rPr>
          <w:i/>
          <w:sz w:val="18"/>
        </w:rPr>
      </w:pPr>
      <w:r>
        <w:rPr>
          <w:i/>
          <w:color w:val="231F20"/>
          <w:sz w:val="18"/>
        </w:rPr>
        <w:t>Планирана намена</w:t>
      </w:r>
      <w:r>
        <w:rPr>
          <w:i/>
          <w:color w:val="231F20"/>
          <w:spacing w:val="-3"/>
          <w:sz w:val="18"/>
        </w:rPr>
        <w:t> </w:t>
      </w:r>
      <w:r>
        <w:rPr>
          <w:i/>
          <w:color w:val="231F20"/>
          <w:sz w:val="18"/>
        </w:rPr>
        <w:t>простора</w:t>
      </w:r>
    </w:p>
    <w:p>
      <w:pPr>
        <w:pStyle w:val="BodyText"/>
        <w:spacing w:before="164"/>
        <w:ind w:left="1270"/>
        <w:jc w:val="left"/>
      </w:pPr>
      <w:r>
        <w:rPr>
          <w:color w:val="231F20"/>
        </w:rPr>
        <w:t>4.4.1. Комплекс ТЕ „ Ко столац А”</w:t>
      </w:r>
    </w:p>
    <w:p>
      <w:pPr>
        <w:pStyle w:val="BodyText"/>
        <w:spacing w:before="5"/>
        <w:ind w:left="0"/>
        <w:jc w:val="left"/>
        <w:rPr>
          <w:sz w:val="17"/>
        </w:rPr>
      </w:pPr>
    </w:p>
    <w:p>
      <w:pPr>
        <w:pStyle w:val="BodyText"/>
        <w:spacing w:line="232" w:lineRule="auto"/>
        <w:ind w:left="243" w:right="127" w:firstLine="396"/>
      </w:pPr>
      <w:r>
        <w:rPr>
          <w:color w:val="231F20"/>
        </w:rPr>
        <w:t>До краја експлоатационог века термоелектране, нису плани- рани грађевински или други радови </w:t>
      </w:r>
      <w:r>
        <w:rPr>
          <w:color w:val="231F20"/>
          <w:spacing w:val="-3"/>
        </w:rPr>
        <w:t>који </w:t>
      </w:r>
      <w:r>
        <w:rPr>
          <w:color w:val="231F20"/>
        </w:rPr>
        <w:t>би захтевали промене са- дашње границе </w:t>
      </w:r>
      <w:r>
        <w:rPr>
          <w:color w:val="231F20"/>
          <w:spacing w:val="-3"/>
        </w:rPr>
        <w:t>комплекса </w:t>
      </w:r>
      <w:r>
        <w:rPr>
          <w:color w:val="231F20"/>
        </w:rPr>
        <w:t>и других заузетих површина функцио- нално повезаних са ТЕ „Костолац А”, изузев радова на </w:t>
      </w:r>
      <w:r>
        <w:rPr>
          <w:color w:val="231F20"/>
          <w:spacing w:val="-3"/>
        </w:rPr>
        <w:t>техничком </w:t>
      </w:r>
      <w:r>
        <w:rPr>
          <w:color w:val="231F20"/>
        </w:rPr>
        <w:t>и</w:t>
      </w:r>
      <w:r>
        <w:rPr>
          <w:color w:val="231F20"/>
          <w:spacing w:val="-7"/>
        </w:rPr>
        <w:t> </w:t>
      </w:r>
      <w:r>
        <w:rPr>
          <w:color w:val="231F20"/>
          <w:spacing w:val="-3"/>
        </w:rPr>
        <w:t>технолошком</w:t>
      </w:r>
      <w:r>
        <w:rPr>
          <w:color w:val="231F20"/>
          <w:spacing w:val="-7"/>
        </w:rPr>
        <w:t> </w:t>
      </w:r>
      <w:r>
        <w:rPr>
          <w:color w:val="231F20"/>
        </w:rPr>
        <w:t>унапређењу</w:t>
      </w:r>
      <w:r>
        <w:rPr>
          <w:color w:val="231F20"/>
          <w:spacing w:val="-7"/>
        </w:rPr>
        <w:t> </w:t>
      </w:r>
      <w:r>
        <w:rPr>
          <w:color w:val="231F20"/>
        </w:rPr>
        <w:t>и</w:t>
      </w:r>
      <w:r>
        <w:rPr>
          <w:color w:val="231F20"/>
          <w:spacing w:val="-7"/>
        </w:rPr>
        <w:t> </w:t>
      </w:r>
      <w:r>
        <w:rPr>
          <w:color w:val="231F20"/>
        </w:rPr>
        <w:t>смањењу</w:t>
      </w:r>
      <w:r>
        <w:rPr>
          <w:color w:val="231F20"/>
          <w:spacing w:val="-7"/>
        </w:rPr>
        <w:t> </w:t>
      </w:r>
      <w:r>
        <w:rPr>
          <w:color w:val="231F20"/>
        </w:rPr>
        <w:t>штетних</w:t>
      </w:r>
      <w:r>
        <w:rPr>
          <w:color w:val="231F20"/>
          <w:spacing w:val="-7"/>
        </w:rPr>
        <w:t> </w:t>
      </w:r>
      <w:r>
        <w:rPr>
          <w:color w:val="231F20"/>
        </w:rPr>
        <w:t>утицаја</w:t>
      </w:r>
      <w:r>
        <w:rPr>
          <w:color w:val="231F20"/>
          <w:spacing w:val="-7"/>
        </w:rPr>
        <w:t> </w:t>
      </w:r>
      <w:r>
        <w:rPr>
          <w:color w:val="231F20"/>
        </w:rPr>
        <w:t>на</w:t>
      </w:r>
      <w:r>
        <w:rPr>
          <w:color w:val="231F20"/>
          <w:spacing w:val="-7"/>
        </w:rPr>
        <w:t> </w:t>
      </w:r>
      <w:r>
        <w:rPr>
          <w:color w:val="231F20"/>
        </w:rPr>
        <w:t>живот- ну средину у </w:t>
      </w:r>
      <w:r>
        <w:rPr>
          <w:color w:val="231F20"/>
          <w:spacing w:val="-4"/>
        </w:rPr>
        <w:t>окружењу, </w:t>
      </w:r>
      <w:r>
        <w:rPr>
          <w:color w:val="231F20"/>
        </w:rPr>
        <w:t>као наставак реализације сложеног про- јекта технолошког сређивања </w:t>
      </w:r>
      <w:r>
        <w:rPr>
          <w:color w:val="231F20"/>
          <w:spacing w:val="-3"/>
        </w:rPr>
        <w:t>блокова </w:t>
      </w:r>
      <w:r>
        <w:rPr>
          <w:color w:val="231F20"/>
        </w:rPr>
        <w:t>А1 и А2, </w:t>
      </w:r>
      <w:r>
        <w:rPr>
          <w:color w:val="231F20"/>
          <w:spacing w:val="-3"/>
        </w:rPr>
        <w:t>након </w:t>
      </w:r>
      <w:r>
        <w:rPr>
          <w:color w:val="231F20"/>
        </w:rPr>
        <w:t>инвестиција у електрофилтерско</w:t>
      </w:r>
      <w:r>
        <w:rPr>
          <w:color w:val="231F20"/>
          <w:spacing w:val="-1"/>
        </w:rPr>
        <w:t> </w:t>
      </w:r>
      <w:r>
        <w:rPr>
          <w:color w:val="231F20"/>
        </w:rPr>
        <w:t>постројење.</w:t>
      </w:r>
    </w:p>
    <w:p>
      <w:pPr>
        <w:pStyle w:val="BodyText"/>
        <w:spacing w:line="232" w:lineRule="auto" w:before="2"/>
        <w:ind w:left="243" w:right="126" w:firstLine="396"/>
      </w:pPr>
      <w:r>
        <w:rPr>
          <w:color w:val="231F20"/>
        </w:rPr>
        <w:t>У оквиру продуженог ремонта на блоку А1, најважније пла- ниране активности су санација димњака, уградња елемената си- стема мониторинга за мерење емисије честица прашине, SO2, NOx, CO2 и уградња система за вибродијагностику на турбоа- грегату.</w:t>
      </w:r>
    </w:p>
    <w:p>
      <w:pPr>
        <w:pStyle w:val="BodyText"/>
        <w:spacing w:line="232" w:lineRule="auto" w:before="2"/>
        <w:ind w:left="243" w:right="126" w:firstLine="396"/>
      </w:pPr>
      <w:r>
        <w:rPr>
          <w:color w:val="231F20"/>
        </w:rPr>
        <w:t>На блоку А2, актуелан је завршетак капиталног ремонта. То је ремонт који се ради сваких пет до шест година у трајању од 75 дана. Најважније активности су модернизација турбине и регула- ционог система турбине, модернизација загрејача ваздуха, рекон- струкција система побуде генератора, реконструкција пријемног дела допреме угља.</w:t>
      </w:r>
    </w:p>
    <w:p>
      <w:pPr>
        <w:pStyle w:val="BodyText"/>
        <w:spacing w:line="232" w:lineRule="auto" w:before="2"/>
        <w:ind w:left="244" w:right="126" w:firstLine="396"/>
      </w:pPr>
      <w:r>
        <w:rPr>
          <w:color w:val="231F20"/>
        </w:rPr>
        <w:t>Предстоји реконструкција система за одлагање пепела и шљаке густом хидромешавином, као што је већ урађено на ТЕ</w:t>
      </w:r>
    </w:p>
    <w:p>
      <w:pPr>
        <w:pStyle w:val="BodyText"/>
        <w:spacing w:line="232" w:lineRule="auto"/>
        <w:ind w:left="244" w:right="125"/>
      </w:pPr>
      <w:r>
        <w:rPr>
          <w:color w:val="231F20"/>
        </w:rPr>
        <w:t>„Костолац</w:t>
      </w:r>
      <w:r>
        <w:rPr>
          <w:color w:val="231F20"/>
          <w:spacing w:val="-8"/>
        </w:rPr>
        <w:t> </w:t>
      </w:r>
      <w:r>
        <w:rPr>
          <w:color w:val="231F20"/>
        </w:rPr>
        <w:t>Б”.</w:t>
      </w:r>
      <w:r>
        <w:rPr>
          <w:color w:val="231F20"/>
          <w:spacing w:val="-8"/>
        </w:rPr>
        <w:t> </w:t>
      </w:r>
      <w:r>
        <w:rPr>
          <w:color w:val="231F20"/>
        </w:rPr>
        <w:t>Крајем</w:t>
      </w:r>
      <w:r>
        <w:rPr>
          <w:color w:val="231F20"/>
          <w:spacing w:val="-8"/>
        </w:rPr>
        <w:t> </w:t>
      </w:r>
      <w:r>
        <w:rPr>
          <w:color w:val="231F20"/>
        </w:rPr>
        <w:t>2010.</w:t>
      </w:r>
      <w:r>
        <w:rPr>
          <w:color w:val="231F20"/>
          <w:spacing w:val="-8"/>
        </w:rPr>
        <w:t> </w:t>
      </w:r>
      <w:r>
        <w:rPr>
          <w:color w:val="231F20"/>
          <w:spacing w:val="-3"/>
        </w:rPr>
        <w:t>године</w:t>
      </w:r>
      <w:r>
        <w:rPr>
          <w:color w:val="231F20"/>
          <w:spacing w:val="-8"/>
        </w:rPr>
        <w:t> </w:t>
      </w:r>
      <w:r>
        <w:rPr>
          <w:color w:val="231F20"/>
        </w:rPr>
        <w:t>започели</w:t>
      </w:r>
      <w:r>
        <w:rPr>
          <w:color w:val="231F20"/>
          <w:spacing w:val="-8"/>
        </w:rPr>
        <w:t> </w:t>
      </w:r>
      <w:r>
        <w:rPr>
          <w:color w:val="231F20"/>
        </w:rPr>
        <w:t>су</w:t>
      </w:r>
      <w:r>
        <w:rPr>
          <w:color w:val="231F20"/>
          <w:spacing w:val="-8"/>
        </w:rPr>
        <w:t> </w:t>
      </w:r>
      <w:r>
        <w:rPr>
          <w:color w:val="231F20"/>
        </w:rPr>
        <w:t>пројектни</w:t>
      </w:r>
      <w:r>
        <w:rPr>
          <w:color w:val="231F20"/>
          <w:spacing w:val="-8"/>
        </w:rPr>
        <w:t> </w:t>
      </w:r>
      <w:r>
        <w:rPr>
          <w:color w:val="231F20"/>
        </w:rPr>
        <w:t>и</w:t>
      </w:r>
      <w:r>
        <w:rPr>
          <w:color w:val="231F20"/>
          <w:spacing w:val="-8"/>
        </w:rPr>
        <w:t> </w:t>
      </w:r>
      <w:r>
        <w:rPr>
          <w:color w:val="231F20"/>
        </w:rPr>
        <w:t>радови на </w:t>
      </w:r>
      <w:r>
        <w:rPr>
          <w:color w:val="231F20"/>
          <w:spacing w:val="-3"/>
        </w:rPr>
        <w:t>геоиспитивању, </w:t>
      </w:r>
      <w:r>
        <w:rPr>
          <w:color w:val="231F20"/>
        </w:rPr>
        <w:t>а у наредном периоду планира се реконструк- ција</w:t>
      </w:r>
      <w:r>
        <w:rPr>
          <w:color w:val="231F20"/>
          <w:spacing w:val="-10"/>
        </w:rPr>
        <w:t> </w:t>
      </w:r>
      <w:r>
        <w:rPr>
          <w:color w:val="231F20"/>
        </w:rPr>
        <w:t>целокупног</w:t>
      </w:r>
      <w:r>
        <w:rPr>
          <w:color w:val="231F20"/>
          <w:spacing w:val="-10"/>
        </w:rPr>
        <w:t> </w:t>
      </w:r>
      <w:r>
        <w:rPr>
          <w:color w:val="231F20"/>
        </w:rPr>
        <w:t>система</w:t>
      </w:r>
      <w:r>
        <w:rPr>
          <w:color w:val="231F20"/>
          <w:spacing w:val="-10"/>
        </w:rPr>
        <w:t> </w:t>
      </w:r>
      <w:r>
        <w:rPr>
          <w:color w:val="231F20"/>
        </w:rPr>
        <w:t>за</w:t>
      </w:r>
      <w:r>
        <w:rPr>
          <w:color w:val="231F20"/>
          <w:spacing w:val="-10"/>
        </w:rPr>
        <w:t> </w:t>
      </w:r>
      <w:r>
        <w:rPr>
          <w:color w:val="231F20"/>
        </w:rPr>
        <w:t>отпељивање</w:t>
      </w:r>
      <w:r>
        <w:rPr>
          <w:color w:val="231F20"/>
          <w:spacing w:val="-10"/>
        </w:rPr>
        <w:t> </w:t>
      </w:r>
      <w:r>
        <w:rPr>
          <w:color w:val="231F20"/>
          <w:spacing w:val="-3"/>
        </w:rPr>
        <w:t>блокова</w:t>
      </w:r>
      <w:r>
        <w:rPr>
          <w:color w:val="231F20"/>
          <w:spacing w:val="-10"/>
        </w:rPr>
        <w:t> </w:t>
      </w:r>
      <w:r>
        <w:rPr>
          <w:color w:val="231F20"/>
        </w:rPr>
        <w:t>ТЕ</w:t>
      </w:r>
      <w:r>
        <w:rPr>
          <w:color w:val="231F20"/>
          <w:spacing w:val="-10"/>
        </w:rPr>
        <w:t> </w:t>
      </w:r>
      <w:r>
        <w:rPr>
          <w:color w:val="231F20"/>
        </w:rPr>
        <w:t>„Костолац</w:t>
      </w:r>
      <w:r>
        <w:rPr>
          <w:color w:val="231F20"/>
          <w:spacing w:val="-10"/>
        </w:rPr>
        <w:t> </w:t>
      </w:r>
      <w:r>
        <w:rPr>
          <w:color w:val="231F20"/>
        </w:rPr>
        <w:t>А”. Одлагањем пепела и шљаке густом хидромешавином требало је обезбедити стабилност депоније на Средњем </w:t>
      </w:r>
      <w:r>
        <w:rPr>
          <w:color w:val="231F20"/>
          <w:spacing w:val="-4"/>
        </w:rPr>
        <w:t>костолачком острву, </w:t>
      </w:r>
      <w:r>
        <w:rPr>
          <w:color w:val="231F20"/>
        </w:rPr>
        <w:t>али и еколошки сигурније одлагање нуспроизвода </w:t>
      </w:r>
      <w:r>
        <w:rPr>
          <w:color w:val="231F20"/>
          <w:spacing w:val="-3"/>
        </w:rPr>
        <w:t>блокова </w:t>
      </w:r>
      <w:r>
        <w:rPr>
          <w:color w:val="231F20"/>
        </w:rPr>
        <w:t>А1 и А2. Ово је подразумевало и замену магистралног пепеловода до депоније, као и развод по самој</w:t>
      </w:r>
      <w:r>
        <w:rPr>
          <w:color w:val="231F20"/>
          <w:spacing w:val="-5"/>
        </w:rPr>
        <w:t> </w:t>
      </w:r>
      <w:r>
        <w:rPr>
          <w:color w:val="231F20"/>
        </w:rPr>
        <w:t>депонији.</w:t>
      </w:r>
    </w:p>
    <w:p>
      <w:pPr>
        <w:pStyle w:val="BodyText"/>
        <w:spacing w:line="232" w:lineRule="auto" w:before="2"/>
        <w:ind w:left="244" w:right="126" w:firstLine="449"/>
      </w:pPr>
      <w:r>
        <w:rPr>
          <w:color w:val="231F20"/>
        </w:rPr>
        <w:t>У међувремену, као еколошки повољније и технички оправ- даније решење, изабрано је одлагање пепела на депонији у откоп- ном простору ПК „Ћириковац”. С тим у вези, на депонији „Сред- ње костолачко острво” предстоје обимни радови на техничкој и биолошкој рекултивацији и ремедијацији геосредине и уређењу депоније (касета „Б” и „Ц”) и околног простора.</w:t>
      </w:r>
    </w:p>
    <w:p>
      <w:pPr>
        <w:spacing w:after="0" w:line="232" w:lineRule="auto"/>
        <w:sectPr>
          <w:pgSz w:w="12480" w:h="15690"/>
          <w:pgMar w:top="120" w:bottom="280" w:left="680" w:right="720"/>
          <w:cols w:num="2" w:equalWidth="0">
            <w:col w:w="5558" w:space="40"/>
            <w:col w:w="5482"/>
          </w:cols>
        </w:sectPr>
      </w:pPr>
    </w:p>
    <w:p>
      <w:pPr>
        <w:pStyle w:val="BodyText"/>
        <w:spacing w:before="68"/>
        <w:ind w:right="39" w:firstLine="397"/>
      </w:pPr>
      <w:r>
        <w:rPr/>
        <w:pict>
          <v:line style="position:absolute;mso-position-horizontal-relative:page;mso-position-vertical-relative:page;z-index:4120" from="304.724396pt,11.942451pt" to="304.724396pt,748.950451pt" stroked="true" strokeweight=".6pt" strokecolor="#231f20">
            <v:stroke dashstyle="solid"/>
            <w10:wrap type="none"/>
          </v:line>
        </w:pict>
      </w:r>
      <w:r>
        <w:rPr>
          <w:color w:val="231F20"/>
        </w:rPr>
        <w:t>У оквиру активности и пројеката који се односе на одржа- вање и унапређење постојећих производних постројења у перио- ду до 2012. године потребно је предвидети реализацију следећих пројеката:</w:t>
      </w:r>
    </w:p>
    <w:p>
      <w:pPr>
        <w:pStyle w:val="ListParagraph"/>
        <w:numPr>
          <w:ilvl w:val="1"/>
          <w:numId w:val="61"/>
        </w:numPr>
        <w:tabs>
          <w:tab w:pos="763" w:val="left" w:leader="none"/>
        </w:tabs>
        <w:spacing w:line="240" w:lineRule="auto" w:before="5" w:after="0"/>
        <w:ind w:left="657" w:right="0" w:hanging="90"/>
        <w:jc w:val="left"/>
        <w:rPr>
          <w:sz w:val="18"/>
        </w:rPr>
      </w:pPr>
      <w:r>
        <w:rPr>
          <w:color w:val="231F20"/>
          <w:sz w:val="18"/>
        </w:rPr>
        <w:t>реконструкција система за транспорт пепела и шљаке</w:t>
      </w:r>
      <w:r>
        <w:rPr>
          <w:color w:val="231F20"/>
          <w:spacing w:val="-19"/>
          <w:sz w:val="18"/>
        </w:rPr>
        <w:t> </w:t>
      </w:r>
      <w:r>
        <w:rPr>
          <w:color w:val="231F20"/>
          <w:sz w:val="18"/>
        </w:rPr>
        <w:t>и</w:t>
      </w:r>
    </w:p>
    <w:p>
      <w:pPr>
        <w:pStyle w:val="ListParagraph"/>
        <w:numPr>
          <w:ilvl w:val="1"/>
          <w:numId w:val="61"/>
        </w:numPr>
        <w:tabs>
          <w:tab w:pos="755" w:val="left" w:leader="none"/>
        </w:tabs>
        <w:spacing w:line="439" w:lineRule="auto" w:before="2" w:after="0"/>
        <w:ind w:left="657" w:right="48" w:hanging="90"/>
        <w:jc w:val="left"/>
        <w:rPr>
          <w:sz w:val="18"/>
        </w:rPr>
      </w:pPr>
      <w:r>
        <w:rPr>
          <w:color w:val="231F20"/>
          <w:spacing w:val="-3"/>
          <w:sz w:val="18"/>
        </w:rPr>
        <w:t>изградња постројења </w:t>
      </w:r>
      <w:r>
        <w:rPr>
          <w:color w:val="231F20"/>
          <w:sz w:val="18"/>
        </w:rPr>
        <w:t>и </w:t>
      </w:r>
      <w:r>
        <w:rPr>
          <w:color w:val="231F20"/>
          <w:spacing w:val="-3"/>
          <w:sz w:val="18"/>
        </w:rPr>
        <w:t>унапређење третмана отпадних </w:t>
      </w:r>
      <w:r>
        <w:rPr>
          <w:color w:val="231F20"/>
          <w:spacing w:val="-4"/>
          <w:sz w:val="18"/>
        </w:rPr>
        <w:t>вода. </w:t>
      </w:r>
      <w:r>
        <w:rPr>
          <w:color w:val="231F20"/>
          <w:sz w:val="18"/>
        </w:rPr>
        <w:t>Реконструкција система за транспорт пепела и</w:t>
      </w:r>
      <w:r>
        <w:rPr>
          <w:color w:val="231F20"/>
          <w:spacing w:val="-15"/>
          <w:sz w:val="18"/>
        </w:rPr>
        <w:t> </w:t>
      </w:r>
      <w:r>
        <w:rPr>
          <w:color w:val="231F20"/>
          <w:sz w:val="18"/>
        </w:rPr>
        <w:t>шљаке</w:t>
      </w:r>
    </w:p>
    <w:p>
      <w:pPr>
        <w:pStyle w:val="BodyText"/>
        <w:spacing w:before="38"/>
        <w:ind w:left="171" w:right="38" w:firstLine="396"/>
      </w:pPr>
      <w:r>
        <w:rPr>
          <w:color w:val="231F20"/>
        </w:rPr>
        <w:t>Реконструкција система за транспорт пепела и шљаке подра- зумева извођење нових објеката, реконструкцију делова постоје- ћих објеката и уградњу нових постројења за потребе технолошког решења припреме, транспорта и одлагања пепела и шљаке у виду густе хидромешавине (однос пепео: вода = 1 : 1), које је изабрано као најповољније.</w:t>
      </w:r>
    </w:p>
    <w:p>
      <w:pPr>
        <w:pStyle w:val="BodyText"/>
        <w:spacing w:before="9"/>
        <w:ind w:left="171" w:right="38" w:firstLine="397"/>
      </w:pPr>
      <w:r>
        <w:rPr>
          <w:color w:val="231F20"/>
        </w:rPr>
        <w:t>Пепео и шљака, који настају као нуспродукт у процесу саго- ревања костолачког лигнита су основна сировина у технолошком процесу прикупљања, припреме, транспорта и одлагања пепела и шљаке. По свом карактеру спадају у неопасан отпад</w:t>
      </w:r>
      <w:r>
        <w:rPr>
          <w:color w:val="231F20"/>
          <w:position w:val="6"/>
          <w:sz w:val="10"/>
        </w:rPr>
        <w:t>18</w:t>
      </w:r>
      <w:r>
        <w:rPr>
          <w:color w:val="231F20"/>
        </w:rPr>
        <w:t>.</w:t>
      </w:r>
    </w:p>
    <w:p>
      <w:pPr>
        <w:pStyle w:val="BodyText"/>
        <w:spacing w:before="5"/>
        <w:ind w:right="40" w:firstLine="396"/>
      </w:pPr>
      <w:r>
        <w:rPr>
          <w:color w:val="231F20"/>
        </w:rPr>
        <w:t>Систем за прикупљање, припрему, транспорт и одлагање пе- пела и шљаке чине следеће технолошке целине:</w:t>
      </w:r>
    </w:p>
    <w:p>
      <w:pPr>
        <w:pStyle w:val="BodyText"/>
        <w:spacing w:before="3"/>
        <w:ind w:right="39" w:firstLine="396"/>
      </w:pPr>
      <w:r>
        <w:rPr>
          <w:color w:val="231F20"/>
          <w:w w:val="66"/>
        </w:rPr>
        <w:t> </w:t>
      </w:r>
      <w:r>
        <w:rPr>
          <w:color w:val="231F20"/>
        </w:rPr>
        <w:t>– унутрашњи транспорт пепела, што подразумева систем пнеуматског транспорта сувог пепела од места његовог издвајања на котловском постројењу до сабирног силоса;</w:t>
      </w:r>
    </w:p>
    <w:p>
      <w:pPr>
        <w:pStyle w:val="BodyText"/>
        <w:spacing w:before="4"/>
        <w:ind w:left="567"/>
        <w:jc w:val="left"/>
      </w:pPr>
      <w:r>
        <w:rPr>
          <w:color w:val="231F20"/>
          <w:w w:val="66"/>
        </w:rPr>
        <w:t> </w:t>
      </w:r>
      <w:r>
        <w:rPr>
          <w:color w:val="231F20"/>
        </w:rPr>
        <w:t>– унутрашњи транспорт шљаке;</w:t>
      </w:r>
    </w:p>
    <w:p>
      <w:pPr>
        <w:pStyle w:val="BodyText"/>
        <w:spacing w:before="2"/>
        <w:ind w:right="39" w:firstLine="396"/>
      </w:pPr>
      <w:r>
        <w:rPr>
          <w:color w:val="231F20"/>
          <w:w w:val="66"/>
        </w:rPr>
        <w:t> </w:t>
      </w:r>
      <w:r>
        <w:rPr>
          <w:color w:val="231F20"/>
        </w:rPr>
        <w:t>– припрема „густе” хидромешавине (суспензија пепела и шљаке са водом, концентрације око 50% чврстог);</w:t>
      </w:r>
    </w:p>
    <w:p>
      <w:pPr>
        <w:pStyle w:val="BodyText"/>
        <w:spacing w:before="3"/>
        <w:ind w:left="567"/>
        <w:jc w:val="left"/>
      </w:pPr>
      <w:r>
        <w:rPr>
          <w:color w:val="231F20"/>
          <w:w w:val="66"/>
        </w:rPr>
        <w:t> </w:t>
      </w:r>
      <w:r>
        <w:rPr>
          <w:color w:val="231F20"/>
        </w:rPr>
        <w:t>– хидраулични транспорт хидромешавине до депоније у ПК</w:t>
      </w:r>
    </w:p>
    <w:p>
      <w:pPr>
        <w:pStyle w:val="BodyText"/>
        <w:spacing w:before="1"/>
        <w:jc w:val="left"/>
      </w:pPr>
      <w:r>
        <w:rPr>
          <w:color w:val="231F20"/>
        </w:rPr>
        <w:t>„Ћириковац”; и</w:t>
      </w:r>
    </w:p>
    <w:p>
      <w:pPr>
        <w:pStyle w:val="BodyText"/>
        <w:spacing w:before="2"/>
        <w:ind w:left="567"/>
        <w:jc w:val="left"/>
      </w:pPr>
      <w:r>
        <w:rPr>
          <w:color w:val="231F20"/>
          <w:w w:val="66"/>
        </w:rPr>
        <w:t> </w:t>
      </w:r>
      <w:r>
        <w:rPr>
          <w:color w:val="231F20"/>
        </w:rPr>
        <w:t>– припрема депоније за одлагање пепела и шљаке.</w:t>
      </w:r>
    </w:p>
    <w:p>
      <w:pPr>
        <w:pStyle w:val="BodyText"/>
        <w:spacing w:before="1"/>
        <w:ind w:right="40" w:firstLine="396"/>
      </w:pPr>
      <w:r>
        <w:rPr>
          <w:color w:val="231F20"/>
        </w:rPr>
        <w:t>У</w:t>
      </w:r>
      <w:r>
        <w:rPr>
          <w:color w:val="231F20"/>
          <w:spacing w:val="-6"/>
        </w:rPr>
        <w:t> </w:t>
      </w:r>
      <w:r>
        <w:rPr>
          <w:color w:val="231F20"/>
        </w:rPr>
        <w:t>оквиру</w:t>
      </w:r>
      <w:r>
        <w:rPr>
          <w:color w:val="231F20"/>
          <w:spacing w:val="-6"/>
        </w:rPr>
        <w:t> </w:t>
      </w:r>
      <w:r>
        <w:rPr>
          <w:color w:val="231F20"/>
          <w:spacing w:val="-3"/>
        </w:rPr>
        <w:t>комплекса</w:t>
      </w:r>
      <w:r>
        <w:rPr>
          <w:color w:val="231F20"/>
          <w:spacing w:val="-7"/>
        </w:rPr>
        <w:t> </w:t>
      </w:r>
      <w:r>
        <w:rPr>
          <w:color w:val="231F20"/>
        </w:rPr>
        <w:t>ТЕ</w:t>
      </w:r>
      <w:r>
        <w:rPr>
          <w:color w:val="231F20"/>
          <w:spacing w:val="-7"/>
        </w:rPr>
        <w:t> </w:t>
      </w:r>
      <w:r>
        <w:rPr>
          <w:color w:val="231F20"/>
        </w:rPr>
        <w:t>„Костолац</w:t>
      </w:r>
      <w:r>
        <w:rPr>
          <w:color w:val="231F20"/>
          <w:spacing w:val="-6"/>
        </w:rPr>
        <w:t> </w:t>
      </w:r>
      <w:r>
        <w:rPr>
          <w:color w:val="231F20"/>
        </w:rPr>
        <w:t>А”</w:t>
      </w:r>
      <w:r>
        <w:rPr>
          <w:color w:val="231F20"/>
          <w:spacing w:val="-6"/>
        </w:rPr>
        <w:t> </w:t>
      </w:r>
      <w:r>
        <w:rPr>
          <w:color w:val="231F20"/>
        </w:rPr>
        <w:t>реализује</w:t>
      </w:r>
      <w:r>
        <w:rPr>
          <w:color w:val="231F20"/>
          <w:spacing w:val="-7"/>
        </w:rPr>
        <w:t> </w:t>
      </w:r>
      <w:r>
        <w:rPr>
          <w:color w:val="231F20"/>
        </w:rPr>
        <w:t>се</w:t>
      </w:r>
      <w:r>
        <w:rPr>
          <w:color w:val="231F20"/>
          <w:spacing w:val="-7"/>
        </w:rPr>
        <w:t> </w:t>
      </w:r>
      <w:r>
        <w:rPr>
          <w:color w:val="231F20"/>
        </w:rPr>
        <w:t>подсистем прикупљања, унутрашњег транспорта, смештаја у силосе и при- преме за транспорт угушћене смеше на депонију</w:t>
      </w:r>
      <w:r>
        <w:rPr>
          <w:color w:val="231F20"/>
          <w:spacing w:val="-11"/>
        </w:rPr>
        <w:t> </w:t>
      </w:r>
      <w:r>
        <w:rPr>
          <w:color w:val="231F20"/>
          <w:spacing w:val="-3"/>
        </w:rPr>
        <w:t>„Ћириковац”.</w:t>
      </w:r>
    </w:p>
    <w:p>
      <w:pPr>
        <w:pStyle w:val="BodyText"/>
        <w:spacing w:before="4"/>
        <w:ind w:right="39" w:firstLine="396"/>
      </w:pPr>
      <w:r>
        <w:rPr>
          <w:color w:val="231F20"/>
        </w:rPr>
        <w:t>Основни концепт реконструкције система за прикупљање пепела састоји се у томе да се суви пепео системом </w:t>
      </w:r>
      <w:r>
        <w:rPr>
          <w:color w:val="231F20"/>
          <w:spacing w:val="-3"/>
        </w:rPr>
        <w:t>пнеуматског </w:t>
      </w:r>
      <w:r>
        <w:rPr>
          <w:color w:val="231F20"/>
        </w:rPr>
        <w:t>транспорта са појединих места његовог издвајања на једном и </w:t>
      </w:r>
      <w:r>
        <w:rPr>
          <w:color w:val="231F20"/>
          <w:spacing w:val="-3"/>
        </w:rPr>
        <w:t>другом </w:t>
      </w:r>
      <w:r>
        <w:rPr>
          <w:color w:val="231F20"/>
        </w:rPr>
        <w:t>блоку сакупља у сабирном силосу за суви пепео. Пепео се прво прикупља у </w:t>
      </w:r>
      <w:r>
        <w:rPr>
          <w:color w:val="231F20"/>
          <w:spacing w:val="-3"/>
        </w:rPr>
        <w:t>посуде </w:t>
      </w:r>
      <w:r>
        <w:rPr>
          <w:color w:val="231F20"/>
        </w:rPr>
        <w:t>за прихватање пепела, </w:t>
      </w:r>
      <w:r>
        <w:rPr>
          <w:color w:val="231F20"/>
          <w:spacing w:val="-3"/>
        </w:rPr>
        <w:t>које </w:t>
      </w:r>
      <w:r>
        <w:rPr>
          <w:color w:val="231F20"/>
        </w:rPr>
        <w:t>треба да </w:t>
      </w:r>
      <w:r>
        <w:rPr>
          <w:color w:val="231F20"/>
          <w:spacing w:val="-3"/>
        </w:rPr>
        <w:t>бу- </w:t>
      </w:r>
      <w:r>
        <w:rPr>
          <w:color w:val="231F20"/>
        </w:rPr>
        <w:t>ду постављене на излазним отворима испусних </w:t>
      </w:r>
      <w:r>
        <w:rPr>
          <w:color w:val="231F20"/>
          <w:spacing w:val="-3"/>
        </w:rPr>
        <w:t>левкова </w:t>
      </w:r>
      <w:r>
        <w:rPr>
          <w:color w:val="231F20"/>
        </w:rPr>
        <w:t>оба блока, одакле се транспортује челичним цевоводима за пнеуматски</w:t>
      </w:r>
      <w:r>
        <w:rPr>
          <w:color w:val="231F20"/>
          <w:spacing w:val="-25"/>
        </w:rPr>
        <w:t> </w:t>
      </w:r>
      <w:r>
        <w:rPr>
          <w:color w:val="231F20"/>
        </w:rPr>
        <w:t>тран- спорт у поједине ћелије сабирног</w:t>
      </w:r>
      <w:r>
        <w:rPr>
          <w:color w:val="231F20"/>
          <w:spacing w:val="-3"/>
        </w:rPr>
        <w:t> </w:t>
      </w:r>
      <w:r>
        <w:rPr>
          <w:color w:val="231F20"/>
        </w:rPr>
        <w:t>силоса.</w:t>
      </w:r>
    </w:p>
    <w:p>
      <w:pPr>
        <w:pStyle w:val="BodyText"/>
        <w:spacing w:before="12"/>
        <w:ind w:right="39" w:firstLine="396"/>
      </w:pPr>
      <w:r>
        <w:rPr>
          <w:color w:val="231F20"/>
        </w:rPr>
        <w:t>За припрему пепела и шљаке за хидраулични транспорт предвиђене</w:t>
      </w:r>
      <w:r>
        <w:rPr>
          <w:color w:val="231F20"/>
          <w:spacing w:val="-4"/>
        </w:rPr>
        <w:t> </w:t>
      </w:r>
      <w:r>
        <w:rPr>
          <w:color w:val="231F20"/>
        </w:rPr>
        <w:t>су</w:t>
      </w:r>
      <w:r>
        <w:rPr>
          <w:color w:val="231F20"/>
          <w:spacing w:val="-4"/>
        </w:rPr>
        <w:t> </w:t>
      </w:r>
      <w:r>
        <w:rPr>
          <w:color w:val="231F20"/>
        </w:rPr>
        <w:t>две</w:t>
      </w:r>
      <w:r>
        <w:rPr>
          <w:color w:val="231F20"/>
          <w:spacing w:val="-4"/>
        </w:rPr>
        <w:t> </w:t>
      </w:r>
      <w:r>
        <w:rPr>
          <w:color w:val="231F20"/>
        </w:rPr>
        <w:t>идентичне</w:t>
      </w:r>
      <w:r>
        <w:rPr>
          <w:color w:val="231F20"/>
          <w:spacing w:val="-4"/>
        </w:rPr>
        <w:t> </w:t>
      </w:r>
      <w:r>
        <w:rPr>
          <w:color w:val="231F20"/>
        </w:rPr>
        <w:t>линије,</w:t>
      </w:r>
      <w:r>
        <w:rPr>
          <w:color w:val="231F20"/>
          <w:spacing w:val="-4"/>
        </w:rPr>
        <w:t> </w:t>
      </w:r>
      <w:r>
        <w:rPr>
          <w:color w:val="231F20"/>
          <w:spacing w:val="-3"/>
        </w:rPr>
        <w:t>од</w:t>
      </w:r>
      <w:r>
        <w:rPr>
          <w:color w:val="231F20"/>
          <w:spacing w:val="-4"/>
        </w:rPr>
        <w:t> </w:t>
      </w:r>
      <w:r>
        <w:rPr>
          <w:color w:val="231F20"/>
          <w:spacing w:val="-3"/>
        </w:rPr>
        <w:t>којих</w:t>
      </w:r>
      <w:r>
        <w:rPr>
          <w:color w:val="231F20"/>
          <w:spacing w:val="-4"/>
        </w:rPr>
        <w:t> </w:t>
      </w:r>
      <w:r>
        <w:rPr>
          <w:color w:val="231F20"/>
        </w:rPr>
        <w:t>је</w:t>
      </w:r>
      <w:r>
        <w:rPr>
          <w:color w:val="231F20"/>
          <w:spacing w:val="-4"/>
        </w:rPr>
        <w:t> </w:t>
      </w:r>
      <w:r>
        <w:rPr>
          <w:color w:val="231F20"/>
        </w:rPr>
        <w:t>једна</w:t>
      </w:r>
      <w:r>
        <w:rPr>
          <w:color w:val="231F20"/>
          <w:spacing w:val="-4"/>
        </w:rPr>
        <w:t> </w:t>
      </w:r>
      <w:r>
        <w:rPr>
          <w:color w:val="231F20"/>
        </w:rPr>
        <w:t>радна</w:t>
      </w:r>
      <w:r>
        <w:rPr>
          <w:color w:val="231F20"/>
          <w:spacing w:val="-4"/>
        </w:rPr>
        <w:t> </w:t>
      </w:r>
      <w:r>
        <w:rPr>
          <w:color w:val="231F20"/>
        </w:rPr>
        <w:t>а</w:t>
      </w:r>
      <w:r>
        <w:rPr>
          <w:color w:val="231F20"/>
          <w:spacing w:val="-4"/>
        </w:rPr>
        <w:t> </w:t>
      </w:r>
      <w:r>
        <w:rPr>
          <w:color w:val="231F20"/>
        </w:rPr>
        <w:t>дру- га резервна. Пепео из силоса се празни помоћу пнеуматских </w:t>
      </w:r>
      <w:r>
        <w:rPr>
          <w:color w:val="231F20"/>
          <w:spacing w:val="-3"/>
        </w:rPr>
        <w:t>кори- </w:t>
      </w:r>
      <w:r>
        <w:rPr>
          <w:color w:val="231F20"/>
        </w:rPr>
        <w:t>та </w:t>
      </w:r>
      <w:r>
        <w:rPr>
          <w:color w:val="231F20"/>
          <w:spacing w:val="-3"/>
        </w:rPr>
        <w:t>преко конзолне </w:t>
      </w:r>
      <w:r>
        <w:rPr>
          <w:color w:val="231F20"/>
        </w:rPr>
        <w:t>ваге у</w:t>
      </w:r>
      <w:r>
        <w:rPr>
          <w:color w:val="231F20"/>
          <w:spacing w:val="2"/>
        </w:rPr>
        <w:t> </w:t>
      </w:r>
      <w:r>
        <w:rPr>
          <w:color w:val="231F20"/>
        </w:rPr>
        <w:t>кондиционер.</w:t>
      </w:r>
    </w:p>
    <w:p>
      <w:pPr>
        <w:pStyle w:val="BodyText"/>
        <w:spacing w:before="6"/>
        <w:ind w:right="39" w:firstLine="396"/>
      </w:pPr>
      <w:r>
        <w:rPr>
          <w:color w:val="231F20"/>
        </w:rPr>
        <w:t>Шљака максималне крупноће 6 mm, из бункера за шљаку   се помоћу ексцентричног додавача, дозира на </w:t>
      </w:r>
      <w:r>
        <w:rPr>
          <w:color w:val="231F20"/>
          <w:spacing w:val="-3"/>
        </w:rPr>
        <w:t>косу </w:t>
      </w:r>
      <w:r>
        <w:rPr>
          <w:color w:val="231F20"/>
        </w:rPr>
        <w:t>транспортну </w:t>
      </w:r>
      <w:r>
        <w:rPr>
          <w:color w:val="231F20"/>
          <w:spacing w:val="-4"/>
        </w:rPr>
        <w:t>траку, </w:t>
      </w:r>
      <w:r>
        <w:rPr>
          <w:color w:val="231F20"/>
          <w:spacing w:val="-3"/>
        </w:rPr>
        <w:t>одатле </w:t>
      </w:r>
      <w:r>
        <w:rPr>
          <w:color w:val="231F20"/>
        </w:rPr>
        <w:t>гравитацијски пада на реверзибилну хоризонталну транспортну траку </w:t>
      </w:r>
      <w:r>
        <w:rPr>
          <w:color w:val="231F20"/>
          <w:spacing w:val="-3"/>
        </w:rPr>
        <w:t>која </w:t>
      </w:r>
      <w:r>
        <w:rPr>
          <w:color w:val="231F20"/>
        </w:rPr>
        <w:t>шљаку уводи у радни кондиционер, </w:t>
      </w:r>
      <w:r>
        <w:rPr>
          <w:color w:val="231F20"/>
          <w:spacing w:val="-4"/>
        </w:rPr>
        <w:t>где </w:t>
      </w:r>
      <w:r>
        <w:rPr>
          <w:color w:val="231F20"/>
        </w:rPr>
        <w:t>се врши припрема хидромешавине пепела и шљаке са </w:t>
      </w:r>
      <w:r>
        <w:rPr>
          <w:color w:val="231F20"/>
          <w:spacing w:val="-3"/>
        </w:rPr>
        <w:t>технолошком водом </w:t>
      </w:r>
      <w:r>
        <w:rPr>
          <w:color w:val="231F20"/>
        </w:rPr>
        <w:t>у одговарајућем масеном </w:t>
      </w:r>
      <w:r>
        <w:rPr>
          <w:color w:val="231F20"/>
          <w:spacing w:val="-4"/>
        </w:rPr>
        <w:t>односу. </w:t>
      </w:r>
      <w:r>
        <w:rPr>
          <w:color w:val="231F20"/>
        </w:rPr>
        <w:t>Кондиционер се отпрашу- је помоћу вентилатора, а прашина се обара мокрим поступком по- моћу воденог спреја у скруберима и </w:t>
      </w:r>
      <w:r>
        <w:rPr>
          <w:color w:val="231F20"/>
          <w:spacing w:val="-3"/>
        </w:rPr>
        <w:t>одводи </w:t>
      </w:r>
      <w:r>
        <w:rPr>
          <w:color w:val="231F20"/>
        </w:rPr>
        <w:t>назад у кондиционер. Максимална концентрација честица је 30 mg/m³. На издувној</w:t>
      </w:r>
      <w:r>
        <w:rPr>
          <w:color w:val="231F20"/>
          <w:spacing w:val="-32"/>
        </w:rPr>
        <w:t> </w:t>
      </w:r>
      <w:r>
        <w:rPr>
          <w:color w:val="231F20"/>
        </w:rPr>
        <w:t>цеви је постављен континуални мерач концентрације честица. Конди- ционери су опремљени сондама за мерење нивоа хидромешавине и имају функцију у </w:t>
      </w:r>
      <w:r>
        <w:rPr>
          <w:color w:val="231F20"/>
          <w:spacing w:val="-4"/>
        </w:rPr>
        <w:t>аутоматском </w:t>
      </w:r>
      <w:r>
        <w:rPr>
          <w:color w:val="231F20"/>
        </w:rPr>
        <w:t>режиму рада</w:t>
      </w:r>
      <w:r>
        <w:rPr>
          <w:color w:val="231F20"/>
          <w:spacing w:val="1"/>
        </w:rPr>
        <w:t> </w:t>
      </w:r>
      <w:r>
        <w:rPr>
          <w:color w:val="231F20"/>
        </w:rPr>
        <w:t>постројења.</w:t>
      </w:r>
    </w:p>
    <w:p>
      <w:pPr>
        <w:pStyle w:val="BodyText"/>
        <w:spacing w:before="17"/>
        <w:ind w:left="171" w:right="38" w:firstLine="396"/>
      </w:pPr>
      <w:r>
        <w:rPr>
          <w:color w:val="231F20"/>
        </w:rPr>
        <w:t>За процес припреме хидромешавине користи се вода из по- стојећег резервоара багер пумпи блока А2. Ову воду чине прели- ви дехидратора, вода из акумулационог базена са депоније пепела (дренажна, преливна и атмосферска) и вода из новог система си- рове воде.</w:t>
      </w:r>
    </w:p>
    <w:p>
      <w:pPr>
        <w:pStyle w:val="BodyText"/>
        <w:spacing w:before="8"/>
        <w:ind w:left="172" w:right="38" w:firstLine="396"/>
      </w:pPr>
      <w:r>
        <w:rPr>
          <w:color w:val="231F20"/>
        </w:rPr>
        <w:t>Технолошка вода се транспортује центрифугалним муљним пумпама преко регулационог вентила и мерача протока у радни кондиционер. Количина технолошке воде која се регулише елек- тромоторним регулационим вентилом у функцији је протока и густине хидромешавине пепела и шљаке која се транспортује до депоније. Технолошка вода се користи и за редовно испирање це- вовода након завршетка рада постројења.</w:t>
      </w:r>
    </w:p>
    <w:p>
      <w:pPr>
        <w:spacing w:line="159"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240" w:lineRule="auto" w:before="0" w:after="0"/>
        <w:ind w:left="453" w:right="39" w:hanging="283"/>
        <w:jc w:val="left"/>
        <w:rPr>
          <w:sz w:val="14"/>
        </w:rPr>
      </w:pPr>
      <w:r>
        <w:rPr>
          <w:color w:val="231F20"/>
          <w:spacing w:val="-3"/>
          <w:sz w:val="14"/>
        </w:rPr>
        <w:t>Уверење</w:t>
      </w:r>
      <w:r>
        <w:rPr>
          <w:color w:val="231F20"/>
          <w:spacing w:val="-5"/>
          <w:sz w:val="14"/>
        </w:rPr>
        <w:t> </w:t>
      </w:r>
      <w:r>
        <w:rPr>
          <w:color w:val="231F20"/>
          <w:sz w:val="14"/>
        </w:rPr>
        <w:t>о</w:t>
      </w:r>
      <w:r>
        <w:rPr>
          <w:color w:val="231F20"/>
          <w:spacing w:val="-5"/>
          <w:sz w:val="14"/>
        </w:rPr>
        <w:t> </w:t>
      </w:r>
      <w:r>
        <w:rPr>
          <w:color w:val="231F20"/>
          <w:sz w:val="14"/>
        </w:rPr>
        <w:t>утврђивању</w:t>
      </w:r>
      <w:r>
        <w:rPr>
          <w:color w:val="231F20"/>
          <w:spacing w:val="-5"/>
          <w:sz w:val="14"/>
        </w:rPr>
        <w:t> </w:t>
      </w:r>
      <w:r>
        <w:rPr>
          <w:color w:val="231F20"/>
          <w:sz w:val="14"/>
        </w:rPr>
        <w:t>карактера</w:t>
      </w:r>
      <w:r>
        <w:rPr>
          <w:color w:val="231F20"/>
          <w:spacing w:val="-5"/>
          <w:sz w:val="14"/>
        </w:rPr>
        <w:t> </w:t>
      </w:r>
      <w:r>
        <w:rPr>
          <w:color w:val="231F20"/>
          <w:sz w:val="14"/>
        </w:rPr>
        <w:t>отпада,</w:t>
      </w:r>
      <w:r>
        <w:rPr>
          <w:color w:val="231F20"/>
          <w:spacing w:val="-5"/>
          <w:sz w:val="14"/>
        </w:rPr>
        <w:t> </w:t>
      </w:r>
      <w:r>
        <w:rPr>
          <w:color w:val="231F20"/>
          <w:sz w:val="14"/>
        </w:rPr>
        <w:t>број</w:t>
      </w:r>
      <w:r>
        <w:rPr>
          <w:color w:val="231F20"/>
          <w:spacing w:val="-5"/>
          <w:sz w:val="14"/>
        </w:rPr>
        <w:t> </w:t>
      </w:r>
      <w:r>
        <w:rPr>
          <w:color w:val="231F20"/>
          <w:sz w:val="14"/>
        </w:rPr>
        <w:t>02-1058/4</w:t>
      </w:r>
      <w:r>
        <w:rPr>
          <w:color w:val="231F20"/>
          <w:spacing w:val="-5"/>
          <w:sz w:val="14"/>
        </w:rPr>
        <w:t> </w:t>
      </w:r>
      <w:r>
        <w:rPr>
          <w:color w:val="231F20"/>
          <w:spacing w:val="-3"/>
          <w:sz w:val="14"/>
        </w:rPr>
        <w:t>од</w:t>
      </w:r>
      <w:r>
        <w:rPr>
          <w:color w:val="231F20"/>
          <w:spacing w:val="-5"/>
          <w:sz w:val="14"/>
        </w:rPr>
        <w:t> </w:t>
      </w:r>
      <w:r>
        <w:rPr>
          <w:color w:val="231F20"/>
          <w:sz w:val="14"/>
        </w:rPr>
        <w:t>30.04.2010.,</w:t>
      </w:r>
      <w:r>
        <w:rPr>
          <w:color w:val="231F20"/>
          <w:spacing w:val="-5"/>
          <w:sz w:val="14"/>
        </w:rPr>
        <w:t> </w:t>
      </w:r>
      <w:r>
        <w:rPr>
          <w:color w:val="231F20"/>
          <w:sz w:val="14"/>
        </w:rPr>
        <w:t>Институт за заштиту на </w:t>
      </w:r>
      <w:r>
        <w:rPr>
          <w:color w:val="231F20"/>
          <w:spacing w:val="-3"/>
          <w:sz w:val="14"/>
        </w:rPr>
        <w:t>раду, </w:t>
      </w:r>
      <w:r>
        <w:rPr>
          <w:color w:val="231F20"/>
          <w:sz w:val="14"/>
        </w:rPr>
        <w:t>Нови</w:t>
      </w:r>
      <w:r>
        <w:rPr>
          <w:color w:val="231F20"/>
          <w:spacing w:val="-1"/>
          <w:sz w:val="14"/>
        </w:rPr>
        <w:t> </w:t>
      </w:r>
      <w:r>
        <w:rPr>
          <w:color w:val="231F20"/>
          <w:sz w:val="14"/>
        </w:rPr>
        <w:t>Сад</w:t>
      </w:r>
    </w:p>
    <w:p>
      <w:pPr>
        <w:pStyle w:val="BodyText"/>
        <w:spacing w:before="68"/>
        <w:ind w:right="411" w:firstLine="396"/>
      </w:pPr>
      <w:r>
        <w:rPr/>
        <w:br w:type="column"/>
      </w:r>
      <w:r>
        <w:rPr>
          <w:color w:val="231F20"/>
        </w:rPr>
        <w:t>Локација намењена за изградњу објеката и постројења са потребним инсталацијама и кружном ободном саобраћајницом, предвиђена је</w:t>
      </w:r>
      <w:r>
        <w:rPr>
          <w:color w:val="231F20"/>
          <w:position w:val="6"/>
          <w:sz w:val="10"/>
        </w:rPr>
        <w:t>19 </w:t>
      </w:r>
      <w:r>
        <w:rPr>
          <w:color w:val="231F20"/>
        </w:rPr>
        <w:t>у оквиру </w:t>
      </w:r>
      <w:r>
        <w:rPr>
          <w:color w:val="231F20"/>
          <w:spacing w:val="-3"/>
        </w:rPr>
        <w:t>комплекса </w:t>
      </w:r>
      <w:r>
        <w:rPr>
          <w:color w:val="231F20"/>
        </w:rPr>
        <w:t>термоелектране, на површини </w:t>
      </w:r>
      <w:r>
        <w:rPr>
          <w:color w:val="231F20"/>
          <w:spacing w:val="-3"/>
        </w:rPr>
        <w:t>од </w:t>
      </w:r>
      <w:r>
        <w:rPr>
          <w:color w:val="231F20"/>
        </w:rPr>
        <w:t>0,32 ha уз северну </w:t>
      </w:r>
      <w:r>
        <w:rPr>
          <w:color w:val="231F20"/>
          <w:spacing w:val="-3"/>
        </w:rPr>
        <w:t>ограду, </w:t>
      </w:r>
      <w:r>
        <w:rPr>
          <w:color w:val="231F20"/>
        </w:rPr>
        <w:t>на делу </w:t>
      </w:r>
      <w:r>
        <w:rPr>
          <w:color w:val="231F20"/>
          <w:spacing w:val="-4"/>
        </w:rPr>
        <w:t>где </w:t>
      </w:r>
      <w:r>
        <w:rPr>
          <w:color w:val="231F20"/>
        </w:rPr>
        <w:t>се успоставља прикључак на јавну саобраћајницу и нови службени </w:t>
      </w:r>
      <w:r>
        <w:rPr>
          <w:color w:val="231F20"/>
          <w:spacing w:val="-3"/>
        </w:rPr>
        <w:t>улаз.</w:t>
      </w:r>
    </w:p>
    <w:p>
      <w:pPr>
        <w:pStyle w:val="BodyText"/>
        <w:spacing w:before="3"/>
        <w:ind w:left="0"/>
        <w:jc w:val="left"/>
        <w:rPr>
          <w:sz w:val="24"/>
        </w:rPr>
      </w:pPr>
    </w:p>
    <w:p>
      <w:pPr>
        <w:pStyle w:val="BodyText"/>
        <w:ind w:left="1312"/>
        <w:jc w:val="left"/>
      </w:pPr>
      <w:r>
        <w:rPr>
          <w:color w:val="231F20"/>
        </w:rPr>
        <w:t>Унапређење третмана отпадних вода</w:t>
      </w:r>
    </w:p>
    <w:p>
      <w:pPr>
        <w:pStyle w:val="BodyText"/>
        <w:spacing w:before="10"/>
        <w:ind w:left="0"/>
        <w:jc w:val="left"/>
        <w:rPr>
          <w:sz w:val="17"/>
        </w:rPr>
      </w:pPr>
    </w:p>
    <w:p>
      <w:pPr>
        <w:pStyle w:val="BodyText"/>
        <w:ind w:right="410" w:firstLine="396"/>
      </w:pPr>
      <w:r>
        <w:rPr>
          <w:color w:val="231F20"/>
        </w:rPr>
        <w:t>У оквиру ТЕ „Костолац А” постоје два канализациона систе- ма: </w:t>
      </w:r>
      <w:r>
        <w:rPr>
          <w:color w:val="231F20"/>
          <w:spacing w:val="-3"/>
        </w:rPr>
        <w:t>колектор  </w:t>
      </w:r>
      <w:r>
        <w:rPr>
          <w:color w:val="231F20"/>
        </w:rPr>
        <w:t>фекалне канализације општег типа града Костолца  и комбиновани канализациони систем термоелектране, којим се </w:t>
      </w:r>
      <w:r>
        <w:rPr>
          <w:color w:val="231F20"/>
          <w:spacing w:val="-3"/>
        </w:rPr>
        <w:t>одводе </w:t>
      </w:r>
      <w:r>
        <w:rPr>
          <w:color w:val="231F20"/>
        </w:rPr>
        <w:t>технолошке, али и атмосферске и део фекалних вода. От- падна</w:t>
      </w:r>
      <w:r>
        <w:rPr>
          <w:color w:val="231F20"/>
          <w:spacing w:val="-6"/>
        </w:rPr>
        <w:t> </w:t>
      </w:r>
      <w:r>
        <w:rPr>
          <w:color w:val="231F20"/>
        </w:rPr>
        <w:t>расхладна</w:t>
      </w:r>
      <w:r>
        <w:rPr>
          <w:color w:val="231F20"/>
          <w:spacing w:val="-6"/>
        </w:rPr>
        <w:t> </w:t>
      </w:r>
      <w:r>
        <w:rPr>
          <w:color w:val="231F20"/>
        </w:rPr>
        <w:t>(топла)</w:t>
      </w:r>
      <w:r>
        <w:rPr>
          <w:color w:val="231F20"/>
          <w:spacing w:val="-6"/>
        </w:rPr>
        <w:t> </w:t>
      </w:r>
      <w:r>
        <w:rPr>
          <w:color w:val="231F20"/>
        </w:rPr>
        <w:t>вода</w:t>
      </w:r>
      <w:r>
        <w:rPr>
          <w:color w:val="231F20"/>
          <w:spacing w:val="-6"/>
        </w:rPr>
        <w:t> </w:t>
      </w:r>
      <w:r>
        <w:rPr>
          <w:color w:val="231F20"/>
        </w:rPr>
        <w:t>прикупља</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два</w:t>
      </w:r>
      <w:r>
        <w:rPr>
          <w:color w:val="231F20"/>
          <w:spacing w:val="-6"/>
        </w:rPr>
        <w:t> </w:t>
      </w:r>
      <w:r>
        <w:rPr>
          <w:color w:val="231F20"/>
        </w:rPr>
        <w:t>засебна</w:t>
      </w:r>
      <w:r>
        <w:rPr>
          <w:color w:val="231F20"/>
          <w:spacing w:val="-6"/>
        </w:rPr>
        <w:t> </w:t>
      </w:r>
      <w:r>
        <w:rPr>
          <w:color w:val="231F20"/>
          <w:spacing w:val="-3"/>
        </w:rPr>
        <w:t>колектора </w:t>
      </w:r>
      <w:r>
        <w:rPr>
          <w:color w:val="231F20"/>
        </w:rPr>
        <w:t>и </w:t>
      </w:r>
      <w:r>
        <w:rPr>
          <w:color w:val="231F20"/>
          <w:spacing w:val="-3"/>
        </w:rPr>
        <w:t>преко </w:t>
      </w:r>
      <w:r>
        <w:rPr>
          <w:color w:val="231F20"/>
        </w:rPr>
        <w:t>слапишта излива у отворени канал топле воде и даље у Дунав.</w:t>
      </w:r>
    </w:p>
    <w:p>
      <w:pPr>
        <w:pStyle w:val="BodyText"/>
        <w:ind w:right="410" w:firstLine="397"/>
      </w:pPr>
      <w:r>
        <w:rPr>
          <w:color w:val="231F20"/>
        </w:rPr>
        <w:t>У комплексу електране прикупљају се зауљене отпадне воде из сабирног шахта код резервоара и претакалишта течног горива; отпадне воде ГПО А1 и котларнице; отпадне воде из дренажног канала ГПО А2; хидросмеша из дренажног канала блока А2 и ба- гер станица оба блока; из постројења ХПВ од регенерације јоно- измењивачких смола; из допреме угља; и повратна појединачна и збирна расхладна вода блокова А1 и А2.</w:t>
      </w:r>
    </w:p>
    <w:p>
      <w:pPr>
        <w:pStyle w:val="BodyText"/>
        <w:ind w:left="171" w:right="410" w:firstLine="396"/>
      </w:pPr>
      <w:r>
        <w:rPr>
          <w:color w:val="231F20"/>
          <w:spacing w:val="-3"/>
        </w:rPr>
        <w:t>Резултати </w:t>
      </w:r>
      <w:r>
        <w:rPr>
          <w:color w:val="231F20"/>
        </w:rPr>
        <w:t>анализа потребног броја узорака са карактеристич- них мерних места показују да отпадна вода задовољава домаће и ЕУ стандарде за испуштање у природне реципијенте, изузев </w:t>
      </w:r>
      <w:r>
        <w:rPr>
          <w:color w:val="231F20"/>
          <w:spacing w:val="-3"/>
        </w:rPr>
        <w:t>зау- </w:t>
      </w:r>
      <w:r>
        <w:rPr>
          <w:color w:val="231F20"/>
        </w:rPr>
        <w:t>љених отпадних вода из главног сабирног шахта </w:t>
      </w:r>
      <w:r>
        <w:rPr>
          <w:color w:val="231F20"/>
          <w:spacing w:val="-6"/>
        </w:rPr>
        <w:t>код </w:t>
      </w:r>
      <w:r>
        <w:rPr>
          <w:color w:val="231F20"/>
        </w:rPr>
        <w:t>нафтне ста- нице. С тога је неопходно извођење постројења за пречишћавање зауљених отпадних и зауљених атмосферских вода.</w:t>
      </w:r>
    </w:p>
    <w:p>
      <w:pPr>
        <w:pStyle w:val="BodyText"/>
        <w:ind w:left="171" w:right="409" w:firstLine="397"/>
      </w:pPr>
      <w:r>
        <w:rPr>
          <w:color w:val="231F20"/>
        </w:rPr>
        <w:t>Избор</w:t>
      </w:r>
      <w:r>
        <w:rPr>
          <w:color w:val="231F20"/>
          <w:spacing w:val="-6"/>
        </w:rPr>
        <w:t> </w:t>
      </w:r>
      <w:r>
        <w:rPr>
          <w:color w:val="231F20"/>
        </w:rPr>
        <w:t>техничког</w:t>
      </w:r>
      <w:r>
        <w:rPr>
          <w:color w:val="231F20"/>
          <w:spacing w:val="-6"/>
        </w:rPr>
        <w:t> </w:t>
      </w:r>
      <w:r>
        <w:rPr>
          <w:color w:val="231F20"/>
        </w:rPr>
        <w:t>решења</w:t>
      </w:r>
      <w:r>
        <w:rPr>
          <w:color w:val="231F20"/>
          <w:spacing w:val="-6"/>
        </w:rPr>
        <w:t> </w:t>
      </w:r>
      <w:r>
        <w:rPr>
          <w:color w:val="231F20"/>
        </w:rPr>
        <w:t>третмана</w:t>
      </w:r>
      <w:r>
        <w:rPr>
          <w:color w:val="231F20"/>
          <w:spacing w:val="-6"/>
        </w:rPr>
        <w:t> </w:t>
      </w:r>
      <w:r>
        <w:rPr>
          <w:color w:val="231F20"/>
        </w:rPr>
        <w:t>отпадних</w:t>
      </w:r>
      <w:r>
        <w:rPr>
          <w:color w:val="231F20"/>
          <w:spacing w:val="-6"/>
        </w:rPr>
        <w:t> </w:t>
      </w:r>
      <w:r>
        <w:rPr>
          <w:color w:val="231F20"/>
        </w:rPr>
        <w:t>вода</w:t>
      </w:r>
      <w:r>
        <w:rPr>
          <w:color w:val="231F20"/>
          <w:spacing w:val="-6"/>
        </w:rPr>
        <w:t> </w:t>
      </w:r>
      <w:r>
        <w:rPr>
          <w:color w:val="231F20"/>
        </w:rPr>
        <w:t>извршен</w:t>
      </w:r>
      <w:r>
        <w:rPr>
          <w:color w:val="231F20"/>
          <w:spacing w:val="-6"/>
        </w:rPr>
        <w:t> </w:t>
      </w:r>
      <w:r>
        <w:rPr>
          <w:color w:val="231F20"/>
        </w:rPr>
        <w:t>је на основу техно-економске анализе варијантних решења. </w:t>
      </w:r>
      <w:r>
        <w:rPr>
          <w:color w:val="231F20"/>
          <w:spacing w:val="-4"/>
        </w:rPr>
        <w:t>Усвоје- </w:t>
      </w:r>
      <w:r>
        <w:rPr>
          <w:color w:val="231F20"/>
        </w:rPr>
        <w:t>на</w:t>
      </w:r>
      <w:r>
        <w:rPr>
          <w:color w:val="231F20"/>
          <w:spacing w:val="-5"/>
        </w:rPr>
        <w:t> </w:t>
      </w:r>
      <w:r>
        <w:rPr>
          <w:color w:val="231F20"/>
        </w:rPr>
        <w:t>II</w:t>
      </w:r>
      <w:r>
        <w:rPr>
          <w:color w:val="231F20"/>
          <w:spacing w:val="-5"/>
        </w:rPr>
        <w:t> </w:t>
      </w:r>
      <w:r>
        <w:rPr>
          <w:color w:val="231F20"/>
        </w:rPr>
        <w:t>варијанта</w:t>
      </w:r>
      <w:r>
        <w:rPr>
          <w:color w:val="231F20"/>
          <w:spacing w:val="-5"/>
        </w:rPr>
        <w:t> </w:t>
      </w:r>
      <w:r>
        <w:rPr>
          <w:color w:val="231F20"/>
        </w:rPr>
        <w:t>подразумева</w:t>
      </w:r>
      <w:r>
        <w:rPr>
          <w:color w:val="231F20"/>
          <w:spacing w:val="-5"/>
        </w:rPr>
        <w:t> </w:t>
      </w:r>
      <w:r>
        <w:rPr>
          <w:color w:val="231F20"/>
        </w:rPr>
        <w:t>гравитациону</w:t>
      </w:r>
      <w:r>
        <w:rPr>
          <w:color w:val="231F20"/>
          <w:spacing w:val="-5"/>
        </w:rPr>
        <w:t> </w:t>
      </w:r>
      <w:r>
        <w:rPr>
          <w:color w:val="231F20"/>
        </w:rPr>
        <w:t>сепарацију</w:t>
      </w:r>
      <w:r>
        <w:rPr>
          <w:color w:val="231F20"/>
          <w:spacing w:val="-5"/>
        </w:rPr>
        <w:t> </w:t>
      </w:r>
      <w:r>
        <w:rPr>
          <w:color w:val="231F20"/>
        </w:rPr>
        <w:t>у</w:t>
      </w:r>
      <w:r>
        <w:rPr>
          <w:color w:val="231F20"/>
          <w:spacing w:val="-5"/>
        </w:rPr>
        <w:t> </w:t>
      </w:r>
      <w:r>
        <w:rPr>
          <w:color w:val="231F20"/>
        </w:rPr>
        <w:t>првој</w:t>
      </w:r>
      <w:r>
        <w:rPr>
          <w:color w:val="231F20"/>
          <w:spacing w:val="-5"/>
        </w:rPr>
        <w:t> </w:t>
      </w:r>
      <w:r>
        <w:rPr>
          <w:color w:val="231F20"/>
        </w:rPr>
        <w:t>фази обраде збирних зауљених отпадних вода и зауљених атмосфер- ских вода, док се у другој фази предлаже процес коалесценције. Технички приступ у оквиру обе разматране варијанте полази </w:t>
      </w:r>
      <w:r>
        <w:rPr>
          <w:color w:val="231F20"/>
          <w:spacing w:val="-3"/>
        </w:rPr>
        <w:t>од </w:t>
      </w:r>
      <w:r>
        <w:rPr>
          <w:color w:val="231F20"/>
        </w:rPr>
        <w:t>порекла и састава зауљених отпадних вода и зауљених атмосфер- ских вода </w:t>
      </w:r>
      <w:r>
        <w:rPr>
          <w:color w:val="231F20"/>
          <w:spacing w:val="-3"/>
        </w:rPr>
        <w:t>које </w:t>
      </w:r>
      <w:r>
        <w:rPr>
          <w:color w:val="231F20"/>
        </w:rPr>
        <w:t>је потребно пречистити на уређају и квалитета из- лазног ефлуента </w:t>
      </w:r>
      <w:r>
        <w:rPr>
          <w:color w:val="231F20"/>
          <w:spacing w:val="-3"/>
        </w:rPr>
        <w:t>који </w:t>
      </w:r>
      <w:r>
        <w:rPr>
          <w:color w:val="231F20"/>
        </w:rPr>
        <w:t>је потребно постићи у процесу пречишћава- ња. Разлика је у томе што су у II варијанти пречишћавају збирне зауљене</w:t>
      </w:r>
      <w:r>
        <w:rPr>
          <w:color w:val="231F20"/>
          <w:spacing w:val="-10"/>
        </w:rPr>
        <w:t> </w:t>
      </w:r>
      <w:r>
        <w:rPr>
          <w:color w:val="231F20"/>
        </w:rPr>
        <w:t>отпадне</w:t>
      </w:r>
      <w:r>
        <w:rPr>
          <w:color w:val="231F20"/>
          <w:spacing w:val="-10"/>
        </w:rPr>
        <w:t> </w:t>
      </w:r>
      <w:r>
        <w:rPr>
          <w:color w:val="231F20"/>
        </w:rPr>
        <w:t>воде</w:t>
      </w:r>
      <w:r>
        <w:rPr>
          <w:color w:val="231F20"/>
          <w:spacing w:val="-10"/>
        </w:rPr>
        <w:t> </w:t>
      </w:r>
      <w:r>
        <w:rPr>
          <w:color w:val="231F20"/>
        </w:rPr>
        <w:t>и</w:t>
      </w:r>
      <w:r>
        <w:rPr>
          <w:color w:val="231F20"/>
          <w:spacing w:val="-10"/>
        </w:rPr>
        <w:t> </w:t>
      </w:r>
      <w:r>
        <w:rPr>
          <w:color w:val="231F20"/>
        </w:rPr>
        <w:t>зауљене</w:t>
      </w:r>
      <w:r>
        <w:rPr>
          <w:color w:val="231F20"/>
          <w:spacing w:val="-10"/>
        </w:rPr>
        <w:t> </w:t>
      </w:r>
      <w:r>
        <w:rPr>
          <w:color w:val="231F20"/>
        </w:rPr>
        <w:t>атмосферске</w:t>
      </w:r>
      <w:r>
        <w:rPr>
          <w:color w:val="231F20"/>
          <w:spacing w:val="-10"/>
        </w:rPr>
        <w:t> </w:t>
      </w:r>
      <w:r>
        <w:rPr>
          <w:color w:val="231F20"/>
        </w:rPr>
        <w:t>воде</w:t>
      </w:r>
      <w:r>
        <w:rPr>
          <w:color w:val="231F20"/>
          <w:spacing w:val="-10"/>
        </w:rPr>
        <w:t> </w:t>
      </w:r>
      <w:r>
        <w:rPr>
          <w:color w:val="231F20"/>
        </w:rPr>
        <w:t>на</w:t>
      </w:r>
      <w:r>
        <w:rPr>
          <w:color w:val="231F20"/>
          <w:spacing w:val="-10"/>
        </w:rPr>
        <w:t> </w:t>
      </w:r>
      <w:r>
        <w:rPr>
          <w:color w:val="231F20"/>
        </w:rPr>
        <w:t>једном</w:t>
      </w:r>
      <w:r>
        <w:rPr>
          <w:color w:val="231F20"/>
          <w:spacing w:val="-10"/>
        </w:rPr>
        <w:t> </w:t>
      </w:r>
      <w:r>
        <w:rPr>
          <w:color w:val="231F20"/>
        </w:rPr>
        <w:t>зајед- </w:t>
      </w:r>
      <w:r>
        <w:rPr>
          <w:color w:val="231F20"/>
          <w:spacing w:val="-3"/>
        </w:rPr>
        <w:t>ничком уређају. </w:t>
      </w:r>
      <w:r>
        <w:rPr>
          <w:color w:val="231F20"/>
        </w:rPr>
        <w:t>Све зауљене воде се доводе у постојећи зауљени сабирни резервоар, чиме је и одређена локација</w:t>
      </w:r>
      <w:r>
        <w:rPr>
          <w:color w:val="231F20"/>
          <w:spacing w:val="-9"/>
        </w:rPr>
        <w:t> </w:t>
      </w:r>
      <w:r>
        <w:rPr>
          <w:color w:val="231F20"/>
        </w:rPr>
        <w:t>постројења.</w:t>
      </w:r>
    </w:p>
    <w:p>
      <w:pPr>
        <w:pStyle w:val="BodyText"/>
        <w:spacing w:line="195" w:lineRule="exact"/>
        <w:ind w:left="569"/>
        <w:jc w:val="left"/>
      </w:pPr>
      <w:r>
        <w:rPr>
          <w:color w:val="231F20"/>
        </w:rPr>
        <w:t>Такође, препоручује се и пречишћавање дренажне отпадне</w:t>
      </w:r>
    </w:p>
    <w:p>
      <w:pPr>
        <w:pStyle w:val="BodyText"/>
        <w:ind w:left="172" w:right="409" w:hanging="1"/>
      </w:pPr>
      <w:r>
        <w:rPr>
          <w:color w:val="231F20"/>
        </w:rPr>
        <w:t>воде из ГПО А2, иако мерења показују прихватљиве резултате, с обзиром на то да обимне отпадне расхладне воде разблажују кон- центрацију штетних материја.</w:t>
      </w:r>
    </w:p>
    <w:p>
      <w:pPr>
        <w:pStyle w:val="BodyText"/>
        <w:ind w:left="172" w:right="408" w:firstLine="396"/>
      </w:pPr>
      <w:r>
        <w:rPr>
          <w:color w:val="231F20"/>
        </w:rPr>
        <w:t>На осталим деловима електране, унапређење третмана от- падних вода је кроз техничка и технолошка побољшавања основ- них техничких система и поступака.</w:t>
      </w:r>
    </w:p>
    <w:p>
      <w:pPr>
        <w:pStyle w:val="BodyText"/>
        <w:spacing w:before="7"/>
        <w:ind w:left="0"/>
        <w:jc w:val="left"/>
        <w:rPr>
          <w:sz w:val="22"/>
        </w:rPr>
      </w:pPr>
    </w:p>
    <w:p>
      <w:pPr>
        <w:pStyle w:val="BodyText"/>
        <w:ind w:left="1195"/>
        <w:jc w:val="left"/>
      </w:pPr>
      <w:r>
        <w:rPr>
          <w:color w:val="231F20"/>
        </w:rPr>
        <w:t>4.4.1. Индуст ријско прист аниште</w:t>
      </w:r>
    </w:p>
    <w:p>
      <w:pPr>
        <w:pStyle w:val="BodyText"/>
        <w:spacing w:before="10"/>
        <w:ind w:left="0"/>
        <w:jc w:val="left"/>
        <w:rPr>
          <w:sz w:val="17"/>
        </w:rPr>
      </w:pPr>
    </w:p>
    <w:p>
      <w:pPr>
        <w:pStyle w:val="BodyText"/>
        <w:ind w:left="119" w:right="408" w:firstLine="397"/>
        <w:jc w:val="right"/>
      </w:pPr>
      <w:r>
        <w:rPr>
          <w:color w:val="231F20"/>
        </w:rPr>
        <w:t>На површинама у </w:t>
      </w:r>
      <w:r>
        <w:rPr>
          <w:color w:val="231F20"/>
          <w:spacing w:val="-3"/>
        </w:rPr>
        <w:t>оквиру потцелине </w:t>
      </w:r>
      <w:r>
        <w:rPr>
          <w:color w:val="231F20"/>
        </w:rPr>
        <w:t>1) на </w:t>
      </w:r>
      <w:r>
        <w:rPr>
          <w:color w:val="231F20"/>
          <w:spacing w:val="-3"/>
        </w:rPr>
        <w:t>основу </w:t>
      </w:r>
      <w:r>
        <w:rPr>
          <w:color w:val="231F20"/>
          <w:spacing w:val="-4"/>
        </w:rPr>
        <w:t>одговарају-</w:t>
      </w:r>
      <w:r>
        <w:rPr>
          <w:color w:val="231F20"/>
        </w:rPr>
        <w:t> ћих </w:t>
      </w:r>
      <w:r>
        <w:rPr>
          <w:color w:val="231F20"/>
          <w:spacing w:val="-4"/>
        </w:rPr>
        <w:t>одлука </w:t>
      </w:r>
      <w:r>
        <w:rPr>
          <w:color w:val="231F20"/>
        </w:rPr>
        <w:t>надлежних органа и </w:t>
      </w:r>
      <w:r>
        <w:rPr>
          <w:color w:val="231F20"/>
          <w:spacing w:val="-3"/>
        </w:rPr>
        <w:t>институција </w:t>
      </w:r>
      <w:r>
        <w:rPr>
          <w:color w:val="231F20"/>
        </w:rPr>
        <w:t>и у складу са </w:t>
      </w:r>
      <w:r>
        <w:rPr>
          <w:color w:val="231F20"/>
          <w:spacing w:val="-4"/>
        </w:rPr>
        <w:t>Законом</w:t>
      </w:r>
      <w:r>
        <w:rPr>
          <w:color w:val="231F20"/>
        </w:rPr>
        <w:t> о пловидби планирани </w:t>
      </w:r>
      <w:r>
        <w:rPr>
          <w:color w:val="231F20"/>
          <w:spacing w:val="-3"/>
        </w:rPr>
        <w:t>су </w:t>
      </w:r>
      <w:r>
        <w:rPr>
          <w:color w:val="231F20"/>
        </w:rPr>
        <w:t>грађевински и </w:t>
      </w:r>
      <w:r>
        <w:rPr>
          <w:color w:val="231F20"/>
          <w:spacing w:val="-3"/>
        </w:rPr>
        <w:t>други </w:t>
      </w:r>
      <w:r>
        <w:rPr>
          <w:color w:val="231F20"/>
        </w:rPr>
        <w:t>радови на уређењу </w:t>
      </w:r>
      <w:r>
        <w:rPr>
          <w:color w:val="231F20"/>
          <w:spacing w:val="-3"/>
        </w:rPr>
        <w:t>локације </w:t>
      </w:r>
      <w:r>
        <w:rPr>
          <w:color w:val="231F20"/>
        </w:rPr>
        <w:t>на </w:t>
      </w:r>
      <w:r>
        <w:rPr>
          <w:color w:val="231F20"/>
          <w:spacing w:val="-4"/>
        </w:rPr>
        <w:t>којој </w:t>
      </w:r>
      <w:r>
        <w:rPr>
          <w:color w:val="231F20"/>
        </w:rPr>
        <w:t>се </w:t>
      </w:r>
      <w:r>
        <w:rPr>
          <w:color w:val="231F20"/>
          <w:spacing w:val="-4"/>
        </w:rPr>
        <w:t>може </w:t>
      </w:r>
      <w:r>
        <w:rPr>
          <w:color w:val="231F20"/>
          <w:spacing w:val="-3"/>
        </w:rPr>
        <w:t>основати </w:t>
      </w:r>
      <w:r>
        <w:rPr>
          <w:color w:val="231F20"/>
        </w:rPr>
        <w:t>пристаниште за посебне намене.</w:t>
      </w:r>
    </w:p>
    <w:p>
      <w:pPr>
        <w:pStyle w:val="BodyText"/>
        <w:ind w:left="173" w:right="408" w:firstLine="396"/>
      </w:pPr>
      <w:r>
        <w:rPr>
          <w:color w:val="231F20"/>
        </w:rPr>
        <w:t>Пристаниште је намењено само за расуте и </w:t>
      </w:r>
      <w:r>
        <w:rPr>
          <w:color w:val="231F20"/>
          <w:spacing w:val="-3"/>
        </w:rPr>
        <w:t>командне </w:t>
      </w:r>
      <w:r>
        <w:rPr>
          <w:color w:val="231F20"/>
        </w:rPr>
        <w:t>терете и одређену врсту робе и начин искоришћавања као индустријско пристаниште за потребе корисника ПД ТЕ-КО</w:t>
      </w:r>
      <w:r>
        <w:rPr>
          <w:color w:val="231F20"/>
          <w:spacing w:val="-19"/>
        </w:rPr>
        <w:t> </w:t>
      </w:r>
      <w:r>
        <w:rPr>
          <w:color w:val="231F20"/>
        </w:rPr>
        <w:t>„Костолац”.</w:t>
      </w:r>
    </w:p>
    <w:p>
      <w:pPr>
        <w:pStyle w:val="BodyText"/>
        <w:ind w:left="173" w:right="408" w:firstLine="396"/>
      </w:pPr>
      <w:r>
        <w:rPr>
          <w:color w:val="231F20"/>
        </w:rPr>
        <w:t>Планиране</w:t>
      </w:r>
      <w:r>
        <w:rPr>
          <w:color w:val="231F20"/>
          <w:spacing w:val="-6"/>
        </w:rPr>
        <w:t> </w:t>
      </w:r>
      <w:r>
        <w:rPr>
          <w:color w:val="231F20"/>
        </w:rPr>
        <w:t>делатности</w:t>
      </w:r>
      <w:r>
        <w:rPr>
          <w:color w:val="231F20"/>
          <w:spacing w:val="-6"/>
        </w:rPr>
        <w:t> </w:t>
      </w:r>
      <w:r>
        <w:rPr>
          <w:color w:val="231F20"/>
        </w:rPr>
        <w:t>у</w:t>
      </w:r>
      <w:r>
        <w:rPr>
          <w:color w:val="231F20"/>
          <w:spacing w:val="-6"/>
        </w:rPr>
        <w:t> </w:t>
      </w:r>
      <w:r>
        <w:rPr>
          <w:color w:val="231F20"/>
        </w:rPr>
        <w:t>пристаништу</w:t>
      </w:r>
      <w:r>
        <w:rPr>
          <w:color w:val="231F20"/>
          <w:spacing w:val="-6"/>
        </w:rPr>
        <w:t> </w:t>
      </w:r>
      <w:r>
        <w:rPr>
          <w:color w:val="231F20"/>
        </w:rPr>
        <w:t>обављаће</w:t>
      </w:r>
      <w:r>
        <w:rPr>
          <w:color w:val="231F20"/>
          <w:spacing w:val="-6"/>
        </w:rPr>
        <w:t> </w:t>
      </w:r>
      <w:r>
        <w:rPr>
          <w:color w:val="231F20"/>
        </w:rPr>
        <w:t>се</w:t>
      </w:r>
      <w:r>
        <w:rPr>
          <w:color w:val="231F20"/>
          <w:spacing w:val="-6"/>
        </w:rPr>
        <w:t> </w:t>
      </w:r>
      <w:r>
        <w:rPr>
          <w:color w:val="231F20"/>
        </w:rPr>
        <w:t>на</w:t>
      </w:r>
      <w:r>
        <w:rPr>
          <w:color w:val="231F20"/>
          <w:spacing w:val="-6"/>
        </w:rPr>
        <w:t> </w:t>
      </w:r>
      <w:r>
        <w:rPr>
          <w:color w:val="231F20"/>
        </w:rPr>
        <w:t>основу Одобрење за обављање делатности </w:t>
      </w:r>
      <w:r>
        <w:rPr>
          <w:color w:val="231F20"/>
          <w:spacing w:val="-3"/>
        </w:rPr>
        <w:t>које </w:t>
      </w:r>
      <w:r>
        <w:rPr>
          <w:color w:val="231F20"/>
        </w:rPr>
        <w:t>ће оператер морати да об- навља на 10</w:t>
      </w:r>
      <w:r>
        <w:rPr>
          <w:color w:val="231F20"/>
          <w:spacing w:val="-2"/>
        </w:rPr>
        <w:t> </w:t>
      </w:r>
      <w:r>
        <w:rPr>
          <w:color w:val="231F20"/>
          <w:spacing w:val="-3"/>
        </w:rPr>
        <w:t>година.</w:t>
      </w:r>
    </w:p>
    <w:p>
      <w:pPr>
        <w:pStyle w:val="BodyText"/>
        <w:ind w:left="173" w:right="408" w:firstLine="396"/>
      </w:pPr>
      <w:r>
        <w:rPr>
          <w:color w:val="231F20"/>
        </w:rPr>
        <w:t>На обухваћеним површинама формираће се инфраструктура и супраструктура пристаништа. Пристанишну/лучку инфраструк- туру чине: изграђене обале за пристајање пловила (кејски зидови и насипи), интерне саобраћајнице (интерни путеви, сервисне ста- зе), водоводна, канализациона, енергетска и комуникациона мре- же, расвета, ограде, као и друге грађевине и уређаји који по својој намени служе за безбедан прилаз и привезивање пловила.</w:t>
      </w:r>
    </w:p>
    <w:p>
      <w:pPr>
        <w:spacing w:line="151"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240" w:lineRule="auto" w:before="0" w:after="0"/>
        <w:ind w:left="453" w:right="411" w:hanging="283"/>
        <w:jc w:val="both"/>
        <w:rPr>
          <w:sz w:val="14"/>
        </w:rPr>
      </w:pPr>
      <w:r>
        <w:rPr>
          <w:color w:val="231F20"/>
          <w:sz w:val="14"/>
        </w:rPr>
        <w:t>Идејни пројект реконструкције система за прикупљање, припрему, транспорт и депоновање методом густе хидромешавине пепела и шљаке ТЕ “Костолац А” са студијом</w:t>
      </w:r>
      <w:r>
        <w:rPr>
          <w:color w:val="231F20"/>
          <w:spacing w:val="-9"/>
          <w:sz w:val="14"/>
        </w:rPr>
        <w:t> </w:t>
      </w:r>
      <w:r>
        <w:rPr>
          <w:color w:val="231F20"/>
          <w:sz w:val="14"/>
        </w:rPr>
        <w:t>оправданости</w:t>
      </w:r>
      <w:r>
        <w:rPr>
          <w:color w:val="231F20"/>
          <w:spacing w:val="-9"/>
          <w:sz w:val="14"/>
        </w:rPr>
        <w:t> </w:t>
      </w:r>
      <w:r>
        <w:rPr>
          <w:color w:val="231F20"/>
          <w:sz w:val="14"/>
        </w:rPr>
        <w:t>,</w:t>
      </w:r>
      <w:r>
        <w:rPr>
          <w:color w:val="231F20"/>
          <w:spacing w:val="-9"/>
          <w:sz w:val="14"/>
        </w:rPr>
        <w:t> </w:t>
      </w:r>
      <w:r>
        <w:rPr>
          <w:color w:val="231F20"/>
          <w:sz w:val="14"/>
        </w:rPr>
        <w:t>Рударски</w:t>
      </w:r>
      <w:r>
        <w:rPr>
          <w:color w:val="231F20"/>
          <w:spacing w:val="-9"/>
          <w:sz w:val="14"/>
        </w:rPr>
        <w:t> </w:t>
      </w:r>
      <w:r>
        <w:rPr>
          <w:color w:val="231F20"/>
          <w:sz w:val="14"/>
        </w:rPr>
        <w:t>институт-Земун,</w:t>
      </w:r>
      <w:r>
        <w:rPr>
          <w:color w:val="231F20"/>
          <w:spacing w:val="-9"/>
          <w:sz w:val="14"/>
        </w:rPr>
        <w:t> </w:t>
      </w:r>
      <w:r>
        <w:rPr>
          <w:color w:val="231F20"/>
          <w:sz w:val="14"/>
        </w:rPr>
        <w:t>Енергопројект</w:t>
      </w:r>
      <w:r>
        <w:rPr>
          <w:color w:val="231F20"/>
          <w:spacing w:val="10"/>
          <w:sz w:val="14"/>
        </w:rPr>
        <w:t> </w:t>
      </w:r>
      <w:r>
        <w:rPr>
          <w:color w:val="231F20"/>
          <w:sz w:val="14"/>
        </w:rPr>
        <w:t>–</w:t>
      </w:r>
      <w:r>
        <w:rPr>
          <w:color w:val="231F20"/>
          <w:spacing w:val="-9"/>
          <w:sz w:val="14"/>
        </w:rPr>
        <w:t> </w:t>
      </w:r>
      <w:r>
        <w:rPr>
          <w:color w:val="231F20"/>
          <w:sz w:val="14"/>
        </w:rPr>
        <w:t>Ентел,</w:t>
      </w:r>
      <w:r>
        <w:rPr>
          <w:color w:val="231F20"/>
          <w:spacing w:val="-9"/>
          <w:sz w:val="14"/>
        </w:rPr>
        <w:t> </w:t>
      </w:r>
      <w:r>
        <w:rPr>
          <w:color w:val="231F20"/>
          <w:sz w:val="14"/>
        </w:rPr>
        <w:t>2004.</w:t>
      </w:r>
    </w:p>
    <w:p>
      <w:pPr>
        <w:spacing w:after="0" w:line="240" w:lineRule="auto"/>
        <w:jc w:val="both"/>
        <w:rPr>
          <w:sz w:val="14"/>
        </w:rPr>
        <w:sectPr>
          <w:pgSz w:w="12480" w:h="15690"/>
          <w:pgMar w:top="120" w:bottom="280" w:left="680" w:right="720"/>
          <w:cols w:num="2" w:equalWidth="0">
            <w:col w:w="5315" w:space="71"/>
            <w:col w:w="5694"/>
          </w:cols>
        </w:sectPr>
      </w:pPr>
    </w:p>
    <w:p>
      <w:pPr>
        <w:pStyle w:val="BodyText"/>
        <w:spacing w:line="230" w:lineRule="auto" w:before="94"/>
        <w:ind w:left="454" w:firstLine="396"/>
      </w:pPr>
      <w:r>
        <w:rPr/>
        <w:pict>
          <v:line style="position:absolute;mso-position-horizontal-relative:page;mso-position-vertical-relative:page;z-index:4144" from="318.897614pt,11.942451pt" to="318.897614pt,748.950451pt" stroked="true" strokeweight=".6pt" strokecolor="#231f20">
            <v:stroke dashstyle="solid"/>
            <w10:wrap type="none"/>
          </v:line>
        </w:pict>
      </w:r>
      <w:r>
        <w:rPr>
          <w:color w:val="231F20"/>
        </w:rPr>
        <w:t>Пристанишну супраструктуру чине:  грађевине  изграђене  на делу локације </w:t>
      </w:r>
      <w:r>
        <w:rPr>
          <w:color w:val="231F20"/>
          <w:spacing w:val="-3"/>
        </w:rPr>
        <w:t>који </w:t>
      </w:r>
      <w:r>
        <w:rPr>
          <w:color w:val="231F20"/>
        </w:rPr>
        <w:t>надлежни орган утврди као </w:t>
      </w:r>
      <w:r>
        <w:rPr>
          <w:color w:val="231F20"/>
          <w:spacing w:val="-3"/>
        </w:rPr>
        <w:t>лучко </w:t>
      </w:r>
      <w:r>
        <w:rPr>
          <w:color w:val="231F20"/>
        </w:rPr>
        <w:t>подручје (управне зграде, </w:t>
      </w:r>
      <w:r>
        <w:rPr>
          <w:color w:val="231F20"/>
          <w:spacing w:val="-4"/>
        </w:rPr>
        <w:t>колске </w:t>
      </w:r>
      <w:r>
        <w:rPr>
          <w:color w:val="231F20"/>
        </w:rPr>
        <w:t>ваге, отворена и наткривена привремена складишта, евентуално, силоси и резервоари), као и посебна</w:t>
      </w:r>
      <w:r>
        <w:rPr>
          <w:color w:val="231F20"/>
          <w:spacing w:val="-25"/>
        </w:rPr>
        <w:t> </w:t>
      </w:r>
      <w:r>
        <w:rPr>
          <w:color w:val="231F20"/>
        </w:rPr>
        <w:t>опре- ма (дизалице, кранови) и пристани за укрцавање и искрцавање службених лица и</w:t>
      </w:r>
      <w:r>
        <w:rPr>
          <w:color w:val="231F20"/>
          <w:spacing w:val="-4"/>
        </w:rPr>
        <w:t> </w:t>
      </w:r>
      <w:r>
        <w:rPr>
          <w:color w:val="231F20"/>
        </w:rPr>
        <w:t>слично).</w:t>
      </w:r>
    </w:p>
    <w:p>
      <w:pPr>
        <w:pStyle w:val="BodyText"/>
        <w:spacing w:line="230" w:lineRule="auto"/>
        <w:ind w:left="374" w:firstLine="396"/>
        <w:jc w:val="right"/>
      </w:pPr>
      <w:r>
        <w:rPr>
          <w:color w:val="231F20"/>
          <w:spacing w:val="-4"/>
        </w:rPr>
        <w:t>Кориштење оперативне </w:t>
      </w:r>
      <w:r>
        <w:rPr>
          <w:color w:val="231F20"/>
          <w:spacing w:val="-3"/>
        </w:rPr>
        <w:t>обале условљено </w:t>
      </w:r>
      <w:r>
        <w:rPr>
          <w:color w:val="231F20"/>
        </w:rPr>
        <w:t>је </w:t>
      </w:r>
      <w:r>
        <w:rPr>
          <w:color w:val="231F20"/>
          <w:spacing w:val="-4"/>
        </w:rPr>
        <w:t>обезбеђењем </w:t>
      </w:r>
      <w:r>
        <w:rPr>
          <w:color w:val="231F20"/>
        </w:rPr>
        <w:t>си- </w:t>
      </w:r>
      <w:r>
        <w:rPr>
          <w:color w:val="231F20"/>
          <w:spacing w:val="-3"/>
        </w:rPr>
        <w:t>гурности пловног </w:t>
      </w:r>
      <w:r>
        <w:rPr>
          <w:color w:val="231F20"/>
        </w:rPr>
        <w:t>пута и </w:t>
      </w:r>
      <w:r>
        <w:rPr>
          <w:color w:val="231F20"/>
          <w:spacing w:val="-4"/>
        </w:rPr>
        <w:t>објеката, </w:t>
      </w:r>
      <w:r>
        <w:rPr>
          <w:color w:val="231F20"/>
          <w:spacing w:val="-3"/>
        </w:rPr>
        <w:t>сигурности терета </w:t>
      </w:r>
      <w:r>
        <w:rPr>
          <w:color w:val="231F20"/>
        </w:rPr>
        <w:t>при </w:t>
      </w:r>
      <w:r>
        <w:rPr>
          <w:color w:val="231F20"/>
          <w:spacing w:val="-5"/>
        </w:rPr>
        <w:t>укрцају,</w:t>
      </w:r>
      <w:r>
        <w:rPr>
          <w:color w:val="231F20"/>
        </w:rPr>
        <w:t> </w:t>
      </w:r>
      <w:r>
        <w:rPr>
          <w:color w:val="231F20"/>
          <w:spacing w:val="-3"/>
        </w:rPr>
        <w:t>искрцају </w:t>
      </w:r>
      <w:r>
        <w:rPr>
          <w:color w:val="231F20"/>
        </w:rPr>
        <w:t>и </w:t>
      </w:r>
      <w:r>
        <w:rPr>
          <w:color w:val="231F20"/>
          <w:spacing w:val="-6"/>
        </w:rPr>
        <w:t>претовару, </w:t>
      </w:r>
      <w:r>
        <w:rPr>
          <w:color w:val="231F20"/>
          <w:spacing w:val="-3"/>
        </w:rPr>
        <w:t>пристајање </w:t>
      </w:r>
      <w:r>
        <w:rPr>
          <w:color w:val="231F20"/>
          <w:spacing w:val="-4"/>
        </w:rPr>
        <w:t>пловном објекту одређене </w:t>
      </w:r>
      <w:r>
        <w:rPr>
          <w:color w:val="231F20"/>
          <w:spacing w:val="-3"/>
        </w:rPr>
        <w:t>величи-</w:t>
      </w:r>
      <w:r>
        <w:rPr>
          <w:color w:val="231F20"/>
        </w:rPr>
        <w:t> не уз </w:t>
      </w:r>
      <w:r>
        <w:rPr>
          <w:color w:val="231F20"/>
          <w:spacing w:val="-4"/>
        </w:rPr>
        <w:t>оперативну </w:t>
      </w:r>
      <w:r>
        <w:rPr>
          <w:color w:val="231F20"/>
          <w:spacing w:val="-6"/>
        </w:rPr>
        <w:t>обалу, </w:t>
      </w:r>
      <w:r>
        <w:rPr>
          <w:color w:val="231F20"/>
          <w:spacing w:val="-3"/>
        </w:rPr>
        <w:t>што </w:t>
      </w:r>
      <w:r>
        <w:rPr>
          <w:color w:val="231F20"/>
          <w:spacing w:val="-4"/>
        </w:rPr>
        <w:t>значи </w:t>
      </w:r>
      <w:r>
        <w:rPr>
          <w:color w:val="231F20"/>
        </w:rPr>
        <w:t>да </w:t>
      </w:r>
      <w:r>
        <w:rPr>
          <w:color w:val="231F20"/>
          <w:spacing w:val="-3"/>
        </w:rPr>
        <w:t>дубина </w:t>
      </w:r>
      <w:r>
        <w:rPr>
          <w:color w:val="231F20"/>
        </w:rPr>
        <w:t>уз </w:t>
      </w:r>
      <w:r>
        <w:rPr>
          <w:color w:val="231F20"/>
          <w:spacing w:val="-3"/>
        </w:rPr>
        <w:t>обалу мора </w:t>
      </w:r>
      <w:r>
        <w:rPr>
          <w:color w:val="231F20"/>
        </w:rPr>
        <w:t>да </w:t>
      </w:r>
      <w:r>
        <w:rPr>
          <w:color w:val="231F20"/>
          <w:spacing w:val="-7"/>
        </w:rPr>
        <w:t>буде</w:t>
      </w:r>
      <w:r>
        <w:rPr>
          <w:color w:val="231F20"/>
        </w:rPr>
        <w:t> </w:t>
      </w:r>
      <w:r>
        <w:rPr>
          <w:color w:val="231F20"/>
          <w:spacing w:val="-3"/>
        </w:rPr>
        <w:t>таква </w:t>
      </w:r>
      <w:r>
        <w:rPr>
          <w:color w:val="231F20"/>
        </w:rPr>
        <w:t>да </w:t>
      </w:r>
      <w:r>
        <w:rPr>
          <w:color w:val="231F20"/>
          <w:spacing w:val="-4"/>
        </w:rPr>
        <w:t>омогућава </w:t>
      </w:r>
      <w:r>
        <w:rPr>
          <w:color w:val="231F20"/>
          <w:spacing w:val="-3"/>
        </w:rPr>
        <w:t>сигурно пристајање. </w:t>
      </w:r>
      <w:r>
        <w:rPr>
          <w:color w:val="231F20"/>
        </w:rPr>
        <w:t>У </w:t>
      </w:r>
      <w:r>
        <w:rPr>
          <w:color w:val="231F20"/>
          <w:spacing w:val="-5"/>
        </w:rPr>
        <w:t>том </w:t>
      </w:r>
      <w:r>
        <w:rPr>
          <w:color w:val="231F20"/>
          <w:spacing w:val="-3"/>
        </w:rPr>
        <w:t>циљу планирају </w:t>
      </w:r>
      <w:r>
        <w:rPr>
          <w:color w:val="231F20"/>
        </w:rPr>
        <w:t>се </w:t>
      </w:r>
      <w:r>
        <w:rPr>
          <w:color w:val="231F20"/>
          <w:spacing w:val="-3"/>
        </w:rPr>
        <w:t>хидрограђевински </w:t>
      </w:r>
      <w:r>
        <w:rPr>
          <w:color w:val="231F20"/>
        </w:rPr>
        <w:t>и </w:t>
      </w:r>
      <w:r>
        <w:rPr>
          <w:color w:val="231F20"/>
          <w:spacing w:val="-4"/>
        </w:rPr>
        <w:t>хидроморфолошки </w:t>
      </w:r>
      <w:r>
        <w:rPr>
          <w:color w:val="231F20"/>
          <w:spacing w:val="-3"/>
        </w:rPr>
        <w:t>радови </w:t>
      </w:r>
      <w:r>
        <w:rPr>
          <w:color w:val="231F20"/>
        </w:rPr>
        <w:t>на </w:t>
      </w:r>
      <w:r>
        <w:rPr>
          <w:color w:val="231F20"/>
          <w:spacing w:val="-3"/>
        </w:rPr>
        <w:t>уређењу </w:t>
      </w:r>
      <w:r>
        <w:rPr>
          <w:color w:val="231F20"/>
          <w:spacing w:val="-5"/>
        </w:rPr>
        <w:t>аквато-</w:t>
      </w:r>
      <w:r>
        <w:rPr>
          <w:color w:val="231F20"/>
        </w:rPr>
        <w:t> </w:t>
      </w:r>
      <w:r>
        <w:rPr>
          <w:color w:val="231F20"/>
          <w:spacing w:val="-3"/>
        </w:rPr>
        <w:t>рије </w:t>
      </w:r>
      <w:r>
        <w:rPr>
          <w:color w:val="231F20"/>
          <w:spacing w:val="-5"/>
        </w:rPr>
        <w:t>који </w:t>
      </w:r>
      <w:r>
        <w:rPr>
          <w:color w:val="231F20"/>
        </w:rPr>
        <w:t>се </w:t>
      </w:r>
      <w:r>
        <w:rPr>
          <w:color w:val="231F20"/>
          <w:spacing w:val="-3"/>
        </w:rPr>
        <w:t>морају извести </w:t>
      </w:r>
      <w:r>
        <w:rPr>
          <w:color w:val="231F20"/>
        </w:rPr>
        <w:t>у </w:t>
      </w:r>
      <w:r>
        <w:rPr>
          <w:color w:val="231F20"/>
          <w:spacing w:val="-3"/>
        </w:rPr>
        <w:t>свему према условима </w:t>
      </w:r>
      <w:r>
        <w:rPr>
          <w:color w:val="231F20"/>
        </w:rPr>
        <w:t>и уз </w:t>
      </w:r>
      <w:r>
        <w:rPr>
          <w:color w:val="231F20"/>
          <w:spacing w:val="-2"/>
        </w:rPr>
        <w:t>стални </w:t>
      </w:r>
      <w:r>
        <w:rPr>
          <w:color w:val="231F20"/>
          <w:spacing w:val="-3"/>
        </w:rPr>
        <w:t>над-</w:t>
      </w:r>
      <w:r>
        <w:rPr>
          <w:color w:val="231F20"/>
        </w:rPr>
        <w:t> </w:t>
      </w:r>
      <w:r>
        <w:rPr>
          <w:color w:val="231F20"/>
          <w:spacing w:val="-3"/>
        </w:rPr>
        <w:t>зор </w:t>
      </w:r>
      <w:r>
        <w:rPr>
          <w:color w:val="231F20"/>
          <w:spacing w:val="-4"/>
        </w:rPr>
        <w:t>Завода </w:t>
      </w:r>
      <w:r>
        <w:rPr>
          <w:color w:val="231F20"/>
        </w:rPr>
        <w:t>за </w:t>
      </w:r>
      <w:r>
        <w:rPr>
          <w:color w:val="231F20"/>
          <w:spacing w:val="-3"/>
        </w:rPr>
        <w:t>заштиту </w:t>
      </w:r>
      <w:r>
        <w:rPr>
          <w:color w:val="231F20"/>
          <w:spacing w:val="-4"/>
        </w:rPr>
        <w:t>природе, </w:t>
      </w:r>
      <w:r>
        <w:rPr>
          <w:color w:val="231F20"/>
        </w:rPr>
        <w:t>пре </w:t>
      </w:r>
      <w:r>
        <w:rPr>
          <w:color w:val="231F20"/>
          <w:spacing w:val="-3"/>
        </w:rPr>
        <w:t>свега </w:t>
      </w:r>
      <w:r>
        <w:rPr>
          <w:color w:val="231F20"/>
        </w:rPr>
        <w:t>у вези са </w:t>
      </w:r>
      <w:r>
        <w:rPr>
          <w:color w:val="231F20"/>
          <w:spacing w:val="-4"/>
        </w:rPr>
        <w:t>заштитом </w:t>
      </w:r>
      <w:r>
        <w:rPr>
          <w:color w:val="231F20"/>
          <w:spacing w:val="-3"/>
        </w:rPr>
        <w:t>влажног</w:t>
      </w:r>
      <w:r>
        <w:rPr>
          <w:color w:val="231F20"/>
        </w:rPr>
        <w:t> </w:t>
      </w:r>
      <w:r>
        <w:rPr>
          <w:color w:val="231F20"/>
          <w:spacing w:val="-4"/>
        </w:rPr>
        <w:t>подручја </w:t>
      </w:r>
      <w:r>
        <w:rPr>
          <w:color w:val="231F20"/>
          <w:spacing w:val="-3"/>
        </w:rPr>
        <w:t>Шугавица </w:t>
      </w:r>
      <w:r>
        <w:rPr>
          <w:color w:val="231F20"/>
        </w:rPr>
        <w:t>и </w:t>
      </w:r>
      <w:r>
        <w:rPr>
          <w:color w:val="231F20"/>
          <w:spacing w:val="-4"/>
        </w:rPr>
        <w:t>одржавања </w:t>
      </w:r>
      <w:r>
        <w:rPr>
          <w:color w:val="231F20"/>
          <w:spacing w:val="-3"/>
        </w:rPr>
        <w:t>заштићене </w:t>
      </w:r>
      <w:r>
        <w:rPr>
          <w:color w:val="231F20"/>
          <w:spacing w:val="-4"/>
        </w:rPr>
        <w:t>функције </w:t>
      </w:r>
      <w:r>
        <w:rPr>
          <w:color w:val="231F20"/>
          <w:spacing w:val="-3"/>
        </w:rPr>
        <w:t>мрестилишта.</w:t>
      </w:r>
      <w:r>
        <w:rPr>
          <w:color w:val="231F20"/>
        </w:rPr>
        <w:t> У ту сврху је посебно значајно опремање пристаништа, ка-</w:t>
      </w:r>
    </w:p>
    <w:p>
      <w:pPr>
        <w:pStyle w:val="BodyText"/>
        <w:spacing w:line="230" w:lineRule="auto"/>
        <w:ind w:left="454"/>
      </w:pPr>
      <w:r>
        <w:rPr>
          <w:color w:val="231F20"/>
        </w:rPr>
        <w:t>ко акваторије, тако и територије, уређајима и средствима за при- хват отпадних уља и других отпадних материја, односно, извође- ње постројења за пречишћавање зауљених отпадних и зауљених атмосферских вода. Препоручује се увођење пречишћених вода у систем јавне насељске канализације.</w:t>
      </w:r>
    </w:p>
    <w:p>
      <w:pPr>
        <w:pStyle w:val="ListParagraph"/>
        <w:numPr>
          <w:ilvl w:val="2"/>
          <w:numId w:val="52"/>
        </w:numPr>
        <w:tabs>
          <w:tab w:pos="1332" w:val="left" w:leader="none"/>
        </w:tabs>
        <w:spacing w:line="240" w:lineRule="auto" w:before="153" w:after="0"/>
        <w:ind w:left="1331" w:right="0" w:hanging="315"/>
        <w:jc w:val="left"/>
        <w:rPr>
          <w:i/>
          <w:sz w:val="18"/>
        </w:rPr>
      </w:pPr>
      <w:r>
        <w:rPr>
          <w:i/>
          <w:color w:val="231F20"/>
          <w:sz w:val="18"/>
        </w:rPr>
        <w:t>Правила изградње и правила уређења</w:t>
      </w:r>
      <w:r>
        <w:rPr>
          <w:i/>
          <w:color w:val="231F20"/>
          <w:spacing w:val="-3"/>
          <w:sz w:val="18"/>
        </w:rPr>
        <w:t> </w:t>
      </w:r>
      <w:r>
        <w:rPr>
          <w:i/>
          <w:color w:val="231F20"/>
          <w:sz w:val="18"/>
        </w:rPr>
        <w:t>простора</w:t>
      </w:r>
    </w:p>
    <w:p>
      <w:pPr>
        <w:pStyle w:val="BodyText"/>
        <w:ind w:left="0"/>
        <w:jc w:val="left"/>
        <w:rPr>
          <w:i/>
          <w:sz w:val="17"/>
        </w:rPr>
      </w:pPr>
    </w:p>
    <w:p>
      <w:pPr>
        <w:pStyle w:val="BodyText"/>
        <w:spacing w:line="230" w:lineRule="auto" w:before="1"/>
        <w:ind w:left="454" w:right="1" w:firstLine="396"/>
      </w:pPr>
      <w:r>
        <w:rPr>
          <w:color w:val="231F20"/>
          <w:spacing w:val="-4"/>
        </w:rPr>
        <w:t>Услови </w:t>
      </w:r>
      <w:r>
        <w:rPr>
          <w:color w:val="231F20"/>
        </w:rPr>
        <w:t>и начин уређења простора, уређивање и коришћење грађевинског земљишта за изградњу и реконструкцију објеката у </w:t>
      </w:r>
      <w:r>
        <w:rPr>
          <w:color w:val="231F20"/>
          <w:spacing w:val="-3"/>
        </w:rPr>
        <w:t>Комплексу </w:t>
      </w:r>
      <w:r>
        <w:rPr>
          <w:color w:val="231F20"/>
        </w:rPr>
        <w:t>ТЕ „Костолац А” са робним пристаништем утврђују се као</w:t>
      </w:r>
      <w:r>
        <w:rPr>
          <w:color w:val="231F20"/>
          <w:spacing w:val="-18"/>
        </w:rPr>
        <w:t> </w:t>
      </w:r>
      <w:r>
        <w:rPr>
          <w:color w:val="231F20"/>
        </w:rPr>
        <w:t>за</w:t>
      </w:r>
      <w:r>
        <w:rPr>
          <w:color w:val="231F20"/>
          <w:spacing w:val="-18"/>
        </w:rPr>
        <w:t> </w:t>
      </w:r>
      <w:r>
        <w:rPr>
          <w:color w:val="231F20"/>
        </w:rPr>
        <w:t>површину</w:t>
      </w:r>
      <w:r>
        <w:rPr>
          <w:color w:val="231F20"/>
          <w:spacing w:val="-18"/>
        </w:rPr>
        <w:t> </w:t>
      </w:r>
      <w:r>
        <w:rPr>
          <w:color w:val="231F20"/>
        </w:rPr>
        <w:t>јавне</w:t>
      </w:r>
      <w:r>
        <w:rPr>
          <w:color w:val="231F20"/>
          <w:spacing w:val="-18"/>
        </w:rPr>
        <w:t> </w:t>
      </w:r>
      <w:r>
        <w:rPr>
          <w:color w:val="231F20"/>
        </w:rPr>
        <w:t>намене,</w:t>
      </w:r>
      <w:r>
        <w:rPr>
          <w:color w:val="231F20"/>
          <w:spacing w:val="-18"/>
        </w:rPr>
        <w:t> </w:t>
      </w:r>
      <w:r>
        <w:rPr>
          <w:color w:val="231F20"/>
        </w:rPr>
        <w:t>с</w:t>
      </w:r>
      <w:r>
        <w:rPr>
          <w:color w:val="231F20"/>
          <w:spacing w:val="-18"/>
        </w:rPr>
        <w:t> </w:t>
      </w:r>
      <w:r>
        <w:rPr>
          <w:color w:val="231F20"/>
        </w:rPr>
        <w:t>обзиром</w:t>
      </w:r>
      <w:r>
        <w:rPr>
          <w:color w:val="231F20"/>
          <w:spacing w:val="-18"/>
        </w:rPr>
        <w:t> </w:t>
      </w:r>
      <w:r>
        <w:rPr>
          <w:color w:val="231F20"/>
        </w:rPr>
        <w:t>на</w:t>
      </w:r>
      <w:r>
        <w:rPr>
          <w:color w:val="231F20"/>
          <w:spacing w:val="-18"/>
        </w:rPr>
        <w:t> </w:t>
      </w:r>
      <w:r>
        <w:rPr>
          <w:color w:val="231F20"/>
        </w:rPr>
        <w:t>значај</w:t>
      </w:r>
      <w:r>
        <w:rPr>
          <w:color w:val="231F20"/>
          <w:spacing w:val="-18"/>
        </w:rPr>
        <w:t> </w:t>
      </w:r>
      <w:r>
        <w:rPr>
          <w:color w:val="231F20"/>
        </w:rPr>
        <w:t>ТЕ</w:t>
      </w:r>
      <w:r>
        <w:rPr>
          <w:color w:val="231F20"/>
          <w:spacing w:val="-18"/>
        </w:rPr>
        <w:t> </w:t>
      </w:r>
      <w:r>
        <w:rPr>
          <w:color w:val="231F20"/>
        </w:rPr>
        <w:t>„Костолац</w:t>
      </w:r>
      <w:r>
        <w:rPr>
          <w:color w:val="231F20"/>
          <w:spacing w:val="-18"/>
        </w:rPr>
        <w:t> </w:t>
      </w:r>
      <w:r>
        <w:rPr>
          <w:color w:val="231F20"/>
        </w:rPr>
        <w:t>А” и планираног индустријског пристаништа у систему Електропри- вреде Србије, односно, у систему ПД </w:t>
      </w:r>
      <w:r>
        <w:rPr>
          <w:color w:val="231F20"/>
          <w:spacing w:val="-4"/>
        </w:rPr>
        <w:t>„ТЕ-КО </w:t>
      </w:r>
      <w:r>
        <w:rPr>
          <w:color w:val="231F20"/>
        </w:rPr>
        <w:t>Костолац”, а да су планиране активности предвиђене стратешким и програмским до- кументима у области енергетике и заштите животне средине, хар- монизованим са стандардима ЕУ у енергетском</w:t>
      </w:r>
      <w:r>
        <w:rPr>
          <w:color w:val="231F20"/>
          <w:spacing w:val="-6"/>
        </w:rPr>
        <w:t> </w:t>
      </w:r>
      <w:r>
        <w:rPr>
          <w:color w:val="231F20"/>
          <w:spacing w:val="-4"/>
        </w:rPr>
        <w:t>сектору.</w:t>
      </w:r>
    </w:p>
    <w:p>
      <w:pPr>
        <w:pStyle w:val="ListParagraph"/>
        <w:numPr>
          <w:ilvl w:val="3"/>
          <w:numId w:val="52"/>
        </w:numPr>
        <w:tabs>
          <w:tab w:pos="1428" w:val="left" w:leader="none"/>
        </w:tabs>
        <w:spacing w:line="230" w:lineRule="auto" w:before="165" w:after="0"/>
        <w:ind w:left="1577" w:right="523" w:hanging="600"/>
        <w:jc w:val="left"/>
        <w:rPr>
          <w:sz w:val="18"/>
        </w:rPr>
      </w:pPr>
      <w:r>
        <w:rPr>
          <w:color w:val="231F20"/>
          <w:spacing w:val="16"/>
          <w:sz w:val="18"/>
        </w:rPr>
        <w:t>Правила изградње </w:t>
      </w:r>
      <w:r>
        <w:rPr>
          <w:color w:val="231F20"/>
          <w:sz w:val="18"/>
        </w:rPr>
        <w:t>и </w:t>
      </w:r>
      <w:r>
        <w:rPr>
          <w:color w:val="231F20"/>
          <w:spacing w:val="16"/>
          <w:sz w:val="18"/>
        </w:rPr>
        <w:t>правила уређења </w:t>
      </w:r>
      <w:r>
        <w:rPr>
          <w:color w:val="231F20"/>
          <w:spacing w:val="10"/>
          <w:sz w:val="18"/>
        </w:rPr>
        <w:t>за </w:t>
      </w:r>
      <w:r>
        <w:rPr>
          <w:color w:val="231F20"/>
          <w:spacing w:val="15"/>
          <w:sz w:val="18"/>
        </w:rPr>
        <w:t>Комплекс </w:t>
      </w:r>
      <w:r>
        <w:rPr>
          <w:color w:val="231F20"/>
          <w:spacing w:val="10"/>
          <w:sz w:val="18"/>
        </w:rPr>
        <w:t>ТЕ </w:t>
      </w:r>
      <w:r>
        <w:rPr>
          <w:color w:val="231F20"/>
          <w:sz w:val="18"/>
        </w:rPr>
        <w:t>„ </w:t>
      </w:r>
      <w:r>
        <w:rPr>
          <w:color w:val="231F20"/>
          <w:spacing w:val="5"/>
          <w:sz w:val="18"/>
        </w:rPr>
        <w:t>Ко </w:t>
      </w:r>
      <w:r>
        <w:rPr>
          <w:color w:val="231F20"/>
          <w:spacing w:val="15"/>
          <w:sz w:val="18"/>
        </w:rPr>
        <w:t>столац</w:t>
      </w:r>
      <w:r>
        <w:rPr>
          <w:color w:val="231F20"/>
          <w:spacing w:val="-14"/>
          <w:sz w:val="18"/>
        </w:rPr>
        <w:t> </w:t>
      </w:r>
      <w:r>
        <w:rPr>
          <w:color w:val="231F20"/>
          <w:spacing w:val="10"/>
          <w:sz w:val="18"/>
        </w:rPr>
        <w:t>А”</w:t>
      </w:r>
    </w:p>
    <w:p>
      <w:pPr>
        <w:pStyle w:val="BodyText"/>
        <w:spacing w:before="2"/>
        <w:ind w:left="0"/>
        <w:jc w:val="left"/>
        <w:rPr>
          <w:sz w:val="17"/>
        </w:rPr>
      </w:pPr>
    </w:p>
    <w:p>
      <w:pPr>
        <w:pStyle w:val="BodyText"/>
        <w:spacing w:line="230" w:lineRule="auto"/>
        <w:ind w:left="454" w:right="1" w:firstLine="396"/>
      </w:pPr>
      <w:r>
        <w:rPr>
          <w:color w:val="231F20"/>
        </w:rPr>
        <w:t>Објекат ТЕ „Костолац А” представља </w:t>
      </w:r>
      <w:r>
        <w:rPr>
          <w:color w:val="231F20"/>
          <w:spacing w:val="-3"/>
        </w:rPr>
        <w:t>физичку, </w:t>
      </w:r>
      <w:r>
        <w:rPr>
          <w:color w:val="231F20"/>
        </w:rPr>
        <w:t>функционал- ну</w:t>
      </w:r>
      <w:r>
        <w:rPr>
          <w:color w:val="231F20"/>
          <w:spacing w:val="-5"/>
        </w:rPr>
        <w:t> </w:t>
      </w:r>
      <w:r>
        <w:rPr>
          <w:color w:val="231F20"/>
        </w:rPr>
        <w:t>и</w:t>
      </w:r>
      <w:r>
        <w:rPr>
          <w:color w:val="231F20"/>
          <w:spacing w:val="-5"/>
        </w:rPr>
        <w:t> </w:t>
      </w:r>
      <w:r>
        <w:rPr>
          <w:color w:val="231F20"/>
        </w:rPr>
        <w:t>техничко-</w:t>
      </w:r>
      <w:r>
        <w:rPr>
          <w:color w:val="231F20"/>
          <w:spacing w:val="-5"/>
        </w:rPr>
        <w:t> </w:t>
      </w:r>
      <w:r>
        <w:rPr>
          <w:color w:val="231F20"/>
        </w:rPr>
        <w:t>технолошку</w:t>
      </w:r>
      <w:r>
        <w:rPr>
          <w:color w:val="231F20"/>
          <w:spacing w:val="-5"/>
        </w:rPr>
        <w:t> </w:t>
      </w:r>
      <w:r>
        <w:rPr>
          <w:color w:val="231F20"/>
        </w:rPr>
        <w:t>целину</w:t>
      </w:r>
      <w:r>
        <w:rPr>
          <w:color w:val="231F20"/>
          <w:spacing w:val="-5"/>
        </w:rPr>
        <w:t> </w:t>
      </w:r>
      <w:r>
        <w:rPr>
          <w:color w:val="231F20"/>
        </w:rPr>
        <w:t>са</w:t>
      </w:r>
      <w:r>
        <w:rPr>
          <w:color w:val="231F20"/>
          <w:spacing w:val="-5"/>
        </w:rPr>
        <w:t> </w:t>
      </w:r>
      <w:r>
        <w:rPr>
          <w:color w:val="231F20"/>
        </w:rPr>
        <w:t>свим</w:t>
      </w:r>
      <w:r>
        <w:rPr>
          <w:color w:val="231F20"/>
          <w:spacing w:val="-5"/>
        </w:rPr>
        <w:t> </w:t>
      </w:r>
      <w:r>
        <w:rPr>
          <w:color w:val="231F20"/>
        </w:rPr>
        <w:t>потребним</w:t>
      </w:r>
      <w:r>
        <w:rPr>
          <w:color w:val="231F20"/>
          <w:spacing w:val="-5"/>
        </w:rPr>
        <w:t> </w:t>
      </w:r>
      <w:r>
        <w:rPr>
          <w:color w:val="231F20"/>
        </w:rPr>
        <w:t>инсталаци- јама,</w:t>
      </w:r>
      <w:r>
        <w:rPr>
          <w:color w:val="231F20"/>
          <w:spacing w:val="-5"/>
        </w:rPr>
        <w:t> </w:t>
      </w:r>
      <w:r>
        <w:rPr>
          <w:color w:val="231F20"/>
        </w:rPr>
        <w:t>постројењима</w:t>
      </w:r>
      <w:r>
        <w:rPr>
          <w:color w:val="231F20"/>
          <w:spacing w:val="-5"/>
        </w:rPr>
        <w:t> </w:t>
      </w:r>
      <w:r>
        <w:rPr>
          <w:color w:val="231F20"/>
        </w:rPr>
        <w:t>и</w:t>
      </w:r>
      <w:r>
        <w:rPr>
          <w:color w:val="231F20"/>
          <w:spacing w:val="-5"/>
        </w:rPr>
        <w:t> </w:t>
      </w:r>
      <w:r>
        <w:rPr>
          <w:color w:val="231F20"/>
        </w:rPr>
        <w:t>опремом,</w:t>
      </w:r>
      <w:r>
        <w:rPr>
          <w:color w:val="231F20"/>
          <w:spacing w:val="-5"/>
        </w:rPr>
        <w:t> </w:t>
      </w:r>
      <w:r>
        <w:rPr>
          <w:color w:val="231F20"/>
        </w:rPr>
        <w:t>односно</w:t>
      </w:r>
      <w:r>
        <w:rPr>
          <w:color w:val="231F20"/>
          <w:spacing w:val="-5"/>
        </w:rPr>
        <w:t> </w:t>
      </w:r>
      <w:r>
        <w:rPr>
          <w:color w:val="231F20"/>
        </w:rPr>
        <w:t>зграде</w:t>
      </w:r>
      <w:r>
        <w:rPr>
          <w:color w:val="231F20"/>
          <w:spacing w:val="-5"/>
        </w:rPr>
        <w:t> </w:t>
      </w:r>
      <w:r>
        <w:rPr>
          <w:color w:val="231F20"/>
        </w:rPr>
        <w:t>свих</w:t>
      </w:r>
      <w:r>
        <w:rPr>
          <w:color w:val="231F20"/>
          <w:spacing w:val="-5"/>
        </w:rPr>
        <w:t> </w:t>
      </w:r>
      <w:r>
        <w:rPr>
          <w:color w:val="231F20"/>
        </w:rPr>
        <w:t>врста,</w:t>
      </w:r>
      <w:r>
        <w:rPr>
          <w:color w:val="231F20"/>
          <w:spacing w:val="-5"/>
        </w:rPr>
        <w:t> </w:t>
      </w:r>
      <w:r>
        <w:rPr>
          <w:color w:val="231F20"/>
        </w:rPr>
        <w:t>саобра- ћајни, водни и енергетски објекти, унутрашња и спољна мрежа и инсталације, постројења и опрема </w:t>
      </w:r>
      <w:r>
        <w:rPr>
          <w:color w:val="231F20"/>
          <w:spacing w:val="-3"/>
        </w:rPr>
        <w:t>која </w:t>
      </w:r>
      <w:r>
        <w:rPr>
          <w:color w:val="231F20"/>
        </w:rPr>
        <w:t>се уграђује у објекат или самостално изводе, као и објекти комуналне инфраструктуре у оквиру </w:t>
      </w:r>
      <w:r>
        <w:rPr>
          <w:color w:val="231F20"/>
          <w:spacing w:val="-3"/>
        </w:rPr>
        <w:t>комплекса, </w:t>
      </w:r>
      <w:r>
        <w:rPr>
          <w:color w:val="231F20"/>
        </w:rPr>
        <w:t>део су објекта термоелектране, у смислу</w:t>
      </w:r>
      <w:r>
        <w:rPr>
          <w:color w:val="231F20"/>
          <w:spacing w:val="-30"/>
        </w:rPr>
        <w:t> </w:t>
      </w:r>
      <w:r>
        <w:rPr>
          <w:color w:val="231F20"/>
          <w:spacing w:val="-3"/>
        </w:rPr>
        <w:t>Закона </w:t>
      </w:r>
      <w:r>
        <w:rPr>
          <w:color w:val="231F20"/>
        </w:rPr>
        <w:t>о планирању и</w:t>
      </w:r>
      <w:r>
        <w:rPr>
          <w:color w:val="231F20"/>
          <w:spacing w:val="-3"/>
        </w:rPr>
        <w:t> </w:t>
      </w:r>
      <w:r>
        <w:rPr>
          <w:color w:val="231F20"/>
        </w:rPr>
        <w:t>изградњи.</w:t>
      </w:r>
    </w:p>
    <w:p>
      <w:pPr>
        <w:pStyle w:val="BodyText"/>
        <w:spacing w:line="230" w:lineRule="auto"/>
        <w:ind w:left="455" w:firstLine="396"/>
      </w:pPr>
      <w:r>
        <w:rPr>
          <w:color w:val="231F20"/>
        </w:rPr>
        <w:t>Грађевински и други радови у оквиру система за транспорт пепела и шљаке (силос за пепео са компресорском станицом, по- стројење за одводњавање шљаке, транспортери и бункер за шља- ку), изградња постројења и унапређење третмана отпадних вода, као и део планираних радова на капиталном ремонту и ревитали- зацији, радови су на реконструкцији или доградњи објекта елек- тране, уколико се планираним активностима:</w:t>
      </w:r>
    </w:p>
    <w:p>
      <w:pPr>
        <w:pStyle w:val="BodyText"/>
        <w:spacing w:line="192" w:lineRule="exact"/>
        <w:ind w:left="852"/>
        <w:jc w:val="left"/>
      </w:pPr>
      <w:r>
        <w:rPr>
          <w:color w:val="231F20"/>
          <w:w w:val="66"/>
        </w:rPr>
        <w:t> </w:t>
      </w:r>
      <w:r>
        <w:rPr>
          <w:color w:val="231F20"/>
        </w:rPr>
        <w:t>– утиче на стабилност и сигурност објекта;</w:t>
      </w:r>
    </w:p>
    <w:p>
      <w:pPr>
        <w:pStyle w:val="BodyText"/>
        <w:spacing w:line="198" w:lineRule="exact"/>
        <w:ind w:left="852"/>
        <w:jc w:val="left"/>
      </w:pPr>
      <w:r>
        <w:rPr>
          <w:color w:val="231F20"/>
          <w:w w:val="66"/>
        </w:rPr>
        <w:t> </w:t>
      </w:r>
      <w:r>
        <w:rPr>
          <w:color w:val="231F20"/>
        </w:rPr>
        <w:t>– мењају конструктивни елементи или технолошки процес;</w:t>
      </w:r>
    </w:p>
    <w:p>
      <w:pPr>
        <w:pStyle w:val="BodyText"/>
        <w:spacing w:line="230" w:lineRule="auto"/>
        <w:ind w:left="455" w:right="1" w:firstLine="396"/>
      </w:pPr>
      <w:r>
        <w:rPr>
          <w:color w:val="231F20"/>
          <w:w w:val="66"/>
        </w:rPr>
        <w:t> </w:t>
      </w:r>
      <w:r>
        <w:rPr>
          <w:color w:val="231F20"/>
        </w:rPr>
        <w:t>–</w:t>
      </w:r>
      <w:r>
        <w:rPr>
          <w:color w:val="231F20"/>
          <w:spacing w:val="-9"/>
        </w:rPr>
        <w:t> </w:t>
      </w:r>
      <w:r>
        <w:rPr>
          <w:color w:val="231F20"/>
        </w:rPr>
        <w:t>мења</w:t>
      </w:r>
      <w:r>
        <w:rPr>
          <w:color w:val="231F20"/>
          <w:spacing w:val="-9"/>
        </w:rPr>
        <w:t> </w:t>
      </w:r>
      <w:r>
        <w:rPr>
          <w:color w:val="231F20"/>
        </w:rPr>
        <w:t>спољни</w:t>
      </w:r>
      <w:r>
        <w:rPr>
          <w:color w:val="231F20"/>
          <w:spacing w:val="-9"/>
        </w:rPr>
        <w:t> </w:t>
      </w:r>
      <w:r>
        <w:rPr>
          <w:color w:val="231F20"/>
          <w:spacing w:val="-3"/>
        </w:rPr>
        <w:t>изглед</w:t>
      </w:r>
      <w:r>
        <w:rPr>
          <w:color w:val="231F20"/>
          <w:spacing w:val="-9"/>
        </w:rPr>
        <w:t> </w:t>
      </w:r>
      <w:r>
        <w:rPr>
          <w:color w:val="231F20"/>
        </w:rPr>
        <w:t>објекта,</w:t>
      </w:r>
      <w:r>
        <w:rPr>
          <w:color w:val="231F20"/>
          <w:spacing w:val="-9"/>
        </w:rPr>
        <w:t> </w:t>
      </w:r>
      <w:r>
        <w:rPr>
          <w:color w:val="231F20"/>
        </w:rPr>
        <w:t>повећава</w:t>
      </w:r>
      <w:r>
        <w:rPr>
          <w:color w:val="231F20"/>
          <w:spacing w:val="-9"/>
        </w:rPr>
        <w:t> </w:t>
      </w:r>
      <w:r>
        <w:rPr>
          <w:color w:val="231F20"/>
        </w:rPr>
        <w:t>број</w:t>
      </w:r>
      <w:r>
        <w:rPr>
          <w:color w:val="231F20"/>
          <w:spacing w:val="-9"/>
        </w:rPr>
        <w:t> </w:t>
      </w:r>
      <w:r>
        <w:rPr>
          <w:color w:val="231F20"/>
        </w:rPr>
        <w:t>функционалних јединица;</w:t>
      </w:r>
    </w:p>
    <w:p>
      <w:pPr>
        <w:pStyle w:val="BodyText"/>
        <w:spacing w:line="230" w:lineRule="auto"/>
        <w:ind w:left="455" w:right="1" w:firstLine="396"/>
      </w:pPr>
      <w:r>
        <w:rPr>
          <w:color w:val="231F20"/>
          <w:w w:val="66"/>
        </w:rPr>
        <w:t> </w:t>
      </w:r>
      <w:r>
        <w:rPr>
          <w:color w:val="231F20"/>
        </w:rPr>
        <w:t>–</w:t>
      </w:r>
      <w:r>
        <w:rPr>
          <w:color w:val="231F20"/>
          <w:spacing w:val="-12"/>
        </w:rPr>
        <w:t> </w:t>
      </w:r>
      <w:r>
        <w:rPr>
          <w:color w:val="231F20"/>
        </w:rPr>
        <w:t>утиче</w:t>
      </w:r>
      <w:r>
        <w:rPr>
          <w:color w:val="231F20"/>
          <w:spacing w:val="-12"/>
        </w:rPr>
        <w:t> </w:t>
      </w:r>
      <w:r>
        <w:rPr>
          <w:color w:val="231F20"/>
        </w:rPr>
        <w:t>на</w:t>
      </w:r>
      <w:r>
        <w:rPr>
          <w:color w:val="231F20"/>
          <w:spacing w:val="-12"/>
        </w:rPr>
        <w:t> </w:t>
      </w:r>
      <w:r>
        <w:rPr>
          <w:color w:val="231F20"/>
        </w:rPr>
        <w:t>безбедност</w:t>
      </w:r>
      <w:r>
        <w:rPr>
          <w:color w:val="231F20"/>
          <w:spacing w:val="-12"/>
        </w:rPr>
        <w:t> </w:t>
      </w:r>
      <w:r>
        <w:rPr>
          <w:color w:val="231F20"/>
        </w:rPr>
        <w:t>суседних</w:t>
      </w:r>
      <w:r>
        <w:rPr>
          <w:color w:val="231F20"/>
          <w:spacing w:val="-12"/>
        </w:rPr>
        <w:t> </w:t>
      </w:r>
      <w:r>
        <w:rPr>
          <w:color w:val="231F20"/>
        </w:rPr>
        <w:t>објеката,</w:t>
      </w:r>
      <w:r>
        <w:rPr>
          <w:color w:val="231F20"/>
          <w:spacing w:val="-12"/>
        </w:rPr>
        <w:t> </w:t>
      </w:r>
      <w:r>
        <w:rPr>
          <w:color w:val="231F20"/>
        </w:rPr>
        <w:t>саобраћаја,</w:t>
      </w:r>
      <w:r>
        <w:rPr>
          <w:color w:val="231F20"/>
          <w:spacing w:val="-11"/>
        </w:rPr>
        <w:t> </w:t>
      </w:r>
      <w:r>
        <w:rPr>
          <w:color w:val="231F20"/>
        </w:rPr>
        <w:t>заштите </w:t>
      </w:r>
      <w:r>
        <w:rPr>
          <w:color w:val="231F20"/>
          <w:spacing w:val="-3"/>
        </w:rPr>
        <w:t>од </w:t>
      </w:r>
      <w:r>
        <w:rPr>
          <w:color w:val="231F20"/>
        </w:rPr>
        <w:t>пожара и животне</w:t>
      </w:r>
      <w:r>
        <w:rPr>
          <w:color w:val="231F20"/>
          <w:spacing w:val="-1"/>
        </w:rPr>
        <w:t> </w:t>
      </w:r>
      <w:r>
        <w:rPr>
          <w:color w:val="231F20"/>
        </w:rPr>
        <w:t>средине;</w:t>
      </w:r>
    </w:p>
    <w:p>
      <w:pPr>
        <w:pStyle w:val="BodyText"/>
        <w:spacing w:line="195" w:lineRule="exact"/>
        <w:ind w:left="852"/>
        <w:jc w:val="left"/>
      </w:pPr>
      <w:r>
        <w:rPr>
          <w:color w:val="231F20"/>
          <w:w w:val="66"/>
        </w:rPr>
        <w:t> </w:t>
      </w:r>
      <w:r>
        <w:rPr>
          <w:color w:val="231F20"/>
        </w:rPr>
        <w:t>– мења режим вода и</w:t>
      </w:r>
    </w:p>
    <w:p>
      <w:pPr>
        <w:pStyle w:val="BodyText"/>
        <w:spacing w:line="230" w:lineRule="auto"/>
        <w:ind w:left="455" w:right="1" w:firstLine="396"/>
      </w:pPr>
      <w:r>
        <w:rPr>
          <w:color w:val="231F20"/>
          <w:w w:val="66"/>
        </w:rPr>
        <w:t> </w:t>
      </w:r>
      <w:r>
        <w:rPr>
          <w:color w:val="231F20"/>
        </w:rPr>
        <w:t>–</w:t>
      </w:r>
      <w:r>
        <w:rPr>
          <w:color w:val="231F20"/>
          <w:spacing w:val="-9"/>
        </w:rPr>
        <w:t> </w:t>
      </w:r>
      <w:r>
        <w:rPr>
          <w:color w:val="231F20"/>
        </w:rPr>
        <w:t>изграђује</w:t>
      </w:r>
      <w:r>
        <w:rPr>
          <w:color w:val="231F20"/>
          <w:spacing w:val="-9"/>
        </w:rPr>
        <w:t> </w:t>
      </w:r>
      <w:r>
        <w:rPr>
          <w:color w:val="231F20"/>
        </w:rPr>
        <w:t>нови</w:t>
      </w:r>
      <w:r>
        <w:rPr>
          <w:color w:val="231F20"/>
          <w:spacing w:val="-9"/>
        </w:rPr>
        <w:t> </w:t>
      </w:r>
      <w:r>
        <w:rPr>
          <w:color w:val="231F20"/>
        </w:rPr>
        <w:t>простор</w:t>
      </w:r>
      <w:r>
        <w:rPr>
          <w:color w:val="231F20"/>
          <w:spacing w:val="-9"/>
        </w:rPr>
        <w:t> </w:t>
      </w:r>
      <w:r>
        <w:rPr>
          <w:color w:val="231F20"/>
        </w:rPr>
        <w:t>уз,</w:t>
      </w:r>
      <w:r>
        <w:rPr>
          <w:color w:val="231F20"/>
          <w:spacing w:val="-9"/>
        </w:rPr>
        <w:t> </w:t>
      </w:r>
      <w:r>
        <w:rPr>
          <w:color w:val="231F20"/>
        </w:rPr>
        <w:t>испод</w:t>
      </w:r>
      <w:r>
        <w:rPr>
          <w:color w:val="231F20"/>
          <w:spacing w:val="-9"/>
        </w:rPr>
        <w:t> </w:t>
      </w:r>
      <w:r>
        <w:rPr>
          <w:color w:val="231F20"/>
        </w:rPr>
        <w:t>или</w:t>
      </w:r>
      <w:r>
        <w:rPr>
          <w:color w:val="231F20"/>
          <w:spacing w:val="-9"/>
        </w:rPr>
        <w:t> </w:t>
      </w:r>
      <w:r>
        <w:rPr>
          <w:color w:val="231F20"/>
        </w:rPr>
        <w:t>над</w:t>
      </w:r>
      <w:r>
        <w:rPr>
          <w:color w:val="231F20"/>
          <w:spacing w:val="-9"/>
        </w:rPr>
        <w:t> </w:t>
      </w:r>
      <w:r>
        <w:rPr>
          <w:color w:val="231F20"/>
        </w:rPr>
        <w:t>постојећим</w:t>
      </w:r>
      <w:r>
        <w:rPr>
          <w:color w:val="231F20"/>
          <w:spacing w:val="-9"/>
        </w:rPr>
        <w:t> </w:t>
      </w:r>
      <w:r>
        <w:rPr>
          <w:color w:val="231F20"/>
        </w:rPr>
        <w:t>објек- </w:t>
      </w:r>
      <w:r>
        <w:rPr>
          <w:color w:val="231F20"/>
          <w:spacing w:val="-3"/>
        </w:rPr>
        <w:t>том који </w:t>
      </w:r>
      <w:r>
        <w:rPr>
          <w:color w:val="231F20"/>
        </w:rPr>
        <w:t>са њим чини </w:t>
      </w:r>
      <w:r>
        <w:rPr>
          <w:color w:val="231F20"/>
          <w:spacing w:val="-3"/>
        </w:rPr>
        <w:t>грађевинску, </w:t>
      </w:r>
      <w:r>
        <w:rPr>
          <w:color w:val="231F20"/>
        </w:rPr>
        <w:t>функционалну или техничку </w:t>
      </w:r>
      <w:r>
        <w:rPr>
          <w:color w:val="231F20"/>
          <w:spacing w:val="-4"/>
        </w:rPr>
        <w:t>целину.</w:t>
      </w:r>
    </w:p>
    <w:p>
      <w:pPr>
        <w:pStyle w:val="BodyText"/>
        <w:spacing w:line="230" w:lineRule="auto"/>
        <w:ind w:left="456" w:firstLine="396"/>
        <w:jc w:val="right"/>
      </w:pPr>
      <w:r>
        <w:rPr>
          <w:color w:val="231F20"/>
        </w:rPr>
        <w:t>Архитектонско</w:t>
      </w:r>
      <w:r>
        <w:rPr>
          <w:color w:val="231F20"/>
          <w:spacing w:val="-7"/>
        </w:rPr>
        <w:t> </w:t>
      </w:r>
      <w:r>
        <w:rPr>
          <w:color w:val="231F20"/>
        </w:rPr>
        <w:t>и</w:t>
      </w:r>
      <w:r>
        <w:rPr>
          <w:color w:val="231F20"/>
          <w:spacing w:val="-7"/>
        </w:rPr>
        <w:t> </w:t>
      </w:r>
      <w:r>
        <w:rPr>
          <w:color w:val="231F20"/>
        </w:rPr>
        <w:t>конструктивно</w:t>
      </w:r>
      <w:r>
        <w:rPr>
          <w:color w:val="231F20"/>
          <w:spacing w:val="-7"/>
        </w:rPr>
        <w:t> </w:t>
      </w:r>
      <w:r>
        <w:rPr>
          <w:color w:val="231F20"/>
        </w:rPr>
        <w:t>решење</w:t>
      </w:r>
      <w:r>
        <w:rPr>
          <w:color w:val="231F20"/>
          <w:spacing w:val="-7"/>
        </w:rPr>
        <w:t> </w:t>
      </w:r>
      <w:r>
        <w:rPr>
          <w:color w:val="231F20"/>
        </w:rPr>
        <w:t>зграде</w:t>
      </w:r>
      <w:r>
        <w:rPr>
          <w:color w:val="231F20"/>
          <w:spacing w:val="-7"/>
        </w:rPr>
        <w:t> </w:t>
      </w:r>
      <w:r>
        <w:rPr>
          <w:color w:val="231F20"/>
        </w:rPr>
        <w:t>силоса</w:t>
      </w:r>
      <w:r>
        <w:rPr>
          <w:color w:val="231F20"/>
          <w:spacing w:val="-7"/>
        </w:rPr>
        <w:t> </w:t>
      </w:r>
      <w:r>
        <w:rPr>
          <w:color w:val="231F20"/>
        </w:rPr>
        <w:t>за</w:t>
      </w:r>
      <w:r>
        <w:rPr>
          <w:color w:val="231F20"/>
          <w:spacing w:val="-7"/>
        </w:rPr>
        <w:t> </w:t>
      </w:r>
      <w:r>
        <w:rPr>
          <w:color w:val="231F20"/>
        </w:rPr>
        <w:t>пе- пео</w:t>
      </w:r>
      <w:r>
        <w:rPr>
          <w:color w:val="231F20"/>
          <w:spacing w:val="13"/>
        </w:rPr>
        <w:t> </w:t>
      </w:r>
      <w:r>
        <w:rPr>
          <w:color w:val="231F20"/>
        </w:rPr>
        <w:t>и</w:t>
      </w:r>
      <w:r>
        <w:rPr>
          <w:color w:val="231F20"/>
          <w:spacing w:val="13"/>
        </w:rPr>
        <w:t> </w:t>
      </w:r>
      <w:r>
        <w:rPr>
          <w:color w:val="231F20"/>
        </w:rPr>
        <w:t>шљаку</w:t>
      </w:r>
      <w:r>
        <w:rPr>
          <w:color w:val="231F20"/>
          <w:spacing w:val="13"/>
        </w:rPr>
        <w:t> </w:t>
      </w:r>
      <w:r>
        <w:rPr>
          <w:color w:val="231F20"/>
        </w:rPr>
        <w:t>проистиче</w:t>
      </w:r>
      <w:r>
        <w:rPr>
          <w:color w:val="231F20"/>
          <w:spacing w:val="13"/>
        </w:rPr>
        <w:t> </w:t>
      </w:r>
      <w:r>
        <w:rPr>
          <w:color w:val="231F20"/>
        </w:rPr>
        <w:t>из</w:t>
      </w:r>
      <w:r>
        <w:rPr>
          <w:color w:val="231F20"/>
          <w:spacing w:val="13"/>
        </w:rPr>
        <w:t> </w:t>
      </w:r>
      <w:r>
        <w:rPr>
          <w:color w:val="231F20"/>
        </w:rPr>
        <w:t>основне</w:t>
      </w:r>
      <w:r>
        <w:rPr>
          <w:color w:val="231F20"/>
          <w:spacing w:val="13"/>
        </w:rPr>
        <w:t> </w:t>
      </w:r>
      <w:r>
        <w:rPr>
          <w:color w:val="231F20"/>
        </w:rPr>
        <w:t>функције</w:t>
      </w:r>
      <w:r>
        <w:rPr>
          <w:color w:val="231F20"/>
          <w:spacing w:val="13"/>
        </w:rPr>
        <w:t> </w:t>
      </w:r>
      <w:r>
        <w:rPr>
          <w:color w:val="231F20"/>
        </w:rPr>
        <w:t>за</w:t>
      </w:r>
      <w:r>
        <w:rPr>
          <w:color w:val="231F20"/>
          <w:spacing w:val="13"/>
        </w:rPr>
        <w:t> </w:t>
      </w:r>
      <w:r>
        <w:rPr>
          <w:color w:val="231F20"/>
        </w:rPr>
        <w:t>смештај</w:t>
      </w:r>
      <w:r>
        <w:rPr>
          <w:color w:val="231F20"/>
          <w:spacing w:val="13"/>
        </w:rPr>
        <w:t> </w:t>
      </w:r>
      <w:r>
        <w:rPr>
          <w:color w:val="231F20"/>
        </w:rPr>
        <w:t>машин- ских</w:t>
      </w:r>
      <w:r>
        <w:rPr>
          <w:color w:val="231F20"/>
          <w:spacing w:val="-6"/>
        </w:rPr>
        <w:t> </w:t>
      </w:r>
      <w:r>
        <w:rPr>
          <w:color w:val="231F20"/>
        </w:rPr>
        <w:t>инсталација</w:t>
      </w:r>
      <w:r>
        <w:rPr>
          <w:color w:val="231F20"/>
          <w:spacing w:val="-6"/>
        </w:rPr>
        <w:t> </w:t>
      </w:r>
      <w:r>
        <w:rPr>
          <w:color w:val="231F20"/>
        </w:rPr>
        <w:t>система</w:t>
      </w:r>
      <w:r>
        <w:rPr>
          <w:color w:val="231F20"/>
          <w:spacing w:val="-6"/>
        </w:rPr>
        <w:t> </w:t>
      </w:r>
      <w:r>
        <w:rPr>
          <w:color w:val="231F20"/>
        </w:rPr>
        <w:t>за</w:t>
      </w:r>
      <w:r>
        <w:rPr>
          <w:color w:val="231F20"/>
          <w:spacing w:val="-6"/>
        </w:rPr>
        <w:t> </w:t>
      </w:r>
      <w:r>
        <w:rPr>
          <w:color w:val="231F20"/>
        </w:rPr>
        <w:t>одлагање</w:t>
      </w:r>
      <w:r>
        <w:rPr>
          <w:color w:val="231F20"/>
          <w:spacing w:val="-6"/>
        </w:rPr>
        <w:t> </w:t>
      </w:r>
      <w:r>
        <w:rPr>
          <w:color w:val="231F20"/>
        </w:rPr>
        <w:t>пепела.</w:t>
      </w:r>
      <w:r>
        <w:rPr>
          <w:color w:val="231F20"/>
          <w:spacing w:val="-6"/>
        </w:rPr>
        <w:t> </w:t>
      </w:r>
      <w:r>
        <w:rPr>
          <w:color w:val="231F20"/>
        </w:rPr>
        <w:t>Распоред</w:t>
      </w:r>
      <w:r>
        <w:rPr>
          <w:color w:val="231F20"/>
          <w:spacing w:val="-6"/>
        </w:rPr>
        <w:t> </w:t>
      </w:r>
      <w:r>
        <w:rPr>
          <w:color w:val="231F20"/>
        </w:rPr>
        <w:t>простори- ја,</w:t>
      </w:r>
      <w:r>
        <w:rPr>
          <w:color w:val="231F20"/>
          <w:spacing w:val="-5"/>
        </w:rPr>
        <w:t> </w:t>
      </w:r>
      <w:r>
        <w:rPr>
          <w:color w:val="231F20"/>
        </w:rPr>
        <w:t>отвора,</w:t>
      </w:r>
      <w:r>
        <w:rPr>
          <w:color w:val="231F20"/>
          <w:spacing w:val="-5"/>
        </w:rPr>
        <w:t> </w:t>
      </w:r>
      <w:r>
        <w:rPr>
          <w:color w:val="231F20"/>
        </w:rPr>
        <w:t>обраде</w:t>
      </w:r>
      <w:r>
        <w:rPr>
          <w:color w:val="231F20"/>
          <w:spacing w:val="-5"/>
        </w:rPr>
        <w:t> </w:t>
      </w:r>
      <w:r>
        <w:rPr>
          <w:color w:val="231F20"/>
        </w:rPr>
        <w:t>подова</w:t>
      </w:r>
      <w:r>
        <w:rPr>
          <w:color w:val="231F20"/>
          <w:spacing w:val="-5"/>
        </w:rPr>
        <w:t> </w:t>
      </w:r>
      <w:r>
        <w:rPr>
          <w:color w:val="231F20"/>
        </w:rPr>
        <w:t>и</w:t>
      </w:r>
      <w:r>
        <w:rPr>
          <w:color w:val="231F20"/>
          <w:spacing w:val="-6"/>
        </w:rPr>
        <w:t> </w:t>
      </w:r>
      <w:r>
        <w:rPr>
          <w:color w:val="231F20"/>
        </w:rPr>
        <w:t>зидова</w:t>
      </w:r>
      <w:r>
        <w:rPr>
          <w:color w:val="231F20"/>
          <w:spacing w:val="-5"/>
        </w:rPr>
        <w:t> </w:t>
      </w:r>
      <w:r>
        <w:rPr>
          <w:color w:val="231F20"/>
        </w:rPr>
        <w:t>подређени</w:t>
      </w:r>
      <w:r>
        <w:rPr>
          <w:color w:val="231F20"/>
          <w:spacing w:val="-6"/>
        </w:rPr>
        <w:t> </w:t>
      </w:r>
      <w:r>
        <w:rPr>
          <w:color w:val="231F20"/>
        </w:rPr>
        <w:t>су</w:t>
      </w:r>
      <w:r>
        <w:rPr>
          <w:color w:val="231F20"/>
          <w:spacing w:val="-5"/>
        </w:rPr>
        <w:t> </w:t>
      </w:r>
      <w:r>
        <w:rPr>
          <w:color w:val="231F20"/>
        </w:rPr>
        <w:t>функцији</w:t>
      </w:r>
      <w:r>
        <w:rPr>
          <w:color w:val="231F20"/>
          <w:spacing w:val="-5"/>
        </w:rPr>
        <w:t> </w:t>
      </w:r>
      <w:r>
        <w:rPr>
          <w:color w:val="231F20"/>
        </w:rPr>
        <w:t>објекта. С</w:t>
      </w:r>
      <w:r>
        <w:rPr>
          <w:color w:val="231F20"/>
          <w:spacing w:val="25"/>
        </w:rPr>
        <w:t> </w:t>
      </w:r>
      <w:r>
        <w:rPr>
          <w:color w:val="231F20"/>
        </w:rPr>
        <w:t>обзиром</w:t>
      </w:r>
      <w:r>
        <w:rPr>
          <w:color w:val="231F20"/>
          <w:spacing w:val="26"/>
        </w:rPr>
        <w:t> </w:t>
      </w:r>
      <w:r>
        <w:rPr>
          <w:color w:val="231F20"/>
        </w:rPr>
        <w:t>на</w:t>
      </w:r>
      <w:r>
        <w:rPr>
          <w:color w:val="231F20"/>
          <w:spacing w:val="25"/>
        </w:rPr>
        <w:t> </w:t>
      </w:r>
      <w:r>
        <w:rPr>
          <w:color w:val="231F20"/>
        </w:rPr>
        <w:t>висину</w:t>
      </w:r>
      <w:r>
        <w:rPr>
          <w:color w:val="231F20"/>
          <w:spacing w:val="25"/>
        </w:rPr>
        <w:t> </w:t>
      </w:r>
      <w:r>
        <w:rPr>
          <w:color w:val="231F20"/>
        </w:rPr>
        <w:t>и</w:t>
      </w:r>
      <w:r>
        <w:rPr>
          <w:color w:val="231F20"/>
          <w:spacing w:val="25"/>
        </w:rPr>
        <w:t> </w:t>
      </w:r>
      <w:r>
        <w:rPr>
          <w:color w:val="231F20"/>
        </w:rPr>
        <w:t>функцију</w:t>
      </w:r>
      <w:r>
        <w:rPr>
          <w:color w:val="231F20"/>
          <w:spacing w:val="26"/>
        </w:rPr>
        <w:t> </w:t>
      </w:r>
      <w:r>
        <w:rPr>
          <w:color w:val="231F20"/>
        </w:rPr>
        <w:t>објекта</w:t>
      </w:r>
      <w:r>
        <w:rPr>
          <w:color w:val="231F20"/>
          <w:spacing w:val="26"/>
        </w:rPr>
        <w:t> </w:t>
      </w:r>
      <w:r>
        <w:rPr>
          <w:color w:val="231F20"/>
        </w:rPr>
        <w:t>неопходна</w:t>
      </w:r>
      <w:r>
        <w:rPr>
          <w:color w:val="231F20"/>
          <w:spacing w:val="25"/>
        </w:rPr>
        <w:t> </w:t>
      </w:r>
      <w:r>
        <w:rPr>
          <w:color w:val="231F20"/>
        </w:rPr>
        <w:t>је</w:t>
      </w:r>
      <w:r>
        <w:rPr>
          <w:color w:val="231F20"/>
          <w:spacing w:val="26"/>
        </w:rPr>
        <w:t> </w:t>
      </w:r>
      <w:r>
        <w:rPr>
          <w:color w:val="231F20"/>
        </w:rPr>
        <w:t>до- следна примена мера  противпожарне</w:t>
      </w:r>
      <w:r>
        <w:rPr>
          <w:color w:val="231F20"/>
          <w:spacing w:val="16"/>
        </w:rPr>
        <w:t> </w:t>
      </w:r>
      <w:r>
        <w:rPr>
          <w:color w:val="231F20"/>
        </w:rPr>
        <w:t>заштите.</w:t>
      </w:r>
      <w:r>
        <w:rPr>
          <w:color w:val="231F20"/>
          <w:spacing w:val="37"/>
        </w:rPr>
        <w:t> </w:t>
      </w:r>
      <w:r>
        <w:rPr>
          <w:color w:val="231F20"/>
        </w:rPr>
        <w:t>Комуникацијске и</w:t>
      </w:r>
      <w:r>
        <w:rPr>
          <w:color w:val="231F20"/>
          <w:spacing w:val="13"/>
        </w:rPr>
        <w:t> </w:t>
      </w:r>
      <w:r>
        <w:rPr>
          <w:color w:val="231F20"/>
        </w:rPr>
        <w:t>просторије</w:t>
      </w:r>
      <w:r>
        <w:rPr>
          <w:color w:val="231F20"/>
          <w:spacing w:val="13"/>
        </w:rPr>
        <w:t> </w:t>
      </w:r>
      <w:r>
        <w:rPr>
          <w:color w:val="231F20"/>
        </w:rPr>
        <w:t>за</w:t>
      </w:r>
      <w:r>
        <w:rPr>
          <w:color w:val="231F20"/>
          <w:spacing w:val="13"/>
        </w:rPr>
        <w:t> </w:t>
      </w:r>
      <w:r>
        <w:rPr>
          <w:color w:val="231F20"/>
        </w:rPr>
        <w:t>боравак</w:t>
      </w:r>
      <w:r>
        <w:rPr>
          <w:color w:val="231F20"/>
          <w:spacing w:val="13"/>
        </w:rPr>
        <w:t> </w:t>
      </w:r>
      <w:r>
        <w:rPr>
          <w:color w:val="231F20"/>
        </w:rPr>
        <w:t>запослених</w:t>
      </w:r>
      <w:r>
        <w:rPr>
          <w:color w:val="231F20"/>
          <w:spacing w:val="13"/>
        </w:rPr>
        <w:t> </w:t>
      </w:r>
      <w:r>
        <w:rPr>
          <w:color w:val="231F20"/>
        </w:rPr>
        <w:t>на</w:t>
      </w:r>
      <w:r>
        <w:rPr>
          <w:color w:val="231F20"/>
          <w:spacing w:val="13"/>
        </w:rPr>
        <w:t> </w:t>
      </w:r>
      <w:r>
        <w:rPr>
          <w:color w:val="231F20"/>
        </w:rPr>
        <w:t>надгледању</w:t>
      </w:r>
      <w:r>
        <w:rPr>
          <w:color w:val="231F20"/>
          <w:spacing w:val="13"/>
        </w:rPr>
        <w:t> </w:t>
      </w:r>
      <w:r>
        <w:rPr>
          <w:color w:val="231F20"/>
        </w:rPr>
        <w:t>и</w:t>
      </w:r>
      <w:r>
        <w:rPr>
          <w:color w:val="231F20"/>
          <w:spacing w:val="13"/>
        </w:rPr>
        <w:t> </w:t>
      </w:r>
      <w:r>
        <w:rPr>
          <w:color w:val="231F20"/>
        </w:rPr>
        <w:t>одржавању</w:t>
      </w:r>
      <w:r>
        <w:rPr>
          <w:color w:val="231F20"/>
          <w:spacing w:val="-1"/>
        </w:rPr>
        <w:t> </w:t>
      </w:r>
      <w:r>
        <w:rPr>
          <w:color w:val="231F20"/>
        </w:rPr>
        <w:t>система</w:t>
      </w:r>
      <w:r>
        <w:rPr>
          <w:color w:val="231F20"/>
          <w:spacing w:val="20"/>
        </w:rPr>
        <w:t> </w:t>
      </w:r>
      <w:r>
        <w:rPr>
          <w:color w:val="231F20"/>
        </w:rPr>
        <w:t>морају</w:t>
      </w:r>
      <w:r>
        <w:rPr>
          <w:color w:val="231F20"/>
          <w:spacing w:val="20"/>
        </w:rPr>
        <w:t> </w:t>
      </w:r>
      <w:r>
        <w:rPr>
          <w:color w:val="231F20"/>
        </w:rPr>
        <w:t>бити</w:t>
      </w:r>
      <w:r>
        <w:rPr>
          <w:color w:val="231F20"/>
          <w:spacing w:val="20"/>
        </w:rPr>
        <w:t> </w:t>
      </w:r>
      <w:r>
        <w:rPr>
          <w:color w:val="231F20"/>
        </w:rPr>
        <w:t>пожарно</w:t>
      </w:r>
      <w:r>
        <w:rPr>
          <w:color w:val="231F20"/>
          <w:spacing w:val="18"/>
        </w:rPr>
        <w:t> </w:t>
      </w:r>
      <w:r>
        <w:rPr>
          <w:color w:val="231F20"/>
        </w:rPr>
        <w:t>изоловане</w:t>
      </w:r>
      <w:r>
        <w:rPr>
          <w:color w:val="231F20"/>
          <w:spacing w:val="18"/>
        </w:rPr>
        <w:t> </w:t>
      </w:r>
      <w:r>
        <w:rPr>
          <w:color w:val="231F20"/>
          <w:spacing w:val="-3"/>
        </w:rPr>
        <w:t>од</w:t>
      </w:r>
      <w:r>
        <w:rPr>
          <w:color w:val="231F20"/>
          <w:spacing w:val="20"/>
        </w:rPr>
        <w:t> </w:t>
      </w:r>
      <w:r>
        <w:rPr>
          <w:color w:val="231F20"/>
        </w:rPr>
        <w:t>осталог</w:t>
      </w:r>
      <w:r>
        <w:rPr>
          <w:color w:val="231F20"/>
          <w:spacing w:val="20"/>
        </w:rPr>
        <w:t> </w:t>
      </w:r>
      <w:r>
        <w:rPr>
          <w:color w:val="231F20"/>
        </w:rPr>
        <w:t>дела</w:t>
      </w:r>
      <w:r>
        <w:rPr>
          <w:color w:val="231F20"/>
          <w:spacing w:val="20"/>
        </w:rPr>
        <w:t> </w:t>
      </w:r>
      <w:r>
        <w:rPr>
          <w:color w:val="231F20"/>
        </w:rPr>
        <w:t>зграде. Поред</w:t>
      </w:r>
      <w:r>
        <w:rPr>
          <w:color w:val="231F20"/>
          <w:spacing w:val="30"/>
        </w:rPr>
        <w:t> </w:t>
      </w:r>
      <w:r>
        <w:rPr>
          <w:color w:val="231F20"/>
        </w:rPr>
        <w:t>пожарног</w:t>
      </w:r>
      <w:r>
        <w:rPr>
          <w:color w:val="231F20"/>
          <w:spacing w:val="30"/>
        </w:rPr>
        <w:t> </w:t>
      </w:r>
      <w:r>
        <w:rPr>
          <w:color w:val="231F20"/>
        </w:rPr>
        <w:t>зида</w:t>
      </w:r>
      <w:r>
        <w:rPr>
          <w:color w:val="231F20"/>
          <w:spacing w:val="30"/>
        </w:rPr>
        <w:t> </w:t>
      </w:r>
      <w:r>
        <w:rPr>
          <w:color w:val="231F20"/>
        </w:rPr>
        <w:t>предвидети</w:t>
      </w:r>
      <w:r>
        <w:rPr>
          <w:color w:val="231F20"/>
          <w:spacing w:val="30"/>
        </w:rPr>
        <w:t> </w:t>
      </w:r>
      <w:r>
        <w:rPr>
          <w:color w:val="231F20"/>
        </w:rPr>
        <w:t>и</w:t>
      </w:r>
      <w:r>
        <w:rPr>
          <w:color w:val="231F20"/>
          <w:spacing w:val="30"/>
        </w:rPr>
        <w:t> </w:t>
      </w:r>
      <w:r>
        <w:rPr>
          <w:color w:val="231F20"/>
        </w:rPr>
        <w:t>противдимне</w:t>
      </w:r>
      <w:r>
        <w:rPr>
          <w:color w:val="231F20"/>
          <w:spacing w:val="30"/>
        </w:rPr>
        <w:t> </w:t>
      </w:r>
      <w:r>
        <w:rPr>
          <w:color w:val="231F20"/>
        </w:rPr>
        <w:t>баријере.</w:t>
      </w:r>
      <w:r>
        <w:rPr>
          <w:color w:val="231F20"/>
          <w:spacing w:val="30"/>
        </w:rPr>
        <w:t> </w:t>
      </w:r>
      <w:r>
        <w:rPr>
          <w:color w:val="231F20"/>
        </w:rPr>
        <w:t>Део отвора на фасадама објекта је искључиво у функцији</w:t>
      </w:r>
      <w:r>
        <w:rPr>
          <w:color w:val="231F20"/>
          <w:spacing w:val="25"/>
        </w:rPr>
        <w:t> </w:t>
      </w:r>
      <w:r>
        <w:rPr>
          <w:color w:val="231F20"/>
        </w:rPr>
        <w:t>продора</w:t>
      </w:r>
      <w:r>
        <w:rPr>
          <w:color w:val="231F20"/>
          <w:spacing w:val="2"/>
        </w:rPr>
        <w:t> </w:t>
      </w:r>
      <w:r>
        <w:rPr>
          <w:color w:val="231F20"/>
        </w:rPr>
        <w:t>ин- сталација, односно монтаже / демонтаже опреме.</w:t>
      </w:r>
      <w:r>
        <w:rPr>
          <w:color w:val="231F20"/>
          <w:spacing w:val="18"/>
        </w:rPr>
        <w:t> </w:t>
      </w:r>
      <w:r>
        <w:rPr>
          <w:color w:val="231F20"/>
          <w:spacing w:val="-3"/>
        </w:rPr>
        <w:t>Након</w:t>
      </w:r>
      <w:r>
        <w:rPr>
          <w:color w:val="231F20"/>
          <w:spacing w:val="2"/>
        </w:rPr>
        <w:t> </w:t>
      </w:r>
      <w:r>
        <w:rPr>
          <w:color w:val="231F20"/>
        </w:rPr>
        <w:t>завршене</w:t>
      </w:r>
      <w:r>
        <w:rPr>
          <w:color w:val="231F20"/>
          <w:spacing w:val="-1"/>
        </w:rPr>
        <w:t> </w:t>
      </w:r>
      <w:r>
        <w:rPr>
          <w:color w:val="231F20"/>
        </w:rPr>
        <w:t>монтаже</w:t>
      </w:r>
      <w:r>
        <w:rPr>
          <w:color w:val="231F20"/>
          <w:spacing w:val="-10"/>
        </w:rPr>
        <w:t> </w:t>
      </w:r>
      <w:r>
        <w:rPr>
          <w:color w:val="231F20"/>
        </w:rPr>
        <w:t>затвориће</w:t>
      </w:r>
      <w:r>
        <w:rPr>
          <w:color w:val="231F20"/>
          <w:spacing w:val="-10"/>
        </w:rPr>
        <w:t> </w:t>
      </w:r>
      <w:r>
        <w:rPr>
          <w:color w:val="231F20"/>
        </w:rPr>
        <w:t>се</w:t>
      </w:r>
      <w:r>
        <w:rPr>
          <w:color w:val="231F20"/>
          <w:spacing w:val="-10"/>
        </w:rPr>
        <w:t> </w:t>
      </w:r>
      <w:r>
        <w:rPr>
          <w:color w:val="231F20"/>
        </w:rPr>
        <w:t>пластификованим,</w:t>
      </w:r>
      <w:r>
        <w:rPr>
          <w:color w:val="231F20"/>
          <w:spacing w:val="-9"/>
        </w:rPr>
        <w:t> </w:t>
      </w:r>
      <w:r>
        <w:rPr>
          <w:color w:val="231F20"/>
        </w:rPr>
        <w:t>поцинкованим</w:t>
      </w:r>
      <w:r>
        <w:rPr>
          <w:color w:val="231F20"/>
          <w:spacing w:val="-9"/>
        </w:rPr>
        <w:t> </w:t>
      </w:r>
      <w:r>
        <w:rPr>
          <w:color w:val="231F20"/>
        </w:rPr>
        <w:t>челичним</w:t>
      </w:r>
    </w:p>
    <w:p>
      <w:pPr>
        <w:pStyle w:val="BodyText"/>
        <w:spacing w:line="194" w:lineRule="exact"/>
        <w:ind w:left="456"/>
      </w:pPr>
      <w:r>
        <w:rPr>
          <w:color w:val="231F20"/>
        </w:rPr>
        <w:t>лимом у раму од челичних профила.</w:t>
      </w:r>
    </w:p>
    <w:p>
      <w:pPr>
        <w:pStyle w:val="ListParagraph"/>
        <w:numPr>
          <w:ilvl w:val="3"/>
          <w:numId w:val="52"/>
        </w:numPr>
        <w:tabs>
          <w:tab w:pos="1216" w:val="left" w:leader="none"/>
        </w:tabs>
        <w:spacing w:line="232" w:lineRule="auto" w:before="87" w:after="0"/>
        <w:ind w:left="1359" w:right="648" w:hanging="594"/>
        <w:jc w:val="left"/>
        <w:rPr>
          <w:sz w:val="18"/>
        </w:rPr>
      </w:pPr>
      <w:r>
        <w:rPr>
          <w:color w:val="231F20"/>
          <w:spacing w:val="20"/>
          <w:sz w:val="18"/>
        </w:rPr>
        <w:br w:type="column"/>
      </w:r>
      <w:r>
        <w:rPr>
          <w:color w:val="231F20"/>
          <w:spacing w:val="16"/>
          <w:sz w:val="18"/>
        </w:rPr>
        <w:t>Правила изградње </w:t>
      </w:r>
      <w:r>
        <w:rPr>
          <w:color w:val="231F20"/>
          <w:sz w:val="18"/>
        </w:rPr>
        <w:t>и </w:t>
      </w:r>
      <w:r>
        <w:rPr>
          <w:color w:val="231F20"/>
          <w:spacing w:val="16"/>
          <w:sz w:val="18"/>
        </w:rPr>
        <w:t>правила уређења </w:t>
      </w:r>
      <w:r>
        <w:rPr>
          <w:color w:val="231F20"/>
          <w:spacing w:val="10"/>
          <w:sz w:val="18"/>
        </w:rPr>
        <w:t>за </w:t>
      </w:r>
      <w:r>
        <w:rPr>
          <w:color w:val="231F20"/>
          <w:spacing w:val="15"/>
          <w:sz w:val="18"/>
        </w:rPr>
        <w:t>Индуст </w:t>
      </w:r>
      <w:r>
        <w:rPr>
          <w:color w:val="231F20"/>
          <w:spacing w:val="15"/>
          <w:sz w:val="18"/>
        </w:rPr>
        <w:t>ријско </w:t>
      </w:r>
      <w:r>
        <w:rPr>
          <w:color w:val="231F20"/>
          <w:spacing w:val="15"/>
          <w:sz w:val="18"/>
        </w:rPr>
        <w:t>прист</w:t>
      </w:r>
      <w:r>
        <w:rPr>
          <w:color w:val="231F20"/>
          <w:spacing w:val="7"/>
          <w:sz w:val="18"/>
        </w:rPr>
        <w:t> </w:t>
      </w:r>
      <w:r>
        <w:rPr>
          <w:color w:val="231F20"/>
          <w:spacing w:val="15"/>
          <w:sz w:val="18"/>
        </w:rPr>
        <w:t>аниште</w:t>
      </w:r>
    </w:p>
    <w:p>
      <w:pPr>
        <w:pStyle w:val="BodyText"/>
        <w:spacing w:before="8"/>
        <w:ind w:left="0"/>
        <w:jc w:val="left"/>
        <w:rPr>
          <w:sz w:val="17"/>
        </w:rPr>
      </w:pPr>
    </w:p>
    <w:p>
      <w:pPr>
        <w:pStyle w:val="BodyText"/>
        <w:spacing w:line="235" w:lineRule="auto"/>
        <w:ind w:left="243" w:right="124" w:firstLine="396"/>
      </w:pPr>
      <w:r>
        <w:rPr>
          <w:color w:val="231F20"/>
        </w:rPr>
        <w:t>Локација се уређује као пристаниште посебне намене базен- </w:t>
      </w:r>
      <w:r>
        <w:rPr>
          <w:color w:val="231F20"/>
          <w:spacing w:val="-3"/>
        </w:rPr>
        <w:t>ског</w:t>
      </w:r>
      <w:r>
        <w:rPr>
          <w:color w:val="231F20"/>
          <w:spacing w:val="-7"/>
        </w:rPr>
        <w:t> </w:t>
      </w:r>
      <w:r>
        <w:rPr>
          <w:color w:val="231F20"/>
        </w:rPr>
        <w:t>типа</w:t>
      </w:r>
      <w:r>
        <w:rPr>
          <w:color w:val="231F20"/>
          <w:spacing w:val="-7"/>
        </w:rPr>
        <w:t> </w:t>
      </w:r>
      <w:r>
        <w:rPr>
          <w:color w:val="231F20"/>
        </w:rPr>
        <w:t>(изван</w:t>
      </w:r>
      <w:r>
        <w:rPr>
          <w:color w:val="231F20"/>
          <w:spacing w:val="-7"/>
        </w:rPr>
        <w:t> </w:t>
      </w:r>
      <w:r>
        <w:rPr>
          <w:color w:val="231F20"/>
        </w:rPr>
        <w:t>пловног</w:t>
      </w:r>
      <w:r>
        <w:rPr>
          <w:color w:val="231F20"/>
          <w:spacing w:val="-7"/>
        </w:rPr>
        <w:t> </w:t>
      </w:r>
      <w:r>
        <w:rPr>
          <w:color w:val="231F20"/>
        </w:rPr>
        <w:t>пута),</w:t>
      </w:r>
      <w:r>
        <w:rPr>
          <w:color w:val="231F20"/>
          <w:spacing w:val="-7"/>
        </w:rPr>
        <w:t> </w:t>
      </w:r>
      <w:r>
        <w:rPr>
          <w:color w:val="231F20"/>
        </w:rPr>
        <w:t>на</w:t>
      </w:r>
      <w:r>
        <w:rPr>
          <w:color w:val="231F20"/>
          <w:spacing w:val="-7"/>
        </w:rPr>
        <w:t> </w:t>
      </w:r>
      <w:r>
        <w:rPr>
          <w:color w:val="231F20"/>
        </w:rPr>
        <w:t>основу</w:t>
      </w:r>
      <w:r>
        <w:rPr>
          <w:color w:val="231F20"/>
          <w:spacing w:val="-7"/>
        </w:rPr>
        <w:t> </w:t>
      </w:r>
      <w:r>
        <w:rPr>
          <w:color w:val="231F20"/>
        </w:rPr>
        <w:t>претходно</w:t>
      </w:r>
      <w:r>
        <w:rPr>
          <w:color w:val="231F20"/>
          <w:spacing w:val="-7"/>
        </w:rPr>
        <w:t> </w:t>
      </w:r>
      <w:r>
        <w:rPr>
          <w:color w:val="231F20"/>
        </w:rPr>
        <w:t>прибављених услова надлежних органа на основу којих се ради техничка доку- ментација. </w:t>
      </w:r>
      <w:r>
        <w:rPr>
          <w:color w:val="231F20"/>
          <w:spacing w:val="-2"/>
        </w:rPr>
        <w:t>Неопходно </w:t>
      </w:r>
      <w:r>
        <w:rPr>
          <w:color w:val="231F20"/>
        </w:rPr>
        <w:t>је извршити додатне анализе лучких опе- рација укрцаја и искрцаја брода и копнених превозних средстава, као и оценити потребе привременог складиштења и слагања тере- та </w:t>
      </w:r>
      <w:r>
        <w:rPr>
          <w:color w:val="231F20"/>
          <w:spacing w:val="-4"/>
        </w:rPr>
        <w:t>(командног, </w:t>
      </w:r>
      <w:r>
        <w:rPr>
          <w:color w:val="231F20"/>
        </w:rPr>
        <w:t>расутог и вангабаритног) на</w:t>
      </w:r>
      <w:r>
        <w:rPr>
          <w:color w:val="231F20"/>
          <w:spacing w:val="-1"/>
        </w:rPr>
        <w:t> </w:t>
      </w:r>
      <w:r>
        <w:rPr>
          <w:color w:val="231F20"/>
          <w:spacing w:val="-3"/>
        </w:rPr>
        <w:t>терминалу.</w:t>
      </w:r>
    </w:p>
    <w:p>
      <w:pPr>
        <w:pStyle w:val="BodyText"/>
        <w:spacing w:line="235" w:lineRule="auto" w:before="5"/>
        <w:ind w:left="243" w:right="125" w:firstLine="396"/>
      </w:pPr>
      <w:r>
        <w:rPr>
          <w:color w:val="231F20"/>
        </w:rPr>
        <w:t>При</w:t>
      </w:r>
      <w:r>
        <w:rPr>
          <w:color w:val="231F20"/>
          <w:spacing w:val="-10"/>
        </w:rPr>
        <w:t> </w:t>
      </w:r>
      <w:r>
        <w:rPr>
          <w:color w:val="231F20"/>
        </w:rPr>
        <w:t>израчунавању</w:t>
      </w:r>
      <w:r>
        <w:rPr>
          <w:color w:val="231F20"/>
          <w:spacing w:val="-10"/>
        </w:rPr>
        <w:t> </w:t>
      </w:r>
      <w:r>
        <w:rPr>
          <w:color w:val="231F20"/>
        </w:rPr>
        <w:t>теоријског</w:t>
      </w:r>
      <w:r>
        <w:rPr>
          <w:color w:val="231F20"/>
          <w:spacing w:val="-10"/>
        </w:rPr>
        <w:t> </w:t>
      </w:r>
      <w:r>
        <w:rPr>
          <w:color w:val="231F20"/>
        </w:rPr>
        <w:t>или</w:t>
      </w:r>
      <w:r>
        <w:rPr>
          <w:color w:val="231F20"/>
          <w:spacing w:val="-10"/>
        </w:rPr>
        <w:t> </w:t>
      </w:r>
      <w:r>
        <w:rPr>
          <w:color w:val="231F20"/>
        </w:rPr>
        <w:t>хипотетског</w:t>
      </w:r>
      <w:r>
        <w:rPr>
          <w:color w:val="231F20"/>
          <w:spacing w:val="-10"/>
        </w:rPr>
        <w:t> </w:t>
      </w:r>
      <w:r>
        <w:rPr>
          <w:color w:val="231F20"/>
        </w:rPr>
        <w:t>прометног</w:t>
      </w:r>
      <w:r>
        <w:rPr>
          <w:color w:val="231F20"/>
          <w:spacing w:val="-10"/>
        </w:rPr>
        <w:t> </w:t>
      </w:r>
      <w:r>
        <w:rPr>
          <w:color w:val="231F20"/>
        </w:rPr>
        <w:t>ка- пацитета терминала за било </w:t>
      </w:r>
      <w:r>
        <w:rPr>
          <w:color w:val="231F20"/>
          <w:spacing w:val="-3"/>
        </w:rPr>
        <w:t>коју </w:t>
      </w:r>
      <w:r>
        <w:rPr>
          <w:color w:val="231F20"/>
        </w:rPr>
        <w:t>прекрцајну или складишну ак- тивност полази се </w:t>
      </w:r>
      <w:r>
        <w:rPr>
          <w:color w:val="231F20"/>
          <w:spacing w:val="-3"/>
        </w:rPr>
        <w:t>од </w:t>
      </w:r>
      <w:r>
        <w:rPr>
          <w:color w:val="231F20"/>
        </w:rPr>
        <w:t>претпостављених просечних величина и оптималних услова рада. Количине робе за претовар утврдити на основу одговарајуће </w:t>
      </w:r>
      <w:r>
        <w:rPr>
          <w:color w:val="231F20"/>
          <w:spacing w:val="-3"/>
        </w:rPr>
        <w:t>студијске</w:t>
      </w:r>
      <w:r>
        <w:rPr>
          <w:color w:val="231F20"/>
          <w:spacing w:val="-2"/>
        </w:rPr>
        <w:t> </w:t>
      </w:r>
      <w:r>
        <w:rPr>
          <w:color w:val="231F20"/>
        </w:rPr>
        <w:t>документације.</w:t>
      </w:r>
    </w:p>
    <w:p>
      <w:pPr>
        <w:pStyle w:val="BodyText"/>
        <w:spacing w:line="235" w:lineRule="auto" w:before="4"/>
        <w:ind w:left="243" w:right="125" w:firstLine="397"/>
      </w:pPr>
      <w:r>
        <w:rPr>
          <w:color w:val="231F20"/>
        </w:rPr>
        <w:t>Као примарна активност на уређењу пристаништа планира се насипање и нивелисање територије пристаништа изнад </w:t>
      </w:r>
      <w:r>
        <w:rPr>
          <w:color w:val="231F20"/>
          <w:spacing w:val="-4"/>
        </w:rPr>
        <w:t>коте </w:t>
      </w:r>
      <w:r>
        <w:rPr>
          <w:color w:val="231F20"/>
          <w:spacing w:val="36"/>
        </w:rPr>
        <w:t> </w:t>
      </w:r>
      <w:r>
        <w:rPr>
          <w:color w:val="231F20"/>
        </w:rPr>
        <w:t>74 mнм, односно на основу прорачунских резултата базираних на утврђеној </w:t>
      </w:r>
      <w:r>
        <w:rPr>
          <w:color w:val="231F20"/>
          <w:spacing w:val="-4"/>
        </w:rPr>
        <w:t>коти </w:t>
      </w:r>
      <w:r>
        <w:rPr>
          <w:color w:val="231F20"/>
        </w:rPr>
        <w:t>стогодишње воде и с обзиром на успор</w:t>
      </w:r>
      <w:r>
        <w:rPr>
          <w:color w:val="231F20"/>
          <w:spacing w:val="-22"/>
        </w:rPr>
        <w:t> </w:t>
      </w:r>
      <w:r>
        <w:rPr>
          <w:color w:val="231F20"/>
        </w:rPr>
        <w:t>Дунава.</w:t>
      </w:r>
    </w:p>
    <w:p>
      <w:pPr>
        <w:pStyle w:val="BodyText"/>
        <w:spacing w:line="235" w:lineRule="auto" w:before="3"/>
        <w:ind w:left="242" w:right="125" w:firstLine="397"/>
      </w:pPr>
      <w:r>
        <w:rPr>
          <w:color w:val="231F20"/>
        </w:rPr>
        <w:t>Оперативну обалу димензионисати и изградити као обалну конструкцију</w:t>
      </w:r>
      <w:r>
        <w:rPr>
          <w:color w:val="231F20"/>
          <w:spacing w:val="-6"/>
        </w:rPr>
        <w:t> </w:t>
      </w:r>
      <w:r>
        <w:rPr>
          <w:color w:val="231F20"/>
          <w:spacing w:val="-3"/>
        </w:rPr>
        <w:t>која</w:t>
      </w:r>
      <w:r>
        <w:rPr>
          <w:color w:val="231F20"/>
          <w:spacing w:val="-6"/>
        </w:rPr>
        <w:t> </w:t>
      </w:r>
      <w:r>
        <w:rPr>
          <w:color w:val="231F20"/>
        </w:rPr>
        <w:t>служи</w:t>
      </w:r>
      <w:r>
        <w:rPr>
          <w:color w:val="231F20"/>
          <w:spacing w:val="-6"/>
        </w:rPr>
        <w:t> </w:t>
      </w:r>
      <w:r>
        <w:rPr>
          <w:color w:val="231F20"/>
        </w:rPr>
        <w:t>за</w:t>
      </w:r>
      <w:r>
        <w:rPr>
          <w:color w:val="231F20"/>
          <w:spacing w:val="-6"/>
        </w:rPr>
        <w:t> </w:t>
      </w:r>
      <w:r>
        <w:rPr>
          <w:color w:val="231F20"/>
        </w:rPr>
        <w:t>наслон</w:t>
      </w:r>
      <w:r>
        <w:rPr>
          <w:color w:val="231F20"/>
          <w:spacing w:val="-6"/>
        </w:rPr>
        <w:t> </w:t>
      </w:r>
      <w:r>
        <w:rPr>
          <w:color w:val="231F20"/>
        </w:rPr>
        <w:t>и</w:t>
      </w:r>
      <w:r>
        <w:rPr>
          <w:color w:val="231F20"/>
          <w:spacing w:val="-6"/>
        </w:rPr>
        <w:t> </w:t>
      </w:r>
      <w:r>
        <w:rPr>
          <w:color w:val="231F20"/>
        </w:rPr>
        <w:t>везивање</w:t>
      </w:r>
      <w:r>
        <w:rPr>
          <w:color w:val="231F20"/>
          <w:spacing w:val="-7"/>
        </w:rPr>
        <w:t> </w:t>
      </w:r>
      <w:r>
        <w:rPr>
          <w:color w:val="231F20"/>
        </w:rPr>
        <w:t>бродова,</w:t>
      </w:r>
      <w:r>
        <w:rPr>
          <w:color w:val="231F20"/>
          <w:spacing w:val="-6"/>
        </w:rPr>
        <w:t> </w:t>
      </w:r>
      <w:r>
        <w:rPr>
          <w:color w:val="231F20"/>
        </w:rPr>
        <w:t>за</w:t>
      </w:r>
      <w:r>
        <w:rPr>
          <w:color w:val="231F20"/>
          <w:spacing w:val="-6"/>
        </w:rPr>
        <w:t> </w:t>
      </w:r>
      <w:r>
        <w:rPr>
          <w:color w:val="231F20"/>
        </w:rPr>
        <w:t>смештај обалне механизације и инсталација, и скраћење прекрцајне </w:t>
      </w:r>
      <w:r>
        <w:rPr>
          <w:color w:val="231F20"/>
          <w:spacing w:val="-3"/>
        </w:rPr>
        <w:t>удаље- </w:t>
      </w:r>
      <w:r>
        <w:rPr>
          <w:color w:val="231F20"/>
        </w:rPr>
        <w:t>ности. Стабилност полувертикалног (полукосог) </w:t>
      </w:r>
      <w:r>
        <w:rPr>
          <w:color w:val="231F20"/>
          <w:spacing w:val="-3"/>
        </w:rPr>
        <w:t>кејског </w:t>
      </w:r>
      <w:r>
        <w:rPr>
          <w:color w:val="231F20"/>
        </w:rPr>
        <w:t>зида до- казати одговарајућим прорачунима и</w:t>
      </w:r>
      <w:r>
        <w:rPr>
          <w:color w:val="231F20"/>
          <w:spacing w:val="-9"/>
        </w:rPr>
        <w:t> </w:t>
      </w:r>
      <w:r>
        <w:rPr>
          <w:color w:val="231F20"/>
        </w:rPr>
        <w:t>испитивањима.</w:t>
      </w:r>
    </w:p>
    <w:p>
      <w:pPr>
        <w:pStyle w:val="BodyText"/>
        <w:spacing w:line="235" w:lineRule="auto" w:before="3"/>
        <w:ind w:left="242" w:right="125" w:firstLine="397"/>
      </w:pPr>
      <w:r>
        <w:rPr>
          <w:color w:val="231F20"/>
        </w:rPr>
        <w:t>Дејство црпних станица, ровова, пропуста и сличних објека- та у близини насипа на стабилност насипа, приказати кроз </w:t>
      </w:r>
      <w:r>
        <w:rPr>
          <w:color w:val="231F20"/>
          <w:spacing w:val="-3"/>
        </w:rPr>
        <w:t>одгова- </w:t>
      </w:r>
      <w:r>
        <w:rPr>
          <w:color w:val="231F20"/>
        </w:rPr>
        <w:t>рајуће </w:t>
      </w:r>
      <w:r>
        <w:rPr>
          <w:color w:val="231F20"/>
          <w:spacing w:val="-3"/>
        </w:rPr>
        <w:t>хидрауличке </w:t>
      </w:r>
      <w:r>
        <w:rPr>
          <w:color w:val="231F20"/>
        </w:rPr>
        <w:t>прорачуне.</w:t>
      </w:r>
    </w:p>
    <w:p>
      <w:pPr>
        <w:pStyle w:val="BodyText"/>
        <w:spacing w:line="235" w:lineRule="auto" w:before="2"/>
        <w:ind w:left="242" w:right="125" w:firstLine="396"/>
      </w:pPr>
      <w:r>
        <w:rPr>
          <w:color w:val="231F20"/>
        </w:rPr>
        <w:t>Није предвиђена изградња објеката складишта с обзиром на то да је пристаниште само претоварно, али </w:t>
      </w:r>
      <w:r>
        <w:rPr>
          <w:color w:val="231F20"/>
          <w:spacing w:val="-4"/>
        </w:rPr>
        <w:t>ако </w:t>
      </w:r>
      <w:r>
        <w:rPr>
          <w:color w:val="231F20"/>
        </w:rPr>
        <w:t>се укаже потреба, могућа</w:t>
      </w:r>
      <w:r>
        <w:rPr>
          <w:color w:val="231F20"/>
          <w:spacing w:val="-6"/>
        </w:rPr>
        <w:t> </w:t>
      </w:r>
      <w:r>
        <w:rPr>
          <w:color w:val="231F20"/>
        </w:rPr>
        <w:t>је</w:t>
      </w:r>
      <w:r>
        <w:rPr>
          <w:color w:val="231F20"/>
          <w:spacing w:val="-6"/>
        </w:rPr>
        <w:t> </w:t>
      </w:r>
      <w:r>
        <w:rPr>
          <w:color w:val="231F20"/>
        </w:rPr>
        <w:t>брза</w:t>
      </w:r>
      <w:r>
        <w:rPr>
          <w:color w:val="231F20"/>
          <w:spacing w:val="-6"/>
        </w:rPr>
        <w:t> </w:t>
      </w:r>
      <w:r>
        <w:rPr>
          <w:color w:val="231F20"/>
        </w:rPr>
        <w:t>изградња</w:t>
      </w:r>
      <w:r>
        <w:rPr>
          <w:color w:val="231F20"/>
          <w:spacing w:val="-6"/>
        </w:rPr>
        <w:t> </w:t>
      </w:r>
      <w:r>
        <w:rPr>
          <w:color w:val="231F20"/>
        </w:rPr>
        <w:t>приземних</w:t>
      </w:r>
      <w:r>
        <w:rPr>
          <w:color w:val="231F20"/>
          <w:spacing w:val="-6"/>
        </w:rPr>
        <w:t> </w:t>
      </w:r>
      <w:r>
        <w:rPr>
          <w:color w:val="231F20"/>
        </w:rPr>
        <w:t>складишта</w:t>
      </w:r>
      <w:r>
        <w:rPr>
          <w:color w:val="231F20"/>
          <w:spacing w:val="-6"/>
        </w:rPr>
        <w:t> </w:t>
      </w:r>
      <w:r>
        <w:rPr>
          <w:color w:val="231F20"/>
          <w:spacing w:val="-3"/>
        </w:rPr>
        <w:t>од</w:t>
      </w:r>
      <w:r>
        <w:rPr>
          <w:color w:val="231F20"/>
          <w:spacing w:val="-6"/>
        </w:rPr>
        <w:t> </w:t>
      </w:r>
      <w:r>
        <w:rPr>
          <w:color w:val="231F20"/>
        </w:rPr>
        <w:t>синтетичких</w:t>
      </w:r>
      <w:r>
        <w:rPr>
          <w:color w:val="231F20"/>
          <w:spacing w:val="-6"/>
        </w:rPr>
        <w:t> </w:t>
      </w:r>
      <w:r>
        <w:rPr>
          <w:color w:val="231F20"/>
        </w:rPr>
        <w:t>ма- теријала за привремену употребу чиме се постижу и бројне друге предности (једноставно уношење и изношење робе, високи капа- цитет и велика носивост</w:t>
      </w:r>
      <w:r>
        <w:rPr>
          <w:color w:val="231F20"/>
          <w:spacing w:val="-3"/>
        </w:rPr>
        <w:t> </w:t>
      </w:r>
      <w:r>
        <w:rPr>
          <w:color w:val="231F20"/>
        </w:rPr>
        <w:t>површине).</w:t>
      </w:r>
    </w:p>
    <w:p>
      <w:pPr>
        <w:pStyle w:val="BodyText"/>
        <w:spacing w:line="235" w:lineRule="auto" w:before="5"/>
        <w:ind w:left="242" w:right="125" w:firstLine="396"/>
      </w:pPr>
      <w:r>
        <w:rPr>
          <w:color w:val="231F20"/>
        </w:rPr>
        <w:t>Поред управне зграде са одвојеним улазима за: канцелариј- ски простор (где су смештене управне службе пристаништа и, евентуално, царинске службе и друго); и гардеробе и исхрану за- послених, предвиђа се изградња само мањих зграда на захтев и за потребе „Пловпута”.</w:t>
      </w:r>
    </w:p>
    <w:p>
      <w:pPr>
        <w:pStyle w:val="BodyText"/>
        <w:spacing w:line="235" w:lineRule="auto" w:before="4"/>
        <w:ind w:left="242" w:right="125" w:firstLine="397"/>
      </w:pPr>
      <w:r>
        <w:rPr>
          <w:color w:val="231F20"/>
        </w:rPr>
        <w:t>Објекте груписати тако да не угрожавају основну функцију, водећи рачуна о потенцијалном коридору државног пута који би прелазио локацију издизањем на високе ослонце.</w:t>
      </w:r>
    </w:p>
    <w:p>
      <w:pPr>
        <w:pStyle w:val="BodyText"/>
        <w:spacing w:line="235" w:lineRule="auto" w:before="2"/>
        <w:ind w:left="242" w:right="125" w:firstLine="397"/>
      </w:pPr>
      <w:r>
        <w:rPr>
          <w:color w:val="231F20"/>
        </w:rPr>
        <w:t>Тежити најрационалнијој, најједноставнијој и најјефтинијој градњи објеката и складишта, а диспозицију одредити на основу захтева унутрашњег саобраћаја и транспорта у оквиру основне функције и прилагодити захтевима противпожарне заштите.</w:t>
      </w:r>
    </w:p>
    <w:p>
      <w:pPr>
        <w:pStyle w:val="BodyText"/>
        <w:spacing w:line="235" w:lineRule="auto" w:before="3"/>
        <w:ind w:left="242" w:right="125" w:firstLine="397"/>
      </w:pPr>
      <w:r>
        <w:rPr>
          <w:color w:val="231F20"/>
        </w:rPr>
        <w:t>Изради техничке документације за изградњу пристаништа треба да претходи анализа функционалне погодности и студија инвестиционе оправданости, као и пројектни задатак који дефи- нише све битне елементе будућег објекта у складу са правилима Просторног плана.</w:t>
      </w:r>
    </w:p>
    <w:p>
      <w:pPr>
        <w:pStyle w:val="BodyText"/>
        <w:spacing w:line="235" w:lineRule="auto" w:before="3"/>
        <w:ind w:left="242" w:right="125" w:firstLine="396"/>
      </w:pPr>
      <w:r>
        <w:rPr>
          <w:color w:val="231F20"/>
        </w:rPr>
        <w:t>На површинама на делу подручја КО Костолац град (целе к.п. бр.: 332, 335, 336, 337/1, 337/2 и 338, и део к.п. бр.: 331, 334,</w:t>
      </w:r>
    </w:p>
    <w:p>
      <w:pPr>
        <w:pStyle w:val="BodyText"/>
        <w:spacing w:line="235" w:lineRule="auto" w:before="2"/>
        <w:ind w:left="242" w:right="125" w:hanging="1"/>
      </w:pPr>
      <w:r>
        <w:rPr>
          <w:color w:val="231F20"/>
        </w:rPr>
        <w:t>342, 343, 2386 и 2390) које су резервисане за евентуално ширење робног пристаништа није допуштена изградња сталних грађевин- ских објеката, изузев хидрограђевинских радова на осигурању обале и приобаља и уређењу косина на терену, односно, стаби- лизацији насипа уз сагласност надлежних органа и по одобреној пријави радова.</w:t>
      </w:r>
    </w:p>
    <w:p>
      <w:pPr>
        <w:pStyle w:val="ListParagraph"/>
        <w:numPr>
          <w:ilvl w:val="3"/>
          <w:numId w:val="52"/>
        </w:numPr>
        <w:tabs>
          <w:tab w:pos="1217" w:val="left" w:leader="none"/>
        </w:tabs>
        <w:spacing w:line="235" w:lineRule="auto" w:before="174" w:after="0"/>
        <w:ind w:left="1983" w:right="648" w:hanging="1217"/>
        <w:jc w:val="left"/>
        <w:rPr>
          <w:sz w:val="18"/>
        </w:rPr>
      </w:pPr>
      <w:r>
        <w:rPr>
          <w:color w:val="231F20"/>
          <w:spacing w:val="16"/>
          <w:sz w:val="18"/>
        </w:rPr>
        <w:t>Правила изградње </w:t>
      </w:r>
      <w:r>
        <w:rPr>
          <w:color w:val="231F20"/>
          <w:sz w:val="18"/>
        </w:rPr>
        <w:t>и </w:t>
      </w:r>
      <w:r>
        <w:rPr>
          <w:color w:val="231F20"/>
          <w:spacing w:val="16"/>
          <w:sz w:val="18"/>
        </w:rPr>
        <w:t>правила уређења </w:t>
      </w:r>
      <w:r>
        <w:rPr>
          <w:color w:val="231F20"/>
          <w:spacing w:val="10"/>
          <w:sz w:val="18"/>
        </w:rPr>
        <w:t>за </w:t>
      </w:r>
      <w:r>
        <w:rPr>
          <w:color w:val="231F20"/>
          <w:sz w:val="18"/>
        </w:rPr>
        <w:t>с</w:t>
      </w:r>
      <w:r>
        <w:rPr>
          <w:color w:val="231F20"/>
          <w:spacing w:val="11"/>
          <w:sz w:val="18"/>
        </w:rPr>
        <w:t> </w:t>
      </w:r>
      <w:r>
        <w:rPr>
          <w:color w:val="231F20"/>
          <w:spacing w:val="17"/>
          <w:sz w:val="18"/>
        </w:rPr>
        <w:t>аобраћајнице</w:t>
      </w:r>
    </w:p>
    <w:p>
      <w:pPr>
        <w:pStyle w:val="BodyText"/>
        <w:spacing w:before="9"/>
        <w:ind w:left="0"/>
        <w:jc w:val="left"/>
        <w:rPr>
          <w:sz w:val="17"/>
        </w:rPr>
      </w:pPr>
    </w:p>
    <w:p>
      <w:pPr>
        <w:pStyle w:val="BodyText"/>
        <w:spacing w:line="235" w:lineRule="auto" w:before="1"/>
        <w:ind w:left="243" w:right="123" w:firstLine="396"/>
      </w:pPr>
      <w:r>
        <w:rPr>
          <w:color w:val="231F20"/>
        </w:rPr>
        <w:t>Изградња планираних саобраћајних капацитета је могућа на основу главних пројеката израђених у складу са општим урбани- стичко-техничким условима за изградњу саобраћајне инфраструк- туре датим у Просторном </w:t>
      </w:r>
      <w:r>
        <w:rPr>
          <w:color w:val="231F20"/>
          <w:spacing w:val="-4"/>
        </w:rPr>
        <w:t>плану, </w:t>
      </w:r>
      <w:r>
        <w:rPr>
          <w:color w:val="231F20"/>
        </w:rPr>
        <w:t>по претходно прибављеној сагла- сности управљача јавног пута </w:t>
      </w:r>
      <w:r>
        <w:rPr>
          <w:color w:val="231F20"/>
          <w:spacing w:val="-3"/>
        </w:rPr>
        <w:t>која </w:t>
      </w:r>
      <w:r>
        <w:rPr>
          <w:color w:val="231F20"/>
        </w:rPr>
        <w:t>садржи саобраћајно-техничке услове и уз поштовање </w:t>
      </w:r>
      <w:r>
        <w:rPr>
          <w:color w:val="231F20"/>
          <w:spacing w:val="-3"/>
        </w:rPr>
        <w:t>законске </w:t>
      </w:r>
      <w:r>
        <w:rPr>
          <w:color w:val="231F20"/>
        </w:rPr>
        <w:t>регулативе (Закон о јавним путе- вима, </w:t>
      </w:r>
      <w:r>
        <w:rPr>
          <w:color w:val="231F20"/>
          <w:spacing w:val="-3"/>
        </w:rPr>
        <w:t>Закон </w:t>
      </w:r>
      <w:r>
        <w:rPr>
          <w:color w:val="231F20"/>
        </w:rPr>
        <w:t>о безбедности саобраћаја на путевима, Правилник о основним условима </w:t>
      </w:r>
      <w:r>
        <w:rPr>
          <w:color w:val="231F20"/>
          <w:spacing w:val="-3"/>
        </w:rPr>
        <w:t>које </w:t>
      </w:r>
      <w:r>
        <w:rPr>
          <w:color w:val="231F20"/>
        </w:rPr>
        <w:t>јавни путеви и њихови елементи морају да испуњавају са гледишта безбедности саобраћаја и друго), као  и Техничких прописа и стандарда из области путног инжењерства за садржаје </w:t>
      </w:r>
      <w:r>
        <w:rPr>
          <w:color w:val="231F20"/>
          <w:spacing w:val="-3"/>
        </w:rPr>
        <w:t>који </w:t>
      </w:r>
      <w:r>
        <w:rPr>
          <w:color w:val="231F20"/>
        </w:rPr>
        <w:t>су обухваћени</w:t>
      </w:r>
      <w:r>
        <w:rPr>
          <w:color w:val="231F20"/>
          <w:spacing w:val="-2"/>
        </w:rPr>
        <w:t> </w:t>
      </w:r>
      <w:r>
        <w:rPr>
          <w:color w:val="231F20"/>
        </w:rPr>
        <w:t>пројектима.</w:t>
      </w:r>
    </w:p>
    <w:p>
      <w:pPr>
        <w:spacing w:after="0" w:line="235" w:lineRule="auto"/>
        <w:sectPr>
          <w:pgSz w:w="12480" w:h="15690"/>
          <w:pgMar w:top="100" w:bottom="280" w:left="680" w:right="720"/>
          <w:cols w:num="2" w:equalWidth="0">
            <w:col w:w="5560" w:space="40"/>
            <w:col w:w="5480"/>
          </w:cols>
        </w:sectPr>
      </w:pPr>
    </w:p>
    <w:p>
      <w:pPr>
        <w:pStyle w:val="BodyText"/>
        <w:spacing w:line="232" w:lineRule="auto" w:before="73"/>
        <w:ind w:right="38" w:firstLine="396"/>
      </w:pPr>
      <w:r>
        <w:rPr/>
        <w:pict>
          <v:line style="position:absolute;mso-position-horizontal-relative:page;mso-position-vertical-relative:page;z-index:4168" from="304.724396pt,11.942451pt" to="304.724396pt,748.950451pt" stroked="true" strokeweight=".6pt" strokecolor="#231f20">
            <v:stroke dashstyle="solid"/>
            <w10:wrap type="none"/>
          </v:line>
        </w:pict>
      </w:r>
      <w:r>
        <w:rPr>
          <w:color w:val="231F20"/>
        </w:rPr>
        <w:t>Ради задовољавања захтева ефикасног и безбедног одвијања саобраћаја, саобраћајнице пројектовати придржавајући се следе- ћих препорука:</w:t>
      </w:r>
    </w:p>
    <w:p>
      <w:pPr>
        <w:pStyle w:val="BodyText"/>
        <w:spacing w:line="232" w:lineRule="auto"/>
        <w:ind w:right="38" w:firstLine="396"/>
      </w:pPr>
      <w:r>
        <w:rPr>
          <w:color w:val="231F20"/>
          <w:w w:val="66"/>
        </w:rPr>
        <w:t> </w:t>
      </w:r>
      <w:r>
        <w:rPr>
          <w:color w:val="231F20"/>
        </w:rPr>
        <w:t>– планирану саобраћајницу </w:t>
      </w:r>
      <w:r>
        <w:rPr>
          <w:color w:val="231F20"/>
          <w:spacing w:val="-3"/>
        </w:rPr>
        <w:t>која </w:t>
      </w:r>
      <w:r>
        <w:rPr>
          <w:color w:val="231F20"/>
        </w:rPr>
        <w:t>представља </w:t>
      </w:r>
      <w:r>
        <w:rPr>
          <w:color w:val="231F20"/>
          <w:spacing w:val="-3"/>
        </w:rPr>
        <w:t>главни </w:t>
      </w:r>
      <w:r>
        <w:rPr>
          <w:color w:val="231F20"/>
          <w:spacing w:val="-2"/>
        </w:rPr>
        <w:t>улазни </w:t>
      </w:r>
      <w:r>
        <w:rPr>
          <w:color w:val="231F20"/>
        </w:rPr>
        <w:t>правац у </w:t>
      </w:r>
      <w:r>
        <w:rPr>
          <w:color w:val="231F20"/>
          <w:spacing w:val="-3"/>
        </w:rPr>
        <w:t>комплекс </w:t>
      </w:r>
      <w:r>
        <w:rPr>
          <w:color w:val="231F20"/>
        </w:rPr>
        <w:t>пристаништа прeдвидети са ширином </w:t>
      </w:r>
      <w:r>
        <w:rPr>
          <w:color w:val="231F20"/>
          <w:spacing w:val="-3"/>
        </w:rPr>
        <w:t>коловоза од</w:t>
      </w:r>
      <w:r>
        <w:rPr>
          <w:color w:val="231F20"/>
          <w:spacing w:val="-5"/>
        </w:rPr>
        <w:t> </w:t>
      </w:r>
      <w:r>
        <w:rPr>
          <w:color w:val="231F20"/>
        </w:rPr>
        <w:t>7,0</w:t>
      </w:r>
      <w:r>
        <w:rPr>
          <w:color w:val="231F20"/>
          <w:spacing w:val="-5"/>
        </w:rPr>
        <w:t> </w:t>
      </w:r>
      <w:r>
        <w:rPr>
          <w:color w:val="231F20"/>
        </w:rPr>
        <w:t>m,</w:t>
      </w:r>
      <w:r>
        <w:rPr>
          <w:color w:val="231F20"/>
          <w:spacing w:val="-5"/>
        </w:rPr>
        <w:t> </w:t>
      </w:r>
      <w:r>
        <w:rPr>
          <w:color w:val="231F20"/>
        </w:rPr>
        <w:t>са</w:t>
      </w:r>
      <w:r>
        <w:rPr>
          <w:color w:val="231F20"/>
          <w:spacing w:val="-5"/>
        </w:rPr>
        <w:t> </w:t>
      </w:r>
      <w:r>
        <w:rPr>
          <w:color w:val="231F20"/>
        </w:rPr>
        <w:t>носивошћу</w:t>
      </w:r>
      <w:r>
        <w:rPr>
          <w:color w:val="231F20"/>
          <w:spacing w:val="-5"/>
        </w:rPr>
        <w:t> </w:t>
      </w:r>
      <w:r>
        <w:rPr>
          <w:color w:val="231F20"/>
          <w:spacing w:val="-3"/>
        </w:rPr>
        <w:t>коловоза</w:t>
      </w:r>
      <w:r>
        <w:rPr>
          <w:color w:val="231F20"/>
          <w:spacing w:val="-5"/>
        </w:rPr>
        <w:t> </w:t>
      </w:r>
      <w:r>
        <w:rPr>
          <w:color w:val="231F20"/>
        </w:rPr>
        <w:t>за</w:t>
      </w:r>
      <w:r>
        <w:rPr>
          <w:color w:val="231F20"/>
          <w:spacing w:val="-5"/>
        </w:rPr>
        <w:t> </w:t>
      </w:r>
      <w:r>
        <w:rPr>
          <w:color w:val="231F20"/>
        </w:rPr>
        <w:t>тешки</w:t>
      </w:r>
      <w:r>
        <w:rPr>
          <w:color w:val="231F20"/>
          <w:spacing w:val="-5"/>
        </w:rPr>
        <w:t> </w:t>
      </w:r>
      <w:r>
        <w:rPr>
          <w:color w:val="231F20"/>
        </w:rPr>
        <w:t>саобраћај,</w:t>
      </w:r>
      <w:r>
        <w:rPr>
          <w:color w:val="231F20"/>
          <w:spacing w:val="-5"/>
        </w:rPr>
        <w:t> </w:t>
      </w:r>
      <w:r>
        <w:rPr>
          <w:color w:val="231F20"/>
        </w:rPr>
        <w:t>максималним једностраним подужним нагибом </w:t>
      </w:r>
      <w:r>
        <w:rPr>
          <w:color w:val="231F20"/>
          <w:spacing w:val="-3"/>
        </w:rPr>
        <w:t>од </w:t>
      </w:r>
      <w:r>
        <w:rPr>
          <w:color w:val="231F20"/>
        </w:rPr>
        <w:t>4% и са припадајућим еле- ментима за рачунску брзину </w:t>
      </w:r>
      <w:r>
        <w:rPr>
          <w:color w:val="231F20"/>
          <w:spacing w:val="-3"/>
        </w:rPr>
        <w:t>од </w:t>
      </w:r>
      <w:r>
        <w:rPr>
          <w:color w:val="231F20"/>
        </w:rPr>
        <w:t>50</w:t>
      </w:r>
      <w:r>
        <w:rPr>
          <w:color w:val="231F20"/>
          <w:spacing w:val="-2"/>
        </w:rPr>
        <w:t> </w:t>
      </w:r>
      <w:r>
        <w:rPr>
          <w:color w:val="231F20"/>
        </w:rPr>
        <w:t>km/h;</w:t>
      </w:r>
    </w:p>
    <w:p>
      <w:pPr>
        <w:pStyle w:val="BodyText"/>
        <w:spacing w:line="232" w:lineRule="auto"/>
        <w:ind w:left="171" w:right="38" w:firstLine="396"/>
      </w:pPr>
      <w:r>
        <w:rPr>
          <w:color w:val="231F20"/>
          <w:w w:val="66"/>
        </w:rPr>
        <w:t> </w:t>
      </w:r>
      <w:r>
        <w:rPr>
          <w:color w:val="231F20"/>
        </w:rPr>
        <w:t>– планирану саобраћајницу </w:t>
      </w:r>
      <w:r>
        <w:rPr>
          <w:color w:val="231F20"/>
          <w:spacing w:val="-3"/>
        </w:rPr>
        <w:t>која </w:t>
      </w:r>
      <w:r>
        <w:rPr>
          <w:color w:val="231F20"/>
        </w:rPr>
        <w:t>води до насеља „Канал”, предвидети са ширином </w:t>
      </w:r>
      <w:r>
        <w:rPr>
          <w:color w:val="231F20"/>
          <w:spacing w:val="-3"/>
        </w:rPr>
        <w:t>коловоза од </w:t>
      </w:r>
      <w:r>
        <w:rPr>
          <w:color w:val="231F20"/>
        </w:rPr>
        <w:t>6,0 m за двосмерни саобраћај и са носивошћу за средњи саобраћај, са максималним подужним нагибом</w:t>
      </w:r>
      <w:r>
        <w:rPr>
          <w:color w:val="231F20"/>
          <w:spacing w:val="-5"/>
        </w:rPr>
        <w:t> </w:t>
      </w:r>
      <w:r>
        <w:rPr>
          <w:color w:val="231F20"/>
          <w:spacing w:val="-3"/>
        </w:rPr>
        <w:t>од</w:t>
      </w:r>
      <w:r>
        <w:rPr>
          <w:color w:val="231F20"/>
          <w:spacing w:val="-5"/>
        </w:rPr>
        <w:t> </w:t>
      </w:r>
      <w:r>
        <w:rPr>
          <w:color w:val="231F20"/>
        </w:rPr>
        <w:t>8</w:t>
      </w:r>
      <w:r>
        <w:rPr>
          <w:color w:val="231F20"/>
          <w:spacing w:val="-5"/>
        </w:rPr>
        <w:t> </w:t>
      </w:r>
      <w:r>
        <w:rPr>
          <w:color w:val="231F20"/>
        </w:rPr>
        <w:t>%</w:t>
      </w:r>
      <w:r>
        <w:rPr>
          <w:color w:val="231F20"/>
          <w:spacing w:val="-5"/>
        </w:rPr>
        <w:t> </w:t>
      </w:r>
      <w:r>
        <w:rPr>
          <w:color w:val="231F20"/>
        </w:rPr>
        <w:t>(изузетно</w:t>
      </w:r>
      <w:r>
        <w:rPr>
          <w:color w:val="231F20"/>
          <w:spacing w:val="-5"/>
        </w:rPr>
        <w:t> </w:t>
      </w:r>
      <w:r>
        <w:rPr>
          <w:color w:val="231F20"/>
        </w:rPr>
        <w:t>10%</w:t>
      </w:r>
      <w:r>
        <w:rPr>
          <w:color w:val="231F20"/>
          <w:spacing w:val="-5"/>
        </w:rPr>
        <w:t> </w:t>
      </w:r>
      <w:r>
        <w:rPr>
          <w:color w:val="231F20"/>
        </w:rPr>
        <w:t>на</w:t>
      </w:r>
      <w:r>
        <w:rPr>
          <w:color w:val="231F20"/>
          <w:spacing w:val="-5"/>
        </w:rPr>
        <w:t> </w:t>
      </w:r>
      <w:r>
        <w:rPr>
          <w:color w:val="231F20"/>
        </w:rPr>
        <w:t>краћим</w:t>
      </w:r>
      <w:r>
        <w:rPr>
          <w:color w:val="231F20"/>
          <w:spacing w:val="-5"/>
        </w:rPr>
        <w:t> </w:t>
      </w:r>
      <w:r>
        <w:rPr>
          <w:color w:val="231F20"/>
        </w:rPr>
        <w:t>деоницама),</w:t>
      </w:r>
      <w:r>
        <w:rPr>
          <w:color w:val="231F20"/>
          <w:spacing w:val="-5"/>
        </w:rPr>
        <w:t> </w:t>
      </w:r>
      <w:r>
        <w:rPr>
          <w:color w:val="231F20"/>
        </w:rPr>
        <w:t>уз</w:t>
      </w:r>
      <w:r>
        <w:rPr>
          <w:color w:val="231F20"/>
          <w:spacing w:val="-5"/>
        </w:rPr>
        <w:t> </w:t>
      </w:r>
      <w:r>
        <w:rPr>
          <w:color w:val="231F20"/>
        </w:rPr>
        <w:t>формира- ње једностраног тротоара минималне ширине 1,5</w:t>
      </w:r>
      <w:r>
        <w:rPr>
          <w:color w:val="231F20"/>
          <w:spacing w:val="-7"/>
        </w:rPr>
        <w:t> </w:t>
      </w:r>
      <w:r>
        <w:rPr>
          <w:color w:val="231F20"/>
        </w:rPr>
        <w:t>m;</w:t>
      </w:r>
    </w:p>
    <w:p>
      <w:pPr>
        <w:pStyle w:val="BodyText"/>
        <w:spacing w:line="232" w:lineRule="auto"/>
        <w:ind w:left="171" w:right="38" w:firstLine="397"/>
      </w:pPr>
      <w:r>
        <w:rPr>
          <w:color w:val="231F20"/>
          <w:w w:val="66"/>
        </w:rPr>
        <w:t> </w:t>
      </w:r>
      <w:r>
        <w:rPr>
          <w:color w:val="231F20"/>
        </w:rPr>
        <w:t>– одводњавање решавати гравитационим отицањем повр- шинских вода (подужним и попречним падом) у систему затворе- не канализације.</w:t>
      </w:r>
    </w:p>
    <w:p>
      <w:pPr>
        <w:pStyle w:val="BodyText"/>
        <w:spacing w:line="232" w:lineRule="auto"/>
        <w:ind w:left="171" w:right="38" w:firstLine="396"/>
      </w:pPr>
      <w:r>
        <w:rPr>
          <w:color w:val="231F20"/>
          <w:w w:val="66"/>
        </w:rPr>
        <w:t> </w:t>
      </w:r>
      <w:r>
        <w:rPr>
          <w:color w:val="231F20"/>
        </w:rPr>
        <w:t>– обезбедити попречни нагиб коловоза од 2,50 % у правцу и максимум 7,0 % у кривини. попречни нагиб пешачких комуника- ција мора бити минимум 1,0 %, усмерен ка коловозу;</w:t>
      </w:r>
    </w:p>
    <w:p>
      <w:pPr>
        <w:pStyle w:val="BodyText"/>
        <w:spacing w:line="232" w:lineRule="auto"/>
        <w:ind w:right="38" w:firstLine="396"/>
      </w:pPr>
      <w:r>
        <w:rPr>
          <w:color w:val="231F20"/>
          <w:w w:val="66"/>
        </w:rPr>
        <w:t> </w:t>
      </w:r>
      <w:r>
        <w:rPr>
          <w:color w:val="231F20"/>
        </w:rPr>
        <w:t>– ограде, дрвеће и засаде поред путева подизати тако да не ометају прегледност и не угрожавају безбедност одвијања саобра- ћаја вангабаритних терета и</w:t>
      </w:r>
    </w:p>
    <w:p>
      <w:pPr>
        <w:pStyle w:val="BodyText"/>
        <w:spacing w:line="232" w:lineRule="auto"/>
        <w:ind w:left="171" w:right="38" w:firstLine="396"/>
      </w:pPr>
      <w:r>
        <w:rPr>
          <w:color w:val="231F20"/>
          <w:w w:val="66"/>
        </w:rPr>
        <w:t> </w:t>
      </w:r>
      <w:r>
        <w:rPr>
          <w:color w:val="231F20"/>
        </w:rPr>
        <w:t>–</w:t>
      </w:r>
      <w:r>
        <w:rPr>
          <w:color w:val="231F20"/>
          <w:spacing w:val="-12"/>
        </w:rPr>
        <w:t> </w:t>
      </w:r>
      <w:r>
        <w:rPr>
          <w:color w:val="231F20"/>
        </w:rPr>
        <w:t>неопходну</w:t>
      </w:r>
      <w:r>
        <w:rPr>
          <w:color w:val="231F20"/>
          <w:spacing w:val="-12"/>
        </w:rPr>
        <w:t> </w:t>
      </w:r>
      <w:r>
        <w:rPr>
          <w:color w:val="231F20"/>
        </w:rPr>
        <w:t>реконструкцију</w:t>
      </w:r>
      <w:r>
        <w:rPr>
          <w:color w:val="231F20"/>
          <w:spacing w:val="-12"/>
        </w:rPr>
        <w:t> </w:t>
      </w:r>
      <w:r>
        <w:rPr>
          <w:color w:val="231F20"/>
        </w:rPr>
        <w:t>постојећих</w:t>
      </w:r>
      <w:r>
        <w:rPr>
          <w:color w:val="231F20"/>
          <w:spacing w:val="-12"/>
        </w:rPr>
        <w:t> </w:t>
      </w:r>
      <w:r>
        <w:rPr>
          <w:color w:val="231F20"/>
        </w:rPr>
        <w:t>саобраћајница</w:t>
      </w:r>
      <w:r>
        <w:rPr>
          <w:color w:val="231F20"/>
          <w:spacing w:val="-12"/>
        </w:rPr>
        <w:t> </w:t>
      </w:r>
      <w:r>
        <w:rPr>
          <w:color w:val="231F20"/>
        </w:rPr>
        <w:t>и</w:t>
      </w:r>
      <w:r>
        <w:rPr>
          <w:color w:val="231F20"/>
          <w:spacing w:val="-12"/>
        </w:rPr>
        <w:t> </w:t>
      </w:r>
      <w:r>
        <w:rPr>
          <w:color w:val="231F20"/>
        </w:rPr>
        <w:t>рас- крсница спровести у свему на основу пројектне</w:t>
      </w:r>
      <w:r>
        <w:rPr>
          <w:color w:val="231F20"/>
          <w:spacing w:val="-15"/>
        </w:rPr>
        <w:t> </w:t>
      </w:r>
      <w:r>
        <w:rPr>
          <w:color w:val="231F20"/>
        </w:rPr>
        <w:t>документације.</w:t>
      </w:r>
    </w:p>
    <w:p>
      <w:pPr>
        <w:pStyle w:val="BodyText"/>
        <w:spacing w:line="232" w:lineRule="auto"/>
        <w:ind w:right="39" w:firstLine="397"/>
      </w:pPr>
      <w:r>
        <w:rPr>
          <w:color w:val="231F20"/>
        </w:rPr>
        <w:t>За израду техничке документације будућих саобраћајница, нагибе нивелете дефинитивно утврдити након геомеханичких ис- питивања и геодетског снимања терена.</w:t>
      </w:r>
    </w:p>
    <w:p>
      <w:pPr>
        <w:pStyle w:val="ListParagraph"/>
        <w:numPr>
          <w:ilvl w:val="1"/>
          <w:numId w:val="62"/>
        </w:numPr>
        <w:tabs>
          <w:tab w:pos="1392" w:val="left" w:leader="none"/>
        </w:tabs>
        <w:spacing w:line="240" w:lineRule="auto" w:before="148" w:after="0"/>
        <w:ind w:left="1391" w:right="0" w:hanging="315"/>
        <w:jc w:val="left"/>
        <w:rPr>
          <w:i/>
          <w:sz w:val="18"/>
        </w:rPr>
      </w:pPr>
      <w:r>
        <w:rPr>
          <w:i/>
          <w:color w:val="231F20"/>
          <w:sz w:val="18"/>
        </w:rPr>
        <w:t>Правила парцелације и</w:t>
      </w:r>
      <w:r>
        <w:rPr>
          <w:i/>
          <w:color w:val="231F20"/>
          <w:spacing w:val="-1"/>
          <w:sz w:val="18"/>
        </w:rPr>
        <w:t> </w:t>
      </w:r>
      <w:r>
        <w:rPr>
          <w:i/>
          <w:color w:val="231F20"/>
          <w:sz w:val="18"/>
        </w:rPr>
        <w:t>препарцелације</w:t>
      </w:r>
    </w:p>
    <w:p>
      <w:pPr>
        <w:pStyle w:val="BodyText"/>
        <w:spacing w:before="2"/>
        <w:ind w:left="0"/>
        <w:jc w:val="left"/>
        <w:rPr>
          <w:i/>
          <w:sz w:val="17"/>
        </w:rPr>
      </w:pPr>
    </w:p>
    <w:p>
      <w:pPr>
        <w:pStyle w:val="BodyText"/>
        <w:spacing w:line="232" w:lineRule="auto" w:before="1"/>
        <w:ind w:right="38" w:firstLine="396"/>
      </w:pPr>
      <w:r>
        <w:rPr>
          <w:color w:val="231F20"/>
        </w:rPr>
        <w:t>На површинама у </w:t>
      </w:r>
      <w:r>
        <w:rPr>
          <w:color w:val="231F20"/>
          <w:spacing w:val="-3"/>
        </w:rPr>
        <w:t>обухвату </w:t>
      </w:r>
      <w:r>
        <w:rPr>
          <w:color w:val="231F20"/>
        </w:rPr>
        <w:t>просторне целине мења се по- стојећа катастарска парцелација ради формирања нове парцеле на јавном земљишту за потребе уређења, одржавања и изградње</w:t>
      </w:r>
      <w:r>
        <w:rPr>
          <w:color w:val="231F20"/>
          <w:spacing w:val="-32"/>
        </w:rPr>
        <w:t> </w:t>
      </w:r>
      <w:r>
        <w:rPr>
          <w:color w:val="231F20"/>
          <w:spacing w:val="-4"/>
        </w:rPr>
        <w:t>ком- </w:t>
      </w:r>
      <w:r>
        <w:rPr>
          <w:color w:val="231F20"/>
        </w:rPr>
        <w:t>плекса ТЕ „Костолац</w:t>
      </w:r>
      <w:r>
        <w:rPr>
          <w:color w:val="231F20"/>
          <w:spacing w:val="-2"/>
        </w:rPr>
        <w:t> </w:t>
      </w:r>
      <w:r>
        <w:rPr>
          <w:color w:val="231F20"/>
        </w:rPr>
        <w:t>А”.</w:t>
      </w:r>
    </w:p>
    <w:p>
      <w:pPr>
        <w:pStyle w:val="BodyText"/>
        <w:spacing w:line="232" w:lineRule="auto"/>
        <w:ind w:right="38" w:firstLine="397"/>
      </w:pPr>
      <w:r>
        <w:rPr>
          <w:color w:val="231F20"/>
        </w:rPr>
        <w:t>Парцелација се спроводи у складу са успостављеним режи- мом</w:t>
      </w:r>
      <w:r>
        <w:rPr>
          <w:color w:val="231F20"/>
          <w:spacing w:val="-5"/>
        </w:rPr>
        <w:t> </w:t>
      </w:r>
      <w:r>
        <w:rPr>
          <w:color w:val="231F20"/>
        </w:rPr>
        <w:t>коришћења</w:t>
      </w:r>
      <w:r>
        <w:rPr>
          <w:color w:val="231F20"/>
          <w:spacing w:val="-5"/>
        </w:rPr>
        <w:t> </w:t>
      </w:r>
      <w:r>
        <w:rPr>
          <w:color w:val="231F20"/>
        </w:rPr>
        <w:t>и</w:t>
      </w:r>
      <w:r>
        <w:rPr>
          <w:color w:val="231F20"/>
          <w:spacing w:val="-5"/>
        </w:rPr>
        <w:t> </w:t>
      </w:r>
      <w:r>
        <w:rPr>
          <w:color w:val="231F20"/>
        </w:rPr>
        <w:t>променом</w:t>
      </w:r>
      <w:r>
        <w:rPr>
          <w:color w:val="231F20"/>
          <w:spacing w:val="-5"/>
        </w:rPr>
        <w:t> </w:t>
      </w:r>
      <w:r>
        <w:rPr>
          <w:color w:val="231F20"/>
        </w:rPr>
        <w:t>намене.</w:t>
      </w:r>
      <w:r>
        <w:rPr>
          <w:color w:val="231F20"/>
          <w:spacing w:val="-5"/>
        </w:rPr>
        <w:t> </w:t>
      </w:r>
      <w:r>
        <w:rPr>
          <w:color w:val="231F20"/>
        </w:rPr>
        <w:t>Нова</w:t>
      </w:r>
      <w:r>
        <w:rPr>
          <w:color w:val="231F20"/>
          <w:spacing w:val="-5"/>
        </w:rPr>
        <w:t> </w:t>
      </w:r>
      <w:r>
        <w:rPr>
          <w:color w:val="231F20"/>
        </w:rPr>
        <w:t>грађевинска</w:t>
      </w:r>
      <w:r>
        <w:rPr>
          <w:color w:val="231F20"/>
          <w:spacing w:val="-5"/>
        </w:rPr>
        <w:t> </w:t>
      </w:r>
      <w:r>
        <w:rPr>
          <w:color w:val="231F20"/>
        </w:rPr>
        <w:t>парцела</w:t>
      </w:r>
      <w:r>
        <w:rPr>
          <w:color w:val="231F20"/>
          <w:spacing w:val="-5"/>
        </w:rPr>
        <w:t> </w:t>
      </w:r>
      <w:r>
        <w:rPr>
          <w:color w:val="231F20"/>
        </w:rPr>
        <w:t>се формира на основу потврђеног пројекта парцелације </w:t>
      </w:r>
      <w:r>
        <w:rPr>
          <w:color w:val="231F20"/>
          <w:spacing w:val="-3"/>
        </w:rPr>
        <w:t>који </w:t>
      </w:r>
      <w:r>
        <w:rPr>
          <w:color w:val="231F20"/>
        </w:rPr>
        <w:t>садржи пројект геодетског</w:t>
      </w:r>
      <w:r>
        <w:rPr>
          <w:color w:val="231F20"/>
          <w:spacing w:val="-2"/>
        </w:rPr>
        <w:t> </w:t>
      </w:r>
      <w:r>
        <w:rPr>
          <w:color w:val="231F20"/>
        </w:rPr>
        <w:t>обележавања.</w:t>
      </w:r>
    </w:p>
    <w:p>
      <w:pPr>
        <w:pStyle w:val="BodyText"/>
        <w:spacing w:line="232" w:lineRule="auto"/>
        <w:ind w:right="39" w:firstLine="397"/>
      </w:pPr>
      <w:r>
        <w:rPr>
          <w:color w:val="231F20"/>
        </w:rPr>
        <w:t>Новоформиране грађевинске парцеле у оквиру </w:t>
      </w:r>
      <w:r>
        <w:rPr>
          <w:color w:val="231F20"/>
          <w:spacing w:val="-3"/>
        </w:rPr>
        <w:t>Комплекса </w:t>
      </w:r>
      <w:r>
        <w:rPr>
          <w:color w:val="231F20"/>
        </w:rPr>
        <w:t>ТЕ „Костолац А” са робним пристаништем имају карактер јавне површине и прикључке на комуналну инфраструктуру и техничку инфраструктуру у систему ТЕ-КО. Предвиђено је ограђивање по обиму нових</w:t>
      </w:r>
      <w:r>
        <w:rPr>
          <w:color w:val="231F20"/>
          <w:spacing w:val="-2"/>
        </w:rPr>
        <w:t> </w:t>
      </w:r>
      <w:r>
        <w:rPr>
          <w:color w:val="231F20"/>
        </w:rPr>
        <w:t>парцела.</w:t>
      </w:r>
    </w:p>
    <w:p>
      <w:pPr>
        <w:pStyle w:val="BodyText"/>
        <w:spacing w:line="230" w:lineRule="auto"/>
        <w:ind w:right="39" w:firstLine="397"/>
      </w:pPr>
      <w:r>
        <w:rPr>
          <w:color w:val="231F20"/>
        </w:rPr>
        <w:t>Померањем</w:t>
      </w:r>
      <w:r>
        <w:rPr>
          <w:color w:val="231F20"/>
          <w:spacing w:val="-12"/>
        </w:rPr>
        <w:t> </w:t>
      </w:r>
      <w:r>
        <w:rPr>
          <w:color w:val="231F20"/>
        </w:rPr>
        <w:t>границе</w:t>
      </w:r>
      <w:r>
        <w:rPr>
          <w:color w:val="231F20"/>
          <w:spacing w:val="-12"/>
        </w:rPr>
        <w:t> </w:t>
      </w:r>
      <w:r>
        <w:rPr>
          <w:color w:val="231F20"/>
        </w:rPr>
        <w:t>суседне</w:t>
      </w:r>
      <w:r>
        <w:rPr>
          <w:color w:val="231F20"/>
          <w:spacing w:val="-12"/>
        </w:rPr>
        <w:t> </w:t>
      </w:r>
      <w:r>
        <w:rPr>
          <w:color w:val="231F20"/>
        </w:rPr>
        <w:t>парцеле</w:t>
      </w:r>
      <w:r>
        <w:rPr>
          <w:color w:val="231F20"/>
          <w:spacing w:val="-12"/>
        </w:rPr>
        <w:t> </w:t>
      </w:r>
      <w:r>
        <w:rPr>
          <w:color w:val="231F20"/>
        </w:rPr>
        <w:t>к.п.</w:t>
      </w:r>
      <w:r>
        <w:rPr>
          <w:color w:val="231F20"/>
          <w:spacing w:val="-12"/>
        </w:rPr>
        <w:t> </w:t>
      </w:r>
      <w:r>
        <w:rPr>
          <w:color w:val="231F20"/>
        </w:rPr>
        <w:t>бр.</w:t>
      </w:r>
      <w:r>
        <w:rPr>
          <w:color w:val="231F20"/>
          <w:spacing w:val="-12"/>
        </w:rPr>
        <w:t> </w:t>
      </w:r>
      <w:r>
        <w:rPr>
          <w:color w:val="231F20"/>
        </w:rPr>
        <w:t>333/2</w:t>
      </w:r>
      <w:r>
        <w:rPr>
          <w:color w:val="231F20"/>
          <w:spacing w:val="-12"/>
        </w:rPr>
        <w:t> </w:t>
      </w:r>
      <w:r>
        <w:rPr>
          <w:color w:val="231F20"/>
        </w:rPr>
        <w:t>и</w:t>
      </w:r>
      <w:r>
        <w:rPr>
          <w:color w:val="231F20"/>
          <w:spacing w:val="-12"/>
        </w:rPr>
        <w:t> </w:t>
      </w:r>
      <w:r>
        <w:rPr>
          <w:color w:val="231F20"/>
        </w:rPr>
        <w:t>парцела- цијом постојеће к.п. бр. 463/1, све </w:t>
      </w:r>
      <w:r>
        <w:rPr>
          <w:color w:val="231F20"/>
          <w:spacing w:val="-3"/>
        </w:rPr>
        <w:t>КО </w:t>
      </w:r>
      <w:r>
        <w:rPr>
          <w:color w:val="231F20"/>
        </w:rPr>
        <w:t>Костолац – град, по затече- ној спољњој линији регулације интерне саобраћајнице до јужног прикључка на улицу </w:t>
      </w:r>
      <w:r>
        <w:rPr>
          <w:color w:val="231F20"/>
          <w:spacing w:val="-3"/>
        </w:rPr>
        <w:t>Николе </w:t>
      </w:r>
      <w:r>
        <w:rPr>
          <w:color w:val="231F20"/>
        </w:rPr>
        <w:t>Тесле и по линији постојеће ограде између службеног улаза из улице </w:t>
      </w:r>
      <w:r>
        <w:rPr>
          <w:color w:val="231F20"/>
          <w:spacing w:val="-3"/>
        </w:rPr>
        <w:t>Боже </w:t>
      </w:r>
      <w:r>
        <w:rPr>
          <w:color w:val="231F20"/>
        </w:rPr>
        <w:t>Димитријевића и Дунав- ца, као и по граници потцелина ове просторне целине, добијене су нове грађевинске парцеле: ГП 1 – </w:t>
      </w:r>
      <w:r>
        <w:rPr>
          <w:color w:val="231F20"/>
          <w:spacing w:val="-3"/>
        </w:rPr>
        <w:t>Комплекс </w:t>
      </w:r>
      <w:r>
        <w:rPr>
          <w:color w:val="231F20"/>
        </w:rPr>
        <w:t>ТЕ „Костолац А”; ГП2</w:t>
      </w:r>
      <w:r>
        <w:rPr>
          <w:color w:val="231F20"/>
          <w:spacing w:val="12"/>
        </w:rPr>
        <w:t> </w:t>
      </w:r>
      <w:r>
        <w:rPr>
          <w:color w:val="231F20"/>
        </w:rPr>
        <w:t>–</w:t>
      </w:r>
      <w:r>
        <w:rPr>
          <w:color w:val="231F20"/>
          <w:spacing w:val="-11"/>
        </w:rPr>
        <w:t> </w:t>
      </w:r>
      <w:r>
        <w:rPr>
          <w:color w:val="231F20"/>
        </w:rPr>
        <w:t>објекти</w:t>
      </w:r>
      <w:r>
        <w:rPr>
          <w:color w:val="231F20"/>
          <w:spacing w:val="-11"/>
        </w:rPr>
        <w:t> </w:t>
      </w:r>
      <w:r>
        <w:rPr>
          <w:color w:val="231F20"/>
        </w:rPr>
        <w:t>и</w:t>
      </w:r>
      <w:r>
        <w:rPr>
          <w:color w:val="231F20"/>
          <w:spacing w:val="-11"/>
        </w:rPr>
        <w:t> </w:t>
      </w:r>
      <w:r>
        <w:rPr>
          <w:color w:val="231F20"/>
        </w:rPr>
        <w:t>површине</w:t>
      </w:r>
      <w:r>
        <w:rPr>
          <w:color w:val="231F20"/>
          <w:spacing w:val="-11"/>
        </w:rPr>
        <w:t> </w:t>
      </w:r>
      <w:r>
        <w:rPr>
          <w:color w:val="231F20"/>
        </w:rPr>
        <w:t>водоизворишта</w:t>
      </w:r>
      <w:r>
        <w:rPr>
          <w:color w:val="231F20"/>
          <w:spacing w:val="-11"/>
        </w:rPr>
        <w:t> </w:t>
      </w:r>
      <w:r>
        <w:rPr>
          <w:color w:val="231F20"/>
        </w:rPr>
        <w:t>„Ловац”</w:t>
      </w:r>
      <w:r>
        <w:rPr>
          <w:color w:val="231F20"/>
          <w:position w:val="6"/>
          <w:sz w:val="10"/>
        </w:rPr>
        <w:t>20</w:t>
      </w:r>
      <w:r>
        <w:rPr>
          <w:color w:val="231F20"/>
          <w:spacing w:val="-6"/>
          <w:position w:val="6"/>
          <w:sz w:val="10"/>
        </w:rPr>
        <w:t> </w:t>
      </w:r>
      <w:r>
        <w:rPr>
          <w:color w:val="231F20"/>
        </w:rPr>
        <w:t>и</w:t>
      </w:r>
      <w:r>
        <w:rPr>
          <w:color w:val="231F20"/>
          <w:spacing w:val="-11"/>
        </w:rPr>
        <w:t> </w:t>
      </w:r>
      <w:r>
        <w:rPr>
          <w:color w:val="231F20"/>
        </w:rPr>
        <w:t>ГП3</w:t>
      </w:r>
      <w:r>
        <w:rPr>
          <w:color w:val="231F20"/>
          <w:spacing w:val="12"/>
        </w:rPr>
        <w:t> </w:t>
      </w:r>
      <w:r>
        <w:rPr>
          <w:color w:val="231F20"/>
        </w:rPr>
        <w:t>–</w:t>
      </w:r>
      <w:r>
        <w:rPr>
          <w:color w:val="231F20"/>
          <w:spacing w:val="-11"/>
        </w:rPr>
        <w:t> </w:t>
      </w:r>
      <w:r>
        <w:rPr>
          <w:color w:val="231F20"/>
        </w:rPr>
        <w:t>лока- ција</w:t>
      </w:r>
      <w:r>
        <w:rPr>
          <w:color w:val="231F20"/>
          <w:spacing w:val="-1"/>
        </w:rPr>
        <w:t> </w:t>
      </w:r>
      <w:r>
        <w:rPr>
          <w:color w:val="231F20"/>
        </w:rPr>
        <w:t>„Аутотранспорта”.</w:t>
      </w:r>
    </w:p>
    <w:p>
      <w:pPr>
        <w:pStyle w:val="BodyText"/>
        <w:spacing w:line="232" w:lineRule="auto" w:before="1"/>
        <w:ind w:right="39" w:firstLine="396"/>
      </w:pPr>
      <w:r>
        <w:rPr>
          <w:color w:val="231F20"/>
        </w:rPr>
        <w:t>Ова парцелација се спроводи ради увођења у евиденцију стварног начина коришћења.</w:t>
      </w:r>
    </w:p>
    <w:p>
      <w:pPr>
        <w:pStyle w:val="BodyText"/>
        <w:spacing w:line="232" w:lineRule="auto"/>
        <w:ind w:right="39" w:firstLine="396"/>
      </w:pPr>
      <w:r>
        <w:rPr>
          <w:color w:val="231F20"/>
        </w:rPr>
        <w:t>Део к.п. бр. 463/1, КО Костолац – град, који се уређује према правилима за Потцелину (2) прикључује се ГП 4.</w:t>
      </w:r>
    </w:p>
    <w:p>
      <w:pPr>
        <w:pStyle w:val="BodyText"/>
        <w:spacing w:line="232" w:lineRule="auto"/>
        <w:ind w:right="39" w:firstLine="396"/>
      </w:pPr>
      <w:r>
        <w:rPr>
          <w:color w:val="231F20"/>
        </w:rPr>
        <w:t>Грађевинска парцела ГП 4 се формира за потребе изградње  и уређења индустријског пристаништа (потцелина (2)) и обухвата следеће катастарске</w:t>
      </w:r>
      <w:r>
        <w:rPr>
          <w:color w:val="231F20"/>
          <w:spacing w:val="-1"/>
        </w:rPr>
        <w:t> </w:t>
      </w:r>
      <w:r>
        <w:rPr>
          <w:color w:val="231F20"/>
        </w:rPr>
        <w:t>парцеле:</w:t>
      </w:r>
    </w:p>
    <w:p>
      <w:pPr>
        <w:pStyle w:val="BodyText"/>
        <w:spacing w:line="197" w:lineRule="exact"/>
        <w:ind w:left="567"/>
        <w:jc w:val="left"/>
      </w:pPr>
      <w:r>
        <w:rPr>
          <w:color w:val="231F20"/>
        </w:rPr>
        <w:t>КО Костолац град:</w:t>
      </w:r>
    </w:p>
    <w:p>
      <w:pPr>
        <w:pStyle w:val="BodyText"/>
        <w:spacing w:line="200" w:lineRule="exact"/>
        <w:ind w:left="567"/>
        <w:jc w:val="left"/>
      </w:pPr>
      <w:r>
        <w:rPr>
          <w:color w:val="231F20"/>
        </w:rPr>
        <w:t>целе: 333/1,339/1, 339/2, 340, 341,395, 398/1,</w:t>
      </w:r>
    </w:p>
    <w:p>
      <w:pPr>
        <w:pStyle w:val="BodyText"/>
        <w:spacing w:line="200" w:lineRule="exact"/>
        <w:ind w:left="567"/>
        <w:jc w:val="left"/>
      </w:pPr>
      <w:r>
        <w:rPr>
          <w:color w:val="231F20"/>
        </w:rPr>
        <w:t>део: 331, 333/2, 334, 342, 343, 375, 394, 436/1, 2385, 2386,</w:t>
      </w:r>
    </w:p>
    <w:p>
      <w:pPr>
        <w:pStyle w:val="BodyText"/>
        <w:spacing w:line="200" w:lineRule="exact"/>
        <w:jc w:val="left"/>
      </w:pPr>
      <w:r>
        <w:rPr>
          <w:color w:val="231F20"/>
        </w:rPr>
        <w:t>2387, 2390, 2428.</w:t>
      </w:r>
    </w:p>
    <w:p>
      <w:pPr>
        <w:pStyle w:val="BodyText"/>
        <w:spacing w:line="232" w:lineRule="auto"/>
        <w:ind w:right="39" w:firstLine="396"/>
      </w:pPr>
      <w:r>
        <w:rPr>
          <w:color w:val="231F20"/>
        </w:rPr>
        <w:t>Након прибављања земљишта у јавну својину (државну), у евиденцију непокретности се уводи нова катастарска парцела и евидентира право управљања и коришћења у складу са законима.</w:t>
      </w:r>
    </w:p>
    <w:p>
      <w:pPr>
        <w:pStyle w:val="BodyText"/>
        <w:spacing w:line="232" w:lineRule="auto"/>
        <w:ind w:right="38" w:firstLine="396"/>
      </w:pPr>
      <w:r>
        <w:rPr>
          <w:color w:val="231F20"/>
        </w:rPr>
        <w:t>На површинама у обухвату границе ове просторне целине, мења се постојећа катастарска парцелација и за потребе формира- ња грађевинских парцела за изградњу или реконструкцију јавних саобраћајница и постојеће раскрснице у новој регулацији, у свему према правилима утврђеним у Просторном плану.</w:t>
      </w:r>
    </w:p>
    <w:p>
      <w:pPr>
        <w:spacing w:line="148"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240" w:lineRule="auto" w:before="0" w:after="0"/>
        <w:ind w:left="453" w:right="39" w:hanging="283"/>
        <w:jc w:val="both"/>
        <w:rPr>
          <w:sz w:val="14"/>
        </w:rPr>
      </w:pPr>
      <w:r>
        <w:rPr>
          <w:color w:val="231F20"/>
          <w:sz w:val="14"/>
        </w:rPr>
        <w:t>Неопходно је формирати катастар постојећих објеката и активности унутар ло- кације водоизворишта, односно, зона заштите изворишта водоснабдевања уко- </w:t>
      </w:r>
      <w:r>
        <w:rPr>
          <w:color w:val="231F20"/>
          <w:spacing w:val="-3"/>
          <w:sz w:val="14"/>
        </w:rPr>
        <w:t>лико </w:t>
      </w:r>
      <w:r>
        <w:rPr>
          <w:color w:val="231F20"/>
          <w:sz w:val="14"/>
        </w:rPr>
        <w:t>надлежни орган те зоне утврди.</w:t>
      </w:r>
    </w:p>
    <w:p>
      <w:pPr>
        <w:pStyle w:val="BodyText"/>
        <w:spacing w:line="237" w:lineRule="auto" w:before="69"/>
        <w:ind w:right="411" w:firstLine="397"/>
      </w:pPr>
      <w:r>
        <w:rPr/>
        <w:br w:type="column"/>
      </w:r>
      <w:r>
        <w:rPr>
          <w:color w:val="231F20"/>
        </w:rPr>
        <w:t>Грађевинске парцеле ГП 5 (дефинисана тачкама V1, V2, V3 и V4) и ГП 6 (V1, VI1, VI2, VI3 и VI4), формирају се </w:t>
      </w:r>
      <w:r>
        <w:rPr>
          <w:color w:val="231F20"/>
          <w:spacing w:val="-3"/>
        </w:rPr>
        <w:t>тако </w:t>
      </w:r>
      <w:r>
        <w:rPr>
          <w:color w:val="231F20"/>
        </w:rPr>
        <w:t>да нова парцела</w:t>
      </w:r>
      <w:r>
        <w:rPr>
          <w:color w:val="231F20"/>
          <w:spacing w:val="-9"/>
        </w:rPr>
        <w:t> </w:t>
      </w:r>
      <w:r>
        <w:rPr>
          <w:color w:val="231F20"/>
        </w:rPr>
        <w:t>обухвата</w:t>
      </w:r>
      <w:r>
        <w:rPr>
          <w:color w:val="231F20"/>
          <w:spacing w:val="-9"/>
        </w:rPr>
        <w:t> </w:t>
      </w:r>
      <w:r>
        <w:rPr>
          <w:color w:val="231F20"/>
        </w:rPr>
        <w:t>земљишни</w:t>
      </w:r>
      <w:r>
        <w:rPr>
          <w:color w:val="231F20"/>
          <w:spacing w:val="-9"/>
        </w:rPr>
        <w:t> </w:t>
      </w:r>
      <w:r>
        <w:rPr>
          <w:color w:val="231F20"/>
        </w:rPr>
        <w:t>путни</w:t>
      </w:r>
      <w:r>
        <w:rPr>
          <w:color w:val="231F20"/>
          <w:spacing w:val="-9"/>
        </w:rPr>
        <w:t> </w:t>
      </w:r>
      <w:r>
        <w:rPr>
          <w:color w:val="231F20"/>
        </w:rPr>
        <w:t>појас,</w:t>
      </w:r>
      <w:r>
        <w:rPr>
          <w:color w:val="231F20"/>
          <w:spacing w:val="-9"/>
        </w:rPr>
        <w:t> </w:t>
      </w:r>
      <w:r>
        <w:rPr>
          <w:color w:val="231F20"/>
          <w:spacing w:val="-3"/>
        </w:rPr>
        <w:t>који</w:t>
      </w:r>
      <w:r>
        <w:rPr>
          <w:color w:val="231F20"/>
          <w:spacing w:val="-9"/>
        </w:rPr>
        <w:t> </w:t>
      </w:r>
      <w:r>
        <w:rPr>
          <w:color w:val="231F20"/>
        </w:rPr>
        <w:t>се</w:t>
      </w:r>
      <w:r>
        <w:rPr>
          <w:color w:val="231F20"/>
          <w:spacing w:val="-9"/>
        </w:rPr>
        <w:t> </w:t>
      </w:r>
      <w:r>
        <w:rPr>
          <w:color w:val="231F20"/>
        </w:rPr>
        <w:t>одређује</w:t>
      </w:r>
      <w:r>
        <w:rPr>
          <w:color w:val="231F20"/>
          <w:spacing w:val="-9"/>
        </w:rPr>
        <w:t> </w:t>
      </w:r>
      <w:r>
        <w:rPr>
          <w:color w:val="231F20"/>
        </w:rPr>
        <w:t>у</w:t>
      </w:r>
      <w:r>
        <w:rPr>
          <w:color w:val="231F20"/>
          <w:spacing w:val="-9"/>
        </w:rPr>
        <w:t> </w:t>
      </w:r>
      <w:r>
        <w:rPr>
          <w:color w:val="231F20"/>
        </w:rPr>
        <w:t>складу са </w:t>
      </w:r>
      <w:r>
        <w:rPr>
          <w:color w:val="231F20"/>
          <w:spacing w:val="-3"/>
        </w:rPr>
        <w:t>Законом </w:t>
      </w:r>
      <w:r>
        <w:rPr>
          <w:color w:val="231F20"/>
        </w:rPr>
        <w:t>и на основу правила утврђених у Просторном </w:t>
      </w:r>
      <w:r>
        <w:rPr>
          <w:color w:val="231F20"/>
          <w:spacing w:val="-4"/>
        </w:rPr>
        <w:t>плану, </w:t>
      </w:r>
      <w:r>
        <w:rPr>
          <w:color w:val="231F20"/>
        </w:rPr>
        <w:t>а у свему према решењима из техничке документације за саобраћај- </w:t>
      </w:r>
      <w:r>
        <w:rPr>
          <w:color w:val="231F20"/>
          <w:spacing w:val="-5"/>
        </w:rPr>
        <w:t>ницу. </w:t>
      </w:r>
      <w:r>
        <w:rPr>
          <w:color w:val="231F20"/>
        </w:rPr>
        <w:t>За потребе формирања грађевинских парцела, као и одређи- вања границе нове површине јавне намене, врши се парцелација на</w:t>
      </w:r>
      <w:r>
        <w:rPr>
          <w:color w:val="231F20"/>
          <w:spacing w:val="-5"/>
        </w:rPr>
        <w:t> </w:t>
      </w:r>
      <w:r>
        <w:rPr>
          <w:color w:val="231F20"/>
        </w:rPr>
        <w:t>делу</w:t>
      </w:r>
      <w:r>
        <w:rPr>
          <w:color w:val="231F20"/>
          <w:spacing w:val="-5"/>
        </w:rPr>
        <w:t> </w:t>
      </w:r>
      <w:r>
        <w:rPr>
          <w:color w:val="231F20"/>
        </w:rPr>
        <w:t>к.п.</w:t>
      </w:r>
      <w:r>
        <w:rPr>
          <w:color w:val="231F20"/>
          <w:spacing w:val="-5"/>
        </w:rPr>
        <w:t> </w:t>
      </w:r>
      <w:r>
        <w:rPr>
          <w:color w:val="231F20"/>
        </w:rPr>
        <w:t>бр.</w:t>
      </w:r>
      <w:r>
        <w:rPr>
          <w:color w:val="231F20"/>
          <w:spacing w:val="-5"/>
        </w:rPr>
        <w:t> </w:t>
      </w:r>
      <w:r>
        <w:rPr>
          <w:color w:val="231F20"/>
        </w:rPr>
        <w:t>2428,</w:t>
      </w:r>
      <w:r>
        <w:rPr>
          <w:color w:val="231F20"/>
          <w:spacing w:val="-5"/>
        </w:rPr>
        <w:t> </w:t>
      </w:r>
      <w:r>
        <w:rPr>
          <w:color w:val="231F20"/>
          <w:spacing w:val="-3"/>
        </w:rPr>
        <w:t>КО</w:t>
      </w:r>
      <w:r>
        <w:rPr>
          <w:color w:val="231F20"/>
          <w:spacing w:val="-5"/>
        </w:rPr>
        <w:t> </w:t>
      </w:r>
      <w:r>
        <w:rPr>
          <w:color w:val="231F20"/>
        </w:rPr>
        <w:t>Костолац</w:t>
      </w:r>
      <w:r>
        <w:rPr>
          <w:color w:val="231F20"/>
          <w:spacing w:val="-5"/>
        </w:rPr>
        <w:t> </w:t>
      </w:r>
      <w:r>
        <w:rPr>
          <w:color w:val="231F20"/>
        </w:rPr>
        <w:t>град,</w:t>
      </w:r>
      <w:r>
        <w:rPr>
          <w:color w:val="231F20"/>
          <w:spacing w:val="-5"/>
        </w:rPr>
        <w:t> </w:t>
      </w:r>
      <w:r>
        <w:rPr>
          <w:color w:val="231F20"/>
        </w:rPr>
        <w:t>на</w:t>
      </w:r>
      <w:r>
        <w:rPr>
          <w:color w:val="231F20"/>
          <w:spacing w:val="-5"/>
        </w:rPr>
        <w:t> </w:t>
      </w:r>
      <w:r>
        <w:rPr>
          <w:color w:val="231F20"/>
        </w:rPr>
        <w:t>предлог</w:t>
      </w:r>
      <w:r>
        <w:rPr>
          <w:color w:val="231F20"/>
          <w:spacing w:val="-5"/>
        </w:rPr>
        <w:t> </w:t>
      </w:r>
      <w:r>
        <w:rPr>
          <w:color w:val="231F20"/>
        </w:rPr>
        <w:t>и</w:t>
      </w:r>
      <w:r>
        <w:rPr>
          <w:color w:val="231F20"/>
          <w:spacing w:val="-5"/>
        </w:rPr>
        <w:t> </w:t>
      </w:r>
      <w:r>
        <w:rPr>
          <w:color w:val="231F20"/>
        </w:rPr>
        <w:t>о</w:t>
      </w:r>
      <w:r>
        <w:rPr>
          <w:color w:val="231F20"/>
          <w:spacing w:val="-5"/>
        </w:rPr>
        <w:t> </w:t>
      </w:r>
      <w:r>
        <w:rPr>
          <w:color w:val="231F20"/>
        </w:rPr>
        <w:t>трошку</w:t>
      </w:r>
      <w:r>
        <w:rPr>
          <w:color w:val="231F20"/>
          <w:spacing w:val="-5"/>
        </w:rPr>
        <w:t> </w:t>
      </w:r>
      <w:r>
        <w:rPr>
          <w:color w:val="231F20"/>
          <w:spacing w:val="-4"/>
        </w:rPr>
        <w:t>ко- </w:t>
      </w:r>
      <w:r>
        <w:rPr>
          <w:color w:val="231F20"/>
        </w:rPr>
        <w:t>рисника индустријског пристаништа и уводи се нови управљач у вези са надлежностима на управљању саобраћајницом. Извођење радова</w:t>
      </w:r>
      <w:r>
        <w:rPr>
          <w:color w:val="231F20"/>
          <w:spacing w:val="-8"/>
        </w:rPr>
        <w:t> </w:t>
      </w:r>
      <w:r>
        <w:rPr>
          <w:color w:val="231F20"/>
        </w:rPr>
        <w:t>на</w:t>
      </w:r>
      <w:r>
        <w:rPr>
          <w:color w:val="231F20"/>
          <w:spacing w:val="-8"/>
        </w:rPr>
        <w:t> </w:t>
      </w:r>
      <w:r>
        <w:rPr>
          <w:color w:val="231F20"/>
        </w:rPr>
        <w:t>изградњи</w:t>
      </w:r>
      <w:r>
        <w:rPr>
          <w:color w:val="231F20"/>
          <w:spacing w:val="-7"/>
        </w:rPr>
        <w:t> </w:t>
      </w:r>
      <w:r>
        <w:rPr>
          <w:color w:val="231F20"/>
        </w:rPr>
        <w:t>или</w:t>
      </w:r>
      <w:r>
        <w:rPr>
          <w:color w:val="231F20"/>
          <w:spacing w:val="-7"/>
        </w:rPr>
        <w:t> </w:t>
      </w:r>
      <w:r>
        <w:rPr>
          <w:color w:val="231F20"/>
        </w:rPr>
        <w:t>реконструкцији</w:t>
      </w:r>
      <w:r>
        <w:rPr>
          <w:color w:val="231F20"/>
          <w:spacing w:val="-8"/>
        </w:rPr>
        <w:t> </w:t>
      </w:r>
      <w:r>
        <w:rPr>
          <w:color w:val="231F20"/>
        </w:rPr>
        <w:t>саобраћајница</w:t>
      </w:r>
      <w:r>
        <w:rPr>
          <w:color w:val="231F20"/>
          <w:spacing w:val="-8"/>
        </w:rPr>
        <w:t> </w:t>
      </w:r>
      <w:r>
        <w:rPr>
          <w:color w:val="231F20"/>
        </w:rPr>
        <w:t>(извођачки појас) врши се у појасу непотпуне</w:t>
      </w:r>
      <w:r>
        <w:rPr>
          <w:color w:val="231F20"/>
          <w:spacing w:val="-7"/>
        </w:rPr>
        <w:t> </w:t>
      </w:r>
      <w:r>
        <w:rPr>
          <w:color w:val="231F20"/>
        </w:rPr>
        <w:t>експропријације.</w:t>
      </w:r>
    </w:p>
    <w:p>
      <w:pPr>
        <w:pStyle w:val="ListParagraph"/>
        <w:numPr>
          <w:ilvl w:val="1"/>
          <w:numId w:val="62"/>
        </w:numPr>
        <w:tabs>
          <w:tab w:pos="540" w:val="left" w:leader="none"/>
        </w:tabs>
        <w:spacing w:line="240" w:lineRule="auto" w:before="157" w:after="0"/>
        <w:ind w:left="539" w:right="0" w:hanging="315"/>
        <w:jc w:val="left"/>
        <w:rPr>
          <w:i/>
          <w:sz w:val="18"/>
        </w:rPr>
      </w:pPr>
      <w:r>
        <w:rPr>
          <w:i/>
          <w:color w:val="231F20"/>
          <w:sz w:val="18"/>
        </w:rPr>
        <w:t>Мере енергетске ефикасности и заштите животне</w:t>
      </w:r>
      <w:r>
        <w:rPr>
          <w:i/>
          <w:color w:val="231F20"/>
          <w:spacing w:val="-18"/>
          <w:sz w:val="18"/>
        </w:rPr>
        <w:t> </w:t>
      </w:r>
      <w:r>
        <w:rPr>
          <w:i/>
          <w:color w:val="231F20"/>
          <w:sz w:val="18"/>
        </w:rPr>
        <w:t>средине</w:t>
      </w:r>
    </w:p>
    <w:p>
      <w:pPr>
        <w:pStyle w:val="ListParagraph"/>
        <w:numPr>
          <w:ilvl w:val="2"/>
          <w:numId w:val="62"/>
        </w:numPr>
        <w:tabs>
          <w:tab w:pos="1838" w:val="left" w:leader="none"/>
        </w:tabs>
        <w:spacing w:line="240" w:lineRule="auto" w:before="167" w:after="0"/>
        <w:ind w:left="1837"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7"/>
        <w:ind w:left="0"/>
        <w:jc w:val="left"/>
        <w:rPr>
          <w:sz w:val="17"/>
        </w:rPr>
      </w:pPr>
    </w:p>
    <w:p>
      <w:pPr>
        <w:pStyle w:val="BodyText"/>
        <w:spacing w:line="237" w:lineRule="auto"/>
        <w:ind w:right="411" w:firstLine="396"/>
      </w:pPr>
      <w:r>
        <w:rPr>
          <w:color w:val="231F20"/>
        </w:rPr>
        <w:t>Законски захтеви у погледу заштите вода и земљишта од штетног утицаја термоенергетског комплекса остварују се и пра- вилним избором третмана отпадних вода на основу одговарајућих техно-економских анализа, што заједно са осталим предвиђеним мерама техничких и технолошких побољшања, доприноси ефика- сности и економској оправданости рада ревитализованих постро- јења до планираног коначног искључења из електроенергетског система.</w:t>
      </w:r>
    </w:p>
    <w:p>
      <w:pPr>
        <w:pStyle w:val="BodyText"/>
        <w:spacing w:line="235" w:lineRule="auto"/>
        <w:ind w:right="410" w:firstLine="397"/>
      </w:pPr>
      <w:r>
        <w:rPr>
          <w:color w:val="231F20"/>
        </w:rPr>
        <w:t>За предложена варијантна решења (I и II варијанта) уређаја за пречишћавање зауљених отпадних вода и зауљених атмосфер- ских вода</w:t>
      </w:r>
      <w:r>
        <w:rPr>
          <w:color w:val="231F20"/>
          <w:position w:val="6"/>
          <w:sz w:val="10"/>
        </w:rPr>
        <w:t>21</w:t>
      </w:r>
      <w:r>
        <w:rPr>
          <w:color w:val="231F20"/>
        </w:rPr>
        <w:t>, трошкови електричне енергије не постоје, јер уређаји немају инсталиране електропотрошаче.</w:t>
      </w:r>
    </w:p>
    <w:p>
      <w:pPr>
        <w:pStyle w:val="BodyText"/>
        <w:spacing w:line="237" w:lineRule="auto"/>
        <w:ind w:right="411" w:firstLine="397"/>
      </w:pPr>
      <w:r>
        <w:rPr>
          <w:color w:val="231F20"/>
        </w:rPr>
        <w:t>Током извођења грађевинских и других радова на успоста- вљању новог подсистема прикупљања, унутрашњег транспорта, смештаја у силосе и припреме за транспорт угушћене смеше, ка- снијег редовног рада и у непредвиђеним условима, утицај на око- лину је незнатан и неће проузроковати видне промене.</w:t>
      </w:r>
    </w:p>
    <w:p>
      <w:pPr>
        <w:pStyle w:val="BodyText"/>
        <w:spacing w:line="199" w:lineRule="exact"/>
        <w:ind w:left="567"/>
        <w:jc w:val="left"/>
      </w:pPr>
      <w:r>
        <w:rPr>
          <w:color w:val="231F20"/>
        </w:rPr>
        <w:t>Предности новог технолошког поступка отпепељавања су:</w:t>
      </w:r>
    </w:p>
    <w:p>
      <w:pPr>
        <w:pStyle w:val="BodyText"/>
        <w:spacing w:line="204" w:lineRule="exact"/>
        <w:ind w:left="567"/>
        <w:jc w:val="left"/>
      </w:pPr>
      <w:r>
        <w:rPr>
          <w:color w:val="231F20"/>
          <w:w w:val="66"/>
        </w:rPr>
        <w:t> </w:t>
      </w:r>
      <w:r>
        <w:rPr>
          <w:color w:val="231F20"/>
        </w:rPr>
        <w:t>– мања површина одлагања;</w:t>
      </w:r>
    </w:p>
    <w:p>
      <w:pPr>
        <w:pStyle w:val="BodyText"/>
        <w:spacing w:line="204" w:lineRule="exact"/>
        <w:ind w:left="567"/>
        <w:jc w:val="left"/>
      </w:pPr>
      <w:r>
        <w:rPr>
          <w:color w:val="231F20"/>
          <w:w w:val="66"/>
        </w:rPr>
        <w:t> </w:t>
      </w:r>
      <w:r>
        <w:rPr>
          <w:color w:val="231F20"/>
        </w:rPr>
        <w:t>– мања количина воде;</w:t>
      </w:r>
    </w:p>
    <w:p>
      <w:pPr>
        <w:pStyle w:val="BodyText"/>
        <w:spacing w:line="204" w:lineRule="exact"/>
        <w:ind w:left="567"/>
        <w:jc w:val="left"/>
      </w:pPr>
      <w:r>
        <w:rPr>
          <w:color w:val="231F20"/>
          <w:w w:val="66"/>
        </w:rPr>
        <w:t> </w:t>
      </w:r>
      <w:r>
        <w:rPr>
          <w:color w:val="231F20"/>
        </w:rPr>
        <w:t>– нема загађења површинских вода;</w:t>
      </w:r>
    </w:p>
    <w:p>
      <w:pPr>
        <w:pStyle w:val="BodyText"/>
        <w:spacing w:line="237" w:lineRule="auto"/>
        <w:ind w:right="411" w:firstLine="396"/>
      </w:pPr>
      <w:r>
        <w:rPr>
          <w:color w:val="231F20"/>
          <w:w w:val="66"/>
        </w:rPr>
        <w:t> </w:t>
      </w:r>
      <w:r>
        <w:rPr>
          <w:color w:val="231F20"/>
        </w:rPr>
        <w:t>– спречавање еолске ерозије, односно знатно смањење зага- ђења ваздуха; смањење загађења околног земљишта;</w:t>
      </w:r>
    </w:p>
    <w:p>
      <w:pPr>
        <w:pStyle w:val="BodyText"/>
        <w:spacing w:line="237" w:lineRule="auto"/>
        <w:ind w:right="411" w:firstLine="397"/>
      </w:pPr>
      <w:r>
        <w:rPr>
          <w:color w:val="231F20"/>
          <w:w w:val="66"/>
        </w:rPr>
        <w:t> </w:t>
      </w:r>
      <w:r>
        <w:rPr>
          <w:color w:val="231F20"/>
        </w:rPr>
        <w:t>– могуће издвајање сувог пепела, чиме се омогућује његово коришћење у индустријске сврхе;</w:t>
      </w:r>
    </w:p>
    <w:p>
      <w:pPr>
        <w:pStyle w:val="BodyText"/>
        <w:spacing w:line="237" w:lineRule="auto"/>
        <w:ind w:right="412" w:firstLine="397"/>
      </w:pPr>
      <w:r>
        <w:rPr>
          <w:color w:val="231F20"/>
          <w:w w:val="66"/>
        </w:rPr>
        <w:t> </w:t>
      </w:r>
      <w:r>
        <w:rPr>
          <w:color w:val="231F20"/>
        </w:rPr>
        <w:t>– рационална потрошња електричне енергије (20% мања не- го код технологије „пасте”);</w:t>
      </w:r>
    </w:p>
    <w:p>
      <w:pPr>
        <w:pStyle w:val="BodyText"/>
        <w:spacing w:line="202" w:lineRule="exact"/>
        <w:ind w:left="567"/>
        <w:jc w:val="left"/>
      </w:pPr>
      <w:r>
        <w:rPr>
          <w:color w:val="231F20"/>
          <w:w w:val="66"/>
        </w:rPr>
        <w:t> </w:t>
      </w:r>
      <w:r>
        <w:rPr>
          <w:color w:val="231F20"/>
        </w:rPr>
        <w:t>– цена опреме је нижа у односу на друге разматране варијанте;</w:t>
      </w:r>
    </w:p>
    <w:p>
      <w:pPr>
        <w:pStyle w:val="BodyText"/>
        <w:spacing w:line="237" w:lineRule="auto"/>
        <w:ind w:left="97" w:right="411" w:firstLine="396"/>
        <w:jc w:val="right"/>
      </w:pPr>
      <w:r>
        <w:rPr>
          <w:color w:val="231F20"/>
          <w:w w:val="66"/>
        </w:rPr>
        <w:t> </w:t>
      </w:r>
      <w:r>
        <w:rPr>
          <w:color w:val="231F20"/>
        </w:rPr>
        <w:t>– већа стабилност депоније због мање количине воде и друго. Област енергетске ефикасности у оквиру Индустријског при- станишта регулише се кроз активности и мере у оквиру енергет- ског менаџмента ПД ТЕ-КО Костолац и на основу процене потре- ба за одређеном врстом и обимом робно-транспортног промета и заступљености одређених канала промета и опслуживања. Еко- номску оправданост и ЕЕ доказати посебним анализама оправда- ности, полазећи од чињенице да речни транспорт троши 3,7 пута мање горива и поређењу са друмским саобраћајем. Посебни значај дати процени могућности прикључивања локације изворима соп-</w:t>
      </w:r>
    </w:p>
    <w:p>
      <w:pPr>
        <w:pStyle w:val="BodyText"/>
        <w:spacing w:line="196" w:lineRule="exact"/>
        <w:ind w:left="171"/>
        <w:jc w:val="left"/>
      </w:pPr>
      <w:r>
        <w:rPr>
          <w:color w:val="231F20"/>
        </w:rPr>
        <w:t>ствене потрошње термоелектране.</w:t>
      </w:r>
    </w:p>
    <w:p>
      <w:pPr>
        <w:pStyle w:val="ListParagraph"/>
        <w:numPr>
          <w:ilvl w:val="2"/>
          <w:numId w:val="62"/>
        </w:numPr>
        <w:tabs>
          <w:tab w:pos="1714" w:val="left" w:leader="none"/>
        </w:tabs>
        <w:spacing w:line="240" w:lineRule="auto" w:before="159" w:after="0"/>
        <w:ind w:left="1713" w:right="0" w:hanging="45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5"/>
          <w:sz w:val="18"/>
        </w:rPr>
        <w:t> </w:t>
      </w:r>
      <w:r>
        <w:rPr>
          <w:color w:val="231F20"/>
          <w:spacing w:val="15"/>
          <w:sz w:val="18"/>
        </w:rPr>
        <w:t>средине</w:t>
      </w:r>
    </w:p>
    <w:p>
      <w:pPr>
        <w:pStyle w:val="BodyText"/>
        <w:spacing w:before="7"/>
        <w:ind w:left="0"/>
        <w:jc w:val="left"/>
        <w:rPr>
          <w:sz w:val="17"/>
        </w:rPr>
      </w:pPr>
    </w:p>
    <w:p>
      <w:pPr>
        <w:pStyle w:val="BodyText"/>
        <w:spacing w:line="237" w:lineRule="auto"/>
        <w:ind w:left="171" w:right="410" w:firstLine="396"/>
      </w:pPr>
      <w:r>
        <w:rPr>
          <w:color w:val="231F20"/>
        </w:rPr>
        <w:t>На систему за унутрашњи транспорт пепела уградити вре- ћасте филтере са издувним вентилаторима који ће бити смештени на ћелијама сабирних силоса. Максимална концентрација честица у испуштеном ваздуху треба да буде 50 mg/m³. Уградити скрубер (мокро отпрашивање) са системом за распршавање воде. Отпра- шивање миксера у коме се припрема „густа” хидромешавина вр- шити прањем водом (спреј) у скруберу.</w:t>
      </w:r>
    </w:p>
    <w:p>
      <w:pPr>
        <w:pStyle w:val="BodyText"/>
        <w:spacing w:line="237" w:lineRule="auto"/>
        <w:ind w:left="171" w:right="410" w:firstLine="396"/>
      </w:pPr>
      <w:r>
        <w:rPr>
          <w:color w:val="231F20"/>
        </w:rPr>
        <w:t>Отпадну воду насталу пречишћавањем ваздуха из миксера за справљање „густе” хидромешавине, вратити поново у процес (ре- циркулација).</w:t>
      </w:r>
      <w:r>
        <w:rPr>
          <w:color w:val="231F20"/>
          <w:spacing w:val="-6"/>
        </w:rPr>
        <w:t> </w:t>
      </w:r>
      <w:r>
        <w:rPr>
          <w:color w:val="231F20"/>
        </w:rPr>
        <w:t>Воду</w:t>
      </w:r>
      <w:r>
        <w:rPr>
          <w:color w:val="231F20"/>
          <w:spacing w:val="-6"/>
        </w:rPr>
        <w:t> </w:t>
      </w:r>
      <w:r>
        <w:rPr>
          <w:color w:val="231F20"/>
          <w:spacing w:val="-3"/>
        </w:rPr>
        <w:t>од</w:t>
      </w:r>
      <w:r>
        <w:rPr>
          <w:color w:val="231F20"/>
          <w:spacing w:val="-6"/>
        </w:rPr>
        <w:t> </w:t>
      </w:r>
      <w:r>
        <w:rPr>
          <w:color w:val="231F20"/>
        </w:rPr>
        <w:t>дренирања</w:t>
      </w:r>
      <w:r>
        <w:rPr>
          <w:color w:val="231F20"/>
          <w:spacing w:val="-6"/>
        </w:rPr>
        <w:t> </w:t>
      </w:r>
      <w:r>
        <w:rPr>
          <w:color w:val="231F20"/>
        </w:rPr>
        <w:t>кондиционера</w:t>
      </w:r>
      <w:r>
        <w:rPr>
          <w:color w:val="231F20"/>
          <w:spacing w:val="-6"/>
        </w:rPr>
        <w:t> </w:t>
      </w:r>
      <w:r>
        <w:rPr>
          <w:color w:val="231F20"/>
        </w:rPr>
        <w:t>и</w:t>
      </w:r>
      <w:r>
        <w:rPr>
          <w:color w:val="231F20"/>
          <w:spacing w:val="-6"/>
        </w:rPr>
        <w:t> </w:t>
      </w:r>
      <w:r>
        <w:rPr>
          <w:color w:val="231F20"/>
        </w:rPr>
        <w:t>испирања</w:t>
      </w:r>
      <w:r>
        <w:rPr>
          <w:color w:val="231F20"/>
          <w:spacing w:val="-6"/>
        </w:rPr>
        <w:t> </w:t>
      </w:r>
      <w:r>
        <w:rPr>
          <w:color w:val="231F20"/>
        </w:rPr>
        <w:t>цево- вода треба прикупљати и поново вратити у</w:t>
      </w:r>
      <w:r>
        <w:rPr>
          <w:color w:val="231F20"/>
          <w:spacing w:val="-8"/>
        </w:rPr>
        <w:t> </w:t>
      </w:r>
      <w:r>
        <w:rPr>
          <w:color w:val="231F20"/>
        </w:rPr>
        <w:t>процес.</w:t>
      </w:r>
    </w:p>
    <w:p>
      <w:pPr>
        <w:spacing w:line="149"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5" w:val="left" w:leader="none"/>
        </w:tabs>
        <w:spacing w:line="240" w:lineRule="auto" w:before="0" w:after="0"/>
        <w:ind w:left="454" w:right="411" w:hanging="284"/>
        <w:jc w:val="both"/>
        <w:rPr>
          <w:sz w:val="14"/>
        </w:rPr>
      </w:pPr>
      <w:r>
        <w:rPr>
          <w:color w:val="231F20"/>
          <w:sz w:val="14"/>
        </w:rPr>
        <w:t>Претходна студија оправданости са генералним пројектом третмана отпадних вода</w:t>
      </w:r>
      <w:r>
        <w:rPr>
          <w:color w:val="231F20"/>
          <w:spacing w:val="-3"/>
          <w:sz w:val="14"/>
        </w:rPr>
        <w:t> </w:t>
      </w:r>
      <w:r>
        <w:rPr>
          <w:color w:val="231F20"/>
          <w:sz w:val="14"/>
        </w:rPr>
        <w:t>за</w:t>
      </w:r>
      <w:r>
        <w:rPr>
          <w:color w:val="231F20"/>
          <w:spacing w:val="-3"/>
          <w:sz w:val="14"/>
        </w:rPr>
        <w:t> </w:t>
      </w:r>
      <w:r>
        <w:rPr>
          <w:color w:val="231F20"/>
          <w:sz w:val="14"/>
        </w:rPr>
        <w:t>ТЕ</w:t>
      </w:r>
      <w:r>
        <w:rPr>
          <w:color w:val="231F20"/>
          <w:spacing w:val="-3"/>
          <w:sz w:val="14"/>
        </w:rPr>
        <w:t> </w:t>
      </w:r>
      <w:r>
        <w:rPr>
          <w:color w:val="231F20"/>
          <w:sz w:val="14"/>
        </w:rPr>
        <w:t>“Костолац</w:t>
      </w:r>
      <w:r>
        <w:rPr>
          <w:color w:val="231F20"/>
          <w:spacing w:val="-3"/>
          <w:sz w:val="14"/>
        </w:rPr>
        <w:t> </w:t>
      </w:r>
      <w:r>
        <w:rPr>
          <w:color w:val="231F20"/>
          <w:sz w:val="14"/>
        </w:rPr>
        <w:t>А</w:t>
      </w:r>
      <w:r>
        <w:rPr>
          <w:color w:val="231F20"/>
          <w:spacing w:val="-3"/>
          <w:sz w:val="14"/>
        </w:rPr>
        <w:t> </w:t>
      </w:r>
      <w:r>
        <w:rPr>
          <w:color w:val="231F20"/>
          <w:sz w:val="14"/>
        </w:rPr>
        <w:t>и</w:t>
      </w:r>
      <w:r>
        <w:rPr>
          <w:color w:val="231F20"/>
          <w:spacing w:val="-3"/>
          <w:sz w:val="14"/>
        </w:rPr>
        <w:t> </w:t>
      </w:r>
      <w:r>
        <w:rPr>
          <w:color w:val="231F20"/>
          <w:sz w:val="14"/>
        </w:rPr>
        <w:t>Б”,</w:t>
      </w:r>
      <w:r>
        <w:rPr>
          <w:color w:val="231F20"/>
          <w:spacing w:val="-3"/>
          <w:sz w:val="14"/>
        </w:rPr>
        <w:t> </w:t>
      </w:r>
      <w:r>
        <w:rPr>
          <w:color w:val="231F20"/>
          <w:sz w:val="14"/>
        </w:rPr>
        <w:t>ЦИП,</w:t>
      </w:r>
      <w:r>
        <w:rPr>
          <w:color w:val="231F20"/>
          <w:spacing w:val="-3"/>
          <w:sz w:val="14"/>
        </w:rPr>
        <w:t> </w:t>
      </w:r>
      <w:r>
        <w:rPr>
          <w:color w:val="231F20"/>
          <w:sz w:val="14"/>
        </w:rPr>
        <w:t>Технолошко-металуршки</w:t>
      </w:r>
      <w:r>
        <w:rPr>
          <w:color w:val="231F20"/>
          <w:spacing w:val="-3"/>
          <w:sz w:val="14"/>
        </w:rPr>
        <w:t> </w:t>
      </w:r>
      <w:r>
        <w:rPr>
          <w:color w:val="231F20"/>
          <w:sz w:val="14"/>
        </w:rPr>
        <w:t>и</w:t>
      </w:r>
      <w:r>
        <w:rPr>
          <w:color w:val="231F20"/>
          <w:spacing w:val="-3"/>
          <w:sz w:val="14"/>
        </w:rPr>
        <w:t> </w:t>
      </w:r>
      <w:r>
        <w:rPr>
          <w:color w:val="231F20"/>
          <w:sz w:val="14"/>
        </w:rPr>
        <w:t>Грађевински</w:t>
      </w:r>
      <w:r>
        <w:rPr>
          <w:color w:val="231F20"/>
          <w:spacing w:val="-3"/>
          <w:sz w:val="14"/>
        </w:rPr>
        <w:t> </w:t>
      </w:r>
      <w:r>
        <w:rPr>
          <w:color w:val="231F20"/>
          <w:sz w:val="14"/>
        </w:rPr>
        <w:t>фа- култет УБ, 2009.</w:t>
      </w:r>
      <w:r>
        <w:rPr>
          <w:color w:val="231F20"/>
          <w:spacing w:val="-1"/>
          <w:sz w:val="14"/>
        </w:rPr>
        <w:t> </w:t>
      </w:r>
      <w:r>
        <w:rPr>
          <w:color w:val="231F20"/>
          <w:sz w:val="14"/>
        </w:rPr>
        <w:t>године</w:t>
      </w:r>
    </w:p>
    <w:p>
      <w:pPr>
        <w:spacing w:after="0" w:line="240" w:lineRule="auto"/>
        <w:jc w:val="both"/>
        <w:rPr>
          <w:sz w:val="14"/>
        </w:rPr>
        <w:sectPr>
          <w:pgSz w:w="12480" w:h="15690"/>
          <w:pgMar w:top="120" w:bottom="280" w:left="680" w:right="720"/>
          <w:cols w:num="2" w:equalWidth="0">
            <w:col w:w="5315" w:space="71"/>
            <w:col w:w="5694"/>
          </w:cols>
        </w:sectPr>
      </w:pPr>
    </w:p>
    <w:p>
      <w:pPr>
        <w:pStyle w:val="BodyText"/>
        <w:spacing w:line="232" w:lineRule="auto" w:before="73"/>
        <w:ind w:left="453" w:right="1" w:firstLine="397"/>
      </w:pPr>
      <w:r>
        <w:rPr/>
        <w:pict>
          <v:line style="position:absolute;mso-position-horizontal-relative:page;mso-position-vertical-relative:page;z-index:4192" from="318.897614pt,11.942451pt" to="318.897614pt,748.950451pt" stroked="true" strokeweight=".6pt" strokecolor="#231f20">
            <v:stroke dashstyle="solid"/>
            <w10:wrap type="none"/>
          </v:line>
        </w:pict>
      </w:r>
      <w:r>
        <w:rPr>
          <w:color w:val="231F20"/>
        </w:rPr>
        <w:t>На </w:t>
      </w:r>
      <w:r>
        <w:rPr>
          <w:color w:val="231F20"/>
          <w:spacing w:val="-4"/>
        </w:rPr>
        <w:t>врећастом електрофилтеру </w:t>
      </w:r>
      <w:r>
        <w:rPr>
          <w:color w:val="231F20"/>
        </w:rPr>
        <w:t>за </w:t>
      </w:r>
      <w:r>
        <w:rPr>
          <w:color w:val="231F20"/>
          <w:spacing w:val="-4"/>
        </w:rPr>
        <w:t>пречишћавање ваздуха </w:t>
      </w:r>
      <w:r>
        <w:rPr>
          <w:color w:val="231F20"/>
          <w:spacing w:val="-5"/>
        </w:rPr>
        <w:t>који </w:t>
      </w:r>
      <w:r>
        <w:rPr>
          <w:color w:val="231F20"/>
        </w:rPr>
        <w:t>се </w:t>
      </w:r>
      <w:r>
        <w:rPr>
          <w:color w:val="231F20"/>
          <w:spacing w:val="-4"/>
        </w:rPr>
        <w:t>користи</w:t>
      </w:r>
      <w:r>
        <w:rPr>
          <w:color w:val="231F20"/>
          <w:spacing w:val="-10"/>
        </w:rPr>
        <w:t> </w:t>
      </w:r>
      <w:r>
        <w:rPr>
          <w:color w:val="231F20"/>
        </w:rPr>
        <w:t>за</w:t>
      </w:r>
      <w:r>
        <w:rPr>
          <w:color w:val="231F20"/>
          <w:spacing w:val="-10"/>
        </w:rPr>
        <w:t> </w:t>
      </w:r>
      <w:r>
        <w:rPr>
          <w:color w:val="231F20"/>
          <w:spacing w:val="-4"/>
        </w:rPr>
        <w:t>пнеуматски</w:t>
      </w:r>
      <w:r>
        <w:rPr>
          <w:color w:val="231F20"/>
          <w:spacing w:val="-10"/>
        </w:rPr>
        <w:t> </w:t>
      </w:r>
      <w:r>
        <w:rPr>
          <w:color w:val="231F20"/>
          <w:spacing w:val="-3"/>
        </w:rPr>
        <w:t>транспорт</w:t>
      </w:r>
      <w:r>
        <w:rPr>
          <w:color w:val="231F20"/>
          <w:spacing w:val="-10"/>
        </w:rPr>
        <w:t> </w:t>
      </w:r>
      <w:r>
        <w:rPr>
          <w:color w:val="231F20"/>
          <w:spacing w:val="-3"/>
        </w:rPr>
        <w:t>пепела</w:t>
      </w:r>
      <w:r>
        <w:rPr>
          <w:color w:val="231F20"/>
          <w:spacing w:val="-10"/>
        </w:rPr>
        <w:t> </w:t>
      </w:r>
      <w:r>
        <w:rPr>
          <w:color w:val="231F20"/>
        </w:rPr>
        <w:t>и</w:t>
      </w:r>
      <w:r>
        <w:rPr>
          <w:color w:val="231F20"/>
          <w:spacing w:val="-10"/>
        </w:rPr>
        <w:t> </w:t>
      </w:r>
      <w:r>
        <w:rPr>
          <w:color w:val="231F20"/>
          <w:spacing w:val="-4"/>
        </w:rPr>
        <w:t>издувној</w:t>
      </w:r>
      <w:r>
        <w:rPr>
          <w:color w:val="231F20"/>
          <w:spacing w:val="-10"/>
        </w:rPr>
        <w:t> </w:t>
      </w:r>
      <w:r>
        <w:rPr>
          <w:color w:val="231F20"/>
          <w:spacing w:val="-3"/>
        </w:rPr>
        <w:t>цеви</w:t>
      </w:r>
      <w:r>
        <w:rPr>
          <w:color w:val="231F20"/>
          <w:spacing w:val="-10"/>
        </w:rPr>
        <w:t> </w:t>
      </w:r>
      <w:r>
        <w:rPr>
          <w:color w:val="231F20"/>
        </w:rPr>
        <w:t>иза</w:t>
      </w:r>
      <w:r>
        <w:rPr>
          <w:color w:val="231F20"/>
          <w:spacing w:val="-10"/>
        </w:rPr>
        <w:t> </w:t>
      </w:r>
      <w:r>
        <w:rPr>
          <w:color w:val="231F20"/>
          <w:spacing w:val="-4"/>
        </w:rPr>
        <w:t>воденог отпрашивача (скрубера) </w:t>
      </w:r>
      <w:r>
        <w:rPr>
          <w:color w:val="231F20"/>
          <w:spacing w:val="-3"/>
        </w:rPr>
        <w:t>уградити </w:t>
      </w:r>
      <w:r>
        <w:rPr>
          <w:color w:val="231F20"/>
          <w:spacing w:val="-4"/>
        </w:rPr>
        <w:t>континуални мерач концентрације </w:t>
      </w:r>
      <w:r>
        <w:rPr>
          <w:color w:val="231F20"/>
          <w:spacing w:val="-3"/>
        </w:rPr>
        <w:t>честица </w:t>
      </w:r>
      <w:r>
        <w:rPr>
          <w:color w:val="231F20"/>
        </w:rPr>
        <w:t>у </w:t>
      </w:r>
      <w:r>
        <w:rPr>
          <w:color w:val="231F20"/>
          <w:spacing w:val="-3"/>
        </w:rPr>
        <w:t>излазној струји </w:t>
      </w:r>
      <w:r>
        <w:rPr>
          <w:color w:val="231F20"/>
          <w:spacing w:val="-4"/>
        </w:rPr>
        <w:t>ваздуха. Контролу </w:t>
      </w:r>
      <w:r>
        <w:rPr>
          <w:color w:val="231F20"/>
          <w:spacing w:val="-3"/>
        </w:rPr>
        <w:t>тачности рада овог </w:t>
      </w:r>
      <w:r>
        <w:rPr>
          <w:color w:val="231F20"/>
        </w:rPr>
        <w:t>ме- </w:t>
      </w:r>
      <w:r>
        <w:rPr>
          <w:color w:val="231F20"/>
          <w:spacing w:val="-4"/>
        </w:rPr>
        <w:t>рача </w:t>
      </w:r>
      <w:r>
        <w:rPr>
          <w:color w:val="231F20"/>
        </w:rPr>
        <w:t>треба да </w:t>
      </w:r>
      <w:r>
        <w:rPr>
          <w:color w:val="231F20"/>
          <w:spacing w:val="-3"/>
        </w:rPr>
        <w:t>врши овлашћена институција, једанпут</w:t>
      </w:r>
      <w:r>
        <w:rPr>
          <w:color w:val="231F20"/>
          <w:spacing w:val="-33"/>
        </w:rPr>
        <w:t> </w:t>
      </w:r>
      <w:r>
        <w:rPr>
          <w:color w:val="231F20"/>
          <w:spacing w:val="-4"/>
        </w:rPr>
        <w:t>годишње.</w:t>
      </w:r>
    </w:p>
    <w:p>
      <w:pPr>
        <w:pStyle w:val="BodyText"/>
        <w:spacing w:line="225" w:lineRule="auto"/>
        <w:ind w:left="453" w:right="1" w:firstLine="396"/>
      </w:pPr>
      <w:r>
        <w:rPr>
          <w:color w:val="231F20"/>
        </w:rPr>
        <w:t>Пратити квалитет дренажне воде која се враћа у процес при- преме хидромешавине.</w:t>
      </w:r>
    </w:p>
    <w:p>
      <w:pPr>
        <w:pStyle w:val="BodyText"/>
        <w:spacing w:line="191" w:lineRule="exact"/>
        <w:ind w:left="850"/>
        <w:jc w:val="left"/>
      </w:pPr>
      <w:r>
        <w:rPr>
          <w:color w:val="231F20"/>
        </w:rPr>
        <w:t>Као посебне мере заштите животне средине спровешће се:</w:t>
      </w:r>
    </w:p>
    <w:p>
      <w:pPr>
        <w:pStyle w:val="ListParagraph"/>
        <w:numPr>
          <w:ilvl w:val="0"/>
          <w:numId w:val="63"/>
        </w:numPr>
        <w:tabs>
          <w:tab w:pos="1043" w:val="left" w:leader="none"/>
        </w:tabs>
        <w:spacing w:line="225" w:lineRule="auto" w:before="1" w:after="0"/>
        <w:ind w:left="453" w:right="0" w:firstLine="397"/>
        <w:jc w:val="both"/>
        <w:rPr>
          <w:sz w:val="18"/>
        </w:rPr>
      </w:pPr>
      <w:r>
        <w:rPr>
          <w:color w:val="231F20"/>
          <w:sz w:val="18"/>
        </w:rPr>
        <w:t>спровођење техничких мера, односно, изградња построје- ња за пречишћавање зауљених отпадних вода до </w:t>
      </w:r>
      <w:r>
        <w:rPr>
          <w:color w:val="231F20"/>
          <w:spacing w:val="-3"/>
          <w:sz w:val="18"/>
        </w:rPr>
        <w:t>законом </w:t>
      </w:r>
      <w:r>
        <w:rPr>
          <w:color w:val="231F20"/>
          <w:sz w:val="18"/>
        </w:rPr>
        <w:t>захтева- не</w:t>
      </w:r>
      <w:r>
        <w:rPr>
          <w:color w:val="231F20"/>
          <w:spacing w:val="-2"/>
          <w:sz w:val="18"/>
        </w:rPr>
        <w:t> </w:t>
      </w:r>
      <w:r>
        <w:rPr>
          <w:color w:val="231F20"/>
          <w:sz w:val="18"/>
        </w:rPr>
        <w:t>концентрације;</w:t>
      </w:r>
    </w:p>
    <w:p>
      <w:pPr>
        <w:pStyle w:val="ListParagraph"/>
        <w:numPr>
          <w:ilvl w:val="0"/>
          <w:numId w:val="63"/>
        </w:numPr>
        <w:tabs>
          <w:tab w:pos="1044" w:val="left" w:leader="none"/>
        </w:tabs>
        <w:spacing w:line="225" w:lineRule="auto" w:before="0" w:after="0"/>
        <w:ind w:left="454" w:right="0" w:firstLine="396"/>
        <w:jc w:val="both"/>
        <w:rPr>
          <w:sz w:val="18"/>
        </w:rPr>
      </w:pPr>
      <w:r>
        <w:rPr>
          <w:color w:val="231F20"/>
          <w:sz w:val="18"/>
        </w:rPr>
        <w:t>са отпадним уљем насталим у процесу пречишћавања от- падних вода поступати у складу са одредбама Закона о поступа- њу са отпадним материјама („Службени гласник РС”, број 54/92), Правилника о поступању са отпацима </w:t>
      </w:r>
      <w:r>
        <w:rPr>
          <w:color w:val="231F20"/>
          <w:spacing w:val="-3"/>
          <w:sz w:val="18"/>
        </w:rPr>
        <w:t>који </w:t>
      </w:r>
      <w:r>
        <w:rPr>
          <w:color w:val="231F20"/>
          <w:sz w:val="18"/>
        </w:rPr>
        <w:t>имају својство</w:t>
      </w:r>
      <w:r>
        <w:rPr>
          <w:color w:val="231F20"/>
          <w:spacing w:val="-31"/>
          <w:sz w:val="18"/>
        </w:rPr>
        <w:t> </w:t>
      </w:r>
      <w:r>
        <w:rPr>
          <w:color w:val="231F20"/>
          <w:sz w:val="18"/>
        </w:rPr>
        <w:t>опасних материја („Службени гласник РС”, број 12/95) и </w:t>
      </w:r>
      <w:r>
        <w:rPr>
          <w:color w:val="231F20"/>
          <w:spacing w:val="-4"/>
          <w:sz w:val="18"/>
        </w:rPr>
        <w:t>Уредбе </w:t>
      </w:r>
      <w:r>
        <w:rPr>
          <w:color w:val="231F20"/>
          <w:sz w:val="18"/>
        </w:rPr>
        <w:t>о упра- вљању отпадним уљима („Службени гласник РС”, број</w:t>
      </w:r>
      <w:r>
        <w:rPr>
          <w:color w:val="231F20"/>
          <w:spacing w:val="-19"/>
          <w:sz w:val="18"/>
        </w:rPr>
        <w:t> </w:t>
      </w:r>
      <w:r>
        <w:rPr>
          <w:color w:val="231F20"/>
          <w:sz w:val="18"/>
        </w:rPr>
        <w:t>60/08);</w:t>
      </w:r>
    </w:p>
    <w:p>
      <w:pPr>
        <w:pStyle w:val="ListParagraph"/>
        <w:numPr>
          <w:ilvl w:val="0"/>
          <w:numId w:val="63"/>
        </w:numPr>
        <w:tabs>
          <w:tab w:pos="1048" w:val="left" w:leader="none"/>
        </w:tabs>
        <w:spacing w:line="225" w:lineRule="auto" w:before="1" w:after="0"/>
        <w:ind w:left="454" w:right="0" w:firstLine="397"/>
        <w:jc w:val="both"/>
        <w:rPr>
          <w:sz w:val="18"/>
        </w:rPr>
      </w:pPr>
      <w:r>
        <w:rPr>
          <w:color w:val="231F20"/>
          <w:sz w:val="18"/>
        </w:rPr>
        <w:t>предузимање мера спречавања и отклањања постојећих и потенцијалних узрока загађивања и деградације површинских и подземних</w:t>
      </w:r>
      <w:r>
        <w:rPr>
          <w:color w:val="231F20"/>
          <w:spacing w:val="-2"/>
          <w:sz w:val="18"/>
        </w:rPr>
        <w:t> </w:t>
      </w:r>
      <w:r>
        <w:rPr>
          <w:color w:val="231F20"/>
          <w:sz w:val="18"/>
        </w:rPr>
        <w:t>вода;</w:t>
      </w:r>
    </w:p>
    <w:p>
      <w:pPr>
        <w:pStyle w:val="ListParagraph"/>
        <w:numPr>
          <w:ilvl w:val="0"/>
          <w:numId w:val="63"/>
        </w:numPr>
        <w:tabs>
          <w:tab w:pos="1045" w:val="left" w:leader="none"/>
        </w:tabs>
        <w:spacing w:line="225" w:lineRule="auto" w:before="0" w:after="0"/>
        <w:ind w:left="454" w:right="0" w:firstLine="397"/>
        <w:jc w:val="both"/>
        <w:rPr>
          <w:sz w:val="18"/>
        </w:rPr>
      </w:pPr>
      <w:r>
        <w:rPr>
          <w:color w:val="231F20"/>
          <w:sz w:val="18"/>
        </w:rPr>
        <w:t>увођење нове технологије сакупљања, транспорта и одла- гања пепела и шљаке, </w:t>
      </w:r>
      <w:r>
        <w:rPr>
          <w:color w:val="231F20"/>
          <w:spacing w:val="-4"/>
          <w:sz w:val="18"/>
        </w:rPr>
        <w:t>где  </w:t>
      </w:r>
      <w:r>
        <w:rPr>
          <w:color w:val="231F20"/>
          <w:sz w:val="18"/>
        </w:rPr>
        <w:t>неће бити преливних вода са депони-  је пепела, а дренажне воде са депоније враћати у термоелектрану, односно,. вршиће се њихова рециркулација</w:t>
      </w:r>
      <w:r>
        <w:rPr>
          <w:color w:val="231F20"/>
          <w:spacing w:val="-4"/>
          <w:sz w:val="18"/>
        </w:rPr>
        <w:t> </w:t>
      </w:r>
      <w:r>
        <w:rPr>
          <w:color w:val="231F20"/>
          <w:sz w:val="18"/>
        </w:rPr>
        <w:t>и</w:t>
      </w:r>
    </w:p>
    <w:p>
      <w:pPr>
        <w:pStyle w:val="ListParagraph"/>
        <w:numPr>
          <w:ilvl w:val="0"/>
          <w:numId w:val="63"/>
        </w:numPr>
        <w:tabs>
          <w:tab w:pos="1045" w:val="left" w:leader="none"/>
        </w:tabs>
        <w:spacing w:line="225" w:lineRule="auto" w:before="0" w:after="0"/>
        <w:ind w:left="454" w:right="0" w:firstLine="397"/>
        <w:jc w:val="both"/>
        <w:rPr>
          <w:sz w:val="18"/>
        </w:rPr>
      </w:pPr>
      <w:r>
        <w:rPr>
          <w:color w:val="231F20"/>
          <w:sz w:val="18"/>
        </w:rPr>
        <w:t>доследно спроводити мониторинг квалитета отпадних во- да,</w:t>
      </w:r>
      <w:r>
        <w:rPr>
          <w:color w:val="231F20"/>
          <w:spacing w:val="-8"/>
          <w:sz w:val="18"/>
        </w:rPr>
        <w:t> </w:t>
      </w:r>
      <w:r>
        <w:rPr>
          <w:color w:val="231F20"/>
          <w:sz w:val="18"/>
        </w:rPr>
        <w:t>пречишћених</w:t>
      </w:r>
      <w:r>
        <w:rPr>
          <w:color w:val="231F20"/>
          <w:spacing w:val="-8"/>
          <w:sz w:val="18"/>
        </w:rPr>
        <w:t> </w:t>
      </w:r>
      <w:r>
        <w:rPr>
          <w:color w:val="231F20"/>
          <w:sz w:val="18"/>
        </w:rPr>
        <w:t>отпадних</w:t>
      </w:r>
      <w:r>
        <w:rPr>
          <w:color w:val="231F20"/>
          <w:spacing w:val="-8"/>
          <w:sz w:val="18"/>
        </w:rPr>
        <w:t> </w:t>
      </w:r>
      <w:r>
        <w:rPr>
          <w:color w:val="231F20"/>
          <w:sz w:val="18"/>
        </w:rPr>
        <w:t>вода,</w:t>
      </w:r>
      <w:r>
        <w:rPr>
          <w:color w:val="231F20"/>
          <w:spacing w:val="-8"/>
          <w:sz w:val="18"/>
        </w:rPr>
        <w:t> </w:t>
      </w:r>
      <w:r>
        <w:rPr>
          <w:color w:val="231F20"/>
          <w:sz w:val="18"/>
        </w:rPr>
        <w:t>површинских</w:t>
      </w:r>
      <w:r>
        <w:rPr>
          <w:color w:val="231F20"/>
          <w:spacing w:val="-8"/>
          <w:sz w:val="18"/>
        </w:rPr>
        <w:t> </w:t>
      </w:r>
      <w:r>
        <w:rPr>
          <w:color w:val="231F20"/>
          <w:sz w:val="18"/>
        </w:rPr>
        <w:t>и</w:t>
      </w:r>
      <w:r>
        <w:rPr>
          <w:color w:val="231F20"/>
          <w:spacing w:val="-8"/>
          <w:sz w:val="18"/>
        </w:rPr>
        <w:t> </w:t>
      </w:r>
      <w:r>
        <w:rPr>
          <w:color w:val="231F20"/>
          <w:sz w:val="18"/>
        </w:rPr>
        <w:t>подземних</w:t>
      </w:r>
      <w:r>
        <w:rPr>
          <w:color w:val="231F20"/>
          <w:spacing w:val="-8"/>
          <w:sz w:val="18"/>
        </w:rPr>
        <w:t> </w:t>
      </w:r>
      <w:r>
        <w:rPr>
          <w:color w:val="231F20"/>
          <w:sz w:val="18"/>
        </w:rPr>
        <w:t>вода</w:t>
      </w:r>
      <w:r>
        <w:rPr>
          <w:color w:val="231F20"/>
          <w:spacing w:val="-8"/>
          <w:sz w:val="18"/>
        </w:rPr>
        <w:t> </w:t>
      </w:r>
      <w:r>
        <w:rPr>
          <w:color w:val="231F20"/>
          <w:sz w:val="18"/>
        </w:rPr>
        <w:t>у зони утицаја ТЕ „Костолац</w:t>
      </w:r>
      <w:r>
        <w:rPr>
          <w:color w:val="231F20"/>
          <w:spacing w:val="-4"/>
          <w:sz w:val="18"/>
        </w:rPr>
        <w:t> </w:t>
      </w:r>
      <w:r>
        <w:rPr>
          <w:color w:val="231F20"/>
          <w:sz w:val="18"/>
        </w:rPr>
        <w:t>А”.</w:t>
      </w:r>
    </w:p>
    <w:p>
      <w:pPr>
        <w:pStyle w:val="BodyText"/>
        <w:spacing w:line="225" w:lineRule="auto"/>
        <w:ind w:left="454" w:right="1" w:firstLine="396"/>
      </w:pPr>
      <w:r>
        <w:rPr>
          <w:color w:val="231F20"/>
        </w:rPr>
        <w:t>Вршити контролу температуре и квалитета воде Дунава уз- водно и низводно од термоелектране. У близини термоелектране вршити мерења имисије честица прашине, SO</w:t>
      </w:r>
      <w:r>
        <w:rPr>
          <w:color w:val="231F20"/>
          <w:position w:val="-5"/>
          <w:sz w:val="10"/>
        </w:rPr>
        <w:t>2 </w:t>
      </w:r>
      <w:r>
        <w:rPr>
          <w:color w:val="231F20"/>
        </w:rPr>
        <w:t>и NOx.</w:t>
      </w:r>
    </w:p>
    <w:p>
      <w:pPr>
        <w:pStyle w:val="BodyText"/>
        <w:spacing w:line="147" w:lineRule="exact"/>
        <w:ind w:left="850"/>
        <w:jc w:val="left"/>
      </w:pPr>
      <w:r>
        <w:rPr>
          <w:color w:val="231F20"/>
        </w:rPr>
        <w:t>Предложене мере за успостављање контролног мониторин-</w:t>
      </w:r>
    </w:p>
    <w:p>
      <w:pPr>
        <w:pStyle w:val="BodyText"/>
        <w:spacing w:line="225" w:lineRule="auto" w:before="4"/>
        <w:ind w:left="453" w:right="1"/>
      </w:pPr>
      <w:r>
        <w:rPr>
          <w:color w:val="231F20"/>
        </w:rPr>
        <w:t>га вода у зони утицаја ТЕ „Костолац А”, у квалитативном и кван- титативном смислу, у правцу су додатне заштите водоизворишта</w:t>
      </w:r>
    </w:p>
    <w:p>
      <w:pPr>
        <w:pStyle w:val="BodyText"/>
        <w:spacing w:line="225" w:lineRule="auto"/>
        <w:ind w:left="453" w:right="1"/>
      </w:pPr>
      <w:r>
        <w:rPr>
          <w:color w:val="231F20"/>
        </w:rPr>
        <w:t>„Ловац”.</w:t>
      </w:r>
      <w:r>
        <w:rPr>
          <w:color w:val="231F20"/>
          <w:spacing w:val="-7"/>
        </w:rPr>
        <w:t> </w:t>
      </w:r>
      <w:r>
        <w:rPr>
          <w:color w:val="231F20"/>
        </w:rPr>
        <w:t>При</w:t>
      </w:r>
      <w:r>
        <w:rPr>
          <w:color w:val="231F20"/>
          <w:spacing w:val="-7"/>
        </w:rPr>
        <w:t> </w:t>
      </w:r>
      <w:r>
        <w:rPr>
          <w:color w:val="231F20"/>
        </w:rPr>
        <w:t>томе</w:t>
      </w:r>
      <w:r>
        <w:rPr>
          <w:color w:val="231F20"/>
          <w:spacing w:val="-7"/>
        </w:rPr>
        <w:t> </w:t>
      </w:r>
      <w:r>
        <w:rPr>
          <w:color w:val="231F20"/>
        </w:rPr>
        <w:t>треба</w:t>
      </w:r>
      <w:r>
        <w:rPr>
          <w:color w:val="231F20"/>
          <w:spacing w:val="-7"/>
        </w:rPr>
        <w:t> </w:t>
      </w:r>
      <w:r>
        <w:rPr>
          <w:color w:val="231F20"/>
        </w:rPr>
        <w:t>имати</w:t>
      </w:r>
      <w:r>
        <w:rPr>
          <w:color w:val="231F20"/>
          <w:spacing w:val="-7"/>
        </w:rPr>
        <w:t> </w:t>
      </w:r>
      <w:r>
        <w:rPr>
          <w:color w:val="231F20"/>
        </w:rPr>
        <w:t>у</w:t>
      </w:r>
      <w:r>
        <w:rPr>
          <w:color w:val="231F20"/>
          <w:spacing w:val="-7"/>
        </w:rPr>
        <w:t> </w:t>
      </w:r>
      <w:r>
        <w:rPr>
          <w:color w:val="231F20"/>
        </w:rPr>
        <w:t>виду</w:t>
      </w:r>
      <w:r>
        <w:rPr>
          <w:color w:val="231F20"/>
          <w:spacing w:val="-7"/>
        </w:rPr>
        <w:t> </w:t>
      </w:r>
      <w:r>
        <w:rPr>
          <w:color w:val="231F20"/>
        </w:rPr>
        <w:t>да</w:t>
      </w:r>
      <w:r>
        <w:rPr>
          <w:color w:val="231F20"/>
          <w:spacing w:val="-7"/>
        </w:rPr>
        <w:t> </w:t>
      </w:r>
      <w:r>
        <w:rPr>
          <w:color w:val="231F20"/>
        </w:rPr>
        <w:t>је</w:t>
      </w:r>
      <w:r>
        <w:rPr>
          <w:color w:val="231F20"/>
          <w:spacing w:val="-7"/>
        </w:rPr>
        <w:t> </w:t>
      </w:r>
      <w:r>
        <w:rPr>
          <w:color w:val="231F20"/>
        </w:rPr>
        <w:t>Генералним</w:t>
      </w:r>
      <w:r>
        <w:rPr>
          <w:color w:val="231F20"/>
          <w:spacing w:val="-7"/>
        </w:rPr>
        <w:t> </w:t>
      </w:r>
      <w:r>
        <w:rPr>
          <w:color w:val="231F20"/>
        </w:rPr>
        <w:t>развојним планом водоснабдевања општине Пожаревац („Службени</w:t>
      </w:r>
      <w:r>
        <w:rPr>
          <w:color w:val="231F20"/>
          <w:spacing w:val="-21"/>
        </w:rPr>
        <w:t> </w:t>
      </w:r>
      <w:r>
        <w:rPr>
          <w:color w:val="231F20"/>
        </w:rPr>
        <w:t>гласник општине Пожаревац”, број 1/08), утврђена подобност локације</w:t>
      </w:r>
      <w:r>
        <w:rPr>
          <w:color w:val="231F20"/>
          <w:spacing w:val="-26"/>
        </w:rPr>
        <w:t> </w:t>
      </w:r>
      <w:r>
        <w:rPr>
          <w:color w:val="231F20"/>
        </w:rPr>
        <w:t>из- воришта „Ловац” као изворишта за снабдевање </w:t>
      </w:r>
      <w:r>
        <w:rPr>
          <w:color w:val="231F20"/>
          <w:spacing w:val="-3"/>
        </w:rPr>
        <w:t>водом </w:t>
      </w:r>
      <w:r>
        <w:rPr>
          <w:color w:val="231F20"/>
        </w:rPr>
        <w:t>за пиће и  за санитарно-хигијенске потребе у периоду до 2030. </w:t>
      </w:r>
      <w:r>
        <w:rPr>
          <w:color w:val="231F20"/>
          <w:spacing w:val="-3"/>
        </w:rPr>
        <w:t>године </w:t>
      </w:r>
      <w:r>
        <w:rPr>
          <w:color w:val="231F20"/>
        </w:rPr>
        <w:t>и уз услов смањења обима експлоатације на мање </w:t>
      </w:r>
      <w:r>
        <w:rPr>
          <w:color w:val="231F20"/>
          <w:spacing w:val="-3"/>
        </w:rPr>
        <w:t>од </w:t>
      </w:r>
      <w:r>
        <w:rPr>
          <w:color w:val="231F20"/>
        </w:rPr>
        <w:t>50</w:t>
      </w:r>
      <w:r>
        <w:rPr>
          <w:color w:val="231F20"/>
          <w:spacing w:val="-7"/>
        </w:rPr>
        <w:t> </w:t>
      </w:r>
      <w:r>
        <w:rPr>
          <w:color w:val="231F20"/>
        </w:rPr>
        <w:t>l/s.</w:t>
      </w:r>
    </w:p>
    <w:p>
      <w:pPr>
        <w:pStyle w:val="BodyText"/>
        <w:spacing w:line="225" w:lineRule="auto"/>
        <w:ind w:left="453" w:right="1" w:firstLine="397"/>
      </w:pPr>
      <w:r>
        <w:rPr>
          <w:color w:val="231F20"/>
        </w:rPr>
        <w:t>С обзиром на то да су према генералном пројекту водоснаб- девања (ИВ „Јарослав Черни”, Београд, 2007.), који је саставни део Генералног развојног плана водоснабдевања општине Пожа- ревац, утврђени правци прихрањивања аквифера, и да је подзем- на вода у делу изворишта (бунар BB-2) са повишеним садржајем нитрата (око 30 – 35 mg NO3/l), потребно је израдити Елаборат о зонама санитарне заштите изворишта ради дефинисања површи- на и просторног пружања евентуалних зона санитарне заштите. Елаборат израдити према критеријумима датим у актуелном пра- вилнику и то: хидролошким, хидрогеолошким, хидродинамичким топографским, морфолошким и другим својствима земљишта и сливног подручја, врстом изворишта и његовог окружења, капа- цитетом изворишта и другим чиниоцима који утичу на издашност изворишта, пре свега у односу на брзину тока воде и хидрогеоло- шке параметре повлатне, водоносне и подинске средине.</w:t>
      </w:r>
    </w:p>
    <w:p>
      <w:pPr>
        <w:pStyle w:val="BodyText"/>
        <w:spacing w:line="225" w:lineRule="auto"/>
        <w:ind w:left="453" w:right="1" w:firstLine="396"/>
      </w:pPr>
      <w:r>
        <w:rPr>
          <w:color w:val="231F20"/>
        </w:rPr>
        <w:t>Захтев за одређивање зона санитарне заштите подноси орган јединице локалне самоуправе на чијој се територији налази изво- риште за које су елаборатом предвиђене зоне санитарне заштите. Уколико министри надлежни за послове здравља и за послове за- штите животне средине утврде предложене санитарне зоне као заштићену област и одреде начин одржавања и коришћења зона, зоне санитарне заштите унети у план управљања водама и у урба- нистичке планове (План генералне регулације).</w:t>
      </w:r>
    </w:p>
    <w:p>
      <w:pPr>
        <w:pStyle w:val="BodyText"/>
        <w:spacing w:line="225" w:lineRule="auto"/>
        <w:ind w:left="453" w:right="1" w:firstLine="396"/>
      </w:pPr>
      <w:r>
        <w:rPr>
          <w:color w:val="231F20"/>
        </w:rPr>
        <w:t>Услови заштите животне средине за локацију Индустријског пристаништа обухватају одређене забране при извођењу хидро- грађевинских и рударских активности на потесу између канала и баре „Шугавица”, а које се односе на:</w:t>
      </w:r>
    </w:p>
    <w:p>
      <w:pPr>
        <w:pStyle w:val="BodyText"/>
        <w:spacing w:line="191" w:lineRule="exact"/>
        <w:ind w:left="850"/>
        <w:jc w:val="left"/>
      </w:pPr>
      <w:r>
        <w:rPr>
          <w:color w:val="231F20"/>
          <w:w w:val="66"/>
        </w:rPr>
        <w:t> </w:t>
      </w:r>
      <w:r>
        <w:rPr>
          <w:color w:val="231F20"/>
        </w:rPr>
        <w:t>– промену морфологије, вегетације и режима вода,</w:t>
      </w:r>
    </w:p>
    <w:p>
      <w:pPr>
        <w:pStyle w:val="BodyText"/>
        <w:spacing w:line="195" w:lineRule="exact"/>
        <w:ind w:left="850"/>
        <w:jc w:val="left"/>
      </w:pPr>
      <w:r>
        <w:rPr>
          <w:color w:val="231F20"/>
          <w:w w:val="66"/>
        </w:rPr>
        <w:t> </w:t>
      </w:r>
      <w:r>
        <w:rPr>
          <w:color w:val="231F20"/>
        </w:rPr>
        <w:t>– затварање природних улаза и усидравање у бари,</w:t>
      </w:r>
    </w:p>
    <w:p>
      <w:pPr>
        <w:pStyle w:val="BodyText"/>
        <w:spacing w:line="225" w:lineRule="auto" w:before="4"/>
        <w:ind w:left="454" w:firstLine="396"/>
      </w:pPr>
      <w:r>
        <w:rPr>
          <w:color w:val="231F20"/>
          <w:w w:val="66"/>
        </w:rPr>
        <w:t> </w:t>
      </w:r>
      <w:r>
        <w:rPr>
          <w:color w:val="231F20"/>
        </w:rPr>
        <w:t>– депоновање разног грађевинског и експлоатационог мате- ријала, као и продубљивање дна канала,</w:t>
      </w:r>
    </w:p>
    <w:p>
      <w:pPr>
        <w:pStyle w:val="BodyText"/>
        <w:spacing w:line="225" w:lineRule="auto"/>
        <w:ind w:left="454" w:right="1" w:firstLine="396"/>
      </w:pPr>
      <w:r>
        <w:rPr>
          <w:color w:val="231F20"/>
          <w:w w:val="66"/>
        </w:rPr>
        <w:t> </w:t>
      </w:r>
      <w:r>
        <w:rPr>
          <w:color w:val="231F20"/>
        </w:rPr>
        <w:t>–</w:t>
      </w:r>
      <w:r>
        <w:rPr>
          <w:color w:val="231F20"/>
          <w:spacing w:val="-5"/>
        </w:rPr>
        <w:t> </w:t>
      </w:r>
      <w:r>
        <w:rPr>
          <w:color w:val="231F20"/>
        </w:rPr>
        <w:t>време</w:t>
      </w:r>
      <w:r>
        <w:rPr>
          <w:color w:val="231F20"/>
          <w:spacing w:val="-5"/>
        </w:rPr>
        <w:t> </w:t>
      </w:r>
      <w:r>
        <w:rPr>
          <w:color w:val="231F20"/>
        </w:rPr>
        <w:t>извођења</w:t>
      </w:r>
      <w:r>
        <w:rPr>
          <w:color w:val="231F20"/>
          <w:spacing w:val="-5"/>
        </w:rPr>
        <w:t> </w:t>
      </w:r>
      <w:r>
        <w:rPr>
          <w:color w:val="231F20"/>
        </w:rPr>
        <w:t>самих</w:t>
      </w:r>
      <w:r>
        <w:rPr>
          <w:color w:val="231F20"/>
          <w:spacing w:val="-5"/>
        </w:rPr>
        <w:t> </w:t>
      </w:r>
      <w:r>
        <w:rPr>
          <w:color w:val="231F20"/>
        </w:rPr>
        <w:t>радова</w:t>
      </w:r>
      <w:r>
        <w:rPr>
          <w:color w:val="231F20"/>
          <w:spacing w:val="-5"/>
        </w:rPr>
        <w:t> </w:t>
      </w:r>
      <w:r>
        <w:rPr>
          <w:color w:val="231F20"/>
        </w:rPr>
        <w:t>(потребно</w:t>
      </w:r>
      <w:r>
        <w:rPr>
          <w:color w:val="231F20"/>
          <w:spacing w:val="-5"/>
        </w:rPr>
        <w:t> </w:t>
      </w:r>
      <w:r>
        <w:rPr>
          <w:color w:val="231F20"/>
        </w:rPr>
        <w:t>их</w:t>
      </w:r>
      <w:r>
        <w:rPr>
          <w:color w:val="231F20"/>
          <w:spacing w:val="-5"/>
        </w:rPr>
        <w:t> </w:t>
      </w:r>
      <w:r>
        <w:rPr>
          <w:color w:val="231F20"/>
        </w:rPr>
        <w:t>је</w:t>
      </w:r>
      <w:r>
        <w:rPr>
          <w:color w:val="231F20"/>
          <w:spacing w:val="-5"/>
        </w:rPr>
        <w:t> </w:t>
      </w:r>
      <w:r>
        <w:rPr>
          <w:color w:val="231F20"/>
        </w:rPr>
        <w:t>обављати</w:t>
      </w:r>
      <w:r>
        <w:rPr>
          <w:color w:val="231F20"/>
          <w:spacing w:val="-5"/>
        </w:rPr>
        <w:t> </w:t>
      </w:r>
      <w:r>
        <w:rPr>
          <w:color w:val="231F20"/>
        </w:rPr>
        <w:t>ис- кључиво</w:t>
      </w:r>
      <w:r>
        <w:rPr>
          <w:color w:val="231F20"/>
          <w:spacing w:val="-1"/>
        </w:rPr>
        <w:t> </w:t>
      </w:r>
      <w:r>
        <w:rPr>
          <w:color w:val="231F20"/>
        </w:rPr>
        <w:t>ноћу),</w:t>
      </w:r>
    </w:p>
    <w:p>
      <w:pPr>
        <w:pStyle w:val="BodyText"/>
        <w:spacing w:line="191" w:lineRule="exact"/>
        <w:ind w:left="850"/>
        <w:jc w:val="left"/>
      </w:pPr>
      <w:r>
        <w:rPr>
          <w:color w:val="231F20"/>
          <w:w w:val="66"/>
        </w:rPr>
        <w:t> </w:t>
      </w:r>
      <w:r>
        <w:rPr>
          <w:color w:val="231F20"/>
        </w:rPr>
        <w:t>– промене у температури и замућености воде у каналу и</w:t>
      </w:r>
    </w:p>
    <w:p>
      <w:pPr>
        <w:pStyle w:val="BodyText"/>
        <w:spacing w:line="225" w:lineRule="auto" w:before="4"/>
        <w:ind w:left="454" w:firstLine="396"/>
      </w:pPr>
      <w:r>
        <w:rPr>
          <w:color w:val="231F20"/>
          <w:w w:val="66"/>
        </w:rPr>
        <w:t> </w:t>
      </w:r>
      <w:r>
        <w:rPr>
          <w:color w:val="231F20"/>
        </w:rPr>
        <w:t>– извођење радова у току мреста рибе, с обзиром на</w:t>
      </w:r>
      <w:r>
        <w:rPr>
          <w:color w:val="231F20"/>
          <w:spacing w:val="-29"/>
        </w:rPr>
        <w:t> </w:t>
      </w:r>
      <w:r>
        <w:rPr>
          <w:color w:val="231F20"/>
        </w:rPr>
        <w:t>чињени- цу да се локација налази у непосредној близини места проглаше- ног рибљим</w:t>
      </w:r>
      <w:r>
        <w:rPr>
          <w:color w:val="231F20"/>
          <w:spacing w:val="-2"/>
        </w:rPr>
        <w:t> </w:t>
      </w:r>
      <w:r>
        <w:rPr>
          <w:color w:val="231F20"/>
        </w:rPr>
        <w:t>плодиштем.</w:t>
      </w:r>
    </w:p>
    <w:p>
      <w:pPr>
        <w:pStyle w:val="BodyText"/>
        <w:spacing w:line="204" w:lineRule="exact" w:before="69"/>
        <w:ind w:left="639"/>
        <w:jc w:val="left"/>
      </w:pPr>
      <w:r>
        <w:rPr/>
        <w:br w:type="column"/>
      </w:r>
      <w:r>
        <w:rPr>
          <w:color w:val="231F20"/>
        </w:rPr>
        <w:t>У складу са прописаним забранама и ограничењима, нужно је:</w:t>
      </w:r>
    </w:p>
    <w:p>
      <w:pPr>
        <w:pStyle w:val="BodyText"/>
        <w:spacing w:line="232" w:lineRule="auto" w:before="2"/>
        <w:ind w:left="242" w:right="127" w:firstLine="396"/>
      </w:pPr>
      <w:r>
        <w:rPr>
          <w:color w:val="231F20"/>
          <w:w w:val="66"/>
        </w:rPr>
        <w:t> </w:t>
      </w:r>
      <w:r>
        <w:rPr>
          <w:color w:val="231F20"/>
        </w:rPr>
        <w:t>– спречавање стварања нечистоћа постављањем плутајућих баријера на улазима у бару и одржавање чистоће у каналу,</w:t>
      </w:r>
    </w:p>
    <w:p>
      <w:pPr>
        <w:pStyle w:val="BodyText"/>
        <w:spacing w:line="200" w:lineRule="exact"/>
        <w:ind w:left="639"/>
        <w:jc w:val="left"/>
      </w:pPr>
      <w:r>
        <w:rPr>
          <w:color w:val="231F20"/>
          <w:w w:val="66"/>
        </w:rPr>
        <w:t> </w:t>
      </w:r>
      <w:r>
        <w:rPr>
          <w:color w:val="231F20"/>
        </w:rPr>
        <w:t>– редовно контролисање квалитета воде у каналу,</w:t>
      </w:r>
    </w:p>
    <w:p>
      <w:pPr>
        <w:pStyle w:val="BodyText"/>
        <w:spacing w:line="201" w:lineRule="exact"/>
        <w:ind w:left="639"/>
        <w:jc w:val="left"/>
      </w:pPr>
      <w:r>
        <w:rPr>
          <w:color w:val="231F20"/>
          <w:w w:val="66"/>
        </w:rPr>
        <w:t> </w:t>
      </w:r>
      <w:r>
        <w:rPr>
          <w:color w:val="231F20"/>
        </w:rPr>
        <w:t>– обезбеђивање адекватне противпожарне заштите,</w:t>
      </w:r>
    </w:p>
    <w:p>
      <w:pPr>
        <w:pStyle w:val="BodyText"/>
        <w:spacing w:line="232" w:lineRule="auto" w:before="3"/>
        <w:ind w:left="242" w:right="127" w:firstLine="396"/>
      </w:pPr>
      <w:r>
        <w:rPr>
          <w:color w:val="231F20"/>
          <w:w w:val="66"/>
        </w:rPr>
        <w:t> </w:t>
      </w:r>
      <w:r>
        <w:rPr>
          <w:color w:val="231F20"/>
        </w:rPr>
        <w:t>– уколико је продубљивање дна канала на локацији приста- ништа нужно, неопходно је са супротне стране канала оставити довољно широк појас који омогућује стабилност самог дна и не- сметан пролаз риба, и</w:t>
      </w:r>
    </w:p>
    <w:p>
      <w:pPr>
        <w:pStyle w:val="BodyText"/>
        <w:spacing w:line="202" w:lineRule="exact"/>
        <w:ind w:left="639"/>
        <w:jc w:val="left"/>
      </w:pPr>
      <w:r>
        <w:rPr>
          <w:color w:val="231F20"/>
          <w:w w:val="66"/>
        </w:rPr>
        <w:t> </w:t>
      </w:r>
      <w:r>
        <w:rPr>
          <w:color w:val="231F20"/>
        </w:rPr>
        <w:t>– праћење и контрола замућености воде.</w:t>
      </w:r>
    </w:p>
    <w:p>
      <w:pPr>
        <w:pStyle w:val="BodyText"/>
        <w:spacing w:line="232" w:lineRule="auto" w:before="2"/>
        <w:ind w:left="242" w:right="127" w:firstLine="397"/>
      </w:pPr>
      <w:r>
        <w:rPr>
          <w:color w:val="231F20"/>
          <w:spacing w:val="-3"/>
        </w:rPr>
        <w:t>Законом </w:t>
      </w:r>
      <w:r>
        <w:rPr>
          <w:color w:val="231F20"/>
        </w:rPr>
        <w:t>прописану </w:t>
      </w:r>
      <w:r>
        <w:rPr>
          <w:color w:val="231F20"/>
          <w:spacing w:val="-3"/>
        </w:rPr>
        <w:t>Студију </w:t>
      </w:r>
      <w:r>
        <w:rPr>
          <w:color w:val="231F20"/>
        </w:rPr>
        <w:t>процене утицаја, израдити у све- му у односу на појединачне захтеве из достављених услова бр. II- 238/20-10 </w:t>
      </w:r>
      <w:r>
        <w:rPr>
          <w:color w:val="231F20"/>
          <w:spacing w:val="-3"/>
        </w:rPr>
        <w:t>од </w:t>
      </w:r>
      <w:r>
        <w:rPr>
          <w:color w:val="231F20"/>
        </w:rPr>
        <w:t>29. децембра 2010. Завода за заштиту природе Срби- је. Препоручује се да се извођење радова на уређењу акваторије   и територије пристаништа обавља уз директивни стручни надзор Завода за заштиту</w:t>
      </w:r>
      <w:r>
        <w:rPr>
          <w:color w:val="231F20"/>
          <w:spacing w:val="-3"/>
        </w:rPr>
        <w:t> </w:t>
      </w:r>
      <w:r>
        <w:rPr>
          <w:color w:val="231F20"/>
        </w:rPr>
        <w:t>природе.</w:t>
      </w:r>
    </w:p>
    <w:p>
      <w:pPr>
        <w:pStyle w:val="ListParagraph"/>
        <w:numPr>
          <w:ilvl w:val="1"/>
          <w:numId w:val="62"/>
        </w:numPr>
        <w:tabs>
          <w:tab w:pos="1200" w:val="left" w:leader="none"/>
        </w:tabs>
        <w:spacing w:line="240" w:lineRule="auto" w:before="169" w:after="0"/>
        <w:ind w:left="1199" w:right="0" w:hanging="315"/>
        <w:jc w:val="left"/>
        <w:rPr>
          <w:i/>
          <w:sz w:val="18"/>
        </w:rPr>
      </w:pPr>
      <w:r>
        <w:rPr>
          <w:i/>
          <w:color w:val="231F20"/>
          <w:sz w:val="18"/>
        </w:rPr>
        <w:t>Смернице за спровођење планског</w:t>
      </w:r>
      <w:r>
        <w:rPr>
          <w:i/>
          <w:color w:val="231F20"/>
          <w:spacing w:val="-4"/>
          <w:sz w:val="18"/>
        </w:rPr>
        <w:t> </w:t>
      </w:r>
      <w:r>
        <w:rPr>
          <w:i/>
          <w:color w:val="231F20"/>
          <w:sz w:val="18"/>
        </w:rPr>
        <w:t>документа</w:t>
      </w:r>
    </w:p>
    <w:p>
      <w:pPr>
        <w:pStyle w:val="BodyText"/>
        <w:spacing w:before="5"/>
        <w:ind w:left="0"/>
        <w:jc w:val="left"/>
        <w:rPr>
          <w:i/>
          <w:sz w:val="17"/>
        </w:rPr>
      </w:pPr>
    </w:p>
    <w:p>
      <w:pPr>
        <w:pStyle w:val="BodyText"/>
        <w:spacing w:line="232" w:lineRule="auto"/>
        <w:ind w:left="242" w:right="127" w:firstLine="396"/>
      </w:pPr>
      <w:r>
        <w:rPr>
          <w:color w:val="231F20"/>
        </w:rPr>
        <w:t>Планирани радови су радови на објекту из члана 133. </w:t>
      </w:r>
      <w:r>
        <w:rPr>
          <w:color w:val="231F20"/>
          <w:spacing w:val="-3"/>
        </w:rPr>
        <w:t>Закона </w:t>
      </w:r>
      <w:r>
        <w:rPr>
          <w:color w:val="231F20"/>
        </w:rPr>
        <w:t>(термоелектране снаге 10 и више МW и термоелектране – топлане електричне снаге 10 и више МW и далеководи и трафостанице на- пона </w:t>
      </w:r>
      <w:r>
        <w:rPr>
          <w:color w:val="231F20"/>
          <w:spacing w:val="-3"/>
        </w:rPr>
        <w:t>110 </w:t>
      </w:r>
      <w:r>
        <w:rPr>
          <w:color w:val="231F20"/>
        </w:rPr>
        <w:t>и више kV), за </w:t>
      </w:r>
      <w:r>
        <w:rPr>
          <w:color w:val="231F20"/>
          <w:spacing w:val="-3"/>
        </w:rPr>
        <w:t>које </w:t>
      </w:r>
      <w:r>
        <w:rPr>
          <w:color w:val="231F20"/>
        </w:rPr>
        <w:t>грађевинску дозволу издаје надлежно министарство, </w:t>
      </w:r>
      <w:r>
        <w:rPr>
          <w:color w:val="231F20"/>
          <w:spacing w:val="-3"/>
        </w:rPr>
        <w:t>тако </w:t>
      </w:r>
      <w:r>
        <w:rPr>
          <w:color w:val="231F20"/>
        </w:rPr>
        <w:t>да се неопходно обављају </w:t>
      </w:r>
      <w:r>
        <w:rPr>
          <w:color w:val="231F20"/>
          <w:spacing w:val="-2"/>
        </w:rPr>
        <w:t>претходни </w:t>
      </w:r>
      <w:r>
        <w:rPr>
          <w:color w:val="231F20"/>
        </w:rPr>
        <w:t>радови на основу чијих резултата се израђује </w:t>
      </w:r>
      <w:r>
        <w:rPr>
          <w:color w:val="231F20"/>
          <w:spacing w:val="-3"/>
        </w:rPr>
        <w:t>студија</w:t>
      </w:r>
      <w:r>
        <w:rPr>
          <w:color w:val="231F20"/>
          <w:spacing w:val="-7"/>
        </w:rPr>
        <w:t> </w:t>
      </w:r>
      <w:r>
        <w:rPr>
          <w:color w:val="231F20"/>
        </w:rPr>
        <w:t>оправданости.</w:t>
      </w:r>
    </w:p>
    <w:p>
      <w:pPr>
        <w:pStyle w:val="BodyText"/>
        <w:spacing w:line="232" w:lineRule="auto" w:before="4"/>
        <w:ind w:left="243" w:right="127" w:firstLine="396"/>
      </w:pPr>
      <w:r>
        <w:rPr>
          <w:color w:val="231F20"/>
        </w:rPr>
        <w:t>Грађевинска дозвола за изградњу на новоформираној грађе- винској парцели, издаје се за део објекта који представља технич- ку и функционалну целину.</w:t>
      </w:r>
    </w:p>
    <w:p>
      <w:pPr>
        <w:pStyle w:val="BodyText"/>
        <w:spacing w:line="232" w:lineRule="auto" w:before="2"/>
        <w:ind w:left="243" w:right="126" w:firstLine="396"/>
      </w:pPr>
      <w:r>
        <w:rPr>
          <w:color w:val="231F20"/>
        </w:rPr>
        <w:t>Локацијска дозвола за планирану изградњу и радове на ре- витализацији постројења издаје  се  на  основу  правила  уређења и изградње Просторног плана, </w:t>
      </w:r>
      <w:r>
        <w:rPr>
          <w:color w:val="231F20"/>
          <w:spacing w:val="-3"/>
        </w:rPr>
        <w:t>тако </w:t>
      </w:r>
      <w:r>
        <w:rPr>
          <w:color w:val="231F20"/>
        </w:rPr>
        <w:t>да није </w:t>
      </w:r>
      <w:r>
        <w:rPr>
          <w:color w:val="231F20"/>
          <w:spacing w:val="-2"/>
        </w:rPr>
        <w:t>неопходна </w:t>
      </w:r>
      <w:r>
        <w:rPr>
          <w:color w:val="231F20"/>
        </w:rPr>
        <w:t>израда претходне </w:t>
      </w:r>
      <w:r>
        <w:rPr>
          <w:color w:val="231F20"/>
          <w:spacing w:val="-3"/>
        </w:rPr>
        <w:t>студије </w:t>
      </w:r>
      <w:r>
        <w:rPr>
          <w:color w:val="231F20"/>
        </w:rPr>
        <w:t>оправданости са генералним пројектом. Зах- тев допунити одговарајућим приказима техничких решења, ради образложења у случају мањих одступања </w:t>
      </w:r>
      <w:r>
        <w:rPr>
          <w:color w:val="231F20"/>
          <w:spacing w:val="-3"/>
        </w:rPr>
        <w:t>од </w:t>
      </w:r>
      <w:r>
        <w:rPr>
          <w:color w:val="231F20"/>
        </w:rPr>
        <w:t>утврђених правила уређења и изградње. У случају већих оправданих одступања, про- мене се морају спровести као мање измене Просторног</w:t>
      </w:r>
      <w:r>
        <w:rPr>
          <w:color w:val="231F20"/>
          <w:spacing w:val="-14"/>
        </w:rPr>
        <w:t> </w:t>
      </w:r>
      <w:r>
        <w:rPr>
          <w:color w:val="231F20"/>
        </w:rPr>
        <w:t>плана.</w:t>
      </w:r>
    </w:p>
    <w:p>
      <w:pPr>
        <w:pStyle w:val="BodyText"/>
        <w:spacing w:line="232" w:lineRule="auto" w:before="5"/>
        <w:ind w:left="243" w:right="127" w:firstLine="396"/>
      </w:pPr>
      <w:r>
        <w:rPr>
          <w:color w:val="231F20"/>
        </w:rPr>
        <w:t>Индустријско пристаниште као објекат у систему Електро- привреде Србије подлеже процедурама прописаним чланом 133. Закона и условима прибављања локацијске дозволе, али и проце- дурама на основу регулативе која уређује област пловидбе.</w:t>
      </w:r>
    </w:p>
    <w:p>
      <w:pPr>
        <w:pStyle w:val="BodyText"/>
        <w:spacing w:line="232" w:lineRule="auto" w:before="3"/>
        <w:ind w:left="243" w:right="126" w:firstLine="397"/>
      </w:pPr>
      <w:r>
        <w:rPr>
          <w:color w:val="231F20"/>
        </w:rPr>
        <w:t>Захтев за издавање локацијске дозволе, обавезно, поред по- датака о врсти и намени објекта </w:t>
      </w:r>
      <w:r>
        <w:rPr>
          <w:color w:val="231F20"/>
          <w:spacing w:val="-3"/>
        </w:rPr>
        <w:t>који </w:t>
      </w:r>
      <w:r>
        <w:rPr>
          <w:color w:val="231F20"/>
        </w:rPr>
        <w:t>ће се градити, допунити по- дацима о планираној диспозицији, хоризонталним и вертикалним габаритима, нивелацији, техничким карактеристикама и слично, </w:t>
      </w:r>
      <w:r>
        <w:rPr>
          <w:color w:val="231F20"/>
          <w:spacing w:val="-3"/>
        </w:rPr>
        <w:t>који </w:t>
      </w:r>
      <w:r>
        <w:rPr>
          <w:color w:val="231F20"/>
        </w:rPr>
        <w:t>морају бити приказани и на графичком </w:t>
      </w:r>
      <w:r>
        <w:rPr>
          <w:color w:val="231F20"/>
          <w:spacing w:val="-3"/>
        </w:rPr>
        <w:t>прилогу, </w:t>
      </w:r>
      <w:r>
        <w:rPr>
          <w:color w:val="231F20"/>
        </w:rPr>
        <w:t>на катастар- ско-топографској</w:t>
      </w:r>
      <w:r>
        <w:rPr>
          <w:color w:val="231F20"/>
          <w:spacing w:val="-17"/>
        </w:rPr>
        <w:t> </w:t>
      </w:r>
      <w:r>
        <w:rPr>
          <w:color w:val="231F20"/>
        </w:rPr>
        <w:t>подлози</w:t>
      </w:r>
      <w:r>
        <w:rPr>
          <w:color w:val="231F20"/>
          <w:spacing w:val="-17"/>
        </w:rPr>
        <w:t> </w:t>
      </w:r>
      <w:r>
        <w:rPr>
          <w:color w:val="231F20"/>
        </w:rPr>
        <w:t>и</w:t>
      </w:r>
      <w:r>
        <w:rPr>
          <w:color w:val="231F20"/>
          <w:spacing w:val="-17"/>
        </w:rPr>
        <w:t> </w:t>
      </w:r>
      <w:r>
        <w:rPr>
          <w:color w:val="231F20"/>
        </w:rPr>
        <w:t>образложени</w:t>
      </w:r>
      <w:r>
        <w:rPr>
          <w:color w:val="231F20"/>
          <w:spacing w:val="-17"/>
        </w:rPr>
        <w:t> </w:t>
      </w:r>
      <w:r>
        <w:rPr>
          <w:color w:val="231F20"/>
        </w:rPr>
        <w:t>резултатима</w:t>
      </w:r>
      <w:r>
        <w:rPr>
          <w:color w:val="231F20"/>
          <w:spacing w:val="-17"/>
        </w:rPr>
        <w:t> </w:t>
      </w:r>
      <w:r>
        <w:rPr>
          <w:color w:val="231F20"/>
        </w:rPr>
        <w:t>из</w:t>
      </w:r>
      <w:r>
        <w:rPr>
          <w:color w:val="231F20"/>
          <w:spacing w:val="-17"/>
        </w:rPr>
        <w:t> </w:t>
      </w:r>
      <w:r>
        <w:rPr>
          <w:color w:val="231F20"/>
        </w:rPr>
        <w:t>одговара- јуће </w:t>
      </w:r>
      <w:r>
        <w:rPr>
          <w:color w:val="231F20"/>
          <w:spacing w:val="-3"/>
        </w:rPr>
        <w:t>студијске </w:t>
      </w:r>
      <w:r>
        <w:rPr>
          <w:color w:val="231F20"/>
        </w:rPr>
        <w:t>документације, а у складу са захтевима и условима надлежних</w:t>
      </w:r>
      <w:r>
        <w:rPr>
          <w:color w:val="231F20"/>
          <w:spacing w:val="-1"/>
        </w:rPr>
        <w:t> </w:t>
      </w:r>
      <w:r>
        <w:rPr>
          <w:color w:val="231F20"/>
        </w:rPr>
        <w:t>институција.</w:t>
      </w:r>
    </w:p>
    <w:p>
      <w:pPr>
        <w:pStyle w:val="BodyText"/>
        <w:spacing w:line="232" w:lineRule="auto" w:before="5"/>
        <w:ind w:left="243" w:right="126" w:firstLine="396"/>
      </w:pPr>
      <w:r>
        <w:rPr>
          <w:color w:val="231F20"/>
        </w:rPr>
        <w:t>Неопходно је пре подношења захтева за локацијску дозволу прибавити услове и сагласности за прикључење на комуналну, са- обраћајну и осталу инфраструктуру и остале услове и сагласности органа, односно организација овлашћених за издавање услова и података за пројектовање оваквих објеката.</w:t>
      </w:r>
    </w:p>
    <w:p>
      <w:pPr>
        <w:pStyle w:val="BodyText"/>
        <w:spacing w:line="232" w:lineRule="auto" w:before="3"/>
        <w:ind w:left="244" w:right="124" w:firstLine="396"/>
      </w:pPr>
      <w:r>
        <w:rPr>
          <w:color w:val="231F20"/>
        </w:rPr>
        <w:t>Уколико се на основу посебне студијске документације, про- цене другачије потребе и начини решавања робно-транспортних потреба у оквиру рударско-енергетског система, измена планских решења ће се спровести као мања измена Просторног плана.</w:t>
      </w:r>
    </w:p>
    <w:p>
      <w:pPr>
        <w:pStyle w:val="BodyText"/>
        <w:spacing w:line="232" w:lineRule="auto" w:before="3"/>
        <w:ind w:left="245" w:right="123" w:firstLine="396"/>
      </w:pPr>
      <w:r>
        <w:rPr>
          <w:color w:val="231F20"/>
          <w:spacing w:val="-3"/>
        </w:rPr>
        <w:t>Тачна </w:t>
      </w:r>
      <w:r>
        <w:rPr>
          <w:color w:val="231F20"/>
        </w:rPr>
        <w:t>локација, капацитет и техничке карактеристике по- стројења за пречишћавање отпадних вода, као и санитарно-тех- нички услови </w:t>
      </w:r>
      <w:r>
        <w:rPr>
          <w:color w:val="231F20"/>
          <w:spacing w:val="-3"/>
        </w:rPr>
        <w:t>које </w:t>
      </w:r>
      <w:r>
        <w:rPr>
          <w:color w:val="231F20"/>
        </w:rPr>
        <w:t>треба да задовоље воде </w:t>
      </w:r>
      <w:r>
        <w:rPr>
          <w:color w:val="231F20"/>
          <w:spacing w:val="-3"/>
        </w:rPr>
        <w:t>које </w:t>
      </w:r>
      <w:r>
        <w:rPr>
          <w:color w:val="231F20"/>
        </w:rPr>
        <w:t>се после пречишћа- вања испуштају из система јавне канализације Костолца у нпр. Канал топле воде као могући реципијент, утврдиће се одредбама Плана генералне регулације градског насеља Костолац, на осно- </w:t>
      </w:r>
      <w:r>
        <w:rPr>
          <w:color w:val="231F20"/>
          <w:spacing w:val="-4"/>
        </w:rPr>
        <w:t>ву </w:t>
      </w:r>
      <w:r>
        <w:rPr>
          <w:color w:val="231F20"/>
        </w:rPr>
        <w:t>усаглашене </w:t>
      </w:r>
      <w:r>
        <w:rPr>
          <w:color w:val="231F20"/>
          <w:spacing w:val="-3"/>
        </w:rPr>
        <w:t>студијске </w:t>
      </w:r>
      <w:r>
        <w:rPr>
          <w:color w:val="231F20"/>
        </w:rPr>
        <w:t>и техничке документације за саобраћајне, рударско-енергетске и друге инфраструктурне системе, укључују- ћи и објекте комуналне инфраструктуре на овом </w:t>
      </w:r>
      <w:r>
        <w:rPr>
          <w:color w:val="231F20"/>
          <w:spacing w:val="-4"/>
        </w:rPr>
        <w:t>подручју.</w:t>
      </w:r>
    </w:p>
    <w:p>
      <w:pPr>
        <w:pStyle w:val="Heading1"/>
        <w:numPr>
          <w:ilvl w:val="1"/>
          <w:numId w:val="63"/>
        </w:numPr>
        <w:tabs>
          <w:tab w:pos="1774" w:val="left" w:leader="none"/>
        </w:tabs>
        <w:spacing w:line="240" w:lineRule="auto" w:before="171" w:after="0"/>
        <w:ind w:left="1646" w:right="0" w:hanging="53"/>
        <w:jc w:val="left"/>
      </w:pPr>
      <w:r>
        <w:rPr>
          <w:color w:val="231F20"/>
          <w:spacing w:val="-3"/>
        </w:rPr>
        <w:t>Комплекс </w:t>
      </w:r>
      <w:r>
        <w:rPr>
          <w:color w:val="231F20"/>
        </w:rPr>
        <w:t>ТЕ „Костолац Б”</w:t>
      </w:r>
    </w:p>
    <w:p>
      <w:pPr>
        <w:pStyle w:val="ListParagraph"/>
        <w:numPr>
          <w:ilvl w:val="2"/>
          <w:numId w:val="63"/>
        </w:numPr>
        <w:tabs>
          <w:tab w:pos="2307" w:val="left" w:leader="none"/>
        </w:tabs>
        <w:spacing w:line="240" w:lineRule="auto" w:before="164" w:after="0"/>
        <w:ind w:left="2456" w:right="0" w:hanging="46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6"/>
        <w:ind w:left="0"/>
        <w:jc w:val="left"/>
        <w:rPr>
          <w:i/>
          <w:sz w:val="17"/>
        </w:rPr>
      </w:pPr>
    </w:p>
    <w:p>
      <w:pPr>
        <w:pStyle w:val="BodyText"/>
        <w:spacing w:line="232" w:lineRule="auto"/>
        <w:ind w:left="246" w:right="123" w:firstLine="397"/>
      </w:pPr>
      <w:r>
        <w:rPr>
          <w:color w:val="231F20"/>
        </w:rPr>
        <w:t>Комплекс ТЕ „Костолац Б” са пратећим објектима и технич- ким системима, лоциран је у североисточном делу Костолачког угљеног басена, на десној обали реке Млаве на простору између:</w:t>
      </w:r>
    </w:p>
    <w:p>
      <w:pPr>
        <w:spacing w:after="0" w:line="232" w:lineRule="auto"/>
        <w:sectPr>
          <w:pgSz w:w="12480" w:h="15690"/>
          <w:pgMar w:top="120" w:bottom="280" w:left="680" w:right="720"/>
          <w:cols w:num="2" w:equalWidth="0">
            <w:col w:w="5558" w:space="40"/>
            <w:col w:w="5482"/>
          </w:cols>
        </w:sectPr>
      </w:pPr>
    </w:p>
    <w:p>
      <w:pPr>
        <w:pStyle w:val="BodyText"/>
        <w:spacing w:line="232" w:lineRule="auto" w:before="73"/>
        <w:ind w:right="41"/>
      </w:pPr>
      <w:r>
        <w:rPr/>
        <w:pict>
          <v:line style="position:absolute;mso-position-horizontal-relative:page;mso-position-vertical-relative:page;z-index:4216" from="304.724396pt,11.942451pt" to="304.724396pt,748.950451pt" stroked="true" strokeweight=".6pt" strokecolor="#231f20">
            <v:stroke dashstyle="solid"/>
            <w10:wrap type="none"/>
          </v:line>
        </w:pict>
      </w:r>
      <w:r>
        <w:rPr>
          <w:color w:val="231F20"/>
          <w:spacing w:val="-3"/>
        </w:rPr>
        <w:t>археолошког </w:t>
      </w:r>
      <w:r>
        <w:rPr>
          <w:color w:val="231F20"/>
        </w:rPr>
        <w:t>налазишта Виминацијум, утврђене зоне заштите на- лазишта</w:t>
      </w:r>
      <w:r>
        <w:rPr>
          <w:color w:val="231F20"/>
          <w:spacing w:val="-12"/>
        </w:rPr>
        <w:t> </w:t>
      </w:r>
      <w:r>
        <w:rPr>
          <w:color w:val="231F20"/>
          <w:spacing w:val="-4"/>
        </w:rPr>
        <w:t>које</w:t>
      </w:r>
      <w:r>
        <w:rPr>
          <w:color w:val="231F20"/>
          <w:spacing w:val="-12"/>
        </w:rPr>
        <w:t> </w:t>
      </w:r>
      <w:r>
        <w:rPr>
          <w:color w:val="231F20"/>
        </w:rPr>
        <w:t>је</w:t>
      </w:r>
      <w:r>
        <w:rPr>
          <w:color w:val="231F20"/>
          <w:spacing w:val="-12"/>
        </w:rPr>
        <w:t> </w:t>
      </w:r>
      <w:r>
        <w:rPr>
          <w:color w:val="231F20"/>
        </w:rPr>
        <w:t>проглашено</w:t>
      </w:r>
      <w:r>
        <w:rPr>
          <w:color w:val="231F20"/>
          <w:spacing w:val="-12"/>
        </w:rPr>
        <w:t> </w:t>
      </w:r>
      <w:r>
        <w:rPr>
          <w:color w:val="231F20"/>
          <w:spacing w:val="-3"/>
        </w:rPr>
        <w:t>културним</w:t>
      </w:r>
      <w:r>
        <w:rPr>
          <w:color w:val="231F20"/>
          <w:spacing w:val="-12"/>
        </w:rPr>
        <w:t> </w:t>
      </w:r>
      <w:r>
        <w:rPr>
          <w:color w:val="231F20"/>
        </w:rPr>
        <w:t>добром</w:t>
      </w:r>
      <w:r>
        <w:rPr>
          <w:color w:val="231F20"/>
          <w:spacing w:val="-12"/>
        </w:rPr>
        <w:t> </w:t>
      </w:r>
      <w:r>
        <w:rPr>
          <w:color w:val="231F20"/>
          <w:spacing w:val="-4"/>
        </w:rPr>
        <w:t>од</w:t>
      </w:r>
      <w:r>
        <w:rPr>
          <w:color w:val="231F20"/>
          <w:spacing w:val="-12"/>
        </w:rPr>
        <w:t> </w:t>
      </w:r>
      <w:r>
        <w:rPr>
          <w:color w:val="231F20"/>
        </w:rPr>
        <w:t>изузетног</w:t>
      </w:r>
      <w:r>
        <w:rPr>
          <w:color w:val="231F20"/>
          <w:spacing w:val="-12"/>
        </w:rPr>
        <w:t> </w:t>
      </w:r>
      <w:r>
        <w:rPr>
          <w:color w:val="231F20"/>
        </w:rPr>
        <w:t>значаја („Службени </w:t>
      </w:r>
      <w:r>
        <w:rPr>
          <w:color w:val="231F20"/>
          <w:spacing w:val="-3"/>
        </w:rPr>
        <w:t>гласник </w:t>
      </w:r>
      <w:r>
        <w:rPr>
          <w:color w:val="231F20"/>
        </w:rPr>
        <w:t>СРС”, број 14/79), са севера и североистока; површинског</w:t>
      </w:r>
      <w:r>
        <w:rPr>
          <w:color w:val="231F20"/>
          <w:spacing w:val="-12"/>
        </w:rPr>
        <w:t> </w:t>
      </w:r>
      <w:r>
        <w:rPr>
          <w:color w:val="231F20"/>
          <w:spacing w:val="-4"/>
        </w:rPr>
        <w:t>копа</w:t>
      </w:r>
      <w:r>
        <w:rPr>
          <w:color w:val="231F20"/>
          <w:spacing w:val="-12"/>
        </w:rPr>
        <w:t> </w:t>
      </w:r>
      <w:r>
        <w:rPr>
          <w:color w:val="231F20"/>
        </w:rPr>
        <w:t>„Дрмно”</w:t>
      </w:r>
      <w:r>
        <w:rPr>
          <w:color w:val="231F20"/>
          <w:spacing w:val="-12"/>
        </w:rPr>
        <w:t> </w:t>
      </w:r>
      <w:r>
        <w:rPr>
          <w:color w:val="231F20"/>
        </w:rPr>
        <w:t>на</w:t>
      </w:r>
      <w:r>
        <w:rPr>
          <w:color w:val="231F20"/>
          <w:spacing w:val="-12"/>
        </w:rPr>
        <w:t> </w:t>
      </w:r>
      <w:r>
        <w:rPr>
          <w:color w:val="231F20"/>
          <w:spacing w:val="-3"/>
        </w:rPr>
        <w:t>истоку;</w:t>
      </w:r>
      <w:r>
        <w:rPr>
          <w:color w:val="231F20"/>
          <w:spacing w:val="-12"/>
        </w:rPr>
        <w:t> </w:t>
      </w:r>
      <w:r>
        <w:rPr>
          <w:color w:val="231F20"/>
        </w:rPr>
        <w:t>грађевинског</w:t>
      </w:r>
      <w:r>
        <w:rPr>
          <w:color w:val="231F20"/>
          <w:spacing w:val="-12"/>
        </w:rPr>
        <w:t> </w:t>
      </w:r>
      <w:r>
        <w:rPr>
          <w:color w:val="231F20"/>
        </w:rPr>
        <w:t>подручја</w:t>
      </w:r>
      <w:r>
        <w:rPr>
          <w:color w:val="231F20"/>
          <w:spacing w:val="-12"/>
        </w:rPr>
        <w:t> </w:t>
      </w:r>
      <w:r>
        <w:rPr>
          <w:color w:val="231F20"/>
        </w:rPr>
        <w:t>насе- ља</w:t>
      </w:r>
      <w:r>
        <w:rPr>
          <w:color w:val="231F20"/>
          <w:spacing w:val="-15"/>
        </w:rPr>
        <w:t> </w:t>
      </w:r>
      <w:r>
        <w:rPr>
          <w:color w:val="231F20"/>
        </w:rPr>
        <w:t>Дрмно,</w:t>
      </w:r>
      <w:r>
        <w:rPr>
          <w:color w:val="231F20"/>
          <w:spacing w:val="-15"/>
        </w:rPr>
        <w:t> </w:t>
      </w:r>
      <w:r>
        <w:rPr>
          <w:color w:val="231F20"/>
        </w:rPr>
        <w:t>општинског</w:t>
      </w:r>
      <w:r>
        <w:rPr>
          <w:color w:val="231F20"/>
          <w:spacing w:val="-15"/>
        </w:rPr>
        <w:t> </w:t>
      </w:r>
      <w:r>
        <w:rPr>
          <w:color w:val="231F20"/>
        </w:rPr>
        <w:t>пута</w:t>
      </w:r>
      <w:r>
        <w:rPr>
          <w:color w:val="231F20"/>
          <w:spacing w:val="-15"/>
        </w:rPr>
        <w:t> </w:t>
      </w:r>
      <w:r>
        <w:rPr>
          <w:color w:val="231F20"/>
          <w:spacing w:val="-3"/>
        </w:rPr>
        <w:t>Костолац</w:t>
      </w:r>
      <w:r>
        <w:rPr>
          <w:color w:val="231F20"/>
          <w:spacing w:val="8"/>
        </w:rPr>
        <w:t> </w:t>
      </w:r>
      <w:r>
        <w:rPr>
          <w:color w:val="231F20"/>
        </w:rPr>
        <w:t>–</w:t>
      </w:r>
      <w:r>
        <w:rPr>
          <w:color w:val="231F20"/>
          <w:spacing w:val="-15"/>
        </w:rPr>
        <w:t> </w:t>
      </w:r>
      <w:r>
        <w:rPr>
          <w:color w:val="231F20"/>
        </w:rPr>
        <w:t>Дрмно</w:t>
      </w:r>
      <w:r>
        <w:rPr>
          <w:color w:val="231F20"/>
          <w:spacing w:val="8"/>
        </w:rPr>
        <w:t> </w:t>
      </w:r>
      <w:r>
        <w:rPr>
          <w:color w:val="231F20"/>
        </w:rPr>
        <w:t>–</w:t>
      </w:r>
      <w:r>
        <w:rPr>
          <w:color w:val="231F20"/>
          <w:spacing w:val="-15"/>
        </w:rPr>
        <w:t> </w:t>
      </w:r>
      <w:r>
        <w:rPr>
          <w:color w:val="231F20"/>
        </w:rPr>
        <w:t>Брадарац</w:t>
      </w:r>
      <w:r>
        <w:rPr>
          <w:color w:val="231F20"/>
          <w:spacing w:val="-15"/>
        </w:rPr>
        <w:t> </w:t>
      </w:r>
      <w:r>
        <w:rPr>
          <w:color w:val="231F20"/>
        </w:rPr>
        <w:t>и</w:t>
      </w:r>
      <w:r>
        <w:rPr>
          <w:color w:val="231F20"/>
          <w:spacing w:val="-15"/>
        </w:rPr>
        <w:t> </w:t>
      </w:r>
      <w:r>
        <w:rPr>
          <w:color w:val="231F20"/>
        </w:rPr>
        <w:t>грани- це проширеног </w:t>
      </w:r>
      <w:r>
        <w:rPr>
          <w:color w:val="231F20"/>
          <w:spacing w:val="-3"/>
        </w:rPr>
        <w:t>комплекса </w:t>
      </w:r>
      <w:r>
        <w:rPr>
          <w:color w:val="231F20"/>
        </w:rPr>
        <w:t>месног гробља Стари </w:t>
      </w:r>
      <w:r>
        <w:rPr>
          <w:color w:val="231F20"/>
          <w:spacing w:val="-3"/>
        </w:rPr>
        <w:t>Костолац </w:t>
      </w:r>
      <w:r>
        <w:rPr>
          <w:color w:val="231F20"/>
        </w:rPr>
        <w:t>са</w:t>
      </w:r>
      <w:r>
        <w:rPr>
          <w:color w:val="231F20"/>
          <w:spacing w:val="-17"/>
        </w:rPr>
        <w:t> </w:t>
      </w:r>
      <w:r>
        <w:rPr>
          <w:color w:val="231F20"/>
        </w:rPr>
        <w:t>јужне стране;</w:t>
      </w:r>
      <w:r>
        <w:rPr>
          <w:color w:val="231F20"/>
          <w:spacing w:val="-5"/>
        </w:rPr>
        <w:t> </w:t>
      </w:r>
      <w:r>
        <w:rPr>
          <w:color w:val="231F20"/>
        </w:rPr>
        <w:t>и</w:t>
      </w:r>
      <w:r>
        <w:rPr>
          <w:color w:val="231F20"/>
          <w:spacing w:val="-5"/>
        </w:rPr>
        <w:t> </w:t>
      </w:r>
      <w:r>
        <w:rPr>
          <w:color w:val="231F20"/>
        </w:rPr>
        <w:t>деснообалног</w:t>
      </w:r>
      <w:r>
        <w:rPr>
          <w:color w:val="231F20"/>
          <w:spacing w:val="-5"/>
        </w:rPr>
        <w:t> </w:t>
      </w:r>
      <w:r>
        <w:rPr>
          <w:color w:val="231F20"/>
        </w:rPr>
        <w:t>успорног</w:t>
      </w:r>
      <w:r>
        <w:rPr>
          <w:color w:val="231F20"/>
          <w:spacing w:val="-5"/>
        </w:rPr>
        <w:t> </w:t>
      </w:r>
      <w:r>
        <w:rPr>
          <w:color w:val="231F20"/>
        </w:rPr>
        <w:t>насипа</w:t>
      </w:r>
      <w:r>
        <w:rPr>
          <w:color w:val="231F20"/>
          <w:spacing w:val="-5"/>
        </w:rPr>
        <w:t> </w:t>
      </w:r>
      <w:r>
        <w:rPr>
          <w:color w:val="231F20"/>
        </w:rPr>
        <w:t>реке</w:t>
      </w:r>
      <w:r>
        <w:rPr>
          <w:color w:val="231F20"/>
          <w:spacing w:val="-5"/>
        </w:rPr>
        <w:t> </w:t>
      </w:r>
      <w:r>
        <w:rPr>
          <w:color w:val="231F20"/>
        </w:rPr>
        <w:t>Млаве</w:t>
      </w:r>
      <w:r>
        <w:rPr>
          <w:color w:val="231F20"/>
          <w:spacing w:val="-5"/>
        </w:rPr>
        <w:t> </w:t>
      </w:r>
      <w:r>
        <w:rPr>
          <w:color w:val="231F20"/>
        </w:rPr>
        <w:t>са</w:t>
      </w:r>
      <w:r>
        <w:rPr>
          <w:color w:val="231F20"/>
          <w:spacing w:val="-5"/>
        </w:rPr>
        <w:t> </w:t>
      </w:r>
      <w:r>
        <w:rPr>
          <w:color w:val="231F20"/>
        </w:rPr>
        <w:t>запада.</w:t>
      </w:r>
    </w:p>
    <w:p>
      <w:pPr>
        <w:pStyle w:val="BodyText"/>
        <w:spacing w:line="232" w:lineRule="auto"/>
        <w:ind w:right="41" w:firstLine="396"/>
      </w:pPr>
      <w:r>
        <w:rPr>
          <w:color w:val="231F20"/>
        </w:rPr>
        <w:t>На</w:t>
      </w:r>
      <w:r>
        <w:rPr>
          <w:color w:val="231F20"/>
          <w:spacing w:val="-6"/>
        </w:rPr>
        <w:t> </w:t>
      </w:r>
      <w:r>
        <w:rPr>
          <w:color w:val="231F20"/>
        </w:rPr>
        <w:t>самој</w:t>
      </w:r>
      <w:r>
        <w:rPr>
          <w:color w:val="231F20"/>
          <w:spacing w:val="-6"/>
        </w:rPr>
        <w:t> </w:t>
      </w:r>
      <w:r>
        <w:rPr>
          <w:color w:val="231F20"/>
        </w:rPr>
        <w:t>локацији</w:t>
      </w:r>
      <w:r>
        <w:rPr>
          <w:color w:val="231F20"/>
          <w:spacing w:val="-6"/>
        </w:rPr>
        <w:t> </w:t>
      </w:r>
      <w:r>
        <w:rPr>
          <w:color w:val="231F20"/>
        </w:rPr>
        <w:t>и</w:t>
      </w:r>
      <w:r>
        <w:rPr>
          <w:color w:val="231F20"/>
          <w:spacing w:val="-6"/>
        </w:rPr>
        <w:t> </w:t>
      </w:r>
      <w:r>
        <w:rPr>
          <w:color w:val="231F20"/>
        </w:rPr>
        <w:t>у</w:t>
      </w:r>
      <w:r>
        <w:rPr>
          <w:color w:val="231F20"/>
          <w:spacing w:val="-6"/>
        </w:rPr>
        <w:t> </w:t>
      </w:r>
      <w:r>
        <w:rPr>
          <w:color w:val="231F20"/>
        </w:rPr>
        <w:t>ширем</w:t>
      </w:r>
      <w:r>
        <w:rPr>
          <w:color w:val="231F20"/>
          <w:spacing w:val="-6"/>
        </w:rPr>
        <w:t> </w:t>
      </w:r>
      <w:r>
        <w:rPr>
          <w:color w:val="231F20"/>
        </w:rPr>
        <w:t>окружењу</w:t>
      </w:r>
      <w:r>
        <w:rPr>
          <w:color w:val="231F20"/>
          <w:spacing w:val="-6"/>
        </w:rPr>
        <w:t> </w:t>
      </w:r>
      <w:r>
        <w:rPr>
          <w:color w:val="231F20"/>
        </w:rPr>
        <w:t>простире</w:t>
      </w:r>
      <w:r>
        <w:rPr>
          <w:color w:val="231F20"/>
          <w:spacing w:val="-6"/>
        </w:rPr>
        <w:t> </w:t>
      </w:r>
      <w:r>
        <w:rPr>
          <w:color w:val="231F20"/>
        </w:rPr>
        <w:t>се</w:t>
      </w:r>
      <w:r>
        <w:rPr>
          <w:color w:val="231F20"/>
          <w:spacing w:val="-6"/>
        </w:rPr>
        <w:t> </w:t>
      </w:r>
      <w:r>
        <w:rPr>
          <w:color w:val="231F20"/>
        </w:rPr>
        <w:t>археоло- </w:t>
      </w:r>
      <w:r>
        <w:rPr>
          <w:color w:val="231F20"/>
          <w:spacing w:val="-4"/>
        </w:rPr>
        <w:t>шко</w:t>
      </w:r>
      <w:r>
        <w:rPr>
          <w:color w:val="231F20"/>
          <w:spacing w:val="-7"/>
        </w:rPr>
        <w:t> </w:t>
      </w:r>
      <w:r>
        <w:rPr>
          <w:color w:val="231F20"/>
        </w:rPr>
        <w:t>налазиште</w:t>
      </w:r>
      <w:r>
        <w:rPr>
          <w:color w:val="231F20"/>
          <w:spacing w:val="-7"/>
        </w:rPr>
        <w:t> </w:t>
      </w:r>
      <w:r>
        <w:rPr>
          <w:color w:val="231F20"/>
        </w:rPr>
        <w:t>Виминацијум.</w:t>
      </w:r>
      <w:r>
        <w:rPr>
          <w:color w:val="231F20"/>
          <w:spacing w:val="-7"/>
        </w:rPr>
        <w:t> </w:t>
      </w:r>
      <w:r>
        <w:rPr>
          <w:color w:val="231F20"/>
        </w:rPr>
        <w:t>Прва</w:t>
      </w:r>
      <w:r>
        <w:rPr>
          <w:color w:val="231F20"/>
          <w:spacing w:val="-7"/>
        </w:rPr>
        <w:t> </w:t>
      </w:r>
      <w:r>
        <w:rPr>
          <w:color w:val="231F20"/>
        </w:rPr>
        <w:t>истраживања</w:t>
      </w:r>
      <w:r>
        <w:rPr>
          <w:color w:val="231F20"/>
          <w:spacing w:val="-7"/>
        </w:rPr>
        <w:t> </w:t>
      </w:r>
      <w:r>
        <w:rPr>
          <w:color w:val="231F20"/>
        </w:rPr>
        <w:t>овог</w:t>
      </w:r>
      <w:r>
        <w:rPr>
          <w:color w:val="231F20"/>
          <w:spacing w:val="-7"/>
        </w:rPr>
        <w:t> </w:t>
      </w:r>
      <w:r>
        <w:rPr>
          <w:color w:val="231F20"/>
        </w:rPr>
        <w:t>локалитета, главног града </w:t>
      </w:r>
      <w:r>
        <w:rPr>
          <w:color w:val="231F20"/>
          <w:spacing w:val="-4"/>
        </w:rPr>
        <w:t>Горње </w:t>
      </w:r>
      <w:r>
        <w:rPr>
          <w:color w:val="231F20"/>
        </w:rPr>
        <w:t>Мезије, датирају још из 19. века, а археоло- </w:t>
      </w:r>
      <w:r>
        <w:rPr>
          <w:color w:val="231F20"/>
          <w:spacing w:val="-4"/>
        </w:rPr>
        <w:t>шко </w:t>
      </w:r>
      <w:r>
        <w:rPr>
          <w:color w:val="231F20"/>
        </w:rPr>
        <w:t>налазиште је 1948. </w:t>
      </w:r>
      <w:r>
        <w:rPr>
          <w:color w:val="231F20"/>
          <w:spacing w:val="-3"/>
        </w:rPr>
        <w:t>године </w:t>
      </w:r>
      <w:r>
        <w:rPr>
          <w:color w:val="231F20"/>
        </w:rPr>
        <w:t>евидентирано као </w:t>
      </w:r>
      <w:r>
        <w:rPr>
          <w:color w:val="231F20"/>
          <w:spacing w:val="-2"/>
        </w:rPr>
        <w:t>културно </w:t>
      </w:r>
      <w:r>
        <w:rPr>
          <w:color w:val="231F20"/>
        </w:rPr>
        <w:t>добро. Археолошка истраживања Виминацијума, али и конзервација екс- поната, финансијски су подржана </w:t>
      </w:r>
      <w:r>
        <w:rPr>
          <w:color w:val="231F20"/>
          <w:spacing w:val="-3"/>
        </w:rPr>
        <w:t>од </w:t>
      </w:r>
      <w:r>
        <w:rPr>
          <w:color w:val="231F20"/>
        </w:rPr>
        <w:t>стране тадашњег Индустриј- ско-енергетског</w:t>
      </w:r>
      <w:r>
        <w:rPr>
          <w:color w:val="231F20"/>
          <w:spacing w:val="-11"/>
        </w:rPr>
        <w:t> </w:t>
      </w:r>
      <w:r>
        <w:rPr>
          <w:color w:val="231F20"/>
          <w:spacing w:val="-3"/>
        </w:rPr>
        <w:t>комбината</w:t>
      </w:r>
      <w:r>
        <w:rPr>
          <w:color w:val="231F20"/>
          <w:spacing w:val="-11"/>
        </w:rPr>
        <w:t> </w:t>
      </w:r>
      <w:r>
        <w:rPr>
          <w:color w:val="231F20"/>
        </w:rPr>
        <w:t>Костолац,</w:t>
      </w:r>
      <w:r>
        <w:rPr>
          <w:color w:val="231F20"/>
          <w:spacing w:val="-11"/>
        </w:rPr>
        <w:t> </w:t>
      </w:r>
      <w:r>
        <w:rPr>
          <w:color w:val="231F20"/>
        </w:rPr>
        <w:t>у</w:t>
      </w:r>
      <w:r>
        <w:rPr>
          <w:color w:val="231F20"/>
          <w:spacing w:val="-11"/>
        </w:rPr>
        <w:t> </w:t>
      </w:r>
      <w:r>
        <w:rPr>
          <w:color w:val="231F20"/>
        </w:rPr>
        <w:t>оквиру</w:t>
      </w:r>
      <w:r>
        <w:rPr>
          <w:color w:val="231F20"/>
          <w:spacing w:val="-11"/>
        </w:rPr>
        <w:t> </w:t>
      </w:r>
      <w:r>
        <w:rPr>
          <w:color w:val="231F20"/>
        </w:rPr>
        <w:t>припремних</w:t>
      </w:r>
      <w:r>
        <w:rPr>
          <w:color w:val="231F20"/>
          <w:spacing w:val="-11"/>
        </w:rPr>
        <w:t> </w:t>
      </w:r>
      <w:r>
        <w:rPr>
          <w:color w:val="231F20"/>
        </w:rPr>
        <w:t>радова поред експропријације земљишта, </w:t>
      </w:r>
      <w:r>
        <w:rPr>
          <w:color w:val="231F20"/>
          <w:spacing w:val="-3"/>
        </w:rPr>
        <w:t>тако </w:t>
      </w:r>
      <w:r>
        <w:rPr>
          <w:color w:val="231F20"/>
        </w:rPr>
        <w:t>да су </w:t>
      </w:r>
      <w:r>
        <w:rPr>
          <w:color w:val="231F20"/>
          <w:spacing w:val="-3"/>
        </w:rPr>
        <w:t>од </w:t>
      </w:r>
      <w:r>
        <w:rPr>
          <w:color w:val="231F20"/>
        </w:rPr>
        <w:t>1976. године, када је донета одлука о изградњи Термоелектране „Дрмно”, до 1983. </w:t>
      </w:r>
      <w:r>
        <w:rPr>
          <w:color w:val="231F20"/>
          <w:spacing w:val="-3"/>
        </w:rPr>
        <w:t>године </w:t>
      </w:r>
      <w:r>
        <w:rPr>
          <w:color w:val="231F20"/>
        </w:rPr>
        <w:t>када је започети радови на бетонирању темеља, завршени радови на конзервацији</w:t>
      </w:r>
      <w:r>
        <w:rPr>
          <w:color w:val="231F20"/>
          <w:spacing w:val="-4"/>
        </w:rPr>
        <w:t> </w:t>
      </w:r>
      <w:r>
        <w:rPr>
          <w:color w:val="231F20"/>
        </w:rPr>
        <w:t>налазишта.</w:t>
      </w:r>
    </w:p>
    <w:p>
      <w:pPr>
        <w:pStyle w:val="BodyText"/>
        <w:spacing w:line="232" w:lineRule="auto"/>
        <w:ind w:right="41" w:firstLine="396"/>
      </w:pPr>
      <w:r>
        <w:rPr>
          <w:color w:val="231F20"/>
        </w:rPr>
        <w:t>Избор локације извршен је на основу техничко-технолошких захтева</w:t>
      </w:r>
      <w:r>
        <w:rPr>
          <w:color w:val="231F20"/>
          <w:spacing w:val="-29"/>
        </w:rPr>
        <w:t> </w:t>
      </w:r>
      <w:r>
        <w:rPr>
          <w:color w:val="231F20"/>
        </w:rPr>
        <w:t>као</w:t>
      </w:r>
      <w:r>
        <w:rPr>
          <w:color w:val="231F20"/>
          <w:spacing w:val="-29"/>
        </w:rPr>
        <w:t> </w:t>
      </w:r>
      <w:r>
        <w:rPr>
          <w:color w:val="231F20"/>
        </w:rPr>
        <w:t>што</w:t>
      </w:r>
      <w:r>
        <w:rPr>
          <w:color w:val="231F20"/>
          <w:spacing w:val="-29"/>
        </w:rPr>
        <w:t> </w:t>
      </w:r>
      <w:r>
        <w:rPr>
          <w:color w:val="231F20"/>
        </w:rPr>
        <w:t>су:</w:t>
      </w:r>
      <w:r>
        <w:rPr>
          <w:color w:val="231F20"/>
          <w:spacing w:val="-29"/>
        </w:rPr>
        <w:t> </w:t>
      </w:r>
      <w:r>
        <w:rPr>
          <w:color w:val="231F20"/>
        </w:rPr>
        <w:t>могућност</w:t>
      </w:r>
      <w:r>
        <w:rPr>
          <w:color w:val="231F20"/>
          <w:spacing w:val="-29"/>
        </w:rPr>
        <w:t> </w:t>
      </w:r>
      <w:r>
        <w:rPr>
          <w:color w:val="231F20"/>
        </w:rPr>
        <w:t>снабдевања</w:t>
      </w:r>
      <w:r>
        <w:rPr>
          <w:color w:val="231F20"/>
          <w:spacing w:val="-29"/>
        </w:rPr>
        <w:t> </w:t>
      </w:r>
      <w:r>
        <w:rPr>
          <w:color w:val="231F20"/>
          <w:spacing w:val="2"/>
        </w:rPr>
        <w:t>угљеми</w:t>
      </w:r>
      <w:r>
        <w:rPr>
          <w:color w:val="231F20"/>
          <w:spacing w:val="-29"/>
        </w:rPr>
        <w:t> </w:t>
      </w:r>
      <w:r>
        <w:rPr>
          <w:color w:val="231F20"/>
          <w:spacing w:val="-3"/>
        </w:rPr>
        <w:t>техничком</w:t>
      </w:r>
      <w:r>
        <w:rPr>
          <w:color w:val="231F20"/>
          <w:spacing w:val="-29"/>
        </w:rPr>
        <w:t> </w:t>
      </w:r>
      <w:r>
        <w:rPr>
          <w:color w:val="231F20"/>
          <w:spacing w:val="-2"/>
        </w:rPr>
        <w:t>водом, </w:t>
      </w:r>
      <w:r>
        <w:rPr>
          <w:color w:val="231F20"/>
        </w:rPr>
        <w:t>саобраћајна доступност, удаљеност </w:t>
      </w:r>
      <w:r>
        <w:rPr>
          <w:color w:val="231F20"/>
          <w:spacing w:val="-3"/>
        </w:rPr>
        <w:t>од </w:t>
      </w:r>
      <w:r>
        <w:rPr>
          <w:color w:val="231F20"/>
        </w:rPr>
        <w:t>објекта ТЕ „Костолац А”, удаљеност </w:t>
      </w:r>
      <w:r>
        <w:rPr>
          <w:color w:val="231F20"/>
          <w:spacing w:val="-3"/>
        </w:rPr>
        <w:t>од </w:t>
      </w:r>
      <w:r>
        <w:rPr>
          <w:color w:val="231F20"/>
        </w:rPr>
        <w:t>насеља по правцу доминантних ветрова, могућност електроразвода, али и могућност даљег проширења </w:t>
      </w:r>
      <w:r>
        <w:rPr>
          <w:color w:val="231F20"/>
          <w:spacing w:val="-3"/>
        </w:rPr>
        <w:t>комплекса, </w:t>
      </w:r>
      <w:r>
        <w:rPr>
          <w:color w:val="231F20"/>
        </w:rPr>
        <w:t>с обзиром на то да је већ тада планирана изградња друге фазе, што је подразумевало проширење термокапацитета за још два технич- ки и технолошки иста</w:t>
      </w:r>
      <w:r>
        <w:rPr>
          <w:color w:val="231F20"/>
          <w:spacing w:val="-4"/>
        </w:rPr>
        <w:t> </w:t>
      </w:r>
      <w:r>
        <w:rPr>
          <w:color w:val="231F20"/>
        </w:rPr>
        <w:t>блока.</w:t>
      </w:r>
    </w:p>
    <w:p>
      <w:pPr>
        <w:pStyle w:val="BodyText"/>
        <w:spacing w:line="232" w:lineRule="auto"/>
        <w:ind w:left="171" w:right="40" w:firstLine="396"/>
      </w:pPr>
      <w:r>
        <w:rPr>
          <w:color w:val="231F20"/>
        </w:rPr>
        <w:t>ТЕ „Костолац Б” има инсталисани капацитет 2 x 348,5 </w:t>
      </w:r>
      <w:r>
        <w:rPr>
          <w:color w:val="231F20"/>
          <w:spacing w:val="-6"/>
        </w:rPr>
        <w:t>MW, </w:t>
      </w:r>
      <w:r>
        <w:rPr>
          <w:color w:val="231F20"/>
        </w:rPr>
        <w:t>а снабдева се угљем са површинског </w:t>
      </w:r>
      <w:r>
        <w:rPr>
          <w:color w:val="231F20"/>
          <w:spacing w:val="-3"/>
        </w:rPr>
        <w:t>копа </w:t>
      </w:r>
      <w:r>
        <w:rPr>
          <w:color w:val="231F20"/>
        </w:rPr>
        <w:t>„Дрмно”. Помоћно гори- во за стартовање </w:t>
      </w:r>
      <w:r>
        <w:rPr>
          <w:color w:val="231F20"/>
          <w:spacing w:val="-3"/>
        </w:rPr>
        <w:t>блокова </w:t>
      </w:r>
      <w:r>
        <w:rPr>
          <w:color w:val="231F20"/>
        </w:rPr>
        <w:t>су мазут и помоћна водена пара </w:t>
      </w:r>
      <w:r>
        <w:rPr>
          <w:color w:val="231F20"/>
          <w:spacing w:val="-3"/>
        </w:rPr>
        <w:t>која </w:t>
      </w:r>
      <w:r>
        <w:rPr>
          <w:color w:val="231F20"/>
        </w:rPr>
        <w:t>се допрема</w:t>
      </w:r>
      <w:r>
        <w:rPr>
          <w:color w:val="231F20"/>
          <w:spacing w:val="-5"/>
        </w:rPr>
        <w:t> </w:t>
      </w:r>
      <w:r>
        <w:rPr>
          <w:color w:val="231F20"/>
        </w:rPr>
        <w:t>из</w:t>
      </w:r>
      <w:r>
        <w:rPr>
          <w:color w:val="231F20"/>
          <w:spacing w:val="-5"/>
        </w:rPr>
        <w:t> </w:t>
      </w:r>
      <w:r>
        <w:rPr>
          <w:color w:val="231F20"/>
        </w:rPr>
        <w:t>ТЕ</w:t>
      </w:r>
      <w:r>
        <w:rPr>
          <w:color w:val="231F20"/>
          <w:spacing w:val="-5"/>
        </w:rPr>
        <w:t> </w:t>
      </w:r>
      <w:r>
        <w:rPr>
          <w:color w:val="231F20"/>
        </w:rPr>
        <w:t>„Костолац</w:t>
      </w:r>
      <w:r>
        <w:rPr>
          <w:color w:val="231F20"/>
          <w:spacing w:val="-6"/>
        </w:rPr>
        <w:t> </w:t>
      </w:r>
      <w:r>
        <w:rPr>
          <w:color w:val="231F20"/>
        </w:rPr>
        <w:t>А”</w:t>
      </w:r>
      <w:r>
        <w:rPr>
          <w:color w:val="231F20"/>
          <w:spacing w:val="-5"/>
        </w:rPr>
        <w:t> </w:t>
      </w:r>
      <w:r>
        <w:rPr>
          <w:color w:val="231F20"/>
        </w:rPr>
        <w:t>пароводом</w:t>
      </w:r>
      <w:r>
        <w:rPr>
          <w:color w:val="231F20"/>
          <w:spacing w:val="-5"/>
        </w:rPr>
        <w:t> </w:t>
      </w:r>
      <w:r>
        <w:rPr>
          <w:color w:val="231F20"/>
        </w:rPr>
        <w:t>дужине</w:t>
      </w:r>
      <w:r>
        <w:rPr>
          <w:color w:val="231F20"/>
          <w:spacing w:val="-6"/>
        </w:rPr>
        <w:t> </w:t>
      </w:r>
      <w:r>
        <w:rPr>
          <w:color w:val="231F20"/>
        </w:rPr>
        <w:t>6</w:t>
      </w:r>
      <w:r>
        <w:rPr>
          <w:color w:val="231F20"/>
          <w:spacing w:val="-5"/>
        </w:rPr>
        <w:t> </w:t>
      </w:r>
      <w:r>
        <w:rPr>
          <w:color w:val="231F20"/>
        </w:rPr>
        <w:t>km.</w:t>
      </w:r>
      <w:r>
        <w:rPr>
          <w:color w:val="231F20"/>
          <w:spacing w:val="-5"/>
        </w:rPr>
        <w:t> </w:t>
      </w:r>
      <w:r>
        <w:rPr>
          <w:color w:val="231F20"/>
        </w:rPr>
        <w:t>Расхладном </w:t>
      </w:r>
      <w:r>
        <w:rPr>
          <w:color w:val="231F20"/>
          <w:spacing w:val="-2"/>
        </w:rPr>
        <w:t>водом, </w:t>
      </w:r>
      <w:r>
        <w:rPr>
          <w:color w:val="231F20"/>
        </w:rPr>
        <w:t>електрана се снабдева из реке Дунав, доводним</w:t>
      </w:r>
      <w:r>
        <w:rPr>
          <w:color w:val="231F20"/>
          <w:spacing w:val="-25"/>
        </w:rPr>
        <w:t> </w:t>
      </w:r>
      <w:r>
        <w:rPr>
          <w:color w:val="231F20"/>
        </w:rPr>
        <w:t>каналом.</w:t>
      </w:r>
    </w:p>
    <w:p>
      <w:pPr>
        <w:pStyle w:val="ListParagraph"/>
        <w:numPr>
          <w:ilvl w:val="2"/>
          <w:numId w:val="63"/>
        </w:numPr>
        <w:tabs>
          <w:tab w:pos="1696" w:val="left" w:leader="none"/>
        </w:tabs>
        <w:spacing w:line="240" w:lineRule="auto" w:before="162" w:after="0"/>
        <w:ind w:left="1695" w:right="0" w:hanging="315"/>
        <w:jc w:val="left"/>
        <w:rPr>
          <w:i/>
          <w:sz w:val="18"/>
        </w:rPr>
      </w:pPr>
      <w:r>
        <w:rPr>
          <w:i/>
          <w:color w:val="231F20"/>
          <w:sz w:val="18"/>
        </w:rPr>
        <w:t>Просторни обухват</w:t>
      </w:r>
      <w:r>
        <w:rPr>
          <w:i/>
          <w:color w:val="231F20"/>
          <w:spacing w:val="-2"/>
          <w:sz w:val="18"/>
        </w:rPr>
        <w:t> </w:t>
      </w:r>
      <w:r>
        <w:rPr>
          <w:i/>
          <w:color w:val="231F20"/>
          <w:spacing w:val="-3"/>
          <w:sz w:val="18"/>
        </w:rPr>
        <w:t>комплекса</w:t>
      </w:r>
    </w:p>
    <w:p>
      <w:pPr>
        <w:pStyle w:val="BodyText"/>
        <w:spacing w:before="4"/>
        <w:ind w:left="0"/>
        <w:jc w:val="left"/>
        <w:rPr>
          <w:i/>
          <w:sz w:val="17"/>
        </w:rPr>
      </w:pPr>
    </w:p>
    <w:p>
      <w:pPr>
        <w:pStyle w:val="BodyText"/>
        <w:spacing w:line="232" w:lineRule="auto"/>
        <w:ind w:left="172" w:right="40" w:firstLine="396"/>
      </w:pPr>
      <w:r>
        <w:rPr>
          <w:color w:val="231F20"/>
        </w:rPr>
        <w:t>У ограђеном простору комплекса ТЕ „Костолац Б” на по- вршини од око 102 ha организовани су главни погонски објекти електране са помоћним објектима (око 63 ha). Депонија угља, ло- цирана у самом комплексу на површини од око 23 ha, чини функ- ционалну целину са дробиланом ПК „Дрмно”.</w:t>
      </w:r>
    </w:p>
    <w:p>
      <w:pPr>
        <w:pStyle w:val="BodyText"/>
        <w:spacing w:line="232" w:lineRule="auto"/>
        <w:ind w:left="172" w:right="40" w:firstLine="397"/>
      </w:pPr>
      <w:r>
        <w:rPr>
          <w:color w:val="231F20"/>
          <w:spacing w:val="-3"/>
        </w:rPr>
        <w:t>Комплекс </w:t>
      </w:r>
      <w:r>
        <w:rPr>
          <w:color w:val="231F20"/>
        </w:rPr>
        <w:t>има изванредни положај с обзиром на саобраћајну повезаност, </w:t>
      </w:r>
      <w:r>
        <w:rPr>
          <w:color w:val="231F20"/>
          <w:spacing w:val="-4"/>
        </w:rPr>
        <w:t>друмску, </w:t>
      </w:r>
      <w:r>
        <w:rPr>
          <w:color w:val="231F20"/>
          <w:spacing w:val="-3"/>
        </w:rPr>
        <w:t>железничку, </w:t>
      </w:r>
      <w:r>
        <w:rPr>
          <w:color w:val="231F20"/>
        </w:rPr>
        <w:t>а постоји и могућност и повези- вања са пловним путевима.</w:t>
      </w:r>
    </w:p>
    <w:p>
      <w:pPr>
        <w:pStyle w:val="BodyText"/>
        <w:spacing w:line="199" w:lineRule="exact"/>
        <w:ind w:left="568"/>
        <w:jc w:val="left"/>
      </w:pPr>
      <w:r>
        <w:rPr>
          <w:color w:val="231F20"/>
        </w:rPr>
        <w:t>Приступ комплексу ТЕ „Костолац Б” је се са пута Костолац</w:t>
      </w:r>
    </w:p>
    <w:p>
      <w:pPr>
        <w:pStyle w:val="BodyText"/>
        <w:spacing w:line="232" w:lineRule="auto" w:before="2"/>
        <w:ind w:left="172" w:right="39" w:hanging="1"/>
      </w:pPr>
      <w:r>
        <w:rPr>
          <w:color w:val="231F20"/>
          <w:w w:val="66"/>
        </w:rPr>
        <w:t> </w:t>
      </w:r>
      <w:r>
        <w:rPr>
          <w:color w:val="231F20"/>
        </w:rPr>
        <w:t>– Дрмно. Са ове саобраћајнице, одвајају се </w:t>
      </w:r>
      <w:r>
        <w:rPr>
          <w:color w:val="231F20"/>
          <w:spacing w:val="-3"/>
        </w:rPr>
        <w:t>главни </w:t>
      </w:r>
      <w:r>
        <w:rPr>
          <w:color w:val="231F20"/>
        </w:rPr>
        <w:t>приступни пут </w:t>
      </w:r>
      <w:r>
        <w:rPr>
          <w:color w:val="231F20"/>
          <w:spacing w:val="-3"/>
        </w:rPr>
        <w:t>комплексу </w:t>
      </w:r>
      <w:r>
        <w:rPr>
          <w:color w:val="231F20"/>
        </w:rPr>
        <w:t>и секундарни, </w:t>
      </w:r>
      <w:r>
        <w:rPr>
          <w:color w:val="231F20"/>
          <w:spacing w:val="-3"/>
        </w:rPr>
        <w:t>који </w:t>
      </w:r>
      <w:r>
        <w:rPr>
          <w:color w:val="231F20"/>
        </w:rPr>
        <w:t>је био планиран за потребе извођача радова на изградњи електране, али се сада редовно користи и </w:t>
      </w:r>
      <w:r>
        <w:rPr>
          <w:color w:val="231F20"/>
          <w:spacing w:val="-3"/>
        </w:rPr>
        <w:t>који </w:t>
      </w:r>
      <w:r>
        <w:rPr>
          <w:color w:val="231F20"/>
        </w:rPr>
        <w:t>је непосредно поред </w:t>
      </w:r>
      <w:r>
        <w:rPr>
          <w:color w:val="231F20"/>
          <w:spacing w:val="-3"/>
        </w:rPr>
        <w:t>комплекса </w:t>
      </w:r>
      <w:r>
        <w:rPr>
          <w:color w:val="231F20"/>
        </w:rPr>
        <w:t>гробља.</w:t>
      </w:r>
    </w:p>
    <w:p>
      <w:pPr>
        <w:pStyle w:val="BodyText"/>
        <w:spacing w:line="232" w:lineRule="auto"/>
        <w:ind w:left="172" w:right="38" w:firstLine="396"/>
      </w:pPr>
      <w:r>
        <w:rPr>
          <w:color w:val="231F20"/>
        </w:rPr>
        <w:t>У</w:t>
      </w:r>
      <w:r>
        <w:rPr>
          <w:color w:val="231F20"/>
          <w:spacing w:val="-7"/>
        </w:rPr>
        <w:t> </w:t>
      </w:r>
      <w:r>
        <w:rPr>
          <w:color w:val="231F20"/>
        </w:rPr>
        <w:t>оквиру</w:t>
      </w:r>
      <w:r>
        <w:rPr>
          <w:color w:val="231F20"/>
          <w:spacing w:val="-7"/>
        </w:rPr>
        <w:t> </w:t>
      </w:r>
      <w:r>
        <w:rPr>
          <w:color w:val="231F20"/>
        </w:rPr>
        <w:t>локације</w:t>
      </w:r>
      <w:r>
        <w:rPr>
          <w:color w:val="231F20"/>
          <w:spacing w:val="-7"/>
        </w:rPr>
        <w:t> </w:t>
      </w:r>
      <w:r>
        <w:rPr>
          <w:color w:val="231F20"/>
        </w:rPr>
        <w:t>ТЕ</w:t>
      </w:r>
      <w:r>
        <w:rPr>
          <w:color w:val="231F20"/>
          <w:spacing w:val="-7"/>
        </w:rPr>
        <w:t> </w:t>
      </w:r>
      <w:r>
        <w:rPr>
          <w:color w:val="231F20"/>
        </w:rPr>
        <w:t>„Костолац”</w:t>
      </w:r>
      <w:r>
        <w:rPr>
          <w:color w:val="231F20"/>
          <w:spacing w:val="-7"/>
        </w:rPr>
        <w:t> </w:t>
      </w:r>
      <w:r>
        <w:rPr>
          <w:color w:val="231F20"/>
        </w:rPr>
        <w:t>извршен</w:t>
      </w:r>
      <w:r>
        <w:rPr>
          <w:color w:val="231F20"/>
          <w:spacing w:val="-7"/>
        </w:rPr>
        <w:t> </w:t>
      </w:r>
      <w:r>
        <w:rPr>
          <w:color w:val="231F20"/>
        </w:rPr>
        <w:t>је</w:t>
      </w:r>
      <w:r>
        <w:rPr>
          <w:color w:val="231F20"/>
          <w:spacing w:val="-7"/>
        </w:rPr>
        <w:t> </w:t>
      </w:r>
      <w:r>
        <w:rPr>
          <w:color w:val="231F20"/>
        </w:rPr>
        <w:t>размештај</w:t>
      </w:r>
      <w:r>
        <w:rPr>
          <w:color w:val="231F20"/>
          <w:spacing w:val="-7"/>
        </w:rPr>
        <w:t> </w:t>
      </w:r>
      <w:r>
        <w:rPr>
          <w:color w:val="231F20"/>
        </w:rPr>
        <w:t>обје- ката термоелектране и помоћних система довода и </w:t>
      </w:r>
      <w:r>
        <w:rPr>
          <w:color w:val="231F20"/>
          <w:spacing w:val="-3"/>
        </w:rPr>
        <w:t>одвода </w:t>
      </w:r>
      <w:r>
        <w:rPr>
          <w:color w:val="231F20"/>
        </w:rPr>
        <w:t>воде, допреме угља, отпреме пепела и шљаке на </w:t>
      </w:r>
      <w:r>
        <w:rPr>
          <w:color w:val="231F20"/>
          <w:spacing w:val="-3"/>
        </w:rPr>
        <w:t>депонију, </w:t>
      </w:r>
      <w:r>
        <w:rPr>
          <w:color w:val="231F20"/>
        </w:rPr>
        <w:t>развода да- </w:t>
      </w:r>
      <w:r>
        <w:rPr>
          <w:color w:val="231F20"/>
          <w:spacing w:val="-3"/>
        </w:rPr>
        <w:t>лековода </w:t>
      </w:r>
      <w:r>
        <w:rPr>
          <w:color w:val="231F20"/>
        </w:rPr>
        <w:t>и паровода. Одлагање пепела и шљаке је на депонију у ПК </w:t>
      </w:r>
      <w:r>
        <w:rPr>
          <w:color w:val="231F20"/>
          <w:spacing w:val="-3"/>
        </w:rPr>
        <w:t>„Ћириковац”, која </w:t>
      </w:r>
      <w:r>
        <w:rPr>
          <w:color w:val="231F20"/>
        </w:rPr>
        <w:t>је у пробном </w:t>
      </w:r>
      <w:r>
        <w:rPr>
          <w:color w:val="231F20"/>
          <w:spacing w:val="-4"/>
        </w:rPr>
        <w:t>раду, </w:t>
      </w:r>
      <w:r>
        <w:rPr>
          <w:color w:val="231F20"/>
        </w:rPr>
        <w:t>док депонија „Средње </w:t>
      </w:r>
      <w:r>
        <w:rPr>
          <w:color w:val="231F20"/>
          <w:spacing w:val="-4"/>
        </w:rPr>
        <w:t>костолачко </w:t>
      </w:r>
      <w:r>
        <w:rPr>
          <w:color w:val="231F20"/>
        </w:rPr>
        <w:t>острво”, </w:t>
      </w:r>
      <w:r>
        <w:rPr>
          <w:color w:val="231F20"/>
          <w:spacing w:val="-3"/>
        </w:rPr>
        <w:t>након </w:t>
      </w:r>
      <w:r>
        <w:rPr>
          <w:color w:val="231F20"/>
        </w:rPr>
        <w:t>увођења нове технологије прикупљања, припреме и транспорта има</w:t>
      </w:r>
      <w:r>
        <w:rPr>
          <w:color w:val="231F20"/>
          <w:spacing w:val="-2"/>
        </w:rPr>
        <w:t> </w:t>
      </w:r>
      <w:r>
        <w:rPr>
          <w:color w:val="231F20"/>
        </w:rPr>
        <w:t>резервни</w:t>
      </w:r>
    </w:p>
    <w:p>
      <w:pPr>
        <w:pStyle w:val="BodyText"/>
        <w:spacing w:line="232" w:lineRule="auto"/>
        <w:ind w:left="173" w:right="38" w:firstLine="396"/>
      </w:pPr>
      <w:r>
        <w:rPr>
          <w:color w:val="231F20"/>
        </w:rPr>
        <w:t>Снабдевање угљем је заједничко за оба постојећа блока, али и за планирани нови блок. Подужно складиште, са резервом </w:t>
      </w:r>
      <w:r>
        <w:rPr>
          <w:color w:val="231F20"/>
          <w:spacing w:val="-3"/>
        </w:rPr>
        <w:t>од </w:t>
      </w:r>
      <w:r>
        <w:rPr>
          <w:color w:val="231F20"/>
        </w:rPr>
        <w:t>30 дана,</w:t>
      </w:r>
      <w:r>
        <w:rPr>
          <w:color w:val="231F20"/>
          <w:spacing w:val="-6"/>
        </w:rPr>
        <w:t> </w:t>
      </w:r>
      <w:r>
        <w:rPr>
          <w:color w:val="231F20"/>
        </w:rPr>
        <w:t>снабдевено</w:t>
      </w:r>
      <w:r>
        <w:rPr>
          <w:color w:val="231F20"/>
          <w:spacing w:val="-6"/>
        </w:rPr>
        <w:t> </w:t>
      </w:r>
      <w:r>
        <w:rPr>
          <w:color w:val="231F20"/>
        </w:rPr>
        <w:t>је</w:t>
      </w:r>
      <w:r>
        <w:rPr>
          <w:color w:val="231F20"/>
          <w:spacing w:val="-7"/>
        </w:rPr>
        <w:t> </w:t>
      </w:r>
      <w:r>
        <w:rPr>
          <w:color w:val="231F20"/>
        </w:rPr>
        <w:t>савременим</w:t>
      </w:r>
      <w:r>
        <w:rPr>
          <w:color w:val="231F20"/>
          <w:spacing w:val="-6"/>
        </w:rPr>
        <w:t> </w:t>
      </w:r>
      <w:r>
        <w:rPr>
          <w:color w:val="231F20"/>
        </w:rPr>
        <w:t>уређајима</w:t>
      </w:r>
      <w:r>
        <w:rPr>
          <w:color w:val="231F20"/>
          <w:spacing w:val="-7"/>
        </w:rPr>
        <w:t> </w:t>
      </w:r>
      <w:r>
        <w:rPr>
          <w:color w:val="231F20"/>
          <w:spacing w:val="-3"/>
        </w:rPr>
        <w:t>који</w:t>
      </w:r>
      <w:r>
        <w:rPr>
          <w:color w:val="231F20"/>
          <w:spacing w:val="-7"/>
        </w:rPr>
        <w:t> </w:t>
      </w:r>
      <w:r>
        <w:rPr>
          <w:color w:val="231F20"/>
        </w:rPr>
        <w:t>омогућавају</w:t>
      </w:r>
      <w:r>
        <w:rPr>
          <w:color w:val="231F20"/>
          <w:spacing w:val="-7"/>
        </w:rPr>
        <w:t> </w:t>
      </w:r>
      <w:r>
        <w:rPr>
          <w:color w:val="231F20"/>
        </w:rPr>
        <w:t>сигур- но снабдевање електране и ефикасну манипулацију угља. Довод угља</w:t>
      </w:r>
      <w:r>
        <w:rPr>
          <w:color w:val="231F20"/>
          <w:spacing w:val="-6"/>
        </w:rPr>
        <w:t> </w:t>
      </w:r>
      <w:r>
        <w:rPr>
          <w:color w:val="231F20"/>
          <w:spacing w:val="-3"/>
        </w:rPr>
        <w:t>од</w:t>
      </w:r>
      <w:r>
        <w:rPr>
          <w:color w:val="231F20"/>
          <w:spacing w:val="-6"/>
        </w:rPr>
        <w:t> </w:t>
      </w:r>
      <w:r>
        <w:rPr>
          <w:color w:val="231F20"/>
          <w:spacing w:val="-3"/>
        </w:rPr>
        <w:t>рудника</w:t>
      </w:r>
      <w:r>
        <w:rPr>
          <w:color w:val="231F20"/>
          <w:spacing w:val="-6"/>
        </w:rPr>
        <w:t> </w:t>
      </w:r>
      <w:r>
        <w:rPr>
          <w:color w:val="231F20"/>
        </w:rPr>
        <w:t>до</w:t>
      </w:r>
      <w:r>
        <w:rPr>
          <w:color w:val="231F20"/>
          <w:spacing w:val="-6"/>
        </w:rPr>
        <w:t> </w:t>
      </w:r>
      <w:r>
        <w:rPr>
          <w:color w:val="231F20"/>
        </w:rPr>
        <w:t>дробилане,</w:t>
      </w:r>
      <w:r>
        <w:rPr>
          <w:color w:val="231F20"/>
          <w:spacing w:val="-6"/>
        </w:rPr>
        <w:t> </w:t>
      </w:r>
      <w:r>
        <w:rPr>
          <w:color w:val="231F20"/>
        </w:rPr>
        <w:t>а</w:t>
      </w:r>
      <w:r>
        <w:rPr>
          <w:color w:val="231F20"/>
          <w:spacing w:val="-6"/>
        </w:rPr>
        <w:t> </w:t>
      </w:r>
      <w:r>
        <w:rPr>
          <w:color w:val="231F20"/>
        </w:rPr>
        <w:t>затим</w:t>
      </w:r>
      <w:r>
        <w:rPr>
          <w:color w:val="231F20"/>
          <w:spacing w:val="-6"/>
        </w:rPr>
        <w:t> </w:t>
      </w:r>
      <w:r>
        <w:rPr>
          <w:color w:val="231F20"/>
        </w:rPr>
        <w:t>до</w:t>
      </w:r>
      <w:r>
        <w:rPr>
          <w:color w:val="231F20"/>
          <w:spacing w:val="-6"/>
        </w:rPr>
        <w:t> </w:t>
      </w:r>
      <w:r>
        <w:rPr>
          <w:color w:val="231F20"/>
        </w:rPr>
        <w:t>електране</w:t>
      </w:r>
      <w:r>
        <w:rPr>
          <w:color w:val="231F20"/>
          <w:spacing w:val="-6"/>
        </w:rPr>
        <w:t> </w:t>
      </w:r>
      <w:r>
        <w:rPr>
          <w:color w:val="231F20"/>
        </w:rPr>
        <w:t>врши</w:t>
      </w:r>
      <w:r>
        <w:rPr>
          <w:color w:val="231F20"/>
          <w:spacing w:val="-6"/>
        </w:rPr>
        <w:t> </w:t>
      </w:r>
      <w:r>
        <w:rPr>
          <w:color w:val="231F20"/>
        </w:rPr>
        <w:t>се</w:t>
      </w:r>
      <w:r>
        <w:rPr>
          <w:color w:val="231F20"/>
          <w:spacing w:val="-6"/>
        </w:rPr>
        <w:t> </w:t>
      </w:r>
      <w:r>
        <w:rPr>
          <w:color w:val="231F20"/>
        </w:rPr>
        <w:t>меха- ничким путем,</w:t>
      </w:r>
      <w:r>
        <w:rPr>
          <w:color w:val="231F20"/>
          <w:spacing w:val="-1"/>
        </w:rPr>
        <w:t> </w:t>
      </w:r>
      <w:r>
        <w:rPr>
          <w:color w:val="231F20"/>
        </w:rPr>
        <w:t>тракама.</w:t>
      </w:r>
    </w:p>
    <w:p>
      <w:pPr>
        <w:pStyle w:val="BodyText"/>
        <w:spacing w:line="232" w:lineRule="auto"/>
        <w:ind w:left="173" w:right="38" w:firstLine="397"/>
      </w:pPr>
      <w:r>
        <w:rPr>
          <w:color w:val="231F20"/>
        </w:rPr>
        <w:t>Диспозиционо решење комплекса је успостављено са циљем постизања најсврсисходније везе са депонијом угља и транспортa до бункерских силоса, технолошког процеса рада котларнице и машинске сале, као и трансформисања електричне енергије.</w:t>
      </w:r>
    </w:p>
    <w:p>
      <w:pPr>
        <w:pStyle w:val="BodyText"/>
        <w:spacing w:line="232" w:lineRule="auto"/>
        <w:ind w:left="173" w:right="38" w:firstLine="396"/>
      </w:pPr>
      <w:r>
        <w:rPr>
          <w:color w:val="231F20"/>
        </w:rPr>
        <w:t>Допрема угља са ПК „Дрмно” је могућа двоструким систе- мом покретних трака или са депоније угља или директно са </w:t>
      </w:r>
      <w:r>
        <w:rPr>
          <w:color w:val="231F20"/>
          <w:spacing w:val="-3"/>
        </w:rPr>
        <w:t>копа. </w:t>
      </w:r>
      <w:r>
        <w:rPr>
          <w:color w:val="231F20"/>
        </w:rPr>
        <w:t>Сваки блок има 8 бункера за угаљ </w:t>
      </w:r>
      <w:r>
        <w:rPr>
          <w:color w:val="231F20"/>
          <w:spacing w:val="-3"/>
        </w:rPr>
        <w:t>који </w:t>
      </w:r>
      <w:r>
        <w:rPr>
          <w:color w:val="231F20"/>
        </w:rPr>
        <w:t>се равномерно пуне. При номиналном раду оба блока потребно је у бункере за угаљ на про- изводним </w:t>
      </w:r>
      <w:r>
        <w:rPr>
          <w:color w:val="231F20"/>
          <w:spacing w:val="-3"/>
        </w:rPr>
        <w:t>блоковима </w:t>
      </w:r>
      <w:r>
        <w:rPr>
          <w:color w:val="231F20"/>
        </w:rPr>
        <w:t>убацити </w:t>
      </w:r>
      <w:r>
        <w:rPr>
          <w:color w:val="231F20"/>
          <w:spacing w:val="-4"/>
        </w:rPr>
        <w:t>око </w:t>
      </w:r>
      <w:r>
        <w:rPr>
          <w:color w:val="231F20"/>
        </w:rPr>
        <w:t>1500 t угља на </w:t>
      </w:r>
      <w:r>
        <w:rPr>
          <w:color w:val="231F20"/>
          <w:spacing w:val="-5"/>
        </w:rPr>
        <w:t>сат. </w:t>
      </w:r>
      <w:r>
        <w:rPr>
          <w:color w:val="231F20"/>
        </w:rPr>
        <w:t>Двоструки систем покретних трака омогућава различито конфигурисање, од- носно формирање различитих путева угља </w:t>
      </w:r>
      <w:r>
        <w:rPr>
          <w:color w:val="231F20"/>
          <w:spacing w:val="-3"/>
        </w:rPr>
        <w:t>од </w:t>
      </w:r>
      <w:r>
        <w:rPr>
          <w:color w:val="231F20"/>
        </w:rPr>
        <w:t>депоније до</w:t>
      </w:r>
      <w:r>
        <w:rPr>
          <w:color w:val="231F20"/>
          <w:spacing w:val="-31"/>
        </w:rPr>
        <w:t> </w:t>
      </w:r>
      <w:r>
        <w:rPr>
          <w:color w:val="231F20"/>
        </w:rPr>
        <w:t>бункера блока. </w:t>
      </w:r>
      <w:r>
        <w:rPr>
          <w:color w:val="231F20"/>
          <w:spacing w:val="-3"/>
        </w:rPr>
        <w:t>Траке </w:t>
      </w:r>
      <w:r>
        <w:rPr>
          <w:color w:val="231F20"/>
        </w:rPr>
        <w:t>су различите дужине, </w:t>
      </w:r>
      <w:r>
        <w:rPr>
          <w:color w:val="231F20"/>
          <w:spacing w:val="-3"/>
        </w:rPr>
        <w:t>од </w:t>
      </w:r>
      <w:r>
        <w:rPr>
          <w:color w:val="231F20"/>
        </w:rPr>
        <w:t>50 m до 800 m. На местима </w:t>
      </w:r>
      <w:r>
        <w:rPr>
          <w:color w:val="231F20"/>
          <w:spacing w:val="-4"/>
        </w:rPr>
        <w:t>где </w:t>
      </w:r>
      <w:r>
        <w:rPr>
          <w:color w:val="231F20"/>
        </w:rPr>
        <w:t>се траке укрштају постоје пресипне клапне </w:t>
      </w:r>
      <w:r>
        <w:rPr>
          <w:color w:val="231F20"/>
          <w:spacing w:val="-3"/>
        </w:rPr>
        <w:t>којима </w:t>
      </w:r>
      <w:r>
        <w:rPr>
          <w:color w:val="231F20"/>
        </w:rPr>
        <w:t>се управља ради усмеравања</w:t>
      </w:r>
      <w:r>
        <w:rPr>
          <w:color w:val="231F20"/>
          <w:spacing w:val="-2"/>
        </w:rPr>
        <w:t> </w:t>
      </w:r>
      <w:r>
        <w:rPr>
          <w:color w:val="231F20"/>
        </w:rPr>
        <w:t>угља.</w:t>
      </w:r>
    </w:p>
    <w:p>
      <w:pPr>
        <w:pStyle w:val="BodyText"/>
        <w:spacing w:line="232" w:lineRule="auto" w:before="78"/>
        <w:ind w:left="172" w:right="407" w:firstLine="397"/>
      </w:pPr>
      <w:r>
        <w:rPr/>
        <w:br w:type="column"/>
      </w:r>
      <w:r>
        <w:rPr>
          <w:color w:val="231F20"/>
        </w:rPr>
        <w:t>Простор за депоновање угља на ТЕ „Костолац Б” чине че- тири линијске депоније. Опслуживање ових депонија и манипула- ција угљем је комбинованим машинама нa три кранске стазе. </w:t>
      </w:r>
      <w:r>
        <w:rPr>
          <w:color w:val="231F20"/>
          <w:spacing w:val="-5"/>
        </w:rPr>
        <w:t>То- ком </w:t>
      </w:r>
      <w:r>
        <w:rPr>
          <w:color w:val="231F20"/>
        </w:rPr>
        <w:t>2009. и 2010. </w:t>
      </w:r>
      <w:r>
        <w:rPr>
          <w:color w:val="231F20"/>
          <w:spacing w:val="-3"/>
        </w:rPr>
        <w:t>године </w:t>
      </w:r>
      <w:r>
        <w:rPr>
          <w:color w:val="231F20"/>
        </w:rPr>
        <w:t>монтирана је трећа депонијска линија на дробилани ПК „Дрмно”, што је један </w:t>
      </w:r>
      <w:r>
        <w:rPr>
          <w:color w:val="231F20"/>
          <w:spacing w:val="-3"/>
        </w:rPr>
        <w:t>од </w:t>
      </w:r>
      <w:r>
        <w:rPr>
          <w:color w:val="231F20"/>
        </w:rPr>
        <w:t>важнијих предуслова за постизање производње </w:t>
      </w:r>
      <w:r>
        <w:rPr>
          <w:color w:val="231F20"/>
          <w:spacing w:val="-3"/>
        </w:rPr>
        <w:t>од </w:t>
      </w:r>
      <w:r>
        <w:rPr>
          <w:color w:val="231F20"/>
        </w:rPr>
        <w:t>9 x 106 t угља годишње и даљи развој </w:t>
      </w:r>
      <w:r>
        <w:rPr>
          <w:color w:val="231F20"/>
          <w:spacing w:val="-3"/>
        </w:rPr>
        <w:t>копа. </w:t>
      </w:r>
      <w:r>
        <w:rPr>
          <w:color w:val="231F20"/>
        </w:rPr>
        <w:t>У оквиру тог пројекта, предвиђена је набавка и монтажа но- ве дробилице, пресељење депонијске машине са ПК </w:t>
      </w:r>
      <w:r>
        <w:rPr>
          <w:color w:val="231F20"/>
          <w:spacing w:val="-3"/>
        </w:rPr>
        <w:t>„Ћириковац” </w:t>
      </w:r>
      <w:r>
        <w:rPr>
          <w:color w:val="231F20"/>
        </w:rPr>
        <w:t>на</w:t>
      </w:r>
      <w:r>
        <w:rPr>
          <w:color w:val="231F20"/>
          <w:spacing w:val="-7"/>
        </w:rPr>
        <w:t> </w:t>
      </w:r>
      <w:r>
        <w:rPr>
          <w:color w:val="231F20"/>
        </w:rPr>
        <w:t>ПК</w:t>
      </w:r>
      <w:r>
        <w:rPr>
          <w:color w:val="231F20"/>
          <w:spacing w:val="-7"/>
        </w:rPr>
        <w:t> </w:t>
      </w:r>
      <w:r>
        <w:rPr>
          <w:color w:val="231F20"/>
        </w:rPr>
        <w:t>„Дрмно”</w:t>
      </w:r>
      <w:r>
        <w:rPr>
          <w:color w:val="231F20"/>
          <w:spacing w:val="-7"/>
        </w:rPr>
        <w:t> </w:t>
      </w:r>
      <w:r>
        <w:rPr>
          <w:color w:val="231F20"/>
        </w:rPr>
        <w:t>и</w:t>
      </w:r>
      <w:r>
        <w:rPr>
          <w:color w:val="231F20"/>
          <w:spacing w:val="-7"/>
        </w:rPr>
        <w:t> </w:t>
      </w:r>
      <w:r>
        <w:rPr>
          <w:color w:val="231F20"/>
        </w:rPr>
        <w:t>активности</w:t>
      </w:r>
      <w:r>
        <w:rPr>
          <w:color w:val="231F20"/>
          <w:spacing w:val="-7"/>
        </w:rPr>
        <w:t> </w:t>
      </w:r>
      <w:r>
        <w:rPr>
          <w:color w:val="231F20"/>
        </w:rPr>
        <w:t>на</w:t>
      </w:r>
      <w:r>
        <w:rPr>
          <w:color w:val="231F20"/>
          <w:spacing w:val="-7"/>
        </w:rPr>
        <w:t> </w:t>
      </w:r>
      <w:r>
        <w:rPr>
          <w:color w:val="231F20"/>
        </w:rPr>
        <w:t>реконструкцији</w:t>
      </w:r>
      <w:r>
        <w:rPr>
          <w:color w:val="231F20"/>
          <w:spacing w:val="-7"/>
        </w:rPr>
        <w:t> </w:t>
      </w:r>
      <w:r>
        <w:rPr>
          <w:color w:val="231F20"/>
        </w:rPr>
        <w:t>депонијског</w:t>
      </w:r>
      <w:r>
        <w:rPr>
          <w:color w:val="231F20"/>
          <w:spacing w:val="-7"/>
        </w:rPr>
        <w:t> </w:t>
      </w:r>
      <w:r>
        <w:rPr>
          <w:color w:val="231F20"/>
        </w:rPr>
        <w:t>баге- ра са ПК</w:t>
      </w:r>
      <w:r>
        <w:rPr>
          <w:color w:val="231F20"/>
          <w:spacing w:val="-1"/>
        </w:rPr>
        <w:t> </w:t>
      </w:r>
      <w:r>
        <w:rPr>
          <w:color w:val="231F20"/>
          <w:spacing w:val="-3"/>
        </w:rPr>
        <w:t>„Ћириковац”.</w:t>
      </w:r>
    </w:p>
    <w:p>
      <w:pPr>
        <w:pStyle w:val="BodyText"/>
        <w:spacing w:line="232" w:lineRule="auto"/>
        <w:ind w:left="113" w:right="409" w:firstLine="397"/>
        <w:jc w:val="right"/>
      </w:pPr>
      <w:r>
        <w:rPr>
          <w:color w:val="231F20"/>
          <w:spacing w:val="-10"/>
        </w:rPr>
        <w:t>Уз </w:t>
      </w:r>
      <w:r>
        <w:rPr>
          <w:color w:val="231F20"/>
          <w:spacing w:val="-5"/>
        </w:rPr>
        <w:t>главни погонски објекат </w:t>
      </w:r>
      <w:r>
        <w:rPr>
          <w:color w:val="231F20"/>
        </w:rPr>
        <w:t>је </w:t>
      </w:r>
      <w:r>
        <w:rPr>
          <w:color w:val="231F20"/>
          <w:spacing w:val="-4"/>
        </w:rPr>
        <w:t>лоциран </w:t>
      </w:r>
      <w:r>
        <w:rPr>
          <w:color w:val="231F20"/>
          <w:spacing w:val="-5"/>
        </w:rPr>
        <w:t>објекат </w:t>
      </w:r>
      <w:r>
        <w:rPr>
          <w:color w:val="231F20"/>
          <w:spacing w:val="-4"/>
        </w:rPr>
        <w:t>помоћног </w:t>
      </w:r>
      <w:r>
        <w:rPr>
          <w:color w:val="231F20"/>
          <w:spacing w:val="-5"/>
        </w:rPr>
        <w:t>пого-</w:t>
      </w:r>
      <w:r>
        <w:rPr>
          <w:color w:val="231F20"/>
        </w:rPr>
        <w:t> на са </w:t>
      </w:r>
      <w:r>
        <w:rPr>
          <w:color w:val="231F20"/>
          <w:spacing w:val="-4"/>
        </w:rPr>
        <w:t>радионицама </w:t>
      </w:r>
      <w:r>
        <w:rPr>
          <w:color w:val="231F20"/>
        </w:rPr>
        <w:t>и </w:t>
      </w:r>
      <w:r>
        <w:rPr>
          <w:color w:val="231F20"/>
          <w:spacing w:val="-5"/>
        </w:rPr>
        <w:t>магацином одговарајућег </w:t>
      </w:r>
      <w:r>
        <w:rPr>
          <w:color w:val="231F20"/>
          <w:spacing w:val="-4"/>
        </w:rPr>
        <w:t>капацитета</w:t>
      </w:r>
      <w:r>
        <w:rPr>
          <w:color w:val="231F20"/>
        </w:rPr>
        <w:t> за </w:t>
      </w:r>
      <w:r>
        <w:rPr>
          <w:color w:val="231F20"/>
          <w:spacing w:val="-4"/>
        </w:rPr>
        <w:t>потребе</w:t>
      </w:r>
      <w:r>
        <w:rPr>
          <w:color w:val="231F20"/>
        </w:rPr>
        <w:t> </w:t>
      </w:r>
      <w:r>
        <w:rPr>
          <w:color w:val="231F20"/>
          <w:spacing w:val="-5"/>
        </w:rPr>
        <w:t>свакодневног </w:t>
      </w:r>
      <w:r>
        <w:rPr>
          <w:color w:val="231F20"/>
          <w:spacing w:val="-4"/>
        </w:rPr>
        <w:t>опслуживања термоелектране, </w:t>
      </w:r>
      <w:r>
        <w:rPr>
          <w:color w:val="231F20"/>
          <w:spacing w:val="-2"/>
        </w:rPr>
        <w:t>али </w:t>
      </w:r>
      <w:r>
        <w:rPr>
          <w:color w:val="231F20"/>
        </w:rPr>
        <w:t>и </w:t>
      </w:r>
      <w:r>
        <w:rPr>
          <w:color w:val="231F20"/>
          <w:spacing w:val="-8"/>
        </w:rPr>
        <w:t>код </w:t>
      </w:r>
      <w:r>
        <w:rPr>
          <w:color w:val="231F20"/>
          <w:spacing w:val="-4"/>
        </w:rPr>
        <w:t>већих ремонта.</w:t>
      </w:r>
      <w:r>
        <w:rPr>
          <w:color w:val="231F20"/>
        </w:rPr>
        <w:t> Објекти снабдевања и третмана воде су постављени у непо- средној близини ГПО, па су </w:t>
      </w:r>
      <w:r>
        <w:rPr>
          <w:color w:val="231F20"/>
          <w:spacing w:val="-3"/>
        </w:rPr>
        <w:t>одводни </w:t>
      </w:r>
      <w:r>
        <w:rPr>
          <w:color w:val="231F20"/>
        </w:rPr>
        <w:t>и доводни цевоводи оптимал- них дужина. Предвиђене су површине за проширење овог система</w:t>
      </w:r>
    </w:p>
    <w:p>
      <w:pPr>
        <w:pStyle w:val="BodyText"/>
        <w:spacing w:line="195" w:lineRule="exact"/>
        <w:ind w:left="171"/>
        <w:jc w:val="left"/>
      </w:pPr>
      <w:r>
        <w:rPr>
          <w:color w:val="231F20"/>
        </w:rPr>
        <w:t>за потребе изградње новог капацитета.</w:t>
      </w:r>
    </w:p>
    <w:p>
      <w:pPr>
        <w:pStyle w:val="BodyText"/>
        <w:spacing w:line="232" w:lineRule="auto"/>
        <w:ind w:left="171" w:right="409" w:firstLine="396"/>
      </w:pPr>
      <w:r>
        <w:rPr>
          <w:color w:val="231F20"/>
        </w:rPr>
        <w:t>Објекти снабдевања горивом </w:t>
      </w:r>
      <w:r>
        <w:rPr>
          <w:color w:val="231F20"/>
          <w:spacing w:val="-3"/>
        </w:rPr>
        <w:t>(мазут, </w:t>
      </w:r>
      <w:r>
        <w:rPr>
          <w:color w:val="231F20"/>
        </w:rPr>
        <w:t>нафта), с обзиром на природу</w:t>
      </w:r>
      <w:r>
        <w:rPr>
          <w:color w:val="231F20"/>
          <w:spacing w:val="-9"/>
        </w:rPr>
        <w:t> </w:t>
      </w:r>
      <w:r>
        <w:rPr>
          <w:color w:val="231F20"/>
        </w:rPr>
        <w:t>и</w:t>
      </w:r>
      <w:r>
        <w:rPr>
          <w:color w:val="231F20"/>
          <w:spacing w:val="-9"/>
        </w:rPr>
        <w:t> </w:t>
      </w:r>
      <w:r>
        <w:rPr>
          <w:color w:val="231F20"/>
        </w:rPr>
        <w:t>време</w:t>
      </w:r>
      <w:r>
        <w:rPr>
          <w:color w:val="231F20"/>
          <w:spacing w:val="-9"/>
        </w:rPr>
        <w:t> </w:t>
      </w:r>
      <w:r>
        <w:rPr>
          <w:color w:val="231F20"/>
        </w:rPr>
        <w:t>складиштења</w:t>
      </w:r>
      <w:r>
        <w:rPr>
          <w:color w:val="231F20"/>
          <w:spacing w:val="-9"/>
        </w:rPr>
        <w:t> </w:t>
      </w:r>
      <w:r>
        <w:rPr>
          <w:color w:val="231F20"/>
        </w:rPr>
        <w:t>тих</w:t>
      </w:r>
      <w:r>
        <w:rPr>
          <w:color w:val="231F20"/>
          <w:spacing w:val="-9"/>
        </w:rPr>
        <w:t> </w:t>
      </w:r>
      <w:r>
        <w:rPr>
          <w:color w:val="231F20"/>
        </w:rPr>
        <w:t>материјала,</w:t>
      </w:r>
      <w:r>
        <w:rPr>
          <w:color w:val="231F20"/>
          <w:spacing w:val="-9"/>
        </w:rPr>
        <w:t> </w:t>
      </w:r>
      <w:r>
        <w:rPr>
          <w:color w:val="231F20"/>
        </w:rPr>
        <w:t>а</w:t>
      </w:r>
      <w:r>
        <w:rPr>
          <w:color w:val="231F20"/>
          <w:spacing w:val="-9"/>
        </w:rPr>
        <w:t> </w:t>
      </w:r>
      <w:r>
        <w:rPr>
          <w:color w:val="231F20"/>
        </w:rPr>
        <w:t>пре</w:t>
      </w:r>
      <w:r>
        <w:rPr>
          <w:color w:val="231F20"/>
          <w:spacing w:val="-9"/>
        </w:rPr>
        <w:t> </w:t>
      </w:r>
      <w:r>
        <w:rPr>
          <w:color w:val="231F20"/>
        </w:rPr>
        <w:t>свега,</w:t>
      </w:r>
      <w:r>
        <w:rPr>
          <w:color w:val="231F20"/>
          <w:spacing w:val="-9"/>
        </w:rPr>
        <w:t> </w:t>
      </w:r>
      <w:r>
        <w:rPr>
          <w:color w:val="231F20"/>
        </w:rPr>
        <w:t>доступ- ност средствима за гашење евентуалних пожара, лоцирани су уз трасе железничке и путне</w:t>
      </w:r>
      <w:r>
        <w:rPr>
          <w:color w:val="231F20"/>
          <w:spacing w:val="-5"/>
        </w:rPr>
        <w:t> </w:t>
      </w:r>
      <w:r>
        <w:rPr>
          <w:color w:val="231F20"/>
        </w:rPr>
        <w:t>комуникације.</w:t>
      </w:r>
    </w:p>
    <w:p>
      <w:pPr>
        <w:pStyle w:val="BodyText"/>
        <w:spacing w:line="232" w:lineRule="auto"/>
        <w:ind w:left="171" w:right="409" w:firstLine="396"/>
      </w:pPr>
      <w:r>
        <w:rPr>
          <w:color w:val="231F20"/>
        </w:rPr>
        <w:t>Релативно прљави објекти (депо булдозера, гараже) поста- вљени су бочно </w:t>
      </w:r>
      <w:r>
        <w:rPr>
          <w:color w:val="231F20"/>
          <w:spacing w:val="-3"/>
        </w:rPr>
        <w:t>од </w:t>
      </w:r>
      <w:r>
        <w:rPr>
          <w:color w:val="231F20"/>
        </w:rPr>
        <w:t>централне диспозиције главних функција елек- тране</w:t>
      </w:r>
      <w:r>
        <w:rPr>
          <w:color w:val="231F20"/>
          <w:spacing w:val="-8"/>
        </w:rPr>
        <w:t> </w:t>
      </w:r>
      <w:r>
        <w:rPr>
          <w:color w:val="231F20"/>
        </w:rPr>
        <w:t>(ГПО,</w:t>
      </w:r>
      <w:r>
        <w:rPr>
          <w:color w:val="231F20"/>
          <w:spacing w:val="-8"/>
        </w:rPr>
        <w:t> </w:t>
      </w:r>
      <w:r>
        <w:rPr>
          <w:color w:val="231F20"/>
        </w:rPr>
        <w:t>ХПВ,</w:t>
      </w:r>
      <w:r>
        <w:rPr>
          <w:color w:val="231F20"/>
          <w:spacing w:val="-8"/>
        </w:rPr>
        <w:t> </w:t>
      </w:r>
      <w:r>
        <w:rPr>
          <w:color w:val="231F20"/>
        </w:rPr>
        <w:t>разводно</w:t>
      </w:r>
      <w:r>
        <w:rPr>
          <w:color w:val="231F20"/>
          <w:spacing w:val="-8"/>
        </w:rPr>
        <w:t> </w:t>
      </w:r>
      <w:r>
        <w:rPr>
          <w:color w:val="231F20"/>
        </w:rPr>
        <w:t>постројење)</w:t>
      </w:r>
      <w:r>
        <w:rPr>
          <w:color w:val="231F20"/>
          <w:spacing w:val="-8"/>
        </w:rPr>
        <w:t> </w:t>
      </w:r>
      <w:r>
        <w:rPr>
          <w:color w:val="231F20"/>
        </w:rPr>
        <w:t>и</w:t>
      </w:r>
      <w:r>
        <w:rPr>
          <w:color w:val="231F20"/>
          <w:spacing w:val="-8"/>
        </w:rPr>
        <w:t> </w:t>
      </w:r>
      <w:r>
        <w:rPr>
          <w:color w:val="231F20"/>
        </w:rPr>
        <w:t>у</w:t>
      </w:r>
      <w:r>
        <w:rPr>
          <w:color w:val="231F20"/>
          <w:spacing w:val="-8"/>
        </w:rPr>
        <w:t> </w:t>
      </w:r>
      <w:r>
        <w:rPr>
          <w:color w:val="231F20"/>
        </w:rPr>
        <w:t>непосредној</w:t>
      </w:r>
      <w:r>
        <w:rPr>
          <w:color w:val="231F20"/>
          <w:spacing w:val="-8"/>
        </w:rPr>
        <w:t> </w:t>
      </w:r>
      <w:r>
        <w:rPr>
          <w:color w:val="231F20"/>
        </w:rPr>
        <w:t>су</w:t>
      </w:r>
      <w:r>
        <w:rPr>
          <w:color w:val="231F20"/>
          <w:spacing w:val="-8"/>
        </w:rPr>
        <w:t> </w:t>
      </w:r>
      <w:r>
        <w:rPr>
          <w:color w:val="231F20"/>
        </w:rPr>
        <w:t>близи- ни зоне </w:t>
      </w:r>
      <w:r>
        <w:rPr>
          <w:color w:val="231F20"/>
          <w:spacing w:val="-3"/>
        </w:rPr>
        <w:t>где </w:t>
      </w:r>
      <w:r>
        <w:rPr>
          <w:color w:val="231F20"/>
        </w:rPr>
        <w:t>је предвиђена употреба возила и</w:t>
      </w:r>
      <w:r>
        <w:rPr>
          <w:color w:val="231F20"/>
          <w:spacing w:val="-9"/>
        </w:rPr>
        <w:t> </w:t>
      </w:r>
      <w:r>
        <w:rPr>
          <w:color w:val="231F20"/>
        </w:rPr>
        <w:t>машина.</w:t>
      </w:r>
    </w:p>
    <w:p>
      <w:pPr>
        <w:pStyle w:val="BodyText"/>
        <w:spacing w:line="232" w:lineRule="auto"/>
        <w:ind w:right="410" w:firstLine="397"/>
      </w:pPr>
      <w:r>
        <w:rPr>
          <w:color w:val="231F20"/>
          <w:spacing w:val="-4"/>
        </w:rPr>
        <w:t>Разводно </w:t>
      </w:r>
      <w:r>
        <w:rPr>
          <w:color w:val="231F20"/>
          <w:spacing w:val="-3"/>
        </w:rPr>
        <w:t>постројење </w:t>
      </w:r>
      <w:r>
        <w:rPr>
          <w:color w:val="231F20"/>
        </w:rPr>
        <w:t>400 kV </w:t>
      </w:r>
      <w:r>
        <w:rPr>
          <w:color w:val="231F20"/>
          <w:spacing w:val="-3"/>
        </w:rPr>
        <w:t>„Дрмно”, </w:t>
      </w:r>
      <w:r>
        <w:rPr>
          <w:color w:val="231F20"/>
          <w:spacing w:val="-5"/>
        </w:rPr>
        <w:t>које </w:t>
      </w:r>
      <w:r>
        <w:rPr>
          <w:color w:val="231F20"/>
          <w:spacing w:val="-4"/>
        </w:rPr>
        <w:t>омогућава </w:t>
      </w:r>
      <w:r>
        <w:rPr>
          <w:color w:val="231F20"/>
          <w:spacing w:val="-3"/>
        </w:rPr>
        <w:t>везу </w:t>
      </w:r>
      <w:r>
        <w:rPr>
          <w:color w:val="231F20"/>
        </w:rPr>
        <w:t>са </w:t>
      </w:r>
      <w:r>
        <w:rPr>
          <w:color w:val="231F20"/>
          <w:spacing w:val="-3"/>
        </w:rPr>
        <w:t>електроенергетским </w:t>
      </w:r>
      <w:r>
        <w:rPr>
          <w:color w:val="231F20"/>
          <w:spacing w:val="-4"/>
        </w:rPr>
        <w:t>системом, </w:t>
      </w:r>
      <w:r>
        <w:rPr>
          <w:color w:val="231F20"/>
          <w:spacing w:val="-5"/>
        </w:rPr>
        <w:t>удаљено </w:t>
      </w:r>
      <w:r>
        <w:rPr>
          <w:color w:val="231F20"/>
        </w:rPr>
        <w:t>је </w:t>
      </w:r>
      <w:r>
        <w:rPr>
          <w:color w:val="231F20"/>
          <w:spacing w:val="-4"/>
        </w:rPr>
        <w:t>од главних погонских објеката </w:t>
      </w:r>
      <w:r>
        <w:rPr>
          <w:color w:val="231F20"/>
          <w:spacing w:val="-5"/>
        </w:rPr>
        <w:t>око </w:t>
      </w:r>
      <w:r>
        <w:rPr>
          <w:color w:val="231F20"/>
        </w:rPr>
        <w:t>120 m. </w:t>
      </w:r>
      <w:r>
        <w:rPr>
          <w:color w:val="231F20"/>
          <w:spacing w:val="-4"/>
        </w:rPr>
        <w:t>Могуће </w:t>
      </w:r>
      <w:r>
        <w:rPr>
          <w:color w:val="231F20"/>
        </w:rPr>
        <w:t>је </w:t>
      </w:r>
      <w:r>
        <w:rPr>
          <w:color w:val="231F20"/>
          <w:spacing w:val="-4"/>
        </w:rPr>
        <w:t>његово </w:t>
      </w:r>
      <w:r>
        <w:rPr>
          <w:color w:val="231F20"/>
          <w:spacing w:val="-3"/>
        </w:rPr>
        <w:t>проширење  </w:t>
      </w:r>
      <w:r>
        <w:rPr>
          <w:color w:val="231F20"/>
        </w:rPr>
        <w:t>за по </w:t>
      </w:r>
      <w:r>
        <w:rPr>
          <w:color w:val="231F20"/>
          <w:spacing w:val="-3"/>
        </w:rPr>
        <w:t>два  поља </w:t>
      </w:r>
      <w:r>
        <w:rPr>
          <w:color w:val="231F20"/>
        </w:rPr>
        <w:t>са </w:t>
      </w:r>
      <w:r>
        <w:rPr>
          <w:color w:val="231F20"/>
          <w:spacing w:val="-3"/>
        </w:rPr>
        <w:t>обе стране. Постројење има </w:t>
      </w:r>
      <w:r>
        <w:rPr>
          <w:color w:val="231F20"/>
          <w:spacing w:val="-5"/>
        </w:rPr>
        <w:t>готово </w:t>
      </w:r>
      <w:r>
        <w:rPr>
          <w:color w:val="231F20"/>
          <w:spacing w:val="-3"/>
        </w:rPr>
        <w:t>управне </w:t>
      </w:r>
      <w:r>
        <w:rPr>
          <w:color w:val="231F20"/>
        </w:rPr>
        <w:t>везе са </w:t>
      </w:r>
      <w:r>
        <w:rPr>
          <w:color w:val="231F20"/>
          <w:spacing w:val="-4"/>
        </w:rPr>
        <w:t>генератори- </w:t>
      </w:r>
      <w:r>
        <w:rPr>
          <w:color w:val="231F20"/>
          <w:spacing w:val="-3"/>
        </w:rPr>
        <w:t>ма. Што </w:t>
      </w:r>
      <w:r>
        <w:rPr>
          <w:color w:val="231F20"/>
        </w:rPr>
        <w:t>се </w:t>
      </w:r>
      <w:r>
        <w:rPr>
          <w:color w:val="231F20"/>
          <w:spacing w:val="-3"/>
        </w:rPr>
        <w:t>расплета </w:t>
      </w:r>
      <w:r>
        <w:rPr>
          <w:color w:val="231F20"/>
          <w:spacing w:val="-5"/>
        </w:rPr>
        <w:t>далековода </w:t>
      </w:r>
      <w:r>
        <w:rPr>
          <w:color w:val="231F20"/>
          <w:spacing w:val="-3"/>
        </w:rPr>
        <w:t>тиче, два </w:t>
      </w:r>
      <w:r>
        <w:rPr>
          <w:color w:val="231F20"/>
        </w:rPr>
        <w:t>ДВ 400 </w:t>
      </w:r>
      <w:r>
        <w:rPr>
          <w:color w:val="231F20"/>
          <w:spacing w:val="-10"/>
        </w:rPr>
        <w:t>kV, </w:t>
      </w:r>
      <w:r>
        <w:rPr>
          <w:color w:val="231F20"/>
          <w:spacing w:val="-3"/>
        </w:rPr>
        <w:t>правац према </w:t>
      </w:r>
      <w:r>
        <w:rPr>
          <w:color w:val="231F20"/>
          <w:spacing w:val="-4"/>
        </w:rPr>
        <w:t>Ђердапу </w:t>
      </w:r>
      <w:r>
        <w:rPr>
          <w:color w:val="231F20"/>
        </w:rPr>
        <w:t>и </w:t>
      </w:r>
      <w:r>
        <w:rPr>
          <w:color w:val="231F20"/>
          <w:spacing w:val="-3"/>
        </w:rPr>
        <w:t>према </w:t>
      </w:r>
      <w:r>
        <w:rPr>
          <w:color w:val="231F20"/>
          <w:spacing w:val="-5"/>
        </w:rPr>
        <w:t>Београду, </w:t>
      </w:r>
      <w:r>
        <w:rPr>
          <w:color w:val="231F20"/>
        </w:rPr>
        <w:t>у </w:t>
      </w:r>
      <w:r>
        <w:rPr>
          <w:color w:val="231F20"/>
          <w:spacing w:val="-5"/>
        </w:rPr>
        <w:t>заједничком </w:t>
      </w:r>
      <w:r>
        <w:rPr>
          <w:color w:val="231F20"/>
          <w:spacing w:val="-3"/>
        </w:rPr>
        <w:t>су </w:t>
      </w:r>
      <w:r>
        <w:rPr>
          <w:color w:val="231F20"/>
          <w:spacing w:val="-5"/>
        </w:rPr>
        <w:t>коридору </w:t>
      </w:r>
      <w:r>
        <w:rPr>
          <w:color w:val="231F20"/>
          <w:spacing w:val="-3"/>
        </w:rPr>
        <w:t>кроз </w:t>
      </w:r>
      <w:r>
        <w:rPr>
          <w:color w:val="231F20"/>
          <w:spacing w:val="-5"/>
        </w:rPr>
        <w:t>комплекс </w:t>
      </w:r>
      <w:r>
        <w:rPr>
          <w:color w:val="231F20"/>
          <w:spacing w:val="-3"/>
        </w:rPr>
        <w:t>електране </w:t>
      </w:r>
      <w:r>
        <w:rPr>
          <w:color w:val="231F20"/>
        </w:rPr>
        <w:t>и </w:t>
      </w:r>
      <w:r>
        <w:rPr>
          <w:color w:val="231F20"/>
          <w:spacing w:val="-3"/>
        </w:rPr>
        <w:t>даље </w:t>
      </w:r>
      <w:r>
        <w:rPr>
          <w:color w:val="231F20"/>
        </w:rPr>
        <w:t>до места </w:t>
      </w:r>
      <w:r>
        <w:rPr>
          <w:color w:val="231F20"/>
          <w:spacing w:val="-3"/>
        </w:rPr>
        <w:t>прикључења </w:t>
      </w:r>
      <w:r>
        <w:rPr>
          <w:color w:val="231F20"/>
        </w:rPr>
        <w:t>на ДВ </w:t>
      </w:r>
      <w:r>
        <w:rPr>
          <w:color w:val="231F20"/>
          <w:spacing w:val="-6"/>
        </w:rPr>
        <w:t>„Ђердап </w:t>
      </w:r>
      <w:r>
        <w:rPr>
          <w:color w:val="231F20"/>
        </w:rPr>
        <w:t>– </w:t>
      </w:r>
      <w:r>
        <w:rPr>
          <w:color w:val="231F20"/>
          <w:spacing w:val="-3"/>
        </w:rPr>
        <w:t>Београд”. </w:t>
      </w:r>
      <w:r>
        <w:rPr>
          <w:color w:val="231F20"/>
        </w:rPr>
        <w:t>ДВ</w:t>
      </w:r>
      <w:r>
        <w:rPr>
          <w:color w:val="231F20"/>
          <w:spacing w:val="-8"/>
        </w:rPr>
        <w:t> </w:t>
      </w:r>
      <w:r>
        <w:rPr>
          <w:color w:val="231F20"/>
        </w:rPr>
        <w:t>400</w:t>
      </w:r>
      <w:r>
        <w:rPr>
          <w:color w:val="231F20"/>
          <w:spacing w:val="-8"/>
        </w:rPr>
        <w:t> </w:t>
      </w:r>
      <w:r>
        <w:rPr>
          <w:color w:val="231F20"/>
        </w:rPr>
        <w:t>kV</w:t>
      </w:r>
      <w:r>
        <w:rPr>
          <w:color w:val="231F20"/>
          <w:spacing w:val="-11"/>
        </w:rPr>
        <w:t> </w:t>
      </w:r>
      <w:r>
        <w:rPr>
          <w:color w:val="231F20"/>
        </w:rPr>
        <w:t>бр.</w:t>
      </w:r>
      <w:r>
        <w:rPr>
          <w:color w:val="231F20"/>
          <w:spacing w:val="-8"/>
        </w:rPr>
        <w:t> </w:t>
      </w:r>
      <w:r>
        <w:rPr>
          <w:color w:val="231F20"/>
        </w:rPr>
        <w:t>453</w:t>
      </w:r>
      <w:r>
        <w:rPr>
          <w:color w:val="231F20"/>
          <w:spacing w:val="-8"/>
        </w:rPr>
        <w:t> </w:t>
      </w:r>
      <w:r>
        <w:rPr>
          <w:color w:val="231F20"/>
        </w:rPr>
        <w:t>је</w:t>
      </w:r>
      <w:r>
        <w:rPr>
          <w:color w:val="231F20"/>
          <w:spacing w:val="-8"/>
        </w:rPr>
        <w:t> </w:t>
      </w:r>
      <w:r>
        <w:rPr>
          <w:color w:val="231F20"/>
          <w:spacing w:val="-3"/>
        </w:rPr>
        <w:t>резервни</w:t>
      </w:r>
      <w:r>
        <w:rPr>
          <w:color w:val="231F20"/>
          <w:spacing w:val="-8"/>
        </w:rPr>
        <w:t> </w:t>
      </w:r>
      <w:r>
        <w:rPr>
          <w:color w:val="231F20"/>
        </w:rPr>
        <w:t>и</w:t>
      </w:r>
      <w:r>
        <w:rPr>
          <w:color w:val="231F20"/>
          <w:spacing w:val="-8"/>
        </w:rPr>
        <w:t> </w:t>
      </w:r>
      <w:r>
        <w:rPr>
          <w:color w:val="231F20"/>
          <w:spacing w:val="-3"/>
        </w:rPr>
        <w:t>усмерен</w:t>
      </w:r>
      <w:r>
        <w:rPr>
          <w:color w:val="231F20"/>
          <w:spacing w:val="-8"/>
        </w:rPr>
        <w:t> </w:t>
      </w:r>
      <w:r>
        <w:rPr>
          <w:color w:val="231F20"/>
        </w:rPr>
        <w:t>је</w:t>
      </w:r>
      <w:r>
        <w:rPr>
          <w:color w:val="231F20"/>
          <w:spacing w:val="-8"/>
        </w:rPr>
        <w:t> </w:t>
      </w:r>
      <w:r>
        <w:rPr>
          <w:color w:val="231F20"/>
          <w:spacing w:val="-3"/>
        </w:rPr>
        <w:t>према</w:t>
      </w:r>
      <w:r>
        <w:rPr>
          <w:color w:val="231F20"/>
          <w:spacing w:val="-8"/>
        </w:rPr>
        <w:t> </w:t>
      </w:r>
      <w:r>
        <w:rPr>
          <w:color w:val="231F20"/>
          <w:spacing w:val="-3"/>
        </w:rPr>
        <w:t>северу</w:t>
      </w:r>
      <w:r>
        <w:rPr>
          <w:color w:val="231F20"/>
          <w:spacing w:val="-8"/>
        </w:rPr>
        <w:t> </w:t>
      </w:r>
      <w:r>
        <w:rPr>
          <w:color w:val="231F20"/>
          <w:spacing w:val="-3"/>
        </w:rPr>
        <w:t>(Панчево).</w:t>
      </w:r>
    </w:p>
    <w:p>
      <w:pPr>
        <w:pStyle w:val="BodyText"/>
        <w:spacing w:line="232" w:lineRule="auto"/>
        <w:ind w:right="410" w:firstLine="396"/>
      </w:pPr>
      <w:r>
        <w:rPr>
          <w:color w:val="231F20"/>
        </w:rPr>
        <w:t>Разводно постројење </w:t>
      </w:r>
      <w:r>
        <w:rPr>
          <w:color w:val="231F20"/>
          <w:spacing w:val="-3"/>
        </w:rPr>
        <w:t>110 </w:t>
      </w:r>
      <w:r>
        <w:rPr>
          <w:color w:val="231F20"/>
          <w:spacing w:val="-8"/>
        </w:rPr>
        <w:t>kV, </w:t>
      </w:r>
      <w:r>
        <w:rPr>
          <w:color w:val="231F20"/>
          <w:spacing w:val="-3"/>
        </w:rPr>
        <w:t>које </w:t>
      </w:r>
      <w:r>
        <w:rPr>
          <w:color w:val="231F20"/>
        </w:rPr>
        <w:t>служи као резервно напаја- ње сопствене потрошње, удаљено </w:t>
      </w:r>
      <w:r>
        <w:rPr>
          <w:color w:val="231F20"/>
          <w:spacing w:val="-4"/>
        </w:rPr>
        <w:t>око </w:t>
      </w:r>
      <w:r>
        <w:rPr>
          <w:color w:val="231F20"/>
        </w:rPr>
        <w:t>130 m </w:t>
      </w:r>
      <w:r>
        <w:rPr>
          <w:color w:val="231F20"/>
          <w:spacing w:val="-3"/>
        </w:rPr>
        <w:t>од </w:t>
      </w:r>
      <w:r>
        <w:rPr>
          <w:color w:val="231F20"/>
        </w:rPr>
        <w:t>ГПО, лоцирано је </w:t>
      </w:r>
      <w:r>
        <w:rPr>
          <w:color w:val="231F20"/>
          <w:spacing w:val="-3"/>
        </w:rPr>
        <w:t>тако </w:t>
      </w:r>
      <w:r>
        <w:rPr>
          <w:color w:val="231F20"/>
        </w:rPr>
        <w:t>да омогућава једноставни расплет далековода према Костол- цу и ПК „Дрмно”. </w:t>
      </w:r>
      <w:r>
        <w:rPr>
          <w:color w:val="231F20"/>
          <w:spacing w:val="-3"/>
        </w:rPr>
        <w:t>Укрштање </w:t>
      </w:r>
      <w:r>
        <w:rPr>
          <w:color w:val="231F20"/>
        </w:rPr>
        <w:t>генераторских веза 400 kV и тран- сформаторских веза </w:t>
      </w:r>
      <w:r>
        <w:rPr>
          <w:color w:val="231F20"/>
          <w:spacing w:val="-3"/>
        </w:rPr>
        <w:t>110 </w:t>
      </w:r>
      <w:r>
        <w:rPr>
          <w:color w:val="231F20"/>
        </w:rPr>
        <w:t>kV је </w:t>
      </w:r>
      <w:r>
        <w:rPr>
          <w:color w:val="231F20"/>
          <w:spacing w:val="-3"/>
        </w:rPr>
        <w:t>скоро под </w:t>
      </w:r>
      <w:r>
        <w:rPr>
          <w:color w:val="231F20"/>
        </w:rPr>
        <w:t>правим </w:t>
      </w:r>
      <w:r>
        <w:rPr>
          <w:color w:val="231F20"/>
          <w:spacing w:val="-3"/>
        </w:rPr>
        <w:t>углом.</w:t>
      </w:r>
    </w:p>
    <w:p>
      <w:pPr>
        <w:pStyle w:val="BodyText"/>
        <w:spacing w:line="232" w:lineRule="auto"/>
        <w:ind w:right="410" w:firstLine="396"/>
      </w:pPr>
      <w:r>
        <w:rPr>
          <w:color w:val="231F20"/>
        </w:rPr>
        <w:t>Изван ограђеног дела </w:t>
      </w:r>
      <w:r>
        <w:rPr>
          <w:color w:val="231F20"/>
          <w:spacing w:val="-3"/>
        </w:rPr>
        <w:t>комплекса </w:t>
      </w:r>
      <w:r>
        <w:rPr>
          <w:color w:val="231F20"/>
        </w:rPr>
        <w:t>успостављени су </w:t>
      </w:r>
      <w:r>
        <w:rPr>
          <w:color w:val="231F20"/>
          <w:spacing w:val="-3"/>
        </w:rPr>
        <w:t>коридори </w:t>
      </w:r>
      <w:r>
        <w:rPr>
          <w:color w:val="231F20"/>
        </w:rPr>
        <w:t>техничке</w:t>
      </w:r>
      <w:r>
        <w:rPr>
          <w:color w:val="231F20"/>
          <w:spacing w:val="-14"/>
        </w:rPr>
        <w:t> </w:t>
      </w:r>
      <w:r>
        <w:rPr>
          <w:color w:val="231F20"/>
        </w:rPr>
        <w:t>инфраструктуре</w:t>
      </w:r>
      <w:r>
        <w:rPr>
          <w:color w:val="231F20"/>
          <w:spacing w:val="-14"/>
        </w:rPr>
        <w:t> </w:t>
      </w:r>
      <w:r>
        <w:rPr>
          <w:color w:val="231F20"/>
        </w:rPr>
        <w:t>термоелектране,</w:t>
      </w:r>
      <w:r>
        <w:rPr>
          <w:color w:val="231F20"/>
          <w:spacing w:val="-14"/>
        </w:rPr>
        <w:t> </w:t>
      </w:r>
      <w:r>
        <w:rPr>
          <w:color w:val="231F20"/>
        </w:rPr>
        <w:t>јавни</w:t>
      </w:r>
      <w:r>
        <w:rPr>
          <w:color w:val="231F20"/>
          <w:spacing w:val="-14"/>
        </w:rPr>
        <w:t> </w:t>
      </w:r>
      <w:r>
        <w:rPr>
          <w:color w:val="231F20"/>
        </w:rPr>
        <w:t>и</w:t>
      </w:r>
      <w:r>
        <w:rPr>
          <w:color w:val="231F20"/>
          <w:spacing w:val="-14"/>
        </w:rPr>
        <w:t> </w:t>
      </w:r>
      <w:r>
        <w:rPr>
          <w:color w:val="231F20"/>
        </w:rPr>
        <w:t>интерни</w:t>
      </w:r>
      <w:r>
        <w:rPr>
          <w:color w:val="231F20"/>
          <w:spacing w:val="-14"/>
        </w:rPr>
        <w:t> </w:t>
      </w:r>
      <w:r>
        <w:rPr>
          <w:color w:val="231F20"/>
        </w:rPr>
        <w:t>саобра- ћајни</w:t>
      </w:r>
      <w:r>
        <w:rPr>
          <w:color w:val="231F20"/>
          <w:spacing w:val="-5"/>
        </w:rPr>
        <w:t> </w:t>
      </w:r>
      <w:r>
        <w:rPr>
          <w:color w:val="231F20"/>
          <w:spacing w:val="-3"/>
        </w:rPr>
        <w:t>коридори</w:t>
      </w:r>
      <w:r>
        <w:rPr>
          <w:color w:val="231F20"/>
          <w:spacing w:val="-5"/>
        </w:rPr>
        <w:t> </w:t>
      </w:r>
      <w:r>
        <w:rPr>
          <w:color w:val="231F20"/>
        </w:rPr>
        <w:t>и</w:t>
      </w:r>
      <w:r>
        <w:rPr>
          <w:color w:val="231F20"/>
          <w:spacing w:val="-5"/>
        </w:rPr>
        <w:t> </w:t>
      </w:r>
      <w:r>
        <w:rPr>
          <w:color w:val="231F20"/>
        </w:rPr>
        <w:t>површине</w:t>
      </w:r>
      <w:r>
        <w:rPr>
          <w:color w:val="231F20"/>
          <w:spacing w:val="-5"/>
        </w:rPr>
        <w:t> </w:t>
      </w:r>
      <w:r>
        <w:rPr>
          <w:color w:val="231F20"/>
        </w:rPr>
        <w:t>на</w:t>
      </w:r>
      <w:r>
        <w:rPr>
          <w:color w:val="231F20"/>
          <w:spacing w:val="-5"/>
        </w:rPr>
        <w:t> </w:t>
      </w:r>
      <w:r>
        <w:rPr>
          <w:color w:val="231F20"/>
          <w:spacing w:val="-3"/>
        </w:rPr>
        <w:t>којима</w:t>
      </w:r>
      <w:r>
        <w:rPr>
          <w:color w:val="231F20"/>
          <w:spacing w:val="-5"/>
        </w:rPr>
        <w:t> </w:t>
      </w:r>
      <w:r>
        <w:rPr>
          <w:color w:val="231F20"/>
        </w:rPr>
        <w:t>су</w:t>
      </w:r>
      <w:r>
        <w:rPr>
          <w:color w:val="231F20"/>
          <w:spacing w:val="-5"/>
        </w:rPr>
        <w:t> </w:t>
      </w:r>
      <w:r>
        <w:rPr>
          <w:color w:val="231F20"/>
        </w:rPr>
        <w:t>у</w:t>
      </w:r>
      <w:r>
        <w:rPr>
          <w:color w:val="231F20"/>
          <w:spacing w:val="-5"/>
        </w:rPr>
        <w:t> </w:t>
      </w:r>
      <w:r>
        <w:rPr>
          <w:color w:val="231F20"/>
        </w:rPr>
        <w:t>фази</w:t>
      </w:r>
      <w:r>
        <w:rPr>
          <w:color w:val="231F20"/>
          <w:spacing w:val="-5"/>
        </w:rPr>
        <w:t> </w:t>
      </w:r>
      <w:r>
        <w:rPr>
          <w:color w:val="231F20"/>
        </w:rPr>
        <w:t>изградње</w:t>
      </w:r>
      <w:r>
        <w:rPr>
          <w:color w:val="231F20"/>
          <w:spacing w:val="-5"/>
        </w:rPr>
        <w:t> </w:t>
      </w:r>
      <w:r>
        <w:rPr>
          <w:color w:val="231F20"/>
          <w:spacing w:val="-3"/>
        </w:rPr>
        <w:t>комплек- </w:t>
      </w:r>
      <w:r>
        <w:rPr>
          <w:color w:val="231F20"/>
        </w:rPr>
        <w:t>са ТЕ </w:t>
      </w:r>
      <w:r>
        <w:rPr>
          <w:color w:val="231F20"/>
          <w:spacing w:val="-3"/>
        </w:rPr>
        <w:t>„Костолац </w:t>
      </w:r>
      <w:r>
        <w:rPr>
          <w:color w:val="231F20"/>
        </w:rPr>
        <w:t>Б” дефинисани простори за смештај</w:t>
      </w:r>
      <w:r>
        <w:rPr>
          <w:color w:val="231F20"/>
          <w:spacing w:val="-27"/>
        </w:rPr>
        <w:t> </w:t>
      </w:r>
      <w:r>
        <w:rPr>
          <w:color w:val="231F20"/>
        </w:rPr>
        <w:t>извођача.</w:t>
      </w:r>
    </w:p>
    <w:p>
      <w:pPr>
        <w:pStyle w:val="BodyText"/>
        <w:spacing w:line="232" w:lineRule="auto"/>
        <w:ind w:right="410" w:firstLine="397"/>
      </w:pPr>
      <w:r>
        <w:rPr>
          <w:color w:val="231F20"/>
        </w:rPr>
        <w:t>Кроз просторну целину </w:t>
      </w:r>
      <w:r>
        <w:rPr>
          <w:color w:val="231F20"/>
          <w:spacing w:val="-3"/>
        </w:rPr>
        <w:t>(комплекс </w:t>
      </w:r>
      <w:r>
        <w:rPr>
          <w:color w:val="231F20"/>
        </w:rPr>
        <w:t>ТЕ „Костолац Б”) положе- ни</w:t>
      </w:r>
      <w:r>
        <w:rPr>
          <w:color w:val="231F20"/>
          <w:spacing w:val="-9"/>
        </w:rPr>
        <w:t> </w:t>
      </w:r>
      <w:r>
        <w:rPr>
          <w:color w:val="231F20"/>
        </w:rPr>
        <w:t>су</w:t>
      </w:r>
      <w:r>
        <w:rPr>
          <w:color w:val="231F20"/>
          <w:spacing w:val="-9"/>
        </w:rPr>
        <w:t> </w:t>
      </w:r>
      <w:r>
        <w:rPr>
          <w:color w:val="231F20"/>
        </w:rPr>
        <w:t>на</w:t>
      </w:r>
      <w:r>
        <w:rPr>
          <w:color w:val="231F20"/>
          <w:spacing w:val="-9"/>
        </w:rPr>
        <w:t> </w:t>
      </w:r>
      <w:r>
        <w:rPr>
          <w:color w:val="231F20"/>
        </w:rPr>
        <w:t>заједничким</w:t>
      </w:r>
      <w:r>
        <w:rPr>
          <w:color w:val="231F20"/>
          <w:spacing w:val="-9"/>
        </w:rPr>
        <w:t> </w:t>
      </w:r>
      <w:r>
        <w:rPr>
          <w:color w:val="231F20"/>
        </w:rPr>
        <w:t>ниским</w:t>
      </w:r>
      <w:r>
        <w:rPr>
          <w:color w:val="231F20"/>
          <w:spacing w:val="-9"/>
        </w:rPr>
        <w:t> </w:t>
      </w:r>
      <w:r>
        <w:rPr>
          <w:color w:val="231F20"/>
        </w:rPr>
        <w:t>носачима:</w:t>
      </w:r>
      <w:r>
        <w:rPr>
          <w:color w:val="231F20"/>
          <w:spacing w:val="-9"/>
        </w:rPr>
        <w:t> </w:t>
      </w:r>
      <w:r>
        <w:rPr>
          <w:color w:val="231F20"/>
        </w:rPr>
        <w:t>паровод</w:t>
      </w:r>
      <w:r>
        <w:rPr>
          <w:color w:val="231F20"/>
          <w:spacing w:val="-9"/>
        </w:rPr>
        <w:t> </w:t>
      </w:r>
      <w:r>
        <w:rPr>
          <w:color w:val="231F20"/>
        </w:rPr>
        <w:t>за</w:t>
      </w:r>
      <w:r>
        <w:rPr>
          <w:color w:val="231F20"/>
          <w:spacing w:val="-9"/>
        </w:rPr>
        <w:t> </w:t>
      </w:r>
      <w:r>
        <w:rPr>
          <w:color w:val="231F20"/>
        </w:rPr>
        <w:t>снабдевање</w:t>
      </w:r>
      <w:r>
        <w:rPr>
          <w:color w:val="231F20"/>
          <w:spacing w:val="-9"/>
        </w:rPr>
        <w:t> </w:t>
      </w:r>
      <w:r>
        <w:rPr>
          <w:color w:val="231F20"/>
        </w:rPr>
        <w:t>по- моћном паром из ТЕ „Костолац А” (цевовод пречника Φ 300 mm, притисак</w:t>
      </w:r>
      <w:r>
        <w:rPr>
          <w:color w:val="231F20"/>
          <w:spacing w:val="-18"/>
        </w:rPr>
        <w:t> </w:t>
      </w:r>
      <w:r>
        <w:rPr>
          <w:color w:val="231F20"/>
        </w:rPr>
        <w:t>20</w:t>
      </w:r>
      <w:r>
        <w:rPr>
          <w:color w:val="231F20"/>
          <w:spacing w:val="-18"/>
        </w:rPr>
        <w:t> </w:t>
      </w:r>
      <w:r>
        <w:rPr>
          <w:color w:val="231F20"/>
        </w:rPr>
        <w:t>bar,</w:t>
      </w:r>
      <w:r>
        <w:rPr>
          <w:color w:val="231F20"/>
          <w:spacing w:val="-18"/>
        </w:rPr>
        <w:t> </w:t>
      </w:r>
      <w:r>
        <w:rPr>
          <w:color w:val="231F20"/>
        </w:rPr>
        <w:t>300°</w:t>
      </w:r>
      <w:r>
        <w:rPr>
          <w:color w:val="231F20"/>
          <w:spacing w:val="-18"/>
        </w:rPr>
        <w:t> </w:t>
      </w:r>
      <w:r>
        <w:rPr>
          <w:color w:val="231F20"/>
        </w:rPr>
        <w:t>C,</w:t>
      </w:r>
      <w:r>
        <w:rPr>
          <w:color w:val="231F20"/>
          <w:spacing w:val="-18"/>
        </w:rPr>
        <w:t> </w:t>
      </w:r>
      <w:r>
        <w:rPr>
          <w:color w:val="231F20"/>
        </w:rPr>
        <w:t>капацитета</w:t>
      </w:r>
      <w:r>
        <w:rPr>
          <w:color w:val="231F20"/>
          <w:spacing w:val="-18"/>
        </w:rPr>
        <w:t> </w:t>
      </w:r>
      <w:r>
        <w:rPr>
          <w:color w:val="231F20"/>
        </w:rPr>
        <w:t>60</w:t>
      </w:r>
      <w:r>
        <w:rPr>
          <w:color w:val="231F20"/>
          <w:spacing w:val="-18"/>
        </w:rPr>
        <w:t> </w:t>
      </w:r>
      <w:r>
        <w:rPr>
          <w:color w:val="231F20"/>
        </w:rPr>
        <w:t>t/h);</w:t>
      </w:r>
      <w:r>
        <w:rPr>
          <w:color w:val="231F20"/>
          <w:spacing w:val="-18"/>
        </w:rPr>
        <w:t> </w:t>
      </w:r>
      <w:r>
        <w:rPr>
          <w:color w:val="231F20"/>
        </w:rPr>
        <w:t>цевовод</w:t>
      </w:r>
      <w:r>
        <w:rPr>
          <w:color w:val="231F20"/>
          <w:spacing w:val="-18"/>
        </w:rPr>
        <w:t> </w:t>
      </w:r>
      <w:r>
        <w:rPr>
          <w:color w:val="231F20"/>
        </w:rPr>
        <w:t>за</w:t>
      </w:r>
      <w:r>
        <w:rPr>
          <w:color w:val="231F20"/>
          <w:spacing w:val="-18"/>
        </w:rPr>
        <w:t> </w:t>
      </w:r>
      <w:r>
        <w:rPr>
          <w:color w:val="231F20"/>
        </w:rPr>
        <w:t>транспорт</w:t>
      </w:r>
      <w:r>
        <w:rPr>
          <w:color w:val="231F20"/>
          <w:spacing w:val="-18"/>
        </w:rPr>
        <w:t> </w:t>
      </w:r>
      <w:r>
        <w:rPr>
          <w:color w:val="231F20"/>
        </w:rPr>
        <w:t>де- ми</w:t>
      </w:r>
      <w:r>
        <w:rPr>
          <w:color w:val="231F20"/>
          <w:spacing w:val="-13"/>
        </w:rPr>
        <w:t> </w:t>
      </w:r>
      <w:r>
        <w:rPr>
          <w:color w:val="231F20"/>
        </w:rPr>
        <w:t>воде</w:t>
      </w:r>
      <w:r>
        <w:rPr>
          <w:color w:val="231F20"/>
          <w:spacing w:val="-13"/>
        </w:rPr>
        <w:t> </w:t>
      </w:r>
      <w:r>
        <w:rPr>
          <w:color w:val="231F20"/>
        </w:rPr>
        <w:t>ТЕ</w:t>
      </w:r>
      <w:r>
        <w:rPr>
          <w:color w:val="231F20"/>
          <w:spacing w:val="-13"/>
        </w:rPr>
        <w:t> </w:t>
      </w:r>
      <w:r>
        <w:rPr>
          <w:color w:val="231F20"/>
        </w:rPr>
        <w:t>„Костолац</w:t>
      </w:r>
      <w:r>
        <w:rPr>
          <w:color w:val="231F20"/>
          <w:spacing w:val="-13"/>
        </w:rPr>
        <w:t> </w:t>
      </w:r>
      <w:r>
        <w:rPr>
          <w:color w:val="231F20"/>
        </w:rPr>
        <w:t>Б”</w:t>
      </w:r>
      <w:r>
        <w:rPr>
          <w:color w:val="231F20"/>
          <w:spacing w:val="-13"/>
        </w:rPr>
        <w:t> </w:t>
      </w:r>
      <w:r>
        <w:rPr>
          <w:color w:val="231F20"/>
        </w:rPr>
        <w:t>-</w:t>
      </w:r>
      <w:r>
        <w:rPr>
          <w:color w:val="231F20"/>
          <w:spacing w:val="-13"/>
        </w:rPr>
        <w:t> </w:t>
      </w:r>
      <w:r>
        <w:rPr>
          <w:color w:val="231F20"/>
        </w:rPr>
        <w:t>ТЕ</w:t>
      </w:r>
      <w:r>
        <w:rPr>
          <w:color w:val="231F20"/>
          <w:spacing w:val="-13"/>
        </w:rPr>
        <w:t> </w:t>
      </w:r>
      <w:r>
        <w:rPr>
          <w:color w:val="231F20"/>
        </w:rPr>
        <w:t>„Костолац</w:t>
      </w:r>
      <w:r>
        <w:rPr>
          <w:color w:val="231F20"/>
          <w:spacing w:val="-13"/>
        </w:rPr>
        <w:t> </w:t>
      </w:r>
      <w:r>
        <w:rPr>
          <w:color w:val="231F20"/>
        </w:rPr>
        <w:t>А”,</w:t>
      </w:r>
      <w:r>
        <w:rPr>
          <w:color w:val="231F20"/>
          <w:spacing w:val="-13"/>
        </w:rPr>
        <w:t> </w:t>
      </w:r>
      <w:r>
        <w:rPr>
          <w:color w:val="231F20"/>
        </w:rPr>
        <w:t>125</w:t>
      </w:r>
      <w:r>
        <w:rPr>
          <w:color w:val="231F20"/>
          <w:spacing w:val="-13"/>
        </w:rPr>
        <w:t> </w:t>
      </w:r>
      <w:r>
        <w:rPr>
          <w:color w:val="231F20"/>
        </w:rPr>
        <w:t>mm,</w:t>
      </w:r>
      <w:r>
        <w:rPr>
          <w:color w:val="231F20"/>
          <w:spacing w:val="-13"/>
        </w:rPr>
        <w:t> </w:t>
      </w:r>
      <w:r>
        <w:rPr>
          <w:color w:val="231F20"/>
        </w:rPr>
        <w:t>проток</w:t>
      </w:r>
      <w:r>
        <w:rPr>
          <w:color w:val="231F20"/>
          <w:spacing w:val="-13"/>
        </w:rPr>
        <w:t> </w:t>
      </w:r>
      <w:r>
        <w:rPr>
          <w:color w:val="231F20"/>
        </w:rPr>
        <w:t>60</w:t>
      </w:r>
      <w:r>
        <w:rPr>
          <w:color w:val="231F20"/>
          <w:spacing w:val="-13"/>
        </w:rPr>
        <w:t> </w:t>
      </w:r>
      <w:r>
        <w:rPr>
          <w:color w:val="231F20"/>
        </w:rPr>
        <w:t>t/h; и два вреловода Ø150 mm за доток и повратак вреле воде из под- станице Костолац, за грејање објеката у кругу термоелектране. </w:t>
      </w:r>
      <w:r>
        <w:rPr>
          <w:color w:val="231F20"/>
          <w:spacing w:val="-4"/>
        </w:rPr>
        <w:t>Укупна </w:t>
      </w:r>
      <w:r>
        <w:rPr>
          <w:color w:val="231F20"/>
        </w:rPr>
        <w:t>дужина цевовода је 4,6 km, с тим што су цевоводи кроз село Стари Костолац и у кругу ТЕ „Костолац А”, постављени на високим</w:t>
      </w:r>
      <w:r>
        <w:rPr>
          <w:color w:val="231F20"/>
          <w:spacing w:val="-1"/>
        </w:rPr>
        <w:t> </w:t>
      </w:r>
      <w:r>
        <w:rPr>
          <w:color w:val="231F20"/>
        </w:rPr>
        <w:t>ослонцима.</w:t>
      </w:r>
    </w:p>
    <w:p>
      <w:pPr>
        <w:pStyle w:val="BodyText"/>
        <w:spacing w:line="232" w:lineRule="auto"/>
        <w:ind w:left="122" w:right="410" w:firstLine="396"/>
        <w:jc w:val="right"/>
      </w:pPr>
      <w:r>
        <w:rPr>
          <w:color w:val="231F20"/>
        </w:rPr>
        <w:t>У кругу термоелектране, такође су изграђена четири силоса, два капацитета по 3000 m³ за пепео, и два капацитета по 500 m³ за шљаку. Силоси ће омогућити утовар пепела у камионе, како би се он могао искористити у грађевинској индустрији и градњи путева. Испод бетонског силоса, на етажама +0.20, +3.42 и +7.00 на-</w:t>
      </w:r>
    </w:p>
    <w:p>
      <w:pPr>
        <w:pStyle w:val="BodyText"/>
        <w:spacing w:line="232" w:lineRule="auto"/>
        <w:ind w:right="409" w:hanging="1"/>
      </w:pPr>
      <w:r>
        <w:rPr>
          <w:color w:val="231F20"/>
        </w:rPr>
        <w:t>лазе се просторије у </w:t>
      </w:r>
      <w:r>
        <w:rPr>
          <w:color w:val="231F20"/>
          <w:spacing w:val="-3"/>
        </w:rPr>
        <w:t>којима </w:t>
      </w:r>
      <w:r>
        <w:rPr>
          <w:color w:val="231F20"/>
        </w:rPr>
        <w:t>борави особље запослено на надгледа- њу и одржавању система за одлагање пепела. На крову бетонских силоса, на висини </w:t>
      </w:r>
      <w:r>
        <w:rPr>
          <w:color w:val="231F20"/>
          <w:spacing w:val="-3"/>
        </w:rPr>
        <w:t>од преко </w:t>
      </w:r>
      <w:r>
        <w:rPr>
          <w:color w:val="231F20"/>
        </w:rPr>
        <w:t>50 m биће стално монтирани обртни кранови </w:t>
      </w:r>
      <w:r>
        <w:rPr>
          <w:color w:val="231F20"/>
          <w:spacing w:val="-3"/>
        </w:rPr>
        <w:t>који </w:t>
      </w:r>
      <w:r>
        <w:rPr>
          <w:color w:val="231F20"/>
        </w:rPr>
        <w:t>могу да носе и радне платформе за потребе текућег одржавања објекта.</w:t>
      </w:r>
    </w:p>
    <w:p>
      <w:pPr>
        <w:pStyle w:val="BodyText"/>
        <w:spacing w:line="232" w:lineRule="auto"/>
        <w:ind w:left="133" w:right="408" w:firstLine="396"/>
        <w:jc w:val="right"/>
      </w:pPr>
      <w:r>
        <w:rPr>
          <w:color w:val="231F20"/>
        </w:rPr>
        <w:t>Архитектонско и конструктивно решење зграде силоса за пе- пео и шљаку проистиче из основне функције за смештај машин- ских инсталација система за одлагање пепела. Распоред простори- ја, отвора, обраде подова и зидова подређени су функцији објекта. С обзиром на висину објекта неопходна је доследна приме-</w:t>
      </w:r>
    </w:p>
    <w:p>
      <w:pPr>
        <w:pStyle w:val="BodyText"/>
        <w:spacing w:line="232" w:lineRule="auto"/>
        <w:ind w:left="171" w:right="408"/>
      </w:pPr>
      <w:r>
        <w:rPr>
          <w:color w:val="231F20"/>
        </w:rPr>
        <w:t>на мера противпожарне заштите. Спољно степениште (заједно са лифтовским окном) је пожарно изоловано </w:t>
      </w:r>
      <w:r>
        <w:rPr>
          <w:color w:val="231F20"/>
          <w:spacing w:val="-3"/>
        </w:rPr>
        <w:t>од </w:t>
      </w:r>
      <w:r>
        <w:rPr>
          <w:color w:val="231F20"/>
        </w:rPr>
        <w:t>осталог дела зграде до </w:t>
      </w:r>
      <w:r>
        <w:rPr>
          <w:color w:val="231F20"/>
          <w:spacing w:val="-4"/>
        </w:rPr>
        <w:t>коте </w:t>
      </w:r>
      <w:r>
        <w:rPr>
          <w:color w:val="231F20"/>
        </w:rPr>
        <w:t>+14.83. Изнад те </w:t>
      </w:r>
      <w:r>
        <w:rPr>
          <w:color w:val="231F20"/>
          <w:spacing w:val="-3"/>
        </w:rPr>
        <w:t>коте, </w:t>
      </w:r>
      <w:r>
        <w:rPr>
          <w:color w:val="231F20"/>
        </w:rPr>
        <w:t>до врха објекта, пожарни зид прела- зи у противдимни. Део отвора на фасадама објекта је искључиво  у функцији продора инсталација, односно монтаже / демонтаже опреме. </w:t>
      </w:r>
      <w:r>
        <w:rPr>
          <w:color w:val="231F20"/>
          <w:spacing w:val="-3"/>
        </w:rPr>
        <w:t>Након </w:t>
      </w:r>
      <w:r>
        <w:rPr>
          <w:color w:val="231F20"/>
        </w:rPr>
        <w:t>завршене монтаже затвориће се пластификованим, поцинкованим челичним лимом у раму </w:t>
      </w:r>
      <w:r>
        <w:rPr>
          <w:color w:val="231F20"/>
          <w:spacing w:val="-3"/>
        </w:rPr>
        <w:t>од </w:t>
      </w:r>
      <w:r>
        <w:rPr>
          <w:color w:val="231F20"/>
        </w:rPr>
        <w:t>челичних</w:t>
      </w:r>
      <w:r>
        <w:rPr>
          <w:color w:val="231F20"/>
          <w:spacing w:val="-19"/>
        </w:rPr>
        <w:t> </w:t>
      </w:r>
      <w:r>
        <w:rPr>
          <w:color w:val="231F20"/>
        </w:rPr>
        <w:t>профила.</w:t>
      </w:r>
    </w:p>
    <w:p>
      <w:pPr>
        <w:spacing w:after="0" w:line="232" w:lineRule="auto"/>
        <w:sectPr>
          <w:pgSz w:w="12480" w:h="15690"/>
          <w:pgMar w:top="120" w:bottom="280" w:left="680" w:right="720"/>
          <w:cols w:num="2" w:equalWidth="0">
            <w:col w:w="5317" w:space="70"/>
            <w:col w:w="5693"/>
          </w:cols>
        </w:sectPr>
      </w:pPr>
    </w:p>
    <w:p>
      <w:pPr>
        <w:pStyle w:val="BodyText"/>
        <w:spacing w:line="232" w:lineRule="auto" w:before="73"/>
        <w:ind w:left="453" w:right="1" w:firstLine="396"/>
      </w:pPr>
      <w:r>
        <w:rPr/>
        <w:pict>
          <v:line style="position:absolute;mso-position-horizontal-relative:page;mso-position-vertical-relative:page;z-index:4240" from="318.897614pt,11.942451pt" to="318.897614pt,748.950451pt" stroked="true" strokeweight=".6pt" strokecolor="#231f20">
            <v:stroke dashstyle="solid"/>
            <w10:wrap type="none"/>
          </v:line>
        </w:pict>
      </w:r>
      <w:r>
        <w:rPr>
          <w:color w:val="231F20"/>
        </w:rPr>
        <w:t>Поред зграде силоса за пепео и </w:t>
      </w:r>
      <w:r>
        <w:rPr>
          <w:color w:val="231F20"/>
          <w:spacing w:val="-4"/>
        </w:rPr>
        <w:t>шљаку, </w:t>
      </w:r>
      <w:r>
        <w:rPr>
          <w:color w:val="231F20"/>
          <w:spacing w:val="-3"/>
        </w:rPr>
        <w:t>приликом </w:t>
      </w:r>
      <w:r>
        <w:rPr>
          <w:color w:val="231F20"/>
        </w:rPr>
        <w:t>замене система за прикупљање, транспорт и одлагање пепела у оквиру </w:t>
      </w:r>
      <w:r>
        <w:rPr>
          <w:color w:val="231F20"/>
          <w:spacing w:val="-3"/>
        </w:rPr>
        <w:t>комплекса </w:t>
      </w:r>
      <w:r>
        <w:rPr>
          <w:color w:val="231F20"/>
        </w:rPr>
        <w:t>ТЕ „Костолац Б”, изграђени су и у пробној функцији су следећи техничко-технолошки и грађевински делови система: зграда компресорнице, цевни мост </w:t>
      </w:r>
      <w:r>
        <w:rPr>
          <w:color w:val="231F20"/>
          <w:spacing w:val="-3"/>
        </w:rPr>
        <w:t>од котларнице </w:t>
      </w:r>
      <w:r>
        <w:rPr>
          <w:color w:val="231F20"/>
        </w:rPr>
        <w:t>до зграде сило- са, и део пепеловода (четири челичне цеви за транспорт пепела и шљаке и цевовод повратне воде са депоније). Кроз </w:t>
      </w:r>
      <w:r>
        <w:rPr>
          <w:color w:val="231F20"/>
          <w:spacing w:val="-3"/>
        </w:rPr>
        <w:t>комплекс </w:t>
      </w:r>
      <w:r>
        <w:rPr>
          <w:color w:val="231F20"/>
        </w:rPr>
        <w:t>елек- тране цевоводи су постављени на високим</w:t>
      </w:r>
      <w:r>
        <w:rPr>
          <w:color w:val="231F20"/>
          <w:spacing w:val="-7"/>
        </w:rPr>
        <w:t> </w:t>
      </w:r>
      <w:r>
        <w:rPr>
          <w:color w:val="231F20"/>
        </w:rPr>
        <w:t>ослонцима.</w:t>
      </w:r>
    </w:p>
    <w:p>
      <w:pPr>
        <w:pStyle w:val="BodyText"/>
        <w:spacing w:before="8"/>
        <w:ind w:left="0"/>
        <w:jc w:val="left"/>
        <w:rPr>
          <w:sz w:val="29"/>
        </w:rPr>
      </w:pPr>
    </w:p>
    <w:p>
      <w:pPr>
        <w:pStyle w:val="ListParagraph"/>
        <w:numPr>
          <w:ilvl w:val="2"/>
          <w:numId w:val="63"/>
        </w:numPr>
        <w:tabs>
          <w:tab w:pos="1698" w:val="left" w:leader="none"/>
        </w:tabs>
        <w:spacing w:line="232" w:lineRule="auto" w:before="1" w:after="0"/>
        <w:ind w:left="2456" w:right="928" w:hanging="1074"/>
        <w:jc w:val="left"/>
        <w:rPr>
          <w:i/>
          <w:sz w:val="18"/>
        </w:rPr>
      </w:pPr>
      <w:r>
        <w:rPr>
          <w:i/>
          <w:color w:val="231F20"/>
          <w:sz w:val="18"/>
        </w:rPr>
        <w:t>Планирана намена простора и подела </w:t>
      </w:r>
      <w:r>
        <w:rPr>
          <w:i/>
          <w:color w:val="231F20"/>
          <w:sz w:val="18"/>
        </w:rPr>
        <w:t>на </w:t>
      </w:r>
      <w:r>
        <w:rPr>
          <w:i/>
          <w:color w:val="231F20"/>
          <w:spacing w:val="-3"/>
          <w:sz w:val="18"/>
        </w:rPr>
        <w:t>уже</w:t>
      </w:r>
      <w:r>
        <w:rPr>
          <w:i/>
          <w:color w:val="231F20"/>
          <w:spacing w:val="-2"/>
          <w:sz w:val="18"/>
        </w:rPr>
        <w:t> </w:t>
      </w:r>
      <w:r>
        <w:rPr>
          <w:i/>
          <w:color w:val="231F20"/>
          <w:sz w:val="18"/>
        </w:rPr>
        <w:t>целине</w:t>
      </w:r>
    </w:p>
    <w:p>
      <w:pPr>
        <w:pStyle w:val="BodyText"/>
        <w:spacing w:before="5"/>
        <w:ind w:left="0"/>
        <w:jc w:val="left"/>
        <w:rPr>
          <w:i/>
          <w:sz w:val="17"/>
        </w:rPr>
      </w:pPr>
    </w:p>
    <w:p>
      <w:pPr>
        <w:pStyle w:val="BodyText"/>
        <w:spacing w:line="232" w:lineRule="auto" w:before="1"/>
        <w:ind w:left="453" w:right="1" w:firstLine="397"/>
      </w:pPr>
      <w:r>
        <w:rPr>
          <w:color w:val="231F20"/>
          <w:spacing w:val="-4"/>
        </w:rPr>
        <w:t>Комплекс </w:t>
      </w:r>
      <w:r>
        <w:rPr>
          <w:color w:val="231F20"/>
        </w:rPr>
        <w:t>електране је, у </w:t>
      </w:r>
      <w:r>
        <w:rPr>
          <w:color w:val="231F20"/>
          <w:spacing w:val="-3"/>
        </w:rPr>
        <w:t>просторном </w:t>
      </w:r>
      <w:r>
        <w:rPr>
          <w:color w:val="231F20"/>
        </w:rPr>
        <w:t>и </w:t>
      </w:r>
      <w:r>
        <w:rPr>
          <w:color w:val="231F20"/>
          <w:spacing w:val="-3"/>
        </w:rPr>
        <w:t>функционалном </w:t>
      </w:r>
      <w:r>
        <w:rPr>
          <w:color w:val="231F20"/>
        </w:rPr>
        <w:t>сми- </w:t>
      </w:r>
      <w:r>
        <w:rPr>
          <w:color w:val="231F20"/>
          <w:spacing w:val="-6"/>
        </w:rPr>
        <w:t>слу, </w:t>
      </w:r>
      <w:r>
        <w:rPr>
          <w:color w:val="231F20"/>
          <w:spacing w:val="-3"/>
        </w:rPr>
        <w:t>организован </w:t>
      </w:r>
      <w:r>
        <w:rPr>
          <w:color w:val="231F20"/>
        </w:rPr>
        <w:t>успостављањем </w:t>
      </w:r>
      <w:r>
        <w:rPr>
          <w:color w:val="231F20"/>
          <w:spacing w:val="-3"/>
        </w:rPr>
        <w:t>поделе </w:t>
      </w:r>
      <w:r>
        <w:rPr>
          <w:color w:val="231F20"/>
        </w:rPr>
        <w:t>на </w:t>
      </w:r>
      <w:r>
        <w:rPr>
          <w:color w:val="231F20"/>
          <w:spacing w:val="-3"/>
        </w:rPr>
        <w:t>функционалне </w:t>
      </w:r>
      <w:r>
        <w:rPr>
          <w:color w:val="231F20"/>
        </w:rPr>
        <w:t>зоне са </w:t>
      </w:r>
      <w:r>
        <w:rPr>
          <w:color w:val="231F20"/>
          <w:spacing w:val="-3"/>
        </w:rPr>
        <w:t>карактеристичним </w:t>
      </w:r>
      <w:r>
        <w:rPr>
          <w:color w:val="231F20"/>
        </w:rPr>
        <w:t>садржајима и наменама. </w:t>
      </w:r>
      <w:r>
        <w:rPr>
          <w:color w:val="231F20"/>
          <w:spacing w:val="-4"/>
        </w:rPr>
        <w:t>Границе </w:t>
      </w:r>
      <w:r>
        <w:rPr>
          <w:color w:val="231F20"/>
        </w:rPr>
        <w:t>зона </w:t>
      </w:r>
      <w:r>
        <w:rPr>
          <w:color w:val="231F20"/>
          <w:spacing w:val="-3"/>
        </w:rPr>
        <w:t>су </w:t>
      </w:r>
      <w:r>
        <w:rPr>
          <w:color w:val="231F20"/>
        </w:rPr>
        <w:t>успо- стављене </w:t>
      </w:r>
      <w:r>
        <w:rPr>
          <w:color w:val="231F20"/>
          <w:spacing w:val="-3"/>
        </w:rPr>
        <w:t>регулацијом </w:t>
      </w:r>
      <w:r>
        <w:rPr>
          <w:color w:val="231F20"/>
        </w:rPr>
        <w:t>интерних саобраћајница и </w:t>
      </w:r>
      <w:r>
        <w:rPr>
          <w:color w:val="231F20"/>
          <w:spacing w:val="-3"/>
        </w:rPr>
        <w:t>колосека </w:t>
      </w:r>
      <w:r>
        <w:rPr>
          <w:color w:val="231F20"/>
        </w:rPr>
        <w:t>интерне </w:t>
      </w:r>
      <w:r>
        <w:rPr>
          <w:color w:val="231F20"/>
          <w:spacing w:val="-3"/>
        </w:rPr>
        <w:t>железничке пруге </w:t>
      </w:r>
      <w:r>
        <w:rPr>
          <w:color w:val="231F20"/>
        </w:rPr>
        <w:t>и према </w:t>
      </w:r>
      <w:r>
        <w:rPr>
          <w:color w:val="231F20"/>
          <w:spacing w:val="-3"/>
        </w:rPr>
        <w:t>производно- технолошким захтевима.</w:t>
      </w:r>
    </w:p>
    <w:p>
      <w:pPr>
        <w:pStyle w:val="BodyText"/>
        <w:spacing w:line="200" w:lineRule="exact"/>
        <w:ind w:left="851"/>
        <w:jc w:val="left"/>
      </w:pPr>
      <w:r>
        <w:rPr>
          <w:color w:val="231F20"/>
        </w:rPr>
        <w:t>Издвојене су следеће зоне:</w:t>
      </w:r>
    </w:p>
    <w:p>
      <w:pPr>
        <w:pStyle w:val="BodyText"/>
        <w:spacing w:line="201" w:lineRule="exact"/>
        <w:ind w:left="851"/>
        <w:jc w:val="left"/>
      </w:pPr>
      <w:r>
        <w:rPr>
          <w:color w:val="231F20"/>
          <w:w w:val="66"/>
        </w:rPr>
        <w:t> </w:t>
      </w:r>
      <w:r>
        <w:rPr>
          <w:color w:val="231F20"/>
        </w:rPr>
        <w:t>– зона примарних садржаја (зона ГПО),</w:t>
      </w:r>
    </w:p>
    <w:p>
      <w:pPr>
        <w:pStyle w:val="BodyText"/>
        <w:spacing w:line="201" w:lineRule="exact"/>
        <w:ind w:left="851"/>
        <w:jc w:val="left"/>
      </w:pPr>
      <w:r>
        <w:rPr>
          <w:color w:val="231F20"/>
          <w:w w:val="66"/>
        </w:rPr>
        <w:t> </w:t>
      </w:r>
      <w:r>
        <w:rPr>
          <w:color w:val="231F20"/>
        </w:rPr>
        <w:t>– зона пратећих техничких објеката,</w:t>
      </w:r>
    </w:p>
    <w:p>
      <w:pPr>
        <w:pStyle w:val="BodyText"/>
        <w:spacing w:line="201" w:lineRule="exact"/>
        <w:ind w:left="851"/>
        <w:jc w:val="left"/>
      </w:pPr>
      <w:r>
        <w:rPr>
          <w:color w:val="231F20"/>
          <w:w w:val="66"/>
        </w:rPr>
        <w:t> </w:t>
      </w:r>
      <w:r>
        <w:rPr>
          <w:color w:val="231F20"/>
        </w:rPr>
        <w:t>– зона осталих пратећих објеката,</w:t>
      </w:r>
    </w:p>
    <w:p>
      <w:pPr>
        <w:pStyle w:val="BodyText"/>
        <w:spacing w:line="201" w:lineRule="exact"/>
        <w:ind w:left="851"/>
        <w:jc w:val="left"/>
      </w:pPr>
      <w:r>
        <w:rPr>
          <w:color w:val="231F20"/>
          <w:w w:val="66"/>
        </w:rPr>
        <w:t> </w:t>
      </w:r>
      <w:r>
        <w:rPr>
          <w:color w:val="231F20"/>
        </w:rPr>
        <w:t>– разводно постројење и енергетски коридор,</w:t>
      </w:r>
    </w:p>
    <w:p>
      <w:pPr>
        <w:pStyle w:val="BodyText"/>
        <w:spacing w:line="232" w:lineRule="auto" w:before="2"/>
        <w:ind w:left="454" w:firstLine="396"/>
      </w:pPr>
      <w:r>
        <w:rPr>
          <w:color w:val="231F20"/>
          <w:w w:val="66"/>
        </w:rPr>
        <w:t> </w:t>
      </w:r>
      <w:r>
        <w:rPr>
          <w:color w:val="231F20"/>
        </w:rPr>
        <w:t>– зона привремених садржаја у функцији изградње Термое- лектране, и</w:t>
      </w:r>
    </w:p>
    <w:p>
      <w:pPr>
        <w:pStyle w:val="BodyText"/>
        <w:spacing w:line="200" w:lineRule="exact"/>
        <w:ind w:left="851"/>
        <w:jc w:val="left"/>
      </w:pPr>
      <w:r>
        <w:rPr>
          <w:color w:val="231F20"/>
          <w:w w:val="66"/>
        </w:rPr>
        <w:t> </w:t>
      </w:r>
      <w:r>
        <w:rPr>
          <w:color w:val="231F20"/>
        </w:rPr>
        <w:t>– резервисани простор за II фазу изградње Термоелектране.</w:t>
      </w:r>
    </w:p>
    <w:p>
      <w:pPr>
        <w:pStyle w:val="BodyText"/>
        <w:spacing w:line="232" w:lineRule="auto" w:before="2"/>
        <w:ind w:left="454" w:firstLine="396"/>
      </w:pPr>
      <w:r>
        <w:rPr>
          <w:color w:val="231F20"/>
        </w:rPr>
        <w:t>У оквиру </w:t>
      </w:r>
      <w:r>
        <w:rPr>
          <w:color w:val="231F20"/>
          <w:spacing w:val="-3"/>
        </w:rPr>
        <w:t>Комплекса </w:t>
      </w:r>
      <w:r>
        <w:rPr>
          <w:color w:val="231F20"/>
        </w:rPr>
        <w:t>термоелектране наглашен је технички инфраструктурни</w:t>
      </w:r>
      <w:r>
        <w:rPr>
          <w:color w:val="231F20"/>
          <w:spacing w:val="-9"/>
        </w:rPr>
        <w:t> </w:t>
      </w:r>
      <w:r>
        <w:rPr>
          <w:color w:val="231F20"/>
        </w:rPr>
        <w:t>коридор,</w:t>
      </w:r>
      <w:r>
        <w:rPr>
          <w:color w:val="231F20"/>
          <w:spacing w:val="-8"/>
        </w:rPr>
        <w:t> </w:t>
      </w:r>
      <w:r>
        <w:rPr>
          <w:color w:val="231F20"/>
        </w:rPr>
        <w:t>у</w:t>
      </w:r>
      <w:r>
        <w:rPr>
          <w:color w:val="231F20"/>
          <w:spacing w:val="-8"/>
        </w:rPr>
        <w:t> </w:t>
      </w:r>
      <w:r>
        <w:rPr>
          <w:color w:val="231F20"/>
          <w:spacing w:val="-4"/>
        </w:rPr>
        <w:t>коме</w:t>
      </w:r>
      <w:r>
        <w:rPr>
          <w:color w:val="231F20"/>
          <w:spacing w:val="-9"/>
        </w:rPr>
        <w:t> </w:t>
      </w:r>
      <w:r>
        <w:rPr>
          <w:color w:val="231F20"/>
        </w:rPr>
        <w:t>су</w:t>
      </w:r>
      <w:r>
        <w:rPr>
          <w:color w:val="231F20"/>
          <w:spacing w:val="-8"/>
        </w:rPr>
        <w:t> </w:t>
      </w:r>
      <w:r>
        <w:rPr>
          <w:color w:val="231F20"/>
        </w:rPr>
        <w:t>диспозиционо</w:t>
      </w:r>
      <w:r>
        <w:rPr>
          <w:color w:val="231F20"/>
          <w:spacing w:val="-9"/>
        </w:rPr>
        <w:t> </w:t>
      </w:r>
      <w:r>
        <w:rPr>
          <w:color w:val="231F20"/>
        </w:rPr>
        <w:t>раздвојени</w:t>
      </w:r>
      <w:r>
        <w:rPr>
          <w:color w:val="231F20"/>
          <w:spacing w:val="-9"/>
        </w:rPr>
        <w:t> </w:t>
      </w:r>
      <w:r>
        <w:rPr>
          <w:color w:val="231F20"/>
        </w:rPr>
        <w:t>по- стојећи и планирани системи за транспорт пепела, шљаке и гипса, систем повратне воде са депоније, а </w:t>
      </w:r>
      <w:r>
        <w:rPr>
          <w:color w:val="231F20"/>
          <w:spacing w:val="-3"/>
        </w:rPr>
        <w:t>који </w:t>
      </w:r>
      <w:r>
        <w:rPr>
          <w:color w:val="231F20"/>
        </w:rPr>
        <w:t>је постављен паралелно са </w:t>
      </w:r>
      <w:r>
        <w:rPr>
          <w:color w:val="231F20"/>
          <w:spacing w:val="-3"/>
        </w:rPr>
        <w:t>главном </w:t>
      </w:r>
      <w:r>
        <w:rPr>
          <w:color w:val="231F20"/>
        </w:rPr>
        <w:t>интерном саобраћајницом и интерним </w:t>
      </w:r>
      <w:r>
        <w:rPr>
          <w:color w:val="231F20"/>
          <w:spacing w:val="-3"/>
        </w:rPr>
        <w:t>колосеком. </w:t>
      </w:r>
      <w:r>
        <w:rPr>
          <w:color w:val="231F20"/>
        </w:rPr>
        <w:t>На месту полазних чворишта ови су системи нивелационо диферен- цирани међусобно и са транспортним системом за допрему угља (коси</w:t>
      </w:r>
      <w:r>
        <w:rPr>
          <w:color w:val="231F20"/>
          <w:spacing w:val="-1"/>
        </w:rPr>
        <w:t> </w:t>
      </w:r>
      <w:r>
        <w:rPr>
          <w:color w:val="231F20"/>
        </w:rPr>
        <w:t>мостови).</w:t>
      </w:r>
    </w:p>
    <w:p>
      <w:pPr>
        <w:pStyle w:val="BodyText"/>
        <w:spacing w:before="2"/>
        <w:ind w:left="0"/>
        <w:jc w:val="left"/>
        <w:rPr>
          <w:sz w:val="17"/>
        </w:rPr>
      </w:pPr>
    </w:p>
    <w:p>
      <w:pPr>
        <w:pStyle w:val="BodyText"/>
        <w:tabs>
          <w:tab w:pos="5252" w:val="left" w:leader="none"/>
        </w:tabs>
        <w:ind w:left="455"/>
        <w:jc w:val="left"/>
      </w:pPr>
      <w:r>
        <w:rPr>
          <w:color w:val="231F20"/>
        </w:rPr>
        <w:t>Табела 5.1: </w:t>
      </w:r>
      <w:r>
        <w:rPr>
          <w:color w:val="231F20"/>
          <w:spacing w:val="-3"/>
        </w:rPr>
        <w:t>Преглед</w:t>
      </w:r>
      <w:r>
        <w:rPr>
          <w:color w:val="231F20"/>
          <w:spacing w:val="-7"/>
        </w:rPr>
        <w:t> </w:t>
      </w:r>
      <w:r>
        <w:rPr>
          <w:color w:val="231F20"/>
        </w:rPr>
        <w:t>биланса</w:t>
      </w:r>
      <w:r>
        <w:rPr>
          <w:color w:val="231F20"/>
          <w:spacing w:val="-2"/>
        </w:rPr>
        <w:t> </w:t>
      </w:r>
      <w:r>
        <w:rPr>
          <w:color w:val="231F20"/>
        </w:rPr>
        <w:t>површина</w:t>
        <w:tab/>
        <w:t>у ha</w:t>
      </w:r>
    </w:p>
    <w:p>
      <w:pPr>
        <w:pStyle w:val="BodyText"/>
        <w:spacing w:before="7"/>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484"/>
        <w:gridCol w:w="625"/>
      </w:tblGrid>
      <w:tr>
        <w:trPr>
          <w:trHeight w:val="200" w:hRule="atLeast"/>
        </w:trPr>
        <w:tc>
          <w:tcPr>
            <w:tcW w:w="4484" w:type="dxa"/>
          </w:tcPr>
          <w:p>
            <w:pPr>
              <w:pStyle w:val="TableParagraph"/>
              <w:ind w:left="56"/>
              <w:jc w:val="left"/>
              <w:rPr>
                <w:sz w:val="14"/>
              </w:rPr>
            </w:pPr>
            <w:r>
              <w:rPr>
                <w:color w:val="231F20"/>
                <w:sz w:val="14"/>
              </w:rPr>
              <w:t>Комплекс Термоелектране</w:t>
            </w:r>
          </w:p>
        </w:tc>
        <w:tc>
          <w:tcPr>
            <w:tcW w:w="625" w:type="dxa"/>
          </w:tcPr>
          <w:p>
            <w:pPr>
              <w:pStyle w:val="TableParagraph"/>
              <w:spacing w:before="0"/>
              <w:jc w:val="left"/>
              <w:rPr>
                <w:sz w:val="12"/>
              </w:rPr>
            </w:pPr>
          </w:p>
        </w:tc>
      </w:tr>
      <w:tr>
        <w:trPr>
          <w:trHeight w:val="200" w:hRule="atLeast"/>
        </w:trPr>
        <w:tc>
          <w:tcPr>
            <w:tcW w:w="4484" w:type="dxa"/>
          </w:tcPr>
          <w:p>
            <w:pPr>
              <w:pStyle w:val="TableParagraph"/>
              <w:ind w:left="56"/>
              <w:jc w:val="left"/>
              <w:rPr>
                <w:sz w:val="14"/>
              </w:rPr>
            </w:pPr>
            <w:r>
              <w:rPr>
                <w:color w:val="231F20"/>
                <w:sz w:val="14"/>
              </w:rPr>
              <w:t>зона примарних садржаја (зона ГПО)</w:t>
            </w:r>
          </w:p>
        </w:tc>
        <w:tc>
          <w:tcPr>
            <w:tcW w:w="625" w:type="dxa"/>
          </w:tcPr>
          <w:p>
            <w:pPr>
              <w:pStyle w:val="TableParagraph"/>
              <w:ind w:left="9"/>
              <w:jc w:val="center"/>
              <w:rPr>
                <w:sz w:val="14"/>
              </w:rPr>
            </w:pPr>
            <w:r>
              <w:rPr>
                <w:color w:val="231F20"/>
                <w:sz w:val="14"/>
              </w:rPr>
              <w:t>5</w:t>
            </w:r>
          </w:p>
        </w:tc>
      </w:tr>
      <w:tr>
        <w:trPr>
          <w:trHeight w:val="200" w:hRule="atLeast"/>
        </w:trPr>
        <w:tc>
          <w:tcPr>
            <w:tcW w:w="4484" w:type="dxa"/>
          </w:tcPr>
          <w:p>
            <w:pPr>
              <w:pStyle w:val="TableParagraph"/>
              <w:ind w:left="56"/>
              <w:jc w:val="left"/>
              <w:rPr>
                <w:sz w:val="14"/>
              </w:rPr>
            </w:pPr>
            <w:r>
              <w:rPr>
                <w:color w:val="231F20"/>
                <w:sz w:val="14"/>
              </w:rPr>
              <w:t>зона пратећих техничких објеката</w:t>
            </w:r>
          </w:p>
        </w:tc>
        <w:tc>
          <w:tcPr>
            <w:tcW w:w="625" w:type="dxa"/>
          </w:tcPr>
          <w:p>
            <w:pPr>
              <w:pStyle w:val="TableParagraph"/>
              <w:ind w:left="8"/>
              <w:jc w:val="center"/>
              <w:rPr>
                <w:sz w:val="14"/>
              </w:rPr>
            </w:pPr>
            <w:r>
              <w:rPr>
                <w:color w:val="231F20"/>
                <w:sz w:val="14"/>
              </w:rPr>
              <w:t>4</w:t>
            </w:r>
          </w:p>
        </w:tc>
      </w:tr>
      <w:tr>
        <w:trPr>
          <w:trHeight w:val="200" w:hRule="atLeast"/>
        </w:trPr>
        <w:tc>
          <w:tcPr>
            <w:tcW w:w="4484" w:type="dxa"/>
          </w:tcPr>
          <w:p>
            <w:pPr>
              <w:pStyle w:val="TableParagraph"/>
              <w:ind w:left="56"/>
              <w:jc w:val="left"/>
              <w:rPr>
                <w:sz w:val="14"/>
              </w:rPr>
            </w:pPr>
            <w:r>
              <w:rPr>
                <w:color w:val="231F20"/>
                <w:sz w:val="14"/>
              </w:rPr>
              <w:t>зона осталих пратећих објеката</w:t>
            </w:r>
          </w:p>
        </w:tc>
        <w:tc>
          <w:tcPr>
            <w:tcW w:w="625" w:type="dxa"/>
          </w:tcPr>
          <w:p>
            <w:pPr>
              <w:pStyle w:val="TableParagraph"/>
              <w:ind w:left="204" w:right="196"/>
              <w:jc w:val="center"/>
              <w:rPr>
                <w:sz w:val="14"/>
              </w:rPr>
            </w:pPr>
            <w:r>
              <w:rPr>
                <w:color w:val="231F20"/>
                <w:sz w:val="14"/>
              </w:rPr>
              <w:t>10</w:t>
            </w:r>
          </w:p>
        </w:tc>
      </w:tr>
      <w:tr>
        <w:trPr>
          <w:trHeight w:val="200" w:hRule="atLeast"/>
        </w:trPr>
        <w:tc>
          <w:tcPr>
            <w:tcW w:w="4484" w:type="dxa"/>
          </w:tcPr>
          <w:p>
            <w:pPr>
              <w:pStyle w:val="TableParagraph"/>
              <w:ind w:left="56"/>
              <w:jc w:val="left"/>
              <w:rPr>
                <w:sz w:val="14"/>
              </w:rPr>
            </w:pPr>
            <w:r>
              <w:rPr>
                <w:color w:val="231F20"/>
                <w:sz w:val="14"/>
              </w:rPr>
              <w:t>разводно постројење и енергетски коридор</w:t>
            </w:r>
          </w:p>
        </w:tc>
        <w:tc>
          <w:tcPr>
            <w:tcW w:w="625" w:type="dxa"/>
          </w:tcPr>
          <w:p>
            <w:pPr>
              <w:pStyle w:val="TableParagraph"/>
              <w:ind w:left="8"/>
              <w:jc w:val="center"/>
              <w:rPr>
                <w:sz w:val="14"/>
              </w:rPr>
            </w:pPr>
            <w:r>
              <w:rPr>
                <w:color w:val="231F20"/>
                <w:sz w:val="14"/>
              </w:rPr>
              <w:t>6</w:t>
            </w:r>
          </w:p>
        </w:tc>
      </w:tr>
      <w:tr>
        <w:trPr>
          <w:trHeight w:val="200" w:hRule="atLeast"/>
        </w:trPr>
        <w:tc>
          <w:tcPr>
            <w:tcW w:w="4484" w:type="dxa"/>
          </w:tcPr>
          <w:p>
            <w:pPr>
              <w:pStyle w:val="TableParagraph"/>
              <w:ind w:left="56"/>
              <w:jc w:val="left"/>
              <w:rPr>
                <w:sz w:val="14"/>
              </w:rPr>
            </w:pPr>
            <w:r>
              <w:rPr>
                <w:color w:val="231F20"/>
                <w:sz w:val="14"/>
              </w:rPr>
              <w:t>зона привремених садржаја у функцији изградње термоелектране</w:t>
            </w:r>
          </w:p>
        </w:tc>
        <w:tc>
          <w:tcPr>
            <w:tcW w:w="625" w:type="dxa"/>
          </w:tcPr>
          <w:p>
            <w:pPr>
              <w:pStyle w:val="TableParagraph"/>
              <w:ind w:left="204" w:right="196"/>
              <w:jc w:val="center"/>
              <w:rPr>
                <w:sz w:val="14"/>
              </w:rPr>
            </w:pPr>
            <w:r>
              <w:rPr>
                <w:color w:val="231F20"/>
                <w:sz w:val="14"/>
              </w:rPr>
              <w:t>3.2</w:t>
            </w:r>
          </w:p>
        </w:tc>
      </w:tr>
      <w:tr>
        <w:trPr>
          <w:trHeight w:val="200" w:hRule="atLeast"/>
        </w:trPr>
        <w:tc>
          <w:tcPr>
            <w:tcW w:w="4484" w:type="dxa"/>
          </w:tcPr>
          <w:p>
            <w:pPr>
              <w:pStyle w:val="TableParagraph"/>
              <w:ind w:left="56"/>
              <w:jc w:val="left"/>
              <w:rPr>
                <w:sz w:val="14"/>
              </w:rPr>
            </w:pPr>
            <w:r>
              <w:rPr>
                <w:color w:val="231F20"/>
                <w:sz w:val="14"/>
              </w:rPr>
              <w:t>зона зелених и рекреативних површина</w:t>
            </w:r>
          </w:p>
        </w:tc>
        <w:tc>
          <w:tcPr>
            <w:tcW w:w="625" w:type="dxa"/>
          </w:tcPr>
          <w:p>
            <w:pPr>
              <w:pStyle w:val="TableParagraph"/>
              <w:ind w:left="204" w:right="196"/>
              <w:jc w:val="center"/>
              <w:rPr>
                <w:sz w:val="14"/>
              </w:rPr>
            </w:pPr>
            <w:r>
              <w:rPr>
                <w:color w:val="231F20"/>
                <w:sz w:val="14"/>
              </w:rPr>
              <w:t>25</w:t>
            </w:r>
          </w:p>
        </w:tc>
      </w:tr>
      <w:tr>
        <w:trPr>
          <w:trHeight w:val="200" w:hRule="atLeast"/>
        </w:trPr>
        <w:tc>
          <w:tcPr>
            <w:tcW w:w="4484" w:type="dxa"/>
          </w:tcPr>
          <w:p>
            <w:pPr>
              <w:pStyle w:val="TableParagraph"/>
              <w:ind w:left="56"/>
              <w:jc w:val="left"/>
              <w:rPr>
                <w:sz w:val="14"/>
              </w:rPr>
            </w:pPr>
            <w:r>
              <w:rPr>
                <w:color w:val="231F20"/>
                <w:sz w:val="14"/>
              </w:rPr>
              <w:t>резервисани простор за II фазу изградње Термоелектране</w:t>
            </w:r>
          </w:p>
        </w:tc>
        <w:tc>
          <w:tcPr>
            <w:tcW w:w="625" w:type="dxa"/>
          </w:tcPr>
          <w:p>
            <w:pPr>
              <w:pStyle w:val="TableParagraph"/>
              <w:ind w:left="204" w:right="196"/>
              <w:jc w:val="center"/>
              <w:rPr>
                <w:sz w:val="14"/>
              </w:rPr>
            </w:pPr>
            <w:r>
              <w:rPr>
                <w:color w:val="231F20"/>
                <w:sz w:val="14"/>
              </w:rPr>
              <w:t>10</w:t>
            </w:r>
          </w:p>
        </w:tc>
      </w:tr>
      <w:tr>
        <w:trPr>
          <w:trHeight w:val="200" w:hRule="atLeast"/>
        </w:trPr>
        <w:tc>
          <w:tcPr>
            <w:tcW w:w="4484" w:type="dxa"/>
          </w:tcPr>
          <w:p>
            <w:pPr>
              <w:pStyle w:val="TableParagraph"/>
              <w:spacing w:before="17"/>
              <w:ind w:left="56"/>
              <w:jc w:val="left"/>
              <w:rPr>
                <w:sz w:val="14"/>
              </w:rPr>
            </w:pPr>
            <w:r>
              <w:rPr>
                <w:color w:val="231F20"/>
                <w:sz w:val="14"/>
              </w:rPr>
              <w:t>Саобраћајнице и саобраћајне површине</w:t>
            </w:r>
          </w:p>
        </w:tc>
        <w:tc>
          <w:tcPr>
            <w:tcW w:w="625" w:type="dxa"/>
          </w:tcPr>
          <w:p>
            <w:pPr>
              <w:pStyle w:val="TableParagraph"/>
              <w:spacing w:before="17"/>
              <w:ind w:left="8"/>
              <w:jc w:val="center"/>
              <w:rPr>
                <w:sz w:val="14"/>
              </w:rPr>
            </w:pPr>
            <w:r>
              <w:rPr>
                <w:color w:val="231F20"/>
                <w:sz w:val="14"/>
              </w:rPr>
              <w:t>5</w:t>
            </w:r>
          </w:p>
        </w:tc>
      </w:tr>
      <w:tr>
        <w:trPr>
          <w:trHeight w:val="200" w:hRule="atLeast"/>
        </w:trPr>
        <w:tc>
          <w:tcPr>
            <w:tcW w:w="4484" w:type="dxa"/>
          </w:tcPr>
          <w:p>
            <w:pPr>
              <w:pStyle w:val="TableParagraph"/>
              <w:spacing w:before="17"/>
              <w:ind w:left="56"/>
              <w:jc w:val="left"/>
              <w:rPr>
                <w:sz w:val="14"/>
              </w:rPr>
            </w:pPr>
            <w:r>
              <w:rPr>
                <w:color w:val="231F20"/>
                <w:sz w:val="14"/>
              </w:rPr>
              <w:t>Интерна пруга</w:t>
            </w:r>
          </w:p>
        </w:tc>
        <w:tc>
          <w:tcPr>
            <w:tcW w:w="625" w:type="dxa"/>
          </w:tcPr>
          <w:p>
            <w:pPr>
              <w:pStyle w:val="TableParagraph"/>
              <w:spacing w:before="17"/>
              <w:ind w:left="8"/>
              <w:jc w:val="center"/>
              <w:rPr>
                <w:sz w:val="14"/>
              </w:rPr>
            </w:pPr>
            <w:r>
              <w:rPr>
                <w:color w:val="231F20"/>
                <w:sz w:val="14"/>
              </w:rPr>
              <w:t>4</w:t>
            </w:r>
          </w:p>
        </w:tc>
      </w:tr>
      <w:tr>
        <w:trPr>
          <w:trHeight w:val="200" w:hRule="atLeast"/>
        </w:trPr>
        <w:tc>
          <w:tcPr>
            <w:tcW w:w="4484" w:type="dxa"/>
          </w:tcPr>
          <w:p>
            <w:pPr>
              <w:pStyle w:val="TableParagraph"/>
              <w:spacing w:before="17"/>
              <w:ind w:left="56"/>
              <w:jc w:val="left"/>
              <w:rPr>
                <w:sz w:val="14"/>
              </w:rPr>
            </w:pPr>
            <w:r>
              <w:rPr>
                <w:color w:val="231F20"/>
                <w:sz w:val="14"/>
              </w:rPr>
              <w:t>Депонија угља</w:t>
            </w:r>
          </w:p>
        </w:tc>
        <w:tc>
          <w:tcPr>
            <w:tcW w:w="625" w:type="dxa"/>
          </w:tcPr>
          <w:p>
            <w:pPr>
              <w:pStyle w:val="TableParagraph"/>
              <w:spacing w:before="17"/>
              <w:ind w:left="203" w:right="196"/>
              <w:jc w:val="center"/>
              <w:rPr>
                <w:sz w:val="14"/>
              </w:rPr>
            </w:pPr>
            <w:r>
              <w:rPr>
                <w:color w:val="231F20"/>
                <w:sz w:val="14"/>
              </w:rPr>
              <w:t>23</w:t>
            </w:r>
          </w:p>
        </w:tc>
      </w:tr>
      <w:tr>
        <w:trPr>
          <w:trHeight w:val="200" w:hRule="atLeast"/>
        </w:trPr>
        <w:tc>
          <w:tcPr>
            <w:tcW w:w="4484" w:type="dxa"/>
          </w:tcPr>
          <w:p>
            <w:pPr>
              <w:pStyle w:val="TableParagraph"/>
              <w:spacing w:before="17"/>
              <w:ind w:left="55"/>
              <w:jc w:val="left"/>
              <w:rPr>
                <w:sz w:val="14"/>
              </w:rPr>
            </w:pPr>
            <w:r>
              <w:rPr>
                <w:color w:val="231F20"/>
                <w:sz w:val="14"/>
              </w:rPr>
              <w:t>Канал</w:t>
            </w:r>
          </w:p>
        </w:tc>
        <w:tc>
          <w:tcPr>
            <w:tcW w:w="625" w:type="dxa"/>
          </w:tcPr>
          <w:p>
            <w:pPr>
              <w:pStyle w:val="TableParagraph"/>
              <w:spacing w:before="17"/>
              <w:ind w:left="7"/>
              <w:jc w:val="center"/>
              <w:rPr>
                <w:sz w:val="14"/>
              </w:rPr>
            </w:pPr>
            <w:r>
              <w:rPr>
                <w:color w:val="231F20"/>
                <w:sz w:val="14"/>
              </w:rPr>
              <w:t>5</w:t>
            </w:r>
          </w:p>
        </w:tc>
      </w:tr>
    </w:tbl>
    <w:p>
      <w:pPr>
        <w:pStyle w:val="BodyText"/>
        <w:spacing w:line="232" w:lineRule="auto" w:before="38"/>
        <w:ind w:left="453" w:right="1" w:firstLine="396"/>
      </w:pPr>
      <w:r>
        <w:rPr>
          <w:color w:val="231F20"/>
        </w:rPr>
        <w:t>У</w:t>
      </w:r>
      <w:r>
        <w:rPr>
          <w:color w:val="231F20"/>
          <w:spacing w:val="-8"/>
        </w:rPr>
        <w:t> </w:t>
      </w:r>
      <w:r>
        <w:rPr>
          <w:color w:val="231F20"/>
          <w:spacing w:val="-3"/>
        </w:rPr>
        <w:t>планском</w:t>
      </w:r>
      <w:r>
        <w:rPr>
          <w:color w:val="231F20"/>
          <w:spacing w:val="-8"/>
        </w:rPr>
        <w:t> </w:t>
      </w:r>
      <w:r>
        <w:rPr>
          <w:color w:val="231F20"/>
        </w:rPr>
        <w:t>периоду</w:t>
      </w:r>
      <w:r>
        <w:rPr>
          <w:color w:val="231F20"/>
          <w:spacing w:val="-8"/>
        </w:rPr>
        <w:t> </w:t>
      </w:r>
      <w:r>
        <w:rPr>
          <w:color w:val="231F20"/>
        </w:rPr>
        <w:t>спроводиће</w:t>
      </w:r>
      <w:r>
        <w:rPr>
          <w:color w:val="231F20"/>
          <w:spacing w:val="-8"/>
        </w:rPr>
        <w:t> </w:t>
      </w:r>
      <w:r>
        <w:rPr>
          <w:color w:val="231F20"/>
        </w:rPr>
        <w:t>се</w:t>
      </w:r>
      <w:r>
        <w:rPr>
          <w:color w:val="231F20"/>
          <w:spacing w:val="-8"/>
        </w:rPr>
        <w:t> </w:t>
      </w:r>
      <w:r>
        <w:rPr>
          <w:color w:val="231F20"/>
        </w:rPr>
        <w:t>обимни</w:t>
      </w:r>
      <w:r>
        <w:rPr>
          <w:color w:val="231F20"/>
          <w:spacing w:val="-8"/>
        </w:rPr>
        <w:t> </w:t>
      </w:r>
      <w:r>
        <w:rPr>
          <w:color w:val="231F20"/>
        </w:rPr>
        <w:t>радови</w:t>
      </w:r>
      <w:r>
        <w:rPr>
          <w:color w:val="231F20"/>
          <w:spacing w:val="-8"/>
        </w:rPr>
        <w:t> </w:t>
      </w:r>
      <w:r>
        <w:rPr>
          <w:color w:val="231F20"/>
        </w:rPr>
        <w:t>на</w:t>
      </w:r>
      <w:r>
        <w:rPr>
          <w:color w:val="231F20"/>
          <w:spacing w:val="-8"/>
        </w:rPr>
        <w:t> </w:t>
      </w:r>
      <w:r>
        <w:rPr>
          <w:color w:val="231F20"/>
        </w:rPr>
        <w:t>изград- њи објеката и постројења, на </w:t>
      </w:r>
      <w:r>
        <w:rPr>
          <w:color w:val="231F20"/>
          <w:spacing w:val="-3"/>
        </w:rPr>
        <w:t>одржавању, </w:t>
      </w:r>
      <w:r>
        <w:rPr>
          <w:color w:val="231F20"/>
        </w:rPr>
        <w:t>реконструкцији и из- градњи у оквиру</w:t>
      </w:r>
      <w:r>
        <w:rPr>
          <w:color w:val="231F20"/>
          <w:spacing w:val="-1"/>
        </w:rPr>
        <w:t> </w:t>
      </w:r>
      <w:r>
        <w:rPr>
          <w:color w:val="231F20"/>
          <w:spacing w:val="-3"/>
        </w:rPr>
        <w:t>комплекса.</w:t>
      </w:r>
    </w:p>
    <w:p>
      <w:pPr>
        <w:pStyle w:val="ListParagraph"/>
        <w:numPr>
          <w:ilvl w:val="0"/>
          <w:numId w:val="64"/>
        </w:numPr>
        <w:tabs>
          <w:tab w:pos="1046" w:val="left" w:leader="none"/>
        </w:tabs>
        <w:spacing w:line="200" w:lineRule="exact" w:before="0" w:after="0"/>
        <w:ind w:left="243" w:right="0" w:firstLine="607"/>
        <w:jc w:val="left"/>
        <w:rPr>
          <w:sz w:val="18"/>
        </w:rPr>
      </w:pPr>
      <w:r>
        <w:rPr>
          <w:color w:val="231F20"/>
          <w:sz w:val="18"/>
        </w:rPr>
        <w:t>Реконструкција постојећих</w:t>
      </w:r>
      <w:r>
        <w:rPr>
          <w:color w:val="231F20"/>
          <w:spacing w:val="-2"/>
          <w:sz w:val="18"/>
        </w:rPr>
        <w:t> </w:t>
      </w:r>
      <w:r>
        <w:rPr>
          <w:color w:val="231F20"/>
          <w:sz w:val="18"/>
        </w:rPr>
        <w:t>капацитета</w:t>
      </w:r>
    </w:p>
    <w:p>
      <w:pPr>
        <w:pStyle w:val="BodyText"/>
        <w:spacing w:line="232" w:lineRule="auto" w:before="2"/>
        <w:ind w:left="453" w:firstLine="397"/>
      </w:pPr>
      <w:r>
        <w:rPr>
          <w:color w:val="231F20"/>
        </w:rPr>
        <w:t>У циљу економски оправданог подизања снаге блока Б1 до пројектованих параметара, остваривања енергетске ефикасности, продужења радног века блока за 20 </w:t>
      </w:r>
      <w:r>
        <w:rPr>
          <w:color w:val="231F20"/>
          <w:spacing w:val="-3"/>
        </w:rPr>
        <w:t>година </w:t>
      </w:r>
      <w:r>
        <w:rPr>
          <w:color w:val="231F20"/>
        </w:rPr>
        <w:t>(150.000 сати), подиза- ња производње електричне енергије за </w:t>
      </w:r>
      <w:r>
        <w:rPr>
          <w:color w:val="231F20"/>
          <w:spacing w:val="-4"/>
        </w:rPr>
        <w:t>око </w:t>
      </w:r>
      <w:r>
        <w:rPr>
          <w:color w:val="231F20"/>
        </w:rPr>
        <w:t>милијарду kWh и уса- глашавања са захтевима и </w:t>
      </w:r>
      <w:r>
        <w:rPr>
          <w:color w:val="231F20"/>
          <w:spacing w:val="-3"/>
        </w:rPr>
        <w:t>регулативом </w:t>
      </w:r>
      <w:r>
        <w:rPr>
          <w:color w:val="231F20"/>
        </w:rPr>
        <w:t>из области заштите живот- не средине, као приоритетна активност, изводи се реконструкција постојећих постројења.</w:t>
      </w:r>
    </w:p>
    <w:p>
      <w:pPr>
        <w:pStyle w:val="BodyText"/>
        <w:spacing w:line="232" w:lineRule="auto" w:before="2"/>
        <w:ind w:left="453" w:right="1" w:firstLine="396"/>
      </w:pPr>
      <w:r>
        <w:rPr>
          <w:color w:val="231F20"/>
        </w:rPr>
        <w:t>Радовима реконструкције, при чему се може сматрати да су неки од тих радова у смислу Закона о планирању и изградњи гра- ђевински радови, обухваћени су:</w:t>
      </w:r>
    </w:p>
    <w:p>
      <w:pPr>
        <w:pStyle w:val="BodyText"/>
        <w:spacing w:line="232" w:lineRule="auto" w:before="1"/>
        <w:ind w:left="453" w:right="1" w:firstLine="397"/>
      </w:pPr>
      <w:r>
        <w:rPr>
          <w:color w:val="231F20"/>
          <w:w w:val="66"/>
        </w:rPr>
        <w:t> </w:t>
      </w:r>
      <w:r>
        <w:rPr>
          <w:color w:val="231F20"/>
        </w:rPr>
        <w:t>– главни погонски објекат (котловско и турбинско построје- ње, кондензатор и други витални делови),</w:t>
      </w:r>
    </w:p>
    <w:p>
      <w:pPr>
        <w:pStyle w:val="BodyText"/>
        <w:spacing w:line="200" w:lineRule="exact"/>
        <w:ind w:left="850"/>
        <w:jc w:val="left"/>
      </w:pPr>
      <w:r>
        <w:rPr>
          <w:color w:val="231F20"/>
          <w:w w:val="66"/>
        </w:rPr>
        <w:t> </w:t>
      </w:r>
      <w:r>
        <w:rPr>
          <w:color w:val="231F20"/>
        </w:rPr>
        <w:t>– електрофилтерска постројења,</w:t>
      </w:r>
    </w:p>
    <w:p>
      <w:pPr>
        <w:pStyle w:val="BodyText"/>
        <w:spacing w:line="201" w:lineRule="exact"/>
        <w:ind w:left="850"/>
        <w:jc w:val="left"/>
      </w:pPr>
      <w:r>
        <w:rPr>
          <w:color w:val="231F20"/>
          <w:w w:val="66"/>
        </w:rPr>
        <w:t> </w:t>
      </w:r>
      <w:r>
        <w:rPr>
          <w:color w:val="231F20"/>
        </w:rPr>
        <w:t>– систем расхладне воде,</w:t>
      </w:r>
    </w:p>
    <w:p>
      <w:pPr>
        <w:pStyle w:val="BodyText"/>
        <w:spacing w:line="201" w:lineRule="exact"/>
        <w:ind w:left="850"/>
        <w:jc w:val="left"/>
      </w:pPr>
      <w:r>
        <w:rPr>
          <w:color w:val="231F20"/>
          <w:w w:val="66"/>
        </w:rPr>
        <w:t> </w:t>
      </w:r>
      <w:r>
        <w:rPr>
          <w:color w:val="231F20"/>
        </w:rPr>
        <w:t>– хемијска припрема воде, и</w:t>
      </w:r>
    </w:p>
    <w:p>
      <w:pPr>
        <w:pStyle w:val="BodyText"/>
        <w:spacing w:line="201" w:lineRule="exact"/>
        <w:ind w:left="850"/>
        <w:jc w:val="left"/>
      </w:pPr>
      <w:r>
        <w:rPr>
          <w:color w:val="231F20"/>
          <w:w w:val="66"/>
        </w:rPr>
        <w:t> </w:t>
      </w:r>
      <w:r>
        <w:rPr>
          <w:color w:val="231F20"/>
          <w:w w:val="95"/>
        </w:rPr>
        <w:t>– аутоматизација.</w:t>
      </w:r>
    </w:p>
    <w:p>
      <w:pPr>
        <w:pStyle w:val="ListParagraph"/>
        <w:numPr>
          <w:ilvl w:val="0"/>
          <w:numId w:val="64"/>
        </w:numPr>
        <w:tabs>
          <w:tab w:pos="1046" w:val="left" w:leader="none"/>
        </w:tabs>
        <w:spacing w:line="201" w:lineRule="exact" w:before="0" w:after="0"/>
        <w:ind w:left="1045" w:right="0" w:hanging="195"/>
        <w:jc w:val="left"/>
        <w:rPr>
          <w:sz w:val="18"/>
        </w:rPr>
      </w:pPr>
      <w:r>
        <w:rPr>
          <w:color w:val="231F20"/>
          <w:sz w:val="18"/>
        </w:rPr>
        <w:t>Третман отпадних</w:t>
      </w:r>
      <w:r>
        <w:rPr>
          <w:color w:val="231F20"/>
          <w:spacing w:val="-2"/>
          <w:sz w:val="18"/>
        </w:rPr>
        <w:t> </w:t>
      </w:r>
      <w:r>
        <w:rPr>
          <w:color w:val="231F20"/>
          <w:sz w:val="18"/>
        </w:rPr>
        <w:t>вода</w:t>
      </w:r>
    </w:p>
    <w:p>
      <w:pPr>
        <w:pStyle w:val="BodyText"/>
        <w:spacing w:line="232" w:lineRule="auto" w:before="2"/>
        <w:ind w:left="454" w:firstLine="396"/>
      </w:pPr>
      <w:r>
        <w:rPr>
          <w:color w:val="231F20"/>
        </w:rPr>
        <w:t>Отпадне воде генерисане у оба блока ТЕ „Костолац Б” при- купљаће се у постројењу за третман отпадних вода, </w:t>
      </w:r>
      <w:r>
        <w:rPr>
          <w:color w:val="231F20"/>
          <w:spacing w:val="-4"/>
        </w:rPr>
        <w:t>где </w:t>
      </w:r>
      <w:r>
        <w:rPr>
          <w:color w:val="231F20"/>
        </w:rPr>
        <w:t>ће се тре- тирати до остваривања захтеваног квалитета и </w:t>
      </w:r>
      <w:r>
        <w:rPr>
          <w:color w:val="231F20"/>
          <w:spacing w:val="-3"/>
        </w:rPr>
        <w:t>потом </w:t>
      </w:r>
      <w:r>
        <w:rPr>
          <w:color w:val="231F20"/>
        </w:rPr>
        <w:t>испуштати у реку </w:t>
      </w:r>
      <w:r>
        <w:rPr>
          <w:color w:val="231F20"/>
          <w:spacing w:val="-5"/>
        </w:rPr>
        <w:t>Млаву.</w:t>
      </w:r>
    </w:p>
    <w:p>
      <w:pPr>
        <w:pStyle w:val="BodyText"/>
        <w:spacing w:before="69"/>
        <w:ind w:left="242" w:right="126" w:firstLine="396"/>
      </w:pPr>
      <w:r>
        <w:rPr/>
        <w:br w:type="column"/>
      </w:r>
      <w:r>
        <w:rPr>
          <w:color w:val="231F20"/>
          <w:spacing w:val="-3"/>
        </w:rPr>
        <w:t>Под </w:t>
      </w:r>
      <w:r>
        <w:rPr>
          <w:color w:val="231F20"/>
        </w:rPr>
        <w:t>укупним отпадним водама у ТЕ „Костолац Б” подразу- мевају се отпадне воде </w:t>
      </w:r>
      <w:r>
        <w:rPr>
          <w:color w:val="231F20"/>
          <w:spacing w:val="-3"/>
        </w:rPr>
        <w:t>које </w:t>
      </w:r>
      <w:r>
        <w:rPr>
          <w:color w:val="231F20"/>
        </w:rPr>
        <w:t>чине: расхладна отпадна вода (топла вода),</w:t>
      </w:r>
      <w:r>
        <w:rPr>
          <w:color w:val="231F20"/>
          <w:spacing w:val="-6"/>
        </w:rPr>
        <w:t> </w:t>
      </w:r>
      <w:r>
        <w:rPr>
          <w:color w:val="231F20"/>
        </w:rPr>
        <w:t>атмосферска,</w:t>
      </w:r>
      <w:r>
        <w:rPr>
          <w:color w:val="231F20"/>
          <w:spacing w:val="-6"/>
        </w:rPr>
        <w:t> </w:t>
      </w:r>
      <w:r>
        <w:rPr>
          <w:color w:val="231F20"/>
        </w:rPr>
        <w:t>фекална,</w:t>
      </w:r>
      <w:r>
        <w:rPr>
          <w:color w:val="231F20"/>
          <w:spacing w:val="-6"/>
        </w:rPr>
        <w:t> </w:t>
      </w:r>
      <w:r>
        <w:rPr>
          <w:color w:val="231F20"/>
        </w:rPr>
        <w:t>технолошке</w:t>
      </w:r>
      <w:r>
        <w:rPr>
          <w:color w:val="231F20"/>
          <w:spacing w:val="-6"/>
        </w:rPr>
        <w:t> </w:t>
      </w:r>
      <w:r>
        <w:rPr>
          <w:color w:val="231F20"/>
        </w:rPr>
        <w:t>отпадне</w:t>
      </w:r>
      <w:r>
        <w:rPr>
          <w:color w:val="231F20"/>
          <w:spacing w:val="-6"/>
        </w:rPr>
        <w:t> </w:t>
      </w:r>
      <w:r>
        <w:rPr>
          <w:color w:val="231F20"/>
        </w:rPr>
        <w:t>воде</w:t>
      </w:r>
      <w:r>
        <w:rPr>
          <w:color w:val="231F20"/>
          <w:spacing w:val="-6"/>
        </w:rPr>
        <w:t> </w:t>
      </w:r>
      <w:r>
        <w:rPr>
          <w:color w:val="231F20"/>
        </w:rPr>
        <w:t>из</w:t>
      </w:r>
      <w:r>
        <w:rPr>
          <w:color w:val="231F20"/>
          <w:spacing w:val="-6"/>
        </w:rPr>
        <w:t> </w:t>
      </w:r>
      <w:r>
        <w:rPr>
          <w:color w:val="231F20"/>
        </w:rPr>
        <w:t>припре- ме деми и пијаће воде, отпадне дренажне воде из објеката, </w:t>
      </w:r>
      <w:r>
        <w:rPr>
          <w:color w:val="231F20"/>
          <w:spacing w:val="-3"/>
        </w:rPr>
        <w:t>зауље- </w:t>
      </w:r>
      <w:r>
        <w:rPr>
          <w:color w:val="231F20"/>
        </w:rPr>
        <w:t>не отпадне воде, отпадне воде из просторије са акумулаторских батерија и отпадне воде са депоније (преливне и</w:t>
      </w:r>
      <w:r>
        <w:rPr>
          <w:color w:val="231F20"/>
          <w:spacing w:val="-16"/>
        </w:rPr>
        <w:t> </w:t>
      </w:r>
      <w:r>
        <w:rPr>
          <w:color w:val="231F20"/>
        </w:rPr>
        <w:t>дренажне).</w:t>
      </w:r>
    </w:p>
    <w:p>
      <w:pPr>
        <w:pStyle w:val="BodyText"/>
        <w:ind w:left="243" w:right="126" w:firstLine="396"/>
      </w:pPr>
      <w:r>
        <w:rPr>
          <w:color w:val="231F20"/>
        </w:rPr>
        <w:t>На основу анализе отпадних вода закључено је да се морају пречистити само зауљене воде </w:t>
      </w:r>
      <w:r>
        <w:rPr>
          <w:color w:val="231F20"/>
          <w:spacing w:val="-3"/>
        </w:rPr>
        <w:t>које </w:t>
      </w:r>
      <w:r>
        <w:rPr>
          <w:color w:val="231F20"/>
        </w:rPr>
        <w:t>чине зауљене атмосферске во- де</w:t>
      </w:r>
      <w:r>
        <w:rPr>
          <w:color w:val="231F20"/>
          <w:spacing w:val="-8"/>
        </w:rPr>
        <w:t> </w:t>
      </w:r>
      <w:r>
        <w:rPr>
          <w:color w:val="231F20"/>
        </w:rPr>
        <w:t>и</w:t>
      </w:r>
      <w:r>
        <w:rPr>
          <w:color w:val="231F20"/>
          <w:spacing w:val="-8"/>
        </w:rPr>
        <w:t> </w:t>
      </w:r>
      <w:r>
        <w:rPr>
          <w:color w:val="231F20"/>
        </w:rPr>
        <w:t>зауљене</w:t>
      </w:r>
      <w:r>
        <w:rPr>
          <w:color w:val="231F20"/>
          <w:spacing w:val="-8"/>
        </w:rPr>
        <w:t> </w:t>
      </w:r>
      <w:r>
        <w:rPr>
          <w:color w:val="231F20"/>
        </w:rPr>
        <w:t>воде</w:t>
      </w:r>
      <w:r>
        <w:rPr>
          <w:color w:val="231F20"/>
          <w:spacing w:val="-8"/>
        </w:rPr>
        <w:t> </w:t>
      </w:r>
      <w:r>
        <w:rPr>
          <w:color w:val="231F20"/>
        </w:rPr>
        <w:t>из</w:t>
      </w:r>
      <w:r>
        <w:rPr>
          <w:color w:val="231F20"/>
          <w:spacing w:val="-8"/>
        </w:rPr>
        <w:t> </w:t>
      </w:r>
      <w:r>
        <w:rPr>
          <w:color w:val="231F20"/>
        </w:rPr>
        <w:t>унутрашњег</w:t>
      </w:r>
      <w:r>
        <w:rPr>
          <w:color w:val="231F20"/>
          <w:spacing w:val="-8"/>
        </w:rPr>
        <w:t> </w:t>
      </w:r>
      <w:r>
        <w:rPr>
          <w:color w:val="231F20"/>
        </w:rPr>
        <w:t>и</w:t>
      </w:r>
      <w:r>
        <w:rPr>
          <w:color w:val="231F20"/>
          <w:spacing w:val="-8"/>
        </w:rPr>
        <w:t> </w:t>
      </w:r>
      <w:r>
        <w:rPr>
          <w:color w:val="231F20"/>
        </w:rPr>
        <w:t>спољњег</w:t>
      </w:r>
      <w:r>
        <w:rPr>
          <w:color w:val="231F20"/>
          <w:spacing w:val="-8"/>
        </w:rPr>
        <w:t> </w:t>
      </w:r>
      <w:r>
        <w:rPr>
          <w:color w:val="231F20"/>
        </w:rPr>
        <w:t>мазутног</w:t>
      </w:r>
      <w:r>
        <w:rPr>
          <w:color w:val="231F20"/>
          <w:spacing w:val="-8"/>
        </w:rPr>
        <w:t> </w:t>
      </w:r>
      <w:r>
        <w:rPr>
          <w:color w:val="231F20"/>
        </w:rPr>
        <w:t>постројења. </w:t>
      </w:r>
      <w:r>
        <w:rPr>
          <w:color w:val="231F20"/>
          <w:spacing w:val="-7"/>
        </w:rPr>
        <w:t>То </w:t>
      </w:r>
      <w:r>
        <w:rPr>
          <w:color w:val="231F20"/>
        </w:rPr>
        <w:t>се процењује на 0,9 литра отпадне воде по 1 МWh електричне енергије. Овај податак је добијен на основу просечних годишњих падавина за регион Источне Србије (од 700 mm/годишње), сливне површине платоа претакалишта и складиштења мазута и просеч- них </w:t>
      </w:r>
      <w:r>
        <w:rPr>
          <w:color w:val="231F20"/>
          <w:spacing w:val="-3"/>
        </w:rPr>
        <w:t>количина </w:t>
      </w:r>
      <w:r>
        <w:rPr>
          <w:color w:val="231F20"/>
        </w:rPr>
        <w:t>зауљених вода из објеката претакалишта на годи- шњем</w:t>
      </w:r>
      <w:r>
        <w:rPr>
          <w:color w:val="231F20"/>
          <w:spacing w:val="-2"/>
        </w:rPr>
        <w:t> </w:t>
      </w:r>
      <w:r>
        <w:rPr>
          <w:color w:val="231F20"/>
          <w:spacing w:val="-5"/>
        </w:rPr>
        <w:t>нивоу.</w:t>
      </w:r>
    </w:p>
    <w:p>
      <w:pPr>
        <w:pStyle w:val="ListParagraph"/>
        <w:numPr>
          <w:ilvl w:val="0"/>
          <w:numId w:val="64"/>
        </w:numPr>
        <w:tabs>
          <w:tab w:pos="841" w:val="left" w:leader="none"/>
        </w:tabs>
        <w:spacing w:line="240" w:lineRule="auto" w:before="0" w:after="0"/>
        <w:ind w:left="243" w:right="126" w:firstLine="397"/>
        <w:jc w:val="both"/>
        <w:rPr>
          <w:sz w:val="18"/>
        </w:rPr>
      </w:pPr>
      <w:r>
        <w:rPr>
          <w:color w:val="231F20"/>
          <w:sz w:val="18"/>
        </w:rPr>
        <w:t>Систем за одсумпоравање димних гасова (у даљем тексту: </w:t>
      </w:r>
      <w:r>
        <w:rPr>
          <w:color w:val="231F20"/>
          <w:spacing w:val="-4"/>
          <w:sz w:val="18"/>
        </w:rPr>
        <w:t>ОДГ)</w:t>
      </w:r>
    </w:p>
    <w:p>
      <w:pPr>
        <w:pStyle w:val="BodyText"/>
        <w:ind w:left="243" w:right="126" w:firstLine="397"/>
      </w:pPr>
      <w:r>
        <w:rPr>
          <w:color w:val="231F20"/>
        </w:rPr>
        <w:t>Постројење за одсумпоравање ће бити изграђено у склопу постојеће</w:t>
      </w:r>
      <w:r>
        <w:rPr>
          <w:color w:val="231F20"/>
          <w:spacing w:val="-9"/>
        </w:rPr>
        <w:t> </w:t>
      </w:r>
      <w:r>
        <w:rPr>
          <w:color w:val="231F20"/>
        </w:rPr>
        <w:t>локације</w:t>
      </w:r>
      <w:r>
        <w:rPr>
          <w:color w:val="231F20"/>
          <w:spacing w:val="-9"/>
        </w:rPr>
        <w:t> </w:t>
      </w:r>
      <w:r>
        <w:rPr>
          <w:color w:val="231F20"/>
        </w:rPr>
        <w:t>термоелектране.</w:t>
      </w:r>
      <w:r>
        <w:rPr>
          <w:color w:val="231F20"/>
          <w:spacing w:val="-9"/>
        </w:rPr>
        <w:t> </w:t>
      </w:r>
      <w:r>
        <w:rPr>
          <w:color w:val="231F20"/>
        </w:rPr>
        <w:t>Планирано</w:t>
      </w:r>
      <w:r>
        <w:rPr>
          <w:color w:val="231F20"/>
          <w:spacing w:val="-9"/>
        </w:rPr>
        <w:t> </w:t>
      </w:r>
      <w:r>
        <w:rPr>
          <w:color w:val="231F20"/>
        </w:rPr>
        <w:t>је</w:t>
      </w:r>
      <w:r>
        <w:rPr>
          <w:color w:val="231F20"/>
          <w:spacing w:val="-9"/>
        </w:rPr>
        <w:t> </w:t>
      </w:r>
      <w:r>
        <w:rPr>
          <w:color w:val="231F20"/>
        </w:rPr>
        <w:t>извођење</w:t>
      </w:r>
      <w:r>
        <w:rPr>
          <w:color w:val="231F20"/>
          <w:spacing w:val="-9"/>
        </w:rPr>
        <w:t> </w:t>
      </w:r>
      <w:r>
        <w:rPr>
          <w:color w:val="231F20"/>
        </w:rPr>
        <w:t>техно- лошки поузданог техничког решења одсумпоравања димних гасо- ва за ТЕ „Костолац Б”, применом влажног </w:t>
      </w:r>
      <w:r>
        <w:rPr>
          <w:color w:val="231F20"/>
          <w:spacing w:val="-3"/>
        </w:rPr>
        <w:t>кречњачког </w:t>
      </w:r>
      <w:r>
        <w:rPr>
          <w:color w:val="231F20"/>
        </w:rPr>
        <w:t>поступка, којим ће се обезбеди рад </w:t>
      </w:r>
      <w:r>
        <w:rPr>
          <w:color w:val="231F20"/>
          <w:spacing w:val="-3"/>
        </w:rPr>
        <w:t>блокова </w:t>
      </w:r>
      <w:r>
        <w:rPr>
          <w:color w:val="231F20"/>
        </w:rPr>
        <w:t>у оквиру граничних вредности емисија сумпор-диоксида дефинисаних </w:t>
      </w:r>
      <w:r>
        <w:rPr>
          <w:color w:val="231F20"/>
          <w:spacing w:val="-3"/>
        </w:rPr>
        <w:t>регулативом</w:t>
      </w:r>
      <w:r>
        <w:rPr>
          <w:color w:val="231F20"/>
          <w:spacing w:val="-4"/>
        </w:rPr>
        <w:t> </w:t>
      </w:r>
      <w:r>
        <w:rPr>
          <w:color w:val="231F20"/>
          <w:spacing w:val="-10"/>
        </w:rPr>
        <w:t>ЕУ.</w:t>
      </w:r>
    </w:p>
    <w:p>
      <w:pPr>
        <w:pStyle w:val="BodyText"/>
        <w:ind w:left="243" w:right="125" w:firstLine="396"/>
        <w:rPr>
          <w:sz w:val="10"/>
        </w:rPr>
      </w:pPr>
      <w:r>
        <w:rPr>
          <w:color w:val="231F20"/>
        </w:rPr>
        <w:t>С обзиром на постојеће стање распореда објеката и опреме  у кругу термоелектране, као и сагледавањем потребног простора </w:t>
      </w:r>
      <w:r>
        <w:rPr>
          <w:color w:val="231F20"/>
          <w:spacing w:val="-3"/>
        </w:rPr>
        <w:t>који </w:t>
      </w:r>
      <w:r>
        <w:rPr>
          <w:color w:val="231F20"/>
        </w:rPr>
        <w:t>је </w:t>
      </w:r>
      <w:r>
        <w:rPr>
          <w:color w:val="231F20"/>
          <w:spacing w:val="-3"/>
        </w:rPr>
        <w:t>заузет </w:t>
      </w:r>
      <w:r>
        <w:rPr>
          <w:color w:val="231F20"/>
        </w:rPr>
        <w:t>изградњом новог постројења за прикупљање и тран- спорт пепела и шљаке у виду густе мешавине, дефинисан је рас- положиви простор за смештај појединачних система у оквиру по- стројења за</w:t>
      </w:r>
      <w:r>
        <w:rPr>
          <w:color w:val="231F20"/>
          <w:spacing w:val="-2"/>
        </w:rPr>
        <w:t> </w:t>
      </w:r>
      <w:r>
        <w:rPr>
          <w:color w:val="231F20"/>
          <w:spacing w:val="-6"/>
        </w:rPr>
        <w:t>ОДГ.</w:t>
      </w:r>
      <w:r>
        <w:rPr>
          <w:color w:val="231F20"/>
          <w:spacing w:val="-6"/>
          <w:position w:val="6"/>
          <w:sz w:val="10"/>
        </w:rPr>
        <w:t>22</w:t>
      </w:r>
    </w:p>
    <w:p>
      <w:pPr>
        <w:pStyle w:val="BodyText"/>
        <w:ind w:left="241" w:right="127" w:firstLine="396"/>
      </w:pPr>
      <w:r>
        <w:rPr>
          <w:color w:val="231F20"/>
        </w:rPr>
        <w:t>Микролокација је ограничена диспозицијом следећих обје- ката: постојећег димњака, косог моста за допрему угља, ограде </w:t>
      </w:r>
      <w:r>
        <w:rPr>
          <w:color w:val="231F20"/>
          <w:spacing w:val="-3"/>
        </w:rPr>
        <w:t>комплекса </w:t>
      </w:r>
      <w:r>
        <w:rPr>
          <w:color w:val="231F20"/>
        </w:rPr>
        <w:t>термоелектране до пресипне зграде за угаљ и новом линијом за транспорт пепела до силоса, односно, диспозицијом објеката</w:t>
      </w:r>
      <w:r>
        <w:rPr>
          <w:color w:val="231F20"/>
          <w:spacing w:val="-6"/>
        </w:rPr>
        <w:t> </w:t>
      </w:r>
      <w:r>
        <w:rPr>
          <w:color w:val="231F20"/>
        </w:rPr>
        <w:t>новог</w:t>
      </w:r>
      <w:r>
        <w:rPr>
          <w:color w:val="231F20"/>
          <w:spacing w:val="-6"/>
        </w:rPr>
        <w:t> </w:t>
      </w:r>
      <w:r>
        <w:rPr>
          <w:color w:val="231F20"/>
        </w:rPr>
        <w:t>система</w:t>
      </w:r>
      <w:r>
        <w:rPr>
          <w:color w:val="231F20"/>
          <w:spacing w:val="-6"/>
        </w:rPr>
        <w:t> </w:t>
      </w:r>
      <w:r>
        <w:rPr>
          <w:color w:val="231F20"/>
        </w:rPr>
        <w:t>транспорта</w:t>
      </w:r>
      <w:r>
        <w:rPr>
          <w:color w:val="231F20"/>
          <w:spacing w:val="-6"/>
        </w:rPr>
        <w:t> </w:t>
      </w:r>
      <w:r>
        <w:rPr>
          <w:color w:val="231F20"/>
        </w:rPr>
        <w:t>пепела</w:t>
      </w:r>
      <w:r>
        <w:rPr>
          <w:color w:val="231F20"/>
          <w:spacing w:val="-6"/>
        </w:rPr>
        <w:t> </w:t>
      </w:r>
      <w:r>
        <w:rPr>
          <w:color w:val="231F20"/>
        </w:rPr>
        <w:t>и</w:t>
      </w:r>
      <w:r>
        <w:rPr>
          <w:color w:val="231F20"/>
          <w:spacing w:val="-6"/>
        </w:rPr>
        <w:t> </w:t>
      </w:r>
      <w:r>
        <w:rPr>
          <w:color w:val="231F20"/>
        </w:rPr>
        <w:t>шљаке.</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rPr>
        <w:t>овог простора постоје следећи објекти: железничка пруга </w:t>
      </w:r>
      <w:r>
        <w:rPr>
          <w:color w:val="231F20"/>
          <w:spacing w:val="-3"/>
        </w:rPr>
        <w:t>која </w:t>
      </w:r>
      <w:r>
        <w:rPr>
          <w:color w:val="231F20"/>
        </w:rPr>
        <w:t>је дуже време</w:t>
      </w:r>
      <w:r>
        <w:rPr>
          <w:color w:val="231F20"/>
          <w:spacing w:val="-5"/>
        </w:rPr>
        <w:t> </w:t>
      </w:r>
      <w:r>
        <w:rPr>
          <w:color w:val="231F20"/>
        </w:rPr>
        <w:t>ван</w:t>
      </w:r>
      <w:r>
        <w:rPr>
          <w:color w:val="231F20"/>
          <w:spacing w:val="-5"/>
        </w:rPr>
        <w:t> </w:t>
      </w:r>
      <w:r>
        <w:rPr>
          <w:color w:val="231F20"/>
        </w:rPr>
        <w:t>употребе</w:t>
      </w:r>
      <w:r>
        <w:rPr>
          <w:color w:val="231F20"/>
          <w:spacing w:val="-5"/>
        </w:rPr>
        <w:t> </w:t>
      </w:r>
      <w:r>
        <w:rPr>
          <w:color w:val="231F20"/>
        </w:rPr>
        <w:t>јер</w:t>
      </w:r>
      <w:r>
        <w:rPr>
          <w:color w:val="231F20"/>
          <w:spacing w:val="-5"/>
        </w:rPr>
        <w:t> </w:t>
      </w:r>
      <w:r>
        <w:rPr>
          <w:color w:val="231F20"/>
        </w:rPr>
        <w:t>је</w:t>
      </w:r>
      <w:r>
        <w:rPr>
          <w:color w:val="231F20"/>
          <w:spacing w:val="-5"/>
        </w:rPr>
        <w:t> </w:t>
      </w:r>
      <w:r>
        <w:rPr>
          <w:color w:val="231F20"/>
        </w:rPr>
        <w:t>прекинута</w:t>
      </w:r>
      <w:r>
        <w:rPr>
          <w:color w:val="231F20"/>
          <w:spacing w:val="-5"/>
        </w:rPr>
        <w:t> </w:t>
      </w:r>
      <w:r>
        <w:rPr>
          <w:color w:val="231F20"/>
        </w:rPr>
        <w:t>изградњом</w:t>
      </w:r>
      <w:r>
        <w:rPr>
          <w:color w:val="231F20"/>
          <w:spacing w:val="-5"/>
        </w:rPr>
        <w:t> </w:t>
      </w:r>
      <w:r>
        <w:rPr>
          <w:color w:val="231F20"/>
        </w:rPr>
        <w:t>депоније</w:t>
      </w:r>
      <w:r>
        <w:rPr>
          <w:color w:val="231F20"/>
          <w:spacing w:val="-5"/>
        </w:rPr>
        <w:t> </w:t>
      </w:r>
      <w:r>
        <w:rPr>
          <w:color w:val="231F20"/>
        </w:rPr>
        <w:t>угља,</w:t>
      </w:r>
      <w:r>
        <w:rPr>
          <w:color w:val="231F20"/>
          <w:spacing w:val="-5"/>
        </w:rPr>
        <w:t> </w:t>
      </w:r>
      <w:r>
        <w:rPr>
          <w:color w:val="231F20"/>
        </w:rPr>
        <w:t>ре- зервоар противпожарне заштите резервоара мазута и археолошка налазишта „Римски бунар” и „Римска пећ”. Постојећи објекти ће се</w:t>
      </w:r>
      <w:r>
        <w:rPr>
          <w:color w:val="231F20"/>
          <w:spacing w:val="-1"/>
        </w:rPr>
        <w:t> </w:t>
      </w:r>
      <w:r>
        <w:rPr>
          <w:color w:val="231F20"/>
        </w:rPr>
        <w:t>изместити.</w:t>
      </w:r>
    </w:p>
    <w:p>
      <w:pPr>
        <w:pStyle w:val="BodyText"/>
        <w:ind w:left="242" w:right="127" w:firstLine="396"/>
      </w:pPr>
      <w:r>
        <w:rPr>
          <w:color w:val="231F20"/>
        </w:rPr>
        <w:t>Поред овог простора, за потребе смештаја складишта креч- њака искористиће се слободни простор преко пута складишта ма- зута. Локација складишта кречњака усаглашена је са могућности- ма допреме кречњака и камионским и железничким превозом до истоварног места.</w:t>
      </w:r>
    </w:p>
    <w:p>
      <w:pPr>
        <w:pStyle w:val="BodyText"/>
        <w:ind w:left="242" w:right="127" w:firstLine="396"/>
      </w:pPr>
      <w:r>
        <w:rPr>
          <w:color w:val="231F20"/>
        </w:rPr>
        <w:t>Снабдевање </w:t>
      </w:r>
      <w:r>
        <w:rPr>
          <w:color w:val="231F20"/>
          <w:spacing w:val="-3"/>
        </w:rPr>
        <w:t>водом </w:t>
      </w:r>
      <w:r>
        <w:rPr>
          <w:color w:val="231F20"/>
        </w:rPr>
        <w:t>постројења за </w:t>
      </w:r>
      <w:r>
        <w:rPr>
          <w:color w:val="231F20"/>
          <w:spacing w:val="-4"/>
        </w:rPr>
        <w:t>ОДГ </w:t>
      </w:r>
      <w:r>
        <w:rPr>
          <w:color w:val="231F20"/>
        </w:rPr>
        <w:t>планира се из реке Ду- нав,</w:t>
      </w:r>
      <w:r>
        <w:rPr>
          <w:color w:val="231F20"/>
          <w:spacing w:val="-17"/>
        </w:rPr>
        <w:t> </w:t>
      </w:r>
      <w:r>
        <w:rPr>
          <w:color w:val="231F20"/>
          <w:spacing w:val="-3"/>
        </w:rPr>
        <w:t>тако</w:t>
      </w:r>
      <w:r>
        <w:rPr>
          <w:color w:val="231F20"/>
          <w:spacing w:val="-17"/>
        </w:rPr>
        <w:t> </w:t>
      </w:r>
      <w:r>
        <w:rPr>
          <w:color w:val="231F20"/>
        </w:rPr>
        <w:t>да</w:t>
      </w:r>
      <w:r>
        <w:rPr>
          <w:color w:val="231F20"/>
          <w:spacing w:val="-17"/>
        </w:rPr>
        <w:t> </w:t>
      </w:r>
      <w:r>
        <w:rPr>
          <w:color w:val="231F20"/>
        </w:rPr>
        <w:t>је</w:t>
      </w:r>
      <w:r>
        <w:rPr>
          <w:color w:val="231F20"/>
          <w:spacing w:val="-17"/>
        </w:rPr>
        <w:t> </w:t>
      </w:r>
      <w:r>
        <w:rPr>
          <w:color w:val="231F20"/>
        </w:rPr>
        <w:t>пројектни</w:t>
      </w:r>
      <w:r>
        <w:rPr>
          <w:color w:val="231F20"/>
          <w:spacing w:val="-17"/>
        </w:rPr>
        <w:t> </w:t>
      </w:r>
      <w:r>
        <w:rPr>
          <w:color w:val="231F20"/>
        </w:rPr>
        <w:t>квалитет</w:t>
      </w:r>
      <w:r>
        <w:rPr>
          <w:color w:val="231F20"/>
          <w:spacing w:val="-17"/>
        </w:rPr>
        <w:t> </w:t>
      </w:r>
      <w:r>
        <w:rPr>
          <w:color w:val="231F20"/>
        </w:rPr>
        <w:t>свеже</w:t>
      </w:r>
      <w:r>
        <w:rPr>
          <w:color w:val="231F20"/>
          <w:spacing w:val="-16"/>
        </w:rPr>
        <w:t> </w:t>
      </w:r>
      <w:r>
        <w:rPr>
          <w:color w:val="231F20"/>
        </w:rPr>
        <w:t>процесне</w:t>
      </w:r>
      <w:r>
        <w:rPr>
          <w:color w:val="231F20"/>
          <w:spacing w:val="-16"/>
        </w:rPr>
        <w:t> </w:t>
      </w:r>
      <w:r>
        <w:rPr>
          <w:color w:val="231F20"/>
        </w:rPr>
        <w:t>воде</w:t>
      </w:r>
      <w:r>
        <w:rPr>
          <w:color w:val="231F20"/>
          <w:spacing w:val="-17"/>
        </w:rPr>
        <w:t> </w:t>
      </w:r>
      <w:r>
        <w:rPr>
          <w:color w:val="231F20"/>
          <w:spacing w:val="-3"/>
        </w:rPr>
        <w:t>која</w:t>
      </w:r>
      <w:r>
        <w:rPr>
          <w:color w:val="231F20"/>
          <w:spacing w:val="-17"/>
        </w:rPr>
        <w:t> </w:t>
      </w:r>
      <w:r>
        <w:rPr>
          <w:color w:val="231F20"/>
        </w:rPr>
        <w:t>ће</w:t>
      </w:r>
      <w:r>
        <w:rPr>
          <w:color w:val="231F20"/>
          <w:spacing w:val="-17"/>
        </w:rPr>
        <w:t> </w:t>
      </w:r>
      <w:r>
        <w:rPr>
          <w:color w:val="231F20"/>
        </w:rPr>
        <w:t>се</w:t>
      </w:r>
      <w:r>
        <w:rPr>
          <w:color w:val="231F20"/>
          <w:spacing w:val="-16"/>
        </w:rPr>
        <w:t> </w:t>
      </w:r>
      <w:r>
        <w:rPr>
          <w:color w:val="231F20"/>
          <w:spacing w:val="-4"/>
        </w:rPr>
        <w:t>ко- </w:t>
      </w:r>
      <w:r>
        <w:rPr>
          <w:color w:val="231F20"/>
        </w:rPr>
        <w:t>ристити</w:t>
      </w:r>
      <w:r>
        <w:rPr>
          <w:color w:val="231F20"/>
          <w:spacing w:val="-11"/>
        </w:rPr>
        <w:t> </w:t>
      </w:r>
      <w:r>
        <w:rPr>
          <w:color w:val="231F20"/>
        </w:rPr>
        <w:t>у</w:t>
      </w:r>
      <w:r>
        <w:rPr>
          <w:color w:val="231F20"/>
          <w:spacing w:val="-11"/>
        </w:rPr>
        <w:t> </w:t>
      </w:r>
      <w:r>
        <w:rPr>
          <w:color w:val="231F20"/>
        </w:rPr>
        <w:t>процесу</w:t>
      </w:r>
      <w:r>
        <w:rPr>
          <w:color w:val="231F20"/>
          <w:spacing w:val="-11"/>
        </w:rPr>
        <w:t> </w:t>
      </w:r>
      <w:r>
        <w:rPr>
          <w:color w:val="231F20"/>
        </w:rPr>
        <w:t>одсумпоравања</w:t>
      </w:r>
      <w:r>
        <w:rPr>
          <w:color w:val="231F20"/>
          <w:spacing w:val="-11"/>
        </w:rPr>
        <w:t> </w:t>
      </w:r>
      <w:r>
        <w:rPr>
          <w:color w:val="231F20"/>
        </w:rPr>
        <w:t>димних</w:t>
      </w:r>
      <w:r>
        <w:rPr>
          <w:color w:val="231F20"/>
          <w:spacing w:val="-11"/>
        </w:rPr>
        <w:t> </w:t>
      </w:r>
      <w:r>
        <w:rPr>
          <w:color w:val="231F20"/>
        </w:rPr>
        <w:t>гасова</w:t>
      </w:r>
      <w:r>
        <w:rPr>
          <w:color w:val="231F20"/>
          <w:spacing w:val="-11"/>
        </w:rPr>
        <w:t> </w:t>
      </w:r>
      <w:r>
        <w:rPr>
          <w:color w:val="231F20"/>
        </w:rPr>
        <w:t>ТЕ</w:t>
      </w:r>
      <w:r>
        <w:rPr>
          <w:color w:val="231F20"/>
          <w:spacing w:val="-11"/>
        </w:rPr>
        <w:t> </w:t>
      </w:r>
      <w:r>
        <w:rPr>
          <w:color w:val="231F20"/>
        </w:rPr>
        <w:t>„Костолац</w:t>
      </w:r>
      <w:r>
        <w:rPr>
          <w:color w:val="231F20"/>
          <w:spacing w:val="-11"/>
        </w:rPr>
        <w:t> </w:t>
      </w:r>
      <w:r>
        <w:rPr>
          <w:color w:val="231F20"/>
        </w:rPr>
        <w:t>Б” одређен квалитетом воде</w:t>
      </w:r>
      <w:r>
        <w:rPr>
          <w:color w:val="231F20"/>
          <w:spacing w:val="-2"/>
        </w:rPr>
        <w:t> </w:t>
      </w:r>
      <w:r>
        <w:rPr>
          <w:color w:val="231F20"/>
        </w:rPr>
        <w:t>Дунава.</w:t>
      </w:r>
    </w:p>
    <w:p>
      <w:pPr>
        <w:pStyle w:val="BodyText"/>
        <w:ind w:left="242" w:right="127" w:firstLine="396"/>
      </w:pPr>
      <w:r>
        <w:rPr>
          <w:color w:val="231F20"/>
        </w:rPr>
        <w:t>Отпадне</w:t>
      </w:r>
      <w:r>
        <w:rPr>
          <w:color w:val="231F20"/>
          <w:spacing w:val="-15"/>
        </w:rPr>
        <w:t> </w:t>
      </w:r>
      <w:r>
        <w:rPr>
          <w:color w:val="231F20"/>
        </w:rPr>
        <w:t>воде</w:t>
      </w:r>
      <w:r>
        <w:rPr>
          <w:color w:val="231F20"/>
          <w:spacing w:val="-14"/>
        </w:rPr>
        <w:t> </w:t>
      </w:r>
      <w:r>
        <w:rPr>
          <w:color w:val="231F20"/>
          <w:spacing w:val="-3"/>
        </w:rPr>
        <w:t>које</w:t>
      </w:r>
      <w:r>
        <w:rPr>
          <w:color w:val="231F20"/>
          <w:spacing w:val="-14"/>
        </w:rPr>
        <w:t> </w:t>
      </w:r>
      <w:r>
        <w:rPr>
          <w:color w:val="231F20"/>
        </w:rPr>
        <w:t>настају</w:t>
      </w:r>
      <w:r>
        <w:rPr>
          <w:color w:val="231F20"/>
          <w:spacing w:val="-14"/>
        </w:rPr>
        <w:t> </w:t>
      </w:r>
      <w:r>
        <w:rPr>
          <w:color w:val="231F20"/>
        </w:rPr>
        <w:t>у</w:t>
      </w:r>
      <w:r>
        <w:rPr>
          <w:color w:val="231F20"/>
          <w:spacing w:val="-14"/>
        </w:rPr>
        <w:t> </w:t>
      </w:r>
      <w:r>
        <w:rPr>
          <w:color w:val="231F20"/>
        </w:rPr>
        <w:t>постројењу</w:t>
      </w:r>
      <w:r>
        <w:rPr>
          <w:color w:val="231F20"/>
          <w:spacing w:val="-15"/>
        </w:rPr>
        <w:t> </w:t>
      </w:r>
      <w:r>
        <w:rPr>
          <w:color w:val="231F20"/>
        </w:rPr>
        <w:t>за</w:t>
      </w:r>
      <w:r>
        <w:rPr>
          <w:color w:val="231F20"/>
          <w:spacing w:val="-14"/>
        </w:rPr>
        <w:t> </w:t>
      </w:r>
      <w:r>
        <w:rPr>
          <w:color w:val="231F20"/>
          <w:spacing w:val="-4"/>
        </w:rPr>
        <w:t>ОДГ</w:t>
      </w:r>
      <w:r>
        <w:rPr>
          <w:color w:val="231F20"/>
          <w:spacing w:val="-15"/>
        </w:rPr>
        <w:t> </w:t>
      </w:r>
      <w:r>
        <w:rPr>
          <w:color w:val="231F20"/>
        </w:rPr>
        <w:t>третираће</w:t>
      </w:r>
      <w:r>
        <w:rPr>
          <w:color w:val="231F20"/>
          <w:spacing w:val="-14"/>
        </w:rPr>
        <w:t> </w:t>
      </w:r>
      <w:r>
        <w:rPr>
          <w:color w:val="231F20"/>
        </w:rPr>
        <w:t>у</w:t>
      </w:r>
      <w:r>
        <w:rPr>
          <w:color w:val="231F20"/>
          <w:spacing w:val="-14"/>
        </w:rPr>
        <w:t> </w:t>
      </w:r>
      <w:r>
        <w:rPr>
          <w:color w:val="231F20"/>
        </w:rPr>
        <w:t>за- </w:t>
      </w:r>
      <w:r>
        <w:rPr>
          <w:color w:val="231F20"/>
          <w:spacing w:val="-3"/>
        </w:rPr>
        <w:t>једничком </w:t>
      </w:r>
      <w:r>
        <w:rPr>
          <w:color w:val="231F20"/>
        </w:rPr>
        <w:t>постројењу за третман отпадних вода ТЕ „Костолац Б”, или ће се користити за формирање густе мешавине пепела и шља- </w:t>
      </w:r>
      <w:r>
        <w:rPr>
          <w:color w:val="231F20"/>
          <w:spacing w:val="-3"/>
        </w:rPr>
        <w:t>ке која </w:t>
      </w:r>
      <w:r>
        <w:rPr>
          <w:color w:val="231F20"/>
        </w:rPr>
        <w:t>ће се </w:t>
      </w:r>
      <w:r>
        <w:rPr>
          <w:color w:val="231F20"/>
          <w:spacing w:val="-3"/>
        </w:rPr>
        <w:t>потом </w:t>
      </w:r>
      <w:r>
        <w:rPr>
          <w:color w:val="231F20"/>
        </w:rPr>
        <w:t>транспортовати на</w:t>
      </w:r>
      <w:r>
        <w:rPr>
          <w:color w:val="231F20"/>
          <w:spacing w:val="6"/>
        </w:rPr>
        <w:t> </w:t>
      </w:r>
      <w:r>
        <w:rPr>
          <w:color w:val="231F20"/>
          <w:spacing w:val="-3"/>
        </w:rPr>
        <w:t>депонију.</w:t>
      </w:r>
    </w:p>
    <w:p>
      <w:pPr>
        <w:pStyle w:val="BodyText"/>
        <w:ind w:left="242" w:right="127" w:firstLine="396"/>
      </w:pPr>
      <w:r>
        <w:rPr>
          <w:color w:val="231F20"/>
        </w:rPr>
        <w:t>Изградња </w:t>
      </w:r>
      <w:r>
        <w:rPr>
          <w:color w:val="231F20"/>
          <w:spacing w:val="-4"/>
        </w:rPr>
        <w:t>ОДГ </w:t>
      </w:r>
      <w:r>
        <w:rPr>
          <w:color w:val="231F20"/>
        </w:rPr>
        <w:t>система не захтева заустављање рада </w:t>
      </w:r>
      <w:r>
        <w:rPr>
          <w:color w:val="231F20"/>
          <w:spacing w:val="-3"/>
        </w:rPr>
        <w:t>блокова </w:t>
      </w:r>
      <w:r>
        <w:rPr>
          <w:color w:val="231F20"/>
        </w:rPr>
        <w:t>термоелектране, осим за потребе повезивања канала димног гаса помоћу покретне дизалице </w:t>
      </w:r>
      <w:r>
        <w:rPr>
          <w:color w:val="231F20"/>
          <w:spacing w:val="-3"/>
        </w:rPr>
        <w:t>која </w:t>
      </w:r>
      <w:r>
        <w:rPr>
          <w:color w:val="231F20"/>
        </w:rPr>
        <w:t>ће бити постављена североисточ- но </w:t>
      </w:r>
      <w:r>
        <w:rPr>
          <w:color w:val="231F20"/>
          <w:spacing w:val="-3"/>
        </w:rPr>
        <w:t>од </w:t>
      </w:r>
      <w:r>
        <w:rPr>
          <w:color w:val="231F20"/>
        </w:rPr>
        <w:t>обе стране постојећег димњака. </w:t>
      </w:r>
      <w:r>
        <w:rPr>
          <w:color w:val="231F20"/>
          <w:spacing w:val="-4"/>
        </w:rPr>
        <w:t>Како </w:t>
      </w:r>
      <w:r>
        <w:rPr>
          <w:color w:val="231F20"/>
        </w:rPr>
        <w:t>би се обезбедио што краћи</w:t>
      </w:r>
      <w:r>
        <w:rPr>
          <w:color w:val="231F20"/>
          <w:spacing w:val="-5"/>
        </w:rPr>
        <w:t> </w:t>
      </w:r>
      <w:r>
        <w:rPr>
          <w:color w:val="231F20"/>
        </w:rPr>
        <w:t>период</w:t>
      </w:r>
      <w:r>
        <w:rPr>
          <w:color w:val="231F20"/>
          <w:spacing w:val="-5"/>
        </w:rPr>
        <w:t> </w:t>
      </w:r>
      <w:r>
        <w:rPr>
          <w:color w:val="231F20"/>
        </w:rPr>
        <w:t>прекида</w:t>
      </w:r>
      <w:r>
        <w:rPr>
          <w:color w:val="231F20"/>
          <w:spacing w:val="-5"/>
        </w:rPr>
        <w:t> </w:t>
      </w:r>
      <w:r>
        <w:rPr>
          <w:color w:val="231F20"/>
        </w:rPr>
        <w:t>рада</w:t>
      </w:r>
      <w:r>
        <w:rPr>
          <w:color w:val="231F20"/>
          <w:spacing w:val="-5"/>
        </w:rPr>
        <w:t> </w:t>
      </w:r>
      <w:r>
        <w:rPr>
          <w:color w:val="231F20"/>
        </w:rPr>
        <w:t>блока,</w:t>
      </w:r>
      <w:r>
        <w:rPr>
          <w:color w:val="231F20"/>
          <w:spacing w:val="-5"/>
        </w:rPr>
        <w:t> </w:t>
      </w:r>
      <w:r>
        <w:rPr>
          <w:color w:val="231F20"/>
        </w:rPr>
        <w:t>повезивање</w:t>
      </w:r>
      <w:r>
        <w:rPr>
          <w:color w:val="231F20"/>
          <w:spacing w:val="-5"/>
        </w:rPr>
        <w:t> </w:t>
      </w:r>
      <w:r>
        <w:rPr>
          <w:color w:val="231F20"/>
        </w:rPr>
        <w:t>канала</w:t>
      </w:r>
      <w:r>
        <w:rPr>
          <w:color w:val="231F20"/>
          <w:spacing w:val="-5"/>
        </w:rPr>
        <w:t> </w:t>
      </w:r>
      <w:r>
        <w:rPr>
          <w:color w:val="231F20"/>
        </w:rPr>
        <w:t>димног</w:t>
      </w:r>
      <w:r>
        <w:rPr>
          <w:color w:val="231F20"/>
          <w:spacing w:val="-5"/>
        </w:rPr>
        <w:t> </w:t>
      </w:r>
      <w:r>
        <w:rPr>
          <w:color w:val="231F20"/>
        </w:rPr>
        <w:t>гаса, мора бити добро испланирано и брзо реализовано </w:t>
      </w:r>
      <w:r>
        <w:rPr>
          <w:color w:val="231F20"/>
          <w:spacing w:val="-4"/>
        </w:rPr>
        <w:t>током </w:t>
      </w:r>
      <w:r>
        <w:rPr>
          <w:color w:val="231F20"/>
        </w:rPr>
        <w:t>редовног ремонта </w:t>
      </w:r>
      <w:r>
        <w:rPr>
          <w:color w:val="231F20"/>
          <w:spacing w:val="-3"/>
        </w:rPr>
        <w:t>блокова.</w:t>
      </w:r>
    </w:p>
    <w:p>
      <w:pPr>
        <w:pStyle w:val="BodyText"/>
        <w:ind w:left="243" w:right="127" w:firstLine="396"/>
      </w:pPr>
      <w:r>
        <w:rPr>
          <w:color w:val="231F20"/>
        </w:rPr>
        <w:t>Постављање канала димног гаса између вентилатора и ап- сорбера вршиће се помоћу покретних дизалица, док ће се за кана- ле између апсорбера и димњака користити торањски кран.</w:t>
      </w:r>
    </w:p>
    <w:p>
      <w:pPr>
        <w:pStyle w:val="BodyText"/>
        <w:ind w:left="243" w:right="126" w:firstLine="396"/>
      </w:pPr>
      <w:r>
        <w:rPr>
          <w:color w:val="231F20"/>
        </w:rPr>
        <w:t>За потребе организације градилишта и постављање привре- мених објеката за одлагање, склапање, занатске радове и привре- мене канцеларије, може се користити расположиви простор на са- мој локацији и простор резервисан за изградњу нових капацитета у следећој фази изградње.</w:t>
      </w:r>
    </w:p>
    <w:p>
      <w:pPr>
        <w:spacing w:line="153" w:lineRule="exact" w:before="0"/>
        <w:ind w:left="241"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526" w:val="left" w:leader="none"/>
        </w:tabs>
        <w:spacing w:line="240" w:lineRule="auto" w:before="0" w:after="0"/>
        <w:ind w:left="525" w:right="128" w:hanging="284"/>
        <w:jc w:val="both"/>
        <w:rPr>
          <w:sz w:val="14"/>
        </w:rPr>
      </w:pPr>
      <w:r>
        <w:rPr>
          <w:color w:val="231F20"/>
          <w:sz w:val="14"/>
        </w:rPr>
        <w:t>Претходна студија оправданости са генералним пројектом одсумпоравања дим- них гасова из ТЕ Костолац Б и Студија о могућности снабдевања кречњаком термоелектране за потребе система одсумпоравања, Конзорцијум: Машински факултет УБ, Рударско-геолошки факултет УБ, Worley Parsons, London, UK и Енергопројект-Ентел, 2008.</w:t>
      </w:r>
      <w:r>
        <w:rPr>
          <w:color w:val="231F20"/>
          <w:spacing w:val="-1"/>
          <w:sz w:val="14"/>
        </w:rPr>
        <w:t> </w:t>
      </w:r>
      <w:r>
        <w:rPr>
          <w:color w:val="231F20"/>
          <w:spacing w:val="-2"/>
          <w:sz w:val="14"/>
        </w:rPr>
        <w:t>године</w:t>
      </w:r>
    </w:p>
    <w:p>
      <w:pPr>
        <w:spacing w:after="0" w:line="240" w:lineRule="auto"/>
        <w:jc w:val="both"/>
        <w:rPr>
          <w:sz w:val="14"/>
        </w:rPr>
        <w:sectPr>
          <w:pgSz w:w="12480" w:h="15690"/>
          <w:pgMar w:top="120" w:bottom="280" w:left="680" w:right="720"/>
          <w:cols w:num="2" w:equalWidth="0">
            <w:col w:w="5558" w:space="40"/>
            <w:col w:w="5482"/>
          </w:cols>
        </w:sectPr>
      </w:pPr>
    </w:p>
    <w:p>
      <w:pPr>
        <w:pStyle w:val="BodyText"/>
        <w:spacing w:before="7"/>
        <w:ind w:left="0"/>
        <w:jc w:val="left"/>
        <w:rPr>
          <w:sz w:val="9"/>
        </w:rPr>
      </w:pPr>
      <w:r>
        <w:rPr/>
        <w:pict>
          <v:line style="position:absolute;mso-position-horizontal-relative:page;mso-position-vertical-relative:page;z-index:4264" from="304.724396pt,11.942451pt" to="304.724396pt,748.950451pt" stroked="true" strokeweight=".6pt" strokecolor="#231f20">
            <v:stroke dashstyle="solid"/>
            <w10:wrap type="none"/>
          </v:line>
        </w:pict>
      </w:r>
    </w:p>
    <w:p>
      <w:pPr>
        <w:pStyle w:val="BodyText"/>
        <w:jc w:val="left"/>
        <w:rPr>
          <w:sz w:val="20"/>
        </w:rPr>
      </w:pPr>
      <w:r>
        <w:rPr>
          <w:sz w:val="20"/>
        </w:rPr>
        <w:drawing>
          <wp:inline distT="0" distB="0" distL="0" distR="0">
            <wp:extent cx="3204775" cy="2426970"/>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3204775" cy="2426970"/>
                    </a:xfrm>
                    <a:prstGeom prst="rect">
                      <a:avLst/>
                    </a:prstGeom>
                  </pic:spPr>
                </pic:pic>
              </a:graphicData>
            </a:graphic>
          </wp:inline>
        </w:drawing>
      </w:r>
      <w:r>
        <w:rPr>
          <w:sz w:val="20"/>
        </w:rPr>
      </w:r>
    </w:p>
    <w:p>
      <w:pPr>
        <w:pStyle w:val="BodyText"/>
        <w:spacing w:before="140"/>
        <w:ind w:left="1320"/>
        <w:jc w:val="left"/>
        <w:rPr>
          <w:sz w:val="10"/>
        </w:rPr>
      </w:pPr>
      <w:r>
        <w:rPr>
          <w:color w:val="231F20"/>
        </w:rPr>
        <w:t>Диспозиција објеката система ОДГ</w:t>
      </w:r>
      <w:r>
        <w:rPr>
          <w:color w:val="231F20"/>
          <w:position w:val="6"/>
          <w:sz w:val="10"/>
        </w:rPr>
        <w:t>23</w:t>
      </w:r>
    </w:p>
    <w:p>
      <w:pPr>
        <w:pStyle w:val="BodyText"/>
        <w:ind w:left="0"/>
        <w:jc w:val="left"/>
        <w:rPr>
          <w:sz w:val="20"/>
        </w:rPr>
      </w:pPr>
    </w:p>
    <w:p>
      <w:pPr>
        <w:pStyle w:val="BodyText"/>
        <w:spacing w:before="169"/>
        <w:ind w:right="38" w:firstLine="397"/>
      </w:pPr>
      <w:r>
        <w:rPr>
          <w:color w:val="231F20"/>
        </w:rPr>
        <w:t>Са изградњом постројења за одсумпоравање димних гасова, односно, правовременом изградња новог влажног димњака, теме- ља</w:t>
      </w:r>
      <w:r>
        <w:rPr>
          <w:color w:val="231F20"/>
          <w:spacing w:val="-6"/>
        </w:rPr>
        <w:t> </w:t>
      </w:r>
      <w:r>
        <w:rPr>
          <w:color w:val="231F20"/>
        </w:rPr>
        <w:t>апсорбера</w:t>
      </w:r>
      <w:r>
        <w:rPr>
          <w:color w:val="231F20"/>
          <w:spacing w:val="-6"/>
        </w:rPr>
        <w:t> </w:t>
      </w:r>
      <w:r>
        <w:rPr>
          <w:color w:val="231F20"/>
        </w:rPr>
        <w:t>и</w:t>
      </w:r>
      <w:r>
        <w:rPr>
          <w:color w:val="231F20"/>
          <w:spacing w:val="-6"/>
        </w:rPr>
        <w:t> </w:t>
      </w:r>
      <w:r>
        <w:rPr>
          <w:color w:val="231F20"/>
        </w:rPr>
        <w:t>постројења</w:t>
      </w:r>
      <w:r>
        <w:rPr>
          <w:color w:val="231F20"/>
          <w:spacing w:val="-6"/>
        </w:rPr>
        <w:t> </w:t>
      </w:r>
      <w:r>
        <w:rPr>
          <w:color w:val="231F20"/>
        </w:rPr>
        <w:t>за</w:t>
      </w:r>
      <w:r>
        <w:rPr>
          <w:color w:val="231F20"/>
          <w:spacing w:val="-6"/>
        </w:rPr>
        <w:t> </w:t>
      </w:r>
      <w:r>
        <w:rPr>
          <w:color w:val="231F20"/>
        </w:rPr>
        <w:t>угушћење</w:t>
      </w:r>
      <w:r>
        <w:rPr>
          <w:color w:val="231F20"/>
          <w:spacing w:val="-6"/>
        </w:rPr>
        <w:t> </w:t>
      </w:r>
      <w:r>
        <w:rPr>
          <w:color w:val="231F20"/>
        </w:rPr>
        <w:t>суспензије,</w:t>
      </w:r>
      <w:r>
        <w:rPr>
          <w:color w:val="231F20"/>
          <w:spacing w:val="-6"/>
        </w:rPr>
        <w:t> </w:t>
      </w:r>
      <w:r>
        <w:rPr>
          <w:color w:val="231F20"/>
        </w:rPr>
        <w:t>може</w:t>
      </w:r>
      <w:r>
        <w:rPr>
          <w:color w:val="231F20"/>
          <w:spacing w:val="-6"/>
        </w:rPr>
        <w:t> </w:t>
      </w:r>
      <w:r>
        <w:rPr>
          <w:color w:val="231F20"/>
        </w:rPr>
        <w:t>се</w:t>
      </w:r>
      <w:r>
        <w:rPr>
          <w:color w:val="231F20"/>
          <w:spacing w:val="-6"/>
        </w:rPr>
        <w:t> </w:t>
      </w:r>
      <w:r>
        <w:rPr>
          <w:color w:val="231F20"/>
        </w:rPr>
        <w:t>поче- ти на рашчишћеном </w:t>
      </w:r>
      <w:r>
        <w:rPr>
          <w:color w:val="231F20"/>
          <w:spacing w:val="-3"/>
        </w:rPr>
        <w:t>терену, </w:t>
      </w:r>
      <w:r>
        <w:rPr>
          <w:color w:val="231F20"/>
        </w:rPr>
        <w:t>по окончаном измештању постојеће противпожарне станице са пратећим објектима, измештању архе- </w:t>
      </w:r>
      <w:r>
        <w:rPr>
          <w:color w:val="231F20"/>
          <w:spacing w:val="-3"/>
        </w:rPr>
        <w:t>олошког </w:t>
      </w:r>
      <w:r>
        <w:rPr>
          <w:color w:val="231F20"/>
        </w:rPr>
        <w:t>налазишта „Римска пећ”, као и демонтажи и уклањању дела постојећег железничког</w:t>
      </w:r>
      <w:r>
        <w:rPr>
          <w:color w:val="231F20"/>
          <w:spacing w:val="-3"/>
        </w:rPr>
        <w:t> </w:t>
      </w:r>
      <w:r>
        <w:rPr>
          <w:color w:val="231F20"/>
        </w:rPr>
        <w:t>колосека.</w:t>
      </w:r>
    </w:p>
    <w:p>
      <w:pPr>
        <w:pStyle w:val="BodyText"/>
        <w:spacing w:line="237" w:lineRule="auto"/>
        <w:ind w:right="38" w:firstLine="396"/>
      </w:pPr>
      <w:r>
        <w:rPr>
          <w:color w:val="231F20"/>
        </w:rPr>
        <w:t>Земљани радови за потребе изградње система ободних кана- ла</w:t>
      </w:r>
      <w:r>
        <w:rPr>
          <w:color w:val="231F20"/>
          <w:spacing w:val="-6"/>
        </w:rPr>
        <w:t> </w:t>
      </w:r>
      <w:r>
        <w:rPr>
          <w:color w:val="231F20"/>
        </w:rPr>
        <w:t>започеће</w:t>
      </w:r>
      <w:r>
        <w:rPr>
          <w:color w:val="231F20"/>
          <w:spacing w:val="-6"/>
        </w:rPr>
        <w:t> </w:t>
      </w:r>
      <w:r>
        <w:rPr>
          <w:color w:val="231F20"/>
        </w:rPr>
        <w:t>на</w:t>
      </w:r>
      <w:r>
        <w:rPr>
          <w:color w:val="231F20"/>
          <w:spacing w:val="-7"/>
        </w:rPr>
        <w:t> </w:t>
      </w:r>
      <w:r>
        <w:rPr>
          <w:color w:val="231F20"/>
          <w:spacing w:val="-3"/>
        </w:rPr>
        <w:t>простору,</w:t>
      </w:r>
      <w:r>
        <w:rPr>
          <w:color w:val="231F20"/>
          <w:spacing w:val="-6"/>
        </w:rPr>
        <w:t> </w:t>
      </w:r>
      <w:r>
        <w:rPr>
          <w:color w:val="231F20"/>
        </w:rPr>
        <w:t>непосредно</w:t>
      </w:r>
      <w:r>
        <w:rPr>
          <w:color w:val="231F20"/>
          <w:spacing w:val="-6"/>
        </w:rPr>
        <w:t> </w:t>
      </w:r>
      <w:r>
        <w:rPr>
          <w:color w:val="231F20"/>
          <w:spacing w:val="-3"/>
        </w:rPr>
        <w:t>након</w:t>
      </w:r>
      <w:r>
        <w:rPr>
          <w:color w:val="231F20"/>
          <w:spacing w:val="-6"/>
        </w:rPr>
        <w:t> </w:t>
      </w:r>
      <w:r>
        <w:rPr>
          <w:color w:val="231F20"/>
        </w:rPr>
        <w:t>или</w:t>
      </w:r>
      <w:r>
        <w:rPr>
          <w:color w:val="231F20"/>
          <w:spacing w:val="-7"/>
        </w:rPr>
        <w:t> </w:t>
      </w:r>
      <w:r>
        <w:rPr>
          <w:color w:val="231F20"/>
        </w:rPr>
        <w:t>истовремено</w:t>
      </w:r>
      <w:r>
        <w:rPr>
          <w:color w:val="231F20"/>
          <w:spacing w:val="-6"/>
        </w:rPr>
        <w:t> </w:t>
      </w:r>
      <w:r>
        <w:rPr>
          <w:color w:val="231F20"/>
        </w:rPr>
        <w:t>са</w:t>
      </w:r>
      <w:r>
        <w:rPr>
          <w:color w:val="231F20"/>
          <w:spacing w:val="-6"/>
        </w:rPr>
        <w:t> </w:t>
      </w:r>
      <w:r>
        <w:rPr>
          <w:color w:val="231F20"/>
        </w:rPr>
        <w:t>ра- довима на равнању терена. Образовање система ободних канала у простору </w:t>
      </w:r>
      <w:r>
        <w:rPr>
          <w:color w:val="231F20"/>
          <w:spacing w:val="-4"/>
        </w:rPr>
        <w:t>око </w:t>
      </w:r>
      <w:r>
        <w:rPr>
          <w:color w:val="231F20"/>
        </w:rPr>
        <w:t>апсорбера представља критичну активност. Остатак радова на успостављању система ободних канала наставиће се ка Блоку 2, </w:t>
      </w:r>
      <w:r>
        <w:rPr>
          <w:color w:val="231F20"/>
          <w:spacing w:val="-4"/>
        </w:rPr>
        <w:t>како </w:t>
      </w:r>
      <w:r>
        <w:rPr>
          <w:color w:val="231F20"/>
        </w:rPr>
        <w:t>би се обезбедио наставак радова на темељним </w:t>
      </w:r>
      <w:r>
        <w:rPr>
          <w:color w:val="231F20"/>
          <w:spacing w:val="-3"/>
        </w:rPr>
        <w:t>кон- </w:t>
      </w:r>
      <w:r>
        <w:rPr>
          <w:color w:val="231F20"/>
        </w:rPr>
        <w:t>струкцијама канала димног</w:t>
      </w:r>
      <w:r>
        <w:rPr>
          <w:color w:val="231F20"/>
          <w:spacing w:val="-3"/>
        </w:rPr>
        <w:t> </w:t>
      </w:r>
      <w:r>
        <w:rPr>
          <w:color w:val="231F20"/>
        </w:rPr>
        <w:t>гаса.</w:t>
      </w:r>
    </w:p>
    <w:p>
      <w:pPr>
        <w:pStyle w:val="BodyText"/>
        <w:spacing w:line="206" w:lineRule="exact"/>
        <w:ind w:left="567"/>
        <w:jc w:val="left"/>
      </w:pPr>
      <w:r>
        <w:rPr>
          <w:color w:val="231F20"/>
        </w:rPr>
        <w:t>4.) Изградња новог термокапацитета</w:t>
      </w:r>
    </w:p>
    <w:p>
      <w:pPr>
        <w:pStyle w:val="BodyText"/>
        <w:ind w:left="171" w:right="38" w:firstLine="396"/>
      </w:pPr>
      <w:r>
        <w:rPr>
          <w:color w:val="231F20"/>
        </w:rPr>
        <w:t>Изградња новог блока Б3 предвиђена је, у периоду (2015 – 2022.), на делу </w:t>
      </w:r>
      <w:r>
        <w:rPr>
          <w:color w:val="231F20"/>
          <w:spacing w:val="-3"/>
        </w:rPr>
        <w:t>комплекса који </w:t>
      </w:r>
      <w:r>
        <w:rPr>
          <w:color w:val="231F20"/>
        </w:rPr>
        <w:t>је према Детаљном урбанистичком плану</w:t>
      </w:r>
      <w:r>
        <w:rPr>
          <w:color w:val="231F20"/>
          <w:spacing w:val="-6"/>
        </w:rPr>
        <w:t> </w:t>
      </w:r>
      <w:r>
        <w:rPr>
          <w:color w:val="231F20"/>
        </w:rPr>
        <w:t>ТЕ</w:t>
      </w:r>
      <w:r>
        <w:rPr>
          <w:color w:val="231F20"/>
          <w:spacing w:val="-6"/>
        </w:rPr>
        <w:t> </w:t>
      </w:r>
      <w:r>
        <w:rPr>
          <w:color w:val="231F20"/>
        </w:rPr>
        <w:t>„Дрмно”</w:t>
      </w:r>
      <w:r>
        <w:rPr>
          <w:color w:val="231F20"/>
          <w:spacing w:val="-6"/>
        </w:rPr>
        <w:t> </w:t>
      </w:r>
      <w:r>
        <w:rPr>
          <w:color w:val="231F20"/>
        </w:rPr>
        <w:t>из</w:t>
      </w:r>
      <w:r>
        <w:rPr>
          <w:color w:val="231F20"/>
          <w:spacing w:val="-6"/>
        </w:rPr>
        <w:t> </w:t>
      </w:r>
      <w:r>
        <w:rPr>
          <w:color w:val="231F20"/>
        </w:rPr>
        <w:t>1982.</w:t>
      </w:r>
      <w:r>
        <w:rPr>
          <w:color w:val="231F20"/>
          <w:spacing w:val="-6"/>
        </w:rPr>
        <w:t> </w:t>
      </w:r>
      <w:r>
        <w:rPr>
          <w:color w:val="231F20"/>
          <w:spacing w:val="-3"/>
        </w:rPr>
        <w:t>године</w:t>
      </w:r>
      <w:r>
        <w:rPr>
          <w:color w:val="231F20"/>
          <w:spacing w:val="-6"/>
        </w:rPr>
        <w:t> </w:t>
      </w:r>
      <w:r>
        <w:rPr>
          <w:color w:val="231F20"/>
        </w:rPr>
        <w:t>био</w:t>
      </w:r>
      <w:r>
        <w:rPr>
          <w:color w:val="231F20"/>
          <w:spacing w:val="-6"/>
        </w:rPr>
        <w:t> </w:t>
      </w:r>
      <w:r>
        <w:rPr>
          <w:color w:val="231F20"/>
        </w:rPr>
        <w:t>планиран</w:t>
      </w:r>
      <w:r>
        <w:rPr>
          <w:color w:val="231F20"/>
          <w:spacing w:val="-6"/>
        </w:rPr>
        <w:t> </w:t>
      </w:r>
      <w:r>
        <w:rPr>
          <w:color w:val="231F20"/>
        </w:rPr>
        <w:t>за</w:t>
      </w:r>
      <w:r>
        <w:rPr>
          <w:color w:val="231F20"/>
          <w:spacing w:val="-6"/>
        </w:rPr>
        <w:t> </w:t>
      </w:r>
      <w:r>
        <w:rPr>
          <w:color w:val="231F20"/>
        </w:rPr>
        <w:t>изградњу</w:t>
      </w:r>
      <w:r>
        <w:rPr>
          <w:color w:val="231F20"/>
          <w:spacing w:val="-6"/>
        </w:rPr>
        <w:t> </w:t>
      </w:r>
      <w:r>
        <w:rPr>
          <w:color w:val="231F20"/>
          <w:spacing w:val="-3"/>
        </w:rPr>
        <w:t>глав- </w:t>
      </w:r>
      <w:r>
        <w:rPr>
          <w:color w:val="231F20"/>
        </w:rPr>
        <w:t>них погонских објеката II фазе</w:t>
      </w:r>
      <w:r>
        <w:rPr>
          <w:color w:val="231F20"/>
          <w:spacing w:val="-6"/>
        </w:rPr>
        <w:t> </w:t>
      </w:r>
      <w:r>
        <w:rPr>
          <w:color w:val="231F20"/>
        </w:rPr>
        <w:t>термоелектране.</w:t>
      </w:r>
    </w:p>
    <w:p>
      <w:pPr>
        <w:pStyle w:val="BodyText"/>
        <w:spacing w:line="237" w:lineRule="auto"/>
        <w:ind w:right="38" w:firstLine="397"/>
      </w:pPr>
      <w:r>
        <w:rPr>
          <w:color w:val="231F20"/>
        </w:rPr>
        <w:t>У оквиру површине од око (8 +2) ha између ГПО блока Б2 и депоније угља, на којој ће бити смештени нови објекти који су у функцији блока Б3, планира се изградња ГПО-а, електрофилтера, димњака, система за одсумпоравање, система за пепео и шљаку, додатних бунара сирове воде.</w:t>
      </w:r>
    </w:p>
    <w:p>
      <w:pPr>
        <w:pStyle w:val="BodyText"/>
        <w:ind w:left="171" w:right="38" w:firstLine="396"/>
      </w:pPr>
      <w:r>
        <w:rPr>
          <w:color w:val="231F20"/>
        </w:rPr>
        <w:t>За потребе инсталисања новог блока планира се проширење постојећих заједничких система: црпне станице расхладне воде и система</w:t>
      </w:r>
      <w:r>
        <w:rPr>
          <w:color w:val="231F20"/>
          <w:spacing w:val="-11"/>
        </w:rPr>
        <w:t> </w:t>
      </w:r>
      <w:r>
        <w:rPr>
          <w:color w:val="231F20"/>
        </w:rPr>
        <w:t>течног</w:t>
      </w:r>
      <w:r>
        <w:rPr>
          <w:color w:val="231F20"/>
          <w:spacing w:val="-11"/>
        </w:rPr>
        <w:t> </w:t>
      </w:r>
      <w:r>
        <w:rPr>
          <w:color w:val="231F20"/>
        </w:rPr>
        <w:t>горива.</w:t>
      </w:r>
      <w:r>
        <w:rPr>
          <w:color w:val="231F20"/>
          <w:spacing w:val="-11"/>
        </w:rPr>
        <w:t> </w:t>
      </w:r>
      <w:r>
        <w:rPr>
          <w:color w:val="231F20"/>
        </w:rPr>
        <w:t>Планира</w:t>
      </w:r>
      <w:r>
        <w:rPr>
          <w:color w:val="231F20"/>
          <w:spacing w:val="-11"/>
        </w:rPr>
        <w:t> </w:t>
      </w:r>
      <w:r>
        <w:rPr>
          <w:color w:val="231F20"/>
        </w:rPr>
        <w:t>се</w:t>
      </w:r>
      <w:r>
        <w:rPr>
          <w:color w:val="231F20"/>
          <w:spacing w:val="-11"/>
        </w:rPr>
        <w:t> </w:t>
      </w:r>
      <w:r>
        <w:rPr>
          <w:color w:val="231F20"/>
        </w:rPr>
        <w:t>изградња</w:t>
      </w:r>
      <w:r>
        <w:rPr>
          <w:color w:val="231F20"/>
          <w:spacing w:val="-11"/>
        </w:rPr>
        <w:t> </w:t>
      </w:r>
      <w:r>
        <w:rPr>
          <w:color w:val="231F20"/>
        </w:rPr>
        <w:t>нових</w:t>
      </w:r>
      <w:r>
        <w:rPr>
          <w:color w:val="231F20"/>
          <w:spacing w:val="-11"/>
        </w:rPr>
        <w:t> </w:t>
      </w:r>
      <w:r>
        <w:rPr>
          <w:color w:val="231F20"/>
        </w:rPr>
        <w:t>објеката</w:t>
      </w:r>
      <w:r>
        <w:rPr>
          <w:color w:val="231F20"/>
          <w:spacing w:val="-11"/>
        </w:rPr>
        <w:t> </w:t>
      </w:r>
      <w:r>
        <w:rPr>
          <w:color w:val="231F20"/>
        </w:rPr>
        <w:t>хемиј- ске припреме</w:t>
      </w:r>
      <w:r>
        <w:rPr>
          <w:color w:val="231F20"/>
          <w:spacing w:val="-1"/>
        </w:rPr>
        <w:t> </w:t>
      </w:r>
      <w:r>
        <w:rPr>
          <w:color w:val="231F20"/>
        </w:rPr>
        <w:t>воде.</w:t>
      </w:r>
    </w:p>
    <w:p>
      <w:pPr>
        <w:pStyle w:val="BodyText"/>
        <w:spacing w:line="237" w:lineRule="auto"/>
        <w:ind w:left="171" w:right="38" w:firstLine="397"/>
      </w:pPr>
      <w:r>
        <w:rPr>
          <w:color w:val="231F20"/>
        </w:rPr>
        <w:t>С </w:t>
      </w:r>
      <w:r>
        <w:rPr>
          <w:color w:val="231F20"/>
          <w:spacing w:val="-3"/>
        </w:rPr>
        <w:t>обзиром </w:t>
      </w:r>
      <w:r>
        <w:rPr>
          <w:color w:val="231F20"/>
        </w:rPr>
        <w:t>на </w:t>
      </w:r>
      <w:r>
        <w:rPr>
          <w:color w:val="231F20"/>
          <w:spacing w:val="-3"/>
        </w:rPr>
        <w:t>то </w:t>
      </w:r>
      <w:r>
        <w:rPr>
          <w:color w:val="231F20"/>
        </w:rPr>
        <w:t>да ће се нови </w:t>
      </w:r>
      <w:r>
        <w:rPr>
          <w:color w:val="231F20"/>
          <w:spacing w:val="-3"/>
        </w:rPr>
        <w:t>блок </w:t>
      </w:r>
      <w:r>
        <w:rPr>
          <w:color w:val="231F20"/>
        </w:rPr>
        <w:t>градити непосредно уз </w:t>
      </w:r>
      <w:r>
        <w:rPr>
          <w:color w:val="231F20"/>
          <w:spacing w:val="-3"/>
        </w:rPr>
        <w:t>блок</w:t>
      </w:r>
      <w:r>
        <w:rPr>
          <w:color w:val="231F20"/>
          <w:spacing w:val="-10"/>
        </w:rPr>
        <w:t> </w:t>
      </w:r>
      <w:r>
        <w:rPr>
          <w:color w:val="231F20"/>
        </w:rPr>
        <w:t>Б2,</w:t>
      </w:r>
      <w:r>
        <w:rPr>
          <w:color w:val="231F20"/>
          <w:spacing w:val="-10"/>
        </w:rPr>
        <w:t> </w:t>
      </w:r>
      <w:r>
        <w:rPr>
          <w:color w:val="231F20"/>
          <w:spacing w:val="-3"/>
        </w:rPr>
        <w:t>односно,</w:t>
      </w:r>
      <w:r>
        <w:rPr>
          <w:color w:val="231F20"/>
          <w:spacing w:val="-10"/>
        </w:rPr>
        <w:t> </w:t>
      </w:r>
      <w:r>
        <w:rPr>
          <w:color w:val="231F20"/>
        </w:rPr>
        <w:t>паралелно</w:t>
      </w:r>
      <w:r>
        <w:rPr>
          <w:color w:val="231F20"/>
          <w:spacing w:val="-10"/>
        </w:rPr>
        <w:t> </w:t>
      </w:r>
      <w:r>
        <w:rPr>
          <w:color w:val="231F20"/>
        </w:rPr>
        <w:t>са</w:t>
      </w:r>
      <w:r>
        <w:rPr>
          <w:color w:val="231F20"/>
          <w:spacing w:val="-10"/>
        </w:rPr>
        <w:t> </w:t>
      </w:r>
      <w:r>
        <w:rPr>
          <w:color w:val="231F20"/>
        </w:rPr>
        <w:t>њим,</w:t>
      </w:r>
      <w:r>
        <w:rPr>
          <w:color w:val="231F20"/>
          <w:spacing w:val="-10"/>
        </w:rPr>
        <w:t> </w:t>
      </w:r>
      <w:r>
        <w:rPr>
          <w:color w:val="231F20"/>
        </w:rPr>
        <w:t>да</w:t>
      </w:r>
      <w:r>
        <w:rPr>
          <w:color w:val="231F20"/>
          <w:spacing w:val="-10"/>
        </w:rPr>
        <w:t> </w:t>
      </w:r>
      <w:r>
        <w:rPr>
          <w:color w:val="231F20"/>
          <w:spacing w:val="-3"/>
        </w:rPr>
        <w:t>су</w:t>
      </w:r>
      <w:r>
        <w:rPr>
          <w:color w:val="231F20"/>
          <w:spacing w:val="-10"/>
        </w:rPr>
        <w:t> </w:t>
      </w:r>
      <w:r>
        <w:rPr>
          <w:color w:val="231F20"/>
          <w:spacing w:val="-4"/>
        </w:rPr>
        <w:t>приликом</w:t>
      </w:r>
      <w:r>
        <w:rPr>
          <w:color w:val="231F20"/>
          <w:spacing w:val="-10"/>
        </w:rPr>
        <w:t> </w:t>
      </w:r>
      <w:r>
        <w:rPr>
          <w:color w:val="231F20"/>
        </w:rPr>
        <w:t>темељења</w:t>
      </w:r>
      <w:r>
        <w:rPr>
          <w:color w:val="231F20"/>
          <w:spacing w:val="-10"/>
        </w:rPr>
        <w:t> </w:t>
      </w:r>
      <w:r>
        <w:rPr>
          <w:color w:val="231F20"/>
        </w:rPr>
        <w:t>кал- </w:t>
      </w:r>
      <w:r>
        <w:rPr>
          <w:color w:val="231F20"/>
          <w:spacing w:val="-4"/>
        </w:rPr>
        <w:t>канског</w:t>
      </w:r>
      <w:r>
        <w:rPr>
          <w:color w:val="231F20"/>
          <w:spacing w:val="-8"/>
        </w:rPr>
        <w:t> </w:t>
      </w:r>
      <w:r>
        <w:rPr>
          <w:color w:val="231F20"/>
        </w:rPr>
        <w:t>зида</w:t>
      </w:r>
      <w:r>
        <w:rPr>
          <w:color w:val="231F20"/>
          <w:spacing w:val="-8"/>
        </w:rPr>
        <w:t> </w:t>
      </w:r>
      <w:r>
        <w:rPr>
          <w:color w:val="231F20"/>
          <w:spacing w:val="-4"/>
        </w:rPr>
        <w:t>блока</w:t>
      </w:r>
      <w:r>
        <w:rPr>
          <w:color w:val="231F20"/>
          <w:spacing w:val="-8"/>
        </w:rPr>
        <w:t> </w:t>
      </w:r>
      <w:r>
        <w:rPr>
          <w:color w:val="231F20"/>
        </w:rPr>
        <w:t>Б2</w:t>
      </w:r>
      <w:r>
        <w:rPr>
          <w:color w:val="231F20"/>
          <w:spacing w:val="-8"/>
        </w:rPr>
        <w:t> </w:t>
      </w:r>
      <w:r>
        <w:rPr>
          <w:color w:val="231F20"/>
          <w:spacing w:val="-3"/>
        </w:rPr>
        <w:t>изведени</w:t>
      </w:r>
      <w:r>
        <w:rPr>
          <w:color w:val="231F20"/>
          <w:spacing w:val="-8"/>
        </w:rPr>
        <w:t> </w:t>
      </w:r>
      <w:r>
        <w:rPr>
          <w:color w:val="231F20"/>
          <w:spacing w:val="-3"/>
        </w:rPr>
        <w:t>заједнички</w:t>
      </w:r>
      <w:r>
        <w:rPr>
          <w:color w:val="231F20"/>
          <w:spacing w:val="-8"/>
        </w:rPr>
        <w:t> </w:t>
      </w:r>
      <w:r>
        <w:rPr>
          <w:color w:val="231F20"/>
        </w:rPr>
        <w:t>темељ</w:t>
      </w:r>
      <w:r>
        <w:rPr>
          <w:color w:val="231F20"/>
          <w:spacing w:val="-8"/>
        </w:rPr>
        <w:t> </w:t>
      </w:r>
      <w:r>
        <w:rPr>
          <w:color w:val="231F20"/>
        </w:rPr>
        <w:t>и</w:t>
      </w:r>
      <w:r>
        <w:rPr>
          <w:color w:val="231F20"/>
          <w:spacing w:val="-8"/>
        </w:rPr>
        <w:t> </w:t>
      </w:r>
      <w:r>
        <w:rPr>
          <w:color w:val="231F20"/>
        </w:rPr>
        <w:t>електро</w:t>
      </w:r>
      <w:r>
        <w:rPr>
          <w:color w:val="231F20"/>
          <w:spacing w:val="-8"/>
        </w:rPr>
        <w:t> </w:t>
      </w:r>
      <w:r>
        <w:rPr>
          <w:color w:val="231F20"/>
        </w:rPr>
        <w:t>-</w:t>
      </w:r>
      <w:r>
        <w:rPr>
          <w:color w:val="231F20"/>
          <w:spacing w:val="-8"/>
        </w:rPr>
        <w:t> </w:t>
      </w:r>
      <w:r>
        <w:rPr>
          <w:color w:val="231F20"/>
        </w:rPr>
        <w:t>канал, </w:t>
      </w:r>
      <w:r>
        <w:rPr>
          <w:color w:val="231F20"/>
          <w:spacing w:val="-3"/>
        </w:rPr>
        <w:t>као</w:t>
      </w:r>
      <w:r>
        <w:rPr>
          <w:color w:val="231F20"/>
          <w:spacing w:val="-7"/>
        </w:rPr>
        <w:t> </w:t>
      </w:r>
      <w:r>
        <w:rPr>
          <w:color w:val="231F20"/>
        </w:rPr>
        <w:t>и</w:t>
      </w:r>
      <w:r>
        <w:rPr>
          <w:color w:val="231F20"/>
          <w:spacing w:val="-7"/>
        </w:rPr>
        <w:t> </w:t>
      </w:r>
      <w:r>
        <w:rPr>
          <w:color w:val="231F20"/>
        </w:rPr>
        <w:t>с</w:t>
      </w:r>
      <w:r>
        <w:rPr>
          <w:color w:val="231F20"/>
          <w:spacing w:val="-7"/>
        </w:rPr>
        <w:t> </w:t>
      </w:r>
      <w:r>
        <w:rPr>
          <w:color w:val="231F20"/>
          <w:spacing w:val="-3"/>
        </w:rPr>
        <w:t>обзиром</w:t>
      </w:r>
      <w:r>
        <w:rPr>
          <w:color w:val="231F20"/>
          <w:spacing w:val="-7"/>
        </w:rPr>
        <w:t> </w:t>
      </w:r>
      <w:r>
        <w:rPr>
          <w:color w:val="231F20"/>
        </w:rPr>
        <w:t>на</w:t>
      </w:r>
      <w:r>
        <w:rPr>
          <w:color w:val="231F20"/>
          <w:spacing w:val="-7"/>
        </w:rPr>
        <w:t> </w:t>
      </w:r>
      <w:r>
        <w:rPr>
          <w:color w:val="231F20"/>
          <w:spacing w:val="-3"/>
        </w:rPr>
        <w:t>новоизведени</w:t>
      </w:r>
      <w:r>
        <w:rPr>
          <w:color w:val="231F20"/>
          <w:spacing w:val="-7"/>
        </w:rPr>
        <w:t> </w:t>
      </w:r>
      <w:r>
        <w:rPr>
          <w:color w:val="231F20"/>
        </w:rPr>
        <w:t>транспортни</w:t>
      </w:r>
      <w:r>
        <w:rPr>
          <w:color w:val="231F20"/>
          <w:spacing w:val="-7"/>
        </w:rPr>
        <w:t> </w:t>
      </w:r>
      <w:r>
        <w:rPr>
          <w:color w:val="231F20"/>
        </w:rPr>
        <w:t>мост</w:t>
      </w:r>
      <w:r>
        <w:rPr>
          <w:color w:val="231F20"/>
          <w:spacing w:val="-7"/>
        </w:rPr>
        <w:t> </w:t>
      </w:r>
      <w:r>
        <w:rPr>
          <w:color w:val="231F20"/>
        </w:rPr>
        <w:t>за</w:t>
      </w:r>
      <w:r>
        <w:rPr>
          <w:color w:val="231F20"/>
          <w:spacing w:val="-7"/>
        </w:rPr>
        <w:t> </w:t>
      </w:r>
      <w:r>
        <w:rPr>
          <w:color w:val="231F20"/>
          <w:spacing w:val="-4"/>
        </w:rPr>
        <w:t>одвоз</w:t>
      </w:r>
      <w:r>
        <w:rPr>
          <w:color w:val="231F20"/>
          <w:spacing w:val="-7"/>
        </w:rPr>
        <w:t> </w:t>
      </w:r>
      <w:r>
        <w:rPr>
          <w:color w:val="231F20"/>
        </w:rPr>
        <w:t>пепела, планира</w:t>
      </w:r>
      <w:r>
        <w:rPr>
          <w:color w:val="231F20"/>
          <w:spacing w:val="-5"/>
        </w:rPr>
        <w:t> </w:t>
      </w:r>
      <w:r>
        <w:rPr>
          <w:color w:val="231F20"/>
        </w:rPr>
        <w:t>се</w:t>
      </w:r>
      <w:r>
        <w:rPr>
          <w:color w:val="231F20"/>
          <w:spacing w:val="-5"/>
        </w:rPr>
        <w:t> </w:t>
      </w:r>
      <w:r>
        <w:rPr>
          <w:color w:val="231F20"/>
        </w:rPr>
        <w:t>израда</w:t>
      </w:r>
      <w:r>
        <w:rPr>
          <w:color w:val="231F20"/>
          <w:spacing w:val="-5"/>
        </w:rPr>
        <w:t> </w:t>
      </w:r>
      <w:r>
        <w:rPr>
          <w:color w:val="231F20"/>
          <w:spacing w:val="-3"/>
        </w:rPr>
        <w:t>анекса</w:t>
      </w:r>
      <w:r>
        <w:rPr>
          <w:color w:val="231F20"/>
          <w:spacing w:val="-5"/>
        </w:rPr>
        <w:t> </w:t>
      </w:r>
      <w:r>
        <w:rPr>
          <w:color w:val="231F20"/>
          <w:spacing w:val="-3"/>
        </w:rPr>
        <w:t>између</w:t>
      </w:r>
      <w:r>
        <w:rPr>
          <w:color w:val="231F20"/>
          <w:spacing w:val="-5"/>
        </w:rPr>
        <w:t> </w:t>
      </w:r>
      <w:r>
        <w:rPr>
          <w:color w:val="231F20"/>
          <w:spacing w:val="-4"/>
        </w:rPr>
        <w:t>блока</w:t>
      </w:r>
      <w:r>
        <w:rPr>
          <w:color w:val="231F20"/>
          <w:spacing w:val="-5"/>
        </w:rPr>
        <w:t> </w:t>
      </w:r>
      <w:r>
        <w:rPr>
          <w:color w:val="231F20"/>
        </w:rPr>
        <w:t>Б2</w:t>
      </w:r>
      <w:r>
        <w:rPr>
          <w:color w:val="231F20"/>
          <w:spacing w:val="-5"/>
        </w:rPr>
        <w:t> </w:t>
      </w:r>
      <w:r>
        <w:rPr>
          <w:color w:val="231F20"/>
        </w:rPr>
        <w:t>и</w:t>
      </w:r>
      <w:r>
        <w:rPr>
          <w:color w:val="231F20"/>
          <w:spacing w:val="-5"/>
        </w:rPr>
        <w:t> </w:t>
      </w:r>
      <w:r>
        <w:rPr>
          <w:color w:val="231F20"/>
        </w:rPr>
        <w:t>новог</w:t>
      </w:r>
      <w:r>
        <w:rPr>
          <w:color w:val="231F20"/>
          <w:spacing w:val="-5"/>
        </w:rPr>
        <w:t> </w:t>
      </w:r>
      <w:r>
        <w:rPr>
          <w:color w:val="231F20"/>
          <w:spacing w:val="-4"/>
        </w:rPr>
        <w:t>блока</w:t>
      </w:r>
      <w:r>
        <w:rPr>
          <w:color w:val="231F20"/>
          <w:spacing w:val="-5"/>
        </w:rPr>
        <w:t> </w:t>
      </w:r>
      <w:r>
        <w:rPr>
          <w:color w:val="231F20"/>
        </w:rPr>
        <w:t>Б3.</w:t>
      </w:r>
    </w:p>
    <w:p>
      <w:pPr>
        <w:pStyle w:val="BodyText"/>
        <w:ind w:right="38" w:firstLine="397"/>
      </w:pPr>
      <w:r>
        <w:rPr>
          <w:color w:val="231F20"/>
        </w:rPr>
        <w:t>Постојећи лифтовски торањ на блоку Б3 може се повезати пасарелама са новим објектом.</w:t>
      </w:r>
    </w:p>
    <w:p>
      <w:pPr>
        <w:pStyle w:val="BodyText"/>
        <w:spacing w:line="237" w:lineRule="auto"/>
        <w:ind w:left="171" w:right="38" w:firstLine="396"/>
      </w:pPr>
      <w:r>
        <w:rPr>
          <w:color w:val="231F20"/>
        </w:rPr>
        <w:t>Постојећа инфраструктура на локацији ТЕ „Костолац  Б”, пре свега путеви, веза са железничком </w:t>
      </w:r>
      <w:r>
        <w:rPr>
          <w:color w:val="231F20"/>
          <w:spacing w:val="-3"/>
        </w:rPr>
        <w:t>пругом </w:t>
      </w:r>
      <w:r>
        <w:rPr>
          <w:color w:val="231F20"/>
        </w:rPr>
        <w:t>Стиг – Пожаревац, снабдевање </w:t>
      </w:r>
      <w:r>
        <w:rPr>
          <w:color w:val="231F20"/>
          <w:spacing w:val="-3"/>
        </w:rPr>
        <w:t>питком </w:t>
      </w:r>
      <w:r>
        <w:rPr>
          <w:color w:val="231F20"/>
        </w:rPr>
        <w:t>и сировом </w:t>
      </w:r>
      <w:r>
        <w:rPr>
          <w:color w:val="231F20"/>
          <w:spacing w:val="-2"/>
        </w:rPr>
        <w:t>водом, </w:t>
      </w:r>
      <w:r>
        <w:rPr>
          <w:color w:val="231F20"/>
        </w:rPr>
        <w:t>систем хидрантске и ППЗ мреже, атмосферска и фекална канализација, снабдевање</w:t>
      </w:r>
      <w:r>
        <w:rPr>
          <w:color w:val="231F20"/>
          <w:spacing w:val="-21"/>
        </w:rPr>
        <w:t> </w:t>
      </w:r>
      <w:r>
        <w:rPr>
          <w:color w:val="231F20"/>
        </w:rPr>
        <w:t>електро- енергијом круга електране (и за потребе градилишта), несумњи- во представљају предност ове локације везано за изградњу новог блока.</w:t>
      </w:r>
    </w:p>
    <w:p>
      <w:pPr>
        <w:pStyle w:val="BodyText"/>
        <w:spacing w:before="5"/>
        <w:ind w:left="171" w:right="38" w:firstLine="396"/>
      </w:pPr>
      <w:r>
        <w:rPr>
          <w:color w:val="231F20"/>
        </w:rPr>
        <w:t>Део постојећих помоћних система може се користити и за потребе новог блока и то:</w:t>
      </w:r>
    </w:p>
    <w:p>
      <w:pPr>
        <w:pStyle w:val="BodyText"/>
        <w:spacing w:line="204" w:lineRule="exact"/>
        <w:ind w:left="568"/>
        <w:jc w:val="left"/>
      </w:pPr>
      <w:r>
        <w:rPr>
          <w:color w:val="231F20"/>
          <w:w w:val="66"/>
        </w:rPr>
        <w:t> </w:t>
      </w:r>
      <w:r>
        <w:rPr>
          <w:color w:val="231F20"/>
        </w:rPr>
        <w:t>– депонија угља капацитета 700 000 t;</w:t>
      </w:r>
    </w:p>
    <w:p>
      <w:pPr>
        <w:pStyle w:val="BodyText"/>
        <w:spacing w:line="203" w:lineRule="exact"/>
        <w:ind w:left="568"/>
        <w:jc w:val="left"/>
      </w:pPr>
      <w:r>
        <w:rPr>
          <w:color w:val="231F20"/>
          <w:w w:val="66"/>
        </w:rPr>
        <w:t> </w:t>
      </w:r>
      <w:r>
        <w:rPr>
          <w:color w:val="231F20"/>
        </w:rPr>
        <w:t>– канал за снабдевање расхладном водом из реке Дунав;</w:t>
      </w:r>
    </w:p>
    <w:p>
      <w:pPr>
        <w:spacing w:line="157"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160" w:lineRule="exact" w:before="0" w:after="0"/>
        <w:ind w:left="453" w:right="0" w:hanging="283"/>
        <w:jc w:val="left"/>
        <w:rPr>
          <w:sz w:val="14"/>
        </w:rPr>
      </w:pPr>
      <w:r>
        <w:rPr>
          <w:color w:val="231F20"/>
          <w:spacing w:val="-4"/>
          <w:sz w:val="14"/>
        </w:rPr>
        <w:t>Студија </w:t>
      </w:r>
      <w:r>
        <w:rPr>
          <w:color w:val="231F20"/>
          <w:sz w:val="14"/>
        </w:rPr>
        <w:t>оправданости са идејним </w:t>
      </w:r>
      <w:r>
        <w:rPr>
          <w:color w:val="231F20"/>
          <w:spacing w:val="-3"/>
          <w:sz w:val="14"/>
        </w:rPr>
        <w:t>пројектом одсумпоравања </w:t>
      </w:r>
      <w:r>
        <w:rPr>
          <w:color w:val="231F20"/>
          <w:sz w:val="14"/>
        </w:rPr>
        <w:t>димних</w:t>
      </w:r>
      <w:r>
        <w:rPr>
          <w:color w:val="231F20"/>
          <w:spacing w:val="20"/>
          <w:sz w:val="14"/>
        </w:rPr>
        <w:t> </w:t>
      </w:r>
      <w:r>
        <w:rPr>
          <w:color w:val="231F20"/>
          <w:spacing w:val="-2"/>
          <w:sz w:val="14"/>
        </w:rPr>
        <w:t>гасова </w:t>
      </w:r>
      <w:r>
        <w:rPr>
          <w:color w:val="231F20"/>
          <w:sz w:val="14"/>
        </w:rPr>
        <w:t>ТЕ</w:t>
      </w:r>
    </w:p>
    <w:p>
      <w:pPr>
        <w:spacing w:before="0"/>
        <w:ind w:left="453" w:right="18" w:firstLine="0"/>
        <w:jc w:val="left"/>
        <w:rPr>
          <w:sz w:val="14"/>
        </w:rPr>
      </w:pPr>
      <w:r>
        <w:rPr>
          <w:color w:val="231F20"/>
          <w:spacing w:val="-3"/>
          <w:sz w:val="14"/>
        </w:rPr>
        <w:t>„Костолац </w:t>
      </w:r>
      <w:r>
        <w:rPr>
          <w:color w:val="231F20"/>
          <w:sz w:val="14"/>
        </w:rPr>
        <w:t>Б” Машински </w:t>
      </w:r>
      <w:r>
        <w:rPr>
          <w:color w:val="231F20"/>
          <w:spacing w:val="-4"/>
          <w:sz w:val="14"/>
        </w:rPr>
        <w:t>факултет, </w:t>
      </w:r>
      <w:r>
        <w:rPr>
          <w:color w:val="231F20"/>
          <w:spacing w:val="-3"/>
          <w:sz w:val="14"/>
        </w:rPr>
        <w:t>Универзитета </w:t>
      </w:r>
      <w:r>
        <w:rPr>
          <w:color w:val="231F20"/>
          <w:sz w:val="14"/>
        </w:rPr>
        <w:t>у </w:t>
      </w:r>
      <w:r>
        <w:rPr>
          <w:color w:val="231F20"/>
          <w:spacing w:val="-4"/>
          <w:sz w:val="14"/>
        </w:rPr>
        <w:t>Београду, </w:t>
      </w:r>
      <w:r>
        <w:rPr>
          <w:color w:val="231F20"/>
          <w:spacing w:val="-3"/>
          <w:sz w:val="14"/>
        </w:rPr>
        <w:t>WorleyParsons, </w:t>
      </w:r>
      <w:r>
        <w:rPr>
          <w:color w:val="231F20"/>
          <w:sz w:val="14"/>
        </w:rPr>
        <w:t>Ру- </w:t>
      </w:r>
      <w:r>
        <w:rPr>
          <w:color w:val="231F20"/>
          <w:spacing w:val="-3"/>
          <w:sz w:val="14"/>
        </w:rPr>
        <w:t>дарско-геолошки факултет Универзитета </w:t>
      </w:r>
      <w:r>
        <w:rPr>
          <w:color w:val="231F20"/>
          <w:sz w:val="14"/>
        </w:rPr>
        <w:t>у Београду и </w:t>
      </w:r>
      <w:r>
        <w:rPr>
          <w:color w:val="231F20"/>
          <w:spacing w:val="-3"/>
          <w:sz w:val="14"/>
        </w:rPr>
        <w:t>Енергопројект- </w:t>
      </w:r>
      <w:r>
        <w:rPr>
          <w:color w:val="231F20"/>
          <w:sz w:val="14"/>
        </w:rPr>
        <w:t>Ентел, 2008.</w:t>
      </w:r>
    </w:p>
    <w:p>
      <w:pPr>
        <w:pStyle w:val="BodyText"/>
        <w:spacing w:line="232" w:lineRule="auto" w:before="73"/>
        <w:ind w:right="411" w:firstLine="396"/>
      </w:pPr>
      <w:r>
        <w:rPr/>
        <w:br w:type="column"/>
      </w:r>
      <w:r>
        <w:rPr>
          <w:color w:val="231F20"/>
          <w:w w:val="66"/>
        </w:rPr>
        <w:t> </w:t>
      </w:r>
      <w:r>
        <w:rPr>
          <w:color w:val="231F20"/>
        </w:rPr>
        <w:t>– систем за транспорт угља од копа до електране изграђен за капацитет од 12 милиона t/год.;</w:t>
      </w:r>
    </w:p>
    <w:p>
      <w:pPr>
        <w:pStyle w:val="BodyText"/>
        <w:spacing w:line="232" w:lineRule="auto"/>
        <w:ind w:right="412" w:firstLine="396"/>
      </w:pPr>
      <w:r>
        <w:rPr>
          <w:color w:val="231F20"/>
          <w:w w:val="66"/>
        </w:rPr>
        <w:t> </w:t>
      </w:r>
      <w:r>
        <w:rPr>
          <w:color w:val="231F20"/>
        </w:rPr>
        <w:t>– снабдевање помоћном воденом паром из ТЕ „Костолац</w:t>
      </w:r>
      <w:r>
        <w:rPr>
          <w:color w:val="231F20"/>
          <w:spacing w:val="-31"/>
        </w:rPr>
        <w:t> </w:t>
      </w:r>
      <w:r>
        <w:rPr>
          <w:color w:val="231F20"/>
        </w:rPr>
        <w:t>А”, односно, из </w:t>
      </w:r>
      <w:r>
        <w:rPr>
          <w:color w:val="231F20"/>
          <w:spacing w:val="-3"/>
        </w:rPr>
        <w:t>колектора </w:t>
      </w:r>
      <w:r>
        <w:rPr>
          <w:color w:val="231F20"/>
        </w:rPr>
        <w:t>сопствене потрошње </w:t>
      </w:r>
      <w:r>
        <w:rPr>
          <w:color w:val="231F20"/>
          <w:spacing w:val="-3"/>
        </w:rPr>
        <w:t>блокова </w:t>
      </w:r>
      <w:r>
        <w:rPr>
          <w:color w:val="231F20"/>
        </w:rPr>
        <w:t>Б1 и</w:t>
      </w:r>
      <w:r>
        <w:rPr>
          <w:color w:val="231F20"/>
          <w:spacing w:val="-3"/>
        </w:rPr>
        <w:t> </w:t>
      </w:r>
      <w:r>
        <w:rPr>
          <w:color w:val="231F20"/>
        </w:rPr>
        <w:t>Б2;</w:t>
      </w:r>
    </w:p>
    <w:p>
      <w:pPr>
        <w:pStyle w:val="BodyText"/>
        <w:spacing w:line="197" w:lineRule="exact"/>
        <w:ind w:left="567"/>
        <w:jc w:val="left"/>
      </w:pPr>
      <w:r>
        <w:rPr>
          <w:color w:val="231F20"/>
          <w:w w:val="66"/>
        </w:rPr>
        <w:t> </w:t>
      </w:r>
      <w:r>
        <w:rPr>
          <w:color w:val="231F20"/>
        </w:rPr>
        <w:t>– резервни капацитет система хемијске припреме воде;</w:t>
      </w:r>
    </w:p>
    <w:p>
      <w:pPr>
        <w:pStyle w:val="BodyText"/>
        <w:spacing w:line="200" w:lineRule="exact"/>
        <w:ind w:left="567"/>
        <w:jc w:val="left"/>
      </w:pPr>
      <w:r>
        <w:rPr>
          <w:color w:val="231F20"/>
          <w:w w:val="66"/>
        </w:rPr>
        <w:t> </w:t>
      </w:r>
      <w:r>
        <w:rPr>
          <w:color w:val="231F20"/>
        </w:rPr>
        <w:t>– погони за одржавање постројења;</w:t>
      </w:r>
    </w:p>
    <w:p>
      <w:pPr>
        <w:pStyle w:val="BodyText"/>
        <w:spacing w:line="200" w:lineRule="exact"/>
        <w:ind w:left="567"/>
        <w:jc w:val="left"/>
      </w:pPr>
      <w:r>
        <w:rPr>
          <w:color w:val="231F20"/>
          <w:w w:val="66"/>
        </w:rPr>
        <w:t> </w:t>
      </w:r>
      <w:r>
        <w:rPr>
          <w:color w:val="231F20"/>
        </w:rPr>
        <w:t>– делови постојећег магацинског простора; и</w:t>
      </w:r>
    </w:p>
    <w:p>
      <w:pPr>
        <w:pStyle w:val="BodyText"/>
        <w:spacing w:line="232" w:lineRule="auto"/>
        <w:ind w:right="411" w:firstLine="396"/>
      </w:pPr>
      <w:r>
        <w:rPr>
          <w:color w:val="231F20"/>
          <w:w w:val="66"/>
        </w:rPr>
        <w:t> </w:t>
      </w:r>
      <w:r>
        <w:rPr>
          <w:color w:val="231F20"/>
        </w:rPr>
        <w:t>– складиште креча за потребе система одсумпоравања дим- них гасова.</w:t>
      </w:r>
    </w:p>
    <w:p>
      <w:pPr>
        <w:pStyle w:val="BodyText"/>
        <w:spacing w:line="232" w:lineRule="auto"/>
        <w:ind w:right="410" w:firstLine="396"/>
      </w:pPr>
      <w:r>
        <w:rPr>
          <w:color w:val="231F20"/>
        </w:rPr>
        <w:t>У оквиру израде „Претходне студије оправданости са гене- ралним пројектом изградње новог блока Б3 на локацији ТЕ Ко- столац Б”, Енергопројект – Ентел, 2011. разматрано је више вари- јанти изградње новог блока Б3 са снагом генератора/праг 600, 500 и 350 MW. По свим анализираним аспектима и уз задовољење највиших захтева заштите животне средине, процењена је оправ- даност реализације новог блока и препоручена изградња кон- дензационог блока, савремене конструкције, инсталисане снаге 600 MW са наткритичним параметрима паре и проточним хлађе- њем. Даљим анализама биће обухваћена и разрада изградње бло- ка Б3 инсталисане снаге 350 MW до 2020. године и блока Б4 исте снаге после 2020. године.</w:t>
      </w:r>
    </w:p>
    <w:p>
      <w:pPr>
        <w:pStyle w:val="BodyText"/>
        <w:spacing w:line="232" w:lineRule="auto"/>
        <w:ind w:left="171" w:right="410" w:firstLine="396"/>
      </w:pPr>
      <w:r>
        <w:rPr>
          <w:color w:val="231F20"/>
        </w:rPr>
        <w:t>Изградња новог капацитета је у складу са стратешким и раз- војним опредељењима и с обзиром да је реч о термоенергетским капацитетима који треба да замене постојеће капацитете.</w:t>
      </w:r>
    </w:p>
    <w:p>
      <w:pPr>
        <w:pStyle w:val="BodyText"/>
        <w:spacing w:line="232" w:lineRule="auto"/>
        <w:ind w:left="171" w:right="410" w:firstLine="396"/>
      </w:pPr>
      <w:r>
        <w:rPr>
          <w:color w:val="231F20"/>
        </w:rPr>
        <w:t>За смештај ГПО-а укључујући и електрофилтере, систем за одсумпоравање,</w:t>
      </w:r>
      <w:r>
        <w:rPr>
          <w:color w:val="231F20"/>
          <w:spacing w:val="-9"/>
        </w:rPr>
        <w:t> </w:t>
      </w:r>
      <w:r>
        <w:rPr>
          <w:color w:val="231F20"/>
        </w:rPr>
        <w:t>димњак,</w:t>
      </w:r>
      <w:r>
        <w:rPr>
          <w:color w:val="231F20"/>
          <w:spacing w:val="-9"/>
        </w:rPr>
        <w:t> </w:t>
      </w:r>
      <w:r>
        <w:rPr>
          <w:color w:val="231F20"/>
        </w:rPr>
        <w:t>објекте</w:t>
      </w:r>
      <w:r>
        <w:rPr>
          <w:color w:val="231F20"/>
          <w:spacing w:val="-9"/>
        </w:rPr>
        <w:t> </w:t>
      </w:r>
      <w:r>
        <w:rPr>
          <w:color w:val="231F20"/>
        </w:rPr>
        <w:t>за</w:t>
      </w:r>
      <w:r>
        <w:rPr>
          <w:color w:val="231F20"/>
          <w:spacing w:val="-9"/>
        </w:rPr>
        <w:t> </w:t>
      </w:r>
      <w:r>
        <w:rPr>
          <w:color w:val="231F20"/>
        </w:rPr>
        <w:t>сакупљање</w:t>
      </w:r>
      <w:r>
        <w:rPr>
          <w:color w:val="231F20"/>
          <w:spacing w:val="-9"/>
        </w:rPr>
        <w:t> </w:t>
      </w:r>
      <w:r>
        <w:rPr>
          <w:color w:val="231F20"/>
        </w:rPr>
        <w:t>и</w:t>
      </w:r>
      <w:r>
        <w:rPr>
          <w:color w:val="231F20"/>
          <w:spacing w:val="-9"/>
        </w:rPr>
        <w:t> </w:t>
      </w:r>
      <w:r>
        <w:rPr>
          <w:color w:val="231F20"/>
        </w:rPr>
        <w:t>припрему</w:t>
      </w:r>
      <w:r>
        <w:rPr>
          <w:color w:val="231F20"/>
          <w:spacing w:val="-9"/>
        </w:rPr>
        <w:t> </w:t>
      </w:r>
      <w:r>
        <w:rPr>
          <w:color w:val="231F20"/>
        </w:rPr>
        <w:t>пепела и издвајање СО</w:t>
      </w:r>
      <w:r>
        <w:rPr>
          <w:color w:val="231F20"/>
          <w:position w:val="-5"/>
          <w:sz w:val="10"/>
        </w:rPr>
        <w:t>2 </w:t>
      </w:r>
      <w:r>
        <w:rPr>
          <w:color w:val="231F20"/>
        </w:rPr>
        <w:t>расположива површина је </w:t>
      </w:r>
      <w:r>
        <w:rPr>
          <w:color w:val="231F20"/>
          <w:spacing w:val="-4"/>
        </w:rPr>
        <w:t>око </w:t>
      </w:r>
      <w:r>
        <w:rPr>
          <w:color w:val="231F20"/>
        </w:rPr>
        <w:t>10</w:t>
      </w:r>
      <w:r>
        <w:rPr>
          <w:color w:val="231F20"/>
          <w:spacing w:val="-5"/>
        </w:rPr>
        <w:t> </w:t>
      </w:r>
      <w:r>
        <w:rPr>
          <w:color w:val="231F20"/>
        </w:rPr>
        <w:t>ha.</w:t>
      </w:r>
    </w:p>
    <w:p>
      <w:pPr>
        <w:pStyle w:val="BodyText"/>
        <w:spacing w:before="4"/>
        <w:ind w:left="0"/>
        <w:jc w:val="left"/>
        <w:rPr>
          <w:sz w:val="8"/>
        </w:rPr>
      </w:pPr>
    </w:p>
    <w:p>
      <w:pPr>
        <w:pStyle w:val="BodyText"/>
        <w:jc w:val="left"/>
        <w:rPr>
          <w:sz w:val="20"/>
        </w:rPr>
      </w:pPr>
      <w:r>
        <w:rPr>
          <w:sz w:val="20"/>
        </w:rPr>
        <w:drawing>
          <wp:inline distT="0" distB="0" distL="0" distR="0">
            <wp:extent cx="3200332" cy="4384548"/>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3200332" cy="4384548"/>
                    </a:xfrm>
                    <a:prstGeom prst="rect">
                      <a:avLst/>
                    </a:prstGeom>
                  </pic:spPr>
                </pic:pic>
              </a:graphicData>
            </a:graphic>
          </wp:inline>
        </w:drawing>
      </w:r>
      <w:r>
        <w:rPr>
          <w:sz w:val="20"/>
        </w:rPr>
      </w:r>
    </w:p>
    <w:p>
      <w:pPr>
        <w:pStyle w:val="BodyText"/>
        <w:ind w:left="0"/>
        <w:jc w:val="left"/>
        <w:rPr>
          <w:sz w:val="19"/>
        </w:rPr>
      </w:pPr>
    </w:p>
    <w:p>
      <w:pPr>
        <w:pStyle w:val="ListParagraph"/>
        <w:numPr>
          <w:ilvl w:val="2"/>
          <w:numId w:val="63"/>
        </w:numPr>
        <w:tabs>
          <w:tab w:pos="1445" w:val="left" w:leader="none"/>
        </w:tabs>
        <w:spacing w:line="240" w:lineRule="auto" w:before="1" w:after="0"/>
        <w:ind w:left="1444" w:right="0" w:hanging="315"/>
        <w:jc w:val="left"/>
        <w:rPr>
          <w:i/>
          <w:sz w:val="18"/>
        </w:rPr>
      </w:pPr>
      <w:r>
        <w:rPr>
          <w:i/>
          <w:color w:val="231F20"/>
          <w:sz w:val="18"/>
        </w:rPr>
        <w:t>Правила изградње и правила</w:t>
      </w:r>
      <w:r>
        <w:rPr>
          <w:i/>
          <w:color w:val="231F20"/>
          <w:spacing w:val="-1"/>
          <w:sz w:val="18"/>
        </w:rPr>
        <w:t> </w:t>
      </w:r>
      <w:r>
        <w:rPr>
          <w:i/>
          <w:color w:val="231F20"/>
          <w:sz w:val="18"/>
        </w:rPr>
        <w:t>уређења</w:t>
      </w:r>
    </w:p>
    <w:p>
      <w:pPr>
        <w:pStyle w:val="ListParagraph"/>
        <w:numPr>
          <w:ilvl w:val="3"/>
          <w:numId w:val="63"/>
        </w:numPr>
        <w:tabs>
          <w:tab w:pos="2129" w:val="left" w:leader="none"/>
        </w:tabs>
        <w:spacing w:line="240" w:lineRule="auto" w:before="163" w:after="0"/>
        <w:ind w:left="2128" w:right="0" w:hanging="450"/>
        <w:jc w:val="left"/>
        <w:rPr>
          <w:sz w:val="18"/>
        </w:rPr>
      </w:pPr>
      <w:r>
        <w:rPr>
          <w:color w:val="231F20"/>
          <w:spacing w:val="16"/>
          <w:sz w:val="18"/>
        </w:rPr>
        <w:t>Правила</w:t>
      </w:r>
      <w:r>
        <w:rPr>
          <w:color w:val="231F20"/>
          <w:spacing w:val="42"/>
          <w:sz w:val="18"/>
        </w:rPr>
        <w:t> </w:t>
      </w:r>
      <w:r>
        <w:rPr>
          <w:color w:val="231F20"/>
          <w:spacing w:val="16"/>
          <w:sz w:val="18"/>
        </w:rPr>
        <w:t>уређења</w:t>
      </w:r>
    </w:p>
    <w:p>
      <w:pPr>
        <w:pStyle w:val="BodyText"/>
        <w:spacing w:before="2"/>
        <w:ind w:left="0"/>
        <w:jc w:val="left"/>
        <w:rPr>
          <w:sz w:val="17"/>
        </w:rPr>
      </w:pPr>
    </w:p>
    <w:p>
      <w:pPr>
        <w:pStyle w:val="BodyText"/>
        <w:spacing w:line="232" w:lineRule="auto"/>
        <w:ind w:right="411" w:firstLine="396"/>
      </w:pPr>
      <w:r>
        <w:rPr>
          <w:color w:val="231F20"/>
          <w:spacing w:val="-3"/>
        </w:rPr>
        <w:t>Комплекс </w:t>
      </w:r>
      <w:r>
        <w:rPr>
          <w:color w:val="231F20"/>
        </w:rPr>
        <w:t>ТЕ „Костолац Б” са свим појединачним зградама, постројењима, инсталацијама и опремом, техничким и техноло- шким системима, </w:t>
      </w:r>
      <w:r>
        <w:rPr>
          <w:color w:val="231F20"/>
          <w:spacing w:val="-3"/>
        </w:rPr>
        <w:t>техничком </w:t>
      </w:r>
      <w:r>
        <w:rPr>
          <w:color w:val="231F20"/>
        </w:rPr>
        <w:t>и </w:t>
      </w:r>
      <w:r>
        <w:rPr>
          <w:color w:val="231F20"/>
          <w:spacing w:val="-3"/>
        </w:rPr>
        <w:t>другом </w:t>
      </w:r>
      <w:r>
        <w:rPr>
          <w:color w:val="231F20"/>
        </w:rPr>
        <w:t>инфраструктуром чини тех- ничко-технолошку </w:t>
      </w:r>
      <w:r>
        <w:rPr>
          <w:color w:val="231F20"/>
          <w:spacing w:val="-4"/>
        </w:rPr>
        <w:t>целину. </w:t>
      </w:r>
      <w:r>
        <w:rPr>
          <w:color w:val="231F20"/>
          <w:spacing w:val="-3"/>
        </w:rPr>
        <w:t>Комплекс  </w:t>
      </w:r>
      <w:r>
        <w:rPr>
          <w:color w:val="231F20"/>
        </w:rPr>
        <w:t>електране је, у просторном и функционалном </w:t>
      </w:r>
      <w:r>
        <w:rPr>
          <w:color w:val="231F20"/>
          <w:spacing w:val="-3"/>
        </w:rPr>
        <w:t>смислу, </w:t>
      </w:r>
      <w:r>
        <w:rPr>
          <w:color w:val="231F20"/>
        </w:rPr>
        <w:t>организован успостављањем поделе на функционалне зоне са карактеристичним садржајима и</w:t>
      </w:r>
      <w:r>
        <w:rPr>
          <w:color w:val="231F20"/>
          <w:spacing w:val="-24"/>
        </w:rPr>
        <w:t> </w:t>
      </w:r>
      <w:r>
        <w:rPr>
          <w:color w:val="231F20"/>
        </w:rPr>
        <w:t>наменама.</w:t>
      </w:r>
    </w:p>
    <w:p>
      <w:pPr>
        <w:spacing w:after="0" w:line="232" w:lineRule="auto"/>
        <w:sectPr>
          <w:pgSz w:w="12480" w:h="15690"/>
          <w:pgMar w:top="120" w:bottom="280" w:left="680" w:right="720"/>
          <w:cols w:num="2" w:equalWidth="0">
            <w:col w:w="5314" w:space="72"/>
            <w:col w:w="5694"/>
          </w:cols>
        </w:sectPr>
      </w:pPr>
    </w:p>
    <w:p>
      <w:pPr>
        <w:pStyle w:val="BodyText"/>
        <w:spacing w:line="232" w:lineRule="auto" w:before="73"/>
        <w:ind w:left="453" w:firstLine="397"/>
      </w:pPr>
      <w:r>
        <w:rPr/>
        <w:pict>
          <v:line style="position:absolute;mso-position-horizontal-relative:page;mso-position-vertical-relative:page;z-index:4288" from="318.897614pt,11.942451pt" to="318.897614pt,748.950451pt" stroked="true" strokeweight=".6pt" strokecolor="#231f20">
            <v:stroke dashstyle="solid"/>
            <w10:wrap type="none"/>
          </v:line>
        </w:pict>
      </w:r>
      <w:r>
        <w:rPr>
          <w:color w:val="231F20"/>
        </w:rPr>
        <w:t>Простор</w:t>
      </w:r>
      <w:r>
        <w:rPr>
          <w:color w:val="231F20"/>
          <w:spacing w:val="-8"/>
        </w:rPr>
        <w:t> </w:t>
      </w:r>
      <w:r>
        <w:rPr>
          <w:color w:val="231F20"/>
        </w:rPr>
        <w:t>депоније</w:t>
      </w:r>
      <w:r>
        <w:rPr>
          <w:color w:val="231F20"/>
          <w:spacing w:val="-8"/>
        </w:rPr>
        <w:t> </w:t>
      </w:r>
      <w:r>
        <w:rPr>
          <w:color w:val="231F20"/>
        </w:rPr>
        <w:t>угља</w:t>
      </w:r>
      <w:r>
        <w:rPr>
          <w:color w:val="231F20"/>
          <w:spacing w:val="-8"/>
        </w:rPr>
        <w:t> </w:t>
      </w:r>
      <w:r>
        <w:rPr>
          <w:color w:val="231F20"/>
        </w:rPr>
        <w:t>је</w:t>
      </w:r>
      <w:r>
        <w:rPr>
          <w:color w:val="231F20"/>
          <w:spacing w:val="-8"/>
        </w:rPr>
        <w:t> </w:t>
      </w:r>
      <w:r>
        <w:rPr>
          <w:color w:val="231F20"/>
        </w:rPr>
        <w:t>ограђивањем</w:t>
      </w:r>
      <w:r>
        <w:rPr>
          <w:color w:val="231F20"/>
          <w:spacing w:val="-8"/>
        </w:rPr>
        <w:t> </w:t>
      </w:r>
      <w:r>
        <w:rPr>
          <w:color w:val="231F20"/>
        </w:rPr>
        <w:t>и</w:t>
      </w:r>
      <w:r>
        <w:rPr>
          <w:color w:val="231F20"/>
          <w:spacing w:val="-8"/>
        </w:rPr>
        <w:t> </w:t>
      </w:r>
      <w:r>
        <w:rPr>
          <w:color w:val="231F20"/>
        </w:rPr>
        <w:t>по</w:t>
      </w:r>
      <w:r>
        <w:rPr>
          <w:color w:val="231F20"/>
          <w:spacing w:val="-8"/>
        </w:rPr>
        <w:t> </w:t>
      </w:r>
      <w:r>
        <w:rPr>
          <w:color w:val="231F20"/>
        </w:rPr>
        <w:t>регулацији</w:t>
      </w:r>
      <w:r>
        <w:rPr>
          <w:color w:val="231F20"/>
          <w:spacing w:val="-8"/>
        </w:rPr>
        <w:t> </w:t>
      </w:r>
      <w:r>
        <w:rPr>
          <w:color w:val="231F20"/>
        </w:rPr>
        <w:t>обод- не саобраћајнице издвојен </w:t>
      </w:r>
      <w:r>
        <w:rPr>
          <w:color w:val="231F20"/>
          <w:spacing w:val="-3"/>
        </w:rPr>
        <w:t>од </w:t>
      </w:r>
      <w:r>
        <w:rPr>
          <w:color w:val="231F20"/>
        </w:rPr>
        <w:t>осталих зона, односно, површина у </w:t>
      </w:r>
      <w:r>
        <w:rPr>
          <w:color w:val="231F20"/>
          <w:spacing w:val="-3"/>
        </w:rPr>
        <w:t>комплексу </w:t>
      </w:r>
      <w:r>
        <w:rPr>
          <w:color w:val="231F20"/>
        </w:rPr>
        <w:t>на </w:t>
      </w:r>
      <w:r>
        <w:rPr>
          <w:color w:val="231F20"/>
          <w:spacing w:val="-3"/>
        </w:rPr>
        <w:t>којима </w:t>
      </w:r>
      <w:r>
        <w:rPr>
          <w:color w:val="231F20"/>
        </w:rPr>
        <w:t>је изградња, реконструкција и ревитализаци- ја уређена одредбама Закона о планирању и</w:t>
      </w:r>
      <w:r>
        <w:rPr>
          <w:color w:val="231F20"/>
          <w:spacing w:val="-14"/>
        </w:rPr>
        <w:t> </w:t>
      </w:r>
      <w:r>
        <w:rPr>
          <w:color w:val="231F20"/>
        </w:rPr>
        <w:t>изградњи.</w:t>
      </w:r>
    </w:p>
    <w:p>
      <w:pPr>
        <w:pStyle w:val="BodyText"/>
        <w:spacing w:line="232" w:lineRule="auto"/>
        <w:ind w:left="453" w:firstLine="396"/>
      </w:pPr>
      <w:r>
        <w:rPr>
          <w:color w:val="231F20"/>
          <w:spacing w:val="-3"/>
        </w:rPr>
        <w:t>Границе </w:t>
      </w:r>
      <w:r>
        <w:rPr>
          <w:color w:val="231F20"/>
        </w:rPr>
        <w:t>зона су успостављене регулацијом интерних саобра- ћајница и колосека интерне железничке пруге по просторном и производно-технолошком </w:t>
      </w:r>
      <w:r>
        <w:rPr>
          <w:color w:val="231F20"/>
          <w:spacing w:val="-3"/>
        </w:rPr>
        <w:t>принципу.</w:t>
      </w:r>
    </w:p>
    <w:p>
      <w:pPr>
        <w:pStyle w:val="BodyText"/>
        <w:spacing w:line="199" w:lineRule="exact"/>
        <w:ind w:left="850"/>
        <w:jc w:val="left"/>
      </w:pPr>
      <w:r>
        <w:rPr>
          <w:color w:val="231F20"/>
        </w:rPr>
        <w:t>Издвојене су следеће зоне:</w:t>
      </w:r>
    </w:p>
    <w:p>
      <w:pPr>
        <w:pStyle w:val="BodyText"/>
        <w:spacing w:line="201" w:lineRule="exact"/>
        <w:ind w:left="850"/>
        <w:jc w:val="left"/>
      </w:pPr>
      <w:r>
        <w:rPr>
          <w:color w:val="231F20"/>
          <w:w w:val="66"/>
        </w:rPr>
        <w:t> </w:t>
      </w:r>
      <w:r>
        <w:rPr>
          <w:color w:val="231F20"/>
        </w:rPr>
        <w:t>– зона примарних садржаја (зона ГПО);</w:t>
      </w:r>
    </w:p>
    <w:p>
      <w:pPr>
        <w:pStyle w:val="BodyText"/>
        <w:spacing w:line="201" w:lineRule="exact"/>
        <w:ind w:left="850"/>
        <w:jc w:val="left"/>
      </w:pPr>
      <w:r>
        <w:rPr>
          <w:color w:val="231F20"/>
          <w:w w:val="66"/>
        </w:rPr>
        <w:t> </w:t>
      </w:r>
      <w:r>
        <w:rPr>
          <w:color w:val="231F20"/>
        </w:rPr>
        <w:t>– зона пратећих техничких објеката;</w:t>
      </w:r>
    </w:p>
    <w:p>
      <w:pPr>
        <w:pStyle w:val="BodyText"/>
        <w:spacing w:line="201" w:lineRule="exact"/>
        <w:ind w:left="850"/>
        <w:jc w:val="left"/>
      </w:pPr>
      <w:r>
        <w:rPr>
          <w:color w:val="231F20"/>
          <w:w w:val="66"/>
        </w:rPr>
        <w:t> </w:t>
      </w:r>
      <w:r>
        <w:rPr>
          <w:color w:val="231F20"/>
        </w:rPr>
        <w:t>– зона осталих пратећих објеката;</w:t>
      </w:r>
    </w:p>
    <w:p>
      <w:pPr>
        <w:pStyle w:val="BodyText"/>
        <w:spacing w:line="201" w:lineRule="exact"/>
        <w:ind w:left="850"/>
        <w:jc w:val="left"/>
      </w:pPr>
      <w:r>
        <w:rPr>
          <w:color w:val="231F20"/>
          <w:w w:val="66"/>
        </w:rPr>
        <w:t> </w:t>
      </w:r>
      <w:r>
        <w:rPr>
          <w:color w:val="231F20"/>
        </w:rPr>
        <w:t>– разводно постројење и енергетски коридор;</w:t>
      </w:r>
    </w:p>
    <w:p>
      <w:pPr>
        <w:pStyle w:val="BodyText"/>
        <w:spacing w:line="232" w:lineRule="auto" w:before="1"/>
        <w:ind w:left="454" w:right="1" w:firstLine="396"/>
      </w:pPr>
      <w:r>
        <w:rPr>
          <w:color w:val="231F20"/>
          <w:w w:val="66"/>
        </w:rPr>
        <w:t> </w:t>
      </w:r>
      <w:r>
        <w:rPr>
          <w:color w:val="231F20"/>
        </w:rPr>
        <w:t>– зона привремених садржаја у функцији изградње термое- лектране, зелених и слободних површина, у којој су смештени са- обраћајни и технички коридори инфраструктурних система елек- тране и прикључак на јавну саобраћајницу; и</w:t>
      </w:r>
    </w:p>
    <w:p>
      <w:pPr>
        <w:pStyle w:val="BodyText"/>
        <w:spacing w:line="199" w:lineRule="exact"/>
        <w:ind w:left="851"/>
        <w:jc w:val="left"/>
      </w:pPr>
      <w:r>
        <w:rPr>
          <w:color w:val="231F20"/>
          <w:w w:val="66"/>
        </w:rPr>
        <w:t> </w:t>
      </w:r>
      <w:r>
        <w:rPr>
          <w:color w:val="231F20"/>
        </w:rPr>
        <w:t>– резервисани простор за II фазу изградње термоелектране.</w:t>
      </w:r>
    </w:p>
    <w:p>
      <w:pPr>
        <w:pStyle w:val="BodyText"/>
        <w:spacing w:line="232" w:lineRule="auto" w:before="2"/>
        <w:ind w:left="454" w:firstLine="396"/>
      </w:pPr>
      <w:r>
        <w:rPr>
          <w:color w:val="231F20"/>
        </w:rPr>
        <w:t>Између регулације главне интерне саобраћајнице и ограђене депоније угља је тзв. технички инфраструктурни коридор, у коме су нивелационо и диспозиционо раздвојени транспортни системи за допрему угља, систем за транспорт пепела, шљаке, систем по- вратне воде са депоније и транспорт гипса.</w:t>
      </w:r>
    </w:p>
    <w:p>
      <w:pPr>
        <w:pStyle w:val="BodyText"/>
        <w:spacing w:line="232" w:lineRule="auto"/>
        <w:ind w:left="454" w:right="1" w:firstLine="397"/>
      </w:pPr>
      <w:r>
        <w:rPr>
          <w:color w:val="231F20"/>
        </w:rPr>
        <w:t>Укупна диспозиција електране решена је тако да омогући и најкраће путеве за транспорт материја и свођење на минимум од- говарајућих инвестиционих и експлоатационих трошкова. Лока- ција омогућава даље проширење електране и смештај додатних постројења, која првобитним пројектима нису била предвиђена (одсумпоравање, смањење емисије азотних оксида, постројење за издвајање и смештај CO2 итд.).</w:t>
      </w:r>
    </w:p>
    <w:p>
      <w:pPr>
        <w:pStyle w:val="BodyText"/>
        <w:spacing w:line="232" w:lineRule="auto"/>
        <w:ind w:left="455" w:firstLine="396"/>
      </w:pPr>
      <w:r>
        <w:rPr>
          <w:color w:val="231F20"/>
        </w:rPr>
        <w:t>Изграђени објекти и уређене површине изван ограђених</w:t>
      </w:r>
      <w:r>
        <w:rPr>
          <w:color w:val="231F20"/>
          <w:spacing w:val="-30"/>
        </w:rPr>
        <w:t> </w:t>
      </w:r>
      <w:r>
        <w:rPr>
          <w:color w:val="231F20"/>
        </w:rPr>
        <w:t>про- стора, уклопљени су у планску концепцију као привремени, </w:t>
      </w:r>
      <w:r>
        <w:rPr>
          <w:color w:val="231F20"/>
          <w:spacing w:val="-3"/>
        </w:rPr>
        <w:t>који </w:t>
      </w:r>
      <w:r>
        <w:rPr>
          <w:color w:val="231F20"/>
        </w:rPr>
        <w:t>се</w:t>
      </w:r>
      <w:r>
        <w:rPr>
          <w:color w:val="231F20"/>
          <w:spacing w:val="-5"/>
        </w:rPr>
        <w:t> </w:t>
      </w:r>
      <w:r>
        <w:rPr>
          <w:color w:val="231F20"/>
        </w:rPr>
        <w:t>задржавају</w:t>
      </w:r>
      <w:r>
        <w:rPr>
          <w:color w:val="231F20"/>
          <w:spacing w:val="-5"/>
        </w:rPr>
        <w:t> </w:t>
      </w:r>
      <w:r>
        <w:rPr>
          <w:color w:val="231F20"/>
        </w:rPr>
        <w:t>до</w:t>
      </w:r>
      <w:r>
        <w:rPr>
          <w:color w:val="231F20"/>
          <w:spacing w:val="-5"/>
        </w:rPr>
        <w:t> </w:t>
      </w:r>
      <w:r>
        <w:rPr>
          <w:color w:val="231F20"/>
          <w:spacing w:val="-3"/>
        </w:rPr>
        <w:t>коначне</w:t>
      </w:r>
      <w:r>
        <w:rPr>
          <w:color w:val="231F20"/>
          <w:spacing w:val="-5"/>
        </w:rPr>
        <w:t> </w:t>
      </w:r>
      <w:r>
        <w:rPr>
          <w:color w:val="231F20"/>
        </w:rPr>
        <w:t>изградње</w:t>
      </w:r>
      <w:r>
        <w:rPr>
          <w:color w:val="231F20"/>
          <w:spacing w:val="-5"/>
        </w:rPr>
        <w:t> </w:t>
      </w:r>
      <w:r>
        <w:rPr>
          <w:color w:val="231F20"/>
        </w:rPr>
        <w:t>новог</w:t>
      </w:r>
      <w:r>
        <w:rPr>
          <w:color w:val="231F20"/>
          <w:spacing w:val="-5"/>
        </w:rPr>
        <w:t> </w:t>
      </w:r>
      <w:r>
        <w:rPr>
          <w:color w:val="231F20"/>
        </w:rPr>
        <w:t>блока</w:t>
      </w:r>
      <w:r>
        <w:rPr>
          <w:color w:val="231F20"/>
          <w:spacing w:val="-5"/>
        </w:rPr>
        <w:t> </w:t>
      </w:r>
      <w:r>
        <w:rPr>
          <w:color w:val="231F20"/>
        </w:rPr>
        <w:t>електране,</w:t>
      </w:r>
      <w:r>
        <w:rPr>
          <w:color w:val="231F20"/>
          <w:spacing w:val="-5"/>
        </w:rPr>
        <w:t> </w:t>
      </w:r>
      <w:r>
        <w:rPr>
          <w:color w:val="231F20"/>
        </w:rPr>
        <w:t>или</w:t>
      </w:r>
      <w:r>
        <w:rPr>
          <w:color w:val="231F20"/>
          <w:spacing w:val="-5"/>
        </w:rPr>
        <w:t> </w:t>
      </w:r>
      <w:r>
        <w:rPr>
          <w:color w:val="231F20"/>
        </w:rPr>
        <w:t>као трајни са пренаменом, у даљој експлоатације електране, за сме- штај дела администрације и</w:t>
      </w:r>
      <w:r>
        <w:rPr>
          <w:color w:val="231F20"/>
          <w:spacing w:val="-3"/>
        </w:rPr>
        <w:t> </w:t>
      </w:r>
      <w:r>
        <w:rPr>
          <w:color w:val="231F20"/>
        </w:rPr>
        <w:t>управе.</w:t>
      </w:r>
    </w:p>
    <w:p>
      <w:pPr>
        <w:pStyle w:val="BodyText"/>
        <w:spacing w:line="232" w:lineRule="auto"/>
        <w:ind w:left="455" w:firstLine="397"/>
      </w:pPr>
      <w:r>
        <w:rPr>
          <w:color w:val="231F20"/>
        </w:rPr>
        <w:t>Правила уређења и изградње утврђују се за ТЕ „Костолац Б” као </w:t>
      </w:r>
      <w:r>
        <w:rPr>
          <w:color w:val="231F20"/>
          <w:spacing w:val="-3"/>
        </w:rPr>
        <w:t>комплекс </w:t>
      </w:r>
      <w:r>
        <w:rPr>
          <w:color w:val="231F20"/>
        </w:rPr>
        <w:t>стратешког значаја, чија је изградња, реконструкци- ја одржавање и коришћење </w:t>
      </w:r>
      <w:r>
        <w:rPr>
          <w:color w:val="231F20"/>
          <w:spacing w:val="-3"/>
        </w:rPr>
        <w:t>од </w:t>
      </w:r>
      <w:r>
        <w:rPr>
          <w:color w:val="231F20"/>
        </w:rPr>
        <w:t>јавног интереса, с обзиром да су све планиране активности у правцу смањења штетних утицаја на </w:t>
      </w:r>
      <w:r>
        <w:rPr>
          <w:color w:val="231F20"/>
          <w:spacing w:val="-3"/>
        </w:rPr>
        <w:t>околину </w:t>
      </w:r>
      <w:r>
        <w:rPr>
          <w:color w:val="231F20"/>
        </w:rPr>
        <w:t>и постизања стандарда у области енергетике и</w:t>
      </w:r>
      <w:r>
        <w:rPr>
          <w:color w:val="231F20"/>
          <w:spacing w:val="-25"/>
        </w:rPr>
        <w:t> </w:t>
      </w:r>
      <w:r>
        <w:rPr>
          <w:color w:val="231F20"/>
        </w:rPr>
        <w:t>енергетске ефикасности на </w:t>
      </w:r>
      <w:r>
        <w:rPr>
          <w:color w:val="231F20"/>
          <w:spacing w:val="-3"/>
        </w:rPr>
        <w:t>које </w:t>
      </w:r>
      <w:r>
        <w:rPr>
          <w:color w:val="231F20"/>
        </w:rPr>
        <w:t>се наша земља обавезала у складу са регула- тивом</w:t>
      </w:r>
      <w:r>
        <w:rPr>
          <w:color w:val="231F20"/>
          <w:spacing w:val="-1"/>
        </w:rPr>
        <w:t> </w:t>
      </w:r>
      <w:r>
        <w:rPr>
          <w:color w:val="231F20"/>
          <w:spacing w:val="-10"/>
        </w:rPr>
        <w:t>ЕУ.</w:t>
      </w:r>
    </w:p>
    <w:p>
      <w:pPr>
        <w:pStyle w:val="BodyText"/>
        <w:spacing w:before="163"/>
        <w:ind w:left="1497"/>
        <w:jc w:val="left"/>
      </w:pPr>
      <w:r>
        <w:rPr>
          <w:color w:val="231F20"/>
        </w:rPr>
        <w:t>Правила парцелације и препарцелације</w:t>
      </w:r>
    </w:p>
    <w:p>
      <w:pPr>
        <w:pStyle w:val="BodyText"/>
        <w:spacing w:before="10"/>
        <w:ind w:left="0"/>
        <w:jc w:val="left"/>
        <w:rPr>
          <w:sz w:val="16"/>
        </w:rPr>
      </w:pPr>
    </w:p>
    <w:p>
      <w:pPr>
        <w:pStyle w:val="BodyText"/>
        <w:spacing w:line="204" w:lineRule="exact" w:before="1"/>
        <w:ind w:left="852"/>
        <w:jc w:val="left"/>
      </w:pPr>
      <w:r>
        <w:rPr>
          <w:color w:val="231F20"/>
        </w:rPr>
        <w:t>На подручју КО Костолац село (к.п. бр. 303, 579, 580, 582,</w:t>
      </w:r>
    </w:p>
    <w:p>
      <w:pPr>
        <w:pStyle w:val="BodyText"/>
        <w:spacing w:line="232" w:lineRule="auto" w:before="1"/>
        <w:ind w:left="454"/>
      </w:pPr>
      <w:r>
        <w:rPr>
          <w:color w:val="231F20"/>
        </w:rPr>
        <w:t>589, 590, 591, 593 и 714), на површини у обухвату граница к.п. бр. 303, где су организовани различити садржаји у функцији рудар- ско-енергетског система, мења се постојећа катастарска парцела- ција ради формирања парцела за изградњу јавних објеката у Ком- плексу ТЕ „Костолац Б”.</w:t>
      </w:r>
    </w:p>
    <w:p>
      <w:pPr>
        <w:pStyle w:val="BodyText"/>
        <w:spacing w:line="232" w:lineRule="auto"/>
        <w:ind w:left="454" w:right="1" w:firstLine="396"/>
      </w:pPr>
      <w:r>
        <w:rPr>
          <w:color w:val="231F20"/>
        </w:rPr>
        <w:t>Грађевинске парцеле се формирају на основу валидног и ажурираног катастарског плана, према потврђеном пројекту пар- целације</w:t>
      </w:r>
      <w:r>
        <w:rPr>
          <w:color w:val="231F20"/>
          <w:spacing w:val="-5"/>
        </w:rPr>
        <w:t> </w:t>
      </w:r>
      <w:r>
        <w:rPr>
          <w:color w:val="231F20"/>
          <w:spacing w:val="-3"/>
        </w:rPr>
        <w:t>који</w:t>
      </w:r>
      <w:r>
        <w:rPr>
          <w:color w:val="231F20"/>
          <w:spacing w:val="-5"/>
        </w:rPr>
        <w:t> </w:t>
      </w:r>
      <w:r>
        <w:rPr>
          <w:color w:val="231F20"/>
        </w:rPr>
        <w:t>садржи</w:t>
      </w:r>
      <w:r>
        <w:rPr>
          <w:color w:val="231F20"/>
          <w:spacing w:val="-5"/>
        </w:rPr>
        <w:t> </w:t>
      </w:r>
      <w:r>
        <w:rPr>
          <w:color w:val="231F20"/>
        </w:rPr>
        <w:t>пројект</w:t>
      </w:r>
      <w:r>
        <w:rPr>
          <w:color w:val="231F20"/>
          <w:spacing w:val="-5"/>
        </w:rPr>
        <w:t> </w:t>
      </w:r>
      <w:r>
        <w:rPr>
          <w:color w:val="231F20"/>
        </w:rPr>
        <w:t>геодетског</w:t>
      </w:r>
      <w:r>
        <w:rPr>
          <w:color w:val="231F20"/>
          <w:spacing w:val="-5"/>
        </w:rPr>
        <w:t> </w:t>
      </w:r>
      <w:r>
        <w:rPr>
          <w:color w:val="231F20"/>
        </w:rPr>
        <w:t>обележавања,</w:t>
      </w:r>
      <w:r>
        <w:rPr>
          <w:color w:val="231F20"/>
          <w:spacing w:val="-5"/>
        </w:rPr>
        <w:t> </w:t>
      </w:r>
      <w:r>
        <w:rPr>
          <w:color w:val="231F20"/>
        </w:rPr>
        <w:t>у</w:t>
      </w:r>
      <w:r>
        <w:rPr>
          <w:color w:val="231F20"/>
          <w:spacing w:val="-5"/>
        </w:rPr>
        <w:t> </w:t>
      </w:r>
      <w:r>
        <w:rPr>
          <w:color w:val="231F20"/>
        </w:rPr>
        <w:t>складу</w:t>
      </w:r>
      <w:r>
        <w:rPr>
          <w:color w:val="231F20"/>
          <w:spacing w:val="-5"/>
        </w:rPr>
        <w:t> </w:t>
      </w:r>
      <w:r>
        <w:rPr>
          <w:color w:val="231F20"/>
        </w:rPr>
        <w:t>са правилима Просторног плана и за потребе спровођења</w:t>
      </w:r>
      <w:r>
        <w:rPr>
          <w:color w:val="231F20"/>
          <w:spacing w:val="-19"/>
        </w:rPr>
        <w:t> </w:t>
      </w:r>
      <w:r>
        <w:rPr>
          <w:color w:val="231F20"/>
        </w:rPr>
        <w:t>Плана.</w:t>
      </w:r>
    </w:p>
    <w:p>
      <w:pPr>
        <w:pStyle w:val="BodyText"/>
        <w:spacing w:line="232" w:lineRule="auto"/>
        <w:ind w:left="455" w:right="1" w:firstLine="396"/>
      </w:pPr>
      <w:r>
        <w:rPr>
          <w:color w:val="231F20"/>
        </w:rPr>
        <w:t>Утврђују се следећи услови, поставке и правила за парцела- цију и препарцелацију:</w:t>
      </w:r>
    </w:p>
    <w:p>
      <w:pPr>
        <w:pStyle w:val="BodyText"/>
        <w:spacing w:line="232" w:lineRule="auto"/>
        <w:ind w:left="454" w:right="1" w:firstLine="396"/>
      </w:pPr>
      <w:r>
        <w:rPr>
          <w:color w:val="231F20"/>
          <w:w w:val="66"/>
        </w:rPr>
        <w:t> </w:t>
      </w:r>
      <w:r>
        <w:rPr>
          <w:color w:val="231F20"/>
        </w:rPr>
        <w:t>– издвојене су површине са карактеристичним основним на- менама и посебним урбанистичким карактеристикама, а по прин- ципу успостављања урбанистичке целине </w:t>
      </w:r>
      <w:r>
        <w:rPr>
          <w:color w:val="231F20"/>
          <w:spacing w:val="-3"/>
        </w:rPr>
        <w:t>Комплекс </w:t>
      </w:r>
      <w:r>
        <w:rPr>
          <w:color w:val="231F20"/>
        </w:rPr>
        <w:t>ТЕ „Костолац Б” са истим правилима грађења;</w:t>
      </w:r>
    </w:p>
    <w:p>
      <w:pPr>
        <w:pStyle w:val="BodyText"/>
        <w:spacing w:line="232" w:lineRule="auto"/>
        <w:ind w:left="455" w:firstLine="397"/>
      </w:pPr>
      <w:r>
        <w:rPr>
          <w:color w:val="231F20"/>
          <w:w w:val="66"/>
        </w:rPr>
        <w:t> </w:t>
      </w:r>
      <w:r>
        <w:rPr>
          <w:color w:val="231F20"/>
        </w:rPr>
        <w:t>– положај новоформираних грађевинских парцела дефини- сан</w:t>
      </w:r>
      <w:r>
        <w:rPr>
          <w:color w:val="231F20"/>
          <w:spacing w:val="-7"/>
        </w:rPr>
        <w:t> </w:t>
      </w:r>
      <w:r>
        <w:rPr>
          <w:color w:val="231F20"/>
        </w:rPr>
        <w:t>је</w:t>
      </w:r>
      <w:r>
        <w:rPr>
          <w:color w:val="231F20"/>
          <w:spacing w:val="-7"/>
        </w:rPr>
        <w:t> </w:t>
      </w:r>
      <w:r>
        <w:rPr>
          <w:color w:val="231F20"/>
        </w:rPr>
        <w:t>координатама</w:t>
      </w:r>
      <w:r>
        <w:rPr>
          <w:color w:val="231F20"/>
          <w:spacing w:val="-7"/>
        </w:rPr>
        <w:t> </w:t>
      </w:r>
      <w:r>
        <w:rPr>
          <w:color w:val="231F20"/>
        </w:rPr>
        <w:t>у</w:t>
      </w:r>
      <w:r>
        <w:rPr>
          <w:color w:val="231F20"/>
          <w:spacing w:val="-7"/>
        </w:rPr>
        <w:t> </w:t>
      </w:r>
      <w:r>
        <w:rPr>
          <w:color w:val="231F20"/>
        </w:rPr>
        <w:t>државном</w:t>
      </w:r>
      <w:r>
        <w:rPr>
          <w:color w:val="231F20"/>
          <w:spacing w:val="-7"/>
        </w:rPr>
        <w:t> </w:t>
      </w:r>
      <w:r>
        <w:rPr>
          <w:color w:val="231F20"/>
          <w:spacing w:val="-3"/>
        </w:rPr>
        <w:t>координатном</w:t>
      </w:r>
      <w:r>
        <w:rPr>
          <w:color w:val="231F20"/>
          <w:spacing w:val="-7"/>
        </w:rPr>
        <w:t> </w:t>
      </w:r>
      <w:r>
        <w:rPr>
          <w:color w:val="231F20"/>
        </w:rPr>
        <w:t>систему</w:t>
      </w:r>
      <w:r>
        <w:rPr>
          <w:color w:val="231F20"/>
          <w:spacing w:val="-7"/>
        </w:rPr>
        <w:t> </w:t>
      </w:r>
      <w:r>
        <w:rPr>
          <w:color w:val="231F20"/>
        </w:rPr>
        <w:t>тачака</w:t>
      </w:r>
      <w:r>
        <w:rPr>
          <w:color w:val="231F20"/>
          <w:spacing w:val="-7"/>
        </w:rPr>
        <w:t> </w:t>
      </w:r>
      <w:r>
        <w:rPr>
          <w:color w:val="231F20"/>
        </w:rPr>
        <w:t>III1 до III5, IV1 и IV2 на разделним линијама према суседним делови- ма друге</w:t>
      </w:r>
      <w:r>
        <w:rPr>
          <w:color w:val="231F20"/>
          <w:spacing w:val="-1"/>
        </w:rPr>
        <w:t> </w:t>
      </w:r>
      <w:r>
        <w:rPr>
          <w:color w:val="231F20"/>
        </w:rPr>
        <w:t>намене;</w:t>
      </w:r>
    </w:p>
    <w:p>
      <w:pPr>
        <w:pStyle w:val="BodyText"/>
        <w:spacing w:line="232" w:lineRule="auto"/>
        <w:ind w:left="455" w:firstLine="397"/>
      </w:pPr>
      <w:r>
        <w:rPr>
          <w:color w:val="231F20"/>
          <w:w w:val="66"/>
        </w:rPr>
        <w:t> </w:t>
      </w:r>
      <w:r>
        <w:rPr>
          <w:color w:val="231F20"/>
        </w:rPr>
        <w:t>–</w:t>
      </w:r>
      <w:r>
        <w:rPr>
          <w:color w:val="231F20"/>
          <w:spacing w:val="-9"/>
        </w:rPr>
        <w:t> </w:t>
      </w:r>
      <w:r>
        <w:rPr>
          <w:color w:val="231F20"/>
        </w:rPr>
        <w:t>грађевинске</w:t>
      </w:r>
      <w:r>
        <w:rPr>
          <w:color w:val="231F20"/>
          <w:spacing w:val="-9"/>
        </w:rPr>
        <w:t> </w:t>
      </w:r>
      <w:r>
        <w:rPr>
          <w:color w:val="231F20"/>
        </w:rPr>
        <w:t>парцеле</w:t>
      </w:r>
      <w:r>
        <w:rPr>
          <w:color w:val="231F20"/>
          <w:spacing w:val="-10"/>
        </w:rPr>
        <w:t> </w:t>
      </w:r>
      <w:r>
        <w:rPr>
          <w:color w:val="231F20"/>
        </w:rPr>
        <w:t>се</w:t>
      </w:r>
      <w:r>
        <w:rPr>
          <w:color w:val="231F20"/>
          <w:spacing w:val="-9"/>
        </w:rPr>
        <w:t> </w:t>
      </w:r>
      <w:r>
        <w:rPr>
          <w:color w:val="231F20"/>
        </w:rPr>
        <w:t>формирају</w:t>
      </w:r>
      <w:r>
        <w:rPr>
          <w:color w:val="231F20"/>
          <w:spacing w:val="-9"/>
        </w:rPr>
        <w:t> </w:t>
      </w:r>
      <w:r>
        <w:rPr>
          <w:color w:val="231F20"/>
        </w:rPr>
        <w:t>препарцелацијом</w:t>
      </w:r>
      <w:r>
        <w:rPr>
          <w:color w:val="231F20"/>
          <w:spacing w:val="-9"/>
        </w:rPr>
        <w:t> </w:t>
      </w:r>
      <w:r>
        <w:rPr>
          <w:color w:val="231F20"/>
        </w:rPr>
        <w:t>(на</w:t>
      </w:r>
      <w:r>
        <w:rPr>
          <w:color w:val="231F20"/>
          <w:spacing w:val="-9"/>
        </w:rPr>
        <w:t> </w:t>
      </w:r>
      <w:r>
        <w:rPr>
          <w:color w:val="231F20"/>
        </w:rPr>
        <w:t>ве- ћем броју катастарских парцела образује се једна парцела) </w:t>
      </w:r>
      <w:r>
        <w:rPr>
          <w:color w:val="231F20"/>
          <w:spacing w:val="-3"/>
        </w:rPr>
        <w:t>тако </w:t>
      </w:r>
      <w:r>
        <w:rPr>
          <w:color w:val="231F20"/>
        </w:rPr>
        <w:t>да су дефинисаним разделним линијама обухваћене раније унутра- шње</w:t>
      </w:r>
      <w:r>
        <w:rPr>
          <w:color w:val="231F20"/>
          <w:spacing w:val="-2"/>
        </w:rPr>
        <w:t> </w:t>
      </w:r>
      <w:r>
        <w:rPr>
          <w:color w:val="231F20"/>
        </w:rPr>
        <w:t>парцеле;</w:t>
      </w:r>
    </w:p>
    <w:p>
      <w:pPr>
        <w:pStyle w:val="BodyText"/>
        <w:spacing w:line="232" w:lineRule="auto"/>
        <w:ind w:left="386" w:firstLine="396"/>
        <w:jc w:val="right"/>
      </w:pPr>
      <w:r>
        <w:rPr>
          <w:color w:val="231F20"/>
          <w:w w:val="66"/>
        </w:rPr>
        <w:t> </w:t>
      </w:r>
      <w:r>
        <w:rPr>
          <w:color w:val="231F20"/>
        </w:rPr>
        <w:t>– </w:t>
      </w:r>
      <w:r>
        <w:rPr>
          <w:color w:val="231F20"/>
          <w:spacing w:val="-3"/>
        </w:rPr>
        <w:t>грађевинска </w:t>
      </w:r>
      <w:r>
        <w:rPr>
          <w:color w:val="231F20"/>
        </w:rPr>
        <w:t>парцела термоелектране је ограђена, имај при- </w:t>
      </w:r>
      <w:r>
        <w:rPr>
          <w:color w:val="231F20"/>
          <w:spacing w:val="-3"/>
        </w:rPr>
        <w:t>ступ </w:t>
      </w:r>
      <w:r>
        <w:rPr>
          <w:color w:val="231F20"/>
        </w:rPr>
        <w:t>на јавну саобраћајницу </w:t>
      </w:r>
      <w:r>
        <w:rPr>
          <w:color w:val="231F20"/>
          <w:spacing w:val="-4"/>
        </w:rPr>
        <w:t>преко </w:t>
      </w:r>
      <w:r>
        <w:rPr>
          <w:color w:val="231F20"/>
          <w:spacing w:val="-3"/>
        </w:rPr>
        <w:t>приступних путева </w:t>
      </w:r>
      <w:r>
        <w:rPr>
          <w:color w:val="231F20"/>
          <w:spacing w:val="-4"/>
        </w:rPr>
        <w:t>који </w:t>
      </w:r>
      <w:r>
        <w:rPr>
          <w:color w:val="231F20"/>
        </w:rPr>
        <w:t>имају </w:t>
      </w:r>
      <w:r>
        <w:rPr>
          <w:color w:val="231F20"/>
          <w:spacing w:val="-3"/>
        </w:rPr>
        <w:t>ка-</w:t>
      </w:r>
      <w:r>
        <w:rPr>
          <w:color w:val="231F20"/>
        </w:rPr>
        <w:t> </w:t>
      </w:r>
      <w:r>
        <w:rPr>
          <w:color w:val="231F20"/>
          <w:spacing w:val="-3"/>
        </w:rPr>
        <w:t>рактер </w:t>
      </w:r>
      <w:r>
        <w:rPr>
          <w:color w:val="231F20"/>
        </w:rPr>
        <w:t>јавних површина и прикључак на </w:t>
      </w:r>
      <w:r>
        <w:rPr>
          <w:color w:val="231F20"/>
          <w:spacing w:val="-3"/>
        </w:rPr>
        <w:t>техничку </w:t>
      </w:r>
      <w:r>
        <w:rPr>
          <w:color w:val="231F20"/>
          <w:spacing w:val="-4"/>
        </w:rPr>
        <w:t>инфраструктуру.</w:t>
      </w:r>
      <w:r>
        <w:rPr>
          <w:color w:val="231F20"/>
        </w:rPr>
        <w:t> Издвојени делови добијени парцелацијом к.п. бр. 303 не ме-</w:t>
      </w:r>
    </w:p>
    <w:p>
      <w:pPr>
        <w:pStyle w:val="BodyText"/>
        <w:spacing w:line="232" w:lineRule="auto"/>
        <w:ind w:left="455"/>
      </w:pPr>
      <w:r>
        <w:rPr>
          <w:color w:val="231F20"/>
        </w:rPr>
        <w:t>њају</w:t>
      </w:r>
      <w:r>
        <w:rPr>
          <w:color w:val="231F20"/>
          <w:spacing w:val="-8"/>
        </w:rPr>
        <w:t> </w:t>
      </w:r>
      <w:r>
        <w:rPr>
          <w:color w:val="231F20"/>
        </w:rPr>
        <w:t>затечену</w:t>
      </w:r>
      <w:r>
        <w:rPr>
          <w:color w:val="231F20"/>
          <w:spacing w:val="-8"/>
        </w:rPr>
        <w:t> </w:t>
      </w:r>
      <w:r>
        <w:rPr>
          <w:color w:val="231F20"/>
        </w:rPr>
        <w:t>намену</w:t>
      </w:r>
      <w:r>
        <w:rPr>
          <w:color w:val="231F20"/>
          <w:spacing w:val="-8"/>
        </w:rPr>
        <w:t> </w:t>
      </w:r>
      <w:r>
        <w:rPr>
          <w:color w:val="231F20"/>
        </w:rPr>
        <w:t>и</w:t>
      </w:r>
      <w:r>
        <w:rPr>
          <w:color w:val="231F20"/>
          <w:spacing w:val="-8"/>
        </w:rPr>
        <w:t> </w:t>
      </w:r>
      <w:r>
        <w:rPr>
          <w:color w:val="231F20"/>
        </w:rPr>
        <w:t>на</w:t>
      </w:r>
      <w:r>
        <w:rPr>
          <w:color w:val="231F20"/>
          <w:spacing w:val="-8"/>
        </w:rPr>
        <w:t> </w:t>
      </w:r>
      <w:r>
        <w:rPr>
          <w:color w:val="231F20"/>
        </w:rPr>
        <w:t>њима</w:t>
      </w:r>
      <w:r>
        <w:rPr>
          <w:color w:val="231F20"/>
          <w:spacing w:val="-8"/>
        </w:rPr>
        <w:t> </w:t>
      </w:r>
      <w:r>
        <w:rPr>
          <w:color w:val="231F20"/>
        </w:rPr>
        <w:t>се</w:t>
      </w:r>
      <w:r>
        <w:rPr>
          <w:color w:val="231F20"/>
          <w:spacing w:val="-8"/>
        </w:rPr>
        <w:t> </w:t>
      </w:r>
      <w:r>
        <w:rPr>
          <w:color w:val="231F20"/>
        </w:rPr>
        <w:t>може</w:t>
      </w:r>
      <w:r>
        <w:rPr>
          <w:color w:val="231F20"/>
          <w:spacing w:val="-8"/>
        </w:rPr>
        <w:t> </w:t>
      </w:r>
      <w:r>
        <w:rPr>
          <w:color w:val="231F20"/>
        </w:rPr>
        <w:t>градити</w:t>
      </w:r>
      <w:r>
        <w:rPr>
          <w:color w:val="231F20"/>
          <w:spacing w:val="-8"/>
        </w:rPr>
        <w:t> </w:t>
      </w:r>
      <w:r>
        <w:rPr>
          <w:color w:val="231F20"/>
        </w:rPr>
        <w:t>као</w:t>
      </w:r>
      <w:r>
        <w:rPr>
          <w:color w:val="231F20"/>
          <w:spacing w:val="-8"/>
        </w:rPr>
        <w:t> </w:t>
      </w:r>
      <w:r>
        <w:rPr>
          <w:color w:val="231F20"/>
        </w:rPr>
        <w:t>на</w:t>
      </w:r>
      <w:r>
        <w:rPr>
          <w:color w:val="231F20"/>
          <w:spacing w:val="-8"/>
        </w:rPr>
        <w:t> </w:t>
      </w:r>
      <w:r>
        <w:rPr>
          <w:color w:val="231F20"/>
        </w:rPr>
        <w:t>честицама водног или грађевинског</w:t>
      </w:r>
      <w:r>
        <w:rPr>
          <w:color w:val="231F20"/>
          <w:spacing w:val="-4"/>
        </w:rPr>
        <w:t> </w:t>
      </w:r>
      <w:r>
        <w:rPr>
          <w:color w:val="231F20"/>
        </w:rPr>
        <w:t>земљишта.</w:t>
      </w:r>
    </w:p>
    <w:p>
      <w:pPr>
        <w:pStyle w:val="ListParagraph"/>
        <w:numPr>
          <w:ilvl w:val="3"/>
          <w:numId w:val="63"/>
        </w:numPr>
        <w:tabs>
          <w:tab w:pos="2153" w:val="left" w:leader="none"/>
        </w:tabs>
        <w:spacing w:line="240" w:lineRule="auto" w:before="72" w:after="0"/>
        <w:ind w:left="2152" w:right="0" w:hanging="450"/>
        <w:jc w:val="left"/>
        <w:rPr>
          <w:sz w:val="18"/>
        </w:rPr>
      </w:pPr>
      <w:r>
        <w:rPr>
          <w:color w:val="231F20"/>
          <w:spacing w:val="20"/>
          <w:sz w:val="18"/>
        </w:rPr>
        <w:br w:type="column"/>
      </w:r>
      <w:r>
        <w:rPr>
          <w:color w:val="231F20"/>
          <w:spacing w:val="16"/>
          <w:sz w:val="18"/>
        </w:rPr>
        <w:t>Правила</w:t>
      </w:r>
      <w:r>
        <w:rPr>
          <w:color w:val="231F20"/>
          <w:spacing w:val="42"/>
          <w:sz w:val="18"/>
        </w:rPr>
        <w:t> </w:t>
      </w:r>
      <w:r>
        <w:rPr>
          <w:color w:val="231F20"/>
          <w:spacing w:val="16"/>
          <w:sz w:val="18"/>
        </w:rPr>
        <w:t>изградње</w:t>
      </w:r>
    </w:p>
    <w:p>
      <w:pPr>
        <w:pStyle w:val="BodyText"/>
        <w:spacing w:before="5"/>
        <w:ind w:left="0"/>
        <w:jc w:val="left"/>
        <w:rPr>
          <w:sz w:val="17"/>
        </w:rPr>
      </w:pPr>
    </w:p>
    <w:p>
      <w:pPr>
        <w:pStyle w:val="BodyText"/>
        <w:spacing w:line="235" w:lineRule="auto"/>
        <w:ind w:left="242" w:right="126" w:firstLine="396"/>
      </w:pPr>
      <w:r>
        <w:rPr>
          <w:color w:val="231F20"/>
        </w:rPr>
        <w:t>Диспозиција елемената постројења за одсумпоравање на ло- кацији ТЕ „Костолац Б” обухвата два апсорбера, по један за сваки од блокова. Сваки апсорбер имаће унутрашњи пречник 15,3 m и висину од 44 m.</w:t>
      </w:r>
    </w:p>
    <w:p>
      <w:pPr>
        <w:pStyle w:val="BodyText"/>
        <w:spacing w:line="235" w:lineRule="auto" w:before="1"/>
        <w:ind w:left="243" w:right="125" w:firstLine="396"/>
      </w:pPr>
      <w:r>
        <w:rPr>
          <w:color w:val="231F20"/>
        </w:rPr>
        <w:t>Оба апсорбера биће смештена североисточно </w:t>
      </w:r>
      <w:r>
        <w:rPr>
          <w:color w:val="231F20"/>
          <w:spacing w:val="-3"/>
        </w:rPr>
        <w:t>од </w:t>
      </w:r>
      <w:r>
        <w:rPr>
          <w:color w:val="231F20"/>
        </w:rPr>
        <w:t>постојећег димњака, у простору </w:t>
      </w:r>
      <w:r>
        <w:rPr>
          <w:color w:val="231F20"/>
          <w:spacing w:val="-3"/>
        </w:rPr>
        <w:t>који </w:t>
      </w:r>
      <w:r>
        <w:rPr>
          <w:color w:val="231F20"/>
        </w:rPr>
        <w:t>је са североистока и северозапада де- финисан положајем постојећег косог моста за допрему угља, са југозапада</w:t>
      </w:r>
      <w:r>
        <w:rPr>
          <w:color w:val="231F20"/>
          <w:spacing w:val="-9"/>
        </w:rPr>
        <w:t> </w:t>
      </w:r>
      <w:r>
        <w:rPr>
          <w:color w:val="231F20"/>
        </w:rPr>
        <w:t>самом</w:t>
      </w:r>
      <w:r>
        <w:rPr>
          <w:color w:val="231F20"/>
          <w:spacing w:val="-9"/>
        </w:rPr>
        <w:t> </w:t>
      </w:r>
      <w:r>
        <w:rPr>
          <w:color w:val="231F20"/>
        </w:rPr>
        <w:t>термоелектраном,</w:t>
      </w:r>
      <w:r>
        <w:rPr>
          <w:color w:val="231F20"/>
          <w:spacing w:val="-9"/>
        </w:rPr>
        <w:t> </w:t>
      </w:r>
      <w:r>
        <w:rPr>
          <w:color w:val="231F20"/>
        </w:rPr>
        <w:t>док</w:t>
      </w:r>
      <w:r>
        <w:rPr>
          <w:color w:val="231F20"/>
          <w:spacing w:val="-9"/>
        </w:rPr>
        <w:t> </w:t>
      </w:r>
      <w:r>
        <w:rPr>
          <w:color w:val="231F20"/>
        </w:rPr>
        <w:t>је</w:t>
      </w:r>
      <w:r>
        <w:rPr>
          <w:color w:val="231F20"/>
          <w:spacing w:val="-9"/>
        </w:rPr>
        <w:t> </w:t>
      </w:r>
      <w:r>
        <w:rPr>
          <w:color w:val="231F20"/>
        </w:rPr>
        <w:t>са</w:t>
      </w:r>
      <w:r>
        <w:rPr>
          <w:color w:val="231F20"/>
          <w:spacing w:val="-9"/>
        </w:rPr>
        <w:t> </w:t>
      </w:r>
      <w:r>
        <w:rPr>
          <w:color w:val="231F20"/>
        </w:rPr>
        <w:t>југоистока</w:t>
      </w:r>
      <w:r>
        <w:rPr>
          <w:color w:val="231F20"/>
          <w:spacing w:val="-9"/>
        </w:rPr>
        <w:t> </w:t>
      </w:r>
      <w:r>
        <w:rPr>
          <w:color w:val="231F20"/>
        </w:rPr>
        <w:t>ограничен положајем </w:t>
      </w:r>
      <w:r>
        <w:rPr>
          <w:color w:val="231F20"/>
          <w:spacing w:val="-3"/>
        </w:rPr>
        <w:t>будућег </w:t>
      </w:r>
      <w:r>
        <w:rPr>
          <w:color w:val="231F20"/>
        </w:rPr>
        <w:t>косог моста за допрему угља и новог система за транспорт пепела и</w:t>
      </w:r>
      <w:r>
        <w:rPr>
          <w:color w:val="231F20"/>
          <w:spacing w:val="-4"/>
        </w:rPr>
        <w:t> </w:t>
      </w:r>
      <w:r>
        <w:rPr>
          <w:color w:val="231F20"/>
        </w:rPr>
        <w:t>шљаке.</w:t>
      </w:r>
    </w:p>
    <w:p>
      <w:pPr>
        <w:pStyle w:val="BodyText"/>
        <w:spacing w:line="235" w:lineRule="auto" w:before="1"/>
        <w:ind w:left="243" w:right="125" w:firstLine="396"/>
      </w:pPr>
      <w:r>
        <w:rPr>
          <w:color w:val="231F20"/>
        </w:rPr>
        <w:t>Дренажне јаме апсорбера смештене су у приземљу пумпне станице. Свака дренажна јама повезана је са сабирником, чији се садржај непрестано меша у циљу спречавања таложења. Око сва- ког од апсорбера постављен је засебни систем ободних канала ко- ји у целости опасује апсорбер и пружа се испод рециркулационих и пумпи за отакање дела суспензије из система како би прикупио сву заосталу течност.</w:t>
      </w:r>
    </w:p>
    <w:p>
      <w:pPr>
        <w:pStyle w:val="BodyText"/>
        <w:spacing w:line="235" w:lineRule="auto" w:before="2"/>
        <w:ind w:left="244" w:right="124" w:firstLine="397"/>
      </w:pPr>
      <w:r>
        <w:rPr>
          <w:color w:val="231F20"/>
        </w:rPr>
        <w:t>Систем за примарно угушћење суспензије гипса, који се са- стоји од два пара хидроциклона, по један за сваки од апсорбера, налази се у постројењу за угушћење суспензије северозападно од влажног димњака), изнад тракастих вакуум филтера. Суспензија се у систем хидроциклона доводи помоћу пумпи за оток дела су- спензије из система, након чега се оток, односно испуст из хидро- циклона води директно на одговарајуће тракасте вакуум филтре или у резервоар суспензије гипса, у зависности од режима рада. Прелив хидроциклона прикупља се у посебном резервоару фил- трата.</w:t>
      </w:r>
    </w:p>
    <w:p>
      <w:pPr>
        <w:pStyle w:val="BodyText"/>
        <w:spacing w:line="235" w:lineRule="auto" w:before="2"/>
        <w:ind w:left="243" w:right="125" w:firstLine="397"/>
      </w:pPr>
      <w:r>
        <w:rPr>
          <w:color w:val="231F20"/>
        </w:rPr>
        <w:t>Нови влажни димњак планиран је 60 m североисточно (НЕ) </w:t>
      </w:r>
      <w:r>
        <w:rPr>
          <w:color w:val="231F20"/>
          <w:spacing w:val="-3"/>
        </w:rPr>
        <w:t>од </w:t>
      </w:r>
      <w:r>
        <w:rPr>
          <w:color w:val="231F20"/>
        </w:rPr>
        <w:t>постојећег димњака. Димњак је пројектован, направљен и из- грађен у складу са најсавременијим принципима. У димњаку су смештене две димне цеви, пречника 7,6 m и висине 200 m свака, изграђене </w:t>
      </w:r>
      <w:r>
        <w:rPr>
          <w:color w:val="231F20"/>
          <w:spacing w:val="-3"/>
        </w:rPr>
        <w:t>од </w:t>
      </w:r>
      <w:r>
        <w:rPr>
          <w:color w:val="231F20"/>
        </w:rPr>
        <w:t>специјалне пластике ојачане стакленим влакнима. </w:t>
      </w:r>
      <w:r>
        <w:rPr>
          <w:color w:val="231F20"/>
          <w:spacing w:val="-4"/>
        </w:rPr>
        <w:t>Око</w:t>
      </w:r>
      <w:r>
        <w:rPr>
          <w:color w:val="231F20"/>
          <w:spacing w:val="-8"/>
        </w:rPr>
        <w:t> </w:t>
      </w:r>
      <w:r>
        <w:rPr>
          <w:color w:val="231F20"/>
        </w:rPr>
        <w:t>димних</w:t>
      </w:r>
      <w:r>
        <w:rPr>
          <w:color w:val="231F20"/>
          <w:spacing w:val="-8"/>
        </w:rPr>
        <w:t> </w:t>
      </w:r>
      <w:r>
        <w:rPr>
          <w:color w:val="231F20"/>
        </w:rPr>
        <w:t>цеви</w:t>
      </w:r>
      <w:r>
        <w:rPr>
          <w:color w:val="231F20"/>
          <w:spacing w:val="-8"/>
        </w:rPr>
        <w:t> </w:t>
      </w:r>
      <w:r>
        <w:rPr>
          <w:color w:val="231F20"/>
        </w:rPr>
        <w:t>налази</w:t>
      </w:r>
      <w:r>
        <w:rPr>
          <w:color w:val="231F20"/>
          <w:spacing w:val="-8"/>
        </w:rPr>
        <w:t> </w:t>
      </w:r>
      <w:r>
        <w:rPr>
          <w:color w:val="231F20"/>
        </w:rPr>
        <w:t>се</w:t>
      </w:r>
      <w:r>
        <w:rPr>
          <w:color w:val="231F20"/>
          <w:spacing w:val="-8"/>
        </w:rPr>
        <w:t> </w:t>
      </w:r>
      <w:r>
        <w:rPr>
          <w:color w:val="231F20"/>
        </w:rPr>
        <w:t>заједнички,</w:t>
      </w:r>
      <w:r>
        <w:rPr>
          <w:color w:val="231F20"/>
          <w:spacing w:val="-8"/>
        </w:rPr>
        <w:t> </w:t>
      </w:r>
      <w:r>
        <w:rPr>
          <w:color w:val="231F20"/>
        </w:rPr>
        <w:t>194</w:t>
      </w:r>
      <w:r>
        <w:rPr>
          <w:color w:val="231F20"/>
          <w:spacing w:val="-8"/>
        </w:rPr>
        <w:t> </w:t>
      </w:r>
      <w:r>
        <w:rPr>
          <w:color w:val="231F20"/>
        </w:rPr>
        <w:t>m</w:t>
      </w:r>
      <w:r>
        <w:rPr>
          <w:color w:val="231F20"/>
          <w:spacing w:val="-8"/>
        </w:rPr>
        <w:t> </w:t>
      </w:r>
      <w:r>
        <w:rPr>
          <w:color w:val="231F20"/>
        </w:rPr>
        <w:t>висок</w:t>
      </w:r>
      <w:r>
        <w:rPr>
          <w:color w:val="231F20"/>
          <w:spacing w:val="-8"/>
        </w:rPr>
        <w:t> </w:t>
      </w:r>
      <w:r>
        <w:rPr>
          <w:color w:val="231F20"/>
        </w:rPr>
        <w:t>бетонски</w:t>
      </w:r>
      <w:r>
        <w:rPr>
          <w:color w:val="231F20"/>
          <w:spacing w:val="-8"/>
        </w:rPr>
        <w:t> </w:t>
      </w:r>
      <w:r>
        <w:rPr>
          <w:color w:val="231F20"/>
        </w:rPr>
        <w:t>омо- </w:t>
      </w:r>
      <w:r>
        <w:rPr>
          <w:color w:val="231F20"/>
          <w:spacing w:val="-3"/>
        </w:rPr>
        <w:t>тач </w:t>
      </w:r>
      <w:r>
        <w:rPr>
          <w:color w:val="231F20"/>
        </w:rPr>
        <w:t>пречника 20</w:t>
      </w:r>
      <w:r>
        <w:rPr>
          <w:color w:val="231F20"/>
          <w:spacing w:val="1"/>
        </w:rPr>
        <w:t> </w:t>
      </w:r>
      <w:r>
        <w:rPr>
          <w:color w:val="231F20"/>
        </w:rPr>
        <w:t>m.</w:t>
      </w:r>
    </w:p>
    <w:p>
      <w:pPr>
        <w:pStyle w:val="BodyText"/>
        <w:spacing w:line="235" w:lineRule="auto" w:before="1"/>
        <w:ind w:left="243" w:right="125" w:firstLine="396"/>
      </w:pPr>
      <w:r>
        <w:rPr>
          <w:color w:val="231F20"/>
        </w:rPr>
        <w:t>Димњак</w:t>
      </w:r>
      <w:r>
        <w:rPr>
          <w:color w:val="231F20"/>
          <w:spacing w:val="-8"/>
        </w:rPr>
        <w:t> </w:t>
      </w:r>
      <w:r>
        <w:rPr>
          <w:color w:val="231F20"/>
        </w:rPr>
        <w:t>је</w:t>
      </w:r>
      <w:r>
        <w:rPr>
          <w:color w:val="231F20"/>
          <w:spacing w:val="-8"/>
        </w:rPr>
        <w:t> </w:t>
      </w:r>
      <w:r>
        <w:rPr>
          <w:color w:val="231F20"/>
        </w:rPr>
        <w:t>опремљен</w:t>
      </w:r>
      <w:r>
        <w:rPr>
          <w:color w:val="231F20"/>
          <w:spacing w:val="-8"/>
        </w:rPr>
        <w:t> </w:t>
      </w:r>
      <w:r>
        <w:rPr>
          <w:color w:val="231F20"/>
        </w:rPr>
        <w:t>ваздухопловно</w:t>
      </w:r>
      <w:r>
        <w:rPr>
          <w:color w:val="231F20"/>
          <w:spacing w:val="-8"/>
        </w:rPr>
        <w:t> </w:t>
      </w:r>
      <w:r>
        <w:rPr>
          <w:color w:val="231F20"/>
        </w:rPr>
        <w:t>сигналним</w:t>
      </w:r>
      <w:r>
        <w:rPr>
          <w:color w:val="231F20"/>
          <w:spacing w:val="-8"/>
        </w:rPr>
        <w:t> </w:t>
      </w:r>
      <w:r>
        <w:rPr>
          <w:color w:val="231F20"/>
        </w:rPr>
        <w:t>осветљењем, унутрашњим лифтом </w:t>
      </w:r>
      <w:r>
        <w:rPr>
          <w:color w:val="231F20"/>
          <w:spacing w:val="-3"/>
        </w:rPr>
        <w:t>који </w:t>
      </w:r>
      <w:r>
        <w:rPr>
          <w:color w:val="231F20"/>
        </w:rPr>
        <w:t>је такође смештен у простору унутар омотача димњака, унутрашњим осветљењем, спољним платфор- мама,</w:t>
      </w:r>
      <w:r>
        <w:rPr>
          <w:color w:val="231F20"/>
          <w:spacing w:val="-9"/>
        </w:rPr>
        <w:t> </w:t>
      </w:r>
      <w:r>
        <w:rPr>
          <w:color w:val="231F20"/>
        </w:rPr>
        <w:t>громобранском</w:t>
      </w:r>
      <w:r>
        <w:rPr>
          <w:color w:val="231F20"/>
          <w:spacing w:val="-9"/>
        </w:rPr>
        <w:t> </w:t>
      </w:r>
      <w:r>
        <w:rPr>
          <w:color w:val="231F20"/>
        </w:rPr>
        <w:t>заштитом,</w:t>
      </w:r>
      <w:r>
        <w:rPr>
          <w:color w:val="231F20"/>
          <w:spacing w:val="-9"/>
        </w:rPr>
        <w:t> </w:t>
      </w:r>
      <w:r>
        <w:rPr>
          <w:color w:val="231F20"/>
        </w:rPr>
        <w:t>системом</w:t>
      </w:r>
      <w:r>
        <w:rPr>
          <w:color w:val="231F20"/>
          <w:spacing w:val="-9"/>
        </w:rPr>
        <w:t> </w:t>
      </w:r>
      <w:r>
        <w:rPr>
          <w:color w:val="231F20"/>
        </w:rPr>
        <w:t>за</w:t>
      </w:r>
      <w:r>
        <w:rPr>
          <w:color w:val="231F20"/>
          <w:spacing w:val="-9"/>
        </w:rPr>
        <w:t> </w:t>
      </w:r>
      <w:r>
        <w:rPr>
          <w:color w:val="231F20"/>
        </w:rPr>
        <w:t>континуално</w:t>
      </w:r>
      <w:r>
        <w:rPr>
          <w:color w:val="231F20"/>
          <w:spacing w:val="-9"/>
        </w:rPr>
        <w:t> </w:t>
      </w:r>
      <w:r>
        <w:rPr>
          <w:color w:val="231F20"/>
        </w:rPr>
        <w:t>мерење емисија, као и дренажним системом. </w:t>
      </w:r>
      <w:r>
        <w:rPr>
          <w:color w:val="231F20"/>
          <w:spacing w:val="-5"/>
        </w:rPr>
        <w:t>Улазне </w:t>
      </w:r>
      <w:r>
        <w:rPr>
          <w:color w:val="231F20"/>
        </w:rPr>
        <w:t>секције димних цеви налазе се на висини </w:t>
      </w:r>
      <w:r>
        <w:rPr>
          <w:color w:val="231F20"/>
          <w:spacing w:val="-3"/>
        </w:rPr>
        <w:t>од </w:t>
      </w:r>
      <w:r>
        <w:rPr>
          <w:color w:val="231F20"/>
        </w:rPr>
        <w:t>47</w:t>
      </w:r>
      <w:r>
        <w:rPr>
          <w:color w:val="231F20"/>
          <w:spacing w:val="-1"/>
        </w:rPr>
        <w:t> </w:t>
      </w:r>
      <w:r>
        <w:rPr>
          <w:color w:val="231F20"/>
        </w:rPr>
        <w:t>m.</w:t>
      </w:r>
    </w:p>
    <w:p>
      <w:pPr>
        <w:pStyle w:val="BodyText"/>
        <w:spacing w:line="235" w:lineRule="auto" w:before="1"/>
        <w:ind w:left="244" w:right="124" w:firstLine="396"/>
      </w:pPr>
      <w:r>
        <w:rPr>
          <w:color w:val="231F20"/>
        </w:rPr>
        <w:t>Постројење за млевење кречњака биће смештено у северо- источном делу комплекса, северно од новог влажног димњака и североисточно од постројења за угушћење суспензије гипса. У згради постројења биће смештена три затворена система хоризон- талних кугличних млинова и припадајућа транспортна опрема и дневни силоси.</w:t>
      </w:r>
    </w:p>
    <w:p>
      <w:pPr>
        <w:pStyle w:val="BodyText"/>
        <w:spacing w:line="235" w:lineRule="auto" w:before="2"/>
        <w:ind w:left="244" w:right="124" w:firstLine="396"/>
      </w:pPr>
      <w:r>
        <w:rPr>
          <w:color w:val="231F20"/>
        </w:rPr>
        <w:t>Постројење за угушћење суспензије гипса смештено је севе- розападно од новог влажног димњака.</w:t>
      </w:r>
    </w:p>
    <w:p>
      <w:pPr>
        <w:pStyle w:val="BodyText"/>
        <w:spacing w:line="235" w:lineRule="auto"/>
        <w:ind w:left="244" w:right="124" w:firstLine="396"/>
      </w:pPr>
      <w:r>
        <w:rPr>
          <w:color w:val="231F20"/>
        </w:rPr>
        <w:t>Постројење је троспратно, са четвртим  полуспратом.  Пр- ви спрат представља привремено складиште гипса за производну гипсану</w:t>
      </w:r>
      <w:r>
        <w:rPr>
          <w:color w:val="231F20"/>
          <w:spacing w:val="-1"/>
        </w:rPr>
        <w:t> </w:t>
      </w:r>
      <w:r>
        <w:rPr>
          <w:color w:val="231F20"/>
          <w:spacing w:val="-5"/>
        </w:rPr>
        <w:t>масу.</w:t>
      </w:r>
    </w:p>
    <w:p>
      <w:pPr>
        <w:pStyle w:val="BodyText"/>
        <w:spacing w:line="235" w:lineRule="auto" w:before="1"/>
        <w:ind w:left="244" w:right="124" w:firstLine="397"/>
      </w:pPr>
      <w:r>
        <w:rPr>
          <w:color w:val="231F20"/>
        </w:rPr>
        <w:t>Резервоар суспензије гипса, резервоар филтрата, као и ре- зервоари отпадних и преливних вода налазе се североисточно </w:t>
      </w:r>
      <w:r>
        <w:rPr>
          <w:color w:val="231F20"/>
          <w:spacing w:val="-3"/>
        </w:rPr>
        <w:t>од </w:t>
      </w:r>
      <w:r>
        <w:rPr>
          <w:color w:val="231F20"/>
        </w:rPr>
        <w:t>постројења за угушћење суспензије гипса. Резервоар суспензије гипса, резервоар филтрата и резервоар отпадних вода формира-  ју тзв. први ред резервоара у североисточном делу постројења за угушћење суспензије, док је резервоар преливних вода северои- сточно </w:t>
      </w:r>
      <w:r>
        <w:rPr>
          <w:color w:val="231F20"/>
          <w:spacing w:val="-3"/>
        </w:rPr>
        <w:t>од </w:t>
      </w:r>
      <w:r>
        <w:rPr>
          <w:color w:val="231F20"/>
        </w:rPr>
        <w:t>претходно</w:t>
      </w:r>
      <w:r>
        <w:rPr>
          <w:color w:val="231F20"/>
          <w:spacing w:val="-1"/>
        </w:rPr>
        <w:t> </w:t>
      </w:r>
      <w:r>
        <w:rPr>
          <w:color w:val="231F20"/>
        </w:rPr>
        <w:t>поменутих.</w:t>
      </w:r>
    </w:p>
    <w:p>
      <w:pPr>
        <w:pStyle w:val="BodyText"/>
        <w:spacing w:line="235" w:lineRule="auto" w:before="1"/>
        <w:ind w:left="243" w:right="125" w:firstLine="397"/>
      </w:pPr>
      <w:r>
        <w:rPr>
          <w:color w:val="231F20"/>
        </w:rPr>
        <w:t>Хидроциклонска група отпадних вода налази се изнад резер- воара отпадних вода.</w:t>
      </w:r>
    </w:p>
    <w:p>
      <w:pPr>
        <w:pStyle w:val="BodyText"/>
        <w:spacing w:line="235" w:lineRule="auto"/>
        <w:ind w:left="243" w:right="125" w:firstLine="396"/>
      </w:pPr>
      <w:r>
        <w:rPr>
          <w:color w:val="231F20"/>
        </w:rPr>
        <w:t>Сва четири базена опремљена су агитаторима </w:t>
      </w:r>
      <w:r>
        <w:rPr>
          <w:color w:val="231F20"/>
          <w:spacing w:val="-3"/>
        </w:rPr>
        <w:t>којима </w:t>
      </w:r>
      <w:r>
        <w:rPr>
          <w:color w:val="231F20"/>
        </w:rPr>
        <w:t>се обез- беђује непрекидно мешање њиховог садржаја.</w:t>
      </w:r>
    </w:p>
    <w:p>
      <w:pPr>
        <w:pStyle w:val="BodyText"/>
        <w:spacing w:line="225" w:lineRule="auto" w:before="7"/>
        <w:ind w:left="243" w:right="125" w:firstLine="397"/>
      </w:pPr>
      <w:r>
        <w:rPr>
          <w:color w:val="231F20"/>
        </w:rPr>
        <w:t>Резервоар суспензије гипса, резервоар филтрата и резервоар отпадних</w:t>
      </w:r>
      <w:r>
        <w:rPr>
          <w:color w:val="231F20"/>
          <w:spacing w:val="-6"/>
        </w:rPr>
        <w:t> </w:t>
      </w:r>
      <w:r>
        <w:rPr>
          <w:color w:val="231F20"/>
        </w:rPr>
        <w:t>вода</w:t>
      </w:r>
      <w:r>
        <w:rPr>
          <w:color w:val="231F20"/>
          <w:spacing w:val="-6"/>
        </w:rPr>
        <w:t> </w:t>
      </w:r>
      <w:r>
        <w:rPr>
          <w:color w:val="231F20"/>
        </w:rPr>
        <w:t>имају</w:t>
      </w:r>
      <w:r>
        <w:rPr>
          <w:color w:val="231F20"/>
          <w:spacing w:val="-6"/>
        </w:rPr>
        <w:t> </w:t>
      </w:r>
      <w:r>
        <w:rPr>
          <w:color w:val="231F20"/>
        </w:rPr>
        <w:t>капацитет</w:t>
      </w:r>
      <w:r>
        <w:rPr>
          <w:color w:val="231F20"/>
          <w:spacing w:val="-6"/>
        </w:rPr>
        <w:t> </w:t>
      </w:r>
      <w:r>
        <w:rPr>
          <w:color w:val="231F20"/>
        </w:rPr>
        <w:t>1000</w:t>
      </w:r>
      <w:r>
        <w:rPr>
          <w:color w:val="231F20"/>
          <w:spacing w:val="-6"/>
        </w:rPr>
        <w:t> </w:t>
      </w:r>
      <w:r>
        <w:rPr>
          <w:color w:val="231F20"/>
        </w:rPr>
        <w:t>m</w:t>
      </w:r>
      <w:r>
        <w:rPr>
          <w:color w:val="231F20"/>
          <w:position w:val="7"/>
          <w:sz w:val="10"/>
        </w:rPr>
        <w:t>3</w:t>
      </w:r>
      <w:r>
        <w:rPr>
          <w:color w:val="231F20"/>
          <w:position w:val="1"/>
        </w:rPr>
        <w:t>,</w:t>
      </w:r>
      <w:r>
        <w:rPr>
          <w:color w:val="231F20"/>
          <w:spacing w:val="-6"/>
          <w:position w:val="1"/>
        </w:rPr>
        <w:t> </w:t>
      </w:r>
      <w:r>
        <w:rPr>
          <w:color w:val="231F20"/>
          <w:position w:val="1"/>
        </w:rPr>
        <w:t>пречник</w:t>
      </w:r>
      <w:r>
        <w:rPr>
          <w:color w:val="231F20"/>
          <w:spacing w:val="-6"/>
          <w:position w:val="1"/>
        </w:rPr>
        <w:t> </w:t>
      </w:r>
      <w:r>
        <w:rPr>
          <w:color w:val="231F20"/>
          <w:position w:val="1"/>
        </w:rPr>
        <w:t>10</w:t>
      </w:r>
      <w:r>
        <w:rPr>
          <w:color w:val="231F20"/>
          <w:spacing w:val="-6"/>
          <w:position w:val="1"/>
        </w:rPr>
        <w:t> </w:t>
      </w:r>
      <w:r>
        <w:rPr>
          <w:color w:val="231F20"/>
          <w:position w:val="1"/>
        </w:rPr>
        <w:t>m</w:t>
      </w:r>
      <w:r>
        <w:rPr>
          <w:color w:val="231F20"/>
          <w:spacing w:val="-6"/>
          <w:position w:val="1"/>
        </w:rPr>
        <w:t> </w:t>
      </w:r>
      <w:r>
        <w:rPr>
          <w:color w:val="231F20"/>
          <w:position w:val="1"/>
        </w:rPr>
        <w:t>и</w:t>
      </w:r>
      <w:r>
        <w:rPr>
          <w:color w:val="231F20"/>
          <w:spacing w:val="-6"/>
          <w:position w:val="1"/>
        </w:rPr>
        <w:t> </w:t>
      </w:r>
      <w:r>
        <w:rPr>
          <w:color w:val="231F20"/>
          <w:position w:val="1"/>
        </w:rPr>
        <w:t>висину</w:t>
      </w:r>
      <w:r>
        <w:rPr>
          <w:color w:val="231F20"/>
          <w:spacing w:val="-6"/>
          <w:position w:val="1"/>
        </w:rPr>
        <w:t> </w:t>
      </w:r>
      <w:r>
        <w:rPr>
          <w:color w:val="231F20"/>
          <w:position w:val="1"/>
        </w:rPr>
        <w:t>13</w:t>
      </w:r>
    </w:p>
    <w:p>
      <w:pPr>
        <w:pStyle w:val="BodyText"/>
        <w:spacing w:line="235" w:lineRule="auto"/>
        <w:ind w:left="241" w:right="88"/>
        <w:jc w:val="left"/>
      </w:pPr>
      <w:r>
        <w:rPr>
          <w:color w:val="231F20"/>
        </w:rPr>
        <w:t>m. Запремина резервоара преливних вода износи 600 m</w:t>
      </w:r>
      <w:r>
        <w:rPr>
          <w:color w:val="231F20"/>
          <w:position w:val="6"/>
          <w:sz w:val="10"/>
        </w:rPr>
        <w:t>3</w:t>
      </w:r>
      <w:r>
        <w:rPr>
          <w:color w:val="231F20"/>
        </w:rPr>
        <w:t>, пречник је 8 m и висина 13 m.</w:t>
      </w:r>
    </w:p>
    <w:p>
      <w:pPr>
        <w:pStyle w:val="BodyText"/>
        <w:spacing w:line="235" w:lineRule="auto"/>
        <w:ind w:left="240" w:right="127" w:firstLine="397"/>
      </w:pPr>
      <w:r>
        <w:rPr>
          <w:color w:val="231F20"/>
        </w:rPr>
        <w:t>Општи мерно-управљачко захтеви постројења за одсумпора- вање везани су за стартовање, нормалан рад и гашење, како самог постројења, тако и свих припадајућих подсистема, у командној сали ОДГ постројења и од стране обученог особља које у сваком тренутку укључује једног водећег и једног мобилног оператера.</w:t>
      </w:r>
    </w:p>
    <w:p>
      <w:pPr>
        <w:spacing w:after="0" w:line="235" w:lineRule="auto"/>
        <w:sectPr>
          <w:pgSz w:w="12480" w:h="15690"/>
          <w:pgMar w:top="120" w:bottom="280" w:left="680" w:right="720"/>
          <w:cols w:num="2" w:equalWidth="0">
            <w:col w:w="5559" w:space="40"/>
            <w:col w:w="5481"/>
          </w:cols>
        </w:sectPr>
      </w:pPr>
    </w:p>
    <w:p>
      <w:pPr>
        <w:pStyle w:val="BodyText"/>
        <w:spacing w:line="230" w:lineRule="auto" w:before="74"/>
        <w:ind w:left="144" w:right="40" w:firstLine="396"/>
        <w:jc w:val="right"/>
      </w:pPr>
      <w:r>
        <w:rPr/>
        <w:pict>
          <v:line style="position:absolute;mso-position-horizontal-relative:page;mso-position-vertical-relative:page;z-index:4312" from="304.724396pt,11.942451pt" to="304.724396pt,748.950451pt" stroked="true" strokeweight=".6pt" strokecolor="#231f20">
            <v:stroke dashstyle="solid"/>
            <w10:wrap type="none"/>
          </v:line>
        </w:pict>
      </w:r>
      <w:r>
        <w:rPr>
          <w:color w:val="231F20"/>
          <w:spacing w:val="-3"/>
        </w:rPr>
        <w:t>Контролни </w:t>
      </w:r>
      <w:r>
        <w:rPr>
          <w:color w:val="231F20"/>
        </w:rPr>
        <w:t>систем биће заснован на технологији дистрибуи- раног </w:t>
      </w:r>
      <w:r>
        <w:rPr>
          <w:color w:val="231F20"/>
          <w:spacing w:val="-3"/>
        </w:rPr>
        <w:t>управљачког </w:t>
      </w:r>
      <w:r>
        <w:rPr>
          <w:color w:val="231F20"/>
        </w:rPr>
        <w:t>система кроз примену технологије </w:t>
      </w:r>
      <w:r>
        <w:rPr>
          <w:color w:val="231F20"/>
          <w:spacing w:val="-3"/>
        </w:rPr>
        <w:t>редудантног</w:t>
      </w:r>
      <w:r>
        <w:rPr>
          <w:color w:val="231F20"/>
        </w:rPr>
        <w:t> микропроцесора са редундантним </w:t>
      </w:r>
      <w:r>
        <w:rPr>
          <w:color w:val="231F20"/>
          <w:spacing w:val="-3"/>
        </w:rPr>
        <w:t>комуникацијама </w:t>
      </w:r>
      <w:r>
        <w:rPr>
          <w:color w:val="231F20"/>
          <w:spacing w:val="-2"/>
        </w:rPr>
        <w:t>велике </w:t>
      </w:r>
      <w:r>
        <w:rPr>
          <w:color w:val="231F20"/>
        </w:rPr>
        <w:t>брзине и толерантним на кварове, као и више екранским интерфејсом са оператером. Програмабилни логички </w:t>
      </w:r>
      <w:r>
        <w:rPr>
          <w:color w:val="231F20"/>
          <w:spacing w:val="-3"/>
        </w:rPr>
        <w:t>контролери </w:t>
      </w:r>
      <w:r>
        <w:rPr>
          <w:color w:val="231F20"/>
        </w:rPr>
        <w:t>биће </w:t>
      </w:r>
      <w:r>
        <w:rPr>
          <w:color w:val="231F20"/>
          <w:spacing w:val="-2"/>
        </w:rPr>
        <w:t>коришћени</w:t>
      </w:r>
      <w:r>
        <w:rPr>
          <w:color w:val="231F20"/>
        </w:rPr>
        <w:t> само </w:t>
      </w:r>
      <w:r>
        <w:rPr>
          <w:color w:val="231F20"/>
          <w:spacing w:val="-5"/>
        </w:rPr>
        <w:t>уколико </w:t>
      </w:r>
      <w:r>
        <w:rPr>
          <w:color w:val="231F20"/>
        </w:rPr>
        <w:t>је </w:t>
      </w:r>
      <w:r>
        <w:rPr>
          <w:color w:val="231F20"/>
          <w:spacing w:val="-3"/>
        </w:rPr>
        <w:t>њихова </w:t>
      </w:r>
      <w:r>
        <w:rPr>
          <w:color w:val="231F20"/>
        </w:rPr>
        <w:t>употреба оправдана и </w:t>
      </w:r>
      <w:r>
        <w:rPr>
          <w:color w:val="231F20"/>
          <w:spacing w:val="-3"/>
        </w:rPr>
        <w:t>претходно </w:t>
      </w:r>
      <w:r>
        <w:rPr>
          <w:color w:val="231F20"/>
        </w:rPr>
        <w:t>одобрена. </w:t>
      </w:r>
      <w:r>
        <w:rPr>
          <w:color w:val="231F20"/>
          <w:spacing w:val="-3"/>
        </w:rPr>
        <w:t>Пројектно решење </w:t>
      </w:r>
      <w:r>
        <w:rPr>
          <w:color w:val="231F20"/>
          <w:spacing w:val="-5"/>
        </w:rPr>
        <w:t>командне </w:t>
      </w:r>
      <w:r>
        <w:rPr>
          <w:color w:val="231F20"/>
        </w:rPr>
        <w:t>сале по </w:t>
      </w:r>
      <w:r>
        <w:rPr>
          <w:color w:val="231F20"/>
          <w:spacing w:val="-3"/>
        </w:rPr>
        <w:t>критеријуму интерфејса</w:t>
      </w:r>
      <w:r>
        <w:rPr>
          <w:color w:val="231F20"/>
        </w:rPr>
        <w:t> </w:t>
      </w:r>
      <w:r>
        <w:rPr>
          <w:color w:val="231F20"/>
          <w:spacing w:val="-3"/>
        </w:rPr>
        <w:t>система </w:t>
      </w:r>
      <w:r>
        <w:rPr>
          <w:color w:val="231F20"/>
        </w:rPr>
        <w:t>са </w:t>
      </w:r>
      <w:r>
        <w:rPr>
          <w:color w:val="231F20"/>
          <w:spacing w:val="-4"/>
        </w:rPr>
        <w:t>оператером </w:t>
      </w:r>
      <w:r>
        <w:rPr>
          <w:color w:val="231F20"/>
          <w:spacing w:val="-3"/>
        </w:rPr>
        <w:t>предвиђа </w:t>
      </w:r>
      <w:r>
        <w:rPr>
          <w:color w:val="231F20"/>
          <w:spacing w:val="-4"/>
        </w:rPr>
        <w:t>управљачки </w:t>
      </w:r>
      <w:r>
        <w:rPr>
          <w:color w:val="231F20"/>
        </w:rPr>
        <w:t>и </w:t>
      </w:r>
      <w:r>
        <w:rPr>
          <w:color w:val="231F20"/>
          <w:spacing w:val="-4"/>
        </w:rPr>
        <w:t>контролни </w:t>
      </w:r>
      <w:r>
        <w:rPr>
          <w:color w:val="231F20"/>
          <w:spacing w:val="-3"/>
        </w:rPr>
        <w:t>систем </w:t>
      </w:r>
      <w:r>
        <w:rPr>
          <w:color w:val="231F20"/>
        </w:rPr>
        <w:t>ба-</w:t>
      </w:r>
    </w:p>
    <w:p>
      <w:pPr>
        <w:pStyle w:val="BodyText"/>
        <w:spacing w:line="202" w:lineRule="exact"/>
        <w:ind w:left="171"/>
        <w:jc w:val="left"/>
      </w:pPr>
      <w:r>
        <w:rPr>
          <w:color w:val="231F20"/>
        </w:rPr>
        <w:t>зиран на систему екрана, са минималним бројем засебних уређаја.</w:t>
      </w:r>
    </w:p>
    <w:p>
      <w:pPr>
        <w:pStyle w:val="BodyText"/>
        <w:spacing w:line="230" w:lineRule="auto" w:before="3"/>
        <w:ind w:left="171" w:right="40" w:firstLine="396"/>
      </w:pPr>
      <w:r>
        <w:rPr>
          <w:color w:val="231F20"/>
        </w:rPr>
        <w:t>Сви процеси који се одвијају у постројењу биће надзирани и контролисани у циљу одржавања ефикасности уклањања СО2 на захтеваном нивоу и минималног варирања параметара.</w:t>
      </w:r>
    </w:p>
    <w:p>
      <w:pPr>
        <w:pStyle w:val="BodyText"/>
        <w:spacing w:line="230" w:lineRule="auto"/>
        <w:ind w:left="171" w:right="40" w:firstLine="396"/>
      </w:pPr>
      <w:r>
        <w:rPr>
          <w:color w:val="231F20"/>
        </w:rPr>
        <w:t>Напајање мерно-управљачког система биће обезбеђено си- стемом непрекидног напајања односно UPS-ом.</w:t>
      </w:r>
    </w:p>
    <w:p>
      <w:pPr>
        <w:pStyle w:val="BodyText"/>
        <w:spacing w:line="230" w:lineRule="auto"/>
        <w:ind w:left="172" w:right="39" w:firstLine="396"/>
      </w:pPr>
      <w:r>
        <w:rPr>
          <w:color w:val="231F20"/>
          <w:spacing w:val="-3"/>
        </w:rPr>
        <w:t>Главна </w:t>
      </w:r>
      <w:r>
        <w:rPr>
          <w:color w:val="231F20"/>
        </w:rPr>
        <w:t>зграда </w:t>
      </w:r>
      <w:r>
        <w:rPr>
          <w:color w:val="231F20"/>
          <w:spacing w:val="-4"/>
        </w:rPr>
        <w:t>ОДГ </w:t>
      </w:r>
      <w:r>
        <w:rPr>
          <w:color w:val="231F20"/>
        </w:rPr>
        <w:t>система је бетонска грађевина са рамом  и спољним зидовима </w:t>
      </w:r>
      <w:r>
        <w:rPr>
          <w:color w:val="231F20"/>
          <w:spacing w:val="-3"/>
        </w:rPr>
        <w:t>од блокова. </w:t>
      </w:r>
      <w:r>
        <w:rPr>
          <w:color w:val="231F20"/>
        </w:rPr>
        <w:t>Кровна и међуспратна конструк- ција биће </w:t>
      </w:r>
      <w:r>
        <w:rPr>
          <w:color w:val="231F20"/>
          <w:spacing w:val="-3"/>
        </w:rPr>
        <w:t>од </w:t>
      </w:r>
      <w:r>
        <w:rPr>
          <w:color w:val="231F20"/>
        </w:rPr>
        <w:t>армираног бетона. Унутрашњи зидови биће </w:t>
      </w:r>
      <w:r>
        <w:rPr>
          <w:color w:val="231F20"/>
          <w:spacing w:val="-3"/>
        </w:rPr>
        <w:t>од </w:t>
      </w:r>
      <w:r>
        <w:rPr>
          <w:color w:val="231F20"/>
        </w:rPr>
        <w:t>опека и гипс-картонских плоча. </w:t>
      </w:r>
      <w:r>
        <w:rPr>
          <w:color w:val="231F20"/>
          <w:spacing w:val="-3"/>
        </w:rPr>
        <w:t>Главна </w:t>
      </w:r>
      <w:r>
        <w:rPr>
          <w:color w:val="231F20"/>
        </w:rPr>
        <w:t>зграда </w:t>
      </w:r>
      <w:r>
        <w:rPr>
          <w:color w:val="231F20"/>
          <w:spacing w:val="-4"/>
        </w:rPr>
        <w:t>ОДГ </w:t>
      </w:r>
      <w:r>
        <w:rPr>
          <w:color w:val="231F20"/>
        </w:rPr>
        <w:t>система имаће три спрата, на </w:t>
      </w:r>
      <w:r>
        <w:rPr>
          <w:color w:val="231F20"/>
          <w:spacing w:val="-3"/>
        </w:rPr>
        <w:t>којима </w:t>
      </w:r>
      <w:r>
        <w:rPr>
          <w:color w:val="231F20"/>
        </w:rPr>
        <w:t>ће бити смештени електро и мерно-управљачка опрема</w:t>
      </w:r>
      <w:r>
        <w:rPr>
          <w:color w:val="231F20"/>
          <w:spacing w:val="-6"/>
        </w:rPr>
        <w:t> </w:t>
      </w:r>
      <w:r>
        <w:rPr>
          <w:color w:val="231F20"/>
        </w:rPr>
        <w:t>и</w:t>
      </w:r>
      <w:r>
        <w:rPr>
          <w:color w:val="231F20"/>
          <w:spacing w:val="-6"/>
        </w:rPr>
        <w:t> </w:t>
      </w:r>
      <w:r>
        <w:rPr>
          <w:color w:val="231F20"/>
        </w:rPr>
        <w:t>лабораторија,</w:t>
      </w:r>
      <w:r>
        <w:rPr>
          <w:color w:val="231F20"/>
          <w:spacing w:val="-7"/>
        </w:rPr>
        <w:t> </w:t>
      </w:r>
      <w:r>
        <w:rPr>
          <w:color w:val="231F20"/>
        </w:rPr>
        <w:t>и</w:t>
      </w:r>
      <w:r>
        <w:rPr>
          <w:color w:val="231F20"/>
          <w:spacing w:val="-6"/>
        </w:rPr>
        <w:t> </w:t>
      </w:r>
      <w:r>
        <w:rPr>
          <w:color w:val="231F20"/>
        </w:rPr>
        <w:t>пумпну</w:t>
      </w:r>
      <w:r>
        <w:rPr>
          <w:color w:val="231F20"/>
          <w:spacing w:val="-6"/>
        </w:rPr>
        <w:t> </w:t>
      </w:r>
      <w:r>
        <w:rPr>
          <w:color w:val="231F20"/>
        </w:rPr>
        <w:t>станицу</w:t>
      </w:r>
      <w:r>
        <w:rPr>
          <w:color w:val="231F20"/>
          <w:spacing w:val="-6"/>
        </w:rPr>
        <w:t> </w:t>
      </w:r>
      <w:r>
        <w:rPr>
          <w:color w:val="231F20"/>
        </w:rPr>
        <w:t>у</w:t>
      </w:r>
      <w:r>
        <w:rPr>
          <w:color w:val="231F20"/>
          <w:spacing w:val="-6"/>
        </w:rPr>
        <w:t> </w:t>
      </w:r>
      <w:r>
        <w:rPr>
          <w:color w:val="231F20"/>
        </w:rPr>
        <w:t>оквиру</w:t>
      </w:r>
      <w:r>
        <w:rPr>
          <w:color w:val="231F20"/>
          <w:spacing w:val="-6"/>
        </w:rPr>
        <w:t> </w:t>
      </w:r>
      <w:r>
        <w:rPr>
          <w:color w:val="231F20"/>
          <w:spacing w:val="-3"/>
        </w:rPr>
        <w:t>које</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нала- зити </w:t>
      </w:r>
      <w:r>
        <w:rPr>
          <w:color w:val="231F20"/>
          <w:spacing w:val="-3"/>
        </w:rPr>
        <w:t>главне </w:t>
      </w:r>
      <w:r>
        <w:rPr>
          <w:color w:val="231F20"/>
        </w:rPr>
        <w:t>рециркулационе пумпе</w:t>
      </w:r>
      <w:r>
        <w:rPr>
          <w:color w:val="231F20"/>
          <w:spacing w:val="-3"/>
        </w:rPr>
        <w:t> </w:t>
      </w:r>
      <w:r>
        <w:rPr>
          <w:color w:val="231F20"/>
        </w:rPr>
        <w:t>апсорбера.</w:t>
      </w:r>
    </w:p>
    <w:p>
      <w:pPr>
        <w:pStyle w:val="BodyText"/>
        <w:spacing w:line="192" w:lineRule="exact"/>
        <w:ind w:left="569"/>
        <w:jc w:val="left"/>
      </w:pPr>
      <w:r>
        <w:rPr>
          <w:color w:val="231F20"/>
        </w:rPr>
        <w:t>Темељ зграде је плоча пречника 50,0/20,0 m, на коти -3,00 m.</w:t>
      </w:r>
    </w:p>
    <w:p>
      <w:pPr>
        <w:pStyle w:val="BodyText"/>
        <w:spacing w:line="198" w:lineRule="exact"/>
        <w:ind w:left="173"/>
        <w:jc w:val="left"/>
      </w:pPr>
      <w:r>
        <w:rPr>
          <w:color w:val="231F20"/>
        </w:rPr>
        <w:t>Дебљина плоче износи 1,5 m.</w:t>
      </w:r>
    </w:p>
    <w:p>
      <w:pPr>
        <w:pStyle w:val="BodyText"/>
        <w:spacing w:line="230" w:lineRule="auto"/>
        <w:ind w:left="172" w:right="39" w:firstLine="397"/>
      </w:pPr>
      <w:r>
        <w:rPr>
          <w:color w:val="231F20"/>
        </w:rPr>
        <w:t>Резервоар за прихват суспензије у случају нужде биће кру- жна челична грађевина, пречника 15,3 m и висине 20,0 m. Кон- струкционе и техничке спецификације обезбедиће изабрани испо- ручилац резервоара.</w:t>
      </w:r>
    </w:p>
    <w:p>
      <w:pPr>
        <w:pStyle w:val="BodyText"/>
        <w:spacing w:line="230" w:lineRule="auto"/>
        <w:ind w:left="172" w:right="39" w:firstLine="396"/>
      </w:pPr>
      <w:r>
        <w:rPr>
          <w:color w:val="231F20"/>
        </w:rPr>
        <w:t>Темељ је кружна бетонска плоча, на коти -1,50 m, ослоњена на 115 шипова типа Франки, ливених на лицу места и приближне дужине 13,6 m.</w:t>
      </w:r>
    </w:p>
    <w:p>
      <w:pPr>
        <w:pStyle w:val="BodyText"/>
        <w:spacing w:before="159"/>
        <w:ind w:left="1900" w:right="1769"/>
        <w:jc w:val="center"/>
      </w:pPr>
      <w:r>
        <w:rPr>
          <w:color w:val="231F20"/>
        </w:rPr>
        <w:t>Димњак</w:t>
      </w:r>
    </w:p>
    <w:p>
      <w:pPr>
        <w:pStyle w:val="BodyText"/>
        <w:ind w:left="0"/>
        <w:jc w:val="left"/>
        <w:rPr>
          <w:sz w:val="17"/>
        </w:rPr>
      </w:pPr>
    </w:p>
    <w:p>
      <w:pPr>
        <w:pStyle w:val="BodyText"/>
        <w:spacing w:line="230" w:lineRule="auto" w:before="1"/>
        <w:ind w:left="172" w:right="39" w:firstLine="397"/>
      </w:pPr>
      <w:r>
        <w:rPr>
          <w:color w:val="231F20"/>
        </w:rPr>
        <w:t>Нови влажни димњак имаће спољни пречник од 20,0 m, ви- сину 194 m и дебљину омотача од 30 сm. Бетонски омотач биће изграђен помоћу клизне оплате, коришћењем бетонског микса минималне притисне снаге 32 N/mm² класе C35/45, у складу са Eurocode 2 класификацијом.</w:t>
      </w:r>
    </w:p>
    <w:p>
      <w:pPr>
        <w:pStyle w:val="BodyText"/>
        <w:spacing w:line="230" w:lineRule="auto"/>
        <w:ind w:left="173" w:right="38" w:firstLine="396"/>
      </w:pPr>
      <w:r>
        <w:rPr>
          <w:color w:val="231F20"/>
        </w:rPr>
        <w:t>Зграда постројења за млевење кречњака биће армирано бе- тонска грађевина димензија 24 x 35 m, са челичним кровним ре- шеткастим</w:t>
      </w:r>
      <w:r>
        <w:rPr>
          <w:color w:val="231F20"/>
          <w:spacing w:val="-11"/>
        </w:rPr>
        <w:t> </w:t>
      </w:r>
      <w:r>
        <w:rPr>
          <w:color w:val="231F20"/>
        </w:rPr>
        <w:t>носачима,</w:t>
      </w:r>
      <w:r>
        <w:rPr>
          <w:color w:val="231F20"/>
          <w:spacing w:val="-10"/>
        </w:rPr>
        <w:t> </w:t>
      </w:r>
      <w:r>
        <w:rPr>
          <w:color w:val="231F20"/>
        </w:rPr>
        <w:t>рожњачама</w:t>
      </w:r>
      <w:r>
        <w:rPr>
          <w:color w:val="231F20"/>
          <w:spacing w:val="-10"/>
        </w:rPr>
        <w:t> </w:t>
      </w:r>
      <w:r>
        <w:rPr>
          <w:color w:val="231F20"/>
        </w:rPr>
        <w:t>и</w:t>
      </w:r>
      <w:r>
        <w:rPr>
          <w:color w:val="231F20"/>
          <w:spacing w:val="-10"/>
        </w:rPr>
        <w:t> </w:t>
      </w:r>
      <w:r>
        <w:rPr>
          <w:color w:val="231F20"/>
        </w:rPr>
        <w:t>дијагоналним</w:t>
      </w:r>
      <w:r>
        <w:rPr>
          <w:color w:val="231F20"/>
          <w:spacing w:val="-10"/>
        </w:rPr>
        <w:t> </w:t>
      </w:r>
      <w:r>
        <w:rPr>
          <w:color w:val="231F20"/>
        </w:rPr>
        <w:t>везама.</w:t>
      </w:r>
      <w:r>
        <w:rPr>
          <w:color w:val="231F20"/>
          <w:spacing w:val="-10"/>
        </w:rPr>
        <w:t> </w:t>
      </w:r>
      <w:r>
        <w:rPr>
          <w:color w:val="231F20"/>
        </w:rPr>
        <w:t>Зидови</w:t>
      </w:r>
      <w:r>
        <w:rPr>
          <w:color w:val="231F20"/>
          <w:spacing w:val="-10"/>
        </w:rPr>
        <w:t> </w:t>
      </w:r>
      <w:r>
        <w:rPr>
          <w:color w:val="231F20"/>
        </w:rPr>
        <w:t>и кров ће бити образовани </w:t>
      </w:r>
      <w:r>
        <w:rPr>
          <w:color w:val="231F20"/>
          <w:spacing w:val="-3"/>
        </w:rPr>
        <w:t>од </w:t>
      </w:r>
      <w:r>
        <w:rPr>
          <w:color w:val="231F20"/>
        </w:rPr>
        <w:t>композитних, термоизолованих обло- га. Зграда постројења за млевење састојаће се из два </w:t>
      </w:r>
      <w:r>
        <w:rPr>
          <w:color w:val="231F20"/>
          <w:spacing w:val="-3"/>
        </w:rPr>
        <w:t>главна </w:t>
      </w:r>
      <w:r>
        <w:rPr>
          <w:color w:val="231F20"/>
        </w:rPr>
        <w:t>дела: млинске хале димензија 16 x 30 m и носеће конструкције склади- шних силоса</w:t>
      </w:r>
      <w:r>
        <w:rPr>
          <w:color w:val="231F20"/>
          <w:spacing w:val="-2"/>
        </w:rPr>
        <w:t> </w:t>
      </w:r>
      <w:r>
        <w:rPr>
          <w:color w:val="231F20"/>
        </w:rPr>
        <w:t>кречњака.</w:t>
      </w:r>
    </w:p>
    <w:p>
      <w:pPr>
        <w:pStyle w:val="BodyText"/>
        <w:spacing w:line="230" w:lineRule="auto"/>
        <w:ind w:left="173" w:right="38" w:firstLine="396"/>
      </w:pPr>
      <w:r>
        <w:rPr>
          <w:color w:val="231F20"/>
        </w:rPr>
        <w:t>У млинској хали биће смештена три куглична млина за вла- жно млевење кречњака и покретна мосна дизалица носивости 15 тона. Услед носеће конструкције силоса кречњака, врх силоса би- ће на висини од 22 m, а носећа конструкција формирана као си- стем армиранобетонских стубова и челичних разупирача.</w:t>
      </w:r>
    </w:p>
    <w:p>
      <w:pPr>
        <w:pStyle w:val="BodyText"/>
        <w:spacing w:line="230" w:lineRule="auto"/>
        <w:ind w:left="174" w:right="38" w:firstLine="396"/>
      </w:pPr>
      <w:r>
        <w:rPr>
          <w:color w:val="231F20"/>
        </w:rPr>
        <w:t>Темељ зграде је пречника 3,0/3,0 m, постављен на на коти - 2,0 m. Дебљина темеља износи 1,4 m.</w:t>
      </w:r>
    </w:p>
    <w:p>
      <w:pPr>
        <w:pStyle w:val="BodyText"/>
        <w:spacing w:line="230" w:lineRule="auto"/>
        <w:ind w:left="174" w:right="38" w:firstLine="396"/>
      </w:pPr>
      <w:r>
        <w:rPr>
          <w:color w:val="231F20"/>
        </w:rPr>
        <w:t>Складишни резервоар суспензије кречњака биће кружна че- лична грађевина, пречника 9,0 m и висине 13,0 m. Конструкционе и техничке спецификације резервоара обезбедиће изабрани испо- ручилац резервоара.</w:t>
      </w:r>
    </w:p>
    <w:p>
      <w:pPr>
        <w:pStyle w:val="BodyText"/>
        <w:spacing w:line="230" w:lineRule="auto"/>
        <w:ind w:left="174" w:right="38" w:firstLine="397"/>
      </w:pPr>
      <w:r>
        <w:rPr>
          <w:color w:val="231F20"/>
        </w:rPr>
        <w:t>Темељ резервоара је кружна бетонска плоча пречника 12,0</w:t>
      </w:r>
      <w:r>
        <w:rPr>
          <w:color w:val="231F20"/>
          <w:spacing w:val="-19"/>
        </w:rPr>
        <w:t> </w:t>
      </w:r>
      <w:r>
        <w:rPr>
          <w:color w:val="231F20"/>
        </w:rPr>
        <w:t>m и дебљине 0,8 m, постављена на </w:t>
      </w:r>
      <w:r>
        <w:rPr>
          <w:color w:val="231F20"/>
          <w:spacing w:val="-4"/>
        </w:rPr>
        <w:t>коти </w:t>
      </w:r>
      <w:r>
        <w:rPr>
          <w:color w:val="231F20"/>
        </w:rPr>
        <w:t>– 2,00 m. </w:t>
      </w:r>
      <w:r>
        <w:rPr>
          <w:color w:val="231F20"/>
          <w:spacing w:val="-3"/>
        </w:rPr>
        <w:t>Уздигнут </w:t>
      </w:r>
      <w:r>
        <w:rPr>
          <w:color w:val="231F20"/>
        </w:rPr>
        <w:t>зид ви- сине 1,2 m носи анкерске завртње и обезбеђује ослањање зидова резервоара. Унутрашњост запремине уздигнутог зида испуњена</w:t>
      </w:r>
      <w:r>
        <w:rPr>
          <w:color w:val="231F20"/>
          <w:spacing w:val="-23"/>
        </w:rPr>
        <w:t> </w:t>
      </w:r>
      <w:r>
        <w:rPr>
          <w:color w:val="231F20"/>
        </w:rPr>
        <w:t>је набијеним песком. Врх испуне заптивен је слојем бетона дебљине 0,10 -0,15</w:t>
      </w:r>
      <w:r>
        <w:rPr>
          <w:color w:val="231F20"/>
          <w:spacing w:val="-1"/>
        </w:rPr>
        <w:t> </w:t>
      </w:r>
      <w:r>
        <w:rPr>
          <w:color w:val="231F20"/>
        </w:rPr>
        <w:t>m.</w:t>
      </w:r>
    </w:p>
    <w:p>
      <w:pPr>
        <w:pStyle w:val="BodyText"/>
        <w:spacing w:before="148"/>
        <w:ind w:left="1771"/>
        <w:jc w:val="left"/>
      </w:pPr>
      <w:r>
        <w:rPr>
          <w:color w:val="231F20"/>
        </w:rPr>
        <w:t>Резервоар процесне воде</w:t>
      </w:r>
    </w:p>
    <w:p>
      <w:pPr>
        <w:pStyle w:val="BodyText"/>
        <w:ind w:left="0"/>
        <w:jc w:val="left"/>
        <w:rPr>
          <w:sz w:val="17"/>
        </w:rPr>
      </w:pPr>
    </w:p>
    <w:p>
      <w:pPr>
        <w:pStyle w:val="BodyText"/>
        <w:spacing w:line="230" w:lineRule="auto"/>
        <w:ind w:left="173" w:right="38" w:firstLine="397"/>
      </w:pPr>
      <w:r>
        <w:rPr>
          <w:color w:val="231F20"/>
        </w:rPr>
        <w:t>Резервоар процесне воде биће кружна челична грађевина, пречника 10,0 m и висине 13,0 m. Конструкционе и техничке спе- цификације резервоара обезбедиће изабрани испоручилац резер- воара.</w:t>
      </w:r>
    </w:p>
    <w:p>
      <w:pPr>
        <w:pStyle w:val="BodyText"/>
        <w:spacing w:line="230" w:lineRule="auto"/>
        <w:ind w:left="173" w:right="38" w:firstLine="397"/>
      </w:pPr>
      <w:r>
        <w:rPr>
          <w:color w:val="231F20"/>
        </w:rPr>
        <w:t>Темељ резервоара је кружна бетонска плоча пречника 13,0</w:t>
      </w:r>
      <w:r>
        <w:rPr>
          <w:color w:val="231F20"/>
          <w:spacing w:val="-19"/>
        </w:rPr>
        <w:t> </w:t>
      </w:r>
      <w:r>
        <w:rPr>
          <w:color w:val="231F20"/>
        </w:rPr>
        <w:t>m и дебљине 0,8 m, постављена на </w:t>
      </w:r>
      <w:r>
        <w:rPr>
          <w:color w:val="231F20"/>
          <w:spacing w:val="-4"/>
        </w:rPr>
        <w:t>коти </w:t>
      </w:r>
      <w:r>
        <w:rPr>
          <w:color w:val="231F20"/>
        </w:rPr>
        <w:t>- 2,00 m. </w:t>
      </w:r>
      <w:r>
        <w:rPr>
          <w:color w:val="231F20"/>
          <w:spacing w:val="-3"/>
        </w:rPr>
        <w:t>Уздигнут </w:t>
      </w:r>
      <w:r>
        <w:rPr>
          <w:color w:val="231F20"/>
        </w:rPr>
        <w:t>зид ви- сине 1,2 m носи анкерске завртње и обезбеђује ослањање зидова резервоара. Унутрашњост запремине уздигнутог зида испуњена је набијеним песком. Врх испуне заптивен је слојем бетона дебљине 0,10 - 0,15 m.</w:t>
      </w:r>
    </w:p>
    <w:p>
      <w:pPr>
        <w:pStyle w:val="BodyText"/>
        <w:spacing w:before="71"/>
        <w:ind w:left="1656"/>
        <w:jc w:val="left"/>
      </w:pPr>
      <w:r>
        <w:rPr/>
        <w:br w:type="column"/>
      </w:r>
      <w:r>
        <w:rPr>
          <w:color w:val="231F20"/>
        </w:rPr>
        <w:t>Угушћење суспензије гипса</w:t>
      </w:r>
    </w:p>
    <w:p>
      <w:pPr>
        <w:pStyle w:val="BodyText"/>
        <w:spacing w:before="4"/>
        <w:ind w:left="0"/>
        <w:jc w:val="left"/>
        <w:rPr>
          <w:sz w:val="17"/>
        </w:rPr>
      </w:pPr>
    </w:p>
    <w:p>
      <w:pPr>
        <w:pStyle w:val="BodyText"/>
        <w:spacing w:line="232" w:lineRule="auto"/>
        <w:ind w:right="408" w:firstLine="396"/>
      </w:pPr>
      <w:r>
        <w:rPr>
          <w:color w:val="231F20"/>
        </w:rPr>
        <w:t>Зграда постројења за угушћење суспензије гипса биће бе- тонска конструкција димензија 27x30x31 m. Конструкција зграде ослањаће</w:t>
      </w:r>
      <w:r>
        <w:rPr>
          <w:color w:val="231F20"/>
          <w:spacing w:val="-4"/>
        </w:rPr>
        <w:t> </w:t>
      </w:r>
      <w:r>
        <w:rPr>
          <w:color w:val="231F20"/>
        </w:rPr>
        <w:t>се</w:t>
      </w:r>
      <w:r>
        <w:rPr>
          <w:color w:val="231F20"/>
          <w:spacing w:val="-4"/>
        </w:rPr>
        <w:t> </w:t>
      </w:r>
      <w:r>
        <w:rPr>
          <w:color w:val="231F20"/>
        </w:rPr>
        <w:t>на</w:t>
      </w:r>
      <w:r>
        <w:rPr>
          <w:color w:val="231F20"/>
          <w:spacing w:val="-4"/>
        </w:rPr>
        <w:t> </w:t>
      </w:r>
      <w:r>
        <w:rPr>
          <w:color w:val="231F20"/>
        </w:rPr>
        <w:t>носеће</w:t>
      </w:r>
      <w:r>
        <w:rPr>
          <w:color w:val="231F20"/>
          <w:spacing w:val="-4"/>
        </w:rPr>
        <w:t> </w:t>
      </w:r>
      <w:r>
        <w:rPr>
          <w:color w:val="231F20"/>
        </w:rPr>
        <w:t>стубове</w:t>
      </w:r>
      <w:r>
        <w:rPr>
          <w:color w:val="231F20"/>
          <w:spacing w:val="-4"/>
        </w:rPr>
        <w:t> </w:t>
      </w:r>
      <w:r>
        <w:rPr>
          <w:color w:val="231F20"/>
        </w:rPr>
        <w:t>и</w:t>
      </w:r>
      <w:r>
        <w:rPr>
          <w:color w:val="231F20"/>
          <w:spacing w:val="-4"/>
        </w:rPr>
        <w:t> </w:t>
      </w:r>
      <w:r>
        <w:rPr>
          <w:color w:val="231F20"/>
        </w:rPr>
        <w:t>греде,</w:t>
      </w:r>
      <w:r>
        <w:rPr>
          <w:color w:val="231F20"/>
          <w:spacing w:val="-4"/>
        </w:rPr>
        <w:t> </w:t>
      </w:r>
      <w:r>
        <w:rPr>
          <w:color w:val="231F20"/>
        </w:rPr>
        <w:t>док</w:t>
      </w:r>
      <w:r>
        <w:rPr>
          <w:color w:val="231F20"/>
          <w:spacing w:val="-4"/>
        </w:rPr>
        <w:t> </w:t>
      </w:r>
      <w:r>
        <w:rPr>
          <w:color w:val="231F20"/>
        </w:rPr>
        <w:t>ће</w:t>
      </w:r>
      <w:r>
        <w:rPr>
          <w:color w:val="231F20"/>
          <w:spacing w:val="-4"/>
        </w:rPr>
        <w:t> </w:t>
      </w:r>
      <w:r>
        <w:rPr>
          <w:color w:val="231F20"/>
        </w:rPr>
        <w:t>зидови</w:t>
      </w:r>
      <w:r>
        <w:rPr>
          <w:color w:val="231F20"/>
          <w:spacing w:val="-4"/>
        </w:rPr>
        <w:t> </w:t>
      </w:r>
      <w:r>
        <w:rPr>
          <w:color w:val="231F20"/>
        </w:rPr>
        <w:t>бити</w:t>
      </w:r>
      <w:r>
        <w:rPr>
          <w:color w:val="231F20"/>
          <w:spacing w:val="-4"/>
        </w:rPr>
        <w:t> </w:t>
      </w:r>
      <w:r>
        <w:rPr>
          <w:color w:val="231F20"/>
        </w:rPr>
        <w:t>форми- рани </w:t>
      </w:r>
      <w:r>
        <w:rPr>
          <w:color w:val="231F20"/>
          <w:spacing w:val="-3"/>
        </w:rPr>
        <w:t>од блокова, </w:t>
      </w:r>
      <w:r>
        <w:rPr>
          <w:color w:val="231F20"/>
        </w:rPr>
        <w:t>а кров </w:t>
      </w:r>
      <w:r>
        <w:rPr>
          <w:color w:val="231F20"/>
          <w:spacing w:val="-3"/>
        </w:rPr>
        <w:t>од </w:t>
      </w:r>
      <w:r>
        <w:rPr>
          <w:color w:val="231F20"/>
        </w:rPr>
        <w:t>монтажних бетонских</w:t>
      </w:r>
      <w:r>
        <w:rPr>
          <w:color w:val="231F20"/>
          <w:spacing w:val="5"/>
        </w:rPr>
        <w:t> </w:t>
      </w:r>
      <w:r>
        <w:rPr>
          <w:color w:val="231F20"/>
        </w:rPr>
        <w:t>панела.</w:t>
      </w:r>
    </w:p>
    <w:p>
      <w:pPr>
        <w:pStyle w:val="BodyText"/>
        <w:spacing w:before="164"/>
        <w:ind w:left="1688"/>
        <w:jc w:val="left"/>
      </w:pPr>
      <w:r>
        <w:rPr>
          <w:color w:val="231F20"/>
        </w:rPr>
        <w:t>Резервоар филтратске воде</w:t>
      </w:r>
    </w:p>
    <w:p>
      <w:pPr>
        <w:pStyle w:val="BodyText"/>
        <w:spacing w:before="4"/>
        <w:ind w:left="0"/>
        <w:jc w:val="left"/>
        <w:rPr>
          <w:sz w:val="17"/>
        </w:rPr>
      </w:pPr>
    </w:p>
    <w:p>
      <w:pPr>
        <w:pStyle w:val="BodyText"/>
        <w:spacing w:line="232" w:lineRule="auto"/>
        <w:ind w:right="408" w:firstLine="397"/>
      </w:pPr>
      <w:r>
        <w:rPr>
          <w:color w:val="231F20"/>
        </w:rPr>
        <w:t>Резервоар филтратске воде биће челична конструкција кру- жног облика, пречника 8,0 m и висине 12,0 m. Конструкционе и техничке спецификације обезбедиће испоручилац резервоара.</w:t>
      </w:r>
    </w:p>
    <w:p>
      <w:pPr>
        <w:pStyle w:val="BodyText"/>
        <w:spacing w:line="232" w:lineRule="auto"/>
        <w:ind w:right="408" w:firstLine="396"/>
      </w:pPr>
      <w:r>
        <w:rPr>
          <w:color w:val="231F20"/>
        </w:rPr>
        <w:t>За процену темељења резервоара коришћене су исте претпо- ставке као у разматрањима претходних елемената система. Темељ је кружна бетонска плоча пречника 11,0 m, на </w:t>
      </w:r>
      <w:r>
        <w:rPr>
          <w:color w:val="231F20"/>
          <w:spacing w:val="-4"/>
        </w:rPr>
        <w:t>коти </w:t>
      </w:r>
      <w:r>
        <w:rPr>
          <w:color w:val="231F20"/>
        </w:rPr>
        <w:t>-2,00 m. </w:t>
      </w:r>
      <w:r>
        <w:rPr>
          <w:color w:val="231F20"/>
          <w:spacing w:val="-4"/>
        </w:rPr>
        <w:t>Уздиг- </w:t>
      </w:r>
      <w:r>
        <w:rPr>
          <w:color w:val="231F20"/>
        </w:rPr>
        <w:t>нут зид висине 1,2 m носи анкерске завртње и обезбеђује ослања- ње зидова резервоара. Унутрашњост запремине уздигнутог зида испуњена је набијеним песком. Врх испуне заптивен је слојем бе- тона дебљине 0,10 - 0,15 m.</w:t>
      </w:r>
    </w:p>
    <w:p>
      <w:pPr>
        <w:pStyle w:val="BodyText"/>
        <w:spacing w:line="232" w:lineRule="auto"/>
        <w:ind w:right="408" w:firstLine="397"/>
      </w:pPr>
      <w:r>
        <w:rPr>
          <w:color w:val="231F20"/>
        </w:rPr>
        <w:t>Резервоар</w:t>
      </w:r>
      <w:r>
        <w:rPr>
          <w:color w:val="231F20"/>
          <w:spacing w:val="-12"/>
        </w:rPr>
        <w:t> </w:t>
      </w:r>
      <w:r>
        <w:rPr>
          <w:color w:val="231F20"/>
        </w:rPr>
        <w:t>отпадних</w:t>
      </w:r>
      <w:r>
        <w:rPr>
          <w:color w:val="231F20"/>
          <w:spacing w:val="-12"/>
        </w:rPr>
        <w:t> </w:t>
      </w:r>
      <w:r>
        <w:rPr>
          <w:color w:val="231F20"/>
        </w:rPr>
        <w:t>воде</w:t>
      </w:r>
      <w:r>
        <w:rPr>
          <w:color w:val="231F20"/>
          <w:spacing w:val="-12"/>
        </w:rPr>
        <w:t> </w:t>
      </w:r>
      <w:r>
        <w:rPr>
          <w:color w:val="231F20"/>
        </w:rPr>
        <w:t>биће</w:t>
      </w:r>
      <w:r>
        <w:rPr>
          <w:color w:val="231F20"/>
          <w:spacing w:val="-12"/>
        </w:rPr>
        <w:t> </w:t>
      </w:r>
      <w:r>
        <w:rPr>
          <w:color w:val="231F20"/>
        </w:rPr>
        <w:t>челична</w:t>
      </w:r>
      <w:r>
        <w:rPr>
          <w:color w:val="231F20"/>
          <w:spacing w:val="-12"/>
        </w:rPr>
        <w:t> </w:t>
      </w:r>
      <w:r>
        <w:rPr>
          <w:color w:val="231F20"/>
        </w:rPr>
        <w:t>конструкција</w:t>
      </w:r>
      <w:r>
        <w:rPr>
          <w:color w:val="231F20"/>
          <w:spacing w:val="-12"/>
        </w:rPr>
        <w:t> </w:t>
      </w:r>
      <w:r>
        <w:rPr>
          <w:color w:val="231F20"/>
        </w:rPr>
        <w:t>кружног облика,</w:t>
      </w:r>
      <w:r>
        <w:rPr>
          <w:color w:val="231F20"/>
          <w:spacing w:val="-6"/>
        </w:rPr>
        <w:t> </w:t>
      </w:r>
      <w:r>
        <w:rPr>
          <w:color w:val="231F20"/>
        </w:rPr>
        <w:t>пречника</w:t>
      </w:r>
      <w:r>
        <w:rPr>
          <w:color w:val="231F20"/>
          <w:spacing w:val="-6"/>
        </w:rPr>
        <w:t> </w:t>
      </w:r>
      <w:r>
        <w:rPr>
          <w:color w:val="231F20"/>
        </w:rPr>
        <w:t>6,0</w:t>
      </w:r>
      <w:r>
        <w:rPr>
          <w:color w:val="231F20"/>
          <w:spacing w:val="-6"/>
        </w:rPr>
        <w:t> </w:t>
      </w:r>
      <w:r>
        <w:rPr>
          <w:color w:val="231F20"/>
        </w:rPr>
        <w:t>m</w:t>
      </w:r>
      <w:r>
        <w:rPr>
          <w:color w:val="231F20"/>
          <w:spacing w:val="-6"/>
        </w:rPr>
        <w:t> </w:t>
      </w:r>
      <w:r>
        <w:rPr>
          <w:color w:val="231F20"/>
        </w:rPr>
        <w:t>и</w:t>
      </w:r>
      <w:r>
        <w:rPr>
          <w:color w:val="231F20"/>
          <w:spacing w:val="-6"/>
        </w:rPr>
        <w:t> </w:t>
      </w:r>
      <w:r>
        <w:rPr>
          <w:color w:val="231F20"/>
        </w:rPr>
        <w:t>висине</w:t>
      </w:r>
      <w:r>
        <w:rPr>
          <w:color w:val="231F20"/>
          <w:spacing w:val="-6"/>
        </w:rPr>
        <w:t> </w:t>
      </w:r>
      <w:r>
        <w:rPr>
          <w:color w:val="231F20"/>
        </w:rPr>
        <w:t>9,0</w:t>
      </w:r>
      <w:r>
        <w:rPr>
          <w:color w:val="231F20"/>
          <w:spacing w:val="-6"/>
        </w:rPr>
        <w:t> </w:t>
      </w:r>
      <w:r>
        <w:rPr>
          <w:color w:val="231F20"/>
        </w:rPr>
        <w:t>m.</w:t>
      </w:r>
      <w:r>
        <w:rPr>
          <w:color w:val="231F20"/>
          <w:spacing w:val="-6"/>
        </w:rPr>
        <w:t> </w:t>
      </w:r>
      <w:r>
        <w:rPr>
          <w:color w:val="231F20"/>
        </w:rPr>
        <w:t>Конструкционе</w:t>
      </w:r>
      <w:r>
        <w:rPr>
          <w:color w:val="231F20"/>
          <w:spacing w:val="-6"/>
        </w:rPr>
        <w:t> </w:t>
      </w:r>
      <w:r>
        <w:rPr>
          <w:color w:val="231F20"/>
        </w:rPr>
        <w:t>и</w:t>
      </w:r>
      <w:r>
        <w:rPr>
          <w:color w:val="231F20"/>
          <w:spacing w:val="-6"/>
        </w:rPr>
        <w:t> </w:t>
      </w:r>
      <w:r>
        <w:rPr>
          <w:color w:val="231F20"/>
        </w:rPr>
        <w:t>техничке спецификације обезбедиће испоручилац</w:t>
      </w:r>
      <w:r>
        <w:rPr>
          <w:color w:val="231F20"/>
          <w:spacing w:val="-4"/>
        </w:rPr>
        <w:t> </w:t>
      </w:r>
      <w:r>
        <w:rPr>
          <w:color w:val="231F20"/>
        </w:rPr>
        <w:t>резервоара.</w:t>
      </w:r>
    </w:p>
    <w:p>
      <w:pPr>
        <w:pStyle w:val="BodyText"/>
        <w:spacing w:line="232" w:lineRule="auto"/>
        <w:ind w:right="408" w:firstLine="396"/>
      </w:pPr>
      <w:r>
        <w:rPr>
          <w:color w:val="231F20"/>
          <w:spacing w:val="-3"/>
        </w:rPr>
        <w:t>Темељ </w:t>
      </w:r>
      <w:r>
        <w:rPr>
          <w:color w:val="231F20"/>
        </w:rPr>
        <w:t>је кружна </w:t>
      </w:r>
      <w:r>
        <w:rPr>
          <w:color w:val="231F20"/>
          <w:spacing w:val="-3"/>
        </w:rPr>
        <w:t>бетонска </w:t>
      </w:r>
      <w:r>
        <w:rPr>
          <w:color w:val="231F20"/>
        </w:rPr>
        <w:t>плоча пречника </w:t>
      </w:r>
      <w:r>
        <w:rPr>
          <w:color w:val="231F20"/>
          <w:spacing w:val="-3"/>
        </w:rPr>
        <w:t>11,0 </w:t>
      </w:r>
      <w:r>
        <w:rPr>
          <w:color w:val="231F20"/>
        </w:rPr>
        <w:t>m и дебљине 0,8 m, постављена на </w:t>
      </w:r>
      <w:r>
        <w:rPr>
          <w:color w:val="231F20"/>
          <w:spacing w:val="-4"/>
        </w:rPr>
        <w:t>коти </w:t>
      </w:r>
      <w:r>
        <w:rPr>
          <w:color w:val="231F20"/>
        </w:rPr>
        <w:t>-2,00 m. </w:t>
      </w:r>
      <w:r>
        <w:rPr>
          <w:color w:val="231F20"/>
          <w:spacing w:val="-4"/>
        </w:rPr>
        <w:t>Уздигнут </w:t>
      </w:r>
      <w:r>
        <w:rPr>
          <w:color w:val="231F20"/>
        </w:rPr>
        <w:t>зид висине 1,2 m</w:t>
      </w:r>
      <w:r>
        <w:rPr>
          <w:color w:val="231F20"/>
          <w:spacing w:val="-31"/>
        </w:rPr>
        <w:t> </w:t>
      </w:r>
      <w:r>
        <w:rPr>
          <w:color w:val="231F20"/>
        </w:rPr>
        <w:t>носи </w:t>
      </w:r>
      <w:r>
        <w:rPr>
          <w:color w:val="231F20"/>
          <w:spacing w:val="-3"/>
        </w:rPr>
        <w:t>анкерске </w:t>
      </w:r>
      <w:r>
        <w:rPr>
          <w:color w:val="231F20"/>
        </w:rPr>
        <w:t>завртње и обезбеђује ослањање зидова резервоара. </w:t>
      </w:r>
      <w:r>
        <w:rPr>
          <w:color w:val="231F20"/>
          <w:spacing w:val="-5"/>
        </w:rPr>
        <w:t>Уну- </w:t>
      </w:r>
      <w:r>
        <w:rPr>
          <w:color w:val="231F20"/>
        </w:rPr>
        <w:t>трашњост запремине уздигнутог зида испуњена је набијеним пе- </w:t>
      </w:r>
      <w:r>
        <w:rPr>
          <w:color w:val="231F20"/>
          <w:spacing w:val="-4"/>
        </w:rPr>
        <w:t>ском.</w:t>
      </w:r>
      <w:r>
        <w:rPr>
          <w:color w:val="231F20"/>
          <w:spacing w:val="-6"/>
        </w:rPr>
        <w:t> </w:t>
      </w:r>
      <w:r>
        <w:rPr>
          <w:color w:val="231F20"/>
        </w:rPr>
        <w:t>Врх</w:t>
      </w:r>
      <w:r>
        <w:rPr>
          <w:color w:val="231F20"/>
          <w:spacing w:val="-6"/>
        </w:rPr>
        <w:t> </w:t>
      </w:r>
      <w:r>
        <w:rPr>
          <w:color w:val="231F20"/>
        </w:rPr>
        <w:t>испуне</w:t>
      </w:r>
      <w:r>
        <w:rPr>
          <w:color w:val="231F20"/>
          <w:spacing w:val="-6"/>
        </w:rPr>
        <w:t> </w:t>
      </w:r>
      <w:r>
        <w:rPr>
          <w:color w:val="231F20"/>
        </w:rPr>
        <w:t>заптивен</w:t>
      </w:r>
      <w:r>
        <w:rPr>
          <w:color w:val="231F20"/>
          <w:spacing w:val="-6"/>
        </w:rPr>
        <w:t> </w:t>
      </w:r>
      <w:r>
        <w:rPr>
          <w:color w:val="231F20"/>
        </w:rPr>
        <w:t>је</w:t>
      </w:r>
      <w:r>
        <w:rPr>
          <w:color w:val="231F20"/>
          <w:spacing w:val="-6"/>
        </w:rPr>
        <w:t> </w:t>
      </w:r>
      <w:r>
        <w:rPr>
          <w:color w:val="231F20"/>
        </w:rPr>
        <w:t>слојем</w:t>
      </w:r>
      <w:r>
        <w:rPr>
          <w:color w:val="231F20"/>
          <w:spacing w:val="-6"/>
        </w:rPr>
        <w:t> </w:t>
      </w:r>
      <w:r>
        <w:rPr>
          <w:color w:val="231F20"/>
        </w:rPr>
        <w:t>бетона</w:t>
      </w:r>
      <w:r>
        <w:rPr>
          <w:color w:val="231F20"/>
          <w:spacing w:val="-6"/>
        </w:rPr>
        <w:t> </w:t>
      </w:r>
      <w:r>
        <w:rPr>
          <w:color w:val="231F20"/>
        </w:rPr>
        <w:t>дебљине</w:t>
      </w:r>
      <w:r>
        <w:rPr>
          <w:color w:val="231F20"/>
          <w:spacing w:val="-6"/>
        </w:rPr>
        <w:t> </w:t>
      </w:r>
      <w:r>
        <w:rPr>
          <w:color w:val="231F20"/>
        </w:rPr>
        <w:t>0,10</w:t>
      </w:r>
      <w:r>
        <w:rPr>
          <w:color w:val="231F20"/>
          <w:spacing w:val="-6"/>
        </w:rPr>
        <w:t> </w:t>
      </w:r>
      <w:r>
        <w:rPr>
          <w:color w:val="231F20"/>
        </w:rPr>
        <w:t>-</w:t>
      </w:r>
      <w:r>
        <w:rPr>
          <w:color w:val="231F20"/>
          <w:spacing w:val="-6"/>
        </w:rPr>
        <w:t> </w:t>
      </w:r>
      <w:r>
        <w:rPr>
          <w:color w:val="231F20"/>
        </w:rPr>
        <w:t>0,15</w:t>
      </w:r>
      <w:r>
        <w:rPr>
          <w:color w:val="231F20"/>
          <w:spacing w:val="-6"/>
        </w:rPr>
        <w:t> </w:t>
      </w:r>
      <w:r>
        <w:rPr>
          <w:color w:val="231F20"/>
        </w:rPr>
        <w:t>m.</w:t>
      </w:r>
    </w:p>
    <w:p>
      <w:pPr>
        <w:pStyle w:val="BodyText"/>
        <w:spacing w:line="232" w:lineRule="auto"/>
        <w:ind w:right="408" w:firstLine="396"/>
      </w:pPr>
      <w:r>
        <w:rPr>
          <w:color w:val="231F20"/>
        </w:rPr>
        <w:t>Депонија суспензије гипса ће бити формирана у делу повр- шинског копа ПК „Дрмно”.</w:t>
      </w:r>
    </w:p>
    <w:p>
      <w:pPr>
        <w:pStyle w:val="BodyText"/>
        <w:spacing w:line="232" w:lineRule="auto"/>
        <w:ind w:right="407" w:firstLine="396"/>
      </w:pPr>
      <w:r>
        <w:rPr>
          <w:color w:val="231F20"/>
        </w:rPr>
        <w:t>Припрема</w:t>
      </w:r>
      <w:r>
        <w:rPr>
          <w:color w:val="231F20"/>
          <w:spacing w:val="-9"/>
        </w:rPr>
        <w:t> </w:t>
      </w:r>
      <w:r>
        <w:rPr>
          <w:color w:val="231F20"/>
        </w:rPr>
        <w:t>терена</w:t>
      </w:r>
      <w:r>
        <w:rPr>
          <w:color w:val="231F20"/>
          <w:spacing w:val="-9"/>
        </w:rPr>
        <w:t> </w:t>
      </w:r>
      <w:r>
        <w:rPr>
          <w:color w:val="231F20"/>
        </w:rPr>
        <w:t>за</w:t>
      </w:r>
      <w:r>
        <w:rPr>
          <w:color w:val="231F20"/>
          <w:spacing w:val="-9"/>
        </w:rPr>
        <w:t> </w:t>
      </w:r>
      <w:r>
        <w:rPr>
          <w:color w:val="231F20"/>
        </w:rPr>
        <w:t>изградњу</w:t>
      </w:r>
      <w:r>
        <w:rPr>
          <w:color w:val="231F20"/>
          <w:spacing w:val="-8"/>
        </w:rPr>
        <w:t> </w:t>
      </w:r>
      <w:r>
        <w:rPr>
          <w:color w:val="231F20"/>
        </w:rPr>
        <w:t>подразумева</w:t>
      </w:r>
      <w:r>
        <w:rPr>
          <w:color w:val="231F20"/>
          <w:spacing w:val="-9"/>
        </w:rPr>
        <w:t> </w:t>
      </w:r>
      <w:r>
        <w:rPr>
          <w:color w:val="231F20"/>
        </w:rPr>
        <w:t>уклањање</w:t>
      </w:r>
      <w:r>
        <w:rPr>
          <w:color w:val="231F20"/>
          <w:spacing w:val="-9"/>
        </w:rPr>
        <w:t> </w:t>
      </w:r>
      <w:r>
        <w:rPr>
          <w:color w:val="231F20"/>
        </w:rPr>
        <w:t>одређе- них постојећих објеката, а на чијој локацији ће бити грађени еле- менти постројења за</w:t>
      </w:r>
      <w:r>
        <w:rPr>
          <w:color w:val="231F20"/>
          <w:spacing w:val="-4"/>
        </w:rPr>
        <w:t> </w:t>
      </w:r>
      <w:r>
        <w:rPr>
          <w:color w:val="231F20"/>
        </w:rPr>
        <w:t>одсумпоравање.</w:t>
      </w:r>
    </w:p>
    <w:p>
      <w:pPr>
        <w:pStyle w:val="BodyText"/>
        <w:spacing w:line="232" w:lineRule="auto"/>
        <w:ind w:left="171" w:right="407" w:firstLine="396"/>
      </w:pPr>
      <w:r>
        <w:rPr>
          <w:color w:val="231F20"/>
        </w:rPr>
        <w:t>Како су постојећи објекти углавном ван функције у сада- шњем систему рада термолектране, а нису предвиђени за рад по- стројења за одсумпоравања, ови објекти биће или трајно уклоње- ни или измештени са локације.</w:t>
      </w:r>
    </w:p>
    <w:p>
      <w:pPr>
        <w:pStyle w:val="BodyText"/>
        <w:spacing w:line="199" w:lineRule="exact"/>
        <w:ind w:left="568"/>
        <w:jc w:val="left"/>
      </w:pPr>
      <w:r>
        <w:rPr>
          <w:color w:val="231F20"/>
        </w:rPr>
        <w:t>Предвиђено је:</w:t>
      </w:r>
    </w:p>
    <w:p>
      <w:pPr>
        <w:pStyle w:val="BodyText"/>
        <w:spacing w:line="232" w:lineRule="auto"/>
        <w:ind w:left="171" w:right="407" w:firstLine="396"/>
      </w:pPr>
      <w:r>
        <w:rPr>
          <w:color w:val="231F20"/>
          <w:w w:val="66"/>
        </w:rPr>
        <w:t> </w:t>
      </w:r>
      <w:r>
        <w:rPr>
          <w:color w:val="231F20"/>
        </w:rPr>
        <w:t>– да се простор иза резервоара за течно гориво искористи за локацију складишта за кречњак;</w:t>
      </w:r>
    </w:p>
    <w:p>
      <w:pPr>
        <w:pStyle w:val="BodyText"/>
        <w:spacing w:line="232" w:lineRule="auto"/>
        <w:ind w:left="172" w:right="406" w:firstLine="396"/>
      </w:pPr>
      <w:r>
        <w:rPr>
          <w:color w:val="231F20"/>
          <w:w w:val="66"/>
        </w:rPr>
        <w:t> </w:t>
      </w:r>
      <w:r>
        <w:rPr>
          <w:color w:val="231F20"/>
        </w:rPr>
        <w:t>– да се постојећа пруга у кругу ТЕ „Костолац Б” измести на потезу од силоса према складишту мазута; и</w:t>
      </w:r>
    </w:p>
    <w:p>
      <w:pPr>
        <w:pStyle w:val="BodyText"/>
        <w:spacing w:line="232" w:lineRule="auto"/>
        <w:ind w:left="172" w:right="406" w:firstLine="396"/>
      </w:pPr>
      <w:r>
        <w:rPr>
          <w:color w:val="231F20"/>
          <w:w w:val="66"/>
        </w:rPr>
        <w:t> </w:t>
      </w:r>
      <w:r>
        <w:rPr>
          <w:color w:val="231F20"/>
        </w:rPr>
        <w:t>–</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постојећа</w:t>
      </w:r>
      <w:r>
        <w:rPr>
          <w:color w:val="231F20"/>
          <w:spacing w:val="-7"/>
        </w:rPr>
        <w:t> </w:t>
      </w:r>
      <w:r>
        <w:rPr>
          <w:color w:val="231F20"/>
        </w:rPr>
        <w:t>противпожарна</w:t>
      </w:r>
      <w:r>
        <w:rPr>
          <w:color w:val="231F20"/>
          <w:spacing w:val="-7"/>
        </w:rPr>
        <w:t> </w:t>
      </w:r>
      <w:r>
        <w:rPr>
          <w:color w:val="231F20"/>
        </w:rPr>
        <w:t>станица</w:t>
      </w:r>
      <w:r>
        <w:rPr>
          <w:color w:val="231F20"/>
          <w:spacing w:val="-7"/>
        </w:rPr>
        <w:t> </w:t>
      </w:r>
      <w:r>
        <w:rPr>
          <w:color w:val="231F20"/>
        </w:rPr>
        <w:t>за</w:t>
      </w:r>
      <w:r>
        <w:rPr>
          <w:color w:val="231F20"/>
          <w:spacing w:val="-7"/>
        </w:rPr>
        <w:t> </w:t>
      </w:r>
      <w:r>
        <w:rPr>
          <w:color w:val="231F20"/>
        </w:rPr>
        <w:t>мазутну</w:t>
      </w:r>
      <w:r>
        <w:rPr>
          <w:color w:val="231F20"/>
          <w:spacing w:val="-7"/>
        </w:rPr>
        <w:t> </w:t>
      </w:r>
      <w:r>
        <w:rPr>
          <w:color w:val="231F20"/>
        </w:rPr>
        <w:t>станицу измести на другу</w:t>
      </w:r>
      <w:r>
        <w:rPr>
          <w:color w:val="231F20"/>
          <w:spacing w:val="-3"/>
        </w:rPr>
        <w:t> локацију.</w:t>
      </w:r>
    </w:p>
    <w:p>
      <w:pPr>
        <w:pStyle w:val="BodyText"/>
        <w:spacing w:line="232" w:lineRule="auto"/>
        <w:ind w:left="172" w:right="406" w:firstLine="397"/>
      </w:pPr>
      <w:r>
        <w:rPr>
          <w:color w:val="231F20"/>
        </w:rPr>
        <w:t>Постројење за одсумпоравање димних гасова чија је инста- лација предвиђена на ТЕ „Костолац Б” и сама електрана морају се посматрати као јединствена целина.</w:t>
      </w:r>
    </w:p>
    <w:p>
      <w:pPr>
        <w:pStyle w:val="BodyText"/>
        <w:spacing w:line="232" w:lineRule="auto"/>
        <w:ind w:left="171" w:right="406" w:firstLine="396"/>
      </w:pPr>
      <w:r>
        <w:rPr>
          <w:color w:val="231F20"/>
          <w:spacing w:val="-3"/>
        </w:rPr>
        <w:t>Постројење </w:t>
      </w:r>
      <w:r>
        <w:rPr>
          <w:color w:val="231F20"/>
        </w:rPr>
        <w:t>за </w:t>
      </w:r>
      <w:r>
        <w:rPr>
          <w:color w:val="231F20"/>
          <w:spacing w:val="-4"/>
        </w:rPr>
        <w:t>одсумпоравање </w:t>
      </w:r>
      <w:r>
        <w:rPr>
          <w:color w:val="231F20"/>
          <w:spacing w:val="-3"/>
        </w:rPr>
        <w:t>биће интегрални </w:t>
      </w:r>
      <w:r>
        <w:rPr>
          <w:color w:val="231F20"/>
        </w:rPr>
        <w:t>део </w:t>
      </w:r>
      <w:r>
        <w:rPr>
          <w:color w:val="231F20"/>
          <w:spacing w:val="-3"/>
        </w:rPr>
        <w:t>термое- лектране, </w:t>
      </w:r>
      <w:r>
        <w:rPr>
          <w:color w:val="231F20"/>
        </w:rPr>
        <w:t>не само у </w:t>
      </w:r>
      <w:r>
        <w:rPr>
          <w:color w:val="231F20"/>
          <w:spacing w:val="-5"/>
        </w:rPr>
        <w:t>погледу </w:t>
      </w:r>
      <w:r>
        <w:rPr>
          <w:color w:val="231F20"/>
          <w:spacing w:val="-3"/>
        </w:rPr>
        <w:t>инсталисане опреме, већ </w:t>
      </w:r>
      <w:r>
        <w:rPr>
          <w:color w:val="231F20"/>
        </w:rPr>
        <w:t>и у </w:t>
      </w:r>
      <w:r>
        <w:rPr>
          <w:color w:val="231F20"/>
          <w:spacing w:val="-4"/>
        </w:rPr>
        <w:t>функци- </w:t>
      </w:r>
      <w:r>
        <w:rPr>
          <w:color w:val="231F20"/>
          <w:spacing w:val="-3"/>
        </w:rPr>
        <w:t>оналном </w:t>
      </w:r>
      <w:r>
        <w:rPr>
          <w:color w:val="231F20"/>
          <w:spacing w:val="-6"/>
        </w:rPr>
        <w:t>смислу. </w:t>
      </w:r>
      <w:r>
        <w:rPr>
          <w:color w:val="231F20"/>
          <w:spacing w:val="-3"/>
        </w:rPr>
        <w:t>Постројење </w:t>
      </w:r>
      <w:r>
        <w:rPr>
          <w:color w:val="231F20"/>
        </w:rPr>
        <w:t>за </w:t>
      </w:r>
      <w:r>
        <w:rPr>
          <w:color w:val="231F20"/>
          <w:spacing w:val="-4"/>
        </w:rPr>
        <w:t>одсумпоравање </w:t>
      </w:r>
      <w:r>
        <w:rPr>
          <w:color w:val="231F20"/>
        </w:rPr>
        <w:t>ТЕ </w:t>
      </w:r>
      <w:r>
        <w:rPr>
          <w:color w:val="231F20"/>
          <w:spacing w:val="-4"/>
        </w:rPr>
        <w:t>„Костолац </w:t>
      </w:r>
      <w:r>
        <w:rPr>
          <w:color w:val="231F20"/>
        </w:rPr>
        <w:t>Б” </w:t>
      </w:r>
      <w:r>
        <w:rPr>
          <w:color w:val="231F20"/>
          <w:spacing w:val="-4"/>
        </w:rPr>
        <w:t>пројектовано </w:t>
      </w:r>
      <w:r>
        <w:rPr>
          <w:color w:val="231F20"/>
        </w:rPr>
        <w:t>је са </w:t>
      </w:r>
      <w:r>
        <w:rPr>
          <w:color w:val="231F20"/>
          <w:spacing w:val="-4"/>
        </w:rPr>
        <w:t>довољном </w:t>
      </w:r>
      <w:r>
        <w:rPr>
          <w:color w:val="231F20"/>
          <w:spacing w:val="-3"/>
        </w:rPr>
        <w:t>резервом </w:t>
      </w:r>
      <w:r>
        <w:rPr>
          <w:color w:val="231F20"/>
        </w:rPr>
        <w:t>да </w:t>
      </w:r>
      <w:r>
        <w:rPr>
          <w:color w:val="231F20"/>
          <w:spacing w:val="-3"/>
        </w:rPr>
        <w:t>гарантује сигуран </w:t>
      </w:r>
      <w:r>
        <w:rPr>
          <w:color w:val="231F20"/>
        </w:rPr>
        <w:t>рад </w:t>
      </w:r>
      <w:r>
        <w:rPr>
          <w:color w:val="231F20"/>
          <w:spacing w:val="-3"/>
        </w:rPr>
        <w:t>тер- моелектране.</w:t>
      </w:r>
      <w:r>
        <w:rPr>
          <w:color w:val="231F20"/>
          <w:spacing w:val="-10"/>
        </w:rPr>
        <w:t> </w:t>
      </w:r>
      <w:r>
        <w:rPr>
          <w:color w:val="231F20"/>
          <w:spacing w:val="-3"/>
        </w:rPr>
        <w:t>Осим</w:t>
      </w:r>
      <w:r>
        <w:rPr>
          <w:color w:val="231F20"/>
          <w:spacing w:val="-10"/>
        </w:rPr>
        <w:t> </w:t>
      </w:r>
      <w:r>
        <w:rPr>
          <w:color w:val="231F20"/>
        </w:rPr>
        <w:t>за</w:t>
      </w:r>
      <w:r>
        <w:rPr>
          <w:color w:val="231F20"/>
          <w:spacing w:val="-10"/>
        </w:rPr>
        <w:t> </w:t>
      </w:r>
      <w:r>
        <w:rPr>
          <w:color w:val="231F20"/>
          <w:spacing w:val="-4"/>
        </w:rPr>
        <w:t>апсорберски</w:t>
      </w:r>
      <w:r>
        <w:rPr>
          <w:color w:val="231F20"/>
          <w:spacing w:val="-10"/>
        </w:rPr>
        <w:t> </w:t>
      </w:r>
      <w:r>
        <w:rPr>
          <w:color w:val="231F20"/>
          <w:spacing w:val="-6"/>
        </w:rPr>
        <w:t>суд,</w:t>
      </w:r>
      <w:r>
        <w:rPr>
          <w:color w:val="231F20"/>
          <w:spacing w:val="-10"/>
        </w:rPr>
        <w:t> </w:t>
      </w:r>
      <w:r>
        <w:rPr>
          <w:color w:val="231F20"/>
        </w:rPr>
        <w:t>за</w:t>
      </w:r>
      <w:r>
        <w:rPr>
          <w:color w:val="231F20"/>
          <w:spacing w:val="-10"/>
        </w:rPr>
        <w:t> </w:t>
      </w:r>
      <w:r>
        <w:rPr>
          <w:color w:val="231F20"/>
          <w:spacing w:val="-4"/>
        </w:rPr>
        <w:t>сву</w:t>
      </w:r>
      <w:r>
        <w:rPr>
          <w:color w:val="231F20"/>
          <w:spacing w:val="-10"/>
        </w:rPr>
        <w:t> </w:t>
      </w:r>
      <w:r>
        <w:rPr>
          <w:color w:val="231F20"/>
        </w:rPr>
        <w:t>осталу</w:t>
      </w:r>
      <w:r>
        <w:rPr>
          <w:color w:val="231F20"/>
          <w:spacing w:val="-10"/>
        </w:rPr>
        <w:t> </w:t>
      </w:r>
      <w:r>
        <w:rPr>
          <w:color w:val="231F20"/>
          <w:spacing w:val="-3"/>
        </w:rPr>
        <w:t>опрему</w:t>
      </w:r>
      <w:r>
        <w:rPr>
          <w:color w:val="231F20"/>
          <w:spacing w:val="-10"/>
        </w:rPr>
        <w:t> </w:t>
      </w:r>
      <w:r>
        <w:rPr>
          <w:color w:val="231F20"/>
        </w:rPr>
        <w:t>постро- </w:t>
      </w:r>
      <w:r>
        <w:rPr>
          <w:color w:val="231F20"/>
          <w:spacing w:val="-3"/>
        </w:rPr>
        <w:t>јења предвиђено </w:t>
      </w:r>
      <w:r>
        <w:rPr>
          <w:color w:val="231F20"/>
        </w:rPr>
        <w:t>је </w:t>
      </w:r>
      <w:r>
        <w:rPr>
          <w:color w:val="231F20"/>
          <w:spacing w:val="-4"/>
        </w:rPr>
        <w:t>обезбеђивање </w:t>
      </w:r>
      <w:r>
        <w:rPr>
          <w:color w:val="231F20"/>
          <w:spacing w:val="-3"/>
        </w:rPr>
        <w:t>резервних делова кључне</w:t>
      </w:r>
      <w:r>
        <w:rPr>
          <w:color w:val="231F20"/>
          <w:spacing w:val="-12"/>
        </w:rPr>
        <w:t> </w:t>
      </w:r>
      <w:r>
        <w:rPr>
          <w:color w:val="231F20"/>
          <w:spacing w:val="-3"/>
        </w:rPr>
        <w:t>опреме.</w:t>
      </w:r>
    </w:p>
    <w:p>
      <w:pPr>
        <w:pStyle w:val="BodyText"/>
        <w:spacing w:line="232" w:lineRule="auto"/>
        <w:ind w:left="172" w:right="406" w:firstLine="396"/>
      </w:pPr>
      <w:r>
        <w:rPr>
          <w:color w:val="231F20"/>
        </w:rPr>
        <w:t>Такође је обезбеђена и резерва у напајању постројења у ви- ду два трансформатора, од којих је један радни а други резервни. Остатак електро опреме пројектован је са довољном резервом снаге да задовољи потребе потрошача. За бустер вентилаторе ни- су предвиђени резервни вентилатори јер је сматрано да је њихова поузданост висока у поређењу са поузданошћу постојећих венти- латора димног гаса.</w:t>
      </w:r>
    </w:p>
    <w:p>
      <w:pPr>
        <w:pStyle w:val="BodyText"/>
        <w:spacing w:line="232" w:lineRule="auto"/>
        <w:ind w:left="173" w:right="404" w:firstLine="396"/>
      </w:pPr>
      <w:r>
        <w:rPr>
          <w:color w:val="231F20"/>
        </w:rPr>
        <w:t>У </w:t>
      </w:r>
      <w:r>
        <w:rPr>
          <w:color w:val="231F20"/>
          <w:spacing w:val="-4"/>
        </w:rPr>
        <w:t>погледу </w:t>
      </w:r>
      <w:r>
        <w:rPr>
          <w:color w:val="231F20"/>
          <w:spacing w:val="-3"/>
        </w:rPr>
        <w:t>разматрања </w:t>
      </w:r>
      <w:r>
        <w:rPr>
          <w:color w:val="231F20"/>
        </w:rPr>
        <w:t>рада </w:t>
      </w:r>
      <w:r>
        <w:rPr>
          <w:color w:val="231F20"/>
          <w:spacing w:val="-5"/>
        </w:rPr>
        <w:t>ОДГ </w:t>
      </w:r>
      <w:r>
        <w:rPr>
          <w:color w:val="231F20"/>
        </w:rPr>
        <w:t>постројења и </w:t>
      </w:r>
      <w:r>
        <w:rPr>
          <w:color w:val="231F20"/>
          <w:spacing w:val="-4"/>
        </w:rPr>
        <w:t>његовом </w:t>
      </w:r>
      <w:r>
        <w:rPr>
          <w:color w:val="231F20"/>
        </w:rPr>
        <w:t>пове- заношћу са </w:t>
      </w:r>
      <w:r>
        <w:rPr>
          <w:color w:val="231F20"/>
          <w:spacing w:val="-3"/>
        </w:rPr>
        <w:t>радом целокупне </w:t>
      </w:r>
      <w:r>
        <w:rPr>
          <w:color w:val="231F20"/>
        </w:rPr>
        <w:t>термоелектране, </w:t>
      </w:r>
      <w:r>
        <w:rPr>
          <w:color w:val="231F20"/>
          <w:spacing w:val="-4"/>
        </w:rPr>
        <w:t>може </w:t>
      </w:r>
      <w:r>
        <w:rPr>
          <w:color w:val="231F20"/>
        </w:rPr>
        <w:t>се рећи да ће у </w:t>
      </w:r>
      <w:r>
        <w:rPr>
          <w:color w:val="231F20"/>
          <w:spacing w:val="-3"/>
        </w:rPr>
        <w:t>ситуацији </w:t>
      </w:r>
      <w:r>
        <w:rPr>
          <w:color w:val="231F20"/>
        </w:rPr>
        <w:t>да електрана </w:t>
      </w:r>
      <w:r>
        <w:rPr>
          <w:color w:val="231F20"/>
          <w:spacing w:val="-3"/>
        </w:rPr>
        <w:t>(блок) </w:t>
      </w:r>
      <w:r>
        <w:rPr>
          <w:color w:val="231F20"/>
        </w:rPr>
        <w:t>испадне из </w:t>
      </w:r>
      <w:r>
        <w:rPr>
          <w:color w:val="231F20"/>
          <w:spacing w:val="-3"/>
        </w:rPr>
        <w:t>погона, </w:t>
      </w:r>
      <w:r>
        <w:rPr>
          <w:color w:val="231F20"/>
          <w:spacing w:val="-5"/>
        </w:rPr>
        <w:t>ОДГ </w:t>
      </w:r>
      <w:r>
        <w:rPr>
          <w:color w:val="231F20"/>
        </w:rPr>
        <w:t>постројење </w:t>
      </w:r>
      <w:r>
        <w:rPr>
          <w:color w:val="231F20"/>
          <w:spacing w:val="-3"/>
        </w:rPr>
        <w:t>(апсорберска јединица) </w:t>
      </w:r>
      <w:r>
        <w:rPr>
          <w:color w:val="231F20"/>
        </w:rPr>
        <w:t>бити угашено. </w:t>
      </w:r>
      <w:r>
        <w:rPr>
          <w:color w:val="231F20"/>
          <w:spacing w:val="-4"/>
        </w:rPr>
        <w:t>Такође, </w:t>
      </w:r>
      <w:r>
        <w:rPr>
          <w:color w:val="231F20"/>
          <w:spacing w:val="-5"/>
        </w:rPr>
        <w:t>уколико ОДГ</w:t>
      </w:r>
      <w:r>
        <w:rPr>
          <w:color w:val="231F20"/>
          <w:spacing w:val="-34"/>
        </w:rPr>
        <w:t> </w:t>
      </w:r>
      <w:r>
        <w:rPr>
          <w:color w:val="231F20"/>
        </w:rPr>
        <w:t>постро- јење</w:t>
      </w:r>
      <w:r>
        <w:rPr>
          <w:color w:val="231F20"/>
          <w:spacing w:val="-10"/>
        </w:rPr>
        <w:t> </w:t>
      </w:r>
      <w:r>
        <w:rPr>
          <w:color w:val="231F20"/>
          <w:spacing w:val="-3"/>
        </w:rPr>
        <w:t>(апсорберска</w:t>
      </w:r>
      <w:r>
        <w:rPr>
          <w:color w:val="231F20"/>
          <w:spacing w:val="-10"/>
        </w:rPr>
        <w:t> </w:t>
      </w:r>
      <w:r>
        <w:rPr>
          <w:color w:val="231F20"/>
          <w:spacing w:val="-3"/>
        </w:rPr>
        <w:t>јединица)</w:t>
      </w:r>
      <w:r>
        <w:rPr>
          <w:color w:val="231F20"/>
          <w:spacing w:val="-10"/>
        </w:rPr>
        <w:t> </w:t>
      </w:r>
      <w:r>
        <w:rPr>
          <w:color w:val="231F20"/>
        </w:rPr>
        <w:t>испадне</w:t>
      </w:r>
      <w:r>
        <w:rPr>
          <w:color w:val="231F20"/>
          <w:spacing w:val="-10"/>
        </w:rPr>
        <w:t> </w:t>
      </w:r>
      <w:r>
        <w:rPr>
          <w:color w:val="231F20"/>
        </w:rPr>
        <w:t>из</w:t>
      </w:r>
      <w:r>
        <w:rPr>
          <w:color w:val="231F20"/>
          <w:spacing w:val="-10"/>
        </w:rPr>
        <w:t> </w:t>
      </w:r>
      <w:r>
        <w:rPr>
          <w:color w:val="231F20"/>
          <w:spacing w:val="-3"/>
        </w:rPr>
        <w:t>погона,</w:t>
      </w:r>
      <w:r>
        <w:rPr>
          <w:color w:val="231F20"/>
          <w:spacing w:val="-10"/>
        </w:rPr>
        <w:t> </w:t>
      </w:r>
      <w:r>
        <w:rPr>
          <w:color w:val="231F20"/>
        </w:rPr>
        <w:t>рад</w:t>
      </w:r>
      <w:r>
        <w:rPr>
          <w:color w:val="231F20"/>
          <w:spacing w:val="-10"/>
        </w:rPr>
        <w:t> </w:t>
      </w:r>
      <w:r>
        <w:rPr>
          <w:color w:val="231F20"/>
        </w:rPr>
        <w:t>термоелектране </w:t>
      </w:r>
      <w:r>
        <w:rPr>
          <w:color w:val="231F20"/>
          <w:spacing w:val="-3"/>
        </w:rPr>
        <w:t>(блока) </w:t>
      </w:r>
      <w:r>
        <w:rPr>
          <w:color w:val="231F20"/>
        </w:rPr>
        <w:t>мора бити </w:t>
      </w:r>
      <w:r>
        <w:rPr>
          <w:color w:val="231F20"/>
          <w:spacing w:val="-3"/>
        </w:rPr>
        <w:t>заустављен. </w:t>
      </w:r>
      <w:r>
        <w:rPr>
          <w:color w:val="231F20"/>
        </w:rPr>
        <w:t>By-pass до постојећег </w:t>
      </w:r>
      <w:r>
        <w:rPr>
          <w:color w:val="231F20"/>
          <w:spacing w:val="-3"/>
        </w:rPr>
        <w:t>сувог </w:t>
      </w:r>
      <w:r>
        <w:rPr>
          <w:color w:val="231F20"/>
        </w:rPr>
        <w:t>димња- </w:t>
      </w:r>
      <w:r>
        <w:rPr>
          <w:color w:val="231F20"/>
          <w:spacing w:val="-3"/>
        </w:rPr>
        <w:t>ка, </w:t>
      </w:r>
      <w:r>
        <w:rPr>
          <w:color w:val="231F20"/>
          <w:spacing w:val="-4"/>
        </w:rPr>
        <w:t>којим </w:t>
      </w:r>
      <w:r>
        <w:rPr>
          <w:color w:val="231F20"/>
        </w:rPr>
        <w:t>се заобилази </w:t>
      </w:r>
      <w:r>
        <w:rPr>
          <w:color w:val="231F20"/>
          <w:spacing w:val="-5"/>
        </w:rPr>
        <w:t>ОДГ </w:t>
      </w:r>
      <w:r>
        <w:rPr>
          <w:color w:val="231F20"/>
        </w:rPr>
        <w:t>постројење, </w:t>
      </w:r>
      <w:r>
        <w:rPr>
          <w:color w:val="231F20"/>
          <w:spacing w:val="-3"/>
        </w:rPr>
        <w:t>захтева </w:t>
      </w:r>
      <w:r>
        <w:rPr>
          <w:color w:val="231F20"/>
        </w:rPr>
        <w:t>инсталирање до- </w:t>
      </w:r>
      <w:r>
        <w:rPr>
          <w:color w:val="231F20"/>
          <w:spacing w:val="-3"/>
        </w:rPr>
        <w:t>датне </w:t>
      </w:r>
      <w:r>
        <w:rPr>
          <w:color w:val="231F20"/>
        </w:rPr>
        <w:t>опреме и није </w:t>
      </w:r>
      <w:r>
        <w:rPr>
          <w:color w:val="231F20"/>
          <w:spacing w:val="-3"/>
        </w:rPr>
        <w:t>пракса </w:t>
      </w:r>
      <w:r>
        <w:rPr>
          <w:color w:val="231F20"/>
          <w:spacing w:val="-7"/>
        </w:rPr>
        <w:t>код </w:t>
      </w:r>
      <w:r>
        <w:rPr>
          <w:color w:val="231F20"/>
          <w:spacing w:val="-3"/>
        </w:rPr>
        <w:t>модерних </w:t>
      </w:r>
      <w:r>
        <w:rPr>
          <w:color w:val="231F20"/>
        </w:rPr>
        <w:t>постројења, </w:t>
      </w:r>
      <w:r>
        <w:rPr>
          <w:color w:val="231F20"/>
          <w:spacing w:val="-4"/>
        </w:rPr>
        <w:t>тако </w:t>
      </w:r>
      <w:r>
        <w:rPr>
          <w:color w:val="231F20"/>
        </w:rPr>
        <w:t>да није укључено</w:t>
      </w:r>
      <w:r>
        <w:rPr>
          <w:color w:val="231F20"/>
          <w:spacing w:val="-7"/>
        </w:rPr>
        <w:t> </w:t>
      </w:r>
      <w:r>
        <w:rPr>
          <w:color w:val="231F20"/>
        </w:rPr>
        <w:t>у</w:t>
      </w:r>
      <w:r>
        <w:rPr>
          <w:color w:val="231F20"/>
          <w:spacing w:val="-7"/>
        </w:rPr>
        <w:t> </w:t>
      </w:r>
      <w:r>
        <w:rPr>
          <w:color w:val="231F20"/>
        </w:rPr>
        <w:t>израђено</w:t>
      </w:r>
      <w:r>
        <w:rPr>
          <w:color w:val="231F20"/>
          <w:spacing w:val="-7"/>
        </w:rPr>
        <w:t> </w:t>
      </w:r>
      <w:r>
        <w:rPr>
          <w:color w:val="231F20"/>
          <w:spacing w:val="-3"/>
        </w:rPr>
        <w:t>пројектно</w:t>
      </w:r>
      <w:r>
        <w:rPr>
          <w:color w:val="231F20"/>
          <w:spacing w:val="-7"/>
        </w:rPr>
        <w:t> </w:t>
      </w:r>
      <w:r>
        <w:rPr>
          <w:color w:val="231F20"/>
        </w:rPr>
        <w:t>решење</w:t>
      </w:r>
      <w:r>
        <w:rPr>
          <w:color w:val="231F20"/>
          <w:spacing w:val="-7"/>
        </w:rPr>
        <w:t> </w:t>
      </w:r>
      <w:r>
        <w:rPr>
          <w:color w:val="231F20"/>
        </w:rPr>
        <w:t>нити</w:t>
      </w:r>
      <w:r>
        <w:rPr>
          <w:color w:val="231F20"/>
          <w:spacing w:val="-7"/>
        </w:rPr>
        <w:t> </w:t>
      </w:r>
      <w:r>
        <w:rPr>
          <w:color w:val="231F20"/>
        </w:rPr>
        <w:t>у</w:t>
      </w:r>
      <w:r>
        <w:rPr>
          <w:color w:val="231F20"/>
          <w:spacing w:val="-7"/>
        </w:rPr>
        <w:t> </w:t>
      </w:r>
      <w:r>
        <w:rPr>
          <w:color w:val="231F20"/>
          <w:spacing w:val="-3"/>
        </w:rPr>
        <w:t>анализу</w:t>
      </w:r>
      <w:r>
        <w:rPr>
          <w:color w:val="231F20"/>
          <w:spacing w:val="-7"/>
        </w:rPr>
        <w:t> </w:t>
      </w:r>
      <w:r>
        <w:rPr>
          <w:color w:val="231F20"/>
          <w:spacing w:val="-3"/>
        </w:rPr>
        <w:t>трошкова.</w:t>
      </w:r>
    </w:p>
    <w:p>
      <w:pPr>
        <w:pStyle w:val="BodyText"/>
        <w:spacing w:line="232" w:lineRule="auto"/>
        <w:ind w:left="173" w:right="404" w:firstLine="396"/>
      </w:pPr>
      <w:r>
        <w:rPr>
          <w:color w:val="231F20"/>
        </w:rPr>
        <w:t>Рад електране у интервентним ситуацијама и без рада ОДГ постројења, могуће је у периоду од максимално 1 –2 часа, јер ап- сорбер не може радити без течности, тј. доћи ће до искључивања напајања и гашења рециркулационих пумпи суспензије. У оваквој интервентној ситуацији укључују се пумпе за интервентно хлађе- ње, које имају дизел моторе.</w:t>
      </w:r>
    </w:p>
    <w:p>
      <w:pPr>
        <w:spacing w:after="0" w:line="232" w:lineRule="auto"/>
        <w:sectPr>
          <w:pgSz w:w="12480" w:h="15690"/>
          <w:pgMar w:top="120" w:bottom="280" w:left="680" w:right="720"/>
          <w:cols w:num="2" w:equalWidth="0">
            <w:col w:w="5317" w:space="72"/>
            <w:col w:w="5691"/>
          </w:cols>
        </w:sectPr>
      </w:pPr>
    </w:p>
    <w:p>
      <w:pPr>
        <w:pStyle w:val="BodyText"/>
        <w:spacing w:before="68"/>
        <w:ind w:left="1914"/>
        <w:jc w:val="left"/>
      </w:pPr>
      <w:r>
        <w:rPr/>
        <w:pict>
          <v:line style="position:absolute;mso-position-horizontal-relative:page;mso-position-vertical-relative:page;z-index:4336" from="318.897614pt,11.942451pt" to="318.897614pt,748.950451pt" stroked="true" strokeweight=".6pt" strokecolor="#231f20">
            <v:stroke dashstyle="solid"/>
            <w10:wrap type="none"/>
          </v:line>
        </w:pict>
      </w:r>
      <w:r>
        <w:rPr>
          <w:color w:val="231F20"/>
        </w:rPr>
        <w:t>Енергетски трансформатори</w:t>
      </w:r>
    </w:p>
    <w:p>
      <w:pPr>
        <w:pStyle w:val="BodyText"/>
        <w:spacing w:before="5"/>
        <w:ind w:left="0"/>
        <w:jc w:val="left"/>
        <w:rPr>
          <w:sz w:val="17"/>
        </w:rPr>
      </w:pPr>
    </w:p>
    <w:p>
      <w:pPr>
        <w:pStyle w:val="BodyText"/>
        <w:spacing w:line="232" w:lineRule="auto"/>
        <w:ind w:left="454" w:right="1" w:firstLine="396"/>
      </w:pPr>
      <w:r>
        <w:rPr>
          <w:color w:val="231F20"/>
        </w:rPr>
        <w:t>Предвиђени су трансформатори ОБТ2 и ОБТ3 110/6,6kV, трансформатори 6,3/0,4kV и Разводно постројење средњег напо- на, 6,3kV.</w:t>
      </w:r>
    </w:p>
    <w:p>
      <w:pPr>
        <w:pStyle w:val="BodyText"/>
        <w:spacing w:before="167"/>
        <w:ind w:left="2077"/>
        <w:jc w:val="left"/>
      </w:pPr>
      <w:r>
        <w:rPr>
          <w:color w:val="231F20"/>
        </w:rPr>
        <w:t>Електромоторни погони</w:t>
      </w:r>
    </w:p>
    <w:p>
      <w:pPr>
        <w:pStyle w:val="BodyText"/>
        <w:spacing w:before="6"/>
        <w:ind w:left="0"/>
        <w:jc w:val="left"/>
        <w:rPr>
          <w:sz w:val="17"/>
        </w:rPr>
      </w:pPr>
    </w:p>
    <w:p>
      <w:pPr>
        <w:pStyle w:val="BodyText"/>
        <w:spacing w:line="232" w:lineRule="auto"/>
        <w:ind w:left="453" w:firstLine="396"/>
      </w:pPr>
      <w:r>
        <w:rPr>
          <w:color w:val="231F20"/>
        </w:rPr>
        <w:t>Систем ОДГ садржи значајан број електромоторних потро- шача који се у рад пуштају директно. Међутим, мотори помоћних уређаја млинова кречњака, пумпе апсорбера и тракастих филтера захтевају управљање брзином обртања.</w:t>
      </w:r>
    </w:p>
    <w:p>
      <w:pPr>
        <w:pStyle w:val="BodyText"/>
        <w:spacing w:before="167"/>
        <w:ind w:left="2416" w:right="1965"/>
        <w:jc w:val="center"/>
      </w:pPr>
      <w:r>
        <w:rPr>
          <w:color w:val="231F20"/>
        </w:rPr>
        <w:t>Каблови</w:t>
      </w:r>
    </w:p>
    <w:p>
      <w:pPr>
        <w:pStyle w:val="BodyText"/>
        <w:spacing w:before="6"/>
        <w:ind w:left="0"/>
        <w:jc w:val="left"/>
        <w:rPr>
          <w:sz w:val="17"/>
        </w:rPr>
      </w:pPr>
    </w:p>
    <w:p>
      <w:pPr>
        <w:pStyle w:val="BodyText"/>
        <w:spacing w:line="232" w:lineRule="auto"/>
        <w:ind w:left="454" w:firstLine="396"/>
      </w:pPr>
      <w:r>
        <w:rPr>
          <w:color w:val="231F20"/>
        </w:rPr>
        <w:t>За развођење електричне енергије од разводних постројења 6kV и 0,4kV до појединих потрошача у систему одсумпоравања предвиђени су следећи енергетски каблови:</w:t>
      </w:r>
    </w:p>
    <w:p>
      <w:pPr>
        <w:pStyle w:val="BodyText"/>
        <w:spacing w:line="232" w:lineRule="auto" w:before="2"/>
        <w:ind w:left="454" w:firstLine="396"/>
      </w:pPr>
      <w:r>
        <w:rPr>
          <w:color w:val="231F20"/>
          <w:w w:val="66"/>
        </w:rPr>
        <w:t> </w:t>
      </w:r>
      <w:r>
        <w:rPr>
          <w:color w:val="231F20"/>
        </w:rPr>
        <w:t>– бакарни каблови 6/10 кV типа XLPE 3x95 mm² за</w:t>
      </w:r>
      <w:r>
        <w:rPr>
          <w:color w:val="231F20"/>
          <w:spacing w:val="-29"/>
        </w:rPr>
        <w:t> </w:t>
      </w:r>
      <w:r>
        <w:rPr>
          <w:color w:val="231F20"/>
        </w:rPr>
        <w:t>полагање по спољним трасама или у затвореном</w:t>
      </w:r>
      <w:r>
        <w:rPr>
          <w:color w:val="231F20"/>
          <w:spacing w:val="-8"/>
        </w:rPr>
        <w:t> </w:t>
      </w:r>
      <w:r>
        <w:rPr>
          <w:color w:val="231F20"/>
        </w:rPr>
        <w:t>простору;.</w:t>
      </w:r>
    </w:p>
    <w:p>
      <w:pPr>
        <w:pStyle w:val="BodyText"/>
        <w:spacing w:line="232" w:lineRule="auto" w:before="1"/>
        <w:ind w:left="454" w:firstLine="396"/>
      </w:pPr>
      <w:r>
        <w:rPr>
          <w:color w:val="231F20"/>
          <w:w w:val="66"/>
        </w:rPr>
        <w:t> </w:t>
      </w:r>
      <w:r>
        <w:rPr>
          <w:color w:val="231F20"/>
        </w:rPr>
        <w:t>–</w:t>
      </w:r>
      <w:r>
        <w:rPr>
          <w:color w:val="231F20"/>
          <w:spacing w:val="-6"/>
        </w:rPr>
        <w:t> </w:t>
      </w:r>
      <w:r>
        <w:rPr>
          <w:color w:val="231F20"/>
        </w:rPr>
        <w:t>бакарни</w:t>
      </w:r>
      <w:r>
        <w:rPr>
          <w:color w:val="231F20"/>
          <w:spacing w:val="-6"/>
        </w:rPr>
        <w:t> </w:t>
      </w:r>
      <w:r>
        <w:rPr>
          <w:color w:val="231F20"/>
        </w:rPr>
        <w:t>каблови</w:t>
      </w:r>
      <w:r>
        <w:rPr>
          <w:color w:val="231F20"/>
          <w:spacing w:val="-6"/>
        </w:rPr>
        <w:t> </w:t>
      </w:r>
      <w:r>
        <w:rPr>
          <w:color w:val="231F20"/>
        </w:rPr>
        <w:t>0,6/1kV</w:t>
      </w:r>
      <w:r>
        <w:rPr>
          <w:color w:val="231F20"/>
          <w:spacing w:val="-8"/>
        </w:rPr>
        <w:t> </w:t>
      </w:r>
      <w:r>
        <w:rPr>
          <w:color w:val="231F20"/>
        </w:rPr>
        <w:t>типа</w:t>
      </w:r>
      <w:r>
        <w:rPr>
          <w:color w:val="231F20"/>
          <w:spacing w:val="-6"/>
        </w:rPr>
        <w:t> </w:t>
      </w:r>
      <w:r>
        <w:rPr>
          <w:color w:val="231F20"/>
        </w:rPr>
        <w:t>PP41-Y</w:t>
      </w:r>
      <w:r>
        <w:rPr>
          <w:color w:val="231F20"/>
          <w:spacing w:val="-11"/>
        </w:rPr>
        <w:t> </w:t>
      </w:r>
      <w:r>
        <w:rPr>
          <w:color w:val="231F20"/>
        </w:rPr>
        <w:t>одговарајућег</w:t>
      </w:r>
      <w:r>
        <w:rPr>
          <w:color w:val="231F20"/>
          <w:spacing w:val="-6"/>
        </w:rPr>
        <w:t> </w:t>
      </w:r>
      <w:r>
        <w:rPr>
          <w:color w:val="231F20"/>
        </w:rPr>
        <w:t>пресе- ка за полагање по спољним трасама;</w:t>
      </w:r>
      <w:r>
        <w:rPr>
          <w:color w:val="231F20"/>
          <w:spacing w:val="-6"/>
        </w:rPr>
        <w:t> </w:t>
      </w:r>
      <w:r>
        <w:rPr>
          <w:color w:val="231F20"/>
        </w:rPr>
        <w:t>и</w:t>
      </w:r>
    </w:p>
    <w:p>
      <w:pPr>
        <w:pStyle w:val="BodyText"/>
        <w:spacing w:line="232" w:lineRule="auto" w:before="2"/>
        <w:ind w:left="454" w:firstLine="396"/>
      </w:pPr>
      <w:r>
        <w:rPr>
          <w:color w:val="231F20"/>
          <w:w w:val="66"/>
        </w:rPr>
        <w:t> </w:t>
      </w:r>
      <w:r>
        <w:rPr>
          <w:color w:val="231F20"/>
        </w:rPr>
        <w:t>–</w:t>
      </w:r>
      <w:r>
        <w:rPr>
          <w:color w:val="231F20"/>
          <w:spacing w:val="-6"/>
        </w:rPr>
        <w:t> </w:t>
      </w:r>
      <w:r>
        <w:rPr>
          <w:color w:val="231F20"/>
        </w:rPr>
        <w:t>бакарни</w:t>
      </w:r>
      <w:r>
        <w:rPr>
          <w:color w:val="231F20"/>
          <w:spacing w:val="-6"/>
        </w:rPr>
        <w:t> </w:t>
      </w:r>
      <w:r>
        <w:rPr>
          <w:color w:val="231F20"/>
        </w:rPr>
        <w:t>каблови</w:t>
      </w:r>
      <w:r>
        <w:rPr>
          <w:color w:val="231F20"/>
          <w:spacing w:val="-6"/>
        </w:rPr>
        <w:t> </w:t>
      </w:r>
      <w:r>
        <w:rPr>
          <w:color w:val="231F20"/>
        </w:rPr>
        <w:t>0,6/1kV</w:t>
      </w:r>
      <w:r>
        <w:rPr>
          <w:color w:val="231F20"/>
          <w:spacing w:val="-8"/>
        </w:rPr>
        <w:t> </w:t>
      </w:r>
      <w:r>
        <w:rPr>
          <w:color w:val="231F20"/>
        </w:rPr>
        <w:t>типа</w:t>
      </w:r>
      <w:r>
        <w:rPr>
          <w:color w:val="231F20"/>
          <w:spacing w:val="-6"/>
        </w:rPr>
        <w:t> </w:t>
      </w:r>
      <w:r>
        <w:rPr>
          <w:color w:val="231F20"/>
        </w:rPr>
        <w:t>PP00-Y</w:t>
      </w:r>
      <w:r>
        <w:rPr>
          <w:color w:val="231F20"/>
          <w:spacing w:val="-11"/>
        </w:rPr>
        <w:t> </w:t>
      </w:r>
      <w:r>
        <w:rPr>
          <w:color w:val="231F20"/>
        </w:rPr>
        <w:t>одговарајућег</w:t>
      </w:r>
      <w:r>
        <w:rPr>
          <w:color w:val="231F20"/>
          <w:spacing w:val="-6"/>
        </w:rPr>
        <w:t> </w:t>
      </w:r>
      <w:r>
        <w:rPr>
          <w:color w:val="231F20"/>
        </w:rPr>
        <w:t>пресе- ка за полагање у затвореном</w:t>
      </w:r>
      <w:r>
        <w:rPr>
          <w:color w:val="231F20"/>
          <w:spacing w:val="-5"/>
        </w:rPr>
        <w:t> </w:t>
      </w:r>
      <w:r>
        <w:rPr>
          <w:color w:val="231F20"/>
          <w:spacing w:val="-3"/>
        </w:rPr>
        <w:t>простору.</w:t>
      </w:r>
    </w:p>
    <w:p>
      <w:pPr>
        <w:pStyle w:val="BodyText"/>
        <w:spacing w:line="232" w:lineRule="auto" w:before="1"/>
        <w:ind w:left="454" w:right="1" w:firstLine="396"/>
      </w:pPr>
      <w:r>
        <w:rPr>
          <w:color w:val="231F20"/>
        </w:rPr>
        <w:t>У постојећем </w:t>
      </w:r>
      <w:r>
        <w:rPr>
          <w:color w:val="231F20"/>
          <w:spacing w:val="-3"/>
        </w:rPr>
        <w:t>кабловском </w:t>
      </w:r>
      <w:r>
        <w:rPr>
          <w:color w:val="231F20"/>
        </w:rPr>
        <w:t>систему ТЕ „Костолац” усвојен је максимални пресек каблова </w:t>
      </w:r>
      <w:r>
        <w:rPr>
          <w:color w:val="231F20"/>
          <w:spacing w:val="-3"/>
        </w:rPr>
        <w:t>од </w:t>
      </w:r>
      <w:r>
        <w:rPr>
          <w:color w:val="231F20"/>
        </w:rPr>
        <w:t>240 mm², што би требало испошто- </w:t>
      </w:r>
      <w:r>
        <w:rPr>
          <w:color w:val="231F20"/>
          <w:spacing w:val="-3"/>
        </w:rPr>
        <w:t>вати </w:t>
      </w:r>
      <w:r>
        <w:rPr>
          <w:color w:val="231F20"/>
        </w:rPr>
        <w:t>и </w:t>
      </w:r>
      <w:r>
        <w:rPr>
          <w:color w:val="231F20"/>
          <w:spacing w:val="-6"/>
        </w:rPr>
        <w:t>код </w:t>
      </w:r>
      <w:r>
        <w:rPr>
          <w:color w:val="231F20"/>
        </w:rPr>
        <w:t>осталих система. За оне потрошаче </w:t>
      </w:r>
      <w:r>
        <w:rPr>
          <w:color w:val="231F20"/>
          <w:spacing w:val="-4"/>
        </w:rPr>
        <w:t>где </w:t>
      </w:r>
      <w:r>
        <w:rPr>
          <w:color w:val="231F20"/>
        </w:rPr>
        <w:t>је због номинал- ног</w:t>
      </w:r>
      <w:r>
        <w:rPr>
          <w:color w:val="231F20"/>
          <w:spacing w:val="-5"/>
        </w:rPr>
        <w:t> </w:t>
      </w:r>
      <w:r>
        <w:rPr>
          <w:color w:val="231F20"/>
        </w:rPr>
        <w:t>оптерећења</w:t>
      </w:r>
      <w:r>
        <w:rPr>
          <w:color w:val="231F20"/>
          <w:spacing w:val="-5"/>
        </w:rPr>
        <w:t> </w:t>
      </w:r>
      <w:r>
        <w:rPr>
          <w:color w:val="231F20"/>
        </w:rPr>
        <w:t>потребан</w:t>
      </w:r>
      <w:r>
        <w:rPr>
          <w:color w:val="231F20"/>
          <w:spacing w:val="-5"/>
        </w:rPr>
        <w:t> </w:t>
      </w:r>
      <w:r>
        <w:rPr>
          <w:color w:val="231F20"/>
        </w:rPr>
        <w:t>кабл</w:t>
      </w:r>
      <w:r>
        <w:rPr>
          <w:color w:val="231F20"/>
          <w:spacing w:val="-5"/>
        </w:rPr>
        <w:t> </w:t>
      </w:r>
      <w:r>
        <w:rPr>
          <w:color w:val="231F20"/>
        </w:rPr>
        <w:t>већег</w:t>
      </w:r>
      <w:r>
        <w:rPr>
          <w:color w:val="231F20"/>
          <w:spacing w:val="-5"/>
        </w:rPr>
        <w:t> </w:t>
      </w:r>
      <w:r>
        <w:rPr>
          <w:color w:val="231F20"/>
        </w:rPr>
        <w:t>пресека,</w:t>
      </w:r>
      <w:r>
        <w:rPr>
          <w:color w:val="231F20"/>
          <w:spacing w:val="-5"/>
        </w:rPr>
        <w:t> </w:t>
      </w:r>
      <w:r>
        <w:rPr>
          <w:color w:val="231F20"/>
        </w:rPr>
        <w:t>полагаће</w:t>
      </w:r>
      <w:r>
        <w:rPr>
          <w:color w:val="231F20"/>
          <w:spacing w:val="-5"/>
        </w:rPr>
        <w:t> </w:t>
      </w:r>
      <w:r>
        <w:rPr>
          <w:color w:val="231F20"/>
        </w:rPr>
        <w:t>се</w:t>
      </w:r>
      <w:r>
        <w:rPr>
          <w:color w:val="231F20"/>
          <w:spacing w:val="-5"/>
        </w:rPr>
        <w:t> </w:t>
      </w:r>
      <w:r>
        <w:rPr>
          <w:color w:val="231F20"/>
        </w:rPr>
        <w:t>паралел- но два или више</w:t>
      </w:r>
      <w:r>
        <w:rPr>
          <w:color w:val="231F20"/>
          <w:spacing w:val="-5"/>
        </w:rPr>
        <w:t> </w:t>
      </w:r>
      <w:r>
        <w:rPr>
          <w:color w:val="231F20"/>
        </w:rPr>
        <w:t>каблова.</w:t>
      </w:r>
    </w:p>
    <w:p>
      <w:pPr>
        <w:pStyle w:val="BodyText"/>
        <w:spacing w:line="232" w:lineRule="auto" w:before="3"/>
        <w:ind w:left="455" w:firstLine="396"/>
      </w:pPr>
      <w:r>
        <w:rPr>
          <w:color w:val="231F20"/>
        </w:rPr>
        <w:t>У зависности од места проласка, каблови се полажу на сле- деће начине:</w:t>
      </w:r>
    </w:p>
    <w:p>
      <w:pPr>
        <w:pStyle w:val="BodyText"/>
        <w:spacing w:line="200" w:lineRule="exact"/>
        <w:ind w:left="852"/>
        <w:jc w:val="left"/>
      </w:pPr>
      <w:r>
        <w:rPr>
          <w:color w:val="231F20"/>
          <w:w w:val="66"/>
        </w:rPr>
        <w:t> </w:t>
      </w:r>
      <w:r>
        <w:rPr>
          <w:color w:val="231F20"/>
        </w:rPr>
        <w:t>– по регалима од типских предфабрикованих полица;</w:t>
      </w:r>
    </w:p>
    <w:p>
      <w:pPr>
        <w:pStyle w:val="BodyText"/>
        <w:spacing w:line="201" w:lineRule="exact"/>
        <w:ind w:left="851"/>
        <w:jc w:val="left"/>
      </w:pPr>
      <w:r>
        <w:rPr>
          <w:color w:val="231F20"/>
          <w:w w:val="66"/>
        </w:rPr>
        <w:t> </w:t>
      </w:r>
      <w:r>
        <w:rPr>
          <w:color w:val="231F20"/>
        </w:rPr>
        <w:t>– по зидовима;</w:t>
      </w:r>
    </w:p>
    <w:p>
      <w:pPr>
        <w:pStyle w:val="BodyText"/>
        <w:spacing w:line="201" w:lineRule="exact"/>
        <w:ind w:left="851"/>
        <w:jc w:val="left"/>
      </w:pPr>
      <w:r>
        <w:rPr>
          <w:color w:val="231F20"/>
          <w:w w:val="66"/>
        </w:rPr>
        <w:t> </w:t>
      </w:r>
      <w:r>
        <w:rPr>
          <w:color w:val="231F20"/>
        </w:rPr>
        <w:t>– кроз челичне цеви;</w:t>
      </w:r>
    </w:p>
    <w:p>
      <w:pPr>
        <w:pStyle w:val="BodyText"/>
        <w:spacing w:line="201" w:lineRule="exact"/>
        <w:ind w:left="851"/>
        <w:jc w:val="left"/>
      </w:pPr>
      <w:r>
        <w:rPr>
          <w:color w:val="231F20"/>
          <w:w w:val="66"/>
        </w:rPr>
        <w:t> </w:t>
      </w:r>
      <w:r>
        <w:rPr>
          <w:color w:val="231F20"/>
        </w:rPr>
        <w:t>– по конструкцијама за технолошку опрему; и</w:t>
      </w:r>
    </w:p>
    <w:p>
      <w:pPr>
        <w:pStyle w:val="BodyText"/>
        <w:spacing w:line="232" w:lineRule="auto" w:before="2"/>
        <w:ind w:left="455" w:firstLine="396"/>
      </w:pPr>
      <w:r>
        <w:rPr>
          <w:color w:val="231F20"/>
          <w:w w:val="66"/>
        </w:rPr>
        <w:t> </w:t>
      </w:r>
      <w:r>
        <w:rPr>
          <w:color w:val="231F20"/>
        </w:rPr>
        <w:t>–</w:t>
      </w:r>
      <w:r>
        <w:rPr>
          <w:color w:val="231F20"/>
          <w:spacing w:val="-10"/>
        </w:rPr>
        <w:t> </w:t>
      </w:r>
      <w:r>
        <w:rPr>
          <w:color w:val="231F20"/>
        </w:rPr>
        <w:t>у</w:t>
      </w:r>
      <w:r>
        <w:rPr>
          <w:color w:val="231F20"/>
          <w:spacing w:val="-10"/>
        </w:rPr>
        <w:t> </w:t>
      </w:r>
      <w:r>
        <w:rPr>
          <w:color w:val="231F20"/>
        </w:rPr>
        <w:t>бетонским</w:t>
      </w:r>
      <w:r>
        <w:rPr>
          <w:color w:val="231F20"/>
          <w:spacing w:val="-10"/>
        </w:rPr>
        <w:t> </w:t>
      </w:r>
      <w:r>
        <w:rPr>
          <w:color w:val="231F20"/>
        </w:rPr>
        <w:t>покривеним</w:t>
      </w:r>
      <w:r>
        <w:rPr>
          <w:color w:val="231F20"/>
          <w:spacing w:val="-10"/>
        </w:rPr>
        <w:t> </w:t>
      </w:r>
      <w:r>
        <w:rPr>
          <w:color w:val="231F20"/>
        </w:rPr>
        <w:t>каналима</w:t>
      </w:r>
      <w:r>
        <w:rPr>
          <w:color w:val="231F20"/>
          <w:spacing w:val="-10"/>
        </w:rPr>
        <w:t> </w:t>
      </w:r>
      <w:r>
        <w:rPr>
          <w:color w:val="231F20"/>
          <w:spacing w:val="-6"/>
        </w:rPr>
        <w:t>код</w:t>
      </w:r>
      <w:r>
        <w:rPr>
          <w:color w:val="231F20"/>
          <w:spacing w:val="-10"/>
        </w:rPr>
        <w:t> </w:t>
      </w:r>
      <w:r>
        <w:rPr>
          <w:color w:val="231F20"/>
        </w:rPr>
        <w:t>спољњег</w:t>
      </w:r>
      <w:r>
        <w:rPr>
          <w:color w:val="231F20"/>
          <w:spacing w:val="-10"/>
        </w:rPr>
        <w:t> </w:t>
      </w:r>
      <w:r>
        <w:rPr>
          <w:color w:val="231F20"/>
          <w:spacing w:val="-3"/>
        </w:rPr>
        <w:t>кабловског </w:t>
      </w:r>
      <w:r>
        <w:rPr>
          <w:color w:val="231F20"/>
        </w:rPr>
        <w:t>полагања.</w:t>
      </w:r>
    </w:p>
    <w:p>
      <w:pPr>
        <w:pStyle w:val="BodyText"/>
        <w:spacing w:line="232" w:lineRule="auto" w:before="2"/>
        <w:ind w:left="455" w:right="1" w:firstLine="396"/>
      </w:pPr>
      <w:r>
        <w:rPr>
          <w:color w:val="231F20"/>
        </w:rPr>
        <w:t>Предвиђа се још и уземљење и громобранска заштита, елек- тричне инсталације осветљења, утичница, климатизације и венти- лације.</w:t>
      </w:r>
    </w:p>
    <w:p>
      <w:pPr>
        <w:pStyle w:val="BodyText"/>
        <w:spacing w:line="232" w:lineRule="auto" w:before="2"/>
        <w:ind w:left="455" w:right="1" w:firstLine="396"/>
      </w:pPr>
      <w:r>
        <w:rPr>
          <w:color w:val="231F20"/>
          <w:spacing w:val="-4"/>
        </w:rPr>
        <w:t>Управљање </w:t>
      </w:r>
      <w:r>
        <w:rPr>
          <w:color w:val="231F20"/>
        </w:rPr>
        <w:t>постројењем за </w:t>
      </w:r>
      <w:r>
        <w:rPr>
          <w:color w:val="231F20"/>
          <w:spacing w:val="-5"/>
        </w:rPr>
        <w:t>ОДГ </w:t>
      </w:r>
      <w:r>
        <w:rPr>
          <w:color w:val="231F20"/>
        </w:rPr>
        <w:t>ће бити обављено уз </w:t>
      </w:r>
      <w:r>
        <w:rPr>
          <w:color w:val="231F20"/>
          <w:spacing w:val="-3"/>
        </w:rPr>
        <w:t>помоћ Дистрибуираног </w:t>
      </w:r>
      <w:r>
        <w:rPr>
          <w:color w:val="231F20"/>
          <w:spacing w:val="-4"/>
        </w:rPr>
        <w:t>управљачког </w:t>
      </w:r>
      <w:r>
        <w:rPr>
          <w:color w:val="231F20"/>
        </w:rPr>
        <w:t>система. </w:t>
      </w:r>
      <w:r>
        <w:rPr>
          <w:color w:val="231F20"/>
          <w:spacing w:val="-3"/>
        </w:rPr>
        <w:t>Његове функције су</w:t>
      </w:r>
      <w:r>
        <w:rPr>
          <w:color w:val="231F20"/>
          <w:spacing w:val="-24"/>
        </w:rPr>
        <w:t> </w:t>
      </w:r>
      <w:r>
        <w:rPr>
          <w:color w:val="231F20"/>
          <w:spacing w:val="-3"/>
        </w:rPr>
        <w:t>следеће:</w:t>
      </w:r>
    </w:p>
    <w:p>
      <w:pPr>
        <w:pStyle w:val="BodyText"/>
        <w:spacing w:line="232" w:lineRule="auto" w:before="1"/>
        <w:ind w:left="455" w:right="1" w:firstLine="396"/>
      </w:pPr>
      <w:r>
        <w:rPr>
          <w:color w:val="231F20"/>
          <w:w w:val="66"/>
        </w:rPr>
        <w:t> </w:t>
      </w:r>
      <w:r>
        <w:rPr>
          <w:color w:val="231F20"/>
        </w:rPr>
        <w:t>– прикупљање информација о процесу са давача и одашиља- ча који се налазе на</w:t>
      </w:r>
    </w:p>
    <w:p>
      <w:pPr>
        <w:pStyle w:val="BodyText"/>
        <w:spacing w:line="200" w:lineRule="exact"/>
        <w:ind w:left="852"/>
        <w:jc w:val="left"/>
      </w:pPr>
      <w:r>
        <w:rPr>
          <w:color w:val="231F20"/>
          <w:w w:val="66"/>
        </w:rPr>
        <w:t> </w:t>
      </w:r>
      <w:r>
        <w:rPr>
          <w:color w:val="231F20"/>
          <w:w w:val="95"/>
        </w:rPr>
        <w:t>– терену,</w:t>
      </w:r>
    </w:p>
    <w:p>
      <w:pPr>
        <w:pStyle w:val="BodyText"/>
        <w:spacing w:line="201" w:lineRule="exact"/>
        <w:ind w:left="852"/>
        <w:jc w:val="left"/>
      </w:pPr>
      <w:r>
        <w:rPr>
          <w:color w:val="231F20"/>
          <w:w w:val="66"/>
        </w:rPr>
        <w:t> </w:t>
      </w:r>
      <w:r>
        <w:rPr>
          <w:color w:val="231F20"/>
        </w:rPr>
        <w:t>– обрада података,</w:t>
      </w:r>
    </w:p>
    <w:p>
      <w:pPr>
        <w:pStyle w:val="BodyText"/>
        <w:spacing w:line="201" w:lineRule="exact"/>
        <w:ind w:left="852"/>
        <w:jc w:val="left"/>
      </w:pPr>
      <w:r>
        <w:rPr>
          <w:color w:val="231F20"/>
          <w:w w:val="66"/>
        </w:rPr>
        <w:t> </w:t>
      </w:r>
      <w:r>
        <w:rPr>
          <w:color w:val="231F20"/>
        </w:rPr>
        <w:t>– секвенцијалне, поједине, не и аналогне команде,</w:t>
      </w:r>
    </w:p>
    <w:p>
      <w:pPr>
        <w:pStyle w:val="BodyText"/>
        <w:spacing w:line="201" w:lineRule="exact"/>
        <w:ind w:left="852"/>
        <w:jc w:val="left"/>
      </w:pPr>
      <w:r>
        <w:rPr>
          <w:color w:val="231F20"/>
          <w:w w:val="66"/>
        </w:rPr>
        <w:t> </w:t>
      </w:r>
      <w:r>
        <w:rPr>
          <w:color w:val="231F20"/>
        </w:rPr>
        <w:t>– визуелизација података за оператере,</w:t>
      </w:r>
    </w:p>
    <w:p>
      <w:pPr>
        <w:pStyle w:val="BodyText"/>
        <w:spacing w:line="201" w:lineRule="exact"/>
        <w:ind w:left="852"/>
        <w:jc w:val="left"/>
      </w:pPr>
      <w:r>
        <w:rPr>
          <w:color w:val="231F20"/>
          <w:w w:val="66"/>
        </w:rPr>
        <w:t> </w:t>
      </w:r>
      <w:r>
        <w:rPr>
          <w:color w:val="231F20"/>
        </w:rPr>
        <w:t>– управљање алармима,</w:t>
      </w:r>
    </w:p>
    <w:p>
      <w:pPr>
        <w:pStyle w:val="BodyText"/>
        <w:spacing w:line="201" w:lineRule="exact"/>
        <w:ind w:left="852"/>
        <w:jc w:val="left"/>
      </w:pPr>
      <w:r>
        <w:rPr>
          <w:color w:val="231F20"/>
          <w:w w:val="66"/>
        </w:rPr>
        <w:t> </w:t>
      </w:r>
      <w:r>
        <w:rPr>
          <w:color w:val="231F20"/>
        </w:rPr>
        <w:t>– пренос података и команди са нивоа оператера ка процесу,</w:t>
      </w:r>
    </w:p>
    <w:p>
      <w:pPr>
        <w:pStyle w:val="BodyText"/>
        <w:spacing w:line="201" w:lineRule="exact"/>
        <w:ind w:left="852"/>
        <w:jc w:val="left"/>
      </w:pPr>
      <w:r>
        <w:rPr>
          <w:color w:val="231F20"/>
          <w:w w:val="66"/>
        </w:rPr>
        <w:t> </w:t>
      </w:r>
      <w:r>
        <w:rPr>
          <w:color w:val="231F20"/>
        </w:rPr>
        <w:t>– потпуна дијагностика система, и</w:t>
      </w:r>
    </w:p>
    <w:p>
      <w:pPr>
        <w:pStyle w:val="BodyText"/>
        <w:spacing w:line="204" w:lineRule="exact"/>
        <w:ind w:left="852"/>
        <w:jc w:val="left"/>
      </w:pPr>
      <w:r>
        <w:rPr>
          <w:color w:val="231F20"/>
          <w:w w:val="66"/>
        </w:rPr>
        <w:t> </w:t>
      </w:r>
      <w:r>
        <w:rPr>
          <w:color w:val="231F20"/>
        </w:rPr>
        <w:t>– архивирање и штампање измерених вредности и аларма.</w:t>
      </w:r>
    </w:p>
    <w:p>
      <w:pPr>
        <w:pStyle w:val="BodyText"/>
        <w:spacing w:line="404" w:lineRule="exact" w:before="9"/>
        <w:ind w:left="852" w:firstLine="1090"/>
        <w:jc w:val="left"/>
      </w:pPr>
      <w:r>
        <w:rPr>
          <w:color w:val="231F20"/>
        </w:rPr>
        <w:t>Телекомуникациони систем Телекомуникациони  систем  омогућава  унутрашњу</w:t>
      </w:r>
      <w:r>
        <w:rPr>
          <w:color w:val="231F20"/>
          <w:spacing w:val="-22"/>
        </w:rPr>
        <w:t> </w:t>
      </w:r>
      <w:r>
        <w:rPr>
          <w:color w:val="231F20"/>
          <w:spacing w:val="-3"/>
        </w:rPr>
        <w:t>комуни-</w:t>
      </w:r>
    </w:p>
    <w:p>
      <w:pPr>
        <w:pStyle w:val="BodyText"/>
        <w:spacing w:line="156" w:lineRule="exact"/>
        <w:ind w:left="456"/>
        <w:jc w:val="left"/>
      </w:pPr>
      <w:r>
        <w:rPr>
          <w:color w:val="231F20"/>
        </w:rPr>
        <w:t>кацију </w:t>
      </w:r>
      <w:r>
        <w:rPr>
          <w:color w:val="231F20"/>
          <w:spacing w:val="-3"/>
        </w:rPr>
        <w:t>гласом  </w:t>
      </w:r>
      <w:r>
        <w:rPr>
          <w:color w:val="231F20"/>
        </w:rPr>
        <w:t>у оквиру простора система за </w:t>
      </w:r>
      <w:r>
        <w:rPr>
          <w:color w:val="231F20"/>
          <w:spacing w:val="-4"/>
        </w:rPr>
        <w:t>ОДГ  </w:t>
      </w:r>
      <w:r>
        <w:rPr>
          <w:color w:val="231F20"/>
        </w:rPr>
        <w:t>укључујући по-</w:t>
      </w:r>
    </w:p>
    <w:p>
      <w:pPr>
        <w:pStyle w:val="BodyText"/>
        <w:spacing w:line="232" w:lineRule="auto" w:before="3"/>
        <w:ind w:left="456"/>
      </w:pPr>
      <w:r>
        <w:rPr>
          <w:color w:val="231F20"/>
        </w:rPr>
        <w:t>стројење</w:t>
      </w:r>
      <w:r>
        <w:rPr>
          <w:color w:val="231F20"/>
          <w:spacing w:val="-6"/>
        </w:rPr>
        <w:t> </w:t>
      </w:r>
      <w:r>
        <w:rPr>
          <w:color w:val="231F20"/>
        </w:rPr>
        <w:t>за</w:t>
      </w:r>
      <w:r>
        <w:rPr>
          <w:color w:val="231F20"/>
          <w:spacing w:val="-6"/>
        </w:rPr>
        <w:t> </w:t>
      </w:r>
      <w:r>
        <w:rPr>
          <w:color w:val="231F20"/>
        </w:rPr>
        <w:t>угушћавање,</w:t>
      </w:r>
      <w:r>
        <w:rPr>
          <w:color w:val="231F20"/>
          <w:spacing w:val="-6"/>
        </w:rPr>
        <w:t> </w:t>
      </w:r>
      <w:r>
        <w:rPr>
          <w:color w:val="231F20"/>
        </w:rPr>
        <w:t>млин</w:t>
      </w:r>
      <w:r>
        <w:rPr>
          <w:color w:val="231F20"/>
          <w:spacing w:val="-6"/>
        </w:rPr>
        <w:t> </w:t>
      </w:r>
      <w:r>
        <w:rPr>
          <w:color w:val="231F20"/>
        </w:rPr>
        <w:t>и</w:t>
      </w:r>
      <w:r>
        <w:rPr>
          <w:color w:val="231F20"/>
          <w:spacing w:val="-6"/>
        </w:rPr>
        <w:t> </w:t>
      </w:r>
      <w:r>
        <w:rPr>
          <w:color w:val="231F20"/>
        </w:rPr>
        <w:t>нови</w:t>
      </w:r>
      <w:r>
        <w:rPr>
          <w:color w:val="231F20"/>
          <w:spacing w:val="-6"/>
        </w:rPr>
        <w:t> </w:t>
      </w:r>
      <w:r>
        <w:rPr>
          <w:color w:val="231F20"/>
        </w:rPr>
        <w:t>димњак,</w:t>
      </w:r>
      <w:r>
        <w:rPr>
          <w:color w:val="231F20"/>
          <w:spacing w:val="-6"/>
        </w:rPr>
        <w:t> </w:t>
      </w:r>
      <w:r>
        <w:rPr>
          <w:color w:val="231F20"/>
        </w:rPr>
        <w:t>и</w:t>
      </w:r>
      <w:r>
        <w:rPr>
          <w:color w:val="231F20"/>
          <w:spacing w:val="-6"/>
        </w:rPr>
        <w:t> </w:t>
      </w:r>
      <w:r>
        <w:rPr>
          <w:color w:val="231F20"/>
        </w:rPr>
        <w:t>телефонску</w:t>
      </w:r>
      <w:r>
        <w:rPr>
          <w:color w:val="231F20"/>
          <w:spacing w:val="-6"/>
        </w:rPr>
        <w:t> </w:t>
      </w:r>
      <w:r>
        <w:rPr>
          <w:color w:val="231F20"/>
          <w:spacing w:val="-3"/>
        </w:rPr>
        <w:t>кому- </w:t>
      </w:r>
      <w:r>
        <w:rPr>
          <w:color w:val="231F20"/>
        </w:rPr>
        <w:t>никацију</w:t>
      </w:r>
      <w:r>
        <w:rPr>
          <w:color w:val="231F20"/>
          <w:spacing w:val="-5"/>
        </w:rPr>
        <w:t> </w:t>
      </w:r>
      <w:r>
        <w:rPr>
          <w:color w:val="231F20"/>
        </w:rPr>
        <w:t>са</w:t>
      </w:r>
      <w:r>
        <w:rPr>
          <w:color w:val="231F20"/>
          <w:spacing w:val="-5"/>
        </w:rPr>
        <w:t> </w:t>
      </w:r>
      <w:r>
        <w:rPr>
          <w:color w:val="231F20"/>
          <w:spacing w:val="-3"/>
        </w:rPr>
        <w:t>блоковима</w:t>
      </w:r>
      <w:r>
        <w:rPr>
          <w:color w:val="231F20"/>
          <w:spacing w:val="-5"/>
        </w:rPr>
        <w:t> </w:t>
      </w:r>
      <w:r>
        <w:rPr>
          <w:color w:val="231F20"/>
        </w:rPr>
        <w:t>1</w:t>
      </w:r>
      <w:r>
        <w:rPr>
          <w:color w:val="231F20"/>
          <w:spacing w:val="-5"/>
        </w:rPr>
        <w:t> </w:t>
      </w:r>
      <w:r>
        <w:rPr>
          <w:color w:val="231F20"/>
        </w:rPr>
        <w:t>и</w:t>
      </w:r>
      <w:r>
        <w:rPr>
          <w:color w:val="231F20"/>
          <w:spacing w:val="-5"/>
        </w:rPr>
        <w:t> </w:t>
      </w:r>
      <w:r>
        <w:rPr>
          <w:color w:val="231F20"/>
        </w:rPr>
        <w:t>2</w:t>
      </w:r>
      <w:r>
        <w:rPr>
          <w:color w:val="231F20"/>
          <w:spacing w:val="-5"/>
        </w:rPr>
        <w:t> </w:t>
      </w:r>
      <w:r>
        <w:rPr>
          <w:color w:val="231F20"/>
        </w:rPr>
        <w:t>ТЕ</w:t>
      </w:r>
      <w:r>
        <w:rPr>
          <w:color w:val="231F20"/>
          <w:spacing w:val="-5"/>
        </w:rPr>
        <w:t> </w:t>
      </w:r>
      <w:r>
        <w:rPr>
          <w:color w:val="231F20"/>
        </w:rPr>
        <w:t>Костолац.</w:t>
      </w:r>
      <w:r>
        <w:rPr>
          <w:color w:val="231F20"/>
          <w:spacing w:val="-5"/>
        </w:rPr>
        <w:t> </w:t>
      </w:r>
      <w:r>
        <w:rPr>
          <w:color w:val="231F20"/>
        </w:rPr>
        <w:t>Постоје</w:t>
      </w:r>
      <w:r>
        <w:rPr>
          <w:color w:val="231F20"/>
          <w:spacing w:val="-5"/>
        </w:rPr>
        <w:t> </w:t>
      </w:r>
      <w:r>
        <w:rPr>
          <w:color w:val="231F20"/>
        </w:rPr>
        <w:t>две</w:t>
      </w:r>
      <w:r>
        <w:rPr>
          <w:color w:val="231F20"/>
          <w:spacing w:val="-5"/>
        </w:rPr>
        <w:t> </w:t>
      </w:r>
      <w:r>
        <w:rPr>
          <w:color w:val="231F20"/>
        </w:rPr>
        <w:t>могућности за телекомуникације система за</w:t>
      </w:r>
      <w:r>
        <w:rPr>
          <w:color w:val="231F20"/>
          <w:spacing w:val="-4"/>
        </w:rPr>
        <w:t> ОДГ:</w:t>
      </w:r>
    </w:p>
    <w:p>
      <w:pPr>
        <w:pStyle w:val="BodyText"/>
        <w:spacing w:line="232" w:lineRule="auto" w:before="1"/>
        <w:ind w:left="456" w:firstLine="396"/>
      </w:pPr>
      <w:r>
        <w:rPr>
          <w:color w:val="231F20"/>
          <w:w w:val="66"/>
        </w:rPr>
        <w:t> </w:t>
      </w:r>
      <w:r>
        <w:rPr>
          <w:color w:val="231F20"/>
        </w:rPr>
        <w:t>– да телефонски систем постројења </w:t>
      </w:r>
      <w:r>
        <w:rPr>
          <w:color w:val="231F20"/>
          <w:spacing w:val="-5"/>
        </w:rPr>
        <w:t>буде </w:t>
      </w:r>
      <w:r>
        <w:rPr>
          <w:color w:val="231F20"/>
        </w:rPr>
        <w:t>проширен </w:t>
      </w:r>
      <w:r>
        <w:rPr>
          <w:color w:val="231F20"/>
          <w:spacing w:val="-3"/>
        </w:rPr>
        <w:t>тако </w:t>
      </w:r>
      <w:r>
        <w:rPr>
          <w:color w:val="231F20"/>
        </w:rPr>
        <w:t>да опслужује</w:t>
      </w:r>
      <w:r>
        <w:rPr>
          <w:color w:val="231F20"/>
          <w:spacing w:val="-6"/>
        </w:rPr>
        <w:t> </w:t>
      </w:r>
      <w:r>
        <w:rPr>
          <w:color w:val="231F20"/>
        </w:rPr>
        <w:t>простор</w:t>
      </w:r>
      <w:r>
        <w:rPr>
          <w:color w:val="231F20"/>
          <w:spacing w:val="-6"/>
        </w:rPr>
        <w:t> </w:t>
      </w:r>
      <w:r>
        <w:rPr>
          <w:color w:val="231F20"/>
        </w:rPr>
        <w:t>система</w:t>
      </w:r>
      <w:r>
        <w:rPr>
          <w:color w:val="231F20"/>
          <w:spacing w:val="-6"/>
        </w:rPr>
        <w:t> </w:t>
      </w:r>
      <w:r>
        <w:rPr>
          <w:color w:val="231F20"/>
        </w:rPr>
        <w:t>за</w:t>
      </w:r>
      <w:r>
        <w:rPr>
          <w:color w:val="231F20"/>
          <w:spacing w:val="-6"/>
        </w:rPr>
        <w:t> </w:t>
      </w:r>
      <w:r>
        <w:rPr>
          <w:color w:val="231F20"/>
          <w:spacing w:val="-4"/>
        </w:rPr>
        <w:t>ОДГ</w:t>
      </w:r>
      <w:r>
        <w:rPr>
          <w:color w:val="231F20"/>
          <w:spacing w:val="-6"/>
        </w:rPr>
        <w:t> </w:t>
      </w:r>
      <w:r>
        <w:rPr>
          <w:color w:val="231F20"/>
        </w:rPr>
        <w:t>и</w:t>
      </w:r>
      <w:r>
        <w:rPr>
          <w:color w:val="231F20"/>
          <w:spacing w:val="-6"/>
        </w:rPr>
        <w:t> </w:t>
      </w:r>
      <w:r>
        <w:rPr>
          <w:color w:val="231F20"/>
        </w:rPr>
        <w:t>нови</w:t>
      </w:r>
      <w:r>
        <w:rPr>
          <w:color w:val="231F20"/>
          <w:spacing w:val="-6"/>
        </w:rPr>
        <w:t> </w:t>
      </w:r>
      <w:r>
        <w:rPr>
          <w:color w:val="231F20"/>
        </w:rPr>
        <w:t>димњак.</w:t>
      </w:r>
      <w:r>
        <w:rPr>
          <w:color w:val="231F20"/>
          <w:spacing w:val="-7"/>
        </w:rPr>
        <w:t> </w:t>
      </w:r>
      <w:r>
        <w:rPr>
          <w:color w:val="231F20"/>
        </w:rPr>
        <w:t>У</w:t>
      </w:r>
      <w:r>
        <w:rPr>
          <w:color w:val="231F20"/>
          <w:spacing w:val="-6"/>
        </w:rPr>
        <w:t> </w:t>
      </w:r>
      <w:r>
        <w:rPr>
          <w:color w:val="231F20"/>
        </w:rPr>
        <w:t>овом</w:t>
      </w:r>
      <w:r>
        <w:rPr>
          <w:color w:val="231F20"/>
          <w:spacing w:val="-6"/>
        </w:rPr>
        <w:t> </w:t>
      </w:r>
      <w:r>
        <w:rPr>
          <w:color w:val="231F20"/>
        </w:rPr>
        <w:t>случају </w:t>
      </w:r>
      <w:r>
        <w:rPr>
          <w:color w:val="231F20"/>
          <w:spacing w:val="-3"/>
        </w:rPr>
        <w:t>главни </w:t>
      </w:r>
      <w:r>
        <w:rPr>
          <w:color w:val="231F20"/>
        </w:rPr>
        <w:t>делови </w:t>
      </w:r>
      <w:r>
        <w:rPr>
          <w:color w:val="231F20"/>
          <w:spacing w:val="-3"/>
        </w:rPr>
        <w:t>који </w:t>
      </w:r>
      <w:r>
        <w:rPr>
          <w:color w:val="231F20"/>
        </w:rPr>
        <w:t>треба да </w:t>
      </w:r>
      <w:r>
        <w:rPr>
          <w:color w:val="231F20"/>
          <w:spacing w:val="-5"/>
        </w:rPr>
        <w:t>буду </w:t>
      </w:r>
      <w:r>
        <w:rPr>
          <w:color w:val="231F20"/>
        </w:rPr>
        <w:t>обезбеђени су: </w:t>
      </w:r>
      <w:r>
        <w:rPr>
          <w:color w:val="231F20"/>
          <w:spacing w:val="-3"/>
        </w:rPr>
        <w:t>модули </w:t>
      </w:r>
      <w:r>
        <w:rPr>
          <w:color w:val="231F20"/>
        </w:rPr>
        <w:t>за проши- рење телефонског система термоелектране, аналогни и дигитални телефони, и</w:t>
      </w:r>
      <w:r>
        <w:rPr>
          <w:color w:val="231F20"/>
          <w:spacing w:val="-3"/>
        </w:rPr>
        <w:t> </w:t>
      </w:r>
      <w:r>
        <w:rPr>
          <w:color w:val="231F20"/>
        </w:rPr>
        <w:t>каблови;</w:t>
      </w:r>
    </w:p>
    <w:p>
      <w:pPr>
        <w:pStyle w:val="BodyText"/>
        <w:spacing w:line="232" w:lineRule="auto" w:before="4"/>
        <w:ind w:left="456" w:firstLine="397"/>
      </w:pPr>
      <w:r>
        <w:rPr>
          <w:color w:val="231F20"/>
          <w:w w:val="66"/>
        </w:rPr>
        <w:t> </w:t>
      </w:r>
      <w:r>
        <w:rPr>
          <w:color w:val="231F20"/>
        </w:rPr>
        <w:t>– нови телефонски систем који ће бити обезбеђен интерфеј- сом према постојећем. У овом случају нови систем ће садржати следеће:</w:t>
      </w:r>
    </w:p>
    <w:p>
      <w:pPr>
        <w:pStyle w:val="BodyText"/>
        <w:spacing w:line="201" w:lineRule="exact"/>
        <w:ind w:left="853"/>
        <w:jc w:val="left"/>
      </w:pPr>
      <w:r>
        <w:rPr>
          <w:color w:val="231F20"/>
          <w:w w:val="66"/>
        </w:rPr>
        <w:t> </w:t>
      </w:r>
      <w:r>
        <w:rPr>
          <w:color w:val="231F20"/>
        </w:rPr>
        <w:t>– дигиталну телефонску централу;</w:t>
      </w:r>
    </w:p>
    <w:p>
      <w:pPr>
        <w:pStyle w:val="BodyText"/>
        <w:spacing w:line="201" w:lineRule="exact"/>
        <w:ind w:left="853"/>
        <w:jc w:val="left"/>
      </w:pPr>
      <w:r>
        <w:rPr>
          <w:color w:val="231F20"/>
          <w:w w:val="66"/>
        </w:rPr>
        <w:t> </w:t>
      </w:r>
      <w:r>
        <w:rPr>
          <w:color w:val="231F20"/>
        </w:rPr>
        <w:t>–</w:t>
      </w:r>
      <w:r>
        <w:rPr>
          <w:color w:val="231F20"/>
          <w:spacing w:val="-17"/>
        </w:rPr>
        <w:t> </w:t>
      </w:r>
      <w:r>
        <w:rPr>
          <w:color w:val="231F20"/>
          <w:spacing w:val="-4"/>
        </w:rPr>
        <w:t>модуле</w:t>
      </w:r>
      <w:r>
        <w:rPr>
          <w:color w:val="231F20"/>
          <w:spacing w:val="-17"/>
        </w:rPr>
        <w:t> </w:t>
      </w:r>
      <w:r>
        <w:rPr>
          <w:color w:val="231F20"/>
        </w:rPr>
        <w:t>за</w:t>
      </w:r>
      <w:r>
        <w:rPr>
          <w:color w:val="231F20"/>
          <w:spacing w:val="-17"/>
        </w:rPr>
        <w:t> </w:t>
      </w:r>
      <w:r>
        <w:rPr>
          <w:color w:val="231F20"/>
        </w:rPr>
        <w:t>проширење</w:t>
      </w:r>
      <w:r>
        <w:rPr>
          <w:color w:val="231F20"/>
          <w:spacing w:val="-17"/>
        </w:rPr>
        <w:t> </w:t>
      </w:r>
      <w:r>
        <w:rPr>
          <w:color w:val="231F20"/>
        </w:rPr>
        <w:t>телефонског</w:t>
      </w:r>
      <w:r>
        <w:rPr>
          <w:color w:val="231F20"/>
          <w:spacing w:val="-17"/>
        </w:rPr>
        <w:t> </w:t>
      </w:r>
      <w:r>
        <w:rPr>
          <w:color w:val="231F20"/>
        </w:rPr>
        <w:t>система</w:t>
      </w:r>
      <w:r>
        <w:rPr>
          <w:color w:val="231F20"/>
          <w:spacing w:val="-17"/>
        </w:rPr>
        <w:t> </w:t>
      </w:r>
      <w:r>
        <w:rPr>
          <w:color w:val="231F20"/>
        </w:rPr>
        <w:t>термоелектране;</w:t>
      </w:r>
    </w:p>
    <w:p>
      <w:pPr>
        <w:pStyle w:val="BodyText"/>
        <w:spacing w:line="201" w:lineRule="exact"/>
        <w:ind w:left="853"/>
        <w:jc w:val="left"/>
      </w:pPr>
      <w:r>
        <w:rPr>
          <w:color w:val="231F20"/>
          <w:w w:val="66"/>
        </w:rPr>
        <w:t> </w:t>
      </w:r>
      <w:r>
        <w:rPr>
          <w:color w:val="231F20"/>
        </w:rPr>
        <w:t>– аналогно/дигиталне телефоне (спикерфоне), и</w:t>
      </w:r>
    </w:p>
    <w:p>
      <w:pPr>
        <w:pStyle w:val="BodyText"/>
        <w:spacing w:line="201" w:lineRule="exact"/>
        <w:ind w:left="853"/>
        <w:jc w:val="left"/>
      </w:pPr>
      <w:r>
        <w:rPr>
          <w:color w:val="231F20"/>
          <w:w w:val="66"/>
        </w:rPr>
        <w:t> </w:t>
      </w:r>
      <w:r>
        <w:rPr>
          <w:color w:val="231F20"/>
          <w:w w:val="95"/>
        </w:rPr>
        <w:t>– каблове.</w:t>
      </w:r>
    </w:p>
    <w:p>
      <w:pPr>
        <w:pStyle w:val="BodyText"/>
        <w:spacing w:line="232" w:lineRule="auto" w:before="2"/>
        <w:ind w:left="456" w:firstLine="396"/>
      </w:pPr>
      <w:r>
        <w:rPr>
          <w:color w:val="231F20"/>
        </w:rPr>
        <w:t>Ако је потребно, телефонски систем може да буде опремљен могућношћу за телефонско позивање преко разгласа.</w:t>
      </w:r>
    </w:p>
    <w:p>
      <w:pPr>
        <w:pStyle w:val="BodyText"/>
        <w:spacing w:before="63"/>
        <w:ind w:left="1971" w:right="1856"/>
        <w:jc w:val="center"/>
      </w:pPr>
      <w:r>
        <w:rPr/>
        <w:br w:type="column"/>
      </w:r>
      <w:r>
        <w:rPr>
          <w:color w:val="231F20"/>
        </w:rPr>
        <w:t>Разгласни систем</w:t>
      </w:r>
    </w:p>
    <w:p>
      <w:pPr>
        <w:pStyle w:val="BodyText"/>
        <w:spacing w:before="4"/>
        <w:ind w:left="0"/>
        <w:jc w:val="left"/>
        <w:rPr>
          <w:sz w:val="17"/>
        </w:rPr>
      </w:pPr>
    </w:p>
    <w:p>
      <w:pPr>
        <w:pStyle w:val="BodyText"/>
        <w:spacing w:line="232" w:lineRule="auto"/>
        <w:ind w:left="243" w:right="125" w:firstLine="396"/>
      </w:pPr>
      <w:r>
        <w:rPr>
          <w:color w:val="231F20"/>
        </w:rPr>
        <w:t>Разгласни систем термоелектране мора да буде проширен. Неколико додатних звучника отпорних на воду мора да буде ин- сталирано тамо где је потребно.</w:t>
      </w:r>
    </w:p>
    <w:p>
      <w:pPr>
        <w:pStyle w:val="BodyText"/>
        <w:spacing w:before="166"/>
        <w:ind w:left="1788"/>
        <w:jc w:val="left"/>
      </w:pPr>
      <w:r>
        <w:rPr>
          <w:color w:val="231F20"/>
        </w:rPr>
        <w:t>Временски (сатни) систем</w:t>
      </w:r>
    </w:p>
    <w:p>
      <w:pPr>
        <w:pStyle w:val="BodyText"/>
        <w:spacing w:before="5"/>
        <w:ind w:left="0"/>
        <w:jc w:val="left"/>
        <w:rPr>
          <w:sz w:val="17"/>
        </w:rPr>
      </w:pPr>
    </w:p>
    <w:p>
      <w:pPr>
        <w:pStyle w:val="BodyText"/>
        <w:spacing w:line="232" w:lineRule="auto"/>
        <w:ind w:left="243" w:right="125" w:firstLine="396"/>
      </w:pPr>
      <w:r>
        <w:rPr>
          <w:color w:val="231F20"/>
          <w:spacing w:val="-4"/>
        </w:rPr>
        <w:t>Ако </w:t>
      </w:r>
      <w:r>
        <w:rPr>
          <w:color w:val="231F20"/>
        </w:rPr>
        <w:t>је могуће, системски сатови и ДCС систем морају да </w:t>
      </w:r>
      <w:r>
        <w:rPr>
          <w:color w:val="231F20"/>
          <w:spacing w:val="-3"/>
        </w:rPr>
        <w:t>бу- </w:t>
      </w:r>
      <w:r>
        <w:rPr>
          <w:color w:val="231F20"/>
        </w:rPr>
        <w:t>ду напајани из заједничког извора времена за целу термоелектра- </w:t>
      </w:r>
      <w:r>
        <w:rPr>
          <w:color w:val="231F20"/>
          <w:spacing w:val="-7"/>
        </w:rPr>
        <w:t>ну. </w:t>
      </w:r>
      <w:r>
        <w:rPr>
          <w:color w:val="231F20"/>
        </w:rPr>
        <w:t>У супротном, </w:t>
      </w:r>
      <w:r>
        <w:rPr>
          <w:color w:val="231F20"/>
          <w:spacing w:val="-4"/>
        </w:rPr>
        <w:t>ако </w:t>
      </w:r>
      <w:r>
        <w:rPr>
          <w:color w:val="231F20"/>
        </w:rPr>
        <w:t>је потребно, може да </w:t>
      </w:r>
      <w:r>
        <w:rPr>
          <w:color w:val="231F20"/>
          <w:spacing w:val="-5"/>
        </w:rPr>
        <w:t>буде </w:t>
      </w:r>
      <w:r>
        <w:rPr>
          <w:color w:val="231F20"/>
        </w:rPr>
        <w:t>обезбеђен времен- ски систем заснован на ГПС</w:t>
      </w:r>
      <w:r>
        <w:rPr>
          <w:color w:val="231F20"/>
          <w:spacing w:val="-3"/>
        </w:rPr>
        <w:t> сигналу.</w:t>
      </w:r>
    </w:p>
    <w:p>
      <w:pPr>
        <w:pStyle w:val="BodyText"/>
        <w:spacing w:line="402" w:lineRule="exact" w:before="13"/>
        <w:ind w:left="639" w:firstLine="418"/>
        <w:jc w:val="left"/>
      </w:pPr>
      <w:r>
        <w:rPr>
          <w:color w:val="231F20"/>
        </w:rPr>
        <w:t>Технички захтеви за противпожарну заштиту Противпожарна заштита постројења за ОДГ у ТЕ Костолац</w:t>
      </w:r>
    </w:p>
    <w:p>
      <w:pPr>
        <w:pStyle w:val="BodyText"/>
        <w:spacing w:line="157" w:lineRule="exact"/>
        <w:ind w:left="243"/>
        <w:jc w:val="left"/>
      </w:pPr>
      <w:r>
        <w:rPr>
          <w:color w:val="231F20"/>
        </w:rPr>
        <w:t>мора да користи локалне апарате за гашење пожара, ормане за цре-</w:t>
      </w:r>
    </w:p>
    <w:p>
      <w:pPr>
        <w:pStyle w:val="BodyText"/>
        <w:spacing w:line="232" w:lineRule="auto" w:before="2"/>
        <w:ind w:left="243" w:right="125"/>
      </w:pPr>
      <w:r>
        <w:rPr>
          <w:color w:val="231F20"/>
        </w:rPr>
        <w:t>ва, влажне прскалице, и системе за плављење. Систем противпо- жарне заштите пројектован да </w:t>
      </w:r>
      <w:r>
        <w:rPr>
          <w:color w:val="231F20"/>
          <w:spacing w:val="-3"/>
        </w:rPr>
        <w:t>аутоматски </w:t>
      </w:r>
      <w:r>
        <w:rPr>
          <w:color w:val="231F20"/>
        </w:rPr>
        <w:t>активира звучни аларм и алармни сигнал повезан на ДCС постројења (термоелектране). Комбиновани</w:t>
      </w:r>
      <w:r>
        <w:rPr>
          <w:color w:val="231F20"/>
          <w:spacing w:val="-10"/>
        </w:rPr>
        <w:t> </w:t>
      </w:r>
      <w:r>
        <w:rPr>
          <w:color w:val="231F20"/>
        </w:rPr>
        <w:t>детектори</w:t>
      </w:r>
      <w:r>
        <w:rPr>
          <w:color w:val="231F20"/>
          <w:spacing w:val="-10"/>
        </w:rPr>
        <w:t> </w:t>
      </w:r>
      <w:r>
        <w:rPr>
          <w:color w:val="231F20"/>
        </w:rPr>
        <w:t>ватре/дима</w:t>
      </w:r>
      <w:r>
        <w:rPr>
          <w:color w:val="231F20"/>
          <w:spacing w:val="-10"/>
        </w:rPr>
        <w:t> </w:t>
      </w:r>
      <w:r>
        <w:rPr>
          <w:color w:val="231F20"/>
        </w:rPr>
        <w:t>са</w:t>
      </w:r>
      <w:r>
        <w:rPr>
          <w:color w:val="231F20"/>
          <w:spacing w:val="-10"/>
        </w:rPr>
        <w:t> </w:t>
      </w:r>
      <w:r>
        <w:rPr>
          <w:color w:val="231F20"/>
        </w:rPr>
        <w:t>бљескалицом</w:t>
      </w:r>
      <w:r>
        <w:rPr>
          <w:color w:val="231F20"/>
          <w:spacing w:val="-10"/>
        </w:rPr>
        <w:t> </w:t>
      </w:r>
      <w:r>
        <w:rPr>
          <w:color w:val="231F20"/>
        </w:rPr>
        <w:t>и</w:t>
      </w:r>
      <w:r>
        <w:rPr>
          <w:color w:val="231F20"/>
          <w:spacing w:val="-10"/>
        </w:rPr>
        <w:t> </w:t>
      </w:r>
      <w:r>
        <w:rPr>
          <w:color w:val="231F20"/>
        </w:rPr>
        <w:t>звучном</w:t>
      </w:r>
      <w:r>
        <w:rPr>
          <w:color w:val="231F20"/>
          <w:spacing w:val="-10"/>
        </w:rPr>
        <w:t> </w:t>
      </w:r>
      <w:r>
        <w:rPr>
          <w:color w:val="231F20"/>
        </w:rPr>
        <w:t>си- реном ће бити инсталирани и повезани са</w:t>
      </w:r>
      <w:r>
        <w:rPr>
          <w:color w:val="231F20"/>
          <w:spacing w:val="-6"/>
        </w:rPr>
        <w:t> </w:t>
      </w:r>
      <w:r>
        <w:rPr>
          <w:color w:val="231F20"/>
        </w:rPr>
        <w:t>ДCС.</w:t>
      </w:r>
    </w:p>
    <w:p>
      <w:pPr>
        <w:pStyle w:val="BodyText"/>
        <w:spacing w:line="232" w:lineRule="auto" w:before="1"/>
        <w:ind w:left="243" w:right="125" w:firstLine="396"/>
      </w:pPr>
      <w:r>
        <w:rPr>
          <w:color w:val="231F20"/>
        </w:rPr>
        <w:t>После завршетка инсталирања, сви отвори (продори) и уну- трашњи зидови морају да </w:t>
      </w:r>
      <w:r>
        <w:rPr>
          <w:color w:val="231F20"/>
          <w:spacing w:val="-5"/>
        </w:rPr>
        <w:t>буду </w:t>
      </w:r>
      <w:r>
        <w:rPr>
          <w:color w:val="231F20"/>
        </w:rPr>
        <w:t>заптивени да би се спречио упад воде,</w:t>
      </w:r>
      <w:r>
        <w:rPr>
          <w:color w:val="231F20"/>
          <w:spacing w:val="-10"/>
        </w:rPr>
        <w:t> </w:t>
      </w:r>
      <w:r>
        <w:rPr>
          <w:color w:val="231F20"/>
        </w:rPr>
        <w:t>дима,</w:t>
      </w:r>
      <w:r>
        <w:rPr>
          <w:color w:val="231F20"/>
          <w:spacing w:val="-10"/>
        </w:rPr>
        <w:t> </w:t>
      </w:r>
      <w:r>
        <w:rPr>
          <w:color w:val="231F20"/>
        </w:rPr>
        <w:t>прашине</w:t>
      </w:r>
      <w:r>
        <w:rPr>
          <w:color w:val="231F20"/>
          <w:spacing w:val="-10"/>
        </w:rPr>
        <w:t> </w:t>
      </w:r>
      <w:r>
        <w:rPr>
          <w:color w:val="231F20"/>
        </w:rPr>
        <w:t>и</w:t>
      </w:r>
      <w:r>
        <w:rPr>
          <w:color w:val="231F20"/>
          <w:spacing w:val="-10"/>
        </w:rPr>
        <w:t> </w:t>
      </w:r>
      <w:r>
        <w:rPr>
          <w:color w:val="231F20"/>
        </w:rPr>
        <w:t>опасних</w:t>
      </w:r>
      <w:r>
        <w:rPr>
          <w:color w:val="231F20"/>
          <w:spacing w:val="-10"/>
        </w:rPr>
        <w:t> </w:t>
      </w:r>
      <w:r>
        <w:rPr>
          <w:color w:val="231F20"/>
        </w:rPr>
        <w:t>испарења.</w:t>
      </w:r>
      <w:r>
        <w:rPr>
          <w:color w:val="231F20"/>
          <w:spacing w:val="-10"/>
        </w:rPr>
        <w:t> </w:t>
      </w:r>
      <w:r>
        <w:rPr>
          <w:color w:val="231F20"/>
        </w:rPr>
        <w:t>Сви</w:t>
      </w:r>
      <w:r>
        <w:rPr>
          <w:color w:val="231F20"/>
          <w:spacing w:val="-10"/>
        </w:rPr>
        <w:t> </w:t>
      </w:r>
      <w:r>
        <w:rPr>
          <w:color w:val="231F20"/>
        </w:rPr>
        <w:t>материјали,</w:t>
      </w:r>
      <w:r>
        <w:rPr>
          <w:color w:val="231F20"/>
          <w:spacing w:val="-10"/>
        </w:rPr>
        <w:t> </w:t>
      </w:r>
      <w:r>
        <w:rPr>
          <w:color w:val="231F20"/>
        </w:rPr>
        <w:t>као</w:t>
      </w:r>
      <w:r>
        <w:rPr>
          <w:color w:val="231F20"/>
          <w:spacing w:val="-10"/>
        </w:rPr>
        <w:t> </w:t>
      </w:r>
      <w:r>
        <w:rPr>
          <w:color w:val="231F20"/>
        </w:rPr>
        <w:t>што су савитљиви спојеви, изолација, хардвер, канали, и друго, морају бити отпорни на ватру и класификовани за простирања пламена, као што је наведено у дефинисано референтним</w:t>
      </w:r>
      <w:r>
        <w:rPr>
          <w:color w:val="231F20"/>
          <w:spacing w:val="-20"/>
        </w:rPr>
        <w:t> </w:t>
      </w:r>
      <w:r>
        <w:rPr>
          <w:color w:val="231F20"/>
        </w:rPr>
        <w:t>нормативима.</w:t>
      </w:r>
    </w:p>
    <w:p>
      <w:pPr>
        <w:pStyle w:val="BodyText"/>
        <w:spacing w:line="232" w:lineRule="auto" w:before="2"/>
        <w:ind w:left="243" w:right="124" w:firstLine="396"/>
      </w:pPr>
      <w:r>
        <w:rPr>
          <w:color w:val="231F20"/>
        </w:rPr>
        <w:t>Опрема за грејање, проветравање и климатизацију и канали ће бити опремљени командама управљачким елементима и про- тивпожарним клапнама.</w:t>
      </w:r>
    </w:p>
    <w:p>
      <w:pPr>
        <w:pStyle w:val="BodyText"/>
        <w:spacing w:line="232" w:lineRule="auto" w:before="1"/>
        <w:ind w:left="243" w:right="124" w:firstLine="397"/>
      </w:pPr>
      <w:r>
        <w:rPr>
          <w:color w:val="231F20"/>
          <w:spacing w:val="-4"/>
        </w:rPr>
        <w:t>Усвајањем </w:t>
      </w:r>
      <w:r>
        <w:rPr>
          <w:color w:val="231F20"/>
          <w:spacing w:val="-2"/>
        </w:rPr>
        <w:t>закона </w:t>
      </w:r>
      <w:r>
        <w:rPr>
          <w:color w:val="231F20"/>
        </w:rPr>
        <w:t>из области заштите животне средине у Ср- бији је интензивиран процес усаглашавања наше регулативе са </w:t>
      </w:r>
      <w:r>
        <w:rPr>
          <w:color w:val="231F20"/>
          <w:spacing w:val="-3"/>
        </w:rPr>
        <w:t>регулативом </w:t>
      </w:r>
      <w:r>
        <w:rPr>
          <w:color w:val="231F20"/>
        </w:rPr>
        <w:t>Европске уније. Један </w:t>
      </w:r>
      <w:r>
        <w:rPr>
          <w:color w:val="231F20"/>
          <w:spacing w:val="-3"/>
        </w:rPr>
        <w:t>од </w:t>
      </w:r>
      <w:r>
        <w:rPr>
          <w:color w:val="231F20"/>
        </w:rPr>
        <w:t>најважнијих сегмената овог процеса односи се на мере заштите ваздуха смањивањем емисија загађујућих материја на извору загађења. С обзиром да је допри- нос термоелектрана укупној емисији загађујућих материја у ва- здух</w:t>
      </w:r>
      <w:r>
        <w:rPr>
          <w:color w:val="231F20"/>
          <w:spacing w:val="-7"/>
        </w:rPr>
        <w:t> </w:t>
      </w:r>
      <w:r>
        <w:rPr>
          <w:color w:val="231F20"/>
        </w:rPr>
        <w:t>доминантан,</w:t>
      </w:r>
      <w:r>
        <w:rPr>
          <w:color w:val="231F20"/>
          <w:spacing w:val="-7"/>
        </w:rPr>
        <w:t> </w:t>
      </w:r>
      <w:r>
        <w:rPr>
          <w:color w:val="231F20"/>
        </w:rPr>
        <w:t>очекује</w:t>
      </w:r>
      <w:r>
        <w:rPr>
          <w:color w:val="231F20"/>
          <w:spacing w:val="-7"/>
        </w:rPr>
        <w:t> </w:t>
      </w:r>
      <w:r>
        <w:rPr>
          <w:color w:val="231F20"/>
        </w:rPr>
        <w:t>се</w:t>
      </w:r>
      <w:r>
        <w:rPr>
          <w:color w:val="231F20"/>
          <w:spacing w:val="-7"/>
        </w:rPr>
        <w:t> </w:t>
      </w:r>
      <w:r>
        <w:rPr>
          <w:color w:val="231F20"/>
        </w:rPr>
        <w:t>да</w:t>
      </w:r>
      <w:r>
        <w:rPr>
          <w:color w:val="231F20"/>
          <w:spacing w:val="-7"/>
        </w:rPr>
        <w:t> </w:t>
      </w:r>
      <w:r>
        <w:rPr>
          <w:color w:val="231F20"/>
        </w:rPr>
        <w:t>ће</w:t>
      </w:r>
      <w:r>
        <w:rPr>
          <w:color w:val="231F20"/>
          <w:spacing w:val="-7"/>
        </w:rPr>
        <w:t> </w:t>
      </w:r>
      <w:r>
        <w:rPr>
          <w:color w:val="231F20"/>
        </w:rPr>
        <w:t>се</w:t>
      </w:r>
      <w:r>
        <w:rPr>
          <w:color w:val="231F20"/>
          <w:spacing w:val="-7"/>
        </w:rPr>
        <w:t> </w:t>
      </w:r>
      <w:r>
        <w:rPr>
          <w:color w:val="231F20"/>
        </w:rPr>
        <w:t>први</w:t>
      </w:r>
      <w:r>
        <w:rPr>
          <w:color w:val="231F20"/>
          <w:spacing w:val="-7"/>
        </w:rPr>
        <w:t> </w:t>
      </w:r>
      <w:r>
        <w:rPr>
          <w:color w:val="231F20"/>
        </w:rPr>
        <w:t>захтеви</w:t>
      </w:r>
      <w:r>
        <w:rPr>
          <w:color w:val="231F20"/>
          <w:spacing w:val="-7"/>
        </w:rPr>
        <w:t> </w:t>
      </w:r>
      <w:r>
        <w:rPr>
          <w:color w:val="231F20"/>
        </w:rPr>
        <w:t>ЕУ</w:t>
      </w:r>
      <w:r>
        <w:rPr>
          <w:color w:val="231F20"/>
          <w:spacing w:val="-7"/>
        </w:rPr>
        <w:t> </w:t>
      </w:r>
      <w:r>
        <w:rPr>
          <w:color w:val="231F20"/>
        </w:rPr>
        <w:t>у</w:t>
      </w:r>
      <w:r>
        <w:rPr>
          <w:color w:val="231F20"/>
          <w:spacing w:val="-7"/>
        </w:rPr>
        <w:t> </w:t>
      </w:r>
      <w:r>
        <w:rPr>
          <w:color w:val="231F20"/>
        </w:rPr>
        <w:t>овом</w:t>
      </w:r>
      <w:r>
        <w:rPr>
          <w:color w:val="231F20"/>
          <w:spacing w:val="-7"/>
        </w:rPr>
        <w:t> </w:t>
      </w:r>
      <w:r>
        <w:rPr>
          <w:color w:val="231F20"/>
        </w:rPr>
        <w:t>доме- ну односити на објекте ЕПС-а, при чему ће, у наредном </w:t>
      </w:r>
      <w:r>
        <w:rPr>
          <w:color w:val="231F20"/>
          <w:spacing w:val="-4"/>
        </w:rPr>
        <w:t>периоду, </w:t>
      </w:r>
      <w:r>
        <w:rPr>
          <w:color w:val="231F20"/>
        </w:rPr>
        <w:t>активности </w:t>
      </w:r>
      <w:r>
        <w:rPr>
          <w:color w:val="231F20"/>
          <w:spacing w:val="-3"/>
        </w:rPr>
        <w:t>које </w:t>
      </w:r>
      <w:r>
        <w:rPr>
          <w:color w:val="231F20"/>
        </w:rPr>
        <w:t>се односе на смањење емисија сумпорних оксида </w:t>
      </w:r>
      <w:r>
        <w:rPr>
          <w:color w:val="231F20"/>
          <w:spacing w:val="-6"/>
        </w:rPr>
        <w:t>код </w:t>
      </w:r>
      <w:r>
        <w:rPr>
          <w:color w:val="231F20"/>
        </w:rPr>
        <w:t>постојећих ТЕ имати</w:t>
      </w:r>
      <w:r>
        <w:rPr>
          <w:color w:val="231F20"/>
          <w:spacing w:val="3"/>
        </w:rPr>
        <w:t> </w:t>
      </w:r>
      <w:r>
        <w:rPr>
          <w:color w:val="231F20"/>
        </w:rPr>
        <w:t>приоритет.</w:t>
      </w:r>
    </w:p>
    <w:p>
      <w:pPr>
        <w:pStyle w:val="BodyText"/>
        <w:spacing w:line="232" w:lineRule="auto" w:before="3"/>
        <w:ind w:left="242" w:right="125" w:firstLine="397"/>
      </w:pPr>
      <w:r>
        <w:rPr>
          <w:color w:val="231F20"/>
        </w:rPr>
        <w:t>У оквиру Националног програма заштите животне средине </w:t>
      </w:r>
      <w:r>
        <w:rPr>
          <w:color w:val="231F20"/>
          <w:spacing w:val="-3"/>
        </w:rPr>
        <w:t>Републике </w:t>
      </w:r>
      <w:r>
        <w:rPr>
          <w:color w:val="231F20"/>
        </w:rPr>
        <w:t>Србије, </w:t>
      </w:r>
      <w:r>
        <w:rPr>
          <w:color w:val="231F20"/>
          <w:spacing w:val="-3"/>
        </w:rPr>
        <w:t>који </w:t>
      </w:r>
      <w:r>
        <w:rPr>
          <w:color w:val="231F20"/>
        </w:rPr>
        <w:t>је донет у складу са </w:t>
      </w:r>
      <w:r>
        <w:rPr>
          <w:color w:val="231F20"/>
          <w:spacing w:val="-3"/>
        </w:rPr>
        <w:t>Законом </w:t>
      </w:r>
      <w:r>
        <w:rPr>
          <w:color w:val="231F20"/>
        </w:rPr>
        <w:t>о заштити животне средине („Службени гласник РС”, број 135/04), планира- не су мере за одрживи развој и управљање животном средином у Републици Србији за наредних 10 година. Један </w:t>
      </w:r>
      <w:r>
        <w:rPr>
          <w:color w:val="231F20"/>
          <w:spacing w:val="-3"/>
        </w:rPr>
        <w:t>од </w:t>
      </w:r>
      <w:r>
        <w:rPr>
          <w:color w:val="231F20"/>
        </w:rPr>
        <w:t>приоритетних циљева</w:t>
      </w:r>
      <w:r>
        <w:rPr>
          <w:color w:val="231F20"/>
          <w:spacing w:val="-5"/>
        </w:rPr>
        <w:t> </w:t>
      </w:r>
      <w:r>
        <w:rPr>
          <w:color w:val="231F20"/>
        </w:rPr>
        <w:t>заштите</w:t>
      </w:r>
      <w:r>
        <w:rPr>
          <w:color w:val="231F20"/>
          <w:spacing w:val="-5"/>
        </w:rPr>
        <w:t> </w:t>
      </w:r>
      <w:r>
        <w:rPr>
          <w:color w:val="231F20"/>
        </w:rPr>
        <w:t>животне</w:t>
      </w:r>
      <w:r>
        <w:rPr>
          <w:color w:val="231F20"/>
          <w:spacing w:val="-5"/>
        </w:rPr>
        <w:t> </w:t>
      </w:r>
      <w:r>
        <w:rPr>
          <w:color w:val="231F20"/>
        </w:rPr>
        <w:t>средине</w:t>
      </w:r>
      <w:r>
        <w:rPr>
          <w:color w:val="231F20"/>
          <w:spacing w:val="-5"/>
        </w:rPr>
        <w:t> </w:t>
      </w:r>
      <w:r>
        <w:rPr>
          <w:color w:val="231F20"/>
        </w:rPr>
        <w:t>у</w:t>
      </w:r>
      <w:r>
        <w:rPr>
          <w:color w:val="231F20"/>
          <w:spacing w:val="-5"/>
        </w:rPr>
        <w:t> </w:t>
      </w:r>
      <w:r>
        <w:rPr>
          <w:color w:val="231F20"/>
        </w:rPr>
        <w:t>сектору</w:t>
      </w:r>
      <w:r>
        <w:rPr>
          <w:color w:val="231F20"/>
          <w:spacing w:val="-5"/>
        </w:rPr>
        <w:t> </w:t>
      </w:r>
      <w:r>
        <w:rPr>
          <w:color w:val="231F20"/>
        </w:rPr>
        <w:t>енергетике,</w:t>
      </w:r>
      <w:r>
        <w:rPr>
          <w:color w:val="231F20"/>
          <w:spacing w:val="-5"/>
        </w:rPr>
        <w:t> </w:t>
      </w:r>
      <w:r>
        <w:rPr>
          <w:color w:val="231F20"/>
        </w:rPr>
        <w:t>у</w:t>
      </w:r>
      <w:r>
        <w:rPr>
          <w:color w:val="231F20"/>
          <w:spacing w:val="-5"/>
        </w:rPr>
        <w:t> </w:t>
      </w:r>
      <w:r>
        <w:rPr>
          <w:color w:val="231F20"/>
        </w:rPr>
        <w:t>периоду 2005 –2014. година, је смањење емисије сумпорних оксида из ве- ликих постројења за сагоревање као што је ТЕ „Костолац Б” и</w:t>
      </w:r>
      <w:r>
        <w:rPr>
          <w:color w:val="231F20"/>
          <w:spacing w:val="26"/>
        </w:rPr>
        <w:t> </w:t>
      </w:r>
      <w:r>
        <w:rPr>
          <w:color w:val="231F20"/>
        </w:rPr>
        <w:t>ТЕ</w:t>
      </w:r>
    </w:p>
    <w:p>
      <w:pPr>
        <w:pStyle w:val="BodyText"/>
        <w:spacing w:line="232" w:lineRule="auto" w:before="2"/>
        <w:ind w:left="242" w:right="125"/>
      </w:pPr>
      <w:r>
        <w:rPr>
          <w:color w:val="231F20"/>
        </w:rPr>
        <w:t>„Никола Тесла А” и ТЕ „Никола Тесла Б” и нови термо капацитет на колубарски лигнит приближне снаге 700 МW, а у циљу усагла- шавања са захтевима регулативе ЕУ (Директива 2001/80/ЕC ) за велика ложишта.</w:t>
      </w:r>
    </w:p>
    <w:p>
      <w:pPr>
        <w:pStyle w:val="BodyText"/>
        <w:spacing w:line="232" w:lineRule="auto" w:before="1"/>
        <w:ind w:left="243" w:right="124" w:firstLine="396"/>
      </w:pPr>
      <w:r>
        <w:rPr>
          <w:color w:val="231F20"/>
        </w:rPr>
        <w:t>У циљу сагледавања могућих решења одсумпоравања ТЕ ЕПС-а урађена је </w:t>
      </w:r>
      <w:r>
        <w:rPr>
          <w:color w:val="231F20"/>
          <w:spacing w:val="-3"/>
        </w:rPr>
        <w:t>Студија </w:t>
      </w:r>
      <w:r>
        <w:rPr>
          <w:color w:val="231F20"/>
        </w:rPr>
        <w:t>„Правци оптималног смањења емиси-  је сумпорних оксида из термоелектрана Електропривреде Србије” </w:t>
      </w:r>
      <w:r>
        <w:rPr>
          <w:color w:val="231F20"/>
          <w:spacing w:val="-3"/>
        </w:rPr>
        <w:t>која </w:t>
      </w:r>
      <w:r>
        <w:rPr>
          <w:color w:val="231F20"/>
        </w:rPr>
        <w:t>је дефинисала техничка решења за смањење емисије сумпор- них</w:t>
      </w:r>
      <w:r>
        <w:rPr>
          <w:color w:val="231F20"/>
          <w:spacing w:val="-6"/>
        </w:rPr>
        <w:t> </w:t>
      </w:r>
      <w:r>
        <w:rPr>
          <w:color w:val="231F20"/>
        </w:rPr>
        <w:t>оксида</w:t>
      </w:r>
      <w:r>
        <w:rPr>
          <w:color w:val="231F20"/>
          <w:spacing w:val="-6"/>
        </w:rPr>
        <w:t> </w:t>
      </w:r>
      <w:r>
        <w:rPr>
          <w:color w:val="231F20"/>
        </w:rPr>
        <w:t>из</w:t>
      </w:r>
      <w:r>
        <w:rPr>
          <w:color w:val="231F20"/>
          <w:spacing w:val="-6"/>
        </w:rPr>
        <w:t> </w:t>
      </w:r>
      <w:r>
        <w:rPr>
          <w:color w:val="231F20"/>
        </w:rPr>
        <w:t>постојећих</w:t>
      </w:r>
      <w:r>
        <w:rPr>
          <w:color w:val="231F20"/>
          <w:spacing w:val="-6"/>
        </w:rPr>
        <w:t> </w:t>
      </w:r>
      <w:r>
        <w:rPr>
          <w:color w:val="231F20"/>
        </w:rPr>
        <w:t>термоелектрана,</w:t>
      </w:r>
      <w:r>
        <w:rPr>
          <w:color w:val="231F20"/>
          <w:spacing w:val="-6"/>
        </w:rPr>
        <w:t> </w:t>
      </w:r>
      <w:r>
        <w:rPr>
          <w:color w:val="231F20"/>
        </w:rPr>
        <w:t>дала</w:t>
      </w:r>
      <w:r>
        <w:rPr>
          <w:color w:val="231F20"/>
          <w:spacing w:val="-6"/>
        </w:rPr>
        <w:t> </w:t>
      </w:r>
      <w:r>
        <w:rPr>
          <w:color w:val="231F20"/>
        </w:rPr>
        <w:t>предлог</w:t>
      </w:r>
      <w:r>
        <w:rPr>
          <w:color w:val="231F20"/>
          <w:spacing w:val="-6"/>
        </w:rPr>
        <w:t> </w:t>
      </w:r>
      <w:r>
        <w:rPr>
          <w:color w:val="231F20"/>
        </w:rPr>
        <w:t>редоследа увођења одсумпоравања по електранама, као и динамику реализа- ције</w:t>
      </w:r>
      <w:r>
        <w:rPr>
          <w:color w:val="231F20"/>
          <w:spacing w:val="-10"/>
        </w:rPr>
        <w:t> </w:t>
      </w:r>
      <w:r>
        <w:rPr>
          <w:color w:val="231F20"/>
        </w:rPr>
        <w:t>и</w:t>
      </w:r>
      <w:r>
        <w:rPr>
          <w:color w:val="231F20"/>
          <w:spacing w:val="-10"/>
        </w:rPr>
        <w:t> </w:t>
      </w:r>
      <w:r>
        <w:rPr>
          <w:color w:val="231F20"/>
        </w:rPr>
        <w:t>потребна</w:t>
      </w:r>
      <w:r>
        <w:rPr>
          <w:color w:val="231F20"/>
          <w:spacing w:val="-10"/>
        </w:rPr>
        <w:t> </w:t>
      </w:r>
      <w:r>
        <w:rPr>
          <w:color w:val="231F20"/>
        </w:rPr>
        <w:t>финансијска</w:t>
      </w:r>
      <w:r>
        <w:rPr>
          <w:color w:val="231F20"/>
          <w:spacing w:val="-10"/>
        </w:rPr>
        <w:t> </w:t>
      </w:r>
      <w:r>
        <w:rPr>
          <w:color w:val="231F20"/>
        </w:rPr>
        <w:t>средстава.</w:t>
      </w:r>
      <w:r>
        <w:rPr>
          <w:color w:val="231F20"/>
          <w:spacing w:val="-10"/>
        </w:rPr>
        <w:t> </w:t>
      </w:r>
      <w:r>
        <w:rPr>
          <w:color w:val="231F20"/>
        </w:rPr>
        <w:t>Према</w:t>
      </w:r>
      <w:r>
        <w:rPr>
          <w:color w:val="231F20"/>
          <w:spacing w:val="-10"/>
        </w:rPr>
        <w:t> </w:t>
      </w:r>
      <w:r>
        <w:rPr>
          <w:color w:val="231F20"/>
        </w:rPr>
        <w:t>резултатима</w:t>
      </w:r>
      <w:r>
        <w:rPr>
          <w:color w:val="231F20"/>
          <w:spacing w:val="-10"/>
        </w:rPr>
        <w:t> </w:t>
      </w:r>
      <w:r>
        <w:rPr>
          <w:color w:val="231F20"/>
          <w:spacing w:val="-3"/>
        </w:rPr>
        <w:t>Студи- </w:t>
      </w:r>
      <w:r>
        <w:rPr>
          <w:color w:val="231F20"/>
        </w:rPr>
        <w:t>је наведене термоелектране одређене су као објекти на </w:t>
      </w:r>
      <w:r>
        <w:rPr>
          <w:color w:val="231F20"/>
          <w:spacing w:val="-3"/>
        </w:rPr>
        <w:t>којима </w:t>
      </w:r>
      <w:r>
        <w:rPr>
          <w:color w:val="231F20"/>
        </w:rPr>
        <w:t>би изградња постројења за одсумпоравање дала најбоље резултате у </w:t>
      </w:r>
      <w:r>
        <w:rPr>
          <w:color w:val="231F20"/>
          <w:spacing w:val="-3"/>
        </w:rPr>
        <w:t>погледу </w:t>
      </w:r>
      <w:r>
        <w:rPr>
          <w:color w:val="231F20"/>
        </w:rPr>
        <w:t>укупног смањења емисија сумпорних оксида ТЕ</w:t>
      </w:r>
      <w:r>
        <w:rPr>
          <w:color w:val="231F20"/>
          <w:spacing w:val="-14"/>
        </w:rPr>
        <w:t> </w:t>
      </w:r>
      <w:r>
        <w:rPr>
          <w:color w:val="231F20"/>
        </w:rPr>
        <w:t>ЕПС-а.</w:t>
      </w:r>
    </w:p>
    <w:p>
      <w:pPr>
        <w:pStyle w:val="BodyText"/>
        <w:spacing w:line="232" w:lineRule="auto" w:before="3"/>
        <w:ind w:left="244" w:right="123" w:firstLine="396"/>
      </w:pPr>
      <w:r>
        <w:rPr>
          <w:color w:val="231F20"/>
        </w:rPr>
        <w:t>Врсте и </w:t>
      </w:r>
      <w:r>
        <w:rPr>
          <w:color w:val="231F20"/>
          <w:spacing w:val="-3"/>
        </w:rPr>
        <w:t>количине </w:t>
      </w:r>
      <w:r>
        <w:rPr>
          <w:color w:val="231F20"/>
        </w:rPr>
        <w:t>отпадних вода у термоелектранама одре- ђује технолошки процес: производња и хлађење водене паре, са- горевање (помоћно гориво: </w:t>
      </w:r>
      <w:r>
        <w:rPr>
          <w:color w:val="231F20"/>
          <w:spacing w:val="-4"/>
        </w:rPr>
        <w:t>мазут, </w:t>
      </w:r>
      <w:r>
        <w:rPr>
          <w:color w:val="231F20"/>
        </w:rPr>
        <w:t>нафта, лож уље), сакупљање, транспорт и одлагања пепела и шљаке.). </w:t>
      </w:r>
      <w:r>
        <w:rPr>
          <w:color w:val="231F20"/>
          <w:spacing w:val="-5"/>
        </w:rPr>
        <w:t>Код </w:t>
      </w:r>
      <w:r>
        <w:rPr>
          <w:color w:val="231F20"/>
        </w:rPr>
        <w:t>свих ТЕ и ТЕ-ТО у постројењу за хемијску припрему воде настају отпадне воде </w:t>
      </w:r>
      <w:r>
        <w:rPr>
          <w:color w:val="231F20"/>
          <w:spacing w:val="-3"/>
        </w:rPr>
        <w:t>које </w:t>
      </w:r>
      <w:r>
        <w:rPr>
          <w:color w:val="231F20"/>
        </w:rPr>
        <w:t>се</w:t>
      </w:r>
      <w:r>
        <w:rPr>
          <w:color w:val="231F20"/>
          <w:spacing w:val="-9"/>
        </w:rPr>
        <w:t> </w:t>
      </w:r>
      <w:r>
        <w:rPr>
          <w:color w:val="231F20"/>
        </w:rPr>
        <w:t>после</w:t>
      </w:r>
      <w:r>
        <w:rPr>
          <w:color w:val="231F20"/>
          <w:spacing w:val="-9"/>
        </w:rPr>
        <w:t> </w:t>
      </w:r>
      <w:r>
        <w:rPr>
          <w:color w:val="231F20"/>
        </w:rPr>
        <w:t>неутрализације</w:t>
      </w:r>
      <w:r>
        <w:rPr>
          <w:color w:val="231F20"/>
          <w:spacing w:val="-9"/>
        </w:rPr>
        <w:t> </w:t>
      </w:r>
      <w:r>
        <w:rPr>
          <w:color w:val="231F20"/>
        </w:rPr>
        <w:t>користе</w:t>
      </w:r>
      <w:r>
        <w:rPr>
          <w:color w:val="231F20"/>
          <w:spacing w:val="-9"/>
        </w:rPr>
        <w:t> </w:t>
      </w:r>
      <w:r>
        <w:rPr>
          <w:color w:val="231F20"/>
        </w:rPr>
        <w:t>за</w:t>
      </w:r>
      <w:r>
        <w:rPr>
          <w:color w:val="231F20"/>
          <w:spacing w:val="-9"/>
        </w:rPr>
        <w:t> </w:t>
      </w:r>
      <w:r>
        <w:rPr>
          <w:color w:val="231F20"/>
        </w:rPr>
        <w:t>хидраулички</w:t>
      </w:r>
      <w:r>
        <w:rPr>
          <w:color w:val="231F20"/>
          <w:spacing w:val="-9"/>
        </w:rPr>
        <w:t> </w:t>
      </w:r>
      <w:r>
        <w:rPr>
          <w:color w:val="231F20"/>
        </w:rPr>
        <w:t>транспорт</w:t>
      </w:r>
      <w:r>
        <w:rPr>
          <w:color w:val="231F20"/>
          <w:spacing w:val="-9"/>
        </w:rPr>
        <w:t> </w:t>
      </w:r>
      <w:r>
        <w:rPr>
          <w:color w:val="231F20"/>
        </w:rPr>
        <w:t>пепела или испуштају у</w:t>
      </w:r>
      <w:r>
        <w:rPr>
          <w:color w:val="231F20"/>
          <w:spacing w:val="-1"/>
        </w:rPr>
        <w:t> </w:t>
      </w:r>
      <w:r>
        <w:rPr>
          <w:color w:val="231F20"/>
          <w:spacing w:val="-3"/>
        </w:rPr>
        <w:t>водотокове.</w:t>
      </w:r>
    </w:p>
    <w:p>
      <w:pPr>
        <w:pStyle w:val="BodyText"/>
        <w:spacing w:line="232" w:lineRule="auto" w:before="2"/>
        <w:ind w:left="244" w:right="123" w:firstLine="396"/>
      </w:pPr>
      <w:r>
        <w:rPr>
          <w:color w:val="231F20"/>
        </w:rPr>
        <w:t>У</w:t>
      </w:r>
      <w:r>
        <w:rPr>
          <w:color w:val="231F20"/>
          <w:spacing w:val="-6"/>
        </w:rPr>
        <w:t> </w:t>
      </w:r>
      <w:r>
        <w:rPr>
          <w:color w:val="231F20"/>
        </w:rPr>
        <w:t>ТЕ,</w:t>
      </w:r>
      <w:r>
        <w:rPr>
          <w:color w:val="231F20"/>
          <w:spacing w:val="-6"/>
        </w:rPr>
        <w:t> </w:t>
      </w:r>
      <w:r>
        <w:rPr>
          <w:color w:val="231F20"/>
          <w:spacing w:val="-3"/>
        </w:rPr>
        <w:t>које</w:t>
      </w:r>
      <w:r>
        <w:rPr>
          <w:color w:val="231F20"/>
          <w:spacing w:val="-6"/>
        </w:rPr>
        <w:t> </w:t>
      </w:r>
      <w:r>
        <w:rPr>
          <w:color w:val="231F20"/>
        </w:rPr>
        <w:t>као</w:t>
      </w:r>
      <w:r>
        <w:rPr>
          <w:color w:val="231F20"/>
          <w:spacing w:val="-6"/>
        </w:rPr>
        <w:t> </w:t>
      </w:r>
      <w:r>
        <w:rPr>
          <w:color w:val="231F20"/>
        </w:rPr>
        <w:t>помоћно</w:t>
      </w:r>
      <w:r>
        <w:rPr>
          <w:color w:val="231F20"/>
          <w:spacing w:val="-6"/>
        </w:rPr>
        <w:t> </w:t>
      </w:r>
      <w:r>
        <w:rPr>
          <w:color w:val="231F20"/>
        </w:rPr>
        <w:t>гориво</w:t>
      </w:r>
      <w:r>
        <w:rPr>
          <w:color w:val="231F20"/>
          <w:spacing w:val="-6"/>
        </w:rPr>
        <w:t> </w:t>
      </w:r>
      <w:r>
        <w:rPr>
          <w:color w:val="231F20"/>
        </w:rPr>
        <w:t>користе</w:t>
      </w:r>
      <w:r>
        <w:rPr>
          <w:color w:val="231F20"/>
          <w:spacing w:val="-6"/>
        </w:rPr>
        <w:t> </w:t>
      </w:r>
      <w:r>
        <w:rPr>
          <w:color w:val="231F20"/>
          <w:spacing w:val="-4"/>
        </w:rPr>
        <w:t>мазут,</w:t>
      </w:r>
      <w:r>
        <w:rPr>
          <w:color w:val="231F20"/>
          <w:spacing w:val="-6"/>
        </w:rPr>
        <w:t> </w:t>
      </w:r>
      <w:r>
        <w:rPr>
          <w:color w:val="231F20"/>
        </w:rPr>
        <w:t>настају</w:t>
      </w:r>
      <w:r>
        <w:rPr>
          <w:color w:val="231F20"/>
          <w:spacing w:val="-6"/>
        </w:rPr>
        <w:t> </w:t>
      </w:r>
      <w:r>
        <w:rPr>
          <w:color w:val="231F20"/>
        </w:rPr>
        <w:t>ограни- чене </w:t>
      </w:r>
      <w:r>
        <w:rPr>
          <w:color w:val="231F20"/>
          <w:spacing w:val="-3"/>
        </w:rPr>
        <w:t>количине </w:t>
      </w:r>
      <w:r>
        <w:rPr>
          <w:color w:val="231F20"/>
        </w:rPr>
        <w:t>вода загађених мазутом. Све ТЕ на </w:t>
      </w:r>
      <w:r>
        <w:rPr>
          <w:color w:val="231F20"/>
          <w:spacing w:val="-3"/>
        </w:rPr>
        <w:t>лигнит, </w:t>
      </w:r>
      <w:r>
        <w:rPr>
          <w:color w:val="231F20"/>
        </w:rPr>
        <w:t>за тран- спорт пепела користе технологију </w:t>
      </w:r>
      <w:r>
        <w:rPr>
          <w:color w:val="231F20"/>
          <w:spacing w:val="-3"/>
        </w:rPr>
        <w:t>хидрауличког </w:t>
      </w:r>
      <w:r>
        <w:rPr>
          <w:color w:val="231F20"/>
        </w:rPr>
        <w:t>транспорта, </w:t>
      </w:r>
      <w:r>
        <w:rPr>
          <w:color w:val="231F20"/>
          <w:spacing w:val="-3"/>
        </w:rPr>
        <w:t>која </w:t>
      </w:r>
      <w:r>
        <w:rPr>
          <w:color w:val="231F20"/>
        </w:rPr>
        <w:t>је неповољна са становишта загађења вода. </w:t>
      </w:r>
      <w:r>
        <w:rPr>
          <w:color w:val="231F20"/>
          <w:spacing w:val="-5"/>
        </w:rPr>
        <w:t>Код </w:t>
      </w:r>
      <w:r>
        <w:rPr>
          <w:color w:val="231F20"/>
        </w:rPr>
        <w:t>ТЕ са</w:t>
      </w:r>
      <w:r>
        <w:rPr>
          <w:color w:val="231F20"/>
          <w:spacing w:val="30"/>
        </w:rPr>
        <w:t> </w:t>
      </w:r>
      <w:r>
        <w:rPr>
          <w:color w:val="231F20"/>
        </w:rPr>
        <w:t>повратним</w:t>
      </w:r>
    </w:p>
    <w:p>
      <w:pPr>
        <w:spacing w:after="0" w:line="232" w:lineRule="auto"/>
        <w:sectPr>
          <w:pgSz w:w="12480" w:h="15690"/>
          <w:pgMar w:top="120" w:bottom="280" w:left="680" w:right="720"/>
          <w:cols w:num="2" w:equalWidth="0">
            <w:col w:w="5560" w:space="40"/>
            <w:col w:w="5480"/>
          </w:cols>
        </w:sectPr>
      </w:pPr>
    </w:p>
    <w:p>
      <w:pPr>
        <w:pStyle w:val="BodyText"/>
        <w:spacing w:line="235" w:lineRule="auto" w:before="71"/>
        <w:ind w:right="38" w:hanging="1"/>
      </w:pPr>
      <w:r>
        <w:rPr/>
        <w:pict>
          <v:line style="position:absolute;mso-position-horizontal-relative:page;mso-position-vertical-relative:page;z-index:4360" from="304.724396pt,11.942451pt" to="304.724396pt,748.950451pt" stroked="true" strokeweight=".6pt" strokecolor="#231f20">
            <v:stroke dashstyle="solid"/>
            <w10:wrap type="none"/>
          </v:line>
        </w:pict>
      </w:r>
      <w:r>
        <w:rPr>
          <w:color w:val="231F20"/>
        </w:rPr>
        <w:t>хлађењем појављују се отпадне воде из процеса декарбонизације. Ове воде су погодне за транспорт пепела па се тако и користе на ТЕ ЕПС-а. Проблем пречишћавања отпадних вода у ЕПС-у није решен, међутим, применом нових технологија транспорта пепела и израдом Пројеката/Студија покрећу се акције за обраду отпад- них вода у ЕПС-у, а тиме се решавају сложена питања заштите и вода и земљишта и ваздуха.</w:t>
      </w:r>
    </w:p>
    <w:p>
      <w:pPr>
        <w:pStyle w:val="BodyText"/>
        <w:ind w:left="171" w:right="38" w:firstLine="396"/>
      </w:pPr>
      <w:r>
        <w:rPr>
          <w:color w:val="231F20"/>
        </w:rPr>
        <w:t>На основу свеобухватне анализе, испитивања и мерења</w:t>
      </w:r>
      <w:r>
        <w:rPr>
          <w:color w:val="231F20"/>
          <w:spacing w:val="-32"/>
        </w:rPr>
        <w:t> </w:t>
      </w:r>
      <w:r>
        <w:rPr>
          <w:color w:val="231F20"/>
        </w:rPr>
        <w:t>кван- титета и квалитета отпадних вода закључено је да максимални проток отпадних вода у ТЕ „Костолац Б” износи 27 m³/s (укупно када су оба блока у</w:t>
      </w:r>
      <w:r>
        <w:rPr>
          <w:color w:val="231F20"/>
          <w:spacing w:val="-2"/>
        </w:rPr>
        <w:t> </w:t>
      </w:r>
      <w:r>
        <w:rPr>
          <w:color w:val="231F20"/>
        </w:rPr>
        <w:t>погону).</w:t>
      </w:r>
    </w:p>
    <w:p>
      <w:pPr>
        <w:pStyle w:val="ListParagraph"/>
        <w:numPr>
          <w:ilvl w:val="2"/>
          <w:numId w:val="63"/>
        </w:numPr>
        <w:tabs>
          <w:tab w:pos="541" w:val="left" w:leader="none"/>
        </w:tabs>
        <w:spacing w:line="240" w:lineRule="auto" w:before="161" w:after="0"/>
        <w:ind w:left="540" w:right="0" w:hanging="315"/>
        <w:jc w:val="left"/>
        <w:rPr>
          <w:i/>
          <w:sz w:val="18"/>
        </w:rPr>
      </w:pPr>
      <w:r>
        <w:rPr>
          <w:i/>
          <w:color w:val="231F20"/>
          <w:sz w:val="18"/>
        </w:rPr>
        <w:t>Мере енергетске ефикасности и заштите животне</w:t>
      </w:r>
      <w:r>
        <w:rPr>
          <w:i/>
          <w:color w:val="231F20"/>
          <w:spacing w:val="-32"/>
          <w:sz w:val="18"/>
        </w:rPr>
        <w:t> </w:t>
      </w:r>
      <w:r>
        <w:rPr>
          <w:i/>
          <w:color w:val="231F20"/>
          <w:sz w:val="18"/>
        </w:rPr>
        <w:t>средине</w:t>
      </w:r>
    </w:p>
    <w:p>
      <w:pPr>
        <w:pStyle w:val="ListParagraph"/>
        <w:numPr>
          <w:ilvl w:val="3"/>
          <w:numId w:val="63"/>
        </w:numPr>
        <w:tabs>
          <w:tab w:pos="1839" w:val="left" w:leader="none"/>
        </w:tabs>
        <w:spacing w:line="240" w:lineRule="auto" w:before="169" w:after="0"/>
        <w:ind w:left="1838"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1"/>
        <w:ind w:left="0"/>
        <w:jc w:val="left"/>
      </w:pPr>
    </w:p>
    <w:p>
      <w:pPr>
        <w:pStyle w:val="BodyText"/>
        <w:spacing w:line="206" w:lineRule="exact" w:before="1"/>
        <w:ind w:right="38" w:firstLine="397"/>
      </w:pPr>
      <w:r>
        <w:rPr>
          <w:color w:val="231F20"/>
        </w:rPr>
        <w:t>ТЕ </w:t>
      </w:r>
      <w:r>
        <w:rPr>
          <w:color w:val="231F20"/>
          <w:spacing w:val="-4"/>
        </w:rPr>
        <w:t>„Костолац </w:t>
      </w:r>
      <w:r>
        <w:rPr>
          <w:color w:val="231F20"/>
        </w:rPr>
        <w:t>Б” је </w:t>
      </w:r>
      <w:r>
        <w:rPr>
          <w:color w:val="231F20"/>
          <w:spacing w:val="-3"/>
        </w:rPr>
        <w:t>прва </w:t>
      </w:r>
      <w:r>
        <w:rPr>
          <w:color w:val="231F20"/>
        </w:rPr>
        <w:t>термоелектрана у систему ЕПС у </w:t>
      </w:r>
      <w:r>
        <w:rPr>
          <w:color w:val="231F20"/>
          <w:spacing w:val="-4"/>
        </w:rPr>
        <w:t>којој </w:t>
      </w:r>
      <w:r>
        <w:rPr>
          <w:color w:val="231F20"/>
        </w:rPr>
        <w:t>ће се успоставити систем за </w:t>
      </w:r>
      <w:r>
        <w:rPr>
          <w:color w:val="231F20"/>
          <w:spacing w:val="-3"/>
        </w:rPr>
        <w:t>одсумпоравање, што </w:t>
      </w:r>
      <w:r>
        <w:rPr>
          <w:color w:val="231F20"/>
        </w:rPr>
        <w:t>је један </w:t>
      </w:r>
      <w:r>
        <w:rPr>
          <w:color w:val="231F20"/>
          <w:spacing w:val="-4"/>
        </w:rPr>
        <w:t>од </w:t>
      </w:r>
      <w:r>
        <w:rPr>
          <w:color w:val="231F20"/>
          <w:spacing w:val="-3"/>
        </w:rPr>
        <w:t>најзначајнијих пројеката </w:t>
      </w:r>
      <w:r>
        <w:rPr>
          <w:color w:val="231F20"/>
        </w:rPr>
        <w:t>у </w:t>
      </w:r>
      <w:r>
        <w:rPr>
          <w:color w:val="231F20"/>
          <w:spacing w:val="-3"/>
        </w:rPr>
        <w:t>области енергетике </w:t>
      </w:r>
      <w:r>
        <w:rPr>
          <w:color w:val="231F20"/>
        </w:rPr>
        <w:t>и заштите </w:t>
      </w:r>
      <w:r>
        <w:rPr>
          <w:color w:val="231F20"/>
          <w:spacing w:val="-3"/>
        </w:rPr>
        <w:t>животне средине, </w:t>
      </w:r>
      <w:r>
        <w:rPr>
          <w:color w:val="231F20"/>
          <w:spacing w:val="-4"/>
        </w:rPr>
        <w:t>који </w:t>
      </w:r>
      <w:r>
        <w:rPr>
          <w:color w:val="231F20"/>
          <w:spacing w:val="-3"/>
        </w:rPr>
        <w:t>електропривреду </w:t>
      </w:r>
      <w:r>
        <w:rPr>
          <w:color w:val="231F20"/>
        </w:rPr>
        <w:t>Србије </w:t>
      </w:r>
      <w:r>
        <w:rPr>
          <w:color w:val="231F20"/>
          <w:spacing w:val="-3"/>
        </w:rPr>
        <w:t>приближава стандардима </w:t>
      </w:r>
      <w:r>
        <w:rPr>
          <w:color w:val="231F20"/>
        </w:rPr>
        <w:t>развијених </w:t>
      </w:r>
      <w:r>
        <w:rPr>
          <w:color w:val="231F20"/>
          <w:spacing w:val="-2"/>
        </w:rPr>
        <w:t>земаља </w:t>
      </w:r>
      <w:r>
        <w:rPr>
          <w:color w:val="231F20"/>
          <w:spacing w:val="-12"/>
        </w:rPr>
        <w:t>ЕУ. </w:t>
      </w:r>
      <w:r>
        <w:rPr>
          <w:color w:val="231F20"/>
        </w:rPr>
        <w:t>За избор </w:t>
      </w:r>
      <w:r>
        <w:rPr>
          <w:color w:val="231F20"/>
          <w:spacing w:val="-2"/>
        </w:rPr>
        <w:t>управо </w:t>
      </w:r>
      <w:r>
        <w:rPr>
          <w:color w:val="231F20"/>
        </w:rPr>
        <w:t>ове термоелектране је пре- </w:t>
      </w:r>
      <w:r>
        <w:rPr>
          <w:color w:val="231F20"/>
          <w:spacing w:val="-5"/>
        </w:rPr>
        <w:t>судно</w:t>
      </w:r>
      <w:r>
        <w:rPr>
          <w:color w:val="231F20"/>
          <w:spacing w:val="-7"/>
        </w:rPr>
        <w:t> </w:t>
      </w:r>
      <w:r>
        <w:rPr>
          <w:color w:val="231F20"/>
          <w:spacing w:val="-3"/>
        </w:rPr>
        <w:t>што</w:t>
      </w:r>
      <w:r>
        <w:rPr>
          <w:color w:val="231F20"/>
          <w:spacing w:val="-7"/>
        </w:rPr>
        <w:t> </w:t>
      </w:r>
      <w:r>
        <w:rPr>
          <w:color w:val="231F20"/>
        </w:rPr>
        <w:t>је,</w:t>
      </w:r>
      <w:r>
        <w:rPr>
          <w:color w:val="231F20"/>
          <w:spacing w:val="-7"/>
        </w:rPr>
        <w:t> </w:t>
      </w:r>
      <w:r>
        <w:rPr>
          <w:color w:val="231F20"/>
        </w:rPr>
        <w:t>за</w:t>
      </w:r>
      <w:r>
        <w:rPr>
          <w:color w:val="231F20"/>
          <w:spacing w:val="-7"/>
        </w:rPr>
        <w:t> </w:t>
      </w:r>
      <w:r>
        <w:rPr>
          <w:color w:val="231F20"/>
          <w:spacing w:val="-4"/>
        </w:rPr>
        <w:t>костолачки</w:t>
      </w:r>
      <w:r>
        <w:rPr>
          <w:color w:val="231F20"/>
          <w:spacing w:val="-7"/>
        </w:rPr>
        <w:t> </w:t>
      </w:r>
      <w:r>
        <w:rPr>
          <w:color w:val="231F20"/>
        </w:rPr>
        <w:t>лигнит</w:t>
      </w:r>
      <w:r>
        <w:rPr>
          <w:color w:val="231F20"/>
          <w:spacing w:val="-7"/>
        </w:rPr>
        <w:t> </w:t>
      </w:r>
      <w:r>
        <w:rPr>
          <w:color w:val="231F20"/>
          <w:spacing w:val="-4"/>
        </w:rPr>
        <w:t>који</w:t>
      </w:r>
      <w:r>
        <w:rPr>
          <w:color w:val="231F20"/>
          <w:spacing w:val="-7"/>
        </w:rPr>
        <w:t> </w:t>
      </w:r>
      <w:r>
        <w:rPr>
          <w:color w:val="231F20"/>
        </w:rPr>
        <w:t>се</w:t>
      </w:r>
      <w:r>
        <w:rPr>
          <w:color w:val="231F20"/>
          <w:spacing w:val="-7"/>
        </w:rPr>
        <w:t> </w:t>
      </w:r>
      <w:r>
        <w:rPr>
          <w:color w:val="231F20"/>
          <w:spacing w:val="-3"/>
        </w:rPr>
        <w:t>сагорева</w:t>
      </w:r>
      <w:r>
        <w:rPr>
          <w:color w:val="231F20"/>
          <w:spacing w:val="-7"/>
        </w:rPr>
        <w:t> </w:t>
      </w:r>
      <w:r>
        <w:rPr>
          <w:color w:val="231F20"/>
        </w:rPr>
        <w:t>у</w:t>
      </w:r>
      <w:r>
        <w:rPr>
          <w:color w:val="231F20"/>
          <w:spacing w:val="-7"/>
        </w:rPr>
        <w:t> </w:t>
      </w:r>
      <w:r>
        <w:rPr>
          <w:color w:val="231F20"/>
        </w:rPr>
        <w:t>термоелектра- ни,</w:t>
      </w:r>
      <w:r>
        <w:rPr>
          <w:color w:val="231F20"/>
          <w:spacing w:val="-8"/>
        </w:rPr>
        <w:t> </w:t>
      </w:r>
      <w:r>
        <w:rPr>
          <w:color w:val="231F20"/>
        </w:rPr>
        <w:t>ниво</w:t>
      </w:r>
      <w:r>
        <w:rPr>
          <w:color w:val="231F20"/>
          <w:spacing w:val="-8"/>
        </w:rPr>
        <w:t> </w:t>
      </w:r>
      <w:r>
        <w:rPr>
          <w:color w:val="231F20"/>
          <w:spacing w:val="-3"/>
        </w:rPr>
        <w:t>концентрација</w:t>
      </w:r>
      <w:r>
        <w:rPr>
          <w:color w:val="231F20"/>
          <w:spacing w:val="-8"/>
        </w:rPr>
        <w:t> </w:t>
      </w:r>
      <w:r>
        <w:rPr>
          <w:color w:val="231F20"/>
          <w:spacing w:val="-2"/>
        </w:rPr>
        <w:t>SO</w:t>
      </w:r>
      <w:r>
        <w:rPr>
          <w:color w:val="231F20"/>
          <w:spacing w:val="-2"/>
          <w:position w:val="-5"/>
          <w:sz w:val="10"/>
        </w:rPr>
        <w:t>2</w:t>
      </w:r>
      <w:r>
        <w:rPr>
          <w:color w:val="231F20"/>
          <w:spacing w:val="-4"/>
          <w:position w:val="-5"/>
          <w:sz w:val="10"/>
        </w:rPr>
        <w:t> </w:t>
      </w:r>
      <w:r>
        <w:rPr>
          <w:color w:val="231F20"/>
        </w:rPr>
        <w:t>у</w:t>
      </w:r>
      <w:r>
        <w:rPr>
          <w:color w:val="231F20"/>
          <w:spacing w:val="-8"/>
        </w:rPr>
        <w:t> </w:t>
      </w:r>
      <w:r>
        <w:rPr>
          <w:color w:val="231F20"/>
        </w:rPr>
        <w:t>димним</w:t>
      </w:r>
      <w:r>
        <w:rPr>
          <w:color w:val="231F20"/>
          <w:spacing w:val="-8"/>
        </w:rPr>
        <w:t> </w:t>
      </w:r>
      <w:r>
        <w:rPr>
          <w:color w:val="231F20"/>
        </w:rPr>
        <w:t>гасовима</w:t>
      </w:r>
      <w:r>
        <w:rPr>
          <w:color w:val="231F20"/>
          <w:spacing w:val="-8"/>
        </w:rPr>
        <w:t> </w:t>
      </w:r>
      <w:r>
        <w:rPr>
          <w:color w:val="231F20"/>
        </w:rPr>
        <w:t>5000</w:t>
      </w:r>
      <w:r>
        <w:rPr>
          <w:color w:val="231F20"/>
          <w:spacing w:val="17"/>
        </w:rPr>
        <w:t> </w:t>
      </w:r>
      <w:r>
        <w:rPr>
          <w:color w:val="231F20"/>
        </w:rPr>
        <w:t>–</w:t>
      </w:r>
      <w:r>
        <w:rPr>
          <w:color w:val="231F20"/>
          <w:spacing w:val="-8"/>
        </w:rPr>
        <w:t> </w:t>
      </w:r>
      <w:r>
        <w:rPr>
          <w:color w:val="231F20"/>
        </w:rPr>
        <w:t>7000</w:t>
      </w:r>
      <w:r>
        <w:rPr>
          <w:color w:val="231F20"/>
          <w:spacing w:val="-8"/>
        </w:rPr>
        <w:t> </w:t>
      </w:r>
      <w:r>
        <w:rPr>
          <w:color w:val="231F20"/>
        </w:rPr>
        <w:t>mg/m³, а специфична емисија </w:t>
      </w:r>
      <w:r>
        <w:rPr>
          <w:color w:val="231F20"/>
          <w:spacing w:val="-3"/>
        </w:rPr>
        <w:t>сумпора </w:t>
      </w:r>
      <w:r>
        <w:rPr>
          <w:color w:val="231F20"/>
        </w:rPr>
        <w:t>је </w:t>
      </w:r>
      <w:r>
        <w:rPr>
          <w:color w:val="231F20"/>
          <w:spacing w:val="-5"/>
        </w:rPr>
        <w:t>око </w:t>
      </w:r>
      <w:r>
        <w:rPr>
          <w:color w:val="231F20"/>
        </w:rPr>
        <w:t>30 kg/MWh. </w:t>
      </w:r>
      <w:r>
        <w:rPr>
          <w:color w:val="231F20"/>
          <w:spacing w:val="-4"/>
        </w:rPr>
        <w:t>Успостављање </w:t>
      </w:r>
      <w:r>
        <w:rPr>
          <w:color w:val="231F20"/>
        </w:rPr>
        <w:t>овог система </w:t>
      </w:r>
      <w:r>
        <w:rPr>
          <w:color w:val="231F20"/>
          <w:spacing w:val="-3"/>
        </w:rPr>
        <w:t>омогућиће </w:t>
      </w:r>
      <w:r>
        <w:rPr>
          <w:color w:val="231F20"/>
          <w:spacing w:val="-4"/>
        </w:rPr>
        <w:t>продужење </w:t>
      </w:r>
      <w:r>
        <w:rPr>
          <w:color w:val="231F20"/>
          <w:spacing w:val="-3"/>
        </w:rPr>
        <w:t>века</w:t>
      </w:r>
      <w:r>
        <w:rPr>
          <w:color w:val="231F20"/>
          <w:spacing w:val="-21"/>
        </w:rPr>
        <w:t> </w:t>
      </w:r>
      <w:r>
        <w:rPr>
          <w:color w:val="231F20"/>
        </w:rPr>
        <w:t>термоелектране.</w:t>
      </w:r>
    </w:p>
    <w:p>
      <w:pPr>
        <w:pStyle w:val="BodyText"/>
        <w:ind w:right="39" w:firstLine="397"/>
      </w:pPr>
      <w:r>
        <w:rPr>
          <w:color w:val="231F20"/>
        </w:rPr>
        <w:t>Постројење за одсумпоравање ТЕ „Костолац Б” пројектова- но је са довољном резервом да гарантује сигуран рад термоелек- тране. Осим за апсорберски суд, за сву осталу опрему постројења предвиђено је обезбеђивање резервних делова кључне опреме.</w:t>
      </w:r>
    </w:p>
    <w:p>
      <w:pPr>
        <w:pStyle w:val="BodyText"/>
        <w:ind w:right="38" w:firstLine="396"/>
      </w:pPr>
      <w:r>
        <w:rPr>
          <w:color w:val="231F20"/>
        </w:rPr>
        <w:t>Такође је обезбеђена и резерва у напајању постројења у ви- ду два трансформатора, од којих је један радни а други резервни. Остатак електро опреме пројектован је са довољном резервом снаге да задовољи потребе потрошача. За бустер вентилаторе ни- су предвиђени резервни вентилатори јер је сматрано да је њихова поузданост висока у поређењу са поузданошћу постојећих венти- латора димног гаса.</w:t>
      </w:r>
    </w:p>
    <w:p>
      <w:pPr>
        <w:pStyle w:val="BodyText"/>
        <w:ind w:left="171" w:right="38" w:firstLine="396"/>
      </w:pPr>
      <w:r>
        <w:rPr>
          <w:color w:val="231F20"/>
        </w:rPr>
        <w:t>У погледу разматрања рада ОДГ постројења и његовом по- везаношћу са радом целокупне термоелектране, може се рећи да ће у ситуацији да електрана (блок) испадне из погона, ОДГ по- стројење (апсорберска јединица) бити угашено. Такође, уколико ОДГ постројење (апсорберска јединица) испадне из погона, рад термоелектране (блока) мора бити заустављен. By-pass до посто- јећег сувог димњака, којим се заобилази ОДГ постројење, захтева инсталирање додатне опреме и није пракса код модерних постро- јења, тако да није укључено у израђено пројектно решење нити у анализу трошкова.</w:t>
      </w:r>
    </w:p>
    <w:p>
      <w:pPr>
        <w:pStyle w:val="BodyText"/>
        <w:ind w:left="171" w:right="38" w:firstLine="397"/>
      </w:pPr>
      <w:r>
        <w:rPr>
          <w:color w:val="231F20"/>
        </w:rPr>
        <w:t>Суспензија која се добија као нуспродукт влажног поступка одсумпоравања димних гасова, са коришћењем кречњака као сор- бента, представља потенцијалну сировину за производњу гипса.</w:t>
      </w:r>
    </w:p>
    <w:p>
      <w:pPr>
        <w:pStyle w:val="ListParagraph"/>
        <w:numPr>
          <w:ilvl w:val="3"/>
          <w:numId w:val="63"/>
        </w:numPr>
        <w:tabs>
          <w:tab w:pos="1714" w:val="left" w:leader="none"/>
        </w:tabs>
        <w:spacing w:line="240" w:lineRule="auto" w:before="146" w:after="0"/>
        <w:ind w:left="1713" w:right="0" w:hanging="45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6"/>
          <w:sz w:val="18"/>
        </w:rPr>
        <w:t> </w:t>
      </w:r>
      <w:r>
        <w:rPr>
          <w:color w:val="231F20"/>
          <w:spacing w:val="15"/>
          <w:sz w:val="18"/>
        </w:rPr>
        <w:t>средине</w:t>
      </w:r>
    </w:p>
    <w:p>
      <w:pPr>
        <w:pStyle w:val="BodyText"/>
        <w:spacing w:before="3"/>
        <w:ind w:left="0"/>
        <w:jc w:val="left"/>
        <w:rPr>
          <w:sz w:val="19"/>
        </w:rPr>
      </w:pPr>
    </w:p>
    <w:p>
      <w:pPr>
        <w:pStyle w:val="BodyText"/>
        <w:spacing w:line="216" w:lineRule="auto"/>
        <w:ind w:right="38" w:firstLine="398"/>
      </w:pPr>
      <w:r>
        <w:rPr>
          <w:color w:val="231F20"/>
        </w:rPr>
        <w:t>Реализација пројекта одсумпоравања представља допринос примени међународне регулативе у области смањења емисија SO</w:t>
      </w:r>
      <w:r>
        <w:rPr>
          <w:color w:val="231F20"/>
          <w:position w:val="-5"/>
          <w:sz w:val="10"/>
        </w:rPr>
        <w:t>2 </w:t>
      </w:r>
      <w:r>
        <w:rPr>
          <w:color w:val="231F20"/>
        </w:rPr>
        <w:t>у систему електропривреде Србије. У случају када граничне вред-</w:t>
      </w:r>
    </w:p>
    <w:p>
      <w:pPr>
        <w:pStyle w:val="BodyText"/>
        <w:spacing w:line="206" w:lineRule="exact" w:before="2"/>
        <w:ind w:right="39"/>
      </w:pPr>
      <w:r>
        <w:rPr>
          <w:color w:val="231F20"/>
        </w:rPr>
        <w:t>ности емисија SO</w:t>
      </w:r>
      <w:r>
        <w:rPr>
          <w:color w:val="231F20"/>
          <w:position w:val="-5"/>
          <w:sz w:val="10"/>
        </w:rPr>
        <w:t>2 </w:t>
      </w:r>
      <w:r>
        <w:rPr>
          <w:color w:val="231F20"/>
        </w:rPr>
        <w:t>и честица, исказане у mg/m³ димног гаса, про- писане регулативом Европске Уније за нова и постојећа построје- ња</w:t>
      </w:r>
      <w:r>
        <w:rPr>
          <w:color w:val="231F20"/>
          <w:position w:val="6"/>
          <w:sz w:val="10"/>
        </w:rPr>
        <w:t>24 </w:t>
      </w:r>
      <w:r>
        <w:rPr>
          <w:color w:val="231F20"/>
        </w:rPr>
        <w:t>на чврсто гориво не могу да се остваре због карактеристика горива, код постројења снаге веће од 300 MW мора да се оствари степен одсумпоравања од најмање 90%.</w:t>
      </w:r>
    </w:p>
    <w:p>
      <w:pPr>
        <w:pStyle w:val="BodyText"/>
        <w:spacing w:line="204" w:lineRule="exact"/>
        <w:ind w:left="567"/>
        <w:jc w:val="left"/>
      </w:pPr>
      <w:r>
        <w:rPr>
          <w:color w:val="231F20"/>
        </w:rPr>
        <w:t>Изградња ОДГ постројења имаће следеће ефекте:</w:t>
      </w:r>
    </w:p>
    <w:p>
      <w:pPr>
        <w:pStyle w:val="BodyText"/>
        <w:spacing w:line="206" w:lineRule="exact"/>
        <w:ind w:left="567"/>
        <w:jc w:val="left"/>
      </w:pPr>
      <w:r>
        <w:rPr>
          <w:color w:val="231F20"/>
          <w:w w:val="66"/>
        </w:rPr>
        <w:t> </w:t>
      </w:r>
      <w:r>
        <w:rPr>
          <w:color w:val="231F20"/>
        </w:rPr>
        <w:t>– побољшање стања животне средине у зони утицаја;</w:t>
      </w:r>
    </w:p>
    <w:p>
      <w:pPr>
        <w:pStyle w:val="BodyText"/>
        <w:spacing w:line="206" w:lineRule="exact"/>
        <w:ind w:left="567"/>
        <w:jc w:val="left"/>
      </w:pPr>
      <w:r>
        <w:rPr>
          <w:color w:val="231F20"/>
          <w:w w:val="66"/>
        </w:rPr>
        <w:t> </w:t>
      </w:r>
      <w:r>
        <w:rPr>
          <w:color w:val="231F20"/>
        </w:rPr>
        <w:t>– смањење прекограничног транспорта загађења; и</w:t>
      </w:r>
    </w:p>
    <w:p>
      <w:pPr>
        <w:pStyle w:val="BodyText"/>
        <w:ind w:right="39" w:firstLine="396"/>
      </w:pPr>
      <w:r>
        <w:rPr>
          <w:color w:val="231F20"/>
          <w:w w:val="66"/>
        </w:rPr>
        <w:t> </w:t>
      </w:r>
      <w:r>
        <w:rPr>
          <w:color w:val="231F20"/>
        </w:rPr>
        <w:t>– смањење ризика од обољевања респираторних органа код становништва које насељава област у околини термоелектране.</w:t>
      </w:r>
    </w:p>
    <w:p>
      <w:pPr>
        <w:pStyle w:val="BodyText"/>
        <w:ind w:right="39" w:firstLine="396"/>
      </w:pPr>
      <w:r>
        <w:rPr>
          <w:color w:val="231F20"/>
        </w:rPr>
        <w:t>Постројење за одсумпорање димних гасова у начелу не ути- че на ниво емисија NОx, али повећање висине димњака и излазне температуре</w:t>
      </w:r>
      <w:r>
        <w:rPr>
          <w:color w:val="231F20"/>
          <w:spacing w:val="-9"/>
        </w:rPr>
        <w:t> </w:t>
      </w:r>
      <w:r>
        <w:rPr>
          <w:color w:val="231F20"/>
        </w:rPr>
        <w:t>димног</w:t>
      </w:r>
      <w:r>
        <w:rPr>
          <w:color w:val="231F20"/>
          <w:spacing w:val="-9"/>
        </w:rPr>
        <w:t> </w:t>
      </w:r>
      <w:r>
        <w:rPr>
          <w:color w:val="231F20"/>
        </w:rPr>
        <w:t>гаса</w:t>
      </w:r>
      <w:r>
        <w:rPr>
          <w:color w:val="231F20"/>
          <w:spacing w:val="-9"/>
        </w:rPr>
        <w:t> </w:t>
      </w:r>
      <w:r>
        <w:rPr>
          <w:color w:val="231F20"/>
        </w:rPr>
        <w:t>утиче</w:t>
      </w:r>
      <w:r>
        <w:rPr>
          <w:color w:val="231F20"/>
          <w:spacing w:val="-9"/>
        </w:rPr>
        <w:t> </w:t>
      </w:r>
      <w:r>
        <w:rPr>
          <w:color w:val="231F20"/>
        </w:rPr>
        <w:t>на</w:t>
      </w:r>
      <w:r>
        <w:rPr>
          <w:color w:val="231F20"/>
          <w:spacing w:val="-9"/>
        </w:rPr>
        <w:t> </w:t>
      </w:r>
      <w:r>
        <w:rPr>
          <w:color w:val="231F20"/>
        </w:rPr>
        <w:t>смањење</w:t>
      </w:r>
      <w:r>
        <w:rPr>
          <w:color w:val="231F20"/>
          <w:spacing w:val="-9"/>
        </w:rPr>
        <w:t> </w:t>
      </w:r>
      <w:r>
        <w:rPr>
          <w:color w:val="231F20"/>
        </w:rPr>
        <w:t>приземних</w:t>
      </w:r>
      <w:r>
        <w:rPr>
          <w:color w:val="231F20"/>
          <w:spacing w:val="-9"/>
        </w:rPr>
        <w:t> </w:t>
      </w:r>
      <w:r>
        <w:rPr>
          <w:color w:val="231F20"/>
        </w:rPr>
        <w:t>концентра- ција NOx </w:t>
      </w:r>
      <w:r>
        <w:rPr>
          <w:color w:val="231F20"/>
          <w:spacing w:val="-3"/>
        </w:rPr>
        <w:t>приликом </w:t>
      </w:r>
      <w:r>
        <w:rPr>
          <w:color w:val="231F20"/>
        </w:rPr>
        <w:t>њихове</w:t>
      </w:r>
      <w:r>
        <w:rPr>
          <w:color w:val="231F20"/>
          <w:spacing w:val="0"/>
        </w:rPr>
        <w:t> </w:t>
      </w:r>
      <w:r>
        <w:rPr>
          <w:color w:val="231F20"/>
        </w:rPr>
        <w:t>дисперзије.</w:t>
      </w:r>
    </w:p>
    <w:p>
      <w:pPr>
        <w:pStyle w:val="BodyText"/>
        <w:ind w:right="39" w:firstLine="396"/>
      </w:pPr>
      <w:r>
        <w:rPr>
          <w:color w:val="231F20"/>
        </w:rPr>
        <w:t>Како би се испунили захтеви у погледу максимално дозво- љених емисија азотних оксида потребно је инсталирати додатну</w:t>
      </w:r>
    </w:p>
    <w:p>
      <w:pPr>
        <w:spacing w:line="152" w:lineRule="exact" w:before="0"/>
        <w:ind w:left="170" w:right="0" w:firstLine="0"/>
        <w:jc w:val="both"/>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240" w:lineRule="auto" w:before="0" w:after="0"/>
        <w:ind w:left="453" w:right="0" w:hanging="283"/>
        <w:jc w:val="both"/>
        <w:rPr>
          <w:sz w:val="14"/>
        </w:rPr>
      </w:pPr>
      <w:r>
        <w:rPr>
          <w:color w:val="231F20"/>
          <w:sz w:val="14"/>
        </w:rPr>
        <w:t>Direktivа 2001/80/EC, Deo A, Aneksi III do</w:t>
      </w:r>
      <w:r>
        <w:rPr>
          <w:color w:val="231F20"/>
          <w:spacing w:val="-23"/>
          <w:sz w:val="14"/>
        </w:rPr>
        <w:t> </w:t>
      </w:r>
      <w:r>
        <w:rPr>
          <w:color w:val="231F20"/>
          <w:sz w:val="14"/>
        </w:rPr>
        <w:t>VII.</w:t>
      </w:r>
    </w:p>
    <w:p>
      <w:pPr>
        <w:pStyle w:val="BodyText"/>
        <w:spacing w:line="232" w:lineRule="auto" w:before="73"/>
        <w:ind w:right="411" w:hanging="1"/>
      </w:pPr>
      <w:r>
        <w:rPr/>
        <w:br w:type="column"/>
      </w:r>
      <w:r>
        <w:rPr>
          <w:color w:val="231F20"/>
        </w:rPr>
        <w:t>опрему за контролу емисија NOx, као што су опрема за катали- тички процес редукције емисија, опрема за третирање гаса у циљу смањења садржаја NOx или додатно моделовање процеса сагоре- вања. Било који тип наведене опреме мора бити постављен пре инсталације постројења за одсумпоравање.</w:t>
      </w:r>
    </w:p>
    <w:p>
      <w:pPr>
        <w:pStyle w:val="BodyText"/>
        <w:spacing w:line="232" w:lineRule="auto"/>
        <w:ind w:left="171" w:right="411" w:firstLine="396"/>
      </w:pPr>
      <w:r>
        <w:rPr>
          <w:color w:val="231F20"/>
        </w:rPr>
        <w:t>У циљу заштите животне средине треба предузети и следеће мере:</w:t>
      </w:r>
    </w:p>
    <w:p>
      <w:pPr>
        <w:pStyle w:val="BodyText"/>
        <w:spacing w:line="225" w:lineRule="auto"/>
        <w:ind w:left="171" w:right="410" w:firstLine="396"/>
      </w:pPr>
      <w:r>
        <w:rPr>
          <w:color w:val="231F20"/>
          <w:w w:val="66"/>
        </w:rPr>
        <w:t> </w:t>
      </w:r>
      <w:r>
        <w:rPr>
          <w:color w:val="231F20"/>
        </w:rPr>
        <w:t>– отпадну воду насталу пречишћавањем ваздуха из миксера за справљање „густе” хидромешавине, вратити поново у процес (рециркулација);</w:t>
      </w:r>
    </w:p>
    <w:p>
      <w:pPr>
        <w:pStyle w:val="BodyText"/>
        <w:spacing w:line="225" w:lineRule="auto"/>
        <w:ind w:left="171" w:right="411" w:firstLine="396"/>
      </w:pPr>
      <w:r>
        <w:rPr>
          <w:color w:val="231F20"/>
          <w:w w:val="66"/>
        </w:rPr>
        <w:t> </w:t>
      </w:r>
      <w:r>
        <w:rPr>
          <w:color w:val="231F20"/>
        </w:rPr>
        <w:t>–</w:t>
      </w:r>
      <w:r>
        <w:rPr>
          <w:color w:val="231F20"/>
          <w:spacing w:val="-12"/>
        </w:rPr>
        <w:t> </w:t>
      </w:r>
      <w:r>
        <w:rPr>
          <w:color w:val="231F20"/>
        </w:rPr>
        <w:t>воду</w:t>
      </w:r>
      <w:r>
        <w:rPr>
          <w:color w:val="231F20"/>
          <w:spacing w:val="-12"/>
        </w:rPr>
        <w:t> </w:t>
      </w:r>
      <w:r>
        <w:rPr>
          <w:color w:val="231F20"/>
        </w:rPr>
        <w:t>из</w:t>
      </w:r>
      <w:r>
        <w:rPr>
          <w:color w:val="231F20"/>
          <w:spacing w:val="-12"/>
        </w:rPr>
        <w:t> </w:t>
      </w:r>
      <w:r>
        <w:rPr>
          <w:color w:val="231F20"/>
        </w:rPr>
        <w:t>дренирања</w:t>
      </w:r>
      <w:r>
        <w:rPr>
          <w:color w:val="231F20"/>
          <w:spacing w:val="-12"/>
        </w:rPr>
        <w:t> </w:t>
      </w:r>
      <w:r>
        <w:rPr>
          <w:color w:val="231F20"/>
        </w:rPr>
        <w:t>кондиционера</w:t>
      </w:r>
      <w:r>
        <w:rPr>
          <w:color w:val="231F20"/>
          <w:spacing w:val="-12"/>
        </w:rPr>
        <w:t> </w:t>
      </w:r>
      <w:r>
        <w:rPr>
          <w:color w:val="231F20"/>
        </w:rPr>
        <w:t>и</w:t>
      </w:r>
      <w:r>
        <w:rPr>
          <w:color w:val="231F20"/>
          <w:spacing w:val="-12"/>
        </w:rPr>
        <w:t> </w:t>
      </w:r>
      <w:r>
        <w:rPr>
          <w:color w:val="231F20"/>
        </w:rPr>
        <w:t>испирања</w:t>
      </w:r>
      <w:r>
        <w:rPr>
          <w:color w:val="231F20"/>
          <w:spacing w:val="-12"/>
        </w:rPr>
        <w:t> </w:t>
      </w:r>
      <w:r>
        <w:rPr>
          <w:color w:val="231F20"/>
        </w:rPr>
        <w:t>цевовода</w:t>
      </w:r>
      <w:r>
        <w:rPr>
          <w:color w:val="231F20"/>
          <w:spacing w:val="-12"/>
        </w:rPr>
        <w:t> </w:t>
      </w:r>
      <w:r>
        <w:rPr>
          <w:color w:val="231F20"/>
        </w:rPr>
        <w:t>тре- ба прикупљати и поново вратити у</w:t>
      </w:r>
      <w:r>
        <w:rPr>
          <w:color w:val="231F20"/>
          <w:spacing w:val="-5"/>
        </w:rPr>
        <w:t> </w:t>
      </w:r>
      <w:r>
        <w:rPr>
          <w:color w:val="231F20"/>
        </w:rPr>
        <w:t>процес;</w:t>
      </w:r>
    </w:p>
    <w:p>
      <w:pPr>
        <w:pStyle w:val="BodyText"/>
        <w:spacing w:line="187" w:lineRule="auto" w:before="17"/>
        <w:ind w:right="411" w:firstLine="397"/>
      </w:pPr>
      <w:r>
        <w:rPr>
          <w:color w:val="231F20"/>
          <w:w w:val="66"/>
        </w:rPr>
        <w:t> </w:t>
      </w:r>
      <w:r>
        <w:rPr>
          <w:color w:val="231F20"/>
        </w:rPr>
        <w:t>–</w:t>
      </w:r>
      <w:r>
        <w:rPr>
          <w:color w:val="231F20"/>
          <w:spacing w:val="-11"/>
        </w:rPr>
        <w:t> </w:t>
      </w:r>
      <w:r>
        <w:rPr>
          <w:color w:val="231F20"/>
        </w:rPr>
        <w:t>планирати</w:t>
      </w:r>
      <w:r>
        <w:rPr>
          <w:color w:val="231F20"/>
          <w:spacing w:val="-11"/>
        </w:rPr>
        <w:t> </w:t>
      </w:r>
      <w:r>
        <w:rPr>
          <w:color w:val="231F20"/>
        </w:rPr>
        <w:t>простор</w:t>
      </w:r>
      <w:r>
        <w:rPr>
          <w:color w:val="231F20"/>
          <w:spacing w:val="-11"/>
        </w:rPr>
        <w:t> </w:t>
      </w:r>
      <w:r>
        <w:rPr>
          <w:color w:val="231F20"/>
        </w:rPr>
        <w:t>за</w:t>
      </w:r>
      <w:r>
        <w:rPr>
          <w:color w:val="231F20"/>
          <w:spacing w:val="-11"/>
        </w:rPr>
        <w:t> </w:t>
      </w:r>
      <w:r>
        <w:rPr>
          <w:color w:val="231F20"/>
        </w:rPr>
        <w:t>складиштење</w:t>
      </w:r>
      <w:r>
        <w:rPr>
          <w:color w:val="231F20"/>
          <w:spacing w:val="-11"/>
        </w:rPr>
        <w:t> </w:t>
      </w:r>
      <w:r>
        <w:rPr>
          <w:color w:val="231F20"/>
        </w:rPr>
        <w:t>CO</w:t>
      </w:r>
      <w:r>
        <w:rPr>
          <w:color w:val="231F20"/>
          <w:position w:val="-5"/>
          <w:sz w:val="10"/>
        </w:rPr>
        <w:t>2</w:t>
      </w:r>
      <w:r>
        <w:rPr>
          <w:color w:val="231F20"/>
          <w:spacing w:val="-5"/>
          <w:position w:val="-5"/>
          <w:sz w:val="10"/>
        </w:rPr>
        <w:t> </w:t>
      </w:r>
      <w:r>
        <w:rPr>
          <w:color w:val="231F20"/>
        </w:rPr>
        <w:t>или</w:t>
      </w:r>
      <w:r>
        <w:rPr>
          <w:color w:val="231F20"/>
          <w:spacing w:val="-11"/>
        </w:rPr>
        <w:t> </w:t>
      </w:r>
      <w:r>
        <w:rPr>
          <w:color w:val="231F20"/>
        </w:rPr>
        <w:t>коридор</w:t>
      </w:r>
      <w:r>
        <w:rPr>
          <w:color w:val="231F20"/>
          <w:spacing w:val="-11"/>
        </w:rPr>
        <w:t> </w:t>
      </w:r>
      <w:r>
        <w:rPr>
          <w:color w:val="231F20"/>
        </w:rPr>
        <w:t>(цево- вод) за транспорт до регионалног складишта</w:t>
      </w:r>
      <w:r>
        <w:rPr>
          <w:color w:val="231F20"/>
          <w:spacing w:val="-5"/>
        </w:rPr>
        <w:t> </w:t>
      </w:r>
      <w:r>
        <w:rPr>
          <w:color w:val="231F20"/>
        </w:rPr>
        <w:t>CO</w:t>
      </w:r>
      <w:r>
        <w:rPr>
          <w:color w:val="231F20"/>
          <w:position w:val="-5"/>
          <w:sz w:val="10"/>
        </w:rPr>
        <w:t>2</w:t>
      </w:r>
      <w:r>
        <w:rPr>
          <w:color w:val="231F20"/>
        </w:rPr>
        <w:t>;</w:t>
      </w:r>
    </w:p>
    <w:p>
      <w:pPr>
        <w:pStyle w:val="BodyText"/>
        <w:spacing w:line="154" w:lineRule="exact"/>
        <w:ind w:left="567"/>
        <w:jc w:val="left"/>
      </w:pPr>
      <w:r>
        <w:rPr>
          <w:color w:val="231F20"/>
          <w:w w:val="66"/>
        </w:rPr>
        <w:t> </w:t>
      </w:r>
      <w:r>
        <w:rPr>
          <w:color w:val="231F20"/>
        </w:rPr>
        <w:t>– уградити елементе система мониторинга за мерење емисије</w:t>
      </w:r>
    </w:p>
    <w:p>
      <w:pPr>
        <w:pStyle w:val="BodyText"/>
        <w:spacing w:line="216" w:lineRule="exact"/>
        <w:jc w:val="left"/>
      </w:pPr>
      <w:r>
        <w:rPr>
          <w:color w:val="231F20"/>
        </w:rPr>
        <w:t>честица прашине, SO</w:t>
      </w:r>
      <w:r>
        <w:rPr>
          <w:color w:val="231F20"/>
          <w:position w:val="-5"/>
          <w:sz w:val="10"/>
        </w:rPr>
        <w:t>2</w:t>
      </w:r>
      <w:r>
        <w:rPr>
          <w:color w:val="231F20"/>
        </w:rPr>
        <w:t>, NOx, CO</w:t>
      </w:r>
      <w:r>
        <w:rPr>
          <w:color w:val="231F20"/>
          <w:position w:val="-5"/>
          <w:sz w:val="10"/>
        </w:rPr>
        <w:t>2</w:t>
      </w:r>
      <w:r>
        <w:rPr>
          <w:color w:val="231F20"/>
        </w:rPr>
        <w:t>;</w:t>
      </w:r>
    </w:p>
    <w:p>
      <w:pPr>
        <w:pStyle w:val="BodyText"/>
        <w:spacing w:line="173" w:lineRule="exact"/>
        <w:ind w:left="567"/>
        <w:jc w:val="left"/>
      </w:pPr>
      <w:r>
        <w:rPr>
          <w:color w:val="231F20"/>
          <w:w w:val="66"/>
        </w:rPr>
        <w:t> </w:t>
      </w:r>
      <w:r>
        <w:rPr>
          <w:color w:val="231F20"/>
        </w:rPr>
        <w:t>– реконструисати или заменити постојеће електрофилтере у</w:t>
      </w:r>
    </w:p>
    <w:p>
      <w:pPr>
        <w:pStyle w:val="BodyText"/>
        <w:spacing w:line="225" w:lineRule="auto" w:before="4"/>
        <w:ind w:right="411"/>
      </w:pPr>
      <w:r>
        <w:rPr>
          <w:color w:val="231F20"/>
        </w:rPr>
        <w:t>складу са законским прописима (ГВЕ = 50 mg/m³ прашкастих ма- терија) на блоковима који се ревитализују;</w:t>
      </w:r>
    </w:p>
    <w:p>
      <w:pPr>
        <w:pStyle w:val="BodyText"/>
        <w:spacing w:line="225" w:lineRule="auto"/>
        <w:ind w:right="411" w:firstLine="396"/>
      </w:pPr>
      <w:r>
        <w:rPr>
          <w:color w:val="231F20"/>
          <w:w w:val="66"/>
        </w:rPr>
        <w:t> </w:t>
      </w:r>
      <w:r>
        <w:rPr>
          <w:color w:val="231F20"/>
        </w:rPr>
        <w:t>–</w:t>
      </w:r>
      <w:r>
        <w:rPr>
          <w:color w:val="231F20"/>
          <w:spacing w:val="-10"/>
        </w:rPr>
        <w:t> </w:t>
      </w:r>
      <w:r>
        <w:rPr>
          <w:color w:val="231F20"/>
        </w:rPr>
        <w:t>вршити</w:t>
      </w:r>
      <w:r>
        <w:rPr>
          <w:color w:val="231F20"/>
          <w:spacing w:val="-10"/>
        </w:rPr>
        <w:t> </w:t>
      </w:r>
      <w:r>
        <w:rPr>
          <w:color w:val="231F20"/>
        </w:rPr>
        <w:t>контролу</w:t>
      </w:r>
      <w:r>
        <w:rPr>
          <w:color w:val="231F20"/>
          <w:spacing w:val="-10"/>
        </w:rPr>
        <w:t> </w:t>
      </w:r>
      <w:r>
        <w:rPr>
          <w:color w:val="231F20"/>
        </w:rPr>
        <w:t>температуре</w:t>
      </w:r>
      <w:r>
        <w:rPr>
          <w:color w:val="231F20"/>
          <w:spacing w:val="-10"/>
        </w:rPr>
        <w:t> </w:t>
      </w:r>
      <w:r>
        <w:rPr>
          <w:color w:val="231F20"/>
        </w:rPr>
        <w:t>и</w:t>
      </w:r>
      <w:r>
        <w:rPr>
          <w:color w:val="231F20"/>
          <w:spacing w:val="-10"/>
        </w:rPr>
        <w:t> </w:t>
      </w:r>
      <w:r>
        <w:rPr>
          <w:color w:val="231F20"/>
        </w:rPr>
        <w:t>квалитета</w:t>
      </w:r>
      <w:r>
        <w:rPr>
          <w:color w:val="231F20"/>
          <w:spacing w:val="-10"/>
        </w:rPr>
        <w:t> </w:t>
      </w:r>
      <w:r>
        <w:rPr>
          <w:color w:val="231F20"/>
        </w:rPr>
        <w:t>воде</w:t>
      </w:r>
      <w:r>
        <w:rPr>
          <w:color w:val="231F20"/>
          <w:spacing w:val="-10"/>
        </w:rPr>
        <w:t> </w:t>
      </w:r>
      <w:r>
        <w:rPr>
          <w:color w:val="231F20"/>
        </w:rPr>
        <w:t>реке</w:t>
      </w:r>
      <w:r>
        <w:rPr>
          <w:color w:val="231F20"/>
          <w:spacing w:val="-10"/>
        </w:rPr>
        <w:t> </w:t>
      </w:r>
      <w:r>
        <w:rPr>
          <w:color w:val="231F20"/>
        </w:rPr>
        <w:t>Млаве узводно и низводно </w:t>
      </w:r>
      <w:r>
        <w:rPr>
          <w:color w:val="231F20"/>
          <w:spacing w:val="-3"/>
        </w:rPr>
        <w:t>од </w:t>
      </w:r>
      <w:r>
        <w:rPr>
          <w:color w:val="231F20"/>
        </w:rPr>
        <w:t>термоелектране;</w:t>
      </w:r>
      <w:r>
        <w:rPr>
          <w:color w:val="231F20"/>
          <w:spacing w:val="-4"/>
        </w:rPr>
        <w:t> </w:t>
      </w:r>
      <w:r>
        <w:rPr>
          <w:color w:val="231F20"/>
        </w:rPr>
        <w:t>и</w:t>
      </w:r>
    </w:p>
    <w:p>
      <w:pPr>
        <w:pStyle w:val="BodyText"/>
        <w:spacing w:line="225" w:lineRule="auto"/>
        <w:ind w:right="411" w:firstLine="396"/>
      </w:pPr>
      <w:r>
        <w:rPr>
          <w:color w:val="231F20"/>
          <w:w w:val="66"/>
        </w:rPr>
        <w:t> </w:t>
      </w:r>
      <w:r>
        <w:rPr>
          <w:color w:val="231F20"/>
        </w:rPr>
        <w:t>–</w:t>
      </w:r>
      <w:r>
        <w:rPr>
          <w:color w:val="231F20"/>
          <w:spacing w:val="-9"/>
        </w:rPr>
        <w:t> </w:t>
      </w:r>
      <w:r>
        <w:rPr>
          <w:color w:val="231F20"/>
        </w:rPr>
        <w:t>у</w:t>
      </w:r>
      <w:r>
        <w:rPr>
          <w:color w:val="231F20"/>
          <w:spacing w:val="-9"/>
        </w:rPr>
        <w:t> </w:t>
      </w:r>
      <w:r>
        <w:rPr>
          <w:color w:val="231F20"/>
        </w:rPr>
        <w:t>близини</w:t>
      </w:r>
      <w:r>
        <w:rPr>
          <w:color w:val="231F20"/>
          <w:spacing w:val="-9"/>
        </w:rPr>
        <w:t> </w:t>
      </w:r>
      <w:r>
        <w:rPr>
          <w:color w:val="231F20"/>
        </w:rPr>
        <w:t>термоелектране</w:t>
      </w:r>
      <w:r>
        <w:rPr>
          <w:color w:val="231F20"/>
          <w:spacing w:val="-9"/>
        </w:rPr>
        <w:t> </w:t>
      </w:r>
      <w:r>
        <w:rPr>
          <w:color w:val="231F20"/>
        </w:rPr>
        <w:t>вршити</w:t>
      </w:r>
      <w:r>
        <w:rPr>
          <w:color w:val="231F20"/>
          <w:spacing w:val="-10"/>
        </w:rPr>
        <w:t> </w:t>
      </w:r>
      <w:r>
        <w:rPr>
          <w:color w:val="231F20"/>
        </w:rPr>
        <w:t>мерења</w:t>
      </w:r>
      <w:r>
        <w:rPr>
          <w:color w:val="231F20"/>
          <w:spacing w:val="-9"/>
        </w:rPr>
        <w:t> </w:t>
      </w:r>
      <w:r>
        <w:rPr>
          <w:color w:val="231F20"/>
        </w:rPr>
        <w:t>имисије</w:t>
      </w:r>
      <w:r>
        <w:rPr>
          <w:color w:val="231F20"/>
          <w:spacing w:val="-9"/>
        </w:rPr>
        <w:t> </w:t>
      </w:r>
      <w:r>
        <w:rPr>
          <w:color w:val="231F20"/>
        </w:rPr>
        <w:t>честица прашине.</w:t>
      </w:r>
    </w:p>
    <w:p>
      <w:pPr>
        <w:pStyle w:val="ListParagraph"/>
        <w:numPr>
          <w:ilvl w:val="2"/>
          <w:numId w:val="63"/>
        </w:numPr>
        <w:tabs>
          <w:tab w:pos="1128" w:val="left" w:leader="none"/>
        </w:tabs>
        <w:spacing w:line="240" w:lineRule="auto" w:before="161" w:after="0"/>
        <w:ind w:left="1127" w:right="0" w:hanging="315"/>
        <w:jc w:val="left"/>
        <w:rPr>
          <w:i/>
          <w:sz w:val="18"/>
        </w:rPr>
      </w:pPr>
      <w:r>
        <w:rPr>
          <w:i/>
          <w:color w:val="231F20"/>
          <w:sz w:val="18"/>
        </w:rPr>
        <w:t>Смернице за спровођење планског</w:t>
      </w:r>
      <w:r>
        <w:rPr>
          <w:i/>
          <w:color w:val="231F20"/>
          <w:spacing w:val="-3"/>
          <w:sz w:val="18"/>
        </w:rPr>
        <w:t> </w:t>
      </w:r>
      <w:r>
        <w:rPr>
          <w:i/>
          <w:color w:val="231F20"/>
          <w:sz w:val="18"/>
        </w:rPr>
        <w:t>документа</w:t>
      </w:r>
    </w:p>
    <w:p>
      <w:pPr>
        <w:pStyle w:val="BodyText"/>
        <w:spacing w:before="8"/>
        <w:ind w:left="0"/>
        <w:jc w:val="left"/>
        <w:rPr>
          <w:i/>
          <w:sz w:val="16"/>
        </w:rPr>
      </w:pPr>
    </w:p>
    <w:p>
      <w:pPr>
        <w:pStyle w:val="BodyText"/>
        <w:spacing w:line="225" w:lineRule="auto" w:before="1"/>
        <w:ind w:right="411" w:firstLine="396"/>
      </w:pPr>
      <w:r>
        <w:rPr>
          <w:color w:val="231F20"/>
        </w:rPr>
        <w:t>Правила уређења и изградње утврђена у Просторном плану основ су за издавање локацијске дозволе за </w:t>
      </w:r>
      <w:r>
        <w:rPr>
          <w:color w:val="231F20"/>
          <w:spacing w:val="-3"/>
        </w:rPr>
        <w:t>изградњу, </w:t>
      </w:r>
      <w:r>
        <w:rPr>
          <w:color w:val="231F20"/>
        </w:rPr>
        <w:t>реконструк- цију</w:t>
      </w:r>
      <w:r>
        <w:rPr>
          <w:color w:val="231F20"/>
          <w:spacing w:val="-5"/>
        </w:rPr>
        <w:t> </w:t>
      </w:r>
      <w:r>
        <w:rPr>
          <w:color w:val="231F20"/>
        </w:rPr>
        <w:t>и</w:t>
      </w:r>
      <w:r>
        <w:rPr>
          <w:color w:val="231F20"/>
          <w:spacing w:val="-5"/>
        </w:rPr>
        <w:t> </w:t>
      </w:r>
      <w:r>
        <w:rPr>
          <w:color w:val="231F20"/>
        </w:rPr>
        <w:t>део</w:t>
      </w:r>
      <w:r>
        <w:rPr>
          <w:color w:val="231F20"/>
          <w:spacing w:val="-5"/>
        </w:rPr>
        <w:t> </w:t>
      </w:r>
      <w:r>
        <w:rPr>
          <w:color w:val="231F20"/>
        </w:rPr>
        <w:t>оних</w:t>
      </w:r>
      <w:r>
        <w:rPr>
          <w:color w:val="231F20"/>
          <w:spacing w:val="-5"/>
        </w:rPr>
        <w:t> </w:t>
      </w:r>
      <w:r>
        <w:rPr>
          <w:color w:val="231F20"/>
        </w:rPr>
        <w:t>радова</w:t>
      </w:r>
      <w:r>
        <w:rPr>
          <w:color w:val="231F20"/>
          <w:spacing w:val="-5"/>
        </w:rPr>
        <w:t> </w:t>
      </w:r>
      <w:r>
        <w:rPr>
          <w:color w:val="231F20"/>
        </w:rPr>
        <w:t>на</w:t>
      </w:r>
      <w:r>
        <w:rPr>
          <w:color w:val="231F20"/>
          <w:spacing w:val="-5"/>
        </w:rPr>
        <w:t> </w:t>
      </w:r>
      <w:r>
        <w:rPr>
          <w:color w:val="231F20"/>
        </w:rPr>
        <w:t>ревитализацији</w:t>
      </w:r>
      <w:r>
        <w:rPr>
          <w:color w:val="231F20"/>
          <w:spacing w:val="-5"/>
        </w:rPr>
        <w:t> </w:t>
      </w:r>
      <w:r>
        <w:rPr>
          <w:color w:val="231F20"/>
        </w:rPr>
        <w:t>постројења</w:t>
      </w:r>
      <w:r>
        <w:rPr>
          <w:color w:val="231F20"/>
          <w:spacing w:val="-5"/>
        </w:rPr>
        <w:t> </w:t>
      </w:r>
      <w:r>
        <w:rPr>
          <w:color w:val="231F20"/>
          <w:spacing w:val="-3"/>
        </w:rPr>
        <w:t>који</w:t>
      </w:r>
      <w:r>
        <w:rPr>
          <w:color w:val="231F20"/>
          <w:spacing w:val="-5"/>
        </w:rPr>
        <w:t> </w:t>
      </w:r>
      <w:r>
        <w:rPr>
          <w:color w:val="231F20"/>
        </w:rPr>
        <w:t>су</w:t>
      </w:r>
      <w:r>
        <w:rPr>
          <w:color w:val="231F20"/>
          <w:spacing w:val="-5"/>
        </w:rPr>
        <w:t> </w:t>
      </w:r>
      <w:r>
        <w:rPr>
          <w:color w:val="231F20"/>
        </w:rPr>
        <w:t>регу- лисани одредбама Закона о планирању и</w:t>
      </w:r>
      <w:r>
        <w:rPr>
          <w:color w:val="231F20"/>
          <w:spacing w:val="-11"/>
        </w:rPr>
        <w:t> </w:t>
      </w:r>
      <w:r>
        <w:rPr>
          <w:color w:val="231F20"/>
        </w:rPr>
        <w:t>изградњи.</w:t>
      </w:r>
    </w:p>
    <w:p>
      <w:pPr>
        <w:pStyle w:val="BodyText"/>
        <w:spacing w:line="225" w:lineRule="auto"/>
        <w:ind w:right="411" w:firstLine="396"/>
      </w:pPr>
      <w:r>
        <w:rPr>
          <w:color w:val="231F20"/>
        </w:rPr>
        <w:t>На основу правила парцелације израдиће се Пројект парце- лације са пројектом геодетског обележавања и након његовог по- тврђивања нове парцеле увешће се у евиденцију непокретности.</w:t>
      </w:r>
    </w:p>
    <w:p>
      <w:pPr>
        <w:pStyle w:val="BodyText"/>
        <w:spacing w:line="225" w:lineRule="auto" w:before="1"/>
        <w:ind w:right="411" w:firstLine="397"/>
      </w:pPr>
      <w:r>
        <w:rPr>
          <w:color w:val="231F20"/>
        </w:rPr>
        <w:t>Приликом израде локацијске дозволе за изградњу новог бло- ка преузеће се додатни подаци из нове студијске документације. Уколико се нова решења не могу уклопити у планска решења и правила изградње Просторног плана покренуће се процедура ма- ње измене Просторног плана.</w:t>
      </w:r>
    </w:p>
    <w:p>
      <w:pPr>
        <w:pStyle w:val="BodyText"/>
        <w:spacing w:line="225" w:lineRule="auto" w:before="1"/>
        <w:ind w:right="412" w:firstLine="397"/>
      </w:pPr>
      <w:r>
        <w:rPr>
          <w:color w:val="231F20"/>
          <w:spacing w:val="-3"/>
        </w:rPr>
        <w:t>Комплекс </w:t>
      </w:r>
      <w:r>
        <w:rPr>
          <w:color w:val="231F20"/>
        </w:rPr>
        <w:t>ТЕ „Костолац Б” у целини је лоциран у заштитном појасу археолошког налазишта Виминацијум, </w:t>
      </w:r>
      <w:r>
        <w:rPr>
          <w:color w:val="231F20"/>
          <w:spacing w:val="-3"/>
        </w:rPr>
        <w:t>тако </w:t>
      </w:r>
      <w:r>
        <w:rPr>
          <w:color w:val="231F20"/>
        </w:rPr>
        <w:t>да се </w:t>
      </w:r>
      <w:r>
        <w:rPr>
          <w:color w:val="231F20"/>
          <w:spacing w:val="-3"/>
        </w:rPr>
        <w:t>приликом </w:t>
      </w:r>
      <w:r>
        <w:rPr>
          <w:color w:val="231F20"/>
        </w:rPr>
        <w:t>изградње, одржавања и коришћења објеката и земљишта приме- њују заштитне мере и ограничења у коришћењу простора, у скла- ду са </w:t>
      </w:r>
      <w:r>
        <w:rPr>
          <w:color w:val="231F20"/>
          <w:spacing w:val="-3"/>
        </w:rPr>
        <w:t>Одлуком </w:t>
      </w:r>
      <w:r>
        <w:rPr>
          <w:color w:val="231F20"/>
        </w:rPr>
        <w:t>о утврђивању локалитета Виминацијум у атару се- ла</w:t>
      </w:r>
      <w:r>
        <w:rPr>
          <w:color w:val="231F20"/>
          <w:spacing w:val="-9"/>
        </w:rPr>
        <w:t> </w:t>
      </w:r>
      <w:r>
        <w:rPr>
          <w:color w:val="231F20"/>
        </w:rPr>
        <w:t>Стари</w:t>
      </w:r>
      <w:r>
        <w:rPr>
          <w:color w:val="231F20"/>
          <w:spacing w:val="-9"/>
        </w:rPr>
        <w:t> </w:t>
      </w:r>
      <w:r>
        <w:rPr>
          <w:color w:val="231F20"/>
        </w:rPr>
        <w:t>Костолац</w:t>
      </w:r>
      <w:r>
        <w:rPr>
          <w:color w:val="231F20"/>
          <w:spacing w:val="-9"/>
        </w:rPr>
        <w:t> </w:t>
      </w:r>
      <w:r>
        <w:rPr>
          <w:color w:val="231F20"/>
        </w:rPr>
        <w:t>за</w:t>
      </w:r>
      <w:r>
        <w:rPr>
          <w:color w:val="231F20"/>
          <w:spacing w:val="-9"/>
        </w:rPr>
        <w:t> </w:t>
      </w:r>
      <w:r>
        <w:rPr>
          <w:color w:val="231F20"/>
        </w:rPr>
        <w:t>археолошко</w:t>
      </w:r>
      <w:r>
        <w:rPr>
          <w:color w:val="231F20"/>
          <w:spacing w:val="-9"/>
        </w:rPr>
        <w:t> </w:t>
      </w:r>
      <w:r>
        <w:rPr>
          <w:color w:val="231F20"/>
        </w:rPr>
        <w:t>налазиште,</w:t>
      </w:r>
      <w:r>
        <w:rPr>
          <w:color w:val="231F20"/>
          <w:spacing w:val="-9"/>
        </w:rPr>
        <w:t> </w:t>
      </w:r>
      <w:r>
        <w:rPr>
          <w:color w:val="231F20"/>
        </w:rPr>
        <w:t>(„Службени</w:t>
      </w:r>
      <w:r>
        <w:rPr>
          <w:color w:val="231F20"/>
          <w:spacing w:val="-9"/>
        </w:rPr>
        <w:t> </w:t>
      </w:r>
      <w:r>
        <w:rPr>
          <w:color w:val="231F20"/>
        </w:rPr>
        <w:t>гласник РС”, број 102/09).</w:t>
      </w:r>
    </w:p>
    <w:p>
      <w:pPr>
        <w:pStyle w:val="BodyText"/>
        <w:spacing w:line="225" w:lineRule="auto" w:before="1"/>
        <w:ind w:right="411" w:firstLine="396"/>
      </w:pPr>
      <w:r>
        <w:rPr>
          <w:color w:val="231F20"/>
        </w:rPr>
        <w:t>У оквиру функционалног унапређења термоелектране, </w:t>
      </w:r>
      <w:r>
        <w:rPr>
          <w:color w:val="231F20"/>
          <w:spacing w:val="-3"/>
        </w:rPr>
        <w:t>може </w:t>
      </w:r>
      <w:r>
        <w:rPr>
          <w:color w:val="231F20"/>
        </w:rPr>
        <w:t>појавити потреба резервације нових површина за техничке систе- ме </w:t>
      </w:r>
      <w:r>
        <w:rPr>
          <w:color w:val="231F20"/>
          <w:spacing w:val="-4"/>
        </w:rPr>
        <w:t>који </w:t>
      </w:r>
      <w:r>
        <w:rPr>
          <w:color w:val="231F20"/>
        </w:rPr>
        <w:t>чине функционалну целину са термоелектраном, или ра- ди уређења нових </w:t>
      </w:r>
      <w:r>
        <w:rPr>
          <w:color w:val="231F20"/>
          <w:spacing w:val="-3"/>
        </w:rPr>
        <w:t>коридора </w:t>
      </w:r>
      <w:r>
        <w:rPr>
          <w:color w:val="231F20"/>
        </w:rPr>
        <w:t>за потребе успостављања саобраћај- них или транспортних техничких система, као и веза </w:t>
      </w:r>
      <w:r>
        <w:rPr>
          <w:color w:val="231F20"/>
          <w:spacing w:val="-3"/>
        </w:rPr>
        <w:t>комплекса </w:t>
      </w:r>
      <w:r>
        <w:rPr>
          <w:color w:val="231F20"/>
        </w:rPr>
        <w:t>са новим целинама (пристаниште и слично) или за потребе склади-</w:t>
      </w:r>
    </w:p>
    <w:p>
      <w:pPr>
        <w:pStyle w:val="BodyText"/>
        <w:spacing w:line="204" w:lineRule="auto" w:before="10"/>
        <w:ind w:right="411" w:hanging="1"/>
      </w:pPr>
      <w:r>
        <w:rPr>
          <w:color w:val="231F20"/>
        </w:rPr>
        <w:t>штења CO</w:t>
      </w:r>
      <w:r>
        <w:rPr>
          <w:color w:val="231F20"/>
          <w:position w:val="-5"/>
          <w:sz w:val="10"/>
        </w:rPr>
        <w:t>2</w:t>
      </w:r>
      <w:r>
        <w:rPr>
          <w:color w:val="231F20"/>
        </w:rPr>
        <w:t>, </w:t>
      </w:r>
      <w:r>
        <w:rPr>
          <w:color w:val="231F20"/>
          <w:spacing w:val="-4"/>
        </w:rPr>
        <w:t>ако </w:t>
      </w:r>
      <w:r>
        <w:rPr>
          <w:color w:val="231F20"/>
        </w:rPr>
        <w:t>изостане изградња централног складишта на реги- оналном </w:t>
      </w:r>
      <w:r>
        <w:rPr>
          <w:color w:val="231F20"/>
          <w:spacing w:val="-6"/>
        </w:rPr>
        <w:t>нивоу. </w:t>
      </w:r>
      <w:r>
        <w:rPr>
          <w:color w:val="231F20"/>
        </w:rPr>
        <w:t>Правила изградње и уређења ових површина и </w:t>
      </w:r>
      <w:r>
        <w:rPr>
          <w:color w:val="231F20"/>
          <w:spacing w:val="-4"/>
        </w:rPr>
        <w:t>ко- </w:t>
      </w:r>
      <w:r>
        <w:rPr>
          <w:color w:val="231F20"/>
        </w:rPr>
        <w:t>ридора</w:t>
      </w:r>
      <w:r>
        <w:rPr>
          <w:color w:val="231F20"/>
          <w:spacing w:val="-7"/>
        </w:rPr>
        <w:t> </w:t>
      </w:r>
      <w:r>
        <w:rPr>
          <w:color w:val="231F20"/>
        </w:rPr>
        <w:t>утврдиће</w:t>
      </w:r>
      <w:r>
        <w:rPr>
          <w:color w:val="231F20"/>
          <w:spacing w:val="-7"/>
        </w:rPr>
        <w:t> </w:t>
      </w:r>
      <w:r>
        <w:rPr>
          <w:color w:val="231F20"/>
        </w:rPr>
        <w:t>се</w:t>
      </w:r>
      <w:r>
        <w:rPr>
          <w:color w:val="231F20"/>
          <w:spacing w:val="-7"/>
        </w:rPr>
        <w:t> </w:t>
      </w:r>
      <w:r>
        <w:rPr>
          <w:color w:val="231F20"/>
        </w:rPr>
        <w:t>кроз</w:t>
      </w:r>
      <w:r>
        <w:rPr>
          <w:color w:val="231F20"/>
          <w:spacing w:val="-7"/>
        </w:rPr>
        <w:t> </w:t>
      </w:r>
      <w:r>
        <w:rPr>
          <w:color w:val="231F20"/>
        </w:rPr>
        <w:t>мање</w:t>
      </w:r>
      <w:r>
        <w:rPr>
          <w:color w:val="231F20"/>
          <w:spacing w:val="-7"/>
        </w:rPr>
        <w:t> </w:t>
      </w:r>
      <w:r>
        <w:rPr>
          <w:color w:val="231F20"/>
        </w:rPr>
        <w:t>допуне</w:t>
      </w:r>
      <w:r>
        <w:rPr>
          <w:color w:val="231F20"/>
          <w:spacing w:val="-7"/>
        </w:rPr>
        <w:t> </w:t>
      </w:r>
      <w:r>
        <w:rPr>
          <w:color w:val="231F20"/>
        </w:rPr>
        <w:t>и</w:t>
      </w:r>
      <w:r>
        <w:rPr>
          <w:color w:val="231F20"/>
          <w:spacing w:val="-7"/>
        </w:rPr>
        <w:t> </w:t>
      </w:r>
      <w:r>
        <w:rPr>
          <w:color w:val="231F20"/>
        </w:rPr>
        <w:t>измене</w:t>
      </w:r>
      <w:r>
        <w:rPr>
          <w:color w:val="231F20"/>
          <w:spacing w:val="-7"/>
        </w:rPr>
        <w:t> </w:t>
      </w:r>
      <w:r>
        <w:rPr>
          <w:color w:val="231F20"/>
        </w:rPr>
        <w:t>Просторног</w:t>
      </w:r>
      <w:r>
        <w:rPr>
          <w:color w:val="231F20"/>
          <w:spacing w:val="-7"/>
        </w:rPr>
        <w:t> </w:t>
      </w:r>
      <w:r>
        <w:rPr>
          <w:color w:val="231F20"/>
        </w:rPr>
        <w:t>плана.</w:t>
      </w:r>
    </w:p>
    <w:p>
      <w:pPr>
        <w:pStyle w:val="BodyText"/>
        <w:spacing w:line="225" w:lineRule="auto" w:before="4"/>
        <w:ind w:right="410" w:firstLine="396"/>
      </w:pPr>
      <w:r>
        <w:rPr>
          <w:color w:val="231F20"/>
        </w:rPr>
        <w:t>У оквиру прве фазе реализације новог блока неопходно је спровести обимне истражне радове и израдити геотехничке ела- борате за све објекте новог блока, као и његове кључне сегмен-  те (темеље турбоагрегата, темеље носећих стубова челичне </w:t>
      </w:r>
      <w:r>
        <w:rPr>
          <w:color w:val="231F20"/>
          <w:spacing w:val="-3"/>
        </w:rPr>
        <w:t>кон- </w:t>
      </w:r>
      <w:r>
        <w:rPr>
          <w:color w:val="231F20"/>
        </w:rPr>
        <w:t>струкције у ГПО). Истражним радовима такође обухватити и зону електофилтера, димњака, система за одсумпоравање, система за пепео и </w:t>
      </w:r>
      <w:r>
        <w:rPr>
          <w:color w:val="231F20"/>
          <w:spacing w:val="-4"/>
        </w:rPr>
        <w:t>шљаку, </w:t>
      </w:r>
      <w:r>
        <w:rPr>
          <w:color w:val="231F20"/>
        </w:rPr>
        <w:t>додатних бунара сирове воде, као и зону извори- шта</w:t>
      </w:r>
      <w:r>
        <w:rPr>
          <w:color w:val="231F20"/>
          <w:spacing w:val="-1"/>
        </w:rPr>
        <w:t> </w:t>
      </w:r>
      <w:r>
        <w:rPr>
          <w:color w:val="231F20"/>
        </w:rPr>
        <w:t>водоснабдевања.</w:t>
      </w:r>
    </w:p>
    <w:p>
      <w:pPr>
        <w:pStyle w:val="BodyText"/>
        <w:spacing w:line="225" w:lineRule="auto" w:before="1"/>
        <w:ind w:left="172" w:right="410" w:firstLine="396"/>
      </w:pPr>
      <w:r>
        <w:rPr>
          <w:color w:val="231F20"/>
        </w:rPr>
        <w:t>Елаборат о резервама подземних вода биће подлога за изра- ду пројеката проширења изворишта „Дрмно” за потребе изградње друге фазе ТЕ „Костолац Б”.</w:t>
      </w:r>
    </w:p>
    <w:p>
      <w:pPr>
        <w:pStyle w:val="BodyText"/>
        <w:spacing w:line="225" w:lineRule="auto" w:before="1"/>
        <w:ind w:left="172" w:right="409" w:firstLine="396"/>
      </w:pPr>
      <w:r>
        <w:rPr>
          <w:color w:val="231F20"/>
        </w:rPr>
        <w:t>Имајући у виду значај </w:t>
      </w:r>
      <w:r>
        <w:rPr>
          <w:color w:val="231F20"/>
          <w:spacing w:val="-3"/>
        </w:rPr>
        <w:t>комплекса, </w:t>
      </w:r>
      <w:r>
        <w:rPr>
          <w:color w:val="231F20"/>
        </w:rPr>
        <w:t>неопходна је доследна и перманентна</w:t>
      </w:r>
      <w:r>
        <w:rPr>
          <w:color w:val="231F20"/>
          <w:spacing w:val="-5"/>
        </w:rPr>
        <w:t> </w:t>
      </w:r>
      <w:r>
        <w:rPr>
          <w:color w:val="231F20"/>
        </w:rPr>
        <w:t>примена</w:t>
      </w:r>
      <w:r>
        <w:rPr>
          <w:color w:val="231F20"/>
          <w:spacing w:val="-5"/>
        </w:rPr>
        <w:t> </w:t>
      </w:r>
      <w:r>
        <w:rPr>
          <w:color w:val="231F20"/>
        </w:rPr>
        <w:t>мера</w:t>
      </w:r>
      <w:r>
        <w:rPr>
          <w:color w:val="231F20"/>
          <w:spacing w:val="-4"/>
        </w:rPr>
        <w:t> </w:t>
      </w:r>
      <w:r>
        <w:rPr>
          <w:color w:val="231F20"/>
        </w:rPr>
        <w:t>оскултације</w:t>
      </w:r>
      <w:r>
        <w:rPr>
          <w:color w:val="231F20"/>
          <w:spacing w:val="-4"/>
        </w:rPr>
        <w:t> </w:t>
      </w:r>
      <w:r>
        <w:rPr>
          <w:color w:val="231F20"/>
        </w:rPr>
        <w:t>терена</w:t>
      </w:r>
      <w:r>
        <w:rPr>
          <w:color w:val="231F20"/>
          <w:spacing w:val="-5"/>
        </w:rPr>
        <w:t> </w:t>
      </w:r>
      <w:r>
        <w:rPr>
          <w:color w:val="231F20"/>
        </w:rPr>
        <w:t>с</w:t>
      </w:r>
      <w:r>
        <w:rPr>
          <w:color w:val="231F20"/>
          <w:spacing w:val="-4"/>
        </w:rPr>
        <w:t> </w:t>
      </w:r>
      <w:r>
        <w:rPr>
          <w:color w:val="231F20"/>
        </w:rPr>
        <w:t>обзиром</w:t>
      </w:r>
      <w:r>
        <w:rPr>
          <w:color w:val="231F20"/>
          <w:spacing w:val="-4"/>
        </w:rPr>
        <w:t> </w:t>
      </w:r>
      <w:r>
        <w:rPr>
          <w:color w:val="231F20"/>
        </w:rPr>
        <w:t>на</w:t>
      </w:r>
      <w:r>
        <w:rPr>
          <w:color w:val="231F20"/>
          <w:spacing w:val="-5"/>
        </w:rPr>
        <w:t> </w:t>
      </w:r>
      <w:r>
        <w:rPr>
          <w:color w:val="231F20"/>
        </w:rPr>
        <w:t>могу- ћа слегања </w:t>
      </w:r>
      <w:r>
        <w:rPr>
          <w:color w:val="231F20"/>
          <w:spacing w:val="-3"/>
        </w:rPr>
        <w:t>која </w:t>
      </w:r>
      <w:r>
        <w:rPr>
          <w:color w:val="231F20"/>
        </w:rPr>
        <w:t>би настала као последица заштите ПК „Дрмно” </w:t>
      </w:r>
      <w:r>
        <w:rPr>
          <w:color w:val="231F20"/>
          <w:spacing w:val="-3"/>
        </w:rPr>
        <w:t>од </w:t>
      </w:r>
      <w:r>
        <w:rPr>
          <w:color w:val="231F20"/>
        </w:rPr>
        <w:t>подземних</w:t>
      </w:r>
      <w:r>
        <w:rPr>
          <w:color w:val="231F20"/>
          <w:spacing w:val="-11"/>
        </w:rPr>
        <w:t> </w:t>
      </w:r>
      <w:r>
        <w:rPr>
          <w:color w:val="231F20"/>
        </w:rPr>
        <w:t>вода,</w:t>
      </w:r>
      <w:r>
        <w:rPr>
          <w:color w:val="231F20"/>
          <w:spacing w:val="-11"/>
        </w:rPr>
        <w:t> </w:t>
      </w:r>
      <w:r>
        <w:rPr>
          <w:color w:val="231F20"/>
        </w:rPr>
        <w:t>и</w:t>
      </w:r>
      <w:r>
        <w:rPr>
          <w:color w:val="231F20"/>
          <w:spacing w:val="-11"/>
        </w:rPr>
        <w:t> </w:t>
      </w:r>
      <w:r>
        <w:rPr>
          <w:color w:val="231F20"/>
        </w:rPr>
        <w:t>на</w:t>
      </w:r>
      <w:r>
        <w:rPr>
          <w:color w:val="231F20"/>
          <w:spacing w:val="-11"/>
        </w:rPr>
        <w:t> </w:t>
      </w:r>
      <w:r>
        <w:rPr>
          <w:color w:val="231F20"/>
        </w:rPr>
        <w:t>утицај</w:t>
      </w:r>
      <w:r>
        <w:rPr>
          <w:color w:val="231F20"/>
          <w:spacing w:val="-11"/>
        </w:rPr>
        <w:t> </w:t>
      </w:r>
      <w:r>
        <w:rPr>
          <w:color w:val="231F20"/>
        </w:rPr>
        <w:t>растерећења</w:t>
      </w:r>
      <w:r>
        <w:rPr>
          <w:color w:val="231F20"/>
          <w:spacing w:val="-11"/>
        </w:rPr>
        <w:t> </w:t>
      </w:r>
      <w:r>
        <w:rPr>
          <w:color w:val="231F20"/>
        </w:rPr>
        <w:t>услед</w:t>
      </w:r>
      <w:r>
        <w:rPr>
          <w:color w:val="231F20"/>
          <w:spacing w:val="-11"/>
        </w:rPr>
        <w:t> </w:t>
      </w:r>
      <w:r>
        <w:rPr>
          <w:color w:val="231F20"/>
        </w:rPr>
        <w:t>откопавања</w:t>
      </w:r>
      <w:r>
        <w:rPr>
          <w:color w:val="231F20"/>
          <w:spacing w:val="-11"/>
        </w:rPr>
        <w:t> </w:t>
      </w:r>
      <w:r>
        <w:rPr>
          <w:color w:val="231F20"/>
        </w:rPr>
        <w:t>земља- них</w:t>
      </w:r>
      <w:r>
        <w:rPr>
          <w:color w:val="231F20"/>
          <w:spacing w:val="-6"/>
        </w:rPr>
        <w:t> </w:t>
      </w:r>
      <w:r>
        <w:rPr>
          <w:color w:val="231F20"/>
        </w:rPr>
        <w:t>маса</w:t>
      </w:r>
      <w:r>
        <w:rPr>
          <w:color w:val="231F20"/>
          <w:spacing w:val="-6"/>
        </w:rPr>
        <w:t> </w:t>
      </w:r>
      <w:r>
        <w:rPr>
          <w:color w:val="231F20"/>
        </w:rPr>
        <w:t>на</w:t>
      </w:r>
      <w:r>
        <w:rPr>
          <w:color w:val="231F20"/>
          <w:spacing w:val="-6"/>
        </w:rPr>
        <w:t> </w:t>
      </w:r>
      <w:r>
        <w:rPr>
          <w:color w:val="231F20"/>
        </w:rPr>
        <w:t>површинском</w:t>
      </w:r>
      <w:r>
        <w:rPr>
          <w:color w:val="231F20"/>
          <w:spacing w:val="-6"/>
        </w:rPr>
        <w:t> копу, </w:t>
      </w:r>
      <w:r>
        <w:rPr>
          <w:color w:val="231F20"/>
        </w:rPr>
        <w:t>а</w:t>
      </w:r>
      <w:r>
        <w:rPr>
          <w:color w:val="231F20"/>
          <w:spacing w:val="-6"/>
        </w:rPr>
        <w:t> </w:t>
      </w:r>
      <w:r>
        <w:rPr>
          <w:color w:val="231F20"/>
        </w:rPr>
        <w:t>затим</w:t>
      </w:r>
      <w:r>
        <w:rPr>
          <w:color w:val="231F20"/>
          <w:spacing w:val="-6"/>
        </w:rPr>
        <w:t> </w:t>
      </w:r>
      <w:r>
        <w:rPr>
          <w:color w:val="231F20"/>
        </w:rPr>
        <w:t>и</w:t>
      </w:r>
      <w:r>
        <w:rPr>
          <w:color w:val="231F20"/>
          <w:spacing w:val="-6"/>
        </w:rPr>
        <w:t> </w:t>
      </w:r>
      <w:r>
        <w:rPr>
          <w:color w:val="231F20"/>
        </w:rPr>
        <w:t>поновног</w:t>
      </w:r>
      <w:r>
        <w:rPr>
          <w:color w:val="231F20"/>
          <w:spacing w:val="-6"/>
        </w:rPr>
        <w:t> </w:t>
      </w:r>
      <w:r>
        <w:rPr>
          <w:color w:val="231F20"/>
        </w:rPr>
        <w:t>одлагања</w:t>
      </w:r>
      <w:r>
        <w:rPr>
          <w:color w:val="231F20"/>
          <w:spacing w:val="-6"/>
        </w:rPr>
        <w:t> </w:t>
      </w:r>
      <w:r>
        <w:rPr>
          <w:color w:val="231F20"/>
        </w:rPr>
        <w:t>јало- вине на унутрашњем одлагалишту </w:t>
      </w:r>
      <w:r>
        <w:rPr>
          <w:color w:val="231F20"/>
          <w:spacing w:val="-3"/>
        </w:rPr>
        <w:t>копа </w:t>
      </w:r>
      <w:r>
        <w:rPr>
          <w:color w:val="231F20"/>
        </w:rPr>
        <w:t>у близини термоелектра- не. С обзиром на очекивана слегања терена услед снижења нивоа подземне воде као последицу одводњавања површинског </w:t>
      </w:r>
      <w:r>
        <w:rPr>
          <w:color w:val="231F20"/>
          <w:spacing w:val="-3"/>
        </w:rPr>
        <w:t>копа </w:t>
      </w:r>
      <w:r>
        <w:rPr>
          <w:color w:val="231F20"/>
        </w:rPr>
        <w:t>(до највише 30 cm), за поједине конструктивне елементе и осетљиву опрему треба предвидети мере ректификације и уградње одгова- рајућих</w:t>
      </w:r>
      <w:r>
        <w:rPr>
          <w:color w:val="231F20"/>
          <w:spacing w:val="-1"/>
        </w:rPr>
        <w:t> </w:t>
      </w:r>
      <w:r>
        <w:rPr>
          <w:color w:val="231F20"/>
        </w:rPr>
        <w:t>репера.</w:t>
      </w:r>
    </w:p>
    <w:p>
      <w:pPr>
        <w:spacing w:after="0" w:line="225" w:lineRule="auto"/>
        <w:sectPr>
          <w:pgSz w:w="12480" w:h="15690"/>
          <w:pgMar w:top="120" w:bottom="280" w:left="680" w:right="720"/>
          <w:cols w:num="2" w:equalWidth="0">
            <w:col w:w="5315" w:space="71"/>
            <w:col w:w="5694"/>
          </w:cols>
        </w:sectPr>
      </w:pPr>
    </w:p>
    <w:p>
      <w:pPr>
        <w:pStyle w:val="BodyText"/>
        <w:spacing w:before="68"/>
        <w:ind w:left="453" w:firstLine="396"/>
      </w:pPr>
      <w:r>
        <w:rPr/>
        <w:pict>
          <v:line style="position:absolute;mso-position-horizontal-relative:page;mso-position-vertical-relative:page;z-index:4384" from="318.897614pt,11.942451pt" to="318.897614pt,748.950451pt" stroked="true" strokeweight=".6pt" strokecolor="#231f20">
            <v:stroke dashstyle="solid"/>
            <w10:wrap type="none"/>
          </v:line>
        </w:pict>
      </w:r>
      <w:r>
        <w:rPr>
          <w:color w:val="231F20"/>
        </w:rPr>
        <w:t>Неопходно је израдити и доследно спроводити пројект орга- низације радова, с обзиром на захтев да се при изградњи нових система</w:t>
      </w:r>
      <w:r>
        <w:rPr>
          <w:color w:val="231F20"/>
          <w:spacing w:val="-6"/>
        </w:rPr>
        <w:t> </w:t>
      </w:r>
      <w:r>
        <w:rPr>
          <w:color w:val="231F20"/>
        </w:rPr>
        <w:t>и</w:t>
      </w:r>
      <w:r>
        <w:rPr>
          <w:color w:val="231F20"/>
          <w:spacing w:val="-6"/>
        </w:rPr>
        <w:t> </w:t>
      </w:r>
      <w:r>
        <w:rPr>
          <w:color w:val="231F20"/>
        </w:rPr>
        <w:t>капацитета</w:t>
      </w:r>
      <w:r>
        <w:rPr>
          <w:color w:val="231F20"/>
          <w:spacing w:val="-6"/>
        </w:rPr>
        <w:t> </w:t>
      </w:r>
      <w:r>
        <w:rPr>
          <w:color w:val="231F20"/>
        </w:rPr>
        <w:t>мора</w:t>
      </w:r>
      <w:r>
        <w:rPr>
          <w:color w:val="231F20"/>
          <w:spacing w:val="-6"/>
        </w:rPr>
        <w:t> </w:t>
      </w:r>
      <w:r>
        <w:rPr>
          <w:color w:val="231F20"/>
        </w:rPr>
        <w:t>обезбедити</w:t>
      </w:r>
      <w:r>
        <w:rPr>
          <w:color w:val="231F20"/>
          <w:spacing w:val="-6"/>
        </w:rPr>
        <w:t> </w:t>
      </w:r>
      <w:r>
        <w:rPr>
          <w:color w:val="231F20"/>
        </w:rPr>
        <w:t>рад</w:t>
      </w:r>
      <w:r>
        <w:rPr>
          <w:color w:val="231F20"/>
          <w:spacing w:val="-6"/>
        </w:rPr>
        <w:t> </w:t>
      </w:r>
      <w:r>
        <w:rPr>
          <w:color w:val="231F20"/>
        </w:rPr>
        <w:t>постојећих.</w:t>
      </w:r>
      <w:r>
        <w:rPr>
          <w:color w:val="231F20"/>
          <w:spacing w:val="-6"/>
        </w:rPr>
        <w:t> </w:t>
      </w:r>
      <w:r>
        <w:rPr>
          <w:color w:val="231F20"/>
        </w:rPr>
        <w:t>Требало</w:t>
      </w:r>
      <w:r>
        <w:rPr>
          <w:color w:val="231F20"/>
          <w:spacing w:val="-6"/>
        </w:rPr>
        <w:t> </w:t>
      </w:r>
      <w:r>
        <w:rPr>
          <w:color w:val="231F20"/>
        </w:rPr>
        <w:t>би да се поштовањем одређеног редоследа радова </w:t>
      </w:r>
      <w:r>
        <w:rPr>
          <w:color w:val="231F20"/>
          <w:spacing w:val="-4"/>
        </w:rPr>
        <w:t>током </w:t>
      </w:r>
      <w:r>
        <w:rPr>
          <w:color w:val="231F20"/>
        </w:rPr>
        <w:t>реализације пројекта избегне највећи број могућих проблема. На пример, </w:t>
      </w:r>
      <w:r>
        <w:rPr>
          <w:color w:val="231F20"/>
          <w:spacing w:val="-6"/>
        </w:rPr>
        <w:t>код </w:t>
      </w:r>
      <w:r>
        <w:rPr>
          <w:color w:val="231F20"/>
        </w:rPr>
        <w:t>уградње система </w:t>
      </w:r>
      <w:r>
        <w:rPr>
          <w:color w:val="231F20"/>
          <w:spacing w:val="-8"/>
        </w:rPr>
        <w:t>ОДГ, </w:t>
      </w:r>
      <w:r>
        <w:rPr>
          <w:color w:val="231F20"/>
        </w:rPr>
        <w:t>инсталација машинске и електро опреме може започети </w:t>
      </w:r>
      <w:r>
        <w:rPr>
          <w:color w:val="231F20"/>
          <w:spacing w:val="-3"/>
        </w:rPr>
        <w:t>након </w:t>
      </w:r>
      <w:r>
        <w:rPr>
          <w:color w:val="231F20"/>
        </w:rPr>
        <w:t>изградње пумпне станице, а темељи бустер вентилатора</w:t>
      </w:r>
      <w:r>
        <w:rPr>
          <w:color w:val="231F20"/>
          <w:spacing w:val="-7"/>
        </w:rPr>
        <w:t> </w:t>
      </w:r>
      <w:r>
        <w:rPr>
          <w:color w:val="231F20"/>
        </w:rPr>
        <w:t>могу</w:t>
      </w:r>
      <w:r>
        <w:rPr>
          <w:color w:val="231F20"/>
          <w:spacing w:val="-7"/>
        </w:rPr>
        <w:t> </w:t>
      </w:r>
      <w:r>
        <w:rPr>
          <w:color w:val="231F20"/>
        </w:rPr>
        <w:t>бити</w:t>
      </w:r>
      <w:r>
        <w:rPr>
          <w:color w:val="231F20"/>
          <w:spacing w:val="-7"/>
        </w:rPr>
        <w:t> </w:t>
      </w:r>
      <w:r>
        <w:rPr>
          <w:color w:val="231F20"/>
        </w:rPr>
        <w:t>постављени</w:t>
      </w:r>
      <w:r>
        <w:rPr>
          <w:color w:val="231F20"/>
          <w:spacing w:val="-7"/>
        </w:rPr>
        <w:t> </w:t>
      </w:r>
      <w:r>
        <w:rPr>
          <w:color w:val="231F20"/>
        </w:rPr>
        <w:t>тек</w:t>
      </w:r>
      <w:r>
        <w:rPr>
          <w:color w:val="231F20"/>
          <w:spacing w:val="-7"/>
        </w:rPr>
        <w:t> </w:t>
      </w:r>
      <w:r>
        <w:rPr>
          <w:color w:val="231F20"/>
          <w:spacing w:val="-3"/>
        </w:rPr>
        <w:t>након</w:t>
      </w:r>
      <w:r>
        <w:rPr>
          <w:color w:val="231F20"/>
          <w:spacing w:val="-7"/>
        </w:rPr>
        <w:t> </w:t>
      </w:r>
      <w:r>
        <w:rPr>
          <w:color w:val="231F20"/>
        </w:rPr>
        <w:t>изградње</w:t>
      </w:r>
      <w:r>
        <w:rPr>
          <w:color w:val="231F20"/>
          <w:spacing w:val="-7"/>
        </w:rPr>
        <w:t> </w:t>
      </w:r>
      <w:r>
        <w:rPr>
          <w:color w:val="231F20"/>
        </w:rPr>
        <w:t>апсорбера, чиме ће се омогућити да они </w:t>
      </w:r>
      <w:r>
        <w:rPr>
          <w:color w:val="231F20"/>
          <w:spacing w:val="-5"/>
        </w:rPr>
        <w:t>буду </w:t>
      </w:r>
      <w:r>
        <w:rPr>
          <w:color w:val="231F20"/>
        </w:rPr>
        <w:t>завршени до завршетка темеља канала</w:t>
      </w:r>
      <w:r>
        <w:rPr>
          <w:color w:val="231F20"/>
          <w:spacing w:val="-5"/>
        </w:rPr>
        <w:t> </w:t>
      </w:r>
      <w:r>
        <w:rPr>
          <w:color w:val="231F20"/>
        </w:rPr>
        <w:t>димног</w:t>
      </w:r>
      <w:r>
        <w:rPr>
          <w:color w:val="231F20"/>
          <w:spacing w:val="-5"/>
        </w:rPr>
        <w:t> </w:t>
      </w:r>
      <w:r>
        <w:rPr>
          <w:color w:val="231F20"/>
        </w:rPr>
        <w:t>гаса.</w:t>
      </w:r>
      <w:r>
        <w:rPr>
          <w:color w:val="231F20"/>
          <w:spacing w:val="-5"/>
        </w:rPr>
        <w:t> </w:t>
      </w:r>
      <w:r>
        <w:rPr>
          <w:color w:val="231F20"/>
        </w:rPr>
        <w:t>Радови</w:t>
      </w:r>
      <w:r>
        <w:rPr>
          <w:color w:val="231F20"/>
          <w:spacing w:val="-5"/>
        </w:rPr>
        <w:t> </w:t>
      </w:r>
      <w:r>
        <w:rPr>
          <w:color w:val="231F20"/>
        </w:rPr>
        <w:t>на</w:t>
      </w:r>
      <w:r>
        <w:rPr>
          <w:color w:val="231F20"/>
          <w:spacing w:val="-5"/>
        </w:rPr>
        <w:t> </w:t>
      </w:r>
      <w:r>
        <w:rPr>
          <w:color w:val="231F20"/>
        </w:rPr>
        <w:t>локацији</w:t>
      </w:r>
      <w:r>
        <w:rPr>
          <w:color w:val="231F20"/>
          <w:spacing w:val="-5"/>
        </w:rPr>
        <w:t> </w:t>
      </w:r>
      <w:r>
        <w:rPr>
          <w:color w:val="231F20"/>
        </w:rPr>
        <w:t>складишта</w:t>
      </w:r>
      <w:r>
        <w:rPr>
          <w:color w:val="231F20"/>
          <w:spacing w:val="-5"/>
        </w:rPr>
        <w:t> </w:t>
      </w:r>
      <w:r>
        <w:rPr>
          <w:color w:val="231F20"/>
        </w:rPr>
        <w:t>кречњака</w:t>
      </w:r>
      <w:r>
        <w:rPr>
          <w:color w:val="231F20"/>
          <w:spacing w:val="-5"/>
        </w:rPr>
        <w:t> </w:t>
      </w:r>
      <w:r>
        <w:rPr>
          <w:color w:val="231F20"/>
        </w:rPr>
        <w:t>и</w:t>
      </w:r>
      <w:r>
        <w:rPr>
          <w:color w:val="231F20"/>
          <w:spacing w:val="-5"/>
        </w:rPr>
        <w:t> </w:t>
      </w:r>
      <w:r>
        <w:rPr>
          <w:color w:val="231F20"/>
        </w:rPr>
        <w:t>си- стема за припрему суспензије започеће </w:t>
      </w:r>
      <w:r>
        <w:rPr>
          <w:color w:val="231F20"/>
          <w:spacing w:val="-3"/>
        </w:rPr>
        <w:t>након </w:t>
      </w:r>
      <w:r>
        <w:rPr>
          <w:color w:val="231F20"/>
        </w:rPr>
        <w:t>завршетка темеља димњака и апсорбера, једног за</w:t>
      </w:r>
      <w:r>
        <w:rPr>
          <w:color w:val="231F20"/>
          <w:spacing w:val="-6"/>
        </w:rPr>
        <w:t> </w:t>
      </w:r>
      <w:r>
        <w:rPr>
          <w:color w:val="231F20"/>
        </w:rPr>
        <w:t>другим.</w:t>
      </w:r>
    </w:p>
    <w:p>
      <w:pPr>
        <w:pStyle w:val="BodyText"/>
        <w:spacing w:before="24"/>
        <w:ind w:left="453" w:firstLine="396"/>
      </w:pPr>
      <w:r>
        <w:rPr>
          <w:color w:val="231F20"/>
          <w:spacing w:val="-3"/>
        </w:rPr>
        <w:t>Приликом </w:t>
      </w:r>
      <w:r>
        <w:rPr>
          <w:color w:val="231F20"/>
        </w:rPr>
        <w:t>пројектовања и изградње новог високог димњака прибавити услове и сагласности надлежних институција и преду- зети</w:t>
      </w:r>
      <w:r>
        <w:rPr>
          <w:color w:val="231F20"/>
          <w:spacing w:val="-6"/>
        </w:rPr>
        <w:t> </w:t>
      </w:r>
      <w:r>
        <w:rPr>
          <w:color w:val="231F20"/>
        </w:rPr>
        <w:t>мере</w:t>
      </w:r>
      <w:r>
        <w:rPr>
          <w:color w:val="231F20"/>
          <w:spacing w:val="-6"/>
        </w:rPr>
        <w:t> </w:t>
      </w:r>
      <w:r>
        <w:rPr>
          <w:color w:val="231F20"/>
        </w:rPr>
        <w:t>на</w:t>
      </w:r>
      <w:r>
        <w:rPr>
          <w:color w:val="231F20"/>
          <w:spacing w:val="-6"/>
        </w:rPr>
        <w:t> </w:t>
      </w:r>
      <w:r>
        <w:rPr>
          <w:color w:val="231F20"/>
        </w:rPr>
        <w:t>обележавању</w:t>
      </w:r>
      <w:r>
        <w:rPr>
          <w:color w:val="231F20"/>
          <w:spacing w:val="-6"/>
        </w:rPr>
        <w:t> </w:t>
      </w:r>
      <w:r>
        <w:rPr>
          <w:color w:val="231F20"/>
        </w:rPr>
        <w:t>знаковима</w:t>
      </w:r>
      <w:r>
        <w:rPr>
          <w:color w:val="231F20"/>
          <w:spacing w:val="-6"/>
        </w:rPr>
        <w:t> </w:t>
      </w:r>
      <w:r>
        <w:rPr>
          <w:color w:val="231F20"/>
        </w:rPr>
        <w:t>оријентације</w:t>
      </w:r>
      <w:r>
        <w:rPr>
          <w:color w:val="231F20"/>
          <w:spacing w:val="-6"/>
        </w:rPr>
        <w:t> </w:t>
      </w:r>
      <w:r>
        <w:rPr>
          <w:color w:val="231F20"/>
        </w:rPr>
        <w:t>према</w:t>
      </w:r>
      <w:r>
        <w:rPr>
          <w:color w:val="231F20"/>
          <w:spacing w:val="-6"/>
        </w:rPr>
        <w:t> </w:t>
      </w:r>
      <w:r>
        <w:rPr>
          <w:color w:val="231F20"/>
        </w:rPr>
        <w:t>одредба- ма Правилника о начину обележавања полетно-слетних и других стаза цивилних аеродрома и постављању </w:t>
      </w:r>
      <w:r>
        <w:rPr>
          <w:color w:val="231F20"/>
          <w:spacing w:val="-3"/>
        </w:rPr>
        <w:t>знакова </w:t>
      </w:r>
      <w:r>
        <w:rPr>
          <w:color w:val="231F20"/>
        </w:rPr>
        <w:t>оријентације на објекте у зони цивилних аеродрома </w:t>
      </w:r>
      <w:r>
        <w:rPr>
          <w:color w:val="231F20"/>
          <w:spacing w:val="-3"/>
        </w:rPr>
        <w:t>које </w:t>
      </w:r>
      <w:r>
        <w:rPr>
          <w:color w:val="231F20"/>
        </w:rPr>
        <w:t>су остале на снази. Пра- вилник је објављен у „Службеном листу СФРЈ”, бр. 24/66 </w:t>
      </w:r>
      <w:r>
        <w:rPr>
          <w:color w:val="231F20"/>
          <w:spacing w:val="-3"/>
        </w:rPr>
        <w:t>од </w:t>
      </w:r>
      <w:r>
        <w:rPr>
          <w:color w:val="231F20"/>
        </w:rPr>
        <w:t>15. јуна</w:t>
      </w:r>
      <w:r>
        <w:rPr>
          <w:color w:val="231F20"/>
          <w:spacing w:val="-2"/>
        </w:rPr>
        <w:t> </w:t>
      </w:r>
      <w:r>
        <w:rPr>
          <w:color w:val="231F20"/>
        </w:rPr>
        <w:t>1966.</w:t>
      </w:r>
    </w:p>
    <w:p>
      <w:pPr>
        <w:pStyle w:val="BodyText"/>
        <w:spacing w:before="16"/>
        <w:ind w:left="454" w:firstLine="396"/>
      </w:pPr>
      <w:r>
        <w:rPr>
          <w:color w:val="231F20"/>
        </w:rPr>
        <w:t>ТЕ-КО је као власник отпадних уља прикупљених </w:t>
      </w:r>
      <w:r>
        <w:rPr>
          <w:color w:val="231F20"/>
          <w:spacing w:val="-3"/>
        </w:rPr>
        <w:t>након </w:t>
      </w:r>
      <w:r>
        <w:rPr>
          <w:color w:val="231F20"/>
        </w:rPr>
        <w:t>третмана у постројењу чија је изградња планирана према </w:t>
      </w:r>
      <w:r>
        <w:rPr>
          <w:color w:val="231F20"/>
          <w:spacing w:val="-4"/>
        </w:rPr>
        <w:t>Уред- </w:t>
      </w:r>
      <w:r>
        <w:rPr>
          <w:color w:val="231F20"/>
        </w:rPr>
        <w:t>би о управљању отпадним уљима („Службени гласник РС”, број 60/08) у обавези</w:t>
      </w:r>
      <w:r>
        <w:rPr>
          <w:color w:val="231F20"/>
          <w:spacing w:val="-2"/>
        </w:rPr>
        <w:t> </w:t>
      </w:r>
      <w:r>
        <w:rPr>
          <w:color w:val="231F20"/>
        </w:rPr>
        <w:t>да:</w:t>
      </w:r>
    </w:p>
    <w:p>
      <w:pPr>
        <w:pStyle w:val="BodyText"/>
        <w:spacing w:before="8"/>
        <w:ind w:left="454" w:firstLine="396"/>
      </w:pPr>
      <w:r>
        <w:rPr>
          <w:color w:val="231F20"/>
          <w:w w:val="66"/>
        </w:rPr>
        <w:t> </w:t>
      </w:r>
      <w:r>
        <w:rPr>
          <w:color w:val="231F20"/>
        </w:rPr>
        <w:t>– обезбеди сакупљање и привремено складиштење отпадних уља насталих његовом делатношћу, и</w:t>
      </w:r>
    </w:p>
    <w:p>
      <w:pPr>
        <w:pStyle w:val="BodyText"/>
        <w:spacing w:before="4"/>
        <w:ind w:left="454" w:firstLine="396"/>
      </w:pPr>
      <w:r>
        <w:rPr>
          <w:color w:val="231F20"/>
          <w:w w:val="66"/>
        </w:rPr>
        <w:t> </w:t>
      </w:r>
      <w:r>
        <w:rPr>
          <w:color w:val="231F20"/>
        </w:rPr>
        <w:t>– отпадно уље преда овлашћеном сакупљачу и да му обезбе- ди услове за његово несметано преузимање.</w:t>
      </w:r>
    </w:p>
    <w:p>
      <w:pPr>
        <w:pStyle w:val="BodyText"/>
        <w:spacing w:before="10"/>
        <w:ind w:left="0"/>
        <w:jc w:val="left"/>
        <w:rPr>
          <w:sz w:val="29"/>
        </w:rPr>
      </w:pPr>
    </w:p>
    <w:p>
      <w:pPr>
        <w:pStyle w:val="Heading1"/>
        <w:numPr>
          <w:ilvl w:val="1"/>
          <w:numId w:val="63"/>
        </w:numPr>
        <w:tabs>
          <w:tab w:pos="943" w:val="left" w:leader="none"/>
        </w:tabs>
        <w:spacing w:line="240" w:lineRule="auto" w:before="0" w:after="0"/>
        <w:ind w:left="942" w:right="0" w:hanging="180"/>
        <w:jc w:val="left"/>
      </w:pPr>
      <w:r>
        <w:rPr>
          <w:color w:val="231F20"/>
        </w:rPr>
        <w:t>Коридор пепеловода </w:t>
      </w:r>
      <w:r>
        <w:rPr>
          <w:color w:val="231F20"/>
          <w:spacing w:val="-3"/>
        </w:rPr>
        <w:t>од </w:t>
      </w:r>
      <w:r>
        <w:rPr>
          <w:color w:val="231F20"/>
        </w:rPr>
        <w:t>ТЕ „Костолац А” до</w:t>
      </w:r>
      <w:r>
        <w:rPr>
          <w:color w:val="231F20"/>
          <w:spacing w:val="-25"/>
        </w:rPr>
        <w:t> </w:t>
      </w:r>
      <w:r>
        <w:rPr>
          <w:color w:val="231F20"/>
        </w:rPr>
        <w:t>депоније</w:t>
      </w:r>
    </w:p>
    <w:p>
      <w:pPr>
        <w:spacing w:before="2"/>
        <w:ind w:left="1742" w:right="272" w:hanging="816"/>
        <w:jc w:val="left"/>
        <w:rPr>
          <w:b/>
          <w:sz w:val="18"/>
        </w:rPr>
      </w:pPr>
      <w:r>
        <w:rPr>
          <w:b/>
          <w:color w:val="231F20"/>
          <w:sz w:val="18"/>
        </w:rPr>
        <w:t>„Средње Костолачко острво” и од ТЕ „Костолац а” до депоније у ПК „Ћириковац”</w:t>
      </w:r>
    </w:p>
    <w:p>
      <w:pPr>
        <w:pStyle w:val="BodyText"/>
        <w:spacing w:before="1"/>
        <w:ind w:left="0"/>
        <w:jc w:val="left"/>
        <w:rPr>
          <w:b/>
          <w:sz w:val="20"/>
        </w:rPr>
      </w:pPr>
    </w:p>
    <w:p>
      <w:pPr>
        <w:pStyle w:val="ListParagraph"/>
        <w:numPr>
          <w:ilvl w:val="2"/>
          <w:numId w:val="63"/>
        </w:numPr>
        <w:tabs>
          <w:tab w:pos="2514" w:val="left" w:leader="none"/>
        </w:tabs>
        <w:spacing w:line="240" w:lineRule="auto" w:before="0" w:after="0"/>
        <w:ind w:left="2513"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4"/>
        <w:ind w:left="0"/>
        <w:jc w:val="left"/>
        <w:rPr>
          <w:i/>
        </w:rPr>
      </w:pPr>
    </w:p>
    <w:p>
      <w:pPr>
        <w:pStyle w:val="BodyText"/>
        <w:ind w:left="453" w:firstLine="397"/>
      </w:pPr>
      <w:r>
        <w:rPr>
          <w:color w:val="231F20"/>
        </w:rPr>
        <w:t>У циљу стварања услова за безбедну надградњу постојеће депоније пепела и шљаке на Средњем </w:t>
      </w:r>
      <w:r>
        <w:rPr>
          <w:color w:val="231F20"/>
          <w:spacing w:val="-4"/>
        </w:rPr>
        <w:t>костолачком </w:t>
      </w:r>
      <w:r>
        <w:rPr>
          <w:color w:val="231F20"/>
        </w:rPr>
        <w:t>острву до крај- ње пројектоване </w:t>
      </w:r>
      <w:r>
        <w:rPr>
          <w:color w:val="231F20"/>
          <w:spacing w:val="-3"/>
        </w:rPr>
        <w:t>коте, </w:t>
      </w:r>
      <w:r>
        <w:rPr>
          <w:color w:val="231F20"/>
        </w:rPr>
        <w:t>на основу „Претходне </w:t>
      </w:r>
      <w:r>
        <w:rPr>
          <w:color w:val="231F20"/>
          <w:spacing w:val="-3"/>
        </w:rPr>
        <w:t>студије </w:t>
      </w:r>
      <w:r>
        <w:rPr>
          <w:color w:val="231F20"/>
        </w:rPr>
        <w:t>оправданости трајног одлагања пепела и шљаке термоелектране „Костолац А”</w:t>
      </w:r>
      <w:r>
        <w:rPr>
          <w:color w:val="231F20"/>
          <w:position w:val="6"/>
          <w:sz w:val="10"/>
        </w:rPr>
        <w:t>25</w:t>
      </w:r>
      <w:r>
        <w:rPr>
          <w:color w:val="231F20"/>
        </w:rPr>
        <w:t>, предвиђено је да се постојећа технологија </w:t>
      </w:r>
      <w:r>
        <w:rPr>
          <w:color w:val="231F20"/>
          <w:spacing w:val="-3"/>
        </w:rPr>
        <w:t>хидрауличког</w:t>
      </w:r>
      <w:r>
        <w:rPr>
          <w:color w:val="231F20"/>
          <w:spacing w:val="-32"/>
        </w:rPr>
        <w:t> </w:t>
      </w:r>
      <w:r>
        <w:rPr>
          <w:color w:val="231F20"/>
        </w:rPr>
        <w:t>транспор- та са </w:t>
      </w:r>
      <w:r>
        <w:rPr>
          <w:color w:val="231F20"/>
          <w:spacing w:val="-3"/>
        </w:rPr>
        <w:t>ретком </w:t>
      </w:r>
      <w:r>
        <w:rPr>
          <w:color w:val="231F20"/>
        </w:rPr>
        <w:t>мешавином и постојећи систем депоновања са дво- стадијалним класирањем, замени побољшаном технологијом гу- сте</w:t>
      </w:r>
      <w:r>
        <w:rPr>
          <w:color w:val="231F20"/>
          <w:spacing w:val="-1"/>
        </w:rPr>
        <w:t> </w:t>
      </w:r>
      <w:r>
        <w:rPr>
          <w:color w:val="231F20"/>
        </w:rPr>
        <w:t>хидромешавине.</w:t>
      </w:r>
    </w:p>
    <w:p>
      <w:pPr>
        <w:pStyle w:val="BodyText"/>
        <w:spacing w:before="14"/>
        <w:ind w:left="454" w:firstLine="396"/>
      </w:pPr>
      <w:r>
        <w:rPr>
          <w:color w:val="231F20"/>
        </w:rPr>
        <w:t>Промена технологије подразумева  ревитализацију  </w:t>
      </w:r>
      <w:r>
        <w:rPr>
          <w:color w:val="231F20"/>
          <w:spacing w:val="-4"/>
        </w:rPr>
        <w:t>котло-  </w:t>
      </w:r>
      <w:r>
        <w:rPr>
          <w:color w:val="231F20"/>
        </w:rPr>
        <w:t>ва блока ТЕ „Костолац А1” (и на осталим блоковима) и система за прикупљање (пнеуматски транспорт) сувог пепела, припрему (угушћена мешавина и паста) и транспорт пепела и шљаке, а све у циљу побољшања услова заштите </w:t>
      </w:r>
      <w:r>
        <w:rPr>
          <w:color w:val="231F20"/>
          <w:spacing w:val="-3"/>
        </w:rPr>
        <w:t>околине од </w:t>
      </w:r>
      <w:r>
        <w:rPr>
          <w:color w:val="231F20"/>
        </w:rPr>
        <w:t>штетног утицаја постојеће</w:t>
      </w:r>
      <w:r>
        <w:rPr>
          <w:color w:val="231F20"/>
          <w:spacing w:val="-1"/>
        </w:rPr>
        <w:t> </w:t>
      </w:r>
      <w:r>
        <w:rPr>
          <w:color w:val="231F20"/>
        </w:rPr>
        <w:t>депоније.</w:t>
      </w:r>
    </w:p>
    <w:p>
      <w:pPr>
        <w:pStyle w:val="BodyText"/>
        <w:spacing w:before="12"/>
        <w:ind w:left="454" w:firstLine="397"/>
      </w:pPr>
      <w:r>
        <w:rPr>
          <w:color w:val="231F20"/>
        </w:rPr>
        <w:t>Пепео</w:t>
      </w:r>
      <w:r>
        <w:rPr>
          <w:color w:val="231F20"/>
          <w:spacing w:val="-8"/>
        </w:rPr>
        <w:t> </w:t>
      </w:r>
      <w:r>
        <w:rPr>
          <w:color w:val="231F20"/>
        </w:rPr>
        <w:t>и</w:t>
      </w:r>
      <w:r>
        <w:rPr>
          <w:color w:val="231F20"/>
          <w:spacing w:val="-8"/>
        </w:rPr>
        <w:t> </w:t>
      </w:r>
      <w:r>
        <w:rPr>
          <w:color w:val="231F20"/>
        </w:rPr>
        <w:t>шљака</w:t>
      </w:r>
      <w:r>
        <w:rPr>
          <w:color w:val="231F20"/>
          <w:spacing w:val="-8"/>
        </w:rPr>
        <w:t> </w:t>
      </w:r>
      <w:r>
        <w:rPr>
          <w:color w:val="231F20"/>
        </w:rPr>
        <w:t>на</w:t>
      </w:r>
      <w:r>
        <w:rPr>
          <w:color w:val="231F20"/>
          <w:spacing w:val="-8"/>
        </w:rPr>
        <w:t> </w:t>
      </w:r>
      <w:r>
        <w:rPr>
          <w:color w:val="231F20"/>
        </w:rPr>
        <w:t>заједничкој</w:t>
      </w:r>
      <w:r>
        <w:rPr>
          <w:color w:val="231F20"/>
          <w:spacing w:val="-8"/>
        </w:rPr>
        <w:t> </w:t>
      </w:r>
      <w:r>
        <w:rPr>
          <w:color w:val="231F20"/>
        </w:rPr>
        <w:t>депонији,</w:t>
      </w:r>
      <w:r>
        <w:rPr>
          <w:color w:val="231F20"/>
          <w:spacing w:val="-8"/>
        </w:rPr>
        <w:t> </w:t>
      </w:r>
      <w:r>
        <w:rPr>
          <w:color w:val="231F20"/>
        </w:rPr>
        <w:t>применом</w:t>
      </w:r>
      <w:r>
        <w:rPr>
          <w:color w:val="231F20"/>
          <w:spacing w:val="-8"/>
        </w:rPr>
        <w:t> </w:t>
      </w:r>
      <w:r>
        <w:rPr>
          <w:color w:val="231F20"/>
        </w:rPr>
        <w:t>старе</w:t>
      </w:r>
      <w:r>
        <w:rPr>
          <w:color w:val="231F20"/>
          <w:spacing w:val="-8"/>
        </w:rPr>
        <w:t> </w:t>
      </w:r>
      <w:r>
        <w:rPr>
          <w:color w:val="231F20"/>
        </w:rPr>
        <w:t>тех- нологије требало је да се депонује док се не постигне </w:t>
      </w:r>
      <w:r>
        <w:rPr>
          <w:color w:val="231F20"/>
          <w:spacing w:val="-3"/>
        </w:rPr>
        <w:t>кота </w:t>
      </w:r>
      <w:r>
        <w:rPr>
          <w:color w:val="231F20"/>
        </w:rPr>
        <w:t>круне ободног насипа 88,0 mнм, односно испуњеност унутрашњости де- поније пепелом приближно до </w:t>
      </w:r>
      <w:r>
        <w:rPr>
          <w:color w:val="231F20"/>
          <w:spacing w:val="-4"/>
        </w:rPr>
        <w:t>коте </w:t>
      </w:r>
      <w:r>
        <w:rPr>
          <w:color w:val="231F20"/>
        </w:rPr>
        <w:t>87,0 mнм. Применом нове ме- </w:t>
      </w:r>
      <w:r>
        <w:rPr>
          <w:color w:val="231F20"/>
          <w:spacing w:val="-3"/>
        </w:rPr>
        <w:t>тоде </w:t>
      </w:r>
      <w:r>
        <w:rPr>
          <w:color w:val="231F20"/>
        </w:rPr>
        <w:t>густе хидромешавине, планирано је запуњавање депоније до максималне могуће </w:t>
      </w:r>
      <w:r>
        <w:rPr>
          <w:color w:val="231F20"/>
          <w:spacing w:val="-4"/>
        </w:rPr>
        <w:t>коте </w:t>
      </w:r>
      <w:r>
        <w:rPr>
          <w:color w:val="231F20"/>
        </w:rPr>
        <w:t>депоновања (94,0</w:t>
      </w:r>
      <w:r>
        <w:rPr>
          <w:color w:val="231F20"/>
          <w:spacing w:val="-1"/>
        </w:rPr>
        <w:t> </w:t>
      </w:r>
      <w:r>
        <w:rPr>
          <w:color w:val="231F20"/>
        </w:rPr>
        <w:t>mнм).</w:t>
      </w:r>
    </w:p>
    <w:p>
      <w:pPr>
        <w:pStyle w:val="BodyText"/>
        <w:spacing w:before="12"/>
        <w:ind w:left="454" w:firstLine="396"/>
      </w:pPr>
      <w:r>
        <w:rPr>
          <w:color w:val="231F20"/>
        </w:rPr>
        <w:t>У међувремену ушао је у пробни рад нови систем са </w:t>
      </w:r>
      <w:r>
        <w:rPr>
          <w:color w:val="231F20"/>
          <w:spacing w:val="-3"/>
        </w:rPr>
        <w:t>блоко- </w:t>
      </w:r>
      <w:r>
        <w:rPr>
          <w:color w:val="231F20"/>
        </w:rPr>
        <w:t>ва ТЕ „Костолац Б” и одлагање густе хидромешавине у откопани простор површинског </w:t>
      </w:r>
      <w:r>
        <w:rPr>
          <w:color w:val="231F20"/>
          <w:spacing w:val="-3"/>
        </w:rPr>
        <w:t>копа „Ћириковац” </w:t>
      </w:r>
      <w:r>
        <w:rPr>
          <w:color w:val="231F20"/>
          <w:spacing w:val="-4"/>
        </w:rPr>
        <w:t>где </w:t>
      </w:r>
      <w:r>
        <w:rPr>
          <w:color w:val="231F20"/>
        </w:rPr>
        <w:t>је, применом савре- мених</w:t>
      </w:r>
      <w:r>
        <w:rPr>
          <w:color w:val="231F20"/>
          <w:spacing w:val="-6"/>
        </w:rPr>
        <w:t> </w:t>
      </w:r>
      <w:r>
        <w:rPr>
          <w:color w:val="231F20"/>
        </w:rPr>
        <w:t>еколошких</w:t>
      </w:r>
      <w:r>
        <w:rPr>
          <w:color w:val="231F20"/>
          <w:spacing w:val="-6"/>
        </w:rPr>
        <w:t> </w:t>
      </w:r>
      <w:r>
        <w:rPr>
          <w:color w:val="231F20"/>
        </w:rPr>
        <w:t>и</w:t>
      </w:r>
      <w:r>
        <w:rPr>
          <w:color w:val="231F20"/>
          <w:spacing w:val="-6"/>
        </w:rPr>
        <w:t> </w:t>
      </w:r>
      <w:r>
        <w:rPr>
          <w:color w:val="231F20"/>
        </w:rPr>
        <w:t>техничких</w:t>
      </w:r>
      <w:r>
        <w:rPr>
          <w:color w:val="231F20"/>
          <w:spacing w:val="-6"/>
        </w:rPr>
        <w:t> </w:t>
      </w:r>
      <w:r>
        <w:rPr>
          <w:color w:val="231F20"/>
        </w:rPr>
        <w:t>мера,</w:t>
      </w:r>
      <w:r>
        <w:rPr>
          <w:color w:val="231F20"/>
          <w:spacing w:val="-6"/>
        </w:rPr>
        <w:t> </w:t>
      </w:r>
      <w:r>
        <w:rPr>
          <w:color w:val="231F20"/>
        </w:rPr>
        <w:t>припремљен</w:t>
      </w:r>
      <w:r>
        <w:rPr>
          <w:color w:val="231F20"/>
          <w:spacing w:val="-6"/>
        </w:rPr>
        <w:t> </w:t>
      </w:r>
      <w:r>
        <w:rPr>
          <w:color w:val="231F20"/>
        </w:rPr>
        <w:t>депонијски</w:t>
      </w:r>
      <w:r>
        <w:rPr>
          <w:color w:val="231F20"/>
          <w:spacing w:val="-6"/>
        </w:rPr>
        <w:t> </w:t>
      </w:r>
      <w:r>
        <w:rPr>
          <w:color w:val="231F20"/>
        </w:rPr>
        <w:t>про- стор у оквиру санационих радова на трајној обустави експлоата- ције на ПК</w:t>
      </w:r>
      <w:r>
        <w:rPr>
          <w:color w:val="231F20"/>
          <w:spacing w:val="-3"/>
        </w:rPr>
        <w:t> „Ћириковац”.</w:t>
      </w:r>
    </w:p>
    <w:p>
      <w:pPr>
        <w:spacing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738" w:val="left" w:leader="none"/>
        </w:tabs>
        <w:spacing w:line="240" w:lineRule="auto" w:before="0" w:after="0"/>
        <w:ind w:left="737" w:right="0" w:hanging="284"/>
        <w:jc w:val="both"/>
        <w:rPr>
          <w:sz w:val="14"/>
        </w:rPr>
      </w:pPr>
      <w:r>
        <w:rPr>
          <w:color w:val="231F20"/>
          <w:sz w:val="14"/>
        </w:rPr>
        <w:t>Европска агенција за реконструкцију (ЕАР), 2002. године финансирала је изра- ду Претходне студије о процени утицаја на животну средину термоенергетских објеката</w:t>
      </w:r>
      <w:r>
        <w:rPr>
          <w:color w:val="231F20"/>
          <w:spacing w:val="-8"/>
          <w:sz w:val="14"/>
        </w:rPr>
        <w:t> </w:t>
      </w:r>
      <w:r>
        <w:rPr>
          <w:color w:val="231F20"/>
          <w:sz w:val="14"/>
        </w:rPr>
        <w:t>ЕПС-а</w:t>
      </w:r>
      <w:r>
        <w:rPr>
          <w:color w:val="231F20"/>
          <w:spacing w:val="-8"/>
          <w:sz w:val="14"/>
        </w:rPr>
        <w:t> </w:t>
      </w:r>
      <w:r>
        <w:rPr>
          <w:color w:val="231F20"/>
          <w:spacing w:val="-3"/>
          <w:sz w:val="14"/>
        </w:rPr>
        <w:t>који</w:t>
      </w:r>
      <w:r>
        <w:rPr>
          <w:color w:val="231F20"/>
          <w:spacing w:val="-8"/>
          <w:sz w:val="14"/>
        </w:rPr>
        <w:t> </w:t>
      </w:r>
      <w:r>
        <w:rPr>
          <w:color w:val="231F20"/>
          <w:sz w:val="14"/>
        </w:rPr>
        <w:t>сагоревају</w:t>
      </w:r>
      <w:r>
        <w:rPr>
          <w:color w:val="231F20"/>
          <w:spacing w:val="-8"/>
          <w:sz w:val="14"/>
        </w:rPr>
        <w:t> </w:t>
      </w:r>
      <w:r>
        <w:rPr>
          <w:color w:val="231F20"/>
          <w:sz w:val="14"/>
        </w:rPr>
        <w:t>угаљ.</w:t>
      </w:r>
      <w:r>
        <w:rPr>
          <w:color w:val="231F20"/>
          <w:spacing w:val="-8"/>
          <w:sz w:val="14"/>
        </w:rPr>
        <w:t> </w:t>
      </w:r>
      <w:r>
        <w:rPr>
          <w:color w:val="231F20"/>
          <w:sz w:val="14"/>
        </w:rPr>
        <w:t>Задатак</w:t>
      </w:r>
      <w:r>
        <w:rPr>
          <w:color w:val="231F20"/>
          <w:spacing w:val="-8"/>
          <w:sz w:val="14"/>
        </w:rPr>
        <w:t> </w:t>
      </w:r>
      <w:r>
        <w:rPr>
          <w:color w:val="231F20"/>
          <w:sz w:val="14"/>
        </w:rPr>
        <w:t>студије</w:t>
      </w:r>
      <w:r>
        <w:rPr>
          <w:color w:val="231F20"/>
          <w:spacing w:val="-8"/>
          <w:sz w:val="14"/>
        </w:rPr>
        <w:t> </w:t>
      </w:r>
      <w:r>
        <w:rPr>
          <w:color w:val="231F20"/>
          <w:sz w:val="14"/>
        </w:rPr>
        <w:t>је</w:t>
      </w:r>
      <w:r>
        <w:rPr>
          <w:color w:val="231F20"/>
          <w:spacing w:val="-8"/>
          <w:sz w:val="14"/>
        </w:rPr>
        <w:t> </w:t>
      </w:r>
      <w:r>
        <w:rPr>
          <w:color w:val="231F20"/>
          <w:sz w:val="14"/>
        </w:rPr>
        <w:t>био</w:t>
      </w:r>
      <w:r>
        <w:rPr>
          <w:color w:val="231F20"/>
          <w:spacing w:val="-8"/>
          <w:sz w:val="14"/>
        </w:rPr>
        <w:t> </w:t>
      </w:r>
      <w:r>
        <w:rPr>
          <w:color w:val="231F20"/>
          <w:sz w:val="14"/>
        </w:rPr>
        <w:t>да</w:t>
      </w:r>
      <w:r>
        <w:rPr>
          <w:color w:val="231F20"/>
          <w:spacing w:val="-8"/>
          <w:sz w:val="14"/>
        </w:rPr>
        <w:t> </w:t>
      </w:r>
      <w:r>
        <w:rPr>
          <w:color w:val="231F20"/>
          <w:sz w:val="14"/>
        </w:rPr>
        <w:t>на</w:t>
      </w:r>
      <w:r>
        <w:rPr>
          <w:color w:val="231F20"/>
          <w:spacing w:val="-8"/>
          <w:sz w:val="14"/>
        </w:rPr>
        <w:t> </w:t>
      </w:r>
      <w:r>
        <w:rPr>
          <w:color w:val="231F20"/>
          <w:sz w:val="14"/>
        </w:rPr>
        <w:t>основу</w:t>
      </w:r>
      <w:r>
        <w:rPr>
          <w:color w:val="231F20"/>
          <w:spacing w:val="-8"/>
          <w:sz w:val="14"/>
        </w:rPr>
        <w:t> </w:t>
      </w:r>
      <w:r>
        <w:rPr>
          <w:color w:val="231F20"/>
          <w:sz w:val="14"/>
        </w:rPr>
        <w:t>сагледа- вања постојећег стања дефинише приоритете за решавање у циљу смањења не- гативног утицаја термоелектрана ЕПС-а на животну </w:t>
      </w:r>
      <w:r>
        <w:rPr>
          <w:color w:val="231F20"/>
          <w:spacing w:val="-3"/>
          <w:sz w:val="14"/>
        </w:rPr>
        <w:t>средину, </w:t>
      </w:r>
      <w:r>
        <w:rPr>
          <w:color w:val="231F20"/>
          <w:sz w:val="14"/>
        </w:rPr>
        <w:t>предложи решење и процени потребна средства. </w:t>
      </w:r>
      <w:r>
        <w:rPr>
          <w:color w:val="231F20"/>
          <w:spacing w:val="-3"/>
          <w:sz w:val="14"/>
        </w:rPr>
        <w:t>Студију </w:t>
      </w:r>
      <w:r>
        <w:rPr>
          <w:color w:val="231F20"/>
          <w:sz w:val="14"/>
        </w:rPr>
        <w:t>је урадила немачко-енглеска фирма</w:t>
      </w:r>
      <w:r>
        <w:rPr>
          <w:color w:val="231F20"/>
          <w:spacing w:val="21"/>
          <w:sz w:val="14"/>
        </w:rPr>
        <w:t> </w:t>
      </w:r>
      <w:r>
        <w:rPr>
          <w:color w:val="231F20"/>
          <w:spacing w:val="-3"/>
          <w:sz w:val="14"/>
        </w:rPr>
        <w:t>RWE</w:t>
      </w:r>
    </w:p>
    <w:p>
      <w:pPr>
        <w:spacing w:before="0"/>
        <w:ind w:left="737" w:right="0" w:firstLine="0"/>
        <w:jc w:val="both"/>
        <w:rPr>
          <w:sz w:val="14"/>
        </w:rPr>
      </w:pPr>
      <w:r>
        <w:rPr>
          <w:color w:val="231F20"/>
          <w:w w:val="66"/>
          <w:sz w:val="14"/>
        </w:rPr>
        <w:t> </w:t>
      </w:r>
      <w:r>
        <w:rPr>
          <w:color w:val="231F20"/>
          <w:sz w:val="14"/>
        </w:rPr>
        <w:t>– </w:t>
      </w:r>
      <w:r>
        <w:rPr>
          <w:color w:val="231F20"/>
          <w:spacing w:val="-4"/>
          <w:sz w:val="14"/>
        </w:rPr>
        <w:t>INNOGY. </w:t>
      </w:r>
      <w:r>
        <w:rPr>
          <w:color w:val="231F20"/>
          <w:sz w:val="14"/>
        </w:rPr>
        <w:t>Студија је дефинисала 37 појединачних пројеката, </w:t>
      </w:r>
      <w:r>
        <w:rPr>
          <w:color w:val="231F20"/>
          <w:spacing w:val="-3"/>
          <w:sz w:val="14"/>
        </w:rPr>
        <w:t>које </w:t>
      </w:r>
      <w:r>
        <w:rPr>
          <w:color w:val="231F20"/>
          <w:sz w:val="14"/>
        </w:rPr>
        <w:t>треба реали- зовати да би се термоенергетски објекти ЕПС-а довели у склад, </w:t>
      </w:r>
      <w:r>
        <w:rPr>
          <w:color w:val="231F20"/>
          <w:spacing w:val="-3"/>
          <w:sz w:val="14"/>
        </w:rPr>
        <w:t>како </w:t>
      </w:r>
      <w:r>
        <w:rPr>
          <w:color w:val="231F20"/>
          <w:sz w:val="14"/>
        </w:rPr>
        <w:t>са домаћом тако и са европском </w:t>
      </w:r>
      <w:r>
        <w:rPr>
          <w:color w:val="231F20"/>
          <w:spacing w:val="-3"/>
          <w:sz w:val="14"/>
        </w:rPr>
        <w:t>законском </w:t>
      </w:r>
      <w:r>
        <w:rPr>
          <w:color w:val="231F20"/>
          <w:sz w:val="14"/>
        </w:rPr>
        <w:t>регулативом за заштиту животне средине. Први пројекат на листи, </w:t>
      </w:r>
      <w:r>
        <w:rPr>
          <w:color w:val="231F20"/>
          <w:spacing w:val="-3"/>
          <w:sz w:val="14"/>
        </w:rPr>
        <w:t>који </w:t>
      </w:r>
      <w:r>
        <w:rPr>
          <w:color w:val="231F20"/>
          <w:sz w:val="14"/>
        </w:rPr>
        <w:t>најургентније треба реализовати је одлагање пепела и шљаке ТЕ „Костолац”.</w:t>
      </w:r>
    </w:p>
    <w:p>
      <w:pPr>
        <w:pStyle w:val="BodyText"/>
        <w:spacing w:line="218" w:lineRule="auto" w:before="83"/>
        <w:ind w:left="242" w:right="127" w:firstLine="396"/>
      </w:pPr>
      <w:r>
        <w:rPr/>
        <w:br w:type="column"/>
      </w:r>
      <w:r>
        <w:rPr>
          <w:color w:val="231F20"/>
        </w:rPr>
        <w:t>Са </w:t>
      </w:r>
      <w:r>
        <w:rPr>
          <w:color w:val="231F20"/>
          <w:spacing w:val="-4"/>
        </w:rPr>
        <w:t>друге стране, </w:t>
      </w:r>
      <w:r>
        <w:rPr>
          <w:color w:val="231F20"/>
        </w:rPr>
        <w:t>на </w:t>
      </w:r>
      <w:r>
        <w:rPr>
          <w:color w:val="231F20"/>
          <w:spacing w:val="-4"/>
        </w:rPr>
        <w:t>основу завршних </w:t>
      </w:r>
      <w:r>
        <w:rPr>
          <w:color w:val="231F20"/>
          <w:spacing w:val="-5"/>
        </w:rPr>
        <w:t>разматрања </w:t>
      </w:r>
      <w:r>
        <w:rPr>
          <w:color w:val="231F20"/>
        </w:rPr>
        <w:t>и </w:t>
      </w:r>
      <w:r>
        <w:rPr>
          <w:color w:val="231F20"/>
          <w:spacing w:val="-5"/>
        </w:rPr>
        <w:t>препорука </w:t>
      </w:r>
      <w:r>
        <w:rPr>
          <w:color w:val="231F20"/>
          <w:spacing w:val="-4"/>
        </w:rPr>
        <w:t>прве </w:t>
      </w:r>
      <w:r>
        <w:rPr>
          <w:color w:val="231F20"/>
          <w:spacing w:val="-3"/>
        </w:rPr>
        <w:t>фазе </w:t>
      </w:r>
      <w:r>
        <w:rPr>
          <w:color w:val="231F20"/>
          <w:spacing w:val="-6"/>
        </w:rPr>
        <w:t>студије </w:t>
      </w:r>
      <w:r>
        <w:rPr>
          <w:color w:val="231F20"/>
          <w:spacing w:val="-5"/>
        </w:rPr>
        <w:t>„Мултидисциплинарна </w:t>
      </w:r>
      <w:r>
        <w:rPr>
          <w:color w:val="231F20"/>
          <w:spacing w:val="-4"/>
        </w:rPr>
        <w:t>анализа утицаја постојећих депонија пепела </w:t>
      </w:r>
      <w:r>
        <w:rPr>
          <w:color w:val="231F20"/>
        </w:rPr>
        <w:t>на </w:t>
      </w:r>
      <w:r>
        <w:rPr>
          <w:color w:val="231F20"/>
          <w:spacing w:val="-4"/>
        </w:rPr>
        <w:t>геосредину </w:t>
      </w:r>
      <w:r>
        <w:rPr>
          <w:color w:val="231F20"/>
        </w:rPr>
        <w:t>и </w:t>
      </w:r>
      <w:r>
        <w:rPr>
          <w:color w:val="231F20"/>
          <w:spacing w:val="-5"/>
        </w:rPr>
        <w:t>воде, </w:t>
      </w:r>
      <w:r>
        <w:rPr>
          <w:color w:val="231F20"/>
        </w:rPr>
        <w:t>са </w:t>
      </w:r>
      <w:r>
        <w:rPr>
          <w:color w:val="231F20"/>
          <w:spacing w:val="-5"/>
        </w:rPr>
        <w:t>предлогом </w:t>
      </w:r>
      <w:r>
        <w:rPr>
          <w:color w:val="231F20"/>
          <w:spacing w:val="-3"/>
        </w:rPr>
        <w:t>мера </w:t>
      </w:r>
      <w:r>
        <w:rPr>
          <w:color w:val="231F20"/>
          <w:spacing w:val="-4"/>
        </w:rPr>
        <w:t>ремедија- ције” израђене </w:t>
      </w:r>
      <w:r>
        <w:rPr>
          <w:color w:val="231F20"/>
        </w:rPr>
        <w:t>за </w:t>
      </w:r>
      <w:r>
        <w:rPr>
          <w:color w:val="231F20"/>
          <w:spacing w:val="-4"/>
        </w:rPr>
        <w:t>потребе </w:t>
      </w:r>
      <w:r>
        <w:rPr>
          <w:color w:val="231F20"/>
        </w:rPr>
        <w:t>ЈП </w:t>
      </w:r>
      <w:r>
        <w:rPr>
          <w:color w:val="231F20"/>
          <w:spacing w:val="-3"/>
        </w:rPr>
        <w:t>ЕПС </w:t>
      </w:r>
      <w:r>
        <w:rPr>
          <w:color w:val="231F20"/>
        </w:rPr>
        <w:t>у </w:t>
      </w:r>
      <w:r>
        <w:rPr>
          <w:color w:val="231F20"/>
          <w:spacing w:val="-5"/>
        </w:rPr>
        <w:t>Енергопројект </w:t>
      </w:r>
      <w:r>
        <w:rPr>
          <w:color w:val="231F20"/>
        </w:rPr>
        <w:t>– </w:t>
      </w:r>
      <w:r>
        <w:rPr>
          <w:color w:val="231F20"/>
          <w:spacing w:val="-4"/>
        </w:rPr>
        <w:t>Хидроинжење- рингу</w:t>
      </w:r>
      <w:r>
        <w:rPr>
          <w:color w:val="231F20"/>
          <w:spacing w:val="-9"/>
        </w:rPr>
        <w:t> </w:t>
      </w:r>
      <w:r>
        <w:rPr>
          <w:color w:val="231F20"/>
          <w:spacing w:val="-4"/>
        </w:rPr>
        <w:t>2010.</w:t>
      </w:r>
      <w:r>
        <w:rPr>
          <w:color w:val="231F20"/>
          <w:spacing w:val="-9"/>
        </w:rPr>
        <w:t> </w:t>
      </w:r>
      <w:r>
        <w:rPr>
          <w:color w:val="231F20"/>
          <w:spacing w:val="-5"/>
        </w:rPr>
        <w:t>године,</w:t>
      </w:r>
      <w:r>
        <w:rPr>
          <w:color w:val="231F20"/>
          <w:spacing w:val="-9"/>
        </w:rPr>
        <w:t> </w:t>
      </w:r>
      <w:r>
        <w:rPr>
          <w:color w:val="231F20"/>
          <w:spacing w:val="-4"/>
        </w:rPr>
        <w:t>депонија</w:t>
      </w:r>
      <w:r>
        <w:rPr>
          <w:color w:val="231F20"/>
          <w:spacing w:val="-9"/>
        </w:rPr>
        <w:t> </w:t>
      </w:r>
      <w:r>
        <w:rPr>
          <w:color w:val="231F20"/>
          <w:spacing w:val="-5"/>
        </w:rPr>
        <w:t>СКО</w:t>
      </w:r>
      <w:r>
        <w:rPr>
          <w:color w:val="231F20"/>
          <w:spacing w:val="-9"/>
        </w:rPr>
        <w:t> </w:t>
      </w:r>
      <w:r>
        <w:rPr>
          <w:color w:val="231F20"/>
        </w:rPr>
        <w:t>је</w:t>
      </w:r>
      <w:r>
        <w:rPr>
          <w:color w:val="231F20"/>
          <w:spacing w:val="-9"/>
        </w:rPr>
        <w:t> </w:t>
      </w:r>
      <w:r>
        <w:rPr>
          <w:color w:val="231F20"/>
          <w:spacing w:val="-5"/>
        </w:rPr>
        <w:t>одређена</w:t>
      </w:r>
      <w:r>
        <w:rPr>
          <w:color w:val="231F20"/>
          <w:spacing w:val="-9"/>
        </w:rPr>
        <w:t> </w:t>
      </w:r>
      <w:r>
        <w:rPr>
          <w:color w:val="231F20"/>
        </w:rPr>
        <w:t>за</w:t>
      </w:r>
      <w:r>
        <w:rPr>
          <w:color w:val="231F20"/>
          <w:spacing w:val="-9"/>
        </w:rPr>
        <w:t> </w:t>
      </w:r>
      <w:r>
        <w:rPr>
          <w:color w:val="231F20"/>
          <w:spacing w:val="-4"/>
        </w:rPr>
        <w:t>„пилот</w:t>
      </w:r>
      <w:r>
        <w:rPr>
          <w:color w:val="231F20"/>
          <w:spacing w:val="-9"/>
        </w:rPr>
        <w:t> </w:t>
      </w:r>
      <w:r>
        <w:rPr>
          <w:color w:val="231F20"/>
          <w:spacing w:val="-5"/>
        </w:rPr>
        <w:t>подручје”</w:t>
      </w:r>
      <w:r>
        <w:rPr>
          <w:color w:val="231F20"/>
          <w:spacing w:val="-9"/>
        </w:rPr>
        <w:t> </w:t>
      </w:r>
      <w:r>
        <w:rPr>
          <w:color w:val="231F20"/>
          <w:spacing w:val="-3"/>
        </w:rPr>
        <w:t>те- </w:t>
      </w:r>
      <w:r>
        <w:rPr>
          <w:color w:val="231F20"/>
          <w:spacing w:val="-4"/>
        </w:rPr>
        <w:t>стирања, праћења </w:t>
      </w:r>
      <w:r>
        <w:rPr>
          <w:color w:val="231F20"/>
        </w:rPr>
        <w:t>и </w:t>
      </w:r>
      <w:r>
        <w:rPr>
          <w:color w:val="231F20"/>
          <w:spacing w:val="-5"/>
        </w:rPr>
        <w:t>контроле </w:t>
      </w:r>
      <w:r>
        <w:rPr>
          <w:color w:val="231F20"/>
          <w:spacing w:val="-4"/>
        </w:rPr>
        <w:t>примене </w:t>
      </w:r>
      <w:r>
        <w:rPr>
          <w:color w:val="231F20"/>
          <w:spacing w:val="-3"/>
        </w:rPr>
        <w:t>мера </w:t>
      </w:r>
      <w:r>
        <w:rPr>
          <w:color w:val="231F20"/>
          <w:spacing w:val="-4"/>
        </w:rPr>
        <w:t>ремедијације подземних </w:t>
      </w:r>
      <w:r>
        <w:rPr>
          <w:color w:val="231F20"/>
          <w:spacing w:val="-5"/>
        </w:rPr>
        <w:t>вода </w:t>
      </w:r>
      <w:r>
        <w:rPr>
          <w:color w:val="231F20"/>
        </w:rPr>
        <w:t>и </w:t>
      </w:r>
      <w:r>
        <w:rPr>
          <w:color w:val="231F20"/>
          <w:spacing w:val="-4"/>
        </w:rPr>
        <w:t>геосредине, </w:t>
      </w:r>
      <w:r>
        <w:rPr>
          <w:color w:val="231F20"/>
        </w:rPr>
        <w:t>на </w:t>
      </w:r>
      <w:r>
        <w:rPr>
          <w:color w:val="231F20"/>
          <w:spacing w:val="-5"/>
        </w:rPr>
        <w:t>којем </w:t>
      </w:r>
      <w:r>
        <w:rPr>
          <w:color w:val="231F20"/>
        </w:rPr>
        <w:t>ће се </w:t>
      </w:r>
      <w:r>
        <w:rPr>
          <w:color w:val="231F20"/>
          <w:spacing w:val="-4"/>
        </w:rPr>
        <w:t>инсталисати пилот </w:t>
      </w:r>
      <w:r>
        <w:rPr>
          <w:color w:val="231F20"/>
          <w:spacing w:val="-3"/>
        </w:rPr>
        <w:t>постројење </w:t>
      </w:r>
      <w:r>
        <w:rPr>
          <w:color w:val="231F20"/>
        </w:rPr>
        <w:t>за </w:t>
      </w:r>
      <w:r>
        <w:rPr>
          <w:color w:val="231F20"/>
          <w:spacing w:val="-5"/>
        </w:rPr>
        <w:t>пречишћавање </w:t>
      </w:r>
      <w:r>
        <w:rPr>
          <w:color w:val="231F20"/>
          <w:spacing w:val="-4"/>
        </w:rPr>
        <w:t>преливних, дренажних </w:t>
      </w:r>
      <w:r>
        <w:rPr>
          <w:color w:val="231F20"/>
        </w:rPr>
        <w:t>и </w:t>
      </w:r>
      <w:r>
        <w:rPr>
          <w:color w:val="231F20"/>
          <w:spacing w:val="-4"/>
        </w:rPr>
        <w:t>процедних </w:t>
      </w:r>
      <w:r>
        <w:rPr>
          <w:color w:val="231F20"/>
          <w:spacing w:val="-5"/>
        </w:rPr>
        <w:t>вода </w:t>
      </w:r>
      <w:r>
        <w:rPr>
          <w:color w:val="231F20"/>
        </w:rPr>
        <w:t>из </w:t>
      </w:r>
      <w:r>
        <w:rPr>
          <w:color w:val="231F20"/>
          <w:spacing w:val="-4"/>
        </w:rPr>
        <w:t>одлагали- </w:t>
      </w:r>
      <w:r>
        <w:rPr>
          <w:color w:val="231F20"/>
          <w:spacing w:val="-3"/>
        </w:rPr>
        <w:t>шта. </w:t>
      </w:r>
      <w:r>
        <w:rPr>
          <w:color w:val="231F20"/>
          <w:spacing w:val="-4"/>
        </w:rPr>
        <w:t>Спровешће </w:t>
      </w:r>
      <w:r>
        <w:rPr>
          <w:color w:val="231F20"/>
        </w:rPr>
        <w:t>се </w:t>
      </w:r>
      <w:r>
        <w:rPr>
          <w:color w:val="231F20"/>
          <w:spacing w:val="-5"/>
        </w:rPr>
        <w:t>додатни </w:t>
      </w:r>
      <w:r>
        <w:rPr>
          <w:color w:val="231F20"/>
          <w:spacing w:val="-4"/>
        </w:rPr>
        <w:t>мониторинг </w:t>
      </w:r>
      <w:r>
        <w:rPr>
          <w:color w:val="231F20"/>
        </w:rPr>
        <w:t>на </w:t>
      </w:r>
      <w:r>
        <w:rPr>
          <w:color w:val="231F20"/>
          <w:spacing w:val="-4"/>
        </w:rPr>
        <w:t>правцу миграције загађе- </w:t>
      </w:r>
      <w:r>
        <w:rPr>
          <w:color w:val="231F20"/>
        </w:rPr>
        <w:t>ња </w:t>
      </w:r>
      <w:r>
        <w:rPr>
          <w:color w:val="231F20"/>
          <w:spacing w:val="-4"/>
        </w:rPr>
        <w:t>ка </w:t>
      </w:r>
      <w:r>
        <w:rPr>
          <w:color w:val="231F20"/>
          <w:spacing w:val="-3"/>
        </w:rPr>
        <w:t>југу </w:t>
      </w:r>
      <w:r>
        <w:rPr>
          <w:color w:val="231F20"/>
        </w:rPr>
        <w:t>и </w:t>
      </w:r>
      <w:r>
        <w:rPr>
          <w:color w:val="231F20"/>
          <w:spacing w:val="-7"/>
        </w:rPr>
        <w:t>југоистоку, </w:t>
      </w:r>
      <w:r>
        <w:rPr>
          <w:color w:val="231F20"/>
          <w:spacing w:val="-4"/>
        </w:rPr>
        <w:t>односно, ка </w:t>
      </w:r>
      <w:r>
        <w:rPr>
          <w:color w:val="231F20"/>
          <w:spacing w:val="-3"/>
        </w:rPr>
        <w:t>насељу </w:t>
      </w:r>
      <w:r>
        <w:rPr>
          <w:color w:val="231F20"/>
          <w:spacing w:val="-4"/>
        </w:rPr>
        <w:t>Канал. </w:t>
      </w:r>
      <w:r>
        <w:rPr>
          <w:color w:val="231F20"/>
        </w:rPr>
        <w:t>На </w:t>
      </w:r>
      <w:r>
        <w:rPr>
          <w:color w:val="231F20"/>
          <w:spacing w:val="-4"/>
        </w:rPr>
        <w:t>основу </w:t>
      </w:r>
      <w:r>
        <w:rPr>
          <w:color w:val="231F20"/>
          <w:spacing w:val="-5"/>
        </w:rPr>
        <w:t>додат- </w:t>
      </w:r>
      <w:r>
        <w:rPr>
          <w:color w:val="231F20"/>
          <w:spacing w:val="-3"/>
        </w:rPr>
        <w:t>них </w:t>
      </w:r>
      <w:r>
        <w:rPr>
          <w:color w:val="231F20"/>
          <w:spacing w:val="-4"/>
        </w:rPr>
        <w:t>истраживања </w:t>
      </w:r>
      <w:r>
        <w:rPr>
          <w:color w:val="231F20"/>
          <w:spacing w:val="-5"/>
        </w:rPr>
        <w:t>сагледаће </w:t>
      </w:r>
      <w:r>
        <w:rPr>
          <w:color w:val="231F20"/>
        </w:rPr>
        <w:t>се </w:t>
      </w:r>
      <w:r>
        <w:rPr>
          <w:color w:val="231F20"/>
          <w:spacing w:val="-3"/>
        </w:rPr>
        <w:t>реална </w:t>
      </w:r>
      <w:r>
        <w:rPr>
          <w:color w:val="231F20"/>
          <w:spacing w:val="-4"/>
        </w:rPr>
        <w:t>угроженост </w:t>
      </w:r>
      <w:r>
        <w:rPr>
          <w:color w:val="231F20"/>
        </w:rPr>
        <w:t>и </w:t>
      </w:r>
      <w:r>
        <w:rPr>
          <w:color w:val="231F20"/>
          <w:spacing w:val="-4"/>
        </w:rPr>
        <w:t>границе утицаја депоније </w:t>
      </w:r>
      <w:r>
        <w:rPr>
          <w:color w:val="231F20"/>
        </w:rPr>
        <w:t>на </w:t>
      </w:r>
      <w:r>
        <w:rPr>
          <w:color w:val="231F20"/>
          <w:spacing w:val="-4"/>
        </w:rPr>
        <w:t>геосредину </w:t>
      </w:r>
      <w:r>
        <w:rPr>
          <w:color w:val="231F20"/>
        </w:rPr>
        <w:t>и </w:t>
      </w:r>
      <w:r>
        <w:rPr>
          <w:color w:val="231F20"/>
          <w:spacing w:val="-5"/>
        </w:rPr>
        <w:t>воде </w:t>
      </w:r>
      <w:r>
        <w:rPr>
          <w:color w:val="231F20"/>
        </w:rPr>
        <w:t>у </w:t>
      </w:r>
      <w:r>
        <w:rPr>
          <w:color w:val="231F20"/>
          <w:spacing w:val="-5"/>
        </w:rPr>
        <w:t>окружењу </w:t>
      </w:r>
      <w:r>
        <w:rPr>
          <w:color w:val="231F20"/>
        </w:rPr>
        <w:t>и </w:t>
      </w:r>
      <w:r>
        <w:rPr>
          <w:color w:val="231F20"/>
          <w:spacing w:val="-5"/>
        </w:rPr>
        <w:t>одредити </w:t>
      </w:r>
      <w:r>
        <w:rPr>
          <w:color w:val="231F20"/>
          <w:spacing w:val="-3"/>
        </w:rPr>
        <w:t>мере </w:t>
      </w:r>
      <w:r>
        <w:rPr>
          <w:color w:val="231F20"/>
        </w:rPr>
        <w:t>за </w:t>
      </w:r>
      <w:r>
        <w:rPr>
          <w:color w:val="231F20"/>
          <w:spacing w:val="-4"/>
        </w:rPr>
        <w:t>спре- чавање ширења загађења </w:t>
      </w:r>
      <w:r>
        <w:rPr>
          <w:color w:val="231F20"/>
        </w:rPr>
        <w:t>и </w:t>
      </w:r>
      <w:r>
        <w:rPr>
          <w:color w:val="231F20"/>
          <w:spacing w:val="-5"/>
        </w:rPr>
        <w:t>подстицање </w:t>
      </w:r>
      <w:r>
        <w:rPr>
          <w:color w:val="231F20"/>
          <w:spacing w:val="-4"/>
        </w:rPr>
        <w:t>регенерације</w:t>
      </w:r>
      <w:r>
        <w:rPr>
          <w:color w:val="231F20"/>
          <w:spacing w:val="-23"/>
        </w:rPr>
        <w:t> </w:t>
      </w:r>
      <w:r>
        <w:rPr>
          <w:color w:val="231F20"/>
          <w:spacing w:val="-4"/>
        </w:rPr>
        <w:t>аквифера.</w:t>
      </w:r>
    </w:p>
    <w:p>
      <w:pPr>
        <w:pStyle w:val="BodyText"/>
        <w:spacing w:line="218" w:lineRule="auto" w:before="3"/>
        <w:ind w:left="243" w:right="126" w:firstLine="396"/>
      </w:pPr>
      <w:r>
        <w:rPr>
          <w:color w:val="231F20"/>
        </w:rPr>
        <w:t>С тим у вези, на нивоу ЕПС-а донета је стратешка одлука да се у оквиру реконструкције система за прикупљање и припрему пепела</w:t>
      </w:r>
      <w:r>
        <w:rPr>
          <w:color w:val="231F20"/>
          <w:spacing w:val="-9"/>
        </w:rPr>
        <w:t> </w:t>
      </w:r>
      <w:r>
        <w:rPr>
          <w:color w:val="231F20"/>
        </w:rPr>
        <w:t>и</w:t>
      </w:r>
      <w:r>
        <w:rPr>
          <w:color w:val="231F20"/>
          <w:spacing w:val="-9"/>
        </w:rPr>
        <w:t> </w:t>
      </w:r>
      <w:r>
        <w:rPr>
          <w:color w:val="231F20"/>
        </w:rPr>
        <w:t>шљаке</w:t>
      </w:r>
      <w:r>
        <w:rPr>
          <w:color w:val="231F20"/>
          <w:spacing w:val="-9"/>
        </w:rPr>
        <w:t> </w:t>
      </w:r>
      <w:r>
        <w:rPr>
          <w:color w:val="231F20"/>
        </w:rPr>
        <w:t>транспорт</w:t>
      </w:r>
      <w:r>
        <w:rPr>
          <w:color w:val="231F20"/>
          <w:spacing w:val="-9"/>
        </w:rPr>
        <w:t> </w:t>
      </w:r>
      <w:r>
        <w:rPr>
          <w:color w:val="231F20"/>
        </w:rPr>
        <w:t>густе</w:t>
      </w:r>
      <w:r>
        <w:rPr>
          <w:color w:val="231F20"/>
          <w:spacing w:val="-9"/>
        </w:rPr>
        <w:t> </w:t>
      </w:r>
      <w:r>
        <w:rPr>
          <w:color w:val="231F20"/>
        </w:rPr>
        <w:t>хидромешавине</w:t>
      </w:r>
      <w:r>
        <w:rPr>
          <w:color w:val="231F20"/>
          <w:spacing w:val="-9"/>
        </w:rPr>
        <w:t> </w:t>
      </w:r>
      <w:r>
        <w:rPr>
          <w:color w:val="231F20"/>
        </w:rPr>
        <w:t>усмери</w:t>
      </w:r>
      <w:r>
        <w:rPr>
          <w:color w:val="231F20"/>
          <w:spacing w:val="-9"/>
        </w:rPr>
        <w:t> </w:t>
      </w:r>
      <w:r>
        <w:rPr>
          <w:color w:val="231F20"/>
        </w:rPr>
        <w:t>према</w:t>
      </w:r>
      <w:r>
        <w:rPr>
          <w:color w:val="231F20"/>
          <w:spacing w:val="-9"/>
        </w:rPr>
        <w:t> </w:t>
      </w:r>
      <w:r>
        <w:rPr>
          <w:color w:val="231F20"/>
        </w:rPr>
        <w:t>де- понији у ПК</w:t>
      </w:r>
      <w:r>
        <w:rPr>
          <w:color w:val="231F20"/>
          <w:spacing w:val="-2"/>
        </w:rPr>
        <w:t> </w:t>
      </w:r>
      <w:r>
        <w:rPr>
          <w:color w:val="231F20"/>
          <w:spacing w:val="-3"/>
        </w:rPr>
        <w:t>„Ћириковац”.</w:t>
      </w:r>
    </w:p>
    <w:p>
      <w:pPr>
        <w:pStyle w:val="BodyText"/>
        <w:spacing w:line="218" w:lineRule="auto" w:before="2"/>
        <w:ind w:left="244" w:right="125" w:firstLine="396"/>
      </w:pPr>
      <w:r>
        <w:rPr>
          <w:color w:val="231F20"/>
        </w:rPr>
        <w:t>На депонији „Средње костолачко острво” предстоје обимни радови на техничкој и биолошкој рекултивацији и уређењу депо- није (касета „Б” и „Ц”) и околног простора, док ће се касета кори- стити до успостављања новог система за прикупљање, транспорт и одлагање пепела и шљаке и у хаваријском случају.</w:t>
      </w:r>
    </w:p>
    <w:p>
      <w:pPr>
        <w:pStyle w:val="ListParagraph"/>
        <w:numPr>
          <w:ilvl w:val="2"/>
          <w:numId w:val="63"/>
        </w:numPr>
        <w:tabs>
          <w:tab w:pos="1800" w:val="left" w:leader="none"/>
        </w:tabs>
        <w:spacing w:line="240" w:lineRule="auto" w:before="156" w:after="0"/>
        <w:ind w:left="1799" w:right="0" w:hanging="315"/>
        <w:jc w:val="left"/>
        <w:rPr>
          <w:i/>
          <w:sz w:val="18"/>
        </w:rPr>
      </w:pPr>
      <w:r>
        <w:rPr>
          <w:i/>
          <w:color w:val="231F20"/>
          <w:sz w:val="18"/>
        </w:rPr>
        <w:t>Просторни обухват</w:t>
      </w:r>
      <w:r>
        <w:rPr>
          <w:i/>
          <w:color w:val="231F20"/>
          <w:spacing w:val="-3"/>
          <w:sz w:val="18"/>
        </w:rPr>
        <w:t> </w:t>
      </w:r>
      <w:r>
        <w:rPr>
          <w:i/>
          <w:color w:val="231F20"/>
          <w:sz w:val="18"/>
        </w:rPr>
        <w:t>коридора</w:t>
      </w:r>
    </w:p>
    <w:p>
      <w:pPr>
        <w:pStyle w:val="BodyText"/>
        <w:spacing w:line="218" w:lineRule="auto" w:before="54"/>
        <w:ind w:left="244" w:right="126" w:firstLine="396"/>
      </w:pPr>
      <w:r>
        <w:rPr>
          <w:color w:val="231F20"/>
        </w:rPr>
        <w:t>Коридор</w:t>
      </w:r>
      <w:r>
        <w:rPr>
          <w:color w:val="231F20"/>
          <w:spacing w:val="-6"/>
        </w:rPr>
        <w:t> </w:t>
      </w:r>
      <w:r>
        <w:rPr>
          <w:color w:val="231F20"/>
        </w:rPr>
        <w:t>се</w:t>
      </w:r>
      <w:r>
        <w:rPr>
          <w:color w:val="231F20"/>
          <w:spacing w:val="-6"/>
        </w:rPr>
        <w:t> </w:t>
      </w:r>
      <w:r>
        <w:rPr>
          <w:color w:val="231F20"/>
        </w:rPr>
        <w:t>успоставља</w:t>
      </w:r>
      <w:r>
        <w:rPr>
          <w:color w:val="231F20"/>
          <w:spacing w:val="-6"/>
        </w:rPr>
        <w:t> </w:t>
      </w:r>
      <w:r>
        <w:rPr>
          <w:color w:val="231F20"/>
        </w:rPr>
        <w:t>за</w:t>
      </w:r>
      <w:r>
        <w:rPr>
          <w:color w:val="231F20"/>
          <w:spacing w:val="-6"/>
        </w:rPr>
        <w:t> </w:t>
      </w:r>
      <w:r>
        <w:rPr>
          <w:color w:val="231F20"/>
        </w:rPr>
        <w:t>потребе</w:t>
      </w:r>
      <w:r>
        <w:rPr>
          <w:color w:val="231F20"/>
          <w:spacing w:val="-6"/>
        </w:rPr>
        <w:t> </w:t>
      </w:r>
      <w:r>
        <w:rPr>
          <w:color w:val="231F20"/>
        </w:rPr>
        <w:t>транспорта</w:t>
      </w:r>
      <w:r>
        <w:rPr>
          <w:color w:val="231F20"/>
          <w:spacing w:val="-6"/>
        </w:rPr>
        <w:t> </w:t>
      </w:r>
      <w:r>
        <w:rPr>
          <w:color w:val="231F20"/>
        </w:rPr>
        <w:t>пепела</w:t>
      </w:r>
      <w:r>
        <w:rPr>
          <w:color w:val="231F20"/>
          <w:spacing w:val="-6"/>
        </w:rPr>
        <w:t> </w:t>
      </w:r>
      <w:r>
        <w:rPr>
          <w:color w:val="231F20"/>
        </w:rPr>
        <w:t>и</w:t>
      </w:r>
      <w:r>
        <w:rPr>
          <w:color w:val="231F20"/>
          <w:spacing w:val="-6"/>
        </w:rPr>
        <w:t> </w:t>
      </w:r>
      <w:r>
        <w:rPr>
          <w:color w:val="231F20"/>
        </w:rPr>
        <w:t>шља- </w:t>
      </w:r>
      <w:r>
        <w:rPr>
          <w:color w:val="231F20"/>
          <w:spacing w:val="-3"/>
        </w:rPr>
        <w:t>ке </w:t>
      </w:r>
      <w:r>
        <w:rPr>
          <w:color w:val="231F20"/>
        </w:rPr>
        <w:t>из ТЕ „Костолац А” до</w:t>
      </w:r>
      <w:r>
        <w:rPr>
          <w:color w:val="231F20"/>
          <w:spacing w:val="-2"/>
        </w:rPr>
        <w:t> </w:t>
      </w:r>
      <w:r>
        <w:rPr>
          <w:color w:val="231F20"/>
        </w:rPr>
        <w:t>депоније:</w:t>
      </w:r>
    </w:p>
    <w:p>
      <w:pPr>
        <w:pStyle w:val="ListParagraph"/>
        <w:numPr>
          <w:ilvl w:val="0"/>
          <w:numId w:val="65"/>
        </w:numPr>
        <w:tabs>
          <w:tab w:pos="826" w:val="left" w:leader="none"/>
        </w:tabs>
        <w:spacing w:line="218" w:lineRule="auto" w:before="0" w:after="0"/>
        <w:ind w:left="244" w:right="125" w:firstLine="397"/>
        <w:jc w:val="both"/>
        <w:rPr>
          <w:sz w:val="18"/>
        </w:rPr>
      </w:pPr>
      <w:r>
        <w:rPr>
          <w:color w:val="231F20"/>
          <w:sz w:val="18"/>
        </w:rPr>
        <w:t>„Средње </w:t>
      </w:r>
      <w:r>
        <w:rPr>
          <w:color w:val="231F20"/>
          <w:spacing w:val="-4"/>
          <w:sz w:val="18"/>
        </w:rPr>
        <w:t>Костолачко </w:t>
      </w:r>
      <w:r>
        <w:rPr>
          <w:color w:val="231F20"/>
          <w:sz w:val="18"/>
        </w:rPr>
        <w:t>острво”, по садашњој траси цевовода ретке хидромешавине на подручју </w:t>
      </w:r>
      <w:r>
        <w:rPr>
          <w:color w:val="231F20"/>
          <w:spacing w:val="-3"/>
          <w:sz w:val="18"/>
        </w:rPr>
        <w:t>КО </w:t>
      </w:r>
      <w:r>
        <w:rPr>
          <w:color w:val="231F20"/>
          <w:sz w:val="18"/>
        </w:rPr>
        <w:t>Костолац град и то у обу- </w:t>
      </w:r>
      <w:r>
        <w:rPr>
          <w:color w:val="231F20"/>
          <w:spacing w:val="-3"/>
          <w:sz w:val="18"/>
        </w:rPr>
        <w:t>хвату</w:t>
      </w:r>
      <w:r>
        <w:rPr>
          <w:color w:val="231F20"/>
          <w:spacing w:val="-4"/>
          <w:sz w:val="18"/>
        </w:rPr>
        <w:t> </w:t>
      </w:r>
      <w:r>
        <w:rPr>
          <w:color w:val="231F20"/>
          <w:sz w:val="18"/>
        </w:rPr>
        <w:t>катастарских</w:t>
      </w:r>
      <w:r>
        <w:rPr>
          <w:color w:val="231F20"/>
          <w:spacing w:val="-4"/>
          <w:sz w:val="18"/>
        </w:rPr>
        <w:t> </w:t>
      </w:r>
      <w:r>
        <w:rPr>
          <w:color w:val="231F20"/>
          <w:sz w:val="18"/>
        </w:rPr>
        <w:t>парцела</w:t>
      </w:r>
      <w:r>
        <w:rPr>
          <w:color w:val="231F20"/>
          <w:spacing w:val="-4"/>
          <w:sz w:val="18"/>
        </w:rPr>
        <w:t> </w:t>
      </w:r>
      <w:r>
        <w:rPr>
          <w:color w:val="231F20"/>
          <w:sz w:val="18"/>
        </w:rPr>
        <w:t>бр.</w:t>
      </w:r>
      <w:r>
        <w:rPr>
          <w:color w:val="231F20"/>
          <w:spacing w:val="-4"/>
          <w:sz w:val="18"/>
        </w:rPr>
        <w:t> </w:t>
      </w:r>
      <w:r>
        <w:rPr>
          <w:color w:val="231F20"/>
          <w:sz w:val="18"/>
        </w:rPr>
        <w:t>333/2,</w:t>
      </w:r>
      <w:r>
        <w:rPr>
          <w:color w:val="231F20"/>
          <w:spacing w:val="-4"/>
          <w:sz w:val="18"/>
        </w:rPr>
        <w:t> </w:t>
      </w:r>
      <w:r>
        <w:rPr>
          <w:color w:val="231F20"/>
          <w:sz w:val="18"/>
        </w:rPr>
        <w:t>2690,</w:t>
      </w:r>
      <w:r>
        <w:rPr>
          <w:color w:val="231F20"/>
          <w:spacing w:val="-4"/>
          <w:sz w:val="18"/>
        </w:rPr>
        <w:t> </w:t>
      </w:r>
      <w:r>
        <w:rPr>
          <w:color w:val="231F20"/>
          <w:sz w:val="18"/>
        </w:rPr>
        <w:t>394,</w:t>
      </w:r>
      <w:r>
        <w:rPr>
          <w:color w:val="231F20"/>
          <w:spacing w:val="-4"/>
          <w:sz w:val="18"/>
        </w:rPr>
        <w:t> </w:t>
      </w:r>
      <w:r>
        <w:rPr>
          <w:color w:val="231F20"/>
          <w:sz w:val="18"/>
        </w:rPr>
        <w:t>2385</w:t>
      </w:r>
      <w:r>
        <w:rPr>
          <w:color w:val="231F20"/>
          <w:spacing w:val="-4"/>
          <w:sz w:val="18"/>
        </w:rPr>
        <w:t> </w:t>
      </w:r>
      <w:r>
        <w:rPr>
          <w:color w:val="231F20"/>
          <w:sz w:val="18"/>
        </w:rPr>
        <w:t>и</w:t>
      </w:r>
      <w:r>
        <w:rPr>
          <w:color w:val="231F20"/>
          <w:spacing w:val="-4"/>
          <w:sz w:val="18"/>
        </w:rPr>
        <w:t> </w:t>
      </w:r>
      <w:r>
        <w:rPr>
          <w:color w:val="231F20"/>
          <w:sz w:val="18"/>
        </w:rPr>
        <w:t>на</w:t>
      </w:r>
      <w:r>
        <w:rPr>
          <w:color w:val="231F20"/>
          <w:spacing w:val="-4"/>
          <w:sz w:val="18"/>
        </w:rPr>
        <w:t> </w:t>
      </w:r>
      <w:r>
        <w:rPr>
          <w:color w:val="231F20"/>
          <w:sz w:val="18"/>
        </w:rPr>
        <w:t>подруч- ју </w:t>
      </w:r>
      <w:r>
        <w:rPr>
          <w:color w:val="231F20"/>
          <w:spacing w:val="-3"/>
          <w:sz w:val="18"/>
        </w:rPr>
        <w:t>КО </w:t>
      </w:r>
      <w:r>
        <w:rPr>
          <w:color w:val="231F20"/>
          <w:sz w:val="18"/>
        </w:rPr>
        <w:t>Костолац град кроз к.п. бр. 2385 ;</w:t>
      </w:r>
      <w:r>
        <w:rPr>
          <w:color w:val="231F20"/>
          <w:spacing w:val="-3"/>
          <w:sz w:val="18"/>
        </w:rPr>
        <w:t> </w:t>
      </w:r>
      <w:r>
        <w:rPr>
          <w:color w:val="231F20"/>
          <w:sz w:val="18"/>
        </w:rPr>
        <w:t>и</w:t>
      </w:r>
    </w:p>
    <w:p>
      <w:pPr>
        <w:pStyle w:val="ListParagraph"/>
        <w:numPr>
          <w:ilvl w:val="0"/>
          <w:numId w:val="65"/>
        </w:numPr>
        <w:tabs>
          <w:tab w:pos="818" w:val="left" w:leader="none"/>
        </w:tabs>
        <w:spacing w:line="218" w:lineRule="auto" w:before="1" w:after="0"/>
        <w:ind w:left="244" w:right="126" w:firstLine="397"/>
        <w:jc w:val="both"/>
        <w:rPr>
          <w:sz w:val="18"/>
        </w:rPr>
      </w:pPr>
      <w:r>
        <w:rPr>
          <w:color w:val="231F20"/>
          <w:sz w:val="18"/>
        </w:rPr>
        <w:t>ПК</w:t>
      </w:r>
      <w:r>
        <w:rPr>
          <w:color w:val="231F20"/>
          <w:spacing w:val="-12"/>
          <w:sz w:val="18"/>
        </w:rPr>
        <w:t> </w:t>
      </w:r>
      <w:r>
        <w:rPr>
          <w:color w:val="231F20"/>
          <w:spacing w:val="-3"/>
          <w:sz w:val="18"/>
        </w:rPr>
        <w:t>„Ћириковац”</w:t>
      </w:r>
      <w:r>
        <w:rPr>
          <w:color w:val="231F20"/>
          <w:spacing w:val="-11"/>
          <w:sz w:val="18"/>
        </w:rPr>
        <w:t> </w:t>
      </w:r>
      <w:r>
        <w:rPr>
          <w:color w:val="231F20"/>
          <w:sz w:val="18"/>
        </w:rPr>
        <w:t>у</w:t>
      </w:r>
      <w:r>
        <w:rPr>
          <w:color w:val="231F20"/>
          <w:spacing w:val="-11"/>
          <w:sz w:val="18"/>
        </w:rPr>
        <w:t> </w:t>
      </w:r>
      <w:r>
        <w:rPr>
          <w:color w:val="231F20"/>
          <w:sz w:val="18"/>
        </w:rPr>
        <w:t>заједничком</w:t>
      </w:r>
      <w:r>
        <w:rPr>
          <w:color w:val="231F20"/>
          <w:spacing w:val="-11"/>
          <w:sz w:val="18"/>
        </w:rPr>
        <w:t> </w:t>
      </w:r>
      <w:r>
        <w:rPr>
          <w:color w:val="231F20"/>
          <w:sz w:val="18"/>
        </w:rPr>
        <w:t>коридору</w:t>
      </w:r>
      <w:r>
        <w:rPr>
          <w:color w:val="231F20"/>
          <w:spacing w:val="-11"/>
          <w:sz w:val="18"/>
        </w:rPr>
        <w:t> </w:t>
      </w:r>
      <w:r>
        <w:rPr>
          <w:color w:val="231F20"/>
          <w:sz w:val="18"/>
        </w:rPr>
        <w:t>са</w:t>
      </w:r>
      <w:r>
        <w:rPr>
          <w:color w:val="231F20"/>
          <w:spacing w:val="-11"/>
          <w:sz w:val="18"/>
        </w:rPr>
        <w:t> </w:t>
      </w:r>
      <w:r>
        <w:rPr>
          <w:color w:val="231F20"/>
          <w:sz w:val="18"/>
        </w:rPr>
        <w:t>транспортером за угаљ из дробилане ПК „Дрмно” до ТЕ „Костолац А”, а даље кроз просторну целину „Долина реке Млаве” у заједничком </w:t>
      </w:r>
      <w:r>
        <w:rPr>
          <w:color w:val="231F20"/>
          <w:spacing w:val="-3"/>
          <w:sz w:val="18"/>
        </w:rPr>
        <w:t>кори- </w:t>
      </w:r>
      <w:r>
        <w:rPr>
          <w:color w:val="231F20"/>
          <w:sz w:val="18"/>
        </w:rPr>
        <w:t>дору са пепеловодом из ТЕ „Костолац</w:t>
      </w:r>
      <w:r>
        <w:rPr>
          <w:color w:val="231F20"/>
          <w:spacing w:val="-6"/>
          <w:sz w:val="18"/>
        </w:rPr>
        <w:t> </w:t>
      </w:r>
      <w:r>
        <w:rPr>
          <w:color w:val="231F20"/>
          <w:sz w:val="18"/>
        </w:rPr>
        <w:t>Б”.</w:t>
      </w:r>
    </w:p>
    <w:p>
      <w:pPr>
        <w:pStyle w:val="BodyText"/>
        <w:spacing w:line="218" w:lineRule="auto" w:before="1"/>
        <w:ind w:left="244" w:right="126" w:firstLine="396"/>
      </w:pPr>
      <w:r>
        <w:rPr>
          <w:color w:val="231F20"/>
        </w:rPr>
        <w:t>Ови заједнички коридори се формирају на подручју КО Ко- столац град, КО Костолац село, КО Брадарац, и КО Ћириковац а обухваћене су целе или делови катастарских парцела:</w:t>
      </w:r>
    </w:p>
    <w:p>
      <w:pPr>
        <w:pStyle w:val="ListParagraph"/>
        <w:numPr>
          <w:ilvl w:val="2"/>
          <w:numId w:val="63"/>
        </w:numPr>
        <w:tabs>
          <w:tab w:pos="1520" w:val="left" w:leader="none"/>
        </w:tabs>
        <w:spacing w:line="240" w:lineRule="auto" w:before="156" w:after="0"/>
        <w:ind w:left="1519" w:right="0" w:hanging="315"/>
        <w:jc w:val="left"/>
        <w:rPr>
          <w:i/>
          <w:sz w:val="18"/>
        </w:rPr>
      </w:pPr>
      <w:r>
        <w:rPr>
          <w:i/>
          <w:color w:val="231F20"/>
          <w:sz w:val="18"/>
        </w:rPr>
        <w:t>Правила изградње и правила</w:t>
      </w:r>
      <w:r>
        <w:rPr>
          <w:i/>
          <w:color w:val="231F20"/>
          <w:spacing w:val="-2"/>
          <w:sz w:val="18"/>
        </w:rPr>
        <w:t> </w:t>
      </w:r>
      <w:r>
        <w:rPr>
          <w:i/>
          <w:color w:val="231F20"/>
          <w:sz w:val="18"/>
        </w:rPr>
        <w:t>уређења</w:t>
      </w:r>
    </w:p>
    <w:p>
      <w:pPr>
        <w:pStyle w:val="ListParagraph"/>
        <w:numPr>
          <w:ilvl w:val="2"/>
          <w:numId w:val="66"/>
        </w:numPr>
        <w:tabs>
          <w:tab w:pos="1182" w:val="left" w:leader="none"/>
        </w:tabs>
        <w:spacing w:line="218" w:lineRule="auto" w:before="167" w:after="0"/>
        <w:ind w:left="1238" w:right="612" w:hanging="507"/>
        <w:jc w:val="left"/>
        <w:rPr>
          <w:sz w:val="18"/>
        </w:rPr>
      </w:pPr>
      <w:r>
        <w:rPr>
          <w:color w:val="231F20"/>
          <w:spacing w:val="15"/>
          <w:sz w:val="18"/>
        </w:rPr>
        <w:t>Коридор </w:t>
      </w:r>
      <w:r>
        <w:rPr>
          <w:color w:val="231F20"/>
          <w:spacing w:val="10"/>
          <w:sz w:val="18"/>
        </w:rPr>
        <w:t>за </w:t>
      </w:r>
      <w:r>
        <w:rPr>
          <w:color w:val="231F20"/>
          <w:sz w:val="18"/>
        </w:rPr>
        <w:t>т </w:t>
      </w:r>
      <w:r>
        <w:rPr>
          <w:color w:val="231F20"/>
          <w:spacing w:val="16"/>
          <w:sz w:val="18"/>
        </w:rPr>
        <w:t>ранспорт </w:t>
      </w:r>
      <w:r>
        <w:rPr>
          <w:color w:val="231F20"/>
          <w:spacing w:val="15"/>
          <w:sz w:val="18"/>
        </w:rPr>
        <w:t>пепела </w:t>
      </w:r>
      <w:r>
        <w:rPr>
          <w:color w:val="231F20"/>
          <w:sz w:val="18"/>
        </w:rPr>
        <w:t>и </w:t>
      </w:r>
      <w:r>
        <w:rPr>
          <w:color w:val="231F20"/>
          <w:spacing w:val="15"/>
          <w:sz w:val="18"/>
        </w:rPr>
        <w:t>шљаке </w:t>
      </w:r>
      <w:r>
        <w:rPr>
          <w:color w:val="231F20"/>
          <w:spacing w:val="6"/>
          <w:sz w:val="18"/>
        </w:rPr>
        <w:t>од </w:t>
      </w:r>
      <w:r>
        <w:rPr>
          <w:color w:val="231F20"/>
          <w:spacing w:val="10"/>
          <w:sz w:val="18"/>
        </w:rPr>
        <w:t>ТЕ </w:t>
      </w:r>
      <w:r>
        <w:rPr>
          <w:color w:val="231F20"/>
          <w:sz w:val="18"/>
        </w:rPr>
        <w:t>„ </w:t>
      </w:r>
      <w:r>
        <w:rPr>
          <w:color w:val="231F20"/>
          <w:spacing w:val="5"/>
          <w:sz w:val="18"/>
        </w:rPr>
        <w:t>Ко </w:t>
      </w:r>
      <w:r>
        <w:rPr>
          <w:color w:val="231F20"/>
          <w:spacing w:val="15"/>
          <w:sz w:val="18"/>
        </w:rPr>
        <w:t>столац </w:t>
      </w:r>
      <w:r>
        <w:rPr>
          <w:color w:val="231F20"/>
          <w:spacing w:val="10"/>
          <w:sz w:val="18"/>
        </w:rPr>
        <w:t>А” до</w:t>
      </w:r>
      <w:r>
        <w:rPr>
          <w:color w:val="231F20"/>
          <w:spacing w:val="27"/>
          <w:sz w:val="18"/>
        </w:rPr>
        <w:t> </w:t>
      </w:r>
      <w:r>
        <w:rPr>
          <w:color w:val="231F20"/>
          <w:spacing w:val="16"/>
          <w:sz w:val="18"/>
        </w:rPr>
        <w:t>депоније</w:t>
      </w:r>
    </w:p>
    <w:p>
      <w:pPr>
        <w:pStyle w:val="BodyText"/>
        <w:spacing w:line="192" w:lineRule="exact"/>
        <w:ind w:left="1411"/>
        <w:jc w:val="left"/>
      </w:pPr>
      <w:r>
        <w:rPr>
          <w:color w:val="231F20"/>
        </w:rPr>
        <w:t>„ Средње Ко столачко о ст рво”</w:t>
      </w:r>
    </w:p>
    <w:p>
      <w:pPr>
        <w:pStyle w:val="BodyText"/>
        <w:spacing w:line="218" w:lineRule="auto" w:before="54"/>
        <w:ind w:left="214" w:right="125" w:firstLine="397"/>
        <w:jc w:val="right"/>
      </w:pPr>
      <w:r>
        <w:rPr>
          <w:color w:val="231F20"/>
          <w:spacing w:val="-8"/>
        </w:rPr>
        <w:t>Транспорт </w:t>
      </w:r>
      <w:r>
        <w:rPr>
          <w:color w:val="231F20"/>
          <w:spacing w:val="-7"/>
        </w:rPr>
        <w:t>припремљене ретке хидромешавине </w:t>
      </w:r>
      <w:r>
        <w:rPr>
          <w:color w:val="231F20"/>
          <w:spacing w:val="-6"/>
        </w:rPr>
        <w:t>пепела, </w:t>
      </w:r>
      <w:r>
        <w:rPr>
          <w:color w:val="231F20"/>
          <w:spacing w:val="-7"/>
        </w:rPr>
        <w:t>шљаке </w:t>
      </w:r>
      <w:r>
        <w:rPr>
          <w:color w:val="231F20"/>
        </w:rPr>
        <w:t>и </w:t>
      </w:r>
      <w:r>
        <w:rPr>
          <w:color w:val="231F20"/>
          <w:spacing w:val="-7"/>
        </w:rPr>
        <w:t>воде </w:t>
      </w:r>
      <w:r>
        <w:rPr>
          <w:color w:val="231F20"/>
          <w:spacing w:val="-4"/>
        </w:rPr>
        <w:t>на </w:t>
      </w:r>
      <w:r>
        <w:rPr>
          <w:color w:val="231F20"/>
          <w:spacing w:val="-7"/>
        </w:rPr>
        <w:t>депонију одвија </w:t>
      </w:r>
      <w:r>
        <w:rPr>
          <w:color w:val="231F20"/>
          <w:spacing w:val="-3"/>
        </w:rPr>
        <w:t>се </w:t>
      </w:r>
      <w:r>
        <w:rPr>
          <w:color w:val="231F20"/>
          <w:spacing w:val="-7"/>
        </w:rPr>
        <w:t>центрифугалним </w:t>
      </w:r>
      <w:r>
        <w:rPr>
          <w:color w:val="231F20"/>
          <w:spacing w:val="-6"/>
        </w:rPr>
        <w:t>редно </w:t>
      </w:r>
      <w:r>
        <w:rPr>
          <w:color w:val="231F20"/>
          <w:spacing w:val="-7"/>
        </w:rPr>
        <w:t>спрегнутим пумпама</w:t>
      </w:r>
      <w:r>
        <w:rPr>
          <w:color w:val="231F20"/>
        </w:rPr>
        <w:t> </w:t>
      </w:r>
      <w:r>
        <w:rPr>
          <w:color w:val="231F20"/>
          <w:spacing w:val="-6"/>
        </w:rPr>
        <w:t>кроз </w:t>
      </w:r>
      <w:r>
        <w:rPr>
          <w:color w:val="231F20"/>
          <w:spacing w:val="-7"/>
        </w:rPr>
        <w:t>магистралне </w:t>
      </w:r>
      <w:r>
        <w:rPr>
          <w:color w:val="231F20"/>
          <w:spacing w:val="-6"/>
        </w:rPr>
        <w:t>челичне </w:t>
      </w:r>
      <w:r>
        <w:rPr>
          <w:color w:val="231F20"/>
          <w:spacing w:val="-7"/>
        </w:rPr>
        <w:t>цевоводе </w:t>
      </w:r>
      <w:r>
        <w:rPr>
          <w:color w:val="231F20"/>
          <w:spacing w:val="-4"/>
        </w:rPr>
        <w:t>на </w:t>
      </w:r>
      <w:r>
        <w:rPr>
          <w:color w:val="231F20"/>
          <w:spacing w:val="-6"/>
        </w:rPr>
        <w:t>високим ослонцима, </w:t>
      </w:r>
      <w:r>
        <w:rPr>
          <w:color w:val="231F20"/>
          <w:spacing w:val="-8"/>
        </w:rPr>
        <w:t>који </w:t>
      </w:r>
      <w:r>
        <w:rPr>
          <w:color w:val="231F20"/>
          <w:spacing w:val="-3"/>
        </w:rPr>
        <w:t>се </w:t>
      </w:r>
      <w:r>
        <w:rPr>
          <w:color w:val="231F20"/>
          <w:spacing w:val="-5"/>
        </w:rPr>
        <w:t>за-</w:t>
      </w:r>
      <w:r>
        <w:rPr>
          <w:color w:val="231F20"/>
        </w:rPr>
        <w:t> </w:t>
      </w:r>
      <w:r>
        <w:rPr>
          <w:color w:val="231F20"/>
          <w:spacing w:val="-7"/>
        </w:rPr>
        <w:t>вршавају </w:t>
      </w:r>
      <w:r>
        <w:rPr>
          <w:color w:val="231F20"/>
          <w:spacing w:val="-4"/>
        </w:rPr>
        <w:t>на </w:t>
      </w:r>
      <w:r>
        <w:rPr>
          <w:color w:val="231F20"/>
          <w:spacing w:val="-7"/>
        </w:rPr>
        <w:t>иницијалном </w:t>
      </w:r>
      <w:r>
        <w:rPr>
          <w:color w:val="231F20"/>
          <w:spacing w:val="-8"/>
        </w:rPr>
        <w:t>ободном </w:t>
      </w:r>
      <w:r>
        <w:rPr>
          <w:color w:val="231F20"/>
          <w:spacing w:val="-6"/>
        </w:rPr>
        <w:t>насипу </w:t>
      </w:r>
      <w:r>
        <w:rPr>
          <w:color w:val="231F20"/>
          <w:spacing w:val="-7"/>
        </w:rPr>
        <w:t>депоније </w:t>
      </w:r>
      <w:r>
        <w:rPr>
          <w:color w:val="231F20"/>
          <w:spacing w:val="-6"/>
        </w:rPr>
        <w:t>пепела, касета </w:t>
      </w:r>
      <w:r>
        <w:rPr>
          <w:color w:val="231F20"/>
          <w:spacing w:val="-5"/>
        </w:rPr>
        <w:t>„А”</w:t>
      </w:r>
      <w:r>
        <w:rPr>
          <w:color w:val="231F20"/>
        </w:rPr>
        <w:t> и </w:t>
      </w:r>
      <w:r>
        <w:rPr>
          <w:color w:val="231F20"/>
          <w:spacing w:val="-6"/>
        </w:rPr>
        <w:t>„Ц”. </w:t>
      </w:r>
      <w:r>
        <w:rPr>
          <w:color w:val="231F20"/>
          <w:spacing w:val="-8"/>
        </w:rPr>
        <w:t>Транспорт </w:t>
      </w:r>
      <w:r>
        <w:rPr>
          <w:color w:val="231F20"/>
          <w:spacing w:val="-7"/>
        </w:rPr>
        <w:t>хидромешавине </w:t>
      </w:r>
      <w:r>
        <w:rPr>
          <w:color w:val="231F20"/>
          <w:spacing w:val="-6"/>
        </w:rPr>
        <w:t>пепела </w:t>
      </w:r>
      <w:r>
        <w:rPr>
          <w:color w:val="231F20"/>
        </w:rPr>
        <w:t>и </w:t>
      </w:r>
      <w:r>
        <w:rPr>
          <w:color w:val="231F20"/>
          <w:spacing w:val="-7"/>
        </w:rPr>
        <w:t>шљаке </w:t>
      </w:r>
      <w:r>
        <w:rPr>
          <w:color w:val="231F20"/>
          <w:spacing w:val="-6"/>
        </w:rPr>
        <w:t>врши </w:t>
      </w:r>
      <w:r>
        <w:rPr>
          <w:color w:val="231F20"/>
          <w:spacing w:val="-3"/>
        </w:rPr>
        <w:t>се </w:t>
      </w:r>
      <w:r>
        <w:rPr>
          <w:color w:val="231F20"/>
          <w:spacing w:val="-7"/>
        </w:rPr>
        <w:t>једним </w:t>
      </w:r>
      <w:r>
        <w:rPr>
          <w:color w:val="231F20"/>
          <w:spacing w:val="-5"/>
        </w:rPr>
        <w:t>це-</w:t>
      </w:r>
      <w:r>
        <w:rPr>
          <w:color w:val="231F20"/>
        </w:rPr>
        <w:t> </w:t>
      </w:r>
      <w:r>
        <w:rPr>
          <w:color w:val="231F20"/>
          <w:spacing w:val="-8"/>
        </w:rPr>
        <w:t>воводом, </w:t>
      </w:r>
      <w:r>
        <w:rPr>
          <w:color w:val="231F20"/>
          <w:spacing w:val="-7"/>
        </w:rPr>
        <w:t>изузев </w:t>
      </w:r>
      <w:r>
        <w:rPr>
          <w:color w:val="231F20"/>
        </w:rPr>
        <w:t>у </w:t>
      </w:r>
      <w:r>
        <w:rPr>
          <w:color w:val="231F20"/>
          <w:spacing w:val="-6"/>
        </w:rPr>
        <w:t>првој фази када </w:t>
      </w:r>
      <w:r>
        <w:rPr>
          <w:color w:val="231F20"/>
          <w:spacing w:val="-4"/>
        </w:rPr>
        <w:t>је </w:t>
      </w:r>
      <w:r>
        <w:rPr>
          <w:color w:val="231F20"/>
          <w:spacing w:val="-7"/>
        </w:rPr>
        <w:t>одвојен транспорт </w:t>
      </w:r>
      <w:r>
        <w:rPr>
          <w:color w:val="231F20"/>
          <w:spacing w:val="-6"/>
        </w:rPr>
        <w:t>пепела </w:t>
      </w:r>
      <w:r>
        <w:rPr>
          <w:color w:val="231F20"/>
        </w:rPr>
        <w:t>и </w:t>
      </w:r>
      <w:r>
        <w:rPr>
          <w:color w:val="231F20"/>
          <w:spacing w:val="-7"/>
        </w:rPr>
        <w:t>шљаке.</w:t>
      </w:r>
    </w:p>
    <w:p>
      <w:pPr>
        <w:pStyle w:val="BodyText"/>
        <w:spacing w:line="218" w:lineRule="auto" w:before="1"/>
        <w:ind w:left="245" w:right="124" w:firstLine="397"/>
      </w:pPr>
      <w:r>
        <w:rPr>
          <w:color w:val="231F20"/>
          <w:spacing w:val="-4"/>
        </w:rPr>
        <w:t>Магистрални </w:t>
      </w:r>
      <w:r>
        <w:rPr>
          <w:color w:val="231F20"/>
          <w:spacing w:val="-5"/>
        </w:rPr>
        <w:t>цевоводи </w:t>
      </w:r>
      <w:r>
        <w:rPr>
          <w:color w:val="231F20"/>
        </w:rPr>
        <w:t>се </w:t>
      </w:r>
      <w:r>
        <w:rPr>
          <w:color w:val="231F20"/>
          <w:spacing w:val="-5"/>
        </w:rPr>
        <w:t>воде </w:t>
      </w:r>
      <w:r>
        <w:rPr>
          <w:color w:val="231F20"/>
        </w:rPr>
        <w:t>на </w:t>
      </w:r>
      <w:r>
        <w:rPr>
          <w:color w:val="231F20"/>
          <w:spacing w:val="-4"/>
        </w:rPr>
        <w:t>високим ослонцима </w:t>
      </w:r>
      <w:r>
        <w:rPr>
          <w:color w:val="231F20"/>
          <w:spacing w:val="-5"/>
        </w:rPr>
        <w:t>дужином </w:t>
      </w:r>
      <w:r>
        <w:rPr>
          <w:color w:val="231F20"/>
          <w:spacing w:val="-3"/>
        </w:rPr>
        <w:t>две трасе (из </w:t>
      </w:r>
      <w:r>
        <w:rPr>
          <w:color w:val="231F20"/>
        </w:rPr>
        <w:t>А1 и </w:t>
      </w:r>
      <w:r>
        <w:rPr>
          <w:color w:val="231F20"/>
          <w:spacing w:val="-3"/>
        </w:rPr>
        <w:t>А2) </w:t>
      </w:r>
      <w:r>
        <w:rPr>
          <w:color w:val="231F20"/>
        </w:rPr>
        <w:t>на </w:t>
      </w:r>
      <w:r>
        <w:rPr>
          <w:color w:val="231F20"/>
          <w:spacing w:val="-6"/>
        </w:rPr>
        <w:t>блиском растојању. Комплекс </w:t>
      </w:r>
      <w:r>
        <w:rPr>
          <w:color w:val="231F20"/>
          <w:spacing w:val="-4"/>
        </w:rPr>
        <w:t>термоелек- </w:t>
      </w:r>
      <w:r>
        <w:rPr>
          <w:color w:val="231F20"/>
          <w:spacing w:val="-3"/>
        </w:rPr>
        <w:t>тране </w:t>
      </w:r>
      <w:r>
        <w:rPr>
          <w:color w:val="231F20"/>
          <w:spacing w:val="-5"/>
        </w:rPr>
        <w:t>„Костолац </w:t>
      </w:r>
      <w:r>
        <w:rPr>
          <w:color w:val="231F20"/>
        </w:rPr>
        <w:t>А” </w:t>
      </w:r>
      <w:r>
        <w:rPr>
          <w:color w:val="231F20"/>
          <w:spacing w:val="-4"/>
        </w:rPr>
        <w:t>обе </w:t>
      </w:r>
      <w:r>
        <w:rPr>
          <w:color w:val="231F20"/>
          <w:spacing w:val="-3"/>
        </w:rPr>
        <w:t>трасе </w:t>
      </w:r>
      <w:r>
        <w:rPr>
          <w:color w:val="231F20"/>
          <w:spacing w:val="-4"/>
        </w:rPr>
        <w:t>напуштају </w:t>
      </w:r>
      <w:r>
        <w:rPr>
          <w:color w:val="231F20"/>
        </w:rPr>
        <w:t>на </w:t>
      </w:r>
      <w:r>
        <w:rPr>
          <w:color w:val="231F20"/>
          <w:spacing w:val="-4"/>
        </w:rPr>
        <w:t>крајњем северном </w:t>
      </w:r>
      <w:r>
        <w:rPr>
          <w:color w:val="231F20"/>
          <w:spacing w:val="-7"/>
        </w:rPr>
        <w:t>делу, </w:t>
      </w:r>
      <w:r>
        <w:rPr>
          <w:color w:val="231F20"/>
          <w:spacing w:val="-5"/>
        </w:rPr>
        <w:t>након </w:t>
      </w:r>
      <w:r>
        <w:rPr>
          <w:color w:val="231F20"/>
          <w:spacing w:val="-3"/>
        </w:rPr>
        <w:t>150 </w:t>
      </w:r>
      <w:r>
        <w:rPr>
          <w:color w:val="231F20"/>
        </w:rPr>
        <w:t>m </w:t>
      </w:r>
      <w:r>
        <w:rPr>
          <w:color w:val="231F20"/>
          <w:spacing w:val="-4"/>
        </w:rPr>
        <w:t>прелазе насељску саобраћајницу </w:t>
      </w:r>
      <w:r>
        <w:rPr>
          <w:color w:val="231F20"/>
          <w:spacing w:val="-5"/>
        </w:rPr>
        <w:t>(улица </w:t>
      </w:r>
      <w:r>
        <w:rPr>
          <w:color w:val="231F20"/>
          <w:spacing w:val="-3"/>
        </w:rPr>
        <w:t>Кнеза </w:t>
      </w:r>
      <w:r>
        <w:rPr>
          <w:color w:val="231F20"/>
          <w:spacing w:val="-4"/>
        </w:rPr>
        <w:t>Лазара) </w:t>
      </w:r>
      <w:r>
        <w:rPr>
          <w:color w:val="231F20"/>
        </w:rPr>
        <w:t>и </w:t>
      </w:r>
      <w:r>
        <w:rPr>
          <w:color w:val="231F20"/>
          <w:spacing w:val="-3"/>
        </w:rPr>
        <w:t>даље </w:t>
      </w:r>
      <w:r>
        <w:rPr>
          <w:color w:val="231F20"/>
          <w:spacing w:val="-4"/>
        </w:rPr>
        <w:t>једна </w:t>
      </w:r>
      <w:r>
        <w:rPr>
          <w:color w:val="231F20"/>
          <w:spacing w:val="-3"/>
        </w:rPr>
        <w:t>траса </w:t>
      </w:r>
      <w:r>
        <w:rPr>
          <w:color w:val="231F20"/>
          <w:spacing w:val="-5"/>
        </w:rPr>
        <w:t>прати </w:t>
      </w:r>
      <w:r>
        <w:rPr>
          <w:color w:val="231F20"/>
          <w:spacing w:val="-4"/>
        </w:rPr>
        <w:t>јавну саобраћајницу </w:t>
      </w:r>
      <w:r>
        <w:rPr>
          <w:color w:val="231F20"/>
          <w:spacing w:val="-5"/>
        </w:rPr>
        <w:t>(улицу Војводе </w:t>
      </w:r>
      <w:r>
        <w:rPr>
          <w:color w:val="231F20"/>
          <w:spacing w:val="-4"/>
        </w:rPr>
        <w:t>Степе) </w:t>
      </w:r>
      <w:r>
        <w:rPr>
          <w:color w:val="231F20"/>
        </w:rPr>
        <w:t>у </w:t>
      </w:r>
      <w:r>
        <w:rPr>
          <w:color w:val="231F20"/>
          <w:spacing w:val="-3"/>
        </w:rPr>
        <w:t>насељу </w:t>
      </w:r>
      <w:r>
        <w:rPr>
          <w:color w:val="231F20"/>
          <w:spacing w:val="-4"/>
        </w:rPr>
        <w:t>Канал, између саобраћајнице </w:t>
      </w:r>
      <w:r>
        <w:rPr>
          <w:color w:val="231F20"/>
        </w:rPr>
        <w:t>и </w:t>
      </w:r>
      <w:r>
        <w:rPr>
          <w:color w:val="231F20"/>
          <w:spacing w:val="-4"/>
        </w:rPr>
        <w:t>канала </w:t>
      </w:r>
      <w:r>
        <w:rPr>
          <w:color w:val="231F20"/>
        </w:rPr>
        <w:t>за </w:t>
      </w:r>
      <w:r>
        <w:rPr>
          <w:color w:val="231F20"/>
          <w:spacing w:val="-6"/>
        </w:rPr>
        <w:t>одвод </w:t>
      </w:r>
      <w:r>
        <w:rPr>
          <w:color w:val="231F20"/>
          <w:spacing w:val="-4"/>
        </w:rPr>
        <w:t>топле </w:t>
      </w:r>
      <w:r>
        <w:rPr>
          <w:color w:val="231F20"/>
          <w:spacing w:val="-5"/>
        </w:rPr>
        <w:t>воде </w:t>
      </w:r>
      <w:r>
        <w:rPr>
          <w:color w:val="231F20"/>
        </w:rPr>
        <w:t>из </w:t>
      </w:r>
      <w:r>
        <w:rPr>
          <w:color w:val="231F20"/>
          <w:spacing w:val="-4"/>
        </w:rPr>
        <w:t>електране, </w:t>
      </w:r>
      <w:r>
        <w:rPr>
          <w:color w:val="231F20"/>
          <w:spacing w:val="-6"/>
        </w:rPr>
        <w:t>који </w:t>
      </w:r>
      <w:r>
        <w:rPr>
          <w:color w:val="231F20"/>
          <w:spacing w:val="-4"/>
        </w:rPr>
        <w:t>прелази </w:t>
      </w:r>
      <w:r>
        <w:rPr>
          <w:color w:val="231F20"/>
          <w:spacing w:val="-3"/>
        </w:rPr>
        <w:t>после 570 </w:t>
      </w:r>
      <w:r>
        <w:rPr>
          <w:color w:val="231F20"/>
        </w:rPr>
        <w:t>m. </w:t>
      </w:r>
      <w:r>
        <w:rPr>
          <w:color w:val="231F20"/>
          <w:spacing w:val="-4"/>
        </w:rPr>
        <w:t>Друга </w:t>
      </w:r>
      <w:r>
        <w:rPr>
          <w:color w:val="231F20"/>
          <w:spacing w:val="-3"/>
        </w:rPr>
        <w:t>траса </w:t>
      </w:r>
      <w:r>
        <w:rPr>
          <w:color w:val="231F20"/>
          <w:spacing w:val="-5"/>
        </w:rPr>
        <w:t>прати </w:t>
      </w:r>
      <w:r>
        <w:rPr>
          <w:color w:val="231F20"/>
          <w:spacing w:val="-4"/>
        </w:rPr>
        <w:t>канал топле </w:t>
      </w:r>
      <w:r>
        <w:rPr>
          <w:color w:val="231F20"/>
          <w:spacing w:val="-5"/>
        </w:rPr>
        <w:t>воде </w:t>
      </w:r>
      <w:r>
        <w:rPr>
          <w:color w:val="231F20"/>
        </w:rPr>
        <w:t>по </w:t>
      </w:r>
      <w:r>
        <w:rPr>
          <w:color w:val="231F20"/>
          <w:spacing w:val="-4"/>
        </w:rPr>
        <w:t>круни деснообалног насипа канала. </w:t>
      </w:r>
      <w:r>
        <w:rPr>
          <w:color w:val="231F20"/>
        </w:rPr>
        <w:t>Не </w:t>
      </w:r>
      <w:r>
        <w:rPr>
          <w:color w:val="231F20"/>
          <w:spacing w:val="-4"/>
        </w:rPr>
        <w:t>мењајући правац </w:t>
      </w:r>
      <w:r>
        <w:rPr>
          <w:color w:val="231F20"/>
          <w:spacing w:val="-3"/>
        </w:rPr>
        <w:t>тра- </w:t>
      </w:r>
      <w:r>
        <w:rPr>
          <w:color w:val="231F20"/>
        </w:rPr>
        <w:t>се</w:t>
      </w:r>
      <w:r>
        <w:rPr>
          <w:color w:val="231F20"/>
          <w:spacing w:val="-8"/>
        </w:rPr>
        <w:t> </w:t>
      </w:r>
      <w:r>
        <w:rPr>
          <w:color w:val="231F20"/>
        </w:rPr>
        <w:t>се</w:t>
      </w:r>
      <w:r>
        <w:rPr>
          <w:color w:val="231F20"/>
          <w:spacing w:val="-8"/>
        </w:rPr>
        <w:t> </w:t>
      </w:r>
      <w:r>
        <w:rPr>
          <w:color w:val="231F20"/>
          <w:spacing w:val="-5"/>
        </w:rPr>
        <w:t>одвајају</w:t>
      </w:r>
      <w:r>
        <w:rPr>
          <w:color w:val="231F20"/>
          <w:spacing w:val="-8"/>
        </w:rPr>
        <w:t> </w:t>
      </w:r>
      <w:r>
        <w:rPr>
          <w:color w:val="231F20"/>
          <w:spacing w:val="-5"/>
        </w:rPr>
        <w:t>од</w:t>
      </w:r>
      <w:r>
        <w:rPr>
          <w:color w:val="231F20"/>
          <w:spacing w:val="-8"/>
        </w:rPr>
        <w:t> </w:t>
      </w:r>
      <w:r>
        <w:rPr>
          <w:color w:val="231F20"/>
          <w:spacing w:val="-4"/>
        </w:rPr>
        <w:t>канала</w:t>
      </w:r>
      <w:r>
        <w:rPr>
          <w:color w:val="231F20"/>
          <w:spacing w:val="-8"/>
        </w:rPr>
        <w:t> </w:t>
      </w:r>
      <w:r>
        <w:rPr>
          <w:color w:val="231F20"/>
        </w:rPr>
        <w:t>и</w:t>
      </w:r>
      <w:r>
        <w:rPr>
          <w:color w:val="231F20"/>
          <w:spacing w:val="-8"/>
        </w:rPr>
        <w:t> </w:t>
      </w:r>
      <w:r>
        <w:rPr>
          <w:color w:val="231F20"/>
          <w:spacing w:val="-3"/>
        </w:rPr>
        <w:t>даље</w:t>
      </w:r>
      <w:r>
        <w:rPr>
          <w:color w:val="231F20"/>
          <w:spacing w:val="-8"/>
        </w:rPr>
        <w:t> </w:t>
      </w:r>
      <w:r>
        <w:rPr>
          <w:color w:val="231F20"/>
          <w:spacing w:val="-4"/>
        </w:rPr>
        <w:t>настављају</w:t>
      </w:r>
      <w:r>
        <w:rPr>
          <w:color w:val="231F20"/>
          <w:spacing w:val="-8"/>
        </w:rPr>
        <w:t> </w:t>
      </w:r>
      <w:r>
        <w:rPr>
          <w:color w:val="231F20"/>
        </w:rPr>
        <w:t>по</w:t>
      </w:r>
      <w:r>
        <w:rPr>
          <w:color w:val="231F20"/>
          <w:spacing w:val="-8"/>
        </w:rPr>
        <w:t> </w:t>
      </w:r>
      <w:r>
        <w:rPr>
          <w:color w:val="231F20"/>
          <w:spacing w:val="-4"/>
        </w:rPr>
        <w:t>најкраћем</w:t>
      </w:r>
      <w:r>
        <w:rPr>
          <w:color w:val="231F20"/>
          <w:spacing w:val="-8"/>
        </w:rPr>
        <w:t> </w:t>
      </w:r>
      <w:r>
        <w:rPr>
          <w:color w:val="231F20"/>
          <w:spacing w:val="-4"/>
        </w:rPr>
        <w:t>прилазу</w:t>
      </w:r>
      <w:r>
        <w:rPr>
          <w:color w:val="231F20"/>
          <w:spacing w:val="-8"/>
        </w:rPr>
        <w:t> </w:t>
      </w:r>
      <w:r>
        <w:rPr>
          <w:color w:val="231F20"/>
          <w:spacing w:val="-3"/>
        </w:rPr>
        <w:t>телу </w:t>
      </w:r>
      <w:r>
        <w:rPr>
          <w:color w:val="231F20"/>
          <w:spacing w:val="-4"/>
        </w:rPr>
        <w:t>депоније, </w:t>
      </w:r>
      <w:r>
        <w:rPr>
          <w:color w:val="231F20"/>
          <w:spacing w:val="-3"/>
        </w:rPr>
        <w:t>кроз просеку </w:t>
      </w:r>
      <w:r>
        <w:rPr>
          <w:color w:val="231F20"/>
        </w:rPr>
        <w:t>у </w:t>
      </w:r>
      <w:r>
        <w:rPr>
          <w:color w:val="231F20"/>
          <w:spacing w:val="-4"/>
        </w:rPr>
        <w:t>ветрозаштитном </w:t>
      </w:r>
      <w:r>
        <w:rPr>
          <w:color w:val="231F20"/>
          <w:spacing w:val="-6"/>
        </w:rPr>
        <w:t>шумском</w:t>
      </w:r>
      <w:r>
        <w:rPr>
          <w:color w:val="231F20"/>
          <w:spacing w:val="-32"/>
        </w:rPr>
        <w:t> </w:t>
      </w:r>
      <w:r>
        <w:rPr>
          <w:color w:val="231F20"/>
          <w:spacing w:val="-7"/>
        </w:rPr>
        <w:t>појасу.</w:t>
      </w:r>
    </w:p>
    <w:p>
      <w:pPr>
        <w:pStyle w:val="BodyText"/>
        <w:spacing w:line="232" w:lineRule="auto" w:before="119"/>
        <w:ind w:left="1136" w:right="801" w:hanging="890"/>
        <w:jc w:val="left"/>
        <w:rPr>
          <w:sz w:val="10"/>
        </w:rPr>
      </w:pPr>
      <w:r>
        <w:rPr>
          <w:color w:val="231F20"/>
        </w:rPr>
        <w:t>Табела 6.1: Оријентационе координате тачака на краку 1 и краку 2 пепеловода</w:t>
      </w:r>
      <w:r>
        <w:rPr>
          <w:color w:val="231F20"/>
          <w:position w:val="6"/>
          <w:sz w:val="10"/>
        </w:rPr>
        <w:t>26</w:t>
      </w:r>
    </w:p>
    <w:p>
      <w:pPr>
        <w:pStyle w:val="BodyText"/>
        <w:ind w:left="0"/>
        <w:jc w:val="left"/>
        <w:rPr>
          <w:sz w:val="4"/>
        </w:rPr>
      </w:pPr>
    </w:p>
    <w:tbl>
      <w:tblPr>
        <w:tblW w:w="0" w:type="auto"/>
        <w:jc w:val="left"/>
        <w:tblInd w:w="24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30"/>
        <w:gridCol w:w="851"/>
        <w:gridCol w:w="851"/>
        <w:gridCol w:w="851"/>
        <w:gridCol w:w="851"/>
        <w:gridCol w:w="851"/>
      </w:tblGrid>
      <w:tr>
        <w:trPr>
          <w:trHeight w:val="360" w:hRule="atLeast"/>
        </w:trPr>
        <w:tc>
          <w:tcPr>
            <w:tcW w:w="830" w:type="dxa"/>
          </w:tcPr>
          <w:p>
            <w:pPr>
              <w:pStyle w:val="TableParagraph"/>
              <w:ind w:left="256" w:right="173" w:hanging="53"/>
              <w:jc w:val="left"/>
              <w:rPr>
                <w:sz w:val="14"/>
              </w:rPr>
            </w:pPr>
            <w:r>
              <w:rPr>
                <w:color w:val="231F20"/>
                <w:sz w:val="14"/>
              </w:rPr>
              <w:t>Ознака тачке</w:t>
            </w:r>
          </w:p>
        </w:tc>
        <w:tc>
          <w:tcPr>
            <w:tcW w:w="851" w:type="dxa"/>
          </w:tcPr>
          <w:p>
            <w:pPr>
              <w:pStyle w:val="TableParagraph"/>
              <w:ind w:left="8"/>
              <w:jc w:val="center"/>
              <w:rPr>
                <w:sz w:val="14"/>
              </w:rPr>
            </w:pPr>
            <w:r>
              <w:rPr>
                <w:color w:val="231F20"/>
                <w:sz w:val="14"/>
              </w:rPr>
              <w:t>X</w:t>
            </w:r>
          </w:p>
        </w:tc>
        <w:tc>
          <w:tcPr>
            <w:tcW w:w="851" w:type="dxa"/>
          </w:tcPr>
          <w:p>
            <w:pPr>
              <w:pStyle w:val="TableParagraph"/>
              <w:ind w:left="13"/>
              <w:jc w:val="center"/>
              <w:rPr>
                <w:sz w:val="14"/>
              </w:rPr>
            </w:pPr>
            <w:r>
              <w:rPr>
                <w:color w:val="231F20"/>
                <w:sz w:val="14"/>
              </w:rPr>
              <w:t>Y</w:t>
            </w:r>
          </w:p>
        </w:tc>
        <w:tc>
          <w:tcPr>
            <w:tcW w:w="851" w:type="dxa"/>
          </w:tcPr>
          <w:p>
            <w:pPr>
              <w:pStyle w:val="TableParagraph"/>
              <w:ind w:left="265" w:right="185" w:hanging="53"/>
              <w:jc w:val="left"/>
              <w:rPr>
                <w:sz w:val="14"/>
              </w:rPr>
            </w:pPr>
            <w:r>
              <w:rPr>
                <w:color w:val="231F20"/>
                <w:sz w:val="14"/>
              </w:rPr>
              <w:t>Ознака тачке</w:t>
            </w:r>
          </w:p>
        </w:tc>
        <w:tc>
          <w:tcPr>
            <w:tcW w:w="851" w:type="dxa"/>
          </w:tcPr>
          <w:p>
            <w:pPr>
              <w:pStyle w:val="TableParagraph"/>
              <w:ind w:left="5"/>
              <w:jc w:val="center"/>
              <w:rPr>
                <w:sz w:val="14"/>
              </w:rPr>
            </w:pPr>
            <w:r>
              <w:rPr>
                <w:color w:val="231F20"/>
                <w:sz w:val="14"/>
              </w:rPr>
              <w:t>X</w:t>
            </w:r>
          </w:p>
        </w:tc>
        <w:tc>
          <w:tcPr>
            <w:tcW w:w="851" w:type="dxa"/>
          </w:tcPr>
          <w:p>
            <w:pPr>
              <w:pStyle w:val="TableParagraph"/>
              <w:ind w:left="9"/>
              <w:jc w:val="center"/>
              <w:rPr>
                <w:sz w:val="14"/>
              </w:rPr>
            </w:pPr>
            <w:r>
              <w:rPr>
                <w:color w:val="231F20"/>
                <w:sz w:val="14"/>
              </w:rPr>
              <w:t>Y</w:t>
            </w:r>
          </w:p>
        </w:tc>
      </w:tr>
      <w:tr>
        <w:trPr>
          <w:trHeight w:val="200" w:hRule="atLeast"/>
        </w:trPr>
        <w:tc>
          <w:tcPr>
            <w:tcW w:w="830" w:type="dxa"/>
          </w:tcPr>
          <w:p>
            <w:pPr>
              <w:pStyle w:val="TableParagraph"/>
              <w:ind w:left="56"/>
              <w:jc w:val="left"/>
              <w:rPr>
                <w:sz w:val="14"/>
              </w:rPr>
            </w:pPr>
            <w:r>
              <w:rPr>
                <w:color w:val="231F20"/>
                <w:sz w:val="14"/>
              </w:rPr>
              <w:t>O1.1</w:t>
            </w:r>
          </w:p>
        </w:tc>
        <w:tc>
          <w:tcPr>
            <w:tcW w:w="851" w:type="dxa"/>
          </w:tcPr>
          <w:p>
            <w:pPr>
              <w:pStyle w:val="TableParagraph"/>
              <w:ind w:left="56"/>
              <w:jc w:val="left"/>
              <w:rPr>
                <w:sz w:val="14"/>
              </w:rPr>
            </w:pPr>
            <w:r>
              <w:rPr>
                <w:color w:val="231F20"/>
                <w:sz w:val="14"/>
              </w:rPr>
              <w:t>4 953 281</w:t>
            </w:r>
          </w:p>
        </w:tc>
        <w:tc>
          <w:tcPr>
            <w:tcW w:w="851" w:type="dxa"/>
          </w:tcPr>
          <w:p>
            <w:pPr>
              <w:pStyle w:val="TableParagraph"/>
              <w:ind w:left="55"/>
              <w:jc w:val="left"/>
              <w:rPr>
                <w:sz w:val="14"/>
              </w:rPr>
            </w:pPr>
            <w:r>
              <w:rPr>
                <w:color w:val="231F20"/>
                <w:sz w:val="14"/>
              </w:rPr>
              <w:t>7 51 3955</w:t>
            </w:r>
          </w:p>
        </w:tc>
        <w:tc>
          <w:tcPr>
            <w:tcW w:w="851" w:type="dxa"/>
          </w:tcPr>
          <w:p>
            <w:pPr>
              <w:pStyle w:val="TableParagraph"/>
              <w:ind w:left="55"/>
              <w:jc w:val="left"/>
              <w:rPr>
                <w:sz w:val="14"/>
              </w:rPr>
            </w:pPr>
            <w:r>
              <w:rPr>
                <w:color w:val="231F20"/>
                <w:sz w:val="14"/>
              </w:rPr>
              <w:t>O2.1</w:t>
            </w:r>
          </w:p>
        </w:tc>
        <w:tc>
          <w:tcPr>
            <w:tcW w:w="851" w:type="dxa"/>
          </w:tcPr>
          <w:p>
            <w:pPr>
              <w:pStyle w:val="TableParagraph"/>
              <w:ind w:left="54"/>
              <w:jc w:val="left"/>
              <w:rPr>
                <w:sz w:val="14"/>
              </w:rPr>
            </w:pPr>
            <w:r>
              <w:rPr>
                <w:color w:val="231F20"/>
                <w:sz w:val="14"/>
              </w:rPr>
              <w:t>4 953 196</w:t>
            </w:r>
          </w:p>
        </w:tc>
        <w:tc>
          <w:tcPr>
            <w:tcW w:w="851" w:type="dxa"/>
          </w:tcPr>
          <w:p>
            <w:pPr>
              <w:pStyle w:val="TableParagraph"/>
              <w:ind w:left="53"/>
              <w:jc w:val="left"/>
              <w:rPr>
                <w:sz w:val="14"/>
              </w:rPr>
            </w:pPr>
            <w:r>
              <w:rPr>
                <w:color w:val="231F20"/>
                <w:sz w:val="14"/>
              </w:rPr>
              <w:t>7 514 035</w:t>
            </w:r>
          </w:p>
        </w:tc>
      </w:tr>
      <w:tr>
        <w:trPr>
          <w:trHeight w:val="200" w:hRule="atLeast"/>
        </w:trPr>
        <w:tc>
          <w:tcPr>
            <w:tcW w:w="830" w:type="dxa"/>
          </w:tcPr>
          <w:p>
            <w:pPr>
              <w:pStyle w:val="TableParagraph"/>
              <w:ind w:left="56"/>
              <w:jc w:val="left"/>
              <w:rPr>
                <w:sz w:val="14"/>
              </w:rPr>
            </w:pPr>
            <w:r>
              <w:rPr>
                <w:color w:val="231F20"/>
                <w:sz w:val="14"/>
              </w:rPr>
              <w:t>O1.2</w:t>
            </w:r>
          </w:p>
        </w:tc>
        <w:tc>
          <w:tcPr>
            <w:tcW w:w="851" w:type="dxa"/>
          </w:tcPr>
          <w:p>
            <w:pPr>
              <w:pStyle w:val="TableParagraph"/>
              <w:ind w:left="56"/>
              <w:jc w:val="left"/>
              <w:rPr>
                <w:sz w:val="14"/>
              </w:rPr>
            </w:pPr>
            <w:r>
              <w:rPr>
                <w:color w:val="231F20"/>
                <w:sz w:val="14"/>
              </w:rPr>
              <w:t>4 953 354</w:t>
            </w:r>
          </w:p>
        </w:tc>
        <w:tc>
          <w:tcPr>
            <w:tcW w:w="851" w:type="dxa"/>
          </w:tcPr>
          <w:p>
            <w:pPr>
              <w:pStyle w:val="TableParagraph"/>
              <w:ind w:left="55"/>
              <w:jc w:val="left"/>
              <w:rPr>
                <w:sz w:val="14"/>
              </w:rPr>
            </w:pPr>
            <w:r>
              <w:rPr>
                <w:color w:val="231F20"/>
                <w:sz w:val="14"/>
              </w:rPr>
              <w:t>7 513 987</w:t>
            </w:r>
          </w:p>
        </w:tc>
        <w:tc>
          <w:tcPr>
            <w:tcW w:w="851" w:type="dxa"/>
          </w:tcPr>
          <w:p>
            <w:pPr>
              <w:pStyle w:val="TableParagraph"/>
              <w:ind w:left="55"/>
              <w:jc w:val="left"/>
              <w:rPr>
                <w:sz w:val="14"/>
              </w:rPr>
            </w:pPr>
            <w:r>
              <w:rPr>
                <w:color w:val="231F20"/>
                <w:sz w:val="14"/>
              </w:rPr>
              <w:t>O2.2</w:t>
            </w:r>
          </w:p>
        </w:tc>
        <w:tc>
          <w:tcPr>
            <w:tcW w:w="851" w:type="dxa"/>
          </w:tcPr>
          <w:p>
            <w:pPr>
              <w:pStyle w:val="TableParagraph"/>
              <w:ind w:left="54"/>
              <w:jc w:val="left"/>
              <w:rPr>
                <w:sz w:val="14"/>
              </w:rPr>
            </w:pPr>
            <w:r>
              <w:rPr>
                <w:color w:val="231F20"/>
                <w:sz w:val="14"/>
              </w:rPr>
              <w:t>4 953 315</w:t>
            </w:r>
          </w:p>
        </w:tc>
        <w:tc>
          <w:tcPr>
            <w:tcW w:w="851" w:type="dxa"/>
          </w:tcPr>
          <w:p>
            <w:pPr>
              <w:pStyle w:val="TableParagraph"/>
              <w:ind w:left="53"/>
              <w:jc w:val="left"/>
              <w:rPr>
                <w:sz w:val="14"/>
              </w:rPr>
            </w:pPr>
            <w:r>
              <w:rPr>
                <w:color w:val="231F20"/>
                <w:sz w:val="14"/>
              </w:rPr>
              <w:t>7 514 015</w:t>
            </w:r>
          </w:p>
        </w:tc>
      </w:tr>
      <w:tr>
        <w:trPr>
          <w:trHeight w:val="200" w:hRule="atLeast"/>
        </w:trPr>
        <w:tc>
          <w:tcPr>
            <w:tcW w:w="830" w:type="dxa"/>
          </w:tcPr>
          <w:p>
            <w:pPr>
              <w:pStyle w:val="TableParagraph"/>
              <w:ind w:left="56"/>
              <w:jc w:val="left"/>
              <w:rPr>
                <w:sz w:val="14"/>
              </w:rPr>
            </w:pPr>
            <w:r>
              <w:rPr>
                <w:color w:val="231F20"/>
                <w:sz w:val="14"/>
              </w:rPr>
              <w:t>O1.3</w:t>
            </w:r>
          </w:p>
        </w:tc>
        <w:tc>
          <w:tcPr>
            <w:tcW w:w="851" w:type="dxa"/>
          </w:tcPr>
          <w:p>
            <w:pPr>
              <w:pStyle w:val="TableParagraph"/>
              <w:ind w:left="56"/>
              <w:jc w:val="left"/>
              <w:rPr>
                <w:sz w:val="14"/>
              </w:rPr>
            </w:pPr>
            <w:r>
              <w:rPr>
                <w:color w:val="231F20"/>
                <w:sz w:val="14"/>
              </w:rPr>
              <w:t>4 953 404</w:t>
            </w:r>
          </w:p>
        </w:tc>
        <w:tc>
          <w:tcPr>
            <w:tcW w:w="851" w:type="dxa"/>
          </w:tcPr>
          <w:p>
            <w:pPr>
              <w:pStyle w:val="TableParagraph"/>
              <w:ind w:left="55"/>
              <w:jc w:val="left"/>
              <w:rPr>
                <w:sz w:val="14"/>
              </w:rPr>
            </w:pPr>
            <w:r>
              <w:rPr>
                <w:color w:val="231F20"/>
                <w:sz w:val="14"/>
              </w:rPr>
              <w:t>7 513 963</w:t>
            </w:r>
          </w:p>
        </w:tc>
        <w:tc>
          <w:tcPr>
            <w:tcW w:w="851" w:type="dxa"/>
          </w:tcPr>
          <w:p>
            <w:pPr>
              <w:pStyle w:val="TableParagraph"/>
              <w:ind w:left="54"/>
              <w:jc w:val="left"/>
              <w:rPr>
                <w:sz w:val="14"/>
              </w:rPr>
            </w:pPr>
            <w:r>
              <w:rPr>
                <w:color w:val="231F20"/>
                <w:sz w:val="14"/>
              </w:rPr>
              <w:t>O2.3</w:t>
            </w:r>
          </w:p>
        </w:tc>
        <w:tc>
          <w:tcPr>
            <w:tcW w:w="851" w:type="dxa"/>
          </w:tcPr>
          <w:p>
            <w:pPr>
              <w:pStyle w:val="TableParagraph"/>
              <w:ind w:left="54"/>
              <w:jc w:val="left"/>
              <w:rPr>
                <w:sz w:val="14"/>
              </w:rPr>
            </w:pPr>
            <w:r>
              <w:rPr>
                <w:color w:val="231F20"/>
                <w:sz w:val="14"/>
              </w:rPr>
              <w:t>4 953 354</w:t>
            </w:r>
          </w:p>
        </w:tc>
        <w:tc>
          <w:tcPr>
            <w:tcW w:w="851" w:type="dxa"/>
          </w:tcPr>
          <w:p>
            <w:pPr>
              <w:pStyle w:val="TableParagraph"/>
              <w:ind w:left="53"/>
              <w:jc w:val="left"/>
              <w:rPr>
                <w:sz w:val="14"/>
              </w:rPr>
            </w:pPr>
            <w:r>
              <w:rPr>
                <w:color w:val="231F20"/>
                <w:sz w:val="14"/>
              </w:rPr>
              <w:t>7 513 992</w:t>
            </w:r>
          </w:p>
        </w:tc>
      </w:tr>
      <w:tr>
        <w:trPr>
          <w:trHeight w:val="200" w:hRule="atLeast"/>
        </w:trPr>
        <w:tc>
          <w:tcPr>
            <w:tcW w:w="830" w:type="dxa"/>
          </w:tcPr>
          <w:p>
            <w:pPr>
              <w:pStyle w:val="TableParagraph"/>
              <w:ind w:left="56"/>
              <w:jc w:val="left"/>
              <w:rPr>
                <w:sz w:val="14"/>
              </w:rPr>
            </w:pPr>
            <w:r>
              <w:rPr>
                <w:color w:val="231F20"/>
                <w:sz w:val="14"/>
              </w:rPr>
              <w:t>O1.4</w:t>
            </w:r>
          </w:p>
        </w:tc>
        <w:tc>
          <w:tcPr>
            <w:tcW w:w="851" w:type="dxa"/>
          </w:tcPr>
          <w:p>
            <w:pPr>
              <w:pStyle w:val="TableParagraph"/>
              <w:ind w:left="56"/>
              <w:jc w:val="left"/>
              <w:rPr>
                <w:sz w:val="14"/>
              </w:rPr>
            </w:pPr>
            <w:r>
              <w:rPr>
                <w:color w:val="231F20"/>
                <w:sz w:val="14"/>
              </w:rPr>
              <w:t>4 953 523</w:t>
            </w:r>
          </w:p>
        </w:tc>
        <w:tc>
          <w:tcPr>
            <w:tcW w:w="851" w:type="dxa"/>
          </w:tcPr>
          <w:p>
            <w:pPr>
              <w:pStyle w:val="TableParagraph"/>
              <w:ind w:left="55"/>
              <w:jc w:val="left"/>
              <w:rPr>
                <w:sz w:val="14"/>
              </w:rPr>
            </w:pPr>
            <w:r>
              <w:rPr>
                <w:color w:val="231F20"/>
                <w:sz w:val="14"/>
              </w:rPr>
              <w:t>7 513 895</w:t>
            </w:r>
          </w:p>
        </w:tc>
        <w:tc>
          <w:tcPr>
            <w:tcW w:w="851" w:type="dxa"/>
          </w:tcPr>
          <w:p>
            <w:pPr>
              <w:pStyle w:val="TableParagraph"/>
              <w:ind w:left="54"/>
              <w:jc w:val="left"/>
              <w:rPr>
                <w:sz w:val="14"/>
              </w:rPr>
            </w:pPr>
            <w:r>
              <w:rPr>
                <w:color w:val="231F20"/>
                <w:sz w:val="14"/>
              </w:rPr>
              <w:t>O2.4</w:t>
            </w:r>
          </w:p>
        </w:tc>
        <w:tc>
          <w:tcPr>
            <w:tcW w:w="851" w:type="dxa"/>
          </w:tcPr>
          <w:p>
            <w:pPr>
              <w:pStyle w:val="TableParagraph"/>
              <w:ind w:left="54"/>
              <w:jc w:val="left"/>
              <w:rPr>
                <w:sz w:val="14"/>
              </w:rPr>
            </w:pPr>
            <w:r>
              <w:rPr>
                <w:color w:val="231F20"/>
                <w:sz w:val="14"/>
              </w:rPr>
              <w:t>4 953 379</w:t>
            </w:r>
          </w:p>
        </w:tc>
        <w:tc>
          <w:tcPr>
            <w:tcW w:w="851" w:type="dxa"/>
          </w:tcPr>
          <w:p>
            <w:pPr>
              <w:pStyle w:val="TableParagraph"/>
              <w:ind w:left="53"/>
              <w:jc w:val="left"/>
              <w:rPr>
                <w:sz w:val="14"/>
              </w:rPr>
            </w:pPr>
            <w:r>
              <w:rPr>
                <w:color w:val="231F20"/>
                <w:sz w:val="14"/>
              </w:rPr>
              <w:t>7 513 978</w:t>
            </w:r>
          </w:p>
        </w:tc>
      </w:tr>
      <w:tr>
        <w:trPr>
          <w:trHeight w:val="200" w:hRule="atLeast"/>
        </w:trPr>
        <w:tc>
          <w:tcPr>
            <w:tcW w:w="830" w:type="dxa"/>
          </w:tcPr>
          <w:p>
            <w:pPr>
              <w:pStyle w:val="TableParagraph"/>
              <w:ind w:left="56"/>
              <w:jc w:val="left"/>
              <w:rPr>
                <w:sz w:val="14"/>
              </w:rPr>
            </w:pPr>
            <w:r>
              <w:rPr>
                <w:color w:val="231F20"/>
                <w:sz w:val="14"/>
              </w:rPr>
              <w:t>O1.5</w:t>
            </w:r>
          </w:p>
        </w:tc>
        <w:tc>
          <w:tcPr>
            <w:tcW w:w="851" w:type="dxa"/>
          </w:tcPr>
          <w:p>
            <w:pPr>
              <w:pStyle w:val="TableParagraph"/>
              <w:ind w:left="55"/>
              <w:jc w:val="left"/>
              <w:rPr>
                <w:sz w:val="14"/>
              </w:rPr>
            </w:pPr>
            <w:r>
              <w:rPr>
                <w:color w:val="231F20"/>
                <w:sz w:val="14"/>
              </w:rPr>
              <w:t>4 954 039</w:t>
            </w:r>
          </w:p>
        </w:tc>
        <w:tc>
          <w:tcPr>
            <w:tcW w:w="851" w:type="dxa"/>
          </w:tcPr>
          <w:p>
            <w:pPr>
              <w:pStyle w:val="TableParagraph"/>
              <w:ind w:left="55"/>
              <w:jc w:val="left"/>
              <w:rPr>
                <w:sz w:val="14"/>
              </w:rPr>
            </w:pPr>
            <w:r>
              <w:rPr>
                <w:color w:val="231F20"/>
                <w:sz w:val="14"/>
              </w:rPr>
              <w:t>7 513 852</w:t>
            </w:r>
          </w:p>
        </w:tc>
        <w:tc>
          <w:tcPr>
            <w:tcW w:w="851" w:type="dxa"/>
          </w:tcPr>
          <w:p>
            <w:pPr>
              <w:pStyle w:val="TableParagraph"/>
              <w:ind w:left="54"/>
              <w:jc w:val="left"/>
              <w:rPr>
                <w:sz w:val="14"/>
              </w:rPr>
            </w:pPr>
            <w:r>
              <w:rPr>
                <w:color w:val="231F20"/>
                <w:sz w:val="14"/>
              </w:rPr>
              <w:t>O2.5</w:t>
            </w:r>
          </w:p>
        </w:tc>
        <w:tc>
          <w:tcPr>
            <w:tcW w:w="851" w:type="dxa"/>
          </w:tcPr>
          <w:p>
            <w:pPr>
              <w:pStyle w:val="TableParagraph"/>
              <w:ind w:left="54"/>
              <w:jc w:val="left"/>
              <w:rPr>
                <w:sz w:val="14"/>
              </w:rPr>
            </w:pPr>
            <w:r>
              <w:rPr>
                <w:color w:val="231F20"/>
                <w:sz w:val="14"/>
              </w:rPr>
              <w:t>4 953 389</w:t>
            </w:r>
          </w:p>
        </w:tc>
        <w:tc>
          <w:tcPr>
            <w:tcW w:w="851" w:type="dxa"/>
          </w:tcPr>
          <w:p>
            <w:pPr>
              <w:pStyle w:val="TableParagraph"/>
              <w:ind w:left="53"/>
              <w:jc w:val="left"/>
              <w:rPr>
                <w:sz w:val="14"/>
              </w:rPr>
            </w:pPr>
            <w:r>
              <w:rPr>
                <w:color w:val="231F20"/>
                <w:sz w:val="14"/>
              </w:rPr>
              <w:t>7 513 982</w:t>
            </w:r>
          </w:p>
        </w:tc>
      </w:tr>
      <w:tr>
        <w:trPr>
          <w:trHeight w:val="200" w:hRule="atLeast"/>
        </w:trPr>
        <w:tc>
          <w:tcPr>
            <w:tcW w:w="830" w:type="dxa"/>
          </w:tcPr>
          <w:p>
            <w:pPr>
              <w:pStyle w:val="TableParagraph"/>
              <w:ind w:left="56"/>
              <w:jc w:val="left"/>
              <w:rPr>
                <w:sz w:val="14"/>
              </w:rPr>
            </w:pPr>
            <w:r>
              <w:rPr>
                <w:color w:val="231F20"/>
                <w:sz w:val="14"/>
              </w:rPr>
              <w:t>O1.6</w:t>
            </w:r>
          </w:p>
        </w:tc>
        <w:tc>
          <w:tcPr>
            <w:tcW w:w="851" w:type="dxa"/>
          </w:tcPr>
          <w:p>
            <w:pPr>
              <w:pStyle w:val="TableParagraph"/>
              <w:ind w:left="55"/>
              <w:jc w:val="left"/>
              <w:rPr>
                <w:sz w:val="14"/>
              </w:rPr>
            </w:pPr>
            <w:r>
              <w:rPr>
                <w:color w:val="231F20"/>
                <w:sz w:val="14"/>
              </w:rPr>
              <w:t>4 954 104</w:t>
            </w:r>
          </w:p>
        </w:tc>
        <w:tc>
          <w:tcPr>
            <w:tcW w:w="851" w:type="dxa"/>
          </w:tcPr>
          <w:p>
            <w:pPr>
              <w:pStyle w:val="TableParagraph"/>
              <w:ind w:left="55"/>
              <w:jc w:val="left"/>
              <w:rPr>
                <w:sz w:val="14"/>
              </w:rPr>
            </w:pPr>
            <w:r>
              <w:rPr>
                <w:color w:val="231F20"/>
                <w:sz w:val="14"/>
              </w:rPr>
              <w:t>7 513 847</w:t>
            </w:r>
          </w:p>
        </w:tc>
        <w:tc>
          <w:tcPr>
            <w:tcW w:w="851" w:type="dxa"/>
          </w:tcPr>
          <w:p>
            <w:pPr>
              <w:pStyle w:val="TableParagraph"/>
              <w:ind w:left="54"/>
              <w:jc w:val="left"/>
              <w:rPr>
                <w:sz w:val="14"/>
              </w:rPr>
            </w:pPr>
            <w:r>
              <w:rPr>
                <w:color w:val="231F20"/>
                <w:sz w:val="14"/>
              </w:rPr>
              <w:t>O2.6</w:t>
            </w:r>
          </w:p>
        </w:tc>
        <w:tc>
          <w:tcPr>
            <w:tcW w:w="851" w:type="dxa"/>
          </w:tcPr>
          <w:p>
            <w:pPr>
              <w:pStyle w:val="TableParagraph"/>
              <w:ind w:left="53"/>
              <w:jc w:val="left"/>
              <w:rPr>
                <w:sz w:val="14"/>
              </w:rPr>
            </w:pPr>
            <w:r>
              <w:rPr>
                <w:color w:val="231F20"/>
                <w:sz w:val="14"/>
              </w:rPr>
              <w:t>4 953 459</w:t>
            </w:r>
          </w:p>
        </w:tc>
        <w:tc>
          <w:tcPr>
            <w:tcW w:w="851" w:type="dxa"/>
          </w:tcPr>
          <w:p>
            <w:pPr>
              <w:pStyle w:val="TableParagraph"/>
              <w:ind w:left="53"/>
              <w:jc w:val="left"/>
              <w:rPr>
                <w:sz w:val="14"/>
              </w:rPr>
            </w:pPr>
            <w:r>
              <w:rPr>
                <w:color w:val="231F20"/>
                <w:sz w:val="14"/>
              </w:rPr>
              <w:t>7 513 945</w:t>
            </w:r>
          </w:p>
        </w:tc>
      </w:tr>
      <w:tr>
        <w:trPr>
          <w:trHeight w:val="200" w:hRule="atLeast"/>
        </w:trPr>
        <w:tc>
          <w:tcPr>
            <w:tcW w:w="830" w:type="dxa"/>
          </w:tcPr>
          <w:p>
            <w:pPr>
              <w:pStyle w:val="TableParagraph"/>
              <w:ind w:left="55"/>
              <w:jc w:val="left"/>
              <w:rPr>
                <w:sz w:val="14"/>
              </w:rPr>
            </w:pPr>
            <w:r>
              <w:rPr>
                <w:color w:val="231F20"/>
                <w:sz w:val="14"/>
              </w:rPr>
              <w:t>O1.7</w:t>
            </w:r>
          </w:p>
        </w:tc>
        <w:tc>
          <w:tcPr>
            <w:tcW w:w="851" w:type="dxa"/>
          </w:tcPr>
          <w:p>
            <w:pPr>
              <w:pStyle w:val="TableParagraph"/>
              <w:ind w:left="55"/>
              <w:jc w:val="left"/>
              <w:rPr>
                <w:sz w:val="14"/>
              </w:rPr>
            </w:pPr>
            <w:r>
              <w:rPr>
                <w:color w:val="231F20"/>
                <w:sz w:val="14"/>
              </w:rPr>
              <w:t>4 954 222</w:t>
            </w:r>
          </w:p>
        </w:tc>
        <w:tc>
          <w:tcPr>
            <w:tcW w:w="851" w:type="dxa"/>
          </w:tcPr>
          <w:p>
            <w:pPr>
              <w:pStyle w:val="TableParagraph"/>
              <w:ind w:left="55"/>
              <w:jc w:val="left"/>
              <w:rPr>
                <w:sz w:val="14"/>
              </w:rPr>
            </w:pPr>
            <w:r>
              <w:rPr>
                <w:color w:val="231F20"/>
                <w:sz w:val="14"/>
              </w:rPr>
              <w:t>7 513 836</w:t>
            </w:r>
          </w:p>
        </w:tc>
        <w:tc>
          <w:tcPr>
            <w:tcW w:w="851" w:type="dxa"/>
          </w:tcPr>
          <w:p>
            <w:pPr>
              <w:pStyle w:val="TableParagraph"/>
              <w:ind w:left="54"/>
              <w:jc w:val="left"/>
              <w:rPr>
                <w:sz w:val="14"/>
              </w:rPr>
            </w:pPr>
            <w:r>
              <w:rPr>
                <w:color w:val="231F20"/>
                <w:sz w:val="14"/>
              </w:rPr>
              <w:t>O2.7</w:t>
            </w:r>
          </w:p>
        </w:tc>
        <w:tc>
          <w:tcPr>
            <w:tcW w:w="851" w:type="dxa"/>
          </w:tcPr>
          <w:p>
            <w:pPr>
              <w:pStyle w:val="TableParagraph"/>
              <w:ind w:left="53"/>
              <w:jc w:val="left"/>
              <w:rPr>
                <w:sz w:val="14"/>
              </w:rPr>
            </w:pPr>
            <w:r>
              <w:rPr>
                <w:color w:val="231F20"/>
                <w:sz w:val="14"/>
              </w:rPr>
              <w:t>4953 499</w:t>
            </w:r>
          </w:p>
        </w:tc>
        <w:tc>
          <w:tcPr>
            <w:tcW w:w="851" w:type="dxa"/>
          </w:tcPr>
          <w:p>
            <w:pPr>
              <w:pStyle w:val="TableParagraph"/>
              <w:ind w:left="53"/>
              <w:jc w:val="left"/>
              <w:rPr>
                <w:sz w:val="14"/>
              </w:rPr>
            </w:pPr>
            <w:r>
              <w:rPr>
                <w:color w:val="231F20"/>
                <w:sz w:val="14"/>
              </w:rPr>
              <w:t>7 513 946</w:t>
            </w:r>
          </w:p>
        </w:tc>
      </w:tr>
      <w:tr>
        <w:trPr>
          <w:trHeight w:val="200" w:hRule="atLeast"/>
        </w:trPr>
        <w:tc>
          <w:tcPr>
            <w:tcW w:w="830" w:type="dxa"/>
          </w:tcPr>
          <w:p>
            <w:pPr>
              <w:pStyle w:val="TableParagraph"/>
              <w:spacing w:before="17"/>
              <w:ind w:left="55"/>
              <w:jc w:val="left"/>
              <w:rPr>
                <w:sz w:val="14"/>
              </w:rPr>
            </w:pPr>
            <w:r>
              <w:rPr>
                <w:color w:val="231F20"/>
                <w:sz w:val="14"/>
              </w:rPr>
              <w:t>O1.8</w:t>
            </w:r>
          </w:p>
        </w:tc>
        <w:tc>
          <w:tcPr>
            <w:tcW w:w="851" w:type="dxa"/>
          </w:tcPr>
          <w:p>
            <w:pPr>
              <w:pStyle w:val="TableParagraph"/>
              <w:spacing w:before="17"/>
              <w:ind w:left="55"/>
              <w:jc w:val="left"/>
              <w:rPr>
                <w:sz w:val="14"/>
              </w:rPr>
            </w:pPr>
            <w:r>
              <w:rPr>
                <w:color w:val="231F20"/>
                <w:sz w:val="14"/>
              </w:rPr>
              <w:t>4 954 340</w:t>
            </w:r>
          </w:p>
        </w:tc>
        <w:tc>
          <w:tcPr>
            <w:tcW w:w="851" w:type="dxa"/>
          </w:tcPr>
          <w:p>
            <w:pPr>
              <w:pStyle w:val="TableParagraph"/>
              <w:spacing w:before="17"/>
              <w:ind w:left="54"/>
              <w:jc w:val="left"/>
              <w:rPr>
                <w:sz w:val="14"/>
              </w:rPr>
            </w:pPr>
            <w:r>
              <w:rPr>
                <w:color w:val="231F20"/>
                <w:sz w:val="14"/>
              </w:rPr>
              <w:t>7 513 826</w:t>
            </w:r>
          </w:p>
        </w:tc>
        <w:tc>
          <w:tcPr>
            <w:tcW w:w="851" w:type="dxa"/>
          </w:tcPr>
          <w:p>
            <w:pPr>
              <w:pStyle w:val="TableParagraph"/>
              <w:spacing w:before="17"/>
              <w:ind w:left="54"/>
              <w:jc w:val="left"/>
              <w:rPr>
                <w:sz w:val="14"/>
              </w:rPr>
            </w:pPr>
            <w:r>
              <w:rPr>
                <w:color w:val="231F20"/>
                <w:sz w:val="14"/>
              </w:rPr>
              <w:t>O2.8</w:t>
            </w:r>
          </w:p>
        </w:tc>
        <w:tc>
          <w:tcPr>
            <w:tcW w:w="851" w:type="dxa"/>
          </w:tcPr>
          <w:p>
            <w:pPr>
              <w:pStyle w:val="TableParagraph"/>
              <w:spacing w:before="17"/>
              <w:ind w:left="53"/>
              <w:jc w:val="left"/>
              <w:rPr>
                <w:sz w:val="14"/>
              </w:rPr>
            </w:pPr>
            <w:r>
              <w:rPr>
                <w:color w:val="231F20"/>
                <w:sz w:val="14"/>
              </w:rPr>
              <w:t>4 953532</w:t>
            </w:r>
          </w:p>
        </w:tc>
        <w:tc>
          <w:tcPr>
            <w:tcW w:w="851" w:type="dxa"/>
          </w:tcPr>
          <w:p>
            <w:pPr>
              <w:pStyle w:val="TableParagraph"/>
              <w:spacing w:before="17"/>
              <w:ind w:left="52"/>
              <w:jc w:val="left"/>
              <w:rPr>
                <w:sz w:val="14"/>
              </w:rPr>
            </w:pPr>
            <w:r>
              <w:rPr>
                <w:color w:val="231F20"/>
                <w:sz w:val="14"/>
              </w:rPr>
              <w:t>7 513 934</w:t>
            </w:r>
          </w:p>
        </w:tc>
      </w:tr>
      <w:tr>
        <w:trPr>
          <w:trHeight w:val="200" w:hRule="atLeast"/>
        </w:trPr>
        <w:tc>
          <w:tcPr>
            <w:tcW w:w="830" w:type="dxa"/>
          </w:tcPr>
          <w:p>
            <w:pPr>
              <w:pStyle w:val="TableParagraph"/>
              <w:spacing w:before="17"/>
              <w:ind w:left="55"/>
              <w:jc w:val="left"/>
              <w:rPr>
                <w:sz w:val="14"/>
              </w:rPr>
            </w:pPr>
            <w:r>
              <w:rPr>
                <w:color w:val="231F20"/>
                <w:sz w:val="14"/>
              </w:rPr>
              <w:t>O1.9</w:t>
            </w:r>
          </w:p>
        </w:tc>
        <w:tc>
          <w:tcPr>
            <w:tcW w:w="851" w:type="dxa"/>
          </w:tcPr>
          <w:p>
            <w:pPr>
              <w:pStyle w:val="TableParagraph"/>
              <w:spacing w:before="17"/>
              <w:ind w:left="55"/>
              <w:jc w:val="left"/>
              <w:rPr>
                <w:sz w:val="14"/>
              </w:rPr>
            </w:pPr>
            <w:r>
              <w:rPr>
                <w:color w:val="231F20"/>
                <w:sz w:val="14"/>
              </w:rPr>
              <w:t>4 954 494</w:t>
            </w:r>
          </w:p>
        </w:tc>
        <w:tc>
          <w:tcPr>
            <w:tcW w:w="851" w:type="dxa"/>
          </w:tcPr>
          <w:p>
            <w:pPr>
              <w:pStyle w:val="TableParagraph"/>
              <w:spacing w:before="17"/>
              <w:ind w:left="54"/>
              <w:jc w:val="left"/>
              <w:rPr>
                <w:sz w:val="14"/>
              </w:rPr>
            </w:pPr>
            <w:r>
              <w:rPr>
                <w:color w:val="231F20"/>
                <w:sz w:val="14"/>
              </w:rPr>
              <w:t>7 513 807</w:t>
            </w:r>
          </w:p>
        </w:tc>
        <w:tc>
          <w:tcPr>
            <w:tcW w:w="851" w:type="dxa"/>
          </w:tcPr>
          <w:p>
            <w:pPr>
              <w:pStyle w:val="TableParagraph"/>
              <w:spacing w:before="17"/>
              <w:ind w:left="54"/>
              <w:jc w:val="left"/>
              <w:rPr>
                <w:sz w:val="14"/>
              </w:rPr>
            </w:pPr>
            <w:r>
              <w:rPr>
                <w:color w:val="231F20"/>
                <w:sz w:val="14"/>
              </w:rPr>
              <w:t>O2.9</w:t>
            </w:r>
          </w:p>
        </w:tc>
        <w:tc>
          <w:tcPr>
            <w:tcW w:w="851" w:type="dxa"/>
          </w:tcPr>
          <w:p>
            <w:pPr>
              <w:pStyle w:val="TableParagraph"/>
              <w:spacing w:before="17"/>
              <w:ind w:left="53"/>
              <w:jc w:val="left"/>
              <w:rPr>
                <w:sz w:val="14"/>
              </w:rPr>
            </w:pPr>
            <w:r>
              <w:rPr>
                <w:color w:val="231F20"/>
                <w:sz w:val="14"/>
              </w:rPr>
              <w:t>4 954 196</w:t>
            </w:r>
          </w:p>
        </w:tc>
        <w:tc>
          <w:tcPr>
            <w:tcW w:w="851" w:type="dxa"/>
          </w:tcPr>
          <w:p>
            <w:pPr>
              <w:pStyle w:val="TableParagraph"/>
              <w:spacing w:before="17"/>
              <w:ind w:left="52"/>
              <w:jc w:val="left"/>
              <w:rPr>
                <w:sz w:val="14"/>
              </w:rPr>
            </w:pPr>
            <w:r>
              <w:rPr>
                <w:color w:val="231F20"/>
                <w:sz w:val="14"/>
              </w:rPr>
              <w:t>7 513 893</w:t>
            </w:r>
          </w:p>
        </w:tc>
      </w:tr>
      <w:tr>
        <w:trPr>
          <w:trHeight w:val="200" w:hRule="atLeast"/>
        </w:trPr>
        <w:tc>
          <w:tcPr>
            <w:tcW w:w="830" w:type="dxa"/>
          </w:tcPr>
          <w:p>
            <w:pPr>
              <w:pStyle w:val="TableParagraph"/>
              <w:spacing w:before="17"/>
              <w:ind w:left="55"/>
              <w:jc w:val="left"/>
              <w:rPr>
                <w:sz w:val="14"/>
              </w:rPr>
            </w:pPr>
            <w:r>
              <w:rPr>
                <w:color w:val="231F20"/>
                <w:sz w:val="14"/>
              </w:rPr>
              <w:t>O1.10</w:t>
            </w:r>
          </w:p>
        </w:tc>
        <w:tc>
          <w:tcPr>
            <w:tcW w:w="851" w:type="dxa"/>
          </w:tcPr>
          <w:p>
            <w:pPr>
              <w:pStyle w:val="TableParagraph"/>
              <w:spacing w:before="17"/>
              <w:ind w:left="55"/>
              <w:jc w:val="left"/>
              <w:rPr>
                <w:sz w:val="14"/>
              </w:rPr>
            </w:pPr>
            <w:r>
              <w:rPr>
                <w:color w:val="231F20"/>
                <w:sz w:val="14"/>
              </w:rPr>
              <w:t>4 954 497</w:t>
            </w:r>
          </w:p>
        </w:tc>
        <w:tc>
          <w:tcPr>
            <w:tcW w:w="851" w:type="dxa"/>
          </w:tcPr>
          <w:p>
            <w:pPr>
              <w:pStyle w:val="TableParagraph"/>
              <w:spacing w:before="17"/>
              <w:ind w:left="54"/>
              <w:jc w:val="left"/>
              <w:rPr>
                <w:sz w:val="14"/>
              </w:rPr>
            </w:pPr>
            <w:r>
              <w:rPr>
                <w:color w:val="231F20"/>
                <w:sz w:val="14"/>
              </w:rPr>
              <w:t>7 513 807</w:t>
            </w:r>
          </w:p>
        </w:tc>
        <w:tc>
          <w:tcPr>
            <w:tcW w:w="851" w:type="dxa"/>
          </w:tcPr>
          <w:p>
            <w:pPr>
              <w:pStyle w:val="TableParagraph"/>
              <w:spacing w:before="17"/>
              <w:ind w:left="53"/>
              <w:jc w:val="left"/>
              <w:rPr>
                <w:sz w:val="14"/>
              </w:rPr>
            </w:pPr>
            <w:r>
              <w:rPr>
                <w:color w:val="231F20"/>
                <w:sz w:val="14"/>
              </w:rPr>
              <w:t>O2.10</w:t>
            </w:r>
          </w:p>
        </w:tc>
        <w:tc>
          <w:tcPr>
            <w:tcW w:w="851" w:type="dxa"/>
          </w:tcPr>
          <w:p>
            <w:pPr>
              <w:pStyle w:val="TableParagraph"/>
              <w:spacing w:before="17"/>
              <w:ind w:left="53"/>
              <w:jc w:val="left"/>
              <w:rPr>
                <w:sz w:val="14"/>
              </w:rPr>
            </w:pPr>
            <w:r>
              <w:rPr>
                <w:color w:val="231F20"/>
                <w:sz w:val="14"/>
              </w:rPr>
              <w:t>4 954 440</w:t>
            </w:r>
          </w:p>
        </w:tc>
        <w:tc>
          <w:tcPr>
            <w:tcW w:w="851" w:type="dxa"/>
          </w:tcPr>
          <w:p>
            <w:pPr>
              <w:pStyle w:val="TableParagraph"/>
              <w:spacing w:before="17"/>
              <w:ind w:left="52"/>
              <w:jc w:val="left"/>
              <w:rPr>
                <w:sz w:val="14"/>
              </w:rPr>
            </w:pPr>
            <w:r>
              <w:rPr>
                <w:color w:val="231F20"/>
                <w:sz w:val="14"/>
              </w:rPr>
              <w:t>7514 003</w:t>
            </w:r>
          </w:p>
        </w:tc>
      </w:tr>
      <w:tr>
        <w:trPr>
          <w:trHeight w:val="200" w:hRule="atLeast"/>
        </w:trPr>
        <w:tc>
          <w:tcPr>
            <w:tcW w:w="830" w:type="dxa"/>
          </w:tcPr>
          <w:p>
            <w:pPr>
              <w:pStyle w:val="TableParagraph"/>
              <w:spacing w:before="0"/>
              <w:jc w:val="left"/>
              <w:rPr>
                <w:sz w:val="12"/>
              </w:rPr>
            </w:pPr>
          </w:p>
        </w:tc>
        <w:tc>
          <w:tcPr>
            <w:tcW w:w="851" w:type="dxa"/>
          </w:tcPr>
          <w:p>
            <w:pPr>
              <w:pStyle w:val="TableParagraph"/>
              <w:spacing w:before="0"/>
              <w:jc w:val="left"/>
              <w:rPr>
                <w:sz w:val="12"/>
              </w:rPr>
            </w:pPr>
          </w:p>
        </w:tc>
        <w:tc>
          <w:tcPr>
            <w:tcW w:w="851" w:type="dxa"/>
          </w:tcPr>
          <w:p>
            <w:pPr>
              <w:pStyle w:val="TableParagraph"/>
              <w:spacing w:before="0"/>
              <w:jc w:val="left"/>
              <w:rPr>
                <w:sz w:val="12"/>
              </w:rPr>
            </w:pPr>
          </w:p>
        </w:tc>
        <w:tc>
          <w:tcPr>
            <w:tcW w:w="851" w:type="dxa"/>
          </w:tcPr>
          <w:p>
            <w:pPr>
              <w:pStyle w:val="TableParagraph"/>
              <w:spacing w:before="17"/>
              <w:ind w:left="53"/>
              <w:jc w:val="left"/>
              <w:rPr>
                <w:sz w:val="14"/>
              </w:rPr>
            </w:pPr>
            <w:r>
              <w:rPr>
                <w:color w:val="231F20"/>
                <w:sz w:val="14"/>
              </w:rPr>
              <w:t>O.2.11</w:t>
            </w:r>
          </w:p>
        </w:tc>
        <w:tc>
          <w:tcPr>
            <w:tcW w:w="851" w:type="dxa"/>
          </w:tcPr>
          <w:p>
            <w:pPr>
              <w:pStyle w:val="TableParagraph"/>
              <w:spacing w:before="17"/>
              <w:ind w:left="53"/>
              <w:jc w:val="left"/>
              <w:rPr>
                <w:sz w:val="14"/>
              </w:rPr>
            </w:pPr>
            <w:r>
              <w:rPr>
                <w:color w:val="231F20"/>
                <w:sz w:val="14"/>
              </w:rPr>
              <w:t>4 954 444</w:t>
            </w:r>
          </w:p>
        </w:tc>
        <w:tc>
          <w:tcPr>
            <w:tcW w:w="851" w:type="dxa"/>
          </w:tcPr>
          <w:p>
            <w:pPr>
              <w:pStyle w:val="TableParagraph"/>
              <w:spacing w:before="17"/>
              <w:ind w:left="52"/>
              <w:jc w:val="left"/>
              <w:rPr>
                <w:sz w:val="14"/>
              </w:rPr>
            </w:pPr>
            <w:r>
              <w:rPr>
                <w:color w:val="231F20"/>
                <w:sz w:val="14"/>
              </w:rPr>
              <w:t>7514 005</w:t>
            </w:r>
          </w:p>
        </w:tc>
      </w:tr>
    </w:tbl>
    <w:p>
      <w:pPr>
        <w:spacing w:line="161" w:lineRule="exact" w:before="30"/>
        <w:ind w:left="240"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525" w:val="left" w:leader="none"/>
        </w:tabs>
        <w:spacing w:line="240" w:lineRule="auto" w:before="0" w:after="0"/>
        <w:ind w:left="524" w:right="0" w:hanging="284"/>
        <w:jc w:val="left"/>
        <w:rPr>
          <w:sz w:val="14"/>
        </w:rPr>
      </w:pPr>
      <w:r>
        <w:rPr>
          <w:color w:val="231F20"/>
          <w:sz w:val="14"/>
        </w:rPr>
        <w:t>Координате дате у Просторном плану су оријентационе и захтевају</w:t>
      </w:r>
      <w:r>
        <w:rPr>
          <w:color w:val="231F20"/>
          <w:spacing w:val="-23"/>
          <w:sz w:val="14"/>
        </w:rPr>
        <w:t> </w:t>
      </w:r>
      <w:r>
        <w:rPr>
          <w:color w:val="231F20"/>
          <w:sz w:val="14"/>
        </w:rPr>
        <w:t>проверу</w:t>
      </w:r>
    </w:p>
    <w:p>
      <w:pPr>
        <w:spacing w:after="0" w:line="240" w:lineRule="auto"/>
        <w:jc w:val="left"/>
        <w:rPr>
          <w:sz w:val="14"/>
        </w:rPr>
        <w:sectPr>
          <w:pgSz w:w="12480" w:h="15690"/>
          <w:pgMar w:top="120" w:bottom="280" w:left="680" w:right="720"/>
          <w:cols w:num="2" w:equalWidth="0">
            <w:col w:w="5558" w:space="40"/>
            <w:col w:w="5482"/>
          </w:cols>
        </w:sectPr>
      </w:pPr>
    </w:p>
    <w:p>
      <w:pPr>
        <w:pStyle w:val="BodyText"/>
        <w:spacing w:line="232" w:lineRule="auto" w:before="73"/>
        <w:ind w:right="41" w:firstLine="397"/>
      </w:pPr>
      <w:r>
        <w:rPr/>
        <w:pict>
          <v:line style="position:absolute;mso-position-horizontal-relative:page;mso-position-vertical-relative:page;z-index:4408" from="304.724396pt,11.942451pt" to="304.724396pt,748.950451pt" stroked="true" strokeweight=".6pt" strokecolor="#231f20">
            <v:stroke dashstyle="solid"/>
            <w10:wrap type="none"/>
          </v:line>
        </w:pict>
      </w:r>
      <w:r>
        <w:rPr>
          <w:color w:val="231F20"/>
        </w:rPr>
        <w:t>Цевовод се завршава слободним истакањем на самом уласку магистралног цевовода на депонију. Систем неповратних клапни спречава улаз хидромешавине у цевовод који није у раду.</w:t>
      </w:r>
    </w:p>
    <w:p>
      <w:pPr>
        <w:pStyle w:val="BodyText"/>
        <w:spacing w:line="225" w:lineRule="auto"/>
        <w:ind w:left="169" w:right="40" w:firstLine="397"/>
      </w:pPr>
      <w:r>
        <w:rPr>
          <w:color w:val="231F20"/>
        </w:rPr>
        <w:t>Развод</w:t>
      </w:r>
      <w:r>
        <w:rPr>
          <w:color w:val="231F20"/>
          <w:spacing w:val="-4"/>
        </w:rPr>
        <w:t> </w:t>
      </w:r>
      <w:r>
        <w:rPr>
          <w:color w:val="231F20"/>
        </w:rPr>
        <w:t>по</w:t>
      </w:r>
      <w:r>
        <w:rPr>
          <w:color w:val="231F20"/>
          <w:spacing w:val="-4"/>
        </w:rPr>
        <w:t> </w:t>
      </w:r>
      <w:r>
        <w:rPr>
          <w:color w:val="231F20"/>
        </w:rPr>
        <w:t>ободу</w:t>
      </w:r>
      <w:r>
        <w:rPr>
          <w:color w:val="231F20"/>
          <w:spacing w:val="-4"/>
        </w:rPr>
        <w:t> </w:t>
      </w:r>
      <w:r>
        <w:rPr>
          <w:color w:val="231F20"/>
        </w:rPr>
        <w:t>депоније</w:t>
      </w:r>
      <w:r>
        <w:rPr>
          <w:color w:val="231F20"/>
          <w:spacing w:val="-4"/>
        </w:rPr>
        <w:t> </w:t>
      </w:r>
      <w:r>
        <w:rPr>
          <w:color w:val="231F20"/>
        </w:rPr>
        <w:t>врши</w:t>
      </w:r>
      <w:r>
        <w:rPr>
          <w:color w:val="231F20"/>
          <w:spacing w:val="-4"/>
        </w:rPr>
        <w:t> </w:t>
      </w:r>
      <w:r>
        <w:rPr>
          <w:color w:val="231F20"/>
        </w:rPr>
        <w:t>се</w:t>
      </w:r>
      <w:r>
        <w:rPr>
          <w:color w:val="231F20"/>
          <w:spacing w:val="-4"/>
        </w:rPr>
        <w:t> </w:t>
      </w:r>
      <w:r>
        <w:rPr>
          <w:color w:val="231F20"/>
        </w:rPr>
        <w:t>помоћу</w:t>
      </w:r>
      <w:r>
        <w:rPr>
          <w:color w:val="231F20"/>
          <w:spacing w:val="-4"/>
        </w:rPr>
        <w:t> </w:t>
      </w:r>
      <w:r>
        <w:rPr>
          <w:color w:val="231F20"/>
        </w:rPr>
        <w:t>два</w:t>
      </w:r>
      <w:r>
        <w:rPr>
          <w:color w:val="231F20"/>
          <w:spacing w:val="-4"/>
        </w:rPr>
        <w:t> </w:t>
      </w:r>
      <w:r>
        <w:rPr>
          <w:color w:val="231F20"/>
        </w:rPr>
        <w:t>крака</w:t>
      </w:r>
      <w:r>
        <w:rPr>
          <w:color w:val="231F20"/>
          <w:spacing w:val="-4"/>
        </w:rPr>
        <w:t> </w:t>
      </w:r>
      <w:r>
        <w:rPr>
          <w:color w:val="231F20"/>
        </w:rPr>
        <w:t>еластич- ног цевовода уз усмеравање отварањем и затварањем вентила. На крају </w:t>
      </w:r>
      <w:r>
        <w:rPr>
          <w:color w:val="231F20"/>
          <w:spacing w:val="-3"/>
        </w:rPr>
        <w:t>сваког </w:t>
      </w:r>
      <w:r>
        <w:rPr>
          <w:color w:val="231F20"/>
        </w:rPr>
        <w:t>крака налази се покретни хидроциклон </w:t>
      </w:r>
      <w:r>
        <w:rPr>
          <w:color w:val="231F20"/>
          <w:spacing w:val="-3"/>
        </w:rPr>
        <w:t>који </w:t>
      </w:r>
      <w:r>
        <w:rPr>
          <w:color w:val="231F20"/>
        </w:rPr>
        <w:t>је везан за цевовод флексибилним гуменим цревом, чиме се омогућава на- предовање у изградњи насипа (12-осатни дневни рад, а затим ди- ректно</w:t>
      </w:r>
      <w:r>
        <w:rPr>
          <w:color w:val="231F20"/>
          <w:spacing w:val="-7"/>
        </w:rPr>
        <w:t> </w:t>
      </w:r>
      <w:r>
        <w:rPr>
          <w:color w:val="231F20"/>
        </w:rPr>
        <w:t>истакање</w:t>
      </w:r>
      <w:r>
        <w:rPr>
          <w:color w:val="231F20"/>
          <w:spacing w:val="-7"/>
        </w:rPr>
        <w:t> </w:t>
      </w:r>
      <w:r>
        <w:rPr>
          <w:color w:val="231F20"/>
        </w:rPr>
        <w:t>са</w:t>
      </w:r>
      <w:r>
        <w:rPr>
          <w:color w:val="231F20"/>
          <w:spacing w:val="-7"/>
        </w:rPr>
        <w:t> </w:t>
      </w:r>
      <w:r>
        <w:rPr>
          <w:color w:val="231F20"/>
        </w:rPr>
        <w:t>изграђеног</w:t>
      </w:r>
      <w:r>
        <w:rPr>
          <w:color w:val="231F20"/>
          <w:spacing w:val="-7"/>
        </w:rPr>
        <w:t> </w:t>
      </w:r>
      <w:r>
        <w:rPr>
          <w:color w:val="231F20"/>
        </w:rPr>
        <w:t>насипа)</w:t>
      </w:r>
      <w:r>
        <w:rPr>
          <w:color w:val="231F20"/>
          <w:spacing w:val="-7"/>
        </w:rPr>
        <w:t> </w:t>
      </w:r>
      <w:r>
        <w:rPr>
          <w:color w:val="231F20"/>
        </w:rPr>
        <w:t>и</w:t>
      </w:r>
      <w:r>
        <w:rPr>
          <w:color w:val="231F20"/>
          <w:spacing w:val="-7"/>
        </w:rPr>
        <w:t> </w:t>
      </w:r>
      <w:r>
        <w:rPr>
          <w:color w:val="231F20"/>
        </w:rPr>
        <w:t>то</w:t>
      </w:r>
      <w:r>
        <w:rPr>
          <w:color w:val="231F20"/>
          <w:spacing w:val="-7"/>
        </w:rPr>
        <w:t> </w:t>
      </w:r>
      <w:r>
        <w:rPr>
          <w:color w:val="231F20"/>
        </w:rPr>
        <w:t>наизменично,</w:t>
      </w:r>
      <w:r>
        <w:rPr>
          <w:color w:val="231F20"/>
          <w:spacing w:val="-7"/>
        </w:rPr>
        <w:t> </w:t>
      </w:r>
      <w:r>
        <w:rPr>
          <w:color w:val="231F20"/>
        </w:rPr>
        <w:t>односно на грани </w:t>
      </w:r>
      <w:r>
        <w:rPr>
          <w:color w:val="231F20"/>
          <w:spacing w:val="-3"/>
        </w:rPr>
        <w:t>која </w:t>
      </w:r>
      <w:r>
        <w:rPr>
          <w:color w:val="231F20"/>
        </w:rPr>
        <w:t>није у раду врши се настављање цевовода и изме- штање истакача, чиме се врше припреме те гране за даљи рад, уз дренирање у </w:t>
      </w:r>
      <w:r>
        <w:rPr>
          <w:color w:val="231F20"/>
          <w:spacing w:val="-3"/>
        </w:rPr>
        <w:t>зимском </w:t>
      </w:r>
      <w:r>
        <w:rPr>
          <w:color w:val="231F20"/>
          <w:spacing w:val="-4"/>
        </w:rPr>
        <w:t>периоду. </w:t>
      </w:r>
      <w:r>
        <w:rPr>
          <w:color w:val="231F20"/>
        </w:rPr>
        <w:t>На крају </w:t>
      </w:r>
      <w:r>
        <w:rPr>
          <w:color w:val="231F20"/>
          <w:spacing w:val="-3"/>
        </w:rPr>
        <w:t>сваког </w:t>
      </w:r>
      <w:r>
        <w:rPr>
          <w:color w:val="231F20"/>
        </w:rPr>
        <w:t>циклуса изградње насипа врши се краће испирање, </w:t>
      </w:r>
      <w:r>
        <w:rPr>
          <w:color w:val="231F20"/>
          <w:spacing w:val="-3"/>
        </w:rPr>
        <w:t>након </w:t>
      </w:r>
      <w:r>
        <w:rPr>
          <w:color w:val="231F20"/>
        </w:rPr>
        <w:t>чега се та грана цевовода затвара,</w:t>
      </w:r>
      <w:r>
        <w:rPr>
          <w:color w:val="231F20"/>
          <w:spacing w:val="-5"/>
        </w:rPr>
        <w:t> </w:t>
      </w:r>
      <w:r>
        <w:rPr>
          <w:color w:val="231F20"/>
        </w:rPr>
        <w:t>а</w:t>
      </w:r>
      <w:r>
        <w:rPr>
          <w:color w:val="231F20"/>
          <w:spacing w:val="-5"/>
        </w:rPr>
        <w:t> </w:t>
      </w:r>
      <w:r>
        <w:rPr>
          <w:color w:val="231F20"/>
        </w:rPr>
        <w:t>друга</w:t>
      </w:r>
      <w:r>
        <w:rPr>
          <w:color w:val="231F20"/>
          <w:spacing w:val="-5"/>
        </w:rPr>
        <w:t> </w:t>
      </w:r>
      <w:r>
        <w:rPr>
          <w:color w:val="231F20"/>
        </w:rPr>
        <w:t>грана</w:t>
      </w:r>
      <w:r>
        <w:rPr>
          <w:color w:val="231F20"/>
          <w:spacing w:val="-5"/>
        </w:rPr>
        <w:t> </w:t>
      </w:r>
      <w:r>
        <w:rPr>
          <w:color w:val="231F20"/>
        </w:rPr>
        <w:t>отвара.</w:t>
      </w:r>
      <w:r>
        <w:rPr>
          <w:color w:val="231F20"/>
          <w:spacing w:val="-5"/>
        </w:rPr>
        <w:t> </w:t>
      </w:r>
      <w:r>
        <w:rPr>
          <w:color w:val="231F20"/>
        </w:rPr>
        <w:t>Акумулацијски</w:t>
      </w:r>
      <w:r>
        <w:rPr>
          <w:color w:val="231F20"/>
          <w:spacing w:val="-5"/>
        </w:rPr>
        <w:t> </w:t>
      </w:r>
      <w:r>
        <w:rPr>
          <w:color w:val="231F20"/>
        </w:rPr>
        <w:t>простор</w:t>
      </w:r>
      <w:r>
        <w:rPr>
          <w:color w:val="231F20"/>
          <w:spacing w:val="-5"/>
        </w:rPr>
        <w:t> </w:t>
      </w:r>
      <w:r>
        <w:rPr>
          <w:color w:val="231F20"/>
        </w:rPr>
        <w:t>се</w:t>
      </w:r>
      <w:r>
        <w:rPr>
          <w:color w:val="231F20"/>
          <w:spacing w:val="-5"/>
        </w:rPr>
        <w:t> </w:t>
      </w:r>
      <w:r>
        <w:rPr>
          <w:color w:val="231F20"/>
        </w:rPr>
        <w:t>запуњава директним истакањем хидромешавине пепела и шљаке по истом поступку као и изградња насипа, само што је масени </w:t>
      </w:r>
      <w:r>
        <w:rPr>
          <w:color w:val="231F20"/>
          <w:spacing w:val="-3"/>
        </w:rPr>
        <w:t>удео </w:t>
      </w:r>
      <w:r>
        <w:rPr>
          <w:color w:val="231F20"/>
        </w:rPr>
        <w:t>Ч: 40- 50%, а за пасту 60%. Слободна вода износи свега </w:t>
      </w:r>
      <w:r>
        <w:rPr>
          <w:color w:val="231F20"/>
          <w:spacing w:val="-4"/>
        </w:rPr>
        <w:t>око </w:t>
      </w:r>
      <w:r>
        <w:rPr>
          <w:color w:val="231F20"/>
        </w:rPr>
        <w:t>25% и ева- куише се са депоније системом дренаже. Пуњење акумулације се одвија са изграђеног насипа, па се мора обезбедити да динамика изградње насипа брже напредује </w:t>
      </w:r>
      <w:r>
        <w:rPr>
          <w:color w:val="231F20"/>
          <w:spacing w:val="-3"/>
        </w:rPr>
        <w:t>од </w:t>
      </w:r>
      <w:r>
        <w:rPr>
          <w:color w:val="231F20"/>
        </w:rPr>
        <w:t>запуњавања</w:t>
      </w:r>
      <w:r>
        <w:rPr>
          <w:color w:val="231F20"/>
          <w:spacing w:val="-8"/>
        </w:rPr>
        <w:t> </w:t>
      </w:r>
      <w:r>
        <w:rPr>
          <w:color w:val="231F20"/>
        </w:rPr>
        <w:t>касета.</w:t>
      </w:r>
    </w:p>
    <w:p>
      <w:pPr>
        <w:pStyle w:val="BodyText"/>
        <w:spacing w:line="225" w:lineRule="auto" w:before="9"/>
        <w:ind w:left="171" w:right="39" w:firstLine="396"/>
      </w:pPr>
      <w:r>
        <w:rPr>
          <w:color w:val="231F20"/>
        </w:rPr>
        <w:t>Било је предвиђено да се, применом нове технологије, угу- шћена хидромешавина из ТЕ „Костолац A” транспортује се до депоније „Средње </w:t>
      </w:r>
      <w:r>
        <w:rPr>
          <w:color w:val="231F20"/>
          <w:spacing w:val="-4"/>
        </w:rPr>
        <w:t>Костолачко </w:t>
      </w:r>
      <w:r>
        <w:rPr>
          <w:color w:val="231F20"/>
        </w:rPr>
        <w:t>острво” по постојећој траси, са че- тири магистрална цевовoда, а даље се по две линије воде левом   и десном страном уз ободне насипе, при чему </w:t>
      </w:r>
      <w:r>
        <w:rPr>
          <w:color w:val="231F20"/>
          <w:spacing w:val="-7"/>
        </w:rPr>
        <w:t>су, </w:t>
      </w:r>
      <w:r>
        <w:rPr>
          <w:color w:val="231F20"/>
        </w:rPr>
        <w:t>наизменично, једна линија радна, а друга резервна. Из магистралних цевовода </w:t>
      </w:r>
      <w:r>
        <w:rPr>
          <w:color w:val="231F20"/>
          <w:spacing w:val="-7"/>
        </w:rPr>
        <w:t>су,</w:t>
      </w:r>
      <w:r>
        <w:rPr>
          <w:color w:val="231F20"/>
          <w:spacing w:val="-4"/>
        </w:rPr>
        <w:t> </w:t>
      </w:r>
      <w:r>
        <w:rPr>
          <w:color w:val="231F20"/>
        </w:rPr>
        <w:t>на</w:t>
      </w:r>
      <w:r>
        <w:rPr>
          <w:color w:val="231F20"/>
          <w:spacing w:val="-4"/>
        </w:rPr>
        <w:t> око </w:t>
      </w:r>
      <w:r>
        <w:rPr>
          <w:color w:val="231F20"/>
        </w:rPr>
        <w:t>500</w:t>
      </w:r>
      <w:r>
        <w:rPr>
          <w:color w:val="231F20"/>
          <w:spacing w:val="-4"/>
        </w:rPr>
        <w:t> </w:t>
      </w:r>
      <w:r>
        <w:rPr>
          <w:color w:val="231F20"/>
        </w:rPr>
        <w:t>m,</w:t>
      </w:r>
      <w:r>
        <w:rPr>
          <w:color w:val="231F20"/>
          <w:spacing w:val="-4"/>
        </w:rPr>
        <w:t> </w:t>
      </w:r>
      <w:r>
        <w:rPr>
          <w:color w:val="231F20"/>
        </w:rPr>
        <w:t>по</w:t>
      </w:r>
      <w:r>
        <w:rPr>
          <w:color w:val="231F20"/>
          <w:spacing w:val="-4"/>
        </w:rPr>
        <w:t> </w:t>
      </w:r>
      <w:r>
        <w:rPr>
          <w:color w:val="231F20"/>
        </w:rPr>
        <w:t>профилу</w:t>
      </w:r>
      <w:r>
        <w:rPr>
          <w:color w:val="231F20"/>
          <w:spacing w:val="-4"/>
        </w:rPr>
        <w:t> </w:t>
      </w:r>
      <w:r>
        <w:rPr>
          <w:color w:val="231F20"/>
        </w:rPr>
        <w:t>насипа</w:t>
      </w:r>
      <w:r>
        <w:rPr>
          <w:color w:val="231F20"/>
          <w:spacing w:val="-4"/>
        </w:rPr>
        <w:t> </w:t>
      </w:r>
      <w:r>
        <w:rPr>
          <w:color w:val="231F20"/>
        </w:rPr>
        <w:t>до</w:t>
      </w:r>
      <w:r>
        <w:rPr>
          <w:color w:val="231F20"/>
          <w:spacing w:val="-4"/>
        </w:rPr>
        <w:t> </w:t>
      </w:r>
      <w:r>
        <w:rPr>
          <w:color w:val="231F20"/>
        </w:rPr>
        <w:t>круне</w:t>
      </w:r>
      <w:r>
        <w:rPr>
          <w:color w:val="231F20"/>
          <w:spacing w:val="-4"/>
        </w:rPr>
        <w:t> </w:t>
      </w:r>
      <w:r>
        <w:rPr>
          <w:color w:val="231F20"/>
        </w:rPr>
        <w:t>насипа</w:t>
      </w:r>
      <w:r>
        <w:rPr>
          <w:color w:val="231F20"/>
          <w:spacing w:val="-4"/>
        </w:rPr>
        <w:t> </w:t>
      </w:r>
      <w:r>
        <w:rPr>
          <w:color w:val="231F20"/>
        </w:rPr>
        <w:t>са</w:t>
      </w:r>
      <w:r>
        <w:rPr>
          <w:color w:val="231F20"/>
          <w:spacing w:val="-4"/>
        </w:rPr>
        <w:t> </w:t>
      </w:r>
      <w:r>
        <w:rPr>
          <w:color w:val="231F20"/>
          <w:spacing w:val="-3"/>
        </w:rPr>
        <w:t>којег</w:t>
      </w:r>
      <w:r>
        <w:rPr>
          <w:color w:val="231F20"/>
          <w:spacing w:val="-4"/>
        </w:rPr>
        <w:t> </w:t>
      </w:r>
      <w:r>
        <w:rPr>
          <w:color w:val="231F20"/>
        </w:rPr>
        <w:t>иста- кање (почетна круна је 88 mnv), изведене гране</w:t>
      </w:r>
      <w:r>
        <w:rPr>
          <w:color w:val="231F20"/>
          <w:spacing w:val="-17"/>
        </w:rPr>
        <w:t> </w:t>
      </w:r>
      <w:r>
        <w:rPr>
          <w:color w:val="231F20"/>
        </w:rPr>
        <w:t>цевовода.</w:t>
      </w:r>
    </w:p>
    <w:p>
      <w:pPr>
        <w:pStyle w:val="BodyText"/>
        <w:spacing w:line="225" w:lineRule="auto" w:before="5"/>
        <w:ind w:left="171" w:right="39" w:firstLine="397"/>
      </w:pPr>
      <w:r>
        <w:rPr>
          <w:color w:val="231F20"/>
        </w:rPr>
        <w:t>Слободно истакање се врши из фиксне </w:t>
      </w:r>
      <w:r>
        <w:rPr>
          <w:color w:val="231F20"/>
          <w:spacing w:val="-3"/>
        </w:rPr>
        <w:t>истакачке </w:t>
      </w:r>
      <w:r>
        <w:rPr>
          <w:color w:val="231F20"/>
        </w:rPr>
        <w:t>цеви са по- кретних </w:t>
      </w:r>
      <w:r>
        <w:rPr>
          <w:color w:val="231F20"/>
          <w:spacing w:val="-3"/>
        </w:rPr>
        <w:t>колица </w:t>
      </w:r>
      <w:r>
        <w:rPr>
          <w:color w:val="231F20"/>
        </w:rPr>
        <w:t>на монтажно-демонтажним шинама постављеним по круни насипа, у једном </w:t>
      </w:r>
      <w:r>
        <w:rPr>
          <w:color w:val="231F20"/>
          <w:spacing w:val="-4"/>
        </w:rPr>
        <w:t>прелазу. </w:t>
      </w:r>
      <w:r>
        <w:rPr>
          <w:color w:val="231F20"/>
          <w:spacing w:val="-3"/>
        </w:rPr>
        <w:t>Унутрашња </w:t>
      </w:r>
      <w:r>
        <w:rPr>
          <w:color w:val="231F20"/>
          <w:spacing w:val="-2"/>
        </w:rPr>
        <w:t>косина </w:t>
      </w:r>
      <w:r>
        <w:rPr>
          <w:color w:val="231F20"/>
        </w:rPr>
        <w:t>насипа је са падом</w:t>
      </w:r>
      <w:r>
        <w:rPr>
          <w:color w:val="231F20"/>
          <w:spacing w:val="-11"/>
        </w:rPr>
        <w:t> </w:t>
      </w:r>
      <w:r>
        <w:rPr>
          <w:color w:val="231F20"/>
        </w:rPr>
        <w:t>1:16</w:t>
      </w:r>
      <w:r>
        <w:rPr>
          <w:color w:val="231F20"/>
          <w:spacing w:val="-11"/>
        </w:rPr>
        <w:t> </w:t>
      </w:r>
      <w:r>
        <w:rPr>
          <w:color w:val="231F20"/>
        </w:rPr>
        <w:t>према</w:t>
      </w:r>
      <w:r>
        <w:rPr>
          <w:color w:val="231F20"/>
          <w:spacing w:val="-11"/>
        </w:rPr>
        <w:t> </w:t>
      </w:r>
      <w:r>
        <w:rPr>
          <w:color w:val="231F20"/>
        </w:rPr>
        <w:t>унутрашњости</w:t>
      </w:r>
      <w:r>
        <w:rPr>
          <w:color w:val="231F20"/>
          <w:spacing w:val="-11"/>
        </w:rPr>
        <w:t> </w:t>
      </w:r>
      <w:r>
        <w:rPr>
          <w:color w:val="231F20"/>
        </w:rPr>
        <w:t>депоније</w:t>
      </w:r>
      <w:r>
        <w:rPr>
          <w:color w:val="231F20"/>
          <w:spacing w:val="-11"/>
        </w:rPr>
        <w:t> </w:t>
      </w:r>
      <w:r>
        <w:rPr>
          <w:color w:val="231F20"/>
        </w:rPr>
        <w:t>и</w:t>
      </w:r>
      <w:r>
        <w:rPr>
          <w:color w:val="231F20"/>
          <w:spacing w:val="-11"/>
        </w:rPr>
        <w:t> </w:t>
      </w:r>
      <w:r>
        <w:rPr>
          <w:color w:val="231F20"/>
        </w:rPr>
        <w:t>прекривена</w:t>
      </w:r>
      <w:r>
        <w:rPr>
          <w:color w:val="231F20"/>
          <w:spacing w:val="-11"/>
        </w:rPr>
        <w:t> </w:t>
      </w:r>
      <w:r>
        <w:rPr>
          <w:color w:val="231F20"/>
        </w:rPr>
        <w:t>геотексти- лом. Од </w:t>
      </w:r>
      <w:r>
        <w:rPr>
          <w:color w:val="231F20"/>
          <w:spacing w:val="-4"/>
        </w:rPr>
        <w:t>овако </w:t>
      </w:r>
      <w:r>
        <w:rPr>
          <w:color w:val="231F20"/>
        </w:rPr>
        <w:t>депонованог материјала, нагуравањем </w:t>
      </w:r>
      <w:r>
        <w:rPr>
          <w:color w:val="231F20"/>
          <w:spacing w:val="-3"/>
        </w:rPr>
        <w:t>булдозером </w:t>
      </w:r>
      <w:r>
        <w:rPr>
          <w:color w:val="231F20"/>
        </w:rPr>
        <w:t>и </w:t>
      </w:r>
      <w:r>
        <w:rPr>
          <w:color w:val="231F20"/>
          <w:spacing w:val="-3"/>
        </w:rPr>
        <w:t>другом </w:t>
      </w:r>
      <w:r>
        <w:rPr>
          <w:color w:val="231F20"/>
          <w:spacing w:val="-4"/>
        </w:rPr>
        <w:t>лаком </w:t>
      </w:r>
      <w:r>
        <w:rPr>
          <w:color w:val="231F20"/>
          <w:spacing w:val="-3"/>
        </w:rPr>
        <w:t>грађевинском </w:t>
      </w:r>
      <w:r>
        <w:rPr>
          <w:color w:val="231F20"/>
        </w:rPr>
        <w:t>механизацијом, градиће се следећи на- сип</w:t>
      </w:r>
      <w:r>
        <w:rPr>
          <w:color w:val="231F20"/>
          <w:spacing w:val="-6"/>
        </w:rPr>
        <w:t> </w:t>
      </w:r>
      <w:r>
        <w:rPr>
          <w:color w:val="231F20"/>
        </w:rPr>
        <w:t>релативне</w:t>
      </w:r>
      <w:r>
        <w:rPr>
          <w:color w:val="231F20"/>
          <w:spacing w:val="-5"/>
        </w:rPr>
        <w:t> </w:t>
      </w:r>
      <w:r>
        <w:rPr>
          <w:color w:val="231F20"/>
        </w:rPr>
        <w:t>висине</w:t>
      </w:r>
      <w:r>
        <w:rPr>
          <w:color w:val="231F20"/>
          <w:spacing w:val="-5"/>
        </w:rPr>
        <w:t> </w:t>
      </w:r>
      <w:r>
        <w:rPr>
          <w:color w:val="231F20"/>
        </w:rPr>
        <w:t>2m,</w:t>
      </w:r>
      <w:r>
        <w:rPr>
          <w:color w:val="231F20"/>
          <w:spacing w:val="-5"/>
        </w:rPr>
        <w:t> </w:t>
      </w:r>
      <w:r>
        <w:rPr>
          <w:color w:val="231F20"/>
        </w:rPr>
        <w:t>са</w:t>
      </w:r>
      <w:r>
        <w:rPr>
          <w:color w:val="231F20"/>
          <w:spacing w:val="-5"/>
        </w:rPr>
        <w:t> </w:t>
      </w:r>
      <w:r>
        <w:rPr>
          <w:color w:val="231F20"/>
          <w:spacing w:val="-4"/>
        </w:rPr>
        <w:t>кога</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вршити</w:t>
      </w:r>
      <w:r>
        <w:rPr>
          <w:color w:val="231F20"/>
          <w:spacing w:val="-6"/>
        </w:rPr>
        <w:t> </w:t>
      </w:r>
      <w:r>
        <w:rPr>
          <w:color w:val="231F20"/>
        </w:rPr>
        <w:t>депоновање,</w:t>
      </w:r>
      <w:r>
        <w:rPr>
          <w:color w:val="231F20"/>
          <w:spacing w:val="-5"/>
        </w:rPr>
        <w:t> </w:t>
      </w:r>
      <w:r>
        <w:rPr>
          <w:color w:val="231F20"/>
          <w:spacing w:val="-3"/>
        </w:rPr>
        <w:t>такође </w:t>
      </w:r>
      <w:r>
        <w:rPr>
          <w:color w:val="231F20"/>
        </w:rPr>
        <w:t>у </w:t>
      </w:r>
      <w:r>
        <w:rPr>
          <w:color w:val="231F20"/>
          <w:spacing w:val="-3"/>
        </w:rPr>
        <w:t>једном кораку </w:t>
      </w:r>
      <w:r>
        <w:rPr>
          <w:color w:val="231F20"/>
        </w:rPr>
        <w:t>до запуњености 1m испод </w:t>
      </w:r>
      <w:r>
        <w:rPr>
          <w:color w:val="231F20"/>
          <w:spacing w:val="-4"/>
        </w:rPr>
        <w:t>коте</w:t>
      </w:r>
      <w:r>
        <w:rPr>
          <w:color w:val="231F20"/>
          <w:spacing w:val="-16"/>
        </w:rPr>
        <w:t> </w:t>
      </w:r>
      <w:r>
        <w:rPr>
          <w:color w:val="231F20"/>
        </w:rPr>
        <w:t>насипа.</w:t>
      </w:r>
    </w:p>
    <w:p>
      <w:pPr>
        <w:pStyle w:val="BodyText"/>
        <w:spacing w:line="225" w:lineRule="auto" w:before="4"/>
        <w:ind w:left="172" w:right="39" w:firstLine="396"/>
      </w:pPr>
      <w:r>
        <w:rPr>
          <w:color w:val="231F20"/>
        </w:rPr>
        <w:t>Слободна вода ће се изводити из депоније системом</w:t>
      </w:r>
      <w:r>
        <w:rPr>
          <w:color w:val="231F20"/>
          <w:spacing w:val="-30"/>
        </w:rPr>
        <w:t> </w:t>
      </w:r>
      <w:r>
        <w:rPr>
          <w:color w:val="231F20"/>
        </w:rPr>
        <w:t>дренаже и, </w:t>
      </w:r>
      <w:r>
        <w:rPr>
          <w:color w:val="231F20"/>
          <w:spacing w:val="-4"/>
        </w:rPr>
        <w:t>уколико </w:t>
      </w:r>
      <w:r>
        <w:rPr>
          <w:color w:val="231F20"/>
        </w:rPr>
        <w:t>се формира језеро у централном </w:t>
      </w:r>
      <w:r>
        <w:rPr>
          <w:color w:val="231F20"/>
          <w:spacing w:val="-4"/>
        </w:rPr>
        <w:t>делу, </w:t>
      </w:r>
      <w:r>
        <w:rPr>
          <w:color w:val="231F20"/>
        </w:rPr>
        <w:t>као прелив на преливним</w:t>
      </w:r>
      <w:r>
        <w:rPr>
          <w:color w:val="231F20"/>
          <w:spacing w:val="-2"/>
        </w:rPr>
        <w:t> </w:t>
      </w:r>
      <w:r>
        <w:rPr>
          <w:color w:val="231F20"/>
        </w:rPr>
        <w:t>кулама.</w:t>
      </w:r>
    </w:p>
    <w:p>
      <w:pPr>
        <w:pStyle w:val="BodyText"/>
        <w:spacing w:line="225" w:lineRule="auto" w:before="2"/>
        <w:ind w:left="172" w:right="39" w:firstLine="396"/>
      </w:pPr>
      <w:r>
        <w:rPr>
          <w:color w:val="231F20"/>
        </w:rPr>
        <w:t>Ниво прелива се неће подизати, тако да ће језеро остати на коти 85 mнм. Испирање магистралних цевовода, вршиће се днев- но, директно у акумулацијски простор, уз обавезно дренирање то- ком зимских месеци.</w:t>
      </w:r>
    </w:p>
    <w:p>
      <w:pPr>
        <w:pStyle w:val="ListParagraph"/>
        <w:numPr>
          <w:ilvl w:val="2"/>
          <w:numId w:val="66"/>
        </w:numPr>
        <w:tabs>
          <w:tab w:pos="1109" w:val="left" w:leader="none"/>
        </w:tabs>
        <w:spacing w:line="201" w:lineRule="exact" w:before="162" w:after="0"/>
        <w:ind w:left="1108" w:right="0" w:hanging="450"/>
        <w:jc w:val="left"/>
        <w:rPr>
          <w:sz w:val="18"/>
        </w:rPr>
      </w:pPr>
      <w:r>
        <w:rPr>
          <w:color w:val="231F20"/>
          <w:spacing w:val="15"/>
          <w:sz w:val="18"/>
        </w:rPr>
        <w:t>Коридор </w:t>
      </w:r>
      <w:r>
        <w:rPr>
          <w:color w:val="231F20"/>
          <w:spacing w:val="10"/>
          <w:sz w:val="18"/>
        </w:rPr>
        <w:t>за </w:t>
      </w:r>
      <w:r>
        <w:rPr>
          <w:color w:val="231F20"/>
          <w:sz w:val="18"/>
        </w:rPr>
        <w:t>т </w:t>
      </w:r>
      <w:r>
        <w:rPr>
          <w:color w:val="231F20"/>
          <w:spacing w:val="16"/>
          <w:sz w:val="18"/>
        </w:rPr>
        <w:t>ранспорт </w:t>
      </w:r>
      <w:r>
        <w:rPr>
          <w:color w:val="231F20"/>
          <w:spacing w:val="15"/>
          <w:sz w:val="18"/>
        </w:rPr>
        <w:t>пепела </w:t>
      </w:r>
      <w:r>
        <w:rPr>
          <w:color w:val="231F20"/>
          <w:sz w:val="18"/>
        </w:rPr>
        <w:t>и</w:t>
      </w:r>
      <w:r>
        <w:rPr>
          <w:color w:val="231F20"/>
          <w:spacing w:val="35"/>
          <w:sz w:val="18"/>
        </w:rPr>
        <w:t> </w:t>
      </w:r>
      <w:r>
        <w:rPr>
          <w:color w:val="231F20"/>
          <w:spacing w:val="15"/>
          <w:sz w:val="18"/>
        </w:rPr>
        <w:t>шљаке</w:t>
      </w:r>
    </w:p>
    <w:p>
      <w:pPr>
        <w:pStyle w:val="BodyText"/>
        <w:spacing w:line="201" w:lineRule="exact"/>
        <w:ind w:left="252"/>
        <w:jc w:val="left"/>
      </w:pPr>
      <w:r>
        <w:rPr>
          <w:color w:val="231F20"/>
        </w:rPr>
        <w:t>од ТЕ „ Ко столац А” до депоније у ПК „Ћириковац”</w:t>
      </w:r>
    </w:p>
    <w:p>
      <w:pPr>
        <w:pStyle w:val="BodyText"/>
        <w:spacing w:before="9"/>
        <w:ind w:left="0"/>
        <w:jc w:val="left"/>
        <w:rPr>
          <w:sz w:val="16"/>
        </w:rPr>
      </w:pPr>
    </w:p>
    <w:p>
      <w:pPr>
        <w:pStyle w:val="BodyText"/>
        <w:spacing w:line="225" w:lineRule="auto"/>
        <w:ind w:left="172" w:right="39" w:firstLine="396"/>
      </w:pPr>
      <w:r>
        <w:rPr>
          <w:color w:val="231F20"/>
        </w:rPr>
        <w:t>До депоније у </w:t>
      </w:r>
      <w:r>
        <w:rPr>
          <w:color w:val="231F20"/>
          <w:spacing w:val="-3"/>
        </w:rPr>
        <w:t>откопаном </w:t>
      </w:r>
      <w:r>
        <w:rPr>
          <w:color w:val="231F20"/>
        </w:rPr>
        <w:t>простору ПК </w:t>
      </w:r>
      <w:r>
        <w:rPr>
          <w:color w:val="231F20"/>
          <w:spacing w:val="-3"/>
        </w:rPr>
        <w:t>„Ћириковац”, </w:t>
      </w:r>
      <w:r>
        <w:rPr>
          <w:color w:val="231F20"/>
        </w:rPr>
        <w:t>цевово- ди хидромешавине пепела и шљаке са цевоводом повратне воде полажу</w:t>
      </w:r>
      <w:r>
        <w:rPr>
          <w:color w:val="231F20"/>
          <w:spacing w:val="-5"/>
        </w:rPr>
        <w:t> </w:t>
      </w:r>
      <w:r>
        <w:rPr>
          <w:color w:val="231F20"/>
        </w:rPr>
        <w:t>се</w:t>
      </w:r>
      <w:r>
        <w:rPr>
          <w:color w:val="231F20"/>
          <w:spacing w:val="-5"/>
        </w:rPr>
        <w:t> </w:t>
      </w:r>
      <w:r>
        <w:rPr>
          <w:color w:val="231F20"/>
        </w:rPr>
        <w:t>по</w:t>
      </w:r>
      <w:r>
        <w:rPr>
          <w:color w:val="231F20"/>
          <w:spacing w:val="-5"/>
        </w:rPr>
        <w:t> </w:t>
      </w:r>
      <w:r>
        <w:rPr>
          <w:color w:val="231F20"/>
        </w:rPr>
        <w:t>траси</w:t>
      </w:r>
      <w:r>
        <w:rPr>
          <w:color w:val="231F20"/>
          <w:spacing w:val="-5"/>
        </w:rPr>
        <w:t> </w:t>
      </w:r>
      <w:r>
        <w:rPr>
          <w:color w:val="231F20"/>
        </w:rPr>
        <w:t>кроз</w:t>
      </w:r>
      <w:r>
        <w:rPr>
          <w:color w:val="231F20"/>
          <w:spacing w:val="-5"/>
        </w:rPr>
        <w:t> </w:t>
      </w:r>
      <w:r>
        <w:rPr>
          <w:color w:val="231F20"/>
        </w:rPr>
        <w:t>подручје</w:t>
      </w:r>
      <w:r>
        <w:rPr>
          <w:color w:val="231F20"/>
          <w:spacing w:val="-5"/>
        </w:rPr>
        <w:t> </w:t>
      </w:r>
      <w:r>
        <w:rPr>
          <w:color w:val="231F20"/>
          <w:spacing w:val="-3"/>
        </w:rPr>
        <w:t>КО</w:t>
      </w:r>
      <w:r>
        <w:rPr>
          <w:color w:val="231F20"/>
          <w:spacing w:val="-5"/>
        </w:rPr>
        <w:t> </w:t>
      </w:r>
      <w:r>
        <w:rPr>
          <w:color w:val="231F20"/>
        </w:rPr>
        <w:t>Костолац</w:t>
      </w:r>
      <w:r>
        <w:rPr>
          <w:color w:val="231F20"/>
          <w:spacing w:val="-5"/>
        </w:rPr>
        <w:t> </w:t>
      </w:r>
      <w:r>
        <w:rPr>
          <w:color w:val="231F20"/>
        </w:rPr>
        <w:t>град,</w:t>
      </w:r>
      <w:r>
        <w:rPr>
          <w:color w:val="231F20"/>
          <w:spacing w:val="-5"/>
        </w:rPr>
        <w:t> </w:t>
      </w:r>
      <w:r>
        <w:rPr>
          <w:color w:val="231F20"/>
          <w:spacing w:val="-3"/>
        </w:rPr>
        <w:t>КО</w:t>
      </w:r>
      <w:r>
        <w:rPr>
          <w:color w:val="231F20"/>
          <w:spacing w:val="-5"/>
        </w:rPr>
        <w:t> </w:t>
      </w:r>
      <w:r>
        <w:rPr>
          <w:color w:val="231F20"/>
        </w:rPr>
        <w:t>Костолац село, </w:t>
      </w:r>
      <w:r>
        <w:rPr>
          <w:color w:val="231F20"/>
          <w:spacing w:val="-3"/>
        </w:rPr>
        <w:t>КО </w:t>
      </w:r>
      <w:r>
        <w:rPr>
          <w:color w:val="231F20"/>
        </w:rPr>
        <w:t>Ћириковац и </w:t>
      </w:r>
      <w:r>
        <w:rPr>
          <w:color w:val="231F20"/>
          <w:spacing w:val="-3"/>
        </w:rPr>
        <w:t>КО </w:t>
      </w:r>
      <w:r>
        <w:rPr>
          <w:color w:val="231F20"/>
        </w:rPr>
        <w:t>Брадарац.</w:t>
      </w:r>
    </w:p>
    <w:p>
      <w:pPr>
        <w:pStyle w:val="BodyText"/>
        <w:spacing w:line="225" w:lineRule="auto" w:before="2"/>
        <w:ind w:left="172" w:right="39" w:firstLine="397"/>
      </w:pPr>
      <w:r>
        <w:rPr>
          <w:color w:val="231F20"/>
        </w:rPr>
        <w:t>Од објеката новог система за прикупљање пепела и шљаке кроз</w:t>
      </w:r>
      <w:r>
        <w:rPr>
          <w:color w:val="231F20"/>
          <w:spacing w:val="-5"/>
        </w:rPr>
        <w:t> </w:t>
      </w:r>
      <w:r>
        <w:rPr>
          <w:color w:val="231F20"/>
          <w:spacing w:val="-3"/>
        </w:rPr>
        <w:t>комплекс</w:t>
      </w:r>
      <w:r>
        <w:rPr>
          <w:color w:val="231F20"/>
          <w:spacing w:val="-5"/>
        </w:rPr>
        <w:t> </w:t>
      </w:r>
      <w:r>
        <w:rPr>
          <w:color w:val="231F20"/>
        </w:rPr>
        <w:t>ТЕ</w:t>
      </w:r>
      <w:r>
        <w:rPr>
          <w:color w:val="231F20"/>
          <w:spacing w:val="-5"/>
        </w:rPr>
        <w:t> </w:t>
      </w:r>
      <w:r>
        <w:rPr>
          <w:color w:val="231F20"/>
        </w:rPr>
        <w:t>„Костолац</w:t>
      </w:r>
      <w:r>
        <w:rPr>
          <w:color w:val="231F20"/>
          <w:spacing w:val="-5"/>
        </w:rPr>
        <w:t> </w:t>
      </w:r>
      <w:r>
        <w:rPr>
          <w:color w:val="231F20"/>
        </w:rPr>
        <w:t>А”</w:t>
      </w:r>
      <w:r>
        <w:rPr>
          <w:color w:val="231F20"/>
          <w:spacing w:val="-5"/>
        </w:rPr>
        <w:t> </w:t>
      </w:r>
      <w:r>
        <w:rPr>
          <w:color w:val="231F20"/>
        </w:rPr>
        <w:t>пепеловод</w:t>
      </w:r>
      <w:r>
        <w:rPr>
          <w:color w:val="231F20"/>
          <w:spacing w:val="-5"/>
        </w:rPr>
        <w:t> </w:t>
      </w:r>
      <w:r>
        <w:rPr>
          <w:color w:val="231F20"/>
        </w:rPr>
        <w:t>се</w:t>
      </w:r>
      <w:r>
        <w:rPr>
          <w:color w:val="231F20"/>
          <w:spacing w:val="-5"/>
        </w:rPr>
        <w:t> </w:t>
      </w:r>
      <w:r>
        <w:rPr>
          <w:color w:val="231F20"/>
        </w:rPr>
        <w:t>води</w:t>
      </w:r>
      <w:r>
        <w:rPr>
          <w:color w:val="231F20"/>
          <w:spacing w:val="-5"/>
        </w:rPr>
        <w:t> </w:t>
      </w:r>
      <w:r>
        <w:rPr>
          <w:color w:val="231F20"/>
        </w:rPr>
        <w:t>по</w:t>
      </w:r>
      <w:r>
        <w:rPr>
          <w:color w:val="231F20"/>
          <w:spacing w:val="-5"/>
        </w:rPr>
        <w:t> </w:t>
      </w:r>
      <w:r>
        <w:rPr>
          <w:color w:val="231F20"/>
        </w:rPr>
        <w:t>траси</w:t>
      </w:r>
      <w:r>
        <w:rPr>
          <w:color w:val="231F20"/>
          <w:spacing w:val="-5"/>
        </w:rPr>
        <w:t> </w:t>
      </w:r>
      <w:r>
        <w:rPr>
          <w:color w:val="231F20"/>
          <w:spacing w:val="-3"/>
        </w:rPr>
        <w:t>која</w:t>
      </w:r>
      <w:r>
        <w:rPr>
          <w:color w:val="231F20"/>
          <w:spacing w:val="-5"/>
        </w:rPr>
        <w:t> </w:t>
      </w:r>
      <w:r>
        <w:rPr>
          <w:color w:val="231F20"/>
        </w:rPr>
        <w:t>је условљена</w:t>
      </w:r>
      <w:r>
        <w:rPr>
          <w:color w:val="231F20"/>
          <w:spacing w:val="-7"/>
        </w:rPr>
        <w:t> </w:t>
      </w:r>
      <w:r>
        <w:rPr>
          <w:color w:val="231F20"/>
        </w:rPr>
        <w:t>диспозицијом</w:t>
      </w:r>
      <w:r>
        <w:rPr>
          <w:color w:val="231F20"/>
          <w:spacing w:val="-7"/>
        </w:rPr>
        <w:t> </w:t>
      </w:r>
      <w:r>
        <w:rPr>
          <w:color w:val="231F20"/>
        </w:rPr>
        <w:t>постојећих</w:t>
      </w:r>
      <w:r>
        <w:rPr>
          <w:color w:val="231F20"/>
          <w:spacing w:val="-7"/>
        </w:rPr>
        <w:t> </w:t>
      </w:r>
      <w:r>
        <w:rPr>
          <w:color w:val="231F20"/>
        </w:rPr>
        <w:t>објеката</w:t>
      </w:r>
      <w:r>
        <w:rPr>
          <w:color w:val="231F20"/>
          <w:spacing w:val="-7"/>
        </w:rPr>
        <w:t> </w:t>
      </w:r>
      <w:r>
        <w:rPr>
          <w:color w:val="231F20"/>
        </w:rPr>
        <w:t>и</w:t>
      </w:r>
      <w:r>
        <w:rPr>
          <w:color w:val="231F20"/>
          <w:spacing w:val="-7"/>
        </w:rPr>
        <w:t> </w:t>
      </w:r>
      <w:r>
        <w:rPr>
          <w:color w:val="231F20"/>
        </w:rPr>
        <w:t>инсталација</w:t>
      </w:r>
      <w:r>
        <w:rPr>
          <w:color w:val="231F20"/>
          <w:spacing w:val="-7"/>
        </w:rPr>
        <w:t> </w:t>
      </w:r>
      <w:r>
        <w:rPr>
          <w:color w:val="231F20"/>
        </w:rPr>
        <w:t>у</w:t>
      </w:r>
      <w:r>
        <w:rPr>
          <w:color w:val="231F20"/>
          <w:spacing w:val="-7"/>
        </w:rPr>
        <w:t> </w:t>
      </w:r>
      <w:r>
        <w:rPr>
          <w:color w:val="231F20"/>
          <w:spacing w:val="-4"/>
        </w:rPr>
        <w:t>ком- </w:t>
      </w:r>
      <w:r>
        <w:rPr>
          <w:color w:val="231F20"/>
          <w:spacing w:val="-5"/>
        </w:rPr>
        <w:t>плексу. </w:t>
      </w:r>
      <w:r>
        <w:rPr>
          <w:color w:val="231F20"/>
          <w:spacing w:val="-3"/>
        </w:rPr>
        <w:t>Комплекс</w:t>
      </w:r>
      <w:r>
        <w:rPr>
          <w:color w:val="231F20"/>
          <w:spacing w:val="-5"/>
        </w:rPr>
        <w:t> </w:t>
      </w:r>
      <w:r>
        <w:rPr>
          <w:color w:val="231F20"/>
        </w:rPr>
        <w:t>напушта</w:t>
      </w:r>
      <w:r>
        <w:rPr>
          <w:color w:val="231F20"/>
          <w:spacing w:val="-5"/>
        </w:rPr>
        <w:t> </w:t>
      </w:r>
      <w:r>
        <w:rPr>
          <w:color w:val="231F20"/>
        </w:rPr>
        <w:t>у</w:t>
      </w:r>
      <w:r>
        <w:rPr>
          <w:color w:val="231F20"/>
          <w:spacing w:val="-5"/>
        </w:rPr>
        <w:t> </w:t>
      </w:r>
      <w:r>
        <w:rPr>
          <w:color w:val="231F20"/>
        </w:rPr>
        <w:t>тачки</w:t>
      </w:r>
      <w:r>
        <w:rPr>
          <w:color w:val="231F20"/>
          <w:spacing w:val="-5"/>
        </w:rPr>
        <w:t> </w:t>
      </w:r>
      <w:r>
        <w:rPr>
          <w:color w:val="231F20"/>
        </w:rPr>
        <w:t>О1</w:t>
      </w:r>
      <w:r>
        <w:rPr>
          <w:color w:val="231F20"/>
          <w:spacing w:val="-5"/>
        </w:rPr>
        <w:t> </w:t>
      </w:r>
      <w:r>
        <w:rPr>
          <w:color w:val="231F20"/>
        </w:rPr>
        <w:t>у</w:t>
      </w:r>
      <w:r>
        <w:rPr>
          <w:color w:val="231F20"/>
          <w:spacing w:val="-5"/>
        </w:rPr>
        <w:t> </w:t>
      </w:r>
      <w:r>
        <w:rPr>
          <w:color w:val="231F20"/>
        </w:rPr>
        <w:t>зони</w:t>
      </w:r>
      <w:r>
        <w:rPr>
          <w:color w:val="231F20"/>
          <w:spacing w:val="-5"/>
        </w:rPr>
        <w:t> </w:t>
      </w:r>
      <w:r>
        <w:rPr>
          <w:color w:val="231F20"/>
        </w:rPr>
        <w:t>пријемног</w:t>
      </w:r>
      <w:r>
        <w:rPr>
          <w:color w:val="231F20"/>
          <w:spacing w:val="-5"/>
        </w:rPr>
        <w:t> </w:t>
      </w:r>
      <w:r>
        <w:rPr>
          <w:color w:val="231F20"/>
        </w:rPr>
        <w:t>бункера</w:t>
      </w:r>
      <w:r>
        <w:rPr>
          <w:color w:val="231F20"/>
          <w:spacing w:val="-5"/>
        </w:rPr>
        <w:t> </w:t>
      </w:r>
      <w:r>
        <w:rPr>
          <w:color w:val="231F20"/>
        </w:rPr>
        <w:t>за угаљ, а улицу </w:t>
      </w:r>
      <w:r>
        <w:rPr>
          <w:color w:val="231F20"/>
          <w:spacing w:val="-3"/>
        </w:rPr>
        <w:t>Николе </w:t>
      </w:r>
      <w:r>
        <w:rPr>
          <w:color w:val="231F20"/>
        </w:rPr>
        <w:t>Тесле, појас пруге Пожаревац – Костолац, регионални пут и сервисни пут уз транспортну траку за угаљ пре- лази постављањем цевовода на мостовску челичну конструкцију до </w:t>
      </w:r>
      <w:r>
        <w:rPr>
          <w:color w:val="231F20"/>
          <w:spacing w:val="-3"/>
        </w:rPr>
        <w:t>тачке </w:t>
      </w:r>
      <w:r>
        <w:rPr>
          <w:color w:val="231F20"/>
        </w:rPr>
        <w:t>О3, мења правац и </w:t>
      </w:r>
      <w:r>
        <w:rPr>
          <w:color w:val="231F20"/>
          <w:spacing w:val="-3"/>
        </w:rPr>
        <w:t>преко </w:t>
      </w:r>
      <w:r>
        <w:rPr>
          <w:color w:val="231F20"/>
        </w:rPr>
        <w:t>нове конструкције у тачки О4 улази у коридор за транспорт угља, </w:t>
      </w:r>
      <w:r>
        <w:rPr>
          <w:color w:val="231F20"/>
          <w:spacing w:val="-3"/>
        </w:rPr>
        <w:t>који </w:t>
      </w:r>
      <w:r>
        <w:rPr>
          <w:color w:val="231F20"/>
        </w:rPr>
        <w:t>се формира издвајањем дела к.п. бр. за потребе извођења носећих конструкција оба си- стема. Од </w:t>
      </w:r>
      <w:r>
        <w:rPr>
          <w:color w:val="231F20"/>
          <w:spacing w:val="-3"/>
        </w:rPr>
        <w:t>тачке </w:t>
      </w:r>
      <w:r>
        <w:rPr>
          <w:color w:val="231F20"/>
        </w:rPr>
        <w:t>на траси на граници к.п.бр. 1640/1 (КО Костолац село) заједнички коридор се формира у </w:t>
      </w:r>
      <w:r>
        <w:rPr>
          <w:color w:val="231F20"/>
          <w:spacing w:val="-3"/>
        </w:rPr>
        <w:t>обухвату </w:t>
      </w:r>
      <w:r>
        <w:rPr>
          <w:color w:val="231F20"/>
        </w:rPr>
        <w:t>следећих ката- старских парцела: целе к.п. бр. 1920, 1921, 1922, 1928, 1929,</w:t>
      </w:r>
      <w:r>
        <w:rPr>
          <w:color w:val="231F20"/>
          <w:spacing w:val="13"/>
        </w:rPr>
        <w:t> </w:t>
      </w:r>
      <w:r>
        <w:rPr>
          <w:color w:val="231F20"/>
        </w:rPr>
        <w:t>1930,</w:t>
      </w:r>
    </w:p>
    <w:p>
      <w:pPr>
        <w:pStyle w:val="BodyText"/>
        <w:spacing w:line="198" w:lineRule="exact"/>
        <w:ind w:left="172"/>
      </w:pPr>
      <w:r>
        <w:rPr>
          <w:color w:val="231F20"/>
        </w:rPr>
        <w:t>1931, 2273, 2274, 2275, 2278, 2347, 2354, 2356, 2357, 2358, 2359,</w:t>
      </w:r>
    </w:p>
    <w:p>
      <w:pPr>
        <w:pStyle w:val="BodyText"/>
        <w:spacing w:line="195" w:lineRule="exact"/>
        <w:ind w:left="172"/>
      </w:pPr>
      <w:r>
        <w:rPr>
          <w:color w:val="231F20"/>
        </w:rPr>
        <w:t>2405, 2406, 2407, 2412, 2413, 2414, 2415, 2418, 2419, 2420, 2421,</w:t>
      </w:r>
    </w:p>
    <w:p>
      <w:pPr>
        <w:pStyle w:val="BodyText"/>
        <w:spacing w:line="195" w:lineRule="exact"/>
        <w:ind w:left="172"/>
      </w:pPr>
      <w:r>
        <w:rPr>
          <w:color w:val="231F20"/>
        </w:rPr>
        <w:t>2422, 2423, 2424,2425, 2426, 2427, 2441 и 2440, део к.п. бр. 1640/1,</w:t>
      </w:r>
    </w:p>
    <w:p>
      <w:pPr>
        <w:pStyle w:val="BodyText"/>
        <w:spacing w:line="195" w:lineRule="exact"/>
        <w:ind w:left="172"/>
      </w:pPr>
      <w:r>
        <w:rPr>
          <w:color w:val="231F20"/>
        </w:rPr>
        <w:t>2361, 2435/2, 2436, 2437, 2443,2444, 2445, 2446, 2447, 2448, 2449,</w:t>
      </w:r>
    </w:p>
    <w:p>
      <w:pPr>
        <w:pStyle w:val="BodyText"/>
        <w:spacing w:line="225" w:lineRule="auto" w:before="4"/>
        <w:ind w:left="172" w:right="38"/>
      </w:pPr>
      <w:r>
        <w:rPr>
          <w:color w:val="231F20"/>
        </w:rPr>
        <w:t>2455, 2456 и 2685 (све </w:t>
      </w:r>
      <w:r>
        <w:rPr>
          <w:color w:val="231F20"/>
          <w:spacing w:val="-3"/>
        </w:rPr>
        <w:t>КО </w:t>
      </w:r>
      <w:r>
        <w:rPr>
          <w:color w:val="231F20"/>
        </w:rPr>
        <w:t>Костолац село) до </w:t>
      </w:r>
      <w:r>
        <w:rPr>
          <w:color w:val="231F20"/>
          <w:spacing w:val="-3"/>
        </w:rPr>
        <w:t>тачке </w:t>
      </w:r>
      <w:r>
        <w:rPr>
          <w:color w:val="231F20"/>
        </w:rPr>
        <w:t>О9 у којој пе- пеловод</w:t>
      </w:r>
      <w:r>
        <w:rPr>
          <w:color w:val="231F20"/>
          <w:spacing w:val="-6"/>
        </w:rPr>
        <w:t> </w:t>
      </w:r>
      <w:r>
        <w:rPr>
          <w:color w:val="231F20"/>
        </w:rPr>
        <w:t>прелази</w:t>
      </w:r>
      <w:r>
        <w:rPr>
          <w:color w:val="231F20"/>
          <w:spacing w:val="-6"/>
        </w:rPr>
        <w:t> </w:t>
      </w:r>
      <w:r>
        <w:rPr>
          <w:color w:val="231F20"/>
        </w:rPr>
        <w:t>испод</w:t>
      </w:r>
      <w:r>
        <w:rPr>
          <w:color w:val="231F20"/>
          <w:spacing w:val="-6"/>
        </w:rPr>
        <w:t> </w:t>
      </w:r>
      <w:r>
        <w:rPr>
          <w:color w:val="231F20"/>
        </w:rPr>
        <w:t>коридора</w:t>
      </w:r>
      <w:r>
        <w:rPr>
          <w:color w:val="231F20"/>
          <w:spacing w:val="-6"/>
        </w:rPr>
        <w:t> </w:t>
      </w:r>
      <w:r>
        <w:rPr>
          <w:color w:val="231F20"/>
        </w:rPr>
        <w:t>транспортера</w:t>
      </w:r>
      <w:r>
        <w:rPr>
          <w:color w:val="231F20"/>
          <w:spacing w:val="-6"/>
        </w:rPr>
        <w:t> </w:t>
      </w:r>
      <w:r>
        <w:rPr>
          <w:color w:val="231F20"/>
        </w:rPr>
        <w:t>за</w:t>
      </w:r>
      <w:r>
        <w:rPr>
          <w:color w:val="231F20"/>
          <w:spacing w:val="-6"/>
        </w:rPr>
        <w:t> </w:t>
      </w:r>
      <w:r>
        <w:rPr>
          <w:color w:val="231F20"/>
        </w:rPr>
        <w:t>угаљ</w:t>
      </w:r>
      <w:r>
        <w:rPr>
          <w:color w:val="231F20"/>
          <w:spacing w:val="-6"/>
        </w:rPr>
        <w:t> </w:t>
      </w:r>
      <w:r>
        <w:rPr>
          <w:color w:val="231F20"/>
        </w:rPr>
        <w:t>качењем</w:t>
      </w:r>
      <w:r>
        <w:rPr>
          <w:color w:val="231F20"/>
          <w:spacing w:val="-6"/>
        </w:rPr>
        <w:t> </w:t>
      </w:r>
      <w:r>
        <w:rPr>
          <w:color w:val="231F20"/>
        </w:rPr>
        <w:t>за конструкцију натпутњака за прелаз транспортера </w:t>
      </w:r>
      <w:r>
        <w:rPr>
          <w:color w:val="231F20"/>
          <w:spacing w:val="-3"/>
        </w:rPr>
        <w:t>преко </w:t>
      </w:r>
      <w:r>
        <w:rPr>
          <w:color w:val="231F20"/>
        </w:rPr>
        <w:t>некатего- рисане саобраћајнице, или на други погодни начин, </w:t>
      </w:r>
      <w:r>
        <w:rPr>
          <w:color w:val="231F20"/>
          <w:spacing w:val="-3"/>
        </w:rPr>
        <w:t>кратко </w:t>
      </w:r>
      <w:r>
        <w:rPr>
          <w:color w:val="231F20"/>
        </w:rPr>
        <w:t>прати сеоски пут и у тачки О10 улази у </w:t>
      </w:r>
      <w:r>
        <w:rPr>
          <w:color w:val="231F20"/>
          <w:spacing w:val="-3"/>
        </w:rPr>
        <w:t>Комплекс </w:t>
      </w:r>
      <w:r>
        <w:rPr>
          <w:color w:val="231F20"/>
        </w:rPr>
        <w:t>„Долина реке Млаве”. Траса је између тачака О10 и О18 на уласку у депонију дефиниса- на у заједничком коридору са пепеловодом из ТЕ „Костолац Б” у </w:t>
      </w:r>
      <w:r>
        <w:rPr>
          <w:color w:val="231F20"/>
          <w:spacing w:val="-3"/>
        </w:rPr>
        <w:t>обухвату </w:t>
      </w:r>
      <w:r>
        <w:rPr>
          <w:color w:val="231F20"/>
          <w:spacing w:val="-4"/>
        </w:rPr>
        <w:t>како</w:t>
      </w:r>
      <w:r>
        <w:rPr>
          <w:color w:val="231F20"/>
          <w:spacing w:val="2"/>
        </w:rPr>
        <w:t> </w:t>
      </w:r>
      <w:r>
        <w:rPr>
          <w:color w:val="231F20"/>
        </w:rPr>
        <w:t>следи:</w:t>
      </w:r>
    </w:p>
    <w:p>
      <w:pPr>
        <w:pStyle w:val="BodyText"/>
        <w:spacing w:line="204" w:lineRule="exact" w:before="73"/>
        <w:ind w:left="569"/>
        <w:jc w:val="left"/>
      </w:pPr>
      <w:r>
        <w:rPr/>
        <w:br w:type="column"/>
      </w:r>
      <w:r>
        <w:rPr>
          <w:color w:val="231F20"/>
        </w:rPr>
        <w:t>целе к.п. бр. 2277, 2278, 2279, 2280, 2307, 2308, 2312, 2313,</w:t>
      </w:r>
    </w:p>
    <w:p>
      <w:pPr>
        <w:pStyle w:val="BodyText"/>
        <w:spacing w:line="200" w:lineRule="exact"/>
        <w:ind w:left="172"/>
      </w:pPr>
      <w:r>
        <w:rPr>
          <w:color w:val="231F20"/>
        </w:rPr>
        <w:t>2314, 2317, 2318, 2319, 2320, 2327, 2330, 2331, 2332, 2333, 2337,</w:t>
      </w:r>
    </w:p>
    <w:p>
      <w:pPr>
        <w:pStyle w:val="BodyText"/>
        <w:spacing w:line="200" w:lineRule="exact"/>
        <w:ind w:left="172"/>
      </w:pPr>
      <w:r>
        <w:rPr>
          <w:color w:val="231F20"/>
        </w:rPr>
        <w:t>2340, 2341, 2351, 2352, 2353, и део к.п.бр. 2361, 2687(све КО Ко-</w:t>
      </w:r>
    </w:p>
    <w:p>
      <w:pPr>
        <w:pStyle w:val="BodyText"/>
        <w:spacing w:line="200" w:lineRule="exact"/>
        <w:ind w:left="172"/>
      </w:pPr>
      <w:r>
        <w:rPr>
          <w:color w:val="231F20"/>
        </w:rPr>
        <w:t>столац село);</w:t>
      </w:r>
    </w:p>
    <w:p>
      <w:pPr>
        <w:pStyle w:val="BodyText"/>
        <w:spacing w:line="200" w:lineRule="exact"/>
        <w:ind w:left="568"/>
        <w:jc w:val="left"/>
      </w:pPr>
      <w:r>
        <w:rPr>
          <w:color w:val="231F20"/>
        </w:rPr>
        <w:t>целе к.п. бр. 1547, 1553, 1554, 1565, 1566, 1567, 1568, 1569,</w:t>
      </w:r>
    </w:p>
    <w:p>
      <w:pPr>
        <w:pStyle w:val="BodyText"/>
        <w:spacing w:line="200" w:lineRule="exact"/>
        <w:ind w:left="172"/>
      </w:pPr>
      <w:r>
        <w:rPr>
          <w:color w:val="231F20"/>
        </w:rPr>
        <w:t>1572, 1573, 1574, 1576, 1577, 1922, 1923, 1924, 1925, 1926, 1927,</w:t>
      </w:r>
    </w:p>
    <w:p>
      <w:pPr>
        <w:pStyle w:val="BodyText"/>
        <w:spacing w:line="200" w:lineRule="exact"/>
        <w:ind w:left="172"/>
      </w:pPr>
      <w:r>
        <w:rPr>
          <w:color w:val="231F20"/>
        </w:rPr>
        <w:t>1928, 1929, 1930, 1931, 1932, 1933, 1934, 1935, 1936, 1937, 1938,</w:t>
      </w:r>
    </w:p>
    <w:p>
      <w:pPr>
        <w:pStyle w:val="BodyText"/>
        <w:spacing w:line="200" w:lineRule="exact"/>
        <w:ind w:left="172"/>
      </w:pPr>
      <w:r>
        <w:rPr>
          <w:color w:val="231F20"/>
        </w:rPr>
        <w:t>1939, 1940, 1941, 1942, 2092, 2093, 2094, 2095, 2096, 2097, 2098,</w:t>
      </w:r>
    </w:p>
    <w:p>
      <w:pPr>
        <w:pStyle w:val="BodyText"/>
        <w:spacing w:line="200" w:lineRule="exact"/>
        <w:ind w:left="172"/>
      </w:pPr>
      <w:r>
        <w:rPr>
          <w:color w:val="231F20"/>
        </w:rPr>
        <w:t>2099, 2108, 2109, 2110, 2111, 2112, 2113, 2114, 2115, 2117, 2118,</w:t>
      </w:r>
    </w:p>
    <w:p>
      <w:pPr>
        <w:pStyle w:val="BodyText"/>
        <w:spacing w:line="200" w:lineRule="exact"/>
        <w:ind w:left="172"/>
      </w:pPr>
      <w:r>
        <w:rPr>
          <w:color w:val="231F20"/>
        </w:rPr>
        <w:t>2119, 2120, 2121, 2122 и део к.п. бр. 1544 (све КО Кленовник); и</w:t>
      </w:r>
    </w:p>
    <w:p>
      <w:pPr>
        <w:pStyle w:val="BodyText"/>
        <w:spacing w:line="200" w:lineRule="exact"/>
        <w:ind w:left="568"/>
        <w:jc w:val="left"/>
      </w:pPr>
      <w:r>
        <w:rPr>
          <w:color w:val="231F20"/>
        </w:rPr>
        <w:t>целе к.п. бр. 2310, 2311, 2312, 2313, 2314, 2315, 2316, 2317,</w:t>
      </w:r>
    </w:p>
    <w:p>
      <w:pPr>
        <w:pStyle w:val="BodyText"/>
        <w:spacing w:line="200" w:lineRule="exact"/>
        <w:ind w:left="172"/>
      </w:pPr>
      <w:r>
        <w:rPr>
          <w:color w:val="231F20"/>
        </w:rPr>
        <w:t>2318, 2319, 2320, 2321, 2322, 2323, 2324, 2325, 2326, 2327, 2328,</w:t>
      </w:r>
    </w:p>
    <w:p>
      <w:pPr>
        <w:pStyle w:val="BodyText"/>
        <w:spacing w:line="200" w:lineRule="exact"/>
        <w:ind w:left="172"/>
      </w:pPr>
      <w:r>
        <w:rPr>
          <w:color w:val="231F20"/>
        </w:rPr>
        <w:t>2329, 2330, 2331, 2332, 2333, 2334, 2337, 2338 ,2339, 2340, 2341,</w:t>
      </w:r>
    </w:p>
    <w:p>
      <w:pPr>
        <w:pStyle w:val="BodyText"/>
        <w:spacing w:line="200" w:lineRule="exact"/>
        <w:ind w:left="172"/>
      </w:pPr>
      <w:r>
        <w:rPr>
          <w:color w:val="231F20"/>
        </w:rPr>
        <w:t>2342, 2343, 2344, 2345, 2346, 2348, 2349, 2350, 2351, 2352, 2353,</w:t>
      </w:r>
    </w:p>
    <w:p>
      <w:pPr>
        <w:pStyle w:val="BodyText"/>
        <w:spacing w:line="200" w:lineRule="exact"/>
        <w:ind w:left="172"/>
      </w:pPr>
      <w:r>
        <w:rPr>
          <w:color w:val="231F20"/>
        </w:rPr>
        <w:t>2354, 2555, 2556, 2557, 2560, 2561, 2562, 2563, 2565, 2567, 2568,</w:t>
      </w:r>
    </w:p>
    <w:p>
      <w:pPr>
        <w:pStyle w:val="BodyText"/>
        <w:spacing w:line="200" w:lineRule="exact"/>
        <w:ind w:left="172"/>
      </w:pPr>
      <w:r>
        <w:rPr>
          <w:color w:val="231F20"/>
        </w:rPr>
        <w:t>2569, 2570, 2571, 2572, 2573, 2574 ,2575, 2584, 2653, 2658, 2659,</w:t>
      </w:r>
    </w:p>
    <w:p>
      <w:pPr>
        <w:pStyle w:val="BodyText"/>
        <w:spacing w:line="200" w:lineRule="exact"/>
        <w:ind w:left="172"/>
      </w:pPr>
      <w:r>
        <w:rPr>
          <w:color w:val="231F20"/>
        </w:rPr>
        <w:t>2660, 2661, 2662, 2663, 2664, 2665, 2667, 2671, 2672, 3022, 3023,</w:t>
      </w:r>
    </w:p>
    <w:p>
      <w:pPr>
        <w:pStyle w:val="BodyText"/>
        <w:spacing w:line="200" w:lineRule="exact"/>
        <w:ind w:left="172"/>
      </w:pPr>
      <w:r>
        <w:rPr>
          <w:color w:val="231F20"/>
        </w:rPr>
        <w:t>3024, 3025, 3026, 3027, 3028, 3029, 3030, и део к.п. бр. 2347,  2519,</w:t>
      </w:r>
    </w:p>
    <w:p>
      <w:pPr>
        <w:pStyle w:val="BodyText"/>
        <w:spacing w:line="200" w:lineRule="exact"/>
        <w:ind w:left="172"/>
      </w:pPr>
      <w:r>
        <w:rPr>
          <w:color w:val="231F20"/>
        </w:rPr>
        <w:t>2582, 2583, 2586, 3063 и 3359/2 (све КО Брадарац).</w:t>
      </w:r>
    </w:p>
    <w:p>
      <w:pPr>
        <w:pStyle w:val="BodyText"/>
        <w:spacing w:line="232" w:lineRule="auto" w:before="1"/>
        <w:ind w:left="171" w:right="409" w:firstLine="397"/>
      </w:pPr>
      <w:r>
        <w:rPr>
          <w:color w:val="231F20"/>
        </w:rPr>
        <w:t>Положај</w:t>
      </w:r>
      <w:r>
        <w:rPr>
          <w:color w:val="231F20"/>
          <w:spacing w:val="-7"/>
        </w:rPr>
        <w:t> </w:t>
      </w:r>
      <w:r>
        <w:rPr>
          <w:color w:val="231F20"/>
        </w:rPr>
        <w:t>трасе</w:t>
      </w:r>
      <w:r>
        <w:rPr>
          <w:color w:val="231F20"/>
          <w:spacing w:val="-7"/>
        </w:rPr>
        <w:t> </w:t>
      </w:r>
      <w:r>
        <w:rPr>
          <w:color w:val="231F20"/>
        </w:rPr>
        <w:t>је</w:t>
      </w:r>
      <w:r>
        <w:rPr>
          <w:color w:val="231F20"/>
          <w:spacing w:val="-7"/>
        </w:rPr>
        <w:t> </w:t>
      </w:r>
      <w:r>
        <w:rPr>
          <w:color w:val="231F20"/>
        </w:rPr>
        <w:t>дефинисан</w:t>
      </w:r>
      <w:r>
        <w:rPr>
          <w:color w:val="231F20"/>
          <w:spacing w:val="-7"/>
        </w:rPr>
        <w:t> </w:t>
      </w:r>
      <w:r>
        <w:rPr>
          <w:color w:val="231F20"/>
        </w:rPr>
        <w:t>координатама</w:t>
      </w:r>
      <w:r>
        <w:rPr>
          <w:color w:val="231F20"/>
          <w:spacing w:val="-7"/>
        </w:rPr>
        <w:t> </w:t>
      </w:r>
      <w:r>
        <w:rPr>
          <w:color w:val="231F20"/>
        </w:rPr>
        <w:t>карактеристичних и преломних</w:t>
      </w:r>
      <w:r>
        <w:rPr>
          <w:color w:val="231F20"/>
          <w:spacing w:val="-3"/>
        </w:rPr>
        <w:t> </w:t>
      </w:r>
      <w:r>
        <w:rPr>
          <w:color w:val="231F20"/>
        </w:rPr>
        <w:t>тачака.</w:t>
      </w:r>
    </w:p>
    <w:p>
      <w:pPr>
        <w:pStyle w:val="BodyText"/>
        <w:spacing w:before="4"/>
        <w:ind w:left="0"/>
        <w:jc w:val="left"/>
        <w:rPr>
          <w:sz w:val="17"/>
        </w:rPr>
      </w:pPr>
    </w:p>
    <w:p>
      <w:pPr>
        <w:pStyle w:val="BodyText"/>
        <w:spacing w:line="232" w:lineRule="auto"/>
        <w:ind w:left="1061" w:right="1843" w:hanging="890"/>
        <w:jc w:val="left"/>
        <w:rPr>
          <w:sz w:val="10"/>
        </w:rPr>
      </w:pPr>
      <w:r>
        <w:rPr>
          <w:color w:val="231F20"/>
        </w:rPr>
        <w:t>Табела 6.2: Оријентационе координате тачака на траси пепеловода</w:t>
      </w:r>
      <w:r>
        <w:rPr>
          <w:color w:val="231F20"/>
          <w:position w:val="7"/>
          <w:sz w:val="10"/>
        </w:rPr>
        <w:t>27</w:t>
      </w:r>
    </w:p>
    <w:p>
      <w:pPr>
        <w:pStyle w:val="BodyText"/>
        <w:spacing w:before="1"/>
        <w:ind w:left="0"/>
        <w:jc w:val="left"/>
        <w:rPr>
          <w:sz w:val="3"/>
        </w:rPr>
      </w:pPr>
    </w:p>
    <w:tbl>
      <w:tblPr>
        <w:tblW w:w="0" w:type="auto"/>
        <w:jc w:val="left"/>
        <w:tblInd w:w="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1701"/>
        <w:gridCol w:w="1701"/>
      </w:tblGrid>
      <w:tr>
        <w:trPr>
          <w:trHeight w:val="200" w:hRule="atLeast"/>
        </w:trPr>
        <w:tc>
          <w:tcPr>
            <w:tcW w:w="1701" w:type="dxa"/>
          </w:tcPr>
          <w:p>
            <w:pPr>
              <w:pStyle w:val="TableParagraph"/>
              <w:ind w:left="438" w:right="429"/>
              <w:jc w:val="center"/>
              <w:rPr>
                <w:sz w:val="14"/>
              </w:rPr>
            </w:pPr>
            <w:r>
              <w:rPr>
                <w:color w:val="231F20"/>
                <w:sz w:val="14"/>
              </w:rPr>
              <w:t>Ознака тачке</w:t>
            </w:r>
          </w:p>
        </w:tc>
        <w:tc>
          <w:tcPr>
            <w:tcW w:w="1701" w:type="dxa"/>
          </w:tcPr>
          <w:p>
            <w:pPr>
              <w:pStyle w:val="TableParagraph"/>
              <w:ind w:left="9"/>
              <w:jc w:val="center"/>
              <w:rPr>
                <w:sz w:val="14"/>
              </w:rPr>
            </w:pPr>
            <w:r>
              <w:rPr>
                <w:color w:val="231F20"/>
                <w:sz w:val="14"/>
              </w:rPr>
              <w:t>X</w:t>
            </w:r>
          </w:p>
        </w:tc>
        <w:tc>
          <w:tcPr>
            <w:tcW w:w="1701" w:type="dxa"/>
          </w:tcPr>
          <w:p>
            <w:pPr>
              <w:pStyle w:val="TableParagraph"/>
              <w:ind w:left="14"/>
              <w:jc w:val="center"/>
              <w:rPr>
                <w:sz w:val="14"/>
              </w:rPr>
            </w:pPr>
            <w:r>
              <w:rPr>
                <w:color w:val="231F20"/>
                <w:sz w:val="14"/>
              </w:rPr>
              <w:t>Y</w:t>
            </w:r>
          </w:p>
        </w:tc>
      </w:tr>
      <w:tr>
        <w:trPr>
          <w:trHeight w:val="200" w:hRule="atLeast"/>
        </w:trPr>
        <w:tc>
          <w:tcPr>
            <w:tcW w:w="1701" w:type="dxa"/>
          </w:tcPr>
          <w:p>
            <w:pPr>
              <w:pStyle w:val="TableParagraph"/>
              <w:ind w:left="438" w:right="429"/>
              <w:jc w:val="center"/>
              <w:rPr>
                <w:sz w:val="14"/>
              </w:rPr>
            </w:pPr>
            <w:r>
              <w:rPr>
                <w:color w:val="231F20"/>
                <w:sz w:val="14"/>
              </w:rPr>
              <w:t>O1</w:t>
            </w:r>
          </w:p>
        </w:tc>
        <w:tc>
          <w:tcPr>
            <w:tcW w:w="1701" w:type="dxa"/>
          </w:tcPr>
          <w:p>
            <w:pPr>
              <w:pStyle w:val="TableParagraph"/>
              <w:ind w:left="438" w:right="429"/>
              <w:jc w:val="center"/>
              <w:rPr>
                <w:sz w:val="14"/>
              </w:rPr>
            </w:pPr>
            <w:r>
              <w:rPr>
                <w:color w:val="231F20"/>
                <w:sz w:val="14"/>
              </w:rPr>
              <w:t>4 953 131</w:t>
            </w:r>
          </w:p>
        </w:tc>
        <w:tc>
          <w:tcPr>
            <w:tcW w:w="1701" w:type="dxa"/>
          </w:tcPr>
          <w:p>
            <w:pPr>
              <w:pStyle w:val="TableParagraph"/>
              <w:ind w:left="437" w:right="429"/>
              <w:jc w:val="center"/>
              <w:rPr>
                <w:sz w:val="14"/>
              </w:rPr>
            </w:pPr>
            <w:r>
              <w:rPr>
                <w:color w:val="231F20"/>
                <w:sz w:val="14"/>
              </w:rPr>
              <w:t>7 514 263</w:t>
            </w:r>
          </w:p>
        </w:tc>
      </w:tr>
      <w:tr>
        <w:trPr>
          <w:trHeight w:val="200" w:hRule="atLeast"/>
        </w:trPr>
        <w:tc>
          <w:tcPr>
            <w:tcW w:w="1701" w:type="dxa"/>
          </w:tcPr>
          <w:p>
            <w:pPr>
              <w:pStyle w:val="TableParagraph"/>
              <w:ind w:left="438" w:right="429"/>
              <w:jc w:val="center"/>
              <w:rPr>
                <w:sz w:val="14"/>
              </w:rPr>
            </w:pPr>
            <w:r>
              <w:rPr>
                <w:color w:val="231F20"/>
                <w:sz w:val="14"/>
              </w:rPr>
              <w:t>O2</w:t>
            </w:r>
          </w:p>
        </w:tc>
        <w:tc>
          <w:tcPr>
            <w:tcW w:w="1701" w:type="dxa"/>
          </w:tcPr>
          <w:p>
            <w:pPr>
              <w:pStyle w:val="TableParagraph"/>
              <w:ind w:left="438" w:right="429"/>
              <w:jc w:val="center"/>
              <w:rPr>
                <w:sz w:val="14"/>
              </w:rPr>
            </w:pPr>
            <w:r>
              <w:rPr>
                <w:color w:val="231F20"/>
                <w:sz w:val="14"/>
              </w:rPr>
              <w:t>4 953 140</w:t>
            </w:r>
          </w:p>
        </w:tc>
        <w:tc>
          <w:tcPr>
            <w:tcW w:w="1701" w:type="dxa"/>
          </w:tcPr>
          <w:p>
            <w:pPr>
              <w:pStyle w:val="TableParagraph"/>
              <w:ind w:left="437" w:right="429"/>
              <w:jc w:val="center"/>
              <w:rPr>
                <w:sz w:val="14"/>
              </w:rPr>
            </w:pPr>
            <w:r>
              <w:rPr>
                <w:color w:val="231F20"/>
                <w:sz w:val="14"/>
              </w:rPr>
              <w:t>7 514 327</w:t>
            </w:r>
          </w:p>
        </w:tc>
      </w:tr>
      <w:tr>
        <w:trPr>
          <w:trHeight w:val="200" w:hRule="atLeast"/>
        </w:trPr>
        <w:tc>
          <w:tcPr>
            <w:tcW w:w="1701" w:type="dxa"/>
          </w:tcPr>
          <w:p>
            <w:pPr>
              <w:pStyle w:val="TableParagraph"/>
              <w:ind w:left="438" w:right="429"/>
              <w:jc w:val="center"/>
              <w:rPr>
                <w:sz w:val="14"/>
              </w:rPr>
            </w:pPr>
            <w:r>
              <w:rPr>
                <w:color w:val="231F20"/>
                <w:sz w:val="14"/>
              </w:rPr>
              <w:t>O3</w:t>
            </w:r>
          </w:p>
        </w:tc>
        <w:tc>
          <w:tcPr>
            <w:tcW w:w="1701" w:type="dxa"/>
          </w:tcPr>
          <w:p>
            <w:pPr>
              <w:pStyle w:val="TableParagraph"/>
              <w:ind w:left="438" w:right="429"/>
              <w:jc w:val="center"/>
              <w:rPr>
                <w:sz w:val="14"/>
              </w:rPr>
            </w:pPr>
            <w:r>
              <w:rPr>
                <w:color w:val="231F20"/>
                <w:sz w:val="14"/>
              </w:rPr>
              <w:t>4 953 106</w:t>
            </w:r>
          </w:p>
        </w:tc>
        <w:tc>
          <w:tcPr>
            <w:tcW w:w="1701" w:type="dxa"/>
          </w:tcPr>
          <w:p>
            <w:pPr>
              <w:pStyle w:val="TableParagraph"/>
              <w:ind w:left="437" w:right="429"/>
              <w:jc w:val="center"/>
              <w:rPr>
                <w:sz w:val="14"/>
              </w:rPr>
            </w:pPr>
            <w:r>
              <w:rPr>
                <w:color w:val="231F20"/>
                <w:sz w:val="14"/>
              </w:rPr>
              <w:t>7 514 508</w:t>
            </w:r>
          </w:p>
        </w:tc>
      </w:tr>
      <w:tr>
        <w:trPr>
          <w:trHeight w:val="200" w:hRule="atLeast"/>
        </w:trPr>
        <w:tc>
          <w:tcPr>
            <w:tcW w:w="1701" w:type="dxa"/>
          </w:tcPr>
          <w:p>
            <w:pPr>
              <w:pStyle w:val="TableParagraph"/>
              <w:ind w:left="438" w:right="429"/>
              <w:jc w:val="center"/>
              <w:rPr>
                <w:sz w:val="14"/>
              </w:rPr>
            </w:pPr>
            <w:r>
              <w:rPr>
                <w:color w:val="231F20"/>
                <w:sz w:val="14"/>
              </w:rPr>
              <w:t>O4</w:t>
            </w:r>
          </w:p>
        </w:tc>
        <w:tc>
          <w:tcPr>
            <w:tcW w:w="1701" w:type="dxa"/>
          </w:tcPr>
          <w:p>
            <w:pPr>
              <w:pStyle w:val="TableParagraph"/>
              <w:ind w:left="438" w:right="429"/>
              <w:jc w:val="center"/>
              <w:rPr>
                <w:sz w:val="14"/>
              </w:rPr>
            </w:pPr>
            <w:r>
              <w:rPr>
                <w:color w:val="231F20"/>
                <w:sz w:val="14"/>
              </w:rPr>
              <w:t>4 953 072</w:t>
            </w:r>
          </w:p>
        </w:tc>
        <w:tc>
          <w:tcPr>
            <w:tcW w:w="1701" w:type="dxa"/>
          </w:tcPr>
          <w:p>
            <w:pPr>
              <w:pStyle w:val="TableParagraph"/>
              <w:ind w:left="437" w:right="429"/>
              <w:jc w:val="center"/>
              <w:rPr>
                <w:sz w:val="14"/>
              </w:rPr>
            </w:pPr>
            <w:r>
              <w:rPr>
                <w:color w:val="231F20"/>
                <w:sz w:val="14"/>
              </w:rPr>
              <w:t>7 514 544</w:t>
            </w:r>
          </w:p>
        </w:tc>
      </w:tr>
      <w:tr>
        <w:trPr>
          <w:trHeight w:val="200" w:hRule="atLeast"/>
        </w:trPr>
        <w:tc>
          <w:tcPr>
            <w:tcW w:w="1701" w:type="dxa"/>
          </w:tcPr>
          <w:p>
            <w:pPr>
              <w:pStyle w:val="TableParagraph"/>
              <w:ind w:left="438" w:right="429"/>
              <w:jc w:val="center"/>
              <w:rPr>
                <w:sz w:val="14"/>
              </w:rPr>
            </w:pPr>
            <w:r>
              <w:rPr>
                <w:color w:val="231F20"/>
                <w:sz w:val="14"/>
              </w:rPr>
              <w:t>O5</w:t>
            </w:r>
          </w:p>
        </w:tc>
        <w:tc>
          <w:tcPr>
            <w:tcW w:w="1701" w:type="dxa"/>
          </w:tcPr>
          <w:p>
            <w:pPr>
              <w:pStyle w:val="TableParagraph"/>
              <w:ind w:left="438" w:right="429"/>
              <w:jc w:val="center"/>
              <w:rPr>
                <w:sz w:val="14"/>
              </w:rPr>
            </w:pPr>
            <w:r>
              <w:rPr>
                <w:color w:val="231F20"/>
                <w:sz w:val="14"/>
              </w:rPr>
              <w:t>4 952 927</w:t>
            </w:r>
          </w:p>
        </w:tc>
        <w:tc>
          <w:tcPr>
            <w:tcW w:w="1701" w:type="dxa"/>
          </w:tcPr>
          <w:p>
            <w:pPr>
              <w:pStyle w:val="TableParagraph"/>
              <w:ind w:left="437" w:right="429"/>
              <w:jc w:val="center"/>
              <w:rPr>
                <w:sz w:val="14"/>
              </w:rPr>
            </w:pPr>
            <w:r>
              <w:rPr>
                <w:color w:val="231F20"/>
                <w:sz w:val="14"/>
              </w:rPr>
              <w:t>7 515 137</w:t>
            </w:r>
          </w:p>
        </w:tc>
      </w:tr>
      <w:tr>
        <w:trPr>
          <w:trHeight w:val="200" w:hRule="atLeast"/>
        </w:trPr>
        <w:tc>
          <w:tcPr>
            <w:tcW w:w="1701" w:type="dxa"/>
          </w:tcPr>
          <w:p>
            <w:pPr>
              <w:pStyle w:val="TableParagraph"/>
              <w:ind w:left="438" w:right="429"/>
              <w:jc w:val="center"/>
              <w:rPr>
                <w:sz w:val="14"/>
              </w:rPr>
            </w:pPr>
            <w:r>
              <w:rPr>
                <w:color w:val="231F20"/>
                <w:sz w:val="14"/>
              </w:rPr>
              <w:t>O6</w:t>
            </w:r>
          </w:p>
        </w:tc>
        <w:tc>
          <w:tcPr>
            <w:tcW w:w="1701" w:type="dxa"/>
          </w:tcPr>
          <w:p>
            <w:pPr>
              <w:pStyle w:val="TableParagraph"/>
              <w:ind w:left="438" w:right="429"/>
              <w:jc w:val="center"/>
              <w:rPr>
                <w:sz w:val="14"/>
              </w:rPr>
            </w:pPr>
            <w:r>
              <w:rPr>
                <w:color w:val="231F20"/>
                <w:sz w:val="14"/>
              </w:rPr>
              <w:t>4 952 899</w:t>
            </w:r>
          </w:p>
        </w:tc>
        <w:tc>
          <w:tcPr>
            <w:tcW w:w="1701" w:type="dxa"/>
          </w:tcPr>
          <w:p>
            <w:pPr>
              <w:pStyle w:val="TableParagraph"/>
              <w:ind w:left="437" w:right="429"/>
              <w:jc w:val="center"/>
              <w:rPr>
                <w:sz w:val="14"/>
              </w:rPr>
            </w:pPr>
            <w:r>
              <w:rPr>
                <w:color w:val="231F20"/>
                <w:sz w:val="14"/>
              </w:rPr>
              <w:t>7 515 188</w:t>
            </w:r>
          </w:p>
        </w:tc>
      </w:tr>
      <w:tr>
        <w:trPr>
          <w:trHeight w:val="200" w:hRule="atLeast"/>
        </w:trPr>
        <w:tc>
          <w:tcPr>
            <w:tcW w:w="1701" w:type="dxa"/>
          </w:tcPr>
          <w:p>
            <w:pPr>
              <w:pStyle w:val="TableParagraph"/>
              <w:ind w:left="438" w:right="429"/>
              <w:jc w:val="center"/>
              <w:rPr>
                <w:sz w:val="14"/>
              </w:rPr>
            </w:pPr>
            <w:r>
              <w:rPr>
                <w:color w:val="231F20"/>
                <w:sz w:val="14"/>
              </w:rPr>
              <w:t>O7</w:t>
            </w:r>
          </w:p>
        </w:tc>
        <w:tc>
          <w:tcPr>
            <w:tcW w:w="1701" w:type="dxa"/>
          </w:tcPr>
          <w:p>
            <w:pPr>
              <w:pStyle w:val="TableParagraph"/>
              <w:ind w:left="438" w:right="429"/>
              <w:jc w:val="center"/>
              <w:rPr>
                <w:sz w:val="14"/>
              </w:rPr>
            </w:pPr>
            <w:r>
              <w:rPr>
                <w:color w:val="231F20"/>
                <w:sz w:val="14"/>
              </w:rPr>
              <w:t>4 952 542</w:t>
            </w:r>
          </w:p>
        </w:tc>
        <w:tc>
          <w:tcPr>
            <w:tcW w:w="1701" w:type="dxa"/>
          </w:tcPr>
          <w:p>
            <w:pPr>
              <w:pStyle w:val="TableParagraph"/>
              <w:ind w:left="437" w:right="429"/>
              <w:jc w:val="center"/>
              <w:rPr>
                <w:sz w:val="14"/>
              </w:rPr>
            </w:pPr>
            <w:r>
              <w:rPr>
                <w:color w:val="231F20"/>
                <w:sz w:val="14"/>
              </w:rPr>
              <w:t>7 516 082</w:t>
            </w:r>
          </w:p>
        </w:tc>
      </w:tr>
      <w:tr>
        <w:trPr>
          <w:trHeight w:val="200" w:hRule="atLeast"/>
        </w:trPr>
        <w:tc>
          <w:tcPr>
            <w:tcW w:w="1701" w:type="dxa"/>
          </w:tcPr>
          <w:p>
            <w:pPr>
              <w:pStyle w:val="TableParagraph"/>
              <w:spacing w:before="17"/>
              <w:ind w:left="438" w:right="429"/>
              <w:jc w:val="center"/>
              <w:rPr>
                <w:sz w:val="14"/>
              </w:rPr>
            </w:pPr>
            <w:r>
              <w:rPr>
                <w:color w:val="231F20"/>
                <w:sz w:val="14"/>
              </w:rPr>
              <w:t>O8</w:t>
            </w:r>
          </w:p>
        </w:tc>
        <w:tc>
          <w:tcPr>
            <w:tcW w:w="1701" w:type="dxa"/>
          </w:tcPr>
          <w:p>
            <w:pPr>
              <w:pStyle w:val="TableParagraph"/>
              <w:spacing w:before="17"/>
              <w:ind w:left="438" w:right="429"/>
              <w:jc w:val="center"/>
              <w:rPr>
                <w:sz w:val="14"/>
              </w:rPr>
            </w:pPr>
            <w:r>
              <w:rPr>
                <w:color w:val="231F20"/>
                <w:sz w:val="14"/>
              </w:rPr>
              <w:t>4 952 523</w:t>
            </w:r>
          </w:p>
        </w:tc>
        <w:tc>
          <w:tcPr>
            <w:tcW w:w="1701" w:type="dxa"/>
          </w:tcPr>
          <w:p>
            <w:pPr>
              <w:pStyle w:val="TableParagraph"/>
              <w:spacing w:before="17"/>
              <w:ind w:left="437" w:right="429"/>
              <w:jc w:val="center"/>
              <w:rPr>
                <w:sz w:val="14"/>
              </w:rPr>
            </w:pPr>
            <w:r>
              <w:rPr>
                <w:color w:val="231F20"/>
                <w:sz w:val="14"/>
              </w:rPr>
              <w:t>7 516 130</w:t>
            </w:r>
          </w:p>
        </w:tc>
      </w:tr>
      <w:tr>
        <w:trPr>
          <w:trHeight w:val="200" w:hRule="atLeast"/>
        </w:trPr>
        <w:tc>
          <w:tcPr>
            <w:tcW w:w="1701" w:type="dxa"/>
          </w:tcPr>
          <w:p>
            <w:pPr>
              <w:pStyle w:val="TableParagraph"/>
              <w:spacing w:before="17"/>
              <w:ind w:left="438" w:right="429"/>
              <w:jc w:val="center"/>
              <w:rPr>
                <w:sz w:val="14"/>
              </w:rPr>
            </w:pPr>
            <w:r>
              <w:rPr>
                <w:color w:val="231F20"/>
                <w:sz w:val="14"/>
              </w:rPr>
              <w:t>O9</w:t>
            </w:r>
          </w:p>
        </w:tc>
        <w:tc>
          <w:tcPr>
            <w:tcW w:w="1701" w:type="dxa"/>
          </w:tcPr>
          <w:p>
            <w:pPr>
              <w:pStyle w:val="TableParagraph"/>
              <w:spacing w:before="17"/>
              <w:ind w:left="438" w:right="429"/>
              <w:jc w:val="center"/>
              <w:rPr>
                <w:sz w:val="14"/>
              </w:rPr>
            </w:pPr>
            <w:r>
              <w:rPr>
                <w:color w:val="231F20"/>
                <w:sz w:val="14"/>
              </w:rPr>
              <w:t>4 952 573</w:t>
            </w:r>
          </w:p>
        </w:tc>
        <w:tc>
          <w:tcPr>
            <w:tcW w:w="1701" w:type="dxa"/>
          </w:tcPr>
          <w:p>
            <w:pPr>
              <w:pStyle w:val="TableParagraph"/>
              <w:spacing w:before="17"/>
              <w:ind w:left="437" w:right="429"/>
              <w:jc w:val="center"/>
              <w:rPr>
                <w:sz w:val="14"/>
              </w:rPr>
            </w:pPr>
            <w:r>
              <w:rPr>
                <w:color w:val="231F20"/>
                <w:sz w:val="14"/>
              </w:rPr>
              <w:t>7 516 211</w:t>
            </w:r>
          </w:p>
        </w:tc>
      </w:tr>
      <w:tr>
        <w:trPr>
          <w:trHeight w:val="200" w:hRule="atLeast"/>
        </w:trPr>
        <w:tc>
          <w:tcPr>
            <w:tcW w:w="1701" w:type="dxa"/>
          </w:tcPr>
          <w:p>
            <w:pPr>
              <w:pStyle w:val="TableParagraph"/>
              <w:spacing w:before="17"/>
              <w:ind w:left="438" w:right="429"/>
              <w:jc w:val="center"/>
              <w:rPr>
                <w:sz w:val="14"/>
              </w:rPr>
            </w:pPr>
            <w:r>
              <w:rPr>
                <w:color w:val="231F20"/>
                <w:sz w:val="14"/>
              </w:rPr>
              <w:t>O10</w:t>
            </w:r>
          </w:p>
        </w:tc>
        <w:tc>
          <w:tcPr>
            <w:tcW w:w="1701" w:type="dxa"/>
          </w:tcPr>
          <w:p>
            <w:pPr>
              <w:pStyle w:val="TableParagraph"/>
              <w:spacing w:before="17"/>
              <w:ind w:left="438" w:right="429"/>
              <w:jc w:val="center"/>
              <w:rPr>
                <w:sz w:val="14"/>
              </w:rPr>
            </w:pPr>
            <w:r>
              <w:rPr>
                <w:color w:val="231F20"/>
                <w:sz w:val="14"/>
              </w:rPr>
              <w:t>4 952 524</w:t>
            </w:r>
          </w:p>
        </w:tc>
        <w:tc>
          <w:tcPr>
            <w:tcW w:w="1701" w:type="dxa"/>
          </w:tcPr>
          <w:p>
            <w:pPr>
              <w:pStyle w:val="TableParagraph"/>
              <w:spacing w:before="17"/>
              <w:ind w:left="437" w:right="429"/>
              <w:jc w:val="center"/>
              <w:rPr>
                <w:sz w:val="14"/>
              </w:rPr>
            </w:pPr>
            <w:r>
              <w:rPr>
                <w:color w:val="231F20"/>
                <w:sz w:val="14"/>
              </w:rPr>
              <w:t>7 516 255</w:t>
            </w:r>
          </w:p>
        </w:tc>
      </w:tr>
      <w:tr>
        <w:trPr>
          <w:trHeight w:val="200" w:hRule="atLeast"/>
        </w:trPr>
        <w:tc>
          <w:tcPr>
            <w:tcW w:w="1701" w:type="dxa"/>
          </w:tcPr>
          <w:p>
            <w:pPr>
              <w:pStyle w:val="TableParagraph"/>
              <w:spacing w:before="17"/>
              <w:ind w:left="438" w:right="429"/>
              <w:jc w:val="center"/>
              <w:rPr>
                <w:sz w:val="14"/>
              </w:rPr>
            </w:pPr>
            <w:r>
              <w:rPr>
                <w:color w:val="231F20"/>
                <w:sz w:val="14"/>
              </w:rPr>
              <w:t>O11</w:t>
            </w:r>
          </w:p>
        </w:tc>
        <w:tc>
          <w:tcPr>
            <w:tcW w:w="1701" w:type="dxa"/>
          </w:tcPr>
          <w:p>
            <w:pPr>
              <w:pStyle w:val="TableParagraph"/>
              <w:spacing w:before="17"/>
              <w:ind w:left="438" w:right="429"/>
              <w:jc w:val="center"/>
              <w:rPr>
                <w:sz w:val="14"/>
              </w:rPr>
            </w:pPr>
            <w:r>
              <w:rPr>
                <w:color w:val="231F20"/>
                <w:sz w:val="14"/>
              </w:rPr>
              <w:t>4 952 469</w:t>
            </w:r>
          </w:p>
        </w:tc>
        <w:tc>
          <w:tcPr>
            <w:tcW w:w="1701" w:type="dxa"/>
          </w:tcPr>
          <w:p>
            <w:pPr>
              <w:pStyle w:val="TableParagraph"/>
              <w:spacing w:before="17"/>
              <w:ind w:left="437" w:right="429"/>
              <w:jc w:val="center"/>
              <w:rPr>
                <w:sz w:val="14"/>
              </w:rPr>
            </w:pPr>
            <w:r>
              <w:rPr>
                <w:color w:val="231F20"/>
                <w:sz w:val="14"/>
              </w:rPr>
              <w:t>7 516 304</w:t>
            </w:r>
          </w:p>
        </w:tc>
      </w:tr>
      <w:tr>
        <w:trPr>
          <w:trHeight w:val="200" w:hRule="atLeast"/>
        </w:trPr>
        <w:tc>
          <w:tcPr>
            <w:tcW w:w="1701" w:type="dxa"/>
          </w:tcPr>
          <w:p>
            <w:pPr>
              <w:pStyle w:val="TableParagraph"/>
              <w:spacing w:before="17"/>
              <w:ind w:left="438" w:right="429"/>
              <w:jc w:val="center"/>
              <w:rPr>
                <w:sz w:val="14"/>
              </w:rPr>
            </w:pPr>
            <w:r>
              <w:rPr>
                <w:color w:val="231F20"/>
                <w:sz w:val="14"/>
              </w:rPr>
              <w:t>O12</w:t>
            </w:r>
          </w:p>
        </w:tc>
        <w:tc>
          <w:tcPr>
            <w:tcW w:w="1701" w:type="dxa"/>
          </w:tcPr>
          <w:p>
            <w:pPr>
              <w:pStyle w:val="TableParagraph"/>
              <w:spacing w:before="17"/>
              <w:ind w:left="438" w:right="429"/>
              <w:jc w:val="center"/>
              <w:rPr>
                <w:sz w:val="14"/>
              </w:rPr>
            </w:pPr>
            <w:r>
              <w:rPr>
                <w:color w:val="231F20"/>
                <w:sz w:val="14"/>
              </w:rPr>
              <w:t>4 951 845</w:t>
            </w:r>
          </w:p>
        </w:tc>
        <w:tc>
          <w:tcPr>
            <w:tcW w:w="1701" w:type="dxa"/>
          </w:tcPr>
          <w:p>
            <w:pPr>
              <w:pStyle w:val="TableParagraph"/>
              <w:spacing w:before="17"/>
              <w:ind w:left="437" w:right="429"/>
              <w:jc w:val="center"/>
              <w:rPr>
                <w:sz w:val="14"/>
              </w:rPr>
            </w:pPr>
            <w:r>
              <w:rPr>
                <w:color w:val="231F20"/>
                <w:sz w:val="14"/>
              </w:rPr>
              <w:t>7 516 659</w:t>
            </w:r>
          </w:p>
        </w:tc>
      </w:tr>
      <w:tr>
        <w:trPr>
          <w:trHeight w:val="200" w:hRule="atLeast"/>
        </w:trPr>
        <w:tc>
          <w:tcPr>
            <w:tcW w:w="1701" w:type="dxa"/>
          </w:tcPr>
          <w:p>
            <w:pPr>
              <w:pStyle w:val="TableParagraph"/>
              <w:spacing w:before="17"/>
              <w:ind w:left="438" w:right="429"/>
              <w:jc w:val="center"/>
              <w:rPr>
                <w:sz w:val="14"/>
              </w:rPr>
            </w:pPr>
            <w:r>
              <w:rPr>
                <w:color w:val="231F20"/>
                <w:sz w:val="14"/>
              </w:rPr>
              <w:t>O13</w:t>
            </w:r>
          </w:p>
        </w:tc>
        <w:tc>
          <w:tcPr>
            <w:tcW w:w="1701" w:type="dxa"/>
          </w:tcPr>
          <w:p>
            <w:pPr>
              <w:pStyle w:val="TableParagraph"/>
              <w:spacing w:before="17"/>
              <w:ind w:left="438" w:right="429"/>
              <w:jc w:val="center"/>
              <w:rPr>
                <w:sz w:val="14"/>
              </w:rPr>
            </w:pPr>
            <w:r>
              <w:rPr>
                <w:color w:val="231F20"/>
                <w:sz w:val="14"/>
              </w:rPr>
              <w:t>4 950 974</w:t>
            </w:r>
          </w:p>
        </w:tc>
        <w:tc>
          <w:tcPr>
            <w:tcW w:w="1701" w:type="dxa"/>
          </w:tcPr>
          <w:p>
            <w:pPr>
              <w:pStyle w:val="TableParagraph"/>
              <w:spacing w:before="17"/>
              <w:ind w:left="437" w:right="429"/>
              <w:jc w:val="center"/>
              <w:rPr>
                <w:sz w:val="14"/>
              </w:rPr>
            </w:pPr>
            <w:r>
              <w:rPr>
                <w:color w:val="231F20"/>
                <w:sz w:val="14"/>
              </w:rPr>
              <w:t>7 516 976</w:t>
            </w:r>
          </w:p>
        </w:tc>
      </w:tr>
      <w:tr>
        <w:trPr>
          <w:trHeight w:val="200" w:hRule="atLeast"/>
        </w:trPr>
        <w:tc>
          <w:tcPr>
            <w:tcW w:w="1701" w:type="dxa"/>
          </w:tcPr>
          <w:p>
            <w:pPr>
              <w:pStyle w:val="TableParagraph"/>
              <w:spacing w:before="17"/>
              <w:ind w:left="438" w:right="429"/>
              <w:jc w:val="center"/>
              <w:rPr>
                <w:sz w:val="14"/>
              </w:rPr>
            </w:pPr>
            <w:r>
              <w:rPr>
                <w:color w:val="231F20"/>
                <w:sz w:val="14"/>
              </w:rPr>
              <w:t>O14</w:t>
            </w:r>
          </w:p>
        </w:tc>
        <w:tc>
          <w:tcPr>
            <w:tcW w:w="1701" w:type="dxa"/>
          </w:tcPr>
          <w:p>
            <w:pPr>
              <w:pStyle w:val="TableParagraph"/>
              <w:spacing w:before="17"/>
              <w:ind w:left="438" w:right="429"/>
              <w:jc w:val="center"/>
              <w:rPr>
                <w:sz w:val="14"/>
              </w:rPr>
            </w:pPr>
            <w:r>
              <w:rPr>
                <w:color w:val="231F20"/>
                <w:sz w:val="14"/>
              </w:rPr>
              <w:t>4 950 961</w:t>
            </w:r>
          </w:p>
        </w:tc>
        <w:tc>
          <w:tcPr>
            <w:tcW w:w="1701" w:type="dxa"/>
          </w:tcPr>
          <w:p>
            <w:pPr>
              <w:pStyle w:val="TableParagraph"/>
              <w:spacing w:before="17"/>
              <w:ind w:left="437" w:right="429"/>
              <w:jc w:val="center"/>
              <w:rPr>
                <w:sz w:val="14"/>
              </w:rPr>
            </w:pPr>
            <w:r>
              <w:rPr>
                <w:color w:val="231F20"/>
                <w:sz w:val="14"/>
              </w:rPr>
              <w:t>7 516 979</w:t>
            </w:r>
          </w:p>
        </w:tc>
      </w:tr>
      <w:tr>
        <w:trPr>
          <w:trHeight w:val="200" w:hRule="atLeast"/>
        </w:trPr>
        <w:tc>
          <w:tcPr>
            <w:tcW w:w="1701" w:type="dxa"/>
          </w:tcPr>
          <w:p>
            <w:pPr>
              <w:pStyle w:val="TableParagraph"/>
              <w:spacing w:before="17"/>
              <w:ind w:left="438" w:right="429"/>
              <w:jc w:val="center"/>
              <w:rPr>
                <w:sz w:val="14"/>
              </w:rPr>
            </w:pPr>
            <w:r>
              <w:rPr>
                <w:color w:val="231F20"/>
                <w:sz w:val="14"/>
              </w:rPr>
              <w:t>O15</w:t>
            </w:r>
          </w:p>
        </w:tc>
        <w:tc>
          <w:tcPr>
            <w:tcW w:w="1701" w:type="dxa"/>
          </w:tcPr>
          <w:p>
            <w:pPr>
              <w:pStyle w:val="TableParagraph"/>
              <w:spacing w:before="17"/>
              <w:ind w:left="438" w:right="429"/>
              <w:jc w:val="center"/>
              <w:rPr>
                <w:sz w:val="14"/>
              </w:rPr>
            </w:pPr>
            <w:r>
              <w:rPr>
                <w:color w:val="231F20"/>
                <w:sz w:val="14"/>
              </w:rPr>
              <w:t>4 950 841</w:t>
            </w:r>
          </w:p>
        </w:tc>
        <w:tc>
          <w:tcPr>
            <w:tcW w:w="1701" w:type="dxa"/>
          </w:tcPr>
          <w:p>
            <w:pPr>
              <w:pStyle w:val="TableParagraph"/>
              <w:spacing w:before="17"/>
              <w:ind w:left="437" w:right="429"/>
              <w:jc w:val="center"/>
              <w:rPr>
                <w:sz w:val="14"/>
              </w:rPr>
            </w:pPr>
            <w:r>
              <w:rPr>
                <w:color w:val="231F20"/>
                <w:sz w:val="14"/>
              </w:rPr>
              <w:t>7 517 002</w:t>
            </w:r>
          </w:p>
        </w:tc>
      </w:tr>
      <w:tr>
        <w:trPr>
          <w:trHeight w:val="200" w:hRule="atLeast"/>
        </w:trPr>
        <w:tc>
          <w:tcPr>
            <w:tcW w:w="1701" w:type="dxa"/>
          </w:tcPr>
          <w:p>
            <w:pPr>
              <w:pStyle w:val="TableParagraph"/>
              <w:spacing w:before="17"/>
              <w:ind w:left="438" w:right="429"/>
              <w:jc w:val="center"/>
              <w:rPr>
                <w:sz w:val="14"/>
              </w:rPr>
            </w:pPr>
            <w:r>
              <w:rPr>
                <w:color w:val="231F20"/>
                <w:sz w:val="14"/>
              </w:rPr>
              <w:t>O16</w:t>
            </w:r>
          </w:p>
        </w:tc>
        <w:tc>
          <w:tcPr>
            <w:tcW w:w="1701" w:type="dxa"/>
          </w:tcPr>
          <w:p>
            <w:pPr>
              <w:pStyle w:val="TableParagraph"/>
              <w:spacing w:before="17"/>
              <w:ind w:left="438" w:right="429"/>
              <w:jc w:val="center"/>
              <w:rPr>
                <w:sz w:val="14"/>
              </w:rPr>
            </w:pPr>
            <w:r>
              <w:rPr>
                <w:color w:val="231F20"/>
                <w:sz w:val="14"/>
              </w:rPr>
              <w:t>4 950 395</w:t>
            </w:r>
          </w:p>
        </w:tc>
        <w:tc>
          <w:tcPr>
            <w:tcW w:w="1701" w:type="dxa"/>
          </w:tcPr>
          <w:p>
            <w:pPr>
              <w:pStyle w:val="TableParagraph"/>
              <w:spacing w:before="17"/>
              <w:ind w:left="437" w:right="429"/>
              <w:jc w:val="center"/>
              <w:rPr>
                <w:sz w:val="14"/>
              </w:rPr>
            </w:pPr>
            <w:r>
              <w:rPr>
                <w:color w:val="231F20"/>
                <w:sz w:val="14"/>
              </w:rPr>
              <w:t>7 517 071</w:t>
            </w:r>
          </w:p>
        </w:tc>
      </w:tr>
      <w:tr>
        <w:trPr>
          <w:trHeight w:val="200" w:hRule="atLeast"/>
        </w:trPr>
        <w:tc>
          <w:tcPr>
            <w:tcW w:w="1701" w:type="dxa"/>
          </w:tcPr>
          <w:p>
            <w:pPr>
              <w:pStyle w:val="TableParagraph"/>
              <w:spacing w:before="17"/>
              <w:ind w:left="438" w:right="429"/>
              <w:jc w:val="center"/>
              <w:rPr>
                <w:sz w:val="14"/>
              </w:rPr>
            </w:pPr>
            <w:r>
              <w:rPr>
                <w:color w:val="231F20"/>
                <w:sz w:val="14"/>
              </w:rPr>
              <w:t>O17</w:t>
            </w:r>
          </w:p>
        </w:tc>
        <w:tc>
          <w:tcPr>
            <w:tcW w:w="1701" w:type="dxa"/>
          </w:tcPr>
          <w:p>
            <w:pPr>
              <w:pStyle w:val="TableParagraph"/>
              <w:spacing w:before="17"/>
              <w:ind w:left="438" w:right="429"/>
              <w:jc w:val="center"/>
              <w:rPr>
                <w:sz w:val="14"/>
              </w:rPr>
            </w:pPr>
            <w:r>
              <w:rPr>
                <w:color w:val="231F20"/>
                <w:sz w:val="14"/>
              </w:rPr>
              <w:t>4 950168</w:t>
            </w:r>
          </w:p>
        </w:tc>
        <w:tc>
          <w:tcPr>
            <w:tcW w:w="1701" w:type="dxa"/>
          </w:tcPr>
          <w:p>
            <w:pPr>
              <w:pStyle w:val="TableParagraph"/>
              <w:spacing w:before="17"/>
              <w:ind w:left="437" w:right="429"/>
              <w:jc w:val="center"/>
              <w:rPr>
                <w:sz w:val="14"/>
              </w:rPr>
            </w:pPr>
            <w:r>
              <w:rPr>
                <w:color w:val="231F20"/>
                <w:sz w:val="14"/>
              </w:rPr>
              <w:t>7 517 183</w:t>
            </w:r>
          </w:p>
        </w:tc>
      </w:tr>
      <w:tr>
        <w:trPr>
          <w:trHeight w:val="200" w:hRule="atLeast"/>
        </w:trPr>
        <w:tc>
          <w:tcPr>
            <w:tcW w:w="1701" w:type="dxa"/>
          </w:tcPr>
          <w:p>
            <w:pPr>
              <w:pStyle w:val="TableParagraph"/>
              <w:spacing w:before="17"/>
              <w:ind w:left="438" w:right="429"/>
              <w:jc w:val="center"/>
              <w:rPr>
                <w:sz w:val="14"/>
              </w:rPr>
            </w:pPr>
            <w:r>
              <w:rPr>
                <w:color w:val="231F20"/>
                <w:sz w:val="14"/>
              </w:rPr>
              <w:t>O18</w:t>
            </w:r>
          </w:p>
        </w:tc>
        <w:tc>
          <w:tcPr>
            <w:tcW w:w="1701" w:type="dxa"/>
          </w:tcPr>
          <w:p>
            <w:pPr>
              <w:pStyle w:val="TableParagraph"/>
              <w:spacing w:before="17"/>
              <w:ind w:left="438" w:right="429"/>
              <w:jc w:val="center"/>
              <w:rPr>
                <w:sz w:val="14"/>
              </w:rPr>
            </w:pPr>
            <w:r>
              <w:rPr>
                <w:color w:val="231F20"/>
                <w:sz w:val="14"/>
              </w:rPr>
              <w:t>4 949 967</w:t>
            </w:r>
          </w:p>
        </w:tc>
        <w:tc>
          <w:tcPr>
            <w:tcW w:w="1701" w:type="dxa"/>
          </w:tcPr>
          <w:p>
            <w:pPr>
              <w:pStyle w:val="TableParagraph"/>
              <w:spacing w:before="17"/>
              <w:ind w:left="437" w:right="429"/>
              <w:jc w:val="center"/>
              <w:rPr>
                <w:sz w:val="14"/>
              </w:rPr>
            </w:pPr>
            <w:r>
              <w:rPr>
                <w:color w:val="231F20"/>
                <w:sz w:val="14"/>
              </w:rPr>
              <w:t>7 517 182</w:t>
            </w:r>
          </w:p>
        </w:tc>
      </w:tr>
    </w:tbl>
    <w:p>
      <w:pPr>
        <w:pStyle w:val="BodyText"/>
        <w:spacing w:before="7"/>
        <w:ind w:left="0"/>
        <w:jc w:val="left"/>
        <w:rPr>
          <w:sz w:val="20"/>
        </w:rPr>
      </w:pPr>
    </w:p>
    <w:p>
      <w:pPr>
        <w:pStyle w:val="BodyText"/>
        <w:spacing w:line="232" w:lineRule="auto"/>
        <w:ind w:left="169" w:right="411" w:firstLine="396"/>
      </w:pPr>
      <w:r>
        <w:rPr>
          <w:color w:val="231F20"/>
        </w:rPr>
        <w:t>На траси цевовода за хидраулички транспорт пепела успо- ставља</w:t>
      </w:r>
      <w:r>
        <w:rPr>
          <w:color w:val="231F20"/>
          <w:spacing w:val="-5"/>
        </w:rPr>
        <w:t> </w:t>
      </w:r>
      <w:r>
        <w:rPr>
          <w:color w:val="231F20"/>
        </w:rPr>
        <w:t>се</w:t>
      </w:r>
      <w:r>
        <w:rPr>
          <w:color w:val="231F20"/>
          <w:spacing w:val="-6"/>
        </w:rPr>
        <w:t> </w:t>
      </w:r>
      <w:r>
        <w:rPr>
          <w:color w:val="231F20"/>
        </w:rPr>
        <w:t>диспозициони</w:t>
      </w:r>
      <w:r>
        <w:rPr>
          <w:color w:val="231F20"/>
          <w:spacing w:val="-5"/>
        </w:rPr>
        <w:t> </w:t>
      </w:r>
      <w:r>
        <w:rPr>
          <w:color w:val="231F20"/>
        </w:rPr>
        <w:t>однос</w:t>
      </w:r>
      <w:r>
        <w:rPr>
          <w:color w:val="231F20"/>
          <w:spacing w:val="-6"/>
        </w:rPr>
        <w:t> </w:t>
      </w:r>
      <w:r>
        <w:rPr>
          <w:color w:val="231F20"/>
        </w:rPr>
        <w:t>обезбеђивањем</w:t>
      </w:r>
      <w:r>
        <w:rPr>
          <w:color w:val="231F20"/>
          <w:spacing w:val="-5"/>
        </w:rPr>
        <w:t> </w:t>
      </w:r>
      <w:r>
        <w:rPr>
          <w:color w:val="231F20"/>
        </w:rPr>
        <w:t>растојања</w:t>
      </w:r>
      <w:r>
        <w:rPr>
          <w:color w:val="231F20"/>
          <w:spacing w:val="-6"/>
        </w:rPr>
        <w:t> </w:t>
      </w:r>
      <w:r>
        <w:rPr>
          <w:color w:val="231F20"/>
        </w:rPr>
        <w:t>у</w:t>
      </w:r>
      <w:r>
        <w:rPr>
          <w:color w:val="231F20"/>
          <w:spacing w:val="-6"/>
        </w:rPr>
        <w:t> </w:t>
      </w:r>
      <w:r>
        <w:rPr>
          <w:color w:val="231F20"/>
        </w:rPr>
        <w:t>односу на</w:t>
      </w:r>
      <w:r>
        <w:rPr>
          <w:color w:val="231F20"/>
          <w:spacing w:val="-8"/>
        </w:rPr>
        <w:t> </w:t>
      </w:r>
      <w:r>
        <w:rPr>
          <w:color w:val="231F20"/>
        </w:rPr>
        <w:t>друге</w:t>
      </w:r>
      <w:r>
        <w:rPr>
          <w:color w:val="231F20"/>
          <w:spacing w:val="-8"/>
        </w:rPr>
        <w:t> </w:t>
      </w:r>
      <w:r>
        <w:rPr>
          <w:color w:val="231F20"/>
        </w:rPr>
        <w:t>системе</w:t>
      </w:r>
      <w:r>
        <w:rPr>
          <w:color w:val="231F20"/>
          <w:spacing w:val="-8"/>
        </w:rPr>
        <w:t> </w:t>
      </w:r>
      <w:r>
        <w:rPr>
          <w:color w:val="231F20"/>
        </w:rPr>
        <w:t>у</w:t>
      </w:r>
      <w:r>
        <w:rPr>
          <w:color w:val="231F20"/>
          <w:spacing w:val="-8"/>
        </w:rPr>
        <w:t> </w:t>
      </w:r>
      <w:r>
        <w:rPr>
          <w:color w:val="231F20"/>
        </w:rPr>
        <w:t>заједничком</w:t>
      </w:r>
      <w:r>
        <w:rPr>
          <w:color w:val="231F20"/>
          <w:spacing w:val="-8"/>
        </w:rPr>
        <w:t> </w:t>
      </w:r>
      <w:r>
        <w:rPr>
          <w:color w:val="231F20"/>
        </w:rPr>
        <w:t>коридору</w:t>
      </w:r>
      <w:r>
        <w:rPr>
          <w:color w:val="231F20"/>
          <w:spacing w:val="-8"/>
        </w:rPr>
        <w:t> </w:t>
      </w:r>
      <w:r>
        <w:rPr>
          <w:color w:val="231F20"/>
        </w:rPr>
        <w:t>према</w:t>
      </w:r>
      <w:r>
        <w:rPr>
          <w:color w:val="231F20"/>
          <w:spacing w:val="-8"/>
        </w:rPr>
        <w:t> </w:t>
      </w:r>
      <w:r>
        <w:rPr>
          <w:color w:val="231F20"/>
        </w:rPr>
        <w:t>технолошким</w:t>
      </w:r>
      <w:r>
        <w:rPr>
          <w:color w:val="231F20"/>
          <w:spacing w:val="-8"/>
        </w:rPr>
        <w:t> </w:t>
      </w:r>
      <w:r>
        <w:rPr>
          <w:color w:val="231F20"/>
        </w:rPr>
        <w:t>зах- тевима управљача другог</w:t>
      </w:r>
      <w:r>
        <w:rPr>
          <w:color w:val="231F20"/>
          <w:spacing w:val="-2"/>
        </w:rPr>
        <w:t> </w:t>
      </w:r>
      <w:r>
        <w:rPr>
          <w:color w:val="231F20"/>
        </w:rPr>
        <w:t>система.</w:t>
      </w:r>
    </w:p>
    <w:p>
      <w:pPr>
        <w:pStyle w:val="BodyText"/>
        <w:spacing w:line="232" w:lineRule="auto"/>
        <w:ind w:left="169" w:right="411" w:firstLine="396"/>
      </w:pPr>
      <w:r>
        <w:rPr>
          <w:color w:val="231F20"/>
        </w:rPr>
        <w:t>Подсистем транспорта густе хидромешавине или пасте од термоелектране до депоније уређује се као транспортни коридор ширине до максимум 20 m у коме су смештени:</w:t>
      </w:r>
    </w:p>
    <w:p>
      <w:pPr>
        <w:pStyle w:val="BodyText"/>
        <w:spacing w:line="197" w:lineRule="exact"/>
        <w:ind w:left="567"/>
        <w:jc w:val="left"/>
      </w:pPr>
      <w:r>
        <w:rPr>
          <w:color w:val="231F20"/>
          <w:w w:val="66"/>
        </w:rPr>
        <w:t> </w:t>
      </w:r>
      <w:r>
        <w:rPr>
          <w:color w:val="231F20"/>
        </w:rPr>
        <w:t>– магистрални транспортни цевовод 3 x DN 219;</w:t>
      </w:r>
    </w:p>
    <w:p>
      <w:pPr>
        <w:pStyle w:val="BodyText"/>
        <w:spacing w:line="200" w:lineRule="exact"/>
        <w:ind w:left="567"/>
        <w:jc w:val="left"/>
      </w:pPr>
      <w:r>
        <w:rPr>
          <w:color w:val="231F20"/>
          <w:w w:val="66"/>
        </w:rPr>
        <w:t> </w:t>
      </w:r>
      <w:r>
        <w:rPr>
          <w:color w:val="231F20"/>
        </w:rPr>
        <w:t>– цевовод повратне воде Ø 200;</w:t>
      </w:r>
    </w:p>
    <w:p>
      <w:pPr>
        <w:pStyle w:val="BodyText"/>
        <w:spacing w:line="200" w:lineRule="exact"/>
        <w:ind w:left="567"/>
        <w:jc w:val="left"/>
      </w:pPr>
      <w:r>
        <w:rPr>
          <w:color w:val="231F20"/>
          <w:w w:val="66"/>
        </w:rPr>
        <w:t> </w:t>
      </w:r>
      <w:r>
        <w:rPr>
          <w:color w:val="231F20"/>
        </w:rPr>
        <w:t>– (евентуално) сервисна стаза ширине 6 m; и</w:t>
      </w:r>
    </w:p>
    <w:p>
      <w:pPr>
        <w:pStyle w:val="BodyText"/>
        <w:spacing w:line="200" w:lineRule="exact"/>
        <w:ind w:left="567"/>
        <w:jc w:val="left"/>
      </w:pPr>
      <w:r>
        <w:rPr>
          <w:color w:val="231F20"/>
          <w:w w:val="66"/>
        </w:rPr>
        <w:t> </w:t>
      </w:r>
      <w:r>
        <w:rPr>
          <w:color w:val="231F20"/>
        </w:rPr>
        <w:t>– потребни број таложних бетонских резервоара.</w:t>
      </w:r>
    </w:p>
    <w:p>
      <w:pPr>
        <w:pStyle w:val="BodyText"/>
        <w:spacing w:line="232" w:lineRule="auto"/>
        <w:ind w:right="411" w:firstLine="396"/>
      </w:pPr>
      <w:r>
        <w:rPr>
          <w:color w:val="231F20"/>
        </w:rPr>
        <w:t>Челични цевоводи за транспорт пепела и шљаке и цевовод повратне воде постављају се на бетонске постаменте директно или</w:t>
      </w:r>
      <w:r>
        <w:rPr>
          <w:color w:val="231F20"/>
          <w:spacing w:val="-5"/>
        </w:rPr>
        <w:t> </w:t>
      </w:r>
      <w:r>
        <w:rPr>
          <w:color w:val="231F20"/>
          <w:spacing w:val="-3"/>
        </w:rPr>
        <w:t>преко</w:t>
      </w:r>
      <w:r>
        <w:rPr>
          <w:color w:val="231F20"/>
          <w:spacing w:val="-5"/>
        </w:rPr>
        <w:t> </w:t>
      </w:r>
      <w:r>
        <w:rPr>
          <w:color w:val="231F20"/>
        </w:rPr>
        <w:t>носећих</w:t>
      </w:r>
      <w:r>
        <w:rPr>
          <w:color w:val="231F20"/>
          <w:spacing w:val="-6"/>
        </w:rPr>
        <w:t> </w:t>
      </w:r>
      <w:r>
        <w:rPr>
          <w:color w:val="231F20"/>
        </w:rPr>
        <w:t>конструкција</w:t>
      </w:r>
      <w:r>
        <w:rPr>
          <w:color w:val="231F20"/>
          <w:spacing w:val="-5"/>
        </w:rPr>
        <w:t> </w:t>
      </w:r>
      <w:r>
        <w:rPr>
          <w:color w:val="231F20"/>
        </w:rPr>
        <w:t>и</w:t>
      </w:r>
      <w:r>
        <w:rPr>
          <w:color w:val="231F20"/>
          <w:spacing w:val="-6"/>
        </w:rPr>
        <w:t> </w:t>
      </w:r>
      <w:r>
        <w:rPr>
          <w:color w:val="231F20"/>
        </w:rPr>
        <w:t>фиксирају</w:t>
      </w:r>
      <w:r>
        <w:rPr>
          <w:color w:val="231F20"/>
          <w:spacing w:val="-6"/>
        </w:rPr>
        <w:t> </w:t>
      </w:r>
      <w:r>
        <w:rPr>
          <w:color w:val="231F20"/>
        </w:rPr>
        <w:t>помоћу</w:t>
      </w:r>
      <w:r>
        <w:rPr>
          <w:color w:val="231F20"/>
          <w:spacing w:val="-5"/>
        </w:rPr>
        <w:t> </w:t>
      </w:r>
      <w:r>
        <w:rPr>
          <w:color w:val="231F20"/>
        </w:rPr>
        <w:t>челичних</w:t>
      </w:r>
      <w:r>
        <w:rPr>
          <w:color w:val="231F20"/>
          <w:spacing w:val="-5"/>
        </w:rPr>
        <w:t> </w:t>
      </w:r>
      <w:r>
        <w:rPr>
          <w:color w:val="231F20"/>
        </w:rPr>
        <w:t>ве- за. Растојање бетонских постамената је </w:t>
      </w:r>
      <w:r>
        <w:rPr>
          <w:color w:val="231F20"/>
          <w:spacing w:val="-4"/>
        </w:rPr>
        <w:t>око </w:t>
      </w:r>
      <w:r>
        <w:rPr>
          <w:color w:val="231F20"/>
        </w:rPr>
        <w:t>6 m, али с обзиром на мањи профил цеви за повратну </w:t>
      </w:r>
      <w:r>
        <w:rPr>
          <w:color w:val="231F20"/>
          <w:spacing w:val="-6"/>
        </w:rPr>
        <w:t>воду, </w:t>
      </w:r>
      <w:r>
        <w:rPr>
          <w:color w:val="231F20"/>
        </w:rPr>
        <w:t>на половини растера изводе се међуослонци, а веза је</w:t>
      </w:r>
      <w:r>
        <w:rPr>
          <w:color w:val="231F20"/>
          <w:spacing w:val="-3"/>
        </w:rPr>
        <w:t> </w:t>
      </w:r>
      <w:r>
        <w:rPr>
          <w:color w:val="231F20"/>
        </w:rPr>
        <w:t>налегањем.</w:t>
      </w:r>
    </w:p>
    <w:p>
      <w:pPr>
        <w:pStyle w:val="BodyText"/>
        <w:spacing w:line="232" w:lineRule="auto"/>
        <w:ind w:left="567" w:right="342"/>
        <w:jc w:val="left"/>
      </w:pPr>
      <w:r>
        <w:rPr>
          <w:color w:val="231F20"/>
        </w:rPr>
        <w:t>Магистрални </w:t>
      </w:r>
      <w:r>
        <w:rPr>
          <w:color w:val="231F20"/>
          <w:spacing w:val="-4"/>
        </w:rPr>
        <w:t>цевовод </w:t>
      </w:r>
      <w:r>
        <w:rPr>
          <w:color w:val="231F20"/>
        </w:rPr>
        <w:t>је са генералним </w:t>
      </w:r>
      <w:r>
        <w:rPr>
          <w:color w:val="231F20"/>
          <w:spacing w:val="-3"/>
        </w:rPr>
        <w:t>падом </w:t>
      </w:r>
      <w:r>
        <w:rPr>
          <w:color w:val="231F20"/>
        </w:rPr>
        <w:t>према депонији. Транспорт хидромешавине одвија се у две линије за припре-</w:t>
      </w:r>
    </w:p>
    <w:p>
      <w:pPr>
        <w:pStyle w:val="BodyText"/>
        <w:spacing w:line="232" w:lineRule="auto"/>
        <w:ind w:right="410"/>
      </w:pPr>
      <w:r>
        <w:rPr>
          <w:color w:val="231F20"/>
        </w:rPr>
        <w:t>му хидромешавине, преко три транспортне линије, од којих је јед- на радна, друга резервна и трећа у ремонту и разводом два крака цевовода по ободу депоније.</w:t>
      </w:r>
    </w:p>
    <w:p>
      <w:pPr>
        <w:pStyle w:val="BodyText"/>
        <w:spacing w:line="232" w:lineRule="auto"/>
        <w:ind w:right="410" w:firstLine="396"/>
      </w:pPr>
      <w:r>
        <w:rPr>
          <w:color w:val="231F20"/>
        </w:rPr>
        <w:t>Свака транспортна линија почиње од кондиционера и са- стоји се од по две спрегнуте центрифугалне муљне пумпе и ма- гистралних челичних цевовода DN 200 (219) на којима се налазе мерно-регулациони уређаји, компензатори, дренажни вентили и вентили за одзрачивање цевовода. На усису, испред пумпи налазе</w:t>
      </w:r>
    </w:p>
    <w:p>
      <w:pPr>
        <w:spacing w:line="149" w:lineRule="exact" w:before="0"/>
        <w:ind w:left="169" w:right="0" w:firstLine="0"/>
        <w:jc w:val="both"/>
        <w:rPr>
          <w:sz w:val="14"/>
        </w:rPr>
      </w:pPr>
      <w:r>
        <w:rPr>
          <w:color w:val="231F20"/>
          <w:w w:val="66"/>
          <w:sz w:val="14"/>
        </w:rPr>
        <w:t> </w:t>
      </w:r>
      <w:r>
        <w:rPr>
          <w:color w:val="231F20"/>
          <w:w w:val="75"/>
          <w:sz w:val="14"/>
        </w:rPr>
        <w:t>– – – – – – – – – – – – – –</w:t>
      </w:r>
    </w:p>
    <w:p>
      <w:pPr>
        <w:pStyle w:val="ListParagraph"/>
        <w:numPr>
          <w:ilvl w:val="0"/>
          <w:numId w:val="61"/>
        </w:numPr>
        <w:tabs>
          <w:tab w:pos="454" w:val="left" w:leader="none"/>
        </w:tabs>
        <w:spacing w:line="161" w:lineRule="exact" w:before="0" w:after="0"/>
        <w:ind w:left="453" w:right="0" w:hanging="284"/>
        <w:jc w:val="both"/>
        <w:rPr>
          <w:sz w:val="14"/>
        </w:rPr>
      </w:pPr>
      <w:r>
        <w:rPr>
          <w:color w:val="231F20"/>
          <w:sz w:val="14"/>
        </w:rPr>
        <w:t>Координате дате у Просторном плану су оријентационе и захтевају</w:t>
      </w:r>
      <w:r>
        <w:rPr>
          <w:color w:val="231F20"/>
          <w:spacing w:val="-18"/>
          <w:sz w:val="14"/>
        </w:rPr>
        <w:t> </w:t>
      </w:r>
      <w:r>
        <w:rPr>
          <w:color w:val="231F20"/>
          <w:sz w:val="14"/>
        </w:rPr>
        <w:t>проверу</w:t>
      </w:r>
    </w:p>
    <w:p>
      <w:pPr>
        <w:spacing w:after="0" w:line="161" w:lineRule="exact"/>
        <w:jc w:val="both"/>
        <w:rPr>
          <w:sz w:val="14"/>
        </w:rPr>
        <w:sectPr>
          <w:pgSz w:w="12480" w:h="15690"/>
          <w:pgMar w:top="120" w:bottom="280" w:left="680" w:right="720"/>
          <w:cols w:num="2" w:equalWidth="0">
            <w:col w:w="5317" w:space="70"/>
            <w:col w:w="5693"/>
          </w:cols>
        </w:sectPr>
      </w:pPr>
    </w:p>
    <w:p>
      <w:pPr>
        <w:pStyle w:val="BodyText"/>
        <w:spacing w:line="232" w:lineRule="auto" w:before="73"/>
        <w:ind w:left="268" w:right="1"/>
        <w:jc w:val="right"/>
      </w:pPr>
      <w:r>
        <w:rPr/>
        <w:pict>
          <v:line style="position:absolute;mso-position-horizontal-relative:page;mso-position-vertical-relative:page;z-index:4432" from="318.897614pt,11.942451pt" to="318.897614pt,748.950451pt" stroked="true" strokeweight=".6pt" strokecolor="#231f20">
            <v:stroke dashstyle="solid"/>
            <w10:wrap type="none"/>
          </v:line>
        </w:pict>
      </w:r>
      <w:r>
        <w:rPr>
          <w:color w:val="231F20"/>
        </w:rPr>
        <w:t>се затварачи са ручним погоном, а на почетку потисних цевовода неповратне клапне. Иза неповратних клапни инсталисани су ме- рачи протока хидромешавине, мерачи густине и мерачи притиска. На магистрални цевовод, на депонији пепела и шљаке наста-</w:t>
      </w:r>
    </w:p>
    <w:p>
      <w:pPr>
        <w:pStyle w:val="BodyText"/>
        <w:spacing w:line="199" w:lineRule="exact"/>
        <w:ind w:left="453"/>
        <w:jc w:val="left"/>
      </w:pPr>
      <w:r>
        <w:rPr>
          <w:color w:val="231F20"/>
        </w:rPr>
        <w:t>вља се развод монтажно-демонтажног цевовода.</w:t>
      </w:r>
    </w:p>
    <w:p>
      <w:pPr>
        <w:pStyle w:val="BodyText"/>
        <w:spacing w:line="235" w:lineRule="auto" w:before="1"/>
        <w:ind w:left="453" w:right="1" w:firstLine="396"/>
      </w:pPr>
      <w:r>
        <w:rPr>
          <w:color w:val="231F20"/>
        </w:rPr>
        <w:t>Дренирање магистралног цевовода врши се у зимским усло- вима када су температуре испод нуле, након заустављања и испи- рања радне линије и у хаваријским ситуацијама током целе годи- не. Цевовод има генерални пад према депонији и дренирање ће се вршити у дренажној касети која ће се налазити у подножју депо- није, запремине 50 m³, што је довољно да прихвати целокупну ко- личину воде или хидромешавине из магистралног цевовода радне линије.</w:t>
      </w:r>
    </w:p>
    <w:p>
      <w:pPr>
        <w:pStyle w:val="BodyText"/>
        <w:spacing w:line="235" w:lineRule="auto"/>
        <w:ind w:left="453" w:right="1" w:firstLine="397"/>
      </w:pPr>
      <w:r>
        <w:rPr>
          <w:color w:val="231F20"/>
        </w:rPr>
        <w:t>Дренирање кондиционера врши се у случају непредвиђеног заустављања рада транспортне линије. Дренирање се врши у дре- нажну</w:t>
      </w:r>
      <w:r>
        <w:rPr>
          <w:color w:val="231F20"/>
          <w:spacing w:val="-8"/>
        </w:rPr>
        <w:t> </w:t>
      </w:r>
      <w:r>
        <w:rPr>
          <w:color w:val="231F20"/>
        </w:rPr>
        <w:t>шахту</w:t>
      </w:r>
      <w:r>
        <w:rPr>
          <w:color w:val="231F20"/>
          <w:spacing w:val="-8"/>
        </w:rPr>
        <w:t> </w:t>
      </w:r>
      <w:r>
        <w:rPr>
          <w:color w:val="231F20"/>
          <w:spacing w:val="-3"/>
        </w:rPr>
        <w:t>која</w:t>
      </w:r>
      <w:r>
        <w:rPr>
          <w:color w:val="231F20"/>
          <w:spacing w:val="-8"/>
        </w:rPr>
        <w:t> </w:t>
      </w:r>
      <w:r>
        <w:rPr>
          <w:color w:val="231F20"/>
        </w:rPr>
        <w:t>се</w:t>
      </w:r>
      <w:r>
        <w:rPr>
          <w:color w:val="231F20"/>
          <w:spacing w:val="-8"/>
        </w:rPr>
        <w:t> </w:t>
      </w:r>
      <w:r>
        <w:rPr>
          <w:color w:val="231F20"/>
        </w:rPr>
        <w:t>налази</w:t>
      </w:r>
      <w:r>
        <w:rPr>
          <w:color w:val="231F20"/>
          <w:spacing w:val="-8"/>
        </w:rPr>
        <w:t> </w:t>
      </w:r>
      <w:r>
        <w:rPr>
          <w:color w:val="231F20"/>
        </w:rPr>
        <w:t>испод</w:t>
      </w:r>
      <w:r>
        <w:rPr>
          <w:color w:val="231F20"/>
          <w:spacing w:val="-8"/>
        </w:rPr>
        <w:t> </w:t>
      </w:r>
      <w:r>
        <w:rPr>
          <w:color w:val="231F20"/>
        </w:rPr>
        <w:t>кондиционера,</w:t>
      </w:r>
      <w:r>
        <w:rPr>
          <w:color w:val="231F20"/>
          <w:spacing w:val="-8"/>
        </w:rPr>
        <w:t> </w:t>
      </w:r>
      <w:r>
        <w:rPr>
          <w:color w:val="231F20"/>
        </w:rPr>
        <w:t>запремине</w:t>
      </w:r>
      <w:r>
        <w:rPr>
          <w:color w:val="231F20"/>
          <w:spacing w:val="-8"/>
        </w:rPr>
        <w:t> </w:t>
      </w:r>
      <w:r>
        <w:rPr>
          <w:color w:val="231F20"/>
        </w:rPr>
        <w:t>30</w:t>
      </w:r>
      <w:r>
        <w:rPr>
          <w:color w:val="231F20"/>
          <w:spacing w:val="-8"/>
        </w:rPr>
        <w:t> </w:t>
      </w:r>
      <w:r>
        <w:rPr>
          <w:color w:val="231F20"/>
        </w:rPr>
        <w:t>m³, што је довољно да прими целокупни садржај кондиционера. При- </w:t>
      </w:r>
      <w:r>
        <w:rPr>
          <w:color w:val="231F20"/>
          <w:spacing w:val="-3"/>
        </w:rPr>
        <w:t>нудно </w:t>
      </w:r>
      <w:r>
        <w:rPr>
          <w:color w:val="231F20"/>
        </w:rPr>
        <w:t>испражњен материјал се из дренажне шахте одмах празни помоћу дренажне вертикалне пумпе потисним цевоводом у дехи- дратор </w:t>
      </w:r>
      <w:r>
        <w:rPr>
          <w:color w:val="231F20"/>
          <w:spacing w:val="-3"/>
        </w:rPr>
        <w:t>који </w:t>
      </w:r>
      <w:r>
        <w:rPr>
          <w:color w:val="231F20"/>
        </w:rPr>
        <w:t>је у</w:t>
      </w:r>
      <w:r>
        <w:rPr>
          <w:color w:val="231F20"/>
          <w:spacing w:val="1"/>
        </w:rPr>
        <w:t> </w:t>
      </w:r>
      <w:r>
        <w:rPr>
          <w:color w:val="231F20"/>
          <w:spacing w:val="-4"/>
        </w:rPr>
        <w:t>раду.</w:t>
      </w:r>
    </w:p>
    <w:p>
      <w:pPr>
        <w:pStyle w:val="BodyText"/>
        <w:spacing w:line="235" w:lineRule="auto"/>
        <w:ind w:left="453" w:right="1" w:firstLine="397"/>
      </w:pPr>
      <w:r>
        <w:rPr>
          <w:color w:val="231F20"/>
        </w:rPr>
        <w:t>У случају хаваријског престанка рада, испуштања мешавине из цевовода врши се у предвиђене таложне резервоаре. </w:t>
      </w:r>
      <w:r>
        <w:rPr>
          <w:color w:val="231F20"/>
          <w:spacing w:val="-3"/>
        </w:rPr>
        <w:t>Након </w:t>
      </w:r>
      <w:r>
        <w:rPr>
          <w:color w:val="231F20"/>
        </w:rPr>
        <w:t>та- ложења</w:t>
      </w:r>
      <w:r>
        <w:rPr>
          <w:color w:val="231F20"/>
          <w:spacing w:val="-8"/>
        </w:rPr>
        <w:t> </w:t>
      </w:r>
      <w:r>
        <w:rPr>
          <w:color w:val="231F20"/>
        </w:rPr>
        <w:t>пепела</w:t>
      </w:r>
      <w:r>
        <w:rPr>
          <w:color w:val="231F20"/>
          <w:spacing w:val="-8"/>
        </w:rPr>
        <w:t> </w:t>
      </w:r>
      <w:r>
        <w:rPr>
          <w:color w:val="231F20"/>
        </w:rPr>
        <w:t>и</w:t>
      </w:r>
      <w:r>
        <w:rPr>
          <w:color w:val="231F20"/>
          <w:spacing w:val="-8"/>
        </w:rPr>
        <w:t> </w:t>
      </w:r>
      <w:r>
        <w:rPr>
          <w:color w:val="231F20"/>
        </w:rPr>
        <w:t>шљаке,</w:t>
      </w:r>
      <w:r>
        <w:rPr>
          <w:color w:val="231F20"/>
          <w:spacing w:val="-8"/>
        </w:rPr>
        <w:t> </w:t>
      </w:r>
      <w:r>
        <w:rPr>
          <w:color w:val="231F20"/>
        </w:rPr>
        <w:t>вода</w:t>
      </w:r>
      <w:r>
        <w:rPr>
          <w:color w:val="231F20"/>
          <w:spacing w:val="-8"/>
        </w:rPr>
        <w:t> </w:t>
      </w:r>
      <w:r>
        <w:rPr>
          <w:color w:val="231F20"/>
        </w:rPr>
        <w:t>загађена</w:t>
      </w:r>
      <w:r>
        <w:rPr>
          <w:color w:val="231F20"/>
          <w:spacing w:val="-8"/>
        </w:rPr>
        <w:t> </w:t>
      </w:r>
      <w:r>
        <w:rPr>
          <w:color w:val="231F20"/>
        </w:rPr>
        <w:t>раствореним</w:t>
      </w:r>
      <w:r>
        <w:rPr>
          <w:color w:val="231F20"/>
          <w:spacing w:val="-8"/>
        </w:rPr>
        <w:t> </w:t>
      </w:r>
      <w:r>
        <w:rPr>
          <w:color w:val="231F20"/>
        </w:rPr>
        <w:t>материјама</w:t>
      </w:r>
      <w:r>
        <w:rPr>
          <w:color w:val="231F20"/>
          <w:spacing w:val="-8"/>
        </w:rPr>
        <w:t> </w:t>
      </w:r>
      <w:r>
        <w:rPr>
          <w:color w:val="231F20"/>
        </w:rPr>
        <w:t>из пепела (свега 60 – 100 m³ по једном испуштању) биће</w:t>
      </w:r>
      <w:r>
        <w:rPr>
          <w:color w:val="231F20"/>
          <w:spacing w:val="-27"/>
        </w:rPr>
        <w:t> </w:t>
      </w:r>
      <w:r>
        <w:rPr>
          <w:color w:val="231F20"/>
        </w:rPr>
        <w:t>контролиса- но испуштана у</w:t>
      </w:r>
      <w:r>
        <w:rPr>
          <w:color w:val="231F20"/>
          <w:spacing w:val="-3"/>
        </w:rPr>
        <w:t> </w:t>
      </w:r>
      <w:r>
        <w:rPr>
          <w:color w:val="231F20"/>
        </w:rPr>
        <w:t>реципијент.</w:t>
      </w:r>
    </w:p>
    <w:p>
      <w:pPr>
        <w:pStyle w:val="BodyText"/>
        <w:spacing w:line="235" w:lineRule="auto"/>
        <w:ind w:left="453" w:right="1" w:firstLine="396"/>
      </w:pPr>
      <w:r>
        <w:rPr>
          <w:color w:val="231F20"/>
        </w:rPr>
        <w:t>На крају </w:t>
      </w:r>
      <w:r>
        <w:rPr>
          <w:color w:val="231F20"/>
          <w:spacing w:val="-3"/>
        </w:rPr>
        <w:t>цевовода </w:t>
      </w:r>
      <w:r>
        <w:rPr>
          <w:color w:val="231F20"/>
        </w:rPr>
        <w:t>налазе се неповратне клапне чиме се спре- чава </w:t>
      </w:r>
      <w:r>
        <w:rPr>
          <w:color w:val="231F20"/>
          <w:spacing w:val="-3"/>
        </w:rPr>
        <w:t>улаз </w:t>
      </w:r>
      <w:r>
        <w:rPr>
          <w:color w:val="231F20"/>
        </w:rPr>
        <w:t>хидомешавине у </w:t>
      </w:r>
      <w:r>
        <w:rPr>
          <w:color w:val="231F20"/>
          <w:spacing w:val="-3"/>
        </w:rPr>
        <w:t>цевовод </w:t>
      </w:r>
      <w:r>
        <w:rPr>
          <w:color w:val="231F20"/>
          <w:spacing w:val="-4"/>
        </w:rPr>
        <w:t>који </w:t>
      </w:r>
      <w:r>
        <w:rPr>
          <w:color w:val="231F20"/>
        </w:rPr>
        <w:t>није у </w:t>
      </w:r>
      <w:r>
        <w:rPr>
          <w:color w:val="231F20"/>
          <w:spacing w:val="-5"/>
        </w:rPr>
        <w:t>раду. </w:t>
      </w:r>
      <w:r>
        <w:rPr>
          <w:color w:val="231F20"/>
          <w:spacing w:val="-3"/>
        </w:rPr>
        <w:t>Цевовод </w:t>
      </w:r>
      <w:r>
        <w:rPr>
          <w:color w:val="231F20"/>
        </w:rPr>
        <w:t>се за- вршава слободним истакањем на самом </w:t>
      </w:r>
      <w:r>
        <w:rPr>
          <w:color w:val="231F20"/>
          <w:spacing w:val="-3"/>
        </w:rPr>
        <w:t>уласку </w:t>
      </w:r>
      <w:r>
        <w:rPr>
          <w:color w:val="231F20"/>
        </w:rPr>
        <w:t>у </w:t>
      </w:r>
      <w:r>
        <w:rPr>
          <w:color w:val="231F20"/>
          <w:spacing w:val="-3"/>
        </w:rPr>
        <w:t>депонију. Развод </w:t>
      </w:r>
      <w:r>
        <w:rPr>
          <w:color w:val="231F20"/>
        </w:rPr>
        <w:t>по ободу депоније врши се помоћу два крака монтажно-демонта- жног цевовода </w:t>
      </w:r>
      <w:r>
        <w:rPr>
          <w:color w:val="231F20"/>
          <w:spacing w:val="-4"/>
        </w:rPr>
        <w:t>од </w:t>
      </w:r>
      <w:r>
        <w:rPr>
          <w:color w:val="231F20"/>
        </w:rPr>
        <w:t>ХДПЕ. </w:t>
      </w:r>
      <w:r>
        <w:rPr>
          <w:color w:val="231F20"/>
          <w:spacing w:val="-4"/>
        </w:rPr>
        <w:t>Усмеравање </w:t>
      </w:r>
      <w:r>
        <w:rPr>
          <w:color w:val="231F20"/>
        </w:rPr>
        <w:t>се врши отварањем и </w:t>
      </w:r>
      <w:r>
        <w:rPr>
          <w:color w:val="231F20"/>
          <w:spacing w:val="-3"/>
        </w:rPr>
        <w:t>затва- </w:t>
      </w:r>
      <w:r>
        <w:rPr>
          <w:color w:val="231F20"/>
        </w:rPr>
        <w:t>рањем вентила. Са насипа се из цевовода </w:t>
      </w:r>
      <w:r>
        <w:rPr>
          <w:color w:val="231F20"/>
          <w:spacing w:val="-3"/>
        </w:rPr>
        <w:t>одвајају истакачке </w:t>
      </w:r>
      <w:r>
        <w:rPr>
          <w:color w:val="231F20"/>
        </w:rPr>
        <w:t>гране за</w:t>
      </w:r>
      <w:r>
        <w:rPr>
          <w:color w:val="231F20"/>
          <w:spacing w:val="-13"/>
        </w:rPr>
        <w:t> </w:t>
      </w:r>
      <w:r>
        <w:rPr>
          <w:color w:val="231F20"/>
        </w:rPr>
        <w:t>директно</w:t>
      </w:r>
      <w:r>
        <w:rPr>
          <w:color w:val="231F20"/>
          <w:spacing w:val="-13"/>
        </w:rPr>
        <w:t> </w:t>
      </w:r>
      <w:r>
        <w:rPr>
          <w:color w:val="231F20"/>
        </w:rPr>
        <w:t>истакање</w:t>
      </w:r>
      <w:r>
        <w:rPr>
          <w:color w:val="231F20"/>
          <w:spacing w:val="-13"/>
        </w:rPr>
        <w:t> </w:t>
      </w:r>
      <w:r>
        <w:rPr>
          <w:color w:val="231F20"/>
        </w:rPr>
        <w:t>„густе”</w:t>
      </w:r>
      <w:r>
        <w:rPr>
          <w:color w:val="231F20"/>
          <w:spacing w:val="-13"/>
        </w:rPr>
        <w:t> </w:t>
      </w:r>
      <w:r>
        <w:rPr>
          <w:color w:val="231F20"/>
        </w:rPr>
        <w:t>хидромешавине</w:t>
      </w:r>
      <w:r>
        <w:rPr>
          <w:color w:val="231F20"/>
          <w:spacing w:val="-13"/>
        </w:rPr>
        <w:t> </w:t>
      </w:r>
      <w:r>
        <w:rPr>
          <w:color w:val="231F20"/>
        </w:rPr>
        <w:t>пепела</w:t>
      </w:r>
      <w:r>
        <w:rPr>
          <w:color w:val="231F20"/>
          <w:spacing w:val="-13"/>
        </w:rPr>
        <w:t> </w:t>
      </w:r>
      <w:r>
        <w:rPr>
          <w:color w:val="231F20"/>
        </w:rPr>
        <w:t>и</w:t>
      </w:r>
      <w:r>
        <w:rPr>
          <w:color w:val="231F20"/>
          <w:spacing w:val="-13"/>
        </w:rPr>
        <w:t> </w:t>
      </w:r>
      <w:r>
        <w:rPr>
          <w:color w:val="231F20"/>
        </w:rPr>
        <w:t>шљаке,</w:t>
      </w:r>
      <w:r>
        <w:rPr>
          <w:color w:val="231F20"/>
          <w:spacing w:val="-13"/>
        </w:rPr>
        <w:t> </w:t>
      </w:r>
      <w:r>
        <w:rPr>
          <w:color w:val="231F20"/>
          <w:spacing w:val="-4"/>
        </w:rPr>
        <w:t>које </w:t>
      </w:r>
      <w:r>
        <w:rPr>
          <w:color w:val="231F20"/>
        </w:rPr>
        <w:t>су међусобно распоређене на </w:t>
      </w:r>
      <w:r>
        <w:rPr>
          <w:color w:val="231F20"/>
          <w:spacing w:val="-2"/>
        </w:rPr>
        <w:t>удаљеност </w:t>
      </w:r>
      <w:r>
        <w:rPr>
          <w:color w:val="231F20"/>
          <w:spacing w:val="-4"/>
        </w:rPr>
        <w:t>од око </w:t>
      </w:r>
      <w:r>
        <w:rPr>
          <w:color w:val="231F20"/>
        </w:rPr>
        <w:t>50 m. Отварањем</w:t>
      </w:r>
      <w:r>
        <w:rPr>
          <w:color w:val="231F20"/>
          <w:spacing w:val="-25"/>
        </w:rPr>
        <w:t> </w:t>
      </w:r>
      <w:r>
        <w:rPr>
          <w:color w:val="231F20"/>
        </w:rPr>
        <w:t>и затварањем вентила усмерава се хидромешавина на директно ис- такање одређеним истакачким гранама. Два крака цевовода раде наизменично, </w:t>
      </w:r>
      <w:r>
        <w:rPr>
          <w:color w:val="231F20"/>
          <w:spacing w:val="-3"/>
        </w:rPr>
        <w:t>тако </w:t>
      </w:r>
      <w:r>
        <w:rPr>
          <w:color w:val="231F20"/>
        </w:rPr>
        <w:t>да док се рад одвија на </w:t>
      </w:r>
      <w:r>
        <w:rPr>
          <w:color w:val="231F20"/>
          <w:spacing w:val="-3"/>
        </w:rPr>
        <w:t>једном </w:t>
      </w:r>
      <w:r>
        <w:rPr>
          <w:color w:val="231F20"/>
        </w:rPr>
        <w:t>краку разводног цевовода, на </w:t>
      </w:r>
      <w:r>
        <w:rPr>
          <w:color w:val="231F20"/>
          <w:spacing w:val="-3"/>
        </w:rPr>
        <w:t>другом </w:t>
      </w:r>
      <w:r>
        <w:rPr>
          <w:color w:val="231F20"/>
          <w:spacing w:val="-5"/>
        </w:rPr>
        <w:t>краку, </w:t>
      </w:r>
      <w:r>
        <w:rPr>
          <w:color w:val="231F20"/>
          <w:spacing w:val="-4"/>
        </w:rPr>
        <w:t>који </w:t>
      </w:r>
      <w:r>
        <w:rPr>
          <w:color w:val="231F20"/>
        </w:rPr>
        <w:t>није у </w:t>
      </w:r>
      <w:r>
        <w:rPr>
          <w:color w:val="231F20"/>
          <w:spacing w:val="-5"/>
        </w:rPr>
        <w:t>раду, </w:t>
      </w:r>
      <w:r>
        <w:rPr>
          <w:color w:val="231F20"/>
        </w:rPr>
        <w:t>врше се потребне при- премне радње за истакање или надградњу као што су настављање цевовода, измештање, дренирање или припрема</w:t>
      </w:r>
      <w:r>
        <w:rPr>
          <w:color w:val="231F20"/>
          <w:spacing w:val="-25"/>
        </w:rPr>
        <w:t> </w:t>
      </w:r>
      <w:r>
        <w:rPr>
          <w:color w:val="231F20"/>
        </w:rPr>
        <w:t>истакача.</w:t>
      </w:r>
    </w:p>
    <w:p>
      <w:pPr>
        <w:pStyle w:val="BodyText"/>
        <w:spacing w:line="235" w:lineRule="auto"/>
        <w:ind w:left="454" w:firstLine="397"/>
      </w:pPr>
      <w:r>
        <w:rPr>
          <w:color w:val="231F20"/>
        </w:rPr>
        <w:t>Сва вода прикупљена дренажним системом са депоније</w:t>
      </w:r>
      <w:r>
        <w:rPr>
          <w:color w:val="231F20"/>
          <w:spacing w:val="-27"/>
        </w:rPr>
        <w:t> </w:t>
      </w:r>
      <w:r>
        <w:rPr>
          <w:color w:val="231F20"/>
        </w:rPr>
        <w:t>(дре- нажна, преливна и атмосферска) се прикупља у акумулациони ба- зен, </w:t>
      </w:r>
      <w:r>
        <w:rPr>
          <w:color w:val="231F20"/>
          <w:spacing w:val="-3"/>
        </w:rPr>
        <w:t>који </w:t>
      </w:r>
      <w:r>
        <w:rPr>
          <w:color w:val="231F20"/>
        </w:rPr>
        <w:t>се налази на депонији пепела поред пумпне станице. Ова вода</w:t>
      </w:r>
      <w:r>
        <w:rPr>
          <w:color w:val="231F20"/>
          <w:spacing w:val="-7"/>
        </w:rPr>
        <w:t> </w:t>
      </w:r>
      <w:r>
        <w:rPr>
          <w:color w:val="231F20"/>
        </w:rPr>
        <w:t>се</w:t>
      </w:r>
      <w:r>
        <w:rPr>
          <w:color w:val="231F20"/>
          <w:spacing w:val="-7"/>
        </w:rPr>
        <w:t> </w:t>
      </w:r>
      <w:r>
        <w:rPr>
          <w:color w:val="231F20"/>
        </w:rPr>
        <w:t>постојећим</w:t>
      </w:r>
      <w:r>
        <w:rPr>
          <w:color w:val="231F20"/>
          <w:spacing w:val="-7"/>
        </w:rPr>
        <w:t> </w:t>
      </w:r>
      <w:r>
        <w:rPr>
          <w:color w:val="231F20"/>
        </w:rPr>
        <w:t>пумпама</w:t>
      </w:r>
      <w:r>
        <w:rPr>
          <w:color w:val="231F20"/>
          <w:spacing w:val="-7"/>
        </w:rPr>
        <w:t> </w:t>
      </w:r>
      <w:r>
        <w:rPr>
          <w:color w:val="231F20"/>
        </w:rPr>
        <w:t>у</w:t>
      </w:r>
      <w:r>
        <w:rPr>
          <w:color w:val="231F20"/>
          <w:spacing w:val="-7"/>
        </w:rPr>
        <w:t> </w:t>
      </w:r>
      <w:r>
        <w:rPr>
          <w:color w:val="231F20"/>
        </w:rPr>
        <w:t>пумпној</w:t>
      </w:r>
      <w:r>
        <w:rPr>
          <w:color w:val="231F20"/>
          <w:spacing w:val="-7"/>
        </w:rPr>
        <w:t> </w:t>
      </w:r>
      <w:r>
        <w:rPr>
          <w:color w:val="231F20"/>
        </w:rPr>
        <w:t>станици,</w:t>
      </w:r>
      <w:r>
        <w:rPr>
          <w:color w:val="231F20"/>
          <w:spacing w:val="-7"/>
        </w:rPr>
        <w:t> </w:t>
      </w:r>
      <w:r>
        <w:rPr>
          <w:color w:val="231F20"/>
        </w:rPr>
        <w:t>укопаним</w:t>
      </w:r>
      <w:r>
        <w:rPr>
          <w:color w:val="231F20"/>
          <w:spacing w:val="-7"/>
        </w:rPr>
        <w:t> </w:t>
      </w:r>
      <w:r>
        <w:rPr>
          <w:color w:val="231F20"/>
        </w:rPr>
        <w:t>цевово- дом (трасом магистралног цевовода транспортује у електрану од- носно у постојећи резервоар багер пумпи блока А2 </w:t>
      </w:r>
      <w:r>
        <w:rPr>
          <w:color w:val="231F20"/>
          <w:spacing w:val="-3"/>
        </w:rPr>
        <w:t>који </w:t>
      </w:r>
      <w:r>
        <w:rPr>
          <w:color w:val="231F20"/>
        </w:rPr>
        <w:t>служи</w:t>
      </w:r>
      <w:r>
        <w:rPr>
          <w:color w:val="231F20"/>
          <w:spacing w:val="-30"/>
        </w:rPr>
        <w:t> </w:t>
      </w:r>
      <w:r>
        <w:rPr>
          <w:color w:val="231F20"/>
        </w:rPr>
        <w:t>као резервоар технолошке</w:t>
      </w:r>
      <w:r>
        <w:rPr>
          <w:color w:val="231F20"/>
          <w:spacing w:val="-1"/>
        </w:rPr>
        <w:t> </w:t>
      </w:r>
      <w:r>
        <w:rPr>
          <w:color w:val="231F20"/>
        </w:rPr>
        <w:t>воде.</w:t>
      </w:r>
    </w:p>
    <w:p>
      <w:pPr>
        <w:pStyle w:val="ListParagraph"/>
        <w:numPr>
          <w:ilvl w:val="2"/>
          <w:numId w:val="66"/>
        </w:numPr>
        <w:tabs>
          <w:tab w:pos="1344" w:val="left" w:leader="none"/>
        </w:tabs>
        <w:spacing w:line="406" w:lineRule="exact" w:before="0" w:after="0"/>
        <w:ind w:left="851" w:right="1" w:firstLine="42"/>
        <w:jc w:val="left"/>
        <w:rPr>
          <w:sz w:val="18"/>
        </w:rPr>
      </w:pPr>
      <w:r>
        <w:rPr>
          <w:color w:val="231F20"/>
          <w:spacing w:val="16"/>
          <w:sz w:val="18"/>
        </w:rPr>
        <w:t>Правила </w:t>
      </w:r>
      <w:r>
        <w:rPr>
          <w:color w:val="231F20"/>
          <w:spacing w:val="17"/>
          <w:sz w:val="18"/>
        </w:rPr>
        <w:t>парцелације </w:t>
      </w:r>
      <w:r>
        <w:rPr>
          <w:color w:val="231F20"/>
          <w:sz w:val="18"/>
        </w:rPr>
        <w:t>и </w:t>
      </w:r>
      <w:r>
        <w:rPr>
          <w:color w:val="231F20"/>
          <w:spacing w:val="17"/>
          <w:sz w:val="18"/>
        </w:rPr>
        <w:t>препарцелације </w:t>
      </w:r>
      <w:r>
        <w:rPr>
          <w:color w:val="231F20"/>
          <w:sz w:val="18"/>
        </w:rPr>
        <w:t>Грађевинске</w:t>
      </w:r>
      <w:r>
        <w:rPr>
          <w:color w:val="231F20"/>
          <w:spacing w:val="18"/>
          <w:sz w:val="18"/>
        </w:rPr>
        <w:t> </w:t>
      </w:r>
      <w:r>
        <w:rPr>
          <w:color w:val="231F20"/>
          <w:sz w:val="18"/>
        </w:rPr>
        <w:t>парцеле</w:t>
      </w:r>
      <w:r>
        <w:rPr>
          <w:color w:val="231F20"/>
          <w:spacing w:val="18"/>
          <w:sz w:val="18"/>
        </w:rPr>
        <w:t> </w:t>
      </w:r>
      <w:r>
        <w:rPr>
          <w:color w:val="231F20"/>
          <w:sz w:val="18"/>
        </w:rPr>
        <w:t>ће</w:t>
      </w:r>
      <w:r>
        <w:rPr>
          <w:color w:val="231F20"/>
          <w:spacing w:val="18"/>
          <w:sz w:val="18"/>
        </w:rPr>
        <w:t> </w:t>
      </w:r>
      <w:r>
        <w:rPr>
          <w:color w:val="231F20"/>
          <w:sz w:val="18"/>
        </w:rPr>
        <w:t>се</w:t>
      </w:r>
      <w:r>
        <w:rPr>
          <w:color w:val="231F20"/>
          <w:spacing w:val="18"/>
          <w:sz w:val="18"/>
        </w:rPr>
        <w:t> </w:t>
      </w:r>
      <w:r>
        <w:rPr>
          <w:color w:val="231F20"/>
          <w:sz w:val="18"/>
        </w:rPr>
        <w:t>формирати</w:t>
      </w:r>
      <w:r>
        <w:rPr>
          <w:color w:val="231F20"/>
          <w:spacing w:val="18"/>
          <w:sz w:val="18"/>
        </w:rPr>
        <w:t> </w:t>
      </w:r>
      <w:r>
        <w:rPr>
          <w:color w:val="231F20"/>
          <w:sz w:val="18"/>
        </w:rPr>
        <w:t>за</w:t>
      </w:r>
      <w:r>
        <w:rPr>
          <w:color w:val="231F20"/>
          <w:spacing w:val="18"/>
          <w:sz w:val="18"/>
        </w:rPr>
        <w:t> </w:t>
      </w:r>
      <w:r>
        <w:rPr>
          <w:color w:val="231F20"/>
          <w:sz w:val="18"/>
        </w:rPr>
        <w:t>потребе</w:t>
      </w:r>
      <w:r>
        <w:rPr>
          <w:color w:val="231F20"/>
          <w:spacing w:val="18"/>
          <w:sz w:val="18"/>
        </w:rPr>
        <w:t> </w:t>
      </w:r>
      <w:r>
        <w:rPr>
          <w:color w:val="231F20"/>
          <w:sz w:val="18"/>
        </w:rPr>
        <w:t>изградње</w:t>
      </w:r>
    </w:p>
    <w:p>
      <w:pPr>
        <w:pStyle w:val="BodyText"/>
        <w:spacing w:line="157" w:lineRule="exact"/>
        <w:ind w:left="454"/>
        <w:jc w:val="left"/>
      </w:pPr>
      <w:r>
        <w:rPr>
          <w:color w:val="231F20"/>
        </w:rPr>
        <w:t>цевовода</w:t>
      </w:r>
      <w:r>
        <w:rPr>
          <w:color w:val="231F20"/>
          <w:spacing w:val="-12"/>
        </w:rPr>
        <w:t> </w:t>
      </w:r>
      <w:r>
        <w:rPr>
          <w:color w:val="231F20"/>
        </w:rPr>
        <w:t>за</w:t>
      </w:r>
      <w:r>
        <w:rPr>
          <w:color w:val="231F20"/>
          <w:spacing w:val="-12"/>
        </w:rPr>
        <w:t> </w:t>
      </w:r>
      <w:r>
        <w:rPr>
          <w:color w:val="231F20"/>
        </w:rPr>
        <w:t>транспорт</w:t>
      </w:r>
      <w:r>
        <w:rPr>
          <w:color w:val="231F20"/>
          <w:spacing w:val="-12"/>
        </w:rPr>
        <w:t> </w:t>
      </w:r>
      <w:r>
        <w:rPr>
          <w:color w:val="231F20"/>
        </w:rPr>
        <w:t>пепела</w:t>
      </w:r>
      <w:r>
        <w:rPr>
          <w:color w:val="231F20"/>
          <w:spacing w:val="-12"/>
        </w:rPr>
        <w:t> </w:t>
      </w:r>
      <w:r>
        <w:rPr>
          <w:color w:val="231F20"/>
        </w:rPr>
        <w:t>шљаке</w:t>
      </w:r>
      <w:r>
        <w:rPr>
          <w:color w:val="231F20"/>
          <w:spacing w:val="-12"/>
        </w:rPr>
        <w:t> </w:t>
      </w:r>
      <w:r>
        <w:rPr>
          <w:color w:val="231F20"/>
        </w:rPr>
        <w:t>и</w:t>
      </w:r>
      <w:r>
        <w:rPr>
          <w:color w:val="231F20"/>
          <w:spacing w:val="-12"/>
        </w:rPr>
        <w:t> </w:t>
      </w:r>
      <w:r>
        <w:rPr>
          <w:color w:val="231F20"/>
        </w:rPr>
        <w:t>повратне</w:t>
      </w:r>
      <w:r>
        <w:rPr>
          <w:color w:val="231F20"/>
          <w:spacing w:val="-12"/>
        </w:rPr>
        <w:t> </w:t>
      </w:r>
      <w:r>
        <w:rPr>
          <w:color w:val="231F20"/>
        </w:rPr>
        <w:t>воде</w:t>
      </w:r>
      <w:r>
        <w:rPr>
          <w:color w:val="231F20"/>
          <w:spacing w:val="-12"/>
        </w:rPr>
        <w:t> </w:t>
      </w:r>
      <w:r>
        <w:rPr>
          <w:color w:val="231F20"/>
        </w:rPr>
        <w:t>и</w:t>
      </w:r>
      <w:r>
        <w:rPr>
          <w:color w:val="231F20"/>
          <w:spacing w:val="-12"/>
        </w:rPr>
        <w:t> </w:t>
      </w:r>
      <w:r>
        <w:rPr>
          <w:color w:val="231F20"/>
        </w:rPr>
        <w:t>других</w:t>
      </w:r>
      <w:r>
        <w:rPr>
          <w:color w:val="231F20"/>
          <w:spacing w:val="-12"/>
        </w:rPr>
        <w:t> </w:t>
      </w:r>
      <w:r>
        <w:rPr>
          <w:color w:val="231F20"/>
        </w:rPr>
        <w:t>тех-</w:t>
      </w:r>
    </w:p>
    <w:p>
      <w:pPr>
        <w:pStyle w:val="BodyText"/>
        <w:spacing w:line="235" w:lineRule="auto"/>
        <w:ind w:left="454"/>
      </w:pPr>
      <w:r>
        <w:rPr>
          <w:color w:val="231F20"/>
        </w:rPr>
        <w:t>ничких инфраструктурних система у заједничком коридору на де- лу трасе до депоније у ПК </w:t>
      </w:r>
      <w:r>
        <w:rPr>
          <w:color w:val="231F20"/>
          <w:spacing w:val="-3"/>
        </w:rPr>
        <w:t>„Ћириковац”. </w:t>
      </w:r>
      <w:r>
        <w:rPr>
          <w:color w:val="231F20"/>
        </w:rPr>
        <w:t>Земљиште у оквиру гра- ђевинских</w:t>
      </w:r>
      <w:r>
        <w:rPr>
          <w:color w:val="231F20"/>
          <w:spacing w:val="-9"/>
        </w:rPr>
        <w:t> </w:t>
      </w:r>
      <w:r>
        <w:rPr>
          <w:color w:val="231F20"/>
        </w:rPr>
        <w:t>парцела</w:t>
      </w:r>
      <w:r>
        <w:rPr>
          <w:color w:val="231F20"/>
          <w:spacing w:val="-9"/>
        </w:rPr>
        <w:t> </w:t>
      </w:r>
      <w:r>
        <w:rPr>
          <w:color w:val="231F20"/>
        </w:rPr>
        <w:t>намењено</w:t>
      </w:r>
      <w:r>
        <w:rPr>
          <w:color w:val="231F20"/>
          <w:spacing w:val="-9"/>
        </w:rPr>
        <w:t> </w:t>
      </w:r>
      <w:r>
        <w:rPr>
          <w:color w:val="231F20"/>
        </w:rPr>
        <w:t>је</w:t>
      </w:r>
      <w:r>
        <w:rPr>
          <w:color w:val="231F20"/>
          <w:spacing w:val="-9"/>
        </w:rPr>
        <w:t> </w:t>
      </w:r>
      <w:r>
        <w:rPr>
          <w:color w:val="231F20"/>
        </w:rPr>
        <w:t>искључиво</w:t>
      </w:r>
      <w:r>
        <w:rPr>
          <w:color w:val="231F20"/>
          <w:spacing w:val="-9"/>
        </w:rPr>
        <w:t> </w:t>
      </w:r>
      <w:r>
        <w:rPr>
          <w:color w:val="231F20"/>
        </w:rPr>
        <w:t>за</w:t>
      </w:r>
      <w:r>
        <w:rPr>
          <w:color w:val="231F20"/>
          <w:spacing w:val="-9"/>
        </w:rPr>
        <w:t> </w:t>
      </w:r>
      <w:r>
        <w:rPr>
          <w:color w:val="231F20"/>
        </w:rPr>
        <w:t>грађење,</w:t>
      </w:r>
      <w:r>
        <w:rPr>
          <w:color w:val="231F20"/>
          <w:spacing w:val="-9"/>
        </w:rPr>
        <w:t> </w:t>
      </w:r>
      <w:r>
        <w:rPr>
          <w:color w:val="231F20"/>
        </w:rPr>
        <w:t>одржавање и реконструкцију објеката техничке инфраструктуре, а уређује се као земљиште за изградњу објеката </w:t>
      </w:r>
      <w:r>
        <w:rPr>
          <w:color w:val="231F20"/>
          <w:spacing w:val="-3"/>
        </w:rPr>
        <w:t>од </w:t>
      </w:r>
      <w:r>
        <w:rPr>
          <w:color w:val="231F20"/>
        </w:rPr>
        <w:t>јавног интереса, према оп- штим</w:t>
      </w:r>
      <w:r>
        <w:rPr>
          <w:color w:val="231F20"/>
          <w:spacing w:val="-5"/>
        </w:rPr>
        <w:t> </w:t>
      </w:r>
      <w:r>
        <w:rPr>
          <w:color w:val="231F20"/>
        </w:rPr>
        <w:t>и</w:t>
      </w:r>
      <w:r>
        <w:rPr>
          <w:color w:val="231F20"/>
          <w:spacing w:val="-5"/>
        </w:rPr>
        <w:t> </w:t>
      </w:r>
      <w:r>
        <w:rPr>
          <w:color w:val="231F20"/>
        </w:rPr>
        <w:t>појединачним</w:t>
      </w:r>
      <w:r>
        <w:rPr>
          <w:color w:val="231F20"/>
          <w:spacing w:val="-5"/>
        </w:rPr>
        <w:t> </w:t>
      </w:r>
      <w:r>
        <w:rPr>
          <w:color w:val="231F20"/>
        </w:rPr>
        <w:t>правилима</w:t>
      </w:r>
      <w:r>
        <w:rPr>
          <w:color w:val="231F20"/>
          <w:spacing w:val="-5"/>
        </w:rPr>
        <w:t> </w:t>
      </w:r>
      <w:r>
        <w:rPr>
          <w:color w:val="231F20"/>
        </w:rPr>
        <w:t>Просторног</w:t>
      </w:r>
      <w:r>
        <w:rPr>
          <w:color w:val="231F20"/>
          <w:spacing w:val="-5"/>
        </w:rPr>
        <w:t> </w:t>
      </w:r>
      <w:r>
        <w:rPr>
          <w:color w:val="231F20"/>
        </w:rPr>
        <w:t>плана</w:t>
      </w:r>
      <w:r>
        <w:rPr>
          <w:color w:val="231F20"/>
          <w:spacing w:val="-5"/>
        </w:rPr>
        <w:t> </w:t>
      </w:r>
      <w:r>
        <w:rPr>
          <w:color w:val="231F20"/>
        </w:rPr>
        <w:t>за</w:t>
      </w:r>
      <w:r>
        <w:rPr>
          <w:color w:val="231F20"/>
          <w:spacing w:val="-5"/>
        </w:rPr>
        <w:t> </w:t>
      </w:r>
      <w:r>
        <w:rPr>
          <w:color w:val="231F20"/>
        </w:rPr>
        <w:t>изградњу</w:t>
      </w:r>
      <w:r>
        <w:rPr>
          <w:color w:val="231F20"/>
          <w:spacing w:val="-5"/>
        </w:rPr>
        <w:t> </w:t>
      </w:r>
      <w:r>
        <w:rPr>
          <w:color w:val="231F20"/>
        </w:rPr>
        <w:t>и уређење простора, </w:t>
      </w:r>
      <w:r>
        <w:rPr>
          <w:color w:val="231F20"/>
          <w:spacing w:val="-3"/>
        </w:rPr>
        <w:t>која </w:t>
      </w:r>
      <w:r>
        <w:rPr>
          <w:color w:val="231F20"/>
        </w:rPr>
        <w:t>се спроводе, разрађују и усаглашавају на основу појединачних решења из одговарајуће техничке докумен- тације и кроз израду пројекта</w:t>
      </w:r>
      <w:r>
        <w:rPr>
          <w:color w:val="231F20"/>
          <w:spacing w:val="-3"/>
        </w:rPr>
        <w:t> </w:t>
      </w:r>
      <w:r>
        <w:rPr>
          <w:color w:val="231F20"/>
        </w:rPr>
        <w:t>парцелације.</w:t>
      </w:r>
    </w:p>
    <w:p>
      <w:pPr>
        <w:pStyle w:val="BodyText"/>
        <w:spacing w:line="235" w:lineRule="auto"/>
        <w:ind w:left="454" w:firstLine="397"/>
      </w:pPr>
      <w:r>
        <w:rPr>
          <w:color w:val="231F20"/>
        </w:rPr>
        <w:t>Утврђују се правила за спровођење нове катастарске парце- лације:</w:t>
      </w:r>
    </w:p>
    <w:p>
      <w:pPr>
        <w:pStyle w:val="BodyText"/>
        <w:spacing w:line="235" w:lineRule="auto"/>
        <w:ind w:left="454" w:firstLine="396"/>
      </w:pPr>
      <w:r>
        <w:rPr>
          <w:color w:val="231F20"/>
          <w:w w:val="66"/>
        </w:rPr>
        <w:t> </w:t>
      </w:r>
      <w:r>
        <w:rPr>
          <w:color w:val="231F20"/>
        </w:rPr>
        <w:t>– формирање нових катастарских парцела се обавља према динамици изградње појединачних објеката техничке инфраструк- туре и прибављања земљишта у јавну својину;</w:t>
      </w:r>
    </w:p>
    <w:p>
      <w:pPr>
        <w:pStyle w:val="BodyText"/>
        <w:spacing w:line="235" w:lineRule="auto"/>
        <w:ind w:left="454" w:firstLine="396"/>
      </w:pPr>
      <w:r>
        <w:rPr>
          <w:color w:val="231F20"/>
          <w:w w:val="66"/>
        </w:rPr>
        <w:t> </w:t>
      </w:r>
      <w:r>
        <w:rPr>
          <w:color w:val="231F20"/>
        </w:rPr>
        <w:t>– положај новоформираних катастарских парцела утврђен је границом обухвата и границама водног и путног земљишта и де- финисан координатама у државном координатном систему</w:t>
      </w:r>
      <w:r>
        <w:rPr>
          <w:color w:val="231F20"/>
          <w:position w:val="6"/>
          <w:sz w:val="10"/>
        </w:rPr>
        <w:t>28</w:t>
      </w:r>
      <w:r>
        <w:rPr>
          <w:color w:val="231F20"/>
        </w:rPr>
        <w:t>;</w:t>
      </w:r>
    </w:p>
    <w:p>
      <w:pPr>
        <w:pStyle w:val="BodyText"/>
        <w:spacing w:line="235" w:lineRule="auto"/>
        <w:ind w:left="453" w:right="1" w:firstLine="396"/>
      </w:pPr>
      <w:r>
        <w:rPr>
          <w:color w:val="231F20"/>
          <w:w w:val="66"/>
        </w:rPr>
        <w:t> </w:t>
      </w:r>
      <w:r>
        <w:rPr>
          <w:color w:val="231F20"/>
        </w:rPr>
        <w:t>– границе грађевинских парцела дефинисане су координата- ма карактеристичних тачака и то: ГП 1 (В12 до В17), ГП 2 (од В9 до В12 и од В17 до В27), ГП 3 (од В8 до В27);</w:t>
      </w:r>
    </w:p>
    <w:p>
      <w:pPr>
        <w:spacing w:line="152" w:lineRule="exact" w:before="0"/>
        <w:ind w:left="453" w:right="0" w:firstLine="0"/>
        <w:jc w:val="left"/>
        <w:rPr>
          <w:sz w:val="14"/>
        </w:rPr>
      </w:pPr>
      <w:r>
        <w:rPr>
          <w:color w:val="231F20"/>
          <w:w w:val="66"/>
          <w:sz w:val="14"/>
        </w:rPr>
        <w:t> </w:t>
      </w:r>
      <w:r>
        <w:rPr>
          <w:color w:val="231F20"/>
          <w:w w:val="75"/>
          <w:sz w:val="14"/>
        </w:rPr>
        <w:t>– – – – – – – – – – – – – –</w:t>
      </w:r>
    </w:p>
    <w:p>
      <w:pPr>
        <w:pStyle w:val="ListParagraph"/>
        <w:numPr>
          <w:ilvl w:val="0"/>
          <w:numId w:val="61"/>
        </w:numPr>
        <w:tabs>
          <w:tab w:pos="738" w:val="left" w:leader="none"/>
        </w:tabs>
        <w:spacing w:line="240" w:lineRule="auto" w:before="0" w:after="0"/>
        <w:ind w:left="737" w:right="1" w:hanging="284"/>
        <w:jc w:val="left"/>
        <w:rPr>
          <w:sz w:val="14"/>
        </w:rPr>
      </w:pPr>
      <w:r>
        <w:rPr>
          <w:color w:val="231F20"/>
          <w:sz w:val="14"/>
        </w:rPr>
        <w:t>Координате тачака на граници грађевинских парцела су оријентационе и морају се проверити приликом израде пројекта</w:t>
      </w:r>
      <w:r>
        <w:rPr>
          <w:color w:val="231F20"/>
          <w:spacing w:val="-4"/>
          <w:sz w:val="14"/>
        </w:rPr>
        <w:t> </w:t>
      </w:r>
      <w:r>
        <w:rPr>
          <w:color w:val="231F20"/>
          <w:sz w:val="14"/>
        </w:rPr>
        <w:t>парцелације.</w:t>
      </w:r>
    </w:p>
    <w:p>
      <w:pPr>
        <w:pStyle w:val="BodyText"/>
        <w:spacing w:line="204" w:lineRule="exact" w:before="68"/>
        <w:ind w:left="638"/>
        <w:jc w:val="left"/>
      </w:pPr>
      <w:r>
        <w:rPr/>
        <w:br w:type="column"/>
      </w:r>
      <w:r>
        <w:rPr>
          <w:color w:val="231F20"/>
          <w:w w:val="66"/>
        </w:rPr>
        <w:t> </w:t>
      </w:r>
      <w:r>
        <w:rPr>
          <w:color w:val="231F20"/>
        </w:rPr>
        <w:t>– изградња у заједничком коридору са пепеловодом из ТЕ</w:t>
      </w:r>
    </w:p>
    <w:p>
      <w:pPr>
        <w:pStyle w:val="BodyText"/>
        <w:spacing w:line="232" w:lineRule="auto" w:before="1"/>
        <w:ind w:left="241" w:right="128"/>
        <w:jc w:val="left"/>
      </w:pPr>
      <w:r>
        <w:rPr>
          <w:color w:val="231F20"/>
        </w:rPr>
        <w:t>„Ћириковац” је на грађевинској парцели дефинисаној тачкама од 0-34 у поглављу 7.;</w:t>
      </w:r>
    </w:p>
    <w:p>
      <w:pPr>
        <w:pStyle w:val="BodyText"/>
        <w:spacing w:line="237" w:lineRule="auto" w:before="1"/>
        <w:ind w:left="241" w:right="128" w:firstLine="396"/>
      </w:pPr>
      <w:r>
        <w:rPr>
          <w:color w:val="231F20"/>
          <w:w w:val="66"/>
        </w:rPr>
        <w:t> </w:t>
      </w:r>
      <w:r>
        <w:rPr>
          <w:color w:val="231F20"/>
        </w:rPr>
        <w:t>–</w:t>
      </w:r>
      <w:r>
        <w:rPr>
          <w:color w:val="231F20"/>
          <w:spacing w:val="-9"/>
        </w:rPr>
        <w:t> </w:t>
      </w:r>
      <w:r>
        <w:rPr>
          <w:color w:val="231F20"/>
        </w:rPr>
        <w:t>новоформиране</w:t>
      </w:r>
      <w:r>
        <w:rPr>
          <w:color w:val="231F20"/>
          <w:spacing w:val="-9"/>
        </w:rPr>
        <w:t> </w:t>
      </w:r>
      <w:r>
        <w:rPr>
          <w:color w:val="231F20"/>
        </w:rPr>
        <w:t>катастарске</w:t>
      </w:r>
      <w:r>
        <w:rPr>
          <w:color w:val="231F20"/>
          <w:spacing w:val="-9"/>
        </w:rPr>
        <w:t> </w:t>
      </w:r>
      <w:r>
        <w:rPr>
          <w:color w:val="231F20"/>
        </w:rPr>
        <w:t>парцеле</w:t>
      </w:r>
      <w:r>
        <w:rPr>
          <w:color w:val="231F20"/>
          <w:spacing w:val="-9"/>
        </w:rPr>
        <w:t> </w:t>
      </w:r>
      <w:r>
        <w:rPr>
          <w:color w:val="231F20"/>
        </w:rPr>
        <w:t>изван</w:t>
      </w:r>
      <w:r>
        <w:rPr>
          <w:color w:val="231F20"/>
          <w:spacing w:val="-9"/>
        </w:rPr>
        <w:t> </w:t>
      </w:r>
      <w:r>
        <w:rPr>
          <w:color w:val="231F20"/>
        </w:rPr>
        <w:t>границе</w:t>
      </w:r>
      <w:r>
        <w:rPr>
          <w:color w:val="231F20"/>
          <w:spacing w:val="-9"/>
        </w:rPr>
        <w:t> </w:t>
      </w:r>
      <w:r>
        <w:rPr>
          <w:color w:val="231F20"/>
        </w:rPr>
        <w:t>обухва- та, односно, изван грађевинских парцела, не мењају катастарску намену;</w:t>
      </w:r>
    </w:p>
    <w:p>
      <w:pPr>
        <w:pStyle w:val="BodyText"/>
        <w:spacing w:line="237" w:lineRule="auto"/>
        <w:ind w:left="241" w:right="128" w:firstLine="397"/>
      </w:pPr>
      <w:r>
        <w:rPr>
          <w:color w:val="231F20"/>
          <w:w w:val="66"/>
        </w:rPr>
        <w:t> </w:t>
      </w:r>
      <w:r>
        <w:rPr>
          <w:color w:val="231F20"/>
        </w:rPr>
        <w:t>– катастарска парцела се може делити парцелацијом до ми- нимума утврђеног применом правила о катастарској парцелацији, а уколико на појединачној парцели није могуће извршити деобу тако да се формира нова катастарска парцела изван утврђене гра- нице грађевинске парцеле или да се задржи њена постојећа наме- на, постојећа катастарска парцела се у целини прикључује грађе- винској парцели;</w:t>
      </w:r>
    </w:p>
    <w:p>
      <w:pPr>
        <w:pStyle w:val="BodyText"/>
        <w:spacing w:line="237" w:lineRule="auto"/>
        <w:ind w:left="241" w:right="127" w:firstLine="396"/>
      </w:pPr>
      <w:r>
        <w:rPr>
          <w:color w:val="231F20"/>
          <w:w w:val="66"/>
        </w:rPr>
        <w:t> </w:t>
      </w:r>
      <w:r>
        <w:rPr>
          <w:color w:val="231F20"/>
        </w:rPr>
        <w:t>– с обзиром на то да се грађевинске парцеле формирају за потребе изградње инфраструктурних објеката није </w:t>
      </w:r>
      <w:r>
        <w:rPr>
          <w:color w:val="231F20"/>
          <w:spacing w:val="-2"/>
        </w:rPr>
        <w:t>неопходна </w:t>
      </w:r>
      <w:r>
        <w:rPr>
          <w:color w:val="231F20"/>
        </w:rPr>
        <w:t>пре- парцелација, односно, грађевинске парцеле се формирају из об- ухваћених целих катастарских парцела и из делова катастарских парцела утврђених на основу пројекта парцелације; новоформи- рани делови се уводе у евиденцију непокретности за односну ка- тастарску </w:t>
      </w:r>
      <w:r>
        <w:rPr>
          <w:color w:val="231F20"/>
          <w:spacing w:val="-3"/>
        </w:rPr>
        <w:t>општину, </w:t>
      </w:r>
      <w:r>
        <w:rPr>
          <w:color w:val="231F20"/>
        </w:rPr>
        <w:t>а на основу пројекта геодетског обележавања нови елементи се преносе на терен;</w:t>
      </w:r>
    </w:p>
    <w:p>
      <w:pPr>
        <w:pStyle w:val="BodyText"/>
        <w:spacing w:line="237" w:lineRule="auto"/>
        <w:ind w:left="242" w:right="127" w:firstLine="397"/>
      </w:pPr>
      <w:r>
        <w:rPr>
          <w:color w:val="231F20"/>
          <w:w w:val="66"/>
        </w:rPr>
        <w:t> </w:t>
      </w:r>
      <w:r>
        <w:rPr>
          <w:color w:val="231F20"/>
        </w:rPr>
        <w:t>– у случају 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pPr>
        <w:pStyle w:val="BodyText"/>
        <w:spacing w:line="237" w:lineRule="auto"/>
        <w:ind w:left="242" w:right="127" w:firstLine="396"/>
      </w:pPr>
      <w:r>
        <w:rPr>
          <w:color w:val="231F20"/>
        </w:rPr>
        <w:t>По извршеној деоби катастарских парцела на појединачне земљишне честице, новоформиране парцеле се уводе у евиденци- ју непокретности по основу законом регулисане надлежности на одржавању и управљању на појединим инфраструктурним објек- тима и јавним површинама.</w:t>
      </w:r>
    </w:p>
    <w:p>
      <w:pPr>
        <w:pStyle w:val="BodyText"/>
        <w:spacing w:line="237" w:lineRule="auto"/>
        <w:ind w:left="242" w:right="127" w:firstLine="396"/>
      </w:pPr>
      <w:r>
        <w:rPr>
          <w:color w:val="231F20"/>
        </w:rPr>
        <w:t>За</w:t>
      </w:r>
      <w:r>
        <w:rPr>
          <w:color w:val="231F20"/>
          <w:spacing w:val="-6"/>
        </w:rPr>
        <w:t> </w:t>
      </w:r>
      <w:r>
        <w:rPr>
          <w:color w:val="231F20"/>
        </w:rPr>
        <w:t>полагање</w:t>
      </w:r>
      <w:r>
        <w:rPr>
          <w:color w:val="231F20"/>
          <w:spacing w:val="-6"/>
        </w:rPr>
        <w:t> </w:t>
      </w:r>
      <w:r>
        <w:rPr>
          <w:color w:val="231F20"/>
          <w:spacing w:val="-3"/>
        </w:rPr>
        <w:t>преко</w:t>
      </w:r>
      <w:r>
        <w:rPr>
          <w:color w:val="231F20"/>
          <w:spacing w:val="-6"/>
        </w:rPr>
        <w:t> </w:t>
      </w:r>
      <w:r>
        <w:rPr>
          <w:color w:val="231F20"/>
          <w:spacing w:val="-5"/>
        </w:rPr>
        <w:t>водног,</w:t>
      </w:r>
      <w:r>
        <w:rPr>
          <w:color w:val="231F20"/>
          <w:spacing w:val="-6"/>
        </w:rPr>
        <w:t> </w:t>
      </w:r>
      <w:r>
        <w:rPr>
          <w:color w:val="231F20"/>
        </w:rPr>
        <w:t>шумског</w:t>
      </w:r>
      <w:r>
        <w:rPr>
          <w:color w:val="231F20"/>
          <w:spacing w:val="-6"/>
        </w:rPr>
        <w:t> </w:t>
      </w:r>
      <w:r>
        <w:rPr>
          <w:color w:val="231F20"/>
        </w:rPr>
        <w:t>или</w:t>
      </w:r>
      <w:r>
        <w:rPr>
          <w:color w:val="231F20"/>
          <w:spacing w:val="-6"/>
        </w:rPr>
        <w:t> </w:t>
      </w:r>
      <w:r>
        <w:rPr>
          <w:color w:val="231F20"/>
        </w:rPr>
        <w:t>јавног</w:t>
      </w:r>
      <w:r>
        <w:rPr>
          <w:color w:val="231F20"/>
          <w:spacing w:val="-6"/>
        </w:rPr>
        <w:t> </w:t>
      </w:r>
      <w:r>
        <w:rPr>
          <w:color w:val="231F20"/>
        </w:rPr>
        <w:t>путног</w:t>
      </w:r>
      <w:r>
        <w:rPr>
          <w:color w:val="231F20"/>
          <w:spacing w:val="-6"/>
        </w:rPr>
        <w:t> </w:t>
      </w:r>
      <w:r>
        <w:rPr>
          <w:color w:val="231F20"/>
        </w:rPr>
        <w:t>земљи- шта делова инфраструктурних мрежа и објеката техничке инфра- структуре, не формирају се грађевинске парцеле, а као доказ о решеним</w:t>
      </w:r>
      <w:r>
        <w:rPr>
          <w:color w:val="231F20"/>
          <w:spacing w:val="-6"/>
        </w:rPr>
        <w:t> </w:t>
      </w:r>
      <w:r>
        <w:rPr>
          <w:color w:val="231F20"/>
        </w:rPr>
        <w:t>имовинско-правним</w:t>
      </w:r>
      <w:r>
        <w:rPr>
          <w:color w:val="231F20"/>
          <w:spacing w:val="-6"/>
        </w:rPr>
        <w:t> </w:t>
      </w:r>
      <w:r>
        <w:rPr>
          <w:color w:val="231F20"/>
        </w:rPr>
        <w:t>односима</w:t>
      </w:r>
      <w:r>
        <w:rPr>
          <w:color w:val="231F20"/>
          <w:spacing w:val="-6"/>
        </w:rPr>
        <w:t> </w:t>
      </w:r>
      <w:r>
        <w:rPr>
          <w:color w:val="231F20"/>
        </w:rPr>
        <w:t>признаје</w:t>
      </w:r>
      <w:r>
        <w:rPr>
          <w:color w:val="231F20"/>
          <w:spacing w:val="-6"/>
        </w:rPr>
        <w:t> </w:t>
      </w:r>
      <w:r>
        <w:rPr>
          <w:color w:val="231F20"/>
        </w:rPr>
        <w:t>се</w:t>
      </w:r>
      <w:r>
        <w:rPr>
          <w:color w:val="231F20"/>
          <w:spacing w:val="-6"/>
        </w:rPr>
        <w:t> </w:t>
      </w:r>
      <w:r>
        <w:rPr>
          <w:color w:val="231F20"/>
        </w:rPr>
        <w:t>уговор</w:t>
      </w:r>
      <w:r>
        <w:rPr>
          <w:color w:val="231F20"/>
          <w:spacing w:val="-6"/>
        </w:rPr>
        <w:t> </w:t>
      </w:r>
      <w:r>
        <w:rPr>
          <w:color w:val="231F20"/>
        </w:rPr>
        <w:t>о</w:t>
      </w:r>
      <w:r>
        <w:rPr>
          <w:color w:val="231F20"/>
          <w:spacing w:val="-6"/>
        </w:rPr>
        <w:t> </w:t>
      </w:r>
      <w:r>
        <w:rPr>
          <w:color w:val="231F20"/>
        </w:rPr>
        <w:t>уста- новљавању права службености са јавним предузећем, односно </w:t>
      </w:r>
      <w:r>
        <w:rPr>
          <w:color w:val="231F20"/>
          <w:spacing w:val="-3"/>
        </w:rPr>
        <w:t>другом </w:t>
      </w:r>
      <w:r>
        <w:rPr>
          <w:color w:val="231F20"/>
        </w:rPr>
        <w:t>организацијом </w:t>
      </w:r>
      <w:r>
        <w:rPr>
          <w:color w:val="231F20"/>
          <w:spacing w:val="-3"/>
        </w:rPr>
        <w:t>које </w:t>
      </w:r>
      <w:r>
        <w:rPr>
          <w:color w:val="231F20"/>
        </w:rPr>
        <w:t>газдује водним, путним односно шум- ским земљиштем, у складу са посебним</w:t>
      </w:r>
      <w:r>
        <w:rPr>
          <w:color w:val="231F20"/>
          <w:spacing w:val="-6"/>
        </w:rPr>
        <w:t> </w:t>
      </w:r>
      <w:r>
        <w:rPr>
          <w:color w:val="231F20"/>
        </w:rPr>
        <w:t>законом.</w:t>
      </w:r>
    </w:p>
    <w:p>
      <w:pPr>
        <w:pStyle w:val="BodyText"/>
        <w:spacing w:line="237" w:lineRule="auto"/>
        <w:ind w:left="242" w:right="127" w:firstLine="396"/>
      </w:pPr>
      <w:r>
        <w:rPr>
          <w:color w:val="231F20"/>
        </w:rPr>
        <w:t>Извођење пољских и шумских путева, у случају да је прилаз појединим пољопривредним парцелама у својини физичких лица онемогућен или изразито отежан врши се у појасу непотпуне екс- пропријације.</w:t>
      </w:r>
    </w:p>
    <w:p>
      <w:pPr>
        <w:pStyle w:val="ListParagraph"/>
        <w:numPr>
          <w:ilvl w:val="2"/>
          <w:numId w:val="63"/>
        </w:numPr>
        <w:tabs>
          <w:tab w:pos="612" w:val="left" w:leader="none"/>
        </w:tabs>
        <w:spacing w:line="240" w:lineRule="auto" w:before="151" w:after="0"/>
        <w:ind w:left="611" w:right="0" w:hanging="315"/>
        <w:jc w:val="left"/>
        <w:rPr>
          <w:i/>
          <w:sz w:val="18"/>
        </w:rPr>
      </w:pPr>
      <w:r>
        <w:rPr>
          <w:i/>
          <w:color w:val="231F20"/>
          <w:sz w:val="18"/>
        </w:rPr>
        <w:t>Мере</w:t>
      </w:r>
      <w:r>
        <w:rPr>
          <w:i/>
          <w:color w:val="231F20"/>
          <w:spacing w:val="-8"/>
          <w:sz w:val="18"/>
        </w:rPr>
        <w:t> </w:t>
      </w:r>
      <w:r>
        <w:rPr>
          <w:i/>
          <w:color w:val="231F20"/>
          <w:sz w:val="18"/>
        </w:rPr>
        <w:t>енергетске</w:t>
      </w:r>
      <w:r>
        <w:rPr>
          <w:i/>
          <w:color w:val="231F20"/>
          <w:spacing w:val="-8"/>
          <w:sz w:val="18"/>
        </w:rPr>
        <w:t> </w:t>
      </w:r>
      <w:r>
        <w:rPr>
          <w:i/>
          <w:color w:val="231F20"/>
          <w:sz w:val="18"/>
        </w:rPr>
        <w:t>ефикасности</w:t>
      </w:r>
      <w:r>
        <w:rPr>
          <w:i/>
          <w:color w:val="231F20"/>
          <w:spacing w:val="-8"/>
          <w:sz w:val="18"/>
        </w:rPr>
        <w:t> </w:t>
      </w:r>
      <w:r>
        <w:rPr>
          <w:i/>
          <w:color w:val="231F20"/>
          <w:sz w:val="18"/>
        </w:rPr>
        <w:t>и</w:t>
      </w:r>
      <w:r>
        <w:rPr>
          <w:i/>
          <w:color w:val="231F20"/>
          <w:spacing w:val="-8"/>
          <w:sz w:val="18"/>
        </w:rPr>
        <w:t> </w:t>
      </w:r>
      <w:r>
        <w:rPr>
          <w:i/>
          <w:color w:val="231F20"/>
          <w:sz w:val="18"/>
        </w:rPr>
        <w:t>заштите</w:t>
      </w:r>
      <w:r>
        <w:rPr>
          <w:i/>
          <w:color w:val="231F20"/>
          <w:spacing w:val="-8"/>
          <w:sz w:val="18"/>
        </w:rPr>
        <w:t> </w:t>
      </w:r>
      <w:r>
        <w:rPr>
          <w:i/>
          <w:color w:val="231F20"/>
          <w:sz w:val="18"/>
        </w:rPr>
        <w:t>животне</w:t>
      </w:r>
      <w:r>
        <w:rPr>
          <w:i/>
          <w:color w:val="231F20"/>
          <w:spacing w:val="-8"/>
          <w:sz w:val="18"/>
        </w:rPr>
        <w:t> </w:t>
      </w:r>
      <w:r>
        <w:rPr>
          <w:i/>
          <w:color w:val="231F20"/>
          <w:sz w:val="18"/>
        </w:rPr>
        <w:t>средине</w:t>
      </w:r>
    </w:p>
    <w:p>
      <w:pPr>
        <w:pStyle w:val="ListParagraph"/>
        <w:numPr>
          <w:ilvl w:val="3"/>
          <w:numId w:val="63"/>
        </w:numPr>
        <w:tabs>
          <w:tab w:pos="1910" w:val="left" w:leader="none"/>
        </w:tabs>
        <w:spacing w:line="240" w:lineRule="auto" w:before="168" w:after="0"/>
        <w:ind w:left="1909" w:right="0" w:hanging="450"/>
        <w:jc w:val="left"/>
        <w:rPr>
          <w:sz w:val="18"/>
        </w:rPr>
      </w:pPr>
      <w:r>
        <w:rPr>
          <w:color w:val="231F20"/>
          <w:spacing w:val="15"/>
          <w:sz w:val="18"/>
        </w:rPr>
        <w:t>Енергет </w:t>
      </w:r>
      <w:r>
        <w:rPr>
          <w:color w:val="231F20"/>
          <w:spacing w:val="11"/>
          <w:sz w:val="18"/>
        </w:rPr>
        <w:t>ска </w:t>
      </w:r>
      <w:r>
        <w:rPr>
          <w:color w:val="231F20"/>
          <w:sz w:val="18"/>
        </w:rPr>
        <w:t>е </w:t>
      </w:r>
      <w:r>
        <w:rPr>
          <w:color w:val="231F20"/>
          <w:spacing w:val="15"/>
          <w:sz w:val="18"/>
        </w:rPr>
        <w:t>фикасно</w:t>
      </w:r>
      <w:r>
        <w:rPr>
          <w:color w:val="231F20"/>
          <w:spacing w:val="-22"/>
          <w:sz w:val="18"/>
        </w:rPr>
        <w:t> </w:t>
      </w:r>
      <w:r>
        <w:rPr>
          <w:color w:val="231F20"/>
          <w:spacing w:val="10"/>
          <w:sz w:val="18"/>
        </w:rPr>
        <w:t>ст</w:t>
      </w:r>
    </w:p>
    <w:p>
      <w:pPr>
        <w:pStyle w:val="BodyText"/>
        <w:spacing w:before="8"/>
        <w:ind w:left="0"/>
        <w:jc w:val="left"/>
        <w:rPr>
          <w:sz w:val="17"/>
        </w:rPr>
      </w:pPr>
    </w:p>
    <w:p>
      <w:pPr>
        <w:pStyle w:val="BodyText"/>
        <w:spacing w:line="237" w:lineRule="auto"/>
        <w:ind w:left="243" w:right="125" w:firstLine="396"/>
      </w:pPr>
      <w:r>
        <w:rPr>
          <w:color w:val="231F20"/>
        </w:rPr>
        <w:t>Енергетска ефикасност у делу система за прикупљање, одла- гање</w:t>
      </w:r>
      <w:r>
        <w:rPr>
          <w:color w:val="231F20"/>
          <w:spacing w:val="-9"/>
        </w:rPr>
        <w:t> </w:t>
      </w:r>
      <w:r>
        <w:rPr>
          <w:color w:val="231F20"/>
        </w:rPr>
        <w:t>и</w:t>
      </w:r>
      <w:r>
        <w:rPr>
          <w:color w:val="231F20"/>
          <w:spacing w:val="-9"/>
        </w:rPr>
        <w:t> </w:t>
      </w:r>
      <w:r>
        <w:rPr>
          <w:color w:val="231F20"/>
        </w:rPr>
        <w:t>транспорт</w:t>
      </w:r>
      <w:r>
        <w:rPr>
          <w:color w:val="231F20"/>
          <w:spacing w:val="-9"/>
        </w:rPr>
        <w:t> </w:t>
      </w:r>
      <w:r>
        <w:rPr>
          <w:color w:val="231F20"/>
        </w:rPr>
        <w:t>пепела</w:t>
      </w:r>
      <w:r>
        <w:rPr>
          <w:color w:val="231F20"/>
          <w:spacing w:val="-9"/>
        </w:rPr>
        <w:t> </w:t>
      </w:r>
      <w:r>
        <w:rPr>
          <w:color w:val="231F20"/>
        </w:rPr>
        <w:t>и</w:t>
      </w:r>
      <w:r>
        <w:rPr>
          <w:color w:val="231F20"/>
          <w:spacing w:val="-9"/>
        </w:rPr>
        <w:t> </w:t>
      </w:r>
      <w:r>
        <w:rPr>
          <w:color w:val="231F20"/>
        </w:rPr>
        <w:t>шљаке</w:t>
      </w:r>
      <w:r>
        <w:rPr>
          <w:color w:val="231F20"/>
          <w:spacing w:val="-9"/>
        </w:rPr>
        <w:t> </w:t>
      </w:r>
      <w:r>
        <w:rPr>
          <w:color w:val="231F20"/>
        </w:rPr>
        <w:t>густом</w:t>
      </w:r>
      <w:r>
        <w:rPr>
          <w:color w:val="231F20"/>
          <w:spacing w:val="-8"/>
        </w:rPr>
        <w:t> </w:t>
      </w:r>
      <w:r>
        <w:rPr>
          <w:color w:val="231F20"/>
        </w:rPr>
        <w:t>хидромешавином</w:t>
      </w:r>
      <w:r>
        <w:rPr>
          <w:color w:val="231F20"/>
          <w:spacing w:val="-8"/>
        </w:rPr>
        <w:t> </w:t>
      </w:r>
      <w:r>
        <w:rPr>
          <w:color w:val="231F20"/>
        </w:rPr>
        <w:t>са</w:t>
      </w:r>
      <w:r>
        <w:rPr>
          <w:color w:val="231F20"/>
          <w:spacing w:val="-9"/>
        </w:rPr>
        <w:t> </w:t>
      </w:r>
      <w:r>
        <w:rPr>
          <w:color w:val="231F20"/>
        </w:rPr>
        <w:t>бло- </w:t>
      </w:r>
      <w:r>
        <w:rPr>
          <w:color w:val="231F20"/>
          <w:spacing w:val="-4"/>
        </w:rPr>
        <w:t>кова </w:t>
      </w:r>
      <w:r>
        <w:rPr>
          <w:color w:val="231F20"/>
        </w:rPr>
        <w:t>ТЕ „Костолац” </w:t>
      </w:r>
      <w:r>
        <w:rPr>
          <w:color w:val="231F20"/>
          <w:spacing w:val="-3"/>
        </w:rPr>
        <w:t>који </w:t>
      </w:r>
      <w:r>
        <w:rPr>
          <w:color w:val="231F20"/>
        </w:rPr>
        <w:t>је обухваћен овим правилима изградње и уређења, спроводи се кроз мере и ЕЕ активности у оквиру успо- стављања система енергетског менаџмента и минималних захтева енергетске ефикасности постројења, опреме и зграда у оквиру ру- дарско-енергетског система</w:t>
      </w:r>
      <w:r>
        <w:rPr>
          <w:color w:val="231F20"/>
          <w:spacing w:val="-2"/>
        </w:rPr>
        <w:t> </w:t>
      </w:r>
      <w:r>
        <w:rPr>
          <w:color w:val="231F20"/>
        </w:rPr>
        <w:t>ТЕ-КО.</w:t>
      </w:r>
    </w:p>
    <w:p>
      <w:pPr>
        <w:pStyle w:val="BodyText"/>
        <w:spacing w:line="237" w:lineRule="auto"/>
        <w:ind w:left="244" w:right="125" w:firstLine="397"/>
      </w:pPr>
      <w:r>
        <w:rPr>
          <w:color w:val="231F20"/>
        </w:rPr>
        <w:t>У циљу постизања енергетски ефикасног и економски и тех- нички оправданог решења транспорта и депоновања пепела и шљаке, неопходно је кроз следеће фазе техничке документације извршити додатне економско-техничке анализе с обзиром на ка- рактеристичне елементе трасе (дужина, вертикални и хоризонтал- ни преломи и друго).</w:t>
      </w:r>
    </w:p>
    <w:p>
      <w:pPr>
        <w:pStyle w:val="ListParagraph"/>
        <w:numPr>
          <w:ilvl w:val="3"/>
          <w:numId w:val="63"/>
        </w:numPr>
        <w:tabs>
          <w:tab w:pos="1787" w:val="left" w:leader="none"/>
        </w:tabs>
        <w:spacing w:line="240" w:lineRule="auto" w:before="163" w:after="0"/>
        <w:ind w:left="1786" w:right="0" w:hanging="45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6"/>
          <w:sz w:val="18"/>
        </w:rPr>
        <w:t> </w:t>
      </w:r>
      <w:r>
        <w:rPr>
          <w:color w:val="231F20"/>
          <w:spacing w:val="15"/>
          <w:sz w:val="18"/>
        </w:rPr>
        <w:t>средине</w:t>
      </w:r>
    </w:p>
    <w:p>
      <w:pPr>
        <w:pStyle w:val="BodyText"/>
        <w:spacing w:before="8"/>
        <w:ind w:left="0"/>
        <w:jc w:val="left"/>
        <w:rPr>
          <w:sz w:val="17"/>
        </w:rPr>
      </w:pPr>
    </w:p>
    <w:p>
      <w:pPr>
        <w:pStyle w:val="BodyText"/>
        <w:spacing w:line="237" w:lineRule="auto"/>
        <w:ind w:left="243" w:right="125" w:firstLine="397"/>
      </w:pPr>
      <w:r>
        <w:rPr>
          <w:color w:val="231F20"/>
        </w:rPr>
        <w:t>Извршене квалитативне и квантитативне анализе могућих промена (трајног или привременог карактера) у животној средини за време извођења радова на депонији, чак и у случају акцидента, указују</w:t>
      </w:r>
      <w:r>
        <w:rPr>
          <w:color w:val="231F20"/>
          <w:spacing w:val="-7"/>
        </w:rPr>
        <w:t> </w:t>
      </w:r>
      <w:r>
        <w:rPr>
          <w:color w:val="231F20"/>
        </w:rPr>
        <w:t>на</w:t>
      </w:r>
      <w:r>
        <w:rPr>
          <w:color w:val="231F20"/>
          <w:spacing w:val="-7"/>
        </w:rPr>
        <w:t> </w:t>
      </w:r>
      <w:r>
        <w:rPr>
          <w:color w:val="231F20"/>
        </w:rPr>
        <w:t>многоструко</w:t>
      </w:r>
      <w:r>
        <w:rPr>
          <w:color w:val="231F20"/>
          <w:spacing w:val="-7"/>
        </w:rPr>
        <w:t> </w:t>
      </w:r>
      <w:r>
        <w:rPr>
          <w:color w:val="231F20"/>
        </w:rPr>
        <w:t>смањење</w:t>
      </w:r>
      <w:r>
        <w:rPr>
          <w:color w:val="231F20"/>
          <w:spacing w:val="-7"/>
        </w:rPr>
        <w:t> </w:t>
      </w:r>
      <w:r>
        <w:rPr>
          <w:color w:val="231F20"/>
        </w:rPr>
        <w:t>штетних</w:t>
      </w:r>
      <w:r>
        <w:rPr>
          <w:color w:val="231F20"/>
          <w:spacing w:val="-7"/>
        </w:rPr>
        <w:t> </w:t>
      </w:r>
      <w:r>
        <w:rPr>
          <w:color w:val="231F20"/>
        </w:rPr>
        <w:t>утицаја</w:t>
      </w:r>
      <w:r>
        <w:rPr>
          <w:color w:val="231F20"/>
          <w:spacing w:val="-7"/>
        </w:rPr>
        <w:t> </w:t>
      </w:r>
      <w:r>
        <w:rPr>
          <w:color w:val="231F20"/>
          <w:spacing w:val="-3"/>
        </w:rPr>
        <w:t>након</w:t>
      </w:r>
      <w:r>
        <w:rPr>
          <w:color w:val="231F20"/>
          <w:spacing w:val="-7"/>
        </w:rPr>
        <w:t> </w:t>
      </w:r>
      <w:r>
        <w:rPr>
          <w:color w:val="231F20"/>
        </w:rPr>
        <w:t>извршене замене постојећег система прикупљања, припреме, транспорта и депоновања пепела и шљаке на постојећу депонију новим систе- мом, уз примену технологије маловодног транспорта и одлагања у виду густе хидромешавине или пасте, односно, примену мера рекултивације</w:t>
      </w:r>
      <w:r>
        <w:rPr>
          <w:color w:val="231F20"/>
          <w:spacing w:val="-6"/>
        </w:rPr>
        <w:t> </w:t>
      </w:r>
      <w:r>
        <w:rPr>
          <w:color w:val="231F20"/>
        </w:rPr>
        <w:t>и</w:t>
      </w:r>
      <w:r>
        <w:rPr>
          <w:color w:val="231F20"/>
          <w:spacing w:val="-6"/>
        </w:rPr>
        <w:t> </w:t>
      </w:r>
      <w:r>
        <w:rPr>
          <w:color w:val="231F20"/>
        </w:rPr>
        <w:t>ремедијације</w:t>
      </w:r>
      <w:r>
        <w:rPr>
          <w:color w:val="231F20"/>
          <w:spacing w:val="-6"/>
        </w:rPr>
        <w:t> </w:t>
      </w:r>
      <w:r>
        <w:rPr>
          <w:color w:val="231F20"/>
        </w:rPr>
        <w:t>на</w:t>
      </w:r>
      <w:r>
        <w:rPr>
          <w:color w:val="231F20"/>
          <w:spacing w:val="-6"/>
        </w:rPr>
        <w:t> </w:t>
      </w:r>
      <w:r>
        <w:rPr>
          <w:color w:val="231F20"/>
        </w:rPr>
        <w:t>депонији</w:t>
      </w:r>
      <w:r>
        <w:rPr>
          <w:color w:val="231F20"/>
          <w:spacing w:val="-6"/>
        </w:rPr>
        <w:t> </w:t>
      </w:r>
      <w:r>
        <w:rPr>
          <w:color w:val="231F20"/>
        </w:rPr>
        <w:t>СКО</w:t>
      </w:r>
      <w:r>
        <w:rPr>
          <w:color w:val="231F20"/>
          <w:spacing w:val="-6"/>
        </w:rPr>
        <w:t> </w:t>
      </w:r>
      <w:r>
        <w:rPr>
          <w:color w:val="231F20"/>
        </w:rPr>
        <w:t>и</w:t>
      </w:r>
      <w:r>
        <w:rPr>
          <w:color w:val="231F20"/>
          <w:spacing w:val="-6"/>
        </w:rPr>
        <w:t> </w:t>
      </w:r>
      <w:r>
        <w:rPr>
          <w:color w:val="231F20"/>
          <w:spacing w:val="-3"/>
        </w:rPr>
        <w:t>комплексних</w:t>
      </w:r>
      <w:r>
        <w:rPr>
          <w:color w:val="231F20"/>
          <w:spacing w:val="-6"/>
        </w:rPr>
        <w:t> </w:t>
      </w:r>
      <w:r>
        <w:rPr>
          <w:color w:val="231F20"/>
        </w:rPr>
        <w:t>ме- ра заштите тла и подземних вода на депонији у </w:t>
      </w:r>
      <w:r>
        <w:rPr>
          <w:color w:val="231F20"/>
          <w:spacing w:val="-3"/>
        </w:rPr>
        <w:t>копу</w:t>
      </w:r>
      <w:r>
        <w:rPr>
          <w:color w:val="231F20"/>
          <w:spacing w:val="-32"/>
        </w:rPr>
        <w:t> </w:t>
      </w:r>
      <w:r>
        <w:rPr>
          <w:color w:val="231F20"/>
          <w:spacing w:val="-3"/>
        </w:rPr>
        <w:t>„Ћириковац”.</w:t>
      </w:r>
    </w:p>
    <w:p>
      <w:pPr>
        <w:spacing w:after="0" w:line="237" w:lineRule="auto"/>
        <w:sectPr>
          <w:pgSz w:w="12480" w:h="15690"/>
          <w:pgMar w:top="120" w:bottom="280" w:left="680" w:right="720"/>
          <w:cols w:num="2" w:equalWidth="0">
            <w:col w:w="5558" w:space="40"/>
            <w:col w:w="5482"/>
          </w:cols>
        </w:sectPr>
      </w:pPr>
    </w:p>
    <w:p>
      <w:pPr>
        <w:pStyle w:val="BodyText"/>
        <w:spacing w:line="232" w:lineRule="auto" w:before="73"/>
        <w:ind w:right="38" w:firstLine="397"/>
      </w:pPr>
      <w:r>
        <w:rPr/>
        <w:pict>
          <v:line style="position:absolute;mso-position-horizontal-relative:page;mso-position-vertical-relative:page;z-index:4456" from="304.724396pt,11.942451pt" to="304.724396pt,748.950451pt" stroked="true" strokeweight=".6pt" strokecolor="#231f20">
            <v:stroke dashstyle="solid"/>
            <w10:wrap type="none"/>
          </v:line>
        </w:pict>
      </w:r>
      <w:r>
        <w:rPr>
          <w:color w:val="231F20"/>
        </w:rPr>
        <w:t>С обзиром на то да се целокупни транспорт угушћене хидро- мешавине врши у затвореном систему без било каквих емисија у околину, у току нормалних услова рада, елиминисани су штетни утицаји на ваздух, воду и тло у околини трасе. Како ће се кори- стити мање димензије цевовода и визуелни утицаји ће бити мањи.</w:t>
      </w:r>
    </w:p>
    <w:p>
      <w:pPr>
        <w:pStyle w:val="BodyText"/>
        <w:spacing w:line="200" w:lineRule="exact"/>
        <w:ind w:left="567"/>
        <w:jc w:val="left"/>
      </w:pPr>
      <w:r>
        <w:rPr>
          <w:color w:val="231F20"/>
        </w:rPr>
        <w:t>Мониторинг животне средине подразумева:</w:t>
      </w:r>
    </w:p>
    <w:p>
      <w:pPr>
        <w:pStyle w:val="BodyText"/>
        <w:spacing w:line="237" w:lineRule="auto"/>
        <w:ind w:right="38" w:firstLine="396"/>
      </w:pPr>
      <w:r>
        <w:rPr>
          <w:color w:val="231F20"/>
          <w:w w:val="66"/>
        </w:rPr>
        <w:t> </w:t>
      </w:r>
      <w:r>
        <w:rPr>
          <w:color w:val="231F20"/>
        </w:rPr>
        <w:t>– контролу рада врећастих филтера са издувним вентилато- рима који ће бити смештени на ћелијама сабирних силоса на си- стему за унутрашњи транспорт пепела, са циљем пречишћавања ваздуха који се користи за транспорт; максимална количина испу- штеног ваздуха не сме да износи више од 6792 m³/h по филтеру; максимална концентрација честица у испуштеном ваздуху треба да буде 30 mg/m³; и</w:t>
      </w:r>
    </w:p>
    <w:p>
      <w:pPr>
        <w:pStyle w:val="BodyText"/>
        <w:spacing w:line="237" w:lineRule="auto"/>
        <w:ind w:right="38" w:firstLine="397"/>
      </w:pPr>
      <w:r>
        <w:rPr>
          <w:color w:val="231F20"/>
          <w:w w:val="66"/>
        </w:rPr>
        <w:t> </w:t>
      </w:r>
      <w:r>
        <w:rPr>
          <w:color w:val="231F20"/>
        </w:rPr>
        <w:t>– контролу рада скрубера (макро отпрашивања) са системом за распршивање воде; отпрашивање миксера у коме се припрема</w:t>
      </w:r>
    </w:p>
    <w:p>
      <w:pPr>
        <w:pStyle w:val="BodyText"/>
        <w:spacing w:line="237" w:lineRule="auto"/>
        <w:ind w:right="38"/>
      </w:pPr>
      <w:r>
        <w:rPr>
          <w:color w:val="231F20"/>
        </w:rPr>
        <w:t>„густа”</w:t>
      </w:r>
      <w:r>
        <w:rPr>
          <w:color w:val="231F20"/>
          <w:spacing w:val="-6"/>
        </w:rPr>
        <w:t> </w:t>
      </w:r>
      <w:r>
        <w:rPr>
          <w:color w:val="231F20"/>
        </w:rPr>
        <w:t>хидромешавина</w:t>
      </w:r>
      <w:r>
        <w:rPr>
          <w:color w:val="231F20"/>
          <w:spacing w:val="-6"/>
        </w:rPr>
        <w:t> </w:t>
      </w:r>
      <w:r>
        <w:rPr>
          <w:color w:val="231F20"/>
        </w:rPr>
        <w:t>вршити</w:t>
      </w:r>
      <w:r>
        <w:rPr>
          <w:color w:val="231F20"/>
          <w:spacing w:val="-6"/>
        </w:rPr>
        <w:t> </w:t>
      </w:r>
      <w:r>
        <w:rPr>
          <w:color w:val="231F20"/>
        </w:rPr>
        <w:t>прањем</w:t>
      </w:r>
      <w:r>
        <w:rPr>
          <w:color w:val="231F20"/>
          <w:spacing w:val="-6"/>
        </w:rPr>
        <w:t> </w:t>
      </w:r>
      <w:r>
        <w:rPr>
          <w:color w:val="231F20"/>
        </w:rPr>
        <w:t>са</w:t>
      </w:r>
      <w:r>
        <w:rPr>
          <w:color w:val="231F20"/>
          <w:spacing w:val="-6"/>
        </w:rPr>
        <w:t> </w:t>
      </w:r>
      <w:r>
        <w:rPr>
          <w:color w:val="231F20"/>
          <w:spacing w:val="-3"/>
        </w:rPr>
        <w:t>водом</w:t>
      </w:r>
      <w:r>
        <w:rPr>
          <w:color w:val="231F20"/>
          <w:spacing w:val="-6"/>
        </w:rPr>
        <w:t> </w:t>
      </w:r>
      <w:r>
        <w:rPr>
          <w:color w:val="231F20"/>
        </w:rPr>
        <w:t>(спреј)</w:t>
      </w:r>
      <w:r>
        <w:rPr>
          <w:color w:val="231F20"/>
          <w:spacing w:val="-6"/>
        </w:rPr>
        <w:t> </w:t>
      </w:r>
      <w:r>
        <w:rPr>
          <w:color w:val="231F20"/>
        </w:rPr>
        <w:t>у</w:t>
      </w:r>
      <w:r>
        <w:rPr>
          <w:color w:val="231F20"/>
          <w:spacing w:val="-6"/>
        </w:rPr>
        <w:t> </w:t>
      </w:r>
      <w:r>
        <w:rPr>
          <w:color w:val="231F20"/>
        </w:rPr>
        <w:t>скрубе- ру;</w:t>
      </w:r>
      <w:r>
        <w:rPr>
          <w:color w:val="231F20"/>
          <w:spacing w:val="-7"/>
        </w:rPr>
        <w:t> </w:t>
      </w:r>
      <w:r>
        <w:rPr>
          <w:color w:val="231F20"/>
          <w:spacing w:val="-3"/>
        </w:rPr>
        <w:t>количина</w:t>
      </w:r>
      <w:r>
        <w:rPr>
          <w:color w:val="231F20"/>
          <w:spacing w:val="-7"/>
        </w:rPr>
        <w:t> </w:t>
      </w:r>
      <w:r>
        <w:rPr>
          <w:color w:val="231F20"/>
        </w:rPr>
        <w:t>испуштеног</w:t>
      </w:r>
      <w:r>
        <w:rPr>
          <w:color w:val="231F20"/>
          <w:spacing w:val="-7"/>
        </w:rPr>
        <w:t> </w:t>
      </w:r>
      <w:r>
        <w:rPr>
          <w:color w:val="231F20"/>
        </w:rPr>
        <w:t>ваздуха</w:t>
      </w:r>
      <w:r>
        <w:rPr>
          <w:color w:val="231F20"/>
          <w:spacing w:val="-7"/>
        </w:rPr>
        <w:t> </w:t>
      </w:r>
      <w:r>
        <w:rPr>
          <w:color w:val="231F20"/>
        </w:rPr>
        <w:t>у</w:t>
      </w:r>
      <w:r>
        <w:rPr>
          <w:color w:val="231F20"/>
          <w:spacing w:val="-7"/>
        </w:rPr>
        <w:t> </w:t>
      </w:r>
      <w:r>
        <w:rPr>
          <w:color w:val="231F20"/>
        </w:rPr>
        <w:t>атмосферу</w:t>
      </w:r>
      <w:r>
        <w:rPr>
          <w:color w:val="231F20"/>
          <w:spacing w:val="-7"/>
        </w:rPr>
        <w:t> </w:t>
      </w:r>
      <w:r>
        <w:rPr>
          <w:color w:val="231F20"/>
        </w:rPr>
        <w:t>износи</w:t>
      </w:r>
      <w:r>
        <w:rPr>
          <w:color w:val="231F20"/>
          <w:spacing w:val="-7"/>
        </w:rPr>
        <w:t> </w:t>
      </w:r>
      <w:r>
        <w:rPr>
          <w:color w:val="231F20"/>
        </w:rPr>
        <w:t>максимално 2000 m³/h а концентрација честица у излазној струји ваздуха 30 mg/m³;</w:t>
      </w:r>
    </w:p>
    <w:p>
      <w:pPr>
        <w:pStyle w:val="BodyText"/>
        <w:spacing w:line="237" w:lineRule="auto"/>
        <w:ind w:right="38" w:firstLine="396"/>
      </w:pPr>
      <w:r>
        <w:rPr>
          <w:color w:val="231F20"/>
          <w:w w:val="66"/>
        </w:rPr>
        <w:t> </w:t>
      </w:r>
      <w:r>
        <w:rPr>
          <w:color w:val="231F20"/>
        </w:rPr>
        <w:t>– контролу отпадне воде настале пречишћавањем ваздуха из миксера за справљање „густе” хиромешавине и процес рецирку- лације; и</w:t>
      </w:r>
    </w:p>
    <w:p>
      <w:pPr>
        <w:pStyle w:val="BodyText"/>
        <w:spacing w:line="237" w:lineRule="auto"/>
        <w:ind w:right="38" w:firstLine="396"/>
      </w:pPr>
      <w:r>
        <w:rPr>
          <w:color w:val="231F20"/>
          <w:w w:val="66"/>
        </w:rPr>
        <w:t> </w:t>
      </w:r>
      <w:r>
        <w:rPr>
          <w:color w:val="231F20"/>
        </w:rPr>
        <w:t>– контролу воде </w:t>
      </w:r>
      <w:r>
        <w:rPr>
          <w:color w:val="231F20"/>
          <w:spacing w:val="-3"/>
        </w:rPr>
        <w:t>од </w:t>
      </w:r>
      <w:r>
        <w:rPr>
          <w:color w:val="231F20"/>
        </w:rPr>
        <w:t>дренирања кондиционера и испирања</w:t>
      </w:r>
      <w:r>
        <w:rPr>
          <w:color w:val="231F20"/>
          <w:spacing w:val="-33"/>
        </w:rPr>
        <w:t> </w:t>
      </w:r>
      <w:r>
        <w:rPr>
          <w:color w:val="231F20"/>
        </w:rPr>
        <w:t>це- вовода.</w:t>
      </w:r>
    </w:p>
    <w:p>
      <w:pPr>
        <w:pStyle w:val="Heading1"/>
        <w:numPr>
          <w:ilvl w:val="1"/>
          <w:numId w:val="63"/>
        </w:numPr>
        <w:tabs>
          <w:tab w:pos="461" w:val="left" w:leader="none"/>
        </w:tabs>
        <w:spacing w:line="237" w:lineRule="auto" w:before="166" w:after="0"/>
        <w:ind w:left="1646" w:right="147" w:hanging="1366"/>
        <w:jc w:val="left"/>
      </w:pPr>
      <w:r>
        <w:rPr>
          <w:color w:val="231F20"/>
        </w:rPr>
        <w:t>Коридор</w:t>
      </w:r>
      <w:r>
        <w:rPr>
          <w:color w:val="231F20"/>
          <w:spacing w:val="-6"/>
        </w:rPr>
        <w:t> </w:t>
      </w:r>
      <w:r>
        <w:rPr>
          <w:color w:val="231F20"/>
        </w:rPr>
        <w:t>за</w:t>
      </w:r>
      <w:r>
        <w:rPr>
          <w:color w:val="231F20"/>
          <w:spacing w:val="-6"/>
        </w:rPr>
        <w:t> </w:t>
      </w:r>
      <w:r>
        <w:rPr>
          <w:color w:val="231F20"/>
        </w:rPr>
        <w:t>транспорт</w:t>
      </w:r>
      <w:r>
        <w:rPr>
          <w:color w:val="231F20"/>
          <w:spacing w:val="-7"/>
        </w:rPr>
        <w:t> </w:t>
      </w:r>
      <w:r>
        <w:rPr>
          <w:color w:val="231F20"/>
        </w:rPr>
        <w:t>емулзије</w:t>
      </w:r>
      <w:r>
        <w:rPr>
          <w:color w:val="231F20"/>
          <w:spacing w:val="-6"/>
        </w:rPr>
        <w:t> </w:t>
      </w:r>
      <w:r>
        <w:rPr>
          <w:color w:val="231F20"/>
        </w:rPr>
        <w:t>гипса</w:t>
      </w:r>
      <w:r>
        <w:rPr>
          <w:color w:val="231F20"/>
          <w:spacing w:val="-6"/>
        </w:rPr>
        <w:t> </w:t>
      </w:r>
      <w:r>
        <w:rPr>
          <w:color w:val="231F20"/>
          <w:spacing w:val="-3"/>
        </w:rPr>
        <w:t>од</w:t>
      </w:r>
      <w:r>
        <w:rPr>
          <w:color w:val="231F20"/>
          <w:spacing w:val="-6"/>
        </w:rPr>
        <w:t> </w:t>
      </w:r>
      <w:r>
        <w:rPr>
          <w:color w:val="231F20"/>
        </w:rPr>
        <w:t>ТЕ</w:t>
      </w:r>
      <w:r>
        <w:rPr>
          <w:color w:val="231F20"/>
          <w:spacing w:val="-6"/>
        </w:rPr>
        <w:t> </w:t>
      </w:r>
      <w:r>
        <w:rPr>
          <w:color w:val="231F20"/>
        </w:rPr>
        <w:t>„Костолац</w:t>
      </w:r>
      <w:r>
        <w:rPr>
          <w:color w:val="231F20"/>
          <w:spacing w:val="-7"/>
        </w:rPr>
        <w:t> </w:t>
      </w:r>
      <w:r>
        <w:rPr>
          <w:color w:val="231F20"/>
        </w:rPr>
        <w:t>Б” до депоније у ПК</w:t>
      </w:r>
      <w:r>
        <w:rPr>
          <w:color w:val="231F20"/>
          <w:spacing w:val="-2"/>
        </w:rPr>
        <w:t> </w:t>
      </w:r>
      <w:r>
        <w:rPr>
          <w:color w:val="231F20"/>
        </w:rPr>
        <w:t>„Дрмно”</w:t>
      </w:r>
    </w:p>
    <w:p>
      <w:pPr>
        <w:pStyle w:val="ListParagraph"/>
        <w:numPr>
          <w:ilvl w:val="2"/>
          <w:numId w:val="63"/>
        </w:numPr>
        <w:tabs>
          <w:tab w:pos="2231" w:val="left" w:leader="none"/>
        </w:tabs>
        <w:spacing w:line="240" w:lineRule="auto" w:before="168" w:after="0"/>
        <w:ind w:left="2230"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8"/>
        <w:ind w:left="0"/>
        <w:jc w:val="left"/>
        <w:rPr>
          <w:i/>
          <w:sz w:val="17"/>
        </w:rPr>
      </w:pPr>
    </w:p>
    <w:p>
      <w:pPr>
        <w:pStyle w:val="BodyText"/>
        <w:spacing w:line="237" w:lineRule="auto"/>
        <w:ind w:right="38" w:firstLine="397"/>
      </w:pPr>
      <w:r>
        <w:rPr>
          <w:color w:val="231F20"/>
        </w:rPr>
        <w:t>ТЕ „Костолац Б” је прва термоелектрана у систему Електро- привреде Србије у којој ће се успоставити систем за одсумпора- вање, што је један од најзначајнијих пројеката у области енерге- тике и заштите животне средине, који електропривреду Србије приближава стандардима развијених земаља ЕУ. За избор управо ове термоелектране је пресудно што је, за костолачки лигнит који се сагорева у термоелектрани, ниво концентрација SO</w:t>
      </w:r>
      <w:r>
        <w:rPr>
          <w:color w:val="231F20"/>
          <w:position w:val="-5"/>
          <w:sz w:val="10"/>
        </w:rPr>
        <w:t>2 </w:t>
      </w:r>
      <w:r>
        <w:rPr>
          <w:color w:val="231F20"/>
        </w:rPr>
        <w:t>у димним</w:t>
      </w:r>
    </w:p>
    <w:p>
      <w:pPr>
        <w:pStyle w:val="BodyText"/>
        <w:spacing w:line="161" w:lineRule="exact"/>
        <w:jc w:val="left"/>
      </w:pPr>
      <w:r>
        <w:rPr>
          <w:color w:val="231F20"/>
        </w:rPr>
        <w:t>гасовима 5000 – 7000 mg/m³, а специфична емисија сумпора је око</w:t>
      </w:r>
    </w:p>
    <w:p>
      <w:pPr>
        <w:pStyle w:val="BodyText"/>
        <w:spacing w:line="205" w:lineRule="exact"/>
        <w:jc w:val="left"/>
      </w:pPr>
      <w:r>
        <w:rPr>
          <w:color w:val="231F20"/>
        </w:rPr>
        <w:t>30 kg/MWh.</w:t>
      </w:r>
    </w:p>
    <w:p>
      <w:pPr>
        <w:pStyle w:val="BodyText"/>
        <w:spacing w:line="237" w:lineRule="auto" w:before="1"/>
        <w:ind w:right="38" w:firstLine="397"/>
      </w:pPr>
      <w:r>
        <w:rPr>
          <w:color w:val="231F20"/>
        </w:rPr>
        <w:t>Постројење за одсумпоравање ће бити изграђено у оквиру постојеће</w:t>
      </w:r>
      <w:r>
        <w:rPr>
          <w:color w:val="231F20"/>
          <w:spacing w:val="-9"/>
        </w:rPr>
        <w:t> </w:t>
      </w:r>
      <w:r>
        <w:rPr>
          <w:color w:val="231F20"/>
        </w:rPr>
        <w:t>локације</w:t>
      </w:r>
      <w:r>
        <w:rPr>
          <w:color w:val="231F20"/>
          <w:spacing w:val="-9"/>
        </w:rPr>
        <w:t> </w:t>
      </w:r>
      <w:r>
        <w:rPr>
          <w:color w:val="231F20"/>
        </w:rPr>
        <w:t>термоелектране.</w:t>
      </w:r>
      <w:r>
        <w:rPr>
          <w:color w:val="231F20"/>
          <w:spacing w:val="-9"/>
        </w:rPr>
        <w:t> </w:t>
      </w:r>
      <w:r>
        <w:rPr>
          <w:color w:val="231F20"/>
        </w:rPr>
        <w:t>Планирано</w:t>
      </w:r>
      <w:r>
        <w:rPr>
          <w:color w:val="231F20"/>
          <w:spacing w:val="-9"/>
        </w:rPr>
        <w:t> </w:t>
      </w:r>
      <w:r>
        <w:rPr>
          <w:color w:val="231F20"/>
        </w:rPr>
        <w:t>је</w:t>
      </w:r>
      <w:r>
        <w:rPr>
          <w:color w:val="231F20"/>
          <w:spacing w:val="-9"/>
        </w:rPr>
        <w:t> </w:t>
      </w:r>
      <w:r>
        <w:rPr>
          <w:color w:val="231F20"/>
        </w:rPr>
        <w:t>извођење</w:t>
      </w:r>
      <w:r>
        <w:rPr>
          <w:color w:val="231F20"/>
          <w:spacing w:val="-9"/>
        </w:rPr>
        <w:t> </w:t>
      </w:r>
      <w:r>
        <w:rPr>
          <w:color w:val="231F20"/>
        </w:rPr>
        <w:t>техно- лошки поузданог техничког решења одсумпоравања димних гасо- ва за ТЕ „Костолац Б”, применом влажног </w:t>
      </w:r>
      <w:r>
        <w:rPr>
          <w:color w:val="231F20"/>
          <w:spacing w:val="-3"/>
        </w:rPr>
        <w:t>кречњачког </w:t>
      </w:r>
      <w:r>
        <w:rPr>
          <w:color w:val="231F20"/>
        </w:rPr>
        <w:t>поступка, којим ће се обезбеди рад </w:t>
      </w:r>
      <w:r>
        <w:rPr>
          <w:color w:val="231F20"/>
          <w:spacing w:val="-3"/>
        </w:rPr>
        <w:t>блокова </w:t>
      </w:r>
      <w:r>
        <w:rPr>
          <w:color w:val="231F20"/>
        </w:rPr>
        <w:t>у оквиру граничних вредности емисија сумпор-диоксида дефинисаних </w:t>
      </w:r>
      <w:r>
        <w:rPr>
          <w:color w:val="231F20"/>
          <w:spacing w:val="-3"/>
        </w:rPr>
        <w:t>регулативом </w:t>
      </w:r>
      <w:r>
        <w:rPr>
          <w:color w:val="231F20"/>
          <w:spacing w:val="-10"/>
        </w:rPr>
        <w:t>ЕУ. </w:t>
      </w:r>
      <w:r>
        <w:rPr>
          <w:color w:val="231F20"/>
          <w:spacing w:val="-3"/>
        </w:rPr>
        <w:t>Успоста- </w:t>
      </w:r>
      <w:r>
        <w:rPr>
          <w:color w:val="231F20"/>
        </w:rPr>
        <w:t>вљање овог система омогућиће продужење века</w:t>
      </w:r>
      <w:r>
        <w:rPr>
          <w:color w:val="231F20"/>
          <w:spacing w:val="-31"/>
        </w:rPr>
        <w:t> </w:t>
      </w:r>
      <w:r>
        <w:rPr>
          <w:color w:val="231F20"/>
        </w:rPr>
        <w:t>термоелектране.</w:t>
      </w:r>
    </w:p>
    <w:p>
      <w:pPr>
        <w:pStyle w:val="BodyText"/>
        <w:spacing w:line="237" w:lineRule="auto"/>
        <w:ind w:left="169" w:right="39" w:firstLine="397"/>
      </w:pPr>
      <w:r>
        <w:rPr>
          <w:color w:val="231F20"/>
        </w:rPr>
        <w:t>Простор за депонију гипса формираће у југозападном делу унутрашњег одлагалишта ПК „Дрмно”. </w:t>
      </w:r>
      <w:r>
        <w:rPr>
          <w:color w:val="231F20"/>
          <w:spacing w:val="-3"/>
        </w:rPr>
        <w:t>Приликом </w:t>
      </w:r>
      <w:r>
        <w:rPr>
          <w:color w:val="231F20"/>
        </w:rPr>
        <w:t>одлагања јало- вине</w:t>
      </w:r>
      <w:r>
        <w:rPr>
          <w:color w:val="231F20"/>
          <w:spacing w:val="-6"/>
        </w:rPr>
        <w:t> </w:t>
      </w:r>
      <w:r>
        <w:rPr>
          <w:color w:val="231F20"/>
        </w:rPr>
        <w:t>вршним</w:t>
      </w:r>
      <w:r>
        <w:rPr>
          <w:color w:val="231F20"/>
          <w:spacing w:val="-6"/>
        </w:rPr>
        <w:t> </w:t>
      </w:r>
      <w:r>
        <w:rPr>
          <w:color w:val="231F20"/>
        </w:rPr>
        <w:t>системом</w:t>
      </w:r>
      <w:r>
        <w:rPr>
          <w:color w:val="231F20"/>
          <w:spacing w:val="-6"/>
        </w:rPr>
        <w:t> </w:t>
      </w:r>
      <w:r>
        <w:rPr>
          <w:color w:val="231F20"/>
        </w:rPr>
        <w:t>оставиће</w:t>
      </w:r>
      <w:r>
        <w:rPr>
          <w:color w:val="231F20"/>
          <w:spacing w:val="-6"/>
        </w:rPr>
        <w:t> </w:t>
      </w:r>
      <w:r>
        <w:rPr>
          <w:color w:val="231F20"/>
        </w:rPr>
        <w:t>се</w:t>
      </w:r>
      <w:r>
        <w:rPr>
          <w:color w:val="231F20"/>
          <w:spacing w:val="-6"/>
        </w:rPr>
        <w:t> </w:t>
      </w:r>
      <w:r>
        <w:rPr>
          <w:color w:val="231F20"/>
        </w:rPr>
        <w:t>простор</w:t>
      </w:r>
      <w:r>
        <w:rPr>
          <w:color w:val="231F20"/>
          <w:spacing w:val="-6"/>
        </w:rPr>
        <w:t> </w:t>
      </w:r>
      <w:r>
        <w:rPr>
          <w:color w:val="231F20"/>
          <w:spacing w:val="-3"/>
        </w:rPr>
        <w:t>који</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преградним насипима поделити на касете, </w:t>
      </w:r>
      <w:r>
        <w:rPr>
          <w:color w:val="231F20"/>
          <w:spacing w:val="-3"/>
        </w:rPr>
        <w:t>тако </w:t>
      </w:r>
      <w:r>
        <w:rPr>
          <w:color w:val="231F20"/>
        </w:rPr>
        <w:t>да укупна запремина свих ка- сета одговара потребама депоновања целокупне продукције гипса из процеса одсумпоравања у току 40 година, што одговара про- јектованом експлоатационом веку за све </w:t>
      </w:r>
      <w:r>
        <w:rPr>
          <w:color w:val="231F20"/>
          <w:spacing w:val="-3"/>
        </w:rPr>
        <w:t>блокове </w:t>
      </w:r>
      <w:r>
        <w:rPr>
          <w:color w:val="231F20"/>
        </w:rPr>
        <w:t>термоелектране (постојеће и</w:t>
      </w:r>
      <w:r>
        <w:rPr>
          <w:color w:val="231F20"/>
          <w:spacing w:val="-2"/>
        </w:rPr>
        <w:t> </w:t>
      </w:r>
      <w:r>
        <w:rPr>
          <w:color w:val="231F20"/>
        </w:rPr>
        <w:t>планиране).</w:t>
      </w:r>
    </w:p>
    <w:p>
      <w:pPr>
        <w:pStyle w:val="BodyText"/>
        <w:spacing w:line="237" w:lineRule="auto"/>
        <w:ind w:left="169" w:right="39" w:firstLine="397"/>
      </w:pPr>
      <w:r>
        <w:rPr>
          <w:color w:val="231F20"/>
          <w:spacing w:val="-3"/>
        </w:rPr>
        <w:t>Хидраулички </w:t>
      </w:r>
      <w:r>
        <w:rPr>
          <w:color w:val="231F20"/>
        </w:rPr>
        <w:t>транспорт суспензије гипса из апсорбера или из резервоара за суспензију гипса, </w:t>
      </w:r>
      <w:r>
        <w:rPr>
          <w:color w:val="231F20"/>
          <w:spacing w:val="-3"/>
        </w:rPr>
        <w:t>који </w:t>
      </w:r>
      <w:r>
        <w:rPr>
          <w:color w:val="231F20"/>
        </w:rPr>
        <w:t>је део сложеног система  за одсумпоравање димних гасова ТЕ „Костолац Б”, до депоније гипса у ПК „Дрмно” обавља се челичним цевоводом положеним по траси диспозиционо постављеној најпре кроз </w:t>
      </w:r>
      <w:r>
        <w:rPr>
          <w:color w:val="231F20"/>
          <w:spacing w:val="-3"/>
        </w:rPr>
        <w:t>комплекс </w:t>
      </w:r>
      <w:r>
        <w:rPr>
          <w:color w:val="231F20"/>
        </w:rPr>
        <w:t>термое- лектране, затим кроз зону намењену изградњи инфраструктурних и линијских техничких система електране и формирању коридора за транспортне, преносне и друге сличне системе у оквиру </w:t>
      </w:r>
      <w:r>
        <w:rPr>
          <w:color w:val="231F20"/>
          <w:spacing w:val="-3"/>
        </w:rPr>
        <w:t>рудар- </w:t>
      </w:r>
      <w:r>
        <w:rPr>
          <w:color w:val="231F20"/>
        </w:rPr>
        <w:t>ско-енергетског </w:t>
      </w:r>
      <w:r>
        <w:rPr>
          <w:color w:val="231F20"/>
          <w:spacing w:val="-3"/>
        </w:rPr>
        <w:t>комплекса, </w:t>
      </w:r>
      <w:r>
        <w:rPr>
          <w:color w:val="231F20"/>
        </w:rPr>
        <w:t>и кроз површине у оквиру </w:t>
      </w:r>
      <w:r>
        <w:rPr>
          <w:color w:val="231F20"/>
          <w:spacing w:val="-3"/>
        </w:rPr>
        <w:t>комплекса </w:t>
      </w:r>
      <w:r>
        <w:rPr>
          <w:color w:val="231F20"/>
        </w:rPr>
        <w:t>ПК „Дрмно” (заштитни појас и унутрашње</w:t>
      </w:r>
      <w:r>
        <w:rPr>
          <w:color w:val="231F20"/>
          <w:spacing w:val="-13"/>
        </w:rPr>
        <w:t> </w:t>
      </w:r>
      <w:r>
        <w:rPr>
          <w:color w:val="231F20"/>
        </w:rPr>
        <w:t>одлагалиште).</w:t>
      </w:r>
    </w:p>
    <w:p>
      <w:pPr>
        <w:pStyle w:val="ListParagraph"/>
        <w:numPr>
          <w:ilvl w:val="2"/>
          <w:numId w:val="63"/>
        </w:numPr>
        <w:tabs>
          <w:tab w:pos="2102" w:val="left" w:leader="none"/>
        </w:tabs>
        <w:spacing w:line="240" w:lineRule="auto" w:before="162" w:after="0"/>
        <w:ind w:left="2101" w:right="0" w:hanging="315"/>
        <w:jc w:val="left"/>
        <w:rPr>
          <w:i/>
          <w:sz w:val="18"/>
        </w:rPr>
      </w:pPr>
      <w:r>
        <w:rPr>
          <w:i/>
          <w:color w:val="231F20"/>
          <w:sz w:val="18"/>
        </w:rPr>
        <w:t>Просторни</w:t>
      </w:r>
      <w:r>
        <w:rPr>
          <w:i/>
          <w:color w:val="231F20"/>
          <w:spacing w:val="-2"/>
          <w:sz w:val="18"/>
        </w:rPr>
        <w:t> </w:t>
      </w:r>
      <w:r>
        <w:rPr>
          <w:i/>
          <w:color w:val="231F20"/>
          <w:sz w:val="18"/>
        </w:rPr>
        <w:t>обухват</w:t>
      </w:r>
    </w:p>
    <w:p>
      <w:pPr>
        <w:pStyle w:val="BodyText"/>
        <w:spacing w:before="9"/>
        <w:ind w:left="0"/>
        <w:jc w:val="left"/>
        <w:rPr>
          <w:i/>
          <w:sz w:val="17"/>
        </w:rPr>
      </w:pPr>
    </w:p>
    <w:p>
      <w:pPr>
        <w:pStyle w:val="BodyText"/>
        <w:spacing w:line="237" w:lineRule="auto"/>
        <w:ind w:left="169" w:right="39" w:firstLine="397"/>
      </w:pPr>
      <w:r>
        <w:rPr>
          <w:color w:val="231F20"/>
          <w:spacing w:val="-3"/>
        </w:rPr>
        <w:t>Хидраулички </w:t>
      </w:r>
      <w:r>
        <w:rPr>
          <w:color w:val="231F20"/>
        </w:rPr>
        <w:t>транспорт гипса планира се кроз две просторне целине за </w:t>
      </w:r>
      <w:r>
        <w:rPr>
          <w:color w:val="231F20"/>
          <w:spacing w:val="-3"/>
        </w:rPr>
        <w:t>које </w:t>
      </w:r>
      <w:r>
        <w:rPr>
          <w:color w:val="231F20"/>
        </w:rPr>
        <w:t>Просторни план садржи правила изградње и уре- ђења </w:t>
      </w:r>
      <w:r>
        <w:rPr>
          <w:color w:val="231F20"/>
          <w:spacing w:val="-3"/>
        </w:rPr>
        <w:t>(Комплекс </w:t>
      </w:r>
      <w:r>
        <w:rPr>
          <w:color w:val="231F20"/>
        </w:rPr>
        <w:t>ТЕ „Костолац Б” и </w:t>
      </w:r>
      <w:r>
        <w:rPr>
          <w:color w:val="231F20"/>
          <w:spacing w:val="-3"/>
        </w:rPr>
        <w:t>Комплекс </w:t>
      </w:r>
      <w:r>
        <w:rPr>
          <w:color w:val="231F20"/>
        </w:rPr>
        <w:t>ПК „Дрмно”) и на површинама између ове две целине, на простору између локације</w:t>
      </w:r>
    </w:p>
    <w:p>
      <w:pPr>
        <w:pStyle w:val="BodyText"/>
        <w:spacing w:line="237" w:lineRule="auto"/>
        <w:ind w:left="169" w:right="39"/>
      </w:pPr>
      <w:r>
        <w:rPr>
          <w:color w:val="231F20"/>
        </w:rPr>
        <w:t>„Дробиличног постројења” на истоку и локалног пута Село Ко- столац – Дрмно на западу.</w:t>
      </w:r>
    </w:p>
    <w:p>
      <w:pPr>
        <w:pStyle w:val="BodyText"/>
        <w:spacing w:line="232" w:lineRule="auto" w:before="71"/>
        <w:ind w:right="412" w:firstLine="396"/>
      </w:pPr>
      <w:r>
        <w:rPr/>
        <w:br w:type="column"/>
      </w:r>
      <w:r>
        <w:rPr>
          <w:color w:val="231F20"/>
        </w:rPr>
        <w:t>На</w:t>
      </w:r>
      <w:r>
        <w:rPr>
          <w:color w:val="231F20"/>
          <w:spacing w:val="-7"/>
        </w:rPr>
        <w:t> </w:t>
      </w:r>
      <w:r>
        <w:rPr>
          <w:color w:val="231F20"/>
        </w:rPr>
        <w:t>локацији</w:t>
      </w:r>
      <w:r>
        <w:rPr>
          <w:color w:val="231F20"/>
          <w:spacing w:val="-7"/>
        </w:rPr>
        <w:t> </w:t>
      </w:r>
      <w:r>
        <w:rPr>
          <w:color w:val="231F20"/>
        </w:rPr>
        <w:t>„Дробиличног</w:t>
      </w:r>
      <w:r>
        <w:rPr>
          <w:color w:val="231F20"/>
          <w:spacing w:val="-7"/>
        </w:rPr>
        <w:t> </w:t>
      </w:r>
      <w:r>
        <w:rPr>
          <w:color w:val="231F20"/>
        </w:rPr>
        <w:t>постројења”,</w:t>
      </w:r>
      <w:r>
        <w:rPr>
          <w:color w:val="231F20"/>
          <w:spacing w:val="-6"/>
        </w:rPr>
        <w:t> </w:t>
      </w:r>
      <w:r>
        <w:rPr>
          <w:color w:val="231F20"/>
        </w:rPr>
        <w:t>поред</w:t>
      </w:r>
      <w:r>
        <w:rPr>
          <w:color w:val="231F20"/>
          <w:spacing w:val="-7"/>
        </w:rPr>
        <w:t> </w:t>
      </w:r>
      <w:r>
        <w:rPr>
          <w:color w:val="231F20"/>
        </w:rPr>
        <w:t>зграде</w:t>
      </w:r>
      <w:r>
        <w:rPr>
          <w:color w:val="231F20"/>
          <w:spacing w:val="-7"/>
        </w:rPr>
        <w:t> </w:t>
      </w:r>
      <w:r>
        <w:rPr>
          <w:color w:val="231F20"/>
        </w:rPr>
        <w:t>дроби- лице,</w:t>
      </w:r>
      <w:r>
        <w:rPr>
          <w:color w:val="231F20"/>
          <w:spacing w:val="-7"/>
        </w:rPr>
        <w:t> </w:t>
      </w:r>
      <w:r>
        <w:rPr>
          <w:color w:val="231F20"/>
        </w:rPr>
        <w:t>зграде</w:t>
      </w:r>
      <w:r>
        <w:rPr>
          <w:color w:val="231F20"/>
          <w:spacing w:val="-7"/>
        </w:rPr>
        <w:t> </w:t>
      </w:r>
      <w:r>
        <w:rPr>
          <w:color w:val="231F20"/>
        </w:rPr>
        <w:t>пресипног</w:t>
      </w:r>
      <w:r>
        <w:rPr>
          <w:color w:val="231F20"/>
          <w:spacing w:val="-7"/>
        </w:rPr>
        <w:t> </w:t>
      </w:r>
      <w:r>
        <w:rPr>
          <w:color w:val="231F20"/>
        </w:rPr>
        <w:t>чвора</w:t>
      </w:r>
      <w:r>
        <w:rPr>
          <w:color w:val="231F20"/>
          <w:spacing w:val="-7"/>
        </w:rPr>
        <w:t> </w:t>
      </w:r>
      <w:r>
        <w:rPr>
          <w:color w:val="231F20"/>
        </w:rPr>
        <w:t>и</w:t>
      </w:r>
      <w:r>
        <w:rPr>
          <w:color w:val="231F20"/>
          <w:spacing w:val="-7"/>
        </w:rPr>
        <w:t> </w:t>
      </w:r>
      <w:r>
        <w:rPr>
          <w:color w:val="231F20"/>
        </w:rPr>
        <w:t>затворених</w:t>
      </w:r>
      <w:r>
        <w:rPr>
          <w:color w:val="231F20"/>
          <w:spacing w:val="-7"/>
        </w:rPr>
        <w:t> </w:t>
      </w:r>
      <w:r>
        <w:rPr>
          <w:color w:val="231F20"/>
        </w:rPr>
        <w:t>транспортних</w:t>
      </w:r>
      <w:r>
        <w:rPr>
          <w:color w:val="231F20"/>
          <w:spacing w:val="-7"/>
        </w:rPr>
        <w:t> </w:t>
      </w:r>
      <w:r>
        <w:rPr>
          <w:color w:val="231F20"/>
        </w:rPr>
        <w:t>мостова, смештени</w:t>
      </w:r>
      <w:r>
        <w:rPr>
          <w:color w:val="231F20"/>
          <w:spacing w:val="-10"/>
        </w:rPr>
        <w:t> </w:t>
      </w:r>
      <w:r>
        <w:rPr>
          <w:color w:val="231F20"/>
        </w:rPr>
        <w:t>су</w:t>
      </w:r>
      <w:r>
        <w:rPr>
          <w:color w:val="231F20"/>
          <w:spacing w:val="-10"/>
        </w:rPr>
        <w:t> </w:t>
      </w:r>
      <w:r>
        <w:rPr>
          <w:color w:val="231F20"/>
        </w:rPr>
        <w:t>објекти</w:t>
      </w:r>
      <w:r>
        <w:rPr>
          <w:color w:val="231F20"/>
          <w:spacing w:val="-10"/>
        </w:rPr>
        <w:t> </w:t>
      </w:r>
      <w:r>
        <w:rPr>
          <w:color w:val="231F20"/>
        </w:rPr>
        <w:t>гардеробе</w:t>
      </w:r>
      <w:r>
        <w:rPr>
          <w:color w:val="231F20"/>
          <w:spacing w:val="-10"/>
        </w:rPr>
        <w:t> </w:t>
      </w:r>
      <w:r>
        <w:rPr>
          <w:color w:val="231F20"/>
        </w:rPr>
        <w:t>са</w:t>
      </w:r>
      <w:r>
        <w:rPr>
          <w:color w:val="231F20"/>
          <w:spacing w:val="-10"/>
        </w:rPr>
        <w:t> </w:t>
      </w:r>
      <w:r>
        <w:rPr>
          <w:color w:val="231F20"/>
        </w:rPr>
        <w:t>купатилима,</w:t>
      </w:r>
      <w:r>
        <w:rPr>
          <w:color w:val="231F20"/>
          <w:spacing w:val="-10"/>
        </w:rPr>
        <w:t> </w:t>
      </w:r>
      <w:r>
        <w:rPr>
          <w:color w:val="231F20"/>
        </w:rPr>
        <w:t>портирнице</w:t>
      </w:r>
      <w:r>
        <w:rPr>
          <w:color w:val="231F20"/>
          <w:spacing w:val="-10"/>
        </w:rPr>
        <w:t> </w:t>
      </w:r>
      <w:r>
        <w:rPr>
          <w:color w:val="231F20"/>
        </w:rPr>
        <w:t>и</w:t>
      </w:r>
      <w:r>
        <w:rPr>
          <w:color w:val="231F20"/>
          <w:spacing w:val="-10"/>
        </w:rPr>
        <w:t> </w:t>
      </w:r>
      <w:r>
        <w:rPr>
          <w:color w:val="231F20"/>
        </w:rPr>
        <w:t>чека- онице за купце угља. Локација се уређује према општим правили- ма уређења Просторног плана као површина намењена рударским активностима </w:t>
      </w:r>
      <w:r>
        <w:rPr>
          <w:color w:val="231F20"/>
          <w:spacing w:val="-3"/>
        </w:rPr>
        <w:t>од </w:t>
      </w:r>
      <w:r>
        <w:rPr>
          <w:color w:val="231F20"/>
        </w:rPr>
        <w:t>јавног</w:t>
      </w:r>
      <w:r>
        <w:rPr>
          <w:color w:val="231F20"/>
          <w:spacing w:val="0"/>
        </w:rPr>
        <w:t> </w:t>
      </w:r>
      <w:r>
        <w:rPr>
          <w:color w:val="231F20"/>
        </w:rPr>
        <w:t>интереса.</w:t>
      </w:r>
    </w:p>
    <w:p>
      <w:pPr>
        <w:pStyle w:val="BodyText"/>
        <w:spacing w:line="235" w:lineRule="auto" w:before="5"/>
        <w:ind w:right="412" w:firstLine="397"/>
      </w:pPr>
      <w:r>
        <w:rPr>
          <w:color w:val="231F20"/>
        </w:rPr>
        <w:t>На подручју </w:t>
      </w:r>
      <w:r>
        <w:rPr>
          <w:color w:val="231F20"/>
          <w:spacing w:val="-3"/>
        </w:rPr>
        <w:t>КО </w:t>
      </w:r>
      <w:r>
        <w:rPr>
          <w:color w:val="231F20"/>
        </w:rPr>
        <w:t>Дрмно и, мањим делом, на подручју </w:t>
      </w:r>
      <w:r>
        <w:rPr>
          <w:color w:val="231F20"/>
          <w:spacing w:val="-3"/>
        </w:rPr>
        <w:t>КО Ко- </w:t>
      </w:r>
      <w:r>
        <w:rPr>
          <w:color w:val="231F20"/>
        </w:rPr>
        <w:t>столац село, између локалног пута, </w:t>
      </w:r>
      <w:r>
        <w:rPr>
          <w:color w:val="231F20"/>
          <w:spacing w:val="-3"/>
        </w:rPr>
        <w:t>комплекса </w:t>
      </w:r>
      <w:r>
        <w:rPr>
          <w:color w:val="231F20"/>
        </w:rPr>
        <w:t>ТЕ „Костолац Б”, локације „Дробиличног постројења” и села Дрмно, на површини </w:t>
      </w:r>
      <w:r>
        <w:rPr>
          <w:color w:val="231F20"/>
          <w:spacing w:val="-3"/>
        </w:rPr>
        <w:t>од </w:t>
      </w:r>
      <w:r>
        <w:rPr>
          <w:color w:val="231F20"/>
          <w:spacing w:val="-4"/>
        </w:rPr>
        <w:t>око </w:t>
      </w:r>
      <w:r>
        <w:rPr>
          <w:color w:val="231F20"/>
        </w:rPr>
        <w:t>16 ha, изграђени су или су планирани за изградњу линијски објекти:</w:t>
      </w:r>
      <w:r>
        <w:rPr>
          <w:color w:val="231F20"/>
          <w:spacing w:val="-6"/>
        </w:rPr>
        <w:t> </w:t>
      </w:r>
      <w:r>
        <w:rPr>
          <w:color w:val="231F20"/>
        </w:rPr>
        <w:t>сервисне</w:t>
      </w:r>
      <w:r>
        <w:rPr>
          <w:color w:val="231F20"/>
          <w:spacing w:val="-7"/>
        </w:rPr>
        <w:t> </w:t>
      </w:r>
      <w:r>
        <w:rPr>
          <w:color w:val="231F20"/>
        </w:rPr>
        <w:t>и</w:t>
      </w:r>
      <w:r>
        <w:rPr>
          <w:color w:val="231F20"/>
          <w:spacing w:val="-7"/>
        </w:rPr>
        <w:t> </w:t>
      </w:r>
      <w:r>
        <w:rPr>
          <w:color w:val="231F20"/>
        </w:rPr>
        <w:t>приступне</w:t>
      </w:r>
      <w:r>
        <w:rPr>
          <w:color w:val="231F20"/>
          <w:spacing w:val="-6"/>
        </w:rPr>
        <w:t> </w:t>
      </w:r>
      <w:r>
        <w:rPr>
          <w:color w:val="231F20"/>
        </w:rPr>
        <w:t>саобраћајнице,</w:t>
      </w:r>
      <w:r>
        <w:rPr>
          <w:color w:val="231F20"/>
          <w:spacing w:val="-6"/>
        </w:rPr>
        <w:t> </w:t>
      </w:r>
      <w:r>
        <w:rPr>
          <w:color w:val="231F20"/>
        </w:rPr>
        <w:t>индустријска</w:t>
      </w:r>
      <w:r>
        <w:rPr>
          <w:color w:val="231F20"/>
          <w:spacing w:val="-6"/>
        </w:rPr>
        <w:t> </w:t>
      </w:r>
      <w:r>
        <w:rPr>
          <w:color w:val="231F20"/>
        </w:rPr>
        <w:t>пруга, транспортни</w:t>
      </w:r>
      <w:r>
        <w:rPr>
          <w:color w:val="231F20"/>
          <w:spacing w:val="-8"/>
        </w:rPr>
        <w:t> </w:t>
      </w:r>
      <w:r>
        <w:rPr>
          <w:color w:val="231F20"/>
        </w:rPr>
        <w:t>системи</w:t>
      </w:r>
      <w:r>
        <w:rPr>
          <w:color w:val="231F20"/>
          <w:spacing w:val="-8"/>
        </w:rPr>
        <w:t> </w:t>
      </w:r>
      <w:r>
        <w:rPr>
          <w:color w:val="231F20"/>
        </w:rPr>
        <w:t>за</w:t>
      </w:r>
      <w:r>
        <w:rPr>
          <w:color w:val="231F20"/>
          <w:spacing w:val="-8"/>
        </w:rPr>
        <w:t> </w:t>
      </w:r>
      <w:r>
        <w:rPr>
          <w:color w:val="231F20"/>
        </w:rPr>
        <w:t>угаљ,</w:t>
      </w:r>
      <w:r>
        <w:rPr>
          <w:color w:val="231F20"/>
          <w:spacing w:val="-8"/>
        </w:rPr>
        <w:t> </w:t>
      </w:r>
      <w:r>
        <w:rPr>
          <w:color w:val="231F20"/>
        </w:rPr>
        <w:t>гипс,</w:t>
      </w:r>
      <w:r>
        <w:rPr>
          <w:color w:val="231F20"/>
          <w:spacing w:val="-8"/>
        </w:rPr>
        <w:t> </w:t>
      </w:r>
      <w:r>
        <w:rPr>
          <w:color w:val="231F20"/>
        </w:rPr>
        <w:t>пепео</w:t>
      </w:r>
      <w:r>
        <w:rPr>
          <w:color w:val="231F20"/>
          <w:spacing w:val="-8"/>
        </w:rPr>
        <w:t> </w:t>
      </w:r>
      <w:r>
        <w:rPr>
          <w:color w:val="231F20"/>
        </w:rPr>
        <w:t>и</w:t>
      </w:r>
      <w:r>
        <w:rPr>
          <w:color w:val="231F20"/>
          <w:spacing w:val="-8"/>
        </w:rPr>
        <w:t> </w:t>
      </w:r>
      <w:r>
        <w:rPr>
          <w:color w:val="231F20"/>
        </w:rPr>
        <w:t>шљаку</w:t>
      </w:r>
      <w:r>
        <w:rPr>
          <w:color w:val="231F20"/>
          <w:spacing w:val="-8"/>
        </w:rPr>
        <w:t> </w:t>
      </w:r>
      <w:r>
        <w:rPr>
          <w:color w:val="231F20"/>
        </w:rPr>
        <w:t>и</w:t>
      </w:r>
      <w:r>
        <w:rPr>
          <w:color w:val="231F20"/>
          <w:spacing w:val="-8"/>
        </w:rPr>
        <w:t> </w:t>
      </w:r>
      <w:r>
        <w:rPr>
          <w:color w:val="231F20"/>
        </w:rPr>
        <w:t>други</w:t>
      </w:r>
      <w:r>
        <w:rPr>
          <w:color w:val="231F20"/>
          <w:spacing w:val="-8"/>
        </w:rPr>
        <w:t> </w:t>
      </w:r>
      <w:r>
        <w:rPr>
          <w:color w:val="231F20"/>
        </w:rPr>
        <w:t>инфра- структурни</w:t>
      </w:r>
      <w:r>
        <w:rPr>
          <w:color w:val="231F20"/>
          <w:spacing w:val="-10"/>
        </w:rPr>
        <w:t> </w:t>
      </w:r>
      <w:r>
        <w:rPr>
          <w:color w:val="231F20"/>
        </w:rPr>
        <w:t>објекти.</w:t>
      </w:r>
      <w:r>
        <w:rPr>
          <w:color w:val="231F20"/>
          <w:spacing w:val="-10"/>
        </w:rPr>
        <w:t> </w:t>
      </w:r>
      <w:r>
        <w:rPr>
          <w:color w:val="231F20"/>
        </w:rPr>
        <w:t>Обухваћене</w:t>
      </w:r>
      <w:r>
        <w:rPr>
          <w:color w:val="231F20"/>
          <w:spacing w:val="-10"/>
        </w:rPr>
        <w:t> </w:t>
      </w:r>
      <w:r>
        <w:rPr>
          <w:color w:val="231F20"/>
        </w:rPr>
        <w:t>катастарске</w:t>
      </w:r>
      <w:r>
        <w:rPr>
          <w:color w:val="231F20"/>
          <w:spacing w:val="-10"/>
        </w:rPr>
        <w:t> </w:t>
      </w:r>
      <w:r>
        <w:rPr>
          <w:color w:val="231F20"/>
        </w:rPr>
        <w:t>парцеле</w:t>
      </w:r>
      <w:r>
        <w:rPr>
          <w:color w:val="231F20"/>
          <w:spacing w:val="-10"/>
        </w:rPr>
        <w:t> </w:t>
      </w:r>
      <w:r>
        <w:rPr>
          <w:color w:val="231F20"/>
        </w:rPr>
        <w:t>груписане</w:t>
      </w:r>
      <w:r>
        <w:rPr>
          <w:color w:val="231F20"/>
          <w:spacing w:val="-10"/>
        </w:rPr>
        <w:t> </w:t>
      </w:r>
      <w:r>
        <w:rPr>
          <w:color w:val="231F20"/>
        </w:rPr>
        <w:t>су у </w:t>
      </w:r>
      <w:r>
        <w:rPr>
          <w:color w:val="231F20"/>
          <w:spacing w:val="-4"/>
        </w:rPr>
        <w:t>неколико </w:t>
      </w:r>
      <w:r>
        <w:rPr>
          <w:color w:val="231F20"/>
        </w:rPr>
        <w:t>целина са истим правилима уређења и грађења, с тим што је подела успостављена према регулацији индустријског </w:t>
      </w:r>
      <w:r>
        <w:rPr>
          <w:color w:val="231F20"/>
          <w:spacing w:val="-4"/>
        </w:rPr>
        <w:t>ко- </w:t>
      </w:r>
      <w:r>
        <w:rPr>
          <w:color w:val="231F20"/>
        </w:rPr>
        <w:t>лосека </w:t>
      </w:r>
      <w:r>
        <w:rPr>
          <w:color w:val="231F20"/>
          <w:spacing w:val="-3"/>
        </w:rPr>
        <w:t>од </w:t>
      </w:r>
      <w:r>
        <w:rPr>
          <w:color w:val="231F20"/>
        </w:rPr>
        <w:t>железничке станице Стиг до ТЕ „Костолац Б”. У појасу регулације</w:t>
      </w:r>
      <w:r>
        <w:rPr>
          <w:color w:val="231F20"/>
          <w:spacing w:val="-10"/>
        </w:rPr>
        <w:t> </w:t>
      </w:r>
      <w:r>
        <w:rPr>
          <w:color w:val="231F20"/>
        </w:rPr>
        <w:t>индустријског</w:t>
      </w:r>
      <w:r>
        <w:rPr>
          <w:color w:val="231F20"/>
          <w:spacing w:val="-10"/>
        </w:rPr>
        <w:t> </w:t>
      </w:r>
      <w:r>
        <w:rPr>
          <w:color w:val="231F20"/>
        </w:rPr>
        <w:t>колосека</w:t>
      </w:r>
      <w:r>
        <w:rPr>
          <w:color w:val="231F20"/>
          <w:spacing w:val="-10"/>
        </w:rPr>
        <w:t> </w:t>
      </w:r>
      <w:r>
        <w:rPr>
          <w:color w:val="231F20"/>
        </w:rPr>
        <w:t>по</w:t>
      </w:r>
      <w:r>
        <w:rPr>
          <w:color w:val="231F20"/>
          <w:spacing w:val="-10"/>
        </w:rPr>
        <w:t> </w:t>
      </w:r>
      <w:r>
        <w:rPr>
          <w:color w:val="231F20"/>
        </w:rPr>
        <w:t>новој</w:t>
      </w:r>
      <w:r>
        <w:rPr>
          <w:color w:val="231F20"/>
          <w:spacing w:val="-10"/>
        </w:rPr>
        <w:t> </w:t>
      </w:r>
      <w:r>
        <w:rPr>
          <w:color w:val="231F20"/>
        </w:rPr>
        <w:t>траси,</w:t>
      </w:r>
      <w:r>
        <w:rPr>
          <w:color w:val="231F20"/>
          <w:spacing w:val="-10"/>
        </w:rPr>
        <w:t> </w:t>
      </w:r>
      <w:r>
        <w:rPr>
          <w:color w:val="231F20"/>
        </w:rPr>
        <w:t>према</w:t>
      </w:r>
      <w:r>
        <w:rPr>
          <w:color w:val="231F20"/>
          <w:spacing w:val="-10"/>
        </w:rPr>
        <w:t> </w:t>
      </w:r>
      <w:r>
        <w:rPr>
          <w:color w:val="231F20"/>
        </w:rPr>
        <w:t>правили- ма уређења и изградње Просторног плана, формира се парцела за изградњу овог објекта (грађевинска парцела</w:t>
      </w:r>
      <w:r>
        <w:rPr>
          <w:color w:val="231F20"/>
          <w:spacing w:val="-5"/>
        </w:rPr>
        <w:t> </w:t>
      </w:r>
      <w:r>
        <w:rPr>
          <w:color w:val="231F20"/>
        </w:rPr>
        <w:t>1).</w:t>
      </w:r>
    </w:p>
    <w:p>
      <w:pPr>
        <w:pStyle w:val="BodyText"/>
        <w:spacing w:line="235" w:lineRule="auto" w:before="10"/>
        <w:ind w:right="412" w:firstLine="396"/>
      </w:pPr>
      <w:r>
        <w:rPr>
          <w:color w:val="231F20"/>
        </w:rPr>
        <w:t>На траси цевовода за хидраулички транспорт гипса, у</w:t>
      </w:r>
      <w:r>
        <w:rPr>
          <w:color w:val="231F20"/>
          <w:spacing w:val="-30"/>
        </w:rPr>
        <w:t> </w:t>
      </w:r>
      <w:r>
        <w:rPr>
          <w:color w:val="231F20"/>
        </w:rPr>
        <w:t>односу на број и распоред цеви, врсту носеће конструкције, а пре свега диспозициони однос и захтевана растојања у односу на </w:t>
      </w:r>
      <w:r>
        <w:rPr>
          <w:color w:val="231F20"/>
          <w:spacing w:val="-3"/>
        </w:rPr>
        <w:t>околне </w:t>
      </w:r>
      <w:r>
        <w:rPr>
          <w:color w:val="231F20"/>
        </w:rPr>
        <w:t>си- стеме, као и с обзиром на друге урбанистичке елементе регулаци- је, разликују се три</w:t>
      </w:r>
      <w:r>
        <w:rPr>
          <w:color w:val="231F20"/>
          <w:spacing w:val="-1"/>
        </w:rPr>
        <w:t> </w:t>
      </w:r>
      <w:r>
        <w:rPr>
          <w:color w:val="231F20"/>
        </w:rPr>
        <w:t>сегмента:</w:t>
      </w:r>
    </w:p>
    <w:p>
      <w:pPr>
        <w:pStyle w:val="ListParagraph"/>
        <w:numPr>
          <w:ilvl w:val="0"/>
          <w:numId w:val="67"/>
        </w:numPr>
        <w:tabs>
          <w:tab w:pos="765" w:val="left" w:leader="none"/>
        </w:tabs>
        <w:spacing w:line="235" w:lineRule="auto" w:before="4" w:after="0"/>
        <w:ind w:left="170" w:right="412" w:firstLine="397"/>
        <w:jc w:val="both"/>
        <w:rPr>
          <w:sz w:val="18"/>
        </w:rPr>
      </w:pPr>
      <w:r>
        <w:rPr>
          <w:color w:val="231F20"/>
          <w:sz w:val="18"/>
        </w:rPr>
        <w:t>на делу трасе, оквирне дужине 810 m, између почетне тач- </w:t>
      </w:r>
      <w:r>
        <w:rPr>
          <w:color w:val="231F20"/>
          <w:spacing w:val="-3"/>
          <w:sz w:val="18"/>
        </w:rPr>
        <w:t>ке </w:t>
      </w:r>
      <w:r>
        <w:rPr>
          <w:color w:val="231F20"/>
          <w:sz w:val="18"/>
        </w:rPr>
        <w:t>О1 и </w:t>
      </w:r>
      <w:r>
        <w:rPr>
          <w:color w:val="231F20"/>
          <w:spacing w:val="-3"/>
          <w:sz w:val="18"/>
        </w:rPr>
        <w:t>тачке </w:t>
      </w:r>
      <w:r>
        <w:rPr>
          <w:color w:val="231F20"/>
          <w:sz w:val="18"/>
        </w:rPr>
        <w:t>О4 кроз ограђени </w:t>
      </w:r>
      <w:r>
        <w:rPr>
          <w:color w:val="231F20"/>
          <w:spacing w:val="-3"/>
          <w:sz w:val="18"/>
        </w:rPr>
        <w:t>комплекс </w:t>
      </w:r>
      <w:r>
        <w:rPr>
          <w:color w:val="231F20"/>
          <w:sz w:val="18"/>
        </w:rPr>
        <w:t>термоелектране (к.п. бр. 303, </w:t>
      </w:r>
      <w:r>
        <w:rPr>
          <w:color w:val="231F20"/>
          <w:spacing w:val="-3"/>
          <w:sz w:val="18"/>
        </w:rPr>
        <w:t>КО </w:t>
      </w:r>
      <w:r>
        <w:rPr>
          <w:color w:val="231F20"/>
          <w:sz w:val="18"/>
        </w:rPr>
        <w:t>Костолац село);</w:t>
      </w:r>
    </w:p>
    <w:p>
      <w:pPr>
        <w:pStyle w:val="ListParagraph"/>
        <w:numPr>
          <w:ilvl w:val="0"/>
          <w:numId w:val="67"/>
        </w:numPr>
        <w:tabs>
          <w:tab w:pos="778" w:val="left" w:leader="none"/>
        </w:tabs>
        <w:spacing w:line="235" w:lineRule="auto" w:before="2" w:after="0"/>
        <w:ind w:left="170" w:right="412" w:firstLine="397"/>
        <w:jc w:val="both"/>
        <w:rPr>
          <w:sz w:val="18"/>
        </w:rPr>
      </w:pPr>
      <w:r>
        <w:rPr>
          <w:color w:val="231F20"/>
          <w:sz w:val="18"/>
        </w:rPr>
        <w:t>на делу трасе, оквирне дужине 820 m, између </w:t>
      </w:r>
      <w:r>
        <w:rPr>
          <w:color w:val="231F20"/>
          <w:spacing w:val="-3"/>
          <w:sz w:val="18"/>
        </w:rPr>
        <w:t>тачке </w:t>
      </w:r>
      <w:r>
        <w:rPr>
          <w:color w:val="231F20"/>
          <w:sz w:val="18"/>
        </w:rPr>
        <w:t>О4 и </w:t>
      </w:r>
      <w:r>
        <w:rPr>
          <w:color w:val="231F20"/>
          <w:spacing w:val="-3"/>
          <w:sz w:val="18"/>
        </w:rPr>
        <w:t>тачке </w:t>
      </w:r>
      <w:r>
        <w:rPr>
          <w:color w:val="231F20"/>
          <w:sz w:val="18"/>
        </w:rPr>
        <w:t>О10, кроз земљиште корисника ПД </w:t>
      </w:r>
      <w:r>
        <w:rPr>
          <w:color w:val="231F20"/>
          <w:spacing w:val="-3"/>
          <w:sz w:val="18"/>
        </w:rPr>
        <w:t>„Термоелектране </w:t>
      </w:r>
      <w:r>
        <w:rPr>
          <w:color w:val="231F20"/>
          <w:sz w:val="18"/>
        </w:rPr>
        <w:t>и </w:t>
      </w:r>
      <w:r>
        <w:rPr>
          <w:color w:val="231F20"/>
          <w:spacing w:val="-3"/>
          <w:sz w:val="18"/>
        </w:rPr>
        <w:t>копо- </w:t>
      </w:r>
      <w:r>
        <w:rPr>
          <w:color w:val="231F20"/>
          <w:sz w:val="18"/>
        </w:rPr>
        <w:t>ви Костолац”, највећим делом прибављено у поступку експропри- јације или другим правним послом за потребе изградње и одржа- вања објеката у оквиру </w:t>
      </w:r>
      <w:r>
        <w:rPr>
          <w:color w:val="231F20"/>
          <w:spacing w:val="-4"/>
          <w:sz w:val="18"/>
        </w:rPr>
        <w:t>рударско </w:t>
      </w:r>
      <w:r>
        <w:rPr>
          <w:color w:val="231F20"/>
          <w:sz w:val="18"/>
        </w:rPr>
        <w:t>– енергетског </w:t>
      </w:r>
      <w:r>
        <w:rPr>
          <w:color w:val="231F20"/>
          <w:spacing w:val="-3"/>
          <w:sz w:val="18"/>
        </w:rPr>
        <w:t>комплекса који </w:t>
      </w:r>
      <w:r>
        <w:rPr>
          <w:color w:val="231F20"/>
          <w:sz w:val="18"/>
        </w:rPr>
        <w:t>су функционално повезани са објектом термоелектране;</w:t>
      </w:r>
      <w:r>
        <w:rPr>
          <w:color w:val="231F20"/>
          <w:spacing w:val="-9"/>
          <w:sz w:val="18"/>
        </w:rPr>
        <w:t> </w:t>
      </w:r>
      <w:r>
        <w:rPr>
          <w:color w:val="231F20"/>
          <w:sz w:val="18"/>
        </w:rPr>
        <w:t>и</w:t>
      </w:r>
    </w:p>
    <w:p>
      <w:pPr>
        <w:pStyle w:val="ListParagraph"/>
        <w:numPr>
          <w:ilvl w:val="0"/>
          <w:numId w:val="67"/>
        </w:numPr>
        <w:tabs>
          <w:tab w:pos="766" w:val="left" w:leader="none"/>
        </w:tabs>
        <w:spacing w:line="235" w:lineRule="auto" w:before="4" w:after="0"/>
        <w:ind w:left="171" w:right="412" w:firstLine="396"/>
        <w:jc w:val="both"/>
        <w:rPr>
          <w:sz w:val="18"/>
        </w:rPr>
      </w:pPr>
      <w:r>
        <w:rPr>
          <w:color w:val="231F20"/>
          <w:sz w:val="18"/>
        </w:rPr>
        <w:t>на делу трасе кроз </w:t>
      </w:r>
      <w:r>
        <w:rPr>
          <w:color w:val="231F20"/>
          <w:spacing w:val="-3"/>
          <w:sz w:val="18"/>
        </w:rPr>
        <w:t>комплекс </w:t>
      </w:r>
      <w:r>
        <w:rPr>
          <w:color w:val="231F20"/>
          <w:sz w:val="18"/>
        </w:rPr>
        <w:t>ПК „Дрмно” у дужини </w:t>
      </w:r>
      <w:r>
        <w:rPr>
          <w:color w:val="231F20"/>
          <w:spacing w:val="-3"/>
          <w:sz w:val="18"/>
        </w:rPr>
        <w:t>од </w:t>
      </w:r>
      <w:r>
        <w:rPr>
          <w:color w:val="231F20"/>
          <w:spacing w:val="-4"/>
          <w:sz w:val="18"/>
        </w:rPr>
        <w:t>око </w:t>
      </w:r>
      <w:r>
        <w:rPr>
          <w:color w:val="231F20"/>
          <w:sz w:val="18"/>
        </w:rPr>
        <w:t>940 m до планиране депоније гипса одакле се наставља развод по обиму</w:t>
      </w:r>
      <w:r>
        <w:rPr>
          <w:color w:val="231F20"/>
          <w:spacing w:val="-1"/>
          <w:sz w:val="18"/>
        </w:rPr>
        <w:t> </w:t>
      </w:r>
      <w:r>
        <w:rPr>
          <w:color w:val="231F20"/>
          <w:sz w:val="18"/>
        </w:rPr>
        <w:t>депоније.</w:t>
      </w:r>
    </w:p>
    <w:p>
      <w:pPr>
        <w:pStyle w:val="ListParagraph"/>
        <w:numPr>
          <w:ilvl w:val="2"/>
          <w:numId w:val="63"/>
        </w:numPr>
        <w:tabs>
          <w:tab w:pos="2186" w:val="left" w:leader="none"/>
        </w:tabs>
        <w:spacing w:line="240" w:lineRule="auto" w:before="169" w:after="0"/>
        <w:ind w:left="2185" w:right="0" w:hanging="315"/>
        <w:jc w:val="left"/>
        <w:rPr>
          <w:i/>
          <w:sz w:val="18"/>
        </w:rPr>
      </w:pPr>
      <w:r>
        <w:rPr>
          <w:i/>
          <w:color w:val="231F20"/>
          <w:sz w:val="18"/>
        </w:rPr>
        <w:t>Намена</w:t>
      </w:r>
      <w:r>
        <w:rPr>
          <w:i/>
          <w:color w:val="231F20"/>
          <w:spacing w:val="-2"/>
          <w:sz w:val="18"/>
        </w:rPr>
        <w:t> </w:t>
      </w:r>
      <w:r>
        <w:rPr>
          <w:i/>
          <w:color w:val="231F20"/>
          <w:sz w:val="18"/>
        </w:rPr>
        <w:t>простора</w:t>
      </w:r>
    </w:p>
    <w:p>
      <w:pPr>
        <w:pStyle w:val="BodyText"/>
        <w:spacing w:before="8"/>
        <w:ind w:left="0"/>
        <w:jc w:val="left"/>
        <w:rPr>
          <w:i/>
          <w:sz w:val="17"/>
        </w:rPr>
      </w:pPr>
    </w:p>
    <w:p>
      <w:pPr>
        <w:pStyle w:val="BodyText"/>
        <w:spacing w:line="235" w:lineRule="auto"/>
        <w:ind w:right="412" w:firstLine="397"/>
      </w:pPr>
      <w:r>
        <w:rPr>
          <w:color w:val="231F20"/>
        </w:rPr>
        <w:t>Изградња носеће конструкције за ослањање цевовода за хи- драулички транспорт гипса и монтажа цевовода планира се у оквиру коридора за транспорт суспензије гипса до депоније. Ко- ридор се утврђује према следећим правилима урбанистичке регу- лације:</w:t>
      </w:r>
    </w:p>
    <w:p>
      <w:pPr>
        <w:pStyle w:val="ListParagraph"/>
        <w:numPr>
          <w:ilvl w:val="0"/>
          <w:numId w:val="68"/>
        </w:numPr>
        <w:tabs>
          <w:tab w:pos="773" w:val="left" w:leader="none"/>
        </w:tabs>
        <w:spacing w:line="205" w:lineRule="exact" w:before="1" w:after="0"/>
        <w:ind w:left="170" w:right="0" w:firstLine="397"/>
        <w:jc w:val="left"/>
        <w:rPr>
          <w:sz w:val="18"/>
        </w:rPr>
      </w:pPr>
      <w:r>
        <w:rPr>
          <w:color w:val="231F20"/>
          <w:sz w:val="18"/>
        </w:rPr>
        <w:t>на</w:t>
      </w:r>
      <w:r>
        <w:rPr>
          <w:color w:val="231F20"/>
          <w:spacing w:val="22"/>
          <w:sz w:val="18"/>
        </w:rPr>
        <w:t> </w:t>
      </w:r>
      <w:r>
        <w:rPr>
          <w:color w:val="231F20"/>
          <w:sz w:val="18"/>
        </w:rPr>
        <w:t>делу</w:t>
      </w:r>
      <w:r>
        <w:rPr>
          <w:color w:val="231F20"/>
          <w:spacing w:val="23"/>
          <w:sz w:val="18"/>
        </w:rPr>
        <w:t> </w:t>
      </w:r>
      <w:r>
        <w:rPr>
          <w:color w:val="231F20"/>
          <w:sz w:val="18"/>
        </w:rPr>
        <w:t>трасе</w:t>
      </w:r>
      <w:r>
        <w:rPr>
          <w:color w:val="231F20"/>
          <w:spacing w:val="23"/>
          <w:sz w:val="18"/>
        </w:rPr>
        <w:t> </w:t>
      </w:r>
      <w:r>
        <w:rPr>
          <w:color w:val="231F20"/>
          <w:sz w:val="18"/>
        </w:rPr>
        <w:t>између</w:t>
      </w:r>
      <w:r>
        <w:rPr>
          <w:color w:val="231F20"/>
          <w:spacing w:val="23"/>
          <w:sz w:val="18"/>
        </w:rPr>
        <w:t> </w:t>
      </w:r>
      <w:r>
        <w:rPr>
          <w:color w:val="231F20"/>
          <w:sz w:val="18"/>
        </w:rPr>
        <w:t>тачака</w:t>
      </w:r>
      <w:r>
        <w:rPr>
          <w:color w:val="231F20"/>
          <w:spacing w:val="23"/>
          <w:sz w:val="18"/>
        </w:rPr>
        <w:t> </w:t>
      </w:r>
      <w:r>
        <w:rPr>
          <w:color w:val="231F20"/>
          <w:sz w:val="18"/>
        </w:rPr>
        <w:t>О1</w:t>
      </w:r>
      <w:r>
        <w:rPr>
          <w:color w:val="231F20"/>
          <w:spacing w:val="22"/>
          <w:sz w:val="18"/>
        </w:rPr>
        <w:t> </w:t>
      </w:r>
      <w:r>
        <w:rPr>
          <w:color w:val="231F20"/>
          <w:sz w:val="18"/>
        </w:rPr>
        <w:t>и</w:t>
      </w:r>
      <w:r>
        <w:rPr>
          <w:color w:val="231F20"/>
          <w:spacing w:val="22"/>
          <w:sz w:val="18"/>
        </w:rPr>
        <w:t> </w:t>
      </w:r>
      <w:r>
        <w:rPr>
          <w:color w:val="231F20"/>
          <w:sz w:val="18"/>
        </w:rPr>
        <w:t>О4</w:t>
      </w:r>
      <w:r>
        <w:rPr>
          <w:color w:val="231F20"/>
          <w:spacing w:val="22"/>
          <w:sz w:val="18"/>
        </w:rPr>
        <w:t> </w:t>
      </w:r>
      <w:r>
        <w:rPr>
          <w:color w:val="231F20"/>
          <w:sz w:val="18"/>
        </w:rPr>
        <w:t>кроз</w:t>
      </w:r>
      <w:r>
        <w:rPr>
          <w:color w:val="231F20"/>
          <w:spacing w:val="23"/>
          <w:sz w:val="18"/>
        </w:rPr>
        <w:t> </w:t>
      </w:r>
      <w:r>
        <w:rPr>
          <w:color w:val="231F20"/>
          <w:spacing w:val="-3"/>
          <w:sz w:val="18"/>
        </w:rPr>
        <w:t>Комплекс</w:t>
      </w:r>
      <w:r>
        <w:rPr>
          <w:color w:val="231F20"/>
          <w:spacing w:val="23"/>
          <w:sz w:val="18"/>
        </w:rPr>
        <w:t> </w:t>
      </w:r>
      <w:r>
        <w:rPr>
          <w:color w:val="231F20"/>
          <w:sz w:val="18"/>
        </w:rPr>
        <w:t>ТЕ</w:t>
      </w:r>
    </w:p>
    <w:p>
      <w:pPr>
        <w:pStyle w:val="BodyText"/>
        <w:spacing w:line="235" w:lineRule="auto" w:before="1"/>
        <w:ind w:right="412"/>
      </w:pPr>
      <w:r>
        <w:rPr>
          <w:color w:val="231F20"/>
        </w:rPr>
        <w:t>„Костолац Б” успоставља се коридор као појас изградње бетон- ских постамената за носећу конструкцију цевовода, најпре у по- јасу регулационе ширине 18 –28 m између унутрашње регулације </w:t>
      </w:r>
      <w:r>
        <w:rPr>
          <w:color w:val="231F20"/>
          <w:spacing w:val="-3"/>
        </w:rPr>
        <w:t>главне </w:t>
      </w:r>
      <w:r>
        <w:rPr>
          <w:color w:val="231F20"/>
        </w:rPr>
        <w:t>саобраћајнице и депоније угља; минимална удаљеност </w:t>
      </w:r>
      <w:r>
        <w:rPr>
          <w:color w:val="231F20"/>
          <w:spacing w:val="-4"/>
        </w:rPr>
        <w:t>ко- </w:t>
      </w:r>
      <w:r>
        <w:rPr>
          <w:color w:val="231F20"/>
        </w:rPr>
        <w:t>ридора</w:t>
      </w:r>
      <w:r>
        <w:rPr>
          <w:color w:val="231F20"/>
          <w:spacing w:val="-7"/>
        </w:rPr>
        <w:t> </w:t>
      </w:r>
      <w:r>
        <w:rPr>
          <w:color w:val="231F20"/>
          <w:spacing w:val="-3"/>
        </w:rPr>
        <w:t>од</w:t>
      </w:r>
      <w:r>
        <w:rPr>
          <w:color w:val="231F20"/>
          <w:spacing w:val="-7"/>
        </w:rPr>
        <w:t> </w:t>
      </w:r>
      <w:r>
        <w:rPr>
          <w:color w:val="231F20"/>
        </w:rPr>
        <w:t>ограде</w:t>
      </w:r>
      <w:r>
        <w:rPr>
          <w:color w:val="231F20"/>
          <w:spacing w:val="-7"/>
        </w:rPr>
        <w:t> </w:t>
      </w:r>
      <w:r>
        <w:rPr>
          <w:color w:val="231F20"/>
        </w:rPr>
        <w:t>депоније</w:t>
      </w:r>
      <w:r>
        <w:rPr>
          <w:color w:val="231F20"/>
          <w:spacing w:val="-7"/>
        </w:rPr>
        <w:t> </w:t>
      </w:r>
      <w:r>
        <w:rPr>
          <w:color w:val="231F20"/>
        </w:rPr>
        <w:t>угља</w:t>
      </w:r>
      <w:r>
        <w:rPr>
          <w:color w:val="231F20"/>
          <w:spacing w:val="-7"/>
        </w:rPr>
        <w:t> </w:t>
      </w:r>
      <w:r>
        <w:rPr>
          <w:color w:val="231F20"/>
        </w:rPr>
        <w:t>је</w:t>
      </w:r>
      <w:r>
        <w:rPr>
          <w:color w:val="231F20"/>
          <w:spacing w:val="-7"/>
        </w:rPr>
        <w:t> </w:t>
      </w:r>
      <w:r>
        <w:rPr>
          <w:color w:val="231F20"/>
        </w:rPr>
        <w:t>5</w:t>
      </w:r>
      <w:r>
        <w:rPr>
          <w:color w:val="231F20"/>
          <w:spacing w:val="-7"/>
        </w:rPr>
        <w:t> </w:t>
      </w:r>
      <w:r>
        <w:rPr>
          <w:color w:val="231F20"/>
        </w:rPr>
        <w:t>m,</w:t>
      </w:r>
      <w:r>
        <w:rPr>
          <w:color w:val="231F20"/>
          <w:spacing w:val="-7"/>
        </w:rPr>
        <w:t> </w:t>
      </w:r>
      <w:r>
        <w:rPr>
          <w:color w:val="231F20"/>
        </w:rPr>
        <w:t>а</w:t>
      </w:r>
      <w:r>
        <w:rPr>
          <w:color w:val="231F20"/>
          <w:spacing w:val="-7"/>
        </w:rPr>
        <w:t> </w:t>
      </w:r>
      <w:r>
        <w:rPr>
          <w:color w:val="231F20"/>
          <w:spacing w:val="-3"/>
        </w:rPr>
        <w:t>од</w:t>
      </w:r>
      <w:r>
        <w:rPr>
          <w:color w:val="231F20"/>
          <w:spacing w:val="-7"/>
        </w:rPr>
        <w:t> </w:t>
      </w:r>
      <w:r>
        <w:rPr>
          <w:color w:val="231F20"/>
        </w:rPr>
        <w:t>коридора</w:t>
      </w:r>
      <w:r>
        <w:rPr>
          <w:color w:val="231F20"/>
          <w:spacing w:val="-7"/>
        </w:rPr>
        <w:t> </w:t>
      </w:r>
      <w:r>
        <w:rPr>
          <w:color w:val="231F20"/>
        </w:rPr>
        <w:t>пепеловода</w:t>
      </w:r>
      <w:r>
        <w:rPr>
          <w:color w:val="231F20"/>
          <w:spacing w:val="-7"/>
        </w:rPr>
        <w:t> </w:t>
      </w:r>
      <w:r>
        <w:rPr>
          <w:color w:val="231F20"/>
        </w:rPr>
        <w:t>2 m; на делу </w:t>
      </w:r>
      <w:r>
        <w:rPr>
          <w:color w:val="231F20"/>
          <w:spacing w:val="-4"/>
        </w:rPr>
        <w:t>где </w:t>
      </w:r>
      <w:r>
        <w:rPr>
          <w:color w:val="231F20"/>
        </w:rPr>
        <w:t>се траса води </w:t>
      </w:r>
      <w:r>
        <w:rPr>
          <w:color w:val="231F20"/>
          <w:spacing w:val="-3"/>
        </w:rPr>
        <w:t>преко </w:t>
      </w:r>
      <w:r>
        <w:rPr>
          <w:color w:val="231F20"/>
        </w:rPr>
        <w:t>слободне површине обезбедити приступ коридору ради сервисних</w:t>
      </w:r>
      <w:r>
        <w:rPr>
          <w:color w:val="231F20"/>
          <w:spacing w:val="-2"/>
        </w:rPr>
        <w:t> </w:t>
      </w:r>
      <w:r>
        <w:rPr>
          <w:color w:val="231F20"/>
        </w:rPr>
        <w:t>потреба;</w:t>
      </w:r>
    </w:p>
    <w:p>
      <w:pPr>
        <w:pStyle w:val="ListParagraph"/>
        <w:numPr>
          <w:ilvl w:val="0"/>
          <w:numId w:val="68"/>
        </w:numPr>
        <w:tabs>
          <w:tab w:pos="771" w:val="left" w:leader="none"/>
        </w:tabs>
        <w:spacing w:line="235" w:lineRule="auto" w:before="5" w:after="0"/>
        <w:ind w:left="170" w:right="412" w:firstLine="397"/>
        <w:jc w:val="both"/>
        <w:rPr>
          <w:sz w:val="18"/>
        </w:rPr>
      </w:pPr>
      <w:r>
        <w:rPr>
          <w:color w:val="231F20"/>
          <w:sz w:val="18"/>
        </w:rPr>
        <w:t>на делу трасе између тачака О4 и О10 коридор обухвата поред </w:t>
      </w:r>
      <w:r>
        <w:rPr>
          <w:color w:val="231F20"/>
          <w:spacing w:val="-3"/>
          <w:sz w:val="18"/>
        </w:rPr>
        <w:t>извођачког </w:t>
      </w:r>
      <w:r>
        <w:rPr>
          <w:color w:val="231F20"/>
          <w:sz w:val="18"/>
        </w:rPr>
        <w:t>појаса и сервисну саобраћајницу, </w:t>
      </w:r>
      <w:r>
        <w:rPr>
          <w:color w:val="231F20"/>
          <w:spacing w:val="-3"/>
          <w:sz w:val="18"/>
        </w:rPr>
        <w:t>тако </w:t>
      </w:r>
      <w:r>
        <w:rPr>
          <w:color w:val="231F20"/>
          <w:sz w:val="18"/>
        </w:rPr>
        <w:t>да његова регулациона ширина износи 12 m, а формира се у оквиру парцела за изградњу објеката </w:t>
      </w:r>
      <w:r>
        <w:rPr>
          <w:color w:val="231F20"/>
          <w:spacing w:val="-3"/>
          <w:sz w:val="18"/>
        </w:rPr>
        <w:t>од </w:t>
      </w:r>
      <w:r>
        <w:rPr>
          <w:color w:val="231F20"/>
          <w:sz w:val="18"/>
        </w:rPr>
        <w:t>јавног интереса, с обзиром на то да је из- градња</w:t>
      </w:r>
      <w:r>
        <w:rPr>
          <w:color w:val="231F20"/>
          <w:spacing w:val="-8"/>
          <w:sz w:val="18"/>
        </w:rPr>
        <w:t> </w:t>
      </w:r>
      <w:r>
        <w:rPr>
          <w:color w:val="231F20"/>
          <w:sz w:val="18"/>
        </w:rPr>
        <w:t>планирана</w:t>
      </w:r>
      <w:r>
        <w:rPr>
          <w:color w:val="231F20"/>
          <w:spacing w:val="-8"/>
          <w:sz w:val="18"/>
        </w:rPr>
        <w:t> </w:t>
      </w:r>
      <w:r>
        <w:rPr>
          <w:color w:val="231F20"/>
          <w:sz w:val="18"/>
        </w:rPr>
        <w:t>у</w:t>
      </w:r>
      <w:r>
        <w:rPr>
          <w:color w:val="231F20"/>
          <w:spacing w:val="-8"/>
          <w:sz w:val="18"/>
        </w:rPr>
        <w:t> </w:t>
      </w:r>
      <w:r>
        <w:rPr>
          <w:color w:val="231F20"/>
          <w:sz w:val="18"/>
        </w:rPr>
        <w:t>циљу</w:t>
      </w:r>
      <w:r>
        <w:rPr>
          <w:color w:val="231F20"/>
          <w:spacing w:val="-8"/>
          <w:sz w:val="18"/>
        </w:rPr>
        <w:t> </w:t>
      </w:r>
      <w:r>
        <w:rPr>
          <w:color w:val="231F20"/>
          <w:sz w:val="18"/>
        </w:rPr>
        <w:t>заштите</w:t>
      </w:r>
      <w:r>
        <w:rPr>
          <w:color w:val="231F20"/>
          <w:spacing w:val="-8"/>
          <w:sz w:val="18"/>
        </w:rPr>
        <w:t> </w:t>
      </w:r>
      <w:r>
        <w:rPr>
          <w:color w:val="231F20"/>
          <w:sz w:val="18"/>
        </w:rPr>
        <w:t>и</w:t>
      </w:r>
      <w:r>
        <w:rPr>
          <w:color w:val="231F20"/>
          <w:spacing w:val="-8"/>
          <w:sz w:val="18"/>
        </w:rPr>
        <w:t> </w:t>
      </w:r>
      <w:r>
        <w:rPr>
          <w:color w:val="231F20"/>
          <w:sz w:val="18"/>
        </w:rPr>
        <w:t>унапређења</w:t>
      </w:r>
      <w:r>
        <w:rPr>
          <w:color w:val="231F20"/>
          <w:spacing w:val="-8"/>
          <w:sz w:val="18"/>
        </w:rPr>
        <w:t> </w:t>
      </w:r>
      <w:r>
        <w:rPr>
          <w:color w:val="231F20"/>
          <w:sz w:val="18"/>
        </w:rPr>
        <w:t>квалитета</w:t>
      </w:r>
      <w:r>
        <w:rPr>
          <w:color w:val="231F20"/>
          <w:spacing w:val="-8"/>
          <w:sz w:val="18"/>
        </w:rPr>
        <w:t> </w:t>
      </w:r>
      <w:r>
        <w:rPr>
          <w:color w:val="231F20"/>
          <w:sz w:val="18"/>
        </w:rPr>
        <w:t>живот- не средине у оквиру рударско-енергетског </w:t>
      </w:r>
      <w:r>
        <w:rPr>
          <w:color w:val="231F20"/>
          <w:spacing w:val="-3"/>
          <w:sz w:val="18"/>
        </w:rPr>
        <w:t>комплекса;</w:t>
      </w:r>
      <w:r>
        <w:rPr>
          <w:color w:val="231F20"/>
          <w:spacing w:val="-11"/>
          <w:sz w:val="18"/>
        </w:rPr>
        <w:t> </w:t>
      </w:r>
      <w:r>
        <w:rPr>
          <w:color w:val="231F20"/>
          <w:sz w:val="18"/>
        </w:rPr>
        <w:t>и</w:t>
      </w:r>
    </w:p>
    <w:p>
      <w:pPr>
        <w:pStyle w:val="ListParagraph"/>
        <w:numPr>
          <w:ilvl w:val="0"/>
          <w:numId w:val="68"/>
        </w:numPr>
        <w:tabs>
          <w:tab w:pos="747" w:val="left" w:leader="none"/>
        </w:tabs>
        <w:spacing w:line="205" w:lineRule="exact" w:before="2" w:after="0"/>
        <w:ind w:left="746" w:right="0" w:hanging="179"/>
        <w:jc w:val="left"/>
        <w:rPr>
          <w:sz w:val="18"/>
        </w:rPr>
      </w:pPr>
      <w:r>
        <w:rPr>
          <w:color w:val="231F20"/>
          <w:sz w:val="18"/>
        </w:rPr>
        <w:t>на делу </w:t>
      </w:r>
      <w:r>
        <w:rPr>
          <w:color w:val="231F20"/>
          <w:spacing w:val="-3"/>
          <w:sz w:val="18"/>
        </w:rPr>
        <w:t>од тачке </w:t>
      </w:r>
      <w:r>
        <w:rPr>
          <w:color w:val="231F20"/>
          <w:sz w:val="18"/>
        </w:rPr>
        <w:t>О10 до депоније гипса, кроз </w:t>
      </w:r>
      <w:r>
        <w:rPr>
          <w:color w:val="231F20"/>
          <w:spacing w:val="-3"/>
          <w:sz w:val="18"/>
        </w:rPr>
        <w:t>Комплекс</w:t>
      </w:r>
      <w:r>
        <w:rPr>
          <w:color w:val="231F20"/>
          <w:spacing w:val="-7"/>
          <w:sz w:val="18"/>
        </w:rPr>
        <w:t> </w:t>
      </w:r>
      <w:r>
        <w:rPr>
          <w:color w:val="231F20"/>
          <w:sz w:val="18"/>
        </w:rPr>
        <w:t>ПК</w:t>
      </w:r>
    </w:p>
    <w:p>
      <w:pPr>
        <w:pStyle w:val="BodyText"/>
        <w:spacing w:line="235" w:lineRule="auto" w:before="1"/>
        <w:ind w:right="412"/>
      </w:pPr>
      <w:r>
        <w:rPr>
          <w:color w:val="231F20"/>
        </w:rPr>
        <w:t>„Дрмно”, елементи трасе се усклађују са технолошким захтевима рударских активности на одлагању јаловине и рекултивацији уну- трашњег</w:t>
      </w:r>
      <w:r>
        <w:rPr>
          <w:color w:val="231F20"/>
          <w:spacing w:val="-10"/>
        </w:rPr>
        <w:t> </w:t>
      </w:r>
      <w:r>
        <w:rPr>
          <w:color w:val="231F20"/>
        </w:rPr>
        <w:t>одлагалишта;</w:t>
      </w:r>
      <w:r>
        <w:rPr>
          <w:color w:val="231F20"/>
          <w:spacing w:val="-9"/>
        </w:rPr>
        <w:t> </w:t>
      </w:r>
      <w:r>
        <w:rPr>
          <w:color w:val="231F20"/>
        </w:rPr>
        <w:t>не</w:t>
      </w:r>
      <w:r>
        <w:rPr>
          <w:color w:val="231F20"/>
          <w:spacing w:val="-10"/>
        </w:rPr>
        <w:t> </w:t>
      </w:r>
      <w:r>
        <w:rPr>
          <w:color w:val="231F20"/>
        </w:rPr>
        <w:t>утврђује</w:t>
      </w:r>
      <w:r>
        <w:rPr>
          <w:color w:val="231F20"/>
          <w:spacing w:val="-10"/>
        </w:rPr>
        <w:t> </w:t>
      </w:r>
      <w:r>
        <w:rPr>
          <w:color w:val="231F20"/>
        </w:rPr>
        <w:t>се</w:t>
      </w:r>
      <w:r>
        <w:rPr>
          <w:color w:val="231F20"/>
          <w:spacing w:val="-9"/>
        </w:rPr>
        <w:t> </w:t>
      </w:r>
      <w:r>
        <w:rPr>
          <w:color w:val="231F20"/>
        </w:rPr>
        <w:t>коридор</w:t>
      </w:r>
      <w:r>
        <w:rPr>
          <w:color w:val="231F20"/>
          <w:spacing w:val="-10"/>
        </w:rPr>
        <w:t> </w:t>
      </w:r>
      <w:r>
        <w:rPr>
          <w:color w:val="231F20"/>
        </w:rPr>
        <w:t>за</w:t>
      </w:r>
      <w:r>
        <w:rPr>
          <w:color w:val="231F20"/>
          <w:spacing w:val="-10"/>
        </w:rPr>
        <w:t> </w:t>
      </w:r>
      <w:r>
        <w:rPr>
          <w:color w:val="231F20"/>
        </w:rPr>
        <w:t>изградњу</w:t>
      </w:r>
      <w:r>
        <w:rPr>
          <w:color w:val="231F20"/>
          <w:spacing w:val="-10"/>
        </w:rPr>
        <w:t> </w:t>
      </w:r>
      <w:r>
        <w:rPr>
          <w:color w:val="231F20"/>
        </w:rPr>
        <w:t>цевово- да, већ се обезбеђује обострани заштитни појас </w:t>
      </w:r>
      <w:r>
        <w:rPr>
          <w:color w:val="231F20"/>
          <w:spacing w:val="-3"/>
        </w:rPr>
        <w:t>од </w:t>
      </w:r>
      <w:r>
        <w:rPr>
          <w:color w:val="231F20"/>
        </w:rPr>
        <w:t>минимум 3</w:t>
      </w:r>
      <w:r>
        <w:rPr>
          <w:color w:val="231F20"/>
          <w:spacing w:val="-10"/>
        </w:rPr>
        <w:t> </w:t>
      </w:r>
      <w:r>
        <w:rPr>
          <w:color w:val="231F20"/>
        </w:rPr>
        <w:t>m.</w:t>
      </w:r>
    </w:p>
    <w:p>
      <w:pPr>
        <w:pStyle w:val="BodyText"/>
        <w:spacing w:line="235" w:lineRule="auto" w:before="3"/>
        <w:ind w:left="169" w:right="412" w:firstLine="397"/>
      </w:pPr>
      <w:r>
        <w:rPr>
          <w:color w:val="231F20"/>
        </w:rPr>
        <w:t>Простор за одлагање гипса биће формиран у одложеној </w:t>
      </w:r>
      <w:r>
        <w:rPr>
          <w:color w:val="231F20"/>
          <w:spacing w:val="-4"/>
        </w:rPr>
        <w:t>ко- </w:t>
      </w:r>
      <w:r>
        <w:rPr>
          <w:color w:val="231F20"/>
        </w:rPr>
        <w:t>повској јаловини, </w:t>
      </w:r>
      <w:r>
        <w:rPr>
          <w:color w:val="231F20"/>
          <w:spacing w:val="-4"/>
        </w:rPr>
        <w:t>где </w:t>
      </w:r>
      <w:r>
        <w:rPr>
          <w:color w:val="231F20"/>
        </w:rPr>
        <w:t>ће се делом нагуравањем и планирањем по- моћу грађевинском механизацијом а делом по косини већ </w:t>
      </w:r>
      <w:r>
        <w:rPr>
          <w:color w:val="231F20"/>
          <w:spacing w:val="-3"/>
        </w:rPr>
        <w:t>одложе- </w:t>
      </w:r>
      <w:r>
        <w:rPr>
          <w:color w:val="231F20"/>
        </w:rPr>
        <w:t>не </w:t>
      </w:r>
      <w:r>
        <w:rPr>
          <w:color w:val="231F20"/>
          <w:spacing w:val="-3"/>
        </w:rPr>
        <w:t>коповске </w:t>
      </w:r>
      <w:r>
        <w:rPr>
          <w:color w:val="231F20"/>
        </w:rPr>
        <w:t>јаловине, формирати контура депоније. Формирање  и експлоатација депоније, као и рекултивација </w:t>
      </w:r>
      <w:r>
        <w:rPr>
          <w:color w:val="231F20"/>
          <w:spacing w:val="-3"/>
        </w:rPr>
        <w:t>након </w:t>
      </w:r>
      <w:r>
        <w:rPr>
          <w:color w:val="231F20"/>
        </w:rPr>
        <w:t>завршетка експлоатације регулисано је према правилима уређења простора за </w:t>
      </w:r>
      <w:r>
        <w:rPr>
          <w:color w:val="231F20"/>
          <w:spacing w:val="-3"/>
        </w:rPr>
        <w:t>комплекс </w:t>
      </w:r>
      <w:r>
        <w:rPr>
          <w:color w:val="231F20"/>
        </w:rPr>
        <w:t>ПК „Дрмно”. Површине </w:t>
      </w:r>
      <w:r>
        <w:rPr>
          <w:color w:val="231F20"/>
          <w:spacing w:val="-3"/>
        </w:rPr>
        <w:t>које </w:t>
      </w:r>
      <w:r>
        <w:rPr>
          <w:color w:val="231F20"/>
        </w:rPr>
        <w:t>су заузете или намење- не рударским радовима у </w:t>
      </w:r>
      <w:r>
        <w:rPr>
          <w:color w:val="231F20"/>
          <w:spacing w:val="-3"/>
        </w:rPr>
        <w:t>комплексу </w:t>
      </w:r>
      <w:r>
        <w:rPr>
          <w:color w:val="231F20"/>
        </w:rPr>
        <w:t>ПК „Дрмно”, сагласно Зако- </w:t>
      </w:r>
      <w:r>
        <w:rPr>
          <w:color w:val="231F20"/>
          <w:spacing w:val="-7"/>
        </w:rPr>
        <w:t>ну, </w:t>
      </w:r>
      <w:r>
        <w:rPr>
          <w:color w:val="231F20"/>
        </w:rPr>
        <w:t>утврђују се као јавна површина намењена „објектима </w:t>
      </w:r>
      <w:r>
        <w:rPr>
          <w:color w:val="231F20"/>
          <w:spacing w:val="-3"/>
        </w:rPr>
        <w:t>од </w:t>
      </w:r>
      <w:r>
        <w:rPr>
          <w:color w:val="231F20"/>
        </w:rPr>
        <w:t>јавног интереса”.</w:t>
      </w:r>
    </w:p>
    <w:p>
      <w:pPr>
        <w:spacing w:after="0" w:line="235" w:lineRule="auto"/>
        <w:sectPr>
          <w:pgSz w:w="12480" w:h="15690"/>
          <w:pgMar w:top="120" w:bottom="280" w:left="680" w:right="720"/>
          <w:cols w:num="2" w:equalWidth="0">
            <w:col w:w="5314" w:space="71"/>
            <w:col w:w="5695"/>
          </w:cols>
        </w:sectPr>
      </w:pPr>
    </w:p>
    <w:p>
      <w:pPr>
        <w:pStyle w:val="BodyText"/>
        <w:spacing w:line="237" w:lineRule="auto" w:before="69"/>
        <w:ind w:left="453" w:firstLine="397"/>
      </w:pPr>
      <w:r>
        <w:rPr/>
        <w:pict>
          <v:line style="position:absolute;mso-position-horizontal-relative:page;mso-position-vertical-relative:page;z-index:4480" from="318.897614pt,11.942451pt" to="318.897614pt,748.950451pt" stroked="true" strokeweight=".6pt" strokecolor="#231f20">
            <v:stroke dashstyle="solid"/>
            <w10:wrap type="none"/>
          </v:line>
        </w:pict>
      </w:r>
      <w:r>
        <w:rPr>
          <w:color w:val="231F20"/>
        </w:rPr>
        <w:t>У заштитном појасу археолошког налазишта примењују се ограничења у коришћењу и заштитне мере у складу са </w:t>
      </w:r>
      <w:r>
        <w:rPr>
          <w:color w:val="231F20"/>
          <w:spacing w:val="-3"/>
        </w:rPr>
        <w:t>Одлуком </w:t>
      </w:r>
      <w:r>
        <w:rPr>
          <w:color w:val="231F20"/>
        </w:rPr>
        <w:t>о утврђивању</w:t>
      </w:r>
      <w:r>
        <w:rPr>
          <w:color w:val="231F20"/>
          <w:spacing w:val="-11"/>
        </w:rPr>
        <w:t> </w:t>
      </w:r>
      <w:r>
        <w:rPr>
          <w:color w:val="231F20"/>
        </w:rPr>
        <w:t>локалитета</w:t>
      </w:r>
      <w:r>
        <w:rPr>
          <w:color w:val="231F20"/>
          <w:spacing w:val="-11"/>
        </w:rPr>
        <w:t> </w:t>
      </w:r>
      <w:r>
        <w:rPr>
          <w:color w:val="231F20"/>
        </w:rPr>
        <w:t>Виминацијум</w:t>
      </w:r>
      <w:r>
        <w:rPr>
          <w:color w:val="231F20"/>
          <w:spacing w:val="-11"/>
        </w:rPr>
        <w:t> </w:t>
      </w:r>
      <w:r>
        <w:rPr>
          <w:color w:val="231F20"/>
        </w:rPr>
        <w:t>у</w:t>
      </w:r>
      <w:r>
        <w:rPr>
          <w:color w:val="231F20"/>
          <w:spacing w:val="-11"/>
        </w:rPr>
        <w:t> </w:t>
      </w:r>
      <w:r>
        <w:rPr>
          <w:color w:val="231F20"/>
        </w:rPr>
        <w:t>атару</w:t>
      </w:r>
      <w:r>
        <w:rPr>
          <w:color w:val="231F20"/>
          <w:spacing w:val="-11"/>
        </w:rPr>
        <w:t> </w:t>
      </w:r>
      <w:r>
        <w:rPr>
          <w:color w:val="231F20"/>
        </w:rPr>
        <w:t>села</w:t>
      </w:r>
      <w:r>
        <w:rPr>
          <w:color w:val="231F20"/>
          <w:spacing w:val="-11"/>
        </w:rPr>
        <w:t> </w:t>
      </w:r>
      <w:r>
        <w:rPr>
          <w:color w:val="231F20"/>
        </w:rPr>
        <w:t>Стари</w:t>
      </w:r>
      <w:r>
        <w:rPr>
          <w:color w:val="231F20"/>
          <w:spacing w:val="-11"/>
        </w:rPr>
        <w:t> </w:t>
      </w:r>
      <w:r>
        <w:rPr>
          <w:color w:val="231F20"/>
        </w:rPr>
        <w:t>Костолац за</w:t>
      </w:r>
      <w:r>
        <w:rPr>
          <w:color w:val="231F20"/>
          <w:spacing w:val="-6"/>
        </w:rPr>
        <w:t> </w:t>
      </w:r>
      <w:r>
        <w:rPr>
          <w:color w:val="231F20"/>
        </w:rPr>
        <w:t>археолошко</w:t>
      </w:r>
      <w:r>
        <w:rPr>
          <w:color w:val="231F20"/>
          <w:spacing w:val="-6"/>
        </w:rPr>
        <w:t> </w:t>
      </w:r>
      <w:r>
        <w:rPr>
          <w:color w:val="231F20"/>
        </w:rPr>
        <w:t>налазиште,</w:t>
      </w:r>
      <w:r>
        <w:rPr>
          <w:color w:val="231F20"/>
          <w:spacing w:val="-6"/>
        </w:rPr>
        <w:t> </w:t>
      </w:r>
      <w:r>
        <w:rPr>
          <w:color w:val="231F20"/>
        </w:rPr>
        <w:t>(„Службени</w:t>
      </w:r>
      <w:r>
        <w:rPr>
          <w:color w:val="231F20"/>
          <w:spacing w:val="-6"/>
        </w:rPr>
        <w:t> </w:t>
      </w:r>
      <w:r>
        <w:rPr>
          <w:color w:val="231F20"/>
        </w:rPr>
        <w:t>гласник</w:t>
      </w:r>
      <w:r>
        <w:rPr>
          <w:color w:val="231F20"/>
          <w:spacing w:val="-6"/>
        </w:rPr>
        <w:t> </w:t>
      </w:r>
      <w:r>
        <w:rPr>
          <w:color w:val="231F20"/>
        </w:rPr>
        <w:t>РС”,</w:t>
      </w:r>
      <w:r>
        <w:rPr>
          <w:color w:val="231F20"/>
          <w:spacing w:val="-6"/>
        </w:rPr>
        <w:t> </w:t>
      </w:r>
      <w:r>
        <w:rPr>
          <w:color w:val="231F20"/>
        </w:rPr>
        <w:t>број</w:t>
      </w:r>
      <w:r>
        <w:rPr>
          <w:color w:val="231F20"/>
          <w:spacing w:val="-6"/>
        </w:rPr>
        <w:t> </w:t>
      </w:r>
      <w:r>
        <w:rPr>
          <w:color w:val="231F20"/>
        </w:rPr>
        <w:t>102/09).</w:t>
      </w:r>
    </w:p>
    <w:p>
      <w:pPr>
        <w:pStyle w:val="BodyText"/>
        <w:spacing w:before="5"/>
        <w:ind w:left="0"/>
        <w:jc w:val="left"/>
        <w:rPr>
          <w:sz w:val="29"/>
        </w:rPr>
      </w:pPr>
    </w:p>
    <w:p>
      <w:pPr>
        <w:pStyle w:val="ListParagraph"/>
        <w:numPr>
          <w:ilvl w:val="2"/>
          <w:numId w:val="63"/>
        </w:numPr>
        <w:tabs>
          <w:tab w:pos="1658" w:val="left" w:leader="none"/>
        </w:tabs>
        <w:spacing w:line="240" w:lineRule="auto" w:before="0" w:after="0"/>
        <w:ind w:left="1657" w:right="0" w:hanging="315"/>
        <w:jc w:val="left"/>
        <w:rPr>
          <w:i/>
          <w:sz w:val="18"/>
        </w:rPr>
      </w:pPr>
      <w:r>
        <w:rPr>
          <w:i/>
          <w:color w:val="231F20"/>
          <w:sz w:val="18"/>
        </w:rPr>
        <w:t>Правила изградње и уређења</w:t>
      </w:r>
      <w:r>
        <w:rPr>
          <w:i/>
          <w:color w:val="231F20"/>
          <w:spacing w:val="-2"/>
          <w:sz w:val="18"/>
        </w:rPr>
        <w:t> </w:t>
      </w:r>
      <w:r>
        <w:rPr>
          <w:i/>
          <w:color w:val="231F20"/>
          <w:sz w:val="18"/>
        </w:rPr>
        <w:t>простора</w:t>
      </w:r>
    </w:p>
    <w:p>
      <w:pPr>
        <w:pStyle w:val="ListParagraph"/>
        <w:numPr>
          <w:ilvl w:val="2"/>
          <w:numId w:val="69"/>
        </w:numPr>
        <w:tabs>
          <w:tab w:pos="1292" w:val="left" w:leader="none"/>
        </w:tabs>
        <w:spacing w:line="237" w:lineRule="auto" w:before="170" w:after="0"/>
        <w:ind w:left="2171" w:right="388" w:hanging="1330"/>
        <w:jc w:val="left"/>
        <w:rPr>
          <w:sz w:val="18"/>
        </w:rPr>
      </w:pPr>
      <w:r>
        <w:rPr>
          <w:color w:val="231F20"/>
          <w:spacing w:val="16"/>
          <w:sz w:val="18"/>
        </w:rPr>
        <w:t>Правила уређења </w:t>
      </w:r>
      <w:r>
        <w:rPr>
          <w:color w:val="231F20"/>
          <w:spacing w:val="12"/>
          <w:sz w:val="18"/>
        </w:rPr>
        <w:t>про </w:t>
      </w:r>
      <w:r>
        <w:rPr>
          <w:color w:val="231F20"/>
          <w:spacing w:val="15"/>
          <w:sz w:val="18"/>
        </w:rPr>
        <w:t>стора, </w:t>
      </w:r>
      <w:r>
        <w:rPr>
          <w:color w:val="231F20"/>
          <w:spacing w:val="17"/>
          <w:sz w:val="18"/>
        </w:rPr>
        <w:t>парцелације </w:t>
      </w:r>
      <w:r>
        <w:rPr>
          <w:color w:val="231F20"/>
          <w:sz w:val="18"/>
        </w:rPr>
        <w:t>и</w:t>
      </w:r>
      <w:r>
        <w:rPr>
          <w:color w:val="231F20"/>
          <w:spacing w:val="43"/>
          <w:sz w:val="18"/>
        </w:rPr>
        <w:t> </w:t>
      </w:r>
      <w:r>
        <w:rPr>
          <w:color w:val="231F20"/>
          <w:spacing w:val="17"/>
          <w:sz w:val="18"/>
        </w:rPr>
        <w:t>препарцелације</w:t>
      </w:r>
    </w:p>
    <w:p>
      <w:pPr>
        <w:pStyle w:val="BodyText"/>
        <w:spacing w:before="9"/>
        <w:ind w:left="0"/>
        <w:jc w:val="left"/>
        <w:rPr>
          <w:sz w:val="17"/>
        </w:rPr>
      </w:pPr>
    </w:p>
    <w:p>
      <w:pPr>
        <w:pStyle w:val="BodyText"/>
        <w:spacing w:line="237" w:lineRule="auto"/>
        <w:ind w:left="453" w:firstLine="396"/>
        <w:rPr>
          <w:sz w:val="10"/>
        </w:rPr>
      </w:pPr>
      <w:r>
        <w:rPr>
          <w:color w:val="231F20"/>
        </w:rPr>
        <w:t>Траса цевовода за хидраулички транспорт гипса. Траса цево- вода за транспорт суспензије гипса дефинисана је координатама у државном координатном систему преломних и других карактери- стичних тачака.</w:t>
      </w:r>
      <w:r>
        <w:rPr>
          <w:color w:val="231F20"/>
          <w:position w:val="6"/>
          <w:sz w:val="10"/>
        </w:rPr>
        <w:t>29</w:t>
      </w:r>
    </w:p>
    <w:p>
      <w:pPr>
        <w:pStyle w:val="BodyText"/>
        <w:spacing w:line="237" w:lineRule="auto"/>
        <w:ind w:left="453" w:firstLine="396"/>
      </w:pPr>
      <w:r>
        <w:rPr>
          <w:color w:val="231F20"/>
        </w:rPr>
        <w:t>Од почетне </w:t>
      </w:r>
      <w:r>
        <w:rPr>
          <w:color w:val="231F20"/>
          <w:spacing w:val="-3"/>
        </w:rPr>
        <w:t>тачке </w:t>
      </w:r>
      <w:r>
        <w:rPr>
          <w:color w:val="231F20"/>
        </w:rPr>
        <w:t>О1 на излазу из резервоара суспензије гип- са, односно, из апсорбера, примарно угушћена суспензија се пум- пама, кроз одговарајући цевовод, усмерава ка површинском </w:t>
      </w:r>
      <w:r>
        <w:rPr>
          <w:color w:val="231F20"/>
          <w:spacing w:val="-4"/>
        </w:rPr>
        <w:t>копу где </w:t>
      </w:r>
      <w:r>
        <w:rPr>
          <w:color w:val="231F20"/>
        </w:rPr>
        <w:t>је предвиђен простор за њено привремено одлагање, </w:t>
      </w:r>
      <w:r>
        <w:rPr>
          <w:color w:val="231F20"/>
          <w:spacing w:val="-3"/>
        </w:rPr>
        <w:t>тако </w:t>
      </w:r>
      <w:r>
        <w:rPr>
          <w:color w:val="231F20"/>
        </w:rPr>
        <w:t>да  се траса до </w:t>
      </w:r>
      <w:r>
        <w:rPr>
          <w:color w:val="231F20"/>
          <w:spacing w:val="-3"/>
        </w:rPr>
        <w:t>тачке </w:t>
      </w:r>
      <w:r>
        <w:rPr>
          <w:color w:val="231F20"/>
        </w:rPr>
        <w:t>О2 води </w:t>
      </w:r>
      <w:r>
        <w:rPr>
          <w:color w:val="231F20"/>
          <w:spacing w:val="-3"/>
        </w:rPr>
        <w:t>преко </w:t>
      </w:r>
      <w:r>
        <w:rPr>
          <w:color w:val="231F20"/>
        </w:rPr>
        <w:t>површина на </w:t>
      </w:r>
      <w:r>
        <w:rPr>
          <w:color w:val="231F20"/>
          <w:spacing w:val="-3"/>
        </w:rPr>
        <w:t>којима </w:t>
      </w:r>
      <w:r>
        <w:rPr>
          <w:color w:val="231F20"/>
        </w:rPr>
        <w:t>су изграђени објекти у склопу система </w:t>
      </w:r>
      <w:r>
        <w:rPr>
          <w:color w:val="231F20"/>
          <w:spacing w:val="-8"/>
        </w:rPr>
        <w:t>ОДГ, </w:t>
      </w:r>
      <w:r>
        <w:rPr>
          <w:color w:val="231F20"/>
        </w:rPr>
        <w:t>диспозиционо размештени с обзи- ром на положај постојећег и планираног косог моста за допрему угља и новог система за транспорт пепела и шљаке. Од </w:t>
      </w:r>
      <w:r>
        <w:rPr>
          <w:color w:val="231F20"/>
          <w:spacing w:val="-3"/>
        </w:rPr>
        <w:t>тачке </w:t>
      </w:r>
      <w:r>
        <w:rPr>
          <w:color w:val="231F20"/>
        </w:rPr>
        <w:t>А2 траса се води паралелно са трасом пепеловода из постојећих бло- </w:t>
      </w:r>
      <w:r>
        <w:rPr>
          <w:color w:val="231F20"/>
          <w:spacing w:val="-4"/>
        </w:rPr>
        <w:t>кова </w:t>
      </w:r>
      <w:r>
        <w:rPr>
          <w:color w:val="231F20"/>
        </w:rPr>
        <w:t>електране, односно паралелно са трасом пепеловода из пла- нираног блока Б3, пратећи правац </w:t>
      </w:r>
      <w:r>
        <w:rPr>
          <w:color w:val="231F20"/>
          <w:spacing w:val="-3"/>
        </w:rPr>
        <w:t>главне </w:t>
      </w:r>
      <w:r>
        <w:rPr>
          <w:color w:val="231F20"/>
        </w:rPr>
        <w:t>интерне саобраћајнице и уз ограду депоније угља. На делу између тачака О2 и О3 траси се прикључује транспорт гипса из система </w:t>
      </w:r>
      <w:r>
        <w:rPr>
          <w:color w:val="231F20"/>
          <w:spacing w:val="-4"/>
        </w:rPr>
        <w:t>ОДГ </w:t>
      </w:r>
      <w:r>
        <w:rPr>
          <w:color w:val="231F20"/>
        </w:rPr>
        <w:t>новог блока, </w:t>
      </w:r>
      <w:r>
        <w:rPr>
          <w:color w:val="231F20"/>
          <w:spacing w:val="-3"/>
        </w:rPr>
        <w:t>тако </w:t>
      </w:r>
      <w:r>
        <w:rPr>
          <w:color w:val="231F20"/>
        </w:rPr>
        <w:t>да се препоручује постављање цевовода на заједничким ослонцима, односно успостављање јединственог коридора за транспорт гип- са из оба система </w:t>
      </w:r>
      <w:r>
        <w:rPr>
          <w:color w:val="231F20"/>
          <w:spacing w:val="-4"/>
        </w:rPr>
        <w:t>ОДГ </w:t>
      </w:r>
      <w:r>
        <w:rPr>
          <w:color w:val="231F20"/>
        </w:rPr>
        <w:t>и транспорт пепела и шљаке из блока Б3. На делу између тачака О3 и О4, траса мења правац и прелази нај- пре </w:t>
      </w:r>
      <w:r>
        <w:rPr>
          <w:color w:val="231F20"/>
          <w:spacing w:val="-3"/>
        </w:rPr>
        <w:t>главну </w:t>
      </w:r>
      <w:r>
        <w:rPr>
          <w:color w:val="231F20"/>
        </w:rPr>
        <w:t>интерну саобраћајницу, а затим се укршта на два места са колосецима интерне железничке пруге. У тачки О4 траса мења правац, а цевоводи се полажу по ниским ослонцима у дужини </w:t>
      </w:r>
      <w:r>
        <w:rPr>
          <w:color w:val="231F20"/>
          <w:spacing w:val="-3"/>
        </w:rPr>
        <w:t>од </w:t>
      </w:r>
      <w:r>
        <w:rPr>
          <w:color w:val="231F20"/>
          <w:spacing w:val="-4"/>
        </w:rPr>
        <w:t>око </w:t>
      </w:r>
      <w:r>
        <w:rPr>
          <w:color w:val="231F20"/>
        </w:rPr>
        <w:t>230</w:t>
      </w:r>
      <w:r>
        <w:rPr>
          <w:color w:val="231F20"/>
          <w:spacing w:val="3"/>
        </w:rPr>
        <w:t> </w:t>
      </w:r>
      <w:r>
        <w:rPr>
          <w:color w:val="231F20"/>
        </w:rPr>
        <w:t>m.</w:t>
      </w:r>
    </w:p>
    <w:p>
      <w:pPr>
        <w:pStyle w:val="BodyText"/>
        <w:spacing w:line="237" w:lineRule="auto"/>
        <w:ind w:left="455" w:firstLine="396"/>
      </w:pPr>
      <w:r>
        <w:rPr>
          <w:color w:val="231F20"/>
        </w:rPr>
        <w:t>У тачки О4 траса напушта ограђени простор електране и да- ље се води претежно на ниским ослонцима </w:t>
      </w:r>
      <w:r>
        <w:rPr>
          <w:color w:val="231F20"/>
          <w:spacing w:val="-3"/>
        </w:rPr>
        <w:t>преко </w:t>
      </w:r>
      <w:r>
        <w:rPr>
          <w:color w:val="231F20"/>
        </w:rPr>
        <w:t>површина пред- виђених за изградњу и одржавање линијских техничких система  у склопу рударско-енергетског </w:t>
      </w:r>
      <w:r>
        <w:rPr>
          <w:color w:val="231F20"/>
          <w:spacing w:val="-3"/>
        </w:rPr>
        <w:t>комплекса. </w:t>
      </w:r>
      <w:r>
        <w:rPr>
          <w:color w:val="231F20"/>
        </w:rPr>
        <w:t>На местима укрштања са трасама других система, у тачки О6 са трасом транспортера за угаљ и у О7 са индустријском пругом, прекида се сервисна сао- браћајница </w:t>
      </w:r>
      <w:r>
        <w:rPr>
          <w:color w:val="231F20"/>
          <w:spacing w:val="-3"/>
        </w:rPr>
        <w:t>која </w:t>
      </w:r>
      <w:r>
        <w:rPr>
          <w:color w:val="231F20"/>
        </w:rPr>
        <w:t>прати трасу цевовода, а прелази обезбеђују изди- зањем цевовода на конструкције са високим</w:t>
      </w:r>
      <w:r>
        <w:rPr>
          <w:color w:val="231F20"/>
          <w:spacing w:val="-10"/>
        </w:rPr>
        <w:t> </w:t>
      </w:r>
      <w:r>
        <w:rPr>
          <w:color w:val="231F20"/>
        </w:rPr>
        <w:t>ослонцима.</w:t>
      </w:r>
    </w:p>
    <w:p>
      <w:pPr>
        <w:pStyle w:val="BodyText"/>
        <w:spacing w:line="237" w:lineRule="auto"/>
        <w:ind w:left="455" w:firstLine="397"/>
      </w:pPr>
      <w:r>
        <w:rPr>
          <w:color w:val="231F20"/>
        </w:rPr>
        <w:t>Између тачака О7 до О8 цевовод је положен на ниским ослонцима у дужини </w:t>
      </w:r>
      <w:r>
        <w:rPr>
          <w:color w:val="231F20"/>
          <w:spacing w:val="-3"/>
        </w:rPr>
        <w:t>од </w:t>
      </w:r>
      <w:r>
        <w:rPr>
          <w:color w:val="231F20"/>
          <w:spacing w:val="-4"/>
        </w:rPr>
        <w:t>око </w:t>
      </w:r>
      <w:r>
        <w:rPr>
          <w:color w:val="231F20"/>
        </w:rPr>
        <w:t>270 m, а у тачки О8 траса поново ме- ња правац и прелази </w:t>
      </w:r>
      <w:r>
        <w:rPr>
          <w:color w:val="231F20"/>
          <w:spacing w:val="-3"/>
        </w:rPr>
        <w:t>преко преко </w:t>
      </w:r>
      <w:r>
        <w:rPr>
          <w:color w:val="231F20"/>
        </w:rPr>
        <w:t>колосека бр. 6 индустријске пру- ге између тачака О8 и О9. На делу трасе између О9 и О10, траса се води на ниским ослонцима. Од </w:t>
      </w:r>
      <w:r>
        <w:rPr>
          <w:color w:val="231F20"/>
          <w:spacing w:val="-3"/>
        </w:rPr>
        <w:t>тачке </w:t>
      </w:r>
      <w:r>
        <w:rPr>
          <w:color w:val="231F20"/>
        </w:rPr>
        <w:t>О10 до депоније, траса се води најпре кроз заштитни појас </w:t>
      </w:r>
      <w:r>
        <w:rPr>
          <w:color w:val="231F20"/>
          <w:spacing w:val="-3"/>
        </w:rPr>
        <w:t>копа, </w:t>
      </w:r>
      <w:r>
        <w:rPr>
          <w:color w:val="231F20"/>
        </w:rPr>
        <w:t>а затим по косини и пла- </w:t>
      </w:r>
      <w:r>
        <w:rPr>
          <w:color w:val="231F20"/>
          <w:spacing w:val="-4"/>
        </w:rPr>
        <w:t>тоу </w:t>
      </w:r>
      <w:r>
        <w:rPr>
          <w:color w:val="231F20"/>
        </w:rPr>
        <w:t>унутрашњег одлагалишта, у свему у складу са технолошким захтевима</w:t>
      </w:r>
      <w:r>
        <w:rPr>
          <w:color w:val="231F20"/>
          <w:spacing w:val="-5"/>
        </w:rPr>
        <w:t> </w:t>
      </w:r>
      <w:r>
        <w:rPr>
          <w:color w:val="231F20"/>
        </w:rPr>
        <w:t>транспорта</w:t>
      </w:r>
      <w:r>
        <w:rPr>
          <w:color w:val="231F20"/>
          <w:spacing w:val="-5"/>
        </w:rPr>
        <w:t> </w:t>
      </w:r>
      <w:r>
        <w:rPr>
          <w:color w:val="231F20"/>
        </w:rPr>
        <w:t>и</w:t>
      </w:r>
      <w:r>
        <w:rPr>
          <w:color w:val="231F20"/>
          <w:spacing w:val="-5"/>
        </w:rPr>
        <w:t> </w:t>
      </w:r>
      <w:r>
        <w:rPr>
          <w:color w:val="231F20"/>
        </w:rPr>
        <w:t>одлагања</w:t>
      </w:r>
      <w:r>
        <w:rPr>
          <w:color w:val="231F20"/>
          <w:spacing w:val="-5"/>
        </w:rPr>
        <w:t> </w:t>
      </w:r>
      <w:r>
        <w:rPr>
          <w:color w:val="231F20"/>
        </w:rPr>
        <w:t>јаловине</w:t>
      </w:r>
      <w:r>
        <w:rPr>
          <w:color w:val="231F20"/>
          <w:spacing w:val="-5"/>
        </w:rPr>
        <w:t> </w:t>
      </w:r>
      <w:r>
        <w:rPr>
          <w:color w:val="231F20"/>
        </w:rPr>
        <w:t>и</w:t>
      </w:r>
      <w:r>
        <w:rPr>
          <w:color w:val="231F20"/>
          <w:spacing w:val="-5"/>
        </w:rPr>
        <w:t> </w:t>
      </w:r>
      <w:r>
        <w:rPr>
          <w:color w:val="231F20"/>
        </w:rPr>
        <w:t>усаглашено</w:t>
      </w:r>
      <w:r>
        <w:rPr>
          <w:color w:val="231F20"/>
          <w:spacing w:val="-5"/>
        </w:rPr>
        <w:t> </w:t>
      </w:r>
      <w:r>
        <w:rPr>
          <w:color w:val="231F20"/>
        </w:rPr>
        <w:t>са</w:t>
      </w:r>
      <w:r>
        <w:rPr>
          <w:color w:val="231F20"/>
          <w:spacing w:val="-5"/>
        </w:rPr>
        <w:t> </w:t>
      </w:r>
      <w:r>
        <w:rPr>
          <w:color w:val="231F20"/>
          <w:spacing w:val="-3"/>
        </w:rPr>
        <w:t>рудар- </w:t>
      </w:r>
      <w:r>
        <w:rPr>
          <w:color w:val="231F20"/>
        </w:rPr>
        <w:t>ским пројектом </w:t>
      </w:r>
      <w:r>
        <w:rPr>
          <w:color w:val="231F20"/>
          <w:spacing w:val="-3"/>
        </w:rPr>
        <w:t>коначне </w:t>
      </w:r>
      <w:r>
        <w:rPr>
          <w:color w:val="231F20"/>
        </w:rPr>
        <w:t>рекултивације.</w:t>
      </w:r>
    </w:p>
    <w:p>
      <w:pPr>
        <w:pStyle w:val="BodyText"/>
        <w:spacing w:before="1"/>
        <w:ind w:left="0"/>
        <w:jc w:val="left"/>
        <w:rPr>
          <w:sz w:val="17"/>
        </w:rPr>
      </w:pPr>
    </w:p>
    <w:p>
      <w:pPr>
        <w:pStyle w:val="BodyText"/>
        <w:spacing w:line="232" w:lineRule="auto"/>
        <w:ind w:left="1344" w:right="61" w:hanging="890"/>
        <w:jc w:val="left"/>
      </w:pPr>
      <w:r>
        <w:rPr>
          <w:color w:val="231F20"/>
        </w:rPr>
        <w:t>Табела 7.1: Координате тачака на траси цевовода за хидраулички транспорт гипса</w:t>
      </w:r>
    </w:p>
    <w:p>
      <w:pPr>
        <w:pStyle w:val="BodyText"/>
        <w:spacing w:before="7"/>
        <w:ind w:left="0"/>
        <w:jc w:val="left"/>
        <w:rPr>
          <w:sz w:val="3"/>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1701"/>
        <w:gridCol w:w="1701"/>
      </w:tblGrid>
      <w:tr>
        <w:trPr>
          <w:trHeight w:val="200" w:hRule="atLeast"/>
        </w:trPr>
        <w:tc>
          <w:tcPr>
            <w:tcW w:w="1701" w:type="dxa"/>
          </w:tcPr>
          <w:p>
            <w:pPr>
              <w:pStyle w:val="TableParagraph"/>
              <w:ind w:left="438" w:right="429"/>
              <w:jc w:val="center"/>
              <w:rPr>
                <w:sz w:val="14"/>
              </w:rPr>
            </w:pPr>
            <w:r>
              <w:rPr>
                <w:color w:val="231F20"/>
                <w:sz w:val="14"/>
              </w:rPr>
              <w:t>Ознака тачке</w:t>
            </w:r>
          </w:p>
        </w:tc>
        <w:tc>
          <w:tcPr>
            <w:tcW w:w="1701" w:type="dxa"/>
          </w:tcPr>
          <w:p>
            <w:pPr>
              <w:pStyle w:val="TableParagraph"/>
              <w:ind w:left="9"/>
              <w:jc w:val="center"/>
              <w:rPr>
                <w:sz w:val="14"/>
              </w:rPr>
            </w:pPr>
            <w:r>
              <w:rPr>
                <w:color w:val="231F20"/>
                <w:sz w:val="14"/>
              </w:rPr>
              <w:t>X</w:t>
            </w:r>
          </w:p>
        </w:tc>
        <w:tc>
          <w:tcPr>
            <w:tcW w:w="1701" w:type="dxa"/>
          </w:tcPr>
          <w:p>
            <w:pPr>
              <w:pStyle w:val="TableParagraph"/>
              <w:ind w:left="14"/>
              <w:jc w:val="center"/>
              <w:rPr>
                <w:sz w:val="14"/>
              </w:rPr>
            </w:pPr>
            <w:r>
              <w:rPr>
                <w:color w:val="231F20"/>
                <w:sz w:val="14"/>
              </w:rPr>
              <w:t>Y</w:t>
            </w:r>
          </w:p>
        </w:tc>
      </w:tr>
      <w:tr>
        <w:trPr>
          <w:trHeight w:val="200" w:hRule="atLeast"/>
        </w:trPr>
        <w:tc>
          <w:tcPr>
            <w:tcW w:w="1701" w:type="dxa"/>
          </w:tcPr>
          <w:p>
            <w:pPr>
              <w:pStyle w:val="TableParagraph"/>
              <w:ind w:left="438" w:right="429"/>
              <w:jc w:val="center"/>
              <w:rPr>
                <w:sz w:val="14"/>
              </w:rPr>
            </w:pPr>
            <w:r>
              <w:rPr>
                <w:color w:val="231F20"/>
                <w:sz w:val="14"/>
              </w:rPr>
              <w:t>O1</w:t>
            </w:r>
          </w:p>
        </w:tc>
        <w:tc>
          <w:tcPr>
            <w:tcW w:w="1701" w:type="dxa"/>
          </w:tcPr>
          <w:p>
            <w:pPr>
              <w:pStyle w:val="TableParagraph"/>
              <w:ind w:left="438" w:right="429"/>
              <w:jc w:val="center"/>
              <w:rPr>
                <w:sz w:val="14"/>
              </w:rPr>
            </w:pPr>
            <w:r>
              <w:rPr>
                <w:color w:val="231F20"/>
                <w:sz w:val="14"/>
              </w:rPr>
              <w:t>4 954 087</w:t>
            </w:r>
          </w:p>
        </w:tc>
        <w:tc>
          <w:tcPr>
            <w:tcW w:w="1701" w:type="dxa"/>
          </w:tcPr>
          <w:p>
            <w:pPr>
              <w:pStyle w:val="TableParagraph"/>
              <w:ind w:left="437" w:right="429"/>
              <w:jc w:val="center"/>
              <w:rPr>
                <w:sz w:val="14"/>
              </w:rPr>
            </w:pPr>
            <w:r>
              <w:rPr>
                <w:color w:val="231F20"/>
                <w:sz w:val="14"/>
              </w:rPr>
              <w:t>7 517 234</w:t>
            </w:r>
          </w:p>
        </w:tc>
      </w:tr>
      <w:tr>
        <w:trPr>
          <w:trHeight w:val="200" w:hRule="atLeast"/>
        </w:trPr>
        <w:tc>
          <w:tcPr>
            <w:tcW w:w="1701" w:type="dxa"/>
          </w:tcPr>
          <w:p>
            <w:pPr>
              <w:pStyle w:val="TableParagraph"/>
              <w:ind w:left="438" w:right="429"/>
              <w:jc w:val="center"/>
              <w:rPr>
                <w:sz w:val="14"/>
              </w:rPr>
            </w:pPr>
            <w:r>
              <w:rPr>
                <w:color w:val="231F20"/>
                <w:sz w:val="14"/>
              </w:rPr>
              <w:t>O2</w:t>
            </w:r>
          </w:p>
        </w:tc>
        <w:tc>
          <w:tcPr>
            <w:tcW w:w="1701" w:type="dxa"/>
          </w:tcPr>
          <w:p>
            <w:pPr>
              <w:pStyle w:val="TableParagraph"/>
              <w:ind w:left="438" w:right="429"/>
              <w:jc w:val="center"/>
              <w:rPr>
                <w:sz w:val="14"/>
              </w:rPr>
            </w:pPr>
            <w:r>
              <w:rPr>
                <w:color w:val="231F20"/>
                <w:sz w:val="14"/>
              </w:rPr>
              <w:t>4 954 087</w:t>
            </w:r>
          </w:p>
        </w:tc>
        <w:tc>
          <w:tcPr>
            <w:tcW w:w="1701" w:type="dxa"/>
          </w:tcPr>
          <w:p>
            <w:pPr>
              <w:pStyle w:val="TableParagraph"/>
              <w:ind w:left="437" w:right="429"/>
              <w:jc w:val="center"/>
              <w:rPr>
                <w:sz w:val="14"/>
              </w:rPr>
            </w:pPr>
            <w:r>
              <w:rPr>
                <w:color w:val="231F20"/>
                <w:sz w:val="14"/>
              </w:rPr>
              <w:t>7 517 234</w:t>
            </w:r>
          </w:p>
        </w:tc>
      </w:tr>
      <w:tr>
        <w:trPr>
          <w:trHeight w:val="200" w:hRule="atLeast"/>
        </w:trPr>
        <w:tc>
          <w:tcPr>
            <w:tcW w:w="1701" w:type="dxa"/>
          </w:tcPr>
          <w:p>
            <w:pPr>
              <w:pStyle w:val="TableParagraph"/>
              <w:ind w:left="438" w:right="429"/>
              <w:jc w:val="center"/>
              <w:rPr>
                <w:sz w:val="14"/>
              </w:rPr>
            </w:pPr>
            <w:r>
              <w:rPr>
                <w:color w:val="231F20"/>
                <w:sz w:val="14"/>
              </w:rPr>
              <w:t>O3</w:t>
            </w:r>
          </w:p>
        </w:tc>
        <w:tc>
          <w:tcPr>
            <w:tcW w:w="1701" w:type="dxa"/>
          </w:tcPr>
          <w:p>
            <w:pPr>
              <w:pStyle w:val="TableParagraph"/>
              <w:ind w:left="438" w:right="429"/>
              <w:jc w:val="center"/>
              <w:rPr>
                <w:sz w:val="14"/>
              </w:rPr>
            </w:pPr>
            <w:r>
              <w:rPr>
                <w:color w:val="231F20"/>
                <w:sz w:val="14"/>
              </w:rPr>
              <w:t>4 953 885</w:t>
            </w:r>
          </w:p>
        </w:tc>
        <w:tc>
          <w:tcPr>
            <w:tcW w:w="1701" w:type="dxa"/>
          </w:tcPr>
          <w:p>
            <w:pPr>
              <w:pStyle w:val="TableParagraph"/>
              <w:ind w:left="437" w:right="429"/>
              <w:jc w:val="center"/>
              <w:rPr>
                <w:sz w:val="14"/>
              </w:rPr>
            </w:pPr>
            <w:r>
              <w:rPr>
                <w:color w:val="231F20"/>
                <w:sz w:val="14"/>
              </w:rPr>
              <w:t>7 517 338</w:t>
            </w:r>
          </w:p>
        </w:tc>
      </w:tr>
      <w:tr>
        <w:trPr>
          <w:trHeight w:val="200" w:hRule="atLeast"/>
        </w:trPr>
        <w:tc>
          <w:tcPr>
            <w:tcW w:w="1701" w:type="dxa"/>
          </w:tcPr>
          <w:p>
            <w:pPr>
              <w:pStyle w:val="TableParagraph"/>
              <w:ind w:left="438" w:right="429"/>
              <w:jc w:val="center"/>
              <w:rPr>
                <w:sz w:val="14"/>
              </w:rPr>
            </w:pPr>
            <w:r>
              <w:rPr>
                <w:color w:val="231F20"/>
                <w:sz w:val="14"/>
              </w:rPr>
              <w:t>O4</w:t>
            </w:r>
          </w:p>
        </w:tc>
        <w:tc>
          <w:tcPr>
            <w:tcW w:w="1701" w:type="dxa"/>
          </w:tcPr>
          <w:p>
            <w:pPr>
              <w:pStyle w:val="TableParagraph"/>
              <w:ind w:left="438" w:right="429"/>
              <w:jc w:val="center"/>
              <w:rPr>
                <w:sz w:val="14"/>
              </w:rPr>
            </w:pPr>
            <w:r>
              <w:rPr>
                <w:color w:val="231F20"/>
                <w:sz w:val="14"/>
              </w:rPr>
              <w:t>4 953 400</w:t>
            </w:r>
          </w:p>
        </w:tc>
        <w:tc>
          <w:tcPr>
            <w:tcW w:w="1701" w:type="dxa"/>
          </w:tcPr>
          <w:p>
            <w:pPr>
              <w:pStyle w:val="TableParagraph"/>
              <w:ind w:left="437" w:right="429"/>
              <w:jc w:val="center"/>
              <w:rPr>
                <w:sz w:val="14"/>
              </w:rPr>
            </w:pPr>
            <w:r>
              <w:rPr>
                <w:color w:val="231F20"/>
                <w:sz w:val="14"/>
              </w:rPr>
              <w:t>7 517 420</w:t>
            </w:r>
          </w:p>
        </w:tc>
      </w:tr>
      <w:tr>
        <w:trPr>
          <w:trHeight w:val="200" w:hRule="atLeast"/>
        </w:trPr>
        <w:tc>
          <w:tcPr>
            <w:tcW w:w="1701" w:type="dxa"/>
          </w:tcPr>
          <w:p>
            <w:pPr>
              <w:pStyle w:val="TableParagraph"/>
              <w:ind w:left="438" w:right="429"/>
              <w:jc w:val="center"/>
              <w:rPr>
                <w:sz w:val="14"/>
              </w:rPr>
            </w:pPr>
            <w:r>
              <w:rPr>
                <w:color w:val="231F20"/>
                <w:sz w:val="14"/>
              </w:rPr>
              <w:t>O5</w:t>
            </w:r>
          </w:p>
        </w:tc>
        <w:tc>
          <w:tcPr>
            <w:tcW w:w="1701" w:type="dxa"/>
          </w:tcPr>
          <w:p>
            <w:pPr>
              <w:pStyle w:val="TableParagraph"/>
              <w:ind w:left="438" w:right="429"/>
              <w:jc w:val="center"/>
              <w:rPr>
                <w:sz w:val="14"/>
              </w:rPr>
            </w:pPr>
            <w:r>
              <w:rPr>
                <w:color w:val="231F20"/>
                <w:sz w:val="14"/>
              </w:rPr>
              <w:t>4 953 549</w:t>
            </w:r>
          </w:p>
        </w:tc>
        <w:tc>
          <w:tcPr>
            <w:tcW w:w="1701" w:type="dxa"/>
          </w:tcPr>
          <w:p>
            <w:pPr>
              <w:pStyle w:val="TableParagraph"/>
              <w:ind w:left="437" w:right="429"/>
              <w:jc w:val="center"/>
              <w:rPr>
                <w:sz w:val="14"/>
              </w:rPr>
            </w:pPr>
            <w:r>
              <w:rPr>
                <w:color w:val="231F20"/>
                <w:sz w:val="14"/>
              </w:rPr>
              <w:t>7 517 495</w:t>
            </w:r>
          </w:p>
        </w:tc>
      </w:tr>
      <w:tr>
        <w:trPr>
          <w:trHeight w:val="200" w:hRule="atLeast"/>
        </w:trPr>
        <w:tc>
          <w:tcPr>
            <w:tcW w:w="1701" w:type="dxa"/>
          </w:tcPr>
          <w:p>
            <w:pPr>
              <w:pStyle w:val="TableParagraph"/>
              <w:ind w:left="438" w:right="429"/>
              <w:jc w:val="center"/>
              <w:rPr>
                <w:sz w:val="14"/>
              </w:rPr>
            </w:pPr>
            <w:r>
              <w:rPr>
                <w:color w:val="231F20"/>
                <w:sz w:val="14"/>
              </w:rPr>
              <w:t>O6</w:t>
            </w:r>
          </w:p>
        </w:tc>
        <w:tc>
          <w:tcPr>
            <w:tcW w:w="1701" w:type="dxa"/>
          </w:tcPr>
          <w:p>
            <w:pPr>
              <w:pStyle w:val="TableParagraph"/>
              <w:ind w:left="438" w:right="429"/>
              <w:jc w:val="center"/>
              <w:rPr>
                <w:sz w:val="14"/>
              </w:rPr>
            </w:pPr>
            <w:r>
              <w:rPr>
                <w:color w:val="231F20"/>
                <w:sz w:val="14"/>
              </w:rPr>
              <w:t>4 953 427</w:t>
            </w:r>
          </w:p>
        </w:tc>
        <w:tc>
          <w:tcPr>
            <w:tcW w:w="1701" w:type="dxa"/>
          </w:tcPr>
          <w:p>
            <w:pPr>
              <w:pStyle w:val="TableParagraph"/>
              <w:ind w:left="437" w:right="429"/>
              <w:jc w:val="center"/>
              <w:rPr>
                <w:sz w:val="14"/>
              </w:rPr>
            </w:pPr>
            <w:r>
              <w:rPr>
                <w:color w:val="231F20"/>
                <w:sz w:val="14"/>
              </w:rPr>
              <w:t>7 517 415</w:t>
            </w:r>
          </w:p>
        </w:tc>
      </w:tr>
      <w:tr>
        <w:trPr>
          <w:trHeight w:val="200" w:hRule="atLeast"/>
        </w:trPr>
        <w:tc>
          <w:tcPr>
            <w:tcW w:w="1701" w:type="dxa"/>
          </w:tcPr>
          <w:p>
            <w:pPr>
              <w:pStyle w:val="TableParagraph"/>
              <w:ind w:left="438" w:right="429"/>
              <w:jc w:val="center"/>
              <w:rPr>
                <w:sz w:val="14"/>
              </w:rPr>
            </w:pPr>
            <w:r>
              <w:rPr>
                <w:color w:val="231F20"/>
                <w:sz w:val="14"/>
              </w:rPr>
              <w:t>O7</w:t>
            </w:r>
          </w:p>
        </w:tc>
        <w:tc>
          <w:tcPr>
            <w:tcW w:w="1701" w:type="dxa"/>
          </w:tcPr>
          <w:p>
            <w:pPr>
              <w:pStyle w:val="TableParagraph"/>
              <w:ind w:left="438" w:right="429"/>
              <w:jc w:val="center"/>
              <w:rPr>
                <w:sz w:val="14"/>
              </w:rPr>
            </w:pPr>
            <w:r>
              <w:rPr>
                <w:color w:val="231F20"/>
                <w:sz w:val="14"/>
              </w:rPr>
              <w:t>4 953 327</w:t>
            </w:r>
          </w:p>
        </w:tc>
        <w:tc>
          <w:tcPr>
            <w:tcW w:w="1701" w:type="dxa"/>
          </w:tcPr>
          <w:p>
            <w:pPr>
              <w:pStyle w:val="TableParagraph"/>
              <w:ind w:left="437" w:right="429"/>
              <w:jc w:val="center"/>
              <w:rPr>
                <w:sz w:val="14"/>
              </w:rPr>
            </w:pPr>
            <w:r>
              <w:rPr>
                <w:color w:val="231F20"/>
                <w:sz w:val="14"/>
              </w:rPr>
              <w:t>7 517 446</w:t>
            </w:r>
          </w:p>
        </w:tc>
      </w:tr>
      <w:tr>
        <w:trPr>
          <w:trHeight w:val="200" w:hRule="atLeast"/>
        </w:trPr>
        <w:tc>
          <w:tcPr>
            <w:tcW w:w="1701" w:type="dxa"/>
          </w:tcPr>
          <w:p>
            <w:pPr>
              <w:pStyle w:val="TableParagraph"/>
              <w:spacing w:before="17"/>
              <w:ind w:left="438" w:right="429"/>
              <w:jc w:val="center"/>
              <w:rPr>
                <w:sz w:val="14"/>
              </w:rPr>
            </w:pPr>
            <w:r>
              <w:rPr>
                <w:color w:val="231F20"/>
                <w:sz w:val="14"/>
              </w:rPr>
              <w:t>O8</w:t>
            </w:r>
          </w:p>
        </w:tc>
        <w:tc>
          <w:tcPr>
            <w:tcW w:w="1701" w:type="dxa"/>
          </w:tcPr>
          <w:p>
            <w:pPr>
              <w:pStyle w:val="TableParagraph"/>
              <w:spacing w:before="17"/>
              <w:ind w:left="438" w:right="429"/>
              <w:jc w:val="center"/>
              <w:rPr>
                <w:sz w:val="14"/>
              </w:rPr>
            </w:pPr>
            <w:r>
              <w:rPr>
                <w:color w:val="231F20"/>
                <w:sz w:val="14"/>
              </w:rPr>
              <w:t>4 953 162</w:t>
            </w:r>
          </w:p>
        </w:tc>
        <w:tc>
          <w:tcPr>
            <w:tcW w:w="1701" w:type="dxa"/>
          </w:tcPr>
          <w:p>
            <w:pPr>
              <w:pStyle w:val="TableParagraph"/>
              <w:spacing w:before="17"/>
              <w:ind w:left="437" w:right="429"/>
              <w:jc w:val="center"/>
              <w:rPr>
                <w:sz w:val="14"/>
              </w:rPr>
            </w:pPr>
            <w:r>
              <w:rPr>
                <w:color w:val="231F20"/>
                <w:sz w:val="14"/>
              </w:rPr>
              <w:t>7 517497</w:t>
            </w:r>
          </w:p>
        </w:tc>
      </w:tr>
      <w:tr>
        <w:trPr>
          <w:trHeight w:val="200" w:hRule="atLeast"/>
        </w:trPr>
        <w:tc>
          <w:tcPr>
            <w:tcW w:w="1701" w:type="dxa"/>
          </w:tcPr>
          <w:p>
            <w:pPr>
              <w:pStyle w:val="TableParagraph"/>
              <w:spacing w:before="17"/>
              <w:ind w:left="438" w:right="429"/>
              <w:jc w:val="center"/>
              <w:rPr>
                <w:sz w:val="14"/>
              </w:rPr>
            </w:pPr>
            <w:r>
              <w:rPr>
                <w:color w:val="231F20"/>
                <w:sz w:val="14"/>
              </w:rPr>
              <w:t>O9</w:t>
            </w:r>
          </w:p>
        </w:tc>
        <w:tc>
          <w:tcPr>
            <w:tcW w:w="1701" w:type="dxa"/>
          </w:tcPr>
          <w:p>
            <w:pPr>
              <w:pStyle w:val="TableParagraph"/>
              <w:spacing w:before="17"/>
              <w:ind w:left="438" w:right="429"/>
              <w:jc w:val="center"/>
              <w:rPr>
                <w:sz w:val="14"/>
              </w:rPr>
            </w:pPr>
            <w:r>
              <w:rPr>
                <w:color w:val="231F20"/>
                <w:sz w:val="14"/>
              </w:rPr>
              <w:t>4 953 035</w:t>
            </w:r>
          </w:p>
        </w:tc>
        <w:tc>
          <w:tcPr>
            <w:tcW w:w="1701" w:type="dxa"/>
          </w:tcPr>
          <w:p>
            <w:pPr>
              <w:pStyle w:val="TableParagraph"/>
              <w:spacing w:before="17"/>
              <w:ind w:left="437" w:right="429"/>
              <w:jc w:val="center"/>
              <w:rPr>
                <w:sz w:val="14"/>
              </w:rPr>
            </w:pPr>
            <w:r>
              <w:rPr>
                <w:color w:val="231F20"/>
                <w:sz w:val="14"/>
              </w:rPr>
              <w:t>7 517 923</w:t>
            </w:r>
          </w:p>
        </w:tc>
      </w:tr>
      <w:tr>
        <w:trPr>
          <w:trHeight w:val="200" w:hRule="atLeast"/>
        </w:trPr>
        <w:tc>
          <w:tcPr>
            <w:tcW w:w="1701" w:type="dxa"/>
          </w:tcPr>
          <w:p>
            <w:pPr>
              <w:pStyle w:val="TableParagraph"/>
              <w:spacing w:before="17"/>
              <w:ind w:left="438" w:right="429"/>
              <w:jc w:val="center"/>
              <w:rPr>
                <w:sz w:val="14"/>
              </w:rPr>
            </w:pPr>
            <w:r>
              <w:rPr>
                <w:color w:val="231F20"/>
                <w:sz w:val="14"/>
              </w:rPr>
              <w:t>O10</w:t>
            </w:r>
          </w:p>
        </w:tc>
        <w:tc>
          <w:tcPr>
            <w:tcW w:w="1701" w:type="dxa"/>
          </w:tcPr>
          <w:p>
            <w:pPr>
              <w:pStyle w:val="TableParagraph"/>
              <w:spacing w:before="17"/>
              <w:ind w:left="438" w:right="429"/>
              <w:jc w:val="center"/>
              <w:rPr>
                <w:sz w:val="14"/>
              </w:rPr>
            </w:pPr>
            <w:r>
              <w:rPr>
                <w:color w:val="231F20"/>
                <w:sz w:val="14"/>
              </w:rPr>
              <w:t>4 953 065</w:t>
            </w:r>
          </w:p>
        </w:tc>
        <w:tc>
          <w:tcPr>
            <w:tcW w:w="1701" w:type="dxa"/>
          </w:tcPr>
          <w:p>
            <w:pPr>
              <w:pStyle w:val="TableParagraph"/>
              <w:spacing w:before="17"/>
              <w:ind w:left="437" w:right="429"/>
              <w:jc w:val="center"/>
              <w:rPr>
                <w:sz w:val="14"/>
              </w:rPr>
            </w:pPr>
            <w:r>
              <w:rPr>
                <w:color w:val="231F20"/>
                <w:sz w:val="14"/>
              </w:rPr>
              <w:t>7 518 010</w:t>
            </w:r>
          </w:p>
        </w:tc>
      </w:tr>
    </w:tbl>
    <w:p>
      <w:pPr>
        <w:pStyle w:val="BodyText"/>
        <w:spacing w:line="203" w:lineRule="exact" w:before="90"/>
        <w:ind w:left="850"/>
        <w:jc w:val="left"/>
      </w:pPr>
      <w:r>
        <w:rPr>
          <w:color w:val="231F20"/>
        </w:rPr>
        <w:t>Парцелација и препарцелација.</w:t>
      </w:r>
    </w:p>
    <w:p>
      <w:pPr>
        <w:spacing w:line="157" w:lineRule="exact" w:before="0"/>
        <w:ind w:left="453" w:right="0" w:firstLine="0"/>
        <w:jc w:val="left"/>
        <w:rPr>
          <w:sz w:val="14"/>
        </w:rPr>
      </w:pPr>
      <w:r>
        <w:rPr>
          <w:color w:val="231F20"/>
          <w:w w:val="66"/>
          <w:sz w:val="14"/>
        </w:rPr>
        <w:t> </w:t>
      </w:r>
      <w:r>
        <w:rPr>
          <w:color w:val="231F20"/>
          <w:w w:val="75"/>
          <w:sz w:val="14"/>
        </w:rPr>
        <w:t>– – – – – – – – – – – – – –</w:t>
      </w:r>
    </w:p>
    <w:p>
      <w:pPr>
        <w:spacing w:before="0"/>
        <w:ind w:left="737" w:right="0" w:hanging="284"/>
        <w:jc w:val="both"/>
        <w:rPr>
          <w:sz w:val="14"/>
        </w:rPr>
      </w:pPr>
      <w:r>
        <w:rPr>
          <w:color w:val="231F20"/>
          <w:sz w:val="14"/>
        </w:rPr>
        <w:t>29 Координате тачака у су дате оријентационо, а сама траса се мора кроз одговара- јућу техничку документацију проверити и усагласити са евентуално измењеним трасама других система у истој зони, нарочито с обзиром на редослед реализа- ције појединих система.</w:t>
      </w:r>
    </w:p>
    <w:p>
      <w:pPr>
        <w:pStyle w:val="BodyText"/>
        <w:spacing w:before="68"/>
        <w:ind w:left="241" w:right="127" w:firstLine="396"/>
      </w:pPr>
      <w:r>
        <w:rPr/>
        <w:br w:type="column"/>
      </w:r>
      <w:r>
        <w:rPr>
          <w:color w:val="231F20"/>
        </w:rPr>
        <w:t>На обухваћеним површинама (територија града Пожаревца, делови подручја </w:t>
      </w:r>
      <w:r>
        <w:rPr>
          <w:color w:val="231F20"/>
          <w:spacing w:val="-3"/>
        </w:rPr>
        <w:t>КО </w:t>
      </w:r>
      <w:r>
        <w:rPr>
          <w:color w:val="231F20"/>
        </w:rPr>
        <w:t>Костолац село и </w:t>
      </w:r>
      <w:r>
        <w:rPr>
          <w:color w:val="231F20"/>
          <w:spacing w:val="-3"/>
        </w:rPr>
        <w:t>КО </w:t>
      </w:r>
      <w:r>
        <w:rPr>
          <w:color w:val="231F20"/>
        </w:rPr>
        <w:t>Дрмно), изван </w:t>
      </w:r>
      <w:r>
        <w:rPr>
          <w:color w:val="231F20"/>
          <w:spacing w:val="-3"/>
        </w:rPr>
        <w:t>комплекса </w:t>
      </w:r>
      <w:r>
        <w:rPr>
          <w:color w:val="231F20"/>
        </w:rPr>
        <w:t>ТЕ „Костолац Б” и ПК „Дрмно”, мења се постојећа катастарска парцелација ради формирања нових парцела на јавном земљишту у складу са успостављеним режимом коришћења и променом на- мене. Нове катастарске парцеле се формирају на основу валидног и ажурираног катастарског плана и пројекта геодетског обележа- вања, а према овереном пројекту парцелације.</w:t>
      </w:r>
    </w:p>
    <w:p>
      <w:pPr>
        <w:pStyle w:val="BodyText"/>
        <w:ind w:left="241" w:right="127" w:firstLine="396"/>
      </w:pPr>
      <w:r>
        <w:rPr>
          <w:color w:val="231F20"/>
        </w:rPr>
        <w:t>Грађевинске</w:t>
      </w:r>
      <w:r>
        <w:rPr>
          <w:color w:val="231F20"/>
          <w:spacing w:val="-7"/>
        </w:rPr>
        <w:t> </w:t>
      </w:r>
      <w:r>
        <w:rPr>
          <w:color w:val="231F20"/>
        </w:rPr>
        <w:t>парцеле</w:t>
      </w:r>
      <w:r>
        <w:rPr>
          <w:color w:val="231F20"/>
          <w:spacing w:val="-7"/>
        </w:rPr>
        <w:t> </w:t>
      </w:r>
      <w:r>
        <w:rPr>
          <w:color w:val="231F20"/>
          <w:spacing w:val="-3"/>
        </w:rPr>
        <w:t>које</w:t>
      </w:r>
      <w:r>
        <w:rPr>
          <w:color w:val="231F20"/>
          <w:spacing w:val="-7"/>
        </w:rPr>
        <w:t> </w:t>
      </w:r>
      <w:r>
        <w:rPr>
          <w:color w:val="231F20"/>
        </w:rPr>
        <w:t>ће</w:t>
      </w:r>
      <w:r>
        <w:rPr>
          <w:color w:val="231F20"/>
          <w:spacing w:val="-7"/>
        </w:rPr>
        <w:t> </w:t>
      </w:r>
      <w:r>
        <w:rPr>
          <w:color w:val="231F20"/>
        </w:rPr>
        <w:t>се</w:t>
      </w:r>
      <w:r>
        <w:rPr>
          <w:color w:val="231F20"/>
          <w:spacing w:val="-7"/>
        </w:rPr>
        <w:t> </w:t>
      </w:r>
      <w:r>
        <w:rPr>
          <w:color w:val="231F20"/>
        </w:rPr>
        <w:t>формирати</w:t>
      </w:r>
      <w:r>
        <w:rPr>
          <w:color w:val="231F20"/>
          <w:spacing w:val="-7"/>
        </w:rPr>
        <w:t> </w:t>
      </w:r>
      <w:r>
        <w:rPr>
          <w:color w:val="231F20"/>
        </w:rPr>
        <w:t>за</w:t>
      </w:r>
      <w:r>
        <w:rPr>
          <w:color w:val="231F20"/>
          <w:spacing w:val="-7"/>
        </w:rPr>
        <w:t> </w:t>
      </w:r>
      <w:r>
        <w:rPr>
          <w:color w:val="231F20"/>
        </w:rPr>
        <w:t>потребе</w:t>
      </w:r>
      <w:r>
        <w:rPr>
          <w:color w:val="231F20"/>
          <w:spacing w:val="-7"/>
        </w:rPr>
        <w:t> </w:t>
      </w:r>
      <w:r>
        <w:rPr>
          <w:color w:val="231F20"/>
        </w:rPr>
        <w:t>изград- ње или реконструкције инфраструктурних система обухватају ка- тастарске</w:t>
      </w:r>
      <w:r>
        <w:rPr>
          <w:color w:val="231F20"/>
          <w:spacing w:val="-1"/>
        </w:rPr>
        <w:t> </w:t>
      </w:r>
      <w:r>
        <w:rPr>
          <w:color w:val="231F20"/>
        </w:rPr>
        <w:t>парцеле:</w:t>
      </w:r>
    </w:p>
    <w:p>
      <w:pPr>
        <w:pStyle w:val="ListParagraph"/>
        <w:numPr>
          <w:ilvl w:val="0"/>
          <w:numId w:val="70"/>
        </w:numPr>
        <w:tabs>
          <w:tab w:pos="834" w:val="left" w:leader="none"/>
        </w:tabs>
        <w:spacing w:line="240" w:lineRule="auto" w:before="0" w:after="0"/>
        <w:ind w:left="638" w:right="723" w:firstLine="0"/>
        <w:jc w:val="left"/>
        <w:rPr>
          <w:sz w:val="18"/>
        </w:rPr>
      </w:pPr>
      <w:r>
        <w:rPr>
          <w:color w:val="231F20"/>
          <w:sz w:val="18"/>
        </w:rPr>
        <w:t>грађевинска парцела 1 (ИНДУСТРИЈСКА </w:t>
      </w:r>
      <w:r>
        <w:rPr>
          <w:color w:val="231F20"/>
          <w:spacing w:val="-5"/>
          <w:sz w:val="18"/>
        </w:rPr>
        <w:t>ПРУГА) </w:t>
      </w:r>
      <w:r>
        <w:rPr>
          <w:color w:val="231F20"/>
          <w:sz w:val="18"/>
        </w:rPr>
        <w:t>целе к.п.бр. 613, 614,</w:t>
      </w:r>
      <w:r>
        <w:rPr>
          <w:color w:val="231F20"/>
          <w:spacing w:val="-2"/>
          <w:sz w:val="18"/>
        </w:rPr>
        <w:t> </w:t>
      </w:r>
      <w:r>
        <w:rPr>
          <w:color w:val="231F20"/>
          <w:sz w:val="18"/>
        </w:rPr>
        <w:t>616,</w:t>
      </w:r>
    </w:p>
    <w:p>
      <w:pPr>
        <w:pStyle w:val="BodyText"/>
        <w:spacing w:line="205" w:lineRule="exact"/>
        <w:ind w:left="638"/>
        <w:jc w:val="left"/>
      </w:pPr>
      <w:r>
        <w:rPr>
          <w:color w:val="231F20"/>
        </w:rPr>
        <w:t>део к.п.бр. 99, 102, 103, 496, 609, 610, 611, 615, 651, 667, 661,</w:t>
      </w:r>
    </w:p>
    <w:p>
      <w:pPr>
        <w:pStyle w:val="BodyText"/>
        <w:spacing w:line="206" w:lineRule="exact"/>
        <w:ind w:left="241"/>
        <w:jc w:val="left"/>
      </w:pPr>
      <w:r>
        <w:rPr>
          <w:color w:val="231F20"/>
        </w:rPr>
        <w:t>672, 673, 678, 680, 681, 683, 684, 687, 691, 693, 694, 695, 697, 698,</w:t>
      </w:r>
    </w:p>
    <w:p>
      <w:pPr>
        <w:pStyle w:val="BodyText"/>
        <w:spacing w:line="206" w:lineRule="exact"/>
        <w:ind w:left="241"/>
        <w:jc w:val="left"/>
      </w:pPr>
      <w:r>
        <w:rPr>
          <w:color w:val="231F20"/>
        </w:rPr>
        <w:t>699/1, 700, 701, 702, 704, 705, 706, 707, 708, 709, 928, 929, 932, 933,</w:t>
      </w:r>
    </w:p>
    <w:p>
      <w:pPr>
        <w:pStyle w:val="BodyText"/>
        <w:spacing w:line="206" w:lineRule="exact"/>
        <w:ind w:left="241"/>
        <w:jc w:val="left"/>
      </w:pPr>
      <w:r>
        <w:rPr>
          <w:color w:val="231F20"/>
        </w:rPr>
        <w:t>937, 944, 945, 950, 955, 956, 957, 960, 1394 (све КО Дрмно);</w:t>
      </w:r>
    </w:p>
    <w:p>
      <w:pPr>
        <w:pStyle w:val="ListParagraph"/>
        <w:numPr>
          <w:ilvl w:val="0"/>
          <w:numId w:val="70"/>
        </w:numPr>
        <w:tabs>
          <w:tab w:pos="834" w:val="left" w:leader="none"/>
        </w:tabs>
        <w:spacing w:line="206" w:lineRule="exact" w:before="0" w:after="0"/>
        <w:ind w:left="833" w:right="0" w:hanging="195"/>
        <w:jc w:val="left"/>
        <w:rPr>
          <w:sz w:val="18"/>
        </w:rPr>
      </w:pPr>
      <w:r>
        <w:rPr>
          <w:color w:val="231F20"/>
          <w:sz w:val="18"/>
        </w:rPr>
        <w:t>грађевинска парцела</w:t>
      </w:r>
      <w:r>
        <w:rPr>
          <w:color w:val="231F20"/>
          <w:spacing w:val="-2"/>
          <w:sz w:val="18"/>
        </w:rPr>
        <w:t> </w:t>
      </w:r>
      <w:r>
        <w:rPr>
          <w:color w:val="231F20"/>
          <w:sz w:val="18"/>
        </w:rPr>
        <w:t>2</w:t>
      </w:r>
    </w:p>
    <w:p>
      <w:pPr>
        <w:pStyle w:val="BodyText"/>
        <w:spacing w:line="206" w:lineRule="exact"/>
        <w:ind w:left="637"/>
        <w:jc w:val="left"/>
      </w:pPr>
      <w:r>
        <w:rPr>
          <w:color w:val="231F20"/>
        </w:rPr>
        <w:t>целе к.п.бр. 2109, 2111, 2114, 2115, 2117, 2120</w:t>
      </w:r>
    </w:p>
    <w:p>
      <w:pPr>
        <w:pStyle w:val="BodyText"/>
        <w:spacing w:line="206" w:lineRule="exact"/>
        <w:ind w:left="637"/>
        <w:jc w:val="left"/>
      </w:pPr>
      <w:r>
        <w:rPr>
          <w:color w:val="231F20"/>
        </w:rPr>
        <w:t>део к.п.бр. 303 (све КО Костолац село)</w:t>
      </w:r>
    </w:p>
    <w:p>
      <w:pPr>
        <w:pStyle w:val="BodyText"/>
        <w:spacing w:line="206" w:lineRule="exact"/>
        <w:ind w:left="637"/>
        <w:jc w:val="left"/>
      </w:pPr>
      <w:r>
        <w:rPr>
          <w:color w:val="231F20"/>
        </w:rPr>
        <w:t>целе к.п.бр. 632, 636, 637, 639, 640, 641, 642, 643, 644, 645,</w:t>
      </w:r>
    </w:p>
    <w:p>
      <w:pPr>
        <w:pStyle w:val="BodyText"/>
        <w:spacing w:line="206" w:lineRule="exact"/>
        <w:ind w:left="241"/>
        <w:jc w:val="left"/>
      </w:pPr>
      <w:r>
        <w:rPr>
          <w:color w:val="231F20"/>
        </w:rPr>
        <w:t>646, 647, 648, 649, 650, 659, 660, 682, 679, 671,</w:t>
      </w:r>
    </w:p>
    <w:p>
      <w:pPr>
        <w:pStyle w:val="BodyText"/>
        <w:spacing w:line="206" w:lineRule="exact"/>
        <w:ind w:left="637"/>
        <w:jc w:val="left"/>
      </w:pPr>
      <w:r>
        <w:rPr>
          <w:color w:val="231F20"/>
        </w:rPr>
        <w:t>део к.п. 651, 655, 661, 667, 672, 673, 678, 680, 681, 683(све КО</w:t>
      </w:r>
    </w:p>
    <w:p>
      <w:pPr>
        <w:pStyle w:val="BodyText"/>
        <w:spacing w:line="206" w:lineRule="exact"/>
        <w:ind w:left="241"/>
        <w:jc w:val="left"/>
      </w:pPr>
      <w:r>
        <w:rPr>
          <w:color w:val="231F20"/>
        </w:rPr>
        <w:t>Дрмно);</w:t>
      </w:r>
    </w:p>
    <w:p>
      <w:pPr>
        <w:pStyle w:val="ListParagraph"/>
        <w:numPr>
          <w:ilvl w:val="0"/>
          <w:numId w:val="70"/>
        </w:numPr>
        <w:tabs>
          <w:tab w:pos="833" w:val="left" w:leader="none"/>
        </w:tabs>
        <w:spacing w:line="206" w:lineRule="exact" w:before="0" w:after="0"/>
        <w:ind w:left="832" w:right="0" w:hanging="195"/>
        <w:jc w:val="left"/>
        <w:rPr>
          <w:sz w:val="18"/>
        </w:rPr>
      </w:pPr>
      <w:r>
        <w:rPr>
          <w:color w:val="231F20"/>
          <w:sz w:val="18"/>
        </w:rPr>
        <w:t>грађевинска парцела</w:t>
      </w:r>
      <w:r>
        <w:rPr>
          <w:color w:val="231F20"/>
          <w:spacing w:val="-2"/>
          <w:sz w:val="18"/>
        </w:rPr>
        <w:t> </w:t>
      </w:r>
      <w:r>
        <w:rPr>
          <w:color w:val="231F20"/>
          <w:sz w:val="18"/>
        </w:rPr>
        <w:t>3</w:t>
      </w:r>
    </w:p>
    <w:p>
      <w:pPr>
        <w:pStyle w:val="BodyText"/>
        <w:spacing w:line="206" w:lineRule="exact"/>
        <w:ind w:left="637"/>
        <w:jc w:val="left"/>
      </w:pPr>
      <w:r>
        <w:rPr>
          <w:color w:val="231F20"/>
        </w:rPr>
        <w:t>целе к.п.бр. 104, 685, 686, 692, 696, 703</w:t>
      </w:r>
    </w:p>
    <w:p>
      <w:pPr>
        <w:pStyle w:val="BodyText"/>
        <w:spacing w:line="206" w:lineRule="exact"/>
        <w:ind w:left="637"/>
        <w:jc w:val="left"/>
      </w:pPr>
      <w:r>
        <w:rPr>
          <w:color w:val="231F20"/>
        </w:rPr>
        <w:t>део к.п.бр. 102, 103, 496, 651, 673, 678, 680, 681, 684, 687,</w:t>
      </w:r>
    </w:p>
    <w:p>
      <w:pPr>
        <w:pStyle w:val="BodyText"/>
        <w:spacing w:line="206" w:lineRule="exact"/>
        <w:ind w:left="240"/>
        <w:jc w:val="left"/>
      </w:pPr>
      <w:r>
        <w:rPr>
          <w:color w:val="231F20"/>
        </w:rPr>
        <w:t>691, 693, 694, 695, 697, 698, 699/1, 700, 701, 702, 704, 705, 706, 707,</w:t>
      </w:r>
    </w:p>
    <w:p>
      <w:pPr>
        <w:pStyle w:val="BodyText"/>
        <w:spacing w:line="206" w:lineRule="exact"/>
        <w:ind w:left="240"/>
        <w:jc w:val="left"/>
      </w:pPr>
      <w:r>
        <w:rPr>
          <w:color w:val="231F20"/>
        </w:rPr>
        <w:t>708, 709, 1394, (све КО Дрмно);</w:t>
      </w:r>
    </w:p>
    <w:p>
      <w:pPr>
        <w:pStyle w:val="ListParagraph"/>
        <w:numPr>
          <w:ilvl w:val="0"/>
          <w:numId w:val="70"/>
        </w:numPr>
        <w:tabs>
          <w:tab w:pos="833" w:val="left" w:leader="none"/>
        </w:tabs>
        <w:spacing w:line="240" w:lineRule="auto" w:before="0" w:after="0"/>
        <w:ind w:left="637" w:right="2914" w:firstLine="0"/>
        <w:jc w:val="left"/>
        <w:rPr>
          <w:sz w:val="18"/>
        </w:rPr>
      </w:pPr>
      <w:r>
        <w:rPr>
          <w:color w:val="231F20"/>
          <w:sz w:val="18"/>
        </w:rPr>
        <w:t>грађевинска парцела 4 целе к.п.бр.</w:t>
      </w:r>
      <w:r>
        <w:rPr>
          <w:color w:val="231F20"/>
          <w:spacing w:val="-2"/>
          <w:sz w:val="18"/>
        </w:rPr>
        <w:t> </w:t>
      </w:r>
      <w:r>
        <w:rPr>
          <w:color w:val="231F20"/>
          <w:sz w:val="18"/>
        </w:rPr>
        <w:t>100,</w:t>
      </w:r>
    </w:p>
    <w:p>
      <w:pPr>
        <w:pStyle w:val="BodyText"/>
        <w:spacing w:line="205" w:lineRule="exact"/>
        <w:ind w:left="637"/>
        <w:jc w:val="left"/>
      </w:pPr>
      <w:r>
        <w:rPr>
          <w:color w:val="231F20"/>
        </w:rPr>
        <w:t>део к.п.бр. 99 (све КО Дрмно);</w:t>
      </w:r>
    </w:p>
    <w:p>
      <w:pPr>
        <w:pStyle w:val="BodyText"/>
        <w:ind w:left="240" w:right="128" w:firstLine="396"/>
      </w:pPr>
      <w:r>
        <w:rPr>
          <w:color w:val="231F20"/>
        </w:rPr>
        <w:t>Земљиште у оквиру грађевинских парцела 1 – 4 намењено је искључиво за грађење, одржавање и реконструкцију, односно из- мештање из зоне рударских радова објеката саобраћајне, енергет- ске и друге инфраструктуре, а уређује се као земљиште за изград- њу објеката од јавног интереса, према општим и појединачним правилима Просторног плана за изградњу и уређење простора, која се спроводе, разрађују и усаглашавају на основу појединач- них решења из одговарајуће техничке документације и кроз изра- ду пројекта парцелације.</w:t>
      </w:r>
    </w:p>
    <w:p>
      <w:pPr>
        <w:pStyle w:val="BodyText"/>
        <w:ind w:left="241" w:right="128" w:firstLine="396"/>
      </w:pPr>
      <w:r>
        <w:rPr>
          <w:color w:val="231F20"/>
        </w:rPr>
        <w:t>У складу са општим правилима за уређење простора, у овом </w:t>
      </w:r>
      <w:r>
        <w:rPr>
          <w:color w:val="231F20"/>
          <w:spacing w:val="-3"/>
        </w:rPr>
        <w:t>обухвату </w:t>
      </w:r>
      <w:r>
        <w:rPr>
          <w:color w:val="231F20"/>
        </w:rPr>
        <w:t>утврђују се правила за спровођење нове катастарске пар- целације:</w:t>
      </w:r>
    </w:p>
    <w:p>
      <w:pPr>
        <w:pStyle w:val="BodyText"/>
        <w:ind w:left="241" w:right="127" w:firstLine="396"/>
      </w:pPr>
      <w:r>
        <w:rPr>
          <w:color w:val="231F20"/>
          <w:w w:val="66"/>
        </w:rPr>
        <w:t> </w:t>
      </w:r>
      <w:r>
        <w:rPr>
          <w:color w:val="231F20"/>
        </w:rPr>
        <w:t>– формирање нових парцела се обавља према динамици из- градње појединачних инфраструктурних објеката и прибављања земљишта у јавну својину;</w:t>
      </w:r>
    </w:p>
    <w:p>
      <w:pPr>
        <w:pStyle w:val="BodyText"/>
        <w:spacing w:line="242" w:lineRule="auto"/>
        <w:ind w:left="242" w:right="127" w:firstLine="396"/>
      </w:pPr>
      <w:r>
        <w:rPr>
          <w:color w:val="231F20"/>
          <w:w w:val="66"/>
        </w:rPr>
        <w:t> </w:t>
      </w:r>
      <w:r>
        <w:rPr>
          <w:color w:val="231F20"/>
        </w:rPr>
        <w:t>–</w:t>
      </w:r>
      <w:r>
        <w:rPr>
          <w:color w:val="231F20"/>
          <w:spacing w:val="-10"/>
        </w:rPr>
        <w:t> </w:t>
      </w:r>
      <w:r>
        <w:rPr>
          <w:color w:val="231F20"/>
        </w:rPr>
        <w:t>положај</w:t>
      </w:r>
      <w:r>
        <w:rPr>
          <w:color w:val="231F20"/>
          <w:spacing w:val="-10"/>
        </w:rPr>
        <w:t> </w:t>
      </w:r>
      <w:r>
        <w:rPr>
          <w:color w:val="231F20"/>
        </w:rPr>
        <w:t>новоформираних</w:t>
      </w:r>
      <w:r>
        <w:rPr>
          <w:color w:val="231F20"/>
          <w:spacing w:val="-10"/>
        </w:rPr>
        <w:t> </w:t>
      </w:r>
      <w:r>
        <w:rPr>
          <w:color w:val="231F20"/>
        </w:rPr>
        <w:t>катастарских</w:t>
      </w:r>
      <w:r>
        <w:rPr>
          <w:color w:val="231F20"/>
          <w:spacing w:val="-10"/>
        </w:rPr>
        <w:t> </w:t>
      </w:r>
      <w:r>
        <w:rPr>
          <w:color w:val="231F20"/>
        </w:rPr>
        <w:t>парцела</w:t>
      </w:r>
      <w:r>
        <w:rPr>
          <w:color w:val="231F20"/>
          <w:spacing w:val="-10"/>
        </w:rPr>
        <w:t> </w:t>
      </w:r>
      <w:r>
        <w:rPr>
          <w:color w:val="231F20"/>
        </w:rPr>
        <w:t>дефинисан је</w:t>
      </w:r>
      <w:r>
        <w:rPr>
          <w:color w:val="231F20"/>
          <w:spacing w:val="-6"/>
        </w:rPr>
        <w:t> </w:t>
      </w:r>
      <w:r>
        <w:rPr>
          <w:color w:val="231F20"/>
        </w:rPr>
        <w:t>границом</w:t>
      </w:r>
      <w:r>
        <w:rPr>
          <w:color w:val="231F20"/>
          <w:spacing w:val="-6"/>
        </w:rPr>
        <w:t> </w:t>
      </w:r>
      <w:r>
        <w:rPr>
          <w:color w:val="231F20"/>
        </w:rPr>
        <w:t>обухвата,</w:t>
      </w:r>
      <w:r>
        <w:rPr>
          <w:color w:val="231F20"/>
          <w:spacing w:val="-6"/>
        </w:rPr>
        <w:t> </w:t>
      </w:r>
      <w:r>
        <w:rPr>
          <w:color w:val="231F20"/>
        </w:rPr>
        <w:t>односно</w:t>
      </w:r>
      <w:r>
        <w:rPr>
          <w:color w:val="231F20"/>
          <w:spacing w:val="-6"/>
        </w:rPr>
        <w:t> </w:t>
      </w:r>
      <w:r>
        <w:rPr>
          <w:color w:val="231F20"/>
        </w:rPr>
        <w:t>разделним</w:t>
      </w:r>
      <w:r>
        <w:rPr>
          <w:color w:val="231F20"/>
          <w:spacing w:val="-6"/>
        </w:rPr>
        <w:t> </w:t>
      </w:r>
      <w:r>
        <w:rPr>
          <w:color w:val="231F20"/>
        </w:rPr>
        <w:t>линијама</w:t>
      </w:r>
      <w:r>
        <w:rPr>
          <w:color w:val="231F20"/>
          <w:spacing w:val="-6"/>
        </w:rPr>
        <w:t> </w:t>
      </w:r>
      <w:r>
        <w:rPr>
          <w:color w:val="231F20"/>
        </w:rPr>
        <w:t>по</w:t>
      </w:r>
      <w:r>
        <w:rPr>
          <w:color w:val="231F20"/>
          <w:spacing w:val="-6"/>
        </w:rPr>
        <w:t> </w:t>
      </w:r>
      <w:r>
        <w:rPr>
          <w:color w:val="231F20"/>
        </w:rPr>
        <w:t>земљишно- пружном појасу индустријске</w:t>
      </w:r>
      <w:r>
        <w:rPr>
          <w:color w:val="231F20"/>
          <w:spacing w:val="-2"/>
        </w:rPr>
        <w:t> </w:t>
      </w:r>
      <w:r>
        <w:rPr>
          <w:color w:val="231F20"/>
        </w:rPr>
        <w:t>пруге</w:t>
      </w:r>
      <w:r>
        <w:rPr>
          <w:color w:val="231F20"/>
          <w:position w:val="6"/>
          <w:sz w:val="10"/>
        </w:rPr>
        <w:t>30</w:t>
      </w:r>
      <w:r>
        <w:rPr>
          <w:color w:val="231F20"/>
        </w:rPr>
        <w:t>;</w:t>
      </w:r>
    </w:p>
    <w:p>
      <w:pPr>
        <w:pStyle w:val="BodyText"/>
        <w:ind w:left="240" w:right="128" w:firstLine="396"/>
      </w:pPr>
      <w:r>
        <w:rPr>
          <w:color w:val="231F20"/>
          <w:w w:val="66"/>
        </w:rPr>
        <w:t> </w:t>
      </w:r>
      <w:r>
        <w:rPr>
          <w:color w:val="231F20"/>
        </w:rPr>
        <w:t>–</w:t>
      </w:r>
      <w:r>
        <w:rPr>
          <w:color w:val="231F20"/>
          <w:spacing w:val="-9"/>
        </w:rPr>
        <w:t> </w:t>
      </w:r>
      <w:r>
        <w:rPr>
          <w:color w:val="231F20"/>
        </w:rPr>
        <w:t>новоформиране</w:t>
      </w:r>
      <w:r>
        <w:rPr>
          <w:color w:val="231F20"/>
          <w:spacing w:val="-9"/>
        </w:rPr>
        <w:t> </w:t>
      </w:r>
      <w:r>
        <w:rPr>
          <w:color w:val="231F20"/>
        </w:rPr>
        <w:t>катастарске</w:t>
      </w:r>
      <w:r>
        <w:rPr>
          <w:color w:val="231F20"/>
          <w:spacing w:val="-9"/>
        </w:rPr>
        <w:t> </w:t>
      </w:r>
      <w:r>
        <w:rPr>
          <w:color w:val="231F20"/>
        </w:rPr>
        <w:t>парцеле</w:t>
      </w:r>
      <w:r>
        <w:rPr>
          <w:color w:val="231F20"/>
          <w:spacing w:val="-9"/>
        </w:rPr>
        <w:t> </w:t>
      </w:r>
      <w:r>
        <w:rPr>
          <w:color w:val="231F20"/>
        </w:rPr>
        <w:t>изван</w:t>
      </w:r>
      <w:r>
        <w:rPr>
          <w:color w:val="231F20"/>
          <w:spacing w:val="-9"/>
        </w:rPr>
        <w:t> </w:t>
      </w:r>
      <w:r>
        <w:rPr>
          <w:color w:val="231F20"/>
        </w:rPr>
        <w:t>границе</w:t>
      </w:r>
      <w:r>
        <w:rPr>
          <w:color w:val="231F20"/>
          <w:spacing w:val="-9"/>
        </w:rPr>
        <w:t> </w:t>
      </w:r>
      <w:r>
        <w:rPr>
          <w:color w:val="231F20"/>
        </w:rPr>
        <w:t>обухва- та, односно, изван грађевинских парцела 1</w:t>
      </w:r>
      <w:r>
        <w:rPr>
          <w:color w:val="231F20"/>
          <w:spacing w:val="-37"/>
        </w:rPr>
        <w:t> </w:t>
      </w:r>
      <w:r>
        <w:rPr>
          <w:color w:val="231F20"/>
        </w:rPr>
        <w:t>–4, не мењају катастар- ску</w:t>
      </w:r>
      <w:r>
        <w:rPr>
          <w:color w:val="231F20"/>
          <w:spacing w:val="-1"/>
        </w:rPr>
        <w:t> </w:t>
      </w:r>
      <w:r>
        <w:rPr>
          <w:color w:val="231F20"/>
        </w:rPr>
        <w:t>намену;</w:t>
      </w:r>
    </w:p>
    <w:p>
      <w:pPr>
        <w:pStyle w:val="BodyText"/>
        <w:ind w:left="240" w:right="127" w:firstLine="397"/>
      </w:pPr>
      <w:r>
        <w:rPr>
          <w:color w:val="231F20"/>
          <w:w w:val="66"/>
        </w:rPr>
        <w:t> </w:t>
      </w:r>
      <w:r>
        <w:rPr>
          <w:color w:val="231F20"/>
        </w:rPr>
        <w:t>– катастарска парцела се може делити парцелацијом до ми- нимума утврђеног применом правила о катастарској парцелацији, а уколико на појединачној парцели није могуће извршити деобу тако да се формира нова катастарска парцела изван утврђене гра- нице грађевинске парцеле или да се задржи њена постојећа наме- на, постојећа катастарска парцела се у целини прикључује грађе- винској парцели.</w:t>
      </w:r>
    </w:p>
    <w:p>
      <w:pPr>
        <w:pStyle w:val="BodyText"/>
        <w:ind w:left="240" w:right="127" w:firstLine="396"/>
      </w:pPr>
      <w:r>
        <w:rPr>
          <w:color w:val="231F20"/>
          <w:w w:val="66"/>
        </w:rPr>
        <w:t> </w:t>
      </w:r>
      <w:r>
        <w:rPr>
          <w:color w:val="231F20"/>
        </w:rPr>
        <w:t>– с обзиром на то да се грађевинске парцеле формирају за потребе изградње инфраструктурних објеката није </w:t>
      </w:r>
      <w:r>
        <w:rPr>
          <w:color w:val="231F20"/>
          <w:spacing w:val="-2"/>
        </w:rPr>
        <w:t>неопходна </w:t>
      </w:r>
      <w:r>
        <w:rPr>
          <w:color w:val="231F20"/>
        </w:rPr>
        <w:t>пре- парцелација, односно, грађевинске парцеле се формирају из об- ухваћених целих катастарских парцела и из делова катастарских парцела утврђених на основу пројекта парцелације; новоформи- рани делови се уводе у евиденцију непокретности за односну ка- тастарску </w:t>
      </w:r>
      <w:r>
        <w:rPr>
          <w:color w:val="231F20"/>
          <w:spacing w:val="-3"/>
        </w:rPr>
        <w:t>општину, </w:t>
      </w:r>
      <w:r>
        <w:rPr>
          <w:color w:val="231F20"/>
        </w:rPr>
        <w:t>а на основу пројекта геодетског обележавања нови елементи се преносе на терен;</w:t>
      </w:r>
    </w:p>
    <w:p>
      <w:pPr>
        <w:spacing w:line="146" w:lineRule="exact" w:before="0"/>
        <w:ind w:left="240"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525" w:val="left" w:leader="none"/>
        </w:tabs>
        <w:spacing w:line="240" w:lineRule="auto" w:before="0" w:after="0"/>
        <w:ind w:left="524" w:right="128" w:hanging="284"/>
        <w:jc w:val="both"/>
        <w:rPr>
          <w:sz w:val="14"/>
        </w:rPr>
      </w:pPr>
      <w:r>
        <w:rPr>
          <w:color w:val="231F20"/>
          <w:sz w:val="14"/>
        </w:rPr>
        <w:t>Земљишно-пружни појас дефинисан је у свему према техничким решењима да- тим</w:t>
      </w:r>
      <w:r>
        <w:rPr>
          <w:color w:val="231F20"/>
          <w:spacing w:val="-7"/>
          <w:sz w:val="14"/>
        </w:rPr>
        <w:t> </w:t>
      </w:r>
      <w:r>
        <w:rPr>
          <w:color w:val="231F20"/>
          <w:sz w:val="14"/>
        </w:rPr>
        <w:t>у</w:t>
      </w:r>
      <w:r>
        <w:rPr>
          <w:color w:val="231F20"/>
          <w:spacing w:val="-7"/>
          <w:sz w:val="14"/>
        </w:rPr>
        <w:t> </w:t>
      </w:r>
      <w:r>
        <w:rPr>
          <w:color w:val="231F20"/>
          <w:sz w:val="14"/>
        </w:rPr>
        <w:t>Студији</w:t>
      </w:r>
      <w:r>
        <w:rPr>
          <w:color w:val="231F20"/>
          <w:spacing w:val="-7"/>
          <w:sz w:val="14"/>
        </w:rPr>
        <w:t> </w:t>
      </w:r>
      <w:r>
        <w:rPr>
          <w:color w:val="231F20"/>
          <w:sz w:val="14"/>
        </w:rPr>
        <w:t>оправданости</w:t>
      </w:r>
      <w:r>
        <w:rPr>
          <w:color w:val="231F20"/>
          <w:spacing w:val="-7"/>
          <w:sz w:val="14"/>
        </w:rPr>
        <w:t> </w:t>
      </w:r>
      <w:r>
        <w:rPr>
          <w:color w:val="231F20"/>
          <w:sz w:val="14"/>
        </w:rPr>
        <w:t>са</w:t>
      </w:r>
      <w:r>
        <w:rPr>
          <w:color w:val="231F20"/>
          <w:spacing w:val="-7"/>
          <w:sz w:val="14"/>
        </w:rPr>
        <w:t> </w:t>
      </w:r>
      <w:r>
        <w:rPr>
          <w:color w:val="231F20"/>
          <w:sz w:val="14"/>
        </w:rPr>
        <w:t>идејним</w:t>
      </w:r>
      <w:r>
        <w:rPr>
          <w:color w:val="231F20"/>
          <w:spacing w:val="-7"/>
          <w:sz w:val="14"/>
        </w:rPr>
        <w:t> </w:t>
      </w:r>
      <w:r>
        <w:rPr>
          <w:color w:val="231F20"/>
          <w:sz w:val="14"/>
        </w:rPr>
        <w:t>пројектом</w:t>
      </w:r>
      <w:r>
        <w:rPr>
          <w:color w:val="231F20"/>
          <w:spacing w:val="-7"/>
          <w:sz w:val="14"/>
        </w:rPr>
        <w:t> </w:t>
      </w:r>
      <w:r>
        <w:rPr>
          <w:color w:val="231F20"/>
          <w:sz w:val="14"/>
        </w:rPr>
        <w:t>изградње</w:t>
      </w:r>
      <w:r>
        <w:rPr>
          <w:color w:val="231F20"/>
          <w:spacing w:val="-7"/>
          <w:sz w:val="14"/>
        </w:rPr>
        <w:t> </w:t>
      </w:r>
      <w:r>
        <w:rPr>
          <w:color w:val="231F20"/>
          <w:sz w:val="14"/>
        </w:rPr>
        <w:t>индустријског</w:t>
      </w:r>
      <w:r>
        <w:rPr>
          <w:color w:val="231F20"/>
          <w:spacing w:val="-7"/>
          <w:sz w:val="14"/>
        </w:rPr>
        <w:t> </w:t>
      </w:r>
      <w:r>
        <w:rPr>
          <w:color w:val="231F20"/>
          <w:spacing w:val="-3"/>
          <w:sz w:val="14"/>
        </w:rPr>
        <w:t>коло- </w:t>
      </w:r>
      <w:r>
        <w:rPr>
          <w:color w:val="231F20"/>
          <w:sz w:val="14"/>
        </w:rPr>
        <w:t>сека до постојеће железничке мреже за потребе ПД „Термоелектране и копови Костолац”, Саобраћајни институт ЦИП, фебруар 2011.</w:t>
      </w:r>
      <w:r>
        <w:rPr>
          <w:color w:val="231F20"/>
          <w:spacing w:val="-10"/>
          <w:sz w:val="14"/>
        </w:rPr>
        <w:t> </w:t>
      </w:r>
      <w:r>
        <w:rPr>
          <w:color w:val="231F20"/>
          <w:sz w:val="14"/>
        </w:rPr>
        <w:t>године.</w:t>
      </w:r>
    </w:p>
    <w:p>
      <w:pPr>
        <w:spacing w:after="0" w:line="240" w:lineRule="auto"/>
        <w:jc w:val="both"/>
        <w:rPr>
          <w:sz w:val="14"/>
        </w:rPr>
        <w:sectPr>
          <w:pgSz w:w="12480" w:h="15690"/>
          <w:pgMar w:top="120" w:bottom="280" w:left="680" w:right="720"/>
          <w:cols w:num="2" w:equalWidth="0">
            <w:col w:w="5559" w:space="40"/>
            <w:col w:w="5481"/>
          </w:cols>
        </w:sectPr>
      </w:pPr>
    </w:p>
    <w:p>
      <w:pPr>
        <w:pStyle w:val="BodyText"/>
        <w:spacing w:line="232" w:lineRule="auto" w:before="73"/>
        <w:ind w:right="40" w:firstLine="396"/>
      </w:pPr>
      <w:r>
        <w:rPr/>
        <w:pict>
          <v:line style="position:absolute;mso-position-horizontal-relative:page;mso-position-vertical-relative:page;z-index:4504" from="304.724396pt,11.942451pt" to="304.724396pt,748.950451pt" stroked="true" strokeweight=".6pt" strokecolor="#231f20">
            <v:stroke dashstyle="solid"/>
            <w10:wrap type="none"/>
          </v:line>
        </w:pict>
      </w:r>
      <w:r>
        <w:rPr>
          <w:color w:val="231F20"/>
          <w:w w:val="66"/>
        </w:rPr>
        <w:t> </w:t>
      </w:r>
      <w:r>
        <w:rPr>
          <w:color w:val="231F20"/>
        </w:rPr>
        <w:t>– новоформиране катастарске парцеле добијене парцелаци- јом изван граница грађевинских парцела</w:t>
      </w:r>
      <w:r>
        <w:rPr>
          <w:color w:val="231F20"/>
          <w:position w:val="6"/>
          <w:sz w:val="10"/>
        </w:rPr>
        <w:t>31 </w:t>
      </w:r>
      <w:r>
        <w:rPr>
          <w:color w:val="231F20"/>
        </w:rPr>
        <w:t>не мењају катастарску намену; и</w:t>
      </w:r>
    </w:p>
    <w:p>
      <w:pPr>
        <w:pStyle w:val="BodyText"/>
        <w:spacing w:line="228" w:lineRule="auto"/>
        <w:ind w:right="40" w:firstLine="397"/>
      </w:pPr>
      <w:r>
        <w:rPr>
          <w:color w:val="231F20"/>
          <w:w w:val="66"/>
        </w:rPr>
        <w:t> </w:t>
      </w:r>
      <w:r>
        <w:rPr>
          <w:color w:val="231F20"/>
        </w:rPr>
        <w:t>– у случају 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pPr>
        <w:pStyle w:val="BodyText"/>
        <w:spacing w:line="228" w:lineRule="auto"/>
        <w:ind w:right="39" w:firstLine="396"/>
      </w:pPr>
      <w:r>
        <w:rPr>
          <w:color w:val="231F20"/>
        </w:rPr>
        <w:t>По извршеној деоби катастарских парцела на појединачне земљишне честице, новоформиране парцеле се уводе у евиденци- ју непокретности по основу законом регулисане надлежности на одржавању и управљању на појединим инфраструктурним објек- тима и јавним површинама.</w:t>
      </w:r>
    </w:p>
    <w:p>
      <w:pPr>
        <w:pStyle w:val="ListParagraph"/>
        <w:numPr>
          <w:ilvl w:val="2"/>
          <w:numId w:val="69"/>
        </w:numPr>
        <w:tabs>
          <w:tab w:pos="1608" w:val="left" w:leader="none"/>
        </w:tabs>
        <w:spacing w:line="240" w:lineRule="auto" w:before="152" w:after="0"/>
        <w:ind w:left="1607" w:right="0" w:hanging="450"/>
        <w:jc w:val="left"/>
        <w:rPr>
          <w:sz w:val="18"/>
        </w:rPr>
      </w:pPr>
      <w:r>
        <w:rPr>
          <w:color w:val="231F20"/>
          <w:spacing w:val="16"/>
          <w:sz w:val="18"/>
        </w:rPr>
        <w:t>Правила изградње</w:t>
      </w:r>
      <w:r>
        <w:rPr>
          <w:color w:val="231F20"/>
          <w:spacing w:val="10"/>
          <w:sz w:val="18"/>
        </w:rPr>
        <w:t> </w:t>
      </w:r>
      <w:r>
        <w:rPr>
          <w:color w:val="231F20"/>
          <w:spacing w:val="15"/>
          <w:sz w:val="18"/>
        </w:rPr>
        <w:t>коридора</w:t>
      </w:r>
    </w:p>
    <w:p>
      <w:pPr>
        <w:pStyle w:val="BodyText"/>
        <w:spacing w:before="8"/>
        <w:ind w:left="0"/>
        <w:jc w:val="left"/>
        <w:rPr>
          <w:sz w:val="16"/>
        </w:rPr>
      </w:pPr>
    </w:p>
    <w:p>
      <w:pPr>
        <w:pStyle w:val="BodyText"/>
        <w:spacing w:line="228" w:lineRule="auto"/>
        <w:ind w:right="39" w:firstLine="396"/>
      </w:pPr>
      <w:r>
        <w:rPr>
          <w:color w:val="231F20"/>
        </w:rPr>
        <w:t>Челични цевоводи за транспорт суспензије гипса (радни и резервни) и цевовод повратне воде постављају се на бетонске по- стаменте директно и фиксирају помоћу челичних веза. На поло- вини максималног растера од 6 m, постављају се међуослонци, а веза са цевоводима је налегањем.</w:t>
      </w:r>
    </w:p>
    <w:p>
      <w:pPr>
        <w:pStyle w:val="BodyText"/>
        <w:spacing w:line="228" w:lineRule="auto"/>
        <w:ind w:left="171" w:right="39" w:firstLine="396"/>
      </w:pPr>
      <w:r>
        <w:rPr>
          <w:color w:val="231F20"/>
        </w:rPr>
        <w:t>На делу трасе кроз термоелектрану, као и у зонама укршта- ња са интерним саобраћајницама, сервисним путевима и другим надземним линијским системима техничке инфраструктуре у зо- ни обухвата, цевоводи се издижу на високе ослонце. Веза стубо- ва носеће конструкције и бетонског постамента је преко лежишне плоче. Доња кота носеће челичне конструкције, хоризонталних и вертикалних спрегова и подужних укрућења, утврђује се у односу на потребни слободни профил у зони прелаза и усклађује са носи- оцем права управљања другим системом.</w:t>
      </w:r>
    </w:p>
    <w:p>
      <w:pPr>
        <w:pStyle w:val="BodyText"/>
        <w:spacing w:line="228" w:lineRule="auto"/>
        <w:ind w:left="172" w:right="38" w:firstLine="396"/>
      </w:pPr>
      <w:r>
        <w:rPr>
          <w:color w:val="231F20"/>
          <w:spacing w:val="-7"/>
        </w:rPr>
        <w:t>Код </w:t>
      </w:r>
      <w:r>
        <w:rPr>
          <w:color w:val="231F20"/>
          <w:spacing w:val="-3"/>
        </w:rPr>
        <w:t>укрштања </w:t>
      </w:r>
      <w:r>
        <w:rPr>
          <w:color w:val="231F20"/>
        </w:rPr>
        <w:t>са </w:t>
      </w:r>
      <w:r>
        <w:rPr>
          <w:color w:val="231F20"/>
          <w:spacing w:val="-3"/>
        </w:rPr>
        <w:t>јавним саобраћајницама, индустријским </w:t>
      </w:r>
      <w:r>
        <w:rPr>
          <w:color w:val="231F20"/>
          <w:spacing w:val="-5"/>
        </w:rPr>
        <w:t>ко- </w:t>
      </w:r>
      <w:r>
        <w:rPr>
          <w:color w:val="231F20"/>
          <w:spacing w:val="-3"/>
        </w:rPr>
        <w:t>лосецима </w:t>
      </w:r>
      <w:r>
        <w:rPr>
          <w:color w:val="231F20"/>
        </w:rPr>
        <w:t>и </w:t>
      </w:r>
      <w:r>
        <w:rPr>
          <w:color w:val="231F20"/>
          <w:spacing w:val="-4"/>
        </w:rPr>
        <w:t>транспортером </w:t>
      </w:r>
      <w:r>
        <w:rPr>
          <w:color w:val="231F20"/>
        </w:rPr>
        <w:t>за </w:t>
      </w:r>
      <w:r>
        <w:rPr>
          <w:color w:val="231F20"/>
          <w:spacing w:val="-3"/>
        </w:rPr>
        <w:t>угаљ, </w:t>
      </w:r>
      <w:r>
        <w:rPr>
          <w:color w:val="231F20"/>
        </w:rPr>
        <w:t>носеће </w:t>
      </w:r>
      <w:r>
        <w:rPr>
          <w:color w:val="231F20"/>
          <w:spacing w:val="-4"/>
        </w:rPr>
        <w:t>конструкције </w:t>
      </w:r>
      <w:r>
        <w:rPr>
          <w:color w:val="231F20"/>
          <w:spacing w:val="-3"/>
        </w:rPr>
        <w:t>извести према стандардима </w:t>
      </w:r>
      <w:r>
        <w:rPr>
          <w:color w:val="231F20"/>
        </w:rPr>
        <w:t>за </w:t>
      </w:r>
      <w:r>
        <w:rPr>
          <w:color w:val="231F20"/>
          <w:spacing w:val="-3"/>
        </w:rPr>
        <w:t>челичне </w:t>
      </w:r>
      <w:r>
        <w:rPr>
          <w:color w:val="231F20"/>
          <w:spacing w:val="-4"/>
        </w:rPr>
        <w:t>мостовске конструкције, </w:t>
      </w:r>
      <w:r>
        <w:rPr>
          <w:color w:val="231F20"/>
        </w:rPr>
        <w:t>с</w:t>
      </w:r>
      <w:r>
        <w:rPr>
          <w:color w:val="231F20"/>
          <w:spacing w:val="-33"/>
        </w:rPr>
        <w:t> </w:t>
      </w:r>
      <w:r>
        <w:rPr>
          <w:color w:val="231F20"/>
          <w:spacing w:val="-4"/>
        </w:rPr>
        <w:t>обзиром </w:t>
      </w:r>
      <w:r>
        <w:rPr>
          <w:color w:val="231F20"/>
        </w:rPr>
        <w:t>на </w:t>
      </w:r>
      <w:r>
        <w:rPr>
          <w:color w:val="231F20"/>
          <w:spacing w:val="-3"/>
        </w:rPr>
        <w:t>средњи распон </w:t>
      </w:r>
      <w:r>
        <w:rPr>
          <w:color w:val="231F20"/>
          <w:spacing w:val="-4"/>
        </w:rPr>
        <w:t>стубова </w:t>
      </w:r>
      <w:r>
        <w:rPr>
          <w:color w:val="231F20"/>
          <w:spacing w:val="-5"/>
        </w:rPr>
        <w:t>који </w:t>
      </w:r>
      <w:r>
        <w:rPr>
          <w:color w:val="231F20"/>
          <w:spacing w:val="-3"/>
        </w:rPr>
        <w:t>морају бити </w:t>
      </w:r>
      <w:r>
        <w:rPr>
          <w:color w:val="231F20"/>
          <w:spacing w:val="-5"/>
        </w:rPr>
        <w:t>удаљени </w:t>
      </w:r>
      <w:r>
        <w:rPr>
          <w:color w:val="231F20"/>
          <w:spacing w:val="-3"/>
        </w:rPr>
        <w:t>минимум </w:t>
      </w:r>
      <w:r>
        <w:rPr>
          <w:color w:val="231F20"/>
        </w:rPr>
        <w:t>3 m </w:t>
      </w:r>
      <w:r>
        <w:rPr>
          <w:color w:val="231F20"/>
          <w:spacing w:val="-4"/>
        </w:rPr>
        <w:t>од ножице пружног </w:t>
      </w:r>
      <w:r>
        <w:rPr>
          <w:color w:val="231F20"/>
        </w:rPr>
        <w:t>и </w:t>
      </w:r>
      <w:r>
        <w:rPr>
          <w:color w:val="231F20"/>
          <w:spacing w:val="-3"/>
        </w:rPr>
        <w:t>путног насипа, односно, </w:t>
      </w:r>
      <w:r>
        <w:rPr>
          <w:color w:val="231F20"/>
          <w:spacing w:val="-4"/>
        </w:rPr>
        <w:t>од </w:t>
      </w:r>
      <w:r>
        <w:rPr>
          <w:color w:val="231F20"/>
          <w:spacing w:val="-3"/>
        </w:rPr>
        <w:t>ивице</w:t>
      </w:r>
      <w:r>
        <w:rPr>
          <w:color w:val="231F20"/>
          <w:spacing w:val="-12"/>
        </w:rPr>
        <w:t> </w:t>
      </w:r>
      <w:r>
        <w:rPr>
          <w:color w:val="231F20"/>
          <w:spacing w:val="-3"/>
        </w:rPr>
        <w:t>транспортера.</w:t>
      </w:r>
    </w:p>
    <w:p>
      <w:pPr>
        <w:pStyle w:val="BodyText"/>
        <w:spacing w:line="228" w:lineRule="auto"/>
        <w:ind w:left="171" w:right="38" w:firstLine="396"/>
      </w:pPr>
      <w:r>
        <w:rPr>
          <w:color w:val="231F20"/>
        </w:rPr>
        <w:t>Обезбедити минимални слободни профил од: 3,5 m за тран- спортер; 4,2 m од ГИК јавне саобраћајнице; и 5,5 m од ГИШ.</w:t>
      </w:r>
    </w:p>
    <w:p>
      <w:pPr>
        <w:pStyle w:val="BodyText"/>
        <w:spacing w:line="228" w:lineRule="auto"/>
        <w:ind w:left="171" w:right="38" w:firstLine="397"/>
      </w:pPr>
      <w:r>
        <w:rPr>
          <w:color w:val="231F20"/>
        </w:rPr>
        <w:t>У зависности од динамике извођења цевовода за транспорт пепела, шљаке и гипса из блока Б3 у заједничком коридору, раз- мотрити оправданост фазног извођења носеће конструкције и мо- стовских прелаза уз обезбеђење чеоних наставака на попречним носачима.</w:t>
      </w:r>
    </w:p>
    <w:p>
      <w:pPr>
        <w:pStyle w:val="BodyText"/>
        <w:spacing w:line="228" w:lineRule="auto"/>
        <w:ind w:left="172" w:right="38" w:firstLine="396"/>
      </w:pPr>
      <w:r>
        <w:rPr>
          <w:color w:val="231F20"/>
        </w:rPr>
        <w:t>Могуће је полагање комуналне и друге инфраструктуре у ко- ридору уколико се обезбеде минимална хоризонтална и вертикал- на растојања према одговарајућим техничким нормативима.</w:t>
      </w:r>
    </w:p>
    <w:p>
      <w:pPr>
        <w:pStyle w:val="BodyText"/>
        <w:spacing w:line="228" w:lineRule="auto"/>
        <w:ind w:left="172" w:right="38" w:firstLine="397"/>
      </w:pPr>
      <w:r>
        <w:rPr>
          <w:color w:val="231F20"/>
        </w:rPr>
        <w:t>Планирани</w:t>
      </w:r>
      <w:r>
        <w:rPr>
          <w:color w:val="231F20"/>
          <w:spacing w:val="-7"/>
        </w:rPr>
        <w:t> </w:t>
      </w:r>
      <w:r>
        <w:rPr>
          <w:color w:val="231F20"/>
        </w:rPr>
        <w:t>простор</w:t>
      </w:r>
      <w:r>
        <w:rPr>
          <w:color w:val="231F20"/>
          <w:spacing w:val="-7"/>
        </w:rPr>
        <w:t> </w:t>
      </w:r>
      <w:r>
        <w:rPr>
          <w:color w:val="231F20"/>
        </w:rPr>
        <w:t>за</w:t>
      </w:r>
      <w:r>
        <w:rPr>
          <w:color w:val="231F20"/>
          <w:spacing w:val="-7"/>
        </w:rPr>
        <w:t> </w:t>
      </w:r>
      <w:r>
        <w:rPr>
          <w:color w:val="231F20"/>
        </w:rPr>
        <w:t>одлагање</w:t>
      </w:r>
      <w:r>
        <w:rPr>
          <w:color w:val="231F20"/>
          <w:spacing w:val="-7"/>
        </w:rPr>
        <w:t> </w:t>
      </w:r>
      <w:r>
        <w:rPr>
          <w:color w:val="231F20"/>
        </w:rPr>
        <w:t>гипса</w:t>
      </w:r>
      <w:r>
        <w:rPr>
          <w:color w:val="231F20"/>
          <w:spacing w:val="-7"/>
        </w:rPr>
        <w:t> </w:t>
      </w:r>
      <w:r>
        <w:rPr>
          <w:color w:val="231F20"/>
        </w:rPr>
        <w:t>у</w:t>
      </w:r>
      <w:r>
        <w:rPr>
          <w:color w:val="231F20"/>
          <w:spacing w:val="-7"/>
        </w:rPr>
        <w:t> </w:t>
      </w:r>
      <w:r>
        <w:rPr>
          <w:color w:val="231F20"/>
        </w:rPr>
        <w:t>оквиру</w:t>
      </w:r>
      <w:r>
        <w:rPr>
          <w:color w:val="231F20"/>
          <w:spacing w:val="-7"/>
        </w:rPr>
        <w:t> </w:t>
      </w:r>
      <w:r>
        <w:rPr>
          <w:color w:val="231F20"/>
        </w:rPr>
        <w:t>површинског </w:t>
      </w:r>
      <w:r>
        <w:rPr>
          <w:color w:val="231F20"/>
          <w:spacing w:val="-3"/>
        </w:rPr>
        <w:t>копа </w:t>
      </w:r>
      <w:r>
        <w:rPr>
          <w:color w:val="231F20"/>
        </w:rPr>
        <w:t>Дрмно биће подељен на три касете </w:t>
      </w:r>
      <w:r>
        <w:rPr>
          <w:color w:val="231F20"/>
          <w:spacing w:val="-4"/>
        </w:rPr>
        <w:t>како </w:t>
      </w:r>
      <w:r>
        <w:rPr>
          <w:color w:val="231F20"/>
        </w:rPr>
        <w:t>би се обезбедио ре- зервни простор и сигурност одлагања за два постојећа блока елек- тране, као и за планирани блок Б3. У складу са прописима </w:t>
      </w:r>
      <w:r>
        <w:rPr>
          <w:color w:val="231F20"/>
          <w:spacing w:val="-10"/>
        </w:rPr>
        <w:t>ЕУ, </w:t>
      </w:r>
      <w:r>
        <w:rPr>
          <w:color w:val="231F20"/>
        </w:rPr>
        <w:t>на претходно припремљен терен дна и бочних нагиба депоније биће постављена хидроизолациона</w:t>
      </w:r>
      <w:r>
        <w:rPr>
          <w:color w:val="231F20"/>
          <w:spacing w:val="-3"/>
        </w:rPr>
        <w:t> </w:t>
      </w:r>
      <w:r>
        <w:rPr>
          <w:color w:val="231F20"/>
        </w:rPr>
        <w:t>фолија.</w:t>
      </w:r>
    </w:p>
    <w:p>
      <w:pPr>
        <w:pStyle w:val="BodyText"/>
        <w:spacing w:line="225" w:lineRule="auto"/>
        <w:ind w:left="107" w:right="38" w:firstLine="398"/>
        <w:jc w:val="right"/>
      </w:pPr>
      <w:r>
        <w:rPr>
          <w:color w:val="231F20"/>
        </w:rPr>
        <w:t>Иницијални насип ће се израђивати од коповске јаловине. Висина насипа је 3,0 m. Ширина круне насипа је 3,0 m, нагиб спо- љашње косине је 1:2, а нагиб унутрашње косине је 1:1,5. Укупна дужина насипа је 597,0 m. Коте круне насипа се крећу од 78,0 mнм до 90,0 mнм</w:t>
      </w:r>
      <w:r>
        <w:rPr>
          <w:color w:val="231F20"/>
          <w:position w:val="6"/>
          <w:sz w:val="10"/>
        </w:rPr>
        <w:t>32</w:t>
      </w:r>
      <w:r>
        <w:rPr>
          <w:color w:val="231F20"/>
        </w:rPr>
        <w:t>. Коповска јаловина која ће се уграђивати у насип биће пребацивана багером (дреглајн из најближег усека. Јаловина мора бити одговарајућег геомеханичког квалитета. Насипање из- водити у слојевима 20 –30 cm, а сабијање вршити погодним меха- ничким средствима до потребне збијености уз обавезно одржава- ње влажности близу оптималне. Површина сваког уграђеног слоја насипа мора бити рапава до дубине од 5 cm и навлажена пре наси- пања следећег слоја тако да се постигне добра веза између слојева. Предвиђено је да депонија на коју ће се одлагати суспензи-</w:t>
      </w:r>
    </w:p>
    <w:p>
      <w:pPr>
        <w:pStyle w:val="BodyText"/>
        <w:spacing w:line="228" w:lineRule="auto"/>
        <w:ind w:right="39" w:hanging="1"/>
      </w:pPr>
      <w:r>
        <w:rPr>
          <w:color w:val="231F20"/>
        </w:rPr>
        <w:t>ја гипса буде адекватно технички опремљена и обложена хидрои- золационим материјалом, што ће спречити продирање процедних вода у земљиште и подземне воде. У склопу грађевинских радова за припрему депоније, предвиђено је наношење и сабијање слоја песка и постављање хидроизолационе фолије дебљине 1.5 mm по основи и зидовима депоније.</w:t>
      </w:r>
    </w:p>
    <w:p>
      <w:pPr>
        <w:spacing w:line="149"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454" w:val="left" w:leader="none"/>
        </w:tabs>
        <w:spacing w:line="240" w:lineRule="auto" w:before="0" w:after="0"/>
        <w:ind w:left="453" w:right="40" w:hanging="283"/>
        <w:jc w:val="both"/>
        <w:rPr>
          <w:sz w:val="14"/>
        </w:rPr>
      </w:pPr>
      <w:r>
        <w:rPr>
          <w:color w:val="231F20"/>
          <w:sz w:val="14"/>
        </w:rPr>
        <w:t>Границе грађевинских парцела дефинисане су координатама карактеристичних тачака и то I1 до I31 за ГП1; II1 до II6за ГП2; и III1 и III2 за ГП3; координате тачака</w:t>
      </w:r>
      <w:r>
        <w:rPr>
          <w:color w:val="231F20"/>
          <w:spacing w:val="-6"/>
          <w:sz w:val="14"/>
        </w:rPr>
        <w:t> </w:t>
      </w:r>
      <w:r>
        <w:rPr>
          <w:color w:val="231F20"/>
          <w:sz w:val="14"/>
        </w:rPr>
        <w:t>су</w:t>
      </w:r>
      <w:r>
        <w:rPr>
          <w:color w:val="231F20"/>
          <w:spacing w:val="-6"/>
          <w:sz w:val="14"/>
        </w:rPr>
        <w:t> </w:t>
      </w:r>
      <w:r>
        <w:rPr>
          <w:color w:val="231F20"/>
          <w:sz w:val="14"/>
        </w:rPr>
        <w:t>оријентационе</w:t>
      </w:r>
      <w:r>
        <w:rPr>
          <w:color w:val="231F20"/>
          <w:spacing w:val="-6"/>
          <w:sz w:val="14"/>
        </w:rPr>
        <w:t> </w:t>
      </w:r>
      <w:r>
        <w:rPr>
          <w:color w:val="231F20"/>
          <w:sz w:val="14"/>
        </w:rPr>
        <w:t>и</w:t>
      </w:r>
      <w:r>
        <w:rPr>
          <w:color w:val="231F20"/>
          <w:spacing w:val="-6"/>
          <w:sz w:val="14"/>
        </w:rPr>
        <w:t> </w:t>
      </w:r>
      <w:r>
        <w:rPr>
          <w:color w:val="231F20"/>
          <w:sz w:val="14"/>
        </w:rPr>
        <w:t>морају</w:t>
      </w:r>
      <w:r>
        <w:rPr>
          <w:color w:val="231F20"/>
          <w:spacing w:val="-6"/>
          <w:sz w:val="14"/>
        </w:rPr>
        <w:t> </w:t>
      </w:r>
      <w:r>
        <w:rPr>
          <w:color w:val="231F20"/>
          <w:sz w:val="14"/>
        </w:rPr>
        <w:t>се</w:t>
      </w:r>
      <w:r>
        <w:rPr>
          <w:color w:val="231F20"/>
          <w:spacing w:val="-6"/>
          <w:sz w:val="14"/>
        </w:rPr>
        <w:t> </w:t>
      </w:r>
      <w:r>
        <w:rPr>
          <w:color w:val="231F20"/>
          <w:sz w:val="14"/>
        </w:rPr>
        <w:t>проверити</w:t>
      </w:r>
      <w:r>
        <w:rPr>
          <w:color w:val="231F20"/>
          <w:spacing w:val="-6"/>
          <w:sz w:val="14"/>
        </w:rPr>
        <w:t> </w:t>
      </w:r>
      <w:r>
        <w:rPr>
          <w:color w:val="231F20"/>
          <w:sz w:val="14"/>
        </w:rPr>
        <w:t>приликом</w:t>
      </w:r>
      <w:r>
        <w:rPr>
          <w:color w:val="231F20"/>
          <w:spacing w:val="-6"/>
          <w:sz w:val="14"/>
        </w:rPr>
        <w:t> </w:t>
      </w:r>
      <w:r>
        <w:rPr>
          <w:color w:val="231F20"/>
          <w:sz w:val="14"/>
        </w:rPr>
        <w:t>израде</w:t>
      </w:r>
      <w:r>
        <w:rPr>
          <w:color w:val="231F20"/>
          <w:spacing w:val="-6"/>
          <w:sz w:val="14"/>
        </w:rPr>
        <w:t> </w:t>
      </w:r>
      <w:r>
        <w:rPr>
          <w:color w:val="231F20"/>
          <w:sz w:val="14"/>
        </w:rPr>
        <w:t>пројекта</w:t>
      </w:r>
      <w:r>
        <w:rPr>
          <w:color w:val="231F20"/>
          <w:spacing w:val="-6"/>
          <w:sz w:val="14"/>
        </w:rPr>
        <w:t> </w:t>
      </w:r>
      <w:r>
        <w:rPr>
          <w:color w:val="231F20"/>
          <w:sz w:val="14"/>
        </w:rPr>
        <w:t>парце- лације;</w:t>
      </w:r>
    </w:p>
    <w:p>
      <w:pPr>
        <w:pStyle w:val="ListParagraph"/>
        <w:numPr>
          <w:ilvl w:val="0"/>
          <w:numId w:val="71"/>
        </w:numPr>
        <w:tabs>
          <w:tab w:pos="454" w:val="left" w:leader="none"/>
        </w:tabs>
        <w:spacing w:line="240" w:lineRule="auto" w:before="0" w:after="0"/>
        <w:ind w:left="453" w:right="40" w:hanging="283"/>
        <w:jc w:val="both"/>
        <w:rPr>
          <w:sz w:val="14"/>
        </w:rPr>
      </w:pPr>
      <w:r>
        <w:rPr>
          <w:color w:val="231F20"/>
          <w:sz w:val="14"/>
        </w:rPr>
        <w:t>Све</w:t>
      </w:r>
      <w:r>
        <w:rPr>
          <w:color w:val="231F20"/>
          <w:spacing w:val="-5"/>
          <w:sz w:val="14"/>
        </w:rPr>
        <w:t> </w:t>
      </w:r>
      <w:r>
        <w:rPr>
          <w:color w:val="231F20"/>
          <w:sz w:val="14"/>
        </w:rPr>
        <w:t>висинске</w:t>
      </w:r>
      <w:r>
        <w:rPr>
          <w:color w:val="231F20"/>
          <w:spacing w:val="-6"/>
          <w:sz w:val="14"/>
        </w:rPr>
        <w:t> </w:t>
      </w:r>
      <w:r>
        <w:rPr>
          <w:color w:val="231F20"/>
          <w:spacing w:val="-3"/>
          <w:sz w:val="14"/>
        </w:rPr>
        <w:t>коте</w:t>
      </w:r>
      <w:r>
        <w:rPr>
          <w:color w:val="231F20"/>
          <w:spacing w:val="-6"/>
          <w:sz w:val="14"/>
        </w:rPr>
        <w:t> </w:t>
      </w:r>
      <w:r>
        <w:rPr>
          <w:color w:val="231F20"/>
          <w:sz w:val="14"/>
        </w:rPr>
        <w:t>пројектовати</w:t>
      </w:r>
      <w:r>
        <w:rPr>
          <w:color w:val="231F20"/>
          <w:spacing w:val="-6"/>
          <w:sz w:val="14"/>
        </w:rPr>
        <w:t> </w:t>
      </w:r>
      <w:r>
        <w:rPr>
          <w:color w:val="231F20"/>
          <w:sz w:val="14"/>
        </w:rPr>
        <w:t>усаглашено</w:t>
      </w:r>
      <w:r>
        <w:rPr>
          <w:color w:val="231F20"/>
          <w:spacing w:val="-6"/>
          <w:sz w:val="14"/>
        </w:rPr>
        <w:t> </w:t>
      </w:r>
      <w:r>
        <w:rPr>
          <w:color w:val="231F20"/>
          <w:sz w:val="14"/>
        </w:rPr>
        <w:t>са</w:t>
      </w:r>
      <w:r>
        <w:rPr>
          <w:color w:val="231F20"/>
          <w:spacing w:val="-5"/>
          <w:sz w:val="14"/>
        </w:rPr>
        <w:t> </w:t>
      </w:r>
      <w:r>
        <w:rPr>
          <w:color w:val="231F20"/>
          <w:sz w:val="14"/>
        </w:rPr>
        <w:t>одговарајућим</w:t>
      </w:r>
      <w:r>
        <w:rPr>
          <w:color w:val="231F20"/>
          <w:spacing w:val="-6"/>
          <w:sz w:val="14"/>
        </w:rPr>
        <w:t> </w:t>
      </w:r>
      <w:r>
        <w:rPr>
          <w:color w:val="231F20"/>
          <w:sz w:val="14"/>
        </w:rPr>
        <w:t>рударским</w:t>
      </w:r>
      <w:r>
        <w:rPr>
          <w:color w:val="231F20"/>
          <w:spacing w:val="-6"/>
          <w:sz w:val="14"/>
        </w:rPr>
        <w:t> </w:t>
      </w:r>
      <w:r>
        <w:rPr>
          <w:color w:val="231F20"/>
          <w:sz w:val="14"/>
        </w:rPr>
        <w:t>пројек- тима унутрашњег одлагалишта у ПК</w:t>
      </w:r>
      <w:r>
        <w:rPr>
          <w:color w:val="231F20"/>
          <w:spacing w:val="-4"/>
          <w:sz w:val="14"/>
        </w:rPr>
        <w:t> </w:t>
      </w:r>
      <w:r>
        <w:rPr>
          <w:color w:val="231F20"/>
          <w:sz w:val="14"/>
        </w:rPr>
        <w:t>„Дрмно”</w:t>
      </w:r>
    </w:p>
    <w:p>
      <w:pPr>
        <w:pStyle w:val="BodyText"/>
        <w:spacing w:before="68"/>
        <w:ind w:left="2041"/>
        <w:jc w:val="left"/>
      </w:pPr>
      <w:r>
        <w:rPr/>
        <w:br w:type="column"/>
      </w:r>
      <w:r>
        <w:rPr>
          <w:color w:val="231F20"/>
        </w:rPr>
        <w:t>Дренажни систем</w:t>
      </w:r>
    </w:p>
    <w:p>
      <w:pPr>
        <w:pStyle w:val="BodyText"/>
        <w:spacing w:before="3"/>
        <w:ind w:left="0"/>
        <w:jc w:val="left"/>
        <w:rPr>
          <w:sz w:val="17"/>
        </w:rPr>
      </w:pPr>
    </w:p>
    <w:p>
      <w:pPr>
        <w:pStyle w:val="BodyText"/>
        <w:spacing w:line="230" w:lineRule="auto"/>
        <w:ind w:right="411" w:firstLine="396"/>
      </w:pPr>
      <w:r>
        <w:rPr>
          <w:color w:val="231F20"/>
        </w:rPr>
        <w:t>У циљу прикупљања и одвођења процедних вода са депони- је, предвиђено је да се </w:t>
      </w:r>
      <w:r>
        <w:rPr>
          <w:color w:val="231F20"/>
          <w:spacing w:val="-3"/>
        </w:rPr>
        <w:t>преко </w:t>
      </w:r>
      <w:r>
        <w:rPr>
          <w:color w:val="231F20"/>
        </w:rPr>
        <w:t>изолационе фолије, подужно са једне стране постави дренажа </w:t>
      </w:r>
      <w:r>
        <w:rPr>
          <w:color w:val="231F20"/>
          <w:spacing w:val="-3"/>
        </w:rPr>
        <w:t>од </w:t>
      </w:r>
      <w:r>
        <w:rPr>
          <w:color w:val="231F20"/>
        </w:rPr>
        <w:t>дренажних цеви у пешчаном и шљун- чаном филтерском слоју дебљине 4 – 16 mm, обавијених геотек- стилом. У циљу заштите земљишта и подземних вода на локацији предвиђено је постављање хидроизолационе фолије дебљине 1.5 mm</w:t>
      </w:r>
      <w:r>
        <w:rPr>
          <w:color w:val="231F20"/>
          <w:spacing w:val="-5"/>
        </w:rPr>
        <w:t> </w:t>
      </w:r>
      <w:r>
        <w:rPr>
          <w:color w:val="231F20"/>
        </w:rPr>
        <w:t>по</w:t>
      </w:r>
      <w:r>
        <w:rPr>
          <w:color w:val="231F20"/>
          <w:spacing w:val="-5"/>
        </w:rPr>
        <w:t> </w:t>
      </w:r>
      <w:r>
        <w:rPr>
          <w:color w:val="231F20"/>
        </w:rPr>
        <w:t>основи</w:t>
      </w:r>
      <w:r>
        <w:rPr>
          <w:color w:val="231F20"/>
          <w:spacing w:val="-5"/>
        </w:rPr>
        <w:t> </w:t>
      </w:r>
      <w:r>
        <w:rPr>
          <w:color w:val="231F20"/>
        </w:rPr>
        <w:t>и</w:t>
      </w:r>
      <w:r>
        <w:rPr>
          <w:color w:val="231F20"/>
          <w:spacing w:val="-5"/>
        </w:rPr>
        <w:t> </w:t>
      </w:r>
      <w:r>
        <w:rPr>
          <w:color w:val="231F20"/>
        </w:rPr>
        <w:t>зидовима</w:t>
      </w:r>
      <w:r>
        <w:rPr>
          <w:color w:val="231F20"/>
          <w:spacing w:val="-5"/>
        </w:rPr>
        <w:t> </w:t>
      </w:r>
      <w:r>
        <w:rPr>
          <w:color w:val="231F20"/>
        </w:rPr>
        <w:t>депоније,</w:t>
      </w:r>
      <w:r>
        <w:rPr>
          <w:color w:val="231F20"/>
          <w:spacing w:val="-5"/>
        </w:rPr>
        <w:t> </w:t>
      </w:r>
      <w:r>
        <w:rPr>
          <w:color w:val="231F20"/>
        </w:rPr>
        <w:t>уз</w:t>
      </w:r>
      <w:r>
        <w:rPr>
          <w:color w:val="231F20"/>
          <w:spacing w:val="-5"/>
        </w:rPr>
        <w:t> </w:t>
      </w:r>
      <w:r>
        <w:rPr>
          <w:color w:val="231F20"/>
        </w:rPr>
        <w:t>неопходно</w:t>
      </w:r>
      <w:r>
        <w:rPr>
          <w:color w:val="231F20"/>
          <w:spacing w:val="-5"/>
        </w:rPr>
        <w:t> </w:t>
      </w:r>
      <w:r>
        <w:rPr>
          <w:color w:val="231F20"/>
        </w:rPr>
        <w:t>преклапање</w:t>
      </w:r>
      <w:r>
        <w:rPr>
          <w:color w:val="231F20"/>
          <w:spacing w:val="-5"/>
        </w:rPr>
        <w:t> </w:t>
      </w:r>
      <w:r>
        <w:rPr>
          <w:color w:val="231F20"/>
        </w:rPr>
        <w:t>(за- варивање) слојева фолије на</w:t>
      </w:r>
      <w:r>
        <w:rPr>
          <w:color w:val="231F20"/>
          <w:spacing w:val="-4"/>
        </w:rPr>
        <w:t> </w:t>
      </w:r>
      <w:r>
        <w:rPr>
          <w:color w:val="231F20"/>
        </w:rPr>
        <w:t>ивицама.</w:t>
      </w:r>
    </w:p>
    <w:p>
      <w:pPr>
        <w:pStyle w:val="BodyText"/>
        <w:spacing w:line="230" w:lineRule="auto"/>
        <w:ind w:right="410" w:firstLine="397"/>
      </w:pPr>
      <w:r>
        <w:rPr>
          <w:color w:val="231F20"/>
        </w:rPr>
        <w:t>Процедне отпадне воде са депоније суспензије гипса, наста- ле после бистрења суспензије, враћаће у процес одсумпоравања. Дренажни систем ће се састојати </w:t>
      </w:r>
      <w:r>
        <w:rPr>
          <w:color w:val="231F20"/>
          <w:spacing w:val="-3"/>
        </w:rPr>
        <w:t>од </w:t>
      </w:r>
      <w:r>
        <w:rPr>
          <w:color w:val="231F20"/>
        </w:rPr>
        <w:t>два одвојена цевовода, </w:t>
      </w:r>
      <w:r>
        <w:rPr>
          <w:color w:val="231F20"/>
          <w:spacing w:val="-3"/>
        </w:rPr>
        <w:t>који </w:t>
      </w:r>
      <w:r>
        <w:rPr>
          <w:color w:val="231F20"/>
        </w:rPr>
        <w:t>ће се спајати у сабирном шахту (бетонски базен повратне воде за- премине 40 m³). Две пумпе ће бити постављене у овај </w:t>
      </w:r>
      <w:r>
        <w:rPr>
          <w:color w:val="231F20"/>
          <w:spacing w:val="-5"/>
        </w:rPr>
        <w:t>шахт, </w:t>
      </w:r>
      <w:r>
        <w:rPr>
          <w:color w:val="231F20"/>
        </w:rPr>
        <w:t>свака капацитета 40 m³/h, помоћу којих ће се сакупљена процедна вода враћати у процес</w:t>
      </w:r>
      <w:r>
        <w:rPr>
          <w:color w:val="231F20"/>
          <w:spacing w:val="-2"/>
        </w:rPr>
        <w:t> </w:t>
      </w:r>
      <w:r>
        <w:rPr>
          <w:color w:val="231F20"/>
        </w:rPr>
        <w:t>одсумпоравања.</w:t>
      </w:r>
    </w:p>
    <w:p>
      <w:pPr>
        <w:pStyle w:val="BodyText"/>
        <w:spacing w:line="230" w:lineRule="auto"/>
        <w:ind w:right="410" w:firstLine="396"/>
      </w:pPr>
      <w:r>
        <w:rPr>
          <w:color w:val="231F20"/>
        </w:rPr>
        <w:t>Дренажне цеви Φ 200 mm, положене у нагибу </w:t>
      </w:r>
      <w:r>
        <w:rPr>
          <w:color w:val="231F20"/>
          <w:spacing w:val="-3"/>
        </w:rPr>
        <w:t>од </w:t>
      </w:r>
      <w:r>
        <w:rPr>
          <w:color w:val="231F20"/>
        </w:rPr>
        <w:t>3 ‰ и </w:t>
      </w:r>
      <w:r>
        <w:rPr>
          <w:color w:val="231F20"/>
          <w:spacing w:val="-3"/>
        </w:rPr>
        <w:t>ули- </w:t>
      </w:r>
      <w:r>
        <w:rPr>
          <w:color w:val="231F20"/>
        </w:rPr>
        <w:t>вају се у одговарајуће шахтове. </w:t>
      </w:r>
      <w:r>
        <w:rPr>
          <w:color w:val="231F20"/>
          <w:spacing w:val="-4"/>
        </w:rPr>
        <w:t>Око </w:t>
      </w:r>
      <w:r>
        <w:rPr>
          <w:color w:val="231F20"/>
        </w:rPr>
        <w:t>цеви се уграђује шљунчана филтерска испуна гранулације 4 – 16 mm и обавија геотекстилом. Сабирне шахтове извести </w:t>
      </w:r>
      <w:r>
        <w:rPr>
          <w:color w:val="231F20"/>
          <w:spacing w:val="-3"/>
        </w:rPr>
        <w:t>од </w:t>
      </w:r>
      <w:r>
        <w:rPr>
          <w:color w:val="231F20"/>
        </w:rPr>
        <w:t>готових префабрикованих бетонских елемента Φ 1000 mm и висине 1.0 m, на армирано бетонској те- мељној</w:t>
      </w:r>
      <w:r>
        <w:rPr>
          <w:color w:val="231F20"/>
          <w:spacing w:val="-6"/>
        </w:rPr>
        <w:t> </w:t>
      </w:r>
      <w:r>
        <w:rPr>
          <w:color w:val="231F20"/>
        </w:rPr>
        <w:t>плочи</w:t>
      </w:r>
      <w:r>
        <w:rPr>
          <w:color w:val="231F20"/>
          <w:spacing w:val="-6"/>
        </w:rPr>
        <w:t> </w:t>
      </w:r>
      <w:r>
        <w:rPr>
          <w:color w:val="231F20"/>
        </w:rPr>
        <w:t>дебљине</w:t>
      </w:r>
      <w:r>
        <w:rPr>
          <w:color w:val="231F20"/>
          <w:spacing w:val="-6"/>
        </w:rPr>
        <w:t> </w:t>
      </w:r>
      <w:r>
        <w:rPr>
          <w:color w:val="231F20"/>
        </w:rPr>
        <w:t>25</w:t>
      </w:r>
      <w:r>
        <w:rPr>
          <w:color w:val="231F20"/>
          <w:spacing w:val="-6"/>
        </w:rPr>
        <w:t> </w:t>
      </w:r>
      <w:r>
        <w:rPr>
          <w:color w:val="231F20"/>
        </w:rPr>
        <w:t>сm.</w:t>
      </w:r>
      <w:r>
        <w:rPr>
          <w:color w:val="231F20"/>
          <w:spacing w:val="-7"/>
        </w:rPr>
        <w:t> </w:t>
      </w:r>
      <w:r>
        <w:rPr>
          <w:color w:val="231F20"/>
        </w:rPr>
        <w:t>Из</w:t>
      </w:r>
      <w:r>
        <w:rPr>
          <w:color w:val="231F20"/>
          <w:spacing w:val="-6"/>
        </w:rPr>
        <w:t> </w:t>
      </w:r>
      <w:r>
        <w:rPr>
          <w:color w:val="231F20"/>
        </w:rPr>
        <w:t>шахта</w:t>
      </w:r>
      <w:r>
        <w:rPr>
          <w:color w:val="231F20"/>
          <w:spacing w:val="-6"/>
        </w:rPr>
        <w:t> </w:t>
      </w:r>
      <w:r>
        <w:rPr>
          <w:color w:val="231F20"/>
        </w:rPr>
        <w:t>вода</w:t>
      </w:r>
      <w:r>
        <w:rPr>
          <w:color w:val="231F20"/>
          <w:spacing w:val="-7"/>
        </w:rPr>
        <w:t> </w:t>
      </w:r>
      <w:r>
        <w:rPr>
          <w:color w:val="231F20"/>
        </w:rPr>
        <w:t>се</w:t>
      </w:r>
      <w:r>
        <w:rPr>
          <w:color w:val="231F20"/>
          <w:spacing w:val="-6"/>
        </w:rPr>
        <w:t> </w:t>
      </w:r>
      <w:r>
        <w:rPr>
          <w:color w:val="231F20"/>
        </w:rPr>
        <w:t>гравитационо</w:t>
      </w:r>
      <w:r>
        <w:rPr>
          <w:color w:val="231F20"/>
          <w:spacing w:val="-6"/>
        </w:rPr>
        <w:t> </w:t>
      </w:r>
      <w:r>
        <w:rPr>
          <w:color w:val="231F20"/>
          <w:spacing w:val="-3"/>
        </w:rPr>
        <w:t>ули- </w:t>
      </w:r>
      <w:r>
        <w:rPr>
          <w:color w:val="231F20"/>
        </w:rPr>
        <w:t>ва у пумпну станицу повратне воде. Дренажни шахтови ће бити направљени </w:t>
      </w:r>
      <w:r>
        <w:rPr>
          <w:color w:val="231F20"/>
          <w:spacing w:val="-3"/>
        </w:rPr>
        <w:t>од </w:t>
      </w:r>
      <w:r>
        <w:rPr>
          <w:color w:val="231F20"/>
        </w:rPr>
        <w:t>бетонских цеви DN 1000 mm и сукцесивно ће се надограђивати зависно </w:t>
      </w:r>
      <w:r>
        <w:rPr>
          <w:color w:val="231F20"/>
          <w:spacing w:val="-3"/>
        </w:rPr>
        <w:t>од </w:t>
      </w:r>
      <w:r>
        <w:rPr>
          <w:color w:val="231F20"/>
        </w:rPr>
        <w:t>фазе израде</w:t>
      </w:r>
      <w:r>
        <w:rPr>
          <w:color w:val="231F20"/>
          <w:spacing w:val="-2"/>
        </w:rPr>
        <w:t> </w:t>
      </w:r>
      <w:r>
        <w:rPr>
          <w:color w:val="231F20"/>
        </w:rPr>
        <w:t>насипа.</w:t>
      </w:r>
    </w:p>
    <w:p>
      <w:pPr>
        <w:pStyle w:val="BodyText"/>
        <w:spacing w:line="230" w:lineRule="auto"/>
        <w:ind w:right="410" w:firstLine="396"/>
      </w:pPr>
      <w:r>
        <w:rPr>
          <w:color w:val="231F20"/>
        </w:rPr>
        <w:t>Пумпна станица повратне </w:t>
      </w:r>
      <w:r>
        <w:rPr>
          <w:color w:val="231F20"/>
          <w:spacing w:val="-3"/>
        </w:rPr>
        <w:t>воде. Објекат </w:t>
      </w:r>
      <w:r>
        <w:rPr>
          <w:color w:val="231F20"/>
        </w:rPr>
        <w:t>пумпне станице по- вратне </w:t>
      </w:r>
      <w:r>
        <w:rPr>
          <w:color w:val="231F20"/>
          <w:spacing w:val="-3"/>
        </w:rPr>
        <w:t>воде </w:t>
      </w:r>
      <w:r>
        <w:rPr>
          <w:color w:val="231F20"/>
        </w:rPr>
        <w:t>налази се на </w:t>
      </w:r>
      <w:r>
        <w:rPr>
          <w:color w:val="231F20"/>
          <w:spacing w:val="-4"/>
        </w:rPr>
        <w:t>платоу </w:t>
      </w:r>
      <w:r>
        <w:rPr>
          <w:color w:val="231F20"/>
        </w:rPr>
        <w:t>поред депоније (76 mнм). Пумпна станица ПС извешће се </w:t>
      </w:r>
      <w:r>
        <w:rPr>
          <w:color w:val="231F20"/>
          <w:spacing w:val="-3"/>
        </w:rPr>
        <w:t>методом бунарског ископа </w:t>
      </w:r>
      <w:r>
        <w:rPr>
          <w:color w:val="231F20"/>
        </w:rPr>
        <w:t>у земљи III ка- тегорије у секцијама </w:t>
      </w:r>
      <w:r>
        <w:rPr>
          <w:color w:val="231F20"/>
          <w:spacing w:val="-4"/>
        </w:rPr>
        <w:t>од </w:t>
      </w:r>
      <w:r>
        <w:rPr>
          <w:color w:val="231F20"/>
        </w:rPr>
        <w:t>по 1.5 m. Предвиђена је уградња три</w:t>
      </w:r>
      <w:r>
        <w:rPr>
          <w:color w:val="231F20"/>
          <w:spacing w:val="-27"/>
        </w:rPr>
        <w:t> </w:t>
      </w:r>
      <w:r>
        <w:rPr>
          <w:color w:val="231F20"/>
        </w:rPr>
        <w:t>пото- пљене</w:t>
      </w:r>
      <w:r>
        <w:rPr>
          <w:color w:val="231F20"/>
          <w:spacing w:val="-8"/>
        </w:rPr>
        <w:t> </w:t>
      </w:r>
      <w:r>
        <w:rPr>
          <w:color w:val="231F20"/>
        </w:rPr>
        <w:t>муљне</w:t>
      </w:r>
      <w:r>
        <w:rPr>
          <w:color w:val="231F20"/>
          <w:spacing w:val="-8"/>
        </w:rPr>
        <w:t> </w:t>
      </w:r>
      <w:r>
        <w:rPr>
          <w:color w:val="231F20"/>
        </w:rPr>
        <w:t>пумпе,</w:t>
      </w:r>
      <w:r>
        <w:rPr>
          <w:color w:val="231F20"/>
          <w:spacing w:val="-8"/>
        </w:rPr>
        <w:t> </w:t>
      </w:r>
      <w:r>
        <w:rPr>
          <w:color w:val="231F20"/>
        </w:rPr>
        <w:t>две</w:t>
      </w:r>
      <w:r>
        <w:rPr>
          <w:color w:val="231F20"/>
          <w:spacing w:val="-8"/>
        </w:rPr>
        <w:t> </w:t>
      </w:r>
      <w:r>
        <w:rPr>
          <w:color w:val="231F20"/>
        </w:rPr>
        <w:t>радне</w:t>
      </w:r>
      <w:r>
        <w:rPr>
          <w:color w:val="231F20"/>
          <w:spacing w:val="-8"/>
        </w:rPr>
        <w:t> </w:t>
      </w:r>
      <w:r>
        <w:rPr>
          <w:color w:val="231F20"/>
        </w:rPr>
        <w:t>и</w:t>
      </w:r>
      <w:r>
        <w:rPr>
          <w:color w:val="231F20"/>
          <w:spacing w:val="-8"/>
        </w:rPr>
        <w:t> </w:t>
      </w:r>
      <w:r>
        <w:rPr>
          <w:color w:val="231F20"/>
        </w:rPr>
        <w:t>једне</w:t>
      </w:r>
      <w:r>
        <w:rPr>
          <w:color w:val="231F20"/>
          <w:spacing w:val="-8"/>
        </w:rPr>
        <w:t> </w:t>
      </w:r>
      <w:r>
        <w:rPr>
          <w:color w:val="231F20"/>
        </w:rPr>
        <w:t>резервне,</w:t>
      </w:r>
      <w:r>
        <w:rPr>
          <w:color w:val="231F20"/>
          <w:spacing w:val="-8"/>
        </w:rPr>
        <w:t> </w:t>
      </w:r>
      <w:r>
        <w:rPr>
          <w:color w:val="231F20"/>
        </w:rPr>
        <w:t>са</w:t>
      </w:r>
      <w:r>
        <w:rPr>
          <w:color w:val="231F20"/>
          <w:spacing w:val="-8"/>
        </w:rPr>
        <w:t> </w:t>
      </w:r>
      <w:r>
        <w:rPr>
          <w:color w:val="231F20"/>
        </w:rPr>
        <w:t>пратећом</w:t>
      </w:r>
      <w:r>
        <w:rPr>
          <w:color w:val="231F20"/>
          <w:spacing w:val="-8"/>
        </w:rPr>
        <w:t> </w:t>
      </w:r>
      <w:r>
        <w:rPr>
          <w:color w:val="231F20"/>
        </w:rPr>
        <w:t>опре- мом.</w:t>
      </w:r>
      <w:r>
        <w:rPr>
          <w:color w:val="231F20"/>
          <w:spacing w:val="-8"/>
        </w:rPr>
        <w:t> </w:t>
      </w:r>
      <w:r>
        <w:rPr>
          <w:color w:val="231F20"/>
        </w:rPr>
        <w:t>Дубина</w:t>
      </w:r>
      <w:r>
        <w:rPr>
          <w:color w:val="231F20"/>
          <w:spacing w:val="-8"/>
        </w:rPr>
        <w:t> </w:t>
      </w:r>
      <w:r>
        <w:rPr>
          <w:color w:val="231F20"/>
        </w:rPr>
        <w:t>шахта</w:t>
      </w:r>
      <w:r>
        <w:rPr>
          <w:color w:val="231F20"/>
          <w:spacing w:val="-8"/>
        </w:rPr>
        <w:t> </w:t>
      </w:r>
      <w:r>
        <w:rPr>
          <w:color w:val="231F20"/>
        </w:rPr>
        <w:t>у</w:t>
      </w:r>
      <w:r>
        <w:rPr>
          <w:color w:val="231F20"/>
          <w:spacing w:val="-8"/>
        </w:rPr>
        <w:t> </w:t>
      </w:r>
      <w:r>
        <w:rPr>
          <w:color w:val="231F20"/>
        </w:rPr>
        <w:t>односу</w:t>
      </w:r>
      <w:r>
        <w:rPr>
          <w:color w:val="231F20"/>
          <w:spacing w:val="-8"/>
        </w:rPr>
        <w:t> </w:t>
      </w:r>
      <w:r>
        <w:rPr>
          <w:color w:val="231F20"/>
        </w:rPr>
        <w:t>на</w:t>
      </w:r>
      <w:r>
        <w:rPr>
          <w:color w:val="231F20"/>
          <w:spacing w:val="-8"/>
        </w:rPr>
        <w:t> </w:t>
      </w:r>
      <w:r>
        <w:rPr>
          <w:color w:val="231F20"/>
          <w:spacing w:val="-5"/>
        </w:rPr>
        <w:t>коту</w:t>
      </w:r>
      <w:r>
        <w:rPr>
          <w:color w:val="231F20"/>
          <w:spacing w:val="-8"/>
        </w:rPr>
        <w:t> </w:t>
      </w:r>
      <w:r>
        <w:rPr>
          <w:color w:val="231F20"/>
        </w:rPr>
        <w:t>трена</w:t>
      </w:r>
      <w:r>
        <w:rPr>
          <w:color w:val="231F20"/>
          <w:spacing w:val="-8"/>
        </w:rPr>
        <w:t> </w:t>
      </w:r>
      <w:r>
        <w:rPr>
          <w:color w:val="231F20"/>
        </w:rPr>
        <w:t>је</w:t>
      </w:r>
      <w:r>
        <w:rPr>
          <w:color w:val="231F20"/>
          <w:spacing w:val="-8"/>
        </w:rPr>
        <w:t> </w:t>
      </w:r>
      <w:r>
        <w:rPr>
          <w:color w:val="231F20"/>
        </w:rPr>
        <w:t>6,0</w:t>
      </w:r>
      <w:r>
        <w:rPr>
          <w:color w:val="231F20"/>
          <w:spacing w:val="-8"/>
        </w:rPr>
        <w:t> </w:t>
      </w:r>
      <w:r>
        <w:rPr>
          <w:color w:val="231F20"/>
        </w:rPr>
        <w:t>m.</w:t>
      </w:r>
      <w:r>
        <w:rPr>
          <w:color w:val="231F20"/>
          <w:spacing w:val="-8"/>
        </w:rPr>
        <w:t> </w:t>
      </w:r>
      <w:r>
        <w:rPr>
          <w:color w:val="231F20"/>
        </w:rPr>
        <w:t>Шахт</w:t>
      </w:r>
      <w:r>
        <w:rPr>
          <w:color w:val="231F20"/>
          <w:spacing w:val="-8"/>
        </w:rPr>
        <w:t> </w:t>
      </w:r>
      <w:r>
        <w:rPr>
          <w:color w:val="231F20"/>
        </w:rPr>
        <w:t>израдити </w:t>
      </w:r>
      <w:r>
        <w:rPr>
          <w:color w:val="231F20"/>
          <w:spacing w:val="-4"/>
        </w:rPr>
        <w:t>од </w:t>
      </w:r>
      <w:r>
        <w:rPr>
          <w:color w:val="231F20"/>
        </w:rPr>
        <w:t>префабрикованих вибропресованих армиранобетонских цеви ДН 2,0 m, дужине 1,5 m, МБ 40, на темељној плочи МБ 30 изведе- ној на лицу места. Пумпе монтирати на темељну бетонску </w:t>
      </w:r>
      <w:r>
        <w:rPr>
          <w:color w:val="231F20"/>
          <w:spacing w:val="-5"/>
        </w:rPr>
        <w:t>плочу. </w:t>
      </w:r>
      <w:r>
        <w:rPr>
          <w:color w:val="231F20"/>
          <w:spacing w:val="-4"/>
        </w:rPr>
        <w:t>Горњу </w:t>
      </w:r>
      <w:r>
        <w:rPr>
          <w:color w:val="231F20"/>
        </w:rPr>
        <w:t>плочу </w:t>
      </w:r>
      <w:r>
        <w:rPr>
          <w:color w:val="231F20"/>
          <w:spacing w:val="-4"/>
        </w:rPr>
        <w:t>од </w:t>
      </w:r>
      <w:r>
        <w:rPr>
          <w:color w:val="231F20"/>
        </w:rPr>
        <w:t>армираног бетона МБ 30, д=15 сm, предвидети да се ради у сегментима због могућности демонтаже у случајевима ремонта. </w:t>
      </w:r>
      <w:r>
        <w:rPr>
          <w:color w:val="231F20"/>
          <w:spacing w:val="-4"/>
        </w:rPr>
        <w:t>Такође </w:t>
      </w:r>
      <w:r>
        <w:rPr>
          <w:color w:val="231F20"/>
        </w:rPr>
        <w:t>је предвидети да се један сегмент ради </w:t>
      </w:r>
      <w:r>
        <w:rPr>
          <w:color w:val="231F20"/>
          <w:spacing w:val="-4"/>
        </w:rPr>
        <w:t>од </w:t>
      </w:r>
      <w:r>
        <w:rPr>
          <w:color w:val="231F20"/>
        </w:rPr>
        <w:t>челика као</w:t>
      </w:r>
      <w:r>
        <w:rPr>
          <w:color w:val="231F20"/>
          <w:spacing w:val="-6"/>
        </w:rPr>
        <w:t> </w:t>
      </w:r>
      <w:r>
        <w:rPr>
          <w:color w:val="231F20"/>
        </w:rPr>
        <w:t>поклопац.</w:t>
      </w:r>
      <w:r>
        <w:rPr>
          <w:color w:val="231F20"/>
          <w:spacing w:val="-6"/>
        </w:rPr>
        <w:t> </w:t>
      </w:r>
      <w:r>
        <w:rPr>
          <w:color w:val="231F20"/>
        </w:rPr>
        <w:t>Шахт</w:t>
      </w:r>
      <w:r>
        <w:rPr>
          <w:color w:val="231F20"/>
          <w:spacing w:val="-6"/>
        </w:rPr>
        <w:t> </w:t>
      </w:r>
      <w:r>
        <w:rPr>
          <w:color w:val="231F20"/>
        </w:rPr>
        <w:t>пумпне</w:t>
      </w:r>
      <w:r>
        <w:rPr>
          <w:color w:val="231F20"/>
          <w:spacing w:val="-6"/>
        </w:rPr>
        <w:t> </w:t>
      </w:r>
      <w:r>
        <w:rPr>
          <w:color w:val="231F20"/>
        </w:rPr>
        <w:t>станице</w:t>
      </w:r>
      <w:r>
        <w:rPr>
          <w:color w:val="231F20"/>
          <w:spacing w:val="-6"/>
        </w:rPr>
        <w:t> </w:t>
      </w:r>
      <w:r>
        <w:rPr>
          <w:color w:val="231F20"/>
        </w:rPr>
        <w:t>опремљен</w:t>
      </w:r>
      <w:r>
        <w:rPr>
          <w:color w:val="231F20"/>
          <w:spacing w:val="-6"/>
        </w:rPr>
        <w:t> </w:t>
      </w:r>
      <w:r>
        <w:rPr>
          <w:color w:val="231F20"/>
        </w:rPr>
        <w:t>је</w:t>
      </w:r>
      <w:r>
        <w:rPr>
          <w:color w:val="231F20"/>
          <w:spacing w:val="-6"/>
        </w:rPr>
        <w:t> </w:t>
      </w:r>
      <w:r>
        <w:rPr>
          <w:color w:val="231F20"/>
        </w:rPr>
        <w:t>пењалицама.</w:t>
      </w:r>
    </w:p>
    <w:p>
      <w:pPr>
        <w:pStyle w:val="BodyText"/>
        <w:spacing w:line="230" w:lineRule="auto"/>
        <w:ind w:left="171" w:right="410" w:firstLine="396"/>
      </w:pPr>
      <w:r>
        <w:rPr>
          <w:color w:val="231F20"/>
          <w:spacing w:val="-3"/>
        </w:rPr>
        <w:t>Предвидети </w:t>
      </w:r>
      <w:r>
        <w:rPr>
          <w:color w:val="231F20"/>
        </w:rPr>
        <w:t>уградњу </w:t>
      </w:r>
      <w:r>
        <w:rPr>
          <w:color w:val="231F20"/>
          <w:spacing w:val="-3"/>
        </w:rPr>
        <w:t>одговарајућих </w:t>
      </w:r>
      <w:r>
        <w:rPr>
          <w:color w:val="231F20"/>
          <w:spacing w:val="-4"/>
        </w:rPr>
        <w:t>затварача </w:t>
      </w:r>
      <w:r>
        <w:rPr>
          <w:color w:val="231F20"/>
          <w:spacing w:val="-5"/>
        </w:rPr>
        <w:t>како </w:t>
      </w:r>
      <w:r>
        <w:rPr>
          <w:color w:val="231F20"/>
        </w:rPr>
        <w:t>би се ускладио</w:t>
      </w:r>
      <w:r>
        <w:rPr>
          <w:color w:val="231F20"/>
          <w:spacing w:val="-6"/>
        </w:rPr>
        <w:t> </w:t>
      </w:r>
      <w:r>
        <w:rPr>
          <w:color w:val="231F20"/>
          <w:spacing w:val="-3"/>
        </w:rPr>
        <w:t>доток</w:t>
      </w:r>
      <w:r>
        <w:rPr>
          <w:color w:val="231F20"/>
          <w:spacing w:val="-6"/>
        </w:rPr>
        <w:t> </w:t>
      </w:r>
      <w:r>
        <w:rPr>
          <w:color w:val="231F20"/>
        </w:rPr>
        <w:t>дренажне</w:t>
      </w:r>
      <w:r>
        <w:rPr>
          <w:color w:val="231F20"/>
          <w:spacing w:val="-6"/>
        </w:rPr>
        <w:t> </w:t>
      </w:r>
      <w:r>
        <w:rPr>
          <w:color w:val="231F20"/>
          <w:spacing w:val="-4"/>
        </w:rPr>
        <w:t>воде</w:t>
      </w:r>
      <w:r>
        <w:rPr>
          <w:color w:val="231F20"/>
          <w:spacing w:val="-6"/>
        </w:rPr>
        <w:t> </w:t>
      </w:r>
      <w:r>
        <w:rPr>
          <w:color w:val="231F20"/>
        </w:rPr>
        <w:t>са</w:t>
      </w:r>
      <w:r>
        <w:rPr>
          <w:color w:val="231F20"/>
          <w:spacing w:val="-6"/>
        </w:rPr>
        <w:t> </w:t>
      </w:r>
      <w:r>
        <w:rPr>
          <w:color w:val="231F20"/>
          <w:spacing w:val="-3"/>
        </w:rPr>
        <w:t>капацитетом</w:t>
      </w:r>
      <w:r>
        <w:rPr>
          <w:color w:val="231F20"/>
          <w:spacing w:val="-6"/>
        </w:rPr>
        <w:t> </w:t>
      </w:r>
      <w:r>
        <w:rPr>
          <w:color w:val="231F20"/>
          <w:spacing w:val="-3"/>
        </w:rPr>
        <w:t>пумпи</w:t>
      </w:r>
      <w:r>
        <w:rPr>
          <w:color w:val="231F20"/>
          <w:spacing w:val="-6"/>
        </w:rPr>
        <w:t> </w:t>
      </w:r>
      <w:r>
        <w:rPr>
          <w:color w:val="231F20"/>
          <w:spacing w:val="-4"/>
        </w:rPr>
        <w:t>које</w:t>
      </w:r>
      <w:r>
        <w:rPr>
          <w:color w:val="231F20"/>
          <w:spacing w:val="-6"/>
        </w:rPr>
        <w:t> </w:t>
      </w:r>
      <w:r>
        <w:rPr>
          <w:color w:val="231F20"/>
          <w:spacing w:val="-3"/>
        </w:rPr>
        <w:t>су</w:t>
      </w:r>
      <w:r>
        <w:rPr>
          <w:color w:val="231F20"/>
          <w:spacing w:val="-6"/>
        </w:rPr>
        <w:t> </w:t>
      </w:r>
      <w:r>
        <w:rPr>
          <w:color w:val="231F20"/>
        </w:rPr>
        <w:t>у</w:t>
      </w:r>
      <w:r>
        <w:rPr>
          <w:color w:val="231F20"/>
          <w:spacing w:val="-6"/>
        </w:rPr>
        <w:t> раду.</w:t>
      </w:r>
    </w:p>
    <w:p>
      <w:pPr>
        <w:pStyle w:val="ListParagraph"/>
        <w:numPr>
          <w:ilvl w:val="2"/>
          <w:numId w:val="63"/>
        </w:numPr>
        <w:tabs>
          <w:tab w:pos="541" w:val="left" w:leader="none"/>
        </w:tabs>
        <w:spacing w:line="240" w:lineRule="auto" w:before="157" w:after="0"/>
        <w:ind w:left="540" w:right="0" w:hanging="315"/>
        <w:jc w:val="left"/>
        <w:rPr>
          <w:i/>
          <w:sz w:val="18"/>
        </w:rPr>
      </w:pPr>
      <w:r>
        <w:rPr>
          <w:i/>
          <w:color w:val="231F20"/>
          <w:sz w:val="18"/>
        </w:rPr>
        <w:t>Мере енергетске ефикасности и заштите животне</w:t>
      </w:r>
      <w:r>
        <w:rPr>
          <w:i/>
          <w:color w:val="231F20"/>
          <w:spacing w:val="-18"/>
          <w:sz w:val="18"/>
        </w:rPr>
        <w:t> </w:t>
      </w:r>
      <w:r>
        <w:rPr>
          <w:i/>
          <w:color w:val="231F20"/>
          <w:sz w:val="18"/>
        </w:rPr>
        <w:t>средине</w:t>
      </w:r>
    </w:p>
    <w:p>
      <w:pPr>
        <w:pStyle w:val="ListParagraph"/>
        <w:numPr>
          <w:ilvl w:val="3"/>
          <w:numId w:val="63"/>
        </w:numPr>
        <w:tabs>
          <w:tab w:pos="1839" w:val="left" w:leader="none"/>
        </w:tabs>
        <w:spacing w:line="240" w:lineRule="auto" w:before="162" w:after="0"/>
        <w:ind w:left="1838"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1"/>
        <w:ind w:left="0"/>
        <w:jc w:val="left"/>
        <w:rPr>
          <w:sz w:val="17"/>
        </w:rPr>
      </w:pPr>
    </w:p>
    <w:p>
      <w:pPr>
        <w:pStyle w:val="BodyText"/>
        <w:spacing w:line="230" w:lineRule="auto"/>
        <w:ind w:left="171" w:right="409" w:firstLine="396"/>
      </w:pPr>
      <w:r>
        <w:rPr>
          <w:color w:val="231F20"/>
        </w:rPr>
        <w:t>Енергетска ефикасност у делу система за осумпоравање са блокова ТЕ „Костолац Б” који је обухваћен овим правилима из- градње и уређења, спроводи се кроз мере и ЕЕ активности у окви- ру успостављања система енергетског менаџмента и минималних захтева енергетске ефикасности постројења, опреме и зграда у оквиру рударско-енергетског система ТЕ-КО.</w:t>
      </w:r>
    </w:p>
    <w:p>
      <w:pPr>
        <w:pStyle w:val="BodyText"/>
        <w:spacing w:line="230" w:lineRule="auto"/>
        <w:ind w:left="171" w:right="409" w:firstLine="397"/>
      </w:pPr>
      <w:r>
        <w:rPr>
          <w:color w:val="231F20"/>
        </w:rPr>
        <w:t>У циљу постизања енергетски ефикасног и економски и тех- нички оправданог решења транспорта и депоновања пепела и шљаке, неопходно је кроз следеће фазе техничке документације извршити додатне економско-техничке анализе с обзиром на ка- рактеристичне елементе трасе (дужина, вертикални и хоризонтал- ни преломи и слично).</w:t>
      </w:r>
    </w:p>
    <w:p>
      <w:pPr>
        <w:pStyle w:val="ListParagraph"/>
        <w:numPr>
          <w:ilvl w:val="3"/>
          <w:numId w:val="63"/>
        </w:numPr>
        <w:tabs>
          <w:tab w:pos="1714" w:val="left" w:leader="none"/>
        </w:tabs>
        <w:spacing w:line="240" w:lineRule="auto" w:before="161" w:after="0"/>
        <w:ind w:left="1713" w:right="0" w:hanging="45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5"/>
          <w:sz w:val="18"/>
        </w:rPr>
        <w:t> </w:t>
      </w:r>
      <w:r>
        <w:rPr>
          <w:color w:val="231F20"/>
          <w:spacing w:val="15"/>
          <w:sz w:val="18"/>
        </w:rPr>
        <w:t>средине</w:t>
      </w:r>
    </w:p>
    <w:p>
      <w:pPr>
        <w:pStyle w:val="BodyText"/>
        <w:spacing w:before="2"/>
        <w:ind w:left="0"/>
        <w:jc w:val="left"/>
        <w:rPr>
          <w:sz w:val="17"/>
        </w:rPr>
      </w:pPr>
    </w:p>
    <w:p>
      <w:pPr>
        <w:pStyle w:val="BodyText"/>
        <w:spacing w:line="230" w:lineRule="auto"/>
        <w:ind w:left="171" w:right="409" w:firstLine="396"/>
      </w:pPr>
      <w:r>
        <w:rPr>
          <w:color w:val="231F20"/>
        </w:rPr>
        <w:t>У циљу смањења штетног утицаја на све елементе животне средине у зони утицаја рударско-енергетског система, проценити могућности одлагања суве гипсане масе, уместо планираног одла- гања суспензије гипса.</w:t>
      </w:r>
    </w:p>
    <w:p>
      <w:pPr>
        <w:pStyle w:val="BodyText"/>
        <w:spacing w:line="230" w:lineRule="auto"/>
        <w:ind w:left="171" w:right="409" w:firstLine="396"/>
      </w:pPr>
      <w:r>
        <w:rPr>
          <w:color w:val="231F20"/>
        </w:rPr>
        <w:t>На</w:t>
      </w:r>
      <w:r>
        <w:rPr>
          <w:color w:val="231F20"/>
          <w:spacing w:val="-6"/>
        </w:rPr>
        <w:t> </w:t>
      </w:r>
      <w:r>
        <w:rPr>
          <w:color w:val="231F20"/>
        </w:rPr>
        <w:t>депонији</w:t>
      </w:r>
      <w:r>
        <w:rPr>
          <w:color w:val="231F20"/>
          <w:spacing w:val="-6"/>
        </w:rPr>
        <w:t> </w:t>
      </w:r>
      <w:r>
        <w:rPr>
          <w:color w:val="231F20"/>
        </w:rPr>
        <w:t>гипса,</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на</w:t>
      </w:r>
      <w:r>
        <w:rPr>
          <w:color w:val="231F20"/>
          <w:spacing w:val="-6"/>
        </w:rPr>
        <w:t> </w:t>
      </w:r>
      <w:r>
        <w:rPr>
          <w:color w:val="231F20"/>
        </w:rPr>
        <w:t>депонији</w:t>
      </w:r>
      <w:r>
        <w:rPr>
          <w:color w:val="231F20"/>
          <w:spacing w:val="-6"/>
        </w:rPr>
        <w:t> </w:t>
      </w:r>
      <w:r>
        <w:rPr>
          <w:color w:val="231F20"/>
        </w:rPr>
        <w:t>пепела</w:t>
      </w:r>
      <w:r>
        <w:rPr>
          <w:color w:val="231F20"/>
          <w:spacing w:val="-6"/>
        </w:rPr>
        <w:t> </w:t>
      </w:r>
      <w:r>
        <w:rPr>
          <w:color w:val="231F20"/>
        </w:rPr>
        <w:t>и</w:t>
      </w:r>
      <w:r>
        <w:rPr>
          <w:color w:val="231F20"/>
          <w:spacing w:val="-6"/>
        </w:rPr>
        <w:t> </w:t>
      </w:r>
      <w:r>
        <w:rPr>
          <w:color w:val="231F20"/>
        </w:rPr>
        <w:t>шљаке</w:t>
      </w:r>
      <w:r>
        <w:rPr>
          <w:color w:val="231F20"/>
          <w:spacing w:val="-6"/>
        </w:rPr>
        <w:t> </w:t>
      </w:r>
      <w:r>
        <w:rPr>
          <w:color w:val="231F20"/>
        </w:rPr>
        <w:t>у</w:t>
      </w:r>
      <w:r>
        <w:rPr>
          <w:color w:val="231F20"/>
          <w:spacing w:val="-6"/>
        </w:rPr>
        <w:t> </w:t>
      </w:r>
      <w:r>
        <w:rPr>
          <w:color w:val="231F20"/>
        </w:rPr>
        <w:t>окви- ру унутрашњег одлагалишта, обавезнo применити мере заштите подземних вода и земљишта ради спречавања продирања процед- них вода (адекватно </w:t>
      </w:r>
      <w:r>
        <w:rPr>
          <w:color w:val="231F20"/>
          <w:spacing w:val="-3"/>
        </w:rPr>
        <w:t>техничко </w:t>
      </w:r>
      <w:r>
        <w:rPr>
          <w:color w:val="231F20"/>
        </w:rPr>
        <w:t>опремање и облагање хидроизола- ционим</w:t>
      </w:r>
      <w:r>
        <w:rPr>
          <w:color w:val="231F20"/>
          <w:spacing w:val="-9"/>
        </w:rPr>
        <w:t> </w:t>
      </w:r>
      <w:r>
        <w:rPr>
          <w:color w:val="231F20"/>
        </w:rPr>
        <w:t>материјалом),</w:t>
      </w:r>
      <w:r>
        <w:rPr>
          <w:color w:val="231F20"/>
          <w:spacing w:val="-9"/>
        </w:rPr>
        <w:t> </w:t>
      </w:r>
      <w:r>
        <w:rPr>
          <w:color w:val="231F20"/>
        </w:rPr>
        <w:t>а</w:t>
      </w:r>
      <w:r>
        <w:rPr>
          <w:color w:val="231F20"/>
          <w:spacing w:val="-9"/>
        </w:rPr>
        <w:t> </w:t>
      </w:r>
      <w:r>
        <w:rPr>
          <w:color w:val="231F20"/>
        </w:rPr>
        <w:t>процедне</w:t>
      </w:r>
      <w:r>
        <w:rPr>
          <w:color w:val="231F20"/>
          <w:spacing w:val="-9"/>
        </w:rPr>
        <w:t> </w:t>
      </w:r>
      <w:r>
        <w:rPr>
          <w:color w:val="231F20"/>
        </w:rPr>
        <w:t>воде</w:t>
      </w:r>
      <w:r>
        <w:rPr>
          <w:color w:val="231F20"/>
          <w:spacing w:val="-9"/>
        </w:rPr>
        <w:t> </w:t>
      </w:r>
      <w:r>
        <w:rPr>
          <w:color w:val="231F20"/>
        </w:rPr>
        <w:t>са</w:t>
      </w:r>
      <w:r>
        <w:rPr>
          <w:color w:val="231F20"/>
          <w:spacing w:val="-9"/>
        </w:rPr>
        <w:t> </w:t>
      </w:r>
      <w:r>
        <w:rPr>
          <w:color w:val="231F20"/>
        </w:rPr>
        <w:t>депоније</w:t>
      </w:r>
      <w:r>
        <w:rPr>
          <w:color w:val="231F20"/>
          <w:spacing w:val="-9"/>
        </w:rPr>
        <w:t> </w:t>
      </w:r>
      <w:r>
        <w:rPr>
          <w:color w:val="231F20"/>
        </w:rPr>
        <w:t>суспензије</w:t>
      </w:r>
      <w:r>
        <w:rPr>
          <w:color w:val="231F20"/>
          <w:spacing w:val="-9"/>
        </w:rPr>
        <w:t> </w:t>
      </w:r>
      <w:r>
        <w:rPr>
          <w:color w:val="231F20"/>
        </w:rPr>
        <w:t>гип- са прикупљати и враћати у процес</w:t>
      </w:r>
      <w:r>
        <w:rPr>
          <w:color w:val="231F20"/>
          <w:spacing w:val="-9"/>
        </w:rPr>
        <w:t> </w:t>
      </w:r>
      <w:r>
        <w:rPr>
          <w:color w:val="231F20"/>
        </w:rPr>
        <w:t>одсумпоравања.</w:t>
      </w:r>
    </w:p>
    <w:p>
      <w:pPr>
        <w:pStyle w:val="BodyText"/>
        <w:spacing w:line="198" w:lineRule="exact"/>
        <w:ind w:left="568"/>
        <w:jc w:val="left"/>
      </w:pPr>
      <w:r>
        <w:rPr>
          <w:color w:val="231F20"/>
        </w:rPr>
        <w:t>Мере за заштиту ваздуха су:</w:t>
      </w:r>
    </w:p>
    <w:p>
      <w:pPr>
        <w:pStyle w:val="BodyText"/>
        <w:spacing w:line="232" w:lineRule="auto" w:before="1"/>
        <w:ind w:left="171" w:right="409" w:firstLine="396"/>
      </w:pPr>
      <w:r>
        <w:rPr>
          <w:color w:val="231F20"/>
          <w:w w:val="66"/>
        </w:rPr>
        <w:t> </w:t>
      </w:r>
      <w:r>
        <w:rPr>
          <w:color w:val="231F20"/>
        </w:rPr>
        <w:t>– у случају повишене емисије суспендованих честица током истовара и манипулације на складишту кречњака, изградити пре- кривено складиште или складиште оградити са три стране;</w:t>
      </w:r>
    </w:p>
    <w:p>
      <w:pPr>
        <w:spacing w:after="0" w:line="232" w:lineRule="auto"/>
        <w:sectPr>
          <w:pgSz w:w="12480" w:h="15690"/>
          <w:pgMar w:top="120" w:bottom="280" w:left="680" w:right="720"/>
          <w:cols w:num="2" w:equalWidth="0">
            <w:col w:w="5316" w:space="71"/>
            <w:col w:w="5693"/>
          </w:cols>
        </w:sectPr>
      </w:pPr>
    </w:p>
    <w:p>
      <w:pPr>
        <w:pStyle w:val="BodyText"/>
        <w:spacing w:line="232" w:lineRule="auto" w:before="73"/>
        <w:ind w:left="453" w:right="2" w:firstLine="396"/>
      </w:pPr>
      <w:r>
        <w:rPr/>
        <w:pict>
          <v:line style="position:absolute;mso-position-horizontal-relative:page;mso-position-vertical-relative:page;z-index:4528" from="318.897614pt,11.942451pt" to="318.897614pt,748.950451pt" stroked="true" strokeweight=".6pt" strokecolor="#231f20">
            <v:stroke dashstyle="solid"/>
            <w10:wrap type="none"/>
          </v:line>
        </w:pict>
      </w:r>
      <w:r>
        <w:rPr>
          <w:color w:val="231F20"/>
          <w:w w:val="66"/>
        </w:rPr>
        <w:t> </w:t>
      </w:r>
      <w:r>
        <w:rPr>
          <w:color w:val="231F20"/>
        </w:rPr>
        <w:t>– уколико је складиште кречњака отворено, у периодима без атмосферских падавина вршити аутоматско прскање складишта применом система спринклера у циљу редукције количине емито- ваних суспендованих честица;</w:t>
      </w:r>
    </w:p>
    <w:p>
      <w:pPr>
        <w:pStyle w:val="BodyText"/>
        <w:spacing w:line="232" w:lineRule="auto" w:before="2"/>
        <w:ind w:left="453" w:right="2" w:firstLine="397"/>
      </w:pPr>
      <w:r>
        <w:rPr>
          <w:color w:val="231F20"/>
          <w:w w:val="66"/>
        </w:rPr>
        <w:t> </w:t>
      </w:r>
      <w:r>
        <w:rPr>
          <w:color w:val="231F20"/>
        </w:rPr>
        <w:t>–</w:t>
      </w:r>
      <w:r>
        <w:rPr>
          <w:color w:val="231F20"/>
          <w:spacing w:val="-7"/>
        </w:rPr>
        <w:t> </w:t>
      </w:r>
      <w:r>
        <w:rPr>
          <w:color w:val="231F20"/>
        </w:rPr>
        <w:t>успоставити</w:t>
      </w:r>
      <w:r>
        <w:rPr>
          <w:color w:val="231F20"/>
          <w:spacing w:val="-7"/>
        </w:rPr>
        <w:t> </w:t>
      </w:r>
      <w:r>
        <w:rPr>
          <w:color w:val="231F20"/>
        </w:rPr>
        <w:t>простор</w:t>
      </w:r>
      <w:r>
        <w:rPr>
          <w:color w:val="231F20"/>
          <w:spacing w:val="-7"/>
        </w:rPr>
        <w:t> </w:t>
      </w:r>
      <w:r>
        <w:rPr>
          <w:color w:val="231F20"/>
        </w:rPr>
        <w:t>за</w:t>
      </w:r>
      <w:r>
        <w:rPr>
          <w:color w:val="231F20"/>
          <w:spacing w:val="-7"/>
        </w:rPr>
        <w:t> </w:t>
      </w:r>
      <w:r>
        <w:rPr>
          <w:color w:val="231F20"/>
        </w:rPr>
        <w:t>прање</w:t>
      </w:r>
      <w:r>
        <w:rPr>
          <w:color w:val="231F20"/>
          <w:spacing w:val="-7"/>
        </w:rPr>
        <w:t> </w:t>
      </w:r>
      <w:r>
        <w:rPr>
          <w:color w:val="231F20"/>
        </w:rPr>
        <w:t>камиона</w:t>
      </w:r>
      <w:r>
        <w:rPr>
          <w:color w:val="231F20"/>
          <w:spacing w:val="-7"/>
        </w:rPr>
        <w:t> </w:t>
      </w:r>
      <w:r>
        <w:rPr>
          <w:color w:val="231F20"/>
        </w:rPr>
        <w:t>(пралиште)</w:t>
      </w:r>
      <w:r>
        <w:rPr>
          <w:color w:val="231F20"/>
          <w:spacing w:val="-7"/>
        </w:rPr>
        <w:t> </w:t>
      </w:r>
      <w:r>
        <w:rPr>
          <w:color w:val="231F20"/>
          <w:spacing w:val="-3"/>
        </w:rPr>
        <w:t>који</w:t>
      </w:r>
      <w:r>
        <w:rPr>
          <w:color w:val="231F20"/>
          <w:spacing w:val="-7"/>
        </w:rPr>
        <w:t> </w:t>
      </w:r>
      <w:r>
        <w:rPr>
          <w:color w:val="231F20"/>
        </w:rPr>
        <w:t>на- </w:t>
      </w:r>
      <w:r>
        <w:rPr>
          <w:color w:val="231F20"/>
          <w:spacing w:val="-4"/>
        </w:rPr>
        <w:t>кон </w:t>
      </w:r>
      <w:r>
        <w:rPr>
          <w:color w:val="231F20"/>
        </w:rPr>
        <w:t>истовара кречњака напуштају локацију ТЕ-КО Б у циљу сма- њења разношења честица </w:t>
      </w:r>
      <w:r>
        <w:rPr>
          <w:color w:val="231F20"/>
          <w:spacing w:val="-3"/>
        </w:rPr>
        <w:t>приликом </w:t>
      </w:r>
      <w:r>
        <w:rPr>
          <w:color w:val="231F20"/>
        </w:rPr>
        <w:t>одласка са</w:t>
      </w:r>
      <w:r>
        <w:rPr>
          <w:color w:val="231F20"/>
          <w:spacing w:val="-4"/>
        </w:rPr>
        <w:t> </w:t>
      </w:r>
      <w:r>
        <w:rPr>
          <w:color w:val="231F20"/>
        </w:rPr>
        <w:t>локације;</w:t>
      </w:r>
    </w:p>
    <w:p>
      <w:pPr>
        <w:pStyle w:val="BodyText"/>
        <w:spacing w:line="232" w:lineRule="auto" w:before="2"/>
        <w:ind w:left="453" w:right="2" w:firstLine="396"/>
      </w:pPr>
      <w:r>
        <w:rPr>
          <w:color w:val="231F20"/>
          <w:w w:val="66"/>
        </w:rPr>
        <w:t> </w:t>
      </w:r>
      <w:r>
        <w:rPr>
          <w:color w:val="231F20"/>
        </w:rPr>
        <w:t>–</w:t>
      </w:r>
      <w:r>
        <w:rPr>
          <w:color w:val="231F20"/>
          <w:spacing w:val="-12"/>
        </w:rPr>
        <w:t> </w:t>
      </w:r>
      <w:r>
        <w:rPr>
          <w:color w:val="231F20"/>
          <w:spacing w:val="-3"/>
        </w:rPr>
        <w:t>дневни</w:t>
      </w:r>
      <w:r>
        <w:rPr>
          <w:color w:val="231F20"/>
          <w:spacing w:val="-12"/>
        </w:rPr>
        <w:t> </w:t>
      </w:r>
      <w:r>
        <w:rPr>
          <w:color w:val="231F20"/>
        </w:rPr>
        <w:t>силоси</w:t>
      </w:r>
      <w:r>
        <w:rPr>
          <w:color w:val="231F20"/>
          <w:spacing w:val="-12"/>
        </w:rPr>
        <w:t> </w:t>
      </w:r>
      <w:r>
        <w:rPr>
          <w:color w:val="231F20"/>
          <w:spacing w:val="-4"/>
        </w:rPr>
        <w:t>кречњака</w:t>
      </w:r>
      <w:r>
        <w:rPr>
          <w:color w:val="231F20"/>
          <w:spacing w:val="-12"/>
        </w:rPr>
        <w:t> </w:t>
      </w:r>
      <w:r>
        <w:rPr>
          <w:color w:val="231F20"/>
          <w:spacing w:val="-3"/>
        </w:rPr>
        <w:t>морају</w:t>
      </w:r>
      <w:r>
        <w:rPr>
          <w:color w:val="231F20"/>
          <w:spacing w:val="-12"/>
        </w:rPr>
        <w:t> </w:t>
      </w:r>
      <w:r>
        <w:rPr>
          <w:color w:val="231F20"/>
          <w:spacing w:val="-3"/>
        </w:rPr>
        <w:t>бити</w:t>
      </w:r>
      <w:r>
        <w:rPr>
          <w:color w:val="231F20"/>
          <w:spacing w:val="-12"/>
        </w:rPr>
        <w:t> </w:t>
      </w:r>
      <w:r>
        <w:rPr>
          <w:color w:val="231F20"/>
          <w:spacing w:val="-3"/>
        </w:rPr>
        <w:t>опремљени</w:t>
      </w:r>
      <w:r>
        <w:rPr>
          <w:color w:val="231F20"/>
          <w:spacing w:val="-12"/>
        </w:rPr>
        <w:t> </w:t>
      </w:r>
      <w:r>
        <w:rPr>
          <w:color w:val="231F20"/>
          <w:spacing w:val="-4"/>
        </w:rPr>
        <w:t>системом</w:t>
      </w:r>
      <w:r>
        <w:rPr>
          <w:color w:val="231F20"/>
          <w:spacing w:val="-12"/>
        </w:rPr>
        <w:t> </w:t>
      </w:r>
      <w:r>
        <w:rPr>
          <w:color w:val="231F20"/>
        </w:rPr>
        <w:t>за </w:t>
      </w:r>
      <w:r>
        <w:rPr>
          <w:color w:val="231F20"/>
          <w:spacing w:val="-4"/>
        </w:rPr>
        <w:t>отпрашивање </w:t>
      </w:r>
      <w:r>
        <w:rPr>
          <w:color w:val="231F20"/>
          <w:spacing w:val="-3"/>
        </w:rPr>
        <w:t>(филтри </w:t>
      </w:r>
      <w:r>
        <w:rPr>
          <w:color w:val="231F20"/>
        </w:rPr>
        <w:t>на </w:t>
      </w:r>
      <w:r>
        <w:rPr>
          <w:color w:val="231F20"/>
          <w:spacing w:val="-4"/>
        </w:rPr>
        <w:t>одушку) тако </w:t>
      </w:r>
      <w:r>
        <w:rPr>
          <w:color w:val="231F20"/>
        </w:rPr>
        <w:t>да </w:t>
      </w:r>
      <w:r>
        <w:rPr>
          <w:color w:val="231F20"/>
          <w:spacing w:val="-3"/>
        </w:rPr>
        <w:t>емисија </w:t>
      </w:r>
      <w:r>
        <w:rPr>
          <w:color w:val="231F20"/>
        </w:rPr>
        <w:t>и </w:t>
      </w:r>
      <w:r>
        <w:rPr>
          <w:color w:val="231F20"/>
          <w:spacing w:val="-3"/>
        </w:rPr>
        <w:t>имисија суспен- дованих честица </w:t>
      </w:r>
      <w:r>
        <w:rPr>
          <w:color w:val="231F20"/>
        </w:rPr>
        <w:t>не </w:t>
      </w:r>
      <w:r>
        <w:rPr>
          <w:color w:val="231F20"/>
          <w:spacing w:val="-3"/>
        </w:rPr>
        <w:t>прелазе </w:t>
      </w:r>
      <w:r>
        <w:rPr>
          <w:color w:val="231F20"/>
          <w:spacing w:val="-4"/>
        </w:rPr>
        <w:t>максималне </w:t>
      </w:r>
      <w:r>
        <w:rPr>
          <w:color w:val="231F20"/>
          <w:spacing w:val="-3"/>
        </w:rPr>
        <w:t>дозвољене вредности;</w:t>
      </w:r>
      <w:r>
        <w:rPr>
          <w:color w:val="231F20"/>
          <w:spacing w:val="-17"/>
        </w:rPr>
        <w:t> </w:t>
      </w:r>
      <w:r>
        <w:rPr>
          <w:color w:val="231F20"/>
        </w:rPr>
        <w:t>и</w:t>
      </w:r>
    </w:p>
    <w:p>
      <w:pPr>
        <w:pStyle w:val="BodyText"/>
        <w:spacing w:line="232" w:lineRule="auto" w:before="2"/>
        <w:ind w:left="454" w:right="1" w:firstLine="396"/>
      </w:pPr>
      <w:r>
        <w:rPr>
          <w:color w:val="231F20"/>
          <w:w w:val="66"/>
        </w:rPr>
        <w:t> </w:t>
      </w:r>
      <w:r>
        <w:rPr>
          <w:color w:val="231F20"/>
        </w:rPr>
        <w:t>–</w:t>
      </w:r>
      <w:r>
        <w:rPr>
          <w:color w:val="231F20"/>
          <w:spacing w:val="-8"/>
        </w:rPr>
        <w:t> </w:t>
      </w:r>
      <w:r>
        <w:rPr>
          <w:color w:val="231F20"/>
        </w:rPr>
        <w:t>у</w:t>
      </w:r>
      <w:r>
        <w:rPr>
          <w:color w:val="231F20"/>
          <w:spacing w:val="-8"/>
        </w:rPr>
        <w:t> </w:t>
      </w:r>
      <w:r>
        <w:rPr>
          <w:color w:val="231F20"/>
        </w:rPr>
        <w:t>сарадњи</w:t>
      </w:r>
      <w:r>
        <w:rPr>
          <w:color w:val="231F20"/>
          <w:spacing w:val="-8"/>
        </w:rPr>
        <w:t> </w:t>
      </w:r>
      <w:r>
        <w:rPr>
          <w:color w:val="231F20"/>
        </w:rPr>
        <w:t>са</w:t>
      </w:r>
      <w:r>
        <w:rPr>
          <w:color w:val="231F20"/>
          <w:spacing w:val="-8"/>
        </w:rPr>
        <w:t> </w:t>
      </w:r>
      <w:r>
        <w:rPr>
          <w:color w:val="231F20"/>
        </w:rPr>
        <w:t>надлежним</w:t>
      </w:r>
      <w:r>
        <w:rPr>
          <w:color w:val="231F20"/>
          <w:spacing w:val="-8"/>
        </w:rPr>
        <w:t> </w:t>
      </w:r>
      <w:r>
        <w:rPr>
          <w:color w:val="231F20"/>
        </w:rPr>
        <w:t>јавним</w:t>
      </w:r>
      <w:r>
        <w:rPr>
          <w:color w:val="231F20"/>
          <w:spacing w:val="-8"/>
        </w:rPr>
        <w:t> </w:t>
      </w:r>
      <w:r>
        <w:rPr>
          <w:color w:val="231F20"/>
        </w:rPr>
        <w:t>предузећима</w:t>
      </w:r>
      <w:r>
        <w:rPr>
          <w:color w:val="231F20"/>
          <w:spacing w:val="-8"/>
        </w:rPr>
        <w:t> </w:t>
      </w:r>
      <w:r>
        <w:rPr>
          <w:color w:val="231F20"/>
        </w:rPr>
        <w:t>за</w:t>
      </w:r>
      <w:r>
        <w:rPr>
          <w:color w:val="231F20"/>
          <w:spacing w:val="-8"/>
        </w:rPr>
        <w:t> </w:t>
      </w:r>
      <w:r>
        <w:rPr>
          <w:color w:val="231F20"/>
        </w:rPr>
        <w:t>одржавање путева обезбедити побољшање приступних путева (замена слоја асфалта, проширења, безбедоносне мере у насељеним местима) и њихово </w:t>
      </w:r>
      <w:r>
        <w:rPr>
          <w:color w:val="231F20"/>
          <w:spacing w:val="-4"/>
        </w:rPr>
        <w:t>будуће </w:t>
      </w:r>
      <w:r>
        <w:rPr>
          <w:color w:val="231F20"/>
        </w:rPr>
        <w:t>редовно</w:t>
      </w:r>
      <w:r>
        <w:rPr>
          <w:color w:val="231F20"/>
          <w:spacing w:val="0"/>
        </w:rPr>
        <w:t> </w:t>
      </w:r>
      <w:r>
        <w:rPr>
          <w:color w:val="231F20"/>
        </w:rPr>
        <w:t>одржавање.</w:t>
      </w:r>
    </w:p>
    <w:p>
      <w:pPr>
        <w:pStyle w:val="BodyText"/>
        <w:spacing w:line="202" w:lineRule="exact"/>
        <w:ind w:left="852"/>
        <w:jc w:val="left"/>
      </w:pPr>
      <w:r>
        <w:rPr>
          <w:color w:val="231F20"/>
        </w:rPr>
        <w:t>Мере за управљање отпадним водама су:</w:t>
      </w:r>
    </w:p>
    <w:p>
      <w:pPr>
        <w:pStyle w:val="BodyText"/>
        <w:spacing w:line="232" w:lineRule="auto" w:before="2"/>
        <w:ind w:left="455" w:firstLine="396"/>
      </w:pPr>
      <w:r>
        <w:rPr>
          <w:color w:val="231F20"/>
          <w:w w:val="66"/>
        </w:rPr>
        <w:t> </w:t>
      </w:r>
      <w:r>
        <w:rPr>
          <w:color w:val="231F20"/>
        </w:rPr>
        <w:t>– дробљени кречњак складиштити на асфалтираној површи- ни</w:t>
      </w:r>
      <w:r>
        <w:rPr>
          <w:color w:val="231F20"/>
          <w:spacing w:val="-5"/>
        </w:rPr>
        <w:t> </w:t>
      </w:r>
      <w:r>
        <w:rPr>
          <w:color w:val="231F20"/>
        </w:rPr>
        <w:t>са</w:t>
      </w:r>
      <w:r>
        <w:rPr>
          <w:color w:val="231F20"/>
          <w:spacing w:val="-5"/>
        </w:rPr>
        <w:t> </w:t>
      </w:r>
      <w:r>
        <w:rPr>
          <w:color w:val="231F20"/>
        </w:rPr>
        <w:t>нагибом,</w:t>
      </w:r>
      <w:r>
        <w:rPr>
          <w:color w:val="231F20"/>
          <w:spacing w:val="-5"/>
        </w:rPr>
        <w:t> </w:t>
      </w:r>
      <w:r>
        <w:rPr>
          <w:color w:val="231F20"/>
        </w:rPr>
        <w:t>са</w:t>
      </w:r>
      <w:r>
        <w:rPr>
          <w:color w:val="231F20"/>
          <w:spacing w:val="-5"/>
        </w:rPr>
        <w:t> </w:t>
      </w:r>
      <w:r>
        <w:rPr>
          <w:color w:val="231F20"/>
          <w:spacing w:val="-3"/>
        </w:rPr>
        <w:t>које</w:t>
      </w:r>
      <w:r>
        <w:rPr>
          <w:color w:val="231F20"/>
          <w:spacing w:val="-5"/>
        </w:rPr>
        <w:t> </w:t>
      </w:r>
      <w:r>
        <w:rPr>
          <w:color w:val="231F20"/>
        </w:rPr>
        <w:t>се</w:t>
      </w:r>
      <w:r>
        <w:rPr>
          <w:color w:val="231F20"/>
          <w:spacing w:val="-5"/>
        </w:rPr>
        <w:t> </w:t>
      </w:r>
      <w:r>
        <w:rPr>
          <w:color w:val="231F20"/>
        </w:rPr>
        <w:t>контролисано</w:t>
      </w:r>
      <w:r>
        <w:rPr>
          <w:color w:val="231F20"/>
          <w:spacing w:val="-5"/>
        </w:rPr>
        <w:t> </w:t>
      </w:r>
      <w:r>
        <w:rPr>
          <w:color w:val="231F20"/>
        </w:rPr>
        <w:t>прикупљају</w:t>
      </w:r>
      <w:r>
        <w:rPr>
          <w:color w:val="231F20"/>
          <w:spacing w:val="-5"/>
        </w:rPr>
        <w:t> </w:t>
      </w:r>
      <w:r>
        <w:rPr>
          <w:color w:val="231F20"/>
        </w:rPr>
        <w:t>настале</w:t>
      </w:r>
      <w:r>
        <w:rPr>
          <w:color w:val="231F20"/>
          <w:spacing w:val="-5"/>
        </w:rPr>
        <w:t> </w:t>
      </w:r>
      <w:r>
        <w:rPr>
          <w:color w:val="231F20"/>
        </w:rPr>
        <w:t>атмос- ферске</w:t>
      </w:r>
      <w:r>
        <w:rPr>
          <w:color w:val="231F20"/>
          <w:spacing w:val="-1"/>
        </w:rPr>
        <w:t> </w:t>
      </w:r>
      <w:r>
        <w:rPr>
          <w:color w:val="231F20"/>
        </w:rPr>
        <w:t>воде;</w:t>
      </w:r>
    </w:p>
    <w:p>
      <w:pPr>
        <w:pStyle w:val="BodyText"/>
        <w:spacing w:line="232" w:lineRule="auto" w:before="2"/>
        <w:ind w:left="455" w:firstLine="396"/>
      </w:pPr>
      <w:r>
        <w:rPr>
          <w:color w:val="231F20"/>
          <w:w w:val="66"/>
        </w:rPr>
        <w:t> </w:t>
      </w:r>
      <w:r>
        <w:rPr>
          <w:color w:val="231F20"/>
        </w:rPr>
        <w:t>– обезбедити примарни третман атмосферских вода (седи- ментацију) са складишта кречњака с обзиром на то да оне имају висок садржај суспендованих материја; </w:t>
      </w:r>
      <w:r>
        <w:rPr>
          <w:color w:val="231F20"/>
          <w:spacing w:val="-3"/>
        </w:rPr>
        <w:t>након </w:t>
      </w:r>
      <w:r>
        <w:rPr>
          <w:color w:val="231F20"/>
        </w:rPr>
        <w:t>седиментације ат- мосферске</w:t>
      </w:r>
      <w:r>
        <w:rPr>
          <w:color w:val="231F20"/>
          <w:spacing w:val="-5"/>
        </w:rPr>
        <w:t> </w:t>
      </w:r>
      <w:r>
        <w:rPr>
          <w:color w:val="231F20"/>
        </w:rPr>
        <w:t>отпадне</w:t>
      </w:r>
      <w:r>
        <w:rPr>
          <w:color w:val="231F20"/>
          <w:spacing w:val="-5"/>
        </w:rPr>
        <w:t> </w:t>
      </w:r>
      <w:r>
        <w:rPr>
          <w:color w:val="231F20"/>
        </w:rPr>
        <w:t>воде</w:t>
      </w:r>
      <w:r>
        <w:rPr>
          <w:color w:val="231F20"/>
          <w:spacing w:val="-5"/>
        </w:rPr>
        <w:t> </w:t>
      </w:r>
      <w:r>
        <w:rPr>
          <w:color w:val="231F20"/>
        </w:rPr>
        <w:t>се</w:t>
      </w:r>
      <w:r>
        <w:rPr>
          <w:color w:val="231F20"/>
          <w:spacing w:val="-5"/>
        </w:rPr>
        <w:t> </w:t>
      </w:r>
      <w:r>
        <w:rPr>
          <w:color w:val="231F20"/>
        </w:rPr>
        <w:t>могу</w:t>
      </w:r>
      <w:r>
        <w:rPr>
          <w:color w:val="231F20"/>
          <w:spacing w:val="-5"/>
        </w:rPr>
        <w:t> </w:t>
      </w:r>
      <w:r>
        <w:rPr>
          <w:color w:val="231F20"/>
          <w:spacing w:val="-3"/>
        </w:rPr>
        <w:t>коначно</w:t>
      </w:r>
      <w:r>
        <w:rPr>
          <w:color w:val="231F20"/>
          <w:spacing w:val="-5"/>
        </w:rPr>
        <w:t> </w:t>
      </w:r>
      <w:r>
        <w:rPr>
          <w:color w:val="231F20"/>
        </w:rPr>
        <w:t>упустити</w:t>
      </w:r>
      <w:r>
        <w:rPr>
          <w:color w:val="231F20"/>
          <w:spacing w:val="-5"/>
        </w:rPr>
        <w:t> </w:t>
      </w:r>
      <w:r>
        <w:rPr>
          <w:color w:val="231F20"/>
        </w:rPr>
        <w:t>у</w:t>
      </w:r>
      <w:r>
        <w:rPr>
          <w:color w:val="231F20"/>
          <w:spacing w:val="-5"/>
        </w:rPr>
        <w:t> </w:t>
      </w:r>
      <w:r>
        <w:rPr>
          <w:color w:val="231F20"/>
        </w:rPr>
        <w:t>реципијент;</w:t>
      </w:r>
      <w:r>
        <w:rPr>
          <w:color w:val="231F20"/>
          <w:spacing w:val="-5"/>
        </w:rPr>
        <w:t> </w:t>
      </w:r>
      <w:r>
        <w:rPr>
          <w:color w:val="231F20"/>
        </w:rPr>
        <w:t>и</w:t>
      </w:r>
    </w:p>
    <w:p>
      <w:pPr>
        <w:pStyle w:val="BodyText"/>
        <w:spacing w:line="232" w:lineRule="auto" w:before="3"/>
        <w:ind w:left="456" w:right="1" w:firstLine="396"/>
      </w:pPr>
      <w:r>
        <w:rPr>
          <w:color w:val="231F20"/>
          <w:w w:val="66"/>
        </w:rPr>
        <w:t> </w:t>
      </w:r>
      <w:r>
        <w:rPr>
          <w:color w:val="231F20"/>
        </w:rPr>
        <w:t>–</w:t>
      </w:r>
      <w:r>
        <w:rPr>
          <w:color w:val="231F20"/>
          <w:spacing w:val="-10"/>
        </w:rPr>
        <w:t> </w:t>
      </w:r>
      <w:r>
        <w:rPr>
          <w:color w:val="231F20"/>
        </w:rPr>
        <w:t>на</w:t>
      </w:r>
      <w:r>
        <w:rPr>
          <w:color w:val="231F20"/>
          <w:spacing w:val="-10"/>
        </w:rPr>
        <w:t> </w:t>
      </w:r>
      <w:r>
        <w:rPr>
          <w:color w:val="231F20"/>
        </w:rPr>
        <w:t>цевоводу</w:t>
      </w:r>
      <w:r>
        <w:rPr>
          <w:color w:val="231F20"/>
          <w:spacing w:val="-10"/>
        </w:rPr>
        <w:t> </w:t>
      </w:r>
      <w:r>
        <w:rPr>
          <w:color w:val="231F20"/>
        </w:rPr>
        <w:t>иза</w:t>
      </w:r>
      <w:r>
        <w:rPr>
          <w:color w:val="231F20"/>
          <w:spacing w:val="-10"/>
        </w:rPr>
        <w:t> </w:t>
      </w:r>
      <w:r>
        <w:rPr>
          <w:color w:val="231F20"/>
        </w:rPr>
        <w:t>постројења</w:t>
      </w:r>
      <w:r>
        <w:rPr>
          <w:color w:val="231F20"/>
          <w:spacing w:val="-10"/>
        </w:rPr>
        <w:t> </w:t>
      </w:r>
      <w:r>
        <w:rPr>
          <w:color w:val="231F20"/>
        </w:rPr>
        <w:t>за</w:t>
      </w:r>
      <w:r>
        <w:rPr>
          <w:color w:val="231F20"/>
          <w:spacing w:val="-10"/>
        </w:rPr>
        <w:t> </w:t>
      </w:r>
      <w:r>
        <w:rPr>
          <w:color w:val="231F20"/>
        </w:rPr>
        <w:t>третман</w:t>
      </w:r>
      <w:r>
        <w:rPr>
          <w:color w:val="231F20"/>
          <w:spacing w:val="-10"/>
        </w:rPr>
        <w:t> </w:t>
      </w:r>
      <w:r>
        <w:rPr>
          <w:color w:val="231F20"/>
        </w:rPr>
        <w:t>отпадних</w:t>
      </w:r>
      <w:r>
        <w:rPr>
          <w:color w:val="231F20"/>
          <w:spacing w:val="-10"/>
        </w:rPr>
        <w:t> </w:t>
      </w:r>
      <w:r>
        <w:rPr>
          <w:color w:val="231F20"/>
        </w:rPr>
        <w:t>вода</w:t>
      </w:r>
      <w:r>
        <w:rPr>
          <w:color w:val="231F20"/>
          <w:spacing w:val="-10"/>
        </w:rPr>
        <w:t> </w:t>
      </w:r>
      <w:r>
        <w:rPr>
          <w:color w:val="231F20"/>
        </w:rPr>
        <w:t>пред- видети уградњу мерача протока отпадних вода </w:t>
      </w:r>
      <w:r>
        <w:rPr>
          <w:color w:val="231F20"/>
          <w:spacing w:val="-3"/>
        </w:rPr>
        <w:t>које </w:t>
      </w:r>
      <w:r>
        <w:rPr>
          <w:color w:val="231F20"/>
        </w:rPr>
        <w:t>се испуштају у</w:t>
      </w:r>
      <w:r>
        <w:rPr>
          <w:color w:val="231F20"/>
          <w:spacing w:val="-1"/>
        </w:rPr>
        <w:t> </w:t>
      </w:r>
      <w:r>
        <w:rPr>
          <w:color w:val="231F20"/>
        </w:rPr>
        <w:t>реципијент.</w:t>
      </w:r>
    </w:p>
    <w:p>
      <w:pPr>
        <w:pStyle w:val="ListParagraph"/>
        <w:numPr>
          <w:ilvl w:val="2"/>
          <w:numId w:val="63"/>
        </w:numPr>
        <w:tabs>
          <w:tab w:pos="1414" w:val="left" w:leader="none"/>
        </w:tabs>
        <w:spacing w:line="240" w:lineRule="auto" w:before="167" w:after="0"/>
        <w:ind w:left="1413" w:right="0" w:hanging="315"/>
        <w:jc w:val="left"/>
        <w:rPr>
          <w:i/>
          <w:sz w:val="18"/>
        </w:rPr>
      </w:pPr>
      <w:r>
        <w:rPr>
          <w:i/>
          <w:color w:val="231F20"/>
          <w:sz w:val="18"/>
        </w:rPr>
        <w:t>Смернице за спровођење планског</w:t>
      </w:r>
      <w:r>
        <w:rPr>
          <w:i/>
          <w:color w:val="231F20"/>
          <w:spacing w:val="-4"/>
          <w:sz w:val="18"/>
        </w:rPr>
        <w:t> </w:t>
      </w:r>
      <w:r>
        <w:rPr>
          <w:i/>
          <w:color w:val="231F20"/>
          <w:sz w:val="18"/>
        </w:rPr>
        <w:t>документа</w:t>
      </w:r>
    </w:p>
    <w:p>
      <w:pPr>
        <w:pStyle w:val="BodyText"/>
        <w:spacing w:before="5"/>
        <w:ind w:left="0"/>
        <w:jc w:val="left"/>
        <w:rPr>
          <w:i/>
          <w:sz w:val="17"/>
        </w:rPr>
      </w:pPr>
    </w:p>
    <w:p>
      <w:pPr>
        <w:pStyle w:val="BodyText"/>
        <w:spacing w:line="232" w:lineRule="auto" w:before="1"/>
        <w:ind w:left="456" w:right="1" w:firstLine="397"/>
      </w:pPr>
      <w:r>
        <w:rPr>
          <w:color w:val="231F20"/>
          <w:spacing w:val="-3"/>
        </w:rPr>
        <w:t>Приликом </w:t>
      </w:r>
      <w:r>
        <w:rPr>
          <w:color w:val="231F20"/>
        </w:rPr>
        <w:t>подношења захтева за локацијску дозволу за из- градњу у коридору планираном на грађевинском </w:t>
      </w:r>
      <w:r>
        <w:rPr>
          <w:color w:val="231F20"/>
          <w:spacing w:val="-3"/>
        </w:rPr>
        <w:t>земљишту, </w:t>
      </w:r>
      <w:r>
        <w:rPr>
          <w:color w:val="231F20"/>
        </w:rPr>
        <w:t>у складу са односним правилником, захтев допунити</w:t>
      </w:r>
      <w:r>
        <w:rPr>
          <w:color w:val="231F20"/>
          <w:spacing w:val="-30"/>
        </w:rPr>
        <w:t> </w:t>
      </w:r>
      <w:r>
        <w:rPr>
          <w:color w:val="231F20"/>
        </w:rPr>
        <w:t>одговарајућим приказима елемената трасе и техничких решења, ради образложе- ња у случају мањих одступања </w:t>
      </w:r>
      <w:r>
        <w:rPr>
          <w:color w:val="231F20"/>
          <w:spacing w:val="-3"/>
        </w:rPr>
        <w:t>од </w:t>
      </w:r>
      <w:r>
        <w:rPr>
          <w:color w:val="231F20"/>
        </w:rPr>
        <w:t>утврђених правила уређења и изградње. У случају већих оправданих одступања, промене се мо- рају спровести као мање измене Просторног</w:t>
      </w:r>
      <w:r>
        <w:rPr>
          <w:color w:val="231F20"/>
          <w:spacing w:val="-7"/>
        </w:rPr>
        <w:t> </w:t>
      </w:r>
      <w:r>
        <w:rPr>
          <w:color w:val="231F20"/>
        </w:rPr>
        <w:t>плана.</w:t>
      </w:r>
    </w:p>
    <w:p>
      <w:pPr>
        <w:pStyle w:val="BodyText"/>
        <w:spacing w:line="232" w:lineRule="auto" w:before="4"/>
        <w:ind w:left="456" w:right="1" w:firstLine="397"/>
      </w:pPr>
      <w:r>
        <w:rPr>
          <w:color w:val="231F20"/>
        </w:rPr>
        <w:t>Ради усаглашавања техничке документације са одговарају- ћим рударским пројектима у оквиру Комплекса ПК „Дрмно” при- бављају се услови носиоца права експлоатације. Обавезно се при- бавља информација о локацији, која садржи и одговарајући извод из Просторног плана у складу са Законом о рударству.</w:t>
      </w:r>
    </w:p>
    <w:p>
      <w:pPr>
        <w:pStyle w:val="BodyText"/>
        <w:spacing w:line="232" w:lineRule="auto" w:before="3"/>
        <w:ind w:left="457" w:firstLine="396"/>
      </w:pPr>
      <w:r>
        <w:rPr>
          <w:color w:val="231F20"/>
        </w:rPr>
        <w:t>На детаљне листове кастарског плана уноси се изграђени коридор цевовода за хидраулички транспорт гипса утврђен пре- ма овим правилима уређења, а на основу пројекта парцелације   са пројектом геодетског обележавања његови елементи преносе и обележавају на</w:t>
      </w:r>
      <w:r>
        <w:rPr>
          <w:color w:val="231F20"/>
          <w:spacing w:val="-2"/>
        </w:rPr>
        <w:t> </w:t>
      </w:r>
      <w:r>
        <w:rPr>
          <w:color w:val="231F20"/>
          <w:spacing w:val="-3"/>
        </w:rPr>
        <w:t>терену.</w:t>
      </w:r>
    </w:p>
    <w:p>
      <w:pPr>
        <w:pStyle w:val="BodyText"/>
        <w:spacing w:line="232" w:lineRule="auto" w:before="4"/>
        <w:ind w:left="457" w:firstLine="396"/>
      </w:pPr>
      <w:r>
        <w:rPr>
          <w:color w:val="231F20"/>
        </w:rPr>
        <w:t>Пре почетка израде следеће фазе техничке документације, потребно је поново проценити могућности одлагања суве гипсане масе,</w:t>
      </w:r>
      <w:r>
        <w:rPr>
          <w:color w:val="231F20"/>
          <w:spacing w:val="-8"/>
        </w:rPr>
        <w:t> </w:t>
      </w:r>
      <w:r>
        <w:rPr>
          <w:color w:val="231F20"/>
        </w:rPr>
        <w:t>уместо</w:t>
      </w:r>
      <w:r>
        <w:rPr>
          <w:color w:val="231F20"/>
          <w:spacing w:val="-8"/>
        </w:rPr>
        <w:t> </w:t>
      </w:r>
      <w:r>
        <w:rPr>
          <w:color w:val="231F20"/>
        </w:rPr>
        <w:t>планираног</w:t>
      </w:r>
      <w:r>
        <w:rPr>
          <w:color w:val="231F20"/>
          <w:spacing w:val="-9"/>
        </w:rPr>
        <w:t> </w:t>
      </w:r>
      <w:r>
        <w:rPr>
          <w:color w:val="231F20"/>
        </w:rPr>
        <w:t>одлагања</w:t>
      </w:r>
      <w:r>
        <w:rPr>
          <w:color w:val="231F20"/>
          <w:spacing w:val="-9"/>
        </w:rPr>
        <w:t> </w:t>
      </w:r>
      <w:r>
        <w:rPr>
          <w:color w:val="231F20"/>
        </w:rPr>
        <w:t>суспензије</w:t>
      </w:r>
      <w:r>
        <w:rPr>
          <w:color w:val="231F20"/>
          <w:spacing w:val="-9"/>
        </w:rPr>
        <w:t> </w:t>
      </w:r>
      <w:r>
        <w:rPr>
          <w:color w:val="231F20"/>
        </w:rPr>
        <w:t>гипса,</w:t>
      </w:r>
      <w:r>
        <w:rPr>
          <w:color w:val="231F20"/>
          <w:spacing w:val="-8"/>
        </w:rPr>
        <w:t> </w:t>
      </w:r>
      <w:r>
        <w:rPr>
          <w:color w:val="231F20"/>
        </w:rPr>
        <w:t>у</w:t>
      </w:r>
      <w:r>
        <w:rPr>
          <w:color w:val="231F20"/>
          <w:spacing w:val="-8"/>
        </w:rPr>
        <w:t> </w:t>
      </w:r>
      <w:r>
        <w:rPr>
          <w:color w:val="231F20"/>
        </w:rPr>
        <w:t>простор</w:t>
      </w:r>
      <w:r>
        <w:rPr>
          <w:color w:val="231F20"/>
          <w:spacing w:val="-8"/>
        </w:rPr>
        <w:t> </w:t>
      </w:r>
      <w:r>
        <w:rPr>
          <w:color w:val="231F20"/>
        </w:rPr>
        <w:t>по- вршинског </w:t>
      </w:r>
      <w:r>
        <w:rPr>
          <w:color w:val="231F20"/>
          <w:spacing w:val="-3"/>
        </w:rPr>
        <w:t>копа </w:t>
      </w:r>
      <w:r>
        <w:rPr>
          <w:color w:val="231F20"/>
        </w:rPr>
        <w:t>или у посебан силос у оквиру</w:t>
      </w:r>
      <w:r>
        <w:rPr>
          <w:color w:val="231F20"/>
          <w:spacing w:val="-5"/>
        </w:rPr>
        <w:t> </w:t>
      </w:r>
      <w:r>
        <w:rPr>
          <w:color w:val="231F20"/>
        </w:rPr>
        <w:t>електране.</w:t>
      </w:r>
    </w:p>
    <w:p>
      <w:pPr>
        <w:pStyle w:val="BodyText"/>
        <w:spacing w:line="232" w:lineRule="auto" w:before="2"/>
        <w:ind w:left="457" w:firstLine="396"/>
      </w:pPr>
      <w:r>
        <w:rPr>
          <w:color w:val="231F20"/>
        </w:rPr>
        <w:t>У случају одлагања суве гипсане масе, целокупна суспензија гипса произведена у апсорберу водила би се у процес двостепе- ног угушћења, чиме би се добила сува гипсана масе са 10% влаге. Анализа наведене опције одлагања гипса морала би да </w:t>
      </w:r>
      <w:r>
        <w:rPr>
          <w:color w:val="231F20"/>
          <w:spacing w:val="-3"/>
        </w:rPr>
        <w:t>обухвати </w:t>
      </w:r>
      <w:r>
        <w:rPr>
          <w:color w:val="231F20"/>
        </w:rPr>
        <w:t>не само сам процес производње гипсане масе и машинске и гра- ђевинске аспекте таквог решења, већ и значајне геолошке аспекте одлагања гипса у простор површинског </w:t>
      </w:r>
      <w:r>
        <w:rPr>
          <w:color w:val="231F20"/>
          <w:spacing w:val="-3"/>
        </w:rPr>
        <w:t>копа. </w:t>
      </w:r>
      <w:r>
        <w:rPr>
          <w:color w:val="231F20"/>
        </w:rPr>
        <w:t>На овакву процену ће у великој мери утицати тренутни и </w:t>
      </w:r>
      <w:r>
        <w:rPr>
          <w:color w:val="231F20"/>
          <w:spacing w:val="-4"/>
        </w:rPr>
        <w:t>будући </w:t>
      </w:r>
      <w:r>
        <w:rPr>
          <w:color w:val="231F20"/>
        </w:rPr>
        <w:t>трендови потражње за </w:t>
      </w:r>
      <w:r>
        <w:rPr>
          <w:color w:val="231F20"/>
          <w:spacing w:val="-4"/>
        </w:rPr>
        <w:t>ОДГ </w:t>
      </w:r>
      <w:r>
        <w:rPr>
          <w:color w:val="231F20"/>
        </w:rPr>
        <w:t>гипсом на </w:t>
      </w:r>
      <w:r>
        <w:rPr>
          <w:color w:val="231F20"/>
          <w:spacing w:val="-3"/>
        </w:rPr>
        <w:t>српском</w:t>
      </w:r>
      <w:r>
        <w:rPr>
          <w:color w:val="231F20"/>
          <w:spacing w:val="0"/>
        </w:rPr>
        <w:t> </w:t>
      </w:r>
      <w:r>
        <w:rPr>
          <w:color w:val="231F20"/>
          <w:spacing w:val="-3"/>
        </w:rPr>
        <w:t>тржишту.</w:t>
      </w:r>
    </w:p>
    <w:p>
      <w:pPr>
        <w:pStyle w:val="BodyText"/>
        <w:spacing w:line="232" w:lineRule="auto" w:before="6"/>
        <w:ind w:left="457" w:firstLine="396"/>
      </w:pPr>
      <w:r>
        <w:rPr>
          <w:color w:val="231F20"/>
        </w:rPr>
        <w:t>Потребно је израдити програм биолошке рекултивације на депонији гипса у циљу заштите површине одлагалишта </w:t>
      </w:r>
      <w:r>
        <w:rPr>
          <w:color w:val="231F20"/>
          <w:spacing w:val="-3"/>
        </w:rPr>
        <w:t>од </w:t>
      </w:r>
      <w:r>
        <w:rPr>
          <w:color w:val="231F20"/>
        </w:rPr>
        <w:t>ерози- је ветром. Потребно је такође, извршити инсталацију мреже осма- трачких</w:t>
      </w:r>
      <w:r>
        <w:rPr>
          <w:color w:val="231F20"/>
          <w:spacing w:val="-8"/>
        </w:rPr>
        <w:t> </w:t>
      </w:r>
      <w:r>
        <w:rPr>
          <w:color w:val="231F20"/>
        </w:rPr>
        <w:t>бунара</w:t>
      </w:r>
      <w:r>
        <w:rPr>
          <w:color w:val="231F20"/>
          <w:spacing w:val="-8"/>
        </w:rPr>
        <w:t> </w:t>
      </w:r>
      <w:r>
        <w:rPr>
          <w:color w:val="231F20"/>
        </w:rPr>
        <w:t>(8</w:t>
      </w:r>
      <w:r>
        <w:rPr>
          <w:color w:val="231F20"/>
          <w:spacing w:val="18"/>
        </w:rPr>
        <w:t> </w:t>
      </w:r>
      <w:r>
        <w:rPr>
          <w:color w:val="231F20"/>
        </w:rPr>
        <w:t>–</w:t>
      </w:r>
      <w:r>
        <w:rPr>
          <w:color w:val="231F20"/>
          <w:spacing w:val="-8"/>
        </w:rPr>
        <w:t> </w:t>
      </w:r>
      <w:r>
        <w:rPr>
          <w:color w:val="231F20"/>
        </w:rPr>
        <w:t>10)</w:t>
      </w:r>
      <w:r>
        <w:rPr>
          <w:color w:val="231F20"/>
          <w:spacing w:val="-8"/>
        </w:rPr>
        <w:t> </w:t>
      </w:r>
      <w:r>
        <w:rPr>
          <w:color w:val="231F20"/>
        </w:rPr>
        <w:t>лоцираних</w:t>
      </w:r>
      <w:r>
        <w:rPr>
          <w:color w:val="231F20"/>
          <w:spacing w:val="-8"/>
        </w:rPr>
        <w:t> </w:t>
      </w:r>
      <w:r>
        <w:rPr>
          <w:color w:val="231F20"/>
        </w:rPr>
        <w:t>у</w:t>
      </w:r>
      <w:r>
        <w:rPr>
          <w:color w:val="231F20"/>
          <w:spacing w:val="-8"/>
        </w:rPr>
        <w:t> </w:t>
      </w:r>
      <w:r>
        <w:rPr>
          <w:color w:val="231F20"/>
        </w:rPr>
        <w:t>зони</w:t>
      </w:r>
      <w:r>
        <w:rPr>
          <w:color w:val="231F20"/>
          <w:spacing w:val="-8"/>
        </w:rPr>
        <w:t> </w:t>
      </w:r>
      <w:r>
        <w:rPr>
          <w:color w:val="231F20"/>
        </w:rPr>
        <w:t>одлагалишта</w:t>
      </w:r>
      <w:r>
        <w:rPr>
          <w:color w:val="231F20"/>
          <w:spacing w:val="-8"/>
        </w:rPr>
        <w:t> </w:t>
      </w:r>
      <w:r>
        <w:rPr>
          <w:color w:val="231F20"/>
        </w:rPr>
        <w:t>гипса,</w:t>
      </w:r>
      <w:r>
        <w:rPr>
          <w:color w:val="231F20"/>
          <w:spacing w:val="-8"/>
        </w:rPr>
        <w:t> </w:t>
      </w:r>
      <w:r>
        <w:rPr>
          <w:color w:val="231F20"/>
          <w:spacing w:val="-3"/>
        </w:rPr>
        <w:t>тако </w:t>
      </w:r>
      <w:r>
        <w:rPr>
          <w:color w:val="231F20"/>
        </w:rPr>
        <w:t>да захватају изданске воде и у условима обарања нивоа у циљу одводњавања </w:t>
      </w:r>
      <w:r>
        <w:rPr>
          <w:color w:val="231F20"/>
          <w:spacing w:val="-3"/>
        </w:rPr>
        <w:t>копа, </w:t>
      </w:r>
      <w:r>
        <w:rPr>
          <w:color w:val="231F20"/>
        </w:rPr>
        <w:t>као и узорковање и анализу циљаних квали- тативних параметара на мрежи осматрачких бунара у складу са Програмoм праћења утицаја на животну</w:t>
      </w:r>
      <w:r>
        <w:rPr>
          <w:color w:val="231F20"/>
          <w:spacing w:val="-7"/>
        </w:rPr>
        <w:t> </w:t>
      </w:r>
      <w:r>
        <w:rPr>
          <w:color w:val="231F20"/>
          <w:spacing w:val="-3"/>
        </w:rPr>
        <w:t>средину.</w:t>
      </w:r>
    </w:p>
    <w:p>
      <w:pPr>
        <w:pStyle w:val="Heading1"/>
        <w:numPr>
          <w:ilvl w:val="1"/>
          <w:numId w:val="63"/>
        </w:numPr>
        <w:tabs>
          <w:tab w:pos="814" w:val="left" w:leader="none"/>
        </w:tabs>
        <w:spacing w:line="232" w:lineRule="auto" w:before="175" w:after="0"/>
        <w:ind w:left="1232" w:right="173" w:hanging="599"/>
        <w:jc w:val="left"/>
      </w:pPr>
      <w:r>
        <w:rPr>
          <w:color w:val="231F20"/>
        </w:rPr>
        <w:t>Депонија пепела и шљаке у ПК </w:t>
      </w:r>
      <w:r>
        <w:rPr>
          <w:color w:val="231F20"/>
          <w:spacing w:val="-3"/>
        </w:rPr>
        <w:t>„Ћириковац” </w:t>
      </w:r>
      <w:r>
        <w:rPr>
          <w:color w:val="231F20"/>
        </w:rPr>
        <w:t>и коридор пепеловода </w:t>
      </w:r>
      <w:r>
        <w:rPr>
          <w:color w:val="231F20"/>
          <w:spacing w:val="-3"/>
        </w:rPr>
        <w:t>од </w:t>
      </w:r>
      <w:r>
        <w:rPr>
          <w:color w:val="231F20"/>
        </w:rPr>
        <w:t>ТЕ „Костолац Б” до</w:t>
      </w:r>
      <w:r>
        <w:rPr>
          <w:color w:val="231F20"/>
          <w:spacing w:val="-11"/>
        </w:rPr>
        <w:t> </w:t>
      </w:r>
      <w:r>
        <w:rPr>
          <w:color w:val="231F20"/>
        </w:rPr>
        <w:t>депоније</w:t>
      </w:r>
    </w:p>
    <w:p>
      <w:pPr>
        <w:pStyle w:val="ListParagraph"/>
        <w:numPr>
          <w:ilvl w:val="2"/>
          <w:numId w:val="63"/>
        </w:numPr>
        <w:tabs>
          <w:tab w:pos="2518" w:val="left" w:leader="none"/>
        </w:tabs>
        <w:spacing w:line="240" w:lineRule="auto" w:before="167" w:after="0"/>
        <w:ind w:left="2517"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5"/>
        <w:ind w:left="0"/>
        <w:jc w:val="left"/>
        <w:rPr>
          <w:i/>
          <w:sz w:val="17"/>
        </w:rPr>
      </w:pPr>
    </w:p>
    <w:p>
      <w:pPr>
        <w:pStyle w:val="BodyText"/>
        <w:spacing w:line="232" w:lineRule="auto"/>
        <w:ind w:left="457" w:firstLine="396"/>
      </w:pPr>
      <w:r>
        <w:rPr>
          <w:color w:val="231F20"/>
        </w:rPr>
        <w:t>У циљу унапређења производње и поузданости у ТЕ „Косто- лац Б”, ради спровођења ефикасније заштите животне средине и с</w:t>
      </w:r>
    </w:p>
    <w:p>
      <w:pPr>
        <w:pStyle w:val="BodyText"/>
        <w:spacing w:line="232" w:lineRule="auto" w:before="67"/>
        <w:ind w:left="242" w:right="123"/>
      </w:pPr>
      <w:r>
        <w:rPr/>
        <w:br w:type="column"/>
      </w:r>
      <w:r>
        <w:rPr>
          <w:color w:val="231F20"/>
        </w:rPr>
        <w:t>обзиром на ограничени еколошки и просторни капацитет депони- је пепела и шљаке на локацији „Средње </w:t>
      </w:r>
      <w:r>
        <w:rPr>
          <w:color w:val="231F20"/>
          <w:spacing w:val="-4"/>
        </w:rPr>
        <w:t>костолачко </w:t>
      </w:r>
      <w:r>
        <w:rPr>
          <w:color w:val="231F20"/>
        </w:rPr>
        <w:t>острво”, раз- војним плановима ЕПС-а предвиђено је увођење новог система за прикупљање,</w:t>
      </w:r>
      <w:r>
        <w:rPr>
          <w:color w:val="231F20"/>
          <w:spacing w:val="-10"/>
        </w:rPr>
        <w:t> </w:t>
      </w:r>
      <w:r>
        <w:rPr>
          <w:color w:val="231F20"/>
        </w:rPr>
        <w:t>одлагање</w:t>
      </w:r>
      <w:r>
        <w:rPr>
          <w:color w:val="231F20"/>
          <w:spacing w:val="-10"/>
        </w:rPr>
        <w:t> </w:t>
      </w:r>
      <w:r>
        <w:rPr>
          <w:color w:val="231F20"/>
        </w:rPr>
        <w:t>и</w:t>
      </w:r>
      <w:r>
        <w:rPr>
          <w:color w:val="231F20"/>
          <w:spacing w:val="-10"/>
        </w:rPr>
        <w:t> </w:t>
      </w:r>
      <w:r>
        <w:rPr>
          <w:color w:val="231F20"/>
        </w:rPr>
        <w:t>транспорт</w:t>
      </w:r>
      <w:r>
        <w:rPr>
          <w:color w:val="231F20"/>
          <w:spacing w:val="-9"/>
        </w:rPr>
        <w:t> </w:t>
      </w:r>
      <w:r>
        <w:rPr>
          <w:color w:val="231F20"/>
        </w:rPr>
        <w:t>пепела</w:t>
      </w:r>
      <w:r>
        <w:rPr>
          <w:color w:val="231F20"/>
          <w:spacing w:val="-10"/>
        </w:rPr>
        <w:t> </w:t>
      </w:r>
      <w:r>
        <w:rPr>
          <w:color w:val="231F20"/>
        </w:rPr>
        <w:t>и</w:t>
      </w:r>
      <w:r>
        <w:rPr>
          <w:color w:val="231F20"/>
          <w:spacing w:val="-10"/>
        </w:rPr>
        <w:t> </w:t>
      </w:r>
      <w:r>
        <w:rPr>
          <w:color w:val="231F20"/>
        </w:rPr>
        <w:t>шљаке</w:t>
      </w:r>
      <w:r>
        <w:rPr>
          <w:color w:val="231F20"/>
          <w:spacing w:val="-10"/>
        </w:rPr>
        <w:t> </w:t>
      </w:r>
      <w:r>
        <w:rPr>
          <w:color w:val="231F20"/>
        </w:rPr>
        <w:t>густом</w:t>
      </w:r>
      <w:r>
        <w:rPr>
          <w:color w:val="231F20"/>
          <w:spacing w:val="-10"/>
        </w:rPr>
        <w:t> </w:t>
      </w:r>
      <w:r>
        <w:rPr>
          <w:color w:val="231F20"/>
        </w:rPr>
        <w:t>хидро- мешавином са </w:t>
      </w:r>
      <w:r>
        <w:rPr>
          <w:color w:val="231F20"/>
          <w:spacing w:val="-3"/>
        </w:rPr>
        <w:t>блокова </w:t>
      </w:r>
      <w:r>
        <w:rPr>
          <w:color w:val="231F20"/>
        </w:rPr>
        <w:t>ТЕ „Костолац Б”. На основу одговарајуће </w:t>
      </w:r>
      <w:r>
        <w:rPr>
          <w:color w:val="231F20"/>
          <w:spacing w:val="-3"/>
        </w:rPr>
        <w:t>студијске </w:t>
      </w:r>
      <w:r>
        <w:rPr>
          <w:color w:val="231F20"/>
        </w:rPr>
        <w:t>и техничке документације прихваћене </w:t>
      </w:r>
      <w:r>
        <w:rPr>
          <w:color w:val="231F20"/>
          <w:spacing w:val="-3"/>
        </w:rPr>
        <w:t>од </w:t>
      </w:r>
      <w:r>
        <w:rPr>
          <w:color w:val="231F20"/>
        </w:rPr>
        <w:t>Стручног са- вета ЈП ЕПС, одлучено је да касета за одлагање пепела </w:t>
      </w:r>
      <w:r>
        <w:rPr>
          <w:color w:val="231F20"/>
          <w:spacing w:val="-5"/>
        </w:rPr>
        <w:t>буде </w:t>
      </w:r>
      <w:r>
        <w:rPr>
          <w:color w:val="231F20"/>
        </w:rPr>
        <w:t>сме- штена</w:t>
      </w:r>
      <w:r>
        <w:rPr>
          <w:color w:val="231F20"/>
          <w:spacing w:val="25"/>
        </w:rPr>
        <w:t> </w:t>
      </w:r>
      <w:r>
        <w:rPr>
          <w:color w:val="231F20"/>
        </w:rPr>
        <w:t>на</w:t>
      </w:r>
      <w:r>
        <w:rPr>
          <w:color w:val="231F20"/>
          <w:spacing w:val="25"/>
        </w:rPr>
        <w:t> </w:t>
      </w:r>
      <w:r>
        <w:rPr>
          <w:color w:val="231F20"/>
        </w:rPr>
        <w:t>простору</w:t>
      </w:r>
      <w:r>
        <w:rPr>
          <w:color w:val="231F20"/>
          <w:spacing w:val="25"/>
        </w:rPr>
        <w:t> </w:t>
      </w:r>
      <w:r>
        <w:rPr>
          <w:color w:val="231F20"/>
        </w:rPr>
        <w:t>унутрашњег</w:t>
      </w:r>
      <w:r>
        <w:rPr>
          <w:color w:val="231F20"/>
          <w:spacing w:val="25"/>
        </w:rPr>
        <w:t> </w:t>
      </w:r>
      <w:r>
        <w:rPr>
          <w:color w:val="231F20"/>
        </w:rPr>
        <w:t>одлагалишта</w:t>
      </w:r>
      <w:r>
        <w:rPr>
          <w:color w:val="231F20"/>
          <w:spacing w:val="25"/>
        </w:rPr>
        <w:t> </w:t>
      </w:r>
      <w:r>
        <w:rPr>
          <w:color w:val="231F20"/>
        </w:rPr>
        <w:t>површинског</w:t>
      </w:r>
      <w:r>
        <w:rPr>
          <w:color w:val="231F20"/>
          <w:spacing w:val="25"/>
        </w:rPr>
        <w:t> </w:t>
      </w:r>
      <w:r>
        <w:rPr>
          <w:color w:val="231F20"/>
          <w:spacing w:val="-4"/>
        </w:rPr>
        <w:t>копа</w:t>
      </w:r>
    </w:p>
    <w:p>
      <w:pPr>
        <w:pStyle w:val="BodyText"/>
        <w:spacing w:line="194" w:lineRule="exact"/>
        <w:ind w:left="243"/>
        <w:jc w:val="left"/>
      </w:pPr>
      <w:r>
        <w:rPr>
          <w:color w:val="231F20"/>
        </w:rPr>
        <w:t>„Ћириковац”.</w:t>
      </w:r>
    </w:p>
    <w:p>
      <w:pPr>
        <w:pStyle w:val="BodyText"/>
        <w:spacing w:line="232" w:lineRule="auto" w:before="2"/>
        <w:ind w:left="242" w:right="124" w:firstLine="396"/>
      </w:pPr>
      <w:r>
        <w:rPr>
          <w:color w:val="231F20"/>
        </w:rPr>
        <w:t>Замена система за одлагање пепела у ТЕ „Костолац Б”, под- разумева уређење и изградњу неколико већих грађевинских цели- на и то:</w:t>
      </w:r>
    </w:p>
    <w:p>
      <w:pPr>
        <w:pStyle w:val="BodyText"/>
        <w:spacing w:line="197" w:lineRule="exact"/>
        <w:ind w:left="639"/>
        <w:jc w:val="left"/>
      </w:pPr>
      <w:r>
        <w:rPr>
          <w:color w:val="231F20"/>
          <w:w w:val="66"/>
        </w:rPr>
        <w:t> </w:t>
      </w:r>
      <w:r>
        <w:rPr>
          <w:color w:val="231F20"/>
        </w:rPr>
        <w:t>– зграде компресорнице;</w:t>
      </w:r>
    </w:p>
    <w:p>
      <w:pPr>
        <w:pStyle w:val="BodyText"/>
        <w:spacing w:line="200" w:lineRule="exact"/>
        <w:ind w:left="639"/>
        <w:jc w:val="left"/>
      </w:pPr>
      <w:r>
        <w:rPr>
          <w:color w:val="231F20"/>
          <w:w w:val="66"/>
        </w:rPr>
        <w:t> </w:t>
      </w:r>
      <w:r>
        <w:rPr>
          <w:color w:val="231F20"/>
        </w:rPr>
        <w:t>– цевног моста од котларнице до зграде силоса;</w:t>
      </w:r>
    </w:p>
    <w:p>
      <w:pPr>
        <w:pStyle w:val="BodyText"/>
        <w:spacing w:line="200" w:lineRule="exact"/>
        <w:ind w:left="639"/>
        <w:jc w:val="left"/>
      </w:pPr>
      <w:r>
        <w:rPr>
          <w:color w:val="231F20"/>
          <w:w w:val="66"/>
        </w:rPr>
        <w:t> </w:t>
      </w:r>
      <w:r>
        <w:rPr>
          <w:color w:val="231F20"/>
        </w:rPr>
        <w:t>– зграде силоса за пепео и шљаку,</w:t>
      </w:r>
    </w:p>
    <w:p>
      <w:pPr>
        <w:pStyle w:val="BodyText"/>
        <w:spacing w:line="200" w:lineRule="exact"/>
        <w:ind w:left="639"/>
        <w:jc w:val="left"/>
      </w:pPr>
      <w:r>
        <w:rPr>
          <w:color w:val="231F20"/>
          <w:w w:val="66"/>
        </w:rPr>
        <w:t> </w:t>
      </w:r>
      <w:r>
        <w:rPr>
          <w:color w:val="231F20"/>
        </w:rPr>
        <w:t>– пепеловода од зграде силоса до депоније пепела, и</w:t>
      </w:r>
    </w:p>
    <w:p>
      <w:pPr>
        <w:pStyle w:val="BodyText"/>
        <w:spacing w:line="200" w:lineRule="exact"/>
        <w:ind w:left="640"/>
        <w:jc w:val="left"/>
      </w:pPr>
      <w:r>
        <w:rPr>
          <w:color w:val="231F20"/>
          <w:w w:val="66"/>
        </w:rPr>
        <w:t> </w:t>
      </w:r>
      <w:r>
        <w:rPr>
          <w:color w:val="231F20"/>
        </w:rPr>
        <w:t>– депоније пепела.</w:t>
      </w:r>
    </w:p>
    <w:p>
      <w:pPr>
        <w:pStyle w:val="BodyText"/>
        <w:spacing w:line="232" w:lineRule="auto" w:before="2"/>
        <w:ind w:left="243" w:right="123" w:firstLine="396"/>
      </w:pPr>
      <w:r>
        <w:rPr>
          <w:color w:val="231F20"/>
        </w:rPr>
        <w:t>Ове грађевинске целине су међусобно функционално зави- сне, али, у просторном </w:t>
      </w:r>
      <w:r>
        <w:rPr>
          <w:color w:val="231F20"/>
          <w:spacing w:val="-3"/>
        </w:rPr>
        <w:t>смислу, </w:t>
      </w:r>
      <w:r>
        <w:rPr>
          <w:color w:val="231F20"/>
        </w:rPr>
        <w:t>појединачни објекти су груписани у две просторне целине </w:t>
      </w:r>
      <w:r>
        <w:rPr>
          <w:color w:val="231F20"/>
          <w:spacing w:val="-3"/>
        </w:rPr>
        <w:t>(Комплекс </w:t>
      </w:r>
      <w:r>
        <w:rPr>
          <w:color w:val="231F20"/>
        </w:rPr>
        <w:t>ТЕ „Костолац Б” и Депонија у </w:t>
      </w:r>
      <w:r>
        <w:rPr>
          <w:color w:val="231F20"/>
          <w:spacing w:val="-3"/>
        </w:rPr>
        <w:t>откопаном </w:t>
      </w:r>
      <w:r>
        <w:rPr>
          <w:color w:val="231F20"/>
        </w:rPr>
        <w:t>простору ПК </w:t>
      </w:r>
      <w:r>
        <w:rPr>
          <w:color w:val="231F20"/>
          <w:spacing w:val="-3"/>
        </w:rPr>
        <w:t>„Ћириковац”) </w:t>
      </w:r>
      <w:r>
        <w:rPr>
          <w:color w:val="231F20"/>
        </w:rPr>
        <w:t>међусобно спојене везним коридором</w:t>
      </w:r>
      <w:r>
        <w:rPr>
          <w:color w:val="231F20"/>
          <w:spacing w:val="-6"/>
        </w:rPr>
        <w:t> </w:t>
      </w:r>
      <w:r>
        <w:rPr>
          <w:color w:val="231F20"/>
          <w:spacing w:val="-3"/>
        </w:rPr>
        <w:t>који</w:t>
      </w:r>
      <w:r>
        <w:rPr>
          <w:color w:val="231F20"/>
          <w:spacing w:val="-6"/>
        </w:rPr>
        <w:t> </w:t>
      </w:r>
      <w:r>
        <w:rPr>
          <w:color w:val="231F20"/>
        </w:rPr>
        <w:t>чине</w:t>
      </w:r>
      <w:r>
        <w:rPr>
          <w:color w:val="231F20"/>
          <w:spacing w:val="-6"/>
        </w:rPr>
        <w:t> </w:t>
      </w:r>
      <w:r>
        <w:rPr>
          <w:color w:val="231F20"/>
        </w:rPr>
        <w:t>цевоводи</w:t>
      </w:r>
      <w:r>
        <w:rPr>
          <w:color w:val="231F20"/>
          <w:spacing w:val="-6"/>
        </w:rPr>
        <w:t> </w:t>
      </w:r>
      <w:r>
        <w:rPr>
          <w:color w:val="231F20"/>
        </w:rPr>
        <w:t>хидромешавине</w:t>
      </w:r>
      <w:r>
        <w:rPr>
          <w:color w:val="231F20"/>
          <w:spacing w:val="-6"/>
        </w:rPr>
        <w:t> </w:t>
      </w:r>
      <w:r>
        <w:rPr>
          <w:color w:val="231F20"/>
          <w:spacing w:val="-3"/>
        </w:rPr>
        <w:t>од</w:t>
      </w:r>
      <w:r>
        <w:rPr>
          <w:color w:val="231F20"/>
          <w:spacing w:val="-6"/>
        </w:rPr>
        <w:t> </w:t>
      </w:r>
      <w:r>
        <w:rPr>
          <w:color w:val="231F20"/>
        </w:rPr>
        <w:t>силоса</w:t>
      </w:r>
      <w:r>
        <w:rPr>
          <w:color w:val="231F20"/>
          <w:spacing w:val="-6"/>
        </w:rPr>
        <w:t> </w:t>
      </w:r>
      <w:r>
        <w:rPr>
          <w:color w:val="231F20"/>
        </w:rPr>
        <w:t>пепела</w:t>
      </w:r>
      <w:r>
        <w:rPr>
          <w:color w:val="231F20"/>
          <w:spacing w:val="-6"/>
        </w:rPr>
        <w:t> </w:t>
      </w:r>
      <w:r>
        <w:rPr>
          <w:color w:val="231F20"/>
        </w:rPr>
        <w:t>и шљаке ТЕ „Костолац” (Б1, Б2) до депоније пепела и шљаке са це- воводом повратне воде и сервисном</w:t>
      </w:r>
      <w:r>
        <w:rPr>
          <w:color w:val="231F20"/>
          <w:spacing w:val="-10"/>
        </w:rPr>
        <w:t> </w:t>
      </w:r>
      <w:r>
        <w:rPr>
          <w:color w:val="231F20"/>
        </w:rPr>
        <w:t>саобраћајницом.</w:t>
      </w:r>
    </w:p>
    <w:p>
      <w:pPr>
        <w:pStyle w:val="BodyText"/>
        <w:spacing w:line="232" w:lineRule="auto"/>
        <w:ind w:left="243" w:right="123" w:firstLine="396"/>
      </w:pPr>
      <w:r>
        <w:rPr>
          <w:color w:val="231F20"/>
        </w:rPr>
        <w:t>Објекти за прикупљање, складиштење и припрему хидроме- шавине (зграда компресорнице, цевни мост </w:t>
      </w:r>
      <w:r>
        <w:rPr>
          <w:color w:val="231F20"/>
          <w:spacing w:val="-3"/>
        </w:rPr>
        <w:t>од котларнице </w:t>
      </w:r>
      <w:r>
        <w:rPr>
          <w:color w:val="231F20"/>
        </w:rPr>
        <w:t>до згра- де силоса и зграда силоса за пепео и шљаку) лоцирани су у кругу ТЕ „Костолац Б”, у складу са функцијом система, непосредно уз </w:t>
      </w:r>
      <w:r>
        <w:rPr>
          <w:color w:val="231F20"/>
          <w:spacing w:val="-3"/>
        </w:rPr>
        <w:t>главни </w:t>
      </w:r>
      <w:r>
        <w:rPr>
          <w:color w:val="231F20"/>
        </w:rPr>
        <w:t>погонски </w:t>
      </w:r>
      <w:r>
        <w:rPr>
          <w:color w:val="231F20"/>
          <w:spacing w:val="-3"/>
        </w:rPr>
        <w:t>објекат.</w:t>
      </w:r>
    </w:p>
    <w:p>
      <w:pPr>
        <w:pStyle w:val="BodyText"/>
        <w:spacing w:line="232" w:lineRule="auto"/>
        <w:ind w:left="242" w:right="123" w:firstLine="397"/>
      </w:pPr>
      <w:r>
        <w:rPr>
          <w:color w:val="231F20"/>
        </w:rPr>
        <w:t>У зони предвиђеној за формирање касете I БТО систем је од- лагао јаловину са вршних етажа. </w:t>
      </w:r>
      <w:r>
        <w:rPr>
          <w:color w:val="231F20"/>
          <w:spacing w:val="-3"/>
        </w:rPr>
        <w:t>Почетком </w:t>
      </w:r>
      <w:r>
        <w:rPr>
          <w:color w:val="231F20"/>
        </w:rPr>
        <w:t>2009. године, систем  је изашао иза одређених граница касете, чиме су створени услови за формирање подлоге за одлагање пепела и шљаке. Међутим, по- јава клизања на северној косини површинског </w:t>
      </w:r>
      <w:r>
        <w:rPr>
          <w:color w:val="231F20"/>
          <w:spacing w:val="-3"/>
        </w:rPr>
        <w:t>копа „Ћириковац”, </w:t>
      </w:r>
      <w:r>
        <w:rPr>
          <w:color w:val="231F20"/>
        </w:rPr>
        <w:t>условила је измену претходно усвојене позиције </w:t>
      </w:r>
      <w:r>
        <w:rPr>
          <w:color w:val="231F20"/>
          <w:spacing w:val="-4"/>
        </w:rPr>
        <w:t>будуће </w:t>
      </w:r>
      <w:r>
        <w:rPr>
          <w:color w:val="231F20"/>
        </w:rPr>
        <w:t>касете за одлагање</w:t>
      </w:r>
      <w:r>
        <w:rPr>
          <w:color w:val="231F20"/>
          <w:spacing w:val="-2"/>
        </w:rPr>
        <w:t> </w:t>
      </w:r>
      <w:r>
        <w:rPr>
          <w:color w:val="231F20"/>
        </w:rPr>
        <w:t>пепела.</w:t>
      </w:r>
    </w:p>
    <w:p>
      <w:pPr>
        <w:pStyle w:val="BodyText"/>
        <w:spacing w:line="232" w:lineRule="auto"/>
        <w:ind w:left="242" w:right="124" w:firstLine="396"/>
      </w:pPr>
      <w:r>
        <w:rPr>
          <w:color w:val="231F20"/>
        </w:rPr>
        <w:t>С обзиром на догођене промена на </w:t>
      </w:r>
      <w:r>
        <w:rPr>
          <w:color w:val="231F20"/>
          <w:spacing w:val="-3"/>
        </w:rPr>
        <w:t>терену, </w:t>
      </w:r>
      <w:r>
        <w:rPr>
          <w:color w:val="231F20"/>
        </w:rPr>
        <w:t>обустављене су даље</w:t>
      </w:r>
      <w:r>
        <w:rPr>
          <w:color w:val="231F20"/>
          <w:spacing w:val="-8"/>
        </w:rPr>
        <w:t> </w:t>
      </w:r>
      <w:r>
        <w:rPr>
          <w:color w:val="231F20"/>
        </w:rPr>
        <w:t>активности</w:t>
      </w:r>
      <w:r>
        <w:rPr>
          <w:color w:val="231F20"/>
          <w:spacing w:val="-8"/>
        </w:rPr>
        <w:t> </w:t>
      </w:r>
      <w:r>
        <w:rPr>
          <w:color w:val="231F20"/>
        </w:rPr>
        <w:t>на</w:t>
      </w:r>
      <w:r>
        <w:rPr>
          <w:color w:val="231F20"/>
          <w:spacing w:val="-8"/>
        </w:rPr>
        <w:t> </w:t>
      </w:r>
      <w:r>
        <w:rPr>
          <w:color w:val="231F20"/>
          <w:spacing w:val="-7"/>
        </w:rPr>
        <w:t>копу.</w:t>
      </w:r>
      <w:r>
        <w:rPr>
          <w:color w:val="231F20"/>
          <w:spacing w:val="-8"/>
        </w:rPr>
        <w:t> </w:t>
      </w:r>
      <w:r>
        <w:rPr>
          <w:color w:val="231F20"/>
        </w:rPr>
        <w:t>Приступило</w:t>
      </w:r>
      <w:r>
        <w:rPr>
          <w:color w:val="231F20"/>
          <w:spacing w:val="-8"/>
        </w:rPr>
        <w:t> </w:t>
      </w:r>
      <w:r>
        <w:rPr>
          <w:color w:val="231F20"/>
        </w:rPr>
        <w:t>се</w:t>
      </w:r>
      <w:r>
        <w:rPr>
          <w:color w:val="231F20"/>
          <w:spacing w:val="-8"/>
        </w:rPr>
        <w:t> </w:t>
      </w:r>
      <w:r>
        <w:rPr>
          <w:color w:val="231F20"/>
        </w:rPr>
        <w:t>неопходној</w:t>
      </w:r>
      <w:r>
        <w:rPr>
          <w:color w:val="231F20"/>
          <w:spacing w:val="-8"/>
        </w:rPr>
        <w:t> </w:t>
      </w:r>
      <w:r>
        <w:rPr>
          <w:color w:val="231F20"/>
        </w:rPr>
        <w:t>санацији</w:t>
      </w:r>
      <w:r>
        <w:rPr>
          <w:color w:val="231F20"/>
          <w:spacing w:val="-8"/>
        </w:rPr>
        <w:t> </w:t>
      </w:r>
      <w:r>
        <w:rPr>
          <w:color w:val="231F20"/>
        </w:rPr>
        <w:t>кли- зишта, што је условило и измене у оквиру претходно ограниченог простора за одлагање пепела и шљаке у источном делу унутра- шњег одлагалишта. Спроведена су детаљна истраживања терена, лабораторијска</w:t>
      </w:r>
      <w:r>
        <w:rPr>
          <w:color w:val="231F20"/>
          <w:spacing w:val="-9"/>
        </w:rPr>
        <w:t> </w:t>
      </w:r>
      <w:r>
        <w:rPr>
          <w:color w:val="231F20"/>
        </w:rPr>
        <w:t>испитивања</w:t>
      </w:r>
      <w:r>
        <w:rPr>
          <w:color w:val="231F20"/>
          <w:spacing w:val="-9"/>
        </w:rPr>
        <w:t> </w:t>
      </w:r>
      <w:r>
        <w:rPr>
          <w:color w:val="231F20"/>
        </w:rPr>
        <w:t>узорака</w:t>
      </w:r>
      <w:r>
        <w:rPr>
          <w:color w:val="231F20"/>
          <w:spacing w:val="-9"/>
        </w:rPr>
        <w:t> </w:t>
      </w:r>
      <w:r>
        <w:rPr>
          <w:color w:val="231F20"/>
        </w:rPr>
        <w:t>тла,</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праћење</w:t>
      </w:r>
      <w:r>
        <w:rPr>
          <w:color w:val="231F20"/>
          <w:spacing w:val="-9"/>
        </w:rPr>
        <w:t> </w:t>
      </w:r>
      <w:r>
        <w:rPr>
          <w:color w:val="231F20"/>
        </w:rPr>
        <w:t>осцилација нивоа подземних вода у зони унутрашњег одлагалишта површин- </w:t>
      </w:r>
      <w:r>
        <w:rPr>
          <w:color w:val="231F20"/>
          <w:spacing w:val="-3"/>
        </w:rPr>
        <w:t>ског копа „Ћириковац” </w:t>
      </w:r>
      <w:r>
        <w:rPr>
          <w:color w:val="231F20"/>
        </w:rPr>
        <w:t>и констатовано</w:t>
      </w:r>
      <w:r>
        <w:rPr>
          <w:color w:val="231F20"/>
          <w:spacing w:val="3"/>
        </w:rPr>
        <w:t> </w:t>
      </w:r>
      <w:r>
        <w:rPr>
          <w:color w:val="231F20"/>
        </w:rPr>
        <w:t>да:</w:t>
      </w:r>
    </w:p>
    <w:p>
      <w:pPr>
        <w:pStyle w:val="BodyText"/>
        <w:spacing w:line="232" w:lineRule="auto"/>
        <w:ind w:left="243" w:right="124" w:firstLine="396"/>
      </w:pPr>
      <w:r>
        <w:rPr>
          <w:color w:val="231F20"/>
          <w:w w:val="66"/>
        </w:rPr>
        <w:t> </w:t>
      </w:r>
      <w:r>
        <w:rPr>
          <w:color w:val="231F20"/>
        </w:rPr>
        <w:t>– на површини терена налази се одложени материјал из по- вршинског копа;</w:t>
      </w:r>
    </w:p>
    <w:p>
      <w:pPr>
        <w:pStyle w:val="BodyText"/>
        <w:spacing w:line="232" w:lineRule="auto"/>
        <w:ind w:left="243" w:right="124" w:firstLine="396"/>
      </w:pPr>
      <w:r>
        <w:rPr>
          <w:color w:val="231F20"/>
          <w:w w:val="66"/>
        </w:rPr>
        <w:t> </w:t>
      </w:r>
      <w:r>
        <w:rPr>
          <w:color w:val="231F20"/>
        </w:rPr>
        <w:t>– дебљина одложене јаловине је од 10 – 40 m (претежно пре- ко 25m);</w:t>
      </w:r>
    </w:p>
    <w:p>
      <w:pPr>
        <w:pStyle w:val="BodyText"/>
        <w:spacing w:line="197" w:lineRule="exact"/>
        <w:ind w:left="640"/>
        <w:jc w:val="left"/>
      </w:pPr>
      <w:r>
        <w:rPr>
          <w:color w:val="231F20"/>
          <w:w w:val="66"/>
        </w:rPr>
        <w:t> </w:t>
      </w:r>
      <w:r>
        <w:rPr>
          <w:color w:val="231F20"/>
        </w:rPr>
        <w:t>– на површини терена уочавају се трагови умирених клизи-</w:t>
      </w:r>
    </w:p>
    <w:p>
      <w:pPr>
        <w:pStyle w:val="BodyText"/>
        <w:spacing w:line="200" w:lineRule="exact"/>
        <w:ind w:left="243"/>
      </w:pPr>
      <w:r>
        <w:rPr>
          <w:color w:val="231F20"/>
        </w:rPr>
        <w:t>шта;</w:t>
      </w:r>
    </w:p>
    <w:p>
      <w:pPr>
        <w:pStyle w:val="BodyText"/>
        <w:spacing w:line="200" w:lineRule="exact"/>
        <w:ind w:left="640"/>
        <w:jc w:val="left"/>
      </w:pPr>
      <w:r>
        <w:rPr>
          <w:color w:val="231F20"/>
          <w:w w:val="66"/>
        </w:rPr>
        <w:t> </w:t>
      </w:r>
      <w:r>
        <w:rPr>
          <w:color w:val="231F20"/>
        </w:rPr>
        <w:t>– дубина до нивоа подземне воде је између 2.5 и 17.1 m;</w:t>
      </w:r>
    </w:p>
    <w:p>
      <w:pPr>
        <w:pStyle w:val="BodyText"/>
        <w:spacing w:line="200" w:lineRule="exact"/>
        <w:ind w:left="640"/>
        <w:jc w:val="left"/>
      </w:pPr>
      <w:r>
        <w:rPr>
          <w:color w:val="231F20"/>
          <w:w w:val="66"/>
        </w:rPr>
        <w:t> </w:t>
      </w:r>
      <w:r>
        <w:rPr>
          <w:color w:val="231F20"/>
        </w:rPr>
        <w:t>– </w:t>
      </w:r>
      <w:r>
        <w:rPr>
          <w:color w:val="231F20"/>
          <w:spacing w:val="-5"/>
        </w:rPr>
        <w:t>коефицијент филтрације </w:t>
      </w:r>
      <w:r>
        <w:rPr>
          <w:color w:val="231F20"/>
          <w:spacing w:val="-3"/>
        </w:rPr>
        <w:t>је </w:t>
      </w:r>
      <w:r>
        <w:rPr>
          <w:color w:val="231F20"/>
          <w:spacing w:val="-5"/>
        </w:rPr>
        <w:t>од </w:t>
      </w:r>
      <w:r>
        <w:rPr>
          <w:color w:val="231F20"/>
          <w:spacing w:val="-4"/>
        </w:rPr>
        <w:t>1.70 </w:t>
      </w:r>
      <w:r>
        <w:rPr>
          <w:color w:val="231F20"/>
        </w:rPr>
        <w:t>x </w:t>
      </w:r>
      <w:r>
        <w:rPr>
          <w:color w:val="231F20"/>
          <w:spacing w:val="-4"/>
        </w:rPr>
        <w:t>10-8 m/s </w:t>
      </w:r>
      <w:r>
        <w:rPr>
          <w:color w:val="231F20"/>
          <w:spacing w:val="-3"/>
        </w:rPr>
        <w:t>до </w:t>
      </w:r>
      <w:r>
        <w:rPr>
          <w:color w:val="231F20"/>
          <w:spacing w:val="-4"/>
        </w:rPr>
        <w:t>8.45 </w:t>
      </w:r>
      <w:r>
        <w:rPr>
          <w:color w:val="231F20"/>
        </w:rPr>
        <w:t>x </w:t>
      </w:r>
      <w:r>
        <w:rPr>
          <w:color w:val="231F20"/>
          <w:spacing w:val="-4"/>
        </w:rPr>
        <w:t>10-7 m/s;</w:t>
      </w:r>
    </w:p>
    <w:p>
      <w:pPr>
        <w:pStyle w:val="BodyText"/>
        <w:spacing w:line="232" w:lineRule="auto"/>
        <w:ind w:left="243" w:right="123" w:firstLine="396"/>
      </w:pPr>
      <w:r>
        <w:rPr>
          <w:color w:val="231F20"/>
          <w:w w:val="66"/>
        </w:rPr>
        <w:t> </w:t>
      </w:r>
      <w:r>
        <w:rPr>
          <w:color w:val="231F20"/>
        </w:rPr>
        <w:t>– истражно подручје припада условно повољном и, у већем обиму, неповољном терену (дозвољена носивост σ= 100 ÷150 kPa, фактор сигурности косина у оквиру геотехнички неповољније зо- не је Fs &lt; 1.50);</w:t>
      </w:r>
    </w:p>
    <w:p>
      <w:pPr>
        <w:pStyle w:val="BodyText"/>
        <w:spacing w:line="232" w:lineRule="auto"/>
        <w:ind w:left="243" w:right="123" w:firstLine="397"/>
      </w:pPr>
      <w:r>
        <w:rPr>
          <w:color w:val="231F20"/>
          <w:w w:val="66"/>
        </w:rPr>
        <w:t> </w:t>
      </w:r>
      <w:r>
        <w:rPr>
          <w:color w:val="231F20"/>
        </w:rPr>
        <w:t>– са становишта својстава материјала и услова рада, терен  је категоризован као условно повољан, али </w:t>
      </w:r>
      <w:r>
        <w:rPr>
          <w:color w:val="231F20"/>
          <w:spacing w:val="-3"/>
        </w:rPr>
        <w:t>свакој будућој </w:t>
      </w:r>
      <w:r>
        <w:rPr>
          <w:color w:val="231F20"/>
        </w:rPr>
        <w:t>грађе- винској</w:t>
      </w:r>
      <w:r>
        <w:rPr>
          <w:color w:val="231F20"/>
          <w:spacing w:val="-6"/>
        </w:rPr>
        <w:t> </w:t>
      </w:r>
      <w:r>
        <w:rPr>
          <w:color w:val="231F20"/>
        </w:rPr>
        <w:t>активности</w:t>
      </w:r>
      <w:r>
        <w:rPr>
          <w:color w:val="231F20"/>
          <w:spacing w:val="-6"/>
        </w:rPr>
        <w:t> </w:t>
      </w:r>
      <w:r>
        <w:rPr>
          <w:color w:val="231F20"/>
        </w:rPr>
        <w:t>мора</w:t>
      </w:r>
      <w:r>
        <w:rPr>
          <w:color w:val="231F20"/>
          <w:spacing w:val="-6"/>
        </w:rPr>
        <w:t> </w:t>
      </w:r>
      <w:r>
        <w:rPr>
          <w:color w:val="231F20"/>
        </w:rPr>
        <w:t>претходити</w:t>
      </w:r>
      <w:r>
        <w:rPr>
          <w:color w:val="231F20"/>
          <w:spacing w:val="-6"/>
        </w:rPr>
        <w:t> </w:t>
      </w:r>
      <w:r>
        <w:rPr>
          <w:color w:val="231F20"/>
        </w:rPr>
        <w:t>стабилизација</w:t>
      </w:r>
      <w:r>
        <w:rPr>
          <w:color w:val="231F20"/>
          <w:spacing w:val="-6"/>
        </w:rPr>
        <w:t> </w:t>
      </w:r>
      <w:r>
        <w:rPr>
          <w:color w:val="231F20"/>
        </w:rPr>
        <w:t>терена</w:t>
      </w:r>
      <w:r>
        <w:rPr>
          <w:color w:val="231F20"/>
          <w:spacing w:val="-6"/>
        </w:rPr>
        <w:t> </w:t>
      </w:r>
      <w:r>
        <w:rPr>
          <w:color w:val="231F20"/>
          <w:spacing w:val="-3"/>
        </w:rPr>
        <w:t>тако</w:t>
      </w:r>
      <w:r>
        <w:rPr>
          <w:color w:val="231F20"/>
          <w:spacing w:val="-6"/>
        </w:rPr>
        <w:t> </w:t>
      </w:r>
      <w:r>
        <w:rPr>
          <w:color w:val="231F20"/>
        </w:rPr>
        <w:t>да минимални фактори стабилности </w:t>
      </w:r>
      <w:r>
        <w:rPr>
          <w:color w:val="231F20"/>
          <w:spacing w:val="-5"/>
        </w:rPr>
        <w:t>буду </w:t>
      </w:r>
      <w:r>
        <w:rPr>
          <w:color w:val="231F20"/>
        </w:rPr>
        <w:t>Fs≥1.50, што је прописана вредност за завршне косине на одлагалишту када је </w:t>
      </w:r>
      <w:r>
        <w:rPr>
          <w:color w:val="231F20"/>
          <w:spacing w:val="-4"/>
        </w:rPr>
        <w:t>коп </w:t>
      </w:r>
      <w:r>
        <w:rPr>
          <w:color w:val="231F20"/>
        </w:rPr>
        <w:t>ван упо- требе;</w:t>
      </w:r>
      <w:r>
        <w:rPr>
          <w:color w:val="231F20"/>
          <w:spacing w:val="-1"/>
        </w:rPr>
        <w:t> </w:t>
      </w:r>
      <w:r>
        <w:rPr>
          <w:color w:val="231F20"/>
        </w:rPr>
        <w:t>и</w:t>
      </w:r>
    </w:p>
    <w:p>
      <w:pPr>
        <w:pStyle w:val="BodyText"/>
        <w:spacing w:line="232" w:lineRule="auto"/>
        <w:ind w:left="243" w:right="123" w:firstLine="396"/>
      </w:pPr>
      <w:r>
        <w:rPr>
          <w:color w:val="231F20"/>
          <w:w w:val="66"/>
        </w:rPr>
        <w:t> </w:t>
      </w:r>
      <w:r>
        <w:rPr>
          <w:color w:val="231F20"/>
        </w:rPr>
        <w:t>– на најкритичнијем профилу (висина одложене јаловине на овоме профилу је 60 m) срачунат је фактор сигурности Fs = 1.15 иако је генерални нагиб само 3°, што је последица високог нивоа подземне воде (ниво воде је практично на површини терена).</w:t>
      </w:r>
    </w:p>
    <w:p>
      <w:pPr>
        <w:pStyle w:val="BodyText"/>
        <w:spacing w:line="232" w:lineRule="auto"/>
        <w:ind w:left="186" w:right="123" w:firstLine="396"/>
        <w:jc w:val="right"/>
      </w:pPr>
      <w:r>
        <w:rPr>
          <w:color w:val="231F20"/>
        </w:rPr>
        <w:t>Јаловински материјал је практично водозасићен, тако да сва- ко додатно оптерећење може довести до слегања терена, истиски- вања јаловине и појаве нестабилних зона. Да би одлагање пепела могло да се настави, неопходно је да се ниво воде у телу одлагали- шта што је могуће више обори да не би дошло до клизања терена. По новој, у оквиру санације копа и одлагалишта, условљеној</w:t>
      </w:r>
    </w:p>
    <w:p>
      <w:pPr>
        <w:pStyle w:val="BodyText"/>
        <w:spacing w:line="232" w:lineRule="auto"/>
        <w:ind w:left="244" w:right="122" w:hanging="1"/>
      </w:pPr>
      <w:r>
        <w:rPr>
          <w:color w:val="231F20"/>
        </w:rPr>
        <w:t>„варијанти</w:t>
      </w:r>
      <w:r>
        <w:rPr>
          <w:color w:val="231F20"/>
          <w:spacing w:val="-11"/>
        </w:rPr>
        <w:t> </w:t>
      </w:r>
      <w:r>
        <w:rPr>
          <w:color w:val="231F20"/>
        </w:rPr>
        <w:t>југ”,</w:t>
      </w:r>
      <w:r>
        <w:rPr>
          <w:color w:val="231F20"/>
          <w:spacing w:val="-11"/>
        </w:rPr>
        <w:t> </w:t>
      </w:r>
      <w:r>
        <w:rPr>
          <w:color w:val="231F20"/>
        </w:rPr>
        <w:t>истакање</w:t>
      </w:r>
      <w:r>
        <w:rPr>
          <w:color w:val="231F20"/>
          <w:spacing w:val="-11"/>
        </w:rPr>
        <w:t> </w:t>
      </w:r>
      <w:r>
        <w:rPr>
          <w:color w:val="231F20"/>
        </w:rPr>
        <w:t>пепела</w:t>
      </w:r>
      <w:r>
        <w:rPr>
          <w:color w:val="231F20"/>
          <w:spacing w:val="-11"/>
        </w:rPr>
        <w:t> </w:t>
      </w:r>
      <w:r>
        <w:rPr>
          <w:color w:val="231F20"/>
        </w:rPr>
        <w:t>и</w:t>
      </w:r>
      <w:r>
        <w:rPr>
          <w:color w:val="231F20"/>
          <w:spacing w:val="-11"/>
        </w:rPr>
        <w:t> </w:t>
      </w:r>
      <w:r>
        <w:rPr>
          <w:color w:val="231F20"/>
        </w:rPr>
        <w:t>шљаке</w:t>
      </w:r>
      <w:r>
        <w:rPr>
          <w:color w:val="231F20"/>
          <w:spacing w:val="-11"/>
        </w:rPr>
        <w:t> </w:t>
      </w:r>
      <w:r>
        <w:rPr>
          <w:color w:val="231F20"/>
        </w:rPr>
        <w:t>и</w:t>
      </w:r>
      <w:r>
        <w:rPr>
          <w:color w:val="231F20"/>
          <w:spacing w:val="-11"/>
        </w:rPr>
        <w:t> </w:t>
      </w:r>
      <w:r>
        <w:rPr>
          <w:color w:val="231F20"/>
        </w:rPr>
        <w:t>формирање</w:t>
      </w:r>
      <w:r>
        <w:rPr>
          <w:color w:val="231F20"/>
          <w:spacing w:val="-11"/>
        </w:rPr>
        <w:t> </w:t>
      </w:r>
      <w:r>
        <w:rPr>
          <w:color w:val="231F20"/>
        </w:rPr>
        <w:t>касете,</w:t>
      </w:r>
      <w:r>
        <w:rPr>
          <w:color w:val="231F20"/>
          <w:spacing w:val="-11"/>
        </w:rPr>
        <w:t> </w:t>
      </w:r>
      <w:r>
        <w:rPr>
          <w:color w:val="231F20"/>
        </w:rPr>
        <w:t>вр- шиће се у I фази у западном делу површинског </w:t>
      </w:r>
      <w:r>
        <w:rPr>
          <w:color w:val="231F20"/>
          <w:spacing w:val="-3"/>
        </w:rPr>
        <w:t>копа </w:t>
      </w:r>
      <w:r>
        <w:rPr>
          <w:color w:val="231F20"/>
        </w:rPr>
        <w:t> </w:t>
      </w:r>
      <w:r>
        <w:rPr>
          <w:color w:val="231F20"/>
          <w:spacing w:val="-3"/>
        </w:rPr>
        <w:t>„Ћириковац”</w:t>
      </w:r>
    </w:p>
    <w:p>
      <w:pPr>
        <w:spacing w:after="0" w:line="232" w:lineRule="auto"/>
        <w:sectPr>
          <w:pgSz w:w="12480" w:h="15690"/>
          <w:pgMar w:top="120" w:bottom="280" w:left="680" w:right="720"/>
          <w:cols w:num="2" w:equalWidth="0">
            <w:col w:w="5561" w:space="40"/>
            <w:col w:w="5479"/>
          </w:cols>
        </w:sectPr>
      </w:pPr>
    </w:p>
    <w:p>
      <w:pPr>
        <w:pStyle w:val="BodyText"/>
        <w:spacing w:line="232" w:lineRule="auto" w:before="73"/>
        <w:ind w:right="38"/>
      </w:pPr>
      <w:r>
        <w:rPr/>
        <w:pict>
          <v:line style="position:absolute;mso-position-horizontal-relative:page;mso-position-vertical-relative:page;z-index:4552" from="304.724396pt,11.942451pt" to="304.724396pt,748.950451pt" stroked="true" strokeweight=".6pt" strokecolor="#231f20">
            <v:stroke dashstyle="solid"/>
            <w10:wrap type="none"/>
          </v:line>
        </w:pict>
      </w:r>
      <w:r>
        <w:rPr>
          <w:color w:val="231F20"/>
        </w:rPr>
        <w:t>(касета 2), по претходно припремљеном </w:t>
      </w:r>
      <w:r>
        <w:rPr>
          <w:color w:val="231F20"/>
          <w:spacing w:val="-3"/>
        </w:rPr>
        <w:t>терену, </w:t>
      </w:r>
      <w:r>
        <w:rPr>
          <w:color w:val="231F20"/>
        </w:rPr>
        <w:t>односно изврше- ним земљаним радовима у функцији припреме подлоге за</w:t>
      </w:r>
      <w:r>
        <w:rPr>
          <w:color w:val="231F20"/>
          <w:spacing w:val="-28"/>
        </w:rPr>
        <w:t> </w:t>
      </w:r>
      <w:r>
        <w:rPr>
          <w:color w:val="231F20"/>
        </w:rPr>
        <w:t>потребе постављања водонепропусне ХПДЕ фолије </w:t>
      </w:r>
      <w:r>
        <w:rPr>
          <w:color w:val="231F20"/>
          <w:spacing w:val="-3"/>
        </w:rPr>
        <w:t>која </w:t>
      </w:r>
      <w:r>
        <w:rPr>
          <w:color w:val="231F20"/>
        </w:rPr>
        <w:t>ће у потпуности спречити загађење тла и подземних</w:t>
      </w:r>
      <w:r>
        <w:rPr>
          <w:color w:val="231F20"/>
          <w:spacing w:val="-8"/>
        </w:rPr>
        <w:t> </w:t>
      </w:r>
      <w:r>
        <w:rPr>
          <w:color w:val="231F20"/>
        </w:rPr>
        <w:t>вода.</w:t>
      </w:r>
    </w:p>
    <w:p>
      <w:pPr>
        <w:pStyle w:val="BodyText"/>
        <w:spacing w:line="232" w:lineRule="auto"/>
        <w:ind w:right="38" w:firstLine="397"/>
      </w:pPr>
      <w:r>
        <w:rPr>
          <w:color w:val="231F20"/>
        </w:rPr>
        <w:t>Нови систем за прикупљање, транспорт и одлагање пепела и шљаке са </w:t>
      </w:r>
      <w:r>
        <w:rPr>
          <w:color w:val="231F20"/>
          <w:spacing w:val="-3"/>
        </w:rPr>
        <w:t>блокова </w:t>
      </w:r>
      <w:r>
        <w:rPr>
          <w:color w:val="231F20"/>
        </w:rPr>
        <w:t>ТЕ „Костолац Б” у откопани простор </w:t>
      </w:r>
      <w:r>
        <w:rPr>
          <w:color w:val="231F20"/>
          <w:spacing w:val="-3"/>
        </w:rPr>
        <w:t>копа </w:t>
      </w:r>
      <w:r>
        <w:rPr>
          <w:color w:val="231F20"/>
          <w:spacing w:val="-5"/>
        </w:rPr>
        <w:t>„Ћи- </w:t>
      </w:r>
      <w:r>
        <w:rPr>
          <w:color w:val="231F20"/>
        </w:rPr>
        <w:t>риковац”</w:t>
      </w:r>
      <w:r>
        <w:rPr>
          <w:color w:val="231F20"/>
          <w:spacing w:val="-6"/>
        </w:rPr>
        <w:t> </w:t>
      </w:r>
      <w:r>
        <w:rPr>
          <w:color w:val="231F20"/>
        </w:rPr>
        <w:t>ушао</w:t>
      </w:r>
      <w:r>
        <w:rPr>
          <w:color w:val="231F20"/>
          <w:spacing w:val="-6"/>
        </w:rPr>
        <w:t> </w:t>
      </w:r>
      <w:r>
        <w:rPr>
          <w:color w:val="231F20"/>
        </w:rPr>
        <w:t>је</w:t>
      </w:r>
      <w:r>
        <w:rPr>
          <w:color w:val="231F20"/>
          <w:spacing w:val="-6"/>
        </w:rPr>
        <w:t> </w:t>
      </w:r>
      <w:r>
        <w:rPr>
          <w:color w:val="231F20"/>
        </w:rPr>
        <w:t>у</w:t>
      </w:r>
      <w:r>
        <w:rPr>
          <w:color w:val="231F20"/>
          <w:spacing w:val="-6"/>
        </w:rPr>
        <w:t> </w:t>
      </w:r>
      <w:r>
        <w:rPr>
          <w:color w:val="231F20"/>
        </w:rPr>
        <w:t>пробни</w:t>
      </w:r>
      <w:r>
        <w:rPr>
          <w:color w:val="231F20"/>
          <w:spacing w:val="-6"/>
        </w:rPr>
        <w:t> </w:t>
      </w:r>
      <w:r>
        <w:rPr>
          <w:color w:val="231F20"/>
        </w:rPr>
        <w:t>рад</w:t>
      </w:r>
      <w:r>
        <w:rPr>
          <w:color w:val="231F20"/>
          <w:spacing w:val="-6"/>
        </w:rPr>
        <w:t> </w:t>
      </w:r>
      <w:r>
        <w:rPr>
          <w:color w:val="231F20"/>
        </w:rPr>
        <w:t>половином</w:t>
      </w:r>
      <w:r>
        <w:rPr>
          <w:color w:val="231F20"/>
          <w:spacing w:val="-6"/>
        </w:rPr>
        <w:t> </w:t>
      </w:r>
      <w:r>
        <w:rPr>
          <w:color w:val="231F20"/>
        </w:rPr>
        <w:t>2010.</w:t>
      </w:r>
      <w:r>
        <w:rPr>
          <w:color w:val="231F20"/>
          <w:spacing w:val="-6"/>
        </w:rPr>
        <w:t> </w:t>
      </w:r>
      <w:r>
        <w:rPr>
          <w:color w:val="231F20"/>
        </w:rPr>
        <w:t>године.</w:t>
      </w:r>
      <w:r>
        <w:rPr>
          <w:color w:val="231F20"/>
          <w:spacing w:val="-6"/>
        </w:rPr>
        <w:t> </w:t>
      </w:r>
      <w:r>
        <w:rPr>
          <w:color w:val="231F20"/>
        </w:rPr>
        <w:t>Изградња неопходних постројења у кругу термоелектране и цевовода пре- ма одлагалишту у дужини </w:t>
      </w:r>
      <w:r>
        <w:rPr>
          <w:color w:val="231F20"/>
          <w:spacing w:val="-3"/>
        </w:rPr>
        <w:t>од  </w:t>
      </w:r>
      <w:r>
        <w:rPr>
          <w:color w:val="231F20"/>
          <w:spacing w:val="-4"/>
        </w:rPr>
        <w:t>око  </w:t>
      </w:r>
      <w:r>
        <w:rPr>
          <w:color w:val="231F20"/>
        </w:rPr>
        <w:t>6 km је завршена и обављене  су функционалне пробе појединих уређаја. У завршној су фази и радови на постављању прве фазе водонепропусне фолије на ло- кацији </w:t>
      </w:r>
      <w:r>
        <w:rPr>
          <w:color w:val="231F20"/>
          <w:spacing w:val="-4"/>
        </w:rPr>
        <w:t>будуће </w:t>
      </w:r>
      <w:r>
        <w:rPr>
          <w:color w:val="231F20"/>
        </w:rPr>
        <w:t>депоније, што ће бити довољно за одлагање пепе- ла и шљаке у откопани простор </w:t>
      </w:r>
      <w:r>
        <w:rPr>
          <w:color w:val="231F20"/>
          <w:spacing w:val="-3"/>
        </w:rPr>
        <w:t>копа </w:t>
      </w:r>
      <w:r>
        <w:rPr>
          <w:color w:val="231F20"/>
          <w:spacing w:val="-4"/>
        </w:rPr>
        <w:t>„Ћириковац” </w:t>
      </w:r>
      <w:r>
        <w:rPr>
          <w:color w:val="231F20"/>
        </w:rPr>
        <w:t>у првој </w:t>
      </w:r>
      <w:r>
        <w:rPr>
          <w:color w:val="231F20"/>
          <w:spacing w:val="-3"/>
        </w:rPr>
        <w:t>години </w:t>
      </w:r>
      <w:r>
        <w:rPr>
          <w:color w:val="231F20"/>
        </w:rPr>
        <w:t>одлагања. Да би се створили услови за трајно одлагање пепела и шљаке</w:t>
      </w:r>
      <w:r>
        <w:rPr>
          <w:color w:val="231F20"/>
          <w:spacing w:val="-7"/>
        </w:rPr>
        <w:t> </w:t>
      </w:r>
      <w:r>
        <w:rPr>
          <w:color w:val="231F20"/>
        </w:rPr>
        <w:t>са</w:t>
      </w:r>
      <w:r>
        <w:rPr>
          <w:color w:val="231F20"/>
          <w:spacing w:val="-7"/>
        </w:rPr>
        <w:t> </w:t>
      </w:r>
      <w:r>
        <w:rPr>
          <w:color w:val="231F20"/>
          <w:spacing w:val="-3"/>
        </w:rPr>
        <w:t>блокова</w:t>
      </w:r>
      <w:r>
        <w:rPr>
          <w:color w:val="231F20"/>
          <w:spacing w:val="-7"/>
        </w:rPr>
        <w:t> </w:t>
      </w:r>
      <w:r>
        <w:rPr>
          <w:color w:val="231F20"/>
        </w:rPr>
        <w:t>Б1</w:t>
      </w:r>
      <w:r>
        <w:rPr>
          <w:color w:val="231F20"/>
          <w:spacing w:val="-7"/>
        </w:rPr>
        <w:t> </w:t>
      </w:r>
      <w:r>
        <w:rPr>
          <w:color w:val="231F20"/>
        </w:rPr>
        <w:t>и</w:t>
      </w:r>
      <w:r>
        <w:rPr>
          <w:color w:val="231F20"/>
          <w:spacing w:val="-7"/>
        </w:rPr>
        <w:t> </w:t>
      </w:r>
      <w:r>
        <w:rPr>
          <w:color w:val="231F20"/>
        </w:rPr>
        <w:t>Б2,</w:t>
      </w:r>
      <w:r>
        <w:rPr>
          <w:color w:val="231F20"/>
          <w:spacing w:val="-7"/>
        </w:rPr>
        <w:t> </w:t>
      </w:r>
      <w:r>
        <w:rPr>
          <w:color w:val="231F20"/>
        </w:rPr>
        <w:t>планирано</w:t>
      </w:r>
      <w:r>
        <w:rPr>
          <w:color w:val="231F20"/>
          <w:spacing w:val="-7"/>
        </w:rPr>
        <w:t> </w:t>
      </w:r>
      <w:r>
        <w:rPr>
          <w:color w:val="231F20"/>
        </w:rPr>
        <w:t>је</w:t>
      </w:r>
      <w:r>
        <w:rPr>
          <w:color w:val="231F20"/>
          <w:spacing w:val="-7"/>
        </w:rPr>
        <w:t> </w:t>
      </w:r>
      <w:r>
        <w:rPr>
          <w:color w:val="231F20"/>
        </w:rPr>
        <w:t>постављање</w:t>
      </w:r>
      <w:r>
        <w:rPr>
          <w:color w:val="231F20"/>
          <w:spacing w:val="-7"/>
        </w:rPr>
        <w:t> </w:t>
      </w:r>
      <w:r>
        <w:rPr>
          <w:color w:val="231F20"/>
        </w:rPr>
        <w:t>водонепропу- сне фолије, на </w:t>
      </w:r>
      <w:r>
        <w:rPr>
          <w:color w:val="231F20"/>
          <w:spacing w:val="-4"/>
        </w:rPr>
        <w:t>око </w:t>
      </w:r>
      <w:r>
        <w:rPr>
          <w:color w:val="231F20"/>
        </w:rPr>
        <w:t>130 хектара, што је укупна површина обе депо- нијске</w:t>
      </w:r>
      <w:r>
        <w:rPr>
          <w:color w:val="231F20"/>
          <w:spacing w:val="-1"/>
        </w:rPr>
        <w:t> </w:t>
      </w:r>
      <w:r>
        <w:rPr>
          <w:color w:val="231F20"/>
        </w:rPr>
        <w:t>касете.</w:t>
      </w:r>
    </w:p>
    <w:p>
      <w:pPr>
        <w:pStyle w:val="ListParagraph"/>
        <w:numPr>
          <w:ilvl w:val="2"/>
          <w:numId w:val="63"/>
        </w:numPr>
        <w:tabs>
          <w:tab w:pos="993" w:val="left" w:leader="none"/>
        </w:tabs>
        <w:spacing w:line="240" w:lineRule="auto" w:before="101" w:after="0"/>
        <w:ind w:left="992" w:right="0" w:hanging="315"/>
        <w:jc w:val="left"/>
        <w:rPr>
          <w:i/>
          <w:sz w:val="18"/>
        </w:rPr>
      </w:pPr>
      <w:r>
        <w:rPr>
          <w:i/>
          <w:color w:val="231F20"/>
          <w:sz w:val="18"/>
        </w:rPr>
        <w:t>Просторни обухват и граница просторне</w:t>
      </w:r>
      <w:r>
        <w:rPr>
          <w:i/>
          <w:color w:val="231F20"/>
          <w:spacing w:val="-9"/>
          <w:sz w:val="18"/>
        </w:rPr>
        <w:t> </w:t>
      </w:r>
      <w:r>
        <w:rPr>
          <w:i/>
          <w:color w:val="231F20"/>
          <w:sz w:val="18"/>
        </w:rPr>
        <w:t>целине</w:t>
      </w:r>
    </w:p>
    <w:p>
      <w:pPr>
        <w:pStyle w:val="BodyText"/>
        <w:spacing w:before="3"/>
        <w:ind w:left="0"/>
        <w:jc w:val="left"/>
        <w:rPr>
          <w:i/>
          <w:sz w:val="17"/>
        </w:rPr>
      </w:pPr>
    </w:p>
    <w:p>
      <w:pPr>
        <w:pStyle w:val="BodyText"/>
        <w:spacing w:line="232" w:lineRule="auto"/>
        <w:ind w:right="38" w:firstLine="397"/>
      </w:pPr>
      <w:r>
        <w:rPr>
          <w:color w:val="231F20"/>
        </w:rPr>
        <w:t>Просторна целина „Депонија пепела и шљаке” је лоцирана у централном и северном делу експлоатационог поља „Ћириковац” на површини од око 300 hа.</w:t>
      </w:r>
    </w:p>
    <w:p>
      <w:pPr>
        <w:pStyle w:val="BodyText"/>
        <w:spacing w:line="232" w:lineRule="auto"/>
        <w:ind w:left="169" w:right="38" w:firstLine="397"/>
      </w:pPr>
      <w:r>
        <w:rPr>
          <w:color w:val="231F20"/>
        </w:rPr>
        <w:t>Површински </w:t>
      </w:r>
      <w:r>
        <w:rPr>
          <w:color w:val="231F20"/>
          <w:spacing w:val="-4"/>
        </w:rPr>
        <w:t>коп </w:t>
      </w:r>
      <w:r>
        <w:rPr>
          <w:color w:val="231F20"/>
          <w:spacing w:val="-3"/>
        </w:rPr>
        <w:t>„Ћириковац”, </w:t>
      </w:r>
      <w:r>
        <w:rPr>
          <w:color w:val="231F20"/>
        </w:rPr>
        <w:t>на </w:t>
      </w:r>
      <w:r>
        <w:rPr>
          <w:color w:val="231F20"/>
          <w:spacing w:val="-4"/>
        </w:rPr>
        <w:t>коме </w:t>
      </w:r>
      <w:r>
        <w:rPr>
          <w:color w:val="231F20"/>
        </w:rPr>
        <w:t>је експлоатација об- устављена 2009. године, обухвата простор у централном делу </w:t>
      </w:r>
      <w:r>
        <w:rPr>
          <w:color w:val="231F20"/>
          <w:spacing w:val="-3"/>
        </w:rPr>
        <w:t>Костолачког </w:t>
      </w:r>
      <w:r>
        <w:rPr>
          <w:color w:val="231F20"/>
        </w:rPr>
        <w:t>угљеног басена, између државног пута II реда По- жаревац – Костолац,, на западној страни, и уређеног корита ре-  </w:t>
      </w:r>
      <w:r>
        <w:rPr>
          <w:color w:val="231F20"/>
          <w:spacing w:val="-3"/>
        </w:rPr>
        <w:t>ке </w:t>
      </w:r>
      <w:r>
        <w:rPr>
          <w:color w:val="231F20"/>
        </w:rPr>
        <w:t>Млаве, на источној страни. Река Млава прихвата воде са </w:t>
      </w:r>
      <w:r>
        <w:rPr>
          <w:color w:val="231F20"/>
          <w:spacing w:val="-4"/>
        </w:rPr>
        <w:t>копа  </w:t>
      </w:r>
      <w:r>
        <w:rPr>
          <w:color w:val="231F20"/>
        </w:rPr>
        <w:t>и одлагалишта ПК </w:t>
      </w:r>
      <w:r>
        <w:rPr>
          <w:color w:val="231F20"/>
          <w:spacing w:val="-3"/>
        </w:rPr>
        <w:t>„Ћириковац”. </w:t>
      </w:r>
      <w:r>
        <w:rPr>
          <w:color w:val="231F20"/>
        </w:rPr>
        <w:t>На јужној страни формирано је унутрашње </w:t>
      </w:r>
      <w:r>
        <w:rPr>
          <w:color w:val="231F20"/>
          <w:spacing w:val="-3"/>
        </w:rPr>
        <w:t>коповско </w:t>
      </w:r>
      <w:r>
        <w:rPr>
          <w:color w:val="231F20"/>
        </w:rPr>
        <w:t>одлагалиште генералног нагиба 12-13˚, док је северна страна део површинског </w:t>
      </w:r>
      <w:r>
        <w:rPr>
          <w:color w:val="231F20"/>
          <w:spacing w:val="-3"/>
        </w:rPr>
        <w:t>копа под </w:t>
      </w:r>
      <w:r>
        <w:rPr>
          <w:color w:val="231F20"/>
        </w:rPr>
        <w:t>нагибом </w:t>
      </w:r>
      <w:r>
        <w:rPr>
          <w:color w:val="231F20"/>
          <w:spacing w:val="-3"/>
        </w:rPr>
        <w:t>од </w:t>
      </w:r>
      <w:r>
        <w:rPr>
          <w:color w:val="231F20"/>
          <w:spacing w:val="-4"/>
        </w:rPr>
        <w:t>око</w:t>
      </w:r>
      <w:r>
        <w:rPr>
          <w:color w:val="231F20"/>
          <w:spacing w:val="-9"/>
        </w:rPr>
        <w:t> </w:t>
      </w:r>
      <w:r>
        <w:rPr>
          <w:color w:val="231F20"/>
        </w:rPr>
        <w:t>14˚.</w:t>
      </w:r>
    </w:p>
    <w:p>
      <w:pPr>
        <w:pStyle w:val="BodyText"/>
        <w:spacing w:line="232" w:lineRule="auto"/>
        <w:ind w:left="158" w:right="38" w:firstLine="397"/>
        <w:jc w:val="right"/>
      </w:pPr>
      <w:r>
        <w:rPr>
          <w:color w:val="231F20"/>
        </w:rPr>
        <w:t>У непосредној близини копа је спољно одлагалиште „Мла- ва – Могила” (југоисточна граница), некадашњи „Руднички круг” и дробилана, југозападно; према северозападу је комплекс мана- стира Рукумија и месно гробље Брадарац, док је на североистоку насеље Кленовник. Касету за одлагање пепела и шљаке требало је да чини ограничени простор у завршном рову ПК „Ћириковац”. Граница просторне целине одређена је као непрекинута ли-</w:t>
      </w:r>
    </w:p>
    <w:p>
      <w:pPr>
        <w:pStyle w:val="BodyText"/>
        <w:spacing w:line="232" w:lineRule="auto"/>
        <w:ind w:left="168" w:right="38"/>
      </w:pPr>
      <w:r>
        <w:rPr>
          <w:color w:val="231F20"/>
        </w:rPr>
        <w:t>нија дефинисана међним тачкама на границама обухваћених ката- старских општина, границама постојећих катастарских парцела и аналитички, тачкама са координатама у државном </w:t>
      </w:r>
      <w:r>
        <w:rPr>
          <w:color w:val="231F20"/>
          <w:spacing w:val="-3"/>
        </w:rPr>
        <w:t>координатном </w:t>
      </w:r>
      <w:r>
        <w:rPr>
          <w:color w:val="231F20"/>
        </w:rPr>
        <w:t>систему</w:t>
      </w:r>
      <w:r>
        <w:rPr>
          <w:color w:val="231F20"/>
          <w:position w:val="6"/>
          <w:sz w:val="10"/>
        </w:rPr>
        <w:t>33</w:t>
      </w:r>
      <w:r>
        <w:rPr>
          <w:color w:val="231F20"/>
        </w:rPr>
        <w:t>, са следећим описом: </w:t>
      </w:r>
      <w:r>
        <w:rPr>
          <w:color w:val="231F20"/>
          <w:spacing w:val="-3"/>
        </w:rPr>
        <w:t>од </w:t>
      </w:r>
      <w:r>
        <w:rPr>
          <w:color w:val="231F20"/>
        </w:rPr>
        <w:t>почетне </w:t>
      </w:r>
      <w:r>
        <w:rPr>
          <w:color w:val="231F20"/>
          <w:spacing w:val="-3"/>
        </w:rPr>
        <w:t>тачке </w:t>
      </w:r>
      <w:r>
        <w:rPr>
          <w:color w:val="231F20"/>
        </w:rPr>
        <w:t>А0 на граници </w:t>
      </w:r>
      <w:r>
        <w:rPr>
          <w:color w:val="231F20"/>
          <w:spacing w:val="-3"/>
        </w:rPr>
        <w:t>КО </w:t>
      </w:r>
      <w:r>
        <w:rPr>
          <w:color w:val="231F20"/>
        </w:rPr>
        <w:t>Брадарац / </w:t>
      </w:r>
      <w:r>
        <w:rPr>
          <w:color w:val="231F20"/>
          <w:spacing w:val="-3"/>
        </w:rPr>
        <w:t>КО </w:t>
      </w:r>
      <w:r>
        <w:rPr>
          <w:color w:val="231F20"/>
        </w:rPr>
        <w:t>Ћириковац сече к.п.бр. 1551/1 (КО Ћириковац) по правој линији између тачака А0 и А1; између тачака А1 и А2 је по спољњој граници исте парцеле, даље мења правац и сече је по линији између тачака А2, А3 и А4; </w:t>
      </w:r>
      <w:r>
        <w:rPr>
          <w:color w:val="231F20"/>
          <w:spacing w:val="-3"/>
        </w:rPr>
        <w:t>од тачке </w:t>
      </w:r>
      <w:r>
        <w:rPr>
          <w:color w:val="231F20"/>
        </w:rPr>
        <w:t>А4 је по граници </w:t>
      </w:r>
      <w:r>
        <w:rPr>
          <w:color w:val="231F20"/>
          <w:spacing w:val="-3"/>
        </w:rPr>
        <w:t>КО </w:t>
      </w:r>
      <w:r>
        <w:rPr>
          <w:color w:val="231F20"/>
        </w:rPr>
        <w:t>Ћириковац / </w:t>
      </w:r>
      <w:r>
        <w:rPr>
          <w:color w:val="231F20"/>
          <w:spacing w:val="-3"/>
        </w:rPr>
        <w:t>КО </w:t>
      </w:r>
      <w:r>
        <w:rPr>
          <w:color w:val="231F20"/>
        </w:rPr>
        <w:t>Кленовник до </w:t>
      </w:r>
      <w:r>
        <w:rPr>
          <w:color w:val="231F20"/>
          <w:spacing w:val="-3"/>
        </w:rPr>
        <w:t>тачке </w:t>
      </w:r>
      <w:r>
        <w:rPr>
          <w:color w:val="231F20"/>
        </w:rPr>
        <w:t>А5 у којој мења правац, а даље сече к.п. бр. 2898 по линији између тачака А5 и А6; </w:t>
      </w:r>
      <w:r>
        <w:rPr>
          <w:color w:val="231F20"/>
          <w:spacing w:val="-3"/>
        </w:rPr>
        <w:t>од тачке </w:t>
      </w:r>
      <w:r>
        <w:rPr>
          <w:color w:val="231F20"/>
        </w:rPr>
        <w:t>А6 је по спољњој граници к.п. бр. 2898, 1325, 1324 и сече к.п. бр. 1321 по линији између тачака А7 и А8; даље је по спољњој грани- ци</w:t>
      </w:r>
      <w:r>
        <w:rPr>
          <w:color w:val="231F20"/>
          <w:spacing w:val="10"/>
        </w:rPr>
        <w:t> </w:t>
      </w:r>
      <w:r>
        <w:rPr>
          <w:color w:val="231F20"/>
        </w:rPr>
        <w:t>к.п.</w:t>
      </w:r>
      <w:r>
        <w:rPr>
          <w:color w:val="231F20"/>
          <w:spacing w:val="10"/>
        </w:rPr>
        <w:t> </w:t>
      </w:r>
      <w:r>
        <w:rPr>
          <w:color w:val="231F20"/>
        </w:rPr>
        <w:t>бр.</w:t>
      </w:r>
      <w:r>
        <w:rPr>
          <w:color w:val="231F20"/>
          <w:spacing w:val="10"/>
        </w:rPr>
        <w:t> </w:t>
      </w:r>
      <w:r>
        <w:rPr>
          <w:color w:val="231F20"/>
        </w:rPr>
        <w:t>1319,</w:t>
      </w:r>
      <w:r>
        <w:rPr>
          <w:color w:val="231F20"/>
          <w:spacing w:val="10"/>
        </w:rPr>
        <w:t> </w:t>
      </w:r>
      <w:r>
        <w:rPr>
          <w:color w:val="231F20"/>
        </w:rPr>
        <w:t>1318,</w:t>
      </w:r>
      <w:r>
        <w:rPr>
          <w:color w:val="231F20"/>
          <w:spacing w:val="10"/>
        </w:rPr>
        <w:t> </w:t>
      </w:r>
      <w:r>
        <w:rPr>
          <w:color w:val="231F20"/>
        </w:rPr>
        <w:t>1315,</w:t>
      </w:r>
      <w:r>
        <w:rPr>
          <w:color w:val="231F20"/>
          <w:spacing w:val="10"/>
        </w:rPr>
        <w:t> </w:t>
      </w:r>
      <w:r>
        <w:rPr>
          <w:color w:val="231F20"/>
        </w:rPr>
        <w:t>1312,</w:t>
      </w:r>
      <w:r>
        <w:rPr>
          <w:color w:val="231F20"/>
          <w:spacing w:val="10"/>
        </w:rPr>
        <w:t> </w:t>
      </w:r>
      <w:r>
        <w:rPr>
          <w:color w:val="231F20"/>
        </w:rPr>
        <w:t>1309</w:t>
      </w:r>
      <w:r>
        <w:rPr>
          <w:color w:val="231F20"/>
          <w:spacing w:val="10"/>
        </w:rPr>
        <w:t> </w:t>
      </w:r>
      <w:r>
        <w:rPr>
          <w:color w:val="231F20"/>
        </w:rPr>
        <w:t>и</w:t>
      </w:r>
      <w:r>
        <w:rPr>
          <w:color w:val="231F20"/>
          <w:spacing w:val="10"/>
        </w:rPr>
        <w:t> </w:t>
      </w:r>
      <w:r>
        <w:rPr>
          <w:color w:val="231F20"/>
        </w:rPr>
        <w:t>2898;</w:t>
      </w:r>
      <w:r>
        <w:rPr>
          <w:color w:val="231F20"/>
          <w:spacing w:val="10"/>
        </w:rPr>
        <w:t> </w:t>
      </w:r>
      <w:r>
        <w:rPr>
          <w:color w:val="231F20"/>
        </w:rPr>
        <w:t>сече</w:t>
      </w:r>
      <w:r>
        <w:rPr>
          <w:color w:val="231F20"/>
          <w:spacing w:val="10"/>
        </w:rPr>
        <w:t> </w:t>
      </w:r>
      <w:r>
        <w:rPr>
          <w:color w:val="231F20"/>
        </w:rPr>
        <w:t>к.п.</w:t>
      </w:r>
      <w:r>
        <w:rPr>
          <w:color w:val="231F20"/>
          <w:spacing w:val="10"/>
        </w:rPr>
        <w:t> </w:t>
      </w:r>
      <w:r>
        <w:rPr>
          <w:color w:val="231F20"/>
        </w:rPr>
        <w:t>бр.</w:t>
      </w:r>
      <w:r>
        <w:rPr>
          <w:color w:val="231F20"/>
          <w:spacing w:val="10"/>
        </w:rPr>
        <w:t> </w:t>
      </w:r>
      <w:r>
        <w:rPr>
          <w:color w:val="231F20"/>
        </w:rPr>
        <w:t>2913</w:t>
      </w:r>
    </w:p>
    <w:p>
      <w:pPr>
        <w:pStyle w:val="BodyText"/>
        <w:spacing w:line="232" w:lineRule="auto"/>
        <w:ind w:left="169" w:right="38"/>
      </w:pPr>
      <w:r>
        <w:rPr>
          <w:color w:val="231F20"/>
        </w:rPr>
        <w:t>између тачака А9 и А10, мења правац и по спољњој граници је исте</w:t>
      </w:r>
      <w:r>
        <w:rPr>
          <w:color w:val="231F20"/>
          <w:spacing w:val="-4"/>
        </w:rPr>
        <w:t> </w:t>
      </w:r>
      <w:r>
        <w:rPr>
          <w:color w:val="231F20"/>
        </w:rPr>
        <w:t>катастарске</w:t>
      </w:r>
      <w:r>
        <w:rPr>
          <w:color w:val="231F20"/>
          <w:spacing w:val="-4"/>
        </w:rPr>
        <w:t> </w:t>
      </w:r>
      <w:r>
        <w:rPr>
          <w:color w:val="231F20"/>
        </w:rPr>
        <w:t>парцеле;</w:t>
      </w:r>
      <w:r>
        <w:rPr>
          <w:color w:val="231F20"/>
          <w:spacing w:val="-4"/>
        </w:rPr>
        <w:t> </w:t>
      </w:r>
      <w:r>
        <w:rPr>
          <w:color w:val="231F20"/>
        </w:rPr>
        <w:t>по</w:t>
      </w:r>
      <w:r>
        <w:rPr>
          <w:color w:val="231F20"/>
          <w:spacing w:val="-4"/>
        </w:rPr>
        <w:t> </w:t>
      </w:r>
      <w:r>
        <w:rPr>
          <w:color w:val="231F20"/>
        </w:rPr>
        <w:t>линији</w:t>
      </w:r>
      <w:r>
        <w:rPr>
          <w:color w:val="231F20"/>
          <w:spacing w:val="-4"/>
        </w:rPr>
        <w:t> </w:t>
      </w:r>
      <w:r>
        <w:rPr>
          <w:color w:val="231F20"/>
        </w:rPr>
        <w:t>између</w:t>
      </w:r>
      <w:r>
        <w:rPr>
          <w:color w:val="231F20"/>
          <w:spacing w:val="-4"/>
        </w:rPr>
        <w:t> </w:t>
      </w:r>
      <w:r>
        <w:rPr>
          <w:color w:val="231F20"/>
        </w:rPr>
        <w:t>тачака</w:t>
      </w:r>
      <w:r>
        <w:rPr>
          <w:color w:val="231F20"/>
          <w:spacing w:val="-4"/>
        </w:rPr>
        <w:t> </w:t>
      </w:r>
      <w:r>
        <w:rPr>
          <w:color w:val="231F20"/>
        </w:rPr>
        <w:t>А11,</w:t>
      </w:r>
      <w:r>
        <w:rPr>
          <w:color w:val="231F20"/>
          <w:spacing w:val="-4"/>
        </w:rPr>
        <w:t> </w:t>
      </w:r>
      <w:r>
        <w:rPr>
          <w:color w:val="231F20"/>
        </w:rPr>
        <w:t>А12,</w:t>
      </w:r>
      <w:r>
        <w:rPr>
          <w:color w:val="231F20"/>
          <w:spacing w:val="-4"/>
        </w:rPr>
        <w:t> </w:t>
      </w:r>
      <w:r>
        <w:rPr>
          <w:color w:val="231F20"/>
        </w:rPr>
        <w:t>А13, А14</w:t>
      </w:r>
      <w:r>
        <w:rPr>
          <w:color w:val="231F20"/>
          <w:spacing w:val="12"/>
        </w:rPr>
        <w:t> </w:t>
      </w:r>
      <w:r>
        <w:rPr>
          <w:color w:val="231F20"/>
        </w:rPr>
        <w:t>и</w:t>
      </w:r>
      <w:r>
        <w:rPr>
          <w:color w:val="231F20"/>
          <w:spacing w:val="12"/>
        </w:rPr>
        <w:t> </w:t>
      </w:r>
      <w:r>
        <w:rPr>
          <w:color w:val="231F20"/>
        </w:rPr>
        <w:t>А15</w:t>
      </w:r>
      <w:r>
        <w:rPr>
          <w:color w:val="231F20"/>
          <w:spacing w:val="12"/>
        </w:rPr>
        <w:t> </w:t>
      </w:r>
      <w:r>
        <w:rPr>
          <w:color w:val="231F20"/>
        </w:rPr>
        <w:t>сече</w:t>
      </w:r>
      <w:r>
        <w:rPr>
          <w:color w:val="231F20"/>
          <w:spacing w:val="12"/>
        </w:rPr>
        <w:t> </w:t>
      </w:r>
      <w:r>
        <w:rPr>
          <w:color w:val="231F20"/>
        </w:rPr>
        <w:t>к.п.</w:t>
      </w:r>
      <w:r>
        <w:rPr>
          <w:color w:val="231F20"/>
          <w:spacing w:val="12"/>
        </w:rPr>
        <w:t> </w:t>
      </w:r>
      <w:r>
        <w:rPr>
          <w:color w:val="231F20"/>
        </w:rPr>
        <w:t>бр.</w:t>
      </w:r>
      <w:r>
        <w:rPr>
          <w:color w:val="231F20"/>
          <w:spacing w:val="12"/>
        </w:rPr>
        <w:t> </w:t>
      </w:r>
      <w:r>
        <w:rPr>
          <w:color w:val="231F20"/>
        </w:rPr>
        <w:t>2611,</w:t>
      </w:r>
      <w:r>
        <w:rPr>
          <w:color w:val="231F20"/>
          <w:spacing w:val="12"/>
        </w:rPr>
        <w:t> </w:t>
      </w:r>
      <w:r>
        <w:rPr>
          <w:color w:val="231F20"/>
        </w:rPr>
        <w:t>2609,</w:t>
      </w:r>
      <w:r>
        <w:rPr>
          <w:color w:val="231F20"/>
          <w:spacing w:val="12"/>
        </w:rPr>
        <w:t> </w:t>
      </w:r>
      <w:r>
        <w:rPr>
          <w:color w:val="231F20"/>
        </w:rPr>
        <w:t>2608,</w:t>
      </w:r>
      <w:r>
        <w:rPr>
          <w:color w:val="231F20"/>
          <w:spacing w:val="12"/>
        </w:rPr>
        <w:t> </w:t>
      </w:r>
      <w:r>
        <w:rPr>
          <w:color w:val="231F20"/>
        </w:rPr>
        <w:t>2607,</w:t>
      </w:r>
      <w:r>
        <w:rPr>
          <w:color w:val="231F20"/>
          <w:spacing w:val="12"/>
        </w:rPr>
        <w:t> </w:t>
      </w:r>
      <w:r>
        <w:rPr>
          <w:color w:val="231F20"/>
        </w:rPr>
        <w:t>2606,</w:t>
      </w:r>
      <w:r>
        <w:rPr>
          <w:color w:val="231F20"/>
          <w:spacing w:val="12"/>
        </w:rPr>
        <w:t> </w:t>
      </w:r>
      <w:r>
        <w:rPr>
          <w:color w:val="231F20"/>
        </w:rPr>
        <w:t>2605,</w:t>
      </w:r>
      <w:r>
        <w:rPr>
          <w:color w:val="231F20"/>
          <w:spacing w:val="12"/>
        </w:rPr>
        <w:t> </w:t>
      </w:r>
      <w:r>
        <w:rPr>
          <w:color w:val="231F20"/>
        </w:rPr>
        <w:t>2604,</w:t>
      </w:r>
    </w:p>
    <w:p>
      <w:pPr>
        <w:pStyle w:val="BodyText"/>
        <w:spacing w:line="232" w:lineRule="auto"/>
        <w:ind w:left="169" w:right="38"/>
      </w:pPr>
      <w:r>
        <w:rPr>
          <w:color w:val="231F20"/>
        </w:rPr>
        <w:t>2603, 2602, 2601, 2600, 2597, 2596; даље је по спољњој граници к.п.</w:t>
      </w:r>
      <w:r>
        <w:rPr>
          <w:color w:val="231F20"/>
          <w:spacing w:val="-6"/>
        </w:rPr>
        <w:t> </w:t>
      </w:r>
      <w:r>
        <w:rPr>
          <w:color w:val="231F20"/>
        </w:rPr>
        <w:t>бр.</w:t>
      </w:r>
      <w:r>
        <w:rPr>
          <w:color w:val="231F20"/>
          <w:spacing w:val="-6"/>
        </w:rPr>
        <w:t> </w:t>
      </w:r>
      <w:r>
        <w:rPr>
          <w:color w:val="231F20"/>
        </w:rPr>
        <w:t>2588,</w:t>
      </w:r>
      <w:r>
        <w:rPr>
          <w:color w:val="231F20"/>
          <w:spacing w:val="-6"/>
        </w:rPr>
        <w:t> </w:t>
      </w:r>
      <w:r>
        <w:rPr>
          <w:color w:val="231F20"/>
        </w:rPr>
        <w:t>2589,</w:t>
      </w:r>
      <w:r>
        <w:rPr>
          <w:color w:val="231F20"/>
          <w:spacing w:val="-6"/>
        </w:rPr>
        <w:t> </w:t>
      </w:r>
      <w:r>
        <w:rPr>
          <w:color w:val="231F20"/>
        </w:rPr>
        <w:t>2516/1</w:t>
      </w:r>
      <w:r>
        <w:rPr>
          <w:color w:val="231F20"/>
          <w:spacing w:val="-6"/>
        </w:rPr>
        <w:t> </w:t>
      </w:r>
      <w:r>
        <w:rPr>
          <w:color w:val="231F20"/>
        </w:rPr>
        <w:t>и</w:t>
      </w:r>
      <w:r>
        <w:rPr>
          <w:color w:val="231F20"/>
          <w:spacing w:val="-6"/>
        </w:rPr>
        <w:t> </w:t>
      </w:r>
      <w:r>
        <w:rPr>
          <w:color w:val="231F20"/>
        </w:rPr>
        <w:t>2517,</w:t>
      </w:r>
      <w:r>
        <w:rPr>
          <w:color w:val="231F20"/>
          <w:spacing w:val="-6"/>
        </w:rPr>
        <w:t> </w:t>
      </w:r>
      <w:r>
        <w:rPr>
          <w:color w:val="231F20"/>
        </w:rPr>
        <w:t>мења</w:t>
      </w:r>
      <w:r>
        <w:rPr>
          <w:color w:val="231F20"/>
          <w:spacing w:val="-6"/>
        </w:rPr>
        <w:t> </w:t>
      </w:r>
      <w:r>
        <w:rPr>
          <w:color w:val="231F20"/>
        </w:rPr>
        <w:t>правац</w:t>
      </w:r>
      <w:r>
        <w:rPr>
          <w:color w:val="231F20"/>
          <w:spacing w:val="-6"/>
        </w:rPr>
        <w:t> </w:t>
      </w:r>
      <w:r>
        <w:rPr>
          <w:color w:val="231F20"/>
        </w:rPr>
        <w:t>и</w:t>
      </w:r>
      <w:r>
        <w:rPr>
          <w:color w:val="231F20"/>
          <w:spacing w:val="-6"/>
        </w:rPr>
        <w:t> </w:t>
      </w:r>
      <w:r>
        <w:rPr>
          <w:color w:val="231F20"/>
        </w:rPr>
        <w:t>сече</w:t>
      </w:r>
      <w:r>
        <w:rPr>
          <w:color w:val="231F20"/>
          <w:spacing w:val="-6"/>
        </w:rPr>
        <w:t> </w:t>
      </w:r>
      <w:r>
        <w:rPr>
          <w:color w:val="231F20"/>
        </w:rPr>
        <w:t>к.п.</w:t>
      </w:r>
      <w:r>
        <w:rPr>
          <w:color w:val="231F20"/>
          <w:spacing w:val="-6"/>
        </w:rPr>
        <w:t> </w:t>
      </w:r>
      <w:r>
        <w:rPr>
          <w:color w:val="231F20"/>
        </w:rPr>
        <w:t>бр.</w:t>
      </w:r>
      <w:r>
        <w:rPr>
          <w:color w:val="231F20"/>
          <w:spacing w:val="-6"/>
        </w:rPr>
        <w:t> </w:t>
      </w:r>
      <w:r>
        <w:rPr>
          <w:color w:val="231F20"/>
        </w:rPr>
        <w:t>2514, 2513, 2512 и 2511 по линији између тачака А16, А17 и А18; даље је по спољњој граници к.п. бр. 2509, 2510, 2504 и 2503, затим се- че к.п. бр. 2500, 2499 и 2498 по линији између тачака А19 и А20 и по спољњој граници је к.п. бр. 2496, 2495, 2492 и 2487; сече к.п. бр. 2908 по линији између тачака А21 и А22 (све </w:t>
      </w:r>
      <w:r>
        <w:rPr>
          <w:color w:val="231F20"/>
          <w:spacing w:val="-3"/>
        </w:rPr>
        <w:t>КО </w:t>
      </w:r>
      <w:r>
        <w:rPr>
          <w:color w:val="231F20"/>
        </w:rPr>
        <w:t>Кленовник); </w:t>
      </w:r>
      <w:r>
        <w:rPr>
          <w:color w:val="231F20"/>
          <w:spacing w:val="-3"/>
        </w:rPr>
        <w:t>од тачке </w:t>
      </w:r>
      <w:r>
        <w:rPr>
          <w:color w:val="231F20"/>
        </w:rPr>
        <w:t>А22 на граници </w:t>
      </w:r>
      <w:r>
        <w:rPr>
          <w:color w:val="231F20"/>
          <w:spacing w:val="-3"/>
        </w:rPr>
        <w:t>КО </w:t>
      </w:r>
      <w:r>
        <w:rPr>
          <w:color w:val="231F20"/>
        </w:rPr>
        <w:t>Кленовник / </w:t>
      </w:r>
      <w:r>
        <w:rPr>
          <w:color w:val="231F20"/>
          <w:spacing w:val="-3"/>
        </w:rPr>
        <w:t>КО </w:t>
      </w:r>
      <w:r>
        <w:rPr>
          <w:color w:val="231F20"/>
        </w:rPr>
        <w:t>Брадарац, по лини- ји до </w:t>
      </w:r>
      <w:r>
        <w:rPr>
          <w:color w:val="231F20"/>
          <w:spacing w:val="-3"/>
        </w:rPr>
        <w:t>тачке </w:t>
      </w:r>
      <w:r>
        <w:rPr>
          <w:color w:val="231F20"/>
        </w:rPr>
        <w:t>А23 сече к.п. бр. 3359/2, у тачки А23 мења правац и  по спољњој граници је к.п. бр. 3359/2, 2777, 2778, 2779 и 2800 до </w:t>
      </w:r>
      <w:r>
        <w:rPr>
          <w:color w:val="231F20"/>
          <w:spacing w:val="-3"/>
        </w:rPr>
        <w:t>тачке </w:t>
      </w:r>
      <w:r>
        <w:rPr>
          <w:color w:val="231F20"/>
        </w:rPr>
        <w:t>А24, а даље између тачака А24 и А25 сече к.п. бр. 3354; да- ље</w:t>
      </w:r>
      <w:r>
        <w:rPr>
          <w:color w:val="231F20"/>
          <w:spacing w:val="11"/>
        </w:rPr>
        <w:t> </w:t>
      </w:r>
      <w:r>
        <w:rPr>
          <w:color w:val="231F20"/>
        </w:rPr>
        <w:t>је</w:t>
      </w:r>
      <w:r>
        <w:rPr>
          <w:color w:val="231F20"/>
          <w:spacing w:val="11"/>
        </w:rPr>
        <w:t> </w:t>
      </w:r>
      <w:r>
        <w:rPr>
          <w:color w:val="231F20"/>
        </w:rPr>
        <w:t>по</w:t>
      </w:r>
      <w:r>
        <w:rPr>
          <w:color w:val="231F20"/>
          <w:spacing w:val="11"/>
        </w:rPr>
        <w:t> </w:t>
      </w:r>
      <w:r>
        <w:rPr>
          <w:color w:val="231F20"/>
        </w:rPr>
        <w:t>спољњој</w:t>
      </w:r>
      <w:r>
        <w:rPr>
          <w:color w:val="231F20"/>
          <w:spacing w:val="11"/>
        </w:rPr>
        <w:t> </w:t>
      </w:r>
      <w:r>
        <w:rPr>
          <w:color w:val="231F20"/>
        </w:rPr>
        <w:t>граници</w:t>
      </w:r>
      <w:r>
        <w:rPr>
          <w:color w:val="231F20"/>
          <w:spacing w:val="11"/>
        </w:rPr>
        <w:t> </w:t>
      </w:r>
      <w:r>
        <w:rPr>
          <w:color w:val="231F20"/>
        </w:rPr>
        <w:t>к.п.</w:t>
      </w:r>
      <w:r>
        <w:rPr>
          <w:color w:val="231F20"/>
          <w:spacing w:val="11"/>
        </w:rPr>
        <w:t> </w:t>
      </w:r>
      <w:r>
        <w:rPr>
          <w:color w:val="231F20"/>
        </w:rPr>
        <w:t>бр.</w:t>
      </w:r>
      <w:r>
        <w:rPr>
          <w:color w:val="231F20"/>
          <w:spacing w:val="11"/>
        </w:rPr>
        <w:t> </w:t>
      </w:r>
      <w:r>
        <w:rPr>
          <w:color w:val="231F20"/>
        </w:rPr>
        <w:t>2725,</w:t>
      </w:r>
      <w:r>
        <w:rPr>
          <w:color w:val="231F20"/>
          <w:spacing w:val="11"/>
        </w:rPr>
        <w:t> </w:t>
      </w:r>
      <w:r>
        <w:rPr>
          <w:color w:val="231F20"/>
        </w:rPr>
        <w:t>2724,</w:t>
      </w:r>
      <w:r>
        <w:rPr>
          <w:color w:val="231F20"/>
          <w:spacing w:val="11"/>
        </w:rPr>
        <w:t> </w:t>
      </w:r>
      <w:r>
        <w:rPr>
          <w:color w:val="231F20"/>
        </w:rPr>
        <w:t>2717,</w:t>
      </w:r>
      <w:r>
        <w:rPr>
          <w:color w:val="231F20"/>
          <w:spacing w:val="11"/>
        </w:rPr>
        <w:t> </w:t>
      </w:r>
      <w:r>
        <w:rPr>
          <w:color w:val="231F20"/>
        </w:rPr>
        <w:t>2716</w:t>
      </w:r>
      <w:r>
        <w:rPr>
          <w:color w:val="231F20"/>
          <w:spacing w:val="11"/>
        </w:rPr>
        <w:t> </w:t>
      </w:r>
      <w:r>
        <w:rPr>
          <w:color w:val="231F20"/>
        </w:rPr>
        <w:t>и</w:t>
      </w:r>
      <w:r>
        <w:rPr>
          <w:color w:val="231F20"/>
          <w:spacing w:val="11"/>
        </w:rPr>
        <w:t> </w:t>
      </w:r>
      <w:r>
        <w:rPr>
          <w:color w:val="231F20"/>
        </w:rPr>
        <w:t>2715,</w:t>
      </w:r>
    </w:p>
    <w:p>
      <w:pPr>
        <w:pStyle w:val="BodyText"/>
        <w:spacing w:line="232" w:lineRule="auto"/>
        <w:ind w:left="169" w:right="38" w:hanging="1"/>
      </w:pPr>
      <w:r>
        <w:rPr>
          <w:color w:val="231F20"/>
        </w:rPr>
        <w:t>сече к.п. бр. 2703, 2702, 2701 и 2700 по линији између тачака А26 и А27, по спољњој је граници к.п. бр. 2697, а сече к.п. бр. 2696 и 2695 по линији између А28 и А29; даље је по спољњој граници к.п. бр. 2693 и сече к.п. бр. 2690, 2689, 2688 и 2687 по линији из- међу тачака А30 и А31; по спољњој граници је к.п. бр. 2686, 2683 и 2682, а сече к.п. бр. 2679, 2678, 2677 и 3353 између тачака А32</w:t>
      </w:r>
      <w:r>
        <w:rPr>
          <w:color w:val="231F20"/>
          <w:spacing w:val="-18"/>
        </w:rPr>
        <w:t> </w:t>
      </w:r>
      <w:r>
        <w:rPr>
          <w:color w:val="231F20"/>
        </w:rPr>
        <w:t>и</w:t>
      </w:r>
    </w:p>
    <w:p>
      <w:pPr>
        <w:spacing w:line="149" w:lineRule="exact" w:before="0"/>
        <w:ind w:left="170" w:right="0" w:firstLine="0"/>
        <w:jc w:val="both"/>
        <w:rPr>
          <w:sz w:val="14"/>
        </w:rPr>
      </w:pPr>
      <w:r>
        <w:rPr>
          <w:color w:val="231F20"/>
          <w:w w:val="66"/>
          <w:sz w:val="14"/>
        </w:rPr>
        <w:t> </w:t>
      </w:r>
      <w:r>
        <w:rPr>
          <w:color w:val="231F20"/>
          <w:w w:val="75"/>
          <w:sz w:val="14"/>
        </w:rPr>
        <w:t>– – – – – – – – – – – – – –</w:t>
      </w:r>
    </w:p>
    <w:p>
      <w:pPr>
        <w:pStyle w:val="ListParagraph"/>
        <w:numPr>
          <w:ilvl w:val="0"/>
          <w:numId w:val="71"/>
        </w:numPr>
        <w:tabs>
          <w:tab w:pos="454" w:val="left" w:leader="none"/>
        </w:tabs>
        <w:spacing w:line="240" w:lineRule="auto" w:before="0" w:after="0"/>
        <w:ind w:left="453" w:right="38" w:hanging="283"/>
        <w:jc w:val="right"/>
        <w:rPr>
          <w:sz w:val="14"/>
        </w:rPr>
      </w:pPr>
      <w:r>
        <w:rPr>
          <w:color w:val="231F20"/>
          <w:sz w:val="14"/>
        </w:rPr>
        <w:t>Координате</w:t>
      </w:r>
      <w:r>
        <w:rPr>
          <w:color w:val="231F20"/>
          <w:spacing w:val="-9"/>
          <w:sz w:val="14"/>
        </w:rPr>
        <w:t> </w:t>
      </w:r>
      <w:r>
        <w:rPr>
          <w:color w:val="231F20"/>
          <w:sz w:val="14"/>
        </w:rPr>
        <w:t>дате</w:t>
      </w:r>
      <w:r>
        <w:rPr>
          <w:color w:val="231F20"/>
          <w:spacing w:val="-9"/>
          <w:sz w:val="14"/>
        </w:rPr>
        <w:t> </w:t>
      </w:r>
      <w:r>
        <w:rPr>
          <w:color w:val="231F20"/>
          <w:sz w:val="14"/>
        </w:rPr>
        <w:t>у</w:t>
      </w:r>
      <w:r>
        <w:rPr>
          <w:color w:val="231F20"/>
          <w:spacing w:val="-9"/>
          <w:sz w:val="14"/>
        </w:rPr>
        <w:t> </w:t>
      </w:r>
      <w:r>
        <w:rPr>
          <w:color w:val="231F20"/>
          <w:sz w:val="14"/>
        </w:rPr>
        <w:t>Просторном</w:t>
      </w:r>
      <w:r>
        <w:rPr>
          <w:color w:val="231F20"/>
          <w:spacing w:val="-9"/>
          <w:sz w:val="14"/>
        </w:rPr>
        <w:t> </w:t>
      </w:r>
      <w:r>
        <w:rPr>
          <w:color w:val="231F20"/>
          <w:sz w:val="14"/>
        </w:rPr>
        <w:t>плану</w:t>
      </w:r>
      <w:r>
        <w:rPr>
          <w:color w:val="231F20"/>
          <w:spacing w:val="-9"/>
          <w:sz w:val="14"/>
        </w:rPr>
        <w:t> </w:t>
      </w:r>
      <w:r>
        <w:rPr>
          <w:color w:val="231F20"/>
          <w:sz w:val="14"/>
        </w:rPr>
        <w:t>су</w:t>
      </w:r>
      <w:r>
        <w:rPr>
          <w:color w:val="231F20"/>
          <w:spacing w:val="-9"/>
          <w:sz w:val="14"/>
        </w:rPr>
        <w:t> </w:t>
      </w:r>
      <w:r>
        <w:rPr>
          <w:color w:val="231F20"/>
          <w:sz w:val="14"/>
        </w:rPr>
        <w:t>оријентационо</w:t>
      </w:r>
      <w:r>
        <w:rPr>
          <w:color w:val="231F20"/>
          <w:spacing w:val="-9"/>
          <w:sz w:val="14"/>
        </w:rPr>
        <w:t> </w:t>
      </w:r>
      <w:r>
        <w:rPr>
          <w:color w:val="231F20"/>
          <w:sz w:val="14"/>
        </w:rPr>
        <w:t>и</w:t>
      </w:r>
      <w:r>
        <w:rPr>
          <w:color w:val="231F20"/>
          <w:spacing w:val="-9"/>
          <w:sz w:val="14"/>
        </w:rPr>
        <w:t> </w:t>
      </w:r>
      <w:r>
        <w:rPr>
          <w:color w:val="231F20"/>
          <w:sz w:val="14"/>
        </w:rPr>
        <w:t>захтевају</w:t>
      </w:r>
      <w:r>
        <w:rPr>
          <w:color w:val="231F20"/>
          <w:spacing w:val="-9"/>
          <w:sz w:val="14"/>
        </w:rPr>
        <w:t> </w:t>
      </w:r>
      <w:r>
        <w:rPr>
          <w:color w:val="231F20"/>
          <w:sz w:val="14"/>
        </w:rPr>
        <w:t>проверу</w:t>
      </w:r>
      <w:r>
        <w:rPr>
          <w:color w:val="231F20"/>
          <w:spacing w:val="-9"/>
          <w:sz w:val="14"/>
        </w:rPr>
        <w:t> </w:t>
      </w:r>
      <w:r>
        <w:rPr>
          <w:color w:val="231F20"/>
          <w:sz w:val="14"/>
        </w:rPr>
        <w:t>у</w:t>
      </w:r>
      <w:r>
        <w:rPr>
          <w:color w:val="231F20"/>
          <w:spacing w:val="-9"/>
          <w:sz w:val="14"/>
        </w:rPr>
        <w:t> </w:t>
      </w:r>
      <w:r>
        <w:rPr>
          <w:color w:val="231F20"/>
          <w:sz w:val="14"/>
        </w:rPr>
        <w:t>од- говарајућим</w:t>
      </w:r>
      <w:r>
        <w:rPr>
          <w:color w:val="231F20"/>
          <w:spacing w:val="-6"/>
          <w:sz w:val="14"/>
        </w:rPr>
        <w:t> </w:t>
      </w:r>
      <w:r>
        <w:rPr>
          <w:color w:val="231F20"/>
          <w:sz w:val="14"/>
        </w:rPr>
        <w:t>пројектима</w:t>
      </w:r>
      <w:r>
        <w:rPr>
          <w:color w:val="231F20"/>
          <w:spacing w:val="-6"/>
          <w:sz w:val="14"/>
        </w:rPr>
        <w:t> </w:t>
      </w:r>
      <w:r>
        <w:rPr>
          <w:color w:val="231F20"/>
          <w:sz w:val="14"/>
        </w:rPr>
        <w:t>парцелације</w:t>
      </w:r>
      <w:r>
        <w:rPr>
          <w:color w:val="231F20"/>
          <w:spacing w:val="-6"/>
          <w:sz w:val="14"/>
        </w:rPr>
        <w:t> </w:t>
      </w:r>
      <w:r>
        <w:rPr>
          <w:color w:val="231F20"/>
          <w:sz w:val="14"/>
        </w:rPr>
        <w:t>или</w:t>
      </w:r>
      <w:r>
        <w:rPr>
          <w:color w:val="231F20"/>
          <w:spacing w:val="-7"/>
          <w:sz w:val="14"/>
        </w:rPr>
        <w:t> </w:t>
      </w:r>
      <w:r>
        <w:rPr>
          <w:color w:val="231F20"/>
          <w:sz w:val="14"/>
        </w:rPr>
        <w:t>приликом</w:t>
      </w:r>
      <w:r>
        <w:rPr>
          <w:color w:val="231F20"/>
          <w:spacing w:val="-6"/>
          <w:sz w:val="14"/>
        </w:rPr>
        <w:t> </w:t>
      </w:r>
      <w:r>
        <w:rPr>
          <w:color w:val="231F20"/>
          <w:sz w:val="14"/>
        </w:rPr>
        <w:t>утврђивања</w:t>
      </w:r>
      <w:r>
        <w:rPr>
          <w:color w:val="231F20"/>
          <w:spacing w:val="-7"/>
          <w:sz w:val="14"/>
        </w:rPr>
        <w:t> </w:t>
      </w:r>
      <w:r>
        <w:rPr>
          <w:color w:val="231F20"/>
          <w:sz w:val="14"/>
        </w:rPr>
        <w:t>јавног</w:t>
      </w:r>
      <w:r>
        <w:rPr>
          <w:color w:val="231F20"/>
          <w:spacing w:val="-7"/>
          <w:sz w:val="14"/>
        </w:rPr>
        <w:t> </w:t>
      </w:r>
      <w:r>
        <w:rPr>
          <w:color w:val="231F20"/>
          <w:sz w:val="14"/>
        </w:rPr>
        <w:t>интереса.</w:t>
      </w:r>
    </w:p>
    <w:p>
      <w:pPr>
        <w:pStyle w:val="BodyText"/>
        <w:spacing w:line="232" w:lineRule="auto" w:before="73"/>
        <w:ind w:left="169" w:right="411"/>
      </w:pPr>
      <w:r>
        <w:rPr/>
        <w:br w:type="column"/>
      </w:r>
      <w:r>
        <w:rPr>
          <w:color w:val="231F20"/>
        </w:rPr>
        <w:t>А33; по спољњој граници је к.п. бр. 2915, 2911, 2910, 2916 и 2917, мења правац и по линији између тачака А34, А35 и А36 сече к.п. бр. 2917, 2918, 2919, 2920, 2921 и 2924, а даље је по спољњој гра-</w:t>
      </w:r>
    </w:p>
    <w:p>
      <w:pPr>
        <w:pStyle w:val="BodyText"/>
        <w:spacing w:line="201" w:lineRule="exact"/>
        <w:ind w:left="169"/>
        <w:jc w:val="left"/>
      </w:pPr>
      <w:r>
        <w:rPr>
          <w:color w:val="231F20"/>
        </w:rPr>
        <w:t>ници к.п. бр. 2925, 2932, 2998, 2999, 3000, 2991, 2993, 2994, 2985 и</w:t>
      </w:r>
    </w:p>
    <w:p>
      <w:pPr>
        <w:pStyle w:val="BodyText"/>
        <w:spacing w:line="232" w:lineRule="auto" w:before="2"/>
        <w:ind w:left="169" w:right="411"/>
      </w:pPr>
      <w:r>
        <w:rPr>
          <w:color w:val="231F20"/>
        </w:rPr>
        <w:t>2966, мења правац али и даље је по спољњој граници к.п. бр. 2966 до </w:t>
      </w:r>
      <w:r>
        <w:rPr>
          <w:color w:val="231F20"/>
          <w:spacing w:val="-3"/>
        </w:rPr>
        <w:t>тачке </w:t>
      </w:r>
      <w:r>
        <w:rPr>
          <w:color w:val="231F20"/>
        </w:rPr>
        <w:t>А37; </w:t>
      </w:r>
      <w:r>
        <w:rPr>
          <w:color w:val="231F20"/>
          <w:spacing w:val="-3"/>
        </w:rPr>
        <w:t>од тачке </w:t>
      </w:r>
      <w:r>
        <w:rPr>
          <w:color w:val="231F20"/>
        </w:rPr>
        <w:t>А37 сече к.п. бр. 2965 по правој линији до </w:t>
      </w:r>
      <w:r>
        <w:rPr>
          <w:color w:val="231F20"/>
          <w:spacing w:val="-3"/>
        </w:rPr>
        <w:t>тачке</w:t>
      </w:r>
      <w:r>
        <w:rPr>
          <w:color w:val="231F20"/>
          <w:spacing w:val="-5"/>
        </w:rPr>
        <w:t> </w:t>
      </w:r>
      <w:r>
        <w:rPr>
          <w:color w:val="231F20"/>
        </w:rPr>
        <w:t>А38</w:t>
      </w:r>
      <w:r>
        <w:rPr>
          <w:color w:val="231F20"/>
          <w:spacing w:val="-5"/>
        </w:rPr>
        <w:t> </w:t>
      </w:r>
      <w:r>
        <w:rPr>
          <w:color w:val="231F20"/>
        </w:rPr>
        <w:t>на</w:t>
      </w:r>
      <w:r>
        <w:rPr>
          <w:color w:val="231F20"/>
          <w:spacing w:val="-5"/>
        </w:rPr>
        <w:t> </w:t>
      </w:r>
      <w:r>
        <w:rPr>
          <w:color w:val="231F20"/>
        </w:rPr>
        <w:t>граници</w:t>
      </w:r>
      <w:r>
        <w:rPr>
          <w:color w:val="231F20"/>
          <w:spacing w:val="-5"/>
        </w:rPr>
        <w:t> </w:t>
      </w:r>
      <w:r>
        <w:rPr>
          <w:color w:val="231F20"/>
          <w:spacing w:val="-3"/>
        </w:rPr>
        <w:t>КО</w:t>
      </w:r>
      <w:r>
        <w:rPr>
          <w:color w:val="231F20"/>
          <w:spacing w:val="-5"/>
        </w:rPr>
        <w:t> </w:t>
      </w:r>
      <w:r>
        <w:rPr>
          <w:color w:val="231F20"/>
        </w:rPr>
        <w:t>Брадарац</w:t>
      </w:r>
      <w:r>
        <w:rPr>
          <w:color w:val="231F20"/>
          <w:spacing w:val="-5"/>
        </w:rPr>
        <w:t> </w:t>
      </w:r>
      <w:r>
        <w:rPr>
          <w:color w:val="231F20"/>
        </w:rPr>
        <w:t>/</w:t>
      </w:r>
      <w:r>
        <w:rPr>
          <w:color w:val="231F20"/>
          <w:spacing w:val="-5"/>
        </w:rPr>
        <w:t> </w:t>
      </w:r>
      <w:r>
        <w:rPr>
          <w:color w:val="231F20"/>
          <w:spacing w:val="-3"/>
        </w:rPr>
        <w:t>КО</w:t>
      </w:r>
      <w:r>
        <w:rPr>
          <w:color w:val="231F20"/>
          <w:spacing w:val="-5"/>
        </w:rPr>
        <w:t> </w:t>
      </w:r>
      <w:r>
        <w:rPr>
          <w:color w:val="231F20"/>
        </w:rPr>
        <w:t>Ћириковац</w:t>
      </w:r>
      <w:r>
        <w:rPr>
          <w:color w:val="231F20"/>
          <w:spacing w:val="-5"/>
        </w:rPr>
        <w:t> </w:t>
      </w:r>
      <w:r>
        <w:rPr>
          <w:color w:val="231F20"/>
        </w:rPr>
        <w:t>и</w:t>
      </w:r>
      <w:r>
        <w:rPr>
          <w:color w:val="231F20"/>
          <w:spacing w:val="-5"/>
        </w:rPr>
        <w:t> </w:t>
      </w:r>
      <w:r>
        <w:rPr>
          <w:color w:val="231F20"/>
        </w:rPr>
        <w:t>по</w:t>
      </w:r>
      <w:r>
        <w:rPr>
          <w:color w:val="231F20"/>
          <w:spacing w:val="-5"/>
        </w:rPr>
        <w:t> </w:t>
      </w:r>
      <w:r>
        <w:rPr>
          <w:color w:val="231F20"/>
        </w:rPr>
        <w:t>тој</w:t>
      </w:r>
      <w:r>
        <w:rPr>
          <w:color w:val="231F20"/>
          <w:spacing w:val="-5"/>
        </w:rPr>
        <w:t> </w:t>
      </w:r>
      <w:r>
        <w:rPr>
          <w:color w:val="231F20"/>
        </w:rPr>
        <w:t>је</w:t>
      </w:r>
      <w:r>
        <w:rPr>
          <w:color w:val="231F20"/>
          <w:spacing w:val="-5"/>
        </w:rPr>
        <w:t> </w:t>
      </w:r>
      <w:r>
        <w:rPr>
          <w:color w:val="231F20"/>
        </w:rPr>
        <w:t>гра- ници до почетне </w:t>
      </w:r>
      <w:r>
        <w:rPr>
          <w:color w:val="231F20"/>
          <w:spacing w:val="-3"/>
        </w:rPr>
        <w:t>тачке </w:t>
      </w:r>
      <w:r>
        <w:rPr>
          <w:color w:val="231F20"/>
        </w:rPr>
        <w:t>(све </w:t>
      </w:r>
      <w:r>
        <w:rPr>
          <w:color w:val="231F20"/>
          <w:spacing w:val="-3"/>
        </w:rPr>
        <w:t>КО</w:t>
      </w:r>
      <w:r>
        <w:rPr>
          <w:color w:val="231F20"/>
          <w:spacing w:val="-2"/>
        </w:rPr>
        <w:t> </w:t>
      </w:r>
      <w:r>
        <w:rPr>
          <w:color w:val="231F20"/>
        </w:rPr>
        <w:t>Брадарац).</w:t>
      </w:r>
    </w:p>
    <w:p>
      <w:pPr>
        <w:pStyle w:val="BodyText"/>
        <w:spacing w:line="235" w:lineRule="auto" w:before="3"/>
        <w:ind w:left="169" w:right="411" w:firstLine="396"/>
      </w:pPr>
      <w:r>
        <w:rPr>
          <w:color w:val="231F20"/>
        </w:rPr>
        <w:t>Између објеката новог система за прикупљање пепела и шљаке у оквиру </w:t>
      </w:r>
      <w:r>
        <w:rPr>
          <w:color w:val="231F20"/>
          <w:spacing w:val="-3"/>
        </w:rPr>
        <w:t>комплекса </w:t>
      </w:r>
      <w:r>
        <w:rPr>
          <w:color w:val="231F20"/>
        </w:rPr>
        <w:t>ТЕ „Костолац Б” и депоније у </w:t>
      </w:r>
      <w:r>
        <w:rPr>
          <w:color w:val="231F20"/>
          <w:spacing w:val="-3"/>
        </w:rPr>
        <w:t>откопа- </w:t>
      </w:r>
      <w:r>
        <w:rPr>
          <w:color w:val="231F20"/>
        </w:rPr>
        <w:t>ном простору ПК </w:t>
      </w:r>
      <w:r>
        <w:rPr>
          <w:color w:val="231F20"/>
          <w:spacing w:val="-3"/>
        </w:rPr>
        <w:t>„Ћириковац”, </w:t>
      </w:r>
      <w:r>
        <w:rPr>
          <w:color w:val="231F20"/>
        </w:rPr>
        <w:t>кроз подручје </w:t>
      </w:r>
      <w:r>
        <w:rPr>
          <w:color w:val="231F20"/>
          <w:spacing w:val="-3"/>
        </w:rPr>
        <w:t>КО </w:t>
      </w:r>
      <w:r>
        <w:rPr>
          <w:color w:val="231F20"/>
        </w:rPr>
        <w:t>Костолац село, </w:t>
      </w:r>
      <w:r>
        <w:rPr>
          <w:color w:val="231F20"/>
          <w:spacing w:val="-3"/>
        </w:rPr>
        <w:t>КО </w:t>
      </w:r>
      <w:r>
        <w:rPr>
          <w:color w:val="231F20"/>
        </w:rPr>
        <w:t>Дрмно и </w:t>
      </w:r>
      <w:r>
        <w:rPr>
          <w:color w:val="231F20"/>
          <w:spacing w:val="-3"/>
        </w:rPr>
        <w:t>КО </w:t>
      </w:r>
      <w:r>
        <w:rPr>
          <w:color w:val="231F20"/>
        </w:rPr>
        <w:t>Брадарац, положени су цевоводи хидромешавине пепела и шљаке са цевоводом повратне воде. На траси цевовода за хидраулички транспорт пепела, у односу на број и распоред це- ви, врсту носеће конструкције, а пре свега диспозициони однос и захтевана растојања у односу на </w:t>
      </w:r>
      <w:r>
        <w:rPr>
          <w:color w:val="231F20"/>
          <w:spacing w:val="-3"/>
        </w:rPr>
        <w:t>околне </w:t>
      </w:r>
      <w:r>
        <w:rPr>
          <w:color w:val="231F20"/>
        </w:rPr>
        <w:t>системе, као и с обзиром на друге урбанистичке елементе регулације, разликују се три сег- мента:</w:t>
      </w:r>
    </w:p>
    <w:p>
      <w:pPr>
        <w:pStyle w:val="ListParagraph"/>
        <w:numPr>
          <w:ilvl w:val="1"/>
          <w:numId w:val="71"/>
        </w:numPr>
        <w:tabs>
          <w:tab w:pos="764" w:val="left" w:leader="none"/>
        </w:tabs>
        <w:spacing w:line="235" w:lineRule="auto" w:before="5" w:after="0"/>
        <w:ind w:left="169" w:right="411" w:firstLine="397"/>
        <w:jc w:val="both"/>
        <w:rPr>
          <w:sz w:val="18"/>
        </w:rPr>
      </w:pPr>
      <w:r>
        <w:rPr>
          <w:color w:val="231F20"/>
          <w:sz w:val="18"/>
        </w:rPr>
        <w:t>на делу трасе, оквирне дужине 780 m, између почетне тач- </w:t>
      </w:r>
      <w:r>
        <w:rPr>
          <w:color w:val="231F20"/>
          <w:spacing w:val="-3"/>
          <w:sz w:val="18"/>
        </w:rPr>
        <w:t>ке </w:t>
      </w:r>
      <w:r>
        <w:rPr>
          <w:color w:val="231F20"/>
          <w:sz w:val="18"/>
        </w:rPr>
        <w:t>О0 и </w:t>
      </w:r>
      <w:r>
        <w:rPr>
          <w:color w:val="231F20"/>
          <w:spacing w:val="-3"/>
          <w:sz w:val="18"/>
        </w:rPr>
        <w:t>тачке </w:t>
      </w:r>
      <w:r>
        <w:rPr>
          <w:color w:val="231F20"/>
          <w:sz w:val="18"/>
        </w:rPr>
        <w:t>О3 кроз ограђени </w:t>
      </w:r>
      <w:r>
        <w:rPr>
          <w:color w:val="231F20"/>
          <w:spacing w:val="-3"/>
          <w:sz w:val="18"/>
        </w:rPr>
        <w:t>комплекс </w:t>
      </w:r>
      <w:r>
        <w:rPr>
          <w:color w:val="231F20"/>
          <w:sz w:val="18"/>
        </w:rPr>
        <w:t>термоелектране (к.п. бр. 303, </w:t>
      </w:r>
      <w:r>
        <w:rPr>
          <w:color w:val="231F20"/>
          <w:spacing w:val="-3"/>
          <w:sz w:val="18"/>
        </w:rPr>
        <w:t>КО </w:t>
      </w:r>
      <w:r>
        <w:rPr>
          <w:color w:val="231F20"/>
          <w:sz w:val="18"/>
        </w:rPr>
        <w:t>Костолац село);</w:t>
      </w:r>
    </w:p>
    <w:p>
      <w:pPr>
        <w:pStyle w:val="ListParagraph"/>
        <w:numPr>
          <w:ilvl w:val="1"/>
          <w:numId w:val="71"/>
        </w:numPr>
        <w:tabs>
          <w:tab w:pos="783" w:val="left" w:leader="none"/>
        </w:tabs>
        <w:spacing w:line="235" w:lineRule="auto" w:before="2" w:after="0"/>
        <w:ind w:left="170" w:right="410" w:firstLine="396"/>
        <w:jc w:val="both"/>
        <w:rPr>
          <w:sz w:val="18"/>
        </w:rPr>
      </w:pPr>
      <w:r>
        <w:rPr>
          <w:color w:val="231F20"/>
          <w:sz w:val="18"/>
        </w:rPr>
        <w:t>на делу трасе, оквирне дужине 170m, између </w:t>
      </w:r>
      <w:r>
        <w:rPr>
          <w:color w:val="231F20"/>
          <w:spacing w:val="-3"/>
          <w:sz w:val="18"/>
        </w:rPr>
        <w:t>тачке </w:t>
      </w:r>
      <w:r>
        <w:rPr>
          <w:color w:val="231F20"/>
          <w:sz w:val="18"/>
        </w:rPr>
        <w:t>О3 и </w:t>
      </w:r>
      <w:r>
        <w:rPr>
          <w:color w:val="231F20"/>
          <w:spacing w:val="-3"/>
          <w:sz w:val="18"/>
        </w:rPr>
        <w:t>тачке </w:t>
      </w:r>
      <w:r>
        <w:rPr>
          <w:color w:val="231F20"/>
          <w:sz w:val="18"/>
        </w:rPr>
        <w:t>О5, кроз земљиште корисника ПД </w:t>
      </w:r>
      <w:r>
        <w:rPr>
          <w:color w:val="231F20"/>
          <w:spacing w:val="-3"/>
          <w:sz w:val="18"/>
        </w:rPr>
        <w:t>„Термоелектране </w:t>
      </w:r>
      <w:r>
        <w:rPr>
          <w:color w:val="231F20"/>
          <w:sz w:val="18"/>
        </w:rPr>
        <w:t>и </w:t>
      </w:r>
      <w:r>
        <w:rPr>
          <w:color w:val="231F20"/>
          <w:spacing w:val="-3"/>
          <w:sz w:val="18"/>
        </w:rPr>
        <w:t>копови </w:t>
      </w:r>
      <w:r>
        <w:rPr>
          <w:color w:val="231F20"/>
          <w:sz w:val="18"/>
        </w:rPr>
        <w:t>Костолац”, највећим делом прибављено у поступку експроприја- ције или другим правним послом за потребе изградње и одржа- вања објеката у оквиру </w:t>
      </w:r>
      <w:r>
        <w:rPr>
          <w:color w:val="231F20"/>
          <w:spacing w:val="-4"/>
          <w:sz w:val="18"/>
        </w:rPr>
        <w:t>рударско </w:t>
      </w:r>
      <w:r>
        <w:rPr>
          <w:color w:val="231F20"/>
          <w:sz w:val="18"/>
        </w:rPr>
        <w:t>– енергетског </w:t>
      </w:r>
      <w:r>
        <w:rPr>
          <w:color w:val="231F20"/>
          <w:spacing w:val="-3"/>
          <w:sz w:val="18"/>
        </w:rPr>
        <w:t>комплекса који </w:t>
      </w:r>
      <w:r>
        <w:rPr>
          <w:color w:val="231F20"/>
          <w:sz w:val="18"/>
        </w:rPr>
        <w:t>су функционално повезани са објектима термоелектрана; (обухваће- не су целе к.п.бр. 2109, </w:t>
      </w:r>
      <w:r>
        <w:rPr>
          <w:color w:val="231F20"/>
          <w:spacing w:val="-3"/>
          <w:sz w:val="18"/>
        </w:rPr>
        <w:t>2111, </w:t>
      </w:r>
      <w:r>
        <w:rPr>
          <w:color w:val="231F20"/>
          <w:sz w:val="18"/>
        </w:rPr>
        <w:t>2114, 2115, 2117, 2120 и део к.п.бр. 303 на подручју </w:t>
      </w:r>
      <w:r>
        <w:rPr>
          <w:color w:val="231F20"/>
          <w:spacing w:val="-3"/>
          <w:sz w:val="18"/>
        </w:rPr>
        <w:t>КО </w:t>
      </w:r>
      <w:r>
        <w:rPr>
          <w:color w:val="231F20"/>
          <w:sz w:val="18"/>
        </w:rPr>
        <w:t>Костолац</w:t>
      </w:r>
      <w:r>
        <w:rPr>
          <w:color w:val="231F20"/>
          <w:spacing w:val="-3"/>
          <w:sz w:val="18"/>
        </w:rPr>
        <w:t> </w:t>
      </w:r>
      <w:r>
        <w:rPr>
          <w:color w:val="231F20"/>
          <w:sz w:val="18"/>
        </w:rPr>
        <w:t>село);</w:t>
      </w:r>
    </w:p>
    <w:p>
      <w:pPr>
        <w:pStyle w:val="ListParagraph"/>
        <w:numPr>
          <w:ilvl w:val="1"/>
          <w:numId w:val="71"/>
        </w:numPr>
        <w:tabs>
          <w:tab w:pos="784" w:val="left" w:leader="none"/>
        </w:tabs>
        <w:spacing w:line="235" w:lineRule="auto" w:before="5" w:after="0"/>
        <w:ind w:left="170" w:right="410" w:firstLine="397"/>
        <w:jc w:val="both"/>
        <w:rPr>
          <w:sz w:val="18"/>
        </w:rPr>
      </w:pPr>
      <w:r>
        <w:rPr>
          <w:color w:val="231F20"/>
          <w:sz w:val="18"/>
        </w:rPr>
        <w:t>на делу трасе, оквирне дужине 1170 m, између </w:t>
      </w:r>
      <w:r>
        <w:rPr>
          <w:color w:val="231F20"/>
          <w:spacing w:val="-3"/>
          <w:sz w:val="18"/>
        </w:rPr>
        <w:t>тачке  </w:t>
      </w:r>
      <w:r>
        <w:rPr>
          <w:color w:val="231F20"/>
          <w:sz w:val="18"/>
        </w:rPr>
        <w:t>О5  и </w:t>
      </w:r>
      <w:r>
        <w:rPr>
          <w:color w:val="231F20"/>
          <w:spacing w:val="-3"/>
          <w:sz w:val="18"/>
        </w:rPr>
        <w:t>тачке </w:t>
      </w:r>
      <w:r>
        <w:rPr>
          <w:color w:val="231F20"/>
          <w:sz w:val="18"/>
        </w:rPr>
        <w:t>О9, кроз земљиште корисника ПД </w:t>
      </w:r>
      <w:r>
        <w:rPr>
          <w:color w:val="231F20"/>
          <w:spacing w:val="-3"/>
          <w:sz w:val="18"/>
        </w:rPr>
        <w:t>„Термоелектране </w:t>
      </w:r>
      <w:r>
        <w:rPr>
          <w:color w:val="231F20"/>
          <w:sz w:val="18"/>
        </w:rPr>
        <w:t>и </w:t>
      </w:r>
      <w:r>
        <w:rPr>
          <w:color w:val="231F20"/>
          <w:spacing w:val="-4"/>
          <w:sz w:val="18"/>
        </w:rPr>
        <w:t>ко- </w:t>
      </w:r>
      <w:r>
        <w:rPr>
          <w:color w:val="231F20"/>
          <w:sz w:val="18"/>
        </w:rPr>
        <w:t>пови Костолац”, највећим делом прибављено у поступку експро- пријације или другим правним послом за потребе изградње и одржавања објеката у оквиру </w:t>
      </w:r>
      <w:r>
        <w:rPr>
          <w:color w:val="231F20"/>
          <w:spacing w:val="-4"/>
          <w:sz w:val="18"/>
        </w:rPr>
        <w:t>рударско </w:t>
      </w:r>
      <w:r>
        <w:rPr>
          <w:color w:val="231F20"/>
          <w:sz w:val="18"/>
        </w:rPr>
        <w:t>– енергетског </w:t>
      </w:r>
      <w:r>
        <w:rPr>
          <w:color w:val="231F20"/>
          <w:spacing w:val="-3"/>
          <w:sz w:val="18"/>
        </w:rPr>
        <w:t>комплекса, који </w:t>
      </w:r>
      <w:r>
        <w:rPr>
          <w:color w:val="231F20"/>
          <w:sz w:val="18"/>
        </w:rPr>
        <w:t>су функционално повезани са објектима термоелектране (об- ухваћене су целе к.п.бр. 551, 558, 559, 560/1, 560/2, 561, 562, 563, 564, 565, 567, 568, 569, 570, 571, 572, 1873, 1874, 1875, 1876, 1882, 1883, 1884, 1885, 1887, 1888, 1889, 1890, 1914, 1915, 1916, 1918, 1919, 1920, 1921, 1922, 1949, 1951, 1952, 1953, 1954, 1955, 1956/1, 1957,</w:t>
      </w:r>
      <w:r>
        <w:rPr>
          <w:color w:val="231F20"/>
          <w:spacing w:val="-4"/>
          <w:sz w:val="18"/>
        </w:rPr>
        <w:t> </w:t>
      </w:r>
      <w:r>
        <w:rPr>
          <w:color w:val="231F20"/>
          <w:sz w:val="18"/>
        </w:rPr>
        <w:t>1958,</w:t>
      </w:r>
      <w:r>
        <w:rPr>
          <w:color w:val="231F20"/>
          <w:spacing w:val="-4"/>
          <w:sz w:val="18"/>
        </w:rPr>
        <w:t> </w:t>
      </w:r>
      <w:r>
        <w:rPr>
          <w:color w:val="231F20"/>
          <w:sz w:val="18"/>
        </w:rPr>
        <w:t>1959,</w:t>
      </w:r>
      <w:r>
        <w:rPr>
          <w:color w:val="231F20"/>
          <w:spacing w:val="-4"/>
          <w:sz w:val="18"/>
        </w:rPr>
        <w:t> </w:t>
      </w:r>
      <w:r>
        <w:rPr>
          <w:color w:val="231F20"/>
          <w:sz w:val="18"/>
        </w:rPr>
        <w:t>1974,</w:t>
      </w:r>
      <w:r>
        <w:rPr>
          <w:color w:val="231F20"/>
          <w:spacing w:val="-4"/>
          <w:sz w:val="18"/>
        </w:rPr>
        <w:t> </w:t>
      </w:r>
      <w:r>
        <w:rPr>
          <w:color w:val="231F20"/>
          <w:sz w:val="18"/>
        </w:rPr>
        <w:t>1976,</w:t>
      </w:r>
      <w:r>
        <w:rPr>
          <w:color w:val="231F20"/>
          <w:spacing w:val="-4"/>
          <w:sz w:val="18"/>
        </w:rPr>
        <w:t> </w:t>
      </w:r>
      <w:r>
        <w:rPr>
          <w:color w:val="231F20"/>
          <w:sz w:val="18"/>
        </w:rPr>
        <w:t>1977,</w:t>
      </w:r>
      <w:r>
        <w:rPr>
          <w:color w:val="231F20"/>
          <w:spacing w:val="-4"/>
          <w:sz w:val="18"/>
        </w:rPr>
        <w:t> </w:t>
      </w:r>
      <w:r>
        <w:rPr>
          <w:color w:val="231F20"/>
          <w:sz w:val="18"/>
        </w:rPr>
        <w:t>1979,</w:t>
      </w:r>
      <w:r>
        <w:rPr>
          <w:color w:val="231F20"/>
          <w:spacing w:val="-4"/>
          <w:sz w:val="18"/>
        </w:rPr>
        <w:t> </w:t>
      </w:r>
      <w:r>
        <w:rPr>
          <w:color w:val="231F20"/>
          <w:sz w:val="18"/>
        </w:rPr>
        <w:t>1980,</w:t>
      </w:r>
      <w:r>
        <w:rPr>
          <w:color w:val="231F20"/>
          <w:spacing w:val="-4"/>
          <w:sz w:val="18"/>
        </w:rPr>
        <w:t> </w:t>
      </w:r>
      <w:r>
        <w:rPr>
          <w:color w:val="231F20"/>
          <w:sz w:val="18"/>
        </w:rPr>
        <w:t>1981,</w:t>
      </w:r>
      <w:r>
        <w:rPr>
          <w:color w:val="231F20"/>
          <w:spacing w:val="-4"/>
          <w:sz w:val="18"/>
        </w:rPr>
        <w:t> </w:t>
      </w:r>
      <w:r>
        <w:rPr>
          <w:color w:val="231F20"/>
          <w:sz w:val="18"/>
        </w:rPr>
        <w:t>1986,</w:t>
      </w:r>
      <w:r>
        <w:rPr>
          <w:color w:val="231F20"/>
          <w:spacing w:val="-4"/>
          <w:sz w:val="18"/>
        </w:rPr>
        <w:t> </w:t>
      </w:r>
      <w:r>
        <w:rPr>
          <w:color w:val="231F20"/>
          <w:sz w:val="18"/>
        </w:rPr>
        <w:t>2005/11, 2005/12, 2005/13, 2005/14, 2005/15, 2005/16, 2005/17, 2005/18 и</w:t>
      </w:r>
      <w:r>
        <w:rPr>
          <w:color w:val="231F20"/>
          <w:spacing w:val="-17"/>
          <w:sz w:val="18"/>
        </w:rPr>
        <w:t> </w:t>
      </w:r>
      <w:r>
        <w:rPr>
          <w:color w:val="231F20"/>
          <w:sz w:val="18"/>
        </w:rPr>
        <w:t>део к.п. бр. 1886/1 и</w:t>
      </w:r>
      <w:r>
        <w:rPr>
          <w:color w:val="231F20"/>
          <w:spacing w:val="-1"/>
          <w:sz w:val="18"/>
        </w:rPr>
        <w:t> </w:t>
      </w:r>
      <w:r>
        <w:rPr>
          <w:color w:val="231F20"/>
          <w:sz w:val="18"/>
        </w:rPr>
        <w:t>1984);</w:t>
      </w:r>
    </w:p>
    <w:p>
      <w:pPr>
        <w:pStyle w:val="ListParagraph"/>
        <w:numPr>
          <w:ilvl w:val="1"/>
          <w:numId w:val="71"/>
        </w:numPr>
        <w:tabs>
          <w:tab w:pos="764" w:val="left" w:leader="none"/>
        </w:tabs>
        <w:spacing w:line="235" w:lineRule="auto" w:before="7" w:after="0"/>
        <w:ind w:left="170" w:right="409" w:firstLine="397"/>
        <w:jc w:val="both"/>
        <w:rPr>
          <w:sz w:val="18"/>
        </w:rPr>
      </w:pPr>
      <w:r>
        <w:rPr>
          <w:color w:val="231F20"/>
          <w:sz w:val="18"/>
        </w:rPr>
        <w:t>на делу трасе кроз </w:t>
      </w:r>
      <w:r>
        <w:rPr>
          <w:color w:val="231F20"/>
          <w:spacing w:val="-3"/>
          <w:sz w:val="18"/>
        </w:rPr>
        <w:t>комплекс </w:t>
      </w:r>
      <w:r>
        <w:rPr>
          <w:color w:val="231F20"/>
          <w:sz w:val="18"/>
        </w:rPr>
        <w:t>„Долина реке Млаве” у дужи- ни </w:t>
      </w:r>
      <w:r>
        <w:rPr>
          <w:color w:val="231F20"/>
          <w:spacing w:val="-3"/>
          <w:sz w:val="18"/>
        </w:rPr>
        <w:t>од </w:t>
      </w:r>
      <w:r>
        <w:rPr>
          <w:color w:val="231F20"/>
          <w:spacing w:val="-4"/>
          <w:sz w:val="18"/>
        </w:rPr>
        <w:t>око </w:t>
      </w:r>
      <w:r>
        <w:rPr>
          <w:color w:val="231F20"/>
          <w:sz w:val="18"/>
        </w:rPr>
        <w:t>2830 m до планиране депоније пепела одакле се наста- вља развод по обиму депоније (обухваћене су целе к.п. бр. 2277, 2278, 2279, 2280, 2307, 2308, 2312, 2313, 2314, 2317, 2318, 2319, 2320, 2327, 2330, 2331, 2332, 2333, 2337, 2340, 2341, 2351, 2352, 2353, и део к.п.бр. 2361, 2687(све </w:t>
      </w:r>
      <w:r>
        <w:rPr>
          <w:color w:val="231F20"/>
          <w:spacing w:val="-3"/>
          <w:sz w:val="18"/>
        </w:rPr>
        <w:t>КО </w:t>
      </w:r>
      <w:r>
        <w:rPr>
          <w:color w:val="231F20"/>
          <w:sz w:val="18"/>
        </w:rPr>
        <w:t>Костолац село) целе к.п. бр. 1547, 1553, 1554, 1565, 1566, 1567, 1568, 1569, 1572, 1573, 1574, 1576, 1577, 1922, 1923, 1924, 1925, 1926, 1927, 1928, 1929, 1930, 1931, 1932, 1933, 1934, 1935, 1936, 1937, 1938, 1939, 1940, 1941, 1942, 2092, 2093, 2094, 2095, 2096, 2097, 2098, 2099, 2108, 2109, 2110, </w:t>
      </w:r>
      <w:r>
        <w:rPr>
          <w:color w:val="231F20"/>
          <w:spacing w:val="-3"/>
          <w:sz w:val="18"/>
        </w:rPr>
        <w:t>2111, </w:t>
      </w:r>
      <w:r>
        <w:rPr>
          <w:color w:val="231F20"/>
          <w:sz w:val="18"/>
        </w:rPr>
        <w:t>2112, 2113, 2114, 2115, 2117, 2118, 2119, 2120, 2121, 2122 и део к.п. бр. 1544 (све </w:t>
      </w:r>
      <w:r>
        <w:rPr>
          <w:color w:val="231F20"/>
          <w:spacing w:val="-3"/>
          <w:sz w:val="18"/>
        </w:rPr>
        <w:t>КО </w:t>
      </w:r>
      <w:r>
        <w:rPr>
          <w:color w:val="231F20"/>
          <w:sz w:val="18"/>
        </w:rPr>
        <w:t>Кленовник) и целе к.п. бр. 2310, 2311, 2312, 2313, 2314, 2315, 2316, 2317, 2318, 2319, 2320, 2321, 2322, 2323, 2324, 2325, 2326, 2327, 2328, 2329, 2330, 2331, 2332, 2333, 2334, 2337, 2338 ,2339, 2340, 2341, 2342, 2343, 2344, 2345, 2346, 2348, 2349, 2350, 2351, 2352, 2353, 2354, 2555, 2556, 2557, 2560, 2561, 2562, 2563, 2565, 2567, 2568, 2569, 2570, 2571, 2572, 2573, 2574 ,2575, 2584, 2653, 2658, 2659, 2660, 2661, 2662, 2663, 2664, 2665, 2667, 2671, 2672, 3022, 3023, 3024, 3025, 3026, 3027, 3028,</w:t>
      </w:r>
      <w:r>
        <w:rPr>
          <w:color w:val="231F20"/>
          <w:spacing w:val="-3"/>
          <w:sz w:val="18"/>
        </w:rPr>
        <w:t> </w:t>
      </w:r>
      <w:r>
        <w:rPr>
          <w:color w:val="231F20"/>
          <w:sz w:val="18"/>
        </w:rPr>
        <w:t>3029,</w:t>
      </w:r>
      <w:r>
        <w:rPr>
          <w:color w:val="231F20"/>
          <w:spacing w:val="-3"/>
          <w:sz w:val="18"/>
        </w:rPr>
        <w:t> </w:t>
      </w:r>
      <w:r>
        <w:rPr>
          <w:color w:val="231F20"/>
          <w:sz w:val="18"/>
        </w:rPr>
        <w:t>3030,</w:t>
      </w:r>
      <w:r>
        <w:rPr>
          <w:color w:val="231F20"/>
          <w:spacing w:val="-3"/>
          <w:sz w:val="18"/>
        </w:rPr>
        <w:t> </w:t>
      </w:r>
      <w:r>
        <w:rPr>
          <w:color w:val="231F20"/>
          <w:sz w:val="18"/>
        </w:rPr>
        <w:t>и</w:t>
      </w:r>
      <w:r>
        <w:rPr>
          <w:color w:val="231F20"/>
          <w:spacing w:val="-3"/>
          <w:sz w:val="18"/>
        </w:rPr>
        <w:t> </w:t>
      </w:r>
      <w:r>
        <w:rPr>
          <w:color w:val="231F20"/>
          <w:sz w:val="18"/>
        </w:rPr>
        <w:t>део</w:t>
      </w:r>
      <w:r>
        <w:rPr>
          <w:color w:val="231F20"/>
          <w:spacing w:val="-3"/>
          <w:sz w:val="18"/>
        </w:rPr>
        <w:t> </w:t>
      </w:r>
      <w:r>
        <w:rPr>
          <w:color w:val="231F20"/>
          <w:sz w:val="18"/>
        </w:rPr>
        <w:t>к.п.</w:t>
      </w:r>
      <w:r>
        <w:rPr>
          <w:color w:val="231F20"/>
          <w:spacing w:val="-3"/>
          <w:sz w:val="18"/>
        </w:rPr>
        <w:t> </w:t>
      </w:r>
      <w:r>
        <w:rPr>
          <w:color w:val="231F20"/>
          <w:sz w:val="18"/>
        </w:rPr>
        <w:t>бр.</w:t>
      </w:r>
      <w:r>
        <w:rPr>
          <w:color w:val="231F20"/>
          <w:spacing w:val="-3"/>
          <w:sz w:val="18"/>
        </w:rPr>
        <w:t> </w:t>
      </w:r>
      <w:r>
        <w:rPr>
          <w:color w:val="231F20"/>
          <w:sz w:val="18"/>
        </w:rPr>
        <w:t>2347,</w:t>
      </w:r>
      <w:r>
        <w:rPr>
          <w:color w:val="231F20"/>
          <w:spacing w:val="-3"/>
          <w:sz w:val="18"/>
        </w:rPr>
        <w:t> </w:t>
      </w:r>
      <w:r>
        <w:rPr>
          <w:color w:val="231F20"/>
          <w:sz w:val="18"/>
        </w:rPr>
        <w:t>2519,</w:t>
      </w:r>
      <w:r>
        <w:rPr>
          <w:color w:val="231F20"/>
          <w:spacing w:val="-3"/>
          <w:sz w:val="18"/>
        </w:rPr>
        <w:t> </w:t>
      </w:r>
      <w:r>
        <w:rPr>
          <w:color w:val="231F20"/>
          <w:sz w:val="18"/>
        </w:rPr>
        <w:t>2582,</w:t>
      </w:r>
      <w:r>
        <w:rPr>
          <w:color w:val="231F20"/>
          <w:spacing w:val="-3"/>
          <w:sz w:val="18"/>
        </w:rPr>
        <w:t> </w:t>
      </w:r>
      <w:r>
        <w:rPr>
          <w:color w:val="231F20"/>
          <w:sz w:val="18"/>
        </w:rPr>
        <w:t>2583,</w:t>
      </w:r>
      <w:r>
        <w:rPr>
          <w:color w:val="231F20"/>
          <w:spacing w:val="-3"/>
          <w:sz w:val="18"/>
        </w:rPr>
        <w:t> </w:t>
      </w:r>
      <w:r>
        <w:rPr>
          <w:color w:val="231F20"/>
          <w:sz w:val="18"/>
        </w:rPr>
        <w:t>2586,</w:t>
      </w:r>
      <w:r>
        <w:rPr>
          <w:color w:val="231F20"/>
          <w:spacing w:val="-3"/>
          <w:sz w:val="18"/>
        </w:rPr>
        <w:t> </w:t>
      </w:r>
      <w:r>
        <w:rPr>
          <w:color w:val="231F20"/>
          <w:sz w:val="18"/>
        </w:rPr>
        <w:t>3063</w:t>
      </w:r>
      <w:r>
        <w:rPr>
          <w:color w:val="231F20"/>
          <w:spacing w:val="-3"/>
          <w:sz w:val="18"/>
        </w:rPr>
        <w:t> </w:t>
      </w:r>
      <w:r>
        <w:rPr>
          <w:color w:val="231F20"/>
          <w:sz w:val="18"/>
        </w:rPr>
        <w:t>и 3359/2 (све </w:t>
      </w:r>
      <w:r>
        <w:rPr>
          <w:color w:val="231F20"/>
          <w:spacing w:val="-3"/>
          <w:sz w:val="18"/>
        </w:rPr>
        <w:t>КО</w:t>
      </w:r>
      <w:r>
        <w:rPr>
          <w:color w:val="231F20"/>
          <w:spacing w:val="-2"/>
          <w:sz w:val="18"/>
        </w:rPr>
        <w:t> </w:t>
      </w:r>
      <w:r>
        <w:rPr>
          <w:color w:val="231F20"/>
          <w:sz w:val="18"/>
        </w:rPr>
        <w:t>Брадарац).</w:t>
      </w:r>
    </w:p>
    <w:p>
      <w:pPr>
        <w:pStyle w:val="BodyText"/>
        <w:spacing w:line="204" w:lineRule="exact" w:before="6"/>
        <w:ind w:left="567"/>
        <w:jc w:val="left"/>
      </w:pPr>
      <w:r>
        <w:rPr>
          <w:color w:val="231F20"/>
        </w:rPr>
        <w:t>Основни параметри система за прикупљање пепела и шљаке су:</w:t>
      </w:r>
    </w:p>
    <w:p>
      <w:pPr>
        <w:pStyle w:val="BodyText"/>
        <w:spacing w:line="201" w:lineRule="exact"/>
        <w:ind w:left="567"/>
        <w:jc w:val="left"/>
      </w:pPr>
      <w:r>
        <w:rPr>
          <w:color w:val="231F20"/>
          <w:w w:val="66"/>
        </w:rPr>
        <w:t> </w:t>
      </w:r>
      <w:r>
        <w:rPr>
          <w:color w:val="231F20"/>
        </w:rPr>
        <w:t>– укупна дужина цевовода је 4950 m;</w:t>
      </w:r>
    </w:p>
    <w:p>
      <w:pPr>
        <w:pStyle w:val="BodyText"/>
        <w:spacing w:line="232" w:lineRule="auto" w:before="2"/>
        <w:ind w:right="410" w:firstLine="397"/>
      </w:pPr>
      <w:r>
        <w:rPr>
          <w:color w:val="231F20"/>
          <w:w w:val="66"/>
        </w:rPr>
        <w:t> </w:t>
      </w:r>
      <w:r>
        <w:rPr>
          <w:color w:val="231F20"/>
        </w:rPr>
        <w:t>– капацитет цевовода густе хидромешавине густине 48% је 166,5 t/h;</w:t>
      </w:r>
    </w:p>
    <w:p>
      <w:pPr>
        <w:pStyle w:val="BodyText"/>
        <w:spacing w:line="237" w:lineRule="auto"/>
        <w:ind w:right="410" w:firstLine="397"/>
      </w:pPr>
      <w:r>
        <w:rPr>
          <w:color w:val="231F20"/>
          <w:w w:val="66"/>
        </w:rPr>
        <w:t> </w:t>
      </w:r>
      <w:r>
        <w:rPr>
          <w:color w:val="231F20"/>
        </w:rPr>
        <w:t>–</w:t>
      </w:r>
      <w:r>
        <w:rPr>
          <w:color w:val="231F20"/>
          <w:spacing w:val="-5"/>
        </w:rPr>
        <w:t> </w:t>
      </w:r>
      <w:r>
        <w:rPr>
          <w:color w:val="231F20"/>
        </w:rPr>
        <w:t>запремина</w:t>
      </w:r>
      <w:r>
        <w:rPr>
          <w:color w:val="231F20"/>
          <w:spacing w:val="-5"/>
        </w:rPr>
        <w:t> </w:t>
      </w:r>
      <w:r>
        <w:rPr>
          <w:color w:val="231F20"/>
        </w:rPr>
        <w:t>депоније</w:t>
      </w:r>
      <w:r>
        <w:rPr>
          <w:color w:val="231F20"/>
          <w:spacing w:val="-5"/>
        </w:rPr>
        <w:t> </w:t>
      </w:r>
      <w:r>
        <w:rPr>
          <w:color w:val="231F20"/>
        </w:rPr>
        <w:t>пепела</w:t>
      </w:r>
      <w:r>
        <w:rPr>
          <w:color w:val="231F20"/>
          <w:spacing w:val="-5"/>
        </w:rPr>
        <w:t> </w:t>
      </w:r>
      <w:r>
        <w:rPr>
          <w:color w:val="231F20"/>
        </w:rPr>
        <w:t>и</w:t>
      </w:r>
      <w:r>
        <w:rPr>
          <w:color w:val="231F20"/>
          <w:spacing w:val="-5"/>
        </w:rPr>
        <w:t> </w:t>
      </w:r>
      <w:r>
        <w:rPr>
          <w:color w:val="231F20"/>
        </w:rPr>
        <w:t>шљаке</w:t>
      </w:r>
      <w:r>
        <w:rPr>
          <w:color w:val="231F20"/>
          <w:spacing w:val="-5"/>
        </w:rPr>
        <w:t> </w:t>
      </w:r>
      <w:r>
        <w:rPr>
          <w:color w:val="231F20"/>
        </w:rPr>
        <w:t>у</w:t>
      </w:r>
      <w:r>
        <w:rPr>
          <w:color w:val="231F20"/>
          <w:spacing w:val="-5"/>
        </w:rPr>
        <w:t> </w:t>
      </w:r>
      <w:r>
        <w:rPr>
          <w:color w:val="231F20"/>
        </w:rPr>
        <w:t>оквиру</w:t>
      </w:r>
      <w:r>
        <w:rPr>
          <w:color w:val="231F20"/>
          <w:spacing w:val="-5"/>
        </w:rPr>
        <w:t> </w:t>
      </w:r>
      <w:r>
        <w:rPr>
          <w:color w:val="231F20"/>
        </w:rPr>
        <w:t>ПК</w:t>
      </w:r>
      <w:r>
        <w:rPr>
          <w:color w:val="231F20"/>
          <w:spacing w:val="-5"/>
        </w:rPr>
        <w:t> </w:t>
      </w:r>
      <w:r>
        <w:rPr>
          <w:color w:val="231F20"/>
          <w:spacing w:val="-4"/>
        </w:rPr>
        <w:t>„Ћирико- </w:t>
      </w:r>
      <w:r>
        <w:rPr>
          <w:color w:val="231F20"/>
        </w:rPr>
        <w:t>вац” до пројектоване </w:t>
      </w:r>
      <w:r>
        <w:rPr>
          <w:color w:val="231F20"/>
          <w:spacing w:val="-4"/>
        </w:rPr>
        <w:t>коте </w:t>
      </w:r>
      <w:r>
        <w:rPr>
          <w:color w:val="231F20"/>
        </w:rPr>
        <w:t>одлагања 92 m је 32,3 x 10</w:t>
      </w:r>
      <w:r>
        <w:rPr>
          <w:color w:val="231F20"/>
          <w:position w:val="6"/>
          <w:sz w:val="10"/>
        </w:rPr>
        <w:t>6</w:t>
      </w:r>
      <w:r>
        <w:rPr>
          <w:color w:val="231F20"/>
          <w:spacing w:val="-6"/>
          <w:position w:val="6"/>
          <w:sz w:val="10"/>
        </w:rPr>
        <w:t> </w:t>
      </w:r>
      <w:r>
        <w:rPr>
          <w:color w:val="231F20"/>
        </w:rPr>
        <w:t>m³;</w:t>
      </w:r>
    </w:p>
    <w:p>
      <w:pPr>
        <w:pStyle w:val="BodyText"/>
        <w:spacing w:line="232" w:lineRule="auto"/>
        <w:ind w:left="169" w:right="412" w:firstLine="397"/>
      </w:pPr>
      <w:r>
        <w:rPr>
          <w:color w:val="231F20"/>
          <w:w w:val="66"/>
        </w:rPr>
        <w:t> </w:t>
      </w:r>
      <w:r>
        <w:rPr>
          <w:color w:val="231F20"/>
        </w:rPr>
        <w:t>– депонија, </w:t>
      </w:r>
      <w:r>
        <w:rPr>
          <w:color w:val="231F20"/>
          <w:spacing w:val="-3"/>
        </w:rPr>
        <w:t>као </w:t>
      </w:r>
      <w:r>
        <w:rPr>
          <w:color w:val="231F20"/>
          <w:spacing w:val="-5"/>
        </w:rPr>
        <w:t>будуће </w:t>
      </w:r>
      <w:r>
        <w:rPr>
          <w:color w:val="231F20"/>
          <w:spacing w:val="-3"/>
        </w:rPr>
        <w:t>одлагалиште </w:t>
      </w:r>
      <w:r>
        <w:rPr>
          <w:color w:val="231F20"/>
        </w:rPr>
        <w:t>пепела из ТЕ </w:t>
      </w:r>
      <w:r>
        <w:rPr>
          <w:color w:val="231F20"/>
          <w:spacing w:val="-3"/>
        </w:rPr>
        <w:t>„Костолац” </w:t>
      </w:r>
      <w:r>
        <w:rPr>
          <w:color w:val="231F20"/>
        </w:rPr>
        <w:t>(Б1</w:t>
      </w:r>
      <w:r>
        <w:rPr>
          <w:color w:val="231F20"/>
          <w:spacing w:val="-9"/>
        </w:rPr>
        <w:t> </w:t>
      </w:r>
      <w:r>
        <w:rPr>
          <w:color w:val="231F20"/>
        </w:rPr>
        <w:t>и</w:t>
      </w:r>
      <w:r>
        <w:rPr>
          <w:color w:val="231F20"/>
          <w:spacing w:val="-9"/>
        </w:rPr>
        <w:t> </w:t>
      </w:r>
      <w:r>
        <w:rPr>
          <w:color w:val="231F20"/>
        </w:rPr>
        <w:t>Б2),</w:t>
      </w:r>
      <w:r>
        <w:rPr>
          <w:color w:val="231F20"/>
          <w:spacing w:val="-9"/>
        </w:rPr>
        <w:t> </w:t>
      </w:r>
      <w:r>
        <w:rPr>
          <w:color w:val="231F20"/>
          <w:spacing w:val="-2"/>
        </w:rPr>
        <w:t>има</w:t>
      </w:r>
      <w:r>
        <w:rPr>
          <w:color w:val="231F20"/>
          <w:spacing w:val="-9"/>
        </w:rPr>
        <w:t> </w:t>
      </w:r>
      <w:r>
        <w:rPr>
          <w:color w:val="231F20"/>
          <w:spacing w:val="-3"/>
        </w:rPr>
        <w:t>капацитет</w:t>
      </w:r>
      <w:r>
        <w:rPr>
          <w:color w:val="231F20"/>
          <w:spacing w:val="-9"/>
        </w:rPr>
        <w:t> </w:t>
      </w:r>
      <w:r>
        <w:rPr>
          <w:color w:val="231F20"/>
        </w:rPr>
        <w:t>за</w:t>
      </w:r>
      <w:r>
        <w:rPr>
          <w:color w:val="231F20"/>
          <w:spacing w:val="-9"/>
        </w:rPr>
        <w:t> </w:t>
      </w:r>
      <w:r>
        <w:rPr>
          <w:color w:val="231F20"/>
        </w:rPr>
        <w:t>век</w:t>
      </w:r>
      <w:r>
        <w:rPr>
          <w:color w:val="231F20"/>
          <w:spacing w:val="-9"/>
        </w:rPr>
        <w:t> </w:t>
      </w:r>
      <w:r>
        <w:rPr>
          <w:color w:val="231F20"/>
        </w:rPr>
        <w:t>рада</w:t>
      </w:r>
      <w:r>
        <w:rPr>
          <w:color w:val="231F20"/>
          <w:spacing w:val="-9"/>
        </w:rPr>
        <w:t> </w:t>
      </w:r>
      <w:r>
        <w:rPr>
          <w:color w:val="231F20"/>
        </w:rPr>
        <w:t>термоелектране</w:t>
      </w:r>
      <w:r>
        <w:rPr>
          <w:color w:val="231F20"/>
          <w:spacing w:val="-9"/>
        </w:rPr>
        <w:t> </w:t>
      </w:r>
      <w:r>
        <w:rPr>
          <w:color w:val="231F20"/>
        </w:rPr>
        <w:t>до</w:t>
      </w:r>
      <w:r>
        <w:rPr>
          <w:color w:val="231F20"/>
          <w:spacing w:val="-9"/>
        </w:rPr>
        <w:t> </w:t>
      </w:r>
      <w:r>
        <w:rPr>
          <w:color w:val="231F20"/>
        </w:rPr>
        <w:t>20</w:t>
      </w:r>
      <w:r>
        <w:rPr>
          <w:color w:val="231F20"/>
          <w:spacing w:val="-9"/>
        </w:rPr>
        <w:t> </w:t>
      </w:r>
      <w:r>
        <w:rPr>
          <w:color w:val="231F20"/>
          <w:spacing w:val="-4"/>
        </w:rPr>
        <w:t>година;</w:t>
      </w:r>
      <w:r>
        <w:rPr>
          <w:color w:val="231F20"/>
          <w:spacing w:val="-9"/>
        </w:rPr>
        <w:t> </w:t>
      </w:r>
      <w:r>
        <w:rPr>
          <w:color w:val="231F20"/>
        </w:rPr>
        <w:t>и</w:t>
      </w:r>
    </w:p>
    <w:p>
      <w:pPr>
        <w:pStyle w:val="BodyText"/>
        <w:spacing w:line="232" w:lineRule="auto"/>
        <w:ind w:left="168" w:right="412" w:firstLine="397"/>
      </w:pPr>
      <w:r>
        <w:rPr>
          <w:color w:val="231F20"/>
          <w:w w:val="66"/>
        </w:rPr>
        <w:t> </w:t>
      </w:r>
      <w:r>
        <w:rPr>
          <w:color w:val="231F20"/>
        </w:rPr>
        <w:t>– укупна површина депоније пепела и шљаке износи </w:t>
      </w:r>
      <w:r>
        <w:rPr>
          <w:color w:val="231F20"/>
          <w:spacing w:val="-4"/>
        </w:rPr>
        <w:t>око </w:t>
      </w:r>
      <w:r>
        <w:rPr>
          <w:color w:val="231F20"/>
        </w:rPr>
        <w:t>138 ha и подељена је на две касете </w:t>
      </w:r>
      <w:r>
        <w:rPr>
          <w:color w:val="231F20"/>
          <w:spacing w:val="-3"/>
        </w:rPr>
        <w:t>које </w:t>
      </w:r>
      <w:r>
        <w:rPr>
          <w:color w:val="231F20"/>
        </w:rPr>
        <w:t>се пуне наизменично.</w:t>
      </w:r>
    </w:p>
    <w:p>
      <w:pPr>
        <w:spacing w:after="0" w:line="232" w:lineRule="auto"/>
        <w:sectPr>
          <w:pgSz w:w="12480" w:h="15690"/>
          <w:pgMar w:top="120" w:bottom="280" w:left="680" w:right="720"/>
          <w:cols w:num="2" w:equalWidth="0">
            <w:col w:w="5314" w:space="73"/>
            <w:col w:w="5693"/>
          </w:cols>
        </w:sectPr>
      </w:pPr>
    </w:p>
    <w:p>
      <w:pPr>
        <w:pStyle w:val="ListParagraph"/>
        <w:numPr>
          <w:ilvl w:val="2"/>
          <w:numId w:val="63"/>
        </w:numPr>
        <w:tabs>
          <w:tab w:pos="1127" w:val="left" w:leader="none"/>
        </w:tabs>
        <w:spacing w:line="240" w:lineRule="auto" w:before="68" w:after="0"/>
        <w:ind w:left="1126" w:right="0" w:hanging="315"/>
        <w:jc w:val="left"/>
        <w:rPr>
          <w:i/>
          <w:sz w:val="18"/>
        </w:rPr>
      </w:pPr>
      <w:r>
        <w:rPr/>
        <w:pict>
          <v:line style="position:absolute;mso-position-horizontal-relative:page;mso-position-vertical-relative:page;z-index:4576" from="318.897614pt,11.942451pt" to="318.897614pt,748.950451pt" stroked="true" strokeweight=".6pt" strokecolor="#231f20">
            <v:stroke dashstyle="solid"/>
            <w10:wrap type="none"/>
          </v:line>
        </w:pict>
      </w:r>
      <w:r>
        <w:rPr>
          <w:i/>
          <w:color w:val="231F20"/>
          <w:sz w:val="18"/>
        </w:rPr>
        <w:t>Планирана намена простора и подела на </w:t>
      </w:r>
      <w:r>
        <w:rPr>
          <w:i/>
          <w:color w:val="231F20"/>
          <w:spacing w:val="-3"/>
          <w:sz w:val="18"/>
        </w:rPr>
        <w:t>уже</w:t>
      </w:r>
      <w:r>
        <w:rPr>
          <w:i/>
          <w:color w:val="231F20"/>
          <w:spacing w:val="-9"/>
          <w:sz w:val="18"/>
        </w:rPr>
        <w:t> </w:t>
      </w:r>
      <w:r>
        <w:rPr>
          <w:i/>
          <w:color w:val="231F20"/>
          <w:sz w:val="18"/>
        </w:rPr>
        <w:t>целине</w:t>
      </w:r>
    </w:p>
    <w:p>
      <w:pPr>
        <w:pStyle w:val="BodyText"/>
        <w:spacing w:before="3"/>
        <w:ind w:left="0"/>
        <w:jc w:val="left"/>
        <w:rPr>
          <w:i/>
          <w:sz w:val="17"/>
        </w:rPr>
      </w:pPr>
    </w:p>
    <w:p>
      <w:pPr>
        <w:pStyle w:val="BodyText"/>
        <w:spacing w:line="232" w:lineRule="auto" w:before="1"/>
        <w:ind w:left="453" w:firstLine="397"/>
      </w:pPr>
      <w:r>
        <w:rPr>
          <w:color w:val="231F20"/>
        </w:rPr>
        <w:t>Планирано</w:t>
      </w:r>
      <w:r>
        <w:rPr>
          <w:color w:val="231F20"/>
          <w:spacing w:val="-6"/>
        </w:rPr>
        <w:t> </w:t>
      </w:r>
      <w:r>
        <w:rPr>
          <w:color w:val="231F20"/>
        </w:rPr>
        <w:t>је</w:t>
      </w:r>
      <w:r>
        <w:rPr>
          <w:color w:val="231F20"/>
          <w:spacing w:val="-6"/>
        </w:rPr>
        <w:t> </w:t>
      </w:r>
      <w:r>
        <w:rPr>
          <w:color w:val="231F20"/>
        </w:rPr>
        <w:t>да</w:t>
      </w:r>
      <w:r>
        <w:rPr>
          <w:color w:val="231F20"/>
          <w:spacing w:val="-6"/>
        </w:rPr>
        <w:t> </w:t>
      </w:r>
      <w:r>
        <w:rPr>
          <w:color w:val="231F20"/>
        </w:rPr>
        <w:t>се</w:t>
      </w:r>
      <w:r>
        <w:rPr>
          <w:color w:val="231F20"/>
          <w:spacing w:val="-6"/>
        </w:rPr>
        <w:t> </w:t>
      </w:r>
      <w:r>
        <w:rPr>
          <w:color w:val="231F20"/>
        </w:rPr>
        <w:t>касете</w:t>
      </w:r>
      <w:r>
        <w:rPr>
          <w:color w:val="231F20"/>
          <w:spacing w:val="-6"/>
        </w:rPr>
        <w:t> </w:t>
      </w:r>
      <w:r>
        <w:rPr>
          <w:color w:val="231F20"/>
        </w:rPr>
        <w:t>депоније</w:t>
      </w:r>
      <w:r>
        <w:rPr>
          <w:color w:val="231F20"/>
          <w:spacing w:val="-6"/>
        </w:rPr>
        <w:t> </w:t>
      </w:r>
      <w:r>
        <w:rPr>
          <w:color w:val="231F20"/>
        </w:rPr>
        <w:t>формирају</w:t>
      </w:r>
      <w:r>
        <w:rPr>
          <w:color w:val="231F20"/>
          <w:spacing w:val="-6"/>
        </w:rPr>
        <w:t> </w:t>
      </w:r>
      <w:r>
        <w:rPr>
          <w:color w:val="231F20"/>
        </w:rPr>
        <w:t>на</w:t>
      </w:r>
      <w:r>
        <w:rPr>
          <w:color w:val="231F20"/>
          <w:spacing w:val="-6"/>
        </w:rPr>
        <w:t> </w:t>
      </w:r>
      <w:r>
        <w:rPr>
          <w:color w:val="231F20"/>
        </w:rPr>
        <w:t>већ</w:t>
      </w:r>
      <w:r>
        <w:rPr>
          <w:color w:val="231F20"/>
          <w:spacing w:val="-6"/>
        </w:rPr>
        <w:t> </w:t>
      </w:r>
      <w:r>
        <w:rPr>
          <w:color w:val="231F20"/>
          <w:spacing w:val="-3"/>
        </w:rPr>
        <w:t>одложе- </w:t>
      </w:r>
      <w:r>
        <w:rPr>
          <w:color w:val="231F20"/>
        </w:rPr>
        <w:t>ним масама јаловине генералног нагиба у правцу севера, односно, на подлози састављеној </w:t>
      </w:r>
      <w:r>
        <w:rPr>
          <w:color w:val="231F20"/>
          <w:spacing w:val="-3"/>
        </w:rPr>
        <w:t>од </w:t>
      </w:r>
      <w:r>
        <w:rPr>
          <w:color w:val="231F20"/>
        </w:rPr>
        <w:t>мешовитог материјала: песка, леса и веома малих </w:t>
      </w:r>
      <w:r>
        <w:rPr>
          <w:color w:val="231F20"/>
          <w:spacing w:val="-3"/>
        </w:rPr>
        <w:t>количина глине. </w:t>
      </w:r>
      <w:r>
        <w:rPr>
          <w:color w:val="231F20"/>
        </w:rPr>
        <w:t>Одложене масе јаловине, због своје структуре и хидрогеолошких карактеристика, захтевале су специ- фичан третман. У </w:t>
      </w:r>
      <w:r>
        <w:rPr>
          <w:color w:val="231F20"/>
          <w:spacing w:val="-3"/>
        </w:rPr>
        <w:t>том смислу, </w:t>
      </w:r>
      <w:r>
        <w:rPr>
          <w:color w:val="231F20"/>
        </w:rPr>
        <w:t>планирани су радови на побољша- њу стабилности подлоге, односно, квалитетно одводњавање и по- штовање геомеханичких параметара</w:t>
      </w:r>
      <w:r>
        <w:rPr>
          <w:color w:val="231F20"/>
          <w:spacing w:val="-3"/>
        </w:rPr>
        <w:t> </w:t>
      </w:r>
      <w:r>
        <w:rPr>
          <w:color w:val="231F20"/>
        </w:rPr>
        <w:t>стабилности.</w:t>
      </w:r>
    </w:p>
    <w:p>
      <w:pPr>
        <w:pStyle w:val="BodyText"/>
        <w:spacing w:line="232" w:lineRule="auto"/>
        <w:ind w:left="453" w:right="1" w:firstLine="397"/>
      </w:pPr>
      <w:r>
        <w:rPr>
          <w:color w:val="231F20"/>
        </w:rPr>
        <w:t>Комплекс депоније везан је преко интерне саобраћајнице на два места са мрежом насељских улица у Кленовнику (прикључак на Партизанску улицу) и мрежом јавних путева. У склопу депо- није, издвојен је акумулацијски простор, формиран у оквиру две касете.</w:t>
      </w:r>
    </w:p>
    <w:p>
      <w:pPr>
        <w:pStyle w:val="BodyText"/>
        <w:spacing w:line="232" w:lineRule="auto"/>
        <w:ind w:left="453" w:right="1" w:firstLine="396"/>
      </w:pPr>
      <w:r>
        <w:rPr>
          <w:color w:val="231F20"/>
        </w:rPr>
        <w:t>Максимални могући акумулациони простор за депоновање пепела и шљаке у виду густе хидромешавине на депонији „Ћири- ковац” износи око 32.327.000 m³, што омогућава депоновање из- међу 27.500.000 t и 29.000.000 t пепела и шљаке у зависности од концентрације чврсте фазе у хидромешавини (запреминска тежи- на 0.85 и 0.9 t/m³).</w:t>
      </w:r>
    </w:p>
    <w:p>
      <w:pPr>
        <w:pStyle w:val="BodyText"/>
        <w:spacing w:line="232" w:lineRule="auto"/>
        <w:ind w:left="454" w:right="1" w:firstLine="396"/>
      </w:pPr>
      <w:r>
        <w:rPr>
          <w:color w:val="231F20"/>
        </w:rPr>
        <w:t>Према претпостављеној потрошњи угља, односно, према грубој процени продукцијe пепела и шљаке у ТЕ „Костолац Б”, време</w:t>
      </w:r>
      <w:r>
        <w:rPr>
          <w:color w:val="231F20"/>
          <w:spacing w:val="-11"/>
        </w:rPr>
        <w:t> </w:t>
      </w:r>
      <w:r>
        <w:rPr>
          <w:color w:val="231F20"/>
        </w:rPr>
        <w:t>депоновања</w:t>
      </w:r>
      <w:r>
        <w:rPr>
          <w:color w:val="231F20"/>
          <w:spacing w:val="-11"/>
        </w:rPr>
        <w:t> </w:t>
      </w:r>
      <w:r>
        <w:rPr>
          <w:color w:val="231F20"/>
        </w:rPr>
        <w:t>на</w:t>
      </w:r>
      <w:r>
        <w:rPr>
          <w:color w:val="231F20"/>
          <w:spacing w:val="-11"/>
        </w:rPr>
        <w:t> </w:t>
      </w:r>
      <w:r>
        <w:rPr>
          <w:color w:val="231F20"/>
        </w:rPr>
        <w:t>овој</w:t>
      </w:r>
      <w:r>
        <w:rPr>
          <w:color w:val="231F20"/>
          <w:spacing w:val="-11"/>
        </w:rPr>
        <w:t> </w:t>
      </w:r>
      <w:r>
        <w:rPr>
          <w:color w:val="231F20"/>
        </w:rPr>
        <w:t>акумулацији,</w:t>
      </w:r>
      <w:r>
        <w:rPr>
          <w:color w:val="231F20"/>
          <w:spacing w:val="-10"/>
        </w:rPr>
        <w:t> </w:t>
      </w:r>
      <w:r>
        <w:rPr>
          <w:color w:val="231F20"/>
        </w:rPr>
        <w:t>за</w:t>
      </w:r>
      <w:r>
        <w:rPr>
          <w:color w:val="231F20"/>
          <w:spacing w:val="-11"/>
        </w:rPr>
        <w:t> </w:t>
      </w:r>
      <w:r>
        <w:rPr>
          <w:color w:val="231F20"/>
        </w:rPr>
        <w:t>расположиво</w:t>
      </w:r>
      <w:r>
        <w:rPr>
          <w:color w:val="231F20"/>
          <w:spacing w:val="-10"/>
        </w:rPr>
        <w:t> </w:t>
      </w:r>
      <w:r>
        <w:rPr>
          <w:color w:val="231F20"/>
        </w:rPr>
        <w:t>радно</w:t>
      </w:r>
      <w:r>
        <w:rPr>
          <w:color w:val="231F20"/>
          <w:spacing w:val="-11"/>
        </w:rPr>
        <w:t> </w:t>
      </w:r>
      <w:r>
        <w:rPr>
          <w:color w:val="231F20"/>
        </w:rPr>
        <w:t>вре- ме</w:t>
      </w:r>
      <w:r>
        <w:rPr>
          <w:color w:val="231F20"/>
          <w:spacing w:val="-6"/>
        </w:rPr>
        <w:t> </w:t>
      </w:r>
      <w:r>
        <w:rPr>
          <w:color w:val="231F20"/>
        </w:rPr>
        <w:t>система</w:t>
      </w:r>
      <w:r>
        <w:rPr>
          <w:color w:val="231F20"/>
          <w:spacing w:val="-6"/>
        </w:rPr>
        <w:t> </w:t>
      </w:r>
      <w:r>
        <w:rPr>
          <w:color w:val="231F20"/>
        </w:rPr>
        <w:t>транспорта</w:t>
      </w:r>
      <w:r>
        <w:rPr>
          <w:color w:val="231F20"/>
          <w:spacing w:val="-6"/>
        </w:rPr>
        <w:t> </w:t>
      </w:r>
      <w:r>
        <w:rPr>
          <w:color w:val="231F20"/>
          <w:spacing w:val="-3"/>
        </w:rPr>
        <w:t>од</w:t>
      </w:r>
      <w:r>
        <w:rPr>
          <w:color w:val="231F20"/>
          <w:spacing w:val="-6"/>
        </w:rPr>
        <w:t> </w:t>
      </w:r>
      <w:r>
        <w:rPr>
          <w:color w:val="231F20"/>
        </w:rPr>
        <w:t>8040</w:t>
      </w:r>
      <w:r>
        <w:rPr>
          <w:color w:val="231F20"/>
          <w:spacing w:val="-6"/>
        </w:rPr>
        <w:t> </w:t>
      </w:r>
      <w:r>
        <w:rPr>
          <w:color w:val="231F20"/>
          <w:spacing w:val="-3"/>
        </w:rPr>
        <w:t>h/год</w:t>
      </w:r>
      <w:r>
        <w:rPr>
          <w:color w:val="231F20"/>
          <w:spacing w:val="-6"/>
        </w:rPr>
        <w:t> </w:t>
      </w:r>
      <w:r>
        <w:rPr>
          <w:color w:val="231F20"/>
        </w:rPr>
        <w:t>(с</w:t>
      </w:r>
      <w:r>
        <w:rPr>
          <w:color w:val="231F20"/>
          <w:spacing w:val="-6"/>
        </w:rPr>
        <w:t> </w:t>
      </w:r>
      <w:r>
        <w:rPr>
          <w:color w:val="231F20"/>
        </w:rPr>
        <w:t>обзиром</w:t>
      </w:r>
      <w:r>
        <w:rPr>
          <w:color w:val="231F20"/>
          <w:spacing w:val="-6"/>
        </w:rPr>
        <w:t> </w:t>
      </w:r>
      <w:r>
        <w:rPr>
          <w:color w:val="231F20"/>
        </w:rPr>
        <w:t>на</w:t>
      </w:r>
      <w:r>
        <w:rPr>
          <w:color w:val="231F20"/>
          <w:spacing w:val="-6"/>
        </w:rPr>
        <w:t> </w:t>
      </w:r>
      <w:r>
        <w:rPr>
          <w:color w:val="231F20"/>
        </w:rPr>
        <w:t>то</w:t>
      </w:r>
      <w:r>
        <w:rPr>
          <w:color w:val="231F20"/>
          <w:spacing w:val="-6"/>
        </w:rPr>
        <w:t> </w:t>
      </w:r>
      <w:r>
        <w:rPr>
          <w:color w:val="231F20"/>
        </w:rPr>
        <w:t>да</w:t>
      </w:r>
      <w:r>
        <w:rPr>
          <w:color w:val="231F20"/>
          <w:spacing w:val="-6"/>
        </w:rPr>
        <w:t> </w:t>
      </w:r>
      <w:r>
        <w:rPr>
          <w:color w:val="231F20"/>
        </w:rPr>
        <w:t>је</w:t>
      </w:r>
      <w:r>
        <w:rPr>
          <w:color w:val="231F20"/>
          <w:spacing w:val="-6"/>
        </w:rPr>
        <w:t> </w:t>
      </w:r>
      <w:r>
        <w:rPr>
          <w:color w:val="231F20"/>
        </w:rPr>
        <w:t>предви- ђен профилактички годишњи ремонт у трајању </w:t>
      </w:r>
      <w:r>
        <w:rPr>
          <w:color w:val="231F20"/>
          <w:spacing w:val="-3"/>
        </w:rPr>
        <w:t>од </w:t>
      </w:r>
      <w:r>
        <w:rPr>
          <w:color w:val="231F20"/>
        </w:rPr>
        <w:t>месец дана) је више </w:t>
      </w:r>
      <w:r>
        <w:rPr>
          <w:color w:val="231F20"/>
          <w:spacing w:val="-3"/>
        </w:rPr>
        <w:t>од </w:t>
      </w:r>
      <w:r>
        <w:rPr>
          <w:color w:val="231F20"/>
        </w:rPr>
        <w:t>15 година, односно, према годишњем раду термоелектра- не </w:t>
      </w:r>
      <w:r>
        <w:rPr>
          <w:color w:val="231F20"/>
          <w:spacing w:val="-3"/>
        </w:rPr>
        <w:t>од </w:t>
      </w:r>
      <w:r>
        <w:rPr>
          <w:color w:val="231F20"/>
        </w:rPr>
        <w:t>6000 сати, више </w:t>
      </w:r>
      <w:r>
        <w:rPr>
          <w:color w:val="231F20"/>
          <w:spacing w:val="-3"/>
        </w:rPr>
        <w:t>од </w:t>
      </w:r>
      <w:r>
        <w:rPr>
          <w:color w:val="231F20"/>
        </w:rPr>
        <w:t>20 година. Међутим, с обзиром на то да ће се према овој депонији усмерити и укупна продукција пепела и шљаке и из ТЕ „Костолац А”, време депоновања би било значајно смањено.</w:t>
      </w:r>
    </w:p>
    <w:p>
      <w:pPr>
        <w:pStyle w:val="BodyText"/>
        <w:spacing w:line="232" w:lineRule="auto"/>
        <w:ind w:left="454" w:right="1" w:firstLine="396"/>
      </w:pPr>
      <w:r>
        <w:rPr>
          <w:color w:val="231F20"/>
        </w:rPr>
        <w:t>Део</w:t>
      </w:r>
      <w:r>
        <w:rPr>
          <w:color w:val="231F20"/>
          <w:spacing w:val="-7"/>
        </w:rPr>
        <w:t> </w:t>
      </w:r>
      <w:r>
        <w:rPr>
          <w:color w:val="231F20"/>
        </w:rPr>
        <w:t>техничке</w:t>
      </w:r>
      <w:r>
        <w:rPr>
          <w:color w:val="231F20"/>
          <w:spacing w:val="-7"/>
        </w:rPr>
        <w:t> </w:t>
      </w:r>
      <w:r>
        <w:rPr>
          <w:color w:val="231F20"/>
        </w:rPr>
        <w:t>инфраструктуре</w:t>
      </w:r>
      <w:r>
        <w:rPr>
          <w:color w:val="231F20"/>
          <w:spacing w:val="-7"/>
        </w:rPr>
        <w:t> </w:t>
      </w:r>
      <w:r>
        <w:rPr>
          <w:color w:val="231F20"/>
        </w:rPr>
        <w:t>за</w:t>
      </w:r>
      <w:r>
        <w:rPr>
          <w:color w:val="231F20"/>
          <w:spacing w:val="-7"/>
        </w:rPr>
        <w:t> </w:t>
      </w:r>
      <w:r>
        <w:rPr>
          <w:color w:val="231F20"/>
        </w:rPr>
        <w:t>потребе</w:t>
      </w:r>
      <w:r>
        <w:rPr>
          <w:color w:val="231F20"/>
          <w:spacing w:val="-7"/>
        </w:rPr>
        <w:t> </w:t>
      </w:r>
      <w:r>
        <w:rPr>
          <w:color w:val="231F20"/>
        </w:rPr>
        <w:t>основне</w:t>
      </w:r>
      <w:r>
        <w:rPr>
          <w:color w:val="231F20"/>
          <w:spacing w:val="-7"/>
        </w:rPr>
        <w:t> </w:t>
      </w:r>
      <w:r>
        <w:rPr>
          <w:color w:val="231F20"/>
        </w:rPr>
        <w:t>функције</w:t>
      </w:r>
      <w:r>
        <w:rPr>
          <w:color w:val="231F20"/>
          <w:spacing w:val="-7"/>
        </w:rPr>
        <w:t> </w:t>
      </w:r>
      <w:r>
        <w:rPr>
          <w:color w:val="231F20"/>
        </w:rPr>
        <w:t>и заштиту </w:t>
      </w:r>
      <w:r>
        <w:rPr>
          <w:color w:val="231F20"/>
          <w:spacing w:val="-3"/>
        </w:rPr>
        <w:t>од </w:t>
      </w:r>
      <w:r>
        <w:rPr>
          <w:color w:val="231F20"/>
        </w:rPr>
        <w:t>штетног утицаја са депоније, груписан је у заједнички инфраструктурни појас, минималне ширине 30 m и диспозиционо постављен по обиму депоније. У овој зони положени</w:t>
      </w:r>
      <w:r>
        <w:rPr>
          <w:color w:val="231F20"/>
          <w:spacing w:val="-14"/>
        </w:rPr>
        <w:t> </w:t>
      </w:r>
      <w:r>
        <w:rPr>
          <w:color w:val="231F20"/>
        </w:rPr>
        <w:t>су:</w:t>
      </w:r>
    </w:p>
    <w:p>
      <w:pPr>
        <w:pStyle w:val="BodyText"/>
        <w:spacing w:line="232" w:lineRule="auto"/>
        <w:ind w:left="454" w:right="1" w:firstLine="396"/>
      </w:pPr>
      <w:r>
        <w:rPr>
          <w:color w:val="231F20"/>
          <w:w w:val="66"/>
        </w:rPr>
        <w:t> </w:t>
      </w:r>
      <w:r>
        <w:rPr>
          <w:color w:val="231F20"/>
        </w:rPr>
        <w:t>– пепеловод (четири цевовода) којим се допрема и по обиму депоније транспортује угушћена мешавина и паста са системом за његово чишћење и цевоводом повратне воде;</w:t>
      </w:r>
    </w:p>
    <w:p>
      <w:pPr>
        <w:pStyle w:val="BodyText"/>
        <w:spacing w:line="199" w:lineRule="exact"/>
        <w:ind w:left="851"/>
        <w:jc w:val="left"/>
      </w:pPr>
      <w:r>
        <w:rPr>
          <w:color w:val="231F20"/>
          <w:w w:val="66"/>
        </w:rPr>
        <w:t> </w:t>
      </w:r>
      <w:r>
        <w:rPr>
          <w:color w:val="231F20"/>
        </w:rPr>
        <w:t>– ободни канали, водосабирници и пумпна станица</w:t>
      </w:r>
      <w:r>
        <w:rPr>
          <w:color w:val="231F20"/>
          <w:spacing w:val="-32"/>
        </w:rPr>
        <w:t> </w:t>
      </w:r>
      <w:r>
        <w:rPr>
          <w:color w:val="231F20"/>
        </w:rPr>
        <w:t>повратне</w:t>
      </w:r>
    </w:p>
    <w:p>
      <w:pPr>
        <w:pStyle w:val="BodyText"/>
        <w:spacing w:line="201" w:lineRule="exact"/>
        <w:ind w:left="454"/>
        <w:jc w:val="left"/>
      </w:pPr>
      <w:r>
        <w:rPr>
          <w:color w:val="231F20"/>
        </w:rPr>
        <w:t>воде;</w:t>
      </w:r>
    </w:p>
    <w:p>
      <w:pPr>
        <w:pStyle w:val="BodyText"/>
        <w:spacing w:line="201" w:lineRule="exact"/>
        <w:ind w:left="851"/>
        <w:jc w:val="left"/>
      </w:pPr>
      <w:r>
        <w:rPr>
          <w:color w:val="231F20"/>
          <w:w w:val="66"/>
        </w:rPr>
        <w:t> </w:t>
      </w:r>
      <w:r>
        <w:rPr>
          <w:color w:val="231F20"/>
        </w:rPr>
        <w:t>– сервисна саобраћајница и друге интерне саобраћајнице; и</w:t>
      </w:r>
    </w:p>
    <w:p>
      <w:pPr>
        <w:pStyle w:val="BodyText"/>
        <w:spacing w:line="232" w:lineRule="auto"/>
        <w:ind w:left="455" w:firstLine="396"/>
      </w:pPr>
      <w:r>
        <w:rPr>
          <w:color w:val="231F20"/>
          <w:w w:val="66"/>
        </w:rPr>
        <w:t> </w:t>
      </w:r>
      <w:r>
        <w:rPr>
          <w:color w:val="231F20"/>
        </w:rPr>
        <w:t>– надземни и подземни високонапонски каблови VN 6 kV и електромоторни развод пумпне станице.</w:t>
      </w:r>
    </w:p>
    <w:p>
      <w:pPr>
        <w:pStyle w:val="BodyText"/>
        <w:spacing w:line="232" w:lineRule="auto"/>
        <w:ind w:left="455" w:firstLine="396"/>
      </w:pPr>
      <w:r>
        <w:rPr>
          <w:color w:val="231F20"/>
        </w:rPr>
        <w:t>Изван зоне инфраструктурних система депоније предвиђа се остала мрежа техничке инфраструктуре (постојећи високонапон- ски развод, елементи комуникационих система специјалне</w:t>
      </w:r>
      <w:r>
        <w:rPr>
          <w:color w:val="231F20"/>
          <w:spacing w:val="-29"/>
        </w:rPr>
        <w:t> </w:t>
      </w:r>
      <w:r>
        <w:rPr>
          <w:color w:val="231F20"/>
        </w:rPr>
        <w:t>намене у</w:t>
      </w:r>
      <w:r>
        <w:rPr>
          <w:color w:val="231F20"/>
          <w:spacing w:val="-6"/>
        </w:rPr>
        <w:t> </w:t>
      </w:r>
      <w:r>
        <w:rPr>
          <w:color w:val="231F20"/>
        </w:rPr>
        <w:t>функцији</w:t>
      </w:r>
      <w:r>
        <w:rPr>
          <w:color w:val="231F20"/>
          <w:spacing w:val="-6"/>
        </w:rPr>
        <w:t> </w:t>
      </w:r>
      <w:r>
        <w:rPr>
          <w:color w:val="231F20"/>
        </w:rPr>
        <w:t>система</w:t>
      </w:r>
      <w:r>
        <w:rPr>
          <w:color w:val="231F20"/>
          <w:spacing w:val="-6"/>
        </w:rPr>
        <w:t> </w:t>
      </w:r>
      <w:r>
        <w:rPr>
          <w:color w:val="231F20"/>
        </w:rPr>
        <w:t>осматрања</w:t>
      </w:r>
      <w:r>
        <w:rPr>
          <w:color w:val="231F20"/>
          <w:spacing w:val="-6"/>
        </w:rPr>
        <w:t> </w:t>
      </w:r>
      <w:r>
        <w:rPr>
          <w:color w:val="231F20"/>
        </w:rPr>
        <w:t>и</w:t>
      </w:r>
      <w:r>
        <w:rPr>
          <w:color w:val="231F20"/>
          <w:spacing w:val="-6"/>
        </w:rPr>
        <w:t> </w:t>
      </w:r>
      <w:r>
        <w:rPr>
          <w:color w:val="231F20"/>
        </w:rPr>
        <w:t>дојаве</w:t>
      </w:r>
      <w:r>
        <w:rPr>
          <w:color w:val="231F20"/>
          <w:spacing w:val="-6"/>
        </w:rPr>
        <w:t> </w:t>
      </w:r>
      <w:r>
        <w:rPr>
          <w:color w:val="231F20"/>
        </w:rPr>
        <w:t>акцидента,</w:t>
      </w:r>
      <w:r>
        <w:rPr>
          <w:color w:val="231F20"/>
          <w:spacing w:val="-6"/>
        </w:rPr>
        <w:t> </w:t>
      </w:r>
      <w:r>
        <w:rPr>
          <w:color w:val="231F20"/>
        </w:rPr>
        <w:t>разводни</w:t>
      </w:r>
      <w:r>
        <w:rPr>
          <w:color w:val="231F20"/>
          <w:spacing w:val="-6"/>
        </w:rPr>
        <w:t> </w:t>
      </w:r>
      <w:r>
        <w:rPr>
          <w:color w:val="231F20"/>
        </w:rPr>
        <w:t>пепе- ловоди</w:t>
      </w:r>
      <w:r>
        <w:rPr>
          <w:color w:val="231F20"/>
          <w:spacing w:val="-6"/>
        </w:rPr>
        <w:t> </w:t>
      </w:r>
      <w:r>
        <w:rPr>
          <w:color w:val="231F20"/>
        </w:rPr>
        <w:t>и</w:t>
      </w:r>
      <w:r>
        <w:rPr>
          <w:color w:val="231F20"/>
          <w:spacing w:val="-6"/>
        </w:rPr>
        <w:t> </w:t>
      </w:r>
      <w:r>
        <w:rPr>
          <w:color w:val="231F20"/>
        </w:rPr>
        <w:t>други</w:t>
      </w:r>
      <w:r>
        <w:rPr>
          <w:color w:val="231F20"/>
          <w:spacing w:val="-6"/>
        </w:rPr>
        <w:t> </w:t>
      </w:r>
      <w:r>
        <w:rPr>
          <w:color w:val="231F20"/>
        </w:rPr>
        <w:t>цевоводи,</w:t>
      </w:r>
      <w:r>
        <w:rPr>
          <w:color w:val="231F20"/>
          <w:spacing w:val="-6"/>
        </w:rPr>
        <w:t> </w:t>
      </w:r>
      <w:r>
        <w:rPr>
          <w:color w:val="231F20"/>
        </w:rPr>
        <w:t>све</w:t>
      </w:r>
      <w:r>
        <w:rPr>
          <w:color w:val="231F20"/>
          <w:spacing w:val="-6"/>
        </w:rPr>
        <w:t> </w:t>
      </w:r>
      <w:r>
        <w:rPr>
          <w:color w:val="231F20"/>
        </w:rPr>
        <w:t>за</w:t>
      </w:r>
      <w:r>
        <w:rPr>
          <w:color w:val="231F20"/>
          <w:spacing w:val="-6"/>
        </w:rPr>
        <w:t> </w:t>
      </w:r>
      <w:r>
        <w:rPr>
          <w:color w:val="231F20"/>
        </w:rPr>
        <w:t>потребе</w:t>
      </w:r>
      <w:r>
        <w:rPr>
          <w:color w:val="231F20"/>
          <w:spacing w:val="-6"/>
        </w:rPr>
        <w:t> </w:t>
      </w:r>
      <w:r>
        <w:rPr>
          <w:color w:val="231F20"/>
        </w:rPr>
        <w:t>експлоатације</w:t>
      </w:r>
      <w:r>
        <w:rPr>
          <w:color w:val="231F20"/>
          <w:spacing w:val="-6"/>
        </w:rPr>
        <w:t> </w:t>
      </w:r>
      <w:r>
        <w:rPr>
          <w:color w:val="231F20"/>
        </w:rPr>
        <w:t>депоније).</w:t>
      </w:r>
    </w:p>
    <w:p>
      <w:pPr>
        <w:pStyle w:val="ListParagraph"/>
        <w:numPr>
          <w:ilvl w:val="2"/>
          <w:numId w:val="63"/>
        </w:numPr>
        <w:tabs>
          <w:tab w:pos="1731" w:val="left" w:leader="none"/>
        </w:tabs>
        <w:spacing w:line="240" w:lineRule="auto" w:before="163" w:after="0"/>
        <w:ind w:left="1730" w:right="0" w:hanging="315"/>
        <w:jc w:val="left"/>
        <w:rPr>
          <w:i/>
          <w:sz w:val="18"/>
        </w:rPr>
      </w:pPr>
      <w:r>
        <w:rPr>
          <w:i/>
          <w:color w:val="231F20"/>
          <w:sz w:val="18"/>
        </w:rPr>
        <w:t>Правила изградње и правила</w:t>
      </w:r>
      <w:r>
        <w:rPr>
          <w:i/>
          <w:color w:val="231F20"/>
          <w:spacing w:val="-2"/>
          <w:sz w:val="18"/>
        </w:rPr>
        <w:t> </w:t>
      </w:r>
      <w:r>
        <w:rPr>
          <w:i/>
          <w:color w:val="231F20"/>
          <w:sz w:val="18"/>
        </w:rPr>
        <w:t>уређења</w:t>
      </w:r>
    </w:p>
    <w:p>
      <w:pPr>
        <w:pStyle w:val="BodyText"/>
        <w:spacing w:before="4"/>
        <w:ind w:left="0"/>
        <w:jc w:val="left"/>
        <w:rPr>
          <w:i/>
          <w:sz w:val="17"/>
        </w:rPr>
      </w:pPr>
    </w:p>
    <w:p>
      <w:pPr>
        <w:pStyle w:val="BodyText"/>
        <w:spacing w:line="232" w:lineRule="auto"/>
        <w:ind w:left="454" w:firstLine="397"/>
      </w:pPr>
      <w:r>
        <w:rPr>
          <w:color w:val="231F20"/>
          <w:spacing w:val="-3"/>
        </w:rPr>
        <w:t>Границом </w:t>
      </w:r>
      <w:r>
        <w:rPr>
          <w:color w:val="231F20"/>
        </w:rPr>
        <w:t>просторне целине обухваћене су површине на </w:t>
      </w:r>
      <w:r>
        <w:rPr>
          <w:color w:val="231F20"/>
          <w:spacing w:val="-4"/>
        </w:rPr>
        <w:t>ко- </w:t>
      </w:r>
      <w:r>
        <w:rPr>
          <w:color w:val="231F20"/>
        </w:rPr>
        <w:t>јима</w:t>
      </w:r>
      <w:r>
        <w:rPr>
          <w:color w:val="231F20"/>
          <w:spacing w:val="-9"/>
        </w:rPr>
        <w:t> </w:t>
      </w:r>
      <w:r>
        <w:rPr>
          <w:color w:val="231F20"/>
        </w:rPr>
        <w:t>су</w:t>
      </w:r>
      <w:r>
        <w:rPr>
          <w:color w:val="231F20"/>
          <w:spacing w:val="-9"/>
        </w:rPr>
        <w:t> </w:t>
      </w:r>
      <w:r>
        <w:rPr>
          <w:color w:val="231F20"/>
        </w:rPr>
        <w:t>се</w:t>
      </w:r>
      <w:r>
        <w:rPr>
          <w:color w:val="231F20"/>
          <w:spacing w:val="-9"/>
        </w:rPr>
        <w:t> </w:t>
      </w:r>
      <w:r>
        <w:rPr>
          <w:color w:val="231F20"/>
        </w:rPr>
        <w:t>у</w:t>
      </w:r>
      <w:r>
        <w:rPr>
          <w:color w:val="231F20"/>
          <w:spacing w:val="-9"/>
        </w:rPr>
        <w:t> </w:t>
      </w:r>
      <w:r>
        <w:rPr>
          <w:color w:val="231F20"/>
        </w:rPr>
        <w:t>ранијем</w:t>
      </w:r>
      <w:r>
        <w:rPr>
          <w:color w:val="231F20"/>
          <w:spacing w:val="-9"/>
        </w:rPr>
        <w:t> </w:t>
      </w:r>
      <w:r>
        <w:rPr>
          <w:color w:val="231F20"/>
        </w:rPr>
        <w:t>периоду</w:t>
      </w:r>
      <w:r>
        <w:rPr>
          <w:color w:val="231F20"/>
          <w:spacing w:val="-9"/>
        </w:rPr>
        <w:t> </w:t>
      </w:r>
      <w:r>
        <w:rPr>
          <w:color w:val="231F20"/>
        </w:rPr>
        <w:t>одвијали</w:t>
      </w:r>
      <w:r>
        <w:rPr>
          <w:color w:val="231F20"/>
          <w:spacing w:val="-9"/>
        </w:rPr>
        <w:t> </w:t>
      </w:r>
      <w:r>
        <w:rPr>
          <w:color w:val="231F20"/>
        </w:rPr>
        <w:t>активни</w:t>
      </w:r>
      <w:r>
        <w:rPr>
          <w:color w:val="231F20"/>
          <w:spacing w:val="-9"/>
        </w:rPr>
        <w:t> </w:t>
      </w:r>
      <w:r>
        <w:rPr>
          <w:color w:val="231F20"/>
        </w:rPr>
        <w:t>рударски</w:t>
      </w:r>
      <w:r>
        <w:rPr>
          <w:color w:val="231F20"/>
          <w:spacing w:val="-9"/>
        </w:rPr>
        <w:t> </w:t>
      </w:r>
      <w:r>
        <w:rPr>
          <w:color w:val="231F20"/>
        </w:rPr>
        <w:t>радови</w:t>
      </w:r>
      <w:r>
        <w:rPr>
          <w:color w:val="231F20"/>
          <w:spacing w:val="-9"/>
        </w:rPr>
        <w:t> </w:t>
      </w:r>
      <w:r>
        <w:rPr>
          <w:color w:val="231F20"/>
        </w:rPr>
        <w:t>на површинској експлоатацији (део к.п. бр. 2965, </w:t>
      </w:r>
      <w:r>
        <w:rPr>
          <w:color w:val="231F20"/>
          <w:spacing w:val="-3"/>
        </w:rPr>
        <w:t>КО </w:t>
      </w:r>
      <w:r>
        <w:rPr>
          <w:color w:val="231F20"/>
        </w:rPr>
        <w:t>Брадарац; део к.п. бр. 1551/1, </w:t>
      </w:r>
      <w:r>
        <w:rPr>
          <w:color w:val="231F20"/>
          <w:spacing w:val="-3"/>
        </w:rPr>
        <w:t>КО </w:t>
      </w:r>
      <w:r>
        <w:rPr>
          <w:color w:val="231F20"/>
        </w:rPr>
        <w:t>Ћириковац; и 2898 </w:t>
      </w:r>
      <w:r>
        <w:rPr>
          <w:color w:val="231F20"/>
          <w:spacing w:val="-3"/>
        </w:rPr>
        <w:t>КО </w:t>
      </w:r>
      <w:r>
        <w:rPr>
          <w:color w:val="231F20"/>
        </w:rPr>
        <w:t>Кленовник), a на </w:t>
      </w:r>
      <w:r>
        <w:rPr>
          <w:color w:val="231F20"/>
          <w:spacing w:val="-3"/>
        </w:rPr>
        <w:t>којима </w:t>
      </w:r>
      <w:r>
        <w:rPr>
          <w:color w:val="231F20"/>
        </w:rPr>
        <w:t>ће се успоставити </w:t>
      </w:r>
      <w:r>
        <w:rPr>
          <w:color w:val="231F20"/>
          <w:spacing w:val="-3"/>
        </w:rPr>
        <w:t>Комплекс </w:t>
      </w:r>
      <w:r>
        <w:rPr>
          <w:color w:val="231F20"/>
        </w:rPr>
        <w:t>депоније пепела и шљаке, као и повр- шине на северној граници </w:t>
      </w:r>
      <w:r>
        <w:rPr>
          <w:color w:val="231F20"/>
          <w:spacing w:val="-3"/>
        </w:rPr>
        <w:t>копа </w:t>
      </w:r>
      <w:r>
        <w:rPr>
          <w:color w:val="231F20"/>
        </w:rPr>
        <w:t>у </w:t>
      </w:r>
      <w:r>
        <w:rPr>
          <w:color w:val="231F20"/>
          <w:spacing w:val="-3"/>
        </w:rPr>
        <w:t>КО </w:t>
      </w:r>
      <w:r>
        <w:rPr>
          <w:color w:val="231F20"/>
        </w:rPr>
        <w:t>Кленовник и </w:t>
      </w:r>
      <w:r>
        <w:rPr>
          <w:color w:val="231F20"/>
          <w:spacing w:val="-3"/>
        </w:rPr>
        <w:t>КО </w:t>
      </w:r>
      <w:r>
        <w:rPr>
          <w:color w:val="231F20"/>
        </w:rPr>
        <w:t>Брадарац, </w:t>
      </w:r>
      <w:r>
        <w:rPr>
          <w:color w:val="231F20"/>
          <w:spacing w:val="-4"/>
        </w:rPr>
        <w:t>где </w:t>
      </w:r>
      <w:r>
        <w:rPr>
          <w:color w:val="231F20"/>
        </w:rPr>
        <w:t>су обустављени радови на површинској експлоатацији и </w:t>
      </w:r>
      <w:r>
        <w:rPr>
          <w:color w:val="231F20"/>
          <w:spacing w:val="-4"/>
        </w:rPr>
        <w:t>где</w:t>
      </w:r>
      <w:r>
        <w:rPr>
          <w:color w:val="231F20"/>
          <w:spacing w:val="-31"/>
        </w:rPr>
        <w:t> </w:t>
      </w:r>
      <w:r>
        <w:rPr>
          <w:color w:val="231F20"/>
        </w:rPr>
        <w:t>ће се</w:t>
      </w:r>
      <w:r>
        <w:rPr>
          <w:color w:val="231F20"/>
          <w:spacing w:val="-7"/>
        </w:rPr>
        <w:t> </w:t>
      </w:r>
      <w:r>
        <w:rPr>
          <w:color w:val="231F20"/>
        </w:rPr>
        <w:t>предузети</w:t>
      </w:r>
      <w:r>
        <w:rPr>
          <w:color w:val="231F20"/>
          <w:spacing w:val="-7"/>
        </w:rPr>
        <w:t> </w:t>
      </w:r>
      <w:r>
        <w:rPr>
          <w:color w:val="231F20"/>
        </w:rPr>
        <w:t>радови</w:t>
      </w:r>
      <w:r>
        <w:rPr>
          <w:color w:val="231F20"/>
          <w:spacing w:val="-7"/>
        </w:rPr>
        <w:t> </w:t>
      </w:r>
      <w:r>
        <w:rPr>
          <w:color w:val="231F20"/>
        </w:rPr>
        <w:t>на</w:t>
      </w:r>
      <w:r>
        <w:rPr>
          <w:color w:val="231F20"/>
          <w:spacing w:val="-7"/>
        </w:rPr>
        <w:t> </w:t>
      </w:r>
      <w:r>
        <w:rPr>
          <w:color w:val="231F20"/>
        </w:rPr>
        <w:t>санацији</w:t>
      </w:r>
      <w:r>
        <w:rPr>
          <w:color w:val="231F20"/>
          <w:spacing w:val="-7"/>
        </w:rPr>
        <w:t> </w:t>
      </w:r>
      <w:r>
        <w:rPr>
          <w:color w:val="231F20"/>
        </w:rPr>
        <w:t>северне</w:t>
      </w:r>
      <w:r>
        <w:rPr>
          <w:color w:val="231F20"/>
          <w:spacing w:val="-7"/>
        </w:rPr>
        <w:t> </w:t>
      </w:r>
      <w:r>
        <w:rPr>
          <w:color w:val="231F20"/>
        </w:rPr>
        <w:t>косине</w:t>
      </w:r>
      <w:r>
        <w:rPr>
          <w:color w:val="231F20"/>
          <w:spacing w:val="-7"/>
        </w:rPr>
        <w:t> </w:t>
      </w:r>
      <w:r>
        <w:rPr>
          <w:color w:val="231F20"/>
          <w:spacing w:val="-3"/>
        </w:rPr>
        <w:t>копа,</w:t>
      </w:r>
      <w:r>
        <w:rPr>
          <w:color w:val="231F20"/>
          <w:spacing w:val="-7"/>
        </w:rPr>
        <w:t> </w:t>
      </w:r>
      <w:r>
        <w:rPr>
          <w:color w:val="231F20"/>
        </w:rPr>
        <w:t>а</w:t>
      </w:r>
      <w:r>
        <w:rPr>
          <w:color w:val="231F20"/>
          <w:spacing w:val="-7"/>
        </w:rPr>
        <w:t> </w:t>
      </w:r>
      <w:r>
        <w:rPr>
          <w:color w:val="231F20"/>
        </w:rPr>
        <w:t>по</w:t>
      </w:r>
      <w:r>
        <w:rPr>
          <w:color w:val="231F20"/>
          <w:spacing w:val="-7"/>
        </w:rPr>
        <w:t> </w:t>
      </w:r>
      <w:r>
        <w:rPr>
          <w:color w:val="231F20"/>
        </w:rPr>
        <w:t>заврше- ној санацији и </w:t>
      </w:r>
      <w:r>
        <w:rPr>
          <w:color w:val="231F20"/>
          <w:spacing w:val="-3"/>
        </w:rPr>
        <w:t>коначна</w:t>
      </w:r>
      <w:r>
        <w:rPr>
          <w:color w:val="231F20"/>
          <w:spacing w:val="-5"/>
        </w:rPr>
        <w:t> </w:t>
      </w:r>
      <w:r>
        <w:rPr>
          <w:color w:val="231F20"/>
        </w:rPr>
        <w:t>рекултивација.</w:t>
      </w:r>
    </w:p>
    <w:p>
      <w:pPr>
        <w:pStyle w:val="BodyText"/>
        <w:spacing w:line="232" w:lineRule="auto"/>
        <w:ind w:left="454" w:firstLine="396"/>
      </w:pPr>
      <w:r>
        <w:rPr>
          <w:color w:val="231F20"/>
        </w:rPr>
        <w:t>Ове површине, заузете или намењене  рударским  радови- ма (депоновање пепела и шљаке у откопани простор, санација и рекултивација површинског </w:t>
      </w:r>
      <w:r>
        <w:rPr>
          <w:color w:val="231F20"/>
          <w:spacing w:val="-3"/>
        </w:rPr>
        <w:t>копа </w:t>
      </w:r>
      <w:r>
        <w:rPr>
          <w:color w:val="231F20"/>
        </w:rPr>
        <w:t>), сагласно </w:t>
      </w:r>
      <w:r>
        <w:rPr>
          <w:color w:val="231F20"/>
          <w:spacing w:val="-2"/>
        </w:rPr>
        <w:t>Закону </w:t>
      </w:r>
      <w:r>
        <w:rPr>
          <w:color w:val="231F20"/>
        </w:rPr>
        <w:t>о </w:t>
      </w:r>
      <w:r>
        <w:rPr>
          <w:color w:val="231F20"/>
          <w:spacing w:val="-3"/>
        </w:rPr>
        <w:t>рударству </w:t>
      </w:r>
      <w:r>
        <w:rPr>
          <w:color w:val="231F20"/>
        </w:rPr>
        <w:t>утврђују се као јавна површина намењена „активностима </w:t>
      </w:r>
      <w:r>
        <w:rPr>
          <w:color w:val="231F20"/>
          <w:spacing w:val="-3"/>
        </w:rPr>
        <w:t>од </w:t>
      </w:r>
      <w:r>
        <w:rPr>
          <w:color w:val="231F20"/>
        </w:rPr>
        <w:t>јав- ног интереса”, и то на територији града Пожаревца делови ката- старских</w:t>
      </w:r>
      <w:r>
        <w:rPr>
          <w:color w:val="231F20"/>
          <w:spacing w:val="-1"/>
        </w:rPr>
        <w:t> </w:t>
      </w:r>
      <w:r>
        <w:rPr>
          <w:color w:val="231F20"/>
        </w:rPr>
        <w:t>општина:</w:t>
      </w:r>
    </w:p>
    <w:p>
      <w:pPr>
        <w:pStyle w:val="BodyText"/>
        <w:spacing w:line="232" w:lineRule="auto"/>
        <w:ind w:left="851" w:right="3246"/>
        <w:jc w:val="left"/>
      </w:pPr>
      <w:r>
        <w:rPr>
          <w:color w:val="231F20"/>
        </w:rPr>
        <w:t>КО Ћириковац: део к.п. бр. 1551/1; КО Кленовник:</w:t>
      </w:r>
    </w:p>
    <w:p>
      <w:pPr>
        <w:pStyle w:val="BodyText"/>
        <w:spacing w:line="199" w:lineRule="exact"/>
        <w:ind w:left="851"/>
        <w:jc w:val="left"/>
      </w:pPr>
      <w:r>
        <w:rPr>
          <w:color w:val="231F20"/>
        </w:rPr>
        <w:t>1309, 1312, 1315, 1321, 1324, 1325, 2487, 2488, 2489, 2490,</w:t>
      </w:r>
    </w:p>
    <w:p>
      <w:pPr>
        <w:pStyle w:val="BodyText"/>
        <w:spacing w:line="201" w:lineRule="exact"/>
        <w:ind w:left="454"/>
        <w:jc w:val="left"/>
      </w:pPr>
      <w:r>
        <w:rPr>
          <w:color w:val="231F20"/>
        </w:rPr>
        <w:t>2491, 2492, 2495, 2496, 2503, 2504, 2509, 2510, , 2516/1, 2516/2,</w:t>
      </w:r>
    </w:p>
    <w:p>
      <w:pPr>
        <w:pStyle w:val="BodyText"/>
        <w:spacing w:line="201" w:lineRule="exact"/>
        <w:ind w:left="454"/>
        <w:jc w:val="left"/>
      </w:pPr>
      <w:r>
        <w:rPr>
          <w:color w:val="231F20"/>
        </w:rPr>
        <w:t>2517, 2518, 2519, 2520, 2521, 2522, 2523, 2524, 2526, 2527, 2528,</w:t>
      </w:r>
    </w:p>
    <w:p>
      <w:pPr>
        <w:pStyle w:val="BodyText"/>
        <w:spacing w:line="201" w:lineRule="exact"/>
        <w:ind w:left="454"/>
        <w:jc w:val="left"/>
      </w:pPr>
      <w:r>
        <w:rPr>
          <w:color w:val="231F20"/>
        </w:rPr>
        <w:t>2529,  2530,  2531,  2532,  2533,  2534,  2535/1,  2535/2,  2536, 2537,</w:t>
      </w:r>
    </w:p>
    <w:p>
      <w:pPr>
        <w:pStyle w:val="BodyText"/>
        <w:spacing w:line="204" w:lineRule="exact"/>
        <w:ind w:left="454"/>
        <w:jc w:val="left"/>
      </w:pPr>
      <w:r>
        <w:rPr>
          <w:color w:val="231F20"/>
        </w:rPr>
        <w:t>2538, 2539, 2540, 2541, 2542, 2543, 2544, 2545, 2546, 2547, 2548,</w:t>
      </w:r>
    </w:p>
    <w:p>
      <w:pPr>
        <w:pStyle w:val="BodyText"/>
        <w:spacing w:line="204" w:lineRule="exact" w:before="72"/>
        <w:ind w:left="242"/>
        <w:jc w:val="left"/>
      </w:pPr>
      <w:r>
        <w:rPr/>
        <w:br w:type="column"/>
      </w:r>
      <w:r>
        <w:rPr>
          <w:color w:val="231F20"/>
        </w:rPr>
        <w:t>2549,  2550,  2551,  2552,  2553,  2554,  2555/1,  2555/2,  2556, 2557,</w:t>
      </w:r>
    </w:p>
    <w:p>
      <w:pPr>
        <w:pStyle w:val="BodyText"/>
        <w:spacing w:line="200" w:lineRule="exact"/>
        <w:ind w:left="242"/>
        <w:jc w:val="left"/>
      </w:pPr>
      <w:r>
        <w:rPr>
          <w:color w:val="231F20"/>
        </w:rPr>
        <w:t>2558,  2559,  2560,  2561,  2562,  2563,  2564/1,  2564/2,  2565, 2566,</w:t>
      </w:r>
    </w:p>
    <w:p>
      <w:pPr>
        <w:pStyle w:val="BodyText"/>
        <w:spacing w:line="200" w:lineRule="exact"/>
        <w:ind w:left="242"/>
        <w:jc w:val="left"/>
      </w:pPr>
      <w:r>
        <w:rPr>
          <w:color w:val="231F20"/>
        </w:rPr>
        <w:t>2567,  2568,  2569,  2570,  2571/1,  2571/2,  2572,  2573,  2574, 2575,</w:t>
      </w:r>
    </w:p>
    <w:p>
      <w:pPr>
        <w:pStyle w:val="BodyText"/>
        <w:spacing w:line="200" w:lineRule="exact"/>
        <w:ind w:left="242"/>
        <w:jc w:val="left"/>
      </w:pPr>
      <w:r>
        <w:rPr>
          <w:color w:val="231F20"/>
        </w:rPr>
        <w:t>2576,  2577,  2578,  2579,  2580,  2581,  2582,  2583,  2584,  2585/1,</w:t>
      </w:r>
    </w:p>
    <w:p>
      <w:pPr>
        <w:pStyle w:val="BodyText"/>
        <w:spacing w:line="200" w:lineRule="exact"/>
        <w:ind w:left="242"/>
        <w:jc w:val="left"/>
      </w:pPr>
      <w:r>
        <w:rPr>
          <w:color w:val="231F20"/>
        </w:rPr>
        <w:t>2585/2, 2586/1, 2586/2, 2587, 2588, 2589, 2897, 2909, 2913, 2914;</w:t>
      </w:r>
    </w:p>
    <w:p>
      <w:pPr>
        <w:pStyle w:val="BodyText"/>
        <w:spacing w:line="200" w:lineRule="exact"/>
        <w:ind w:left="242"/>
        <w:jc w:val="left"/>
      </w:pPr>
      <w:r>
        <w:rPr>
          <w:color w:val="231F20"/>
        </w:rPr>
        <w:t>део к.п.бр.: 1551/12498, 2499, 2500, 2511, 2512, 2513, 2514, 2596,</w:t>
      </w:r>
    </w:p>
    <w:p>
      <w:pPr>
        <w:pStyle w:val="BodyText"/>
        <w:spacing w:line="200" w:lineRule="exact"/>
        <w:ind w:left="242"/>
        <w:jc w:val="left"/>
      </w:pPr>
      <w:r>
        <w:rPr>
          <w:color w:val="231F20"/>
        </w:rPr>
        <w:t>2597, 2598, 2599, 2600, 2601, 2602, 2603, 2604, 2605, 2606, 2607,</w:t>
      </w:r>
    </w:p>
    <w:p>
      <w:pPr>
        <w:pStyle w:val="BodyText"/>
        <w:spacing w:line="200" w:lineRule="exact"/>
        <w:ind w:left="242"/>
        <w:jc w:val="left"/>
      </w:pPr>
      <w:r>
        <w:rPr>
          <w:color w:val="231F20"/>
        </w:rPr>
        <w:t>2608, 2609, 2898 и 2908; и</w:t>
      </w:r>
    </w:p>
    <w:p>
      <w:pPr>
        <w:pStyle w:val="BodyText"/>
        <w:spacing w:line="200" w:lineRule="exact"/>
        <w:ind w:left="638"/>
        <w:jc w:val="left"/>
      </w:pPr>
      <w:r>
        <w:rPr>
          <w:color w:val="231F20"/>
        </w:rPr>
        <w:t>КО Брадарац:</w:t>
      </w:r>
    </w:p>
    <w:p>
      <w:pPr>
        <w:pStyle w:val="BodyText"/>
        <w:spacing w:line="200" w:lineRule="exact"/>
        <w:ind w:left="638"/>
        <w:jc w:val="left"/>
      </w:pPr>
      <w:r>
        <w:rPr>
          <w:color w:val="231F20"/>
          <w:spacing w:val="-3"/>
        </w:rPr>
        <w:t>целе к.п. бр.: </w:t>
      </w:r>
      <w:r>
        <w:rPr>
          <w:color w:val="231F20"/>
          <w:spacing w:val="-4"/>
        </w:rPr>
        <w:t>2681,  2682,  2683,  2686,  2693,  2694,  2697,   2715,</w:t>
      </w:r>
    </w:p>
    <w:p>
      <w:pPr>
        <w:pStyle w:val="BodyText"/>
        <w:spacing w:line="200" w:lineRule="exact"/>
        <w:ind w:left="242"/>
        <w:jc w:val="left"/>
      </w:pPr>
      <w:r>
        <w:rPr>
          <w:color w:val="231F20"/>
          <w:spacing w:val="-4"/>
        </w:rPr>
        <w:t>2716, 2717, 2724, 2725, 2777, 2778, 2779, 2780, 2781, 2782, 2783, 2784,</w:t>
      </w:r>
    </w:p>
    <w:p>
      <w:pPr>
        <w:pStyle w:val="BodyText"/>
        <w:spacing w:line="200" w:lineRule="exact"/>
        <w:ind w:left="242"/>
        <w:jc w:val="left"/>
      </w:pPr>
      <w:r>
        <w:rPr>
          <w:color w:val="231F20"/>
          <w:spacing w:val="-4"/>
        </w:rPr>
        <w:t>2785, 2786, 2787, 2788, 2789, 2790, 2791, 2792, 2793, 2794, 2795, 2797,</w:t>
      </w:r>
    </w:p>
    <w:p>
      <w:pPr>
        <w:pStyle w:val="BodyText"/>
        <w:spacing w:line="200" w:lineRule="exact"/>
        <w:ind w:left="242"/>
        <w:jc w:val="left"/>
      </w:pPr>
      <w:r>
        <w:rPr>
          <w:color w:val="231F20"/>
          <w:spacing w:val="-4"/>
        </w:rPr>
        <w:t>2799, 2800, 2801, 2802, 2803, 2804, 2805, 2806, 2807, 2808, 2809, 2810,</w:t>
      </w:r>
    </w:p>
    <w:p>
      <w:pPr>
        <w:pStyle w:val="BodyText"/>
        <w:spacing w:line="200" w:lineRule="exact"/>
        <w:ind w:left="242"/>
        <w:jc w:val="left"/>
      </w:pPr>
      <w:r>
        <w:rPr>
          <w:color w:val="231F20"/>
        </w:rPr>
        <w:t>2811, 2812, 2813, 2814, 2815, 2816, 2817, 2818/1, 2818/2, 2819, 2820,</w:t>
      </w:r>
    </w:p>
    <w:p>
      <w:pPr>
        <w:pStyle w:val="BodyText"/>
        <w:spacing w:line="200" w:lineRule="exact"/>
        <w:ind w:left="242"/>
        <w:jc w:val="left"/>
      </w:pPr>
      <w:r>
        <w:rPr>
          <w:color w:val="231F20"/>
          <w:spacing w:val="-4"/>
        </w:rPr>
        <w:t>2821, 2822, 2823, 2824, 2825, 2826, 2827, 2828, 2829, 2830, 2831, 2832,</w:t>
      </w:r>
    </w:p>
    <w:p>
      <w:pPr>
        <w:pStyle w:val="BodyText"/>
        <w:spacing w:line="200" w:lineRule="exact"/>
        <w:ind w:left="242"/>
        <w:jc w:val="left"/>
      </w:pPr>
      <w:r>
        <w:rPr>
          <w:color w:val="231F20"/>
          <w:spacing w:val="-4"/>
        </w:rPr>
        <w:t>2833, 2834, 2835, 2836, 2837, 2838, 2839, 2840, 2841, 2842, 2843, 2844,</w:t>
      </w:r>
    </w:p>
    <w:p>
      <w:pPr>
        <w:pStyle w:val="BodyText"/>
        <w:spacing w:line="200" w:lineRule="exact"/>
        <w:ind w:left="242"/>
        <w:jc w:val="left"/>
      </w:pPr>
      <w:r>
        <w:rPr>
          <w:color w:val="231F20"/>
          <w:spacing w:val="-4"/>
        </w:rPr>
        <w:t>2845, 2846, 2847, 2848, 2849, 2850, 2851, 2852, 2853, 2854, 2855, 2856,</w:t>
      </w:r>
    </w:p>
    <w:p>
      <w:pPr>
        <w:pStyle w:val="BodyText"/>
        <w:spacing w:line="200" w:lineRule="exact"/>
        <w:ind w:left="242"/>
        <w:jc w:val="left"/>
      </w:pPr>
      <w:r>
        <w:rPr>
          <w:color w:val="231F20"/>
          <w:spacing w:val="-4"/>
        </w:rPr>
        <w:t>2857, 2858, 2859, 2860, 2861, 2862, 2863, 2864, 2865, 2866, 2867, 2868,</w:t>
      </w:r>
    </w:p>
    <w:p>
      <w:pPr>
        <w:pStyle w:val="BodyText"/>
        <w:spacing w:line="200" w:lineRule="exact"/>
        <w:ind w:left="242"/>
        <w:jc w:val="left"/>
      </w:pPr>
      <w:r>
        <w:rPr>
          <w:color w:val="231F20"/>
          <w:spacing w:val="-4"/>
        </w:rPr>
        <w:t>2869, 2870, 2871, 2872, 2873, 2874, 2875, 2876, 2877, 2878, 2879, 2880,</w:t>
      </w:r>
    </w:p>
    <w:p>
      <w:pPr>
        <w:pStyle w:val="BodyText"/>
        <w:spacing w:line="200" w:lineRule="exact"/>
        <w:ind w:left="242"/>
        <w:jc w:val="left"/>
      </w:pPr>
      <w:r>
        <w:rPr>
          <w:color w:val="231F20"/>
          <w:spacing w:val="-4"/>
        </w:rPr>
        <w:t>2881, 2882, 2883, 2884, 2885, 2886, 2887, 2888, 2889, 2890, 2891, 2892,</w:t>
      </w:r>
    </w:p>
    <w:p>
      <w:pPr>
        <w:pStyle w:val="BodyText"/>
        <w:spacing w:line="200" w:lineRule="exact"/>
        <w:ind w:left="242"/>
        <w:jc w:val="left"/>
      </w:pPr>
      <w:r>
        <w:rPr>
          <w:color w:val="231F20"/>
          <w:spacing w:val="-4"/>
        </w:rPr>
        <w:t>2893, 2894, 2895, 2896, 2897, 2899, 2900, 2901, 2902, 2903, 2904, 2905,</w:t>
      </w:r>
    </w:p>
    <w:p>
      <w:pPr>
        <w:pStyle w:val="BodyText"/>
        <w:spacing w:line="200" w:lineRule="exact"/>
        <w:ind w:left="242"/>
        <w:jc w:val="left"/>
      </w:pPr>
      <w:r>
        <w:rPr>
          <w:color w:val="231F20"/>
          <w:spacing w:val="-4"/>
        </w:rPr>
        <w:t>2906, 2907, 2908, 2909, 2910, </w:t>
      </w:r>
      <w:r>
        <w:rPr>
          <w:color w:val="231F20"/>
          <w:spacing w:val="-5"/>
        </w:rPr>
        <w:t>2911, </w:t>
      </w:r>
      <w:r>
        <w:rPr>
          <w:color w:val="231F20"/>
          <w:spacing w:val="-4"/>
        </w:rPr>
        <w:t>2912, 2913, 2914, 2915, 2916, 2923,</w:t>
      </w:r>
    </w:p>
    <w:p>
      <w:pPr>
        <w:pStyle w:val="BodyText"/>
        <w:spacing w:line="200" w:lineRule="exact"/>
        <w:ind w:left="242"/>
        <w:jc w:val="left"/>
      </w:pPr>
      <w:r>
        <w:rPr>
          <w:color w:val="231F20"/>
          <w:spacing w:val="-4"/>
        </w:rPr>
        <w:t>2925, 2926, 2927, 2928, 2929, 2930, 2931, 2932, 2933, 2934, 2935, 2936,</w:t>
      </w:r>
    </w:p>
    <w:p>
      <w:pPr>
        <w:pStyle w:val="BodyText"/>
        <w:spacing w:line="200" w:lineRule="exact"/>
        <w:ind w:left="242"/>
        <w:jc w:val="left"/>
      </w:pPr>
      <w:r>
        <w:rPr>
          <w:color w:val="231F20"/>
          <w:spacing w:val="-4"/>
        </w:rPr>
        <w:t>2937, 2938, 2939, 2940, 2941, 2942, 2943, 2944, 2945, 2946, 2947, 2948,</w:t>
      </w:r>
    </w:p>
    <w:p>
      <w:pPr>
        <w:pStyle w:val="BodyText"/>
        <w:spacing w:line="200" w:lineRule="exact"/>
        <w:ind w:left="242"/>
        <w:jc w:val="left"/>
      </w:pPr>
      <w:r>
        <w:rPr>
          <w:color w:val="231F20"/>
          <w:spacing w:val="-4"/>
        </w:rPr>
        <w:t>2949, 2950, 2951, 2952, 2953, 2954, 2955, 2956, 2957, 2958, 2959, 2960,</w:t>
      </w:r>
    </w:p>
    <w:p>
      <w:pPr>
        <w:pStyle w:val="BodyText"/>
        <w:spacing w:line="200" w:lineRule="exact"/>
        <w:ind w:left="242"/>
        <w:jc w:val="left"/>
      </w:pPr>
      <w:r>
        <w:rPr>
          <w:color w:val="231F20"/>
          <w:spacing w:val="-4"/>
        </w:rPr>
        <w:t>2961, 2962, 2963, 2964, 2966, 2967, 2968, 2969, 2970, 2971, 2972, 2973,</w:t>
      </w:r>
    </w:p>
    <w:p>
      <w:pPr>
        <w:pStyle w:val="BodyText"/>
        <w:spacing w:line="200" w:lineRule="exact"/>
        <w:ind w:left="242"/>
        <w:jc w:val="left"/>
      </w:pPr>
      <w:r>
        <w:rPr>
          <w:color w:val="231F20"/>
          <w:spacing w:val="-4"/>
        </w:rPr>
        <w:t>2974, 2975, 2976, 2977, 2978, 2979, 2980, 2981, 2982, 2983, 2984, 2985,</w:t>
      </w:r>
    </w:p>
    <w:p>
      <w:pPr>
        <w:pStyle w:val="BodyText"/>
        <w:spacing w:line="200" w:lineRule="exact"/>
        <w:ind w:left="242"/>
        <w:jc w:val="left"/>
      </w:pPr>
      <w:r>
        <w:rPr>
          <w:color w:val="231F20"/>
          <w:spacing w:val="-4"/>
        </w:rPr>
        <w:t>2986, 2987, 2988, 2989, 2990, 2991, 2992, 2993, 2994, 2995, 2996, 2997,</w:t>
      </w:r>
    </w:p>
    <w:p>
      <w:pPr>
        <w:pStyle w:val="BodyText"/>
        <w:spacing w:line="200" w:lineRule="exact"/>
        <w:ind w:left="242"/>
        <w:jc w:val="left"/>
      </w:pPr>
      <w:r>
        <w:rPr>
          <w:color w:val="231F20"/>
          <w:spacing w:val="-4"/>
        </w:rPr>
        <w:t>2998, 2999, 3000, 3001, 3002, 3003, 3004, 3005, 3006, 3007, 3008, 3009,</w:t>
      </w:r>
    </w:p>
    <w:p>
      <w:pPr>
        <w:pStyle w:val="BodyText"/>
        <w:spacing w:line="200" w:lineRule="exact"/>
        <w:ind w:left="242"/>
        <w:jc w:val="left"/>
      </w:pPr>
      <w:r>
        <w:rPr>
          <w:color w:val="231F20"/>
          <w:spacing w:val="-4"/>
        </w:rPr>
        <w:t>3010, </w:t>
      </w:r>
      <w:r>
        <w:rPr>
          <w:color w:val="231F20"/>
          <w:spacing w:val="-5"/>
        </w:rPr>
        <w:t>3011, </w:t>
      </w:r>
      <w:r>
        <w:rPr>
          <w:color w:val="231F20"/>
          <w:spacing w:val="-4"/>
        </w:rPr>
        <w:t>3012, 3013, 3014, 3015; </w:t>
      </w:r>
      <w:r>
        <w:rPr>
          <w:color w:val="231F20"/>
          <w:spacing w:val="-3"/>
        </w:rPr>
        <w:t>део </w:t>
      </w:r>
      <w:r>
        <w:rPr>
          <w:color w:val="231F20"/>
          <w:spacing w:val="-4"/>
        </w:rPr>
        <w:t>к.п.бр.: 2677, 2678, 2679, 2687,</w:t>
      </w:r>
    </w:p>
    <w:p>
      <w:pPr>
        <w:pStyle w:val="BodyText"/>
        <w:spacing w:line="200" w:lineRule="exact"/>
        <w:ind w:left="242"/>
        <w:jc w:val="left"/>
      </w:pPr>
      <w:r>
        <w:rPr>
          <w:color w:val="231F20"/>
          <w:spacing w:val="-4"/>
        </w:rPr>
        <w:t>2688, 2689, 2690, 2695, 2696, 2700, 2701, 2702, 2703, 2898, 2917, 2918,</w:t>
      </w:r>
    </w:p>
    <w:p>
      <w:pPr>
        <w:pStyle w:val="BodyText"/>
        <w:spacing w:line="200" w:lineRule="exact"/>
        <w:ind w:left="242"/>
        <w:jc w:val="left"/>
      </w:pPr>
      <w:r>
        <w:rPr>
          <w:color w:val="231F20"/>
        </w:rPr>
        <w:t>2919, 2920, 2921, 2924, 2965, 3354 и 3359/2.</w:t>
      </w:r>
    </w:p>
    <w:p>
      <w:pPr>
        <w:pStyle w:val="BodyText"/>
        <w:spacing w:line="232" w:lineRule="auto" w:before="2"/>
        <w:ind w:left="241" w:right="127" w:firstLine="397"/>
      </w:pPr>
      <w:r>
        <w:rPr>
          <w:color w:val="231F20"/>
        </w:rPr>
        <w:t>Регулацијом земљишта, тј. регулационим и урбанистичким условима уређења простора у обухвату границе просторне цели- не обезбеђује се заштита јавног интереса и резервација простора</w:t>
      </w:r>
    </w:p>
    <w:p>
      <w:pPr>
        <w:pStyle w:val="BodyText"/>
        <w:spacing w:line="232" w:lineRule="auto"/>
        <w:ind w:left="242"/>
        <w:jc w:val="left"/>
      </w:pPr>
      <w:r>
        <w:rPr>
          <w:color w:val="231F20"/>
          <w:w w:val="66"/>
        </w:rPr>
        <w:t> </w:t>
      </w:r>
      <w:r>
        <w:rPr>
          <w:color w:val="231F20"/>
        </w:rPr>
        <w:t>– површина намењених „рударским објектима и активностима од јавног интереса”.</w:t>
      </w:r>
    </w:p>
    <w:p>
      <w:pPr>
        <w:pStyle w:val="BodyText"/>
        <w:spacing w:line="197" w:lineRule="exact"/>
        <w:ind w:left="639"/>
        <w:jc w:val="left"/>
      </w:pPr>
      <w:r>
        <w:rPr>
          <w:color w:val="231F20"/>
        </w:rPr>
        <w:t>Основни елементи регулације у оквиру ове просторне целине</w:t>
      </w:r>
    </w:p>
    <w:p>
      <w:pPr>
        <w:pStyle w:val="BodyText"/>
        <w:spacing w:line="200" w:lineRule="exact"/>
        <w:ind w:left="242"/>
        <w:jc w:val="left"/>
      </w:pPr>
      <w:r>
        <w:rPr>
          <w:color w:val="231F20"/>
        </w:rPr>
        <w:t>јесу:</w:t>
      </w:r>
    </w:p>
    <w:p>
      <w:pPr>
        <w:pStyle w:val="ListParagraph"/>
        <w:numPr>
          <w:ilvl w:val="0"/>
          <w:numId w:val="72"/>
        </w:numPr>
        <w:tabs>
          <w:tab w:pos="858" w:val="left" w:leader="none"/>
        </w:tabs>
        <w:spacing w:line="232" w:lineRule="auto" w:before="0" w:after="0"/>
        <w:ind w:left="242" w:right="127" w:firstLine="397"/>
        <w:jc w:val="both"/>
        <w:rPr>
          <w:sz w:val="18"/>
        </w:rPr>
      </w:pPr>
      <w:r>
        <w:rPr>
          <w:color w:val="231F20"/>
          <w:sz w:val="18"/>
        </w:rPr>
        <w:t>граничне линије према површинама и просторним цели- нама других намена (по граници просторне целине „Депонија пепела и шљаке у ПК </w:t>
      </w:r>
      <w:r>
        <w:rPr>
          <w:color w:val="231F20"/>
          <w:spacing w:val="-3"/>
          <w:sz w:val="18"/>
        </w:rPr>
        <w:t>„Ћириковац”  </w:t>
      </w:r>
      <w:r>
        <w:rPr>
          <w:color w:val="231F20"/>
          <w:sz w:val="18"/>
        </w:rPr>
        <w:t>између тачака дефинисаних   у државном </w:t>
      </w:r>
      <w:r>
        <w:rPr>
          <w:color w:val="231F20"/>
          <w:spacing w:val="-3"/>
          <w:sz w:val="18"/>
        </w:rPr>
        <w:t>координатном </w:t>
      </w:r>
      <w:r>
        <w:rPr>
          <w:color w:val="231F20"/>
          <w:sz w:val="18"/>
        </w:rPr>
        <w:t>систему (од А21 до почетне </w:t>
      </w:r>
      <w:r>
        <w:rPr>
          <w:color w:val="231F20"/>
          <w:spacing w:val="-3"/>
          <w:sz w:val="18"/>
        </w:rPr>
        <w:t>тачке </w:t>
      </w:r>
      <w:r>
        <w:rPr>
          <w:color w:val="231F20"/>
          <w:sz w:val="18"/>
        </w:rPr>
        <w:t>А0) према </w:t>
      </w:r>
      <w:r>
        <w:rPr>
          <w:color w:val="231F20"/>
          <w:spacing w:val="-3"/>
          <w:sz w:val="18"/>
        </w:rPr>
        <w:t>Комплексу </w:t>
      </w:r>
      <w:r>
        <w:rPr>
          <w:color w:val="231F20"/>
          <w:sz w:val="18"/>
        </w:rPr>
        <w:t>„Долина реке Млаве”;</w:t>
      </w:r>
    </w:p>
    <w:p>
      <w:pPr>
        <w:pStyle w:val="ListParagraph"/>
        <w:numPr>
          <w:ilvl w:val="0"/>
          <w:numId w:val="72"/>
        </w:numPr>
        <w:tabs>
          <w:tab w:pos="844" w:val="left" w:leader="none"/>
        </w:tabs>
        <w:spacing w:line="223" w:lineRule="auto" w:before="0" w:after="0"/>
        <w:ind w:left="241" w:right="128" w:firstLine="398"/>
        <w:jc w:val="both"/>
        <w:rPr>
          <w:sz w:val="18"/>
        </w:rPr>
      </w:pPr>
      <w:r>
        <w:rPr>
          <w:color w:val="231F20"/>
          <w:sz w:val="18"/>
        </w:rPr>
        <w:t>северна контура ПК </w:t>
      </w:r>
      <w:r>
        <w:rPr>
          <w:color w:val="231F20"/>
          <w:spacing w:val="-3"/>
          <w:sz w:val="18"/>
        </w:rPr>
        <w:t>„Ћириковац”</w:t>
      </w:r>
      <w:r>
        <w:rPr>
          <w:color w:val="231F20"/>
          <w:spacing w:val="-3"/>
          <w:position w:val="7"/>
          <w:sz w:val="10"/>
        </w:rPr>
        <w:t>34 </w:t>
      </w:r>
      <w:r>
        <w:rPr>
          <w:color w:val="231F20"/>
          <w:position w:val="1"/>
          <w:sz w:val="18"/>
        </w:rPr>
        <w:t>по којој је дефинисана</w:t>
      </w:r>
      <w:r>
        <w:rPr>
          <w:color w:val="231F20"/>
          <w:sz w:val="18"/>
        </w:rPr>
        <w:t> граница просторне целине између тачака </w:t>
      </w:r>
      <w:r>
        <w:rPr>
          <w:color w:val="231F20"/>
          <w:spacing w:val="-3"/>
          <w:sz w:val="18"/>
        </w:rPr>
        <w:t>А11 </w:t>
      </w:r>
      <w:r>
        <w:rPr>
          <w:color w:val="231F20"/>
          <w:sz w:val="18"/>
        </w:rPr>
        <w:t>и А21;</w:t>
      </w:r>
      <w:r>
        <w:rPr>
          <w:color w:val="231F20"/>
          <w:spacing w:val="-10"/>
          <w:sz w:val="18"/>
        </w:rPr>
        <w:t> </w:t>
      </w:r>
      <w:r>
        <w:rPr>
          <w:color w:val="231F20"/>
          <w:sz w:val="18"/>
        </w:rPr>
        <w:t>и</w:t>
      </w:r>
    </w:p>
    <w:p>
      <w:pPr>
        <w:pStyle w:val="ListParagraph"/>
        <w:numPr>
          <w:ilvl w:val="0"/>
          <w:numId w:val="72"/>
        </w:numPr>
        <w:tabs>
          <w:tab w:pos="846" w:val="left" w:leader="none"/>
        </w:tabs>
        <w:spacing w:line="232" w:lineRule="auto" w:before="0" w:after="0"/>
        <w:ind w:left="241" w:right="128" w:firstLine="397"/>
        <w:jc w:val="both"/>
        <w:rPr>
          <w:sz w:val="18"/>
        </w:rPr>
      </w:pPr>
      <w:r>
        <w:rPr>
          <w:color w:val="231F20"/>
          <w:sz w:val="18"/>
        </w:rPr>
        <w:t>унутрашње регулационе линије </w:t>
      </w:r>
      <w:r>
        <w:rPr>
          <w:color w:val="231F20"/>
          <w:spacing w:val="-3"/>
          <w:sz w:val="18"/>
        </w:rPr>
        <w:t>(коначна </w:t>
      </w:r>
      <w:r>
        <w:rPr>
          <w:color w:val="231F20"/>
          <w:sz w:val="18"/>
        </w:rPr>
        <w:t>контура депони- је, сервисна саобраћајница и интерна саобраћајница по берми на </w:t>
      </w:r>
      <w:r>
        <w:rPr>
          <w:color w:val="231F20"/>
          <w:spacing w:val="-4"/>
          <w:sz w:val="18"/>
        </w:rPr>
        <w:t>коти </w:t>
      </w:r>
      <w:r>
        <w:rPr>
          <w:color w:val="231F20"/>
          <w:sz w:val="18"/>
        </w:rPr>
        <w:t>95</w:t>
      </w:r>
      <w:r>
        <w:rPr>
          <w:color w:val="231F20"/>
          <w:spacing w:val="3"/>
          <w:sz w:val="18"/>
        </w:rPr>
        <w:t> </w:t>
      </w:r>
      <w:r>
        <w:rPr>
          <w:color w:val="231F20"/>
          <w:sz w:val="18"/>
        </w:rPr>
        <w:t>mнм).</w:t>
      </w:r>
    </w:p>
    <w:p>
      <w:pPr>
        <w:pStyle w:val="BodyText"/>
        <w:spacing w:line="232" w:lineRule="auto"/>
        <w:ind w:left="240" w:right="128" w:firstLine="397"/>
      </w:pPr>
      <w:r>
        <w:rPr>
          <w:color w:val="231F20"/>
        </w:rPr>
        <w:t>У</w:t>
      </w:r>
      <w:r>
        <w:rPr>
          <w:color w:val="231F20"/>
          <w:spacing w:val="-8"/>
        </w:rPr>
        <w:t> </w:t>
      </w:r>
      <w:r>
        <w:rPr>
          <w:color w:val="231F20"/>
        </w:rPr>
        <w:t>складу</w:t>
      </w:r>
      <w:r>
        <w:rPr>
          <w:color w:val="231F20"/>
          <w:spacing w:val="-8"/>
        </w:rPr>
        <w:t> </w:t>
      </w:r>
      <w:r>
        <w:rPr>
          <w:color w:val="231F20"/>
        </w:rPr>
        <w:t>са</w:t>
      </w:r>
      <w:r>
        <w:rPr>
          <w:color w:val="231F20"/>
          <w:spacing w:val="-8"/>
        </w:rPr>
        <w:t> </w:t>
      </w:r>
      <w:r>
        <w:rPr>
          <w:color w:val="231F20"/>
        </w:rPr>
        <w:t>Законом,</w:t>
      </w:r>
      <w:r>
        <w:rPr>
          <w:color w:val="231F20"/>
          <w:spacing w:val="-8"/>
        </w:rPr>
        <w:t> </w:t>
      </w:r>
      <w:r>
        <w:rPr>
          <w:color w:val="231F20"/>
        </w:rPr>
        <w:t>Влада</w:t>
      </w:r>
      <w:r>
        <w:rPr>
          <w:color w:val="231F20"/>
          <w:spacing w:val="-8"/>
        </w:rPr>
        <w:t> </w:t>
      </w:r>
      <w:r>
        <w:rPr>
          <w:color w:val="231F20"/>
          <w:spacing w:val="-3"/>
        </w:rPr>
        <w:t>Републике</w:t>
      </w:r>
      <w:r>
        <w:rPr>
          <w:color w:val="231F20"/>
          <w:spacing w:val="-8"/>
        </w:rPr>
        <w:t> </w:t>
      </w:r>
      <w:r>
        <w:rPr>
          <w:color w:val="231F20"/>
        </w:rPr>
        <w:t>Србије</w:t>
      </w:r>
      <w:r>
        <w:rPr>
          <w:color w:val="231F20"/>
          <w:spacing w:val="-8"/>
        </w:rPr>
        <w:t> </w:t>
      </w:r>
      <w:r>
        <w:rPr>
          <w:color w:val="231F20"/>
        </w:rPr>
        <w:t>може</w:t>
      </w:r>
      <w:r>
        <w:rPr>
          <w:color w:val="231F20"/>
          <w:spacing w:val="-8"/>
        </w:rPr>
        <w:t> </w:t>
      </w:r>
      <w:r>
        <w:rPr>
          <w:color w:val="231F20"/>
        </w:rPr>
        <w:t>утврдити јавни интерес за експропријацију и јавни интерес за администра- тивни пренос, када је експропријација непокретности </w:t>
      </w:r>
      <w:r>
        <w:rPr>
          <w:color w:val="231F20"/>
          <w:spacing w:val="-3"/>
        </w:rPr>
        <w:t>неопходна </w:t>
      </w:r>
      <w:r>
        <w:rPr>
          <w:color w:val="231F20"/>
        </w:rPr>
        <w:t>за екплоатацију минералних сировина, за обезбеђење заштите жи- вотне средине и заштите </w:t>
      </w:r>
      <w:r>
        <w:rPr>
          <w:color w:val="231F20"/>
          <w:spacing w:val="-3"/>
        </w:rPr>
        <w:t>од </w:t>
      </w:r>
      <w:r>
        <w:rPr>
          <w:color w:val="231F20"/>
        </w:rPr>
        <w:t>елементарних</w:t>
      </w:r>
      <w:r>
        <w:rPr>
          <w:color w:val="231F20"/>
          <w:spacing w:val="-8"/>
        </w:rPr>
        <w:t> </w:t>
      </w:r>
      <w:r>
        <w:rPr>
          <w:color w:val="231F20"/>
        </w:rPr>
        <w:t>непогода.</w:t>
      </w:r>
    </w:p>
    <w:p>
      <w:pPr>
        <w:pStyle w:val="BodyText"/>
        <w:spacing w:line="232" w:lineRule="auto"/>
        <w:ind w:left="240" w:right="129" w:firstLine="396"/>
      </w:pPr>
      <w:r>
        <w:rPr>
          <w:color w:val="231F20"/>
        </w:rPr>
        <w:t>С обзиром на то да се нови систем за прикупљање, одлагање и транспорт пепела и шљаке густом хидромешавином са </w:t>
      </w:r>
      <w:r>
        <w:rPr>
          <w:color w:val="231F20"/>
          <w:spacing w:val="-3"/>
        </w:rPr>
        <w:t>блоко-  </w:t>
      </w:r>
      <w:r>
        <w:rPr>
          <w:color w:val="231F20"/>
        </w:rPr>
        <w:t>ва ТЕ „Костолац Б” уводи ради спровођења ефикасније заштите животне средине у </w:t>
      </w:r>
      <w:r>
        <w:rPr>
          <w:color w:val="231F20"/>
          <w:spacing w:val="-3"/>
        </w:rPr>
        <w:t>рударско-енергетском </w:t>
      </w:r>
      <w:r>
        <w:rPr>
          <w:color w:val="231F20"/>
          <w:spacing w:val="-5"/>
        </w:rPr>
        <w:t>комплексу, </w:t>
      </w:r>
      <w:r>
        <w:rPr>
          <w:color w:val="231F20"/>
        </w:rPr>
        <w:t>као и да се пепео и шљака из процеса сагоревања угља категоризује као ру- дарски</w:t>
      </w:r>
      <w:r>
        <w:rPr>
          <w:color w:val="231F20"/>
          <w:spacing w:val="8"/>
        </w:rPr>
        <w:t> </w:t>
      </w:r>
      <w:r>
        <w:rPr>
          <w:color w:val="231F20"/>
        </w:rPr>
        <w:t>отпад,</w:t>
      </w:r>
      <w:r>
        <w:rPr>
          <w:color w:val="231F20"/>
          <w:spacing w:val="8"/>
        </w:rPr>
        <w:t> </w:t>
      </w:r>
      <w:r>
        <w:rPr>
          <w:color w:val="231F20"/>
        </w:rPr>
        <w:t>транспорт</w:t>
      </w:r>
      <w:r>
        <w:rPr>
          <w:color w:val="231F20"/>
          <w:spacing w:val="8"/>
        </w:rPr>
        <w:t> </w:t>
      </w:r>
      <w:r>
        <w:rPr>
          <w:color w:val="231F20"/>
        </w:rPr>
        <w:t>пепела</w:t>
      </w:r>
      <w:r>
        <w:rPr>
          <w:color w:val="231F20"/>
          <w:spacing w:val="8"/>
        </w:rPr>
        <w:t> </w:t>
      </w:r>
      <w:r>
        <w:rPr>
          <w:color w:val="231F20"/>
        </w:rPr>
        <w:t>и</w:t>
      </w:r>
      <w:r>
        <w:rPr>
          <w:color w:val="231F20"/>
          <w:spacing w:val="8"/>
        </w:rPr>
        <w:t> </w:t>
      </w:r>
      <w:r>
        <w:rPr>
          <w:color w:val="231F20"/>
        </w:rPr>
        <w:t>шљаке</w:t>
      </w:r>
      <w:r>
        <w:rPr>
          <w:color w:val="231F20"/>
          <w:spacing w:val="8"/>
        </w:rPr>
        <w:t> </w:t>
      </w:r>
      <w:r>
        <w:rPr>
          <w:color w:val="231F20"/>
        </w:rPr>
        <w:t>у</w:t>
      </w:r>
      <w:r>
        <w:rPr>
          <w:color w:val="231F20"/>
          <w:spacing w:val="8"/>
        </w:rPr>
        <w:t> </w:t>
      </w:r>
      <w:r>
        <w:rPr>
          <w:color w:val="231F20"/>
        </w:rPr>
        <w:t>откопани</w:t>
      </w:r>
      <w:r>
        <w:rPr>
          <w:color w:val="231F20"/>
          <w:spacing w:val="8"/>
        </w:rPr>
        <w:t> </w:t>
      </w:r>
      <w:r>
        <w:rPr>
          <w:color w:val="231F20"/>
        </w:rPr>
        <w:t>простор</w:t>
      </w:r>
      <w:r>
        <w:rPr>
          <w:color w:val="231F20"/>
          <w:spacing w:val="8"/>
        </w:rPr>
        <w:t> </w:t>
      </w:r>
      <w:r>
        <w:rPr>
          <w:color w:val="231F20"/>
        </w:rPr>
        <w:t>ПК</w:t>
      </w:r>
    </w:p>
    <w:p>
      <w:pPr>
        <w:pStyle w:val="BodyText"/>
        <w:spacing w:line="195" w:lineRule="exact"/>
        <w:ind w:left="240"/>
        <w:jc w:val="left"/>
      </w:pPr>
      <w:r>
        <w:rPr>
          <w:color w:val="231F20"/>
        </w:rPr>
        <w:t>„Ћириковац” утврђује се као активност од јавног интереса.</w:t>
      </w:r>
    </w:p>
    <w:p>
      <w:pPr>
        <w:pStyle w:val="BodyText"/>
        <w:spacing w:line="232" w:lineRule="auto"/>
        <w:ind w:left="241" w:right="128" w:firstLine="396"/>
      </w:pPr>
      <w:r>
        <w:rPr>
          <w:color w:val="231F20"/>
        </w:rPr>
        <w:t>Између објеката новог система за прикупљање пепела и шљаке у оквиру комплекса ТЕ „Костолац Б” и депоније у откопа- ном простору ПК „Ћириковац”, кроз подручје КО Костолац село, КО Дрмно и КО Брадарац, положени су цевоводи хидромешавине пепела и шљаке са цевоводом повратне воде.</w:t>
      </w:r>
    </w:p>
    <w:p>
      <w:pPr>
        <w:pStyle w:val="ListParagraph"/>
        <w:numPr>
          <w:ilvl w:val="2"/>
          <w:numId w:val="73"/>
        </w:numPr>
        <w:tabs>
          <w:tab w:pos="2026" w:val="left" w:leader="none"/>
        </w:tabs>
        <w:spacing w:line="240" w:lineRule="auto" w:before="152" w:after="0"/>
        <w:ind w:left="851" w:right="0" w:firstLine="724"/>
        <w:jc w:val="left"/>
        <w:rPr>
          <w:sz w:val="18"/>
        </w:rPr>
      </w:pPr>
      <w:r>
        <w:rPr>
          <w:color w:val="231F20"/>
          <w:spacing w:val="15"/>
          <w:sz w:val="18"/>
        </w:rPr>
        <w:t>Опис </w:t>
      </w:r>
      <w:r>
        <w:rPr>
          <w:color w:val="231F20"/>
          <w:sz w:val="18"/>
        </w:rPr>
        <w:t>т </w:t>
      </w:r>
      <w:r>
        <w:rPr>
          <w:color w:val="231F20"/>
          <w:spacing w:val="12"/>
          <w:sz w:val="18"/>
        </w:rPr>
        <w:t>рас </w:t>
      </w:r>
      <w:r>
        <w:rPr>
          <w:color w:val="231F20"/>
          <w:sz w:val="18"/>
        </w:rPr>
        <w:t>е</w:t>
      </w:r>
      <w:r>
        <w:rPr>
          <w:color w:val="231F20"/>
          <w:spacing w:val="15"/>
          <w:sz w:val="18"/>
        </w:rPr>
        <w:t> цевовода</w:t>
      </w:r>
    </w:p>
    <w:p>
      <w:pPr>
        <w:pStyle w:val="BodyText"/>
        <w:spacing w:before="3"/>
        <w:ind w:left="0"/>
        <w:jc w:val="left"/>
        <w:rPr>
          <w:sz w:val="17"/>
        </w:rPr>
      </w:pPr>
    </w:p>
    <w:p>
      <w:pPr>
        <w:pStyle w:val="BodyText"/>
        <w:spacing w:line="232" w:lineRule="auto"/>
        <w:ind w:left="242" w:right="127" w:firstLine="396"/>
      </w:pPr>
      <w:r>
        <w:rPr>
          <w:color w:val="231F20"/>
        </w:rPr>
        <w:t>Од почетне </w:t>
      </w:r>
      <w:r>
        <w:rPr>
          <w:color w:val="231F20"/>
          <w:spacing w:val="-3"/>
        </w:rPr>
        <w:t>тачке </w:t>
      </w:r>
      <w:r>
        <w:rPr>
          <w:color w:val="231F20"/>
        </w:rPr>
        <w:t>О0 до </w:t>
      </w:r>
      <w:r>
        <w:rPr>
          <w:color w:val="231F20"/>
          <w:spacing w:val="-3"/>
        </w:rPr>
        <w:t>тачке </w:t>
      </w:r>
      <w:r>
        <w:rPr>
          <w:color w:val="231F20"/>
        </w:rPr>
        <w:t>О3 траса цевовода је спроведе- на кроз </w:t>
      </w:r>
      <w:r>
        <w:rPr>
          <w:color w:val="231F20"/>
          <w:spacing w:val="-3"/>
        </w:rPr>
        <w:t>комплекс </w:t>
      </w:r>
      <w:r>
        <w:rPr>
          <w:color w:val="231F20"/>
        </w:rPr>
        <w:t>термоелектране, </w:t>
      </w:r>
      <w:r>
        <w:rPr>
          <w:color w:val="231F20"/>
          <w:spacing w:val="-3"/>
        </w:rPr>
        <w:t>тако </w:t>
      </w:r>
      <w:r>
        <w:rPr>
          <w:color w:val="231F20"/>
        </w:rPr>
        <w:t>да прво дуж депоније угља</w:t>
      </w:r>
    </w:p>
    <w:p>
      <w:pPr>
        <w:spacing w:line="150" w:lineRule="exact" w:before="0"/>
        <w:ind w:left="241"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526" w:val="left" w:leader="none"/>
        </w:tabs>
        <w:spacing w:line="160" w:lineRule="exact" w:before="0" w:after="0"/>
        <w:ind w:left="525" w:right="0" w:hanging="284"/>
        <w:jc w:val="left"/>
        <w:rPr>
          <w:sz w:val="14"/>
        </w:rPr>
      </w:pPr>
      <w:r>
        <w:rPr>
          <w:color w:val="231F20"/>
          <w:sz w:val="14"/>
        </w:rPr>
        <w:t>Допунским</w:t>
      </w:r>
      <w:r>
        <w:rPr>
          <w:color w:val="231F20"/>
          <w:spacing w:val="8"/>
          <w:sz w:val="14"/>
        </w:rPr>
        <w:t> </w:t>
      </w:r>
      <w:r>
        <w:rPr>
          <w:color w:val="231F20"/>
          <w:sz w:val="14"/>
        </w:rPr>
        <w:t>рударским</w:t>
      </w:r>
      <w:r>
        <w:rPr>
          <w:color w:val="231F20"/>
          <w:spacing w:val="8"/>
          <w:sz w:val="14"/>
        </w:rPr>
        <w:t> </w:t>
      </w:r>
      <w:r>
        <w:rPr>
          <w:color w:val="231F20"/>
          <w:sz w:val="14"/>
        </w:rPr>
        <w:t>пројектом</w:t>
      </w:r>
      <w:r>
        <w:rPr>
          <w:color w:val="231F20"/>
          <w:spacing w:val="8"/>
          <w:sz w:val="14"/>
        </w:rPr>
        <w:t> </w:t>
      </w:r>
      <w:r>
        <w:rPr>
          <w:color w:val="231F20"/>
          <w:sz w:val="14"/>
        </w:rPr>
        <w:t>трајне</w:t>
      </w:r>
      <w:r>
        <w:rPr>
          <w:color w:val="231F20"/>
          <w:spacing w:val="8"/>
          <w:sz w:val="14"/>
        </w:rPr>
        <w:t> </w:t>
      </w:r>
      <w:r>
        <w:rPr>
          <w:color w:val="231F20"/>
          <w:sz w:val="14"/>
        </w:rPr>
        <w:t>обуставе</w:t>
      </w:r>
      <w:r>
        <w:rPr>
          <w:color w:val="231F20"/>
          <w:spacing w:val="8"/>
          <w:sz w:val="14"/>
        </w:rPr>
        <w:t> </w:t>
      </w:r>
      <w:r>
        <w:rPr>
          <w:color w:val="231F20"/>
          <w:sz w:val="14"/>
        </w:rPr>
        <w:t>радова</w:t>
      </w:r>
      <w:r>
        <w:rPr>
          <w:color w:val="231F20"/>
          <w:spacing w:val="8"/>
          <w:sz w:val="14"/>
        </w:rPr>
        <w:t> </w:t>
      </w:r>
      <w:r>
        <w:rPr>
          <w:color w:val="231F20"/>
          <w:sz w:val="14"/>
        </w:rPr>
        <w:t>на</w:t>
      </w:r>
      <w:r>
        <w:rPr>
          <w:color w:val="231F20"/>
          <w:spacing w:val="8"/>
          <w:sz w:val="14"/>
        </w:rPr>
        <w:t> </w:t>
      </w:r>
      <w:r>
        <w:rPr>
          <w:color w:val="231F20"/>
          <w:sz w:val="14"/>
        </w:rPr>
        <w:t>површинском</w:t>
      </w:r>
      <w:r>
        <w:rPr>
          <w:color w:val="231F20"/>
          <w:spacing w:val="8"/>
          <w:sz w:val="14"/>
        </w:rPr>
        <w:t> </w:t>
      </w:r>
      <w:r>
        <w:rPr>
          <w:color w:val="231F20"/>
          <w:spacing w:val="-3"/>
          <w:sz w:val="14"/>
        </w:rPr>
        <w:t>копу</w:t>
      </w:r>
    </w:p>
    <w:p>
      <w:pPr>
        <w:spacing w:before="0"/>
        <w:ind w:left="525" w:right="0" w:firstLine="0"/>
        <w:jc w:val="left"/>
        <w:rPr>
          <w:sz w:val="14"/>
        </w:rPr>
      </w:pPr>
      <w:r>
        <w:rPr>
          <w:color w:val="231F20"/>
          <w:sz w:val="14"/>
        </w:rPr>
        <w:t>„Ћириковац”, Рударски институт (2011), у склопу мера и поступака за санацију клизишта, дефинисана је северна контура копа.</w:t>
      </w:r>
    </w:p>
    <w:p>
      <w:pPr>
        <w:spacing w:after="0"/>
        <w:jc w:val="left"/>
        <w:rPr>
          <w:sz w:val="14"/>
        </w:rPr>
        <w:sectPr>
          <w:pgSz w:w="12480" w:h="15690"/>
          <w:pgMar w:top="120" w:bottom="280" w:left="680" w:right="720"/>
          <w:cols w:num="2" w:equalWidth="0">
            <w:col w:w="5559" w:space="40"/>
            <w:col w:w="5481"/>
          </w:cols>
        </w:sectPr>
      </w:pPr>
    </w:p>
    <w:p>
      <w:pPr>
        <w:pStyle w:val="BodyText"/>
        <w:spacing w:line="232" w:lineRule="auto" w:before="73"/>
        <w:ind w:right="39"/>
      </w:pPr>
      <w:r>
        <w:rPr/>
        <w:pict>
          <v:line style="position:absolute;mso-position-horizontal-relative:page;mso-position-vertical-relative:page;z-index:4600" from="304.724396pt,11.942451pt" to="304.724396pt,748.950451pt" stroked="true" strokeweight=".6pt" strokecolor="#231f20">
            <v:stroke dashstyle="solid"/>
            <w10:wrap type="none"/>
          </v:line>
        </w:pict>
      </w:r>
      <w:r>
        <w:rPr>
          <w:color w:val="231F20"/>
        </w:rPr>
        <w:t>прати </w:t>
      </w:r>
      <w:r>
        <w:rPr>
          <w:color w:val="231F20"/>
          <w:spacing w:val="-3"/>
        </w:rPr>
        <w:t>главну </w:t>
      </w:r>
      <w:r>
        <w:rPr>
          <w:color w:val="231F20"/>
        </w:rPr>
        <w:t>интерну саобраћајницу, </w:t>
      </w:r>
      <w:r>
        <w:rPr>
          <w:color w:val="231F20"/>
          <w:spacing w:val="-3"/>
        </w:rPr>
        <w:t>коју </w:t>
      </w:r>
      <w:r>
        <w:rPr>
          <w:color w:val="231F20"/>
        </w:rPr>
        <w:t>прелази у тачки О1, а затим се на два места, између тачака О1 и О2, укршта и са</w:t>
      </w:r>
      <w:r>
        <w:rPr>
          <w:color w:val="231F20"/>
          <w:spacing w:val="-25"/>
        </w:rPr>
        <w:t> </w:t>
      </w:r>
      <w:r>
        <w:rPr>
          <w:color w:val="231F20"/>
        </w:rPr>
        <w:t>колосе- цима интерне пруге, да би у тачки О3 изашла из </w:t>
      </w:r>
      <w:r>
        <w:rPr>
          <w:color w:val="231F20"/>
          <w:spacing w:val="-3"/>
        </w:rPr>
        <w:t>комплекса </w:t>
      </w:r>
      <w:r>
        <w:rPr>
          <w:color w:val="231F20"/>
        </w:rPr>
        <w:t>елек- тране. Између тачака О4 и О5 траса прелази </w:t>
      </w:r>
      <w:r>
        <w:rPr>
          <w:color w:val="231F20"/>
          <w:spacing w:val="-3"/>
        </w:rPr>
        <w:t>преко </w:t>
      </w:r>
      <w:r>
        <w:rPr>
          <w:color w:val="231F20"/>
        </w:rPr>
        <w:t>локалног пута Село Костолац –</w:t>
      </w:r>
      <w:r>
        <w:rPr>
          <w:color w:val="231F20"/>
          <w:spacing w:val="-19"/>
        </w:rPr>
        <w:t> </w:t>
      </w:r>
      <w:r>
        <w:rPr>
          <w:color w:val="231F20"/>
        </w:rPr>
        <w:t>Дрмно.</w:t>
      </w:r>
    </w:p>
    <w:p>
      <w:pPr>
        <w:pStyle w:val="BodyText"/>
        <w:spacing w:line="244" w:lineRule="auto" w:before="10"/>
        <w:ind w:right="39" w:firstLine="396"/>
      </w:pPr>
      <w:r>
        <w:rPr>
          <w:color w:val="231F20"/>
        </w:rPr>
        <w:t>Даље се траса води паралелно са трасом транспортера за снабдевање угљем ТЕ „Костолац А”. На делу између тачака О6 и О7 траса се води по мостовској конструкцији за прелаз </w:t>
      </w:r>
      <w:r>
        <w:rPr>
          <w:color w:val="231F20"/>
          <w:spacing w:val="-3"/>
        </w:rPr>
        <w:t>преко </w:t>
      </w:r>
      <w:r>
        <w:rPr>
          <w:color w:val="231F20"/>
        </w:rPr>
        <w:t>ре- гулисаног корита Млаве, у тачки О7 траса мења правац, одваја се </w:t>
      </w:r>
      <w:r>
        <w:rPr>
          <w:color w:val="231F20"/>
          <w:spacing w:val="-3"/>
        </w:rPr>
        <w:t>од </w:t>
      </w:r>
      <w:r>
        <w:rPr>
          <w:color w:val="231F20"/>
        </w:rPr>
        <w:t>трасе транспортера и прелазећи </w:t>
      </w:r>
      <w:r>
        <w:rPr>
          <w:color w:val="231F20"/>
          <w:spacing w:val="-3"/>
        </w:rPr>
        <w:t>преко </w:t>
      </w:r>
      <w:r>
        <w:rPr>
          <w:color w:val="231F20"/>
        </w:rPr>
        <w:t>сервисне саобраћајнице у тачки О8 прелази на подручје </w:t>
      </w:r>
      <w:r>
        <w:rPr>
          <w:color w:val="231F20"/>
          <w:spacing w:val="-3"/>
        </w:rPr>
        <w:t>КО </w:t>
      </w:r>
      <w:r>
        <w:rPr>
          <w:color w:val="231F20"/>
        </w:rPr>
        <w:t>Костолац</w:t>
      </w:r>
      <w:r>
        <w:rPr>
          <w:color w:val="231F20"/>
          <w:spacing w:val="-10"/>
        </w:rPr>
        <w:t> </w:t>
      </w:r>
      <w:r>
        <w:rPr>
          <w:color w:val="231F20"/>
        </w:rPr>
        <w:t>село.</w:t>
      </w:r>
    </w:p>
    <w:p>
      <w:pPr>
        <w:pStyle w:val="BodyText"/>
        <w:spacing w:line="244" w:lineRule="auto" w:before="4"/>
        <w:ind w:right="38" w:firstLine="396"/>
      </w:pPr>
      <w:r>
        <w:rPr>
          <w:color w:val="231F20"/>
        </w:rPr>
        <w:t>Од</w:t>
      </w:r>
      <w:r>
        <w:rPr>
          <w:color w:val="231F20"/>
          <w:spacing w:val="-5"/>
        </w:rPr>
        <w:t> </w:t>
      </w:r>
      <w:r>
        <w:rPr>
          <w:color w:val="231F20"/>
          <w:spacing w:val="-3"/>
        </w:rPr>
        <w:t>тачке</w:t>
      </w:r>
      <w:r>
        <w:rPr>
          <w:color w:val="231F20"/>
          <w:spacing w:val="-5"/>
        </w:rPr>
        <w:t> </w:t>
      </w:r>
      <w:r>
        <w:rPr>
          <w:color w:val="231F20"/>
        </w:rPr>
        <w:t>О9</w:t>
      </w:r>
      <w:r>
        <w:rPr>
          <w:color w:val="231F20"/>
          <w:spacing w:val="-5"/>
        </w:rPr>
        <w:t> </w:t>
      </w:r>
      <w:r>
        <w:rPr>
          <w:color w:val="231F20"/>
        </w:rPr>
        <w:t>траса</w:t>
      </w:r>
      <w:r>
        <w:rPr>
          <w:color w:val="231F20"/>
          <w:spacing w:val="-5"/>
        </w:rPr>
        <w:t> </w:t>
      </w:r>
      <w:r>
        <w:rPr>
          <w:color w:val="231F20"/>
        </w:rPr>
        <w:t>се</w:t>
      </w:r>
      <w:r>
        <w:rPr>
          <w:color w:val="231F20"/>
          <w:spacing w:val="-5"/>
        </w:rPr>
        <w:t> </w:t>
      </w:r>
      <w:r>
        <w:rPr>
          <w:color w:val="231F20"/>
        </w:rPr>
        <w:t>води,</w:t>
      </w:r>
      <w:r>
        <w:rPr>
          <w:color w:val="231F20"/>
          <w:spacing w:val="-5"/>
        </w:rPr>
        <w:t> </w:t>
      </w:r>
      <w:r>
        <w:rPr>
          <w:color w:val="231F20"/>
        </w:rPr>
        <w:t>генерално,</w:t>
      </w:r>
      <w:r>
        <w:rPr>
          <w:color w:val="231F20"/>
          <w:spacing w:val="-5"/>
        </w:rPr>
        <w:t> </w:t>
      </w:r>
      <w:r>
        <w:rPr>
          <w:color w:val="231F20"/>
        </w:rPr>
        <w:t>у</w:t>
      </w:r>
      <w:r>
        <w:rPr>
          <w:color w:val="231F20"/>
          <w:spacing w:val="-5"/>
        </w:rPr>
        <w:t> </w:t>
      </w:r>
      <w:r>
        <w:rPr>
          <w:color w:val="231F20"/>
        </w:rPr>
        <w:t>правцу</w:t>
      </w:r>
      <w:r>
        <w:rPr>
          <w:color w:val="231F20"/>
          <w:spacing w:val="-5"/>
        </w:rPr>
        <w:t> </w:t>
      </w:r>
      <w:r>
        <w:rPr>
          <w:color w:val="231F20"/>
        </w:rPr>
        <w:t>југа</w:t>
      </w:r>
      <w:r>
        <w:rPr>
          <w:color w:val="231F20"/>
          <w:spacing w:val="-5"/>
        </w:rPr>
        <w:t> </w:t>
      </w:r>
      <w:r>
        <w:rPr>
          <w:color w:val="231F20"/>
        </w:rPr>
        <w:t>кроз</w:t>
      </w:r>
      <w:r>
        <w:rPr>
          <w:color w:val="231F20"/>
          <w:spacing w:val="-5"/>
        </w:rPr>
        <w:t> </w:t>
      </w:r>
      <w:r>
        <w:rPr>
          <w:color w:val="231F20"/>
        </w:rPr>
        <w:t>про- сторну целину „Долина Млаве”, </w:t>
      </w:r>
      <w:r>
        <w:rPr>
          <w:color w:val="231F20"/>
          <w:spacing w:val="-3"/>
        </w:rPr>
        <w:t>тако  </w:t>
      </w:r>
      <w:r>
        <w:rPr>
          <w:color w:val="231F20"/>
        </w:rPr>
        <w:t>да се у тачки О10 укршта  са асфалтном саобраћајницом Брадарац – Кленовник и трасом ДВ 400 </w:t>
      </w:r>
      <w:r>
        <w:rPr>
          <w:color w:val="231F20"/>
          <w:spacing w:val="-8"/>
        </w:rPr>
        <w:t>kV, </w:t>
      </w:r>
      <w:r>
        <w:rPr>
          <w:color w:val="231F20"/>
        </w:rPr>
        <w:t>даље локално мења правац, да би се између тачака </w:t>
      </w:r>
      <w:r>
        <w:rPr>
          <w:color w:val="231F20"/>
          <w:spacing w:val="-3"/>
        </w:rPr>
        <w:t>О11 </w:t>
      </w:r>
      <w:r>
        <w:rPr>
          <w:color w:val="231F20"/>
        </w:rPr>
        <w:t>и О12 укрстила и са приступним путем за манастир Рукумију; кроз просторну целину „Депонија пепела и шљаке” траса се води </w:t>
      </w:r>
      <w:r>
        <w:rPr>
          <w:color w:val="231F20"/>
          <w:spacing w:val="-3"/>
        </w:rPr>
        <w:t>од тачке </w:t>
      </w:r>
      <w:r>
        <w:rPr>
          <w:color w:val="231F20"/>
        </w:rPr>
        <w:t>О13 у зони инфраструктурних система</w:t>
      </w:r>
      <w:r>
        <w:rPr>
          <w:color w:val="231F20"/>
          <w:spacing w:val="-5"/>
        </w:rPr>
        <w:t> </w:t>
      </w:r>
      <w:r>
        <w:rPr>
          <w:color w:val="231F20"/>
        </w:rPr>
        <w:t>депоније.</w:t>
      </w:r>
    </w:p>
    <w:p>
      <w:pPr>
        <w:pStyle w:val="BodyText"/>
        <w:spacing w:before="10"/>
        <w:ind w:left="0"/>
        <w:jc w:val="left"/>
      </w:pPr>
    </w:p>
    <w:p>
      <w:pPr>
        <w:pStyle w:val="BodyText"/>
        <w:spacing w:line="244" w:lineRule="auto"/>
        <w:ind w:left="1060" w:right="349" w:hanging="890"/>
        <w:jc w:val="left"/>
        <w:rPr>
          <w:sz w:val="10"/>
        </w:rPr>
      </w:pPr>
      <w:r>
        <w:rPr>
          <w:color w:val="231F20"/>
        </w:rPr>
        <w:t>Табела 8.1: Оријентационе координате на траси пепеловода ТЕ „Костолац Б” – депонија у ПК „Ћириковац”</w:t>
      </w:r>
      <w:r>
        <w:rPr>
          <w:color w:val="231F20"/>
          <w:position w:val="6"/>
          <w:sz w:val="10"/>
        </w:rPr>
        <w:t>35</w:t>
      </w:r>
    </w:p>
    <w:p>
      <w:pPr>
        <w:pStyle w:val="BodyText"/>
        <w:spacing w:before="5"/>
        <w:ind w:left="0"/>
        <w:jc w:val="left"/>
        <w:rPr>
          <w:sz w:val="3"/>
        </w:rPr>
      </w:pPr>
    </w:p>
    <w:tbl>
      <w:tblPr>
        <w:tblW w:w="0" w:type="auto"/>
        <w:jc w:val="left"/>
        <w:tblInd w:w="17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1"/>
        <w:gridCol w:w="1701"/>
        <w:gridCol w:w="1701"/>
      </w:tblGrid>
      <w:tr>
        <w:trPr>
          <w:trHeight w:val="200" w:hRule="atLeast"/>
        </w:trPr>
        <w:tc>
          <w:tcPr>
            <w:tcW w:w="1701" w:type="dxa"/>
          </w:tcPr>
          <w:p>
            <w:pPr>
              <w:pStyle w:val="TableParagraph"/>
              <w:ind w:left="438" w:right="429"/>
              <w:jc w:val="center"/>
              <w:rPr>
                <w:sz w:val="14"/>
              </w:rPr>
            </w:pPr>
            <w:r>
              <w:rPr>
                <w:color w:val="231F20"/>
                <w:sz w:val="14"/>
              </w:rPr>
              <w:t>Ознака тачке</w:t>
            </w:r>
          </w:p>
        </w:tc>
        <w:tc>
          <w:tcPr>
            <w:tcW w:w="1701" w:type="dxa"/>
          </w:tcPr>
          <w:p>
            <w:pPr>
              <w:pStyle w:val="TableParagraph"/>
              <w:ind w:left="9"/>
              <w:jc w:val="center"/>
              <w:rPr>
                <w:sz w:val="14"/>
              </w:rPr>
            </w:pPr>
            <w:r>
              <w:rPr>
                <w:color w:val="231F20"/>
                <w:sz w:val="14"/>
              </w:rPr>
              <w:t>X</w:t>
            </w:r>
          </w:p>
        </w:tc>
        <w:tc>
          <w:tcPr>
            <w:tcW w:w="1701" w:type="dxa"/>
          </w:tcPr>
          <w:p>
            <w:pPr>
              <w:pStyle w:val="TableParagraph"/>
              <w:ind w:left="14"/>
              <w:jc w:val="center"/>
              <w:rPr>
                <w:sz w:val="14"/>
              </w:rPr>
            </w:pPr>
            <w:r>
              <w:rPr>
                <w:color w:val="231F20"/>
                <w:sz w:val="14"/>
              </w:rPr>
              <w:t>Y</w:t>
            </w:r>
          </w:p>
        </w:tc>
      </w:tr>
      <w:tr>
        <w:trPr>
          <w:trHeight w:val="200" w:hRule="atLeast"/>
        </w:trPr>
        <w:tc>
          <w:tcPr>
            <w:tcW w:w="1701" w:type="dxa"/>
          </w:tcPr>
          <w:p>
            <w:pPr>
              <w:pStyle w:val="TableParagraph"/>
              <w:ind w:left="438" w:right="429"/>
              <w:jc w:val="center"/>
              <w:rPr>
                <w:sz w:val="14"/>
              </w:rPr>
            </w:pPr>
            <w:r>
              <w:rPr>
                <w:color w:val="231F20"/>
                <w:sz w:val="14"/>
              </w:rPr>
              <w:t>О0</w:t>
            </w:r>
          </w:p>
        </w:tc>
        <w:tc>
          <w:tcPr>
            <w:tcW w:w="1701" w:type="dxa"/>
          </w:tcPr>
          <w:p>
            <w:pPr>
              <w:pStyle w:val="TableParagraph"/>
              <w:ind w:left="438" w:right="429"/>
              <w:jc w:val="center"/>
              <w:rPr>
                <w:sz w:val="14"/>
              </w:rPr>
            </w:pPr>
            <w:r>
              <w:rPr>
                <w:color w:val="231F20"/>
                <w:sz w:val="14"/>
              </w:rPr>
              <w:t>4 954 005</w:t>
            </w:r>
          </w:p>
        </w:tc>
        <w:tc>
          <w:tcPr>
            <w:tcW w:w="1701" w:type="dxa"/>
          </w:tcPr>
          <w:p>
            <w:pPr>
              <w:pStyle w:val="TableParagraph"/>
              <w:ind w:left="437" w:right="429"/>
              <w:jc w:val="center"/>
              <w:rPr>
                <w:sz w:val="14"/>
              </w:rPr>
            </w:pPr>
            <w:r>
              <w:rPr>
                <w:color w:val="231F20"/>
                <w:sz w:val="14"/>
              </w:rPr>
              <w:t>7 517 275</w:t>
            </w:r>
          </w:p>
        </w:tc>
      </w:tr>
      <w:tr>
        <w:trPr>
          <w:trHeight w:val="200" w:hRule="atLeast"/>
        </w:trPr>
        <w:tc>
          <w:tcPr>
            <w:tcW w:w="1701" w:type="dxa"/>
          </w:tcPr>
          <w:p>
            <w:pPr>
              <w:pStyle w:val="TableParagraph"/>
              <w:ind w:left="438" w:right="429"/>
              <w:jc w:val="center"/>
              <w:rPr>
                <w:sz w:val="14"/>
              </w:rPr>
            </w:pPr>
            <w:r>
              <w:rPr>
                <w:color w:val="231F20"/>
                <w:sz w:val="14"/>
              </w:rPr>
              <w:t>O1</w:t>
            </w:r>
          </w:p>
        </w:tc>
        <w:tc>
          <w:tcPr>
            <w:tcW w:w="1701" w:type="dxa"/>
          </w:tcPr>
          <w:p>
            <w:pPr>
              <w:pStyle w:val="TableParagraph"/>
              <w:ind w:left="438" w:right="429"/>
              <w:jc w:val="center"/>
              <w:rPr>
                <w:sz w:val="14"/>
              </w:rPr>
            </w:pPr>
            <w:r>
              <w:rPr>
                <w:color w:val="231F20"/>
                <w:sz w:val="14"/>
              </w:rPr>
              <w:t>4 953 549</w:t>
            </w:r>
          </w:p>
        </w:tc>
        <w:tc>
          <w:tcPr>
            <w:tcW w:w="1701" w:type="dxa"/>
          </w:tcPr>
          <w:p>
            <w:pPr>
              <w:pStyle w:val="TableParagraph"/>
              <w:ind w:left="437" w:right="429"/>
              <w:jc w:val="center"/>
              <w:rPr>
                <w:sz w:val="14"/>
              </w:rPr>
            </w:pPr>
            <w:r>
              <w:rPr>
                <w:color w:val="231F20"/>
                <w:sz w:val="14"/>
              </w:rPr>
              <w:t>7 517 486</w:t>
            </w:r>
          </w:p>
        </w:tc>
      </w:tr>
      <w:tr>
        <w:trPr>
          <w:trHeight w:val="200" w:hRule="atLeast"/>
        </w:trPr>
        <w:tc>
          <w:tcPr>
            <w:tcW w:w="1701" w:type="dxa"/>
          </w:tcPr>
          <w:p>
            <w:pPr>
              <w:pStyle w:val="TableParagraph"/>
              <w:ind w:left="438" w:right="429"/>
              <w:jc w:val="center"/>
              <w:rPr>
                <w:sz w:val="14"/>
              </w:rPr>
            </w:pPr>
            <w:r>
              <w:rPr>
                <w:color w:val="231F20"/>
                <w:sz w:val="14"/>
              </w:rPr>
              <w:t>O2</w:t>
            </w:r>
          </w:p>
        </w:tc>
        <w:tc>
          <w:tcPr>
            <w:tcW w:w="1701" w:type="dxa"/>
          </w:tcPr>
          <w:p>
            <w:pPr>
              <w:pStyle w:val="TableParagraph"/>
              <w:ind w:left="438" w:right="429"/>
              <w:jc w:val="center"/>
              <w:rPr>
                <w:sz w:val="14"/>
              </w:rPr>
            </w:pPr>
            <w:r>
              <w:rPr>
                <w:color w:val="231F20"/>
                <w:sz w:val="14"/>
              </w:rPr>
              <w:t>4 953 430</w:t>
            </w:r>
          </w:p>
        </w:tc>
        <w:tc>
          <w:tcPr>
            <w:tcW w:w="1701" w:type="dxa"/>
          </w:tcPr>
          <w:p>
            <w:pPr>
              <w:pStyle w:val="TableParagraph"/>
              <w:ind w:left="437" w:right="429"/>
              <w:jc w:val="center"/>
              <w:rPr>
                <w:sz w:val="14"/>
              </w:rPr>
            </w:pPr>
            <w:r>
              <w:rPr>
                <w:color w:val="231F20"/>
                <w:sz w:val="14"/>
              </w:rPr>
              <w:t>7 517 408</w:t>
            </w:r>
          </w:p>
        </w:tc>
      </w:tr>
      <w:tr>
        <w:trPr>
          <w:trHeight w:val="200" w:hRule="atLeast"/>
        </w:trPr>
        <w:tc>
          <w:tcPr>
            <w:tcW w:w="1701" w:type="dxa"/>
          </w:tcPr>
          <w:p>
            <w:pPr>
              <w:pStyle w:val="TableParagraph"/>
              <w:ind w:left="438" w:right="429"/>
              <w:jc w:val="center"/>
              <w:rPr>
                <w:sz w:val="14"/>
              </w:rPr>
            </w:pPr>
            <w:r>
              <w:rPr>
                <w:color w:val="231F20"/>
                <w:sz w:val="14"/>
              </w:rPr>
              <w:t>O3</w:t>
            </w:r>
          </w:p>
        </w:tc>
        <w:tc>
          <w:tcPr>
            <w:tcW w:w="1701" w:type="dxa"/>
          </w:tcPr>
          <w:p>
            <w:pPr>
              <w:pStyle w:val="TableParagraph"/>
              <w:ind w:left="438" w:right="429"/>
              <w:jc w:val="center"/>
              <w:rPr>
                <w:sz w:val="14"/>
              </w:rPr>
            </w:pPr>
            <w:r>
              <w:rPr>
                <w:color w:val="231F20"/>
                <w:sz w:val="14"/>
              </w:rPr>
              <w:t>4 953 343</w:t>
            </w:r>
          </w:p>
        </w:tc>
        <w:tc>
          <w:tcPr>
            <w:tcW w:w="1701" w:type="dxa"/>
          </w:tcPr>
          <w:p>
            <w:pPr>
              <w:pStyle w:val="TableParagraph"/>
              <w:ind w:left="437" w:right="429"/>
              <w:jc w:val="center"/>
              <w:rPr>
                <w:sz w:val="14"/>
              </w:rPr>
            </w:pPr>
            <w:r>
              <w:rPr>
                <w:color w:val="231F20"/>
                <w:sz w:val="14"/>
              </w:rPr>
              <w:t>7 517 298</w:t>
            </w:r>
          </w:p>
        </w:tc>
      </w:tr>
      <w:tr>
        <w:trPr>
          <w:trHeight w:val="200" w:hRule="atLeast"/>
        </w:trPr>
        <w:tc>
          <w:tcPr>
            <w:tcW w:w="1701" w:type="dxa"/>
          </w:tcPr>
          <w:p>
            <w:pPr>
              <w:pStyle w:val="TableParagraph"/>
              <w:ind w:left="438" w:right="429"/>
              <w:jc w:val="center"/>
              <w:rPr>
                <w:sz w:val="14"/>
              </w:rPr>
            </w:pPr>
            <w:r>
              <w:rPr>
                <w:color w:val="231F20"/>
                <w:sz w:val="14"/>
              </w:rPr>
              <w:t>O4</w:t>
            </w:r>
          </w:p>
        </w:tc>
        <w:tc>
          <w:tcPr>
            <w:tcW w:w="1701" w:type="dxa"/>
          </w:tcPr>
          <w:p>
            <w:pPr>
              <w:pStyle w:val="TableParagraph"/>
              <w:ind w:left="438" w:right="429"/>
              <w:jc w:val="center"/>
              <w:rPr>
                <w:sz w:val="14"/>
              </w:rPr>
            </w:pPr>
            <w:r>
              <w:rPr>
                <w:color w:val="231F20"/>
                <w:sz w:val="14"/>
              </w:rPr>
              <w:t>4 953 244</w:t>
            </w:r>
          </w:p>
        </w:tc>
        <w:tc>
          <w:tcPr>
            <w:tcW w:w="1701" w:type="dxa"/>
          </w:tcPr>
          <w:p>
            <w:pPr>
              <w:pStyle w:val="TableParagraph"/>
              <w:ind w:left="437" w:right="429"/>
              <w:jc w:val="center"/>
              <w:rPr>
                <w:sz w:val="14"/>
              </w:rPr>
            </w:pPr>
            <w:r>
              <w:rPr>
                <w:color w:val="231F20"/>
                <w:sz w:val="14"/>
              </w:rPr>
              <w:t>7 517 174</w:t>
            </w:r>
          </w:p>
        </w:tc>
      </w:tr>
      <w:tr>
        <w:trPr>
          <w:trHeight w:val="200" w:hRule="atLeast"/>
        </w:trPr>
        <w:tc>
          <w:tcPr>
            <w:tcW w:w="1701" w:type="dxa"/>
          </w:tcPr>
          <w:p>
            <w:pPr>
              <w:pStyle w:val="TableParagraph"/>
              <w:ind w:left="438" w:right="429"/>
              <w:jc w:val="center"/>
              <w:rPr>
                <w:sz w:val="14"/>
              </w:rPr>
            </w:pPr>
            <w:r>
              <w:rPr>
                <w:color w:val="231F20"/>
                <w:sz w:val="14"/>
              </w:rPr>
              <w:t>O5</w:t>
            </w:r>
          </w:p>
        </w:tc>
        <w:tc>
          <w:tcPr>
            <w:tcW w:w="1701" w:type="dxa"/>
          </w:tcPr>
          <w:p>
            <w:pPr>
              <w:pStyle w:val="TableParagraph"/>
              <w:ind w:left="438" w:right="429"/>
              <w:jc w:val="center"/>
              <w:rPr>
                <w:sz w:val="14"/>
              </w:rPr>
            </w:pPr>
            <w:r>
              <w:rPr>
                <w:color w:val="231F20"/>
                <w:sz w:val="14"/>
              </w:rPr>
              <w:t>4 953 237</w:t>
            </w:r>
          </w:p>
        </w:tc>
        <w:tc>
          <w:tcPr>
            <w:tcW w:w="1701" w:type="dxa"/>
          </w:tcPr>
          <w:p>
            <w:pPr>
              <w:pStyle w:val="TableParagraph"/>
              <w:ind w:left="437" w:right="429"/>
              <w:jc w:val="center"/>
              <w:rPr>
                <w:sz w:val="14"/>
              </w:rPr>
            </w:pPr>
            <w:r>
              <w:rPr>
                <w:color w:val="231F20"/>
                <w:sz w:val="14"/>
              </w:rPr>
              <w:t>7 517 165</w:t>
            </w:r>
          </w:p>
        </w:tc>
      </w:tr>
      <w:tr>
        <w:trPr>
          <w:trHeight w:val="200" w:hRule="atLeast"/>
        </w:trPr>
        <w:tc>
          <w:tcPr>
            <w:tcW w:w="1701" w:type="dxa"/>
          </w:tcPr>
          <w:p>
            <w:pPr>
              <w:pStyle w:val="TableParagraph"/>
              <w:ind w:left="438" w:right="429"/>
              <w:jc w:val="center"/>
              <w:rPr>
                <w:sz w:val="14"/>
              </w:rPr>
            </w:pPr>
            <w:r>
              <w:rPr>
                <w:color w:val="231F20"/>
                <w:sz w:val="14"/>
              </w:rPr>
              <w:t>O6</w:t>
            </w:r>
          </w:p>
        </w:tc>
        <w:tc>
          <w:tcPr>
            <w:tcW w:w="1701" w:type="dxa"/>
          </w:tcPr>
          <w:p>
            <w:pPr>
              <w:pStyle w:val="TableParagraph"/>
              <w:ind w:left="438" w:right="429"/>
              <w:jc w:val="center"/>
              <w:rPr>
                <w:sz w:val="14"/>
              </w:rPr>
            </w:pPr>
            <w:r>
              <w:rPr>
                <w:color w:val="231F20"/>
                <w:sz w:val="14"/>
              </w:rPr>
              <w:t>4 952 727</w:t>
            </w:r>
          </w:p>
        </w:tc>
        <w:tc>
          <w:tcPr>
            <w:tcW w:w="1701" w:type="dxa"/>
          </w:tcPr>
          <w:p>
            <w:pPr>
              <w:pStyle w:val="TableParagraph"/>
              <w:ind w:left="437" w:right="429"/>
              <w:jc w:val="center"/>
              <w:rPr>
                <w:sz w:val="14"/>
              </w:rPr>
            </w:pPr>
            <w:r>
              <w:rPr>
                <w:color w:val="231F20"/>
                <w:sz w:val="14"/>
              </w:rPr>
              <w:t>7 516 444</w:t>
            </w:r>
          </w:p>
        </w:tc>
      </w:tr>
      <w:tr>
        <w:trPr>
          <w:trHeight w:val="200" w:hRule="atLeast"/>
        </w:trPr>
        <w:tc>
          <w:tcPr>
            <w:tcW w:w="1701" w:type="dxa"/>
          </w:tcPr>
          <w:p>
            <w:pPr>
              <w:pStyle w:val="TableParagraph"/>
              <w:spacing w:before="17"/>
              <w:ind w:left="438" w:right="429"/>
              <w:jc w:val="center"/>
              <w:rPr>
                <w:sz w:val="14"/>
              </w:rPr>
            </w:pPr>
            <w:r>
              <w:rPr>
                <w:color w:val="231F20"/>
                <w:sz w:val="14"/>
              </w:rPr>
              <w:t>O7</w:t>
            </w:r>
          </w:p>
        </w:tc>
        <w:tc>
          <w:tcPr>
            <w:tcW w:w="1701" w:type="dxa"/>
          </w:tcPr>
          <w:p>
            <w:pPr>
              <w:pStyle w:val="TableParagraph"/>
              <w:spacing w:before="17"/>
              <w:ind w:left="438" w:right="429"/>
              <w:jc w:val="center"/>
              <w:rPr>
                <w:sz w:val="14"/>
              </w:rPr>
            </w:pPr>
            <w:r>
              <w:rPr>
                <w:color w:val="231F20"/>
                <w:sz w:val="14"/>
              </w:rPr>
              <w:t>4 952 604</w:t>
            </w:r>
          </w:p>
        </w:tc>
        <w:tc>
          <w:tcPr>
            <w:tcW w:w="1701" w:type="dxa"/>
          </w:tcPr>
          <w:p>
            <w:pPr>
              <w:pStyle w:val="TableParagraph"/>
              <w:spacing w:before="17"/>
              <w:ind w:left="437" w:right="429"/>
              <w:jc w:val="center"/>
              <w:rPr>
                <w:sz w:val="14"/>
              </w:rPr>
            </w:pPr>
            <w:r>
              <w:rPr>
                <w:color w:val="231F20"/>
                <w:sz w:val="14"/>
              </w:rPr>
              <w:t>7 516 328</w:t>
            </w:r>
          </w:p>
        </w:tc>
      </w:tr>
      <w:tr>
        <w:trPr>
          <w:trHeight w:val="200" w:hRule="atLeast"/>
        </w:trPr>
        <w:tc>
          <w:tcPr>
            <w:tcW w:w="1701" w:type="dxa"/>
          </w:tcPr>
          <w:p>
            <w:pPr>
              <w:pStyle w:val="TableParagraph"/>
              <w:spacing w:before="17"/>
              <w:ind w:left="438" w:right="429"/>
              <w:jc w:val="center"/>
              <w:rPr>
                <w:sz w:val="14"/>
              </w:rPr>
            </w:pPr>
            <w:r>
              <w:rPr>
                <w:color w:val="231F20"/>
                <w:sz w:val="14"/>
              </w:rPr>
              <w:t>O8</w:t>
            </w:r>
          </w:p>
        </w:tc>
        <w:tc>
          <w:tcPr>
            <w:tcW w:w="1701" w:type="dxa"/>
          </w:tcPr>
          <w:p>
            <w:pPr>
              <w:pStyle w:val="TableParagraph"/>
              <w:spacing w:before="17"/>
              <w:ind w:left="438" w:right="429"/>
              <w:jc w:val="center"/>
              <w:rPr>
                <w:sz w:val="14"/>
              </w:rPr>
            </w:pPr>
            <w:r>
              <w:rPr>
                <w:color w:val="231F20"/>
                <w:sz w:val="14"/>
              </w:rPr>
              <w:t>4 952 570</w:t>
            </w:r>
          </w:p>
        </w:tc>
        <w:tc>
          <w:tcPr>
            <w:tcW w:w="1701" w:type="dxa"/>
          </w:tcPr>
          <w:p>
            <w:pPr>
              <w:pStyle w:val="TableParagraph"/>
              <w:spacing w:before="17"/>
              <w:ind w:left="437" w:right="429"/>
              <w:jc w:val="center"/>
              <w:rPr>
                <w:sz w:val="14"/>
              </w:rPr>
            </w:pPr>
            <w:r>
              <w:rPr>
                <w:color w:val="231F20"/>
                <w:sz w:val="14"/>
              </w:rPr>
              <w:t>7 516 322</w:t>
            </w:r>
          </w:p>
        </w:tc>
      </w:tr>
      <w:tr>
        <w:trPr>
          <w:trHeight w:val="200" w:hRule="atLeast"/>
        </w:trPr>
        <w:tc>
          <w:tcPr>
            <w:tcW w:w="1701" w:type="dxa"/>
          </w:tcPr>
          <w:p>
            <w:pPr>
              <w:pStyle w:val="TableParagraph"/>
              <w:spacing w:before="17"/>
              <w:ind w:left="438" w:right="429"/>
              <w:jc w:val="center"/>
              <w:rPr>
                <w:sz w:val="14"/>
              </w:rPr>
            </w:pPr>
            <w:r>
              <w:rPr>
                <w:color w:val="231F20"/>
                <w:sz w:val="14"/>
              </w:rPr>
              <w:t>O9</w:t>
            </w:r>
          </w:p>
        </w:tc>
        <w:tc>
          <w:tcPr>
            <w:tcW w:w="1701" w:type="dxa"/>
          </w:tcPr>
          <w:p>
            <w:pPr>
              <w:pStyle w:val="TableParagraph"/>
              <w:spacing w:before="17"/>
              <w:ind w:left="438" w:right="429"/>
              <w:jc w:val="center"/>
              <w:rPr>
                <w:sz w:val="14"/>
              </w:rPr>
            </w:pPr>
            <w:r>
              <w:rPr>
                <w:color w:val="231F20"/>
                <w:sz w:val="14"/>
              </w:rPr>
              <w:t>4 952 529</w:t>
            </w:r>
          </w:p>
        </w:tc>
        <w:tc>
          <w:tcPr>
            <w:tcW w:w="1701" w:type="dxa"/>
          </w:tcPr>
          <w:p>
            <w:pPr>
              <w:pStyle w:val="TableParagraph"/>
              <w:spacing w:before="17"/>
              <w:ind w:left="437" w:right="429"/>
              <w:jc w:val="center"/>
              <w:rPr>
                <w:sz w:val="14"/>
              </w:rPr>
            </w:pPr>
            <w:r>
              <w:rPr>
                <w:color w:val="231F20"/>
                <w:sz w:val="14"/>
              </w:rPr>
              <w:t>7 516 315</w:t>
            </w:r>
          </w:p>
        </w:tc>
      </w:tr>
      <w:tr>
        <w:trPr>
          <w:trHeight w:val="200" w:hRule="atLeast"/>
        </w:trPr>
        <w:tc>
          <w:tcPr>
            <w:tcW w:w="1701" w:type="dxa"/>
          </w:tcPr>
          <w:p>
            <w:pPr>
              <w:pStyle w:val="TableParagraph"/>
              <w:spacing w:before="17"/>
              <w:ind w:left="438" w:right="429"/>
              <w:jc w:val="center"/>
              <w:rPr>
                <w:sz w:val="14"/>
              </w:rPr>
            </w:pPr>
            <w:r>
              <w:rPr>
                <w:color w:val="231F20"/>
                <w:sz w:val="14"/>
              </w:rPr>
              <w:t>O10</w:t>
            </w:r>
          </w:p>
        </w:tc>
        <w:tc>
          <w:tcPr>
            <w:tcW w:w="1701" w:type="dxa"/>
          </w:tcPr>
          <w:p>
            <w:pPr>
              <w:pStyle w:val="TableParagraph"/>
              <w:spacing w:before="17"/>
              <w:ind w:left="438" w:right="429"/>
              <w:jc w:val="center"/>
              <w:rPr>
                <w:sz w:val="14"/>
              </w:rPr>
            </w:pPr>
            <w:r>
              <w:rPr>
                <w:color w:val="231F20"/>
                <w:sz w:val="14"/>
              </w:rPr>
              <w:t>4 950 977</w:t>
            </w:r>
          </w:p>
        </w:tc>
        <w:tc>
          <w:tcPr>
            <w:tcW w:w="1701" w:type="dxa"/>
          </w:tcPr>
          <w:p>
            <w:pPr>
              <w:pStyle w:val="TableParagraph"/>
              <w:spacing w:before="17"/>
              <w:ind w:left="437" w:right="429"/>
              <w:jc w:val="center"/>
              <w:rPr>
                <w:sz w:val="14"/>
              </w:rPr>
            </w:pPr>
            <w:r>
              <w:rPr>
                <w:color w:val="231F20"/>
                <w:sz w:val="14"/>
              </w:rPr>
              <w:t>7 516 979</w:t>
            </w:r>
          </w:p>
        </w:tc>
      </w:tr>
      <w:tr>
        <w:trPr>
          <w:trHeight w:val="200" w:hRule="atLeast"/>
        </w:trPr>
        <w:tc>
          <w:tcPr>
            <w:tcW w:w="1701" w:type="dxa"/>
          </w:tcPr>
          <w:p>
            <w:pPr>
              <w:pStyle w:val="TableParagraph"/>
              <w:spacing w:before="17"/>
              <w:ind w:left="438" w:right="429"/>
              <w:jc w:val="center"/>
              <w:rPr>
                <w:sz w:val="14"/>
              </w:rPr>
            </w:pPr>
            <w:r>
              <w:rPr>
                <w:color w:val="231F20"/>
                <w:sz w:val="14"/>
              </w:rPr>
              <w:t>О11</w:t>
            </w:r>
          </w:p>
        </w:tc>
        <w:tc>
          <w:tcPr>
            <w:tcW w:w="1701" w:type="dxa"/>
          </w:tcPr>
          <w:p>
            <w:pPr>
              <w:pStyle w:val="TableParagraph"/>
              <w:spacing w:before="17"/>
              <w:ind w:left="438" w:right="429"/>
              <w:jc w:val="center"/>
              <w:rPr>
                <w:sz w:val="14"/>
              </w:rPr>
            </w:pPr>
            <w:r>
              <w:rPr>
                <w:color w:val="231F20"/>
                <w:sz w:val="14"/>
              </w:rPr>
              <w:t>4 950 192</w:t>
            </w:r>
          </w:p>
        </w:tc>
        <w:tc>
          <w:tcPr>
            <w:tcW w:w="1701" w:type="dxa"/>
          </w:tcPr>
          <w:p>
            <w:pPr>
              <w:pStyle w:val="TableParagraph"/>
              <w:spacing w:before="17"/>
              <w:ind w:left="437" w:right="429"/>
              <w:jc w:val="center"/>
              <w:rPr>
                <w:sz w:val="14"/>
              </w:rPr>
            </w:pPr>
            <w:r>
              <w:rPr>
                <w:color w:val="231F20"/>
                <w:sz w:val="14"/>
              </w:rPr>
              <w:t>7 517 184</w:t>
            </w:r>
          </w:p>
        </w:tc>
      </w:tr>
      <w:tr>
        <w:trPr>
          <w:trHeight w:val="200" w:hRule="atLeast"/>
        </w:trPr>
        <w:tc>
          <w:tcPr>
            <w:tcW w:w="1701" w:type="dxa"/>
          </w:tcPr>
          <w:p>
            <w:pPr>
              <w:pStyle w:val="TableParagraph"/>
              <w:spacing w:before="17"/>
              <w:ind w:left="438" w:right="429"/>
              <w:jc w:val="center"/>
              <w:rPr>
                <w:sz w:val="14"/>
              </w:rPr>
            </w:pPr>
            <w:r>
              <w:rPr>
                <w:color w:val="231F20"/>
                <w:sz w:val="14"/>
              </w:rPr>
              <w:t>О12</w:t>
            </w:r>
          </w:p>
        </w:tc>
        <w:tc>
          <w:tcPr>
            <w:tcW w:w="1701" w:type="dxa"/>
          </w:tcPr>
          <w:p>
            <w:pPr>
              <w:pStyle w:val="TableParagraph"/>
              <w:spacing w:before="17"/>
              <w:ind w:left="438" w:right="429"/>
              <w:jc w:val="center"/>
              <w:rPr>
                <w:sz w:val="14"/>
              </w:rPr>
            </w:pPr>
            <w:r>
              <w:rPr>
                <w:color w:val="231F20"/>
                <w:sz w:val="14"/>
              </w:rPr>
              <w:t>4 950 146</w:t>
            </w:r>
          </w:p>
        </w:tc>
        <w:tc>
          <w:tcPr>
            <w:tcW w:w="1701" w:type="dxa"/>
          </w:tcPr>
          <w:p>
            <w:pPr>
              <w:pStyle w:val="TableParagraph"/>
              <w:spacing w:before="17"/>
              <w:ind w:left="437" w:right="429"/>
              <w:jc w:val="center"/>
              <w:rPr>
                <w:sz w:val="14"/>
              </w:rPr>
            </w:pPr>
            <w:r>
              <w:rPr>
                <w:color w:val="231F20"/>
                <w:sz w:val="14"/>
              </w:rPr>
              <w:t>7 517 187</w:t>
            </w:r>
          </w:p>
        </w:tc>
      </w:tr>
      <w:tr>
        <w:trPr>
          <w:trHeight w:val="200" w:hRule="atLeast"/>
        </w:trPr>
        <w:tc>
          <w:tcPr>
            <w:tcW w:w="1701" w:type="dxa"/>
          </w:tcPr>
          <w:p>
            <w:pPr>
              <w:pStyle w:val="TableParagraph"/>
              <w:spacing w:before="17"/>
              <w:ind w:left="438" w:right="429"/>
              <w:jc w:val="center"/>
              <w:rPr>
                <w:sz w:val="14"/>
              </w:rPr>
            </w:pPr>
            <w:r>
              <w:rPr>
                <w:color w:val="231F20"/>
                <w:sz w:val="14"/>
              </w:rPr>
              <w:t>О13</w:t>
            </w:r>
          </w:p>
        </w:tc>
        <w:tc>
          <w:tcPr>
            <w:tcW w:w="1701" w:type="dxa"/>
          </w:tcPr>
          <w:p>
            <w:pPr>
              <w:pStyle w:val="TableParagraph"/>
              <w:spacing w:before="17"/>
              <w:ind w:left="438" w:right="429"/>
              <w:jc w:val="center"/>
              <w:rPr>
                <w:sz w:val="14"/>
              </w:rPr>
            </w:pPr>
            <w:r>
              <w:rPr>
                <w:color w:val="231F20"/>
                <w:sz w:val="14"/>
              </w:rPr>
              <w:t>4 949 964</w:t>
            </w:r>
          </w:p>
        </w:tc>
        <w:tc>
          <w:tcPr>
            <w:tcW w:w="1701" w:type="dxa"/>
          </w:tcPr>
          <w:p>
            <w:pPr>
              <w:pStyle w:val="TableParagraph"/>
              <w:spacing w:before="17"/>
              <w:ind w:left="437" w:right="429"/>
              <w:jc w:val="center"/>
              <w:rPr>
                <w:sz w:val="14"/>
              </w:rPr>
            </w:pPr>
            <w:r>
              <w:rPr>
                <w:color w:val="231F20"/>
                <w:sz w:val="14"/>
              </w:rPr>
              <w:t>7 517 186</w:t>
            </w:r>
          </w:p>
        </w:tc>
      </w:tr>
    </w:tbl>
    <w:p>
      <w:pPr>
        <w:pStyle w:val="BodyText"/>
        <w:ind w:left="0"/>
        <w:jc w:val="left"/>
        <w:rPr>
          <w:sz w:val="20"/>
        </w:rPr>
      </w:pPr>
    </w:p>
    <w:p>
      <w:pPr>
        <w:pStyle w:val="ListParagraph"/>
        <w:numPr>
          <w:ilvl w:val="2"/>
          <w:numId w:val="73"/>
        </w:numPr>
        <w:tabs>
          <w:tab w:pos="1060" w:val="left" w:leader="none"/>
        </w:tabs>
        <w:spacing w:line="240" w:lineRule="auto" w:before="154" w:after="0"/>
        <w:ind w:left="1059" w:right="0" w:hanging="450"/>
        <w:jc w:val="left"/>
        <w:rPr>
          <w:sz w:val="18"/>
        </w:rPr>
      </w:pPr>
      <w:r>
        <w:rPr>
          <w:color w:val="231F20"/>
          <w:spacing w:val="16"/>
          <w:sz w:val="18"/>
        </w:rPr>
        <w:t>Правила </w:t>
      </w:r>
      <w:r>
        <w:rPr>
          <w:color w:val="231F20"/>
          <w:spacing w:val="17"/>
          <w:sz w:val="18"/>
        </w:rPr>
        <w:t>парцелације </w:t>
      </w:r>
      <w:r>
        <w:rPr>
          <w:color w:val="231F20"/>
          <w:sz w:val="18"/>
        </w:rPr>
        <w:t>и</w:t>
      </w:r>
      <w:r>
        <w:rPr>
          <w:color w:val="231F20"/>
          <w:spacing w:val="-18"/>
          <w:sz w:val="18"/>
        </w:rPr>
        <w:t> </w:t>
      </w:r>
      <w:r>
        <w:rPr>
          <w:color w:val="231F20"/>
          <w:spacing w:val="17"/>
          <w:sz w:val="18"/>
        </w:rPr>
        <w:t>препарцелације</w:t>
      </w:r>
    </w:p>
    <w:p>
      <w:pPr>
        <w:pStyle w:val="BodyText"/>
        <w:spacing w:before="9"/>
        <w:ind w:left="0"/>
        <w:jc w:val="left"/>
      </w:pPr>
    </w:p>
    <w:p>
      <w:pPr>
        <w:pStyle w:val="BodyText"/>
        <w:spacing w:line="244" w:lineRule="auto"/>
        <w:ind w:right="38" w:firstLine="396"/>
      </w:pPr>
      <w:r>
        <w:rPr>
          <w:color w:val="231F20"/>
        </w:rPr>
        <w:t>На обухваћеним површинама (територија града Пожаревца, делови подручја </w:t>
      </w:r>
      <w:r>
        <w:rPr>
          <w:color w:val="231F20"/>
          <w:spacing w:val="-3"/>
        </w:rPr>
        <w:t>КО </w:t>
      </w:r>
      <w:r>
        <w:rPr>
          <w:color w:val="231F20"/>
        </w:rPr>
        <w:t>Костолац село и </w:t>
      </w:r>
      <w:r>
        <w:rPr>
          <w:color w:val="231F20"/>
          <w:spacing w:val="-3"/>
        </w:rPr>
        <w:t>КО </w:t>
      </w:r>
      <w:r>
        <w:rPr>
          <w:color w:val="231F20"/>
        </w:rPr>
        <w:t>Дрмно, </w:t>
      </w:r>
      <w:r>
        <w:rPr>
          <w:color w:val="231F20"/>
          <w:spacing w:val="-3"/>
        </w:rPr>
        <w:t>КО </w:t>
      </w:r>
      <w:r>
        <w:rPr>
          <w:color w:val="231F20"/>
        </w:rPr>
        <w:t>Брадарац, </w:t>
      </w:r>
      <w:r>
        <w:rPr>
          <w:color w:val="231F20"/>
          <w:spacing w:val="-3"/>
        </w:rPr>
        <w:t>КО </w:t>
      </w:r>
      <w:r>
        <w:rPr>
          <w:color w:val="231F20"/>
        </w:rPr>
        <w:t>Кленовник, </w:t>
      </w:r>
      <w:r>
        <w:rPr>
          <w:color w:val="231F20"/>
          <w:spacing w:val="-3"/>
        </w:rPr>
        <w:t>КО </w:t>
      </w:r>
      <w:r>
        <w:rPr>
          <w:color w:val="231F20"/>
        </w:rPr>
        <w:t>Ћириковац) мења се постојећа катастарска пар- целација ради формирања нових парцела на јавном земљишту у складу са успостављеним режимом коришћења и променом наме- не. Нове катастарске парцеле се формирају на основу валидног и ажурираног катастарског плана и пројекта геодетског обележава- ња, а према овереном пројекту парцелације.</w:t>
      </w:r>
    </w:p>
    <w:p>
      <w:pPr>
        <w:pStyle w:val="BodyText"/>
        <w:spacing w:line="244" w:lineRule="auto" w:before="6"/>
        <w:ind w:right="39" w:firstLine="397"/>
      </w:pPr>
      <w:r>
        <w:rPr>
          <w:color w:val="231F20"/>
        </w:rPr>
        <w:t>У складу са општим правилима за уређење простора у про- сторној</w:t>
      </w:r>
      <w:r>
        <w:rPr>
          <w:color w:val="231F20"/>
          <w:spacing w:val="-6"/>
        </w:rPr>
        <w:t> </w:t>
      </w:r>
      <w:r>
        <w:rPr>
          <w:color w:val="231F20"/>
        </w:rPr>
        <w:t>целини</w:t>
      </w:r>
      <w:r>
        <w:rPr>
          <w:color w:val="231F20"/>
          <w:spacing w:val="-6"/>
        </w:rPr>
        <w:t> </w:t>
      </w:r>
      <w:r>
        <w:rPr>
          <w:color w:val="231F20"/>
        </w:rPr>
        <w:t>„Депонија</w:t>
      </w:r>
      <w:r>
        <w:rPr>
          <w:color w:val="231F20"/>
          <w:spacing w:val="-6"/>
        </w:rPr>
        <w:t> </w:t>
      </w:r>
      <w:r>
        <w:rPr>
          <w:color w:val="231F20"/>
        </w:rPr>
        <w:t>пепела</w:t>
      </w:r>
      <w:r>
        <w:rPr>
          <w:color w:val="231F20"/>
          <w:spacing w:val="-6"/>
        </w:rPr>
        <w:t> </w:t>
      </w:r>
      <w:r>
        <w:rPr>
          <w:color w:val="231F20"/>
        </w:rPr>
        <w:t>и</w:t>
      </w:r>
      <w:r>
        <w:rPr>
          <w:color w:val="231F20"/>
          <w:spacing w:val="-6"/>
        </w:rPr>
        <w:t> </w:t>
      </w:r>
      <w:r>
        <w:rPr>
          <w:color w:val="231F20"/>
        </w:rPr>
        <w:t>шљаке”</w:t>
      </w:r>
      <w:r>
        <w:rPr>
          <w:color w:val="231F20"/>
          <w:spacing w:val="-6"/>
        </w:rPr>
        <w:t> </w:t>
      </w:r>
      <w:r>
        <w:rPr>
          <w:color w:val="231F20"/>
        </w:rPr>
        <w:t>утврђују</w:t>
      </w:r>
      <w:r>
        <w:rPr>
          <w:color w:val="231F20"/>
          <w:spacing w:val="-6"/>
        </w:rPr>
        <w:t> </w:t>
      </w:r>
      <w:r>
        <w:rPr>
          <w:color w:val="231F20"/>
        </w:rPr>
        <w:t>се</w:t>
      </w:r>
      <w:r>
        <w:rPr>
          <w:color w:val="231F20"/>
          <w:spacing w:val="-6"/>
        </w:rPr>
        <w:t> </w:t>
      </w:r>
      <w:r>
        <w:rPr>
          <w:color w:val="231F20"/>
        </w:rPr>
        <w:t>правила</w:t>
      </w:r>
      <w:r>
        <w:rPr>
          <w:color w:val="231F20"/>
          <w:spacing w:val="-6"/>
        </w:rPr>
        <w:t> </w:t>
      </w:r>
      <w:r>
        <w:rPr>
          <w:color w:val="231F20"/>
        </w:rPr>
        <w:t>за спровођење нове катастарске</w:t>
      </w:r>
      <w:r>
        <w:rPr>
          <w:color w:val="231F20"/>
          <w:spacing w:val="-3"/>
        </w:rPr>
        <w:t> </w:t>
      </w:r>
      <w:r>
        <w:rPr>
          <w:color w:val="231F20"/>
        </w:rPr>
        <w:t>парцелације:</w:t>
      </w:r>
    </w:p>
    <w:p>
      <w:pPr>
        <w:pStyle w:val="BodyText"/>
        <w:spacing w:line="244" w:lineRule="auto" w:before="3"/>
        <w:ind w:right="39" w:firstLine="396"/>
      </w:pPr>
      <w:r>
        <w:rPr>
          <w:color w:val="231F20"/>
          <w:w w:val="66"/>
        </w:rPr>
        <w:t> </w:t>
      </w:r>
      <w:r>
        <w:rPr>
          <w:color w:val="231F20"/>
        </w:rPr>
        <w:t>–</w:t>
      </w:r>
      <w:r>
        <w:rPr>
          <w:color w:val="231F20"/>
          <w:spacing w:val="-6"/>
        </w:rPr>
        <w:t> </w:t>
      </w:r>
      <w:r>
        <w:rPr>
          <w:color w:val="231F20"/>
        </w:rPr>
        <w:t>формирање</w:t>
      </w:r>
      <w:r>
        <w:rPr>
          <w:color w:val="231F20"/>
          <w:spacing w:val="-6"/>
        </w:rPr>
        <w:t> </w:t>
      </w:r>
      <w:r>
        <w:rPr>
          <w:color w:val="231F20"/>
        </w:rPr>
        <w:t>нових</w:t>
      </w:r>
      <w:r>
        <w:rPr>
          <w:color w:val="231F20"/>
          <w:spacing w:val="-6"/>
        </w:rPr>
        <w:t> </w:t>
      </w:r>
      <w:r>
        <w:rPr>
          <w:color w:val="231F20"/>
        </w:rPr>
        <w:t>парцела</w:t>
      </w:r>
      <w:r>
        <w:rPr>
          <w:color w:val="231F20"/>
          <w:spacing w:val="-6"/>
        </w:rPr>
        <w:t> </w:t>
      </w:r>
      <w:r>
        <w:rPr>
          <w:color w:val="231F20"/>
        </w:rPr>
        <w:t>се</w:t>
      </w:r>
      <w:r>
        <w:rPr>
          <w:color w:val="231F20"/>
          <w:spacing w:val="-6"/>
        </w:rPr>
        <w:t> </w:t>
      </w:r>
      <w:r>
        <w:rPr>
          <w:color w:val="231F20"/>
        </w:rPr>
        <w:t>обавља</w:t>
      </w:r>
      <w:r>
        <w:rPr>
          <w:color w:val="231F20"/>
          <w:spacing w:val="-6"/>
        </w:rPr>
        <w:t> </w:t>
      </w:r>
      <w:r>
        <w:rPr>
          <w:color w:val="231F20"/>
        </w:rPr>
        <w:t>према</w:t>
      </w:r>
      <w:r>
        <w:rPr>
          <w:color w:val="231F20"/>
          <w:spacing w:val="-6"/>
        </w:rPr>
        <w:t> </w:t>
      </w:r>
      <w:r>
        <w:rPr>
          <w:color w:val="231F20"/>
        </w:rPr>
        <w:t>динамици</w:t>
      </w:r>
      <w:r>
        <w:rPr>
          <w:color w:val="231F20"/>
          <w:spacing w:val="-6"/>
        </w:rPr>
        <w:t> </w:t>
      </w:r>
      <w:r>
        <w:rPr>
          <w:color w:val="231F20"/>
        </w:rPr>
        <w:t>при- бављања земљишта у јавну</w:t>
      </w:r>
      <w:r>
        <w:rPr>
          <w:color w:val="231F20"/>
          <w:spacing w:val="-3"/>
        </w:rPr>
        <w:t> </w:t>
      </w:r>
      <w:r>
        <w:rPr>
          <w:color w:val="231F20"/>
        </w:rPr>
        <w:t>својину;</w:t>
      </w:r>
    </w:p>
    <w:p>
      <w:pPr>
        <w:pStyle w:val="BodyText"/>
        <w:spacing w:line="244" w:lineRule="auto" w:before="1"/>
        <w:ind w:right="38" w:firstLine="396"/>
      </w:pPr>
      <w:r>
        <w:rPr>
          <w:color w:val="231F20"/>
          <w:w w:val="66"/>
        </w:rPr>
        <w:t> </w:t>
      </w:r>
      <w:r>
        <w:rPr>
          <w:color w:val="231F20"/>
        </w:rPr>
        <w:t>–</w:t>
      </w:r>
      <w:r>
        <w:rPr>
          <w:color w:val="231F20"/>
          <w:spacing w:val="-10"/>
        </w:rPr>
        <w:t> </w:t>
      </w:r>
      <w:r>
        <w:rPr>
          <w:color w:val="231F20"/>
        </w:rPr>
        <w:t>положај</w:t>
      </w:r>
      <w:r>
        <w:rPr>
          <w:color w:val="231F20"/>
          <w:spacing w:val="-10"/>
        </w:rPr>
        <w:t> </w:t>
      </w:r>
      <w:r>
        <w:rPr>
          <w:color w:val="231F20"/>
        </w:rPr>
        <w:t>новоформираних</w:t>
      </w:r>
      <w:r>
        <w:rPr>
          <w:color w:val="231F20"/>
          <w:spacing w:val="-10"/>
        </w:rPr>
        <w:t> </w:t>
      </w:r>
      <w:r>
        <w:rPr>
          <w:color w:val="231F20"/>
        </w:rPr>
        <w:t>катастарских</w:t>
      </w:r>
      <w:r>
        <w:rPr>
          <w:color w:val="231F20"/>
          <w:spacing w:val="-10"/>
        </w:rPr>
        <w:t> </w:t>
      </w:r>
      <w:r>
        <w:rPr>
          <w:color w:val="231F20"/>
        </w:rPr>
        <w:t>парцела</w:t>
      </w:r>
      <w:r>
        <w:rPr>
          <w:color w:val="231F20"/>
          <w:spacing w:val="-10"/>
        </w:rPr>
        <w:t> </w:t>
      </w:r>
      <w:r>
        <w:rPr>
          <w:color w:val="231F20"/>
        </w:rPr>
        <w:t>дефинисан је границом просторне целине, односно разделним линијама пре- ма суседним просторним целинама друге</w:t>
      </w:r>
      <w:r>
        <w:rPr>
          <w:color w:val="231F20"/>
          <w:spacing w:val="-7"/>
        </w:rPr>
        <w:t> </w:t>
      </w:r>
      <w:r>
        <w:rPr>
          <w:color w:val="231F20"/>
        </w:rPr>
        <w:t>намене;</w:t>
      </w:r>
    </w:p>
    <w:p>
      <w:pPr>
        <w:pStyle w:val="BodyText"/>
        <w:spacing w:line="244" w:lineRule="auto" w:before="2"/>
        <w:ind w:right="38" w:firstLine="396"/>
      </w:pPr>
      <w:r>
        <w:rPr>
          <w:color w:val="231F20"/>
          <w:w w:val="66"/>
        </w:rPr>
        <w:t> </w:t>
      </w:r>
      <w:r>
        <w:rPr>
          <w:color w:val="231F20"/>
        </w:rPr>
        <w:t>– новоформиране катастарске парцеле изван границе „Депо- нија пепела и шљаке” не мењају катастарску намену изузев оних за које је пренамена предвиђена у складу са општим и појединач- ним правилима Просторног плана (део к.п.бр. 2898 КО Кленов- ник, намењен је организовању производње и пословања; нове катастарске парцеле у КО Брадарац чија је деоба предвиђена по граници просторне целине у североисточном делу и део к.п. бр. 1551/1 прикључују се просторној целини посебне намене Ком- плекс „Долина реке Млаве”, а део к.п. бр. 2965 уређује се као по- вршина у резервацији за формирање коридора за прелазак рудар- ске механизације);</w:t>
      </w:r>
    </w:p>
    <w:p>
      <w:pPr>
        <w:pStyle w:val="BodyText"/>
        <w:spacing w:line="201" w:lineRule="exact"/>
        <w:ind w:left="567"/>
        <w:jc w:val="left"/>
      </w:pPr>
      <w:r>
        <w:rPr>
          <w:color w:val="231F20"/>
          <w:w w:val="66"/>
        </w:rPr>
        <w:t> </w:t>
      </w:r>
      <w:r>
        <w:rPr>
          <w:color w:val="231F20"/>
        </w:rPr>
        <w:t>– могућа је, али не и неопходна, препарцелација;</w:t>
      </w:r>
    </w:p>
    <w:p>
      <w:pPr>
        <w:spacing w:line="157"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454" w:val="left" w:leader="none"/>
        </w:tabs>
        <w:spacing w:line="240" w:lineRule="auto" w:before="1" w:after="0"/>
        <w:ind w:left="454" w:right="39" w:hanging="284"/>
        <w:jc w:val="left"/>
        <w:rPr>
          <w:sz w:val="14"/>
        </w:rPr>
      </w:pPr>
      <w:r>
        <w:rPr>
          <w:color w:val="231F20"/>
          <w:sz w:val="14"/>
        </w:rPr>
        <w:t>Координате</w:t>
      </w:r>
      <w:r>
        <w:rPr>
          <w:color w:val="231F20"/>
          <w:spacing w:val="-8"/>
          <w:sz w:val="14"/>
        </w:rPr>
        <w:t> </w:t>
      </w:r>
      <w:r>
        <w:rPr>
          <w:color w:val="231F20"/>
          <w:sz w:val="14"/>
        </w:rPr>
        <w:t>дате</w:t>
      </w:r>
      <w:r>
        <w:rPr>
          <w:color w:val="231F20"/>
          <w:spacing w:val="-8"/>
          <w:sz w:val="14"/>
        </w:rPr>
        <w:t> </w:t>
      </w:r>
      <w:r>
        <w:rPr>
          <w:color w:val="231F20"/>
          <w:sz w:val="14"/>
        </w:rPr>
        <w:t>у</w:t>
      </w:r>
      <w:r>
        <w:rPr>
          <w:color w:val="231F20"/>
          <w:spacing w:val="-8"/>
          <w:sz w:val="14"/>
        </w:rPr>
        <w:t> </w:t>
      </w:r>
      <w:r>
        <w:rPr>
          <w:color w:val="231F20"/>
          <w:sz w:val="14"/>
        </w:rPr>
        <w:t>Просторном</w:t>
      </w:r>
      <w:r>
        <w:rPr>
          <w:color w:val="231F20"/>
          <w:spacing w:val="-8"/>
          <w:sz w:val="14"/>
        </w:rPr>
        <w:t> </w:t>
      </w:r>
      <w:r>
        <w:rPr>
          <w:color w:val="231F20"/>
          <w:sz w:val="14"/>
        </w:rPr>
        <w:t>плану</w:t>
      </w:r>
      <w:r>
        <w:rPr>
          <w:color w:val="231F20"/>
          <w:spacing w:val="-8"/>
          <w:sz w:val="14"/>
        </w:rPr>
        <w:t> </w:t>
      </w:r>
      <w:r>
        <w:rPr>
          <w:color w:val="231F20"/>
          <w:sz w:val="14"/>
        </w:rPr>
        <w:t>су</w:t>
      </w:r>
      <w:r>
        <w:rPr>
          <w:color w:val="231F20"/>
          <w:spacing w:val="-8"/>
          <w:sz w:val="14"/>
        </w:rPr>
        <w:t> </w:t>
      </w:r>
      <w:r>
        <w:rPr>
          <w:color w:val="231F20"/>
          <w:sz w:val="14"/>
        </w:rPr>
        <w:t>оријентационе</w:t>
      </w:r>
      <w:r>
        <w:rPr>
          <w:color w:val="231F20"/>
          <w:spacing w:val="-8"/>
          <w:sz w:val="14"/>
        </w:rPr>
        <w:t> </w:t>
      </w:r>
      <w:r>
        <w:rPr>
          <w:color w:val="231F20"/>
          <w:sz w:val="14"/>
        </w:rPr>
        <w:t>и</w:t>
      </w:r>
      <w:r>
        <w:rPr>
          <w:color w:val="231F20"/>
          <w:spacing w:val="-8"/>
          <w:sz w:val="14"/>
        </w:rPr>
        <w:t> </w:t>
      </w:r>
      <w:r>
        <w:rPr>
          <w:color w:val="231F20"/>
          <w:sz w:val="14"/>
        </w:rPr>
        <w:t>захтевају</w:t>
      </w:r>
      <w:r>
        <w:rPr>
          <w:color w:val="231F20"/>
          <w:spacing w:val="-8"/>
          <w:sz w:val="14"/>
        </w:rPr>
        <w:t> </w:t>
      </w:r>
      <w:r>
        <w:rPr>
          <w:color w:val="231F20"/>
          <w:sz w:val="14"/>
        </w:rPr>
        <w:t>проверу</w:t>
      </w:r>
      <w:r>
        <w:rPr>
          <w:color w:val="231F20"/>
          <w:spacing w:val="-8"/>
          <w:sz w:val="14"/>
        </w:rPr>
        <w:t> </w:t>
      </w:r>
      <w:r>
        <w:rPr>
          <w:color w:val="231F20"/>
          <w:sz w:val="14"/>
        </w:rPr>
        <w:t>у</w:t>
      </w:r>
      <w:r>
        <w:rPr>
          <w:color w:val="231F20"/>
          <w:spacing w:val="-8"/>
          <w:sz w:val="14"/>
        </w:rPr>
        <w:t> </w:t>
      </w:r>
      <w:r>
        <w:rPr>
          <w:color w:val="231F20"/>
          <w:sz w:val="14"/>
        </w:rPr>
        <w:t>од- говарајућим</w:t>
      </w:r>
      <w:r>
        <w:rPr>
          <w:color w:val="231F20"/>
          <w:spacing w:val="-5"/>
          <w:sz w:val="14"/>
        </w:rPr>
        <w:t> </w:t>
      </w:r>
      <w:r>
        <w:rPr>
          <w:color w:val="231F20"/>
          <w:sz w:val="14"/>
        </w:rPr>
        <w:t>пројектима</w:t>
      </w:r>
      <w:r>
        <w:rPr>
          <w:color w:val="231F20"/>
          <w:spacing w:val="-5"/>
          <w:sz w:val="14"/>
        </w:rPr>
        <w:t> </w:t>
      </w:r>
      <w:r>
        <w:rPr>
          <w:color w:val="231F20"/>
          <w:sz w:val="14"/>
        </w:rPr>
        <w:t>парцелације</w:t>
      </w:r>
      <w:r>
        <w:rPr>
          <w:color w:val="231F20"/>
          <w:spacing w:val="-5"/>
          <w:sz w:val="14"/>
        </w:rPr>
        <w:t> </w:t>
      </w:r>
      <w:r>
        <w:rPr>
          <w:color w:val="231F20"/>
          <w:sz w:val="14"/>
        </w:rPr>
        <w:t>или</w:t>
      </w:r>
      <w:r>
        <w:rPr>
          <w:color w:val="231F20"/>
          <w:spacing w:val="-6"/>
          <w:sz w:val="14"/>
        </w:rPr>
        <w:t> </w:t>
      </w:r>
      <w:r>
        <w:rPr>
          <w:color w:val="231F20"/>
          <w:sz w:val="14"/>
        </w:rPr>
        <w:t>приликом</w:t>
      </w:r>
      <w:r>
        <w:rPr>
          <w:color w:val="231F20"/>
          <w:spacing w:val="-5"/>
          <w:sz w:val="14"/>
        </w:rPr>
        <w:t> </w:t>
      </w:r>
      <w:r>
        <w:rPr>
          <w:color w:val="231F20"/>
          <w:sz w:val="14"/>
        </w:rPr>
        <w:t>утврђивања</w:t>
      </w:r>
      <w:r>
        <w:rPr>
          <w:color w:val="231F20"/>
          <w:spacing w:val="-6"/>
          <w:sz w:val="14"/>
        </w:rPr>
        <w:t> </w:t>
      </w:r>
      <w:r>
        <w:rPr>
          <w:color w:val="231F20"/>
          <w:sz w:val="14"/>
        </w:rPr>
        <w:t>јавног</w:t>
      </w:r>
      <w:r>
        <w:rPr>
          <w:color w:val="231F20"/>
          <w:spacing w:val="-6"/>
          <w:sz w:val="14"/>
        </w:rPr>
        <w:t> </w:t>
      </w:r>
      <w:r>
        <w:rPr>
          <w:color w:val="231F20"/>
          <w:sz w:val="14"/>
        </w:rPr>
        <w:t>интереса.</w:t>
      </w:r>
    </w:p>
    <w:p>
      <w:pPr>
        <w:pStyle w:val="BodyText"/>
        <w:spacing w:line="230" w:lineRule="auto" w:before="74"/>
        <w:ind w:right="411" w:firstLine="397"/>
      </w:pPr>
      <w:r>
        <w:rPr/>
        <w:br w:type="column"/>
      </w:r>
      <w:r>
        <w:rPr>
          <w:color w:val="231F20"/>
          <w:w w:val="66"/>
        </w:rPr>
        <w:t> </w:t>
      </w:r>
      <w:r>
        <w:rPr>
          <w:color w:val="231F20"/>
        </w:rPr>
        <w:t>–</w:t>
      </w:r>
      <w:r>
        <w:rPr>
          <w:color w:val="231F20"/>
          <w:spacing w:val="-7"/>
        </w:rPr>
        <w:t> </w:t>
      </w:r>
      <w:r>
        <w:rPr>
          <w:color w:val="231F20"/>
        </w:rPr>
        <w:t>у</w:t>
      </w:r>
      <w:r>
        <w:rPr>
          <w:color w:val="231F20"/>
          <w:spacing w:val="-7"/>
        </w:rPr>
        <w:t> </w:t>
      </w:r>
      <w:r>
        <w:rPr>
          <w:color w:val="231F20"/>
        </w:rPr>
        <w:t>случају</w:t>
      </w:r>
      <w:r>
        <w:rPr>
          <w:color w:val="231F20"/>
          <w:spacing w:val="-8"/>
        </w:rPr>
        <w:t> </w:t>
      </w:r>
      <w:r>
        <w:rPr>
          <w:color w:val="231F20"/>
        </w:rPr>
        <w:t>када</w:t>
      </w:r>
      <w:r>
        <w:rPr>
          <w:color w:val="231F20"/>
          <w:spacing w:val="-8"/>
        </w:rPr>
        <w:t> </w:t>
      </w:r>
      <w:r>
        <w:rPr>
          <w:color w:val="231F20"/>
        </w:rPr>
        <w:t>се</w:t>
      </w:r>
      <w:r>
        <w:rPr>
          <w:color w:val="231F20"/>
          <w:spacing w:val="-8"/>
        </w:rPr>
        <w:t> </w:t>
      </w:r>
      <w:r>
        <w:rPr>
          <w:color w:val="231F20"/>
        </w:rPr>
        <w:t>нове</w:t>
      </w:r>
      <w:r>
        <w:rPr>
          <w:color w:val="231F20"/>
          <w:spacing w:val="-8"/>
        </w:rPr>
        <w:t> </w:t>
      </w:r>
      <w:r>
        <w:rPr>
          <w:color w:val="231F20"/>
        </w:rPr>
        <w:t>парцеле</w:t>
      </w:r>
      <w:r>
        <w:rPr>
          <w:color w:val="231F20"/>
          <w:spacing w:val="-8"/>
        </w:rPr>
        <w:t> </w:t>
      </w:r>
      <w:r>
        <w:rPr>
          <w:color w:val="231F20"/>
        </w:rPr>
        <w:t>формирају</w:t>
      </w:r>
      <w:r>
        <w:rPr>
          <w:color w:val="231F20"/>
          <w:spacing w:val="-8"/>
        </w:rPr>
        <w:t> </w:t>
      </w:r>
      <w:r>
        <w:rPr>
          <w:color w:val="231F20"/>
        </w:rPr>
        <w:t>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r>
        <w:rPr>
          <w:color w:val="231F20"/>
          <w:spacing w:val="-6"/>
        </w:rPr>
        <w:t> </w:t>
      </w:r>
      <w:r>
        <w:rPr>
          <w:color w:val="231F20"/>
        </w:rPr>
        <w:t>и</w:t>
      </w:r>
    </w:p>
    <w:p>
      <w:pPr>
        <w:pStyle w:val="BodyText"/>
        <w:spacing w:line="230" w:lineRule="auto" w:before="2"/>
        <w:ind w:right="412" w:firstLine="396"/>
      </w:pPr>
      <w:r>
        <w:rPr>
          <w:color w:val="231F20"/>
          <w:w w:val="66"/>
        </w:rPr>
        <w:t> </w:t>
      </w:r>
      <w:r>
        <w:rPr>
          <w:color w:val="231F20"/>
        </w:rPr>
        <w:t>–</w:t>
      </w:r>
      <w:r>
        <w:rPr>
          <w:color w:val="231F20"/>
          <w:spacing w:val="-10"/>
        </w:rPr>
        <w:t> </w:t>
      </w:r>
      <w:r>
        <w:rPr>
          <w:color w:val="231F20"/>
        </w:rPr>
        <w:t>на</w:t>
      </w:r>
      <w:r>
        <w:rPr>
          <w:color w:val="231F20"/>
          <w:spacing w:val="-10"/>
        </w:rPr>
        <w:t> </w:t>
      </w:r>
      <w:r>
        <w:rPr>
          <w:color w:val="231F20"/>
        </w:rPr>
        <w:t>новоформираним</w:t>
      </w:r>
      <w:r>
        <w:rPr>
          <w:color w:val="231F20"/>
          <w:spacing w:val="-10"/>
        </w:rPr>
        <w:t> </w:t>
      </w:r>
      <w:r>
        <w:rPr>
          <w:color w:val="231F20"/>
        </w:rPr>
        <w:t>катастарским</w:t>
      </w:r>
      <w:r>
        <w:rPr>
          <w:color w:val="231F20"/>
          <w:spacing w:val="-10"/>
        </w:rPr>
        <w:t> </w:t>
      </w:r>
      <w:r>
        <w:rPr>
          <w:color w:val="231F20"/>
        </w:rPr>
        <w:t>парцелама</w:t>
      </w:r>
      <w:r>
        <w:rPr>
          <w:color w:val="231F20"/>
          <w:spacing w:val="-10"/>
        </w:rPr>
        <w:t> </w:t>
      </w:r>
      <w:r>
        <w:rPr>
          <w:color w:val="231F20"/>
        </w:rPr>
        <w:t>у</w:t>
      </w:r>
      <w:r>
        <w:rPr>
          <w:color w:val="231F20"/>
          <w:spacing w:val="-10"/>
        </w:rPr>
        <w:t> </w:t>
      </w:r>
      <w:r>
        <w:rPr>
          <w:color w:val="231F20"/>
        </w:rPr>
        <w:t>оквиру</w:t>
      </w:r>
      <w:r>
        <w:rPr>
          <w:color w:val="231F20"/>
          <w:spacing w:val="-10"/>
        </w:rPr>
        <w:t> </w:t>
      </w:r>
      <w:r>
        <w:rPr>
          <w:color w:val="231F20"/>
        </w:rPr>
        <w:t>про- сторне целине спроводи се пренамена у остало земљиште / ве- штачки створено неплодно</w:t>
      </w:r>
      <w:r>
        <w:rPr>
          <w:color w:val="231F20"/>
          <w:spacing w:val="-4"/>
        </w:rPr>
        <w:t> </w:t>
      </w:r>
      <w:r>
        <w:rPr>
          <w:color w:val="231F20"/>
        </w:rPr>
        <w:t>земљиште.</w:t>
      </w:r>
    </w:p>
    <w:p>
      <w:pPr>
        <w:pStyle w:val="BodyText"/>
        <w:spacing w:line="230" w:lineRule="auto" w:before="1"/>
        <w:ind w:right="412" w:firstLine="397"/>
      </w:pPr>
      <w:r>
        <w:rPr>
          <w:color w:val="231F20"/>
        </w:rPr>
        <w:t>По</w:t>
      </w:r>
      <w:r>
        <w:rPr>
          <w:color w:val="231F20"/>
          <w:spacing w:val="-8"/>
        </w:rPr>
        <w:t> </w:t>
      </w:r>
      <w:r>
        <w:rPr>
          <w:color w:val="231F20"/>
        </w:rPr>
        <w:t>извршеној</w:t>
      </w:r>
      <w:r>
        <w:rPr>
          <w:color w:val="231F20"/>
          <w:spacing w:val="-8"/>
        </w:rPr>
        <w:t> </w:t>
      </w:r>
      <w:r>
        <w:rPr>
          <w:color w:val="231F20"/>
        </w:rPr>
        <w:t>деоби</w:t>
      </w:r>
      <w:r>
        <w:rPr>
          <w:color w:val="231F20"/>
          <w:spacing w:val="-8"/>
        </w:rPr>
        <w:t> </w:t>
      </w:r>
      <w:r>
        <w:rPr>
          <w:color w:val="231F20"/>
        </w:rPr>
        <w:t>катастарских</w:t>
      </w:r>
      <w:r>
        <w:rPr>
          <w:color w:val="231F20"/>
          <w:spacing w:val="-8"/>
        </w:rPr>
        <w:t> </w:t>
      </w:r>
      <w:r>
        <w:rPr>
          <w:color w:val="231F20"/>
        </w:rPr>
        <w:t>парцела</w:t>
      </w:r>
      <w:r>
        <w:rPr>
          <w:color w:val="231F20"/>
          <w:spacing w:val="-8"/>
        </w:rPr>
        <w:t> </w:t>
      </w:r>
      <w:r>
        <w:rPr>
          <w:color w:val="231F20"/>
        </w:rPr>
        <w:t>на</w:t>
      </w:r>
      <w:r>
        <w:rPr>
          <w:color w:val="231F20"/>
          <w:spacing w:val="-8"/>
        </w:rPr>
        <w:t> </w:t>
      </w:r>
      <w:r>
        <w:rPr>
          <w:color w:val="231F20"/>
        </w:rPr>
        <w:t>појединачне</w:t>
      </w:r>
      <w:r>
        <w:rPr>
          <w:color w:val="231F20"/>
          <w:spacing w:val="-8"/>
        </w:rPr>
        <w:t> </w:t>
      </w:r>
      <w:r>
        <w:rPr>
          <w:color w:val="231F20"/>
        </w:rPr>
        <w:t>зе- мљишне честице, новоформиране парцеле се уводе у евиденцију непокретности.</w:t>
      </w:r>
    </w:p>
    <w:p>
      <w:pPr>
        <w:pStyle w:val="BodyText"/>
        <w:spacing w:line="230" w:lineRule="auto" w:before="1"/>
        <w:ind w:right="412" w:firstLine="396"/>
      </w:pPr>
      <w:r>
        <w:rPr>
          <w:color w:val="231F20"/>
        </w:rPr>
        <w:t>Катастарска парцела се може делити парцелацијом до мини- мума утврђеног применом правила о катастарској парцелацији. </w:t>
      </w:r>
      <w:r>
        <w:rPr>
          <w:color w:val="231F20"/>
          <w:spacing w:val="-6"/>
        </w:rPr>
        <w:t>Уколико </w:t>
      </w:r>
      <w:r>
        <w:rPr>
          <w:color w:val="231F20"/>
        </w:rPr>
        <w:t>на појединачној парцели није могуће извршити деобу та- </w:t>
      </w:r>
      <w:r>
        <w:rPr>
          <w:color w:val="231F20"/>
          <w:spacing w:val="-5"/>
        </w:rPr>
        <w:t>ко </w:t>
      </w:r>
      <w:r>
        <w:rPr>
          <w:color w:val="231F20"/>
        </w:rPr>
        <w:t>да се формира нова катастарска парцела изван утврђене грани- це ове просторне целине или да се задржи њена постојећа намена, постојећа</w:t>
      </w:r>
      <w:r>
        <w:rPr>
          <w:color w:val="231F20"/>
          <w:spacing w:val="-6"/>
        </w:rPr>
        <w:t> </w:t>
      </w:r>
      <w:r>
        <w:rPr>
          <w:color w:val="231F20"/>
        </w:rPr>
        <w:t>катастарска</w:t>
      </w:r>
      <w:r>
        <w:rPr>
          <w:color w:val="231F20"/>
          <w:spacing w:val="-6"/>
        </w:rPr>
        <w:t> </w:t>
      </w:r>
      <w:r>
        <w:rPr>
          <w:color w:val="231F20"/>
        </w:rPr>
        <w:t>парцела</w:t>
      </w:r>
      <w:r>
        <w:rPr>
          <w:color w:val="231F20"/>
          <w:spacing w:val="-6"/>
        </w:rPr>
        <w:t> </w:t>
      </w:r>
      <w:r>
        <w:rPr>
          <w:color w:val="231F20"/>
        </w:rPr>
        <w:t>се</w:t>
      </w:r>
      <w:r>
        <w:rPr>
          <w:color w:val="231F20"/>
          <w:spacing w:val="-6"/>
        </w:rPr>
        <w:t> </w:t>
      </w:r>
      <w:r>
        <w:rPr>
          <w:color w:val="231F20"/>
        </w:rPr>
        <w:t>у</w:t>
      </w:r>
      <w:r>
        <w:rPr>
          <w:color w:val="231F20"/>
          <w:spacing w:val="-6"/>
        </w:rPr>
        <w:t> </w:t>
      </w:r>
      <w:r>
        <w:rPr>
          <w:color w:val="231F20"/>
        </w:rPr>
        <w:t>целини</w:t>
      </w:r>
      <w:r>
        <w:rPr>
          <w:color w:val="231F20"/>
          <w:spacing w:val="-6"/>
        </w:rPr>
        <w:t> </w:t>
      </w:r>
      <w:r>
        <w:rPr>
          <w:color w:val="231F20"/>
        </w:rPr>
        <w:t>прикључује</w:t>
      </w:r>
      <w:r>
        <w:rPr>
          <w:color w:val="231F20"/>
          <w:spacing w:val="-6"/>
        </w:rPr>
        <w:t> </w:t>
      </w:r>
      <w:r>
        <w:rPr>
          <w:color w:val="231F20"/>
        </w:rPr>
        <w:t>просторној целини и уређује према општим правилима уређења Просторног плана за шумске и пољопривредне</w:t>
      </w:r>
      <w:r>
        <w:rPr>
          <w:color w:val="231F20"/>
          <w:spacing w:val="-8"/>
        </w:rPr>
        <w:t> </w:t>
      </w:r>
      <w:r>
        <w:rPr>
          <w:color w:val="231F20"/>
        </w:rPr>
        <w:t>површине.</w:t>
      </w:r>
    </w:p>
    <w:p>
      <w:pPr>
        <w:pStyle w:val="BodyText"/>
        <w:spacing w:line="230" w:lineRule="auto" w:before="4"/>
        <w:ind w:right="410" w:firstLine="396"/>
      </w:pPr>
      <w:r>
        <w:rPr>
          <w:color w:val="231F20"/>
          <w:spacing w:val="-4"/>
        </w:rPr>
        <w:t>Грађевинске </w:t>
      </w:r>
      <w:r>
        <w:rPr>
          <w:color w:val="231F20"/>
        </w:rPr>
        <w:t>парцеле ће се </w:t>
      </w:r>
      <w:r>
        <w:rPr>
          <w:color w:val="231F20"/>
          <w:spacing w:val="-3"/>
        </w:rPr>
        <w:t>формирати </w:t>
      </w:r>
      <w:r>
        <w:rPr>
          <w:color w:val="231F20"/>
        </w:rPr>
        <w:t>за </w:t>
      </w:r>
      <w:r>
        <w:rPr>
          <w:color w:val="231F20"/>
          <w:spacing w:val="-3"/>
        </w:rPr>
        <w:t>потребе </w:t>
      </w:r>
      <w:r>
        <w:rPr>
          <w:color w:val="231F20"/>
        </w:rPr>
        <w:t>изградње</w:t>
      </w:r>
      <w:r>
        <w:rPr>
          <w:color w:val="231F20"/>
          <w:spacing w:val="-31"/>
        </w:rPr>
        <w:t> </w:t>
      </w:r>
      <w:r>
        <w:rPr>
          <w:color w:val="231F20"/>
        </w:rPr>
        <w:t>це- </w:t>
      </w:r>
      <w:r>
        <w:rPr>
          <w:color w:val="231F20"/>
          <w:spacing w:val="-4"/>
        </w:rPr>
        <w:t>вовода</w:t>
      </w:r>
      <w:r>
        <w:rPr>
          <w:color w:val="231F20"/>
          <w:spacing w:val="-10"/>
        </w:rPr>
        <w:t> </w:t>
      </w:r>
      <w:r>
        <w:rPr>
          <w:color w:val="231F20"/>
        </w:rPr>
        <w:t>за</w:t>
      </w:r>
      <w:r>
        <w:rPr>
          <w:color w:val="231F20"/>
          <w:spacing w:val="-10"/>
        </w:rPr>
        <w:t> </w:t>
      </w:r>
      <w:r>
        <w:rPr>
          <w:color w:val="231F20"/>
        </w:rPr>
        <w:t>транспорт</w:t>
      </w:r>
      <w:r>
        <w:rPr>
          <w:color w:val="231F20"/>
          <w:spacing w:val="-11"/>
        </w:rPr>
        <w:t> </w:t>
      </w:r>
      <w:r>
        <w:rPr>
          <w:color w:val="231F20"/>
        </w:rPr>
        <w:t>пепела</w:t>
      </w:r>
      <w:r>
        <w:rPr>
          <w:color w:val="231F20"/>
          <w:spacing w:val="-10"/>
        </w:rPr>
        <w:t> </w:t>
      </w:r>
      <w:r>
        <w:rPr>
          <w:color w:val="231F20"/>
          <w:spacing w:val="-3"/>
        </w:rPr>
        <w:t>шљаке</w:t>
      </w:r>
      <w:r>
        <w:rPr>
          <w:color w:val="231F20"/>
          <w:spacing w:val="-10"/>
        </w:rPr>
        <w:t> </w:t>
      </w:r>
      <w:r>
        <w:rPr>
          <w:color w:val="231F20"/>
        </w:rPr>
        <w:t>и</w:t>
      </w:r>
      <w:r>
        <w:rPr>
          <w:color w:val="231F20"/>
          <w:spacing w:val="-11"/>
        </w:rPr>
        <w:t> </w:t>
      </w:r>
      <w:r>
        <w:rPr>
          <w:color w:val="231F20"/>
          <w:spacing w:val="-3"/>
        </w:rPr>
        <w:t>повратне</w:t>
      </w:r>
      <w:r>
        <w:rPr>
          <w:color w:val="231F20"/>
          <w:spacing w:val="-10"/>
        </w:rPr>
        <w:t> </w:t>
      </w:r>
      <w:r>
        <w:rPr>
          <w:color w:val="231F20"/>
          <w:spacing w:val="-4"/>
        </w:rPr>
        <w:t>воде</w:t>
      </w:r>
      <w:r>
        <w:rPr>
          <w:color w:val="231F20"/>
          <w:spacing w:val="-10"/>
        </w:rPr>
        <w:t> </w:t>
      </w:r>
      <w:r>
        <w:rPr>
          <w:color w:val="231F20"/>
        </w:rPr>
        <w:t>и</w:t>
      </w:r>
      <w:r>
        <w:rPr>
          <w:color w:val="231F20"/>
          <w:spacing w:val="-11"/>
        </w:rPr>
        <w:t> </w:t>
      </w:r>
      <w:r>
        <w:rPr>
          <w:color w:val="231F20"/>
          <w:spacing w:val="-3"/>
        </w:rPr>
        <w:t>других</w:t>
      </w:r>
      <w:r>
        <w:rPr>
          <w:color w:val="231F20"/>
          <w:spacing w:val="-10"/>
        </w:rPr>
        <w:t> </w:t>
      </w:r>
      <w:r>
        <w:rPr>
          <w:color w:val="231F20"/>
          <w:spacing w:val="-3"/>
        </w:rPr>
        <w:t>технич- </w:t>
      </w:r>
      <w:r>
        <w:rPr>
          <w:color w:val="231F20"/>
        </w:rPr>
        <w:t>ких </w:t>
      </w:r>
      <w:r>
        <w:rPr>
          <w:color w:val="231F20"/>
          <w:spacing w:val="-3"/>
        </w:rPr>
        <w:t>инфраструктурних </w:t>
      </w:r>
      <w:r>
        <w:rPr>
          <w:color w:val="231F20"/>
        </w:rPr>
        <w:t>система у </w:t>
      </w:r>
      <w:r>
        <w:rPr>
          <w:color w:val="231F20"/>
          <w:spacing w:val="-4"/>
        </w:rPr>
        <w:t>заједничком </w:t>
      </w:r>
      <w:r>
        <w:rPr>
          <w:color w:val="231F20"/>
          <w:spacing w:val="-6"/>
        </w:rPr>
        <w:t>коридору. </w:t>
      </w:r>
      <w:r>
        <w:rPr>
          <w:color w:val="231F20"/>
        </w:rPr>
        <w:t>Земљиште у</w:t>
      </w:r>
      <w:r>
        <w:rPr>
          <w:color w:val="231F20"/>
          <w:spacing w:val="-10"/>
        </w:rPr>
        <w:t> </w:t>
      </w:r>
      <w:r>
        <w:rPr>
          <w:color w:val="231F20"/>
          <w:spacing w:val="-3"/>
        </w:rPr>
        <w:t>оквиру</w:t>
      </w:r>
      <w:r>
        <w:rPr>
          <w:color w:val="231F20"/>
          <w:spacing w:val="-10"/>
        </w:rPr>
        <w:t> </w:t>
      </w:r>
      <w:r>
        <w:rPr>
          <w:color w:val="231F20"/>
        </w:rPr>
        <w:t>грађевинских</w:t>
      </w:r>
      <w:r>
        <w:rPr>
          <w:color w:val="231F20"/>
          <w:spacing w:val="-10"/>
        </w:rPr>
        <w:t> </w:t>
      </w:r>
      <w:r>
        <w:rPr>
          <w:color w:val="231F20"/>
        </w:rPr>
        <w:t>парцела</w:t>
      </w:r>
      <w:r>
        <w:rPr>
          <w:color w:val="231F20"/>
          <w:spacing w:val="-10"/>
        </w:rPr>
        <w:t> </w:t>
      </w:r>
      <w:r>
        <w:rPr>
          <w:color w:val="231F20"/>
        </w:rPr>
        <w:t>намењено</w:t>
      </w:r>
      <w:r>
        <w:rPr>
          <w:color w:val="231F20"/>
          <w:spacing w:val="-10"/>
        </w:rPr>
        <w:t> </w:t>
      </w:r>
      <w:r>
        <w:rPr>
          <w:color w:val="231F20"/>
        </w:rPr>
        <w:t>је</w:t>
      </w:r>
      <w:r>
        <w:rPr>
          <w:color w:val="231F20"/>
          <w:spacing w:val="-10"/>
        </w:rPr>
        <w:t> </w:t>
      </w:r>
      <w:r>
        <w:rPr>
          <w:color w:val="231F20"/>
          <w:spacing w:val="-2"/>
        </w:rPr>
        <w:t>искључиво</w:t>
      </w:r>
      <w:r>
        <w:rPr>
          <w:color w:val="231F20"/>
          <w:spacing w:val="-10"/>
        </w:rPr>
        <w:t> </w:t>
      </w:r>
      <w:r>
        <w:rPr>
          <w:color w:val="231F20"/>
        </w:rPr>
        <w:t>за</w:t>
      </w:r>
      <w:r>
        <w:rPr>
          <w:color w:val="231F20"/>
          <w:spacing w:val="-10"/>
        </w:rPr>
        <w:t> </w:t>
      </w:r>
      <w:r>
        <w:rPr>
          <w:color w:val="231F20"/>
        </w:rPr>
        <w:t>грађење, </w:t>
      </w:r>
      <w:r>
        <w:rPr>
          <w:color w:val="231F20"/>
          <w:spacing w:val="-3"/>
        </w:rPr>
        <w:t>одржавање </w:t>
      </w:r>
      <w:r>
        <w:rPr>
          <w:color w:val="231F20"/>
        </w:rPr>
        <w:t>и </w:t>
      </w:r>
      <w:r>
        <w:rPr>
          <w:color w:val="231F20"/>
          <w:spacing w:val="-3"/>
        </w:rPr>
        <w:t>реконструкцију објеката техничке инфраструктуре, </w:t>
      </w:r>
      <w:r>
        <w:rPr>
          <w:color w:val="231F20"/>
        </w:rPr>
        <w:t>а уређује се </w:t>
      </w:r>
      <w:r>
        <w:rPr>
          <w:color w:val="231F20"/>
          <w:spacing w:val="-3"/>
        </w:rPr>
        <w:t>као </w:t>
      </w:r>
      <w:r>
        <w:rPr>
          <w:color w:val="231F20"/>
        </w:rPr>
        <w:t>земљиште за изградњу </w:t>
      </w:r>
      <w:r>
        <w:rPr>
          <w:color w:val="231F20"/>
          <w:spacing w:val="-3"/>
        </w:rPr>
        <w:t>објеката </w:t>
      </w:r>
      <w:r>
        <w:rPr>
          <w:color w:val="231F20"/>
          <w:spacing w:val="-4"/>
        </w:rPr>
        <w:t>од </w:t>
      </w:r>
      <w:r>
        <w:rPr>
          <w:color w:val="231F20"/>
        </w:rPr>
        <w:t>јавног интереса, према општим и </w:t>
      </w:r>
      <w:r>
        <w:rPr>
          <w:color w:val="231F20"/>
          <w:spacing w:val="-3"/>
        </w:rPr>
        <w:t>појединачним </w:t>
      </w:r>
      <w:r>
        <w:rPr>
          <w:color w:val="231F20"/>
          <w:spacing w:val="-2"/>
        </w:rPr>
        <w:t>правилима </w:t>
      </w:r>
      <w:r>
        <w:rPr>
          <w:color w:val="231F20"/>
        </w:rPr>
        <w:t>Просторног плана за из- градњу и уређење простора, </w:t>
      </w:r>
      <w:r>
        <w:rPr>
          <w:color w:val="231F20"/>
          <w:spacing w:val="-4"/>
        </w:rPr>
        <w:t>која </w:t>
      </w:r>
      <w:r>
        <w:rPr>
          <w:color w:val="231F20"/>
        </w:rPr>
        <w:t>се </w:t>
      </w:r>
      <w:r>
        <w:rPr>
          <w:color w:val="231F20"/>
          <w:spacing w:val="-3"/>
        </w:rPr>
        <w:t>спроводе, </w:t>
      </w:r>
      <w:r>
        <w:rPr>
          <w:color w:val="231F20"/>
        </w:rPr>
        <w:t>разрађују и </w:t>
      </w:r>
      <w:r>
        <w:rPr>
          <w:color w:val="231F20"/>
          <w:spacing w:val="-3"/>
        </w:rPr>
        <w:t>усагла- шавају </w:t>
      </w:r>
      <w:r>
        <w:rPr>
          <w:color w:val="231F20"/>
        </w:rPr>
        <w:t>на </w:t>
      </w:r>
      <w:r>
        <w:rPr>
          <w:color w:val="231F20"/>
          <w:spacing w:val="-3"/>
        </w:rPr>
        <w:t>основу појединачних </w:t>
      </w:r>
      <w:r>
        <w:rPr>
          <w:color w:val="231F20"/>
        </w:rPr>
        <w:t>решења из </w:t>
      </w:r>
      <w:r>
        <w:rPr>
          <w:color w:val="231F20"/>
          <w:spacing w:val="-3"/>
        </w:rPr>
        <w:t>одговарајуће техничке документације </w:t>
      </w:r>
      <w:r>
        <w:rPr>
          <w:color w:val="231F20"/>
        </w:rPr>
        <w:t>и кроз израду пројекта</w:t>
      </w:r>
      <w:r>
        <w:rPr>
          <w:color w:val="231F20"/>
          <w:spacing w:val="-23"/>
        </w:rPr>
        <w:t> </w:t>
      </w:r>
      <w:r>
        <w:rPr>
          <w:color w:val="231F20"/>
        </w:rPr>
        <w:t>парцелације.</w:t>
      </w:r>
    </w:p>
    <w:p>
      <w:pPr>
        <w:pStyle w:val="BodyText"/>
        <w:spacing w:line="230" w:lineRule="auto" w:before="3"/>
        <w:ind w:left="172" w:right="410" w:firstLine="397"/>
      </w:pPr>
      <w:r>
        <w:rPr>
          <w:color w:val="231F20"/>
        </w:rPr>
        <w:t>Утврђују се правила за спровођење нове катастарске парце- лације:</w:t>
      </w:r>
    </w:p>
    <w:p>
      <w:pPr>
        <w:pStyle w:val="BodyText"/>
        <w:spacing w:line="230" w:lineRule="auto" w:before="1"/>
        <w:ind w:left="172" w:right="410" w:firstLine="396"/>
      </w:pPr>
      <w:r>
        <w:rPr>
          <w:color w:val="231F20"/>
          <w:w w:val="66"/>
        </w:rPr>
        <w:t> </w:t>
      </w:r>
      <w:r>
        <w:rPr>
          <w:color w:val="231F20"/>
        </w:rPr>
        <w:t>– формирање нових катастарских парцела се обавља према динамици изградње појединачних објеката техничке инфраструк- турних и прибављања земљишта у јавну својину;</w:t>
      </w:r>
    </w:p>
    <w:p>
      <w:pPr>
        <w:pStyle w:val="BodyText"/>
        <w:spacing w:line="230" w:lineRule="auto" w:before="1"/>
        <w:ind w:left="172" w:right="410" w:firstLine="396"/>
      </w:pPr>
      <w:r>
        <w:rPr>
          <w:color w:val="231F20"/>
          <w:w w:val="66"/>
        </w:rPr>
        <w:t> </w:t>
      </w:r>
      <w:r>
        <w:rPr>
          <w:color w:val="231F20"/>
        </w:rPr>
        <w:t>– положај новоформираних катастарских парцела утврђен је границом обухвата и границама водног и путног земљишта и де- финисан координатама у државном координатном систему</w:t>
      </w:r>
      <w:r>
        <w:rPr>
          <w:color w:val="231F20"/>
          <w:position w:val="6"/>
          <w:sz w:val="10"/>
        </w:rPr>
        <w:t>36</w:t>
      </w:r>
      <w:r>
        <w:rPr>
          <w:color w:val="231F20"/>
        </w:rPr>
        <w:t>;</w:t>
      </w:r>
    </w:p>
    <w:p>
      <w:pPr>
        <w:pStyle w:val="BodyText"/>
        <w:spacing w:line="230" w:lineRule="auto"/>
        <w:ind w:right="411" w:firstLine="396"/>
      </w:pPr>
      <w:r>
        <w:rPr>
          <w:color w:val="231F20"/>
          <w:w w:val="66"/>
        </w:rPr>
        <w:t> </w:t>
      </w:r>
      <w:r>
        <w:rPr>
          <w:color w:val="231F20"/>
        </w:rPr>
        <w:t>– границе грађевинских парцела дефинисане су координата- ма карактеристичних тачака и то: ГП 1 (В1, В3, В31 и В35), ГП 2 (В4, В5, В30 и В31), ГП 3 (В6, В7, В28 и В29), ГП 4 (0-34), одно-</w:t>
      </w:r>
    </w:p>
    <w:p>
      <w:pPr>
        <w:pStyle w:val="BodyText"/>
        <w:spacing w:line="230" w:lineRule="auto" w:before="1"/>
        <w:ind w:right="411"/>
      </w:pPr>
      <w:r>
        <w:rPr>
          <w:color w:val="231F20"/>
        </w:rPr>
        <w:t>сно, као део 2.1. за </w:t>
      </w:r>
      <w:r>
        <w:rPr>
          <w:color w:val="231F20"/>
          <w:spacing w:val="-3"/>
        </w:rPr>
        <w:t>КО </w:t>
      </w:r>
      <w:r>
        <w:rPr>
          <w:color w:val="231F20"/>
        </w:rPr>
        <w:t>Костолац село, грађевинске парцеле 2 у зони инфраструктурних система у оквиру </w:t>
      </w:r>
      <w:r>
        <w:rPr>
          <w:color w:val="231F20"/>
          <w:spacing w:val="-4"/>
        </w:rPr>
        <w:t>рударско </w:t>
      </w:r>
      <w:r>
        <w:rPr>
          <w:color w:val="231F20"/>
        </w:rPr>
        <w:t>– енергетског система, </w:t>
      </w:r>
      <w:r>
        <w:rPr>
          <w:color w:val="231F20"/>
          <w:spacing w:val="-4"/>
        </w:rPr>
        <w:t>где </w:t>
      </w:r>
      <w:r>
        <w:rPr>
          <w:color w:val="231F20"/>
        </w:rPr>
        <w:t>се успоставља коридор за транспорт суспензије гипса (поглавље 8.);</w:t>
      </w:r>
    </w:p>
    <w:p>
      <w:pPr>
        <w:pStyle w:val="BodyText"/>
        <w:spacing w:line="230" w:lineRule="auto" w:before="2"/>
        <w:ind w:left="171" w:right="411" w:firstLine="396"/>
      </w:pPr>
      <w:r>
        <w:rPr>
          <w:color w:val="231F20"/>
          <w:w w:val="66"/>
        </w:rPr>
        <w:t> </w:t>
      </w:r>
      <w:r>
        <w:rPr>
          <w:color w:val="231F20"/>
        </w:rPr>
        <w:t>–</w:t>
      </w:r>
      <w:r>
        <w:rPr>
          <w:color w:val="231F20"/>
          <w:spacing w:val="-9"/>
        </w:rPr>
        <w:t> </w:t>
      </w:r>
      <w:r>
        <w:rPr>
          <w:color w:val="231F20"/>
        </w:rPr>
        <w:t>новоформиране</w:t>
      </w:r>
      <w:r>
        <w:rPr>
          <w:color w:val="231F20"/>
          <w:spacing w:val="-9"/>
        </w:rPr>
        <w:t> </w:t>
      </w:r>
      <w:r>
        <w:rPr>
          <w:color w:val="231F20"/>
        </w:rPr>
        <w:t>катастарске</w:t>
      </w:r>
      <w:r>
        <w:rPr>
          <w:color w:val="231F20"/>
          <w:spacing w:val="-9"/>
        </w:rPr>
        <w:t> </w:t>
      </w:r>
      <w:r>
        <w:rPr>
          <w:color w:val="231F20"/>
        </w:rPr>
        <w:t>парцеле</w:t>
      </w:r>
      <w:r>
        <w:rPr>
          <w:color w:val="231F20"/>
          <w:spacing w:val="-9"/>
        </w:rPr>
        <w:t> </w:t>
      </w:r>
      <w:r>
        <w:rPr>
          <w:color w:val="231F20"/>
        </w:rPr>
        <w:t>изван</w:t>
      </w:r>
      <w:r>
        <w:rPr>
          <w:color w:val="231F20"/>
          <w:spacing w:val="-9"/>
        </w:rPr>
        <w:t> </w:t>
      </w:r>
      <w:r>
        <w:rPr>
          <w:color w:val="231F20"/>
        </w:rPr>
        <w:t>границе</w:t>
      </w:r>
      <w:r>
        <w:rPr>
          <w:color w:val="231F20"/>
          <w:spacing w:val="-9"/>
        </w:rPr>
        <w:t> </w:t>
      </w:r>
      <w:r>
        <w:rPr>
          <w:color w:val="231F20"/>
        </w:rPr>
        <w:t>обухва- та, односно, изван грађевинских парцела, не мењају катастарску намену;</w:t>
      </w:r>
    </w:p>
    <w:p>
      <w:pPr>
        <w:pStyle w:val="BodyText"/>
        <w:spacing w:line="230" w:lineRule="auto" w:before="1"/>
        <w:ind w:right="411" w:firstLine="397"/>
      </w:pPr>
      <w:r>
        <w:rPr>
          <w:color w:val="231F20"/>
          <w:w w:val="66"/>
        </w:rPr>
        <w:t> </w:t>
      </w:r>
      <w:r>
        <w:rPr>
          <w:color w:val="231F20"/>
        </w:rPr>
        <w:t>– катастарска парцела се може делити парцелацијом до ми- нимума утврђеног применом правила о катастарској парцелацији, а уколико на појединачној парцели није могуће извршити деобу тако да се формира нова катастарска парцела изван утврђене гра- нице грађевинске парцеле или да се задржи њена постојећа наме- на, постојећа катастарска парцела се у целини прикључује грађе- винској парцели;</w:t>
      </w:r>
    </w:p>
    <w:p>
      <w:pPr>
        <w:pStyle w:val="BodyText"/>
        <w:spacing w:line="230" w:lineRule="auto" w:before="2"/>
        <w:ind w:right="410" w:firstLine="396"/>
      </w:pPr>
      <w:r>
        <w:rPr>
          <w:color w:val="231F20"/>
          <w:w w:val="66"/>
        </w:rPr>
        <w:t> </w:t>
      </w:r>
      <w:r>
        <w:rPr>
          <w:color w:val="231F20"/>
        </w:rPr>
        <w:t>– с обзиром на то да се грађевинске парцеле формирају за потребе</w:t>
      </w:r>
      <w:r>
        <w:rPr>
          <w:color w:val="231F20"/>
          <w:spacing w:val="-9"/>
        </w:rPr>
        <w:t> </w:t>
      </w:r>
      <w:r>
        <w:rPr>
          <w:color w:val="231F20"/>
        </w:rPr>
        <w:t>изградње</w:t>
      </w:r>
      <w:r>
        <w:rPr>
          <w:color w:val="231F20"/>
          <w:spacing w:val="-9"/>
        </w:rPr>
        <w:t> </w:t>
      </w:r>
      <w:r>
        <w:rPr>
          <w:color w:val="231F20"/>
        </w:rPr>
        <w:t>инфраструктурних</w:t>
      </w:r>
      <w:r>
        <w:rPr>
          <w:color w:val="231F20"/>
          <w:spacing w:val="-9"/>
        </w:rPr>
        <w:t> </w:t>
      </w:r>
      <w:r>
        <w:rPr>
          <w:color w:val="231F20"/>
        </w:rPr>
        <w:t>објеката</w:t>
      </w:r>
      <w:r>
        <w:rPr>
          <w:color w:val="231F20"/>
          <w:spacing w:val="-9"/>
        </w:rPr>
        <w:t> </w:t>
      </w:r>
      <w:r>
        <w:rPr>
          <w:color w:val="231F20"/>
        </w:rPr>
        <w:t>није</w:t>
      </w:r>
      <w:r>
        <w:rPr>
          <w:color w:val="231F20"/>
          <w:spacing w:val="-9"/>
        </w:rPr>
        <w:t> </w:t>
      </w:r>
      <w:r>
        <w:rPr>
          <w:color w:val="231F20"/>
        </w:rPr>
        <w:t>неопходна</w:t>
      </w:r>
      <w:r>
        <w:rPr>
          <w:color w:val="231F20"/>
          <w:spacing w:val="-9"/>
        </w:rPr>
        <w:t> </w:t>
      </w:r>
      <w:r>
        <w:rPr>
          <w:color w:val="231F20"/>
        </w:rPr>
        <w:t>пре- парцелација, односно, грађевинске парцеле се формирају из об- ухваћених целих катастарских парцела и из делова катастарских парцела утврђених на основу пројекта парцелације; новоформи- рани делови се уводе у евиденцију непокретности за односну ка- тастарску </w:t>
      </w:r>
      <w:r>
        <w:rPr>
          <w:color w:val="231F20"/>
          <w:spacing w:val="-3"/>
        </w:rPr>
        <w:t>општину, </w:t>
      </w:r>
      <w:r>
        <w:rPr>
          <w:color w:val="231F20"/>
        </w:rPr>
        <w:t>а на основу пројекта геодетског обележавања нови елементи се преносе на терен;</w:t>
      </w:r>
      <w:r>
        <w:rPr>
          <w:color w:val="231F20"/>
          <w:spacing w:val="-3"/>
        </w:rPr>
        <w:t> </w:t>
      </w:r>
      <w:r>
        <w:rPr>
          <w:color w:val="231F20"/>
        </w:rPr>
        <w:t>и</w:t>
      </w:r>
    </w:p>
    <w:p>
      <w:pPr>
        <w:pStyle w:val="BodyText"/>
        <w:spacing w:line="230" w:lineRule="auto" w:before="3"/>
        <w:ind w:left="171" w:right="410" w:firstLine="397"/>
      </w:pPr>
      <w:r>
        <w:rPr>
          <w:color w:val="231F20"/>
          <w:w w:val="66"/>
        </w:rPr>
        <w:t> </w:t>
      </w:r>
      <w:r>
        <w:rPr>
          <w:color w:val="231F20"/>
        </w:rPr>
        <w:t>– у случају да се нове парцеле формирају препарцелацијом на већем броју катастарских парцела у оквиру више катастарских општина, нова парцела се формира из делова, а препарцелација се спроводи за подручје сваке катастарске општине појединачно и именује и обележи нова катастарска парцела.</w:t>
      </w:r>
    </w:p>
    <w:p>
      <w:pPr>
        <w:pStyle w:val="BodyText"/>
        <w:spacing w:line="230" w:lineRule="auto" w:before="2"/>
        <w:ind w:left="171" w:right="410" w:firstLine="396"/>
      </w:pPr>
      <w:r>
        <w:rPr>
          <w:color w:val="231F20"/>
        </w:rPr>
        <w:t>По извршеној деоби катастарских парцела на појединачне земљишне честице, новоформиране парцеле се уводе у евиденци- ју непокретности по основу законом регулисане надлежности на одржавању и управљању на појединим инфраструктурним објек- тима и јавним површинама.</w:t>
      </w:r>
    </w:p>
    <w:p>
      <w:pPr>
        <w:spacing w:line="154" w:lineRule="exact" w:before="0"/>
        <w:ind w:left="170"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455" w:val="left" w:leader="none"/>
        </w:tabs>
        <w:spacing w:line="240" w:lineRule="auto" w:before="0" w:after="0"/>
        <w:ind w:left="454" w:right="411" w:hanging="284"/>
        <w:jc w:val="left"/>
        <w:rPr>
          <w:sz w:val="14"/>
        </w:rPr>
      </w:pPr>
      <w:r>
        <w:rPr>
          <w:color w:val="231F20"/>
          <w:sz w:val="14"/>
        </w:rPr>
        <w:t>Координате тачака на граници грађевинских парцела су оријентационе и морају се проверити приликом израде пројекта</w:t>
      </w:r>
      <w:r>
        <w:rPr>
          <w:color w:val="231F20"/>
          <w:spacing w:val="-4"/>
          <w:sz w:val="14"/>
        </w:rPr>
        <w:t> </w:t>
      </w:r>
      <w:r>
        <w:rPr>
          <w:color w:val="231F20"/>
          <w:sz w:val="14"/>
        </w:rPr>
        <w:t>парцелације.</w:t>
      </w:r>
    </w:p>
    <w:p>
      <w:pPr>
        <w:spacing w:after="0" w:line="240" w:lineRule="auto"/>
        <w:jc w:val="left"/>
        <w:rPr>
          <w:sz w:val="14"/>
        </w:rPr>
        <w:sectPr>
          <w:pgSz w:w="12480" w:h="15690"/>
          <w:pgMar w:top="120" w:bottom="280" w:left="680" w:right="720"/>
          <w:cols w:num="2" w:equalWidth="0">
            <w:col w:w="5315" w:space="71"/>
            <w:col w:w="5694"/>
          </w:cols>
        </w:sectPr>
      </w:pPr>
    </w:p>
    <w:p>
      <w:pPr>
        <w:pStyle w:val="BodyText"/>
        <w:spacing w:line="232" w:lineRule="auto" w:before="73"/>
        <w:ind w:left="453" w:firstLine="396"/>
      </w:pPr>
      <w:r>
        <w:rPr/>
        <w:pict>
          <v:line style="position:absolute;mso-position-horizontal-relative:page;mso-position-vertical-relative:page;z-index:4624" from="318.897614pt,11.942451pt" to="318.897614pt,748.950451pt" stroked="true" strokeweight=".6pt" strokecolor="#231f20">
            <v:stroke dashstyle="solid"/>
            <w10:wrap type="none"/>
          </v:line>
        </w:pict>
      </w:r>
      <w:r>
        <w:rPr>
          <w:color w:val="231F20"/>
        </w:rPr>
        <w:t>За</w:t>
      </w:r>
      <w:r>
        <w:rPr>
          <w:color w:val="231F20"/>
          <w:spacing w:val="-6"/>
        </w:rPr>
        <w:t> </w:t>
      </w:r>
      <w:r>
        <w:rPr>
          <w:color w:val="231F20"/>
        </w:rPr>
        <w:t>полагање</w:t>
      </w:r>
      <w:r>
        <w:rPr>
          <w:color w:val="231F20"/>
          <w:spacing w:val="-6"/>
        </w:rPr>
        <w:t> </w:t>
      </w:r>
      <w:r>
        <w:rPr>
          <w:color w:val="231F20"/>
          <w:spacing w:val="-3"/>
        </w:rPr>
        <w:t>преко</w:t>
      </w:r>
      <w:r>
        <w:rPr>
          <w:color w:val="231F20"/>
          <w:spacing w:val="-6"/>
        </w:rPr>
        <w:t> </w:t>
      </w:r>
      <w:r>
        <w:rPr>
          <w:color w:val="231F20"/>
          <w:spacing w:val="-5"/>
        </w:rPr>
        <w:t>водног,</w:t>
      </w:r>
      <w:r>
        <w:rPr>
          <w:color w:val="231F20"/>
          <w:spacing w:val="-6"/>
        </w:rPr>
        <w:t> </w:t>
      </w:r>
      <w:r>
        <w:rPr>
          <w:color w:val="231F20"/>
        </w:rPr>
        <w:t>шумског</w:t>
      </w:r>
      <w:r>
        <w:rPr>
          <w:color w:val="231F20"/>
          <w:spacing w:val="-6"/>
        </w:rPr>
        <w:t> </w:t>
      </w:r>
      <w:r>
        <w:rPr>
          <w:color w:val="231F20"/>
        </w:rPr>
        <w:t>или</w:t>
      </w:r>
      <w:r>
        <w:rPr>
          <w:color w:val="231F20"/>
          <w:spacing w:val="-6"/>
        </w:rPr>
        <w:t> </w:t>
      </w:r>
      <w:r>
        <w:rPr>
          <w:color w:val="231F20"/>
        </w:rPr>
        <w:t>јавног</w:t>
      </w:r>
      <w:r>
        <w:rPr>
          <w:color w:val="231F20"/>
          <w:spacing w:val="-6"/>
        </w:rPr>
        <w:t> </w:t>
      </w:r>
      <w:r>
        <w:rPr>
          <w:color w:val="231F20"/>
        </w:rPr>
        <w:t>путног</w:t>
      </w:r>
      <w:r>
        <w:rPr>
          <w:color w:val="231F20"/>
          <w:spacing w:val="-6"/>
        </w:rPr>
        <w:t> </w:t>
      </w:r>
      <w:r>
        <w:rPr>
          <w:color w:val="231F20"/>
        </w:rPr>
        <w:t>земљи- шта делова инфраструктурних мрежа и објеката техничке инфра- структуре, не формирају се грађевинске парцеле, а као доказ о решеним</w:t>
      </w:r>
      <w:r>
        <w:rPr>
          <w:color w:val="231F20"/>
          <w:spacing w:val="-6"/>
        </w:rPr>
        <w:t> </w:t>
      </w:r>
      <w:r>
        <w:rPr>
          <w:color w:val="231F20"/>
        </w:rPr>
        <w:t>имовинско-правним</w:t>
      </w:r>
      <w:r>
        <w:rPr>
          <w:color w:val="231F20"/>
          <w:spacing w:val="-6"/>
        </w:rPr>
        <w:t> </w:t>
      </w:r>
      <w:r>
        <w:rPr>
          <w:color w:val="231F20"/>
        </w:rPr>
        <w:t>односима</w:t>
      </w:r>
      <w:r>
        <w:rPr>
          <w:color w:val="231F20"/>
          <w:spacing w:val="-6"/>
        </w:rPr>
        <w:t> </w:t>
      </w:r>
      <w:r>
        <w:rPr>
          <w:color w:val="231F20"/>
        </w:rPr>
        <w:t>признаје</w:t>
      </w:r>
      <w:r>
        <w:rPr>
          <w:color w:val="231F20"/>
          <w:spacing w:val="-6"/>
        </w:rPr>
        <w:t> </w:t>
      </w:r>
      <w:r>
        <w:rPr>
          <w:color w:val="231F20"/>
        </w:rPr>
        <w:t>се</w:t>
      </w:r>
      <w:r>
        <w:rPr>
          <w:color w:val="231F20"/>
          <w:spacing w:val="-6"/>
        </w:rPr>
        <w:t> </w:t>
      </w:r>
      <w:r>
        <w:rPr>
          <w:color w:val="231F20"/>
        </w:rPr>
        <w:t>уговор</w:t>
      </w:r>
      <w:r>
        <w:rPr>
          <w:color w:val="231F20"/>
          <w:spacing w:val="-6"/>
        </w:rPr>
        <w:t> </w:t>
      </w:r>
      <w:r>
        <w:rPr>
          <w:color w:val="231F20"/>
        </w:rPr>
        <w:t>о</w:t>
      </w:r>
      <w:r>
        <w:rPr>
          <w:color w:val="231F20"/>
          <w:spacing w:val="-6"/>
        </w:rPr>
        <w:t> </w:t>
      </w:r>
      <w:r>
        <w:rPr>
          <w:color w:val="231F20"/>
        </w:rPr>
        <w:t>уста- новљавању права службености са јавним предузећем, односно </w:t>
      </w:r>
      <w:r>
        <w:rPr>
          <w:color w:val="231F20"/>
          <w:spacing w:val="-3"/>
        </w:rPr>
        <w:t>другом </w:t>
      </w:r>
      <w:r>
        <w:rPr>
          <w:color w:val="231F20"/>
        </w:rPr>
        <w:t>организацијом </w:t>
      </w:r>
      <w:r>
        <w:rPr>
          <w:color w:val="231F20"/>
          <w:spacing w:val="-3"/>
        </w:rPr>
        <w:t>које </w:t>
      </w:r>
      <w:r>
        <w:rPr>
          <w:color w:val="231F20"/>
        </w:rPr>
        <w:t>газдује водним, путним односно шум- ским земљиштем, у складу са посебним</w:t>
      </w:r>
      <w:r>
        <w:rPr>
          <w:color w:val="231F20"/>
          <w:spacing w:val="-6"/>
        </w:rPr>
        <w:t> </w:t>
      </w:r>
      <w:r>
        <w:rPr>
          <w:color w:val="231F20"/>
        </w:rPr>
        <w:t>законом.</w:t>
      </w:r>
    </w:p>
    <w:p>
      <w:pPr>
        <w:pStyle w:val="BodyText"/>
        <w:spacing w:line="232" w:lineRule="auto"/>
        <w:ind w:left="453" w:right="1" w:firstLine="396"/>
      </w:pPr>
      <w:r>
        <w:rPr>
          <w:color w:val="231F20"/>
        </w:rPr>
        <w:t>Извођење пољских и шумских путева, у случају да је прилаз појединим пољопривредним парцелама у својини физичких лица онемогућен или изразито отежан врши се у појасу непотпуне екс- пропријације.</w:t>
      </w:r>
    </w:p>
    <w:p>
      <w:pPr>
        <w:pStyle w:val="ListParagraph"/>
        <w:numPr>
          <w:ilvl w:val="2"/>
          <w:numId w:val="73"/>
        </w:numPr>
        <w:tabs>
          <w:tab w:pos="1159" w:val="left" w:leader="none"/>
        </w:tabs>
        <w:spacing w:line="402" w:lineRule="exact" w:before="10" w:after="0"/>
        <w:ind w:left="851" w:right="253" w:hanging="143"/>
        <w:jc w:val="left"/>
        <w:rPr>
          <w:sz w:val="18"/>
        </w:rPr>
      </w:pPr>
      <w:r>
        <w:rPr>
          <w:color w:val="231F20"/>
          <w:spacing w:val="16"/>
          <w:sz w:val="18"/>
        </w:rPr>
        <w:t>Правила уређења депоније </w:t>
      </w:r>
      <w:r>
        <w:rPr>
          <w:color w:val="231F20"/>
          <w:spacing w:val="15"/>
          <w:sz w:val="18"/>
        </w:rPr>
        <w:t>пепела </w:t>
      </w:r>
      <w:r>
        <w:rPr>
          <w:color w:val="231F20"/>
          <w:sz w:val="18"/>
        </w:rPr>
        <w:t>и </w:t>
      </w:r>
      <w:r>
        <w:rPr>
          <w:color w:val="231F20"/>
          <w:spacing w:val="15"/>
          <w:sz w:val="18"/>
        </w:rPr>
        <w:t>шљаке </w:t>
      </w:r>
      <w:r>
        <w:rPr>
          <w:color w:val="231F20"/>
          <w:spacing w:val="-3"/>
          <w:sz w:val="18"/>
        </w:rPr>
        <w:t>Под </w:t>
      </w:r>
      <w:r>
        <w:rPr>
          <w:color w:val="231F20"/>
          <w:sz w:val="18"/>
        </w:rPr>
        <w:t>уређењем депоније пепела и шљаке подразумева</w:t>
      </w:r>
      <w:r>
        <w:rPr>
          <w:color w:val="231F20"/>
          <w:spacing w:val="-21"/>
          <w:sz w:val="18"/>
        </w:rPr>
        <w:t> </w:t>
      </w:r>
      <w:r>
        <w:rPr>
          <w:color w:val="231F20"/>
          <w:sz w:val="18"/>
        </w:rPr>
        <w:t>се:</w:t>
      </w:r>
    </w:p>
    <w:p>
      <w:pPr>
        <w:pStyle w:val="BodyText"/>
        <w:spacing w:line="155" w:lineRule="exact"/>
        <w:ind w:left="851"/>
        <w:jc w:val="left"/>
      </w:pPr>
      <w:r>
        <w:rPr>
          <w:color w:val="231F20"/>
          <w:w w:val="66"/>
        </w:rPr>
        <w:t> </w:t>
      </w:r>
      <w:r>
        <w:rPr>
          <w:color w:val="231F20"/>
        </w:rPr>
        <w:t>– припрема локације са хидролошког и морфолошког аспек-</w:t>
      </w:r>
    </w:p>
    <w:p>
      <w:pPr>
        <w:pStyle w:val="BodyText"/>
        <w:spacing w:line="201" w:lineRule="exact"/>
        <w:ind w:left="454"/>
        <w:jc w:val="left"/>
      </w:pPr>
      <w:r>
        <w:rPr>
          <w:color w:val="231F20"/>
        </w:rPr>
        <w:t>та, уз примену хидрограђевинских мера;</w:t>
      </w:r>
    </w:p>
    <w:p>
      <w:pPr>
        <w:pStyle w:val="BodyText"/>
        <w:spacing w:line="232" w:lineRule="auto" w:before="2"/>
        <w:ind w:left="454" w:right="1" w:firstLine="397"/>
      </w:pPr>
      <w:r>
        <w:rPr>
          <w:color w:val="231F20"/>
          <w:w w:val="66"/>
        </w:rPr>
        <w:t> </w:t>
      </w:r>
      <w:r>
        <w:rPr>
          <w:color w:val="231F20"/>
        </w:rPr>
        <w:t>– полагање цеви на адекватним ослонцима дуж дела трасе цевовода у уређеном инфраструктурном појасу у </w:t>
      </w:r>
      <w:r>
        <w:rPr>
          <w:color w:val="231F20"/>
          <w:spacing w:val="-4"/>
        </w:rPr>
        <w:t>коме </w:t>
      </w:r>
      <w:r>
        <w:rPr>
          <w:color w:val="231F20"/>
        </w:rPr>
        <w:t>су уз пепе- ловод</w:t>
      </w:r>
      <w:r>
        <w:rPr>
          <w:color w:val="231F20"/>
          <w:spacing w:val="-6"/>
        </w:rPr>
        <w:t> </w:t>
      </w:r>
      <w:r>
        <w:rPr>
          <w:color w:val="231F20"/>
        </w:rPr>
        <w:t>и</w:t>
      </w:r>
      <w:r>
        <w:rPr>
          <w:color w:val="231F20"/>
          <w:spacing w:val="-6"/>
        </w:rPr>
        <w:t> </w:t>
      </w:r>
      <w:r>
        <w:rPr>
          <w:color w:val="231F20"/>
        </w:rPr>
        <w:t>цевовод</w:t>
      </w:r>
      <w:r>
        <w:rPr>
          <w:color w:val="231F20"/>
          <w:spacing w:val="-6"/>
        </w:rPr>
        <w:t> </w:t>
      </w:r>
      <w:r>
        <w:rPr>
          <w:color w:val="231F20"/>
        </w:rPr>
        <w:t>повратне</w:t>
      </w:r>
      <w:r>
        <w:rPr>
          <w:color w:val="231F20"/>
          <w:spacing w:val="-6"/>
        </w:rPr>
        <w:t> </w:t>
      </w:r>
      <w:r>
        <w:rPr>
          <w:color w:val="231F20"/>
        </w:rPr>
        <w:t>воде</w:t>
      </w:r>
      <w:r>
        <w:rPr>
          <w:color w:val="231F20"/>
          <w:spacing w:val="-6"/>
        </w:rPr>
        <w:t> </w:t>
      </w:r>
      <w:r>
        <w:rPr>
          <w:color w:val="231F20"/>
        </w:rPr>
        <w:t>груписани</w:t>
      </w:r>
      <w:r>
        <w:rPr>
          <w:color w:val="231F20"/>
          <w:spacing w:val="-6"/>
        </w:rPr>
        <w:t> </w:t>
      </w:r>
      <w:r>
        <w:rPr>
          <w:color w:val="231F20"/>
        </w:rPr>
        <w:t>други</w:t>
      </w:r>
      <w:r>
        <w:rPr>
          <w:color w:val="231F20"/>
          <w:spacing w:val="-6"/>
        </w:rPr>
        <w:t> </w:t>
      </w:r>
      <w:r>
        <w:rPr>
          <w:color w:val="231F20"/>
        </w:rPr>
        <w:t>системи</w:t>
      </w:r>
      <w:r>
        <w:rPr>
          <w:color w:val="231F20"/>
          <w:spacing w:val="-6"/>
        </w:rPr>
        <w:t> </w:t>
      </w:r>
      <w:r>
        <w:rPr>
          <w:color w:val="231F20"/>
        </w:rPr>
        <w:t>техничке инфраструктуре;</w:t>
      </w:r>
    </w:p>
    <w:p>
      <w:pPr>
        <w:pStyle w:val="BodyText"/>
        <w:spacing w:line="232" w:lineRule="auto"/>
        <w:ind w:left="454" w:right="1" w:firstLine="396"/>
      </w:pPr>
      <w:r>
        <w:rPr>
          <w:color w:val="231F20"/>
          <w:w w:val="66"/>
        </w:rPr>
        <w:t> </w:t>
      </w:r>
      <w:r>
        <w:rPr>
          <w:color w:val="231F20"/>
        </w:rPr>
        <w:t>– формирање одлагалишта у зависности </w:t>
      </w:r>
      <w:r>
        <w:rPr>
          <w:color w:val="231F20"/>
          <w:spacing w:val="-3"/>
        </w:rPr>
        <w:t>од </w:t>
      </w:r>
      <w:r>
        <w:rPr>
          <w:color w:val="231F20"/>
        </w:rPr>
        <w:t>динамике и</w:t>
      </w:r>
      <w:r>
        <w:rPr>
          <w:color w:val="231F20"/>
          <w:spacing w:val="-25"/>
        </w:rPr>
        <w:t> </w:t>
      </w:r>
      <w:r>
        <w:rPr>
          <w:color w:val="231F20"/>
        </w:rPr>
        <w:t>изво- ра продукције пепела и шљаке, техничка рекултивација до завр- шног изгледа, одводњавање и</w:t>
      </w:r>
      <w:r>
        <w:rPr>
          <w:color w:val="231F20"/>
          <w:spacing w:val="-7"/>
        </w:rPr>
        <w:t> </w:t>
      </w:r>
      <w:r>
        <w:rPr>
          <w:color w:val="231F20"/>
        </w:rPr>
        <w:t>друго.</w:t>
      </w:r>
    </w:p>
    <w:p>
      <w:pPr>
        <w:pStyle w:val="BodyText"/>
        <w:spacing w:line="232" w:lineRule="auto"/>
        <w:ind w:left="454" w:right="1" w:firstLine="396"/>
        <w:jc w:val="right"/>
      </w:pPr>
      <w:r>
        <w:rPr>
          <w:color w:val="231F20"/>
        </w:rPr>
        <w:t>Одбрана депоније од вода врши се преко система дренажа постављених уз ивице насипа депоније и помоћу ободних канала. Уређење простора предвиђеног за одлагање пепела (касете депоније) подразумева равнање површине одлагалишта (односно ублажавање косина етажа) које је последица технологије рада од- лагача, као и равнање етажа откопног фронта под углом од 14°, у првој фази до коте 60 mнм, а потом до коте 92 mнм. Пошто је за- вршено одлагање у зони касете за пепео, потребно је испланирати терен тако да се припреми за полагање фолије и одлагање пепела. Услови за полагање фолије су равнање и планирање површи-</w:t>
      </w:r>
    </w:p>
    <w:p>
      <w:pPr>
        <w:pStyle w:val="BodyText"/>
        <w:spacing w:line="232" w:lineRule="auto"/>
        <w:ind w:left="455" w:hanging="1"/>
      </w:pPr>
      <w:r>
        <w:rPr>
          <w:color w:val="231F20"/>
        </w:rPr>
        <w:t>не одлагалишта тако да се задржи или ублажи постојећи угао од- лагања као и да се онемогући стварање депресија у којима би се евентуално скупљала вода.</w:t>
      </w:r>
    </w:p>
    <w:p>
      <w:pPr>
        <w:pStyle w:val="BodyText"/>
        <w:spacing w:line="232" w:lineRule="auto"/>
        <w:ind w:left="455" w:firstLine="397"/>
      </w:pPr>
      <w:r>
        <w:rPr>
          <w:color w:val="231F20"/>
        </w:rPr>
        <w:t>Радовe на планирању пројектовати тако да су масе које је потребно „скинути” једнаке насутим масама, односно да нема до- датног транспорта маса ван одлагалишта, чиме је избегнуто фор- мирање нових депонија, а и знатно смањење трошкова уређења простора.</w:t>
      </w:r>
    </w:p>
    <w:p>
      <w:pPr>
        <w:pStyle w:val="BodyText"/>
        <w:spacing w:line="232" w:lineRule="auto"/>
        <w:ind w:left="455" w:firstLine="397"/>
      </w:pPr>
      <w:r>
        <w:rPr>
          <w:color w:val="231F20"/>
        </w:rPr>
        <w:t>Експлоатација депоније почиње депоновањем густе хидро- мешавине пепела и шљаке у касету 2 која је удаљенија од термое- лектране. Депоновање се може започети тек након изградње пре- градног насипа са котом круне на 55 mнм.</w:t>
      </w:r>
    </w:p>
    <w:p>
      <w:pPr>
        <w:pStyle w:val="BodyText"/>
        <w:spacing w:line="232" w:lineRule="auto"/>
        <w:ind w:left="455" w:firstLine="396"/>
      </w:pPr>
      <w:r>
        <w:rPr>
          <w:color w:val="231F20"/>
        </w:rPr>
        <w:t>Густа хидромешавина </w:t>
      </w:r>
      <w:r>
        <w:rPr>
          <w:color w:val="231F20"/>
          <w:spacing w:val="-3"/>
        </w:rPr>
        <w:t>заузима </w:t>
      </w:r>
      <w:r>
        <w:rPr>
          <w:color w:val="231F20"/>
        </w:rPr>
        <w:t>акумулациони простор </w:t>
      </w:r>
      <w:r>
        <w:rPr>
          <w:color w:val="231F20"/>
          <w:spacing w:val="-3"/>
        </w:rPr>
        <w:t>тако </w:t>
      </w:r>
      <w:r>
        <w:rPr>
          <w:color w:val="231F20"/>
        </w:rPr>
        <w:t>што</w:t>
      </w:r>
      <w:r>
        <w:rPr>
          <w:color w:val="231F20"/>
          <w:spacing w:val="-6"/>
        </w:rPr>
        <w:t> </w:t>
      </w:r>
      <w:r>
        <w:rPr>
          <w:color w:val="231F20"/>
        </w:rPr>
        <w:t>се:</w:t>
      </w:r>
      <w:r>
        <w:rPr>
          <w:color w:val="231F20"/>
          <w:spacing w:val="-6"/>
        </w:rPr>
        <w:t> </w:t>
      </w:r>
      <w:r>
        <w:rPr>
          <w:color w:val="231F20"/>
        </w:rPr>
        <w:t>депоновање</w:t>
      </w:r>
      <w:r>
        <w:rPr>
          <w:color w:val="231F20"/>
          <w:spacing w:val="-7"/>
        </w:rPr>
        <w:t> </w:t>
      </w:r>
      <w:r>
        <w:rPr>
          <w:color w:val="231F20"/>
        </w:rPr>
        <w:t>врши</w:t>
      </w:r>
      <w:r>
        <w:rPr>
          <w:color w:val="231F20"/>
          <w:spacing w:val="-6"/>
        </w:rPr>
        <w:t> </w:t>
      </w:r>
      <w:r>
        <w:rPr>
          <w:color w:val="231F20"/>
        </w:rPr>
        <w:t>са</w:t>
      </w:r>
      <w:r>
        <w:rPr>
          <w:color w:val="231F20"/>
          <w:spacing w:val="-6"/>
        </w:rPr>
        <w:t> </w:t>
      </w:r>
      <w:r>
        <w:rPr>
          <w:color w:val="231F20"/>
        </w:rPr>
        <w:t>круне</w:t>
      </w:r>
      <w:r>
        <w:rPr>
          <w:color w:val="231F20"/>
          <w:spacing w:val="-7"/>
        </w:rPr>
        <w:t> </w:t>
      </w:r>
      <w:r>
        <w:rPr>
          <w:color w:val="231F20"/>
        </w:rPr>
        <w:t>насипа,</w:t>
      </w:r>
      <w:r>
        <w:rPr>
          <w:color w:val="231F20"/>
          <w:spacing w:val="-7"/>
        </w:rPr>
        <w:t> </w:t>
      </w:r>
      <w:r>
        <w:rPr>
          <w:color w:val="231F20"/>
        </w:rPr>
        <w:t>па</w:t>
      </w:r>
      <w:r>
        <w:rPr>
          <w:color w:val="231F20"/>
          <w:spacing w:val="-7"/>
        </w:rPr>
        <w:t> </w:t>
      </w:r>
      <w:r>
        <w:rPr>
          <w:color w:val="231F20"/>
        </w:rPr>
        <w:t>ће</w:t>
      </w:r>
      <w:r>
        <w:rPr>
          <w:color w:val="231F20"/>
          <w:spacing w:val="-6"/>
        </w:rPr>
        <w:t> </w:t>
      </w:r>
      <w:r>
        <w:rPr>
          <w:color w:val="231F20"/>
        </w:rPr>
        <w:t>депоновани</w:t>
      </w:r>
      <w:r>
        <w:rPr>
          <w:color w:val="231F20"/>
          <w:spacing w:val="-7"/>
        </w:rPr>
        <w:t> </w:t>
      </w:r>
      <w:r>
        <w:rPr>
          <w:color w:val="231F20"/>
        </w:rPr>
        <w:t>мате- ријал градити пад </w:t>
      </w:r>
      <w:r>
        <w:rPr>
          <w:color w:val="231F20"/>
          <w:spacing w:val="-3"/>
        </w:rPr>
        <w:t>од </w:t>
      </w:r>
      <w:r>
        <w:rPr>
          <w:color w:val="231F20"/>
        </w:rPr>
        <w:t>насипа ка центру</w:t>
      </w:r>
      <w:r>
        <w:rPr>
          <w:color w:val="231F20"/>
          <w:spacing w:val="-4"/>
        </w:rPr>
        <w:t> </w:t>
      </w:r>
      <w:r>
        <w:rPr>
          <w:color w:val="231F20"/>
        </w:rPr>
        <w:t>депоније.</w:t>
      </w:r>
    </w:p>
    <w:p>
      <w:pPr>
        <w:pStyle w:val="BodyText"/>
        <w:spacing w:line="232" w:lineRule="auto"/>
        <w:ind w:left="455" w:right="1" w:firstLine="396"/>
      </w:pPr>
      <w:r>
        <w:rPr>
          <w:color w:val="231F20"/>
          <w:spacing w:val="-4"/>
        </w:rPr>
        <w:t>Како </w:t>
      </w:r>
      <w:r>
        <w:rPr>
          <w:color w:val="231F20"/>
        </w:rPr>
        <w:t>би се акумулациони простор равномерно запуњавао неопходно</w:t>
      </w:r>
      <w:r>
        <w:rPr>
          <w:color w:val="231F20"/>
          <w:spacing w:val="-4"/>
        </w:rPr>
        <w:t> </w:t>
      </w:r>
      <w:r>
        <w:rPr>
          <w:color w:val="231F20"/>
        </w:rPr>
        <w:t>је</w:t>
      </w:r>
      <w:r>
        <w:rPr>
          <w:color w:val="231F20"/>
          <w:spacing w:val="-4"/>
        </w:rPr>
        <w:t> </w:t>
      </w:r>
      <w:r>
        <w:rPr>
          <w:color w:val="231F20"/>
        </w:rPr>
        <w:t>повремено,</w:t>
      </w:r>
      <w:r>
        <w:rPr>
          <w:color w:val="231F20"/>
          <w:spacing w:val="-4"/>
        </w:rPr>
        <w:t> </w:t>
      </w:r>
      <w:r>
        <w:rPr>
          <w:color w:val="231F20"/>
        </w:rPr>
        <w:t>по</w:t>
      </w:r>
      <w:r>
        <w:rPr>
          <w:color w:val="231F20"/>
          <w:spacing w:val="-4"/>
        </w:rPr>
        <w:t> </w:t>
      </w:r>
      <w:r>
        <w:rPr>
          <w:color w:val="231F20"/>
        </w:rPr>
        <w:t>потреби</w:t>
      </w:r>
      <w:r>
        <w:rPr>
          <w:color w:val="231F20"/>
          <w:spacing w:val="-4"/>
        </w:rPr>
        <w:t> </w:t>
      </w:r>
      <w:r>
        <w:rPr>
          <w:color w:val="231F20"/>
        </w:rPr>
        <w:t>и</w:t>
      </w:r>
      <w:r>
        <w:rPr>
          <w:color w:val="231F20"/>
          <w:spacing w:val="-4"/>
        </w:rPr>
        <w:t> </w:t>
      </w:r>
      <w:r>
        <w:rPr>
          <w:color w:val="231F20"/>
        </w:rPr>
        <w:t>када</w:t>
      </w:r>
      <w:r>
        <w:rPr>
          <w:color w:val="231F20"/>
          <w:spacing w:val="-4"/>
        </w:rPr>
        <w:t> </w:t>
      </w:r>
      <w:r>
        <w:rPr>
          <w:color w:val="231F20"/>
        </w:rPr>
        <w:t>се</w:t>
      </w:r>
      <w:r>
        <w:rPr>
          <w:color w:val="231F20"/>
          <w:spacing w:val="-4"/>
        </w:rPr>
        <w:t> </w:t>
      </w:r>
      <w:r>
        <w:rPr>
          <w:color w:val="231F20"/>
        </w:rPr>
        <w:t>стекну</w:t>
      </w:r>
      <w:r>
        <w:rPr>
          <w:color w:val="231F20"/>
          <w:spacing w:val="-4"/>
        </w:rPr>
        <w:t> </w:t>
      </w:r>
      <w:r>
        <w:rPr>
          <w:color w:val="231F20"/>
        </w:rPr>
        <w:t>услови</w:t>
      </w:r>
      <w:r>
        <w:rPr>
          <w:color w:val="231F20"/>
          <w:spacing w:val="-4"/>
        </w:rPr>
        <w:t> </w:t>
      </w:r>
      <w:r>
        <w:rPr>
          <w:color w:val="231F20"/>
        </w:rPr>
        <w:t>за</w:t>
      </w:r>
      <w:r>
        <w:rPr>
          <w:color w:val="231F20"/>
          <w:spacing w:val="-4"/>
        </w:rPr>
        <w:t> </w:t>
      </w:r>
      <w:r>
        <w:rPr>
          <w:color w:val="231F20"/>
        </w:rPr>
        <w:t>то, мењати место истакања на активној</w:t>
      </w:r>
      <w:r>
        <w:rPr>
          <w:color w:val="231F20"/>
          <w:spacing w:val="-6"/>
        </w:rPr>
        <w:t> </w:t>
      </w:r>
      <w:r>
        <w:rPr>
          <w:color w:val="231F20"/>
        </w:rPr>
        <w:t>касети.</w:t>
      </w:r>
    </w:p>
    <w:p>
      <w:pPr>
        <w:pStyle w:val="BodyText"/>
        <w:spacing w:line="232" w:lineRule="auto"/>
        <w:ind w:left="383" w:firstLine="396"/>
        <w:jc w:val="right"/>
      </w:pPr>
      <w:r>
        <w:rPr>
          <w:color w:val="231F20"/>
        </w:rPr>
        <w:t>По запуњавању акумулационог простора на једној касети, на одређеној висини круне насипа, прелази се на депоновање у другу касету са припремљеним насипима, док се одложена маса пепе- ла и шљаке користи за изградњу насипа на запуњеној касети, уз помоћ грађевинске механизације. Након запуњавања касете 2, са котом круне преградног насипа од 55 mнм, прелази се на касету 1. Након ове фазе наставља се са надградњом преградног и ободних насипа са грађевинском механизацијом од депонованог материјала из акумулације. У периоду када је активна касета 1, ка- да се у њу депонује до коте 55 mнм, из касете 2 се гради преградни</w:t>
      </w:r>
    </w:p>
    <w:p>
      <w:pPr>
        <w:pStyle w:val="BodyText"/>
        <w:spacing w:line="198" w:lineRule="exact"/>
        <w:ind w:left="455"/>
        <w:jc w:val="left"/>
      </w:pPr>
      <w:r>
        <w:rPr>
          <w:color w:val="231F20"/>
        </w:rPr>
        <w:t>насип са круном на 58 mнм.</w:t>
      </w:r>
    </w:p>
    <w:p>
      <w:pPr>
        <w:pStyle w:val="BodyText"/>
        <w:spacing w:line="232" w:lineRule="auto"/>
        <w:ind w:left="455" w:firstLine="397"/>
      </w:pPr>
      <w:r>
        <w:rPr>
          <w:color w:val="231F20"/>
        </w:rPr>
        <w:t>На депонији пепела на простору </w:t>
      </w:r>
      <w:r>
        <w:rPr>
          <w:color w:val="231F20"/>
          <w:spacing w:val="-3"/>
        </w:rPr>
        <w:t>копа „Ћириковац”, </w:t>
      </w:r>
      <w:r>
        <w:rPr>
          <w:color w:val="231F20"/>
        </w:rPr>
        <w:t>поста- вљена је у току припремних радова водонепропусна фолија, </w:t>
      </w:r>
      <w:r>
        <w:rPr>
          <w:color w:val="231F20"/>
          <w:spacing w:val="-3"/>
        </w:rPr>
        <w:t>која </w:t>
      </w:r>
      <w:r>
        <w:rPr>
          <w:color w:val="231F20"/>
        </w:rPr>
        <w:t>ће</w:t>
      </w:r>
      <w:r>
        <w:rPr>
          <w:color w:val="231F20"/>
          <w:spacing w:val="-6"/>
        </w:rPr>
        <w:t> </w:t>
      </w:r>
      <w:r>
        <w:rPr>
          <w:color w:val="231F20"/>
        </w:rPr>
        <w:t>у</w:t>
      </w:r>
      <w:r>
        <w:rPr>
          <w:color w:val="231F20"/>
          <w:spacing w:val="-6"/>
        </w:rPr>
        <w:t> </w:t>
      </w:r>
      <w:r>
        <w:rPr>
          <w:color w:val="231F20"/>
        </w:rPr>
        <w:t>потпуности</w:t>
      </w:r>
      <w:r>
        <w:rPr>
          <w:color w:val="231F20"/>
          <w:spacing w:val="-6"/>
        </w:rPr>
        <w:t> </w:t>
      </w:r>
      <w:r>
        <w:rPr>
          <w:color w:val="231F20"/>
        </w:rPr>
        <w:t>спречити</w:t>
      </w:r>
      <w:r>
        <w:rPr>
          <w:color w:val="231F20"/>
          <w:spacing w:val="-6"/>
        </w:rPr>
        <w:t> </w:t>
      </w:r>
      <w:r>
        <w:rPr>
          <w:color w:val="231F20"/>
        </w:rPr>
        <w:t>загађење</w:t>
      </w:r>
      <w:r>
        <w:rPr>
          <w:color w:val="231F20"/>
          <w:spacing w:val="-6"/>
        </w:rPr>
        <w:t> </w:t>
      </w:r>
      <w:r>
        <w:rPr>
          <w:color w:val="231F20"/>
        </w:rPr>
        <w:t>земљишта</w:t>
      </w:r>
      <w:r>
        <w:rPr>
          <w:color w:val="231F20"/>
          <w:spacing w:val="-6"/>
        </w:rPr>
        <w:t> </w:t>
      </w:r>
      <w:r>
        <w:rPr>
          <w:color w:val="231F20"/>
        </w:rPr>
        <w:t>и</w:t>
      </w:r>
      <w:r>
        <w:rPr>
          <w:color w:val="231F20"/>
          <w:spacing w:val="-6"/>
        </w:rPr>
        <w:t> </w:t>
      </w:r>
      <w:r>
        <w:rPr>
          <w:color w:val="231F20"/>
        </w:rPr>
        <w:t>подземних</w:t>
      </w:r>
      <w:r>
        <w:rPr>
          <w:color w:val="231F20"/>
          <w:spacing w:val="-6"/>
        </w:rPr>
        <w:t> </w:t>
      </w:r>
      <w:r>
        <w:rPr>
          <w:color w:val="231F20"/>
        </w:rPr>
        <w:t>вода,</w:t>
      </w:r>
      <w:r>
        <w:rPr>
          <w:color w:val="231F20"/>
          <w:spacing w:val="-6"/>
        </w:rPr>
        <w:t> </w:t>
      </w:r>
      <w:r>
        <w:rPr>
          <w:color w:val="231F20"/>
        </w:rPr>
        <w:t>а површина</w:t>
      </w:r>
      <w:r>
        <w:rPr>
          <w:color w:val="231F20"/>
          <w:spacing w:val="-7"/>
        </w:rPr>
        <w:t> </w:t>
      </w:r>
      <w:r>
        <w:rPr>
          <w:color w:val="231F20"/>
        </w:rPr>
        <w:t>на</w:t>
      </w:r>
      <w:r>
        <w:rPr>
          <w:color w:val="231F20"/>
          <w:spacing w:val="-7"/>
        </w:rPr>
        <w:t> </w:t>
      </w:r>
      <w:r>
        <w:rPr>
          <w:color w:val="231F20"/>
        </w:rPr>
        <w:t>којој</w:t>
      </w:r>
      <w:r>
        <w:rPr>
          <w:color w:val="231F20"/>
          <w:spacing w:val="-7"/>
        </w:rPr>
        <w:t> </w:t>
      </w:r>
      <w:r>
        <w:rPr>
          <w:color w:val="231F20"/>
        </w:rPr>
        <w:t>је</w:t>
      </w:r>
      <w:r>
        <w:rPr>
          <w:color w:val="231F20"/>
          <w:spacing w:val="-7"/>
        </w:rPr>
        <w:t> </w:t>
      </w:r>
      <w:r>
        <w:rPr>
          <w:color w:val="231F20"/>
        </w:rPr>
        <w:t>фолија</w:t>
      </w:r>
      <w:r>
        <w:rPr>
          <w:color w:val="231F20"/>
          <w:spacing w:val="-7"/>
        </w:rPr>
        <w:t> </w:t>
      </w:r>
      <w:r>
        <w:rPr>
          <w:color w:val="231F20"/>
        </w:rPr>
        <w:t>постављена</w:t>
      </w:r>
      <w:r>
        <w:rPr>
          <w:color w:val="231F20"/>
          <w:spacing w:val="-7"/>
        </w:rPr>
        <w:t> </w:t>
      </w:r>
      <w:r>
        <w:rPr>
          <w:color w:val="231F20"/>
        </w:rPr>
        <w:t>довољна</w:t>
      </w:r>
      <w:r>
        <w:rPr>
          <w:color w:val="231F20"/>
          <w:spacing w:val="-7"/>
        </w:rPr>
        <w:t> </w:t>
      </w:r>
      <w:r>
        <w:rPr>
          <w:color w:val="231F20"/>
        </w:rPr>
        <w:t>је</w:t>
      </w:r>
      <w:r>
        <w:rPr>
          <w:color w:val="231F20"/>
          <w:spacing w:val="-7"/>
        </w:rPr>
        <w:t> </w:t>
      </w:r>
      <w:r>
        <w:rPr>
          <w:color w:val="231F20"/>
        </w:rPr>
        <w:t>за</w:t>
      </w:r>
      <w:r>
        <w:rPr>
          <w:color w:val="231F20"/>
          <w:spacing w:val="-7"/>
        </w:rPr>
        <w:t> </w:t>
      </w:r>
      <w:r>
        <w:rPr>
          <w:color w:val="231F20"/>
        </w:rPr>
        <w:t>годину</w:t>
      </w:r>
      <w:r>
        <w:rPr>
          <w:color w:val="231F20"/>
          <w:spacing w:val="-7"/>
        </w:rPr>
        <w:t> </w:t>
      </w:r>
      <w:r>
        <w:rPr>
          <w:color w:val="231F20"/>
        </w:rPr>
        <w:t>дана одлагања.</w:t>
      </w:r>
    </w:p>
    <w:p>
      <w:pPr>
        <w:pStyle w:val="BodyText"/>
        <w:spacing w:line="232" w:lineRule="auto"/>
        <w:ind w:left="454" w:right="1" w:firstLine="397"/>
      </w:pPr>
      <w:r>
        <w:rPr>
          <w:color w:val="231F20"/>
        </w:rPr>
        <w:t>Постављање фолије ће се наставити док не </w:t>
      </w:r>
      <w:r>
        <w:rPr>
          <w:color w:val="231F20"/>
          <w:spacing w:val="-5"/>
        </w:rPr>
        <w:t>буде </w:t>
      </w:r>
      <w:r>
        <w:rPr>
          <w:color w:val="231F20"/>
        </w:rPr>
        <w:t>покривена укупна површина депоније </w:t>
      </w:r>
      <w:r>
        <w:rPr>
          <w:color w:val="231F20"/>
          <w:spacing w:val="-3"/>
        </w:rPr>
        <w:t>од </w:t>
      </w:r>
      <w:r>
        <w:rPr>
          <w:color w:val="231F20"/>
          <w:spacing w:val="-4"/>
        </w:rPr>
        <w:t>око </w:t>
      </w:r>
      <w:r>
        <w:rPr>
          <w:color w:val="231F20"/>
        </w:rPr>
        <w:t>138 ha, што ће бити довољан простор за одлагање пепела у наредних петнаестак година, </w:t>
      </w:r>
      <w:r>
        <w:rPr>
          <w:color w:val="231F20"/>
          <w:spacing w:val="-4"/>
        </w:rPr>
        <w:t>ако   </w:t>
      </w:r>
      <w:r>
        <w:rPr>
          <w:color w:val="231F20"/>
        </w:rPr>
        <w:t>се рачуна продукција пепела из обе термоелектране, </w:t>
      </w:r>
      <w:r>
        <w:rPr>
          <w:color w:val="231F20"/>
          <w:spacing w:val="-3"/>
        </w:rPr>
        <w:t>тако </w:t>
      </w:r>
      <w:r>
        <w:rPr>
          <w:color w:val="231F20"/>
        </w:rPr>
        <w:t>да је у </w:t>
      </w:r>
      <w:r>
        <w:rPr>
          <w:color w:val="231F20"/>
          <w:spacing w:val="-3"/>
        </w:rPr>
        <w:t>планском </w:t>
      </w:r>
      <w:r>
        <w:rPr>
          <w:color w:val="231F20"/>
        </w:rPr>
        <w:t>периоду могуће одлагање пепела из постојећих </w:t>
      </w:r>
      <w:r>
        <w:rPr>
          <w:color w:val="231F20"/>
          <w:spacing w:val="-3"/>
        </w:rPr>
        <w:t>блокова </w:t>
      </w:r>
      <w:r>
        <w:rPr>
          <w:color w:val="231F20"/>
        </w:rPr>
        <w:t>искључиво у </w:t>
      </w:r>
      <w:r>
        <w:rPr>
          <w:color w:val="231F20"/>
          <w:spacing w:val="-3"/>
        </w:rPr>
        <w:t>ову</w:t>
      </w:r>
      <w:r>
        <w:rPr>
          <w:color w:val="231F20"/>
        </w:rPr>
        <w:t> </w:t>
      </w:r>
      <w:r>
        <w:rPr>
          <w:color w:val="231F20"/>
          <w:spacing w:val="-3"/>
        </w:rPr>
        <w:t>депонију.</w:t>
      </w:r>
    </w:p>
    <w:p>
      <w:pPr>
        <w:pStyle w:val="ListParagraph"/>
        <w:numPr>
          <w:ilvl w:val="2"/>
          <w:numId w:val="73"/>
        </w:numPr>
        <w:tabs>
          <w:tab w:pos="1160" w:val="left" w:leader="none"/>
        </w:tabs>
        <w:spacing w:line="232" w:lineRule="auto" w:before="78" w:after="0"/>
        <w:ind w:left="1391" w:right="594" w:hanging="682"/>
        <w:jc w:val="left"/>
        <w:rPr>
          <w:sz w:val="18"/>
        </w:rPr>
      </w:pPr>
      <w:r>
        <w:rPr>
          <w:color w:val="231F20"/>
          <w:spacing w:val="20"/>
          <w:sz w:val="18"/>
        </w:rPr>
        <w:br w:type="column"/>
      </w:r>
      <w:r>
        <w:rPr>
          <w:color w:val="231F20"/>
          <w:spacing w:val="16"/>
          <w:sz w:val="18"/>
        </w:rPr>
        <w:t>Правила изградње </w:t>
      </w:r>
      <w:r>
        <w:rPr>
          <w:color w:val="231F20"/>
          <w:sz w:val="18"/>
        </w:rPr>
        <w:t>и </w:t>
      </w:r>
      <w:r>
        <w:rPr>
          <w:color w:val="231F20"/>
          <w:spacing w:val="16"/>
          <w:sz w:val="18"/>
        </w:rPr>
        <w:t>уређења </w:t>
      </w:r>
      <w:r>
        <w:rPr>
          <w:color w:val="231F20"/>
          <w:spacing w:val="15"/>
          <w:sz w:val="18"/>
        </w:rPr>
        <w:t>коридора </w:t>
      </w:r>
      <w:r>
        <w:rPr>
          <w:color w:val="231F20"/>
          <w:spacing w:val="10"/>
          <w:sz w:val="18"/>
        </w:rPr>
        <w:t>за </w:t>
      </w:r>
      <w:r>
        <w:rPr>
          <w:color w:val="231F20"/>
          <w:sz w:val="18"/>
        </w:rPr>
        <w:t>т </w:t>
      </w:r>
      <w:r>
        <w:rPr>
          <w:color w:val="231F20"/>
          <w:spacing w:val="16"/>
          <w:sz w:val="18"/>
        </w:rPr>
        <w:t>ранспорт </w:t>
      </w:r>
      <w:r>
        <w:rPr>
          <w:color w:val="231F20"/>
          <w:spacing w:val="15"/>
          <w:sz w:val="18"/>
        </w:rPr>
        <w:t>пепела </w:t>
      </w:r>
      <w:r>
        <w:rPr>
          <w:color w:val="231F20"/>
          <w:sz w:val="18"/>
        </w:rPr>
        <w:t>и</w:t>
      </w:r>
      <w:r>
        <w:rPr>
          <w:color w:val="231F20"/>
          <w:spacing w:val="15"/>
          <w:sz w:val="18"/>
        </w:rPr>
        <w:t> шљаке</w:t>
      </w:r>
    </w:p>
    <w:p>
      <w:pPr>
        <w:pStyle w:val="BodyText"/>
        <w:spacing w:before="6"/>
        <w:ind w:left="0"/>
        <w:jc w:val="left"/>
        <w:rPr>
          <w:sz w:val="17"/>
        </w:rPr>
      </w:pPr>
    </w:p>
    <w:p>
      <w:pPr>
        <w:pStyle w:val="BodyText"/>
        <w:spacing w:line="235" w:lineRule="auto"/>
        <w:ind w:left="241" w:right="127" w:firstLine="397"/>
      </w:pPr>
      <w:r>
        <w:rPr>
          <w:color w:val="231F20"/>
        </w:rPr>
        <w:t>Изградња носеће конструкције за ослањање цевовода за хи- дралички транспорт гипса и монтажа цевовода планира се у окви- ру коридора за транспорт пепела и шљаке до депоније. Коридор се утврђује према следећим правилима урбанистичке</w:t>
      </w:r>
      <w:r>
        <w:rPr>
          <w:color w:val="231F20"/>
          <w:spacing w:val="-25"/>
        </w:rPr>
        <w:t> </w:t>
      </w:r>
      <w:r>
        <w:rPr>
          <w:color w:val="231F20"/>
        </w:rPr>
        <w:t>регулације:</w:t>
      </w:r>
    </w:p>
    <w:p>
      <w:pPr>
        <w:pStyle w:val="ListParagraph"/>
        <w:numPr>
          <w:ilvl w:val="0"/>
          <w:numId w:val="74"/>
        </w:numPr>
        <w:tabs>
          <w:tab w:pos="844" w:val="left" w:leader="none"/>
        </w:tabs>
        <w:spacing w:line="202" w:lineRule="exact" w:before="0" w:after="0"/>
        <w:ind w:left="241" w:right="0" w:firstLine="397"/>
        <w:jc w:val="left"/>
        <w:rPr>
          <w:sz w:val="18"/>
        </w:rPr>
      </w:pPr>
      <w:r>
        <w:rPr>
          <w:color w:val="231F20"/>
          <w:sz w:val="18"/>
        </w:rPr>
        <w:t>на</w:t>
      </w:r>
      <w:r>
        <w:rPr>
          <w:color w:val="231F20"/>
          <w:spacing w:val="22"/>
          <w:sz w:val="18"/>
        </w:rPr>
        <w:t> </w:t>
      </w:r>
      <w:r>
        <w:rPr>
          <w:color w:val="231F20"/>
          <w:sz w:val="18"/>
        </w:rPr>
        <w:t>делу</w:t>
      </w:r>
      <w:r>
        <w:rPr>
          <w:color w:val="231F20"/>
          <w:spacing w:val="23"/>
          <w:sz w:val="18"/>
        </w:rPr>
        <w:t> </w:t>
      </w:r>
      <w:r>
        <w:rPr>
          <w:color w:val="231F20"/>
          <w:sz w:val="18"/>
        </w:rPr>
        <w:t>трасе</w:t>
      </w:r>
      <w:r>
        <w:rPr>
          <w:color w:val="231F20"/>
          <w:spacing w:val="23"/>
          <w:sz w:val="18"/>
        </w:rPr>
        <w:t> </w:t>
      </w:r>
      <w:r>
        <w:rPr>
          <w:color w:val="231F20"/>
          <w:sz w:val="18"/>
        </w:rPr>
        <w:t>између</w:t>
      </w:r>
      <w:r>
        <w:rPr>
          <w:color w:val="231F20"/>
          <w:spacing w:val="23"/>
          <w:sz w:val="18"/>
        </w:rPr>
        <w:t> </w:t>
      </w:r>
      <w:r>
        <w:rPr>
          <w:color w:val="231F20"/>
          <w:sz w:val="18"/>
        </w:rPr>
        <w:t>тачака</w:t>
      </w:r>
      <w:r>
        <w:rPr>
          <w:color w:val="231F20"/>
          <w:spacing w:val="23"/>
          <w:sz w:val="18"/>
        </w:rPr>
        <w:t> </w:t>
      </w:r>
      <w:r>
        <w:rPr>
          <w:color w:val="231F20"/>
          <w:sz w:val="18"/>
        </w:rPr>
        <w:t>О0</w:t>
      </w:r>
      <w:r>
        <w:rPr>
          <w:color w:val="231F20"/>
          <w:spacing w:val="22"/>
          <w:sz w:val="18"/>
        </w:rPr>
        <w:t> </w:t>
      </w:r>
      <w:r>
        <w:rPr>
          <w:color w:val="231F20"/>
          <w:sz w:val="18"/>
        </w:rPr>
        <w:t>и</w:t>
      </w:r>
      <w:r>
        <w:rPr>
          <w:color w:val="231F20"/>
          <w:spacing w:val="22"/>
          <w:sz w:val="18"/>
        </w:rPr>
        <w:t> </w:t>
      </w:r>
      <w:r>
        <w:rPr>
          <w:color w:val="231F20"/>
          <w:sz w:val="18"/>
        </w:rPr>
        <w:t>О3</w:t>
      </w:r>
      <w:r>
        <w:rPr>
          <w:color w:val="231F20"/>
          <w:spacing w:val="22"/>
          <w:sz w:val="18"/>
        </w:rPr>
        <w:t> </w:t>
      </w:r>
      <w:r>
        <w:rPr>
          <w:color w:val="231F20"/>
          <w:sz w:val="18"/>
        </w:rPr>
        <w:t>кроз</w:t>
      </w:r>
      <w:r>
        <w:rPr>
          <w:color w:val="231F20"/>
          <w:spacing w:val="23"/>
          <w:sz w:val="18"/>
        </w:rPr>
        <w:t> </w:t>
      </w:r>
      <w:r>
        <w:rPr>
          <w:color w:val="231F20"/>
          <w:spacing w:val="-3"/>
          <w:sz w:val="18"/>
        </w:rPr>
        <w:t>Комплекс</w:t>
      </w:r>
      <w:r>
        <w:rPr>
          <w:color w:val="231F20"/>
          <w:spacing w:val="23"/>
          <w:sz w:val="18"/>
        </w:rPr>
        <w:t> </w:t>
      </w:r>
      <w:r>
        <w:rPr>
          <w:color w:val="231F20"/>
          <w:sz w:val="18"/>
        </w:rPr>
        <w:t>ТЕ</w:t>
      </w:r>
    </w:p>
    <w:p>
      <w:pPr>
        <w:pStyle w:val="BodyText"/>
        <w:spacing w:line="235" w:lineRule="auto" w:before="2"/>
        <w:ind w:left="241" w:right="127" w:hanging="1"/>
      </w:pPr>
      <w:r>
        <w:rPr>
          <w:color w:val="231F20"/>
        </w:rPr>
        <w:t>„Костолац Б” успоставља се коридор као појас изградње бетон- ских постамената за носећу конструкцију цевовода, најпре у по- јасу регулационе ширине 18 – 28 m између унутрашње регулације </w:t>
      </w:r>
      <w:r>
        <w:rPr>
          <w:color w:val="231F20"/>
          <w:spacing w:val="-3"/>
        </w:rPr>
        <w:t>главне </w:t>
      </w:r>
      <w:r>
        <w:rPr>
          <w:color w:val="231F20"/>
        </w:rPr>
        <w:t>саобраћајнице и депоније угља; минимална удаљеност </w:t>
      </w:r>
      <w:r>
        <w:rPr>
          <w:color w:val="231F20"/>
          <w:spacing w:val="-4"/>
        </w:rPr>
        <w:t>ко- </w:t>
      </w:r>
      <w:r>
        <w:rPr>
          <w:color w:val="231F20"/>
        </w:rPr>
        <w:t>ридора </w:t>
      </w:r>
      <w:r>
        <w:rPr>
          <w:color w:val="231F20"/>
          <w:spacing w:val="-3"/>
        </w:rPr>
        <w:t>од </w:t>
      </w:r>
      <w:r>
        <w:rPr>
          <w:color w:val="231F20"/>
        </w:rPr>
        <w:t>регулационе линије саобраћајнице је 5 m, а </w:t>
      </w:r>
      <w:r>
        <w:rPr>
          <w:color w:val="231F20"/>
          <w:spacing w:val="-3"/>
        </w:rPr>
        <w:t>од </w:t>
      </w:r>
      <w:r>
        <w:rPr>
          <w:color w:val="231F20"/>
        </w:rPr>
        <w:t>коридора за транспорт суспензије гипса 2 m; на делу </w:t>
      </w:r>
      <w:r>
        <w:rPr>
          <w:color w:val="231F20"/>
          <w:spacing w:val="-4"/>
        </w:rPr>
        <w:t>где </w:t>
      </w:r>
      <w:r>
        <w:rPr>
          <w:color w:val="231F20"/>
        </w:rPr>
        <w:t>се траса води</w:t>
      </w:r>
      <w:r>
        <w:rPr>
          <w:color w:val="231F20"/>
          <w:spacing w:val="-32"/>
        </w:rPr>
        <w:t> </w:t>
      </w:r>
      <w:r>
        <w:rPr>
          <w:color w:val="231F20"/>
          <w:spacing w:val="-3"/>
        </w:rPr>
        <w:t>преко </w:t>
      </w:r>
      <w:r>
        <w:rPr>
          <w:color w:val="231F20"/>
        </w:rPr>
        <w:t>слободне</w:t>
      </w:r>
      <w:r>
        <w:rPr>
          <w:color w:val="231F20"/>
          <w:spacing w:val="-7"/>
        </w:rPr>
        <w:t> </w:t>
      </w:r>
      <w:r>
        <w:rPr>
          <w:color w:val="231F20"/>
        </w:rPr>
        <w:t>површине</w:t>
      </w:r>
      <w:r>
        <w:rPr>
          <w:color w:val="231F20"/>
          <w:spacing w:val="-7"/>
        </w:rPr>
        <w:t> </w:t>
      </w:r>
      <w:r>
        <w:rPr>
          <w:color w:val="231F20"/>
        </w:rPr>
        <w:t>обезбедити</w:t>
      </w:r>
      <w:r>
        <w:rPr>
          <w:color w:val="231F20"/>
          <w:spacing w:val="-7"/>
        </w:rPr>
        <w:t> </w:t>
      </w:r>
      <w:r>
        <w:rPr>
          <w:color w:val="231F20"/>
        </w:rPr>
        <w:t>приступ</w:t>
      </w:r>
      <w:r>
        <w:rPr>
          <w:color w:val="231F20"/>
          <w:spacing w:val="-7"/>
        </w:rPr>
        <w:t> </w:t>
      </w:r>
      <w:r>
        <w:rPr>
          <w:color w:val="231F20"/>
        </w:rPr>
        <w:t>коридору</w:t>
      </w:r>
      <w:r>
        <w:rPr>
          <w:color w:val="231F20"/>
          <w:spacing w:val="-7"/>
        </w:rPr>
        <w:t> </w:t>
      </w:r>
      <w:r>
        <w:rPr>
          <w:color w:val="231F20"/>
        </w:rPr>
        <w:t>ради</w:t>
      </w:r>
      <w:r>
        <w:rPr>
          <w:color w:val="231F20"/>
          <w:spacing w:val="-7"/>
        </w:rPr>
        <w:t> </w:t>
      </w:r>
      <w:r>
        <w:rPr>
          <w:color w:val="231F20"/>
        </w:rPr>
        <w:t>сервисних потреба;</w:t>
      </w:r>
    </w:p>
    <w:p>
      <w:pPr>
        <w:pStyle w:val="ListParagraph"/>
        <w:numPr>
          <w:ilvl w:val="0"/>
          <w:numId w:val="74"/>
        </w:numPr>
        <w:tabs>
          <w:tab w:pos="838" w:val="left" w:leader="none"/>
        </w:tabs>
        <w:spacing w:line="235" w:lineRule="auto" w:before="1" w:after="0"/>
        <w:ind w:left="241" w:right="127" w:firstLine="397"/>
        <w:jc w:val="both"/>
        <w:rPr>
          <w:sz w:val="18"/>
        </w:rPr>
      </w:pPr>
      <w:r>
        <w:rPr>
          <w:color w:val="231F20"/>
          <w:sz w:val="18"/>
        </w:rPr>
        <w:t>на делу трасе између тачака О3 и О7 пепеловод се пола- же у заједничком коридору са коридором за транспорт угља до ТЕ „Костолац А”; успостављају се унутрашње регулације </w:t>
      </w:r>
      <w:r>
        <w:rPr>
          <w:color w:val="231F20"/>
          <w:spacing w:val="-3"/>
          <w:sz w:val="18"/>
        </w:rPr>
        <w:t>тако </w:t>
      </w:r>
      <w:r>
        <w:rPr>
          <w:color w:val="231F20"/>
          <w:sz w:val="18"/>
        </w:rPr>
        <w:t>да је </w:t>
      </w:r>
      <w:r>
        <w:rPr>
          <w:color w:val="231F20"/>
          <w:spacing w:val="-6"/>
          <w:sz w:val="18"/>
        </w:rPr>
        <w:t>код </w:t>
      </w:r>
      <w:r>
        <w:rPr>
          <w:color w:val="231F20"/>
          <w:sz w:val="18"/>
        </w:rPr>
        <w:t>паралелног вођења трасе минимална ширина појаса за из- градњу пепеловода (унутрашњи коридор) 12 – 14 m, а утврђује се непосредно </w:t>
      </w:r>
      <w:r>
        <w:rPr>
          <w:color w:val="231F20"/>
          <w:spacing w:val="-3"/>
          <w:sz w:val="18"/>
        </w:rPr>
        <w:t>од </w:t>
      </w:r>
      <w:r>
        <w:rPr>
          <w:color w:val="231F20"/>
          <w:sz w:val="18"/>
        </w:rPr>
        <w:t>регулације коридора за транспорт угља </w:t>
      </w:r>
      <w:r>
        <w:rPr>
          <w:color w:val="231F20"/>
          <w:spacing w:val="-3"/>
          <w:sz w:val="18"/>
        </w:rPr>
        <w:t>рударске </w:t>
      </w:r>
      <w:r>
        <w:rPr>
          <w:color w:val="231F20"/>
          <w:sz w:val="18"/>
        </w:rPr>
        <w:t>механизације (правила изградње и уређења за коридор транспор- тера дата су у поглављу „3”); користе се заједничке конструкције за прелаз </w:t>
      </w:r>
      <w:r>
        <w:rPr>
          <w:color w:val="231F20"/>
          <w:spacing w:val="-3"/>
          <w:sz w:val="18"/>
        </w:rPr>
        <w:t>преко </w:t>
      </w:r>
      <w:r>
        <w:rPr>
          <w:color w:val="231F20"/>
          <w:sz w:val="18"/>
        </w:rPr>
        <w:t>водног земљишта и иста сервисна саобраћајница; </w:t>
      </w:r>
      <w:r>
        <w:rPr>
          <w:color w:val="231F20"/>
          <w:spacing w:val="-3"/>
          <w:sz w:val="18"/>
        </w:rPr>
        <w:t>након </w:t>
      </w:r>
      <w:r>
        <w:rPr>
          <w:color w:val="231F20"/>
          <w:sz w:val="18"/>
        </w:rPr>
        <w:t>укрштања са транспортером за угаљ, на делу трасе </w:t>
      </w:r>
      <w:r>
        <w:rPr>
          <w:color w:val="231F20"/>
          <w:spacing w:val="-3"/>
          <w:sz w:val="18"/>
        </w:rPr>
        <w:t>од </w:t>
      </w:r>
      <w:r>
        <w:rPr>
          <w:color w:val="231F20"/>
          <w:sz w:val="18"/>
        </w:rPr>
        <w:t>О7  до </w:t>
      </w:r>
      <w:r>
        <w:rPr>
          <w:color w:val="231F20"/>
          <w:spacing w:val="-3"/>
          <w:sz w:val="18"/>
        </w:rPr>
        <w:t>уласка </w:t>
      </w:r>
      <w:r>
        <w:rPr>
          <w:color w:val="231F20"/>
          <w:sz w:val="18"/>
        </w:rPr>
        <w:t>у просторну целину „Долина реке Млаве”, коридор за полагање цевовода се утврђује у целини обухвата испод ножице насипа за транспортер, а обухвата нови сервисни </w:t>
      </w:r>
      <w:r>
        <w:rPr>
          <w:color w:val="231F20"/>
          <w:spacing w:val="-4"/>
          <w:sz w:val="18"/>
        </w:rPr>
        <w:t>пут, </w:t>
      </w:r>
      <w:r>
        <w:rPr>
          <w:color w:val="231F20"/>
          <w:sz w:val="18"/>
        </w:rPr>
        <w:t>постојећи некатегорисани пут и трасу новопланираног пепеловода из</w:t>
      </w:r>
      <w:r>
        <w:rPr>
          <w:color w:val="231F20"/>
          <w:spacing w:val="-6"/>
          <w:sz w:val="18"/>
        </w:rPr>
        <w:t> </w:t>
      </w:r>
      <w:r>
        <w:rPr>
          <w:color w:val="231F20"/>
          <w:sz w:val="18"/>
        </w:rPr>
        <w:t>ТЕ</w:t>
      </w:r>
    </w:p>
    <w:p>
      <w:pPr>
        <w:pStyle w:val="BodyText"/>
        <w:spacing w:line="204" w:lineRule="exact"/>
        <w:ind w:left="242"/>
        <w:jc w:val="left"/>
      </w:pPr>
      <w:r>
        <w:rPr>
          <w:color w:val="231F20"/>
        </w:rPr>
        <w:t>„Костолац А”;</w:t>
      </w:r>
    </w:p>
    <w:p>
      <w:pPr>
        <w:pStyle w:val="ListParagraph"/>
        <w:numPr>
          <w:ilvl w:val="0"/>
          <w:numId w:val="74"/>
        </w:numPr>
        <w:tabs>
          <w:tab w:pos="831" w:val="left" w:leader="none"/>
        </w:tabs>
        <w:spacing w:line="235" w:lineRule="auto" w:before="2" w:after="0"/>
        <w:ind w:left="241" w:right="127" w:firstLine="397"/>
        <w:jc w:val="both"/>
        <w:rPr>
          <w:sz w:val="18"/>
        </w:rPr>
      </w:pPr>
      <w:r>
        <w:rPr>
          <w:color w:val="231F20"/>
          <w:sz w:val="18"/>
        </w:rPr>
        <w:t>кроз „Долину реке Млаве” у регулационој ширини </w:t>
      </w:r>
      <w:r>
        <w:rPr>
          <w:color w:val="231F20"/>
          <w:spacing w:val="-3"/>
          <w:sz w:val="18"/>
        </w:rPr>
        <w:t>од </w:t>
      </w:r>
      <w:r>
        <w:rPr>
          <w:color w:val="231F20"/>
          <w:spacing w:val="-4"/>
          <w:sz w:val="18"/>
        </w:rPr>
        <w:t>око </w:t>
      </w:r>
      <w:r>
        <w:rPr>
          <w:color w:val="231F20"/>
          <w:sz w:val="18"/>
        </w:rPr>
        <w:t>40 m и координатама тачака (1 до 34), дефинисан је коридор пе- пеловода са сервисном саобраћајницом; у заједничком коридору планира се извођење носећих конструкција и полагање цевовода за</w:t>
      </w:r>
      <w:r>
        <w:rPr>
          <w:color w:val="231F20"/>
          <w:spacing w:val="-5"/>
          <w:sz w:val="18"/>
        </w:rPr>
        <w:t> </w:t>
      </w:r>
      <w:r>
        <w:rPr>
          <w:color w:val="231F20"/>
          <w:sz w:val="18"/>
        </w:rPr>
        <w:t>транспорт</w:t>
      </w:r>
      <w:r>
        <w:rPr>
          <w:color w:val="231F20"/>
          <w:spacing w:val="-5"/>
          <w:sz w:val="18"/>
        </w:rPr>
        <w:t> </w:t>
      </w:r>
      <w:r>
        <w:rPr>
          <w:color w:val="231F20"/>
          <w:sz w:val="18"/>
        </w:rPr>
        <w:t>пепела</w:t>
      </w:r>
      <w:r>
        <w:rPr>
          <w:color w:val="231F20"/>
          <w:spacing w:val="-5"/>
          <w:sz w:val="18"/>
        </w:rPr>
        <w:t> </w:t>
      </w:r>
      <w:r>
        <w:rPr>
          <w:color w:val="231F20"/>
          <w:sz w:val="18"/>
        </w:rPr>
        <w:t>и</w:t>
      </w:r>
      <w:r>
        <w:rPr>
          <w:color w:val="231F20"/>
          <w:spacing w:val="-5"/>
          <w:sz w:val="18"/>
        </w:rPr>
        <w:t> </w:t>
      </w:r>
      <w:r>
        <w:rPr>
          <w:color w:val="231F20"/>
          <w:sz w:val="18"/>
        </w:rPr>
        <w:t>шљаке</w:t>
      </w:r>
      <w:r>
        <w:rPr>
          <w:color w:val="231F20"/>
          <w:spacing w:val="-5"/>
          <w:sz w:val="18"/>
        </w:rPr>
        <w:t> </w:t>
      </w:r>
      <w:r>
        <w:rPr>
          <w:color w:val="231F20"/>
          <w:sz w:val="18"/>
        </w:rPr>
        <w:t>из</w:t>
      </w:r>
      <w:r>
        <w:rPr>
          <w:color w:val="231F20"/>
          <w:spacing w:val="-5"/>
          <w:sz w:val="18"/>
        </w:rPr>
        <w:t> </w:t>
      </w:r>
      <w:r>
        <w:rPr>
          <w:color w:val="231F20"/>
          <w:sz w:val="18"/>
        </w:rPr>
        <w:t>ТЕ</w:t>
      </w:r>
      <w:r>
        <w:rPr>
          <w:color w:val="231F20"/>
          <w:spacing w:val="-5"/>
          <w:sz w:val="18"/>
        </w:rPr>
        <w:t> </w:t>
      </w:r>
      <w:r>
        <w:rPr>
          <w:color w:val="231F20"/>
          <w:sz w:val="18"/>
        </w:rPr>
        <w:t>„Костолац</w:t>
      </w:r>
      <w:r>
        <w:rPr>
          <w:color w:val="231F20"/>
          <w:spacing w:val="-5"/>
          <w:sz w:val="18"/>
        </w:rPr>
        <w:t> </w:t>
      </w:r>
      <w:r>
        <w:rPr>
          <w:color w:val="231F20"/>
          <w:sz w:val="18"/>
        </w:rPr>
        <w:t>А”</w:t>
      </w:r>
      <w:r>
        <w:rPr>
          <w:color w:val="231F20"/>
          <w:spacing w:val="-5"/>
          <w:sz w:val="18"/>
        </w:rPr>
        <w:t> </w:t>
      </w:r>
      <w:r>
        <w:rPr>
          <w:color w:val="231F20"/>
          <w:sz w:val="18"/>
        </w:rPr>
        <w:t>и</w:t>
      </w:r>
      <w:r>
        <w:rPr>
          <w:color w:val="231F20"/>
          <w:spacing w:val="-5"/>
          <w:sz w:val="18"/>
        </w:rPr>
        <w:t> </w:t>
      </w:r>
      <w:r>
        <w:rPr>
          <w:color w:val="231F20"/>
          <w:sz w:val="18"/>
        </w:rPr>
        <w:t>резервишу</w:t>
      </w:r>
      <w:r>
        <w:rPr>
          <w:color w:val="231F20"/>
          <w:spacing w:val="-5"/>
          <w:sz w:val="18"/>
        </w:rPr>
        <w:t> </w:t>
      </w:r>
      <w:r>
        <w:rPr>
          <w:color w:val="231F20"/>
          <w:sz w:val="18"/>
        </w:rPr>
        <w:t>по- вршине за прелаз механизације између </w:t>
      </w:r>
      <w:r>
        <w:rPr>
          <w:color w:val="231F20"/>
          <w:spacing w:val="-3"/>
          <w:sz w:val="18"/>
        </w:rPr>
        <w:t>копова; </w:t>
      </w:r>
      <w:r>
        <w:rPr>
          <w:color w:val="231F20"/>
          <w:sz w:val="18"/>
        </w:rPr>
        <w:t>у обухваћене повр- шине изван </w:t>
      </w:r>
      <w:r>
        <w:rPr>
          <w:color w:val="231F20"/>
          <w:spacing w:val="-3"/>
          <w:sz w:val="18"/>
        </w:rPr>
        <w:t>овако </w:t>
      </w:r>
      <w:r>
        <w:rPr>
          <w:color w:val="231F20"/>
          <w:sz w:val="18"/>
        </w:rPr>
        <w:t>утврђене регулације уређују се према правили- ма за просторне целине 1 и 2 у </w:t>
      </w:r>
      <w:r>
        <w:rPr>
          <w:color w:val="231F20"/>
          <w:spacing w:val="-3"/>
          <w:sz w:val="18"/>
        </w:rPr>
        <w:t>комплексу </w:t>
      </w:r>
      <w:r>
        <w:rPr>
          <w:color w:val="231F20"/>
          <w:sz w:val="18"/>
        </w:rPr>
        <w:t>„Долина реке Млаве”, а на њима деловима </w:t>
      </w:r>
      <w:r>
        <w:rPr>
          <w:color w:val="231F20"/>
          <w:spacing w:val="-4"/>
          <w:sz w:val="18"/>
        </w:rPr>
        <w:t>где </w:t>
      </w:r>
      <w:r>
        <w:rPr>
          <w:color w:val="231F20"/>
          <w:sz w:val="18"/>
        </w:rPr>
        <w:t>се покаже да ширина пролаза за механиза- цију није довољна, може успоставити право</w:t>
      </w:r>
      <w:r>
        <w:rPr>
          <w:color w:val="231F20"/>
          <w:spacing w:val="-10"/>
          <w:sz w:val="18"/>
        </w:rPr>
        <w:t> </w:t>
      </w:r>
      <w:r>
        <w:rPr>
          <w:color w:val="231F20"/>
          <w:sz w:val="18"/>
        </w:rPr>
        <w:t>службености;</w:t>
      </w:r>
    </w:p>
    <w:p>
      <w:pPr>
        <w:pStyle w:val="BodyText"/>
        <w:spacing w:line="235" w:lineRule="auto" w:before="1"/>
        <w:ind w:left="240" w:right="128" w:firstLine="397"/>
      </w:pPr>
      <w:r>
        <w:rPr>
          <w:color w:val="231F20"/>
        </w:rPr>
        <w:t>Дуж трасе цевовода предвиђа се изградња потребног броја бетонских резервоара за хаваријско испуштање мешавине пепела и шљаке.</w:t>
      </w:r>
    </w:p>
    <w:p>
      <w:pPr>
        <w:pStyle w:val="BodyText"/>
        <w:spacing w:line="235" w:lineRule="auto" w:before="1"/>
        <w:ind w:left="240" w:right="128" w:firstLine="396"/>
      </w:pPr>
      <w:r>
        <w:rPr>
          <w:color w:val="231F20"/>
        </w:rPr>
        <w:t>Челични цевоводи за транспорт пепела и шљаке (радни и резервни) и цевовод повратне воде постављају се на бетонске по- стаменте директно и фиксирају помоћу челичних веза. Растојање бетонских постамената је око 6 m, али с обзиром да мањи профил цеви за повратну воду на половини растера изводе се међуослон- ци, веза је налегањем.</w:t>
      </w:r>
    </w:p>
    <w:p>
      <w:pPr>
        <w:pStyle w:val="BodyText"/>
        <w:spacing w:line="235" w:lineRule="auto" w:before="1"/>
        <w:ind w:left="241" w:right="127" w:firstLine="396"/>
      </w:pPr>
      <w:r>
        <w:rPr>
          <w:color w:val="231F20"/>
        </w:rPr>
        <w:t>На делу трасе кроз термоелектрану, као и у зонама укршта- ња са интерним саобраћајницама, сервисним путевима и другим надземним линијским системима техничке инфраструктуре у зо- ни обухвата, цевоводи се издижу на високе ослонце. Веза стубо- ва носеће конструкције и бетонског постамента је преко лежишне плоче. Доња кота носеће челичне конструкције, хоризонталних и вертикалних спрегова и подужних укрућења, утврђује се у односу на потребни слободни профил у зони прелаза и усклађује са носи- оцем права управљања другим системом.</w:t>
      </w:r>
    </w:p>
    <w:p>
      <w:pPr>
        <w:pStyle w:val="BodyText"/>
        <w:spacing w:line="235" w:lineRule="auto" w:before="2"/>
        <w:ind w:left="241" w:right="127" w:firstLine="397"/>
      </w:pPr>
      <w:r>
        <w:rPr>
          <w:color w:val="231F20"/>
          <w:spacing w:val="-5"/>
        </w:rPr>
        <w:t>Код </w:t>
      </w:r>
      <w:r>
        <w:rPr>
          <w:color w:val="231F20"/>
        </w:rPr>
        <w:t>укрштања са јавним саобраћајницама, водним земљи- штем транспортером за угаљ, носеће конструкције извести пре- ма стандардима за челичне мостовске конструкције, с обзиром на средњи</w:t>
      </w:r>
      <w:r>
        <w:rPr>
          <w:color w:val="231F20"/>
          <w:spacing w:val="-5"/>
        </w:rPr>
        <w:t> </w:t>
      </w:r>
      <w:r>
        <w:rPr>
          <w:color w:val="231F20"/>
        </w:rPr>
        <w:t>распон</w:t>
      </w:r>
      <w:r>
        <w:rPr>
          <w:color w:val="231F20"/>
          <w:spacing w:val="-5"/>
        </w:rPr>
        <w:t> </w:t>
      </w:r>
      <w:r>
        <w:rPr>
          <w:color w:val="231F20"/>
        </w:rPr>
        <w:t>стубова</w:t>
      </w:r>
      <w:r>
        <w:rPr>
          <w:color w:val="231F20"/>
          <w:spacing w:val="-5"/>
        </w:rPr>
        <w:t> </w:t>
      </w:r>
      <w:r>
        <w:rPr>
          <w:color w:val="231F20"/>
          <w:spacing w:val="-3"/>
        </w:rPr>
        <w:t>који</w:t>
      </w:r>
      <w:r>
        <w:rPr>
          <w:color w:val="231F20"/>
          <w:spacing w:val="-5"/>
        </w:rPr>
        <w:t> </w:t>
      </w:r>
      <w:r>
        <w:rPr>
          <w:color w:val="231F20"/>
        </w:rPr>
        <w:t>морају</w:t>
      </w:r>
      <w:r>
        <w:rPr>
          <w:color w:val="231F20"/>
          <w:spacing w:val="-5"/>
        </w:rPr>
        <w:t> </w:t>
      </w:r>
      <w:r>
        <w:rPr>
          <w:color w:val="231F20"/>
        </w:rPr>
        <w:t>бити</w:t>
      </w:r>
      <w:r>
        <w:rPr>
          <w:color w:val="231F20"/>
          <w:spacing w:val="-5"/>
        </w:rPr>
        <w:t> </w:t>
      </w:r>
      <w:r>
        <w:rPr>
          <w:color w:val="231F20"/>
        </w:rPr>
        <w:t>удаљени</w:t>
      </w:r>
      <w:r>
        <w:rPr>
          <w:color w:val="231F20"/>
          <w:spacing w:val="-5"/>
        </w:rPr>
        <w:t> </w:t>
      </w:r>
      <w:r>
        <w:rPr>
          <w:color w:val="231F20"/>
        </w:rPr>
        <w:t>минимум</w:t>
      </w:r>
      <w:r>
        <w:rPr>
          <w:color w:val="231F20"/>
          <w:spacing w:val="-5"/>
        </w:rPr>
        <w:t> </w:t>
      </w:r>
      <w:r>
        <w:rPr>
          <w:color w:val="231F20"/>
        </w:rPr>
        <w:t>3</w:t>
      </w:r>
      <w:r>
        <w:rPr>
          <w:color w:val="231F20"/>
          <w:spacing w:val="-5"/>
        </w:rPr>
        <w:t> </w:t>
      </w:r>
      <w:r>
        <w:rPr>
          <w:color w:val="231F20"/>
        </w:rPr>
        <w:t>m</w:t>
      </w:r>
      <w:r>
        <w:rPr>
          <w:color w:val="231F20"/>
          <w:spacing w:val="-5"/>
        </w:rPr>
        <w:t> </w:t>
      </w:r>
      <w:r>
        <w:rPr>
          <w:color w:val="231F20"/>
          <w:spacing w:val="-3"/>
        </w:rPr>
        <w:t>од </w:t>
      </w:r>
      <w:r>
        <w:rPr>
          <w:color w:val="231F20"/>
        </w:rPr>
        <w:t>ножице путног насипа (и горње ивице</w:t>
      </w:r>
      <w:r>
        <w:rPr>
          <w:color w:val="231F20"/>
          <w:spacing w:val="-9"/>
        </w:rPr>
        <w:t> </w:t>
      </w:r>
      <w:r>
        <w:rPr>
          <w:color w:val="231F20"/>
        </w:rPr>
        <w:t>усека).</w:t>
      </w:r>
    </w:p>
    <w:p>
      <w:pPr>
        <w:pStyle w:val="BodyText"/>
        <w:spacing w:line="235" w:lineRule="auto" w:before="1"/>
        <w:ind w:left="241" w:right="127" w:firstLine="396"/>
      </w:pPr>
      <w:r>
        <w:rPr>
          <w:color w:val="231F20"/>
        </w:rPr>
        <w:t>За потребе пројектовања и извођење носеће конструкције за укрштање</w:t>
      </w:r>
      <w:r>
        <w:rPr>
          <w:color w:val="231F20"/>
          <w:spacing w:val="-6"/>
        </w:rPr>
        <w:t> </w:t>
      </w:r>
      <w:r>
        <w:rPr>
          <w:color w:val="231F20"/>
        </w:rPr>
        <w:t>са</w:t>
      </w:r>
      <w:r>
        <w:rPr>
          <w:color w:val="231F20"/>
          <w:spacing w:val="-6"/>
        </w:rPr>
        <w:t> </w:t>
      </w:r>
      <w:r>
        <w:rPr>
          <w:color w:val="231F20"/>
        </w:rPr>
        <w:t>транспортером</w:t>
      </w:r>
      <w:r>
        <w:rPr>
          <w:color w:val="231F20"/>
          <w:spacing w:val="-6"/>
        </w:rPr>
        <w:t> </w:t>
      </w:r>
      <w:r>
        <w:rPr>
          <w:color w:val="231F20"/>
        </w:rPr>
        <w:t>за</w:t>
      </w:r>
      <w:r>
        <w:rPr>
          <w:color w:val="231F20"/>
          <w:spacing w:val="-6"/>
        </w:rPr>
        <w:t> </w:t>
      </w:r>
      <w:r>
        <w:rPr>
          <w:color w:val="231F20"/>
        </w:rPr>
        <w:t>угаљ</w:t>
      </w:r>
      <w:r>
        <w:rPr>
          <w:color w:val="231F20"/>
          <w:spacing w:val="-6"/>
        </w:rPr>
        <w:t> </w:t>
      </w:r>
      <w:r>
        <w:rPr>
          <w:color w:val="231F20"/>
        </w:rPr>
        <w:t>и</w:t>
      </w:r>
      <w:r>
        <w:rPr>
          <w:color w:val="231F20"/>
          <w:spacing w:val="-6"/>
        </w:rPr>
        <w:t> </w:t>
      </w:r>
      <w:r>
        <w:rPr>
          <w:color w:val="231F20"/>
        </w:rPr>
        <w:t>реконструкције</w:t>
      </w:r>
      <w:r>
        <w:rPr>
          <w:color w:val="231F20"/>
          <w:spacing w:val="-6"/>
        </w:rPr>
        <w:t> </w:t>
      </w:r>
      <w:r>
        <w:rPr>
          <w:color w:val="231F20"/>
        </w:rPr>
        <w:t>заједничког мостовског прелаза израдити геотехнички елаборат и одговарају- ћу експертизу стања постојеће челичне</w:t>
      </w:r>
      <w:r>
        <w:rPr>
          <w:color w:val="231F20"/>
          <w:spacing w:val="-9"/>
        </w:rPr>
        <w:t> </w:t>
      </w:r>
      <w:r>
        <w:rPr>
          <w:color w:val="231F20"/>
        </w:rPr>
        <w:t>конструкције.</w:t>
      </w:r>
    </w:p>
    <w:p>
      <w:pPr>
        <w:pStyle w:val="BodyText"/>
        <w:spacing w:line="235" w:lineRule="auto" w:before="1"/>
        <w:ind w:left="241" w:right="127" w:firstLine="396"/>
      </w:pPr>
      <w:r>
        <w:rPr>
          <w:color w:val="231F20"/>
        </w:rPr>
        <w:t>Могуће је полагање комуналне и друге инфраструктуре у ко- ридору уколико се обезбеде минимална хоризонтална и вертикал- на растојања према одговарајућим техничким нормативима.</w:t>
      </w:r>
    </w:p>
    <w:p>
      <w:pPr>
        <w:pStyle w:val="BodyText"/>
        <w:spacing w:line="232" w:lineRule="auto"/>
        <w:ind w:left="242" w:right="127" w:firstLine="396"/>
      </w:pPr>
      <w:r>
        <w:rPr>
          <w:color w:val="231F20"/>
        </w:rPr>
        <w:t>Сервисну саобраћајницу изводити са малим подужним наги- бима (0,5% до 2,0%).</w:t>
      </w:r>
    </w:p>
    <w:p>
      <w:pPr>
        <w:spacing w:after="0" w:line="232" w:lineRule="auto"/>
        <w:sectPr>
          <w:pgSz w:w="12480" w:h="15690"/>
          <w:pgMar w:top="120" w:bottom="280" w:left="680" w:right="720"/>
          <w:cols w:num="2" w:equalWidth="0">
            <w:col w:w="5559" w:space="40"/>
            <w:col w:w="5481"/>
          </w:cols>
        </w:sectPr>
      </w:pPr>
    </w:p>
    <w:p>
      <w:pPr>
        <w:pStyle w:val="BodyText"/>
        <w:spacing w:line="232" w:lineRule="auto" w:before="73"/>
        <w:ind w:right="40" w:firstLine="396"/>
      </w:pPr>
      <w:r>
        <w:rPr/>
        <w:pict>
          <v:line style="position:absolute;mso-position-horizontal-relative:page;mso-position-vertical-relative:page;z-index:4648" from="304.724396pt,11.942451pt" to="304.724396pt,748.950451pt" stroked="true" strokeweight=".6pt" strokecolor="#231f20">
            <v:stroke dashstyle="solid"/>
            <w10:wrap type="none"/>
          </v:line>
        </w:pict>
      </w:r>
      <w:r>
        <w:rPr>
          <w:color w:val="231F20"/>
        </w:rPr>
        <w:t>Предложен је следећи попречни прифил приступних и сер- висних путева:</w:t>
      </w:r>
    </w:p>
    <w:p>
      <w:pPr>
        <w:pStyle w:val="BodyText"/>
        <w:tabs>
          <w:tab w:pos="3763" w:val="left" w:leader="none"/>
        </w:tabs>
        <w:spacing w:before="58"/>
        <w:ind w:left="227"/>
        <w:jc w:val="left"/>
      </w:pPr>
      <w:r>
        <w:rPr>
          <w:color w:val="231F20"/>
          <w:w w:val="66"/>
        </w:rPr>
        <w:t> </w:t>
      </w:r>
      <w:r>
        <w:rPr>
          <w:color w:val="231F20"/>
        </w:rPr>
        <w:t>–</w:t>
      </w:r>
      <w:r>
        <w:rPr>
          <w:color w:val="231F20"/>
          <w:spacing w:val="-7"/>
        </w:rPr>
        <w:t> </w:t>
      </w:r>
      <w:r>
        <w:rPr>
          <w:color w:val="231F20"/>
        </w:rPr>
        <w:t>ширина</w:t>
      </w:r>
      <w:r>
        <w:rPr>
          <w:color w:val="231F20"/>
          <w:spacing w:val="-8"/>
        </w:rPr>
        <w:t> </w:t>
      </w:r>
      <w:r>
        <w:rPr>
          <w:color w:val="231F20"/>
          <w:spacing w:val="-3"/>
        </w:rPr>
        <w:t>коловоза</w:t>
        <w:tab/>
      </w:r>
      <w:r>
        <w:rPr>
          <w:color w:val="231F20"/>
        </w:rPr>
        <w:t>2 х 2,75 = 5,50 m,</w:t>
      </w:r>
    </w:p>
    <w:p>
      <w:pPr>
        <w:pStyle w:val="BodyText"/>
        <w:tabs>
          <w:tab w:pos="3763" w:val="left" w:leader="none"/>
        </w:tabs>
        <w:spacing w:before="31"/>
        <w:ind w:left="227"/>
        <w:jc w:val="left"/>
      </w:pPr>
      <w:r>
        <w:rPr>
          <w:color w:val="231F20"/>
          <w:w w:val="66"/>
        </w:rPr>
        <w:t> </w:t>
      </w:r>
      <w:r>
        <w:rPr>
          <w:color w:val="231F20"/>
        </w:rPr>
        <w:t>–</w:t>
      </w:r>
      <w:r>
        <w:rPr>
          <w:color w:val="231F20"/>
          <w:spacing w:val="-9"/>
        </w:rPr>
        <w:t> </w:t>
      </w:r>
      <w:r>
        <w:rPr>
          <w:color w:val="231F20"/>
        </w:rPr>
        <w:t>ивичне</w:t>
      </w:r>
      <w:r>
        <w:rPr>
          <w:color w:val="231F20"/>
          <w:spacing w:val="-10"/>
        </w:rPr>
        <w:t> </w:t>
      </w:r>
      <w:r>
        <w:rPr>
          <w:color w:val="231F20"/>
        </w:rPr>
        <w:t>траке</w:t>
        <w:tab/>
        <w:t>2 х 0,25 = 0,50 m и</w:t>
      </w:r>
    </w:p>
    <w:p>
      <w:pPr>
        <w:pStyle w:val="BodyText"/>
        <w:tabs>
          <w:tab w:pos="3763" w:val="left" w:leader="none"/>
        </w:tabs>
        <w:spacing w:before="31"/>
        <w:ind w:left="227"/>
        <w:jc w:val="left"/>
      </w:pPr>
      <w:r>
        <w:rPr>
          <w:color w:val="231F20"/>
          <w:w w:val="66"/>
        </w:rPr>
        <w:t> </w:t>
      </w:r>
      <w:r>
        <w:rPr>
          <w:color w:val="231F20"/>
        </w:rPr>
        <w:t>–</w:t>
      </w:r>
      <w:r>
        <w:rPr>
          <w:color w:val="231F20"/>
          <w:spacing w:val="-9"/>
        </w:rPr>
        <w:t> </w:t>
      </w:r>
      <w:r>
        <w:rPr>
          <w:color w:val="231F20"/>
        </w:rPr>
        <w:t>земљишна</w:t>
      </w:r>
      <w:r>
        <w:rPr>
          <w:color w:val="231F20"/>
          <w:spacing w:val="-10"/>
        </w:rPr>
        <w:t> </w:t>
      </w:r>
      <w:r>
        <w:rPr>
          <w:color w:val="231F20"/>
        </w:rPr>
        <w:t>банкина</w:t>
        <w:tab/>
        <w:t>2 х 1,00 = 2,00 m.</w:t>
      </w:r>
    </w:p>
    <w:p>
      <w:pPr>
        <w:pStyle w:val="BodyText"/>
        <w:spacing w:line="232" w:lineRule="auto" w:before="57"/>
        <w:ind w:right="40" w:firstLine="396"/>
      </w:pPr>
      <w:r>
        <w:rPr>
          <w:color w:val="231F20"/>
        </w:rPr>
        <w:t>Уколико поред приступних путева треба да се изграде и дру- ге инсталације, треба извршити проширење банкина за смештање инсталација. За проширење коловоза у кривинама треба као меро- давна возила усвојити два камиона.</w:t>
      </w:r>
    </w:p>
    <w:p>
      <w:pPr>
        <w:pStyle w:val="BodyText"/>
        <w:spacing w:line="203" w:lineRule="exact"/>
        <w:ind w:left="567"/>
        <w:jc w:val="left"/>
      </w:pPr>
      <w:r>
        <w:rPr>
          <w:color w:val="231F20"/>
        </w:rPr>
        <w:t>Коловозна конструкција на сервисним путевима:</w:t>
      </w:r>
    </w:p>
    <w:p>
      <w:pPr>
        <w:pStyle w:val="BodyText"/>
        <w:spacing w:line="202" w:lineRule="exact"/>
        <w:ind w:left="567"/>
        <w:jc w:val="left"/>
      </w:pPr>
      <w:r>
        <w:rPr>
          <w:color w:val="231F20"/>
          <w:w w:val="66"/>
        </w:rPr>
        <w:t> </w:t>
      </w:r>
      <w:r>
        <w:rPr>
          <w:color w:val="231F20"/>
        </w:rPr>
        <w:t>– хабајући слој од асфалтбетона АБ11 дебљине 2ºcm и</w:t>
      </w:r>
    </w:p>
    <w:p>
      <w:pPr>
        <w:pStyle w:val="BodyText"/>
        <w:spacing w:line="232" w:lineRule="auto" w:before="2"/>
        <w:ind w:left="612" w:right="493" w:hanging="46"/>
        <w:jc w:val="left"/>
      </w:pPr>
      <w:r>
        <w:rPr>
          <w:color w:val="231F20"/>
          <w:w w:val="66"/>
        </w:rPr>
        <w:t> </w:t>
      </w:r>
      <w:r>
        <w:rPr>
          <w:color w:val="231F20"/>
        </w:rPr>
        <w:t>– доњи носећи слој од дробљеног кречњачког агрегата механички стабилизован дебљине 3ºcm.</w:t>
      </w:r>
    </w:p>
    <w:p>
      <w:pPr>
        <w:pStyle w:val="BodyText"/>
        <w:spacing w:line="232" w:lineRule="auto" w:before="2"/>
        <w:ind w:right="40" w:firstLine="396"/>
      </w:pPr>
      <w:r>
        <w:rPr>
          <w:color w:val="231F20"/>
        </w:rPr>
        <w:t>Пожељно би било да се према слоју дробљеног кречњач-  </w:t>
      </w:r>
      <w:r>
        <w:rPr>
          <w:color w:val="231F20"/>
          <w:spacing w:val="-4"/>
        </w:rPr>
        <w:t>ког </w:t>
      </w:r>
      <w:r>
        <w:rPr>
          <w:color w:val="231F20"/>
        </w:rPr>
        <w:t>агрегата уреди слој </w:t>
      </w:r>
      <w:r>
        <w:rPr>
          <w:color w:val="231F20"/>
          <w:spacing w:val="-3"/>
        </w:rPr>
        <w:t>од </w:t>
      </w:r>
      <w:r>
        <w:rPr>
          <w:color w:val="231F20"/>
        </w:rPr>
        <w:t>битумизираног дробљеног </w:t>
      </w:r>
      <w:r>
        <w:rPr>
          <w:color w:val="231F20"/>
          <w:spacing w:val="-3"/>
        </w:rPr>
        <w:t>кречњачког </w:t>
      </w:r>
      <w:r>
        <w:rPr>
          <w:color w:val="231F20"/>
        </w:rPr>
        <w:t>агрегата </w:t>
      </w:r>
      <w:r>
        <w:rPr>
          <w:color w:val="231F20"/>
          <w:spacing w:val="-3"/>
        </w:rPr>
        <w:t>АБ11 </w:t>
      </w:r>
      <w:r>
        <w:rPr>
          <w:color w:val="231F20"/>
        </w:rPr>
        <w:t>дебљине 6ºcm да би се спречио продор воде у </w:t>
      </w:r>
      <w:r>
        <w:rPr>
          <w:color w:val="231F20"/>
          <w:spacing w:val="-3"/>
        </w:rPr>
        <w:t>коло- </w:t>
      </w:r>
      <w:r>
        <w:rPr>
          <w:color w:val="231F20"/>
        </w:rPr>
        <w:t>возну</w:t>
      </w:r>
      <w:r>
        <w:rPr>
          <w:color w:val="231F20"/>
          <w:spacing w:val="-1"/>
        </w:rPr>
        <w:t> </w:t>
      </w:r>
      <w:r>
        <w:rPr>
          <w:color w:val="231F20"/>
          <w:spacing w:val="-3"/>
        </w:rPr>
        <w:t>конструкцију.</w:t>
      </w:r>
    </w:p>
    <w:p>
      <w:pPr>
        <w:pStyle w:val="ListParagraph"/>
        <w:numPr>
          <w:ilvl w:val="2"/>
          <w:numId w:val="63"/>
        </w:numPr>
        <w:tabs>
          <w:tab w:pos="540" w:val="left" w:leader="none"/>
        </w:tabs>
        <w:spacing w:line="240" w:lineRule="auto" w:before="168" w:after="0"/>
        <w:ind w:left="539" w:right="0" w:hanging="315"/>
        <w:jc w:val="left"/>
        <w:rPr>
          <w:i/>
          <w:sz w:val="18"/>
        </w:rPr>
      </w:pPr>
      <w:r>
        <w:rPr>
          <w:i/>
          <w:color w:val="231F20"/>
          <w:sz w:val="18"/>
        </w:rPr>
        <w:t>Мере енергетске ефикасности и заштите животне</w:t>
      </w:r>
      <w:r>
        <w:rPr>
          <w:i/>
          <w:color w:val="231F20"/>
          <w:spacing w:val="-32"/>
          <w:sz w:val="18"/>
        </w:rPr>
        <w:t> </w:t>
      </w:r>
      <w:r>
        <w:rPr>
          <w:i/>
          <w:color w:val="231F20"/>
          <w:sz w:val="18"/>
        </w:rPr>
        <w:t>средине</w:t>
      </w:r>
    </w:p>
    <w:p>
      <w:pPr>
        <w:pStyle w:val="ListParagraph"/>
        <w:numPr>
          <w:ilvl w:val="3"/>
          <w:numId w:val="63"/>
        </w:numPr>
        <w:tabs>
          <w:tab w:pos="1838" w:val="left" w:leader="none"/>
        </w:tabs>
        <w:spacing w:line="240" w:lineRule="auto" w:before="165" w:after="0"/>
        <w:ind w:left="1837" w:right="0" w:hanging="45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5"/>
        <w:ind w:left="0"/>
        <w:jc w:val="left"/>
        <w:rPr>
          <w:sz w:val="17"/>
        </w:rPr>
      </w:pPr>
    </w:p>
    <w:p>
      <w:pPr>
        <w:pStyle w:val="BodyText"/>
        <w:spacing w:line="232" w:lineRule="auto" w:before="1"/>
        <w:ind w:left="171" w:right="38" w:firstLine="396"/>
      </w:pPr>
      <w:r>
        <w:rPr>
          <w:color w:val="231F20"/>
        </w:rPr>
        <w:t>Енергетска ефикасност у делу система за прикупљање, одла- гање</w:t>
      </w:r>
      <w:r>
        <w:rPr>
          <w:color w:val="231F20"/>
          <w:spacing w:val="-9"/>
        </w:rPr>
        <w:t> </w:t>
      </w:r>
      <w:r>
        <w:rPr>
          <w:color w:val="231F20"/>
        </w:rPr>
        <w:t>и</w:t>
      </w:r>
      <w:r>
        <w:rPr>
          <w:color w:val="231F20"/>
          <w:spacing w:val="-9"/>
        </w:rPr>
        <w:t> </w:t>
      </w:r>
      <w:r>
        <w:rPr>
          <w:color w:val="231F20"/>
        </w:rPr>
        <w:t>транспорт</w:t>
      </w:r>
      <w:r>
        <w:rPr>
          <w:color w:val="231F20"/>
          <w:spacing w:val="-9"/>
        </w:rPr>
        <w:t> </w:t>
      </w:r>
      <w:r>
        <w:rPr>
          <w:color w:val="231F20"/>
        </w:rPr>
        <w:t>пепела</w:t>
      </w:r>
      <w:r>
        <w:rPr>
          <w:color w:val="231F20"/>
          <w:spacing w:val="-9"/>
        </w:rPr>
        <w:t> </w:t>
      </w:r>
      <w:r>
        <w:rPr>
          <w:color w:val="231F20"/>
        </w:rPr>
        <w:t>и</w:t>
      </w:r>
      <w:r>
        <w:rPr>
          <w:color w:val="231F20"/>
          <w:spacing w:val="-9"/>
        </w:rPr>
        <w:t> </w:t>
      </w:r>
      <w:r>
        <w:rPr>
          <w:color w:val="231F20"/>
        </w:rPr>
        <w:t>шљаке</w:t>
      </w:r>
      <w:r>
        <w:rPr>
          <w:color w:val="231F20"/>
          <w:spacing w:val="-9"/>
        </w:rPr>
        <w:t> </w:t>
      </w:r>
      <w:r>
        <w:rPr>
          <w:color w:val="231F20"/>
        </w:rPr>
        <w:t>густом</w:t>
      </w:r>
      <w:r>
        <w:rPr>
          <w:color w:val="231F20"/>
          <w:spacing w:val="-8"/>
        </w:rPr>
        <w:t> </w:t>
      </w:r>
      <w:r>
        <w:rPr>
          <w:color w:val="231F20"/>
        </w:rPr>
        <w:t>хидромешавином</w:t>
      </w:r>
      <w:r>
        <w:rPr>
          <w:color w:val="231F20"/>
          <w:spacing w:val="-8"/>
        </w:rPr>
        <w:t> </w:t>
      </w:r>
      <w:r>
        <w:rPr>
          <w:color w:val="231F20"/>
        </w:rPr>
        <w:t>са</w:t>
      </w:r>
      <w:r>
        <w:rPr>
          <w:color w:val="231F20"/>
          <w:spacing w:val="-9"/>
        </w:rPr>
        <w:t> </w:t>
      </w:r>
      <w:r>
        <w:rPr>
          <w:color w:val="231F20"/>
        </w:rPr>
        <w:t>бло- </w:t>
      </w:r>
      <w:r>
        <w:rPr>
          <w:color w:val="231F20"/>
          <w:spacing w:val="-4"/>
        </w:rPr>
        <w:t>кова </w:t>
      </w:r>
      <w:r>
        <w:rPr>
          <w:color w:val="231F20"/>
        </w:rPr>
        <w:t>ТЕ „Костолац” </w:t>
      </w:r>
      <w:r>
        <w:rPr>
          <w:color w:val="231F20"/>
          <w:spacing w:val="-3"/>
        </w:rPr>
        <w:t>који </w:t>
      </w:r>
      <w:r>
        <w:rPr>
          <w:color w:val="231F20"/>
        </w:rPr>
        <w:t>је обухваћен овим правилима изградње и уређења, спроводи се кроз мере и ЕЕ активности у оквиру успо- стављања система енергетског менаџмента и минималних захтева енергетске ефикасности постројења, опреме и зграда у оквиру ру- дарско-енергетског система</w:t>
      </w:r>
      <w:r>
        <w:rPr>
          <w:color w:val="231F20"/>
          <w:spacing w:val="-2"/>
        </w:rPr>
        <w:t> </w:t>
      </w:r>
      <w:r>
        <w:rPr>
          <w:color w:val="231F20"/>
        </w:rPr>
        <w:t>ТЕ-КО.</w:t>
      </w:r>
    </w:p>
    <w:p>
      <w:pPr>
        <w:pStyle w:val="BodyText"/>
        <w:spacing w:line="232" w:lineRule="auto" w:before="5"/>
        <w:ind w:left="172" w:right="38" w:firstLine="397"/>
      </w:pPr>
      <w:r>
        <w:rPr>
          <w:color w:val="231F20"/>
        </w:rPr>
        <w:t>У циљу постизања енергетски ефикасног и економски и тех- нички оправданог решења транспорта и депоновања пепела и шљаке, неопходно је кроз следеће фазе техничке документације извршити додатне економско-техничке анализе с обзиром на ка- рактеристичне елементе трасе (дужина, вертикални и хоризонтал- ни преломи и слично).</w:t>
      </w:r>
    </w:p>
    <w:p>
      <w:pPr>
        <w:pStyle w:val="ListParagraph"/>
        <w:numPr>
          <w:ilvl w:val="3"/>
          <w:numId w:val="63"/>
        </w:numPr>
        <w:tabs>
          <w:tab w:pos="1715" w:val="left" w:leader="none"/>
        </w:tabs>
        <w:spacing w:line="240" w:lineRule="auto" w:before="170" w:after="0"/>
        <w:ind w:left="1714" w:right="0" w:hanging="45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6"/>
          <w:sz w:val="18"/>
        </w:rPr>
        <w:t> </w:t>
      </w:r>
      <w:r>
        <w:rPr>
          <w:color w:val="231F20"/>
          <w:spacing w:val="15"/>
          <w:sz w:val="18"/>
        </w:rPr>
        <w:t>средине</w:t>
      </w:r>
    </w:p>
    <w:p>
      <w:pPr>
        <w:pStyle w:val="BodyText"/>
        <w:spacing w:before="6"/>
        <w:ind w:left="0"/>
        <w:jc w:val="left"/>
        <w:rPr>
          <w:sz w:val="17"/>
        </w:rPr>
      </w:pPr>
    </w:p>
    <w:p>
      <w:pPr>
        <w:pStyle w:val="BodyText"/>
        <w:spacing w:line="232" w:lineRule="auto"/>
        <w:ind w:left="171" w:right="38" w:firstLine="397"/>
      </w:pPr>
      <w:r>
        <w:rPr>
          <w:color w:val="231F20"/>
        </w:rPr>
        <w:t>У склопу активности на трајној обустави радова на ПК „Ћи- риковац”, ради спречавања и отклањања штетних последица на- сталих експлоатацијом угља, предузети опсежне истражне радове на основу којих ће се утврдити врста и обим радова на санацији клизишта и морфолошком уређењу завршних косина.</w:t>
      </w:r>
    </w:p>
    <w:p>
      <w:pPr>
        <w:pStyle w:val="BodyText"/>
        <w:spacing w:line="232" w:lineRule="auto" w:before="4"/>
        <w:ind w:left="172" w:right="38" w:firstLine="396"/>
      </w:pPr>
      <w:r>
        <w:rPr>
          <w:color w:val="231F20"/>
          <w:spacing w:val="-5"/>
        </w:rPr>
        <w:t>Код </w:t>
      </w:r>
      <w:r>
        <w:rPr>
          <w:color w:val="231F20"/>
        </w:rPr>
        <w:t>припреме депонијског простора у унутрашњем одлага- лишту </w:t>
      </w:r>
      <w:r>
        <w:rPr>
          <w:color w:val="231F20"/>
          <w:spacing w:val="-3"/>
        </w:rPr>
        <w:t>копа </w:t>
      </w:r>
      <w:r>
        <w:rPr>
          <w:color w:val="231F20"/>
        </w:rPr>
        <w:t>предузети радове на побољшању стабилности под- логе, односно, квалитетно одводњавање, обарање нивоа воде у подини</w:t>
      </w:r>
      <w:r>
        <w:rPr>
          <w:color w:val="231F20"/>
          <w:spacing w:val="-8"/>
        </w:rPr>
        <w:t> </w:t>
      </w:r>
      <w:r>
        <w:rPr>
          <w:color w:val="231F20"/>
        </w:rPr>
        <w:t>уз</w:t>
      </w:r>
      <w:r>
        <w:rPr>
          <w:color w:val="231F20"/>
          <w:spacing w:val="-8"/>
        </w:rPr>
        <w:t> </w:t>
      </w:r>
      <w:r>
        <w:rPr>
          <w:color w:val="231F20"/>
        </w:rPr>
        <w:t>максимално</w:t>
      </w:r>
      <w:r>
        <w:rPr>
          <w:color w:val="231F20"/>
          <w:spacing w:val="-8"/>
        </w:rPr>
        <w:t> </w:t>
      </w:r>
      <w:r>
        <w:rPr>
          <w:color w:val="231F20"/>
        </w:rPr>
        <w:t>поштовање</w:t>
      </w:r>
      <w:r>
        <w:rPr>
          <w:color w:val="231F20"/>
          <w:spacing w:val="-8"/>
        </w:rPr>
        <w:t> </w:t>
      </w:r>
      <w:r>
        <w:rPr>
          <w:color w:val="231F20"/>
        </w:rPr>
        <w:t>геомеханичких</w:t>
      </w:r>
      <w:r>
        <w:rPr>
          <w:color w:val="231F20"/>
          <w:spacing w:val="-8"/>
        </w:rPr>
        <w:t> </w:t>
      </w:r>
      <w:r>
        <w:rPr>
          <w:color w:val="231F20"/>
        </w:rPr>
        <w:t>параметара</w:t>
      </w:r>
      <w:r>
        <w:rPr>
          <w:color w:val="231F20"/>
          <w:spacing w:val="-8"/>
        </w:rPr>
        <w:t> </w:t>
      </w:r>
      <w:r>
        <w:rPr>
          <w:color w:val="231F20"/>
        </w:rPr>
        <w:t>ста- билности.</w:t>
      </w:r>
    </w:p>
    <w:p>
      <w:pPr>
        <w:pStyle w:val="BodyText"/>
        <w:spacing w:line="232" w:lineRule="auto" w:before="5"/>
        <w:ind w:left="172" w:right="38" w:firstLine="397"/>
      </w:pPr>
      <w:r>
        <w:rPr>
          <w:color w:val="231F20"/>
        </w:rPr>
        <w:t>У циљу заштите вода поставити водонепропусну фолију на укупној површини обе депонијске касете, а процедну воду и ат- мосферску воду са депоније, </w:t>
      </w:r>
      <w:r>
        <w:rPr>
          <w:color w:val="231F20"/>
          <w:spacing w:val="-3"/>
        </w:rPr>
        <w:t>преко </w:t>
      </w:r>
      <w:r>
        <w:rPr>
          <w:color w:val="231F20"/>
        </w:rPr>
        <w:t>дренажног система и прелив- них</w:t>
      </w:r>
      <w:r>
        <w:rPr>
          <w:color w:val="231F20"/>
          <w:spacing w:val="-5"/>
        </w:rPr>
        <w:t> </w:t>
      </w:r>
      <w:r>
        <w:rPr>
          <w:color w:val="231F20"/>
        </w:rPr>
        <w:t>цеви</w:t>
      </w:r>
      <w:r>
        <w:rPr>
          <w:color w:val="231F20"/>
          <w:spacing w:val="-5"/>
        </w:rPr>
        <w:t> </w:t>
      </w:r>
      <w:r>
        <w:rPr>
          <w:color w:val="231F20"/>
        </w:rPr>
        <w:t>прикупљати</w:t>
      </w:r>
      <w:r>
        <w:rPr>
          <w:color w:val="231F20"/>
          <w:spacing w:val="-5"/>
        </w:rPr>
        <w:t> </w:t>
      </w:r>
      <w:r>
        <w:rPr>
          <w:color w:val="231F20"/>
        </w:rPr>
        <w:t>у</w:t>
      </w:r>
      <w:r>
        <w:rPr>
          <w:color w:val="231F20"/>
          <w:spacing w:val="-5"/>
        </w:rPr>
        <w:t> </w:t>
      </w:r>
      <w:r>
        <w:rPr>
          <w:color w:val="231F20"/>
        </w:rPr>
        <w:t>базен,</w:t>
      </w:r>
      <w:r>
        <w:rPr>
          <w:color w:val="231F20"/>
          <w:spacing w:val="-5"/>
        </w:rPr>
        <w:t> </w:t>
      </w:r>
      <w:r>
        <w:rPr>
          <w:color w:val="231F20"/>
        </w:rPr>
        <w:t>враћати</w:t>
      </w:r>
      <w:r>
        <w:rPr>
          <w:color w:val="231F20"/>
          <w:spacing w:val="-5"/>
        </w:rPr>
        <w:t> </w:t>
      </w:r>
      <w:r>
        <w:rPr>
          <w:color w:val="231F20"/>
        </w:rPr>
        <w:t>у</w:t>
      </w:r>
      <w:r>
        <w:rPr>
          <w:color w:val="231F20"/>
          <w:spacing w:val="-5"/>
        </w:rPr>
        <w:t> </w:t>
      </w:r>
      <w:r>
        <w:rPr>
          <w:color w:val="231F20"/>
        </w:rPr>
        <w:t>багер</w:t>
      </w:r>
      <w:r>
        <w:rPr>
          <w:color w:val="231F20"/>
          <w:spacing w:val="-5"/>
        </w:rPr>
        <w:t> </w:t>
      </w:r>
      <w:r>
        <w:rPr>
          <w:color w:val="231F20"/>
        </w:rPr>
        <w:t>станицу</w:t>
      </w:r>
      <w:r>
        <w:rPr>
          <w:color w:val="231F20"/>
          <w:spacing w:val="-5"/>
        </w:rPr>
        <w:t> </w:t>
      </w:r>
      <w:r>
        <w:rPr>
          <w:color w:val="231F20"/>
        </w:rPr>
        <w:t>термоелек- тране и користити за припрему и транспорт хидромешавине или за прскање депоније (нема испуштања отпадне воде са депоније  у </w:t>
      </w:r>
      <w:r>
        <w:rPr>
          <w:color w:val="231F20"/>
          <w:spacing w:val="-3"/>
        </w:rPr>
        <w:t>околину).</w:t>
      </w:r>
    </w:p>
    <w:p>
      <w:pPr>
        <w:pStyle w:val="BodyText"/>
        <w:spacing w:line="232" w:lineRule="auto" w:before="5"/>
        <w:ind w:left="172" w:right="38" w:firstLine="397"/>
      </w:pPr>
      <w:r>
        <w:rPr>
          <w:color w:val="231F20"/>
        </w:rPr>
        <w:t>Избор опреме вршити у складу са стандардима и техничким нормативима да би бука и вибрације у околној и радној средини биле у оквиру законом прописаних вредности.</w:t>
      </w:r>
    </w:p>
    <w:p>
      <w:pPr>
        <w:pStyle w:val="BodyText"/>
        <w:spacing w:line="232" w:lineRule="auto" w:before="3"/>
        <w:ind w:left="171" w:right="38" w:firstLine="397"/>
      </w:pPr>
      <w:r>
        <w:rPr>
          <w:color w:val="231F20"/>
          <w:spacing w:val="-3"/>
        </w:rPr>
        <w:t>Урадити </w:t>
      </w:r>
      <w:r>
        <w:rPr>
          <w:color w:val="231F20"/>
        </w:rPr>
        <w:t>пројекат техничке и пољопривредне рекултивације за</w:t>
      </w:r>
      <w:r>
        <w:rPr>
          <w:color w:val="231F20"/>
          <w:spacing w:val="-8"/>
        </w:rPr>
        <w:t> </w:t>
      </w:r>
      <w:r>
        <w:rPr>
          <w:color w:val="231F20"/>
        </w:rPr>
        <w:t>обе</w:t>
      </w:r>
      <w:r>
        <w:rPr>
          <w:color w:val="231F20"/>
          <w:spacing w:val="-8"/>
        </w:rPr>
        <w:t> </w:t>
      </w:r>
      <w:r>
        <w:rPr>
          <w:color w:val="231F20"/>
        </w:rPr>
        <w:t>експлоатационе</w:t>
      </w:r>
      <w:r>
        <w:rPr>
          <w:color w:val="231F20"/>
          <w:spacing w:val="-8"/>
        </w:rPr>
        <w:t> </w:t>
      </w:r>
      <w:r>
        <w:rPr>
          <w:color w:val="231F20"/>
        </w:rPr>
        <w:t>касете</w:t>
      </w:r>
      <w:r>
        <w:rPr>
          <w:color w:val="231F20"/>
          <w:spacing w:val="-8"/>
        </w:rPr>
        <w:t> </w:t>
      </w:r>
      <w:r>
        <w:rPr>
          <w:color w:val="231F20"/>
        </w:rPr>
        <w:t>депоније</w:t>
      </w:r>
      <w:r>
        <w:rPr>
          <w:color w:val="231F20"/>
          <w:spacing w:val="-8"/>
        </w:rPr>
        <w:t> </w:t>
      </w:r>
      <w:r>
        <w:rPr>
          <w:color w:val="231F20"/>
        </w:rPr>
        <w:t>по</w:t>
      </w:r>
      <w:r>
        <w:rPr>
          <w:color w:val="231F20"/>
          <w:spacing w:val="-8"/>
        </w:rPr>
        <w:t> </w:t>
      </w:r>
      <w:r>
        <w:rPr>
          <w:color w:val="231F20"/>
          <w:spacing w:val="-3"/>
        </w:rPr>
        <w:t>њиховом</w:t>
      </w:r>
      <w:r>
        <w:rPr>
          <w:color w:val="231F20"/>
          <w:spacing w:val="-8"/>
        </w:rPr>
        <w:t> </w:t>
      </w:r>
      <w:r>
        <w:rPr>
          <w:color w:val="231F20"/>
        </w:rPr>
        <w:t>фазном</w:t>
      </w:r>
      <w:r>
        <w:rPr>
          <w:color w:val="231F20"/>
          <w:spacing w:val="-8"/>
        </w:rPr>
        <w:t> </w:t>
      </w:r>
      <w:r>
        <w:rPr>
          <w:color w:val="231F20"/>
        </w:rPr>
        <w:t>или</w:t>
      </w:r>
      <w:r>
        <w:rPr>
          <w:color w:val="231F20"/>
          <w:spacing w:val="-8"/>
        </w:rPr>
        <w:t> </w:t>
      </w:r>
      <w:r>
        <w:rPr>
          <w:color w:val="231F20"/>
          <w:spacing w:val="-4"/>
        </w:rPr>
        <w:t>ко- </w:t>
      </w:r>
      <w:r>
        <w:rPr>
          <w:color w:val="231F20"/>
          <w:spacing w:val="-3"/>
        </w:rPr>
        <w:t>начном напуштању, </w:t>
      </w:r>
      <w:r>
        <w:rPr>
          <w:color w:val="231F20"/>
        </w:rPr>
        <w:t>као и пројекат формирања заштитног зеленог појаса </w:t>
      </w:r>
      <w:r>
        <w:rPr>
          <w:color w:val="231F20"/>
          <w:spacing w:val="-4"/>
        </w:rPr>
        <w:t>око </w:t>
      </w:r>
      <w:r>
        <w:rPr>
          <w:color w:val="231F20"/>
        </w:rPr>
        <w:t>депоније</w:t>
      </w:r>
      <w:r>
        <w:rPr>
          <w:color w:val="231F20"/>
          <w:spacing w:val="2"/>
        </w:rPr>
        <w:t> </w:t>
      </w:r>
      <w:r>
        <w:rPr>
          <w:color w:val="231F20"/>
        </w:rPr>
        <w:t>пепела.</w:t>
      </w:r>
    </w:p>
    <w:p>
      <w:pPr>
        <w:pStyle w:val="BodyText"/>
        <w:spacing w:line="232" w:lineRule="auto" w:before="3"/>
        <w:ind w:left="171" w:right="38" w:firstLine="397"/>
      </w:pPr>
      <w:r>
        <w:rPr>
          <w:color w:val="231F20"/>
        </w:rPr>
        <w:t>Динамика извођења радова на техничкој рекултивацији саме депоније пепела и шљаке у простору ПК </w:t>
      </w:r>
      <w:r>
        <w:rPr>
          <w:color w:val="231F20"/>
          <w:spacing w:val="-3"/>
        </w:rPr>
        <w:t>„Ћириковац” </w:t>
      </w:r>
      <w:r>
        <w:rPr>
          <w:color w:val="231F20"/>
        </w:rPr>
        <w:t>ускладиће се са произвођачем фолије и расположивом опремом на површин- </w:t>
      </w:r>
      <w:r>
        <w:rPr>
          <w:color w:val="231F20"/>
          <w:spacing w:val="-4"/>
        </w:rPr>
        <w:t>ском </w:t>
      </w:r>
      <w:r>
        <w:rPr>
          <w:color w:val="231F20"/>
          <w:spacing w:val="-7"/>
        </w:rPr>
        <w:t>копу. </w:t>
      </w:r>
      <w:r>
        <w:rPr>
          <w:color w:val="231F20"/>
        </w:rPr>
        <w:t>Завршетком одлагања пепела и шљаке стварају се</w:t>
      </w:r>
      <w:r>
        <w:rPr>
          <w:color w:val="231F20"/>
          <w:spacing w:val="-28"/>
        </w:rPr>
        <w:t> </w:t>
      </w:r>
      <w:r>
        <w:rPr>
          <w:color w:val="231F20"/>
        </w:rPr>
        <w:t>усло- ви за постављање фолије, </w:t>
      </w:r>
      <w:r>
        <w:rPr>
          <w:color w:val="231F20"/>
          <w:spacing w:val="-3"/>
        </w:rPr>
        <w:t>преко које </w:t>
      </w:r>
      <w:r>
        <w:rPr>
          <w:color w:val="231F20"/>
        </w:rPr>
        <w:t>се одлаже материјал дебљине 1,5</w:t>
      </w:r>
      <w:r>
        <w:rPr>
          <w:color w:val="231F20"/>
          <w:spacing w:val="-5"/>
        </w:rPr>
        <w:t> </w:t>
      </w:r>
      <w:r>
        <w:rPr>
          <w:color w:val="231F20"/>
        </w:rPr>
        <w:t>m.</w:t>
      </w:r>
      <w:r>
        <w:rPr>
          <w:color w:val="231F20"/>
          <w:spacing w:val="-5"/>
        </w:rPr>
        <w:t> </w:t>
      </w:r>
      <w:r>
        <w:rPr>
          <w:color w:val="231F20"/>
        </w:rPr>
        <w:t>Камионима</w:t>
      </w:r>
      <w:r>
        <w:rPr>
          <w:color w:val="231F20"/>
          <w:spacing w:val="-5"/>
        </w:rPr>
        <w:t> </w:t>
      </w:r>
      <w:r>
        <w:rPr>
          <w:color w:val="231F20"/>
        </w:rPr>
        <w:t>се</w:t>
      </w:r>
      <w:r>
        <w:rPr>
          <w:color w:val="231F20"/>
          <w:spacing w:val="-5"/>
        </w:rPr>
        <w:t> </w:t>
      </w:r>
      <w:r>
        <w:rPr>
          <w:color w:val="231F20"/>
        </w:rPr>
        <w:t>транспортује</w:t>
      </w:r>
      <w:r>
        <w:rPr>
          <w:color w:val="231F20"/>
          <w:spacing w:val="-5"/>
        </w:rPr>
        <w:t> </w:t>
      </w:r>
      <w:r>
        <w:rPr>
          <w:color w:val="231F20"/>
        </w:rPr>
        <w:t>материјал,</w:t>
      </w:r>
      <w:r>
        <w:rPr>
          <w:color w:val="231F20"/>
          <w:spacing w:val="-5"/>
        </w:rPr>
        <w:t> </w:t>
      </w:r>
      <w:r>
        <w:rPr>
          <w:color w:val="231F20"/>
        </w:rPr>
        <w:t>а</w:t>
      </w:r>
      <w:r>
        <w:rPr>
          <w:color w:val="231F20"/>
          <w:spacing w:val="-5"/>
        </w:rPr>
        <w:t> </w:t>
      </w:r>
      <w:r>
        <w:rPr>
          <w:color w:val="231F20"/>
        </w:rPr>
        <w:t>булдозерима</w:t>
      </w:r>
      <w:r>
        <w:rPr>
          <w:color w:val="231F20"/>
          <w:spacing w:val="-5"/>
        </w:rPr>
        <w:t> </w:t>
      </w:r>
      <w:r>
        <w:rPr>
          <w:color w:val="231F20"/>
        </w:rPr>
        <w:t>се</w:t>
      </w:r>
      <w:r>
        <w:rPr>
          <w:color w:val="231F20"/>
          <w:spacing w:val="-5"/>
        </w:rPr>
        <w:t> </w:t>
      </w:r>
      <w:r>
        <w:rPr>
          <w:color w:val="231F20"/>
        </w:rPr>
        <w:t>вр- ши нивелисање према прописаним висинама одлагања (од 1,5 m). Произвођач фолије поставља фолију према сопственој технологи- ји уз обавезу да радове изврши пре почетка радова на извођењу техничке рекултивације. Одлагање материјала дебљине </w:t>
      </w:r>
      <w:r>
        <w:rPr>
          <w:color w:val="231F20"/>
          <w:spacing w:val="-4"/>
        </w:rPr>
        <w:t>око </w:t>
      </w:r>
      <w:r>
        <w:rPr>
          <w:color w:val="231F20"/>
        </w:rPr>
        <w:t>1,5 m врши</w:t>
      </w:r>
      <w:r>
        <w:rPr>
          <w:color w:val="231F20"/>
          <w:spacing w:val="10"/>
        </w:rPr>
        <w:t> </w:t>
      </w:r>
      <w:r>
        <w:rPr>
          <w:color w:val="231F20"/>
        </w:rPr>
        <w:t>се</w:t>
      </w:r>
      <w:r>
        <w:rPr>
          <w:color w:val="231F20"/>
          <w:spacing w:val="10"/>
        </w:rPr>
        <w:t> </w:t>
      </w:r>
      <w:r>
        <w:rPr>
          <w:color w:val="231F20"/>
        </w:rPr>
        <w:t>и</w:t>
      </w:r>
      <w:r>
        <w:rPr>
          <w:color w:val="231F20"/>
          <w:spacing w:val="10"/>
        </w:rPr>
        <w:t> </w:t>
      </w:r>
      <w:r>
        <w:rPr>
          <w:color w:val="231F20"/>
        </w:rPr>
        <w:t>на</w:t>
      </w:r>
      <w:r>
        <w:rPr>
          <w:color w:val="231F20"/>
          <w:spacing w:val="10"/>
        </w:rPr>
        <w:t> </w:t>
      </w:r>
      <w:r>
        <w:rPr>
          <w:color w:val="231F20"/>
        </w:rPr>
        <w:t>косинама</w:t>
      </w:r>
      <w:r>
        <w:rPr>
          <w:color w:val="231F20"/>
          <w:spacing w:val="10"/>
        </w:rPr>
        <w:t> </w:t>
      </w:r>
      <w:r>
        <w:rPr>
          <w:color w:val="231F20"/>
        </w:rPr>
        <w:t>одлагалишта,</w:t>
      </w:r>
      <w:r>
        <w:rPr>
          <w:color w:val="231F20"/>
          <w:spacing w:val="10"/>
        </w:rPr>
        <w:t> </w:t>
      </w:r>
      <w:r>
        <w:rPr>
          <w:color w:val="231F20"/>
        </w:rPr>
        <w:t>с</w:t>
      </w:r>
      <w:r>
        <w:rPr>
          <w:color w:val="231F20"/>
          <w:spacing w:val="10"/>
        </w:rPr>
        <w:t> </w:t>
      </w:r>
      <w:r>
        <w:rPr>
          <w:color w:val="231F20"/>
        </w:rPr>
        <w:t>тим</w:t>
      </w:r>
      <w:r>
        <w:rPr>
          <w:color w:val="231F20"/>
          <w:spacing w:val="10"/>
        </w:rPr>
        <w:t> </w:t>
      </w:r>
      <w:r>
        <w:rPr>
          <w:color w:val="231F20"/>
        </w:rPr>
        <w:t>што</w:t>
      </w:r>
      <w:r>
        <w:rPr>
          <w:color w:val="231F20"/>
          <w:spacing w:val="10"/>
        </w:rPr>
        <w:t> </w:t>
      </w:r>
      <w:r>
        <w:rPr>
          <w:color w:val="231F20"/>
        </w:rPr>
        <w:t>извођење</w:t>
      </w:r>
      <w:r>
        <w:rPr>
          <w:color w:val="231F20"/>
          <w:spacing w:val="10"/>
        </w:rPr>
        <w:t> </w:t>
      </w:r>
      <w:r>
        <w:rPr>
          <w:color w:val="231F20"/>
        </w:rPr>
        <w:t>радова</w:t>
      </w:r>
    </w:p>
    <w:p>
      <w:pPr>
        <w:pStyle w:val="BodyText"/>
        <w:spacing w:line="232" w:lineRule="auto" w:before="70"/>
        <w:ind w:left="171" w:right="410"/>
      </w:pPr>
      <w:r>
        <w:rPr/>
        <w:br w:type="column"/>
      </w:r>
      <w:r>
        <w:rPr>
          <w:color w:val="231F20"/>
        </w:rPr>
        <w:t>на косинама под генералним нагибом око 10 – 11˚, не сме да до- веде до ерозије или клизања материјала на косим површинама на којима је постављена фолија.</w:t>
      </w:r>
    </w:p>
    <w:p>
      <w:pPr>
        <w:pStyle w:val="BodyText"/>
        <w:spacing w:line="232" w:lineRule="auto"/>
        <w:ind w:left="171" w:right="410" w:firstLine="396"/>
      </w:pPr>
      <w:r>
        <w:rPr>
          <w:color w:val="231F20"/>
        </w:rPr>
        <w:t>Време потребно за извођење радова на техничкој рекултива- цији депоније је око 2,2 године, а редослед радова ће бити дефи- нисан после завршетка одлагања пепела, односно, по достизању максималне коте одлагања (92 mNV).</w:t>
      </w:r>
    </w:p>
    <w:p>
      <w:pPr>
        <w:pStyle w:val="BodyText"/>
        <w:spacing w:line="232" w:lineRule="auto"/>
        <w:ind w:right="410" w:firstLine="398"/>
      </w:pPr>
      <w:r>
        <w:rPr>
          <w:color w:val="231F20"/>
        </w:rPr>
        <w:t>На површинама на </w:t>
      </w:r>
      <w:r>
        <w:rPr>
          <w:color w:val="231F20"/>
          <w:spacing w:val="-3"/>
        </w:rPr>
        <w:t>којима </w:t>
      </w:r>
      <w:r>
        <w:rPr>
          <w:color w:val="231F20"/>
        </w:rPr>
        <w:t>је у </w:t>
      </w:r>
      <w:r>
        <w:rPr>
          <w:color w:val="231F20"/>
          <w:spacing w:val="-3"/>
        </w:rPr>
        <w:t>планском </w:t>
      </w:r>
      <w:r>
        <w:rPr>
          <w:color w:val="231F20"/>
        </w:rPr>
        <w:t>периоду извршена техничка рекултивација и на површини саме депоније, </w:t>
      </w:r>
      <w:r>
        <w:rPr>
          <w:color w:val="231F20"/>
          <w:spacing w:val="-4"/>
        </w:rPr>
        <w:t>где </w:t>
      </w:r>
      <w:r>
        <w:rPr>
          <w:color w:val="231F20"/>
        </w:rPr>
        <w:t>ће се </w:t>
      </w:r>
      <w:r>
        <w:rPr>
          <w:color w:val="231F20"/>
          <w:spacing w:val="-3"/>
        </w:rPr>
        <w:t>преко </w:t>
      </w:r>
      <w:r>
        <w:rPr>
          <w:color w:val="231F20"/>
        </w:rPr>
        <w:t>пепела и шљаке поставити водонепропусна фолија, а </w:t>
      </w:r>
      <w:r>
        <w:rPr>
          <w:color w:val="231F20"/>
          <w:spacing w:val="-3"/>
        </w:rPr>
        <w:t>преко </w:t>
      </w:r>
      <w:r>
        <w:rPr>
          <w:color w:val="231F20"/>
        </w:rPr>
        <w:t>ње насути завршни слој дебљине </w:t>
      </w:r>
      <w:r>
        <w:rPr>
          <w:color w:val="231F20"/>
          <w:spacing w:val="-3"/>
        </w:rPr>
        <w:t>од </w:t>
      </w:r>
      <w:r>
        <w:rPr>
          <w:color w:val="231F20"/>
        </w:rPr>
        <w:t>1,5 m, могуће је вршити само пољопривредну рекултивацију </w:t>
      </w:r>
      <w:r>
        <w:rPr>
          <w:color w:val="231F20"/>
          <w:spacing w:val="-3"/>
        </w:rPr>
        <w:t>која </w:t>
      </w:r>
      <w:r>
        <w:rPr>
          <w:color w:val="231F20"/>
        </w:rPr>
        <w:t>ће се спровести у две фазе. За- равњене површине су предвиђене за организацију пољопривредне производње, </w:t>
      </w:r>
      <w:r>
        <w:rPr>
          <w:color w:val="231F20"/>
          <w:spacing w:val="-3"/>
        </w:rPr>
        <w:t>која </w:t>
      </w:r>
      <w:r>
        <w:rPr>
          <w:color w:val="231F20"/>
        </w:rPr>
        <w:t>би кроз две фазе пољопривредне рекултивације довела до формирања антропогеног земљишта способног за ре- довну </w:t>
      </w:r>
      <w:r>
        <w:rPr>
          <w:color w:val="231F20"/>
          <w:spacing w:val="-3"/>
        </w:rPr>
        <w:t>производњу, </w:t>
      </w:r>
      <w:r>
        <w:rPr>
          <w:color w:val="231F20"/>
        </w:rPr>
        <w:t>односно гајење ратарских култура. Заснивање травно-легуминозне смеше у првој фази пољопривредне </w:t>
      </w:r>
      <w:r>
        <w:rPr>
          <w:color w:val="231F20"/>
          <w:spacing w:val="-2"/>
        </w:rPr>
        <w:t>рекул- </w:t>
      </w:r>
      <w:r>
        <w:rPr>
          <w:color w:val="231F20"/>
        </w:rPr>
        <w:t>тивације има за циљ да побољша физичко-хемијске особине де- посола. Биолошка рекултивација површинског </w:t>
      </w:r>
      <w:r>
        <w:rPr>
          <w:color w:val="231F20"/>
          <w:spacing w:val="-3"/>
        </w:rPr>
        <w:t>копа „Ћириковац” </w:t>
      </w:r>
      <w:r>
        <w:rPr>
          <w:color w:val="231F20"/>
        </w:rPr>
        <w:t>довешће, кроз </w:t>
      </w:r>
      <w:r>
        <w:rPr>
          <w:color w:val="231F20"/>
          <w:spacing w:val="-4"/>
        </w:rPr>
        <w:t>неколико </w:t>
      </w:r>
      <w:r>
        <w:rPr>
          <w:color w:val="231F20"/>
        </w:rPr>
        <w:t>етапа, до потпуне ревитализације и реме- дијације предела, усложњавања </w:t>
      </w:r>
      <w:r>
        <w:rPr>
          <w:color w:val="231F20"/>
          <w:spacing w:val="-4"/>
        </w:rPr>
        <w:t>еко </w:t>
      </w:r>
      <w:r>
        <w:rPr>
          <w:color w:val="231F20"/>
        </w:rPr>
        <w:t>и агросистема и значајног по- бољшања квалитета животне средине ширег подручја.</w:t>
      </w:r>
    </w:p>
    <w:p>
      <w:pPr>
        <w:pStyle w:val="BodyText"/>
        <w:spacing w:line="232" w:lineRule="auto"/>
        <w:ind w:left="171" w:right="411" w:firstLine="396"/>
      </w:pPr>
      <w:r>
        <w:rPr>
          <w:color w:val="231F20"/>
        </w:rPr>
        <w:t>Пројектом мониторинга предвидети и доследно спроводити следеће активности:</w:t>
      </w:r>
    </w:p>
    <w:p>
      <w:pPr>
        <w:pStyle w:val="BodyText"/>
        <w:spacing w:line="232" w:lineRule="auto"/>
        <w:ind w:left="171" w:right="411" w:firstLine="397"/>
      </w:pPr>
      <w:r>
        <w:rPr>
          <w:color w:val="231F20"/>
          <w:w w:val="66"/>
        </w:rPr>
        <w:t> </w:t>
      </w:r>
      <w:r>
        <w:rPr>
          <w:color w:val="231F20"/>
        </w:rPr>
        <w:t>– квалитет одложеног пепела: хемијски састав, физичке ка- рактеристике пепела и гранулометријски састав одређивати чети- ри пута годишње на композитним узорцима; ниво радиоактивно- сти одређивати једном годишње;</w:t>
      </w:r>
    </w:p>
    <w:p>
      <w:pPr>
        <w:pStyle w:val="BodyText"/>
        <w:spacing w:line="232" w:lineRule="auto"/>
        <w:ind w:left="171" w:right="411" w:firstLine="396"/>
      </w:pPr>
      <w:r>
        <w:rPr>
          <w:color w:val="231F20"/>
          <w:w w:val="66"/>
        </w:rPr>
        <w:t> </w:t>
      </w:r>
      <w:r>
        <w:rPr>
          <w:color w:val="231F20"/>
        </w:rPr>
        <w:t>– количину одложеног пепела и шљаке одређивати једанпут годишње;</w:t>
      </w:r>
    </w:p>
    <w:p>
      <w:pPr>
        <w:pStyle w:val="BodyText"/>
        <w:spacing w:line="232" w:lineRule="auto"/>
        <w:ind w:right="411" w:firstLine="397"/>
      </w:pPr>
      <w:r>
        <w:rPr>
          <w:color w:val="231F20"/>
          <w:w w:val="66"/>
        </w:rPr>
        <w:t> </w:t>
      </w:r>
      <w:r>
        <w:rPr>
          <w:color w:val="231F20"/>
        </w:rPr>
        <w:t>–</w:t>
      </w:r>
      <w:r>
        <w:rPr>
          <w:color w:val="231F20"/>
          <w:spacing w:val="-12"/>
        </w:rPr>
        <w:t> </w:t>
      </w:r>
      <w:r>
        <w:rPr>
          <w:color w:val="231F20"/>
        </w:rPr>
        <w:t>пратити</w:t>
      </w:r>
      <w:r>
        <w:rPr>
          <w:color w:val="231F20"/>
          <w:spacing w:val="-12"/>
        </w:rPr>
        <w:t> </w:t>
      </w:r>
      <w:r>
        <w:rPr>
          <w:color w:val="231F20"/>
        </w:rPr>
        <w:t>стање</w:t>
      </w:r>
      <w:r>
        <w:rPr>
          <w:color w:val="231F20"/>
          <w:spacing w:val="-12"/>
        </w:rPr>
        <w:t> </w:t>
      </w:r>
      <w:r>
        <w:rPr>
          <w:color w:val="231F20"/>
        </w:rPr>
        <w:t>депоније:</w:t>
      </w:r>
      <w:r>
        <w:rPr>
          <w:color w:val="231F20"/>
          <w:spacing w:val="-12"/>
        </w:rPr>
        <w:t> </w:t>
      </w:r>
      <w:r>
        <w:rPr>
          <w:color w:val="231F20"/>
        </w:rPr>
        <w:t>свакодневним</w:t>
      </w:r>
      <w:r>
        <w:rPr>
          <w:color w:val="231F20"/>
          <w:spacing w:val="-12"/>
        </w:rPr>
        <w:t> </w:t>
      </w:r>
      <w:r>
        <w:rPr>
          <w:color w:val="231F20"/>
        </w:rPr>
        <w:t>визуелним</w:t>
      </w:r>
      <w:r>
        <w:rPr>
          <w:color w:val="231F20"/>
          <w:spacing w:val="-12"/>
        </w:rPr>
        <w:t> </w:t>
      </w:r>
      <w:r>
        <w:rPr>
          <w:color w:val="231F20"/>
        </w:rPr>
        <w:t>осматра- њем (деформације терена или спољних косина, појаве извора или влажних зона на ободним насипима или у </w:t>
      </w:r>
      <w:r>
        <w:rPr>
          <w:color w:val="231F20"/>
          <w:spacing w:val="-3"/>
        </w:rPr>
        <w:t>околном терену, </w:t>
      </w:r>
      <w:r>
        <w:rPr>
          <w:color w:val="231F20"/>
        </w:rPr>
        <w:t>појаве суфозије и ерозије, </w:t>
      </w:r>
      <w:r>
        <w:rPr>
          <w:color w:val="231F20"/>
          <w:spacing w:val="-3"/>
        </w:rPr>
        <w:t>количине </w:t>
      </w:r>
      <w:r>
        <w:rPr>
          <w:color w:val="231F20"/>
        </w:rPr>
        <w:t>воде присутне на површини депони- је и равномерности запуњавања), геодетским, геомеханичким, хи- дротехничким, метеоролошким и топографским мерењима један- пут</w:t>
      </w:r>
      <w:r>
        <w:rPr>
          <w:color w:val="231F20"/>
          <w:spacing w:val="-6"/>
        </w:rPr>
        <w:t> </w:t>
      </w:r>
      <w:r>
        <w:rPr>
          <w:color w:val="231F20"/>
        </w:rPr>
        <w:t>месечно</w:t>
      </w:r>
      <w:r>
        <w:rPr>
          <w:color w:val="231F20"/>
          <w:spacing w:val="-6"/>
        </w:rPr>
        <w:t> </w:t>
      </w:r>
      <w:r>
        <w:rPr>
          <w:color w:val="231F20"/>
        </w:rPr>
        <w:t>на</w:t>
      </w:r>
      <w:r>
        <w:rPr>
          <w:color w:val="231F20"/>
          <w:spacing w:val="-6"/>
        </w:rPr>
        <w:t> </w:t>
      </w:r>
      <w:r>
        <w:rPr>
          <w:color w:val="231F20"/>
        </w:rPr>
        <w:t>активној</w:t>
      </w:r>
      <w:r>
        <w:rPr>
          <w:color w:val="231F20"/>
          <w:spacing w:val="-6"/>
        </w:rPr>
        <w:t> </w:t>
      </w:r>
      <w:r>
        <w:rPr>
          <w:color w:val="231F20"/>
        </w:rPr>
        <w:t>касети</w:t>
      </w:r>
      <w:r>
        <w:rPr>
          <w:color w:val="231F20"/>
          <w:spacing w:val="-6"/>
        </w:rPr>
        <w:t> </w:t>
      </w:r>
      <w:r>
        <w:rPr>
          <w:color w:val="231F20"/>
        </w:rPr>
        <w:t>и</w:t>
      </w:r>
      <w:r>
        <w:rPr>
          <w:color w:val="231F20"/>
          <w:spacing w:val="-6"/>
        </w:rPr>
        <w:t> </w:t>
      </w:r>
      <w:r>
        <w:rPr>
          <w:color w:val="231F20"/>
        </w:rPr>
        <w:t>једанпут</w:t>
      </w:r>
      <w:r>
        <w:rPr>
          <w:color w:val="231F20"/>
          <w:spacing w:val="-6"/>
        </w:rPr>
        <w:t> </w:t>
      </w:r>
      <w:r>
        <w:rPr>
          <w:color w:val="231F20"/>
        </w:rPr>
        <w:t>годишње</w:t>
      </w:r>
      <w:r>
        <w:rPr>
          <w:color w:val="231F20"/>
          <w:spacing w:val="-6"/>
        </w:rPr>
        <w:t> </w:t>
      </w:r>
      <w:r>
        <w:rPr>
          <w:color w:val="231F20"/>
        </w:rPr>
        <w:t>на</w:t>
      </w:r>
      <w:r>
        <w:rPr>
          <w:color w:val="231F20"/>
          <w:spacing w:val="-6"/>
        </w:rPr>
        <w:t> </w:t>
      </w:r>
      <w:r>
        <w:rPr>
          <w:color w:val="231F20"/>
        </w:rPr>
        <w:t>неактивној касети;</w:t>
      </w:r>
    </w:p>
    <w:p>
      <w:pPr>
        <w:pStyle w:val="BodyText"/>
        <w:spacing w:line="232" w:lineRule="auto"/>
        <w:ind w:right="412" w:firstLine="397"/>
      </w:pPr>
      <w:r>
        <w:rPr>
          <w:color w:val="231F20"/>
          <w:w w:val="66"/>
        </w:rPr>
        <w:t> </w:t>
      </w:r>
      <w:r>
        <w:rPr>
          <w:color w:val="231F20"/>
        </w:rPr>
        <w:t>– </w:t>
      </w:r>
      <w:r>
        <w:rPr>
          <w:color w:val="231F20"/>
          <w:spacing w:val="-3"/>
        </w:rPr>
        <w:t>контрола </w:t>
      </w:r>
      <w:r>
        <w:rPr>
          <w:color w:val="231F20"/>
        </w:rPr>
        <w:t>квалитета </w:t>
      </w:r>
      <w:r>
        <w:rPr>
          <w:color w:val="231F20"/>
          <w:spacing w:val="-3"/>
        </w:rPr>
        <w:t>ваздуха: </w:t>
      </w:r>
      <w:r>
        <w:rPr>
          <w:color w:val="231F20"/>
        </w:rPr>
        <w:t>у </w:t>
      </w:r>
      <w:r>
        <w:rPr>
          <w:color w:val="231F20"/>
          <w:spacing w:val="-3"/>
        </w:rPr>
        <w:t>околини </w:t>
      </w:r>
      <w:r>
        <w:rPr>
          <w:color w:val="231F20"/>
        </w:rPr>
        <w:t>депоније потребно је</w:t>
      </w:r>
      <w:r>
        <w:rPr>
          <w:color w:val="231F20"/>
          <w:spacing w:val="-11"/>
        </w:rPr>
        <w:t> </w:t>
      </w:r>
      <w:r>
        <w:rPr>
          <w:color w:val="231F20"/>
          <w:spacing w:val="-3"/>
        </w:rPr>
        <w:t>одређивати</w:t>
      </w:r>
      <w:r>
        <w:rPr>
          <w:color w:val="231F20"/>
          <w:spacing w:val="-11"/>
        </w:rPr>
        <w:t> </w:t>
      </w:r>
      <w:r>
        <w:rPr>
          <w:color w:val="231F20"/>
        </w:rPr>
        <w:t>садржај</w:t>
      </w:r>
      <w:r>
        <w:rPr>
          <w:color w:val="231F20"/>
          <w:spacing w:val="-11"/>
        </w:rPr>
        <w:t> </w:t>
      </w:r>
      <w:r>
        <w:rPr>
          <w:color w:val="231F20"/>
        </w:rPr>
        <w:t>укупних</w:t>
      </w:r>
      <w:r>
        <w:rPr>
          <w:color w:val="231F20"/>
          <w:spacing w:val="-11"/>
        </w:rPr>
        <w:t> </w:t>
      </w:r>
      <w:r>
        <w:rPr>
          <w:color w:val="231F20"/>
        </w:rPr>
        <w:t>таложних</w:t>
      </w:r>
      <w:r>
        <w:rPr>
          <w:color w:val="231F20"/>
          <w:spacing w:val="-11"/>
        </w:rPr>
        <w:t> </w:t>
      </w:r>
      <w:r>
        <w:rPr>
          <w:color w:val="231F20"/>
        </w:rPr>
        <w:t>материја</w:t>
      </w:r>
      <w:r>
        <w:rPr>
          <w:color w:val="231F20"/>
          <w:spacing w:val="-11"/>
        </w:rPr>
        <w:t> </w:t>
      </w:r>
      <w:r>
        <w:rPr>
          <w:color w:val="231F20"/>
        </w:rPr>
        <w:t>и</w:t>
      </w:r>
      <w:r>
        <w:rPr>
          <w:color w:val="231F20"/>
          <w:spacing w:val="-11"/>
        </w:rPr>
        <w:t> </w:t>
      </w:r>
      <w:r>
        <w:rPr>
          <w:color w:val="231F20"/>
        </w:rPr>
        <w:t>концентрацију суспендованих честица PM10 и PM²,5; у таложним материјама </w:t>
      </w:r>
      <w:r>
        <w:rPr>
          <w:color w:val="231F20"/>
          <w:spacing w:val="-3"/>
        </w:rPr>
        <w:t>од- </w:t>
      </w:r>
      <w:r>
        <w:rPr>
          <w:color w:val="231F20"/>
        </w:rPr>
        <w:t>ређивати</w:t>
      </w:r>
      <w:r>
        <w:rPr>
          <w:color w:val="231F20"/>
          <w:spacing w:val="-10"/>
        </w:rPr>
        <w:t> </w:t>
      </w:r>
      <w:r>
        <w:rPr>
          <w:color w:val="231F20"/>
        </w:rPr>
        <w:t>садржај</w:t>
      </w:r>
      <w:r>
        <w:rPr>
          <w:color w:val="231F20"/>
          <w:spacing w:val="-10"/>
        </w:rPr>
        <w:t> </w:t>
      </w:r>
      <w:r>
        <w:rPr>
          <w:color w:val="231F20"/>
        </w:rPr>
        <w:t>метала</w:t>
      </w:r>
      <w:r>
        <w:rPr>
          <w:color w:val="231F20"/>
          <w:spacing w:val="-10"/>
        </w:rPr>
        <w:t> </w:t>
      </w:r>
      <w:r>
        <w:rPr>
          <w:color w:val="231F20"/>
        </w:rPr>
        <w:t>(олова,</w:t>
      </w:r>
      <w:r>
        <w:rPr>
          <w:color w:val="231F20"/>
          <w:spacing w:val="-10"/>
        </w:rPr>
        <w:t> </w:t>
      </w:r>
      <w:r>
        <w:rPr>
          <w:color w:val="231F20"/>
        </w:rPr>
        <w:t>кадмијума,</w:t>
      </w:r>
      <w:r>
        <w:rPr>
          <w:color w:val="231F20"/>
          <w:spacing w:val="-10"/>
        </w:rPr>
        <w:t> </w:t>
      </w:r>
      <w:r>
        <w:rPr>
          <w:color w:val="231F20"/>
        </w:rPr>
        <w:t>цинка,</w:t>
      </w:r>
      <w:r>
        <w:rPr>
          <w:color w:val="231F20"/>
          <w:spacing w:val="-10"/>
        </w:rPr>
        <w:t> </w:t>
      </w:r>
      <w:r>
        <w:rPr>
          <w:color w:val="231F20"/>
        </w:rPr>
        <w:t>живе</w:t>
      </w:r>
      <w:r>
        <w:rPr>
          <w:color w:val="231F20"/>
          <w:spacing w:val="-10"/>
        </w:rPr>
        <w:t> </w:t>
      </w:r>
      <w:r>
        <w:rPr>
          <w:color w:val="231F20"/>
        </w:rPr>
        <w:t>и</w:t>
      </w:r>
      <w:r>
        <w:rPr>
          <w:color w:val="231F20"/>
          <w:spacing w:val="-10"/>
        </w:rPr>
        <w:t> </w:t>
      </w:r>
      <w:r>
        <w:rPr>
          <w:color w:val="231F20"/>
        </w:rPr>
        <w:t>арсена);</w:t>
      </w:r>
    </w:p>
    <w:p>
      <w:pPr>
        <w:pStyle w:val="BodyText"/>
        <w:spacing w:line="232" w:lineRule="auto"/>
        <w:ind w:right="411" w:firstLine="397"/>
      </w:pPr>
      <w:r>
        <w:rPr>
          <w:color w:val="231F20"/>
          <w:w w:val="66"/>
        </w:rPr>
        <w:t> </w:t>
      </w:r>
      <w:r>
        <w:rPr>
          <w:color w:val="231F20"/>
        </w:rPr>
        <w:t>– контрола квалитета воде у Млави, односно, узорковање и одређивање квалитета вршити четири пута годишње у активној фази (док се одлажу пепео и шљака) и два пута годишње после престанка</w:t>
      </w:r>
      <w:r>
        <w:rPr>
          <w:color w:val="231F20"/>
          <w:spacing w:val="-7"/>
        </w:rPr>
        <w:t> </w:t>
      </w:r>
      <w:r>
        <w:rPr>
          <w:color w:val="231F20"/>
        </w:rPr>
        <w:t>одлагања;</w:t>
      </w:r>
      <w:r>
        <w:rPr>
          <w:color w:val="231F20"/>
          <w:spacing w:val="-7"/>
        </w:rPr>
        <w:t> </w:t>
      </w:r>
      <w:r>
        <w:rPr>
          <w:color w:val="231F20"/>
        </w:rPr>
        <w:t>узорковање</w:t>
      </w:r>
      <w:r>
        <w:rPr>
          <w:color w:val="231F20"/>
          <w:spacing w:val="-7"/>
        </w:rPr>
        <w:t> </w:t>
      </w:r>
      <w:r>
        <w:rPr>
          <w:color w:val="231F20"/>
        </w:rPr>
        <w:t>вршити</w:t>
      </w:r>
      <w:r>
        <w:rPr>
          <w:color w:val="231F20"/>
          <w:spacing w:val="-7"/>
        </w:rPr>
        <w:t> </w:t>
      </w:r>
      <w:r>
        <w:rPr>
          <w:color w:val="231F20"/>
        </w:rPr>
        <w:t>узводно</w:t>
      </w:r>
      <w:r>
        <w:rPr>
          <w:color w:val="231F20"/>
          <w:spacing w:val="-7"/>
        </w:rPr>
        <w:t> </w:t>
      </w:r>
      <w:r>
        <w:rPr>
          <w:color w:val="231F20"/>
        </w:rPr>
        <w:t>и</w:t>
      </w:r>
      <w:r>
        <w:rPr>
          <w:color w:val="231F20"/>
          <w:spacing w:val="-7"/>
        </w:rPr>
        <w:t> </w:t>
      </w:r>
      <w:r>
        <w:rPr>
          <w:color w:val="231F20"/>
        </w:rPr>
        <w:t>низводно</w:t>
      </w:r>
      <w:r>
        <w:rPr>
          <w:color w:val="231F20"/>
          <w:spacing w:val="-7"/>
        </w:rPr>
        <w:t> </w:t>
      </w:r>
      <w:r>
        <w:rPr>
          <w:color w:val="231F20"/>
        </w:rPr>
        <w:t>у</w:t>
      </w:r>
      <w:r>
        <w:rPr>
          <w:color w:val="231F20"/>
          <w:spacing w:val="-7"/>
        </w:rPr>
        <w:t> </w:t>
      </w:r>
      <w:r>
        <w:rPr>
          <w:color w:val="231F20"/>
        </w:rPr>
        <w:t>од- носу на</w:t>
      </w:r>
      <w:r>
        <w:rPr>
          <w:color w:val="231F20"/>
          <w:spacing w:val="-2"/>
        </w:rPr>
        <w:t> </w:t>
      </w:r>
      <w:r>
        <w:rPr>
          <w:color w:val="231F20"/>
        </w:rPr>
        <w:t>депонију;</w:t>
      </w:r>
    </w:p>
    <w:p>
      <w:pPr>
        <w:pStyle w:val="BodyText"/>
        <w:spacing w:line="232" w:lineRule="auto"/>
        <w:ind w:right="412" w:firstLine="396"/>
      </w:pPr>
      <w:r>
        <w:rPr>
          <w:color w:val="231F20"/>
          <w:w w:val="66"/>
        </w:rPr>
        <w:t> </w:t>
      </w:r>
      <w:r>
        <w:rPr>
          <w:color w:val="231F20"/>
        </w:rPr>
        <w:t>– квалитет подземне воде пратити систематским анализира- њем квалитета воде у пијезометрима у околини депоније, четири пута годишње у активној фази (док се одлажу пепео и шљака) и два пута годишње у пасивној фази (после завршетка одлагања); и</w:t>
      </w:r>
    </w:p>
    <w:p>
      <w:pPr>
        <w:pStyle w:val="BodyText"/>
        <w:spacing w:line="232" w:lineRule="auto"/>
        <w:ind w:right="412" w:firstLine="396"/>
      </w:pPr>
      <w:r>
        <w:rPr>
          <w:color w:val="231F20"/>
          <w:w w:val="66"/>
        </w:rPr>
        <w:t> </w:t>
      </w:r>
      <w:r>
        <w:rPr>
          <w:color w:val="231F20"/>
        </w:rPr>
        <w:t>–</w:t>
      </w:r>
      <w:r>
        <w:rPr>
          <w:color w:val="231F20"/>
          <w:spacing w:val="-9"/>
        </w:rPr>
        <w:t> </w:t>
      </w:r>
      <w:r>
        <w:rPr>
          <w:color w:val="231F20"/>
        </w:rPr>
        <w:t>одређивати</w:t>
      </w:r>
      <w:r>
        <w:rPr>
          <w:color w:val="231F20"/>
          <w:spacing w:val="-9"/>
        </w:rPr>
        <w:t> </w:t>
      </w:r>
      <w:r>
        <w:rPr>
          <w:color w:val="231F20"/>
        </w:rPr>
        <w:t>квалитет</w:t>
      </w:r>
      <w:r>
        <w:rPr>
          <w:color w:val="231F20"/>
          <w:spacing w:val="-9"/>
        </w:rPr>
        <w:t> </w:t>
      </w:r>
      <w:r>
        <w:rPr>
          <w:color w:val="231F20"/>
        </w:rPr>
        <w:t>воде</w:t>
      </w:r>
      <w:r>
        <w:rPr>
          <w:color w:val="231F20"/>
          <w:spacing w:val="-9"/>
        </w:rPr>
        <w:t> </w:t>
      </w:r>
      <w:r>
        <w:rPr>
          <w:color w:val="231F20"/>
        </w:rPr>
        <w:t>из</w:t>
      </w:r>
      <w:r>
        <w:rPr>
          <w:color w:val="231F20"/>
          <w:spacing w:val="-9"/>
        </w:rPr>
        <w:t> </w:t>
      </w:r>
      <w:r>
        <w:rPr>
          <w:color w:val="231F20"/>
        </w:rPr>
        <w:t>дренажног</w:t>
      </w:r>
      <w:r>
        <w:rPr>
          <w:color w:val="231F20"/>
          <w:spacing w:val="-9"/>
        </w:rPr>
        <w:t> </w:t>
      </w:r>
      <w:r>
        <w:rPr>
          <w:color w:val="231F20"/>
        </w:rPr>
        <w:t>система</w:t>
      </w:r>
      <w:r>
        <w:rPr>
          <w:color w:val="231F20"/>
          <w:spacing w:val="-9"/>
        </w:rPr>
        <w:t> </w:t>
      </w:r>
      <w:r>
        <w:rPr>
          <w:color w:val="231F20"/>
        </w:rPr>
        <w:t>четири</w:t>
      </w:r>
      <w:r>
        <w:rPr>
          <w:color w:val="231F20"/>
          <w:spacing w:val="-9"/>
        </w:rPr>
        <w:t> </w:t>
      </w:r>
      <w:r>
        <w:rPr>
          <w:color w:val="231F20"/>
        </w:rPr>
        <w:t>пу- та годишње у току активне фазе</w:t>
      </w:r>
      <w:r>
        <w:rPr>
          <w:color w:val="231F20"/>
          <w:spacing w:val="-7"/>
        </w:rPr>
        <w:t> </w:t>
      </w:r>
      <w:r>
        <w:rPr>
          <w:color w:val="231F20"/>
        </w:rPr>
        <w:t>депоније.</w:t>
      </w:r>
    </w:p>
    <w:p>
      <w:pPr>
        <w:pStyle w:val="ListParagraph"/>
        <w:numPr>
          <w:ilvl w:val="2"/>
          <w:numId w:val="63"/>
        </w:numPr>
        <w:tabs>
          <w:tab w:pos="1128" w:val="left" w:leader="none"/>
        </w:tabs>
        <w:spacing w:line="240" w:lineRule="auto" w:before="161" w:after="0"/>
        <w:ind w:left="1127" w:right="0" w:hanging="315"/>
        <w:jc w:val="left"/>
        <w:rPr>
          <w:i/>
          <w:sz w:val="18"/>
        </w:rPr>
      </w:pPr>
      <w:r>
        <w:rPr>
          <w:i/>
          <w:color w:val="231F20"/>
          <w:sz w:val="18"/>
        </w:rPr>
        <w:t>Смернице за спровођење планског</w:t>
      </w:r>
      <w:r>
        <w:rPr>
          <w:i/>
          <w:color w:val="231F20"/>
          <w:spacing w:val="-3"/>
          <w:sz w:val="18"/>
        </w:rPr>
        <w:t> </w:t>
      </w:r>
      <w:r>
        <w:rPr>
          <w:i/>
          <w:color w:val="231F20"/>
          <w:sz w:val="18"/>
        </w:rPr>
        <w:t>документа</w:t>
      </w:r>
    </w:p>
    <w:p>
      <w:pPr>
        <w:pStyle w:val="BodyText"/>
        <w:spacing w:before="3"/>
        <w:ind w:left="0"/>
        <w:jc w:val="left"/>
        <w:rPr>
          <w:i/>
          <w:sz w:val="17"/>
        </w:rPr>
      </w:pPr>
    </w:p>
    <w:p>
      <w:pPr>
        <w:pStyle w:val="BodyText"/>
        <w:spacing w:line="232" w:lineRule="auto" w:before="1"/>
        <w:ind w:left="171" w:right="410" w:firstLine="396"/>
      </w:pPr>
      <w:r>
        <w:rPr>
          <w:color w:val="231F20"/>
        </w:rPr>
        <w:t>На основу правила изградње и уређења надлежни орган мо- же</w:t>
      </w:r>
      <w:r>
        <w:rPr>
          <w:color w:val="231F20"/>
          <w:spacing w:val="-10"/>
        </w:rPr>
        <w:t> </w:t>
      </w:r>
      <w:r>
        <w:rPr>
          <w:color w:val="231F20"/>
        </w:rPr>
        <w:t>издати</w:t>
      </w:r>
      <w:r>
        <w:rPr>
          <w:color w:val="231F20"/>
          <w:spacing w:val="-9"/>
        </w:rPr>
        <w:t> </w:t>
      </w:r>
      <w:r>
        <w:rPr>
          <w:color w:val="231F20"/>
        </w:rPr>
        <w:t>локацијску</w:t>
      </w:r>
      <w:r>
        <w:rPr>
          <w:color w:val="231F20"/>
          <w:spacing w:val="-9"/>
        </w:rPr>
        <w:t> </w:t>
      </w:r>
      <w:r>
        <w:rPr>
          <w:color w:val="231F20"/>
        </w:rPr>
        <w:t>дозволу</w:t>
      </w:r>
      <w:r>
        <w:rPr>
          <w:color w:val="231F20"/>
          <w:spacing w:val="-9"/>
        </w:rPr>
        <w:t> </w:t>
      </w:r>
      <w:r>
        <w:rPr>
          <w:color w:val="231F20"/>
        </w:rPr>
        <w:t>за</w:t>
      </w:r>
      <w:r>
        <w:rPr>
          <w:color w:val="231F20"/>
          <w:spacing w:val="-10"/>
        </w:rPr>
        <w:t> </w:t>
      </w:r>
      <w:r>
        <w:rPr>
          <w:color w:val="231F20"/>
        </w:rPr>
        <w:t>изградњу</w:t>
      </w:r>
      <w:r>
        <w:rPr>
          <w:color w:val="231F20"/>
          <w:spacing w:val="-9"/>
        </w:rPr>
        <w:t> </w:t>
      </w:r>
      <w:r>
        <w:rPr>
          <w:color w:val="231F20"/>
        </w:rPr>
        <w:t>носећих</w:t>
      </w:r>
      <w:r>
        <w:rPr>
          <w:color w:val="231F20"/>
          <w:spacing w:val="-9"/>
        </w:rPr>
        <w:t> </w:t>
      </w:r>
      <w:r>
        <w:rPr>
          <w:color w:val="231F20"/>
        </w:rPr>
        <w:t>конструкција</w:t>
      </w:r>
      <w:r>
        <w:rPr>
          <w:color w:val="231F20"/>
          <w:spacing w:val="-9"/>
        </w:rPr>
        <w:t> </w:t>
      </w:r>
      <w:r>
        <w:rPr>
          <w:color w:val="231F20"/>
        </w:rPr>
        <w:t>и полагање цевовода, извод из планског документа за друге намене </w:t>
      </w:r>
      <w:r>
        <w:rPr>
          <w:color w:val="231F20"/>
          <w:spacing w:val="-3"/>
        </w:rPr>
        <w:t>(комплекс </w:t>
      </w:r>
      <w:r>
        <w:rPr>
          <w:color w:val="231F20"/>
        </w:rPr>
        <w:t>депоније пепела и друго) и извод из планског докумен- та за ове објекте и површине </w:t>
      </w:r>
      <w:r>
        <w:rPr>
          <w:color w:val="231F20"/>
          <w:spacing w:val="-3"/>
        </w:rPr>
        <w:t>од </w:t>
      </w:r>
      <w:r>
        <w:rPr>
          <w:color w:val="231F20"/>
        </w:rPr>
        <w:t>јавног интереса ради утврђива- ња јавног интереса и спровођења експропријације непокретности. Неопходно је </w:t>
      </w:r>
      <w:r>
        <w:rPr>
          <w:color w:val="231F20"/>
          <w:spacing w:val="-3"/>
        </w:rPr>
        <w:t>након </w:t>
      </w:r>
      <w:r>
        <w:rPr>
          <w:color w:val="231F20"/>
        </w:rPr>
        <w:t>доношења Просторног плана урадити пројек- те парцелације и</w:t>
      </w:r>
      <w:r>
        <w:rPr>
          <w:color w:val="231F20"/>
          <w:spacing w:val="-2"/>
        </w:rPr>
        <w:t> </w:t>
      </w:r>
      <w:r>
        <w:rPr>
          <w:color w:val="231F20"/>
        </w:rPr>
        <w:t>препарцелације.</w:t>
      </w:r>
    </w:p>
    <w:p>
      <w:pPr>
        <w:pStyle w:val="BodyText"/>
        <w:spacing w:line="232" w:lineRule="auto"/>
        <w:ind w:left="171" w:right="410" w:firstLine="397"/>
      </w:pPr>
      <w:r>
        <w:rPr>
          <w:color w:val="231F20"/>
        </w:rPr>
        <w:t>Приликом подношења захтева за локацијску дозволу за из- градњу у коридору планираном на грађевинском земљишту, у складу са односним правилником, захтев допунити одговарајућим приказима елемената трасе и техничких решења, ради образложе- ња у случају мањих одступања од утврђених правила уређења и изградње. У случају већих оправданих одступања, промене се мо- рају спровести као мање измене Просторног плана.</w:t>
      </w:r>
    </w:p>
    <w:p>
      <w:pPr>
        <w:pStyle w:val="BodyText"/>
        <w:spacing w:line="232" w:lineRule="auto"/>
        <w:ind w:left="172" w:right="410" w:firstLine="396"/>
      </w:pPr>
      <w:r>
        <w:rPr>
          <w:color w:val="231F20"/>
        </w:rPr>
        <w:t>Приликом изградње, експлоатације и одржавања цевовода и носећих конструкција обезбедити одговарајућу сарадњу са кори- сницима других техничких система у заједничком коридору.</w:t>
      </w:r>
    </w:p>
    <w:p>
      <w:pPr>
        <w:spacing w:after="0" w:line="232" w:lineRule="auto"/>
        <w:sectPr>
          <w:pgSz w:w="12480" w:h="15690"/>
          <w:pgMar w:top="120" w:bottom="280" w:left="680" w:right="720"/>
          <w:cols w:num="2" w:equalWidth="0">
            <w:col w:w="5316" w:space="70"/>
            <w:col w:w="5694"/>
          </w:cols>
        </w:sectPr>
      </w:pPr>
    </w:p>
    <w:p>
      <w:pPr>
        <w:pStyle w:val="Heading1"/>
        <w:numPr>
          <w:ilvl w:val="1"/>
          <w:numId w:val="63"/>
        </w:numPr>
        <w:tabs>
          <w:tab w:pos="894" w:val="left" w:leader="none"/>
        </w:tabs>
        <w:spacing w:line="232" w:lineRule="auto" w:before="70" w:after="0"/>
        <w:ind w:left="2019" w:right="259" w:hanging="1306"/>
        <w:jc w:val="left"/>
      </w:pPr>
      <w:r>
        <w:rPr/>
        <w:pict>
          <v:line style="position:absolute;mso-position-horizontal-relative:page;mso-position-vertical-relative:page;z-index:4672" from="318.897614pt,11.942451pt" to="318.897614pt,748.950451pt" stroked="true" strokeweight=".6pt" strokecolor="#231f20">
            <v:stroke dashstyle="solid"/>
            <w10:wrap type="none"/>
          </v:line>
        </w:pict>
      </w:r>
      <w:r>
        <w:rPr>
          <w:color w:val="231F20"/>
        </w:rPr>
        <w:t>Коридор</w:t>
      </w:r>
      <w:r>
        <w:rPr>
          <w:color w:val="231F20"/>
          <w:spacing w:val="-10"/>
        </w:rPr>
        <w:t> </w:t>
      </w:r>
      <w:r>
        <w:rPr>
          <w:color w:val="231F20"/>
        </w:rPr>
        <w:t>индустријског</w:t>
      </w:r>
      <w:r>
        <w:rPr>
          <w:color w:val="231F20"/>
          <w:spacing w:val="-10"/>
        </w:rPr>
        <w:t> </w:t>
      </w:r>
      <w:r>
        <w:rPr>
          <w:color w:val="231F20"/>
        </w:rPr>
        <w:t>колосека</w:t>
      </w:r>
      <w:r>
        <w:rPr>
          <w:color w:val="231F20"/>
          <w:spacing w:val="-10"/>
        </w:rPr>
        <w:t> </w:t>
      </w:r>
      <w:r>
        <w:rPr>
          <w:color w:val="231F20"/>
        </w:rPr>
        <w:t>железничка</w:t>
      </w:r>
      <w:r>
        <w:rPr>
          <w:color w:val="231F20"/>
          <w:spacing w:val="-10"/>
        </w:rPr>
        <w:t> </w:t>
      </w:r>
      <w:r>
        <w:rPr>
          <w:color w:val="231F20"/>
        </w:rPr>
        <w:t>станица Стиг – ТЕ „Костолац</w:t>
      </w:r>
      <w:r>
        <w:rPr>
          <w:color w:val="231F20"/>
          <w:spacing w:val="-5"/>
        </w:rPr>
        <w:t> </w:t>
      </w:r>
      <w:r>
        <w:rPr>
          <w:color w:val="231F20"/>
        </w:rPr>
        <w:t>Б”</w:t>
      </w:r>
    </w:p>
    <w:p>
      <w:pPr>
        <w:pStyle w:val="ListParagraph"/>
        <w:numPr>
          <w:ilvl w:val="2"/>
          <w:numId w:val="63"/>
        </w:numPr>
        <w:tabs>
          <w:tab w:pos="2514" w:val="left" w:leader="none"/>
        </w:tabs>
        <w:spacing w:line="240" w:lineRule="auto" w:before="165" w:after="0"/>
        <w:ind w:left="2513" w:right="0" w:hanging="31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BodyText"/>
        <w:spacing w:before="5"/>
        <w:ind w:left="0"/>
        <w:jc w:val="left"/>
        <w:rPr>
          <w:i/>
          <w:sz w:val="17"/>
        </w:rPr>
      </w:pPr>
    </w:p>
    <w:p>
      <w:pPr>
        <w:pStyle w:val="BodyText"/>
        <w:spacing w:line="232" w:lineRule="auto"/>
        <w:ind w:left="453" w:right="1" w:firstLine="397"/>
      </w:pPr>
      <w:r>
        <w:rPr>
          <w:color w:val="231F20"/>
        </w:rPr>
        <w:t>Експлоатација угља и производња електричне енергије у термоелектранама </w:t>
      </w:r>
      <w:r>
        <w:rPr>
          <w:color w:val="231F20"/>
          <w:spacing w:val="-3"/>
        </w:rPr>
        <w:t>уско </w:t>
      </w:r>
      <w:r>
        <w:rPr>
          <w:color w:val="231F20"/>
        </w:rPr>
        <w:t>су повезане са системима унутрашњег транспорта угља, </w:t>
      </w:r>
      <w:r>
        <w:rPr>
          <w:color w:val="231F20"/>
          <w:spacing w:val="-3"/>
        </w:rPr>
        <w:t>који </w:t>
      </w:r>
      <w:r>
        <w:rPr>
          <w:color w:val="231F20"/>
        </w:rPr>
        <w:t>чини део основног производног процеса. Повећањем производње угља у </w:t>
      </w:r>
      <w:r>
        <w:rPr>
          <w:color w:val="231F20"/>
          <w:spacing w:val="-4"/>
        </w:rPr>
        <w:t>Костолачком </w:t>
      </w:r>
      <w:r>
        <w:rPr>
          <w:color w:val="231F20"/>
          <w:spacing w:val="-3"/>
        </w:rPr>
        <w:t>басену, </w:t>
      </w:r>
      <w:r>
        <w:rPr>
          <w:color w:val="231F20"/>
        </w:rPr>
        <w:t>створене су могућности</w:t>
      </w:r>
      <w:r>
        <w:rPr>
          <w:color w:val="231F20"/>
          <w:spacing w:val="-5"/>
        </w:rPr>
        <w:t> </w:t>
      </w:r>
      <w:r>
        <w:rPr>
          <w:color w:val="231F20"/>
        </w:rPr>
        <w:t>за</w:t>
      </w:r>
      <w:r>
        <w:rPr>
          <w:color w:val="231F20"/>
          <w:spacing w:val="-6"/>
        </w:rPr>
        <w:t> </w:t>
      </w:r>
      <w:r>
        <w:rPr>
          <w:color w:val="231F20"/>
        </w:rPr>
        <w:t>снабдевање</w:t>
      </w:r>
      <w:r>
        <w:rPr>
          <w:color w:val="231F20"/>
          <w:spacing w:val="-5"/>
        </w:rPr>
        <w:t> </w:t>
      </w:r>
      <w:r>
        <w:rPr>
          <w:color w:val="231F20"/>
        </w:rPr>
        <w:t>угљем</w:t>
      </w:r>
      <w:r>
        <w:rPr>
          <w:color w:val="231F20"/>
          <w:spacing w:val="-5"/>
        </w:rPr>
        <w:t> </w:t>
      </w:r>
      <w:r>
        <w:rPr>
          <w:color w:val="231F20"/>
        </w:rPr>
        <w:t>суседне</w:t>
      </w:r>
      <w:r>
        <w:rPr>
          <w:color w:val="231F20"/>
          <w:spacing w:val="-5"/>
        </w:rPr>
        <w:t> </w:t>
      </w:r>
      <w:r>
        <w:rPr>
          <w:color w:val="231F20"/>
        </w:rPr>
        <w:t>ТЕ</w:t>
      </w:r>
      <w:r>
        <w:rPr>
          <w:color w:val="231F20"/>
          <w:spacing w:val="-6"/>
        </w:rPr>
        <w:t> </w:t>
      </w:r>
      <w:r>
        <w:rPr>
          <w:color w:val="231F20"/>
        </w:rPr>
        <w:t>„Морава”</w:t>
      </w:r>
      <w:r>
        <w:rPr>
          <w:color w:val="231F20"/>
          <w:spacing w:val="-6"/>
        </w:rPr>
        <w:t> </w:t>
      </w:r>
      <w:r>
        <w:rPr>
          <w:color w:val="231F20"/>
        </w:rPr>
        <w:t>у</w:t>
      </w:r>
      <w:r>
        <w:rPr>
          <w:color w:val="231F20"/>
          <w:spacing w:val="-5"/>
        </w:rPr>
        <w:t> </w:t>
      </w:r>
      <w:r>
        <w:rPr>
          <w:color w:val="231F20"/>
        </w:rPr>
        <w:t>Свилајн- </w:t>
      </w:r>
      <w:r>
        <w:rPr>
          <w:color w:val="231F20"/>
          <w:spacing w:val="-7"/>
        </w:rPr>
        <w:t>цу, </w:t>
      </w:r>
      <w:r>
        <w:rPr>
          <w:color w:val="231F20"/>
        </w:rPr>
        <w:t>што је произвело нови транспортни захтев, односно редовно снабдевање ТЕ „Морава”</w:t>
      </w:r>
      <w:r>
        <w:rPr>
          <w:color w:val="231F20"/>
          <w:spacing w:val="-2"/>
        </w:rPr>
        <w:t> </w:t>
      </w:r>
      <w:r>
        <w:rPr>
          <w:color w:val="231F20"/>
        </w:rPr>
        <w:t>угљем.</w:t>
      </w:r>
    </w:p>
    <w:p>
      <w:pPr>
        <w:pStyle w:val="BodyText"/>
        <w:spacing w:line="201" w:lineRule="exact"/>
        <w:ind w:left="850"/>
        <w:jc w:val="left"/>
      </w:pPr>
      <w:r>
        <w:rPr>
          <w:color w:val="231F20"/>
        </w:rPr>
        <w:t>На другој страни, у циљу заштите животне средине, у ТЕ</w:t>
      </w:r>
    </w:p>
    <w:p>
      <w:pPr>
        <w:pStyle w:val="BodyText"/>
        <w:spacing w:line="232" w:lineRule="auto" w:before="2"/>
        <w:ind w:left="453" w:right="1"/>
      </w:pPr>
      <w:r>
        <w:rPr>
          <w:color w:val="231F20"/>
        </w:rPr>
        <w:t>„Костолац Б” биће монтирано постројење за одсумпоравање дим- них гасова, за шта је потребно обезбедити довоз кречњака до тер- моелектране, док се истовремено може појавити потреба за тран- спортом гипса и сувог пепела, који настају као нуспроизводи у процесима одсумпоравања.</w:t>
      </w:r>
    </w:p>
    <w:p>
      <w:pPr>
        <w:pStyle w:val="BodyText"/>
        <w:spacing w:line="200" w:lineRule="exact"/>
        <w:ind w:left="850"/>
        <w:jc w:val="left"/>
      </w:pPr>
      <w:r>
        <w:rPr>
          <w:color w:val="231F20"/>
        </w:rPr>
        <w:t>Колосек</w:t>
      </w:r>
      <w:r>
        <w:rPr>
          <w:color w:val="231F20"/>
          <w:spacing w:val="-8"/>
        </w:rPr>
        <w:t> </w:t>
      </w:r>
      <w:r>
        <w:rPr>
          <w:color w:val="231F20"/>
          <w:spacing w:val="-3"/>
        </w:rPr>
        <w:t>који</w:t>
      </w:r>
      <w:r>
        <w:rPr>
          <w:color w:val="231F20"/>
          <w:spacing w:val="-8"/>
        </w:rPr>
        <w:t> </w:t>
      </w:r>
      <w:r>
        <w:rPr>
          <w:color w:val="231F20"/>
        </w:rPr>
        <w:t>је</w:t>
      </w:r>
      <w:r>
        <w:rPr>
          <w:color w:val="231F20"/>
          <w:spacing w:val="-8"/>
        </w:rPr>
        <w:t> </w:t>
      </w:r>
      <w:r>
        <w:rPr>
          <w:color w:val="231F20"/>
        </w:rPr>
        <w:t>повезивао</w:t>
      </w:r>
      <w:r>
        <w:rPr>
          <w:color w:val="231F20"/>
          <w:spacing w:val="-8"/>
        </w:rPr>
        <w:t> </w:t>
      </w:r>
      <w:r>
        <w:rPr>
          <w:color w:val="231F20"/>
        </w:rPr>
        <w:t>постојећу</w:t>
      </w:r>
      <w:r>
        <w:rPr>
          <w:color w:val="231F20"/>
          <w:spacing w:val="-8"/>
        </w:rPr>
        <w:t> </w:t>
      </w:r>
      <w:r>
        <w:rPr>
          <w:color w:val="231F20"/>
        </w:rPr>
        <w:t>железничку</w:t>
      </w:r>
      <w:r>
        <w:rPr>
          <w:color w:val="231F20"/>
          <w:spacing w:val="-8"/>
        </w:rPr>
        <w:t> </w:t>
      </w:r>
      <w:r>
        <w:rPr>
          <w:color w:val="231F20"/>
        </w:rPr>
        <w:t>мрежу</w:t>
      </w:r>
      <w:r>
        <w:rPr>
          <w:color w:val="231F20"/>
          <w:spacing w:val="-8"/>
        </w:rPr>
        <w:t> </w:t>
      </w:r>
      <w:r>
        <w:rPr>
          <w:color w:val="231F20"/>
        </w:rPr>
        <w:t>са</w:t>
      </w:r>
      <w:r>
        <w:rPr>
          <w:color w:val="231F20"/>
          <w:spacing w:val="-8"/>
        </w:rPr>
        <w:t> </w:t>
      </w:r>
      <w:r>
        <w:rPr>
          <w:color w:val="231F20"/>
        </w:rPr>
        <w:t>ТЕ</w:t>
      </w:r>
    </w:p>
    <w:p>
      <w:pPr>
        <w:pStyle w:val="BodyText"/>
        <w:spacing w:line="232" w:lineRule="auto" w:before="2"/>
        <w:ind w:left="453" w:right="1"/>
      </w:pPr>
      <w:r>
        <w:rPr>
          <w:color w:val="231F20"/>
        </w:rPr>
        <w:t>„Костолац Б” постојао је </w:t>
      </w:r>
      <w:r>
        <w:rPr>
          <w:color w:val="231F20"/>
          <w:spacing w:val="-3"/>
        </w:rPr>
        <w:t>од </w:t>
      </w:r>
      <w:r>
        <w:rPr>
          <w:color w:val="231F20"/>
        </w:rPr>
        <w:t>железничке станице Стиг (на прузи Мала Крсна – Бор – Распутница 2 – (Вражогрнац)) до ТЕ „Косто- лац</w:t>
      </w:r>
      <w:r>
        <w:rPr>
          <w:color w:val="231F20"/>
          <w:spacing w:val="-8"/>
        </w:rPr>
        <w:t> </w:t>
      </w:r>
      <w:r>
        <w:rPr>
          <w:color w:val="231F20"/>
        </w:rPr>
        <w:t>Б”.</w:t>
      </w:r>
      <w:r>
        <w:rPr>
          <w:color w:val="231F20"/>
          <w:spacing w:val="-8"/>
        </w:rPr>
        <w:t> </w:t>
      </w:r>
      <w:r>
        <w:rPr>
          <w:color w:val="231F20"/>
        </w:rPr>
        <w:t>Колосек</w:t>
      </w:r>
      <w:r>
        <w:rPr>
          <w:color w:val="231F20"/>
          <w:spacing w:val="-8"/>
        </w:rPr>
        <w:t> </w:t>
      </w:r>
      <w:r>
        <w:rPr>
          <w:color w:val="231F20"/>
        </w:rPr>
        <w:t>је</w:t>
      </w:r>
      <w:r>
        <w:rPr>
          <w:color w:val="231F20"/>
          <w:spacing w:val="-8"/>
        </w:rPr>
        <w:t> </w:t>
      </w:r>
      <w:r>
        <w:rPr>
          <w:color w:val="231F20"/>
        </w:rPr>
        <w:t>био</w:t>
      </w:r>
      <w:r>
        <w:rPr>
          <w:color w:val="231F20"/>
          <w:spacing w:val="-8"/>
        </w:rPr>
        <w:t> </w:t>
      </w:r>
      <w:r>
        <w:rPr>
          <w:color w:val="231F20"/>
        </w:rPr>
        <w:t>нормалне</w:t>
      </w:r>
      <w:r>
        <w:rPr>
          <w:color w:val="231F20"/>
          <w:spacing w:val="-8"/>
        </w:rPr>
        <w:t> </w:t>
      </w:r>
      <w:r>
        <w:rPr>
          <w:color w:val="231F20"/>
        </w:rPr>
        <w:t>ширине</w:t>
      </w:r>
      <w:r>
        <w:rPr>
          <w:color w:val="231F20"/>
          <w:spacing w:val="-8"/>
        </w:rPr>
        <w:t> </w:t>
      </w:r>
      <w:r>
        <w:rPr>
          <w:color w:val="231F20"/>
        </w:rPr>
        <w:t>(1.435</w:t>
      </w:r>
      <w:r>
        <w:rPr>
          <w:color w:val="231F20"/>
          <w:spacing w:val="-8"/>
        </w:rPr>
        <w:t> </w:t>
      </w:r>
      <w:r>
        <w:rPr>
          <w:color w:val="231F20"/>
        </w:rPr>
        <w:t>mm),</w:t>
      </w:r>
      <w:r>
        <w:rPr>
          <w:color w:val="231F20"/>
          <w:spacing w:val="-8"/>
        </w:rPr>
        <w:t> </w:t>
      </w:r>
      <w:r>
        <w:rPr>
          <w:color w:val="231F20"/>
        </w:rPr>
        <w:t>носивости</w:t>
      </w:r>
      <w:r>
        <w:rPr>
          <w:color w:val="231F20"/>
          <w:spacing w:val="-8"/>
        </w:rPr>
        <w:t> </w:t>
      </w:r>
      <w:r>
        <w:rPr>
          <w:color w:val="231F20"/>
        </w:rPr>
        <w:t>18 t/os, неелектрифициран и изграђен за потребе допреме опреме за термоелектрану. </w:t>
      </w:r>
      <w:r>
        <w:rPr>
          <w:color w:val="231F20"/>
          <w:spacing w:val="-3"/>
        </w:rPr>
        <w:t>Након </w:t>
      </w:r>
      <w:r>
        <w:rPr>
          <w:color w:val="231F20"/>
        </w:rPr>
        <w:t>одвајања из станице </w:t>
      </w:r>
      <w:r>
        <w:rPr>
          <w:color w:val="231F20"/>
          <w:spacing w:val="-6"/>
        </w:rPr>
        <w:t>Стиг, </w:t>
      </w:r>
      <w:r>
        <w:rPr>
          <w:color w:val="231F20"/>
        </w:rPr>
        <w:t>колосек је пре- лазио </w:t>
      </w:r>
      <w:r>
        <w:rPr>
          <w:color w:val="231F20"/>
          <w:spacing w:val="-3"/>
        </w:rPr>
        <w:t>преко </w:t>
      </w:r>
      <w:r>
        <w:rPr>
          <w:color w:val="231F20"/>
        </w:rPr>
        <w:t>локације садашњег површинског </w:t>
      </w:r>
      <w:r>
        <w:rPr>
          <w:color w:val="231F20"/>
          <w:spacing w:val="-3"/>
        </w:rPr>
        <w:t>копа </w:t>
      </w:r>
      <w:r>
        <w:rPr>
          <w:color w:val="231F20"/>
        </w:rPr>
        <w:t>„Дрмно”, </w:t>
      </w:r>
      <w:r>
        <w:rPr>
          <w:color w:val="231F20"/>
          <w:spacing w:val="-3"/>
        </w:rPr>
        <w:t>који </w:t>
      </w:r>
      <w:r>
        <w:rPr>
          <w:color w:val="231F20"/>
        </w:rPr>
        <w:t>је у експлоатацији. Положај колосека ометао је напредовање ру- дарских радова на </w:t>
      </w:r>
      <w:r>
        <w:rPr>
          <w:color w:val="231F20"/>
          <w:spacing w:val="-6"/>
        </w:rPr>
        <w:t>копу, </w:t>
      </w:r>
      <w:r>
        <w:rPr>
          <w:color w:val="231F20"/>
        </w:rPr>
        <w:t>те је стога демонтиран у </w:t>
      </w:r>
      <w:r>
        <w:rPr>
          <w:color w:val="231F20"/>
          <w:spacing w:val="-3"/>
        </w:rPr>
        <w:t>том </w:t>
      </w:r>
      <w:r>
        <w:rPr>
          <w:color w:val="231F20"/>
          <w:spacing w:val="-5"/>
        </w:rPr>
        <w:t>делу. </w:t>
      </w:r>
      <w:r>
        <w:rPr>
          <w:color w:val="231F20"/>
        </w:rPr>
        <w:t>У окви- ру </w:t>
      </w:r>
      <w:r>
        <w:rPr>
          <w:color w:val="231F20"/>
          <w:spacing w:val="-3"/>
        </w:rPr>
        <w:t>комплекса </w:t>
      </w:r>
      <w:r>
        <w:rPr>
          <w:color w:val="231F20"/>
        </w:rPr>
        <w:t>ТЕ „Костолац Б” постоје индустријски колосеци </w:t>
      </w:r>
      <w:r>
        <w:rPr>
          <w:color w:val="231F20"/>
          <w:spacing w:val="-4"/>
        </w:rPr>
        <w:t>ко- </w:t>
      </w:r>
      <w:r>
        <w:rPr>
          <w:color w:val="231F20"/>
        </w:rPr>
        <w:t>ји се налазе у веома лошем</w:t>
      </w:r>
      <w:r>
        <w:rPr>
          <w:color w:val="231F20"/>
          <w:spacing w:val="-3"/>
        </w:rPr>
        <w:t> </w:t>
      </w:r>
      <w:r>
        <w:rPr>
          <w:color w:val="231F20"/>
          <w:spacing w:val="-4"/>
        </w:rPr>
        <w:t>стању.</w:t>
      </w:r>
    </w:p>
    <w:p>
      <w:pPr>
        <w:pStyle w:val="BodyText"/>
        <w:spacing w:line="232" w:lineRule="auto" w:before="3"/>
        <w:ind w:left="454" w:firstLine="397"/>
      </w:pPr>
      <w:r>
        <w:rPr>
          <w:color w:val="231F20"/>
        </w:rPr>
        <w:t>Траса коридора пруге пролази равничарским подручјем са ниским местимичним побрђем, на којем се налазе обрадиве повр- шине и воћњаци. Услед дугогодишње површинске експлоатације угља, знатно је измењен терен што условљава планирану трасу железничке пруге.</w:t>
      </w:r>
    </w:p>
    <w:p>
      <w:pPr>
        <w:pStyle w:val="ListParagraph"/>
        <w:numPr>
          <w:ilvl w:val="2"/>
          <w:numId w:val="63"/>
        </w:numPr>
        <w:tabs>
          <w:tab w:pos="2009" w:val="left" w:leader="none"/>
        </w:tabs>
        <w:spacing w:line="240" w:lineRule="auto" w:before="166" w:after="0"/>
        <w:ind w:left="2008" w:right="0" w:hanging="315"/>
        <w:jc w:val="left"/>
        <w:rPr>
          <w:i/>
          <w:sz w:val="18"/>
        </w:rPr>
      </w:pPr>
      <w:r>
        <w:rPr>
          <w:i/>
          <w:color w:val="231F20"/>
          <w:sz w:val="18"/>
        </w:rPr>
        <w:t>Просторни обухват</w:t>
      </w:r>
      <w:r>
        <w:rPr>
          <w:i/>
          <w:color w:val="231F20"/>
          <w:spacing w:val="-3"/>
          <w:sz w:val="18"/>
        </w:rPr>
        <w:t> </w:t>
      </w:r>
      <w:r>
        <w:rPr>
          <w:i/>
          <w:color w:val="231F20"/>
          <w:sz w:val="18"/>
        </w:rPr>
        <w:t>коридора</w:t>
      </w:r>
    </w:p>
    <w:p>
      <w:pPr>
        <w:pStyle w:val="BodyText"/>
        <w:spacing w:before="5"/>
        <w:ind w:left="0"/>
        <w:jc w:val="left"/>
        <w:rPr>
          <w:i/>
          <w:sz w:val="17"/>
        </w:rPr>
      </w:pPr>
    </w:p>
    <w:p>
      <w:pPr>
        <w:pStyle w:val="BodyText"/>
        <w:spacing w:line="232" w:lineRule="auto"/>
        <w:ind w:left="454" w:right="1" w:firstLine="396"/>
      </w:pPr>
      <w:r>
        <w:rPr>
          <w:color w:val="231F20"/>
        </w:rPr>
        <w:t>Подручје коридора припада катастарским општинама: КО Сираково у општини Велико Градиште и КО Берање, КО Брада- рац, КО Дрмно, КО Кленовик и КО Костолац село у Пожаревцу.</w:t>
      </w:r>
    </w:p>
    <w:p>
      <w:pPr>
        <w:pStyle w:val="BodyText"/>
        <w:spacing w:line="200" w:lineRule="exact"/>
        <w:ind w:left="850"/>
        <w:jc w:val="left"/>
      </w:pPr>
      <w:r>
        <w:rPr>
          <w:color w:val="231F20"/>
        </w:rPr>
        <w:t>КО Сираково у општини Велико Градиште,</w:t>
      </w:r>
    </w:p>
    <w:p>
      <w:pPr>
        <w:pStyle w:val="BodyText"/>
        <w:spacing w:line="201" w:lineRule="exact"/>
        <w:ind w:left="850"/>
        <w:jc w:val="left"/>
      </w:pPr>
      <w:r>
        <w:rPr>
          <w:color w:val="231F20"/>
        </w:rPr>
        <w:t>делови к.п.бр. 6796, 6795, 6794, 6793, 6792, 6791, 6790, 6789,</w:t>
      </w:r>
    </w:p>
    <w:p>
      <w:pPr>
        <w:pStyle w:val="BodyText"/>
        <w:spacing w:line="201" w:lineRule="exact"/>
        <w:ind w:left="454"/>
      </w:pPr>
      <w:r>
        <w:rPr>
          <w:color w:val="231F20"/>
        </w:rPr>
        <w:t>6788, 6787, 6784,6783, 6782, 6781, 6780, 6779, 6778, 6777, 6776,</w:t>
      </w:r>
    </w:p>
    <w:p>
      <w:pPr>
        <w:pStyle w:val="BodyText"/>
        <w:spacing w:line="201" w:lineRule="exact"/>
        <w:ind w:left="454"/>
      </w:pPr>
      <w:r>
        <w:rPr>
          <w:color w:val="231F20"/>
        </w:rPr>
        <w:t>6775, 6774, 6773, 6772, 6771, 6770, 6769, 6768, 6767, 6766,  6742/1,</w:t>
      </w:r>
    </w:p>
    <w:p>
      <w:pPr>
        <w:pStyle w:val="BodyText"/>
        <w:spacing w:line="201" w:lineRule="exact"/>
        <w:ind w:left="454"/>
      </w:pPr>
      <w:r>
        <w:rPr>
          <w:color w:val="231F20"/>
        </w:rPr>
        <w:t>6743/1, 6743/2, 6743/3, 6743/4, 6743/5, и целе 6728</w:t>
      </w:r>
    </w:p>
    <w:p>
      <w:pPr>
        <w:pStyle w:val="BodyText"/>
        <w:spacing w:line="201" w:lineRule="exact"/>
        <w:ind w:left="850"/>
        <w:jc w:val="left"/>
      </w:pPr>
      <w:r>
        <w:rPr>
          <w:color w:val="231F20"/>
        </w:rPr>
        <w:t>Делови 6742/1, 6741, 6740, 6739, 7638, 6737, 6736, 6735,</w:t>
      </w:r>
    </w:p>
    <w:p>
      <w:pPr>
        <w:pStyle w:val="BodyText"/>
        <w:spacing w:line="201" w:lineRule="exact"/>
        <w:ind w:left="453"/>
      </w:pPr>
      <w:r>
        <w:rPr>
          <w:color w:val="231F20"/>
        </w:rPr>
        <w:t>6734, 6733, 6732, 6731,6730, 7660,</w:t>
      </w:r>
    </w:p>
    <w:p>
      <w:pPr>
        <w:pStyle w:val="BodyText"/>
        <w:spacing w:line="232" w:lineRule="auto" w:before="2"/>
        <w:ind w:left="850" w:right="2244" w:hanging="1"/>
        <w:jc w:val="left"/>
      </w:pPr>
      <w:r>
        <w:rPr>
          <w:color w:val="231F20"/>
        </w:rPr>
        <w:t>Градска општина Пожаревац КО Берање,</w:t>
      </w:r>
    </w:p>
    <w:p>
      <w:pPr>
        <w:pStyle w:val="BodyText"/>
        <w:spacing w:line="200" w:lineRule="exact"/>
        <w:ind w:left="850"/>
        <w:jc w:val="left"/>
      </w:pPr>
      <w:r>
        <w:rPr>
          <w:color w:val="231F20"/>
        </w:rPr>
        <w:t>(к.п.  бр.  788,  797,  798  пруга)  кп.бр.  246  кп.бр.  247,  248,</w:t>
      </w:r>
    </w:p>
    <w:p>
      <w:pPr>
        <w:pStyle w:val="BodyText"/>
        <w:spacing w:line="201" w:lineRule="exact"/>
        <w:ind w:left="454"/>
      </w:pPr>
      <w:r>
        <w:rPr>
          <w:color w:val="231F20"/>
        </w:rPr>
        <w:t>249, 250,257 делови кп.бр.110, 109, 108, 107, 106, 105, 104, 103,</w:t>
      </w:r>
    </w:p>
    <w:p>
      <w:pPr>
        <w:pStyle w:val="BodyText"/>
        <w:spacing w:line="201" w:lineRule="exact"/>
        <w:ind w:left="454"/>
      </w:pPr>
      <w:r>
        <w:rPr>
          <w:color w:val="231F20"/>
        </w:rPr>
        <w:t>102,101, 100, 99, 98, 97, 96, 93, 92, 91, 90, 89, 88, целе 87 и 86 део</w:t>
      </w:r>
    </w:p>
    <w:p>
      <w:pPr>
        <w:pStyle w:val="BodyText"/>
        <w:spacing w:line="201" w:lineRule="exact"/>
        <w:ind w:left="454"/>
      </w:pPr>
      <w:r>
        <w:rPr>
          <w:color w:val="231F20"/>
        </w:rPr>
        <w:t>796, и делови 85, 84, 83, 82, 81, 80, 79, 78, 77, 76, 75, 74, 73, целе</w:t>
      </w:r>
    </w:p>
    <w:p>
      <w:pPr>
        <w:pStyle w:val="BodyText"/>
        <w:spacing w:line="201" w:lineRule="exact"/>
        <w:ind w:left="454"/>
      </w:pPr>
      <w:r>
        <w:rPr>
          <w:color w:val="231F20"/>
        </w:rPr>
        <w:t>72, 71, 70, 69, 68, 67. кп.бр. 48, 49, 50, 51, 52, 53, 54, 55, 56, 57,  58,</w:t>
      </w:r>
    </w:p>
    <w:p>
      <w:pPr>
        <w:pStyle w:val="BodyText"/>
        <w:spacing w:line="201" w:lineRule="exact"/>
        <w:ind w:left="454"/>
      </w:pPr>
      <w:r>
        <w:rPr>
          <w:color w:val="231F20"/>
        </w:rPr>
        <w:t>59, 60, 61, 62, 63, 64, 65, 799, 111, 112, 113, 114, 115, 116, 117, 118,</w:t>
      </w:r>
    </w:p>
    <w:p>
      <w:pPr>
        <w:pStyle w:val="BodyText"/>
        <w:spacing w:line="201" w:lineRule="exact"/>
        <w:ind w:left="454"/>
      </w:pPr>
      <w:r>
        <w:rPr>
          <w:color w:val="231F20"/>
        </w:rPr>
        <w:t>119, 120, 121, 122, 123, 124, 125, 126, 127, 128, 129, 130, 131, 131,</w:t>
      </w:r>
    </w:p>
    <w:p>
      <w:pPr>
        <w:pStyle w:val="BodyText"/>
        <w:spacing w:line="201" w:lineRule="exact"/>
        <w:ind w:left="454"/>
      </w:pPr>
      <w:r>
        <w:rPr>
          <w:color w:val="231F20"/>
        </w:rPr>
        <w:t>132, 133, 134, 135, 136, 137, 138, 803, 233, 234, 235, 236, 237, 238,</w:t>
      </w:r>
    </w:p>
    <w:p>
      <w:pPr>
        <w:pStyle w:val="BodyText"/>
        <w:spacing w:line="201" w:lineRule="exact"/>
        <w:ind w:left="454"/>
      </w:pPr>
      <w:r>
        <w:rPr>
          <w:color w:val="231F20"/>
        </w:rPr>
        <w:t>239, 240, 241, 242, 243 245</w:t>
      </w:r>
    </w:p>
    <w:p>
      <w:pPr>
        <w:pStyle w:val="BodyText"/>
        <w:spacing w:line="201" w:lineRule="exact"/>
        <w:ind w:left="850"/>
        <w:jc w:val="left"/>
      </w:pPr>
      <w:r>
        <w:rPr>
          <w:color w:val="231F20"/>
        </w:rPr>
        <w:t>КО Брадарац,</w:t>
      </w:r>
    </w:p>
    <w:p>
      <w:pPr>
        <w:pStyle w:val="BodyText"/>
        <w:spacing w:line="201" w:lineRule="exact"/>
        <w:ind w:left="850"/>
        <w:jc w:val="left"/>
      </w:pPr>
      <w:r>
        <w:rPr>
          <w:color w:val="231F20"/>
        </w:rPr>
        <w:t>цела к.п.бр. 706, делови 705, 707, 708, 709, 714, 715, 716,</w:t>
      </w:r>
      <w:r>
        <w:rPr>
          <w:color w:val="231F20"/>
          <w:spacing w:val="-16"/>
        </w:rPr>
        <w:t> </w:t>
      </w:r>
      <w:r>
        <w:rPr>
          <w:color w:val="231F20"/>
        </w:rPr>
        <w:t>717,</w:t>
      </w:r>
    </w:p>
    <w:p>
      <w:pPr>
        <w:pStyle w:val="BodyText"/>
        <w:spacing w:line="201" w:lineRule="exact"/>
        <w:ind w:left="454"/>
      </w:pPr>
      <w:r>
        <w:rPr>
          <w:color w:val="231F20"/>
        </w:rPr>
        <w:t>718,</w:t>
      </w:r>
      <w:r>
        <w:rPr>
          <w:color w:val="231F20"/>
          <w:spacing w:val="-5"/>
        </w:rPr>
        <w:t> </w:t>
      </w:r>
      <w:r>
        <w:rPr>
          <w:color w:val="231F20"/>
        </w:rPr>
        <w:t>719,</w:t>
      </w:r>
      <w:r>
        <w:rPr>
          <w:color w:val="231F20"/>
          <w:spacing w:val="-5"/>
        </w:rPr>
        <w:t> </w:t>
      </w:r>
      <w:r>
        <w:rPr>
          <w:color w:val="231F20"/>
        </w:rPr>
        <w:t>720,</w:t>
      </w:r>
      <w:r>
        <w:rPr>
          <w:color w:val="231F20"/>
          <w:spacing w:val="-5"/>
        </w:rPr>
        <w:t> </w:t>
      </w:r>
      <w:r>
        <w:rPr>
          <w:color w:val="231F20"/>
        </w:rPr>
        <w:t>721,</w:t>
      </w:r>
      <w:r>
        <w:rPr>
          <w:color w:val="231F20"/>
          <w:spacing w:val="-5"/>
        </w:rPr>
        <w:t> </w:t>
      </w:r>
      <w:r>
        <w:rPr>
          <w:color w:val="231F20"/>
        </w:rPr>
        <w:t>пресеца</w:t>
      </w:r>
      <w:r>
        <w:rPr>
          <w:color w:val="231F20"/>
          <w:spacing w:val="-5"/>
        </w:rPr>
        <w:t> </w:t>
      </w:r>
      <w:r>
        <w:rPr>
          <w:color w:val="231F20"/>
        </w:rPr>
        <w:t>пут</w:t>
      </w:r>
      <w:r>
        <w:rPr>
          <w:color w:val="231F20"/>
          <w:spacing w:val="-5"/>
        </w:rPr>
        <w:t> </w:t>
      </w:r>
      <w:r>
        <w:rPr>
          <w:color w:val="231F20"/>
        </w:rPr>
        <w:t>на</w:t>
      </w:r>
      <w:r>
        <w:rPr>
          <w:color w:val="231F20"/>
          <w:spacing w:val="-5"/>
        </w:rPr>
        <w:t> </w:t>
      </w:r>
      <w:r>
        <w:rPr>
          <w:color w:val="231F20"/>
        </w:rPr>
        <w:t>к.п.бр.</w:t>
      </w:r>
      <w:r>
        <w:rPr>
          <w:color w:val="231F20"/>
          <w:spacing w:val="-5"/>
        </w:rPr>
        <w:t> </w:t>
      </w:r>
      <w:r>
        <w:rPr>
          <w:color w:val="231F20"/>
        </w:rPr>
        <w:t>967,</w:t>
      </w:r>
      <w:r>
        <w:rPr>
          <w:color w:val="231F20"/>
          <w:spacing w:val="-5"/>
        </w:rPr>
        <w:t> </w:t>
      </w:r>
      <w:r>
        <w:rPr>
          <w:color w:val="231F20"/>
        </w:rPr>
        <w:t>делови</w:t>
      </w:r>
      <w:r>
        <w:rPr>
          <w:color w:val="231F20"/>
          <w:spacing w:val="-5"/>
        </w:rPr>
        <w:t> </w:t>
      </w:r>
      <w:r>
        <w:rPr>
          <w:color w:val="231F20"/>
        </w:rPr>
        <w:t>730,</w:t>
      </w:r>
      <w:r>
        <w:rPr>
          <w:color w:val="231F20"/>
          <w:spacing w:val="-5"/>
        </w:rPr>
        <w:t> </w:t>
      </w:r>
      <w:r>
        <w:rPr>
          <w:color w:val="231F20"/>
        </w:rPr>
        <w:t>731,</w:t>
      </w:r>
      <w:r>
        <w:rPr>
          <w:color w:val="231F20"/>
          <w:spacing w:val="-5"/>
        </w:rPr>
        <w:t> </w:t>
      </w:r>
      <w:r>
        <w:rPr>
          <w:color w:val="231F20"/>
        </w:rPr>
        <w:t>732,</w:t>
      </w:r>
    </w:p>
    <w:p>
      <w:pPr>
        <w:pStyle w:val="BodyText"/>
        <w:spacing w:line="232" w:lineRule="auto" w:before="2"/>
        <w:ind w:left="453"/>
        <w:jc w:val="left"/>
      </w:pPr>
      <w:r>
        <w:rPr>
          <w:color w:val="231F20"/>
        </w:rPr>
        <w:t>733, 734, 735, 736, 737, пресеца пут 970, делови к.п.бр. 774, 775, 776/1, 777/1, 778/1, 779/1, 780/1, 781/1, 782/1, 783/1, 784/1, 785/1,</w:t>
      </w:r>
    </w:p>
    <w:p>
      <w:pPr>
        <w:pStyle w:val="BodyText"/>
        <w:spacing w:line="200" w:lineRule="exact"/>
        <w:ind w:left="453"/>
        <w:jc w:val="left"/>
      </w:pPr>
      <w:r>
        <w:rPr>
          <w:color w:val="231F20"/>
        </w:rPr>
        <w:t>786/1, делом пута 975, и делови 835/1, 836/1, 837/1, 838/1, 839/1,</w:t>
      </w:r>
    </w:p>
    <w:p>
      <w:pPr>
        <w:pStyle w:val="BodyText"/>
        <w:spacing w:line="201" w:lineRule="exact"/>
        <w:ind w:left="453"/>
        <w:jc w:val="left"/>
      </w:pPr>
      <w:r>
        <w:rPr>
          <w:color w:val="231F20"/>
        </w:rPr>
        <w:t>840/1, 841/1, 842/1, 843/1, 844/1, 845/1, 846/1, 847/1, 848/1, 849/1,</w:t>
      </w:r>
    </w:p>
    <w:p>
      <w:pPr>
        <w:pStyle w:val="BodyText"/>
        <w:spacing w:line="201" w:lineRule="exact"/>
        <w:ind w:left="453"/>
        <w:jc w:val="left"/>
      </w:pPr>
      <w:r>
        <w:rPr>
          <w:color w:val="231F20"/>
        </w:rPr>
        <w:t>850/1, 851/1, 852/1, 853/1, 854/1, 855/1, 856/1, 857/1, 858/1</w:t>
      </w:r>
    </w:p>
    <w:p>
      <w:pPr>
        <w:pStyle w:val="BodyText"/>
        <w:spacing w:line="232" w:lineRule="auto" w:before="2"/>
        <w:ind w:left="454" w:firstLine="396"/>
        <w:jc w:val="left"/>
      </w:pPr>
      <w:r>
        <w:rPr>
          <w:color w:val="231F20"/>
        </w:rPr>
        <w:t>делови 449/1, 450/1, 451/1, 452/1, 453/1, 454/1, 455/1, 456/1, 457/1, 458/1, 459/1, 496/1, 497/1, 498/1, 499/1, 500/1, 501/1, 502/1,</w:t>
      </w:r>
    </w:p>
    <w:p>
      <w:pPr>
        <w:pStyle w:val="BodyText"/>
        <w:spacing w:line="200" w:lineRule="exact"/>
        <w:ind w:left="454"/>
      </w:pPr>
      <w:r>
        <w:rPr>
          <w:color w:val="231F20"/>
        </w:rPr>
        <w:t>503/1, 504/1, 505/1, 563/1, 564/1, 565/1, 566, пресеца 567, 568,  569,</w:t>
      </w:r>
    </w:p>
    <w:p>
      <w:pPr>
        <w:pStyle w:val="BodyText"/>
        <w:spacing w:line="201" w:lineRule="exact"/>
        <w:ind w:left="454"/>
      </w:pPr>
      <w:r>
        <w:rPr>
          <w:color w:val="231F20"/>
        </w:rPr>
        <w:t>570, 571, 572, 651, 652, 653, 692, 693, 694, 695, 696, 697, 698 и пут</w:t>
      </w:r>
    </w:p>
    <w:p>
      <w:pPr>
        <w:pStyle w:val="BodyText"/>
        <w:spacing w:line="202" w:lineRule="exact"/>
        <w:ind w:left="454"/>
      </w:pPr>
      <w:r>
        <w:rPr>
          <w:color w:val="231F20"/>
        </w:rPr>
        <w:t>585. Cеле 408, 409, 410, 411, део 412, 413, 414,</w:t>
      </w:r>
    </w:p>
    <w:p>
      <w:pPr>
        <w:pStyle w:val="BodyText"/>
        <w:spacing w:line="203" w:lineRule="exact"/>
        <w:ind w:left="851"/>
        <w:jc w:val="left"/>
      </w:pPr>
      <w:r>
        <w:rPr>
          <w:color w:val="231F20"/>
        </w:rPr>
        <w:t>делови 1894, 1895, 1896, 1897, 1898, 1899, 1900, 1901, 1902,</w:t>
      </w:r>
    </w:p>
    <w:p>
      <w:pPr>
        <w:pStyle w:val="BodyText"/>
        <w:spacing w:line="203" w:lineRule="exact"/>
        <w:ind w:left="454"/>
      </w:pPr>
      <w:r>
        <w:rPr>
          <w:color w:val="231F20"/>
        </w:rPr>
        <w:t>1903, 1904, 1905, 1906, 1907, 1908, 1909, 1910, 1911, 1912, 1913,</w:t>
      </w:r>
    </w:p>
    <w:p>
      <w:pPr>
        <w:pStyle w:val="BodyText"/>
        <w:spacing w:line="205" w:lineRule="exact"/>
        <w:ind w:left="454"/>
      </w:pPr>
      <w:r>
        <w:rPr>
          <w:color w:val="231F20"/>
        </w:rPr>
        <w:t>1914, 1915, 1916, 1917, 1918, 1920, 1921, 1922, 1923, 1924, 1925,</w:t>
      </w:r>
    </w:p>
    <w:p>
      <w:pPr>
        <w:pStyle w:val="BodyText"/>
        <w:spacing w:line="205" w:lineRule="exact" w:before="71"/>
        <w:ind w:left="242"/>
      </w:pPr>
      <w:r>
        <w:rPr/>
        <w:br w:type="column"/>
      </w:r>
      <w:r>
        <w:rPr>
          <w:color w:val="231F20"/>
        </w:rPr>
        <w:t>1926, 1927, 1928, 1929, 1930, 1931, 1932, 1933, 1934, 1935, 1936,</w:t>
      </w:r>
    </w:p>
    <w:p>
      <w:pPr>
        <w:pStyle w:val="BodyText"/>
        <w:spacing w:line="204" w:lineRule="exact"/>
        <w:ind w:left="242"/>
      </w:pPr>
      <w:r>
        <w:rPr>
          <w:color w:val="231F20"/>
        </w:rPr>
        <w:t>1937, 1938, 1939, 1940, 1941, 1942, 1943, 1944, 3377, 2003, 2004,</w:t>
      </w:r>
    </w:p>
    <w:p>
      <w:pPr>
        <w:pStyle w:val="BodyText"/>
        <w:spacing w:line="204" w:lineRule="exact"/>
        <w:ind w:left="242"/>
      </w:pPr>
      <w:r>
        <w:rPr>
          <w:color w:val="231F20"/>
        </w:rPr>
        <w:t>2005,</w:t>
      </w:r>
      <w:r>
        <w:rPr>
          <w:color w:val="231F20"/>
          <w:spacing w:val="-23"/>
        </w:rPr>
        <w:t> </w:t>
      </w:r>
      <w:r>
        <w:rPr>
          <w:color w:val="231F20"/>
        </w:rPr>
        <w:t>2006,</w:t>
      </w:r>
      <w:r>
        <w:rPr>
          <w:color w:val="231F20"/>
          <w:spacing w:val="-23"/>
        </w:rPr>
        <w:t> </w:t>
      </w:r>
      <w:r>
        <w:rPr>
          <w:color w:val="231F20"/>
        </w:rPr>
        <w:t>2007,</w:t>
      </w:r>
      <w:r>
        <w:rPr>
          <w:color w:val="231F20"/>
          <w:spacing w:val="-23"/>
        </w:rPr>
        <w:t> </w:t>
      </w:r>
      <w:r>
        <w:rPr>
          <w:color w:val="231F20"/>
        </w:rPr>
        <w:t>2008,</w:t>
      </w:r>
      <w:r>
        <w:rPr>
          <w:color w:val="231F20"/>
          <w:spacing w:val="-23"/>
        </w:rPr>
        <w:t> </w:t>
      </w:r>
      <w:r>
        <w:rPr>
          <w:color w:val="231F20"/>
        </w:rPr>
        <w:t>2009,</w:t>
      </w:r>
      <w:r>
        <w:rPr>
          <w:color w:val="231F20"/>
          <w:spacing w:val="-23"/>
        </w:rPr>
        <w:t> </w:t>
      </w:r>
      <w:r>
        <w:rPr>
          <w:color w:val="231F20"/>
        </w:rPr>
        <w:t>2010,</w:t>
      </w:r>
      <w:r>
        <w:rPr>
          <w:color w:val="231F20"/>
          <w:spacing w:val="-23"/>
        </w:rPr>
        <w:t> </w:t>
      </w:r>
      <w:r>
        <w:rPr>
          <w:color w:val="231F20"/>
          <w:spacing w:val="-3"/>
        </w:rPr>
        <w:t>2011,</w:t>
      </w:r>
      <w:r>
        <w:rPr>
          <w:color w:val="231F20"/>
          <w:spacing w:val="-23"/>
        </w:rPr>
        <w:t> </w:t>
      </w:r>
      <w:r>
        <w:rPr>
          <w:color w:val="231F20"/>
        </w:rPr>
        <w:t>2013,</w:t>
      </w:r>
      <w:r>
        <w:rPr>
          <w:color w:val="231F20"/>
          <w:spacing w:val="-23"/>
        </w:rPr>
        <w:t> </w:t>
      </w:r>
      <w:r>
        <w:rPr>
          <w:color w:val="231F20"/>
        </w:rPr>
        <w:t>2014,</w:t>
      </w:r>
      <w:r>
        <w:rPr>
          <w:color w:val="231F20"/>
          <w:spacing w:val="-23"/>
        </w:rPr>
        <w:t> </w:t>
      </w:r>
      <w:r>
        <w:rPr>
          <w:color w:val="231F20"/>
        </w:rPr>
        <w:t>2015,</w:t>
      </w:r>
      <w:r>
        <w:rPr>
          <w:color w:val="231F20"/>
          <w:spacing w:val="-23"/>
        </w:rPr>
        <w:t> </w:t>
      </w:r>
      <w:r>
        <w:rPr>
          <w:color w:val="231F20"/>
        </w:rPr>
        <w:t>2016,</w:t>
      </w:r>
      <w:r>
        <w:rPr>
          <w:color w:val="231F20"/>
          <w:spacing w:val="-23"/>
        </w:rPr>
        <w:t> </w:t>
      </w:r>
      <w:r>
        <w:rPr>
          <w:color w:val="231F20"/>
        </w:rPr>
        <w:t>2017,</w:t>
      </w:r>
    </w:p>
    <w:p>
      <w:pPr>
        <w:pStyle w:val="BodyText"/>
        <w:spacing w:line="204" w:lineRule="exact"/>
        <w:ind w:left="242"/>
      </w:pPr>
      <w:r>
        <w:rPr>
          <w:color w:val="231F20"/>
        </w:rPr>
        <w:t>2018,</w:t>
      </w:r>
      <w:r>
        <w:rPr>
          <w:color w:val="231F20"/>
          <w:spacing w:val="-21"/>
        </w:rPr>
        <w:t> </w:t>
      </w:r>
      <w:r>
        <w:rPr>
          <w:color w:val="231F20"/>
        </w:rPr>
        <w:t>2019,2099,</w:t>
      </w:r>
      <w:r>
        <w:rPr>
          <w:color w:val="231F20"/>
          <w:spacing w:val="-21"/>
        </w:rPr>
        <w:t> </w:t>
      </w:r>
      <w:r>
        <w:rPr>
          <w:color w:val="231F20"/>
        </w:rPr>
        <w:t>989,</w:t>
      </w:r>
      <w:r>
        <w:rPr>
          <w:color w:val="231F20"/>
          <w:spacing w:val="-21"/>
        </w:rPr>
        <w:t> </w:t>
      </w:r>
      <w:r>
        <w:rPr>
          <w:color w:val="231F20"/>
        </w:rPr>
        <w:t>988,</w:t>
      </w:r>
      <w:r>
        <w:rPr>
          <w:color w:val="231F20"/>
          <w:spacing w:val="-21"/>
        </w:rPr>
        <w:t> </w:t>
      </w:r>
      <w:r>
        <w:rPr>
          <w:color w:val="231F20"/>
        </w:rPr>
        <w:t>990,</w:t>
      </w:r>
      <w:r>
        <w:rPr>
          <w:color w:val="231F20"/>
          <w:spacing w:val="-21"/>
        </w:rPr>
        <w:t> </w:t>
      </w:r>
      <w:r>
        <w:rPr>
          <w:color w:val="231F20"/>
        </w:rPr>
        <w:t>991/1,</w:t>
      </w:r>
      <w:r>
        <w:rPr>
          <w:color w:val="231F20"/>
          <w:spacing w:val="-21"/>
        </w:rPr>
        <w:t> </w:t>
      </w:r>
      <w:r>
        <w:rPr>
          <w:color w:val="231F20"/>
        </w:rPr>
        <w:t>991/2,</w:t>
      </w:r>
      <w:r>
        <w:rPr>
          <w:color w:val="231F20"/>
          <w:spacing w:val="-21"/>
        </w:rPr>
        <w:t> </w:t>
      </w:r>
      <w:r>
        <w:rPr>
          <w:color w:val="231F20"/>
        </w:rPr>
        <w:t>992/1,992/2,</w:t>
      </w:r>
      <w:r>
        <w:rPr>
          <w:color w:val="231F20"/>
          <w:spacing w:val="-21"/>
        </w:rPr>
        <w:t> </w:t>
      </w:r>
      <w:r>
        <w:rPr>
          <w:color w:val="231F20"/>
        </w:rPr>
        <w:t>993/1,993/2,</w:t>
      </w:r>
    </w:p>
    <w:p>
      <w:pPr>
        <w:pStyle w:val="BodyText"/>
        <w:spacing w:line="204" w:lineRule="exact"/>
        <w:ind w:left="242"/>
      </w:pPr>
      <w:r>
        <w:rPr>
          <w:color w:val="231F20"/>
        </w:rPr>
        <w:t>995/1,995/2, 996/1,996/2, 996/3, 998/1, 998/2, 999/1,999/2, 1000/1,</w:t>
      </w:r>
    </w:p>
    <w:p>
      <w:pPr>
        <w:pStyle w:val="BodyText"/>
        <w:spacing w:line="237" w:lineRule="auto"/>
        <w:ind w:left="242" w:right="127"/>
      </w:pPr>
      <w:r>
        <w:rPr>
          <w:color w:val="231F20"/>
        </w:rPr>
        <w:t>1000/2,</w:t>
      </w:r>
      <w:r>
        <w:rPr>
          <w:color w:val="231F20"/>
          <w:spacing w:val="-12"/>
        </w:rPr>
        <w:t> </w:t>
      </w:r>
      <w:r>
        <w:rPr>
          <w:color w:val="231F20"/>
        </w:rPr>
        <w:t>1002/1,1002/2,</w:t>
      </w:r>
      <w:r>
        <w:rPr>
          <w:color w:val="231F20"/>
          <w:spacing w:val="-12"/>
        </w:rPr>
        <w:t> </w:t>
      </w:r>
      <w:r>
        <w:rPr>
          <w:color w:val="231F20"/>
          <w:spacing w:val="-3"/>
        </w:rPr>
        <w:t>1011/3,</w:t>
      </w:r>
      <w:r>
        <w:rPr>
          <w:color w:val="231F20"/>
          <w:spacing w:val="-12"/>
        </w:rPr>
        <w:t> </w:t>
      </w:r>
      <w:r>
        <w:rPr>
          <w:color w:val="231F20"/>
          <w:spacing w:val="-3"/>
        </w:rPr>
        <w:t>1011/2,</w:t>
      </w:r>
      <w:r>
        <w:rPr>
          <w:color w:val="231F20"/>
          <w:spacing w:val="-12"/>
        </w:rPr>
        <w:t> </w:t>
      </w:r>
      <w:r>
        <w:rPr>
          <w:color w:val="231F20"/>
        </w:rPr>
        <w:t>1013/1,</w:t>
      </w:r>
      <w:r>
        <w:rPr>
          <w:color w:val="231F20"/>
          <w:spacing w:val="-12"/>
        </w:rPr>
        <w:t> </w:t>
      </w:r>
      <w:r>
        <w:rPr>
          <w:color w:val="231F20"/>
        </w:rPr>
        <w:t>1013/2,</w:t>
      </w:r>
      <w:r>
        <w:rPr>
          <w:color w:val="231F20"/>
          <w:spacing w:val="-12"/>
        </w:rPr>
        <w:t> </w:t>
      </w:r>
      <w:r>
        <w:rPr>
          <w:color w:val="231F20"/>
        </w:rPr>
        <w:t>1014/1,</w:t>
      </w:r>
      <w:r>
        <w:rPr>
          <w:color w:val="231F20"/>
          <w:spacing w:val="-12"/>
        </w:rPr>
        <w:t> </w:t>
      </w:r>
      <w:r>
        <w:rPr>
          <w:color w:val="231F20"/>
        </w:rPr>
        <w:t>1014/2, Делови 4032/1, 1038/2, 1039/1, 1040/1, 1040/2, 1041/2, 1042/1, цела 328,</w:t>
      </w:r>
      <w:r>
        <w:rPr>
          <w:color w:val="231F20"/>
          <w:spacing w:val="-15"/>
        </w:rPr>
        <w:t> </w:t>
      </w:r>
      <w:r>
        <w:rPr>
          <w:color w:val="231F20"/>
          <w:spacing w:val="-3"/>
        </w:rPr>
        <w:t>2119,</w:t>
      </w:r>
      <w:r>
        <w:rPr>
          <w:color w:val="231F20"/>
          <w:spacing w:val="-15"/>
        </w:rPr>
        <w:t> </w:t>
      </w:r>
      <w:r>
        <w:rPr>
          <w:color w:val="231F20"/>
        </w:rPr>
        <w:t>2120,</w:t>
      </w:r>
      <w:r>
        <w:rPr>
          <w:color w:val="231F20"/>
          <w:spacing w:val="-15"/>
        </w:rPr>
        <w:t> </w:t>
      </w:r>
      <w:r>
        <w:rPr>
          <w:color w:val="231F20"/>
        </w:rPr>
        <w:t>2122,</w:t>
      </w:r>
      <w:r>
        <w:rPr>
          <w:color w:val="231F20"/>
          <w:spacing w:val="-15"/>
        </w:rPr>
        <w:t> </w:t>
      </w:r>
      <w:r>
        <w:rPr>
          <w:color w:val="231F20"/>
        </w:rPr>
        <w:t>2131,</w:t>
      </w:r>
      <w:r>
        <w:rPr>
          <w:color w:val="231F20"/>
          <w:spacing w:val="-15"/>
        </w:rPr>
        <w:t> </w:t>
      </w:r>
      <w:r>
        <w:rPr>
          <w:color w:val="231F20"/>
        </w:rPr>
        <w:t>2132,</w:t>
      </w:r>
      <w:r>
        <w:rPr>
          <w:color w:val="231F20"/>
          <w:spacing w:val="-15"/>
        </w:rPr>
        <w:t> </w:t>
      </w:r>
      <w:r>
        <w:rPr>
          <w:color w:val="231F20"/>
        </w:rPr>
        <w:t>2130,</w:t>
      </w:r>
      <w:r>
        <w:rPr>
          <w:color w:val="231F20"/>
          <w:spacing w:val="-15"/>
        </w:rPr>
        <w:t> </w:t>
      </w:r>
      <w:r>
        <w:rPr>
          <w:color w:val="231F20"/>
        </w:rPr>
        <w:t>2176,</w:t>
      </w:r>
      <w:r>
        <w:rPr>
          <w:color w:val="231F20"/>
          <w:spacing w:val="-15"/>
        </w:rPr>
        <w:t> </w:t>
      </w:r>
      <w:r>
        <w:rPr>
          <w:color w:val="231F20"/>
        </w:rPr>
        <w:t>2177,</w:t>
      </w:r>
      <w:r>
        <w:rPr>
          <w:color w:val="231F20"/>
          <w:spacing w:val="-15"/>
        </w:rPr>
        <w:t> </w:t>
      </w:r>
      <w:r>
        <w:rPr>
          <w:color w:val="231F20"/>
        </w:rPr>
        <w:t>2178,</w:t>
      </w:r>
      <w:r>
        <w:rPr>
          <w:color w:val="231F20"/>
          <w:spacing w:val="-15"/>
        </w:rPr>
        <w:t> </w:t>
      </w:r>
      <w:r>
        <w:rPr>
          <w:color w:val="231F20"/>
        </w:rPr>
        <w:t>2179,</w:t>
      </w:r>
      <w:r>
        <w:rPr>
          <w:color w:val="231F20"/>
          <w:spacing w:val="-15"/>
        </w:rPr>
        <w:t> </w:t>
      </w:r>
      <w:r>
        <w:rPr>
          <w:color w:val="231F20"/>
        </w:rPr>
        <w:t>2180,</w:t>
      </w:r>
    </w:p>
    <w:p>
      <w:pPr>
        <w:pStyle w:val="BodyText"/>
        <w:spacing w:line="201" w:lineRule="exact"/>
        <w:ind w:left="242"/>
      </w:pPr>
      <w:r>
        <w:rPr>
          <w:color w:val="231F20"/>
        </w:rPr>
        <w:t>2181, 2182, 2185, 2184, 2185, 2186, 2187, 2189, 2188, 2189, 2190,</w:t>
      </w:r>
    </w:p>
    <w:p>
      <w:pPr>
        <w:pStyle w:val="BodyText"/>
        <w:spacing w:line="204" w:lineRule="exact"/>
        <w:ind w:left="242"/>
      </w:pPr>
      <w:r>
        <w:rPr>
          <w:color w:val="231F20"/>
        </w:rPr>
        <w:t>2191, 2193, 2192/1, 2192/2, 2192/3, 2192/4, 2192/5, 2192/6, делови</w:t>
      </w:r>
    </w:p>
    <w:p>
      <w:pPr>
        <w:pStyle w:val="BodyText"/>
        <w:spacing w:line="204" w:lineRule="exact"/>
        <w:ind w:left="242"/>
      </w:pPr>
      <w:r>
        <w:rPr>
          <w:color w:val="231F20"/>
        </w:rPr>
        <w:t>2197, 2198, 2199, 2224, 2225, 2227, цела 2228, део 2229,2231, 2232,</w:t>
      </w:r>
    </w:p>
    <w:p>
      <w:pPr>
        <w:pStyle w:val="BodyText"/>
        <w:spacing w:line="204" w:lineRule="exact"/>
        <w:ind w:left="242"/>
      </w:pPr>
      <w:r>
        <w:rPr>
          <w:color w:val="231F20"/>
        </w:rPr>
        <w:t>цела</w:t>
      </w:r>
      <w:r>
        <w:rPr>
          <w:color w:val="231F20"/>
          <w:spacing w:val="-17"/>
        </w:rPr>
        <w:t> </w:t>
      </w:r>
      <w:r>
        <w:rPr>
          <w:color w:val="231F20"/>
        </w:rPr>
        <w:t>2233,</w:t>
      </w:r>
      <w:r>
        <w:rPr>
          <w:color w:val="231F20"/>
          <w:spacing w:val="-17"/>
        </w:rPr>
        <w:t> </w:t>
      </w:r>
      <w:r>
        <w:rPr>
          <w:color w:val="231F20"/>
        </w:rPr>
        <w:t>2235,</w:t>
      </w:r>
      <w:r>
        <w:rPr>
          <w:color w:val="231F20"/>
          <w:spacing w:val="-17"/>
        </w:rPr>
        <w:t> </w:t>
      </w:r>
      <w:r>
        <w:rPr>
          <w:color w:val="231F20"/>
        </w:rPr>
        <w:t>2234,</w:t>
      </w:r>
      <w:r>
        <w:rPr>
          <w:color w:val="231F20"/>
          <w:spacing w:val="-17"/>
        </w:rPr>
        <w:t> </w:t>
      </w:r>
      <w:r>
        <w:rPr>
          <w:color w:val="231F20"/>
        </w:rPr>
        <w:t>2236,2237,</w:t>
      </w:r>
      <w:r>
        <w:rPr>
          <w:color w:val="231F20"/>
          <w:spacing w:val="-17"/>
        </w:rPr>
        <w:t> </w:t>
      </w:r>
      <w:r>
        <w:rPr>
          <w:color w:val="231F20"/>
        </w:rPr>
        <w:t>2238,</w:t>
      </w:r>
      <w:r>
        <w:rPr>
          <w:color w:val="231F20"/>
          <w:spacing w:val="-17"/>
        </w:rPr>
        <w:t> </w:t>
      </w:r>
      <w:r>
        <w:rPr>
          <w:color w:val="231F20"/>
        </w:rPr>
        <w:t>2239,</w:t>
      </w:r>
      <w:r>
        <w:rPr>
          <w:color w:val="231F20"/>
          <w:spacing w:val="-17"/>
        </w:rPr>
        <w:t> </w:t>
      </w:r>
      <w:r>
        <w:rPr>
          <w:color w:val="231F20"/>
        </w:rPr>
        <w:t>2240,</w:t>
      </w:r>
      <w:r>
        <w:rPr>
          <w:color w:val="231F20"/>
          <w:spacing w:val="-17"/>
        </w:rPr>
        <w:t> </w:t>
      </w:r>
      <w:r>
        <w:rPr>
          <w:color w:val="231F20"/>
        </w:rPr>
        <w:t>2241,</w:t>
      </w:r>
      <w:r>
        <w:rPr>
          <w:color w:val="231F20"/>
          <w:spacing w:val="-17"/>
        </w:rPr>
        <w:t> </w:t>
      </w:r>
      <w:r>
        <w:rPr>
          <w:color w:val="231F20"/>
        </w:rPr>
        <w:t>2242,</w:t>
      </w:r>
      <w:r>
        <w:rPr>
          <w:color w:val="231F20"/>
          <w:spacing w:val="-17"/>
        </w:rPr>
        <w:t> </w:t>
      </w:r>
      <w:r>
        <w:rPr>
          <w:color w:val="231F20"/>
        </w:rPr>
        <w:t>2243,</w:t>
      </w:r>
    </w:p>
    <w:p>
      <w:pPr>
        <w:pStyle w:val="BodyText"/>
        <w:spacing w:line="204" w:lineRule="exact"/>
        <w:ind w:left="242"/>
      </w:pPr>
      <w:r>
        <w:rPr>
          <w:color w:val="231F20"/>
        </w:rPr>
        <w:t>2244, 2245, 2246, 2247, 2248, 2249, 2250, 2251, 2252, 2253, 2254,</w:t>
      </w:r>
    </w:p>
    <w:p>
      <w:pPr>
        <w:pStyle w:val="BodyText"/>
        <w:spacing w:line="204" w:lineRule="exact"/>
        <w:ind w:left="242"/>
      </w:pPr>
      <w:r>
        <w:rPr>
          <w:color w:val="231F20"/>
        </w:rPr>
        <w:t>2255, 2258/2, 2256, 2257,2258/1, 2258/2, део 2216, 2214, 2213, 1747,</w:t>
      </w:r>
    </w:p>
    <w:p>
      <w:pPr>
        <w:pStyle w:val="BodyText"/>
        <w:spacing w:line="204" w:lineRule="exact"/>
        <w:ind w:left="242"/>
      </w:pPr>
      <w:r>
        <w:rPr>
          <w:color w:val="231F20"/>
        </w:rPr>
        <w:t>1744, 1742 1739, 1738, 1730, 1729 целе 1746, 1745, 1741, 1740, 1734,</w:t>
      </w:r>
    </w:p>
    <w:p>
      <w:pPr>
        <w:pStyle w:val="BodyText"/>
        <w:spacing w:line="204" w:lineRule="exact"/>
        <w:ind w:left="242"/>
      </w:pPr>
      <w:r>
        <w:rPr>
          <w:color w:val="231F20"/>
        </w:rPr>
        <w:t>1733, 1732, 1731, целе 2259/1, 2259/2, 2260, 2261, 2262/2, 2263/2,</w:t>
      </w:r>
    </w:p>
    <w:p>
      <w:pPr>
        <w:pStyle w:val="BodyText"/>
        <w:spacing w:line="204" w:lineRule="exact"/>
        <w:ind w:left="242"/>
      </w:pPr>
      <w:r>
        <w:rPr>
          <w:color w:val="231F20"/>
        </w:rPr>
        <w:t>2264/2, 2265/2, 2266/2, 2269/2, 2270/2, 2271/2, 2272/2, 2267, 2268,</w:t>
      </w:r>
    </w:p>
    <w:p>
      <w:pPr>
        <w:pStyle w:val="BodyText"/>
        <w:spacing w:line="204" w:lineRule="exact"/>
        <w:ind w:left="242"/>
      </w:pPr>
      <w:r>
        <w:rPr>
          <w:color w:val="231F20"/>
        </w:rPr>
        <w:t>2282,  2283,  2285  делови  2262/1,  2263/1,  2264/1,  2265/1, 2266/1,</w:t>
      </w:r>
    </w:p>
    <w:p>
      <w:pPr>
        <w:pStyle w:val="BodyText"/>
        <w:spacing w:line="204" w:lineRule="exact"/>
        <w:ind w:left="242"/>
      </w:pPr>
      <w:r>
        <w:rPr>
          <w:color w:val="231F20"/>
        </w:rPr>
        <w:t>2269/1, 2270/1, 2271/1, 2272/1, 2273, 2274, 2275, 2276, 2277, 2278,</w:t>
      </w:r>
    </w:p>
    <w:p>
      <w:pPr>
        <w:pStyle w:val="BodyText"/>
        <w:spacing w:line="204" w:lineRule="exact"/>
        <w:ind w:left="242"/>
      </w:pPr>
      <w:r>
        <w:rPr>
          <w:color w:val="231F20"/>
        </w:rPr>
        <w:t>2279,</w:t>
      </w:r>
      <w:r>
        <w:rPr>
          <w:color w:val="231F20"/>
          <w:spacing w:val="-18"/>
        </w:rPr>
        <w:t> </w:t>
      </w:r>
      <w:r>
        <w:rPr>
          <w:color w:val="231F20"/>
        </w:rPr>
        <w:t>2280,</w:t>
      </w:r>
      <w:r>
        <w:rPr>
          <w:color w:val="231F20"/>
          <w:spacing w:val="-18"/>
        </w:rPr>
        <w:t> </w:t>
      </w:r>
      <w:r>
        <w:rPr>
          <w:color w:val="231F20"/>
        </w:rPr>
        <w:t>2281,</w:t>
      </w:r>
      <w:r>
        <w:rPr>
          <w:color w:val="231F20"/>
          <w:spacing w:val="-18"/>
        </w:rPr>
        <w:t> </w:t>
      </w:r>
      <w:r>
        <w:rPr>
          <w:color w:val="231F20"/>
        </w:rPr>
        <w:t>2284,</w:t>
      </w:r>
      <w:r>
        <w:rPr>
          <w:color w:val="231F20"/>
          <w:spacing w:val="-18"/>
        </w:rPr>
        <w:t> </w:t>
      </w:r>
      <w:r>
        <w:rPr>
          <w:color w:val="231F20"/>
        </w:rPr>
        <w:t>2286,</w:t>
      </w:r>
      <w:r>
        <w:rPr>
          <w:color w:val="231F20"/>
          <w:spacing w:val="-18"/>
        </w:rPr>
        <w:t> </w:t>
      </w:r>
      <w:r>
        <w:rPr>
          <w:color w:val="231F20"/>
        </w:rPr>
        <w:t>2287,</w:t>
      </w:r>
      <w:r>
        <w:rPr>
          <w:color w:val="231F20"/>
          <w:spacing w:val="-18"/>
        </w:rPr>
        <w:t> </w:t>
      </w:r>
      <w:r>
        <w:rPr>
          <w:color w:val="231F20"/>
        </w:rPr>
        <w:t>2288,</w:t>
      </w:r>
      <w:r>
        <w:rPr>
          <w:color w:val="231F20"/>
          <w:spacing w:val="-18"/>
        </w:rPr>
        <w:t> </w:t>
      </w:r>
      <w:r>
        <w:rPr>
          <w:color w:val="231F20"/>
        </w:rPr>
        <w:t>2289,</w:t>
      </w:r>
      <w:r>
        <w:rPr>
          <w:color w:val="231F20"/>
          <w:spacing w:val="-18"/>
        </w:rPr>
        <w:t> </w:t>
      </w:r>
      <w:r>
        <w:rPr>
          <w:color w:val="231F20"/>
        </w:rPr>
        <w:t>2290,</w:t>
      </w:r>
      <w:r>
        <w:rPr>
          <w:color w:val="231F20"/>
          <w:spacing w:val="-18"/>
        </w:rPr>
        <w:t> </w:t>
      </w:r>
      <w:r>
        <w:rPr>
          <w:color w:val="231F20"/>
        </w:rPr>
        <w:t>2291,</w:t>
      </w:r>
      <w:r>
        <w:rPr>
          <w:color w:val="231F20"/>
          <w:spacing w:val="-18"/>
        </w:rPr>
        <w:t> </w:t>
      </w:r>
      <w:r>
        <w:rPr>
          <w:color w:val="231F20"/>
        </w:rPr>
        <w:t>2292,2293</w:t>
      </w:r>
    </w:p>
    <w:p>
      <w:pPr>
        <w:pStyle w:val="BodyText"/>
        <w:spacing w:line="204" w:lineRule="exact"/>
        <w:ind w:left="242"/>
      </w:pPr>
      <w:r>
        <w:rPr>
          <w:color w:val="231F20"/>
        </w:rPr>
        <w:t>,2294, 2295, 2296, 2294, 1653, 1654, 1652, 1655, 1651, 1648, 1647,</w:t>
      </w:r>
    </w:p>
    <w:p>
      <w:pPr>
        <w:pStyle w:val="BodyText"/>
        <w:spacing w:line="204" w:lineRule="exact"/>
        <w:ind w:left="242"/>
      </w:pPr>
      <w:r>
        <w:rPr>
          <w:color w:val="231F20"/>
        </w:rPr>
        <w:t>1646, 1645, 1644, 1643,</w:t>
      </w:r>
    </w:p>
    <w:p>
      <w:pPr>
        <w:pStyle w:val="BodyText"/>
        <w:spacing w:line="204" w:lineRule="exact"/>
        <w:ind w:left="639"/>
        <w:jc w:val="left"/>
      </w:pPr>
      <w:r>
        <w:rPr>
          <w:color w:val="231F20"/>
        </w:rPr>
        <w:t>КО Дрмно,</w:t>
      </w:r>
    </w:p>
    <w:p>
      <w:pPr>
        <w:pStyle w:val="BodyText"/>
        <w:spacing w:line="204" w:lineRule="exact"/>
        <w:ind w:left="682"/>
        <w:jc w:val="left"/>
      </w:pPr>
      <w:r>
        <w:rPr>
          <w:color w:val="231F20"/>
        </w:rPr>
        <w:t>делови к.п.бр. 419, 420, 421, 422, 423, 538, 398, 397, 396, 395,</w:t>
      </w:r>
    </w:p>
    <w:p>
      <w:pPr>
        <w:pStyle w:val="BodyText"/>
        <w:spacing w:line="204" w:lineRule="exact"/>
        <w:ind w:left="242"/>
      </w:pPr>
      <w:r>
        <w:rPr>
          <w:color w:val="231F20"/>
        </w:rPr>
        <w:t>394, 393. к.п.бр. 362 и 361, цела 360, 359, делови 358,357 и цела</w:t>
      </w:r>
    </w:p>
    <w:p>
      <w:pPr>
        <w:pStyle w:val="BodyText"/>
        <w:spacing w:line="204" w:lineRule="exact"/>
        <w:ind w:left="242"/>
      </w:pPr>
      <w:r>
        <w:rPr>
          <w:color w:val="231F20"/>
        </w:rPr>
        <w:t>356 пресеца пут к.п.бр. 29. Део 329, 330, 331, 333, 332, 334, 335</w:t>
      </w:r>
    </w:p>
    <w:p>
      <w:pPr>
        <w:pStyle w:val="BodyText"/>
        <w:spacing w:line="204" w:lineRule="exact"/>
        <w:ind w:left="242"/>
      </w:pPr>
      <w:r>
        <w:rPr>
          <w:color w:val="231F20"/>
        </w:rPr>
        <w:t>336, 337, 338, 339, 340, 341, 342, 343, 344, 345, 346, 347, 348, 349,</w:t>
      </w:r>
    </w:p>
    <w:p>
      <w:pPr>
        <w:pStyle w:val="BodyText"/>
        <w:spacing w:line="204" w:lineRule="exact"/>
        <w:ind w:left="242"/>
      </w:pPr>
      <w:r>
        <w:rPr>
          <w:color w:val="231F20"/>
        </w:rPr>
        <w:t>350, 351, 352, 353, 354, 355, 533, целе 356, 357, 358, 359, 360, део</w:t>
      </w:r>
    </w:p>
    <w:p>
      <w:pPr>
        <w:pStyle w:val="BodyText"/>
        <w:spacing w:line="204" w:lineRule="exact"/>
        <w:ind w:left="242"/>
      </w:pPr>
      <w:r>
        <w:rPr>
          <w:color w:val="231F20"/>
        </w:rPr>
        <w:t>2921, 2924, 465, 536, 431, 436, 430, 429, 428, 427, 426, 425, 424.</w:t>
      </w:r>
    </w:p>
    <w:p>
      <w:pPr>
        <w:pStyle w:val="BodyText"/>
        <w:spacing w:line="204" w:lineRule="exact"/>
        <w:ind w:left="639"/>
        <w:jc w:val="left"/>
      </w:pPr>
      <w:r>
        <w:rPr>
          <w:color w:val="231F20"/>
        </w:rPr>
        <w:t>Cеле 2142, 2143, 2144, 2145, 2155, 2154, део 2153, цела 2152,</w:t>
      </w:r>
    </w:p>
    <w:p>
      <w:pPr>
        <w:pStyle w:val="BodyText"/>
        <w:spacing w:line="204" w:lineRule="exact"/>
        <w:ind w:left="242"/>
      </w:pPr>
      <w:r>
        <w:rPr>
          <w:color w:val="231F20"/>
        </w:rPr>
        <w:t>2146,  2148,  2147,  1940,  1941,  1942,  1939/3,  1939/4,  1939/5, део</w:t>
      </w:r>
    </w:p>
    <w:p>
      <w:pPr>
        <w:pStyle w:val="BodyText"/>
        <w:spacing w:line="204" w:lineRule="exact"/>
        <w:ind w:left="242"/>
      </w:pPr>
      <w:r>
        <w:rPr>
          <w:color w:val="231F20"/>
        </w:rPr>
        <w:t>1881, цела 1880, 1879, , 1878, 1870, Cеле 1026, 1025, 1024, део</w:t>
      </w:r>
    </w:p>
    <w:p>
      <w:pPr>
        <w:pStyle w:val="BodyText"/>
        <w:spacing w:line="204" w:lineRule="exact"/>
        <w:ind w:left="242"/>
      </w:pPr>
      <w:r>
        <w:rPr>
          <w:color w:val="231F20"/>
        </w:rPr>
        <w:t>1023, 1022, 1019, цела 1018, 1014, 607, 606, 605, 604, 602, 601, 600,</w:t>
      </w:r>
    </w:p>
    <w:p>
      <w:pPr>
        <w:pStyle w:val="BodyText"/>
        <w:spacing w:line="204" w:lineRule="exact"/>
        <w:ind w:left="242"/>
      </w:pPr>
      <w:r>
        <w:rPr>
          <w:color w:val="231F20"/>
        </w:rPr>
        <w:t>599, 616,614, 613 део 615, 611, 610, 609, 960, 956, 955, 957, 950,</w:t>
      </w:r>
    </w:p>
    <w:p>
      <w:pPr>
        <w:pStyle w:val="BodyText"/>
        <w:spacing w:line="204" w:lineRule="exact"/>
        <w:ind w:left="242"/>
      </w:pPr>
      <w:r>
        <w:rPr>
          <w:color w:val="231F20"/>
        </w:rPr>
        <w:t>945, 944, 937, 933, 932, 929, 928, 708, 709, цела 707, 706, 705, 704,</w:t>
      </w:r>
    </w:p>
    <w:p>
      <w:pPr>
        <w:pStyle w:val="BodyText"/>
        <w:spacing w:line="204" w:lineRule="exact"/>
        <w:ind w:left="242"/>
      </w:pPr>
      <w:r>
        <w:rPr>
          <w:color w:val="231F20"/>
        </w:rPr>
        <w:t>703, 702, 701, 700, 699/1, 698, 697, 695, 694, 693, 692, 691, 687, 686,</w:t>
      </w:r>
    </w:p>
    <w:p>
      <w:pPr>
        <w:pStyle w:val="BodyText"/>
        <w:spacing w:line="204" w:lineRule="exact"/>
        <w:ind w:left="242"/>
      </w:pPr>
      <w:r>
        <w:rPr>
          <w:color w:val="231F20"/>
        </w:rPr>
        <w:t>685, 103 и део 102, део 683, 684, 681, 680, 678, 673, 672, 667, 651</w:t>
      </w:r>
    </w:p>
    <w:p>
      <w:pPr>
        <w:pStyle w:val="BodyText"/>
        <w:spacing w:line="204" w:lineRule="exact"/>
        <w:ind w:left="639"/>
        <w:jc w:val="left"/>
      </w:pPr>
      <w:r>
        <w:rPr>
          <w:color w:val="231F20"/>
        </w:rPr>
        <w:t>КО Кленовник,</w:t>
      </w:r>
    </w:p>
    <w:p>
      <w:pPr>
        <w:pStyle w:val="BodyText"/>
        <w:spacing w:line="204" w:lineRule="exact"/>
        <w:ind w:left="639"/>
        <w:jc w:val="left"/>
      </w:pPr>
      <w:r>
        <w:rPr>
          <w:color w:val="231F20"/>
        </w:rPr>
        <w:t>целе 1858/1, 1857, 1856, део 1854, 1844, 1843, 1842, 1941,</w:t>
      </w:r>
    </w:p>
    <w:p>
      <w:pPr>
        <w:pStyle w:val="BodyText"/>
        <w:spacing w:line="204" w:lineRule="exact"/>
        <w:ind w:left="242"/>
      </w:pPr>
      <w:r>
        <w:rPr>
          <w:color w:val="231F20"/>
        </w:rPr>
        <w:t>1821, 1822, 1824, 1829, целе 1828, 1827,1814, 1801, 1800, 1761,</w:t>
      </w:r>
    </w:p>
    <w:p>
      <w:pPr>
        <w:pStyle w:val="BodyText"/>
        <w:spacing w:line="204" w:lineRule="exact"/>
        <w:ind w:left="242"/>
      </w:pPr>
      <w:r>
        <w:rPr>
          <w:color w:val="231F20"/>
        </w:rPr>
        <w:t>1763,  1764,  1765,  1766,  1759,  1758,  део  1770,  целе  1736, 1737,</w:t>
      </w:r>
    </w:p>
    <w:p>
      <w:pPr>
        <w:pStyle w:val="BodyText"/>
        <w:spacing w:line="204" w:lineRule="exact"/>
        <w:ind w:left="242"/>
      </w:pPr>
      <w:r>
        <w:rPr>
          <w:color w:val="231F20"/>
        </w:rPr>
        <w:t>1738, 1739, 1740, 1741, 1742, 1743, 1744, 1745, 1746, 1626, 1627,</w:t>
      </w:r>
    </w:p>
    <w:p>
      <w:pPr>
        <w:pStyle w:val="BodyText"/>
        <w:spacing w:line="204" w:lineRule="exact"/>
        <w:ind w:left="242"/>
      </w:pPr>
      <w:r>
        <w:rPr>
          <w:color w:val="231F20"/>
        </w:rPr>
        <w:t>1628, 1629, 1630, 1631, 1632, 1633, 1634, 1635, 1636, 1637, 1638,</w:t>
      </w:r>
    </w:p>
    <w:p>
      <w:pPr>
        <w:pStyle w:val="BodyText"/>
        <w:spacing w:line="204" w:lineRule="exact"/>
        <w:ind w:left="242"/>
      </w:pPr>
      <w:r>
        <w:rPr>
          <w:color w:val="231F20"/>
        </w:rPr>
        <w:t>1639, 1640, 1641, 1642, 1643, 1644, 1645, 1646, 1647, 1648, 1649,</w:t>
      </w:r>
    </w:p>
    <w:p>
      <w:pPr>
        <w:pStyle w:val="BodyText"/>
        <w:spacing w:line="204" w:lineRule="exact"/>
        <w:ind w:left="242"/>
      </w:pPr>
      <w:r>
        <w:rPr>
          <w:color w:val="231F20"/>
        </w:rPr>
        <w:t>1655, 1656, 1656, 1657, 1659, 1660,</w:t>
      </w:r>
    </w:p>
    <w:p>
      <w:pPr>
        <w:pStyle w:val="BodyText"/>
        <w:spacing w:line="204" w:lineRule="exact"/>
        <w:ind w:left="639"/>
        <w:jc w:val="left"/>
      </w:pPr>
      <w:r>
        <w:rPr>
          <w:color w:val="231F20"/>
        </w:rPr>
        <w:t>КО Костолац Село део к.п.бр. 303</w:t>
      </w:r>
    </w:p>
    <w:p>
      <w:pPr>
        <w:pStyle w:val="BodyText"/>
        <w:spacing w:line="237" w:lineRule="auto"/>
        <w:ind w:left="242" w:right="127" w:firstLine="396"/>
      </w:pPr>
      <w:r>
        <w:rPr>
          <w:color w:val="231F20"/>
          <w:spacing w:val="-3"/>
        </w:rPr>
        <w:t>Границу </w:t>
      </w:r>
      <w:r>
        <w:rPr>
          <w:color w:val="231F20"/>
        </w:rPr>
        <w:t>чини проширење уз постојећи </w:t>
      </w:r>
      <w:r>
        <w:rPr>
          <w:color w:val="231F20"/>
          <w:spacing w:val="-3"/>
        </w:rPr>
        <w:t>коридор </w:t>
      </w:r>
      <w:r>
        <w:rPr>
          <w:color w:val="231F20"/>
        </w:rPr>
        <w:t>и нови </w:t>
      </w:r>
      <w:r>
        <w:rPr>
          <w:color w:val="231F20"/>
          <w:spacing w:val="-3"/>
        </w:rPr>
        <w:t>кори- </w:t>
      </w:r>
      <w:r>
        <w:rPr>
          <w:color w:val="231F20"/>
        </w:rPr>
        <w:t>дор</w:t>
      </w:r>
      <w:r>
        <w:rPr>
          <w:color w:val="231F20"/>
          <w:spacing w:val="-8"/>
        </w:rPr>
        <w:t> </w:t>
      </w:r>
      <w:r>
        <w:rPr>
          <w:color w:val="231F20"/>
        </w:rPr>
        <w:t>индустријског</w:t>
      </w:r>
      <w:r>
        <w:rPr>
          <w:color w:val="231F20"/>
          <w:spacing w:val="-8"/>
        </w:rPr>
        <w:t> </w:t>
      </w:r>
      <w:r>
        <w:rPr>
          <w:color w:val="231F20"/>
          <w:spacing w:val="-3"/>
        </w:rPr>
        <w:t>колосека</w:t>
      </w:r>
      <w:r>
        <w:rPr>
          <w:color w:val="231F20"/>
          <w:spacing w:val="-8"/>
        </w:rPr>
        <w:t> </w:t>
      </w:r>
      <w:r>
        <w:rPr>
          <w:color w:val="231F20"/>
          <w:spacing w:val="-3"/>
        </w:rPr>
        <w:t>тако</w:t>
      </w:r>
      <w:r>
        <w:rPr>
          <w:color w:val="231F20"/>
          <w:spacing w:val="-8"/>
        </w:rPr>
        <w:t> </w:t>
      </w:r>
      <w:r>
        <w:rPr>
          <w:color w:val="231F20"/>
        </w:rPr>
        <w:t>да</w:t>
      </w:r>
      <w:r>
        <w:rPr>
          <w:color w:val="231F20"/>
          <w:spacing w:val="-8"/>
        </w:rPr>
        <w:t> </w:t>
      </w:r>
      <w:r>
        <w:rPr>
          <w:color w:val="231F20"/>
        </w:rPr>
        <w:t>се</w:t>
      </w:r>
      <w:r>
        <w:rPr>
          <w:color w:val="231F20"/>
          <w:spacing w:val="-8"/>
        </w:rPr>
        <w:t> </w:t>
      </w:r>
      <w:r>
        <w:rPr>
          <w:color w:val="231F20"/>
        </w:rPr>
        <w:t>обилази</w:t>
      </w:r>
      <w:r>
        <w:rPr>
          <w:color w:val="231F20"/>
          <w:spacing w:val="-8"/>
        </w:rPr>
        <w:t> </w:t>
      </w:r>
      <w:r>
        <w:rPr>
          <w:color w:val="231F20"/>
          <w:spacing w:val="-4"/>
        </w:rPr>
        <w:t>коп</w:t>
      </w:r>
      <w:r>
        <w:rPr>
          <w:color w:val="231F20"/>
          <w:spacing w:val="-8"/>
        </w:rPr>
        <w:t> </w:t>
      </w:r>
      <w:r>
        <w:rPr>
          <w:color w:val="231F20"/>
        </w:rPr>
        <w:t>са</w:t>
      </w:r>
      <w:r>
        <w:rPr>
          <w:color w:val="231F20"/>
          <w:spacing w:val="-8"/>
        </w:rPr>
        <w:t> </w:t>
      </w:r>
      <w:r>
        <w:rPr>
          <w:color w:val="231F20"/>
        </w:rPr>
        <w:t>јужне</w:t>
      </w:r>
      <w:r>
        <w:rPr>
          <w:color w:val="231F20"/>
          <w:spacing w:val="-8"/>
        </w:rPr>
        <w:t> </w:t>
      </w:r>
      <w:r>
        <w:rPr>
          <w:color w:val="231F20"/>
        </w:rPr>
        <w:t>стране, насеље</w:t>
      </w:r>
      <w:r>
        <w:rPr>
          <w:color w:val="231F20"/>
          <w:spacing w:val="-8"/>
        </w:rPr>
        <w:t> </w:t>
      </w:r>
      <w:r>
        <w:rPr>
          <w:color w:val="231F20"/>
        </w:rPr>
        <w:t>Дрмно</w:t>
      </w:r>
      <w:r>
        <w:rPr>
          <w:color w:val="231F20"/>
          <w:spacing w:val="-8"/>
        </w:rPr>
        <w:t> </w:t>
      </w:r>
      <w:r>
        <w:rPr>
          <w:color w:val="231F20"/>
        </w:rPr>
        <w:t>са</w:t>
      </w:r>
      <w:r>
        <w:rPr>
          <w:color w:val="231F20"/>
          <w:spacing w:val="-8"/>
        </w:rPr>
        <w:t> </w:t>
      </w:r>
      <w:r>
        <w:rPr>
          <w:color w:val="231F20"/>
        </w:rPr>
        <w:t>западне</w:t>
      </w:r>
      <w:r>
        <w:rPr>
          <w:color w:val="231F20"/>
          <w:spacing w:val="-8"/>
        </w:rPr>
        <w:t> </w:t>
      </w:r>
      <w:r>
        <w:rPr>
          <w:color w:val="231F20"/>
        </w:rPr>
        <w:t>и</w:t>
      </w:r>
      <w:r>
        <w:rPr>
          <w:color w:val="231F20"/>
          <w:spacing w:val="-8"/>
        </w:rPr>
        <w:t> </w:t>
      </w:r>
      <w:r>
        <w:rPr>
          <w:color w:val="231F20"/>
        </w:rPr>
        <w:t>затим</w:t>
      </w:r>
      <w:r>
        <w:rPr>
          <w:color w:val="231F20"/>
          <w:spacing w:val="-8"/>
        </w:rPr>
        <w:t> </w:t>
      </w:r>
      <w:r>
        <w:rPr>
          <w:color w:val="231F20"/>
        </w:rPr>
        <w:t>укључење</w:t>
      </w:r>
      <w:r>
        <w:rPr>
          <w:color w:val="231F20"/>
          <w:spacing w:val="-8"/>
        </w:rPr>
        <w:t> </w:t>
      </w:r>
      <w:r>
        <w:rPr>
          <w:color w:val="231F20"/>
        </w:rPr>
        <w:t>у</w:t>
      </w:r>
      <w:r>
        <w:rPr>
          <w:color w:val="231F20"/>
          <w:spacing w:val="-8"/>
        </w:rPr>
        <w:t> </w:t>
      </w:r>
      <w:r>
        <w:rPr>
          <w:color w:val="231F20"/>
          <w:spacing w:val="-4"/>
        </w:rPr>
        <w:t>комплекс</w:t>
      </w:r>
      <w:r>
        <w:rPr>
          <w:color w:val="231F20"/>
          <w:spacing w:val="-8"/>
        </w:rPr>
        <w:t> </w:t>
      </w:r>
      <w:r>
        <w:rPr>
          <w:color w:val="231F20"/>
        </w:rPr>
        <w:t>ТЕ</w:t>
      </w:r>
      <w:r>
        <w:rPr>
          <w:color w:val="231F20"/>
          <w:spacing w:val="-8"/>
        </w:rPr>
        <w:t> </w:t>
      </w:r>
      <w:r>
        <w:rPr>
          <w:color w:val="231F20"/>
          <w:spacing w:val="-3"/>
        </w:rPr>
        <w:t>„Косто- </w:t>
      </w:r>
      <w:r>
        <w:rPr>
          <w:color w:val="231F20"/>
        </w:rPr>
        <w:t>лац” са јужне стране, у оријентационој површини </w:t>
      </w:r>
      <w:r>
        <w:rPr>
          <w:color w:val="231F20"/>
          <w:spacing w:val="-4"/>
        </w:rPr>
        <w:t>од </w:t>
      </w:r>
      <w:r>
        <w:rPr>
          <w:color w:val="231F20"/>
        </w:rPr>
        <w:t>99,98</w:t>
      </w:r>
      <w:r>
        <w:rPr>
          <w:color w:val="231F20"/>
          <w:spacing w:val="-32"/>
        </w:rPr>
        <w:t> </w:t>
      </w:r>
      <w:r>
        <w:rPr>
          <w:color w:val="231F20"/>
        </w:rPr>
        <w:t>ha.</w:t>
      </w:r>
    </w:p>
    <w:p>
      <w:pPr>
        <w:pStyle w:val="BodyText"/>
        <w:spacing w:line="237" w:lineRule="auto"/>
        <w:ind w:left="242" w:right="127" w:firstLine="397"/>
      </w:pPr>
      <w:r>
        <w:rPr>
          <w:color w:val="231F20"/>
        </w:rPr>
        <w:t>Коридор пруге обухвата колосек и простор у ширини </w:t>
      </w:r>
      <w:r>
        <w:rPr>
          <w:color w:val="231F20"/>
          <w:spacing w:val="-3"/>
        </w:rPr>
        <w:t>од </w:t>
      </w:r>
      <w:r>
        <w:rPr>
          <w:color w:val="231F20"/>
        </w:rPr>
        <w:t>25 m</w:t>
      </w:r>
      <w:r>
        <w:rPr>
          <w:color w:val="231F20"/>
          <w:spacing w:val="-4"/>
        </w:rPr>
        <w:t> </w:t>
      </w:r>
      <w:r>
        <w:rPr>
          <w:color w:val="231F20"/>
          <w:spacing w:val="-3"/>
        </w:rPr>
        <w:t>од</w:t>
      </w:r>
      <w:r>
        <w:rPr>
          <w:color w:val="231F20"/>
          <w:spacing w:val="-4"/>
        </w:rPr>
        <w:t> </w:t>
      </w:r>
      <w:r>
        <w:rPr>
          <w:color w:val="231F20"/>
        </w:rPr>
        <w:t>осе</w:t>
      </w:r>
      <w:r>
        <w:rPr>
          <w:color w:val="231F20"/>
          <w:spacing w:val="-4"/>
        </w:rPr>
        <w:t> </w:t>
      </w:r>
      <w:r>
        <w:rPr>
          <w:color w:val="231F20"/>
        </w:rPr>
        <w:t>колосека</w:t>
      </w:r>
      <w:r>
        <w:rPr>
          <w:color w:val="231F20"/>
          <w:spacing w:val="-4"/>
        </w:rPr>
        <w:t> </w:t>
      </w:r>
      <w:r>
        <w:rPr>
          <w:color w:val="231F20"/>
        </w:rPr>
        <w:t>са</w:t>
      </w:r>
      <w:r>
        <w:rPr>
          <w:color w:val="231F20"/>
          <w:spacing w:val="-4"/>
        </w:rPr>
        <w:t> </w:t>
      </w:r>
      <w:r>
        <w:rPr>
          <w:color w:val="231F20"/>
        </w:rPr>
        <w:t>обе</w:t>
      </w:r>
      <w:r>
        <w:rPr>
          <w:color w:val="231F20"/>
          <w:spacing w:val="-4"/>
        </w:rPr>
        <w:t> </w:t>
      </w:r>
      <w:r>
        <w:rPr>
          <w:color w:val="231F20"/>
        </w:rPr>
        <w:t>стране</w:t>
      </w:r>
      <w:r>
        <w:rPr>
          <w:color w:val="231F20"/>
          <w:spacing w:val="-4"/>
        </w:rPr>
        <w:t> </w:t>
      </w:r>
      <w:r>
        <w:rPr>
          <w:color w:val="231F20"/>
        </w:rPr>
        <w:t>пруге,</w:t>
      </w:r>
      <w:r>
        <w:rPr>
          <w:color w:val="231F20"/>
          <w:spacing w:val="-4"/>
        </w:rPr>
        <w:t> </w:t>
      </w:r>
      <w:r>
        <w:rPr>
          <w:color w:val="231F20"/>
        </w:rPr>
        <w:t>што</w:t>
      </w:r>
      <w:r>
        <w:rPr>
          <w:color w:val="231F20"/>
          <w:spacing w:val="-4"/>
        </w:rPr>
        <w:t> </w:t>
      </w:r>
      <w:r>
        <w:rPr>
          <w:color w:val="231F20"/>
        </w:rPr>
        <w:t>представља</w:t>
      </w:r>
      <w:r>
        <w:rPr>
          <w:color w:val="231F20"/>
          <w:spacing w:val="-4"/>
        </w:rPr>
        <w:t> </w:t>
      </w:r>
      <w:r>
        <w:rPr>
          <w:color w:val="231F20"/>
        </w:rPr>
        <w:t>„заштитни пружни појас”. Пружа се равничарским подручјем са ниским ме- стимичним побрђем терасног карактера, на којем се налазе обра- диве</w:t>
      </w:r>
      <w:r>
        <w:rPr>
          <w:color w:val="231F20"/>
          <w:spacing w:val="-7"/>
        </w:rPr>
        <w:t> </w:t>
      </w:r>
      <w:r>
        <w:rPr>
          <w:color w:val="231F20"/>
        </w:rPr>
        <w:t>површине,</w:t>
      </w:r>
      <w:r>
        <w:rPr>
          <w:color w:val="231F20"/>
          <w:spacing w:val="-7"/>
        </w:rPr>
        <w:t> </w:t>
      </w:r>
      <w:r>
        <w:rPr>
          <w:color w:val="231F20"/>
        </w:rPr>
        <w:t>воћњаци</w:t>
      </w:r>
      <w:r>
        <w:rPr>
          <w:color w:val="231F20"/>
          <w:spacing w:val="-7"/>
        </w:rPr>
        <w:t> </w:t>
      </w:r>
      <w:r>
        <w:rPr>
          <w:color w:val="231F20"/>
        </w:rPr>
        <w:t>и</w:t>
      </w:r>
      <w:r>
        <w:rPr>
          <w:color w:val="231F20"/>
          <w:spacing w:val="-7"/>
        </w:rPr>
        <w:t> </w:t>
      </w:r>
      <w:r>
        <w:rPr>
          <w:color w:val="231F20"/>
        </w:rPr>
        <w:t>виногради.</w:t>
      </w:r>
      <w:r>
        <w:rPr>
          <w:color w:val="231F20"/>
          <w:spacing w:val="-10"/>
        </w:rPr>
        <w:t> </w:t>
      </w:r>
      <w:r>
        <w:rPr>
          <w:color w:val="231F20"/>
        </w:rPr>
        <w:t>Tрасу</w:t>
      </w:r>
      <w:r>
        <w:rPr>
          <w:color w:val="231F20"/>
          <w:spacing w:val="-7"/>
        </w:rPr>
        <w:t> </w:t>
      </w:r>
      <w:r>
        <w:rPr>
          <w:color w:val="231F20"/>
        </w:rPr>
        <w:t>пруге</w:t>
      </w:r>
      <w:r>
        <w:rPr>
          <w:color w:val="231F20"/>
          <w:spacing w:val="-7"/>
        </w:rPr>
        <w:t> </w:t>
      </w:r>
      <w:r>
        <w:rPr>
          <w:color w:val="231F20"/>
        </w:rPr>
        <w:t>чини</w:t>
      </w:r>
      <w:r>
        <w:rPr>
          <w:color w:val="231F20"/>
          <w:spacing w:val="-7"/>
        </w:rPr>
        <w:t> </w:t>
      </w:r>
      <w:r>
        <w:rPr>
          <w:color w:val="231F20"/>
        </w:rPr>
        <w:t>постојећа пруга,</w:t>
      </w:r>
      <w:r>
        <w:rPr>
          <w:color w:val="231F20"/>
          <w:spacing w:val="-7"/>
        </w:rPr>
        <w:t> </w:t>
      </w:r>
      <w:r>
        <w:rPr>
          <w:color w:val="231F20"/>
        </w:rPr>
        <w:t>у</w:t>
      </w:r>
      <w:r>
        <w:rPr>
          <w:color w:val="231F20"/>
          <w:spacing w:val="-7"/>
        </w:rPr>
        <w:t> </w:t>
      </w:r>
      <w:r>
        <w:rPr>
          <w:color w:val="231F20"/>
        </w:rPr>
        <w:t>дужини</w:t>
      </w:r>
      <w:r>
        <w:rPr>
          <w:color w:val="231F20"/>
          <w:spacing w:val="-7"/>
        </w:rPr>
        <w:t> </w:t>
      </w:r>
      <w:r>
        <w:rPr>
          <w:color w:val="231F20"/>
          <w:spacing w:val="-3"/>
        </w:rPr>
        <w:t>од</w:t>
      </w:r>
      <w:r>
        <w:rPr>
          <w:color w:val="231F20"/>
          <w:spacing w:val="-7"/>
        </w:rPr>
        <w:t> </w:t>
      </w:r>
      <w:r>
        <w:rPr>
          <w:color w:val="231F20"/>
          <w:spacing w:val="-4"/>
        </w:rPr>
        <w:t>око</w:t>
      </w:r>
      <w:r>
        <w:rPr>
          <w:color w:val="231F20"/>
          <w:spacing w:val="-7"/>
        </w:rPr>
        <w:t> </w:t>
      </w:r>
      <w:r>
        <w:rPr>
          <w:color w:val="231F20"/>
        </w:rPr>
        <w:t>6,75</w:t>
      </w:r>
      <w:r>
        <w:rPr>
          <w:color w:val="231F20"/>
          <w:spacing w:val="-7"/>
        </w:rPr>
        <w:t> </w:t>
      </w:r>
      <w:r>
        <w:rPr>
          <w:color w:val="231F20"/>
        </w:rPr>
        <w:t>km,</w:t>
      </w:r>
      <w:r>
        <w:rPr>
          <w:color w:val="231F20"/>
          <w:spacing w:val="-7"/>
        </w:rPr>
        <w:t> </w:t>
      </w:r>
      <w:r>
        <w:rPr>
          <w:color w:val="231F20"/>
        </w:rPr>
        <w:t>и</w:t>
      </w:r>
      <w:r>
        <w:rPr>
          <w:color w:val="231F20"/>
          <w:spacing w:val="-7"/>
        </w:rPr>
        <w:t> </w:t>
      </w:r>
      <w:r>
        <w:rPr>
          <w:color w:val="231F20"/>
        </w:rPr>
        <w:t>планирани</w:t>
      </w:r>
      <w:r>
        <w:rPr>
          <w:color w:val="231F20"/>
          <w:spacing w:val="-7"/>
        </w:rPr>
        <w:t> </w:t>
      </w:r>
      <w:r>
        <w:rPr>
          <w:color w:val="231F20"/>
        </w:rPr>
        <w:t>колосек,</w:t>
      </w:r>
      <w:r>
        <w:rPr>
          <w:color w:val="231F20"/>
          <w:spacing w:val="-7"/>
        </w:rPr>
        <w:t> </w:t>
      </w:r>
      <w:r>
        <w:rPr>
          <w:color w:val="231F20"/>
        </w:rPr>
        <w:t>у</w:t>
      </w:r>
      <w:r>
        <w:rPr>
          <w:color w:val="231F20"/>
          <w:spacing w:val="-7"/>
        </w:rPr>
        <w:t> </w:t>
      </w:r>
      <w:r>
        <w:rPr>
          <w:color w:val="231F20"/>
        </w:rPr>
        <w:t>дужини</w:t>
      </w:r>
      <w:r>
        <w:rPr>
          <w:color w:val="231F20"/>
          <w:spacing w:val="-7"/>
        </w:rPr>
        <w:t> </w:t>
      </w:r>
      <w:r>
        <w:rPr>
          <w:color w:val="231F20"/>
          <w:spacing w:val="-3"/>
        </w:rPr>
        <w:t>од </w:t>
      </w:r>
      <w:r>
        <w:rPr>
          <w:color w:val="231F20"/>
          <w:spacing w:val="-4"/>
        </w:rPr>
        <w:t>око </w:t>
      </w:r>
      <w:r>
        <w:rPr>
          <w:color w:val="231F20"/>
        </w:rPr>
        <w:t>7,05 km до </w:t>
      </w:r>
      <w:r>
        <w:rPr>
          <w:color w:val="231F20"/>
          <w:spacing w:val="-3"/>
        </w:rPr>
        <w:t>уласка </w:t>
      </w:r>
      <w:r>
        <w:rPr>
          <w:color w:val="231F20"/>
        </w:rPr>
        <w:t>у </w:t>
      </w:r>
      <w:r>
        <w:rPr>
          <w:color w:val="231F20"/>
          <w:spacing w:val="-3"/>
        </w:rPr>
        <w:t>комплекс </w:t>
      </w:r>
      <w:r>
        <w:rPr>
          <w:color w:val="231F20"/>
        </w:rPr>
        <w:t>ТЕ „Костолац Б”, </w:t>
      </w:r>
      <w:r>
        <w:rPr>
          <w:color w:val="231F20"/>
          <w:spacing w:val="-3"/>
        </w:rPr>
        <w:t>који </w:t>
      </w:r>
      <w:r>
        <w:rPr>
          <w:color w:val="231F20"/>
        </w:rPr>
        <w:t>је после- дица измештања пруге из обухвата површинског </w:t>
      </w:r>
      <w:r>
        <w:rPr>
          <w:color w:val="231F20"/>
          <w:spacing w:val="-3"/>
        </w:rPr>
        <w:t>копа</w:t>
      </w:r>
      <w:r>
        <w:rPr>
          <w:color w:val="231F20"/>
          <w:spacing w:val="-32"/>
        </w:rPr>
        <w:t> </w:t>
      </w:r>
      <w:r>
        <w:rPr>
          <w:color w:val="231F20"/>
        </w:rPr>
        <w:t>„Дрмно”.</w:t>
      </w:r>
    </w:p>
    <w:p>
      <w:pPr>
        <w:pStyle w:val="ListParagraph"/>
        <w:numPr>
          <w:ilvl w:val="2"/>
          <w:numId w:val="63"/>
        </w:numPr>
        <w:tabs>
          <w:tab w:pos="1066" w:val="left" w:leader="none"/>
        </w:tabs>
        <w:spacing w:line="240" w:lineRule="auto" w:before="157" w:after="0"/>
        <w:ind w:left="1065" w:right="0" w:hanging="315"/>
        <w:jc w:val="left"/>
        <w:rPr>
          <w:i/>
          <w:sz w:val="18"/>
        </w:rPr>
      </w:pPr>
      <w:r>
        <w:rPr>
          <w:i/>
          <w:color w:val="231F20"/>
          <w:sz w:val="18"/>
        </w:rPr>
        <w:t>Планирана намена и начин коришћења</w:t>
      </w:r>
      <w:r>
        <w:rPr>
          <w:i/>
          <w:color w:val="231F20"/>
          <w:spacing w:val="-8"/>
          <w:sz w:val="18"/>
        </w:rPr>
        <w:t> </w:t>
      </w:r>
      <w:r>
        <w:rPr>
          <w:i/>
          <w:color w:val="231F20"/>
          <w:sz w:val="18"/>
        </w:rPr>
        <w:t>простора</w:t>
      </w:r>
    </w:p>
    <w:p>
      <w:pPr>
        <w:pStyle w:val="ListParagraph"/>
        <w:numPr>
          <w:ilvl w:val="2"/>
          <w:numId w:val="75"/>
        </w:numPr>
        <w:tabs>
          <w:tab w:pos="703" w:val="left" w:leader="none"/>
        </w:tabs>
        <w:spacing w:line="240" w:lineRule="auto" w:before="167" w:after="0"/>
        <w:ind w:left="568" w:right="0" w:hanging="316"/>
        <w:jc w:val="left"/>
        <w:rPr>
          <w:sz w:val="18"/>
        </w:rPr>
      </w:pPr>
      <w:r>
        <w:rPr>
          <w:color w:val="231F20"/>
          <w:spacing w:val="15"/>
          <w:sz w:val="18"/>
        </w:rPr>
        <w:t>Положај </w:t>
      </w:r>
      <w:r>
        <w:rPr>
          <w:color w:val="231F20"/>
          <w:spacing w:val="16"/>
          <w:sz w:val="18"/>
        </w:rPr>
        <w:t>инфраст руктурних </w:t>
      </w:r>
      <w:r>
        <w:rPr>
          <w:color w:val="231F20"/>
          <w:spacing w:val="15"/>
          <w:sz w:val="18"/>
        </w:rPr>
        <w:t>коридора </w:t>
      </w:r>
      <w:r>
        <w:rPr>
          <w:color w:val="231F20"/>
          <w:sz w:val="18"/>
        </w:rPr>
        <w:t>и</w:t>
      </w:r>
      <w:r>
        <w:rPr>
          <w:color w:val="231F20"/>
          <w:spacing w:val="28"/>
          <w:sz w:val="18"/>
        </w:rPr>
        <w:t> </w:t>
      </w:r>
      <w:r>
        <w:rPr>
          <w:color w:val="231F20"/>
          <w:spacing w:val="15"/>
          <w:sz w:val="18"/>
        </w:rPr>
        <w:t>објекат </w:t>
      </w:r>
      <w:r>
        <w:rPr>
          <w:color w:val="231F20"/>
          <w:sz w:val="18"/>
        </w:rPr>
        <w:t>а</w:t>
      </w:r>
    </w:p>
    <w:p>
      <w:pPr>
        <w:pStyle w:val="BodyText"/>
        <w:spacing w:before="7"/>
        <w:ind w:left="0"/>
        <w:jc w:val="left"/>
        <w:rPr>
          <w:sz w:val="17"/>
        </w:rPr>
      </w:pPr>
    </w:p>
    <w:p>
      <w:pPr>
        <w:pStyle w:val="BodyText"/>
        <w:spacing w:line="237" w:lineRule="auto"/>
        <w:ind w:left="242" w:right="127" w:firstLine="397"/>
      </w:pPr>
      <w:r>
        <w:rPr>
          <w:color w:val="231F20"/>
        </w:rPr>
        <w:t>Траса колосека прелази преко благо нагнуте равнице од ста- нице Стиг према Дрмну, користећи постојећи простор бившег индустријског колосека у дужини од око 6,8 km. Новопланирани колосек се одваја са четвртог колосека станице Стиг скретницом бр. 4 станице Стиг, односно скретницом бр.1 у km 0+000 инду- стријског колосека.</w:t>
      </w:r>
    </w:p>
    <w:p>
      <w:pPr>
        <w:pStyle w:val="BodyText"/>
        <w:spacing w:line="237" w:lineRule="auto"/>
        <w:ind w:left="242" w:right="127" w:firstLine="397"/>
      </w:pPr>
      <w:r>
        <w:rPr>
          <w:color w:val="231F20"/>
        </w:rPr>
        <w:t>Хоризонтални и вертикални елементи трасе омогућавају бр- зине до 50 km/h, на делу отворене пруге, односно до 20 km/h, у кругу термоелектране. У уздужном профилу траса је прилагођена терену, са максималним нагибом од 12,5 ‰.</w:t>
      </w:r>
    </w:p>
    <w:p>
      <w:pPr>
        <w:spacing w:after="0" w:line="237" w:lineRule="auto"/>
        <w:sectPr>
          <w:pgSz w:w="12480" w:h="15690"/>
          <w:pgMar w:top="120" w:bottom="280" w:left="680" w:right="720"/>
          <w:cols w:num="2" w:equalWidth="0">
            <w:col w:w="5558" w:space="40"/>
            <w:col w:w="5482"/>
          </w:cols>
        </w:sectPr>
      </w:pPr>
    </w:p>
    <w:p>
      <w:pPr>
        <w:pStyle w:val="BodyText"/>
        <w:spacing w:line="232" w:lineRule="auto" w:before="73"/>
        <w:ind w:right="39" w:firstLine="396"/>
      </w:pPr>
      <w:r>
        <w:rPr/>
        <w:pict>
          <v:line style="position:absolute;mso-position-horizontal-relative:page;mso-position-vertical-relative:page;z-index:4696" from="304.724396pt,11.942451pt" to="304.724396pt,748.950451pt" stroked="true" strokeweight=".6pt" strokecolor="#231f20">
            <v:stroke dashstyle="solid"/>
            <w10:wrap type="none"/>
          </v:line>
        </w:pict>
      </w:r>
      <w:r>
        <w:rPr>
          <w:color w:val="231F20"/>
          <w:spacing w:val="-3"/>
        </w:rPr>
        <w:t>Након </w:t>
      </w:r>
      <w:r>
        <w:rPr>
          <w:color w:val="231F20"/>
        </w:rPr>
        <w:t>напуштања локације бившег колосека, траса је вођена паралелно са монтажним плацем, (предвиђена станица –</w:t>
      </w:r>
      <w:r>
        <w:rPr>
          <w:color w:val="231F20"/>
          <w:spacing w:val="-33"/>
        </w:rPr>
        <w:t> </w:t>
      </w:r>
      <w:r>
        <w:rPr>
          <w:color w:val="231F20"/>
        </w:rPr>
        <w:t>укрсница наспрам монтажног плаца), а надаље поред насеља Дрмно, оби- лазећи га са западно-северозападне стране. У правце постојећих колосека у оквиру ТЕ „Костолац Б” укључује се, </w:t>
      </w:r>
      <w:r>
        <w:rPr>
          <w:color w:val="231F20"/>
          <w:spacing w:val="-3"/>
        </w:rPr>
        <w:t>након </w:t>
      </w:r>
      <w:r>
        <w:rPr>
          <w:color w:val="231F20"/>
        </w:rPr>
        <w:t>укрштања са постојећом транспортном </w:t>
      </w:r>
      <w:r>
        <w:rPr>
          <w:color w:val="231F20"/>
          <w:spacing w:val="-3"/>
        </w:rPr>
        <w:t>траком </w:t>
      </w:r>
      <w:r>
        <w:rPr>
          <w:color w:val="231F20"/>
        </w:rPr>
        <w:t>за</w:t>
      </w:r>
      <w:r>
        <w:rPr>
          <w:color w:val="231F20"/>
          <w:spacing w:val="0"/>
        </w:rPr>
        <w:t> </w:t>
      </w:r>
      <w:r>
        <w:rPr>
          <w:color w:val="231F20"/>
        </w:rPr>
        <w:t>угаљ.</w:t>
      </w:r>
    </w:p>
    <w:p>
      <w:pPr>
        <w:pStyle w:val="BodyText"/>
        <w:spacing w:line="232" w:lineRule="auto"/>
        <w:ind w:left="171" w:right="39" w:firstLine="396"/>
      </w:pPr>
      <w:r>
        <w:rPr>
          <w:color w:val="231F20"/>
        </w:rPr>
        <w:t>Постојећи</w:t>
      </w:r>
      <w:r>
        <w:rPr>
          <w:color w:val="231F20"/>
          <w:spacing w:val="-10"/>
        </w:rPr>
        <w:t> </w:t>
      </w:r>
      <w:r>
        <w:rPr>
          <w:color w:val="231F20"/>
        </w:rPr>
        <w:t>колосеци</w:t>
      </w:r>
      <w:r>
        <w:rPr>
          <w:color w:val="231F20"/>
          <w:spacing w:val="-10"/>
        </w:rPr>
        <w:t> </w:t>
      </w:r>
      <w:r>
        <w:rPr>
          <w:color w:val="231F20"/>
        </w:rPr>
        <w:t>у</w:t>
      </w:r>
      <w:r>
        <w:rPr>
          <w:color w:val="231F20"/>
          <w:spacing w:val="-10"/>
        </w:rPr>
        <w:t> </w:t>
      </w:r>
      <w:r>
        <w:rPr>
          <w:color w:val="231F20"/>
        </w:rPr>
        <w:t>кругу</w:t>
      </w:r>
      <w:r>
        <w:rPr>
          <w:color w:val="231F20"/>
          <w:spacing w:val="-10"/>
        </w:rPr>
        <w:t> </w:t>
      </w:r>
      <w:r>
        <w:rPr>
          <w:color w:val="231F20"/>
        </w:rPr>
        <w:t>термоелектране</w:t>
      </w:r>
      <w:r>
        <w:rPr>
          <w:color w:val="231F20"/>
          <w:spacing w:val="-10"/>
        </w:rPr>
        <w:t> </w:t>
      </w:r>
      <w:r>
        <w:rPr>
          <w:color w:val="231F20"/>
        </w:rPr>
        <w:t>се</w:t>
      </w:r>
      <w:r>
        <w:rPr>
          <w:color w:val="231F20"/>
          <w:spacing w:val="-10"/>
        </w:rPr>
        <w:t> </w:t>
      </w:r>
      <w:r>
        <w:rPr>
          <w:color w:val="231F20"/>
        </w:rPr>
        <w:t>задржавају,</w:t>
      </w:r>
      <w:r>
        <w:rPr>
          <w:color w:val="231F20"/>
          <w:spacing w:val="-10"/>
        </w:rPr>
        <w:t> </w:t>
      </w:r>
      <w:r>
        <w:rPr>
          <w:color w:val="231F20"/>
        </w:rPr>
        <w:t>уз темељну </w:t>
      </w:r>
      <w:r>
        <w:rPr>
          <w:color w:val="231F20"/>
          <w:spacing w:val="-3"/>
        </w:rPr>
        <w:t>реконструкцију, </w:t>
      </w:r>
      <w:r>
        <w:rPr>
          <w:color w:val="231F20"/>
        </w:rPr>
        <w:t>док су за нове потребе предвиђени до- датни колосечни</w:t>
      </w:r>
      <w:r>
        <w:rPr>
          <w:color w:val="231F20"/>
          <w:spacing w:val="-3"/>
        </w:rPr>
        <w:t> </w:t>
      </w:r>
      <w:r>
        <w:rPr>
          <w:color w:val="231F20"/>
        </w:rPr>
        <w:t>капацитети.</w:t>
      </w:r>
    </w:p>
    <w:p>
      <w:pPr>
        <w:pStyle w:val="BodyText"/>
        <w:spacing w:line="232" w:lineRule="auto"/>
        <w:ind w:left="171" w:right="38" w:firstLine="396"/>
      </w:pPr>
      <w:r>
        <w:rPr>
          <w:color w:val="231F20"/>
        </w:rPr>
        <w:t>Планирани колосек, означен као колосек бр. 6, води се ис- точно </w:t>
      </w:r>
      <w:r>
        <w:rPr>
          <w:color w:val="231F20"/>
          <w:spacing w:val="-3"/>
        </w:rPr>
        <w:t>од </w:t>
      </w:r>
      <w:r>
        <w:rPr>
          <w:color w:val="231F20"/>
        </w:rPr>
        <w:t>депоније угља ТЕ „Костолац Б”. Да би се обезбедили капацитети за истовремено опслуживање </w:t>
      </w:r>
      <w:r>
        <w:rPr>
          <w:color w:val="231F20"/>
          <w:spacing w:val="-3"/>
        </w:rPr>
        <w:t>будућег </w:t>
      </w:r>
      <w:r>
        <w:rPr>
          <w:color w:val="231F20"/>
        </w:rPr>
        <w:t>постројења за истовар кречњака и </w:t>
      </w:r>
      <w:r>
        <w:rPr>
          <w:color w:val="231F20"/>
          <w:spacing w:val="-3"/>
        </w:rPr>
        <w:t>будућег </w:t>
      </w:r>
      <w:r>
        <w:rPr>
          <w:color w:val="231F20"/>
        </w:rPr>
        <w:t>постројења за утовар ситног угља, уз колосек</w:t>
      </w:r>
      <w:r>
        <w:rPr>
          <w:color w:val="231F20"/>
          <w:spacing w:val="-5"/>
        </w:rPr>
        <w:t> </w:t>
      </w:r>
      <w:r>
        <w:rPr>
          <w:color w:val="231F20"/>
        </w:rPr>
        <w:t>бр.</w:t>
      </w:r>
      <w:r>
        <w:rPr>
          <w:color w:val="231F20"/>
          <w:spacing w:val="-5"/>
        </w:rPr>
        <w:t> </w:t>
      </w:r>
      <w:r>
        <w:rPr>
          <w:color w:val="231F20"/>
        </w:rPr>
        <w:t>6</w:t>
      </w:r>
      <w:r>
        <w:rPr>
          <w:color w:val="231F20"/>
          <w:spacing w:val="-5"/>
        </w:rPr>
        <w:t> </w:t>
      </w:r>
      <w:r>
        <w:rPr>
          <w:color w:val="231F20"/>
        </w:rPr>
        <w:t>предвиђен</w:t>
      </w:r>
      <w:r>
        <w:rPr>
          <w:color w:val="231F20"/>
          <w:spacing w:val="-5"/>
        </w:rPr>
        <w:t> </w:t>
      </w:r>
      <w:r>
        <w:rPr>
          <w:color w:val="231F20"/>
        </w:rPr>
        <w:t>је</w:t>
      </w:r>
      <w:r>
        <w:rPr>
          <w:color w:val="231F20"/>
          <w:spacing w:val="-5"/>
        </w:rPr>
        <w:t> </w:t>
      </w:r>
      <w:r>
        <w:rPr>
          <w:color w:val="231F20"/>
        </w:rPr>
        <w:t>колосек</w:t>
      </w:r>
      <w:r>
        <w:rPr>
          <w:color w:val="231F20"/>
          <w:spacing w:val="-5"/>
        </w:rPr>
        <w:t> </w:t>
      </w:r>
      <w:r>
        <w:rPr>
          <w:color w:val="231F20"/>
        </w:rPr>
        <w:t>бр.</w:t>
      </w:r>
      <w:r>
        <w:rPr>
          <w:color w:val="231F20"/>
          <w:spacing w:val="-5"/>
        </w:rPr>
        <w:t> </w:t>
      </w:r>
      <w:r>
        <w:rPr>
          <w:color w:val="231F20"/>
        </w:rPr>
        <w:t>6а.</w:t>
      </w:r>
      <w:r>
        <w:rPr>
          <w:color w:val="231F20"/>
          <w:spacing w:val="-5"/>
        </w:rPr>
        <w:t> </w:t>
      </w:r>
      <w:r>
        <w:rPr>
          <w:color w:val="231F20"/>
        </w:rPr>
        <w:t>Намена</w:t>
      </w:r>
      <w:r>
        <w:rPr>
          <w:color w:val="231F20"/>
          <w:spacing w:val="-5"/>
        </w:rPr>
        <w:t> </w:t>
      </w:r>
      <w:r>
        <w:rPr>
          <w:color w:val="231F20"/>
        </w:rPr>
        <w:t>овог</w:t>
      </w:r>
      <w:r>
        <w:rPr>
          <w:color w:val="231F20"/>
          <w:spacing w:val="-5"/>
        </w:rPr>
        <w:t> </w:t>
      </w:r>
      <w:r>
        <w:rPr>
          <w:color w:val="231F20"/>
        </w:rPr>
        <w:t>колосека</w:t>
      </w:r>
      <w:r>
        <w:rPr>
          <w:color w:val="231F20"/>
          <w:spacing w:val="-5"/>
        </w:rPr>
        <w:t> </w:t>
      </w:r>
      <w:r>
        <w:rPr>
          <w:color w:val="231F20"/>
        </w:rPr>
        <w:t>је да омогући манипулацију вагонима при истовару кречњака, (уто- вару угља), као и да омогући постављање </w:t>
      </w:r>
      <w:r>
        <w:rPr>
          <w:color w:val="231F20"/>
          <w:spacing w:val="-3"/>
        </w:rPr>
        <w:t>локомотиве </w:t>
      </w:r>
      <w:r>
        <w:rPr>
          <w:color w:val="231F20"/>
        </w:rPr>
        <w:t>на чело </w:t>
      </w:r>
      <w:r>
        <w:rPr>
          <w:color w:val="231F20"/>
          <w:spacing w:val="-4"/>
        </w:rPr>
        <w:t>ком- </w:t>
      </w:r>
      <w:r>
        <w:rPr>
          <w:color w:val="231F20"/>
        </w:rPr>
        <w:t>позиције.</w:t>
      </w:r>
    </w:p>
    <w:p>
      <w:pPr>
        <w:pStyle w:val="BodyText"/>
        <w:spacing w:line="232" w:lineRule="auto"/>
        <w:ind w:left="171" w:right="38" w:firstLine="396"/>
      </w:pPr>
      <w:r>
        <w:rPr>
          <w:color w:val="231F20"/>
        </w:rPr>
        <w:t>За</w:t>
      </w:r>
      <w:r>
        <w:rPr>
          <w:color w:val="231F20"/>
          <w:spacing w:val="-17"/>
        </w:rPr>
        <w:t> </w:t>
      </w:r>
      <w:r>
        <w:rPr>
          <w:color w:val="231F20"/>
        </w:rPr>
        <w:t>утовар</w:t>
      </w:r>
      <w:r>
        <w:rPr>
          <w:color w:val="231F20"/>
          <w:spacing w:val="-17"/>
        </w:rPr>
        <w:t> </w:t>
      </w:r>
      <w:r>
        <w:rPr>
          <w:color w:val="231F20"/>
          <w:spacing w:val="-3"/>
        </w:rPr>
        <w:t>комадног</w:t>
      </w:r>
      <w:r>
        <w:rPr>
          <w:color w:val="231F20"/>
          <w:spacing w:val="-17"/>
        </w:rPr>
        <w:t> </w:t>
      </w:r>
      <w:r>
        <w:rPr>
          <w:color w:val="231F20"/>
        </w:rPr>
        <w:t>угља</w:t>
      </w:r>
      <w:r>
        <w:rPr>
          <w:color w:val="231F20"/>
          <w:spacing w:val="-17"/>
        </w:rPr>
        <w:t> </w:t>
      </w:r>
      <w:r>
        <w:rPr>
          <w:color w:val="231F20"/>
        </w:rPr>
        <w:t>пројектом</w:t>
      </w:r>
      <w:r>
        <w:rPr>
          <w:color w:val="231F20"/>
          <w:spacing w:val="-17"/>
        </w:rPr>
        <w:t> </w:t>
      </w:r>
      <w:r>
        <w:rPr>
          <w:color w:val="231F20"/>
        </w:rPr>
        <w:t>је</w:t>
      </w:r>
      <w:r>
        <w:rPr>
          <w:color w:val="231F20"/>
          <w:spacing w:val="-17"/>
        </w:rPr>
        <w:t> </w:t>
      </w:r>
      <w:r>
        <w:rPr>
          <w:color w:val="231F20"/>
        </w:rPr>
        <w:t>предвиђен</w:t>
      </w:r>
      <w:r>
        <w:rPr>
          <w:color w:val="231F20"/>
          <w:spacing w:val="-17"/>
        </w:rPr>
        <w:t> </w:t>
      </w:r>
      <w:r>
        <w:rPr>
          <w:color w:val="231F20"/>
        </w:rPr>
        <w:t>колосек</w:t>
      </w:r>
      <w:r>
        <w:rPr>
          <w:color w:val="231F20"/>
          <w:spacing w:val="-17"/>
        </w:rPr>
        <w:t> </w:t>
      </w:r>
      <w:r>
        <w:rPr>
          <w:color w:val="231F20"/>
        </w:rPr>
        <w:t>бр.</w:t>
      </w:r>
      <w:r>
        <w:rPr>
          <w:color w:val="231F20"/>
          <w:spacing w:val="-17"/>
        </w:rPr>
        <w:t> </w:t>
      </w:r>
      <w:r>
        <w:rPr>
          <w:color w:val="231F20"/>
        </w:rPr>
        <w:t>5, на </w:t>
      </w:r>
      <w:r>
        <w:rPr>
          <w:color w:val="231F20"/>
          <w:spacing w:val="-4"/>
        </w:rPr>
        <w:t>коме </w:t>
      </w:r>
      <w:r>
        <w:rPr>
          <w:color w:val="231F20"/>
        </w:rPr>
        <w:t>постоји </w:t>
      </w:r>
      <w:r>
        <w:rPr>
          <w:color w:val="231F20"/>
          <w:spacing w:val="-3"/>
        </w:rPr>
        <w:t>колска </w:t>
      </w:r>
      <w:r>
        <w:rPr>
          <w:color w:val="231F20"/>
        </w:rPr>
        <w:t>вага, </w:t>
      </w:r>
      <w:r>
        <w:rPr>
          <w:color w:val="231F20"/>
          <w:spacing w:val="-3"/>
        </w:rPr>
        <w:t>која </w:t>
      </w:r>
      <w:r>
        <w:rPr>
          <w:color w:val="231F20"/>
        </w:rPr>
        <w:t>остаје на постојећој локацији. Колосек бр. 5 је везан са једне стране за колосек бр. 4. док се са друге стране завршава као слепи</w:t>
      </w:r>
      <w:r>
        <w:rPr>
          <w:color w:val="231F20"/>
          <w:spacing w:val="-5"/>
        </w:rPr>
        <w:t> </w:t>
      </w:r>
      <w:r>
        <w:rPr>
          <w:color w:val="231F20"/>
        </w:rPr>
        <w:t>колосек.</w:t>
      </w:r>
    </w:p>
    <w:p>
      <w:pPr>
        <w:pStyle w:val="BodyText"/>
        <w:spacing w:line="232" w:lineRule="auto"/>
        <w:ind w:left="171" w:right="38" w:firstLine="397"/>
      </w:pPr>
      <w:r>
        <w:rPr>
          <w:color w:val="231F20"/>
          <w:spacing w:val="-8"/>
        </w:rPr>
        <w:t>Уз</w:t>
      </w:r>
      <w:r>
        <w:rPr>
          <w:color w:val="231F20"/>
          <w:spacing w:val="-7"/>
        </w:rPr>
        <w:t> </w:t>
      </w:r>
      <w:r>
        <w:rPr>
          <w:color w:val="231F20"/>
        </w:rPr>
        <w:t>колосек</w:t>
      </w:r>
      <w:r>
        <w:rPr>
          <w:color w:val="231F20"/>
          <w:spacing w:val="-7"/>
        </w:rPr>
        <w:t> </w:t>
      </w:r>
      <w:r>
        <w:rPr>
          <w:color w:val="231F20"/>
        </w:rPr>
        <w:t>бр.</w:t>
      </w:r>
      <w:r>
        <w:rPr>
          <w:color w:val="231F20"/>
          <w:spacing w:val="-6"/>
        </w:rPr>
        <w:t> </w:t>
      </w:r>
      <w:r>
        <w:rPr>
          <w:color w:val="231F20"/>
        </w:rPr>
        <w:t>4</w:t>
      </w:r>
      <w:r>
        <w:rPr>
          <w:color w:val="231F20"/>
          <w:spacing w:val="-7"/>
        </w:rPr>
        <w:t> </w:t>
      </w:r>
      <w:r>
        <w:rPr>
          <w:color w:val="231F20"/>
        </w:rPr>
        <w:t>се</w:t>
      </w:r>
      <w:r>
        <w:rPr>
          <w:color w:val="231F20"/>
          <w:spacing w:val="-7"/>
        </w:rPr>
        <w:t> </w:t>
      </w:r>
      <w:r>
        <w:rPr>
          <w:color w:val="231F20"/>
        </w:rPr>
        <w:t>планира</w:t>
      </w:r>
      <w:r>
        <w:rPr>
          <w:color w:val="231F20"/>
          <w:spacing w:val="-7"/>
        </w:rPr>
        <w:t> </w:t>
      </w:r>
      <w:r>
        <w:rPr>
          <w:color w:val="231F20"/>
        </w:rPr>
        <w:t>нови</w:t>
      </w:r>
      <w:r>
        <w:rPr>
          <w:color w:val="231F20"/>
          <w:spacing w:val="-6"/>
        </w:rPr>
        <w:t> </w:t>
      </w:r>
      <w:r>
        <w:rPr>
          <w:color w:val="231F20"/>
        </w:rPr>
        <w:t>пепеловод</w:t>
      </w:r>
      <w:r>
        <w:rPr>
          <w:color w:val="231F20"/>
          <w:spacing w:val="-6"/>
        </w:rPr>
        <w:t> </w:t>
      </w:r>
      <w:r>
        <w:rPr>
          <w:color w:val="231F20"/>
        </w:rPr>
        <w:t>и</w:t>
      </w:r>
      <w:r>
        <w:rPr>
          <w:color w:val="231F20"/>
          <w:spacing w:val="-6"/>
        </w:rPr>
        <w:t> </w:t>
      </w:r>
      <w:r>
        <w:rPr>
          <w:color w:val="231F20"/>
        </w:rPr>
        <w:t>мора</w:t>
      </w:r>
      <w:r>
        <w:rPr>
          <w:color w:val="231F20"/>
          <w:spacing w:val="-7"/>
        </w:rPr>
        <w:t> </w:t>
      </w:r>
      <w:r>
        <w:rPr>
          <w:color w:val="231F20"/>
        </w:rPr>
        <w:t>се</w:t>
      </w:r>
      <w:r>
        <w:rPr>
          <w:color w:val="231F20"/>
          <w:spacing w:val="-7"/>
        </w:rPr>
        <w:t> </w:t>
      </w:r>
      <w:r>
        <w:rPr>
          <w:color w:val="231F20"/>
        </w:rPr>
        <w:t>обезбе- дити простор за линију за гипс, радну резерву и повратну воду </w:t>
      </w:r>
      <w:r>
        <w:rPr>
          <w:color w:val="231F20"/>
          <w:spacing w:val="-4"/>
        </w:rPr>
        <w:t>ко- </w:t>
      </w:r>
      <w:r>
        <w:rPr>
          <w:color w:val="231F20"/>
        </w:rPr>
        <w:t>ји су потребни за процес одсумпоравања. </w:t>
      </w:r>
      <w:r>
        <w:rPr>
          <w:color w:val="231F20"/>
          <w:spacing w:val="-3"/>
        </w:rPr>
        <w:t>Укрштање </w:t>
      </w:r>
      <w:r>
        <w:rPr>
          <w:color w:val="231F20"/>
        </w:rPr>
        <w:t>са </w:t>
      </w:r>
      <w:r>
        <w:rPr>
          <w:color w:val="231F20"/>
          <w:spacing w:val="-3"/>
        </w:rPr>
        <w:t>колосеком </w:t>
      </w:r>
      <w:r>
        <w:rPr>
          <w:color w:val="231F20"/>
        </w:rPr>
        <w:t>се изводи на минималној висини </w:t>
      </w:r>
      <w:r>
        <w:rPr>
          <w:color w:val="231F20"/>
          <w:spacing w:val="-3"/>
        </w:rPr>
        <w:t>од </w:t>
      </w:r>
      <w:r>
        <w:rPr>
          <w:color w:val="231F20"/>
        </w:rPr>
        <w:t>5,5 m </w:t>
      </w:r>
      <w:r>
        <w:rPr>
          <w:color w:val="231F20"/>
          <w:spacing w:val="-3"/>
        </w:rPr>
        <w:t>од </w:t>
      </w:r>
      <w:r>
        <w:rPr>
          <w:color w:val="231F20"/>
        </w:rPr>
        <w:t>горње ивице шине, док локације стубова не смеју угрозити слободан профил пруге и стабилност насипа, тј. морају се налазити на минималном растоја- њу </w:t>
      </w:r>
      <w:r>
        <w:rPr>
          <w:color w:val="231F20"/>
          <w:spacing w:val="-3"/>
        </w:rPr>
        <w:t>од </w:t>
      </w:r>
      <w:r>
        <w:rPr>
          <w:color w:val="231F20"/>
        </w:rPr>
        <w:t>3 m </w:t>
      </w:r>
      <w:r>
        <w:rPr>
          <w:color w:val="231F20"/>
          <w:spacing w:val="-3"/>
        </w:rPr>
        <w:t>од </w:t>
      </w:r>
      <w:r>
        <w:rPr>
          <w:color w:val="231F20"/>
        </w:rPr>
        <w:t>крајње ивице</w:t>
      </w:r>
      <w:r>
        <w:rPr>
          <w:color w:val="231F20"/>
          <w:spacing w:val="0"/>
        </w:rPr>
        <w:t> </w:t>
      </w:r>
      <w:r>
        <w:rPr>
          <w:color w:val="231F20"/>
        </w:rPr>
        <w:t>насипа.</w:t>
      </w:r>
    </w:p>
    <w:p>
      <w:pPr>
        <w:pStyle w:val="BodyText"/>
        <w:spacing w:line="232" w:lineRule="auto"/>
        <w:ind w:left="171" w:right="38" w:firstLine="396"/>
      </w:pPr>
      <w:r>
        <w:rPr>
          <w:color w:val="231F20"/>
        </w:rPr>
        <w:t>Дужина трасе од станице Стиг до раздвајања колосека ис- пред термоелектране износи 13,85 km. Укупна грађевинска дужи- на колосека износи око 20,75 km.</w:t>
      </w:r>
    </w:p>
    <w:p>
      <w:pPr>
        <w:pStyle w:val="BodyText"/>
        <w:spacing w:line="232" w:lineRule="auto"/>
        <w:ind w:left="171" w:right="38" w:firstLine="397"/>
      </w:pPr>
      <w:r>
        <w:rPr>
          <w:color w:val="231F20"/>
        </w:rPr>
        <w:t>На делу индустријског колосека </w:t>
      </w:r>
      <w:r>
        <w:rPr>
          <w:color w:val="231F20"/>
          <w:spacing w:val="-3"/>
        </w:rPr>
        <w:t>од </w:t>
      </w:r>
      <w:r>
        <w:rPr>
          <w:color w:val="231F20"/>
        </w:rPr>
        <w:t>km 7+975 до km 8+425 предвиђена је укрсница са два колосека – </w:t>
      </w:r>
      <w:r>
        <w:rPr>
          <w:color w:val="231F20"/>
          <w:spacing w:val="-3"/>
        </w:rPr>
        <w:t>главни </w:t>
      </w:r>
      <w:r>
        <w:rPr>
          <w:color w:val="231F20"/>
        </w:rPr>
        <w:t>пролазни и оби- лазни колосек, чије су корисне дужине по 350 m, </w:t>
      </w:r>
      <w:r>
        <w:rPr>
          <w:color w:val="231F20"/>
          <w:spacing w:val="-3"/>
        </w:rPr>
        <w:t>који </w:t>
      </w:r>
      <w:r>
        <w:rPr>
          <w:color w:val="231F20"/>
        </w:rPr>
        <w:t>ће се </w:t>
      </w:r>
      <w:r>
        <w:rPr>
          <w:color w:val="231F20"/>
          <w:spacing w:val="-3"/>
        </w:rPr>
        <w:t>кори- </w:t>
      </w:r>
      <w:r>
        <w:rPr>
          <w:color w:val="231F20"/>
        </w:rPr>
        <w:t>стити за остављање </w:t>
      </w:r>
      <w:r>
        <w:rPr>
          <w:color w:val="231F20"/>
          <w:spacing w:val="-4"/>
        </w:rPr>
        <w:t>кола </w:t>
      </w:r>
      <w:r>
        <w:rPr>
          <w:color w:val="231F20"/>
        </w:rPr>
        <w:t>и операције формирања – расформирања маневарских састава. Скретницом бр. 4, у km 8+528, одваја се ма- нипулативни</w:t>
      </w:r>
      <w:r>
        <w:rPr>
          <w:color w:val="231F20"/>
          <w:spacing w:val="-10"/>
        </w:rPr>
        <w:t> </w:t>
      </w:r>
      <w:r>
        <w:rPr>
          <w:color w:val="231F20"/>
        </w:rPr>
        <w:t>колосек</w:t>
      </w:r>
      <w:r>
        <w:rPr>
          <w:color w:val="231F20"/>
          <w:spacing w:val="-10"/>
        </w:rPr>
        <w:t> </w:t>
      </w:r>
      <w:r>
        <w:rPr>
          <w:color w:val="231F20"/>
          <w:spacing w:val="-3"/>
        </w:rPr>
        <w:t>који</w:t>
      </w:r>
      <w:r>
        <w:rPr>
          <w:color w:val="231F20"/>
          <w:spacing w:val="-10"/>
        </w:rPr>
        <w:t> </w:t>
      </w:r>
      <w:r>
        <w:rPr>
          <w:color w:val="231F20"/>
          <w:spacing w:val="-3"/>
        </w:rPr>
        <w:t>улази</w:t>
      </w:r>
      <w:r>
        <w:rPr>
          <w:color w:val="231F20"/>
          <w:spacing w:val="-10"/>
        </w:rPr>
        <w:t> </w:t>
      </w:r>
      <w:r>
        <w:rPr>
          <w:color w:val="231F20"/>
        </w:rPr>
        <w:t>у</w:t>
      </w:r>
      <w:r>
        <w:rPr>
          <w:color w:val="231F20"/>
          <w:spacing w:val="-10"/>
        </w:rPr>
        <w:t> </w:t>
      </w:r>
      <w:r>
        <w:rPr>
          <w:color w:val="231F20"/>
        </w:rPr>
        <w:t>простор</w:t>
      </w:r>
      <w:r>
        <w:rPr>
          <w:color w:val="231F20"/>
          <w:spacing w:val="-10"/>
        </w:rPr>
        <w:t> </w:t>
      </w:r>
      <w:r>
        <w:rPr>
          <w:color w:val="231F20"/>
        </w:rPr>
        <w:t>монтажног</w:t>
      </w:r>
      <w:r>
        <w:rPr>
          <w:color w:val="231F20"/>
          <w:spacing w:val="-10"/>
        </w:rPr>
        <w:t> </w:t>
      </w:r>
      <w:r>
        <w:rPr>
          <w:color w:val="231F20"/>
        </w:rPr>
        <w:t>плаца,</w:t>
      </w:r>
      <w:r>
        <w:rPr>
          <w:color w:val="231F20"/>
          <w:spacing w:val="-10"/>
        </w:rPr>
        <w:t> </w:t>
      </w:r>
      <w:r>
        <w:rPr>
          <w:color w:val="231F20"/>
        </w:rPr>
        <w:t>кори- сне дужине </w:t>
      </w:r>
      <w:r>
        <w:rPr>
          <w:color w:val="231F20"/>
          <w:spacing w:val="-4"/>
        </w:rPr>
        <w:t>око </w:t>
      </w:r>
      <w:r>
        <w:rPr>
          <w:color w:val="231F20"/>
        </w:rPr>
        <w:t>720 m. Електрификација индустријског колосека се не</w:t>
      </w:r>
      <w:r>
        <w:rPr>
          <w:color w:val="231F20"/>
          <w:spacing w:val="-2"/>
        </w:rPr>
        <w:t> </w:t>
      </w:r>
      <w:r>
        <w:rPr>
          <w:color w:val="231F20"/>
        </w:rPr>
        <w:t>предвиђа.</w:t>
      </w:r>
    </w:p>
    <w:p>
      <w:pPr>
        <w:pStyle w:val="BodyText"/>
        <w:spacing w:line="232" w:lineRule="auto"/>
        <w:ind w:left="171" w:right="38" w:firstLine="396"/>
      </w:pPr>
      <w:r>
        <w:rPr>
          <w:color w:val="231F20"/>
        </w:rPr>
        <w:t>Пружни појас је простор између железничких колосека, као и поред крајњих колосека, на одстојању </w:t>
      </w:r>
      <w:r>
        <w:rPr>
          <w:color w:val="231F20"/>
          <w:spacing w:val="-3"/>
        </w:rPr>
        <w:t>од </w:t>
      </w:r>
      <w:r>
        <w:rPr>
          <w:color w:val="231F20"/>
        </w:rPr>
        <w:t>најмање 8 m, а </w:t>
      </w:r>
      <w:r>
        <w:rPr>
          <w:color w:val="231F20"/>
          <w:spacing w:val="-4"/>
        </w:rPr>
        <w:t>ако </w:t>
      </w:r>
      <w:r>
        <w:rPr>
          <w:color w:val="231F20"/>
        </w:rPr>
        <w:t>же- лезничка пруга пролази кроз насељено место – на одстојању </w:t>
      </w:r>
      <w:r>
        <w:rPr>
          <w:color w:val="231F20"/>
          <w:spacing w:val="-3"/>
        </w:rPr>
        <w:t>од </w:t>
      </w:r>
      <w:r>
        <w:rPr>
          <w:color w:val="231F20"/>
        </w:rPr>
        <w:t>најмање 6 m, рачунајући </w:t>
      </w:r>
      <w:r>
        <w:rPr>
          <w:color w:val="231F20"/>
          <w:spacing w:val="-3"/>
        </w:rPr>
        <w:t>од </w:t>
      </w:r>
      <w:r>
        <w:rPr>
          <w:color w:val="231F20"/>
        </w:rPr>
        <w:t>осе крајњег колосека. Заштитни пру- жни појас је земљишни појас са обе стране пруге, ширине 200 m, рачунајући </w:t>
      </w:r>
      <w:r>
        <w:rPr>
          <w:color w:val="231F20"/>
          <w:spacing w:val="-3"/>
        </w:rPr>
        <w:t>од </w:t>
      </w:r>
      <w:r>
        <w:rPr>
          <w:color w:val="231F20"/>
        </w:rPr>
        <w:t>осе крајњих колосека.</w:t>
      </w:r>
    </w:p>
    <w:p>
      <w:pPr>
        <w:pStyle w:val="BodyText"/>
        <w:spacing w:line="232" w:lineRule="auto"/>
        <w:ind w:left="172" w:right="38" w:firstLine="397"/>
      </w:pPr>
      <w:r>
        <w:rPr>
          <w:color w:val="231F20"/>
        </w:rPr>
        <w:t>У заштитном пружном појасу не могу се градити зграде, по- стављати постројења и уређаји и градити други објекти на </w:t>
      </w:r>
      <w:r>
        <w:rPr>
          <w:color w:val="231F20"/>
          <w:spacing w:val="-3"/>
        </w:rPr>
        <w:t>удаље- </w:t>
      </w:r>
      <w:r>
        <w:rPr>
          <w:color w:val="231F20"/>
        </w:rPr>
        <w:t>ности мањој </w:t>
      </w:r>
      <w:r>
        <w:rPr>
          <w:color w:val="231F20"/>
          <w:spacing w:val="-3"/>
        </w:rPr>
        <w:t>од </w:t>
      </w:r>
      <w:r>
        <w:rPr>
          <w:color w:val="231F20"/>
        </w:rPr>
        <w:t>25 m рачунајући </w:t>
      </w:r>
      <w:r>
        <w:rPr>
          <w:color w:val="231F20"/>
          <w:spacing w:val="-3"/>
        </w:rPr>
        <w:t>од </w:t>
      </w:r>
      <w:r>
        <w:rPr>
          <w:color w:val="231F20"/>
        </w:rPr>
        <w:t>осе крајњих колосека, осим објеката</w:t>
      </w:r>
      <w:r>
        <w:rPr>
          <w:color w:val="231F20"/>
          <w:spacing w:val="-6"/>
        </w:rPr>
        <w:t> </w:t>
      </w:r>
      <w:r>
        <w:rPr>
          <w:color w:val="231F20"/>
        </w:rPr>
        <w:t>у</w:t>
      </w:r>
      <w:r>
        <w:rPr>
          <w:color w:val="231F20"/>
          <w:spacing w:val="-6"/>
        </w:rPr>
        <w:t> </w:t>
      </w:r>
      <w:r>
        <w:rPr>
          <w:color w:val="231F20"/>
        </w:rPr>
        <w:t>функцији</w:t>
      </w:r>
      <w:r>
        <w:rPr>
          <w:color w:val="231F20"/>
          <w:spacing w:val="-6"/>
        </w:rPr>
        <w:t> </w:t>
      </w:r>
      <w:r>
        <w:rPr>
          <w:color w:val="231F20"/>
        </w:rPr>
        <w:t>железничког</w:t>
      </w:r>
      <w:r>
        <w:rPr>
          <w:color w:val="231F20"/>
          <w:spacing w:val="-6"/>
        </w:rPr>
        <w:t> </w:t>
      </w:r>
      <w:r>
        <w:rPr>
          <w:color w:val="231F20"/>
        </w:rPr>
        <w:t>саобраћаја.</w:t>
      </w:r>
      <w:r>
        <w:rPr>
          <w:color w:val="231F20"/>
          <w:spacing w:val="-6"/>
        </w:rPr>
        <w:t> </w:t>
      </w:r>
      <w:r>
        <w:rPr>
          <w:color w:val="231F20"/>
        </w:rPr>
        <w:t>На</w:t>
      </w:r>
      <w:r>
        <w:rPr>
          <w:color w:val="231F20"/>
          <w:spacing w:val="-6"/>
        </w:rPr>
        <w:t> </w:t>
      </w:r>
      <w:r>
        <w:rPr>
          <w:color w:val="231F20"/>
        </w:rPr>
        <w:t>удаљености</w:t>
      </w:r>
      <w:r>
        <w:rPr>
          <w:color w:val="231F20"/>
          <w:spacing w:val="-6"/>
        </w:rPr>
        <w:t> </w:t>
      </w:r>
      <w:r>
        <w:rPr>
          <w:color w:val="231F20"/>
        </w:rPr>
        <w:t>већој </w:t>
      </w:r>
      <w:r>
        <w:rPr>
          <w:color w:val="231F20"/>
          <w:spacing w:val="-3"/>
        </w:rPr>
        <w:t>од </w:t>
      </w:r>
      <w:r>
        <w:rPr>
          <w:color w:val="231F20"/>
        </w:rPr>
        <w:t>25 m могу се градити зграде, постављати постројења и уређаји, на основу издате сагласности управљача. У коридору </w:t>
      </w:r>
      <w:r>
        <w:rPr>
          <w:color w:val="231F20"/>
          <w:spacing w:val="-3"/>
        </w:rPr>
        <w:t>од </w:t>
      </w:r>
      <w:r>
        <w:rPr>
          <w:color w:val="231F20"/>
        </w:rPr>
        <w:t>25 m </w:t>
      </w:r>
      <w:r>
        <w:rPr>
          <w:color w:val="231F20"/>
          <w:spacing w:val="-3"/>
        </w:rPr>
        <w:t>од </w:t>
      </w:r>
      <w:r>
        <w:rPr>
          <w:color w:val="231F20"/>
        </w:rPr>
        <w:t>осе колосека обострано могуће је трасирати сервисне саобраћај- нице </w:t>
      </w:r>
      <w:r>
        <w:rPr>
          <w:color w:val="231F20"/>
          <w:spacing w:val="-3"/>
        </w:rPr>
        <w:t>које </w:t>
      </w:r>
      <w:r>
        <w:rPr>
          <w:color w:val="231F20"/>
        </w:rPr>
        <w:t>могу служити и за приступ</w:t>
      </w:r>
      <w:r>
        <w:rPr>
          <w:color w:val="231F20"/>
          <w:spacing w:val="-5"/>
        </w:rPr>
        <w:t> </w:t>
      </w:r>
      <w:r>
        <w:rPr>
          <w:color w:val="231F20"/>
        </w:rPr>
        <w:t>парцелама.</w:t>
      </w:r>
    </w:p>
    <w:p>
      <w:pPr>
        <w:pStyle w:val="BodyText"/>
        <w:spacing w:line="232" w:lineRule="auto"/>
        <w:ind w:left="171" w:right="38" w:firstLine="396"/>
      </w:pPr>
      <w:r>
        <w:rPr>
          <w:color w:val="231F20"/>
        </w:rPr>
        <w:t>Изузетно </w:t>
      </w:r>
      <w:r>
        <w:rPr>
          <w:color w:val="231F20"/>
          <w:spacing w:val="-3"/>
        </w:rPr>
        <w:t>од </w:t>
      </w:r>
      <w:r>
        <w:rPr>
          <w:color w:val="231F20"/>
        </w:rPr>
        <w:t>ове одредбе, на железничком подручју могу се постављати каблови, електрични водови ниског напона за осве- тљавање,</w:t>
      </w:r>
      <w:r>
        <w:rPr>
          <w:color w:val="231F20"/>
          <w:spacing w:val="-7"/>
        </w:rPr>
        <w:t> </w:t>
      </w:r>
      <w:r>
        <w:rPr>
          <w:color w:val="231F20"/>
        </w:rPr>
        <w:t>телеграфске</w:t>
      </w:r>
      <w:r>
        <w:rPr>
          <w:color w:val="231F20"/>
          <w:spacing w:val="-7"/>
        </w:rPr>
        <w:t> </w:t>
      </w:r>
      <w:r>
        <w:rPr>
          <w:color w:val="231F20"/>
        </w:rPr>
        <w:t>и</w:t>
      </w:r>
      <w:r>
        <w:rPr>
          <w:color w:val="231F20"/>
          <w:spacing w:val="-7"/>
        </w:rPr>
        <w:t> </w:t>
      </w:r>
      <w:r>
        <w:rPr>
          <w:color w:val="231F20"/>
        </w:rPr>
        <w:t>телефонске</w:t>
      </w:r>
      <w:r>
        <w:rPr>
          <w:color w:val="231F20"/>
          <w:spacing w:val="-7"/>
        </w:rPr>
        <w:t> </w:t>
      </w:r>
      <w:r>
        <w:rPr>
          <w:color w:val="231F20"/>
        </w:rPr>
        <w:t>ваздушне</w:t>
      </w:r>
      <w:r>
        <w:rPr>
          <w:color w:val="231F20"/>
          <w:spacing w:val="-7"/>
        </w:rPr>
        <w:t> </w:t>
      </w:r>
      <w:r>
        <w:rPr>
          <w:color w:val="231F20"/>
        </w:rPr>
        <w:t>линије</w:t>
      </w:r>
      <w:r>
        <w:rPr>
          <w:color w:val="231F20"/>
          <w:spacing w:val="-7"/>
        </w:rPr>
        <w:t> </w:t>
      </w:r>
      <w:r>
        <w:rPr>
          <w:color w:val="231F20"/>
        </w:rPr>
        <w:t>и</w:t>
      </w:r>
      <w:r>
        <w:rPr>
          <w:color w:val="231F20"/>
          <w:spacing w:val="-7"/>
        </w:rPr>
        <w:t> </w:t>
      </w:r>
      <w:r>
        <w:rPr>
          <w:color w:val="231F20"/>
        </w:rPr>
        <w:t>водови,</w:t>
      </w:r>
      <w:r>
        <w:rPr>
          <w:color w:val="231F20"/>
          <w:spacing w:val="-7"/>
        </w:rPr>
        <w:t> </w:t>
      </w:r>
      <w:r>
        <w:rPr>
          <w:color w:val="231F20"/>
        </w:rPr>
        <w:t>ка- нализације, цевоводи и други водови и слични објекти и</w:t>
      </w:r>
      <w:r>
        <w:rPr>
          <w:color w:val="231F20"/>
          <w:spacing w:val="-29"/>
        </w:rPr>
        <w:t> </w:t>
      </w:r>
      <w:r>
        <w:rPr>
          <w:color w:val="231F20"/>
        </w:rPr>
        <w:t>построје- ња, на основу издате сагласности</w:t>
      </w:r>
      <w:r>
        <w:rPr>
          <w:color w:val="231F20"/>
          <w:spacing w:val="-6"/>
        </w:rPr>
        <w:t> </w:t>
      </w:r>
      <w:r>
        <w:rPr>
          <w:color w:val="231F20"/>
        </w:rPr>
        <w:t>управљача.</w:t>
      </w:r>
    </w:p>
    <w:p>
      <w:pPr>
        <w:pStyle w:val="BodyText"/>
        <w:spacing w:line="232" w:lineRule="auto"/>
        <w:ind w:left="172" w:right="38" w:firstLine="396"/>
      </w:pPr>
      <w:r>
        <w:rPr>
          <w:color w:val="231F20"/>
        </w:rPr>
        <w:t>На местима </w:t>
      </w:r>
      <w:r>
        <w:rPr>
          <w:color w:val="231F20"/>
          <w:spacing w:val="-4"/>
        </w:rPr>
        <w:t>где </w:t>
      </w:r>
      <w:r>
        <w:rPr>
          <w:color w:val="231F20"/>
        </w:rPr>
        <w:t>железница пролази кроз земљиште засађено пољопривредним културама </w:t>
      </w:r>
      <w:r>
        <w:rPr>
          <w:color w:val="231F20"/>
          <w:spacing w:val="-3"/>
        </w:rPr>
        <w:t>које </w:t>
      </w:r>
      <w:r>
        <w:rPr>
          <w:color w:val="231F20"/>
        </w:rPr>
        <w:t>су </w:t>
      </w:r>
      <w:r>
        <w:rPr>
          <w:color w:val="231F20"/>
          <w:spacing w:val="-3"/>
        </w:rPr>
        <w:t>лако </w:t>
      </w:r>
      <w:r>
        <w:rPr>
          <w:color w:val="231F20"/>
        </w:rPr>
        <w:t>запаљиве, управљач је дужан</w:t>
      </w:r>
      <w:r>
        <w:rPr>
          <w:color w:val="231F20"/>
          <w:spacing w:val="-4"/>
        </w:rPr>
        <w:t> </w:t>
      </w:r>
      <w:r>
        <w:rPr>
          <w:color w:val="231F20"/>
        </w:rPr>
        <w:t>да</w:t>
      </w:r>
      <w:r>
        <w:rPr>
          <w:color w:val="231F20"/>
          <w:spacing w:val="-4"/>
        </w:rPr>
        <w:t> </w:t>
      </w:r>
      <w:r>
        <w:rPr>
          <w:color w:val="231F20"/>
        </w:rPr>
        <w:t>предузме</w:t>
      </w:r>
      <w:r>
        <w:rPr>
          <w:color w:val="231F20"/>
          <w:spacing w:val="-4"/>
        </w:rPr>
        <w:t> </w:t>
      </w:r>
      <w:r>
        <w:rPr>
          <w:color w:val="231F20"/>
        </w:rPr>
        <w:t>прописане</w:t>
      </w:r>
      <w:r>
        <w:rPr>
          <w:color w:val="231F20"/>
          <w:spacing w:val="-5"/>
        </w:rPr>
        <w:t> </w:t>
      </w:r>
      <w:r>
        <w:rPr>
          <w:color w:val="231F20"/>
        </w:rPr>
        <w:t>мере</w:t>
      </w:r>
      <w:r>
        <w:rPr>
          <w:color w:val="231F20"/>
          <w:spacing w:val="-4"/>
        </w:rPr>
        <w:t> </w:t>
      </w:r>
      <w:r>
        <w:rPr>
          <w:color w:val="231F20"/>
        </w:rPr>
        <w:t>за</w:t>
      </w:r>
      <w:r>
        <w:rPr>
          <w:color w:val="231F20"/>
          <w:spacing w:val="-5"/>
        </w:rPr>
        <w:t> </w:t>
      </w:r>
      <w:r>
        <w:rPr>
          <w:color w:val="231F20"/>
        </w:rPr>
        <w:t>заштиту</w:t>
      </w:r>
      <w:r>
        <w:rPr>
          <w:color w:val="231F20"/>
          <w:spacing w:val="-4"/>
        </w:rPr>
        <w:t> </w:t>
      </w:r>
      <w:r>
        <w:rPr>
          <w:color w:val="231F20"/>
          <w:spacing w:val="-3"/>
        </w:rPr>
        <w:t>од</w:t>
      </w:r>
      <w:r>
        <w:rPr>
          <w:color w:val="231F20"/>
          <w:spacing w:val="-4"/>
        </w:rPr>
        <w:t> </w:t>
      </w:r>
      <w:r>
        <w:rPr>
          <w:color w:val="231F20"/>
        </w:rPr>
        <w:t>пожара</w:t>
      </w:r>
      <w:r>
        <w:rPr>
          <w:color w:val="231F20"/>
          <w:spacing w:val="-4"/>
        </w:rPr>
        <w:t> </w:t>
      </w:r>
      <w:r>
        <w:rPr>
          <w:color w:val="231F20"/>
        </w:rPr>
        <w:t>на</w:t>
      </w:r>
      <w:r>
        <w:rPr>
          <w:color w:val="231F20"/>
          <w:spacing w:val="-5"/>
        </w:rPr>
        <w:t> </w:t>
      </w:r>
      <w:r>
        <w:rPr>
          <w:color w:val="231F20"/>
        </w:rPr>
        <w:t>желе- </w:t>
      </w:r>
      <w:r>
        <w:rPr>
          <w:color w:val="231F20"/>
          <w:spacing w:val="-3"/>
        </w:rPr>
        <w:t>зничком</w:t>
      </w:r>
      <w:r>
        <w:rPr>
          <w:color w:val="231F20"/>
          <w:spacing w:val="-6"/>
        </w:rPr>
        <w:t> </w:t>
      </w:r>
      <w:r>
        <w:rPr>
          <w:color w:val="231F20"/>
        </w:rPr>
        <w:t>подручју</w:t>
      </w:r>
      <w:r>
        <w:rPr>
          <w:color w:val="231F20"/>
          <w:spacing w:val="-6"/>
        </w:rPr>
        <w:t> </w:t>
      </w:r>
      <w:r>
        <w:rPr>
          <w:color w:val="231F20"/>
        </w:rPr>
        <w:t>пруга,</w:t>
      </w:r>
      <w:r>
        <w:rPr>
          <w:color w:val="231F20"/>
          <w:spacing w:val="-6"/>
        </w:rPr>
        <w:t> </w:t>
      </w:r>
      <w:r>
        <w:rPr>
          <w:color w:val="231F20"/>
        </w:rPr>
        <w:t>као</w:t>
      </w:r>
      <w:r>
        <w:rPr>
          <w:color w:val="231F20"/>
          <w:spacing w:val="-6"/>
        </w:rPr>
        <w:t> </w:t>
      </w:r>
      <w:r>
        <w:rPr>
          <w:color w:val="231F20"/>
        </w:rPr>
        <w:t>и</w:t>
      </w:r>
      <w:r>
        <w:rPr>
          <w:color w:val="231F20"/>
          <w:spacing w:val="-6"/>
        </w:rPr>
        <w:t> </w:t>
      </w:r>
      <w:r>
        <w:rPr>
          <w:color w:val="231F20"/>
        </w:rPr>
        <w:t>мере</w:t>
      </w:r>
      <w:r>
        <w:rPr>
          <w:color w:val="231F20"/>
          <w:spacing w:val="-6"/>
        </w:rPr>
        <w:t> </w:t>
      </w:r>
      <w:r>
        <w:rPr>
          <w:color w:val="231F20"/>
        </w:rPr>
        <w:t>за</w:t>
      </w:r>
      <w:r>
        <w:rPr>
          <w:color w:val="231F20"/>
          <w:spacing w:val="-6"/>
        </w:rPr>
        <w:t> </w:t>
      </w:r>
      <w:r>
        <w:rPr>
          <w:color w:val="231F20"/>
        </w:rPr>
        <w:t>заштиту</w:t>
      </w:r>
      <w:r>
        <w:rPr>
          <w:color w:val="231F20"/>
          <w:spacing w:val="-6"/>
        </w:rPr>
        <w:t> </w:t>
      </w:r>
      <w:r>
        <w:rPr>
          <w:color w:val="231F20"/>
          <w:spacing w:val="-3"/>
        </w:rPr>
        <w:t>од</w:t>
      </w:r>
      <w:r>
        <w:rPr>
          <w:color w:val="231F20"/>
          <w:spacing w:val="-6"/>
        </w:rPr>
        <w:t> </w:t>
      </w:r>
      <w:r>
        <w:rPr>
          <w:color w:val="231F20"/>
        </w:rPr>
        <w:t>пожара</w:t>
      </w:r>
      <w:r>
        <w:rPr>
          <w:color w:val="231F20"/>
          <w:spacing w:val="-6"/>
        </w:rPr>
        <w:t> </w:t>
      </w:r>
      <w:r>
        <w:rPr>
          <w:color w:val="231F20"/>
        </w:rPr>
        <w:t>на</w:t>
      </w:r>
      <w:r>
        <w:rPr>
          <w:color w:val="231F20"/>
          <w:spacing w:val="-6"/>
        </w:rPr>
        <w:t> </w:t>
      </w:r>
      <w:r>
        <w:rPr>
          <w:color w:val="231F20"/>
        </w:rPr>
        <w:t>желе- зничким</w:t>
      </w:r>
      <w:r>
        <w:rPr>
          <w:color w:val="231F20"/>
          <w:spacing w:val="-1"/>
        </w:rPr>
        <w:t> </w:t>
      </w:r>
      <w:r>
        <w:rPr>
          <w:color w:val="231F20"/>
        </w:rPr>
        <w:t>возилима.</w:t>
      </w:r>
    </w:p>
    <w:p>
      <w:pPr>
        <w:pStyle w:val="BodyText"/>
        <w:spacing w:line="232" w:lineRule="auto"/>
        <w:ind w:left="171" w:right="38" w:firstLine="397"/>
      </w:pPr>
      <w:r>
        <w:rPr>
          <w:color w:val="231F20"/>
        </w:rPr>
        <w:t>Корисници земљишта дужни су да у појасу ширине 5 m на пољопривредном земљишту благовремено уклањају сазреле по- љопривредне</w:t>
      </w:r>
      <w:r>
        <w:rPr>
          <w:color w:val="231F20"/>
          <w:spacing w:val="-11"/>
        </w:rPr>
        <w:t> </w:t>
      </w:r>
      <w:r>
        <w:rPr>
          <w:color w:val="231F20"/>
        </w:rPr>
        <w:t>културе</w:t>
      </w:r>
      <w:r>
        <w:rPr>
          <w:color w:val="231F20"/>
          <w:spacing w:val="-11"/>
        </w:rPr>
        <w:t> </w:t>
      </w:r>
      <w:r>
        <w:rPr>
          <w:color w:val="231F20"/>
        </w:rPr>
        <w:t>и</w:t>
      </w:r>
      <w:r>
        <w:rPr>
          <w:color w:val="231F20"/>
          <w:spacing w:val="-11"/>
        </w:rPr>
        <w:t> </w:t>
      </w:r>
      <w:r>
        <w:rPr>
          <w:color w:val="231F20"/>
        </w:rPr>
        <w:t>по</w:t>
      </w:r>
      <w:r>
        <w:rPr>
          <w:color w:val="231F20"/>
          <w:spacing w:val="-11"/>
        </w:rPr>
        <w:t> </w:t>
      </w:r>
      <w:r>
        <w:rPr>
          <w:color w:val="231F20"/>
        </w:rPr>
        <w:t>потреби</w:t>
      </w:r>
      <w:r>
        <w:rPr>
          <w:color w:val="231F20"/>
          <w:spacing w:val="-11"/>
        </w:rPr>
        <w:t> </w:t>
      </w:r>
      <w:r>
        <w:rPr>
          <w:color w:val="231F20"/>
        </w:rPr>
        <w:t>предузимају</w:t>
      </w:r>
      <w:r>
        <w:rPr>
          <w:color w:val="231F20"/>
          <w:spacing w:val="-11"/>
        </w:rPr>
        <w:t> </w:t>
      </w:r>
      <w:r>
        <w:rPr>
          <w:color w:val="231F20"/>
        </w:rPr>
        <w:t>друге</w:t>
      </w:r>
      <w:r>
        <w:rPr>
          <w:color w:val="231F20"/>
          <w:spacing w:val="-11"/>
        </w:rPr>
        <w:t> </w:t>
      </w:r>
      <w:r>
        <w:rPr>
          <w:color w:val="231F20"/>
        </w:rPr>
        <w:t>мере</w:t>
      </w:r>
      <w:r>
        <w:rPr>
          <w:color w:val="231F20"/>
          <w:spacing w:val="-11"/>
        </w:rPr>
        <w:t> </w:t>
      </w:r>
      <w:r>
        <w:rPr>
          <w:color w:val="231F20"/>
        </w:rPr>
        <w:t>зашти- те </w:t>
      </w:r>
      <w:r>
        <w:rPr>
          <w:color w:val="231F20"/>
          <w:spacing w:val="-3"/>
        </w:rPr>
        <w:t>од</w:t>
      </w:r>
      <w:r>
        <w:rPr>
          <w:color w:val="231F20"/>
          <w:spacing w:val="-1"/>
        </w:rPr>
        <w:t> </w:t>
      </w:r>
      <w:r>
        <w:rPr>
          <w:color w:val="231F20"/>
        </w:rPr>
        <w:t>пожара.</w:t>
      </w:r>
    </w:p>
    <w:p>
      <w:pPr>
        <w:pStyle w:val="ListParagraph"/>
        <w:numPr>
          <w:ilvl w:val="2"/>
          <w:numId w:val="75"/>
        </w:numPr>
        <w:tabs>
          <w:tab w:pos="1038" w:val="left" w:leader="none"/>
        </w:tabs>
        <w:spacing w:line="402" w:lineRule="exact" w:before="6" w:after="0"/>
        <w:ind w:left="568" w:right="38" w:firstLine="19"/>
        <w:jc w:val="left"/>
        <w:rPr>
          <w:sz w:val="18"/>
        </w:rPr>
      </w:pPr>
      <w:r>
        <w:rPr>
          <w:color w:val="231F20"/>
          <w:spacing w:val="17"/>
          <w:sz w:val="18"/>
        </w:rPr>
        <w:t>Организација </w:t>
      </w:r>
      <w:r>
        <w:rPr>
          <w:color w:val="231F20"/>
          <w:sz w:val="18"/>
        </w:rPr>
        <w:t>и </w:t>
      </w:r>
      <w:r>
        <w:rPr>
          <w:color w:val="231F20"/>
          <w:spacing w:val="16"/>
          <w:sz w:val="18"/>
        </w:rPr>
        <w:t>технологија </w:t>
      </w:r>
      <w:r>
        <w:rPr>
          <w:color w:val="231F20"/>
          <w:sz w:val="18"/>
        </w:rPr>
        <w:t>т </w:t>
      </w:r>
      <w:r>
        <w:rPr>
          <w:color w:val="231F20"/>
          <w:spacing w:val="16"/>
          <w:sz w:val="18"/>
        </w:rPr>
        <w:t>ранспорт </w:t>
      </w:r>
      <w:r>
        <w:rPr>
          <w:color w:val="231F20"/>
          <w:sz w:val="18"/>
        </w:rPr>
        <w:t>а Железнички</w:t>
      </w:r>
      <w:r>
        <w:rPr>
          <w:color w:val="231F20"/>
          <w:spacing w:val="31"/>
          <w:sz w:val="18"/>
        </w:rPr>
        <w:t> </w:t>
      </w:r>
      <w:r>
        <w:rPr>
          <w:color w:val="231F20"/>
          <w:sz w:val="18"/>
        </w:rPr>
        <w:t>транспорт</w:t>
      </w:r>
      <w:r>
        <w:rPr>
          <w:color w:val="231F20"/>
          <w:spacing w:val="31"/>
          <w:sz w:val="18"/>
        </w:rPr>
        <w:t> </w:t>
      </w:r>
      <w:r>
        <w:rPr>
          <w:color w:val="231F20"/>
          <w:sz w:val="18"/>
        </w:rPr>
        <w:t>угља</w:t>
      </w:r>
      <w:r>
        <w:rPr>
          <w:color w:val="231F20"/>
          <w:spacing w:val="31"/>
          <w:sz w:val="18"/>
        </w:rPr>
        <w:t> </w:t>
      </w:r>
      <w:r>
        <w:rPr>
          <w:color w:val="231F20"/>
          <w:sz w:val="18"/>
        </w:rPr>
        <w:t>за</w:t>
      </w:r>
      <w:r>
        <w:rPr>
          <w:color w:val="231F20"/>
          <w:spacing w:val="31"/>
          <w:sz w:val="18"/>
        </w:rPr>
        <w:t> </w:t>
      </w:r>
      <w:r>
        <w:rPr>
          <w:color w:val="231F20"/>
          <w:sz w:val="18"/>
        </w:rPr>
        <w:t>потребе</w:t>
      </w:r>
      <w:r>
        <w:rPr>
          <w:color w:val="231F20"/>
          <w:spacing w:val="31"/>
          <w:sz w:val="18"/>
        </w:rPr>
        <w:t> </w:t>
      </w:r>
      <w:r>
        <w:rPr>
          <w:color w:val="231F20"/>
          <w:sz w:val="18"/>
        </w:rPr>
        <w:t>ТЕ</w:t>
      </w:r>
      <w:r>
        <w:rPr>
          <w:color w:val="231F20"/>
          <w:spacing w:val="31"/>
          <w:sz w:val="18"/>
        </w:rPr>
        <w:t> </w:t>
      </w:r>
      <w:r>
        <w:rPr>
          <w:color w:val="231F20"/>
          <w:sz w:val="18"/>
        </w:rPr>
        <w:t>„Морава”</w:t>
      </w:r>
      <w:r>
        <w:rPr>
          <w:color w:val="231F20"/>
          <w:spacing w:val="31"/>
          <w:sz w:val="18"/>
        </w:rPr>
        <w:t> </w:t>
      </w:r>
      <w:r>
        <w:rPr>
          <w:color w:val="231F20"/>
          <w:sz w:val="18"/>
        </w:rPr>
        <w:t>оба-</w:t>
      </w:r>
    </w:p>
    <w:p>
      <w:pPr>
        <w:pStyle w:val="BodyText"/>
        <w:spacing w:line="155" w:lineRule="exact"/>
        <w:ind w:left="172"/>
        <w:jc w:val="left"/>
      </w:pPr>
      <w:r>
        <w:rPr>
          <w:color w:val="231F20"/>
        </w:rPr>
        <w:t>вљаће се на релацији: ТЕ „Костолац Б” – Стиг – Пожаревац – Ма-</w:t>
      </w:r>
    </w:p>
    <w:p>
      <w:pPr>
        <w:pStyle w:val="BodyText"/>
        <w:spacing w:line="232" w:lineRule="auto" w:before="2"/>
        <w:ind w:left="172" w:hanging="1"/>
        <w:jc w:val="left"/>
      </w:pPr>
      <w:r>
        <w:rPr>
          <w:color w:val="231F20"/>
        </w:rPr>
        <w:t>ла Крсна – Велика Плана – Марковац – Свилајнац, дужине око 99,65 km, од чега око 84 km на мрежи пруга за јавни саобраћај.</w:t>
      </w:r>
    </w:p>
    <w:p>
      <w:pPr>
        <w:pStyle w:val="BodyText"/>
        <w:spacing w:line="232" w:lineRule="auto" w:before="78"/>
        <w:ind w:right="410"/>
      </w:pPr>
      <w:r>
        <w:rPr/>
        <w:br w:type="column"/>
      </w:r>
      <w:r>
        <w:rPr>
          <w:color w:val="231F20"/>
        </w:rPr>
        <w:t>Железнички транспорт кречњака за ТЕ „Костолац Б” обављаће се на релацији: Деспотовац – Марковац – Велика Плана – Мала Кр- сна</w:t>
      </w:r>
      <w:r>
        <w:rPr>
          <w:color w:val="231F20"/>
          <w:spacing w:val="12"/>
        </w:rPr>
        <w:t> </w:t>
      </w:r>
      <w:r>
        <w:rPr>
          <w:color w:val="231F20"/>
        </w:rPr>
        <w:t>–</w:t>
      </w:r>
      <w:r>
        <w:rPr>
          <w:color w:val="231F20"/>
          <w:spacing w:val="-12"/>
        </w:rPr>
        <w:t> </w:t>
      </w:r>
      <w:r>
        <w:rPr>
          <w:color w:val="231F20"/>
        </w:rPr>
        <w:t>Пожаревац</w:t>
      </w:r>
      <w:r>
        <w:rPr>
          <w:color w:val="231F20"/>
          <w:spacing w:val="12"/>
        </w:rPr>
        <w:t> </w:t>
      </w:r>
      <w:r>
        <w:rPr>
          <w:color w:val="231F20"/>
        </w:rPr>
        <w:t>–</w:t>
      </w:r>
      <w:r>
        <w:rPr>
          <w:color w:val="231F20"/>
          <w:spacing w:val="-12"/>
        </w:rPr>
        <w:t> </w:t>
      </w:r>
      <w:r>
        <w:rPr>
          <w:color w:val="231F20"/>
        </w:rPr>
        <w:t>Стиг</w:t>
      </w:r>
      <w:r>
        <w:rPr>
          <w:color w:val="231F20"/>
          <w:spacing w:val="12"/>
        </w:rPr>
        <w:t> </w:t>
      </w:r>
      <w:r>
        <w:rPr>
          <w:color w:val="231F20"/>
        </w:rPr>
        <w:t>–</w:t>
      </w:r>
      <w:r>
        <w:rPr>
          <w:color w:val="231F20"/>
          <w:spacing w:val="-12"/>
        </w:rPr>
        <w:t> </w:t>
      </w:r>
      <w:r>
        <w:rPr>
          <w:color w:val="231F20"/>
        </w:rPr>
        <w:t>ТЕ</w:t>
      </w:r>
      <w:r>
        <w:rPr>
          <w:color w:val="231F20"/>
          <w:spacing w:val="-12"/>
        </w:rPr>
        <w:t> </w:t>
      </w:r>
      <w:r>
        <w:rPr>
          <w:color w:val="231F20"/>
        </w:rPr>
        <w:t>„Костолац</w:t>
      </w:r>
      <w:r>
        <w:rPr>
          <w:color w:val="231F20"/>
          <w:spacing w:val="-12"/>
        </w:rPr>
        <w:t> </w:t>
      </w:r>
      <w:r>
        <w:rPr>
          <w:color w:val="231F20"/>
        </w:rPr>
        <w:t>Б”,</w:t>
      </w:r>
      <w:r>
        <w:rPr>
          <w:color w:val="231F20"/>
          <w:spacing w:val="-12"/>
        </w:rPr>
        <w:t> </w:t>
      </w:r>
      <w:r>
        <w:rPr>
          <w:color w:val="231F20"/>
        </w:rPr>
        <w:t>дужине</w:t>
      </w:r>
      <w:r>
        <w:rPr>
          <w:color w:val="231F20"/>
          <w:spacing w:val="-12"/>
        </w:rPr>
        <w:t> </w:t>
      </w:r>
      <w:r>
        <w:rPr>
          <w:color w:val="231F20"/>
          <w:spacing w:val="-4"/>
        </w:rPr>
        <w:t>око</w:t>
      </w:r>
      <w:r>
        <w:rPr>
          <w:color w:val="231F20"/>
          <w:spacing w:val="-12"/>
        </w:rPr>
        <w:t> </w:t>
      </w:r>
      <w:r>
        <w:rPr>
          <w:color w:val="231F20"/>
        </w:rPr>
        <w:t>122,75</w:t>
      </w:r>
      <w:r>
        <w:rPr>
          <w:color w:val="231F20"/>
          <w:spacing w:val="-12"/>
        </w:rPr>
        <w:t> </w:t>
      </w:r>
      <w:r>
        <w:rPr>
          <w:color w:val="231F20"/>
        </w:rPr>
        <w:t>km, </w:t>
      </w:r>
      <w:r>
        <w:rPr>
          <w:color w:val="231F20"/>
          <w:spacing w:val="-3"/>
        </w:rPr>
        <w:t>од </w:t>
      </w:r>
      <w:r>
        <w:rPr>
          <w:color w:val="231F20"/>
        </w:rPr>
        <w:t>чега </w:t>
      </w:r>
      <w:r>
        <w:rPr>
          <w:color w:val="231F20"/>
          <w:spacing w:val="-4"/>
        </w:rPr>
        <w:t>око </w:t>
      </w:r>
      <w:r>
        <w:rPr>
          <w:color w:val="231F20"/>
        </w:rPr>
        <w:t>108,9 km на мрежи пруга за јавни</w:t>
      </w:r>
      <w:r>
        <w:rPr>
          <w:color w:val="231F20"/>
          <w:spacing w:val="-1"/>
        </w:rPr>
        <w:t> </w:t>
      </w:r>
      <w:r>
        <w:rPr>
          <w:color w:val="231F20"/>
        </w:rPr>
        <w:t>саобраћај.</w:t>
      </w:r>
    </w:p>
    <w:p>
      <w:pPr>
        <w:pStyle w:val="BodyText"/>
        <w:spacing w:line="230" w:lineRule="auto"/>
        <w:ind w:right="410" w:firstLine="396"/>
      </w:pPr>
      <w:r>
        <w:rPr>
          <w:color w:val="231F20"/>
        </w:rPr>
        <w:t>Транспорт угља и кречњака обављаће се маршрутним возо- вима, максималне бруто масе 1.400 t. За вучу возова на деоницама Пожаревац – Стиг и Марковац – Свилајнац – Деспотовац, кори- стиће се дизел локомотиве, а на деоници од Пожаревца до Мар- ковца електро локомотиве.</w:t>
      </w:r>
    </w:p>
    <w:p>
      <w:pPr>
        <w:pStyle w:val="BodyText"/>
        <w:spacing w:line="230" w:lineRule="auto"/>
        <w:ind w:right="410" w:firstLine="396"/>
      </w:pPr>
      <w:r>
        <w:rPr>
          <w:color w:val="231F20"/>
        </w:rPr>
        <w:t>За превоз планираних 600.000 t угља </w:t>
      </w:r>
      <w:r>
        <w:rPr>
          <w:color w:val="231F20"/>
          <w:spacing w:val="-3"/>
        </w:rPr>
        <w:t>годишње </w:t>
      </w:r>
      <w:r>
        <w:rPr>
          <w:color w:val="231F20"/>
        </w:rPr>
        <w:t>за ТЕ „Мора- ва”, планиран је саобраћај 2 пара возова и превоз </w:t>
      </w:r>
      <w:r>
        <w:rPr>
          <w:color w:val="231F20"/>
          <w:spacing w:val="-4"/>
        </w:rPr>
        <w:t>око </w:t>
      </w:r>
      <w:r>
        <w:rPr>
          <w:color w:val="231F20"/>
        </w:rPr>
        <w:t>2.000 t днев- но.</w:t>
      </w:r>
      <w:r>
        <w:rPr>
          <w:color w:val="231F20"/>
          <w:spacing w:val="-8"/>
        </w:rPr>
        <w:t> </w:t>
      </w:r>
      <w:r>
        <w:rPr>
          <w:color w:val="231F20"/>
        </w:rPr>
        <w:t>За</w:t>
      </w:r>
      <w:r>
        <w:rPr>
          <w:color w:val="231F20"/>
          <w:spacing w:val="-8"/>
        </w:rPr>
        <w:t> </w:t>
      </w:r>
      <w:r>
        <w:rPr>
          <w:color w:val="231F20"/>
        </w:rPr>
        <w:t>превоз</w:t>
      </w:r>
      <w:r>
        <w:rPr>
          <w:color w:val="231F20"/>
          <w:spacing w:val="-8"/>
        </w:rPr>
        <w:t> </w:t>
      </w:r>
      <w:r>
        <w:rPr>
          <w:color w:val="231F20"/>
        </w:rPr>
        <w:t>кречњака</w:t>
      </w:r>
      <w:r>
        <w:rPr>
          <w:color w:val="231F20"/>
          <w:spacing w:val="-8"/>
        </w:rPr>
        <w:t> </w:t>
      </w:r>
      <w:r>
        <w:rPr>
          <w:color w:val="231F20"/>
        </w:rPr>
        <w:t>из</w:t>
      </w:r>
      <w:r>
        <w:rPr>
          <w:color w:val="231F20"/>
          <w:spacing w:val="-8"/>
        </w:rPr>
        <w:t> </w:t>
      </w:r>
      <w:r>
        <w:rPr>
          <w:color w:val="231F20"/>
        </w:rPr>
        <w:t>станице</w:t>
      </w:r>
      <w:r>
        <w:rPr>
          <w:color w:val="231F20"/>
          <w:spacing w:val="-8"/>
        </w:rPr>
        <w:t> </w:t>
      </w:r>
      <w:r>
        <w:rPr>
          <w:color w:val="231F20"/>
        </w:rPr>
        <w:t>Деспотовац</w:t>
      </w:r>
      <w:r>
        <w:rPr>
          <w:color w:val="231F20"/>
          <w:spacing w:val="-8"/>
        </w:rPr>
        <w:t> </w:t>
      </w:r>
      <w:r>
        <w:rPr>
          <w:color w:val="231F20"/>
        </w:rPr>
        <w:t>до</w:t>
      </w:r>
      <w:r>
        <w:rPr>
          <w:color w:val="231F20"/>
          <w:spacing w:val="-8"/>
        </w:rPr>
        <w:t> </w:t>
      </w:r>
      <w:r>
        <w:rPr>
          <w:color w:val="231F20"/>
        </w:rPr>
        <w:t>ТЕ</w:t>
      </w:r>
      <w:r>
        <w:rPr>
          <w:color w:val="231F20"/>
          <w:spacing w:val="-8"/>
        </w:rPr>
        <w:t> </w:t>
      </w:r>
      <w:r>
        <w:rPr>
          <w:color w:val="231F20"/>
          <w:spacing w:val="-3"/>
        </w:rPr>
        <w:t>„Костолац</w:t>
      </w:r>
      <w:r>
        <w:rPr>
          <w:color w:val="231F20"/>
          <w:spacing w:val="-8"/>
        </w:rPr>
        <w:t> </w:t>
      </w:r>
      <w:r>
        <w:rPr>
          <w:color w:val="231F20"/>
        </w:rPr>
        <w:t>Б”, потребно</w:t>
      </w:r>
      <w:r>
        <w:rPr>
          <w:color w:val="231F20"/>
          <w:spacing w:val="-8"/>
        </w:rPr>
        <w:t> </w:t>
      </w:r>
      <w:r>
        <w:rPr>
          <w:color w:val="231F20"/>
        </w:rPr>
        <w:t>је</w:t>
      </w:r>
      <w:r>
        <w:rPr>
          <w:color w:val="231F20"/>
          <w:spacing w:val="-8"/>
        </w:rPr>
        <w:t> </w:t>
      </w:r>
      <w:r>
        <w:rPr>
          <w:color w:val="231F20"/>
        </w:rPr>
        <w:t>организовати</w:t>
      </w:r>
      <w:r>
        <w:rPr>
          <w:color w:val="231F20"/>
          <w:spacing w:val="-8"/>
        </w:rPr>
        <w:t> </w:t>
      </w:r>
      <w:r>
        <w:rPr>
          <w:color w:val="231F20"/>
        </w:rPr>
        <w:t>саобраћај</w:t>
      </w:r>
      <w:r>
        <w:rPr>
          <w:color w:val="231F20"/>
          <w:spacing w:val="-8"/>
        </w:rPr>
        <w:t> </w:t>
      </w:r>
      <w:r>
        <w:rPr>
          <w:color w:val="231F20"/>
        </w:rPr>
        <w:t>једног</w:t>
      </w:r>
      <w:r>
        <w:rPr>
          <w:color w:val="231F20"/>
          <w:spacing w:val="-8"/>
        </w:rPr>
        <w:t> </w:t>
      </w:r>
      <w:r>
        <w:rPr>
          <w:color w:val="231F20"/>
        </w:rPr>
        <w:t>теретног</w:t>
      </w:r>
      <w:r>
        <w:rPr>
          <w:color w:val="231F20"/>
          <w:spacing w:val="-8"/>
        </w:rPr>
        <w:t> </w:t>
      </w:r>
      <w:r>
        <w:rPr>
          <w:color w:val="231F20"/>
        </w:rPr>
        <w:t>воза</w:t>
      </w:r>
      <w:r>
        <w:rPr>
          <w:color w:val="231F20"/>
          <w:spacing w:val="-8"/>
        </w:rPr>
        <w:t> </w:t>
      </w:r>
      <w:r>
        <w:rPr>
          <w:color w:val="231F20"/>
        </w:rPr>
        <w:t>дневно.</w:t>
      </w:r>
    </w:p>
    <w:p>
      <w:pPr>
        <w:pStyle w:val="BodyText"/>
        <w:spacing w:line="230" w:lineRule="auto"/>
        <w:ind w:right="410" w:firstLine="397"/>
      </w:pPr>
      <w:r>
        <w:rPr>
          <w:color w:val="231F20"/>
        </w:rPr>
        <w:t>Послуживање индустријског колосека вршиће се маневар- ским саставима, који ће се формирати од маршрутних возова у станици Стиг.</w:t>
      </w:r>
    </w:p>
    <w:p>
      <w:pPr>
        <w:pStyle w:val="BodyText"/>
        <w:spacing w:line="230" w:lineRule="auto"/>
        <w:ind w:right="410" w:firstLine="396"/>
      </w:pPr>
      <w:r>
        <w:rPr>
          <w:color w:val="231F20"/>
        </w:rPr>
        <w:t>Према таблицама оптерећења за дизел </w:t>
      </w:r>
      <w:r>
        <w:rPr>
          <w:color w:val="231F20"/>
          <w:spacing w:val="-3"/>
        </w:rPr>
        <w:t>локомотиву </w:t>
      </w:r>
      <w:r>
        <w:rPr>
          <w:color w:val="231F20"/>
        </w:rPr>
        <w:t>серије 661 и меродавни нагиб </w:t>
      </w:r>
      <w:r>
        <w:rPr>
          <w:color w:val="231F20"/>
          <w:spacing w:val="-3"/>
        </w:rPr>
        <w:t>од </w:t>
      </w:r>
      <w:r>
        <w:rPr>
          <w:color w:val="231F20"/>
        </w:rPr>
        <w:t>17,5 ‰, највећа вучена маса </w:t>
      </w:r>
      <w:r>
        <w:rPr>
          <w:color w:val="231F20"/>
          <w:spacing w:val="-3"/>
        </w:rPr>
        <w:t>локомотиве </w:t>
      </w:r>
      <w:r>
        <w:rPr>
          <w:color w:val="231F20"/>
        </w:rPr>
        <w:t>из- носи 1.030 t, што значи да маневарски састави, на делу </w:t>
      </w:r>
      <w:r>
        <w:rPr>
          <w:color w:val="231F20"/>
          <w:spacing w:val="-3"/>
        </w:rPr>
        <w:t>од </w:t>
      </w:r>
      <w:r>
        <w:rPr>
          <w:color w:val="231F20"/>
        </w:rPr>
        <w:t>укр- снице до станице </w:t>
      </w:r>
      <w:r>
        <w:rPr>
          <w:color w:val="231F20"/>
          <w:spacing w:val="-6"/>
        </w:rPr>
        <w:t>Стиг, </w:t>
      </w:r>
      <w:r>
        <w:rPr>
          <w:color w:val="231F20"/>
        </w:rPr>
        <w:t>могу имати максимално 14 </w:t>
      </w:r>
      <w:r>
        <w:rPr>
          <w:color w:val="231F20"/>
          <w:spacing w:val="-4"/>
        </w:rPr>
        <w:t>кола </w:t>
      </w:r>
      <w:r>
        <w:rPr>
          <w:color w:val="231F20"/>
        </w:rPr>
        <w:t>товарених угљем. Максимална бруто маса теретних возова према карактери- стикама пруге на релацији Стиг – Пожаревац износи 1.400 тона. Највећа допуштена дужина возова, обзиром на корисну дужину главних колосека станице </w:t>
      </w:r>
      <w:r>
        <w:rPr>
          <w:color w:val="231F20"/>
          <w:spacing w:val="-6"/>
        </w:rPr>
        <w:t>Стиг, </w:t>
      </w:r>
      <w:r>
        <w:rPr>
          <w:color w:val="231F20"/>
        </w:rPr>
        <w:t>износи 502 m.</w:t>
      </w:r>
    </w:p>
    <w:p>
      <w:pPr>
        <w:pStyle w:val="BodyText"/>
        <w:spacing w:line="230" w:lineRule="auto"/>
        <w:ind w:right="409" w:firstLine="396"/>
      </w:pPr>
      <w:r>
        <w:rPr>
          <w:color w:val="231F20"/>
        </w:rPr>
        <w:t>Предвиђено је да се из станице Стиг на утовар отпремају комплетни маневарски састави (20 празних </w:t>
      </w:r>
      <w:r>
        <w:rPr>
          <w:color w:val="231F20"/>
          <w:spacing w:val="-3"/>
        </w:rPr>
        <w:t>кола) </w:t>
      </w:r>
      <w:r>
        <w:rPr>
          <w:color w:val="231F20"/>
        </w:rPr>
        <w:t>и да се </w:t>
      </w:r>
      <w:r>
        <w:rPr>
          <w:color w:val="231F20"/>
          <w:spacing w:val="-3"/>
        </w:rPr>
        <w:t>након </w:t>
      </w:r>
      <w:r>
        <w:rPr>
          <w:color w:val="231F20"/>
        </w:rPr>
        <w:t>утовара</w:t>
      </w:r>
      <w:r>
        <w:rPr>
          <w:color w:val="231F20"/>
          <w:spacing w:val="-7"/>
        </w:rPr>
        <w:t> </w:t>
      </w:r>
      <w:r>
        <w:rPr>
          <w:color w:val="231F20"/>
        </w:rPr>
        <w:t>угља</w:t>
      </w:r>
      <w:r>
        <w:rPr>
          <w:color w:val="231F20"/>
          <w:spacing w:val="-7"/>
        </w:rPr>
        <w:t> </w:t>
      </w:r>
      <w:r>
        <w:rPr>
          <w:color w:val="231F20"/>
        </w:rPr>
        <w:t>комплетни</w:t>
      </w:r>
      <w:r>
        <w:rPr>
          <w:color w:val="231F20"/>
          <w:spacing w:val="-7"/>
        </w:rPr>
        <w:t> </w:t>
      </w:r>
      <w:r>
        <w:rPr>
          <w:color w:val="231F20"/>
        </w:rPr>
        <w:t>маневарски</w:t>
      </w:r>
      <w:r>
        <w:rPr>
          <w:color w:val="231F20"/>
          <w:spacing w:val="-7"/>
        </w:rPr>
        <w:t> </w:t>
      </w:r>
      <w:r>
        <w:rPr>
          <w:color w:val="231F20"/>
        </w:rPr>
        <w:t>састави</w:t>
      </w:r>
      <w:r>
        <w:rPr>
          <w:color w:val="231F20"/>
          <w:spacing w:val="-7"/>
        </w:rPr>
        <w:t> </w:t>
      </w:r>
      <w:r>
        <w:rPr>
          <w:color w:val="231F20"/>
        </w:rPr>
        <w:t>извлаче</w:t>
      </w:r>
      <w:r>
        <w:rPr>
          <w:color w:val="231F20"/>
          <w:spacing w:val="-7"/>
        </w:rPr>
        <w:t> </w:t>
      </w:r>
      <w:r>
        <w:rPr>
          <w:color w:val="231F20"/>
        </w:rPr>
        <w:t>до</w:t>
      </w:r>
      <w:r>
        <w:rPr>
          <w:color w:val="231F20"/>
          <w:spacing w:val="-7"/>
        </w:rPr>
        <w:t> </w:t>
      </w:r>
      <w:r>
        <w:rPr>
          <w:color w:val="231F20"/>
          <w:spacing w:val="-3"/>
        </w:rPr>
        <w:t>Укрснице. </w:t>
      </w:r>
      <w:r>
        <w:rPr>
          <w:color w:val="231F20"/>
        </w:rPr>
        <w:t>У</w:t>
      </w:r>
      <w:r>
        <w:rPr>
          <w:color w:val="231F20"/>
          <w:spacing w:val="-5"/>
        </w:rPr>
        <w:t> </w:t>
      </w:r>
      <w:r>
        <w:rPr>
          <w:color w:val="231F20"/>
          <w:spacing w:val="-3"/>
        </w:rPr>
        <w:t>Укрсници</w:t>
      </w:r>
      <w:r>
        <w:rPr>
          <w:color w:val="231F20"/>
          <w:spacing w:val="-5"/>
        </w:rPr>
        <w:t> </w:t>
      </w:r>
      <w:r>
        <w:rPr>
          <w:color w:val="231F20"/>
        </w:rPr>
        <w:t>би</w:t>
      </w:r>
      <w:r>
        <w:rPr>
          <w:color w:val="231F20"/>
          <w:spacing w:val="-5"/>
        </w:rPr>
        <w:t> </w:t>
      </w:r>
      <w:r>
        <w:rPr>
          <w:color w:val="231F20"/>
        </w:rPr>
        <w:t>се</w:t>
      </w:r>
      <w:r>
        <w:rPr>
          <w:color w:val="231F20"/>
          <w:spacing w:val="-5"/>
        </w:rPr>
        <w:t> </w:t>
      </w:r>
      <w:r>
        <w:rPr>
          <w:color w:val="231F20"/>
        </w:rPr>
        <w:t>маневарски</w:t>
      </w:r>
      <w:r>
        <w:rPr>
          <w:color w:val="231F20"/>
          <w:spacing w:val="-5"/>
        </w:rPr>
        <w:t> </w:t>
      </w:r>
      <w:r>
        <w:rPr>
          <w:color w:val="231F20"/>
        </w:rPr>
        <w:t>састав</w:t>
      </w:r>
      <w:r>
        <w:rPr>
          <w:color w:val="231F20"/>
          <w:spacing w:val="-5"/>
        </w:rPr>
        <w:t> </w:t>
      </w:r>
      <w:r>
        <w:rPr>
          <w:color w:val="231F20"/>
        </w:rPr>
        <w:t>делио</w:t>
      </w:r>
      <w:r>
        <w:rPr>
          <w:color w:val="231F20"/>
          <w:spacing w:val="-5"/>
        </w:rPr>
        <w:t> </w:t>
      </w:r>
      <w:r>
        <w:rPr>
          <w:color w:val="231F20"/>
        </w:rPr>
        <w:t>на</w:t>
      </w:r>
      <w:r>
        <w:rPr>
          <w:color w:val="231F20"/>
          <w:spacing w:val="-5"/>
        </w:rPr>
        <w:t> </w:t>
      </w:r>
      <w:r>
        <w:rPr>
          <w:color w:val="231F20"/>
        </w:rPr>
        <w:t>два</w:t>
      </w:r>
      <w:r>
        <w:rPr>
          <w:color w:val="231F20"/>
          <w:spacing w:val="-5"/>
        </w:rPr>
        <w:t> </w:t>
      </w:r>
      <w:r>
        <w:rPr>
          <w:color w:val="231F20"/>
        </w:rPr>
        <w:t>дела</w:t>
      </w:r>
      <w:r>
        <w:rPr>
          <w:color w:val="231F20"/>
          <w:spacing w:val="-5"/>
        </w:rPr>
        <w:t> </w:t>
      </w:r>
      <w:r>
        <w:rPr>
          <w:color w:val="231F20"/>
        </w:rPr>
        <w:t>и</w:t>
      </w:r>
      <w:r>
        <w:rPr>
          <w:color w:val="231F20"/>
          <w:spacing w:val="-5"/>
        </w:rPr>
        <w:t> </w:t>
      </w:r>
      <w:r>
        <w:rPr>
          <w:color w:val="231F20"/>
        </w:rPr>
        <w:t>сваки</w:t>
      </w:r>
      <w:r>
        <w:rPr>
          <w:color w:val="231F20"/>
          <w:spacing w:val="-5"/>
        </w:rPr>
        <w:t> </w:t>
      </w:r>
      <w:r>
        <w:rPr>
          <w:color w:val="231F20"/>
        </w:rPr>
        <w:t>део би се посебно извлачио у станицу </w:t>
      </w:r>
      <w:r>
        <w:rPr>
          <w:color w:val="231F20"/>
          <w:spacing w:val="-6"/>
        </w:rPr>
        <w:t>Стиг. </w:t>
      </w:r>
      <w:r>
        <w:rPr>
          <w:color w:val="231F20"/>
        </w:rPr>
        <w:t>У станици би се форми- рали и из ње отпремали товарени маршрутни возови </w:t>
      </w:r>
      <w:r>
        <w:rPr>
          <w:color w:val="231F20"/>
          <w:spacing w:val="-3"/>
        </w:rPr>
        <w:t>који </w:t>
      </w:r>
      <w:r>
        <w:rPr>
          <w:color w:val="231F20"/>
        </w:rPr>
        <w:t>би у са- ставу имали 20 </w:t>
      </w:r>
      <w:r>
        <w:rPr>
          <w:color w:val="231F20"/>
          <w:spacing w:val="-3"/>
        </w:rPr>
        <w:t>кола. </w:t>
      </w:r>
      <w:r>
        <w:rPr>
          <w:color w:val="231F20"/>
        </w:rPr>
        <w:t>Могуће је повећати број </w:t>
      </w:r>
      <w:r>
        <w:rPr>
          <w:color w:val="231F20"/>
          <w:spacing w:val="-4"/>
        </w:rPr>
        <w:t>кола </w:t>
      </w:r>
      <w:r>
        <w:rPr>
          <w:color w:val="231F20"/>
        </w:rPr>
        <w:t>у маневарским саставима </w:t>
      </w:r>
      <w:r>
        <w:rPr>
          <w:color w:val="231F20"/>
          <w:spacing w:val="-4"/>
        </w:rPr>
        <w:t>уколико </w:t>
      </w:r>
      <w:r>
        <w:rPr>
          <w:color w:val="231F20"/>
        </w:rPr>
        <w:t>се обезбеди ангажовање</w:t>
      </w:r>
      <w:r>
        <w:rPr>
          <w:color w:val="231F20"/>
          <w:spacing w:val="-5"/>
        </w:rPr>
        <w:t> </w:t>
      </w:r>
      <w:r>
        <w:rPr>
          <w:color w:val="231F20"/>
        </w:rPr>
        <w:t>потискивалице.</w:t>
      </w:r>
    </w:p>
    <w:p>
      <w:pPr>
        <w:pStyle w:val="BodyText"/>
        <w:spacing w:line="230" w:lineRule="auto"/>
        <w:ind w:left="171" w:right="409" w:firstLine="396"/>
      </w:pPr>
      <w:r>
        <w:rPr>
          <w:color w:val="231F20"/>
        </w:rPr>
        <w:t>За</w:t>
      </w:r>
      <w:r>
        <w:rPr>
          <w:color w:val="231F20"/>
          <w:spacing w:val="-6"/>
        </w:rPr>
        <w:t> </w:t>
      </w:r>
      <w:r>
        <w:rPr>
          <w:color w:val="231F20"/>
        </w:rPr>
        <w:t>транспорт</w:t>
      </w:r>
      <w:r>
        <w:rPr>
          <w:color w:val="231F20"/>
          <w:spacing w:val="-6"/>
        </w:rPr>
        <w:t> </w:t>
      </w:r>
      <w:r>
        <w:rPr>
          <w:color w:val="231F20"/>
        </w:rPr>
        <w:t>кречњака</w:t>
      </w:r>
      <w:r>
        <w:rPr>
          <w:color w:val="231F20"/>
          <w:spacing w:val="-6"/>
        </w:rPr>
        <w:t> </w:t>
      </w:r>
      <w:r>
        <w:rPr>
          <w:color w:val="231F20"/>
        </w:rPr>
        <w:t>могу</w:t>
      </w:r>
      <w:r>
        <w:rPr>
          <w:color w:val="231F20"/>
          <w:spacing w:val="-6"/>
        </w:rPr>
        <w:t> </w:t>
      </w:r>
      <w:r>
        <w:rPr>
          <w:color w:val="231F20"/>
        </w:rPr>
        <w:t>се</w:t>
      </w:r>
      <w:r>
        <w:rPr>
          <w:color w:val="231F20"/>
          <w:spacing w:val="-6"/>
        </w:rPr>
        <w:t> </w:t>
      </w:r>
      <w:r>
        <w:rPr>
          <w:color w:val="231F20"/>
        </w:rPr>
        <w:t>користити</w:t>
      </w:r>
      <w:r>
        <w:rPr>
          <w:color w:val="231F20"/>
          <w:spacing w:val="-6"/>
        </w:rPr>
        <w:t> </w:t>
      </w:r>
      <w:r>
        <w:rPr>
          <w:color w:val="231F20"/>
        </w:rPr>
        <w:t>вагони</w:t>
      </w:r>
      <w:r>
        <w:rPr>
          <w:color w:val="231F20"/>
          <w:spacing w:val="-6"/>
        </w:rPr>
        <w:t> </w:t>
      </w:r>
      <w:r>
        <w:rPr>
          <w:color w:val="231F20"/>
        </w:rPr>
        <w:t>типа</w:t>
      </w:r>
      <w:r>
        <w:rPr>
          <w:color w:val="231F20"/>
          <w:spacing w:val="-6"/>
        </w:rPr>
        <w:t> </w:t>
      </w:r>
      <w:r>
        <w:rPr>
          <w:color w:val="231F20"/>
        </w:rPr>
        <w:t>„F”,</w:t>
      </w:r>
      <w:r>
        <w:rPr>
          <w:color w:val="231F20"/>
          <w:spacing w:val="-6"/>
        </w:rPr>
        <w:t> </w:t>
      </w:r>
      <w:r>
        <w:rPr>
          <w:color w:val="231F20"/>
        </w:rPr>
        <w:t>са обостраним бочним истоваром. Стога је у зони планираног скла- дишта кречњака предвиђена изградња прихватног бункера са до- затором</w:t>
      </w:r>
      <w:r>
        <w:rPr>
          <w:color w:val="231F20"/>
          <w:spacing w:val="-7"/>
        </w:rPr>
        <w:t> </w:t>
      </w:r>
      <w:r>
        <w:rPr>
          <w:color w:val="231F20"/>
        </w:rPr>
        <w:t>испод</w:t>
      </w:r>
      <w:r>
        <w:rPr>
          <w:color w:val="231F20"/>
          <w:spacing w:val="-7"/>
        </w:rPr>
        <w:t> </w:t>
      </w:r>
      <w:r>
        <w:rPr>
          <w:color w:val="231F20"/>
        </w:rPr>
        <w:t>колосека,</w:t>
      </w:r>
      <w:r>
        <w:rPr>
          <w:color w:val="231F20"/>
          <w:spacing w:val="-7"/>
        </w:rPr>
        <w:t> </w:t>
      </w:r>
      <w:r>
        <w:rPr>
          <w:color w:val="231F20"/>
        </w:rPr>
        <w:t>а</w:t>
      </w:r>
      <w:r>
        <w:rPr>
          <w:color w:val="231F20"/>
          <w:spacing w:val="-7"/>
        </w:rPr>
        <w:t> </w:t>
      </w:r>
      <w:r>
        <w:rPr>
          <w:color w:val="231F20"/>
        </w:rPr>
        <w:t>затим</w:t>
      </w:r>
      <w:r>
        <w:rPr>
          <w:color w:val="231F20"/>
          <w:spacing w:val="-7"/>
        </w:rPr>
        <w:t> </w:t>
      </w:r>
      <w:r>
        <w:rPr>
          <w:color w:val="231F20"/>
        </w:rPr>
        <w:t>би</w:t>
      </w:r>
      <w:r>
        <w:rPr>
          <w:color w:val="231F20"/>
          <w:spacing w:val="-7"/>
        </w:rPr>
        <w:t> </w:t>
      </w:r>
      <w:r>
        <w:rPr>
          <w:color w:val="231F20"/>
        </w:rPr>
        <w:t>се</w:t>
      </w:r>
      <w:r>
        <w:rPr>
          <w:color w:val="231F20"/>
          <w:spacing w:val="-7"/>
        </w:rPr>
        <w:t> </w:t>
      </w:r>
      <w:r>
        <w:rPr>
          <w:color w:val="231F20"/>
          <w:spacing w:val="-3"/>
        </w:rPr>
        <w:t>преко</w:t>
      </w:r>
      <w:r>
        <w:rPr>
          <w:color w:val="231F20"/>
          <w:spacing w:val="-7"/>
        </w:rPr>
        <w:t> </w:t>
      </w:r>
      <w:r>
        <w:rPr>
          <w:color w:val="231F20"/>
        </w:rPr>
        <w:t>система</w:t>
      </w:r>
      <w:r>
        <w:rPr>
          <w:color w:val="231F20"/>
          <w:spacing w:val="-7"/>
        </w:rPr>
        <w:t> </w:t>
      </w:r>
      <w:r>
        <w:rPr>
          <w:color w:val="231F20"/>
        </w:rPr>
        <w:t>транспортера и елеватора вршило пребацивање на складиште</w:t>
      </w:r>
      <w:r>
        <w:rPr>
          <w:color w:val="231F20"/>
          <w:spacing w:val="-16"/>
        </w:rPr>
        <w:t> </w:t>
      </w:r>
      <w:r>
        <w:rPr>
          <w:color w:val="231F20"/>
        </w:rPr>
        <w:t>кречњака.</w:t>
      </w:r>
    </w:p>
    <w:p>
      <w:pPr>
        <w:pStyle w:val="BodyText"/>
        <w:spacing w:line="230" w:lineRule="auto"/>
        <w:ind w:left="172" w:right="408" w:firstLine="396"/>
      </w:pPr>
      <w:r>
        <w:rPr>
          <w:color w:val="231F20"/>
        </w:rPr>
        <w:t>За потребе ТЕ „Морава” треба транспортовати угаљ који је прошао кроз погон дробилане. Локација клатног додавача (место утовара) мора бити изнад колосека. Овај део је потребно усагла- сити са прецизном локацијом индустријског колосека, а планира- на технологија утовара би се омогућила тако што би се постојећи елементи опреме комплетирали и оспособили за експлоатацију.</w:t>
      </w:r>
    </w:p>
    <w:p>
      <w:pPr>
        <w:pStyle w:val="BodyText"/>
        <w:spacing w:line="230" w:lineRule="auto"/>
        <w:ind w:left="172" w:right="408" w:firstLine="397"/>
      </w:pPr>
      <w:r>
        <w:rPr>
          <w:color w:val="231F20"/>
        </w:rPr>
        <w:t>Да би се омогућио транспорт сувог пепела железницом по- требно је индустријски колосек довести до силоса за складиште- ње и утовар, који би требало опремити одговарајућим пнеумо-си- стемом за пуњење железничких кола. За превоз би се користила специјална затворена кола серије „U”, са истоваром помоћу саби- јеног ваздуха.</w:t>
      </w:r>
    </w:p>
    <w:p>
      <w:pPr>
        <w:pStyle w:val="ListParagraph"/>
        <w:numPr>
          <w:ilvl w:val="2"/>
          <w:numId w:val="75"/>
        </w:numPr>
        <w:tabs>
          <w:tab w:pos="782" w:val="left" w:leader="none"/>
        </w:tabs>
        <w:spacing w:line="396" w:lineRule="exact" w:before="0" w:after="0"/>
        <w:ind w:left="569" w:right="408" w:hanging="238"/>
        <w:jc w:val="left"/>
        <w:rPr>
          <w:sz w:val="18"/>
        </w:rPr>
      </w:pPr>
      <w:r>
        <w:rPr>
          <w:color w:val="231F20"/>
          <w:spacing w:val="16"/>
          <w:sz w:val="18"/>
        </w:rPr>
        <w:t>Инжењерско- геолошки </w:t>
      </w:r>
      <w:r>
        <w:rPr>
          <w:color w:val="231F20"/>
          <w:sz w:val="18"/>
        </w:rPr>
        <w:t>и </w:t>
      </w:r>
      <w:r>
        <w:rPr>
          <w:color w:val="231F20"/>
          <w:spacing w:val="16"/>
          <w:sz w:val="18"/>
        </w:rPr>
        <w:t>геотехнички </w:t>
      </w:r>
      <w:r>
        <w:rPr>
          <w:color w:val="231F20"/>
          <w:spacing w:val="15"/>
          <w:sz w:val="18"/>
        </w:rPr>
        <w:t>услови </w:t>
      </w:r>
      <w:r>
        <w:rPr>
          <w:color w:val="231F20"/>
          <w:sz w:val="18"/>
        </w:rPr>
        <w:t>Планирана</w:t>
      </w:r>
      <w:r>
        <w:rPr>
          <w:color w:val="231F20"/>
          <w:spacing w:val="15"/>
          <w:sz w:val="18"/>
        </w:rPr>
        <w:t> </w:t>
      </w:r>
      <w:r>
        <w:rPr>
          <w:color w:val="231F20"/>
          <w:sz w:val="18"/>
        </w:rPr>
        <w:t>траса</w:t>
      </w:r>
      <w:r>
        <w:rPr>
          <w:color w:val="231F20"/>
          <w:spacing w:val="15"/>
          <w:sz w:val="18"/>
        </w:rPr>
        <w:t> </w:t>
      </w:r>
      <w:r>
        <w:rPr>
          <w:color w:val="231F20"/>
          <w:sz w:val="18"/>
        </w:rPr>
        <w:t>новог</w:t>
      </w:r>
      <w:r>
        <w:rPr>
          <w:color w:val="231F20"/>
          <w:spacing w:val="15"/>
          <w:sz w:val="18"/>
        </w:rPr>
        <w:t> </w:t>
      </w:r>
      <w:r>
        <w:rPr>
          <w:color w:val="231F20"/>
          <w:sz w:val="18"/>
        </w:rPr>
        <w:t>колосека</w:t>
      </w:r>
      <w:r>
        <w:rPr>
          <w:color w:val="231F20"/>
          <w:spacing w:val="15"/>
          <w:sz w:val="18"/>
        </w:rPr>
        <w:t> </w:t>
      </w:r>
      <w:r>
        <w:rPr>
          <w:color w:val="231F20"/>
          <w:sz w:val="18"/>
        </w:rPr>
        <w:t>је</w:t>
      </w:r>
      <w:r>
        <w:rPr>
          <w:color w:val="231F20"/>
          <w:spacing w:val="15"/>
          <w:sz w:val="18"/>
        </w:rPr>
        <w:t> </w:t>
      </w:r>
      <w:r>
        <w:rPr>
          <w:color w:val="231F20"/>
          <w:sz w:val="18"/>
        </w:rPr>
        <w:t>у</w:t>
      </w:r>
      <w:r>
        <w:rPr>
          <w:color w:val="231F20"/>
          <w:spacing w:val="15"/>
          <w:sz w:val="18"/>
        </w:rPr>
        <w:t> </w:t>
      </w:r>
      <w:r>
        <w:rPr>
          <w:color w:val="231F20"/>
          <w:sz w:val="18"/>
        </w:rPr>
        <w:t>насипу</w:t>
      </w:r>
      <w:r>
        <w:rPr>
          <w:color w:val="231F20"/>
          <w:spacing w:val="15"/>
          <w:sz w:val="18"/>
        </w:rPr>
        <w:t> </w:t>
      </w:r>
      <w:r>
        <w:rPr>
          <w:color w:val="231F20"/>
          <w:sz w:val="18"/>
        </w:rPr>
        <w:t>и</w:t>
      </w:r>
      <w:r>
        <w:rPr>
          <w:color w:val="231F20"/>
          <w:spacing w:val="15"/>
          <w:sz w:val="18"/>
        </w:rPr>
        <w:t> </w:t>
      </w:r>
      <w:r>
        <w:rPr>
          <w:color w:val="231F20"/>
          <w:sz w:val="18"/>
        </w:rPr>
        <w:t>то</w:t>
      </w:r>
      <w:r>
        <w:rPr>
          <w:color w:val="231F20"/>
          <w:spacing w:val="15"/>
          <w:sz w:val="18"/>
        </w:rPr>
        <w:t> </w:t>
      </w:r>
      <w:r>
        <w:rPr>
          <w:color w:val="231F20"/>
          <w:spacing w:val="-3"/>
          <w:sz w:val="18"/>
        </w:rPr>
        <w:t>преко</w:t>
      </w:r>
      <w:r>
        <w:rPr>
          <w:color w:val="231F20"/>
          <w:spacing w:val="15"/>
          <w:sz w:val="18"/>
        </w:rPr>
        <w:t> </w:t>
      </w:r>
      <w:r>
        <w:rPr>
          <w:color w:val="231F20"/>
          <w:sz w:val="18"/>
        </w:rPr>
        <w:t>ма-</w:t>
      </w:r>
    </w:p>
    <w:p>
      <w:pPr>
        <w:pStyle w:val="BodyText"/>
        <w:spacing w:line="154" w:lineRule="exact"/>
        <w:ind w:left="172"/>
        <w:jc w:val="left"/>
      </w:pPr>
      <w:r>
        <w:rPr>
          <w:color w:val="231F20"/>
        </w:rPr>
        <w:t>теријала оцењених као условно повољни и повољни за извођење</w:t>
      </w:r>
    </w:p>
    <w:p>
      <w:pPr>
        <w:pStyle w:val="BodyText"/>
        <w:spacing w:line="230" w:lineRule="auto"/>
        <w:ind w:left="172" w:right="408" w:hanging="1"/>
      </w:pPr>
      <w:r>
        <w:rPr>
          <w:color w:val="231F20"/>
        </w:rPr>
        <w:t>насипа. У малом обиму усецање и засецање трасе изводиће се у материјалима наноса више речне терасе, у дужини од 213,86 m.</w:t>
      </w:r>
    </w:p>
    <w:p>
      <w:pPr>
        <w:pStyle w:val="BodyText"/>
        <w:spacing w:line="230" w:lineRule="auto"/>
        <w:ind w:left="172" w:right="408" w:firstLine="396"/>
      </w:pPr>
      <w:r>
        <w:rPr>
          <w:color w:val="231F20"/>
        </w:rPr>
        <w:t>На деоници </w:t>
      </w:r>
      <w:r>
        <w:rPr>
          <w:color w:val="231F20"/>
          <w:spacing w:val="-3"/>
        </w:rPr>
        <w:t>постојећег, </w:t>
      </w:r>
      <w:r>
        <w:rPr>
          <w:color w:val="231F20"/>
        </w:rPr>
        <w:t>бившег индустријског колосека тј. на деоници </w:t>
      </w:r>
      <w:r>
        <w:rPr>
          <w:color w:val="231F20"/>
          <w:spacing w:val="-3"/>
        </w:rPr>
        <w:t>од </w:t>
      </w:r>
      <w:r>
        <w:rPr>
          <w:color w:val="231F20"/>
        </w:rPr>
        <w:t>стационаже km: 0+000 до стационаже km: 6+808,21 потребна је потпуна реконструкција доњег и полагање новог гор- њег</w:t>
      </w:r>
      <w:r>
        <w:rPr>
          <w:color w:val="231F20"/>
          <w:spacing w:val="-7"/>
        </w:rPr>
        <w:t> </w:t>
      </w:r>
      <w:r>
        <w:rPr>
          <w:color w:val="231F20"/>
        </w:rPr>
        <w:t>строја</w:t>
      </w:r>
      <w:r>
        <w:rPr>
          <w:color w:val="231F20"/>
          <w:spacing w:val="-7"/>
        </w:rPr>
        <w:t> </w:t>
      </w:r>
      <w:r>
        <w:rPr>
          <w:color w:val="231F20"/>
        </w:rPr>
        <w:t>пруге,</w:t>
      </w:r>
      <w:r>
        <w:rPr>
          <w:color w:val="231F20"/>
          <w:spacing w:val="-7"/>
        </w:rPr>
        <w:t> </w:t>
      </w:r>
      <w:r>
        <w:rPr>
          <w:color w:val="231F20"/>
        </w:rPr>
        <w:t>односно:</w:t>
      </w:r>
      <w:r>
        <w:rPr>
          <w:color w:val="231F20"/>
          <w:spacing w:val="-7"/>
        </w:rPr>
        <w:t> </w:t>
      </w:r>
      <w:r>
        <w:rPr>
          <w:color w:val="231F20"/>
        </w:rPr>
        <w:t>уређење</w:t>
      </w:r>
      <w:r>
        <w:rPr>
          <w:color w:val="231F20"/>
          <w:spacing w:val="-7"/>
        </w:rPr>
        <w:t> </w:t>
      </w:r>
      <w:r>
        <w:rPr>
          <w:color w:val="231F20"/>
        </w:rPr>
        <w:t>планума</w:t>
      </w:r>
      <w:r>
        <w:rPr>
          <w:color w:val="231F20"/>
          <w:spacing w:val="-7"/>
        </w:rPr>
        <w:t> </w:t>
      </w:r>
      <w:r>
        <w:rPr>
          <w:color w:val="231F20"/>
        </w:rPr>
        <w:t>тла,</w:t>
      </w:r>
      <w:r>
        <w:rPr>
          <w:color w:val="231F20"/>
          <w:spacing w:val="-7"/>
        </w:rPr>
        <w:t> </w:t>
      </w:r>
      <w:r>
        <w:rPr>
          <w:color w:val="231F20"/>
        </w:rPr>
        <w:t>израда</w:t>
      </w:r>
      <w:r>
        <w:rPr>
          <w:color w:val="231F20"/>
          <w:spacing w:val="-7"/>
        </w:rPr>
        <w:t> </w:t>
      </w:r>
      <w:r>
        <w:rPr>
          <w:color w:val="231F20"/>
        </w:rPr>
        <w:t>тампона</w:t>
      </w:r>
      <w:r>
        <w:rPr>
          <w:color w:val="231F20"/>
          <w:spacing w:val="-7"/>
        </w:rPr>
        <w:t> </w:t>
      </w:r>
      <w:r>
        <w:rPr>
          <w:color w:val="231F20"/>
        </w:rPr>
        <w:t>и израда новог туцаничког застора и колосечне</w:t>
      </w:r>
      <w:r>
        <w:rPr>
          <w:color w:val="231F20"/>
          <w:spacing w:val="-13"/>
        </w:rPr>
        <w:t> </w:t>
      </w:r>
      <w:r>
        <w:rPr>
          <w:color w:val="231F20"/>
        </w:rPr>
        <w:t>решетке.</w:t>
      </w:r>
    </w:p>
    <w:p>
      <w:pPr>
        <w:pStyle w:val="BodyText"/>
        <w:spacing w:line="230" w:lineRule="auto"/>
        <w:ind w:left="172" w:right="408" w:firstLine="396"/>
      </w:pPr>
      <w:r>
        <w:rPr>
          <w:color w:val="231F20"/>
          <w:spacing w:val="-3"/>
        </w:rPr>
        <w:t>Такође </w:t>
      </w:r>
      <w:r>
        <w:rPr>
          <w:color w:val="231F20"/>
        </w:rPr>
        <w:t>је потребно </w:t>
      </w:r>
      <w:r>
        <w:rPr>
          <w:color w:val="231F20"/>
          <w:spacing w:val="-3"/>
        </w:rPr>
        <w:t>сагледати </w:t>
      </w:r>
      <w:r>
        <w:rPr>
          <w:color w:val="231F20"/>
        </w:rPr>
        <w:t>услове и ограничења за изград- њу новог дела трасе </w:t>
      </w:r>
      <w:r>
        <w:rPr>
          <w:color w:val="231F20"/>
          <w:spacing w:val="-3"/>
        </w:rPr>
        <w:t>од </w:t>
      </w:r>
      <w:r>
        <w:rPr>
          <w:color w:val="231F20"/>
        </w:rPr>
        <w:t>стационаже km 6+808,21 до стационаже km 15+873,86, са уређењем и осигурањем косина насипа и без по- требе за извођењем објеката дуж трасе.</w:t>
      </w:r>
    </w:p>
    <w:p>
      <w:pPr>
        <w:spacing w:before="147"/>
        <w:ind w:left="1903" w:right="0" w:firstLine="0"/>
        <w:jc w:val="left"/>
        <w:rPr>
          <w:i/>
          <w:sz w:val="18"/>
        </w:rPr>
      </w:pPr>
      <w:r>
        <w:rPr>
          <w:i/>
          <w:color w:val="231F20"/>
          <w:sz w:val="18"/>
        </w:rPr>
        <w:t>9.4. Правила уређења</w:t>
      </w:r>
    </w:p>
    <w:p>
      <w:pPr>
        <w:pStyle w:val="BodyText"/>
        <w:spacing w:before="1"/>
        <w:ind w:left="0"/>
        <w:jc w:val="left"/>
        <w:rPr>
          <w:i/>
          <w:sz w:val="17"/>
        </w:rPr>
      </w:pPr>
    </w:p>
    <w:p>
      <w:pPr>
        <w:pStyle w:val="BodyText"/>
        <w:spacing w:line="230" w:lineRule="auto"/>
        <w:ind w:left="127" w:right="407" w:firstLine="396"/>
        <w:jc w:val="right"/>
      </w:pPr>
      <w:r>
        <w:rPr>
          <w:color w:val="231F20"/>
        </w:rPr>
        <w:t>Обухват коридора индустријског колосека је дефинисан до уласка у комплекс Термоелектране одакле успоставља своју регу- лацију у ширини пружног појаса (од Б1-Б130) као на рефералној карти бр. 6.9.2. – Основи за парцелацију и прибављање земљишта. Линија обухвата (коридора индустријског колосека) је одре-</w:t>
      </w:r>
    </w:p>
    <w:p>
      <w:pPr>
        <w:pStyle w:val="BodyText"/>
        <w:spacing w:line="232" w:lineRule="auto"/>
        <w:ind w:left="172" w:right="408"/>
      </w:pPr>
      <w:r>
        <w:rPr>
          <w:color w:val="231F20"/>
        </w:rPr>
        <w:t>ђена пописом припадајућих катастарских парцела и координатама тачака које су приказане у Прилогу 1. табели 9.1.</w:t>
      </w:r>
    </w:p>
    <w:p>
      <w:pPr>
        <w:spacing w:after="0" w:line="232" w:lineRule="auto"/>
        <w:sectPr>
          <w:pgSz w:w="12480" w:h="15690"/>
          <w:pgMar w:top="120" w:bottom="280" w:left="680" w:right="720"/>
          <w:cols w:num="2" w:equalWidth="0">
            <w:col w:w="5316" w:space="71"/>
            <w:col w:w="5693"/>
          </w:cols>
        </w:sectPr>
      </w:pPr>
    </w:p>
    <w:p>
      <w:pPr>
        <w:pStyle w:val="BodyText"/>
        <w:spacing w:line="232" w:lineRule="auto" w:before="73"/>
        <w:ind w:left="453" w:right="1" w:firstLine="396"/>
      </w:pPr>
      <w:r>
        <w:rPr/>
        <w:pict>
          <v:line style="position:absolute;mso-position-horizontal-relative:page;mso-position-vertical-relative:page;z-index:4720" from="318.897614pt,11.942451pt" to="318.897614pt,748.950451pt" stroked="true" strokeweight=".6pt" strokecolor="#231f20">
            <v:stroke dashstyle="solid"/>
            <w10:wrap type="none"/>
          </v:line>
        </w:pict>
      </w:r>
      <w:r>
        <w:rPr>
          <w:color w:val="231F20"/>
        </w:rPr>
        <w:t>Линија обухвата почиње проширењем постојеће трасе желе- зничког колосека (кп.бр. 788, 797, 798 </w:t>
      </w:r>
      <w:r>
        <w:rPr>
          <w:color w:val="231F20"/>
          <w:spacing w:val="-5"/>
        </w:rPr>
        <w:t>Ко </w:t>
      </w:r>
      <w:r>
        <w:rPr>
          <w:color w:val="231F20"/>
        </w:rPr>
        <w:t>Берање) паралелно за  14 m </w:t>
      </w:r>
      <w:r>
        <w:rPr>
          <w:color w:val="231F20"/>
          <w:spacing w:val="-3"/>
        </w:rPr>
        <w:t>од </w:t>
      </w:r>
      <w:r>
        <w:rPr>
          <w:color w:val="231F20"/>
        </w:rPr>
        <w:t>граничне </w:t>
      </w:r>
      <w:r>
        <w:rPr>
          <w:color w:val="231F20"/>
          <w:spacing w:val="-3"/>
        </w:rPr>
        <w:t>тачке </w:t>
      </w:r>
      <w:r>
        <w:rPr>
          <w:color w:val="231F20"/>
        </w:rPr>
        <w:t>на међи к.п. бр. 246 и 797 </w:t>
      </w:r>
      <w:r>
        <w:rPr>
          <w:color w:val="231F20"/>
          <w:spacing w:val="-5"/>
        </w:rPr>
        <w:t>Ко </w:t>
      </w:r>
      <w:r>
        <w:rPr>
          <w:color w:val="231F20"/>
        </w:rPr>
        <w:t>Берање, пре- </w:t>
      </w:r>
      <w:r>
        <w:rPr>
          <w:color w:val="231F20"/>
          <w:spacing w:val="-5"/>
        </w:rPr>
        <w:t>ко</w:t>
      </w:r>
      <w:r>
        <w:rPr>
          <w:color w:val="231F20"/>
          <w:spacing w:val="10"/>
        </w:rPr>
        <w:t> </w:t>
      </w:r>
      <w:r>
        <w:rPr>
          <w:color w:val="231F20"/>
        </w:rPr>
        <w:t>кп.бр.247,</w:t>
      </w:r>
      <w:r>
        <w:rPr>
          <w:color w:val="231F20"/>
          <w:spacing w:val="10"/>
        </w:rPr>
        <w:t> </w:t>
      </w:r>
      <w:r>
        <w:rPr>
          <w:color w:val="231F20"/>
        </w:rPr>
        <w:t>248,</w:t>
      </w:r>
      <w:r>
        <w:rPr>
          <w:color w:val="231F20"/>
          <w:spacing w:val="10"/>
        </w:rPr>
        <w:t> </w:t>
      </w:r>
      <w:r>
        <w:rPr>
          <w:color w:val="231F20"/>
        </w:rPr>
        <w:t>249,</w:t>
      </w:r>
      <w:r>
        <w:rPr>
          <w:color w:val="231F20"/>
          <w:spacing w:val="10"/>
        </w:rPr>
        <w:t> </w:t>
      </w:r>
      <w:r>
        <w:rPr>
          <w:color w:val="231F20"/>
        </w:rPr>
        <w:t>250,257</w:t>
      </w:r>
      <w:r>
        <w:rPr>
          <w:color w:val="231F20"/>
          <w:spacing w:val="10"/>
        </w:rPr>
        <w:t> </w:t>
      </w:r>
      <w:r>
        <w:rPr>
          <w:color w:val="231F20"/>
        </w:rPr>
        <w:t>пресецајући</w:t>
      </w:r>
      <w:r>
        <w:rPr>
          <w:color w:val="231F20"/>
          <w:spacing w:val="10"/>
        </w:rPr>
        <w:t> </w:t>
      </w:r>
      <w:r>
        <w:rPr>
          <w:color w:val="231F20"/>
        </w:rPr>
        <w:t>к.п.</w:t>
      </w:r>
      <w:r>
        <w:rPr>
          <w:color w:val="231F20"/>
          <w:spacing w:val="10"/>
        </w:rPr>
        <w:t> </w:t>
      </w:r>
      <w:r>
        <w:rPr>
          <w:color w:val="231F20"/>
        </w:rPr>
        <w:t>бр.</w:t>
      </w:r>
      <w:r>
        <w:rPr>
          <w:color w:val="231F20"/>
          <w:spacing w:val="10"/>
        </w:rPr>
        <w:t> </w:t>
      </w:r>
      <w:r>
        <w:rPr>
          <w:color w:val="231F20"/>
        </w:rPr>
        <w:t>110,</w:t>
      </w:r>
      <w:r>
        <w:rPr>
          <w:color w:val="231F20"/>
          <w:spacing w:val="10"/>
        </w:rPr>
        <w:t> </w:t>
      </w:r>
      <w:r>
        <w:rPr>
          <w:color w:val="231F20"/>
        </w:rPr>
        <w:t>109,</w:t>
      </w:r>
      <w:r>
        <w:rPr>
          <w:color w:val="231F20"/>
          <w:spacing w:val="10"/>
        </w:rPr>
        <w:t> </w:t>
      </w:r>
      <w:r>
        <w:rPr>
          <w:color w:val="231F20"/>
        </w:rPr>
        <w:t>108,</w:t>
      </w:r>
    </w:p>
    <w:p>
      <w:pPr>
        <w:pStyle w:val="BodyText"/>
        <w:spacing w:line="196" w:lineRule="exact"/>
        <w:ind w:left="453"/>
      </w:pPr>
      <w:r>
        <w:rPr>
          <w:color w:val="231F20"/>
        </w:rPr>
        <w:t>107, 106, 105, 104, 103, 102,101, 100, 99, 98, 97, 96, 93, 92, 91, 90,</w:t>
      </w:r>
    </w:p>
    <w:p>
      <w:pPr>
        <w:pStyle w:val="BodyText"/>
        <w:spacing w:line="200" w:lineRule="exact"/>
        <w:ind w:left="453"/>
      </w:pPr>
      <w:r>
        <w:rPr>
          <w:color w:val="231F20"/>
        </w:rPr>
        <w:t>89, 88, целе 87 и 86 део 796, и делове 85, 84, 83, 82, 81, 80, 79, 78,</w:t>
      </w:r>
    </w:p>
    <w:p>
      <w:pPr>
        <w:pStyle w:val="BodyText"/>
        <w:spacing w:line="232" w:lineRule="auto" w:before="1"/>
        <w:ind w:left="453"/>
      </w:pPr>
      <w:r>
        <w:rPr>
          <w:color w:val="231F20"/>
        </w:rPr>
        <w:t>77, 76, 75, 74, 73, целе 72, 71, 70, 69, 68, 67. Обухват коридора да- ље наставља у КО Сираково општина Велико Градиште деловима кп. бр. 6796, 6795, 6794, 6793, 6792, 6791, 6790, 6789, 6788, 6787,</w:t>
      </w:r>
    </w:p>
    <w:p>
      <w:pPr>
        <w:pStyle w:val="BodyText"/>
        <w:spacing w:line="197" w:lineRule="exact"/>
        <w:ind w:left="453"/>
      </w:pPr>
      <w:r>
        <w:rPr>
          <w:color w:val="231F20"/>
        </w:rPr>
        <w:t>6784,6783, 6782, 6781, 6780, 6779, 6778, 6777, 6776, 6775, 6774,</w:t>
      </w:r>
    </w:p>
    <w:p>
      <w:pPr>
        <w:pStyle w:val="BodyText"/>
        <w:spacing w:line="200" w:lineRule="exact"/>
        <w:ind w:left="453"/>
      </w:pPr>
      <w:r>
        <w:rPr>
          <w:color w:val="231F20"/>
        </w:rPr>
        <w:t>6773,  6772,  6771,  6770,  6769,  6768,  6767,  6766,  6742/1, 6743/1,</w:t>
      </w:r>
    </w:p>
    <w:p>
      <w:pPr>
        <w:pStyle w:val="BodyText"/>
        <w:spacing w:line="232" w:lineRule="auto" w:before="2"/>
        <w:ind w:left="453"/>
      </w:pPr>
      <w:r>
        <w:rPr>
          <w:color w:val="231F20"/>
        </w:rPr>
        <w:t>6743/2, 6743/3, 6743/4, 6743/5, и целом 6728. Линија наставља у КО Брадарац градска општина Пожаревац обухватајући целу к.п. бр.706, делове 705, 707, 708, 709, 714, 715, 716, 717, 718, 719, 720,</w:t>
      </w:r>
    </w:p>
    <w:p>
      <w:pPr>
        <w:pStyle w:val="BodyText"/>
        <w:spacing w:line="197" w:lineRule="exact"/>
        <w:ind w:left="453"/>
      </w:pPr>
      <w:r>
        <w:rPr>
          <w:color w:val="231F20"/>
        </w:rPr>
        <w:t>721, пресеца пут на кп. бр. 967, наставља деловима 730, 731, 732,</w:t>
      </w:r>
    </w:p>
    <w:p>
      <w:pPr>
        <w:pStyle w:val="BodyText"/>
        <w:spacing w:line="232" w:lineRule="auto" w:before="2"/>
        <w:ind w:left="454" w:right="1" w:hanging="1"/>
      </w:pPr>
      <w:r>
        <w:rPr>
          <w:color w:val="231F20"/>
        </w:rPr>
        <w:t>733,</w:t>
      </w:r>
      <w:r>
        <w:rPr>
          <w:color w:val="231F20"/>
          <w:spacing w:val="-5"/>
        </w:rPr>
        <w:t> </w:t>
      </w:r>
      <w:r>
        <w:rPr>
          <w:color w:val="231F20"/>
        </w:rPr>
        <w:t>734,</w:t>
      </w:r>
      <w:r>
        <w:rPr>
          <w:color w:val="231F20"/>
          <w:spacing w:val="-5"/>
        </w:rPr>
        <w:t> </w:t>
      </w:r>
      <w:r>
        <w:rPr>
          <w:color w:val="231F20"/>
        </w:rPr>
        <w:t>735,</w:t>
      </w:r>
      <w:r>
        <w:rPr>
          <w:color w:val="231F20"/>
          <w:spacing w:val="-5"/>
        </w:rPr>
        <w:t> </w:t>
      </w:r>
      <w:r>
        <w:rPr>
          <w:color w:val="231F20"/>
        </w:rPr>
        <w:t>736,</w:t>
      </w:r>
      <w:r>
        <w:rPr>
          <w:color w:val="231F20"/>
          <w:spacing w:val="-5"/>
        </w:rPr>
        <w:t> </w:t>
      </w:r>
      <w:r>
        <w:rPr>
          <w:color w:val="231F20"/>
        </w:rPr>
        <w:t>737,</w:t>
      </w:r>
      <w:r>
        <w:rPr>
          <w:color w:val="231F20"/>
          <w:spacing w:val="-5"/>
        </w:rPr>
        <w:t> </w:t>
      </w:r>
      <w:r>
        <w:rPr>
          <w:color w:val="231F20"/>
        </w:rPr>
        <w:t>пресецајући</w:t>
      </w:r>
      <w:r>
        <w:rPr>
          <w:color w:val="231F20"/>
          <w:spacing w:val="-5"/>
        </w:rPr>
        <w:t> </w:t>
      </w:r>
      <w:r>
        <w:rPr>
          <w:color w:val="231F20"/>
        </w:rPr>
        <w:t>пут</w:t>
      </w:r>
      <w:r>
        <w:rPr>
          <w:color w:val="231F20"/>
          <w:spacing w:val="-5"/>
        </w:rPr>
        <w:t> </w:t>
      </w:r>
      <w:r>
        <w:rPr>
          <w:color w:val="231F20"/>
        </w:rPr>
        <w:t>970,</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истом</w:t>
      </w:r>
      <w:r>
        <w:rPr>
          <w:color w:val="231F20"/>
          <w:spacing w:val="-5"/>
        </w:rPr>
        <w:t> </w:t>
      </w:r>
      <w:r>
        <w:rPr>
          <w:color w:val="231F20"/>
        </w:rPr>
        <w:t>смеру</w:t>
      </w:r>
      <w:r>
        <w:rPr>
          <w:color w:val="231F20"/>
          <w:spacing w:val="-5"/>
        </w:rPr>
        <w:t> </w:t>
      </w:r>
      <w:r>
        <w:rPr>
          <w:color w:val="231F20"/>
        </w:rPr>
        <w:t>дело- вима</w:t>
      </w:r>
      <w:r>
        <w:rPr>
          <w:color w:val="231F20"/>
          <w:spacing w:val="-5"/>
        </w:rPr>
        <w:t> </w:t>
      </w:r>
      <w:r>
        <w:rPr>
          <w:color w:val="231F20"/>
        </w:rPr>
        <w:t>кп.</w:t>
      </w:r>
      <w:r>
        <w:rPr>
          <w:color w:val="231F20"/>
          <w:spacing w:val="-5"/>
        </w:rPr>
        <w:t> </w:t>
      </w:r>
      <w:r>
        <w:rPr>
          <w:color w:val="231F20"/>
        </w:rPr>
        <w:t>бр.</w:t>
      </w:r>
      <w:r>
        <w:rPr>
          <w:color w:val="231F20"/>
          <w:spacing w:val="-5"/>
        </w:rPr>
        <w:t> </w:t>
      </w:r>
      <w:r>
        <w:rPr>
          <w:color w:val="231F20"/>
        </w:rPr>
        <w:t>774,</w:t>
      </w:r>
      <w:r>
        <w:rPr>
          <w:color w:val="231F20"/>
          <w:spacing w:val="-5"/>
        </w:rPr>
        <w:t> </w:t>
      </w:r>
      <w:r>
        <w:rPr>
          <w:color w:val="231F20"/>
        </w:rPr>
        <w:t>775,</w:t>
      </w:r>
      <w:r>
        <w:rPr>
          <w:color w:val="231F20"/>
          <w:spacing w:val="-5"/>
        </w:rPr>
        <w:t> </w:t>
      </w:r>
      <w:r>
        <w:rPr>
          <w:color w:val="231F20"/>
        </w:rPr>
        <w:t>776/1,</w:t>
      </w:r>
      <w:r>
        <w:rPr>
          <w:color w:val="231F20"/>
          <w:spacing w:val="-5"/>
        </w:rPr>
        <w:t> </w:t>
      </w:r>
      <w:r>
        <w:rPr>
          <w:color w:val="231F20"/>
        </w:rPr>
        <w:t>777/1,</w:t>
      </w:r>
      <w:r>
        <w:rPr>
          <w:color w:val="231F20"/>
          <w:spacing w:val="-5"/>
        </w:rPr>
        <w:t> </w:t>
      </w:r>
      <w:r>
        <w:rPr>
          <w:color w:val="231F20"/>
        </w:rPr>
        <w:t>778/1,</w:t>
      </w:r>
      <w:r>
        <w:rPr>
          <w:color w:val="231F20"/>
          <w:spacing w:val="-5"/>
        </w:rPr>
        <w:t> </w:t>
      </w:r>
      <w:r>
        <w:rPr>
          <w:color w:val="231F20"/>
        </w:rPr>
        <w:t>779/1,</w:t>
      </w:r>
      <w:r>
        <w:rPr>
          <w:color w:val="231F20"/>
          <w:spacing w:val="-5"/>
        </w:rPr>
        <w:t> </w:t>
      </w:r>
      <w:r>
        <w:rPr>
          <w:color w:val="231F20"/>
        </w:rPr>
        <w:t>780/1,</w:t>
      </w:r>
      <w:r>
        <w:rPr>
          <w:color w:val="231F20"/>
          <w:spacing w:val="-5"/>
        </w:rPr>
        <w:t> </w:t>
      </w:r>
      <w:r>
        <w:rPr>
          <w:color w:val="231F20"/>
        </w:rPr>
        <w:t>781/1,</w:t>
      </w:r>
      <w:r>
        <w:rPr>
          <w:color w:val="231F20"/>
          <w:spacing w:val="-5"/>
        </w:rPr>
        <w:t> </w:t>
      </w:r>
      <w:r>
        <w:rPr>
          <w:color w:val="231F20"/>
        </w:rPr>
        <w:t>782/1,</w:t>
      </w:r>
    </w:p>
    <w:p>
      <w:pPr>
        <w:pStyle w:val="BodyText"/>
        <w:spacing w:line="232" w:lineRule="auto"/>
        <w:ind w:left="453" w:right="1"/>
      </w:pPr>
      <w:r>
        <w:rPr>
          <w:color w:val="231F20"/>
        </w:rPr>
        <w:t>783/1,</w:t>
      </w:r>
      <w:r>
        <w:rPr>
          <w:color w:val="231F20"/>
          <w:spacing w:val="-4"/>
        </w:rPr>
        <w:t> </w:t>
      </w:r>
      <w:r>
        <w:rPr>
          <w:color w:val="231F20"/>
        </w:rPr>
        <w:t>784/1,</w:t>
      </w:r>
      <w:r>
        <w:rPr>
          <w:color w:val="231F20"/>
          <w:spacing w:val="-4"/>
        </w:rPr>
        <w:t> </w:t>
      </w:r>
      <w:r>
        <w:rPr>
          <w:color w:val="231F20"/>
        </w:rPr>
        <w:t>785/1,</w:t>
      </w:r>
      <w:r>
        <w:rPr>
          <w:color w:val="231F20"/>
          <w:spacing w:val="-4"/>
        </w:rPr>
        <w:t> </w:t>
      </w:r>
      <w:r>
        <w:rPr>
          <w:color w:val="231F20"/>
        </w:rPr>
        <w:t>786/1,</w:t>
      </w:r>
      <w:r>
        <w:rPr>
          <w:color w:val="231F20"/>
          <w:spacing w:val="-4"/>
        </w:rPr>
        <w:t> </w:t>
      </w:r>
      <w:r>
        <w:rPr>
          <w:color w:val="231F20"/>
        </w:rPr>
        <w:t>делом</w:t>
      </w:r>
      <w:r>
        <w:rPr>
          <w:color w:val="231F20"/>
          <w:spacing w:val="-4"/>
        </w:rPr>
        <w:t> </w:t>
      </w:r>
      <w:r>
        <w:rPr>
          <w:color w:val="231F20"/>
        </w:rPr>
        <w:t>пута</w:t>
      </w:r>
      <w:r>
        <w:rPr>
          <w:color w:val="231F20"/>
          <w:spacing w:val="-4"/>
        </w:rPr>
        <w:t> </w:t>
      </w:r>
      <w:r>
        <w:rPr>
          <w:color w:val="231F20"/>
        </w:rPr>
        <w:t>975,</w:t>
      </w:r>
      <w:r>
        <w:rPr>
          <w:color w:val="231F20"/>
          <w:spacing w:val="-4"/>
        </w:rPr>
        <w:t> </w:t>
      </w:r>
      <w:r>
        <w:rPr>
          <w:color w:val="231F20"/>
        </w:rPr>
        <w:t>и</w:t>
      </w:r>
      <w:r>
        <w:rPr>
          <w:color w:val="231F20"/>
          <w:spacing w:val="-4"/>
        </w:rPr>
        <w:t> </w:t>
      </w:r>
      <w:r>
        <w:rPr>
          <w:color w:val="231F20"/>
        </w:rPr>
        <w:t>деловима</w:t>
      </w:r>
      <w:r>
        <w:rPr>
          <w:color w:val="231F20"/>
          <w:spacing w:val="-4"/>
        </w:rPr>
        <w:t> </w:t>
      </w:r>
      <w:r>
        <w:rPr>
          <w:color w:val="231F20"/>
        </w:rPr>
        <w:t>835/1,</w:t>
      </w:r>
      <w:r>
        <w:rPr>
          <w:color w:val="231F20"/>
          <w:spacing w:val="-4"/>
        </w:rPr>
        <w:t> </w:t>
      </w:r>
      <w:r>
        <w:rPr>
          <w:color w:val="231F20"/>
        </w:rPr>
        <w:t>836/1, 837/1,</w:t>
      </w:r>
      <w:r>
        <w:rPr>
          <w:color w:val="231F20"/>
          <w:spacing w:val="15"/>
        </w:rPr>
        <w:t> </w:t>
      </w:r>
      <w:r>
        <w:rPr>
          <w:color w:val="231F20"/>
        </w:rPr>
        <w:t>838/1,</w:t>
      </w:r>
      <w:r>
        <w:rPr>
          <w:color w:val="231F20"/>
          <w:spacing w:val="15"/>
        </w:rPr>
        <w:t> </w:t>
      </w:r>
      <w:r>
        <w:rPr>
          <w:color w:val="231F20"/>
        </w:rPr>
        <w:t>839/1,</w:t>
      </w:r>
      <w:r>
        <w:rPr>
          <w:color w:val="231F20"/>
          <w:spacing w:val="15"/>
        </w:rPr>
        <w:t> </w:t>
      </w:r>
      <w:r>
        <w:rPr>
          <w:color w:val="231F20"/>
        </w:rPr>
        <w:t>840/1,</w:t>
      </w:r>
      <w:r>
        <w:rPr>
          <w:color w:val="231F20"/>
          <w:spacing w:val="15"/>
        </w:rPr>
        <w:t> </w:t>
      </w:r>
      <w:r>
        <w:rPr>
          <w:color w:val="231F20"/>
        </w:rPr>
        <w:t>841/1,</w:t>
      </w:r>
      <w:r>
        <w:rPr>
          <w:color w:val="231F20"/>
          <w:spacing w:val="15"/>
        </w:rPr>
        <w:t> </w:t>
      </w:r>
      <w:r>
        <w:rPr>
          <w:color w:val="231F20"/>
        </w:rPr>
        <w:t>842/1,</w:t>
      </w:r>
      <w:r>
        <w:rPr>
          <w:color w:val="231F20"/>
          <w:spacing w:val="15"/>
        </w:rPr>
        <w:t> </w:t>
      </w:r>
      <w:r>
        <w:rPr>
          <w:color w:val="231F20"/>
        </w:rPr>
        <w:t>843/1,</w:t>
      </w:r>
      <w:r>
        <w:rPr>
          <w:color w:val="231F20"/>
          <w:spacing w:val="15"/>
        </w:rPr>
        <w:t> </w:t>
      </w:r>
      <w:r>
        <w:rPr>
          <w:color w:val="231F20"/>
        </w:rPr>
        <w:t>844/1,</w:t>
      </w:r>
      <w:r>
        <w:rPr>
          <w:color w:val="231F20"/>
          <w:spacing w:val="15"/>
        </w:rPr>
        <w:t> </w:t>
      </w:r>
      <w:r>
        <w:rPr>
          <w:color w:val="231F20"/>
        </w:rPr>
        <w:t>845/1,</w:t>
      </w:r>
      <w:r>
        <w:rPr>
          <w:color w:val="231F20"/>
          <w:spacing w:val="15"/>
        </w:rPr>
        <w:t> </w:t>
      </w:r>
      <w:r>
        <w:rPr>
          <w:color w:val="231F20"/>
        </w:rPr>
        <w:t>846/1,</w:t>
      </w:r>
    </w:p>
    <w:p>
      <w:pPr>
        <w:pStyle w:val="BodyText"/>
        <w:spacing w:line="197" w:lineRule="exact"/>
        <w:ind w:left="453"/>
      </w:pPr>
      <w:r>
        <w:rPr>
          <w:color w:val="231F20"/>
        </w:rPr>
        <w:t>847/1, 848/1, 849/1, 850/1, 851/1, 852/1, 853/1, 854/1, 855/1, 856/1,</w:t>
      </w:r>
    </w:p>
    <w:p>
      <w:pPr>
        <w:pStyle w:val="BodyText"/>
        <w:spacing w:line="232" w:lineRule="auto"/>
        <w:ind w:left="453" w:right="1"/>
      </w:pPr>
      <w:r>
        <w:rPr>
          <w:color w:val="231F20"/>
        </w:rPr>
        <w:t>857/1, 858/1. Линија прелази у КО Дрмно деловима к.п. бр. 419, 420, 421, 422, 423, 538, 398, 397, 396, 395, 394, 393. Напуштајући</w:t>
      </w:r>
    </w:p>
    <w:p>
      <w:pPr>
        <w:pStyle w:val="BodyText"/>
        <w:spacing w:line="232" w:lineRule="auto"/>
        <w:ind w:left="453"/>
      </w:pPr>
      <w:r>
        <w:rPr>
          <w:color w:val="231F20"/>
        </w:rPr>
        <w:t>проширење уз постојећу железничку пругу линија скреће </w:t>
      </w:r>
      <w:r>
        <w:rPr>
          <w:color w:val="231F20"/>
          <w:spacing w:val="-3"/>
        </w:rPr>
        <w:t>под ско- </w:t>
      </w:r>
      <w:r>
        <w:rPr>
          <w:color w:val="231F20"/>
        </w:rPr>
        <w:t>ро правим </w:t>
      </w:r>
      <w:r>
        <w:rPr>
          <w:color w:val="231F20"/>
          <w:spacing w:val="-3"/>
        </w:rPr>
        <w:t>углом преко </w:t>
      </w:r>
      <w:r>
        <w:rPr>
          <w:color w:val="231F20"/>
        </w:rPr>
        <w:t>кп.бр. 362 и 361, обухватајући целу 360, 359, делове 358,357 и целу 356 пресецајући пут к.п.бр. 29 до гра- нице просторне целине „ПК Дрмно до 2022” дефинисане тачкама </w:t>
      </w:r>
      <w:r>
        <w:rPr>
          <w:color w:val="231F20"/>
          <w:spacing w:val="-3"/>
        </w:rPr>
        <w:t>од </w:t>
      </w:r>
      <w:r>
        <w:rPr>
          <w:color w:val="231F20"/>
        </w:rPr>
        <w:t>А1 до А50 (Прилог 2). Линија наставља уз границу к.п.бр. 1798 пресеца пут 2903 до тромеђе са парцелама 1764 и 1766, пресеца- јући 1770, наставља уз 1736 обухватајући 1626, 1627, 1628, 1629,</w:t>
      </w:r>
    </w:p>
    <w:p>
      <w:pPr>
        <w:pStyle w:val="BodyText"/>
        <w:spacing w:line="194" w:lineRule="exact"/>
        <w:ind w:left="453"/>
      </w:pPr>
      <w:r>
        <w:rPr>
          <w:color w:val="231F20"/>
        </w:rPr>
        <w:t>1630, 1631, 1632, 1633, 1634, 1635, 1636, 1637, 1660, до тромеђе</w:t>
      </w:r>
    </w:p>
    <w:p>
      <w:pPr>
        <w:pStyle w:val="BodyText"/>
        <w:spacing w:line="232" w:lineRule="auto"/>
        <w:ind w:left="453" w:right="1"/>
      </w:pPr>
      <w:r>
        <w:rPr>
          <w:color w:val="231F20"/>
        </w:rPr>
        <w:t>2915 и 1659, 1658 и иде у КО Дрмно уз источну границу к.п.бр. 2155, 2154, пресеца 2153, и наставља уз 2152, 2146, 2148, 2147,</w:t>
      </w:r>
    </w:p>
    <w:p>
      <w:pPr>
        <w:pStyle w:val="BodyText"/>
        <w:spacing w:line="197" w:lineRule="exact"/>
        <w:ind w:left="453"/>
      </w:pPr>
      <w:r>
        <w:rPr>
          <w:color w:val="231F20"/>
        </w:rPr>
        <w:t>1940, 1880, 1879, 1870, 1026, пресецајући 1023, 1022, 1019, уз ју-</w:t>
      </w:r>
    </w:p>
    <w:p>
      <w:pPr>
        <w:pStyle w:val="BodyText"/>
        <w:spacing w:line="232" w:lineRule="auto" w:before="2"/>
        <w:ind w:left="453" w:right="1"/>
      </w:pPr>
      <w:r>
        <w:rPr>
          <w:color w:val="231F20"/>
        </w:rPr>
        <w:t>жну границу 1018, 1014, 607, пресеца Улицу краља Петра обухва- тајући 616, пресеца 615 и 611, 609, до тромеђе 984/2, 961 и 960</w:t>
      </w:r>
    </w:p>
    <w:p>
      <w:pPr>
        <w:pStyle w:val="BodyText"/>
        <w:spacing w:line="197" w:lineRule="exact"/>
        <w:ind w:left="453"/>
      </w:pPr>
      <w:r>
        <w:rPr>
          <w:color w:val="231F20"/>
        </w:rPr>
        <w:t>пресецајући 960, 956, 955, 957, 950, 945, 944, 937, 933, 932, 929,</w:t>
      </w:r>
    </w:p>
    <w:p>
      <w:pPr>
        <w:pStyle w:val="BodyText"/>
        <w:spacing w:line="200" w:lineRule="exact"/>
        <w:ind w:left="453"/>
      </w:pPr>
      <w:r>
        <w:rPr>
          <w:color w:val="231F20"/>
        </w:rPr>
        <w:t>928,</w:t>
      </w:r>
      <w:r>
        <w:rPr>
          <w:color w:val="231F20"/>
          <w:spacing w:val="-6"/>
        </w:rPr>
        <w:t> </w:t>
      </w:r>
      <w:r>
        <w:rPr>
          <w:color w:val="231F20"/>
        </w:rPr>
        <w:t>708,</w:t>
      </w:r>
      <w:r>
        <w:rPr>
          <w:color w:val="231F20"/>
          <w:spacing w:val="-7"/>
        </w:rPr>
        <w:t> </w:t>
      </w:r>
      <w:r>
        <w:rPr>
          <w:color w:val="231F20"/>
        </w:rPr>
        <w:t>709,</w:t>
      </w:r>
      <w:r>
        <w:rPr>
          <w:color w:val="231F20"/>
          <w:spacing w:val="-6"/>
        </w:rPr>
        <w:t> </w:t>
      </w:r>
      <w:r>
        <w:rPr>
          <w:color w:val="231F20"/>
        </w:rPr>
        <w:t>уз</w:t>
      </w:r>
      <w:r>
        <w:rPr>
          <w:color w:val="231F20"/>
          <w:spacing w:val="-6"/>
        </w:rPr>
        <w:t> </w:t>
      </w:r>
      <w:r>
        <w:rPr>
          <w:color w:val="231F20"/>
        </w:rPr>
        <w:t>јужну</w:t>
      </w:r>
      <w:r>
        <w:rPr>
          <w:color w:val="231F20"/>
          <w:spacing w:val="-6"/>
        </w:rPr>
        <w:t> </w:t>
      </w:r>
      <w:r>
        <w:rPr>
          <w:color w:val="231F20"/>
        </w:rPr>
        <w:t>границу</w:t>
      </w:r>
      <w:r>
        <w:rPr>
          <w:color w:val="231F20"/>
          <w:spacing w:val="-7"/>
        </w:rPr>
        <w:t> </w:t>
      </w:r>
      <w:r>
        <w:rPr>
          <w:color w:val="231F20"/>
        </w:rPr>
        <w:t>обухвата</w:t>
      </w:r>
      <w:r>
        <w:rPr>
          <w:color w:val="231F20"/>
          <w:spacing w:val="-7"/>
        </w:rPr>
        <w:t> </w:t>
      </w:r>
      <w:r>
        <w:rPr>
          <w:color w:val="231F20"/>
        </w:rPr>
        <w:t>к.п.</w:t>
      </w:r>
      <w:r>
        <w:rPr>
          <w:color w:val="231F20"/>
          <w:spacing w:val="-6"/>
        </w:rPr>
        <w:t> </w:t>
      </w:r>
      <w:r>
        <w:rPr>
          <w:color w:val="231F20"/>
        </w:rPr>
        <w:t>бр.</w:t>
      </w:r>
      <w:r>
        <w:rPr>
          <w:color w:val="231F20"/>
          <w:spacing w:val="-7"/>
        </w:rPr>
        <w:t> </w:t>
      </w:r>
      <w:r>
        <w:rPr>
          <w:color w:val="231F20"/>
        </w:rPr>
        <w:t>707,</w:t>
      </w:r>
      <w:r>
        <w:rPr>
          <w:color w:val="231F20"/>
          <w:spacing w:val="-6"/>
        </w:rPr>
        <w:t> </w:t>
      </w:r>
      <w:r>
        <w:rPr>
          <w:color w:val="231F20"/>
        </w:rPr>
        <w:t>706,</w:t>
      </w:r>
      <w:r>
        <w:rPr>
          <w:color w:val="231F20"/>
          <w:spacing w:val="-6"/>
        </w:rPr>
        <w:t> </w:t>
      </w:r>
      <w:r>
        <w:rPr>
          <w:color w:val="231F20"/>
        </w:rPr>
        <w:t>705,</w:t>
      </w:r>
      <w:r>
        <w:rPr>
          <w:color w:val="231F20"/>
          <w:spacing w:val="-7"/>
        </w:rPr>
        <w:t> </w:t>
      </w:r>
      <w:r>
        <w:rPr>
          <w:color w:val="231F20"/>
        </w:rPr>
        <w:t>704,</w:t>
      </w:r>
    </w:p>
    <w:p>
      <w:pPr>
        <w:pStyle w:val="BodyText"/>
        <w:spacing w:line="200" w:lineRule="exact"/>
        <w:ind w:left="453"/>
      </w:pPr>
      <w:r>
        <w:rPr>
          <w:color w:val="231F20"/>
        </w:rPr>
        <w:t>702, 701, 700, 699/1, 698, 697, 695, 694, 103 и 100 до границе про-</w:t>
      </w:r>
    </w:p>
    <w:p>
      <w:pPr>
        <w:pStyle w:val="BodyText"/>
        <w:spacing w:line="200" w:lineRule="exact"/>
        <w:ind w:left="453"/>
      </w:pPr>
      <w:r>
        <w:rPr>
          <w:color w:val="231F20"/>
        </w:rPr>
        <w:t>сторне целине „ПК Дрмно до 2022”.</w:t>
      </w:r>
    </w:p>
    <w:p>
      <w:pPr>
        <w:pStyle w:val="BodyText"/>
        <w:spacing w:line="232" w:lineRule="auto" w:before="2"/>
        <w:ind w:left="453" w:right="1" w:firstLine="397"/>
      </w:pPr>
      <w:r>
        <w:rPr>
          <w:color w:val="231F20"/>
        </w:rPr>
        <w:t>У </w:t>
      </w:r>
      <w:r>
        <w:rPr>
          <w:color w:val="231F20"/>
          <w:spacing w:val="-3"/>
        </w:rPr>
        <w:t>комплексу </w:t>
      </w:r>
      <w:r>
        <w:rPr>
          <w:color w:val="231F20"/>
        </w:rPr>
        <w:t>Термоелектране линија обухвата коридора ин- дустријског колосека је дефинисана тачкама према графичком прилогу док </w:t>
      </w:r>
      <w:r>
        <w:rPr>
          <w:color w:val="231F20"/>
          <w:spacing w:val="-3"/>
        </w:rPr>
        <w:t>обухват </w:t>
      </w:r>
      <w:r>
        <w:rPr>
          <w:color w:val="231F20"/>
        </w:rPr>
        <w:t>почиње у </w:t>
      </w:r>
      <w:r>
        <w:rPr>
          <w:color w:val="231F20"/>
          <w:spacing w:val="-3"/>
        </w:rPr>
        <w:t>КО </w:t>
      </w:r>
      <w:r>
        <w:rPr>
          <w:color w:val="231F20"/>
        </w:rPr>
        <w:t>Дрмно </w:t>
      </w:r>
      <w:r>
        <w:rPr>
          <w:color w:val="231F20"/>
          <w:spacing w:val="-3"/>
        </w:rPr>
        <w:t>од </w:t>
      </w:r>
      <w:r>
        <w:rPr>
          <w:color w:val="231F20"/>
        </w:rPr>
        <w:t>к.п. бр. 651 идући према југу пресеца 667, 672, 673, 678, 680, 681, 683, до пута 682 обухватајући целу 616 до </w:t>
      </w:r>
      <w:r>
        <w:rPr>
          <w:color w:val="231F20"/>
          <w:spacing w:val="-5"/>
        </w:rPr>
        <w:t>Улице </w:t>
      </w:r>
      <w:r>
        <w:rPr>
          <w:color w:val="231F20"/>
        </w:rPr>
        <w:t>краља Петра одакле наставља об- ухватајући 595 пресецајући 598 наставља уз северну границу 599 обухватајући и 604 пресеца 1886/1, уз северну границу к.п. бр. 1870, 1878, пресеца 1881 до 1939/3, 1939/4 1942, 1941, 1940, 2146,</w:t>
      </w:r>
    </w:p>
    <w:p>
      <w:pPr>
        <w:pStyle w:val="BodyText"/>
        <w:spacing w:line="232" w:lineRule="auto"/>
        <w:ind w:left="453" w:right="1"/>
      </w:pPr>
      <w:r>
        <w:rPr>
          <w:color w:val="231F20"/>
        </w:rPr>
        <w:t>2152, 2153, 2145, 2144, 2143, 2142 улаз у КО Кленовик пресецају- ћи старо корито реке. У КО Кленовик линија даље наставља об- ухватајући западну границу к.п. бр. 1642,1641, 1640, 1639, 1636,</w:t>
      </w:r>
    </w:p>
    <w:p>
      <w:pPr>
        <w:pStyle w:val="BodyText"/>
        <w:spacing w:line="197" w:lineRule="exact"/>
        <w:ind w:left="453"/>
      </w:pPr>
      <w:r>
        <w:rPr>
          <w:color w:val="231F20"/>
        </w:rPr>
        <w:t>1635, 1634, 1633, 1632, 1631, 1630, 1629, 1628, 1627, 1626 пресе-</w:t>
      </w:r>
    </w:p>
    <w:p>
      <w:pPr>
        <w:pStyle w:val="BodyText"/>
        <w:spacing w:line="200" w:lineRule="exact"/>
        <w:ind w:left="453"/>
      </w:pPr>
      <w:r>
        <w:rPr>
          <w:color w:val="231F20"/>
        </w:rPr>
        <w:t>ца 1747 и обухвата 1746, 1745, 1744, 1743, 1741, 1740, 1739, 1770</w:t>
      </w:r>
    </w:p>
    <w:p>
      <w:pPr>
        <w:pStyle w:val="BodyText"/>
        <w:spacing w:line="200" w:lineRule="exact"/>
        <w:ind w:left="453"/>
      </w:pPr>
      <w:r>
        <w:rPr>
          <w:color w:val="231F20"/>
        </w:rPr>
        <w:t>уз западну границу к.п. бр. 1758, 1759, 1760, 1761, 1801 пресеца</w:t>
      </w:r>
    </w:p>
    <w:p>
      <w:pPr>
        <w:pStyle w:val="BodyText"/>
        <w:spacing w:line="200" w:lineRule="exact"/>
        <w:ind w:left="453"/>
      </w:pPr>
      <w:r>
        <w:rPr>
          <w:color w:val="231F20"/>
        </w:rPr>
        <w:t>1802, и 1813 обухватајући 1814 пресеца пут на к.п. бр. 2903 до</w:t>
      </w:r>
    </w:p>
    <w:p>
      <w:pPr>
        <w:pStyle w:val="BodyText"/>
        <w:spacing w:line="232" w:lineRule="auto"/>
        <w:ind w:left="453" w:right="1" w:hanging="1"/>
      </w:pPr>
      <w:r>
        <w:rPr>
          <w:color w:val="231F20"/>
        </w:rPr>
        <w:t>1827 пресеца 1824, 1822, 1821, обухвата 1842, 1843, 1844, пресеца 1854,</w:t>
      </w:r>
      <w:r>
        <w:rPr>
          <w:color w:val="231F20"/>
          <w:spacing w:val="-7"/>
        </w:rPr>
        <w:t> </w:t>
      </w:r>
      <w:r>
        <w:rPr>
          <w:color w:val="231F20"/>
        </w:rPr>
        <w:t>и</w:t>
      </w:r>
      <w:r>
        <w:rPr>
          <w:color w:val="231F20"/>
          <w:spacing w:val="-7"/>
        </w:rPr>
        <w:t> </w:t>
      </w:r>
      <w:r>
        <w:rPr>
          <w:color w:val="231F20"/>
        </w:rPr>
        <w:t>обухвата</w:t>
      </w:r>
      <w:r>
        <w:rPr>
          <w:color w:val="231F20"/>
          <w:spacing w:val="-7"/>
        </w:rPr>
        <w:t> </w:t>
      </w:r>
      <w:r>
        <w:rPr>
          <w:color w:val="231F20"/>
        </w:rPr>
        <w:t>1856,</w:t>
      </w:r>
      <w:r>
        <w:rPr>
          <w:color w:val="231F20"/>
          <w:spacing w:val="-7"/>
        </w:rPr>
        <w:t> </w:t>
      </w:r>
      <w:r>
        <w:rPr>
          <w:color w:val="231F20"/>
        </w:rPr>
        <w:t>1857,</w:t>
      </w:r>
      <w:r>
        <w:rPr>
          <w:color w:val="231F20"/>
          <w:spacing w:val="-7"/>
        </w:rPr>
        <w:t> </w:t>
      </w:r>
      <w:r>
        <w:rPr>
          <w:color w:val="231F20"/>
        </w:rPr>
        <w:t>1858/1</w:t>
      </w:r>
      <w:r>
        <w:rPr>
          <w:color w:val="231F20"/>
          <w:spacing w:val="-7"/>
        </w:rPr>
        <w:t> </w:t>
      </w:r>
      <w:r>
        <w:rPr>
          <w:color w:val="231F20"/>
          <w:spacing w:val="-4"/>
        </w:rPr>
        <w:t>где</w:t>
      </w:r>
      <w:r>
        <w:rPr>
          <w:color w:val="231F20"/>
          <w:spacing w:val="-7"/>
        </w:rPr>
        <w:t> </w:t>
      </w:r>
      <w:r>
        <w:rPr>
          <w:color w:val="231F20"/>
        </w:rPr>
        <w:t>даље</w:t>
      </w:r>
      <w:r>
        <w:rPr>
          <w:color w:val="231F20"/>
          <w:spacing w:val="-7"/>
        </w:rPr>
        <w:t> </w:t>
      </w:r>
      <w:r>
        <w:rPr>
          <w:color w:val="231F20"/>
        </w:rPr>
        <w:t>наставља</w:t>
      </w:r>
      <w:r>
        <w:rPr>
          <w:color w:val="231F20"/>
          <w:spacing w:val="-7"/>
        </w:rPr>
        <w:t> </w:t>
      </w:r>
      <w:r>
        <w:rPr>
          <w:color w:val="231F20"/>
        </w:rPr>
        <w:t>у</w:t>
      </w:r>
      <w:r>
        <w:rPr>
          <w:color w:val="231F20"/>
          <w:spacing w:val="-7"/>
        </w:rPr>
        <w:t> </w:t>
      </w:r>
      <w:r>
        <w:rPr>
          <w:color w:val="231F20"/>
          <w:spacing w:val="-3"/>
        </w:rPr>
        <w:t>КО</w:t>
      </w:r>
      <w:r>
        <w:rPr>
          <w:color w:val="231F20"/>
          <w:spacing w:val="-7"/>
        </w:rPr>
        <w:t> </w:t>
      </w:r>
      <w:r>
        <w:rPr>
          <w:color w:val="231F20"/>
        </w:rPr>
        <w:t>Брада- рац обухватајући 1645, 1647, 1648, 1651, 1652, и пут к.п. бр. 3314 у дужини </w:t>
      </w:r>
      <w:r>
        <w:rPr>
          <w:color w:val="231F20"/>
          <w:spacing w:val="-4"/>
        </w:rPr>
        <w:t>око </w:t>
      </w:r>
      <w:r>
        <w:rPr>
          <w:color w:val="231F20"/>
        </w:rPr>
        <w:t>3580 m до к.п. бр. 1014/2, 1413/2, 1011/2, 1002/2, 1000/2,</w:t>
      </w:r>
      <w:r>
        <w:rPr>
          <w:color w:val="231F20"/>
          <w:spacing w:val="-4"/>
        </w:rPr>
        <w:t> </w:t>
      </w:r>
      <w:r>
        <w:rPr>
          <w:color w:val="231F20"/>
        </w:rPr>
        <w:t>999/2,</w:t>
      </w:r>
      <w:r>
        <w:rPr>
          <w:color w:val="231F20"/>
          <w:spacing w:val="-4"/>
        </w:rPr>
        <w:t> </w:t>
      </w:r>
      <w:r>
        <w:rPr>
          <w:color w:val="231F20"/>
        </w:rPr>
        <w:t>996/2,</w:t>
      </w:r>
      <w:r>
        <w:rPr>
          <w:color w:val="231F20"/>
          <w:spacing w:val="-4"/>
        </w:rPr>
        <w:t> </w:t>
      </w:r>
      <w:r>
        <w:rPr>
          <w:color w:val="231F20"/>
        </w:rPr>
        <w:t>996/2,</w:t>
      </w:r>
      <w:r>
        <w:rPr>
          <w:color w:val="231F20"/>
          <w:spacing w:val="-4"/>
        </w:rPr>
        <w:t> </w:t>
      </w:r>
      <w:r>
        <w:rPr>
          <w:color w:val="231F20"/>
        </w:rPr>
        <w:t>998/2,</w:t>
      </w:r>
      <w:r>
        <w:rPr>
          <w:color w:val="231F20"/>
          <w:spacing w:val="-4"/>
        </w:rPr>
        <w:t> </w:t>
      </w:r>
      <w:r>
        <w:rPr>
          <w:color w:val="231F20"/>
        </w:rPr>
        <w:t>996/3,</w:t>
      </w:r>
      <w:r>
        <w:rPr>
          <w:color w:val="231F20"/>
          <w:spacing w:val="-4"/>
        </w:rPr>
        <w:t> </w:t>
      </w:r>
      <w:r>
        <w:rPr>
          <w:color w:val="231F20"/>
        </w:rPr>
        <w:t>995/2,</w:t>
      </w:r>
      <w:r>
        <w:rPr>
          <w:color w:val="231F20"/>
          <w:spacing w:val="-4"/>
        </w:rPr>
        <w:t> </w:t>
      </w:r>
      <w:r>
        <w:rPr>
          <w:color w:val="231F20"/>
        </w:rPr>
        <w:t>993/2,</w:t>
      </w:r>
      <w:r>
        <w:rPr>
          <w:color w:val="231F20"/>
          <w:spacing w:val="-4"/>
        </w:rPr>
        <w:t> </w:t>
      </w:r>
      <w:r>
        <w:rPr>
          <w:color w:val="231F20"/>
        </w:rPr>
        <w:t>992/2,</w:t>
      </w:r>
      <w:r>
        <w:rPr>
          <w:color w:val="231F20"/>
          <w:spacing w:val="-4"/>
        </w:rPr>
        <w:t> </w:t>
      </w:r>
      <w:r>
        <w:rPr>
          <w:color w:val="231F20"/>
        </w:rPr>
        <w:t>1032/1,</w:t>
      </w:r>
    </w:p>
    <w:p>
      <w:pPr>
        <w:pStyle w:val="BodyText"/>
        <w:spacing w:line="232" w:lineRule="auto"/>
        <w:ind w:left="453" w:right="1" w:hanging="1"/>
      </w:pPr>
      <w:r>
        <w:rPr>
          <w:color w:val="231F20"/>
        </w:rPr>
        <w:t>1038/2, 1039/2, 1040/2, 1042/1, пресеца пут 1611 и наставља дуж к.п. бр. 916 обухватајући 406, 409, 410, 411, пресеца 412,413,  414,</w:t>
      </w:r>
    </w:p>
    <w:p>
      <w:pPr>
        <w:pStyle w:val="BodyText"/>
        <w:spacing w:line="197" w:lineRule="exact"/>
        <w:ind w:left="454"/>
      </w:pPr>
      <w:r>
        <w:rPr>
          <w:color w:val="231F20"/>
        </w:rPr>
        <w:t>917, Улазећи  у КО  Дрмно обухвата 328, и даље пресеца 329, 330,</w:t>
      </w:r>
    </w:p>
    <w:p>
      <w:pPr>
        <w:pStyle w:val="BodyText"/>
        <w:spacing w:line="200" w:lineRule="exact"/>
        <w:ind w:left="454"/>
      </w:pPr>
      <w:r>
        <w:rPr>
          <w:color w:val="231F20"/>
        </w:rPr>
        <w:t>331, 332, 333, 334, 335, 336, 337, 338, 339, 340, 341, 342, 343, 344,</w:t>
      </w:r>
    </w:p>
    <w:p>
      <w:pPr>
        <w:pStyle w:val="BodyText"/>
        <w:spacing w:line="200" w:lineRule="exact"/>
        <w:ind w:left="454"/>
      </w:pPr>
      <w:r>
        <w:rPr>
          <w:color w:val="231F20"/>
        </w:rPr>
        <w:t>345, 346, 347, 348, 349, 350, 351, 352, 353, 354, 355, 533, 356, об-</w:t>
      </w:r>
    </w:p>
    <w:p>
      <w:pPr>
        <w:pStyle w:val="BodyText"/>
        <w:spacing w:line="200" w:lineRule="exact"/>
        <w:ind w:left="454"/>
      </w:pPr>
      <w:r>
        <w:rPr>
          <w:color w:val="231F20"/>
        </w:rPr>
        <w:t>ухвата целе 357, 358, 359 уз јужну границу 359, 360 и 361, пре-</w:t>
      </w:r>
    </w:p>
    <w:p>
      <w:pPr>
        <w:pStyle w:val="BodyText"/>
        <w:spacing w:line="200" w:lineRule="exact"/>
        <w:ind w:left="454"/>
      </w:pPr>
      <w:r>
        <w:rPr>
          <w:color w:val="231F20"/>
        </w:rPr>
        <w:t>сеца 464, 465 ломи се ка југу и пресеца 431, 436, 430, 429, 428,</w:t>
      </w:r>
    </w:p>
    <w:p>
      <w:pPr>
        <w:pStyle w:val="BodyText"/>
        <w:spacing w:line="232" w:lineRule="auto"/>
        <w:ind w:left="454"/>
      </w:pPr>
      <w:r>
        <w:rPr>
          <w:color w:val="231F20"/>
        </w:rPr>
        <w:t>427, 426, 425, 424. Линија наставља у КО Брадарац паралелно (за 14 m западно) са постојећим парцелом железничке пруге пресеца- јући к.п. бр. 449/1, 450/1, 451/1, 452/1, 453/1, 454/1, 455/1, 456/1, 457/1, 458/1, 459/1, 496/1, 497/1, 498/1, 499/1, 500/1, 501/1, 502/1,</w:t>
      </w:r>
    </w:p>
    <w:p>
      <w:pPr>
        <w:pStyle w:val="BodyText"/>
        <w:spacing w:line="232" w:lineRule="auto"/>
        <w:ind w:left="454"/>
      </w:pPr>
      <w:r>
        <w:rPr>
          <w:color w:val="231F20"/>
        </w:rPr>
        <w:t>503/1, 504/1, 505/1, 563/1, 564/1, 565/1, 566, пресеца пут и наста- вља пресецајући 567, 568, 569, 570, 571, 572, 651, 652, 653, 692,</w:t>
      </w:r>
    </w:p>
    <w:p>
      <w:pPr>
        <w:pStyle w:val="BodyText"/>
        <w:spacing w:line="232" w:lineRule="auto"/>
        <w:ind w:left="454" w:hanging="1"/>
      </w:pPr>
      <w:r>
        <w:rPr>
          <w:color w:val="231F20"/>
        </w:rPr>
        <w:t>693, 694, 695, 696, 697, 698 и пут 563 где улази у КО Маљуревац на к.п. бр 705. Настављајући у КО Сираково (Велико Градиште)</w:t>
      </w:r>
    </w:p>
    <w:p>
      <w:pPr>
        <w:pStyle w:val="BodyText"/>
        <w:spacing w:line="203" w:lineRule="exact" w:before="64"/>
        <w:ind w:left="243"/>
        <w:jc w:val="left"/>
      </w:pPr>
      <w:r>
        <w:rPr/>
        <w:br w:type="column"/>
      </w:r>
      <w:r>
        <w:rPr>
          <w:color w:val="231F20"/>
        </w:rPr>
        <w:t>обухватајући к.п. бр. 6730, и пресецајући 6732, 6733, 6734, 6735,</w:t>
      </w:r>
    </w:p>
    <w:p>
      <w:pPr>
        <w:pStyle w:val="BodyText"/>
        <w:spacing w:line="200" w:lineRule="exact"/>
        <w:ind w:left="243"/>
        <w:jc w:val="left"/>
      </w:pPr>
      <w:r>
        <w:rPr>
          <w:color w:val="231F20"/>
        </w:rPr>
        <w:t>6736, 6737, 7638, 6739, 6740, 6741, 6742/1, 6742/2, и обухватају-</w:t>
      </w:r>
    </w:p>
    <w:p>
      <w:pPr>
        <w:pStyle w:val="BodyText"/>
        <w:spacing w:line="200" w:lineRule="exact"/>
        <w:ind w:left="243"/>
        <w:jc w:val="left"/>
      </w:pPr>
      <w:r>
        <w:rPr>
          <w:color w:val="231F20"/>
        </w:rPr>
        <w:t>ћи 6742/3, уз јужну границу к.п. бр. 6766, 6767, 6768, 6769, 6770,</w:t>
      </w:r>
    </w:p>
    <w:p>
      <w:pPr>
        <w:pStyle w:val="BodyText"/>
        <w:spacing w:line="200" w:lineRule="exact"/>
        <w:ind w:left="243"/>
        <w:jc w:val="left"/>
      </w:pPr>
      <w:r>
        <w:rPr>
          <w:color w:val="231F20"/>
        </w:rPr>
        <w:t>улазећи у КО Берање пресеца к.п. бр. 48, 49, 50, 51, 52, 53, 54, 55,</w:t>
      </w:r>
    </w:p>
    <w:p>
      <w:pPr>
        <w:pStyle w:val="BodyText"/>
        <w:spacing w:line="200" w:lineRule="exact"/>
        <w:ind w:left="243"/>
        <w:jc w:val="left"/>
      </w:pPr>
      <w:r>
        <w:rPr>
          <w:color w:val="231F20"/>
        </w:rPr>
        <w:t>56, 57, 58, 59, 60, 61, 62, 63, 64, 65, 799, 111, 112, 113, 114, 115, 116,</w:t>
      </w:r>
    </w:p>
    <w:p>
      <w:pPr>
        <w:pStyle w:val="BodyText"/>
        <w:spacing w:line="200" w:lineRule="exact"/>
        <w:ind w:left="243"/>
        <w:jc w:val="left"/>
      </w:pPr>
      <w:r>
        <w:rPr>
          <w:color w:val="231F20"/>
        </w:rPr>
        <w:t>117, 118, 119, 120, 121, 122, 123, 124, 125, 126, 127, 128, 129, 130,</w:t>
      </w:r>
    </w:p>
    <w:p>
      <w:pPr>
        <w:pStyle w:val="BodyText"/>
        <w:spacing w:line="200" w:lineRule="exact"/>
        <w:ind w:left="243"/>
        <w:jc w:val="left"/>
      </w:pPr>
      <w:r>
        <w:rPr>
          <w:color w:val="231F20"/>
        </w:rPr>
        <w:t>131, 131, 132, 133, 134, 135, 136, 137, 138, 803, 233, 234, 235, 236,</w:t>
      </w:r>
    </w:p>
    <w:p>
      <w:pPr>
        <w:pStyle w:val="BodyText"/>
        <w:spacing w:line="232" w:lineRule="auto" w:before="2"/>
        <w:ind w:left="243"/>
        <w:jc w:val="left"/>
      </w:pPr>
      <w:r>
        <w:rPr>
          <w:color w:val="231F20"/>
        </w:rPr>
        <w:t>237, 238, 239, 240, 241, 242, 243 обухватајући 245 до к.п. желе- зничке пруге Пожаревац – Мајданпек.</w:t>
      </w:r>
    </w:p>
    <w:p>
      <w:pPr>
        <w:pStyle w:val="BodyText"/>
        <w:spacing w:line="232" w:lineRule="auto"/>
        <w:ind w:left="243" w:right="126" w:firstLine="396"/>
      </w:pPr>
      <w:r>
        <w:rPr>
          <w:color w:val="231F20"/>
        </w:rPr>
        <w:t>Траса</w:t>
      </w:r>
      <w:r>
        <w:rPr>
          <w:color w:val="231F20"/>
          <w:spacing w:val="-6"/>
        </w:rPr>
        <w:t> </w:t>
      </w:r>
      <w:r>
        <w:rPr>
          <w:color w:val="231F20"/>
        </w:rPr>
        <w:t>пруге</w:t>
      </w:r>
      <w:r>
        <w:rPr>
          <w:color w:val="231F20"/>
          <w:spacing w:val="-6"/>
        </w:rPr>
        <w:t> </w:t>
      </w:r>
      <w:r>
        <w:rPr>
          <w:color w:val="231F20"/>
        </w:rPr>
        <w:t>је</w:t>
      </w:r>
      <w:r>
        <w:rPr>
          <w:color w:val="231F20"/>
          <w:spacing w:val="-6"/>
        </w:rPr>
        <w:t> </w:t>
      </w:r>
      <w:r>
        <w:rPr>
          <w:color w:val="231F20"/>
        </w:rPr>
        <w:t>дефинисана</w:t>
      </w:r>
      <w:r>
        <w:rPr>
          <w:color w:val="231F20"/>
          <w:spacing w:val="-6"/>
        </w:rPr>
        <w:t> </w:t>
      </w:r>
      <w:r>
        <w:rPr>
          <w:color w:val="231F20"/>
        </w:rPr>
        <w:t>карактеристичним</w:t>
      </w:r>
      <w:r>
        <w:rPr>
          <w:color w:val="231F20"/>
          <w:spacing w:val="-6"/>
        </w:rPr>
        <w:t> </w:t>
      </w:r>
      <w:r>
        <w:rPr>
          <w:color w:val="231F20"/>
        </w:rPr>
        <w:t>тачкама</w:t>
      </w:r>
      <w:r>
        <w:rPr>
          <w:color w:val="231F20"/>
          <w:spacing w:val="-6"/>
        </w:rPr>
        <w:t> </w:t>
      </w:r>
      <w:r>
        <w:rPr>
          <w:color w:val="231F20"/>
        </w:rPr>
        <w:t>прика- заним на графичком прилогу и у Табели</w:t>
      </w:r>
      <w:r>
        <w:rPr>
          <w:color w:val="231F20"/>
          <w:spacing w:val="-11"/>
        </w:rPr>
        <w:t> </w:t>
      </w:r>
      <w:r>
        <w:rPr>
          <w:color w:val="231F20"/>
        </w:rPr>
        <w:t>9.1.</w:t>
      </w:r>
    </w:p>
    <w:p>
      <w:pPr>
        <w:pStyle w:val="BodyText"/>
        <w:spacing w:line="228" w:lineRule="auto"/>
        <w:ind w:left="243" w:right="126" w:firstLine="397"/>
      </w:pPr>
      <w:r>
        <w:rPr>
          <w:color w:val="231F20"/>
        </w:rPr>
        <w:t>Координате</w:t>
      </w:r>
      <w:r>
        <w:rPr>
          <w:color w:val="231F20"/>
          <w:spacing w:val="-6"/>
        </w:rPr>
        <w:t> </w:t>
      </w:r>
      <w:r>
        <w:rPr>
          <w:color w:val="231F20"/>
        </w:rPr>
        <w:t>су</w:t>
      </w:r>
      <w:r>
        <w:rPr>
          <w:color w:val="231F20"/>
          <w:spacing w:val="-6"/>
        </w:rPr>
        <w:t> </w:t>
      </w:r>
      <w:r>
        <w:rPr>
          <w:color w:val="231F20"/>
        </w:rPr>
        <w:t>оријентационе</w:t>
      </w:r>
      <w:r>
        <w:rPr>
          <w:color w:val="231F20"/>
          <w:spacing w:val="-6"/>
        </w:rPr>
        <w:t> </w:t>
      </w:r>
      <w:r>
        <w:rPr>
          <w:color w:val="231F20"/>
        </w:rPr>
        <w:t>и</w:t>
      </w:r>
      <w:r>
        <w:rPr>
          <w:color w:val="231F20"/>
          <w:spacing w:val="-6"/>
        </w:rPr>
        <w:t> </w:t>
      </w:r>
      <w:r>
        <w:rPr>
          <w:color w:val="231F20"/>
        </w:rPr>
        <w:t>захтевају</w:t>
      </w:r>
      <w:r>
        <w:rPr>
          <w:color w:val="231F20"/>
          <w:spacing w:val="-6"/>
        </w:rPr>
        <w:t> </w:t>
      </w:r>
      <w:r>
        <w:rPr>
          <w:color w:val="231F20"/>
        </w:rPr>
        <w:t>проверу</w:t>
      </w:r>
      <w:r>
        <w:rPr>
          <w:color w:val="231F20"/>
          <w:spacing w:val="-6"/>
        </w:rPr>
        <w:t> </w:t>
      </w:r>
      <w:r>
        <w:rPr>
          <w:color w:val="231F20"/>
        </w:rPr>
        <w:t>у</w:t>
      </w:r>
      <w:r>
        <w:rPr>
          <w:color w:val="231F20"/>
          <w:spacing w:val="-6"/>
        </w:rPr>
        <w:t> </w:t>
      </w:r>
      <w:r>
        <w:rPr>
          <w:color w:val="231F20"/>
        </w:rPr>
        <w:t>Пројекту парцелације</w:t>
      </w:r>
      <w:r>
        <w:rPr>
          <w:color w:val="231F20"/>
          <w:spacing w:val="-7"/>
        </w:rPr>
        <w:t> </w:t>
      </w:r>
      <w:r>
        <w:rPr>
          <w:color w:val="231F20"/>
        </w:rPr>
        <w:t>или</w:t>
      </w:r>
      <w:r>
        <w:rPr>
          <w:color w:val="231F20"/>
          <w:spacing w:val="-7"/>
        </w:rPr>
        <w:t> </w:t>
      </w:r>
      <w:r>
        <w:rPr>
          <w:color w:val="231F20"/>
        </w:rPr>
        <w:t>у</w:t>
      </w:r>
      <w:r>
        <w:rPr>
          <w:color w:val="231F20"/>
          <w:spacing w:val="-7"/>
        </w:rPr>
        <w:t> </w:t>
      </w:r>
      <w:r>
        <w:rPr>
          <w:color w:val="231F20"/>
        </w:rPr>
        <w:t>поступку</w:t>
      </w:r>
      <w:r>
        <w:rPr>
          <w:color w:val="231F20"/>
          <w:spacing w:val="-7"/>
        </w:rPr>
        <w:t> </w:t>
      </w:r>
      <w:r>
        <w:rPr>
          <w:color w:val="231F20"/>
        </w:rPr>
        <w:t>експропријације.</w:t>
      </w:r>
      <w:r>
        <w:rPr>
          <w:color w:val="231F20"/>
          <w:spacing w:val="-7"/>
        </w:rPr>
        <w:t> </w:t>
      </w:r>
      <w:r>
        <w:rPr>
          <w:color w:val="231F20"/>
        </w:rPr>
        <w:t>Делови</w:t>
      </w:r>
      <w:r>
        <w:rPr>
          <w:color w:val="231F20"/>
          <w:spacing w:val="-7"/>
        </w:rPr>
        <w:t> </w:t>
      </w:r>
      <w:r>
        <w:rPr>
          <w:color w:val="231F20"/>
        </w:rPr>
        <w:t>парцела</w:t>
      </w:r>
      <w:r>
        <w:rPr>
          <w:color w:val="231F20"/>
          <w:spacing w:val="-7"/>
        </w:rPr>
        <w:t> </w:t>
      </w:r>
      <w:r>
        <w:rPr>
          <w:color w:val="231F20"/>
          <w:spacing w:val="-3"/>
        </w:rPr>
        <w:t>који </w:t>
      </w:r>
      <w:r>
        <w:rPr>
          <w:color w:val="231F20"/>
        </w:rPr>
        <w:t>нису обухваћени линијом обухвата коридора могу се преиспитати у поступку израде Пројекта парцелације или</w:t>
      </w:r>
      <w:r>
        <w:rPr>
          <w:color w:val="231F20"/>
          <w:spacing w:val="-14"/>
        </w:rPr>
        <w:t> </w:t>
      </w:r>
      <w:r>
        <w:rPr>
          <w:color w:val="231F20"/>
        </w:rPr>
        <w:t>експропријације.</w:t>
      </w:r>
    </w:p>
    <w:p>
      <w:pPr>
        <w:pStyle w:val="BodyText"/>
        <w:spacing w:before="8"/>
        <w:ind w:left="0"/>
        <w:jc w:val="left"/>
        <w:rPr>
          <w:sz w:val="15"/>
        </w:rPr>
      </w:pPr>
    </w:p>
    <w:p>
      <w:pPr>
        <w:pStyle w:val="BodyText"/>
        <w:ind w:left="243"/>
        <w:jc w:val="left"/>
      </w:pPr>
      <w:r>
        <w:rPr>
          <w:color w:val="231F20"/>
        </w:rPr>
        <w:t>Табела 9.1: Координате темена</w:t>
      </w:r>
    </w:p>
    <w:p>
      <w:pPr>
        <w:pStyle w:val="BodyText"/>
        <w:spacing w:before="10"/>
        <w:ind w:left="0"/>
        <w:jc w:val="left"/>
        <w:rPr>
          <w:sz w:val="4"/>
        </w:rPr>
      </w:pPr>
    </w:p>
    <w:p>
      <w:pPr>
        <w:pStyle w:val="BodyText"/>
        <w:ind w:left="242"/>
        <w:jc w:val="left"/>
        <w:rPr>
          <w:sz w:val="20"/>
        </w:rPr>
      </w:pPr>
      <w:r>
        <w:rPr>
          <w:sz w:val="20"/>
        </w:rPr>
        <w:drawing>
          <wp:inline distT="0" distB="0" distL="0" distR="0">
            <wp:extent cx="3215396" cy="2032253"/>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3215396" cy="2032253"/>
                    </a:xfrm>
                    <a:prstGeom prst="rect">
                      <a:avLst/>
                    </a:prstGeom>
                  </pic:spPr>
                </pic:pic>
              </a:graphicData>
            </a:graphic>
          </wp:inline>
        </w:drawing>
      </w:r>
      <w:r>
        <w:rPr>
          <w:sz w:val="20"/>
        </w:rPr>
      </w:r>
    </w:p>
    <w:p>
      <w:pPr>
        <w:pStyle w:val="ListParagraph"/>
        <w:numPr>
          <w:ilvl w:val="2"/>
          <w:numId w:val="76"/>
        </w:numPr>
        <w:tabs>
          <w:tab w:pos="1191" w:val="left" w:leader="none"/>
        </w:tabs>
        <w:spacing w:line="228" w:lineRule="auto" w:before="133" w:after="0"/>
        <w:ind w:left="698" w:right="584" w:firstLine="42"/>
        <w:jc w:val="left"/>
        <w:rPr>
          <w:sz w:val="18"/>
        </w:rPr>
      </w:pPr>
      <w:r>
        <w:rPr>
          <w:color w:val="231F20"/>
          <w:spacing w:val="16"/>
          <w:sz w:val="18"/>
        </w:rPr>
        <w:t>Правила </w:t>
      </w:r>
      <w:r>
        <w:rPr>
          <w:color w:val="231F20"/>
          <w:spacing w:val="17"/>
          <w:sz w:val="18"/>
        </w:rPr>
        <w:t>парцелације,  препарцелације </w:t>
      </w:r>
      <w:r>
        <w:rPr>
          <w:color w:val="231F20"/>
          <w:sz w:val="18"/>
        </w:rPr>
        <w:t>и </w:t>
      </w:r>
      <w:r>
        <w:rPr>
          <w:color w:val="231F20"/>
          <w:spacing w:val="16"/>
          <w:sz w:val="18"/>
        </w:rPr>
        <w:t>исправке границе парцела</w:t>
      </w:r>
      <w:r>
        <w:rPr>
          <w:color w:val="231F20"/>
          <w:spacing w:val="37"/>
          <w:sz w:val="18"/>
        </w:rPr>
        <w:t> </w:t>
      </w:r>
      <w:r>
        <w:rPr>
          <w:color w:val="231F20"/>
          <w:spacing w:val="10"/>
          <w:sz w:val="18"/>
        </w:rPr>
        <w:t>за </w:t>
      </w:r>
      <w:r>
        <w:rPr>
          <w:color w:val="231F20"/>
          <w:spacing w:val="17"/>
          <w:sz w:val="18"/>
        </w:rPr>
        <w:t>прибављање</w:t>
      </w:r>
    </w:p>
    <w:p>
      <w:pPr>
        <w:pStyle w:val="BodyText"/>
        <w:spacing w:line="197" w:lineRule="exact"/>
        <w:ind w:left="748" w:right="637"/>
        <w:jc w:val="center"/>
      </w:pPr>
      <w:r>
        <w:rPr>
          <w:color w:val="231F20"/>
        </w:rPr>
        <w:t>земљишт а</w:t>
      </w:r>
    </w:p>
    <w:p>
      <w:pPr>
        <w:pStyle w:val="BodyText"/>
        <w:spacing w:before="9"/>
        <w:ind w:left="0"/>
        <w:jc w:val="left"/>
        <w:rPr>
          <w:sz w:val="16"/>
        </w:rPr>
      </w:pPr>
    </w:p>
    <w:p>
      <w:pPr>
        <w:pStyle w:val="BodyText"/>
        <w:spacing w:line="225" w:lineRule="auto"/>
        <w:ind w:left="241" w:right="128" w:firstLine="397"/>
      </w:pPr>
      <w:r>
        <w:rPr>
          <w:color w:val="231F20"/>
        </w:rPr>
        <w:t>Овим документом дефинишу се се општа правила и услови парцелације, регулације и изградње, којима се оквирно одређује величина, облик и површина грађевинске парцеле која се фор- мира, начин уређења грађевинских парцела, регулационе линије, правила изградње.</w:t>
      </w:r>
    </w:p>
    <w:p>
      <w:pPr>
        <w:pStyle w:val="BodyText"/>
        <w:spacing w:line="225" w:lineRule="auto"/>
        <w:ind w:left="241" w:right="128" w:firstLine="396"/>
      </w:pPr>
      <w:r>
        <w:rPr>
          <w:color w:val="231F20"/>
        </w:rPr>
        <w:t>Правила важе за изградњу предметног објеката, замену, до- градњу и реконструкцију, што значи да се приликом доградње и реконструкције треба поштовати урбанистичко –регулациони па- раметри дефинисани на рефералној карти бр. 6.9.2: „Основи за парцелацију и прибављање земљишта” (1:2500).</w:t>
      </w:r>
    </w:p>
    <w:p>
      <w:pPr>
        <w:pStyle w:val="BodyText"/>
        <w:spacing w:line="225" w:lineRule="auto"/>
        <w:ind w:left="638" w:right="256" w:hanging="1"/>
        <w:jc w:val="left"/>
      </w:pPr>
      <w:r>
        <w:rPr>
          <w:color w:val="231F20"/>
        </w:rPr>
        <w:t>Јавни интерес за прибављање земљишта може се утврдити: по основу:</w:t>
      </w:r>
    </w:p>
    <w:p>
      <w:pPr>
        <w:pStyle w:val="BodyText"/>
        <w:spacing w:line="189" w:lineRule="exact"/>
        <w:ind w:left="638"/>
        <w:jc w:val="left"/>
      </w:pPr>
      <w:r>
        <w:rPr>
          <w:color w:val="231F20"/>
          <w:w w:val="66"/>
        </w:rPr>
        <w:t> </w:t>
      </w:r>
      <w:r>
        <w:rPr>
          <w:color w:val="231F20"/>
          <w:w w:val="95"/>
        </w:rPr>
        <w:t>– експропријације,</w:t>
      </w:r>
    </w:p>
    <w:p>
      <w:pPr>
        <w:pStyle w:val="BodyText"/>
        <w:spacing w:line="194" w:lineRule="exact"/>
        <w:ind w:left="638"/>
        <w:jc w:val="left"/>
      </w:pPr>
      <w:r>
        <w:rPr>
          <w:color w:val="231F20"/>
          <w:w w:val="66"/>
        </w:rPr>
        <w:t> </w:t>
      </w:r>
      <w:r>
        <w:rPr>
          <w:color w:val="231F20"/>
        </w:rPr>
        <w:t>– административног преноса и</w:t>
      </w:r>
    </w:p>
    <w:p>
      <w:pPr>
        <w:pStyle w:val="BodyText"/>
        <w:spacing w:line="194" w:lineRule="exact"/>
        <w:ind w:left="638"/>
        <w:jc w:val="left"/>
      </w:pPr>
      <w:r>
        <w:rPr>
          <w:color w:val="231F20"/>
          <w:w w:val="66"/>
        </w:rPr>
        <w:t> </w:t>
      </w:r>
      <w:r>
        <w:rPr>
          <w:color w:val="231F20"/>
        </w:rPr>
        <w:t>– непотпуне експропријације (права службености).</w:t>
      </w:r>
    </w:p>
    <w:p>
      <w:pPr>
        <w:pStyle w:val="BodyText"/>
        <w:spacing w:line="225" w:lineRule="auto"/>
        <w:ind w:left="241" w:right="128" w:firstLine="397"/>
      </w:pPr>
      <w:r>
        <w:rPr>
          <w:color w:val="231F20"/>
        </w:rPr>
        <w:t>Пројектом препарцелације чији је саставни део и Пројекат геодетског обележавања прецизно ће се дефинисати грађевинске парцеле за коридор индустријског колосека, сервисне саобраћај- нице и укрштања са другим инфраструктурним коридорима.</w:t>
      </w:r>
    </w:p>
    <w:p>
      <w:pPr>
        <w:pStyle w:val="BodyText"/>
        <w:spacing w:line="225" w:lineRule="auto"/>
        <w:ind w:left="241" w:right="128" w:firstLine="396"/>
      </w:pPr>
      <w:r>
        <w:rPr>
          <w:color w:val="231F20"/>
        </w:rPr>
        <w:t>Напомена: у случају неслагања горе наведених бројева ката- старских парцела, важи граница утврђена на рефералној карти бр. 6.9.2: „Основи за парцелацију и прибављање земљишта” (1:2500).</w:t>
      </w:r>
    </w:p>
    <w:p>
      <w:pPr>
        <w:pStyle w:val="ListParagraph"/>
        <w:numPr>
          <w:ilvl w:val="2"/>
          <w:numId w:val="76"/>
        </w:numPr>
        <w:tabs>
          <w:tab w:pos="1494" w:val="left" w:leader="none"/>
        </w:tabs>
        <w:spacing w:line="225" w:lineRule="auto" w:before="52" w:after="0"/>
        <w:ind w:left="1962" w:right="930" w:hanging="919"/>
        <w:jc w:val="left"/>
        <w:rPr>
          <w:sz w:val="18"/>
        </w:rPr>
      </w:pPr>
      <w:r>
        <w:rPr>
          <w:color w:val="231F20"/>
          <w:sz w:val="18"/>
        </w:rPr>
        <w:t>Ус </w:t>
      </w:r>
      <w:r>
        <w:rPr>
          <w:color w:val="231F20"/>
          <w:spacing w:val="15"/>
          <w:sz w:val="18"/>
        </w:rPr>
        <w:t>лови </w:t>
      </w:r>
      <w:r>
        <w:rPr>
          <w:color w:val="231F20"/>
          <w:spacing w:val="10"/>
          <w:sz w:val="18"/>
        </w:rPr>
        <w:t>за </w:t>
      </w:r>
      <w:r>
        <w:rPr>
          <w:color w:val="231F20"/>
          <w:spacing w:val="15"/>
          <w:sz w:val="18"/>
        </w:rPr>
        <w:t>укршт </w:t>
      </w:r>
      <w:r>
        <w:rPr>
          <w:color w:val="231F20"/>
          <w:spacing w:val="12"/>
          <w:sz w:val="18"/>
        </w:rPr>
        <w:t>ање </w:t>
      </w:r>
      <w:r>
        <w:rPr>
          <w:color w:val="231F20"/>
          <w:sz w:val="18"/>
        </w:rPr>
        <w:t>с а</w:t>
      </w:r>
      <w:r>
        <w:rPr>
          <w:color w:val="231F20"/>
          <w:spacing w:val="-9"/>
          <w:sz w:val="18"/>
        </w:rPr>
        <w:t> </w:t>
      </w:r>
      <w:r>
        <w:rPr>
          <w:color w:val="231F20"/>
          <w:sz w:val="18"/>
        </w:rPr>
        <w:t>о </w:t>
      </w:r>
      <w:r>
        <w:rPr>
          <w:color w:val="231F20"/>
          <w:spacing w:val="10"/>
          <w:sz w:val="18"/>
        </w:rPr>
        <w:t>ст </w:t>
      </w:r>
      <w:r>
        <w:rPr>
          <w:color w:val="231F20"/>
          <w:sz w:val="18"/>
        </w:rPr>
        <w:t>а </w:t>
      </w:r>
      <w:r>
        <w:rPr>
          <w:color w:val="231F20"/>
          <w:spacing w:val="11"/>
          <w:sz w:val="18"/>
        </w:rPr>
        <w:t>лом </w:t>
      </w:r>
      <w:r>
        <w:rPr>
          <w:color w:val="231F20"/>
          <w:spacing w:val="16"/>
          <w:sz w:val="18"/>
        </w:rPr>
        <w:t>инфраст</w:t>
      </w:r>
      <w:r>
        <w:rPr>
          <w:color w:val="231F20"/>
          <w:spacing w:val="-22"/>
          <w:sz w:val="18"/>
        </w:rPr>
        <w:t> </w:t>
      </w:r>
      <w:r>
        <w:rPr>
          <w:color w:val="231F20"/>
          <w:spacing w:val="15"/>
          <w:sz w:val="18"/>
        </w:rPr>
        <w:t>руктуром</w:t>
      </w:r>
    </w:p>
    <w:p>
      <w:pPr>
        <w:pStyle w:val="BodyText"/>
        <w:spacing w:before="9"/>
        <w:ind w:left="0"/>
        <w:jc w:val="left"/>
        <w:rPr>
          <w:sz w:val="16"/>
        </w:rPr>
      </w:pPr>
    </w:p>
    <w:p>
      <w:pPr>
        <w:pStyle w:val="BodyText"/>
        <w:spacing w:line="225" w:lineRule="auto"/>
        <w:ind w:left="241" w:right="128" w:firstLine="396"/>
      </w:pPr>
      <w:r>
        <w:rPr>
          <w:color w:val="231F20"/>
        </w:rPr>
        <w:t>У</w:t>
      </w:r>
      <w:r>
        <w:rPr>
          <w:color w:val="231F20"/>
          <w:spacing w:val="-7"/>
        </w:rPr>
        <w:t> </w:t>
      </w:r>
      <w:r>
        <w:rPr>
          <w:color w:val="231F20"/>
        </w:rPr>
        <w:t>коридору</w:t>
      </w:r>
      <w:r>
        <w:rPr>
          <w:color w:val="231F20"/>
          <w:spacing w:val="-7"/>
        </w:rPr>
        <w:t> </w:t>
      </w:r>
      <w:r>
        <w:rPr>
          <w:color w:val="231F20"/>
        </w:rPr>
        <w:t>пруге</w:t>
      </w:r>
      <w:r>
        <w:rPr>
          <w:color w:val="231F20"/>
          <w:spacing w:val="-7"/>
        </w:rPr>
        <w:t> </w:t>
      </w:r>
      <w:r>
        <w:rPr>
          <w:color w:val="231F20"/>
        </w:rPr>
        <w:t>налазе</w:t>
      </w:r>
      <w:r>
        <w:rPr>
          <w:color w:val="231F20"/>
          <w:spacing w:val="-7"/>
        </w:rPr>
        <w:t> </w:t>
      </w:r>
      <w:r>
        <w:rPr>
          <w:color w:val="231F20"/>
        </w:rPr>
        <w:t>се</w:t>
      </w:r>
      <w:r>
        <w:rPr>
          <w:color w:val="231F20"/>
          <w:spacing w:val="-7"/>
        </w:rPr>
        <w:t> </w:t>
      </w:r>
      <w:r>
        <w:rPr>
          <w:color w:val="231F20"/>
        </w:rPr>
        <w:t>електроенергетска</w:t>
      </w:r>
      <w:r>
        <w:rPr>
          <w:color w:val="231F20"/>
          <w:spacing w:val="-7"/>
        </w:rPr>
        <w:t> </w:t>
      </w:r>
      <w:r>
        <w:rPr>
          <w:color w:val="231F20"/>
        </w:rPr>
        <w:t>и</w:t>
      </w:r>
      <w:r>
        <w:rPr>
          <w:color w:val="231F20"/>
          <w:spacing w:val="-7"/>
        </w:rPr>
        <w:t> </w:t>
      </w:r>
      <w:r>
        <w:rPr>
          <w:color w:val="231F20"/>
        </w:rPr>
        <w:t>телекомуни- кациона</w:t>
      </w:r>
      <w:r>
        <w:rPr>
          <w:color w:val="231F20"/>
          <w:spacing w:val="-10"/>
        </w:rPr>
        <w:t> </w:t>
      </w:r>
      <w:r>
        <w:rPr>
          <w:color w:val="231F20"/>
        </w:rPr>
        <w:t>постројења,</w:t>
      </w:r>
      <w:r>
        <w:rPr>
          <w:color w:val="231F20"/>
          <w:spacing w:val="-10"/>
        </w:rPr>
        <w:t> </w:t>
      </w:r>
      <w:r>
        <w:rPr>
          <w:color w:val="231F20"/>
        </w:rPr>
        <w:t>објекти</w:t>
      </w:r>
      <w:r>
        <w:rPr>
          <w:color w:val="231F20"/>
          <w:spacing w:val="-10"/>
        </w:rPr>
        <w:t> </w:t>
      </w:r>
      <w:r>
        <w:rPr>
          <w:color w:val="231F20"/>
        </w:rPr>
        <w:t>комуналне</w:t>
      </w:r>
      <w:r>
        <w:rPr>
          <w:color w:val="231F20"/>
          <w:spacing w:val="-10"/>
        </w:rPr>
        <w:t> </w:t>
      </w:r>
      <w:r>
        <w:rPr>
          <w:color w:val="231F20"/>
        </w:rPr>
        <w:t>и</w:t>
      </w:r>
      <w:r>
        <w:rPr>
          <w:color w:val="231F20"/>
          <w:spacing w:val="-10"/>
        </w:rPr>
        <w:t> </w:t>
      </w:r>
      <w:r>
        <w:rPr>
          <w:color w:val="231F20"/>
        </w:rPr>
        <w:t>регионалне</w:t>
      </w:r>
      <w:r>
        <w:rPr>
          <w:color w:val="231F20"/>
          <w:spacing w:val="-10"/>
        </w:rPr>
        <w:t> </w:t>
      </w:r>
      <w:r>
        <w:rPr>
          <w:color w:val="231F20"/>
        </w:rPr>
        <w:t>инфраструк- туре водовода и канализације, као и делови индустријског колосе- ка, ван функције (у кругу</w:t>
      </w:r>
      <w:r>
        <w:rPr>
          <w:color w:val="231F20"/>
          <w:spacing w:val="-5"/>
        </w:rPr>
        <w:t> </w:t>
      </w:r>
      <w:r>
        <w:rPr>
          <w:color w:val="231F20"/>
        </w:rPr>
        <w:t>Термоелектране).</w:t>
      </w:r>
    </w:p>
    <w:p>
      <w:pPr>
        <w:pStyle w:val="BodyText"/>
        <w:spacing w:line="228" w:lineRule="auto"/>
        <w:ind w:left="242" w:right="127" w:firstLine="396"/>
      </w:pPr>
      <w:r>
        <w:rPr>
          <w:color w:val="231F20"/>
        </w:rPr>
        <w:t>Цевоводи и водоводи, електричне, телефонске и телеграфске ваздушне линије и подземни каблови и друге сличне инсталације и уређаји који служе за опште потребе могу се поставити на же- лезничко подручје и укрштати са железничком пругом, односно изводити паралелно са железничком пругом на железничком под- ручју и ван железничког подручја под условом да се њиховим по- стављањем, извођењем или коришћењем не угрожава безбедност железничког саобраћаја нити омета његово одвијање и развој.</w:t>
      </w:r>
    </w:p>
    <w:p>
      <w:pPr>
        <w:spacing w:after="0" w:line="228" w:lineRule="auto"/>
        <w:sectPr>
          <w:pgSz w:w="12480" w:h="15690"/>
          <w:pgMar w:top="120" w:bottom="280" w:left="680" w:right="720"/>
          <w:cols w:num="2" w:equalWidth="0">
            <w:col w:w="5558" w:space="40"/>
            <w:col w:w="5482"/>
          </w:cols>
        </w:sectPr>
      </w:pPr>
    </w:p>
    <w:p>
      <w:pPr>
        <w:pStyle w:val="BodyText"/>
        <w:spacing w:line="232" w:lineRule="auto" w:before="73"/>
        <w:ind w:right="39" w:firstLine="396"/>
      </w:pPr>
      <w:r>
        <w:rPr/>
        <w:pict>
          <v:line style="position:absolute;mso-position-horizontal-relative:page;mso-position-vertical-relative:page;z-index:4744" from="304.724396pt,11.942451pt" to="304.724396pt,748.950451pt" stroked="true" strokeweight=".6pt" strokecolor="#231f20">
            <v:stroke dashstyle="solid"/>
            <w10:wrap type="none"/>
          </v:line>
        </w:pict>
      </w:r>
      <w:r>
        <w:rPr>
          <w:color w:val="231F20"/>
        </w:rPr>
        <w:t>Укрштање трасе пруге и планираног пепеловода је потребно извести денивелисано, са минималним вертикалним растојањем од 5,5 m између горње ивице шине и најниже тачке конструкције пепеловода. Угао укрштања мора бити што приближнији 90°.</w:t>
      </w:r>
    </w:p>
    <w:p>
      <w:pPr>
        <w:pStyle w:val="BodyText"/>
        <w:spacing w:line="232" w:lineRule="auto"/>
        <w:ind w:right="39" w:firstLine="397"/>
      </w:pPr>
      <w:r>
        <w:rPr>
          <w:color w:val="231F20"/>
        </w:rPr>
        <w:t>Детаљнији технички подаци укрштаја дефинисаће се следе- ћим нивоом разраде и у складу са Идејним пројектом изградње индустријског колосека од ТЕ „Костолац Б” до постојеће желе- зничке мреже за потребе ПД „ТЕРМОЕЛЕКТРАНЕ И КОПОВИ КОСТОЛАЦ” и Генералним пројектом изградње новог блока Б3 на локацији ТЕ „Костолац Б”.</w:t>
      </w:r>
    </w:p>
    <w:p>
      <w:pPr>
        <w:pStyle w:val="BodyText"/>
        <w:spacing w:before="164"/>
        <w:ind w:left="1147"/>
        <w:jc w:val="left"/>
      </w:pPr>
      <w:r>
        <w:rPr>
          <w:color w:val="231F20"/>
        </w:rPr>
        <w:t>Укрштања са друмским саобраћајницама</w:t>
      </w:r>
    </w:p>
    <w:p>
      <w:pPr>
        <w:pStyle w:val="BodyText"/>
        <w:spacing w:before="3"/>
        <w:ind w:left="0"/>
        <w:jc w:val="left"/>
        <w:rPr>
          <w:sz w:val="17"/>
        </w:rPr>
      </w:pPr>
    </w:p>
    <w:p>
      <w:pPr>
        <w:pStyle w:val="BodyText"/>
        <w:spacing w:line="232" w:lineRule="auto" w:before="1"/>
        <w:ind w:right="38" w:firstLine="396"/>
      </w:pPr>
      <w:r>
        <w:rPr>
          <w:color w:val="231F20"/>
        </w:rPr>
        <w:t>Траса индустријског колосека се на више места укршта са постојећим друмским саобраћајницама различитог ранга. Пред- виђено је да сва укрштања индустријског колосека са друмским саобраћајницама буду решена у нивоу. У циљу безбедности сао- браћаја, предлаже се:</w:t>
      </w:r>
    </w:p>
    <w:p>
      <w:pPr>
        <w:pStyle w:val="BodyText"/>
        <w:spacing w:line="232" w:lineRule="auto"/>
        <w:ind w:right="38" w:firstLine="396"/>
      </w:pPr>
      <w:r>
        <w:rPr>
          <w:color w:val="231F20"/>
          <w:w w:val="66"/>
        </w:rPr>
        <w:t> </w:t>
      </w:r>
      <w:r>
        <w:rPr>
          <w:color w:val="231F20"/>
        </w:rPr>
        <w:t>–</w:t>
      </w:r>
      <w:r>
        <w:rPr>
          <w:color w:val="231F20"/>
          <w:spacing w:val="-5"/>
        </w:rPr>
        <w:t> </w:t>
      </w:r>
      <w:r>
        <w:rPr>
          <w:color w:val="231F20"/>
        </w:rPr>
        <w:t>да</w:t>
      </w:r>
      <w:r>
        <w:rPr>
          <w:color w:val="231F20"/>
          <w:spacing w:val="-5"/>
        </w:rPr>
        <w:t> </w:t>
      </w:r>
      <w:r>
        <w:rPr>
          <w:color w:val="231F20"/>
        </w:rPr>
        <w:t>се</w:t>
      </w:r>
      <w:r>
        <w:rPr>
          <w:color w:val="231F20"/>
          <w:spacing w:val="-5"/>
        </w:rPr>
        <w:t> </w:t>
      </w:r>
      <w:r>
        <w:rPr>
          <w:color w:val="231F20"/>
        </w:rPr>
        <w:t>број</w:t>
      </w:r>
      <w:r>
        <w:rPr>
          <w:color w:val="231F20"/>
          <w:spacing w:val="-5"/>
        </w:rPr>
        <w:t> </w:t>
      </w:r>
      <w:r>
        <w:rPr>
          <w:color w:val="231F20"/>
        </w:rPr>
        <w:t>путних</w:t>
      </w:r>
      <w:r>
        <w:rPr>
          <w:color w:val="231F20"/>
          <w:spacing w:val="-5"/>
        </w:rPr>
        <w:t> </w:t>
      </w:r>
      <w:r>
        <w:rPr>
          <w:color w:val="231F20"/>
        </w:rPr>
        <w:t>прелаза</w:t>
      </w:r>
      <w:r>
        <w:rPr>
          <w:color w:val="231F20"/>
          <w:spacing w:val="-5"/>
        </w:rPr>
        <w:t> </w:t>
      </w:r>
      <w:r>
        <w:rPr>
          <w:color w:val="231F20"/>
        </w:rPr>
        <w:t>смањи,</w:t>
      </w:r>
      <w:r>
        <w:rPr>
          <w:color w:val="231F20"/>
          <w:spacing w:val="-5"/>
        </w:rPr>
        <w:t> </w:t>
      </w:r>
      <w:r>
        <w:rPr>
          <w:color w:val="231F20"/>
          <w:spacing w:val="-3"/>
        </w:rPr>
        <w:t>тако</w:t>
      </w:r>
      <w:r>
        <w:rPr>
          <w:color w:val="231F20"/>
          <w:spacing w:val="-5"/>
        </w:rPr>
        <w:t> </w:t>
      </w:r>
      <w:r>
        <w:rPr>
          <w:color w:val="231F20"/>
        </w:rPr>
        <w:t>што</w:t>
      </w:r>
      <w:r>
        <w:rPr>
          <w:color w:val="231F20"/>
          <w:spacing w:val="-5"/>
        </w:rPr>
        <w:t> </w:t>
      </w:r>
      <w:r>
        <w:rPr>
          <w:color w:val="231F20"/>
        </w:rPr>
        <w:t>се</w:t>
      </w:r>
      <w:r>
        <w:rPr>
          <w:color w:val="231F20"/>
          <w:spacing w:val="-5"/>
        </w:rPr>
        <w:t> </w:t>
      </w:r>
      <w:r>
        <w:rPr>
          <w:color w:val="231F20"/>
        </w:rPr>
        <w:t>на</w:t>
      </w:r>
      <w:r>
        <w:rPr>
          <w:color w:val="231F20"/>
          <w:spacing w:val="-5"/>
        </w:rPr>
        <w:t> </w:t>
      </w:r>
      <w:r>
        <w:rPr>
          <w:color w:val="231F20"/>
        </w:rPr>
        <w:t>одређеном броју укрштања индустријског колосека са друмским саобраћај- ницама не би формирали путни прелази (неће бити могуће </w:t>
      </w:r>
      <w:r>
        <w:rPr>
          <w:color w:val="231F20"/>
          <w:spacing w:val="-3"/>
        </w:rPr>
        <w:t>кори- </w:t>
      </w:r>
      <w:r>
        <w:rPr>
          <w:color w:val="231F20"/>
        </w:rPr>
        <w:t>шћење</w:t>
      </w:r>
      <w:r>
        <w:rPr>
          <w:color w:val="231F20"/>
          <w:spacing w:val="-2"/>
        </w:rPr>
        <w:t> </w:t>
      </w:r>
      <w:r>
        <w:rPr>
          <w:color w:val="231F20"/>
        </w:rPr>
        <w:t>путева);</w:t>
      </w:r>
    </w:p>
    <w:p>
      <w:pPr>
        <w:pStyle w:val="BodyText"/>
        <w:spacing w:line="232" w:lineRule="auto"/>
        <w:ind w:left="171" w:right="38" w:firstLine="396"/>
      </w:pPr>
      <w:r>
        <w:rPr>
          <w:color w:val="231F20"/>
          <w:w w:val="66"/>
        </w:rPr>
        <w:t> </w:t>
      </w:r>
      <w:r>
        <w:rPr>
          <w:color w:val="231F20"/>
        </w:rPr>
        <w:t>– да три путна прелаза </w:t>
      </w:r>
      <w:r>
        <w:rPr>
          <w:color w:val="231F20"/>
          <w:spacing w:val="-7"/>
        </w:rPr>
        <w:t>буду </w:t>
      </w:r>
      <w:r>
        <w:rPr>
          <w:color w:val="231F20"/>
        </w:rPr>
        <w:t>осигурана савременим</w:t>
      </w:r>
      <w:r>
        <w:rPr>
          <w:color w:val="231F20"/>
          <w:spacing w:val="-20"/>
        </w:rPr>
        <w:t> </w:t>
      </w:r>
      <w:r>
        <w:rPr>
          <w:color w:val="231F20"/>
          <w:spacing w:val="-2"/>
        </w:rPr>
        <w:t>уређајима </w:t>
      </w:r>
      <w:r>
        <w:rPr>
          <w:color w:val="231F20"/>
        </w:rPr>
        <w:t>осигурања, </w:t>
      </w:r>
      <w:r>
        <w:rPr>
          <w:color w:val="231F20"/>
          <w:spacing w:val="-3"/>
        </w:rPr>
        <w:t>путопрелазним полубраницима </w:t>
      </w:r>
      <w:r>
        <w:rPr>
          <w:color w:val="231F20"/>
        </w:rPr>
        <w:t>са </w:t>
      </w:r>
      <w:r>
        <w:rPr>
          <w:color w:val="231F20"/>
          <w:spacing w:val="-3"/>
        </w:rPr>
        <w:t>припадајућом светло- сном, </w:t>
      </w:r>
      <w:r>
        <w:rPr>
          <w:color w:val="231F20"/>
          <w:spacing w:val="-4"/>
        </w:rPr>
        <w:t>звучном </w:t>
      </w:r>
      <w:r>
        <w:rPr>
          <w:color w:val="231F20"/>
        </w:rPr>
        <w:t>и </w:t>
      </w:r>
      <w:r>
        <w:rPr>
          <w:color w:val="231F20"/>
          <w:spacing w:val="-4"/>
        </w:rPr>
        <w:t>ликовном </w:t>
      </w:r>
      <w:r>
        <w:rPr>
          <w:color w:val="231F20"/>
          <w:spacing w:val="-3"/>
        </w:rPr>
        <w:t>сигнализацијом, контролним </w:t>
      </w:r>
      <w:r>
        <w:rPr>
          <w:color w:val="231F20"/>
        </w:rPr>
        <w:t>сигналима и</w:t>
      </w:r>
      <w:r>
        <w:rPr>
          <w:color w:val="231F20"/>
          <w:spacing w:val="-7"/>
        </w:rPr>
        <w:t> </w:t>
      </w:r>
      <w:r>
        <w:rPr>
          <w:color w:val="231F20"/>
        </w:rPr>
        <w:t>укључним</w:t>
      </w:r>
      <w:r>
        <w:rPr>
          <w:color w:val="231F20"/>
          <w:spacing w:val="-7"/>
        </w:rPr>
        <w:t> </w:t>
      </w:r>
      <w:r>
        <w:rPr>
          <w:color w:val="231F20"/>
          <w:spacing w:val="-2"/>
        </w:rPr>
        <w:t>уређајима</w:t>
      </w:r>
      <w:r>
        <w:rPr>
          <w:color w:val="231F20"/>
          <w:spacing w:val="-7"/>
        </w:rPr>
        <w:t> </w:t>
      </w:r>
      <w:r>
        <w:rPr>
          <w:color w:val="231F20"/>
        </w:rPr>
        <w:t>за</w:t>
      </w:r>
      <w:r>
        <w:rPr>
          <w:color w:val="231F20"/>
          <w:spacing w:val="-7"/>
        </w:rPr>
        <w:t> </w:t>
      </w:r>
      <w:r>
        <w:rPr>
          <w:color w:val="231F20"/>
          <w:spacing w:val="-5"/>
        </w:rPr>
        <w:t>аутоматско</w:t>
      </w:r>
      <w:r>
        <w:rPr>
          <w:color w:val="231F20"/>
          <w:spacing w:val="-7"/>
        </w:rPr>
        <w:t> </w:t>
      </w:r>
      <w:r>
        <w:rPr>
          <w:color w:val="231F20"/>
        </w:rPr>
        <w:t>укључење</w:t>
      </w:r>
      <w:r>
        <w:rPr>
          <w:color w:val="231F20"/>
          <w:spacing w:val="-7"/>
        </w:rPr>
        <w:t> </w:t>
      </w:r>
      <w:r>
        <w:rPr>
          <w:color w:val="231F20"/>
        </w:rPr>
        <w:t>и</w:t>
      </w:r>
      <w:r>
        <w:rPr>
          <w:color w:val="231F20"/>
          <w:spacing w:val="-7"/>
        </w:rPr>
        <w:t> </w:t>
      </w:r>
      <w:r>
        <w:rPr>
          <w:color w:val="231F20"/>
        </w:rPr>
        <w:t>искључење;</w:t>
      </w:r>
      <w:r>
        <w:rPr>
          <w:color w:val="231F20"/>
          <w:spacing w:val="-7"/>
        </w:rPr>
        <w:t> </w:t>
      </w:r>
      <w:r>
        <w:rPr>
          <w:color w:val="231F20"/>
        </w:rPr>
        <w:t>и</w:t>
      </w:r>
    </w:p>
    <w:p>
      <w:pPr>
        <w:pStyle w:val="BodyText"/>
        <w:spacing w:line="232" w:lineRule="auto"/>
        <w:ind w:left="171" w:right="38" w:firstLine="396"/>
      </w:pPr>
      <w:r>
        <w:rPr>
          <w:color w:val="231F20"/>
          <w:w w:val="66"/>
        </w:rPr>
        <w:t> </w:t>
      </w:r>
      <w:r>
        <w:rPr>
          <w:color w:val="231F20"/>
        </w:rPr>
        <w:t>– да се преостали путни прелази осигурају знаковима верти- калне друмске сигнализације.</w:t>
      </w:r>
    </w:p>
    <w:p>
      <w:pPr>
        <w:pStyle w:val="BodyText"/>
        <w:spacing w:line="232" w:lineRule="auto"/>
        <w:ind w:left="171" w:right="38" w:firstLine="396"/>
      </w:pPr>
      <w:r>
        <w:rPr>
          <w:color w:val="231F20"/>
        </w:rPr>
        <w:t>Прелажење друмских возила преко железничке пруге дозво- љено је само на путним прелазима, а прелажење лица преко же- лезничке пруге дозвољено је само на пешачким или путним пре- лазима.</w:t>
      </w:r>
    </w:p>
    <w:p>
      <w:pPr>
        <w:pStyle w:val="BodyText"/>
        <w:spacing w:line="232" w:lineRule="auto"/>
        <w:ind w:left="171" w:right="38" w:firstLine="397"/>
      </w:pPr>
      <w:r>
        <w:rPr>
          <w:color w:val="231F20"/>
        </w:rPr>
        <w:t>У складу са </w:t>
      </w:r>
      <w:r>
        <w:rPr>
          <w:color w:val="231F20"/>
          <w:spacing w:val="-3"/>
        </w:rPr>
        <w:t>Законом </w:t>
      </w:r>
      <w:r>
        <w:rPr>
          <w:color w:val="231F20"/>
        </w:rPr>
        <w:t>о железници („Службени гласник РС”, број 18/05), укрштај железничке пруге са јавним путевима изводи се њиховим свођењем на најнеопходнији број, усмеравањем два или</w:t>
      </w:r>
      <w:r>
        <w:rPr>
          <w:color w:val="231F20"/>
          <w:spacing w:val="-7"/>
        </w:rPr>
        <w:t> </w:t>
      </w:r>
      <w:r>
        <w:rPr>
          <w:color w:val="231F20"/>
        </w:rPr>
        <w:t>више</w:t>
      </w:r>
      <w:r>
        <w:rPr>
          <w:color w:val="231F20"/>
          <w:spacing w:val="-7"/>
        </w:rPr>
        <w:t> </w:t>
      </w:r>
      <w:r>
        <w:rPr>
          <w:color w:val="231F20"/>
        </w:rPr>
        <w:t>јавних</w:t>
      </w:r>
      <w:r>
        <w:rPr>
          <w:color w:val="231F20"/>
          <w:spacing w:val="-7"/>
        </w:rPr>
        <w:t> </w:t>
      </w:r>
      <w:r>
        <w:rPr>
          <w:color w:val="231F20"/>
        </w:rPr>
        <w:t>путева</w:t>
      </w:r>
      <w:r>
        <w:rPr>
          <w:color w:val="231F20"/>
          <w:spacing w:val="-7"/>
        </w:rPr>
        <w:t> </w:t>
      </w:r>
      <w:r>
        <w:rPr>
          <w:color w:val="231F20"/>
        </w:rPr>
        <w:t>на</w:t>
      </w:r>
      <w:r>
        <w:rPr>
          <w:color w:val="231F20"/>
          <w:spacing w:val="-7"/>
        </w:rPr>
        <w:t> </w:t>
      </w:r>
      <w:r>
        <w:rPr>
          <w:color w:val="231F20"/>
        </w:rPr>
        <w:t>заједничко</w:t>
      </w:r>
      <w:r>
        <w:rPr>
          <w:color w:val="231F20"/>
          <w:spacing w:val="-7"/>
        </w:rPr>
        <w:t> </w:t>
      </w:r>
      <w:r>
        <w:rPr>
          <w:color w:val="231F20"/>
        </w:rPr>
        <w:t>место</w:t>
      </w:r>
      <w:r>
        <w:rPr>
          <w:color w:val="231F20"/>
          <w:spacing w:val="-7"/>
        </w:rPr>
        <w:t> </w:t>
      </w:r>
      <w:r>
        <w:rPr>
          <w:color w:val="231F20"/>
        </w:rPr>
        <w:t>укрштања.</w:t>
      </w:r>
      <w:r>
        <w:rPr>
          <w:color w:val="231F20"/>
          <w:spacing w:val="-6"/>
        </w:rPr>
        <w:t> </w:t>
      </w:r>
      <w:r>
        <w:rPr>
          <w:color w:val="231F20"/>
        </w:rPr>
        <w:t>Размак</w:t>
      </w:r>
      <w:r>
        <w:rPr>
          <w:color w:val="231F20"/>
          <w:spacing w:val="-7"/>
        </w:rPr>
        <w:t> </w:t>
      </w:r>
      <w:r>
        <w:rPr>
          <w:color w:val="231F20"/>
        </w:rPr>
        <w:t>из- међу</w:t>
      </w:r>
      <w:r>
        <w:rPr>
          <w:color w:val="231F20"/>
          <w:spacing w:val="15"/>
        </w:rPr>
        <w:t> </w:t>
      </w:r>
      <w:r>
        <w:rPr>
          <w:color w:val="231F20"/>
        </w:rPr>
        <w:t>два</w:t>
      </w:r>
      <w:r>
        <w:rPr>
          <w:color w:val="231F20"/>
          <w:spacing w:val="15"/>
        </w:rPr>
        <w:t> </w:t>
      </w:r>
      <w:r>
        <w:rPr>
          <w:color w:val="231F20"/>
        </w:rPr>
        <w:t>укрштаја</w:t>
      </w:r>
      <w:r>
        <w:rPr>
          <w:color w:val="231F20"/>
          <w:spacing w:val="15"/>
        </w:rPr>
        <w:t> </w:t>
      </w:r>
      <w:r>
        <w:rPr>
          <w:color w:val="231F20"/>
        </w:rPr>
        <w:t>пруге</w:t>
      </w:r>
      <w:r>
        <w:rPr>
          <w:color w:val="231F20"/>
          <w:spacing w:val="15"/>
        </w:rPr>
        <w:t> </w:t>
      </w:r>
      <w:r>
        <w:rPr>
          <w:color w:val="231F20"/>
        </w:rPr>
        <w:t>и</w:t>
      </w:r>
      <w:r>
        <w:rPr>
          <w:color w:val="231F20"/>
          <w:spacing w:val="15"/>
        </w:rPr>
        <w:t> </w:t>
      </w:r>
      <w:r>
        <w:rPr>
          <w:color w:val="231F20"/>
        </w:rPr>
        <w:t>јавног</w:t>
      </w:r>
      <w:r>
        <w:rPr>
          <w:color w:val="231F20"/>
          <w:spacing w:val="15"/>
        </w:rPr>
        <w:t> </w:t>
      </w:r>
      <w:r>
        <w:rPr>
          <w:color w:val="231F20"/>
        </w:rPr>
        <w:t>пута</w:t>
      </w:r>
      <w:r>
        <w:rPr>
          <w:color w:val="231F20"/>
          <w:spacing w:val="15"/>
        </w:rPr>
        <w:t> </w:t>
      </w:r>
      <w:r>
        <w:rPr>
          <w:color w:val="231F20"/>
        </w:rPr>
        <w:t>не</w:t>
      </w:r>
      <w:r>
        <w:rPr>
          <w:color w:val="231F20"/>
          <w:spacing w:val="15"/>
        </w:rPr>
        <w:t> </w:t>
      </w:r>
      <w:r>
        <w:rPr>
          <w:color w:val="231F20"/>
        </w:rPr>
        <w:t>може</w:t>
      </w:r>
      <w:r>
        <w:rPr>
          <w:color w:val="231F20"/>
          <w:spacing w:val="15"/>
        </w:rPr>
        <w:t> </w:t>
      </w:r>
      <w:r>
        <w:rPr>
          <w:color w:val="231F20"/>
        </w:rPr>
        <w:t>да</w:t>
      </w:r>
      <w:r>
        <w:rPr>
          <w:color w:val="231F20"/>
          <w:spacing w:val="15"/>
        </w:rPr>
        <w:t> </w:t>
      </w:r>
      <w:r>
        <w:rPr>
          <w:color w:val="231F20"/>
          <w:spacing w:val="-5"/>
        </w:rPr>
        <w:t>буде</w:t>
      </w:r>
      <w:r>
        <w:rPr>
          <w:color w:val="231F20"/>
          <w:spacing w:val="15"/>
        </w:rPr>
        <w:t> </w:t>
      </w:r>
      <w:r>
        <w:rPr>
          <w:color w:val="231F20"/>
        </w:rPr>
        <w:t>мањи</w:t>
      </w:r>
      <w:r>
        <w:rPr>
          <w:color w:val="231F20"/>
          <w:spacing w:val="15"/>
        </w:rPr>
        <w:t> </w:t>
      </w:r>
      <w:r>
        <w:rPr>
          <w:color w:val="231F20"/>
          <w:spacing w:val="-3"/>
        </w:rPr>
        <w:t>од</w:t>
      </w:r>
    </w:p>
    <w:p>
      <w:pPr>
        <w:pStyle w:val="BodyText"/>
        <w:spacing w:line="232" w:lineRule="auto"/>
        <w:ind w:left="171" w:right="38"/>
      </w:pPr>
      <w:r>
        <w:rPr>
          <w:color w:val="231F20"/>
        </w:rPr>
        <w:t>2.000 m. </w:t>
      </w:r>
      <w:r>
        <w:rPr>
          <w:color w:val="231F20"/>
          <w:spacing w:val="-3"/>
        </w:rPr>
        <w:t>Укрштање </w:t>
      </w:r>
      <w:r>
        <w:rPr>
          <w:color w:val="231F20"/>
        </w:rPr>
        <w:t>железничке пруге са некатегорисаним путеви- ма изводи се усмеравањем тих путева на најближи јавни </w:t>
      </w:r>
      <w:r>
        <w:rPr>
          <w:color w:val="231F20"/>
          <w:spacing w:val="-4"/>
        </w:rPr>
        <w:t>пут, </w:t>
      </w:r>
      <w:r>
        <w:rPr>
          <w:color w:val="231F20"/>
          <w:spacing w:val="-3"/>
        </w:rPr>
        <w:t>који </w:t>
      </w:r>
      <w:r>
        <w:rPr>
          <w:color w:val="231F20"/>
        </w:rPr>
        <w:t>се укршта са односном пругом. </w:t>
      </w:r>
      <w:r>
        <w:rPr>
          <w:color w:val="231F20"/>
          <w:spacing w:val="-4"/>
        </w:rPr>
        <w:t>Ако </w:t>
      </w:r>
      <w:r>
        <w:rPr>
          <w:color w:val="231F20"/>
        </w:rPr>
        <w:t>то није могуће, треба међу- собно повезати путеве и извести њихово укрштање са </w:t>
      </w:r>
      <w:r>
        <w:rPr>
          <w:color w:val="231F20"/>
          <w:spacing w:val="-3"/>
        </w:rPr>
        <w:t>пругом </w:t>
      </w:r>
      <w:r>
        <w:rPr>
          <w:color w:val="231F20"/>
        </w:rPr>
        <w:t>на заједничком </w:t>
      </w:r>
      <w:r>
        <w:rPr>
          <w:color w:val="231F20"/>
          <w:spacing w:val="-3"/>
        </w:rPr>
        <w:t>месту.</w:t>
      </w:r>
    </w:p>
    <w:p>
      <w:pPr>
        <w:pStyle w:val="BodyText"/>
        <w:spacing w:line="232" w:lineRule="auto"/>
        <w:ind w:left="171" w:right="38" w:firstLine="396"/>
      </w:pPr>
      <w:r>
        <w:rPr>
          <w:color w:val="231F20"/>
        </w:rPr>
        <w:t>Од укупно 56 укрштаја са друмским саобраћајницама разли- читих рангова, предвиђено је да се на 20 не формирају путни пре- лази. Од друмских саобраћајница најзначајнији је ДП II реда бр. 105: Рам – Братинац, деоница 0388 између чворова бр. 0439 и бр. 0720, са којим се траса пруге укршта у km: 8+435 пруге, односно приближно у km: 14+102 наведене деонице пута. Због малог </w:t>
      </w:r>
      <w:r>
        <w:rPr>
          <w:color w:val="231F20"/>
          <w:spacing w:val="-3"/>
        </w:rPr>
        <w:t>угла </w:t>
      </w:r>
      <w:r>
        <w:rPr>
          <w:color w:val="231F20"/>
        </w:rPr>
        <w:t>укрштања друмске саобраћајнице и </w:t>
      </w:r>
      <w:r>
        <w:rPr>
          <w:color w:val="231F20"/>
          <w:spacing w:val="-4"/>
        </w:rPr>
        <w:t>будуће </w:t>
      </w:r>
      <w:r>
        <w:rPr>
          <w:color w:val="231F20"/>
        </w:rPr>
        <w:t>пруге, предвиђена је девијација пута, у складу са условима ЈП „Путеви Србије” Плани- рана</w:t>
      </w:r>
      <w:r>
        <w:rPr>
          <w:color w:val="231F20"/>
          <w:spacing w:val="-4"/>
        </w:rPr>
        <w:t> </w:t>
      </w:r>
      <w:r>
        <w:rPr>
          <w:color w:val="231F20"/>
        </w:rPr>
        <w:t>девијација</w:t>
      </w:r>
      <w:r>
        <w:rPr>
          <w:color w:val="231F20"/>
          <w:spacing w:val="-4"/>
        </w:rPr>
        <w:t> </w:t>
      </w:r>
      <w:r>
        <w:rPr>
          <w:color w:val="231F20"/>
        </w:rPr>
        <w:t>је</w:t>
      </w:r>
      <w:r>
        <w:rPr>
          <w:color w:val="231F20"/>
          <w:spacing w:val="-4"/>
        </w:rPr>
        <w:t> </w:t>
      </w:r>
      <w:r>
        <w:rPr>
          <w:color w:val="231F20"/>
        </w:rPr>
        <w:t>на</w:t>
      </w:r>
      <w:r>
        <w:rPr>
          <w:color w:val="231F20"/>
          <w:spacing w:val="-4"/>
        </w:rPr>
        <w:t> </w:t>
      </w:r>
      <w:r>
        <w:rPr>
          <w:color w:val="231F20"/>
        </w:rPr>
        <w:t>дужини</w:t>
      </w:r>
      <w:r>
        <w:rPr>
          <w:color w:val="231F20"/>
          <w:spacing w:val="-4"/>
        </w:rPr>
        <w:t> </w:t>
      </w:r>
      <w:r>
        <w:rPr>
          <w:color w:val="231F20"/>
          <w:spacing w:val="-3"/>
        </w:rPr>
        <w:t>од</w:t>
      </w:r>
      <w:r>
        <w:rPr>
          <w:color w:val="231F20"/>
          <w:spacing w:val="-4"/>
        </w:rPr>
        <w:t> </w:t>
      </w:r>
      <w:r>
        <w:rPr>
          <w:color w:val="231F20"/>
        </w:rPr>
        <w:t>630</w:t>
      </w:r>
      <w:r>
        <w:rPr>
          <w:color w:val="231F20"/>
          <w:spacing w:val="-4"/>
        </w:rPr>
        <w:t> </w:t>
      </w:r>
      <w:r>
        <w:rPr>
          <w:color w:val="231F20"/>
        </w:rPr>
        <w:t>m,</w:t>
      </w:r>
      <w:r>
        <w:rPr>
          <w:color w:val="231F20"/>
          <w:spacing w:val="-4"/>
        </w:rPr>
        <w:t> </w:t>
      </w:r>
      <w:r>
        <w:rPr>
          <w:color w:val="231F20"/>
        </w:rPr>
        <w:t>са</w:t>
      </w:r>
      <w:r>
        <w:rPr>
          <w:color w:val="231F20"/>
          <w:spacing w:val="-4"/>
        </w:rPr>
        <w:t> </w:t>
      </w:r>
      <w:r>
        <w:rPr>
          <w:color w:val="231F20"/>
        </w:rPr>
        <w:t>ширином</w:t>
      </w:r>
      <w:r>
        <w:rPr>
          <w:color w:val="231F20"/>
          <w:spacing w:val="-4"/>
        </w:rPr>
        <w:t> </w:t>
      </w:r>
      <w:r>
        <w:rPr>
          <w:color w:val="231F20"/>
        </w:rPr>
        <w:t>пута</w:t>
      </w:r>
      <w:r>
        <w:rPr>
          <w:color w:val="231F20"/>
          <w:spacing w:val="-4"/>
        </w:rPr>
        <w:t> </w:t>
      </w:r>
      <w:r>
        <w:rPr>
          <w:color w:val="231F20"/>
          <w:spacing w:val="-3"/>
        </w:rPr>
        <w:t>од</w:t>
      </w:r>
      <w:r>
        <w:rPr>
          <w:color w:val="231F20"/>
          <w:spacing w:val="-4"/>
        </w:rPr>
        <w:t> </w:t>
      </w:r>
      <w:r>
        <w:rPr>
          <w:color w:val="231F20"/>
        </w:rPr>
        <w:t>2х3,25 m, за пројектну брзину </w:t>
      </w:r>
      <w:r>
        <w:rPr>
          <w:color w:val="231F20"/>
          <w:spacing w:val="-3"/>
        </w:rPr>
        <w:t>од </w:t>
      </w:r>
      <w:r>
        <w:rPr>
          <w:color w:val="231F20"/>
        </w:rPr>
        <w:t>50</w:t>
      </w:r>
      <w:r>
        <w:rPr>
          <w:color w:val="231F20"/>
          <w:spacing w:val="-1"/>
        </w:rPr>
        <w:t> </w:t>
      </w:r>
      <w:r>
        <w:rPr>
          <w:color w:val="231F20"/>
        </w:rPr>
        <w:t>km/h.</w:t>
      </w:r>
    </w:p>
    <w:p>
      <w:pPr>
        <w:pStyle w:val="BodyText"/>
        <w:spacing w:line="232" w:lineRule="auto"/>
        <w:ind w:left="171" w:right="38" w:firstLine="396"/>
      </w:pPr>
      <w:r>
        <w:rPr>
          <w:color w:val="231F20"/>
        </w:rPr>
        <w:t>На делу индустријског колосека, од km: 12+550 до km: 13+700, такође је предвиђена девијација локалног асфалтног пута за село Дрмно, која ће истовремено служити као обилазница око села за теретна возила. Предвиђена ширина пута је 6,5 m, а дужи- на девијације око 1.360 m.</w:t>
      </w:r>
    </w:p>
    <w:p>
      <w:pPr>
        <w:pStyle w:val="BodyText"/>
        <w:spacing w:line="232" w:lineRule="auto"/>
        <w:ind w:left="171" w:right="38" w:firstLine="396"/>
      </w:pPr>
      <w:r>
        <w:rPr>
          <w:color w:val="231F20"/>
        </w:rPr>
        <w:t>Предвиђено је да се путни прелази у km: 8+435 и у km: 12+677 опреме </w:t>
      </w:r>
      <w:r>
        <w:rPr>
          <w:color w:val="231F20"/>
          <w:spacing w:val="-3"/>
        </w:rPr>
        <w:t>аутоматским </w:t>
      </w:r>
      <w:r>
        <w:rPr>
          <w:color w:val="231F20"/>
        </w:rPr>
        <w:t>уређајима за обезбеђење саобраћаја са контролним сигналима. Путни прелаз у km: 8+435 опремиће се и уређајем за ручно постављање браника, </w:t>
      </w:r>
      <w:r>
        <w:rPr>
          <w:color w:val="231F20"/>
          <w:spacing w:val="-3"/>
        </w:rPr>
        <w:t>који </w:t>
      </w:r>
      <w:r>
        <w:rPr>
          <w:color w:val="231F20"/>
        </w:rPr>
        <w:t>би се користио у случају маневарског рада у укрсници. Предвиђено је да се путни прелаз у km: 13+788 опреми тастерским уређајем за обезбеђење саобраћаја , којим ће </w:t>
      </w:r>
      <w:r>
        <w:rPr>
          <w:color w:val="231F20"/>
          <w:spacing w:val="-3"/>
        </w:rPr>
        <w:t>руковати </w:t>
      </w:r>
      <w:r>
        <w:rPr>
          <w:color w:val="231F20"/>
        </w:rPr>
        <w:t>пословођа саобраћаја у ТЕ „Косто- лац</w:t>
      </w:r>
      <w:r>
        <w:rPr>
          <w:color w:val="231F20"/>
          <w:spacing w:val="-2"/>
        </w:rPr>
        <w:t> </w:t>
      </w:r>
      <w:r>
        <w:rPr>
          <w:color w:val="231F20"/>
        </w:rPr>
        <w:t>Б”.</w:t>
      </w:r>
    </w:p>
    <w:p>
      <w:pPr>
        <w:pStyle w:val="BodyText"/>
        <w:spacing w:line="232" w:lineRule="auto"/>
        <w:ind w:left="171" w:right="38" w:firstLine="396"/>
      </w:pPr>
      <w:r>
        <w:rPr>
          <w:color w:val="231F20"/>
        </w:rPr>
        <w:t>На железничкој прузи, испред путног прелаза, морају бити постављени прописани сигнални знакови за обавештавање возног особља о приближавању воза путном прелазу и о обавези давања прописаних звучних сигналних звучних сигнала.</w:t>
      </w:r>
    </w:p>
    <w:p>
      <w:pPr>
        <w:pStyle w:val="BodyText"/>
        <w:spacing w:line="232" w:lineRule="auto"/>
        <w:ind w:left="171" w:right="38" w:firstLine="397"/>
      </w:pPr>
      <w:r>
        <w:rPr>
          <w:color w:val="231F20"/>
        </w:rPr>
        <w:t>Осим ова три путо-пружна прелаза, који ће бити опремљени аутоматским уређајима за обезбеђење саобраћаја, полубраницима и светлосним сигналима, остали путни прелази ће бити обезбеђе- ни збаковима вертикалне друмске сигнализације, имајући у виду мали обим саобраћаја, пре свега пољопривредних машина.</w:t>
      </w:r>
    </w:p>
    <w:p>
      <w:pPr>
        <w:pStyle w:val="BodyText"/>
        <w:spacing w:line="232" w:lineRule="auto" w:before="78"/>
        <w:ind w:left="1060" w:right="343" w:hanging="890"/>
        <w:jc w:val="left"/>
      </w:pPr>
      <w:r>
        <w:rPr/>
        <w:br w:type="column"/>
      </w:r>
      <w:r>
        <w:rPr>
          <w:color w:val="231F20"/>
        </w:rPr>
        <w:t>Табела 9.2: Путно-пружни прелази на траси индустријског колосека</w:t>
      </w:r>
    </w:p>
    <w:p>
      <w:pPr>
        <w:pStyle w:val="BodyText"/>
        <w:spacing w:before="3"/>
        <w:ind w:left="0"/>
        <w:jc w:val="left"/>
        <w:rPr>
          <w:sz w:val="3"/>
        </w:rPr>
      </w:pPr>
    </w:p>
    <w:p>
      <w:pPr>
        <w:pStyle w:val="BodyText"/>
        <w:jc w:val="left"/>
        <w:rPr>
          <w:sz w:val="20"/>
        </w:rPr>
      </w:pPr>
      <w:r>
        <w:rPr>
          <w:sz w:val="20"/>
        </w:rPr>
        <w:drawing>
          <wp:inline distT="0" distB="0" distL="0" distR="0">
            <wp:extent cx="3200342" cy="3920490"/>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3200342" cy="3920490"/>
                    </a:xfrm>
                    <a:prstGeom prst="rect">
                      <a:avLst/>
                    </a:prstGeom>
                  </pic:spPr>
                </pic:pic>
              </a:graphicData>
            </a:graphic>
          </wp:inline>
        </w:drawing>
      </w:r>
      <w:r>
        <w:rPr>
          <w:sz w:val="20"/>
        </w:rPr>
      </w:r>
    </w:p>
    <w:p>
      <w:pPr>
        <w:pStyle w:val="BodyText"/>
        <w:spacing w:before="9"/>
        <w:ind w:left="0"/>
        <w:jc w:val="left"/>
        <w:rPr>
          <w:sz w:val="15"/>
        </w:rPr>
      </w:pPr>
    </w:p>
    <w:p>
      <w:pPr>
        <w:pStyle w:val="BodyText"/>
        <w:spacing w:line="232" w:lineRule="auto"/>
        <w:ind w:right="411" w:firstLine="396"/>
      </w:pPr>
      <w:r>
        <w:rPr>
          <w:color w:val="231F20"/>
        </w:rPr>
        <w:t>Предложени</w:t>
      </w:r>
      <w:r>
        <w:rPr>
          <w:color w:val="231F20"/>
          <w:spacing w:val="-12"/>
        </w:rPr>
        <w:t> </w:t>
      </w:r>
      <w:r>
        <w:rPr>
          <w:color w:val="231F20"/>
        </w:rPr>
        <w:t>број</w:t>
      </w:r>
      <w:r>
        <w:rPr>
          <w:color w:val="231F20"/>
          <w:spacing w:val="-12"/>
        </w:rPr>
        <w:t> </w:t>
      </w:r>
      <w:r>
        <w:rPr>
          <w:color w:val="231F20"/>
        </w:rPr>
        <w:t>и</w:t>
      </w:r>
      <w:r>
        <w:rPr>
          <w:color w:val="231F20"/>
          <w:spacing w:val="-12"/>
        </w:rPr>
        <w:t> </w:t>
      </w:r>
      <w:r>
        <w:rPr>
          <w:color w:val="231F20"/>
        </w:rPr>
        <w:t>локације</w:t>
      </w:r>
      <w:r>
        <w:rPr>
          <w:color w:val="231F20"/>
          <w:spacing w:val="-12"/>
        </w:rPr>
        <w:t> </w:t>
      </w:r>
      <w:r>
        <w:rPr>
          <w:color w:val="231F20"/>
        </w:rPr>
        <w:t>путних</w:t>
      </w:r>
      <w:r>
        <w:rPr>
          <w:color w:val="231F20"/>
          <w:spacing w:val="-12"/>
        </w:rPr>
        <w:t> </w:t>
      </w:r>
      <w:r>
        <w:rPr>
          <w:color w:val="231F20"/>
        </w:rPr>
        <w:t>прелаза</w:t>
      </w:r>
      <w:r>
        <w:rPr>
          <w:color w:val="231F20"/>
          <w:spacing w:val="-12"/>
        </w:rPr>
        <w:t> </w:t>
      </w:r>
      <w:r>
        <w:rPr>
          <w:color w:val="231F20"/>
        </w:rPr>
        <w:t>некатегорисаних путева </w:t>
      </w:r>
      <w:r>
        <w:rPr>
          <w:color w:val="231F20"/>
          <w:spacing w:val="-3"/>
        </w:rPr>
        <w:t>преко </w:t>
      </w:r>
      <w:r>
        <w:rPr>
          <w:color w:val="231F20"/>
        </w:rPr>
        <w:t>железничке инфраструктуре је потребно проверити кроз</w:t>
      </w:r>
      <w:r>
        <w:rPr>
          <w:color w:val="231F20"/>
          <w:spacing w:val="-7"/>
        </w:rPr>
        <w:t> </w:t>
      </w:r>
      <w:r>
        <w:rPr>
          <w:color w:val="231F20"/>
        </w:rPr>
        <w:t>израду</w:t>
      </w:r>
      <w:r>
        <w:rPr>
          <w:color w:val="231F20"/>
          <w:spacing w:val="-7"/>
        </w:rPr>
        <w:t> </w:t>
      </w:r>
      <w:r>
        <w:rPr>
          <w:color w:val="231F20"/>
          <w:spacing w:val="-3"/>
        </w:rPr>
        <w:t>Главног</w:t>
      </w:r>
      <w:r>
        <w:rPr>
          <w:color w:val="231F20"/>
          <w:spacing w:val="-6"/>
        </w:rPr>
        <w:t> </w:t>
      </w:r>
      <w:r>
        <w:rPr>
          <w:color w:val="231F20"/>
        </w:rPr>
        <w:t>пројекта</w:t>
      </w:r>
      <w:r>
        <w:rPr>
          <w:color w:val="231F20"/>
          <w:spacing w:val="-7"/>
        </w:rPr>
        <w:t> </w:t>
      </w:r>
      <w:r>
        <w:rPr>
          <w:color w:val="231F20"/>
        </w:rPr>
        <w:t>индустријског</w:t>
      </w:r>
      <w:r>
        <w:rPr>
          <w:color w:val="231F20"/>
          <w:spacing w:val="-6"/>
        </w:rPr>
        <w:t> </w:t>
      </w:r>
      <w:r>
        <w:rPr>
          <w:color w:val="231F20"/>
        </w:rPr>
        <w:t>колосека,</w:t>
      </w:r>
      <w:r>
        <w:rPr>
          <w:color w:val="231F20"/>
          <w:spacing w:val="-7"/>
        </w:rPr>
        <w:t> </w:t>
      </w:r>
      <w:r>
        <w:rPr>
          <w:color w:val="231F20"/>
        </w:rPr>
        <w:t>у</w:t>
      </w:r>
      <w:r>
        <w:rPr>
          <w:color w:val="231F20"/>
          <w:spacing w:val="-6"/>
        </w:rPr>
        <w:t> </w:t>
      </w:r>
      <w:r>
        <w:rPr>
          <w:color w:val="231F20"/>
        </w:rPr>
        <w:t>циљу</w:t>
      </w:r>
      <w:r>
        <w:rPr>
          <w:color w:val="231F20"/>
          <w:spacing w:val="-6"/>
        </w:rPr>
        <w:t> </w:t>
      </w:r>
      <w:r>
        <w:rPr>
          <w:color w:val="231F20"/>
        </w:rPr>
        <w:t>сма- њења њиховог броја у складу са одредбама Закона о железници („Службени гласник РС”, број</w:t>
      </w:r>
      <w:r>
        <w:rPr>
          <w:color w:val="231F20"/>
          <w:spacing w:val="-3"/>
        </w:rPr>
        <w:t> </w:t>
      </w:r>
      <w:r>
        <w:rPr>
          <w:color w:val="231F20"/>
        </w:rPr>
        <w:t>18/05).</w:t>
      </w:r>
    </w:p>
    <w:p>
      <w:pPr>
        <w:pStyle w:val="BodyText"/>
        <w:spacing w:line="232" w:lineRule="auto"/>
        <w:ind w:left="171" w:right="411" w:firstLine="396"/>
      </w:pPr>
      <w:r>
        <w:rPr>
          <w:color w:val="231F20"/>
        </w:rPr>
        <w:t>Изграђени путни прелаз у </w:t>
      </w:r>
      <w:r>
        <w:rPr>
          <w:color w:val="231F20"/>
          <w:spacing w:val="-3"/>
        </w:rPr>
        <w:t>нивоу </w:t>
      </w:r>
      <w:r>
        <w:rPr>
          <w:color w:val="231F20"/>
        </w:rPr>
        <w:t>сматра се саставним делом железничке</w:t>
      </w:r>
      <w:r>
        <w:rPr>
          <w:color w:val="231F20"/>
          <w:spacing w:val="-5"/>
        </w:rPr>
        <w:t> </w:t>
      </w:r>
      <w:r>
        <w:rPr>
          <w:color w:val="231F20"/>
        </w:rPr>
        <w:t>инфраструктуре</w:t>
      </w:r>
      <w:r>
        <w:rPr>
          <w:color w:val="231F20"/>
          <w:spacing w:val="-5"/>
        </w:rPr>
        <w:t> </w:t>
      </w:r>
      <w:r>
        <w:rPr>
          <w:color w:val="231F20"/>
        </w:rPr>
        <w:t>са</w:t>
      </w:r>
      <w:r>
        <w:rPr>
          <w:color w:val="231F20"/>
          <w:spacing w:val="-5"/>
        </w:rPr>
        <w:t> </w:t>
      </w:r>
      <w:r>
        <w:rPr>
          <w:color w:val="231F20"/>
        </w:rPr>
        <w:t>обе</w:t>
      </w:r>
      <w:r>
        <w:rPr>
          <w:color w:val="231F20"/>
          <w:spacing w:val="-5"/>
        </w:rPr>
        <w:t> </w:t>
      </w:r>
      <w:r>
        <w:rPr>
          <w:color w:val="231F20"/>
        </w:rPr>
        <w:t>стране</w:t>
      </w:r>
      <w:r>
        <w:rPr>
          <w:color w:val="231F20"/>
          <w:spacing w:val="-5"/>
        </w:rPr>
        <w:t> </w:t>
      </w:r>
      <w:r>
        <w:rPr>
          <w:color w:val="231F20"/>
        </w:rPr>
        <w:t>колосека</w:t>
      </w:r>
      <w:r>
        <w:rPr>
          <w:color w:val="231F20"/>
          <w:spacing w:val="-5"/>
        </w:rPr>
        <w:t> </w:t>
      </w:r>
      <w:r>
        <w:rPr>
          <w:color w:val="231F20"/>
        </w:rPr>
        <w:t>у</w:t>
      </w:r>
      <w:r>
        <w:rPr>
          <w:color w:val="231F20"/>
          <w:spacing w:val="-5"/>
        </w:rPr>
        <w:t> </w:t>
      </w:r>
      <w:r>
        <w:rPr>
          <w:color w:val="231F20"/>
        </w:rPr>
        <w:t>ширини</w:t>
      </w:r>
      <w:r>
        <w:rPr>
          <w:color w:val="231F20"/>
          <w:spacing w:val="-5"/>
        </w:rPr>
        <w:t> </w:t>
      </w:r>
      <w:r>
        <w:rPr>
          <w:color w:val="231F20"/>
          <w:spacing w:val="-3"/>
        </w:rPr>
        <w:t>од</w:t>
      </w:r>
      <w:r>
        <w:rPr>
          <w:color w:val="231F20"/>
          <w:spacing w:val="-5"/>
        </w:rPr>
        <w:t> </w:t>
      </w:r>
      <w:r>
        <w:rPr>
          <w:color w:val="231F20"/>
        </w:rPr>
        <w:t>3 m рачунајући </w:t>
      </w:r>
      <w:r>
        <w:rPr>
          <w:color w:val="231F20"/>
          <w:spacing w:val="-3"/>
        </w:rPr>
        <w:t>од </w:t>
      </w:r>
      <w:r>
        <w:rPr>
          <w:color w:val="231F20"/>
        </w:rPr>
        <w:t>осе колосека. </w:t>
      </w:r>
      <w:r>
        <w:rPr>
          <w:color w:val="231F20"/>
          <w:spacing w:val="-3"/>
        </w:rPr>
        <w:t>Коловоз </w:t>
      </w:r>
      <w:r>
        <w:rPr>
          <w:color w:val="231F20"/>
        </w:rPr>
        <w:t>пута на путним прелазима мора бити у </w:t>
      </w:r>
      <w:r>
        <w:rPr>
          <w:color w:val="231F20"/>
          <w:spacing w:val="-3"/>
        </w:rPr>
        <w:t>нивоу </w:t>
      </w:r>
      <w:r>
        <w:rPr>
          <w:color w:val="231F20"/>
        </w:rPr>
        <w:t>са ГИШ-ом у дужини </w:t>
      </w:r>
      <w:r>
        <w:rPr>
          <w:color w:val="231F20"/>
          <w:spacing w:val="-3"/>
        </w:rPr>
        <w:t>од </w:t>
      </w:r>
      <w:r>
        <w:rPr>
          <w:color w:val="231F20"/>
        </w:rPr>
        <w:t>најмање 3 m са обе стране</w:t>
      </w:r>
      <w:r>
        <w:rPr>
          <w:color w:val="231F20"/>
          <w:spacing w:val="-8"/>
        </w:rPr>
        <w:t> </w:t>
      </w:r>
      <w:r>
        <w:rPr>
          <w:color w:val="231F20"/>
        </w:rPr>
        <w:t>пруге,</w:t>
      </w:r>
      <w:r>
        <w:rPr>
          <w:color w:val="231F20"/>
          <w:spacing w:val="-8"/>
        </w:rPr>
        <w:t> </w:t>
      </w:r>
      <w:r>
        <w:rPr>
          <w:color w:val="231F20"/>
        </w:rPr>
        <w:t>мерено</w:t>
      </w:r>
      <w:r>
        <w:rPr>
          <w:color w:val="231F20"/>
          <w:spacing w:val="-8"/>
        </w:rPr>
        <w:t> </w:t>
      </w:r>
      <w:r>
        <w:rPr>
          <w:color w:val="231F20"/>
          <w:spacing w:val="-3"/>
        </w:rPr>
        <w:t>од</w:t>
      </w:r>
      <w:r>
        <w:rPr>
          <w:color w:val="231F20"/>
          <w:spacing w:val="-8"/>
        </w:rPr>
        <w:t> </w:t>
      </w:r>
      <w:r>
        <w:rPr>
          <w:color w:val="231F20"/>
        </w:rPr>
        <w:t>осе</w:t>
      </w:r>
      <w:r>
        <w:rPr>
          <w:color w:val="231F20"/>
          <w:spacing w:val="-8"/>
        </w:rPr>
        <w:t> </w:t>
      </w:r>
      <w:r>
        <w:rPr>
          <w:color w:val="231F20"/>
        </w:rPr>
        <w:t>колосека,</w:t>
      </w:r>
      <w:r>
        <w:rPr>
          <w:color w:val="231F20"/>
          <w:spacing w:val="-8"/>
        </w:rPr>
        <w:t> </w:t>
      </w:r>
      <w:r>
        <w:rPr>
          <w:color w:val="231F20"/>
        </w:rPr>
        <w:t>док</w:t>
      </w:r>
      <w:r>
        <w:rPr>
          <w:color w:val="231F20"/>
          <w:spacing w:val="-8"/>
        </w:rPr>
        <w:t> </w:t>
      </w:r>
      <w:r>
        <w:rPr>
          <w:color w:val="231F20"/>
        </w:rPr>
        <w:t>је</w:t>
      </w:r>
      <w:r>
        <w:rPr>
          <w:color w:val="231F20"/>
          <w:spacing w:val="-8"/>
        </w:rPr>
        <w:t> </w:t>
      </w:r>
      <w:r>
        <w:rPr>
          <w:color w:val="231F20"/>
        </w:rPr>
        <w:t>максимални</w:t>
      </w:r>
      <w:r>
        <w:rPr>
          <w:color w:val="231F20"/>
          <w:spacing w:val="-8"/>
        </w:rPr>
        <w:t> </w:t>
      </w:r>
      <w:r>
        <w:rPr>
          <w:color w:val="231F20"/>
        </w:rPr>
        <w:t>нагиб</w:t>
      </w:r>
      <w:r>
        <w:rPr>
          <w:color w:val="231F20"/>
          <w:spacing w:val="-8"/>
        </w:rPr>
        <w:t> </w:t>
      </w:r>
      <w:r>
        <w:rPr>
          <w:color w:val="231F20"/>
        </w:rPr>
        <w:t>пу- та 3% у дужини </w:t>
      </w:r>
      <w:r>
        <w:rPr>
          <w:color w:val="231F20"/>
          <w:spacing w:val="-3"/>
        </w:rPr>
        <w:t>од </w:t>
      </w:r>
      <w:r>
        <w:rPr>
          <w:color w:val="231F20"/>
        </w:rPr>
        <w:t>најмање 20 m. На свим прелазима је планирана изградња отресишта </w:t>
      </w:r>
      <w:r>
        <w:rPr>
          <w:color w:val="231F20"/>
          <w:spacing w:val="-3"/>
        </w:rPr>
        <w:t>од </w:t>
      </w:r>
      <w:r>
        <w:rPr>
          <w:color w:val="231F20"/>
        </w:rPr>
        <w:t>асфалтног колосека, имајући у виду да је на њима предвиђено саобраћање пољопривредних машина и ме- ханизације.</w:t>
      </w:r>
    </w:p>
    <w:p>
      <w:pPr>
        <w:pStyle w:val="BodyText"/>
        <w:spacing w:before="154"/>
        <w:ind w:left="1137"/>
        <w:jc w:val="left"/>
      </w:pPr>
      <w:r>
        <w:rPr>
          <w:color w:val="231F20"/>
        </w:rPr>
        <w:t>Укрштања са водоводом и канализацијом</w:t>
      </w:r>
    </w:p>
    <w:p>
      <w:pPr>
        <w:pStyle w:val="BodyText"/>
        <w:spacing w:before="2"/>
        <w:ind w:left="0"/>
        <w:jc w:val="left"/>
        <w:rPr>
          <w:sz w:val="17"/>
        </w:rPr>
      </w:pPr>
    </w:p>
    <w:p>
      <w:pPr>
        <w:pStyle w:val="BodyText"/>
        <w:spacing w:line="232" w:lineRule="auto" w:before="1"/>
        <w:ind w:left="171" w:right="411" w:firstLine="396"/>
      </w:pPr>
      <w:r>
        <w:rPr>
          <w:color w:val="231F20"/>
        </w:rPr>
        <w:t>Траса железничке пруге укршта се са трасом постојећег во- довода пречника Ø100 на стационажи km: 8+520 </w:t>
      </w:r>
      <w:r>
        <w:rPr>
          <w:color w:val="231F20"/>
          <w:spacing w:val="-3"/>
        </w:rPr>
        <w:t>под углом од </w:t>
      </w:r>
      <w:r>
        <w:rPr>
          <w:color w:val="231F20"/>
        </w:rPr>
        <w:t>15°. </w:t>
      </w:r>
      <w:r>
        <w:rPr>
          <w:color w:val="231F20"/>
          <w:spacing w:val="-4"/>
        </w:rPr>
        <w:t>Како </w:t>
      </w:r>
      <w:r>
        <w:rPr>
          <w:color w:val="231F20"/>
        </w:rPr>
        <w:t>укрштање мора бити </w:t>
      </w:r>
      <w:r>
        <w:rPr>
          <w:color w:val="231F20"/>
          <w:spacing w:val="-3"/>
        </w:rPr>
        <w:t>под </w:t>
      </w:r>
      <w:r>
        <w:rPr>
          <w:color w:val="231F20"/>
        </w:rPr>
        <w:t>правим </w:t>
      </w:r>
      <w:r>
        <w:rPr>
          <w:color w:val="231F20"/>
          <w:spacing w:val="-3"/>
        </w:rPr>
        <w:t>углом, </w:t>
      </w:r>
      <w:r>
        <w:rPr>
          <w:color w:val="231F20"/>
        </w:rPr>
        <w:t>предвиђа се поста- вљање постојеће цеви Ø 100 у заштитну цев пречника Ø 300.</w:t>
      </w:r>
    </w:p>
    <w:p>
      <w:pPr>
        <w:pStyle w:val="BodyText"/>
        <w:spacing w:line="232" w:lineRule="auto"/>
        <w:ind w:left="171" w:right="411" w:firstLine="396"/>
      </w:pPr>
      <w:r>
        <w:rPr>
          <w:color w:val="231F20"/>
        </w:rPr>
        <w:t>На km: 13+675 траса пруге се укршта са водоводом пречника Ø 200 под правим углом, те се предвиђа постављање заштитне це- ви пречника Ø 400 на месту укрштања.</w:t>
      </w:r>
    </w:p>
    <w:p>
      <w:pPr>
        <w:pStyle w:val="BodyText"/>
        <w:spacing w:line="232" w:lineRule="auto"/>
        <w:ind w:right="411" w:firstLine="397"/>
      </w:pPr>
      <w:r>
        <w:rPr>
          <w:color w:val="231F20"/>
        </w:rPr>
        <w:t>На стационажи железничке пруге km 13+792 постојећа водо- водна цев пречника Ø200 укршта се са трасом индустријске пруге </w:t>
      </w:r>
      <w:r>
        <w:rPr>
          <w:color w:val="231F20"/>
          <w:spacing w:val="-3"/>
        </w:rPr>
        <w:t>под углом од </w:t>
      </w:r>
      <w:r>
        <w:rPr>
          <w:color w:val="231F20"/>
        </w:rPr>
        <w:t>90º те се предвиђа постављање заштитне цеви Ø 400 на месту укрштаја. На крајевима заштитне цеви на минималном прописаном </w:t>
      </w:r>
      <w:r>
        <w:rPr>
          <w:color w:val="231F20"/>
          <w:spacing w:val="-3"/>
        </w:rPr>
        <w:t>удаљењу од </w:t>
      </w:r>
      <w:r>
        <w:rPr>
          <w:color w:val="231F20"/>
        </w:rPr>
        <w:t>ножице насипа постављени су водоводни шахтови.</w:t>
      </w:r>
    </w:p>
    <w:p>
      <w:pPr>
        <w:pStyle w:val="BodyText"/>
        <w:spacing w:line="232" w:lineRule="auto"/>
        <w:ind w:right="412" w:firstLine="396"/>
      </w:pPr>
      <w:r>
        <w:rPr>
          <w:color w:val="231F20"/>
        </w:rPr>
        <w:t>На km 13+920 планирана траса пруге пресеца постојећи ди- стрибутивни водовод Ø200 како се то дешава и на км 14+083 по- стојећи водовод ће се изместити паралелним вођењем са планира- ном трасом пруге.</w:t>
      </w:r>
    </w:p>
    <w:p>
      <w:pPr>
        <w:pStyle w:val="BodyText"/>
        <w:spacing w:line="232" w:lineRule="auto"/>
        <w:ind w:right="412" w:firstLine="396"/>
      </w:pPr>
      <w:r>
        <w:rPr>
          <w:color w:val="231F20"/>
        </w:rPr>
        <w:t>Планирана траса пруге пресеца постојећу кишну и техноло- шки канализацију на три места. Потребно је постојеће обезбедити заштитним ПЕХД цевима Ø500.</w:t>
      </w:r>
    </w:p>
    <w:p>
      <w:pPr>
        <w:pStyle w:val="BodyText"/>
        <w:spacing w:line="232" w:lineRule="auto"/>
        <w:ind w:right="412" w:firstLine="396"/>
      </w:pPr>
      <w:r>
        <w:rPr>
          <w:color w:val="231F20"/>
          <w:spacing w:val="-3"/>
        </w:rPr>
        <w:t>Сва </w:t>
      </w:r>
      <w:r>
        <w:rPr>
          <w:color w:val="231F20"/>
        </w:rPr>
        <w:t>планирана и </w:t>
      </w:r>
      <w:r>
        <w:rPr>
          <w:color w:val="231F20"/>
          <w:spacing w:val="-3"/>
        </w:rPr>
        <w:t>евентуална </w:t>
      </w:r>
      <w:r>
        <w:rPr>
          <w:color w:val="231F20"/>
        </w:rPr>
        <w:t>укрштања </w:t>
      </w:r>
      <w:r>
        <w:rPr>
          <w:color w:val="231F20"/>
          <w:spacing w:val="-4"/>
        </w:rPr>
        <w:t>водоводних </w:t>
      </w:r>
      <w:r>
        <w:rPr>
          <w:color w:val="231F20"/>
        </w:rPr>
        <w:t>и канали- зационих цеви са </w:t>
      </w:r>
      <w:r>
        <w:rPr>
          <w:color w:val="231F20"/>
          <w:spacing w:val="-4"/>
        </w:rPr>
        <w:t>пругом </w:t>
      </w:r>
      <w:r>
        <w:rPr>
          <w:color w:val="231F20"/>
        </w:rPr>
        <w:t>морају се извести у складу са </w:t>
      </w:r>
      <w:r>
        <w:rPr>
          <w:color w:val="231F20"/>
          <w:spacing w:val="-3"/>
        </w:rPr>
        <w:t>важећим техничким стандардима, </w:t>
      </w:r>
      <w:r>
        <w:rPr>
          <w:color w:val="231F20"/>
        </w:rPr>
        <w:t>по </w:t>
      </w:r>
      <w:r>
        <w:rPr>
          <w:color w:val="231F20"/>
          <w:spacing w:val="-3"/>
        </w:rPr>
        <w:t>могућству механичким </w:t>
      </w:r>
      <w:r>
        <w:rPr>
          <w:color w:val="231F20"/>
          <w:spacing w:val="-4"/>
        </w:rPr>
        <w:t>подбушивањем.</w:t>
      </w:r>
    </w:p>
    <w:p>
      <w:pPr>
        <w:spacing w:after="0" w:line="232" w:lineRule="auto"/>
        <w:sectPr>
          <w:pgSz w:w="12480" w:h="15690"/>
          <w:pgMar w:top="120" w:bottom="280" w:left="680" w:right="720"/>
          <w:cols w:num="2" w:equalWidth="0">
            <w:col w:w="5315" w:space="71"/>
            <w:col w:w="5694"/>
          </w:cols>
        </w:sectPr>
      </w:pPr>
    </w:p>
    <w:p>
      <w:pPr>
        <w:pStyle w:val="BodyText"/>
        <w:spacing w:before="68"/>
        <w:ind w:left="1595"/>
        <w:jc w:val="left"/>
      </w:pPr>
      <w:r>
        <w:rPr/>
        <w:pict>
          <v:line style="position:absolute;mso-position-horizontal-relative:page;mso-position-vertical-relative:page;z-index:4768" from="318.897614pt,11.942451pt" to="318.897614pt,748.950451pt" stroked="true" strokeweight=".6pt" strokecolor="#231f20">
            <v:stroke dashstyle="solid"/>
            <w10:wrap type="none"/>
          </v:line>
        </w:pict>
      </w:r>
      <w:r>
        <w:rPr>
          <w:color w:val="231F20"/>
        </w:rPr>
        <w:t>Укрштања са електричним водовима</w:t>
      </w:r>
    </w:p>
    <w:p>
      <w:pPr>
        <w:pStyle w:val="BodyText"/>
        <w:spacing w:before="6"/>
        <w:ind w:left="0"/>
        <w:jc w:val="left"/>
        <w:rPr>
          <w:sz w:val="17"/>
        </w:rPr>
      </w:pPr>
    </w:p>
    <w:p>
      <w:pPr>
        <w:pStyle w:val="BodyText"/>
        <w:spacing w:line="235" w:lineRule="auto"/>
        <w:ind w:left="453" w:right="1" w:firstLine="397"/>
      </w:pPr>
      <w:r>
        <w:rPr>
          <w:color w:val="231F20"/>
        </w:rPr>
        <w:t>Надземни водови напона 10(6)kV на местима укрштаја са пругом и путем се каблирају, а водови напона 110kV и 400kV се издижу на довољну висину изнад пруге и пута, уз механичко и електрично појачавање у складу са прописима, а траса пруге се прилагођава постојећем распореду стубова далековода. Трасе ви- соконапонских далековода представљају условно повољне повр- шине за пролазак трасе пруге, с тим да паралелно пружање трасе пруге и трасе далековода представља веће ограничење од попреч- ног укрштања траса.</w:t>
      </w:r>
    </w:p>
    <w:p>
      <w:pPr>
        <w:pStyle w:val="BodyText"/>
        <w:spacing w:line="235" w:lineRule="auto" w:before="1"/>
        <w:ind w:left="453" w:right="1" w:firstLine="396"/>
      </w:pPr>
      <w:r>
        <w:rPr>
          <w:color w:val="231F20"/>
        </w:rPr>
        <w:t>Поред колизије са далеководима постоји и колизија са осве- тљењем саобраћајнице у кругу електране тако да је неопходно, на одређеној дужини, изместити постојеће осветљење које је изведе- но светиљкама постављеним на стубове висине 10 m.</w:t>
      </w:r>
    </w:p>
    <w:p>
      <w:pPr>
        <w:pStyle w:val="BodyText"/>
        <w:spacing w:line="235" w:lineRule="auto" w:before="170"/>
        <w:ind w:left="1628" w:right="1174"/>
        <w:jc w:val="center"/>
      </w:pPr>
      <w:r>
        <w:rPr>
          <w:color w:val="231F20"/>
        </w:rPr>
        <w:t>Укрштања са транспортном траком за угаљ</w:t>
      </w:r>
    </w:p>
    <w:p>
      <w:pPr>
        <w:pStyle w:val="BodyText"/>
        <w:spacing w:before="7"/>
        <w:ind w:left="0"/>
        <w:jc w:val="left"/>
        <w:rPr>
          <w:sz w:val="17"/>
        </w:rPr>
      </w:pPr>
    </w:p>
    <w:p>
      <w:pPr>
        <w:pStyle w:val="BodyText"/>
        <w:spacing w:line="235" w:lineRule="auto"/>
        <w:ind w:left="454" w:firstLine="396"/>
      </w:pPr>
      <w:r>
        <w:rPr>
          <w:color w:val="231F20"/>
        </w:rPr>
        <w:t>Постојећи тракасти транспортер прима угаљ у расподелном </w:t>
      </w:r>
      <w:r>
        <w:rPr>
          <w:color w:val="231F20"/>
          <w:spacing w:val="-3"/>
        </w:rPr>
        <w:t>бункеру </w:t>
      </w:r>
      <w:r>
        <w:rPr>
          <w:color w:val="231F20"/>
        </w:rPr>
        <w:t>ТЕ „Костолац Б” и системом тракастих транспортера снабдева угљем ТЕ „Костолац А”. Планирани индустријски </w:t>
      </w:r>
      <w:r>
        <w:rPr>
          <w:color w:val="231F20"/>
          <w:spacing w:val="-4"/>
        </w:rPr>
        <w:t>ко- </w:t>
      </w:r>
      <w:r>
        <w:rPr>
          <w:color w:val="231F20"/>
        </w:rPr>
        <w:t>лосек пресеца трасу тракастог транспортера, што условљава из- мештање. Као оптимално решење предвиђа се спуштање траке транспортера</w:t>
      </w:r>
      <w:r>
        <w:rPr>
          <w:color w:val="231F20"/>
          <w:spacing w:val="-12"/>
        </w:rPr>
        <w:t> </w:t>
      </w:r>
      <w:r>
        <w:rPr>
          <w:color w:val="231F20"/>
        </w:rPr>
        <w:t>испод</w:t>
      </w:r>
      <w:r>
        <w:rPr>
          <w:color w:val="231F20"/>
          <w:spacing w:val="-12"/>
        </w:rPr>
        <w:t> </w:t>
      </w:r>
      <w:r>
        <w:rPr>
          <w:color w:val="231F20"/>
        </w:rPr>
        <w:t>колосека</w:t>
      </w:r>
      <w:r>
        <w:rPr>
          <w:color w:val="231F20"/>
          <w:spacing w:val="-12"/>
        </w:rPr>
        <w:t> </w:t>
      </w:r>
      <w:r>
        <w:rPr>
          <w:color w:val="231F20"/>
        </w:rPr>
        <w:t>изградњом</w:t>
      </w:r>
      <w:r>
        <w:rPr>
          <w:color w:val="231F20"/>
          <w:spacing w:val="-12"/>
        </w:rPr>
        <w:t> </w:t>
      </w:r>
      <w:r>
        <w:rPr>
          <w:color w:val="231F20"/>
        </w:rPr>
        <w:t>плочастог</w:t>
      </w:r>
      <w:r>
        <w:rPr>
          <w:color w:val="231F20"/>
          <w:spacing w:val="-12"/>
        </w:rPr>
        <w:t> </w:t>
      </w:r>
      <w:r>
        <w:rPr>
          <w:color w:val="231F20"/>
        </w:rPr>
        <w:t>пропуста</w:t>
      </w:r>
      <w:r>
        <w:rPr>
          <w:color w:val="231F20"/>
          <w:spacing w:val="-12"/>
        </w:rPr>
        <w:t> </w:t>
      </w:r>
      <w:r>
        <w:rPr>
          <w:color w:val="231F20"/>
        </w:rPr>
        <w:t>отво- ра 5 m. Спуштање траке транспортера је предвиђено на деоници </w:t>
      </w:r>
      <w:r>
        <w:rPr>
          <w:color w:val="231F20"/>
          <w:spacing w:val="-3"/>
        </w:rPr>
        <w:t>од </w:t>
      </w:r>
      <w:r>
        <w:rPr>
          <w:color w:val="231F20"/>
        </w:rPr>
        <w:t>km:0+149,27 до km:0+261,07 изградњом две конкавне кривине радијуса 150 m и једне конвексне кривине радијуса 230 m. Осим изградње пропуста за спровођење траке, </w:t>
      </w:r>
      <w:r>
        <w:rPr>
          <w:color w:val="231F20"/>
          <w:spacing w:val="-2"/>
        </w:rPr>
        <w:t>неопходно </w:t>
      </w:r>
      <w:r>
        <w:rPr>
          <w:color w:val="231F20"/>
        </w:rPr>
        <w:t>је извести и армирано-бетонски потпорни зид у дужини </w:t>
      </w:r>
      <w:r>
        <w:rPr>
          <w:color w:val="231F20"/>
          <w:spacing w:val="-3"/>
        </w:rPr>
        <w:t>од </w:t>
      </w:r>
      <w:r>
        <w:rPr>
          <w:color w:val="231F20"/>
          <w:spacing w:val="-4"/>
        </w:rPr>
        <w:t>око </w:t>
      </w:r>
      <w:r>
        <w:rPr>
          <w:color w:val="231F20"/>
          <w:spacing w:val="-3"/>
        </w:rPr>
        <w:t>110 </w:t>
      </w:r>
      <w:r>
        <w:rPr>
          <w:color w:val="231F20"/>
        </w:rPr>
        <w:t>m, имајући у виду сервисну саобраћајницу </w:t>
      </w:r>
      <w:r>
        <w:rPr>
          <w:color w:val="231F20"/>
          <w:spacing w:val="-3"/>
        </w:rPr>
        <w:t>која </w:t>
      </w:r>
      <w:r>
        <w:rPr>
          <w:color w:val="231F20"/>
        </w:rPr>
        <w:t>се води непосредно уз тран- спортну</w:t>
      </w:r>
      <w:r>
        <w:rPr>
          <w:color w:val="231F20"/>
          <w:spacing w:val="-1"/>
        </w:rPr>
        <w:t> </w:t>
      </w:r>
      <w:r>
        <w:rPr>
          <w:color w:val="231F20"/>
          <w:spacing w:val="-4"/>
        </w:rPr>
        <w:t>траку.</w:t>
      </w:r>
    </w:p>
    <w:p>
      <w:pPr>
        <w:pStyle w:val="BodyText"/>
        <w:spacing w:before="167"/>
        <w:ind w:left="1407"/>
        <w:jc w:val="left"/>
      </w:pPr>
      <w:r>
        <w:rPr>
          <w:color w:val="231F20"/>
        </w:rPr>
        <w:t>Укрштање са водовима телекомуникација</w:t>
      </w:r>
    </w:p>
    <w:p>
      <w:pPr>
        <w:pStyle w:val="BodyText"/>
        <w:spacing w:before="7"/>
        <w:ind w:left="0"/>
        <w:jc w:val="left"/>
        <w:rPr>
          <w:sz w:val="17"/>
        </w:rPr>
      </w:pPr>
    </w:p>
    <w:p>
      <w:pPr>
        <w:pStyle w:val="BodyText"/>
        <w:spacing w:line="235" w:lineRule="auto"/>
        <w:ind w:left="454" w:right="1" w:firstLine="397"/>
      </w:pPr>
      <w:r>
        <w:rPr>
          <w:color w:val="231F20"/>
        </w:rPr>
        <w:t>У зони површинског копа „Дрмно” положен је у пластичну ПЕ цев Ø40 mm, подземни оптички кабл на релацији Дирекција ПК „Дрмно” – Стуб 21 ка Ђердапу. Кабл се протеже од оптичке спојнице на стубу 21 далековода 401/2 до Дирекције ПК Дрмно.</w:t>
      </w:r>
    </w:p>
    <w:p>
      <w:pPr>
        <w:pStyle w:val="BodyText"/>
        <w:spacing w:line="235" w:lineRule="auto"/>
        <w:ind w:left="454" w:right="1" w:firstLine="396"/>
      </w:pPr>
      <w:r>
        <w:rPr>
          <w:color w:val="231F20"/>
        </w:rPr>
        <w:t>У зонама индустријског колосека </w:t>
      </w:r>
      <w:r>
        <w:rPr>
          <w:color w:val="231F20"/>
          <w:spacing w:val="-4"/>
        </w:rPr>
        <w:t>где </w:t>
      </w:r>
      <w:r>
        <w:rPr>
          <w:color w:val="231F20"/>
        </w:rPr>
        <w:t>је ТК кабл паралелно вођен</w:t>
      </w:r>
      <w:r>
        <w:rPr>
          <w:color w:val="231F20"/>
          <w:spacing w:val="-5"/>
        </w:rPr>
        <w:t> </w:t>
      </w:r>
      <w:r>
        <w:rPr>
          <w:color w:val="231F20"/>
        </w:rPr>
        <w:t>са</w:t>
      </w:r>
      <w:r>
        <w:rPr>
          <w:color w:val="231F20"/>
          <w:spacing w:val="-5"/>
        </w:rPr>
        <w:t> </w:t>
      </w:r>
      <w:r>
        <w:rPr>
          <w:color w:val="231F20"/>
        </w:rPr>
        <w:t>трасом</w:t>
      </w:r>
      <w:r>
        <w:rPr>
          <w:color w:val="231F20"/>
          <w:spacing w:val="-5"/>
        </w:rPr>
        <w:t> </w:t>
      </w:r>
      <w:r>
        <w:rPr>
          <w:color w:val="231F20"/>
        </w:rPr>
        <w:t>пруге</w:t>
      </w:r>
      <w:r>
        <w:rPr>
          <w:color w:val="231F20"/>
          <w:spacing w:val="-5"/>
        </w:rPr>
        <w:t> </w:t>
      </w:r>
      <w:r>
        <w:rPr>
          <w:color w:val="231F20"/>
        </w:rPr>
        <w:t>или</w:t>
      </w:r>
      <w:r>
        <w:rPr>
          <w:color w:val="231F20"/>
          <w:spacing w:val="-5"/>
        </w:rPr>
        <w:t> </w:t>
      </w:r>
      <w:r>
        <w:rPr>
          <w:color w:val="231F20"/>
        </w:rPr>
        <w:t>се</w:t>
      </w:r>
      <w:r>
        <w:rPr>
          <w:color w:val="231F20"/>
          <w:spacing w:val="-5"/>
        </w:rPr>
        <w:t> </w:t>
      </w:r>
      <w:r>
        <w:rPr>
          <w:color w:val="231F20"/>
        </w:rPr>
        <w:t>укршта</w:t>
      </w:r>
      <w:r>
        <w:rPr>
          <w:color w:val="231F20"/>
          <w:spacing w:val="-5"/>
        </w:rPr>
        <w:t> </w:t>
      </w:r>
      <w:r>
        <w:rPr>
          <w:color w:val="231F20"/>
        </w:rPr>
        <w:t>директно</w:t>
      </w:r>
      <w:r>
        <w:rPr>
          <w:color w:val="231F20"/>
          <w:spacing w:val="-5"/>
        </w:rPr>
        <w:t> </w:t>
      </w:r>
      <w:r>
        <w:rPr>
          <w:color w:val="231F20"/>
        </w:rPr>
        <w:t>је</w:t>
      </w:r>
      <w:r>
        <w:rPr>
          <w:color w:val="231F20"/>
          <w:spacing w:val="-5"/>
        </w:rPr>
        <w:t> </w:t>
      </w:r>
      <w:r>
        <w:rPr>
          <w:color w:val="231F20"/>
        </w:rPr>
        <w:t>угрожен</w:t>
      </w:r>
      <w:r>
        <w:rPr>
          <w:color w:val="231F20"/>
          <w:spacing w:val="-5"/>
        </w:rPr>
        <w:t> </w:t>
      </w:r>
      <w:r>
        <w:rPr>
          <w:color w:val="231F20"/>
        </w:rPr>
        <w:t>постоје- ћи ТК кабл и мора се предвидети његова</w:t>
      </w:r>
      <w:r>
        <w:rPr>
          <w:color w:val="231F20"/>
          <w:spacing w:val="-8"/>
        </w:rPr>
        <w:t> </w:t>
      </w:r>
      <w:r>
        <w:rPr>
          <w:color w:val="231F20"/>
        </w:rPr>
        <w:t>заштита.</w:t>
      </w:r>
    </w:p>
    <w:p>
      <w:pPr>
        <w:pStyle w:val="BodyText"/>
        <w:spacing w:line="235" w:lineRule="auto" w:before="170"/>
        <w:ind w:left="1437" w:right="981"/>
        <w:jc w:val="center"/>
      </w:pPr>
      <w:r>
        <w:rPr>
          <w:color w:val="231F20"/>
        </w:rPr>
        <w:t>Укрштања са дренажним одводом Ø 600 и Ø 800</w:t>
      </w:r>
    </w:p>
    <w:p>
      <w:pPr>
        <w:pStyle w:val="BodyText"/>
        <w:spacing w:before="8"/>
        <w:ind w:left="0"/>
        <w:jc w:val="left"/>
        <w:rPr>
          <w:sz w:val="17"/>
        </w:rPr>
      </w:pPr>
    </w:p>
    <w:p>
      <w:pPr>
        <w:pStyle w:val="BodyText"/>
        <w:spacing w:line="235" w:lineRule="auto"/>
        <w:ind w:left="454" w:right="1" w:firstLine="396"/>
      </w:pPr>
      <w:r>
        <w:rPr>
          <w:color w:val="231F20"/>
        </w:rPr>
        <w:t>На km 0+734.55 планиране трасе пруге (колосек 6) пресеца постојећи дренажни систем цев Ø 600 а на 0+828.45 пресеца цев Ø</w:t>
      </w:r>
      <w:r>
        <w:rPr>
          <w:color w:val="231F20"/>
          <w:spacing w:val="-1"/>
        </w:rPr>
        <w:t> </w:t>
      </w:r>
      <w:r>
        <w:rPr>
          <w:color w:val="231F20"/>
        </w:rPr>
        <w:t>800.</w:t>
      </w:r>
    </w:p>
    <w:p>
      <w:pPr>
        <w:pStyle w:val="BodyText"/>
        <w:spacing w:line="235" w:lineRule="auto"/>
        <w:ind w:left="454" w:firstLine="396"/>
      </w:pPr>
      <w:r>
        <w:rPr>
          <w:color w:val="231F20"/>
        </w:rPr>
        <w:t>Цев је плитко постављена тако да задире у постељицу пруге. Осим издизања нивелете пруге могуће је формирање сифонског прелаза спуштањем нивелете цеви. Да би се минимизирали отпо- ри код течења пречник цеви је повећан на Ø 1000. Цев је дужине</w:t>
      </w:r>
    </w:p>
    <w:p>
      <w:pPr>
        <w:pStyle w:val="BodyText"/>
        <w:spacing w:line="235" w:lineRule="auto"/>
        <w:ind w:left="454"/>
        <w:jc w:val="left"/>
      </w:pPr>
      <w:r>
        <w:rPr>
          <w:color w:val="231F20"/>
        </w:rPr>
        <w:t>18.3 m. односно 16.4 m. На прописном растојању од пруге веза са постојећом цеви је успостављена преко бетонских шахтова.</w:t>
      </w:r>
    </w:p>
    <w:p>
      <w:pPr>
        <w:pStyle w:val="BodyText"/>
        <w:spacing w:before="3"/>
        <w:ind w:left="0"/>
        <w:jc w:val="left"/>
        <w:rPr>
          <w:sz w:val="29"/>
        </w:rPr>
      </w:pPr>
    </w:p>
    <w:p>
      <w:pPr>
        <w:pStyle w:val="ListParagraph"/>
        <w:numPr>
          <w:ilvl w:val="1"/>
          <w:numId w:val="77"/>
        </w:numPr>
        <w:tabs>
          <w:tab w:pos="2462" w:val="left" w:leader="none"/>
        </w:tabs>
        <w:spacing w:line="240" w:lineRule="auto" w:before="0" w:after="0"/>
        <w:ind w:left="2461" w:right="0" w:hanging="315"/>
        <w:jc w:val="left"/>
        <w:rPr>
          <w:i/>
          <w:sz w:val="18"/>
        </w:rPr>
      </w:pPr>
      <w:r>
        <w:rPr>
          <w:i/>
          <w:color w:val="231F20"/>
          <w:sz w:val="18"/>
        </w:rPr>
        <w:t>Правила</w:t>
      </w:r>
      <w:r>
        <w:rPr>
          <w:i/>
          <w:color w:val="231F20"/>
          <w:spacing w:val="-5"/>
          <w:sz w:val="18"/>
        </w:rPr>
        <w:t> </w:t>
      </w:r>
      <w:r>
        <w:rPr>
          <w:i/>
          <w:color w:val="231F20"/>
          <w:sz w:val="18"/>
        </w:rPr>
        <w:t>изградње</w:t>
      </w:r>
    </w:p>
    <w:p>
      <w:pPr>
        <w:pStyle w:val="ListParagraph"/>
        <w:numPr>
          <w:ilvl w:val="2"/>
          <w:numId w:val="78"/>
        </w:numPr>
        <w:tabs>
          <w:tab w:pos="2270" w:val="left" w:leader="none"/>
        </w:tabs>
        <w:spacing w:line="235" w:lineRule="auto" w:before="170" w:after="0"/>
        <w:ind w:left="2163" w:right="1363" w:hanging="344"/>
        <w:jc w:val="left"/>
        <w:rPr>
          <w:sz w:val="18"/>
        </w:rPr>
      </w:pPr>
      <w:r>
        <w:rPr>
          <w:color w:val="231F20"/>
          <w:spacing w:val="16"/>
          <w:sz w:val="18"/>
        </w:rPr>
        <w:t>Пројектни елементи </w:t>
      </w:r>
      <w:r>
        <w:rPr>
          <w:color w:val="231F20"/>
          <w:spacing w:val="13"/>
          <w:sz w:val="18"/>
        </w:rPr>
        <w:t>желе </w:t>
      </w:r>
      <w:r>
        <w:rPr>
          <w:color w:val="231F20"/>
          <w:spacing w:val="15"/>
          <w:sz w:val="18"/>
        </w:rPr>
        <w:t>зничке</w:t>
      </w:r>
      <w:r>
        <w:rPr>
          <w:color w:val="231F20"/>
          <w:spacing w:val="10"/>
          <w:sz w:val="18"/>
        </w:rPr>
        <w:t> </w:t>
      </w:r>
      <w:r>
        <w:rPr>
          <w:color w:val="231F20"/>
          <w:spacing w:val="15"/>
          <w:sz w:val="18"/>
        </w:rPr>
        <w:t>пруге</w:t>
      </w:r>
    </w:p>
    <w:p>
      <w:pPr>
        <w:pStyle w:val="BodyText"/>
        <w:spacing w:before="7"/>
        <w:ind w:left="0"/>
        <w:jc w:val="left"/>
        <w:rPr>
          <w:sz w:val="17"/>
        </w:rPr>
      </w:pPr>
    </w:p>
    <w:p>
      <w:pPr>
        <w:pStyle w:val="BodyText"/>
        <w:spacing w:line="235" w:lineRule="auto"/>
        <w:ind w:left="454" w:firstLine="396"/>
      </w:pPr>
      <w:r>
        <w:rPr>
          <w:color w:val="231F20"/>
        </w:rPr>
        <w:t>Гранични геометријски елементи одређени су за рачунску брзину </w:t>
      </w:r>
      <w:r>
        <w:rPr>
          <w:color w:val="231F20"/>
          <w:spacing w:val="-3"/>
        </w:rPr>
        <w:t>од </w:t>
      </w:r>
      <w:r>
        <w:rPr>
          <w:color w:val="231F20"/>
        </w:rPr>
        <w:t>50 km/h. Као прелазна кривина коришћена је кубна па- рабола</w:t>
      </w:r>
      <w:r>
        <w:rPr>
          <w:color w:val="231F20"/>
          <w:spacing w:val="-8"/>
        </w:rPr>
        <w:t> </w:t>
      </w:r>
      <w:r>
        <w:rPr>
          <w:color w:val="231F20"/>
        </w:rPr>
        <w:t>са</w:t>
      </w:r>
      <w:r>
        <w:rPr>
          <w:color w:val="231F20"/>
          <w:spacing w:val="-7"/>
        </w:rPr>
        <w:t> </w:t>
      </w:r>
      <w:r>
        <w:rPr>
          <w:color w:val="231F20"/>
        </w:rPr>
        <w:t>праволинијском</w:t>
      </w:r>
      <w:r>
        <w:rPr>
          <w:color w:val="231F20"/>
          <w:spacing w:val="-7"/>
        </w:rPr>
        <w:t> </w:t>
      </w:r>
      <w:r>
        <w:rPr>
          <w:color w:val="231F20"/>
        </w:rPr>
        <w:t>прелазном</w:t>
      </w:r>
      <w:r>
        <w:rPr>
          <w:color w:val="231F20"/>
          <w:spacing w:val="-7"/>
        </w:rPr>
        <w:t> </w:t>
      </w:r>
      <w:r>
        <w:rPr>
          <w:color w:val="231F20"/>
        </w:rPr>
        <w:t>рампом</w:t>
      </w:r>
      <w:r>
        <w:rPr>
          <w:color w:val="231F20"/>
          <w:spacing w:val="-7"/>
        </w:rPr>
        <w:t> </w:t>
      </w:r>
      <w:r>
        <w:rPr>
          <w:color w:val="231F20"/>
        </w:rPr>
        <w:t>надвишења.</w:t>
      </w:r>
      <w:r>
        <w:rPr>
          <w:color w:val="231F20"/>
          <w:spacing w:val="-8"/>
        </w:rPr>
        <w:t> </w:t>
      </w:r>
      <w:r>
        <w:rPr>
          <w:color w:val="231F20"/>
        </w:rPr>
        <w:t>Дужина прелазне кривине и рампе надвишења одређена је према обрасцу Lmin = 10 х Vmах х h / 1000. У кривинама се изводи надвишење спољне шине. У кругу термоелектране, </w:t>
      </w:r>
      <w:r>
        <w:rPr>
          <w:color w:val="231F20"/>
          <w:spacing w:val="-4"/>
        </w:rPr>
        <w:t>где </w:t>
      </w:r>
      <w:r>
        <w:rPr>
          <w:color w:val="231F20"/>
        </w:rPr>
        <w:t>ће брзина кретања би- ти мања </w:t>
      </w:r>
      <w:r>
        <w:rPr>
          <w:color w:val="231F20"/>
          <w:spacing w:val="-3"/>
        </w:rPr>
        <w:t>од </w:t>
      </w:r>
      <w:r>
        <w:rPr>
          <w:color w:val="231F20"/>
        </w:rPr>
        <w:t>20 km/h колосеци у кривинама биће без надвишења. Сви краци постојећих и планираних колосека се морају завршава- ти прописним</w:t>
      </w:r>
      <w:r>
        <w:rPr>
          <w:color w:val="231F20"/>
          <w:spacing w:val="-1"/>
        </w:rPr>
        <w:t> </w:t>
      </w:r>
      <w:r>
        <w:rPr>
          <w:color w:val="231F20"/>
        </w:rPr>
        <w:t>грудобранима.</w:t>
      </w:r>
    </w:p>
    <w:p>
      <w:pPr>
        <w:pStyle w:val="BodyText"/>
        <w:spacing w:line="235" w:lineRule="auto" w:before="1"/>
        <w:ind w:left="455" w:firstLine="397"/>
      </w:pPr>
      <w:r>
        <w:rPr>
          <w:color w:val="231F20"/>
        </w:rPr>
        <w:t>Полупречник</w:t>
      </w:r>
      <w:r>
        <w:rPr>
          <w:color w:val="231F20"/>
          <w:spacing w:val="-8"/>
        </w:rPr>
        <w:t> </w:t>
      </w:r>
      <w:r>
        <w:rPr>
          <w:color w:val="231F20"/>
        </w:rPr>
        <w:t>кривине</w:t>
      </w:r>
      <w:r>
        <w:rPr>
          <w:color w:val="231F20"/>
          <w:spacing w:val="-8"/>
        </w:rPr>
        <w:t> </w:t>
      </w:r>
      <w:r>
        <w:rPr>
          <w:color w:val="231F20"/>
        </w:rPr>
        <w:t>на</w:t>
      </w:r>
      <w:r>
        <w:rPr>
          <w:color w:val="231F20"/>
          <w:spacing w:val="-8"/>
        </w:rPr>
        <w:t> </w:t>
      </w:r>
      <w:r>
        <w:rPr>
          <w:color w:val="231F20"/>
        </w:rPr>
        <w:t>прузи</w:t>
      </w:r>
      <w:r>
        <w:rPr>
          <w:color w:val="231F20"/>
          <w:spacing w:val="-8"/>
        </w:rPr>
        <w:t> </w:t>
      </w:r>
      <w:r>
        <w:rPr>
          <w:color w:val="231F20"/>
        </w:rPr>
        <w:t>индустријске</w:t>
      </w:r>
      <w:r>
        <w:rPr>
          <w:color w:val="231F20"/>
          <w:spacing w:val="-8"/>
        </w:rPr>
        <w:t> </w:t>
      </w:r>
      <w:r>
        <w:rPr>
          <w:color w:val="231F20"/>
        </w:rPr>
        <w:t>железнице</w:t>
      </w:r>
      <w:r>
        <w:rPr>
          <w:color w:val="231F20"/>
          <w:spacing w:val="-8"/>
        </w:rPr>
        <w:t> </w:t>
      </w:r>
      <w:r>
        <w:rPr>
          <w:color w:val="231F20"/>
        </w:rPr>
        <w:t>нор- малног колосека може износити на отвореној прузи најмање 180 m, а на </w:t>
      </w:r>
      <w:r>
        <w:rPr>
          <w:color w:val="231F20"/>
          <w:spacing w:val="-3"/>
        </w:rPr>
        <w:t>главном</w:t>
      </w:r>
      <w:r>
        <w:rPr>
          <w:color w:val="231F20"/>
          <w:spacing w:val="12"/>
        </w:rPr>
        <w:t> </w:t>
      </w:r>
      <w:r>
        <w:rPr>
          <w:color w:val="231F20"/>
        </w:rPr>
        <w:t>пролазном колосеку најмање 250 m. У изузетним</w:t>
      </w:r>
    </w:p>
    <w:p>
      <w:pPr>
        <w:pStyle w:val="BodyText"/>
        <w:spacing w:line="232" w:lineRule="auto" w:before="71"/>
        <w:ind w:left="243" w:right="126"/>
      </w:pPr>
      <w:r>
        <w:rPr/>
        <w:br w:type="column"/>
      </w:r>
      <w:r>
        <w:rPr>
          <w:color w:val="231F20"/>
        </w:rPr>
        <w:t>случајевима полупречник кривине на отвореној прузи индустриј- ске железнице може бити мањи од 180 m, али не мањи од 100 m, с тим да део пруге која се налази у кривини мора имати специјалну конструкцију горњег строја која омогућава безбедан саобраћај во- зова.</w:t>
      </w:r>
    </w:p>
    <w:p>
      <w:pPr>
        <w:pStyle w:val="BodyText"/>
        <w:spacing w:line="232" w:lineRule="auto" w:before="1"/>
        <w:ind w:left="242" w:right="125" w:firstLine="397"/>
      </w:pPr>
      <w:r>
        <w:rPr>
          <w:color w:val="231F20"/>
        </w:rPr>
        <w:t>Ширина колосека мора износити 1.435 mm, с тим што не  сме бити мања </w:t>
      </w:r>
      <w:r>
        <w:rPr>
          <w:color w:val="231F20"/>
          <w:spacing w:val="-3"/>
        </w:rPr>
        <w:t>од </w:t>
      </w:r>
      <w:r>
        <w:rPr>
          <w:color w:val="231F20"/>
        </w:rPr>
        <w:t>1.430 mm, ни већа </w:t>
      </w:r>
      <w:r>
        <w:rPr>
          <w:color w:val="231F20"/>
          <w:spacing w:val="-3"/>
        </w:rPr>
        <w:t>од </w:t>
      </w:r>
      <w:r>
        <w:rPr>
          <w:color w:val="231F20"/>
        </w:rPr>
        <w:t>1.470 mm, укључујући и проширење колосека у кривини Размак колосека у станици мора бити толики да између слободних профила тих колосека постоји потребан простор за безбедно кретање путника и других лица и за постављање постројења, направа и стубова за сигнале, електрич- ну контактну </w:t>
      </w:r>
      <w:r>
        <w:rPr>
          <w:color w:val="231F20"/>
          <w:spacing w:val="-3"/>
        </w:rPr>
        <w:t>мрежу, </w:t>
      </w:r>
      <w:r>
        <w:rPr>
          <w:color w:val="231F20"/>
        </w:rPr>
        <w:t>осветљење и друго. Размак колосека у стани- ци мора износити најмање 4,75 m, а размак колосека између </w:t>
      </w:r>
      <w:r>
        <w:rPr>
          <w:color w:val="231F20"/>
          <w:spacing w:val="-3"/>
        </w:rPr>
        <w:t>којих </w:t>
      </w:r>
      <w:r>
        <w:rPr>
          <w:color w:val="231F20"/>
        </w:rPr>
        <w:t>се постављају перони висине најмање 0,5 m, рачунајући </w:t>
      </w:r>
      <w:r>
        <w:rPr>
          <w:color w:val="231F20"/>
          <w:spacing w:val="-3"/>
        </w:rPr>
        <w:t>од </w:t>
      </w:r>
      <w:r>
        <w:rPr>
          <w:color w:val="231F20"/>
        </w:rPr>
        <w:t>горње ивице шине, мора износити најмање 6</w:t>
      </w:r>
      <w:r>
        <w:rPr>
          <w:color w:val="231F20"/>
          <w:spacing w:val="-5"/>
        </w:rPr>
        <w:t> </w:t>
      </w:r>
      <w:r>
        <w:rPr>
          <w:color w:val="231F20"/>
        </w:rPr>
        <w:t>m.</w:t>
      </w:r>
    </w:p>
    <w:p>
      <w:pPr>
        <w:pStyle w:val="BodyText"/>
        <w:spacing w:line="232" w:lineRule="auto" w:before="3"/>
        <w:ind w:left="243" w:right="125" w:firstLine="396"/>
      </w:pPr>
      <w:r>
        <w:rPr>
          <w:color w:val="231F20"/>
        </w:rPr>
        <w:t>Размак између железничке пруге и пута мора бити толики да се између њих могу поставити сви уређаји и постројења потребни за обављање саобраћаја на прузи и </w:t>
      </w:r>
      <w:r>
        <w:rPr>
          <w:color w:val="231F20"/>
          <w:spacing w:val="-5"/>
        </w:rPr>
        <w:t>путу, </w:t>
      </w:r>
      <w:r>
        <w:rPr>
          <w:color w:val="231F20"/>
        </w:rPr>
        <w:t>с тим да износи најмање 8 m, рачунајући </w:t>
      </w:r>
      <w:r>
        <w:rPr>
          <w:color w:val="231F20"/>
          <w:spacing w:val="-3"/>
        </w:rPr>
        <w:t>од </w:t>
      </w:r>
      <w:r>
        <w:rPr>
          <w:color w:val="231F20"/>
        </w:rPr>
        <w:t>осовине најближег колосека до најближе </w:t>
      </w:r>
      <w:r>
        <w:rPr>
          <w:color w:val="231F20"/>
          <w:spacing w:val="-3"/>
        </w:rPr>
        <w:t>тачке </w:t>
      </w:r>
      <w:r>
        <w:rPr>
          <w:color w:val="231F20"/>
        </w:rPr>
        <w:t>горњег строја</w:t>
      </w:r>
      <w:r>
        <w:rPr>
          <w:color w:val="231F20"/>
          <w:spacing w:val="-2"/>
        </w:rPr>
        <w:t> </w:t>
      </w:r>
      <w:r>
        <w:rPr>
          <w:color w:val="231F20"/>
        </w:rPr>
        <w:t>пута.</w:t>
      </w:r>
    </w:p>
    <w:p>
      <w:pPr>
        <w:pStyle w:val="BodyText"/>
        <w:spacing w:line="232" w:lineRule="auto" w:before="1"/>
        <w:ind w:left="243" w:right="125" w:firstLine="396"/>
      </w:pPr>
      <w:r>
        <w:rPr>
          <w:color w:val="231F20"/>
        </w:rPr>
        <w:t>Железничке пруге морају се пројектовати, градити и одржа- </w:t>
      </w:r>
      <w:r>
        <w:rPr>
          <w:color w:val="231F20"/>
          <w:spacing w:val="-3"/>
        </w:rPr>
        <w:t>вати</w:t>
      </w:r>
      <w:r>
        <w:rPr>
          <w:color w:val="231F20"/>
          <w:spacing w:val="-8"/>
        </w:rPr>
        <w:t> </w:t>
      </w:r>
      <w:r>
        <w:rPr>
          <w:color w:val="231F20"/>
          <w:spacing w:val="-3"/>
        </w:rPr>
        <w:t>тако</w:t>
      </w:r>
      <w:r>
        <w:rPr>
          <w:color w:val="231F20"/>
          <w:spacing w:val="-8"/>
        </w:rPr>
        <w:t> </w:t>
      </w:r>
      <w:r>
        <w:rPr>
          <w:color w:val="231F20"/>
        </w:rPr>
        <w:t>да</w:t>
      </w:r>
      <w:r>
        <w:rPr>
          <w:color w:val="231F20"/>
          <w:spacing w:val="-8"/>
        </w:rPr>
        <w:t> </w:t>
      </w:r>
      <w:r>
        <w:rPr>
          <w:color w:val="231F20"/>
        </w:rPr>
        <w:t>одговарају</w:t>
      </w:r>
      <w:r>
        <w:rPr>
          <w:color w:val="231F20"/>
          <w:spacing w:val="-8"/>
        </w:rPr>
        <w:t> </w:t>
      </w:r>
      <w:r>
        <w:rPr>
          <w:color w:val="231F20"/>
        </w:rPr>
        <w:t>утврђеној</w:t>
      </w:r>
      <w:r>
        <w:rPr>
          <w:color w:val="231F20"/>
          <w:spacing w:val="-8"/>
        </w:rPr>
        <w:t> </w:t>
      </w:r>
      <w:r>
        <w:rPr>
          <w:color w:val="231F20"/>
        </w:rPr>
        <w:t>превозној</w:t>
      </w:r>
      <w:r>
        <w:rPr>
          <w:color w:val="231F20"/>
          <w:spacing w:val="-8"/>
        </w:rPr>
        <w:t> </w:t>
      </w:r>
      <w:r>
        <w:rPr>
          <w:color w:val="231F20"/>
        </w:rPr>
        <w:t>и</w:t>
      </w:r>
      <w:r>
        <w:rPr>
          <w:color w:val="231F20"/>
          <w:spacing w:val="-8"/>
        </w:rPr>
        <w:t> </w:t>
      </w:r>
      <w:r>
        <w:rPr>
          <w:color w:val="231F20"/>
        </w:rPr>
        <w:t>пропусној</w:t>
      </w:r>
      <w:r>
        <w:rPr>
          <w:color w:val="231F20"/>
          <w:spacing w:val="-8"/>
        </w:rPr>
        <w:t> </w:t>
      </w:r>
      <w:r>
        <w:rPr>
          <w:color w:val="231F20"/>
        </w:rPr>
        <w:t>моћи</w:t>
      </w:r>
      <w:r>
        <w:rPr>
          <w:color w:val="231F20"/>
          <w:spacing w:val="-8"/>
        </w:rPr>
        <w:t> </w:t>
      </w:r>
      <w:r>
        <w:rPr>
          <w:color w:val="231F20"/>
        </w:rPr>
        <w:t>пру- ге, брзини возова, дозвољеној маси по осовини, дозвољеној маси по дужном </w:t>
      </w:r>
      <w:r>
        <w:rPr>
          <w:color w:val="231F20"/>
          <w:spacing w:val="-4"/>
        </w:rPr>
        <w:t>метру, </w:t>
      </w:r>
      <w:r>
        <w:rPr>
          <w:color w:val="231F20"/>
        </w:rPr>
        <w:t>захтевима безбедности железничког саобраћаја, као и другим условима </w:t>
      </w:r>
      <w:r>
        <w:rPr>
          <w:color w:val="231F20"/>
          <w:spacing w:val="-3"/>
        </w:rPr>
        <w:t>који </w:t>
      </w:r>
      <w:r>
        <w:rPr>
          <w:color w:val="231F20"/>
        </w:rPr>
        <w:t>су прописани за односну</w:t>
      </w:r>
      <w:r>
        <w:rPr>
          <w:color w:val="231F20"/>
          <w:spacing w:val="-9"/>
        </w:rPr>
        <w:t> </w:t>
      </w:r>
      <w:r>
        <w:rPr>
          <w:color w:val="231F20"/>
          <w:spacing w:val="-5"/>
        </w:rPr>
        <w:t>пругу.</w:t>
      </w:r>
    </w:p>
    <w:p>
      <w:pPr>
        <w:pStyle w:val="BodyText"/>
        <w:spacing w:line="232" w:lineRule="auto" w:before="2"/>
        <w:ind w:left="243" w:right="125" w:firstLine="396"/>
      </w:pPr>
      <w:r>
        <w:rPr>
          <w:color w:val="231F20"/>
        </w:rPr>
        <w:t>При пројектовању и грађењу железничких пруга и построје- ња, уређаја и објеката на прузи морају се применити технички и други услови утврђени Законом, као и прописани стандарди, </w:t>
      </w:r>
      <w:r>
        <w:rPr>
          <w:color w:val="231F20"/>
          <w:spacing w:val="-4"/>
        </w:rPr>
        <w:t>ко- </w:t>
      </w:r>
      <w:r>
        <w:rPr>
          <w:color w:val="231F20"/>
        </w:rPr>
        <w:t>ји се односе на пруге и постројења, објекте и уређаје на прузи, и други прописани услови </w:t>
      </w:r>
      <w:r>
        <w:rPr>
          <w:color w:val="231F20"/>
          <w:spacing w:val="-3"/>
        </w:rPr>
        <w:t>којима </w:t>
      </w:r>
      <w:r>
        <w:rPr>
          <w:color w:val="231F20"/>
        </w:rPr>
        <w:t>се обезбеђује безбедно одвијање железничког</w:t>
      </w:r>
      <w:r>
        <w:rPr>
          <w:color w:val="231F20"/>
          <w:spacing w:val="-1"/>
        </w:rPr>
        <w:t> </w:t>
      </w:r>
      <w:r>
        <w:rPr>
          <w:color w:val="231F20"/>
        </w:rPr>
        <w:t>саобраћаја.</w:t>
      </w:r>
    </w:p>
    <w:p>
      <w:pPr>
        <w:pStyle w:val="BodyText"/>
        <w:spacing w:line="232" w:lineRule="auto" w:before="1"/>
        <w:ind w:left="244" w:right="125" w:firstLine="396"/>
      </w:pPr>
      <w:r>
        <w:rPr>
          <w:color w:val="231F20"/>
        </w:rPr>
        <w:t>Железничка инфраструктура мора се одржавати у стању које осигурава безбедан и несметан железнички саобраћај, као и ква- литетан и уредан превоз. У овом циљу морају се вршити стални надзори и повремени прегледи, као и отклањати утврђени недо- стаци.</w:t>
      </w:r>
    </w:p>
    <w:p>
      <w:pPr>
        <w:pStyle w:val="BodyText"/>
        <w:spacing w:line="232" w:lineRule="auto" w:before="2"/>
        <w:ind w:left="244" w:right="125" w:firstLine="396"/>
      </w:pPr>
      <w:r>
        <w:rPr>
          <w:color w:val="231F20"/>
        </w:rPr>
        <w:t>Радови на одржавању су нарочито: одржавање, замена и об- нова елемената горњег строја железничке пруге (скретница, ко- лосека и колосечних веза), истим или другим типом којима се параметри железничке пруге одржавају на пројектованом нивоу; радови на доњем строју железничке пруге (одводњавање и уре- ђење косина); замена и обнова истим или другим материјалима пропуста и мостова до 10 m дужине, ако се не мења њихов отвор; замена и допуна елемената сигнално-сигурносних и телекомуни- кационих уређаја и постројења; замена и допуна елемената ста- билних постројења електро вуче, као и осталих електричних по- стројења; адаптација и поправка зграда железничких службених места и осталих објеката на железничким службеним местима ко- ји су у функцији железничког саобраћаја којима се не мења њихо- ва конструкција и спољни изглед.</w:t>
      </w:r>
    </w:p>
    <w:p>
      <w:pPr>
        <w:pStyle w:val="BodyText"/>
        <w:spacing w:line="232" w:lineRule="auto" w:before="174"/>
        <w:ind w:left="2465" w:right="1497" w:hanging="832"/>
        <w:jc w:val="left"/>
      </w:pPr>
      <w:r>
        <w:rPr>
          <w:color w:val="231F20"/>
        </w:rPr>
        <w:t>Пројектни елементи уздужног профила</w:t>
      </w:r>
    </w:p>
    <w:p>
      <w:pPr>
        <w:pStyle w:val="BodyText"/>
        <w:spacing w:before="6"/>
        <w:ind w:left="0"/>
        <w:jc w:val="left"/>
        <w:rPr>
          <w:sz w:val="17"/>
        </w:rPr>
      </w:pPr>
    </w:p>
    <w:p>
      <w:pPr>
        <w:pStyle w:val="BodyText"/>
        <w:spacing w:line="232" w:lineRule="auto"/>
        <w:ind w:left="244" w:right="125" w:firstLine="396"/>
      </w:pPr>
      <w:r>
        <w:rPr>
          <w:color w:val="231F20"/>
        </w:rPr>
        <w:t>Максимални успон jе одређен на основу анализе врсте и ка- тегорије пруге, врсте и обима саобраћаја, меродавних маса (тежи- на) возова појединих категорија, система вуче, теренских усло- ва, истраживања и искустава других железничких управа. Траса је прилагођена </w:t>
      </w:r>
      <w:r>
        <w:rPr>
          <w:color w:val="231F20"/>
          <w:spacing w:val="-3"/>
        </w:rPr>
        <w:t>терену, </w:t>
      </w:r>
      <w:r>
        <w:rPr>
          <w:color w:val="231F20"/>
        </w:rPr>
        <w:t>са максималним нагибом </w:t>
      </w:r>
      <w:r>
        <w:rPr>
          <w:color w:val="231F20"/>
          <w:spacing w:val="-3"/>
        </w:rPr>
        <w:t>од </w:t>
      </w:r>
      <w:r>
        <w:rPr>
          <w:color w:val="231F20"/>
        </w:rPr>
        <w:t>17,5‰ што је условљено конфигурацијом терена </w:t>
      </w:r>
      <w:r>
        <w:rPr>
          <w:color w:val="231F20"/>
          <w:spacing w:val="-3"/>
        </w:rPr>
        <w:t>преко кога</w:t>
      </w:r>
      <w:r>
        <w:rPr>
          <w:color w:val="231F20"/>
          <w:spacing w:val="-6"/>
        </w:rPr>
        <w:t> </w:t>
      </w:r>
      <w:r>
        <w:rPr>
          <w:color w:val="231F20"/>
        </w:rPr>
        <w:t>пролази.</w:t>
      </w:r>
    </w:p>
    <w:p>
      <w:pPr>
        <w:pStyle w:val="BodyText"/>
        <w:spacing w:line="232" w:lineRule="auto" w:before="172"/>
        <w:ind w:left="2465" w:right="1448" w:hanging="882"/>
        <w:jc w:val="left"/>
      </w:pPr>
      <w:r>
        <w:rPr>
          <w:color w:val="231F20"/>
        </w:rPr>
        <w:t>Пројектни елементи попречних профила</w:t>
      </w:r>
    </w:p>
    <w:p>
      <w:pPr>
        <w:pStyle w:val="BodyText"/>
        <w:spacing w:before="6"/>
        <w:ind w:left="0"/>
        <w:jc w:val="left"/>
        <w:rPr>
          <w:sz w:val="17"/>
        </w:rPr>
      </w:pPr>
    </w:p>
    <w:p>
      <w:pPr>
        <w:pStyle w:val="BodyText"/>
        <w:spacing w:line="232" w:lineRule="auto"/>
        <w:ind w:left="243" w:right="125" w:firstLine="397"/>
      </w:pPr>
      <w:r>
        <w:rPr>
          <w:color w:val="231F20"/>
        </w:rPr>
        <w:t>У попречном профилу пруга је пројектована као једноколо- сечна. Електрификација индустријског колосека се не предвиђа. Постојећи колосеци се </w:t>
      </w:r>
      <w:r>
        <w:rPr>
          <w:color w:val="231F20"/>
          <w:spacing w:val="-3"/>
        </w:rPr>
        <w:t>реконструишу, </w:t>
      </w:r>
      <w:r>
        <w:rPr>
          <w:color w:val="231F20"/>
        </w:rPr>
        <w:t>а планирани предвиђају за осовинску масу </w:t>
      </w:r>
      <w:r>
        <w:rPr>
          <w:color w:val="231F20"/>
          <w:spacing w:val="-3"/>
        </w:rPr>
        <w:t>од </w:t>
      </w:r>
      <w:r>
        <w:rPr>
          <w:color w:val="231F20"/>
        </w:rPr>
        <w:t>22,5 t и масу по дужном метру </w:t>
      </w:r>
      <w:r>
        <w:rPr>
          <w:color w:val="231F20"/>
          <w:spacing w:val="-3"/>
        </w:rPr>
        <w:t>од </w:t>
      </w:r>
      <w:r>
        <w:rPr>
          <w:color w:val="231F20"/>
        </w:rPr>
        <w:t>8 t/m. </w:t>
      </w:r>
      <w:r>
        <w:rPr>
          <w:color w:val="231F20"/>
          <w:spacing w:val="-3"/>
        </w:rPr>
        <w:t>Труп </w:t>
      </w:r>
      <w:r>
        <w:rPr>
          <w:color w:val="231F20"/>
        </w:rPr>
        <w:t>пруге претежно је у </w:t>
      </w:r>
      <w:r>
        <w:rPr>
          <w:color w:val="231F20"/>
          <w:spacing w:val="-4"/>
        </w:rPr>
        <w:t>насипу, </w:t>
      </w:r>
      <w:r>
        <w:rPr>
          <w:color w:val="231F20"/>
        </w:rPr>
        <w:t>осим на делу </w:t>
      </w:r>
      <w:r>
        <w:rPr>
          <w:color w:val="231F20"/>
          <w:spacing w:val="-4"/>
        </w:rPr>
        <w:t>где </w:t>
      </w:r>
      <w:r>
        <w:rPr>
          <w:color w:val="231F20"/>
        </w:rPr>
        <w:t>траса делимично за- сеца постојећи терен. Попречни профил је усвојен са ширином планума </w:t>
      </w:r>
      <w:r>
        <w:rPr>
          <w:color w:val="231F20"/>
          <w:spacing w:val="-3"/>
        </w:rPr>
        <w:t>од </w:t>
      </w:r>
      <w:r>
        <w:rPr>
          <w:color w:val="231F20"/>
        </w:rPr>
        <w:t>6,0 m, са симетрично двостраним попречним нагибом планума</w:t>
      </w:r>
      <w:r>
        <w:rPr>
          <w:color w:val="231F20"/>
          <w:spacing w:val="-8"/>
        </w:rPr>
        <w:t> </w:t>
      </w:r>
      <w:r>
        <w:rPr>
          <w:color w:val="231F20"/>
          <w:spacing w:val="-3"/>
        </w:rPr>
        <w:t>од</w:t>
      </w:r>
      <w:r>
        <w:rPr>
          <w:color w:val="231F20"/>
          <w:spacing w:val="-7"/>
        </w:rPr>
        <w:t> </w:t>
      </w:r>
      <w:r>
        <w:rPr>
          <w:color w:val="231F20"/>
        </w:rPr>
        <w:t>4%.</w:t>
      </w:r>
      <w:r>
        <w:rPr>
          <w:color w:val="231F20"/>
          <w:spacing w:val="-7"/>
        </w:rPr>
        <w:t> </w:t>
      </w:r>
      <w:r>
        <w:rPr>
          <w:color w:val="231F20"/>
        </w:rPr>
        <w:t>Нагиби</w:t>
      </w:r>
      <w:r>
        <w:rPr>
          <w:color w:val="231F20"/>
          <w:spacing w:val="-7"/>
        </w:rPr>
        <w:t> </w:t>
      </w:r>
      <w:r>
        <w:rPr>
          <w:color w:val="231F20"/>
        </w:rPr>
        <w:t>косина</w:t>
      </w:r>
      <w:r>
        <w:rPr>
          <w:color w:val="231F20"/>
          <w:spacing w:val="-7"/>
        </w:rPr>
        <w:t> </w:t>
      </w:r>
      <w:r>
        <w:rPr>
          <w:color w:val="231F20"/>
        </w:rPr>
        <w:t>конструкције</w:t>
      </w:r>
      <w:r>
        <w:rPr>
          <w:color w:val="231F20"/>
          <w:spacing w:val="-7"/>
        </w:rPr>
        <w:t> </w:t>
      </w:r>
      <w:r>
        <w:rPr>
          <w:color w:val="231F20"/>
        </w:rPr>
        <w:t>доњег</w:t>
      </w:r>
      <w:r>
        <w:rPr>
          <w:color w:val="231F20"/>
          <w:spacing w:val="-7"/>
        </w:rPr>
        <w:t> </w:t>
      </w:r>
      <w:r>
        <w:rPr>
          <w:color w:val="231F20"/>
        </w:rPr>
        <w:t>строја</w:t>
      </w:r>
      <w:r>
        <w:rPr>
          <w:color w:val="231F20"/>
          <w:spacing w:val="-7"/>
        </w:rPr>
        <w:t> </w:t>
      </w:r>
      <w:r>
        <w:rPr>
          <w:color w:val="231F20"/>
        </w:rPr>
        <w:t>су</w:t>
      </w:r>
      <w:r>
        <w:rPr>
          <w:color w:val="231F20"/>
          <w:spacing w:val="-7"/>
        </w:rPr>
        <w:t> </w:t>
      </w:r>
      <w:r>
        <w:rPr>
          <w:color w:val="231F20"/>
        </w:rPr>
        <w:t>1:1,5, а </w:t>
      </w:r>
      <w:r>
        <w:rPr>
          <w:color w:val="231F20"/>
          <w:spacing w:val="-6"/>
        </w:rPr>
        <w:t>код </w:t>
      </w:r>
      <w:r>
        <w:rPr>
          <w:color w:val="231F20"/>
        </w:rPr>
        <w:t>високих насипа (h&gt;3 m) врши се ублажавање нагиба косина са 1:1,5 на 1:1,75, односно на 1:2 (h&gt;6</w:t>
      </w:r>
      <w:r>
        <w:rPr>
          <w:color w:val="231F20"/>
          <w:spacing w:val="-3"/>
        </w:rPr>
        <w:t> </w:t>
      </w:r>
      <w:r>
        <w:rPr>
          <w:color w:val="231F20"/>
        </w:rPr>
        <w:t>m).</w:t>
      </w:r>
    </w:p>
    <w:p>
      <w:pPr>
        <w:spacing w:after="0" w:line="232" w:lineRule="auto"/>
        <w:sectPr>
          <w:pgSz w:w="12480" w:h="15690"/>
          <w:pgMar w:top="120" w:bottom="280" w:left="680" w:right="720"/>
          <w:cols w:num="2" w:equalWidth="0">
            <w:col w:w="5559" w:space="40"/>
            <w:col w:w="5481"/>
          </w:cols>
        </w:sectPr>
      </w:pPr>
    </w:p>
    <w:p>
      <w:pPr>
        <w:pStyle w:val="BodyText"/>
        <w:ind w:left="938"/>
        <w:jc w:val="left"/>
        <w:rPr>
          <w:sz w:val="20"/>
        </w:rPr>
      </w:pPr>
      <w:r>
        <w:rPr>
          <w:sz w:val="20"/>
        </w:rPr>
        <w:drawing>
          <wp:inline distT="0" distB="0" distL="0" distR="0">
            <wp:extent cx="5661851" cy="4688586"/>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5661851" cy="4688586"/>
                    </a:xfrm>
                    <a:prstGeom prst="rect">
                      <a:avLst/>
                    </a:prstGeom>
                  </pic:spPr>
                </pic:pic>
              </a:graphicData>
            </a:graphic>
          </wp:inline>
        </w:drawing>
      </w:r>
      <w:r>
        <w:rPr>
          <w:sz w:val="20"/>
        </w:rPr>
      </w:r>
    </w:p>
    <w:p>
      <w:pPr>
        <w:pStyle w:val="BodyText"/>
        <w:spacing w:before="11"/>
        <w:ind w:left="0"/>
        <w:jc w:val="left"/>
        <w:rPr>
          <w:sz w:val="29"/>
        </w:rPr>
      </w:pPr>
    </w:p>
    <w:p>
      <w:pPr>
        <w:pStyle w:val="BodyText"/>
        <w:spacing w:line="232" w:lineRule="auto" w:before="98"/>
        <w:ind w:right="411" w:firstLine="396"/>
      </w:pPr>
      <w:r>
        <w:rPr>
          <w:color w:val="231F20"/>
        </w:rPr>
        <w:t>Одводњавање пруге предвиђено је подужним и попречним нагибима планума, као и изградњом нових канала и објеката отвора до 5,0 m – пропуста.</w:t>
      </w:r>
    </w:p>
    <w:p>
      <w:pPr>
        <w:pStyle w:val="BodyText"/>
        <w:spacing w:line="232" w:lineRule="auto"/>
        <w:ind w:right="411" w:firstLine="396"/>
      </w:pPr>
      <w:r>
        <w:rPr>
          <w:color w:val="231F20"/>
        </w:rPr>
        <w:t>Предвиђени</w:t>
      </w:r>
      <w:r>
        <w:rPr>
          <w:color w:val="231F20"/>
          <w:spacing w:val="-5"/>
        </w:rPr>
        <w:t> </w:t>
      </w:r>
      <w:r>
        <w:rPr>
          <w:color w:val="231F20"/>
        </w:rPr>
        <w:t>су</w:t>
      </w:r>
      <w:r>
        <w:rPr>
          <w:color w:val="231F20"/>
          <w:spacing w:val="-5"/>
        </w:rPr>
        <w:t> </w:t>
      </w:r>
      <w:r>
        <w:rPr>
          <w:color w:val="231F20"/>
        </w:rPr>
        <w:t>трапезни</w:t>
      </w:r>
      <w:r>
        <w:rPr>
          <w:color w:val="231F20"/>
          <w:spacing w:val="-5"/>
        </w:rPr>
        <w:t> </w:t>
      </w:r>
      <w:r>
        <w:rPr>
          <w:color w:val="231F20"/>
        </w:rPr>
        <w:t>земљани</w:t>
      </w:r>
      <w:r>
        <w:rPr>
          <w:color w:val="231F20"/>
          <w:spacing w:val="-5"/>
        </w:rPr>
        <w:t> </w:t>
      </w:r>
      <w:r>
        <w:rPr>
          <w:color w:val="231F20"/>
        </w:rPr>
        <w:t>канали</w:t>
      </w:r>
      <w:r>
        <w:rPr>
          <w:color w:val="231F20"/>
          <w:spacing w:val="-5"/>
        </w:rPr>
        <w:t> </w:t>
      </w:r>
      <w:r>
        <w:rPr>
          <w:color w:val="231F20"/>
        </w:rPr>
        <w:t>ширине</w:t>
      </w:r>
      <w:r>
        <w:rPr>
          <w:color w:val="231F20"/>
          <w:spacing w:val="-5"/>
        </w:rPr>
        <w:t> </w:t>
      </w:r>
      <w:r>
        <w:rPr>
          <w:color w:val="231F20"/>
        </w:rPr>
        <w:t>дна</w:t>
      </w:r>
      <w:r>
        <w:rPr>
          <w:color w:val="231F20"/>
          <w:spacing w:val="-5"/>
        </w:rPr>
        <w:t> </w:t>
      </w:r>
      <w:r>
        <w:rPr>
          <w:color w:val="231F20"/>
        </w:rPr>
        <w:t>0,50</w:t>
      </w:r>
      <w:r>
        <w:rPr>
          <w:color w:val="231F20"/>
          <w:spacing w:val="-5"/>
        </w:rPr>
        <w:t> </w:t>
      </w:r>
      <w:r>
        <w:rPr>
          <w:color w:val="231F20"/>
        </w:rPr>
        <w:t>m,</w:t>
      </w:r>
      <w:r>
        <w:rPr>
          <w:color w:val="231F20"/>
          <w:spacing w:val="-5"/>
        </w:rPr>
        <w:t> </w:t>
      </w:r>
      <w:r>
        <w:rPr>
          <w:color w:val="231F20"/>
        </w:rPr>
        <w:t>минималне</w:t>
      </w:r>
      <w:r>
        <w:rPr>
          <w:color w:val="231F20"/>
          <w:spacing w:val="-5"/>
        </w:rPr>
        <w:t> </w:t>
      </w:r>
      <w:r>
        <w:rPr>
          <w:color w:val="231F20"/>
        </w:rPr>
        <w:t>дубине</w:t>
      </w:r>
      <w:r>
        <w:rPr>
          <w:color w:val="231F20"/>
          <w:spacing w:val="-5"/>
        </w:rPr>
        <w:t> </w:t>
      </w:r>
      <w:r>
        <w:rPr>
          <w:color w:val="231F20"/>
        </w:rPr>
        <w:t>0,35</w:t>
      </w:r>
      <w:r>
        <w:rPr>
          <w:color w:val="231F20"/>
          <w:spacing w:val="-5"/>
        </w:rPr>
        <w:t> </w:t>
      </w:r>
      <w:r>
        <w:rPr>
          <w:color w:val="231F20"/>
        </w:rPr>
        <w:t>m.</w:t>
      </w:r>
      <w:r>
        <w:rPr>
          <w:color w:val="231F20"/>
          <w:spacing w:val="-5"/>
        </w:rPr>
        <w:t> </w:t>
      </w:r>
      <w:r>
        <w:rPr>
          <w:color w:val="231F20"/>
        </w:rPr>
        <w:t>Воде</w:t>
      </w:r>
      <w:r>
        <w:rPr>
          <w:color w:val="231F20"/>
          <w:spacing w:val="-5"/>
        </w:rPr>
        <w:t> </w:t>
      </w:r>
      <w:r>
        <w:rPr>
          <w:color w:val="231F20"/>
        </w:rPr>
        <w:t>прикупљене</w:t>
      </w:r>
      <w:r>
        <w:rPr>
          <w:color w:val="231F20"/>
          <w:spacing w:val="-5"/>
        </w:rPr>
        <w:t> </w:t>
      </w:r>
      <w:r>
        <w:rPr>
          <w:color w:val="231F20"/>
        </w:rPr>
        <w:t>овим</w:t>
      </w:r>
      <w:r>
        <w:rPr>
          <w:color w:val="231F20"/>
          <w:spacing w:val="-5"/>
        </w:rPr>
        <w:t> </w:t>
      </w:r>
      <w:r>
        <w:rPr>
          <w:color w:val="231F20"/>
        </w:rPr>
        <w:t>каналима</w:t>
      </w:r>
      <w:r>
        <w:rPr>
          <w:color w:val="231F20"/>
          <w:spacing w:val="-5"/>
        </w:rPr>
        <w:t> </w:t>
      </w:r>
      <w:r>
        <w:rPr>
          <w:color w:val="231F20"/>
        </w:rPr>
        <w:t>изливају се у локалне </w:t>
      </w:r>
      <w:r>
        <w:rPr>
          <w:color w:val="231F20"/>
          <w:spacing w:val="-3"/>
        </w:rPr>
        <w:t>водотокове </w:t>
      </w:r>
      <w:r>
        <w:rPr>
          <w:color w:val="231F20"/>
        </w:rPr>
        <w:t>или</w:t>
      </w:r>
      <w:r>
        <w:rPr>
          <w:color w:val="231F20"/>
          <w:spacing w:val="0"/>
        </w:rPr>
        <w:t> </w:t>
      </w:r>
      <w:r>
        <w:rPr>
          <w:color w:val="231F20"/>
        </w:rPr>
        <w:t>депресије.</w:t>
      </w:r>
    </w:p>
    <w:p>
      <w:pPr>
        <w:pStyle w:val="BodyText"/>
        <w:spacing w:before="3"/>
        <w:ind w:left="0"/>
        <w:jc w:val="left"/>
        <w:rPr>
          <w:sz w:val="25"/>
        </w:rPr>
      </w:pPr>
      <w:r>
        <w:rPr/>
        <w:drawing>
          <wp:anchor distT="0" distB="0" distL="0" distR="0" allowOverlap="1" layoutInCell="1" locked="0" behindDoc="0" simplePos="0" relativeHeight="4792">
            <wp:simplePos x="0" y="0"/>
            <wp:positionH relativeFrom="page">
              <wp:posOffset>965400</wp:posOffset>
            </wp:positionH>
            <wp:positionV relativeFrom="paragraph">
              <wp:posOffset>209265</wp:posOffset>
            </wp:positionV>
            <wp:extent cx="5747714" cy="1664208"/>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5747714" cy="1664208"/>
                    </a:xfrm>
                    <a:prstGeom prst="rect">
                      <a:avLst/>
                    </a:prstGeom>
                  </pic:spPr>
                </pic:pic>
              </a:graphicData>
            </a:graphic>
          </wp:anchor>
        </w:drawing>
      </w:r>
    </w:p>
    <w:p>
      <w:pPr>
        <w:pStyle w:val="BodyText"/>
        <w:spacing w:before="1"/>
        <w:ind w:left="0"/>
        <w:jc w:val="left"/>
        <w:rPr>
          <w:sz w:val="23"/>
        </w:rPr>
      </w:pPr>
    </w:p>
    <w:p>
      <w:pPr>
        <w:pStyle w:val="BodyText"/>
        <w:ind w:left="4256"/>
        <w:jc w:val="left"/>
      </w:pPr>
      <w:r>
        <w:rPr>
          <w:color w:val="231F20"/>
        </w:rPr>
        <w:t>Сигнално-сигурносни уређаји</w:t>
      </w:r>
    </w:p>
    <w:p>
      <w:pPr>
        <w:pStyle w:val="BodyText"/>
        <w:ind w:left="0"/>
        <w:jc w:val="left"/>
      </w:pPr>
    </w:p>
    <w:p>
      <w:pPr>
        <w:pStyle w:val="BodyText"/>
        <w:spacing w:line="247" w:lineRule="auto"/>
        <w:ind w:right="411" w:firstLine="397"/>
      </w:pPr>
      <w:r>
        <w:rPr>
          <w:color w:val="231F20"/>
        </w:rPr>
        <w:t>Потребно</w:t>
      </w:r>
      <w:r>
        <w:rPr>
          <w:color w:val="231F20"/>
          <w:spacing w:val="-4"/>
        </w:rPr>
        <w:t> </w:t>
      </w:r>
      <w:r>
        <w:rPr>
          <w:color w:val="231F20"/>
        </w:rPr>
        <w:t>је</w:t>
      </w:r>
      <w:r>
        <w:rPr>
          <w:color w:val="231F20"/>
          <w:spacing w:val="-4"/>
        </w:rPr>
        <w:t> </w:t>
      </w:r>
      <w:r>
        <w:rPr>
          <w:color w:val="231F20"/>
        </w:rPr>
        <w:t>извршити</w:t>
      </w:r>
      <w:r>
        <w:rPr>
          <w:color w:val="231F20"/>
          <w:spacing w:val="-4"/>
        </w:rPr>
        <w:t> </w:t>
      </w:r>
      <w:r>
        <w:rPr>
          <w:color w:val="231F20"/>
        </w:rPr>
        <w:t>осигурање</w:t>
      </w:r>
      <w:r>
        <w:rPr>
          <w:color w:val="231F20"/>
          <w:spacing w:val="-4"/>
        </w:rPr>
        <w:t> </w:t>
      </w:r>
      <w:r>
        <w:rPr>
          <w:color w:val="231F20"/>
        </w:rPr>
        <w:t>круга</w:t>
      </w:r>
      <w:r>
        <w:rPr>
          <w:color w:val="231F20"/>
          <w:spacing w:val="-4"/>
        </w:rPr>
        <w:t> </w:t>
      </w:r>
      <w:r>
        <w:rPr>
          <w:color w:val="231F20"/>
        </w:rPr>
        <w:t>ТЕ</w:t>
      </w:r>
      <w:r>
        <w:rPr>
          <w:color w:val="231F20"/>
          <w:spacing w:val="-4"/>
        </w:rPr>
        <w:t> </w:t>
      </w:r>
      <w:r>
        <w:rPr>
          <w:color w:val="231F20"/>
        </w:rPr>
        <w:t>„Костолац</w:t>
      </w:r>
      <w:r>
        <w:rPr>
          <w:color w:val="231F20"/>
          <w:spacing w:val="-4"/>
        </w:rPr>
        <w:t> </w:t>
      </w:r>
      <w:r>
        <w:rPr>
          <w:color w:val="231F20"/>
        </w:rPr>
        <w:t>Б”</w:t>
      </w:r>
      <w:r>
        <w:rPr>
          <w:color w:val="231F20"/>
          <w:spacing w:val="-4"/>
        </w:rPr>
        <w:t> </w:t>
      </w:r>
      <w:r>
        <w:rPr>
          <w:color w:val="231F20"/>
        </w:rPr>
        <w:t>мобилним</w:t>
      </w:r>
      <w:r>
        <w:rPr>
          <w:color w:val="231F20"/>
          <w:spacing w:val="-4"/>
        </w:rPr>
        <w:t> </w:t>
      </w:r>
      <w:r>
        <w:rPr>
          <w:color w:val="231F20"/>
        </w:rPr>
        <w:t>уређајем</w:t>
      </w:r>
      <w:r>
        <w:rPr>
          <w:color w:val="231F20"/>
          <w:spacing w:val="-4"/>
        </w:rPr>
        <w:t> </w:t>
      </w:r>
      <w:r>
        <w:rPr>
          <w:color w:val="231F20"/>
        </w:rPr>
        <w:t>међусигналне</w:t>
      </w:r>
      <w:r>
        <w:rPr>
          <w:color w:val="231F20"/>
          <w:spacing w:val="-4"/>
        </w:rPr>
        <w:t> </w:t>
      </w:r>
      <w:r>
        <w:rPr>
          <w:color w:val="231F20"/>
        </w:rPr>
        <w:t>зависности,</w:t>
      </w:r>
      <w:r>
        <w:rPr>
          <w:color w:val="231F20"/>
          <w:spacing w:val="-4"/>
        </w:rPr>
        <w:t> </w:t>
      </w:r>
      <w:r>
        <w:rPr>
          <w:color w:val="231F20"/>
        </w:rPr>
        <w:t>уз</w:t>
      </w:r>
      <w:r>
        <w:rPr>
          <w:color w:val="231F20"/>
          <w:spacing w:val="-4"/>
        </w:rPr>
        <w:t> </w:t>
      </w:r>
      <w:r>
        <w:rPr>
          <w:color w:val="231F20"/>
        </w:rPr>
        <w:t>опремање</w:t>
      </w:r>
      <w:r>
        <w:rPr>
          <w:color w:val="231F20"/>
          <w:spacing w:val="-4"/>
        </w:rPr>
        <w:t> </w:t>
      </w:r>
      <w:r>
        <w:rPr>
          <w:color w:val="231F20"/>
        </w:rPr>
        <w:t>свих</w:t>
      </w:r>
      <w:r>
        <w:rPr>
          <w:color w:val="231F20"/>
          <w:spacing w:val="-4"/>
        </w:rPr>
        <w:t> </w:t>
      </w:r>
      <w:r>
        <w:rPr>
          <w:color w:val="231F20"/>
        </w:rPr>
        <w:t>скретни- ца скретничким механичким кључевним бравама. Овај уређај омогућава увођење зависности између улазних сигнала, али не обезбеђују зависност сигнала и положаја скретница и одсека </w:t>
      </w:r>
      <w:r>
        <w:rPr>
          <w:color w:val="231F20"/>
          <w:spacing w:val="-3"/>
        </w:rPr>
        <w:t>тако </w:t>
      </w:r>
      <w:r>
        <w:rPr>
          <w:color w:val="231F20"/>
        </w:rPr>
        <w:t>да је кроз скретничко подручје дозвољена максимална брзина </w:t>
      </w:r>
      <w:r>
        <w:rPr>
          <w:color w:val="231F20"/>
          <w:spacing w:val="-3"/>
        </w:rPr>
        <w:t>од </w:t>
      </w:r>
      <w:r>
        <w:rPr>
          <w:color w:val="231F20"/>
        </w:rPr>
        <w:t>50km/h. Пут во- жње постављаће се ручним прекретањем скретница у одговарајући</w:t>
      </w:r>
      <w:r>
        <w:rPr>
          <w:color w:val="231F20"/>
          <w:spacing w:val="-6"/>
        </w:rPr>
        <w:t> </w:t>
      </w:r>
      <w:r>
        <w:rPr>
          <w:color w:val="231F20"/>
        </w:rPr>
        <w:t>положај.</w:t>
      </w:r>
    </w:p>
    <w:p>
      <w:pPr>
        <w:pStyle w:val="BodyText"/>
        <w:spacing w:line="247" w:lineRule="auto" w:before="4"/>
        <w:ind w:left="169" w:right="411" w:firstLine="396"/>
      </w:pPr>
      <w:r>
        <w:rPr>
          <w:color w:val="231F20"/>
          <w:spacing w:val="-3"/>
        </w:rPr>
        <w:t>Такође</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извршити</w:t>
      </w:r>
      <w:r>
        <w:rPr>
          <w:color w:val="231F20"/>
          <w:spacing w:val="-5"/>
        </w:rPr>
        <w:t> </w:t>
      </w:r>
      <w:r>
        <w:rPr>
          <w:color w:val="231F20"/>
        </w:rPr>
        <w:t>осигурање</w:t>
      </w:r>
      <w:r>
        <w:rPr>
          <w:color w:val="231F20"/>
          <w:spacing w:val="-5"/>
        </w:rPr>
        <w:t> </w:t>
      </w:r>
      <w:r>
        <w:rPr>
          <w:color w:val="231F20"/>
        </w:rPr>
        <w:t>путних</w:t>
      </w:r>
      <w:r>
        <w:rPr>
          <w:color w:val="231F20"/>
          <w:spacing w:val="-5"/>
        </w:rPr>
        <w:t> </w:t>
      </w:r>
      <w:r>
        <w:rPr>
          <w:color w:val="231F20"/>
        </w:rPr>
        <w:t>прелаза</w:t>
      </w:r>
      <w:r>
        <w:rPr>
          <w:color w:val="231F20"/>
          <w:spacing w:val="-5"/>
        </w:rPr>
        <w:t> </w:t>
      </w:r>
      <w:r>
        <w:rPr>
          <w:color w:val="231F20"/>
        </w:rPr>
        <w:t>у</w:t>
      </w:r>
      <w:r>
        <w:rPr>
          <w:color w:val="231F20"/>
          <w:spacing w:val="-5"/>
        </w:rPr>
        <w:t> </w:t>
      </w:r>
      <w:r>
        <w:rPr>
          <w:color w:val="231F20"/>
        </w:rPr>
        <w:t>нивоу</w:t>
      </w:r>
      <w:r>
        <w:rPr>
          <w:color w:val="231F20"/>
          <w:spacing w:val="-5"/>
        </w:rPr>
        <w:t> </w:t>
      </w:r>
      <w:r>
        <w:rPr>
          <w:color w:val="231F20"/>
        </w:rPr>
        <w:t>новог</w:t>
      </w:r>
      <w:r>
        <w:rPr>
          <w:color w:val="231F20"/>
          <w:spacing w:val="-5"/>
        </w:rPr>
        <w:t> </w:t>
      </w:r>
      <w:r>
        <w:rPr>
          <w:color w:val="231F20"/>
        </w:rPr>
        <w:t>индустријског</w:t>
      </w:r>
      <w:r>
        <w:rPr>
          <w:color w:val="231F20"/>
          <w:spacing w:val="-5"/>
        </w:rPr>
        <w:t> </w:t>
      </w:r>
      <w:r>
        <w:rPr>
          <w:color w:val="231F20"/>
        </w:rPr>
        <w:t>колосека</w:t>
      </w:r>
      <w:r>
        <w:rPr>
          <w:color w:val="231F20"/>
          <w:spacing w:val="-5"/>
        </w:rPr>
        <w:t> </w:t>
      </w:r>
      <w:r>
        <w:rPr>
          <w:color w:val="231F20"/>
        </w:rPr>
        <w:t>са</w:t>
      </w:r>
      <w:r>
        <w:rPr>
          <w:color w:val="231F20"/>
          <w:spacing w:val="-5"/>
        </w:rPr>
        <w:t> </w:t>
      </w:r>
      <w:r>
        <w:rPr>
          <w:color w:val="231F20"/>
        </w:rPr>
        <w:t>друмским</w:t>
      </w:r>
      <w:r>
        <w:rPr>
          <w:color w:val="231F20"/>
          <w:spacing w:val="-5"/>
        </w:rPr>
        <w:t> </w:t>
      </w:r>
      <w:r>
        <w:rPr>
          <w:color w:val="231F20"/>
        </w:rPr>
        <w:t>саобраћајницама</w:t>
      </w:r>
      <w:r>
        <w:rPr>
          <w:color w:val="231F20"/>
          <w:spacing w:val="-5"/>
        </w:rPr>
        <w:t> </w:t>
      </w:r>
      <w:r>
        <w:rPr>
          <w:color w:val="231F20"/>
        </w:rPr>
        <w:t>савременим уређајима</w:t>
      </w:r>
      <w:r>
        <w:rPr>
          <w:color w:val="231F20"/>
          <w:spacing w:val="-6"/>
        </w:rPr>
        <w:t> </w:t>
      </w:r>
      <w:r>
        <w:rPr>
          <w:color w:val="231F20"/>
        </w:rPr>
        <w:t>осигурања</w:t>
      </w:r>
      <w:r>
        <w:rPr>
          <w:color w:val="231F20"/>
          <w:spacing w:val="-6"/>
        </w:rPr>
        <w:t> </w:t>
      </w:r>
      <w:r>
        <w:rPr>
          <w:color w:val="231F20"/>
        </w:rPr>
        <w:t>и</w:t>
      </w:r>
      <w:r>
        <w:rPr>
          <w:color w:val="231F20"/>
          <w:spacing w:val="-6"/>
        </w:rPr>
        <w:t> </w:t>
      </w:r>
      <w:r>
        <w:rPr>
          <w:color w:val="231F20"/>
        </w:rPr>
        <w:t>њихово</w:t>
      </w:r>
      <w:r>
        <w:rPr>
          <w:color w:val="231F20"/>
          <w:spacing w:val="-6"/>
        </w:rPr>
        <w:t> </w:t>
      </w:r>
      <w:r>
        <w:rPr>
          <w:color w:val="231F20"/>
        </w:rPr>
        <w:t>повезивање</w:t>
      </w:r>
      <w:r>
        <w:rPr>
          <w:color w:val="231F20"/>
          <w:spacing w:val="-6"/>
        </w:rPr>
        <w:t> </w:t>
      </w:r>
      <w:r>
        <w:rPr>
          <w:color w:val="231F20"/>
        </w:rPr>
        <w:t>на</w:t>
      </w:r>
      <w:r>
        <w:rPr>
          <w:color w:val="231F20"/>
          <w:spacing w:val="-6"/>
        </w:rPr>
        <w:t> </w:t>
      </w:r>
      <w:r>
        <w:rPr>
          <w:color w:val="231F20"/>
        </w:rPr>
        <w:t>нисконапонску</w:t>
      </w:r>
      <w:r>
        <w:rPr>
          <w:color w:val="231F20"/>
          <w:spacing w:val="-6"/>
        </w:rPr>
        <w:t> </w:t>
      </w:r>
      <w:r>
        <w:rPr>
          <w:color w:val="231F20"/>
        </w:rPr>
        <w:t>дистрибутивну</w:t>
      </w:r>
      <w:r>
        <w:rPr>
          <w:color w:val="231F20"/>
          <w:spacing w:val="-6"/>
        </w:rPr>
        <w:t> </w:t>
      </w:r>
      <w:r>
        <w:rPr>
          <w:color w:val="231F20"/>
          <w:spacing w:val="-4"/>
        </w:rPr>
        <w:t>мрежу.</w:t>
      </w:r>
      <w:r>
        <w:rPr>
          <w:color w:val="231F20"/>
          <w:spacing w:val="-6"/>
        </w:rPr>
        <w:t> </w:t>
      </w:r>
      <w:r>
        <w:rPr>
          <w:color w:val="231F20"/>
        </w:rPr>
        <w:t>Путни</w:t>
      </w:r>
      <w:r>
        <w:rPr>
          <w:color w:val="231F20"/>
          <w:spacing w:val="-6"/>
        </w:rPr>
        <w:t> </w:t>
      </w:r>
      <w:r>
        <w:rPr>
          <w:color w:val="231F20"/>
        </w:rPr>
        <w:t>прелази</w:t>
      </w:r>
      <w:r>
        <w:rPr>
          <w:color w:val="231F20"/>
          <w:spacing w:val="-6"/>
        </w:rPr>
        <w:t> </w:t>
      </w:r>
      <w:r>
        <w:rPr>
          <w:color w:val="231F20"/>
        </w:rPr>
        <w:t>у</w:t>
      </w:r>
      <w:r>
        <w:rPr>
          <w:color w:val="231F20"/>
          <w:spacing w:val="-6"/>
        </w:rPr>
        <w:t> </w:t>
      </w:r>
      <w:r>
        <w:rPr>
          <w:color w:val="231F20"/>
        </w:rPr>
        <w:t>km:</w:t>
      </w:r>
      <w:r>
        <w:rPr>
          <w:color w:val="231F20"/>
          <w:spacing w:val="-6"/>
        </w:rPr>
        <w:t> </w:t>
      </w:r>
      <w:r>
        <w:rPr>
          <w:color w:val="231F20"/>
        </w:rPr>
        <w:t>8+435</w:t>
      </w:r>
      <w:r>
        <w:rPr>
          <w:color w:val="231F20"/>
          <w:spacing w:val="-6"/>
        </w:rPr>
        <w:t> </w:t>
      </w:r>
      <w:r>
        <w:rPr>
          <w:color w:val="231F20"/>
        </w:rPr>
        <w:t>и</w:t>
      </w:r>
      <w:r>
        <w:rPr>
          <w:color w:val="231F20"/>
          <w:spacing w:val="-6"/>
        </w:rPr>
        <w:t> </w:t>
      </w:r>
      <w:r>
        <w:rPr>
          <w:color w:val="231F20"/>
        </w:rPr>
        <w:t>у</w:t>
      </w:r>
      <w:r>
        <w:rPr>
          <w:color w:val="231F20"/>
          <w:spacing w:val="-6"/>
        </w:rPr>
        <w:t> </w:t>
      </w:r>
      <w:r>
        <w:rPr>
          <w:color w:val="231F20"/>
        </w:rPr>
        <w:t>km:</w:t>
      </w:r>
      <w:r>
        <w:rPr>
          <w:color w:val="231F20"/>
          <w:spacing w:val="-6"/>
        </w:rPr>
        <w:t> </w:t>
      </w:r>
      <w:r>
        <w:rPr>
          <w:color w:val="231F20"/>
        </w:rPr>
        <w:t>12+677</w:t>
      </w:r>
      <w:r>
        <w:rPr>
          <w:color w:val="231F20"/>
          <w:spacing w:val="-6"/>
        </w:rPr>
        <w:t> </w:t>
      </w:r>
      <w:r>
        <w:rPr>
          <w:color w:val="231F20"/>
        </w:rPr>
        <w:t>опреми- ће се </w:t>
      </w:r>
      <w:r>
        <w:rPr>
          <w:color w:val="231F20"/>
          <w:spacing w:val="-3"/>
        </w:rPr>
        <w:t>аутоматским </w:t>
      </w:r>
      <w:r>
        <w:rPr>
          <w:color w:val="231F20"/>
        </w:rPr>
        <w:t>уређајима за обезбеђење саобраћаја са контролним сигналима, а путни прелаз у km: 13+788 опремиће се тастерским уређајем за обезбеђење</w:t>
      </w:r>
      <w:r>
        <w:rPr>
          <w:color w:val="231F20"/>
          <w:spacing w:val="-3"/>
        </w:rPr>
        <w:t> </w:t>
      </w:r>
      <w:r>
        <w:rPr>
          <w:color w:val="231F20"/>
        </w:rPr>
        <w:t>саобраћаја.</w:t>
      </w:r>
    </w:p>
    <w:p>
      <w:pPr>
        <w:pStyle w:val="BodyText"/>
        <w:spacing w:line="247" w:lineRule="auto" w:before="3"/>
        <w:ind w:left="169" w:right="412" w:firstLine="397"/>
      </w:pPr>
      <w:r>
        <w:rPr>
          <w:color w:val="231F20"/>
        </w:rPr>
        <w:t>С обзиром на растојање од око 6 km између укрснице и круга ТЕ „Костолац Б” у каснијој фази осигурања могуће је извршити оси- гурање комплетне деонице нове пруге савременим уређајем електронске поставнице.</w:t>
      </w:r>
    </w:p>
    <w:p>
      <w:pPr>
        <w:spacing w:after="0" w:line="247" w:lineRule="auto"/>
        <w:sectPr>
          <w:pgSz w:w="12480" w:h="15690"/>
          <w:pgMar w:top="480" w:bottom="280" w:left="680" w:right="720"/>
        </w:sectPr>
      </w:pPr>
    </w:p>
    <w:p>
      <w:pPr>
        <w:pStyle w:val="ListParagraph"/>
        <w:numPr>
          <w:ilvl w:val="2"/>
          <w:numId w:val="78"/>
        </w:numPr>
        <w:tabs>
          <w:tab w:pos="1153" w:val="left" w:leader="none"/>
        </w:tabs>
        <w:spacing w:line="232" w:lineRule="auto" w:before="73" w:after="0"/>
        <w:ind w:left="2293" w:right="250" w:hanging="1591"/>
        <w:jc w:val="left"/>
        <w:rPr>
          <w:sz w:val="18"/>
        </w:rPr>
      </w:pPr>
      <w:r>
        <w:rPr/>
        <w:pict>
          <v:line style="position:absolute;mso-position-horizontal-relative:page;mso-position-vertical-relative:page;z-index:4816" from="318.897614pt,11.942451pt" to="318.897614pt,748.950451pt" stroked="true" strokeweight=".6pt" strokecolor="#231f20">
            <v:stroke dashstyle="solid"/>
            <w10:wrap type="none"/>
          </v:line>
        </w:pict>
      </w:r>
      <w:r>
        <w:rPr>
          <w:color w:val="231F20"/>
          <w:spacing w:val="16"/>
          <w:sz w:val="18"/>
        </w:rPr>
        <w:t>Правила изградње </w:t>
      </w:r>
      <w:r>
        <w:rPr>
          <w:color w:val="231F20"/>
          <w:spacing w:val="10"/>
          <w:sz w:val="18"/>
        </w:rPr>
        <w:t>за </w:t>
      </w:r>
      <w:r>
        <w:rPr>
          <w:color w:val="231F20"/>
          <w:spacing w:val="15"/>
          <w:sz w:val="18"/>
        </w:rPr>
        <w:t>инст </w:t>
      </w:r>
      <w:r>
        <w:rPr>
          <w:color w:val="231F20"/>
          <w:sz w:val="18"/>
        </w:rPr>
        <w:t>а </w:t>
      </w:r>
      <w:r>
        <w:rPr>
          <w:color w:val="231F20"/>
          <w:spacing w:val="15"/>
          <w:sz w:val="18"/>
        </w:rPr>
        <w:t>лације водовода </w:t>
      </w:r>
      <w:r>
        <w:rPr>
          <w:color w:val="231F20"/>
          <w:sz w:val="18"/>
        </w:rPr>
        <w:t>и </w:t>
      </w:r>
      <w:r>
        <w:rPr>
          <w:color w:val="231F20"/>
          <w:spacing w:val="13"/>
          <w:sz w:val="18"/>
        </w:rPr>
        <w:t>кана</w:t>
      </w:r>
      <w:r>
        <w:rPr>
          <w:color w:val="231F20"/>
          <w:spacing w:val="-24"/>
          <w:sz w:val="18"/>
        </w:rPr>
        <w:t> </w:t>
      </w:r>
      <w:r>
        <w:rPr>
          <w:color w:val="231F20"/>
          <w:spacing w:val="16"/>
          <w:sz w:val="18"/>
        </w:rPr>
        <w:t>лизације</w:t>
      </w:r>
    </w:p>
    <w:p>
      <w:pPr>
        <w:pStyle w:val="BodyText"/>
        <w:spacing w:before="2"/>
        <w:ind w:left="0"/>
        <w:jc w:val="left"/>
        <w:rPr>
          <w:sz w:val="17"/>
        </w:rPr>
      </w:pPr>
    </w:p>
    <w:p>
      <w:pPr>
        <w:pStyle w:val="BodyText"/>
        <w:spacing w:line="232" w:lineRule="auto" w:before="1"/>
        <w:ind w:left="454" w:right="1" w:firstLine="396"/>
      </w:pPr>
      <w:r>
        <w:rPr>
          <w:color w:val="231F20"/>
        </w:rPr>
        <w:t>Одводњавање пруге предвиђено је подужним и попречним нагибима планума, као и изградњом нових канала и објеката од 5 m пропуста. Предвиђени систем одводњавања је отворен.</w:t>
      </w:r>
    </w:p>
    <w:p>
      <w:pPr>
        <w:pStyle w:val="BodyText"/>
        <w:spacing w:line="230" w:lineRule="auto"/>
        <w:ind w:left="454" w:firstLine="396"/>
      </w:pPr>
      <w:r>
        <w:rPr>
          <w:color w:val="231F20"/>
        </w:rPr>
        <w:t>Идејним пројектом су предвиђени трапезни земљани канали ширине дна 0.5 m мин. дубине 0.35 m. Воде прикупљене овим ка- налима изливају се кроз пројектоване пропусте у постојеће локал- не депресије.</w:t>
      </w:r>
    </w:p>
    <w:p>
      <w:pPr>
        <w:pStyle w:val="BodyText"/>
        <w:spacing w:line="230" w:lineRule="auto"/>
        <w:ind w:left="454" w:firstLine="396"/>
      </w:pPr>
      <w:r>
        <w:rPr>
          <w:color w:val="231F20"/>
        </w:rPr>
        <w:t>Због конфигурације терена канали имају врло мале падове, због тога ће поједини земљани канали служити као ретензије.</w:t>
      </w:r>
    </w:p>
    <w:p>
      <w:pPr>
        <w:pStyle w:val="BodyText"/>
        <w:spacing w:line="230" w:lineRule="auto"/>
        <w:ind w:left="455" w:firstLine="396"/>
      </w:pPr>
      <w:r>
        <w:rPr>
          <w:color w:val="231F20"/>
        </w:rPr>
        <w:t>Сви евентуални водоводни и канализациони системи се мо- рају трасирати тако:</w:t>
      </w:r>
    </w:p>
    <w:p>
      <w:pPr>
        <w:pStyle w:val="BodyText"/>
        <w:spacing w:line="230" w:lineRule="auto"/>
        <w:ind w:left="455" w:firstLine="396"/>
      </w:pPr>
      <w:r>
        <w:rPr>
          <w:color w:val="231F20"/>
          <w:w w:val="66"/>
        </w:rPr>
        <w:t> </w:t>
      </w:r>
      <w:r>
        <w:rPr>
          <w:color w:val="231F20"/>
        </w:rPr>
        <w:t>– да не угрожавају постојеће и планиране објекте, као и пла- ниране намене коришћења земљишта,</w:t>
      </w:r>
    </w:p>
    <w:p>
      <w:pPr>
        <w:pStyle w:val="BodyText"/>
        <w:spacing w:line="230" w:lineRule="auto"/>
        <w:ind w:left="455" w:firstLine="397"/>
      </w:pPr>
      <w:r>
        <w:rPr>
          <w:color w:val="231F20"/>
          <w:w w:val="66"/>
        </w:rPr>
        <w:t> </w:t>
      </w:r>
      <w:r>
        <w:rPr>
          <w:color w:val="231F20"/>
        </w:rPr>
        <w:t>–</w:t>
      </w:r>
      <w:r>
        <w:rPr>
          <w:color w:val="231F20"/>
          <w:spacing w:val="-9"/>
        </w:rPr>
        <w:t> </w:t>
      </w:r>
      <w:r>
        <w:rPr>
          <w:color w:val="231F20"/>
        </w:rPr>
        <w:t>да</w:t>
      </w:r>
      <w:r>
        <w:rPr>
          <w:color w:val="231F20"/>
          <w:spacing w:val="-9"/>
        </w:rPr>
        <w:t> </w:t>
      </w:r>
      <w:r>
        <w:rPr>
          <w:color w:val="231F20"/>
        </w:rPr>
        <w:t>се</w:t>
      </w:r>
      <w:r>
        <w:rPr>
          <w:color w:val="231F20"/>
          <w:spacing w:val="-9"/>
        </w:rPr>
        <w:t> </w:t>
      </w:r>
      <w:r>
        <w:rPr>
          <w:color w:val="231F20"/>
        </w:rPr>
        <w:t>подземни</w:t>
      </w:r>
      <w:r>
        <w:rPr>
          <w:color w:val="231F20"/>
          <w:spacing w:val="-9"/>
        </w:rPr>
        <w:t> </w:t>
      </w:r>
      <w:r>
        <w:rPr>
          <w:color w:val="231F20"/>
        </w:rPr>
        <w:t>простор</w:t>
      </w:r>
      <w:r>
        <w:rPr>
          <w:color w:val="231F20"/>
          <w:spacing w:val="-9"/>
        </w:rPr>
        <w:t> </w:t>
      </w:r>
      <w:r>
        <w:rPr>
          <w:color w:val="231F20"/>
        </w:rPr>
        <w:t>и</w:t>
      </w:r>
      <w:r>
        <w:rPr>
          <w:color w:val="231F20"/>
          <w:spacing w:val="-9"/>
        </w:rPr>
        <w:t> </w:t>
      </w:r>
      <w:r>
        <w:rPr>
          <w:color w:val="231F20"/>
        </w:rPr>
        <w:t>грађевинска</w:t>
      </w:r>
      <w:r>
        <w:rPr>
          <w:color w:val="231F20"/>
          <w:spacing w:val="-9"/>
        </w:rPr>
        <w:t> </w:t>
      </w:r>
      <w:r>
        <w:rPr>
          <w:color w:val="231F20"/>
        </w:rPr>
        <w:t>површина</w:t>
      </w:r>
      <w:r>
        <w:rPr>
          <w:color w:val="231F20"/>
          <w:spacing w:val="-9"/>
        </w:rPr>
        <w:t> </w:t>
      </w:r>
      <w:r>
        <w:rPr>
          <w:color w:val="231F20"/>
        </w:rPr>
        <w:t>рационал- но</w:t>
      </w:r>
      <w:r>
        <w:rPr>
          <w:color w:val="231F20"/>
          <w:spacing w:val="-2"/>
        </w:rPr>
        <w:t> </w:t>
      </w:r>
      <w:r>
        <w:rPr>
          <w:color w:val="231F20"/>
        </w:rPr>
        <w:t>користе,</w:t>
      </w:r>
    </w:p>
    <w:p>
      <w:pPr>
        <w:pStyle w:val="BodyText"/>
        <w:spacing w:line="230" w:lineRule="auto"/>
        <w:ind w:left="455" w:firstLine="396"/>
      </w:pPr>
      <w:r>
        <w:rPr>
          <w:color w:val="231F20"/>
          <w:w w:val="66"/>
        </w:rPr>
        <w:t> </w:t>
      </w:r>
      <w:r>
        <w:rPr>
          <w:color w:val="231F20"/>
        </w:rPr>
        <w:t>–</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поштују</w:t>
      </w:r>
      <w:r>
        <w:rPr>
          <w:color w:val="231F20"/>
          <w:spacing w:val="-7"/>
        </w:rPr>
        <w:t> </w:t>
      </w:r>
      <w:r>
        <w:rPr>
          <w:color w:val="231F20"/>
        </w:rPr>
        <w:t>прописи</w:t>
      </w:r>
      <w:r>
        <w:rPr>
          <w:color w:val="231F20"/>
          <w:spacing w:val="-7"/>
        </w:rPr>
        <w:t> </w:t>
      </w:r>
      <w:r>
        <w:rPr>
          <w:color w:val="231F20"/>
          <w:spacing w:val="-3"/>
        </w:rPr>
        <w:t>који</w:t>
      </w:r>
      <w:r>
        <w:rPr>
          <w:color w:val="231F20"/>
          <w:spacing w:val="-7"/>
        </w:rPr>
        <w:t> </w:t>
      </w:r>
      <w:r>
        <w:rPr>
          <w:color w:val="231F20"/>
        </w:rPr>
        <w:t>се</w:t>
      </w:r>
      <w:r>
        <w:rPr>
          <w:color w:val="231F20"/>
          <w:spacing w:val="-7"/>
        </w:rPr>
        <w:t> </w:t>
      </w:r>
      <w:r>
        <w:rPr>
          <w:color w:val="231F20"/>
        </w:rPr>
        <w:t>односе</w:t>
      </w:r>
      <w:r>
        <w:rPr>
          <w:color w:val="231F20"/>
          <w:spacing w:val="-7"/>
        </w:rPr>
        <w:t> </w:t>
      </w:r>
      <w:r>
        <w:rPr>
          <w:color w:val="231F20"/>
        </w:rPr>
        <w:t>на</w:t>
      </w:r>
      <w:r>
        <w:rPr>
          <w:color w:val="231F20"/>
          <w:spacing w:val="-7"/>
        </w:rPr>
        <w:t> </w:t>
      </w:r>
      <w:r>
        <w:rPr>
          <w:color w:val="231F20"/>
        </w:rPr>
        <w:t>друге</w:t>
      </w:r>
      <w:r>
        <w:rPr>
          <w:color w:val="231F20"/>
          <w:spacing w:val="-7"/>
        </w:rPr>
        <w:t> </w:t>
      </w:r>
      <w:r>
        <w:rPr>
          <w:color w:val="231F20"/>
        </w:rPr>
        <w:t>инфраструк- туре,</w:t>
      </w:r>
      <w:r>
        <w:rPr>
          <w:color w:val="231F20"/>
          <w:spacing w:val="-1"/>
        </w:rPr>
        <w:t> </w:t>
      </w:r>
      <w:r>
        <w:rPr>
          <w:color w:val="231F20"/>
        </w:rPr>
        <w:t>и</w:t>
      </w:r>
    </w:p>
    <w:p>
      <w:pPr>
        <w:pStyle w:val="BodyText"/>
        <w:spacing w:line="230" w:lineRule="auto"/>
        <w:ind w:left="455" w:firstLine="396"/>
      </w:pPr>
      <w:r>
        <w:rPr>
          <w:color w:val="231F20"/>
          <w:w w:val="66"/>
        </w:rPr>
        <w:t> </w:t>
      </w:r>
      <w:r>
        <w:rPr>
          <w:color w:val="231F20"/>
        </w:rPr>
        <w:t>–</w:t>
      </w:r>
      <w:r>
        <w:rPr>
          <w:color w:val="231F20"/>
          <w:spacing w:val="-7"/>
        </w:rPr>
        <w:t> </w:t>
      </w:r>
      <w:r>
        <w:rPr>
          <w:color w:val="231F20"/>
        </w:rPr>
        <w:t>да</w:t>
      </w:r>
      <w:r>
        <w:rPr>
          <w:color w:val="231F20"/>
          <w:spacing w:val="-7"/>
        </w:rPr>
        <w:t> </w:t>
      </w:r>
      <w:r>
        <w:rPr>
          <w:color w:val="231F20"/>
        </w:rPr>
        <w:t>се</w:t>
      </w:r>
      <w:r>
        <w:rPr>
          <w:color w:val="231F20"/>
          <w:spacing w:val="-7"/>
        </w:rPr>
        <w:t> </w:t>
      </w:r>
      <w:r>
        <w:rPr>
          <w:color w:val="231F20"/>
        </w:rPr>
        <w:t>води</w:t>
      </w:r>
      <w:r>
        <w:rPr>
          <w:color w:val="231F20"/>
          <w:spacing w:val="-7"/>
        </w:rPr>
        <w:t> </w:t>
      </w:r>
      <w:r>
        <w:rPr>
          <w:color w:val="231F20"/>
        </w:rPr>
        <w:t>рачуна</w:t>
      </w:r>
      <w:r>
        <w:rPr>
          <w:color w:val="231F20"/>
          <w:spacing w:val="-7"/>
        </w:rPr>
        <w:t> </w:t>
      </w:r>
      <w:r>
        <w:rPr>
          <w:color w:val="231F20"/>
        </w:rPr>
        <w:t>о</w:t>
      </w:r>
      <w:r>
        <w:rPr>
          <w:color w:val="231F20"/>
          <w:spacing w:val="-7"/>
        </w:rPr>
        <w:t> </w:t>
      </w:r>
      <w:r>
        <w:rPr>
          <w:color w:val="231F20"/>
        </w:rPr>
        <w:t>геолошким</w:t>
      </w:r>
      <w:r>
        <w:rPr>
          <w:color w:val="231F20"/>
          <w:spacing w:val="-7"/>
        </w:rPr>
        <w:t> </w:t>
      </w:r>
      <w:r>
        <w:rPr>
          <w:color w:val="231F20"/>
        </w:rPr>
        <w:t>особинама</w:t>
      </w:r>
      <w:r>
        <w:rPr>
          <w:color w:val="231F20"/>
          <w:spacing w:val="-7"/>
        </w:rPr>
        <w:t> </w:t>
      </w:r>
      <w:r>
        <w:rPr>
          <w:color w:val="231F20"/>
        </w:rPr>
        <w:t>тла</w:t>
      </w:r>
      <w:r>
        <w:rPr>
          <w:color w:val="231F20"/>
          <w:spacing w:val="-7"/>
        </w:rPr>
        <w:t> </w:t>
      </w:r>
      <w:r>
        <w:rPr>
          <w:color w:val="231F20"/>
        </w:rPr>
        <w:t>и</w:t>
      </w:r>
      <w:r>
        <w:rPr>
          <w:color w:val="231F20"/>
          <w:spacing w:val="-7"/>
        </w:rPr>
        <w:t> </w:t>
      </w:r>
      <w:r>
        <w:rPr>
          <w:color w:val="231F20"/>
        </w:rPr>
        <w:t>подземним водама.</w:t>
      </w:r>
    </w:p>
    <w:p>
      <w:pPr>
        <w:pStyle w:val="BodyText"/>
        <w:spacing w:line="230" w:lineRule="auto"/>
        <w:ind w:left="456" w:right="1" w:firstLine="396"/>
      </w:pPr>
      <w:r>
        <w:rPr>
          <w:color w:val="231F20"/>
        </w:rPr>
        <w:t>Забрањена је изградња објеката и сађење засада над развод- ном мрежом водовода или канализације.</w:t>
      </w:r>
    </w:p>
    <w:p>
      <w:pPr>
        <w:pStyle w:val="BodyText"/>
        <w:spacing w:line="230" w:lineRule="auto"/>
        <w:ind w:left="456" w:right="1" w:firstLine="396"/>
      </w:pPr>
      <w:r>
        <w:rPr>
          <w:color w:val="231F20"/>
          <w:spacing w:val="-6"/>
        </w:rPr>
        <w:t>Код </w:t>
      </w:r>
      <w:r>
        <w:rPr>
          <w:color w:val="231F20"/>
        </w:rPr>
        <w:t>пројектовања и изградње, обавезно је поштовање и при- мена</w:t>
      </w:r>
      <w:r>
        <w:rPr>
          <w:color w:val="231F20"/>
          <w:spacing w:val="-8"/>
        </w:rPr>
        <w:t> </w:t>
      </w:r>
      <w:r>
        <w:rPr>
          <w:color w:val="231F20"/>
        </w:rPr>
        <w:t>свих</w:t>
      </w:r>
      <w:r>
        <w:rPr>
          <w:color w:val="231F20"/>
          <w:spacing w:val="-8"/>
        </w:rPr>
        <w:t> </w:t>
      </w:r>
      <w:r>
        <w:rPr>
          <w:color w:val="231F20"/>
        </w:rPr>
        <w:t>важећих</w:t>
      </w:r>
      <w:r>
        <w:rPr>
          <w:color w:val="231F20"/>
          <w:spacing w:val="-8"/>
        </w:rPr>
        <w:t> </w:t>
      </w:r>
      <w:r>
        <w:rPr>
          <w:color w:val="231F20"/>
        </w:rPr>
        <w:t>техничких</w:t>
      </w:r>
      <w:r>
        <w:rPr>
          <w:color w:val="231F20"/>
          <w:spacing w:val="-8"/>
        </w:rPr>
        <w:t> </w:t>
      </w:r>
      <w:r>
        <w:rPr>
          <w:color w:val="231F20"/>
        </w:rPr>
        <w:t>прописа</w:t>
      </w:r>
      <w:r>
        <w:rPr>
          <w:color w:val="231F20"/>
          <w:spacing w:val="-8"/>
        </w:rPr>
        <w:t> </w:t>
      </w:r>
      <w:r>
        <w:rPr>
          <w:color w:val="231F20"/>
        </w:rPr>
        <w:t>и</w:t>
      </w:r>
      <w:r>
        <w:rPr>
          <w:color w:val="231F20"/>
          <w:spacing w:val="-8"/>
        </w:rPr>
        <w:t> </w:t>
      </w:r>
      <w:r>
        <w:rPr>
          <w:color w:val="231F20"/>
          <w:spacing w:val="-3"/>
        </w:rPr>
        <w:t>норматива</w:t>
      </w:r>
      <w:r>
        <w:rPr>
          <w:color w:val="231F20"/>
          <w:spacing w:val="-8"/>
        </w:rPr>
        <w:t> </w:t>
      </w:r>
      <w:r>
        <w:rPr>
          <w:color w:val="231F20"/>
        </w:rPr>
        <w:t>из</w:t>
      </w:r>
      <w:r>
        <w:rPr>
          <w:color w:val="231F20"/>
          <w:spacing w:val="-8"/>
        </w:rPr>
        <w:t> </w:t>
      </w:r>
      <w:r>
        <w:rPr>
          <w:color w:val="231F20"/>
        </w:rPr>
        <w:t>ове</w:t>
      </w:r>
      <w:r>
        <w:rPr>
          <w:color w:val="231F20"/>
          <w:spacing w:val="-8"/>
        </w:rPr>
        <w:t> </w:t>
      </w:r>
      <w:r>
        <w:rPr>
          <w:color w:val="231F20"/>
        </w:rPr>
        <w:t>области.</w:t>
      </w:r>
    </w:p>
    <w:p>
      <w:pPr>
        <w:pStyle w:val="ListParagraph"/>
        <w:numPr>
          <w:ilvl w:val="2"/>
          <w:numId w:val="78"/>
        </w:numPr>
        <w:tabs>
          <w:tab w:pos="1247" w:val="left" w:leader="none"/>
        </w:tabs>
        <w:spacing w:line="396" w:lineRule="exact" w:before="0" w:after="0"/>
        <w:ind w:left="852" w:right="1" w:hanging="56"/>
        <w:jc w:val="left"/>
        <w:rPr>
          <w:sz w:val="18"/>
        </w:rPr>
      </w:pPr>
      <w:r>
        <w:rPr>
          <w:color w:val="231F20"/>
          <w:spacing w:val="16"/>
          <w:sz w:val="18"/>
        </w:rPr>
        <w:t>Правила изградње </w:t>
      </w:r>
      <w:r>
        <w:rPr>
          <w:color w:val="231F20"/>
          <w:spacing w:val="10"/>
          <w:sz w:val="18"/>
        </w:rPr>
        <w:t>за </w:t>
      </w:r>
      <w:r>
        <w:rPr>
          <w:color w:val="231F20"/>
          <w:spacing w:val="15"/>
          <w:sz w:val="18"/>
        </w:rPr>
        <w:t>елект </w:t>
      </w:r>
      <w:r>
        <w:rPr>
          <w:color w:val="231F20"/>
          <w:spacing w:val="15"/>
          <w:sz w:val="18"/>
        </w:rPr>
        <w:t>роинст </w:t>
      </w:r>
      <w:r>
        <w:rPr>
          <w:color w:val="231F20"/>
          <w:sz w:val="18"/>
        </w:rPr>
        <w:t>а </w:t>
      </w:r>
      <w:r>
        <w:rPr>
          <w:color w:val="231F20"/>
          <w:spacing w:val="15"/>
          <w:sz w:val="18"/>
        </w:rPr>
        <w:t>лације </w:t>
      </w:r>
      <w:r>
        <w:rPr>
          <w:color w:val="231F20"/>
          <w:sz w:val="18"/>
        </w:rPr>
        <w:t>Извођење радова се врши на основу техничке</w:t>
      </w:r>
      <w:r>
        <w:rPr>
          <w:color w:val="231F20"/>
          <w:spacing w:val="-8"/>
          <w:sz w:val="18"/>
        </w:rPr>
        <w:t> </w:t>
      </w:r>
      <w:r>
        <w:rPr>
          <w:color w:val="231F20"/>
          <w:sz w:val="18"/>
        </w:rPr>
        <w:t>документације</w:t>
      </w:r>
    </w:p>
    <w:p>
      <w:pPr>
        <w:pStyle w:val="BodyText"/>
        <w:spacing w:line="153" w:lineRule="exact"/>
        <w:ind w:left="455"/>
        <w:jc w:val="left"/>
      </w:pPr>
      <w:r>
        <w:rPr>
          <w:color w:val="231F20"/>
        </w:rPr>
        <w:t>изграђене сагласно техничким условима надлежног предузећа уз</w:t>
      </w:r>
    </w:p>
    <w:p>
      <w:pPr>
        <w:pStyle w:val="BodyText"/>
        <w:spacing w:line="230" w:lineRule="auto"/>
        <w:ind w:left="456"/>
        <w:jc w:val="left"/>
      </w:pPr>
      <w:r>
        <w:rPr>
          <w:color w:val="231F20"/>
        </w:rPr>
        <w:t>примену важећих прописа и техничких порука електродистрибу- ције Републике Србије и то:</w:t>
      </w:r>
    </w:p>
    <w:p>
      <w:pPr>
        <w:pStyle w:val="BodyText"/>
        <w:spacing w:line="230" w:lineRule="auto"/>
        <w:ind w:left="455" w:right="1" w:firstLine="397"/>
      </w:pPr>
      <w:r>
        <w:rPr>
          <w:color w:val="231F20"/>
          <w:w w:val="66"/>
        </w:rPr>
        <w:t> </w:t>
      </w:r>
      <w:r>
        <w:rPr>
          <w:color w:val="231F20"/>
        </w:rPr>
        <w:t>– Правилника о техничким нормативима за изградњу ниско- напонских надземних водова („Службени лист СФРЈ”, број 6/92)</w:t>
      </w:r>
    </w:p>
    <w:p>
      <w:pPr>
        <w:pStyle w:val="BodyText"/>
        <w:spacing w:line="230" w:lineRule="auto"/>
        <w:ind w:left="455" w:right="1" w:firstLine="396"/>
      </w:pPr>
      <w:r>
        <w:rPr>
          <w:color w:val="231F20"/>
          <w:w w:val="66"/>
        </w:rPr>
        <w:t> </w:t>
      </w:r>
      <w:r>
        <w:rPr>
          <w:color w:val="231F20"/>
        </w:rPr>
        <w:t>–</w:t>
      </w:r>
      <w:r>
        <w:rPr>
          <w:color w:val="231F20"/>
          <w:spacing w:val="-14"/>
        </w:rPr>
        <w:t> </w:t>
      </w:r>
      <w:r>
        <w:rPr>
          <w:color w:val="231F20"/>
        </w:rPr>
        <w:t>Правилника</w:t>
      </w:r>
      <w:r>
        <w:rPr>
          <w:color w:val="231F20"/>
          <w:spacing w:val="-14"/>
        </w:rPr>
        <w:t> </w:t>
      </w:r>
      <w:r>
        <w:rPr>
          <w:color w:val="231F20"/>
        </w:rPr>
        <w:t>о</w:t>
      </w:r>
      <w:r>
        <w:rPr>
          <w:color w:val="231F20"/>
          <w:spacing w:val="-14"/>
        </w:rPr>
        <w:t> </w:t>
      </w:r>
      <w:r>
        <w:rPr>
          <w:color w:val="231F20"/>
        </w:rPr>
        <w:t>техничким</w:t>
      </w:r>
      <w:r>
        <w:rPr>
          <w:color w:val="231F20"/>
          <w:spacing w:val="-14"/>
        </w:rPr>
        <w:t> </w:t>
      </w:r>
      <w:r>
        <w:rPr>
          <w:color w:val="231F20"/>
        </w:rPr>
        <w:t>нормативима</w:t>
      </w:r>
      <w:r>
        <w:rPr>
          <w:color w:val="231F20"/>
          <w:spacing w:val="-14"/>
        </w:rPr>
        <w:t> </w:t>
      </w:r>
      <w:r>
        <w:rPr>
          <w:color w:val="231F20"/>
        </w:rPr>
        <w:t>за</w:t>
      </w:r>
      <w:r>
        <w:rPr>
          <w:color w:val="231F20"/>
          <w:spacing w:val="-14"/>
        </w:rPr>
        <w:t> </w:t>
      </w:r>
      <w:r>
        <w:rPr>
          <w:color w:val="231F20"/>
        </w:rPr>
        <w:t>заштиту</w:t>
      </w:r>
      <w:r>
        <w:rPr>
          <w:color w:val="231F20"/>
          <w:spacing w:val="-14"/>
        </w:rPr>
        <w:t> </w:t>
      </w:r>
      <w:r>
        <w:rPr>
          <w:color w:val="231F20"/>
        </w:rPr>
        <w:t>нискона- понских мрежа и припадајућих ТС („Службени лист СФРЈ”, број 13/78 и „Службени лист СРЈ”, број 37/95)</w:t>
      </w:r>
      <w:r>
        <w:rPr>
          <w:color w:val="231F20"/>
          <w:spacing w:val="-4"/>
        </w:rPr>
        <w:t> </w:t>
      </w:r>
      <w:r>
        <w:rPr>
          <w:color w:val="231F20"/>
        </w:rPr>
        <w:t>и</w:t>
      </w:r>
    </w:p>
    <w:p>
      <w:pPr>
        <w:pStyle w:val="BodyText"/>
        <w:spacing w:line="230" w:lineRule="auto"/>
        <w:ind w:left="455" w:firstLine="397"/>
      </w:pPr>
      <w:r>
        <w:rPr>
          <w:color w:val="231F20"/>
          <w:w w:val="66"/>
        </w:rPr>
        <w:t> </w:t>
      </w:r>
      <w:r>
        <w:rPr>
          <w:color w:val="231F20"/>
        </w:rPr>
        <w:t>– Техничких препорука ЕД Србије: tp1a Дистрибутивне ТС 10/0.4kV, и 20/0.4kV.</w:t>
      </w:r>
    </w:p>
    <w:p>
      <w:pPr>
        <w:pStyle w:val="BodyText"/>
        <w:spacing w:line="230" w:lineRule="auto"/>
        <w:ind w:left="455" w:right="1" w:firstLine="396"/>
      </w:pPr>
      <w:r>
        <w:rPr>
          <w:color w:val="231F20"/>
        </w:rPr>
        <w:t>Код укрштања, приближавања и паралелног вођења, стубови надземне мреже ниског напона могу се постављати уз саму ивицу каблова за саобраћајнице или кабловских улаза.</w:t>
      </w:r>
    </w:p>
    <w:p>
      <w:pPr>
        <w:pStyle w:val="BodyText"/>
        <w:spacing w:line="230" w:lineRule="auto"/>
        <w:ind w:left="456" w:right="1" w:firstLine="396"/>
      </w:pPr>
      <w:r>
        <w:rPr>
          <w:color w:val="231F20"/>
        </w:rPr>
        <w:t>Није дозвољено паралелно вођење енергетских каблова, ис- под или изнад гасовода топловода и цеви водова и канализације.</w:t>
      </w:r>
    </w:p>
    <w:p>
      <w:pPr>
        <w:pStyle w:val="BodyText"/>
        <w:spacing w:line="230" w:lineRule="auto"/>
        <w:ind w:left="456" w:firstLine="397"/>
      </w:pPr>
      <w:r>
        <w:rPr>
          <w:color w:val="231F20"/>
          <w:spacing w:val="-3"/>
        </w:rPr>
        <w:t>Укрштање </w:t>
      </w:r>
      <w:r>
        <w:rPr>
          <w:color w:val="231F20"/>
        </w:rPr>
        <w:t>енергетског и телекомуникационог кабла је могу- ће уз поштовање минималног размака, </w:t>
      </w:r>
      <w:r>
        <w:rPr>
          <w:color w:val="231F20"/>
          <w:spacing w:val="-3"/>
        </w:rPr>
        <w:t>под углом </w:t>
      </w:r>
      <w:r>
        <w:rPr>
          <w:color w:val="231F20"/>
        </w:rPr>
        <w:t>што ближе 90°, не мање </w:t>
      </w:r>
      <w:r>
        <w:rPr>
          <w:color w:val="231F20"/>
          <w:spacing w:val="-3"/>
        </w:rPr>
        <w:t>од </w:t>
      </w:r>
      <w:r>
        <w:rPr>
          <w:color w:val="231F20"/>
        </w:rPr>
        <w:t>30° у насељу односно 45° ван насеља. Енергетски</w:t>
      </w:r>
      <w:r>
        <w:rPr>
          <w:color w:val="231F20"/>
          <w:spacing w:val="-25"/>
        </w:rPr>
        <w:t> </w:t>
      </w:r>
      <w:r>
        <w:rPr>
          <w:color w:val="231F20"/>
        </w:rPr>
        <w:t>кабл се полаже испод телекомуникационог</w:t>
      </w:r>
      <w:r>
        <w:rPr>
          <w:color w:val="231F20"/>
          <w:spacing w:val="-6"/>
        </w:rPr>
        <w:t> </w:t>
      </w:r>
      <w:r>
        <w:rPr>
          <w:color w:val="231F20"/>
        </w:rPr>
        <w:t>кабла.</w:t>
      </w:r>
    </w:p>
    <w:p>
      <w:pPr>
        <w:pStyle w:val="BodyText"/>
        <w:spacing w:line="230" w:lineRule="auto"/>
        <w:ind w:left="456" w:firstLine="396"/>
      </w:pPr>
      <w:r>
        <w:rPr>
          <w:color w:val="231F20"/>
        </w:rPr>
        <w:t>На прелазу преко саобраћајнице кабл се полаже у кабловској канализацији, односно у заштитној цеви на дубини мин. 0,8 m ис- под површине коловоза.</w:t>
      </w:r>
    </w:p>
    <w:p>
      <w:pPr>
        <w:pStyle w:val="ListParagraph"/>
        <w:numPr>
          <w:ilvl w:val="2"/>
          <w:numId w:val="78"/>
        </w:numPr>
        <w:tabs>
          <w:tab w:pos="1064" w:val="left" w:leader="none"/>
        </w:tabs>
        <w:spacing w:line="396" w:lineRule="exact" w:before="0" w:after="0"/>
        <w:ind w:left="854" w:right="0" w:hanging="241"/>
        <w:jc w:val="left"/>
        <w:rPr>
          <w:sz w:val="18"/>
        </w:rPr>
      </w:pPr>
      <w:r>
        <w:rPr>
          <w:color w:val="231F20"/>
          <w:spacing w:val="16"/>
          <w:sz w:val="18"/>
        </w:rPr>
        <w:t>Правила изградње телекомуникационе </w:t>
      </w:r>
      <w:r>
        <w:rPr>
          <w:color w:val="231F20"/>
          <w:spacing w:val="15"/>
          <w:sz w:val="18"/>
        </w:rPr>
        <w:t>мреже </w:t>
      </w:r>
      <w:r>
        <w:rPr>
          <w:color w:val="231F20"/>
          <w:sz w:val="18"/>
        </w:rPr>
        <w:t>Поред планираног оптичког кабла Кличевац – Брадарац,</w:t>
      </w:r>
      <w:r>
        <w:rPr>
          <w:color w:val="231F20"/>
          <w:spacing w:val="-25"/>
          <w:sz w:val="18"/>
        </w:rPr>
        <w:t> </w:t>
      </w:r>
      <w:r>
        <w:rPr>
          <w:color w:val="231F20"/>
          <w:spacing w:val="-3"/>
          <w:sz w:val="18"/>
        </w:rPr>
        <w:t>који</w:t>
      </w:r>
    </w:p>
    <w:p>
      <w:pPr>
        <w:pStyle w:val="BodyText"/>
        <w:spacing w:line="153" w:lineRule="exact"/>
        <w:ind w:left="457"/>
        <w:jc w:val="left"/>
      </w:pPr>
      <w:r>
        <w:rPr>
          <w:color w:val="231F20"/>
        </w:rPr>
        <w:t>се пружа уз ДП II реда бр. 103, нема других података о телекому-</w:t>
      </w:r>
    </w:p>
    <w:p>
      <w:pPr>
        <w:pStyle w:val="BodyText"/>
        <w:spacing w:line="198" w:lineRule="exact"/>
        <w:ind w:left="457"/>
        <w:jc w:val="left"/>
      </w:pPr>
      <w:r>
        <w:rPr>
          <w:color w:val="231F20"/>
        </w:rPr>
        <w:t>никационој инфраструктури.</w:t>
      </w:r>
    </w:p>
    <w:p>
      <w:pPr>
        <w:pStyle w:val="BodyText"/>
        <w:spacing w:line="230" w:lineRule="auto" w:before="2"/>
        <w:ind w:left="457" w:firstLine="396"/>
      </w:pPr>
      <w:r>
        <w:rPr>
          <w:color w:val="231F20"/>
        </w:rPr>
        <w:t>Подземни телекомуникациони водови транспортне,</w:t>
      </w:r>
      <w:r>
        <w:rPr>
          <w:color w:val="231F20"/>
          <w:spacing w:val="-32"/>
        </w:rPr>
        <w:t> </w:t>
      </w:r>
      <w:r>
        <w:rPr>
          <w:color w:val="231F20"/>
        </w:rPr>
        <w:t>приступ- не, и телекомуникационе канализације постављају се подземно уз сагласност</w:t>
      </w:r>
      <w:r>
        <w:rPr>
          <w:color w:val="231F20"/>
          <w:spacing w:val="-1"/>
        </w:rPr>
        <w:t> </w:t>
      </w:r>
      <w:r>
        <w:rPr>
          <w:color w:val="231F20"/>
        </w:rPr>
        <w:t>власника-корисника.</w:t>
      </w:r>
    </w:p>
    <w:p>
      <w:pPr>
        <w:pStyle w:val="BodyText"/>
        <w:spacing w:line="230" w:lineRule="auto"/>
        <w:ind w:left="457" w:firstLine="397"/>
      </w:pPr>
      <w:r>
        <w:rPr>
          <w:color w:val="231F20"/>
        </w:rPr>
        <w:t>Подземни телекомуникациони каблови полажу се у ров ши- рине 0,4m на дубини од 0,8 до 1,0m према важећим техничким прописима за полагање ТТ каблова у ров.</w:t>
      </w:r>
    </w:p>
    <w:p>
      <w:pPr>
        <w:pStyle w:val="BodyText"/>
        <w:spacing w:line="230" w:lineRule="auto"/>
        <w:ind w:left="457" w:firstLine="396"/>
      </w:pPr>
      <w:r>
        <w:rPr>
          <w:color w:val="231F20"/>
          <w:spacing w:val="-7"/>
        </w:rPr>
        <w:t>Код </w:t>
      </w:r>
      <w:r>
        <w:rPr>
          <w:color w:val="231F20"/>
          <w:spacing w:val="-3"/>
        </w:rPr>
        <w:t>приближавања </w:t>
      </w:r>
      <w:r>
        <w:rPr>
          <w:color w:val="231F20"/>
        </w:rPr>
        <w:t>и укрштања ТТ </w:t>
      </w:r>
      <w:r>
        <w:rPr>
          <w:color w:val="231F20"/>
          <w:spacing w:val="-4"/>
        </w:rPr>
        <w:t>каблова </w:t>
      </w:r>
      <w:r>
        <w:rPr>
          <w:color w:val="231F20"/>
        </w:rPr>
        <w:t>са осталим</w:t>
      </w:r>
      <w:r>
        <w:rPr>
          <w:color w:val="231F20"/>
          <w:spacing w:val="-33"/>
        </w:rPr>
        <w:t> </w:t>
      </w:r>
      <w:r>
        <w:rPr>
          <w:color w:val="231F20"/>
        </w:rPr>
        <w:t>инфра- </w:t>
      </w:r>
      <w:r>
        <w:rPr>
          <w:color w:val="231F20"/>
          <w:spacing w:val="-3"/>
        </w:rPr>
        <w:t>структурним</w:t>
      </w:r>
      <w:r>
        <w:rPr>
          <w:color w:val="231F20"/>
          <w:spacing w:val="-9"/>
        </w:rPr>
        <w:t> </w:t>
      </w:r>
      <w:r>
        <w:rPr>
          <w:color w:val="231F20"/>
          <w:spacing w:val="-3"/>
        </w:rPr>
        <w:t>објектима</w:t>
      </w:r>
      <w:r>
        <w:rPr>
          <w:color w:val="231F20"/>
          <w:spacing w:val="-9"/>
        </w:rPr>
        <w:t> </w:t>
      </w:r>
      <w:r>
        <w:rPr>
          <w:color w:val="231F20"/>
        </w:rPr>
        <w:t>потребно</w:t>
      </w:r>
      <w:r>
        <w:rPr>
          <w:color w:val="231F20"/>
          <w:spacing w:val="-9"/>
        </w:rPr>
        <w:t> </w:t>
      </w:r>
      <w:r>
        <w:rPr>
          <w:color w:val="231F20"/>
        </w:rPr>
        <w:t>је</w:t>
      </w:r>
      <w:r>
        <w:rPr>
          <w:color w:val="231F20"/>
          <w:spacing w:val="-9"/>
        </w:rPr>
        <w:t> </w:t>
      </w:r>
      <w:r>
        <w:rPr>
          <w:color w:val="231F20"/>
        </w:rPr>
        <w:t>остварити</w:t>
      </w:r>
      <w:r>
        <w:rPr>
          <w:color w:val="231F20"/>
          <w:spacing w:val="-9"/>
        </w:rPr>
        <w:t> </w:t>
      </w:r>
      <w:r>
        <w:rPr>
          <w:color w:val="231F20"/>
        </w:rPr>
        <w:t>минималне</w:t>
      </w:r>
      <w:r>
        <w:rPr>
          <w:color w:val="231F20"/>
          <w:spacing w:val="-9"/>
        </w:rPr>
        <w:t> </w:t>
      </w:r>
      <w:r>
        <w:rPr>
          <w:color w:val="231F20"/>
          <w:spacing w:val="-3"/>
        </w:rPr>
        <w:t>размаке.</w:t>
      </w:r>
    </w:p>
    <w:p>
      <w:pPr>
        <w:pStyle w:val="ListParagraph"/>
        <w:numPr>
          <w:ilvl w:val="2"/>
          <w:numId w:val="78"/>
        </w:numPr>
        <w:tabs>
          <w:tab w:pos="2103" w:val="left" w:leader="none"/>
        </w:tabs>
        <w:spacing w:line="240" w:lineRule="auto" w:before="158" w:after="0"/>
        <w:ind w:left="2102" w:right="0" w:hanging="450"/>
        <w:jc w:val="left"/>
        <w:rPr>
          <w:sz w:val="18"/>
        </w:rPr>
      </w:pPr>
      <w:r>
        <w:rPr>
          <w:color w:val="231F20"/>
          <w:spacing w:val="16"/>
          <w:sz w:val="18"/>
        </w:rPr>
        <w:t>Заштитни </w:t>
      </w:r>
      <w:r>
        <w:rPr>
          <w:color w:val="231F20"/>
          <w:spacing w:val="15"/>
          <w:sz w:val="18"/>
        </w:rPr>
        <w:t>пружни</w:t>
      </w:r>
      <w:r>
        <w:rPr>
          <w:color w:val="231F20"/>
          <w:spacing w:val="8"/>
          <w:sz w:val="18"/>
        </w:rPr>
        <w:t> </w:t>
      </w:r>
      <w:r>
        <w:rPr>
          <w:color w:val="231F20"/>
          <w:spacing w:val="15"/>
          <w:sz w:val="18"/>
        </w:rPr>
        <w:t>појас</w:t>
      </w:r>
    </w:p>
    <w:p>
      <w:pPr>
        <w:pStyle w:val="BodyText"/>
        <w:ind w:left="0"/>
        <w:jc w:val="left"/>
        <w:rPr>
          <w:sz w:val="17"/>
        </w:rPr>
      </w:pPr>
    </w:p>
    <w:p>
      <w:pPr>
        <w:pStyle w:val="BodyText"/>
        <w:spacing w:line="230" w:lineRule="auto"/>
        <w:ind w:left="456" w:firstLine="397"/>
      </w:pPr>
      <w:r>
        <w:rPr>
          <w:color w:val="231F20"/>
        </w:rPr>
        <w:t>Коридор пруге обухвата колосек и простор у ширини </w:t>
      </w:r>
      <w:r>
        <w:rPr>
          <w:color w:val="231F20"/>
          <w:spacing w:val="-3"/>
        </w:rPr>
        <w:t>од </w:t>
      </w:r>
      <w:r>
        <w:rPr>
          <w:color w:val="231F20"/>
        </w:rPr>
        <w:t>25 m</w:t>
      </w:r>
      <w:r>
        <w:rPr>
          <w:color w:val="231F20"/>
          <w:spacing w:val="-4"/>
        </w:rPr>
        <w:t> </w:t>
      </w:r>
      <w:r>
        <w:rPr>
          <w:color w:val="231F20"/>
          <w:spacing w:val="-3"/>
        </w:rPr>
        <w:t>од</w:t>
      </w:r>
      <w:r>
        <w:rPr>
          <w:color w:val="231F20"/>
          <w:spacing w:val="-4"/>
        </w:rPr>
        <w:t> </w:t>
      </w:r>
      <w:r>
        <w:rPr>
          <w:color w:val="231F20"/>
        </w:rPr>
        <w:t>осе</w:t>
      </w:r>
      <w:r>
        <w:rPr>
          <w:color w:val="231F20"/>
          <w:spacing w:val="-4"/>
        </w:rPr>
        <w:t> </w:t>
      </w:r>
      <w:r>
        <w:rPr>
          <w:color w:val="231F20"/>
        </w:rPr>
        <w:t>колосека</w:t>
      </w:r>
      <w:r>
        <w:rPr>
          <w:color w:val="231F20"/>
          <w:spacing w:val="-4"/>
        </w:rPr>
        <w:t> </w:t>
      </w:r>
      <w:r>
        <w:rPr>
          <w:color w:val="231F20"/>
        </w:rPr>
        <w:t>са</w:t>
      </w:r>
      <w:r>
        <w:rPr>
          <w:color w:val="231F20"/>
          <w:spacing w:val="-4"/>
        </w:rPr>
        <w:t> </w:t>
      </w:r>
      <w:r>
        <w:rPr>
          <w:color w:val="231F20"/>
        </w:rPr>
        <w:t>обе</w:t>
      </w:r>
      <w:r>
        <w:rPr>
          <w:color w:val="231F20"/>
          <w:spacing w:val="-4"/>
        </w:rPr>
        <w:t> </w:t>
      </w:r>
      <w:r>
        <w:rPr>
          <w:color w:val="231F20"/>
        </w:rPr>
        <w:t>стране</w:t>
      </w:r>
      <w:r>
        <w:rPr>
          <w:color w:val="231F20"/>
          <w:spacing w:val="-4"/>
        </w:rPr>
        <w:t> </w:t>
      </w:r>
      <w:r>
        <w:rPr>
          <w:color w:val="231F20"/>
        </w:rPr>
        <w:t>пруге,</w:t>
      </w:r>
      <w:r>
        <w:rPr>
          <w:color w:val="231F20"/>
          <w:spacing w:val="-4"/>
        </w:rPr>
        <w:t> </w:t>
      </w:r>
      <w:r>
        <w:rPr>
          <w:color w:val="231F20"/>
        </w:rPr>
        <w:t>што</w:t>
      </w:r>
      <w:r>
        <w:rPr>
          <w:color w:val="231F20"/>
          <w:spacing w:val="-4"/>
        </w:rPr>
        <w:t> </w:t>
      </w:r>
      <w:r>
        <w:rPr>
          <w:color w:val="231F20"/>
        </w:rPr>
        <w:t>представља</w:t>
      </w:r>
      <w:r>
        <w:rPr>
          <w:color w:val="231F20"/>
          <w:spacing w:val="-4"/>
        </w:rPr>
        <w:t> </w:t>
      </w:r>
      <w:r>
        <w:rPr>
          <w:color w:val="231F20"/>
        </w:rPr>
        <w:t>„заштитни пружни појас”, на </w:t>
      </w:r>
      <w:r>
        <w:rPr>
          <w:color w:val="231F20"/>
          <w:spacing w:val="-3"/>
        </w:rPr>
        <w:t>којем </w:t>
      </w:r>
      <w:r>
        <w:rPr>
          <w:color w:val="231F20"/>
        </w:rPr>
        <w:t>се налазе обрадиве</w:t>
      </w:r>
      <w:r>
        <w:rPr>
          <w:color w:val="231F20"/>
          <w:spacing w:val="-4"/>
        </w:rPr>
        <w:t> </w:t>
      </w:r>
      <w:r>
        <w:rPr>
          <w:color w:val="231F20"/>
        </w:rPr>
        <w:t>површине.</w:t>
      </w:r>
    </w:p>
    <w:p>
      <w:pPr>
        <w:pStyle w:val="BodyText"/>
        <w:spacing w:line="232" w:lineRule="auto"/>
        <w:ind w:left="456" w:firstLine="397"/>
      </w:pPr>
      <w:r>
        <w:rPr>
          <w:color w:val="231F20"/>
        </w:rPr>
        <w:t>У оквиру заштитног пружног појаса предвиђене су линеар- не траке зеленила. У делу пружног појас у непосредној близини насеља Дрмно могуће је поставити заштитне баријере од буке на</w:t>
      </w:r>
    </w:p>
    <w:p>
      <w:pPr>
        <w:pStyle w:val="BodyText"/>
        <w:spacing w:line="232" w:lineRule="auto" w:before="72"/>
        <w:ind w:left="241" w:right="126"/>
      </w:pPr>
      <w:r>
        <w:rPr/>
        <w:br w:type="column"/>
      </w:r>
      <w:r>
        <w:rPr>
          <w:color w:val="231F20"/>
        </w:rPr>
        <w:t>местима где се налазе угрожени простори и објекти. Заштитне ба- ријере могу бити од различитих материјала (провидна пластика, дрвене плоче, стакло и друго.), минимална висина баријере изно- си 3m што износи 10 – 20dB(A) редукције на 30m иза препреке.</w:t>
      </w:r>
    </w:p>
    <w:p>
      <w:pPr>
        <w:pStyle w:val="ListParagraph"/>
        <w:numPr>
          <w:ilvl w:val="1"/>
          <w:numId w:val="77"/>
        </w:numPr>
        <w:tabs>
          <w:tab w:pos="1869" w:val="left" w:leader="none"/>
        </w:tabs>
        <w:spacing w:line="240" w:lineRule="auto" w:before="156" w:after="0"/>
        <w:ind w:left="1868" w:right="0" w:hanging="315"/>
        <w:jc w:val="left"/>
        <w:rPr>
          <w:i/>
          <w:sz w:val="18"/>
        </w:rPr>
      </w:pPr>
      <w:r>
        <w:rPr>
          <w:i/>
          <w:color w:val="231F20"/>
          <w:sz w:val="18"/>
        </w:rPr>
        <w:t>Заштита животне</w:t>
      </w:r>
      <w:r>
        <w:rPr>
          <w:i/>
          <w:color w:val="231F20"/>
          <w:spacing w:val="-2"/>
          <w:sz w:val="18"/>
        </w:rPr>
        <w:t> </w:t>
      </w:r>
      <w:r>
        <w:rPr>
          <w:i/>
          <w:color w:val="231F20"/>
          <w:sz w:val="18"/>
        </w:rPr>
        <w:t>средине</w:t>
      </w:r>
    </w:p>
    <w:p>
      <w:pPr>
        <w:pStyle w:val="ListParagraph"/>
        <w:numPr>
          <w:ilvl w:val="2"/>
          <w:numId w:val="77"/>
        </w:numPr>
        <w:tabs>
          <w:tab w:pos="2116" w:val="left" w:leader="none"/>
        </w:tabs>
        <w:spacing w:line="240" w:lineRule="auto" w:before="101" w:after="0"/>
        <w:ind w:left="1674" w:right="0" w:hanging="9"/>
        <w:jc w:val="left"/>
        <w:rPr>
          <w:sz w:val="18"/>
        </w:rPr>
      </w:pPr>
      <w:r>
        <w:rPr>
          <w:color w:val="231F20"/>
          <w:spacing w:val="13"/>
          <w:sz w:val="18"/>
        </w:rPr>
        <w:t>Мере </w:t>
      </w:r>
      <w:r>
        <w:rPr>
          <w:color w:val="231F20"/>
          <w:spacing w:val="16"/>
          <w:sz w:val="18"/>
        </w:rPr>
        <w:t>заштите</w:t>
      </w:r>
      <w:r>
        <w:rPr>
          <w:color w:val="231F20"/>
          <w:spacing w:val="13"/>
          <w:sz w:val="18"/>
        </w:rPr>
        <w:t> </w:t>
      </w:r>
      <w:r>
        <w:rPr>
          <w:color w:val="231F20"/>
          <w:spacing w:val="12"/>
          <w:sz w:val="18"/>
        </w:rPr>
        <w:t>вода</w:t>
      </w:r>
    </w:p>
    <w:p>
      <w:pPr>
        <w:pStyle w:val="BodyText"/>
        <w:spacing w:before="7"/>
        <w:ind w:left="0"/>
        <w:jc w:val="left"/>
        <w:rPr>
          <w:sz w:val="16"/>
        </w:rPr>
      </w:pPr>
    </w:p>
    <w:p>
      <w:pPr>
        <w:pStyle w:val="BodyText"/>
        <w:spacing w:line="225" w:lineRule="auto"/>
        <w:ind w:left="242" w:right="125" w:firstLine="396"/>
      </w:pPr>
      <w:r>
        <w:rPr>
          <w:color w:val="231F20"/>
          <w:spacing w:val="-6"/>
        </w:rPr>
        <w:t>Подручје Термоелектране </w:t>
      </w:r>
      <w:r>
        <w:rPr>
          <w:color w:val="231F20"/>
          <w:spacing w:val="-3"/>
        </w:rPr>
        <w:t>је </w:t>
      </w:r>
      <w:r>
        <w:rPr>
          <w:color w:val="231F20"/>
          <w:spacing w:val="-5"/>
        </w:rPr>
        <w:t>заштићено од великих </w:t>
      </w:r>
      <w:r>
        <w:rPr>
          <w:color w:val="231F20"/>
          <w:spacing w:val="-6"/>
        </w:rPr>
        <w:t>вода </w:t>
      </w:r>
      <w:r>
        <w:rPr>
          <w:color w:val="231F20"/>
          <w:spacing w:val="-5"/>
        </w:rPr>
        <w:t>Млаве </w:t>
      </w:r>
      <w:r>
        <w:rPr>
          <w:color w:val="231F20"/>
        </w:rPr>
        <w:t>и </w:t>
      </w:r>
      <w:r>
        <w:rPr>
          <w:color w:val="231F20"/>
          <w:spacing w:val="-5"/>
        </w:rPr>
        <w:t>Дунава </w:t>
      </w:r>
      <w:r>
        <w:rPr>
          <w:color w:val="231F20"/>
          <w:spacing w:val="-6"/>
        </w:rPr>
        <w:t>одбрамбеним </w:t>
      </w:r>
      <w:r>
        <w:rPr>
          <w:color w:val="231F20"/>
          <w:spacing w:val="-5"/>
        </w:rPr>
        <w:t>насипом. </w:t>
      </w:r>
      <w:r>
        <w:rPr>
          <w:color w:val="231F20"/>
          <w:spacing w:val="-4"/>
        </w:rPr>
        <w:t>Баласни део </w:t>
      </w:r>
      <w:r>
        <w:rPr>
          <w:color w:val="231F20"/>
          <w:spacing w:val="-5"/>
        </w:rPr>
        <w:t>насипа </w:t>
      </w:r>
      <w:r>
        <w:rPr>
          <w:color w:val="231F20"/>
        </w:rPr>
        <w:t>у </w:t>
      </w:r>
      <w:r>
        <w:rPr>
          <w:color w:val="231F20"/>
          <w:spacing w:val="-5"/>
        </w:rPr>
        <w:t>брањеном </w:t>
      </w:r>
      <w:r>
        <w:rPr>
          <w:color w:val="231F20"/>
          <w:spacing w:val="-4"/>
        </w:rPr>
        <w:t>делу </w:t>
      </w:r>
      <w:r>
        <w:rPr>
          <w:color w:val="231F20"/>
          <w:spacing w:val="-3"/>
        </w:rPr>
        <w:t>је </w:t>
      </w:r>
      <w:r>
        <w:rPr>
          <w:color w:val="231F20"/>
          <w:spacing w:val="-5"/>
        </w:rPr>
        <w:t>ширине од 30 </w:t>
      </w:r>
      <w:r>
        <w:rPr>
          <w:color w:val="231F20"/>
          <w:spacing w:val="-4"/>
        </w:rPr>
        <w:t>–50 </w:t>
      </w:r>
      <w:r>
        <w:rPr>
          <w:color w:val="231F20"/>
        </w:rPr>
        <w:t>m </w:t>
      </w:r>
      <w:r>
        <w:rPr>
          <w:color w:val="231F20"/>
          <w:spacing w:val="-3"/>
        </w:rPr>
        <w:t>по </w:t>
      </w:r>
      <w:r>
        <w:rPr>
          <w:color w:val="231F20"/>
          <w:spacing w:val="-5"/>
        </w:rPr>
        <w:t>ободу </w:t>
      </w:r>
      <w:r>
        <w:rPr>
          <w:color w:val="231F20"/>
          <w:spacing w:val="-4"/>
        </w:rPr>
        <w:t>баласта </w:t>
      </w:r>
      <w:r>
        <w:rPr>
          <w:color w:val="231F20"/>
          <w:spacing w:val="-5"/>
        </w:rPr>
        <w:t>изграђен </w:t>
      </w:r>
      <w:r>
        <w:rPr>
          <w:color w:val="231F20"/>
          <w:spacing w:val="-3"/>
        </w:rPr>
        <w:t>је </w:t>
      </w:r>
      <w:r>
        <w:rPr>
          <w:color w:val="231F20"/>
          <w:spacing w:val="-5"/>
        </w:rPr>
        <w:t>латерални канал. Планирано</w:t>
      </w:r>
      <w:r>
        <w:rPr>
          <w:color w:val="231F20"/>
          <w:spacing w:val="-8"/>
        </w:rPr>
        <w:t> </w:t>
      </w:r>
      <w:r>
        <w:rPr>
          <w:color w:val="231F20"/>
          <w:spacing w:val="-3"/>
        </w:rPr>
        <w:t>је</w:t>
      </w:r>
      <w:r>
        <w:rPr>
          <w:color w:val="231F20"/>
          <w:spacing w:val="-8"/>
        </w:rPr>
        <w:t> </w:t>
      </w:r>
      <w:r>
        <w:rPr>
          <w:color w:val="231F20"/>
          <w:spacing w:val="-3"/>
        </w:rPr>
        <w:t>да</w:t>
      </w:r>
      <w:r>
        <w:rPr>
          <w:color w:val="231F20"/>
          <w:spacing w:val="-8"/>
        </w:rPr>
        <w:t> </w:t>
      </w:r>
      <w:r>
        <w:rPr>
          <w:color w:val="231F20"/>
        </w:rPr>
        <w:t>се</w:t>
      </w:r>
      <w:r>
        <w:rPr>
          <w:color w:val="231F20"/>
          <w:spacing w:val="-8"/>
        </w:rPr>
        <w:t> </w:t>
      </w:r>
      <w:r>
        <w:rPr>
          <w:color w:val="231F20"/>
          <w:spacing w:val="-4"/>
        </w:rPr>
        <w:t>траса</w:t>
      </w:r>
      <w:r>
        <w:rPr>
          <w:color w:val="231F20"/>
          <w:spacing w:val="-8"/>
        </w:rPr>
        <w:t> </w:t>
      </w:r>
      <w:r>
        <w:rPr>
          <w:color w:val="231F20"/>
          <w:spacing w:val="-7"/>
        </w:rPr>
        <w:t>будућег</w:t>
      </w:r>
      <w:r>
        <w:rPr>
          <w:color w:val="231F20"/>
          <w:spacing w:val="-9"/>
        </w:rPr>
        <w:t> </w:t>
      </w:r>
      <w:r>
        <w:rPr>
          <w:color w:val="231F20"/>
          <w:spacing w:val="-4"/>
        </w:rPr>
        <w:t>пута</w:t>
      </w:r>
      <w:r>
        <w:rPr>
          <w:color w:val="231F20"/>
          <w:spacing w:val="-8"/>
        </w:rPr>
        <w:t> </w:t>
      </w:r>
      <w:r>
        <w:rPr>
          <w:color w:val="231F20"/>
          <w:spacing w:val="-6"/>
        </w:rPr>
        <w:t>води</w:t>
      </w:r>
      <w:r>
        <w:rPr>
          <w:color w:val="231F20"/>
          <w:spacing w:val="-9"/>
        </w:rPr>
        <w:t> </w:t>
      </w:r>
      <w:r>
        <w:rPr>
          <w:color w:val="231F20"/>
          <w:spacing w:val="-4"/>
        </w:rPr>
        <w:t>иза</w:t>
      </w:r>
      <w:r>
        <w:rPr>
          <w:color w:val="231F20"/>
          <w:spacing w:val="-8"/>
        </w:rPr>
        <w:t> </w:t>
      </w:r>
      <w:r>
        <w:rPr>
          <w:color w:val="231F20"/>
          <w:spacing w:val="-5"/>
        </w:rPr>
        <w:t>латералног</w:t>
      </w:r>
      <w:r>
        <w:rPr>
          <w:color w:val="231F20"/>
          <w:spacing w:val="-9"/>
        </w:rPr>
        <w:t> </w:t>
      </w:r>
      <w:r>
        <w:rPr>
          <w:color w:val="231F20"/>
          <w:spacing w:val="-5"/>
        </w:rPr>
        <w:t>канала.</w:t>
      </w:r>
    </w:p>
    <w:p>
      <w:pPr>
        <w:pStyle w:val="BodyText"/>
        <w:spacing w:line="225" w:lineRule="auto"/>
        <w:ind w:left="242" w:right="125" w:firstLine="397"/>
      </w:pPr>
      <w:r>
        <w:rPr>
          <w:color w:val="231F20"/>
        </w:rPr>
        <w:t>У складу са очекиваним привредним развојем, а тиме и</w:t>
      </w:r>
      <w:r>
        <w:rPr>
          <w:color w:val="231F20"/>
          <w:spacing w:val="-27"/>
        </w:rPr>
        <w:t> </w:t>
      </w:r>
      <w:r>
        <w:rPr>
          <w:color w:val="231F20"/>
        </w:rPr>
        <w:t>пове- ћаним обимом производње, </w:t>
      </w:r>
      <w:r>
        <w:rPr>
          <w:color w:val="231F20"/>
          <w:spacing w:val="-3"/>
        </w:rPr>
        <w:t>неопходно </w:t>
      </w:r>
      <w:r>
        <w:rPr>
          <w:color w:val="231F20"/>
        </w:rPr>
        <w:t>је спровести превентивне и санационе мере ради очувања квалитета површинских и подзем- них </w:t>
      </w:r>
      <w:r>
        <w:rPr>
          <w:color w:val="231F20"/>
          <w:spacing w:val="-3"/>
        </w:rPr>
        <w:t>вода, </w:t>
      </w:r>
      <w:r>
        <w:rPr>
          <w:color w:val="231F20"/>
          <w:spacing w:val="-4"/>
        </w:rPr>
        <w:t>како </w:t>
      </w:r>
      <w:r>
        <w:rPr>
          <w:color w:val="231F20"/>
        </w:rPr>
        <w:t>на предметном </w:t>
      </w:r>
      <w:r>
        <w:rPr>
          <w:color w:val="231F20"/>
          <w:spacing w:val="-4"/>
        </w:rPr>
        <w:t>подручју, </w:t>
      </w:r>
      <w:r>
        <w:rPr>
          <w:color w:val="231F20"/>
          <w:spacing w:val="-3"/>
        </w:rPr>
        <w:t>тако </w:t>
      </w:r>
      <w:r>
        <w:rPr>
          <w:color w:val="231F20"/>
        </w:rPr>
        <w:t>и у </w:t>
      </w:r>
      <w:r>
        <w:rPr>
          <w:color w:val="231F20"/>
          <w:spacing w:val="-3"/>
        </w:rPr>
        <w:t>ближем</w:t>
      </w:r>
      <w:r>
        <w:rPr>
          <w:color w:val="231F20"/>
          <w:spacing w:val="-23"/>
        </w:rPr>
        <w:t> </w:t>
      </w:r>
      <w:r>
        <w:rPr>
          <w:color w:val="231F20"/>
          <w:spacing w:val="-4"/>
        </w:rPr>
        <w:t>окружењу.</w:t>
      </w:r>
    </w:p>
    <w:p>
      <w:pPr>
        <w:pStyle w:val="BodyText"/>
        <w:spacing w:line="188" w:lineRule="exact"/>
        <w:ind w:left="638"/>
        <w:jc w:val="left"/>
      </w:pPr>
      <w:r>
        <w:rPr>
          <w:color w:val="231F20"/>
        </w:rPr>
        <w:t>Концепција заштите вода треба да се заснива пре свега на:</w:t>
      </w:r>
    </w:p>
    <w:p>
      <w:pPr>
        <w:pStyle w:val="BodyText"/>
        <w:spacing w:line="225" w:lineRule="auto" w:before="2"/>
        <w:ind w:left="241" w:right="126" w:firstLine="397"/>
      </w:pPr>
      <w:r>
        <w:rPr>
          <w:color w:val="231F20"/>
          <w:w w:val="66"/>
        </w:rPr>
        <w:t> </w:t>
      </w:r>
      <w:r>
        <w:rPr>
          <w:color w:val="231F20"/>
        </w:rPr>
        <w:t>– обезбедити програм заштите површинских вода који се са- стоји од пречишћавања отпадних вода пре изливања у природне реципијенте;</w:t>
      </w:r>
    </w:p>
    <w:p>
      <w:pPr>
        <w:pStyle w:val="BodyText"/>
        <w:spacing w:line="225" w:lineRule="auto"/>
        <w:ind w:left="241" w:right="126" w:firstLine="396"/>
      </w:pPr>
      <w:r>
        <w:rPr>
          <w:color w:val="231F20"/>
          <w:w w:val="66"/>
        </w:rPr>
        <w:t> </w:t>
      </w:r>
      <w:r>
        <w:rPr>
          <w:color w:val="231F20"/>
        </w:rPr>
        <w:t>– избећи деградацију подземних вода (физичка, хемијска и биолошка стабилност) у водоносном хоризонту;</w:t>
      </w:r>
    </w:p>
    <w:p>
      <w:pPr>
        <w:pStyle w:val="BodyText"/>
        <w:spacing w:line="225" w:lineRule="auto"/>
        <w:ind w:left="241" w:right="126" w:firstLine="397"/>
      </w:pPr>
      <w:r>
        <w:rPr>
          <w:color w:val="231F20"/>
          <w:w w:val="66"/>
        </w:rPr>
        <w:t> </w:t>
      </w:r>
      <w:r>
        <w:rPr>
          <w:color w:val="231F20"/>
        </w:rPr>
        <w:t>– обезбедити редовну контролу стања система за одвођење дренажних, етажних, атмосферских процедних вода, као и хидра- уличних пумпи. Неопходно је стално праћење физичких и хемиј- ских параметара квалитета вода пре испуштања у реципијент. Ка- ко услед употребе механизације ове воде могу садржати извесне количине уља и мазива, неопходно је омогућити адекватан трет- ман применом сепаратора уља и масти; и</w:t>
      </w:r>
    </w:p>
    <w:p>
      <w:pPr>
        <w:pStyle w:val="BodyText"/>
        <w:spacing w:line="225" w:lineRule="auto"/>
        <w:ind w:left="241" w:right="126" w:firstLine="396"/>
      </w:pPr>
      <w:r>
        <w:rPr>
          <w:color w:val="231F20"/>
          <w:w w:val="66"/>
        </w:rPr>
        <w:t> </w:t>
      </w:r>
      <w:r>
        <w:rPr>
          <w:color w:val="231F20"/>
        </w:rPr>
        <w:t>– одрживом развоју, што подразумева разумно коришћење простора и ресурса, очување животне средине на начин којим се истовремено доприноси побољшању њеног квалитета.</w:t>
      </w:r>
    </w:p>
    <w:p>
      <w:pPr>
        <w:pStyle w:val="ListParagraph"/>
        <w:numPr>
          <w:ilvl w:val="2"/>
          <w:numId w:val="77"/>
        </w:numPr>
        <w:tabs>
          <w:tab w:pos="1846" w:val="left" w:leader="none"/>
        </w:tabs>
        <w:spacing w:line="240" w:lineRule="auto" w:before="152" w:after="0"/>
        <w:ind w:left="1845" w:right="0" w:hanging="450"/>
        <w:jc w:val="left"/>
        <w:rPr>
          <w:sz w:val="18"/>
        </w:rPr>
      </w:pPr>
      <w:r>
        <w:rPr>
          <w:color w:val="231F20"/>
          <w:spacing w:val="13"/>
          <w:sz w:val="18"/>
        </w:rPr>
        <w:t>Мере </w:t>
      </w:r>
      <w:r>
        <w:rPr>
          <w:color w:val="231F20"/>
          <w:spacing w:val="16"/>
          <w:sz w:val="18"/>
        </w:rPr>
        <w:t>заштите земљишт</w:t>
      </w:r>
      <w:r>
        <w:rPr>
          <w:color w:val="231F20"/>
          <w:spacing w:val="-24"/>
          <w:sz w:val="18"/>
        </w:rPr>
        <w:t> </w:t>
      </w:r>
      <w:r>
        <w:rPr>
          <w:color w:val="231F20"/>
          <w:sz w:val="18"/>
        </w:rPr>
        <w:t>а</w:t>
      </w:r>
    </w:p>
    <w:p>
      <w:pPr>
        <w:pStyle w:val="BodyText"/>
        <w:spacing w:before="7"/>
        <w:ind w:left="0"/>
        <w:jc w:val="left"/>
        <w:rPr>
          <w:sz w:val="16"/>
        </w:rPr>
      </w:pPr>
    </w:p>
    <w:p>
      <w:pPr>
        <w:pStyle w:val="BodyText"/>
        <w:spacing w:line="225" w:lineRule="auto"/>
        <w:ind w:left="241" w:right="126" w:firstLine="396"/>
      </w:pPr>
      <w:r>
        <w:rPr>
          <w:color w:val="231F20"/>
        </w:rPr>
        <w:t>Заштита пољопривредног, грађевинског и осталог неплодног земљишта ће се постићи спровођењем следећих мера:</w:t>
      </w:r>
    </w:p>
    <w:p>
      <w:pPr>
        <w:pStyle w:val="BodyText"/>
        <w:spacing w:line="189" w:lineRule="exact"/>
        <w:ind w:left="638"/>
        <w:jc w:val="left"/>
      </w:pPr>
      <w:r>
        <w:rPr>
          <w:color w:val="231F20"/>
          <w:w w:val="66"/>
        </w:rPr>
        <w:t> </w:t>
      </w:r>
      <w:r>
        <w:rPr>
          <w:color w:val="231F20"/>
        </w:rPr>
        <w:t>– пошумљавањем, озелењавањем контактних зона;</w:t>
      </w:r>
    </w:p>
    <w:p>
      <w:pPr>
        <w:pStyle w:val="BodyText"/>
        <w:spacing w:line="225" w:lineRule="auto" w:before="4"/>
        <w:ind w:left="241" w:right="126" w:firstLine="396"/>
      </w:pPr>
      <w:r>
        <w:rPr>
          <w:color w:val="231F20"/>
          <w:w w:val="66"/>
        </w:rPr>
        <w:t> </w:t>
      </w:r>
      <w:r>
        <w:rPr>
          <w:color w:val="231F20"/>
        </w:rPr>
        <w:t>–</w:t>
      </w:r>
      <w:r>
        <w:rPr>
          <w:color w:val="231F20"/>
          <w:spacing w:val="-7"/>
        </w:rPr>
        <w:t> </w:t>
      </w:r>
      <w:r>
        <w:rPr>
          <w:color w:val="231F20"/>
        </w:rPr>
        <w:t>забраном</w:t>
      </w:r>
      <w:r>
        <w:rPr>
          <w:color w:val="231F20"/>
          <w:spacing w:val="-7"/>
        </w:rPr>
        <w:t> </w:t>
      </w:r>
      <w:r>
        <w:rPr>
          <w:color w:val="231F20"/>
        </w:rPr>
        <w:t>одлагања</w:t>
      </w:r>
      <w:r>
        <w:rPr>
          <w:color w:val="231F20"/>
          <w:spacing w:val="-7"/>
        </w:rPr>
        <w:t> </w:t>
      </w:r>
      <w:r>
        <w:rPr>
          <w:color w:val="231F20"/>
        </w:rPr>
        <w:t>отпадних</w:t>
      </w:r>
      <w:r>
        <w:rPr>
          <w:color w:val="231F20"/>
          <w:spacing w:val="-6"/>
        </w:rPr>
        <w:t> </w:t>
      </w:r>
      <w:r>
        <w:rPr>
          <w:color w:val="231F20"/>
        </w:rPr>
        <w:t>материја</w:t>
      </w:r>
      <w:r>
        <w:rPr>
          <w:color w:val="231F20"/>
          <w:spacing w:val="-7"/>
        </w:rPr>
        <w:t> </w:t>
      </w:r>
      <w:r>
        <w:rPr>
          <w:color w:val="231F20"/>
        </w:rPr>
        <w:t>на</w:t>
      </w:r>
      <w:r>
        <w:rPr>
          <w:color w:val="231F20"/>
          <w:spacing w:val="-7"/>
        </w:rPr>
        <w:t> </w:t>
      </w:r>
      <w:r>
        <w:rPr>
          <w:color w:val="231F20"/>
        </w:rPr>
        <w:t>за</w:t>
      </w:r>
      <w:r>
        <w:rPr>
          <w:color w:val="231F20"/>
          <w:spacing w:val="-7"/>
        </w:rPr>
        <w:t> </w:t>
      </w:r>
      <w:r>
        <w:rPr>
          <w:color w:val="231F20"/>
        </w:rPr>
        <w:t>то</w:t>
      </w:r>
      <w:r>
        <w:rPr>
          <w:color w:val="231F20"/>
          <w:spacing w:val="-7"/>
        </w:rPr>
        <w:t> </w:t>
      </w:r>
      <w:r>
        <w:rPr>
          <w:color w:val="231F20"/>
        </w:rPr>
        <w:t>непредвиђе- ним локацијама;</w:t>
      </w:r>
      <w:r>
        <w:rPr>
          <w:color w:val="231F20"/>
          <w:spacing w:val="-2"/>
        </w:rPr>
        <w:t> </w:t>
      </w:r>
      <w:r>
        <w:rPr>
          <w:color w:val="231F20"/>
        </w:rPr>
        <w:t>и</w:t>
      </w:r>
    </w:p>
    <w:p>
      <w:pPr>
        <w:pStyle w:val="BodyText"/>
        <w:spacing w:line="225" w:lineRule="auto"/>
        <w:ind w:left="241" w:right="125" w:firstLine="396"/>
      </w:pPr>
      <w:r>
        <w:rPr>
          <w:color w:val="231F20"/>
          <w:w w:val="66"/>
        </w:rPr>
        <w:t> </w:t>
      </w:r>
      <w:r>
        <w:rPr>
          <w:color w:val="231F20"/>
        </w:rPr>
        <w:t>– одговарајућим техничко-технолошким решењима (уград- њом</w:t>
      </w:r>
      <w:r>
        <w:rPr>
          <w:color w:val="231F20"/>
          <w:spacing w:val="-9"/>
        </w:rPr>
        <w:t> </w:t>
      </w:r>
      <w:r>
        <w:rPr>
          <w:color w:val="231F20"/>
        </w:rPr>
        <w:t>пречистача</w:t>
      </w:r>
      <w:r>
        <w:rPr>
          <w:color w:val="231F20"/>
          <w:spacing w:val="-9"/>
        </w:rPr>
        <w:t> </w:t>
      </w:r>
      <w:r>
        <w:rPr>
          <w:color w:val="231F20"/>
        </w:rPr>
        <w:t>отпадних</w:t>
      </w:r>
      <w:r>
        <w:rPr>
          <w:color w:val="231F20"/>
          <w:spacing w:val="-9"/>
        </w:rPr>
        <w:t> </w:t>
      </w:r>
      <w:r>
        <w:rPr>
          <w:color w:val="231F20"/>
        </w:rPr>
        <w:t>гасова</w:t>
      </w:r>
      <w:r>
        <w:rPr>
          <w:color w:val="231F20"/>
          <w:spacing w:val="-9"/>
        </w:rPr>
        <w:t> </w:t>
      </w:r>
      <w:r>
        <w:rPr>
          <w:color w:val="231F20"/>
        </w:rPr>
        <w:t>и</w:t>
      </w:r>
      <w:r>
        <w:rPr>
          <w:color w:val="231F20"/>
          <w:spacing w:val="-9"/>
        </w:rPr>
        <w:t> </w:t>
      </w:r>
      <w:r>
        <w:rPr>
          <w:color w:val="231F20"/>
        </w:rPr>
        <w:t>чађи),</w:t>
      </w:r>
      <w:r>
        <w:rPr>
          <w:color w:val="231F20"/>
          <w:spacing w:val="-9"/>
        </w:rPr>
        <w:t> </w:t>
      </w:r>
      <w:r>
        <w:rPr>
          <w:color w:val="231F20"/>
        </w:rPr>
        <w:t>као</w:t>
      </w:r>
      <w:r>
        <w:rPr>
          <w:color w:val="231F20"/>
          <w:spacing w:val="-9"/>
        </w:rPr>
        <w:t> </w:t>
      </w:r>
      <w:r>
        <w:rPr>
          <w:color w:val="231F20"/>
        </w:rPr>
        <w:t>и</w:t>
      </w:r>
      <w:r>
        <w:rPr>
          <w:color w:val="231F20"/>
          <w:spacing w:val="-9"/>
        </w:rPr>
        <w:t> </w:t>
      </w:r>
      <w:r>
        <w:rPr>
          <w:color w:val="231F20"/>
        </w:rPr>
        <w:t>редовним</w:t>
      </w:r>
      <w:r>
        <w:rPr>
          <w:color w:val="231F20"/>
          <w:spacing w:val="-9"/>
        </w:rPr>
        <w:t> </w:t>
      </w:r>
      <w:r>
        <w:rPr>
          <w:color w:val="231F20"/>
        </w:rPr>
        <w:t>одржава- њем чистоће у циљу смањења</w:t>
      </w:r>
      <w:r>
        <w:rPr>
          <w:color w:val="231F20"/>
          <w:spacing w:val="-5"/>
        </w:rPr>
        <w:t> </w:t>
      </w:r>
      <w:r>
        <w:rPr>
          <w:color w:val="231F20"/>
        </w:rPr>
        <w:t>загађености.</w:t>
      </w:r>
    </w:p>
    <w:p>
      <w:pPr>
        <w:pStyle w:val="ListParagraph"/>
        <w:numPr>
          <w:ilvl w:val="2"/>
          <w:numId w:val="77"/>
        </w:numPr>
        <w:tabs>
          <w:tab w:pos="1974" w:val="left" w:leader="none"/>
        </w:tabs>
        <w:spacing w:line="240" w:lineRule="auto" w:before="157" w:after="0"/>
        <w:ind w:left="1973" w:right="0" w:hanging="450"/>
        <w:jc w:val="left"/>
        <w:rPr>
          <w:sz w:val="18"/>
        </w:rPr>
      </w:pPr>
      <w:r>
        <w:rPr>
          <w:color w:val="231F20"/>
          <w:spacing w:val="13"/>
          <w:sz w:val="18"/>
        </w:rPr>
        <w:t>Мере </w:t>
      </w:r>
      <w:r>
        <w:rPr>
          <w:color w:val="231F20"/>
          <w:spacing w:val="16"/>
          <w:sz w:val="18"/>
        </w:rPr>
        <w:t>заштите </w:t>
      </w:r>
      <w:r>
        <w:rPr>
          <w:color w:val="231F20"/>
          <w:spacing w:val="6"/>
          <w:sz w:val="18"/>
        </w:rPr>
        <w:t>од</w:t>
      </w:r>
      <w:r>
        <w:rPr>
          <w:color w:val="231F20"/>
          <w:spacing w:val="40"/>
          <w:sz w:val="18"/>
        </w:rPr>
        <w:t> </w:t>
      </w:r>
      <w:r>
        <w:rPr>
          <w:color w:val="231F20"/>
          <w:spacing w:val="11"/>
          <w:sz w:val="18"/>
        </w:rPr>
        <w:t>буке</w:t>
      </w:r>
    </w:p>
    <w:p>
      <w:pPr>
        <w:pStyle w:val="BodyText"/>
        <w:spacing w:before="7"/>
        <w:ind w:left="0"/>
        <w:jc w:val="left"/>
        <w:rPr>
          <w:sz w:val="16"/>
        </w:rPr>
      </w:pPr>
    </w:p>
    <w:p>
      <w:pPr>
        <w:pStyle w:val="BodyText"/>
        <w:spacing w:line="225" w:lineRule="auto"/>
        <w:ind w:left="242" w:right="125" w:firstLine="397"/>
      </w:pPr>
      <w:r>
        <w:rPr>
          <w:color w:val="231F20"/>
        </w:rPr>
        <w:t>Повећан ниво </w:t>
      </w:r>
      <w:r>
        <w:rPr>
          <w:color w:val="231F20"/>
          <w:spacing w:val="-3"/>
        </w:rPr>
        <w:t>буке </w:t>
      </w:r>
      <w:r>
        <w:rPr>
          <w:color w:val="231F20"/>
        </w:rPr>
        <w:t>јавља се на трасе индустријског колосека и дуж саобраћајница и у оквиру парцела постојећих објеката.</w:t>
      </w:r>
      <w:r>
        <w:rPr>
          <w:color w:val="231F20"/>
          <w:spacing w:val="-28"/>
        </w:rPr>
        <w:t> </w:t>
      </w:r>
      <w:r>
        <w:rPr>
          <w:color w:val="231F20"/>
        </w:rPr>
        <w:t>Због смањења загађивања </w:t>
      </w:r>
      <w:r>
        <w:rPr>
          <w:color w:val="231F20"/>
          <w:spacing w:val="-5"/>
        </w:rPr>
        <w:t>буком </w:t>
      </w:r>
      <w:r>
        <w:rPr>
          <w:color w:val="231F20"/>
        </w:rPr>
        <w:t>могуће је спровести следећу</w:t>
      </w:r>
      <w:r>
        <w:rPr>
          <w:color w:val="231F20"/>
          <w:spacing w:val="-14"/>
        </w:rPr>
        <w:t> </w:t>
      </w:r>
      <w:r>
        <w:rPr>
          <w:color w:val="231F20"/>
        </w:rPr>
        <w:t>заштиту:</w:t>
      </w:r>
    </w:p>
    <w:p>
      <w:pPr>
        <w:pStyle w:val="BodyText"/>
        <w:spacing w:line="225" w:lineRule="auto"/>
        <w:ind w:left="242" w:right="125" w:firstLine="397"/>
      </w:pPr>
      <w:r>
        <w:rPr>
          <w:color w:val="231F20"/>
          <w:w w:val="66"/>
        </w:rPr>
        <w:t> </w:t>
      </w:r>
      <w:r>
        <w:rPr>
          <w:color w:val="231F20"/>
        </w:rPr>
        <w:t>–</w:t>
      </w:r>
      <w:r>
        <w:rPr>
          <w:color w:val="231F20"/>
          <w:spacing w:val="-15"/>
        </w:rPr>
        <w:t> </w:t>
      </w:r>
      <w:r>
        <w:rPr>
          <w:color w:val="231F20"/>
        </w:rPr>
        <w:t>на</w:t>
      </w:r>
      <w:r>
        <w:rPr>
          <w:color w:val="231F20"/>
          <w:spacing w:val="-15"/>
        </w:rPr>
        <w:t> </w:t>
      </w:r>
      <w:r>
        <w:rPr>
          <w:color w:val="231F20"/>
        </w:rPr>
        <w:t>самом</w:t>
      </w:r>
      <w:r>
        <w:rPr>
          <w:color w:val="231F20"/>
          <w:spacing w:val="-15"/>
        </w:rPr>
        <w:t> </w:t>
      </w:r>
      <w:r>
        <w:rPr>
          <w:color w:val="231F20"/>
        </w:rPr>
        <w:t>извору</w:t>
      </w:r>
      <w:r>
        <w:rPr>
          <w:color w:val="231F20"/>
          <w:spacing w:val="-15"/>
        </w:rPr>
        <w:t> </w:t>
      </w:r>
      <w:r>
        <w:rPr>
          <w:color w:val="231F20"/>
          <w:spacing w:val="-4"/>
        </w:rPr>
        <w:t>буке:</w:t>
      </w:r>
      <w:r>
        <w:rPr>
          <w:color w:val="231F20"/>
          <w:spacing w:val="-15"/>
        </w:rPr>
        <w:t> </w:t>
      </w:r>
      <w:r>
        <w:rPr>
          <w:color w:val="231F20"/>
        </w:rPr>
        <w:t>техничко-технолошким</w:t>
      </w:r>
      <w:r>
        <w:rPr>
          <w:color w:val="231F20"/>
          <w:spacing w:val="-15"/>
        </w:rPr>
        <w:t> </w:t>
      </w:r>
      <w:r>
        <w:rPr>
          <w:color w:val="231F20"/>
        </w:rPr>
        <w:t>решењима</w:t>
      </w:r>
      <w:r>
        <w:rPr>
          <w:color w:val="231F20"/>
          <w:spacing w:val="-15"/>
        </w:rPr>
        <w:t> </w:t>
      </w:r>
      <w:r>
        <w:rPr>
          <w:color w:val="231F20"/>
        </w:rPr>
        <w:t>на уређајима</w:t>
      </w:r>
      <w:r>
        <w:rPr>
          <w:color w:val="231F20"/>
          <w:spacing w:val="-8"/>
        </w:rPr>
        <w:t> </w:t>
      </w:r>
      <w:r>
        <w:rPr>
          <w:color w:val="231F20"/>
          <w:spacing w:val="-4"/>
        </w:rPr>
        <w:t>који</w:t>
      </w:r>
      <w:r>
        <w:rPr>
          <w:color w:val="231F20"/>
          <w:spacing w:val="-8"/>
        </w:rPr>
        <w:t> </w:t>
      </w:r>
      <w:r>
        <w:rPr>
          <w:color w:val="231F20"/>
        </w:rPr>
        <w:t>производе</w:t>
      </w:r>
      <w:r>
        <w:rPr>
          <w:color w:val="231F20"/>
          <w:spacing w:val="-8"/>
        </w:rPr>
        <w:t> </w:t>
      </w:r>
      <w:r>
        <w:rPr>
          <w:color w:val="231F20"/>
          <w:spacing w:val="-7"/>
        </w:rPr>
        <w:t>буку,</w:t>
      </w:r>
      <w:r>
        <w:rPr>
          <w:color w:val="231F20"/>
          <w:spacing w:val="-8"/>
        </w:rPr>
        <w:t> </w:t>
      </w:r>
      <w:r>
        <w:rPr>
          <w:color w:val="231F20"/>
        </w:rPr>
        <w:t>као</w:t>
      </w:r>
      <w:r>
        <w:rPr>
          <w:color w:val="231F20"/>
          <w:spacing w:val="-8"/>
        </w:rPr>
        <w:t> </w:t>
      </w:r>
      <w:r>
        <w:rPr>
          <w:color w:val="231F20"/>
        </w:rPr>
        <w:t>и</w:t>
      </w:r>
      <w:r>
        <w:rPr>
          <w:color w:val="231F20"/>
          <w:spacing w:val="-8"/>
        </w:rPr>
        <w:t> </w:t>
      </w:r>
      <w:r>
        <w:rPr>
          <w:color w:val="231F20"/>
        </w:rPr>
        <w:t>учесталом</w:t>
      </w:r>
      <w:r>
        <w:rPr>
          <w:color w:val="231F20"/>
          <w:spacing w:val="-8"/>
        </w:rPr>
        <w:t> </w:t>
      </w:r>
      <w:r>
        <w:rPr>
          <w:color w:val="231F20"/>
        </w:rPr>
        <w:t>строгом</w:t>
      </w:r>
      <w:r>
        <w:rPr>
          <w:color w:val="231F20"/>
          <w:spacing w:val="-8"/>
        </w:rPr>
        <w:t> </w:t>
      </w:r>
      <w:r>
        <w:rPr>
          <w:color w:val="231F20"/>
          <w:spacing w:val="-3"/>
        </w:rPr>
        <w:t>техничком контролом</w:t>
      </w:r>
      <w:r>
        <w:rPr>
          <w:color w:val="231F20"/>
          <w:spacing w:val="-6"/>
        </w:rPr>
        <w:t> </w:t>
      </w:r>
      <w:r>
        <w:rPr>
          <w:color w:val="231F20"/>
        </w:rPr>
        <w:t>рада</w:t>
      </w:r>
      <w:r>
        <w:rPr>
          <w:color w:val="231F20"/>
          <w:spacing w:val="-6"/>
        </w:rPr>
        <w:t> </w:t>
      </w:r>
      <w:r>
        <w:rPr>
          <w:color w:val="231F20"/>
        </w:rPr>
        <w:t>моторних</w:t>
      </w:r>
      <w:r>
        <w:rPr>
          <w:color w:val="231F20"/>
          <w:spacing w:val="-6"/>
        </w:rPr>
        <w:t> </w:t>
      </w:r>
      <w:r>
        <w:rPr>
          <w:color w:val="231F20"/>
        </w:rPr>
        <w:t>возила</w:t>
      </w:r>
      <w:r>
        <w:rPr>
          <w:color w:val="231F20"/>
          <w:spacing w:val="-6"/>
        </w:rPr>
        <w:t> </w:t>
      </w:r>
      <w:r>
        <w:rPr>
          <w:color w:val="231F20"/>
        </w:rPr>
        <w:t>и</w:t>
      </w:r>
      <w:r>
        <w:rPr>
          <w:color w:val="231F20"/>
          <w:spacing w:val="-6"/>
        </w:rPr>
        <w:t> </w:t>
      </w:r>
      <w:r>
        <w:rPr>
          <w:color w:val="231F20"/>
        </w:rPr>
        <w:t>применом</w:t>
      </w:r>
      <w:r>
        <w:rPr>
          <w:color w:val="231F20"/>
          <w:spacing w:val="-6"/>
        </w:rPr>
        <w:t> </w:t>
      </w:r>
      <w:r>
        <w:rPr>
          <w:color w:val="231F20"/>
        </w:rPr>
        <w:t>важећих</w:t>
      </w:r>
      <w:r>
        <w:rPr>
          <w:color w:val="231F20"/>
          <w:spacing w:val="-6"/>
        </w:rPr>
        <w:t> </w:t>
      </w:r>
      <w:r>
        <w:rPr>
          <w:color w:val="231F20"/>
        </w:rPr>
        <w:t>прописа;</w:t>
      </w:r>
    </w:p>
    <w:p>
      <w:pPr>
        <w:pStyle w:val="BodyText"/>
        <w:spacing w:line="225" w:lineRule="auto"/>
        <w:ind w:left="242" w:right="125" w:firstLine="396"/>
      </w:pPr>
      <w:r>
        <w:rPr>
          <w:color w:val="231F20"/>
          <w:w w:val="66"/>
        </w:rPr>
        <w:t> </w:t>
      </w:r>
      <w:r>
        <w:rPr>
          <w:color w:val="231F20"/>
        </w:rPr>
        <w:t>– на путу од извора буке до пријемника: подизањем заштит- них зидова типа екрана око извора буке и</w:t>
      </w:r>
    </w:p>
    <w:p>
      <w:pPr>
        <w:pStyle w:val="BodyText"/>
        <w:spacing w:line="225" w:lineRule="auto"/>
        <w:ind w:left="242" w:right="124" w:firstLine="396"/>
      </w:pPr>
      <w:r>
        <w:rPr>
          <w:color w:val="231F20"/>
          <w:w w:val="66"/>
        </w:rPr>
        <w:t> </w:t>
      </w:r>
      <w:r>
        <w:rPr>
          <w:color w:val="231F20"/>
        </w:rPr>
        <w:t>– на месту пријема звука: ефикасним архитектонским и гра- ђевинским решењима (правилном локацијом извора буке, добрим избором грађевинских материјала слабе звучне проводљивости као и оних који имају повећану апсорпцију звука; при пројекто- вању објеката спровести одређивање правилног распореда про- сторија, као и увођење боље звучне изолације при пројектовању и градњи стамбених објеката).</w:t>
      </w:r>
    </w:p>
    <w:p>
      <w:pPr>
        <w:pStyle w:val="BodyText"/>
        <w:spacing w:line="225" w:lineRule="auto"/>
        <w:ind w:left="243" w:right="124" w:firstLine="396"/>
      </w:pPr>
      <w:r>
        <w:rPr>
          <w:color w:val="231F20"/>
          <w:spacing w:val="-6"/>
        </w:rPr>
        <w:t>Емитовање </w:t>
      </w:r>
      <w:r>
        <w:rPr>
          <w:color w:val="231F20"/>
          <w:spacing w:val="-8"/>
        </w:rPr>
        <w:t>буке </w:t>
      </w:r>
      <w:r>
        <w:rPr>
          <w:color w:val="231F20"/>
          <w:spacing w:val="-3"/>
        </w:rPr>
        <w:t>из </w:t>
      </w:r>
      <w:r>
        <w:rPr>
          <w:color w:val="231F20"/>
          <w:spacing w:val="-6"/>
        </w:rPr>
        <w:t>постојећих </w:t>
      </w:r>
      <w:r>
        <w:rPr>
          <w:color w:val="231F20"/>
        </w:rPr>
        <w:t>и </w:t>
      </w:r>
      <w:r>
        <w:rPr>
          <w:color w:val="231F20"/>
          <w:spacing w:val="-6"/>
        </w:rPr>
        <w:t>планираних привредних </w:t>
      </w:r>
      <w:r>
        <w:rPr>
          <w:color w:val="231F20"/>
          <w:spacing w:val="-5"/>
        </w:rPr>
        <w:t>обје- </w:t>
      </w:r>
      <w:r>
        <w:rPr>
          <w:color w:val="231F20"/>
          <w:spacing w:val="-6"/>
        </w:rPr>
        <w:t>ката </w:t>
      </w:r>
      <w:r>
        <w:rPr>
          <w:color w:val="231F20"/>
          <w:spacing w:val="-3"/>
        </w:rPr>
        <w:t>не </w:t>
      </w:r>
      <w:r>
        <w:rPr>
          <w:color w:val="231F20"/>
          <w:spacing w:val="-4"/>
        </w:rPr>
        <w:t>сме </w:t>
      </w:r>
      <w:r>
        <w:rPr>
          <w:color w:val="231F20"/>
          <w:spacing w:val="-7"/>
        </w:rPr>
        <w:t>прекорачити законске </w:t>
      </w:r>
      <w:r>
        <w:rPr>
          <w:color w:val="231F20"/>
          <w:spacing w:val="-6"/>
        </w:rPr>
        <w:t>норме </w:t>
      </w:r>
      <w:r>
        <w:rPr>
          <w:color w:val="231F20"/>
          <w:spacing w:val="-5"/>
        </w:rPr>
        <w:t>дефинисане </w:t>
      </w:r>
      <w:r>
        <w:rPr>
          <w:color w:val="231F20"/>
          <w:spacing w:val="-7"/>
        </w:rPr>
        <w:t>„Правилником </w:t>
      </w:r>
      <w:r>
        <w:rPr>
          <w:color w:val="231F20"/>
        </w:rPr>
        <w:t>о </w:t>
      </w:r>
      <w:r>
        <w:rPr>
          <w:color w:val="231F20"/>
          <w:spacing w:val="-6"/>
        </w:rPr>
        <w:t>дозвољеном </w:t>
      </w:r>
      <w:r>
        <w:rPr>
          <w:color w:val="231F20"/>
          <w:spacing w:val="-7"/>
        </w:rPr>
        <w:t>нивоу </w:t>
      </w:r>
      <w:r>
        <w:rPr>
          <w:color w:val="231F20"/>
          <w:spacing w:val="-8"/>
        </w:rPr>
        <w:t>буке </w:t>
      </w:r>
      <w:r>
        <w:rPr>
          <w:color w:val="231F20"/>
        </w:rPr>
        <w:t>у </w:t>
      </w:r>
      <w:r>
        <w:rPr>
          <w:color w:val="231F20"/>
          <w:spacing w:val="-6"/>
        </w:rPr>
        <w:t>животној средини” („Службени </w:t>
      </w:r>
      <w:r>
        <w:rPr>
          <w:color w:val="231F20"/>
          <w:spacing w:val="-7"/>
        </w:rPr>
        <w:t>гласник </w:t>
      </w:r>
      <w:r>
        <w:rPr>
          <w:color w:val="231F20"/>
          <w:spacing w:val="-4"/>
        </w:rPr>
        <w:t>РС”, </w:t>
      </w:r>
      <w:r>
        <w:rPr>
          <w:color w:val="231F20"/>
          <w:spacing w:val="-5"/>
        </w:rPr>
        <w:t>број </w:t>
      </w:r>
      <w:r>
        <w:rPr>
          <w:color w:val="231F20"/>
          <w:spacing w:val="-6"/>
        </w:rPr>
        <w:t>54/92). </w:t>
      </w:r>
      <w:r>
        <w:rPr>
          <w:color w:val="231F20"/>
          <w:spacing w:val="-5"/>
        </w:rPr>
        <w:t>Посебно </w:t>
      </w:r>
      <w:r>
        <w:rPr>
          <w:color w:val="231F20"/>
        </w:rPr>
        <w:t>се </w:t>
      </w:r>
      <w:r>
        <w:rPr>
          <w:color w:val="231F20"/>
          <w:spacing w:val="-5"/>
        </w:rPr>
        <w:t>истиче обавеза </w:t>
      </w:r>
      <w:r>
        <w:rPr>
          <w:color w:val="231F20"/>
          <w:spacing w:val="-6"/>
        </w:rPr>
        <w:t>формирања зеленог заштитног </w:t>
      </w:r>
      <w:r>
        <w:rPr>
          <w:color w:val="231F20"/>
          <w:spacing w:val="-5"/>
        </w:rPr>
        <w:t>појаса дуж </w:t>
      </w:r>
      <w:r>
        <w:rPr>
          <w:color w:val="231F20"/>
          <w:spacing w:val="-4"/>
        </w:rPr>
        <w:t>трасе </w:t>
      </w:r>
      <w:r>
        <w:rPr>
          <w:color w:val="231F20"/>
          <w:spacing w:val="-6"/>
        </w:rPr>
        <w:t>(од листопадних </w:t>
      </w:r>
      <w:r>
        <w:rPr>
          <w:color w:val="231F20"/>
          <w:spacing w:val="-5"/>
        </w:rPr>
        <w:t>врста </w:t>
      </w:r>
      <w:r>
        <w:rPr>
          <w:color w:val="231F20"/>
          <w:spacing w:val="-6"/>
        </w:rPr>
        <w:t>дрвећа, високе крошње).</w:t>
      </w:r>
    </w:p>
    <w:p>
      <w:pPr>
        <w:pStyle w:val="ListParagraph"/>
        <w:numPr>
          <w:ilvl w:val="2"/>
          <w:numId w:val="77"/>
        </w:numPr>
        <w:tabs>
          <w:tab w:pos="785" w:val="left" w:leader="none"/>
        </w:tabs>
        <w:spacing w:line="225" w:lineRule="auto" w:before="160" w:after="0"/>
        <w:ind w:left="1674" w:right="216" w:hanging="1340"/>
        <w:jc w:val="left"/>
        <w:rPr>
          <w:sz w:val="18"/>
        </w:rPr>
      </w:pPr>
      <w:r>
        <w:rPr>
          <w:color w:val="231F20"/>
          <w:spacing w:val="13"/>
          <w:sz w:val="18"/>
        </w:rPr>
        <w:t>Мере </w:t>
      </w:r>
      <w:r>
        <w:rPr>
          <w:color w:val="231F20"/>
          <w:spacing w:val="16"/>
          <w:sz w:val="18"/>
        </w:rPr>
        <w:t>заштите </w:t>
      </w:r>
      <w:r>
        <w:rPr>
          <w:color w:val="231F20"/>
          <w:spacing w:val="6"/>
          <w:sz w:val="18"/>
        </w:rPr>
        <w:t>од </w:t>
      </w:r>
      <w:r>
        <w:rPr>
          <w:color w:val="231F20"/>
          <w:spacing w:val="15"/>
          <w:sz w:val="18"/>
        </w:rPr>
        <w:t>техничко- </w:t>
      </w:r>
      <w:r>
        <w:rPr>
          <w:color w:val="231F20"/>
          <w:spacing w:val="16"/>
          <w:sz w:val="18"/>
        </w:rPr>
        <w:t>технолошких </w:t>
      </w:r>
      <w:r>
        <w:rPr>
          <w:color w:val="231F20"/>
          <w:spacing w:val="10"/>
          <w:sz w:val="18"/>
        </w:rPr>
        <w:t>уде </w:t>
      </w:r>
      <w:r>
        <w:rPr>
          <w:color w:val="231F20"/>
          <w:sz w:val="18"/>
        </w:rPr>
        <w:t>с а и </w:t>
      </w:r>
      <w:r>
        <w:rPr>
          <w:color w:val="231F20"/>
          <w:spacing w:val="16"/>
          <w:sz w:val="18"/>
        </w:rPr>
        <w:t>хаваријских</w:t>
      </w:r>
      <w:r>
        <w:rPr>
          <w:color w:val="231F20"/>
          <w:spacing w:val="43"/>
          <w:sz w:val="18"/>
        </w:rPr>
        <w:t> </w:t>
      </w:r>
      <w:r>
        <w:rPr>
          <w:color w:val="231F20"/>
          <w:spacing w:val="16"/>
          <w:sz w:val="18"/>
        </w:rPr>
        <w:t>загађења</w:t>
      </w:r>
    </w:p>
    <w:p>
      <w:pPr>
        <w:pStyle w:val="BodyText"/>
        <w:spacing w:before="9"/>
        <w:ind w:left="0"/>
        <w:jc w:val="left"/>
        <w:rPr>
          <w:sz w:val="16"/>
        </w:rPr>
      </w:pPr>
    </w:p>
    <w:p>
      <w:pPr>
        <w:pStyle w:val="BodyText"/>
        <w:spacing w:line="225" w:lineRule="auto"/>
        <w:ind w:left="243" w:right="123" w:firstLine="396"/>
      </w:pPr>
      <w:r>
        <w:rPr>
          <w:color w:val="231F20"/>
        </w:rPr>
        <w:t>Имајући у виду планирану намену простора – изградњу и реконструкцију инфраструктурних и грађевинских објеката, нео- </w:t>
      </w:r>
      <w:r>
        <w:rPr>
          <w:color w:val="231F20"/>
          <w:spacing w:val="-3"/>
        </w:rPr>
        <w:t>пходно </w:t>
      </w:r>
      <w:r>
        <w:rPr>
          <w:color w:val="231F20"/>
        </w:rPr>
        <w:t>је да сви постојећи и новопланирани објекти имају </w:t>
      </w:r>
      <w:r>
        <w:rPr>
          <w:color w:val="231F20"/>
          <w:spacing w:val="-3"/>
        </w:rPr>
        <w:t>одго- </w:t>
      </w:r>
      <w:r>
        <w:rPr>
          <w:color w:val="231F20"/>
        </w:rPr>
        <w:t>варајући</w:t>
      </w:r>
      <w:r>
        <w:rPr>
          <w:color w:val="231F20"/>
          <w:spacing w:val="-5"/>
        </w:rPr>
        <w:t> </w:t>
      </w:r>
      <w:r>
        <w:rPr>
          <w:color w:val="231F20"/>
        </w:rPr>
        <w:t>план</w:t>
      </w:r>
      <w:r>
        <w:rPr>
          <w:color w:val="231F20"/>
          <w:spacing w:val="-5"/>
        </w:rPr>
        <w:t> </w:t>
      </w:r>
      <w:r>
        <w:rPr>
          <w:color w:val="231F20"/>
        </w:rPr>
        <w:t>заштите</w:t>
      </w:r>
      <w:r>
        <w:rPr>
          <w:color w:val="231F20"/>
          <w:spacing w:val="-5"/>
        </w:rPr>
        <w:t> </w:t>
      </w:r>
      <w:r>
        <w:rPr>
          <w:color w:val="231F20"/>
          <w:spacing w:val="-3"/>
        </w:rPr>
        <w:t>од</w:t>
      </w:r>
      <w:r>
        <w:rPr>
          <w:color w:val="231F20"/>
          <w:spacing w:val="-5"/>
        </w:rPr>
        <w:t> </w:t>
      </w:r>
      <w:r>
        <w:rPr>
          <w:color w:val="231F20"/>
        </w:rPr>
        <w:t>удеса,</w:t>
      </w:r>
      <w:r>
        <w:rPr>
          <w:color w:val="231F20"/>
          <w:spacing w:val="-5"/>
        </w:rPr>
        <w:t> </w:t>
      </w:r>
      <w:r>
        <w:rPr>
          <w:color w:val="231F20"/>
        </w:rPr>
        <w:t>као</w:t>
      </w:r>
      <w:r>
        <w:rPr>
          <w:color w:val="231F20"/>
          <w:spacing w:val="-5"/>
        </w:rPr>
        <w:t> </w:t>
      </w:r>
      <w:r>
        <w:rPr>
          <w:color w:val="231F20"/>
        </w:rPr>
        <w:t>основну</w:t>
      </w:r>
      <w:r>
        <w:rPr>
          <w:color w:val="231F20"/>
          <w:spacing w:val="-5"/>
        </w:rPr>
        <w:t> </w:t>
      </w:r>
      <w:r>
        <w:rPr>
          <w:color w:val="231F20"/>
        </w:rPr>
        <w:t>меру</w:t>
      </w:r>
      <w:r>
        <w:rPr>
          <w:color w:val="231F20"/>
          <w:spacing w:val="-5"/>
        </w:rPr>
        <w:t> </w:t>
      </w:r>
      <w:r>
        <w:rPr>
          <w:color w:val="231F20"/>
        </w:rPr>
        <w:t>приправности</w:t>
      </w:r>
      <w:r>
        <w:rPr>
          <w:color w:val="231F20"/>
          <w:spacing w:val="-5"/>
        </w:rPr>
        <w:t> </w:t>
      </w:r>
      <w:r>
        <w:rPr>
          <w:color w:val="231F20"/>
        </w:rPr>
        <w:t>у случају изненадних и непредвиђених индустријских удеса и хава- ријских</w:t>
      </w:r>
      <w:r>
        <w:rPr>
          <w:color w:val="231F20"/>
          <w:spacing w:val="-1"/>
        </w:rPr>
        <w:t> </w:t>
      </w:r>
      <w:r>
        <w:rPr>
          <w:color w:val="231F20"/>
        </w:rPr>
        <w:t>загађења.</w:t>
      </w:r>
    </w:p>
    <w:p>
      <w:pPr>
        <w:spacing w:after="0" w:line="225" w:lineRule="auto"/>
        <w:sectPr>
          <w:pgSz w:w="12480" w:h="15690"/>
          <w:pgMar w:top="120" w:bottom="280" w:left="680" w:right="720"/>
          <w:cols w:num="2" w:equalWidth="0">
            <w:col w:w="5560" w:space="40"/>
            <w:col w:w="5480"/>
          </w:cols>
        </w:sectPr>
      </w:pPr>
    </w:p>
    <w:p>
      <w:pPr>
        <w:pStyle w:val="BodyText"/>
        <w:spacing w:line="232" w:lineRule="auto" w:before="73"/>
        <w:ind w:left="169" w:right="38" w:firstLine="397"/>
      </w:pPr>
      <w:r>
        <w:rPr>
          <w:color w:val="231F20"/>
        </w:rPr>
        <w:t>У случају транспорта опасних материја, односно </w:t>
      </w:r>
      <w:r>
        <w:rPr>
          <w:color w:val="231F20"/>
          <w:spacing w:val="-3"/>
        </w:rPr>
        <w:t>приликом </w:t>
      </w:r>
      <w:r>
        <w:rPr>
          <w:color w:val="231F20"/>
        </w:rPr>
        <w:t>утовара и истовара истих, предузећа и друга приватна лица дужна су да контролишу исправност уређаја и електричних инсталација на тим местима, физички их обезбеде и воде рачуна о техничкој исправности опреме за гашење евентуалних пожара на тим</w:t>
      </w:r>
      <w:r>
        <w:rPr>
          <w:color w:val="231F20"/>
          <w:spacing w:val="-29"/>
        </w:rPr>
        <w:t> </w:t>
      </w:r>
      <w:r>
        <w:rPr>
          <w:color w:val="231F20"/>
        </w:rPr>
        <w:t>мести- ма, у складу са </w:t>
      </w:r>
      <w:r>
        <w:rPr>
          <w:color w:val="231F20"/>
          <w:spacing w:val="-3"/>
        </w:rPr>
        <w:t>Законом </w:t>
      </w:r>
      <w:r>
        <w:rPr>
          <w:color w:val="231F20"/>
        </w:rPr>
        <w:t>о превозу опасних материја („Службени гласник РС”, број</w:t>
      </w:r>
      <w:r>
        <w:rPr>
          <w:color w:val="231F20"/>
          <w:spacing w:val="-1"/>
        </w:rPr>
        <w:t> </w:t>
      </w:r>
      <w:r>
        <w:rPr>
          <w:color w:val="231F20"/>
        </w:rPr>
        <w:t>68/02).</w:t>
      </w:r>
    </w:p>
    <w:p>
      <w:pPr>
        <w:pStyle w:val="BodyText"/>
        <w:spacing w:line="232" w:lineRule="auto" w:before="7"/>
        <w:ind w:left="169" w:right="38" w:firstLine="397"/>
      </w:pPr>
      <w:r>
        <w:rPr>
          <w:color w:val="231F20"/>
        </w:rPr>
        <w:t>Основна превентивна мера у поступку издавања грађевинске дозволе за реконструкцију и новопланиране објекте је целовито сагледавање процена опасности објеката и </w:t>
      </w:r>
      <w:r>
        <w:rPr>
          <w:color w:val="231F20"/>
          <w:spacing w:val="-3"/>
        </w:rPr>
        <w:t>околног </w:t>
      </w:r>
      <w:r>
        <w:rPr>
          <w:color w:val="231F20"/>
        </w:rPr>
        <w:t>простора </w:t>
      </w:r>
      <w:r>
        <w:rPr>
          <w:color w:val="231F20"/>
          <w:spacing w:val="-3"/>
        </w:rPr>
        <w:t>од </w:t>
      </w:r>
      <w:r>
        <w:rPr>
          <w:color w:val="231F20"/>
        </w:rPr>
        <w:t>могућих</w:t>
      </w:r>
      <w:r>
        <w:rPr>
          <w:color w:val="231F20"/>
          <w:spacing w:val="-9"/>
        </w:rPr>
        <w:t> </w:t>
      </w:r>
      <w:r>
        <w:rPr>
          <w:color w:val="231F20"/>
        </w:rPr>
        <w:t>удеса</w:t>
      </w:r>
      <w:r>
        <w:rPr>
          <w:color w:val="231F20"/>
          <w:spacing w:val="-9"/>
        </w:rPr>
        <w:t> </w:t>
      </w:r>
      <w:r>
        <w:rPr>
          <w:color w:val="231F20"/>
        </w:rPr>
        <w:t>и</w:t>
      </w:r>
      <w:r>
        <w:rPr>
          <w:color w:val="231F20"/>
          <w:spacing w:val="-9"/>
        </w:rPr>
        <w:t> </w:t>
      </w:r>
      <w:r>
        <w:rPr>
          <w:color w:val="231F20"/>
        </w:rPr>
        <w:t>прописати</w:t>
      </w:r>
      <w:r>
        <w:rPr>
          <w:color w:val="231F20"/>
          <w:spacing w:val="-9"/>
        </w:rPr>
        <w:t> </w:t>
      </w:r>
      <w:r>
        <w:rPr>
          <w:color w:val="231F20"/>
        </w:rPr>
        <w:t>неопходне</w:t>
      </w:r>
      <w:r>
        <w:rPr>
          <w:color w:val="231F20"/>
          <w:spacing w:val="-9"/>
        </w:rPr>
        <w:t> </w:t>
      </w:r>
      <w:r>
        <w:rPr>
          <w:color w:val="231F20"/>
        </w:rPr>
        <w:t>мере</w:t>
      </w:r>
      <w:r>
        <w:rPr>
          <w:color w:val="231F20"/>
          <w:spacing w:val="-9"/>
        </w:rPr>
        <w:t> </w:t>
      </w:r>
      <w:r>
        <w:rPr>
          <w:color w:val="231F20"/>
        </w:rPr>
        <w:t>заштите,</w:t>
      </w:r>
      <w:r>
        <w:rPr>
          <w:color w:val="231F20"/>
          <w:spacing w:val="-9"/>
        </w:rPr>
        <w:t> </w:t>
      </w:r>
      <w:r>
        <w:rPr>
          <w:color w:val="231F20"/>
        </w:rPr>
        <w:t>ради</w:t>
      </w:r>
      <w:r>
        <w:rPr>
          <w:color w:val="231F20"/>
          <w:spacing w:val="-9"/>
        </w:rPr>
        <w:t> </w:t>
      </w:r>
      <w:r>
        <w:rPr>
          <w:color w:val="231F20"/>
        </w:rPr>
        <w:t>заштите </w:t>
      </w:r>
      <w:r>
        <w:rPr>
          <w:color w:val="231F20"/>
          <w:spacing w:val="-4"/>
        </w:rPr>
        <w:t>људи </w:t>
      </w:r>
      <w:r>
        <w:rPr>
          <w:color w:val="231F20"/>
        </w:rPr>
        <w:t>и материјалних добара, према Закону о безбедности и здра- вљу на раду („Службени гласник РС”, број 101/05) као и правила понашања у конкретним</w:t>
      </w:r>
      <w:r>
        <w:rPr>
          <w:color w:val="231F20"/>
          <w:spacing w:val="-4"/>
        </w:rPr>
        <w:t> </w:t>
      </w:r>
      <w:r>
        <w:rPr>
          <w:color w:val="231F20"/>
        </w:rPr>
        <w:t>условима.</w:t>
      </w:r>
    </w:p>
    <w:p>
      <w:pPr>
        <w:pStyle w:val="BodyText"/>
        <w:spacing w:line="232" w:lineRule="auto" w:before="7"/>
        <w:ind w:left="169" w:right="39" w:firstLine="397"/>
      </w:pPr>
      <w:r>
        <w:rPr>
          <w:color w:val="231F20"/>
          <w:spacing w:val="-4"/>
        </w:rPr>
        <w:t>Услови </w:t>
      </w:r>
      <w:r>
        <w:rPr>
          <w:color w:val="231F20"/>
          <w:spacing w:val="-3"/>
        </w:rPr>
        <w:t>које </w:t>
      </w:r>
      <w:r>
        <w:rPr>
          <w:color w:val="231F20"/>
        </w:rPr>
        <w:t>морају испуњавати железничке пруге и желе- зничка возила и постројења, објекти и уређаји </w:t>
      </w:r>
      <w:r>
        <w:rPr>
          <w:color w:val="231F20"/>
          <w:spacing w:val="-3"/>
        </w:rPr>
        <w:t>који </w:t>
      </w:r>
      <w:r>
        <w:rPr>
          <w:color w:val="231F20"/>
        </w:rPr>
        <w:t>се користе у железничком саобраћају као и други услови </w:t>
      </w:r>
      <w:r>
        <w:rPr>
          <w:color w:val="231F20"/>
          <w:spacing w:val="-3"/>
        </w:rPr>
        <w:t>који </w:t>
      </w:r>
      <w:r>
        <w:rPr>
          <w:color w:val="231F20"/>
        </w:rPr>
        <w:t>су </w:t>
      </w:r>
      <w:r>
        <w:rPr>
          <w:color w:val="231F20"/>
          <w:spacing w:val="-3"/>
        </w:rPr>
        <w:t>од </w:t>
      </w:r>
      <w:r>
        <w:rPr>
          <w:color w:val="231F20"/>
        </w:rPr>
        <w:t>значаја за остваривање безбедног и несметаног одвијања железничког сао- браћај дефинисани су </w:t>
      </w:r>
      <w:r>
        <w:rPr>
          <w:color w:val="231F20"/>
          <w:spacing w:val="-3"/>
        </w:rPr>
        <w:t>Законом </w:t>
      </w:r>
      <w:r>
        <w:rPr>
          <w:color w:val="231F20"/>
        </w:rPr>
        <w:t>о безбедности у железничком са- обраћају („Службени лист СРЈ”, бр. 60/98 и 33/99 и „Службени гласник РС”, број 101/05) и </w:t>
      </w:r>
      <w:r>
        <w:rPr>
          <w:color w:val="231F20"/>
          <w:spacing w:val="-3"/>
        </w:rPr>
        <w:t>Законом </w:t>
      </w:r>
      <w:r>
        <w:rPr>
          <w:color w:val="231F20"/>
        </w:rPr>
        <w:t>о железници („Службени </w:t>
      </w:r>
      <w:r>
        <w:rPr>
          <w:color w:val="231F20"/>
          <w:spacing w:val="-3"/>
        </w:rPr>
        <w:t>гла- </w:t>
      </w:r>
      <w:r>
        <w:rPr>
          <w:color w:val="231F20"/>
        </w:rPr>
        <w:t>сник РС”, број 18/05).</w:t>
      </w:r>
    </w:p>
    <w:p>
      <w:pPr>
        <w:pStyle w:val="ListParagraph"/>
        <w:numPr>
          <w:ilvl w:val="2"/>
          <w:numId w:val="77"/>
        </w:numPr>
        <w:tabs>
          <w:tab w:pos="1770" w:val="left" w:leader="none"/>
        </w:tabs>
        <w:spacing w:line="240" w:lineRule="auto" w:before="116" w:after="0"/>
        <w:ind w:left="1769" w:right="0" w:hanging="450"/>
        <w:jc w:val="left"/>
        <w:rPr>
          <w:sz w:val="18"/>
        </w:rPr>
      </w:pPr>
      <w:r>
        <w:rPr>
          <w:color w:val="231F20"/>
          <w:spacing w:val="13"/>
          <w:sz w:val="18"/>
        </w:rPr>
        <w:t>Мере </w:t>
      </w:r>
      <w:r>
        <w:rPr>
          <w:color w:val="231F20"/>
          <w:spacing w:val="16"/>
          <w:sz w:val="18"/>
        </w:rPr>
        <w:t>заштите </w:t>
      </w:r>
      <w:r>
        <w:rPr>
          <w:color w:val="231F20"/>
          <w:spacing w:val="6"/>
          <w:sz w:val="18"/>
        </w:rPr>
        <w:t>од</w:t>
      </w:r>
      <w:r>
        <w:rPr>
          <w:color w:val="231F20"/>
          <w:spacing w:val="41"/>
          <w:sz w:val="18"/>
        </w:rPr>
        <w:t> </w:t>
      </w:r>
      <w:r>
        <w:rPr>
          <w:color w:val="231F20"/>
          <w:spacing w:val="15"/>
          <w:sz w:val="18"/>
        </w:rPr>
        <w:t>пожара</w:t>
      </w:r>
    </w:p>
    <w:p>
      <w:pPr>
        <w:pStyle w:val="BodyText"/>
        <w:spacing w:line="232" w:lineRule="auto" w:before="57"/>
        <w:ind w:left="169" w:right="39" w:firstLine="397"/>
      </w:pPr>
      <w:r>
        <w:rPr>
          <w:color w:val="231F20"/>
          <w:spacing w:val="-3"/>
        </w:rPr>
        <w:t>Приликом</w:t>
      </w:r>
      <w:r>
        <w:rPr>
          <w:color w:val="231F20"/>
          <w:spacing w:val="-7"/>
        </w:rPr>
        <w:t> </w:t>
      </w:r>
      <w:r>
        <w:rPr>
          <w:color w:val="231F20"/>
        </w:rPr>
        <w:t>постављања</w:t>
      </w:r>
      <w:r>
        <w:rPr>
          <w:color w:val="231F20"/>
          <w:spacing w:val="-7"/>
        </w:rPr>
        <w:t> </w:t>
      </w:r>
      <w:r>
        <w:rPr>
          <w:color w:val="231F20"/>
        </w:rPr>
        <w:t>концепције</w:t>
      </w:r>
      <w:r>
        <w:rPr>
          <w:color w:val="231F20"/>
          <w:spacing w:val="-7"/>
        </w:rPr>
        <w:t> </w:t>
      </w:r>
      <w:r>
        <w:rPr>
          <w:color w:val="231F20"/>
        </w:rPr>
        <w:t>заштите</w:t>
      </w:r>
      <w:r>
        <w:rPr>
          <w:color w:val="231F20"/>
          <w:spacing w:val="-7"/>
        </w:rPr>
        <w:t> </w:t>
      </w:r>
      <w:r>
        <w:rPr>
          <w:color w:val="231F20"/>
          <w:spacing w:val="-3"/>
        </w:rPr>
        <w:t>од</w:t>
      </w:r>
      <w:r>
        <w:rPr>
          <w:color w:val="231F20"/>
          <w:spacing w:val="-7"/>
        </w:rPr>
        <w:t> </w:t>
      </w:r>
      <w:r>
        <w:rPr>
          <w:color w:val="231F20"/>
        </w:rPr>
        <w:t>пожара</w:t>
      </w:r>
      <w:r>
        <w:rPr>
          <w:color w:val="231F20"/>
          <w:spacing w:val="-7"/>
        </w:rPr>
        <w:t> </w:t>
      </w:r>
      <w:r>
        <w:rPr>
          <w:color w:val="231F20"/>
        </w:rPr>
        <w:t>на</w:t>
      </w:r>
      <w:r>
        <w:rPr>
          <w:color w:val="231F20"/>
          <w:spacing w:val="-7"/>
        </w:rPr>
        <w:t> </w:t>
      </w:r>
      <w:r>
        <w:rPr>
          <w:color w:val="231F20"/>
        </w:rPr>
        <w:t>гра- дилишту за време изградње пруге треба поћи </w:t>
      </w:r>
      <w:r>
        <w:rPr>
          <w:color w:val="231F20"/>
          <w:spacing w:val="-3"/>
        </w:rPr>
        <w:t>од </w:t>
      </w:r>
      <w:r>
        <w:rPr>
          <w:color w:val="231F20"/>
        </w:rPr>
        <w:t>следеће битних елемента:</w:t>
      </w:r>
    </w:p>
    <w:p>
      <w:pPr>
        <w:pStyle w:val="BodyText"/>
        <w:spacing w:line="237" w:lineRule="auto" w:before="70"/>
        <w:ind w:left="169" w:right="412" w:firstLine="396"/>
      </w:pPr>
      <w:r>
        <w:rPr/>
        <w:br w:type="column"/>
      </w:r>
      <w:r>
        <w:rPr>
          <w:color w:val="231F20"/>
          <w:w w:val="66"/>
        </w:rPr>
        <w:t> </w:t>
      </w:r>
      <w:r>
        <w:rPr>
          <w:color w:val="231F20"/>
        </w:rPr>
        <w:t>– поступци при демонтажи и монтажи елемената старог ин- дустријског колосека;</w:t>
      </w:r>
    </w:p>
    <w:p>
      <w:pPr>
        <w:pStyle w:val="BodyText"/>
        <w:spacing w:line="247" w:lineRule="auto" w:before="5"/>
        <w:ind w:left="169" w:right="412" w:firstLine="396"/>
      </w:pPr>
      <w:r>
        <w:rPr/>
        <w:pict>
          <v:line style="position:absolute;mso-position-horizontal-relative:page;mso-position-vertical-relative:paragraph;z-index:4840" from="304.724396pt,-18.458857pt" to="304.724396pt,248.470143pt" stroked="true" strokeweight=".6pt" strokecolor="#231f20">
            <v:stroke dashstyle="solid"/>
            <w10:wrap type="none"/>
          </v:line>
        </w:pict>
      </w:r>
      <w:r>
        <w:rPr>
          <w:color w:val="231F20"/>
          <w:w w:val="66"/>
        </w:rPr>
        <w:t> </w:t>
      </w:r>
      <w:r>
        <w:rPr>
          <w:color w:val="231F20"/>
        </w:rPr>
        <w:t>–</w:t>
      </w:r>
      <w:r>
        <w:rPr>
          <w:color w:val="231F20"/>
          <w:spacing w:val="-6"/>
        </w:rPr>
        <w:t> </w:t>
      </w:r>
      <w:r>
        <w:rPr>
          <w:color w:val="231F20"/>
        </w:rPr>
        <w:t>присуство</w:t>
      </w:r>
      <w:r>
        <w:rPr>
          <w:color w:val="231F20"/>
          <w:spacing w:val="-6"/>
        </w:rPr>
        <w:t> </w:t>
      </w:r>
      <w:r>
        <w:rPr>
          <w:color w:val="231F20"/>
        </w:rPr>
        <w:t>запаљивих</w:t>
      </w:r>
      <w:r>
        <w:rPr>
          <w:color w:val="231F20"/>
          <w:spacing w:val="-6"/>
        </w:rPr>
        <w:t> </w:t>
      </w:r>
      <w:r>
        <w:rPr>
          <w:color w:val="231F20"/>
        </w:rPr>
        <w:t>и</w:t>
      </w:r>
      <w:r>
        <w:rPr>
          <w:color w:val="231F20"/>
          <w:spacing w:val="-6"/>
        </w:rPr>
        <w:t> </w:t>
      </w:r>
      <w:r>
        <w:rPr>
          <w:color w:val="231F20"/>
        </w:rPr>
        <w:t>других</w:t>
      </w:r>
      <w:r>
        <w:rPr>
          <w:color w:val="231F20"/>
          <w:spacing w:val="-6"/>
        </w:rPr>
        <w:t> </w:t>
      </w:r>
      <w:r>
        <w:rPr>
          <w:color w:val="231F20"/>
        </w:rPr>
        <w:t>опасних</w:t>
      </w:r>
      <w:r>
        <w:rPr>
          <w:color w:val="231F20"/>
          <w:spacing w:val="-6"/>
        </w:rPr>
        <w:t> </w:t>
      </w:r>
      <w:r>
        <w:rPr>
          <w:color w:val="231F20"/>
        </w:rPr>
        <w:t>материја</w:t>
      </w:r>
      <w:r>
        <w:rPr>
          <w:color w:val="231F20"/>
          <w:spacing w:val="-6"/>
        </w:rPr>
        <w:t> </w:t>
      </w:r>
      <w:r>
        <w:rPr>
          <w:color w:val="231F20"/>
        </w:rPr>
        <w:t>дуж</w:t>
      </w:r>
      <w:r>
        <w:rPr>
          <w:color w:val="231F20"/>
          <w:spacing w:val="-6"/>
        </w:rPr>
        <w:t> </w:t>
      </w:r>
      <w:r>
        <w:rPr>
          <w:color w:val="231F20"/>
        </w:rPr>
        <w:t>трасе пруге;</w:t>
      </w:r>
      <w:r>
        <w:rPr>
          <w:color w:val="231F20"/>
          <w:spacing w:val="-1"/>
        </w:rPr>
        <w:t> </w:t>
      </w:r>
      <w:r>
        <w:rPr>
          <w:color w:val="231F20"/>
        </w:rPr>
        <w:t>и</w:t>
      </w:r>
    </w:p>
    <w:p>
      <w:pPr>
        <w:pStyle w:val="BodyText"/>
        <w:spacing w:line="205" w:lineRule="exact"/>
        <w:ind w:left="566"/>
        <w:jc w:val="left"/>
      </w:pPr>
      <w:r>
        <w:rPr>
          <w:color w:val="231F20"/>
          <w:w w:val="66"/>
        </w:rPr>
        <w:t> </w:t>
      </w:r>
      <w:r>
        <w:rPr>
          <w:color w:val="231F20"/>
        </w:rPr>
        <w:t>– присуство извора паљења дуж трасе.</w:t>
      </w:r>
    </w:p>
    <w:p>
      <w:pPr>
        <w:spacing w:before="176"/>
        <w:ind w:left="1613" w:right="0" w:firstLine="0"/>
        <w:jc w:val="left"/>
        <w:rPr>
          <w:i/>
          <w:sz w:val="18"/>
        </w:rPr>
      </w:pPr>
      <w:r>
        <w:rPr>
          <w:i/>
          <w:color w:val="231F20"/>
          <w:sz w:val="18"/>
        </w:rPr>
        <w:t>9.7. Смернице за спровођење</w:t>
      </w:r>
    </w:p>
    <w:p>
      <w:pPr>
        <w:pStyle w:val="BodyText"/>
        <w:spacing w:line="247" w:lineRule="auto" w:before="175"/>
        <w:ind w:left="169" w:right="412" w:firstLine="396"/>
      </w:pPr>
      <w:r>
        <w:rPr>
          <w:color w:val="231F20"/>
        </w:rPr>
        <w:t>Смернице из планског решења представљају основ за парце- лацију и прибављање земљишта, као и добијање информације о локацији надлежног органа и локацијске дозволе. Као основа </w:t>
      </w:r>
      <w:r>
        <w:rPr>
          <w:color w:val="231F20"/>
          <w:spacing w:val="-4"/>
        </w:rPr>
        <w:t>ко- </w:t>
      </w:r>
      <w:r>
        <w:rPr>
          <w:color w:val="231F20"/>
        </w:rPr>
        <w:t>ришћена су планска-пројектантска решења из Идејног пројекта изградње</w:t>
      </w:r>
      <w:r>
        <w:rPr>
          <w:color w:val="231F20"/>
          <w:spacing w:val="-10"/>
        </w:rPr>
        <w:t> </w:t>
      </w:r>
      <w:r>
        <w:rPr>
          <w:color w:val="231F20"/>
        </w:rPr>
        <w:t>индустријског</w:t>
      </w:r>
      <w:r>
        <w:rPr>
          <w:color w:val="231F20"/>
          <w:spacing w:val="-10"/>
        </w:rPr>
        <w:t> </w:t>
      </w:r>
      <w:r>
        <w:rPr>
          <w:color w:val="231F20"/>
        </w:rPr>
        <w:t>колосека</w:t>
      </w:r>
      <w:r>
        <w:rPr>
          <w:color w:val="231F20"/>
          <w:spacing w:val="-10"/>
        </w:rPr>
        <w:t> </w:t>
      </w:r>
      <w:r>
        <w:rPr>
          <w:color w:val="231F20"/>
          <w:spacing w:val="-3"/>
        </w:rPr>
        <w:t>од</w:t>
      </w:r>
      <w:r>
        <w:rPr>
          <w:color w:val="231F20"/>
          <w:spacing w:val="-10"/>
        </w:rPr>
        <w:t> </w:t>
      </w:r>
      <w:r>
        <w:rPr>
          <w:color w:val="231F20"/>
        </w:rPr>
        <w:t>ТЕ</w:t>
      </w:r>
      <w:r>
        <w:rPr>
          <w:color w:val="231F20"/>
          <w:spacing w:val="-10"/>
        </w:rPr>
        <w:t> </w:t>
      </w:r>
      <w:r>
        <w:rPr>
          <w:color w:val="231F20"/>
        </w:rPr>
        <w:t>„Костолац</w:t>
      </w:r>
      <w:r>
        <w:rPr>
          <w:color w:val="231F20"/>
          <w:spacing w:val="-10"/>
        </w:rPr>
        <w:t> </w:t>
      </w:r>
      <w:r>
        <w:rPr>
          <w:color w:val="231F20"/>
        </w:rPr>
        <w:t>Б”</w:t>
      </w:r>
      <w:r>
        <w:rPr>
          <w:color w:val="231F20"/>
          <w:spacing w:val="-10"/>
        </w:rPr>
        <w:t> </w:t>
      </w:r>
      <w:r>
        <w:rPr>
          <w:color w:val="231F20"/>
        </w:rPr>
        <w:t>до</w:t>
      </w:r>
      <w:r>
        <w:rPr>
          <w:color w:val="231F20"/>
          <w:spacing w:val="-10"/>
        </w:rPr>
        <w:t> </w:t>
      </w:r>
      <w:r>
        <w:rPr>
          <w:color w:val="231F20"/>
        </w:rPr>
        <w:t>постојеће железничке мреже за потребе ПД </w:t>
      </w:r>
      <w:r>
        <w:rPr>
          <w:color w:val="231F20"/>
          <w:spacing w:val="-4"/>
        </w:rPr>
        <w:t>„ТЕРМОЕЛЕКТРАНЕ </w:t>
      </w:r>
      <w:r>
        <w:rPr>
          <w:color w:val="231F20"/>
        </w:rPr>
        <w:t>И КОПО- ВИ </w:t>
      </w:r>
      <w:r>
        <w:rPr>
          <w:color w:val="231F20"/>
          <w:spacing w:val="-3"/>
        </w:rPr>
        <w:t>КОСТОЛАЦ”</w:t>
      </w:r>
      <w:r>
        <w:rPr>
          <w:color w:val="231F20"/>
          <w:spacing w:val="-1"/>
        </w:rPr>
        <w:t> </w:t>
      </w:r>
      <w:r>
        <w:rPr>
          <w:color w:val="231F20"/>
        </w:rPr>
        <w:t>.</w:t>
      </w:r>
    </w:p>
    <w:p>
      <w:pPr>
        <w:pStyle w:val="BodyText"/>
        <w:spacing w:line="247" w:lineRule="auto"/>
        <w:ind w:left="169" w:right="411" w:firstLine="397"/>
      </w:pPr>
      <w:r>
        <w:rPr>
          <w:color w:val="231F20"/>
        </w:rPr>
        <w:t>Планска решења ће се спроводити: пројектом препарцелаци- је и пројектом геодетског обележавања, као и одговарајућом тех- ничком документацијом. Приликом формирања захтева за израду пројекта парцелације потребно је проверити тачке дефинисане Просторним планом.</w:t>
      </w:r>
    </w:p>
    <w:p>
      <w:pPr>
        <w:pStyle w:val="BodyText"/>
        <w:spacing w:line="247" w:lineRule="auto"/>
        <w:ind w:left="169" w:right="412" w:firstLine="397"/>
      </w:pPr>
      <w:r>
        <w:rPr>
          <w:color w:val="231F20"/>
        </w:rPr>
        <w:t>Поједине техничке елементе, потребно је проверити кроз из- раду техничке документације, пројекта парцелације или у поступ- ку експропријације, што мора бити наведено приликом издавања локацијске дозволе. Ако су измене техничких елемената већег обима, потребно је приступити мањим изменама и допунама Про- сторног плана.</w:t>
      </w:r>
    </w:p>
    <w:p>
      <w:pPr>
        <w:spacing w:after="0" w:line="247" w:lineRule="auto"/>
        <w:sectPr>
          <w:pgSz w:w="12480" w:h="15690"/>
          <w:pgMar w:top="120" w:bottom="280" w:left="680" w:right="720"/>
          <w:cols w:num="2" w:equalWidth="0">
            <w:col w:w="5314" w:space="73"/>
            <w:col w:w="5693"/>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5"/>
        <w:ind w:left="0"/>
        <w:jc w:val="left"/>
        <w:rPr>
          <w:sz w:val="20"/>
        </w:rPr>
      </w:pPr>
    </w:p>
    <w:p>
      <w:pPr>
        <w:pStyle w:val="BodyText"/>
        <w:ind w:left="145"/>
        <w:jc w:val="left"/>
      </w:pPr>
      <w:r>
        <w:rPr>
          <w:color w:val="231F20"/>
        </w:rPr>
        <w:t>ПРИЛОГ 1. Координате граничних тачака обухвата коридора индустријске пруге</w:t>
      </w:r>
    </w:p>
    <w:p>
      <w:pPr>
        <w:pStyle w:val="BodyText"/>
        <w:spacing w:before="10"/>
        <w:ind w:left="0"/>
        <w:jc w:val="left"/>
        <w:rPr>
          <w:sz w:val="20"/>
        </w:rPr>
      </w:pP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9"/>
        <w:gridCol w:w="1758"/>
        <w:gridCol w:w="1758"/>
        <w:gridCol w:w="1758"/>
        <w:gridCol w:w="1758"/>
        <w:gridCol w:w="1758"/>
      </w:tblGrid>
      <w:tr>
        <w:trPr>
          <w:trHeight w:val="200" w:hRule="atLeast"/>
        </w:trPr>
        <w:tc>
          <w:tcPr>
            <w:tcW w:w="1709" w:type="dxa"/>
          </w:tcPr>
          <w:p>
            <w:pPr>
              <w:pStyle w:val="TableParagraph"/>
              <w:ind w:left="524" w:right="515"/>
              <w:jc w:val="center"/>
              <w:rPr>
                <w:sz w:val="14"/>
              </w:rPr>
            </w:pPr>
            <w:r>
              <w:rPr>
                <w:color w:val="231F20"/>
                <w:sz w:val="14"/>
              </w:rPr>
              <w:t>Број тачке</w:t>
            </w:r>
          </w:p>
        </w:tc>
        <w:tc>
          <w:tcPr>
            <w:tcW w:w="3516" w:type="dxa"/>
            <w:gridSpan w:val="2"/>
          </w:tcPr>
          <w:p>
            <w:pPr>
              <w:pStyle w:val="TableParagraph"/>
              <w:ind w:left="1380" w:right="1372"/>
              <w:jc w:val="center"/>
              <w:rPr>
                <w:sz w:val="14"/>
              </w:rPr>
            </w:pPr>
            <w:r>
              <w:rPr>
                <w:color w:val="231F20"/>
                <w:sz w:val="14"/>
              </w:rPr>
              <w:t>Координате</w:t>
            </w:r>
          </w:p>
        </w:tc>
        <w:tc>
          <w:tcPr>
            <w:tcW w:w="1758" w:type="dxa"/>
          </w:tcPr>
          <w:p>
            <w:pPr>
              <w:pStyle w:val="TableParagraph"/>
              <w:ind w:left="451" w:right="445"/>
              <w:jc w:val="center"/>
              <w:rPr>
                <w:sz w:val="14"/>
              </w:rPr>
            </w:pPr>
            <w:r>
              <w:rPr>
                <w:color w:val="231F20"/>
                <w:sz w:val="14"/>
              </w:rPr>
              <w:t>Број тачке</w:t>
            </w:r>
          </w:p>
        </w:tc>
        <w:tc>
          <w:tcPr>
            <w:tcW w:w="3516" w:type="dxa"/>
            <w:gridSpan w:val="2"/>
          </w:tcPr>
          <w:p>
            <w:pPr>
              <w:pStyle w:val="TableParagraph"/>
              <w:ind w:left="1379" w:right="1374"/>
              <w:jc w:val="center"/>
              <w:rPr>
                <w:sz w:val="14"/>
              </w:rPr>
            </w:pPr>
            <w:r>
              <w:rPr>
                <w:color w:val="231F20"/>
                <w:sz w:val="14"/>
              </w:rPr>
              <w:t>Координате</w:t>
            </w:r>
          </w:p>
        </w:tc>
      </w:tr>
      <w:tr>
        <w:trPr>
          <w:trHeight w:val="200" w:hRule="atLeast"/>
        </w:trPr>
        <w:tc>
          <w:tcPr>
            <w:tcW w:w="1709" w:type="dxa"/>
          </w:tcPr>
          <w:p>
            <w:pPr>
              <w:pStyle w:val="TableParagraph"/>
              <w:ind w:left="9"/>
              <w:jc w:val="center"/>
              <w:rPr>
                <w:sz w:val="14"/>
              </w:rPr>
            </w:pPr>
            <w:r>
              <w:rPr>
                <w:color w:val="231F20"/>
                <w:sz w:val="14"/>
              </w:rPr>
              <w:t>Т</w:t>
            </w:r>
          </w:p>
        </w:tc>
        <w:tc>
          <w:tcPr>
            <w:tcW w:w="1758" w:type="dxa"/>
          </w:tcPr>
          <w:p>
            <w:pPr>
              <w:pStyle w:val="TableParagraph"/>
              <w:ind w:left="451" w:right="443"/>
              <w:jc w:val="center"/>
              <w:rPr>
                <w:sz w:val="14"/>
              </w:rPr>
            </w:pPr>
            <w:r>
              <w:rPr>
                <w:color w:val="231F20"/>
                <w:sz w:val="14"/>
              </w:rPr>
              <w:t>Y [ m ]</w:t>
            </w:r>
          </w:p>
        </w:tc>
        <w:tc>
          <w:tcPr>
            <w:tcW w:w="1758" w:type="dxa"/>
          </w:tcPr>
          <w:p>
            <w:pPr>
              <w:pStyle w:val="TableParagraph"/>
              <w:ind w:left="451" w:right="444"/>
              <w:jc w:val="center"/>
              <w:rPr>
                <w:sz w:val="14"/>
              </w:rPr>
            </w:pPr>
            <w:r>
              <w:rPr>
                <w:color w:val="231F20"/>
                <w:sz w:val="14"/>
              </w:rPr>
              <w:t>X [ m ]</w:t>
            </w:r>
          </w:p>
        </w:tc>
        <w:tc>
          <w:tcPr>
            <w:tcW w:w="1758" w:type="dxa"/>
          </w:tcPr>
          <w:p>
            <w:pPr>
              <w:pStyle w:val="TableParagraph"/>
              <w:ind w:left="6"/>
              <w:jc w:val="center"/>
              <w:rPr>
                <w:sz w:val="14"/>
              </w:rPr>
            </w:pPr>
            <w:r>
              <w:rPr>
                <w:color w:val="231F20"/>
                <w:sz w:val="14"/>
              </w:rPr>
              <w:t>Т</w:t>
            </w:r>
          </w:p>
        </w:tc>
        <w:tc>
          <w:tcPr>
            <w:tcW w:w="1758" w:type="dxa"/>
          </w:tcPr>
          <w:p>
            <w:pPr>
              <w:pStyle w:val="TableParagraph"/>
              <w:ind w:left="451" w:right="446"/>
              <w:jc w:val="center"/>
              <w:rPr>
                <w:sz w:val="14"/>
              </w:rPr>
            </w:pPr>
            <w:r>
              <w:rPr>
                <w:color w:val="231F20"/>
                <w:sz w:val="14"/>
              </w:rPr>
              <w:t>Y [ m ]</w:t>
            </w:r>
          </w:p>
        </w:tc>
        <w:tc>
          <w:tcPr>
            <w:tcW w:w="1758" w:type="dxa"/>
          </w:tcPr>
          <w:p>
            <w:pPr>
              <w:pStyle w:val="TableParagraph"/>
              <w:ind w:left="451" w:right="447"/>
              <w:jc w:val="center"/>
              <w:rPr>
                <w:sz w:val="14"/>
              </w:rPr>
            </w:pPr>
            <w:r>
              <w:rPr>
                <w:color w:val="231F20"/>
                <w:sz w:val="14"/>
              </w:rPr>
              <w:t>X [ m ]</w:t>
            </w:r>
          </w:p>
        </w:tc>
      </w:tr>
      <w:tr>
        <w:trPr>
          <w:trHeight w:val="200" w:hRule="atLeast"/>
        </w:trPr>
        <w:tc>
          <w:tcPr>
            <w:tcW w:w="1709" w:type="dxa"/>
          </w:tcPr>
          <w:p>
            <w:pPr>
              <w:pStyle w:val="TableParagraph"/>
              <w:ind w:left="9"/>
              <w:jc w:val="center"/>
              <w:rPr>
                <w:sz w:val="14"/>
              </w:rPr>
            </w:pPr>
            <w:r>
              <w:rPr>
                <w:color w:val="231F20"/>
                <w:sz w:val="14"/>
              </w:rPr>
              <w:t>1</w:t>
            </w:r>
          </w:p>
        </w:tc>
        <w:tc>
          <w:tcPr>
            <w:tcW w:w="1758" w:type="dxa"/>
          </w:tcPr>
          <w:p>
            <w:pPr>
              <w:pStyle w:val="TableParagraph"/>
              <w:ind w:left="451" w:right="443"/>
              <w:jc w:val="center"/>
              <w:rPr>
                <w:sz w:val="14"/>
              </w:rPr>
            </w:pPr>
            <w:r>
              <w:rPr>
                <w:color w:val="231F20"/>
                <w:sz w:val="14"/>
              </w:rPr>
              <w:t>7525190.2937</w:t>
            </w:r>
          </w:p>
        </w:tc>
        <w:tc>
          <w:tcPr>
            <w:tcW w:w="1758" w:type="dxa"/>
          </w:tcPr>
          <w:p>
            <w:pPr>
              <w:pStyle w:val="TableParagraph"/>
              <w:ind w:left="451" w:right="444"/>
              <w:jc w:val="center"/>
              <w:rPr>
                <w:sz w:val="14"/>
              </w:rPr>
            </w:pPr>
            <w:r>
              <w:rPr>
                <w:color w:val="231F20"/>
                <w:sz w:val="14"/>
              </w:rPr>
              <w:t>4947205.6895</w:t>
            </w:r>
          </w:p>
        </w:tc>
        <w:tc>
          <w:tcPr>
            <w:tcW w:w="1758" w:type="dxa"/>
          </w:tcPr>
          <w:p>
            <w:pPr>
              <w:pStyle w:val="TableParagraph"/>
              <w:ind w:left="451" w:right="445"/>
              <w:jc w:val="center"/>
              <w:rPr>
                <w:sz w:val="14"/>
              </w:rPr>
            </w:pPr>
            <w:r>
              <w:rPr>
                <w:color w:val="231F20"/>
                <w:sz w:val="14"/>
              </w:rPr>
              <w:t>27</w:t>
            </w:r>
          </w:p>
        </w:tc>
        <w:tc>
          <w:tcPr>
            <w:tcW w:w="1758" w:type="dxa"/>
          </w:tcPr>
          <w:p>
            <w:pPr>
              <w:pStyle w:val="TableParagraph"/>
              <w:ind w:left="451" w:right="446"/>
              <w:jc w:val="center"/>
              <w:rPr>
                <w:sz w:val="14"/>
              </w:rPr>
            </w:pPr>
            <w:r>
              <w:rPr>
                <w:color w:val="231F20"/>
                <w:sz w:val="14"/>
              </w:rPr>
              <w:t>7521016.7804</w:t>
            </w:r>
          </w:p>
        </w:tc>
        <w:tc>
          <w:tcPr>
            <w:tcW w:w="1758" w:type="dxa"/>
          </w:tcPr>
          <w:p>
            <w:pPr>
              <w:pStyle w:val="TableParagraph"/>
              <w:ind w:left="451" w:right="447"/>
              <w:jc w:val="center"/>
              <w:rPr>
                <w:sz w:val="14"/>
              </w:rPr>
            </w:pPr>
            <w:r>
              <w:rPr>
                <w:color w:val="231F20"/>
                <w:sz w:val="14"/>
              </w:rPr>
              <w:t>4951779.6759</w:t>
            </w:r>
          </w:p>
        </w:tc>
      </w:tr>
      <w:tr>
        <w:trPr>
          <w:trHeight w:val="200" w:hRule="atLeast"/>
        </w:trPr>
        <w:tc>
          <w:tcPr>
            <w:tcW w:w="1709" w:type="dxa"/>
          </w:tcPr>
          <w:p>
            <w:pPr>
              <w:pStyle w:val="TableParagraph"/>
              <w:ind w:left="9"/>
              <w:jc w:val="center"/>
              <w:rPr>
                <w:sz w:val="14"/>
              </w:rPr>
            </w:pPr>
            <w:r>
              <w:rPr>
                <w:color w:val="231F20"/>
                <w:sz w:val="14"/>
              </w:rPr>
              <w:t>2</w:t>
            </w:r>
          </w:p>
        </w:tc>
        <w:tc>
          <w:tcPr>
            <w:tcW w:w="1758" w:type="dxa"/>
          </w:tcPr>
          <w:p>
            <w:pPr>
              <w:pStyle w:val="TableParagraph"/>
              <w:ind w:left="451" w:right="443"/>
              <w:jc w:val="center"/>
              <w:rPr>
                <w:sz w:val="14"/>
              </w:rPr>
            </w:pPr>
            <w:r>
              <w:rPr>
                <w:color w:val="231F20"/>
                <w:sz w:val="14"/>
              </w:rPr>
              <w:t>7525162.5181</w:t>
            </w:r>
          </w:p>
        </w:tc>
        <w:tc>
          <w:tcPr>
            <w:tcW w:w="1758" w:type="dxa"/>
          </w:tcPr>
          <w:p>
            <w:pPr>
              <w:pStyle w:val="TableParagraph"/>
              <w:ind w:left="451" w:right="444"/>
              <w:jc w:val="center"/>
              <w:rPr>
                <w:sz w:val="14"/>
              </w:rPr>
            </w:pPr>
            <w:r>
              <w:rPr>
                <w:color w:val="231F20"/>
                <w:sz w:val="14"/>
              </w:rPr>
              <w:t>4947247.1258</w:t>
            </w:r>
          </w:p>
        </w:tc>
        <w:tc>
          <w:tcPr>
            <w:tcW w:w="1758" w:type="dxa"/>
          </w:tcPr>
          <w:p>
            <w:pPr>
              <w:pStyle w:val="TableParagraph"/>
              <w:ind w:left="451" w:right="445"/>
              <w:jc w:val="center"/>
              <w:rPr>
                <w:sz w:val="14"/>
              </w:rPr>
            </w:pPr>
            <w:r>
              <w:rPr>
                <w:color w:val="231F20"/>
                <w:sz w:val="14"/>
              </w:rPr>
              <w:t>28</w:t>
            </w:r>
          </w:p>
        </w:tc>
        <w:tc>
          <w:tcPr>
            <w:tcW w:w="1758" w:type="dxa"/>
          </w:tcPr>
          <w:p>
            <w:pPr>
              <w:pStyle w:val="TableParagraph"/>
              <w:ind w:left="451" w:right="446"/>
              <w:jc w:val="center"/>
              <w:rPr>
                <w:sz w:val="14"/>
              </w:rPr>
            </w:pPr>
            <w:r>
              <w:rPr>
                <w:color w:val="231F20"/>
                <w:sz w:val="14"/>
              </w:rPr>
              <w:t>7520905.0556</w:t>
            </w:r>
          </w:p>
        </w:tc>
        <w:tc>
          <w:tcPr>
            <w:tcW w:w="1758" w:type="dxa"/>
          </w:tcPr>
          <w:p>
            <w:pPr>
              <w:pStyle w:val="TableParagraph"/>
              <w:ind w:left="450" w:right="447"/>
              <w:jc w:val="center"/>
              <w:rPr>
                <w:sz w:val="14"/>
              </w:rPr>
            </w:pPr>
            <w:r>
              <w:rPr>
                <w:color w:val="231F20"/>
                <w:sz w:val="14"/>
              </w:rPr>
              <w:t>4951842.9869</w:t>
            </w:r>
          </w:p>
        </w:tc>
      </w:tr>
      <w:tr>
        <w:trPr>
          <w:trHeight w:val="200" w:hRule="atLeast"/>
        </w:trPr>
        <w:tc>
          <w:tcPr>
            <w:tcW w:w="1709" w:type="dxa"/>
          </w:tcPr>
          <w:p>
            <w:pPr>
              <w:pStyle w:val="TableParagraph"/>
              <w:ind w:left="9"/>
              <w:jc w:val="center"/>
              <w:rPr>
                <w:sz w:val="14"/>
              </w:rPr>
            </w:pPr>
            <w:r>
              <w:rPr>
                <w:color w:val="231F20"/>
                <w:sz w:val="14"/>
              </w:rPr>
              <w:t>3</w:t>
            </w:r>
          </w:p>
        </w:tc>
        <w:tc>
          <w:tcPr>
            <w:tcW w:w="1758" w:type="dxa"/>
          </w:tcPr>
          <w:p>
            <w:pPr>
              <w:pStyle w:val="TableParagraph"/>
              <w:ind w:left="451" w:right="443"/>
              <w:jc w:val="center"/>
              <w:rPr>
                <w:sz w:val="14"/>
              </w:rPr>
            </w:pPr>
            <w:r>
              <w:rPr>
                <w:color w:val="231F20"/>
                <w:sz w:val="14"/>
              </w:rPr>
              <w:t>7525071.1928</w:t>
            </w:r>
          </w:p>
        </w:tc>
        <w:tc>
          <w:tcPr>
            <w:tcW w:w="1758" w:type="dxa"/>
          </w:tcPr>
          <w:p>
            <w:pPr>
              <w:pStyle w:val="TableParagraph"/>
              <w:ind w:left="451" w:right="444"/>
              <w:jc w:val="center"/>
              <w:rPr>
                <w:sz w:val="14"/>
              </w:rPr>
            </w:pPr>
            <w:r>
              <w:rPr>
                <w:color w:val="231F20"/>
                <w:sz w:val="14"/>
              </w:rPr>
              <w:t>4947163.6550</w:t>
            </w:r>
          </w:p>
        </w:tc>
        <w:tc>
          <w:tcPr>
            <w:tcW w:w="1758" w:type="dxa"/>
          </w:tcPr>
          <w:p>
            <w:pPr>
              <w:pStyle w:val="TableParagraph"/>
              <w:ind w:left="451" w:right="446"/>
              <w:jc w:val="center"/>
              <w:rPr>
                <w:sz w:val="14"/>
              </w:rPr>
            </w:pPr>
            <w:r>
              <w:rPr>
                <w:color w:val="231F20"/>
                <w:sz w:val="14"/>
              </w:rPr>
              <w:t>29</w:t>
            </w:r>
          </w:p>
        </w:tc>
        <w:tc>
          <w:tcPr>
            <w:tcW w:w="1758" w:type="dxa"/>
          </w:tcPr>
          <w:p>
            <w:pPr>
              <w:pStyle w:val="TableParagraph"/>
              <w:ind w:left="451" w:right="447"/>
              <w:jc w:val="center"/>
              <w:rPr>
                <w:sz w:val="14"/>
              </w:rPr>
            </w:pPr>
            <w:r>
              <w:rPr>
                <w:color w:val="231F20"/>
                <w:sz w:val="14"/>
              </w:rPr>
              <w:t>7520840.7482</w:t>
            </w:r>
          </w:p>
        </w:tc>
        <w:tc>
          <w:tcPr>
            <w:tcW w:w="1758" w:type="dxa"/>
          </w:tcPr>
          <w:p>
            <w:pPr>
              <w:pStyle w:val="TableParagraph"/>
              <w:ind w:left="450" w:right="447"/>
              <w:jc w:val="center"/>
              <w:rPr>
                <w:sz w:val="14"/>
              </w:rPr>
            </w:pPr>
            <w:r>
              <w:rPr>
                <w:color w:val="231F20"/>
                <w:sz w:val="14"/>
              </w:rPr>
              <w:t>4951942.7196</w:t>
            </w:r>
          </w:p>
        </w:tc>
      </w:tr>
      <w:tr>
        <w:trPr>
          <w:trHeight w:val="200" w:hRule="atLeast"/>
        </w:trPr>
        <w:tc>
          <w:tcPr>
            <w:tcW w:w="1709" w:type="dxa"/>
          </w:tcPr>
          <w:p>
            <w:pPr>
              <w:pStyle w:val="TableParagraph"/>
              <w:ind w:left="8"/>
              <w:jc w:val="center"/>
              <w:rPr>
                <w:sz w:val="14"/>
              </w:rPr>
            </w:pPr>
            <w:r>
              <w:rPr>
                <w:color w:val="231F20"/>
                <w:sz w:val="14"/>
              </w:rPr>
              <w:t>4</w:t>
            </w:r>
          </w:p>
        </w:tc>
        <w:tc>
          <w:tcPr>
            <w:tcW w:w="1758" w:type="dxa"/>
          </w:tcPr>
          <w:p>
            <w:pPr>
              <w:pStyle w:val="TableParagraph"/>
              <w:ind w:left="451" w:right="444"/>
              <w:jc w:val="center"/>
              <w:rPr>
                <w:sz w:val="14"/>
              </w:rPr>
            </w:pPr>
            <w:r>
              <w:rPr>
                <w:color w:val="231F20"/>
                <w:sz w:val="14"/>
              </w:rPr>
              <w:t>7525024.9205</w:t>
            </w:r>
          </w:p>
        </w:tc>
        <w:tc>
          <w:tcPr>
            <w:tcW w:w="1758" w:type="dxa"/>
          </w:tcPr>
          <w:p>
            <w:pPr>
              <w:pStyle w:val="TableParagraph"/>
              <w:ind w:left="451" w:right="445"/>
              <w:jc w:val="center"/>
              <w:rPr>
                <w:sz w:val="14"/>
              </w:rPr>
            </w:pPr>
            <w:r>
              <w:rPr>
                <w:color w:val="231F20"/>
                <w:sz w:val="14"/>
              </w:rPr>
              <w:t>4947212.7761</w:t>
            </w:r>
          </w:p>
        </w:tc>
        <w:tc>
          <w:tcPr>
            <w:tcW w:w="1758" w:type="dxa"/>
          </w:tcPr>
          <w:p>
            <w:pPr>
              <w:pStyle w:val="TableParagraph"/>
              <w:ind w:left="451" w:right="446"/>
              <w:jc w:val="center"/>
              <w:rPr>
                <w:sz w:val="14"/>
              </w:rPr>
            </w:pPr>
            <w:r>
              <w:rPr>
                <w:color w:val="231F20"/>
                <w:sz w:val="14"/>
              </w:rPr>
              <w:t>30</w:t>
            </w:r>
          </w:p>
        </w:tc>
        <w:tc>
          <w:tcPr>
            <w:tcW w:w="1758" w:type="dxa"/>
          </w:tcPr>
          <w:p>
            <w:pPr>
              <w:pStyle w:val="TableParagraph"/>
              <w:ind w:left="451" w:right="447"/>
              <w:jc w:val="center"/>
              <w:rPr>
                <w:sz w:val="14"/>
              </w:rPr>
            </w:pPr>
            <w:r>
              <w:rPr>
                <w:color w:val="231F20"/>
                <w:sz w:val="14"/>
              </w:rPr>
              <w:t>7520714.8702</w:t>
            </w:r>
          </w:p>
        </w:tc>
        <w:tc>
          <w:tcPr>
            <w:tcW w:w="1758" w:type="dxa"/>
          </w:tcPr>
          <w:p>
            <w:pPr>
              <w:pStyle w:val="TableParagraph"/>
              <w:ind w:left="450" w:right="447"/>
              <w:jc w:val="center"/>
              <w:rPr>
                <w:sz w:val="14"/>
              </w:rPr>
            </w:pPr>
            <w:r>
              <w:rPr>
                <w:color w:val="231F20"/>
                <w:sz w:val="14"/>
              </w:rPr>
              <w:t>4951999.9450</w:t>
            </w:r>
          </w:p>
        </w:tc>
      </w:tr>
      <w:tr>
        <w:trPr>
          <w:trHeight w:val="200" w:hRule="atLeast"/>
        </w:trPr>
        <w:tc>
          <w:tcPr>
            <w:tcW w:w="1709" w:type="dxa"/>
          </w:tcPr>
          <w:p>
            <w:pPr>
              <w:pStyle w:val="TableParagraph"/>
              <w:ind w:left="8"/>
              <w:jc w:val="center"/>
              <w:rPr>
                <w:sz w:val="14"/>
              </w:rPr>
            </w:pPr>
            <w:r>
              <w:rPr>
                <w:color w:val="231F20"/>
                <w:sz w:val="14"/>
              </w:rPr>
              <w:t>5</w:t>
            </w:r>
          </w:p>
        </w:tc>
        <w:tc>
          <w:tcPr>
            <w:tcW w:w="1758" w:type="dxa"/>
          </w:tcPr>
          <w:p>
            <w:pPr>
              <w:pStyle w:val="TableParagraph"/>
              <w:ind w:left="451" w:right="444"/>
              <w:jc w:val="center"/>
              <w:rPr>
                <w:sz w:val="14"/>
              </w:rPr>
            </w:pPr>
            <w:r>
              <w:rPr>
                <w:color w:val="231F20"/>
                <w:sz w:val="14"/>
              </w:rPr>
              <w:t>7524912.7500</w:t>
            </w:r>
          </w:p>
        </w:tc>
        <w:tc>
          <w:tcPr>
            <w:tcW w:w="1758" w:type="dxa"/>
          </w:tcPr>
          <w:p>
            <w:pPr>
              <w:pStyle w:val="TableParagraph"/>
              <w:ind w:left="451" w:right="445"/>
              <w:jc w:val="center"/>
              <w:rPr>
                <w:sz w:val="14"/>
              </w:rPr>
            </w:pPr>
            <w:r>
              <w:rPr>
                <w:color w:val="231F20"/>
                <w:sz w:val="14"/>
              </w:rPr>
              <w:t>4947193.9210</w:t>
            </w:r>
          </w:p>
        </w:tc>
        <w:tc>
          <w:tcPr>
            <w:tcW w:w="1758" w:type="dxa"/>
          </w:tcPr>
          <w:p>
            <w:pPr>
              <w:pStyle w:val="TableParagraph"/>
              <w:ind w:left="451" w:right="446"/>
              <w:jc w:val="center"/>
              <w:rPr>
                <w:sz w:val="14"/>
              </w:rPr>
            </w:pPr>
            <w:r>
              <w:rPr>
                <w:color w:val="231F20"/>
                <w:sz w:val="14"/>
              </w:rPr>
              <w:t>31</w:t>
            </w:r>
          </w:p>
        </w:tc>
        <w:tc>
          <w:tcPr>
            <w:tcW w:w="1758" w:type="dxa"/>
          </w:tcPr>
          <w:p>
            <w:pPr>
              <w:pStyle w:val="TableParagraph"/>
              <w:ind w:left="451" w:right="447"/>
              <w:jc w:val="center"/>
              <w:rPr>
                <w:sz w:val="14"/>
              </w:rPr>
            </w:pPr>
            <w:r>
              <w:rPr>
                <w:color w:val="231F20"/>
                <w:sz w:val="14"/>
              </w:rPr>
              <w:t>7519917.2346</w:t>
            </w:r>
          </w:p>
        </w:tc>
        <w:tc>
          <w:tcPr>
            <w:tcW w:w="1758" w:type="dxa"/>
          </w:tcPr>
          <w:p>
            <w:pPr>
              <w:pStyle w:val="TableParagraph"/>
              <w:ind w:left="450" w:right="447"/>
              <w:jc w:val="center"/>
              <w:rPr>
                <w:sz w:val="14"/>
              </w:rPr>
            </w:pPr>
            <w:r>
              <w:rPr>
                <w:color w:val="231F20"/>
                <w:sz w:val="14"/>
              </w:rPr>
              <w:t>4951106.0528</w:t>
            </w:r>
          </w:p>
        </w:tc>
      </w:tr>
      <w:tr>
        <w:trPr>
          <w:trHeight w:val="200" w:hRule="atLeast"/>
        </w:trPr>
        <w:tc>
          <w:tcPr>
            <w:tcW w:w="1709" w:type="dxa"/>
          </w:tcPr>
          <w:p>
            <w:pPr>
              <w:pStyle w:val="TableParagraph"/>
              <w:ind w:left="8"/>
              <w:jc w:val="center"/>
              <w:rPr>
                <w:sz w:val="14"/>
              </w:rPr>
            </w:pPr>
            <w:r>
              <w:rPr>
                <w:color w:val="231F20"/>
                <w:sz w:val="14"/>
              </w:rPr>
              <w:t>6</w:t>
            </w:r>
          </w:p>
        </w:tc>
        <w:tc>
          <w:tcPr>
            <w:tcW w:w="1758" w:type="dxa"/>
          </w:tcPr>
          <w:p>
            <w:pPr>
              <w:pStyle w:val="TableParagraph"/>
              <w:ind w:left="451" w:right="444"/>
              <w:jc w:val="center"/>
              <w:rPr>
                <w:sz w:val="14"/>
              </w:rPr>
            </w:pPr>
            <w:r>
              <w:rPr>
                <w:color w:val="231F20"/>
                <w:sz w:val="14"/>
              </w:rPr>
              <w:t>7524818.3671</w:t>
            </w:r>
          </w:p>
        </w:tc>
        <w:tc>
          <w:tcPr>
            <w:tcW w:w="1758" w:type="dxa"/>
          </w:tcPr>
          <w:p>
            <w:pPr>
              <w:pStyle w:val="TableParagraph"/>
              <w:ind w:left="451" w:right="445"/>
              <w:jc w:val="center"/>
              <w:rPr>
                <w:sz w:val="14"/>
              </w:rPr>
            </w:pPr>
            <w:r>
              <w:rPr>
                <w:color w:val="231F20"/>
                <w:sz w:val="14"/>
              </w:rPr>
              <w:t>4947271.7189</w:t>
            </w:r>
          </w:p>
        </w:tc>
        <w:tc>
          <w:tcPr>
            <w:tcW w:w="1758" w:type="dxa"/>
          </w:tcPr>
          <w:p>
            <w:pPr>
              <w:pStyle w:val="TableParagraph"/>
              <w:ind w:left="451" w:right="446"/>
              <w:jc w:val="center"/>
              <w:rPr>
                <w:sz w:val="14"/>
              </w:rPr>
            </w:pPr>
            <w:r>
              <w:rPr>
                <w:color w:val="231F20"/>
                <w:sz w:val="14"/>
              </w:rPr>
              <w:t>32</w:t>
            </w:r>
          </w:p>
        </w:tc>
        <w:tc>
          <w:tcPr>
            <w:tcW w:w="1758" w:type="dxa"/>
          </w:tcPr>
          <w:p>
            <w:pPr>
              <w:pStyle w:val="TableParagraph"/>
              <w:ind w:left="450" w:right="447"/>
              <w:jc w:val="center"/>
              <w:rPr>
                <w:sz w:val="14"/>
              </w:rPr>
            </w:pPr>
            <w:r>
              <w:rPr>
                <w:color w:val="231F20"/>
                <w:sz w:val="14"/>
              </w:rPr>
              <w:t>7519833.2326</w:t>
            </w:r>
          </w:p>
        </w:tc>
        <w:tc>
          <w:tcPr>
            <w:tcW w:w="1758" w:type="dxa"/>
          </w:tcPr>
          <w:p>
            <w:pPr>
              <w:pStyle w:val="TableParagraph"/>
              <w:ind w:left="449" w:right="447"/>
              <w:jc w:val="center"/>
              <w:rPr>
                <w:sz w:val="14"/>
              </w:rPr>
            </w:pPr>
            <w:r>
              <w:rPr>
                <w:color w:val="231F20"/>
                <w:sz w:val="14"/>
              </w:rPr>
              <w:t>4951019.0089</w:t>
            </w:r>
          </w:p>
        </w:tc>
      </w:tr>
      <w:tr>
        <w:trPr>
          <w:trHeight w:val="200" w:hRule="atLeast"/>
        </w:trPr>
        <w:tc>
          <w:tcPr>
            <w:tcW w:w="1709" w:type="dxa"/>
          </w:tcPr>
          <w:p>
            <w:pPr>
              <w:pStyle w:val="TableParagraph"/>
              <w:spacing w:before="17"/>
              <w:ind w:left="7"/>
              <w:jc w:val="center"/>
              <w:rPr>
                <w:sz w:val="14"/>
              </w:rPr>
            </w:pPr>
            <w:r>
              <w:rPr>
                <w:color w:val="231F20"/>
                <w:sz w:val="14"/>
              </w:rPr>
              <w:t>7</w:t>
            </w:r>
          </w:p>
        </w:tc>
        <w:tc>
          <w:tcPr>
            <w:tcW w:w="1758" w:type="dxa"/>
          </w:tcPr>
          <w:p>
            <w:pPr>
              <w:pStyle w:val="TableParagraph"/>
              <w:spacing w:before="17"/>
              <w:ind w:left="451" w:right="444"/>
              <w:jc w:val="center"/>
              <w:rPr>
                <w:sz w:val="14"/>
              </w:rPr>
            </w:pPr>
            <w:r>
              <w:rPr>
                <w:color w:val="231F20"/>
                <w:sz w:val="14"/>
              </w:rPr>
              <w:t>7524851.5309</w:t>
            </w:r>
          </w:p>
        </w:tc>
        <w:tc>
          <w:tcPr>
            <w:tcW w:w="1758" w:type="dxa"/>
          </w:tcPr>
          <w:p>
            <w:pPr>
              <w:pStyle w:val="TableParagraph"/>
              <w:spacing w:before="17"/>
              <w:ind w:left="451" w:right="446"/>
              <w:jc w:val="center"/>
              <w:rPr>
                <w:sz w:val="14"/>
              </w:rPr>
            </w:pPr>
            <w:r>
              <w:rPr>
                <w:color w:val="231F20"/>
                <w:sz w:val="14"/>
              </w:rPr>
              <w:t>4947315.3779</w:t>
            </w:r>
          </w:p>
        </w:tc>
        <w:tc>
          <w:tcPr>
            <w:tcW w:w="1758" w:type="dxa"/>
          </w:tcPr>
          <w:p>
            <w:pPr>
              <w:pStyle w:val="TableParagraph"/>
              <w:spacing w:before="17"/>
              <w:ind w:left="451" w:right="447"/>
              <w:jc w:val="center"/>
              <w:rPr>
                <w:sz w:val="14"/>
              </w:rPr>
            </w:pPr>
            <w:r>
              <w:rPr>
                <w:color w:val="231F20"/>
                <w:sz w:val="14"/>
              </w:rPr>
              <w:t>33</w:t>
            </w:r>
          </w:p>
        </w:tc>
        <w:tc>
          <w:tcPr>
            <w:tcW w:w="1758" w:type="dxa"/>
          </w:tcPr>
          <w:p>
            <w:pPr>
              <w:pStyle w:val="TableParagraph"/>
              <w:spacing w:before="17"/>
              <w:ind w:left="450" w:right="447"/>
              <w:jc w:val="center"/>
              <w:rPr>
                <w:sz w:val="14"/>
              </w:rPr>
            </w:pPr>
            <w:r>
              <w:rPr>
                <w:color w:val="231F20"/>
                <w:sz w:val="14"/>
              </w:rPr>
              <w:t>7519834.6953</w:t>
            </w:r>
          </w:p>
        </w:tc>
        <w:tc>
          <w:tcPr>
            <w:tcW w:w="1758" w:type="dxa"/>
          </w:tcPr>
          <w:p>
            <w:pPr>
              <w:pStyle w:val="TableParagraph"/>
              <w:spacing w:before="17"/>
              <w:ind w:left="449" w:right="447"/>
              <w:jc w:val="center"/>
              <w:rPr>
                <w:sz w:val="14"/>
              </w:rPr>
            </w:pPr>
            <w:r>
              <w:rPr>
                <w:color w:val="231F20"/>
                <w:sz w:val="14"/>
              </w:rPr>
              <w:t>4950937.1374</w:t>
            </w:r>
          </w:p>
        </w:tc>
      </w:tr>
      <w:tr>
        <w:trPr>
          <w:trHeight w:val="200" w:hRule="atLeast"/>
        </w:trPr>
        <w:tc>
          <w:tcPr>
            <w:tcW w:w="1709" w:type="dxa"/>
          </w:tcPr>
          <w:p>
            <w:pPr>
              <w:pStyle w:val="TableParagraph"/>
              <w:spacing w:before="17"/>
              <w:ind w:left="7"/>
              <w:jc w:val="center"/>
              <w:rPr>
                <w:sz w:val="14"/>
              </w:rPr>
            </w:pPr>
            <w:r>
              <w:rPr>
                <w:color w:val="231F20"/>
                <w:sz w:val="14"/>
              </w:rPr>
              <w:t>8</w:t>
            </w:r>
          </w:p>
        </w:tc>
        <w:tc>
          <w:tcPr>
            <w:tcW w:w="1758" w:type="dxa"/>
          </w:tcPr>
          <w:p>
            <w:pPr>
              <w:pStyle w:val="TableParagraph"/>
              <w:spacing w:before="17"/>
              <w:ind w:left="451" w:right="445"/>
              <w:jc w:val="center"/>
              <w:rPr>
                <w:sz w:val="14"/>
              </w:rPr>
            </w:pPr>
            <w:r>
              <w:rPr>
                <w:color w:val="231F20"/>
                <w:sz w:val="14"/>
              </w:rPr>
              <w:t>7524589.5865</w:t>
            </w:r>
          </w:p>
        </w:tc>
        <w:tc>
          <w:tcPr>
            <w:tcW w:w="1758" w:type="dxa"/>
          </w:tcPr>
          <w:p>
            <w:pPr>
              <w:pStyle w:val="TableParagraph"/>
              <w:spacing w:before="17"/>
              <w:ind w:left="451" w:right="446"/>
              <w:jc w:val="center"/>
              <w:rPr>
                <w:sz w:val="14"/>
              </w:rPr>
            </w:pPr>
            <w:r>
              <w:rPr>
                <w:color w:val="231F20"/>
                <w:sz w:val="14"/>
              </w:rPr>
              <w:t>4947598.2473</w:t>
            </w:r>
          </w:p>
        </w:tc>
        <w:tc>
          <w:tcPr>
            <w:tcW w:w="1758" w:type="dxa"/>
          </w:tcPr>
          <w:p>
            <w:pPr>
              <w:pStyle w:val="TableParagraph"/>
              <w:spacing w:before="17"/>
              <w:ind w:left="451" w:right="447"/>
              <w:jc w:val="center"/>
              <w:rPr>
                <w:sz w:val="14"/>
              </w:rPr>
            </w:pPr>
            <w:r>
              <w:rPr>
                <w:color w:val="231F20"/>
                <w:sz w:val="14"/>
              </w:rPr>
              <w:t>34</w:t>
            </w:r>
          </w:p>
        </w:tc>
        <w:tc>
          <w:tcPr>
            <w:tcW w:w="1758" w:type="dxa"/>
          </w:tcPr>
          <w:p>
            <w:pPr>
              <w:pStyle w:val="TableParagraph"/>
              <w:spacing w:before="17"/>
              <w:ind w:left="450" w:right="447"/>
              <w:jc w:val="center"/>
              <w:rPr>
                <w:sz w:val="14"/>
              </w:rPr>
            </w:pPr>
            <w:r>
              <w:rPr>
                <w:color w:val="231F20"/>
                <w:sz w:val="14"/>
              </w:rPr>
              <w:t>7517023.6597</w:t>
            </w:r>
          </w:p>
        </w:tc>
        <w:tc>
          <w:tcPr>
            <w:tcW w:w="1758" w:type="dxa"/>
          </w:tcPr>
          <w:p>
            <w:pPr>
              <w:pStyle w:val="TableParagraph"/>
              <w:spacing w:before="17"/>
              <w:ind w:left="449" w:right="447"/>
              <w:jc w:val="center"/>
              <w:rPr>
                <w:sz w:val="14"/>
              </w:rPr>
            </w:pPr>
            <w:r>
              <w:rPr>
                <w:color w:val="231F20"/>
                <w:sz w:val="14"/>
              </w:rPr>
              <w:t>4951475.9114</w:t>
            </w:r>
          </w:p>
        </w:tc>
      </w:tr>
      <w:tr>
        <w:trPr>
          <w:trHeight w:val="200" w:hRule="atLeast"/>
        </w:trPr>
        <w:tc>
          <w:tcPr>
            <w:tcW w:w="1709" w:type="dxa"/>
          </w:tcPr>
          <w:p>
            <w:pPr>
              <w:pStyle w:val="TableParagraph"/>
              <w:spacing w:before="17"/>
              <w:ind w:left="7"/>
              <w:jc w:val="center"/>
              <w:rPr>
                <w:sz w:val="14"/>
              </w:rPr>
            </w:pPr>
            <w:r>
              <w:rPr>
                <w:color w:val="231F20"/>
                <w:sz w:val="14"/>
              </w:rPr>
              <w:t>9</w:t>
            </w:r>
          </w:p>
        </w:tc>
        <w:tc>
          <w:tcPr>
            <w:tcW w:w="1758" w:type="dxa"/>
          </w:tcPr>
          <w:p>
            <w:pPr>
              <w:pStyle w:val="TableParagraph"/>
              <w:spacing w:before="17"/>
              <w:ind w:left="451" w:right="445"/>
              <w:jc w:val="center"/>
              <w:rPr>
                <w:sz w:val="14"/>
              </w:rPr>
            </w:pPr>
            <w:r>
              <w:rPr>
                <w:color w:val="231F20"/>
                <w:sz w:val="14"/>
              </w:rPr>
              <w:t>7524628.2017</w:t>
            </w:r>
          </w:p>
        </w:tc>
        <w:tc>
          <w:tcPr>
            <w:tcW w:w="1758" w:type="dxa"/>
          </w:tcPr>
          <w:p>
            <w:pPr>
              <w:pStyle w:val="TableParagraph"/>
              <w:spacing w:before="17"/>
              <w:ind w:left="451" w:right="446"/>
              <w:jc w:val="center"/>
              <w:rPr>
                <w:sz w:val="14"/>
              </w:rPr>
            </w:pPr>
            <w:r>
              <w:rPr>
                <w:color w:val="231F20"/>
                <w:sz w:val="14"/>
              </w:rPr>
              <w:t>4947633.9490</w:t>
            </w:r>
          </w:p>
        </w:tc>
        <w:tc>
          <w:tcPr>
            <w:tcW w:w="1758" w:type="dxa"/>
          </w:tcPr>
          <w:p>
            <w:pPr>
              <w:pStyle w:val="TableParagraph"/>
              <w:spacing w:before="17"/>
              <w:ind w:left="451" w:right="447"/>
              <w:jc w:val="center"/>
              <w:rPr>
                <w:sz w:val="14"/>
              </w:rPr>
            </w:pPr>
            <w:r>
              <w:rPr>
                <w:color w:val="231F20"/>
                <w:sz w:val="14"/>
              </w:rPr>
              <w:t>35</w:t>
            </w:r>
          </w:p>
        </w:tc>
        <w:tc>
          <w:tcPr>
            <w:tcW w:w="1758" w:type="dxa"/>
          </w:tcPr>
          <w:p>
            <w:pPr>
              <w:pStyle w:val="TableParagraph"/>
              <w:spacing w:before="17"/>
              <w:ind w:left="450" w:right="447"/>
              <w:jc w:val="center"/>
              <w:rPr>
                <w:sz w:val="14"/>
              </w:rPr>
            </w:pPr>
            <w:r>
              <w:rPr>
                <w:color w:val="231F20"/>
                <w:sz w:val="14"/>
              </w:rPr>
              <w:t>7517052.6524</w:t>
            </w:r>
          </w:p>
        </w:tc>
        <w:tc>
          <w:tcPr>
            <w:tcW w:w="1758" w:type="dxa"/>
          </w:tcPr>
          <w:p>
            <w:pPr>
              <w:pStyle w:val="TableParagraph"/>
              <w:spacing w:before="17"/>
              <w:ind w:left="448" w:right="447"/>
              <w:jc w:val="center"/>
              <w:rPr>
                <w:sz w:val="14"/>
              </w:rPr>
            </w:pPr>
            <w:r>
              <w:rPr>
                <w:color w:val="231F20"/>
                <w:sz w:val="14"/>
              </w:rPr>
              <w:t>4951785.3341</w:t>
            </w:r>
          </w:p>
        </w:tc>
      </w:tr>
      <w:tr>
        <w:trPr>
          <w:trHeight w:val="200" w:hRule="atLeast"/>
        </w:trPr>
        <w:tc>
          <w:tcPr>
            <w:tcW w:w="1709" w:type="dxa"/>
          </w:tcPr>
          <w:p>
            <w:pPr>
              <w:pStyle w:val="TableParagraph"/>
              <w:spacing w:before="17"/>
              <w:ind w:left="522" w:right="515"/>
              <w:jc w:val="center"/>
              <w:rPr>
                <w:sz w:val="14"/>
              </w:rPr>
            </w:pPr>
            <w:r>
              <w:rPr>
                <w:color w:val="231F20"/>
                <w:sz w:val="14"/>
              </w:rPr>
              <w:t>10</w:t>
            </w:r>
          </w:p>
        </w:tc>
        <w:tc>
          <w:tcPr>
            <w:tcW w:w="1758" w:type="dxa"/>
          </w:tcPr>
          <w:p>
            <w:pPr>
              <w:pStyle w:val="TableParagraph"/>
              <w:spacing w:before="17"/>
              <w:ind w:left="451" w:right="445"/>
              <w:jc w:val="center"/>
              <w:rPr>
                <w:sz w:val="14"/>
              </w:rPr>
            </w:pPr>
            <w:r>
              <w:rPr>
                <w:color w:val="231F20"/>
                <w:sz w:val="14"/>
              </w:rPr>
              <w:t>7524469.3371</w:t>
            </w:r>
          </w:p>
        </w:tc>
        <w:tc>
          <w:tcPr>
            <w:tcW w:w="1758" w:type="dxa"/>
          </w:tcPr>
          <w:p>
            <w:pPr>
              <w:pStyle w:val="TableParagraph"/>
              <w:spacing w:before="17"/>
              <w:ind w:left="451" w:right="446"/>
              <w:jc w:val="center"/>
              <w:rPr>
                <w:sz w:val="14"/>
              </w:rPr>
            </w:pPr>
            <w:r>
              <w:rPr>
                <w:color w:val="231F20"/>
                <w:sz w:val="14"/>
              </w:rPr>
              <w:t>4947702.7577</w:t>
            </w:r>
          </w:p>
        </w:tc>
        <w:tc>
          <w:tcPr>
            <w:tcW w:w="1758" w:type="dxa"/>
          </w:tcPr>
          <w:p>
            <w:pPr>
              <w:pStyle w:val="TableParagraph"/>
              <w:spacing w:before="17"/>
              <w:ind w:left="450" w:right="447"/>
              <w:jc w:val="center"/>
              <w:rPr>
                <w:sz w:val="14"/>
              </w:rPr>
            </w:pPr>
            <w:r>
              <w:rPr>
                <w:color w:val="231F20"/>
                <w:sz w:val="14"/>
              </w:rPr>
              <w:t>36</w:t>
            </w:r>
          </w:p>
        </w:tc>
        <w:tc>
          <w:tcPr>
            <w:tcW w:w="1758" w:type="dxa"/>
          </w:tcPr>
          <w:p>
            <w:pPr>
              <w:pStyle w:val="TableParagraph"/>
              <w:spacing w:before="17"/>
              <w:ind w:left="449" w:right="447"/>
              <w:jc w:val="center"/>
              <w:rPr>
                <w:sz w:val="14"/>
              </w:rPr>
            </w:pPr>
            <w:r>
              <w:rPr>
                <w:color w:val="231F20"/>
                <w:sz w:val="14"/>
              </w:rPr>
              <w:t>7517068.7861</w:t>
            </w:r>
          </w:p>
        </w:tc>
        <w:tc>
          <w:tcPr>
            <w:tcW w:w="1758" w:type="dxa"/>
          </w:tcPr>
          <w:p>
            <w:pPr>
              <w:pStyle w:val="TableParagraph"/>
              <w:spacing w:before="17"/>
              <w:ind w:left="448" w:right="447"/>
              <w:jc w:val="center"/>
              <w:rPr>
                <w:sz w:val="14"/>
              </w:rPr>
            </w:pPr>
            <w:r>
              <w:rPr>
                <w:color w:val="231F20"/>
                <w:sz w:val="14"/>
              </w:rPr>
              <w:t>4951833.7689</w:t>
            </w:r>
          </w:p>
        </w:tc>
      </w:tr>
      <w:tr>
        <w:trPr>
          <w:trHeight w:val="200" w:hRule="atLeast"/>
        </w:trPr>
        <w:tc>
          <w:tcPr>
            <w:tcW w:w="1709" w:type="dxa"/>
          </w:tcPr>
          <w:p>
            <w:pPr>
              <w:pStyle w:val="TableParagraph"/>
              <w:spacing w:before="17"/>
              <w:ind w:left="521" w:right="515"/>
              <w:jc w:val="center"/>
              <w:rPr>
                <w:sz w:val="14"/>
              </w:rPr>
            </w:pPr>
            <w:r>
              <w:rPr>
                <w:color w:val="231F20"/>
                <w:sz w:val="14"/>
              </w:rPr>
              <w:t>11</w:t>
            </w:r>
          </w:p>
        </w:tc>
        <w:tc>
          <w:tcPr>
            <w:tcW w:w="1758" w:type="dxa"/>
          </w:tcPr>
          <w:p>
            <w:pPr>
              <w:pStyle w:val="TableParagraph"/>
              <w:spacing w:before="17"/>
              <w:ind w:left="451" w:right="446"/>
              <w:jc w:val="center"/>
              <w:rPr>
                <w:sz w:val="14"/>
              </w:rPr>
            </w:pPr>
            <w:r>
              <w:rPr>
                <w:color w:val="231F20"/>
                <w:sz w:val="14"/>
              </w:rPr>
              <w:t>7524527.8052</w:t>
            </w:r>
          </w:p>
        </w:tc>
        <w:tc>
          <w:tcPr>
            <w:tcW w:w="1758" w:type="dxa"/>
          </w:tcPr>
          <w:p>
            <w:pPr>
              <w:pStyle w:val="TableParagraph"/>
              <w:spacing w:before="17"/>
              <w:ind w:left="451" w:right="447"/>
              <w:jc w:val="center"/>
              <w:rPr>
                <w:sz w:val="14"/>
              </w:rPr>
            </w:pPr>
            <w:r>
              <w:rPr>
                <w:color w:val="231F20"/>
                <w:sz w:val="14"/>
              </w:rPr>
              <w:t>4947725.5660</w:t>
            </w:r>
          </w:p>
        </w:tc>
        <w:tc>
          <w:tcPr>
            <w:tcW w:w="1758" w:type="dxa"/>
          </w:tcPr>
          <w:p>
            <w:pPr>
              <w:pStyle w:val="TableParagraph"/>
              <w:spacing w:before="17"/>
              <w:ind w:left="450" w:right="447"/>
              <w:jc w:val="center"/>
              <w:rPr>
                <w:sz w:val="14"/>
              </w:rPr>
            </w:pPr>
            <w:r>
              <w:rPr>
                <w:color w:val="231F20"/>
                <w:sz w:val="14"/>
              </w:rPr>
              <w:t>37</w:t>
            </w:r>
          </w:p>
        </w:tc>
        <w:tc>
          <w:tcPr>
            <w:tcW w:w="1758" w:type="dxa"/>
          </w:tcPr>
          <w:p>
            <w:pPr>
              <w:pStyle w:val="TableParagraph"/>
              <w:spacing w:before="17"/>
              <w:ind w:left="449" w:right="447"/>
              <w:jc w:val="center"/>
              <w:rPr>
                <w:sz w:val="14"/>
              </w:rPr>
            </w:pPr>
            <w:r>
              <w:rPr>
                <w:color w:val="231F20"/>
                <w:sz w:val="14"/>
              </w:rPr>
              <w:t>7517071.7977</w:t>
            </w:r>
          </w:p>
        </w:tc>
        <w:tc>
          <w:tcPr>
            <w:tcW w:w="1758" w:type="dxa"/>
          </w:tcPr>
          <w:p>
            <w:pPr>
              <w:pStyle w:val="TableParagraph"/>
              <w:spacing w:before="17"/>
              <w:ind w:left="448" w:right="447"/>
              <w:jc w:val="center"/>
              <w:rPr>
                <w:sz w:val="14"/>
              </w:rPr>
            </w:pPr>
            <w:r>
              <w:rPr>
                <w:color w:val="231F20"/>
                <w:sz w:val="14"/>
              </w:rPr>
              <w:t>4951865.0297</w:t>
            </w:r>
          </w:p>
        </w:tc>
      </w:tr>
      <w:tr>
        <w:trPr>
          <w:trHeight w:val="200" w:hRule="atLeast"/>
        </w:trPr>
        <w:tc>
          <w:tcPr>
            <w:tcW w:w="1709" w:type="dxa"/>
          </w:tcPr>
          <w:p>
            <w:pPr>
              <w:pStyle w:val="TableParagraph"/>
              <w:spacing w:before="17"/>
              <w:ind w:left="521" w:right="515"/>
              <w:jc w:val="center"/>
              <w:rPr>
                <w:sz w:val="14"/>
              </w:rPr>
            </w:pPr>
            <w:r>
              <w:rPr>
                <w:color w:val="231F20"/>
                <w:sz w:val="14"/>
              </w:rPr>
              <w:t>12</w:t>
            </w:r>
          </w:p>
        </w:tc>
        <w:tc>
          <w:tcPr>
            <w:tcW w:w="1758" w:type="dxa"/>
          </w:tcPr>
          <w:p>
            <w:pPr>
              <w:pStyle w:val="TableParagraph"/>
              <w:spacing w:before="17"/>
              <w:ind w:left="451" w:right="446"/>
              <w:jc w:val="center"/>
              <w:rPr>
                <w:sz w:val="14"/>
              </w:rPr>
            </w:pPr>
            <w:r>
              <w:rPr>
                <w:color w:val="231F20"/>
                <w:sz w:val="14"/>
              </w:rPr>
              <w:t>7523555.4474</w:t>
            </w:r>
          </w:p>
        </w:tc>
        <w:tc>
          <w:tcPr>
            <w:tcW w:w="1758" w:type="dxa"/>
          </w:tcPr>
          <w:p>
            <w:pPr>
              <w:pStyle w:val="TableParagraph"/>
              <w:spacing w:before="17"/>
              <w:ind w:left="451" w:right="447"/>
              <w:jc w:val="center"/>
              <w:rPr>
                <w:sz w:val="14"/>
              </w:rPr>
            </w:pPr>
            <w:r>
              <w:rPr>
                <w:color w:val="231F20"/>
                <w:sz w:val="14"/>
              </w:rPr>
              <w:t>4948188.8656</w:t>
            </w:r>
          </w:p>
        </w:tc>
        <w:tc>
          <w:tcPr>
            <w:tcW w:w="1758" w:type="dxa"/>
          </w:tcPr>
          <w:p>
            <w:pPr>
              <w:pStyle w:val="TableParagraph"/>
              <w:spacing w:before="17"/>
              <w:ind w:left="450" w:right="447"/>
              <w:jc w:val="center"/>
              <w:rPr>
                <w:sz w:val="14"/>
              </w:rPr>
            </w:pPr>
            <w:r>
              <w:rPr>
                <w:color w:val="231F20"/>
                <w:sz w:val="14"/>
              </w:rPr>
              <w:t>38</w:t>
            </w:r>
          </w:p>
        </w:tc>
        <w:tc>
          <w:tcPr>
            <w:tcW w:w="1758" w:type="dxa"/>
          </w:tcPr>
          <w:p>
            <w:pPr>
              <w:pStyle w:val="TableParagraph"/>
              <w:spacing w:before="17"/>
              <w:ind w:left="448" w:right="447"/>
              <w:jc w:val="center"/>
              <w:rPr>
                <w:sz w:val="14"/>
              </w:rPr>
            </w:pPr>
            <w:r>
              <w:rPr>
                <w:color w:val="231F20"/>
                <w:sz w:val="14"/>
              </w:rPr>
              <w:t>7516971.9535</w:t>
            </w:r>
          </w:p>
        </w:tc>
        <w:tc>
          <w:tcPr>
            <w:tcW w:w="1758" w:type="dxa"/>
          </w:tcPr>
          <w:p>
            <w:pPr>
              <w:pStyle w:val="TableParagraph"/>
              <w:spacing w:before="17"/>
              <w:ind w:left="447" w:right="447"/>
              <w:jc w:val="center"/>
              <w:rPr>
                <w:sz w:val="14"/>
              </w:rPr>
            </w:pPr>
            <w:r>
              <w:rPr>
                <w:color w:val="231F20"/>
                <w:sz w:val="14"/>
              </w:rPr>
              <w:t>4951877.3793</w:t>
            </w:r>
          </w:p>
        </w:tc>
      </w:tr>
      <w:tr>
        <w:trPr>
          <w:trHeight w:val="200" w:hRule="atLeast"/>
        </w:trPr>
        <w:tc>
          <w:tcPr>
            <w:tcW w:w="1709" w:type="dxa"/>
          </w:tcPr>
          <w:p>
            <w:pPr>
              <w:pStyle w:val="TableParagraph"/>
              <w:spacing w:before="17"/>
              <w:ind w:left="521" w:right="515"/>
              <w:jc w:val="center"/>
              <w:rPr>
                <w:sz w:val="14"/>
              </w:rPr>
            </w:pPr>
            <w:r>
              <w:rPr>
                <w:color w:val="231F20"/>
                <w:sz w:val="14"/>
              </w:rPr>
              <w:t>13</w:t>
            </w:r>
          </w:p>
        </w:tc>
        <w:tc>
          <w:tcPr>
            <w:tcW w:w="1758" w:type="dxa"/>
          </w:tcPr>
          <w:p>
            <w:pPr>
              <w:pStyle w:val="TableParagraph"/>
              <w:spacing w:before="17"/>
              <w:ind w:left="451" w:right="446"/>
              <w:jc w:val="center"/>
              <w:rPr>
                <w:sz w:val="14"/>
              </w:rPr>
            </w:pPr>
            <w:r>
              <w:rPr>
                <w:color w:val="231F20"/>
                <w:sz w:val="14"/>
              </w:rPr>
              <w:t>7523648.9644</w:t>
            </w:r>
          </w:p>
        </w:tc>
        <w:tc>
          <w:tcPr>
            <w:tcW w:w="1758" w:type="dxa"/>
          </w:tcPr>
          <w:p>
            <w:pPr>
              <w:pStyle w:val="TableParagraph"/>
              <w:spacing w:before="17"/>
              <w:ind w:left="450" w:right="447"/>
              <w:jc w:val="center"/>
              <w:rPr>
                <w:sz w:val="14"/>
              </w:rPr>
            </w:pPr>
            <w:r>
              <w:rPr>
                <w:color w:val="231F20"/>
                <w:sz w:val="14"/>
              </w:rPr>
              <w:t>4948196.7421</w:t>
            </w:r>
          </w:p>
        </w:tc>
        <w:tc>
          <w:tcPr>
            <w:tcW w:w="1758" w:type="dxa"/>
          </w:tcPr>
          <w:p>
            <w:pPr>
              <w:pStyle w:val="TableParagraph"/>
              <w:spacing w:before="17"/>
              <w:ind w:left="449" w:right="447"/>
              <w:jc w:val="center"/>
              <w:rPr>
                <w:sz w:val="14"/>
              </w:rPr>
            </w:pPr>
            <w:r>
              <w:rPr>
                <w:color w:val="231F20"/>
                <w:sz w:val="14"/>
              </w:rPr>
              <w:t>39</w:t>
            </w:r>
          </w:p>
        </w:tc>
        <w:tc>
          <w:tcPr>
            <w:tcW w:w="1758" w:type="dxa"/>
          </w:tcPr>
          <w:p>
            <w:pPr>
              <w:pStyle w:val="TableParagraph"/>
              <w:spacing w:before="17"/>
              <w:ind w:left="448" w:right="447"/>
              <w:jc w:val="center"/>
              <w:rPr>
                <w:sz w:val="14"/>
              </w:rPr>
            </w:pPr>
            <w:r>
              <w:rPr>
                <w:color w:val="231F20"/>
                <w:sz w:val="14"/>
              </w:rPr>
              <w:t>7516950.6842</w:t>
            </w:r>
          </w:p>
        </w:tc>
        <w:tc>
          <w:tcPr>
            <w:tcW w:w="1758" w:type="dxa"/>
          </w:tcPr>
          <w:p>
            <w:pPr>
              <w:pStyle w:val="TableParagraph"/>
              <w:spacing w:before="17"/>
              <w:ind w:left="447" w:right="447"/>
              <w:jc w:val="center"/>
              <w:rPr>
                <w:sz w:val="14"/>
              </w:rPr>
            </w:pPr>
            <w:r>
              <w:rPr>
                <w:color w:val="231F20"/>
                <w:sz w:val="14"/>
              </w:rPr>
              <w:t>4951888.5733</w:t>
            </w:r>
          </w:p>
        </w:tc>
      </w:tr>
      <w:tr>
        <w:trPr>
          <w:trHeight w:val="200" w:hRule="atLeast"/>
        </w:trPr>
        <w:tc>
          <w:tcPr>
            <w:tcW w:w="1709" w:type="dxa"/>
          </w:tcPr>
          <w:p>
            <w:pPr>
              <w:pStyle w:val="TableParagraph"/>
              <w:spacing w:before="17"/>
              <w:ind w:left="520" w:right="515"/>
              <w:jc w:val="center"/>
              <w:rPr>
                <w:sz w:val="14"/>
              </w:rPr>
            </w:pPr>
            <w:r>
              <w:rPr>
                <w:color w:val="231F20"/>
                <w:sz w:val="14"/>
              </w:rPr>
              <w:t>14</w:t>
            </w:r>
          </w:p>
        </w:tc>
        <w:tc>
          <w:tcPr>
            <w:tcW w:w="1758" w:type="dxa"/>
          </w:tcPr>
          <w:p>
            <w:pPr>
              <w:pStyle w:val="TableParagraph"/>
              <w:spacing w:before="17"/>
              <w:ind w:left="451" w:right="447"/>
              <w:jc w:val="center"/>
              <w:rPr>
                <w:sz w:val="14"/>
              </w:rPr>
            </w:pPr>
            <w:r>
              <w:rPr>
                <w:color w:val="231F20"/>
                <w:sz w:val="14"/>
              </w:rPr>
              <w:t>7523465.7160</w:t>
            </w:r>
          </w:p>
        </w:tc>
        <w:tc>
          <w:tcPr>
            <w:tcW w:w="1758" w:type="dxa"/>
          </w:tcPr>
          <w:p>
            <w:pPr>
              <w:pStyle w:val="TableParagraph"/>
              <w:spacing w:before="17"/>
              <w:ind w:left="450" w:right="447"/>
              <w:jc w:val="center"/>
              <w:rPr>
                <w:sz w:val="14"/>
              </w:rPr>
            </w:pPr>
            <w:r>
              <w:rPr>
                <w:color w:val="231F20"/>
                <w:sz w:val="14"/>
              </w:rPr>
              <w:t>4948298.1452</w:t>
            </w:r>
          </w:p>
        </w:tc>
        <w:tc>
          <w:tcPr>
            <w:tcW w:w="1758" w:type="dxa"/>
          </w:tcPr>
          <w:p>
            <w:pPr>
              <w:pStyle w:val="TableParagraph"/>
              <w:spacing w:before="17"/>
              <w:ind w:left="449" w:right="447"/>
              <w:jc w:val="center"/>
              <w:rPr>
                <w:sz w:val="14"/>
              </w:rPr>
            </w:pPr>
            <w:r>
              <w:rPr>
                <w:color w:val="231F20"/>
                <w:sz w:val="14"/>
              </w:rPr>
              <w:t>40</w:t>
            </w:r>
          </w:p>
        </w:tc>
        <w:tc>
          <w:tcPr>
            <w:tcW w:w="1758" w:type="dxa"/>
          </w:tcPr>
          <w:p>
            <w:pPr>
              <w:pStyle w:val="TableParagraph"/>
              <w:spacing w:before="17"/>
              <w:ind w:left="448" w:right="447"/>
              <w:jc w:val="center"/>
              <w:rPr>
                <w:sz w:val="14"/>
              </w:rPr>
            </w:pPr>
            <w:r>
              <w:rPr>
                <w:color w:val="231F20"/>
                <w:sz w:val="14"/>
              </w:rPr>
              <w:t>7516981.7571</w:t>
            </w:r>
          </w:p>
        </w:tc>
        <w:tc>
          <w:tcPr>
            <w:tcW w:w="1758" w:type="dxa"/>
          </w:tcPr>
          <w:p>
            <w:pPr>
              <w:pStyle w:val="TableParagraph"/>
              <w:spacing w:before="17"/>
              <w:ind w:left="447" w:right="447"/>
              <w:jc w:val="center"/>
              <w:rPr>
                <w:sz w:val="14"/>
              </w:rPr>
            </w:pPr>
            <w:r>
              <w:rPr>
                <w:color w:val="231F20"/>
                <w:sz w:val="14"/>
              </w:rPr>
              <w:t>4951983.4571</w:t>
            </w:r>
          </w:p>
        </w:tc>
      </w:tr>
      <w:tr>
        <w:trPr>
          <w:trHeight w:val="200" w:hRule="atLeast"/>
        </w:trPr>
        <w:tc>
          <w:tcPr>
            <w:tcW w:w="1709" w:type="dxa"/>
          </w:tcPr>
          <w:p>
            <w:pPr>
              <w:pStyle w:val="TableParagraph"/>
              <w:spacing w:before="17"/>
              <w:ind w:left="520" w:right="515"/>
              <w:jc w:val="center"/>
              <w:rPr>
                <w:sz w:val="14"/>
              </w:rPr>
            </w:pPr>
            <w:r>
              <w:rPr>
                <w:color w:val="231F20"/>
                <w:sz w:val="14"/>
              </w:rPr>
              <w:t>15</w:t>
            </w:r>
          </w:p>
        </w:tc>
        <w:tc>
          <w:tcPr>
            <w:tcW w:w="1758" w:type="dxa"/>
          </w:tcPr>
          <w:p>
            <w:pPr>
              <w:pStyle w:val="TableParagraph"/>
              <w:spacing w:before="17"/>
              <w:ind w:left="451" w:right="447"/>
              <w:jc w:val="center"/>
              <w:rPr>
                <w:sz w:val="14"/>
              </w:rPr>
            </w:pPr>
            <w:r>
              <w:rPr>
                <w:color w:val="231F20"/>
                <w:sz w:val="14"/>
              </w:rPr>
              <w:t>7523299.4850</w:t>
            </w:r>
          </w:p>
        </w:tc>
        <w:tc>
          <w:tcPr>
            <w:tcW w:w="1758" w:type="dxa"/>
          </w:tcPr>
          <w:p>
            <w:pPr>
              <w:pStyle w:val="TableParagraph"/>
              <w:spacing w:before="17"/>
              <w:ind w:left="450" w:right="447"/>
              <w:jc w:val="center"/>
              <w:rPr>
                <w:sz w:val="14"/>
              </w:rPr>
            </w:pPr>
            <w:r>
              <w:rPr>
                <w:color w:val="231F20"/>
                <w:sz w:val="14"/>
              </w:rPr>
              <w:t>4948382.6357</w:t>
            </w:r>
          </w:p>
        </w:tc>
        <w:tc>
          <w:tcPr>
            <w:tcW w:w="1758" w:type="dxa"/>
          </w:tcPr>
          <w:p>
            <w:pPr>
              <w:pStyle w:val="TableParagraph"/>
              <w:spacing w:before="17"/>
              <w:ind w:left="449" w:right="447"/>
              <w:jc w:val="center"/>
              <w:rPr>
                <w:sz w:val="14"/>
              </w:rPr>
            </w:pPr>
            <w:r>
              <w:rPr>
                <w:color w:val="231F20"/>
                <w:sz w:val="14"/>
              </w:rPr>
              <w:t>41</w:t>
            </w:r>
          </w:p>
        </w:tc>
        <w:tc>
          <w:tcPr>
            <w:tcW w:w="1758" w:type="dxa"/>
          </w:tcPr>
          <w:p>
            <w:pPr>
              <w:pStyle w:val="TableParagraph"/>
              <w:spacing w:before="17"/>
              <w:ind w:left="448" w:right="447"/>
              <w:jc w:val="center"/>
              <w:rPr>
                <w:sz w:val="14"/>
              </w:rPr>
            </w:pPr>
            <w:r>
              <w:rPr>
                <w:color w:val="231F20"/>
                <w:sz w:val="14"/>
              </w:rPr>
              <w:t>7516996.7393</w:t>
            </w:r>
          </w:p>
        </w:tc>
        <w:tc>
          <w:tcPr>
            <w:tcW w:w="1758" w:type="dxa"/>
          </w:tcPr>
          <w:p>
            <w:pPr>
              <w:pStyle w:val="TableParagraph"/>
              <w:spacing w:before="17"/>
              <w:ind w:left="447" w:right="447"/>
              <w:jc w:val="center"/>
              <w:rPr>
                <w:sz w:val="14"/>
              </w:rPr>
            </w:pPr>
            <w:r>
              <w:rPr>
                <w:color w:val="231F20"/>
                <w:sz w:val="14"/>
              </w:rPr>
              <w:t>4952044.4414</w:t>
            </w:r>
          </w:p>
        </w:tc>
      </w:tr>
      <w:tr>
        <w:trPr>
          <w:trHeight w:val="200" w:hRule="atLeast"/>
        </w:trPr>
        <w:tc>
          <w:tcPr>
            <w:tcW w:w="1709" w:type="dxa"/>
          </w:tcPr>
          <w:p>
            <w:pPr>
              <w:pStyle w:val="TableParagraph"/>
              <w:spacing w:before="17"/>
              <w:ind w:left="520" w:right="515"/>
              <w:jc w:val="center"/>
              <w:rPr>
                <w:sz w:val="14"/>
              </w:rPr>
            </w:pPr>
            <w:r>
              <w:rPr>
                <w:color w:val="231F20"/>
                <w:sz w:val="14"/>
              </w:rPr>
              <w:t>16</w:t>
            </w:r>
          </w:p>
        </w:tc>
        <w:tc>
          <w:tcPr>
            <w:tcW w:w="1758" w:type="dxa"/>
          </w:tcPr>
          <w:p>
            <w:pPr>
              <w:pStyle w:val="TableParagraph"/>
              <w:spacing w:before="17"/>
              <w:ind w:left="451" w:right="447"/>
              <w:jc w:val="center"/>
              <w:rPr>
                <w:sz w:val="14"/>
              </w:rPr>
            </w:pPr>
            <w:r>
              <w:rPr>
                <w:color w:val="231F20"/>
                <w:sz w:val="14"/>
              </w:rPr>
              <w:t>7523252.5329</w:t>
            </w:r>
          </w:p>
        </w:tc>
        <w:tc>
          <w:tcPr>
            <w:tcW w:w="1758" w:type="dxa"/>
          </w:tcPr>
          <w:p>
            <w:pPr>
              <w:pStyle w:val="TableParagraph"/>
              <w:spacing w:before="17"/>
              <w:ind w:left="450" w:right="447"/>
              <w:jc w:val="center"/>
              <w:rPr>
                <w:sz w:val="14"/>
              </w:rPr>
            </w:pPr>
            <w:r>
              <w:rPr>
                <w:color w:val="231F20"/>
                <w:sz w:val="14"/>
              </w:rPr>
              <w:t>4948407.6644</w:t>
            </w:r>
          </w:p>
        </w:tc>
        <w:tc>
          <w:tcPr>
            <w:tcW w:w="1758" w:type="dxa"/>
          </w:tcPr>
          <w:p>
            <w:pPr>
              <w:pStyle w:val="TableParagraph"/>
              <w:spacing w:before="17"/>
              <w:ind w:left="448" w:right="447"/>
              <w:jc w:val="center"/>
              <w:rPr>
                <w:sz w:val="14"/>
              </w:rPr>
            </w:pPr>
            <w:r>
              <w:rPr>
                <w:color w:val="231F20"/>
                <w:sz w:val="14"/>
              </w:rPr>
              <w:t>42</w:t>
            </w:r>
          </w:p>
        </w:tc>
        <w:tc>
          <w:tcPr>
            <w:tcW w:w="1758" w:type="dxa"/>
          </w:tcPr>
          <w:p>
            <w:pPr>
              <w:pStyle w:val="TableParagraph"/>
              <w:spacing w:before="17"/>
              <w:ind w:left="447" w:right="447"/>
              <w:jc w:val="center"/>
              <w:rPr>
                <w:sz w:val="14"/>
              </w:rPr>
            </w:pPr>
            <w:r>
              <w:rPr>
                <w:color w:val="231F20"/>
                <w:sz w:val="14"/>
              </w:rPr>
              <w:t>7517024.9682</w:t>
            </w:r>
          </w:p>
        </w:tc>
        <w:tc>
          <w:tcPr>
            <w:tcW w:w="1758" w:type="dxa"/>
          </w:tcPr>
          <w:p>
            <w:pPr>
              <w:pStyle w:val="TableParagraph"/>
              <w:spacing w:before="17"/>
              <w:ind w:left="447" w:right="447"/>
              <w:jc w:val="center"/>
              <w:rPr>
                <w:sz w:val="14"/>
              </w:rPr>
            </w:pPr>
            <w:r>
              <w:rPr>
                <w:color w:val="231F20"/>
                <w:sz w:val="14"/>
              </w:rPr>
              <w:t>4952208.6582</w:t>
            </w:r>
          </w:p>
        </w:tc>
      </w:tr>
      <w:tr>
        <w:trPr>
          <w:trHeight w:val="200" w:hRule="atLeast"/>
        </w:trPr>
        <w:tc>
          <w:tcPr>
            <w:tcW w:w="1709" w:type="dxa"/>
          </w:tcPr>
          <w:p>
            <w:pPr>
              <w:pStyle w:val="TableParagraph"/>
              <w:spacing w:before="17"/>
              <w:ind w:left="519" w:right="515"/>
              <w:jc w:val="center"/>
              <w:rPr>
                <w:sz w:val="14"/>
              </w:rPr>
            </w:pPr>
            <w:r>
              <w:rPr>
                <w:color w:val="231F20"/>
                <w:sz w:val="14"/>
              </w:rPr>
              <w:t>17</w:t>
            </w:r>
          </w:p>
        </w:tc>
        <w:tc>
          <w:tcPr>
            <w:tcW w:w="1758" w:type="dxa"/>
          </w:tcPr>
          <w:p>
            <w:pPr>
              <w:pStyle w:val="TableParagraph"/>
              <w:spacing w:before="17"/>
              <w:ind w:left="451" w:right="447"/>
              <w:jc w:val="center"/>
              <w:rPr>
                <w:sz w:val="14"/>
              </w:rPr>
            </w:pPr>
            <w:r>
              <w:rPr>
                <w:color w:val="231F20"/>
                <w:sz w:val="14"/>
              </w:rPr>
              <w:t>7522923.3891</w:t>
            </w:r>
          </w:p>
        </w:tc>
        <w:tc>
          <w:tcPr>
            <w:tcW w:w="1758" w:type="dxa"/>
          </w:tcPr>
          <w:p>
            <w:pPr>
              <w:pStyle w:val="TableParagraph"/>
              <w:spacing w:before="17"/>
              <w:ind w:left="449" w:right="447"/>
              <w:jc w:val="center"/>
              <w:rPr>
                <w:sz w:val="14"/>
              </w:rPr>
            </w:pPr>
            <w:r>
              <w:rPr>
                <w:color w:val="231F20"/>
                <w:sz w:val="14"/>
              </w:rPr>
              <w:t>4948526.3965</w:t>
            </w:r>
          </w:p>
        </w:tc>
        <w:tc>
          <w:tcPr>
            <w:tcW w:w="1758" w:type="dxa"/>
          </w:tcPr>
          <w:p>
            <w:pPr>
              <w:pStyle w:val="TableParagraph"/>
              <w:spacing w:before="17"/>
              <w:ind w:left="448" w:right="447"/>
              <w:jc w:val="center"/>
              <w:rPr>
                <w:sz w:val="14"/>
              </w:rPr>
            </w:pPr>
            <w:r>
              <w:rPr>
                <w:color w:val="231F20"/>
                <w:sz w:val="14"/>
              </w:rPr>
              <w:t>43</w:t>
            </w:r>
          </w:p>
        </w:tc>
        <w:tc>
          <w:tcPr>
            <w:tcW w:w="1758" w:type="dxa"/>
          </w:tcPr>
          <w:p>
            <w:pPr>
              <w:pStyle w:val="TableParagraph"/>
              <w:spacing w:before="17"/>
              <w:ind w:left="447" w:right="447"/>
              <w:jc w:val="center"/>
              <w:rPr>
                <w:sz w:val="14"/>
              </w:rPr>
            </w:pPr>
            <w:r>
              <w:rPr>
                <w:color w:val="231F20"/>
                <w:sz w:val="14"/>
              </w:rPr>
              <w:t>7517081.2064</w:t>
            </w:r>
          </w:p>
        </w:tc>
        <w:tc>
          <w:tcPr>
            <w:tcW w:w="1758" w:type="dxa"/>
          </w:tcPr>
          <w:p>
            <w:pPr>
              <w:pStyle w:val="TableParagraph"/>
              <w:spacing w:before="17"/>
              <w:ind w:left="447" w:right="447"/>
              <w:jc w:val="center"/>
              <w:rPr>
                <w:sz w:val="14"/>
              </w:rPr>
            </w:pPr>
            <w:r>
              <w:rPr>
                <w:color w:val="231F20"/>
                <w:sz w:val="14"/>
              </w:rPr>
              <w:t>4952207.0508</w:t>
            </w:r>
          </w:p>
        </w:tc>
      </w:tr>
      <w:tr>
        <w:trPr>
          <w:trHeight w:val="200" w:hRule="atLeast"/>
        </w:trPr>
        <w:tc>
          <w:tcPr>
            <w:tcW w:w="1709" w:type="dxa"/>
          </w:tcPr>
          <w:p>
            <w:pPr>
              <w:pStyle w:val="TableParagraph"/>
              <w:spacing w:before="17"/>
              <w:ind w:left="519" w:right="515"/>
              <w:jc w:val="center"/>
              <w:rPr>
                <w:sz w:val="14"/>
              </w:rPr>
            </w:pPr>
            <w:r>
              <w:rPr>
                <w:color w:val="231F20"/>
                <w:sz w:val="14"/>
              </w:rPr>
              <w:t>18</w:t>
            </w:r>
          </w:p>
        </w:tc>
        <w:tc>
          <w:tcPr>
            <w:tcW w:w="1758" w:type="dxa"/>
          </w:tcPr>
          <w:p>
            <w:pPr>
              <w:pStyle w:val="TableParagraph"/>
              <w:spacing w:before="17"/>
              <w:ind w:left="450" w:right="447"/>
              <w:jc w:val="center"/>
              <w:rPr>
                <w:sz w:val="14"/>
              </w:rPr>
            </w:pPr>
            <w:r>
              <w:rPr>
                <w:color w:val="231F20"/>
                <w:sz w:val="14"/>
              </w:rPr>
              <w:t>7522958.8454</w:t>
            </w:r>
          </w:p>
        </w:tc>
        <w:tc>
          <w:tcPr>
            <w:tcW w:w="1758" w:type="dxa"/>
          </w:tcPr>
          <w:p>
            <w:pPr>
              <w:pStyle w:val="TableParagraph"/>
              <w:spacing w:before="17"/>
              <w:ind w:left="449" w:right="447"/>
              <w:jc w:val="center"/>
              <w:rPr>
                <w:sz w:val="14"/>
              </w:rPr>
            </w:pPr>
            <w:r>
              <w:rPr>
                <w:color w:val="231F20"/>
                <w:sz w:val="14"/>
              </w:rPr>
              <w:t>4948564.0181</w:t>
            </w:r>
          </w:p>
        </w:tc>
        <w:tc>
          <w:tcPr>
            <w:tcW w:w="1758" w:type="dxa"/>
          </w:tcPr>
          <w:p>
            <w:pPr>
              <w:pStyle w:val="TableParagraph"/>
              <w:spacing w:before="17"/>
              <w:ind w:left="448" w:right="447"/>
              <w:jc w:val="center"/>
              <w:rPr>
                <w:sz w:val="14"/>
              </w:rPr>
            </w:pPr>
            <w:r>
              <w:rPr>
                <w:color w:val="231F20"/>
                <w:sz w:val="14"/>
              </w:rPr>
              <w:t>44</w:t>
            </w:r>
          </w:p>
        </w:tc>
        <w:tc>
          <w:tcPr>
            <w:tcW w:w="1758" w:type="dxa"/>
          </w:tcPr>
          <w:p>
            <w:pPr>
              <w:pStyle w:val="TableParagraph"/>
              <w:spacing w:before="17"/>
              <w:ind w:left="447" w:right="447"/>
              <w:jc w:val="center"/>
              <w:rPr>
                <w:sz w:val="14"/>
              </w:rPr>
            </w:pPr>
            <w:r>
              <w:rPr>
                <w:color w:val="231F20"/>
                <w:sz w:val="14"/>
              </w:rPr>
              <w:t>7517008.1139</w:t>
            </w:r>
          </w:p>
        </w:tc>
        <w:tc>
          <w:tcPr>
            <w:tcW w:w="1758" w:type="dxa"/>
          </w:tcPr>
          <w:p>
            <w:pPr>
              <w:pStyle w:val="TableParagraph"/>
              <w:spacing w:before="17"/>
              <w:ind w:left="447" w:right="447"/>
              <w:jc w:val="center"/>
              <w:rPr>
                <w:sz w:val="14"/>
              </w:rPr>
            </w:pPr>
            <w:r>
              <w:rPr>
                <w:color w:val="231F20"/>
                <w:sz w:val="14"/>
              </w:rPr>
              <w:t>4952295.7640</w:t>
            </w:r>
          </w:p>
        </w:tc>
      </w:tr>
      <w:tr>
        <w:trPr>
          <w:trHeight w:val="200" w:hRule="atLeast"/>
        </w:trPr>
        <w:tc>
          <w:tcPr>
            <w:tcW w:w="1709" w:type="dxa"/>
          </w:tcPr>
          <w:p>
            <w:pPr>
              <w:pStyle w:val="TableParagraph"/>
              <w:spacing w:before="17"/>
              <w:ind w:left="519" w:right="515"/>
              <w:jc w:val="center"/>
              <w:rPr>
                <w:sz w:val="14"/>
              </w:rPr>
            </w:pPr>
            <w:r>
              <w:rPr>
                <w:color w:val="231F20"/>
                <w:sz w:val="14"/>
              </w:rPr>
              <w:t>19</w:t>
            </w:r>
          </w:p>
        </w:tc>
        <w:tc>
          <w:tcPr>
            <w:tcW w:w="1758" w:type="dxa"/>
          </w:tcPr>
          <w:p>
            <w:pPr>
              <w:pStyle w:val="TableParagraph"/>
              <w:spacing w:before="17"/>
              <w:ind w:left="450" w:right="447"/>
              <w:jc w:val="center"/>
              <w:rPr>
                <w:sz w:val="14"/>
              </w:rPr>
            </w:pPr>
            <w:r>
              <w:rPr>
                <w:color w:val="231F20"/>
                <w:sz w:val="14"/>
              </w:rPr>
              <w:t>7522625.2734</w:t>
            </w:r>
          </w:p>
        </w:tc>
        <w:tc>
          <w:tcPr>
            <w:tcW w:w="1758" w:type="dxa"/>
          </w:tcPr>
          <w:p>
            <w:pPr>
              <w:pStyle w:val="TableParagraph"/>
              <w:spacing w:before="17"/>
              <w:ind w:left="449" w:right="447"/>
              <w:jc w:val="center"/>
              <w:rPr>
                <w:sz w:val="14"/>
              </w:rPr>
            </w:pPr>
            <w:r>
              <w:rPr>
                <w:color w:val="231F20"/>
                <w:sz w:val="14"/>
              </w:rPr>
              <w:t>4948685.1125</w:t>
            </w:r>
          </w:p>
        </w:tc>
        <w:tc>
          <w:tcPr>
            <w:tcW w:w="1758" w:type="dxa"/>
          </w:tcPr>
          <w:p>
            <w:pPr>
              <w:pStyle w:val="TableParagraph"/>
              <w:spacing w:before="17"/>
              <w:ind w:left="448" w:right="447"/>
              <w:jc w:val="center"/>
              <w:rPr>
                <w:sz w:val="14"/>
              </w:rPr>
            </w:pPr>
            <w:r>
              <w:rPr>
                <w:color w:val="231F20"/>
                <w:sz w:val="14"/>
              </w:rPr>
              <w:t>45</w:t>
            </w:r>
          </w:p>
        </w:tc>
        <w:tc>
          <w:tcPr>
            <w:tcW w:w="1758" w:type="dxa"/>
          </w:tcPr>
          <w:p>
            <w:pPr>
              <w:pStyle w:val="TableParagraph"/>
              <w:spacing w:before="17"/>
              <w:ind w:left="447" w:right="447"/>
              <w:jc w:val="center"/>
              <w:rPr>
                <w:sz w:val="14"/>
              </w:rPr>
            </w:pPr>
            <w:r>
              <w:rPr>
                <w:color w:val="231F20"/>
                <w:sz w:val="14"/>
              </w:rPr>
              <w:t>7517004.2697</w:t>
            </w:r>
          </w:p>
        </w:tc>
        <w:tc>
          <w:tcPr>
            <w:tcW w:w="1758" w:type="dxa"/>
          </w:tcPr>
          <w:p>
            <w:pPr>
              <w:pStyle w:val="TableParagraph"/>
              <w:spacing w:before="17"/>
              <w:ind w:left="447" w:right="447"/>
              <w:jc w:val="center"/>
              <w:rPr>
                <w:sz w:val="14"/>
              </w:rPr>
            </w:pPr>
            <w:r>
              <w:rPr>
                <w:color w:val="231F20"/>
                <w:sz w:val="14"/>
              </w:rPr>
              <w:t>4952318.5782</w:t>
            </w:r>
          </w:p>
        </w:tc>
      </w:tr>
      <w:tr>
        <w:trPr>
          <w:trHeight w:val="200" w:hRule="atLeast"/>
        </w:trPr>
        <w:tc>
          <w:tcPr>
            <w:tcW w:w="1709" w:type="dxa"/>
          </w:tcPr>
          <w:p>
            <w:pPr>
              <w:pStyle w:val="TableParagraph"/>
              <w:spacing w:before="17"/>
              <w:ind w:left="519" w:right="515"/>
              <w:jc w:val="center"/>
              <w:rPr>
                <w:sz w:val="14"/>
              </w:rPr>
            </w:pPr>
            <w:r>
              <w:rPr>
                <w:color w:val="231F20"/>
                <w:sz w:val="14"/>
              </w:rPr>
              <w:t>20</w:t>
            </w:r>
          </w:p>
        </w:tc>
        <w:tc>
          <w:tcPr>
            <w:tcW w:w="1758" w:type="dxa"/>
          </w:tcPr>
          <w:p>
            <w:pPr>
              <w:pStyle w:val="TableParagraph"/>
              <w:spacing w:before="17"/>
              <w:ind w:left="450" w:right="447"/>
              <w:jc w:val="center"/>
              <w:rPr>
                <w:sz w:val="14"/>
              </w:rPr>
            </w:pPr>
            <w:r>
              <w:rPr>
                <w:color w:val="231F20"/>
                <w:sz w:val="14"/>
              </w:rPr>
              <w:t>7522426.4910</w:t>
            </w:r>
          </w:p>
        </w:tc>
        <w:tc>
          <w:tcPr>
            <w:tcW w:w="1758" w:type="dxa"/>
          </w:tcPr>
          <w:p>
            <w:pPr>
              <w:pStyle w:val="TableParagraph"/>
              <w:spacing w:before="17"/>
              <w:ind w:left="449" w:right="447"/>
              <w:jc w:val="center"/>
              <w:rPr>
                <w:sz w:val="14"/>
              </w:rPr>
            </w:pPr>
            <w:r>
              <w:rPr>
                <w:color w:val="231F20"/>
                <w:sz w:val="14"/>
              </w:rPr>
              <w:t>4948847.8166</w:t>
            </w:r>
          </w:p>
        </w:tc>
        <w:tc>
          <w:tcPr>
            <w:tcW w:w="1758" w:type="dxa"/>
          </w:tcPr>
          <w:p>
            <w:pPr>
              <w:pStyle w:val="TableParagraph"/>
              <w:spacing w:before="17"/>
              <w:ind w:left="448" w:right="447"/>
              <w:jc w:val="center"/>
              <w:rPr>
                <w:sz w:val="14"/>
              </w:rPr>
            </w:pPr>
            <w:r>
              <w:rPr>
                <w:color w:val="231F20"/>
                <w:sz w:val="14"/>
              </w:rPr>
              <w:t>46</w:t>
            </w:r>
          </w:p>
        </w:tc>
        <w:tc>
          <w:tcPr>
            <w:tcW w:w="1758" w:type="dxa"/>
          </w:tcPr>
          <w:p>
            <w:pPr>
              <w:pStyle w:val="TableParagraph"/>
              <w:spacing w:before="17"/>
              <w:ind w:left="447" w:right="447"/>
              <w:jc w:val="center"/>
              <w:rPr>
                <w:sz w:val="14"/>
              </w:rPr>
            </w:pPr>
            <w:r>
              <w:rPr>
                <w:color w:val="231F20"/>
                <w:sz w:val="14"/>
              </w:rPr>
              <w:t>7516972.2724</w:t>
            </w:r>
          </w:p>
        </w:tc>
        <w:tc>
          <w:tcPr>
            <w:tcW w:w="1758" w:type="dxa"/>
          </w:tcPr>
          <w:p>
            <w:pPr>
              <w:pStyle w:val="TableParagraph"/>
              <w:spacing w:before="17"/>
              <w:ind w:left="447" w:right="447"/>
              <w:jc w:val="center"/>
              <w:rPr>
                <w:sz w:val="14"/>
              </w:rPr>
            </w:pPr>
            <w:r>
              <w:rPr>
                <w:color w:val="231F20"/>
                <w:sz w:val="14"/>
              </w:rPr>
              <w:t>4952513.7984</w:t>
            </w:r>
          </w:p>
        </w:tc>
      </w:tr>
      <w:tr>
        <w:trPr>
          <w:trHeight w:val="200" w:hRule="atLeast"/>
        </w:trPr>
        <w:tc>
          <w:tcPr>
            <w:tcW w:w="1709" w:type="dxa"/>
          </w:tcPr>
          <w:p>
            <w:pPr>
              <w:pStyle w:val="TableParagraph"/>
              <w:spacing w:before="17"/>
              <w:ind w:left="519" w:right="515"/>
              <w:jc w:val="center"/>
              <w:rPr>
                <w:sz w:val="14"/>
              </w:rPr>
            </w:pPr>
            <w:r>
              <w:rPr>
                <w:color w:val="231F20"/>
                <w:sz w:val="14"/>
              </w:rPr>
              <w:t>21</w:t>
            </w:r>
          </w:p>
        </w:tc>
        <w:tc>
          <w:tcPr>
            <w:tcW w:w="1758" w:type="dxa"/>
          </w:tcPr>
          <w:p>
            <w:pPr>
              <w:pStyle w:val="TableParagraph"/>
              <w:spacing w:before="17"/>
              <w:ind w:left="450" w:right="447"/>
              <w:jc w:val="center"/>
              <w:rPr>
                <w:sz w:val="14"/>
              </w:rPr>
            </w:pPr>
            <w:r>
              <w:rPr>
                <w:color w:val="231F20"/>
                <w:sz w:val="14"/>
              </w:rPr>
              <w:t>7522398.5290</w:t>
            </w:r>
          </w:p>
        </w:tc>
        <w:tc>
          <w:tcPr>
            <w:tcW w:w="1758" w:type="dxa"/>
          </w:tcPr>
          <w:p>
            <w:pPr>
              <w:pStyle w:val="TableParagraph"/>
              <w:spacing w:before="17"/>
              <w:ind w:left="449" w:right="447"/>
              <w:jc w:val="center"/>
              <w:rPr>
                <w:sz w:val="14"/>
              </w:rPr>
            </w:pPr>
            <w:r>
              <w:rPr>
                <w:color w:val="231F20"/>
                <w:sz w:val="14"/>
              </w:rPr>
              <w:t>4948805.8681</w:t>
            </w:r>
          </w:p>
        </w:tc>
        <w:tc>
          <w:tcPr>
            <w:tcW w:w="1758" w:type="dxa"/>
          </w:tcPr>
          <w:p>
            <w:pPr>
              <w:pStyle w:val="TableParagraph"/>
              <w:spacing w:before="17"/>
              <w:ind w:left="448" w:right="447"/>
              <w:jc w:val="center"/>
              <w:rPr>
                <w:sz w:val="14"/>
              </w:rPr>
            </w:pPr>
            <w:r>
              <w:rPr>
                <w:color w:val="231F20"/>
                <w:sz w:val="14"/>
              </w:rPr>
              <w:t>47</w:t>
            </w:r>
          </w:p>
        </w:tc>
        <w:tc>
          <w:tcPr>
            <w:tcW w:w="1758" w:type="dxa"/>
          </w:tcPr>
          <w:p>
            <w:pPr>
              <w:pStyle w:val="TableParagraph"/>
              <w:spacing w:before="17"/>
              <w:ind w:left="447" w:right="447"/>
              <w:jc w:val="center"/>
              <w:rPr>
                <w:sz w:val="14"/>
              </w:rPr>
            </w:pPr>
            <w:r>
              <w:rPr>
                <w:color w:val="231F20"/>
                <w:sz w:val="14"/>
              </w:rPr>
              <w:t>7517032.8822</w:t>
            </w:r>
          </w:p>
        </w:tc>
        <w:tc>
          <w:tcPr>
            <w:tcW w:w="1758" w:type="dxa"/>
          </w:tcPr>
          <w:p>
            <w:pPr>
              <w:pStyle w:val="TableParagraph"/>
              <w:spacing w:before="17"/>
              <w:ind w:left="446" w:right="447"/>
              <w:jc w:val="center"/>
              <w:rPr>
                <w:sz w:val="14"/>
              </w:rPr>
            </w:pPr>
            <w:r>
              <w:rPr>
                <w:color w:val="231F20"/>
                <w:sz w:val="14"/>
              </w:rPr>
              <w:t>4952500.4442</w:t>
            </w:r>
          </w:p>
        </w:tc>
      </w:tr>
      <w:tr>
        <w:trPr>
          <w:trHeight w:val="200" w:hRule="atLeast"/>
        </w:trPr>
        <w:tc>
          <w:tcPr>
            <w:tcW w:w="1709" w:type="dxa"/>
          </w:tcPr>
          <w:p>
            <w:pPr>
              <w:pStyle w:val="TableParagraph"/>
              <w:spacing w:before="17"/>
              <w:ind w:left="519" w:right="515"/>
              <w:jc w:val="center"/>
              <w:rPr>
                <w:sz w:val="14"/>
              </w:rPr>
            </w:pPr>
            <w:r>
              <w:rPr>
                <w:color w:val="231F20"/>
                <w:sz w:val="14"/>
              </w:rPr>
              <w:t>22</w:t>
            </w:r>
          </w:p>
        </w:tc>
        <w:tc>
          <w:tcPr>
            <w:tcW w:w="1758" w:type="dxa"/>
          </w:tcPr>
          <w:p>
            <w:pPr>
              <w:pStyle w:val="TableParagraph"/>
              <w:spacing w:before="17"/>
              <w:ind w:left="450" w:right="447"/>
              <w:jc w:val="center"/>
              <w:rPr>
                <w:sz w:val="14"/>
              </w:rPr>
            </w:pPr>
            <w:r>
              <w:rPr>
                <w:color w:val="231F20"/>
                <w:sz w:val="14"/>
              </w:rPr>
              <w:t>7522171.7752</w:t>
            </w:r>
          </w:p>
        </w:tc>
        <w:tc>
          <w:tcPr>
            <w:tcW w:w="1758" w:type="dxa"/>
          </w:tcPr>
          <w:p>
            <w:pPr>
              <w:pStyle w:val="TableParagraph"/>
              <w:spacing w:before="17"/>
              <w:ind w:left="449" w:right="447"/>
              <w:jc w:val="center"/>
              <w:rPr>
                <w:sz w:val="14"/>
              </w:rPr>
            </w:pPr>
            <w:r>
              <w:rPr>
                <w:color w:val="231F20"/>
                <w:sz w:val="14"/>
              </w:rPr>
              <w:t>4948945.6488</w:t>
            </w:r>
          </w:p>
        </w:tc>
        <w:tc>
          <w:tcPr>
            <w:tcW w:w="1758" w:type="dxa"/>
          </w:tcPr>
          <w:p>
            <w:pPr>
              <w:pStyle w:val="TableParagraph"/>
              <w:spacing w:before="17"/>
              <w:ind w:left="447" w:right="447"/>
              <w:jc w:val="center"/>
              <w:rPr>
                <w:sz w:val="14"/>
              </w:rPr>
            </w:pPr>
            <w:r>
              <w:rPr>
                <w:color w:val="231F20"/>
                <w:sz w:val="14"/>
              </w:rPr>
              <w:t>48</w:t>
            </w:r>
          </w:p>
        </w:tc>
        <w:tc>
          <w:tcPr>
            <w:tcW w:w="1758" w:type="dxa"/>
          </w:tcPr>
          <w:p>
            <w:pPr>
              <w:pStyle w:val="TableParagraph"/>
              <w:spacing w:before="17"/>
              <w:ind w:left="447" w:right="447"/>
              <w:jc w:val="center"/>
              <w:rPr>
                <w:sz w:val="14"/>
              </w:rPr>
            </w:pPr>
            <w:r>
              <w:rPr>
                <w:color w:val="231F20"/>
                <w:sz w:val="14"/>
              </w:rPr>
              <w:t>7516969.8309</w:t>
            </w:r>
          </w:p>
        </w:tc>
        <w:tc>
          <w:tcPr>
            <w:tcW w:w="1758" w:type="dxa"/>
          </w:tcPr>
          <w:p>
            <w:pPr>
              <w:pStyle w:val="TableParagraph"/>
              <w:spacing w:before="17"/>
              <w:ind w:left="446" w:right="447"/>
              <w:jc w:val="center"/>
              <w:rPr>
                <w:sz w:val="14"/>
              </w:rPr>
            </w:pPr>
            <w:r>
              <w:rPr>
                <w:color w:val="231F20"/>
                <w:sz w:val="14"/>
              </w:rPr>
              <w:t>4952536.1151</w:t>
            </w:r>
          </w:p>
        </w:tc>
      </w:tr>
      <w:tr>
        <w:trPr>
          <w:trHeight w:val="200" w:hRule="atLeast"/>
        </w:trPr>
        <w:tc>
          <w:tcPr>
            <w:tcW w:w="1709" w:type="dxa"/>
          </w:tcPr>
          <w:p>
            <w:pPr>
              <w:pStyle w:val="TableParagraph"/>
              <w:spacing w:before="17"/>
              <w:ind w:left="518" w:right="515"/>
              <w:jc w:val="center"/>
              <w:rPr>
                <w:sz w:val="14"/>
              </w:rPr>
            </w:pPr>
            <w:r>
              <w:rPr>
                <w:color w:val="231F20"/>
                <w:sz w:val="14"/>
              </w:rPr>
              <w:t>23</w:t>
            </w:r>
          </w:p>
        </w:tc>
        <w:tc>
          <w:tcPr>
            <w:tcW w:w="1758" w:type="dxa"/>
          </w:tcPr>
          <w:p>
            <w:pPr>
              <w:pStyle w:val="TableParagraph"/>
              <w:spacing w:before="17"/>
              <w:ind w:left="449" w:right="447"/>
              <w:jc w:val="center"/>
              <w:rPr>
                <w:sz w:val="14"/>
              </w:rPr>
            </w:pPr>
            <w:r>
              <w:rPr>
                <w:color w:val="231F20"/>
                <w:sz w:val="14"/>
              </w:rPr>
              <w:t>7522155.0044</w:t>
            </w:r>
          </w:p>
        </w:tc>
        <w:tc>
          <w:tcPr>
            <w:tcW w:w="1758" w:type="dxa"/>
          </w:tcPr>
          <w:p>
            <w:pPr>
              <w:pStyle w:val="TableParagraph"/>
              <w:spacing w:before="17"/>
              <w:ind w:left="448" w:right="447"/>
              <w:jc w:val="center"/>
              <w:rPr>
                <w:sz w:val="14"/>
              </w:rPr>
            </w:pPr>
            <w:r>
              <w:rPr>
                <w:color w:val="231F20"/>
                <w:sz w:val="14"/>
              </w:rPr>
              <w:t>4949065.8194</w:t>
            </w:r>
          </w:p>
        </w:tc>
        <w:tc>
          <w:tcPr>
            <w:tcW w:w="1758" w:type="dxa"/>
          </w:tcPr>
          <w:p>
            <w:pPr>
              <w:pStyle w:val="TableParagraph"/>
              <w:spacing w:before="17"/>
              <w:ind w:left="447" w:right="447"/>
              <w:jc w:val="center"/>
              <w:rPr>
                <w:sz w:val="14"/>
              </w:rPr>
            </w:pPr>
            <w:r>
              <w:rPr>
                <w:color w:val="231F20"/>
                <w:sz w:val="14"/>
              </w:rPr>
              <w:t>49</w:t>
            </w:r>
          </w:p>
        </w:tc>
        <w:tc>
          <w:tcPr>
            <w:tcW w:w="1758" w:type="dxa"/>
          </w:tcPr>
          <w:p>
            <w:pPr>
              <w:pStyle w:val="TableParagraph"/>
              <w:spacing w:before="17"/>
              <w:ind w:left="447" w:right="447"/>
              <w:jc w:val="center"/>
              <w:rPr>
                <w:sz w:val="14"/>
              </w:rPr>
            </w:pPr>
            <w:r>
              <w:rPr>
                <w:color w:val="231F20"/>
                <w:sz w:val="14"/>
              </w:rPr>
              <w:t>7517028.7810</w:t>
            </w:r>
          </w:p>
        </w:tc>
        <w:tc>
          <w:tcPr>
            <w:tcW w:w="1758" w:type="dxa"/>
          </w:tcPr>
          <w:p>
            <w:pPr>
              <w:pStyle w:val="TableParagraph"/>
              <w:spacing w:before="17"/>
              <w:ind w:left="446" w:right="447"/>
              <w:jc w:val="center"/>
              <w:rPr>
                <w:sz w:val="14"/>
              </w:rPr>
            </w:pPr>
            <w:r>
              <w:rPr>
                <w:color w:val="231F20"/>
                <w:sz w:val="14"/>
              </w:rPr>
              <w:t>4952527.0310</w:t>
            </w:r>
          </w:p>
        </w:tc>
      </w:tr>
      <w:tr>
        <w:trPr>
          <w:trHeight w:val="200" w:hRule="atLeast"/>
        </w:trPr>
        <w:tc>
          <w:tcPr>
            <w:tcW w:w="1709" w:type="dxa"/>
          </w:tcPr>
          <w:p>
            <w:pPr>
              <w:pStyle w:val="TableParagraph"/>
              <w:spacing w:before="17"/>
              <w:ind w:left="518" w:right="515"/>
              <w:jc w:val="center"/>
              <w:rPr>
                <w:sz w:val="14"/>
              </w:rPr>
            </w:pPr>
            <w:r>
              <w:rPr>
                <w:color w:val="231F20"/>
                <w:sz w:val="14"/>
              </w:rPr>
              <w:t>24</w:t>
            </w:r>
          </w:p>
        </w:tc>
        <w:tc>
          <w:tcPr>
            <w:tcW w:w="1758" w:type="dxa"/>
          </w:tcPr>
          <w:p>
            <w:pPr>
              <w:pStyle w:val="TableParagraph"/>
              <w:spacing w:before="17"/>
              <w:ind w:left="449" w:right="447"/>
              <w:jc w:val="center"/>
              <w:rPr>
                <w:sz w:val="14"/>
              </w:rPr>
            </w:pPr>
            <w:r>
              <w:rPr>
                <w:color w:val="231F20"/>
                <w:sz w:val="14"/>
              </w:rPr>
              <w:t>7522115.8112</w:t>
            </w:r>
          </w:p>
        </w:tc>
        <w:tc>
          <w:tcPr>
            <w:tcW w:w="1758" w:type="dxa"/>
          </w:tcPr>
          <w:p>
            <w:pPr>
              <w:pStyle w:val="TableParagraph"/>
              <w:spacing w:before="17"/>
              <w:ind w:left="448" w:right="447"/>
              <w:jc w:val="center"/>
              <w:rPr>
                <w:sz w:val="14"/>
              </w:rPr>
            </w:pPr>
            <w:r>
              <w:rPr>
                <w:color w:val="231F20"/>
                <w:sz w:val="14"/>
              </w:rPr>
              <w:t>4949029.7333</w:t>
            </w:r>
          </w:p>
        </w:tc>
        <w:tc>
          <w:tcPr>
            <w:tcW w:w="1758" w:type="dxa"/>
          </w:tcPr>
          <w:p>
            <w:pPr>
              <w:pStyle w:val="TableParagraph"/>
              <w:spacing w:before="17"/>
              <w:ind w:left="447" w:right="447"/>
              <w:jc w:val="center"/>
              <w:rPr>
                <w:sz w:val="14"/>
              </w:rPr>
            </w:pPr>
            <w:r>
              <w:rPr>
                <w:color w:val="231F20"/>
                <w:sz w:val="14"/>
              </w:rPr>
              <w:t>50</w:t>
            </w:r>
          </w:p>
        </w:tc>
        <w:tc>
          <w:tcPr>
            <w:tcW w:w="1758" w:type="dxa"/>
          </w:tcPr>
          <w:p>
            <w:pPr>
              <w:pStyle w:val="TableParagraph"/>
              <w:spacing w:before="17"/>
              <w:ind w:left="447" w:right="447"/>
              <w:jc w:val="center"/>
              <w:rPr>
                <w:sz w:val="14"/>
              </w:rPr>
            </w:pPr>
            <w:r>
              <w:rPr>
                <w:color w:val="231F20"/>
                <w:sz w:val="14"/>
              </w:rPr>
              <w:t>7517301.2915</w:t>
            </w:r>
          </w:p>
        </w:tc>
        <w:tc>
          <w:tcPr>
            <w:tcW w:w="1758" w:type="dxa"/>
          </w:tcPr>
          <w:p>
            <w:pPr>
              <w:pStyle w:val="TableParagraph"/>
              <w:spacing w:before="17"/>
              <w:ind w:left="447" w:right="447"/>
              <w:jc w:val="center"/>
              <w:rPr>
                <w:sz w:val="14"/>
              </w:rPr>
            </w:pPr>
            <w:r>
              <w:rPr>
                <w:color w:val="231F20"/>
                <w:sz w:val="14"/>
              </w:rPr>
              <w:t>4953023.9145</w:t>
            </w:r>
          </w:p>
        </w:tc>
      </w:tr>
      <w:tr>
        <w:trPr>
          <w:trHeight w:val="200" w:hRule="atLeast"/>
        </w:trPr>
        <w:tc>
          <w:tcPr>
            <w:tcW w:w="1709" w:type="dxa"/>
          </w:tcPr>
          <w:p>
            <w:pPr>
              <w:pStyle w:val="TableParagraph"/>
              <w:spacing w:before="17"/>
              <w:ind w:left="518" w:right="515"/>
              <w:jc w:val="center"/>
              <w:rPr>
                <w:sz w:val="14"/>
              </w:rPr>
            </w:pPr>
            <w:r>
              <w:rPr>
                <w:color w:val="231F20"/>
                <w:sz w:val="14"/>
              </w:rPr>
              <w:t>25</w:t>
            </w:r>
          </w:p>
        </w:tc>
        <w:tc>
          <w:tcPr>
            <w:tcW w:w="1758" w:type="dxa"/>
          </w:tcPr>
          <w:p>
            <w:pPr>
              <w:pStyle w:val="TableParagraph"/>
              <w:spacing w:before="17"/>
              <w:ind w:left="449" w:right="447"/>
              <w:jc w:val="center"/>
              <w:rPr>
                <w:sz w:val="14"/>
              </w:rPr>
            </w:pPr>
            <w:r>
              <w:rPr>
                <w:color w:val="231F20"/>
                <w:sz w:val="14"/>
              </w:rPr>
              <w:t>7521395.2294</w:t>
            </w:r>
          </w:p>
        </w:tc>
        <w:tc>
          <w:tcPr>
            <w:tcW w:w="1758" w:type="dxa"/>
          </w:tcPr>
          <w:p>
            <w:pPr>
              <w:pStyle w:val="TableParagraph"/>
              <w:spacing w:before="17"/>
              <w:ind w:left="448" w:right="447"/>
              <w:jc w:val="center"/>
              <w:rPr>
                <w:sz w:val="14"/>
              </w:rPr>
            </w:pPr>
            <w:r>
              <w:rPr>
                <w:color w:val="231F20"/>
                <w:sz w:val="14"/>
              </w:rPr>
              <w:t>4950747.2516</w:t>
            </w:r>
          </w:p>
        </w:tc>
        <w:tc>
          <w:tcPr>
            <w:tcW w:w="1758" w:type="dxa"/>
          </w:tcPr>
          <w:p>
            <w:pPr>
              <w:pStyle w:val="TableParagraph"/>
              <w:spacing w:before="17"/>
              <w:ind w:left="447" w:right="447"/>
              <w:jc w:val="center"/>
              <w:rPr>
                <w:sz w:val="14"/>
              </w:rPr>
            </w:pPr>
            <w:r>
              <w:rPr>
                <w:color w:val="231F20"/>
                <w:sz w:val="14"/>
              </w:rPr>
              <w:t>51</w:t>
            </w:r>
          </w:p>
        </w:tc>
        <w:tc>
          <w:tcPr>
            <w:tcW w:w="1758" w:type="dxa"/>
          </w:tcPr>
          <w:p>
            <w:pPr>
              <w:pStyle w:val="TableParagraph"/>
              <w:spacing w:before="17"/>
              <w:ind w:left="446" w:right="447"/>
              <w:jc w:val="center"/>
              <w:rPr>
                <w:sz w:val="14"/>
              </w:rPr>
            </w:pPr>
            <w:r>
              <w:rPr>
                <w:color w:val="231F20"/>
                <w:sz w:val="14"/>
              </w:rPr>
              <w:t>7517398.2739</w:t>
            </w:r>
          </w:p>
        </w:tc>
        <w:tc>
          <w:tcPr>
            <w:tcW w:w="1758" w:type="dxa"/>
          </w:tcPr>
          <w:p>
            <w:pPr>
              <w:pStyle w:val="TableParagraph"/>
              <w:spacing w:before="17"/>
              <w:ind w:left="447" w:right="447"/>
              <w:jc w:val="center"/>
              <w:rPr>
                <w:sz w:val="14"/>
              </w:rPr>
            </w:pPr>
            <w:r>
              <w:rPr>
                <w:color w:val="231F20"/>
                <w:sz w:val="14"/>
              </w:rPr>
              <w:t>4953032.2003</w:t>
            </w:r>
          </w:p>
        </w:tc>
      </w:tr>
      <w:tr>
        <w:trPr>
          <w:trHeight w:val="200" w:hRule="atLeast"/>
        </w:trPr>
        <w:tc>
          <w:tcPr>
            <w:tcW w:w="1709" w:type="dxa"/>
          </w:tcPr>
          <w:p>
            <w:pPr>
              <w:pStyle w:val="TableParagraph"/>
              <w:spacing w:before="17"/>
              <w:ind w:left="517" w:right="515"/>
              <w:jc w:val="center"/>
              <w:rPr>
                <w:sz w:val="14"/>
              </w:rPr>
            </w:pPr>
            <w:r>
              <w:rPr>
                <w:color w:val="231F20"/>
                <w:sz w:val="14"/>
              </w:rPr>
              <w:t>26</w:t>
            </w:r>
          </w:p>
        </w:tc>
        <w:tc>
          <w:tcPr>
            <w:tcW w:w="1758" w:type="dxa"/>
          </w:tcPr>
          <w:p>
            <w:pPr>
              <w:pStyle w:val="TableParagraph"/>
              <w:spacing w:before="17"/>
              <w:ind w:left="449" w:right="447"/>
              <w:jc w:val="center"/>
              <w:rPr>
                <w:sz w:val="14"/>
              </w:rPr>
            </w:pPr>
            <w:r>
              <w:rPr>
                <w:color w:val="231F20"/>
                <w:sz w:val="14"/>
              </w:rPr>
              <w:t>752097.2991</w:t>
            </w:r>
          </w:p>
        </w:tc>
        <w:tc>
          <w:tcPr>
            <w:tcW w:w="1758" w:type="dxa"/>
          </w:tcPr>
          <w:p>
            <w:pPr>
              <w:pStyle w:val="TableParagraph"/>
              <w:spacing w:before="17"/>
              <w:ind w:left="447" w:right="447"/>
              <w:jc w:val="center"/>
              <w:rPr>
                <w:sz w:val="14"/>
              </w:rPr>
            </w:pPr>
            <w:r>
              <w:rPr>
                <w:color w:val="231F20"/>
                <w:sz w:val="14"/>
              </w:rPr>
              <w:t>4951755.0631</w:t>
            </w:r>
          </w:p>
        </w:tc>
        <w:tc>
          <w:tcPr>
            <w:tcW w:w="1758" w:type="dxa"/>
          </w:tcPr>
          <w:p>
            <w:pPr>
              <w:pStyle w:val="TableParagraph"/>
              <w:spacing w:before="17"/>
              <w:ind w:left="447" w:right="447"/>
              <w:jc w:val="center"/>
              <w:rPr>
                <w:sz w:val="14"/>
              </w:rPr>
            </w:pPr>
            <w:r>
              <w:rPr>
                <w:color w:val="231F20"/>
                <w:sz w:val="14"/>
              </w:rPr>
              <w:t>52</w:t>
            </w:r>
          </w:p>
        </w:tc>
        <w:tc>
          <w:tcPr>
            <w:tcW w:w="1758" w:type="dxa"/>
          </w:tcPr>
          <w:p>
            <w:pPr>
              <w:pStyle w:val="TableParagraph"/>
              <w:spacing w:before="17"/>
              <w:ind w:left="446" w:right="447"/>
              <w:jc w:val="center"/>
              <w:rPr>
                <w:sz w:val="14"/>
              </w:rPr>
            </w:pPr>
            <w:r>
              <w:rPr>
                <w:color w:val="231F20"/>
                <w:sz w:val="14"/>
              </w:rPr>
              <w:t>7517498.1439</w:t>
            </w:r>
          </w:p>
        </w:tc>
        <w:tc>
          <w:tcPr>
            <w:tcW w:w="1758" w:type="dxa"/>
          </w:tcPr>
          <w:p>
            <w:pPr>
              <w:pStyle w:val="TableParagraph"/>
              <w:spacing w:before="17"/>
              <w:ind w:left="447" w:right="447"/>
              <w:jc w:val="center"/>
              <w:rPr>
                <w:sz w:val="14"/>
              </w:rPr>
            </w:pPr>
            <w:r>
              <w:rPr>
                <w:color w:val="231F20"/>
                <w:sz w:val="14"/>
              </w:rPr>
              <w:t>4953020.9778</w:t>
            </w:r>
          </w:p>
        </w:tc>
      </w:tr>
    </w:tbl>
    <w:p>
      <w:pPr>
        <w:pStyle w:val="BodyText"/>
        <w:ind w:left="0"/>
        <w:jc w:val="left"/>
        <w:rPr>
          <w:sz w:val="20"/>
        </w:rPr>
      </w:pPr>
    </w:p>
    <w:p>
      <w:pPr>
        <w:pStyle w:val="BodyText"/>
        <w:spacing w:before="6"/>
        <w:ind w:left="0"/>
        <w:jc w:val="left"/>
        <w:rPr>
          <w:sz w:val="17"/>
        </w:rPr>
      </w:pPr>
    </w:p>
    <w:p>
      <w:pPr>
        <w:pStyle w:val="BodyText"/>
        <w:ind w:left="145"/>
        <w:jc w:val="left"/>
      </w:pPr>
      <w:r>
        <w:rPr>
          <w:color w:val="231F20"/>
        </w:rPr>
        <w:t>ПРИЛОГ 2. Координате граничних тачака регулације индустријске пруге у комплексу термоелектране</w:t>
      </w:r>
    </w:p>
    <w:p>
      <w:pPr>
        <w:pStyle w:val="BodyText"/>
        <w:ind w:left="0"/>
        <w:jc w:val="left"/>
        <w:rPr>
          <w:sz w:val="21"/>
        </w:rPr>
      </w:pPr>
    </w:p>
    <w:tbl>
      <w:tblPr>
        <w:tblW w:w="0" w:type="auto"/>
        <w:jc w:val="left"/>
        <w:tblInd w:w="1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62"/>
        <w:gridCol w:w="1162"/>
        <w:gridCol w:w="1162"/>
        <w:gridCol w:w="1162"/>
        <w:gridCol w:w="1162"/>
        <w:gridCol w:w="1162"/>
        <w:gridCol w:w="1162"/>
        <w:gridCol w:w="1162"/>
        <w:gridCol w:w="1162"/>
      </w:tblGrid>
      <w:tr>
        <w:trPr>
          <w:trHeight w:val="200" w:hRule="atLeast"/>
        </w:trPr>
        <w:tc>
          <w:tcPr>
            <w:tcW w:w="1162" w:type="dxa"/>
          </w:tcPr>
          <w:p>
            <w:pPr>
              <w:pStyle w:val="TableParagraph"/>
              <w:ind w:left="153" w:right="143"/>
              <w:jc w:val="center"/>
              <w:rPr>
                <w:sz w:val="14"/>
              </w:rPr>
            </w:pPr>
            <w:r>
              <w:rPr>
                <w:color w:val="231F20"/>
                <w:sz w:val="14"/>
              </w:rPr>
              <w:t>Број тачке</w:t>
            </w:r>
          </w:p>
        </w:tc>
        <w:tc>
          <w:tcPr>
            <w:tcW w:w="2324" w:type="dxa"/>
            <w:gridSpan w:val="2"/>
          </w:tcPr>
          <w:p>
            <w:pPr>
              <w:pStyle w:val="TableParagraph"/>
              <w:ind w:left="785" w:right="775"/>
              <w:jc w:val="center"/>
              <w:rPr>
                <w:sz w:val="14"/>
              </w:rPr>
            </w:pPr>
            <w:r>
              <w:rPr>
                <w:color w:val="231F20"/>
                <w:sz w:val="14"/>
              </w:rPr>
              <w:t>Координате</w:t>
            </w:r>
          </w:p>
        </w:tc>
        <w:tc>
          <w:tcPr>
            <w:tcW w:w="1162" w:type="dxa"/>
          </w:tcPr>
          <w:p>
            <w:pPr>
              <w:pStyle w:val="TableParagraph"/>
              <w:ind w:left="153" w:right="142"/>
              <w:jc w:val="center"/>
              <w:rPr>
                <w:sz w:val="14"/>
              </w:rPr>
            </w:pPr>
            <w:r>
              <w:rPr>
                <w:color w:val="231F20"/>
                <w:sz w:val="14"/>
              </w:rPr>
              <w:t>Број тачке</w:t>
            </w:r>
          </w:p>
        </w:tc>
        <w:tc>
          <w:tcPr>
            <w:tcW w:w="2324" w:type="dxa"/>
            <w:gridSpan w:val="2"/>
          </w:tcPr>
          <w:p>
            <w:pPr>
              <w:pStyle w:val="TableParagraph"/>
              <w:ind w:left="787" w:right="775"/>
              <w:jc w:val="center"/>
              <w:rPr>
                <w:sz w:val="14"/>
              </w:rPr>
            </w:pPr>
            <w:r>
              <w:rPr>
                <w:color w:val="231F20"/>
                <w:sz w:val="14"/>
              </w:rPr>
              <w:t>Координате</w:t>
            </w:r>
          </w:p>
        </w:tc>
        <w:tc>
          <w:tcPr>
            <w:tcW w:w="1162" w:type="dxa"/>
          </w:tcPr>
          <w:p>
            <w:pPr>
              <w:pStyle w:val="TableParagraph"/>
              <w:ind w:left="153" w:right="140"/>
              <w:jc w:val="center"/>
              <w:rPr>
                <w:sz w:val="14"/>
              </w:rPr>
            </w:pPr>
            <w:r>
              <w:rPr>
                <w:color w:val="231F20"/>
                <w:sz w:val="14"/>
              </w:rPr>
              <w:t>Број тачке</w:t>
            </w:r>
          </w:p>
        </w:tc>
        <w:tc>
          <w:tcPr>
            <w:tcW w:w="2324" w:type="dxa"/>
            <w:gridSpan w:val="2"/>
          </w:tcPr>
          <w:p>
            <w:pPr>
              <w:pStyle w:val="TableParagraph"/>
              <w:ind w:left="787" w:right="774"/>
              <w:jc w:val="center"/>
              <w:rPr>
                <w:sz w:val="14"/>
              </w:rPr>
            </w:pPr>
            <w:r>
              <w:rPr>
                <w:color w:val="231F20"/>
                <w:sz w:val="14"/>
              </w:rPr>
              <w:t>Координате</w:t>
            </w:r>
          </w:p>
        </w:tc>
      </w:tr>
      <w:tr>
        <w:trPr>
          <w:trHeight w:val="200" w:hRule="atLeast"/>
        </w:trPr>
        <w:tc>
          <w:tcPr>
            <w:tcW w:w="1162" w:type="dxa"/>
          </w:tcPr>
          <w:p>
            <w:pPr>
              <w:pStyle w:val="TableParagraph"/>
              <w:ind w:left="10"/>
              <w:jc w:val="center"/>
              <w:rPr>
                <w:sz w:val="14"/>
              </w:rPr>
            </w:pPr>
            <w:r>
              <w:rPr>
                <w:color w:val="231F20"/>
                <w:sz w:val="14"/>
              </w:rPr>
              <w:t>Т</w:t>
            </w:r>
          </w:p>
        </w:tc>
        <w:tc>
          <w:tcPr>
            <w:tcW w:w="1162" w:type="dxa"/>
          </w:tcPr>
          <w:p>
            <w:pPr>
              <w:pStyle w:val="TableParagraph"/>
              <w:ind w:left="153" w:right="142"/>
              <w:jc w:val="center"/>
              <w:rPr>
                <w:sz w:val="14"/>
              </w:rPr>
            </w:pPr>
            <w:r>
              <w:rPr>
                <w:color w:val="231F20"/>
                <w:sz w:val="14"/>
              </w:rPr>
              <w:t>Y [ m ]</w:t>
            </w:r>
          </w:p>
        </w:tc>
        <w:tc>
          <w:tcPr>
            <w:tcW w:w="1162" w:type="dxa"/>
          </w:tcPr>
          <w:p>
            <w:pPr>
              <w:pStyle w:val="TableParagraph"/>
              <w:ind w:left="153" w:right="142"/>
              <w:jc w:val="center"/>
              <w:rPr>
                <w:sz w:val="14"/>
              </w:rPr>
            </w:pPr>
            <w:r>
              <w:rPr>
                <w:color w:val="231F20"/>
                <w:sz w:val="14"/>
              </w:rPr>
              <w:t>X [ m ]</w:t>
            </w:r>
          </w:p>
        </w:tc>
        <w:tc>
          <w:tcPr>
            <w:tcW w:w="1162" w:type="dxa"/>
          </w:tcPr>
          <w:p>
            <w:pPr>
              <w:pStyle w:val="TableParagraph"/>
              <w:ind w:left="11"/>
              <w:jc w:val="center"/>
              <w:rPr>
                <w:sz w:val="14"/>
              </w:rPr>
            </w:pPr>
            <w:r>
              <w:rPr>
                <w:color w:val="231F20"/>
                <w:sz w:val="14"/>
              </w:rPr>
              <w:t>Т</w:t>
            </w:r>
          </w:p>
        </w:tc>
        <w:tc>
          <w:tcPr>
            <w:tcW w:w="1162" w:type="dxa"/>
          </w:tcPr>
          <w:p>
            <w:pPr>
              <w:pStyle w:val="TableParagraph"/>
              <w:ind w:left="153" w:right="141"/>
              <w:jc w:val="center"/>
              <w:rPr>
                <w:sz w:val="14"/>
              </w:rPr>
            </w:pPr>
            <w:r>
              <w:rPr>
                <w:color w:val="231F20"/>
                <w:sz w:val="14"/>
              </w:rPr>
              <w:t>Y [ m ]</w:t>
            </w:r>
          </w:p>
        </w:tc>
        <w:tc>
          <w:tcPr>
            <w:tcW w:w="1162" w:type="dxa"/>
          </w:tcPr>
          <w:p>
            <w:pPr>
              <w:pStyle w:val="TableParagraph"/>
              <w:ind w:left="153" w:right="141"/>
              <w:jc w:val="center"/>
              <w:rPr>
                <w:sz w:val="14"/>
              </w:rPr>
            </w:pPr>
            <w:r>
              <w:rPr>
                <w:color w:val="231F20"/>
                <w:sz w:val="14"/>
              </w:rPr>
              <w:t>X [ m ]</w:t>
            </w:r>
          </w:p>
        </w:tc>
        <w:tc>
          <w:tcPr>
            <w:tcW w:w="1162" w:type="dxa"/>
          </w:tcPr>
          <w:p>
            <w:pPr>
              <w:pStyle w:val="TableParagraph"/>
              <w:ind w:left="13"/>
              <w:jc w:val="center"/>
              <w:rPr>
                <w:sz w:val="14"/>
              </w:rPr>
            </w:pPr>
            <w:r>
              <w:rPr>
                <w:color w:val="231F20"/>
                <w:sz w:val="14"/>
              </w:rPr>
              <w:t>Т</w:t>
            </w:r>
          </w:p>
        </w:tc>
        <w:tc>
          <w:tcPr>
            <w:tcW w:w="1162" w:type="dxa"/>
          </w:tcPr>
          <w:p>
            <w:pPr>
              <w:pStyle w:val="TableParagraph"/>
              <w:ind w:left="153" w:right="140"/>
              <w:jc w:val="center"/>
              <w:rPr>
                <w:sz w:val="14"/>
              </w:rPr>
            </w:pPr>
            <w:r>
              <w:rPr>
                <w:color w:val="231F20"/>
                <w:sz w:val="14"/>
              </w:rPr>
              <w:t>Y [ m ]</w:t>
            </w:r>
          </w:p>
        </w:tc>
        <w:tc>
          <w:tcPr>
            <w:tcW w:w="1162" w:type="dxa"/>
          </w:tcPr>
          <w:p>
            <w:pPr>
              <w:pStyle w:val="TableParagraph"/>
              <w:ind w:left="153" w:right="140"/>
              <w:jc w:val="center"/>
              <w:rPr>
                <w:sz w:val="14"/>
              </w:rPr>
            </w:pPr>
            <w:r>
              <w:rPr>
                <w:color w:val="231F20"/>
                <w:sz w:val="14"/>
              </w:rPr>
              <w:t>X [ m ]</w:t>
            </w:r>
          </w:p>
        </w:tc>
      </w:tr>
      <w:tr>
        <w:trPr>
          <w:trHeight w:val="200" w:hRule="atLeast"/>
        </w:trPr>
        <w:tc>
          <w:tcPr>
            <w:tcW w:w="1162" w:type="dxa"/>
          </w:tcPr>
          <w:p>
            <w:pPr>
              <w:pStyle w:val="TableParagraph"/>
              <w:ind w:left="153" w:right="143"/>
              <w:jc w:val="center"/>
              <w:rPr>
                <w:sz w:val="14"/>
              </w:rPr>
            </w:pPr>
            <w:r>
              <w:rPr>
                <w:color w:val="231F20"/>
                <w:sz w:val="14"/>
              </w:rPr>
              <w:t>Б1</w:t>
            </w:r>
          </w:p>
        </w:tc>
        <w:tc>
          <w:tcPr>
            <w:tcW w:w="1162" w:type="dxa"/>
          </w:tcPr>
          <w:p>
            <w:pPr>
              <w:pStyle w:val="TableParagraph"/>
              <w:ind w:left="153" w:right="143"/>
              <w:jc w:val="center"/>
              <w:rPr>
                <w:sz w:val="14"/>
              </w:rPr>
            </w:pPr>
            <w:r>
              <w:rPr>
                <w:color w:val="231F20"/>
                <w:sz w:val="14"/>
              </w:rPr>
              <w:t>7517566.1521</w:t>
            </w:r>
          </w:p>
        </w:tc>
        <w:tc>
          <w:tcPr>
            <w:tcW w:w="1162" w:type="dxa"/>
          </w:tcPr>
          <w:p>
            <w:pPr>
              <w:pStyle w:val="TableParagraph"/>
              <w:ind w:left="153" w:right="142"/>
              <w:jc w:val="center"/>
              <w:rPr>
                <w:sz w:val="14"/>
              </w:rPr>
            </w:pPr>
            <w:r>
              <w:rPr>
                <w:color w:val="231F20"/>
                <w:sz w:val="14"/>
              </w:rPr>
              <w:t>4953300.3767</w:t>
            </w:r>
          </w:p>
        </w:tc>
        <w:tc>
          <w:tcPr>
            <w:tcW w:w="1162" w:type="dxa"/>
          </w:tcPr>
          <w:p>
            <w:pPr>
              <w:pStyle w:val="TableParagraph"/>
              <w:ind w:left="153" w:right="142"/>
              <w:jc w:val="center"/>
              <w:rPr>
                <w:sz w:val="14"/>
              </w:rPr>
            </w:pPr>
            <w:r>
              <w:rPr>
                <w:color w:val="231F20"/>
                <w:sz w:val="14"/>
              </w:rPr>
              <w:t>Б44</w:t>
            </w:r>
          </w:p>
        </w:tc>
        <w:tc>
          <w:tcPr>
            <w:tcW w:w="1162" w:type="dxa"/>
          </w:tcPr>
          <w:p>
            <w:pPr>
              <w:pStyle w:val="TableParagraph"/>
              <w:ind w:left="153" w:right="142"/>
              <w:jc w:val="center"/>
              <w:rPr>
                <w:sz w:val="14"/>
              </w:rPr>
            </w:pPr>
            <w:r>
              <w:rPr>
                <w:color w:val="231F20"/>
                <w:sz w:val="14"/>
              </w:rPr>
              <w:t>7517471.1708</w:t>
            </w:r>
          </w:p>
        </w:tc>
        <w:tc>
          <w:tcPr>
            <w:tcW w:w="1162" w:type="dxa"/>
          </w:tcPr>
          <w:p>
            <w:pPr>
              <w:pStyle w:val="TableParagraph"/>
              <w:ind w:left="153" w:right="141"/>
              <w:jc w:val="center"/>
              <w:rPr>
                <w:sz w:val="14"/>
              </w:rPr>
            </w:pPr>
            <w:r>
              <w:rPr>
                <w:color w:val="231F20"/>
                <w:sz w:val="14"/>
              </w:rPr>
              <w:t>4953379.7491</w:t>
            </w:r>
          </w:p>
        </w:tc>
        <w:tc>
          <w:tcPr>
            <w:tcW w:w="1162" w:type="dxa"/>
          </w:tcPr>
          <w:p>
            <w:pPr>
              <w:pStyle w:val="TableParagraph"/>
              <w:ind w:left="153" w:right="141"/>
              <w:jc w:val="center"/>
              <w:rPr>
                <w:sz w:val="14"/>
              </w:rPr>
            </w:pPr>
            <w:r>
              <w:rPr>
                <w:color w:val="231F20"/>
                <w:sz w:val="14"/>
              </w:rPr>
              <w:t>Б88</w:t>
            </w:r>
          </w:p>
        </w:tc>
        <w:tc>
          <w:tcPr>
            <w:tcW w:w="1162" w:type="dxa"/>
          </w:tcPr>
          <w:p>
            <w:pPr>
              <w:pStyle w:val="TableParagraph"/>
              <w:ind w:left="153" w:right="141"/>
              <w:jc w:val="center"/>
              <w:rPr>
                <w:sz w:val="14"/>
              </w:rPr>
            </w:pPr>
            <w:r>
              <w:rPr>
                <w:color w:val="231F20"/>
                <w:sz w:val="14"/>
              </w:rPr>
              <w:t>7517583.0572</w:t>
            </w:r>
          </w:p>
        </w:tc>
        <w:tc>
          <w:tcPr>
            <w:tcW w:w="1162" w:type="dxa"/>
          </w:tcPr>
          <w:p>
            <w:pPr>
              <w:pStyle w:val="TableParagraph"/>
              <w:ind w:left="153" w:right="140"/>
              <w:jc w:val="center"/>
              <w:rPr>
                <w:sz w:val="14"/>
              </w:rPr>
            </w:pPr>
            <w:r>
              <w:rPr>
                <w:color w:val="231F20"/>
                <w:sz w:val="14"/>
              </w:rPr>
              <w:t>4954089.3782</w:t>
            </w:r>
          </w:p>
        </w:tc>
      </w:tr>
    </w:tbl>
    <w:p>
      <w:pPr>
        <w:spacing w:after="0"/>
        <w:jc w:val="center"/>
        <w:rPr>
          <w:sz w:val="14"/>
        </w:rPr>
        <w:sectPr>
          <w:type w:val="continuous"/>
          <w:pgSz w:w="12480" w:h="15690"/>
          <w:pgMar w:top="880" w:bottom="280" w:left="680" w:right="720"/>
        </w:sect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62"/>
        <w:gridCol w:w="1162"/>
        <w:gridCol w:w="1162"/>
        <w:gridCol w:w="1162"/>
        <w:gridCol w:w="1162"/>
        <w:gridCol w:w="1162"/>
        <w:gridCol w:w="1162"/>
        <w:gridCol w:w="1162"/>
        <w:gridCol w:w="1162"/>
      </w:tblGrid>
      <w:tr>
        <w:trPr>
          <w:trHeight w:val="200" w:hRule="atLeast"/>
        </w:trPr>
        <w:tc>
          <w:tcPr>
            <w:tcW w:w="1162" w:type="dxa"/>
          </w:tcPr>
          <w:p>
            <w:pPr>
              <w:pStyle w:val="TableParagraph"/>
              <w:spacing w:before="9"/>
              <w:ind w:left="153" w:right="143"/>
              <w:jc w:val="center"/>
              <w:rPr>
                <w:sz w:val="14"/>
              </w:rPr>
            </w:pPr>
            <w:r>
              <w:rPr>
                <w:color w:val="231F20"/>
                <w:sz w:val="14"/>
              </w:rPr>
              <w:t>Број тачке</w:t>
            </w:r>
          </w:p>
        </w:tc>
        <w:tc>
          <w:tcPr>
            <w:tcW w:w="2324" w:type="dxa"/>
            <w:gridSpan w:val="2"/>
          </w:tcPr>
          <w:p>
            <w:pPr>
              <w:pStyle w:val="TableParagraph"/>
              <w:spacing w:before="9"/>
              <w:ind w:left="785" w:right="775"/>
              <w:jc w:val="center"/>
              <w:rPr>
                <w:sz w:val="14"/>
              </w:rPr>
            </w:pPr>
            <w:r>
              <w:rPr>
                <w:color w:val="231F20"/>
                <w:sz w:val="14"/>
              </w:rPr>
              <w:t>Координате</w:t>
            </w:r>
          </w:p>
        </w:tc>
        <w:tc>
          <w:tcPr>
            <w:tcW w:w="1162" w:type="dxa"/>
          </w:tcPr>
          <w:p>
            <w:pPr>
              <w:pStyle w:val="TableParagraph"/>
              <w:spacing w:before="9"/>
              <w:ind w:left="153" w:right="142"/>
              <w:jc w:val="center"/>
              <w:rPr>
                <w:sz w:val="14"/>
              </w:rPr>
            </w:pPr>
            <w:r>
              <w:rPr>
                <w:color w:val="231F20"/>
                <w:sz w:val="14"/>
              </w:rPr>
              <w:t>Број тачке</w:t>
            </w:r>
          </w:p>
        </w:tc>
        <w:tc>
          <w:tcPr>
            <w:tcW w:w="2324" w:type="dxa"/>
            <w:gridSpan w:val="2"/>
          </w:tcPr>
          <w:p>
            <w:pPr>
              <w:pStyle w:val="TableParagraph"/>
              <w:spacing w:before="9"/>
              <w:ind w:left="787" w:right="775"/>
              <w:jc w:val="center"/>
              <w:rPr>
                <w:sz w:val="14"/>
              </w:rPr>
            </w:pPr>
            <w:r>
              <w:rPr>
                <w:color w:val="231F20"/>
                <w:sz w:val="14"/>
              </w:rPr>
              <w:t>Координате</w:t>
            </w:r>
          </w:p>
        </w:tc>
        <w:tc>
          <w:tcPr>
            <w:tcW w:w="1162" w:type="dxa"/>
          </w:tcPr>
          <w:p>
            <w:pPr>
              <w:pStyle w:val="TableParagraph"/>
              <w:spacing w:before="9"/>
              <w:ind w:left="153" w:right="140"/>
              <w:jc w:val="center"/>
              <w:rPr>
                <w:sz w:val="14"/>
              </w:rPr>
            </w:pPr>
            <w:r>
              <w:rPr>
                <w:color w:val="231F20"/>
                <w:sz w:val="14"/>
              </w:rPr>
              <w:t>Број тачке</w:t>
            </w:r>
          </w:p>
        </w:tc>
        <w:tc>
          <w:tcPr>
            <w:tcW w:w="2324" w:type="dxa"/>
            <w:gridSpan w:val="2"/>
          </w:tcPr>
          <w:p>
            <w:pPr>
              <w:pStyle w:val="TableParagraph"/>
              <w:spacing w:before="9"/>
              <w:ind w:left="787" w:right="774"/>
              <w:jc w:val="center"/>
              <w:rPr>
                <w:sz w:val="14"/>
              </w:rPr>
            </w:pPr>
            <w:r>
              <w:rPr>
                <w:color w:val="231F20"/>
                <w:sz w:val="14"/>
              </w:rPr>
              <w:t>Координате</w:t>
            </w:r>
          </w:p>
        </w:tc>
      </w:tr>
      <w:tr>
        <w:trPr>
          <w:trHeight w:val="200" w:hRule="atLeast"/>
        </w:trPr>
        <w:tc>
          <w:tcPr>
            <w:tcW w:w="1162" w:type="dxa"/>
          </w:tcPr>
          <w:p>
            <w:pPr>
              <w:pStyle w:val="TableParagraph"/>
              <w:spacing w:before="9"/>
              <w:ind w:left="10"/>
              <w:jc w:val="center"/>
              <w:rPr>
                <w:sz w:val="14"/>
              </w:rPr>
            </w:pPr>
            <w:r>
              <w:rPr>
                <w:color w:val="231F20"/>
                <w:sz w:val="14"/>
              </w:rPr>
              <w:t>Т</w:t>
            </w:r>
          </w:p>
        </w:tc>
        <w:tc>
          <w:tcPr>
            <w:tcW w:w="1162" w:type="dxa"/>
          </w:tcPr>
          <w:p>
            <w:pPr>
              <w:pStyle w:val="TableParagraph"/>
              <w:spacing w:before="9"/>
              <w:ind w:left="153" w:right="142"/>
              <w:jc w:val="center"/>
              <w:rPr>
                <w:sz w:val="14"/>
              </w:rPr>
            </w:pPr>
            <w:r>
              <w:rPr>
                <w:color w:val="231F20"/>
                <w:sz w:val="14"/>
              </w:rPr>
              <w:t>Y [ m ]</w:t>
            </w:r>
          </w:p>
        </w:tc>
        <w:tc>
          <w:tcPr>
            <w:tcW w:w="1162" w:type="dxa"/>
          </w:tcPr>
          <w:p>
            <w:pPr>
              <w:pStyle w:val="TableParagraph"/>
              <w:spacing w:before="9"/>
              <w:ind w:left="153" w:right="142"/>
              <w:jc w:val="center"/>
              <w:rPr>
                <w:sz w:val="14"/>
              </w:rPr>
            </w:pPr>
            <w:r>
              <w:rPr>
                <w:color w:val="231F20"/>
                <w:sz w:val="14"/>
              </w:rPr>
              <w:t>X [ m ]</w:t>
            </w:r>
          </w:p>
        </w:tc>
        <w:tc>
          <w:tcPr>
            <w:tcW w:w="1162" w:type="dxa"/>
          </w:tcPr>
          <w:p>
            <w:pPr>
              <w:pStyle w:val="TableParagraph"/>
              <w:spacing w:before="9"/>
              <w:ind w:left="11"/>
              <w:jc w:val="center"/>
              <w:rPr>
                <w:sz w:val="14"/>
              </w:rPr>
            </w:pPr>
            <w:r>
              <w:rPr>
                <w:color w:val="231F20"/>
                <w:sz w:val="14"/>
              </w:rPr>
              <w:t>Т</w:t>
            </w:r>
          </w:p>
        </w:tc>
        <w:tc>
          <w:tcPr>
            <w:tcW w:w="1162" w:type="dxa"/>
          </w:tcPr>
          <w:p>
            <w:pPr>
              <w:pStyle w:val="TableParagraph"/>
              <w:spacing w:before="9"/>
              <w:ind w:left="153" w:right="141"/>
              <w:jc w:val="center"/>
              <w:rPr>
                <w:sz w:val="14"/>
              </w:rPr>
            </w:pPr>
            <w:r>
              <w:rPr>
                <w:color w:val="231F20"/>
                <w:sz w:val="14"/>
              </w:rPr>
              <w:t>Y [ m ]</w:t>
            </w:r>
          </w:p>
        </w:tc>
        <w:tc>
          <w:tcPr>
            <w:tcW w:w="1162" w:type="dxa"/>
          </w:tcPr>
          <w:p>
            <w:pPr>
              <w:pStyle w:val="TableParagraph"/>
              <w:spacing w:before="9"/>
              <w:ind w:left="153" w:right="141"/>
              <w:jc w:val="center"/>
              <w:rPr>
                <w:sz w:val="14"/>
              </w:rPr>
            </w:pPr>
            <w:r>
              <w:rPr>
                <w:color w:val="231F20"/>
                <w:sz w:val="14"/>
              </w:rPr>
              <w:t>X [ m ]</w:t>
            </w:r>
          </w:p>
        </w:tc>
        <w:tc>
          <w:tcPr>
            <w:tcW w:w="1162" w:type="dxa"/>
          </w:tcPr>
          <w:p>
            <w:pPr>
              <w:pStyle w:val="TableParagraph"/>
              <w:spacing w:before="9"/>
              <w:ind w:left="13"/>
              <w:jc w:val="center"/>
              <w:rPr>
                <w:sz w:val="14"/>
              </w:rPr>
            </w:pPr>
            <w:r>
              <w:rPr>
                <w:color w:val="231F20"/>
                <w:sz w:val="14"/>
              </w:rPr>
              <w:t>Т</w:t>
            </w:r>
          </w:p>
        </w:tc>
        <w:tc>
          <w:tcPr>
            <w:tcW w:w="1162" w:type="dxa"/>
          </w:tcPr>
          <w:p>
            <w:pPr>
              <w:pStyle w:val="TableParagraph"/>
              <w:spacing w:before="9"/>
              <w:ind w:left="153" w:right="140"/>
              <w:jc w:val="center"/>
              <w:rPr>
                <w:sz w:val="14"/>
              </w:rPr>
            </w:pPr>
            <w:r>
              <w:rPr>
                <w:color w:val="231F20"/>
                <w:sz w:val="14"/>
              </w:rPr>
              <w:t>Y [ m ]</w:t>
            </w:r>
          </w:p>
        </w:tc>
        <w:tc>
          <w:tcPr>
            <w:tcW w:w="1162" w:type="dxa"/>
          </w:tcPr>
          <w:p>
            <w:pPr>
              <w:pStyle w:val="TableParagraph"/>
              <w:spacing w:before="9"/>
              <w:ind w:left="153" w:right="140"/>
              <w:jc w:val="center"/>
              <w:rPr>
                <w:sz w:val="14"/>
              </w:rPr>
            </w:pPr>
            <w:r>
              <w:rPr>
                <w:color w:val="231F20"/>
                <w:sz w:val="14"/>
              </w:rPr>
              <w:t>X [ m ]</w:t>
            </w:r>
          </w:p>
        </w:tc>
      </w:tr>
      <w:tr>
        <w:trPr>
          <w:trHeight w:val="200" w:hRule="atLeast"/>
        </w:trPr>
        <w:tc>
          <w:tcPr>
            <w:tcW w:w="1162" w:type="dxa"/>
          </w:tcPr>
          <w:p>
            <w:pPr>
              <w:pStyle w:val="TableParagraph"/>
              <w:spacing w:before="9"/>
              <w:ind w:left="153" w:right="143"/>
              <w:jc w:val="center"/>
              <w:rPr>
                <w:sz w:val="14"/>
              </w:rPr>
            </w:pPr>
            <w:r>
              <w:rPr>
                <w:color w:val="231F20"/>
                <w:sz w:val="14"/>
              </w:rPr>
              <w:t>Б2</w:t>
            </w:r>
          </w:p>
        </w:tc>
        <w:tc>
          <w:tcPr>
            <w:tcW w:w="1162" w:type="dxa"/>
          </w:tcPr>
          <w:p>
            <w:pPr>
              <w:pStyle w:val="TableParagraph"/>
              <w:spacing w:before="9"/>
              <w:ind w:left="153" w:right="143"/>
              <w:jc w:val="center"/>
              <w:rPr>
                <w:sz w:val="14"/>
              </w:rPr>
            </w:pPr>
            <w:r>
              <w:rPr>
                <w:color w:val="231F20"/>
                <w:sz w:val="14"/>
              </w:rPr>
              <w:t>7517550.0008</w:t>
            </w:r>
          </w:p>
        </w:tc>
        <w:tc>
          <w:tcPr>
            <w:tcW w:w="1162" w:type="dxa"/>
          </w:tcPr>
          <w:p>
            <w:pPr>
              <w:pStyle w:val="TableParagraph"/>
              <w:spacing w:before="9"/>
              <w:ind w:left="153" w:right="142"/>
              <w:jc w:val="center"/>
              <w:rPr>
                <w:sz w:val="14"/>
              </w:rPr>
            </w:pPr>
            <w:r>
              <w:rPr>
                <w:color w:val="231F20"/>
                <w:sz w:val="14"/>
              </w:rPr>
              <w:t>4953332.1252</w:t>
            </w:r>
          </w:p>
        </w:tc>
        <w:tc>
          <w:tcPr>
            <w:tcW w:w="1162" w:type="dxa"/>
          </w:tcPr>
          <w:p>
            <w:pPr>
              <w:pStyle w:val="TableParagraph"/>
              <w:spacing w:before="9"/>
              <w:ind w:left="153" w:right="142"/>
              <w:jc w:val="center"/>
              <w:rPr>
                <w:sz w:val="14"/>
              </w:rPr>
            </w:pPr>
            <w:r>
              <w:rPr>
                <w:color w:val="231F20"/>
                <w:sz w:val="14"/>
              </w:rPr>
              <w:t>Б45</w:t>
            </w:r>
          </w:p>
        </w:tc>
        <w:tc>
          <w:tcPr>
            <w:tcW w:w="1162" w:type="dxa"/>
          </w:tcPr>
          <w:p>
            <w:pPr>
              <w:pStyle w:val="TableParagraph"/>
              <w:spacing w:before="9"/>
              <w:ind w:left="153" w:right="141"/>
              <w:jc w:val="center"/>
              <w:rPr>
                <w:sz w:val="14"/>
              </w:rPr>
            </w:pPr>
            <w:r>
              <w:rPr>
                <w:color w:val="231F20"/>
                <w:sz w:val="14"/>
              </w:rPr>
              <w:t>7517489.6206</w:t>
            </w:r>
          </w:p>
        </w:tc>
        <w:tc>
          <w:tcPr>
            <w:tcW w:w="1162" w:type="dxa"/>
          </w:tcPr>
          <w:p>
            <w:pPr>
              <w:pStyle w:val="TableParagraph"/>
              <w:spacing w:before="9"/>
              <w:ind w:left="153" w:right="141"/>
              <w:jc w:val="center"/>
              <w:rPr>
                <w:sz w:val="14"/>
              </w:rPr>
            </w:pPr>
            <w:r>
              <w:rPr>
                <w:color w:val="231F20"/>
                <w:sz w:val="14"/>
              </w:rPr>
              <w:t>4953882.8343</w:t>
            </w:r>
          </w:p>
        </w:tc>
        <w:tc>
          <w:tcPr>
            <w:tcW w:w="1162" w:type="dxa"/>
          </w:tcPr>
          <w:p>
            <w:pPr>
              <w:pStyle w:val="TableParagraph"/>
              <w:spacing w:before="9"/>
              <w:ind w:left="153" w:right="141"/>
              <w:jc w:val="center"/>
              <w:rPr>
                <w:sz w:val="14"/>
              </w:rPr>
            </w:pPr>
            <w:r>
              <w:rPr>
                <w:color w:val="231F20"/>
                <w:sz w:val="14"/>
              </w:rPr>
              <w:t>Б89</w:t>
            </w:r>
          </w:p>
        </w:tc>
        <w:tc>
          <w:tcPr>
            <w:tcW w:w="1162" w:type="dxa"/>
          </w:tcPr>
          <w:p>
            <w:pPr>
              <w:pStyle w:val="TableParagraph"/>
              <w:spacing w:before="9"/>
              <w:ind w:left="153" w:right="140"/>
              <w:jc w:val="center"/>
              <w:rPr>
                <w:sz w:val="14"/>
              </w:rPr>
            </w:pPr>
            <w:r>
              <w:rPr>
                <w:color w:val="231F20"/>
                <w:sz w:val="14"/>
              </w:rPr>
              <w:t>7517569.6970</w:t>
            </w:r>
          </w:p>
        </w:tc>
        <w:tc>
          <w:tcPr>
            <w:tcW w:w="1162" w:type="dxa"/>
          </w:tcPr>
          <w:p>
            <w:pPr>
              <w:pStyle w:val="TableParagraph"/>
              <w:spacing w:before="9"/>
              <w:ind w:left="153" w:right="140"/>
              <w:jc w:val="center"/>
              <w:rPr>
                <w:sz w:val="14"/>
              </w:rPr>
            </w:pPr>
            <w:r>
              <w:rPr>
                <w:color w:val="231F20"/>
                <w:sz w:val="14"/>
              </w:rPr>
              <w:t>4954106.2837</w:t>
            </w:r>
          </w:p>
        </w:tc>
      </w:tr>
      <w:tr>
        <w:trPr>
          <w:trHeight w:val="200" w:hRule="atLeast"/>
        </w:trPr>
        <w:tc>
          <w:tcPr>
            <w:tcW w:w="1162" w:type="dxa"/>
          </w:tcPr>
          <w:p>
            <w:pPr>
              <w:pStyle w:val="TableParagraph"/>
              <w:spacing w:before="9"/>
              <w:ind w:left="153" w:right="143"/>
              <w:jc w:val="center"/>
              <w:rPr>
                <w:sz w:val="14"/>
              </w:rPr>
            </w:pPr>
            <w:r>
              <w:rPr>
                <w:color w:val="231F20"/>
                <w:sz w:val="14"/>
              </w:rPr>
              <w:t>Б3</w:t>
            </w:r>
          </w:p>
        </w:tc>
        <w:tc>
          <w:tcPr>
            <w:tcW w:w="1162" w:type="dxa"/>
          </w:tcPr>
          <w:p>
            <w:pPr>
              <w:pStyle w:val="TableParagraph"/>
              <w:spacing w:before="9"/>
              <w:ind w:left="153" w:right="143"/>
              <w:jc w:val="center"/>
              <w:rPr>
                <w:sz w:val="14"/>
              </w:rPr>
            </w:pPr>
            <w:r>
              <w:rPr>
                <w:color w:val="231F20"/>
                <w:sz w:val="14"/>
              </w:rPr>
              <w:t>7517530.7562</w:t>
            </w:r>
          </w:p>
        </w:tc>
        <w:tc>
          <w:tcPr>
            <w:tcW w:w="1162" w:type="dxa"/>
          </w:tcPr>
          <w:p>
            <w:pPr>
              <w:pStyle w:val="TableParagraph"/>
              <w:spacing w:before="9"/>
              <w:ind w:left="153" w:right="143"/>
              <w:jc w:val="center"/>
              <w:rPr>
                <w:sz w:val="14"/>
              </w:rPr>
            </w:pPr>
            <w:r>
              <w:rPr>
                <w:color w:val="231F20"/>
                <w:sz w:val="14"/>
              </w:rPr>
              <w:t>4953360.7059</w:t>
            </w:r>
          </w:p>
        </w:tc>
        <w:tc>
          <w:tcPr>
            <w:tcW w:w="1162" w:type="dxa"/>
          </w:tcPr>
          <w:p>
            <w:pPr>
              <w:pStyle w:val="TableParagraph"/>
              <w:spacing w:before="9"/>
              <w:ind w:left="153" w:right="142"/>
              <w:jc w:val="center"/>
              <w:rPr>
                <w:sz w:val="14"/>
              </w:rPr>
            </w:pPr>
            <w:r>
              <w:rPr>
                <w:color w:val="231F20"/>
                <w:sz w:val="14"/>
              </w:rPr>
              <w:t>Б46</w:t>
            </w:r>
          </w:p>
        </w:tc>
        <w:tc>
          <w:tcPr>
            <w:tcW w:w="1162" w:type="dxa"/>
          </w:tcPr>
          <w:p>
            <w:pPr>
              <w:pStyle w:val="TableParagraph"/>
              <w:spacing w:before="9"/>
              <w:ind w:left="153" w:right="142"/>
              <w:jc w:val="center"/>
              <w:rPr>
                <w:sz w:val="14"/>
              </w:rPr>
            </w:pPr>
            <w:r>
              <w:rPr>
                <w:color w:val="231F20"/>
                <w:sz w:val="14"/>
              </w:rPr>
              <w:t>7517575.7392</w:t>
            </w:r>
          </w:p>
        </w:tc>
        <w:tc>
          <w:tcPr>
            <w:tcW w:w="1162" w:type="dxa"/>
          </w:tcPr>
          <w:p>
            <w:pPr>
              <w:pStyle w:val="TableParagraph"/>
              <w:spacing w:before="9"/>
              <w:ind w:left="153" w:right="141"/>
              <w:jc w:val="center"/>
              <w:rPr>
                <w:sz w:val="14"/>
              </w:rPr>
            </w:pPr>
            <w:r>
              <w:rPr>
                <w:color w:val="231F20"/>
                <w:sz w:val="14"/>
              </w:rPr>
              <w:t>4953929.4079</w:t>
            </w:r>
          </w:p>
        </w:tc>
        <w:tc>
          <w:tcPr>
            <w:tcW w:w="1162" w:type="dxa"/>
          </w:tcPr>
          <w:p>
            <w:pPr>
              <w:pStyle w:val="TableParagraph"/>
              <w:spacing w:before="9"/>
              <w:ind w:left="153" w:right="141"/>
              <w:jc w:val="center"/>
              <w:rPr>
                <w:sz w:val="14"/>
              </w:rPr>
            </w:pPr>
            <w:r>
              <w:rPr>
                <w:color w:val="231F20"/>
                <w:sz w:val="14"/>
              </w:rPr>
              <w:t>Б90</w:t>
            </w:r>
          </w:p>
        </w:tc>
        <w:tc>
          <w:tcPr>
            <w:tcW w:w="1162" w:type="dxa"/>
          </w:tcPr>
          <w:p>
            <w:pPr>
              <w:pStyle w:val="TableParagraph"/>
              <w:spacing w:before="9"/>
              <w:ind w:left="153" w:right="141"/>
              <w:jc w:val="center"/>
              <w:rPr>
                <w:sz w:val="14"/>
              </w:rPr>
            </w:pPr>
            <w:r>
              <w:rPr>
                <w:color w:val="231F20"/>
                <w:sz w:val="14"/>
              </w:rPr>
              <w:t>7517548.5188</w:t>
            </w:r>
          </w:p>
        </w:tc>
        <w:tc>
          <w:tcPr>
            <w:tcW w:w="1162" w:type="dxa"/>
          </w:tcPr>
          <w:p>
            <w:pPr>
              <w:pStyle w:val="TableParagraph"/>
              <w:spacing w:before="9"/>
              <w:ind w:left="153" w:right="140"/>
              <w:jc w:val="center"/>
              <w:rPr>
                <w:sz w:val="14"/>
              </w:rPr>
            </w:pPr>
            <w:r>
              <w:rPr>
                <w:color w:val="231F20"/>
                <w:sz w:val="14"/>
              </w:rPr>
              <w:t>4954126.2118</w:t>
            </w:r>
          </w:p>
        </w:tc>
      </w:tr>
      <w:tr>
        <w:trPr>
          <w:trHeight w:val="200" w:hRule="atLeast"/>
        </w:trPr>
        <w:tc>
          <w:tcPr>
            <w:tcW w:w="1162" w:type="dxa"/>
          </w:tcPr>
          <w:p>
            <w:pPr>
              <w:pStyle w:val="TableParagraph"/>
              <w:spacing w:before="9"/>
              <w:ind w:left="153" w:right="143"/>
              <w:jc w:val="center"/>
              <w:rPr>
                <w:sz w:val="14"/>
              </w:rPr>
            </w:pPr>
            <w:r>
              <w:rPr>
                <w:color w:val="231F20"/>
                <w:sz w:val="14"/>
              </w:rPr>
              <w:t>Б4</w:t>
            </w:r>
          </w:p>
        </w:tc>
        <w:tc>
          <w:tcPr>
            <w:tcW w:w="1162" w:type="dxa"/>
          </w:tcPr>
          <w:p>
            <w:pPr>
              <w:pStyle w:val="TableParagraph"/>
              <w:spacing w:before="9"/>
              <w:ind w:left="153" w:right="143"/>
              <w:jc w:val="center"/>
              <w:rPr>
                <w:sz w:val="14"/>
              </w:rPr>
            </w:pPr>
            <w:r>
              <w:rPr>
                <w:color w:val="231F20"/>
                <w:sz w:val="14"/>
              </w:rPr>
              <w:t>7517506.4084</w:t>
            </w:r>
          </w:p>
        </w:tc>
        <w:tc>
          <w:tcPr>
            <w:tcW w:w="1162" w:type="dxa"/>
          </w:tcPr>
          <w:p>
            <w:pPr>
              <w:pStyle w:val="TableParagraph"/>
              <w:spacing w:before="9"/>
              <w:ind w:left="153" w:right="143"/>
              <w:jc w:val="center"/>
              <w:rPr>
                <w:sz w:val="14"/>
              </w:rPr>
            </w:pPr>
            <w:r>
              <w:rPr>
                <w:color w:val="231F20"/>
                <w:sz w:val="14"/>
              </w:rPr>
              <w:t>4953385.0908</w:t>
            </w:r>
          </w:p>
        </w:tc>
        <w:tc>
          <w:tcPr>
            <w:tcW w:w="1162" w:type="dxa"/>
          </w:tcPr>
          <w:p>
            <w:pPr>
              <w:pStyle w:val="TableParagraph"/>
              <w:spacing w:before="9"/>
              <w:ind w:left="153" w:right="142"/>
              <w:jc w:val="center"/>
              <w:rPr>
                <w:sz w:val="14"/>
              </w:rPr>
            </w:pPr>
            <w:r>
              <w:rPr>
                <w:color w:val="231F20"/>
                <w:sz w:val="14"/>
              </w:rPr>
              <w:t>Б47</w:t>
            </w:r>
          </w:p>
        </w:tc>
        <w:tc>
          <w:tcPr>
            <w:tcW w:w="1162" w:type="dxa"/>
          </w:tcPr>
          <w:p>
            <w:pPr>
              <w:pStyle w:val="TableParagraph"/>
              <w:spacing w:before="9"/>
              <w:ind w:left="153" w:right="142"/>
              <w:jc w:val="center"/>
              <w:rPr>
                <w:sz w:val="14"/>
              </w:rPr>
            </w:pPr>
            <w:r>
              <w:rPr>
                <w:color w:val="231F20"/>
                <w:sz w:val="14"/>
              </w:rPr>
              <w:t>7517588.8779</w:t>
            </w:r>
          </w:p>
        </w:tc>
        <w:tc>
          <w:tcPr>
            <w:tcW w:w="1162" w:type="dxa"/>
          </w:tcPr>
          <w:p>
            <w:pPr>
              <w:pStyle w:val="TableParagraph"/>
              <w:spacing w:before="9"/>
              <w:ind w:left="153" w:right="141"/>
              <w:jc w:val="center"/>
              <w:rPr>
                <w:sz w:val="14"/>
              </w:rPr>
            </w:pPr>
            <w:r>
              <w:rPr>
                <w:color w:val="231F20"/>
                <w:sz w:val="14"/>
              </w:rPr>
              <w:t>4953945.8228</w:t>
            </w:r>
          </w:p>
        </w:tc>
        <w:tc>
          <w:tcPr>
            <w:tcW w:w="1162" w:type="dxa"/>
          </w:tcPr>
          <w:p>
            <w:pPr>
              <w:pStyle w:val="TableParagraph"/>
              <w:spacing w:before="9"/>
              <w:ind w:left="153" w:right="141"/>
              <w:jc w:val="center"/>
              <w:rPr>
                <w:sz w:val="14"/>
              </w:rPr>
            </w:pPr>
            <w:r>
              <w:rPr>
                <w:color w:val="231F20"/>
                <w:sz w:val="14"/>
              </w:rPr>
              <w:t>Б91</w:t>
            </w:r>
          </w:p>
        </w:tc>
        <w:tc>
          <w:tcPr>
            <w:tcW w:w="1162" w:type="dxa"/>
          </w:tcPr>
          <w:p>
            <w:pPr>
              <w:pStyle w:val="TableParagraph"/>
              <w:spacing w:before="9"/>
              <w:ind w:left="153" w:right="141"/>
              <w:jc w:val="center"/>
              <w:rPr>
                <w:sz w:val="14"/>
              </w:rPr>
            </w:pPr>
            <w:r>
              <w:rPr>
                <w:color w:val="231F20"/>
                <w:sz w:val="14"/>
              </w:rPr>
              <w:t>7517524.1115</w:t>
            </w:r>
          </w:p>
        </w:tc>
        <w:tc>
          <w:tcPr>
            <w:tcW w:w="1162" w:type="dxa"/>
          </w:tcPr>
          <w:p>
            <w:pPr>
              <w:pStyle w:val="TableParagraph"/>
              <w:spacing w:before="9"/>
              <w:ind w:left="153" w:right="140"/>
              <w:jc w:val="center"/>
              <w:rPr>
                <w:sz w:val="14"/>
              </w:rPr>
            </w:pPr>
            <w:r>
              <w:rPr>
                <w:color w:val="231F20"/>
                <w:sz w:val="14"/>
              </w:rPr>
              <w:t>4954141.9341</w:t>
            </w:r>
          </w:p>
        </w:tc>
      </w:tr>
      <w:tr>
        <w:trPr>
          <w:trHeight w:val="200" w:hRule="atLeast"/>
        </w:trPr>
        <w:tc>
          <w:tcPr>
            <w:tcW w:w="1162" w:type="dxa"/>
          </w:tcPr>
          <w:p>
            <w:pPr>
              <w:pStyle w:val="TableParagraph"/>
              <w:spacing w:before="9"/>
              <w:ind w:left="153" w:right="144"/>
              <w:jc w:val="center"/>
              <w:rPr>
                <w:sz w:val="14"/>
              </w:rPr>
            </w:pPr>
            <w:r>
              <w:rPr>
                <w:color w:val="231F20"/>
                <w:sz w:val="14"/>
              </w:rPr>
              <w:t>Б5</w:t>
            </w:r>
          </w:p>
        </w:tc>
        <w:tc>
          <w:tcPr>
            <w:tcW w:w="1162" w:type="dxa"/>
          </w:tcPr>
          <w:p>
            <w:pPr>
              <w:pStyle w:val="TableParagraph"/>
              <w:spacing w:before="9"/>
              <w:ind w:left="153" w:right="143"/>
              <w:jc w:val="center"/>
              <w:rPr>
                <w:sz w:val="14"/>
              </w:rPr>
            </w:pPr>
            <w:r>
              <w:rPr>
                <w:color w:val="231F20"/>
                <w:sz w:val="14"/>
              </w:rPr>
              <w:t>7517485.1785</w:t>
            </w:r>
          </w:p>
        </w:tc>
        <w:tc>
          <w:tcPr>
            <w:tcW w:w="1162" w:type="dxa"/>
          </w:tcPr>
          <w:p>
            <w:pPr>
              <w:pStyle w:val="TableParagraph"/>
              <w:spacing w:before="9"/>
              <w:ind w:left="153" w:right="143"/>
              <w:jc w:val="center"/>
              <w:rPr>
                <w:sz w:val="14"/>
              </w:rPr>
            </w:pPr>
            <w:r>
              <w:rPr>
                <w:color w:val="231F20"/>
                <w:sz w:val="14"/>
              </w:rPr>
              <w:t>4953400.0534</w:t>
            </w:r>
          </w:p>
        </w:tc>
        <w:tc>
          <w:tcPr>
            <w:tcW w:w="1162" w:type="dxa"/>
          </w:tcPr>
          <w:p>
            <w:pPr>
              <w:pStyle w:val="TableParagraph"/>
              <w:spacing w:before="9"/>
              <w:ind w:left="153" w:right="143"/>
              <w:jc w:val="center"/>
              <w:rPr>
                <w:sz w:val="14"/>
              </w:rPr>
            </w:pPr>
            <w:r>
              <w:rPr>
                <w:color w:val="231F20"/>
                <w:sz w:val="14"/>
              </w:rPr>
              <w:t>Б48</w:t>
            </w:r>
          </w:p>
        </w:tc>
        <w:tc>
          <w:tcPr>
            <w:tcW w:w="1162" w:type="dxa"/>
          </w:tcPr>
          <w:p>
            <w:pPr>
              <w:pStyle w:val="TableParagraph"/>
              <w:spacing w:before="9"/>
              <w:ind w:left="153" w:right="142"/>
              <w:jc w:val="center"/>
              <w:rPr>
                <w:sz w:val="14"/>
              </w:rPr>
            </w:pPr>
            <w:r>
              <w:rPr>
                <w:color w:val="231F20"/>
                <w:sz w:val="14"/>
              </w:rPr>
              <w:t>7517606.4929</w:t>
            </w:r>
          </w:p>
        </w:tc>
        <w:tc>
          <w:tcPr>
            <w:tcW w:w="1162" w:type="dxa"/>
          </w:tcPr>
          <w:p>
            <w:pPr>
              <w:pStyle w:val="TableParagraph"/>
              <w:spacing w:before="9"/>
              <w:ind w:left="153" w:right="142"/>
              <w:jc w:val="center"/>
              <w:rPr>
                <w:sz w:val="14"/>
              </w:rPr>
            </w:pPr>
            <w:r>
              <w:rPr>
                <w:color w:val="231F20"/>
                <w:sz w:val="14"/>
              </w:rPr>
              <w:t>4953952.5924</w:t>
            </w:r>
          </w:p>
        </w:tc>
        <w:tc>
          <w:tcPr>
            <w:tcW w:w="1162" w:type="dxa"/>
          </w:tcPr>
          <w:p>
            <w:pPr>
              <w:pStyle w:val="TableParagraph"/>
              <w:spacing w:before="9"/>
              <w:ind w:left="153" w:right="142"/>
              <w:jc w:val="center"/>
              <w:rPr>
                <w:sz w:val="14"/>
              </w:rPr>
            </w:pPr>
            <w:r>
              <w:rPr>
                <w:color w:val="231F20"/>
                <w:sz w:val="14"/>
              </w:rPr>
              <w:t>Б92</w:t>
            </w:r>
          </w:p>
        </w:tc>
        <w:tc>
          <w:tcPr>
            <w:tcW w:w="1162" w:type="dxa"/>
          </w:tcPr>
          <w:p>
            <w:pPr>
              <w:pStyle w:val="TableParagraph"/>
              <w:spacing w:before="9"/>
              <w:ind w:left="153" w:right="141"/>
              <w:jc w:val="center"/>
              <w:rPr>
                <w:sz w:val="14"/>
              </w:rPr>
            </w:pPr>
            <w:r>
              <w:rPr>
                <w:color w:val="231F20"/>
                <w:sz w:val="14"/>
              </w:rPr>
              <w:t>7517503.0443</w:t>
            </w:r>
          </w:p>
        </w:tc>
        <w:tc>
          <w:tcPr>
            <w:tcW w:w="1162" w:type="dxa"/>
          </w:tcPr>
          <w:p>
            <w:pPr>
              <w:pStyle w:val="TableParagraph"/>
              <w:spacing w:before="9"/>
              <w:ind w:left="153" w:right="141"/>
              <w:jc w:val="center"/>
              <w:rPr>
                <w:sz w:val="14"/>
              </w:rPr>
            </w:pPr>
            <w:r>
              <w:rPr>
                <w:color w:val="231F20"/>
                <w:sz w:val="14"/>
              </w:rPr>
              <w:t>4954151.9353</w:t>
            </w:r>
          </w:p>
        </w:tc>
      </w:tr>
      <w:tr>
        <w:trPr>
          <w:trHeight w:val="200" w:hRule="atLeast"/>
        </w:trPr>
        <w:tc>
          <w:tcPr>
            <w:tcW w:w="1162" w:type="dxa"/>
          </w:tcPr>
          <w:p>
            <w:pPr>
              <w:pStyle w:val="TableParagraph"/>
              <w:spacing w:before="9"/>
              <w:ind w:left="153" w:right="144"/>
              <w:jc w:val="center"/>
              <w:rPr>
                <w:sz w:val="14"/>
              </w:rPr>
            </w:pPr>
            <w:r>
              <w:rPr>
                <w:color w:val="231F20"/>
                <w:sz w:val="14"/>
              </w:rPr>
              <w:t>Б6</w:t>
            </w:r>
          </w:p>
        </w:tc>
        <w:tc>
          <w:tcPr>
            <w:tcW w:w="1162" w:type="dxa"/>
          </w:tcPr>
          <w:p>
            <w:pPr>
              <w:pStyle w:val="TableParagraph"/>
              <w:spacing w:before="9"/>
              <w:ind w:left="153" w:right="143"/>
              <w:jc w:val="center"/>
              <w:rPr>
                <w:sz w:val="14"/>
              </w:rPr>
            </w:pPr>
            <w:r>
              <w:rPr>
                <w:color w:val="231F20"/>
                <w:sz w:val="14"/>
              </w:rPr>
              <w:t>7517233.6985</w:t>
            </w:r>
          </w:p>
        </w:tc>
        <w:tc>
          <w:tcPr>
            <w:tcW w:w="1162" w:type="dxa"/>
          </w:tcPr>
          <w:p>
            <w:pPr>
              <w:pStyle w:val="TableParagraph"/>
              <w:spacing w:before="9"/>
              <w:ind w:left="153" w:right="143"/>
              <w:jc w:val="center"/>
              <w:rPr>
                <w:sz w:val="14"/>
              </w:rPr>
            </w:pPr>
            <w:r>
              <w:rPr>
                <w:color w:val="231F20"/>
                <w:sz w:val="14"/>
              </w:rPr>
              <w:t>4953527.9149</w:t>
            </w:r>
          </w:p>
        </w:tc>
        <w:tc>
          <w:tcPr>
            <w:tcW w:w="1162" w:type="dxa"/>
          </w:tcPr>
          <w:p>
            <w:pPr>
              <w:pStyle w:val="TableParagraph"/>
              <w:spacing w:before="9"/>
              <w:ind w:left="153" w:right="143"/>
              <w:jc w:val="center"/>
              <w:rPr>
                <w:sz w:val="14"/>
              </w:rPr>
            </w:pPr>
            <w:r>
              <w:rPr>
                <w:color w:val="231F20"/>
                <w:sz w:val="14"/>
              </w:rPr>
              <w:t>Б49</w:t>
            </w:r>
          </w:p>
        </w:tc>
        <w:tc>
          <w:tcPr>
            <w:tcW w:w="1162" w:type="dxa"/>
          </w:tcPr>
          <w:p>
            <w:pPr>
              <w:pStyle w:val="TableParagraph"/>
              <w:spacing w:before="9"/>
              <w:ind w:left="153" w:right="142"/>
              <w:jc w:val="center"/>
              <w:rPr>
                <w:sz w:val="14"/>
              </w:rPr>
            </w:pPr>
            <w:r>
              <w:rPr>
                <w:color w:val="231F20"/>
                <w:sz w:val="14"/>
              </w:rPr>
              <w:t>7517628.3281</w:t>
            </w:r>
          </w:p>
        </w:tc>
        <w:tc>
          <w:tcPr>
            <w:tcW w:w="1162" w:type="dxa"/>
          </w:tcPr>
          <w:p>
            <w:pPr>
              <w:pStyle w:val="TableParagraph"/>
              <w:spacing w:before="9"/>
              <w:ind w:left="153" w:right="142"/>
              <w:jc w:val="center"/>
              <w:rPr>
                <w:sz w:val="14"/>
              </w:rPr>
            </w:pPr>
            <w:r>
              <w:rPr>
                <w:color w:val="231F20"/>
                <w:sz w:val="14"/>
              </w:rPr>
              <w:t>4953936.3253</w:t>
            </w:r>
          </w:p>
        </w:tc>
        <w:tc>
          <w:tcPr>
            <w:tcW w:w="1162" w:type="dxa"/>
          </w:tcPr>
          <w:p>
            <w:pPr>
              <w:pStyle w:val="TableParagraph"/>
              <w:spacing w:before="9"/>
              <w:ind w:left="153" w:right="142"/>
              <w:jc w:val="center"/>
              <w:rPr>
                <w:sz w:val="14"/>
              </w:rPr>
            </w:pPr>
            <w:r>
              <w:rPr>
                <w:color w:val="231F20"/>
                <w:sz w:val="14"/>
              </w:rPr>
              <w:t>Б93</w:t>
            </w:r>
          </w:p>
        </w:tc>
        <w:tc>
          <w:tcPr>
            <w:tcW w:w="1162" w:type="dxa"/>
          </w:tcPr>
          <w:p>
            <w:pPr>
              <w:pStyle w:val="TableParagraph"/>
              <w:spacing w:before="9"/>
              <w:ind w:left="153" w:right="141"/>
              <w:jc w:val="center"/>
              <w:rPr>
                <w:sz w:val="14"/>
              </w:rPr>
            </w:pPr>
            <w:r>
              <w:rPr>
                <w:color w:val="231F20"/>
                <w:sz w:val="14"/>
              </w:rPr>
              <w:t>7517476.5645</w:t>
            </w:r>
          </w:p>
        </w:tc>
        <w:tc>
          <w:tcPr>
            <w:tcW w:w="1162" w:type="dxa"/>
          </w:tcPr>
          <w:p>
            <w:pPr>
              <w:pStyle w:val="TableParagraph"/>
              <w:spacing w:before="9"/>
              <w:ind w:left="153" w:right="141"/>
              <w:jc w:val="center"/>
              <w:rPr>
                <w:sz w:val="14"/>
              </w:rPr>
            </w:pPr>
            <w:r>
              <w:rPr>
                <w:color w:val="231F20"/>
                <w:sz w:val="14"/>
              </w:rPr>
              <w:t>4954159.6948</w:t>
            </w:r>
          </w:p>
        </w:tc>
      </w:tr>
      <w:tr>
        <w:trPr>
          <w:trHeight w:val="200" w:hRule="atLeast"/>
        </w:trPr>
        <w:tc>
          <w:tcPr>
            <w:tcW w:w="1162" w:type="dxa"/>
          </w:tcPr>
          <w:p>
            <w:pPr>
              <w:pStyle w:val="TableParagraph"/>
              <w:spacing w:before="9"/>
              <w:ind w:left="153" w:right="144"/>
              <w:jc w:val="center"/>
              <w:rPr>
                <w:sz w:val="14"/>
              </w:rPr>
            </w:pPr>
            <w:r>
              <w:rPr>
                <w:color w:val="231F20"/>
                <w:sz w:val="14"/>
              </w:rPr>
              <w:t>Б7</w:t>
            </w:r>
          </w:p>
        </w:tc>
        <w:tc>
          <w:tcPr>
            <w:tcW w:w="1162" w:type="dxa"/>
          </w:tcPr>
          <w:p>
            <w:pPr>
              <w:pStyle w:val="TableParagraph"/>
              <w:spacing w:before="9"/>
              <w:ind w:left="153" w:right="144"/>
              <w:jc w:val="center"/>
              <w:rPr>
                <w:sz w:val="14"/>
              </w:rPr>
            </w:pPr>
            <w:r>
              <w:rPr>
                <w:color w:val="231F20"/>
                <w:sz w:val="14"/>
              </w:rPr>
              <w:t>7517205.2730</w:t>
            </w:r>
          </w:p>
        </w:tc>
        <w:tc>
          <w:tcPr>
            <w:tcW w:w="1162" w:type="dxa"/>
          </w:tcPr>
          <w:p>
            <w:pPr>
              <w:pStyle w:val="TableParagraph"/>
              <w:spacing w:before="9"/>
              <w:ind w:left="153" w:right="143"/>
              <w:jc w:val="center"/>
              <w:rPr>
                <w:sz w:val="14"/>
              </w:rPr>
            </w:pPr>
            <w:r>
              <w:rPr>
                <w:color w:val="231F20"/>
                <w:sz w:val="14"/>
              </w:rPr>
              <w:t>4953549.5843</w:t>
            </w:r>
          </w:p>
        </w:tc>
        <w:tc>
          <w:tcPr>
            <w:tcW w:w="1162" w:type="dxa"/>
          </w:tcPr>
          <w:p>
            <w:pPr>
              <w:pStyle w:val="TableParagraph"/>
              <w:spacing w:before="9"/>
              <w:ind w:left="153" w:right="143"/>
              <w:jc w:val="center"/>
              <w:rPr>
                <w:sz w:val="14"/>
              </w:rPr>
            </w:pPr>
            <w:r>
              <w:rPr>
                <w:color w:val="231F20"/>
                <w:sz w:val="14"/>
              </w:rPr>
              <w:t>Б50</w:t>
            </w:r>
          </w:p>
        </w:tc>
        <w:tc>
          <w:tcPr>
            <w:tcW w:w="1162" w:type="dxa"/>
          </w:tcPr>
          <w:p>
            <w:pPr>
              <w:pStyle w:val="TableParagraph"/>
              <w:spacing w:before="9"/>
              <w:ind w:left="153" w:right="143"/>
              <w:jc w:val="center"/>
              <w:rPr>
                <w:sz w:val="14"/>
              </w:rPr>
            </w:pPr>
            <w:r>
              <w:rPr>
                <w:color w:val="231F20"/>
                <w:sz w:val="14"/>
              </w:rPr>
              <w:t>7517689.8459</w:t>
            </w:r>
          </w:p>
        </w:tc>
        <w:tc>
          <w:tcPr>
            <w:tcW w:w="1162" w:type="dxa"/>
          </w:tcPr>
          <w:p>
            <w:pPr>
              <w:pStyle w:val="TableParagraph"/>
              <w:spacing w:before="9"/>
              <w:ind w:left="153" w:right="142"/>
              <w:jc w:val="center"/>
              <w:rPr>
                <w:sz w:val="14"/>
              </w:rPr>
            </w:pPr>
            <w:r>
              <w:rPr>
                <w:color w:val="231F20"/>
                <w:sz w:val="14"/>
              </w:rPr>
              <w:t>4953887.8507</w:t>
            </w:r>
          </w:p>
        </w:tc>
        <w:tc>
          <w:tcPr>
            <w:tcW w:w="1162" w:type="dxa"/>
          </w:tcPr>
          <w:p>
            <w:pPr>
              <w:pStyle w:val="TableParagraph"/>
              <w:spacing w:before="9"/>
              <w:ind w:left="153" w:right="142"/>
              <w:jc w:val="center"/>
              <w:rPr>
                <w:sz w:val="14"/>
              </w:rPr>
            </w:pPr>
            <w:r>
              <w:rPr>
                <w:color w:val="231F20"/>
                <w:sz w:val="14"/>
              </w:rPr>
              <w:t>Б94</w:t>
            </w:r>
          </w:p>
        </w:tc>
        <w:tc>
          <w:tcPr>
            <w:tcW w:w="1162" w:type="dxa"/>
          </w:tcPr>
          <w:p>
            <w:pPr>
              <w:pStyle w:val="TableParagraph"/>
              <w:spacing w:before="9"/>
              <w:ind w:left="153" w:right="141"/>
              <w:jc w:val="center"/>
              <w:rPr>
                <w:sz w:val="14"/>
              </w:rPr>
            </w:pPr>
            <w:r>
              <w:rPr>
                <w:color w:val="231F20"/>
                <w:sz w:val="14"/>
              </w:rPr>
              <w:t>7517447.5867</w:t>
            </w:r>
          </w:p>
        </w:tc>
        <w:tc>
          <w:tcPr>
            <w:tcW w:w="1162" w:type="dxa"/>
          </w:tcPr>
          <w:p>
            <w:pPr>
              <w:pStyle w:val="TableParagraph"/>
              <w:spacing w:before="9"/>
              <w:ind w:left="153" w:right="141"/>
              <w:jc w:val="center"/>
              <w:rPr>
                <w:sz w:val="14"/>
              </w:rPr>
            </w:pPr>
            <w:r>
              <w:rPr>
                <w:color w:val="231F20"/>
                <w:sz w:val="14"/>
              </w:rPr>
              <w:t>4954167.0366</w:t>
            </w:r>
          </w:p>
        </w:tc>
      </w:tr>
      <w:tr>
        <w:trPr>
          <w:trHeight w:val="200" w:hRule="atLeast"/>
        </w:trPr>
        <w:tc>
          <w:tcPr>
            <w:tcW w:w="1162" w:type="dxa"/>
          </w:tcPr>
          <w:p>
            <w:pPr>
              <w:pStyle w:val="TableParagraph"/>
              <w:spacing w:before="9"/>
              <w:ind w:left="153" w:right="145"/>
              <w:jc w:val="center"/>
              <w:rPr>
                <w:sz w:val="14"/>
              </w:rPr>
            </w:pPr>
            <w:r>
              <w:rPr>
                <w:color w:val="231F20"/>
                <w:sz w:val="14"/>
              </w:rPr>
              <w:t>Б8</w:t>
            </w:r>
          </w:p>
        </w:tc>
        <w:tc>
          <w:tcPr>
            <w:tcW w:w="1162" w:type="dxa"/>
          </w:tcPr>
          <w:p>
            <w:pPr>
              <w:pStyle w:val="TableParagraph"/>
              <w:spacing w:before="9"/>
              <w:ind w:left="153" w:right="144"/>
              <w:jc w:val="center"/>
              <w:rPr>
                <w:sz w:val="14"/>
              </w:rPr>
            </w:pPr>
            <w:r>
              <w:rPr>
                <w:color w:val="231F20"/>
                <w:sz w:val="14"/>
              </w:rPr>
              <w:t>7517184.0742</w:t>
            </w:r>
          </w:p>
        </w:tc>
        <w:tc>
          <w:tcPr>
            <w:tcW w:w="1162" w:type="dxa"/>
          </w:tcPr>
          <w:p>
            <w:pPr>
              <w:pStyle w:val="TableParagraph"/>
              <w:spacing w:before="9"/>
              <w:ind w:left="153" w:right="144"/>
              <w:jc w:val="center"/>
              <w:rPr>
                <w:sz w:val="14"/>
              </w:rPr>
            </w:pPr>
            <w:r>
              <w:rPr>
                <w:color w:val="231F20"/>
                <w:sz w:val="14"/>
              </w:rPr>
              <w:t>4953574.1428</w:t>
            </w:r>
          </w:p>
        </w:tc>
        <w:tc>
          <w:tcPr>
            <w:tcW w:w="1162" w:type="dxa"/>
          </w:tcPr>
          <w:p>
            <w:pPr>
              <w:pStyle w:val="TableParagraph"/>
              <w:spacing w:before="9"/>
              <w:ind w:left="153" w:right="143"/>
              <w:jc w:val="center"/>
              <w:rPr>
                <w:sz w:val="14"/>
              </w:rPr>
            </w:pPr>
            <w:r>
              <w:rPr>
                <w:color w:val="231F20"/>
                <w:sz w:val="14"/>
              </w:rPr>
              <w:t>Б51</w:t>
            </w:r>
          </w:p>
        </w:tc>
        <w:tc>
          <w:tcPr>
            <w:tcW w:w="1162" w:type="dxa"/>
          </w:tcPr>
          <w:p>
            <w:pPr>
              <w:pStyle w:val="TableParagraph"/>
              <w:spacing w:before="9"/>
              <w:ind w:left="153" w:right="143"/>
              <w:jc w:val="center"/>
              <w:rPr>
                <w:sz w:val="14"/>
              </w:rPr>
            </w:pPr>
            <w:r>
              <w:rPr>
                <w:color w:val="231F20"/>
                <w:sz w:val="14"/>
              </w:rPr>
              <w:t>7517714.5585</w:t>
            </w:r>
          </w:p>
        </w:tc>
        <w:tc>
          <w:tcPr>
            <w:tcW w:w="1162" w:type="dxa"/>
          </w:tcPr>
          <w:p>
            <w:pPr>
              <w:pStyle w:val="TableParagraph"/>
              <w:spacing w:before="9"/>
              <w:ind w:left="153" w:right="143"/>
              <w:jc w:val="center"/>
              <w:rPr>
                <w:sz w:val="14"/>
              </w:rPr>
            </w:pPr>
            <w:r>
              <w:rPr>
                <w:color w:val="231F20"/>
                <w:sz w:val="14"/>
              </w:rPr>
              <w:t>4953536.9019</w:t>
            </w:r>
          </w:p>
        </w:tc>
        <w:tc>
          <w:tcPr>
            <w:tcW w:w="1162" w:type="dxa"/>
          </w:tcPr>
          <w:p>
            <w:pPr>
              <w:pStyle w:val="TableParagraph"/>
              <w:spacing w:before="9"/>
              <w:ind w:left="153" w:right="142"/>
              <w:jc w:val="center"/>
              <w:rPr>
                <w:sz w:val="14"/>
              </w:rPr>
            </w:pPr>
            <w:r>
              <w:rPr>
                <w:color w:val="231F20"/>
                <w:sz w:val="14"/>
              </w:rPr>
              <w:t>Б95</w:t>
            </w:r>
          </w:p>
        </w:tc>
        <w:tc>
          <w:tcPr>
            <w:tcW w:w="1162" w:type="dxa"/>
          </w:tcPr>
          <w:p>
            <w:pPr>
              <w:pStyle w:val="TableParagraph"/>
              <w:spacing w:before="9"/>
              <w:ind w:left="153" w:right="142"/>
              <w:jc w:val="center"/>
              <w:rPr>
                <w:sz w:val="14"/>
              </w:rPr>
            </w:pPr>
            <w:r>
              <w:rPr>
                <w:color w:val="231F20"/>
                <w:sz w:val="14"/>
              </w:rPr>
              <w:t>7517425.0484</w:t>
            </w:r>
          </w:p>
        </w:tc>
        <w:tc>
          <w:tcPr>
            <w:tcW w:w="1162" w:type="dxa"/>
          </w:tcPr>
          <w:p>
            <w:pPr>
              <w:pStyle w:val="TableParagraph"/>
              <w:spacing w:before="9"/>
              <w:ind w:left="153" w:right="141"/>
              <w:jc w:val="center"/>
              <w:rPr>
                <w:sz w:val="14"/>
              </w:rPr>
            </w:pPr>
            <w:r>
              <w:rPr>
                <w:color w:val="231F20"/>
                <w:sz w:val="14"/>
              </w:rPr>
              <w:t>4954174.5033</w:t>
            </w:r>
          </w:p>
        </w:tc>
      </w:tr>
      <w:tr>
        <w:trPr>
          <w:trHeight w:val="200" w:hRule="atLeast"/>
        </w:trPr>
        <w:tc>
          <w:tcPr>
            <w:tcW w:w="1162" w:type="dxa"/>
          </w:tcPr>
          <w:p>
            <w:pPr>
              <w:pStyle w:val="TableParagraph"/>
              <w:spacing w:before="9"/>
              <w:ind w:left="153" w:right="145"/>
              <w:jc w:val="center"/>
              <w:rPr>
                <w:sz w:val="14"/>
              </w:rPr>
            </w:pPr>
            <w:r>
              <w:rPr>
                <w:color w:val="231F20"/>
                <w:sz w:val="14"/>
              </w:rPr>
              <w:t>Б9</w:t>
            </w:r>
          </w:p>
        </w:tc>
        <w:tc>
          <w:tcPr>
            <w:tcW w:w="1162" w:type="dxa"/>
          </w:tcPr>
          <w:p>
            <w:pPr>
              <w:pStyle w:val="TableParagraph"/>
              <w:spacing w:before="9"/>
              <w:ind w:left="153" w:right="144"/>
              <w:jc w:val="center"/>
              <w:rPr>
                <w:sz w:val="14"/>
              </w:rPr>
            </w:pPr>
            <w:r>
              <w:rPr>
                <w:color w:val="231F20"/>
                <w:sz w:val="14"/>
              </w:rPr>
              <w:t>7517166.4815</w:t>
            </w:r>
          </w:p>
        </w:tc>
        <w:tc>
          <w:tcPr>
            <w:tcW w:w="1162" w:type="dxa"/>
          </w:tcPr>
          <w:p>
            <w:pPr>
              <w:pStyle w:val="TableParagraph"/>
              <w:spacing w:before="9"/>
              <w:ind w:left="153" w:right="144"/>
              <w:jc w:val="center"/>
              <w:rPr>
                <w:sz w:val="14"/>
              </w:rPr>
            </w:pPr>
            <w:r>
              <w:rPr>
                <w:color w:val="231F20"/>
                <w:sz w:val="14"/>
              </w:rPr>
              <w:t>4953601.8583</w:t>
            </w:r>
          </w:p>
        </w:tc>
        <w:tc>
          <w:tcPr>
            <w:tcW w:w="1162" w:type="dxa"/>
          </w:tcPr>
          <w:p>
            <w:pPr>
              <w:pStyle w:val="TableParagraph"/>
              <w:spacing w:before="9"/>
              <w:ind w:left="153" w:right="144"/>
              <w:jc w:val="center"/>
              <w:rPr>
                <w:sz w:val="14"/>
              </w:rPr>
            </w:pPr>
            <w:r>
              <w:rPr>
                <w:color w:val="231F20"/>
                <w:sz w:val="14"/>
              </w:rPr>
              <w:t>Б52</w:t>
            </w:r>
          </w:p>
        </w:tc>
        <w:tc>
          <w:tcPr>
            <w:tcW w:w="1162" w:type="dxa"/>
          </w:tcPr>
          <w:p>
            <w:pPr>
              <w:pStyle w:val="TableParagraph"/>
              <w:spacing w:before="9"/>
              <w:ind w:left="153" w:right="143"/>
              <w:jc w:val="center"/>
              <w:rPr>
                <w:sz w:val="14"/>
              </w:rPr>
            </w:pPr>
            <w:r>
              <w:rPr>
                <w:color w:val="231F20"/>
                <w:sz w:val="14"/>
              </w:rPr>
              <w:t>7517743.1014</w:t>
            </w:r>
          </w:p>
        </w:tc>
        <w:tc>
          <w:tcPr>
            <w:tcW w:w="1162" w:type="dxa"/>
          </w:tcPr>
          <w:p>
            <w:pPr>
              <w:pStyle w:val="TableParagraph"/>
              <w:spacing w:before="9"/>
              <w:ind w:left="153" w:right="143"/>
              <w:jc w:val="center"/>
              <w:rPr>
                <w:sz w:val="14"/>
              </w:rPr>
            </w:pPr>
            <w:r>
              <w:rPr>
                <w:color w:val="231F20"/>
                <w:sz w:val="14"/>
              </w:rPr>
              <w:t>4953505.6963</w:t>
            </w:r>
          </w:p>
        </w:tc>
        <w:tc>
          <w:tcPr>
            <w:tcW w:w="1162" w:type="dxa"/>
          </w:tcPr>
          <w:p>
            <w:pPr>
              <w:pStyle w:val="TableParagraph"/>
              <w:spacing w:before="9"/>
              <w:ind w:left="153" w:right="143"/>
              <w:jc w:val="center"/>
              <w:rPr>
                <w:sz w:val="14"/>
              </w:rPr>
            </w:pPr>
            <w:r>
              <w:rPr>
                <w:color w:val="231F20"/>
                <w:sz w:val="14"/>
              </w:rPr>
              <w:t>Б96</w:t>
            </w:r>
          </w:p>
        </w:tc>
        <w:tc>
          <w:tcPr>
            <w:tcW w:w="1162" w:type="dxa"/>
          </w:tcPr>
          <w:p>
            <w:pPr>
              <w:pStyle w:val="TableParagraph"/>
              <w:spacing w:before="9"/>
              <w:ind w:left="153" w:right="142"/>
              <w:jc w:val="center"/>
              <w:rPr>
                <w:sz w:val="14"/>
              </w:rPr>
            </w:pPr>
            <w:r>
              <w:rPr>
                <w:color w:val="231F20"/>
                <w:sz w:val="14"/>
              </w:rPr>
              <w:t>7517361.2268</w:t>
            </w:r>
          </w:p>
        </w:tc>
        <w:tc>
          <w:tcPr>
            <w:tcW w:w="1162" w:type="dxa"/>
          </w:tcPr>
          <w:p>
            <w:pPr>
              <w:pStyle w:val="TableParagraph"/>
              <w:spacing w:before="9"/>
              <w:ind w:left="153" w:right="142"/>
              <w:jc w:val="center"/>
              <w:rPr>
                <w:sz w:val="14"/>
              </w:rPr>
            </w:pPr>
            <w:r>
              <w:rPr>
                <w:color w:val="231F20"/>
                <w:sz w:val="14"/>
              </w:rPr>
              <w:t>4954187.8316</w:t>
            </w:r>
          </w:p>
        </w:tc>
      </w:tr>
      <w:tr>
        <w:trPr>
          <w:trHeight w:val="200" w:hRule="atLeast"/>
        </w:trPr>
        <w:tc>
          <w:tcPr>
            <w:tcW w:w="1162" w:type="dxa"/>
          </w:tcPr>
          <w:p>
            <w:pPr>
              <w:pStyle w:val="TableParagraph"/>
              <w:spacing w:before="9"/>
              <w:ind w:left="153" w:right="145"/>
              <w:jc w:val="center"/>
              <w:rPr>
                <w:sz w:val="14"/>
              </w:rPr>
            </w:pPr>
            <w:r>
              <w:rPr>
                <w:color w:val="231F20"/>
                <w:sz w:val="14"/>
              </w:rPr>
              <w:t>Б10</w:t>
            </w:r>
          </w:p>
        </w:tc>
        <w:tc>
          <w:tcPr>
            <w:tcW w:w="1162" w:type="dxa"/>
          </w:tcPr>
          <w:p>
            <w:pPr>
              <w:pStyle w:val="TableParagraph"/>
              <w:spacing w:before="9"/>
              <w:ind w:left="153" w:right="145"/>
              <w:jc w:val="center"/>
              <w:rPr>
                <w:sz w:val="14"/>
              </w:rPr>
            </w:pPr>
            <w:r>
              <w:rPr>
                <w:color w:val="231F20"/>
                <w:sz w:val="14"/>
              </w:rPr>
              <w:t>7517114.6193</w:t>
            </w:r>
          </w:p>
        </w:tc>
        <w:tc>
          <w:tcPr>
            <w:tcW w:w="1162" w:type="dxa"/>
          </w:tcPr>
          <w:p>
            <w:pPr>
              <w:pStyle w:val="TableParagraph"/>
              <w:spacing w:before="9"/>
              <w:ind w:left="153" w:right="144"/>
              <w:jc w:val="center"/>
              <w:rPr>
                <w:sz w:val="14"/>
              </w:rPr>
            </w:pPr>
            <w:r>
              <w:rPr>
                <w:color w:val="231F20"/>
                <w:sz w:val="14"/>
              </w:rPr>
              <w:t>4953714.0734</w:t>
            </w:r>
          </w:p>
        </w:tc>
        <w:tc>
          <w:tcPr>
            <w:tcW w:w="1162" w:type="dxa"/>
          </w:tcPr>
          <w:p>
            <w:pPr>
              <w:pStyle w:val="TableParagraph"/>
              <w:spacing w:before="9"/>
              <w:ind w:left="153" w:right="144"/>
              <w:jc w:val="center"/>
              <w:rPr>
                <w:sz w:val="14"/>
              </w:rPr>
            </w:pPr>
            <w:r>
              <w:rPr>
                <w:color w:val="231F20"/>
                <w:sz w:val="14"/>
              </w:rPr>
              <w:t>Б53</w:t>
            </w:r>
          </w:p>
        </w:tc>
        <w:tc>
          <w:tcPr>
            <w:tcW w:w="1162" w:type="dxa"/>
          </w:tcPr>
          <w:p>
            <w:pPr>
              <w:pStyle w:val="TableParagraph"/>
              <w:spacing w:before="9"/>
              <w:ind w:left="153" w:right="143"/>
              <w:jc w:val="center"/>
              <w:rPr>
                <w:sz w:val="14"/>
              </w:rPr>
            </w:pPr>
            <w:r>
              <w:rPr>
                <w:color w:val="231F20"/>
                <w:sz w:val="14"/>
              </w:rPr>
              <w:t>7517771.2651</w:t>
            </w:r>
          </w:p>
        </w:tc>
        <w:tc>
          <w:tcPr>
            <w:tcW w:w="1162" w:type="dxa"/>
          </w:tcPr>
          <w:p>
            <w:pPr>
              <w:pStyle w:val="TableParagraph"/>
              <w:spacing w:before="9"/>
              <w:ind w:left="153" w:right="143"/>
              <w:jc w:val="center"/>
              <w:rPr>
                <w:sz w:val="14"/>
              </w:rPr>
            </w:pPr>
            <w:r>
              <w:rPr>
                <w:color w:val="231F20"/>
                <w:sz w:val="14"/>
              </w:rPr>
              <w:t>4953320.2481</w:t>
            </w:r>
          </w:p>
        </w:tc>
        <w:tc>
          <w:tcPr>
            <w:tcW w:w="1162" w:type="dxa"/>
          </w:tcPr>
          <w:p>
            <w:pPr>
              <w:pStyle w:val="TableParagraph"/>
              <w:spacing w:before="9"/>
              <w:ind w:left="153" w:right="143"/>
              <w:jc w:val="center"/>
              <w:rPr>
                <w:sz w:val="14"/>
              </w:rPr>
            </w:pPr>
            <w:r>
              <w:rPr>
                <w:color w:val="231F20"/>
                <w:sz w:val="14"/>
              </w:rPr>
              <w:t>Б97</w:t>
            </w:r>
          </w:p>
        </w:tc>
        <w:tc>
          <w:tcPr>
            <w:tcW w:w="1162" w:type="dxa"/>
          </w:tcPr>
          <w:p>
            <w:pPr>
              <w:pStyle w:val="TableParagraph"/>
              <w:spacing w:before="9"/>
              <w:ind w:left="153" w:right="142"/>
              <w:jc w:val="center"/>
              <w:rPr>
                <w:sz w:val="14"/>
              </w:rPr>
            </w:pPr>
            <w:r>
              <w:rPr>
                <w:color w:val="231F20"/>
                <w:sz w:val="14"/>
              </w:rPr>
              <w:t>7517300.0236</w:t>
            </w:r>
          </w:p>
        </w:tc>
        <w:tc>
          <w:tcPr>
            <w:tcW w:w="1162" w:type="dxa"/>
          </w:tcPr>
          <w:p>
            <w:pPr>
              <w:pStyle w:val="TableParagraph"/>
              <w:spacing w:before="9"/>
              <w:ind w:left="153" w:right="142"/>
              <w:jc w:val="center"/>
              <w:rPr>
                <w:sz w:val="14"/>
              </w:rPr>
            </w:pPr>
            <w:r>
              <w:rPr>
                <w:color w:val="231F20"/>
                <w:sz w:val="14"/>
              </w:rPr>
              <w:t>4954194.7477</w:t>
            </w:r>
          </w:p>
        </w:tc>
      </w:tr>
      <w:tr>
        <w:trPr>
          <w:trHeight w:val="200" w:hRule="atLeast"/>
        </w:trPr>
        <w:tc>
          <w:tcPr>
            <w:tcW w:w="1162" w:type="dxa"/>
          </w:tcPr>
          <w:p>
            <w:pPr>
              <w:pStyle w:val="TableParagraph"/>
              <w:spacing w:before="9"/>
              <w:ind w:left="153" w:right="145"/>
              <w:jc w:val="center"/>
              <w:rPr>
                <w:sz w:val="14"/>
              </w:rPr>
            </w:pPr>
            <w:r>
              <w:rPr>
                <w:color w:val="231F20"/>
                <w:sz w:val="14"/>
              </w:rPr>
              <w:t>Б11</w:t>
            </w:r>
          </w:p>
        </w:tc>
        <w:tc>
          <w:tcPr>
            <w:tcW w:w="1162" w:type="dxa"/>
          </w:tcPr>
          <w:p>
            <w:pPr>
              <w:pStyle w:val="TableParagraph"/>
              <w:spacing w:before="9"/>
              <w:ind w:left="153" w:right="145"/>
              <w:jc w:val="center"/>
              <w:rPr>
                <w:sz w:val="14"/>
              </w:rPr>
            </w:pPr>
            <w:r>
              <w:rPr>
                <w:color w:val="231F20"/>
                <w:sz w:val="14"/>
              </w:rPr>
              <w:t>7517091.4933</w:t>
            </w:r>
          </w:p>
        </w:tc>
        <w:tc>
          <w:tcPr>
            <w:tcW w:w="1162" w:type="dxa"/>
          </w:tcPr>
          <w:p>
            <w:pPr>
              <w:pStyle w:val="TableParagraph"/>
              <w:spacing w:before="9"/>
              <w:ind w:left="153" w:right="145"/>
              <w:jc w:val="center"/>
              <w:rPr>
                <w:sz w:val="14"/>
              </w:rPr>
            </w:pPr>
            <w:r>
              <w:rPr>
                <w:color w:val="231F20"/>
                <w:sz w:val="14"/>
              </w:rPr>
              <w:t>4953749.7073</w:t>
            </w:r>
          </w:p>
        </w:tc>
        <w:tc>
          <w:tcPr>
            <w:tcW w:w="1162" w:type="dxa"/>
          </w:tcPr>
          <w:p>
            <w:pPr>
              <w:pStyle w:val="TableParagraph"/>
              <w:spacing w:before="9"/>
              <w:ind w:left="153" w:right="144"/>
              <w:jc w:val="center"/>
              <w:rPr>
                <w:sz w:val="14"/>
              </w:rPr>
            </w:pPr>
            <w:r>
              <w:rPr>
                <w:color w:val="231F20"/>
                <w:sz w:val="14"/>
              </w:rPr>
              <w:t>Б54</w:t>
            </w:r>
          </w:p>
        </w:tc>
        <w:tc>
          <w:tcPr>
            <w:tcW w:w="1162" w:type="dxa"/>
          </w:tcPr>
          <w:p>
            <w:pPr>
              <w:pStyle w:val="TableParagraph"/>
              <w:spacing w:before="9"/>
              <w:ind w:left="153" w:right="144"/>
              <w:jc w:val="center"/>
              <w:rPr>
                <w:sz w:val="14"/>
              </w:rPr>
            </w:pPr>
            <w:r>
              <w:rPr>
                <w:color w:val="231F20"/>
                <w:sz w:val="14"/>
              </w:rPr>
              <w:t>7517798.6701</w:t>
            </w:r>
          </w:p>
        </w:tc>
        <w:tc>
          <w:tcPr>
            <w:tcW w:w="1162" w:type="dxa"/>
          </w:tcPr>
          <w:p>
            <w:pPr>
              <w:pStyle w:val="TableParagraph"/>
              <w:spacing w:before="9"/>
              <w:ind w:left="153" w:right="143"/>
              <w:jc w:val="center"/>
              <w:rPr>
                <w:sz w:val="14"/>
              </w:rPr>
            </w:pPr>
            <w:r>
              <w:rPr>
                <w:color w:val="231F20"/>
                <w:sz w:val="14"/>
              </w:rPr>
              <w:t>4953296.5960</w:t>
            </w:r>
          </w:p>
        </w:tc>
        <w:tc>
          <w:tcPr>
            <w:tcW w:w="1162" w:type="dxa"/>
          </w:tcPr>
          <w:p>
            <w:pPr>
              <w:pStyle w:val="TableParagraph"/>
              <w:spacing w:before="9"/>
              <w:ind w:left="153" w:right="143"/>
              <w:jc w:val="center"/>
              <w:rPr>
                <w:sz w:val="14"/>
              </w:rPr>
            </w:pPr>
            <w:r>
              <w:rPr>
                <w:color w:val="231F20"/>
                <w:sz w:val="14"/>
              </w:rPr>
              <w:t>Б98</w:t>
            </w:r>
          </w:p>
        </w:tc>
        <w:tc>
          <w:tcPr>
            <w:tcW w:w="1162" w:type="dxa"/>
          </w:tcPr>
          <w:p>
            <w:pPr>
              <w:pStyle w:val="TableParagraph"/>
              <w:spacing w:before="9"/>
              <w:ind w:left="153" w:right="143"/>
              <w:jc w:val="center"/>
              <w:rPr>
                <w:sz w:val="14"/>
              </w:rPr>
            </w:pPr>
            <w:r>
              <w:rPr>
                <w:color w:val="231F20"/>
                <w:sz w:val="14"/>
              </w:rPr>
              <w:t>7517262.3487</w:t>
            </w:r>
          </w:p>
        </w:tc>
        <w:tc>
          <w:tcPr>
            <w:tcW w:w="1162" w:type="dxa"/>
          </w:tcPr>
          <w:p>
            <w:pPr>
              <w:pStyle w:val="TableParagraph"/>
              <w:spacing w:before="9"/>
              <w:ind w:left="153" w:right="142"/>
              <w:jc w:val="center"/>
              <w:rPr>
                <w:sz w:val="14"/>
              </w:rPr>
            </w:pPr>
            <w:r>
              <w:rPr>
                <w:color w:val="231F20"/>
                <w:sz w:val="14"/>
              </w:rPr>
              <w:t>4954204.3037</w:t>
            </w:r>
          </w:p>
        </w:tc>
      </w:tr>
      <w:tr>
        <w:trPr>
          <w:trHeight w:val="200" w:hRule="atLeast"/>
        </w:trPr>
        <w:tc>
          <w:tcPr>
            <w:tcW w:w="1162" w:type="dxa"/>
          </w:tcPr>
          <w:p>
            <w:pPr>
              <w:pStyle w:val="TableParagraph"/>
              <w:spacing w:before="8"/>
              <w:ind w:left="153" w:right="146"/>
              <w:jc w:val="center"/>
              <w:rPr>
                <w:sz w:val="14"/>
              </w:rPr>
            </w:pPr>
            <w:r>
              <w:rPr>
                <w:color w:val="231F20"/>
                <w:sz w:val="14"/>
              </w:rPr>
              <w:t>Б12</w:t>
            </w:r>
          </w:p>
        </w:tc>
        <w:tc>
          <w:tcPr>
            <w:tcW w:w="1162" w:type="dxa"/>
          </w:tcPr>
          <w:p>
            <w:pPr>
              <w:pStyle w:val="TableParagraph"/>
              <w:spacing w:before="8"/>
              <w:ind w:left="153" w:right="145"/>
              <w:jc w:val="center"/>
              <w:rPr>
                <w:sz w:val="14"/>
              </w:rPr>
            </w:pPr>
            <w:r>
              <w:rPr>
                <w:color w:val="231F20"/>
                <w:sz w:val="14"/>
              </w:rPr>
              <w:t>7517055.8411</w:t>
            </w:r>
          </w:p>
        </w:tc>
        <w:tc>
          <w:tcPr>
            <w:tcW w:w="1162" w:type="dxa"/>
          </w:tcPr>
          <w:p>
            <w:pPr>
              <w:pStyle w:val="TableParagraph"/>
              <w:spacing w:before="8"/>
              <w:ind w:left="153" w:right="145"/>
              <w:jc w:val="center"/>
              <w:rPr>
                <w:sz w:val="14"/>
              </w:rPr>
            </w:pPr>
            <w:r>
              <w:rPr>
                <w:color w:val="231F20"/>
                <w:sz w:val="14"/>
              </w:rPr>
              <w:t>4953789.6753</w:t>
            </w:r>
          </w:p>
        </w:tc>
        <w:tc>
          <w:tcPr>
            <w:tcW w:w="1162" w:type="dxa"/>
          </w:tcPr>
          <w:p>
            <w:pPr>
              <w:pStyle w:val="TableParagraph"/>
              <w:spacing w:before="8"/>
              <w:ind w:left="153" w:right="145"/>
              <w:jc w:val="center"/>
              <w:rPr>
                <w:sz w:val="14"/>
              </w:rPr>
            </w:pPr>
            <w:r>
              <w:rPr>
                <w:color w:val="231F20"/>
                <w:sz w:val="14"/>
              </w:rPr>
              <w:t>Б55</w:t>
            </w:r>
          </w:p>
        </w:tc>
        <w:tc>
          <w:tcPr>
            <w:tcW w:w="1162" w:type="dxa"/>
          </w:tcPr>
          <w:p>
            <w:pPr>
              <w:pStyle w:val="TableParagraph"/>
              <w:spacing w:before="8"/>
              <w:ind w:left="153" w:right="144"/>
              <w:jc w:val="center"/>
              <w:rPr>
                <w:sz w:val="14"/>
              </w:rPr>
            </w:pPr>
            <w:r>
              <w:rPr>
                <w:color w:val="231F20"/>
                <w:sz w:val="14"/>
              </w:rPr>
              <w:t>7517828.1660</w:t>
            </w:r>
          </w:p>
        </w:tc>
        <w:tc>
          <w:tcPr>
            <w:tcW w:w="1162" w:type="dxa"/>
          </w:tcPr>
          <w:p>
            <w:pPr>
              <w:pStyle w:val="TableParagraph"/>
              <w:spacing w:before="8"/>
              <w:ind w:left="153" w:right="144"/>
              <w:jc w:val="center"/>
              <w:rPr>
                <w:sz w:val="14"/>
              </w:rPr>
            </w:pPr>
            <w:r>
              <w:rPr>
                <w:color w:val="231F20"/>
                <w:sz w:val="14"/>
              </w:rPr>
              <w:t>4953274.3404</w:t>
            </w:r>
          </w:p>
        </w:tc>
        <w:tc>
          <w:tcPr>
            <w:tcW w:w="1162" w:type="dxa"/>
          </w:tcPr>
          <w:p>
            <w:pPr>
              <w:pStyle w:val="TableParagraph"/>
              <w:spacing w:before="8"/>
              <w:ind w:left="153" w:right="143"/>
              <w:jc w:val="center"/>
              <w:rPr>
                <w:sz w:val="14"/>
              </w:rPr>
            </w:pPr>
            <w:r>
              <w:rPr>
                <w:color w:val="231F20"/>
                <w:sz w:val="14"/>
              </w:rPr>
              <w:t>Б99</w:t>
            </w:r>
          </w:p>
        </w:tc>
        <w:tc>
          <w:tcPr>
            <w:tcW w:w="1162" w:type="dxa"/>
          </w:tcPr>
          <w:p>
            <w:pPr>
              <w:pStyle w:val="TableParagraph"/>
              <w:spacing w:before="8"/>
              <w:ind w:left="153" w:right="143"/>
              <w:jc w:val="center"/>
              <w:rPr>
                <w:sz w:val="14"/>
              </w:rPr>
            </w:pPr>
            <w:r>
              <w:rPr>
                <w:color w:val="231F20"/>
                <w:sz w:val="14"/>
              </w:rPr>
              <w:t>7517233.4264</w:t>
            </w:r>
          </w:p>
        </w:tc>
        <w:tc>
          <w:tcPr>
            <w:tcW w:w="1162" w:type="dxa"/>
          </w:tcPr>
          <w:p>
            <w:pPr>
              <w:pStyle w:val="TableParagraph"/>
              <w:spacing w:before="8"/>
              <w:ind w:left="153" w:right="143"/>
              <w:jc w:val="center"/>
              <w:rPr>
                <w:sz w:val="14"/>
              </w:rPr>
            </w:pPr>
            <w:r>
              <w:rPr>
                <w:color w:val="231F20"/>
                <w:sz w:val="14"/>
              </w:rPr>
              <w:t>4954218.7606</w:t>
            </w:r>
          </w:p>
        </w:tc>
      </w:tr>
      <w:tr>
        <w:trPr>
          <w:trHeight w:val="200" w:hRule="atLeast"/>
        </w:trPr>
        <w:tc>
          <w:tcPr>
            <w:tcW w:w="1162" w:type="dxa"/>
          </w:tcPr>
          <w:p>
            <w:pPr>
              <w:pStyle w:val="TableParagraph"/>
              <w:spacing w:before="8"/>
              <w:ind w:left="153" w:right="146"/>
              <w:jc w:val="center"/>
              <w:rPr>
                <w:sz w:val="14"/>
              </w:rPr>
            </w:pPr>
            <w:r>
              <w:rPr>
                <w:color w:val="231F20"/>
                <w:sz w:val="14"/>
              </w:rPr>
              <w:t>Б13</w:t>
            </w:r>
          </w:p>
        </w:tc>
        <w:tc>
          <w:tcPr>
            <w:tcW w:w="1162" w:type="dxa"/>
          </w:tcPr>
          <w:p>
            <w:pPr>
              <w:pStyle w:val="TableParagraph"/>
              <w:spacing w:before="8"/>
              <w:ind w:left="153" w:right="145"/>
              <w:jc w:val="center"/>
              <w:rPr>
                <w:sz w:val="14"/>
              </w:rPr>
            </w:pPr>
            <w:r>
              <w:rPr>
                <w:color w:val="231F20"/>
                <w:sz w:val="14"/>
              </w:rPr>
              <w:t>7517031.7166</w:t>
            </w:r>
          </w:p>
        </w:tc>
        <w:tc>
          <w:tcPr>
            <w:tcW w:w="1162" w:type="dxa"/>
          </w:tcPr>
          <w:p>
            <w:pPr>
              <w:pStyle w:val="TableParagraph"/>
              <w:spacing w:before="8"/>
              <w:ind w:left="153" w:right="145"/>
              <w:jc w:val="center"/>
              <w:rPr>
                <w:sz w:val="14"/>
              </w:rPr>
            </w:pPr>
            <w:r>
              <w:rPr>
                <w:color w:val="231F20"/>
                <w:sz w:val="14"/>
              </w:rPr>
              <w:t>4953822.5474</w:t>
            </w:r>
          </w:p>
        </w:tc>
        <w:tc>
          <w:tcPr>
            <w:tcW w:w="1162" w:type="dxa"/>
          </w:tcPr>
          <w:p>
            <w:pPr>
              <w:pStyle w:val="TableParagraph"/>
              <w:spacing w:before="8"/>
              <w:ind w:left="153" w:right="145"/>
              <w:jc w:val="center"/>
              <w:rPr>
                <w:sz w:val="14"/>
              </w:rPr>
            </w:pPr>
            <w:r>
              <w:rPr>
                <w:color w:val="231F20"/>
                <w:sz w:val="14"/>
              </w:rPr>
              <w:t>Б56</w:t>
            </w:r>
          </w:p>
        </w:tc>
        <w:tc>
          <w:tcPr>
            <w:tcW w:w="1162" w:type="dxa"/>
          </w:tcPr>
          <w:p>
            <w:pPr>
              <w:pStyle w:val="TableParagraph"/>
              <w:spacing w:before="8"/>
              <w:ind w:left="153" w:right="144"/>
              <w:jc w:val="center"/>
              <w:rPr>
                <w:sz w:val="14"/>
              </w:rPr>
            </w:pPr>
            <w:r>
              <w:rPr>
                <w:color w:val="231F20"/>
                <w:sz w:val="14"/>
              </w:rPr>
              <w:t>7517857.1286</w:t>
            </w:r>
          </w:p>
        </w:tc>
        <w:tc>
          <w:tcPr>
            <w:tcW w:w="1162" w:type="dxa"/>
          </w:tcPr>
          <w:p>
            <w:pPr>
              <w:pStyle w:val="TableParagraph"/>
              <w:spacing w:before="8"/>
              <w:ind w:left="153" w:right="144"/>
              <w:jc w:val="center"/>
              <w:rPr>
                <w:sz w:val="14"/>
              </w:rPr>
            </w:pPr>
            <w:r>
              <w:rPr>
                <w:color w:val="231F20"/>
                <w:sz w:val="14"/>
              </w:rPr>
              <w:t>4953254.3030</w:t>
            </w:r>
          </w:p>
        </w:tc>
        <w:tc>
          <w:tcPr>
            <w:tcW w:w="1162" w:type="dxa"/>
          </w:tcPr>
          <w:p>
            <w:pPr>
              <w:pStyle w:val="TableParagraph"/>
              <w:spacing w:before="8"/>
              <w:ind w:left="153" w:right="144"/>
              <w:jc w:val="center"/>
              <w:rPr>
                <w:sz w:val="14"/>
              </w:rPr>
            </w:pPr>
            <w:r>
              <w:rPr>
                <w:color w:val="231F20"/>
                <w:sz w:val="14"/>
              </w:rPr>
              <w:t>Б100</w:t>
            </w:r>
          </w:p>
        </w:tc>
        <w:tc>
          <w:tcPr>
            <w:tcW w:w="1162" w:type="dxa"/>
          </w:tcPr>
          <w:p>
            <w:pPr>
              <w:pStyle w:val="TableParagraph"/>
              <w:spacing w:before="8"/>
              <w:ind w:left="153" w:right="143"/>
              <w:jc w:val="center"/>
              <w:rPr>
                <w:sz w:val="14"/>
              </w:rPr>
            </w:pPr>
            <w:r>
              <w:rPr>
                <w:color w:val="231F20"/>
                <w:sz w:val="14"/>
              </w:rPr>
              <w:t>7517135.9190</w:t>
            </w:r>
          </w:p>
        </w:tc>
        <w:tc>
          <w:tcPr>
            <w:tcW w:w="1162" w:type="dxa"/>
          </w:tcPr>
          <w:p>
            <w:pPr>
              <w:pStyle w:val="TableParagraph"/>
              <w:spacing w:before="8"/>
              <w:ind w:left="153" w:right="143"/>
              <w:jc w:val="center"/>
              <w:rPr>
                <w:sz w:val="14"/>
              </w:rPr>
            </w:pPr>
            <w:r>
              <w:rPr>
                <w:color w:val="231F20"/>
                <w:sz w:val="14"/>
              </w:rPr>
              <w:t>4954275.5748</w:t>
            </w:r>
          </w:p>
        </w:tc>
      </w:tr>
      <w:tr>
        <w:trPr>
          <w:trHeight w:val="200" w:hRule="atLeast"/>
        </w:trPr>
        <w:tc>
          <w:tcPr>
            <w:tcW w:w="1162" w:type="dxa"/>
          </w:tcPr>
          <w:p>
            <w:pPr>
              <w:pStyle w:val="TableParagraph"/>
              <w:spacing w:before="8"/>
              <w:ind w:left="153" w:right="146"/>
              <w:jc w:val="center"/>
              <w:rPr>
                <w:sz w:val="14"/>
              </w:rPr>
            </w:pPr>
            <w:r>
              <w:rPr>
                <w:color w:val="231F20"/>
                <w:sz w:val="14"/>
              </w:rPr>
              <w:t>Б14</w:t>
            </w:r>
          </w:p>
        </w:tc>
        <w:tc>
          <w:tcPr>
            <w:tcW w:w="1162" w:type="dxa"/>
          </w:tcPr>
          <w:p>
            <w:pPr>
              <w:pStyle w:val="TableParagraph"/>
              <w:spacing w:before="8"/>
              <w:ind w:left="153" w:right="146"/>
              <w:jc w:val="center"/>
              <w:rPr>
                <w:sz w:val="14"/>
              </w:rPr>
            </w:pPr>
            <w:r>
              <w:rPr>
                <w:color w:val="231F20"/>
                <w:sz w:val="14"/>
              </w:rPr>
              <w:t>7516995.8037</w:t>
            </w:r>
          </w:p>
        </w:tc>
        <w:tc>
          <w:tcPr>
            <w:tcW w:w="1162" w:type="dxa"/>
          </w:tcPr>
          <w:p>
            <w:pPr>
              <w:pStyle w:val="TableParagraph"/>
              <w:spacing w:before="8"/>
              <w:ind w:left="153" w:right="145"/>
              <w:jc w:val="center"/>
              <w:rPr>
                <w:sz w:val="14"/>
              </w:rPr>
            </w:pPr>
            <w:r>
              <w:rPr>
                <w:color w:val="231F20"/>
                <w:sz w:val="14"/>
              </w:rPr>
              <w:t>4953900.6587</w:t>
            </w:r>
          </w:p>
        </w:tc>
        <w:tc>
          <w:tcPr>
            <w:tcW w:w="1162" w:type="dxa"/>
          </w:tcPr>
          <w:p>
            <w:pPr>
              <w:pStyle w:val="TableParagraph"/>
              <w:spacing w:before="8"/>
              <w:ind w:left="153" w:right="145"/>
              <w:jc w:val="center"/>
              <w:rPr>
                <w:sz w:val="14"/>
              </w:rPr>
            </w:pPr>
            <w:r>
              <w:rPr>
                <w:color w:val="231F20"/>
                <w:sz w:val="14"/>
              </w:rPr>
              <w:t>Б57</w:t>
            </w:r>
          </w:p>
        </w:tc>
        <w:tc>
          <w:tcPr>
            <w:tcW w:w="1162" w:type="dxa"/>
          </w:tcPr>
          <w:p>
            <w:pPr>
              <w:pStyle w:val="TableParagraph"/>
              <w:spacing w:before="8"/>
              <w:ind w:left="153" w:right="145"/>
              <w:jc w:val="center"/>
              <w:rPr>
                <w:sz w:val="14"/>
              </w:rPr>
            </w:pPr>
            <w:r>
              <w:rPr>
                <w:color w:val="231F20"/>
                <w:sz w:val="14"/>
              </w:rPr>
              <w:t>7517860.9909</w:t>
            </w:r>
          </w:p>
        </w:tc>
        <w:tc>
          <w:tcPr>
            <w:tcW w:w="1162" w:type="dxa"/>
          </w:tcPr>
          <w:p>
            <w:pPr>
              <w:pStyle w:val="TableParagraph"/>
              <w:spacing w:before="8"/>
              <w:ind w:left="153" w:right="144"/>
              <w:jc w:val="center"/>
              <w:rPr>
                <w:sz w:val="14"/>
              </w:rPr>
            </w:pPr>
            <w:r>
              <w:rPr>
                <w:color w:val="231F20"/>
                <w:sz w:val="14"/>
              </w:rPr>
              <w:t>4953207.5385</w:t>
            </w:r>
          </w:p>
        </w:tc>
        <w:tc>
          <w:tcPr>
            <w:tcW w:w="1162" w:type="dxa"/>
          </w:tcPr>
          <w:p>
            <w:pPr>
              <w:pStyle w:val="TableParagraph"/>
              <w:spacing w:before="8"/>
              <w:ind w:left="153" w:right="144"/>
              <w:jc w:val="center"/>
              <w:rPr>
                <w:sz w:val="14"/>
              </w:rPr>
            </w:pPr>
            <w:r>
              <w:rPr>
                <w:color w:val="231F20"/>
                <w:sz w:val="14"/>
              </w:rPr>
              <w:t>Б101</w:t>
            </w:r>
          </w:p>
        </w:tc>
        <w:tc>
          <w:tcPr>
            <w:tcW w:w="1162" w:type="dxa"/>
          </w:tcPr>
          <w:p>
            <w:pPr>
              <w:pStyle w:val="TableParagraph"/>
              <w:spacing w:before="8"/>
              <w:ind w:left="153" w:right="143"/>
              <w:jc w:val="center"/>
              <w:rPr>
                <w:sz w:val="14"/>
              </w:rPr>
            </w:pPr>
            <w:r>
              <w:rPr>
                <w:color w:val="231F20"/>
                <w:sz w:val="14"/>
              </w:rPr>
              <w:t>7517141.9603</w:t>
            </w:r>
          </w:p>
        </w:tc>
        <w:tc>
          <w:tcPr>
            <w:tcW w:w="1162" w:type="dxa"/>
          </w:tcPr>
          <w:p>
            <w:pPr>
              <w:pStyle w:val="TableParagraph"/>
              <w:spacing w:before="8"/>
              <w:ind w:left="153" w:right="143"/>
              <w:jc w:val="center"/>
              <w:rPr>
                <w:sz w:val="14"/>
              </w:rPr>
            </w:pPr>
            <w:r>
              <w:rPr>
                <w:color w:val="231F20"/>
                <w:sz w:val="14"/>
              </w:rPr>
              <w:t>4954285.9432</w:t>
            </w:r>
          </w:p>
        </w:tc>
      </w:tr>
      <w:tr>
        <w:trPr>
          <w:trHeight w:val="200" w:hRule="atLeast"/>
        </w:trPr>
        <w:tc>
          <w:tcPr>
            <w:tcW w:w="1162" w:type="dxa"/>
          </w:tcPr>
          <w:p>
            <w:pPr>
              <w:pStyle w:val="TableParagraph"/>
              <w:spacing w:before="8"/>
              <w:ind w:left="152" w:right="146"/>
              <w:jc w:val="center"/>
              <w:rPr>
                <w:sz w:val="14"/>
              </w:rPr>
            </w:pPr>
            <w:r>
              <w:rPr>
                <w:color w:val="231F20"/>
                <w:sz w:val="14"/>
              </w:rPr>
              <w:t>Б15</w:t>
            </w:r>
          </w:p>
        </w:tc>
        <w:tc>
          <w:tcPr>
            <w:tcW w:w="1162" w:type="dxa"/>
          </w:tcPr>
          <w:p>
            <w:pPr>
              <w:pStyle w:val="TableParagraph"/>
              <w:spacing w:before="8"/>
              <w:ind w:left="153" w:right="146"/>
              <w:jc w:val="center"/>
              <w:rPr>
                <w:sz w:val="14"/>
              </w:rPr>
            </w:pPr>
            <w:r>
              <w:rPr>
                <w:color w:val="231F20"/>
                <w:sz w:val="14"/>
              </w:rPr>
              <w:t>7516991.0088</w:t>
            </w:r>
          </w:p>
        </w:tc>
        <w:tc>
          <w:tcPr>
            <w:tcW w:w="1162" w:type="dxa"/>
          </w:tcPr>
          <w:p>
            <w:pPr>
              <w:pStyle w:val="TableParagraph"/>
              <w:spacing w:before="8"/>
              <w:ind w:left="153" w:right="146"/>
              <w:jc w:val="center"/>
              <w:rPr>
                <w:sz w:val="14"/>
              </w:rPr>
            </w:pPr>
            <w:r>
              <w:rPr>
                <w:color w:val="231F20"/>
                <w:sz w:val="14"/>
              </w:rPr>
              <w:t>4953918.8715</w:t>
            </w:r>
          </w:p>
        </w:tc>
        <w:tc>
          <w:tcPr>
            <w:tcW w:w="1162" w:type="dxa"/>
          </w:tcPr>
          <w:p>
            <w:pPr>
              <w:pStyle w:val="TableParagraph"/>
              <w:spacing w:before="8"/>
              <w:ind w:left="153" w:right="145"/>
              <w:jc w:val="center"/>
              <w:rPr>
                <w:sz w:val="14"/>
              </w:rPr>
            </w:pPr>
            <w:r>
              <w:rPr>
                <w:color w:val="231F20"/>
                <w:sz w:val="14"/>
              </w:rPr>
              <w:t>Б58</w:t>
            </w:r>
          </w:p>
        </w:tc>
        <w:tc>
          <w:tcPr>
            <w:tcW w:w="1162" w:type="dxa"/>
          </w:tcPr>
          <w:p>
            <w:pPr>
              <w:pStyle w:val="TableParagraph"/>
              <w:spacing w:before="8"/>
              <w:ind w:left="153" w:right="145"/>
              <w:jc w:val="center"/>
              <w:rPr>
                <w:sz w:val="14"/>
              </w:rPr>
            </w:pPr>
            <w:r>
              <w:rPr>
                <w:color w:val="231F20"/>
                <w:sz w:val="14"/>
              </w:rPr>
              <w:t>7517831.5893</w:t>
            </w:r>
          </w:p>
        </w:tc>
        <w:tc>
          <w:tcPr>
            <w:tcW w:w="1162" w:type="dxa"/>
          </w:tcPr>
          <w:p>
            <w:pPr>
              <w:pStyle w:val="TableParagraph"/>
              <w:spacing w:before="8"/>
              <w:ind w:left="153" w:right="145"/>
              <w:jc w:val="center"/>
              <w:rPr>
                <w:sz w:val="14"/>
              </w:rPr>
            </w:pPr>
            <w:r>
              <w:rPr>
                <w:color w:val="231F20"/>
                <w:sz w:val="14"/>
              </w:rPr>
              <w:t>4953192.1560</w:t>
            </w:r>
          </w:p>
        </w:tc>
        <w:tc>
          <w:tcPr>
            <w:tcW w:w="1162" w:type="dxa"/>
          </w:tcPr>
          <w:p>
            <w:pPr>
              <w:pStyle w:val="TableParagraph"/>
              <w:spacing w:before="8"/>
              <w:ind w:left="153" w:right="144"/>
              <w:jc w:val="center"/>
              <w:rPr>
                <w:sz w:val="14"/>
              </w:rPr>
            </w:pPr>
            <w:r>
              <w:rPr>
                <w:color w:val="231F20"/>
                <w:sz w:val="14"/>
              </w:rPr>
              <w:t>Б102</w:t>
            </w:r>
          </w:p>
        </w:tc>
        <w:tc>
          <w:tcPr>
            <w:tcW w:w="1162" w:type="dxa"/>
          </w:tcPr>
          <w:p>
            <w:pPr>
              <w:pStyle w:val="TableParagraph"/>
              <w:spacing w:before="8"/>
              <w:ind w:left="153" w:right="144"/>
              <w:jc w:val="center"/>
              <w:rPr>
                <w:sz w:val="14"/>
              </w:rPr>
            </w:pPr>
            <w:r>
              <w:rPr>
                <w:color w:val="231F20"/>
                <w:sz w:val="14"/>
              </w:rPr>
              <w:t>7517240.3241</w:t>
            </w:r>
          </w:p>
        </w:tc>
        <w:tc>
          <w:tcPr>
            <w:tcW w:w="1162" w:type="dxa"/>
          </w:tcPr>
          <w:p>
            <w:pPr>
              <w:pStyle w:val="TableParagraph"/>
              <w:spacing w:before="8"/>
              <w:ind w:left="153" w:right="143"/>
              <w:jc w:val="center"/>
              <w:rPr>
                <w:sz w:val="14"/>
              </w:rPr>
            </w:pPr>
            <w:r>
              <w:rPr>
                <w:color w:val="231F20"/>
                <w:sz w:val="14"/>
              </w:rPr>
              <w:t>4954228.1983</w:t>
            </w:r>
          </w:p>
        </w:tc>
      </w:tr>
      <w:tr>
        <w:trPr>
          <w:trHeight w:val="200" w:hRule="atLeast"/>
        </w:trPr>
        <w:tc>
          <w:tcPr>
            <w:tcW w:w="1162" w:type="dxa"/>
          </w:tcPr>
          <w:p>
            <w:pPr>
              <w:pStyle w:val="TableParagraph"/>
              <w:spacing w:before="8"/>
              <w:ind w:left="152" w:right="146"/>
              <w:jc w:val="center"/>
              <w:rPr>
                <w:sz w:val="14"/>
              </w:rPr>
            </w:pPr>
            <w:r>
              <w:rPr>
                <w:color w:val="231F20"/>
                <w:sz w:val="14"/>
              </w:rPr>
              <w:t>Б16</w:t>
            </w:r>
          </w:p>
        </w:tc>
        <w:tc>
          <w:tcPr>
            <w:tcW w:w="1162" w:type="dxa"/>
          </w:tcPr>
          <w:p>
            <w:pPr>
              <w:pStyle w:val="TableParagraph"/>
              <w:spacing w:before="8"/>
              <w:ind w:left="153" w:right="146"/>
              <w:jc w:val="center"/>
              <w:rPr>
                <w:sz w:val="14"/>
              </w:rPr>
            </w:pPr>
            <w:r>
              <w:rPr>
                <w:color w:val="231F20"/>
                <w:sz w:val="14"/>
              </w:rPr>
              <w:t>7516947.3819</w:t>
            </w:r>
          </w:p>
        </w:tc>
        <w:tc>
          <w:tcPr>
            <w:tcW w:w="1162" w:type="dxa"/>
          </w:tcPr>
          <w:p>
            <w:pPr>
              <w:pStyle w:val="TableParagraph"/>
              <w:spacing w:before="8"/>
              <w:ind w:left="153" w:right="146"/>
              <w:jc w:val="center"/>
              <w:rPr>
                <w:sz w:val="14"/>
              </w:rPr>
            </w:pPr>
            <w:r>
              <w:rPr>
                <w:color w:val="231F20"/>
                <w:sz w:val="14"/>
              </w:rPr>
              <w:t>4954013.9252</w:t>
            </w:r>
          </w:p>
        </w:tc>
        <w:tc>
          <w:tcPr>
            <w:tcW w:w="1162" w:type="dxa"/>
          </w:tcPr>
          <w:p>
            <w:pPr>
              <w:pStyle w:val="TableParagraph"/>
              <w:spacing w:before="8"/>
              <w:ind w:left="153" w:right="146"/>
              <w:jc w:val="center"/>
              <w:rPr>
                <w:sz w:val="14"/>
              </w:rPr>
            </w:pPr>
            <w:r>
              <w:rPr>
                <w:color w:val="231F20"/>
                <w:sz w:val="14"/>
              </w:rPr>
              <w:t>Б59</w:t>
            </w:r>
          </w:p>
        </w:tc>
        <w:tc>
          <w:tcPr>
            <w:tcW w:w="1162" w:type="dxa"/>
          </w:tcPr>
          <w:p>
            <w:pPr>
              <w:pStyle w:val="TableParagraph"/>
              <w:spacing w:before="8"/>
              <w:ind w:left="153" w:right="145"/>
              <w:jc w:val="center"/>
              <w:rPr>
                <w:sz w:val="14"/>
              </w:rPr>
            </w:pPr>
            <w:r>
              <w:rPr>
                <w:color w:val="231F20"/>
                <w:sz w:val="14"/>
              </w:rPr>
              <w:t>7517803.4257</w:t>
            </w:r>
          </w:p>
        </w:tc>
        <w:tc>
          <w:tcPr>
            <w:tcW w:w="1162" w:type="dxa"/>
          </w:tcPr>
          <w:p>
            <w:pPr>
              <w:pStyle w:val="TableParagraph"/>
              <w:spacing w:before="8"/>
              <w:ind w:left="153" w:right="145"/>
              <w:jc w:val="center"/>
              <w:rPr>
                <w:sz w:val="14"/>
              </w:rPr>
            </w:pPr>
            <w:r>
              <w:rPr>
                <w:color w:val="231F20"/>
                <w:sz w:val="14"/>
              </w:rPr>
              <w:t>4953180.5576</w:t>
            </w:r>
          </w:p>
        </w:tc>
        <w:tc>
          <w:tcPr>
            <w:tcW w:w="1162" w:type="dxa"/>
          </w:tcPr>
          <w:p>
            <w:pPr>
              <w:pStyle w:val="TableParagraph"/>
              <w:spacing w:before="8"/>
              <w:ind w:left="153" w:right="145"/>
              <w:jc w:val="center"/>
              <w:rPr>
                <w:sz w:val="14"/>
              </w:rPr>
            </w:pPr>
            <w:r>
              <w:rPr>
                <w:color w:val="231F20"/>
                <w:sz w:val="14"/>
              </w:rPr>
              <w:t>Б103</w:t>
            </w:r>
          </w:p>
        </w:tc>
        <w:tc>
          <w:tcPr>
            <w:tcW w:w="1162" w:type="dxa"/>
          </w:tcPr>
          <w:p>
            <w:pPr>
              <w:pStyle w:val="TableParagraph"/>
              <w:spacing w:before="8"/>
              <w:ind w:left="153" w:right="144"/>
              <w:jc w:val="center"/>
              <w:rPr>
                <w:sz w:val="14"/>
              </w:rPr>
            </w:pPr>
            <w:r>
              <w:rPr>
                <w:color w:val="231F20"/>
                <w:sz w:val="14"/>
              </w:rPr>
              <w:t>7517265.2720</w:t>
            </w:r>
          </w:p>
        </w:tc>
        <w:tc>
          <w:tcPr>
            <w:tcW w:w="1162" w:type="dxa"/>
          </w:tcPr>
          <w:p>
            <w:pPr>
              <w:pStyle w:val="TableParagraph"/>
              <w:spacing w:before="8"/>
              <w:ind w:left="153" w:right="144"/>
              <w:jc w:val="center"/>
              <w:rPr>
                <w:sz w:val="14"/>
              </w:rPr>
            </w:pPr>
            <w:r>
              <w:rPr>
                <w:color w:val="231F20"/>
                <w:sz w:val="14"/>
              </w:rPr>
              <w:t>4954215.8708</w:t>
            </w:r>
          </w:p>
        </w:tc>
      </w:tr>
      <w:tr>
        <w:trPr>
          <w:trHeight w:val="200" w:hRule="atLeast"/>
        </w:trPr>
        <w:tc>
          <w:tcPr>
            <w:tcW w:w="1162" w:type="dxa"/>
          </w:tcPr>
          <w:p>
            <w:pPr>
              <w:pStyle w:val="TableParagraph"/>
              <w:spacing w:before="8"/>
              <w:ind w:left="152" w:right="146"/>
              <w:jc w:val="center"/>
              <w:rPr>
                <w:sz w:val="14"/>
              </w:rPr>
            </w:pPr>
            <w:r>
              <w:rPr>
                <w:color w:val="231F20"/>
                <w:sz w:val="14"/>
              </w:rPr>
              <w:t>Б17</w:t>
            </w:r>
          </w:p>
        </w:tc>
        <w:tc>
          <w:tcPr>
            <w:tcW w:w="1162" w:type="dxa"/>
          </w:tcPr>
          <w:p>
            <w:pPr>
              <w:pStyle w:val="TableParagraph"/>
              <w:spacing w:before="8"/>
              <w:ind w:left="153" w:right="146"/>
              <w:jc w:val="center"/>
              <w:rPr>
                <w:sz w:val="14"/>
              </w:rPr>
            </w:pPr>
            <w:r>
              <w:rPr>
                <w:color w:val="231F20"/>
                <w:sz w:val="14"/>
              </w:rPr>
              <w:t>7516955.1071</w:t>
            </w:r>
          </w:p>
        </w:tc>
        <w:tc>
          <w:tcPr>
            <w:tcW w:w="1162" w:type="dxa"/>
          </w:tcPr>
          <w:p>
            <w:pPr>
              <w:pStyle w:val="TableParagraph"/>
              <w:spacing w:before="8"/>
              <w:ind w:left="153" w:right="146"/>
              <w:jc w:val="center"/>
              <w:rPr>
                <w:sz w:val="14"/>
              </w:rPr>
            </w:pPr>
            <w:r>
              <w:rPr>
                <w:color w:val="231F20"/>
                <w:sz w:val="14"/>
              </w:rPr>
              <w:t>4954017.4708</w:t>
            </w:r>
          </w:p>
        </w:tc>
        <w:tc>
          <w:tcPr>
            <w:tcW w:w="1162" w:type="dxa"/>
          </w:tcPr>
          <w:p>
            <w:pPr>
              <w:pStyle w:val="TableParagraph"/>
              <w:spacing w:before="8"/>
              <w:ind w:left="153" w:right="146"/>
              <w:jc w:val="center"/>
              <w:rPr>
                <w:sz w:val="14"/>
              </w:rPr>
            </w:pPr>
            <w:r>
              <w:rPr>
                <w:color w:val="231F20"/>
                <w:sz w:val="14"/>
              </w:rPr>
              <w:t>Б60</w:t>
            </w:r>
          </w:p>
        </w:tc>
        <w:tc>
          <w:tcPr>
            <w:tcW w:w="1162" w:type="dxa"/>
          </w:tcPr>
          <w:p>
            <w:pPr>
              <w:pStyle w:val="TableParagraph"/>
              <w:spacing w:before="8"/>
              <w:ind w:left="153" w:right="145"/>
              <w:jc w:val="center"/>
              <w:rPr>
                <w:sz w:val="14"/>
              </w:rPr>
            </w:pPr>
            <w:r>
              <w:rPr>
                <w:color w:val="231F20"/>
                <w:sz w:val="14"/>
              </w:rPr>
              <w:t>7517771.8387</w:t>
            </w:r>
          </w:p>
        </w:tc>
        <w:tc>
          <w:tcPr>
            <w:tcW w:w="1162" w:type="dxa"/>
          </w:tcPr>
          <w:p>
            <w:pPr>
              <w:pStyle w:val="TableParagraph"/>
              <w:spacing w:before="8"/>
              <w:ind w:left="153" w:right="145"/>
              <w:jc w:val="center"/>
              <w:rPr>
                <w:sz w:val="14"/>
              </w:rPr>
            </w:pPr>
            <w:r>
              <w:rPr>
                <w:color w:val="231F20"/>
                <w:sz w:val="14"/>
              </w:rPr>
              <w:t>4953174.2820</w:t>
            </w:r>
          </w:p>
        </w:tc>
        <w:tc>
          <w:tcPr>
            <w:tcW w:w="1162" w:type="dxa"/>
          </w:tcPr>
          <w:p>
            <w:pPr>
              <w:pStyle w:val="TableParagraph"/>
              <w:spacing w:before="8"/>
              <w:ind w:left="153" w:right="145"/>
              <w:jc w:val="center"/>
              <w:rPr>
                <w:sz w:val="14"/>
              </w:rPr>
            </w:pPr>
            <w:r>
              <w:rPr>
                <w:color w:val="231F20"/>
                <w:sz w:val="14"/>
              </w:rPr>
              <w:t>Б104</w:t>
            </w:r>
          </w:p>
        </w:tc>
        <w:tc>
          <w:tcPr>
            <w:tcW w:w="1162" w:type="dxa"/>
          </w:tcPr>
          <w:p>
            <w:pPr>
              <w:pStyle w:val="TableParagraph"/>
              <w:spacing w:before="8"/>
              <w:ind w:left="153" w:right="144"/>
              <w:jc w:val="center"/>
              <w:rPr>
                <w:sz w:val="14"/>
              </w:rPr>
            </w:pPr>
            <w:r>
              <w:rPr>
                <w:color w:val="231F20"/>
                <w:sz w:val="14"/>
              </w:rPr>
              <w:t>7517290.2032</w:t>
            </w:r>
          </w:p>
        </w:tc>
        <w:tc>
          <w:tcPr>
            <w:tcW w:w="1162" w:type="dxa"/>
          </w:tcPr>
          <w:p>
            <w:pPr>
              <w:pStyle w:val="TableParagraph"/>
              <w:spacing w:before="8"/>
              <w:ind w:left="153" w:right="144"/>
              <w:jc w:val="center"/>
              <w:rPr>
                <w:sz w:val="14"/>
              </w:rPr>
            </w:pPr>
            <w:r>
              <w:rPr>
                <w:color w:val="231F20"/>
                <w:sz w:val="14"/>
              </w:rPr>
              <w:t>4954208.5967</w:t>
            </w:r>
          </w:p>
        </w:tc>
      </w:tr>
      <w:tr>
        <w:trPr>
          <w:trHeight w:val="200" w:hRule="atLeast"/>
        </w:trPr>
        <w:tc>
          <w:tcPr>
            <w:tcW w:w="1162" w:type="dxa"/>
          </w:tcPr>
          <w:p>
            <w:pPr>
              <w:pStyle w:val="TableParagraph"/>
              <w:spacing w:before="8"/>
              <w:ind w:left="152" w:right="146"/>
              <w:jc w:val="center"/>
              <w:rPr>
                <w:sz w:val="14"/>
              </w:rPr>
            </w:pPr>
            <w:r>
              <w:rPr>
                <w:color w:val="231F20"/>
                <w:sz w:val="14"/>
              </w:rPr>
              <w:t>Б18</w:t>
            </w:r>
          </w:p>
        </w:tc>
        <w:tc>
          <w:tcPr>
            <w:tcW w:w="1162" w:type="dxa"/>
          </w:tcPr>
          <w:p>
            <w:pPr>
              <w:pStyle w:val="TableParagraph"/>
              <w:spacing w:before="8"/>
              <w:ind w:left="152" w:right="146"/>
              <w:jc w:val="center"/>
              <w:rPr>
                <w:sz w:val="14"/>
              </w:rPr>
            </w:pPr>
            <w:r>
              <w:rPr>
                <w:color w:val="231F20"/>
                <w:sz w:val="14"/>
              </w:rPr>
              <w:t>7517038.1363</w:t>
            </w:r>
          </w:p>
        </w:tc>
        <w:tc>
          <w:tcPr>
            <w:tcW w:w="1162" w:type="dxa"/>
          </w:tcPr>
          <w:p>
            <w:pPr>
              <w:pStyle w:val="TableParagraph"/>
              <w:spacing w:before="8"/>
              <w:ind w:left="153" w:right="146"/>
              <w:jc w:val="center"/>
              <w:rPr>
                <w:sz w:val="14"/>
              </w:rPr>
            </w:pPr>
            <w:r>
              <w:rPr>
                <w:color w:val="231F20"/>
                <w:sz w:val="14"/>
              </w:rPr>
              <w:t>4953836.5678</w:t>
            </w:r>
          </w:p>
        </w:tc>
        <w:tc>
          <w:tcPr>
            <w:tcW w:w="1162" w:type="dxa"/>
          </w:tcPr>
          <w:p>
            <w:pPr>
              <w:pStyle w:val="TableParagraph"/>
              <w:spacing w:before="8"/>
              <w:ind w:left="153" w:right="146"/>
              <w:jc w:val="center"/>
              <w:rPr>
                <w:sz w:val="14"/>
              </w:rPr>
            </w:pPr>
            <w:r>
              <w:rPr>
                <w:color w:val="231F20"/>
                <w:sz w:val="14"/>
              </w:rPr>
              <w:t>Б61</w:t>
            </w:r>
          </w:p>
        </w:tc>
        <w:tc>
          <w:tcPr>
            <w:tcW w:w="1162" w:type="dxa"/>
          </w:tcPr>
          <w:p>
            <w:pPr>
              <w:pStyle w:val="TableParagraph"/>
              <w:spacing w:before="8"/>
              <w:ind w:left="153" w:right="146"/>
              <w:jc w:val="center"/>
              <w:rPr>
                <w:sz w:val="14"/>
              </w:rPr>
            </w:pPr>
            <w:r>
              <w:rPr>
                <w:color w:val="231F20"/>
                <w:sz w:val="14"/>
              </w:rPr>
              <w:t>7517739.2988</w:t>
            </w:r>
          </w:p>
        </w:tc>
        <w:tc>
          <w:tcPr>
            <w:tcW w:w="1162" w:type="dxa"/>
          </w:tcPr>
          <w:p>
            <w:pPr>
              <w:pStyle w:val="TableParagraph"/>
              <w:spacing w:before="8"/>
              <w:ind w:left="153" w:right="145"/>
              <w:jc w:val="center"/>
              <w:rPr>
                <w:sz w:val="14"/>
              </w:rPr>
            </w:pPr>
            <w:r>
              <w:rPr>
                <w:color w:val="231F20"/>
                <w:sz w:val="14"/>
              </w:rPr>
              <w:t>4953172.9503</w:t>
            </w:r>
          </w:p>
        </w:tc>
        <w:tc>
          <w:tcPr>
            <w:tcW w:w="1162" w:type="dxa"/>
          </w:tcPr>
          <w:p>
            <w:pPr>
              <w:pStyle w:val="TableParagraph"/>
              <w:spacing w:before="8"/>
              <w:ind w:left="153" w:right="145"/>
              <w:jc w:val="center"/>
              <w:rPr>
                <w:sz w:val="14"/>
              </w:rPr>
            </w:pPr>
            <w:r>
              <w:rPr>
                <w:color w:val="231F20"/>
                <w:sz w:val="14"/>
              </w:rPr>
              <w:t>Б105</w:t>
            </w:r>
          </w:p>
        </w:tc>
        <w:tc>
          <w:tcPr>
            <w:tcW w:w="1162" w:type="dxa"/>
          </w:tcPr>
          <w:p>
            <w:pPr>
              <w:pStyle w:val="TableParagraph"/>
              <w:spacing w:before="8"/>
              <w:ind w:left="153" w:right="145"/>
              <w:jc w:val="center"/>
              <w:rPr>
                <w:sz w:val="14"/>
              </w:rPr>
            </w:pPr>
            <w:r>
              <w:rPr>
                <w:color w:val="231F20"/>
                <w:sz w:val="14"/>
              </w:rPr>
              <w:t>7517309.1864</w:t>
            </w:r>
          </w:p>
        </w:tc>
        <w:tc>
          <w:tcPr>
            <w:tcW w:w="1162" w:type="dxa"/>
          </w:tcPr>
          <w:p>
            <w:pPr>
              <w:pStyle w:val="TableParagraph"/>
              <w:spacing w:before="8"/>
              <w:ind w:left="153" w:right="144"/>
              <w:jc w:val="center"/>
              <w:rPr>
                <w:sz w:val="14"/>
              </w:rPr>
            </w:pPr>
            <w:r>
              <w:rPr>
                <w:color w:val="231F20"/>
                <w:sz w:val="14"/>
              </w:rPr>
              <w:t>4954205.2735</w:t>
            </w:r>
          </w:p>
        </w:tc>
      </w:tr>
      <w:tr>
        <w:trPr>
          <w:trHeight w:val="200" w:hRule="atLeast"/>
        </w:trPr>
        <w:tc>
          <w:tcPr>
            <w:tcW w:w="1162" w:type="dxa"/>
          </w:tcPr>
          <w:p>
            <w:pPr>
              <w:pStyle w:val="TableParagraph"/>
              <w:spacing w:before="8"/>
              <w:ind w:left="151" w:right="146"/>
              <w:jc w:val="center"/>
              <w:rPr>
                <w:sz w:val="14"/>
              </w:rPr>
            </w:pPr>
            <w:r>
              <w:rPr>
                <w:color w:val="231F20"/>
                <w:sz w:val="14"/>
              </w:rPr>
              <w:t>Б19</w:t>
            </w:r>
          </w:p>
        </w:tc>
        <w:tc>
          <w:tcPr>
            <w:tcW w:w="1162" w:type="dxa"/>
          </w:tcPr>
          <w:p>
            <w:pPr>
              <w:pStyle w:val="TableParagraph"/>
              <w:spacing w:before="8"/>
              <w:ind w:left="152" w:right="146"/>
              <w:jc w:val="center"/>
              <w:rPr>
                <w:sz w:val="14"/>
              </w:rPr>
            </w:pPr>
            <w:r>
              <w:rPr>
                <w:color w:val="231F20"/>
                <w:sz w:val="14"/>
              </w:rPr>
              <w:t>7517050.4410</w:t>
            </w:r>
          </w:p>
        </w:tc>
        <w:tc>
          <w:tcPr>
            <w:tcW w:w="1162" w:type="dxa"/>
          </w:tcPr>
          <w:p>
            <w:pPr>
              <w:pStyle w:val="TableParagraph"/>
              <w:spacing w:before="8"/>
              <w:ind w:left="152" w:right="146"/>
              <w:jc w:val="center"/>
              <w:rPr>
                <w:sz w:val="14"/>
              </w:rPr>
            </w:pPr>
            <w:r>
              <w:rPr>
                <w:color w:val="231F20"/>
                <w:sz w:val="14"/>
              </w:rPr>
              <w:t>4953814.7320</w:t>
            </w:r>
          </w:p>
        </w:tc>
        <w:tc>
          <w:tcPr>
            <w:tcW w:w="1162" w:type="dxa"/>
          </w:tcPr>
          <w:p>
            <w:pPr>
              <w:pStyle w:val="TableParagraph"/>
              <w:spacing w:before="8"/>
              <w:ind w:left="152" w:right="146"/>
              <w:jc w:val="center"/>
              <w:rPr>
                <w:sz w:val="14"/>
              </w:rPr>
            </w:pPr>
            <w:r>
              <w:rPr>
                <w:color w:val="231F20"/>
                <w:sz w:val="14"/>
              </w:rPr>
              <w:t>Б62</w:t>
            </w:r>
          </w:p>
        </w:tc>
        <w:tc>
          <w:tcPr>
            <w:tcW w:w="1162" w:type="dxa"/>
          </w:tcPr>
          <w:p>
            <w:pPr>
              <w:pStyle w:val="TableParagraph"/>
              <w:spacing w:before="8"/>
              <w:ind w:left="153" w:right="146"/>
              <w:jc w:val="center"/>
              <w:rPr>
                <w:sz w:val="14"/>
              </w:rPr>
            </w:pPr>
            <w:r>
              <w:rPr>
                <w:color w:val="231F20"/>
                <w:sz w:val="14"/>
              </w:rPr>
              <w:t>7517708.8499</w:t>
            </w:r>
          </w:p>
        </w:tc>
        <w:tc>
          <w:tcPr>
            <w:tcW w:w="1162" w:type="dxa"/>
          </w:tcPr>
          <w:p>
            <w:pPr>
              <w:pStyle w:val="TableParagraph"/>
              <w:spacing w:before="8"/>
              <w:ind w:left="153" w:right="146"/>
              <w:jc w:val="center"/>
              <w:rPr>
                <w:sz w:val="14"/>
              </w:rPr>
            </w:pPr>
            <w:r>
              <w:rPr>
                <w:color w:val="231F20"/>
                <w:sz w:val="14"/>
              </w:rPr>
              <w:t>4953175.8011</w:t>
            </w:r>
          </w:p>
        </w:tc>
        <w:tc>
          <w:tcPr>
            <w:tcW w:w="1162" w:type="dxa"/>
          </w:tcPr>
          <w:p>
            <w:pPr>
              <w:pStyle w:val="TableParagraph"/>
              <w:spacing w:before="8"/>
              <w:ind w:left="153" w:right="145"/>
              <w:jc w:val="center"/>
              <w:rPr>
                <w:sz w:val="14"/>
              </w:rPr>
            </w:pPr>
            <w:r>
              <w:rPr>
                <w:color w:val="231F20"/>
                <w:sz w:val="14"/>
              </w:rPr>
              <w:t>Б106</w:t>
            </w:r>
          </w:p>
        </w:tc>
        <w:tc>
          <w:tcPr>
            <w:tcW w:w="1162" w:type="dxa"/>
          </w:tcPr>
          <w:p>
            <w:pPr>
              <w:pStyle w:val="TableParagraph"/>
              <w:spacing w:before="8"/>
              <w:ind w:left="153" w:right="145"/>
              <w:jc w:val="center"/>
              <w:rPr>
                <w:sz w:val="14"/>
              </w:rPr>
            </w:pPr>
            <w:r>
              <w:rPr>
                <w:color w:val="231F20"/>
                <w:sz w:val="14"/>
              </w:rPr>
              <w:t>7517345.3824</w:t>
            </w:r>
          </w:p>
        </w:tc>
        <w:tc>
          <w:tcPr>
            <w:tcW w:w="1162" w:type="dxa"/>
          </w:tcPr>
          <w:p>
            <w:pPr>
              <w:pStyle w:val="TableParagraph"/>
              <w:spacing w:before="8"/>
              <w:ind w:left="153" w:right="144"/>
              <w:jc w:val="center"/>
              <w:rPr>
                <w:sz w:val="14"/>
              </w:rPr>
            </w:pPr>
            <w:r>
              <w:rPr>
                <w:color w:val="231F20"/>
                <w:sz w:val="14"/>
              </w:rPr>
              <w:t>4954202.3348</w:t>
            </w:r>
          </w:p>
        </w:tc>
      </w:tr>
      <w:tr>
        <w:trPr>
          <w:trHeight w:val="200" w:hRule="atLeast"/>
        </w:trPr>
        <w:tc>
          <w:tcPr>
            <w:tcW w:w="1162" w:type="dxa"/>
          </w:tcPr>
          <w:p>
            <w:pPr>
              <w:pStyle w:val="TableParagraph"/>
              <w:spacing w:before="8"/>
              <w:ind w:left="151" w:right="146"/>
              <w:jc w:val="center"/>
              <w:rPr>
                <w:sz w:val="14"/>
              </w:rPr>
            </w:pPr>
            <w:r>
              <w:rPr>
                <w:color w:val="231F20"/>
                <w:sz w:val="14"/>
              </w:rPr>
              <w:t>Б20</w:t>
            </w:r>
          </w:p>
        </w:tc>
        <w:tc>
          <w:tcPr>
            <w:tcW w:w="1162" w:type="dxa"/>
          </w:tcPr>
          <w:p>
            <w:pPr>
              <w:pStyle w:val="TableParagraph"/>
              <w:spacing w:before="8"/>
              <w:ind w:left="152" w:right="146"/>
              <w:jc w:val="center"/>
              <w:rPr>
                <w:sz w:val="14"/>
              </w:rPr>
            </w:pPr>
            <w:r>
              <w:rPr>
                <w:color w:val="231F20"/>
                <w:sz w:val="14"/>
              </w:rPr>
              <w:t>7517086.4237</w:t>
            </w:r>
          </w:p>
        </w:tc>
        <w:tc>
          <w:tcPr>
            <w:tcW w:w="1162" w:type="dxa"/>
          </w:tcPr>
          <w:p>
            <w:pPr>
              <w:pStyle w:val="TableParagraph"/>
              <w:spacing w:before="8"/>
              <w:ind w:left="152" w:right="146"/>
              <w:jc w:val="center"/>
              <w:rPr>
                <w:sz w:val="14"/>
              </w:rPr>
            </w:pPr>
            <w:r>
              <w:rPr>
                <w:color w:val="231F20"/>
                <w:sz w:val="14"/>
              </w:rPr>
              <w:t>4953775.9280</w:t>
            </w:r>
          </w:p>
        </w:tc>
        <w:tc>
          <w:tcPr>
            <w:tcW w:w="1162" w:type="dxa"/>
          </w:tcPr>
          <w:p>
            <w:pPr>
              <w:pStyle w:val="TableParagraph"/>
              <w:spacing w:before="8"/>
              <w:ind w:left="152" w:right="146"/>
              <w:jc w:val="center"/>
              <w:rPr>
                <w:sz w:val="14"/>
              </w:rPr>
            </w:pPr>
            <w:r>
              <w:rPr>
                <w:color w:val="231F20"/>
                <w:sz w:val="14"/>
              </w:rPr>
              <w:t>Б63</w:t>
            </w:r>
          </w:p>
        </w:tc>
        <w:tc>
          <w:tcPr>
            <w:tcW w:w="1162" w:type="dxa"/>
          </w:tcPr>
          <w:p>
            <w:pPr>
              <w:pStyle w:val="TableParagraph"/>
              <w:spacing w:before="8"/>
              <w:ind w:left="153" w:right="146"/>
              <w:jc w:val="center"/>
              <w:rPr>
                <w:sz w:val="14"/>
              </w:rPr>
            </w:pPr>
            <w:r>
              <w:rPr>
                <w:color w:val="231F20"/>
                <w:sz w:val="14"/>
              </w:rPr>
              <w:t>7517691.4928</w:t>
            </w:r>
          </w:p>
        </w:tc>
        <w:tc>
          <w:tcPr>
            <w:tcW w:w="1162" w:type="dxa"/>
          </w:tcPr>
          <w:p>
            <w:pPr>
              <w:pStyle w:val="TableParagraph"/>
              <w:spacing w:before="8"/>
              <w:ind w:left="153" w:right="146"/>
              <w:jc w:val="center"/>
              <w:rPr>
                <w:sz w:val="14"/>
              </w:rPr>
            </w:pPr>
            <w:r>
              <w:rPr>
                <w:color w:val="231F20"/>
                <w:sz w:val="14"/>
              </w:rPr>
              <w:t>4953183.8170</w:t>
            </w:r>
          </w:p>
        </w:tc>
        <w:tc>
          <w:tcPr>
            <w:tcW w:w="1162" w:type="dxa"/>
          </w:tcPr>
          <w:p>
            <w:pPr>
              <w:pStyle w:val="TableParagraph"/>
              <w:spacing w:before="8"/>
              <w:ind w:left="153" w:right="145"/>
              <w:jc w:val="center"/>
              <w:rPr>
                <w:sz w:val="14"/>
              </w:rPr>
            </w:pPr>
            <w:r>
              <w:rPr>
                <w:color w:val="231F20"/>
                <w:sz w:val="14"/>
              </w:rPr>
              <w:t>Б107</w:t>
            </w:r>
          </w:p>
        </w:tc>
        <w:tc>
          <w:tcPr>
            <w:tcW w:w="1162" w:type="dxa"/>
          </w:tcPr>
          <w:p>
            <w:pPr>
              <w:pStyle w:val="TableParagraph"/>
              <w:spacing w:before="8"/>
              <w:ind w:left="153" w:right="145"/>
              <w:jc w:val="center"/>
              <w:rPr>
                <w:sz w:val="14"/>
              </w:rPr>
            </w:pPr>
            <w:r>
              <w:rPr>
                <w:color w:val="231F20"/>
                <w:sz w:val="14"/>
              </w:rPr>
              <w:t>7517385.6569</w:t>
            </w:r>
          </w:p>
        </w:tc>
        <w:tc>
          <w:tcPr>
            <w:tcW w:w="1162" w:type="dxa"/>
          </w:tcPr>
          <w:p>
            <w:pPr>
              <w:pStyle w:val="TableParagraph"/>
              <w:spacing w:before="8"/>
              <w:ind w:left="153" w:right="145"/>
              <w:jc w:val="center"/>
              <w:rPr>
                <w:sz w:val="14"/>
              </w:rPr>
            </w:pPr>
            <w:r>
              <w:rPr>
                <w:color w:val="231F20"/>
                <w:sz w:val="14"/>
              </w:rPr>
              <w:t>4954195.5191</w:t>
            </w:r>
          </w:p>
        </w:tc>
      </w:tr>
      <w:tr>
        <w:trPr>
          <w:trHeight w:val="200" w:hRule="atLeast"/>
        </w:trPr>
        <w:tc>
          <w:tcPr>
            <w:tcW w:w="1162" w:type="dxa"/>
          </w:tcPr>
          <w:p>
            <w:pPr>
              <w:pStyle w:val="TableParagraph"/>
              <w:spacing w:before="8"/>
              <w:ind w:left="151" w:right="146"/>
              <w:jc w:val="center"/>
              <w:rPr>
                <w:sz w:val="14"/>
              </w:rPr>
            </w:pPr>
            <w:r>
              <w:rPr>
                <w:color w:val="231F20"/>
                <w:sz w:val="14"/>
              </w:rPr>
              <w:t>Б21</w:t>
            </w:r>
          </w:p>
        </w:tc>
        <w:tc>
          <w:tcPr>
            <w:tcW w:w="1162" w:type="dxa"/>
          </w:tcPr>
          <w:p>
            <w:pPr>
              <w:pStyle w:val="TableParagraph"/>
              <w:spacing w:before="8"/>
              <w:ind w:left="152" w:right="146"/>
              <w:jc w:val="center"/>
              <w:rPr>
                <w:sz w:val="14"/>
              </w:rPr>
            </w:pPr>
            <w:r>
              <w:rPr>
                <w:color w:val="231F20"/>
                <w:sz w:val="14"/>
              </w:rPr>
              <w:t>7517025.1913</w:t>
            </w:r>
          </w:p>
        </w:tc>
        <w:tc>
          <w:tcPr>
            <w:tcW w:w="1162" w:type="dxa"/>
          </w:tcPr>
          <w:p>
            <w:pPr>
              <w:pStyle w:val="TableParagraph"/>
              <w:spacing w:before="8"/>
              <w:ind w:left="152" w:right="146"/>
              <w:jc w:val="center"/>
              <w:rPr>
                <w:sz w:val="14"/>
              </w:rPr>
            </w:pPr>
            <w:r>
              <w:rPr>
                <w:color w:val="231F20"/>
                <w:sz w:val="14"/>
              </w:rPr>
              <w:t>4953909.3623</w:t>
            </w:r>
          </w:p>
        </w:tc>
        <w:tc>
          <w:tcPr>
            <w:tcW w:w="1162" w:type="dxa"/>
          </w:tcPr>
          <w:p>
            <w:pPr>
              <w:pStyle w:val="TableParagraph"/>
              <w:spacing w:before="8"/>
              <w:ind w:left="152" w:right="146"/>
              <w:jc w:val="center"/>
              <w:rPr>
                <w:sz w:val="14"/>
              </w:rPr>
            </w:pPr>
            <w:r>
              <w:rPr>
                <w:color w:val="231F20"/>
                <w:sz w:val="14"/>
              </w:rPr>
              <w:t>Б64</w:t>
            </w:r>
          </w:p>
        </w:tc>
        <w:tc>
          <w:tcPr>
            <w:tcW w:w="1162" w:type="dxa"/>
          </w:tcPr>
          <w:p>
            <w:pPr>
              <w:pStyle w:val="TableParagraph"/>
              <w:spacing w:before="8"/>
              <w:ind w:left="153" w:right="146"/>
              <w:jc w:val="center"/>
              <w:rPr>
                <w:sz w:val="14"/>
              </w:rPr>
            </w:pPr>
            <w:r>
              <w:rPr>
                <w:color w:val="231F20"/>
                <w:sz w:val="14"/>
              </w:rPr>
              <w:t>7517671.9059</w:t>
            </w:r>
          </w:p>
        </w:tc>
        <w:tc>
          <w:tcPr>
            <w:tcW w:w="1162" w:type="dxa"/>
          </w:tcPr>
          <w:p>
            <w:pPr>
              <w:pStyle w:val="TableParagraph"/>
              <w:spacing w:before="8"/>
              <w:ind w:left="153" w:right="146"/>
              <w:jc w:val="center"/>
              <w:rPr>
                <w:sz w:val="14"/>
              </w:rPr>
            </w:pPr>
            <w:r>
              <w:rPr>
                <w:color w:val="231F20"/>
                <w:sz w:val="14"/>
              </w:rPr>
              <w:t>4953172.6143</w:t>
            </w:r>
          </w:p>
        </w:tc>
        <w:tc>
          <w:tcPr>
            <w:tcW w:w="1162" w:type="dxa"/>
          </w:tcPr>
          <w:p>
            <w:pPr>
              <w:pStyle w:val="TableParagraph"/>
              <w:spacing w:before="8"/>
              <w:ind w:left="153" w:right="146"/>
              <w:jc w:val="center"/>
              <w:rPr>
                <w:sz w:val="14"/>
              </w:rPr>
            </w:pPr>
            <w:r>
              <w:rPr>
                <w:color w:val="231F20"/>
                <w:sz w:val="14"/>
              </w:rPr>
              <w:t>Б108</w:t>
            </w:r>
          </w:p>
        </w:tc>
        <w:tc>
          <w:tcPr>
            <w:tcW w:w="1162" w:type="dxa"/>
          </w:tcPr>
          <w:p>
            <w:pPr>
              <w:pStyle w:val="TableParagraph"/>
              <w:spacing w:before="8"/>
              <w:ind w:left="153" w:right="145"/>
              <w:jc w:val="center"/>
              <w:rPr>
                <w:sz w:val="14"/>
              </w:rPr>
            </w:pPr>
            <w:r>
              <w:rPr>
                <w:color w:val="231F20"/>
                <w:sz w:val="14"/>
              </w:rPr>
              <w:t>7517483.7450</w:t>
            </w:r>
          </w:p>
        </w:tc>
        <w:tc>
          <w:tcPr>
            <w:tcW w:w="1162" w:type="dxa"/>
          </w:tcPr>
          <w:p>
            <w:pPr>
              <w:pStyle w:val="TableParagraph"/>
              <w:spacing w:before="8"/>
              <w:ind w:left="153" w:right="145"/>
              <w:jc w:val="center"/>
              <w:rPr>
                <w:sz w:val="14"/>
              </w:rPr>
            </w:pPr>
            <w:r>
              <w:rPr>
                <w:color w:val="231F20"/>
                <w:sz w:val="14"/>
              </w:rPr>
              <w:t>4954173.9216</w:t>
            </w:r>
          </w:p>
        </w:tc>
      </w:tr>
      <w:tr>
        <w:trPr>
          <w:trHeight w:val="200" w:hRule="atLeast"/>
        </w:trPr>
        <w:tc>
          <w:tcPr>
            <w:tcW w:w="1162" w:type="dxa"/>
          </w:tcPr>
          <w:p>
            <w:pPr>
              <w:pStyle w:val="TableParagraph"/>
              <w:spacing w:before="8"/>
              <w:ind w:left="151" w:right="146"/>
              <w:jc w:val="center"/>
              <w:rPr>
                <w:sz w:val="14"/>
              </w:rPr>
            </w:pPr>
            <w:r>
              <w:rPr>
                <w:color w:val="231F20"/>
                <w:sz w:val="14"/>
              </w:rPr>
              <w:t>Б22</w:t>
            </w:r>
          </w:p>
        </w:tc>
        <w:tc>
          <w:tcPr>
            <w:tcW w:w="1162" w:type="dxa"/>
          </w:tcPr>
          <w:p>
            <w:pPr>
              <w:pStyle w:val="TableParagraph"/>
              <w:spacing w:before="8"/>
              <w:ind w:left="151" w:right="146"/>
              <w:jc w:val="center"/>
              <w:rPr>
                <w:sz w:val="14"/>
              </w:rPr>
            </w:pPr>
            <w:r>
              <w:rPr>
                <w:color w:val="231F20"/>
                <w:sz w:val="14"/>
              </w:rPr>
              <w:t>7517036.0978</w:t>
            </w:r>
          </w:p>
        </w:tc>
        <w:tc>
          <w:tcPr>
            <w:tcW w:w="1162" w:type="dxa"/>
          </w:tcPr>
          <w:p>
            <w:pPr>
              <w:pStyle w:val="TableParagraph"/>
              <w:spacing w:before="8"/>
              <w:ind w:left="152" w:right="146"/>
              <w:jc w:val="center"/>
              <w:rPr>
                <w:sz w:val="14"/>
              </w:rPr>
            </w:pPr>
            <w:r>
              <w:rPr>
                <w:color w:val="231F20"/>
                <w:sz w:val="14"/>
              </w:rPr>
              <w:t>4953914.3672</w:t>
            </w:r>
          </w:p>
        </w:tc>
        <w:tc>
          <w:tcPr>
            <w:tcW w:w="1162" w:type="dxa"/>
          </w:tcPr>
          <w:p>
            <w:pPr>
              <w:pStyle w:val="TableParagraph"/>
              <w:spacing w:before="8"/>
              <w:ind w:left="152" w:right="146"/>
              <w:jc w:val="center"/>
              <w:rPr>
                <w:sz w:val="14"/>
              </w:rPr>
            </w:pPr>
            <w:r>
              <w:rPr>
                <w:color w:val="231F20"/>
                <w:sz w:val="14"/>
              </w:rPr>
              <w:t>Б65</w:t>
            </w:r>
          </w:p>
        </w:tc>
        <w:tc>
          <w:tcPr>
            <w:tcW w:w="1162" w:type="dxa"/>
          </w:tcPr>
          <w:p>
            <w:pPr>
              <w:pStyle w:val="TableParagraph"/>
              <w:spacing w:before="8"/>
              <w:ind w:left="153" w:right="146"/>
              <w:jc w:val="center"/>
              <w:rPr>
                <w:sz w:val="14"/>
              </w:rPr>
            </w:pPr>
            <w:r>
              <w:rPr>
                <w:color w:val="231F20"/>
                <w:sz w:val="14"/>
              </w:rPr>
              <w:t>7517626.8107</w:t>
            </w:r>
          </w:p>
        </w:tc>
        <w:tc>
          <w:tcPr>
            <w:tcW w:w="1162" w:type="dxa"/>
          </w:tcPr>
          <w:p>
            <w:pPr>
              <w:pStyle w:val="TableParagraph"/>
              <w:spacing w:before="8"/>
              <w:ind w:left="153" w:right="146"/>
              <w:jc w:val="center"/>
              <w:rPr>
                <w:sz w:val="14"/>
              </w:rPr>
            </w:pPr>
            <w:r>
              <w:rPr>
                <w:color w:val="231F20"/>
                <w:sz w:val="14"/>
              </w:rPr>
              <w:t>4953164.3902</w:t>
            </w:r>
          </w:p>
        </w:tc>
        <w:tc>
          <w:tcPr>
            <w:tcW w:w="1162" w:type="dxa"/>
          </w:tcPr>
          <w:p>
            <w:pPr>
              <w:pStyle w:val="TableParagraph"/>
              <w:spacing w:before="8"/>
              <w:ind w:left="153" w:right="146"/>
              <w:jc w:val="center"/>
              <w:rPr>
                <w:sz w:val="14"/>
              </w:rPr>
            </w:pPr>
            <w:r>
              <w:rPr>
                <w:color w:val="231F20"/>
                <w:sz w:val="14"/>
              </w:rPr>
              <w:t>Б109</w:t>
            </w:r>
          </w:p>
        </w:tc>
        <w:tc>
          <w:tcPr>
            <w:tcW w:w="1162" w:type="dxa"/>
          </w:tcPr>
          <w:p>
            <w:pPr>
              <w:pStyle w:val="TableParagraph"/>
              <w:spacing w:before="8"/>
              <w:ind w:left="153" w:right="145"/>
              <w:jc w:val="center"/>
              <w:rPr>
                <w:sz w:val="14"/>
              </w:rPr>
            </w:pPr>
            <w:r>
              <w:rPr>
                <w:color w:val="231F20"/>
                <w:sz w:val="14"/>
              </w:rPr>
              <w:t>7517519.9039</w:t>
            </w:r>
          </w:p>
        </w:tc>
        <w:tc>
          <w:tcPr>
            <w:tcW w:w="1162" w:type="dxa"/>
          </w:tcPr>
          <w:p>
            <w:pPr>
              <w:pStyle w:val="TableParagraph"/>
              <w:spacing w:before="8"/>
              <w:ind w:left="153" w:right="145"/>
              <w:jc w:val="center"/>
              <w:rPr>
                <w:sz w:val="14"/>
              </w:rPr>
            </w:pPr>
            <w:r>
              <w:rPr>
                <w:color w:val="231F20"/>
                <w:sz w:val="14"/>
              </w:rPr>
              <w:t>4954161.9657</w:t>
            </w:r>
          </w:p>
        </w:tc>
      </w:tr>
      <w:tr>
        <w:trPr>
          <w:trHeight w:val="200" w:hRule="atLeast"/>
        </w:trPr>
        <w:tc>
          <w:tcPr>
            <w:tcW w:w="1162" w:type="dxa"/>
          </w:tcPr>
          <w:p>
            <w:pPr>
              <w:pStyle w:val="TableParagraph"/>
              <w:spacing w:before="8"/>
              <w:ind w:left="150" w:right="146"/>
              <w:jc w:val="center"/>
              <w:rPr>
                <w:sz w:val="14"/>
              </w:rPr>
            </w:pPr>
            <w:r>
              <w:rPr>
                <w:color w:val="231F20"/>
                <w:sz w:val="14"/>
              </w:rPr>
              <w:t>Б23</w:t>
            </w:r>
          </w:p>
        </w:tc>
        <w:tc>
          <w:tcPr>
            <w:tcW w:w="1162" w:type="dxa"/>
          </w:tcPr>
          <w:p>
            <w:pPr>
              <w:pStyle w:val="TableParagraph"/>
              <w:spacing w:before="8"/>
              <w:ind w:left="151" w:right="146"/>
              <w:jc w:val="center"/>
              <w:rPr>
                <w:sz w:val="14"/>
              </w:rPr>
            </w:pPr>
            <w:r>
              <w:rPr>
                <w:color w:val="231F20"/>
                <w:sz w:val="14"/>
              </w:rPr>
              <w:t>7517174.0055</w:t>
            </w:r>
          </w:p>
        </w:tc>
        <w:tc>
          <w:tcPr>
            <w:tcW w:w="1162" w:type="dxa"/>
          </w:tcPr>
          <w:p>
            <w:pPr>
              <w:pStyle w:val="TableParagraph"/>
              <w:spacing w:before="8"/>
              <w:ind w:left="151" w:right="146"/>
              <w:jc w:val="center"/>
              <w:rPr>
                <w:sz w:val="14"/>
              </w:rPr>
            </w:pPr>
            <w:r>
              <w:rPr>
                <w:color w:val="231F20"/>
                <w:sz w:val="14"/>
              </w:rPr>
              <w:t>4953613.8462</w:t>
            </w:r>
          </w:p>
        </w:tc>
        <w:tc>
          <w:tcPr>
            <w:tcW w:w="1162" w:type="dxa"/>
          </w:tcPr>
          <w:p>
            <w:pPr>
              <w:pStyle w:val="TableParagraph"/>
              <w:spacing w:before="8"/>
              <w:ind w:left="152" w:right="146"/>
              <w:jc w:val="center"/>
              <w:rPr>
                <w:sz w:val="14"/>
              </w:rPr>
            </w:pPr>
            <w:r>
              <w:rPr>
                <w:color w:val="231F20"/>
                <w:sz w:val="14"/>
              </w:rPr>
              <w:t>Б66</w:t>
            </w:r>
          </w:p>
        </w:tc>
        <w:tc>
          <w:tcPr>
            <w:tcW w:w="1162" w:type="dxa"/>
          </w:tcPr>
          <w:p>
            <w:pPr>
              <w:pStyle w:val="TableParagraph"/>
              <w:spacing w:before="8"/>
              <w:ind w:left="152" w:right="146"/>
              <w:jc w:val="center"/>
              <w:rPr>
                <w:sz w:val="14"/>
              </w:rPr>
            </w:pPr>
            <w:r>
              <w:rPr>
                <w:color w:val="231F20"/>
                <w:sz w:val="14"/>
              </w:rPr>
              <w:t>7517608.5099</w:t>
            </w:r>
          </w:p>
        </w:tc>
        <w:tc>
          <w:tcPr>
            <w:tcW w:w="1162" w:type="dxa"/>
          </w:tcPr>
          <w:p>
            <w:pPr>
              <w:pStyle w:val="TableParagraph"/>
              <w:spacing w:before="8"/>
              <w:ind w:left="153" w:right="146"/>
              <w:jc w:val="center"/>
              <w:rPr>
                <w:sz w:val="14"/>
              </w:rPr>
            </w:pPr>
            <w:r>
              <w:rPr>
                <w:color w:val="231F20"/>
                <w:sz w:val="14"/>
              </w:rPr>
              <w:t>4953160.5865</w:t>
            </w:r>
          </w:p>
        </w:tc>
        <w:tc>
          <w:tcPr>
            <w:tcW w:w="1162" w:type="dxa"/>
          </w:tcPr>
          <w:p>
            <w:pPr>
              <w:pStyle w:val="TableParagraph"/>
              <w:spacing w:before="8"/>
              <w:ind w:left="153" w:right="146"/>
              <w:jc w:val="center"/>
              <w:rPr>
                <w:sz w:val="14"/>
              </w:rPr>
            </w:pPr>
            <w:r>
              <w:rPr>
                <w:color w:val="231F20"/>
                <w:sz w:val="14"/>
              </w:rPr>
              <w:t>Б110</w:t>
            </w:r>
          </w:p>
        </w:tc>
        <w:tc>
          <w:tcPr>
            <w:tcW w:w="1162" w:type="dxa"/>
          </w:tcPr>
          <w:p>
            <w:pPr>
              <w:pStyle w:val="TableParagraph"/>
              <w:spacing w:before="8"/>
              <w:ind w:left="153" w:right="146"/>
              <w:jc w:val="center"/>
              <w:rPr>
                <w:sz w:val="14"/>
              </w:rPr>
            </w:pPr>
            <w:r>
              <w:rPr>
                <w:color w:val="231F20"/>
                <w:sz w:val="14"/>
              </w:rPr>
              <w:t>7517552.5853</w:t>
            </w:r>
          </w:p>
        </w:tc>
        <w:tc>
          <w:tcPr>
            <w:tcW w:w="1162" w:type="dxa"/>
          </w:tcPr>
          <w:p>
            <w:pPr>
              <w:pStyle w:val="TableParagraph"/>
              <w:spacing w:before="8"/>
              <w:ind w:left="153" w:right="145"/>
              <w:jc w:val="center"/>
              <w:rPr>
                <w:sz w:val="14"/>
              </w:rPr>
            </w:pPr>
            <w:r>
              <w:rPr>
                <w:color w:val="231F20"/>
                <w:sz w:val="14"/>
              </w:rPr>
              <w:t>4954143.2622</w:t>
            </w:r>
          </w:p>
        </w:tc>
      </w:tr>
      <w:tr>
        <w:trPr>
          <w:trHeight w:val="200" w:hRule="atLeast"/>
        </w:trPr>
        <w:tc>
          <w:tcPr>
            <w:tcW w:w="1162" w:type="dxa"/>
          </w:tcPr>
          <w:p>
            <w:pPr>
              <w:pStyle w:val="TableParagraph"/>
              <w:spacing w:before="8"/>
              <w:ind w:left="150" w:right="146"/>
              <w:jc w:val="center"/>
              <w:rPr>
                <w:sz w:val="14"/>
              </w:rPr>
            </w:pPr>
            <w:r>
              <w:rPr>
                <w:color w:val="231F20"/>
                <w:sz w:val="14"/>
              </w:rPr>
              <w:t>Б24</w:t>
            </w:r>
          </w:p>
        </w:tc>
        <w:tc>
          <w:tcPr>
            <w:tcW w:w="1162" w:type="dxa"/>
          </w:tcPr>
          <w:p>
            <w:pPr>
              <w:pStyle w:val="TableParagraph"/>
              <w:spacing w:before="8"/>
              <w:ind w:left="151" w:right="146"/>
              <w:jc w:val="center"/>
              <w:rPr>
                <w:sz w:val="14"/>
              </w:rPr>
            </w:pPr>
            <w:r>
              <w:rPr>
                <w:color w:val="231F20"/>
                <w:sz w:val="14"/>
              </w:rPr>
              <w:t>7517191.7786</w:t>
            </w:r>
          </w:p>
        </w:tc>
        <w:tc>
          <w:tcPr>
            <w:tcW w:w="1162" w:type="dxa"/>
          </w:tcPr>
          <w:p>
            <w:pPr>
              <w:pStyle w:val="TableParagraph"/>
              <w:spacing w:before="8"/>
              <w:ind w:left="151" w:right="146"/>
              <w:jc w:val="center"/>
              <w:rPr>
                <w:sz w:val="14"/>
              </w:rPr>
            </w:pPr>
            <w:r>
              <w:rPr>
                <w:color w:val="231F20"/>
                <w:sz w:val="14"/>
              </w:rPr>
              <w:t>4953583.1769</w:t>
            </w:r>
          </w:p>
        </w:tc>
        <w:tc>
          <w:tcPr>
            <w:tcW w:w="1162" w:type="dxa"/>
          </w:tcPr>
          <w:p>
            <w:pPr>
              <w:pStyle w:val="TableParagraph"/>
              <w:spacing w:before="8"/>
              <w:ind w:left="151" w:right="146"/>
              <w:jc w:val="center"/>
              <w:rPr>
                <w:sz w:val="14"/>
              </w:rPr>
            </w:pPr>
            <w:r>
              <w:rPr>
                <w:color w:val="231F20"/>
                <w:sz w:val="14"/>
              </w:rPr>
              <w:t>Б67</w:t>
            </w:r>
          </w:p>
        </w:tc>
        <w:tc>
          <w:tcPr>
            <w:tcW w:w="1162" w:type="dxa"/>
          </w:tcPr>
          <w:p>
            <w:pPr>
              <w:pStyle w:val="TableParagraph"/>
              <w:spacing w:before="8"/>
              <w:ind w:left="152" w:right="146"/>
              <w:jc w:val="center"/>
              <w:rPr>
                <w:sz w:val="14"/>
              </w:rPr>
            </w:pPr>
            <w:r>
              <w:rPr>
                <w:color w:val="231F20"/>
                <w:sz w:val="14"/>
              </w:rPr>
              <w:t>7517587.9238</w:t>
            </w:r>
          </w:p>
        </w:tc>
        <w:tc>
          <w:tcPr>
            <w:tcW w:w="1162" w:type="dxa"/>
          </w:tcPr>
          <w:p>
            <w:pPr>
              <w:pStyle w:val="TableParagraph"/>
              <w:spacing w:before="8"/>
              <w:ind w:left="152" w:right="146"/>
              <w:jc w:val="center"/>
              <w:rPr>
                <w:sz w:val="14"/>
              </w:rPr>
            </w:pPr>
            <w:r>
              <w:rPr>
                <w:color w:val="231F20"/>
                <w:sz w:val="14"/>
              </w:rPr>
              <w:t>4953161.5394</w:t>
            </w:r>
          </w:p>
        </w:tc>
        <w:tc>
          <w:tcPr>
            <w:tcW w:w="1162" w:type="dxa"/>
          </w:tcPr>
          <w:p>
            <w:pPr>
              <w:pStyle w:val="TableParagraph"/>
              <w:spacing w:before="8"/>
              <w:ind w:left="152" w:right="146"/>
              <w:jc w:val="center"/>
              <w:rPr>
                <w:sz w:val="14"/>
              </w:rPr>
            </w:pPr>
            <w:r>
              <w:rPr>
                <w:color w:val="231F20"/>
                <w:sz w:val="14"/>
              </w:rPr>
              <w:t>Б111</w:t>
            </w:r>
          </w:p>
        </w:tc>
        <w:tc>
          <w:tcPr>
            <w:tcW w:w="1162" w:type="dxa"/>
          </w:tcPr>
          <w:p>
            <w:pPr>
              <w:pStyle w:val="TableParagraph"/>
              <w:spacing w:before="8"/>
              <w:ind w:left="153" w:right="146"/>
              <w:jc w:val="center"/>
              <w:rPr>
                <w:sz w:val="14"/>
              </w:rPr>
            </w:pPr>
            <w:r>
              <w:rPr>
                <w:color w:val="231F20"/>
                <w:sz w:val="14"/>
              </w:rPr>
              <w:t>7517579.8361</w:t>
            </w:r>
          </w:p>
        </w:tc>
        <w:tc>
          <w:tcPr>
            <w:tcW w:w="1162" w:type="dxa"/>
          </w:tcPr>
          <w:p>
            <w:pPr>
              <w:pStyle w:val="TableParagraph"/>
              <w:spacing w:before="8"/>
              <w:ind w:left="153" w:right="146"/>
              <w:jc w:val="center"/>
              <w:rPr>
                <w:sz w:val="14"/>
              </w:rPr>
            </w:pPr>
            <w:r>
              <w:rPr>
                <w:color w:val="231F20"/>
                <w:sz w:val="14"/>
              </w:rPr>
              <w:t>4954119.1114</w:t>
            </w:r>
          </w:p>
        </w:tc>
      </w:tr>
      <w:tr>
        <w:trPr>
          <w:trHeight w:val="200" w:hRule="atLeast"/>
        </w:trPr>
        <w:tc>
          <w:tcPr>
            <w:tcW w:w="1162" w:type="dxa"/>
          </w:tcPr>
          <w:p>
            <w:pPr>
              <w:pStyle w:val="TableParagraph"/>
              <w:spacing w:before="8"/>
              <w:ind w:left="150" w:right="146"/>
              <w:jc w:val="center"/>
              <w:rPr>
                <w:sz w:val="14"/>
              </w:rPr>
            </w:pPr>
            <w:r>
              <w:rPr>
                <w:color w:val="231F20"/>
                <w:sz w:val="14"/>
              </w:rPr>
              <w:t>Б25</w:t>
            </w:r>
          </w:p>
        </w:tc>
        <w:tc>
          <w:tcPr>
            <w:tcW w:w="1162" w:type="dxa"/>
          </w:tcPr>
          <w:p>
            <w:pPr>
              <w:pStyle w:val="TableParagraph"/>
              <w:spacing w:before="8"/>
              <w:ind w:left="151" w:right="146"/>
              <w:jc w:val="center"/>
              <w:rPr>
                <w:sz w:val="14"/>
              </w:rPr>
            </w:pPr>
            <w:r>
              <w:rPr>
                <w:color w:val="231F20"/>
                <w:sz w:val="14"/>
              </w:rPr>
              <w:t>7517215.2205</w:t>
            </w:r>
          </w:p>
        </w:tc>
        <w:tc>
          <w:tcPr>
            <w:tcW w:w="1162" w:type="dxa"/>
          </w:tcPr>
          <w:p>
            <w:pPr>
              <w:pStyle w:val="TableParagraph"/>
              <w:spacing w:before="8"/>
              <w:ind w:left="151" w:right="146"/>
              <w:jc w:val="center"/>
              <w:rPr>
                <w:sz w:val="14"/>
              </w:rPr>
            </w:pPr>
            <w:r>
              <w:rPr>
                <w:color w:val="231F20"/>
                <w:sz w:val="14"/>
              </w:rPr>
              <w:t>4953557.4042</w:t>
            </w:r>
          </w:p>
        </w:tc>
        <w:tc>
          <w:tcPr>
            <w:tcW w:w="1162" w:type="dxa"/>
          </w:tcPr>
          <w:p>
            <w:pPr>
              <w:pStyle w:val="TableParagraph"/>
              <w:spacing w:before="8"/>
              <w:ind w:left="151" w:right="146"/>
              <w:jc w:val="center"/>
              <w:rPr>
                <w:sz w:val="14"/>
              </w:rPr>
            </w:pPr>
            <w:r>
              <w:rPr>
                <w:color w:val="231F20"/>
                <w:sz w:val="14"/>
              </w:rPr>
              <w:t>Б68</w:t>
            </w:r>
          </w:p>
        </w:tc>
        <w:tc>
          <w:tcPr>
            <w:tcW w:w="1162" w:type="dxa"/>
          </w:tcPr>
          <w:p>
            <w:pPr>
              <w:pStyle w:val="TableParagraph"/>
              <w:spacing w:before="8"/>
              <w:ind w:left="152" w:right="146"/>
              <w:jc w:val="center"/>
              <w:rPr>
                <w:sz w:val="14"/>
              </w:rPr>
            </w:pPr>
            <w:r>
              <w:rPr>
                <w:color w:val="231F20"/>
                <w:sz w:val="14"/>
              </w:rPr>
              <w:t>7517593.0403</w:t>
            </w:r>
          </w:p>
        </w:tc>
        <w:tc>
          <w:tcPr>
            <w:tcW w:w="1162" w:type="dxa"/>
          </w:tcPr>
          <w:p>
            <w:pPr>
              <w:pStyle w:val="TableParagraph"/>
              <w:spacing w:before="8"/>
              <w:ind w:left="152" w:right="146"/>
              <w:jc w:val="center"/>
              <w:rPr>
                <w:sz w:val="14"/>
              </w:rPr>
            </w:pPr>
            <w:r>
              <w:rPr>
                <w:color w:val="231F20"/>
                <w:sz w:val="14"/>
              </w:rPr>
              <w:t>4953168.9553</w:t>
            </w:r>
          </w:p>
        </w:tc>
        <w:tc>
          <w:tcPr>
            <w:tcW w:w="1162" w:type="dxa"/>
          </w:tcPr>
          <w:p>
            <w:pPr>
              <w:pStyle w:val="TableParagraph"/>
              <w:spacing w:before="8"/>
              <w:ind w:left="152" w:right="146"/>
              <w:jc w:val="center"/>
              <w:rPr>
                <w:sz w:val="14"/>
              </w:rPr>
            </w:pPr>
            <w:r>
              <w:rPr>
                <w:color w:val="231F20"/>
                <w:sz w:val="14"/>
              </w:rPr>
              <w:t>Б112</w:t>
            </w:r>
          </w:p>
        </w:tc>
        <w:tc>
          <w:tcPr>
            <w:tcW w:w="1162" w:type="dxa"/>
          </w:tcPr>
          <w:p>
            <w:pPr>
              <w:pStyle w:val="TableParagraph"/>
              <w:spacing w:before="8"/>
              <w:ind w:left="153" w:right="146"/>
              <w:jc w:val="center"/>
              <w:rPr>
                <w:sz w:val="14"/>
              </w:rPr>
            </w:pPr>
            <w:r>
              <w:rPr>
                <w:color w:val="231F20"/>
                <w:sz w:val="14"/>
              </w:rPr>
              <w:t>7517597.4311</w:t>
            </w:r>
          </w:p>
        </w:tc>
        <w:tc>
          <w:tcPr>
            <w:tcW w:w="1162" w:type="dxa"/>
          </w:tcPr>
          <w:p>
            <w:pPr>
              <w:pStyle w:val="TableParagraph"/>
              <w:spacing w:before="8"/>
              <w:ind w:left="153" w:right="146"/>
              <w:jc w:val="center"/>
              <w:rPr>
                <w:sz w:val="14"/>
              </w:rPr>
            </w:pPr>
            <w:r>
              <w:rPr>
                <w:color w:val="231F20"/>
                <w:sz w:val="14"/>
              </w:rPr>
              <w:t>4954097.0427</w:t>
            </w:r>
          </w:p>
        </w:tc>
      </w:tr>
      <w:tr>
        <w:trPr>
          <w:trHeight w:val="200" w:hRule="atLeast"/>
        </w:trPr>
        <w:tc>
          <w:tcPr>
            <w:tcW w:w="1162" w:type="dxa"/>
          </w:tcPr>
          <w:p>
            <w:pPr>
              <w:pStyle w:val="TableParagraph"/>
              <w:spacing w:before="8"/>
              <w:ind w:left="150" w:right="146"/>
              <w:jc w:val="center"/>
              <w:rPr>
                <w:sz w:val="14"/>
              </w:rPr>
            </w:pPr>
            <w:r>
              <w:rPr>
                <w:color w:val="231F20"/>
                <w:sz w:val="14"/>
              </w:rPr>
              <w:t>Б26</w:t>
            </w:r>
          </w:p>
        </w:tc>
        <w:tc>
          <w:tcPr>
            <w:tcW w:w="1162" w:type="dxa"/>
          </w:tcPr>
          <w:p>
            <w:pPr>
              <w:pStyle w:val="TableParagraph"/>
              <w:spacing w:before="8"/>
              <w:ind w:left="151" w:right="146"/>
              <w:jc w:val="center"/>
              <w:rPr>
                <w:sz w:val="14"/>
              </w:rPr>
            </w:pPr>
            <w:r>
              <w:rPr>
                <w:color w:val="231F20"/>
                <w:sz w:val="14"/>
              </w:rPr>
              <w:t>7517246.3984</w:t>
            </w:r>
          </w:p>
        </w:tc>
        <w:tc>
          <w:tcPr>
            <w:tcW w:w="1162" w:type="dxa"/>
          </w:tcPr>
          <w:p>
            <w:pPr>
              <w:pStyle w:val="TableParagraph"/>
              <w:spacing w:before="8"/>
              <w:ind w:left="151" w:right="146"/>
              <w:jc w:val="center"/>
              <w:rPr>
                <w:sz w:val="14"/>
              </w:rPr>
            </w:pPr>
            <w:r>
              <w:rPr>
                <w:color w:val="231F20"/>
                <w:sz w:val="14"/>
              </w:rPr>
              <w:t>4953534.9115</w:t>
            </w:r>
          </w:p>
        </w:tc>
        <w:tc>
          <w:tcPr>
            <w:tcW w:w="1162" w:type="dxa"/>
          </w:tcPr>
          <w:p>
            <w:pPr>
              <w:pStyle w:val="TableParagraph"/>
              <w:spacing w:before="8"/>
              <w:ind w:left="151" w:right="146"/>
              <w:jc w:val="center"/>
              <w:rPr>
                <w:sz w:val="14"/>
              </w:rPr>
            </w:pPr>
            <w:r>
              <w:rPr>
                <w:color w:val="231F20"/>
                <w:sz w:val="14"/>
              </w:rPr>
              <w:t>Б69</w:t>
            </w:r>
          </w:p>
        </w:tc>
        <w:tc>
          <w:tcPr>
            <w:tcW w:w="1162" w:type="dxa"/>
          </w:tcPr>
          <w:p>
            <w:pPr>
              <w:pStyle w:val="TableParagraph"/>
              <w:spacing w:before="8"/>
              <w:ind w:left="152" w:right="146"/>
              <w:jc w:val="center"/>
              <w:rPr>
                <w:sz w:val="14"/>
              </w:rPr>
            </w:pPr>
            <w:r>
              <w:rPr>
                <w:color w:val="231F20"/>
                <w:sz w:val="14"/>
              </w:rPr>
              <w:t>7517948.8608</w:t>
            </w:r>
          </w:p>
        </w:tc>
        <w:tc>
          <w:tcPr>
            <w:tcW w:w="1162" w:type="dxa"/>
          </w:tcPr>
          <w:p>
            <w:pPr>
              <w:pStyle w:val="TableParagraph"/>
              <w:spacing w:before="8"/>
              <w:ind w:left="152" w:right="146"/>
              <w:jc w:val="center"/>
              <w:rPr>
                <w:sz w:val="14"/>
              </w:rPr>
            </w:pPr>
            <w:r>
              <w:rPr>
                <w:color w:val="231F20"/>
                <w:sz w:val="14"/>
              </w:rPr>
              <w:t>4953093.7065</w:t>
            </w:r>
          </w:p>
        </w:tc>
        <w:tc>
          <w:tcPr>
            <w:tcW w:w="1162" w:type="dxa"/>
          </w:tcPr>
          <w:p>
            <w:pPr>
              <w:pStyle w:val="TableParagraph"/>
              <w:spacing w:before="8"/>
              <w:ind w:left="153" w:right="146"/>
              <w:jc w:val="center"/>
              <w:rPr>
                <w:sz w:val="14"/>
              </w:rPr>
            </w:pPr>
            <w:r>
              <w:rPr>
                <w:color w:val="231F20"/>
                <w:sz w:val="14"/>
              </w:rPr>
              <w:t>Б113</w:t>
            </w:r>
          </w:p>
        </w:tc>
        <w:tc>
          <w:tcPr>
            <w:tcW w:w="1162" w:type="dxa"/>
          </w:tcPr>
          <w:p>
            <w:pPr>
              <w:pStyle w:val="TableParagraph"/>
              <w:spacing w:before="8"/>
              <w:ind w:left="153" w:right="146"/>
              <w:jc w:val="center"/>
              <w:rPr>
                <w:sz w:val="14"/>
              </w:rPr>
            </w:pPr>
            <w:r>
              <w:rPr>
                <w:color w:val="231F20"/>
                <w:sz w:val="14"/>
              </w:rPr>
              <w:t>7517605.7157</w:t>
            </w:r>
          </w:p>
        </w:tc>
        <w:tc>
          <w:tcPr>
            <w:tcW w:w="1162" w:type="dxa"/>
          </w:tcPr>
          <w:p>
            <w:pPr>
              <w:pStyle w:val="TableParagraph"/>
              <w:spacing w:before="8"/>
              <w:ind w:left="153" w:right="146"/>
              <w:jc w:val="center"/>
              <w:rPr>
                <w:sz w:val="14"/>
              </w:rPr>
            </w:pPr>
            <w:r>
              <w:rPr>
                <w:color w:val="231F20"/>
                <w:sz w:val="14"/>
              </w:rPr>
              <w:t>4954083.9255</w:t>
            </w:r>
          </w:p>
        </w:tc>
      </w:tr>
      <w:tr>
        <w:trPr>
          <w:trHeight w:val="200" w:hRule="atLeast"/>
        </w:trPr>
        <w:tc>
          <w:tcPr>
            <w:tcW w:w="1162" w:type="dxa"/>
          </w:tcPr>
          <w:p>
            <w:pPr>
              <w:pStyle w:val="TableParagraph"/>
              <w:spacing w:before="8"/>
              <w:ind w:left="150" w:right="146"/>
              <w:jc w:val="center"/>
              <w:rPr>
                <w:sz w:val="14"/>
              </w:rPr>
            </w:pPr>
            <w:r>
              <w:rPr>
                <w:color w:val="231F20"/>
                <w:sz w:val="14"/>
              </w:rPr>
              <w:t>Б27</w:t>
            </w:r>
          </w:p>
        </w:tc>
        <w:tc>
          <w:tcPr>
            <w:tcW w:w="1162" w:type="dxa"/>
          </w:tcPr>
          <w:p>
            <w:pPr>
              <w:pStyle w:val="TableParagraph"/>
              <w:spacing w:before="8"/>
              <w:ind w:left="151" w:right="146"/>
              <w:jc w:val="center"/>
              <w:rPr>
                <w:sz w:val="14"/>
              </w:rPr>
            </w:pPr>
            <w:r>
              <w:rPr>
                <w:color w:val="231F20"/>
                <w:sz w:val="14"/>
              </w:rPr>
              <w:t>7517363.3649</w:t>
            </w:r>
          </w:p>
        </w:tc>
        <w:tc>
          <w:tcPr>
            <w:tcW w:w="1162" w:type="dxa"/>
          </w:tcPr>
          <w:p>
            <w:pPr>
              <w:pStyle w:val="TableParagraph"/>
              <w:spacing w:before="8"/>
              <w:ind w:left="151" w:right="146"/>
              <w:jc w:val="center"/>
              <w:rPr>
                <w:sz w:val="14"/>
              </w:rPr>
            </w:pPr>
            <w:r>
              <w:rPr>
                <w:color w:val="231F20"/>
                <w:sz w:val="14"/>
              </w:rPr>
              <w:t>4953475.4311</w:t>
            </w:r>
          </w:p>
        </w:tc>
        <w:tc>
          <w:tcPr>
            <w:tcW w:w="1162" w:type="dxa"/>
          </w:tcPr>
          <w:p>
            <w:pPr>
              <w:pStyle w:val="TableParagraph"/>
              <w:spacing w:before="8"/>
              <w:ind w:left="151" w:right="146"/>
              <w:jc w:val="center"/>
              <w:rPr>
                <w:sz w:val="14"/>
              </w:rPr>
            </w:pPr>
            <w:r>
              <w:rPr>
                <w:color w:val="231F20"/>
                <w:sz w:val="14"/>
              </w:rPr>
              <w:t>Б70</w:t>
            </w:r>
          </w:p>
        </w:tc>
        <w:tc>
          <w:tcPr>
            <w:tcW w:w="1162" w:type="dxa"/>
          </w:tcPr>
          <w:p>
            <w:pPr>
              <w:pStyle w:val="TableParagraph"/>
              <w:spacing w:before="8"/>
              <w:ind w:left="152" w:right="146"/>
              <w:jc w:val="center"/>
              <w:rPr>
                <w:sz w:val="14"/>
              </w:rPr>
            </w:pPr>
            <w:r>
              <w:rPr>
                <w:color w:val="231F20"/>
                <w:sz w:val="14"/>
              </w:rPr>
              <w:t>7517963.0258</w:t>
            </w:r>
          </w:p>
        </w:tc>
        <w:tc>
          <w:tcPr>
            <w:tcW w:w="1162" w:type="dxa"/>
          </w:tcPr>
          <w:p>
            <w:pPr>
              <w:pStyle w:val="TableParagraph"/>
              <w:spacing w:before="8"/>
              <w:ind w:left="152" w:right="146"/>
              <w:jc w:val="center"/>
              <w:rPr>
                <w:sz w:val="14"/>
              </w:rPr>
            </w:pPr>
            <w:r>
              <w:rPr>
                <w:color w:val="231F20"/>
                <w:sz w:val="14"/>
              </w:rPr>
              <w:t>4953104.6644</w:t>
            </w:r>
          </w:p>
        </w:tc>
        <w:tc>
          <w:tcPr>
            <w:tcW w:w="1162" w:type="dxa"/>
          </w:tcPr>
          <w:p>
            <w:pPr>
              <w:pStyle w:val="TableParagraph"/>
              <w:spacing w:before="8"/>
              <w:ind w:left="153" w:right="146"/>
              <w:jc w:val="center"/>
              <w:rPr>
                <w:sz w:val="14"/>
              </w:rPr>
            </w:pPr>
            <w:r>
              <w:rPr>
                <w:color w:val="231F20"/>
                <w:sz w:val="14"/>
              </w:rPr>
              <w:t>Б114</w:t>
            </w:r>
          </w:p>
        </w:tc>
        <w:tc>
          <w:tcPr>
            <w:tcW w:w="1162" w:type="dxa"/>
          </w:tcPr>
          <w:p>
            <w:pPr>
              <w:pStyle w:val="TableParagraph"/>
              <w:spacing w:before="8"/>
              <w:ind w:left="153" w:right="146"/>
              <w:jc w:val="center"/>
              <w:rPr>
                <w:sz w:val="14"/>
              </w:rPr>
            </w:pPr>
            <w:r>
              <w:rPr>
                <w:color w:val="231F20"/>
                <w:sz w:val="14"/>
              </w:rPr>
              <w:t>7517893.6098</w:t>
            </w:r>
          </w:p>
        </w:tc>
        <w:tc>
          <w:tcPr>
            <w:tcW w:w="1162" w:type="dxa"/>
          </w:tcPr>
          <w:p>
            <w:pPr>
              <w:pStyle w:val="TableParagraph"/>
              <w:spacing w:before="8"/>
              <w:ind w:left="153" w:right="146"/>
              <w:jc w:val="center"/>
              <w:rPr>
                <w:sz w:val="14"/>
              </w:rPr>
            </w:pPr>
            <w:r>
              <w:rPr>
                <w:color w:val="231F20"/>
                <w:sz w:val="14"/>
              </w:rPr>
              <w:t>4953457.6630</w:t>
            </w:r>
          </w:p>
        </w:tc>
      </w:tr>
      <w:tr>
        <w:trPr>
          <w:trHeight w:val="200" w:hRule="atLeast"/>
        </w:trPr>
        <w:tc>
          <w:tcPr>
            <w:tcW w:w="1162" w:type="dxa"/>
          </w:tcPr>
          <w:p>
            <w:pPr>
              <w:pStyle w:val="TableParagraph"/>
              <w:spacing w:before="8"/>
              <w:ind w:left="150" w:right="146"/>
              <w:jc w:val="center"/>
              <w:rPr>
                <w:sz w:val="14"/>
              </w:rPr>
            </w:pPr>
            <w:r>
              <w:rPr>
                <w:color w:val="231F20"/>
                <w:sz w:val="14"/>
              </w:rPr>
              <w:t>Б28</w:t>
            </w:r>
          </w:p>
        </w:tc>
        <w:tc>
          <w:tcPr>
            <w:tcW w:w="1162" w:type="dxa"/>
          </w:tcPr>
          <w:p>
            <w:pPr>
              <w:pStyle w:val="TableParagraph"/>
              <w:spacing w:before="8"/>
              <w:ind w:left="151" w:right="146"/>
              <w:jc w:val="center"/>
              <w:rPr>
                <w:sz w:val="14"/>
              </w:rPr>
            </w:pPr>
            <w:r>
              <w:rPr>
                <w:color w:val="231F20"/>
                <w:sz w:val="14"/>
              </w:rPr>
              <w:t>7517345.9240</w:t>
            </w:r>
          </w:p>
        </w:tc>
        <w:tc>
          <w:tcPr>
            <w:tcW w:w="1162" w:type="dxa"/>
          </w:tcPr>
          <w:p>
            <w:pPr>
              <w:pStyle w:val="TableParagraph"/>
              <w:spacing w:before="8"/>
              <w:ind w:left="151" w:right="146"/>
              <w:jc w:val="center"/>
              <w:rPr>
                <w:sz w:val="14"/>
              </w:rPr>
            </w:pPr>
            <w:r>
              <w:rPr>
                <w:color w:val="231F20"/>
                <w:sz w:val="14"/>
              </w:rPr>
              <w:t>4953495.6782</w:t>
            </w:r>
          </w:p>
        </w:tc>
        <w:tc>
          <w:tcPr>
            <w:tcW w:w="1162" w:type="dxa"/>
          </w:tcPr>
          <w:p>
            <w:pPr>
              <w:pStyle w:val="TableParagraph"/>
              <w:spacing w:before="8"/>
              <w:ind w:left="151" w:right="146"/>
              <w:jc w:val="center"/>
              <w:rPr>
                <w:sz w:val="14"/>
              </w:rPr>
            </w:pPr>
            <w:r>
              <w:rPr>
                <w:color w:val="231F20"/>
                <w:sz w:val="14"/>
              </w:rPr>
              <w:t>Б71</w:t>
            </w:r>
          </w:p>
        </w:tc>
        <w:tc>
          <w:tcPr>
            <w:tcW w:w="1162" w:type="dxa"/>
          </w:tcPr>
          <w:p>
            <w:pPr>
              <w:pStyle w:val="TableParagraph"/>
              <w:spacing w:before="8"/>
              <w:ind w:left="152" w:right="146"/>
              <w:jc w:val="center"/>
              <w:rPr>
                <w:sz w:val="14"/>
              </w:rPr>
            </w:pPr>
            <w:r>
              <w:rPr>
                <w:color w:val="231F20"/>
                <w:sz w:val="14"/>
              </w:rPr>
              <w:t>7517982.2796</w:t>
            </w:r>
          </w:p>
        </w:tc>
        <w:tc>
          <w:tcPr>
            <w:tcW w:w="1162" w:type="dxa"/>
          </w:tcPr>
          <w:p>
            <w:pPr>
              <w:pStyle w:val="TableParagraph"/>
              <w:spacing w:before="8"/>
              <w:ind w:left="152" w:right="146"/>
              <w:jc w:val="center"/>
              <w:rPr>
                <w:sz w:val="14"/>
              </w:rPr>
            </w:pPr>
            <w:r>
              <w:rPr>
                <w:color w:val="231F20"/>
                <w:sz w:val="14"/>
              </w:rPr>
              <w:t>4953125.0885</w:t>
            </w:r>
          </w:p>
        </w:tc>
        <w:tc>
          <w:tcPr>
            <w:tcW w:w="1162" w:type="dxa"/>
          </w:tcPr>
          <w:p>
            <w:pPr>
              <w:pStyle w:val="TableParagraph"/>
              <w:spacing w:before="8"/>
              <w:ind w:left="152" w:right="146"/>
              <w:jc w:val="center"/>
              <w:rPr>
                <w:sz w:val="14"/>
              </w:rPr>
            </w:pPr>
            <w:r>
              <w:rPr>
                <w:color w:val="231F20"/>
                <w:sz w:val="14"/>
              </w:rPr>
              <w:t>Б115</w:t>
            </w:r>
          </w:p>
        </w:tc>
        <w:tc>
          <w:tcPr>
            <w:tcW w:w="1162" w:type="dxa"/>
          </w:tcPr>
          <w:p>
            <w:pPr>
              <w:pStyle w:val="TableParagraph"/>
              <w:spacing w:before="8"/>
              <w:ind w:left="153" w:right="146"/>
              <w:jc w:val="center"/>
              <w:rPr>
                <w:sz w:val="14"/>
              </w:rPr>
            </w:pPr>
            <w:r>
              <w:rPr>
                <w:color w:val="231F20"/>
                <w:sz w:val="14"/>
              </w:rPr>
              <w:t>7517906.9708</w:t>
            </w:r>
          </w:p>
        </w:tc>
        <w:tc>
          <w:tcPr>
            <w:tcW w:w="1162" w:type="dxa"/>
          </w:tcPr>
          <w:p>
            <w:pPr>
              <w:pStyle w:val="TableParagraph"/>
              <w:spacing w:before="8"/>
              <w:ind w:left="153" w:right="146"/>
              <w:jc w:val="center"/>
              <w:rPr>
                <w:sz w:val="14"/>
              </w:rPr>
            </w:pPr>
            <w:r>
              <w:rPr>
                <w:color w:val="231F20"/>
                <w:sz w:val="14"/>
              </w:rPr>
              <w:t>4953433.4058</w:t>
            </w:r>
          </w:p>
        </w:tc>
      </w:tr>
      <w:tr>
        <w:trPr>
          <w:trHeight w:val="200" w:hRule="atLeast"/>
        </w:trPr>
        <w:tc>
          <w:tcPr>
            <w:tcW w:w="1162" w:type="dxa"/>
          </w:tcPr>
          <w:p>
            <w:pPr>
              <w:pStyle w:val="TableParagraph"/>
              <w:spacing w:before="8"/>
              <w:ind w:left="150" w:right="146"/>
              <w:jc w:val="center"/>
              <w:rPr>
                <w:sz w:val="14"/>
              </w:rPr>
            </w:pPr>
            <w:r>
              <w:rPr>
                <w:color w:val="231F20"/>
                <w:sz w:val="14"/>
              </w:rPr>
              <w:t>Б29</w:t>
            </w:r>
          </w:p>
        </w:tc>
        <w:tc>
          <w:tcPr>
            <w:tcW w:w="1162" w:type="dxa"/>
          </w:tcPr>
          <w:p>
            <w:pPr>
              <w:pStyle w:val="TableParagraph"/>
              <w:spacing w:before="8"/>
              <w:ind w:left="150" w:right="146"/>
              <w:jc w:val="center"/>
              <w:rPr>
                <w:sz w:val="14"/>
              </w:rPr>
            </w:pPr>
            <w:r>
              <w:rPr>
                <w:color w:val="231F20"/>
                <w:sz w:val="14"/>
              </w:rPr>
              <w:t>7517143.6893</w:t>
            </w:r>
          </w:p>
        </w:tc>
        <w:tc>
          <w:tcPr>
            <w:tcW w:w="1162" w:type="dxa"/>
          </w:tcPr>
          <w:p>
            <w:pPr>
              <w:pStyle w:val="TableParagraph"/>
              <w:spacing w:before="8"/>
              <w:ind w:left="151" w:right="146"/>
              <w:jc w:val="center"/>
              <w:rPr>
                <w:sz w:val="14"/>
              </w:rPr>
            </w:pPr>
            <w:r>
              <w:rPr>
                <w:color w:val="231F20"/>
                <w:sz w:val="14"/>
              </w:rPr>
              <w:t>4953935.0089</w:t>
            </w:r>
          </w:p>
        </w:tc>
        <w:tc>
          <w:tcPr>
            <w:tcW w:w="1162" w:type="dxa"/>
          </w:tcPr>
          <w:p>
            <w:pPr>
              <w:pStyle w:val="TableParagraph"/>
              <w:spacing w:before="8"/>
              <w:ind w:left="151" w:right="146"/>
              <w:jc w:val="center"/>
              <w:rPr>
                <w:sz w:val="14"/>
              </w:rPr>
            </w:pPr>
            <w:r>
              <w:rPr>
                <w:color w:val="231F20"/>
                <w:sz w:val="14"/>
              </w:rPr>
              <w:t>Б72</w:t>
            </w:r>
          </w:p>
        </w:tc>
        <w:tc>
          <w:tcPr>
            <w:tcW w:w="1162" w:type="dxa"/>
          </w:tcPr>
          <w:p>
            <w:pPr>
              <w:pStyle w:val="TableParagraph"/>
              <w:spacing w:before="8"/>
              <w:ind w:left="151" w:right="146"/>
              <w:jc w:val="center"/>
              <w:rPr>
                <w:sz w:val="14"/>
              </w:rPr>
            </w:pPr>
            <w:r>
              <w:rPr>
                <w:color w:val="231F20"/>
                <w:sz w:val="14"/>
              </w:rPr>
              <w:t>7517998.0824</w:t>
            </w:r>
          </w:p>
        </w:tc>
        <w:tc>
          <w:tcPr>
            <w:tcW w:w="1162" w:type="dxa"/>
          </w:tcPr>
          <w:p>
            <w:pPr>
              <w:pStyle w:val="TableParagraph"/>
              <w:spacing w:before="8"/>
              <w:ind w:left="152" w:right="146"/>
              <w:jc w:val="center"/>
              <w:rPr>
                <w:sz w:val="14"/>
              </w:rPr>
            </w:pPr>
            <w:r>
              <w:rPr>
                <w:color w:val="231F20"/>
                <w:sz w:val="14"/>
              </w:rPr>
              <w:t>4953148.4571</w:t>
            </w:r>
          </w:p>
        </w:tc>
        <w:tc>
          <w:tcPr>
            <w:tcW w:w="1162" w:type="dxa"/>
          </w:tcPr>
          <w:p>
            <w:pPr>
              <w:pStyle w:val="TableParagraph"/>
              <w:spacing w:before="8"/>
              <w:ind w:left="152" w:right="146"/>
              <w:jc w:val="center"/>
              <w:rPr>
                <w:sz w:val="14"/>
              </w:rPr>
            </w:pPr>
            <w:r>
              <w:rPr>
                <w:color w:val="231F20"/>
                <w:sz w:val="14"/>
              </w:rPr>
              <w:t>Б116</w:t>
            </w:r>
          </w:p>
        </w:tc>
        <w:tc>
          <w:tcPr>
            <w:tcW w:w="1162" w:type="dxa"/>
          </w:tcPr>
          <w:p>
            <w:pPr>
              <w:pStyle w:val="TableParagraph"/>
              <w:spacing w:before="8"/>
              <w:ind w:left="153" w:right="146"/>
              <w:jc w:val="center"/>
              <w:rPr>
                <w:sz w:val="14"/>
              </w:rPr>
            </w:pPr>
            <w:r>
              <w:rPr>
                <w:color w:val="231F20"/>
                <w:sz w:val="14"/>
              </w:rPr>
              <w:t>7517922.7344</w:t>
            </w:r>
          </w:p>
        </w:tc>
        <w:tc>
          <w:tcPr>
            <w:tcW w:w="1162" w:type="dxa"/>
          </w:tcPr>
          <w:p>
            <w:pPr>
              <w:pStyle w:val="TableParagraph"/>
              <w:spacing w:before="8"/>
              <w:ind w:left="153" w:right="146"/>
              <w:jc w:val="center"/>
              <w:rPr>
                <w:sz w:val="14"/>
              </w:rPr>
            </w:pPr>
            <w:r>
              <w:rPr>
                <w:color w:val="231F20"/>
                <w:sz w:val="14"/>
              </w:rPr>
              <w:t>4953413.2320</w:t>
            </w:r>
          </w:p>
        </w:tc>
      </w:tr>
      <w:tr>
        <w:trPr>
          <w:trHeight w:val="200" w:hRule="atLeast"/>
        </w:trPr>
        <w:tc>
          <w:tcPr>
            <w:tcW w:w="1162" w:type="dxa"/>
          </w:tcPr>
          <w:p>
            <w:pPr>
              <w:pStyle w:val="TableParagraph"/>
              <w:spacing w:before="8"/>
              <w:ind w:left="149" w:right="146"/>
              <w:jc w:val="center"/>
              <w:rPr>
                <w:sz w:val="14"/>
              </w:rPr>
            </w:pPr>
            <w:r>
              <w:rPr>
                <w:color w:val="231F20"/>
                <w:sz w:val="14"/>
              </w:rPr>
              <w:t>Б30</w:t>
            </w:r>
          </w:p>
        </w:tc>
        <w:tc>
          <w:tcPr>
            <w:tcW w:w="1162" w:type="dxa"/>
          </w:tcPr>
          <w:p>
            <w:pPr>
              <w:pStyle w:val="TableParagraph"/>
              <w:spacing w:before="8"/>
              <w:ind w:left="150" w:right="146"/>
              <w:jc w:val="center"/>
              <w:rPr>
                <w:sz w:val="14"/>
              </w:rPr>
            </w:pPr>
            <w:r>
              <w:rPr>
                <w:color w:val="231F20"/>
                <w:sz w:val="14"/>
              </w:rPr>
              <w:t>7517151.4145</w:t>
            </w:r>
          </w:p>
        </w:tc>
        <w:tc>
          <w:tcPr>
            <w:tcW w:w="1162" w:type="dxa"/>
          </w:tcPr>
          <w:p>
            <w:pPr>
              <w:pStyle w:val="TableParagraph"/>
              <w:spacing w:before="8"/>
              <w:ind w:left="150" w:right="146"/>
              <w:jc w:val="center"/>
              <w:rPr>
                <w:sz w:val="14"/>
              </w:rPr>
            </w:pPr>
            <w:r>
              <w:rPr>
                <w:color w:val="231F20"/>
                <w:sz w:val="14"/>
              </w:rPr>
              <w:t>4953938.5544</w:t>
            </w:r>
          </w:p>
        </w:tc>
        <w:tc>
          <w:tcPr>
            <w:tcW w:w="1162" w:type="dxa"/>
          </w:tcPr>
          <w:p>
            <w:pPr>
              <w:pStyle w:val="TableParagraph"/>
              <w:spacing w:before="8"/>
              <w:ind w:left="150" w:right="146"/>
              <w:jc w:val="center"/>
              <w:rPr>
                <w:sz w:val="14"/>
              </w:rPr>
            </w:pPr>
            <w:r>
              <w:rPr>
                <w:color w:val="231F20"/>
                <w:sz w:val="14"/>
              </w:rPr>
              <w:t>Б73</w:t>
            </w:r>
          </w:p>
        </w:tc>
        <w:tc>
          <w:tcPr>
            <w:tcW w:w="1162" w:type="dxa"/>
          </w:tcPr>
          <w:p>
            <w:pPr>
              <w:pStyle w:val="TableParagraph"/>
              <w:spacing w:before="8"/>
              <w:ind w:left="151" w:right="146"/>
              <w:jc w:val="center"/>
              <w:rPr>
                <w:sz w:val="14"/>
              </w:rPr>
            </w:pPr>
            <w:r>
              <w:rPr>
                <w:color w:val="231F20"/>
                <w:sz w:val="14"/>
              </w:rPr>
              <w:t>7518009.7309</w:t>
            </w:r>
          </w:p>
        </w:tc>
        <w:tc>
          <w:tcPr>
            <w:tcW w:w="1162" w:type="dxa"/>
          </w:tcPr>
          <w:p>
            <w:pPr>
              <w:pStyle w:val="TableParagraph"/>
              <w:spacing w:before="8"/>
              <w:ind w:left="151" w:right="146"/>
              <w:jc w:val="center"/>
              <w:rPr>
                <w:sz w:val="14"/>
              </w:rPr>
            </w:pPr>
            <w:r>
              <w:rPr>
                <w:color w:val="231F20"/>
                <w:sz w:val="14"/>
              </w:rPr>
              <w:t>4953173.5166</w:t>
            </w:r>
          </w:p>
        </w:tc>
        <w:tc>
          <w:tcPr>
            <w:tcW w:w="1162" w:type="dxa"/>
          </w:tcPr>
          <w:p>
            <w:pPr>
              <w:pStyle w:val="TableParagraph"/>
              <w:spacing w:before="8"/>
              <w:ind w:left="152" w:right="146"/>
              <w:jc w:val="center"/>
              <w:rPr>
                <w:sz w:val="14"/>
              </w:rPr>
            </w:pPr>
            <w:r>
              <w:rPr>
                <w:color w:val="231F20"/>
                <w:sz w:val="14"/>
              </w:rPr>
              <w:t>Б117</w:t>
            </w:r>
          </w:p>
        </w:tc>
        <w:tc>
          <w:tcPr>
            <w:tcW w:w="1162" w:type="dxa"/>
          </w:tcPr>
          <w:p>
            <w:pPr>
              <w:pStyle w:val="TableParagraph"/>
              <w:spacing w:before="8"/>
              <w:ind w:left="152" w:right="146"/>
              <w:jc w:val="center"/>
              <w:rPr>
                <w:sz w:val="14"/>
              </w:rPr>
            </w:pPr>
            <w:r>
              <w:rPr>
                <w:color w:val="231F20"/>
                <w:sz w:val="14"/>
              </w:rPr>
              <w:t>7517943.4149</w:t>
            </w:r>
          </w:p>
        </w:tc>
        <w:tc>
          <w:tcPr>
            <w:tcW w:w="1162" w:type="dxa"/>
          </w:tcPr>
          <w:p>
            <w:pPr>
              <w:pStyle w:val="TableParagraph"/>
              <w:spacing w:before="8"/>
              <w:ind w:left="153" w:right="146"/>
              <w:jc w:val="center"/>
              <w:rPr>
                <w:sz w:val="14"/>
              </w:rPr>
            </w:pPr>
            <w:r>
              <w:rPr>
                <w:color w:val="231F20"/>
                <w:sz w:val="14"/>
              </w:rPr>
              <w:t>4953394.0839</w:t>
            </w:r>
          </w:p>
        </w:tc>
      </w:tr>
      <w:tr>
        <w:trPr>
          <w:trHeight w:val="200" w:hRule="atLeast"/>
        </w:trPr>
        <w:tc>
          <w:tcPr>
            <w:tcW w:w="1162" w:type="dxa"/>
          </w:tcPr>
          <w:p>
            <w:pPr>
              <w:pStyle w:val="TableParagraph"/>
              <w:spacing w:before="8"/>
              <w:ind w:left="149" w:right="146"/>
              <w:jc w:val="center"/>
              <w:rPr>
                <w:sz w:val="14"/>
              </w:rPr>
            </w:pPr>
            <w:r>
              <w:rPr>
                <w:color w:val="231F20"/>
                <w:sz w:val="14"/>
              </w:rPr>
              <w:t>Б31</w:t>
            </w:r>
          </w:p>
        </w:tc>
        <w:tc>
          <w:tcPr>
            <w:tcW w:w="1162" w:type="dxa"/>
          </w:tcPr>
          <w:p>
            <w:pPr>
              <w:pStyle w:val="TableParagraph"/>
              <w:spacing w:before="8"/>
              <w:ind w:left="150" w:right="146"/>
              <w:jc w:val="center"/>
              <w:rPr>
                <w:sz w:val="14"/>
              </w:rPr>
            </w:pPr>
            <w:r>
              <w:rPr>
                <w:color w:val="231F20"/>
                <w:sz w:val="14"/>
              </w:rPr>
              <w:t>7517337.0657</w:t>
            </w:r>
          </w:p>
        </w:tc>
        <w:tc>
          <w:tcPr>
            <w:tcW w:w="1162" w:type="dxa"/>
          </w:tcPr>
          <w:p>
            <w:pPr>
              <w:pStyle w:val="TableParagraph"/>
              <w:spacing w:before="8"/>
              <w:ind w:left="150" w:right="146"/>
              <w:jc w:val="center"/>
              <w:rPr>
                <w:sz w:val="14"/>
              </w:rPr>
            </w:pPr>
            <w:r>
              <w:rPr>
                <w:color w:val="231F20"/>
                <w:sz w:val="14"/>
              </w:rPr>
              <w:t>4953534.0535</w:t>
            </w:r>
          </w:p>
        </w:tc>
        <w:tc>
          <w:tcPr>
            <w:tcW w:w="1162" w:type="dxa"/>
          </w:tcPr>
          <w:p>
            <w:pPr>
              <w:pStyle w:val="TableParagraph"/>
              <w:spacing w:before="8"/>
              <w:ind w:left="150" w:right="146"/>
              <w:jc w:val="center"/>
              <w:rPr>
                <w:sz w:val="14"/>
              </w:rPr>
            </w:pPr>
            <w:r>
              <w:rPr>
                <w:color w:val="231F20"/>
                <w:sz w:val="14"/>
              </w:rPr>
              <w:t>Б74</w:t>
            </w:r>
          </w:p>
        </w:tc>
        <w:tc>
          <w:tcPr>
            <w:tcW w:w="1162" w:type="dxa"/>
          </w:tcPr>
          <w:p>
            <w:pPr>
              <w:pStyle w:val="TableParagraph"/>
              <w:spacing w:before="8"/>
              <w:ind w:left="151" w:right="146"/>
              <w:jc w:val="center"/>
              <w:rPr>
                <w:sz w:val="14"/>
              </w:rPr>
            </w:pPr>
            <w:r>
              <w:rPr>
                <w:color w:val="231F20"/>
                <w:sz w:val="14"/>
              </w:rPr>
              <w:t>7518017.3084</w:t>
            </w:r>
          </w:p>
        </w:tc>
        <w:tc>
          <w:tcPr>
            <w:tcW w:w="1162" w:type="dxa"/>
          </w:tcPr>
          <w:p>
            <w:pPr>
              <w:pStyle w:val="TableParagraph"/>
              <w:spacing w:before="8"/>
              <w:ind w:left="151" w:right="146"/>
              <w:jc w:val="center"/>
              <w:rPr>
                <w:sz w:val="14"/>
              </w:rPr>
            </w:pPr>
            <w:r>
              <w:rPr>
                <w:color w:val="231F20"/>
                <w:sz w:val="14"/>
              </w:rPr>
              <w:t>4953199.8492</w:t>
            </w:r>
          </w:p>
        </w:tc>
        <w:tc>
          <w:tcPr>
            <w:tcW w:w="1162" w:type="dxa"/>
          </w:tcPr>
          <w:p>
            <w:pPr>
              <w:pStyle w:val="TableParagraph"/>
              <w:spacing w:before="8"/>
              <w:ind w:left="152" w:right="146"/>
              <w:jc w:val="center"/>
              <w:rPr>
                <w:sz w:val="14"/>
              </w:rPr>
            </w:pPr>
            <w:r>
              <w:rPr>
                <w:color w:val="231F20"/>
                <w:sz w:val="14"/>
              </w:rPr>
              <w:t>Б118</w:t>
            </w:r>
          </w:p>
        </w:tc>
        <w:tc>
          <w:tcPr>
            <w:tcW w:w="1162" w:type="dxa"/>
          </w:tcPr>
          <w:p>
            <w:pPr>
              <w:pStyle w:val="TableParagraph"/>
              <w:spacing w:before="8"/>
              <w:ind w:left="152" w:right="146"/>
              <w:jc w:val="center"/>
              <w:rPr>
                <w:sz w:val="14"/>
              </w:rPr>
            </w:pPr>
            <w:r>
              <w:rPr>
                <w:color w:val="231F20"/>
                <w:sz w:val="14"/>
              </w:rPr>
              <w:t>7517966.8063</w:t>
            </w:r>
          </w:p>
        </w:tc>
        <w:tc>
          <w:tcPr>
            <w:tcW w:w="1162" w:type="dxa"/>
          </w:tcPr>
          <w:p>
            <w:pPr>
              <w:pStyle w:val="TableParagraph"/>
              <w:spacing w:before="8"/>
              <w:ind w:left="152" w:right="146"/>
              <w:jc w:val="center"/>
              <w:rPr>
                <w:sz w:val="14"/>
              </w:rPr>
            </w:pPr>
            <w:r>
              <w:rPr>
                <w:color w:val="231F20"/>
                <w:sz w:val="14"/>
              </w:rPr>
              <w:t>4953375.8279</w:t>
            </w:r>
          </w:p>
        </w:tc>
      </w:tr>
      <w:tr>
        <w:trPr>
          <w:trHeight w:val="200" w:hRule="atLeast"/>
        </w:trPr>
        <w:tc>
          <w:tcPr>
            <w:tcW w:w="1162" w:type="dxa"/>
          </w:tcPr>
          <w:p>
            <w:pPr>
              <w:pStyle w:val="TableParagraph"/>
              <w:spacing w:before="8"/>
              <w:ind w:left="149" w:right="146"/>
              <w:jc w:val="center"/>
              <w:rPr>
                <w:sz w:val="14"/>
              </w:rPr>
            </w:pPr>
            <w:r>
              <w:rPr>
                <w:color w:val="231F20"/>
                <w:sz w:val="14"/>
              </w:rPr>
              <w:t>Б32</w:t>
            </w:r>
          </w:p>
        </w:tc>
        <w:tc>
          <w:tcPr>
            <w:tcW w:w="1162" w:type="dxa"/>
          </w:tcPr>
          <w:p>
            <w:pPr>
              <w:pStyle w:val="TableParagraph"/>
              <w:spacing w:before="8"/>
              <w:ind w:left="149" w:right="146"/>
              <w:jc w:val="center"/>
              <w:rPr>
                <w:sz w:val="14"/>
              </w:rPr>
            </w:pPr>
            <w:r>
              <w:rPr>
                <w:color w:val="231F20"/>
                <w:sz w:val="14"/>
              </w:rPr>
              <w:t>7517359.5872</w:t>
            </w:r>
          </w:p>
        </w:tc>
        <w:tc>
          <w:tcPr>
            <w:tcW w:w="1162" w:type="dxa"/>
          </w:tcPr>
          <w:p>
            <w:pPr>
              <w:pStyle w:val="TableParagraph"/>
              <w:spacing w:before="8"/>
              <w:ind w:left="150" w:right="146"/>
              <w:jc w:val="center"/>
              <w:rPr>
                <w:sz w:val="14"/>
              </w:rPr>
            </w:pPr>
            <w:r>
              <w:rPr>
                <w:color w:val="231F20"/>
                <w:sz w:val="14"/>
              </w:rPr>
              <w:t>4953497.7926</w:t>
            </w:r>
          </w:p>
        </w:tc>
        <w:tc>
          <w:tcPr>
            <w:tcW w:w="1162" w:type="dxa"/>
          </w:tcPr>
          <w:p>
            <w:pPr>
              <w:pStyle w:val="TableParagraph"/>
              <w:spacing w:before="8"/>
              <w:ind w:left="150" w:right="146"/>
              <w:jc w:val="center"/>
              <w:rPr>
                <w:sz w:val="14"/>
              </w:rPr>
            </w:pPr>
            <w:r>
              <w:rPr>
                <w:color w:val="231F20"/>
                <w:sz w:val="14"/>
              </w:rPr>
              <w:t>Б75</w:t>
            </w:r>
          </w:p>
        </w:tc>
        <w:tc>
          <w:tcPr>
            <w:tcW w:w="1162" w:type="dxa"/>
          </w:tcPr>
          <w:p>
            <w:pPr>
              <w:pStyle w:val="TableParagraph"/>
              <w:spacing w:before="8"/>
              <w:ind w:left="151" w:right="146"/>
              <w:jc w:val="center"/>
              <w:rPr>
                <w:sz w:val="14"/>
              </w:rPr>
            </w:pPr>
            <w:r>
              <w:rPr>
                <w:color w:val="231F20"/>
                <w:sz w:val="14"/>
              </w:rPr>
              <w:t>7518020.2876</w:t>
            </w:r>
          </w:p>
        </w:tc>
        <w:tc>
          <w:tcPr>
            <w:tcW w:w="1162" w:type="dxa"/>
          </w:tcPr>
          <w:p>
            <w:pPr>
              <w:pStyle w:val="TableParagraph"/>
              <w:spacing w:before="8"/>
              <w:ind w:left="151" w:right="146"/>
              <w:jc w:val="center"/>
              <w:rPr>
                <w:sz w:val="14"/>
              </w:rPr>
            </w:pPr>
            <w:r>
              <w:rPr>
                <w:color w:val="231F20"/>
                <w:sz w:val="14"/>
              </w:rPr>
              <w:t>4953228.4663</w:t>
            </w:r>
          </w:p>
        </w:tc>
        <w:tc>
          <w:tcPr>
            <w:tcW w:w="1162" w:type="dxa"/>
          </w:tcPr>
          <w:p>
            <w:pPr>
              <w:pStyle w:val="TableParagraph"/>
              <w:spacing w:before="8"/>
              <w:ind w:left="151" w:right="146"/>
              <w:jc w:val="center"/>
              <w:rPr>
                <w:sz w:val="14"/>
              </w:rPr>
            </w:pPr>
            <w:r>
              <w:rPr>
                <w:color w:val="231F20"/>
                <w:sz w:val="14"/>
              </w:rPr>
              <w:t>Б119</w:t>
            </w:r>
          </w:p>
        </w:tc>
        <w:tc>
          <w:tcPr>
            <w:tcW w:w="1162" w:type="dxa"/>
          </w:tcPr>
          <w:p>
            <w:pPr>
              <w:pStyle w:val="TableParagraph"/>
              <w:spacing w:before="8"/>
              <w:ind w:left="152" w:right="146"/>
              <w:jc w:val="center"/>
              <w:rPr>
                <w:sz w:val="14"/>
              </w:rPr>
            </w:pPr>
            <w:r>
              <w:rPr>
                <w:color w:val="231F20"/>
                <w:sz w:val="14"/>
              </w:rPr>
              <w:t>7517983.7163</w:t>
            </w:r>
          </w:p>
        </w:tc>
        <w:tc>
          <w:tcPr>
            <w:tcW w:w="1162" w:type="dxa"/>
          </w:tcPr>
          <w:p>
            <w:pPr>
              <w:pStyle w:val="TableParagraph"/>
              <w:spacing w:before="8"/>
              <w:ind w:left="152" w:right="146"/>
              <w:jc w:val="center"/>
              <w:rPr>
                <w:sz w:val="14"/>
              </w:rPr>
            </w:pPr>
            <w:r>
              <w:rPr>
                <w:color w:val="231F20"/>
                <w:sz w:val="14"/>
              </w:rPr>
              <w:t>4953359.8491</w:t>
            </w:r>
          </w:p>
        </w:tc>
      </w:tr>
      <w:tr>
        <w:trPr>
          <w:trHeight w:val="200" w:hRule="atLeast"/>
        </w:trPr>
        <w:tc>
          <w:tcPr>
            <w:tcW w:w="1162" w:type="dxa"/>
          </w:tcPr>
          <w:p>
            <w:pPr>
              <w:pStyle w:val="TableParagraph"/>
              <w:spacing w:before="8"/>
              <w:ind w:left="149" w:right="146"/>
              <w:jc w:val="center"/>
              <w:rPr>
                <w:sz w:val="14"/>
              </w:rPr>
            </w:pPr>
            <w:r>
              <w:rPr>
                <w:color w:val="231F20"/>
                <w:sz w:val="14"/>
              </w:rPr>
              <w:t>Б33</w:t>
            </w:r>
          </w:p>
        </w:tc>
        <w:tc>
          <w:tcPr>
            <w:tcW w:w="1162" w:type="dxa"/>
          </w:tcPr>
          <w:p>
            <w:pPr>
              <w:pStyle w:val="TableParagraph"/>
              <w:spacing w:before="8"/>
              <w:ind w:left="149" w:right="146"/>
              <w:jc w:val="center"/>
              <w:rPr>
                <w:sz w:val="14"/>
              </w:rPr>
            </w:pPr>
            <w:r>
              <w:rPr>
                <w:color w:val="231F20"/>
                <w:sz w:val="14"/>
              </w:rPr>
              <w:t>7517383.1389</w:t>
            </w:r>
          </w:p>
        </w:tc>
        <w:tc>
          <w:tcPr>
            <w:tcW w:w="1162" w:type="dxa"/>
          </w:tcPr>
          <w:p>
            <w:pPr>
              <w:pStyle w:val="TableParagraph"/>
              <w:spacing w:before="8"/>
              <w:ind w:left="149" w:right="146"/>
              <w:jc w:val="center"/>
              <w:rPr>
                <w:sz w:val="14"/>
              </w:rPr>
            </w:pPr>
            <w:r>
              <w:rPr>
                <w:color w:val="231F20"/>
                <w:sz w:val="14"/>
              </w:rPr>
              <w:t>4953473.4343</w:t>
            </w:r>
          </w:p>
        </w:tc>
        <w:tc>
          <w:tcPr>
            <w:tcW w:w="1162" w:type="dxa"/>
          </w:tcPr>
          <w:p>
            <w:pPr>
              <w:pStyle w:val="TableParagraph"/>
              <w:spacing w:before="8"/>
              <w:ind w:left="150" w:right="146"/>
              <w:jc w:val="center"/>
              <w:rPr>
                <w:sz w:val="14"/>
              </w:rPr>
            </w:pPr>
            <w:r>
              <w:rPr>
                <w:color w:val="231F20"/>
                <w:sz w:val="14"/>
              </w:rPr>
              <w:t>Б76</w:t>
            </w:r>
          </w:p>
        </w:tc>
        <w:tc>
          <w:tcPr>
            <w:tcW w:w="1162" w:type="dxa"/>
          </w:tcPr>
          <w:p>
            <w:pPr>
              <w:pStyle w:val="TableParagraph"/>
              <w:spacing w:before="8"/>
              <w:ind w:left="150" w:right="146"/>
              <w:jc w:val="center"/>
              <w:rPr>
                <w:sz w:val="14"/>
              </w:rPr>
            </w:pPr>
            <w:r>
              <w:rPr>
                <w:color w:val="231F20"/>
                <w:sz w:val="14"/>
              </w:rPr>
              <w:t>7518019.3069</w:t>
            </w:r>
          </w:p>
        </w:tc>
        <w:tc>
          <w:tcPr>
            <w:tcW w:w="1162" w:type="dxa"/>
          </w:tcPr>
          <w:p>
            <w:pPr>
              <w:pStyle w:val="TableParagraph"/>
              <w:spacing w:before="8"/>
              <w:ind w:left="151" w:right="146"/>
              <w:jc w:val="center"/>
              <w:rPr>
                <w:sz w:val="14"/>
              </w:rPr>
            </w:pPr>
            <w:r>
              <w:rPr>
                <w:color w:val="231F20"/>
                <w:sz w:val="14"/>
              </w:rPr>
              <w:t>4953256.4938</w:t>
            </w:r>
          </w:p>
        </w:tc>
        <w:tc>
          <w:tcPr>
            <w:tcW w:w="1162" w:type="dxa"/>
          </w:tcPr>
          <w:p>
            <w:pPr>
              <w:pStyle w:val="TableParagraph"/>
              <w:spacing w:before="8"/>
              <w:ind w:left="151" w:right="146"/>
              <w:jc w:val="center"/>
              <w:rPr>
                <w:sz w:val="14"/>
              </w:rPr>
            </w:pPr>
            <w:r>
              <w:rPr>
                <w:color w:val="231F20"/>
                <w:sz w:val="14"/>
              </w:rPr>
              <w:t>Б120</w:t>
            </w:r>
          </w:p>
        </w:tc>
        <w:tc>
          <w:tcPr>
            <w:tcW w:w="1162" w:type="dxa"/>
          </w:tcPr>
          <w:p>
            <w:pPr>
              <w:pStyle w:val="TableParagraph"/>
              <w:spacing w:before="8"/>
              <w:ind w:left="151" w:right="146"/>
              <w:jc w:val="center"/>
              <w:rPr>
                <w:sz w:val="14"/>
              </w:rPr>
            </w:pPr>
            <w:r>
              <w:rPr>
                <w:color w:val="231F20"/>
                <w:sz w:val="14"/>
              </w:rPr>
              <w:t>7517996.7446</w:t>
            </w:r>
          </w:p>
        </w:tc>
        <w:tc>
          <w:tcPr>
            <w:tcW w:w="1162" w:type="dxa"/>
          </w:tcPr>
          <w:p>
            <w:pPr>
              <w:pStyle w:val="TableParagraph"/>
              <w:spacing w:before="8"/>
              <w:ind w:left="152" w:right="146"/>
              <w:jc w:val="center"/>
              <w:rPr>
                <w:sz w:val="14"/>
              </w:rPr>
            </w:pPr>
            <w:r>
              <w:rPr>
                <w:color w:val="231F20"/>
                <w:sz w:val="14"/>
              </w:rPr>
              <w:t>4953343.9133</w:t>
            </w:r>
          </w:p>
        </w:tc>
      </w:tr>
      <w:tr>
        <w:trPr>
          <w:trHeight w:val="200" w:hRule="atLeast"/>
        </w:trPr>
        <w:tc>
          <w:tcPr>
            <w:tcW w:w="1162" w:type="dxa"/>
          </w:tcPr>
          <w:p>
            <w:pPr>
              <w:pStyle w:val="TableParagraph"/>
              <w:spacing w:before="8"/>
              <w:ind w:left="148" w:right="146"/>
              <w:jc w:val="center"/>
              <w:rPr>
                <w:sz w:val="14"/>
              </w:rPr>
            </w:pPr>
            <w:r>
              <w:rPr>
                <w:color w:val="231F20"/>
                <w:sz w:val="14"/>
              </w:rPr>
              <w:t>Б34</w:t>
            </w:r>
          </w:p>
        </w:tc>
        <w:tc>
          <w:tcPr>
            <w:tcW w:w="1162" w:type="dxa"/>
          </w:tcPr>
          <w:p>
            <w:pPr>
              <w:pStyle w:val="TableParagraph"/>
              <w:spacing w:before="8"/>
              <w:ind w:left="149" w:right="146"/>
              <w:jc w:val="center"/>
              <w:rPr>
                <w:sz w:val="14"/>
              </w:rPr>
            </w:pPr>
            <w:r>
              <w:rPr>
                <w:color w:val="231F20"/>
                <w:sz w:val="14"/>
              </w:rPr>
              <w:t>7517418.3594</w:t>
            </w:r>
          </w:p>
        </w:tc>
        <w:tc>
          <w:tcPr>
            <w:tcW w:w="1162" w:type="dxa"/>
          </w:tcPr>
          <w:p>
            <w:pPr>
              <w:pStyle w:val="TableParagraph"/>
              <w:spacing w:before="8"/>
              <w:ind w:left="149" w:right="146"/>
              <w:jc w:val="center"/>
              <w:rPr>
                <w:sz w:val="14"/>
              </w:rPr>
            </w:pPr>
            <w:r>
              <w:rPr>
                <w:color w:val="231F20"/>
                <w:sz w:val="14"/>
              </w:rPr>
              <w:t>4953448.8693</w:t>
            </w:r>
          </w:p>
        </w:tc>
        <w:tc>
          <w:tcPr>
            <w:tcW w:w="1162" w:type="dxa"/>
          </w:tcPr>
          <w:p>
            <w:pPr>
              <w:pStyle w:val="TableParagraph"/>
              <w:spacing w:before="8"/>
              <w:ind w:left="149" w:right="146"/>
              <w:jc w:val="center"/>
              <w:rPr>
                <w:sz w:val="14"/>
              </w:rPr>
            </w:pPr>
            <w:r>
              <w:rPr>
                <w:color w:val="231F20"/>
                <w:sz w:val="14"/>
              </w:rPr>
              <w:t>Б77</w:t>
            </w:r>
          </w:p>
        </w:tc>
        <w:tc>
          <w:tcPr>
            <w:tcW w:w="1162" w:type="dxa"/>
          </w:tcPr>
          <w:p>
            <w:pPr>
              <w:pStyle w:val="TableParagraph"/>
              <w:spacing w:before="8"/>
              <w:ind w:left="150" w:right="146"/>
              <w:jc w:val="center"/>
              <w:rPr>
                <w:sz w:val="14"/>
              </w:rPr>
            </w:pPr>
            <w:r>
              <w:rPr>
                <w:color w:val="231F20"/>
                <w:sz w:val="14"/>
              </w:rPr>
              <w:t>7518012.2660</w:t>
            </w:r>
          </w:p>
        </w:tc>
        <w:tc>
          <w:tcPr>
            <w:tcW w:w="1162" w:type="dxa"/>
          </w:tcPr>
          <w:p>
            <w:pPr>
              <w:pStyle w:val="TableParagraph"/>
              <w:spacing w:before="8"/>
              <w:ind w:left="150" w:right="146"/>
              <w:jc w:val="center"/>
              <w:rPr>
                <w:sz w:val="14"/>
              </w:rPr>
            </w:pPr>
            <w:r>
              <w:rPr>
                <w:color w:val="231F20"/>
                <w:sz w:val="14"/>
              </w:rPr>
              <w:t>4953287.2627</w:t>
            </w:r>
          </w:p>
        </w:tc>
        <w:tc>
          <w:tcPr>
            <w:tcW w:w="1162" w:type="dxa"/>
          </w:tcPr>
          <w:p>
            <w:pPr>
              <w:pStyle w:val="TableParagraph"/>
              <w:spacing w:before="8"/>
              <w:ind w:left="150" w:right="146"/>
              <w:jc w:val="center"/>
              <w:rPr>
                <w:sz w:val="14"/>
              </w:rPr>
            </w:pPr>
            <w:r>
              <w:rPr>
                <w:color w:val="231F20"/>
                <w:sz w:val="14"/>
              </w:rPr>
              <w:t>Б121</w:t>
            </w:r>
          </w:p>
        </w:tc>
        <w:tc>
          <w:tcPr>
            <w:tcW w:w="1162" w:type="dxa"/>
          </w:tcPr>
          <w:p>
            <w:pPr>
              <w:pStyle w:val="TableParagraph"/>
              <w:spacing w:before="8"/>
              <w:ind w:left="151" w:right="146"/>
              <w:jc w:val="center"/>
              <w:rPr>
                <w:sz w:val="14"/>
              </w:rPr>
            </w:pPr>
            <w:r>
              <w:rPr>
                <w:color w:val="231F20"/>
                <w:sz w:val="14"/>
              </w:rPr>
              <w:t>7518006.9785</w:t>
            </w:r>
          </w:p>
        </w:tc>
        <w:tc>
          <w:tcPr>
            <w:tcW w:w="1162" w:type="dxa"/>
          </w:tcPr>
          <w:p>
            <w:pPr>
              <w:pStyle w:val="TableParagraph"/>
              <w:spacing w:before="8"/>
              <w:ind w:left="151" w:right="146"/>
              <w:jc w:val="center"/>
              <w:rPr>
                <w:sz w:val="14"/>
              </w:rPr>
            </w:pPr>
            <w:r>
              <w:rPr>
                <w:color w:val="231F20"/>
                <w:sz w:val="14"/>
              </w:rPr>
              <w:t>4953327.9215</w:t>
            </w:r>
          </w:p>
        </w:tc>
      </w:tr>
      <w:tr>
        <w:trPr>
          <w:trHeight w:val="200" w:hRule="atLeast"/>
        </w:trPr>
        <w:tc>
          <w:tcPr>
            <w:tcW w:w="1162" w:type="dxa"/>
          </w:tcPr>
          <w:p>
            <w:pPr>
              <w:pStyle w:val="TableParagraph"/>
              <w:spacing w:before="8"/>
              <w:ind w:left="148" w:right="146"/>
              <w:jc w:val="center"/>
              <w:rPr>
                <w:sz w:val="14"/>
              </w:rPr>
            </w:pPr>
            <w:r>
              <w:rPr>
                <w:color w:val="231F20"/>
                <w:sz w:val="14"/>
              </w:rPr>
              <w:t>Б35</w:t>
            </w:r>
          </w:p>
        </w:tc>
        <w:tc>
          <w:tcPr>
            <w:tcW w:w="1162" w:type="dxa"/>
          </w:tcPr>
          <w:p>
            <w:pPr>
              <w:pStyle w:val="TableParagraph"/>
              <w:spacing w:before="8"/>
              <w:ind w:left="149" w:right="146"/>
              <w:jc w:val="center"/>
              <w:rPr>
                <w:sz w:val="14"/>
              </w:rPr>
            </w:pPr>
            <w:r>
              <w:rPr>
                <w:color w:val="231F20"/>
                <w:sz w:val="14"/>
              </w:rPr>
              <w:t>7517480.7523</w:t>
            </w:r>
          </w:p>
        </w:tc>
        <w:tc>
          <w:tcPr>
            <w:tcW w:w="1162" w:type="dxa"/>
          </w:tcPr>
          <w:p>
            <w:pPr>
              <w:pStyle w:val="TableParagraph"/>
              <w:spacing w:before="8"/>
              <w:ind w:left="149" w:right="146"/>
              <w:jc w:val="center"/>
              <w:rPr>
                <w:sz w:val="14"/>
              </w:rPr>
            </w:pPr>
            <w:r>
              <w:rPr>
                <w:color w:val="231F20"/>
                <w:sz w:val="14"/>
              </w:rPr>
              <w:t>4953415.8363</w:t>
            </w:r>
          </w:p>
        </w:tc>
        <w:tc>
          <w:tcPr>
            <w:tcW w:w="1162" w:type="dxa"/>
          </w:tcPr>
          <w:p>
            <w:pPr>
              <w:pStyle w:val="TableParagraph"/>
              <w:spacing w:before="8"/>
              <w:ind w:left="149" w:right="146"/>
              <w:jc w:val="center"/>
              <w:rPr>
                <w:sz w:val="14"/>
              </w:rPr>
            </w:pPr>
            <w:r>
              <w:rPr>
                <w:color w:val="231F20"/>
                <w:sz w:val="14"/>
              </w:rPr>
              <w:t>Б78</w:t>
            </w:r>
          </w:p>
        </w:tc>
        <w:tc>
          <w:tcPr>
            <w:tcW w:w="1162" w:type="dxa"/>
          </w:tcPr>
          <w:p>
            <w:pPr>
              <w:pStyle w:val="TableParagraph"/>
              <w:spacing w:before="8"/>
              <w:ind w:left="150" w:right="146"/>
              <w:jc w:val="center"/>
              <w:rPr>
                <w:sz w:val="14"/>
              </w:rPr>
            </w:pPr>
            <w:r>
              <w:rPr>
                <w:color w:val="231F20"/>
                <w:sz w:val="14"/>
              </w:rPr>
              <w:t>7517999.6552</w:t>
            </w:r>
          </w:p>
        </w:tc>
        <w:tc>
          <w:tcPr>
            <w:tcW w:w="1162" w:type="dxa"/>
          </w:tcPr>
          <w:p>
            <w:pPr>
              <w:pStyle w:val="TableParagraph"/>
              <w:spacing w:before="8"/>
              <w:ind w:left="150" w:right="146"/>
              <w:jc w:val="center"/>
              <w:rPr>
                <w:sz w:val="14"/>
              </w:rPr>
            </w:pPr>
            <w:r>
              <w:rPr>
                <w:color w:val="231F20"/>
                <w:sz w:val="14"/>
              </w:rPr>
              <w:t>4953316.2899</w:t>
            </w:r>
          </w:p>
        </w:tc>
        <w:tc>
          <w:tcPr>
            <w:tcW w:w="1162" w:type="dxa"/>
          </w:tcPr>
          <w:p>
            <w:pPr>
              <w:pStyle w:val="TableParagraph"/>
              <w:spacing w:before="8"/>
              <w:ind w:left="150" w:right="146"/>
              <w:jc w:val="center"/>
              <w:rPr>
                <w:sz w:val="14"/>
              </w:rPr>
            </w:pPr>
            <w:r>
              <w:rPr>
                <w:color w:val="231F20"/>
                <w:sz w:val="14"/>
              </w:rPr>
              <w:t>Б122</w:t>
            </w:r>
          </w:p>
        </w:tc>
        <w:tc>
          <w:tcPr>
            <w:tcW w:w="1162" w:type="dxa"/>
          </w:tcPr>
          <w:p>
            <w:pPr>
              <w:pStyle w:val="TableParagraph"/>
              <w:spacing w:before="8"/>
              <w:ind w:left="151" w:right="146"/>
              <w:jc w:val="center"/>
              <w:rPr>
                <w:sz w:val="14"/>
              </w:rPr>
            </w:pPr>
            <w:r>
              <w:rPr>
                <w:color w:val="231F20"/>
                <w:sz w:val="14"/>
              </w:rPr>
              <w:t>7518016.7734</w:t>
            </w:r>
          </w:p>
        </w:tc>
        <w:tc>
          <w:tcPr>
            <w:tcW w:w="1162" w:type="dxa"/>
          </w:tcPr>
          <w:p>
            <w:pPr>
              <w:pStyle w:val="TableParagraph"/>
              <w:spacing w:before="8"/>
              <w:ind w:left="151" w:right="146"/>
              <w:jc w:val="center"/>
              <w:rPr>
                <w:sz w:val="14"/>
              </w:rPr>
            </w:pPr>
            <w:r>
              <w:rPr>
                <w:color w:val="231F20"/>
                <w:sz w:val="14"/>
              </w:rPr>
              <w:t>4953309.3482</w:t>
            </w:r>
          </w:p>
        </w:tc>
      </w:tr>
      <w:tr>
        <w:trPr>
          <w:trHeight w:val="200" w:hRule="atLeast"/>
        </w:trPr>
        <w:tc>
          <w:tcPr>
            <w:tcW w:w="1162" w:type="dxa"/>
          </w:tcPr>
          <w:p>
            <w:pPr>
              <w:pStyle w:val="TableParagraph"/>
              <w:spacing w:before="8"/>
              <w:ind w:left="148" w:right="146"/>
              <w:jc w:val="center"/>
              <w:rPr>
                <w:sz w:val="14"/>
              </w:rPr>
            </w:pPr>
            <w:r>
              <w:rPr>
                <w:color w:val="231F20"/>
                <w:sz w:val="14"/>
              </w:rPr>
              <w:t>Б36</w:t>
            </w:r>
          </w:p>
        </w:tc>
        <w:tc>
          <w:tcPr>
            <w:tcW w:w="1162" w:type="dxa"/>
          </w:tcPr>
          <w:p>
            <w:pPr>
              <w:pStyle w:val="TableParagraph"/>
              <w:spacing w:before="8"/>
              <w:ind w:left="148" w:right="146"/>
              <w:jc w:val="center"/>
              <w:rPr>
                <w:sz w:val="14"/>
              </w:rPr>
            </w:pPr>
            <w:r>
              <w:rPr>
                <w:color w:val="231F20"/>
                <w:sz w:val="14"/>
              </w:rPr>
              <w:t>7517506.7816</w:t>
            </w:r>
          </w:p>
        </w:tc>
        <w:tc>
          <w:tcPr>
            <w:tcW w:w="1162" w:type="dxa"/>
          </w:tcPr>
          <w:p>
            <w:pPr>
              <w:pStyle w:val="TableParagraph"/>
              <w:spacing w:before="8"/>
              <w:ind w:left="149" w:right="146"/>
              <w:jc w:val="center"/>
              <w:rPr>
                <w:sz w:val="14"/>
              </w:rPr>
            </w:pPr>
            <w:r>
              <w:rPr>
                <w:color w:val="231F20"/>
                <w:sz w:val="14"/>
              </w:rPr>
              <w:t>4953400.8310</w:t>
            </w:r>
          </w:p>
        </w:tc>
        <w:tc>
          <w:tcPr>
            <w:tcW w:w="1162" w:type="dxa"/>
          </w:tcPr>
          <w:p>
            <w:pPr>
              <w:pStyle w:val="TableParagraph"/>
              <w:spacing w:before="8"/>
              <w:ind w:left="149" w:right="146"/>
              <w:jc w:val="center"/>
              <w:rPr>
                <w:sz w:val="14"/>
              </w:rPr>
            </w:pPr>
            <w:r>
              <w:rPr>
                <w:color w:val="231F20"/>
                <w:sz w:val="14"/>
              </w:rPr>
              <w:t>Б79</w:t>
            </w:r>
          </w:p>
        </w:tc>
        <w:tc>
          <w:tcPr>
            <w:tcW w:w="1162" w:type="dxa"/>
          </w:tcPr>
          <w:p>
            <w:pPr>
              <w:pStyle w:val="TableParagraph"/>
              <w:spacing w:before="8"/>
              <w:ind w:left="149" w:right="146"/>
              <w:jc w:val="center"/>
              <w:rPr>
                <w:sz w:val="14"/>
              </w:rPr>
            </w:pPr>
            <w:r>
              <w:rPr>
                <w:color w:val="231F20"/>
                <w:sz w:val="14"/>
              </w:rPr>
              <w:t>7517985.8972</w:t>
            </w:r>
          </w:p>
        </w:tc>
        <w:tc>
          <w:tcPr>
            <w:tcW w:w="1162" w:type="dxa"/>
          </w:tcPr>
          <w:p>
            <w:pPr>
              <w:pStyle w:val="TableParagraph"/>
              <w:spacing w:before="8"/>
              <w:ind w:left="150" w:right="146"/>
              <w:jc w:val="center"/>
              <w:rPr>
                <w:sz w:val="14"/>
              </w:rPr>
            </w:pPr>
            <w:r>
              <w:rPr>
                <w:color w:val="231F20"/>
                <w:sz w:val="14"/>
              </w:rPr>
              <w:t>4953337.7293</w:t>
            </w:r>
          </w:p>
        </w:tc>
        <w:tc>
          <w:tcPr>
            <w:tcW w:w="1162" w:type="dxa"/>
          </w:tcPr>
          <w:p>
            <w:pPr>
              <w:pStyle w:val="TableParagraph"/>
              <w:spacing w:before="8"/>
              <w:ind w:left="150" w:right="146"/>
              <w:jc w:val="center"/>
              <w:rPr>
                <w:sz w:val="14"/>
              </w:rPr>
            </w:pPr>
            <w:r>
              <w:rPr>
                <w:color w:val="231F20"/>
                <w:sz w:val="14"/>
              </w:rPr>
              <w:t>Б123</w:t>
            </w:r>
          </w:p>
        </w:tc>
        <w:tc>
          <w:tcPr>
            <w:tcW w:w="1162" w:type="dxa"/>
          </w:tcPr>
          <w:p>
            <w:pPr>
              <w:pStyle w:val="TableParagraph"/>
              <w:spacing w:before="8"/>
              <w:ind w:left="150" w:right="146"/>
              <w:jc w:val="center"/>
              <w:rPr>
                <w:sz w:val="14"/>
              </w:rPr>
            </w:pPr>
            <w:r>
              <w:rPr>
                <w:color w:val="231F20"/>
                <w:sz w:val="14"/>
              </w:rPr>
              <w:t>7518024.5911</w:t>
            </w:r>
          </w:p>
        </w:tc>
        <w:tc>
          <w:tcPr>
            <w:tcW w:w="1162" w:type="dxa"/>
          </w:tcPr>
          <w:p>
            <w:pPr>
              <w:pStyle w:val="TableParagraph"/>
              <w:spacing w:before="8"/>
              <w:ind w:left="151" w:right="146"/>
              <w:jc w:val="center"/>
              <w:rPr>
                <w:sz w:val="14"/>
              </w:rPr>
            </w:pPr>
            <w:r>
              <w:rPr>
                <w:color w:val="231F20"/>
                <w:sz w:val="14"/>
              </w:rPr>
              <w:t>4953287.8697</w:t>
            </w:r>
          </w:p>
        </w:tc>
      </w:tr>
      <w:tr>
        <w:trPr>
          <w:trHeight w:val="200" w:hRule="atLeast"/>
        </w:trPr>
        <w:tc>
          <w:tcPr>
            <w:tcW w:w="1162" w:type="dxa"/>
          </w:tcPr>
          <w:p>
            <w:pPr>
              <w:pStyle w:val="TableParagraph"/>
              <w:spacing w:before="0"/>
              <w:jc w:val="left"/>
              <w:rPr>
                <w:sz w:val="12"/>
              </w:rPr>
            </w:pPr>
          </w:p>
        </w:tc>
        <w:tc>
          <w:tcPr>
            <w:tcW w:w="1162" w:type="dxa"/>
          </w:tcPr>
          <w:p>
            <w:pPr>
              <w:pStyle w:val="TableParagraph"/>
              <w:spacing w:before="0"/>
              <w:jc w:val="left"/>
              <w:rPr>
                <w:sz w:val="12"/>
              </w:rPr>
            </w:pPr>
          </w:p>
        </w:tc>
        <w:tc>
          <w:tcPr>
            <w:tcW w:w="1162" w:type="dxa"/>
          </w:tcPr>
          <w:p>
            <w:pPr>
              <w:pStyle w:val="TableParagraph"/>
              <w:spacing w:before="0"/>
              <w:jc w:val="left"/>
              <w:rPr>
                <w:sz w:val="12"/>
              </w:rPr>
            </w:pPr>
          </w:p>
        </w:tc>
        <w:tc>
          <w:tcPr>
            <w:tcW w:w="1162" w:type="dxa"/>
          </w:tcPr>
          <w:p>
            <w:pPr>
              <w:pStyle w:val="TableParagraph"/>
              <w:spacing w:before="8"/>
              <w:ind w:left="149" w:right="146"/>
              <w:jc w:val="center"/>
              <w:rPr>
                <w:sz w:val="14"/>
              </w:rPr>
            </w:pPr>
            <w:r>
              <w:rPr>
                <w:color w:val="231F20"/>
                <w:sz w:val="14"/>
              </w:rPr>
              <w:t>Б80</w:t>
            </w:r>
          </w:p>
        </w:tc>
        <w:tc>
          <w:tcPr>
            <w:tcW w:w="1162" w:type="dxa"/>
          </w:tcPr>
          <w:p>
            <w:pPr>
              <w:pStyle w:val="TableParagraph"/>
              <w:spacing w:before="8"/>
              <w:ind w:left="149" w:right="146"/>
              <w:jc w:val="center"/>
              <w:rPr>
                <w:sz w:val="14"/>
              </w:rPr>
            </w:pPr>
            <w:r>
              <w:rPr>
                <w:color w:val="231F20"/>
                <w:sz w:val="14"/>
              </w:rPr>
              <w:t>7517967.4761</w:t>
            </w:r>
          </w:p>
        </w:tc>
        <w:tc>
          <w:tcPr>
            <w:tcW w:w="1162" w:type="dxa"/>
          </w:tcPr>
          <w:p>
            <w:pPr>
              <w:pStyle w:val="TableParagraph"/>
              <w:spacing w:before="8"/>
              <w:ind w:left="150" w:right="146"/>
              <w:jc w:val="center"/>
              <w:rPr>
                <w:sz w:val="14"/>
              </w:rPr>
            </w:pPr>
            <w:r>
              <w:rPr>
                <w:color w:val="231F20"/>
                <w:sz w:val="14"/>
              </w:rPr>
              <w:t>4953358.7001</w:t>
            </w:r>
          </w:p>
        </w:tc>
        <w:tc>
          <w:tcPr>
            <w:tcW w:w="1162" w:type="dxa"/>
          </w:tcPr>
          <w:p>
            <w:pPr>
              <w:pStyle w:val="TableParagraph"/>
              <w:spacing w:before="8"/>
              <w:ind w:left="150" w:right="146"/>
              <w:jc w:val="center"/>
              <w:rPr>
                <w:sz w:val="14"/>
              </w:rPr>
            </w:pPr>
            <w:r>
              <w:rPr>
                <w:color w:val="231F20"/>
                <w:sz w:val="14"/>
              </w:rPr>
              <w:t>Б124</w:t>
            </w:r>
          </w:p>
        </w:tc>
        <w:tc>
          <w:tcPr>
            <w:tcW w:w="1162" w:type="dxa"/>
          </w:tcPr>
          <w:p>
            <w:pPr>
              <w:pStyle w:val="TableParagraph"/>
              <w:spacing w:before="8"/>
              <w:ind w:left="151" w:right="146"/>
              <w:jc w:val="center"/>
              <w:rPr>
                <w:sz w:val="14"/>
              </w:rPr>
            </w:pPr>
            <w:r>
              <w:rPr>
                <w:color w:val="231F20"/>
                <w:sz w:val="14"/>
              </w:rPr>
              <w:t>7518031.6158</w:t>
            </w:r>
          </w:p>
        </w:tc>
        <w:tc>
          <w:tcPr>
            <w:tcW w:w="1162" w:type="dxa"/>
          </w:tcPr>
          <w:p>
            <w:pPr>
              <w:pStyle w:val="TableParagraph"/>
              <w:spacing w:before="8"/>
              <w:ind w:left="151" w:right="146"/>
              <w:jc w:val="center"/>
              <w:rPr>
                <w:sz w:val="14"/>
              </w:rPr>
            </w:pPr>
            <w:r>
              <w:rPr>
                <w:color w:val="231F20"/>
                <w:sz w:val="14"/>
              </w:rPr>
              <w:t>4953256.3753</w:t>
            </w:r>
          </w:p>
        </w:tc>
      </w:tr>
      <w:tr>
        <w:trPr>
          <w:trHeight w:val="200" w:hRule="atLeast"/>
        </w:trPr>
        <w:tc>
          <w:tcPr>
            <w:tcW w:w="1162" w:type="dxa"/>
          </w:tcPr>
          <w:p>
            <w:pPr>
              <w:pStyle w:val="TableParagraph"/>
              <w:spacing w:before="8"/>
              <w:ind w:left="147" w:right="146"/>
              <w:jc w:val="center"/>
              <w:rPr>
                <w:sz w:val="14"/>
              </w:rPr>
            </w:pPr>
            <w:r>
              <w:rPr>
                <w:color w:val="231F20"/>
                <w:sz w:val="14"/>
              </w:rPr>
              <w:t>Б37</w:t>
            </w:r>
          </w:p>
        </w:tc>
        <w:tc>
          <w:tcPr>
            <w:tcW w:w="1162" w:type="dxa"/>
          </w:tcPr>
          <w:p>
            <w:pPr>
              <w:pStyle w:val="TableParagraph"/>
              <w:spacing w:before="8"/>
              <w:ind w:left="148" w:right="146"/>
              <w:jc w:val="center"/>
              <w:rPr>
                <w:sz w:val="14"/>
              </w:rPr>
            </w:pPr>
            <w:r>
              <w:rPr>
                <w:color w:val="231F20"/>
                <w:sz w:val="14"/>
              </w:rPr>
              <w:t>7517529.8103</w:t>
            </w:r>
          </w:p>
        </w:tc>
        <w:tc>
          <w:tcPr>
            <w:tcW w:w="1162" w:type="dxa"/>
          </w:tcPr>
          <w:p>
            <w:pPr>
              <w:pStyle w:val="TableParagraph"/>
              <w:spacing w:before="8"/>
              <w:ind w:left="148" w:right="146"/>
              <w:jc w:val="center"/>
              <w:rPr>
                <w:sz w:val="14"/>
              </w:rPr>
            </w:pPr>
            <w:r>
              <w:rPr>
                <w:color w:val="231F20"/>
                <w:sz w:val="14"/>
              </w:rPr>
              <w:t>4953379.7491</w:t>
            </w:r>
          </w:p>
        </w:tc>
        <w:tc>
          <w:tcPr>
            <w:tcW w:w="1162" w:type="dxa"/>
          </w:tcPr>
          <w:p>
            <w:pPr>
              <w:pStyle w:val="TableParagraph"/>
              <w:spacing w:before="8"/>
              <w:ind w:left="149" w:right="146"/>
              <w:jc w:val="center"/>
              <w:rPr>
                <w:sz w:val="14"/>
              </w:rPr>
            </w:pPr>
            <w:r>
              <w:rPr>
                <w:color w:val="231F20"/>
                <w:sz w:val="14"/>
              </w:rPr>
              <w:t>Б81</w:t>
            </w:r>
          </w:p>
        </w:tc>
        <w:tc>
          <w:tcPr>
            <w:tcW w:w="1162" w:type="dxa"/>
          </w:tcPr>
          <w:p>
            <w:pPr>
              <w:pStyle w:val="TableParagraph"/>
              <w:spacing w:before="8"/>
              <w:ind w:left="149" w:right="146"/>
              <w:jc w:val="center"/>
              <w:rPr>
                <w:sz w:val="14"/>
              </w:rPr>
            </w:pPr>
            <w:r>
              <w:rPr>
                <w:color w:val="231F20"/>
                <w:sz w:val="14"/>
              </w:rPr>
              <w:t>7517944.9656</w:t>
            </w:r>
          </w:p>
        </w:tc>
        <w:tc>
          <w:tcPr>
            <w:tcW w:w="1162" w:type="dxa"/>
          </w:tcPr>
          <w:p>
            <w:pPr>
              <w:pStyle w:val="TableParagraph"/>
              <w:spacing w:before="8"/>
              <w:ind w:left="149" w:right="146"/>
              <w:jc w:val="center"/>
              <w:rPr>
                <w:sz w:val="14"/>
              </w:rPr>
            </w:pPr>
            <w:r>
              <w:rPr>
                <w:color w:val="231F20"/>
                <w:sz w:val="14"/>
              </w:rPr>
              <w:t>4953377.8003</w:t>
            </w:r>
          </w:p>
        </w:tc>
        <w:tc>
          <w:tcPr>
            <w:tcW w:w="1162" w:type="dxa"/>
          </w:tcPr>
          <w:p>
            <w:pPr>
              <w:pStyle w:val="TableParagraph"/>
              <w:spacing w:before="8"/>
              <w:ind w:left="150" w:right="146"/>
              <w:jc w:val="center"/>
              <w:rPr>
                <w:sz w:val="14"/>
              </w:rPr>
            </w:pPr>
            <w:r>
              <w:rPr>
                <w:color w:val="231F20"/>
                <w:sz w:val="14"/>
              </w:rPr>
              <w:t>Б125</w:t>
            </w:r>
          </w:p>
        </w:tc>
        <w:tc>
          <w:tcPr>
            <w:tcW w:w="1162" w:type="dxa"/>
          </w:tcPr>
          <w:p>
            <w:pPr>
              <w:pStyle w:val="TableParagraph"/>
              <w:spacing w:before="8"/>
              <w:ind w:left="150" w:right="146"/>
              <w:jc w:val="center"/>
              <w:rPr>
                <w:sz w:val="14"/>
              </w:rPr>
            </w:pPr>
            <w:r>
              <w:rPr>
                <w:color w:val="231F20"/>
                <w:sz w:val="14"/>
              </w:rPr>
              <w:t>7518032.6928</w:t>
            </w:r>
          </w:p>
        </w:tc>
        <w:tc>
          <w:tcPr>
            <w:tcW w:w="1162" w:type="dxa"/>
          </w:tcPr>
          <w:p>
            <w:pPr>
              <w:pStyle w:val="TableParagraph"/>
              <w:spacing w:before="8"/>
              <w:ind w:left="151" w:right="146"/>
              <w:jc w:val="center"/>
              <w:rPr>
                <w:sz w:val="14"/>
              </w:rPr>
            </w:pPr>
            <w:r>
              <w:rPr>
                <w:color w:val="231F20"/>
                <w:sz w:val="14"/>
              </w:rPr>
              <w:t>4953229.8829</w:t>
            </w:r>
          </w:p>
        </w:tc>
      </w:tr>
      <w:tr>
        <w:trPr>
          <w:trHeight w:val="200" w:hRule="atLeast"/>
        </w:trPr>
        <w:tc>
          <w:tcPr>
            <w:tcW w:w="1162" w:type="dxa"/>
          </w:tcPr>
          <w:p>
            <w:pPr>
              <w:pStyle w:val="TableParagraph"/>
              <w:spacing w:before="8"/>
              <w:ind w:left="147" w:right="146"/>
              <w:jc w:val="center"/>
              <w:rPr>
                <w:sz w:val="14"/>
              </w:rPr>
            </w:pPr>
            <w:r>
              <w:rPr>
                <w:color w:val="231F20"/>
                <w:sz w:val="14"/>
              </w:rPr>
              <w:t>Б38</w:t>
            </w:r>
          </w:p>
        </w:tc>
        <w:tc>
          <w:tcPr>
            <w:tcW w:w="1162" w:type="dxa"/>
          </w:tcPr>
          <w:p>
            <w:pPr>
              <w:pStyle w:val="TableParagraph"/>
              <w:spacing w:before="8"/>
              <w:ind w:left="148" w:right="146"/>
              <w:jc w:val="center"/>
              <w:rPr>
                <w:sz w:val="14"/>
              </w:rPr>
            </w:pPr>
            <w:r>
              <w:rPr>
                <w:color w:val="231F20"/>
                <w:sz w:val="14"/>
              </w:rPr>
              <w:t>7517299.0856</w:t>
            </w:r>
          </w:p>
        </w:tc>
        <w:tc>
          <w:tcPr>
            <w:tcW w:w="1162" w:type="dxa"/>
          </w:tcPr>
          <w:p>
            <w:pPr>
              <w:pStyle w:val="TableParagraph"/>
              <w:spacing w:before="8"/>
              <w:ind w:left="148" w:right="146"/>
              <w:jc w:val="center"/>
              <w:rPr>
                <w:sz w:val="14"/>
              </w:rPr>
            </w:pPr>
            <w:r>
              <w:rPr>
                <w:color w:val="231F20"/>
                <w:sz w:val="14"/>
              </w:rPr>
              <w:t>4953882.8343</w:t>
            </w:r>
          </w:p>
        </w:tc>
        <w:tc>
          <w:tcPr>
            <w:tcW w:w="1162" w:type="dxa"/>
          </w:tcPr>
          <w:p>
            <w:pPr>
              <w:pStyle w:val="TableParagraph"/>
              <w:spacing w:before="8"/>
              <w:ind w:left="148" w:right="146"/>
              <w:jc w:val="center"/>
              <w:rPr>
                <w:sz w:val="14"/>
              </w:rPr>
            </w:pPr>
            <w:r>
              <w:rPr>
                <w:color w:val="231F20"/>
                <w:sz w:val="14"/>
              </w:rPr>
              <w:t>Б82</w:t>
            </w:r>
          </w:p>
        </w:tc>
        <w:tc>
          <w:tcPr>
            <w:tcW w:w="1162" w:type="dxa"/>
          </w:tcPr>
          <w:p>
            <w:pPr>
              <w:pStyle w:val="TableParagraph"/>
              <w:spacing w:before="8"/>
              <w:ind w:left="149" w:right="146"/>
              <w:jc w:val="center"/>
              <w:rPr>
                <w:sz w:val="14"/>
              </w:rPr>
            </w:pPr>
            <w:r>
              <w:rPr>
                <w:color w:val="231F20"/>
                <w:sz w:val="14"/>
              </w:rPr>
              <w:t>7517920.8822</w:t>
            </w:r>
          </w:p>
        </w:tc>
        <w:tc>
          <w:tcPr>
            <w:tcW w:w="1162" w:type="dxa"/>
          </w:tcPr>
          <w:p>
            <w:pPr>
              <w:pStyle w:val="TableParagraph"/>
              <w:spacing w:before="8"/>
              <w:ind w:left="149" w:right="146"/>
              <w:jc w:val="center"/>
              <w:rPr>
                <w:sz w:val="14"/>
              </w:rPr>
            </w:pPr>
            <w:r>
              <w:rPr>
                <w:color w:val="231F20"/>
                <w:sz w:val="14"/>
              </w:rPr>
              <w:t>4953398.4743</w:t>
            </w:r>
          </w:p>
        </w:tc>
        <w:tc>
          <w:tcPr>
            <w:tcW w:w="1162" w:type="dxa"/>
          </w:tcPr>
          <w:p>
            <w:pPr>
              <w:pStyle w:val="TableParagraph"/>
              <w:spacing w:before="8"/>
              <w:ind w:left="149" w:right="146"/>
              <w:jc w:val="center"/>
              <w:rPr>
                <w:sz w:val="14"/>
              </w:rPr>
            </w:pPr>
            <w:r>
              <w:rPr>
                <w:color w:val="231F20"/>
                <w:sz w:val="14"/>
              </w:rPr>
              <w:t>Б126</w:t>
            </w:r>
          </w:p>
        </w:tc>
        <w:tc>
          <w:tcPr>
            <w:tcW w:w="1162" w:type="dxa"/>
          </w:tcPr>
          <w:p>
            <w:pPr>
              <w:pStyle w:val="TableParagraph"/>
              <w:spacing w:before="8"/>
              <w:ind w:left="150" w:right="146"/>
              <w:jc w:val="center"/>
              <w:rPr>
                <w:sz w:val="14"/>
              </w:rPr>
            </w:pPr>
            <w:r>
              <w:rPr>
                <w:color w:val="231F20"/>
                <w:sz w:val="14"/>
              </w:rPr>
              <w:t>7518028.4611</w:t>
            </w:r>
          </w:p>
        </w:tc>
        <w:tc>
          <w:tcPr>
            <w:tcW w:w="1162" w:type="dxa"/>
          </w:tcPr>
          <w:p>
            <w:pPr>
              <w:pStyle w:val="TableParagraph"/>
              <w:spacing w:before="8"/>
              <w:ind w:left="150" w:right="146"/>
              <w:jc w:val="center"/>
              <w:rPr>
                <w:sz w:val="14"/>
              </w:rPr>
            </w:pPr>
            <w:r>
              <w:rPr>
                <w:color w:val="231F20"/>
                <w:sz w:val="14"/>
              </w:rPr>
              <w:t>4953193.8266</w:t>
            </w:r>
          </w:p>
        </w:tc>
      </w:tr>
      <w:tr>
        <w:trPr>
          <w:trHeight w:val="200" w:hRule="atLeast"/>
        </w:trPr>
        <w:tc>
          <w:tcPr>
            <w:tcW w:w="1162" w:type="dxa"/>
          </w:tcPr>
          <w:p>
            <w:pPr>
              <w:pStyle w:val="TableParagraph"/>
              <w:spacing w:before="7"/>
              <w:ind w:left="147" w:right="146"/>
              <w:jc w:val="center"/>
              <w:rPr>
                <w:sz w:val="14"/>
              </w:rPr>
            </w:pPr>
            <w:r>
              <w:rPr>
                <w:color w:val="231F20"/>
                <w:sz w:val="14"/>
              </w:rPr>
              <w:t>Б39</w:t>
            </w:r>
          </w:p>
        </w:tc>
        <w:tc>
          <w:tcPr>
            <w:tcW w:w="1162" w:type="dxa"/>
          </w:tcPr>
          <w:p>
            <w:pPr>
              <w:pStyle w:val="TableParagraph"/>
              <w:spacing w:before="7"/>
              <w:ind w:left="147" w:right="146"/>
              <w:jc w:val="center"/>
              <w:rPr>
                <w:sz w:val="14"/>
              </w:rPr>
            </w:pPr>
            <w:r>
              <w:rPr>
                <w:color w:val="231F20"/>
                <w:sz w:val="14"/>
              </w:rPr>
              <w:t>7517272.2439</w:t>
            </w:r>
          </w:p>
        </w:tc>
        <w:tc>
          <w:tcPr>
            <w:tcW w:w="1162" w:type="dxa"/>
          </w:tcPr>
          <w:p>
            <w:pPr>
              <w:pStyle w:val="TableParagraph"/>
              <w:spacing w:before="7"/>
              <w:ind w:left="148" w:right="146"/>
              <w:jc w:val="center"/>
              <w:rPr>
                <w:sz w:val="14"/>
              </w:rPr>
            </w:pPr>
            <w:r>
              <w:rPr>
                <w:color w:val="231F20"/>
                <w:sz w:val="14"/>
              </w:rPr>
              <w:t>4953929.4079</w:t>
            </w:r>
          </w:p>
        </w:tc>
        <w:tc>
          <w:tcPr>
            <w:tcW w:w="1162" w:type="dxa"/>
          </w:tcPr>
          <w:p>
            <w:pPr>
              <w:pStyle w:val="TableParagraph"/>
              <w:spacing w:before="7"/>
              <w:ind w:left="148" w:right="146"/>
              <w:jc w:val="center"/>
              <w:rPr>
                <w:sz w:val="14"/>
              </w:rPr>
            </w:pPr>
            <w:r>
              <w:rPr>
                <w:color w:val="231F20"/>
                <w:sz w:val="14"/>
              </w:rPr>
              <w:t>Б83</w:t>
            </w:r>
          </w:p>
        </w:tc>
        <w:tc>
          <w:tcPr>
            <w:tcW w:w="1162" w:type="dxa"/>
          </w:tcPr>
          <w:p>
            <w:pPr>
              <w:pStyle w:val="TableParagraph"/>
              <w:spacing w:before="7"/>
              <w:ind w:left="149" w:right="146"/>
              <w:jc w:val="center"/>
              <w:rPr>
                <w:sz w:val="14"/>
              </w:rPr>
            </w:pPr>
            <w:r>
              <w:rPr>
                <w:color w:val="231F20"/>
                <w:sz w:val="14"/>
              </w:rPr>
              <w:t>7517900.1203</w:t>
            </w:r>
          </w:p>
        </w:tc>
        <w:tc>
          <w:tcPr>
            <w:tcW w:w="1162" w:type="dxa"/>
          </w:tcPr>
          <w:p>
            <w:pPr>
              <w:pStyle w:val="TableParagraph"/>
              <w:spacing w:before="7"/>
              <w:ind w:left="149" w:right="146"/>
              <w:jc w:val="center"/>
              <w:rPr>
                <w:sz w:val="14"/>
              </w:rPr>
            </w:pPr>
            <w:r>
              <w:rPr>
                <w:color w:val="231F20"/>
                <w:sz w:val="14"/>
              </w:rPr>
              <w:t>4953423.0574</w:t>
            </w:r>
          </w:p>
        </w:tc>
        <w:tc>
          <w:tcPr>
            <w:tcW w:w="1162" w:type="dxa"/>
          </w:tcPr>
          <w:p>
            <w:pPr>
              <w:pStyle w:val="TableParagraph"/>
              <w:spacing w:before="7"/>
              <w:ind w:left="149" w:right="146"/>
              <w:jc w:val="center"/>
              <w:rPr>
                <w:sz w:val="14"/>
              </w:rPr>
            </w:pPr>
            <w:r>
              <w:rPr>
                <w:color w:val="231F20"/>
                <w:sz w:val="14"/>
              </w:rPr>
              <w:t>Б127</w:t>
            </w:r>
          </w:p>
        </w:tc>
        <w:tc>
          <w:tcPr>
            <w:tcW w:w="1162" w:type="dxa"/>
          </w:tcPr>
          <w:p>
            <w:pPr>
              <w:pStyle w:val="TableParagraph"/>
              <w:spacing w:before="7"/>
              <w:ind w:left="150" w:right="146"/>
              <w:jc w:val="center"/>
              <w:rPr>
                <w:sz w:val="14"/>
              </w:rPr>
            </w:pPr>
            <w:r>
              <w:rPr>
                <w:color w:val="231F20"/>
                <w:sz w:val="14"/>
              </w:rPr>
              <w:t>7518018.2996</w:t>
            </w:r>
          </w:p>
        </w:tc>
        <w:tc>
          <w:tcPr>
            <w:tcW w:w="1162" w:type="dxa"/>
          </w:tcPr>
          <w:p>
            <w:pPr>
              <w:pStyle w:val="TableParagraph"/>
              <w:spacing w:before="7"/>
              <w:ind w:left="150" w:right="146"/>
              <w:jc w:val="center"/>
              <w:rPr>
                <w:sz w:val="14"/>
              </w:rPr>
            </w:pPr>
            <w:r>
              <w:rPr>
                <w:color w:val="231F20"/>
                <w:sz w:val="14"/>
              </w:rPr>
              <w:t>4953162.3184</w:t>
            </w:r>
          </w:p>
        </w:tc>
      </w:tr>
      <w:tr>
        <w:trPr>
          <w:trHeight w:val="200" w:hRule="atLeast"/>
        </w:trPr>
        <w:tc>
          <w:tcPr>
            <w:tcW w:w="1162" w:type="dxa"/>
          </w:tcPr>
          <w:p>
            <w:pPr>
              <w:pStyle w:val="TableParagraph"/>
              <w:spacing w:before="7"/>
              <w:ind w:left="147" w:right="146"/>
              <w:jc w:val="center"/>
              <w:rPr>
                <w:sz w:val="14"/>
              </w:rPr>
            </w:pPr>
            <w:r>
              <w:rPr>
                <w:color w:val="231F20"/>
                <w:sz w:val="14"/>
              </w:rPr>
              <w:t>Б40</w:t>
            </w:r>
          </w:p>
        </w:tc>
        <w:tc>
          <w:tcPr>
            <w:tcW w:w="1162" w:type="dxa"/>
          </w:tcPr>
          <w:p>
            <w:pPr>
              <w:pStyle w:val="TableParagraph"/>
              <w:spacing w:before="7"/>
              <w:ind w:left="147" w:right="146"/>
              <w:jc w:val="center"/>
              <w:rPr>
                <w:sz w:val="14"/>
              </w:rPr>
            </w:pPr>
            <w:r>
              <w:rPr>
                <w:color w:val="231F20"/>
                <w:sz w:val="14"/>
              </w:rPr>
              <w:t>7517260.7060</w:t>
            </w:r>
          </w:p>
        </w:tc>
        <w:tc>
          <w:tcPr>
            <w:tcW w:w="1162" w:type="dxa"/>
          </w:tcPr>
          <w:p>
            <w:pPr>
              <w:pStyle w:val="TableParagraph"/>
              <w:spacing w:before="7"/>
              <w:ind w:left="147" w:right="146"/>
              <w:jc w:val="center"/>
              <w:rPr>
                <w:sz w:val="14"/>
              </w:rPr>
            </w:pPr>
            <w:r>
              <w:rPr>
                <w:color w:val="231F20"/>
                <w:sz w:val="14"/>
              </w:rPr>
              <w:t>4953945.8228</w:t>
            </w:r>
          </w:p>
        </w:tc>
        <w:tc>
          <w:tcPr>
            <w:tcW w:w="1162" w:type="dxa"/>
          </w:tcPr>
          <w:p>
            <w:pPr>
              <w:pStyle w:val="TableParagraph"/>
              <w:spacing w:before="7"/>
              <w:ind w:left="148" w:right="146"/>
              <w:jc w:val="center"/>
              <w:rPr>
                <w:sz w:val="14"/>
              </w:rPr>
            </w:pPr>
            <w:r>
              <w:rPr>
                <w:color w:val="231F20"/>
                <w:sz w:val="14"/>
              </w:rPr>
              <w:t>Б84</w:t>
            </w:r>
          </w:p>
        </w:tc>
        <w:tc>
          <w:tcPr>
            <w:tcW w:w="1162" w:type="dxa"/>
          </w:tcPr>
          <w:p>
            <w:pPr>
              <w:pStyle w:val="TableParagraph"/>
              <w:spacing w:before="7"/>
              <w:ind w:left="148" w:right="146"/>
              <w:jc w:val="center"/>
              <w:rPr>
                <w:sz w:val="14"/>
              </w:rPr>
            </w:pPr>
            <w:r>
              <w:rPr>
                <w:color w:val="231F20"/>
                <w:sz w:val="14"/>
              </w:rPr>
              <w:t>7517882.7026</w:t>
            </w:r>
          </w:p>
        </w:tc>
        <w:tc>
          <w:tcPr>
            <w:tcW w:w="1162" w:type="dxa"/>
          </w:tcPr>
          <w:p>
            <w:pPr>
              <w:pStyle w:val="TableParagraph"/>
              <w:spacing w:before="7"/>
              <w:ind w:left="149" w:right="146"/>
              <w:jc w:val="center"/>
              <w:rPr>
                <w:sz w:val="14"/>
              </w:rPr>
            </w:pPr>
            <w:r>
              <w:rPr>
                <w:color w:val="231F20"/>
                <w:sz w:val="14"/>
              </w:rPr>
              <w:t>4953452.6598</w:t>
            </w:r>
          </w:p>
        </w:tc>
        <w:tc>
          <w:tcPr>
            <w:tcW w:w="1162" w:type="dxa"/>
          </w:tcPr>
          <w:p>
            <w:pPr>
              <w:pStyle w:val="TableParagraph"/>
              <w:spacing w:before="7"/>
              <w:ind w:left="149" w:right="146"/>
              <w:jc w:val="center"/>
              <w:rPr>
                <w:sz w:val="14"/>
              </w:rPr>
            </w:pPr>
            <w:r>
              <w:rPr>
                <w:color w:val="231F20"/>
                <w:sz w:val="14"/>
              </w:rPr>
              <w:t>Б128</w:t>
            </w:r>
          </w:p>
        </w:tc>
        <w:tc>
          <w:tcPr>
            <w:tcW w:w="1162" w:type="dxa"/>
          </w:tcPr>
          <w:p>
            <w:pPr>
              <w:pStyle w:val="TableParagraph"/>
              <w:spacing w:before="7"/>
              <w:ind w:left="149" w:right="146"/>
              <w:jc w:val="center"/>
              <w:rPr>
                <w:sz w:val="14"/>
              </w:rPr>
            </w:pPr>
            <w:r>
              <w:rPr>
                <w:color w:val="231F20"/>
                <w:sz w:val="14"/>
              </w:rPr>
              <w:t>7518005.3829</w:t>
            </w:r>
          </w:p>
        </w:tc>
        <w:tc>
          <w:tcPr>
            <w:tcW w:w="1162" w:type="dxa"/>
          </w:tcPr>
          <w:p>
            <w:pPr>
              <w:pStyle w:val="TableParagraph"/>
              <w:spacing w:before="7"/>
              <w:ind w:left="150" w:right="146"/>
              <w:jc w:val="center"/>
              <w:rPr>
                <w:sz w:val="14"/>
              </w:rPr>
            </w:pPr>
            <w:r>
              <w:rPr>
                <w:color w:val="231F20"/>
                <w:sz w:val="14"/>
              </w:rPr>
              <w:t>4953136.8365</w:t>
            </w:r>
          </w:p>
        </w:tc>
      </w:tr>
      <w:tr>
        <w:trPr>
          <w:trHeight w:val="200" w:hRule="atLeast"/>
        </w:trPr>
        <w:tc>
          <w:tcPr>
            <w:tcW w:w="1162" w:type="dxa"/>
          </w:tcPr>
          <w:p>
            <w:pPr>
              <w:pStyle w:val="TableParagraph"/>
              <w:spacing w:before="7"/>
              <w:ind w:left="146" w:right="146"/>
              <w:jc w:val="center"/>
              <w:rPr>
                <w:sz w:val="14"/>
              </w:rPr>
            </w:pPr>
            <w:r>
              <w:rPr>
                <w:color w:val="231F20"/>
                <w:sz w:val="14"/>
              </w:rPr>
              <w:t>Б41</w:t>
            </w:r>
          </w:p>
        </w:tc>
        <w:tc>
          <w:tcPr>
            <w:tcW w:w="1162" w:type="dxa"/>
          </w:tcPr>
          <w:p>
            <w:pPr>
              <w:pStyle w:val="TableParagraph"/>
              <w:spacing w:before="7"/>
              <w:ind w:left="147" w:right="146"/>
              <w:jc w:val="center"/>
              <w:rPr>
                <w:sz w:val="14"/>
              </w:rPr>
            </w:pPr>
            <w:r>
              <w:rPr>
                <w:color w:val="231F20"/>
                <w:sz w:val="14"/>
              </w:rPr>
              <w:t>7517270.6141</w:t>
            </w:r>
          </w:p>
        </w:tc>
        <w:tc>
          <w:tcPr>
            <w:tcW w:w="1162" w:type="dxa"/>
          </w:tcPr>
          <w:p>
            <w:pPr>
              <w:pStyle w:val="TableParagraph"/>
              <w:spacing w:before="7"/>
              <w:ind w:left="147" w:right="146"/>
              <w:jc w:val="center"/>
              <w:rPr>
                <w:sz w:val="14"/>
              </w:rPr>
            </w:pPr>
            <w:r>
              <w:rPr>
                <w:color w:val="231F20"/>
                <w:sz w:val="14"/>
              </w:rPr>
              <w:t>4953952.5924</w:t>
            </w:r>
          </w:p>
        </w:tc>
        <w:tc>
          <w:tcPr>
            <w:tcW w:w="1162" w:type="dxa"/>
          </w:tcPr>
          <w:p>
            <w:pPr>
              <w:pStyle w:val="TableParagraph"/>
              <w:spacing w:before="7"/>
              <w:ind w:left="147" w:right="146"/>
              <w:jc w:val="center"/>
              <w:rPr>
                <w:sz w:val="14"/>
              </w:rPr>
            </w:pPr>
            <w:r>
              <w:rPr>
                <w:color w:val="231F20"/>
                <w:sz w:val="14"/>
              </w:rPr>
              <w:t>Б85</w:t>
            </w:r>
          </w:p>
        </w:tc>
        <w:tc>
          <w:tcPr>
            <w:tcW w:w="1162" w:type="dxa"/>
          </w:tcPr>
          <w:p>
            <w:pPr>
              <w:pStyle w:val="TableParagraph"/>
              <w:spacing w:before="7"/>
              <w:ind w:left="148" w:right="146"/>
              <w:jc w:val="center"/>
              <w:rPr>
                <w:sz w:val="14"/>
              </w:rPr>
            </w:pPr>
            <w:r>
              <w:rPr>
                <w:color w:val="231F20"/>
                <w:sz w:val="14"/>
              </w:rPr>
              <w:t>7517869.5076</w:t>
            </w:r>
          </w:p>
        </w:tc>
        <w:tc>
          <w:tcPr>
            <w:tcW w:w="1162" w:type="dxa"/>
          </w:tcPr>
          <w:p>
            <w:pPr>
              <w:pStyle w:val="TableParagraph"/>
              <w:spacing w:before="7"/>
              <w:ind w:left="148" w:right="146"/>
              <w:jc w:val="center"/>
              <w:rPr>
                <w:sz w:val="14"/>
              </w:rPr>
            </w:pPr>
            <w:r>
              <w:rPr>
                <w:color w:val="231F20"/>
                <w:sz w:val="14"/>
              </w:rPr>
              <w:t>4953481.4256</w:t>
            </w:r>
          </w:p>
        </w:tc>
        <w:tc>
          <w:tcPr>
            <w:tcW w:w="1162" w:type="dxa"/>
          </w:tcPr>
          <w:p>
            <w:pPr>
              <w:pStyle w:val="TableParagraph"/>
              <w:spacing w:before="7"/>
              <w:ind w:left="149" w:right="146"/>
              <w:jc w:val="center"/>
              <w:rPr>
                <w:sz w:val="14"/>
              </w:rPr>
            </w:pPr>
            <w:r>
              <w:rPr>
                <w:color w:val="231F20"/>
                <w:sz w:val="14"/>
              </w:rPr>
              <w:t>Б129</w:t>
            </w:r>
          </w:p>
        </w:tc>
        <w:tc>
          <w:tcPr>
            <w:tcW w:w="1162" w:type="dxa"/>
          </w:tcPr>
          <w:p>
            <w:pPr>
              <w:pStyle w:val="TableParagraph"/>
              <w:spacing w:before="7"/>
              <w:ind w:left="149" w:right="146"/>
              <w:jc w:val="center"/>
              <w:rPr>
                <w:sz w:val="14"/>
              </w:rPr>
            </w:pPr>
            <w:r>
              <w:rPr>
                <w:color w:val="231F20"/>
                <w:sz w:val="14"/>
              </w:rPr>
              <w:t>7517989.3311</w:t>
            </w:r>
          </w:p>
        </w:tc>
        <w:tc>
          <w:tcPr>
            <w:tcW w:w="1162" w:type="dxa"/>
          </w:tcPr>
          <w:p>
            <w:pPr>
              <w:pStyle w:val="TableParagraph"/>
              <w:spacing w:before="7"/>
              <w:ind w:left="149" w:right="146"/>
              <w:jc w:val="center"/>
              <w:rPr>
                <w:sz w:val="14"/>
              </w:rPr>
            </w:pPr>
            <w:r>
              <w:rPr>
                <w:color w:val="231F20"/>
                <w:sz w:val="14"/>
              </w:rPr>
              <w:t>4953114.3686</w:t>
            </w:r>
          </w:p>
        </w:tc>
      </w:tr>
      <w:tr>
        <w:trPr>
          <w:trHeight w:val="200" w:hRule="atLeast"/>
        </w:trPr>
        <w:tc>
          <w:tcPr>
            <w:tcW w:w="1162" w:type="dxa"/>
          </w:tcPr>
          <w:p>
            <w:pPr>
              <w:pStyle w:val="TableParagraph"/>
              <w:spacing w:before="7"/>
              <w:ind w:left="146" w:right="146"/>
              <w:jc w:val="center"/>
              <w:rPr>
                <w:sz w:val="14"/>
              </w:rPr>
            </w:pPr>
            <w:r>
              <w:rPr>
                <w:color w:val="231F20"/>
                <w:sz w:val="14"/>
              </w:rPr>
              <w:t>Б42</w:t>
            </w:r>
          </w:p>
        </w:tc>
        <w:tc>
          <w:tcPr>
            <w:tcW w:w="1162" w:type="dxa"/>
          </w:tcPr>
          <w:p>
            <w:pPr>
              <w:pStyle w:val="TableParagraph"/>
              <w:spacing w:before="7"/>
              <w:ind w:left="147" w:right="146"/>
              <w:jc w:val="center"/>
              <w:rPr>
                <w:sz w:val="14"/>
              </w:rPr>
            </w:pPr>
            <w:r>
              <w:rPr>
                <w:color w:val="231F20"/>
                <w:sz w:val="14"/>
              </w:rPr>
              <w:t>7517282.0495</w:t>
            </w:r>
          </w:p>
        </w:tc>
        <w:tc>
          <w:tcPr>
            <w:tcW w:w="1162" w:type="dxa"/>
          </w:tcPr>
          <w:p>
            <w:pPr>
              <w:pStyle w:val="TableParagraph"/>
              <w:spacing w:before="7"/>
              <w:ind w:left="147" w:right="146"/>
              <w:jc w:val="center"/>
              <w:rPr>
                <w:sz w:val="14"/>
              </w:rPr>
            </w:pPr>
            <w:r>
              <w:rPr>
                <w:color w:val="231F20"/>
                <w:sz w:val="14"/>
              </w:rPr>
              <w:t>4953936.3253</w:t>
            </w:r>
          </w:p>
        </w:tc>
        <w:tc>
          <w:tcPr>
            <w:tcW w:w="1162" w:type="dxa"/>
          </w:tcPr>
          <w:p>
            <w:pPr>
              <w:pStyle w:val="TableParagraph"/>
              <w:spacing w:before="7"/>
              <w:ind w:left="147" w:right="146"/>
              <w:jc w:val="center"/>
              <w:rPr>
                <w:sz w:val="14"/>
              </w:rPr>
            </w:pPr>
            <w:r>
              <w:rPr>
                <w:color w:val="231F20"/>
                <w:sz w:val="14"/>
              </w:rPr>
              <w:t>Б86</w:t>
            </w:r>
          </w:p>
        </w:tc>
        <w:tc>
          <w:tcPr>
            <w:tcW w:w="1162" w:type="dxa"/>
          </w:tcPr>
          <w:p>
            <w:pPr>
              <w:pStyle w:val="TableParagraph"/>
              <w:spacing w:before="7"/>
              <w:ind w:left="148" w:right="146"/>
              <w:jc w:val="center"/>
              <w:rPr>
                <w:sz w:val="14"/>
              </w:rPr>
            </w:pPr>
            <w:r>
              <w:rPr>
                <w:color w:val="231F20"/>
                <w:sz w:val="14"/>
              </w:rPr>
              <w:t>7517857.1349</w:t>
            </w:r>
          </w:p>
        </w:tc>
        <w:tc>
          <w:tcPr>
            <w:tcW w:w="1162" w:type="dxa"/>
          </w:tcPr>
          <w:p>
            <w:pPr>
              <w:pStyle w:val="TableParagraph"/>
              <w:spacing w:before="7"/>
              <w:ind w:left="148" w:right="146"/>
              <w:jc w:val="center"/>
              <w:rPr>
                <w:sz w:val="14"/>
              </w:rPr>
            </w:pPr>
            <w:r>
              <w:rPr>
                <w:color w:val="231F20"/>
                <w:sz w:val="14"/>
              </w:rPr>
              <w:t>4953502.3127</w:t>
            </w:r>
          </w:p>
        </w:tc>
        <w:tc>
          <w:tcPr>
            <w:tcW w:w="1162" w:type="dxa"/>
          </w:tcPr>
          <w:p>
            <w:pPr>
              <w:pStyle w:val="TableParagraph"/>
              <w:spacing w:before="7"/>
              <w:ind w:left="148" w:right="146"/>
              <w:jc w:val="center"/>
              <w:rPr>
                <w:sz w:val="14"/>
              </w:rPr>
            </w:pPr>
            <w:r>
              <w:rPr>
                <w:color w:val="231F20"/>
                <w:sz w:val="14"/>
              </w:rPr>
              <w:t>Б130</w:t>
            </w:r>
          </w:p>
        </w:tc>
        <w:tc>
          <w:tcPr>
            <w:tcW w:w="1162" w:type="dxa"/>
          </w:tcPr>
          <w:p>
            <w:pPr>
              <w:pStyle w:val="TableParagraph"/>
              <w:spacing w:before="7"/>
              <w:ind w:left="149" w:right="146"/>
              <w:jc w:val="center"/>
              <w:rPr>
                <w:sz w:val="14"/>
              </w:rPr>
            </w:pPr>
            <w:r>
              <w:rPr>
                <w:color w:val="231F20"/>
                <w:sz w:val="14"/>
              </w:rPr>
              <w:t>7517970.6804</w:t>
            </w:r>
          </w:p>
        </w:tc>
        <w:tc>
          <w:tcPr>
            <w:tcW w:w="1162" w:type="dxa"/>
          </w:tcPr>
          <w:p>
            <w:pPr>
              <w:pStyle w:val="TableParagraph"/>
              <w:spacing w:before="7"/>
              <w:ind w:left="149" w:right="146"/>
              <w:jc w:val="center"/>
              <w:rPr>
                <w:sz w:val="14"/>
              </w:rPr>
            </w:pPr>
            <w:r>
              <w:rPr>
                <w:color w:val="231F20"/>
                <w:sz w:val="14"/>
              </w:rPr>
              <w:t>4953095.3457</w:t>
            </w:r>
          </w:p>
        </w:tc>
      </w:tr>
      <w:tr>
        <w:trPr>
          <w:trHeight w:val="200" w:hRule="atLeast"/>
        </w:trPr>
        <w:tc>
          <w:tcPr>
            <w:tcW w:w="1162" w:type="dxa"/>
          </w:tcPr>
          <w:p>
            <w:pPr>
              <w:pStyle w:val="TableParagraph"/>
              <w:spacing w:before="7"/>
              <w:ind w:left="146" w:right="146"/>
              <w:jc w:val="center"/>
              <w:rPr>
                <w:sz w:val="14"/>
              </w:rPr>
            </w:pPr>
            <w:r>
              <w:rPr>
                <w:color w:val="231F20"/>
                <w:sz w:val="14"/>
              </w:rPr>
              <w:t>Б43</w:t>
            </w:r>
          </w:p>
        </w:tc>
        <w:tc>
          <w:tcPr>
            <w:tcW w:w="1162" w:type="dxa"/>
          </w:tcPr>
          <w:p>
            <w:pPr>
              <w:pStyle w:val="TableParagraph"/>
              <w:spacing w:before="7"/>
              <w:ind w:left="146" w:right="146"/>
              <w:jc w:val="center"/>
              <w:rPr>
                <w:sz w:val="14"/>
              </w:rPr>
            </w:pPr>
            <w:r>
              <w:rPr>
                <w:color w:val="231F20"/>
                <w:sz w:val="14"/>
              </w:rPr>
              <w:t>7517309.9867</w:t>
            </w:r>
          </w:p>
        </w:tc>
        <w:tc>
          <w:tcPr>
            <w:tcW w:w="1162" w:type="dxa"/>
          </w:tcPr>
          <w:p>
            <w:pPr>
              <w:pStyle w:val="TableParagraph"/>
              <w:spacing w:before="7"/>
              <w:ind w:left="147" w:right="146"/>
              <w:jc w:val="center"/>
              <w:rPr>
                <w:sz w:val="14"/>
              </w:rPr>
            </w:pPr>
            <w:r>
              <w:rPr>
                <w:color w:val="231F20"/>
                <w:sz w:val="14"/>
              </w:rPr>
              <w:t>4953887.8507</w:t>
            </w:r>
          </w:p>
        </w:tc>
        <w:tc>
          <w:tcPr>
            <w:tcW w:w="1162" w:type="dxa"/>
          </w:tcPr>
          <w:p>
            <w:pPr>
              <w:pStyle w:val="TableParagraph"/>
              <w:spacing w:before="7"/>
              <w:ind w:left="147" w:right="146"/>
              <w:jc w:val="center"/>
              <w:rPr>
                <w:sz w:val="14"/>
              </w:rPr>
            </w:pPr>
            <w:r>
              <w:rPr>
                <w:color w:val="231F20"/>
                <w:sz w:val="14"/>
              </w:rPr>
              <w:t>Б87</w:t>
            </w:r>
          </w:p>
        </w:tc>
        <w:tc>
          <w:tcPr>
            <w:tcW w:w="1162" w:type="dxa"/>
          </w:tcPr>
          <w:p>
            <w:pPr>
              <w:pStyle w:val="TableParagraph"/>
              <w:spacing w:before="7"/>
              <w:ind w:left="147" w:right="146"/>
              <w:jc w:val="center"/>
              <w:rPr>
                <w:sz w:val="14"/>
              </w:rPr>
            </w:pPr>
            <w:r>
              <w:rPr>
                <w:color w:val="231F20"/>
                <w:sz w:val="14"/>
              </w:rPr>
              <w:t>7517599.6632</w:t>
            </w:r>
          </w:p>
        </w:tc>
        <w:tc>
          <w:tcPr>
            <w:tcW w:w="1162" w:type="dxa"/>
          </w:tcPr>
          <w:p>
            <w:pPr>
              <w:pStyle w:val="TableParagraph"/>
              <w:spacing w:before="7"/>
              <w:ind w:left="148" w:right="146"/>
              <w:jc w:val="center"/>
              <w:rPr>
                <w:sz w:val="14"/>
              </w:rPr>
            </w:pPr>
            <w:r>
              <w:rPr>
                <w:color w:val="231F20"/>
                <w:sz w:val="14"/>
              </w:rPr>
              <w:t>4954061.1889</w:t>
            </w:r>
          </w:p>
        </w:tc>
        <w:tc>
          <w:tcPr>
            <w:tcW w:w="1162" w:type="dxa"/>
          </w:tcPr>
          <w:p>
            <w:pPr>
              <w:pStyle w:val="TableParagraph"/>
              <w:spacing w:before="0"/>
              <w:jc w:val="left"/>
              <w:rPr>
                <w:sz w:val="12"/>
              </w:rPr>
            </w:pPr>
          </w:p>
        </w:tc>
        <w:tc>
          <w:tcPr>
            <w:tcW w:w="1162" w:type="dxa"/>
          </w:tcPr>
          <w:p>
            <w:pPr>
              <w:pStyle w:val="TableParagraph"/>
              <w:spacing w:before="0"/>
              <w:jc w:val="left"/>
              <w:rPr>
                <w:sz w:val="12"/>
              </w:rPr>
            </w:pPr>
          </w:p>
        </w:tc>
        <w:tc>
          <w:tcPr>
            <w:tcW w:w="1162" w:type="dxa"/>
          </w:tcPr>
          <w:p>
            <w:pPr>
              <w:pStyle w:val="TableParagraph"/>
              <w:spacing w:before="0"/>
              <w:jc w:val="left"/>
              <w:rPr>
                <w:sz w:val="12"/>
              </w:rPr>
            </w:pPr>
          </w:p>
        </w:tc>
      </w:tr>
    </w:tbl>
    <w:p>
      <w:pPr>
        <w:pStyle w:val="BodyText"/>
        <w:ind w:left="0"/>
        <w:jc w:val="left"/>
        <w:rPr>
          <w:sz w:val="20"/>
        </w:rPr>
      </w:pPr>
    </w:p>
    <w:p>
      <w:pPr>
        <w:pStyle w:val="BodyText"/>
        <w:spacing w:before="1"/>
        <w:ind w:left="0"/>
        <w:jc w:val="left"/>
        <w:rPr>
          <w:sz w:val="26"/>
        </w:rPr>
      </w:pPr>
    </w:p>
    <w:p>
      <w:pPr>
        <w:pStyle w:val="BodyText"/>
        <w:spacing w:before="93"/>
        <w:ind w:left="453"/>
        <w:jc w:val="left"/>
      </w:pPr>
      <w:r>
        <w:rPr>
          <w:color w:val="231F20"/>
        </w:rPr>
        <w:t>ПРИЛОГ 3. Координате граничних тачака коридора индустријске пруге и просторне целине „ПК Дрмно до 2022”</w:t>
      </w:r>
    </w:p>
    <w:p>
      <w:pPr>
        <w:pStyle w:val="BodyText"/>
        <w:spacing w:before="11"/>
        <w:ind w:left="0"/>
        <w:jc w:val="left"/>
        <w:rPr>
          <w:sz w:val="20"/>
        </w:rPr>
      </w:pPr>
    </w:p>
    <w:tbl>
      <w:tblPr>
        <w:tblW w:w="0" w:type="auto"/>
        <w:jc w:val="left"/>
        <w:tblInd w:w="45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162"/>
        <w:gridCol w:w="1162"/>
        <w:gridCol w:w="1162"/>
        <w:gridCol w:w="1162"/>
        <w:gridCol w:w="1162"/>
        <w:gridCol w:w="1162"/>
        <w:gridCol w:w="1162"/>
        <w:gridCol w:w="1162"/>
        <w:gridCol w:w="1162"/>
      </w:tblGrid>
      <w:tr>
        <w:trPr>
          <w:trHeight w:val="200" w:hRule="atLeast"/>
        </w:trPr>
        <w:tc>
          <w:tcPr>
            <w:tcW w:w="1162" w:type="dxa"/>
          </w:tcPr>
          <w:p>
            <w:pPr>
              <w:pStyle w:val="TableParagraph"/>
              <w:ind w:left="153" w:right="143"/>
              <w:jc w:val="center"/>
              <w:rPr>
                <w:sz w:val="14"/>
              </w:rPr>
            </w:pPr>
            <w:r>
              <w:rPr>
                <w:color w:val="231F20"/>
                <w:sz w:val="14"/>
              </w:rPr>
              <w:t>Број тачке</w:t>
            </w:r>
          </w:p>
        </w:tc>
        <w:tc>
          <w:tcPr>
            <w:tcW w:w="2324" w:type="dxa"/>
            <w:gridSpan w:val="2"/>
          </w:tcPr>
          <w:p>
            <w:pPr>
              <w:pStyle w:val="TableParagraph"/>
              <w:ind w:left="785" w:right="775"/>
              <w:jc w:val="center"/>
              <w:rPr>
                <w:sz w:val="14"/>
              </w:rPr>
            </w:pPr>
            <w:r>
              <w:rPr>
                <w:color w:val="231F20"/>
                <w:sz w:val="14"/>
              </w:rPr>
              <w:t>Координате</w:t>
            </w:r>
          </w:p>
        </w:tc>
        <w:tc>
          <w:tcPr>
            <w:tcW w:w="1162" w:type="dxa"/>
          </w:tcPr>
          <w:p>
            <w:pPr>
              <w:pStyle w:val="TableParagraph"/>
              <w:ind w:left="153" w:right="142"/>
              <w:jc w:val="center"/>
              <w:rPr>
                <w:sz w:val="14"/>
              </w:rPr>
            </w:pPr>
            <w:r>
              <w:rPr>
                <w:color w:val="231F20"/>
                <w:sz w:val="14"/>
              </w:rPr>
              <w:t>Број тачке</w:t>
            </w:r>
          </w:p>
        </w:tc>
        <w:tc>
          <w:tcPr>
            <w:tcW w:w="2324" w:type="dxa"/>
            <w:gridSpan w:val="2"/>
          </w:tcPr>
          <w:p>
            <w:pPr>
              <w:pStyle w:val="TableParagraph"/>
              <w:ind w:left="787" w:right="775"/>
              <w:jc w:val="center"/>
              <w:rPr>
                <w:sz w:val="14"/>
              </w:rPr>
            </w:pPr>
            <w:r>
              <w:rPr>
                <w:color w:val="231F20"/>
                <w:sz w:val="14"/>
              </w:rPr>
              <w:t>Координате</w:t>
            </w:r>
          </w:p>
        </w:tc>
        <w:tc>
          <w:tcPr>
            <w:tcW w:w="1162" w:type="dxa"/>
          </w:tcPr>
          <w:p>
            <w:pPr>
              <w:pStyle w:val="TableParagraph"/>
              <w:ind w:left="153" w:right="140"/>
              <w:jc w:val="center"/>
              <w:rPr>
                <w:sz w:val="14"/>
              </w:rPr>
            </w:pPr>
            <w:r>
              <w:rPr>
                <w:color w:val="231F20"/>
                <w:sz w:val="14"/>
              </w:rPr>
              <w:t>Број тачке</w:t>
            </w:r>
          </w:p>
        </w:tc>
        <w:tc>
          <w:tcPr>
            <w:tcW w:w="2324" w:type="dxa"/>
            <w:gridSpan w:val="2"/>
          </w:tcPr>
          <w:p>
            <w:pPr>
              <w:pStyle w:val="TableParagraph"/>
              <w:ind w:left="787" w:right="774"/>
              <w:jc w:val="center"/>
              <w:rPr>
                <w:sz w:val="14"/>
              </w:rPr>
            </w:pPr>
            <w:r>
              <w:rPr>
                <w:color w:val="231F20"/>
                <w:sz w:val="14"/>
              </w:rPr>
              <w:t>Координате</w:t>
            </w:r>
          </w:p>
        </w:tc>
      </w:tr>
      <w:tr>
        <w:trPr>
          <w:trHeight w:val="200" w:hRule="atLeast"/>
        </w:trPr>
        <w:tc>
          <w:tcPr>
            <w:tcW w:w="1162" w:type="dxa"/>
          </w:tcPr>
          <w:p>
            <w:pPr>
              <w:pStyle w:val="TableParagraph"/>
              <w:ind w:left="10"/>
              <w:jc w:val="center"/>
              <w:rPr>
                <w:sz w:val="14"/>
              </w:rPr>
            </w:pPr>
            <w:r>
              <w:rPr>
                <w:color w:val="231F20"/>
                <w:sz w:val="14"/>
              </w:rPr>
              <w:t>Т</w:t>
            </w:r>
          </w:p>
        </w:tc>
        <w:tc>
          <w:tcPr>
            <w:tcW w:w="1162" w:type="dxa"/>
          </w:tcPr>
          <w:p>
            <w:pPr>
              <w:pStyle w:val="TableParagraph"/>
              <w:ind w:left="153" w:right="142"/>
              <w:jc w:val="center"/>
              <w:rPr>
                <w:sz w:val="14"/>
              </w:rPr>
            </w:pPr>
            <w:r>
              <w:rPr>
                <w:color w:val="231F20"/>
                <w:sz w:val="14"/>
              </w:rPr>
              <w:t>Y [ m ]</w:t>
            </w:r>
          </w:p>
        </w:tc>
        <w:tc>
          <w:tcPr>
            <w:tcW w:w="1162" w:type="dxa"/>
          </w:tcPr>
          <w:p>
            <w:pPr>
              <w:pStyle w:val="TableParagraph"/>
              <w:ind w:left="153" w:right="142"/>
              <w:jc w:val="center"/>
              <w:rPr>
                <w:sz w:val="14"/>
              </w:rPr>
            </w:pPr>
            <w:r>
              <w:rPr>
                <w:color w:val="231F20"/>
                <w:sz w:val="14"/>
              </w:rPr>
              <w:t>X [ m ]</w:t>
            </w:r>
          </w:p>
        </w:tc>
        <w:tc>
          <w:tcPr>
            <w:tcW w:w="1162" w:type="dxa"/>
          </w:tcPr>
          <w:p>
            <w:pPr>
              <w:pStyle w:val="TableParagraph"/>
              <w:ind w:left="11"/>
              <w:jc w:val="center"/>
              <w:rPr>
                <w:sz w:val="14"/>
              </w:rPr>
            </w:pPr>
            <w:r>
              <w:rPr>
                <w:color w:val="231F20"/>
                <w:sz w:val="14"/>
              </w:rPr>
              <w:t>Т</w:t>
            </w:r>
          </w:p>
        </w:tc>
        <w:tc>
          <w:tcPr>
            <w:tcW w:w="1162" w:type="dxa"/>
          </w:tcPr>
          <w:p>
            <w:pPr>
              <w:pStyle w:val="TableParagraph"/>
              <w:ind w:left="153" w:right="141"/>
              <w:jc w:val="center"/>
              <w:rPr>
                <w:sz w:val="14"/>
              </w:rPr>
            </w:pPr>
            <w:r>
              <w:rPr>
                <w:color w:val="231F20"/>
                <w:sz w:val="14"/>
              </w:rPr>
              <w:t>Y [ m ]</w:t>
            </w:r>
          </w:p>
        </w:tc>
        <w:tc>
          <w:tcPr>
            <w:tcW w:w="1162" w:type="dxa"/>
          </w:tcPr>
          <w:p>
            <w:pPr>
              <w:pStyle w:val="TableParagraph"/>
              <w:ind w:left="153" w:right="141"/>
              <w:jc w:val="center"/>
              <w:rPr>
                <w:sz w:val="14"/>
              </w:rPr>
            </w:pPr>
            <w:r>
              <w:rPr>
                <w:color w:val="231F20"/>
                <w:sz w:val="14"/>
              </w:rPr>
              <w:t>X [ m ]</w:t>
            </w:r>
          </w:p>
        </w:tc>
        <w:tc>
          <w:tcPr>
            <w:tcW w:w="1162" w:type="dxa"/>
          </w:tcPr>
          <w:p>
            <w:pPr>
              <w:pStyle w:val="TableParagraph"/>
              <w:ind w:left="13"/>
              <w:jc w:val="center"/>
              <w:rPr>
                <w:sz w:val="14"/>
              </w:rPr>
            </w:pPr>
            <w:r>
              <w:rPr>
                <w:color w:val="231F20"/>
                <w:sz w:val="14"/>
              </w:rPr>
              <w:t>Т</w:t>
            </w:r>
          </w:p>
        </w:tc>
        <w:tc>
          <w:tcPr>
            <w:tcW w:w="1162" w:type="dxa"/>
          </w:tcPr>
          <w:p>
            <w:pPr>
              <w:pStyle w:val="TableParagraph"/>
              <w:ind w:left="153" w:right="140"/>
              <w:jc w:val="center"/>
              <w:rPr>
                <w:sz w:val="14"/>
              </w:rPr>
            </w:pPr>
            <w:r>
              <w:rPr>
                <w:color w:val="231F20"/>
                <w:sz w:val="14"/>
              </w:rPr>
              <w:t>Y [ m ]</w:t>
            </w:r>
          </w:p>
        </w:tc>
        <w:tc>
          <w:tcPr>
            <w:tcW w:w="1162" w:type="dxa"/>
          </w:tcPr>
          <w:p>
            <w:pPr>
              <w:pStyle w:val="TableParagraph"/>
              <w:ind w:left="153" w:right="140"/>
              <w:jc w:val="center"/>
              <w:rPr>
                <w:sz w:val="14"/>
              </w:rPr>
            </w:pPr>
            <w:r>
              <w:rPr>
                <w:color w:val="231F20"/>
                <w:sz w:val="14"/>
              </w:rPr>
              <w:t>X [ m ]</w:t>
            </w:r>
          </w:p>
        </w:tc>
      </w:tr>
      <w:tr>
        <w:trPr>
          <w:trHeight w:val="200" w:hRule="atLeast"/>
        </w:trPr>
        <w:tc>
          <w:tcPr>
            <w:tcW w:w="1162" w:type="dxa"/>
          </w:tcPr>
          <w:p>
            <w:pPr>
              <w:pStyle w:val="TableParagraph"/>
              <w:ind w:left="153" w:right="143"/>
              <w:jc w:val="center"/>
              <w:rPr>
                <w:sz w:val="14"/>
              </w:rPr>
            </w:pPr>
            <w:r>
              <w:rPr>
                <w:color w:val="231F20"/>
                <w:sz w:val="14"/>
              </w:rPr>
              <w:t>А1</w:t>
            </w:r>
          </w:p>
        </w:tc>
        <w:tc>
          <w:tcPr>
            <w:tcW w:w="1162" w:type="dxa"/>
          </w:tcPr>
          <w:p>
            <w:pPr>
              <w:pStyle w:val="TableParagraph"/>
              <w:ind w:left="153" w:right="143"/>
              <w:jc w:val="center"/>
              <w:rPr>
                <w:sz w:val="14"/>
              </w:rPr>
            </w:pPr>
            <w:r>
              <w:rPr>
                <w:color w:val="231F20"/>
                <w:sz w:val="14"/>
              </w:rPr>
              <w:t>7520681.0252</w:t>
            </w:r>
          </w:p>
        </w:tc>
        <w:tc>
          <w:tcPr>
            <w:tcW w:w="1162" w:type="dxa"/>
          </w:tcPr>
          <w:p>
            <w:pPr>
              <w:pStyle w:val="TableParagraph"/>
              <w:ind w:left="153" w:right="142"/>
              <w:jc w:val="center"/>
              <w:rPr>
                <w:sz w:val="14"/>
              </w:rPr>
            </w:pPr>
            <w:r>
              <w:rPr>
                <w:color w:val="231F20"/>
                <w:sz w:val="14"/>
              </w:rPr>
              <w:t>4951984.7505</w:t>
            </w:r>
          </w:p>
        </w:tc>
        <w:tc>
          <w:tcPr>
            <w:tcW w:w="1162" w:type="dxa"/>
          </w:tcPr>
          <w:p>
            <w:pPr>
              <w:pStyle w:val="TableParagraph"/>
              <w:ind w:left="153" w:right="142"/>
              <w:jc w:val="center"/>
              <w:rPr>
                <w:sz w:val="14"/>
              </w:rPr>
            </w:pPr>
            <w:r>
              <w:rPr>
                <w:color w:val="231F20"/>
                <w:sz w:val="14"/>
              </w:rPr>
              <w:t>А18</w:t>
            </w:r>
          </w:p>
        </w:tc>
        <w:tc>
          <w:tcPr>
            <w:tcW w:w="1162" w:type="dxa"/>
          </w:tcPr>
          <w:p>
            <w:pPr>
              <w:pStyle w:val="TableParagraph"/>
              <w:ind w:left="153" w:right="141"/>
              <w:jc w:val="center"/>
              <w:rPr>
                <w:sz w:val="14"/>
              </w:rPr>
            </w:pPr>
            <w:r>
              <w:rPr>
                <w:color w:val="231F20"/>
                <w:sz w:val="14"/>
              </w:rPr>
              <w:t>7518001.1520</w:t>
            </w:r>
          </w:p>
        </w:tc>
        <w:tc>
          <w:tcPr>
            <w:tcW w:w="1162" w:type="dxa"/>
          </w:tcPr>
          <w:p>
            <w:pPr>
              <w:pStyle w:val="TableParagraph"/>
              <w:ind w:left="153" w:right="141"/>
              <w:jc w:val="center"/>
              <w:rPr>
                <w:sz w:val="14"/>
              </w:rPr>
            </w:pPr>
            <w:r>
              <w:rPr>
                <w:color w:val="231F20"/>
                <w:sz w:val="14"/>
              </w:rPr>
              <w:t>4950322.4614</w:t>
            </w:r>
          </w:p>
        </w:tc>
        <w:tc>
          <w:tcPr>
            <w:tcW w:w="1162" w:type="dxa"/>
          </w:tcPr>
          <w:p>
            <w:pPr>
              <w:pStyle w:val="TableParagraph"/>
              <w:ind w:left="153" w:right="141"/>
              <w:jc w:val="center"/>
              <w:rPr>
                <w:sz w:val="14"/>
              </w:rPr>
            </w:pPr>
            <w:r>
              <w:rPr>
                <w:color w:val="231F20"/>
                <w:sz w:val="14"/>
              </w:rPr>
              <w:t>А35</w:t>
            </w:r>
          </w:p>
        </w:tc>
        <w:tc>
          <w:tcPr>
            <w:tcW w:w="1162" w:type="dxa"/>
          </w:tcPr>
          <w:p>
            <w:pPr>
              <w:pStyle w:val="TableParagraph"/>
              <w:ind w:left="153" w:right="140"/>
              <w:jc w:val="center"/>
              <w:rPr>
                <w:sz w:val="14"/>
              </w:rPr>
            </w:pPr>
            <w:r>
              <w:rPr>
                <w:color w:val="231F20"/>
                <w:sz w:val="14"/>
              </w:rPr>
              <w:t>7517271.5811</w:t>
            </w:r>
          </w:p>
        </w:tc>
        <w:tc>
          <w:tcPr>
            <w:tcW w:w="1162" w:type="dxa"/>
          </w:tcPr>
          <w:p>
            <w:pPr>
              <w:pStyle w:val="TableParagraph"/>
              <w:ind w:left="153" w:right="140"/>
              <w:jc w:val="center"/>
              <w:rPr>
                <w:sz w:val="14"/>
              </w:rPr>
            </w:pPr>
            <w:r>
              <w:rPr>
                <w:color w:val="231F20"/>
                <w:sz w:val="14"/>
              </w:rPr>
              <w:t>4951149.7470</w:t>
            </w:r>
          </w:p>
        </w:tc>
      </w:tr>
      <w:tr>
        <w:trPr>
          <w:trHeight w:val="200" w:hRule="atLeast"/>
        </w:trPr>
        <w:tc>
          <w:tcPr>
            <w:tcW w:w="1162" w:type="dxa"/>
          </w:tcPr>
          <w:p>
            <w:pPr>
              <w:pStyle w:val="TableParagraph"/>
              <w:ind w:left="153" w:right="143"/>
              <w:jc w:val="center"/>
              <w:rPr>
                <w:sz w:val="14"/>
              </w:rPr>
            </w:pPr>
            <w:r>
              <w:rPr>
                <w:color w:val="231F20"/>
                <w:sz w:val="14"/>
              </w:rPr>
              <w:t>А2</w:t>
            </w:r>
          </w:p>
        </w:tc>
        <w:tc>
          <w:tcPr>
            <w:tcW w:w="1162" w:type="dxa"/>
          </w:tcPr>
          <w:p>
            <w:pPr>
              <w:pStyle w:val="TableParagraph"/>
              <w:ind w:left="153" w:right="143"/>
              <w:jc w:val="center"/>
              <w:rPr>
                <w:sz w:val="14"/>
              </w:rPr>
            </w:pPr>
            <w:r>
              <w:rPr>
                <w:color w:val="231F20"/>
                <w:sz w:val="14"/>
              </w:rPr>
              <w:t>7519859.0412</w:t>
            </w:r>
          </w:p>
        </w:tc>
        <w:tc>
          <w:tcPr>
            <w:tcW w:w="1162" w:type="dxa"/>
          </w:tcPr>
          <w:p>
            <w:pPr>
              <w:pStyle w:val="TableParagraph"/>
              <w:ind w:left="153" w:right="142"/>
              <w:jc w:val="center"/>
              <w:rPr>
                <w:sz w:val="14"/>
              </w:rPr>
            </w:pPr>
            <w:r>
              <w:rPr>
                <w:color w:val="231F20"/>
                <w:sz w:val="14"/>
              </w:rPr>
              <w:t>4951143.9710</w:t>
            </w:r>
          </w:p>
        </w:tc>
        <w:tc>
          <w:tcPr>
            <w:tcW w:w="1162" w:type="dxa"/>
          </w:tcPr>
          <w:p>
            <w:pPr>
              <w:pStyle w:val="TableParagraph"/>
              <w:ind w:left="153" w:right="142"/>
              <w:jc w:val="center"/>
              <w:rPr>
                <w:sz w:val="14"/>
              </w:rPr>
            </w:pPr>
            <w:r>
              <w:rPr>
                <w:color w:val="231F20"/>
                <w:sz w:val="14"/>
              </w:rPr>
              <w:t>А19</w:t>
            </w:r>
          </w:p>
        </w:tc>
        <w:tc>
          <w:tcPr>
            <w:tcW w:w="1162" w:type="dxa"/>
          </w:tcPr>
          <w:p>
            <w:pPr>
              <w:pStyle w:val="TableParagraph"/>
              <w:ind w:left="153" w:right="141"/>
              <w:jc w:val="center"/>
              <w:rPr>
                <w:sz w:val="14"/>
              </w:rPr>
            </w:pPr>
            <w:r>
              <w:rPr>
                <w:color w:val="231F20"/>
                <w:sz w:val="14"/>
              </w:rPr>
              <w:t>7517893.9490</w:t>
            </w:r>
          </w:p>
        </w:tc>
        <w:tc>
          <w:tcPr>
            <w:tcW w:w="1162" w:type="dxa"/>
          </w:tcPr>
          <w:p>
            <w:pPr>
              <w:pStyle w:val="TableParagraph"/>
              <w:ind w:left="153" w:right="141"/>
              <w:jc w:val="center"/>
              <w:rPr>
                <w:sz w:val="14"/>
              </w:rPr>
            </w:pPr>
            <w:r>
              <w:rPr>
                <w:color w:val="231F20"/>
                <w:sz w:val="14"/>
              </w:rPr>
              <w:t>4950320.9984</w:t>
            </w:r>
          </w:p>
        </w:tc>
        <w:tc>
          <w:tcPr>
            <w:tcW w:w="1162" w:type="dxa"/>
          </w:tcPr>
          <w:p>
            <w:pPr>
              <w:pStyle w:val="TableParagraph"/>
              <w:ind w:left="153" w:right="141"/>
              <w:jc w:val="center"/>
              <w:rPr>
                <w:sz w:val="14"/>
              </w:rPr>
            </w:pPr>
            <w:r>
              <w:rPr>
                <w:color w:val="231F20"/>
                <w:sz w:val="14"/>
              </w:rPr>
              <w:t>А36</w:t>
            </w:r>
          </w:p>
        </w:tc>
        <w:tc>
          <w:tcPr>
            <w:tcW w:w="1162" w:type="dxa"/>
          </w:tcPr>
          <w:p>
            <w:pPr>
              <w:pStyle w:val="TableParagraph"/>
              <w:ind w:left="153" w:right="140"/>
              <w:jc w:val="center"/>
              <w:rPr>
                <w:sz w:val="14"/>
              </w:rPr>
            </w:pPr>
            <w:r>
              <w:rPr>
                <w:color w:val="231F20"/>
                <w:sz w:val="14"/>
              </w:rPr>
              <w:t>7517248.9396</w:t>
            </w:r>
          </w:p>
        </w:tc>
        <w:tc>
          <w:tcPr>
            <w:tcW w:w="1162" w:type="dxa"/>
          </w:tcPr>
          <w:p>
            <w:pPr>
              <w:pStyle w:val="TableParagraph"/>
              <w:ind w:left="153" w:right="140"/>
              <w:jc w:val="center"/>
              <w:rPr>
                <w:sz w:val="14"/>
              </w:rPr>
            </w:pPr>
            <w:r>
              <w:rPr>
                <w:color w:val="231F20"/>
                <w:sz w:val="14"/>
              </w:rPr>
              <w:t>4951191.2776</w:t>
            </w:r>
          </w:p>
        </w:tc>
      </w:tr>
      <w:tr>
        <w:trPr>
          <w:trHeight w:val="200" w:hRule="atLeast"/>
        </w:trPr>
        <w:tc>
          <w:tcPr>
            <w:tcW w:w="1162" w:type="dxa"/>
          </w:tcPr>
          <w:p>
            <w:pPr>
              <w:pStyle w:val="TableParagraph"/>
              <w:ind w:left="153" w:right="143"/>
              <w:jc w:val="center"/>
              <w:rPr>
                <w:sz w:val="14"/>
              </w:rPr>
            </w:pPr>
            <w:r>
              <w:rPr>
                <w:color w:val="231F20"/>
                <w:sz w:val="14"/>
              </w:rPr>
              <w:t>А3</w:t>
            </w:r>
          </w:p>
        </w:tc>
        <w:tc>
          <w:tcPr>
            <w:tcW w:w="1162" w:type="dxa"/>
          </w:tcPr>
          <w:p>
            <w:pPr>
              <w:pStyle w:val="TableParagraph"/>
              <w:ind w:left="153" w:right="143"/>
              <w:jc w:val="center"/>
              <w:rPr>
                <w:sz w:val="14"/>
              </w:rPr>
            </w:pPr>
            <w:r>
              <w:rPr>
                <w:color w:val="231F20"/>
                <w:sz w:val="14"/>
              </w:rPr>
              <w:t>7519842.9643</w:t>
            </w:r>
          </w:p>
        </w:tc>
        <w:tc>
          <w:tcPr>
            <w:tcW w:w="1162" w:type="dxa"/>
          </w:tcPr>
          <w:p>
            <w:pPr>
              <w:pStyle w:val="TableParagraph"/>
              <w:ind w:left="153" w:right="142"/>
              <w:jc w:val="center"/>
              <w:rPr>
                <w:sz w:val="14"/>
              </w:rPr>
            </w:pPr>
            <w:r>
              <w:rPr>
                <w:color w:val="231F20"/>
                <w:sz w:val="14"/>
              </w:rPr>
              <w:t>4951153.6112</w:t>
            </w:r>
          </w:p>
        </w:tc>
        <w:tc>
          <w:tcPr>
            <w:tcW w:w="1162" w:type="dxa"/>
          </w:tcPr>
          <w:p>
            <w:pPr>
              <w:pStyle w:val="TableParagraph"/>
              <w:ind w:left="153" w:right="142"/>
              <w:jc w:val="center"/>
              <w:rPr>
                <w:sz w:val="14"/>
              </w:rPr>
            </w:pPr>
            <w:r>
              <w:rPr>
                <w:color w:val="231F20"/>
                <w:sz w:val="14"/>
              </w:rPr>
              <w:t>А20</w:t>
            </w:r>
          </w:p>
        </w:tc>
        <w:tc>
          <w:tcPr>
            <w:tcW w:w="1162" w:type="dxa"/>
          </w:tcPr>
          <w:p>
            <w:pPr>
              <w:pStyle w:val="TableParagraph"/>
              <w:ind w:left="153" w:right="141"/>
              <w:jc w:val="center"/>
              <w:rPr>
                <w:sz w:val="14"/>
              </w:rPr>
            </w:pPr>
            <w:r>
              <w:rPr>
                <w:color w:val="231F20"/>
                <w:sz w:val="14"/>
              </w:rPr>
              <w:t>7517814.2526</w:t>
            </w:r>
          </w:p>
        </w:tc>
        <w:tc>
          <w:tcPr>
            <w:tcW w:w="1162" w:type="dxa"/>
          </w:tcPr>
          <w:p>
            <w:pPr>
              <w:pStyle w:val="TableParagraph"/>
              <w:ind w:left="153" w:right="141"/>
              <w:jc w:val="center"/>
              <w:rPr>
                <w:sz w:val="14"/>
              </w:rPr>
            </w:pPr>
            <w:r>
              <w:rPr>
                <w:color w:val="231F20"/>
                <w:sz w:val="14"/>
              </w:rPr>
              <w:t>4950334.1511</w:t>
            </w:r>
          </w:p>
        </w:tc>
        <w:tc>
          <w:tcPr>
            <w:tcW w:w="1162" w:type="dxa"/>
          </w:tcPr>
          <w:p>
            <w:pPr>
              <w:pStyle w:val="TableParagraph"/>
              <w:ind w:left="153" w:right="140"/>
              <w:jc w:val="center"/>
              <w:rPr>
                <w:sz w:val="14"/>
              </w:rPr>
            </w:pPr>
            <w:r>
              <w:rPr>
                <w:color w:val="231F20"/>
                <w:sz w:val="14"/>
              </w:rPr>
              <w:t>А37</w:t>
            </w:r>
          </w:p>
        </w:tc>
        <w:tc>
          <w:tcPr>
            <w:tcW w:w="1162" w:type="dxa"/>
          </w:tcPr>
          <w:p>
            <w:pPr>
              <w:pStyle w:val="TableParagraph"/>
              <w:ind w:left="153" w:right="140"/>
              <w:jc w:val="center"/>
              <w:rPr>
                <w:sz w:val="14"/>
              </w:rPr>
            </w:pPr>
            <w:r>
              <w:rPr>
                <w:color w:val="231F20"/>
                <w:sz w:val="14"/>
              </w:rPr>
              <w:t>7517252.4233</w:t>
            </w:r>
          </w:p>
        </w:tc>
        <w:tc>
          <w:tcPr>
            <w:tcW w:w="1162" w:type="dxa"/>
          </w:tcPr>
          <w:p>
            <w:pPr>
              <w:pStyle w:val="TableParagraph"/>
              <w:ind w:left="153" w:right="139"/>
              <w:jc w:val="center"/>
              <w:rPr>
                <w:sz w:val="14"/>
              </w:rPr>
            </w:pPr>
            <w:r>
              <w:rPr>
                <w:color w:val="231F20"/>
                <w:sz w:val="14"/>
              </w:rPr>
              <w:t>4951220.1571</w:t>
            </w:r>
          </w:p>
        </w:tc>
      </w:tr>
      <w:tr>
        <w:trPr>
          <w:trHeight w:val="200" w:hRule="atLeast"/>
        </w:trPr>
        <w:tc>
          <w:tcPr>
            <w:tcW w:w="1162" w:type="dxa"/>
          </w:tcPr>
          <w:p>
            <w:pPr>
              <w:pStyle w:val="TableParagraph"/>
              <w:ind w:left="153" w:right="143"/>
              <w:jc w:val="center"/>
              <w:rPr>
                <w:sz w:val="14"/>
              </w:rPr>
            </w:pPr>
            <w:r>
              <w:rPr>
                <w:color w:val="231F20"/>
                <w:sz w:val="14"/>
              </w:rPr>
              <w:t>А4</w:t>
            </w:r>
          </w:p>
        </w:tc>
        <w:tc>
          <w:tcPr>
            <w:tcW w:w="1162" w:type="dxa"/>
          </w:tcPr>
          <w:p>
            <w:pPr>
              <w:pStyle w:val="TableParagraph"/>
              <w:ind w:left="153" w:right="142"/>
              <w:jc w:val="center"/>
              <w:rPr>
                <w:sz w:val="14"/>
              </w:rPr>
            </w:pPr>
            <w:r>
              <w:rPr>
                <w:color w:val="231F20"/>
                <w:sz w:val="14"/>
              </w:rPr>
              <w:t>7519822.8820</w:t>
            </w:r>
          </w:p>
        </w:tc>
        <w:tc>
          <w:tcPr>
            <w:tcW w:w="1162" w:type="dxa"/>
          </w:tcPr>
          <w:p>
            <w:pPr>
              <w:pStyle w:val="TableParagraph"/>
              <w:ind w:left="153" w:right="142"/>
              <w:jc w:val="center"/>
              <w:rPr>
                <w:sz w:val="14"/>
              </w:rPr>
            </w:pPr>
            <w:r>
              <w:rPr>
                <w:color w:val="231F20"/>
                <w:sz w:val="14"/>
              </w:rPr>
              <w:t>4951137.3972</w:t>
            </w:r>
          </w:p>
        </w:tc>
        <w:tc>
          <w:tcPr>
            <w:tcW w:w="1162" w:type="dxa"/>
          </w:tcPr>
          <w:p>
            <w:pPr>
              <w:pStyle w:val="TableParagraph"/>
              <w:ind w:left="153" w:right="141"/>
              <w:jc w:val="center"/>
              <w:rPr>
                <w:sz w:val="14"/>
              </w:rPr>
            </w:pPr>
            <w:r>
              <w:rPr>
                <w:color w:val="231F20"/>
                <w:sz w:val="14"/>
              </w:rPr>
              <w:t>А21</w:t>
            </w:r>
          </w:p>
        </w:tc>
        <w:tc>
          <w:tcPr>
            <w:tcW w:w="1162" w:type="dxa"/>
          </w:tcPr>
          <w:p>
            <w:pPr>
              <w:pStyle w:val="TableParagraph"/>
              <w:ind w:left="153" w:right="141"/>
              <w:jc w:val="center"/>
              <w:rPr>
                <w:sz w:val="14"/>
              </w:rPr>
            </w:pPr>
            <w:r>
              <w:rPr>
                <w:color w:val="231F20"/>
                <w:sz w:val="14"/>
              </w:rPr>
              <w:t>7517740.6027</w:t>
            </w:r>
          </w:p>
        </w:tc>
        <w:tc>
          <w:tcPr>
            <w:tcW w:w="1162" w:type="dxa"/>
          </w:tcPr>
          <w:p>
            <w:pPr>
              <w:pStyle w:val="TableParagraph"/>
              <w:ind w:left="153" w:right="141"/>
              <w:jc w:val="center"/>
              <w:rPr>
                <w:sz w:val="14"/>
              </w:rPr>
            </w:pPr>
            <w:r>
              <w:rPr>
                <w:color w:val="231F20"/>
                <w:sz w:val="14"/>
              </w:rPr>
              <w:t>4950357.3273</w:t>
            </w:r>
          </w:p>
        </w:tc>
        <w:tc>
          <w:tcPr>
            <w:tcW w:w="1162" w:type="dxa"/>
          </w:tcPr>
          <w:p>
            <w:pPr>
              <w:pStyle w:val="TableParagraph"/>
              <w:ind w:left="153" w:right="140"/>
              <w:jc w:val="center"/>
              <w:rPr>
                <w:sz w:val="14"/>
              </w:rPr>
            </w:pPr>
            <w:r>
              <w:rPr>
                <w:color w:val="231F20"/>
                <w:sz w:val="14"/>
              </w:rPr>
              <w:t>А38</w:t>
            </w:r>
          </w:p>
        </w:tc>
        <w:tc>
          <w:tcPr>
            <w:tcW w:w="1162" w:type="dxa"/>
          </w:tcPr>
          <w:p>
            <w:pPr>
              <w:pStyle w:val="TableParagraph"/>
              <w:ind w:left="153" w:right="140"/>
              <w:jc w:val="center"/>
              <w:rPr>
                <w:sz w:val="14"/>
              </w:rPr>
            </w:pPr>
            <w:r>
              <w:rPr>
                <w:color w:val="231F20"/>
                <w:sz w:val="14"/>
              </w:rPr>
              <w:t>7517242.3740</w:t>
            </w:r>
          </w:p>
        </w:tc>
        <w:tc>
          <w:tcPr>
            <w:tcW w:w="1162" w:type="dxa"/>
          </w:tcPr>
          <w:p>
            <w:pPr>
              <w:pStyle w:val="TableParagraph"/>
              <w:ind w:left="153" w:right="139"/>
              <w:jc w:val="center"/>
              <w:rPr>
                <w:sz w:val="14"/>
              </w:rPr>
            </w:pPr>
            <w:r>
              <w:rPr>
                <w:color w:val="231F20"/>
                <w:sz w:val="14"/>
              </w:rPr>
              <w:t>4951240.8018</w:t>
            </w:r>
          </w:p>
        </w:tc>
      </w:tr>
      <w:tr>
        <w:trPr>
          <w:trHeight w:val="200" w:hRule="atLeast"/>
        </w:trPr>
        <w:tc>
          <w:tcPr>
            <w:tcW w:w="1162" w:type="dxa"/>
          </w:tcPr>
          <w:p>
            <w:pPr>
              <w:pStyle w:val="TableParagraph"/>
              <w:ind w:left="153" w:right="143"/>
              <w:jc w:val="center"/>
              <w:rPr>
                <w:sz w:val="14"/>
              </w:rPr>
            </w:pPr>
            <w:r>
              <w:rPr>
                <w:color w:val="231F20"/>
                <w:sz w:val="14"/>
              </w:rPr>
              <w:t>А5</w:t>
            </w:r>
          </w:p>
        </w:tc>
        <w:tc>
          <w:tcPr>
            <w:tcW w:w="1162" w:type="dxa"/>
          </w:tcPr>
          <w:p>
            <w:pPr>
              <w:pStyle w:val="TableParagraph"/>
              <w:ind w:left="153" w:right="142"/>
              <w:jc w:val="center"/>
              <w:rPr>
                <w:sz w:val="14"/>
              </w:rPr>
            </w:pPr>
            <w:r>
              <w:rPr>
                <w:color w:val="231F20"/>
                <w:sz w:val="14"/>
              </w:rPr>
              <w:t>7519771.4607</w:t>
            </w:r>
          </w:p>
        </w:tc>
        <w:tc>
          <w:tcPr>
            <w:tcW w:w="1162" w:type="dxa"/>
          </w:tcPr>
          <w:p>
            <w:pPr>
              <w:pStyle w:val="TableParagraph"/>
              <w:ind w:left="153" w:right="142"/>
              <w:jc w:val="center"/>
              <w:rPr>
                <w:sz w:val="14"/>
              </w:rPr>
            </w:pPr>
            <w:r>
              <w:rPr>
                <w:color w:val="231F20"/>
                <w:sz w:val="14"/>
              </w:rPr>
              <w:t>4951069.6855</w:t>
            </w:r>
          </w:p>
        </w:tc>
        <w:tc>
          <w:tcPr>
            <w:tcW w:w="1162" w:type="dxa"/>
          </w:tcPr>
          <w:p>
            <w:pPr>
              <w:pStyle w:val="TableParagraph"/>
              <w:ind w:left="153" w:right="142"/>
              <w:jc w:val="center"/>
              <w:rPr>
                <w:sz w:val="14"/>
              </w:rPr>
            </w:pPr>
            <w:r>
              <w:rPr>
                <w:color w:val="231F20"/>
                <w:sz w:val="14"/>
              </w:rPr>
              <w:t>А22</w:t>
            </w:r>
          </w:p>
        </w:tc>
        <w:tc>
          <w:tcPr>
            <w:tcW w:w="1162" w:type="dxa"/>
          </w:tcPr>
          <w:p>
            <w:pPr>
              <w:pStyle w:val="TableParagraph"/>
              <w:ind w:left="153" w:right="141"/>
              <w:jc w:val="center"/>
              <w:rPr>
                <w:sz w:val="14"/>
              </w:rPr>
            </w:pPr>
            <w:r>
              <w:rPr>
                <w:color w:val="231F20"/>
                <w:sz w:val="14"/>
              </w:rPr>
              <w:t>7517698.5476</w:t>
            </w:r>
          </w:p>
        </w:tc>
        <w:tc>
          <w:tcPr>
            <w:tcW w:w="1162" w:type="dxa"/>
          </w:tcPr>
          <w:p>
            <w:pPr>
              <w:pStyle w:val="TableParagraph"/>
              <w:ind w:left="153" w:right="141"/>
              <w:jc w:val="center"/>
              <w:rPr>
                <w:sz w:val="14"/>
              </w:rPr>
            </w:pPr>
            <w:r>
              <w:rPr>
                <w:color w:val="231F20"/>
                <w:sz w:val="14"/>
              </w:rPr>
              <w:t>4950375.7988</w:t>
            </w:r>
          </w:p>
        </w:tc>
        <w:tc>
          <w:tcPr>
            <w:tcW w:w="1162" w:type="dxa"/>
          </w:tcPr>
          <w:p>
            <w:pPr>
              <w:pStyle w:val="TableParagraph"/>
              <w:ind w:left="153" w:right="141"/>
              <w:jc w:val="center"/>
              <w:rPr>
                <w:sz w:val="14"/>
              </w:rPr>
            </w:pPr>
            <w:r>
              <w:rPr>
                <w:color w:val="231F20"/>
                <w:sz w:val="14"/>
              </w:rPr>
              <w:t>А39</w:t>
            </w:r>
          </w:p>
        </w:tc>
        <w:tc>
          <w:tcPr>
            <w:tcW w:w="1162" w:type="dxa"/>
          </w:tcPr>
          <w:p>
            <w:pPr>
              <w:pStyle w:val="TableParagraph"/>
              <w:ind w:left="153" w:right="140"/>
              <w:jc w:val="center"/>
              <w:rPr>
                <w:sz w:val="14"/>
              </w:rPr>
            </w:pPr>
            <w:r>
              <w:rPr>
                <w:color w:val="231F20"/>
                <w:sz w:val="14"/>
              </w:rPr>
              <w:t>7517215.6202</w:t>
            </w:r>
          </w:p>
        </w:tc>
        <w:tc>
          <w:tcPr>
            <w:tcW w:w="1162" w:type="dxa"/>
          </w:tcPr>
          <w:p>
            <w:pPr>
              <w:pStyle w:val="TableParagraph"/>
              <w:ind w:left="153" w:right="140"/>
              <w:jc w:val="center"/>
              <w:rPr>
                <w:sz w:val="14"/>
              </w:rPr>
            </w:pPr>
            <w:r>
              <w:rPr>
                <w:color w:val="231F20"/>
                <w:sz w:val="14"/>
              </w:rPr>
              <w:t>4951248.7062</w:t>
            </w:r>
          </w:p>
        </w:tc>
      </w:tr>
      <w:tr>
        <w:trPr>
          <w:trHeight w:val="200" w:hRule="atLeast"/>
        </w:trPr>
        <w:tc>
          <w:tcPr>
            <w:tcW w:w="1162" w:type="dxa"/>
          </w:tcPr>
          <w:p>
            <w:pPr>
              <w:pStyle w:val="TableParagraph"/>
              <w:ind w:left="153" w:right="143"/>
              <w:jc w:val="center"/>
              <w:rPr>
                <w:sz w:val="14"/>
              </w:rPr>
            </w:pPr>
            <w:r>
              <w:rPr>
                <w:color w:val="231F20"/>
                <w:sz w:val="14"/>
              </w:rPr>
              <w:t>А6</w:t>
            </w:r>
          </w:p>
        </w:tc>
        <w:tc>
          <w:tcPr>
            <w:tcW w:w="1162" w:type="dxa"/>
          </w:tcPr>
          <w:p>
            <w:pPr>
              <w:pStyle w:val="TableParagraph"/>
              <w:ind w:left="153" w:right="143"/>
              <w:jc w:val="center"/>
              <w:rPr>
                <w:sz w:val="14"/>
              </w:rPr>
            </w:pPr>
            <w:r>
              <w:rPr>
                <w:color w:val="231F20"/>
                <w:sz w:val="14"/>
              </w:rPr>
              <w:t>7519739.5763</w:t>
            </w:r>
          </w:p>
        </w:tc>
        <w:tc>
          <w:tcPr>
            <w:tcW w:w="1162" w:type="dxa"/>
          </w:tcPr>
          <w:p>
            <w:pPr>
              <w:pStyle w:val="TableParagraph"/>
              <w:ind w:left="153" w:right="142"/>
              <w:jc w:val="center"/>
              <w:rPr>
                <w:sz w:val="14"/>
              </w:rPr>
            </w:pPr>
            <w:r>
              <w:rPr>
                <w:color w:val="231F20"/>
                <w:sz w:val="14"/>
              </w:rPr>
              <w:t>4950984.1976</w:t>
            </w:r>
          </w:p>
        </w:tc>
        <w:tc>
          <w:tcPr>
            <w:tcW w:w="1162" w:type="dxa"/>
          </w:tcPr>
          <w:p>
            <w:pPr>
              <w:pStyle w:val="TableParagraph"/>
              <w:ind w:left="153" w:right="142"/>
              <w:jc w:val="center"/>
              <w:rPr>
                <w:sz w:val="14"/>
              </w:rPr>
            </w:pPr>
            <w:r>
              <w:rPr>
                <w:color w:val="231F20"/>
                <w:sz w:val="14"/>
              </w:rPr>
              <w:t>А23</w:t>
            </w:r>
          </w:p>
        </w:tc>
        <w:tc>
          <w:tcPr>
            <w:tcW w:w="1162" w:type="dxa"/>
          </w:tcPr>
          <w:p>
            <w:pPr>
              <w:pStyle w:val="TableParagraph"/>
              <w:ind w:left="153" w:right="141"/>
              <w:jc w:val="center"/>
              <w:rPr>
                <w:sz w:val="14"/>
              </w:rPr>
            </w:pPr>
            <w:r>
              <w:rPr>
                <w:color w:val="231F20"/>
                <w:sz w:val="14"/>
              </w:rPr>
              <w:t>7517632.5788</w:t>
            </w:r>
          </w:p>
        </w:tc>
        <w:tc>
          <w:tcPr>
            <w:tcW w:w="1162" w:type="dxa"/>
          </w:tcPr>
          <w:p>
            <w:pPr>
              <w:pStyle w:val="TableParagraph"/>
              <w:ind w:left="153" w:right="141"/>
              <w:jc w:val="center"/>
              <w:rPr>
                <w:sz w:val="14"/>
              </w:rPr>
            </w:pPr>
            <w:r>
              <w:rPr>
                <w:color w:val="231F20"/>
                <w:sz w:val="14"/>
              </w:rPr>
              <w:t>4950414.3284</w:t>
            </w:r>
          </w:p>
        </w:tc>
        <w:tc>
          <w:tcPr>
            <w:tcW w:w="1162" w:type="dxa"/>
          </w:tcPr>
          <w:p>
            <w:pPr>
              <w:pStyle w:val="TableParagraph"/>
              <w:ind w:left="153" w:right="141"/>
              <w:jc w:val="center"/>
              <w:rPr>
                <w:sz w:val="14"/>
              </w:rPr>
            </w:pPr>
            <w:r>
              <w:rPr>
                <w:color w:val="231F20"/>
                <w:sz w:val="14"/>
              </w:rPr>
              <w:t>А40</w:t>
            </w:r>
          </w:p>
        </w:tc>
        <w:tc>
          <w:tcPr>
            <w:tcW w:w="1162" w:type="dxa"/>
          </w:tcPr>
          <w:p>
            <w:pPr>
              <w:pStyle w:val="TableParagraph"/>
              <w:ind w:left="153" w:right="140"/>
              <w:jc w:val="center"/>
              <w:rPr>
                <w:sz w:val="14"/>
              </w:rPr>
            </w:pPr>
            <w:r>
              <w:rPr>
                <w:color w:val="231F20"/>
                <w:sz w:val="14"/>
              </w:rPr>
              <w:t>7517115.8940</w:t>
            </w:r>
          </w:p>
        </w:tc>
        <w:tc>
          <w:tcPr>
            <w:tcW w:w="1162" w:type="dxa"/>
          </w:tcPr>
          <w:p>
            <w:pPr>
              <w:pStyle w:val="TableParagraph"/>
              <w:ind w:left="153" w:right="140"/>
              <w:jc w:val="center"/>
              <w:rPr>
                <w:sz w:val="14"/>
              </w:rPr>
            </w:pPr>
            <w:r>
              <w:rPr>
                <w:color w:val="231F20"/>
                <w:sz w:val="14"/>
              </w:rPr>
              <w:t>4951409.5189</w:t>
            </w:r>
          </w:p>
        </w:tc>
      </w:tr>
      <w:tr>
        <w:trPr>
          <w:trHeight w:val="200" w:hRule="atLeast"/>
        </w:trPr>
        <w:tc>
          <w:tcPr>
            <w:tcW w:w="1162" w:type="dxa"/>
          </w:tcPr>
          <w:p>
            <w:pPr>
              <w:pStyle w:val="TableParagraph"/>
              <w:spacing w:before="17"/>
              <w:ind w:left="153" w:right="143"/>
              <w:jc w:val="center"/>
              <w:rPr>
                <w:sz w:val="14"/>
              </w:rPr>
            </w:pPr>
            <w:r>
              <w:rPr>
                <w:color w:val="231F20"/>
                <w:sz w:val="14"/>
              </w:rPr>
              <w:t>А7</w:t>
            </w:r>
          </w:p>
        </w:tc>
        <w:tc>
          <w:tcPr>
            <w:tcW w:w="1162" w:type="dxa"/>
          </w:tcPr>
          <w:p>
            <w:pPr>
              <w:pStyle w:val="TableParagraph"/>
              <w:spacing w:before="17"/>
              <w:ind w:left="153" w:right="143"/>
              <w:jc w:val="center"/>
              <w:rPr>
                <w:sz w:val="14"/>
              </w:rPr>
            </w:pPr>
            <w:r>
              <w:rPr>
                <w:color w:val="231F20"/>
                <w:sz w:val="14"/>
              </w:rPr>
              <w:t>7519725.1135</w:t>
            </w:r>
          </w:p>
        </w:tc>
        <w:tc>
          <w:tcPr>
            <w:tcW w:w="1162" w:type="dxa"/>
          </w:tcPr>
          <w:p>
            <w:pPr>
              <w:pStyle w:val="TableParagraph"/>
              <w:spacing w:before="17"/>
              <w:ind w:left="153" w:right="143"/>
              <w:jc w:val="center"/>
              <w:rPr>
                <w:sz w:val="14"/>
              </w:rPr>
            </w:pPr>
            <w:r>
              <w:rPr>
                <w:color w:val="231F20"/>
                <w:sz w:val="14"/>
              </w:rPr>
              <w:t>4950960.0999</w:t>
            </w:r>
          </w:p>
        </w:tc>
        <w:tc>
          <w:tcPr>
            <w:tcW w:w="1162" w:type="dxa"/>
          </w:tcPr>
          <w:p>
            <w:pPr>
              <w:pStyle w:val="TableParagraph"/>
              <w:spacing w:before="17"/>
              <w:ind w:left="153" w:right="142"/>
              <w:jc w:val="center"/>
              <w:rPr>
                <w:sz w:val="14"/>
              </w:rPr>
            </w:pPr>
            <w:r>
              <w:rPr>
                <w:color w:val="231F20"/>
                <w:sz w:val="14"/>
              </w:rPr>
              <w:t>А24</w:t>
            </w:r>
          </w:p>
        </w:tc>
        <w:tc>
          <w:tcPr>
            <w:tcW w:w="1162" w:type="dxa"/>
          </w:tcPr>
          <w:p>
            <w:pPr>
              <w:pStyle w:val="TableParagraph"/>
              <w:spacing w:before="17"/>
              <w:ind w:left="153" w:right="142"/>
              <w:jc w:val="center"/>
              <w:rPr>
                <w:sz w:val="14"/>
              </w:rPr>
            </w:pPr>
            <w:r>
              <w:rPr>
                <w:color w:val="231F20"/>
                <w:sz w:val="14"/>
              </w:rPr>
              <w:t>7517574.8384</w:t>
            </w:r>
          </w:p>
        </w:tc>
        <w:tc>
          <w:tcPr>
            <w:tcW w:w="1162" w:type="dxa"/>
          </w:tcPr>
          <w:p>
            <w:pPr>
              <w:pStyle w:val="TableParagraph"/>
              <w:spacing w:before="17"/>
              <w:ind w:left="153" w:right="141"/>
              <w:jc w:val="center"/>
              <w:rPr>
                <w:sz w:val="14"/>
              </w:rPr>
            </w:pPr>
            <w:r>
              <w:rPr>
                <w:color w:val="231F20"/>
                <w:sz w:val="14"/>
              </w:rPr>
              <w:t>4950459.8920</w:t>
            </w:r>
          </w:p>
        </w:tc>
        <w:tc>
          <w:tcPr>
            <w:tcW w:w="1162" w:type="dxa"/>
          </w:tcPr>
          <w:p>
            <w:pPr>
              <w:pStyle w:val="TableParagraph"/>
              <w:spacing w:before="17"/>
              <w:ind w:left="153" w:right="141"/>
              <w:jc w:val="center"/>
              <w:rPr>
                <w:sz w:val="14"/>
              </w:rPr>
            </w:pPr>
            <w:r>
              <w:rPr>
                <w:color w:val="231F20"/>
                <w:sz w:val="14"/>
              </w:rPr>
              <w:t>А41</w:t>
            </w:r>
          </w:p>
        </w:tc>
        <w:tc>
          <w:tcPr>
            <w:tcW w:w="1162" w:type="dxa"/>
          </w:tcPr>
          <w:p>
            <w:pPr>
              <w:pStyle w:val="TableParagraph"/>
              <w:spacing w:before="17"/>
              <w:ind w:left="153" w:right="141"/>
              <w:jc w:val="center"/>
              <w:rPr>
                <w:sz w:val="14"/>
              </w:rPr>
            </w:pPr>
            <w:r>
              <w:rPr>
                <w:color w:val="231F20"/>
                <w:sz w:val="14"/>
              </w:rPr>
              <w:t>7517097.3381</w:t>
            </w:r>
          </w:p>
        </w:tc>
        <w:tc>
          <w:tcPr>
            <w:tcW w:w="1162" w:type="dxa"/>
          </w:tcPr>
          <w:p>
            <w:pPr>
              <w:pStyle w:val="TableParagraph"/>
              <w:spacing w:before="17"/>
              <w:ind w:left="153" w:right="140"/>
              <w:jc w:val="center"/>
              <w:rPr>
                <w:sz w:val="14"/>
              </w:rPr>
            </w:pPr>
            <w:r>
              <w:rPr>
                <w:color w:val="231F20"/>
                <w:sz w:val="14"/>
              </w:rPr>
              <w:t>4951448.0644</w:t>
            </w:r>
          </w:p>
        </w:tc>
      </w:tr>
      <w:tr>
        <w:trPr>
          <w:trHeight w:val="200" w:hRule="atLeast"/>
        </w:trPr>
        <w:tc>
          <w:tcPr>
            <w:tcW w:w="1162" w:type="dxa"/>
          </w:tcPr>
          <w:p>
            <w:pPr>
              <w:pStyle w:val="TableParagraph"/>
              <w:spacing w:before="17"/>
              <w:ind w:left="153" w:right="144"/>
              <w:jc w:val="center"/>
              <w:rPr>
                <w:sz w:val="14"/>
              </w:rPr>
            </w:pPr>
            <w:r>
              <w:rPr>
                <w:color w:val="231F20"/>
                <w:sz w:val="14"/>
              </w:rPr>
              <w:t>А8</w:t>
            </w:r>
          </w:p>
        </w:tc>
        <w:tc>
          <w:tcPr>
            <w:tcW w:w="1162" w:type="dxa"/>
          </w:tcPr>
          <w:p>
            <w:pPr>
              <w:pStyle w:val="TableParagraph"/>
              <w:spacing w:before="17"/>
              <w:ind w:left="153" w:right="143"/>
              <w:jc w:val="center"/>
              <w:rPr>
                <w:sz w:val="14"/>
              </w:rPr>
            </w:pPr>
            <w:r>
              <w:rPr>
                <w:color w:val="231F20"/>
                <w:sz w:val="14"/>
              </w:rPr>
              <w:t>7519555.3495</w:t>
            </w:r>
          </w:p>
        </w:tc>
        <w:tc>
          <w:tcPr>
            <w:tcW w:w="1162" w:type="dxa"/>
          </w:tcPr>
          <w:p>
            <w:pPr>
              <w:pStyle w:val="TableParagraph"/>
              <w:spacing w:before="17"/>
              <w:ind w:left="153" w:right="143"/>
              <w:jc w:val="center"/>
              <w:rPr>
                <w:sz w:val="14"/>
              </w:rPr>
            </w:pPr>
            <w:r>
              <w:rPr>
                <w:color w:val="231F20"/>
                <w:sz w:val="14"/>
              </w:rPr>
              <w:t>4950778.8144</w:t>
            </w:r>
          </w:p>
        </w:tc>
        <w:tc>
          <w:tcPr>
            <w:tcW w:w="1162" w:type="dxa"/>
          </w:tcPr>
          <w:p>
            <w:pPr>
              <w:pStyle w:val="TableParagraph"/>
              <w:spacing w:before="17"/>
              <w:ind w:left="153" w:right="143"/>
              <w:jc w:val="center"/>
              <w:rPr>
                <w:sz w:val="14"/>
              </w:rPr>
            </w:pPr>
            <w:r>
              <w:rPr>
                <w:color w:val="231F20"/>
                <w:sz w:val="14"/>
              </w:rPr>
              <w:t>А25</w:t>
            </w:r>
          </w:p>
        </w:tc>
        <w:tc>
          <w:tcPr>
            <w:tcW w:w="1162" w:type="dxa"/>
          </w:tcPr>
          <w:p>
            <w:pPr>
              <w:pStyle w:val="TableParagraph"/>
              <w:spacing w:before="17"/>
              <w:ind w:left="153" w:right="142"/>
              <w:jc w:val="center"/>
              <w:rPr>
                <w:sz w:val="14"/>
              </w:rPr>
            </w:pPr>
            <w:r>
              <w:rPr>
                <w:color w:val="231F20"/>
                <w:sz w:val="14"/>
              </w:rPr>
              <w:t>7517542.5079</w:t>
            </w:r>
          </w:p>
        </w:tc>
        <w:tc>
          <w:tcPr>
            <w:tcW w:w="1162" w:type="dxa"/>
          </w:tcPr>
          <w:p>
            <w:pPr>
              <w:pStyle w:val="TableParagraph"/>
              <w:spacing w:before="17"/>
              <w:ind w:left="153" w:right="142"/>
              <w:jc w:val="center"/>
              <w:rPr>
                <w:sz w:val="14"/>
              </w:rPr>
            </w:pPr>
            <w:r>
              <w:rPr>
                <w:color w:val="231F20"/>
                <w:sz w:val="14"/>
              </w:rPr>
              <w:t>4950494.3487</w:t>
            </w:r>
          </w:p>
        </w:tc>
        <w:tc>
          <w:tcPr>
            <w:tcW w:w="1162" w:type="dxa"/>
          </w:tcPr>
          <w:p>
            <w:pPr>
              <w:pStyle w:val="TableParagraph"/>
              <w:spacing w:before="17"/>
              <w:ind w:left="153" w:right="141"/>
              <w:jc w:val="center"/>
              <w:rPr>
                <w:sz w:val="14"/>
              </w:rPr>
            </w:pPr>
            <w:r>
              <w:rPr>
                <w:color w:val="231F20"/>
                <w:sz w:val="14"/>
              </w:rPr>
              <w:t>А42</w:t>
            </w:r>
          </w:p>
        </w:tc>
        <w:tc>
          <w:tcPr>
            <w:tcW w:w="1162" w:type="dxa"/>
          </w:tcPr>
          <w:p>
            <w:pPr>
              <w:pStyle w:val="TableParagraph"/>
              <w:spacing w:before="17"/>
              <w:ind w:left="153" w:right="141"/>
              <w:jc w:val="center"/>
              <w:rPr>
                <w:sz w:val="14"/>
              </w:rPr>
            </w:pPr>
            <w:r>
              <w:rPr>
                <w:color w:val="231F20"/>
                <w:sz w:val="14"/>
              </w:rPr>
              <w:t>7517128.5852</w:t>
            </w:r>
          </w:p>
        </w:tc>
        <w:tc>
          <w:tcPr>
            <w:tcW w:w="1162" w:type="dxa"/>
          </w:tcPr>
          <w:p>
            <w:pPr>
              <w:pStyle w:val="TableParagraph"/>
              <w:spacing w:before="17"/>
              <w:ind w:left="153" w:right="141"/>
              <w:jc w:val="center"/>
              <w:rPr>
                <w:sz w:val="14"/>
              </w:rPr>
            </w:pPr>
            <w:r>
              <w:rPr>
                <w:color w:val="231F20"/>
                <w:sz w:val="14"/>
              </w:rPr>
              <w:t>4951451.3677</w:t>
            </w:r>
          </w:p>
        </w:tc>
      </w:tr>
      <w:tr>
        <w:trPr>
          <w:trHeight w:val="200" w:hRule="atLeast"/>
        </w:trPr>
        <w:tc>
          <w:tcPr>
            <w:tcW w:w="1162" w:type="dxa"/>
          </w:tcPr>
          <w:p>
            <w:pPr>
              <w:pStyle w:val="TableParagraph"/>
              <w:spacing w:before="17"/>
              <w:ind w:left="153" w:right="144"/>
              <w:jc w:val="center"/>
              <w:rPr>
                <w:sz w:val="14"/>
              </w:rPr>
            </w:pPr>
            <w:r>
              <w:rPr>
                <w:color w:val="231F20"/>
                <w:sz w:val="14"/>
              </w:rPr>
              <w:t>А9</w:t>
            </w:r>
          </w:p>
        </w:tc>
        <w:tc>
          <w:tcPr>
            <w:tcW w:w="1162" w:type="dxa"/>
          </w:tcPr>
          <w:p>
            <w:pPr>
              <w:pStyle w:val="TableParagraph"/>
              <w:spacing w:before="17"/>
              <w:ind w:left="153" w:right="143"/>
              <w:jc w:val="center"/>
              <w:rPr>
                <w:sz w:val="14"/>
              </w:rPr>
            </w:pPr>
            <w:r>
              <w:rPr>
                <w:color w:val="231F20"/>
                <w:sz w:val="14"/>
              </w:rPr>
              <w:t>7519487.7720</w:t>
            </w:r>
          </w:p>
        </w:tc>
        <w:tc>
          <w:tcPr>
            <w:tcW w:w="1162" w:type="dxa"/>
          </w:tcPr>
          <w:p>
            <w:pPr>
              <w:pStyle w:val="TableParagraph"/>
              <w:spacing w:before="17"/>
              <w:ind w:left="153" w:right="143"/>
              <w:jc w:val="center"/>
              <w:rPr>
                <w:sz w:val="14"/>
              </w:rPr>
            </w:pPr>
            <w:r>
              <w:rPr>
                <w:color w:val="231F20"/>
                <w:sz w:val="14"/>
              </w:rPr>
              <w:t>4950710.5162</w:t>
            </w:r>
          </w:p>
        </w:tc>
        <w:tc>
          <w:tcPr>
            <w:tcW w:w="1162" w:type="dxa"/>
          </w:tcPr>
          <w:p>
            <w:pPr>
              <w:pStyle w:val="TableParagraph"/>
              <w:spacing w:before="17"/>
              <w:ind w:left="153" w:right="143"/>
              <w:jc w:val="center"/>
              <w:rPr>
                <w:sz w:val="14"/>
              </w:rPr>
            </w:pPr>
            <w:r>
              <w:rPr>
                <w:color w:val="231F20"/>
                <w:sz w:val="14"/>
              </w:rPr>
              <w:t>А26</w:t>
            </w:r>
          </w:p>
        </w:tc>
        <w:tc>
          <w:tcPr>
            <w:tcW w:w="1162" w:type="dxa"/>
          </w:tcPr>
          <w:p>
            <w:pPr>
              <w:pStyle w:val="TableParagraph"/>
              <w:spacing w:before="17"/>
              <w:ind w:left="153" w:right="142"/>
              <w:jc w:val="center"/>
              <w:rPr>
                <w:sz w:val="14"/>
              </w:rPr>
            </w:pPr>
            <w:r>
              <w:rPr>
                <w:color w:val="231F20"/>
                <w:sz w:val="14"/>
              </w:rPr>
              <w:t>7517486.2780</w:t>
            </w:r>
          </w:p>
        </w:tc>
        <w:tc>
          <w:tcPr>
            <w:tcW w:w="1162" w:type="dxa"/>
          </w:tcPr>
          <w:p>
            <w:pPr>
              <w:pStyle w:val="TableParagraph"/>
              <w:spacing w:before="17"/>
              <w:ind w:left="153" w:right="142"/>
              <w:jc w:val="center"/>
              <w:rPr>
                <w:sz w:val="14"/>
              </w:rPr>
            </w:pPr>
            <w:r>
              <w:rPr>
                <w:color w:val="231F20"/>
                <w:sz w:val="14"/>
              </w:rPr>
              <w:t>4950565.7755</w:t>
            </w:r>
          </w:p>
        </w:tc>
        <w:tc>
          <w:tcPr>
            <w:tcW w:w="1162" w:type="dxa"/>
          </w:tcPr>
          <w:p>
            <w:pPr>
              <w:pStyle w:val="TableParagraph"/>
              <w:spacing w:before="17"/>
              <w:ind w:left="153" w:right="142"/>
              <w:jc w:val="center"/>
              <w:rPr>
                <w:sz w:val="14"/>
              </w:rPr>
            </w:pPr>
            <w:r>
              <w:rPr>
                <w:color w:val="231F20"/>
                <w:sz w:val="14"/>
              </w:rPr>
              <w:t>А43</w:t>
            </w:r>
          </w:p>
        </w:tc>
        <w:tc>
          <w:tcPr>
            <w:tcW w:w="1162" w:type="dxa"/>
          </w:tcPr>
          <w:p>
            <w:pPr>
              <w:pStyle w:val="TableParagraph"/>
              <w:spacing w:before="17"/>
              <w:ind w:left="153" w:right="141"/>
              <w:jc w:val="center"/>
              <w:rPr>
                <w:sz w:val="14"/>
              </w:rPr>
            </w:pPr>
            <w:r>
              <w:rPr>
                <w:color w:val="231F20"/>
                <w:sz w:val="14"/>
              </w:rPr>
              <w:t>7517128.5896</w:t>
            </w:r>
          </w:p>
        </w:tc>
        <w:tc>
          <w:tcPr>
            <w:tcW w:w="1162" w:type="dxa"/>
          </w:tcPr>
          <w:p>
            <w:pPr>
              <w:pStyle w:val="TableParagraph"/>
              <w:spacing w:before="17"/>
              <w:ind w:left="153" w:right="141"/>
              <w:jc w:val="center"/>
              <w:rPr>
                <w:sz w:val="14"/>
              </w:rPr>
            </w:pPr>
            <w:r>
              <w:rPr>
                <w:color w:val="231F20"/>
                <w:sz w:val="14"/>
              </w:rPr>
              <w:t>4951457.6992</w:t>
            </w:r>
          </w:p>
        </w:tc>
      </w:tr>
      <w:tr>
        <w:trPr>
          <w:trHeight w:val="200" w:hRule="atLeast"/>
        </w:trPr>
        <w:tc>
          <w:tcPr>
            <w:tcW w:w="1162" w:type="dxa"/>
          </w:tcPr>
          <w:p>
            <w:pPr>
              <w:pStyle w:val="TableParagraph"/>
              <w:spacing w:before="17"/>
              <w:ind w:left="153" w:right="144"/>
              <w:jc w:val="center"/>
              <w:rPr>
                <w:sz w:val="14"/>
              </w:rPr>
            </w:pPr>
            <w:r>
              <w:rPr>
                <w:color w:val="231F20"/>
                <w:sz w:val="14"/>
              </w:rPr>
              <w:t>А10</w:t>
            </w:r>
          </w:p>
        </w:tc>
        <w:tc>
          <w:tcPr>
            <w:tcW w:w="1162" w:type="dxa"/>
          </w:tcPr>
          <w:p>
            <w:pPr>
              <w:pStyle w:val="TableParagraph"/>
              <w:spacing w:before="17"/>
              <w:ind w:left="153" w:right="144"/>
              <w:jc w:val="center"/>
              <w:rPr>
                <w:sz w:val="14"/>
              </w:rPr>
            </w:pPr>
            <w:r>
              <w:rPr>
                <w:color w:val="231F20"/>
                <w:sz w:val="14"/>
              </w:rPr>
              <w:t>7519369.6877</w:t>
            </w:r>
          </w:p>
        </w:tc>
        <w:tc>
          <w:tcPr>
            <w:tcW w:w="1162" w:type="dxa"/>
          </w:tcPr>
          <w:p>
            <w:pPr>
              <w:pStyle w:val="TableParagraph"/>
              <w:spacing w:before="17"/>
              <w:ind w:left="153" w:right="143"/>
              <w:jc w:val="center"/>
              <w:rPr>
                <w:sz w:val="14"/>
              </w:rPr>
            </w:pPr>
            <w:r>
              <w:rPr>
                <w:color w:val="231F20"/>
                <w:sz w:val="14"/>
              </w:rPr>
              <w:t>4950620.2434</w:t>
            </w:r>
          </w:p>
        </w:tc>
        <w:tc>
          <w:tcPr>
            <w:tcW w:w="1162" w:type="dxa"/>
          </w:tcPr>
          <w:p>
            <w:pPr>
              <w:pStyle w:val="TableParagraph"/>
              <w:spacing w:before="17"/>
              <w:ind w:left="153" w:right="143"/>
              <w:jc w:val="center"/>
              <w:rPr>
                <w:sz w:val="14"/>
              </w:rPr>
            </w:pPr>
            <w:r>
              <w:rPr>
                <w:color w:val="231F20"/>
                <w:sz w:val="14"/>
              </w:rPr>
              <w:t>А27</w:t>
            </w:r>
          </w:p>
        </w:tc>
        <w:tc>
          <w:tcPr>
            <w:tcW w:w="1162" w:type="dxa"/>
          </w:tcPr>
          <w:p>
            <w:pPr>
              <w:pStyle w:val="TableParagraph"/>
              <w:spacing w:before="17"/>
              <w:ind w:left="153" w:right="143"/>
              <w:jc w:val="center"/>
              <w:rPr>
                <w:sz w:val="14"/>
              </w:rPr>
            </w:pPr>
            <w:r>
              <w:rPr>
                <w:color w:val="231F20"/>
                <w:sz w:val="14"/>
              </w:rPr>
              <w:t>7517446.2886</w:t>
            </w:r>
          </w:p>
        </w:tc>
        <w:tc>
          <w:tcPr>
            <w:tcW w:w="1162" w:type="dxa"/>
          </w:tcPr>
          <w:p>
            <w:pPr>
              <w:pStyle w:val="TableParagraph"/>
              <w:spacing w:before="17"/>
              <w:ind w:left="153" w:right="142"/>
              <w:jc w:val="center"/>
              <w:rPr>
                <w:sz w:val="14"/>
              </w:rPr>
            </w:pPr>
            <w:r>
              <w:rPr>
                <w:color w:val="231F20"/>
                <w:sz w:val="14"/>
              </w:rPr>
              <w:t>4950640.7568</w:t>
            </w:r>
          </w:p>
        </w:tc>
        <w:tc>
          <w:tcPr>
            <w:tcW w:w="1162" w:type="dxa"/>
          </w:tcPr>
          <w:p>
            <w:pPr>
              <w:pStyle w:val="TableParagraph"/>
              <w:spacing w:before="17"/>
              <w:ind w:left="153" w:right="142"/>
              <w:jc w:val="center"/>
              <w:rPr>
                <w:sz w:val="14"/>
              </w:rPr>
            </w:pPr>
            <w:r>
              <w:rPr>
                <w:color w:val="231F20"/>
                <w:sz w:val="14"/>
              </w:rPr>
              <w:t>А44</w:t>
            </w:r>
          </w:p>
        </w:tc>
        <w:tc>
          <w:tcPr>
            <w:tcW w:w="1162" w:type="dxa"/>
          </w:tcPr>
          <w:p>
            <w:pPr>
              <w:pStyle w:val="TableParagraph"/>
              <w:spacing w:before="17"/>
              <w:ind w:left="153" w:right="141"/>
              <w:jc w:val="center"/>
              <w:rPr>
                <w:sz w:val="14"/>
              </w:rPr>
            </w:pPr>
            <w:r>
              <w:rPr>
                <w:color w:val="231F20"/>
                <w:sz w:val="14"/>
              </w:rPr>
              <w:t>7517099.5258</w:t>
            </w:r>
          </w:p>
        </w:tc>
        <w:tc>
          <w:tcPr>
            <w:tcW w:w="1162" w:type="dxa"/>
          </w:tcPr>
          <w:p>
            <w:pPr>
              <w:pStyle w:val="TableParagraph"/>
              <w:spacing w:before="17"/>
              <w:ind w:left="153" w:right="141"/>
              <w:jc w:val="center"/>
              <w:rPr>
                <w:sz w:val="14"/>
              </w:rPr>
            </w:pPr>
            <w:r>
              <w:rPr>
                <w:color w:val="231F20"/>
                <w:sz w:val="14"/>
              </w:rPr>
              <w:t>4951459.4866</w:t>
            </w:r>
          </w:p>
        </w:tc>
      </w:tr>
      <w:tr>
        <w:trPr>
          <w:trHeight w:val="200" w:hRule="atLeast"/>
        </w:trPr>
        <w:tc>
          <w:tcPr>
            <w:tcW w:w="1162" w:type="dxa"/>
          </w:tcPr>
          <w:p>
            <w:pPr>
              <w:pStyle w:val="TableParagraph"/>
              <w:spacing w:before="17"/>
              <w:ind w:left="153" w:right="144"/>
              <w:jc w:val="center"/>
              <w:rPr>
                <w:sz w:val="14"/>
              </w:rPr>
            </w:pPr>
            <w:r>
              <w:rPr>
                <w:color w:val="231F20"/>
                <w:sz w:val="14"/>
              </w:rPr>
              <w:t>А11</w:t>
            </w:r>
          </w:p>
        </w:tc>
        <w:tc>
          <w:tcPr>
            <w:tcW w:w="1162" w:type="dxa"/>
          </w:tcPr>
          <w:p>
            <w:pPr>
              <w:pStyle w:val="TableParagraph"/>
              <w:spacing w:before="17"/>
              <w:ind w:left="153" w:right="144"/>
              <w:jc w:val="center"/>
              <w:rPr>
                <w:sz w:val="14"/>
              </w:rPr>
            </w:pPr>
            <w:r>
              <w:rPr>
                <w:color w:val="231F20"/>
                <w:sz w:val="14"/>
              </w:rPr>
              <w:t>7519282.3272</w:t>
            </w:r>
          </w:p>
        </w:tc>
        <w:tc>
          <w:tcPr>
            <w:tcW w:w="1162" w:type="dxa"/>
          </w:tcPr>
          <w:p>
            <w:pPr>
              <w:pStyle w:val="TableParagraph"/>
              <w:spacing w:before="17"/>
              <w:ind w:left="153" w:right="144"/>
              <w:jc w:val="center"/>
              <w:rPr>
                <w:sz w:val="14"/>
              </w:rPr>
            </w:pPr>
            <w:r>
              <w:rPr>
                <w:color w:val="231F20"/>
                <w:sz w:val="14"/>
              </w:rPr>
              <w:t>4950567.8106</w:t>
            </w:r>
          </w:p>
        </w:tc>
        <w:tc>
          <w:tcPr>
            <w:tcW w:w="1162" w:type="dxa"/>
          </w:tcPr>
          <w:p>
            <w:pPr>
              <w:pStyle w:val="TableParagraph"/>
              <w:spacing w:before="17"/>
              <w:ind w:left="153" w:right="143"/>
              <w:jc w:val="center"/>
              <w:rPr>
                <w:sz w:val="14"/>
              </w:rPr>
            </w:pPr>
            <w:r>
              <w:rPr>
                <w:color w:val="231F20"/>
                <w:sz w:val="14"/>
              </w:rPr>
              <w:t>А28</w:t>
            </w:r>
          </w:p>
        </w:tc>
        <w:tc>
          <w:tcPr>
            <w:tcW w:w="1162" w:type="dxa"/>
          </w:tcPr>
          <w:p>
            <w:pPr>
              <w:pStyle w:val="TableParagraph"/>
              <w:spacing w:before="17"/>
              <w:ind w:left="153" w:right="143"/>
              <w:jc w:val="center"/>
              <w:rPr>
                <w:sz w:val="14"/>
              </w:rPr>
            </w:pPr>
            <w:r>
              <w:rPr>
                <w:color w:val="231F20"/>
                <w:sz w:val="14"/>
              </w:rPr>
              <w:t>7517366.1626</w:t>
            </w:r>
          </w:p>
        </w:tc>
        <w:tc>
          <w:tcPr>
            <w:tcW w:w="1162" w:type="dxa"/>
          </w:tcPr>
          <w:p>
            <w:pPr>
              <w:pStyle w:val="TableParagraph"/>
              <w:spacing w:before="17"/>
              <w:ind w:left="153" w:right="143"/>
              <w:jc w:val="center"/>
              <w:rPr>
                <w:sz w:val="14"/>
              </w:rPr>
            </w:pPr>
            <w:r>
              <w:rPr>
                <w:color w:val="231F20"/>
                <w:sz w:val="14"/>
              </w:rPr>
              <w:t>4950872.5669</w:t>
            </w:r>
          </w:p>
        </w:tc>
        <w:tc>
          <w:tcPr>
            <w:tcW w:w="1162" w:type="dxa"/>
          </w:tcPr>
          <w:p>
            <w:pPr>
              <w:pStyle w:val="TableParagraph"/>
              <w:spacing w:before="17"/>
              <w:ind w:left="153" w:right="142"/>
              <w:jc w:val="center"/>
              <w:rPr>
                <w:sz w:val="14"/>
              </w:rPr>
            </w:pPr>
            <w:r>
              <w:rPr>
                <w:color w:val="231F20"/>
                <w:sz w:val="14"/>
              </w:rPr>
              <w:t>А45</w:t>
            </w:r>
          </w:p>
        </w:tc>
        <w:tc>
          <w:tcPr>
            <w:tcW w:w="1162" w:type="dxa"/>
          </w:tcPr>
          <w:p>
            <w:pPr>
              <w:pStyle w:val="TableParagraph"/>
              <w:spacing w:before="17"/>
              <w:ind w:left="153" w:right="142"/>
              <w:jc w:val="center"/>
              <w:rPr>
                <w:sz w:val="14"/>
              </w:rPr>
            </w:pPr>
            <w:r>
              <w:rPr>
                <w:color w:val="231F20"/>
                <w:sz w:val="14"/>
              </w:rPr>
              <w:t>7517091.0510</w:t>
            </w:r>
          </w:p>
        </w:tc>
        <w:tc>
          <w:tcPr>
            <w:tcW w:w="1162" w:type="dxa"/>
          </w:tcPr>
          <w:p>
            <w:pPr>
              <w:pStyle w:val="TableParagraph"/>
              <w:spacing w:before="17"/>
              <w:ind w:left="153" w:right="141"/>
              <w:jc w:val="center"/>
              <w:rPr>
                <w:sz w:val="14"/>
              </w:rPr>
            </w:pPr>
            <w:r>
              <w:rPr>
                <w:color w:val="231F20"/>
                <w:sz w:val="14"/>
              </w:rPr>
              <w:t>4951504.6900</w:t>
            </w:r>
          </w:p>
        </w:tc>
      </w:tr>
      <w:tr>
        <w:trPr>
          <w:trHeight w:val="200" w:hRule="atLeast"/>
        </w:trPr>
        <w:tc>
          <w:tcPr>
            <w:tcW w:w="1162" w:type="dxa"/>
          </w:tcPr>
          <w:p>
            <w:pPr>
              <w:pStyle w:val="TableParagraph"/>
              <w:spacing w:before="17"/>
              <w:ind w:left="153" w:right="145"/>
              <w:jc w:val="center"/>
              <w:rPr>
                <w:sz w:val="14"/>
              </w:rPr>
            </w:pPr>
            <w:r>
              <w:rPr>
                <w:color w:val="231F20"/>
                <w:sz w:val="14"/>
              </w:rPr>
              <w:t>А12</w:t>
            </w:r>
          </w:p>
        </w:tc>
        <w:tc>
          <w:tcPr>
            <w:tcW w:w="1162" w:type="dxa"/>
          </w:tcPr>
          <w:p>
            <w:pPr>
              <w:pStyle w:val="TableParagraph"/>
              <w:spacing w:before="17"/>
              <w:ind w:left="153" w:right="144"/>
              <w:jc w:val="center"/>
              <w:rPr>
                <w:sz w:val="14"/>
              </w:rPr>
            </w:pPr>
            <w:r>
              <w:rPr>
                <w:color w:val="231F20"/>
                <w:sz w:val="14"/>
              </w:rPr>
              <w:t>7519208.7750</w:t>
            </w:r>
          </w:p>
        </w:tc>
        <w:tc>
          <w:tcPr>
            <w:tcW w:w="1162" w:type="dxa"/>
          </w:tcPr>
          <w:p>
            <w:pPr>
              <w:pStyle w:val="TableParagraph"/>
              <w:spacing w:before="17"/>
              <w:ind w:left="153" w:right="144"/>
              <w:jc w:val="center"/>
              <w:rPr>
                <w:sz w:val="14"/>
              </w:rPr>
            </w:pPr>
            <w:r>
              <w:rPr>
                <w:color w:val="231F20"/>
                <w:sz w:val="14"/>
              </w:rPr>
              <w:t>4950536.0639</w:t>
            </w:r>
          </w:p>
        </w:tc>
        <w:tc>
          <w:tcPr>
            <w:tcW w:w="1162" w:type="dxa"/>
          </w:tcPr>
          <w:p>
            <w:pPr>
              <w:pStyle w:val="TableParagraph"/>
              <w:spacing w:before="17"/>
              <w:ind w:left="153" w:right="144"/>
              <w:jc w:val="center"/>
              <w:rPr>
                <w:sz w:val="14"/>
              </w:rPr>
            </w:pPr>
            <w:r>
              <w:rPr>
                <w:color w:val="231F20"/>
                <w:sz w:val="14"/>
              </w:rPr>
              <w:t>А29</w:t>
            </w:r>
          </w:p>
        </w:tc>
        <w:tc>
          <w:tcPr>
            <w:tcW w:w="1162" w:type="dxa"/>
          </w:tcPr>
          <w:p>
            <w:pPr>
              <w:pStyle w:val="TableParagraph"/>
              <w:spacing w:before="17"/>
              <w:ind w:left="153" w:right="143"/>
              <w:jc w:val="center"/>
              <w:rPr>
                <w:sz w:val="14"/>
              </w:rPr>
            </w:pPr>
            <w:r>
              <w:rPr>
                <w:color w:val="231F20"/>
                <w:sz w:val="14"/>
              </w:rPr>
              <w:t>7517391.5513</w:t>
            </w:r>
          </w:p>
        </w:tc>
        <w:tc>
          <w:tcPr>
            <w:tcW w:w="1162" w:type="dxa"/>
          </w:tcPr>
          <w:p>
            <w:pPr>
              <w:pStyle w:val="TableParagraph"/>
              <w:spacing w:before="17"/>
              <w:ind w:left="153" w:right="143"/>
              <w:jc w:val="center"/>
              <w:rPr>
                <w:sz w:val="14"/>
              </w:rPr>
            </w:pPr>
            <w:r>
              <w:rPr>
                <w:color w:val="231F20"/>
                <w:sz w:val="14"/>
              </w:rPr>
              <w:t>4950881.6051</w:t>
            </w:r>
          </w:p>
        </w:tc>
        <w:tc>
          <w:tcPr>
            <w:tcW w:w="1162" w:type="dxa"/>
          </w:tcPr>
          <w:p>
            <w:pPr>
              <w:pStyle w:val="TableParagraph"/>
              <w:spacing w:before="17"/>
              <w:ind w:left="153" w:right="143"/>
              <w:jc w:val="center"/>
              <w:rPr>
                <w:sz w:val="14"/>
              </w:rPr>
            </w:pPr>
            <w:r>
              <w:rPr>
                <w:color w:val="231F20"/>
                <w:sz w:val="14"/>
              </w:rPr>
              <w:t>А46</w:t>
            </w:r>
          </w:p>
        </w:tc>
        <w:tc>
          <w:tcPr>
            <w:tcW w:w="1162" w:type="dxa"/>
          </w:tcPr>
          <w:p>
            <w:pPr>
              <w:pStyle w:val="TableParagraph"/>
              <w:spacing w:before="17"/>
              <w:ind w:left="153" w:right="142"/>
              <w:jc w:val="center"/>
              <w:rPr>
                <w:sz w:val="14"/>
              </w:rPr>
            </w:pPr>
            <w:r>
              <w:rPr>
                <w:color w:val="231F20"/>
                <w:sz w:val="14"/>
              </w:rPr>
              <w:t>7517084.1478</w:t>
            </w:r>
          </w:p>
        </w:tc>
        <w:tc>
          <w:tcPr>
            <w:tcW w:w="1162" w:type="dxa"/>
          </w:tcPr>
          <w:p>
            <w:pPr>
              <w:pStyle w:val="TableParagraph"/>
              <w:spacing w:before="17"/>
              <w:ind w:left="153" w:right="142"/>
              <w:jc w:val="center"/>
              <w:rPr>
                <w:sz w:val="14"/>
              </w:rPr>
            </w:pPr>
            <w:r>
              <w:rPr>
                <w:color w:val="231F20"/>
                <w:sz w:val="14"/>
              </w:rPr>
              <w:t>4951503.7068</w:t>
            </w:r>
          </w:p>
        </w:tc>
      </w:tr>
      <w:tr>
        <w:trPr>
          <w:trHeight w:val="200" w:hRule="atLeast"/>
        </w:trPr>
        <w:tc>
          <w:tcPr>
            <w:tcW w:w="1162" w:type="dxa"/>
          </w:tcPr>
          <w:p>
            <w:pPr>
              <w:pStyle w:val="TableParagraph"/>
              <w:spacing w:before="17"/>
              <w:ind w:left="153" w:right="145"/>
              <w:jc w:val="center"/>
              <w:rPr>
                <w:sz w:val="14"/>
              </w:rPr>
            </w:pPr>
            <w:r>
              <w:rPr>
                <w:color w:val="231F20"/>
                <w:sz w:val="14"/>
              </w:rPr>
              <w:t>А13</w:t>
            </w:r>
          </w:p>
        </w:tc>
        <w:tc>
          <w:tcPr>
            <w:tcW w:w="1162" w:type="dxa"/>
          </w:tcPr>
          <w:p>
            <w:pPr>
              <w:pStyle w:val="TableParagraph"/>
              <w:spacing w:before="17"/>
              <w:ind w:left="153" w:right="145"/>
              <w:jc w:val="center"/>
              <w:rPr>
                <w:sz w:val="14"/>
              </w:rPr>
            </w:pPr>
            <w:r>
              <w:rPr>
                <w:color w:val="231F20"/>
                <w:sz w:val="14"/>
              </w:rPr>
              <w:t>7519134.4596</w:t>
            </w:r>
          </w:p>
        </w:tc>
        <w:tc>
          <w:tcPr>
            <w:tcW w:w="1162" w:type="dxa"/>
          </w:tcPr>
          <w:p>
            <w:pPr>
              <w:pStyle w:val="TableParagraph"/>
              <w:spacing w:before="17"/>
              <w:ind w:left="153" w:right="144"/>
              <w:jc w:val="center"/>
              <w:rPr>
                <w:sz w:val="14"/>
              </w:rPr>
            </w:pPr>
            <w:r>
              <w:rPr>
                <w:color w:val="231F20"/>
                <w:sz w:val="14"/>
              </w:rPr>
              <w:t>4950524.5626</w:t>
            </w:r>
          </w:p>
        </w:tc>
        <w:tc>
          <w:tcPr>
            <w:tcW w:w="1162" w:type="dxa"/>
          </w:tcPr>
          <w:p>
            <w:pPr>
              <w:pStyle w:val="TableParagraph"/>
              <w:spacing w:before="17"/>
              <w:ind w:left="153" w:right="144"/>
              <w:jc w:val="center"/>
              <w:rPr>
                <w:sz w:val="14"/>
              </w:rPr>
            </w:pPr>
            <w:r>
              <w:rPr>
                <w:color w:val="231F20"/>
                <w:sz w:val="14"/>
              </w:rPr>
              <w:t>А30</w:t>
            </w:r>
          </w:p>
        </w:tc>
        <w:tc>
          <w:tcPr>
            <w:tcW w:w="1162" w:type="dxa"/>
          </w:tcPr>
          <w:p>
            <w:pPr>
              <w:pStyle w:val="TableParagraph"/>
              <w:spacing w:before="17"/>
              <w:ind w:left="153" w:right="143"/>
              <w:jc w:val="center"/>
              <w:rPr>
                <w:sz w:val="14"/>
              </w:rPr>
            </w:pPr>
            <w:r>
              <w:rPr>
                <w:color w:val="231F20"/>
                <w:sz w:val="14"/>
              </w:rPr>
              <w:t>7517395.3616</w:t>
            </w:r>
          </w:p>
        </w:tc>
        <w:tc>
          <w:tcPr>
            <w:tcW w:w="1162" w:type="dxa"/>
          </w:tcPr>
          <w:p>
            <w:pPr>
              <w:pStyle w:val="TableParagraph"/>
              <w:spacing w:before="17"/>
              <w:ind w:left="153" w:right="143"/>
              <w:jc w:val="center"/>
              <w:rPr>
                <w:sz w:val="14"/>
              </w:rPr>
            </w:pPr>
            <w:r>
              <w:rPr>
                <w:color w:val="231F20"/>
                <w:sz w:val="14"/>
              </w:rPr>
              <w:t>4950899.0043</w:t>
            </w:r>
          </w:p>
        </w:tc>
        <w:tc>
          <w:tcPr>
            <w:tcW w:w="1162" w:type="dxa"/>
          </w:tcPr>
          <w:p>
            <w:pPr>
              <w:pStyle w:val="TableParagraph"/>
              <w:spacing w:before="17"/>
              <w:ind w:left="153" w:right="143"/>
              <w:jc w:val="center"/>
              <w:rPr>
                <w:sz w:val="14"/>
              </w:rPr>
            </w:pPr>
            <w:r>
              <w:rPr>
                <w:color w:val="231F20"/>
                <w:sz w:val="14"/>
              </w:rPr>
              <w:t>А47</w:t>
            </w:r>
          </w:p>
        </w:tc>
        <w:tc>
          <w:tcPr>
            <w:tcW w:w="1162" w:type="dxa"/>
          </w:tcPr>
          <w:p>
            <w:pPr>
              <w:pStyle w:val="TableParagraph"/>
              <w:spacing w:before="17"/>
              <w:ind w:left="153" w:right="142"/>
              <w:jc w:val="center"/>
              <w:rPr>
                <w:sz w:val="14"/>
              </w:rPr>
            </w:pPr>
            <w:r>
              <w:rPr>
                <w:color w:val="231F20"/>
                <w:sz w:val="14"/>
              </w:rPr>
              <w:t>7517080.0288</w:t>
            </w:r>
          </w:p>
        </w:tc>
        <w:tc>
          <w:tcPr>
            <w:tcW w:w="1162" w:type="dxa"/>
          </w:tcPr>
          <w:p>
            <w:pPr>
              <w:pStyle w:val="TableParagraph"/>
              <w:spacing w:before="17"/>
              <w:ind w:left="153" w:right="142"/>
              <w:jc w:val="center"/>
              <w:rPr>
                <w:sz w:val="14"/>
              </w:rPr>
            </w:pPr>
            <w:r>
              <w:rPr>
                <w:color w:val="231F20"/>
                <w:sz w:val="14"/>
              </w:rPr>
              <w:t>4951567.2876</w:t>
            </w:r>
          </w:p>
        </w:tc>
      </w:tr>
      <w:tr>
        <w:trPr>
          <w:trHeight w:val="200" w:hRule="atLeast"/>
        </w:trPr>
        <w:tc>
          <w:tcPr>
            <w:tcW w:w="1162" w:type="dxa"/>
          </w:tcPr>
          <w:p>
            <w:pPr>
              <w:pStyle w:val="TableParagraph"/>
              <w:spacing w:before="17"/>
              <w:ind w:left="153" w:right="145"/>
              <w:jc w:val="center"/>
              <w:rPr>
                <w:sz w:val="14"/>
              </w:rPr>
            </w:pPr>
            <w:r>
              <w:rPr>
                <w:color w:val="231F20"/>
                <w:sz w:val="14"/>
              </w:rPr>
              <w:t>А14</w:t>
            </w:r>
          </w:p>
        </w:tc>
        <w:tc>
          <w:tcPr>
            <w:tcW w:w="1162" w:type="dxa"/>
          </w:tcPr>
          <w:p>
            <w:pPr>
              <w:pStyle w:val="TableParagraph"/>
              <w:spacing w:before="17"/>
              <w:ind w:left="153" w:right="145"/>
              <w:jc w:val="center"/>
              <w:rPr>
                <w:sz w:val="14"/>
              </w:rPr>
            </w:pPr>
            <w:r>
              <w:rPr>
                <w:color w:val="231F20"/>
                <w:sz w:val="14"/>
              </w:rPr>
              <w:t>7519057.2753</w:t>
            </w:r>
          </w:p>
        </w:tc>
        <w:tc>
          <w:tcPr>
            <w:tcW w:w="1162" w:type="dxa"/>
          </w:tcPr>
          <w:p>
            <w:pPr>
              <w:pStyle w:val="TableParagraph"/>
              <w:spacing w:before="17"/>
              <w:ind w:left="153" w:right="145"/>
              <w:jc w:val="center"/>
              <w:rPr>
                <w:sz w:val="14"/>
              </w:rPr>
            </w:pPr>
            <w:r>
              <w:rPr>
                <w:color w:val="231F20"/>
                <w:sz w:val="14"/>
              </w:rPr>
              <w:t>4950526.9861</w:t>
            </w:r>
          </w:p>
        </w:tc>
        <w:tc>
          <w:tcPr>
            <w:tcW w:w="1162" w:type="dxa"/>
          </w:tcPr>
          <w:p>
            <w:pPr>
              <w:pStyle w:val="TableParagraph"/>
              <w:spacing w:before="17"/>
              <w:ind w:left="153" w:right="144"/>
              <w:jc w:val="center"/>
              <w:rPr>
                <w:sz w:val="14"/>
              </w:rPr>
            </w:pPr>
            <w:r>
              <w:rPr>
                <w:color w:val="231F20"/>
                <w:sz w:val="14"/>
              </w:rPr>
              <w:t>А31</w:t>
            </w:r>
          </w:p>
        </w:tc>
        <w:tc>
          <w:tcPr>
            <w:tcW w:w="1162" w:type="dxa"/>
          </w:tcPr>
          <w:p>
            <w:pPr>
              <w:pStyle w:val="TableParagraph"/>
              <w:spacing w:before="17"/>
              <w:ind w:left="153" w:right="144"/>
              <w:jc w:val="center"/>
              <w:rPr>
                <w:sz w:val="14"/>
              </w:rPr>
            </w:pPr>
            <w:r>
              <w:rPr>
                <w:color w:val="231F20"/>
                <w:sz w:val="14"/>
              </w:rPr>
              <w:t>7517389.9789</w:t>
            </w:r>
          </w:p>
        </w:tc>
        <w:tc>
          <w:tcPr>
            <w:tcW w:w="1162" w:type="dxa"/>
          </w:tcPr>
          <w:p>
            <w:pPr>
              <w:pStyle w:val="TableParagraph"/>
              <w:spacing w:before="17"/>
              <w:ind w:left="153" w:right="143"/>
              <w:jc w:val="center"/>
              <w:rPr>
                <w:sz w:val="14"/>
              </w:rPr>
            </w:pPr>
            <w:r>
              <w:rPr>
                <w:color w:val="231F20"/>
                <w:sz w:val="14"/>
              </w:rPr>
              <w:t>4950913.4010</w:t>
            </w:r>
          </w:p>
        </w:tc>
        <w:tc>
          <w:tcPr>
            <w:tcW w:w="1162" w:type="dxa"/>
          </w:tcPr>
          <w:p>
            <w:pPr>
              <w:pStyle w:val="TableParagraph"/>
              <w:spacing w:before="17"/>
              <w:ind w:left="153" w:right="143"/>
              <w:jc w:val="center"/>
              <w:rPr>
                <w:sz w:val="14"/>
              </w:rPr>
            </w:pPr>
            <w:r>
              <w:rPr>
                <w:color w:val="231F20"/>
                <w:sz w:val="14"/>
              </w:rPr>
              <w:t>А48</w:t>
            </w:r>
          </w:p>
        </w:tc>
        <w:tc>
          <w:tcPr>
            <w:tcW w:w="1162" w:type="dxa"/>
          </w:tcPr>
          <w:p>
            <w:pPr>
              <w:pStyle w:val="TableParagraph"/>
              <w:spacing w:before="17"/>
              <w:ind w:left="153" w:right="143"/>
              <w:jc w:val="center"/>
              <w:rPr>
                <w:sz w:val="14"/>
              </w:rPr>
            </w:pPr>
            <w:r>
              <w:rPr>
                <w:color w:val="231F20"/>
                <w:sz w:val="14"/>
              </w:rPr>
              <w:t>7517093.6205</w:t>
            </w:r>
          </w:p>
        </w:tc>
        <w:tc>
          <w:tcPr>
            <w:tcW w:w="1162" w:type="dxa"/>
          </w:tcPr>
          <w:p>
            <w:pPr>
              <w:pStyle w:val="TableParagraph"/>
              <w:spacing w:before="17"/>
              <w:ind w:left="153" w:right="142"/>
              <w:jc w:val="center"/>
              <w:rPr>
                <w:sz w:val="14"/>
              </w:rPr>
            </w:pPr>
            <w:r>
              <w:rPr>
                <w:color w:val="231F20"/>
                <w:sz w:val="14"/>
              </w:rPr>
              <w:t>4951711.8672</w:t>
            </w:r>
          </w:p>
        </w:tc>
      </w:tr>
      <w:tr>
        <w:trPr>
          <w:trHeight w:val="200" w:hRule="atLeast"/>
        </w:trPr>
        <w:tc>
          <w:tcPr>
            <w:tcW w:w="1162" w:type="dxa"/>
          </w:tcPr>
          <w:p>
            <w:pPr>
              <w:pStyle w:val="TableParagraph"/>
              <w:spacing w:before="17"/>
              <w:ind w:left="153" w:right="145"/>
              <w:jc w:val="center"/>
              <w:rPr>
                <w:sz w:val="14"/>
              </w:rPr>
            </w:pPr>
            <w:r>
              <w:rPr>
                <w:color w:val="231F20"/>
                <w:sz w:val="14"/>
              </w:rPr>
              <w:t>А15</w:t>
            </w:r>
          </w:p>
        </w:tc>
        <w:tc>
          <w:tcPr>
            <w:tcW w:w="1162" w:type="dxa"/>
          </w:tcPr>
          <w:p>
            <w:pPr>
              <w:pStyle w:val="TableParagraph"/>
              <w:spacing w:before="17"/>
              <w:ind w:left="153" w:right="145"/>
              <w:jc w:val="center"/>
              <w:rPr>
                <w:sz w:val="14"/>
              </w:rPr>
            </w:pPr>
            <w:r>
              <w:rPr>
                <w:color w:val="231F20"/>
                <w:sz w:val="14"/>
              </w:rPr>
              <w:t>7518937.9799</w:t>
            </w:r>
          </w:p>
        </w:tc>
        <w:tc>
          <w:tcPr>
            <w:tcW w:w="1162" w:type="dxa"/>
          </w:tcPr>
          <w:p>
            <w:pPr>
              <w:pStyle w:val="TableParagraph"/>
              <w:spacing w:before="17"/>
              <w:ind w:left="153" w:right="145"/>
              <w:jc w:val="center"/>
              <w:rPr>
                <w:sz w:val="14"/>
              </w:rPr>
            </w:pPr>
            <w:r>
              <w:rPr>
                <w:color w:val="231F20"/>
                <w:sz w:val="14"/>
              </w:rPr>
              <w:t>4950529.7506</w:t>
            </w:r>
          </w:p>
        </w:tc>
        <w:tc>
          <w:tcPr>
            <w:tcW w:w="1162" w:type="dxa"/>
          </w:tcPr>
          <w:p>
            <w:pPr>
              <w:pStyle w:val="TableParagraph"/>
              <w:spacing w:before="17"/>
              <w:ind w:left="153" w:right="144"/>
              <w:jc w:val="center"/>
              <w:rPr>
                <w:sz w:val="14"/>
              </w:rPr>
            </w:pPr>
            <w:r>
              <w:rPr>
                <w:color w:val="231F20"/>
                <w:sz w:val="14"/>
              </w:rPr>
              <w:t>А32</w:t>
            </w:r>
          </w:p>
        </w:tc>
        <w:tc>
          <w:tcPr>
            <w:tcW w:w="1162" w:type="dxa"/>
          </w:tcPr>
          <w:p>
            <w:pPr>
              <w:pStyle w:val="TableParagraph"/>
              <w:spacing w:before="17"/>
              <w:ind w:left="153" w:right="144"/>
              <w:jc w:val="center"/>
              <w:rPr>
                <w:sz w:val="14"/>
              </w:rPr>
            </w:pPr>
            <w:r>
              <w:rPr>
                <w:color w:val="231F20"/>
                <w:sz w:val="14"/>
              </w:rPr>
              <w:t>7517380.1940</w:t>
            </w:r>
          </w:p>
        </w:tc>
        <w:tc>
          <w:tcPr>
            <w:tcW w:w="1162" w:type="dxa"/>
          </w:tcPr>
          <w:p>
            <w:pPr>
              <w:pStyle w:val="TableParagraph"/>
              <w:spacing w:before="17"/>
              <w:ind w:left="153" w:right="143"/>
              <w:jc w:val="center"/>
              <w:rPr>
                <w:sz w:val="14"/>
              </w:rPr>
            </w:pPr>
            <w:r>
              <w:rPr>
                <w:color w:val="231F20"/>
                <w:sz w:val="14"/>
              </w:rPr>
              <w:t>4950920.8542</w:t>
            </w:r>
          </w:p>
        </w:tc>
        <w:tc>
          <w:tcPr>
            <w:tcW w:w="1162" w:type="dxa"/>
          </w:tcPr>
          <w:p>
            <w:pPr>
              <w:pStyle w:val="TableParagraph"/>
              <w:spacing w:before="17"/>
              <w:ind w:left="153" w:right="143"/>
              <w:jc w:val="center"/>
              <w:rPr>
                <w:sz w:val="14"/>
              </w:rPr>
            </w:pPr>
            <w:r>
              <w:rPr>
                <w:color w:val="231F20"/>
                <w:sz w:val="14"/>
              </w:rPr>
              <w:t>А49</w:t>
            </w:r>
          </w:p>
        </w:tc>
        <w:tc>
          <w:tcPr>
            <w:tcW w:w="1162" w:type="dxa"/>
          </w:tcPr>
          <w:p>
            <w:pPr>
              <w:pStyle w:val="TableParagraph"/>
              <w:spacing w:before="17"/>
              <w:ind w:left="153" w:right="143"/>
              <w:jc w:val="center"/>
              <w:rPr>
                <w:sz w:val="14"/>
              </w:rPr>
            </w:pPr>
            <w:r>
              <w:rPr>
                <w:color w:val="231F20"/>
                <w:sz w:val="14"/>
              </w:rPr>
              <w:t>7517112.2570</w:t>
            </w:r>
          </w:p>
        </w:tc>
        <w:tc>
          <w:tcPr>
            <w:tcW w:w="1162" w:type="dxa"/>
          </w:tcPr>
          <w:p>
            <w:pPr>
              <w:pStyle w:val="TableParagraph"/>
              <w:spacing w:before="17"/>
              <w:ind w:left="153" w:right="142"/>
              <w:jc w:val="center"/>
              <w:rPr>
                <w:sz w:val="14"/>
              </w:rPr>
            </w:pPr>
            <w:r>
              <w:rPr>
                <w:color w:val="231F20"/>
                <w:sz w:val="14"/>
              </w:rPr>
              <w:t>4951930.5204</w:t>
            </w:r>
          </w:p>
        </w:tc>
      </w:tr>
      <w:tr>
        <w:trPr>
          <w:trHeight w:val="200" w:hRule="atLeast"/>
        </w:trPr>
        <w:tc>
          <w:tcPr>
            <w:tcW w:w="1162" w:type="dxa"/>
          </w:tcPr>
          <w:p>
            <w:pPr>
              <w:pStyle w:val="TableParagraph"/>
              <w:spacing w:before="17"/>
              <w:ind w:left="153" w:right="146"/>
              <w:jc w:val="center"/>
              <w:rPr>
                <w:sz w:val="14"/>
              </w:rPr>
            </w:pPr>
            <w:r>
              <w:rPr>
                <w:color w:val="231F20"/>
                <w:sz w:val="14"/>
              </w:rPr>
              <w:t>А16</w:t>
            </w:r>
          </w:p>
        </w:tc>
        <w:tc>
          <w:tcPr>
            <w:tcW w:w="1162" w:type="dxa"/>
          </w:tcPr>
          <w:p>
            <w:pPr>
              <w:pStyle w:val="TableParagraph"/>
              <w:spacing w:before="17"/>
              <w:ind w:left="153" w:right="145"/>
              <w:jc w:val="center"/>
              <w:rPr>
                <w:sz w:val="14"/>
              </w:rPr>
            </w:pPr>
            <w:r>
              <w:rPr>
                <w:color w:val="231F20"/>
                <w:sz w:val="14"/>
              </w:rPr>
              <w:t>7518882.4530</w:t>
            </w:r>
          </w:p>
        </w:tc>
        <w:tc>
          <w:tcPr>
            <w:tcW w:w="1162" w:type="dxa"/>
          </w:tcPr>
          <w:p>
            <w:pPr>
              <w:pStyle w:val="TableParagraph"/>
              <w:spacing w:before="17"/>
              <w:ind w:left="153" w:right="145"/>
              <w:jc w:val="center"/>
              <w:rPr>
                <w:sz w:val="14"/>
              </w:rPr>
            </w:pPr>
            <w:r>
              <w:rPr>
                <w:color w:val="231F20"/>
                <w:sz w:val="14"/>
              </w:rPr>
              <w:t>4950522.9047</w:t>
            </w:r>
          </w:p>
        </w:tc>
        <w:tc>
          <w:tcPr>
            <w:tcW w:w="1162" w:type="dxa"/>
          </w:tcPr>
          <w:p>
            <w:pPr>
              <w:pStyle w:val="TableParagraph"/>
              <w:spacing w:before="17"/>
              <w:ind w:left="153" w:right="145"/>
              <w:jc w:val="center"/>
              <w:rPr>
                <w:sz w:val="14"/>
              </w:rPr>
            </w:pPr>
            <w:r>
              <w:rPr>
                <w:color w:val="231F20"/>
                <w:sz w:val="14"/>
              </w:rPr>
              <w:t>А33</w:t>
            </w:r>
          </w:p>
        </w:tc>
        <w:tc>
          <w:tcPr>
            <w:tcW w:w="1162" w:type="dxa"/>
          </w:tcPr>
          <w:p>
            <w:pPr>
              <w:pStyle w:val="TableParagraph"/>
              <w:spacing w:before="17"/>
              <w:ind w:left="153" w:right="144"/>
              <w:jc w:val="center"/>
              <w:rPr>
                <w:sz w:val="14"/>
              </w:rPr>
            </w:pPr>
            <w:r>
              <w:rPr>
                <w:color w:val="231F20"/>
                <w:sz w:val="14"/>
              </w:rPr>
              <w:t>7517363.0424</w:t>
            </w:r>
          </w:p>
        </w:tc>
        <w:tc>
          <w:tcPr>
            <w:tcW w:w="1162" w:type="dxa"/>
          </w:tcPr>
          <w:p>
            <w:pPr>
              <w:pStyle w:val="TableParagraph"/>
              <w:spacing w:before="17"/>
              <w:ind w:left="153" w:right="144"/>
              <w:jc w:val="center"/>
              <w:rPr>
                <w:sz w:val="14"/>
              </w:rPr>
            </w:pPr>
            <w:r>
              <w:rPr>
                <w:color w:val="231F20"/>
                <w:sz w:val="14"/>
              </w:rPr>
              <w:t>4950920.8329</w:t>
            </w:r>
          </w:p>
        </w:tc>
        <w:tc>
          <w:tcPr>
            <w:tcW w:w="1162" w:type="dxa"/>
          </w:tcPr>
          <w:p>
            <w:pPr>
              <w:pStyle w:val="TableParagraph"/>
              <w:spacing w:before="17"/>
              <w:ind w:left="153" w:right="143"/>
              <w:jc w:val="center"/>
              <w:rPr>
                <w:sz w:val="14"/>
              </w:rPr>
            </w:pPr>
            <w:r>
              <w:rPr>
                <w:color w:val="231F20"/>
                <w:sz w:val="14"/>
              </w:rPr>
              <w:t>А50</w:t>
            </w:r>
          </w:p>
        </w:tc>
        <w:tc>
          <w:tcPr>
            <w:tcW w:w="1162" w:type="dxa"/>
          </w:tcPr>
          <w:p>
            <w:pPr>
              <w:pStyle w:val="TableParagraph"/>
              <w:spacing w:before="17"/>
              <w:ind w:left="153" w:right="143"/>
              <w:jc w:val="center"/>
              <w:rPr>
                <w:sz w:val="14"/>
              </w:rPr>
            </w:pPr>
            <w:r>
              <w:rPr>
                <w:color w:val="231F20"/>
                <w:sz w:val="14"/>
              </w:rPr>
              <w:t>7517103.5944</w:t>
            </w:r>
          </w:p>
        </w:tc>
        <w:tc>
          <w:tcPr>
            <w:tcW w:w="1162" w:type="dxa"/>
          </w:tcPr>
          <w:p>
            <w:pPr>
              <w:pStyle w:val="TableParagraph"/>
              <w:spacing w:before="17"/>
              <w:ind w:left="153" w:right="143"/>
              <w:jc w:val="center"/>
              <w:rPr>
                <w:sz w:val="14"/>
              </w:rPr>
            </w:pPr>
            <w:r>
              <w:rPr>
                <w:color w:val="231F20"/>
                <w:sz w:val="14"/>
              </w:rPr>
              <w:t>4951990.9198</w:t>
            </w:r>
          </w:p>
        </w:tc>
      </w:tr>
      <w:tr>
        <w:trPr>
          <w:trHeight w:val="200" w:hRule="atLeast"/>
        </w:trPr>
        <w:tc>
          <w:tcPr>
            <w:tcW w:w="1162" w:type="dxa"/>
          </w:tcPr>
          <w:p>
            <w:pPr>
              <w:pStyle w:val="TableParagraph"/>
              <w:spacing w:before="17"/>
              <w:ind w:left="153" w:right="146"/>
              <w:jc w:val="center"/>
              <w:rPr>
                <w:sz w:val="14"/>
              </w:rPr>
            </w:pPr>
            <w:r>
              <w:rPr>
                <w:color w:val="231F20"/>
                <w:sz w:val="14"/>
              </w:rPr>
              <w:t>А17</w:t>
            </w:r>
          </w:p>
        </w:tc>
        <w:tc>
          <w:tcPr>
            <w:tcW w:w="1162" w:type="dxa"/>
          </w:tcPr>
          <w:p>
            <w:pPr>
              <w:pStyle w:val="TableParagraph"/>
              <w:spacing w:before="17"/>
              <w:ind w:left="153" w:right="145"/>
              <w:jc w:val="center"/>
              <w:rPr>
                <w:sz w:val="14"/>
              </w:rPr>
            </w:pPr>
            <w:r>
              <w:rPr>
                <w:color w:val="231F20"/>
                <w:sz w:val="14"/>
              </w:rPr>
              <w:t>7518835.8491</w:t>
            </w:r>
          </w:p>
        </w:tc>
        <w:tc>
          <w:tcPr>
            <w:tcW w:w="1162" w:type="dxa"/>
          </w:tcPr>
          <w:p>
            <w:pPr>
              <w:pStyle w:val="TableParagraph"/>
              <w:spacing w:before="17"/>
              <w:ind w:left="153" w:right="145"/>
              <w:jc w:val="center"/>
              <w:rPr>
                <w:sz w:val="14"/>
              </w:rPr>
            </w:pPr>
            <w:r>
              <w:rPr>
                <w:color w:val="231F20"/>
                <w:sz w:val="14"/>
              </w:rPr>
              <w:t>4950512.5412</w:t>
            </w:r>
          </w:p>
        </w:tc>
        <w:tc>
          <w:tcPr>
            <w:tcW w:w="1162" w:type="dxa"/>
          </w:tcPr>
          <w:p>
            <w:pPr>
              <w:pStyle w:val="TableParagraph"/>
              <w:spacing w:before="17"/>
              <w:ind w:left="153" w:right="145"/>
              <w:jc w:val="center"/>
              <w:rPr>
                <w:sz w:val="14"/>
              </w:rPr>
            </w:pPr>
            <w:r>
              <w:rPr>
                <w:color w:val="231F20"/>
                <w:sz w:val="14"/>
              </w:rPr>
              <w:t>А34</w:t>
            </w:r>
          </w:p>
        </w:tc>
        <w:tc>
          <w:tcPr>
            <w:tcW w:w="1162" w:type="dxa"/>
          </w:tcPr>
          <w:p>
            <w:pPr>
              <w:pStyle w:val="TableParagraph"/>
              <w:spacing w:before="17"/>
              <w:ind w:left="153" w:right="144"/>
              <w:jc w:val="center"/>
              <w:rPr>
                <w:sz w:val="14"/>
              </w:rPr>
            </w:pPr>
            <w:r>
              <w:rPr>
                <w:color w:val="231F20"/>
                <w:sz w:val="14"/>
              </w:rPr>
              <w:t>7517348.6900</w:t>
            </w:r>
          </w:p>
        </w:tc>
        <w:tc>
          <w:tcPr>
            <w:tcW w:w="1162" w:type="dxa"/>
          </w:tcPr>
          <w:p>
            <w:pPr>
              <w:pStyle w:val="TableParagraph"/>
              <w:spacing w:before="17"/>
              <w:ind w:left="153" w:right="144"/>
              <w:jc w:val="center"/>
              <w:rPr>
                <w:sz w:val="14"/>
              </w:rPr>
            </w:pPr>
            <w:r>
              <w:rPr>
                <w:color w:val="231F20"/>
                <w:sz w:val="14"/>
              </w:rPr>
              <w:t>4950929.5807</w:t>
            </w:r>
          </w:p>
        </w:tc>
        <w:tc>
          <w:tcPr>
            <w:tcW w:w="1162" w:type="dxa"/>
          </w:tcPr>
          <w:p>
            <w:pPr>
              <w:pStyle w:val="TableParagraph"/>
              <w:spacing w:before="0"/>
              <w:jc w:val="left"/>
              <w:rPr>
                <w:sz w:val="12"/>
              </w:rPr>
            </w:pPr>
          </w:p>
        </w:tc>
        <w:tc>
          <w:tcPr>
            <w:tcW w:w="1162" w:type="dxa"/>
          </w:tcPr>
          <w:p>
            <w:pPr>
              <w:pStyle w:val="TableParagraph"/>
              <w:spacing w:before="0"/>
              <w:jc w:val="left"/>
              <w:rPr>
                <w:sz w:val="12"/>
              </w:rPr>
            </w:pPr>
          </w:p>
        </w:tc>
        <w:tc>
          <w:tcPr>
            <w:tcW w:w="1162" w:type="dxa"/>
          </w:tcPr>
          <w:p>
            <w:pPr>
              <w:pStyle w:val="TableParagraph"/>
              <w:spacing w:before="0"/>
              <w:jc w:val="left"/>
              <w:rPr>
                <w:sz w:val="12"/>
              </w:rPr>
            </w:pPr>
          </w:p>
        </w:tc>
      </w:tr>
    </w:tbl>
    <w:p>
      <w:pPr>
        <w:spacing w:after="0"/>
        <w:jc w:val="left"/>
        <w:rPr>
          <w:sz w:val="12"/>
        </w:rPr>
        <w:sectPr>
          <w:pgSz w:w="12480" w:h="15690"/>
          <w:pgMar w:top="240" w:bottom="280" w:left="680" w:right="720"/>
        </w:sectPr>
      </w:pPr>
    </w:p>
    <w:p>
      <w:pPr>
        <w:pStyle w:val="BodyText"/>
        <w:ind w:left="0"/>
        <w:jc w:val="left"/>
        <w:rPr>
          <w:sz w:val="20"/>
        </w:rPr>
      </w:pPr>
      <w:r>
        <w:rPr/>
        <w:pict>
          <v:line style="position:absolute;mso-position-horizontal-relative:page;mso-position-vertical-relative:page;z-index:4864" from="304.724396pt,11.942451pt" to="304.724396pt,748.950451pt" stroked="true" strokeweight=".6pt" strokecolor="#231f20">
            <v:stroke dashstyle="solid"/>
            <w10:wrap type="none"/>
          </v:line>
        </w:pict>
      </w:r>
      <w:r>
        <w:rPr/>
        <w:pict>
          <v:shape style="position:absolute;margin-left:39.9874pt;margin-top:11.942451pt;width:529.450pt;height:738.85pt;mso-position-horizontal-relative:page;mso-position-vertical-relative:page;z-index:48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5"/>
                    <w:gridCol w:w="5294"/>
                  </w:tblGrid>
                  <w:tr>
                    <w:trPr>
                      <w:trHeight w:val="1155" w:hRule="atLeast"/>
                    </w:trPr>
                    <w:tc>
                      <w:tcPr>
                        <w:tcW w:w="5295" w:type="dxa"/>
                      </w:tcPr>
                      <w:p>
                        <w:pPr>
                          <w:pStyle w:val="TableParagraph"/>
                          <w:numPr>
                            <w:ilvl w:val="0"/>
                            <w:numId w:val="79"/>
                          </w:numPr>
                          <w:tabs>
                            <w:tab w:pos="1429" w:val="left" w:leader="none"/>
                          </w:tabs>
                          <w:spacing w:line="161" w:lineRule="exact" w:before="0" w:after="0"/>
                          <w:ind w:left="1428" w:right="0" w:hanging="270"/>
                          <w:jc w:val="left"/>
                          <w:rPr>
                            <w:b/>
                            <w:sz w:val="18"/>
                          </w:rPr>
                        </w:pPr>
                        <w:r>
                          <w:rPr>
                            <w:b/>
                            <w:color w:val="231F20"/>
                            <w:spacing w:val="-3"/>
                            <w:sz w:val="18"/>
                          </w:rPr>
                          <w:t>Комплекс </w:t>
                        </w:r>
                        <w:r>
                          <w:rPr>
                            <w:b/>
                            <w:color w:val="231F20"/>
                            <w:sz w:val="18"/>
                          </w:rPr>
                          <w:t>„Долина реке Млаве”</w:t>
                        </w:r>
                      </w:p>
                      <w:p>
                        <w:pPr>
                          <w:pStyle w:val="TableParagraph"/>
                          <w:numPr>
                            <w:ilvl w:val="1"/>
                            <w:numId w:val="79"/>
                          </w:numPr>
                          <w:tabs>
                            <w:tab w:pos="2156" w:val="left" w:leader="none"/>
                          </w:tabs>
                          <w:spacing w:line="240" w:lineRule="auto" w:before="165" w:after="0"/>
                          <w:ind w:left="2155" w:right="0" w:hanging="405"/>
                          <w:jc w:val="left"/>
                          <w:rPr>
                            <w:i/>
                            <w:sz w:val="18"/>
                          </w:rPr>
                        </w:pPr>
                        <w:r>
                          <w:rPr>
                            <w:i/>
                            <w:color w:val="231F20"/>
                            <w:spacing w:val="-3"/>
                            <w:sz w:val="18"/>
                          </w:rPr>
                          <w:t>Уводне</w:t>
                        </w:r>
                        <w:r>
                          <w:rPr>
                            <w:i/>
                            <w:color w:val="231F20"/>
                            <w:spacing w:val="-2"/>
                            <w:sz w:val="18"/>
                          </w:rPr>
                          <w:t> </w:t>
                        </w:r>
                        <w:r>
                          <w:rPr>
                            <w:i/>
                            <w:color w:val="231F20"/>
                            <w:sz w:val="18"/>
                          </w:rPr>
                          <w:t>напомене</w:t>
                        </w:r>
                      </w:p>
                      <w:p>
                        <w:pPr>
                          <w:pStyle w:val="TableParagraph"/>
                          <w:spacing w:before="9"/>
                          <w:jc w:val="left"/>
                          <w:rPr>
                            <w:sz w:val="17"/>
                          </w:rPr>
                        </w:pPr>
                      </w:p>
                      <w:p>
                        <w:pPr>
                          <w:pStyle w:val="TableParagraph"/>
                          <w:spacing w:line="204" w:lineRule="exact" w:before="1"/>
                          <w:ind w:left="50" w:firstLine="396"/>
                          <w:jc w:val="left"/>
                          <w:rPr>
                            <w:sz w:val="18"/>
                          </w:rPr>
                        </w:pPr>
                        <w:r>
                          <w:rPr>
                            <w:color w:val="231F20"/>
                            <w:sz w:val="18"/>
                          </w:rPr>
                          <w:t>Комплекс „Долина реке Млаве” обухвата источне падине Пожаревачке греде и налази се између леве обале реке Млаве и</w:t>
                        </w:r>
                      </w:p>
                    </w:tc>
                    <w:tc>
                      <w:tcPr>
                        <w:tcW w:w="5294" w:type="dxa"/>
                      </w:tcPr>
                      <w:p>
                        <w:pPr>
                          <w:pStyle w:val="TableParagraph"/>
                          <w:spacing w:line="158" w:lineRule="exact" w:before="0"/>
                          <w:ind w:left="537"/>
                          <w:jc w:val="left"/>
                          <w:rPr>
                            <w:sz w:val="18"/>
                          </w:rPr>
                        </w:pPr>
                        <w:r>
                          <w:rPr>
                            <w:color w:val="231F20"/>
                            <w:sz w:val="18"/>
                          </w:rPr>
                          <w:t>Обухваћене површине груписане су у четири потцелине по</w:t>
                        </w:r>
                      </w:p>
                      <w:p>
                        <w:pPr>
                          <w:pStyle w:val="TableParagraph"/>
                          <w:spacing w:line="232" w:lineRule="auto" w:before="1"/>
                          <w:ind w:left="140" w:right="48"/>
                          <w:jc w:val="both"/>
                          <w:rPr>
                            <w:sz w:val="18"/>
                          </w:rPr>
                        </w:pPr>
                        <w:r>
                          <w:rPr>
                            <w:color w:val="231F20"/>
                            <w:sz w:val="18"/>
                          </w:rPr>
                          <w:t>принципу успостављања истих правила уређења простора и из- градње тако да појединачне потцелине обухватају следеће ката- старске парцеле:</w:t>
                        </w:r>
                      </w:p>
                      <w:p>
                        <w:pPr>
                          <w:pStyle w:val="TableParagraph"/>
                          <w:spacing w:line="200" w:lineRule="exact" w:before="1"/>
                          <w:ind w:left="538" w:right="78" w:hanging="1"/>
                          <w:jc w:val="left"/>
                          <w:rPr>
                            <w:sz w:val="18"/>
                          </w:rPr>
                        </w:pPr>
                        <w:r>
                          <w:rPr>
                            <w:color w:val="231F20"/>
                            <w:sz w:val="18"/>
                          </w:rPr>
                          <w:t>1) Прва потцелина обухвата следеће катастарске парцеле: КО Костолац село:</w:t>
                        </w:r>
                      </w:p>
                    </w:tc>
                  </w:tr>
                  <w:tr>
                    <w:trPr>
                      <w:trHeight w:val="196" w:hRule="atLeast"/>
                    </w:trPr>
                    <w:tc>
                      <w:tcPr>
                        <w:tcW w:w="5295" w:type="dxa"/>
                      </w:tcPr>
                      <w:p>
                        <w:pPr>
                          <w:pStyle w:val="TableParagraph"/>
                          <w:spacing w:line="176" w:lineRule="exact" w:before="0"/>
                          <w:ind w:left="50"/>
                          <w:jc w:val="left"/>
                          <w:rPr>
                            <w:sz w:val="18"/>
                          </w:rPr>
                        </w:pPr>
                        <w:r>
                          <w:rPr>
                            <w:color w:val="231F20"/>
                            <w:sz w:val="18"/>
                          </w:rPr>
                          <w:t>завршних контура копова „Кленовник” и „Ћириковац” и одлага-</w:t>
                        </w:r>
                      </w:p>
                    </w:tc>
                    <w:tc>
                      <w:tcPr>
                        <w:tcW w:w="5294" w:type="dxa"/>
                      </w:tcPr>
                      <w:p>
                        <w:pPr>
                          <w:pStyle w:val="TableParagraph"/>
                          <w:spacing w:line="176" w:lineRule="exact" w:before="0"/>
                          <w:ind w:right="49"/>
                          <w:rPr>
                            <w:sz w:val="18"/>
                          </w:rPr>
                        </w:pPr>
                        <w:r>
                          <w:rPr>
                            <w:color w:val="231F20"/>
                            <w:sz w:val="18"/>
                          </w:rPr>
                          <w:t>део: 2277, 2280, 2307, 2308, 2312, 2313, 2314, 2317, 2318,</w:t>
                        </w:r>
                      </w:p>
                    </w:tc>
                  </w:tr>
                  <w:tr>
                    <w:trPr>
                      <w:trHeight w:val="202" w:hRule="atLeast"/>
                    </w:trPr>
                    <w:tc>
                      <w:tcPr>
                        <w:tcW w:w="5295" w:type="dxa"/>
                      </w:tcPr>
                      <w:p>
                        <w:pPr>
                          <w:pStyle w:val="TableParagraph"/>
                          <w:spacing w:line="182" w:lineRule="exact" w:before="0"/>
                          <w:ind w:left="50"/>
                          <w:jc w:val="left"/>
                          <w:rPr>
                            <w:sz w:val="18"/>
                          </w:rPr>
                        </w:pPr>
                        <w:r>
                          <w:rPr>
                            <w:color w:val="231F20"/>
                            <w:sz w:val="18"/>
                          </w:rPr>
                          <w:t>лишта „Могила”. Комплекс обухвата делове катастарских општи-</w:t>
                        </w:r>
                      </w:p>
                    </w:tc>
                    <w:tc>
                      <w:tcPr>
                        <w:tcW w:w="5294" w:type="dxa"/>
                      </w:tcPr>
                      <w:p>
                        <w:pPr>
                          <w:pStyle w:val="TableParagraph"/>
                          <w:spacing w:line="182" w:lineRule="exact" w:before="0"/>
                          <w:ind w:right="48"/>
                          <w:rPr>
                            <w:sz w:val="18"/>
                          </w:rPr>
                        </w:pPr>
                        <w:r>
                          <w:rPr>
                            <w:color w:val="231F20"/>
                            <w:sz w:val="18"/>
                          </w:rPr>
                          <w:t>2319, 2320, 2323, 2325, 2327, 2333, 2340, 2341, 2351, 2352,</w:t>
                        </w:r>
                      </w:p>
                    </w:tc>
                  </w:tr>
                  <w:tr>
                    <w:trPr>
                      <w:trHeight w:val="202" w:hRule="atLeast"/>
                    </w:trPr>
                    <w:tc>
                      <w:tcPr>
                        <w:tcW w:w="5295" w:type="dxa"/>
                      </w:tcPr>
                      <w:p>
                        <w:pPr>
                          <w:pStyle w:val="TableParagraph"/>
                          <w:spacing w:line="182" w:lineRule="exact" w:before="0"/>
                          <w:ind w:left="50"/>
                          <w:jc w:val="left"/>
                          <w:rPr>
                            <w:sz w:val="18"/>
                          </w:rPr>
                        </w:pPr>
                        <w:r>
                          <w:rPr>
                            <w:color w:val="231F20"/>
                            <w:sz w:val="18"/>
                          </w:rPr>
                          <w:t>на Костолац село, Кленовник, Брадарац, Ћириковац, Маљуревац</w:t>
                        </w:r>
                      </w:p>
                    </w:tc>
                    <w:tc>
                      <w:tcPr>
                        <w:tcW w:w="5294" w:type="dxa"/>
                      </w:tcPr>
                      <w:p>
                        <w:pPr>
                          <w:pStyle w:val="TableParagraph"/>
                          <w:spacing w:line="182" w:lineRule="exact" w:before="0"/>
                          <w:ind w:right="48"/>
                          <w:rPr>
                            <w:sz w:val="18"/>
                          </w:rPr>
                        </w:pPr>
                        <w:r>
                          <w:rPr>
                            <w:color w:val="231F20"/>
                            <w:sz w:val="18"/>
                          </w:rPr>
                          <w:t>2361,2435/2, 2436, 2437, 2467/2, 2460, 2468, 2469, 2470, 2471, 2472,</w:t>
                        </w:r>
                      </w:p>
                    </w:tc>
                  </w:tr>
                  <w:tr>
                    <w:trPr>
                      <w:trHeight w:val="200" w:hRule="atLeast"/>
                    </w:trPr>
                    <w:tc>
                      <w:tcPr>
                        <w:tcW w:w="5295" w:type="dxa"/>
                      </w:tcPr>
                      <w:p>
                        <w:pPr>
                          <w:pStyle w:val="TableParagraph"/>
                          <w:spacing w:line="180" w:lineRule="exact" w:before="0"/>
                          <w:ind w:left="50"/>
                          <w:jc w:val="left"/>
                          <w:rPr>
                            <w:sz w:val="18"/>
                          </w:rPr>
                        </w:pPr>
                        <w:r>
                          <w:rPr>
                            <w:color w:val="231F20"/>
                            <w:sz w:val="18"/>
                          </w:rPr>
                          <w:t>и Дрмно.</w:t>
                        </w:r>
                      </w:p>
                    </w:tc>
                    <w:tc>
                      <w:tcPr>
                        <w:tcW w:w="5294" w:type="dxa"/>
                      </w:tcPr>
                      <w:p>
                        <w:pPr>
                          <w:pStyle w:val="TableParagraph"/>
                          <w:spacing w:line="180" w:lineRule="exact" w:before="0"/>
                          <w:ind w:right="48"/>
                          <w:rPr>
                            <w:sz w:val="18"/>
                          </w:rPr>
                        </w:pPr>
                        <w:r>
                          <w:rPr>
                            <w:color w:val="231F20"/>
                            <w:sz w:val="18"/>
                          </w:rPr>
                          <w:t>2474, 2585, 2586, 2587, 2588, 2589, 2590, 2591, 2592,2600, 2602,</w:t>
                        </w:r>
                      </w:p>
                    </w:tc>
                  </w:tr>
                  <w:tr>
                    <w:trPr>
                      <w:trHeight w:val="202" w:hRule="atLeast"/>
                    </w:trPr>
                    <w:tc>
                      <w:tcPr>
                        <w:tcW w:w="5295" w:type="dxa"/>
                      </w:tcPr>
                      <w:p>
                        <w:pPr>
                          <w:pStyle w:val="TableParagraph"/>
                          <w:spacing w:line="182" w:lineRule="exact" w:before="0"/>
                          <w:ind w:right="140"/>
                          <w:rPr>
                            <w:sz w:val="18"/>
                          </w:rPr>
                        </w:pPr>
                        <w:r>
                          <w:rPr>
                            <w:color w:val="231F20"/>
                            <w:sz w:val="18"/>
                          </w:rPr>
                          <w:t>Подручје се састоји од релативно равне алувијалне заравни</w:t>
                        </w:r>
                      </w:p>
                    </w:tc>
                    <w:tc>
                      <w:tcPr>
                        <w:tcW w:w="5294" w:type="dxa"/>
                      </w:tcPr>
                      <w:p>
                        <w:pPr>
                          <w:pStyle w:val="TableParagraph"/>
                          <w:spacing w:line="182" w:lineRule="exact" w:before="0"/>
                          <w:ind w:left="140"/>
                          <w:jc w:val="left"/>
                          <w:rPr>
                            <w:sz w:val="18"/>
                          </w:rPr>
                        </w:pPr>
                        <w:r>
                          <w:rPr>
                            <w:color w:val="231F20"/>
                            <w:sz w:val="18"/>
                          </w:rPr>
                          <w:t>2603, 2604, 2605, 2606, 2607, 2650, 2685, 2688,</w:t>
                        </w:r>
                      </w:p>
                    </w:tc>
                  </w:tr>
                  <w:tr>
                    <w:trPr>
                      <w:trHeight w:val="202" w:hRule="atLeast"/>
                    </w:trPr>
                    <w:tc>
                      <w:tcPr>
                        <w:tcW w:w="5295" w:type="dxa"/>
                      </w:tcPr>
                      <w:p>
                        <w:pPr>
                          <w:pStyle w:val="TableParagraph"/>
                          <w:spacing w:line="182" w:lineRule="exact" w:before="0"/>
                          <w:ind w:left="50"/>
                          <w:jc w:val="left"/>
                          <w:rPr>
                            <w:sz w:val="18"/>
                          </w:rPr>
                        </w:pPr>
                        <w:r>
                          <w:rPr>
                            <w:color w:val="231F20"/>
                            <w:sz w:val="18"/>
                          </w:rPr>
                          <w:t>поред реке Млаве која је плављена од великих вода (захвата небра-</w:t>
                        </w:r>
                      </w:p>
                    </w:tc>
                    <w:tc>
                      <w:tcPr>
                        <w:tcW w:w="5294" w:type="dxa"/>
                      </w:tcPr>
                      <w:p>
                        <w:pPr>
                          <w:pStyle w:val="TableParagraph"/>
                          <w:spacing w:line="182" w:lineRule="exact" w:before="0"/>
                          <w:ind w:right="49"/>
                          <w:rPr>
                            <w:sz w:val="18"/>
                          </w:rPr>
                        </w:pPr>
                        <w:r>
                          <w:rPr>
                            <w:color w:val="231F20"/>
                            <w:sz w:val="18"/>
                          </w:rPr>
                          <w:t>целе: 2309, 2310, 2311, 2315, 2316, 2324, 2326, 2342, 2343,</w:t>
                        </w:r>
                      </w:p>
                    </w:tc>
                  </w:tr>
                  <w:tr>
                    <w:trPr>
                      <w:trHeight w:val="202" w:hRule="atLeast"/>
                    </w:trPr>
                    <w:tc>
                      <w:tcPr>
                        <w:tcW w:w="5295" w:type="dxa"/>
                      </w:tcPr>
                      <w:p>
                        <w:pPr>
                          <w:pStyle w:val="TableParagraph"/>
                          <w:spacing w:line="181" w:lineRule="exact" w:before="1"/>
                          <w:ind w:left="50"/>
                          <w:jc w:val="left"/>
                          <w:rPr>
                            <w:sz w:val="18"/>
                          </w:rPr>
                        </w:pPr>
                        <w:r>
                          <w:rPr>
                            <w:color w:val="231F20"/>
                            <w:sz w:val="18"/>
                          </w:rPr>
                          <w:t>њени део леве обале реке), благих заравни у горњем делу целине</w:t>
                        </w:r>
                      </w:p>
                    </w:tc>
                    <w:tc>
                      <w:tcPr>
                        <w:tcW w:w="5294" w:type="dxa"/>
                      </w:tcPr>
                      <w:p>
                        <w:pPr>
                          <w:pStyle w:val="TableParagraph"/>
                          <w:spacing w:line="182" w:lineRule="exact" w:before="0"/>
                          <w:ind w:right="48"/>
                          <w:rPr>
                            <w:sz w:val="18"/>
                          </w:rPr>
                        </w:pPr>
                        <w:r>
                          <w:rPr>
                            <w:color w:val="231F20"/>
                            <w:sz w:val="18"/>
                          </w:rPr>
                          <w:t>2344, 2345, 2346, 2348, 2349, 2350, 2428/1, 2428/2, 2429, 2430,</w:t>
                        </w:r>
                      </w:p>
                    </w:tc>
                  </w:tr>
                  <w:tr>
                    <w:trPr>
                      <w:trHeight w:val="202" w:hRule="atLeast"/>
                    </w:trPr>
                    <w:tc>
                      <w:tcPr>
                        <w:tcW w:w="5295" w:type="dxa"/>
                      </w:tcPr>
                      <w:p>
                        <w:pPr>
                          <w:pStyle w:val="TableParagraph"/>
                          <w:spacing w:line="179" w:lineRule="exact" w:before="3"/>
                          <w:ind w:left="50"/>
                          <w:jc w:val="left"/>
                          <w:rPr>
                            <w:sz w:val="18"/>
                          </w:rPr>
                        </w:pPr>
                        <w:r>
                          <w:rPr>
                            <w:color w:val="231F20"/>
                            <w:sz w:val="18"/>
                          </w:rPr>
                          <w:t>и релативно стрме косине „Пожаревачке греде” према истоку која</w:t>
                        </w:r>
                      </w:p>
                    </w:tc>
                    <w:tc>
                      <w:tcPr>
                        <w:tcW w:w="5294" w:type="dxa"/>
                      </w:tcPr>
                      <w:p>
                        <w:pPr>
                          <w:pStyle w:val="TableParagraph"/>
                          <w:spacing w:line="182" w:lineRule="exact" w:before="0"/>
                          <w:ind w:right="48"/>
                          <w:rPr>
                            <w:sz w:val="18"/>
                          </w:rPr>
                        </w:pPr>
                        <w:r>
                          <w:rPr>
                            <w:color w:val="231F20"/>
                            <w:sz w:val="18"/>
                          </w:rPr>
                          <w:t>2431, 2432, 2433, 2434, 2438, 2439, 2475, 2476, 2477, 2478, 2479,</w:t>
                        </w:r>
                      </w:p>
                    </w:tc>
                  </w:tr>
                  <w:tr>
                    <w:trPr>
                      <w:trHeight w:val="202" w:hRule="atLeast"/>
                    </w:trPr>
                    <w:tc>
                      <w:tcPr>
                        <w:tcW w:w="5295" w:type="dxa"/>
                      </w:tcPr>
                      <w:p>
                        <w:pPr>
                          <w:pStyle w:val="TableParagraph"/>
                          <w:spacing w:line="176" w:lineRule="exact" w:before="6"/>
                          <w:ind w:left="50"/>
                          <w:jc w:val="left"/>
                          <w:rPr>
                            <w:sz w:val="18"/>
                          </w:rPr>
                        </w:pPr>
                        <w:r>
                          <w:rPr>
                            <w:color w:val="231F20"/>
                            <w:sz w:val="18"/>
                          </w:rPr>
                          <w:t>је обрасла шумским састојинама лошег квалитета. Преко простор-</w:t>
                        </w:r>
                      </w:p>
                    </w:tc>
                    <w:tc>
                      <w:tcPr>
                        <w:tcW w:w="5294" w:type="dxa"/>
                      </w:tcPr>
                      <w:p>
                        <w:pPr>
                          <w:pStyle w:val="TableParagraph"/>
                          <w:spacing w:line="182" w:lineRule="exact" w:before="0"/>
                          <w:ind w:right="48"/>
                          <w:rPr>
                            <w:sz w:val="18"/>
                          </w:rPr>
                        </w:pPr>
                        <w:r>
                          <w:rPr>
                            <w:color w:val="231F20"/>
                            <w:sz w:val="18"/>
                          </w:rPr>
                          <w:t>2480, 2481/1, 2481/2, 2482, 2483, 2484, 2485, 2486, 2487, 2488,</w:t>
                        </w:r>
                      </w:p>
                    </w:tc>
                  </w:tr>
                  <w:tr>
                    <w:trPr>
                      <w:trHeight w:val="202" w:hRule="atLeast"/>
                    </w:trPr>
                    <w:tc>
                      <w:tcPr>
                        <w:tcW w:w="5295" w:type="dxa"/>
                      </w:tcPr>
                      <w:p>
                        <w:pPr>
                          <w:pStyle w:val="TableParagraph"/>
                          <w:spacing w:line="174" w:lineRule="exact" w:before="8"/>
                          <w:ind w:left="50"/>
                          <w:jc w:val="left"/>
                          <w:rPr>
                            <w:sz w:val="18"/>
                          </w:rPr>
                        </w:pPr>
                        <w:r>
                          <w:rPr>
                            <w:color w:val="231F20"/>
                            <w:sz w:val="18"/>
                          </w:rPr>
                          <w:t>не целине формирани су коридори неколико далековода, коридор</w:t>
                        </w:r>
                      </w:p>
                    </w:tc>
                    <w:tc>
                      <w:tcPr>
                        <w:tcW w:w="5294" w:type="dxa"/>
                      </w:tcPr>
                      <w:p>
                        <w:pPr>
                          <w:pStyle w:val="TableParagraph"/>
                          <w:spacing w:line="182" w:lineRule="exact" w:before="0"/>
                          <w:ind w:right="48"/>
                          <w:rPr>
                            <w:sz w:val="18"/>
                          </w:rPr>
                        </w:pPr>
                        <w:r>
                          <w:rPr>
                            <w:color w:val="231F20"/>
                            <w:sz w:val="18"/>
                          </w:rPr>
                          <w:t>2489, 2490, 2491, 2492, 2493, 2494, 2495, 2496, 2500, 2501, 2502,</w:t>
                        </w:r>
                      </w:p>
                    </w:tc>
                  </w:tr>
                  <w:tr>
                    <w:trPr>
                      <w:trHeight w:val="202" w:hRule="atLeast"/>
                    </w:trPr>
                    <w:tc>
                      <w:tcPr>
                        <w:tcW w:w="5295" w:type="dxa"/>
                      </w:tcPr>
                      <w:p>
                        <w:pPr>
                          <w:pStyle w:val="TableParagraph"/>
                          <w:spacing w:line="172" w:lineRule="exact" w:before="10"/>
                          <w:ind w:left="50"/>
                          <w:jc w:val="left"/>
                          <w:rPr>
                            <w:sz w:val="18"/>
                          </w:rPr>
                        </w:pPr>
                        <w:r>
                          <w:rPr>
                            <w:color w:val="231F20"/>
                            <w:sz w:val="18"/>
                          </w:rPr>
                          <w:t>цевовода за транспорт смеше пепела и шљаке из ТЕ „Костолац А”</w:t>
                        </w:r>
                      </w:p>
                    </w:tc>
                    <w:tc>
                      <w:tcPr>
                        <w:tcW w:w="5294" w:type="dxa"/>
                      </w:tcPr>
                      <w:p>
                        <w:pPr>
                          <w:pStyle w:val="TableParagraph"/>
                          <w:spacing w:line="182" w:lineRule="exact" w:before="0"/>
                          <w:ind w:right="48"/>
                          <w:rPr>
                            <w:sz w:val="18"/>
                          </w:rPr>
                        </w:pPr>
                        <w:r>
                          <w:rPr>
                            <w:color w:val="231F20"/>
                            <w:sz w:val="18"/>
                          </w:rPr>
                          <w:t>2503, 2504, 2505, 2506, 2507, 2508, 2509, 2510, 2513, 2514, 2515,</w:t>
                        </w:r>
                      </w:p>
                    </w:tc>
                  </w:tr>
                  <w:tr>
                    <w:trPr>
                      <w:trHeight w:val="202" w:hRule="atLeast"/>
                    </w:trPr>
                    <w:tc>
                      <w:tcPr>
                        <w:tcW w:w="5295" w:type="dxa"/>
                      </w:tcPr>
                      <w:p>
                        <w:pPr>
                          <w:pStyle w:val="TableParagraph"/>
                          <w:spacing w:line="170" w:lineRule="exact" w:before="12"/>
                          <w:ind w:left="50"/>
                          <w:jc w:val="left"/>
                          <w:rPr>
                            <w:sz w:val="18"/>
                          </w:rPr>
                        </w:pPr>
                        <w:r>
                          <w:rPr>
                            <w:color w:val="231F20"/>
                            <w:sz w:val="18"/>
                          </w:rPr>
                          <w:t>и ТЕ „Костолац Б” до депоније у унутрашњем одлагалишту копа</w:t>
                        </w:r>
                      </w:p>
                    </w:tc>
                    <w:tc>
                      <w:tcPr>
                        <w:tcW w:w="5294" w:type="dxa"/>
                      </w:tcPr>
                      <w:p>
                        <w:pPr>
                          <w:pStyle w:val="TableParagraph"/>
                          <w:spacing w:line="182" w:lineRule="exact" w:before="0"/>
                          <w:ind w:right="48"/>
                          <w:rPr>
                            <w:sz w:val="18"/>
                          </w:rPr>
                        </w:pPr>
                        <w:r>
                          <w:rPr>
                            <w:color w:val="231F20"/>
                            <w:sz w:val="18"/>
                          </w:rPr>
                          <w:t>2516, 2517, 2518, 2565, 2566, 2567, 2570, 2571, 2572, 2573, 2574,</w:t>
                        </w:r>
                      </w:p>
                    </w:tc>
                  </w:tr>
                  <w:tr>
                    <w:trPr>
                      <w:trHeight w:val="6735" w:hRule="atLeast"/>
                    </w:trPr>
                    <w:tc>
                      <w:tcPr>
                        <w:tcW w:w="5295" w:type="dxa"/>
                      </w:tcPr>
                      <w:p>
                        <w:pPr>
                          <w:pStyle w:val="TableParagraph"/>
                          <w:spacing w:line="237" w:lineRule="auto" w:before="16"/>
                          <w:ind w:left="49" w:right="140"/>
                          <w:jc w:val="both"/>
                          <w:rPr>
                            <w:sz w:val="18"/>
                          </w:rPr>
                        </w:pPr>
                        <w:r>
                          <w:rPr>
                            <w:color w:val="231F20"/>
                            <w:spacing w:val="-3"/>
                            <w:sz w:val="18"/>
                          </w:rPr>
                          <w:t>„Ђириковац” </w:t>
                        </w:r>
                        <w:r>
                          <w:rPr>
                            <w:color w:val="231F20"/>
                            <w:sz w:val="18"/>
                          </w:rPr>
                          <w:t>и коридор за транспорт </w:t>
                        </w:r>
                        <w:r>
                          <w:rPr>
                            <w:color w:val="231F20"/>
                            <w:spacing w:val="-3"/>
                            <w:sz w:val="18"/>
                          </w:rPr>
                          <w:t>рударске </w:t>
                        </w:r>
                        <w:r>
                          <w:rPr>
                            <w:color w:val="231F20"/>
                            <w:sz w:val="18"/>
                          </w:rPr>
                          <w:t>механизације изме- ђу </w:t>
                        </w:r>
                        <w:r>
                          <w:rPr>
                            <w:color w:val="231F20"/>
                            <w:spacing w:val="-3"/>
                            <w:sz w:val="18"/>
                          </w:rPr>
                          <w:t>копа </w:t>
                        </w:r>
                        <w:r>
                          <w:rPr>
                            <w:color w:val="231F20"/>
                            <w:spacing w:val="-4"/>
                            <w:sz w:val="18"/>
                          </w:rPr>
                          <w:t>„Ћириковац” </w:t>
                        </w:r>
                        <w:r>
                          <w:rPr>
                            <w:color w:val="231F20"/>
                            <w:sz w:val="18"/>
                          </w:rPr>
                          <w:t>и </w:t>
                        </w:r>
                        <w:r>
                          <w:rPr>
                            <w:color w:val="231F20"/>
                            <w:spacing w:val="-3"/>
                            <w:sz w:val="18"/>
                          </w:rPr>
                          <w:t>копа </w:t>
                        </w:r>
                        <w:r>
                          <w:rPr>
                            <w:color w:val="231F20"/>
                            <w:sz w:val="18"/>
                          </w:rPr>
                          <w:t>„Дрмно”. На заравни у непосредној близини</w:t>
                        </w:r>
                        <w:r>
                          <w:rPr>
                            <w:color w:val="231F20"/>
                            <w:spacing w:val="-9"/>
                            <w:sz w:val="18"/>
                          </w:rPr>
                          <w:t> </w:t>
                        </w:r>
                        <w:r>
                          <w:rPr>
                            <w:color w:val="231F20"/>
                            <w:sz w:val="18"/>
                          </w:rPr>
                          <w:t>спољне</w:t>
                        </w:r>
                        <w:r>
                          <w:rPr>
                            <w:color w:val="231F20"/>
                            <w:spacing w:val="-9"/>
                            <w:sz w:val="18"/>
                          </w:rPr>
                          <w:t> </w:t>
                        </w:r>
                        <w:r>
                          <w:rPr>
                            <w:color w:val="231F20"/>
                            <w:sz w:val="18"/>
                          </w:rPr>
                          <w:t>контуре</w:t>
                        </w:r>
                        <w:r>
                          <w:rPr>
                            <w:color w:val="231F20"/>
                            <w:spacing w:val="-9"/>
                            <w:sz w:val="18"/>
                          </w:rPr>
                          <w:t> </w:t>
                        </w:r>
                        <w:r>
                          <w:rPr>
                            <w:color w:val="231F20"/>
                            <w:spacing w:val="-3"/>
                            <w:sz w:val="18"/>
                          </w:rPr>
                          <w:t>копа</w:t>
                        </w:r>
                        <w:r>
                          <w:rPr>
                            <w:color w:val="231F20"/>
                            <w:spacing w:val="-9"/>
                            <w:sz w:val="18"/>
                          </w:rPr>
                          <w:t> </w:t>
                        </w:r>
                        <w:r>
                          <w:rPr>
                            <w:color w:val="231F20"/>
                            <w:spacing w:val="-3"/>
                            <w:sz w:val="18"/>
                          </w:rPr>
                          <w:t>„Ћириковац”</w:t>
                        </w:r>
                        <w:r>
                          <w:rPr>
                            <w:color w:val="231F20"/>
                            <w:spacing w:val="-9"/>
                            <w:sz w:val="18"/>
                          </w:rPr>
                          <w:t> </w:t>
                        </w:r>
                        <w:r>
                          <w:rPr>
                            <w:color w:val="231F20"/>
                            <w:sz w:val="18"/>
                          </w:rPr>
                          <w:t>налази</w:t>
                        </w:r>
                        <w:r>
                          <w:rPr>
                            <w:color w:val="231F20"/>
                            <w:spacing w:val="-9"/>
                            <w:sz w:val="18"/>
                          </w:rPr>
                          <w:t> </w:t>
                        </w:r>
                        <w:r>
                          <w:rPr>
                            <w:color w:val="231F20"/>
                            <w:sz w:val="18"/>
                          </w:rPr>
                          <w:t>се</w:t>
                        </w:r>
                        <w:r>
                          <w:rPr>
                            <w:color w:val="231F20"/>
                            <w:spacing w:val="-9"/>
                            <w:sz w:val="18"/>
                          </w:rPr>
                          <w:t> </w:t>
                        </w:r>
                        <w:r>
                          <w:rPr>
                            <w:color w:val="231F20"/>
                            <w:sz w:val="18"/>
                          </w:rPr>
                          <w:t>манастир</w:t>
                        </w:r>
                        <w:r>
                          <w:rPr>
                            <w:color w:val="231F20"/>
                            <w:spacing w:val="-9"/>
                            <w:sz w:val="18"/>
                          </w:rPr>
                          <w:t> </w:t>
                        </w:r>
                        <w:r>
                          <w:rPr>
                            <w:color w:val="231F20"/>
                            <w:sz w:val="18"/>
                          </w:rPr>
                          <w:t>Ру- кумија и археолошки локалитет</w:t>
                        </w:r>
                        <w:r>
                          <w:rPr>
                            <w:color w:val="231F20"/>
                            <w:spacing w:val="-6"/>
                            <w:sz w:val="18"/>
                          </w:rPr>
                          <w:t> </w:t>
                        </w:r>
                        <w:r>
                          <w:rPr>
                            <w:color w:val="231F20"/>
                            <w:sz w:val="18"/>
                          </w:rPr>
                          <w:t>„Рукумија”.</w:t>
                        </w:r>
                      </w:p>
                      <w:p>
                        <w:pPr>
                          <w:pStyle w:val="TableParagraph"/>
                          <w:spacing w:line="237" w:lineRule="auto" w:before="0"/>
                          <w:ind w:left="50" w:right="140" w:firstLine="396"/>
                          <w:jc w:val="both"/>
                          <w:rPr>
                            <w:sz w:val="18"/>
                          </w:rPr>
                        </w:pPr>
                        <w:r>
                          <w:rPr>
                            <w:color w:val="231F20"/>
                            <w:sz w:val="18"/>
                          </w:rPr>
                          <w:t>Предвиђа се пошумљавање ове просторне целине и то, стр- мих падина долине </w:t>
                        </w:r>
                        <w:r>
                          <w:rPr>
                            <w:color w:val="231F20"/>
                            <w:spacing w:val="-3"/>
                            <w:sz w:val="18"/>
                          </w:rPr>
                          <w:t>аутохтоним </w:t>
                        </w:r>
                        <w:r>
                          <w:rPr>
                            <w:color w:val="231F20"/>
                            <w:sz w:val="18"/>
                          </w:rPr>
                          <w:t>врстама (храст, јасен и друго) а алувијалну зараван поред реке Млаве засадима за производњу би- омасе. Предвиђа се уређење </w:t>
                        </w:r>
                        <w:r>
                          <w:rPr>
                            <w:color w:val="231F20"/>
                            <w:spacing w:val="-3"/>
                            <w:sz w:val="18"/>
                          </w:rPr>
                          <w:t>комплекса </w:t>
                        </w:r>
                        <w:r>
                          <w:rPr>
                            <w:color w:val="231F20"/>
                            <w:sz w:val="18"/>
                          </w:rPr>
                          <w:t>манастира Рукумија </w:t>
                        </w:r>
                        <w:r>
                          <w:rPr>
                            <w:color w:val="231F20"/>
                            <w:spacing w:val="-3"/>
                            <w:sz w:val="18"/>
                          </w:rPr>
                          <w:t>деко- </w:t>
                        </w:r>
                        <w:r>
                          <w:rPr>
                            <w:color w:val="231F20"/>
                            <w:sz w:val="18"/>
                          </w:rPr>
                          <w:t>ративним врстама зеленила, и формирање поставке етно-парка и других</w:t>
                        </w:r>
                        <w:r>
                          <w:rPr>
                            <w:color w:val="231F20"/>
                            <w:spacing w:val="-6"/>
                            <w:sz w:val="18"/>
                          </w:rPr>
                          <w:t> </w:t>
                        </w:r>
                        <w:r>
                          <w:rPr>
                            <w:color w:val="231F20"/>
                            <w:sz w:val="18"/>
                          </w:rPr>
                          <w:t>културних</w:t>
                        </w:r>
                        <w:r>
                          <w:rPr>
                            <w:color w:val="231F20"/>
                            <w:spacing w:val="-7"/>
                            <w:sz w:val="18"/>
                          </w:rPr>
                          <w:t> </w:t>
                        </w:r>
                        <w:r>
                          <w:rPr>
                            <w:color w:val="231F20"/>
                            <w:sz w:val="18"/>
                          </w:rPr>
                          <w:t>садржаја</w:t>
                        </w:r>
                        <w:r>
                          <w:rPr>
                            <w:color w:val="231F20"/>
                            <w:spacing w:val="-6"/>
                            <w:sz w:val="18"/>
                          </w:rPr>
                          <w:t> </w:t>
                        </w:r>
                        <w:r>
                          <w:rPr>
                            <w:color w:val="231F20"/>
                            <w:sz w:val="18"/>
                          </w:rPr>
                          <w:t>у</w:t>
                        </w:r>
                        <w:r>
                          <w:rPr>
                            <w:color w:val="231F20"/>
                            <w:spacing w:val="-6"/>
                            <w:sz w:val="18"/>
                          </w:rPr>
                          <w:t> </w:t>
                        </w:r>
                        <w:r>
                          <w:rPr>
                            <w:color w:val="231F20"/>
                            <w:sz w:val="18"/>
                          </w:rPr>
                          <w:t>непосредној</w:t>
                        </w:r>
                        <w:r>
                          <w:rPr>
                            <w:color w:val="231F20"/>
                            <w:spacing w:val="-7"/>
                            <w:sz w:val="18"/>
                          </w:rPr>
                          <w:t> </w:t>
                        </w:r>
                        <w:r>
                          <w:rPr>
                            <w:color w:val="231F20"/>
                            <w:sz w:val="18"/>
                          </w:rPr>
                          <w:t>близини</w:t>
                        </w:r>
                        <w:r>
                          <w:rPr>
                            <w:color w:val="231F20"/>
                            <w:spacing w:val="-6"/>
                            <w:sz w:val="18"/>
                          </w:rPr>
                          <w:t> </w:t>
                        </w:r>
                        <w:r>
                          <w:rPr>
                            <w:color w:val="231F20"/>
                            <w:sz w:val="18"/>
                          </w:rPr>
                          <w:t>манастира.</w:t>
                        </w:r>
                        <w:r>
                          <w:rPr>
                            <w:color w:val="231F20"/>
                            <w:spacing w:val="-6"/>
                            <w:sz w:val="18"/>
                          </w:rPr>
                          <w:t> </w:t>
                        </w:r>
                        <w:r>
                          <w:rPr>
                            <w:color w:val="231F20"/>
                            <w:sz w:val="18"/>
                          </w:rPr>
                          <w:t>По- требно је извршити реконструкцију постојећих и изградњу нових саобраћајница.</w:t>
                        </w:r>
                      </w:p>
                      <w:p>
                        <w:pPr>
                          <w:pStyle w:val="TableParagraph"/>
                          <w:spacing w:line="237" w:lineRule="auto" w:before="0"/>
                          <w:ind w:left="50" w:right="140" w:firstLine="396"/>
                          <w:jc w:val="both"/>
                          <w:rPr>
                            <w:sz w:val="18"/>
                          </w:rPr>
                        </w:pPr>
                        <w:r>
                          <w:rPr>
                            <w:color w:val="231F20"/>
                            <w:sz w:val="18"/>
                          </w:rPr>
                          <w:t>Треба напоменути и то да у просторном </w:t>
                        </w:r>
                        <w:r>
                          <w:rPr>
                            <w:color w:val="231F20"/>
                            <w:spacing w:val="-3"/>
                            <w:sz w:val="18"/>
                          </w:rPr>
                          <w:t>обухвату комплекса </w:t>
                        </w:r>
                        <w:r>
                          <w:rPr>
                            <w:color w:val="231F20"/>
                            <w:sz w:val="18"/>
                          </w:rPr>
                          <w:t>има</w:t>
                        </w:r>
                        <w:r>
                          <w:rPr>
                            <w:color w:val="231F20"/>
                            <w:spacing w:val="-7"/>
                            <w:sz w:val="18"/>
                          </w:rPr>
                          <w:t> </w:t>
                        </w:r>
                        <w:r>
                          <w:rPr>
                            <w:color w:val="231F20"/>
                            <w:sz w:val="18"/>
                          </w:rPr>
                          <w:t>угља</w:t>
                        </w:r>
                        <w:r>
                          <w:rPr>
                            <w:color w:val="231F20"/>
                            <w:spacing w:val="-7"/>
                            <w:sz w:val="18"/>
                          </w:rPr>
                          <w:t> </w:t>
                        </w:r>
                        <w:r>
                          <w:rPr>
                            <w:color w:val="231F20"/>
                            <w:spacing w:val="-3"/>
                            <w:sz w:val="18"/>
                          </w:rPr>
                          <w:t>који</w:t>
                        </w:r>
                        <w:r>
                          <w:rPr>
                            <w:color w:val="231F20"/>
                            <w:spacing w:val="-7"/>
                            <w:sz w:val="18"/>
                          </w:rPr>
                          <w:t> </w:t>
                        </w:r>
                        <w:r>
                          <w:rPr>
                            <w:color w:val="231F20"/>
                            <w:sz w:val="18"/>
                          </w:rPr>
                          <w:t>би</w:t>
                        </w:r>
                        <w:r>
                          <w:rPr>
                            <w:color w:val="231F20"/>
                            <w:spacing w:val="-7"/>
                            <w:sz w:val="18"/>
                          </w:rPr>
                          <w:t> </w:t>
                        </w:r>
                        <w:r>
                          <w:rPr>
                            <w:color w:val="231F20"/>
                            <w:sz w:val="18"/>
                          </w:rPr>
                          <w:t>у</w:t>
                        </w:r>
                        <w:r>
                          <w:rPr>
                            <w:color w:val="231F20"/>
                            <w:spacing w:val="-7"/>
                            <w:sz w:val="18"/>
                          </w:rPr>
                          <w:t> </w:t>
                        </w:r>
                        <w:r>
                          <w:rPr>
                            <w:color w:val="231F20"/>
                            <w:sz w:val="18"/>
                          </w:rPr>
                          <w:t>даљој</w:t>
                        </w:r>
                        <w:r>
                          <w:rPr>
                            <w:color w:val="231F20"/>
                            <w:spacing w:val="-7"/>
                            <w:sz w:val="18"/>
                          </w:rPr>
                          <w:t> </w:t>
                        </w:r>
                        <w:r>
                          <w:rPr>
                            <w:color w:val="231F20"/>
                            <w:sz w:val="18"/>
                          </w:rPr>
                          <w:t>перспективи</w:t>
                        </w:r>
                        <w:r>
                          <w:rPr>
                            <w:color w:val="231F20"/>
                            <w:spacing w:val="-7"/>
                            <w:sz w:val="18"/>
                          </w:rPr>
                          <w:t> </w:t>
                        </w:r>
                        <w:r>
                          <w:rPr>
                            <w:color w:val="231F20"/>
                            <w:sz w:val="18"/>
                          </w:rPr>
                          <w:t>могао</w:t>
                        </w:r>
                        <w:r>
                          <w:rPr>
                            <w:color w:val="231F20"/>
                            <w:spacing w:val="-7"/>
                            <w:sz w:val="18"/>
                          </w:rPr>
                          <w:t> </w:t>
                        </w:r>
                        <w:r>
                          <w:rPr>
                            <w:color w:val="231F20"/>
                            <w:sz w:val="18"/>
                          </w:rPr>
                          <w:t>да</w:t>
                        </w:r>
                        <w:r>
                          <w:rPr>
                            <w:color w:val="231F20"/>
                            <w:spacing w:val="-7"/>
                            <w:sz w:val="18"/>
                          </w:rPr>
                          <w:t> </w:t>
                        </w:r>
                        <w:r>
                          <w:rPr>
                            <w:color w:val="231F20"/>
                            <w:spacing w:val="-5"/>
                            <w:sz w:val="18"/>
                          </w:rPr>
                          <w:t>буде</w:t>
                        </w:r>
                        <w:r>
                          <w:rPr>
                            <w:color w:val="231F20"/>
                            <w:spacing w:val="-7"/>
                            <w:sz w:val="18"/>
                          </w:rPr>
                          <w:t> </w:t>
                        </w:r>
                        <w:r>
                          <w:rPr>
                            <w:color w:val="231F20"/>
                            <w:sz w:val="18"/>
                          </w:rPr>
                          <w:t>експлоатисан. Наиме,</w:t>
                        </w:r>
                        <w:r>
                          <w:rPr>
                            <w:color w:val="231F20"/>
                            <w:spacing w:val="25"/>
                            <w:sz w:val="18"/>
                          </w:rPr>
                          <w:t> </w:t>
                        </w:r>
                        <w:r>
                          <w:rPr>
                            <w:color w:val="231F20"/>
                            <w:sz w:val="18"/>
                          </w:rPr>
                          <w:t>већи</w:t>
                        </w:r>
                        <w:r>
                          <w:rPr>
                            <w:color w:val="231F20"/>
                            <w:spacing w:val="25"/>
                            <w:sz w:val="18"/>
                          </w:rPr>
                          <w:t> </w:t>
                        </w:r>
                        <w:r>
                          <w:rPr>
                            <w:color w:val="231F20"/>
                            <w:sz w:val="18"/>
                          </w:rPr>
                          <w:t>део</w:t>
                        </w:r>
                        <w:r>
                          <w:rPr>
                            <w:color w:val="231F20"/>
                            <w:spacing w:val="25"/>
                            <w:sz w:val="18"/>
                          </w:rPr>
                          <w:t> </w:t>
                        </w:r>
                        <w:r>
                          <w:rPr>
                            <w:color w:val="231F20"/>
                            <w:sz w:val="18"/>
                          </w:rPr>
                          <w:t>овог</w:t>
                        </w:r>
                        <w:r>
                          <w:rPr>
                            <w:color w:val="231F20"/>
                            <w:spacing w:val="25"/>
                            <w:sz w:val="18"/>
                          </w:rPr>
                          <w:t> </w:t>
                        </w:r>
                        <w:r>
                          <w:rPr>
                            <w:color w:val="231F20"/>
                            <w:sz w:val="18"/>
                          </w:rPr>
                          <w:t>простора</w:t>
                        </w:r>
                        <w:r>
                          <w:rPr>
                            <w:color w:val="231F20"/>
                            <w:spacing w:val="25"/>
                            <w:sz w:val="18"/>
                          </w:rPr>
                          <w:t> </w:t>
                        </w:r>
                        <w:r>
                          <w:rPr>
                            <w:color w:val="231F20"/>
                            <w:sz w:val="18"/>
                          </w:rPr>
                          <w:t>налази</w:t>
                        </w:r>
                        <w:r>
                          <w:rPr>
                            <w:color w:val="231F20"/>
                            <w:spacing w:val="25"/>
                            <w:sz w:val="18"/>
                          </w:rPr>
                          <w:t> </w:t>
                        </w:r>
                        <w:r>
                          <w:rPr>
                            <w:color w:val="231F20"/>
                            <w:sz w:val="18"/>
                          </w:rPr>
                          <w:t>се</w:t>
                        </w:r>
                        <w:r>
                          <w:rPr>
                            <w:color w:val="231F20"/>
                            <w:spacing w:val="25"/>
                            <w:sz w:val="18"/>
                          </w:rPr>
                          <w:t> </w:t>
                        </w:r>
                        <w:r>
                          <w:rPr>
                            <w:color w:val="231F20"/>
                            <w:sz w:val="18"/>
                          </w:rPr>
                          <w:t>у</w:t>
                        </w:r>
                        <w:r>
                          <w:rPr>
                            <w:color w:val="231F20"/>
                            <w:spacing w:val="25"/>
                            <w:sz w:val="18"/>
                          </w:rPr>
                          <w:t> </w:t>
                        </w:r>
                        <w:r>
                          <w:rPr>
                            <w:color w:val="231F20"/>
                            <w:sz w:val="18"/>
                          </w:rPr>
                          <w:t>границама</w:t>
                        </w:r>
                        <w:r>
                          <w:rPr>
                            <w:color w:val="231F20"/>
                            <w:spacing w:val="25"/>
                            <w:sz w:val="18"/>
                          </w:rPr>
                          <w:t> </w:t>
                        </w:r>
                        <w:r>
                          <w:rPr>
                            <w:color w:val="231F20"/>
                            <w:sz w:val="18"/>
                          </w:rPr>
                          <w:t>подручја</w:t>
                        </w:r>
                      </w:p>
                      <w:p>
                        <w:pPr>
                          <w:pStyle w:val="TableParagraph"/>
                          <w:spacing w:line="204" w:lineRule="exact" w:before="0"/>
                          <w:ind w:left="50"/>
                          <w:jc w:val="left"/>
                          <w:rPr>
                            <w:sz w:val="18"/>
                          </w:rPr>
                        </w:pPr>
                        <w:r>
                          <w:rPr>
                            <w:color w:val="231F20"/>
                            <w:sz w:val="18"/>
                          </w:rPr>
                          <w:t>„резервисаног за рударске активности”.</w:t>
                        </w:r>
                      </w:p>
                      <w:p>
                        <w:pPr>
                          <w:pStyle w:val="TableParagraph"/>
                          <w:spacing w:before="162"/>
                          <w:ind w:left="384"/>
                          <w:jc w:val="left"/>
                          <w:rPr>
                            <w:i/>
                            <w:sz w:val="18"/>
                          </w:rPr>
                        </w:pPr>
                        <w:r>
                          <w:rPr>
                            <w:i/>
                            <w:color w:val="231F20"/>
                            <w:sz w:val="18"/>
                          </w:rPr>
                          <w:t>10.2. Границе просторне целине и просторних потцелина</w:t>
                        </w:r>
                      </w:p>
                      <w:p>
                        <w:pPr>
                          <w:pStyle w:val="TableParagraph"/>
                          <w:spacing w:before="8"/>
                          <w:jc w:val="left"/>
                          <w:rPr>
                            <w:sz w:val="17"/>
                          </w:rPr>
                        </w:pPr>
                      </w:p>
                      <w:p>
                        <w:pPr>
                          <w:pStyle w:val="TableParagraph"/>
                          <w:spacing w:line="237" w:lineRule="auto" w:before="1"/>
                          <w:ind w:left="50" w:right="140" w:firstLine="396"/>
                          <w:jc w:val="both"/>
                          <w:rPr>
                            <w:sz w:val="18"/>
                          </w:rPr>
                        </w:pPr>
                        <w:r>
                          <w:rPr>
                            <w:color w:val="231F20"/>
                            <w:sz w:val="18"/>
                          </w:rPr>
                          <w:t>Комплекс „Долина реке Млаве” се састоји од четири потце- лине које имају различиту намену.</w:t>
                        </w:r>
                      </w:p>
                      <w:p>
                        <w:pPr>
                          <w:pStyle w:val="TableParagraph"/>
                          <w:spacing w:line="237" w:lineRule="auto" w:before="0"/>
                          <w:ind w:left="50" w:right="140" w:firstLine="396"/>
                          <w:jc w:val="both"/>
                          <w:rPr>
                            <w:sz w:val="18"/>
                          </w:rPr>
                        </w:pPr>
                        <w:r>
                          <w:rPr>
                            <w:color w:val="231F20"/>
                            <w:sz w:val="18"/>
                          </w:rPr>
                          <w:t>Прва потцелина обухвата део </w:t>
                        </w:r>
                        <w:r>
                          <w:rPr>
                            <w:color w:val="231F20"/>
                            <w:spacing w:val="-3"/>
                            <w:sz w:val="18"/>
                          </w:rPr>
                          <w:t>комплекса </w:t>
                        </w:r>
                        <w:r>
                          <w:rPr>
                            <w:color w:val="231F20"/>
                            <w:sz w:val="18"/>
                          </w:rPr>
                          <w:t>у нагибу </w:t>
                        </w:r>
                        <w:r>
                          <w:rPr>
                            <w:color w:val="231F20"/>
                            <w:spacing w:val="-3"/>
                            <w:sz w:val="18"/>
                          </w:rPr>
                          <w:t>који </w:t>
                        </w:r>
                        <w:r>
                          <w:rPr>
                            <w:color w:val="231F20"/>
                            <w:sz w:val="18"/>
                          </w:rPr>
                          <w:t>је предвиђен</w:t>
                        </w:r>
                        <w:r>
                          <w:rPr>
                            <w:color w:val="231F20"/>
                            <w:spacing w:val="-9"/>
                            <w:sz w:val="18"/>
                          </w:rPr>
                          <w:t> </w:t>
                        </w:r>
                        <w:r>
                          <w:rPr>
                            <w:color w:val="231F20"/>
                            <w:sz w:val="18"/>
                          </w:rPr>
                          <w:t>за</w:t>
                        </w:r>
                        <w:r>
                          <w:rPr>
                            <w:color w:val="231F20"/>
                            <w:spacing w:val="-9"/>
                            <w:sz w:val="18"/>
                          </w:rPr>
                          <w:t> </w:t>
                        </w:r>
                        <w:r>
                          <w:rPr>
                            <w:color w:val="231F20"/>
                            <w:sz w:val="18"/>
                          </w:rPr>
                          <w:t>пошумљавање.</w:t>
                        </w:r>
                        <w:r>
                          <w:rPr>
                            <w:color w:val="231F20"/>
                            <w:spacing w:val="-9"/>
                            <w:sz w:val="18"/>
                          </w:rPr>
                          <w:t> </w:t>
                        </w:r>
                        <w:r>
                          <w:rPr>
                            <w:color w:val="231F20"/>
                            <w:sz w:val="18"/>
                          </w:rPr>
                          <w:t>Ова</w:t>
                        </w:r>
                        <w:r>
                          <w:rPr>
                            <w:color w:val="231F20"/>
                            <w:spacing w:val="-9"/>
                            <w:sz w:val="18"/>
                          </w:rPr>
                          <w:t> </w:t>
                        </w:r>
                        <w:r>
                          <w:rPr>
                            <w:color w:val="231F20"/>
                            <w:sz w:val="18"/>
                          </w:rPr>
                          <w:t>потцелина</w:t>
                        </w:r>
                        <w:r>
                          <w:rPr>
                            <w:color w:val="231F20"/>
                            <w:spacing w:val="-9"/>
                            <w:sz w:val="18"/>
                          </w:rPr>
                          <w:t> </w:t>
                        </w:r>
                        <w:r>
                          <w:rPr>
                            <w:color w:val="231F20"/>
                            <w:sz w:val="18"/>
                          </w:rPr>
                          <w:t>обухвата</w:t>
                        </w:r>
                        <w:r>
                          <w:rPr>
                            <w:color w:val="231F20"/>
                            <w:spacing w:val="-9"/>
                            <w:sz w:val="18"/>
                          </w:rPr>
                          <w:t> </w:t>
                        </w:r>
                        <w:r>
                          <w:rPr>
                            <w:color w:val="231F20"/>
                            <w:sz w:val="18"/>
                          </w:rPr>
                          <w:t>и</w:t>
                        </w:r>
                        <w:r>
                          <w:rPr>
                            <w:color w:val="231F20"/>
                            <w:spacing w:val="-9"/>
                            <w:sz w:val="18"/>
                          </w:rPr>
                          <w:t> </w:t>
                        </w:r>
                        <w:r>
                          <w:rPr>
                            <w:color w:val="231F20"/>
                            <w:sz w:val="18"/>
                          </w:rPr>
                          <w:t>резерваци- ју</w:t>
                        </w:r>
                        <w:r>
                          <w:rPr>
                            <w:color w:val="231F20"/>
                            <w:spacing w:val="-6"/>
                            <w:sz w:val="18"/>
                          </w:rPr>
                          <w:t> </w:t>
                        </w:r>
                        <w:r>
                          <w:rPr>
                            <w:color w:val="231F20"/>
                            <w:sz w:val="18"/>
                          </w:rPr>
                          <w:t>простора</w:t>
                        </w:r>
                        <w:r>
                          <w:rPr>
                            <w:color w:val="231F20"/>
                            <w:spacing w:val="-6"/>
                            <w:sz w:val="18"/>
                          </w:rPr>
                          <w:t> </w:t>
                        </w:r>
                        <w:r>
                          <w:rPr>
                            <w:color w:val="231F20"/>
                            <w:sz w:val="18"/>
                          </w:rPr>
                          <w:t>за</w:t>
                        </w:r>
                        <w:r>
                          <w:rPr>
                            <w:color w:val="231F20"/>
                            <w:spacing w:val="-6"/>
                            <w:sz w:val="18"/>
                          </w:rPr>
                          <w:t> </w:t>
                        </w:r>
                        <w:r>
                          <w:rPr>
                            <w:color w:val="231F20"/>
                            <w:sz w:val="18"/>
                          </w:rPr>
                          <w:t>потенцијалну</w:t>
                        </w:r>
                        <w:r>
                          <w:rPr>
                            <w:color w:val="231F20"/>
                            <w:spacing w:val="-5"/>
                            <w:sz w:val="18"/>
                          </w:rPr>
                          <w:t> </w:t>
                        </w:r>
                        <w:r>
                          <w:rPr>
                            <w:color w:val="231F20"/>
                            <w:sz w:val="18"/>
                          </w:rPr>
                          <w:t>локацију</w:t>
                        </w:r>
                        <w:r>
                          <w:rPr>
                            <w:color w:val="231F20"/>
                            <w:spacing w:val="-6"/>
                            <w:sz w:val="18"/>
                          </w:rPr>
                          <w:t> </w:t>
                        </w:r>
                        <w:r>
                          <w:rPr>
                            <w:color w:val="231F20"/>
                            <w:sz w:val="18"/>
                          </w:rPr>
                          <w:t>ветроелектрана.</w:t>
                        </w:r>
                        <w:r>
                          <w:rPr>
                            <w:color w:val="231F20"/>
                            <w:spacing w:val="-5"/>
                            <w:sz w:val="18"/>
                          </w:rPr>
                          <w:t> </w:t>
                        </w:r>
                        <w:r>
                          <w:rPr>
                            <w:color w:val="231F20"/>
                            <w:sz w:val="18"/>
                          </w:rPr>
                          <w:t>Локација</w:t>
                        </w:r>
                        <w:r>
                          <w:rPr>
                            <w:color w:val="231F20"/>
                            <w:spacing w:val="-6"/>
                            <w:sz w:val="18"/>
                          </w:rPr>
                          <w:t> </w:t>
                        </w:r>
                        <w:r>
                          <w:rPr>
                            <w:color w:val="231F20"/>
                            <w:sz w:val="18"/>
                          </w:rPr>
                          <w:t>се налази на вишим деловима Пожаревачке</w:t>
                        </w:r>
                        <w:r>
                          <w:rPr>
                            <w:color w:val="231F20"/>
                            <w:spacing w:val="-8"/>
                            <w:sz w:val="18"/>
                          </w:rPr>
                          <w:t> </w:t>
                        </w:r>
                        <w:r>
                          <w:rPr>
                            <w:color w:val="231F20"/>
                            <w:sz w:val="18"/>
                          </w:rPr>
                          <w:t>греде.</w:t>
                        </w:r>
                      </w:p>
                      <w:p>
                        <w:pPr>
                          <w:pStyle w:val="TableParagraph"/>
                          <w:spacing w:line="237" w:lineRule="auto" w:before="0"/>
                          <w:ind w:left="50" w:right="139" w:firstLine="397"/>
                          <w:jc w:val="both"/>
                          <w:rPr>
                            <w:sz w:val="18"/>
                          </w:rPr>
                        </w:pPr>
                        <w:r>
                          <w:rPr>
                            <w:color w:val="231F20"/>
                            <w:sz w:val="18"/>
                          </w:rPr>
                          <w:t>Друга</w:t>
                        </w:r>
                        <w:r>
                          <w:rPr>
                            <w:color w:val="231F20"/>
                            <w:spacing w:val="-8"/>
                            <w:sz w:val="18"/>
                          </w:rPr>
                          <w:t> </w:t>
                        </w:r>
                        <w:r>
                          <w:rPr>
                            <w:color w:val="231F20"/>
                            <w:sz w:val="18"/>
                          </w:rPr>
                          <w:t>подцелина</w:t>
                        </w:r>
                        <w:r>
                          <w:rPr>
                            <w:color w:val="231F20"/>
                            <w:spacing w:val="-8"/>
                            <w:sz w:val="18"/>
                          </w:rPr>
                          <w:t> </w:t>
                        </w:r>
                        <w:r>
                          <w:rPr>
                            <w:color w:val="231F20"/>
                            <w:sz w:val="18"/>
                          </w:rPr>
                          <w:t>обухвата</w:t>
                        </w:r>
                        <w:r>
                          <w:rPr>
                            <w:color w:val="231F20"/>
                            <w:spacing w:val="-8"/>
                            <w:sz w:val="18"/>
                          </w:rPr>
                          <w:t> </w:t>
                        </w:r>
                        <w:r>
                          <w:rPr>
                            <w:color w:val="231F20"/>
                            <w:sz w:val="18"/>
                          </w:rPr>
                          <w:t>приобалну</w:t>
                        </w:r>
                        <w:r>
                          <w:rPr>
                            <w:color w:val="231F20"/>
                            <w:spacing w:val="-8"/>
                            <w:sz w:val="18"/>
                          </w:rPr>
                          <w:t> </w:t>
                        </w:r>
                        <w:r>
                          <w:rPr>
                            <w:color w:val="231F20"/>
                            <w:sz w:val="18"/>
                          </w:rPr>
                          <w:t>алувијалну</w:t>
                        </w:r>
                        <w:r>
                          <w:rPr>
                            <w:color w:val="231F20"/>
                            <w:spacing w:val="-8"/>
                            <w:sz w:val="18"/>
                          </w:rPr>
                          <w:t> </w:t>
                        </w:r>
                        <w:r>
                          <w:rPr>
                            <w:color w:val="231F20"/>
                            <w:sz w:val="18"/>
                          </w:rPr>
                          <w:t>зараван</w:t>
                        </w:r>
                        <w:r>
                          <w:rPr>
                            <w:color w:val="231F20"/>
                            <w:spacing w:val="-8"/>
                            <w:sz w:val="18"/>
                          </w:rPr>
                          <w:t> </w:t>
                        </w:r>
                        <w:r>
                          <w:rPr>
                            <w:color w:val="231F20"/>
                            <w:sz w:val="18"/>
                          </w:rPr>
                          <w:t>по- ред леве обале реке Млаве, </w:t>
                        </w:r>
                        <w:r>
                          <w:rPr>
                            <w:color w:val="231F20"/>
                            <w:spacing w:val="-3"/>
                            <w:sz w:val="18"/>
                          </w:rPr>
                          <w:t>која </w:t>
                        </w:r>
                        <w:r>
                          <w:rPr>
                            <w:color w:val="231F20"/>
                            <w:sz w:val="18"/>
                          </w:rPr>
                          <w:t>се налази у небрањеном делу </w:t>
                        </w:r>
                        <w:r>
                          <w:rPr>
                            <w:color w:val="231F20"/>
                            <w:spacing w:val="-4"/>
                            <w:sz w:val="18"/>
                          </w:rPr>
                          <w:t>ко- </w:t>
                        </w:r>
                        <w:r>
                          <w:rPr>
                            <w:color w:val="231F20"/>
                            <w:sz w:val="18"/>
                          </w:rPr>
                          <w:t>рита</w:t>
                        </w:r>
                        <w:r>
                          <w:rPr>
                            <w:color w:val="231F20"/>
                            <w:spacing w:val="-5"/>
                            <w:sz w:val="18"/>
                          </w:rPr>
                          <w:t> </w:t>
                        </w:r>
                        <w:r>
                          <w:rPr>
                            <w:color w:val="231F20"/>
                            <w:sz w:val="18"/>
                          </w:rPr>
                          <w:t>реке</w:t>
                        </w:r>
                        <w:r>
                          <w:rPr>
                            <w:color w:val="231F20"/>
                            <w:spacing w:val="-5"/>
                            <w:sz w:val="18"/>
                          </w:rPr>
                          <w:t> </w:t>
                        </w:r>
                        <w:r>
                          <w:rPr>
                            <w:color w:val="231F20"/>
                            <w:sz w:val="18"/>
                          </w:rPr>
                          <w:t>Млаве.</w:t>
                        </w:r>
                        <w:r>
                          <w:rPr>
                            <w:color w:val="231F20"/>
                            <w:spacing w:val="-5"/>
                            <w:sz w:val="18"/>
                          </w:rPr>
                          <w:t> </w:t>
                        </w:r>
                        <w:r>
                          <w:rPr>
                            <w:color w:val="231F20"/>
                            <w:sz w:val="18"/>
                          </w:rPr>
                          <w:t>У</w:t>
                        </w:r>
                        <w:r>
                          <w:rPr>
                            <w:color w:val="231F20"/>
                            <w:spacing w:val="-5"/>
                            <w:sz w:val="18"/>
                          </w:rPr>
                          <w:t> </w:t>
                        </w:r>
                        <w:r>
                          <w:rPr>
                            <w:color w:val="231F20"/>
                            <w:sz w:val="18"/>
                          </w:rPr>
                          <w:t>овој</w:t>
                        </w:r>
                        <w:r>
                          <w:rPr>
                            <w:color w:val="231F20"/>
                            <w:spacing w:val="-5"/>
                            <w:sz w:val="18"/>
                          </w:rPr>
                          <w:t> </w:t>
                        </w:r>
                        <w:r>
                          <w:rPr>
                            <w:color w:val="231F20"/>
                            <w:sz w:val="18"/>
                          </w:rPr>
                          <w:t>потцелини</w:t>
                        </w:r>
                        <w:r>
                          <w:rPr>
                            <w:color w:val="231F20"/>
                            <w:spacing w:val="-5"/>
                            <w:sz w:val="18"/>
                          </w:rPr>
                          <w:t> </w:t>
                        </w:r>
                        <w:r>
                          <w:rPr>
                            <w:color w:val="231F20"/>
                            <w:sz w:val="18"/>
                          </w:rPr>
                          <w:t>предвиђа</w:t>
                        </w:r>
                        <w:r>
                          <w:rPr>
                            <w:color w:val="231F20"/>
                            <w:spacing w:val="-5"/>
                            <w:sz w:val="18"/>
                          </w:rPr>
                          <w:t> </w:t>
                        </w:r>
                        <w:r>
                          <w:rPr>
                            <w:color w:val="231F20"/>
                            <w:sz w:val="18"/>
                          </w:rPr>
                          <w:t>се</w:t>
                        </w:r>
                        <w:r>
                          <w:rPr>
                            <w:color w:val="231F20"/>
                            <w:spacing w:val="-5"/>
                            <w:sz w:val="18"/>
                          </w:rPr>
                          <w:t> </w:t>
                        </w:r>
                        <w:r>
                          <w:rPr>
                            <w:color w:val="231F20"/>
                            <w:sz w:val="18"/>
                          </w:rPr>
                          <w:t>формирање</w:t>
                        </w:r>
                        <w:r>
                          <w:rPr>
                            <w:color w:val="231F20"/>
                            <w:spacing w:val="-5"/>
                            <w:sz w:val="18"/>
                          </w:rPr>
                          <w:t> </w:t>
                        </w:r>
                        <w:r>
                          <w:rPr>
                            <w:color w:val="231F20"/>
                            <w:sz w:val="18"/>
                          </w:rPr>
                          <w:t>засада топола и других врста погодних за производњу биомасе као обно- вљивог извора</w:t>
                        </w:r>
                        <w:r>
                          <w:rPr>
                            <w:color w:val="231F20"/>
                            <w:spacing w:val="-1"/>
                            <w:sz w:val="18"/>
                          </w:rPr>
                          <w:t> </w:t>
                        </w:r>
                        <w:r>
                          <w:rPr>
                            <w:color w:val="231F20"/>
                            <w:sz w:val="18"/>
                          </w:rPr>
                          <w:t>енергије.</w:t>
                        </w:r>
                      </w:p>
                      <w:p>
                        <w:pPr>
                          <w:pStyle w:val="TableParagraph"/>
                          <w:spacing w:line="204" w:lineRule="exact" w:before="0"/>
                          <w:ind w:left="50" w:right="139" w:firstLine="396"/>
                          <w:jc w:val="both"/>
                          <w:rPr>
                            <w:sz w:val="18"/>
                          </w:rPr>
                        </w:pPr>
                        <w:r>
                          <w:rPr>
                            <w:color w:val="231F20"/>
                            <w:sz w:val="18"/>
                          </w:rPr>
                          <w:t>Трећа потцелина обухвата подручје манастира Рукумија, ар- хеолошког локалитета у непосредном окружењу манастира, гро- бља села Брадарац и будућег етнопарка. Предвиђа се пејзажно</w:t>
                        </w:r>
                      </w:p>
                    </w:tc>
                    <w:tc>
                      <w:tcPr>
                        <w:tcW w:w="5294" w:type="dxa"/>
                      </w:tcPr>
                      <w:p>
                        <w:pPr>
                          <w:pStyle w:val="TableParagraph"/>
                          <w:spacing w:line="179" w:lineRule="exact" w:before="0"/>
                          <w:ind w:left="140"/>
                          <w:jc w:val="left"/>
                          <w:rPr>
                            <w:sz w:val="18"/>
                          </w:rPr>
                        </w:pPr>
                        <w:r>
                          <w:rPr>
                            <w:color w:val="231F20"/>
                            <w:sz w:val="18"/>
                          </w:rPr>
                          <w:t>2575, 2579, 2580, 2581, 2582, 2583, 2584 2593, 2595, 2596, 2597,</w:t>
                        </w:r>
                      </w:p>
                      <w:p>
                        <w:pPr>
                          <w:pStyle w:val="TableParagraph"/>
                          <w:spacing w:line="200" w:lineRule="exact" w:before="0"/>
                          <w:ind w:left="140"/>
                          <w:jc w:val="left"/>
                          <w:rPr>
                            <w:sz w:val="18"/>
                          </w:rPr>
                        </w:pPr>
                        <w:r>
                          <w:rPr>
                            <w:color w:val="231F20"/>
                            <w:sz w:val="18"/>
                          </w:rPr>
                          <w:t>2598, 2599;</w:t>
                        </w:r>
                      </w:p>
                      <w:p>
                        <w:pPr>
                          <w:pStyle w:val="TableParagraph"/>
                          <w:spacing w:line="200" w:lineRule="exact" w:before="0"/>
                          <w:ind w:left="537"/>
                          <w:jc w:val="left"/>
                          <w:rPr>
                            <w:sz w:val="18"/>
                          </w:rPr>
                        </w:pPr>
                        <w:r>
                          <w:rPr>
                            <w:color w:val="231F20"/>
                            <w:sz w:val="18"/>
                          </w:rPr>
                          <w:t>КО Кленовник:</w:t>
                        </w:r>
                      </w:p>
                      <w:p>
                        <w:pPr>
                          <w:pStyle w:val="TableParagraph"/>
                          <w:spacing w:line="200" w:lineRule="exact" w:before="0"/>
                          <w:ind w:left="537"/>
                          <w:jc w:val="left"/>
                          <w:rPr>
                            <w:sz w:val="18"/>
                          </w:rPr>
                        </w:pPr>
                        <w:r>
                          <w:rPr>
                            <w:color w:val="231F20"/>
                            <w:sz w:val="18"/>
                          </w:rPr>
                          <w:t>део:</w:t>
                        </w:r>
                        <w:r>
                          <w:rPr>
                            <w:color w:val="231F20"/>
                            <w:spacing w:val="-7"/>
                            <w:sz w:val="18"/>
                          </w:rPr>
                          <w:t> </w:t>
                        </w:r>
                        <w:r>
                          <w:rPr>
                            <w:color w:val="231F20"/>
                            <w:sz w:val="18"/>
                          </w:rPr>
                          <w:t>1417,</w:t>
                        </w:r>
                        <w:r>
                          <w:rPr>
                            <w:color w:val="231F20"/>
                            <w:spacing w:val="-7"/>
                            <w:sz w:val="18"/>
                          </w:rPr>
                          <w:t> </w:t>
                        </w:r>
                        <w:r>
                          <w:rPr>
                            <w:color w:val="231F20"/>
                            <w:sz w:val="18"/>
                          </w:rPr>
                          <w:t>1424,</w:t>
                        </w:r>
                        <w:r>
                          <w:rPr>
                            <w:color w:val="231F20"/>
                            <w:spacing w:val="-7"/>
                            <w:sz w:val="18"/>
                          </w:rPr>
                          <w:t> </w:t>
                        </w:r>
                        <w:r>
                          <w:rPr>
                            <w:color w:val="231F20"/>
                            <w:sz w:val="18"/>
                          </w:rPr>
                          <w:t>1425,</w:t>
                        </w:r>
                        <w:r>
                          <w:rPr>
                            <w:color w:val="231F20"/>
                            <w:spacing w:val="-7"/>
                            <w:sz w:val="18"/>
                          </w:rPr>
                          <w:t> </w:t>
                        </w:r>
                        <w:r>
                          <w:rPr>
                            <w:color w:val="231F20"/>
                            <w:sz w:val="18"/>
                          </w:rPr>
                          <w:t>1430,</w:t>
                        </w:r>
                        <w:r>
                          <w:rPr>
                            <w:color w:val="231F20"/>
                            <w:spacing w:val="-7"/>
                            <w:sz w:val="18"/>
                          </w:rPr>
                          <w:t> </w:t>
                        </w:r>
                        <w:r>
                          <w:rPr>
                            <w:color w:val="231F20"/>
                            <w:sz w:val="18"/>
                          </w:rPr>
                          <w:t>1431,</w:t>
                        </w:r>
                        <w:r>
                          <w:rPr>
                            <w:color w:val="231F20"/>
                            <w:spacing w:val="-7"/>
                            <w:sz w:val="18"/>
                          </w:rPr>
                          <w:t> </w:t>
                        </w:r>
                        <w:r>
                          <w:rPr>
                            <w:color w:val="231F20"/>
                            <w:sz w:val="18"/>
                          </w:rPr>
                          <w:t>1432,</w:t>
                        </w:r>
                        <w:r>
                          <w:rPr>
                            <w:color w:val="231F20"/>
                            <w:spacing w:val="-7"/>
                            <w:sz w:val="18"/>
                          </w:rPr>
                          <w:t> </w:t>
                        </w:r>
                        <w:r>
                          <w:rPr>
                            <w:color w:val="231F20"/>
                            <w:sz w:val="18"/>
                          </w:rPr>
                          <w:t>1433,</w:t>
                        </w:r>
                        <w:r>
                          <w:rPr>
                            <w:color w:val="231F20"/>
                            <w:spacing w:val="-7"/>
                            <w:sz w:val="18"/>
                          </w:rPr>
                          <w:t> </w:t>
                        </w:r>
                        <w:r>
                          <w:rPr>
                            <w:color w:val="231F20"/>
                            <w:sz w:val="18"/>
                          </w:rPr>
                          <w:t>1434,</w:t>
                        </w:r>
                        <w:r>
                          <w:rPr>
                            <w:color w:val="231F20"/>
                            <w:spacing w:val="-7"/>
                            <w:sz w:val="18"/>
                          </w:rPr>
                          <w:t> </w:t>
                        </w:r>
                        <w:r>
                          <w:rPr>
                            <w:color w:val="231F20"/>
                            <w:sz w:val="18"/>
                          </w:rPr>
                          <w:t>1544,1547,</w:t>
                        </w:r>
                      </w:p>
                      <w:p>
                        <w:pPr>
                          <w:pStyle w:val="TableParagraph"/>
                          <w:spacing w:line="200" w:lineRule="exact" w:before="0"/>
                          <w:ind w:left="140"/>
                          <w:jc w:val="left"/>
                          <w:rPr>
                            <w:sz w:val="18"/>
                          </w:rPr>
                        </w:pPr>
                        <w:r>
                          <w:rPr>
                            <w:color w:val="231F20"/>
                            <w:sz w:val="18"/>
                          </w:rPr>
                          <w:t>1553, 1554, 1565, 1566, 1572, 1574, 1576, 1922, 1923, 1924, 1925,</w:t>
                        </w:r>
                      </w:p>
                      <w:p>
                        <w:pPr>
                          <w:pStyle w:val="TableParagraph"/>
                          <w:spacing w:line="200" w:lineRule="exact" w:before="0"/>
                          <w:ind w:left="140"/>
                          <w:jc w:val="left"/>
                          <w:rPr>
                            <w:sz w:val="18"/>
                          </w:rPr>
                        </w:pPr>
                        <w:r>
                          <w:rPr>
                            <w:color w:val="231F20"/>
                            <w:sz w:val="18"/>
                          </w:rPr>
                          <w:t>1926, 1930, 1931, 1932, 1933, 1934, 1935, 1936, 1937, 1938, 1939,</w:t>
                        </w:r>
                      </w:p>
                      <w:p>
                        <w:pPr>
                          <w:pStyle w:val="TableParagraph"/>
                          <w:spacing w:line="200" w:lineRule="exact" w:before="0"/>
                          <w:ind w:left="140"/>
                          <w:jc w:val="left"/>
                          <w:rPr>
                            <w:sz w:val="18"/>
                          </w:rPr>
                        </w:pPr>
                        <w:r>
                          <w:rPr>
                            <w:color w:val="231F20"/>
                            <w:sz w:val="18"/>
                          </w:rPr>
                          <w:t>1940, 1941, 1942, 2092, 2093, 2094, 2095, 2096, 2097, 2098, 2099,</w:t>
                        </w:r>
                      </w:p>
                      <w:p>
                        <w:pPr>
                          <w:pStyle w:val="TableParagraph"/>
                          <w:spacing w:line="200" w:lineRule="exact" w:before="0"/>
                          <w:ind w:left="140"/>
                          <w:jc w:val="left"/>
                          <w:rPr>
                            <w:sz w:val="18"/>
                          </w:rPr>
                        </w:pPr>
                        <w:r>
                          <w:rPr>
                            <w:color w:val="231F20"/>
                            <w:sz w:val="18"/>
                          </w:rPr>
                          <w:t>2108, 2109, 2110, 2118, 2119, 2120, 2121, 2122, 2256, 2257, 2258,</w:t>
                        </w:r>
                      </w:p>
                      <w:p>
                        <w:pPr>
                          <w:pStyle w:val="TableParagraph"/>
                          <w:spacing w:line="200" w:lineRule="exact" w:before="0"/>
                          <w:ind w:left="140"/>
                          <w:jc w:val="left"/>
                          <w:rPr>
                            <w:sz w:val="18"/>
                          </w:rPr>
                        </w:pPr>
                        <w:r>
                          <w:rPr>
                            <w:color w:val="231F20"/>
                            <w:sz w:val="18"/>
                          </w:rPr>
                          <w:t>2260, 2261, 2907,</w:t>
                        </w:r>
                      </w:p>
                      <w:p>
                        <w:pPr>
                          <w:pStyle w:val="TableParagraph"/>
                          <w:spacing w:line="200" w:lineRule="exact" w:before="0"/>
                          <w:ind w:left="537"/>
                          <w:jc w:val="left"/>
                          <w:rPr>
                            <w:sz w:val="18"/>
                          </w:rPr>
                        </w:pPr>
                        <w:r>
                          <w:rPr>
                            <w:color w:val="231F20"/>
                            <w:sz w:val="18"/>
                          </w:rPr>
                          <w:t>целе: 1435, 1436, 1437, 1438, 1439/1, 1439/2, 1440, 1441, 1442,</w:t>
                        </w:r>
                      </w:p>
                      <w:p>
                        <w:pPr>
                          <w:pStyle w:val="TableParagraph"/>
                          <w:spacing w:line="200" w:lineRule="exact" w:before="0"/>
                          <w:ind w:left="140"/>
                          <w:jc w:val="left"/>
                          <w:rPr>
                            <w:sz w:val="18"/>
                          </w:rPr>
                        </w:pPr>
                        <w:r>
                          <w:rPr>
                            <w:color w:val="231F20"/>
                            <w:sz w:val="18"/>
                          </w:rPr>
                          <w:t>1443, 1444, 1445, 1446, 1447, 1448, 1449, 1450, 1451, 1452, 1453,</w:t>
                        </w:r>
                      </w:p>
                      <w:p>
                        <w:pPr>
                          <w:pStyle w:val="TableParagraph"/>
                          <w:spacing w:line="200" w:lineRule="exact" w:before="0"/>
                          <w:ind w:left="140"/>
                          <w:jc w:val="left"/>
                          <w:rPr>
                            <w:sz w:val="18"/>
                          </w:rPr>
                        </w:pPr>
                        <w:r>
                          <w:rPr>
                            <w:color w:val="231F20"/>
                            <w:sz w:val="18"/>
                          </w:rPr>
                          <w:t>1454, 1455, 1456, 1457, 1458, 1459, 1460, 1461, 1462, 1463, 1464,</w:t>
                        </w:r>
                      </w:p>
                      <w:p>
                        <w:pPr>
                          <w:pStyle w:val="TableParagraph"/>
                          <w:spacing w:line="200" w:lineRule="exact" w:before="0"/>
                          <w:ind w:left="140"/>
                          <w:jc w:val="left"/>
                          <w:rPr>
                            <w:sz w:val="18"/>
                          </w:rPr>
                        </w:pPr>
                        <w:r>
                          <w:rPr>
                            <w:color w:val="231F20"/>
                            <w:sz w:val="18"/>
                          </w:rPr>
                          <w:t>1465, 1466, 1467, 1468, 1469, 1470, 1471, 1472, 1473, 1474, 1475,</w:t>
                        </w:r>
                      </w:p>
                      <w:p>
                        <w:pPr>
                          <w:pStyle w:val="TableParagraph"/>
                          <w:spacing w:line="200" w:lineRule="exact" w:before="0"/>
                          <w:ind w:left="140"/>
                          <w:jc w:val="left"/>
                          <w:rPr>
                            <w:sz w:val="18"/>
                          </w:rPr>
                        </w:pPr>
                        <w:r>
                          <w:rPr>
                            <w:color w:val="231F20"/>
                            <w:sz w:val="18"/>
                          </w:rPr>
                          <w:t>1476, 1477, 1478, 1479, 1480, 1481, 1482, 1483, 1484, 1485, 1486,</w:t>
                        </w:r>
                      </w:p>
                      <w:p>
                        <w:pPr>
                          <w:pStyle w:val="TableParagraph"/>
                          <w:spacing w:line="200" w:lineRule="exact" w:before="0"/>
                          <w:ind w:left="140"/>
                          <w:jc w:val="left"/>
                          <w:rPr>
                            <w:sz w:val="18"/>
                          </w:rPr>
                        </w:pPr>
                        <w:r>
                          <w:rPr>
                            <w:color w:val="231F20"/>
                            <w:sz w:val="18"/>
                          </w:rPr>
                          <w:t>1487, 1488, 1489, 1490, 1491, 1492, 1493, 1494, 1495, 1496, 1497,</w:t>
                        </w:r>
                      </w:p>
                      <w:p>
                        <w:pPr>
                          <w:pStyle w:val="TableParagraph"/>
                          <w:spacing w:line="200" w:lineRule="exact" w:before="0"/>
                          <w:ind w:left="140"/>
                          <w:jc w:val="left"/>
                          <w:rPr>
                            <w:sz w:val="18"/>
                          </w:rPr>
                        </w:pPr>
                        <w:r>
                          <w:rPr>
                            <w:color w:val="231F20"/>
                            <w:sz w:val="18"/>
                          </w:rPr>
                          <w:t>1498, 1499, 1500, 1501, 1502, 1503, 1504, 1505, 1506, 1507, 1508,</w:t>
                        </w:r>
                      </w:p>
                      <w:p>
                        <w:pPr>
                          <w:pStyle w:val="TableParagraph"/>
                          <w:spacing w:line="200" w:lineRule="exact" w:before="0"/>
                          <w:ind w:left="140"/>
                          <w:jc w:val="left"/>
                          <w:rPr>
                            <w:sz w:val="18"/>
                          </w:rPr>
                        </w:pPr>
                        <w:r>
                          <w:rPr>
                            <w:color w:val="231F20"/>
                            <w:sz w:val="18"/>
                          </w:rPr>
                          <w:t>1509, 1510, 1511, 1512, 1513, 1514, 1515, 1516, 1517, 1518, 1519,</w:t>
                        </w:r>
                      </w:p>
                      <w:p>
                        <w:pPr>
                          <w:pStyle w:val="TableParagraph"/>
                          <w:spacing w:line="200" w:lineRule="exact" w:before="0"/>
                          <w:ind w:left="140"/>
                          <w:jc w:val="left"/>
                          <w:rPr>
                            <w:sz w:val="18"/>
                          </w:rPr>
                        </w:pPr>
                        <w:r>
                          <w:rPr>
                            <w:color w:val="231F20"/>
                            <w:sz w:val="18"/>
                          </w:rPr>
                          <w:t>1520, 1521, 1522, 1523, 1524, 1525, 1526, 1527, 1528, 1529, 1530,</w:t>
                        </w:r>
                      </w:p>
                      <w:p>
                        <w:pPr>
                          <w:pStyle w:val="TableParagraph"/>
                          <w:spacing w:line="200" w:lineRule="exact" w:before="0"/>
                          <w:ind w:left="140"/>
                          <w:jc w:val="left"/>
                          <w:rPr>
                            <w:sz w:val="18"/>
                          </w:rPr>
                        </w:pPr>
                        <w:r>
                          <w:rPr>
                            <w:color w:val="231F20"/>
                            <w:sz w:val="18"/>
                          </w:rPr>
                          <w:t>1531, 1532, 1533, 1534, 1535, 1536, 1537, 1538, 1539, 1540, 1541,</w:t>
                        </w:r>
                      </w:p>
                      <w:p>
                        <w:pPr>
                          <w:pStyle w:val="TableParagraph"/>
                          <w:spacing w:line="200" w:lineRule="exact" w:before="0"/>
                          <w:ind w:left="140"/>
                          <w:jc w:val="left"/>
                          <w:rPr>
                            <w:sz w:val="18"/>
                          </w:rPr>
                        </w:pPr>
                        <w:r>
                          <w:rPr>
                            <w:color w:val="231F20"/>
                            <w:sz w:val="18"/>
                          </w:rPr>
                          <w:t>1542, 1543, 1545, 1546, 1555, 1556, 1557, 1558, 1559, 1560, 1561,</w:t>
                        </w:r>
                      </w:p>
                      <w:p>
                        <w:pPr>
                          <w:pStyle w:val="TableParagraph"/>
                          <w:spacing w:line="200" w:lineRule="exact" w:before="0"/>
                          <w:ind w:left="140"/>
                          <w:jc w:val="left"/>
                          <w:rPr>
                            <w:sz w:val="18"/>
                          </w:rPr>
                        </w:pPr>
                        <w:r>
                          <w:rPr>
                            <w:color w:val="231F20"/>
                            <w:sz w:val="18"/>
                          </w:rPr>
                          <w:t>1562/1, 1562/2, 1563/1, 1563/2, 1564,1575,1943, 1944, 1945, 1946,</w:t>
                        </w:r>
                      </w:p>
                      <w:p>
                        <w:pPr>
                          <w:pStyle w:val="TableParagraph"/>
                          <w:spacing w:line="200" w:lineRule="exact" w:before="0"/>
                          <w:ind w:left="140"/>
                          <w:jc w:val="left"/>
                          <w:rPr>
                            <w:sz w:val="18"/>
                          </w:rPr>
                        </w:pPr>
                        <w:r>
                          <w:rPr>
                            <w:color w:val="231F20"/>
                            <w:sz w:val="18"/>
                          </w:rPr>
                          <w:t>1947, 1948, 1949, 1950, 1951, 1952, 1953, 1954, 1955, 1956, 1957,</w:t>
                        </w:r>
                      </w:p>
                      <w:p>
                        <w:pPr>
                          <w:pStyle w:val="TableParagraph"/>
                          <w:spacing w:line="200" w:lineRule="exact" w:before="0"/>
                          <w:ind w:left="140"/>
                          <w:jc w:val="left"/>
                          <w:rPr>
                            <w:sz w:val="18"/>
                          </w:rPr>
                        </w:pPr>
                        <w:r>
                          <w:rPr>
                            <w:color w:val="231F20"/>
                            <w:sz w:val="18"/>
                          </w:rPr>
                          <w:t>1958, 1959, 1960, 1961, 1962, 1963, 1964, 1965, 1966, 1967, 1968,</w:t>
                        </w:r>
                      </w:p>
                      <w:p>
                        <w:pPr>
                          <w:pStyle w:val="TableParagraph"/>
                          <w:spacing w:line="200" w:lineRule="exact" w:before="0"/>
                          <w:ind w:left="140"/>
                          <w:jc w:val="left"/>
                          <w:rPr>
                            <w:sz w:val="18"/>
                          </w:rPr>
                        </w:pPr>
                        <w:r>
                          <w:rPr>
                            <w:color w:val="231F20"/>
                            <w:sz w:val="18"/>
                          </w:rPr>
                          <w:t>1969, 1970, 1971, 1972, 1973, 1974, 1975, 1976, 1977, 1978, 1979,</w:t>
                        </w:r>
                      </w:p>
                      <w:p>
                        <w:pPr>
                          <w:pStyle w:val="TableParagraph"/>
                          <w:spacing w:line="200" w:lineRule="exact" w:before="0"/>
                          <w:ind w:left="140"/>
                          <w:jc w:val="left"/>
                          <w:rPr>
                            <w:sz w:val="18"/>
                          </w:rPr>
                        </w:pPr>
                        <w:r>
                          <w:rPr>
                            <w:color w:val="231F20"/>
                            <w:sz w:val="18"/>
                          </w:rPr>
                          <w:t>1980, 1981, 1982, 1984, 1985, 1986, 1987, 1988, 1989, 1990, 1991,</w:t>
                        </w:r>
                      </w:p>
                      <w:p>
                        <w:pPr>
                          <w:pStyle w:val="TableParagraph"/>
                          <w:spacing w:line="200" w:lineRule="exact" w:before="0"/>
                          <w:ind w:left="140"/>
                          <w:jc w:val="left"/>
                          <w:rPr>
                            <w:sz w:val="18"/>
                          </w:rPr>
                        </w:pPr>
                        <w:r>
                          <w:rPr>
                            <w:color w:val="231F20"/>
                            <w:sz w:val="18"/>
                          </w:rPr>
                          <w:t>1992, 1993, 1994, 1995, 1996, 1997, 1998, 1999, 2000, 2001, 2002,</w:t>
                        </w:r>
                      </w:p>
                      <w:p>
                        <w:pPr>
                          <w:pStyle w:val="TableParagraph"/>
                          <w:spacing w:line="200" w:lineRule="exact" w:before="0"/>
                          <w:ind w:left="140"/>
                          <w:jc w:val="left"/>
                          <w:rPr>
                            <w:sz w:val="18"/>
                          </w:rPr>
                        </w:pPr>
                        <w:r>
                          <w:rPr>
                            <w:color w:val="231F20"/>
                            <w:sz w:val="18"/>
                          </w:rPr>
                          <w:t>2003, 2004, 2005, 2006, 2007, 2021, 2022, 2023, 2024, 2025, 2026,</w:t>
                        </w:r>
                      </w:p>
                      <w:p>
                        <w:pPr>
                          <w:pStyle w:val="TableParagraph"/>
                          <w:spacing w:line="200" w:lineRule="exact" w:before="0"/>
                          <w:ind w:left="140"/>
                          <w:jc w:val="left"/>
                          <w:rPr>
                            <w:sz w:val="18"/>
                          </w:rPr>
                        </w:pPr>
                        <w:r>
                          <w:rPr>
                            <w:color w:val="231F20"/>
                            <w:sz w:val="18"/>
                          </w:rPr>
                          <w:t>2027, 2028, 2029, 2030, 2031, 2032, 2033, 2034, 2035, 2036, 2037,</w:t>
                        </w:r>
                      </w:p>
                      <w:p>
                        <w:pPr>
                          <w:pStyle w:val="TableParagraph"/>
                          <w:spacing w:line="200" w:lineRule="exact" w:before="0"/>
                          <w:ind w:left="140"/>
                          <w:jc w:val="left"/>
                          <w:rPr>
                            <w:sz w:val="18"/>
                          </w:rPr>
                        </w:pPr>
                        <w:r>
                          <w:rPr>
                            <w:color w:val="231F20"/>
                            <w:sz w:val="18"/>
                          </w:rPr>
                          <w:t>2038, 2039, 2040, 2041, 2042, 2043, 2044, 2045, 2046, 2047, 2048,</w:t>
                        </w:r>
                      </w:p>
                      <w:p>
                        <w:pPr>
                          <w:pStyle w:val="TableParagraph"/>
                          <w:spacing w:line="200" w:lineRule="exact" w:before="0"/>
                          <w:ind w:left="140"/>
                          <w:jc w:val="left"/>
                          <w:rPr>
                            <w:sz w:val="18"/>
                          </w:rPr>
                        </w:pPr>
                        <w:r>
                          <w:rPr>
                            <w:color w:val="231F20"/>
                            <w:sz w:val="18"/>
                          </w:rPr>
                          <w:t>2049, 2050, 2051, 2052, 2053, 2054, 2055, 2056, 2057, 2058, 2059,</w:t>
                        </w:r>
                      </w:p>
                      <w:p>
                        <w:pPr>
                          <w:pStyle w:val="TableParagraph"/>
                          <w:spacing w:line="204" w:lineRule="exact" w:before="0"/>
                          <w:ind w:left="140"/>
                          <w:jc w:val="left"/>
                          <w:rPr>
                            <w:sz w:val="18"/>
                          </w:rPr>
                        </w:pPr>
                        <w:r>
                          <w:rPr>
                            <w:color w:val="231F20"/>
                            <w:sz w:val="18"/>
                          </w:rPr>
                          <w:t>2060, 2061, 2062, 2063, 2064, 2065, 2066, 2067, 2068, 2069, 2070,</w:t>
                        </w:r>
                      </w:p>
                      <w:p>
                        <w:pPr>
                          <w:pStyle w:val="TableParagraph"/>
                          <w:spacing w:before="9"/>
                          <w:jc w:val="left"/>
                          <w:rPr>
                            <w:sz w:val="16"/>
                          </w:rPr>
                        </w:pPr>
                      </w:p>
                      <w:p>
                        <w:pPr>
                          <w:pStyle w:val="TableParagraph"/>
                          <w:spacing w:before="0"/>
                          <w:ind w:left="140"/>
                          <w:jc w:val="left"/>
                          <w:rPr>
                            <w:sz w:val="18"/>
                          </w:rPr>
                        </w:pPr>
                        <w:r>
                          <w:rPr>
                            <w:color w:val="231F20"/>
                            <w:sz w:val="18"/>
                          </w:rPr>
                          <w:t>2082, 2083, 2084, 2085, 2086, 2087, 2088, 2089, 2090, 2091, 2100,</w:t>
                        </w:r>
                      </w:p>
                    </w:tc>
                  </w:tr>
                  <w:tr>
                    <w:trPr>
                      <w:trHeight w:val="228" w:hRule="atLeast"/>
                    </w:trPr>
                    <w:tc>
                      <w:tcPr>
                        <w:tcW w:w="5295" w:type="dxa"/>
                      </w:tcPr>
                      <w:p>
                        <w:pPr>
                          <w:pStyle w:val="TableParagraph"/>
                          <w:spacing w:line="199" w:lineRule="exact" w:before="0"/>
                          <w:ind w:left="50"/>
                          <w:jc w:val="left"/>
                          <w:rPr>
                            <w:sz w:val="18"/>
                          </w:rPr>
                        </w:pPr>
                        <w:r>
                          <w:rPr>
                            <w:color w:val="231F20"/>
                            <w:sz w:val="18"/>
                          </w:rPr>
                          <w:t>уређење простора око манастира и формирање садржаја на сусед-</w:t>
                        </w:r>
                      </w:p>
                    </w:tc>
                    <w:tc>
                      <w:tcPr>
                        <w:tcW w:w="5294" w:type="dxa"/>
                      </w:tcPr>
                      <w:p>
                        <w:pPr>
                          <w:pStyle w:val="TableParagraph"/>
                          <w:spacing w:line="163" w:lineRule="exact" w:before="45"/>
                          <w:ind w:right="48"/>
                          <w:rPr>
                            <w:sz w:val="18"/>
                          </w:rPr>
                        </w:pPr>
                        <w:r>
                          <w:rPr>
                            <w:color w:val="231F20"/>
                            <w:sz w:val="18"/>
                          </w:rPr>
                          <w:t>2127, 2128, 2129, 2130, 2131, 2132, 2133, 2134, 2135, 2136, 2137,</w:t>
                        </w:r>
                      </w:p>
                    </w:tc>
                  </w:tr>
                  <w:tr>
                    <w:trPr>
                      <w:trHeight w:val="202" w:hRule="atLeast"/>
                    </w:trPr>
                    <w:tc>
                      <w:tcPr>
                        <w:tcW w:w="5295" w:type="dxa"/>
                      </w:tcPr>
                      <w:p>
                        <w:pPr>
                          <w:pStyle w:val="TableParagraph"/>
                          <w:spacing w:line="176" w:lineRule="exact" w:before="0"/>
                          <w:ind w:left="50"/>
                          <w:jc w:val="left"/>
                          <w:rPr>
                            <w:sz w:val="18"/>
                          </w:rPr>
                        </w:pPr>
                        <w:r>
                          <w:rPr>
                            <w:color w:val="231F20"/>
                            <w:sz w:val="18"/>
                          </w:rPr>
                          <w:t>ном платоу који доприносе очувању културних и традиционалних</w:t>
                        </w:r>
                      </w:p>
                    </w:tc>
                    <w:tc>
                      <w:tcPr>
                        <w:tcW w:w="5294" w:type="dxa"/>
                      </w:tcPr>
                      <w:p>
                        <w:pPr>
                          <w:pStyle w:val="TableParagraph"/>
                          <w:spacing w:line="165" w:lineRule="exact" w:before="17"/>
                          <w:ind w:right="48"/>
                          <w:rPr>
                            <w:sz w:val="18"/>
                          </w:rPr>
                        </w:pPr>
                        <w:r>
                          <w:rPr>
                            <w:color w:val="231F20"/>
                            <w:sz w:val="18"/>
                          </w:rPr>
                          <w:t>2138, 2139, 2140, 2141, 2142, 2143, 2144, 2145, 2146, 2147, 2148,</w:t>
                        </w:r>
                      </w:p>
                    </w:tc>
                  </w:tr>
                  <w:tr>
                    <w:trPr>
                      <w:trHeight w:val="202" w:hRule="atLeast"/>
                    </w:trPr>
                    <w:tc>
                      <w:tcPr>
                        <w:tcW w:w="5295" w:type="dxa"/>
                      </w:tcPr>
                      <w:p>
                        <w:pPr>
                          <w:pStyle w:val="TableParagraph"/>
                          <w:spacing w:line="178" w:lineRule="exact" w:before="0"/>
                          <w:ind w:left="50"/>
                          <w:jc w:val="left"/>
                          <w:rPr>
                            <w:sz w:val="18"/>
                          </w:rPr>
                        </w:pPr>
                        <w:r>
                          <w:rPr>
                            <w:color w:val="231F20"/>
                            <w:sz w:val="18"/>
                          </w:rPr>
                          <w:t>вредности овог краја и стварању амбијента за културне и уметнич-</w:t>
                        </w:r>
                      </w:p>
                    </w:tc>
                    <w:tc>
                      <w:tcPr>
                        <w:tcW w:w="5294" w:type="dxa"/>
                      </w:tcPr>
                      <w:p>
                        <w:pPr>
                          <w:pStyle w:val="TableParagraph"/>
                          <w:spacing w:line="168" w:lineRule="exact" w:before="15"/>
                          <w:ind w:right="48"/>
                          <w:rPr>
                            <w:sz w:val="18"/>
                          </w:rPr>
                        </w:pPr>
                        <w:r>
                          <w:rPr>
                            <w:color w:val="231F20"/>
                            <w:sz w:val="18"/>
                          </w:rPr>
                          <w:t>2149, 2150, 2151, 2152, 2153, 2154, 2155, 2156, 2157, 2158, 2159,</w:t>
                        </w:r>
                      </w:p>
                    </w:tc>
                  </w:tr>
                  <w:tr>
                    <w:trPr>
                      <w:trHeight w:val="202" w:hRule="atLeast"/>
                    </w:trPr>
                    <w:tc>
                      <w:tcPr>
                        <w:tcW w:w="5295" w:type="dxa"/>
                      </w:tcPr>
                      <w:p>
                        <w:pPr>
                          <w:pStyle w:val="TableParagraph"/>
                          <w:spacing w:line="180" w:lineRule="exact" w:before="0"/>
                          <w:ind w:left="50"/>
                          <w:jc w:val="left"/>
                          <w:rPr>
                            <w:sz w:val="18"/>
                          </w:rPr>
                        </w:pPr>
                        <w:r>
                          <w:rPr>
                            <w:color w:val="231F20"/>
                            <w:sz w:val="18"/>
                          </w:rPr>
                          <w:t>ке активности (етнопарк) и обезбеђење просторних услова за на-</w:t>
                        </w:r>
                      </w:p>
                    </w:tc>
                    <w:tc>
                      <w:tcPr>
                        <w:tcW w:w="5294" w:type="dxa"/>
                      </w:tcPr>
                      <w:p>
                        <w:pPr>
                          <w:pStyle w:val="TableParagraph"/>
                          <w:spacing w:line="170" w:lineRule="exact" w:before="12"/>
                          <w:ind w:right="48"/>
                          <w:rPr>
                            <w:sz w:val="18"/>
                          </w:rPr>
                        </w:pPr>
                        <w:r>
                          <w:rPr>
                            <w:color w:val="231F20"/>
                            <w:sz w:val="18"/>
                          </w:rPr>
                          <w:t>2160, 2161, 2162, 2163, 2164, 2165, 2166, 2167, 2168, 2169, 2170,</w:t>
                        </w:r>
                      </w:p>
                    </w:tc>
                  </w:tr>
                  <w:tr>
                    <w:trPr>
                      <w:trHeight w:val="202" w:hRule="atLeast"/>
                    </w:trPr>
                    <w:tc>
                      <w:tcPr>
                        <w:tcW w:w="5295" w:type="dxa"/>
                      </w:tcPr>
                      <w:p>
                        <w:pPr>
                          <w:pStyle w:val="TableParagraph"/>
                          <w:spacing w:line="182" w:lineRule="exact" w:before="0"/>
                          <w:ind w:left="50"/>
                          <w:jc w:val="left"/>
                          <w:rPr>
                            <w:sz w:val="18"/>
                          </w:rPr>
                        </w:pPr>
                        <w:r>
                          <w:rPr>
                            <w:color w:val="231F20"/>
                            <w:sz w:val="18"/>
                          </w:rPr>
                          <w:t>ставак истраживања на археолошком локалитету.</w:t>
                        </w:r>
                      </w:p>
                    </w:tc>
                    <w:tc>
                      <w:tcPr>
                        <w:tcW w:w="5294" w:type="dxa"/>
                      </w:tcPr>
                      <w:p>
                        <w:pPr>
                          <w:pStyle w:val="TableParagraph"/>
                          <w:spacing w:line="172" w:lineRule="exact" w:before="10"/>
                          <w:ind w:right="48"/>
                          <w:rPr>
                            <w:sz w:val="18"/>
                          </w:rPr>
                        </w:pPr>
                        <w:r>
                          <w:rPr>
                            <w:color w:val="231F20"/>
                            <w:sz w:val="18"/>
                          </w:rPr>
                          <w:t>2171, 2172, 2173, 2174, 2175, 2176, 2177, 2178, 2179, 2180, 2181,</w:t>
                        </w:r>
                      </w:p>
                    </w:tc>
                  </w:tr>
                  <w:tr>
                    <w:trPr>
                      <w:trHeight w:val="202" w:hRule="atLeast"/>
                    </w:trPr>
                    <w:tc>
                      <w:tcPr>
                        <w:tcW w:w="5295" w:type="dxa"/>
                      </w:tcPr>
                      <w:p>
                        <w:pPr>
                          <w:pStyle w:val="TableParagraph"/>
                          <w:spacing w:line="182" w:lineRule="exact" w:before="0"/>
                          <w:ind w:right="139"/>
                          <w:rPr>
                            <w:sz w:val="18"/>
                          </w:rPr>
                        </w:pPr>
                        <w:r>
                          <w:rPr>
                            <w:color w:val="231F20"/>
                            <w:sz w:val="18"/>
                          </w:rPr>
                          <w:t>Четврту потцелину условно чине део технолошког коридора</w:t>
                        </w:r>
                      </w:p>
                    </w:tc>
                    <w:tc>
                      <w:tcPr>
                        <w:tcW w:w="5294" w:type="dxa"/>
                      </w:tcPr>
                      <w:p>
                        <w:pPr>
                          <w:pStyle w:val="TableParagraph"/>
                          <w:spacing w:line="174" w:lineRule="exact" w:before="8"/>
                          <w:ind w:right="48"/>
                          <w:rPr>
                            <w:sz w:val="18"/>
                          </w:rPr>
                        </w:pPr>
                        <w:r>
                          <w:rPr>
                            <w:color w:val="231F20"/>
                            <w:sz w:val="18"/>
                          </w:rPr>
                          <w:t>2182, 2183, 2184, 2185, 2186, 2187, 2188, 2189, 2190, 2191, 2192,</w:t>
                        </w:r>
                      </w:p>
                    </w:tc>
                  </w:tr>
                  <w:tr>
                    <w:trPr>
                      <w:trHeight w:val="202" w:hRule="atLeast"/>
                    </w:trPr>
                    <w:tc>
                      <w:tcPr>
                        <w:tcW w:w="5295" w:type="dxa"/>
                      </w:tcPr>
                      <w:p>
                        <w:pPr>
                          <w:pStyle w:val="TableParagraph"/>
                          <w:spacing w:line="182" w:lineRule="exact" w:before="0"/>
                          <w:ind w:left="50"/>
                          <w:jc w:val="left"/>
                          <w:rPr>
                            <w:sz w:val="18"/>
                          </w:rPr>
                        </w:pPr>
                        <w:r>
                          <w:rPr>
                            <w:color w:val="231F20"/>
                            <w:sz w:val="18"/>
                          </w:rPr>
                          <w:t>за транспорт пепела и шљаке из термоелектрана „Костолац А и Б”</w:t>
                        </w:r>
                      </w:p>
                    </w:tc>
                    <w:tc>
                      <w:tcPr>
                        <w:tcW w:w="5294" w:type="dxa"/>
                      </w:tcPr>
                      <w:p>
                        <w:pPr>
                          <w:pStyle w:val="TableParagraph"/>
                          <w:spacing w:line="176" w:lineRule="exact" w:before="6"/>
                          <w:ind w:right="48"/>
                          <w:rPr>
                            <w:sz w:val="18"/>
                          </w:rPr>
                        </w:pPr>
                        <w:r>
                          <w:rPr>
                            <w:color w:val="231F20"/>
                            <w:sz w:val="18"/>
                          </w:rPr>
                          <w:t>2193, 2194, 2195, 2196, 2197, 2198, 2199, 2200, 2201, 2202, 2203,</w:t>
                        </w:r>
                      </w:p>
                    </w:tc>
                  </w:tr>
                  <w:tr>
                    <w:trPr>
                      <w:trHeight w:val="202" w:hRule="atLeast"/>
                    </w:trPr>
                    <w:tc>
                      <w:tcPr>
                        <w:tcW w:w="5295" w:type="dxa"/>
                      </w:tcPr>
                      <w:p>
                        <w:pPr>
                          <w:pStyle w:val="TableParagraph"/>
                          <w:spacing w:line="182" w:lineRule="exact" w:before="0"/>
                          <w:ind w:left="51"/>
                          <w:jc w:val="left"/>
                          <w:rPr>
                            <w:sz w:val="18"/>
                          </w:rPr>
                        </w:pPr>
                        <w:r>
                          <w:rPr>
                            <w:color w:val="231F20"/>
                            <w:sz w:val="18"/>
                          </w:rPr>
                          <w:t>до депоније у површинском копу „Ћириковац” и део коридора за</w:t>
                        </w:r>
                      </w:p>
                    </w:tc>
                    <w:tc>
                      <w:tcPr>
                        <w:tcW w:w="5294" w:type="dxa"/>
                      </w:tcPr>
                      <w:p>
                        <w:pPr>
                          <w:pStyle w:val="TableParagraph"/>
                          <w:spacing w:line="178" w:lineRule="exact" w:before="4"/>
                          <w:ind w:right="49"/>
                          <w:rPr>
                            <w:sz w:val="18"/>
                          </w:rPr>
                        </w:pPr>
                        <w:r>
                          <w:rPr>
                            <w:color w:val="231F20"/>
                            <w:sz w:val="18"/>
                          </w:rPr>
                          <w:t>2204, 2205, 2206, 2207, 2208, 2209, 2210, 2211, 2212, 2213, 2214,</w:t>
                        </w:r>
                      </w:p>
                    </w:tc>
                  </w:tr>
                  <w:tr>
                    <w:trPr>
                      <w:trHeight w:val="202" w:hRule="atLeast"/>
                    </w:trPr>
                    <w:tc>
                      <w:tcPr>
                        <w:tcW w:w="5295" w:type="dxa"/>
                      </w:tcPr>
                      <w:p>
                        <w:pPr>
                          <w:pStyle w:val="TableParagraph"/>
                          <w:spacing w:line="182" w:lineRule="exact" w:before="0"/>
                          <w:ind w:left="50"/>
                          <w:jc w:val="left"/>
                          <w:rPr>
                            <w:sz w:val="18"/>
                          </w:rPr>
                        </w:pPr>
                        <w:r>
                          <w:rPr>
                            <w:color w:val="231F20"/>
                            <w:sz w:val="18"/>
                          </w:rPr>
                          <w:t>транспорт рударске механизације између копова „Ћириковац” и</w:t>
                        </w:r>
                      </w:p>
                    </w:tc>
                    <w:tc>
                      <w:tcPr>
                        <w:tcW w:w="5294" w:type="dxa"/>
                      </w:tcPr>
                      <w:p>
                        <w:pPr>
                          <w:pStyle w:val="TableParagraph"/>
                          <w:spacing w:line="180" w:lineRule="exact" w:before="2"/>
                          <w:ind w:right="48"/>
                          <w:rPr>
                            <w:sz w:val="18"/>
                          </w:rPr>
                        </w:pPr>
                        <w:r>
                          <w:rPr>
                            <w:color w:val="231F20"/>
                            <w:sz w:val="18"/>
                          </w:rPr>
                          <w:t>2215, 2216, 2217, 2218, 2219, 2221, 2222, 2223, 2224, 2225, 2226,</w:t>
                        </w:r>
                      </w:p>
                    </w:tc>
                  </w:tr>
                  <w:tr>
                    <w:trPr>
                      <w:trHeight w:val="202" w:hRule="atLeast"/>
                    </w:trPr>
                    <w:tc>
                      <w:tcPr>
                        <w:tcW w:w="5295" w:type="dxa"/>
                      </w:tcPr>
                      <w:p>
                        <w:pPr>
                          <w:pStyle w:val="TableParagraph"/>
                          <w:spacing w:line="182" w:lineRule="exact" w:before="0"/>
                          <w:ind w:left="50"/>
                          <w:jc w:val="left"/>
                          <w:rPr>
                            <w:sz w:val="18"/>
                          </w:rPr>
                        </w:pPr>
                        <w:r>
                          <w:rPr>
                            <w:color w:val="231F20"/>
                            <w:sz w:val="18"/>
                          </w:rPr>
                          <w:t>„Дрмно” за које су правила изградње и правила уређења простора</w:t>
                        </w:r>
                      </w:p>
                    </w:tc>
                    <w:tc>
                      <w:tcPr>
                        <w:tcW w:w="5294" w:type="dxa"/>
                      </w:tcPr>
                      <w:p>
                        <w:pPr>
                          <w:pStyle w:val="TableParagraph"/>
                          <w:spacing w:line="182" w:lineRule="exact" w:before="0"/>
                          <w:ind w:right="48"/>
                          <w:rPr>
                            <w:sz w:val="18"/>
                          </w:rPr>
                        </w:pPr>
                        <w:r>
                          <w:rPr>
                            <w:color w:val="231F20"/>
                            <w:sz w:val="18"/>
                          </w:rPr>
                          <w:t>2227, 2228, 2229, 2230, 2231, 2232, 2233, 2234, 2235, 2236, 2237,</w:t>
                        </w:r>
                      </w:p>
                    </w:tc>
                  </w:tr>
                  <w:tr>
                    <w:trPr>
                      <w:trHeight w:val="779" w:hRule="atLeast"/>
                    </w:trPr>
                    <w:tc>
                      <w:tcPr>
                        <w:tcW w:w="5295" w:type="dxa"/>
                      </w:tcPr>
                      <w:p>
                        <w:pPr>
                          <w:pStyle w:val="TableParagraph"/>
                          <w:spacing w:line="195" w:lineRule="exact" w:before="0"/>
                          <w:ind w:left="50"/>
                          <w:jc w:val="left"/>
                          <w:rPr>
                            <w:sz w:val="18"/>
                          </w:rPr>
                        </w:pPr>
                        <w:r>
                          <w:rPr>
                            <w:color w:val="231F20"/>
                            <w:sz w:val="18"/>
                          </w:rPr>
                          <w:t>утврђена у посебним поглављима (3,6 и 8).</w:t>
                        </w:r>
                      </w:p>
                      <w:p>
                        <w:pPr>
                          <w:pStyle w:val="TableParagraph"/>
                          <w:spacing w:before="167"/>
                          <w:ind w:left="807"/>
                          <w:jc w:val="left"/>
                          <w:rPr>
                            <w:sz w:val="18"/>
                          </w:rPr>
                        </w:pPr>
                        <w:r>
                          <w:rPr>
                            <w:color w:val="231F20"/>
                            <w:sz w:val="18"/>
                          </w:rPr>
                          <w:t>Опис граница комплекса „Долина реке Млаве”</w:t>
                        </w:r>
                      </w:p>
                    </w:tc>
                    <w:tc>
                      <w:tcPr>
                        <w:tcW w:w="5294" w:type="dxa"/>
                      </w:tcPr>
                      <w:p>
                        <w:pPr>
                          <w:pStyle w:val="TableParagraph"/>
                          <w:spacing w:line="201" w:lineRule="exact" w:before="0"/>
                          <w:ind w:left="140"/>
                          <w:jc w:val="left"/>
                          <w:rPr>
                            <w:sz w:val="18"/>
                          </w:rPr>
                        </w:pPr>
                        <w:r>
                          <w:rPr>
                            <w:color w:val="231F20"/>
                            <w:sz w:val="18"/>
                          </w:rPr>
                          <w:t>2238, 2239, 2240, 2241, 2242, 2243, 2244, 2245, 2246, 2247, 2248,</w:t>
                        </w:r>
                      </w:p>
                      <w:p>
                        <w:pPr>
                          <w:pStyle w:val="TableParagraph"/>
                          <w:spacing w:line="204" w:lineRule="exact" w:before="0"/>
                          <w:ind w:left="140"/>
                          <w:jc w:val="left"/>
                          <w:rPr>
                            <w:sz w:val="18"/>
                          </w:rPr>
                        </w:pPr>
                        <w:r>
                          <w:rPr>
                            <w:color w:val="231F20"/>
                            <w:sz w:val="18"/>
                          </w:rPr>
                          <w:t>2249, 2250, 2251, 2252, 2253, 2254, 2255, 2262, 2263, 2264, 2265,</w:t>
                        </w:r>
                      </w:p>
                      <w:p>
                        <w:pPr>
                          <w:pStyle w:val="TableParagraph"/>
                          <w:spacing w:before="9"/>
                          <w:jc w:val="left"/>
                          <w:rPr>
                            <w:sz w:val="16"/>
                          </w:rPr>
                        </w:pPr>
                      </w:p>
                      <w:p>
                        <w:pPr>
                          <w:pStyle w:val="TableParagraph"/>
                          <w:spacing w:line="161" w:lineRule="exact" w:before="0"/>
                          <w:ind w:left="140"/>
                          <w:jc w:val="left"/>
                          <w:rPr>
                            <w:sz w:val="18"/>
                          </w:rPr>
                        </w:pPr>
                        <w:r>
                          <w:rPr>
                            <w:color w:val="231F20"/>
                            <w:sz w:val="18"/>
                          </w:rPr>
                          <w:t>2275, 2276, 2277, 2278, 2279, 2280, 2281, 2282, 2283, 2284, 2285,</w:t>
                        </w:r>
                      </w:p>
                    </w:tc>
                  </w:tr>
                  <w:tr>
                    <w:trPr>
                      <w:trHeight w:val="215" w:hRule="atLeast"/>
                    </w:trPr>
                    <w:tc>
                      <w:tcPr>
                        <w:tcW w:w="5295" w:type="dxa"/>
                      </w:tcPr>
                      <w:p>
                        <w:pPr>
                          <w:pStyle w:val="TableParagraph"/>
                          <w:spacing w:line="195" w:lineRule="exact" w:before="0"/>
                          <w:ind w:right="141"/>
                          <w:rPr>
                            <w:sz w:val="18"/>
                          </w:rPr>
                        </w:pPr>
                        <w:r>
                          <w:rPr>
                            <w:color w:val="231F20"/>
                            <w:sz w:val="18"/>
                          </w:rPr>
                          <w:t>Комплекс „Долина реке Млаве” на северу се граничи са за-</w:t>
                        </w:r>
                      </w:p>
                    </w:tc>
                    <w:tc>
                      <w:tcPr>
                        <w:tcW w:w="5294" w:type="dxa"/>
                      </w:tcPr>
                      <w:p>
                        <w:pPr>
                          <w:pStyle w:val="TableParagraph"/>
                          <w:spacing w:line="176" w:lineRule="exact" w:before="19"/>
                          <w:ind w:right="48"/>
                          <w:rPr>
                            <w:sz w:val="18"/>
                          </w:rPr>
                        </w:pPr>
                        <w:r>
                          <w:rPr>
                            <w:color w:val="231F20"/>
                            <w:sz w:val="18"/>
                          </w:rPr>
                          <w:t>2286, 2287, 2288, 2289/1, 2289/2, 2290, 2291, 2292, 2293, 2294,</w:t>
                        </w:r>
                      </w:p>
                    </w:tc>
                  </w:tr>
                  <w:tr>
                    <w:trPr>
                      <w:trHeight w:val="202" w:hRule="atLeast"/>
                    </w:trPr>
                    <w:tc>
                      <w:tcPr>
                        <w:tcW w:w="5295" w:type="dxa"/>
                      </w:tcPr>
                      <w:p>
                        <w:pPr>
                          <w:pStyle w:val="TableParagraph"/>
                          <w:spacing w:line="182" w:lineRule="exact" w:before="0"/>
                          <w:ind w:left="50"/>
                          <w:jc w:val="left"/>
                          <w:rPr>
                            <w:sz w:val="18"/>
                          </w:rPr>
                        </w:pPr>
                        <w:r>
                          <w:rPr>
                            <w:color w:val="231F20"/>
                            <w:sz w:val="18"/>
                          </w:rPr>
                          <w:t>једничким коридором за транспорт угља и пепела у оквиру рудар-</w:t>
                        </w:r>
                      </w:p>
                    </w:tc>
                    <w:tc>
                      <w:tcPr>
                        <w:tcW w:w="5294" w:type="dxa"/>
                      </w:tcPr>
                      <w:p>
                        <w:pPr>
                          <w:pStyle w:val="TableParagraph"/>
                          <w:spacing w:line="178" w:lineRule="exact" w:before="4"/>
                          <w:ind w:right="48"/>
                          <w:rPr>
                            <w:sz w:val="18"/>
                          </w:rPr>
                        </w:pPr>
                        <w:r>
                          <w:rPr>
                            <w:color w:val="231F20"/>
                            <w:sz w:val="18"/>
                          </w:rPr>
                          <w:t>2295, 2296, 2297, 2298, 2299, 2300, 2301, 2302, 2303, 2304, 2305,</w:t>
                        </w:r>
                      </w:p>
                    </w:tc>
                  </w:tr>
                  <w:tr>
                    <w:trPr>
                      <w:trHeight w:val="202" w:hRule="atLeast"/>
                    </w:trPr>
                    <w:tc>
                      <w:tcPr>
                        <w:tcW w:w="5295" w:type="dxa"/>
                      </w:tcPr>
                      <w:p>
                        <w:pPr>
                          <w:pStyle w:val="TableParagraph"/>
                          <w:spacing w:line="182" w:lineRule="exact" w:before="0"/>
                          <w:ind w:left="50"/>
                          <w:jc w:val="left"/>
                          <w:rPr>
                            <w:sz w:val="18"/>
                          </w:rPr>
                        </w:pPr>
                        <w:r>
                          <w:rPr>
                            <w:color w:val="231F20"/>
                            <w:sz w:val="18"/>
                          </w:rPr>
                          <w:t>ско-енергетског комплекса; источна граница комплекса је граница</w:t>
                        </w:r>
                      </w:p>
                    </w:tc>
                    <w:tc>
                      <w:tcPr>
                        <w:tcW w:w="5294" w:type="dxa"/>
                      </w:tcPr>
                      <w:p>
                        <w:pPr>
                          <w:pStyle w:val="TableParagraph"/>
                          <w:spacing w:line="181" w:lineRule="exact" w:before="1"/>
                          <w:ind w:right="49"/>
                          <w:rPr>
                            <w:sz w:val="18"/>
                          </w:rPr>
                        </w:pPr>
                        <w:r>
                          <w:rPr>
                            <w:color w:val="231F20"/>
                            <w:sz w:val="18"/>
                          </w:rPr>
                          <w:t>2306, 2307, 2308, 2309, 2310, 2311, 2312, 2313, 2314, 2315, 2316,</w:t>
                        </w:r>
                      </w:p>
                    </w:tc>
                  </w:tr>
                  <w:tr>
                    <w:trPr>
                      <w:trHeight w:val="202" w:hRule="atLeast"/>
                    </w:trPr>
                    <w:tc>
                      <w:tcPr>
                        <w:tcW w:w="5295" w:type="dxa"/>
                      </w:tcPr>
                      <w:p>
                        <w:pPr>
                          <w:pStyle w:val="TableParagraph"/>
                          <w:spacing w:line="182" w:lineRule="exact" w:before="0"/>
                          <w:ind w:left="50"/>
                          <w:jc w:val="left"/>
                          <w:rPr>
                            <w:sz w:val="18"/>
                          </w:rPr>
                        </w:pPr>
                        <w:r>
                          <w:rPr>
                            <w:color w:val="231F20"/>
                            <w:sz w:val="18"/>
                          </w:rPr>
                          <w:t>водног земљишта регулисаног корита реке Млаве; јужна граница</w:t>
                        </w:r>
                      </w:p>
                    </w:tc>
                    <w:tc>
                      <w:tcPr>
                        <w:tcW w:w="5294" w:type="dxa"/>
                      </w:tcPr>
                      <w:p>
                        <w:pPr>
                          <w:pStyle w:val="TableParagraph"/>
                          <w:spacing w:line="182" w:lineRule="exact" w:before="0"/>
                          <w:ind w:right="48"/>
                          <w:rPr>
                            <w:sz w:val="18"/>
                          </w:rPr>
                        </w:pPr>
                        <w:r>
                          <w:rPr>
                            <w:color w:val="231F20"/>
                            <w:sz w:val="18"/>
                          </w:rPr>
                          <w:t>2317, 2318, 2319, 2320, 2321, 2322, 2323, 2324, 2325, 2326, 2327,</w:t>
                        </w:r>
                      </w:p>
                    </w:tc>
                  </w:tr>
                  <w:tr>
                    <w:trPr>
                      <w:trHeight w:val="202" w:hRule="atLeast"/>
                    </w:trPr>
                    <w:tc>
                      <w:tcPr>
                        <w:tcW w:w="5295" w:type="dxa"/>
                      </w:tcPr>
                      <w:p>
                        <w:pPr>
                          <w:pStyle w:val="TableParagraph"/>
                          <w:spacing w:line="182" w:lineRule="exact" w:before="0"/>
                          <w:ind w:left="50"/>
                          <w:jc w:val="left"/>
                          <w:rPr>
                            <w:sz w:val="18"/>
                          </w:rPr>
                        </w:pPr>
                        <w:r>
                          <w:rPr>
                            <w:color w:val="231F20"/>
                            <w:sz w:val="18"/>
                          </w:rPr>
                          <w:t>се успоставља као урбанистичка линија између јужне контуре од-</w:t>
                        </w:r>
                      </w:p>
                    </w:tc>
                    <w:tc>
                      <w:tcPr>
                        <w:tcW w:w="5294" w:type="dxa"/>
                      </w:tcPr>
                      <w:p>
                        <w:pPr>
                          <w:pStyle w:val="TableParagraph"/>
                          <w:spacing w:line="182" w:lineRule="exact" w:before="0"/>
                          <w:ind w:right="48"/>
                          <w:rPr>
                            <w:sz w:val="18"/>
                          </w:rPr>
                        </w:pPr>
                        <w:r>
                          <w:rPr>
                            <w:color w:val="231F20"/>
                            <w:sz w:val="18"/>
                          </w:rPr>
                          <w:t>2328, 2329, 2330, 2331, 2332, 2333, 2334, 2335, 2336, 2337, 2338,</w:t>
                        </w:r>
                      </w:p>
                    </w:tc>
                  </w:tr>
                  <w:tr>
                    <w:trPr>
                      <w:trHeight w:val="202" w:hRule="atLeast"/>
                    </w:trPr>
                    <w:tc>
                      <w:tcPr>
                        <w:tcW w:w="5295" w:type="dxa"/>
                      </w:tcPr>
                      <w:p>
                        <w:pPr>
                          <w:pStyle w:val="TableParagraph"/>
                          <w:spacing w:line="182" w:lineRule="exact" w:before="0"/>
                          <w:ind w:left="50"/>
                          <w:jc w:val="left"/>
                          <w:rPr>
                            <w:sz w:val="18"/>
                          </w:rPr>
                        </w:pPr>
                        <w:r>
                          <w:rPr>
                            <w:color w:val="231F20"/>
                            <w:sz w:val="18"/>
                          </w:rPr>
                          <w:t>лагалишта „Млава – Могила” и новог речног корита реке Могила;</w:t>
                        </w:r>
                      </w:p>
                    </w:tc>
                    <w:tc>
                      <w:tcPr>
                        <w:tcW w:w="5294" w:type="dxa"/>
                      </w:tcPr>
                      <w:p>
                        <w:pPr>
                          <w:pStyle w:val="TableParagraph"/>
                          <w:spacing w:line="182" w:lineRule="exact" w:before="0"/>
                          <w:ind w:right="48"/>
                          <w:rPr>
                            <w:sz w:val="18"/>
                          </w:rPr>
                        </w:pPr>
                        <w:r>
                          <w:rPr>
                            <w:color w:val="231F20"/>
                            <w:sz w:val="18"/>
                          </w:rPr>
                          <w:t>2339, 2340, 2341, 2342, 2343, 2344, 2345, 2346, 2347, 2348, 2349,</w:t>
                        </w:r>
                      </w:p>
                    </w:tc>
                  </w:tr>
                  <w:tr>
                    <w:trPr>
                      <w:trHeight w:val="200" w:hRule="atLeast"/>
                    </w:trPr>
                    <w:tc>
                      <w:tcPr>
                        <w:tcW w:w="5295" w:type="dxa"/>
                      </w:tcPr>
                      <w:p>
                        <w:pPr>
                          <w:pStyle w:val="TableParagraph"/>
                          <w:spacing w:line="181" w:lineRule="exact" w:before="0"/>
                          <w:ind w:left="50"/>
                          <w:jc w:val="left"/>
                          <w:rPr>
                            <w:sz w:val="18"/>
                          </w:rPr>
                        </w:pPr>
                        <w:r>
                          <w:rPr>
                            <w:color w:val="231F20"/>
                            <w:sz w:val="18"/>
                          </w:rPr>
                          <w:t>са западне стране граница је по линији земљишног појаса саобра-</w:t>
                        </w:r>
                      </w:p>
                    </w:tc>
                    <w:tc>
                      <w:tcPr>
                        <w:tcW w:w="5294" w:type="dxa"/>
                      </w:tcPr>
                      <w:p>
                        <w:pPr>
                          <w:pStyle w:val="TableParagraph"/>
                          <w:spacing w:line="181" w:lineRule="exact" w:before="0"/>
                          <w:ind w:right="48"/>
                          <w:rPr>
                            <w:sz w:val="18"/>
                          </w:rPr>
                        </w:pPr>
                        <w:r>
                          <w:rPr>
                            <w:color w:val="231F20"/>
                            <w:sz w:val="18"/>
                          </w:rPr>
                          <w:t>2350, 2351, 2352, 2353, 2354, 2355, 2356, 2357, 2358, 2359, 2360,</w:t>
                        </w:r>
                      </w:p>
                    </w:tc>
                  </w:tr>
                  <w:tr>
                    <w:trPr>
                      <w:trHeight w:val="203" w:hRule="atLeast"/>
                    </w:trPr>
                    <w:tc>
                      <w:tcPr>
                        <w:tcW w:w="5295" w:type="dxa"/>
                      </w:tcPr>
                      <w:p>
                        <w:pPr>
                          <w:pStyle w:val="TableParagraph"/>
                          <w:spacing w:line="183" w:lineRule="exact" w:before="0"/>
                          <w:ind w:left="50"/>
                          <w:jc w:val="left"/>
                          <w:rPr>
                            <w:sz w:val="18"/>
                          </w:rPr>
                        </w:pPr>
                        <w:r>
                          <w:rPr>
                            <w:color w:val="231F20"/>
                            <w:sz w:val="18"/>
                          </w:rPr>
                          <w:t>ћајнице по ободу некадашњег површинског копа” Кленовник”.</w:t>
                        </w:r>
                      </w:p>
                    </w:tc>
                    <w:tc>
                      <w:tcPr>
                        <w:tcW w:w="5294" w:type="dxa"/>
                      </w:tcPr>
                      <w:p>
                        <w:pPr>
                          <w:pStyle w:val="TableParagraph"/>
                          <w:spacing w:line="183" w:lineRule="exact" w:before="0"/>
                          <w:ind w:right="48"/>
                          <w:rPr>
                            <w:sz w:val="18"/>
                          </w:rPr>
                        </w:pPr>
                        <w:r>
                          <w:rPr>
                            <w:color w:val="231F20"/>
                            <w:sz w:val="18"/>
                          </w:rPr>
                          <w:t>2361, 2362, 2425, 2426, 2427, 2428, 2429, 2430, 2431, 2432, 2433/1,</w:t>
                        </w:r>
                      </w:p>
                    </w:tc>
                  </w:tr>
                </w:tbl>
                <w:p>
                  <w:pPr>
                    <w:pStyle w:val="BodyText"/>
                    <w:ind w:left="0"/>
                    <w:jc w:val="left"/>
                  </w:pPr>
                </w:p>
              </w:txbxContent>
            </v:textbox>
            <w10:wrap type="none"/>
          </v:shape>
        </w:pic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
        <w:ind w:left="0"/>
        <w:jc w:val="left"/>
        <w:rPr>
          <w:sz w:val="20"/>
        </w:rPr>
      </w:pPr>
    </w:p>
    <w:p>
      <w:pPr>
        <w:pStyle w:val="BodyText"/>
        <w:spacing w:before="93"/>
        <w:ind w:left="5555"/>
        <w:jc w:val="left"/>
      </w:pPr>
      <w:r>
        <w:rPr>
          <w:color w:val="231F20"/>
        </w:rPr>
        <w:t>2071, 2072, 2073, 2074, 2075, 2076, 2077, 2078, 2079, 2080, 2081,</w:t>
      </w:r>
    </w:p>
    <w:p>
      <w:pPr>
        <w:pStyle w:val="BodyText"/>
        <w:spacing w:before="9"/>
        <w:ind w:left="0"/>
        <w:jc w:val="left"/>
        <w:rPr>
          <w:sz w:val="16"/>
        </w:rPr>
      </w:pPr>
    </w:p>
    <w:p>
      <w:pPr>
        <w:pStyle w:val="BodyText"/>
        <w:ind w:left="5555"/>
        <w:jc w:val="left"/>
      </w:pPr>
      <w:r>
        <w:rPr>
          <w:color w:val="231F20"/>
        </w:rPr>
        <w:t>2101, 2102, 2103, 2104, 2105, 2106, 2107 2123, 2124, 2125, 2126,</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28"/>
        </w:rPr>
      </w:pPr>
    </w:p>
    <w:p>
      <w:pPr>
        <w:pStyle w:val="BodyText"/>
        <w:ind w:left="5555"/>
        <w:jc w:val="left"/>
      </w:pPr>
      <w:r>
        <w:rPr>
          <w:color w:val="231F20"/>
        </w:rPr>
        <w:t>2266,  2267/1,  2267/2,  2268,  2269,  2270,  2271,  2272,  2273, 2274,</w:t>
      </w:r>
    </w:p>
    <w:p>
      <w:pPr>
        <w:spacing w:after="0"/>
        <w:jc w:val="left"/>
        <w:sectPr>
          <w:pgSz w:w="12480" w:h="15690"/>
          <w:pgMar w:top="240" w:bottom="280" w:left="680" w:right="720"/>
        </w:sectPr>
      </w:pPr>
    </w:p>
    <w:p>
      <w:pPr>
        <w:pStyle w:val="BodyText"/>
        <w:spacing w:line="204" w:lineRule="exact" w:before="68"/>
        <w:ind w:left="453"/>
        <w:jc w:val="left"/>
      </w:pPr>
      <w:r>
        <w:rPr/>
        <w:pict>
          <v:line style="position:absolute;mso-position-horizontal-relative:page;mso-position-vertical-relative:page;z-index:4912" from="318.897614pt,11.942451pt" to="318.897614pt,748.950451pt" stroked="true" strokeweight=".6pt" strokecolor="#231f20">
            <v:stroke dashstyle="solid"/>
            <w10:wrap type="none"/>
          </v:line>
        </w:pict>
      </w:r>
      <w:r>
        <w:rPr>
          <w:color w:val="231F20"/>
        </w:rPr>
        <w:t>2433/2, 2434, 2435, 2436, 2438, 2439, 2440, 2441/1, 2441/2, 2442,</w:t>
      </w:r>
    </w:p>
    <w:p>
      <w:pPr>
        <w:pStyle w:val="BodyText"/>
        <w:spacing w:line="200" w:lineRule="exact"/>
        <w:ind w:left="453"/>
        <w:jc w:val="left"/>
      </w:pPr>
      <w:r>
        <w:rPr>
          <w:color w:val="231F20"/>
        </w:rPr>
        <w:t>2443,  2444,  2445,  2446,  2447,  2448/1,  2448/2,  2449,  2450, 2451,</w:t>
      </w:r>
    </w:p>
    <w:p>
      <w:pPr>
        <w:pStyle w:val="BodyText"/>
        <w:spacing w:line="200" w:lineRule="exact"/>
        <w:ind w:left="453"/>
        <w:jc w:val="left"/>
      </w:pPr>
      <w:r>
        <w:rPr>
          <w:color w:val="231F20"/>
        </w:rPr>
        <w:t>2452, 2453/1, 2453/2, 2454, 2455/1, 2455/2, 2456/1, 2456/2, 2457,</w:t>
      </w:r>
    </w:p>
    <w:p>
      <w:pPr>
        <w:pStyle w:val="BodyText"/>
        <w:spacing w:line="200" w:lineRule="exact"/>
        <w:ind w:left="453"/>
        <w:jc w:val="left"/>
      </w:pPr>
      <w:r>
        <w:rPr>
          <w:color w:val="231F20"/>
        </w:rPr>
        <w:t>2458/1, 2458/2, 2459/1, 2459/2, 2460/1, 2460/2, 2461/1, 2461/2,</w:t>
      </w:r>
      <w:r>
        <w:rPr>
          <w:color w:val="231F20"/>
          <w:spacing w:val="-24"/>
        </w:rPr>
        <w:t> </w:t>
      </w:r>
      <w:r>
        <w:rPr>
          <w:color w:val="231F20"/>
        </w:rPr>
        <w:t>2462,</w:t>
      </w:r>
    </w:p>
    <w:p>
      <w:pPr>
        <w:pStyle w:val="BodyText"/>
        <w:spacing w:line="200" w:lineRule="exact"/>
        <w:ind w:left="453"/>
        <w:jc w:val="left"/>
      </w:pPr>
      <w:r>
        <w:rPr>
          <w:color w:val="231F20"/>
        </w:rPr>
        <w:t>2463, 2464, 2465, 2466, 2467, 2468, 2469, 2470, 2471, 2472, 2473,</w:t>
      </w:r>
    </w:p>
    <w:p>
      <w:pPr>
        <w:pStyle w:val="BodyText"/>
        <w:spacing w:line="200" w:lineRule="exact"/>
        <w:ind w:left="453"/>
        <w:jc w:val="left"/>
      </w:pPr>
      <w:r>
        <w:rPr>
          <w:color w:val="231F20"/>
        </w:rPr>
        <w:t>2474, 2475, 2476, 2477, 2478, 2479/1, 2479/2, 2479/3, 2479/4, 2905,</w:t>
      </w:r>
    </w:p>
    <w:p>
      <w:pPr>
        <w:pStyle w:val="BodyText"/>
        <w:spacing w:line="200" w:lineRule="exact"/>
        <w:ind w:left="453"/>
        <w:jc w:val="left"/>
      </w:pPr>
      <w:r>
        <w:rPr>
          <w:color w:val="231F20"/>
        </w:rPr>
        <w:t>2906, 2908;</w:t>
      </w:r>
    </w:p>
    <w:p>
      <w:pPr>
        <w:pStyle w:val="BodyText"/>
        <w:spacing w:line="200" w:lineRule="exact"/>
        <w:ind w:left="850"/>
        <w:jc w:val="left"/>
      </w:pPr>
      <w:r>
        <w:rPr>
          <w:color w:val="231F20"/>
        </w:rPr>
        <w:t>КО Брадарац:</w:t>
      </w:r>
    </w:p>
    <w:p>
      <w:pPr>
        <w:pStyle w:val="BodyText"/>
        <w:spacing w:line="200" w:lineRule="exact"/>
        <w:ind w:left="850"/>
        <w:jc w:val="left"/>
      </w:pPr>
      <w:r>
        <w:rPr>
          <w:color w:val="231F20"/>
        </w:rPr>
        <w:t>део:  2315,  2316,  2317,  2318,  2319,  2320,  2321,  2322,</w:t>
      </w:r>
      <w:r>
        <w:rPr>
          <w:color w:val="231F20"/>
          <w:spacing w:val="-18"/>
        </w:rPr>
        <w:t> </w:t>
      </w:r>
      <w:r>
        <w:rPr>
          <w:color w:val="231F20"/>
        </w:rPr>
        <w:t>2323,</w:t>
      </w:r>
    </w:p>
    <w:p>
      <w:pPr>
        <w:pStyle w:val="BodyText"/>
        <w:spacing w:line="200" w:lineRule="exact"/>
        <w:ind w:left="453"/>
        <w:jc w:val="left"/>
      </w:pPr>
      <w:r>
        <w:rPr>
          <w:color w:val="231F20"/>
        </w:rPr>
        <w:t>2324, 2325, 2326, 2327, 2328, 2331, 2332, 2334, 2338, 2339, 2340,</w:t>
      </w:r>
    </w:p>
    <w:p>
      <w:pPr>
        <w:pStyle w:val="BodyText"/>
        <w:spacing w:line="200" w:lineRule="exact"/>
        <w:ind w:left="453"/>
        <w:jc w:val="left"/>
      </w:pPr>
      <w:r>
        <w:rPr>
          <w:color w:val="231F20"/>
        </w:rPr>
        <w:t>2347, 2348, 2349, 2350, 2351, 2352, 2519, 2555, 2557, 2561, 2562,</w:t>
      </w:r>
    </w:p>
    <w:p>
      <w:pPr>
        <w:pStyle w:val="BodyText"/>
        <w:spacing w:line="200" w:lineRule="exact"/>
        <w:ind w:left="453"/>
        <w:jc w:val="left"/>
      </w:pPr>
      <w:r>
        <w:rPr>
          <w:color w:val="231F20"/>
        </w:rPr>
        <w:t>2563, 2565, 2567, 2568, 2569, 2663, 2664, 2665, 2667, 2679, 2687,</w:t>
      </w:r>
    </w:p>
    <w:p>
      <w:pPr>
        <w:pStyle w:val="BodyText"/>
        <w:spacing w:line="200" w:lineRule="exact"/>
        <w:ind w:left="453"/>
        <w:jc w:val="left"/>
      </w:pPr>
      <w:r>
        <w:rPr>
          <w:color w:val="231F20"/>
        </w:rPr>
        <w:t>2688, 2689, 2690, 2695, 2696, 3354, 3359/2,</w:t>
      </w:r>
    </w:p>
    <w:p>
      <w:pPr>
        <w:pStyle w:val="BodyText"/>
        <w:spacing w:line="200" w:lineRule="exact"/>
        <w:ind w:left="850"/>
        <w:jc w:val="left"/>
      </w:pPr>
      <w:r>
        <w:rPr>
          <w:color w:val="231F20"/>
        </w:rPr>
        <w:t>целе: 2355/1, 2355/2, 2356, 2357, 2358, 2359, 2360, 2361,</w:t>
      </w:r>
      <w:r>
        <w:rPr>
          <w:color w:val="231F20"/>
          <w:spacing w:val="-30"/>
        </w:rPr>
        <w:t> </w:t>
      </w:r>
      <w:r>
        <w:rPr>
          <w:color w:val="231F20"/>
        </w:rPr>
        <w:t>2362,</w:t>
      </w:r>
    </w:p>
    <w:p>
      <w:pPr>
        <w:pStyle w:val="BodyText"/>
        <w:spacing w:line="200" w:lineRule="exact"/>
        <w:ind w:left="453"/>
        <w:jc w:val="left"/>
      </w:pPr>
      <w:r>
        <w:rPr>
          <w:color w:val="231F20"/>
        </w:rPr>
        <w:t>2363, 2364, 2365, 2366, 2367, 2368, 2369, 2370, 2371, 2372, 2373,</w:t>
      </w:r>
    </w:p>
    <w:p>
      <w:pPr>
        <w:pStyle w:val="BodyText"/>
        <w:spacing w:line="200" w:lineRule="exact"/>
        <w:ind w:left="453"/>
        <w:jc w:val="left"/>
      </w:pPr>
      <w:r>
        <w:rPr>
          <w:color w:val="231F20"/>
        </w:rPr>
        <w:t>2374,  2375,  2376/1,  2376/2,  2377,  2378,  2379,  2380,  2381, 2382,</w:t>
      </w:r>
    </w:p>
    <w:p>
      <w:pPr>
        <w:pStyle w:val="BodyText"/>
        <w:spacing w:line="200" w:lineRule="exact"/>
        <w:ind w:left="453"/>
        <w:jc w:val="left"/>
      </w:pPr>
      <w:r>
        <w:rPr>
          <w:color w:val="231F20"/>
        </w:rPr>
        <w:t>2383, 2384, 2385, 2386, 2387, 2388, 2389, 2390, 2391, 2392, 2393,</w:t>
      </w:r>
    </w:p>
    <w:p>
      <w:pPr>
        <w:pStyle w:val="BodyText"/>
        <w:spacing w:line="200" w:lineRule="exact"/>
        <w:ind w:left="453"/>
        <w:jc w:val="left"/>
      </w:pPr>
      <w:r>
        <w:rPr>
          <w:color w:val="231F20"/>
        </w:rPr>
        <w:t>2394, 2395, 2396, 2397, 2398, 2399, 2400, 2401, 2402, 2403, 2404,</w:t>
      </w:r>
    </w:p>
    <w:p>
      <w:pPr>
        <w:pStyle w:val="BodyText"/>
        <w:spacing w:line="200" w:lineRule="exact"/>
        <w:ind w:left="453"/>
        <w:jc w:val="left"/>
      </w:pPr>
      <w:r>
        <w:rPr>
          <w:color w:val="231F20"/>
        </w:rPr>
        <w:t>2405, 2406, 2407, 2408, 2409, 2410, 2411, 2412, 2413, 2414, 2415,</w:t>
      </w:r>
    </w:p>
    <w:p>
      <w:pPr>
        <w:pStyle w:val="BodyText"/>
        <w:spacing w:line="200" w:lineRule="exact"/>
        <w:ind w:left="453"/>
        <w:jc w:val="left"/>
      </w:pPr>
      <w:r>
        <w:rPr>
          <w:color w:val="231F20"/>
        </w:rPr>
        <w:t>2416, 2417, 2418, 2419, 2420, 2421, 2422, 2423, 2424, 2425, 2426,</w:t>
      </w:r>
    </w:p>
    <w:p>
      <w:pPr>
        <w:pStyle w:val="BodyText"/>
        <w:spacing w:line="200" w:lineRule="exact"/>
        <w:ind w:left="453"/>
        <w:jc w:val="left"/>
      </w:pPr>
      <w:r>
        <w:rPr>
          <w:color w:val="231F20"/>
        </w:rPr>
        <w:t>2427, 2428, 2429, 2430, 2431, 2432, 2433, 2434, 2435, 2436, 2437,</w:t>
      </w:r>
    </w:p>
    <w:p>
      <w:pPr>
        <w:pStyle w:val="BodyText"/>
        <w:spacing w:line="200" w:lineRule="exact"/>
        <w:ind w:left="453"/>
        <w:jc w:val="left"/>
      </w:pPr>
      <w:r>
        <w:rPr>
          <w:color w:val="231F20"/>
        </w:rPr>
        <w:t>2438, 2439, 2440, 2441, 2442, 2443, 2444, 2445, 2446, 2447, 2448,</w:t>
      </w:r>
    </w:p>
    <w:p>
      <w:pPr>
        <w:pStyle w:val="BodyText"/>
        <w:spacing w:line="200" w:lineRule="exact"/>
        <w:ind w:left="453"/>
        <w:jc w:val="left"/>
      </w:pPr>
      <w:r>
        <w:rPr>
          <w:color w:val="231F20"/>
        </w:rPr>
        <w:t>2449, 2450, 2451, 2452, 2453, 2454, 2455, 2456, 2457, 2458, 2459,</w:t>
      </w:r>
    </w:p>
    <w:p>
      <w:pPr>
        <w:pStyle w:val="BodyText"/>
        <w:spacing w:line="200" w:lineRule="exact"/>
        <w:ind w:left="453"/>
        <w:jc w:val="left"/>
      </w:pPr>
      <w:r>
        <w:rPr>
          <w:color w:val="231F20"/>
        </w:rPr>
        <w:t>2460, 2461, 2462, 2463, 2464, 2466, 2467, 2468, 2469, 2470, 2471,</w:t>
      </w:r>
    </w:p>
    <w:p>
      <w:pPr>
        <w:pStyle w:val="BodyText"/>
        <w:spacing w:line="200" w:lineRule="exact"/>
        <w:ind w:left="453"/>
        <w:jc w:val="left"/>
      </w:pPr>
      <w:r>
        <w:rPr>
          <w:color w:val="231F20"/>
        </w:rPr>
        <w:t>2472, 2473, 2474, 2475, 2476, 2477, 2478, 2479, 2480, 2481, 2482,</w:t>
      </w:r>
    </w:p>
    <w:p>
      <w:pPr>
        <w:pStyle w:val="BodyText"/>
        <w:spacing w:line="200" w:lineRule="exact"/>
        <w:ind w:left="453"/>
        <w:jc w:val="left"/>
      </w:pPr>
      <w:r>
        <w:rPr>
          <w:color w:val="231F20"/>
        </w:rPr>
        <w:t>2483, 2484, 2485, 2486, 2487, 2488, 2489, 2490, 2491, 2492, 2493,</w:t>
      </w:r>
    </w:p>
    <w:p>
      <w:pPr>
        <w:pStyle w:val="BodyText"/>
        <w:spacing w:line="200" w:lineRule="exact"/>
        <w:ind w:left="453"/>
        <w:jc w:val="left"/>
      </w:pPr>
      <w:r>
        <w:rPr>
          <w:color w:val="231F20"/>
        </w:rPr>
        <w:t>2494, 2495, 2496, 2497, 2498, 2499, 2500, 2501, 2502, 2503, 2504,</w:t>
      </w:r>
    </w:p>
    <w:p>
      <w:pPr>
        <w:pStyle w:val="BodyText"/>
        <w:spacing w:line="200" w:lineRule="exact"/>
        <w:ind w:left="453"/>
        <w:jc w:val="left"/>
      </w:pPr>
      <w:r>
        <w:rPr>
          <w:color w:val="231F20"/>
        </w:rPr>
        <w:t>2505, 2506, 2507, 2508, 2509, 2510, 2511, 2512, 2513, 2514, 2515,</w:t>
      </w:r>
    </w:p>
    <w:p>
      <w:pPr>
        <w:pStyle w:val="BodyText"/>
        <w:spacing w:line="200" w:lineRule="exact"/>
        <w:ind w:left="453"/>
        <w:jc w:val="left"/>
      </w:pPr>
      <w:r>
        <w:rPr>
          <w:color w:val="231F20"/>
        </w:rPr>
        <w:t>2516, 2517, 2518, 2554, 2564, 2566, 2680, 2681, 2684, 2685, 2691,</w:t>
      </w:r>
    </w:p>
    <w:p>
      <w:pPr>
        <w:pStyle w:val="BodyText"/>
        <w:spacing w:line="200" w:lineRule="exact"/>
        <w:ind w:left="453"/>
        <w:jc w:val="left"/>
      </w:pPr>
      <w:r>
        <w:rPr>
          <w:color w:val="231F20"/>
        </w:rPr>
        <w:t>2692, 2698, 2699, 2700, 2701, 2702, 2703, 2704, 2705, 2706, 2707,</w:t>
      </w:r>
    </w:p>
    <w:p>
      <w:pPr>
        <w:pStyle w:val="BodyText"/>
        <w:spacing w:line="200" w:lineRule="exact"/>
        <w:ind w:left="453"/>
        <w:jc w:val="left"/>
      </w:pPr>
      <w:r>
        <w:rPr>
          <w:color w:val="231F20"/>
        </w:rPr>
        <w:t>2708, 2709, 2710, 2711, 2712, 2713, 2714, 2718, 2719, 2720, 2721,</w:t>
      </w:r>
    </w:p>
    <w:p>
      <w:pPr>
        <w:pStyle w:val="BodyText"/>
        <w:spacing w:line="200" w:lineRule="exact"/>
        <w:ind w:left="453"/>
        <w:jc w:val="left"/>
      </w:pPr>
      <w:r>
        <w:rPr>
          <w:color w:val="231F20"/>
        </w:rPr>
        <w:t>2722, 2723, 2726, 2727, 2728, 2729, 2730, 2731, 2732, 2733, 2734,</w:t>
      </w:r>
    </w:p>
    <w:p>
      <w:pPr>
        <w:pStyle w:val="BodyText"/>
        <w:spacing w:line="200" w:lineRule="exact"/>
        <w:ind w:left="453"/>
        <w:jc w:val="left"/>
      </w:pPr>
      <w:r>
        <w:rPr>
          <w:color w:val="231F20"/>
        </w:rPr>
        <w:t>2735, 2736, 2737, 2738, 2739, 2740, 2742, 2743, 2744, 2745, 2746,</w:t>
      </w:r>
    </w:p>
    <w:p>
      <w:pPr>
        <w:pStyle w:val="BodyText"/>
        <w:spacing w:line="200" w:lineRule="exact"/>
        <w:ind w:left="453"/>
        <w:jc w:val="left"/>
      </w:pPr>
      <w:r>
        <w:rPr>
          <w:color w:val="231F20"/>
        </w:rPr>
        <w:t>2747, 2748, 2749, 2750, 2751, 2752, 2753, 2754, 2755, 2756, 2757,</w:t>
      </w:r>
    </w:p>
    <w:p>
      <w:pPr>
        <w:pStyle w:val="BodyText"/>
        <w:spacing w:line="200" w:lineRule="exact"/>
        <w:ind w:left="453"/>
        <w:jc w:val="left"/>
      </w:pPr>
      <w:r>
        <w:rPr>
          <w:color w:val="231F20"/>
        </w:rPr>
        <w:t>2758,  2759,  2760,  2761,  2762,  2763/1,  2763/2,  2764,  2765, 2766,</w:t>
      </w:r>
    </w:p>
    <w:p>
      <w:pPr>
        <w:pStyle w:val="BodyText"/>
        <w:spacing w:line="200" w:lineRule="exact"/>
        <w:ind w:left="453"/>
        <w:jc w:val="left"/>
      </w:pPr>
      <w:r>
        <w:rPr>
          <w:color w:val="231F20"/>
        </w:rPr>
        <w:t>2767, 2768, 2769, 2770, 2771, 2772, 2773, 2774, 2775, 2776;</w:t>
      </w:r>
    </w:p>
    <w:p>
      <w:pPr>
        <w:pStyle w:val="ListParagraph"/>
        <w:numPr>
          <w:ilvl w:val="1"/>
          <w:numId w:val="72"/>
        </w:numPr>
        <w:tabs>
          <w:tab w:pos="1046" w:val="left" w:leader="none"/>
        </w:tabs>
        <w:spacing w:line="232" w:lineRule="auto" w:before="1" w:after="0"/>
        <w:ind w:left="850" w:right="2440" w:firstLine="0"/>
        <w:jc w:val="left"/>
        <w:rPr>
          <w:sz w:val="18"/>
        </w:rPr>
      </w:pPr>
      <w:r>
        <w:rPr>
          <w:color w:val="231F20"/>
          <w:sz w:val="18"/>
        </w:rPr>
        <w:t>Друга потцелина</w:t>
      </w:r>
      <w:r>
        <w:rPr>
          <w:color w:val="231F20"/>
          <w:spacing w:val="-25"/>
          <w:sz w:val="18"/>
        </w:rPr>
        <w:t> </w:t>
      </w:r>
      <w:r>
        <w:rPr>
          <w:color w:val="231F20"/>
          <w:sz w:val="18"/>
        </w:rPr>
        <w:t>обухвата: </w:t>
      </w:r>
      <w:r>
        <w:rPr>
          <w:color w:val="231F20"/>
          <w:spacing w:val="-3"/>
          <w:sz w:val="18"/>
        </w:rPr>
        <w:t>КО </w:t>
      </w:r>
      <w:r>
        <w:rPr>
          <w:color w:val="231F20"/>
          <w:sz w:val="18"/>
        </w:rPr>
        <w:t>Костолац</w:t>
      </w:r>
      <w:r>
        <w:rPr>
          <w:color w:val="231F20"/>
          <w:spacing w:val="-1"/>
          <w:sz w:val="18"/>
        </w:rPr>
        <w:t> </w:t>
      </w:r>
      <w:r>
        <w:rPr>
          <w:color w:val="231F20"/>
          <w:sz w:val="18"/>
        </w:rPr>
        <w:t>село:</w:t>
      </w:r>
    </w:p>
    <w:p>
      <w:pPr>
        <w:pStyle w:val="BodyText"/>
        <w:spacing w:line="197" w:lineRule="exact"/>
        <w:ind w:left="850"/>
        <w:jc w:val="left"/>
      </w:pPr>
      <w:r>
        <w:rPr>
          <w:color w:val="231F20"/>
        </w:rPr>
        <w:t>део: 2279, 2280, 2307, 2308, 2312, 2313, 2314, 2317, 2318,</w:t>
      </w:r>
    </w:p>
    <w:p>
      <w:pPr>
        <w:pStyle w:val="BodyText"/>
        <w:spacing w:line="200" w:lineRule="exact"/>
        <w:ind w:left="453"/>
        <w:jc w:val="left"/>
      </w:pPr>
      <w:r>
        <w:rPr>
          <w:color w:val="231F20"/>
        </w:rPr>
        <w:t>2319, 2320, 2323, 2327, 2330, 2331, 2332, 2361,</w:t>
      </w:r>
    </w:p>
    <w:p>
      <w:pPr>
        <w:pStyle w:val="BodyText"/>
        <w:spacing w:line="200" w:lineRule="exact"/>
        <w:ind w:left="850"/>
        <w:jc w:val="left"/>
      </w:pPr>
      <w:r>
        <w:rPr>
          <w:color w:val="231F20"/>
        </w:rPr>
        <w:t>целе: 2281, 2282, 2285, 2299;</w:t>
      </w:r>
    </w:p>
    <w:p>
      <w:pPr>
        <w:pStyle w:val="BodyText"/>
        <w:spacing w:line="200" w:lineRule="exact"/>
        <w:ind w:left="850"/>
        <w:jc w:val="left"/>
      </w:pPr>
      <w:r>
        <w:rPr>
          <w:color w:val="231F20"/>
        </w:rPr>
        <w:t>КО Дрмно:</w:t>
      </w:r>
    </w:p>
    <w:p>
      <w:pPr>
        <w:pStyle w:val="BodyText"/>
        <w:spacing w:line="200" w:lineRule="exact"/>
        <w:ind w:left="850"/>
        <w:jc w:val="left"/>
      </w:pPr>
      <w:r>
        <w:rPr>
          <w:color w:val="231F20"/>
        </w:rPr>
        <w:t>целе: 2005/19, 2005/20, 2005/21;</w:t>
      </w:r>
    </w:p>
    <w:p>
      <w:pPr>
        <w:pStyle w:val="BodyText"/>
        <w:spacing w:line="200" w:lineRule="exact"/>
        <w:ind w:left="850"/>
        <w:jc w:val="left"/>
      </w:pPr>
      <w:r>
        <w:rPr>
          <w:color w:val="231F20"/>
        </w:rPr>
        <w:t>КО Кленовник:</w:t>
      </w:r>
    </w:p>
    <w:p>
      <w:pPr>
        <w:pStyle w:val="BodyText"/>
        <w:spacing w:line="200" w:lineRule="exact"/>
        <w:ind w:left="850"/>
        <w:jc w:val="left"/>
      </w:pPr>
      <w:r>
        <w:rPr>
          <w:color w:val="231F20"/>
        </w:rPr>
        <w:t>део:  1544,  1553,  1567,  1568,  1569,  1572,  1573,  1577,</w:t>
      </w:r>
      <w:r>
        <w:rPr>
          <w:color w:val="231F20"/>
          <w:spacing w:val="-18"/>
        </w:rPr>
        <w:t> </w:t>
      </w:r>
      <w:r>
        <w:rPr>
          <w:color w:val="231F20"/>
        </w:rPr>
        <w:t>1922,</w:t>
      </w:r>
    </w:p>
    <w:p>
      <w:pPr>
        <w:pStyle w:val="BodyText"/>
        <w:spacing w:line="200" w:lineRule="exact"/>
        <w:ind w:left="453"/>
        <w:jc w:val="left"/>
      </w:pPr>
      <w:r>
        <w:rPr>
          <w:color w:val="231F20"/>
        </w:rPr>
        <w:t>1923, 1924, 1925, 1927, 1928, 1929, 1930, 1931, 1932, 1933, 1934,</w:t>
      </w:r>
    </w:p>
    <w:p>
      <w:pPr>
        <w:pStyle w:val="BodyText"/>
        <w:spacing w:line="200" w:lineRule="exact"/>
        <w:ind w:left="453"/>
        <w:jc w:val="left"/>
      </w:pPr>
      <w:r>
        <w:rPr>
          <w:color w:val="231F20"/>
        </w:rPr>
        <w:t>1935, 1936, 1937, 1938, 1939, 1941, 1942, 2108, 2109, 2110, 2111,</w:t>
      </w:r>
    </w:p>
    <w:p>
      <w:pPr>
        <w:pStyle w:val="BodyText"/>
        <w:spacing w:line="200" w:lineRule="exact"/>
        <w:ind w:left="453"/>
        <w:jc w:val="left"/>
      </w:pPr>
      <w:r>
        <w:rPr>
          <w:color w:val="231F20"/>
        </w:rPr>
        <w:t>2112, 2113, 2114, 2115, 2116, 2117, 2118, 2119, 2120,</w:t>
      </w:r>
    </w:p>
    <w:p>
      <w:pPr>
        <w:pStyle w:val="BodyText"/>
        <w:spacing w:line="200" w:lineRule="exact"/>
        <w:ind w:left="850"/>
        <w:jc w:val="left"/>
      </w:pPr>
      <w:r>
        <w:rPr>
          <w:color w:val="231F20"/>
        </w:rPr>
        <w:t>целе: 1548, 1549, 1550, 1551, 1552, 1578, 1579, 1580, 1581,</w:t>
      </w:r>
    </w:p>
    <w:p>
      <w:pPr>
        <w:pStyle w:val="BodyText"/>
        <w:spacing w:line="200" w:lineRule="exact"/>
        <w:ind w:left="453"/>
        <w:jc w:val="left"/>
      </w:pPr>
      <w:r>
        <w:rPr>
          <w:color w:val="231F20"/>
        </w:rPr>
        <w:t>1582,</w:t>
      </w:r>
      <w:r>
        <w:rPr>
          <w:color w:val="231F20"/>
          <w:spacing w:val="-5"/>
        </w:rPr>
        <w:t> </w:t>
      </w:r>
      <w:r>
        <w:rPr>
          <w:color w:val="231F20"/>
        </w:rPr>
        <w:t>1583,</w:t>
      </w:r>
      <w:r>
        <w:rPr>
          <w:color w:val="231F20"/>
          <w:spacing w:val="-5"/>
        </w:rPr>
        <w:t> </w:t>
      </w:r>
      <w:r>
        <w:rPr>
          <w:color w:val="231F20"/>
        </w:rPr>
        <w:t>1584,</w:t>
      </w:r>
      <w:r>
        <w:rPr>
          <w:color w:val="231F20"/>
          <w:spacing w:val="-5"/>
        </w:rPr>
        <w:t> </w:t>
      </w:r>
      <w:r>
        <w:rPr>
          <w:color w:val="231F20"/>
        </w:rPr>
        <w:t>1585,</w:t>
      </w:r>
      <w:r>
        <w:rPr>
          <w:color w:val="231F20"/>
          <w:spacing w:val="-5"/>
        </w:rPr>
        <w:t> </w:t>
      </w:r>
      <w:r>
        <w:rPr>
          <w:color w:val="231F20"/>
        </w:rPr>
        <w:t>1586,1587,</w:t>
      </w:r>
      <w:r>
        <w:rPr>
          <w:color w:val="231F20"/>
          <w:spacing w:val="-5"/>
        </w:rPr>
        <w:t> </w:t>
      </w:r>
      <w:r>
        <w:rPr>
          <w:color w:val="231F20"/>
        </w:rPr>
        <w:t>1588,</w:t>
      </w:r>
      <w:r>
        <w:rPr>
          <w:color w:val="231F20"/>
          <w:spacing w:val="-5"/>
        </w:rPr>
        <w:t> </w:t>
      </w:r>
      <w:r>
        <w:rPr>
          <w:color w:val="231F20"/>
        </w:rPr>
        <w:t>1570,</w:t>
      </w:r>
      <w:r>
        <w:rPr>
          <w:color w:val="231F20"/>
          <w:spacing w:val="-5"/>
        </w:rPr>
        <w:t> </w:t>
      </w:r>
      <w:r>
        <w:rPr>
          <w:color w:val="231F20"/>
        </w:rPr>
        <w:t>1571/1,</w:t>
      </w:r>
      <w:r>
        <w:rPr>
          <w:color w:val="231F20"/>
          <w:spacing w:val="-5"/>
        </w:rPr>
        <w:t> </w:t>
      </w:r>
      <w:r>
        <w:rPr>
          <w:color w:val="231F20"/>
        </w:rPr>
        <w:t>1571/2,</w:t>
      </w:r>
      <w:r>
        <w:rPr>
          <w:color w:val="231F20"/>
          <w:spacing w:val="-5"/>
        </w:rPr>
        <w:t> </w:t>
      </w:r>
      <w:r>
        <w:rPr>
          <w:color w:val="231F20"/>
        </w:rPr>
        <w:t>1860,</w:t>
      </w:r>
    </w:p>
    <w:p>
      <w:pPr>
        <w:pStyle w:val="BodyText"/>
        <w:spacing w:line="200" w:lineRule="exact"/>
        <w:ind w:left="453"/>
        <w:jc w:val="left"/>
      </w:pPr>
      <w:r>
        <w:rPr>
          <w:color w:val="231F20"/>
        </w:rPr>
        <w:t>1861, 1862, 1863, 1864, 1865, 1866, 1867, 1868, 1869, 1870, 1871,</w:t>
      </w:r>
    </w:p>
    <w:p>
      <w:pPr>
        <w:pStyle w:val="BodyText"/>
        <w:spacing w:line="200" w:lineRule="exact"/>
        <w:ind w:left="453"/>
        <w:jc w:val="left"/>
      </w:pPr>
      <w:r>
        <w:rPr>
          <w:color w:val="231F20"/>
        </w:rPr>
        <w:t>1872, 1873, 1874, 1875, 1876, 1877, 1878, 1879, 1880, 1881, 1882,</w:t>
      </w:r>
    </w:p>
    <w:p>
      <w:pPr>
        <w:pStyle w:val="BodyText"/>
        <w:spacing w:line="200" w:lineRule="exact"/>
        <w:ind w:left="453"/>
        <w:jc w:val="left"/>
      </w:pPr>
      <w:r>
        <w:rPr>
          <w:color w:val="231F20"/>
        </w:rPr>
        <w:t>1883, 1884, 1885, 1886, 1887, 1888, 1889, 1890, 1891, 1892, 1893,</w:t>
      </w:r>
    </w:p>
    <w:p>
      <w:pPr>
        <w:pStyle w:val="BodyText"/>
        <w:spacing w:line="200" w:lineRule="exact"/>
        <w:ind w:left="453"/>
        <w:jc w:val="left"/>
      </w:pPr>
      <w:r>
        <w:rPr>
          <w:color w:val="231F20"/>
        </w:rPr>
        <w:t>1894, 1895, 1896, 1897, 1898, 1899, 1900, 1901, 1902, 1903, 1904,</w:t>
      </w:r>
    </w:p>
    <w:p>
      <w:pPr>
        <w:pStyle w:val="BodyText"/>
        <w:spacing w:line="200" w:lineRule="exact"/>
        <w:ind w:left="453"/>
        <w:jc w:val="left"/>
      </w:pPr>
      <w:r>
        <w:rPr>
          <w:color w:val="231F20"/>
        </w:rPr>
        <w:t>1905, 1906, 1907, 1908, 1909, 1910, 1911, 1912, 1913, 1914, 1915,</w:t>
      </w:r>
    </w:p>
    <w:p>
      <w:pPr>
        <w:pStyle w:val="BodyText"/>
        <w:spacing w:line="200" w:lineRule="exact"/>
        <w:ind w:left="453"/>
        <w:jc w:val="left"/>
      </w:pPr>
      <w:r>
        <w:rPr>
          <w:color w:val="231F20"/>
        </w:rPr>
        <w:t>1916, 1917, 1918, 1919, 1920, 1921, 2904,</w:t>
      </w:r>
    </w:p>
    <w:p>
      <w:pPr>
        <w:pStyle w:val="BodyText"/>
        <w:spacing w:line="200" w:lineRule="exact"/>
        <w:ind w:left="850"/>
        <w:jc w:val="left"/>
      </w:pPr>
      <w:r>
        <w:rPr>
          <w:color w:val="231F20"/>
        </w:rPr>
        <w:t>КО Брадарац:</w:t>
      </w:r>
    </w:p>
    <w:p>
      <w:pPr>
        <w:pStyle w:val="BodyText"/>
        <w:spacing w:line="200" w:lineRule="exact"/>
        <w:ind w:left="850"/>
        <w:jc w:val="left"/>
      </w:pPr>
      <w:r>
        <w:rPr>
          <w:color w:val="231F20"/>
        </w:rPr>
        <w:t>део: 2310, 2311, 2312, 2313, 2314, 2327, 2329, 2330, 2333,</w:t>
      </w:r>
    </w:p>
    <w:p>
      <w:pPr>
        <w:pStyle w:val="BodyText"/>
        <w:spacing w:line="200" w:lineRule="exact"/>
        <w:ind w:left="453"/>
        <w:jc w:val="left"/>
      </w:pPr>
      <w:r>
        <w:rPr>
          <w:color w:val="231F20"/>
        </w:rPr>
        <w:t>2334, 2337, 2341, 2342, 2347, 2348, 2349, 2350, 2351, 2352, 2519,</w:t>
      </w:r>
    </w:p>
    <w:p>
      <w:pPr>
        <w:pStyle w:val="BodyText"/>
        <w:spacing w:line="200" w:lineRule="exact"/>
        <w:ind w:left="453"/>
        <w:jc w:val="left"/>
      </w:pPr>
      <w:r>
        <w:rPr>
          <w:color w:val="231F20"/>
        </w:rPr>
        <w:t>2555, 2556, 2557, 2568, 2569, 2570, 2571, 2572, 2573, 2574, 2575,</w:t>
      </w:r>
    </w:p>
    <w:p>
      <w:pPr>
        <w:pStyle w:val="BodyText"/>
        <w:spacing w:line="200" w:lineRule="exact"/>
        <w:ind w:left="453"/>
        <w:jc w:val="left"/>
      </w:pPr>
      <w:r>
        <w:rPr>
          <w:color w:val="231F20"/>
        </w:rPr>
        <w:t>2582, 2583, 2584, 2586, 2653, 2658, 2659, 2660, 2661, 2662, 2663,</w:t>
      </w:r>
    </w:p>
    <w:p>
      <w:pPr>
        <w:pStyle w:val="BodyText"/>
        <w:spacing w:line="200" w:lineRule="exact"/>
        <w:ind w:left="453"/>
        <w:jc w:val="left"/>
      </w:pPr>
      <w:r>
        <w:rPr>
          <w:color w:val="231F20"/>
        </w:rPr>
        <w:t>2664, 2665, 2671, 2965, 3027, 3028, 3029, 3030, 3352, 3398,</w:t>
      </w:r>
    </w:p>
    <w:p>
      <w:pPr>
        <w:pStyle w:val="BodyText"/>
        <w:spacing w:line="200" w:lineRule="exact"/>
        <w:ind w:left="850"/>
        <w:jc w:val="left"/>
      </w:pPr>
      <w:r>
        <w:rPr>
          <w:color w:val="231F20"/>
        </w:rPr>
        <w:t>целе: 2298, 2299, 2300, 2301, 2302, 2303, 2304, 2305, 2306,</w:t>
      </w:r>
    </w:p>
    <w:p>
      <w:pPr>
        <w:pStyle w:val="BodyText"/>
        <w:spacing w:line="200" w:lineRule="exact"/>
        <w:ind w:left="453"/>
        <w:jc w:val="left"/>
      </w:pPr>
      <w:r>
        <w:rPr>
          <w:color w:val="231F20"/>
        </w:rPr>
        <w:t>2307, 2308, 2309/1, 2309/2, 2309/3, 2335, 2336, 2343, 2344, 2345,</w:t>
      </w:r>
    </w:p>
    <w:p>
      <w:pPr>
        <w:pStyle w:val="BodyText"/>
        <w:spacing w:line="200" w:lineRule="exact"/>
        <w:ind w:left="453"/>
        <w:jc w:val="left"/>
      </w:pPr>
      <w:r>
        <w:rPr>
          <w:color w:val="231F20"/>
        </w:rPr>
        <w:t>2346, 2558, 2559, 2560, 2576, 2577, 2578, 2579, 2580, 2581, 2585,</w:t>
      </w:r>
    </w:p>
    <w:p>
      <w:pPr>
        <w:pStyle w:val="BodyText"/>
        <w:spacing w:line="200" w:lineRule="exact"/>
        <w:ind w:left="453"/>
        <w:jc w:val="left"/>
      </w:pPr>
      <w:r>
        <w:rPr>
          <w:color w:val="231F20"/>
        </w:rPr>
        <w:t>2587, 2588, 2589, 2590, 2591, 2592, 2593, 2594, 2595, 2596, 2597,</w:t>
      </w:r>
    </w:p>
    <w:p>
      <w:pPr>
        <w:pStyle w:val="BodyText"/>
        <w:spacing w:line="200" w:lineRule="exact"/>
        <w:ind w:left="453"/>
        <w:jc w:val="left"/>
      </w:pPr>
      <w:r>
        <w:rPr>
          <w:color w:val="231F20"/>
        </w:rPr>
        <w:t>2598, 2599, 2600, 2601, 2602, 2603, 2604, 2605, 2606, 2607, 2608,</w:t>
      </w:r>
    </w:p>
    <w:p>
      <w:pPr>
        <w:pStyle w:val="BodyText"/>
        <w:spacing w:line="200" w:lineRule="exact"/>
        <w:ind w:left="453"/>
        <w:jc w:val="left"/>
      </w:pPr>
      <w:r>
        <w:rPr>
          <w:color w:val="231F20"/>
        </w:rPr>
        <w:t>2609, 2610, 2611, 2612, 2613, 2614, 2615, 2616, 2617, 2618, 2619,</w:t>
      </w:r>
    </w:p>
    <w:p>
      <w:pPr>
        <w:pStyle w:val="BodyText"/>
        <w:spacing w:line="200" w:lineRule="exact"/>
        <w:ind w:left="453"/>
        <w:jc w:val="left"/>
      </w:pPr>
      <w:r>
        <w:rPr>
          <w:color w:val="231F20"/>
        </w:rPr>
        <w:t>2620, 2621, 2622, 2623, 2624, 2625, 2626, 2627, 2628, 2629, 2630,</w:t>
      </w:r>
    </w:p>
    <w:p>
      <w:pPr>
        <w:pStyle w:val="BodyText"/>
        <w:spacing w:line="200" w:lineRule="exact"/>
        <w:ind w:left="453"/>
        <w:jc w:val="left"/>
      </w:pPr>
      <w:r>
        <w:rPr>
          <w:color w:val="231F20"/>
        </w:rPr>
        <w:t>2631, 2632, 2633, 2634, 2635, 2636, 2637, 2638, 2639, 2640, 2641,</w:t>
      </w:r>
    </w:p>
    <w:p>
      <w:pPr>
        <w:pStyle w:val="BodyText"/>
        <w:spacing w:line="200" w:lineRule="exact"/>
        <w:ind w:left="453"/>
        <w:jc w:val="left"/>
      </w:pPr>
      <w:r>
        <w:rPr>
          <w:color w:val="231F20"/>
        </w:rPr>
        <w:t>2642, 2643, 2644, 2645, 2646, 2647, 2648, 2649, 2650, 2651, 2652,</w:t>
      </w:r>
    </w:p>
    <w:p>
      <w:pPr>
        <w:pStyle w:val="BodyText"/>
        <w:spacing w:line="200" w:lineRule="exact"/>
        <w:ind w:left="453"/>
        <w:jc w:val="left"/>
      </w:pPr>
      <w:r>
        <w:rPr>
          <w:color w:val="231F20"/>
        </w:rPr>
        <w:t>2654, 2655, 2656, 2657,3001, 3002, 3003, 3004, 3005, 3006, 3007,</w:t>
      </w:r>
    </w:p>
    <w:p>
      <w:pPr>
        <w:pStyle w:val="BodyText"/>
        <w:spacing w:line="200" w:lineRule="exact"/>
        <w:ind w:left="453"/>
        <w:jc w:val="left"/>
      </w:pPr>
      <w:r>
        <w:rPr>
          <w:color w:val="231F20"/>
        </w:rPr>
        <w:t>3008, 3009, 3010, 3011, 3012, 3013, 3014, 3015, 3016, 3017, 3018,</w:t>
      </w:r>
    </w:p>
    <w:p>
      <w:pPr>
        <w:pStyle w:val="BodyText"/>
        <w:spacing w:line="204" w:lineRule="exact"/>
        <w:ind w:left="453"/>
        <w:jc w:val="left"/>
      </w:pPr>
      <w:r>
        <w:rPr>
          <w:color w:val="231F20"/>
        </w:rPr>
        <w:t>3019, 3020, 3021, 3022, 3031, 3032, 3034, 3035, 3036, 3037, 3038,</w:t>
      </w:r>
    </w:p>
    <w:p>
      <w:pPr>
        <w:pStyle w:val="BodyText"/>
        <w:spacing w:line="204" w:lineRule="exact" w:before="64"/>
        <w:ind w:left="242"/>
        <w:jc w:val="left"/>
      </w:pPr>
      <w:r>
        <w:rPr/>
        <w:br w:type="column"/>
      </w:r>
      <w:r>
        <w:rPr>
          <w:color w:val="231F20"/>
        </w:rPr>
        <w:t>3039, 3040, 3041, 3042, 3043, 3044, 3045, 3046, 3047, 3048, 3049,</w:t>
      </w:r>
    </w:p>
    <w:p>
      <w:pPr>
        <w:pStyle w:val="BodyText"/>
        <w:spacing w:line="201" w:lineRule="exact"/>
        <w:ind w:left="242"/>
        <w:jc w:val="left"/>
      </w:pPr>
      <w:r>
        <w:rPr>
          <w:color w:val="231F20"/>
        </w:rPr>
        <w:t>3050, 3051, 3052, 3053, 3054, 3055, 3056,</w:t>
      </w:r>
    </w:p>
    <w:p>
      <w:pPr>
        <w:pStyle w:val="BodyText"/>
        <w:spacing w:line="232" w:lineRule="auto" w:before="2"/>
        <w:ind w:left="639" w:right="3352"/>
        <w:jc w:val="left"/>
      </w:pPr>
      <w:r>
        <w:rPr>
          <w:color w:val="231F20"/>
        </w:rPr>
        <w:t>КО Ћириковац: део: 1551/1</w:t>
      </w:r>
    </w:p>
    <w:p>
      <w:pPr>
        <w:pStyle w:val="BodyText"/>
        <w:spacing w:line="195" w:lineRule="exact"/>
        <w:ind w:left="639"/>
        <w:jc w:val="left"/>
      </w:pPr>
      <w:r>
        <w:rPr>
          <w:color w:val="231F20"/>
        </w:rPr>
        <w:t>КО Маљуревац:</w:t>
      </w:r>
    </w:p>
    <w:p>
      <w:pPr>
        <w:pStyle w:val="BodyText"/>
        <w:spacing w:line="197" w:lineRule="exact"/>
        <w:ind w:left="639"/>
        <w:jc w:val="left"/>
      </w:pPr>
      <w:r>
        <w:rPr>
          <w:color w:val="231F20"/>
        </w:rPr>
        <w:t>део: 1153, 1154, 1155, 1161, 1164, 1166, 1168, 1169/1,  1169/2,</w:t>
      </w:r>
    </w:p>
    <w:p>
      <w:pPr>
        <w:pStyle w:val="BodyText"/>
        <w:spacing w:line="197" w:lineRule="exact"/>
        <w:ind w:left="242"/>
        <w:jc w:val="left"/>
      </w:pPr>
      <w:r>
        <w:rPr>
          <w:color w:val="231F20"/>
        </w:rPr>
        <w:t>1170,  1171,  1172,  1174/2,  1177,  1178,  1195,  1197,  1202/1, 1326,</w:t>
      </w:r>
    </w:p>
    <w:p>
      <w:pPr>
        <w:pStyle w:val="BodyText"/>
        <w:spacing w:line="197" w:lineRule="exact"/>
        <w:ind w:left="242"/>
        <w:jc w:val="left"/>
      </w:pPr>
      <w:r>
        <w:rPr>
          <w:color w:val="231F20"/>
        </w:rPr>
        <w:t>1328/1, 1328/2, 1329/1, 1341, 1342, 1345, 1349, 1358, 1371, 1395/1,</w:t>
      </w:r>
    </w:p>
    <w:p>
      <w:pPr>
        <w:pStyle w:val="BodyText"/>
        <w:spacing w:line="197" w:lineRule="exact"/>
        <w:ind w:left="242"/>
        <w:jc w:val="left"/>
      </w:pPr>
      <w:r>
        <w:rPr>
          <w:color w:val="231F20"/>
        </w:rPr>
        <w:t>1395/2, 1396, 1397, 1489, 1492, 1493, 1503, 1504/1, 1504/2, 1505,</w:t>
      </w:r>
    </w:p>
    <w:p>
      <w:pPr>
        <w:pStyle w:val="BodyText"/>
        <w:spacing w:line="197" w:lineRule="exact"/>
        <w:ind w:left="242"/>
        <w:jc w:val="left"/>
      </w:pPr>
      <w:r>
        <w:rPr>
          <w:color w:val="231F20"/>
        </w:rPr>
        <w:t>1510,  1521/1,  1531/2,  1534,  1535,  1536,  1596,  1600,  1607, 1611,</w:t>
      </w:r>
    </w:p>
    <w:p>
      <w:pPr>
        <w:pStyle w:val="BodyText"/>
        <w:spacing w:line="197" w:lineRule="exact"/>
        <w:ind w:left="242"/>
        <w:jc w:val="left"/>
      </w:pPr>
      <w:r>
        <w:rPr>
          <w:color w:val="231F20"/>
        </w:rPr>
        <w:t>1612/1, 1662, 1744, 1745, 1746, 1747, 1753, 1769, 1777, 1778,  1779,</w:t>
      </w:r>
    </w:p>
    <w:p>
      <w:pPr>
        <w:pStyle w:val="BodyText"/>
        <w:spacing w:line="197" w:lineRule="exact"/>
        <w:ind w:left="242"/>
        <w:jc w:val="left"/>
      </w:pPr>
      <w:r>
        <w:rPr>
          <w:color w:val="231F20"/>
        </w:rPr>
        <w:t>1781, 1801, 1836, 1837,1838, 1851, 1860, 1867/2, 1868/1, 1869/1,</w:t>
      </w:r>
    </w:p>
    <w:p>
      <w:pPr>
        <w:pStyle w:val="BodyText"/>
        <w:spacing w:line="197" w:lineRule="exact"/>
        <w:ind w:left="242"/>
        <w:jc w:val="left"/>
      </w:pPr>
      <w:r>
        <w:rPr>
          <w:color w:val="231F20"/>
        </w:rPr>
        <w:t>1870/1, 1871/1, 1873, 1874, целе: 1162, 1163, 1167, 1179/1, 1179/2,</w:t>
      </w:r>
    </w:p>
    <w:p>
      <w:pPr>
        <w:pStyle w:val="BodyText"/>
        <w:spacing w:line="197" w:lineRule="exact"/>
        <w:ind w:left="242"/>
        <w:jc w:val="left"/>
      </w:pPr>
      <w:r>
        <w:rPr>
          <w:color w:val="231F20"/>
        </w:rPr>
        <w:t>1180, 1181, 1182, 1183, 1184, 1185, 1186, 1187, 1188, 1189, 1190,</w:t>
      </w:r>
    </w:p>
    <w:p>
      <w:pPr>
        <w:pStyle w:val="BodyText"/>
        <w:spacing w:line="197" w:lineRule="exact"/>
        <w:ind w:left="242"/>
        <w:jc w:val="left"/>
      </w:pPr>
      <w:r>
        <w:rPr>
          <w:color w:val="231F20"/>
        </w:rPr>
        <w:t>1191, 1192, 1193, 1194, 1198, 1199, 1200, 1329/2, 1330/1, 1330/2,</w:t>
      </w:r>
    </w:p>
    <w:p>
      <w:pPr>
        <w:pStyle w:val="BodyText"/>
        <w:spacing w:line="197" w:lineRule="exact"/>
        <w:ind w:left="242"/>
        <w:jc w:val="left"/>
      </w:pPr>
      <w:r>
        <w:rPr>
          <w:color w:val="231F20"/>
        </w:rPr>
        <w:t>1331/1,  1331/2,  1332,  1333,  1334,  1335,  1336,  1337,  1338, 1339,</w:t>
      </w:r>
    </w:p>
    <w:p>
      <w:pPr>
        <w:pStyle w:val="BodyText"/>
        <w:spacing w:line="197" w:lineRule="exact"/>
        <w:ind w:left="242"/>
        <w:jc w:val="left"/>
      </w:pPr>
      <w:r>
        <w:rPr>
          <w:color w:val="231F20"/>
        </w:rPr>
        <w:t>1340, 1343/1, 1343/2, 1344, 1346, 1347, 1348, 1359, 1360, 1361/1,</w:t>
      </w:r>
    </w:p>
    <w:p>
      <w:pPr>
        <w:pStyle w:val="BodyText"/>
        <w:spacing w:line="197" w:lineRule="exact"/>
        <w:ind w:left="242"/>
        <w:jc w:val="left"/>
      </w:pPr>
      <w:r>
        <w:rPr>
          <w:color w:val="231F20"/>
        </w:rPr>
        <w:t>1361/2, 1362, 1363, 1364, 1365, 1366, 1367, 1368, 1369, 1370,  1372,</w:t>
      </w:r>
    </w:p>
    <w:p>
      <w:pPr>
        <w:pStyle w:val="BodyText"/>
        <w:spacing w:line="197" w:lineRule="exact"/>
        <w:ind w:left="242"/>
        <w:jc w:val="left"/>
      </w:pPr>
      <w:r>
        <w:rPr>
          <w:color w:val="231F20"/>
        </w:rPr>
        <w:t>1494, 1495, 1496, 1497, 1498, 1499, 1500, 1501, 1502, 1506, 1507,</w:t>
      </w:r>
    </w:p>
    <w:p>
      <w:pPr>
        <w:pStyle w:val="BodyText"/>
        <w:spacing w:line="197" w:lineRule="exact"/>
        <w:ind w:left="242"/>
        <w:jc w:val="left"/>
      </w:pPr>
      <w:r>
        <w:rPr>
          <w:color w:val="231F20"/>
        </w:rPr>
        <w:t>1508, 1509/1, 1509/2, 1511, 1512, 1513, 1514, 1515/1, 1515/2, 1516,</w:t>
      </w:r>
    </w:p>
    <w:p>
      <w:pPr>
        <w:pStyle w:val="BodyText"/>
        <w:spacing w:line="197" w:lineRule="exact"/>
        <w:ind w:left="242"/>
        <w:jc w:val="left"/>
      </w:pPr>
      <w:r>
        <w:rPr>
          <w:color w:val="231F20"/>
        </w:rPr>
        <w:t>1517, 1518, 1519, 1520, 1532, 1533, 1597, 1598, 1599, 1601, 1602,</w:t>
      </w:r>
    </w:p>
    <w:p>
      <w:pPr>
        <w:pStyle w:val="BodyText"/>
        <w:spacing w:line="197" w:lineRule="exact"/>
        <w:ind w:left="242"/>
        <w:jc w:val="left"/>
      </w:pPr>
      <w:r>
        <w:rPr>
          <w:color w:val="231F20"/>
        </w:rPr>
        <w:t>1603, 1604, 1605, 1606, 1612/2, 1613, 1614, 1615, 1616, 1617,  1618,</w:t>
      </w:r>
    </w:p>
    <w:p>
      <w:pPr>
        <w:pStyle w:val="BodyText"/>
        <w:spacing w:line="197" w:lineRule="exact"/>
        <w:ind w:left="242"/>
        <w:jc w:val="left"/>
      </w:pPr>
      <w:r>
        <w:rPr>
          <w:color w:val="231F20"/>
        </w:rPr>
        <w:t>1619, 1620, 1621, 1622, 1623, 1624, 1625, 1626, 1627, 1628, 1629,</w:t>
      </w:r>
    </w:p>
    <w:p>
      <w:pPr>
        <w:pStyle w:val="BodyText"/>
        <w:spacing w:line="197" w:lineRule="exact"/>
        <w:ind w:left="242"/>
        <w:jc w:val="left"/>
      </w:pPr>
      <w:r>
        <w:rPr>
          <w:color w:val="231F20"/>
        </w:rPr>
        <w:t>1630,  1631,  1632,  1633,  1634,  1635,  1636,  1637/1,  1637/2, 1638,</w:t>
      </w:r>
    </w:p>
    <w:p>
      <w:pPr>
        <w:pStyle w:val="BodyText"/>
        <w:spacing w:line="197" w:lineRule="exact"/>
        <w:ind w:left="242"/>
        <w:jc w:val="left"/>
      </w:pPr>
      <w:r>
        <w:rPr>
          <w:color w:val="231F20"/>
        </w:rPr>
        <w:t>1648,  1649,  1650/1,  1650/2,  1652,  1653,  1654,  1655,  1656, 1657,</w:t>
      </w:r>
    </w:p>
    <w:p>
      <w:pPr>
        <w:pStyle w:val="BodyText"/>
        <w:spacing w:line="197" w:lineRule="exact"/>
        <w:ind w:left="242"/>
        <w:jc w:val="left"/>
      </w:pPr>
      <w:r>
        <w:rPr>
          <w:color w:val="231F20"/>
        </w:rPr>
        <w:t>1658,  1659,  1660/1,  1660/2,  1661,  1748,  1749,  1754,  1756, 1757,</w:t>
      </w:r>
    </w:p>
    <w:p>
      <w:pPr>
        <w:pStyle w:val="BodyText"/>
        <w:spacing w:line="197" w:lineRule="exact"/>
        <w:ind w:left="242"/>
        <w:jc w:val="left"/>
      </w:pPr>
      <w:r>
        <w:rPr>
          <w:color w:val="231F20"/>
        </w:rPr>
        <w:t>1760/1,  1760/2,  1761,  1762,  1763,  1764,  1765,  1766,  1767, 1768,</w:t>
      </w:r>
    </w:p>
    <w:p>
      <w:pPr>
        <w:pStyle w:val="BodyText"/>
        <w:spacing w:line="197" w:lineRule="exact"/>
        <w:ind w:left="242"/>
        <w:jc w:val="left"/>
      </w:pPr>
      <w:r>
        <w:rPr>
          <w:color w:val="231F20"/>
        </w:rPr>
        <w:t>1770, 1771, 1772, 1773, 1774, 1775, 1776, 1780, 1819, 1820, 1821,</w:t>
      </w:r>
    </w:p>
    <w:p>
      <w:pPr>
        <w:pStyle w:val="BodyText"/>
        <w:spacing w:line="197" w:lineRule="exact"/>
        <w:ind w:left="242"/>
        <w:jc w:val="left"/>
      </w:pPr>
      <w:r>
        <w:rPr>
          <w:color w:val="231F20"/>
        </w:rPr>
        <w:t>1822, 1823, 1824, 1825, 1826, 1827, 1828, 1829, 1830, 1831, 1832,</w:t>
      </w:r>
    </w:p>
    <w:p>
      <w:pPr>
        <w:pStyle w:val="BodyText"/>
        <w:spacing w:line="197" w:lineRule="exact"/>
        <w:ind w:left="242"/>
        <w:jc w:val="left"/>
      </w:pPr>
      <w:r>
        <w:rPr>
          <w:color w:val="231F20"/>
        </w:rPr>
        <w:t>1833, 1834, 1835;</w:t>
      </w:r>
    </w:p>
    <w:p>
      <w:pPr>
        <w:pStyle w:val="ListParagraph"/>
        <w:numPr>
          <w:ilvl w:val="1"/>
          <w:numId w:val="72"/>
        </w:numPr>
        <w:tabs>
          <w:tab w:pos="835" w:val="left" w:leader="none"/>
        </w:tabs>
        <w:spacing w:line="228" w:lineRule="auto" w:before="4" w:after="0"/>
        <w:ind w:left="639" w:right="2581" w:firstLine="0"/>
        <w:jc w:val="left"/>
        <w:rPr>
          <w:sz w:val="18"/>
        </w:rPr>
      </w:pPr>
      <w:r>
        <w:rPr>
          <w:color w:val="231F20"/>
          <w:sz w:val="18"/>
        </w:rPr>
        <w:t>Трећа потцелина</w:t>
      </w:r>
      <w:r>
        <w:rPr>
          <w:color w:val="231F20"/>
          <w:spacing w:val="-25"/>
          <w:sz w:val="18"/>
        </w:rPr>
        <w:t> </w:t>
      </w:r>
      <w:r>
        <w:rPr>
          <w:color w:val="231F20"/>
          <w:sz w:val="18"/>
        </w:rPr>
        <w:t>обухвата: </w:t>
      </w:r>
      <w:r>
        <w:rPr>
          <w:color w:val="231F20"/>
          <w:spacing w:val="-3"/>
          <w:sz w:val="18"/>
        </w:rPr>
        <w:t>КО</w:t>
      </w:r>
      <w:r>
        <w:rPr>
          <w:color w:val="231F20"/>
          <w:spacing w:val="-2"/>
          <w:sz w:val="18"/>
        </w:rPr>
        <w:t> </w:t>
      </w:r>
      <w:r>
        <w:rPr>
          <w:color w:val="231F20"/>
          <w:sz w:val="18"/>
        </w:rPr>
        <w:t>Брадарац:</w:t>
      </w:r>
    </w:p>
    <w:p>
      <w:pPr>
        <w:pStyle w:val="BodyText"/>
        <w:spacing w:line="195" w:lineRule="exact"/>
        <w:ind w:left="639"/>
        <w:jc w:val="left"/>
      </w:pPr>
      <w:r>
        <w:rPr>
          <w:color w:val="231F20"/>
        </w:rPr>
        <w:t>део: 2519, 2671, 2672, 2677, 2678,</w:t>
      </w:r>
    </w:p>
    <w:p>
      <w:pPr>
        <w:pStyle w:val="BodyText"/>
        <w:spacing w:line="197" w:lineRule="exact"/>
        <w:ind w:left="639"/>
        <w:jc w:val="left"/>
      </w:pPr>
      <w:r>
        <w:rPr>
          <w:color w:val="231F20"/>
        </w:rPr>
        <w:t>целе: 2520, 2521, 2522, 2523, 2524, 2525, 2526, 2527/1, 2527/2,</w:t>
      </w:r>
    </w:p>
    <w:p>
      <w:pPr>
        <w:pStyle w:val="BodyText"/>
        <w:spacing w:line="197" w:lineRule="exact"/>
        <w:ind w:left="242"/>
        <w:jc w:val="left"/>
      </w:pPr>
      <w:r>
        <w:rPr>
          <w:color w:val="231F20"/>
          <w:spacing w:val="-3"/>
        </w:rPr>
        <w:t>2528,  2529,  2530,  2531,  2532,  2533,  2534,  2535,  2536,  2537, 2538,</w:t>
      </w:r>
    </w:p>
    <w:p>
      <w:pPr>
        <w:pStyle w:val="BodyText"/>
        <w:spacing w:line="197" w:lineRule="exact"/>
        <w:ind w:left="242"/>
        <w:jc w:val="left"/>
      </w:pPr>
      <w:r>
        <w:rPr>
          <w:color w:val="231F20"/>
          <w:spacing w:val="-3"/>
        </w:rPr>
        <w:t>2539,  2540,  2541,  2542,  2543,  2544,  2545,  2546,  2547,  2548, 2549,</w:t>
      </w:r>
    </w:p>
    <w:p>
      <w:pPr>
        <w:pStyle w:val="BodyText"/>
        <w:spacing w:line="197" w:lineRule="exact"/>
        <w:ind w:left="242"/>
        <w:jc w:val="left"/>
      </w:pPr>
      <w:r>
        <w:rPr>
          <w:color w:val="231F20"/>
          <w:spacing w:val="-3"/>
        </w:rPr>
        <w:t>2550, 2551, 2552, 2553, 2666, 2668, 2669, 2670, 2671, 2672, 2673, 2674,</w:t>
      </w:r>
    </w:p>
    <w:p>
      <w:pPr>
        <w:pStyle w:val="BodyText"/>
        <w:spacing w:line="197" w:lineRule="exact"/>
        <w:ind w:left="242"/>
        <w:jc w:val="left"/>
      </w:pPr>
      <w:r>
        <w:rPr>
          <w:color w:val="231F20"/>
        </w:rPr>
        <w:t>2675, 2676, 2917, 2918, 2919, 2920, 2921, 2924, 3024, 3025, 3026.</w:t>
      </w:r>
    </w:p>
    <w:p>
      <w:pPr>
        <w:pStyle w:val="ListParagraph"/>
        <w:numPr>
          <w:ilvl w:val="1"/>
          <w:numId w:val="72"/>
        </w:numPr>
        <w:tabs>
          <w:tab w:pos="842" w:val="left" w:leader="none"/>
        </w:tabs>
        <w:spacing w:line="230" w:lineRule="auto" w:before="2" w:after="0"/>
        <w:ind w:left="242" w:right="128" w:firstLine="397"/>
        <w:jc w:val="both"/>
        <w:rPr>
          <w:sz w:val="18"/>
        </w:rPr>
      </w:pPr>
      <w:r>
        <w:rPr>
          <w:color w:val="231F20"/>
          <w:sz w:val="18"/>
        </w:rPr>
        <w:t>Четврта потцелина обухвата део технолошког коридора за транспорт пепела и шљаке и део коридора за транспорт </w:t>
      </w:r>
      <w:r>
        <w:rPr>
          <w:color w:val="231F20"/>
          <w:spacing w:val="-3"/>
          <w:sz w:val="18"/>
        </w:rPr>
        <w:t>рударске </w:t>
      </w:r>
      <w:r>
        <w:rPr>
          <w:color w:val="231F20"/>
          <w:sz w:val="18"/>
        </w:rPr>
        <w:t>механизације чије су границе аналитички дефинисане координа- тама карактеристичних тачака</w:t>
      </w:r>
      <w:r>
        <w:rPr>
          <w:color w:val="231F20"/>
          <w:position w:val="6"/>
          <w:sz w:val="10"/>
        </w:rPr>
        <w:t>37 </w:t>
      </w:r>
      <w:r>
        <w:rPr>
          <w:color w:val="231F20"/>
          <w:sz w:val="18"/>
        </w:rPr>
        <w:t>у поглављима </w:t>
      </w:r>
      <w:r>
        <w:rPr>
          <w:color w:val="231F20"/>
          <w:spacing w:val="-3"/>
          <w:sz w:val="18"/>
        </w:rPr>
        <w:t>под </w:t>
      </w:r>
      <w:r>
        <w:rPr>
          <w:color w:val="231F20"/>
          <w:sz w:val="18"/>
        </w:rPr>
        <w:t>„3”, „6” и</w:t>
      </w:r>
      <w:r>
        <w:rPr>
          <w:color w:val="231F20"/>
          <w:spacing w:val="-19"/>
          <w:sz w:val="18"/>
        </w:rPr>
        <w:t> </w:t>
      </w:r>
      <w:r>
        <w:rPr>
          <w:color w:val="231F20"/>
          <w:sz w:val="18"/>
        </w:rPr>
        <w:t>„8”.</w:t>
      </w:r>
    </w:p>
    <w:p>
      <w:pPr>
        <w:pStyle w:val="ListParagraph"/>
        <w:numPr>
          <w:ilvl w:val="1"/>
          <w:numId w:val="80"/>
        </w:numPr>
        <w:tabs>
          <w:tab w:pos="2302" w:val="left" w:leader="none"/>
        </w:tabs>
        <w:spacing w:line="240" w:lineRule="auto" w:before="163" w:after="0"/>
        <w:ind w:left="2301" w:right="0" w:hanging="405"/>
        <w:jc w:val="left"/>
        <w:rPr>
          <w:i/>
          <w:sz w:val="18"/>
        </w:rPr>
      </w:pPr>
      <w:r>
        <w:rPr>
          <w:i/>
          <w:color w:val="231F20"/>
          <w:sz w:val="18"/>
        </w:rPr>
        <w:t>Намена</w:t>
      </w:r>
      <w:r>
        <w:rPr>
          <w:i/>
          <w:color w:val="231F20"/>
          <w:spacing w:val="-2"/>
          <w:sz w:val="18"/>
        </w:rPr>
        <w:t> </w:t>
      </w:r>
      <w:r>
        <w:rPr>
          <w:i/>
          <w:color w:val="231F20"/>
          <w:sz w:val="18"/>
        </w:rPr>
        <w:t>простора</w:t>
      </w:r>
    </w:p>
    <w:p>
      <w:pPr>
        <w:pStyle w:val="BodyText"/>
        <w:ind w:left="0"/>
        <w:jc w:val="left"/>
        <w:rPr>
          <w:i/>
          <w:sz w:val="17"/>
        </w:rPr>
      </w:pPr>
    </w:p>
    <w:p>
      <w:pPr>
        <w:pStyle w:val="BodyText"/>
        <w:spacing w:line="228" w:lineRule="auto" w:before="1"/>
        <w:ind w:left="242" w:right="128" w:firstLine="396"/>
      </w:pPr>
      <w:r>
        <w:rPr>
          <w:color w:val="231F20"/>
          <w:spacing w:val="-3"/>
        </w:rPr>
        <w:t>Комплекс </w:t>
      </w:r>
      <w:r>
        <w:rPr>
          <w:color w:val="231F20"/>
        </w:rPr>
        <w:t>„Долине реке Млаве” обухвата површину </w:t>
      </w:r>
      <w:r>
        <w:rPr>
          <w:color w:val="231F20"/>
          <w:spacing w:val="-3"/>
        </w:rPr>
        <w:t>од </w:t>
      </w:r>
      <w:r>
        <w:rPr>
          <w:color w:val="231F20"/>
          <w:spacing w:val="-4"/>
        </w:rPr>
        <w:t>око </w:t>
      </w:r>
      <w:r>
        <w:rPr>
          <w:color w:val="231F20"/>
        </w:rPr>
        <w:t>280,5 ha. У просторном </w:t>
      </w:r>
      <w:r>
        <w:rPr>
          <w:color w:val="231F20"/>
          <w:spacing w:val="-3"/>
        </w:rPr>
        <w:t>обухвату комплекса </w:t>
      </w:r>
      <w:r>
        <w:rPr>
          <w:color w:val="231F20"/>
        </w:rPr>
        <w:t>налази се више раз- личитих намена, </w:t>
      </w:r>
      <w:r>
        <w:rPr>
          <w:color w:val="231F20"/>
          <w:spacing w:val="-3"/>
        </w:rPr>
        <w:t>које </w:t>
      </w:r>
      <w:r>
        <w:rPr>
          <w:color w:val="231F20"/>
        </w:rPr>
        <w:t>се могу идентификовати у оквиру наведених потцелина.</w:t>
      </w:r>
    </w:p>
    <w:p>
      <w:pPr>
        <w:pStyle w:val="BodyText"/>
        <w:spacing w:line="228" w:lineRule="auto" w:before="3"/>
        <w:ind w:left="243" w:right="127" w:firstLine="396"/>
      </w:pPr>
      <w:r>
        <w:rPr>
          <w:color w:val="231F20"/>
        </w:rPr>
        <w:t>Прва потцелина заузима површину око 137,4 ha и намењена је за пошумњавање. Од тога потенцијална локација за ветроелек- тране захвата оквирно oко 20,0 ha. Шумски путеви и стазе за пе- шачење се не обрачунавају посебно.</w:t>
      </w:r>
    </w:p>
    <w:p>
      <w:pPr>
        <w:pStyle w:val="BodyText"/>
        <w:spacing w:line="228" w:lineRule="auto" w:before="3"/>
        <w:ind w:left="243" w:right="127" w:firstLine="396"/>
      </w:pPr>
      <w:r>
        <w:rPr>
          <w:color w:val="231F20"/>
        </w:rPr>
        <w:t>Друга потцелина </w:t>
      </w:r>
      <w:r>
        <w:rPr>
          <w:color w:val="231F20"/>
          <w:spacing w:val="-3"/>
        </w:rPr>
        <w:t>заузима </w:t>
      </w:r>
      <w:r>
        <w:rPr>
          <w:color w:val="231F20"/>
        </w:rPr>
        <w:t>површину </w:t>
      </w:r>
      <w:r>
        <w:rPr>
          <w:color w:val="231F20"/>
          <w:spacing w:val="-4"/>
        </w:rPr>
        <w:t>око </w:t>
      </w:r>
      <w:r>
        <w:rPr>
          <w:color w:val="231F20"/>
        </w:rPr>
        <w:t>107,5 ha и намењена је</w:t>
      </w:r>
      <w:r>
        <w:rPr>
          <w:color w:val="231F20"/>
          <w:spacing w:val="-8"/>
        </w:rPr>
        <w:t> </w:t>
      </w:r>
      <w:r>
        <w:rPr>
          <w:color w:val="231F20"/>
        </w:rPr>
        <w:t>формирању</w:t>
      </w:r>
      <w:r>
        <w:rPr>
          <w:color w:val="231F20"/>
          <w:spacing w:val="-8"/>
        </w:rPr>
        <w:t> </w:t>
      </w:r>
      <w:r>
        <w:rPr>
          <w:color w:val="231F20"/>
        </w:rPr>
        <w:t>плантаже</w:t>
      </w:r>
      <w:r>
        <w:rPr>
          <w:color w:val="231F20"/>
          <w:spacing w:val="-8"/>
        </w:rPr>
        <w:t> </w:t>
      </w:r>
      <w:r>
        <w:rPr>
          <w:color w:val="231F20"/>
        </w:rPr>
        <w:t>брзорастућих</w:t>
      </w:r>
      <w:r>
        <w:rPr>
          <w:color w:val="231F20"/>
          <w:spacing w:val="-8"/>
        </w:rPr>
        <w:t> </w:t>
      </w:r>
      <w:r>
        <w:rPr>
          <w:color w:val="231F20"/>
        </w:rPr>
        <w:t>врста</w:t>
      </w:r>
      <w:r>
        <w:rPr>
          <w:color w:val="231F20"/>
          <w:spacing w:val="-8"/>
        </w:rPr>
        <w:t> </w:t>
      </w:r>
      <w:r>
        <w:rPr>
          <w:color w:val="231F20"/>
        </w:rPr>
        <w:t>за</w:t>
      </w:r>
      <w:r>
        <w:rPr>
          <w:color w:val="231F20"/>
          <w:spacing w:val="-8"/>
        </w:rPr>
        <w:t> </w:t>
      </w:r>
      <w:r>
        <w:rPr>
          <w:color w:val="231F20"/>
        </w:rPr>
        <w:t>производњу</w:t>
      </w:r>
      <w:r>
        <w:rPr>
          <w:color w:val="231F20"/>
          <w:spacing w:val="-8"/>
        </w:rPr>
        <w:t> </w:t>
      </w:r>
      <w:r>
        <w:rPr>
          <w:color w:val="231F20"/>
        </w:rPr>
        <w:t>биома- се.</w:t>
      </w:r>
      <w:r>
        <w:rPr>
          <w:color w:val="231F20"/>
          <w:spacing w:val="-4"/>
        </w:rPr>
        <w:t> </w:t>
      </w:r>
      <w:r>
        <w:rPr>
          <w:color w:val="231F20"/>
        </w:rPr>
        <w:t>Налази</w:t>
      </w:r>
      <w:r>
        <w:rPr>
          <w:color w:val="231F20"/>
          <w:spacing w:val="-4"/>
        </w:rPr>
        <w:t> </w:t>
      </w:r>
      <w:r>
        <w:rPr>
          <w:color w:val="231F20"/>
        </w:rPr>
        <w:t>се</w:t>
      </w:r>
      <w:r>
        <w:rPr>
          <w:color w:val="231F20"/>
          <w:spacing w:val="-4"/>
        </w:rPr>
        <w:t> </w:t>
      </w:r>
      <w:r>
        <w:rPr>
          <w:color w:val="231F20"/>
        </w:rPr>
        <w:t>између</w:t>
      </w:r>
      <w:r>
        <w:rPr>
          <w:color w:val="231F20"/>
          <w:spacing w:val="-4"/>
        </w:rPr>
        <w:t> </w:t>
      </w:r>
      <w:r>
        <w:rPr>
          <w:color w:val="231F20"/>
        </w:rPr>
        <w:t>десне</w:t>
      </w:r>
      <w:r>
        <w:rPr>
          <w:color w:val="231F20"/>
          <w:spacing w:val="-4"/>
        </w:rPr>
        <w:t> </w:t>
      </w:r>
      <w:r>
        <w:rPr>
          <w:color w:val="231F20"/>
        </w:rPr>
        <w:t>обале</w:t>
      </w:r>
      <w:r>
        <w:rPr>
          <w:color w:val="231F20"/>
          <w:spacing w:val="-4"/>
        </w:rPr>
        <w:t> </w:t>
      </w:r>
      <w:r>
        <w:rPr>
          <w:color w:val="231F20"/>
        </w:rPr>
        <w:t>реке</w:t>
      </w:r>
      <w:r>
        <w:rPr>
          <w:color w:val="231F20"/>
          <w:spacing w:val="-4"/>
        </w:rPr>
        <w:t> </w:t>
      </w:r>
      <w:r>
        <w:rPr>
          <w:color w:val="231F20"/>
        </w:rPr>
        <w:t>Млаве</w:t>
      </w:r>
      <w:r>
        <w:rPr>
          <w:color w:val="231F20"/>
          <w:spacing w:val="-4"/>
        </w:rPr>
        <w:t> </w:t>
      </w:r>
      <w:r>
        <w:rPr>
          <w:color w:val="231F20"/>
        </w:rPr>
        <w:t>и</w:t>
      </w:r>
      <w:r>
        <w:rPr>
          <w:color w:val="231F20"/>
          <w:spacing w:val="-4"/>
        </w:rPr>
        <w:t> </w:t>
      </w:r>
      <w:r>
        <w:rPr>
          <w:color w:val="231F20"/>
        </w:rPr>
        <w:t>технолошког</w:t>
      </w:r>
      <w:r>
        <w:rPr>
          <w:color w:val="231F20"/>
          <w:spacing w:val="-4"/>
        </w:rPr>
        <w:t> </w:t>
      </w:r>
      <w:r>
        <w:rPr>
          <w:color w:val="231F20"/>
        </w:rPr>
        <w:t>кори- дора за транспорт пепела и</w:t>
      </w:r>
      <w:r>
        <w:rPr>
          <w:color w:val="231F20"/>
          <w:spacing w:val="-5"/>
        </w:rPr>
        <w:t> </w:t>
      </w:r>
      <w:r>
        <w:rPr>
          <w:color w:val="231F20"/>
        </w:rPr>
        <w:t>шљаке.</w:t>
      </w:r>
    </w:p>
    <w:p>
      <w:pPr>
        <w:pStyle w:val="BodyText"/>
        <w:spacing w:line="228" w:lineRule="auto" w:before="3"/>
        <w:ind w:left="243" w:right="127" w:firstLine="397"/>
      </w:pPr>
      <w:r>
        <w:rPr>
          <w:color w:val="231F20"/>
        </w:rPr>
        <w:t>Трећа потцелина заузима централни и југоисточни део ком- плекса „Долина реке Млаве” близу завршне контуре површинског копа „Ћириковац” површине око 20,6 ha.</w:t>
      </w:r>
    </w:p>
    <w:p>
      <w:pPr>
        <w:pStyle w:val="BodyText"/>
        <w:spacing w:line="228" w:lineRule="auto" w:before="3"/>
        <w:ind w:left="243" w:right="128" w:firstLine="396"/>
      </w:pPr>
      <w:r>
        <w:rPr>
          <w:color w:val="231F20"/>
        </w:rPr>
        <w:t>Манастир</w:t>
      </w:r>
      <w:r>
        <w:rPr>
          <w:color w:val="231F20"/>
          <w:spacing w:val="-11"/>
        </w:rPr>
        <w:t> </w:t>
      </w:r>
      <w:r>
        <w:rPr>
          <w:color w:val="231F20"/>
          <w:spacing w:val="-3"/>
        </w:rPr>
        <w:t>Рукумија</w:t>
      </w:r>
      <w:r>
        <w:rPr>
          <w:color w:val="231F20"/>
          <w:spacing w:val="-11"/>
        </w:rPr>
        <w:t> </w:t>
      </w:r>
      <w:r>
        <w:rPr>
          <w:color w:val="231F20"/>
          <w:spacing w:val="-2"/>
        </w:rPr>
        <w:t>има</w:t>
      </w:r>
      <w:r>
        <w:rPr>
          <w:color w:val="231F20"/>
          <w:spacing w:val="-11"/>
        </w:rPr>
        <w:t> </w:t>
      </w:r>
      <w:r>
        <w:rPr>
          <w:color w:val="231F20"/>
        </w:rPr>
        <w:t>посед</w:t>
      </w:r>
      <w:r>
        <w:rPr>
          <w:color w:val="231F20"/>
          <w:spacing w:val="-11"/>
        </w:rPr>
        <w:t> </w:t>
      </w:r>
      <w:r>
        <w:rPr>
          <w:color w:val="231F20"/>
        </w:rPr>
        <w:t>површине</w:t>
      </w:r>
      <w:r>
        <w:rPr>
          <w:color w:val="231F20"/>
          <w:spacing w:val="-11"/>
        </w:rPr>
        <w:t> </w:t>
      </w:r>
      <w:r>
        <w:rPr>
          <w:color w:val="231F20"/>
          <w:spacing w:val="-5"/>
        </w:rPr>
        <w:t>око</w:t>
      </w:r>
      <w:r>
        <w:rPr>
          <w:color w:val="231F20"/>
          <w:spacing w:val="-11"/>
        </w:rPr>
        <w:t> </w:t>
      </w:r>
      <w:r>
        <w:rPr>
          <w:color w:val="231F20"/>
        </w:rPr>
        <w:t>12,0</w:t>
      </w:r>
      <w:r>
        <w:rPr>
          <w:color w:val="231F20"/>
          <w:spacing w:val="-11"/>
        </w:rPr>
        <w:t> </w:t>
      </w:r>
      <w:r>
        <w:rPr>
          <w:color w:val="231F20"/>
        </w:rPr>
        <w:t>ha,</w:t>
      </w:r>
      <w:r>
        <w:rPr>
          <w:color w:val="231F20"/>
          <w:spacing w:val="-11"/>
        </w:rPr>
        <w:t> </w:t>
      </w:r>
      <w:r>
        <w:rPr>
          <w:color w:val="231F20"/>
          <w:spacing w:val="-5"/>
        </w:rPr>
        <w:t>где</w:t>
      </w:r>
      <w:r>
        <w:rPr>
          <w:color w:val="231F20"/>
          <w:spacing w:val="-11"/>
        </w:rPr>
        <w:t> </w:t>
      </w:r>
      <w:r>
        <w:rPr>
          <w:color w:val="231F20"/>
        </w:rPr>
        <w:t>се</w:t>
      </w:r>
      <w:r>
        <w:rPr>
          <w:color w:val="231F20"/>
          <w:spacing w:val="-11"/>
        </w:rPr>
        <w:t> </w:t>
      </w:r>
      <w:r>
        <w:rPr>
          <w:color w:val="231F20"/>
        </w:rPr>
        <w:t>на- лазе </w:t>
      </w:r>
      <w:r>
        <w:rPr>
          <w:color w:val="231F20"/>
          <w:spacing w:val="-3"/>
        </w:rPr>
        <w:t>црква, два звоника </w:t>
      </w:r>
      <w:r>
        <w:rPr>
          <w:color w:val="231F20"/>
        </w:rPr>
        <w:t>и </w:t>
      </w:r>
      <w:r>
        <w:rPr>
          <w:color w:val="231F20"/>
          <w:spacing w:val="-4"/>
        </w:rPr>
        <w:t>конак, </w:t>
      </w:r>
      <w:r>
        <w:rPr>
          <w:color w:val="231F20"/>
        </w:rPr>
        <w:t>виноград, воћњак, </w:t>
      </w:r>
      <w:r>
        <w:rPr>
          <w:color w:val="231F20"/>
          <w:spacing w:val="-3"/>
        </w:rPr>
        <w:t>ливаде </w:t>
      </w:r>
      <w:r>
        <w:rPr>
          <w:color w:val="231F20"/>
        </w:rPr>
        <w:t>и</w:t>
      </w:r>
      <w:r>
        <w:rPr>
          <w:color w:val="231F20"/>
          <w:spacing w:val="-33"/>
        </w:rPr>
        <w:t> </w:t>
      </w:r>
      <w:r>
        <w:rPr>
          <w:color w:val="231F20"/>
          <w:spacing w:val="-3"/>
        </w:rPr>
        <w:t>шуме.</w:t>
      </w:r>
    </w:p>
    <w:p>
      <w:pPr>
        <w:pStyle w:val="BodyText"/>
        <w:spacing w:line="228" w:lineRule="auto" w:before="2"/>
        <w:ind w:left="243" w:right="127" w:firstLine="396"/>
      </w:pPr>
      <w:r>
        <w:rPr>
          <w:color w:val="231F20"/>
        </w:rPr>
        <w:t>Археолошки</w:t>
      </w:r>
      <w:r>
        <w:rPr>
          <w:color w:val="231F20"/>
          <w:spacing w:val="-7"/>
        </w:rPr>
        <w:t> </w:t>
      </w:r>
      <w:r>
        <w:rPr>
          <w:color w:val="231F20"/>
        </w:rPr>
        <w:t>локалитет</w:t>
      </w:r>
      <w:r>
        <w:rPr>
          <w:color w:val="231F20"/>
          <w:spacing w:val="-7"/>
        </w:rPr>
        <w:t> </w:t>
      </w:r>
      <w:r>
        <w:rPr>
          <w:color w:val="231F20"/>
        </w:rPr>
        <w:t>се</w:t>
      </w:r>
      <w:r>
        <w:rPr>
          <w:color w:val="231F20"/>
          <w:spacing w:val="-7"/>
        </w:rPr>
        <w:t> </w:t>
      </w:r>
      <w:r>
        <w:rPr>
          <w:color w:val="231F20"/>
        </w:rPr>
        <w:t>налази</w:t>
      </w:r>
      <w:r>
        <w:rPr>
          <w:color w:val="231F20"/>
          <w:spacing w:val="-7"/>
        </w:rPr>
        <w:t> </w:t>
      </w:r>
      <w:r>
        <w:rPr>
          <w:color w:val="231F20"/>
        </w:rPr>
        <w:t>југоисточно</w:t>
      </w:r>
      <w:r>
        <w:rPr>
          <w:color w:val="231F20"/>
          <w:spacing w:val="-7"/>
        </w:rPr>
        <w:t> </w:t>
      </w:r>
      <w:r>
        <w:rPr>
          <w:color w:val="231F20"/>
          <w:spacing w:val="-3"/>
        </w:rPr>
        <w:t>од</w:t>
      </w:r>
      <w:r>
        <w:rPr>
          <w:color w:val="231F20"/>
          <w:spacing w:val="-7"/>
        </w:rPr>
        <w:t> </w:t>
      </w:r>
      <w:r>
        <w:rPr>
          <w:color w:val="231F20"/>
        </w:rPr>
        <w:t>манастира</w:t>
      </w:r>
      <w:r>
        <w:rPr>
          <w:color w:val="231F20"/>
          <w:spacing w:val="-7"/>
        </w:rPr>
        <w:t> </w:t>
      </w:r>
      <w:r>
        <w:rPr>
          <w:color w:val="231F20"/>
        </w:rPr>
        <w:t>у окружењу сеоског гробља Брадарца, за </w:t>
      </w:r>
      <w:r>
        <w:rPr>
          <w:color w:val="231F20"/>
          <w:spacing w:val="-3"/>
        </w:rPr>
        <w:t>који </w:t>
      </w:r>
      <w:r>
        <w:rPr>
          <w:color w:val="231F20"/>
        </w:rPr>
        <w:t>није могуће одредити границе.</w:t>
      </w:r>
    </w:p>
    <w:p>
      <w:pPr>
        <w:pStyle w:val="BodyText"/>
        <w:spacing w:line="228" w:lineRule="auto" w:before="2"/>
        <w:ind w:left="243" w:right="127" w:firstLine="396"/>
      </w:pPr>
      <w:r>
        <w:rPr>
          <w:color w:val="231F20"/>
        </w:rPr>
        <w:t>На површини око 6,0 ha на пропланку северно од поседа ма- настира планира се формирање етнопарка под отвореним небом.</w:t>
      </w:r>
    </w:p>
    <w:p>
      <w:pPr>
        <w:pStyle w:val="BodyText"/>
        <w:spacing w:line="228" w:lineRule="auto" w:before="2"/>
        <w:ind w:left="243" w:right="127" w:firstLine="396"/>
      </w:pPr>
      <w:r>
        <w:rPr>
          <w:color w:val="231F20"/>
        </w:rPr>
        <w:t>Четврта потцелина резервисана је за део коридора пепело- вода од ТЕ „Костолац” и ТЕ „Костолац Б” до депоније у унутра- шњем одлагалишту копа „Ћириковац” (око 12,5 ha) и за део кори- дора којим се врши транспорт механизације (око 2,5 ha).</w:t>
      </w:r>
    </w:p>
    <w:p>
      <w:pPr>
        <w:spacing w:line="158" w:lineRule="exact" w:before="0"/>
        <w:ind w:left="242" w:right="0" w:firstLine="0"/>
        <w:jc w:val="left"/>
        <w:rPr>
          <w:sz w:val="14"/>
        </w:rPr>
      </w:pPr>
      <w:r>
        <w:rPr>
          <w:color w:val="231F20"/>
          <w:w w:val="66"/>
          <w:sz w:val="14"/>
        </w:rPr>
        <w:t> </w:t>
      </w:r>
      <w:r>
        <w:rPr>
          <w:color w:val="231F20"/>
          <w:w w:val="75"/>
          <w:sz w:val="14"/>
        </w:rPr>
        <w:t>– – – – – – – – – – – – – –</w:t>
      </w:r>
    </w:p>
    <w:p>
      <w:pPr>
        <w:pStyle w:val="ListParagraph"/>
        <w:numPr>
          <w:ilvl w:val="0"/>
          <w:numId w:val="71"/>
        </w:numPr>
        <w:tabs>
          <w:tab w:pos="527" w:val="left" w:leader="none"/>
        </w:tabs>
        <w:spacing w:line="240" w:lineRule="auto" w:before="0" w:after="0"/>
        <w:ind w:left="526" w:right="128" w:hanging="284"/>
        <w:jc w:val="both"/>
        <w:rPr>
          <w:sz w:val="14"/>
        </w:rPr>
      </w:pPr>
      <w:r>
        <w:rPr>
          <w:color w:val="231F20"/>
          <w:sz w:val="14"/>
        </w:rPr>
        <w:t>Координате тачака у су дате оријентационо, а сама траса се мора кроз одговара- јућу техничку документацију проверити и усагласити са евентуално измењеним трасама других система у истој зони, нарочито с обзиром на редослед реализа- ције појединих</w:t>
      </w:r>
      <w:r>
        <w:rPr>
          <w:color w:val="231F20"/>
          <w:spacing w:val="-2"/>
          <w:sz w:val="14"/>
        </w:rPr>
        <w:t> </w:t>
      </w:r>
      <w:r>
        <w:rPr>
          <w:color w:val="231F20"/>
          <w:sz w:val="14"/>
        </w:rPr>
        <w:t>система.</w:t>
      </w:r>
    </w:p>
    <w:p>
      <w:pPr>
        <w:spacing w:after="0" w:line="240" w:lineRule="auto"/>
        <w:jc w:val="both"/>
        <w:rPr>
          <w:sz w:val="14"/>
        </w:rPr>
        <w:sectPr>
          <w:pgSz w:w="12480" w:h="15690"/>
          <w:pgMar w:top="120" w:bottom="280" w:left="680" w:right="720"/>
          <w:cols w:num="2" w:equalWidth="0">
            <w:col w:w="5557" w:space="40"/>
            <w:col w:w="5483"/>
          </w:cols>
        </w:sectPr>
      </w:pPr>
    </w:p>
    <w:p>
      <w:pPr>
        <w:pStyle w:val="BodyText"/>
        <w:spacing w:line="232" w:lineRule="auto" w:before="73"/>
        <w:ind w:right="39" w:firstLine="397"/>
      </w:pPr>
      <w:r>
        <w:rPr/>
        <w:pict>
          <v:line style="position:absolute;mso-position-horizontal-relative:page;mso-position-vertical-relative:page;z-index:4936" from="304.724396pt,11.942451pt" to="304.724396pt,748.950451pt" stroked="true" strokeweight=".6pt" strokecolor="#231f20">
            <v:stroke dashstyle="solid"/>
            <w10:wrap type="none"/>
          </v:line>
        </w:pict>
      </w:r>
      <w:r>
        <w:rPr>
          <w:color w:val="231F20"/>
        </w:rPr>
        <w:t>Преко комплекса „Долина реке Млаве” планирана је изград- ња/реконструкција локалних саобраћајница које повезују насеља Брадарац, Кленовник и Костолац село и манастир Рукумија.</w:t>
      </w:r>
    </w:p>
    <w:p>
      <w:pPr>
        <w:pStyle w:val="BodyText"/>
        <w:spacing w:line="230" w:lineRule="auto"/>
        <w:ind w:right="40" w:firstLine="396"/>
      </w:pPr>
      <w:r>
        <w:rPr>
          <w:color w:val="231F20"/>
        </w:rPr>
        <w:t>Преко комплекса пролазе два далековода реда 400 kV и три далековода реда 110 kV.</w:t>
      </w:r>
    </w:p>
    <w:p>
      <w:pPr>
        <w:pStyle w:val="ListParagraph"/>
        <w:numPr>
          <w:ilvl w:val="1"/>
          <w:numId w:val="80"/>
        </w:numPr>
        <w:tabs>
          <w:tab w:pos="1490" w:val="left" w:leader="none"/>
        </w:tabs>
        <w:spacing w:line="240" w:lineRule="auto" w:before="160" w:after="0"/>
        <w:ind w:left="1489" w:right="0" w:hanging="405"/>
        <w:jc w:val="left"/>
        <w:rPr>
          <w:i/>
          <w:sz w:val="18"/>
        </w:rPr>
      </w:pPr>
      <w:r>
        <w:rPr>
          <w:i/>
          <w:color w:val="231F20"/>
          <w:sz w:val="18"/>
        </w:rPr>
        <w:t>Правила изградње и правила</w:t>
      </w:r>
      <w:r>
        <w:rPr>
          <w:i/>
          <w:color w:val="231F20"/>
          <w:spacing w:val="-2"/>
          <w:sz w:val="18"/>
        </w:rPr>
        <w:t> </w:t>
      </w:r>
      <w:r>
        <w:rPr>
          <w:i/>
          <w:color w:val="231F20"/>
          <w:sz w:val="18"/>
        </w:rPr>
        <w:t>уређења</w:t>
      </w:r>
    </w:p>
    <w:p>
      <w:pPr>
        <w:pStyle w:val="ListParagraph"/>
        <w:numPr>
          <w:ilvl w:val="2"/>
          <w:numId w:val="80"/>
        </w:numPr>
        <w:tabs>
          <w:tab w:pos="2248" w:val="left" w:leader="none"/>
        </w:tabs>
        <w:spacing w:line="240" w:lineRule="auto" w:before="161" w:after="0"/>
        <w:ind w:left="2247" w:right="0" w:hanging="562"/>
        <w:jc w:val="left"/>
        <w:rPr>
          <w:sz w:val="18"/>
        </w:rPr>
      </w:pPr>
      <w:r>
        <w:rPr>
          <w:color w:val="231F20"/>
          <w:spacing w:val="13"/>
          <w:sz w:val="18"/>
        </w:rPr>
        <w:t>Прва</w:t>
      </w:r>
      <w:r>
        <w:rPr>
          <w:color w:val="231F20"/>
          <w:spacing w:val="42"/>
          <w:sz w:val="18"/>
        </w:rPr>
        <w:t> </w:t>
      </w:r>
      <w:r>
        <w:rPr>
          <w:color w:val="231F20"/>
          <w:spacing w:val="16"/>
          <w:sz w:val="18"/>
        </w:rPr>
        <w:t>потцелина</w:t>
      </w:r>
    </w:p>
    <w:p>
      <w:pPr>
        <w:pStyle w:val="BodyText"/>
        <w:spacing w:before="1"/>
        <w:ind w:left="0"/>
        <w:jc w:val="left"/>
        <w:rPr>
          <w:sz w:val="17"/>
        </w:rPr>
      </w:pPr>
    </w:p>
    <w:p>
      <w:pPr>
        <w:pStyle w:val="BodyText"/>
        <w:spacing w:line="230" w:lineRule="auto"/>
        <w:ind w:left="169" w:right="40" w:firstLine="396"/>
      </w:pPr>
      <w:r>
        <w:rPr>
          <w:color w:val="231F20"/>
        </w:rPr>
        <w:t>Предвиђено је пошумљавање ове потцелине </w:t>
      </w:r>
      <w:r>
        <w:rPr>
          <w:color w:val="231F20"/>
          <w:spacing w:val="-3"/>
        </w:rPr>
        <w:t>која  </w:t>
      </w:r>
      <w:r>
        <w:rPr>
          <w:color w:val="231F20"/>
        </w:rPr>
        <w:t>се уклапа  у концепт „шумске” рекултивације унутрашњих и спољних одла- галишта</w:t>
      </w:r>
      <w:r>
        <w:rPr>
          <w:color w:val="231F20"/>
          <w:spacing w:val="22"/>
        </w:rPr>
        <w:t> </w:t>
      </w:r>
      <w:r>
        <w:rPr>
          <w:color w:val="231F20"/>
        </w:rPr>
        <w:t>јаловине</w:t>
      </w:r>
      <w:r>
        <w:rPr>
          <w:color w:val="231F20"/>
          <w:spacing w:val="22"/>
        </w:rPr>
        <w:t> </w:t>
      </w:r>
      <w:r>
        <w:rPr>
          <w:color w:val="231F20"/>
        </w:rPr>
        <w:t>суседних</w:t>
      </w:r>
      <w:r>
        <w:rPr>
          <w:color w:val="231F20"/>
          <w:spacing w:val="22"/>
        </w:rPr>
        <w:t> </w:t>
      </w:r>
      <w:r>
        <w:rPr>
          <w:color w:val="231F20"/>
        </w:rPr>
        <w:t>површинских</w:t>
      </w:r>
      <w:r>
        <w:rPr>
          <w:color w:val="231F20"/>
          <w:spacing w:val="22"/>
        </w:rPr>
        <w:t> </w:t>
      </w:r>
      <w:r>
        <w:rPr>
          <w:color w:val="231F20"/>
          <w:spacing w:val="-3"/>
        </w:rPr>
        <w:t>копова</w:t>
      </w:r>
      <w:r>
        <w:rPr>
          <w:color w:val="231F20"/>
          <w:spacing w:val="22"/>
        </w:rPr>
        <w:t> </w:t>
      </w:r>
      <w:r>
        <w:rPr>
          <w:color w:val="231F20"/>
        </w:rPr>
        <w:t>„Кленовник”</w:t>
      </w:r>
      <w:r>
        <w:rPr>
          <w:color w:val="231F20"/>
          <w:spacing w:val="22"/>
        </w:rPr>
        <w:t> </w:t>
      </w:r>
      <w:r>
        <w:rPr>
          <w:color w:val="231F20"/>
        </w:rPr>
        <w:t>и</w:t>
      </w:r>
    </w:p>
    <w:p>
      <w:pPr>
        <w:pStyle w:val="BodyText"/>
        <w:spacing w:line="194" w:lineRule="exact"/>
        <w:ind w:left="169"/>
        <w:jc w:val="left"/>
      </w:pPr>
      <w:r>
        <w:rPr>
          <w:color w:val="231F20"/>
        </w:rPr>
        <w:t>„Ћириковац”.</w:t>
      </w:r>
    </w:p>
    <w:p>
      <w:pPr>
        <w:pStyle w:val="BodyText"/>
        <w:spacing w:line="230" w:lineRule="auto" w:before="2"/>
        <w:ind w:left="169" w:right="40" w:firstLine="396"/>
      </w:pPr>
      <w:r>
        <w:rPr>
          <w:color w:val="231F20"/>
        </w:rPr>
        <w:t>Концепт пошумљавања усклађен је са Шумско-привредном основом и Стратегијом одрживог развоја и коришћења шумских ресурса на подручју Републике.</w:t>
      </w:r>
    </w:p>
    <w:p>
      <w:pPr>
        <w:pStyle w:val="BodyText"/>
        <w:spacing w:line="230" w:lineRule="auto"/>
        <w:ind w:left="169" w:right="39" w:firstLine="396"/>
      </w:pPr>
      <w:r>
        <w:rPr>
          <w:color w:val="231F20"/>
        </w:rPr>
        <w:t>Концепт изградње и уређења ове потцелине усклађен је са планираном наменом, постојећим стањем, условима средине и очувања предеоних вредности Пожаревачке греде, односно, веге- тацијских, орографских, геоморфолошких и хидролошких карак- теристика овог подручја.</w:t>
      </w:r>
    </w:p>
    <w:p>
      <w:pPr>
        <w:pStyle w:val="BodyText"/>
        <w:spacing w:line="230" w:lineRule="auto"/>
        <w:ind w:right="39" w:firstLine="396"/>
      </w:pPr>
      <w:r>
        <w:rPr>
          <w:color w:val="231F20"/>
        </w:rPr>
        <w:t>Пошумљавање Планског подручја и газдовање овим повр- шинама је усмерено ка подизању састојина које ће обављати за- штитну функцију али и дугорочно стварање шумских екосистема посебне намене и њиховом повезивању са комплексом манастира Рукумија и његовим непосредним окружењем у циљу стварања излетничко-рекреационог предела. Производња дрвета је друго- степеног значаја и она се спроводи у склопу узгојно-мелиоратив- них мера као производ који има економску вредност.</w:t>
      </w:r>
    </w:p>
    <w:p>
      <w:pPr>
        <w:pStyle w:val="BodyText"/>
        <w:spacing w:line="230" w:lineRule="auto"/>
        <w:ind w:left="169" w:right="39" w:firstLine="397"/>
      </w:pPr>
      <w:r>
        <w:rPr>
          <w:color w:val="231F20"/>
          <w:spacing w:val="-3"/>
        </w:rPr>
        <w:t>Приликом </w:t>
      </w:r>
      <w:r>
        <w:rPr>
          <w:color w:val="231F20"/>
        </w:rPr>
        <w:t>избора врста водити рачуна о еколошким каракте- ристика сваке врсте, односно њеној способности да се прилагоди условима климе и земљишта. </w:t>
      </w:r>
      <w:r>
        <w:rPr>
          <w:color w:val="231F20"/>
          <w:spacing w:val="-3"/>
        </w:rPr>
        <w:t>Такође, </w:t>
      </w:r>
      <w:r>
        <w:rPr>
          <w:color w:val="231F20"/>
        </w:rPr>
        <w:t>неопходно је имати у виду постојећу</w:t>
      </w:r>
      <w:r>
        <w:rPr>
          <w:color w:val="231F20"/>
          <w:spacing w:val="-7"/>
        </w:rPr>
        <w:t> </w:t>
      </w:r>
      <w:r>
        <w:rPr>
          <w:color w:val="231F20"/>
        </w:rPr>
        <w:t>и</w:t>
      </w:r>
      <w:r>
        <w:rPr>
          <w:color w:val="231F20"/>
          <w:spacing w:val="-7"/>
        </w:rPr>
        <w:t> </w:t>
      </w:r>
      <w:r>
        <w:rPr>
          <w:color w:val="231F20"/>
        </w:rPr>
        <w:t>потенцијалну</w:t>
      </w:r>
      <w:r>
        <w:rPr>
          <w:color w:val="231F20"/>
          <w:spacing w:val="-7"/>
        </w:rPr>
        <w:t> </w:t>
      </w:r>
      <w:r>
        <w:rPr>
          <w:color w:val="231F20"/>
        </w:rPr>
        <w:t>загађеност</w:t>
      </w:r>
      <w:r>
        <w:rPr>
          <w:color w:val="231F20"/>
          <w:spacing w:val="-7"/>
        </w:rPr>
        <w:t> </w:t>
      </w:r>
      <w:r>
        <w:rPr>
          <w:color w:val="231F20"/>
        </w:rPr>
        <w:t>ваздуха</w:t>
      </w:r>
      <w:r>
        <w:rPr>
          <w:color w:val="231F20"/>
          <w:spacing w:val="-7"/>
        </w:rPr>
        <w:t> </w:t>
      </w:r>
      <w:r>
        <w:rPr>
          <w:color w:val="231F20"/>
        </w:rPr>
        <w:t>у</w:t>
      </w:r>
      <w:r>
        <w:rPr>
          <w:color w:val="231F20"/>
          <w:spacing w:val="-7"/>
        </w:rPr>
        <w:t> </w:t>
      </w:r>
      <w:r>
        <w:rPr>
          <w:color w:val="231F20"/>
        </w:rPr>
        <w:t>овој</w:t>
      </w:r>
      <w:r>
        <w:rPr>
          <w:color w:val="231F20"/>
          <w:spacing w:val="-7"/>
        </w:rPr>
        <w:t> </w:t>
      </w:r>
      <w:r>
        <w:rPr>
          <w:color w:val="231F20"/>
        </w:rPr>
        <w:t>зони.</w:t>
      </w:r>
      <w:r>
        <w:rPr>
          <w:color w:val="231F20"/>
          <w:spacing w:val="-7"/>
        </w:rPr>
        <w:t> </w:t>
      </w:r>
      <w:r>
        <w:rPr>
          <w:color w:val="231F20"/>
        </w:rPr>
        <w:t>Лишћар- ске врсте су отпорније </w:t>
      </w:r>
      <w:r>
        <w:rPr>
          <w:color w:val="231F20"/>
          <w:spacing w:val="-3"/>
        </w:rPr>
        <w:t>од </w:t>
      </w:r>
      <w:r>
        <w:rPr>
          <w:color w:val="231F20"/>
        </w:rPr>
        <w:t>четинарских јер сваке </w:t>
      </w:r>
      <w:r>
        <w:rPr>
          <w:color w:val="231F20"/>
          <w:spacing w:val="-3"/>
        </w:rPr>
        <w:t>године </w:t>
      </w:r>
      <w:r>
        <w:rPr>
          <w:color w:val="231F20"/>
        </w:rPr>
        <w:t>одбацу-  ју док наредне обнављају асимилативне органе. Са друге стране, четинарске врсте обављају континуалну заштитну функцију свих дванаест месеци годишње. Поред тога, значајaн </w:t>
      </w:r>
      <w:r>
        <w:rPr>
          <w:color w:val="231F20"/>
          <w:spacing w:val="-3"/>
        </w:rPr>
        <w:t>моменат, </w:t>
      </w:r>
      <w:r>
        <w:rPr>
          <w:color w:val="231F20"/>
        </w:rPr>
        <w:t>имајући у виду </w:t>
      </w:r>
      <w:r>
        <w:rPr>
          <w:color w:val="231F20"/>
          <w:spacing w:val="-4"/>
        </w:rPr>
        <w:t>будућу </w:t>
      </w:r>
      <w:r>
        <w:rPr>
          <w:color w:val="231F20"/>
        </w:rPr>
        <w:t>намену простора, је и визуелно декоративни-естет- ски утисак </w:t>
      </w:r>
      <w:r>
        <w:rPr>
          <w:color w:val="231F20"/>
          <w:spacing w:val="-3"/>
        </w:rPr>
        <w:t>који </w:t>
      </w:r>
      <w:r>
        <w:rPr>
          <w:color w:val="231F20"/>
        </w:rPr>
        <w:t>даје свака врста посебно, као и у групним </w:t>
      </w:r>
      <w:r>
        <w:rPr>
          <w:color w:val="231F20"/>
          <w:spacing w:val="-3"/>
        </w:rPr>
        <w:t>компо- </w:t>
      </w:r>
      <w:r>
        <w:rPr>
          <w:color w:val="231F20"/>
        </w:rPr>
        <w:t>зицијама.</w:t>
      </w:r>
    </w:p>
    <w:p>
      <w:pPr>
        <w:pStyle w:val="BodyText"/>
        <w:spacing w:line="190" w:lineRule="exact"/>
        <w:ind w:left="567"/>
        <w:jc w:val="left"/>
      </w:pPr>
      <w:r>
        <w:rPr>
          <w:color w:val="231F20"/>
        </w:rPr>
        <w:t>Правила уређења простора потцелине подразумевају:</w:t>
      </w:r>
    </w:p>
    <w:p>
      <w:pPr>
        <w:pStyle w:val="BodyText"/>
        <w:spacing w:line="198" w:lineRule="exact"/>
        <w:ind w:left="567"/>
        <w:jc w:val="left"/>
      </w:pPr>
      <w:r>
        <w:rPr>
          <w:color w:val="231F20"/>
          <w:w w:val="66"/>
        </w:rPr>
        <w:t> </w:t>
      </w:r>
      <w:r>
        <w:rPr>
          <w:color w:val="231F20"/>
        </w:rPr>
        <w:t>– детаљну валоризацијu постојеће вегетације;</w:t>
      </w:r>
    </w:p>
    <w:p>
      <w:pPr>
        <w:pStyle w:val="BodyText"/>
        <w:spacing w:line="230" w:lineRule="auto"/>
        <w:ind w:right="39" w:firstLine="396"/>
      </w:pPr>
      <w:r>
        <w:rPr>
          <w:color w:val="231F20"/>
          <w:w w:val="66"/>
        </w:rPr>
        <w:t> </w:t>
      </w:r>
      <w:r>
        <w:rPr>
          <w:color w:val="231F20"/>
        </w:rPr>
        <w:t>– уклањање болесних и сувих стабала, односно, посебну припрему терена ради уклањања старих стабала и крчења</w:t>
      </w:r>
      <w:r>
        <w:rPr>
          <w:color w:val="231F20"/>
          <w:spacing w:val="-32"/>
        </w:rPr>
        <w:t> </w:t>
      </w:r>
      <w:r>
        <w:rPr>
          <w:color w:val="231F20"/>
        </w:rPr>
        <w:t>шикаре;</w:t>
      </w:r>
    </w:p>
    <w:p>
      <w:pPr>
        <w:pStyle w:val="BodyText"/>
        <w:spacing w:line="230" w:lineRule="auto"/>
        <w:ind w:left="171" w:right="39" w:firstLine="396"/>
      </w:pPr>
      <w:r>
        <w:rPr>
          <w:color w:val="231F20"/>
          <w:w w:val="66"/>
        </w:rPr>
        <w:t> </w:t>
      </w:r>
      <w:r>
        <w:rPr>
          <w:color w:val="231F20"/>
        </w:rPr>
        <w:t>–</w:t>
      </w:r>
      <w:r>
        <w:rPr>
          <w:color w:val="231F20"/>
          <w:spacing w:val="-6"/>
        </w:rPr>
        <w:t> </w:t>
      </w:r>
      <w:r>
        <w:rPr>
          <w:color w:val="231F20"/>
        </w:rPr>
        <w:t>избор</w:t>
      </w:r>
      <w:r>
        <w:rPr>
          <w:color w:val="231F20"/>
          <w:spacing w:val="-6"/>
        </w:rPr>
        <w:t> </w:t>
      </w:r>
      <w:r>
        <w:rPr>
          <w:color w:val="231F20"/>
        </w:rPr>
        <w:t>врста</w:t>
      </w:r>
      <w:r>
        <w:rPr>
          <w:color w:val="231F20"/>
          <w:spacing w:val="-6"/>
        </w:rPr>
        <w:t> </w:t>
      </w:r>
      <w:r>
        <w:rPr>
          <w:color w:val="231F20"/>
        </w:rPr>
        <w:t>дрвећа</w:t>
      </w:r>
      <w:r>
        <w:rPr>
          <w:color w:val="231F20"/>
          <w:spacing w:val="-6"/>
        </w:rPr>
        <w:t> </w:t>
      </w:r>
      <w:r>
        <w:rPr>
          <w:color w:val="231F20"/>
          <w:spacing w:val="-3"/>
        </w:rPr>
        <w:t>које</w:t>
      </w:r>
      <w:r>
        <w:rPr>
          <w:color w:val="231F20"/>
          <w:spacing w:val="-6"/>
        </w:rPr>
        <w:t> </w:t>
      </w:r>
      <w:r>
        <w:rPr>
          <w:color w:val="231F20"/>
        </w:rPr>
        <w:t>су</w:t>
      </w:r>
      <w:r>
        <w:rPr>
          <w:color w:val="231F20"/>
          <w:spacing w:val="-6"/>
        </w:rPr>
        <w:t> </w:t>
      </w:r>
      <w:r>
        <w:rPr>
          <w:color w:val="231F20"/>
        </w:rPr>
        <w:t>се</w:t>
      </w:r>
      <w:r>
        <w:rPr>
          <w:color w:val="231F20"/>
          <w:spacing w:val="-6"/>
        </w:rPr>
        <w:t> </w:t>
      </w:r>
      <w:r>
        <w:rPr>
          <w:color w:val="231F20"/>
        </w:rPr>
        <w:t>већ</w:t>
      </w:r>
      <w:r>
        <w:rPr>
          <w:color w:val="231F20"/>
          <w:spacing w:val="-6"/>
        </w:rPr>
        <w:t> </w:t>
      </w:r>
      <w:r>
        <w:rPr>
          <w:color w:val="231F20"/>
        </w:rPr>
        <w:t>показале</w:t>
      </w:r>
      <w:r>
        <w:rPr>
          <w:color w:val="231F20"/>
          <w:spacing w:val="-6"/>
        </w:rPr>
        <w:t> </w:t>
      </w:r>
      <w:r>
        <w:rPr>
          <w:color w:val="231F20"/>
        </w:rPr>
        <w:t>као</w:t>
      </w:r>
      <w:r>
        <w:rPr>
          <w:color w:val="231F20"/>
          <w:spacing w:val="-6"/>
        </w:rPr>
        <w:t> </w:t>
      </w:r>
      <w:r>
        <w:rPr>
          <w:color w:val="231F20"/>
        </w:rPr>
        <w:t>успешне</w:t>
      </w:r>
      <w:r>
        <w:rPr>
          <w:color w:val="231F20"/>
          <w:spacing w:val="-6"/>
        </w:rPr>
        <w:t> </w:t>
      </w:r>
      <w:r>
        <w:rPr>
          <w:color w:val="231F20"/>
        </w:rPr>
        <w:t>при претходним пошумљавањима као што су: багрем, амерички јасен, црни бор, јавор, бреза и друго</w:t>
      </w:r>
      <w:r>
        <w:rPr>
          <w:color w:val="231F20"/>
          <w:spacing w:val="-5"/>
        </w:rPr>
        <w:t> </w:t>
      </w:r>
      <w:r>
        <w:rPr>
          <w:color w:val="231F20"/>
        </w:rPr>
        <w:t>и</w:t>
      </w:r>
    </w:p>
    <w:p>
      <w:pPr>
        <w:pStyle w:val="BodyText"/>
        <w:spacing w:line="230" w:lineRule="auto"/>
        <w:ind w:right="39" w:firstLine="397"/>
      </w:pPr>
      <w:r>
        <w:rPr>
          <w:color w:val="231F20"/>
          <w:w w:val="66"/>
        </w:rPr>
        <w:t> </w:t>
      </w:r>
      <w:r>
        <w:rPr>
          <w:color w:val="231F20"/>
        </w:rPr>
        <w:t>– основни узгојни облик коме треба тежити је висока шума док структурни облик који треба изграђивати су једнодобне са- стојине.</w:t>
      </w:r>
    </w:p>
    <w:p>
      <w:pPr>
        <w:pStyle w:val="BodyText"/>
        <w:spacing w:line="230" w:lineRule="auto"/>
        <w:ind w:left="171" w:right="39" w:firstLine="396"/>
      </w:pPr>
      <w:r>
        <w:rPr>
          <w:color w:val="231F20"/>
        </w:rPr>
        <w:t>Пре формирања засада потребно је извршити морфолошко уређење терена, посебно, депонија, вододерина и слично.</w:t>
      </w:r>
    </w:p>
    <w:p>
      <w:pPr>
        <w:pStyle w:val="BodyText"/>
        <w:spacing w:line="230" w:lineRule="auto"/>
        <w:ind w:left="171" w:right="39" w:firstLine="396"/>
      </w:pPr>
      <w:r>
        <w:rPr>
          <w:color w:val="231F20"/>
        </w:rPr>
        <w:t>Пројектовање шумских путева заснивати на следећем прин- ципима:</w:t>
      </w:r>
    </w:p>
    <w:p>
      <w:pPr>
        <w:pStyle w:val="BodyText"/>
        <w:spacing w:line="230" w:lineRule="auto"/>
        <w:ind w:left="171" w:right="39" w:firstLine="396"/>
      </w:pPr>
      <w:r>
        <w:rPr>
          <w:color w:val="231F20"/>
          <w:w w:val="66"/>
        </w:rPr>
        <w:t> </w:t>
      </w:r>
      <w:r>
        <w:rPr>
          <w:color w:val="231F20"/>
        </w:rPr>
        <w:t>–</w:t>
      </w:r>
      <w:r>
        <w:rPr>
          <w:color w:val="231F20"/>
          <w:spacing w:val="-7"/>
        </w:rPr>
        <w:t> </w:t>
      </w:r>
      <w:r>
        <w:rPr>
          <w:color w:val="231F20"/>
        </w:rPr>
        <w:t>трасе</w:t>
      </w:r>
      <w:r>
        <w:rPr>
          <w:color w:val="231F20"/>
          <w:spacing w:val="-7"/>
        </w:rPr>
        <w:t> </w:t>
      </w:r>
      <w:r>
        <w:rPr>
          <w:color w:val="231F20"/>
        </w:rPr>
        <w:t>путева</w:t>
      </w:r>
      <w:r>
        <w:rPr>
          <w:color w:val="231F20"/>
          <w:spacing w:val="-7"/>
        </w:rPr>
        <w:t> </w:t>
      </w:r>
      <w:r>
        <w:rPr>
          <w:color w:val="231F20"/>
        </w:rPr>
        <w:t>прилагодити</w:t>
      </w:r>
      <w:r>
        <w:rPr>
          <w:color w:val="231F20"/>
          <w:spacing w:val="-7"/>
        </w:rPr>
        <w:t> </w:t>
      </w:r>
      <w:r>
        <w:rPr>
          <w:color w:val="231F20"/>
        </w:rPr>
        <w:t>терену</w:t>
      </w:r>
      <w:r>
        <w:rPr>
          <w:color w:val="231F20"/>
          <w:spacing w:val="-7"/>
        </w:rPr>
        <w:t> </w:t>
      </w:r>
      <w:r>
        <w:rPr>
          <w:color w:val="231F20"/>
        </w:rPr>
        <w:t>и</w:t>
      </w:r>
      <w:r>
        <w:rPr>
          <w:color w:val="231F20"/>
          <w:spacing w:val="-7"/>
        </w:rPr>
        <w:t> </w:t>
      </w:r>
      <w:r>
        <w:rPr>
          <w:color w:val="231F20"/>
        </w:rPr>
        <w:t>пејсажу</w:t>
      </w:r>
      <w:r>
        <w:rPr>
          <w:color w:val="231F20"/>
          <w:spacing w:val="-7"/>
        </w:rPr>
        <w:t> </w:t>
      </w:r>
      <w:r>
        <w:rPr>
          <w:color w:val="231F20"/>
          <w:spacing w:val="-4"/>
        </w:rPr>
        <w:t>како</w:t>
      </w:r>
      <w:r>
        <w:rPr>
          <w:color w:val="231F20"/>
          <w:spacing w:val="-7"/>
        </w:rPr>
        <w:t> </w:t>
      </w:r>
      <w:r>
        <w:rPr>
          <w:color w:val="231F20"/>
        </w:rPr>
        <w:t>се</w:t>
      </w:r>
      <w:r>
        <w:rPr>
          <w:color w:val="231F20"/>
          <w:spacing w:val="-7"/>
        </w:rPr>
        <w:t> </w:t>
      </w:r>
      <w:r>
        <w:rPr>
          <w:color w:val="231F20"/>
        </w:rPr>
        <w:t>додатно не би нарушио </w:t>
      </w:r>
      <w:r>
        <w:rPr>
          <w:color w:val="231F20"/>
          <w:spacing w:val="-3"/>
        </w:rPr>
        <w:t>изглед </w:t>
      </w:r>
      <w:r>
        <w:rPr>
          <w:color w:val="231F20"/>
        </w:rPr>
        <w:t>предела,</w:t>
      </w:r>
    </w:p>
    <w:p>
      <w:pPr>
        <w:pStyle w:val="BodyText"/>
        <w:spacing w:line="230" w:lineRule="auto"/>
        <w:ind w:left="171" w:right="38" w:firstLine="396"/>
      </w:pPr>
      <w:r>
        <w:rPr>
          <w:color w:val="231F20"/>
          <w:w w:val="66"/>
        </w:rPr>
        <w:t> </w:t>
      </w:r>
      <w:r>
        <w:rPr>
          <w:color w:val="231F20"/>
        </w:rPr>
        <w:t>– да се планираним путевима што мање пресецају парцеле у приватном власништву, и</w:t>
      </w:r>
    </w:p>
    <w:p>
      <w:pPr>
        <w:pStyle w:val="BodyText"/>
        <w:spacing w:line="230" w:lineRule="auto"/>
        <w:ind w:left="171" w:right="38" w:firstLine="396"/>
      </w:pPr>
      <w:r>
        <w:rPr>
          <w:color w:val="231F20"/>
          <w:w w:val="66"/>
        </w:rPr>
        <w:t> </w:t>
      </w:r>
      <w:r>
        <w:rPr>
          <w:color w:val="231F20"/>
        </w:rPr>
        <w:t>–</w:t>
      </w:r>
      <w:r>
        <w:rPr>
          <w:color w:val="231F20"/>
          <w:spacing w:val="-7"/>
        </w:rPr>
        <w:t> </w:t>
      </w:r>
      <w:r>
        <w:rPr>
          <w:color w:val="231F20"/>
        </w:rPr>
        <w:t>техничке</w:t>
      </w:r>
      <w:r>
        <w:rPr>
          <w:color w:val="231F20"/>
          <w:spacing w:val="-7"/>
        </w:rPr>
        <w:t> </w:t>
      </w:r>
      <w:r>
        <w:rPr>
          <w:color w:val="231F20"/>
        </w:rPr>
        <w:t>и</w:t>
      </w:r>
      <w:r>
        <w:rPr>
          <w:color w:val="231F20"/>
          <w:spacing w:val="-7"/>
        </w:rPr>
        <w:t> </w:t>
      </w:r>
      <w:r>
        <w:rPr>
          <w:color w:val="231F20"/>
        </w:rPr>
        <w:t>конструктивне</w:t>
      </w:r>
      <w:r>
        <w:rPr>
          <w:color w:val="231F20"/>
          <w:spacing w:val="-7"/>
        </w:rPr>
        <w:t> </w:t>
      </w:r>
      <w:r>
        <w:rPr>
          <w:color w:val="231F20"/>
        </w:rPr>
        <w:t>елементе</w:t>
      </w:r>
      <w:r>
        <w:rPr>
          <w:color w:val="231F20"/>
          <w:spacing w:val="-7"/>
        </w:rPr>
        <w:t> </w:t>
      </w:r>
      <w:r>
        <w:rPr>
          <w:color w:val="231F20"/>
        </w:rPr>
        <w:t>путева,</w:t>
      </w:r>
      <w:r>
        <w:rPr>
          <w:color w:val="231F20"/>
          <w:spacing w:val="-7"/>
        </w:rPr>
        <w:t> </w:t>
      </w:r>
      <w:r>
        <w:rPr>
          <w:color w:val="231F20"/>
        </w:rPr>
        <w:t>односно</w:t>
      </w:r>
      <w:r>
        <w:rPr>
          <w:color w:val="231F20"/>
          <w:spacing w:val="-7"/>
        </w:rPr>
        <w:t> </w:t>
      </w:r>
      <w:r>
        <w:rPr>
          <w:color w:val="231F20"/>
        </w:rPr>
        <w:t>шири- ну трасе, ширину планума, радиус хоризонталних кружних кри- вина, уздужни нагиб ускладити са нормама за пројектовање шум- ских путева одговарајуће</w:t>
      </w:r>
      <w:r>
        <w:rPr>
          <w:color w:val="231F20"/>
          <w:spacing w:val="-2"/>
        </w:rPr>
        <w:t> </w:t>
      </w:r>
      <w:r>
        <w:rPr>
          <w:color w:val="231F20"/>
        </w:rPr>
        <w:t>категорије.</w:t>
      </w:r>
    </w:p>
    <w:p>
      <w:pPr>
        <w:pStyle w:val="BodyText"/>
        <w:spacing w:line="230" w:lineRule="auto"/>
        <w:ind w:left="116" w:right="38" w:firstLine="396"/>
        <w:jc w:val="right"/>
      </w:pPr>
      <w:r>
        <w:rPr>
          <w:color w:val="231F20"/>
        </w:rPr>
        <w:t>Изградњу шумских путева ускладити са наменом шуме, ста- нишним и састојинским приликама шумског екосистема, планира- ним радовима у шуми и редуцентима шуме – шумским пожарима. Заштиту земљишта од ерозије обезбедити применом следе-</w:t>
      </w:r>
    </w:p>
    <w:p>
      <w:pPr>
        <w:pStyle w:val="BodyText"/>
        <w:spacing w:line="194" w:lineRule="exact"/>
        <w:ind w:left="171"/>
        <w:jc w:val="left"/>
      </w:pPr>
      <w:r>
        <w:rPr>
          <w:color w:val="231F20"/>
        </w:rPr>
        <w:t>ћих мера:</w:t>
      </w:r>
    </w:p>
    <w:p>
      <w:pPr>
        <w:pStyle w:val="BodyText"/>
        <w:spacing w:line="230" w:lineRule="auto"/>
        <w:ind w:left="171" w:right="38" w:firstLine="396"/>
      </w:pPr>
      <w:r>
        <w:rPr>
          <w:color w:val="231F20"/>
          <w:w w:val="66"/>
        </w:rPr>
        <w:t> </w:t>
      </w:r>
      <w:r>
        <w:rPr>
          <w:color w:val="231F20"/>
        </w:rPr>
        <w:t>– сечу, израду и извоз дрвних сортимената обављати на на- чин који спречава појаву ерозије,</w:t>
      </w:r>
    </w:p>
    <w:p>
      <w:pPr>
        <w:pStyle w:val="BodyText"/>
        <w:spacing w:line="230" w:lineRule="auto"/>
        <w:ind w:left="171" w:right="38" w:firstLine="396"/>
      </w:pPr>
      <w:r>
        <w:rPr>
          <w:color w:val="231F20"/>
          <w:w w:val="66"/>
        </w:rPr>
        <w:t> </w:t>
      </w:r>
      <w:r>
        <w:rPr>
          <w:color w:val="231F20"/>
        </w:rPr>
        <w:t>–</w:t>
      </w:r>
      <w:r>
        <w:rPr>
          <w:color w:val="231F20"/>
          <w:spacing w:val="-8"/>
        </w:rPr>
        <w:t> </w:t>
      </w:r>
      <w:r>
        <w:rPr>
          <w:color w:val="231F20"/>
        </w:rPr>
        <w:t>просеци,</w:t>
      </w:r>
      <w:r>
        <w:rPr>
          <w:color w:val="231F20"/>
          <w:spacing w:val="-8"/>
        </w:rPr>
        <w:t> </w:t>
      </w:r>
      <w:r>
        <w:rPr>
          <w:color w:val="231F20"/>
        </w:rPr>
        <w:t>извозни</w:t>
      </w:r>
      <w:r>
        <w:rPr>
          <w:color w:val="231F20"/>
          <w:spacing w:val="-8"/>
        </w:rPr>
        <w:t> </w:t>
      </w:r>
      <w:r>
        <w:rPr>
          <w:color w:val="231F20"/>
        </w:rPr>
        <w:t>путеви,</w:t>
      </w:r>
      <w:r>
        <w:rPr>
          <w:color w:val="231F20"/>
          <w:spacing w:val="-8"/>
        </w:rPr>
        <w:t> </w:t>
      </w:r>
      <w:r>
        <w:rPr>
          <w:color w:val="231F20"/>
        </w:rPr>
        <w:t>помоћна</w:t>
      </w:r>
      <w:r>
        <w:rPr>
          <w:color w:val="231F20"/>
          <w:spacing w:val="-8"/>
        </w:rPr>
        <w:t> </w:t>
      </w:r>
      <w:r>
        <w:rPr>
          <w:color w:val="231F20"/>
        </w:rPr>
        <w:t>стоваришта,</w:t>
      </w:r>
      <w:r>
        <w:rPr>
          <w:color w:val="231F20"/>
          <w:spacing w:val="-8"/>
        </w:rPr>
        <w:t> </w:t>
      </w:r>
      <w:r>
        <w:rPr>
          <w:color w:val="231F20"/>
        </w:rPr>
        <w:t>шумски</w:t>
      </w:r>
      <w:r>
        <w:rPr>
          <w:color w:val="231F20"/>
          <w:spacing w:val="-8"/>
        </w:rPr>
        <w:t> </w:t>
      </w:r>
      <w:r>
        <w:rPr>
          <w:color w:val="231F20"/>
        </w:rPr>
        <w:t>пу- теви и друго морају се очистити у року </w:t>
      </w:r>
      <w:r>
        <w:rPr>
          <w:color w:val="231F20"/>
          <w:spacing w:val="-3"/>
        </w:rPr>
        <w:t>од </w:t>
      </w:r>
      <w:r>
        <w:rPr>
          <w:color w:val="231F20"/>
        </w:rPr>
        <w:t>најмање три месеца по обављеној сечи</w:t>
      </w:r>
      <w:r>
        <w:rPr>
          <w:color w:val="231F20"/>
          <w:spacing w:val="-2"/>
        </w:rPr>
        <w:t> </w:t>
      </w:r>
      <w:r>
        <w:rPr>
          <w:color w:val="231F20"/>
        </w:rPr>
        <w:t>и</w:t>
      </w:r>
    </w:p>
    <w:p>
      <w:pPr>
        <w:pStyle w:val="BodyText"/>
        <w:spacing w:line="232" w:lineRule="auto"/>
        <w:ind w:left="172" w:right="38" w:firstLine="396"/>
      </w:pPr>
      <w:r>
        <w:rPr>
          <w:color w:val="231F20"/>
          <w:w w:val="66"/>
        </w:rPr>
        <w:t> </w:t>
      </w:r>
      <w:r>
        <w:rPr>
          <w:color w:val="231F20"/>
        </w:rPr>
        <w:t>– уклањање биомасе из шуме планирати на начин који неће изазвати штету на земљишту и подмлатку.</w:t>
      </w:r>
    </w:p>
    <w:p>
      <w:pPr>
        <w:pStyle w:val="BodyText"/>
        <w:spacing w:line="232" w:lineRule="auto" w:before="74"/>
        <w:ind w:left="169" w:right="409" w:firstLine="396"/>
      </w:pPr>
      <w:r>
        <w:rPr/>
        <w:br w:type="column"/>
      </w:r>
      <w:r>
        <w:rPr>
          <w:color w:val="231F20"/>
        </w:rPr>
        <w:t>Успоставља се обавеза израде студијске и пројектне доку- ментације за реализацију пошумљавања ове потцелине. Пројек- том дефинисати избор оптималног начина припреме земљишта, одговарајуће методе и технологију пошумљавања, избор врста за садњу, тип и квалитет садница са којима ће се пошумљавати, негу и заштиту новоподигнутих култура као и предмер радова и пред- рачун трошкова.</w:t>
      </w:r>
    </w:p>
    <w:p>
      <w:pPr>
        <w:pStyle w:val="BodyText"/>
        <w:spacing w:line="232" w:lineRule="auto"/>
        <w:ind w:left="169" w:right="409" w:firstLine="396"/>
      </w:pPr>
      <w:r>
        <w:rPr>
          <w:color w:val="231F20"/>
        </w:rPr>
        <w:t>Садњу садница обавити у јесен по завршетку и/или у про- леће пре почетка вегетационог периода. Четинарске врсте се саде десетак дана пре лишћарских у пролеће, а у јесен знатно раније. Општа препорука је да се садња обавља у пролеће </w:t>
      </w:r>
      <w:r>
        <w:rPr>
          <w:color w:val="231F20"/>
          <w:spacing w:val="-4"/>
        </w:rPr>
        <w:t>како </w:t>
      </w:r>
      <w:r>
        <w:rPr>
          <w:color w:val="231F20"/>
        </w:rPr>
        <w:t>би посађе- не биљке до зиме </w:t>
      </w:r>
      <w:r>
        <w:rPr>
          <w:color w:val="231F20"/>
          <w:spacing w:val="-3"/>
        </w:rPr>
        <w:t>могле </w:t>
      </w:r>
      <w:r>
        <w:rPr>
          <w:color w:val="231F20"/>
        </w:rPr>
        <w:t>да формирају добар коренов систем ува- жавајући способност регенерације и образовања нових коренових жила</w:t>
      </w:r>
      <w:r>
        <w:rPr>
          <w:color w:val="231F20"/>
          <w:spacing w:val="-7"/>
        </w:rPr>
        <w:t> </w:t>
      </w:r>
      <w:r>
        <w:rPr>
          <w:color w:val="231F20"/>
          <w:spacing w:val="-3"/>
        </w:rPr>
        <w:t>која</w:t>
      </w:r>
      <w:r>
        <w:rPr>
          <w:color w:val="231F20"/>
          <w:spacing w:val="-7"/>
        </w:rPr>
        <w:t> </w:t>
      </w:r>
      <w:r>
        <w:rPr>
          <w:color w:val="231F20"/>
        </w:rPr>
        <w:t>је</w:t>
      </w:r>
      <w:r>
        <w:rPr>
          <w:color w:val="231F20"/>
          <w:spacing w:val="-7"/>
        </w:rPr>
        <w:t> </w:t>
      </w:r>
      <w:r>
        <w:rPr>
          <w:color w:val="231F20"/>
        </w:rPr>
        <w:t>много</w:t>
      </w:r>
      <w:r>
        <w:rPr>
          <w:color w:val="231F20"/>
          <w:spacing w:val="-7"/>
        </w:rPr>
        <w:t> </w:t>
      </w:r>
      <w:r>
        <w:rPr>
          <w:color w:val="231F20"/>
        </w:rPr>
        <w:t>израженија</w:t>
      </w:r>
      <w:r>
        <w:rPr>
          <w:color w:val="231F20"/>
          <w:spacing w:val="-7"/>
        </w:rPr>
        <w:t> </w:t>
      </w:r>
      <w:r>
        <w:rPr>
          <w:color w:val="231F20"/>
        </w:rPr>
        <w:t>у</w:t>
      </w:r>
      <w:r>
        <w:rPr>
          <w:color w:val="231F20"/>
          <w:spacing w:val="-7"/>
        </w:rPr>
        <w:t> </w:t>
      </w:r>
      <w:r>
        <w:rPr>
          <w:color w:val="231F20"/>
        </w:rPr>
        <w:t>пролеће</w:t>
      </w:r>
      <w:r>
        <w:rPr>
          <w:color w:val="231F20"/>
          <w:spacing w:val="-7"/>
        </w:rPr>
        <w:t> </w:t>
      </w:r>
      <w:r>
        <w:rPr>
          <w:color w:val="231F20"/>
          <w:spacing w:val="-6"/>
        </w:rPr>
        <w:t>код</w:t>
      </w:r>
      <w:r>
        <w:rPr>
          <w:color w:val="231F20"/>
          <w:spacing w:val="-7"/>
        </w:rPr>
        <w:t> </w:t>
      </w:r>
      <w:r>
        <w:rPr>
          <w:color w:val="231F20"/>
        </w:rPr>
        <w:t>већине</w:t>
      </w:r>
      <w:r>
        <w:rPr>
          <w:color w:val="231F20"/>
          <w:spacing w:val="-7"/>
        </w:rPr>
        <w:t> </w:t>
      </w:r>
      <w:r>
        <w:rPr>
          <w:color w:val="231F20"/>
        </w:rPr>
        <w:t>биљних</w:t>
      </w:r>
      <w:r>
        <w:rPr>
          <w:color w:val="231F20"/>
          <w:spacing w:val="-7"/>
        </w:rPr>
        <w:t> </w:t>
      </w:r>
      <w:r>
        <w:rPr>
          <w:color w:val="231F20"/>
        </w:rPr>
        <w:t>врста. Садни</w:t>
      </w:r>
      <w:r>
        <w:rPr>
          <w:color w:val="231F20"/>
          <w:spacing w:val="-9"/>
        </w:rPr>
        <w:t> </w:t>
      </w:r>
      <w:r>
        <w:rPr>
          <w:color w:val="231F20"/>
        </w:rPr>
        <w:t>материјал</w:t>
      </w:r>
      <w:r>
        <w:rPr>
          <w:color w:val="231F20"/>
          <w:spacing w:val="-9"/>
        </w:rPr>
        <w:t> </w:t>
      </w:r>
      <w:r>
        <w:rPr>
          <w:color w:val="231F20"/>
        </w:rPr>
        <w:t>мора</w:t>
      </w:r>
      <w:r>
        <w:rPr>
          <w:color w:val="231F20"/>
          <w:spacing w:val="-9"/>
        </w:rPr>
        <w:t> </w:t>
      </w:r>
      <w:r>
        <w:rPr>
          <w:color w:val="231F20"/>
        </w:rPr>
        <w:t>бити</w:t>
      </w:r>
      <w:r>
        <w:rPr>
          <w:color w:val="231F20"/>
          <w:spacing w:val="-9"/>
        </w:rPr>
        <w:t> </w:t>
      </w:r>
      <w:r>
        <w:rPr>
          <w:color w:val="231F20"/>
        </w:rPr>
        <w:t>расаднички</w:t>
      </w:r>
      <w:r>
        <w:rPr>
          <w:color w:val="231F20"/>
          <w:spacing w:val="-9"/>
        </w:rPr>
        <w:t> </w:t>
      </w:r>
      <w:r>
        <w:rPr>
          <w:color w:val="231F20"/>
        </w:rPr>
        <w:t>однегован</w:t>
      </w:r>
      <w:r>
        <w:rPr>
          <w:color w:val="231F20"/>
          <w:spacing w:val="15"/>
        </w:rPr>
        <w:t> </w:t>
      </w:r>
      <w:r>
        <w:rPr>
          <w:color w:val="231F20"/>
        </w:rPr>
        <w:t>–</w:t>
      </w:r>
      <w:r>
        <w:rPr>
          <w:color w:val="231F20"/>
          <w:spacing w:val="-9"/>
        </w:rPr>
        <w:t> </w:t>
      </w:r>
      <w:r>
        <w:rPr>
          <w:color w:val="231F20"/>
        </w:rPr>
        <w:t>правилно</w:t>
      </w:r>
      <w:r>
        <w:rPr>
          <w:color w:val="231F20"/>
          <w:spacing w:val="-9"/>
        </w:rPr>
        <w:t> </w:t>
      </w:r>
      <w:r>
        <w:rPr>
          <w:color w:val="231F20"/>
        </w:rPr>
        <w:t>раз- вијен, са неоштећеним кореновим системом и надземним делом, без обољења ентомолошке и фитопатолошке</w:t>
      </w:r>
      <w:r>
        <w:rPr>
          <w:color w:val="231F20"/>
          <w:spacing w:val="-13"/>
        </w:rPr>
        <w:t> </w:t>
      </w:r>
      <w:r>
        <w:rPr>
          <w:color w:val="231F20"/>
        </w:rPr>
        <w:t>природе.</w:t>
      </w:r>
    </w:p>
    <w:p>
      <w:pPr>
        <w:pStyle w:val="BodyText"/>
        <w:spacing w:line="232" w:lineRule="auto"/>
        <w:ind w:left="169" w:right="409" w:firstLine="396"/>
      </w:pPr>
      <w:r>
        <w:rPr>
          <w:color w:val="231F20"/>
        </w:rPr>
        <w:t>Планирати мере заштите у смислу чувања шума од бесправ- ног коришћења, забрану пашарења где је у току процес обнавља- ња, затим заштиту шума од пожара, заштиту шума од биљних болести и штеточина, као и мере неге, односно, чишћења, сече избојака и уклањања корова, селективне и санитарне прореде и слично.</w:t>
      </w:r>
    </w:p>
    <w:p>
      <w:pPr>
        <w:pStyle w:val="BodyText"/>
        <w:spacing w:before="164"/>
        <w:ind w:left="1119"/>
        <w:jc w:val="left"/>
      </w:pPr>
      <w:r>
        <w:rPr>
          <w:color w:val="231F20"/>
        </w:rPr>
        <w:t>Потенцијална локација за ветроелектране</w:t>
      </w:r>
    </w:p>
    <w:p>
      <w:pPr>
        <w:pStyle w:val="BodyText"/>
        <w:spacing w:before="3"/>
        <w:ind w:left="0"/>
        <w:jc w:val="left"/>
        <w:rPr>
          <w:sz w:val="17"/>
        </w:rPr>
      </w:pPr>
    </w:p>
    <w:p>
      <w:pPr>
        <w:pStyle w:val="BodyText"/>
        <w:spacing w:line="232" w:lineRule="auto"/>
        <w:ind w:right="408" w:firstLine="396"/>
      </w:pPr>
      <w:r>
        <w:rPr>
          <w:color w:val="231F20"/>
        </w:rPr>
        <w:t>На основу метеоролошких мерења и анализе ресурса ветра у ширем рејону </w:t>
      </w:r>
      <w:r>
        <w:rPr>
          <w:color w:val="231F20"/>
          <w:spacing w:val="-3"/>
        </w:rPr>
        <w:t>Костолачког </w:t>
      </w:r>
      <w:r>
        <w:rPr>
          <w:color w:val="231F20"/>
        </w:rPr>
        <w:t>басена издвојено је 15 потенцијалних локација на </w:t>
      </w:r>
      <w:r>
        <w:rPr>
          <w:color w:val="231F20"/>
          <w:spacing w:val="-3"/>
        </w:rPr>
        <w:t>којима </w:t>
      </w:r>
      <w:r>
        <w:rPr>
          <w:color w:val="231F20"/>
        </w:rPr>
        <w:t>постоји могућност грађења ветроелектана. Јед- на </w:t>
      </w:r>
      <w:r>
        <w:rPr>
          <w:color w:val="231F20"/>
          <w:spacing w:val="-3"/>
        </w:rPr>
        <w:t>од </w:t>
      </w:r>
      <w:r>
        <w:rPr>
          <w:color w:val="231F20"/>
        </w:rPr>
        <w:t>потенцијалних локација налази се у оквиру прве потцелине. Локација се налази на вишим деловима Пожаревачке греде.</w:t>
      </w:r>
    </w:p>
    <w:p>
      <w:pPr>
        <w:pStyle w:val="BodyText"/>
        <w:spacing w:line="232" w:lineRule="auto"/>
        <w:ind w:right="408" w:firstLine="396"/>
      </w:pPr>
      <w:r>
        <w:rPr>
          <w:color w:val="231F20"/>
        </w:rPr>
        <w:t>Ветрогенератори</w:t>
      </w:r>
      <w:r>
        <w:rPr>
          <w:color w:val="231F20"/>
          <w:spacing w:val="-10"/>
        </w:rPr>
        <w:t> </w:t>
      </w:r>
      <w:r>
        <w:rPr>
          <w:color w:val="231F20"/>
        </w:rPr>
        <w:t>у</w:t>
      </w:r>
      <w:r>
        <w:rPr>
          <w:color w:val="231F20"/>
          <w:spacing w:val="-10"/>
        </w:rPr>
        <w:t> </w:t>
      </w:r>
      <w:r>
        <w:rPr>
          <w:color w:val="231F20"/>
        </w:rPr>
        <w:t>вектроелектрани</w:t>
      </w:r>
      <w:r>
        <w:rPr>
          <w:color w:val="231F20"/>
          <w:spacing w:val="-10"/>
        </w:rPr>
        <w:t> </w:t>
      </w:r>
      <w:r>
        <w:rPr>
          <w:color w:val="231F20"/>
        </w:rPr>
        <w:t>су</w:t>
      </w:r>
      <w:r>
        <w:rPr>
          <w:color w:val="231F20"/>
          <w:spacing w:val="-10"/>
        </w:rPr>
        <w:t> </w:t>
      </w:r>
      <w:r>
        <w:rPr>
          <w:color w:val="231F20"/>
        </w:rPr>
        <w:t>висине</w:t>
      </w:r>
      <w:r>
        <w:rPr>
          <w:color w:val="231F20"/>
          <w:spacing w:val="-10"/>
        </w:rPr>
        <w:t> </w:t>
      </w:r>
      <w:r>
        <w:rPr>
          <w:color w:val="231F20"/>
        </w:rPr>
        <w:t>у</w:t>
      </w:r>
      <w:r>
        <w:rPr>
          <w:color w:val="231F20"/>
          <w:spacing w:val="-10"/>
        </w:rPr>
        <w:t> </w:t>
      </w:r>
      <w:r>
        <w:rPr>
          <w:color w:val="231F20"/>
        </w:rPr>
        <w:t>распону</w:t>
      </w:r>
      <w:r>
        <w:rPr>
          <w:color w:val="231F20"/>
          <w:spacing w:val="-10"/>
        </w:rPr>
        <w:t> </w:t>
      </w:r>
      <w:r>
        <w:rPr>
          <w:color w:val="231F20"/>
        </w:rPr>
        <w:t>98</w:t>
      </w:r>
      <w:r>
        <w:rPr>
          <w:color w:val="231F20"/>
          <w:spacing w:val="15"/>
        </w:rPr>
        <w:t> </w:t>
      </w:r>
      <w:r>
        <w:rPr>
          <w:color w:val="231F20"/>
        </w:rPr>
        <w:t>– 120m промера полупречника елисе 50 – 56</w:t>
      </w:r>
      <w:r>
        <w:rPr>
          <w:color w:val="231F20"/>
          <w:spacing w:val="-26"/>
        </w:rPr>
        <w:t> </w:t>
      </w:r>
      <w:r>
        <w:rPr>
          <w:color w:val="231F20"/>
        </w:rPr>
        <w:t>m.</w:t>
      </w:r>
    </w:p>
    <w:p>
      <w:pPr>
        <w:pStyle w:val="BodyText"/>
        <w:spacing w:line="232" w:lineRule="auto"/>
        <w:ind w:left="171" w:right="408" w:firstLine="396"/>
      </w:pPr>
      <w:r>
        <w:rPr>
          <w:color w:val="231F20"/>
        </w:rPr>
        <w:t>Уколико се на планираној локацији не налазе издвојена ста- ништа врста значајних са аспекта заштите, она представља потен- цијалну локацију на којој постоји могућност изградње ветроелек- тране.</w:t>
      </w:r>
    </w:p>
    <w:p>
      <w:pPr>
        <w:pStyle w:val="BodyText"/>
        <w:spacing w:line="232" w:lineRule="auto"/>
        <w:ind w:right="408" w:firstLine="397"/>
      </w:pPr>
      <w:r>
        <w:rPr>
          <w:color w:val="231F20"/>
        </w:rPr>
        <w:t>Ова потенцијална локације за изградњу ветроелектана треба да буду предмет посебних студија и потребне техничке докумен- тације.</w:t>
      </w:r>
    </w:p>
    <w:p>
      <w:pPr>
        <w:pStyle w:val="BodyText"/>
        <w:spacing w:line="199" w:lineRule="exact"/>
        <w:ind w:left="567"/>
        <w:jc w:val="left"/>
      </w:pPr>
      <w:r>
        <w:rPr>
          <w:color w:val="231F20"/>
        </w:rPr>
        <w:t>Критеријуми за избор локације за изградњу вртроелектране су:</w:t>
      </w:r>
    </w:p>
    <w:p>
      <w:pPr>
        <w:pStyle w:val="BodyText"/>
        <w:spacing w:line="232" w:lineRule="auto" w:before="2"/>
        <w:ind w:right="408" w:firstLine="396"/>
      </w:pPr>
      <w:r>
        <w:rPr>
          <w:color w:val="231F20"/>
          <w:w w:val="66"/>
        </w:rPr>
        <w:t> </w:t>
      </w:r>
      <w:r>
        <w:rPr>
          <w:color w:val="231F20"/>
        </w:rPr>
        <w:t>–</w:t>
      </w:r>
      <w:r>
        <w:rPr>
          <w:color w:val="231F20"/>
          <w:spacing w:val="-8"/>
        </w:rPr>
        <w:t> </w:t>
      </w:r>
      <w:r>
        <w:rPr>
          <w:color w:val="231F20"/>
        </w:rPr>
        <w:t>брзина,</w:t>
      </w:r>
      <w:r>
        <w:rPr>
          <w:color w:val="231F20"/>
          <w:spacing w:val="-8"/>
        </w:rPr>
        <w:t> </w:t>
      </w:r>
      <w:r>
        <w:rPr>
          <w:color w:val="231F20"/>
        </w:rPr>
        <w:t>учесталост,</w:t>
      </w:r>
      <w:r>
        <w:rPr>
          <w:color w:val="231F20"/>
          <w:spacing w:val="-8"/>
        </w:rPr>
        <w:t> </w:t>
      </w:r>
      <w:r>
        <w:rPr>
          <w:color w:val="231F20"/>
        </w:rPr>
        <w:t>правац</w:t>
      </w:r>
      <w:r>
        <w:rPr>
          <w:color w:val="231F20"/>
          <w:spacing w:val="-8"/>
        </w:rPr>
        <w:t> </w:t>
      </w:r>
      <w:r>
        <w:rPr>
          <w:color w:val="231F20"/>
        </w:rPr>
        <w:t>и</w:t>
      </w:r>
      <w:r>
        <w:rPr>
          <w:color w:val="231F20"/>
          <w:spacing w:val="-8"/>
        </w:rPr>
        <w:t> </w:t>
      </w:r>
      <w:r>
        <w:rPr>
          <w:color w:val="231F20"/>
          <w:spacing w:val="-3"/>
        </w:rPr>
        <w:t>удари</w:t>
      </w:r>
      <w:r>
        <w:rPr>
          <w:color w:val="231F20"/>
          <w:spacing w:val="-8"/>
        </w:rPr>
        <w:t> </w:t>
      </w:r>
      <w:r>
        <w:rPr>
          <w:color w:val="231F20"/>
        </w:rPr>
        <w:t>ветра,</w:t>
      </w:r>
      <w:r>
        <w:rPr>
          <w:color w:val="231F20"/>
          <w:spacing w:val="-8"/>
        </w:rPr>
        <w:t> </w:t>
      </w:r>
      <w:r>
        <w:rPr>
          <w:color w:val="231F20"/>
        </w:rPr>
        <w:t>изложеност</w:t>
      </w:r>
      <w:r>
        <w:rPr>
          <w:color w:val="231F20"/>
          <w:spacing w:val="-8"/>
        </w:rPr>
        <w:t> </w:t>
      </w:r>
      <w:r>
        <w:rPr>
          <w:color w:val="231F20"/>
        </w:rPr>
        <w:t>лока- ције треба да је таква да омогућава проток ветра у свим</w:t>
      </w:r>
      <w:r>
        <w:rPr>
          <w:color w:val="231F20"/>
          <w:spacing w:val="16"/>
        </w:rPr>
        <w:t> </w:t>
      </w:r>
      <w:r>
        <w:rPr>
          <w:color w:val="231F20"/>
        </w:rPr>
        <w:t>правцима</w:t>
      </w:r>
    </w:p>
    <w:p>
      <w:pPr>
        <w:pStyle w:val="BodyText"/>
        <w:spacing w:line="232" w:lineRule="auto"/>
        <w:ind w:right="321"/>
        <w:jc w:val="left"/>
      </w:pPr>
      <w:r>
        <w:rPr>
          <w:color w:val="231F20"/>
          <w:w w:val="66"/>
        </w:rPr>
        <w:t> </w:t>
      </w:r>
      <w:r>
        <w:rPr>
          <w:color w:val="231F20"/>
        </w:rPr>
        <w:t>– локација не би требало да има дрвеће, куће или било какву другу препреку која би могла да утиче на снагу ветра;</w:t>
      </w:r>
    </w:p>
    <w:p>
      <w:pPr>
        <w:pStyle w:val="BodyText"/>
        <w:spacing w:line="232" w:lineRule="auto"/>
        <w:ind w:right="408" w:firstLine="397"/>
      </w:pPr>
      <w:r>
        <w:rPr>
          <w:color w:val="231F20"/>
          <w:w w:val="66"/>
        </w:rPr>
        <w:t> </w:t>
      </w:r>
      <w:r>
        <w:rPr>
          <w:color w:val="231F20"/>
        </w:rPr>
        <w:t>– могућност изградње одређене ветроелектране на датој ло- кацији – топографија, нагиб терена, величина простора, врста ра- стиња и друго;</w:t>
      </w:r>
    </w:p>
    <w:p>
      <w:pPr>
        <w:pStyle w:val="BodyText"/>
        <w:spacing w:line="232" w:lineRule="auto"/>
        <w:ind w:right="408" w:firstLine="396"/>
      </w:pPr>
      <w:r>
        <w:rPr>
          <w:color w:val="231F20"/>
          <w:w w:val="66"/>
        </w:rPr>
        <w:t> </w:t>
      </w:r>
      <w:r>
        <w:rPr>
          <w:color w:val="231F20"/>
        </w:rPr>
        <w:t>– близина електро мреже (далеководи), трафостанице и мо- гућност прикључивања на електро-енергетски систем) – испитати да ли је потребна изградња нове инфраструктуре;</w:t>
      </w:r>
    </w:p>
    <w:p>
      <w:pPr>
        <w:pStyle w:val="BodyText"/>
        <w:spacing w:line="232" w:lineRule="auto"/>
        <w:ind w:right="408" w:firstLine="396"/>
      </w:pPr>
      <w:r>
        <w:rPr>
          <w:color w:val="231F20"/>
          <w:w w:val="66"/>
        </w:rPr>
        <w:t> </w:t>
      </w:r>
      <w:r>
        <w:rPr>
          <w:color w:val="231F20"/>
        </w:rPr>
        <w:t>–</w:t>
      </w:r>
      <w:r>
        <w:rPr>
          <w:color w:val="231F20"/>
          <w:spacing w:val="-10"/>
        </w:rPr>
        <w:t> </w:t>
      </w:r>
      <w:r>
        <w:rPr>
          <w:color w:val="231F20"/>
        </w:rPr>
        <w:t>квалитет</w:t>
      </w:r>
      <w:r>
        <w:rPr>
          <w:color w:val="231F20"/>
          <w:spacing w:val="-10"/>
        </w:rPr>
        <w:t> </w:t>
      </w:r>
      <w:r>
        <w:rPr>
          <w:color w:val="231F20"/>
        </w:rPr>
        <w:t>приступних</w:t>
      </w:r>
      <w:r>
        <w:rPr>
          <w:color w:val="231F20"/>
          <w:spacing w:val="-10"/>
        </w:rPr>
        <w:t> </w:t>
      </w:r>
      <w:r>
        <w:rPr>
          <w:color w:val="231F20"/>
        </w:rPr>
        <w:t>путева</w:t>
      </w:r>
      <w:r>
        <w:rPr>
          <w:color w:val="231F20"/>
          <w:spacing w:val="-10"/>
        </w:rPr>
        <w:t> </w:t>
      </w:r>
      <w:r>
        <w:rPr>
          <w:color w:val="231F20"/>
        </w:rPr>
        <w:t>и</w:t>
      </w:r>
      <w:r>
        <w:rPr>
          <w:color w:val="231F20"/>
          <w:spacing w:val="-10"/>
        </w:rPr>
        <w:t> </w:t>
      </w:r>
      <w:r>
        <w:rPr>
          <w:color w:val="231F20"/>
        </w:rPr>
        <w:t>тла</w:t>
      </w:r>
      <w:r>
        <w:rPr>
          <w:color w:val="231F20"/>
          <w:spacing w:val="15"/>
        </w:rPr>
        <w:t> </w:t>
      </w:r>
      <w:r>
        <w:rPr>
          <w:color w:val="231F20"/>
        </w:rPr>
        <w:t>–</w:t>
      </w:r>
      <w:r>
        <w:rPr>
          <w:color w:val="231F20"/>
          <w:spacing w:val="-10"/>
        </w:rPr>
        <w:t> </w:t>
      </w:r>
      <w:r>
        <w:rPr>
          <w:color w:val="231F20"/>
        </w:rPr>
        <w:t>да</w:t>
      </w:r>
      <w:r>
        <w:rPr>
          <w:color w:val="231F20"/>
          <w:spacing w:val="-10"/>
        </w:rPr>
        <w:t> </w:t>
      </w:r>
      <w:r>
        <w:rPr>
          <w:color w:val="231F20"/>
        </w:rPr>
        <w:t>ли</w:t>
      </w:r>
      <w:r>
        <w:rPr>
          <w:color w:val="231F20"/>
          <w:spacing w:val="-10"/>
        </w:rPr>
        <w:t> </w:t>
      </w:r>
      <w:r>
        <w:rPr>
          <w:color w:val="231F20"/>
        </w:rPr>
        <w:t>могуће</w:t>
      </w:r>
      <w:r>
        <w:rPr>
          <w:color w:val="231F20"/>
          <w:spacing w:val="-10"/>
        </w:rPr>
        <w:t> </w:t>
      </w:r>
      <w:r>
        <w:rPr>
          <w:color w:val="231F20"/>
        </w:rPr>
        <w:t>транспор- </w:t>
      </w:r>
      <w:r>
        <w:rPr>
          <w:color w:val="231F20"/>
          <w:spacing w:val="-2"/>
        </w:rPr>
        <w:t>товати </w:t>
      </w:r>
      <w:r>
        <w:rPr>
          <w:color w:val="231F20"/>
        </w:rPr>
        <w:t>опрему за ветроелектрану постојећим путевима (ширина, статика саобраћајница и</w:t>
      </w:r>
      <w:r>
        <w:rPr>
          <w:color w:val="231F20"/>
          <w:spacing w:val="-3"/>
        </w:rPr>
        <w:t> </w:t>
      </w:r>
      <w:r>
        <w:rPr>
          <w:color w:val="231F20"/>
        </w:rPr>
        <w:t>друго);</w:t>
      </w:r>
    </w:p>
    <w:p>
      <w:pPr>
        <w:pStyle w:val="BodyText"/>
        <w:spacing w:line="199" w:lineRule="exact"/>
        <w:ind w:left="567"/>
        <w:jc w:val="left"/>
      </w:pPr>
      <w:r>
        <w:rPr>
          <w:color w:val="231F20"/>
          <w:w w:val="66"/>
        </w:rPr>
        <w:t> </w:t>
      </w:r>
      <w:r>
        <w:rPr>
          <w:color w:val="231F20"/>
        </w:rPr>
        <w:t>– сеизмолошки аспекти;</w:t>
      </w:r>
    </w:p>
    <w:p>
      <w:pPr>
        <w:pStyle w:val="BodyText"/>
        <w:spacing w:line="232" w:lineRule="auto" w:before="1"/>
        <w:ind w:right="409" w:firstLine="397"/>
      </w:pPr>
      <w:r>
        <w:rPr>
          <w:color w:val="231F20"/>
          <w:w w:val="66"/>
        </w:rPr>
        <w:t> </w:t>
      </w:r>
      <w:r>
        <w:rPr>
          <w:color w:val="231F20"/>
        </w:rPr>
        <w:t>–</w:t>
      </w:r>
      <w:r>
        <w:rPr>
          <w:color w:val="231F20"/>
          <w:spacing w:val="-10"/>
        </w:rPr>
        <w:t> </w:t>
      </w:r>
      <w:r>
        <w:rPr>
          <w:color w:val="231F20"/>
        </w:rPr>
        <w:t>власништво</w:t>
      </w:r>
      <w:r>
        <w:rPr>
          <w:color w:val="231F20"/>
          <w:spacing w:val="-10"/>
        </w:rPr>
        <w:t> </w:t>
      </w:r>
      <w:r>
        <w:rPr>
          <w:color w:val="231F20"/>
        </w:rPr>
        <w:t>над</w:t>
      </w:r>
      <w:r>
        <w:rPr>
          <w:color w:val="231F20"/>
          <w:spacing w:val="-10"/>
        </w:rPr>
        <w:t> </w:t>
      </w:r>
      <w:r>
        <w:rPr>
          <w:color w:val="231F20"/>
        </w:rPr>
        <w:t>земљиштем</w:t>
      </w:r>
      <w:r>
        <w:rPr>
          <w:color w:val="231F20"/>
          <w:spacing w:val="13"/>
        </w:rPr>
        <w:t> </w:t>
      </w:r>
      <w:r>
        <w:rPr>
          <w:color w:val="231F20"/>
        </w:rPr>
        <w:t>–</w:t>
      </w:r>
      <w:r>
        <w:rPr>
          <w:color w:val="231F20"/>
          <w:spacing w:val="-10"/>
        </w:rPr>
        <w:t> </w:t>
      </w:r>
      <w:r>
        <w:rPr>
          <w:color w:val="231F20"/>
        </w:rPr>
        <w:t>да</w:t>
      </w:r>
      <w:r>
        <w:rPr>
          <w:color w:val="231F20"/>
          <w:spacing w:val="-10"/>
        </w:rPr>
        <w:t> </w:t>
      </w:r>
      <w:r>
        <w:rPr>
          <w:color w:val="231F20"/>
        </w:rPr>
        <w:t>ли</w:t>
      </w:r>
      <w:r>
        <w:rPr>
          <w:color w:val="231F20"/>
          <w:spacing w:val="-10"/>
        </w:rPr>
        <w:t> </w:t>
      </w:r>
      <w:r>
        <w:rPr>
          <w:color w:val="231F20"/>
        </w:rPr>
        <w:t>су</w:t>
      </w:r>
      <w:r>
        <w:rPr>
          <w:color w:val="231F20"/>
          <w:spacing w:val="-10"/>
        </w:rPr>
        <w:t> </w:t>
      </w:r>
      <w:r>
        <w:rPr>
          <w:color w:val="231F20"/>
        </w:rPr>
        <w:t>регулисани</w:t>
      </w:r>
      <w:r>
        <w:rPr>
          <w:color w:val="231F20"/>
          <w:spacing w:val="-10"/>
        </w:rPr>
        <w:t> </w:t>
      </w:r>
      <w:r>
        <w:rPr>
          <w:color w:val="231F20"/>
        </w:rPr>
        <w:t>имовин- ско-правни</w:t>
      </w:r>
      <w:r>
        <w:rPr>
          <w:color w:val="231F20"/>
          <w:spacing w:val="-2"/>
        </w:rPr>
        <w:t> </w:t>
      </w:r>
      <w:r>
        <w:rPr>
          <w:color w:val="231F20"/>
        </w:rPr>
        <w:t>односи;</w:t>
      </w:r>
    </w:p>
    <w:p>
      <w:pPr>
        <w:pStyle w:val="BodyText"/>
        <w:spacing w:line="232" w:lineRule="auto"/>
        <w:ind w:right="408" w:firstLine="396"/>
      </w:pPr>
      <w:r>
        <w:rPr>
          <w:color w:val="231F20"/>
          <w:w w:val="66"/>
        </w:rPr>
        <w:t> </w:t>
      </w:r>
      <w:r>
        <w:rPr>
          <w:color w:val="231F20"/>
        </w:rPr>
        <w:t>– какво је расположење у односу на овај проблем – да ли је рађено</w:t>
      </w:r>
      <w:r>
        <w:rPr>
          <w:color w:val="231F20"/>
          <w:spacing w:val="-9"/>
        </w:rPr>
        <w:t> </w:t>
      </w:r>
      <w:r>
        <w:rPr>
          <w:color w:val="231F20"/>
        </w:rPr>
        <w:t>на</w:t>
      </w:r>
      <w:r>
        <w:rPr>
          <w:color w:val="231F20"/>
          <w:spacing w:val="-9"/>
        </w:rPr>
        <w:t> </w:t>
      </w:r>
      <w:r>
        <w:rPr>
          <w:color w:val="231F20"/>
        </w:rPr>
        <w:t>едукацији,</w:t>
      </w:r>
      <w:r>
        <w:rPr>
          <w:color w:val="231F20"/>
          <w:spacing w:val="-9"/>
        </w:rPr>
        <w:t> </w:t>
      </w:r>
      <w:r>
        <w:rPr>
          <w:color w:val="231F20"/>
        </w:rPr>
        <w:t>подизању</w:t>
      </w:r>
      <w:r>
        <w:rPr>
          <w:color w:val="231F20"/>
          <w:spacing w:val="-9"/>
        </w:rPr>
        <w:t> </w:t>
      </w:r>
      <w:r>
        <w:rPr>
          <w:color w:val="231F20"/>
        </w:rPr>
        <w:t>свести</w:t>
      </w:r>
      <w:r>
        <w:rPr>
          <w:color w:val="231F20"/>
          <w:spacing w:val="-9"/>
        </w:rPr>
        <w:t> </w:t>
      </w:r>
      <w:r>
        <w:rPr>
          <w:color w:val="231F20"/>
        </w:rPr>
        <w:t>и</w:t>
      </w:r>
      <w:r>
        <w:rPr>
          <w:color w:val="231F20"/>
          <w:spacing w:val="-9"/>
        </w:rPr>
        <w:t> </w:t>
      </w:r>
      <w:r>
        <w:rPr>
          <w:color w:val="231F20"/>
        </w:rPr>
        <w:t>припреми</w:t>
      </w:r>
      <w:r>
        <w:rPr>
          <w:color w:val="231F20"/>
          <w:spacing w:val="-9"/>
        </w:rPr>
        <w:t> </w:t>
      </w:r>
      <w:r>
        <w:rPr>
          <w:color w:val="231F20"/>
        </w:rPr>
        <w:t>локалног</w:t>
      </w:r>
      <w:r>
        <w:rPr>
          <w:color w:val="231F20"/>
          <w:spacing w:val="-9"/>
        </w:rPr>
        <w:t> </w:t>
      </w:r>
      <w:r>
        <w:rPr>
          <w:color w:val="231F20"/>
        </w:rPr>
        <w:t>јавног мњења (становништва и локалне</w:t>
      </w:r>
      <w:r>
        <w:rPr>
          <w:color w:val="231F20"/>
          <w:spacing w:val="-6"/>
        </w:rPr>
        <w:t> </w:t>
      </w:r>
      <w:r>
        <w:rPr>
          <w:color w:val="231F20"/>
        </w:rPr>
        <w:t>самоуправе);</w:t>
      </w:r>
    </w:p>
    <w:p>
      <w:pPr>
        <w:pStyle w:val="BodyText"/>
        <w:spacing w:line="232" w:lineRule="auto"/>
        <w:ind w:right="408" w:firstLine="396"/>
      </w:pPr>
      <w:r>
        <w:rPr>
          <w:color w:val="231F20"/>
          <w:w w:val="66"/>
        </w:rPr>
        <w:t> </w:t>
      </w:r>
      <w:r>
        <w:rPr>
          <w:color w:val="231F20"/>
        </w:rPr>
        <w:t>– постојање подстицајних мера – пореске олакшице, субвен- ције и друго;</w:t>
      </w:r>
    </w:p>
    <w:p>
      <w:pPr>
        <w:pStyle w:val="BodyText"/>
        <w:spacing w:line="232" w:lineRule="auto"/>
        <w:ind w:right="408" w:firstLine="396"/>
      </w:pPr>
      <w:r>
        <w:rPr>
          <w:color w:val="231F20"/>
          <w:w w:val="66"/>
        </w:rPr>
        <w:t> </w:t>
      </w:r>
      <w:r>
        <w:rPr>
          <w:color w:val="231F20"/>
        </w:rPr>
        <w:t>– постојање посебних економско-финансијских захтева од стране локалне заједнице (проценат профита, помоћ у изградњи инфраструктуре, донације итд.);</w:t>
      </w:r>
    </w:p>
    <w:p>
      <w:pPr>
        <w:pStyle w:val="BodyText"/>
        <w:spacing w:line="232" w:lineRule="auto"/>
        <w:ind w:right="408" w:firstLine="396"/>
      </w:pPr>
      <w:r>
        <w:rPr>
          <w:color w:val="231F20"/>
          <w:w w:val="66"/>
        </w:rPr>
        <w:t> </w:t>
      </w:r>
      <w:r>
        <w:rPr>
          <w:color w:val="231F20"/>
        </w:rPr>
        <w:t>– утицај на животну средину – неугрожавање флоре и фауне (правац миграторних кретања птица, IBA – important bird areas), неугрожавање крајолика, заштићених природних добара, нацио- налних паркова, бука итд;</w:t>
      </w:r>
    </w:p>
    <w:p>
      <w:pPr>
        <w:pStyle w:val="BodyText"/>
        <w:spacing w:line="232" w:lineRule="auto"/>
        <w:ind w:right="408" w:firstLine="396"/>
      </w:pPr>
      <w:r>
        <w:rPr>
          <w:color w:val="231F20"/>
          <w:w w:val="66"/>
        </w:rPr>
        <w:t> </w:t>
      </w:r>
      <w:r>
        <w:rPr>
          <w:color w:val="231F20"/>
        </w:rPr>
        <w:t>– довољна удаљеност од насеља и стамбених објеката како би се избегло повeћање интензитета буке;</w:t>
      </w:r>
    </w:p>
    <w:p>
      <w:pPr>
        <w:pStyle w:val="BodyText"/>
        <w:spacing w:line="232" w:lineRule="auto"/>
        <w:ind w:left="171" w:right="407" w:firstLine="396"/>
      </w:pPr>
      <w:r>
        <w:rPr>
          <w:color w:val="231F20"/>
          <w:w w:val="66"/>
        </w:rPr>
        <w:t> </w:t>
      </w:r>
      <w:r>
        <w:rPr>
          <w:color w:val="231F20"/>
        </w:rPr>
        <w:t>–</w:t>
      </w:r>
      <w:r>
        <w:rPr>
          <w:color w:val="231F20"/>
          <w:spacing w:val="-10"/>
        </w:rPr>
        <w:t> </w:t>
      </w:r>
      <w:r>
        <w:rPr>
          <w:color w:val="231F20"/>
        </w:rPr>
        <w:t>довољна</w:t>
      </w:r>
      <w:r>
        <w:rPr>
          <w:color w:val="231F20"/>
          <w:spacing w:val="-11"/>
        </w:rPr>
        <w:t> </w:t>
      </w:r>
      <w:r>
        <w:rPr>
          <w:color w:val="231F20"/>
        </w:rPr>
        <w:t>удаљеност</w:t>
      </w:r>
      <w:r>
        <w:rPr>
          <w:color w:val="231F20"/>
          <w:spacing w:val="-11"/>
        </w:rPr>
        <w:t> </w:t>
      </w:r>
      <w:r>
        <w:rPr>
          <w:color w:val="231F20"/>
          <w:spacing w:val="-3"/>
        </w:rPr>
        <w:t>од</w:t>
      </w:r>
      <w:r>
        <w:rPr>
          <w:color w:val="231F20"/>
          <w:spacing w:val="-11"/>
        </w:rPr>
        <w:t> </w:t>
      </w:r>
      <w:r>
        <w:rPr>
          <w:color w:val="231F20"/>
        </w:rPr>
        <w:t>инфраструктурних</w:t>
      </w:r>
      <w:r>
        <w:rPr>
          <w:color w:val="231F20"/>
          <w:spacing w:val="-10"/>
        </w:rPr>
        <w:t> </w:t>
      </w:r>
      <w:r>
        <w:rPr>
          <w:color w:val="231F20"/>
        </w:rPr>
        <w:t>објеката</w:t>
      </w:r>
      <w:r>
        <w:rPr>
          <w:color w:val="231F20"/>
          <w:spacing w:val="-10"/>
        </w:rPr>
        <w:t> </w:t>
      </w:r>
      <w:r>
        <w:rPr>
          <w:color w:val="231F20"/>
        </w:rPr>
        <w:t>(телеко- муникационих, радарских, аеродрома, линијских инфраструктур- них објеката и др);</w:t>
      </w:r>
      <w:r>
        <w:rPr>
          <w:color w:val="231F20"/>
          <w:spacing w:val="-3"/>
        </w:rPr>
        <w:t> </w:t>
      </w:r>
      <w:r>
        <w:rPr>
          <w:color w:val="231F20"/>
        </w:rPr>
        <w:t>и</w:t>
      </w:r>
    </w:p>
    <w:p>
      <w:pPr>
        <w:spacing w:after="0" w:line="232" w:lineRule="auto"/>
        <w:sectPr>
          <w:pgSz w:w="12480" w:h="15690"/>
          <w:pgMar w:top="120" w:bottom="280" w:left="680" w:right="720"/>
          <w:cols w:num="2" w:equalWidth="0">
            <w:col w:w="5315" w:space="74"/>
            <w:col w:w="5691"/>
          </w:cols>
        </w:sectPr>
      </w:pPr>
    </w:p>
    <w:p>
      <w:pPr>
        <w:pStyle w:val="BodyText"/>
        <w:spacing w:line="232" w:lineRule="auto" w:before="73"/>
        <w:ind w:left="453" w:firstLine="397"/>
      </w:pPr>
      <w:r>
        <w:rPr/>
        <w:pict>
          <v:line style="position:absolute;mso-position-horizontal-relative:page;mso-position-vertical-relative:page;z-index:4960" from="318.897614pt,11.942451pt" to="318.897614pt,748.950451pt" stroked="true" strokeweight=".6pt" strokecolor="#231f20">
            <v:stroke dashstyle="solid"/>
            <w10:wrap type="none"/>
          </v:line>
        </w:pict>
      </w:r>
      <w:r>
        <w:rPr>
          <w:color w:val="231F20"/>
          <w:w w:val="66"/>
        </w:rPr>
        <w:t> </w:t>
      </w:r>
      <w:r>
        <w:rPr>
          <w:color w:val="231F20"/>
        </w:rPr>
        <w:t>– уколико потенцијална локација буде потврђена на основу извршених анализа, предвиђена је израда урбанистичког пројекта синхронизовано са израдом техничке документације, којим би за локацију ветроелектране била одређена ближа правила за изград- њу и уређење простора.</w:t>
      </w:r>
    </w:p>
    <w:p>
      <w:pPr>
        <w:pStyle w:val="BodyText"/>
        <w:spacing w:line="232" w:lineRule="auto"/>
        <w:ind w:left="453" w:firstLine="396"/>
      </w:pPr>
      <w:r>
        <w:rPr>
          <w:color w:val="231F20"/>
        </w:rPr>
        <w:t>У поступку прибављања локацијске дозволе </w:t>
      </w:r>
      <w:r>
        <w:rPr>
          <w:color w:val="231F20"/>
          <w:spacing w:val="-3"/>
        </w:rPr>
        <w:t>од </w:t>
      </w:r>
      <w:r>
        <w:rPr>
          <w:color w:val="231F20"/>
        </w:rPr>
        <w:t>надлежних органа и организација потребно је прибавити водне услове, енер- гетско-техничке услове за прикључење на електроенергетску</w:t>
      </w:r>
      <w:r>
        <w:rPr>
          <w:color w:val="231F20"/>
          <w:spacing w:val="-21"/>
        </w:rPr>
        <w:t> </w:t>
      </w:r>
      <w:r>
        <w:rPr>
          <w:color w:val="231F20"/>
        </w:rPr>
        <w:t>мре- </w:t>
      </w:r>
      <w:r>
        <w:rPr>
          <w:color w:val="231F20"/>
          <w:spacing w:val="-6"/>
        </w:rPr>
        <w:t>жу, </w:t>
      </w:r>
      <w:r>
        <w:rPr>
          <w:color w:val="231F20"/>
        </w:rPr>
        <w:t>услове за прикључење на комуналну инфраструктуру, итд. Да би се добила енергетска дозвола, потребно је прибавити</w:t>
      </w:r>
      <w:r>
        <w:rPr>
          <w:color w:val="231F20"/>
          <w:spacing w:val="-32"/>
        </w:rPr>
        <w:t> </w:t>
      </w:r>
      <w:r>
        <w:rPr>
          <w:color w:val="231F20"/>
        </w:rPr>
        <w:t>информа- цију о</w:t>
      </w:r>
      <w:r>
        <w:rPr>
          <w:color w:val="231F20"/>
          <w:spacing w:val="-1"/>
        </w:rPr>
        <w:t> </w:t>
      </w:r>
      <w:r>
        <w:rPr>
          <w:color w:val="231F20"/>
        </w:rPr>
        <w:t>локацији.</w:t>
      </w:r>
    </w:p>
    <w:p>
      <w:pPr>
        <w:pStyle w:val="ListParagraph"/>
        <w:numPr>
          <w:ilvl w:val="2"/>
          <w:numId w:val="80"/>
        </w:numPr>
        <w:tabs>
          <w:tab w:pos="2474" w:val="left" w:leader="none"/>
        </w:tabs>
        <w:spacing w:line="240" w:lineRule="auto" w:before="164" w:after="0"/>
        <w:ind w:left="2473" w:right="0" w:hanging="540"/>
        <w:jc w:val="left"/>
        <w:rPr>
          <w:sz w:val="18"/>
        </w:rPr>
      </w:pPr>
      <w:r>
        <w:rPr>
          <w:color w:val="231F20"/>
          <w:spacing w:val="15"/>
          <w:sz w:val="18"/>
        </w:rPr>
        <w:t>Друга</w:t>
      </w:r>
      <w:r>
        <w:rPr>
          <w:color w:val="231F20"/>
          <w:spacing w:val="43"/>
          <w:sz w:val="18"/>
        </w:rPr>
        <w:t> </w:t>
      </w:r>
      <w:r>
        <w:rPr>
          <w:color w:val="231F20"/>
          <w:spacing w:val="16"/>
          <w:sz w:val="18"/>
        </w:rPr>
        <w:t>потцелина</w:t>
      </w:r>
    </w:p>
    <w:p>
      <w:pPr>
        <w:pStyle w:val="BodyText"/>
        <w:spacing w:before="3"/>
        <w:ind w:left="0"/>
        <w:jc w:val="left"/>
        <w:rPr>
          <w:sz w:val="17"/>
        </w:rPr>
      </w:pPr>
    </w:p>
    <w:p>
      <w:pPr>
        <w:pStyle w:val="BodyText"/>
        <w:spacing w:line="232" w:lineRule="auto" w:before="1"/>
        <w:ind w:left="453" w:firstLine="397"/>
      </w:pPr>
      <w:r>
        <w:rPr>
          <w:color w:val="231F20"/>
        </w:rPr>
        <w:t>У</w:t>
      </w:r>
      <w:r>
        <w:rPr>
          <w:color w:val="231F20"/>
          <w:spacing w:val="-7"/>
        </w:rPr>
        <w:t> </w:t>
      </w:r>
      <w:r>
        <w:rPr>
          <w:color w:val="231F20"/>
        </w:rPr>
        <w:t>оквиру</w:t>
      </w:r>
      <w:r>
        <w:rPr>
          <w:color w:val="231F20"/>
          <w:spacing w:val="-7"/>
        </w:rPr>
        <w:t> </w:t>
      </w:r>
      <w:r>
        <w:rPr>
          <w:color w:val="231F20"/>
        </w:rPr>
        <w:t>друге</w:t>
      </w:r>
      <w:r>
        <w:rPr>
          <w:color w:val="231F20"/>
          <w:spacing w:val="-7"/>
        </w:rPr>
        <w:t> </w:t>
      </w:r>
      <w:r>
        <w:rPr>
          <w:color w:val="231F20"/>
        </w:rPr>
        <w:t>потцелине</w:t>
      </w:r>
      <w:r>
        <w:rPr>
          <w:color w:val="231F20"/>
          <w:spacing w:val="-7"/>
        </w:rPr>
        <w:t> </w:t>
      </w:r>
      <w:r>
        <w:rPr>
          <w:color w:val="231F20"/>
          <w:spacing w:val="-3"/>
        </w:rPr>
        <w:t>која</w:t>
      </w:r>
      <w:r>
        <w:rPr>
          <w:color w:val="231F20"/>
          <w:spacing w:val="-7"/>
        </w:rPr>
        <w:t> </w:t>
      </w:r>
      <w:r>
        <w:rPr>
          <w:color w:val="231F20"/>
        </w:rPr>
        <w:t>обухвата</w:t>
      </w:r>
      <w:r>
        <w:rPr>
          <w:color w:val="231F20"/>
          <w:spacing w:val="-7"/>
        </w:rPr>
        <w:t> </w:t>
      </w:r>
      <w:r>
        <w:rPr>
          <w:color w:val="231F20"/>
        </w:rPr>
        <w:t>приобалну</w:t>
      </w:r>
      <w:r>
        <w:rPr>
          <w:color w:val="231F20"/>
          <w:spacing w:val="-7"/>
        </w:rPr>
        <w:t> </w:t>
      </w:r>
      <w:r>
        <w:rPr>
          <w:color w:val="231F20"/>
        </w:rPr>
        <w:t>алувијал- ну зараван поред леве обале реке Млаве, предвиђа се формирање засада топола и других врста погодних за производњу биомасе као обновљивог извора енергије. Површина ове потцелине износи 107,5 ha.</w:t>
      </w:r>
    </w:p>
    <w:p>
      <w:pPr>
        <w:pStyle w:val="BodyText"/>
        <w:spacing w:line="232" w:lineRule="auto"/>
        <w:ind w:left="453" w:firstLine="396"/>
      </w:pPr>
      <w:r>
        <w:rPr>
          <w:color w:val="231F20"/>
          <w:spacing w:val="-3"/>
        </w:rPr>
        <w:t>Уважавајуће </w:t>
      </w:r>
      <w:r>
        <w:rPr>
          <w:color w:val="231F20"/>
        </w:rPr>
        <w:t>услове средине, у овој потцелини планира се подизање „култура кратких опходњи” (ККО) </w:t>
      </w:r>
      <w:r>
        <w:rPr>
          <w:color w:val="231F20"/>
          <w:spacing w:val="-3"/>
        </w:rPr>
        <w:t>које </w:t>
      </w:r>
      <w:r>
        <w:rPr>
          <w:color w:val="231F20"/>
        </w:rPr>
        <w:t>представљају енергетске</w:t>
      </w:r>
      <w:r>
        <w:rPr>
          <w:color w:val="231F20"/>
          <w:spacing w:val="-7"/>
        </w:rPr>
        <w:t> </w:t>
      </w:r>
      <w:r>
        <w:rPr>
          <w:color w:val="231F20"/>
        </w:rPr>
        <w:t>засаде,</w:t>
      </w:r>
      <w:r>
        <w:rPr>
          <w:color w:val="231F20"/>
          <w:spacing w:val="-7"/>
        </w:rPr>
        <w:t> </w:t>
      </w:r>
      <w:r>
        <w:rPr>
          <w:color w:val="231F20"/>
        </w:rPr>
        <w:t>најчешће</w:t>
      </w:r>
      <w:r>
        <w:rPr>
          <w:color w:val="231F20"/>
          <w:spacing w:val="-7"/>
        </w:rPr>
        <w:t> </w:t>
      </w:r>
      <w:r>
        <w:rPr>
          <w:color w:val="231F20"/>
        </w:rPr>
        <w:t>врба</w:t>
      </w:r>
      <w:r>
        <w:rPr>
          <w:color w:val="231F20"/>
          <w:spacing w:val="-7"/>
        </w:rPr>
        <w:t> </w:t>
      </w:r>
      <w:r>
        <w:rPr>
          <w:color w:val="231F20"/>
        </w:rPr>
        <w:t>и</w:t>
      </w:r>
      <w:r>
        <w:rPr>
          <w:color w:val="231F20"/>
          <w:spacing w:val="-7"/>
        </w:rPr>
        <w:t> </w:t>
      </w:r>
      <w:r>
        <w:rPr>
          <w:color w:val="231F20"/>
        </w:rPr>
        <w:t>топола,</w:t>
      </w:r>
      <w:r>
        <w:rPr>
          <w:color w:val="231F20"/>
          <w:spacing w:val="-7"/>
        </w:rPr>
        <w:t> </w:t>
      </w:r>
      <w:r>
        <w:rPr>
          <w:color w:val="231F20"/>
        </w:rPr>
        <w:t>чија</w:t>
      </w:r>
      <w:r>
        <w:rPr>
          <w:color w:val="231F20"/>
          <w:spacing w:val="-7"/>
        </w:rPr>
        <w:t> </w:t>
      </w:r>
      <w:r>
        <w:rPr>
          <w:color w:val="231F20"/>
        </w:rPr>
        <w:t>се</w:t>
      </w:r>
      <w:r>
        <w:rPr>
          <w:color w:val="231F20"/>
          <w:spacing w:val="-7"/>
        </w:rPr>
        <w:t> </w:t>
      </w:r>
      <w:r>
        <w:rPr>
          <w:color w:val="231F20"/>
        </w:rPr>
        <w:t>изданачка</w:t>
      </w:r>
      <w:r>
        <w:rPr>
          <w:color w:val="231F20"/>
          <w:spacing w:val="-7"/>
        </w:rPr>
        <w:t> </w:t>
      </w:r>
      <w:r>
        <w:rPr>
          <w:color w:val="231F20"/>
        </w:rPr>
        <w:t>снага подмлађује изданцима из пања или корена. Ове плантаже се</w:t>
      </w:r>
      <w:r>
        <w:rPr>
          <w:color w:val="231F20"/>
          <w:spacing w:val="-25"/>
        </w:rPr>
        <w:t> </w:t>
      </w:r>
      <w:r>
        <w:rPr>
          <w:color w:val="231F20"/>
        </w:rPr>
        <w:t>осни- вају са </w:t>
      </w:r>
      <w:r>
        <w:rPr>
          <w:color w:val="231F20"/>
          <w:spacing w:val="-3"/>
        </w:rPr>
        <w:t>великом </w:t>
      </w:r>
      <w:r>
        <w:rPr>
          <w:color w:val="231F20"/>
        </w:rPr>
        <w:t>густином садње (од 1 000 до 30 000 биљака по хектару) и представљају шумска станишта на </w:t>
      </w:r>
      <w:r>
        <w:rPr>
          <w:color w:val="231F20"/>
          <w:spacing w:val="-3"/>
        </w:rPr>
        <w:t>којима </w:t>
      </w:r>
      <w:r>
        <w:rPr>
          <w:color w:val="231F20"/>
        </w:rPr>
        <w:t>се планира производња, сеча и искоришћавање целих</w:t>
      </w:r>
      <w:r>
        <w:rPr>
          <w:color w:val="231F20"/>
          <w:spacing w:val="-10"/>
        </w:rPr>
        <w:t> </w:t>
      </w:r>
      <w:r>
        <w:rPr>
          <w:color w:val="231F20"/>
        </w:rPr>
        <w:t>стабала.</w:t>
      </w:r>
    </w:p>
    <w:p>
      <w:pPr>
        <w:pStyle w:val="BodyText"/>
        <w:spacing w:line="232" w:lineRule="auto"/>
        <w:ind w:left="453" w:firstLine="397"/>
      </w:pPr>
      <w:r>
        <w:rPr>
          <w:color w:val="231F20"/>
        </w:rPr>
        <w:t>ККО</w:t>
      </w:r>
      <w:r>
        <w:rPr>
          <w:color w:val="231F20"/>
          <w:spacing w:val="-10"/>
        </w:rPr>
        <w:t> </w:t>
      </w:r>
      <w:r>
        <w:rPr>
          <w:color w:val="231F20"/>
        </w:rPr>
        <w:t>представља</w:t>
      </w:r>
      <w:r>
        <w:rPr>
          <w:color w:val="231F20"/>
          <w:spacing w:val="-10"/>
        </w:rPr>
        <w:t> </w:t>
      </w:r>
      <w:r>
        <w:rPr>
          <w:color w:val="231F20"/>
        </w:rPr>
        <w:t>значајан</w:t>
      </w:r>
      <w:r>
        <w:rPr>
          <w:color w:val="231F20"/>
          <w:spacing w:val="-10"/>
        </w:rPr>
        <w:t> </w:t>
      </w:r>
      <w:r>
        <w:rPr>
          <w:color w:val="231F20"/>
        </w:rPr>
        <w:t>извор</w:t>
      </w:r>
      <w:r>
        <w:rPr>
          <w:color w:val="231F20"/>
          <w:spacing w:val="-10"/>
        </w:rPr>
        <w:t> </w:t>
      </w:r>
      <w:r>
        <w:rPr>
          <w:color w:val="231F20"/>
        </w:rPr>
        <w:t>биомасе</w:t>
      </w:r>
      <w:r>
        <w:rPr>
          <w:color w:val="231F20"/>
          <w:spacing w:val="-10"/>
        </w:rPr>
        <w:t> </w:t>
      </w:r>
      <w:r>
        <w:rPr>
          <w:color w:val="231F20"/>
        </w:rPr>
        <w:t>за</w:t>
      </w:r>
      <w:r>
        <w:rPr>
          <w:color w:val="231F20"/>
          <w:spacing w:val="-10"/>
        </w:rPr>
        <w:t> </w:t>
      </w:r>
      <w:r>
        <w:rPr>
          <w:color w:val="231F20"/>
        </w:rPr>
        <w:t>енергетске</w:t>
      </w:r>
      <w:r>
        <w:rPr>
          <w:color w:val="231F20"/>
          <w:spacing w:val="-10"/>
        </w:rPr>
        <w:t> </w:t>
      </w:r>
      <w:r>
        <w:rPr>
          <w:color w:val="231F20"/>
        </w:rPr>
        <w:t>потре- бе. На маргиналним земљиштима, без прехране и заштите </w:t>
      </w:r>
      <w:r>
        <w:rPr>
          <w:color w:val="231F20"/>
          <w:spacing w:val="-3"/>
        </w:rPr>
        <w:t>од </w:t>
      </w:r>
      <w:r>
        <w:rPr>
          <w:color w:val="231F20"/>
          <w:spacing w:val="-4"/>
        </w:rPr>
        <w:t>ко- </w:t>
      </w:r>
      <w:r>
        <w:rPr>
          <w:color w:val="231F20"/>
        </w:rPr>
        <w:t>рова</w:t>
      </w:r>
      <w:r>
        <w:rPr>
          <w:color w:val="231F20"/>
          <w:spacing w:val="-6"/>
        </w:rPr>
        <w:t> </w:t>
      </w:r>
      <w:r>
        <w:rPr>
          <w:color w:val="231F20"/>
        </w:rPr>
        <w:t>и</w:t>
      </w:r>
      <w:r>
        <w:rPr>
          <w:color w:val="231F20"/>
          <w:spacing w:val="-6"/>
        </w:rPr>
        <w:t> </w:t>
      </w:r>
      <w:r>
        <w:rPr>
          <w:color w:val="231F20"/>
        </w:rPr>
        <w:t>штеточина</w:t>
      </w:r>
      <w:r>
        <w:rPr>
          <w:color w:val="231F20"/>
          <w:spacing w:val="-6"/>
        </w:rPr>
        <w:t> </w:t>
      </w:r>
      <w:r>
        <w:rPr>
          <w:color w:val="231F20"/>
        </w:rPr>
        <w:t>просечно</w:t>
      </w:r>
      <w:r>
        <w:rPr>
          <w:color w:val="231F20"/>
          <w:spacing w:val="-6"/>
        </w:rPr>
        <w:t> </w:t>
      </w:r>
      <w:r>
        <w:rPr>
          <w:color w:val="231F20"/>
        </w:rPr>
        <w:t>преживљавање</w:t>
      </w:r>
      <w:r>
        <w:rPr>
          <w:color w:val="231F20"/>
          <w:spacing w:val="-6"/>
        </w:rPr>
        <w:t> </w:t>
      </w:r>
      <w:r>
        <w:rPr>
          <w:color w:val="231F20"/>
        </w:rPr>
        <w:t>је</w:t>
      </w:r>
      <w:r>
        <w:rPr>
          <w:color w:val="231F20"/>
          <w:spacing w:val="-6"/>
        </w:rPr>
        <w:t> </w:t>
      </w:r>
      <w:r>
        <w:rPr>
          <w:color w:val="231F20"/>
        </w:rPr>
        <w:t>86%</w:t>
      </w:r>
      <w:r>
        <w:rPr>
          <w:color w:val="231F20"/>
          <w:spacing w:val="-6"/>
        </w:rPr>
        <w:t> </w:t>
      </w:r>
      <w:r>
        <w:rPr>
          <w:color w:val="231F20"/>
        </w:rPr>
        <w:t>а</w:t>
      </w:r>
      <w:r>
        <w:rPr>
          <w:color w:val="231F20"/>
          <w:spacing w:val="-6"/>
        </w:rPr>
        <w:t> </w:t>
      </w:r>
      <w:r>
        <w:rPr>
          <w:color w:val="231F20"/>
        </w:rPr>
        <w:t>продукција</w:t>
      </w:r>
      <w:r>
        <w:rPr>
          <w:color w:val="231F20"/>
          <w:spacing w:val="-6"/>
        </w:rPr>
        <w:t> </w:t>
      </w:r>
      <w:r>
        <w:rPr>
          <w:color w:val="231F20"/>
          <w:spacing w:val="-3"/>
        </w:rPr>
        <w:t>од </w:t>
      </w:r>
      <w:r>
        <w:rPr>
          <w:color w:val="231F20"/>
        </w:rPr>
        <w:t>11,8 t/ha. </w:t>
      </w:r>
      <w:r>
        <w:rPr>
          <w:color w:val="231F20"/>
          <w:spacing w:val="-8"/>
        </w:rPr>
        <w:t>Уз </w:t>
      </w:r>
      <w:r>
        <w:rPr>
          <w:color w:val="231F20"/>
        </w:rPr>
        <w:t>примену интезивних мера гајења и неге производња биомасе се може знатно</w:t>
      </w:r>
      <w:r>
        <w:rPr>
          <w:color w:val="231F20"/>
          <w:spacing w:val="-4"/>
        </w:rPr>
        <w:t> </w:t>
      </w:r>
      <w:r>
        <w:rPr>
          <w:color w:val="231F20"/>
        </w:rPr>
        <w:t>повећати.</w:t>
      </w:r>
    </w:p>
    <w:p>
      <w:pPr>
        <w:pStyle w:val="BodyText"/>
        <w:spacing w:line="232" w:lineRule="auto"/>
        <w:ind w:left="453" w:firstLine="397"/>
      </w:pPr>
      <w:r>
        <w:rPr>
          <w:color w:val="231F20"/>
          <w:spacing w:val="-5"/>
        </w:rPr>
        <w:t>Услов </w:t>
      </w:r>
      <w:r>
        <w:rPr>
          <w:color w:val="231F20"/>
        </w:rPr>
        <w:t>за избор за ККО јесте да брзо расту и имају висок сте- пен производње и да су отпорне на гљивичне паразите и инсекте. Оптимални период трајања култивације процењује се на 10 </w:t>
      </w:r>
      <w:r>
        <w:rPr>
          <w:color w:val="231F20"/>
          <w:spacing w:val="-3"/>
        </w:rPr>
        <w:t>годи- </w:t>
      </w:r>
      <w:r>
        <w:rPr>
          <w:color w:val="231F20"/>
        </w:rPr>
        <w:t>на, што се пре свега односи на тополе. </w:t>
      </w:r>
      <w:r>
        <w:rPr>
          <w:color w:val="231F20"/>
          <w:spacing w:val="-3"/>
        </w:rPr>
        <w:t>Жетва  </w:t>
      </w:r>
      <w:r>
        <w:rPr>
          <w:color w:val="231F20"/>
        </w:rPr>
        <w:t>се спроводи сваке  2 </w:t>
      </w:r>
      <w:r>
        <w:rPr>
          <w:color w:val="231F20"/>
          <w:spacing w:val="-3"/>
        </w:rPr>
        <w:t>године </w:t>
      </w:r>
      <w:r>
        <w:rPr>
          <w:color w:val="231F20"/>
        </w:rPr>
        <w:t>у току зимских месеци када се не саде нови насади, а култивација је механизована. </w:t>
      </w:r>
      <w:r>
        <w:rPr>
          <w:color w:val="231F20"/>
          <w:spacing w:val="-3"/>
        </w:rPr>
        <w:t>Након </w:t>
      </w:r>
      <w:r>
        <w:rPr>
          <w:color w:val="231F20"/>
        </w:rPr>
        <w:t>сече јављају се нови избојци </w:t>
      </w:r>
      <w:r>
        <w:rPr>
          <w:color w:val="231F20"/>
          <w:spacing w:val="-3"/>
        </w:rPr>
        <w:t>који</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поново</w:t>
      </w:r>
      <w:r>
        <w:rPr>
          <w:color w:val="231F20"/>
          <w:spacing w:val="-5"/>
        </w:rPr>
        <w:t> </w:t>
      </w:r>
      <w:r>
        <w:rPr>
          <w:color w:val="231F20"/>
        </w:rPr>
        <w:t>посећи</w:t>
      </w:r>
      <w:r>
        <w:rPr>
          <w:color w:val="231F20"/>
          <w:spacing w:val="-5"/>
        </w:rPr>
        <w:t> </w:t>
      </w:r>
      <w:r>
        <w:rPr>
          <w:color w:val="231F20"/>
        </w:rPr>
        <w:t>за</w:t>
      </w:r>
      <w:r>
        <w:rPr>
          <w:color w:val="231F20"/>
          <w:spacing w:val="-5"/>
        </w:rPr>
        <w:t> </w:t>
      </w:r>
      <w:r>
        <w:rPr>
          <w:color w:val="231F20"/>
        </w:rPr>
        <w:t>две</w:t>
      </w:r>
      <w:r>
        <w:rPr>
          <w:color w:val="231F20"/>
          <w:spacing w:val="-5"/>
        </w:rPr>
        <w:t> </w:t>
      </w:r>
      <w:r>
        <w:rPr>
          <w:color w:val="231F20"/>
        </w:rPr>
        <w:t>до</w:t>
      </w:r>
      <w:r>
        <w:rPr>
          <w:color w:val="231F20"/>
          <w:spacing w:val="-5"/>
        </w:rPr>
        <w:t> </w:t>
      </w:r>
      <w:r>
        <w:rPr>
          <w:color w:val="231F20"/>
        </w:rPr>
        <w:t>пет</w:t>
      </w:r>
      <w:r>
        <w:rPr>
          <w:color w:val="231F20"/>
          <w:spacing w:val="-5"/>
        </w:rPr>
        <w:t> </w:t>
      </w:r>
      <w:r>
        <w:rPr>
          <w:color w:val="231F20"/>
        </w:rPr>
        <w:t>година,</w:t>
      </w:r>
      <w:r>
        <w:rPr>
          <w:color w:val="231F20"/>
          <w:spacing w:val="-5"/>
        </w:rPr>
        <w:t> </w:t>
      </w:r>
      <w:r>
        <w:rPr>
          <w:color w:val="231F20"/>
        </w:rPr>
        <w:t>те</w:t>
      </w:r>
      <w:r>
        <w:rPr>
          <w:color w:val="231F20"/>
          <w:spacing w:val="-5"/>
        </w:rPr>
        <w:t> </w:t>
      </w:r>
      <w:r>
        <w:rPr>
          <w:color w:val="231F20"/>
        </w:rPr>
        <w:t>ће</w:t>
      </w:r>
      <w:r>
        <w:rPr>
          <w:color w:val="231F20"/>
          <w:spacing w:val="-5"/>
        </w:rPr>
        <w:t> </w:t>
      </w:r>
      <w:r>
        <w:rPr>
          <w:color w:val="231F20"/>
        </w:rPr>
        <w:t>се</w:t>
      </w:r>
      <w:r>
        <w:rPr>
          <w:color w:val="231F20"/>
          <w:spacing w:val="-5"/>
        </w:rPr>
        <w:t> </w:t>
      </w:r>
      <w:r>
        <w:rPr>
          <w:color w:val="231F20"/>
        </w:rPr>
        <w:t>на</w:t>
      </w:r>
      <w:r>
        <w:rPr>
          <w:color w:val="231F20"/>
          <w:spacing w:val="-5"/>
        </w:rPr>
        <w:t> </w:t>
      </w:r>
      <w:r>
        <w:rPr>
          <w:color w:val="231F20"/>
        </w:rPr>
        <w:t>тај</w:t>
      </w:r>
      <w:r>
        <w:rPr>
          <w:color w:val="231F20"/>
          <w:spacing w:val="-5"/>
        </w:rPr>
        <w:t> </w:t>
      </w:r>
      <w:r>
        <w:rPr>
          <w:color w:val="231F20"/>
        </w:rPr>
        <w:t>начин сећи сукцесивно у шест до осам опходњи, </w:t>
      </w:r>
      <w:r>
        <w:rPr>
          <w:color w:val="231F20"/>
          <w:spacing w:val="-3"/>
        </w:rPr>
        <w:t>након </w:t>
      </w:r>
      <w:r>
        <w:rPr>
          <w:color w:val="231F20"/>
        </w:rPr>
        <w:t>чега се </w:t>
      </w:r>
      <w:r>
        <w:rPr>
          <w:color w:val="231F20"/>
          <w:spacing w:val="-3"/>
        </w:rPr>
        <w:t>култура </w:t>
      </w:r>
      <w:r>
        <w:rPr>
          <w:color w:val="231F20"/>
        </w:rPr>
        <w:t>мора искрчити и заменити новим садним материјалом </w:t>
      </w:r>
      <w:r>
        <w:rPr>
          <w:color w:val="231F20"/>
          <w:spacing w:val="-4"/>
        </w:rPr>
        <w:t>будући </w:t>
      </w:r>
      <w:r>
        <w:rPr>
          <w:color w:val="231F20"/>
        </w:rPr>
        <w:t>да виталитет стабалаца, као и продукција биомасе тада значајно опа- да. Производња биомасе на плодном земљишту и без недостатака воде даје </w:t>
      </w:r>
      <w:r>
        <w:rPr>
          <w:color w:val="231F20"/>
          <w:spacing w:val="-4"/>
        </w:rPr>
        <w:t>око </w:t>
      </w:r>
      <w:r>
        <w:rPr>
          <w:color w:val="231F20"/>
        </w:rPr>
        <w:t>10 –20 t/ha суве материје</w:t>
      </w:r>
      <w:r>
        <w:rPr>
          <w:color w:val="231F20"/>
          <w:spacing w:val="-25"/>
        </w:rPr>
        <w:t> </w:t>
      </w:r>
      <w:r>
        <w:rPr>
          <w:color w:val="231F20"/>
        </w:rPr>
        <w:t>годишње.</w:t>
      </w:r>
    </w:p>
    <w:p>
      <w:pPr>
        <w:pStyle w:val="BodyText"/>
        <w:spacing w:line="232" w:lineRule="auto"/>
        <w:ind w:left="452" w:right="1" w:firstLine="397"/>
      </w:pPr>
      <w:r>
        <w:rPr>
          <w:color w:val="231F20"/>
        </w:rPr>
        <w:t>Неопходно је обезбедити правилан распоред садница као и чишћење засада од шибља и чврстог отпада како не би био угро- жен профил корита реке Млаве код великих вода.</w:t>
      </w:r>
    </w:p>
    <w:p>
      <w:pPr>
        <w:pStyle w:val="BodyText"/>
        <w:spacing w:line="232" w:lineRule="auto"/>
        <w:ind w:left="452" w:firstLine="396"/>
      </w:pPr>
      <w:r>
        <w:rPr>
          <w:color w:val="231F20"/>
        </w:rPr>
        <w:t>Шумски путеви се формирају са циљем обезбеђивање одго- варајућег газдовања и то: да се омогући кружни ток саобраћаја и да мрежа путева што више покрива целокупни простор како би се омогућио бржи приступ у случају пожара.</w:t>
      </w:r>
    </w:p>
    <w:p>
      <w:pPr>
        <w:pStyle w:val="BodyText"/>
        <w:spacing w:line="232" w:lineRule="auto"/>
        <w:ind w:left="403" w:firstLine="397"/>
        <w:jc w:val="right"/>
      </w:pPr>
      <w:r>
        <w:rPr>
          <w:color w:val="231F20"/>
        </w:rPr>
        <w:t>Успоставља се обавеза израде планске и пројектне докумен- тације која обухвата следеће фазе процеса подизања култура крат- ких опходњи: 1) избор врста и припрема станишта, садња резни- ца, 2) фаза оснивања - прва година, фаза продукције од друге до четврте године и 4) сеча која с обавља сваке треће до пете године. Посебним програмима и пројектима обезбедити стручну и техничку помоћ као и подршку код подизања плантажа у приват-</w:t>
      </w:r>
    </w:p>
    <w:p>
      <w:pPr>
        <w:pStyle w:val="BodyText"/>
        <w:spacing w:line="198" w:lineRule="exact"/>
        <w:ind w:left="452"/>
        <w:jc w:val="left"/>
      </w:pPr>
      <w:r>
        <w:rPr>
          <w:color w:val="231F20"/>
        </w:rPr>
        <w:t>ном и другом власништву.</w:t>
      </w:r>
    </w:p>
    <w:p>
      <w:pPr>
        <w:pStyle w:val="BodyText"/>
        <w:spacing w:line="232" w:lineRule="auto"/>
        <w:ind w:left="452" w:right="1" w:firstLine="397"/>
      </w:pPr>
      <w:r>
        <w:rPr>
          <w:color w:val="231F20"/>
        </w:rPr>
        <w:t>Уколико буде изграђен заштитни насип поред леве обале Млаве, засади биомасе формираће се ван одбрамбеног насипа.</w:t>
      </w:r>
    </w:p>
    <w:p>
      <w:pPr>
        <w:pStyle w:val="BodyText"/>
        <w:spacing w:line="232" w:lineRule="auto"/>
        <w:ind w:left="452" w:right="1" w:firstLine="397"/>
      </w:pPr>
      <w:r>
        <w:rPr>
          <w:color w:val="231F20"/>
          <w:spacing w:val="-3"/>
        </w:rPr>
        <w:t>Приликом </w:t>
      </w:r>
      <w:r>
        <w:rPr>
          <w:color w:val="231F20"/>
        </w:rPr>
        <w:t>доношења одлуке о изградњи електране на био- масу/биогас, расположиве </w:t>
      </w:r>
      <w:r>
        <w:rPr>
          <w:color w:val="231F20"/>
          <w:spacing w:val="-3"/>
        </w:rPr>
        <w:t>количине </w:t>
      </w:r>
      <w:r>
        <w:rPr>
          <w:color w:val="231F20"/>
        </w:rPr>
        <w:t>биомасе, односно сировине за производњу биогаса, морају се разматрати дугорочно и то по прихватљивим и конкурентним ценама. Истовремено, потребно је размотрити карактеристике биомасе, односно сировина за произ- водњу биогаса, као и могућности за њихов транспорт </w:t>
      </w:r>
      <w:r>
        <w:rPr>
          <w:color w:val="231F20"/>
          <w:spacing w:val="-3"/>
        </w:rPr>
        <w:t>од </w:t>
      </w:r>
      <w:r>
        <w:rPr>
          <w:color w:val="231F20"/>
        </w:rPr>
        <w:t>места на- станка до објекта електране на</w:t>
      </w:r>
      <w:r>
        <w:rPr>
          <w:color w:val="231F20"/>
          <w:spacing w:val="-5"/>
        </w:rPr>
        <w:t> </w:t>
      </w:r>
      <w:r>
        <w:rPr>
          <w:color w:val="231F20"/>
        </w:rPr>
        <w:t>биомасу/биогас.</w:t>
      </w:r>
    </w:p>
    <w:p>
      <w:pPr>
        <w:pStyle w:val="BodyText"/>
        <w:spacing w:line="232" w:lineRule="auto"/>
        <w:ind w:left="452" w:firstLine="396"/>
      </w:pPr>
      <w:r>
        <w:rPr>
          <w:color w:val="231F20"/>
          <w:spacing w:val="-3"/>
        </w:rPr>
        <w:t>Студијом</w:t>
      </w:r>
      <w:r>
        <w:rPr>
          <w:color w:val="231F20"/>
          <w:spacing w:val="-7"/>
        </w:rPr>
        <w:t> </w:t>
      </w:r>
      <w:r>
        <w:rPr>
          <w:color w:val="231F20"/>
        </w:rPr>
        <w:t>оправданости</w:t>
      </w:r>
      <w:r>
        <w:rPr>
          <w:color w:val="231F20"/>
          <w:spacing w:val="-7"/>
        </w:rPr>
        <w:t> </w:t>
      </w:r>
      <w:r>
        <w:rPr>
          <w:color w:val="231F20"/>
        </w:rPr>
        <w:t>разматра</w:t>
      </w:r>
      <w:r>
        <w:rPr>
          <w:color w:val="231F20"/>
          <w:spacing w:val="-7"/>
        </w:rPr>
        <w:t> </w:t>
      </w:r>
      <w:r>
        <w:rPr>
          <w:color w:val="231F20"/>
        </w:rPr>
        <w:t>се</w:t>
      </w:r>
      <w:r>
        <w:rPr>
          <w:color w:val="231F20"/>
          <w:spacing w:val="-7"/>
        </w:rPr>
        <w:t> </w:t>
      </w:r>
      <w:r>
        <w:rPr>
          <w:color w:val="231F20"/>
        </w:rPr>
        <w:t>нарочито</w:t>
      </w:r>
      <w:r>
        <w:rPr>
          <w:color w:val="231F20"/>
          <w:spacing w:val="-7"/>
        </w:rPr>
        <w:t> </w:t>
      </w:r>
      <w:r>
        <w:rPr>
          <w:color w:val="231F20"/>
        </w:rPr>
        <w:t>просторна,</w:t>
      </w:r>
      <w:r>
        <w:rPr>
          <w:color w:val="231F20"/>
          <w:spacing w:val="-7"/>
        </w:rPr>
        <w:t> </w:t>
      </w:r>
      <w:r>
        <w:rPr>
          <w:color w:val="231F20"/>
          <w:spacing w:val="-3"/>
        </w:rPr>
        <w:t>еко- </w:t>
      </w:r>
      <w:r>
        <w:rPr>
          <w:color w:val="231F20"/>
        </w:rPr>
        <w:t>лошка, друштвена, финансијска, тржишна и економска оправда- ност инвестиције за изабрано решење, разрађено идејним пројек- том, на основу којега се доноси одлука о оправданости улагања и покретању поступка за издавање грађевинске</w:t>
      </w:r>
      <w:r>
        <w:rPr>
          <w:color w:val="231F20"/>
          <w:spacing w:val="-10"/>
        </w:rPr>
        <w:t> </w:t>
      </w:r>
      <w:r>
        <w:rPr>
          <w:color w:val="231F20"/>
        </w:rPr>
        <w:t>дозволе.</w:t>
      </w:r>
    </w:p>
    <w:p>
      <w:pPr>
        <w:pStyle w:val="BodyText"/>
        <w:spacing w:line="232" w:lineRule="auto"/>
        <w:ind w:left="453" w:firstLine="396"/>
      </w:pPr>
      <w:r>
        <w:rPr>
          <w:color w:val="231F20"/>
        </w:rPr>
        <w:t>Локација</w:t>
      </w:r>
      <w:r>
        <w:rPr>
          <w:color w:val="231F20"/>
          <w:spacing w:val="-9"/>
        </w:rPr>
        <w:t> </w:t>
      </w:r>
      <w:r>
        <w:rPr>
          <w:color w:val="231F20"/>
        </w:rPr>
        <w:t>електране</w:t>
      </w:r>
      <w:r>
        <w:rPr>
          <w:color w:val="231F20"/>
          <w:spacing w:val="-9"/>
        </w:rPr>
        <w:t> </w:t>
      </w:r>
      <w:r>
        <w:rPr>
          <w:color w:val="231F20"/>
        </w:rPr>
        <w:t>на</w:t>
      </w:r>
      <w:r>
        <w:rPr>
          <w:color w:val="231F20"/>
          <w:spacing w:val="-9"/>
        </w:rPr>
        <w:t> </w:t>
      </w:r>
      <w:r>
        <w:rPr>
          <w:color w:val="231F20"/>
        </w:rPr>
        <w:t>биомасу</w:t>
      </w:r>
      <w:r>
        <w:rPr>
          <w:color w:val="231F20"/>
          <w:spacing w:val="-9"/>
        </w:rPr>
        <w:t> </w:t>
      </w:r>
      <w:r>
        <w:rPr>
          <w:color w:val="231F20"/>
        </w:rPr>
        <w:t>биће</w:t>
      </w:r>
      <w:r>
        <w:rPr>
          <w:color w:val="231F20"/>
          <w:spacing w:val="-9"/>
        </w:rPr>
        <w:t> </w:t>
      </w:r>
      <w:r>
        <w:rPr>
          <w:color w:val="231F20"/>
        </w:rPr>
        <w:t>изабрана</w:t>
      </w:r>
      <w:r>
        <w:rPr>
          <w:color w:val="231F20"/>
          <w:spacing w:val="-9"/>
        </w:rPr>
        <w:t> </w:t>
      </w:r>
      <w:r>
        <w:rPr>
          <w:color w:val="231F20"/>
        </w:rPr>
        <w:t>имајући</w:t>
      </w:r>
      <w:r>
        <w:rPr>
          <w:color w:val="231F20"/>
          <w:spacing w:val="-9"/>
        </w:rPr>
        <w:t> </w:t>
      </w:r>
      <w:r>
        <w:rPr>
          <w:color w:val="231F20"/>
        </w:rPr>
        <w:t>у</w:t>
      </w:r>
      <w:r>
        <w:rPr>
          <w:color w:val="231F20"/>
          <w:spacing w:val="-9"/>
        </w:rPr>
        <w:t> </w:t>
      </w:r>
      <w:r>
        <w:rPr>
          <w:color w:val="231F20"/>
        </w:rPr>
        <w:t>виду производњу биомасе и на другим</w:t>
      </w:r>
      <w:r>
        <w:rPr>
          <w:color w:val="231F20"/>
          <w:spacing w:val="-8"/>
        </w:rPr>
        <w:t> </w:t>
      </w:r>
      <w:r>
        <w:rPr>
          <w:color w:val="231F20"/>
        </w:rPr>
        <w:t>локацијама.</w:t>
      </w:r>
    </w:p>
    <w:p>
      <w:pPr>
        <w:pStyle w:val="BodyText"/>
        <w:spacing w:line="232" w:lineRule="auto" w:before="78"/>
        <w:ind w:left="242" w:right="128" w:firstLine="396"/>
      </w:pPr>
      <w:r>
        <w:rPr/>
        <w:br w:type="column"/>
      </w:r>
      <w:r>
        <w:rPr>
          <w:color w:val="231F20"/>
        </w:rPr>
        <w:t>Да би се изградио и користио објекат електране на биомасу/ биогас, неопходно је да се испуне следећи услови: 1) прибављање енергетске дозволе; 2) прибављање локацијске дозволе; 3) приба- вљање грађевинске дозволе; 4) грађење објекта и 5) технички пре- глед објекта и прибављање употребне дозволе.</w:t>
      </w:r>
    </w:p>
    <w:p>
      <w:pPr>
        <w:pStyle w:val="BodyText"/>
        <w:spacing w:line="232" w:lineRule="auto"/>
        <w:ind w:left="243" w:right="128" w:firstLine="396"/>
      </w:pPr>
      <w:r>
        <w:rPr>
          <w:color w:val="231F20"/>
        </w:rPr>
        <w:t>Уз захтев за издавање грађевинске дозволе потребно је при- ложити: 1) локацијску дозволу; и 2) енергетску дозволу, која је неопходна за изградњу енергетских објеката у које спадају елек- тране на биомасу/биогас снаге веће од 1 МW; и 3) главни пројект.</w:t>
      </w:r>
    </w:p>
    <w:p>
      <w:pPr>
        <w:pStyle w:val="ListParagraph"/>
        <w:numPr>
          <w:ilvl w:val="2"/>
          <w:numId w:val="80"/>
        </w:numPr>
        <w:tabs>
          <w:tab w:pos="2269" w:val="left" w:leader="none"/>
        </w:tabs>
        <w:spacing w:line="240" w:lineRule="auto" w:before="164" w:after="0"/>
        <w:ind w:left="2268" w:right="0" w:hanging="540"/>
        <w:jc w:val="left"/>
        <w:rPr>
          <w:sz w:val="18"/>
        </w:rPr>
      </w:pPr>
      <w:r>
        <w:rPr>
          <w:color w:val="231F20"/>
          <w:spacing w:val="13"/>
          <w:sz w:val="18"/>
        </w:rPr>
        <w:t>Трећа</w:t>
      </w:r>
      <w:r>
        <w:rPr>
          <w:color w:val="231F20"/>
          <w:spacing w:val="43"/>
          <w:sz w:val="18"/>
        </w:rPr>
        <w:t> </w:t>
      </w:r>
      <w:r>
        <w:rPr>
          <w:color w:val="231F20"/>
          <w:spacing w:val="16"/>
          <w:sz w:val="18"/>
        </w:rPr>
        <w:t>потцелина</w:t>
      </w:r>
    </w:p>
    <w:p>
      <w:pPr>
        <w:pStyle w:val="BodyText"/>
        <w:spacing w:before="3"/>
        <w:ind w:left="0"/>
        <w:jc w:val="left"/>
        <w:rPr>
          <w:sz w:val="17"/>
        </w:rPr>
      </w:pPr>
    </w:p>
    <w:p>
      <w:pPr>
        <w:pStyle w:val="BodyText"/>
        <w:spacing w:line="232" w:lineRule="auto" w:before="1"/>
        <w:ind w:left="243" w:right="128" w:firstLine="397"/>
      </w:pPr>
      <w:r>
        <w:rPr>
          <w:color w:val="231F20"/>
        </w:rPr>
        <w:t>Трећа потцелина обухвата подручје манастира Рукумија ар- хеолошког локалитета Рукумија и будући етнопарк са непосред- ним окружењем.</w:t>
      </w:r>
    </w:p>
    <w:p>
      <w:pPr>
        <w:pStyle w:val="BodyText"/>
        <w:spacing w:line="232" w:lineRule="auto"/>
        <w:ind w:left="242" w:right="128" w:firstLine="397"/>
      </w:pPr>
      <w:r>
        <w:rPr>
          <w:color w:val="231F20"/>
        </w:rPr>
        <w:t>Рукумија је археолошки локалитет из бронзаног доба и нала- зи се на левој обали реке Млаве, недалеко од Пожаревца, на путу за Дрмно и Костолац, у селу Брдарац у епархији браничевској и у непосредној близини површинског копа „Ћириковац”.</w:t>
      </w:r>
    </w:p>
    <w:p>
      <w:pPr>
        <w:pStyle w:val="BodyText"/>
        <w:spacing w:line="232" w:lineRule="auto"/>
        <w:ind w:left="242" w:right="128" w:firstLine="396"/>
      </w:pPr>
      <w:r>
        <w:rPr>
          <w:color w:val="231F20"/>
        </w:rPr>
        <w:t>У оквиру окружењу локалитета налази се и Манастир Руку- мија, српски средњевековни православни манастир.</w:t>
      </w:r>
    </w:p>
    <w:p>
      <w:pPr>
        <w:pStyle w:val="BodyText"/>
        <w:spacing w:line="232" w:lineRule="auto"/>
        <w:ind w:left="242" w:right="125" w:firstLine="720"/>
      </w:pPr>
      <w:r>
        <w:rPr>
          <w:color w:val="231F20"/>
        </w:rPr>
        <w:t>У подножју манастира нађени су римски камени споме- ници, мада простор није детаљно истражен. Локалитет „Галије”, налази се испод манастира Рукумија. У 19. веку ту су нађене по- знате „шакасте гривне”, које се чувају у Народном музеју у Бео- граду. На овом простору потврђени су налази из бронзаног доба. Југозападно од манастира нађени су антички гробови из III и IV в.н.е., и тај простор је делимично истражен.</w:t>
      </w:r>
    </w:p>
    <w:p>
      <w:pPr>
        <w:pStyle w:val="ListParagraph"/>
        <w:numPr>
          <w:ilvl w:val="1"/>
          <w:numId w:val="71"/>
        </w:numPr>
        <w:tabs>
          <w:tab w:pos="835" w:val="left" w:leader="none"/>
        </w:tabs>
        <w:spacing w:line="232" w:lineRule="auto" w:before="0" w:after="0"/>
        <w:ind w:left="242" w:right="128" w:firstLine="397"/>
        <w:jc w:val="both"/>
        <w:rPr>
          <w:sz w:val="18"/>
        </w:rPr>
      </w:pPr>
      <w:r>
        <w:rPr>
          <w:color w:val="231F20"/>
          <w:sz w:val="18"/>
        </w:rPr>
        <w:t>Изградња</w:t>
      </w:r>
      <w:r>
        <w:rPr>
          <w:color w:val="231F20"/>
          <w:spacing w:val="-8"/>
          <w:sz w:val="18"/>
        </w:rPr>
        <w:t> </w:t>
      </w:r>
      <w:r>
        <w:rPr>
          <w:color w:val="231F20"/>
          <w:sz w:val="18"/>
        </w:rPr>
        <w:t>и</w:t>
      </w:r>
      <w:r>
        <w:rPr>
          <w:color w:val="231F20"/>
          <w:spacing w:val="-8"/>
          <w:sz w:val="18"/>
        </w:rPr>
        <w:t> </w:t>
      </w:r>
      <w:r>
        <w:rPr>
          <w:color w:val="231F20"/>
          <w:sz w:val="18"/>
        </w:rPr>
        <w:t>уређење</w:t>
      </w:r>
      <w:r>
        <w:rPr>
          <w:color w:val="231F20"/>
          <w:spacing w:val="-8"/>
          <w:sz w:val="18"/>
        </w:rPr>
        <w:t> </w:t>
      </w:r>
      <w:r>
        <w:rPr>
          <w:color w:val="231F20"/>
          <w:sz w:val="18"/>
        </w:rPr>
        <w:t>манастира</w:t>
      </w:r>
      <w:r>
        <w:rPr>
          <w:color w:val="231F20"/>
          <w:spacing w:val="-8"/>
          <w:sz w:val="18"/>
        </w:rPr>
        <w:t> </w:t>
      </w:r>
      <w:r>
        <w:rPr>
          <w:color w:val="231F20"/>
          <w:sz w:val="18"/>
        </w:rPr>
        <w:t>Рукумија,</w:t>
      </w:r>
      <w:r>
        <w:rPr>
          <w:color w:val="231F20"/>
          <w:spacing w:val="-8"/>
          <w:sz w:val="18"/>
        </w:rPr>
        <w:t> </w:t>
      </w:r>
      <w:r>
        <w:rPr>
          <w:color w:val="231F20"/>
          <w:sz w:val="18"/>
        </w:rPr>
        <w:t>археолошког</w:t>
      </w:r>
      <w:r>
        <w:rPr>
          <w:color w:val="231F20"/>
          <w:spacing w:val="-8"/>
          <w:sz w:val="18"/>
        </w:rPr>
        <w:t> </w:t>
      </w:r>
      <w:r>
        <w:rPr>
          <w:color w:val="231F20"/>
          <w:sz w:val="18"/>
        </w:rPr>
        <w:t>ло- калитета Рукумија и</w:t>
      </w:r>
      <w:r>
        <w:rPr>
          <w:color w:val="231F20"/>
          <w:spacing w:val="-2"/>
          <w:sz w:val="18"/>
        </w:rPr>
        <w:t> </w:t>
      </w:r>
      <w:r>
        <w:rPr>
          <w:color w:val="231F20"/>
          <w:sz w:val="18"/>
        </w:rPr>
        <w:t>етнопарка</w:t>
      </w:r>
    </w:p>
    <w:p>
      <w:pPr>
        <w:pStyle w:val="BodyText"/>
        <w:spacing w:line="232" w:lineRule="auto"/>
        <w:ind w:left="242" w:right="128" w:firstLine="396"/>
      </w:pPr>
      <w:r>
        <w:rPr>
          <w:color w:val="231F20"/>
        </w:rPr>
        <w:t>Предвиђа се уређење овог простора и формирање садржаја </w:t>
      </w:r>
      <w:r>
        <w:rPr>
          <w:color w:val="231F20"/>
          <w:spacing w:val="-3"/>
        </w:rPr>
        <w:t>који </w:t>
      </w:r>
      <w:r>
        <w:rPr>
          <w:color w:val="231F20"/>
        </w:rPr>
        <w:t>доприносе очувању традиционалних вредности овог краја и стварању амбијента за културне и уметничке активности. Трећа потцелина</w:t>
      </w:r>
      <w:r>
        <w:rPr>
          <w:color w:val="231F20"/>
          <w:spacing w:val="-6"/>
        </w:rPr>
        <w:t> </w:t>
      </w:r>
      <w:r>
        <w:rPr>
          <w:color w:val="231F20"/>
        </w:rPr>
        <w:t>може</w:t>
      </w:r>
      <w:r>
        <w:rPr>
          <w:color w:val="231F20"/>
          <w:spacing w:val="-6"/>
        </w:rPr>
        <w:t> </w:t>
      </w:r>
      <w:r>
        <w:rPr>
          <w:color w:val="231F20"/>
        </w:rPr>
        <w:t>се</w:t>
      </w:r>
      <w:r>
        <w:rPr>
          <w:color w:val="231F20"/>
          <w:spacing w:val="-6"/>
        </w:rPr>
        <w:t> </w:t>
      </w:r>
      <w:r>
        <w:rPr>
          <w:color w:val="231F20"/>
        </w:rPr>
        <w:t>поделити</w:t>
      </w:r>
      <w:r>
        <w:rPr>
          <w:color w:val="231F20"/>
          <w:spacing w:val="-6"/>
        </w:rPr>
        <w:t> </w:t>
      </w:r>
      <w:r>
        <w:rPr>
          <w:color w:val="231F20"/>
        </w:rPr>
        <w:t>на</w:t>
      </w:r>
      <w:r>
        <w:rPr>
          <w:color w:val="231F20"/>
          <w:spacing w:val="-6"/>
        </w:rPr>
        <w:t> </w:t>
      </w:r>
      <w:r>
        <w:rPr>
          <w:color w:val="231F20"/>
        </w:rPr>
        <w:t>три</w:t>
      </w:r>
      <w:r>
        <w:rPr>
          <w:color w:val="231F20"/>
          <w:spacing w:val="-6"/>
        </w:rPr>
        <w:t> </w:t>
      </w:r>
      <w:r>
        <w:rPr>
          <w:color w:val="231F20"/>
        </w:rPr>
        <w:t>зоне:</w:t>
      </w:r>
      <w:r>
        <w:rPr>
          <w:color w:val="231F20"/>
          <w:spacing w:val="-6"/>
        </w:rPr>
        <w:t> </w:t>
      </w:r>
      <w:r>
        <w:rPr>
          <w:color w:val="231F20"/>
        </w:rPr>
        <w:t>1)</w:t>
      </w:r>
      <w:r>
        <w:rPr>
          <w:color w:val="231F20"/>
          <w:spacing w:val="-6"/>
        </w:rPr>
        <w:t> </w:t>
      </w:r>
      <w:r>
        <w:rPr>
          <w:color w:val="231F20"/>
        </w:rPr>
        <w:t>манастир</w:t>
      </w:r>
      <w:r>
        <w:rPr>
          <w:color w:val="231F20"/>
          <w:spacing w:val="-6"/>
        </w:rPr>
        <w:t> </w:t>
      </w:r>
      <w:r>
        <w:rPr>
          <w:color w:val="231F20"/>
        </w:rPr>
        <w:t>Рукумија,</w:t>
      </w:r>
      <w:r>
        <w:rPr>
          <w:color w:val="231F20"/>
          <w:spacing w:val="-6"/>
        </w:rPr>
        <w:t> </w:t>
      </w:r>
      <w:r>
        <w:rPr>
          <w:color w:val="231F20"/>
        </w:rPr>
        <w:t>2) археолошки локалитет Рукумија и 3)</w:t>
      </w:r>
      <w:r>
        <w:rPr>
          <w:color w:val="231F20"/>
          <w:spacing w:val="-7"/>
        </w:rPr>
        <w:t> </w:t>
      </w:r>
      <w:r>
        <w:rPr>
          <w:color w:val="231F20"/>
        </w:rPr>
        <w:t>етнопарк.</w:t>
      </w:r>
    </w:p>
    <w:p>
      <w:pPr>
        <w:pStyle w:val="ListParagraph"/>
        <w:numPr>
          <w:ilvl w:val="0"/>
          <w:numId w:val="81"/>
        </w:numPr>
        <w:tabs>
          <w:tab w:pos="835" w:val="left" w:leader="none"/>
        </w:tabs>
        <w:spacing w:line="198" w:lineRule="exact" w:before="0" w:after="0"/>
        <w:ind w:left="834" w:right="0" w:hanging="195"/>
        <w:jc w:val="left"/>
        <w:rPr>
          <w:sz w:val="18"/>
        </w:rPr>
      </w:pPr>
      <w:r>
        <w:rPr>
          <w:color w:val="231F20"/>
          <w:sz w:val="18"/>
        </w:rPr>
        <w:t>Манастир</w:t>
      </w:r>
      <w:r>
        <w:rPr>
          <w:color w:val="231F20"/>
          <w:spacing w:val="-1"/>
          <w:sz w:val="18"/>
        </w:rPr>
        <w:t> </w:t>
      </w:r>
      <w:r>
        <w:rPr>
          <w:color w:val="231F20"/>
          <w:sz w:val="18"/>
        </w:rPr>
        <w:t>Рукумија</w:t>
      </w:r>
    </w:p>
    <w:p>
      <w:pPr>
        <w:pStyle w:val="BodyText"/>
        <w:spacing w:line="232" w:lineRule="auto"/>
        <w:ind w:left="242" w:right="129" w:firstLine="397"/>
      </w:pPr>
      <w:r>
        <w:rPr>
          <w:color w:val="231F20"/>
        </w:rPr>
        <w:t>Комплекс манастира Рукумија обухвата: а) објекте - цркву Св. Николе, стару звонару, велику звонару југозападно од цркве и конак манастира; и б) шумске и пољопривредне површине.</w:t>
      </w:r>
    </w:p>
    <w:p>
      <w:pPr>
        <w:pStyle w:val="BodyText"/>
        <w:spacing w:line="232" w:lineRule="auto"/>
        <w:ind w:left="242" w:right="128" w:firstLine="396"/>
      </w:pPr>
      <w:r>
        <w:rPr>
          <w:color w:val="231F20"/>
        </w:rPr>
        <w:t>Манастирска црква је једноставна грађевина правоугаоне основе, са олтарским простором на источној страни, без апсида и куполе. Зидана је од обрађеног и ломљеног камена, покривена је црепом и нема звоника.</w:t>
      </w:r>
    </w:p>
    <w:p>
      <w:pPr>
        <w:pStyle w:val="BodyText"/>
        <w:spacing w:line="232" w:lineRule="auto"/>
        <w:ind w:left="242" w:right="128" w:firstLine="396"/>
      </w:pPr>
      <w:r>
        <w:rPr>
          <w:color w:val="231F20"/>
          <w:spacing w:val="-3"/>
        </w:rPr>
        <w:t>Конак</w:t>
      </w:r>
      <w:r>
        <w:rPr>
          <w:color w:val="231F20"/>
          <w:spacing w:val="-5"/>
        </w:rPr>
        <w:t> </w:t>
      </w:r>
      <w:r>
        <w:rPr>
          <w:color w:val="231F20"/>
        </w:rPr>
        <w:t>са</w:t>
      </w:r>
      <w:r>
        <w:rPr>
          <w:color w:val="231F20"/>
          <w:spacing w:val="-5"/>
        </w:rPr>
        <w:t> </w:t>
      </w:r>
      <w:r>
        <w:rPr>
          <w:color w:val="231F20"/>
        </w:rPr>
        <w:t>25</w:t>
      </w:r>
      <w:r>
        <w:rPr>
          <w:color w:val="231F20"/>
          <w:spacing w:val="-5"/>
        </w:rPr>
        <w:t> </w:t>
      </w:r>
      <w:r>
        <w:rPr>
          <w:color w:val="231F20"/>
        </w:rPr>
        <w:t>одељења</w:t>
      </w:r>
      <w:r>
        <w:rPr>
          <w:color w:val="231F20"/>
          <w:spacing w:val="-5"/>
        </w:rPr>
        <w:t> </w:t>
      </w:r>
      <w:r>
        <w:rPr>
          <w:color w:val="231F20"/>
        </w:rPr>
        <w:t>и</w:t>
      </w:r>
      <w:r>
        <w:rPr>
          <w:color w:val="231F20"/>
          <w:spacing w:val="-5"/>
        </w:rPr>
        <w:t> </w:t>
      </w:r>
      <w:r>
        <w:rPr>
          <w:color w:val="231F20"/>
        </w:rPr>
        <w:t>трпезаријом,</w:t>
      </w:r>
      <w:r>
        <w:rPr>
          <w:color w:val="231F20"/>
          <w:spacing w:val="-5"/>
        </w:rPr>
        <w:t> </w:t>
      </w:r>
      <w:r>
        <w:rPr>
          <w:color w:val="231F20"/>
        </w:rPr>
        <w:t>подигнут</w:t>
      </w:r>
      <w:r>
        <w:rPr>
          <w:color w:val="231F20"/>
          <w:spacing w:val="-5"/>
        </w:rPr>
        <w:t> </w:t>
      </w:r>
      <w:r>
        <w:rPr>
          <w:color w:val="231F20"/>
        </w:rPr>
        <w:t>је</w:t>
      </w:r>
      <w:r>
        <w:rPr>
          <w:color w:val="231F20"/>
          <w:spacing w:val="-5"/>
        </w:rPr>
        <w:t> </w:t>
      </w:r>
      <w:r>
        <w:rPr>
          <w:color w:val="231F20"/>
        </w:rPr>
        <w:t>1962.</w:t>
      </w:r>
      <w:r>
        <w:rPr>
          <w:color w:val="231F20"/>
          <w:spacing w:val="-5"/>
        </w:rPr>
        <w:t> </w:t>
      </w:r>
      <w:r>
        <w:rPr>
          <w:color w:val="231F20"/>
          <w:spacing w:val="-3"/>
        </w:rPr>
        <w:t>године </w:t>
      </w:r>
      <w:r>
        <w:rPr>
          <w:color w:val="231F20"/>
        </w:rPr>
        <w:t>као и звонара. У оквиру припрема за прославу јубилеја, послед- њих </w:t>
      </w:r>
      <w:r>
        <w:rPr>
          <w:color w:val="231F20"/>
          <w:spacing w:val="-3"/>
        </w:rPr>
        <w:t>година </w:t>
      </w:r>
      <w:r>
        <w:rPr>
          <w:color w:val="231F20"/>
        </w:rPr>
        <w:t>је извршена обнова </w:t>
      </w:r>
      <w:r>
        <w:rPr>
          <w:color w:val="231F20"/>
          <w:spacing w:val="-3"/>
        </w:rPr>
        <w:t>конака </w:t>
      </w:r>
      <w:r>
        <w:rPr>
          <w:color w:val="231F20"/>
        </w:rPr>
        <w:t>и звонаре као и конзерва- ција живописа у цркви и рестаурација </w:t>
      </w:r>
      <w:r>
        <w:rPr>
          <w:color w:val="231F20"/>
          <w:spacing w:val="-3"/>
        </w:rPr>
        <w:t>икона </w:t>
      </w:r>
      <w:r>
        <w:rPr>
          <w:color w:val="231F20"/>
        </w:rPr>
        <w:t>и</w:t>
      </w:r>
      <w:r>
        <w:rPr>
          <w:color w:val="231F20"/>
          <w:spacing w:val="-6"/>
        </w:rPr>
        <w:t> </w:t>
      </w:r>
      <w:r>
        <w:rPr>
          <w:color w:val="231F20"/>
        </w:rPr>
        <w:t>иконостаса.</w:t>
      </w:r>
    </w:p>
    <w:p>
      <w:pPr>
        <w:pStyle w:val="BodyText"/>
        <w:spacing w:line="232" w:lineRule="auto"/>
        <w:ind w:left="242" w:right="129" w:firstLine="396"/>
      </w:pPr>
      <w:r>
        <w:rPr>
          <w:color w:val="231F20"/>
        </w:rPr>
        <w:t>Манастир има две чесме са лековитом водом по имену Реду- ша и Јеринац.</w:t>
      </w:r>
    </w:p>
    <w:p>
      <w:pPr>
        <w:pStyle w:val="BodyText"/>
        <w:spacing w:line="232" w:lineRule="auto"/>
        <w:ind w:left="242" w:right="129" w:firstLine="397"/>
      </w:pPr>
      <w:r>
        <w:rPr>
          <w:color w:val="231F20"/>
          <w:spacing w:val="-3"/>
        </w:rPr>
        <w:t>Унутар </w:t>
      </w:r>
      <w:r>
        <w:rPr>
          <w:color w:val="231F20"/>
        </w:rPr>
        <w:t>порте манастира приступне стазе су уређене. Међу- тим приступни путеви и паркинг нису уређени. Манастирска шу- ма,</w:t>
      </w:r>
      <w:r>
        <w:rPr>
          <w:color w:val="231F20"/>
          <w:spacing w:val="-8"/>
        </w:rPr>
        <w:t> </w:t>
      </w:r>
      <w:r>
        <w:rPr>
          <w:color w:val="231F20"/>
        </w:rPr>
        <w:t>такође,</w:t>
      </w:r>
      <w:r>
        <w:rPr>
          <w:color w:val="231F20"/>
          <w:spacing w:val="-8"/>
        </w:rPr>
        <w:t> </w:t>
      </w:r>
      <w:r>
        <w:rPr>
          <w:color w:val="231F20"/>
        </w:rPr>
        <w:t>није</w:t>
      </w:r>
      <w:r>
        <w:rPr>
          <w:color w:val="231F20"/>
          <w:spacing w:val="-8"/>
        </w:rPr>
        <w:t> </w:t>
      </w:r>
      <w:r>
        <w:rPr>
          <w:color w:val="231F20"/>
        </w:rPr>
        <w:t>уређена.</w:t>
      </w:r>
      <w:r>
        <w:rPr>
          <w:color w:val="231F20"/>
          <w:spacing w:val="-8"/>
        </w:rPr>
        <w:t> </w:t>
      </w:r>
      <w:r>
        <w:rPr>
          <w:color w:val="231F20"/>
        </w:rPr>
        <w:t>У</w:t>
      </w:r>
      <w:r>
        <w:rPr>
          <w:color w:val="231F20"/>
          <w:spacing w:val="-8"/>
        </w:rPr>
        <w:t> </w:t>
      </w:r>
      <w:r>
        <w:rPr>
          <w:color w:val="231F20"/>
        </w:rPr>
        <w:t>њој</w:t>
      </w:r>
      <w:r>
        <w:rPr>
          <w:color w:val="231F20"/>
          <w:spacing w:val="-8"/>
        </w:rPr>
        <w:t> </w:t>
      </w:r>
      <w:r>
        <w:rPr>
          <w:color w:val="231F20"/>
        </w:rPr>
        <w:t>се</w:t>
      </w:r>
      <w:r>
        <w:rPr>
          <w:color w:val="231F20"/>
          <w:spacing w:val="-8"/>
        </w:rPr>
        <w:t> </w:t>
      </w:r>
      <w:r>
        <w:rPr>
          <w:color w:val="231F20"/>
        </w:rPr>
        <w:t>налази</w:t>
      </w:r>
      <w:r>
        <w:rPr>
          <w:color w:val="231F20"/>
          <w:spacing w:val="-8"/>
        </w:rPr>
        <w:t> </w:t>
      </w:r>
      <w:r>
        <w:rPr>
          <w:color w:val="231F20"/>
        </w:rPr>
        <w:t>привремено</w:t>
      </w:r>
      <w:r>
        <w:rPr>
          <w:color w:val="231F20"/>
          <w:spacing w:val="-8"/>
        </w:rPr>
        <w:t> </w:t>
      </w:r>
      <w:r>
        <w:rPr>
          <w:color w:val="231F20"/>
        </w:rPr>
        <w:t>одлагалиште смећа.</w:t>
      </w:r>
    </w:p>
    <w:p>
      <w:pPr>
        <w:pStyle w:val="BodyText"/>
        <w:spacing w:line="232" w:lineRule="auto"/>
        <w:ind w:left="242" w:right="129" w:firstLine="396"/>
      </w:pPr>
      <w:r>
        <w:rPr>
          <w:color w:val="231F20"/>
        </w:rPr>
        <w:t>Предвиђа</w:t>
      </w:r>
      <w:r>
        <w:rPr>
          <w:color w:val="231F20"/>
          <w:spacing w:val="-10"/>
        </w:rPr>
        <w:t> </w:t>
      </w:r>
      <w:r>
        <w:rPr>
          <w:color w:val="231F20"/>
        </w:rPr>
        <w:t>се</w:t>
      </w:r>
      <w:r>
        <w:rPr>
          <w:color w:val="231F20"/>
          <w:spacing w:val="-10"/>
        </w:rPr>
        <w:t> </w:t>
      </w:r>
      <w:r>
        <w:rPr>
          <w:color w:val="231F20"/>
        </w:rPr>
        <w:t>спровођење</w:t>
      </w:r>
      <w:r>
        <w:rPr>
          <w:color w:val="231F20"/>
          <w:spacing w:val="-10"/>
        </w:rPr>
        <w:t> </w:t>
      </w:r>
      <w:r>
        <w:rPr>
          <w:color w:val="231F20"/>
        </w:rPr>
        <w:t>конзерваторских</w:t>
      </w:r>
      <w:r>
        <w:rPr>
          <w:color w:val="231F20"/>
          <w:spacing w:val="-10"/>
        </w:rPr>
        <w:t> </w:t>
      </w:r>
      <w:r>
        <w:rPr>
          <w:color w:val="231F20"/>
        </w:rPr>
        <w:t>радова</w:t>
      </w:r>
      <w:r>
        <w:rPr>
          <w:color w:val="231F20"/>
          <w:spacing w:val="-10"/>
        </w:rPr>
        <w:t> </w:t>
      </w:r>
      <w:r>
        <w:rPr>
          <w:color w:val="231F20"/>
        </w:rPr>
        <w:t>на</w:t>
      </w:r>
      <w:r>
        <w:rPr>
          <w:color w:val="231F20"/>
          <w:spacing w:val="-10"/>
        </w:rPr>
        <w:t> </w:t>
      </w:r>
      <w:r>
        <w:rPr>
          <w:color w:val="231F20"/>
        </w:rPr>
        <w:t>манасти- ру и партерно уређење дворишта </w:t>
      </w:r>
      <w:r>
        <w:rPr>
          <w:color w:val="231F20"/>
          <w:spacing w:val="-3"/>
        </w:rPr>
        <w:t>које </w:t>
      </w:r>
      <w:r>
        <w:rPr>
          <w:color w:val="231F20"/>
        </w:rPr>
        <w:t>припада</w:t>
      </w:r>
      <w:r>
        <w:rPr>
          <w:color w:val="231F20"/>
          <w:spacing w:val="-4"/>
        </w:rPr>
        <w:t> </w:t>
      </w:r>
      <w:r>
        <w:rPr>
          <w:color w:val="231F20"/>
          <w:spacing w:val="-3"/>
        </w:rPr>
        <w:t>манастиру.</w:t>
      </w:r>
    </w:p>
    <w:p>
      <w:pPr>
        <w:pStyle w:val="BodyText"/>
        <w:spacing w:line="232" w:lineRule="auto"/>
        <w:ind w:left="242" w:right="128" w:firstLine="396"/>
      </w:pPr>
      <w:r>
        <w:rPr>
          <w:color w:val="231F20"/>
        </w:rPr>
        <w:t>Инфраструктура у оквиру манастирског комплекса (струја, вода, канализација и друго) биће обрађена у урбанистичком про- јекту након доношења Просторног плана.</w:t>
      </w:r>
    </w:p>
    <w:p>
      <w:pPr>
        <w:pStyle w:val="BodyText"/>
        <w:spacing w:line="232" w:lineRule="auto"/>
        <w:ind w:left="242" w:right="128" w:firstLine="396"/>
      </w:pPr>
      <w:r>
        <w:rPr>
          <w:color w:val="231F20"/>
        </w:rPr>
        <w:t>С обзиром на чињеницу да је у прошлости манастир Рукуми- ја служио за прихват старих и болесних лица, треба размотрити могућност да се у </w:t>
      </w:r>
      <w:r>
        <w:rPr>
          <w:color w:val="231F20"/>
          <w:spacing w:val="-3"/>
        </w:rPr>
        <w:t>комплексу </w:t>
      </w:r>
      <w:r>
        <w:rPr>
          <w:color w:val="231F20"/>
        </w:rPr>
        <w:t>изгради објекат са садржајима наме- њен </w:t>
      </w:r>
      <w:r>
        <w:rPr>
          <w:color w:val="231F20"/>
          <w:spacing w:val="-3"/>
        </w:rPr>
        <w:t>неком </w:t>
      </w:r>
      <w:r>
        <w:rPr>
          <w:color w:val="231F20"/>
        </w:rPr>
        <w:t>облику социјалног старања (смештај старих, болесних и хендикепираних особа и особа са посебним потребама). </w:t>
      </w:r>
      <w:r>
        <w:rPr>
          <w:color w:val="231F20"/>
          <w:spacing w:val="-5"/>
        </w:rPr>
        <w:t>Услови </w:t>
      </w:r>
      <w:r>
        <w:rPr>
          <w:color w:val="231F20"/>
        </w:rPr>
        <w:t>за изградњу овог објекта, уређење и ревитализацију других обје- ката</w:t>
      </w:r>
      <w:r>
        <w:rPr>
          <w:color w:val="231F20"/>
          <w:spacing w:val="-7"/>
        </w:rPr>
        <w:t> </w:t>
      </w:r>
      <w:r>
        <w:rPr>
          <w:color w:val="231F20"/>
        </w:rPr>
        <w:t>биће</w:t>
      </w:r>
      <w:r>
        <w:rPr>
          <w:color w:val="231F20"/>
          <w:spacing w:val="-7"/>
        </w:rPr>
        <w:t> </w:t>
      </w:r>
      <w:r>
        <w:rPr>
          <w:color w:val="231F20"/>
        </w:rPr>
        <w:t>дати</w:t>
      </w:r>
      <w:r>
        <w:rPr>
          <w:color w:val="231F20"/>
          <w:spacing w:val="-7"/>
        </w:rPr>
        <w:t> </w:t>
      </w:r>
      <w:r>
        <w:rPr>
          <w:color w:val="231F20"/>
        </w:rPr>
        <w:t>у</w:t>
      </w:r>
      <w:r>
        <w:rPr>
          <w:color w:val="231F20"/>
          <w:spacing w:val="-7"/>
        </w:rPr>
        <w:t> </w:t>
      </w:r>
      <w:r>
        <w:rPr>
          <w:color w:val="231F20"/>
        </w:rPr>
        <w:t>оквиру</w:t>
      </w:r>
      <w:r>
        <w:rPr>
          <w:color w:val="231F20"/>
          <w:spacing w:val="-7"/>
        </w:rPr>
        <w:t> </w:t>
      </w:r>
      <w:r>
        <w:rPr>
          <w:color w:val="231F20"/>
        </w:rPr>
        <w:t>урбанистичког</w:t>
      </w:r>
      <w:r>
        <w:rPr>
          <w:color w:val="231F20"/>
          <w:spacing w:val="-7"/>
        </w:rPr>
        <w:t> </w:t>
      </w:r>
      <w:r>
        <w:rPr>
          <w:color w:val="231F20"/>
        </w:rPr>
        <w:t>пројекта</w:t>
      </w:r>
      <w:r>
        <w:rPr>
          <w:color w:val="231F20"/>
          <w:spacing w:val="-7"/>
        </w:rPr>
        <w:t> </w:t>
      </w:r>
      <w:r>
        <w:rPr>
          <w:color w:val="231F20"/>
        </w:rPr>
        <w:t>за</w:t>
      </w:r>
      <w:r>
        <w:rPr>
          <w:color w:val="231F20"/>
          <w:spacing w:val="-7"/>
        </w:rPr>
        <w:t> </w:t>
      </w:r>
      <w:r>
        <w:rPr>
          <w:color w:val="231F20"/>
          <w:spacing w:val="-3"/>
        </w:rPr>
        <w:t>комплекс</w:t>
      </w:r>
      <w:r>
        <w:rPr>
          <w:color w:val="231F20"/>
          <w:spacing w:val="-7"/>
        </w:rPr>
        <w:t> </w:t>
      </w:r>
      <w:r>
        <w:rPr>
          <w:color w:val="231F20"/>
        </w:rPr>
        <w:t>мана- стира</w:t>
      </w:r>
      <w:r>
        <w:rPr>
          <w:color w:val="231F20"/>
          <w:spacing w:val="-1"/>
        </w:rPr>
        <w:t> </w:t>
      </w:r>
      <w:r>
        <w:rPr>
          <w:color w:val="231F20"/>
        </w:rPr>
        <w:t>Рукумија.</w:t>
      </w:r>
    </w:p>
    <w:p>
      <w:pPr>
        <w:pStyle w:val="BodyText"/>
        <w:spacing w:line="232" w:lineRule="auto"/>
        <w:ind w:left="242" w:right="128" w:firstLine="396"/>
      </w:pPr>
      <w:r>
        <w:rPr>
          <w:color w:val="231F20"/>
        </w:rPr>
        <w:t>Мере</w:t>
      </w:r>
      <w:r>
        <w:rPr>
          <w:color w:val="231F20"/>
          <w:spacing w:val="-6"/>
        </w:rPr>
        <w:t> </w:t>
      </w:r>
      <w:r>
        <w:rPr>
          <w:color w:val="231F20"/>
        </w:rPr>
        <w:t>заштите</w:t>
      </w:r>
      <w:r>
        <w:rPr>
          <w:color w:val="231F20"/>
          <w:spacing w:val="-6"/>
        </w:rPr>
        <w:t> </w:t>
      </w:r>
      <w:r>
        <w:rPr>
          <w:color w:val="231F20"/>
        </w:rPr>
        <w:t>и</w:t>
      </w:r>
      <w:r>
        <w:rPr>
          <w:color w:val="231F20"/>
          <w:spacing w:val="-6"/>
        </w:rPr>
        <w:t> </w:t>
      </w:r>
      <w:r>
        <w:rPr>
          <w:color w:val="231F20"/>
        </w:rPr>
        <w:t>услови</w:t>
      </w:r>
      <w:r>
        <w:rPr>
          <w:color w:val="231F20"/>
          <w:spacing w:val="-6"/>
        </w:rPr>
        <w:t> </w:t>
      </w:r>
      <w:r>
        <w:rPr>
          <w:color w:val="231F20"/>
        </w:rPr>
        <w:t>чувања</w:t>
      </w:r>
      <w:r>
        <w:rPr>
          <w:color w:val="231F20"/>
          <w:spacing w:val="-6"/>
        </w:rPr>
        <w:t> </w:t>
      </w:r>
      <w:r>
        <w:rPr>
          <w:color w:val="231F20"/>
        </w:rPr>
        <w:t>манастира</w:t>
      </w:r>
      <w:r>
        <w:rPr>
          <w:color w:val="231F20"/>
          <w:spacing w:val="-6"/>
        </w:rPr>
        <w:t> </w:t>
      </w:r>
      <w:r>
        <w:rPr>
          <w:color w:val="231F20"/>
        </w:rPr>
        <w:t>Рукумије</w:t>
      </w:r>
      <w:r>
        <w:rPr>
          <w:color w:val="231F20"/>
          <w:spacing w:val="-6"/>
        </w:rPr>
        <w:t> </w:t>
      </w:r>
      <w:r>
        <w:rPr>
          <w:color w:val="231F20"/>
        </w:rPr>
        <w:t>са</w:t>
      </w:r>
      <w:r>
        <w:rPr>
          <w:color w:val="231F20"/>
          <w:spacing w:val="-6"/>
        </w:rPr>
        <w:t> </w:t>
      </w:r>
      <w:r>
        <w:rPr>
          <w:color w:val="231F20"/>
        </w:rPr>
        <w:t>прете- ћим објектима као валоризованог сакралног објекта</w:t>
      </w:r>
      <w:r>
        <w:rPr>
          <w:color w:val="231F20"/>
          <w:spacing w:val="-9"/>
        </w:rPr>
        <w:t> </w:t>
      </w:r>
      <w:r>
        <w:rPr>
          <w:color w:val="231F20"/>
        </w:rPr>
        <w:t>јесу:</w:t>
      </w:r>
    </w:p>
    <w:p>
      <w:pPr>
        <w:pStyle w:val="BodyText"/>
        <w:spacing w:line="232" w:lineRule="auto"/>
        <w:ind w:left="242" w:right="129" w:firstLine="397"/>
      </w:pPr>
      <w:r>
        <w:rPr>
          <w:color w:val="231F20"/>
          <w:w w:val="66"/>
        </w:rPr>
        <w:t> </w:t>
      </w:r>
      <w:r>
        <w:rPr>
          <w:color w:val="231F20"/>
        </w:rPr>
        <w:t>– непокретно културно добро мора да очува свој аутентичан изглед, оригиналне материјале, хоризонтални и вертикални габа- рит, конструктивне и декоративне елементе и функционалне ка- рактеристике објеката;</w:t>
      </w:r>
    </w:p>
    <w:p>
      <w:pPr>
        <w:pStyle w:val="BodyText"/>
        <w:spacing w:line="232" w:lineRule="auto"/>
        <w:ind w:left="241" w:right="129" w:firstLine="396"/>
      </w:pPr>
      <w:r>
        <w:rPr>
          <w:color w:val="231F20"/>
          <w:w w:val="66"/>
        </w:rPr>
        <w:t> </w:t>
      </w:r>
      <w:r>
        <w:rPr>
          <w:color w:val="231F20"/>
        </w:rPr>
        <w:t>–</w:t>
      </w:r>
      <w:r>
        <w:rPr>
          <w:color w:val="231F20"/>
          <w:spacing w:val="-14"/>
        </w:rPr>
        <w:t> </w:t>
      </w:r>
      <w:r>
        <w:rPr>
          <w:color w:val="231F20"/>
        </w:rPr>
        <w:t>корисник</w:t>
      </w:r>
      <w:r>
        <w:rPr>
          <w:color w:val="231F20"/>
          <w:spacing w:val="-14"/>
        </w:rPr>
        <w:t> </w:t>
      </w:r>
      <w:r>
        <w:rPr>
          <w:color w:val="231F20"/>
        </w:rPr>
        <w:t>објекта</w:t>
      </w:r>
      <w:r>
        <w:rPr>
          <w:color w:val="231F20"/>
          <w:spacing w:val="-14"/>
        </w:rPr>
        <w:t> </w:t>
      </w:r>
      <w:r>
        <w:rPr>
          <w:color w:val="231F20"/>
        </w:rPr>
        <w:t>обезбеђује</w:t>
      </w:r>
      <w:r>
        <w:rPr>
          <w:color w:val="231F20"/>
          <w:spacing w:val="-14"/>
        </w:rPr>
        <w:t> </w:t>
      </w:r>
      <w:r>
        <w:rPr>
          <w:color w:val="231F20"/>
        </w:rPr>
        <w:t>континуирано</w:t>
      </w:r>
      <w:r>
        <w:rPr>
          <w:color w:val="231F20"/>
          <w:spacing w:val="-14"/>
        </w:rPr>
        <w:t> </w:t>
      </w:r>
      <w:r>
        <w:rPr>
          <w:color w:val="231F20"/>
        </w:rPr>
        <w:t>текуће</w:t>
      </w:r>
      <w:r>
        <w:rPr>
          <w:color w:val="231F20"/>
          <w:spacing w:val="-14"/>
        </w:rPr>
        <w:t> </w:t>
      </w:r>
      <w:r>
        <w:rPr>
          <w:color w:val="231F20"/>
        </w:rPr>
        <w:t>одржава- ње овог културног</w:t>
      </w:r>
      <w:r>
        <w:rPr>
          <w:color w:val="231F20"/>
          <w:spacing w:val="-3"/>
        </w:rPr>
        <w:t> </w:t>
      </w:r>
      <w:r>
        <w:rPr>
          <w:color w:val="231F20"/>
        </w:rPr>
        <w:t>добра;</w:t>
      </w:r>
    </w:p>
    <w:p>
      <w:pPr>
        <w:spacing w:after="0" w:line="232" w:lineRule="auto"/>
        <w:sectPr>
          <w:pgSz w:w="12480" w:h="15690"/>
          <w:pgMar w:top="120" w:bottom="280" w:left="680" w:right="720"/>
          <w:cols w:num="2" w:equalWidth="0">
            <w:col w:w="5557" w:space="40"/>
            <w:col w:w="5483"/>
          </w:cols>
        </w:sectPr>
      </w:pPr>
    </w:p>
    <w:p>
      <w:pPr>
        <w:pStyle w:val="BodyText"/>
        <w:spacing w:line="228" w:lineRule="auto" w:before="76"/>
        <w:ind w:right="41" w:firstLine="396"/>
      </w:pPr>
      <w:r>
        <w:rPr/>
        <w:pict>
          <v:line style="position:absolute;mso-position-horizontal-relative:page;mso-position-vertical-relative:page;z-index:4984" from="304.724396pt,11.942451pt" to="304.724396pt,748.950451pt" stroked="true" strokeweight=".6pt" strokecolor="#231f20">
            <v:stroke dashstyle="solid"/>
            <w10:wrap type="none"/>
          </v:line>
        </w:pict>
      </w:r>
      <w:r>
        <w:rPr>
          <w:color w:val="231F20"/>
          <w:w w:val="66"/>
        </w:rPr>
        <w:t> </w:t>
      </w:r>
      <w:r>
        <w:rPr>
          <w:color w:val="231F20"/>
        </w:rPr>
        <w:t>– све интервенције, начин чувања и презентације непокрет- ног</w:t>
      </w:r>
      <w:r>
        <w:rPr>
          <w:color w:val="231F20"/>
          <w:spacing w:val="-7"/>
        </w:rPr>
        <w:t> </w:t>
      </w:r>
      <w:r>
        <w:rPr>
          <w:color w:val="231F20"/>
        </w:rPr>
        <w:t>културног</w:t>
      </w:r>
      <w:r>
        <w:rPr>
          <w:color w:val="231F20"/>
          <w:spacing w:val="-7"/>
        </w:rPr>
        <w:t> </w:t>
      </w:r>
      <w:r>
        <w:rPr>
          <w:color w:val="231F20"/>
        </w:rPr>
        <w:t>добра</w:t>
      </w:r>
      <w:r>
        <w:rPr>
          <w:color w:val="231F20"/>
          <w:spacing w:val="-7"/>
        </w:rPr>
        <w:t> </w:t>
      </w:r>
      <w:r>
        <w:rPr>
          <w:color w:val="231F20"/>
        </w:rPr>
        <w:t>реализују</w:t>
      </w:r>
      <w:r>
        <w:rPr>
          <w:color w:val="231F20"/>
          <w:spacing w:val="-7"/>
        </w:rPr>
        <w:t> </w:t>
      </w:r>
      <w:r>
        <w:rPr>
          <w:color w:val="231F20"/>
        </w:rPr>
        <w:t>се</w:t>
      </w:r>
      <w:r>
        <w:rPr>
          <w:color w:val="231F20"/>
          <w:spacing w:val="-7"/>
        </w:rPr>
        <w:t> </w:t>
      </w:r>
      <w:r>
        <w:rPr>
          <w:color w:val="231F20"/>
        </w:rPr>
        <w:t>на</w:t>
      </w:r>
      <w:r>
        <w:rPr>
          <w:color w:val="231F20"/>
          <w:spacing w:val="-7"/>
        </w:rPr>
        <w:t> </w:t>
      </w:r>
      <w:r>
        <w:rPr>
          <w:color w:val="231F20"/>
        </w:rPr>
        <w:t>основу</w:t>
      </w:r>
      <w:r>
        <w:rPr>
          <w:color w:val="231F20"/>
          <w:spacing w:val="-7"/>
        </w:rPr>
        <w:t> </w:t>
      </w:r>
      <w:r>
        <w:rPr>
          <w:color w:val="231F20"/>
        </w:rPr>
        <w:t>конзерваторско-реста- ураторског елабората </w:t>
      </w:r>
      <w:r>
        <w:rPr>
          <w:color w:val="231F20"/>
          <w:spacing w:val="-3"/>
        </w:rPr>
        <w:t>који </w:t>
      </w:r>
      <w:r>
        <w:rPr>
          <w:color w:val="231F20"/>
        </w:rPr>
        <w:t>израђује установа заштите или друга овлашћена фирма </w:t>
      </w:r>
      <w:r>
        <w:rPr>
          <w:color w:val="231F20"/>
          <w:spacing w:val="-3"/>
        </w:rPr>
        <w:t>под </w:t>
      </w:r>
      <w:r>
        <w:rPr>
          <w:color w:val="231F20"/>
        </w:rPr>
        <w:t>условима и стручним надзором службе за- штите споменика</w:t>
      </w:r>
      <w:r>
        <w:rPr>
          <w:color w:val="231F20"/>
          <w:spacing w:val="-1"/>
        </w:rPr>
        <w:t> </w:t>
      </w:r>
      <w:r>
        <w:rPr>
          <w:color w:val="231F20"/>
        </w:rPr>
        <w:t>културе;</w:t>
      </w:r>
    </w:p>
    <w:p>
      <w:pPr>
        <w:pStyle w:val="BodyText"/>
        <w:spacing w:line="228" w:lineRule="auto" w:before="3"/>
        <w:ind w:right="40" w:firstLine="396"/>
      </w:pPr>
      <w:r>
        <w:rPr>
          <w:color w:val="231F20"/>
          <w:w w:val="66"/>
        </w:rPr>
        <w:t> </w:t>
      </w:r>
      <w:r>
        <w:rPr>
          <w:color w:val="231F20"/>
        </w:rPr>
        <w:t>– комплетно уређење заштићене </w:t>
      </w:r>
      <w:r>
        <w:rPr>
          <w:color w:val="231F20"/>
          <w:spacing w:val="-3"/>
        </w:rPr>
        <w:t>околине </w:t>
      </w:r>
      <w:r>
        <w:rPr>
          <w:color w:val="231F20"/>
        </w:rPr>
        <w:t>реализује се на основу пројеката уређења, у складу са прописаним условима слу- жбе заштите споменика </w:t>
      </w:r>
      <w:r>
        <w:rPr>
          <w:color w:val="231F20"/>
          <w:spacing w:val="-3"/>
        </w:rPr>
        <w:t>културе </w:t>
      </w:r>
      <w:r>
        <w:rPr>
          <w:color w:val="231F20"/>
        </w:rPr>
        <w:t>и природе и других надлежних институција у </w:t>
      </w:r>
      <w:r>
        <w:rPr>
          <w:color w:val="231F20"/>
          <w:spacing w:val="-3"/>
        </w:rPr>
        <w:t>погледу обликовања </w:t>
      </w:r>
      <w:r>
        <w:rPr>
          <w:color w:val="231F20"/>
        </w:rPr>
        <w:t>слободних зелених површина, поплочања</w:t>
      </w:r>
      <w:r>
        <w:rPr>
          <w:color w:val="231F20"/>
          <w:spacing w:val="-7"/>
        </w:rPr>
        <w:t> </w:t>
      </w:r>
      <w:r>
        <w:rPr>
          <w:color w:val="231F20"/>
        </w:rPr>
        <w:t>свих</w:t>
      </w:r>
      <w:r>
        <w:rPr>
          <w:color w:val="231F20"/>
          <w:spacing w:val="-7"/>
        </w:rPr>
        <w:t> </w:t>
      </w:r>
      <w:r>
        <w:rPr>
          <w:color w:val="231F20"/>
        </w:rPr>
        <w:t>стаза</w:t>
      </w:r>
      <w:r>
        <w:rPr>
          <w:color w:val="231F20"/>
          <w:spacing w:val="-7"/>
        </w:rPr>
        <w:t> </w:t>
      </w:r>
      <w:r>
        <w:rPr>
          <w:color w:val="231F20"/>
        </w:rPr>
        <w:t>и</w:t>
      </w:r>
      <w:r>
        <w:rPr>
          <w:color w:val="231F20"/>
          <w:spacing w:val="-7"/>
        </w:rPr>
        <w:t> </w:t>
      </w:r>
      <w:r>
        <w:rPr>
          <w:color w:val="231F20"/>
        </w:rPr>
        <w:t>прилаза,</w:t>
      </w:r>
      <w:r>
        <w:rPr>
          <w:color w:val="231F20"/>
          <w:spacing w:val="-7"/>
        </w:rPr>
        <w:t> </w:t>
      </w:r>
      <w:r>
        <w:rPr>
          <w:color w:val="231F20"/>
        </w:rPr>
        <w:t>расвете</w:t>
      </w:r>
      <w:r>
        <w:rPr>
          <w:color w:val="231F20"/>
          <w:spacing w:val="-7"/>
        </w:rPr>
        <w:t> </w:t>
      </w:r>
      <w:r>
        <w:rPr>
          <w:color w:val="231F20"/>
        </w:rPr>
        <w:t>различитог</w:t>
      </w:r>
      <w:r>
        <w:rPr>
          <w:color w:val="231F20"/>
          <w:spacing w:val="-7"/>
        </w:rPr>
        <w:t> </w:t>
      </w:r>
      <w:r>
        <w:rPr>
          <w:color w:val="231F20"/>
        </w:rPr>
        <w:t>типа,</w:t>
      </w:r>
      <w:r>
        <w:rPr>
          <w:color w:val="231F20"/>
          <w:spacing w:val="-7"/>
        </w:rPr>
        <w:t> </w:t>
      </w:r>
      <w:r>
        <w:rPr>
          <w:color w:val="231F20"/>
        </w:rPr>
        <w:t>урбаног мобилијара са својеврсном опремом и</w:t>
      </w:r>
      <w:r>
        <w:rPr>
          <w:color w:val="231F20"/>
          <w:spacing w:val="-4"/>
        </w:rPr>
        <w:t> </w:t>
      </w:r>
      <w:r>
        <w:rPr>
          <w:color w:val="231F20"/>
        </w:rPr>
        <w:t>друго.</w:t>
      </w:r>
    </w:p>
    <w:p>
      <w:pPr>
        <w:pStyle w:val="BodyText"/>
        <w:spacing w:line="198" w:lineRule="exact"/>
        <w:ind w:left="568"/>
        <w:jc w:val="left"/>
      </w:pPr>
      <w:r>
        <w:rPr>
          <w:color w:val="231F20"/>
        </w:rPr>
        <w:t>Правила изградње и правила уређења обухватају:</w:t>
      </w:r>
    </w:p>
    <w:p>
      <w:pPr>
        <w:pStyle w:val="BodyText"/>
        <w:spacing w:line="228" w:lineRule="auto" w:before="4"/>
        <w:ind w:left="171" w:right="40" w:firstLine="397"/>
      </w:pPr>
      <w:r>
        <w:rPr>
          <w:color w:val="231F20"/>
          <w:w w:val="66"/>
        </w:rPr>
        <w:t> </w:t>
      </w:r>
      <w:r>
        <w:rPr>
          <w:color w:val="231F20"/>
        </w:rPr>
        <w:t>–</w:t>
      </w:r>
      <w:r>
        <w:rPr>
          <w:color w:val="231F20"/>
          <w:spacing w:val="-5"/>
        </w:rPr>
        <w:t> </w:t>
      </w:r>
      <w:r>
        <w:rPr>
          <w:color w:val="231F20"/>
        </w:rPr>
        <w:t>поштовање</w:t>
      </w:r>
      <w:r>
        <w:rPr>
          <w:color w:val="231F20"/>
          <w:spacing w:val="-5"/>
        </w:rPr>
        <w:t> </w:t>
      </w:r>
      <w:r>
        <w:rPr>
          <w:color w:val="231F20"/>
        </w:rPr>
        <w:t>законских</w:t>
      </w:r>
      <w:r>
        <w:rPr>
          <w:color w:val="231F20"/>
          <w:spacing w:val="-6"/>
        </w:rPr>
        <w:t> </w:t>
      </w:r>
      <w:r>
        <w:rPr>
          <w:color w:val="231F20"/>
        </w:rPr>
        <w:t>аката</w:t>
      </w:r>
      <w:r>
        <w:rPr>
          <w:color w:val="231F20"/>
          <w:spacing w:val="-5"/>
        </w:rPr>
        <w:t> </w:t>
      </w:r>
      <w:r>
        <w:rPr>
          <w:color w:val="231F20"/>
          <w:spacing w:val="-3"/>
        </w:rPr>
        <w:t>која</w:t>
      </w:r>
      <w:r>
        <w:rPr>
          <w:color w:val="231F20"/>
          <w:spacing w:val="-5"/>
        </w:rPr>
        <w:t> </w:t>
      </w:r>
      <w:r>
        <w:rPr>
          <w:color w:val="231F20"/>
        </w:rPr>
        <w:t>се</w:t>
      </w:r>
      <w:r>
        <w:rPr>
          <w:color w:val="231F20"/>
          <w:spacing w:val="-5"/>
        </w:rPr>
        <w:t> </w:t>
      </w:r>
      <w:r>
        <w:rPr>
          <w:color w:val="231F20"/>
        </w:rPr>
        <w:t>тичу</w:t>
      </w:r>
      <w:r>
        <w:rPr>
          <w:color w:val="231F20"/>
          <w:spacing w:val="-5"/>
        </w:rPr>
        <w:t> </w:t>
      </w:r>
      <w:r>
        <w:rPr>
          <w:color w:val="231F20"/>
        </w:rPr>
        <w:t>заштите</w:t>
      </w:r>
      <w:r>
        <w:rPr>
          <w:color w:val="231F20"/>
          <w:spacing w:val="-5"/>
        </w:rPr>
        <w:t> </w:t>
      </w:r>
      <w:r>
        <w:rPr>
          <w:color w:val="231F20"/>
        </w:rPr>
        <w:t>непокрет- них културних добара као и услова надлежног Завода за заштиту споменика</w:t>
      </w:r>
      <w:r>
        <w:rPr>
          <w:color w:val="231F20"/>
          <w:spacing w:val="-1"/>
        </w:rPr>
        <w:t> </w:t>
      </w:r>
      <w:r>
        <w:rPr>
          <w:color w:val="231F20"/>
        </w:rPr>
        <w:t>културе;</w:t>
      </w:r>
    </w:p>
    <w:p>
      <w:pPr>
        <w:pStyle w:val="BodyText"/>
        <w:spacing w:line="228" w:lineRule="auto" w:before="2"/>
        <w:ind w:left="171" w:right="40" w:firstLine="396"/>
      </w:pPr>
      <w:r>
        <w:rPr>
          <w:color w:val="231F20"/>
          <w:w w:val="66"/>
        </w:rPr>
        <w:t> </w:t>
      </w:r>
      <w:r>
        <w:rPr>
          <w:color w:val="231F20"/>
        </w:rPr>
        <w:t>–</w:t>
      </w:r>
      <w:r>
        <w:rPr>
          <w:color w:val="231F20"/>
          <w:spacing w:val="-7"/>
        </w:rPr>
        <w:t> </w:t>
      </w:r>
      <w:r>
        <w:rPr>
          <w:color w:val="231F20"/>
        </w:rPr>
        <w:t>извођење</w:t>
      </w:r>
      <w:r>
        <w:rPr>
          <w:color w:val="231F20"/>
          <w:spacing w:val="-7"/>
        </w:rPr>
        <w:t> </w:t>
      </w:r>
      <w:r>
        <w:rPr>
          <w:color w:val="231F20"/>
        </w:rPr>
        <w:t>свих</w:t>
      </w:r>
      <w:r>
        <w:rPr>
          <w:color w:val="231F20"/>
          <w:spacing w:val="-7"/>
        </w:rPr>
        <w:t> </w:t>
      </w:r>
      <w:r>
        <w:rPr>
          <w:color w:val="231F20"/>
        </w:rPr>
        <w:t>радова</w:t>
      </w:r>
      <w:r>
        <w:rPr>
          <w:color w:val="231F20"/>
          <w:spacing w:val="-7"/>
        </w:rPr>
        <w:t> </w:t>
      </w:r>
      <w:r>
        <w:rPr>
          <w:color w:val="231F20"/>
        </w:rPr>
        <w:t>на</w:t>
      </w:r>
      <w:r>
        <w:rPr>
          <w:color w:val="231F20"/>
          <w:spacing w:val="-7"/>
        </w:rPr>
        <w:t> </w:t>
      </w:r>
      <w:r>
        <w:rPr>
          <w:color w:val="231F20"/>
        </w:rPr>
        <w:t>постојећим</w:t>
      </w:r>
      <w:r>
        <w:rPr>
          <w:color w:val="231F20"/>
          <w:spacing w:val="-7"/>
        </w:rPr>
        <w:t> </w:t>
      </w:r>
      <w:r>
        <w:rPr>
          <w:color w:val="231F20"/>
        </w:rPr>
        <w:t>објектима</w:t>
      </w:r>
      <w:r>
        <w:rPr>
          <w:color w:val="231F20"/>
          <w:spacing w:val="-7"/>
        </w:rPr>
        <w:t> </w:t>
      </w:r>
      <w:r>
        <w:rPr>
          <w:color w:val="231F20"/>
        </w:rPr>
        <w:t>према</w:t>
      </w:r>
      <w:r>
        <w:rPr>
          <w:color w:val="231F20"/>
          <w:spacing w:val="-7"/>
        </w:rPr>
        <w:t> </w:t>
      </w:r>
      <w:r>
        <w:rPr>
          <w:color w:val="231F20"/>
        </w:rPr>
        <w:t>усло- вима за предузимање мера техничке заштите израђеним </w:t>
      </w:r>
      <w:r>
        <w:rPr>
          <w:color w:val="231F20"/>
          <w:spacing w:val="-3"/>
        </w:rPr>
        <w:t>од </w:t>
      </w:r>
      <w:r>
        <w:rPr>
          <w:color w:val="231F20"/>
        </w:rPr>
        <w:t>надле- жне установе</w:t>
      </w:r>
      <w:r>
        <w:rPr>
          <w:color w:val="231F20"/>
          <w:spacing w:val="-1"/>
        </w:rPr>
        <w:t> </w:t>
      </w:r>
      <w:r>
        <w:rPr>
          <w:color w:val="231F20"/>
        </w:rPr>
        <w:t>заштите;</w:t>
      </w:r>
    </w:p>
    <w:p>
      <w:pPr>
        <w:pStyle w:val="BodyText"/>
        <w:spacing w:line="228" w:lineRule="auto" w:before="2"/>
        <w:ind w:left="171" w:right="40" w:firstLine="396"/>
      </w:pPr>
      <w:r>
        <w:rPr>
          <w:color w:val="231F20"/>
          <w:w w:val="66"/>
        </w:rPr>
        <w:t> </w:t>
      </w:r>
      <w:r>
        <w:rPr>
          <w:color w:val="231F20"/>
        </w:rPr>
        <w:t>–</w:t>
      </w:r>
      <w:r>
        <w:rPr>
          <w:color w:val="231F20"/>
          <w:spacing w:val="-8"/>
        </w:rPr>
        <w:t> </w:t>
      </w:r>
      <w:r>
        <w:rPr>
          <w:color w:val="231F20"/>
        </w:rPr>
        <w:t>у</w:t>
      </w:r>
      <w:r>
        <w:rPr>
          <w:color w:val="231F20"/>
          <w:spacing w:val="-8"/>
        </w:rPr>
        <w:t> </w:t>
      </w:r>
      <w:r>
        <w:rPr>
          <w:color w:val="231F20"/>
        </w:rPr>
        <w:t>простору</w:t>
      </w:r>
      <w:r>
        <w:rPr>
          <w:color w:val="231F20"/>
          <w:spacing w:val="-8"/>
        </w:rPr>
        <w:t> </w:t>
      </w:r>
      <w:r>
        <w:rPr>
          <w:color w:val="231F20"/>
          <w:spacing w:val="-4"/>
        </w:rPr>
        <w:t>око</w:t>
      </w:r>
      <w:r>
        <w:rPr>
          <w:color w:val="231F20"/>
          <w:spacing w:val="-8"/>
        </w:rPr>
        <w:t> </w:t>
      </w:r>
      <w:r>
        <w:rPr>
          <w:color w:val="231F20"/>
        </w:rPr>
        <w:t>манастира</w:t>
      </w:r>
      <w:r>
        <w:rPr>
          <w:color w:val="231F20"/>
          <w:spacing w:val="-8"/>
        </w:rPr>
        <w:t> </w:t>
      </w:r>
      <w:r>
        <w:rPr>
          <w:color w:val="231F20"/>
        </w:rPr>
        <w:t>није</w:t>
      </w:r>
      <w:r>
        <w:rPr>
          <w:color w:val="231F20"/>
          <w:spacing w:val="-8"/>
        </w:rPr>
        <w:t> </w:t>
      </w:r>
      <w:r>
        <w:rPr>
          <w:color w:val="231F20"/>
        </w:rPr>
        <w:t>дозвољено</w:t>
      </w:r>
      <w:r>
        <w:rPr>
          <w:color w:val="231F20"/>
          <w:spacing w:val="-8"/>
        </w:rPr>
        <w:t> </w:t>
      </w:r>
      <w:r>
        <w:rPr>
          <w:color w:val="231F20"/>
        </w:rPr>
        <w:t>постављање</w:t>
      </w:r>
      <w:r>
        <w:rPr>
          <w:color w:val="231F20"/>
          <w:spacing w:val="-8"/>
        </w:rPr>
        <w:t> </w:t>
      </w:r>
      <w:r>
        <w:rPr>
          <w:color w:val="231F20"/>
        </w:rPr>
        <w:t>при- времених</w:t>
      </w:r>
      <w:r>
        <w:rPr>
          <w:color w:val="231F20"/>
          <w:spacing w:val="-8"/>
        </w:rPr>
        <w:t> </w:t>
      </w:r>
      <w:r>
        <w:rPr>
          <w:color w:val="231F20"/>
        </w:rPr>
        <w:t>продавница,</w:t>
      </w:r>
      <w:r>
        <w:rPr>
          <w:color w:val="231F20"/>
          <w:spacing w:val="-8"/>
        </w:rPr>
        <w:t> </w:t>
      </w:r>
      <w:r>
        <w:rPr>
          <w:color w:val="231F20"/>
        </w:rPr>
        <w:t>шатри</w:t>
      </w:r>
      <w:r>
        <w:rPr>
          <w:color w:val="231F20"/>
          <w:spacing w:val="-8"/>
        </w:rPr>
        <w:t> </w:t>
      </w:r>
      <w:r>
        <w:rPr>
          <w:color w:val="231F20"/>
        </w:rPr>
        <w:t>и</w:t>
      </w:r>
      <w:r>
        <w:rPr>
          <w:color w:val="231F20"/>
          <w:spacing w:val="-8"/>
        </w:rPr>
        <w:t> </w:t>
      </w:r>
      <w:r>
        <w:rPr>
          <w:color w:val="231F20"/>
        </w:rPr>
        <w:t>сличних</w:t>
      </w:r>
      <w:r>
        <w:rPr>
          <w:color w:val="231F20"/>
          <w:spacing w:val="-8"/>
        </w:rPr>
        <w:t> </w:t>
      </w:r>
      <w:r>
        <w:rPr>
          <w:color w:val="231F20"/>
        </w:rPr>
        <w:t>објеката,</w:t>
      </w:r>
      <w:r>
        <w:rPr>
          <w:color w:val="231F20"/>
          <w:spacing w:val="-8"/>
        </w:rPr>
        <w:t> </w:t>
      </w:r>
      <w:r>
        <w:rPr>
          <w:color w:val="231F20"/>
          <w:spacing w:val="-3"/>
        </w:rPr>
        <w:t>приликом</w:t>
      </w:r>
      <w:r>
        <w:rPr>
          <w:color w:val="231F20"/>
          <w:spacing w:val="-8"/>
        </w:rPr>
        <w:t> </w:t>
      </w:r>
      <w:r>
        <w:rPr>
          <w:color w:val="231F20"/>
        </w:rPr>
        <w:t>цркве- них и профаних</w:t>
      </w:r>
      <w:r>
        <w:rPr>
          <w:color w:val="231F20"/>
          <w:spacing w:val="-4"/>
        </w:rPr>
        <w:t> </w:t>
      </w:r>
      <w:r>
        <w:rPr>
          <w:color w:val="231F20"/>
        </w:rPr>
        <w:t>свечаности;</w:t>
      </w:r>
    </w:p>
    <w:p>
      <w:pPr>
        <w:pStyle w:val="BodyText"/>
        <w:spacing w:line="228" w:lineRule="auto" w:before="2"/>
        <w:ind w:left="171" w:right="40" w:firstLine="396"/>
      </w:pPr>
      <w:r>
        <w:rPr>
          <w:color w:val="231F20"/>
          <w:w w:val="66"/>
        </w:rPr>
        <w:t> </w:t>
      </w:r>
      <w:r>
        <w:rPr>
          <w:color w:val="231F20"/>
        </w:rPr>
        <w:t>– положај, оријентацију, пропорцију и друго; реконструкци- је постојећих или изградњу нових објеката усагласити са канони- ма цркве; вертикалне габарите објеката ускладити са постојећим; ограду манастира, по потреби, формирати према условима</w:t>
      </w:r>
      <w:r>
        <w:rPr>
          <w:color w:val="231F20"/>
          <w:spacing w:val="-33"/>
        </w:rPr>
        <w:t> </w:t>
      </w:r>
      <w:r>
        <w:rPr>
          <w:color w:val="231F20"/>
        </w:rPr>
        <w:t>службе за заштиту споменика културе;</w:t>
      </w:r>
      <w:r>
        <w:rPr>
          <w:color w:val="231F20"/>
          <w:spacing w:val="-4"/>
        </w:rPr>
        <w:t> </w:t>
      </w:r>
      <w:r>
        <w:rPr>
          <w:color w:val="231F20"/>
        </w:rPr>
        <w:t>и</w:t>
      </w:r>
    </w:p>
    <w:p>
      <w:pPr>
        <w:pStyle w:val="BodyText"/>
        <w:spacing w:line="228" w:lineRule="auto" w:before="3"/>
        <w:ind w:left="568" w:right="424"/>
        <w:jc w:val="left"/>
      </w:pPr>
      <w:r>
        <w:rPr>
          <w:color w:val="231F20"/>
          <w:w w:val="66"/>
        </w:rPr>
        <w:t> </w:t>
      </w:r>
      <w:r>
        <w:rPr>
          <w:color w:val="231F20"/>
        </w:rPr>
        <w:t>– паркинг простор градити изван комплекса манастира. Правила пејзажног уређења простора подразумевају:</w:t>
      </w:r>
    </w:p>
    <w:p>
      <w:pPr>
        <w:pStyle w:val="BodyText"/>
        <w:spacing w:line="228" w:lineRule="auto" w:before="1"/>
        <w:ind w:left="172" w:right="40" w:firstLine="396"/>
      </w:pPr>
      <w:r>
        <w:rPr>
          <w:color w:val="231F20"/>
          <w:w w:val="66"/>
        </w:rPr>
        <w:t> </w:t>
      </w:r>
      <w:r>
        <w:rPr>
          <w:color w:val="231F20"/>
        </w:rPr>
        <w:t>– очување ненарушених геоморфолошких обележја околине манастира као и аутентичног изгледа и састава вегетације,</w:t>
      </w:r>
    </w:p>
    <w:p>
      <w:pPr>
        <w:pStyle w:val="BodyText"/>
        <w:spacing w:line="228" w:lineRule="auto" w:before="1"/>
        <w:ind w:left="172" w:right="39" w:firstLine="396"/>
      </w:pPr>
      <w:r>
        <w:rPr>
          <w:color w:val="231F20"/>
          <w:w w:val="66"/>
        </w:rPr>
        <w:t> </w:t>
      </w:r>
      <w:r>
        <w:rPr>
          <w:color w:val="231F20"/>
        </w:rPr>
        <w:t>–</w:t>
      </w:r>
      <w:r>
        <w:rPr>
          <w:color w:val="231F20"/>
          <w:spacing w:val="-12"/>
        </w:rPr>
        <w:t> </w:t>
      </w:r>
      <w:r>
        <w:rPr>
          <w:color w:val="231F20"/>
        </w:rPr>
        <w:t>унапређење</w:t>
      </w:r>
      <w:r>
        <w:rPr>
          <w:color w:val="231F20"/>
          <w:spacing w:val="-12"/>
        </w:rPr>
        <w:t> </w:t>
      </w:r>
      <w:r>
        <w:rPr>
          <w:color w:val="231F20"/>
        </w:rPr>
        <w:t>постојећих</w:t>
      </w:r>
      <w:r>
        <w:rPr>
          <w:color w:val="231F20"/>
          <w:spacing w:val="-12"/>
        </w:rPr>
        <w:t> </w:t>
      </w:r>
      <w:r>
        <w:rPr>
          <w:color w:val="231F20"/>
        </w:rPr>
        <w:t>зелених</w:t>
      </w:r>
      <w:r>
        <w:rPr>
          <w:color w:val="231F20"/>
          <w:spacing w:val="-12"/>
        </w:rPr>
        <w:t> </w:t>
      </w:r>
      <w:r>
        <w:rPr>
          <w:color w:val="231F20"/>
        </w:rPr>
        <w:t>површина</w:t>
      </w:r>
      <w:r>
        <w:rPr>
          <w:color w:val="231F20"/>
          <w:spacing w:val="-12"/>
        </w:rPr>
        <w:t> </w:t>
      </w:r>
      <w:r>
        <w:rPr>
          <w:color w:val="231F20"/>
        </w:rPr>
        <w:t>(травњаци,</w:t>
      </w:r>
      <w:r>
        <w:rPr>
          <w:color w:val="231F20"/>
          <w:spacing w:val="-12"/>
        </w:rPr>
        <w:t> </w:t>
      </w:r>
      <w:r>
        <w:rPr>
          <w:color w:val="231F20"/>
        </w:rPr>
        <w:t>цвет- не леје, појединачна стабла, ливаде, шума), као и редовно уређи- вање и одржавање, што обухвата мере као што су: замена дендро материјала, уклањање болесних и физиолошки зрелих и</w:t>
      </w:r>
      <w:r>
        <w:rPr>
          <w:color w:val="231F20"/>
          <w:spacing w:val="-23"/>
        </w:rPr>
        <w:t> </w:t>
      </w:r>
      <w:r>
        <w:rPr>
          <w:color w:val="231F20"/>
        </w:rPr>
        <w:t>друго,</w:t>
      </w:r>
    </w:p>
    <w:p>
      <w:pPr>
        <w:pStyle w:val="BodyText"/>
        <w:spacing w:line="228" w:lineRule="auto" w:before="3"/>
        <w:ind w:left="172" w:right="39" w:firstLine="396"/>
      </w:pPr>
      <w:r>
        <w:rPr>
          <w:color w:val="231F20"/>
          <w:w w:val="66"/>
        </w:rPr>
        <w:t> </w:t>
      </w:r>
      <w:r>
        <w:rPr>
          <w:color w:val="231F20"/>
        </w:rPr>
        <w:t>– изградњу инфраструктуре за одржавање зеленила и мана- стирског економског простора (систем хидрантске мреже са меха- низмом заливања и орошавања),</w:t>
      </w:r>
    </w:p>
    <w:p>
      <w:pPr>
        <w:pStyle w:val="BodyText"/>
        <w:spacing w:line="228" w:lineRule="auto" w:before="2"/>
        <w:ind w:left="172" w:right="39" w:firstLine="396"/>
      </w:pPr>
      <w:r>
        <w:rPr>
          <w:color w:val="231F20"/>
          <w:w w:val="66"/>
        </w:rPr>
        <w:t> </w:t>
      </w:r>
      <w:r>
        <w:rPr>
          <w:color w:val="231F20"/>
        </w:rPr>
        <w:t>– пејзажно уређење и озелењавање простора аутотхоним и декоративним врстама,</w:t>
      </w:r>
    </w:p>
    <w:p>
      <w:pPr>
        <w:pStyle w:val="BodyText"/>
        <w:spacing w:line="228" w:lineRule="auto" w:before="1"/>
        <w:ind w:left="172" w:right="39" w:firstLine="396"/>
      </w:pPr>
      <w:r>
        <w:rPr>
          <w:color w:val="231F20"/>
          <w:w w:val="66"/>
        </w:rPr>
        <w:t> </w:t>
      </w:r>
      <w:r>
        <w:rPr>
          <w:color w:val="231F20"/>
        </w:rPr>
        <w:t>–</w:t>
      </w:r>
      <w:r>
        <w:rPr>
          <w:color w:val="231F20"/>
          <w:spacing w:val="-6"/>
        </w:rPr>
        <w:t> </w:t>
      </w:r>
      <w:r>
        <w:rPr>
          <w:color w:val="231F20"/>
        </w:rPr>
        <w:t>на</w:t>
      </w:r>
      <w:r>
        <w:rPr>
          <w:color w:val="231F20"/>
          <w:spacing w:val="-6"/>
        </w:rPr>
        <w:t> </w:t>
      </w:r>
      <w:r>
        <w:rPr>
          <w:color w:val="231F20"/>
        </w:rPr>
        <w:t>зарављеним</w:t>
      </w:r>
      <w:r>
        <w:rPr>
          <w:color w:val="231F20"/>
          <w:spacing w:val="-6"/>
        </w:rPr>
        <w:t> </w:t>
      </w:r>
      <w:r>
        <w:rPr>
          <w:color w:val="231F20"/>
        </w:rPr>
        <w:t>површинама</w:t>
      </w:r>
      <w:r>
        <w:rPr>
          <w:color w:val="231F20"/>
          <w:spacing w:val="-6"/>
        </w:rPr>
        <w:t> </w:t>
      </w:r>
      <w:r>
        <w:rPr>
          <w:color w:val="231F20"/>
        </w:rPr>
        <w:t>шуме,</w:t>
      </w:r>
      <w:r>
        <w:rPr>
          <w:color w:val="231F20"/>
          <w:spacing w:val="-6"/>
        </w:rPr>
        <w:t> </w:t>
      </w:r>
      <w:r>
        <w:rPr>
          <w:color w:val="231F20"/>
        </w:rPr>
        <w:t>на</w:t>
      </w:r>
      <w:r>
        <w:rPr>
          <w:color w:val="231F20"/>
          <w:spacing w:val="-6"/>
        </w:rPr>
        <w:t> </w:t>
      </w:r>
      <w:r>
        <w:rPr>
          <w:color w:val="231F20"/>
        </w:rPr>
        <w:t>местима</w:t>
      </w:r>
      <w:r>
        <w:rPr>
          <w:color w:val="231F20"/>
          <w:spacing w:val="-6"/>
        </w:rPr>
        <w:t> </w:t>
      </w:r>
      <w:r>
        <w:rPr>
          <w:color w:val="231F20"/>
          <w:spacing w:val="-4"/>
        </w:rPr>
        <w:t>где</w:t>
      </w:r>
      <w:r>
        <w:rPr>
          <w:color w:val="231F20"/>
          <w:spacing w:val="-6"/>
        </w:rPr>
        <w:t> </w:t>
      </w:r>
      <w:r>
        <w:rPr>
          <w:color w:val="231F20"/>
        </w:rPr>
        <w:t>је</w:t>
      </w:r>
      <w:r>
        <w:rPr>
          <w:color w:val="231F20"/>
          <w:spacing w:val="-6"/>
        </w:rPr>
        <w:t> </w:t>
      </w:r>
      <w:r>
        <w:rPr>
          <w:color w:val="231F20"/>
        </w:rPr>
        <w:t>дошло до девастације услед прекомерног искоришћавања формирање прогала пропланака </w:t>
      </w:r>
      <w:r>
        <w:rPr>
          <w:color w:val="231F20"/>
          <w:spacing w:val="-3"/>
        </w:rPr>
        <w:t>који </w:t>
      </w:r>
      <w:r>
        <w:rPr>
          <w:color w:val="231F20"/>
        </w:rPr>
        <w:t>могу да приме и додатне</w:t>
      </w:r>
      <w:r>
        <w:rPr>
          <w:color w:val="231F20"/>
          <w:spacing w:val="-12"/>
        </w:rPr>
        <w:t> </w:t>
      </w:r>
      <w:r>
        <w:rPr>
          <w:color w:val="231F20"/>
        </w:rPr>
        <w:t>садржаје,</w:t>
      </w:r>
    </w:p>
    <w:p>
      <w:pPr>
        <w:pStyle w:val="BodyText"/>
        <w:spacing w:line="228" w:lineRule="auto" w:before="2"/>
        <w:ind w:left="173" w:right="39" w:firstLine="396"/>
      </w:pPr>
      <w:r>
        <w:rPr>
          <w:color w:val="231F20"/>
          <w:w w:val="66"/>
        </w:rPr>
        <w:t> </w:t>
      </w:r>
      <w:r>
        <w:rPr>
          <w:color w:val="231F20"/>
        </w:rPr>
        <w:t>– детаљно чишћење подраста, сечу неквалитетних  стаба- ла, остављање солитерних стабала и </w:t>
      </w:r>
      <w:r>
        <w:rPr>
          <w:color w:val="231F20"/>
          <w:spacing w:val="-3"/>
        </w:rPr>
        <w:t>жбуња </w:t>
      </w:r>
      <w:r>
        <w:rPr>
          <w:color w:val="231F20"/>
        </w:rPr>
        <w:t>и евентуалну садњу </w:t>
      </w:r>
      <w:r>
        <w:rPr>
          <w:color w:val="231F20"/>
          <w:spacing w:val="-3"/>
        </w:rPr>
        <w:t>аутохтоних</w:t>
      </w:r>
      <w:r>
        <w:rPr>
          <w:color w:val="231F20"/>
          <w:spacing w:val="-1"/>
        </w:rPr>
        <w:t> </w:t>
      </w:r>
      <w:r>
        <w:rPr>
          <w:color w:val="231F20"/>
        </w:rPr>
        <w:t>врста,</w:t>
      </w:r>
    </w:p>
    <w:p>
      <w:pPr>
        <w:pStyle w:val="BodyText"/>
        <w:spacing w:line="228" w:lineRule="auto" w:before="2"/>
        <w:ind w:left="173" w:right="38" w:firstLine="396"/>
      </w:pPr>
      <w:r>
        <w:rPr>
          <w:color w:val="231F20"/>
          <w:w w:val="66"/>
        </w:rPr>
        <w:t> </w:t>
      </w:r>
      <w:r>
        <w:rPr>
          <w:color w:val="231F20"/>
        </w:rPr>
        <w:t>– забрану честе сече и искрчавања шумских површина као и кресање лисника,</w:t>
      </w:r>
    </w:p>
    <w:p>
      <w:pPr>
        <w:pStyle w:val="BodyText"/>
        <w:spacing w:line="228" w:lineRule="auto" w:before="1"/>
        <w:ind w:left="173" w:right="39" w:firstLine="396"/>
      </w:pPr>
      <w:r>
        <w:rPr>
          <w:color w:val="231F20"/>
          <w:w w:val="66"/>
        </w:rPr>
        <w:t> </w:t>
      </w:r>
      <w:r>
        <w:rPr>
          <w:color w:val="231F20"/>
        </w:rPr>
        <w:t>– забрану испаше стоке нарочито у оним деловима шуме где се у подрасту јављају аутохтоне врсте лишћара,</w:t>
      </w:r>
    </w:p>
    <w:p>
      <w:pPr>
        <w:pStyle w:val="BodyText"/>
        <w:spacing w:line="228" w:lineRule="auto" w:before="2"/>
        <w:ind w:left="173" w:right="39" w:firstLine="396"/>
      </w:pPr>
      <w:r>
        <w:rPr>
          <w:color w:val="231F20"/>
          <w:w w:val="66"/>
        </w:rPr>
        <w:t> </w:t>
      </w:r>
      <w:r>
        <w:rPr>
          <w:color w:val="231F20"/>
        </w:rPr>
        <w:t>– спречавање прекомерних уношења четинара на станишта лишћарских састојина,</w:t>
      </w:r>
    </w:p>
    <w:p>
      <w:pPr>
        <w:pStyle w:val="BodyText"/>
        <w:spacing w:line="228" w:lineRule="auto" w:before="1"/>
        <w:ind w:left="173" w:right="38" w:firstLine="396"/>
      </w:pPr>
      <w:r>
        <w:rPr>
          <w:color w:val="231F20"/>
          <w:w w:val="66"/>
        </w:rPr>
        <w:t> </w:t>
      </w:r>
      <w:r>
        <w:rPr>
          <w:color w:val="231F20"/>
        </w:rPr>
        <w:t>– забрану преоравања ливада и њиховог претварања и њиве на нагибима већим од 15%, и</w:t>
      </w:r>
    </w:p>
    <w:p>
      <w:pPr>
        <w:pStyle w:val="BodyText"/>
        <w:spacing w:line="195" w:lineRule="exact"/>
        <w:ind w:left="570"/>
        <w:jc w:val="left"/>
      </w:pPr>
      <w:r>
        <w:rPr>
          <w:color w:val="231F20"/>
          <w:w w:val="66"/>
        </w:rPr>
        <w:t> </w:t>
      </w:r>
      <w:r>
        <w:rPr>
          <w:color w:val="231F20"/>
        </w:rPr>
        <w:t>– озелењавање простора за паркинг садњом високог дрвећа.</w:t>
      </w:r>
    </w:p>
    <w:p>
      <w:pPr>
        <w:pStyle w:val="ListParagraph"/>
        <w:numPr>
          <w:ilvl w:val="0"/>
          <w:numId w:val="81"/>
        </w:numPr>
        <w:tabs>
          <w:tab w:pos="766" w:val="left" w:leader="none"/>
        </w:tabs>
        <w:spacing w:line="197" w:lineRule="exact" w:before="0" w:after="0"/>
        <w:ind w:left="765" w:right="0" w:hanging="195"/>
        <w:jc w:val="left"/>
        <w:rPr>
          <w:sz w:val="18"/>
        </w:rPr>
      </w:pPr>
      <w:r>
        <w:rPr>
          <w:color w:val="231F20"/>
          <w:sz w:val="18"/>
        </w:rPr>
        <w:t>Археолошки локалитет</w:t>
      </w:r>
      <w:r>
        <w:rPr>
          <w:color w:val="231F20"/>
          <w:spacing w:val="-3"/>
          <w:sz w:val="18"/>
        </w:rPr>
        <w:t> </w:t>
      </w:r>
      <w:r>
        <w:rPr>
          <w:color w:val="231F20"/>
          <w:sz w:val="18"/>
        </w:rPr>
        <w:t>Рукумија</w:t>
      </w:r>
    </w:p>
    <w:p>
      <w:pPr>
        <w:pStyle w:val="BodyText"/>
        <w:spacing w:line="228" w:lineRule="auto" w:before="4"/>
        <w:ind w:left="173" w:right="38" w:firstLine="396"/>
      </w:pPr>
      <w:r>
        <w:rPr>
          <w:color w:val="231F20"/>
        </w:rPr>
        <w:t>Археолошки</w:t>
      </w:r>
      <w:r>
        <w:rPr>
          <w:color w:val="231F20"/>
          <w:spacing w:val="-8"/>
        </w:rPr>
        <w:t> </w:t>
      </w:r>
      <w:r>
        <w:rPr>
          <w:color w:val="231F20"/>
        </w:rPr>
        <w:t>локалитет</w:t>
      </w:r>
      <w:r>
        <w:rPr>
          <w:color w:val="231F20"/>
          <w:spacing w:val="-8"/>
        </w:rPr>
        <w:t> </w:t>
      </w:r>
      <w:r>
        <w:rPr>
          <w:color w:val="231F20"/>
        </w:rPr>
        <w:t>Рукумија</w:t>
      </w:r>
      <w:r>
        <w:rPr>
          <w:color w:val="231F20"/>
          <w:spacing w:val="-8"/>
        </w:rPr>
        <w:t> </w:t>
      </w:r>
      <w:r>
        <w:rPr>
          <w:color w:val="231F20"/>
        </w:rPr>
        <w:t>налази</w:t>
      </w:r>
      <w:r>
        <w:rPr>
          <w:color w:val="231F20"/>
          <w:spacing w:val="-8"/>
        </w:rPr>
        <w:t> </w:t>
      </w:r>
      <w:r>
        <w:rPr>
          <w:color w:val="231F20"/>
        </w:rPr>
        <w:t>се</w:t>
      </w:r>
      <w:r>
        <w:rPr>
          <w:color w:val="231F20"/>
          <w:spacing w:val="-8"/>
        </w:rPr>
        <w:t> </w:t>
      </w:r>
      <w:r>
        <w:rPr>
          <w:color w:val="231F20"/>
        </w:rPr>
        <w:t>у</w:t>
      </w:r>
      <w:r>
        <w:rPr>
          <w:color w:val="231F20"/>
          <w:spacing w:val="-8"/>
        </w:rPr>
        <w:t> </w:t>
      </w:r>
      <w:r>
        <w:rPr>
          <w:color w:val="231F20"/>
        </w:rPr>
        <w:t>окружењу</w:t>
      </w:r>
      <w:r>
        <w:rPr>
          <w:color w:val="231F20"/>
          <w:spacing w:val="-8"/>
        </w:rPr>
        <w:t> </w:t>
      </w:r>
      <w:r>
        <w:rPr>
          <w:color w:val="231F20"/>
        </w:rPr>
        <w:t>мана- стира</w:t>
      </w:r>
      <w:r>
        <w:rPr>
          <w:color w:val="231F20"/>
          <w:spacing w:val="-6"/>
        </w:rPr>
        <w:t> </w:t>
      </w:r>
      <w:r>
        <w:rPr>
          <w:color w:val="231F20"/>
        </w:rPr>
        <w:t>и</w:t>
      </w:r>
      <w:r>
        <w:rPr>
          <w:color w:val="231F20"/>
          <w:spacing w:val="-6"/>
        </w:rPr>
        <w:t> </w:t>
      </w:r>
      <w:r>
        <w:rPr>
          <w:color w:val="231F20"/>
        </w:rPr>
        <w:t>гробља</w:t>
      </w:r>
      <w:r>
        <w:rPr>
          <w:color w:val="231F20"/>
          <w:spacing w:val="-6"/>
        </w:rPr>
        <w:t> </w:t>
      </w:r>
      <w:r>
        <w:rPr>
          <w:color w:val="231F20"/>
        </w:rPr>
        <w:t>насеља</w:t>
      </w:r>
      <w:r>
        <w:rPr>
          <w:color w:val="231F20"/>
          <w:spacing w:val="-6"/>
        </w:rPr>
        <w:t> </w:t>
      </w:r>
      <w:r>
        <w:rPr>
          <w:color w:val="231F20"/>
        </w:rPr>
        <w:t>Брадарац.</w:t>
      </w:r>
      <w:r>
        <w:rPr>
          <w:color w:val="231F20"/>
          <w:spacing w:val="-6"/>
        </w:rPr>
        <w:t> </w:t>
      </w:r>
      <w:r>
        <w:rPr>
          <w:color w:val="231F20"/>
        </w:rPr>
        <w:t>Ниво</w:t>
      </w:r>
      <w:r>
        <w:rPr>
          <w:color w:val="231F20"/>
          <w:spacing w:val="-6"/>
        </w:rPr>
        <w:t> </w:t>
      </w:r>
      <w:r>
        <w:rPr>
          <w:color w:val="231F20"/>
        </w:rPr>
        <w:t>истражености</w:t>
      </w:r>
      <w:r>
        <w:rPr>
          <w:color w:val="231F20"/>
          <w:spacing w:val="-6"/>
        </w:rPr>
        <w:t> </w:t>
      </w:r>
      <w:r>
        <w:rPr>
          <w:color w:val="231F20"/>
          <w:spacing w:val="-3"/>
        </w:rPr>
        <w:t>археолошког </w:t>
      </w:r>
      <w:r>
        <w:rPr>
          <w:color w:val="231F20"/>
        </w:rPr>
        <w:t>локалитета је мали. Озбиљнија археолошка истраживања на овим просторима обављена су у зони развоја површинског </w:t>
      </w:r>
      <w:r>
        <w:rPr>
          <w:color w:val="231F20"/>
          <w:spacing w:val="-4"/>
        </w:rPr>
        <w:t>копа „Ћири- </w:t>
      </w:r>
      <w:r>
        <w:rPr>
          <w:color w:val="231F20"/>
          <w:spacing w:val="-3"/>
        </w:rPr>
        <w:t>ковац”.</w:t>
      </w:r>
      <w:r>
        <w:rPr>
          <w:color w:val="231F20"/>
          <w:spacing w:val="-7"/>
        </w:rPr>
        <w:t> </w:t>
      </w:r>
      <w:r>
        <w:rPr>
          <w:color w:val="231F20"/>
        </w:rPr>
        <w:t>Пронађени</w:t>
      </w:r>
      <w:r>
        <w:rPr>
          <w:color w:val="231F20"/>
          <w:spacing w:val="-7"/>
        </w:rPr>
        <w:t> </w:t>
      </w:r>
      <w:r>
        <w:rPr>
          <w:color w:val="231F20"/>
        </w:rPr>
        <w:t>предмети</w:t>
      </w:r>
      <w:r>
        <w:rPr>
          <w:color w:val="231F20"/>
          <w:spacing w:val="-7"/>
        </w:rPr>
        <w:t> </w:t>
      </w:r>
      <w:r>
        <w:rPr>
          <w:color w:val="231F20"/>
        </w:rPr>
        <w:t>налазе</w:t>
      </w:r>
      <w:r>
        <w:rPr>
          <w:color w:val="231F20"/>
          <w:spacing w:val="-7"/>
        </w:rPr>
        <w:t> </w:t>
      </w:r>
      <w:r>
        <w:rPr>
          <w:color w:val="231F20"/>
        </w:rPr>
        <w:t>се</w:t>
      </w:r>
      <w:r>
        <w:rPr>
          <w:color w:val="231F20"/>
          <w:spacing w:val="-7"/>
        </w:rPr>
        <w:t> </w:t>
      </w:r>
      <w:r>
        <w:rPr>
          <w:color w:val="231F20"/>
        </w:rPr>
        <w:t>у</w:t>
      </w:r>
      <w:r>
        <w:rPr>
          <w:color w:val="231F20"/>
          <w:spacing w:val="-7"/>
        </w:rPr>
        <w:t> </w:t>
      </w:r>
      <w:r>
        <w:rPr>
          <w:color w:val="231F20"/>
        </w:rPr>
        <w:t>Музеју</w:t>
      </w:r>
      <w:r>
        <w:rPr>
          <w:color w:val="231F20"/>
          <w:spacing w:val="-7"/>
        </w:rPr>
        <w:t> </w:t>
      </w:r>
      <w:r>
        <w:rPr>
          <w:color w:val="231F20"/>
        </w:rPr>
        <w:t>града</w:t>
      </w:r>
      <w:r>
        <w:rPr>
          <w:color w:val="231F20"/>
          <w:spacing w:val="-7"/>
        </w:rPr>
        <w:t> </w:t>
      </w:r>
      <w:r>
        <w:rPr>
          <w:color w:val="231F20"/>
        </w:rPr>
        <w:t>Пожаревца.</w:t>
      </w:r>
    </w:p>
    <w:p>
      <w:pPr>
        <w:pStyle w:val="BodyText"/>
        <w:spacing w:line="228" w:lineRule="auto" w:before="3"/>
        <w:ind w:left="173" w:right="38" w:firstLine="397"/>
      </w:pPr>
      <w:r>
        <w:rPr>
          <w:color w:val="231F20"/>
        </w:rPr>
        <w:t>На овим </w:t>
      </w:r>
      <w:r>
        <w:rPr>
          <w:color w:val="231F20"/>
          <w:spacing w:val="-3"/>
        </w:rPr>
        <w:t>локалитетима </w:t>
      </w:r>
      <w:r>
        <w:rPr>
          <w:color w:val="231F20"/>
        </w:rPr>
        <w:t>не могу се вршити </w:t>
      </w:r>
      <w:r>
        <w:rPr>
          <w:color w:val="231F20"/>
          <w:spacing w:val="-3"/>
        </w:rPr>
        <w:t>раскопавања, ру- </w:t>
      </w:r>
      <w:r>
        <w:rPr>
          <w:color w:val="231F20"/>
        </w:rPr>
        <w:t>шења, преправљања или било </w:t>
      </w:r>
      <w:r>
        <w:rPr>
          <w:color w:val="231F20"/>
          <w:spacing w:val="-3"/>
        </w:rPr>
        <w:t>какви </w:t>
      </w:r>
      <w:r>
        <w:rPr>
          <w:color w:val="231F20"/>
        </w:rPr>
        <w:t>радови </w:t>
      </w:r>
      <w:r>
        <w:rPr>
          <w:color w:val="231F20"/>
          <w:spacing w:val="-4"/>
        </w:rPr>
        <w:t>који </w:t>
      </w:r>
      <w:r>
        <w:rPr>
          <w:color w:val="231F20"/>
        </w:rPr>
        <w:t>могу да </w:t>
      </w:r>
      <w:r>
        <w:rPr>
          <w:color w:val="231F20"/>
          <w:spacing w:val="-3"/>
        </w:rPr>
        <w:t>наруше својства</w:t>
      </w:r>
      <w:r>
        <w:rPr>
          <w:color w:val="231F20"/>
          <w:spacing w:val="-8"/>
        </w:rPr>
        <w:t> </w:t>
      </w:r>
      <w:r>
        <w:rPr>
          <w:color w:val="231F20"/>
          <w:spacing w:val="-4"/>
        </w:rPr>
        <w:t>културног</w:t>
      </w:r>
      <w:r>
        <w:rPr>
          <w:color w:val="231F20"/>
          <w:spacing w:val="-8"/>
        </w:rPr>
        <w:t> </w:t>
      </w:r>
      <w:r>
        <w:rPr>
          <w:color w:val="231F20"/>
        </w:rPr>
        <w:t>добра,</w:t>
      </w:r>
      <w:r>
        <w:rPr>
          <w:color w:val="231F20"/>
          <w:spacing w:val="-8"/>
        </w:rPr>
        <w:t> </w:t>
      </w:r>
      <w:r>
        <w:rPr>
          <w:color w:val="231F20"/>
        </w:rPr>
        <w:t>без</w:t>
      </w:r>
      <w:r>
        <w:rPr>
          <w:color w:val="231F20"/>
          <w:spacing w:val="-8"/>
        </w:rPr>
        <w:t> </w:t>
      </w:r>
      <w:r>
        <w:rPr>
          <w:color w:val="231F20"/>
          <w:spacing w:val="-4"/>
        </w:rPr>
        <w:t>претходно</w:t>
      </w:r>
      <w:r>
        <w:rPr>
          <w:color w:val="231F20"/>
          <w:spacing w:val="-8"/>
        </w:rPr>
        <w:t> </w:t>
      </w:r>
      <w:r>
        <w:rPr>
          <w:color w:val="231F20"/>
        </w:rPr>
        <w:t>утврђених</w:t>
      </w:r>
      <w:r>
        <w:rPr>
          <w:color w:val="231F20"/>
          <w:spacing w:val="-8"/>
        </w:rPr>
        <w:t> </w:t>
      </w:r>
      <w:r>
        <w:rPr>
          <w:color w:val="231F20"/>
          <w:spacing w:val="-3"/>
        </w:rPr>
        <w:t>услова</w:t>
      </w:r>
      <w:r>
        <w:rPr>
          <w:color w:val="231F20"/>
          <w:spacing w:val="-8"/>
        </w:rPr>
        <w:t> </w:t>
      </w:r>
      <w:r>
        <w:rPr>
          <w:color w:val="231F20"/>
        </w:rPr>
        <w:t>за</w:t>
      </w:r>
      <w:r>
        <w:rPr>
          <w:color w:val="231F20"/>
          <w:spacing w:val="-8"/>
        </w:rPr>
        <w:t> </w:t>
      </w:r>
      <w:r>
        <w:rPr>
          <w:color w:val="231F20"/>
          <w:spacing w:val="-3"/>
        </w:rPr>
        <w:t>преду- </w:t>
      </w:r>
      <w:r>
        <w:rPr>
          <w:color w:val="231F20"/>
          <w:spacing w:val="-2"/>
        </w:rPr>
        <w:t>зимање </w:t>
      </w:r>
      <w:r>
        <w:rPr>
          <w:color w:val="231F20"/>
        </w:rPr>
        <w:t>мера </w:t>
      </w:r>
      <w:r>
        <w:rPr>
          <w:color w:val="231F20"/>
          <w:spacing w:val="-3"/>
        </w:rPr>
        <w:t>техничке </w:t>
      </w:r>
      <w:r>
        <w:rPr>
          <w:color w:val="231F20"/>
        </w:rPr>
        <w:t>заштите и </w:t>
      </w:r>
      <w:r>
        <w:rPr>
          <w:color w:val="231F20"/>
          <w:spacing w:val="-3"/>
        </w:rPr>
        <w:t>сагласности </w:t>
      </w:r>
      <w:r>
        <w:rPr>
          <w:color w:val="231F20"/>
        </w:rPr>
        <w:t>на </w:t>
      </w:r>
      <w:r>
        <w:rPr>
          <w:color w:val="231F20"/>
          <w:spacing w:val="-3"/>
        </w:rPr>
        <w:t>техничку</w:t>
      </w:r>
      <w:r>
        <w:rPr>
          <w:color w:val="231F20"/>
          <w:spacing w:val="-25"/>
        </w:rPr>
        <w:t> </w:t>
      </w:r>
      <w:r>
        <w:rPr>
          <w:color w:val="231F20"/>
          <w:spacing w:val="-3"/>
        </w:rPr>
        <w:t>докумен- </w:t>
      </w:r>
      <w:r>
        <w:rPr>
          <w:color w:val="231F20"/>
          <w:spacing w:val="-4"/>
        </w:rPr>
        <w:t>тацију. </w:t>
      </w:r>
      <w:r>
        <w:rPr>
          <w:color w:val="231F20"/>
        </w:rPr>
        <w:t>Потребно је, </w:t>
      </w:r>
      <w:r>
        <w:rPr>
          <w:color w:val="231F20"/>
          <w:spacing w:val="-3"/>
        </w:rPr>
        <w:t>такође, </w:t>
      </w:r>
      <w:r>
        <w:rPr>
          <w:color w:val="231F20"/>
        </w:rPr>
        <w:t>да се за </w:t>
      </w:r>
      <w:r>
        <w:rPr>
          <w:color w:val="231F20"/>
          <w:spacing w:val="-3"/>
        </w:rPr>
        <w:t>овај </w:t>
      </w:r>
      <w:r>
        <w:rPr>
          <w:color w:val="231F20"/>
          <w:spacing w:val="-4"/>
        </w:rPr>
        <w:t>локалитет, </w:t>
      </w:r>
      <w:r>
        <w:rPr>
          <w:color w:val="231F20"/>
        </w:rPr>
        <w:t>у случају врше- ња</w:t>
      </w:r>
      <w:r>
        <w:rPr>
          <w:color w:val="231F20"/>
          <w:spacing w:val="-14"/>
        </w:rPr>
        <w:t> </w:t>
      </w:r>
      <w:r>
        <w:rPr>
          <w:color w:val="231F20"/>
        </w:rPr>
        <w:t>земљаних,</w:t>
      </w:r>
      <w:r>
        <w:rPr>
          <w:color w:val="231F20"/>
          <w:spacing w:val="-14"/>
        </w:rPr>
        <w:t> </w:t>
      </w:r>
      <w:r>
        <w:rPr>
          <w:color w:val="231F20"/>
        </w:rPr>
        <w:t>грађевинских</w:t>
      </w:r>
      <w:r>
        <w:rPr>
          <w:color w:val="231F20"/>
          <w:spacing w:val="-14"/>
        </w:rPr>
        <w:t> </w:t>
      </w:r>
      <w:r>
        <w:rPr>
          <w:color w:val="231F20"/>
        </w:rPr>
        <w:t>и</w:t>
      </w:r>
      <w:r>
        <w:rPr>
          <w:color w:val="231F20"/>
          <w:spacing w:val="-14"/>
        </w:rPr>
        <w:t> </w:t>
      </w:r>
      <w:r>
        <w:rPr>
          <w:color w:val="231F20"/>
        </w:rPr>
        <w:t>осталих</w:t>
      </w:r>
      <w:r>
        <w:rPr>
          <w:color w:val="231F20"/>
          <w:spacing w:val="-14"/>
        </w:rPr>
        <w:t> </w:t>
      </w:r>
      <w:r>
        <w:rPr>
          <w:color w:val="231F20"/>
          <w:spacing w:val="-3"/>
        </w:rPr>
        <w:t>радова,</w:t>
      </w:r>
      <w:r>
        <w:rPr>
          <w:color w:val="231F20"/>
          <w:spacing w:val="-14"/>
        </w:rPr>
        <w:t> </w:t>
      </w:r>
      <w:r>
        <w:rPr>
          <w:color w:val="231F20"/>
          <w:spacing w:val="-3"/>
        </w:rPr>
        <w:t>обезбеди</w:t>
      </w:r>
      <w:r>
        <w:rPr>
          <w:color w:val="231F20"/>
          <w:spacing w:val="-14"/>
        </w:rPr>
        <w:t> </w:t>
      </w:r>
      <w:r>
        <w:rPr>
          <w:color w:val="231F20"/>
          <w:spacing w:val="-3"/>
        </w:rPr>
        <w:t>археолошки </w:t>
      </w:r>
      <w:r>
        <w:rPr>
          <w:color w:val="231F20"/>
        </w:rPr>
        <w:t>надзор, истраживање, заштита, </w:t>
      </w:r>
      <w:r>
        <w:rPr>
          <w:color w:val="231F20"/>
          <w:spacing w:val="-3"/>
        </w:rPr>
        <w:t>чување, </w:t>
      </w:r>
      <w:r>
        <w:rPr>
          <w:color w:val="231F20"/>
          <w:spacing w:val="-4"/>
        </w:rPr>
        <w:t>публиковање </w:t>
      </w:r>
      <w:r>
        <w:rPr>
          <w:color w:val="231F20"/>
        </w:rPr>
        <w:t>и излагање, с </w:t>
      </w:r>
      <w:r>
        <w:rPr>
          <w:color w:val="231F20"/>
          <w:spacing w:val="-3"/>
        </w:rPr>
        <w:t>обзиром </w:t>
      </w:r>
      <w:r>
        <w:rPr>
          <w:color w:val="231F20"/>
        </w:rPr>
        <w:t>да </w:t>
      </w:r>
      <w:r>
        <w:rPr>
          <w:color w:val="231F20"/>
          <w:spacing w:val="-3"/>
        </w:rPr>
        <w:t>су категорисана као </w:t>
      </w:r>
      <w:r>
        <w:rPr>
          <w:color w:val="231F20"/>
        </w:rPr>
        <w:t>добра </w:t>
      </w:r>
      <w:r>
        <w:rPr>
          <w:color w:val="231F20"/>
          <w:spacing w:val="-4"/>
        </w:rPr>
        <w:t>која </w:t>
      </w:r>
      <w:r>
        <w:rPr>
          <w:color w:val="231F20"/>
          <w:spacing w:val="-3"/>
        </w:rPr>
        <w:t>уживају </w:t>
      </w:r>
      <w:r>
        <w:rPr>
          <w:color w:val="231F20"/>
          <w:spacing w:val="-4"/>
        </w:rPr>
        <w:t>претходну </w:t>
      </w:r>
      <w:r>
        <w:rPr>
          <w:color w:val="231F20"/>
        </w:rPr>
        <w:t>за- </w:t>
      </w:r>
      <w:r>
        <w:rPr>
          <w:color w:val="231F20"/>
          <w:spacing w:val="-6"/>
        </w:rPr>
        <w:t>штиту.</w:t>
      </w:r>
      <w:r>
        <w:rPr>
          <w:color w:val="231F20"/>
          <w:spacing w:val="-8"/>
        </w:rPr>
        <w:t> </w:t>
      </w:r>
      <w:r>
        <w:rPr>
          <w:color w:val="231F20"/>
          <w:spacing w:val="-4"/>
        </w:rPr>
        <w:t>Зато</w:t>
      </w:r>
      <w:r>
        <w:rPr>
          <w:color w:val="231F20"/>
          <w:spacing w:val="-8"/>
        </w:rPr>
        <w:t> </w:t>
      </w:r>
      <w:r>
        <w:rPr>
          <w:color w:val="231F20"/>
        </w:rPr>
        <w:t>програм</w:t>
      </w:r>
      <w:r>
        <w:rPr>
          <w:color w:val="231F20"/>
          <w:spacing w:val="-8"/>
        </w:rPr>
        <w:t> </w:t>
      </w:r>
      <w:r>
        <w:rPr>
          <w:color w:val="231F20"/>
        </w:rPr>
        <w:t>за</w:t>
      </w:r>
      <w:r>
        <w:rPr>
          <w:color w:val="231F20"/>
          <w:spacing w:val="-8"/>
        </w:rPr>
        <w:t> </w:t>
      </w:r>
      <w:r>
        <w:rPr>
          <w:color w:val="231F20"/>
        </w:rPr>
        <w:t>уређење</w:t>
      </w:r>
      <w:r>
        <w:rPr>
          <w:color w:val="231F20"/>
          <w:spacing w:val="-8"/>
        </w:rPr>
        <w:t> </w:t>
      </w:r>
      <w:r>
        <w:rPr>
          <w:color w:val="231F20"/>
        </w:rPr>
        <w:t>ове</w:t>
      </w:r>
      <w:r>
        <w:rPr>
          <w:color w:val="231F20"/>
          <w:spacing w:val="-8"/>
        </w:rPr>
        <w:t> </w:t>
      </w:r>
      <w:r>
        <w:rPr>
          <w:color w:val="231F20"/>
        </w:rPr>
        <w:t>зоне</w:t>
      </w:r>
      <w:r>
        <w:rPr>
          <w:color w:val="231F20"/>
          <w:spacing w:val="-8"/>
        </w:rPr>
        <w:t> </w:t>
      </w:r>
      <w:r>
        <w:rPr>
          <w:color w:val="231F20"/>
        </w:rPr>
        <w:t>треба</w:t>
      </w:r>
      <w:r>
        <w:rPr>
          <w:color w:val="231F20"/>
          <w:spacing w:val="-8"/>
        </w:rPr>
        <w:t> </w:t>
      </w:r>
      <w:r>
        <w:rPr>
          <w:color w:val="231F20"/>
        </w:rPr>
        <w:t>радити</w:t>
      </w:r>
      <w:r>
        <w:rPr>
          <w:color w:val="231F20"/>
          <w:spacing w:val="-8"/>
        </w:rPr>
        <w:t> </w:t>
      </w:r>
      <w:r>
        <w:rPr>
          <w:color w:val="231F20"/>
        </w:rPr>
        <w:t>у</w:t>
      </w:r>
      <w:r>
        <w:rPr>
          <w:color w:val="231F20"/>
          <w:spacing w:val="-8"/>
        </w:rPr>
        <w:t> </w:t>
      </w:r>
      <w:r>
        <w:rPr>
          <w:color w:val="231F20"/>
        </w:rPr>
        <w:t>сарадњи</w:t>
      </w:r>
      <w:r>
        <w:rPr>
          <w:color w:val="231F20"/>
          <w:spacing w:val="-8"/>
        </w:rPr>
        <w:t> </w:t>
      </w:r>
      <w:r>
        <w:rPr>
          <w:color w:val="231F20"/>
        </w:rPr>
        <w:t>са </w:t>
      </w:r>
      <w:r>
        <w:rPr>
          <w:color w:val="231F20"/>
          <w:spacing w:val="-4"/>
        </w:rPr>
        <w:t>Заводом </w:t>
      </w:r>
      <w:r>
        <w:rPr>
          <w:color w:val="231F20"/>
        </w:rPr>
        <w:t>за </w:t>
      </w:r>
      <w:r>
        <w:rPr>
          <w:color w:val="231F20"/>
          <w:spacing w:val="-3"/>
        </w:rPr>
        <w:t>заштиту споменика </w:t>
      </w:r>
      <w:r>
        <w:rPr>
          <w:color w:val="231F20"/>
          <w:spacing w:val="-4"/>
        </w:rPr>
        <w:t>културе Републике</w:t>
      </w:r>
      <w:r>
        <w:rPr>
          <w:color w:val="231F20"/>
          <w:spacing w:val="-9"/>
        </w:rPr>
        <w:t> </w:t>
      </w:r>
      <w:r>
        <w:rPr>
          <w:color w:val="231F20"/>
        </w:rPr>
        <w:t>Србије.</w:t>
      </w:r>
    </w:p>
    <w:p>
      <w:pPr>
        <w:pStyle w:val="BodyText"/>
        <w:spacing w:line="228" w:lineRule="auto" w:before="6"/>
        <w:ind w:left="174" w:right="38" w:firstLine="396"/>
      </w:pPr>
      <w:r>
        <w:rPr>
          <w:color w:val="231F20"/>
        </w:rPr>
        <w:t>Мере заштите и услови чувања археолошког локалитета Ру- кумија јесу:</w:t>
      </w:r>
    </w:p>
    <w:p>
      <w:pPr>
        <w:pStyle w:val="BodyText"/>
        <w:spacing w:line="232" w:lineRule="auto" w:before="2"/>
        <w:ind w:left="174" w:right="38" w:firstLine="397"/>
      </w:pPr>
      <w:r>
        <w:rPr>
          <w:color w:val="231F20"/>
          <w:w w:val="66"/>
        </w:rPr>
        <w:t> </w:t>
      </w:r>
      <w:r>
        <w:rPr>
          <w:color w:val="231F20"/>
        </w:rPr>
        <w:t>– проспекцијом и прелиминарним истражним радовима од- редити подручје простирања локалитета; то је предуслов за при- мену планираних мера заштите;</w:t>
      </w:r>
    </w:p>
    <w:p>
      <w:pPr>
        <w:pStyle w:val="BodyText"/>
        <w:spacing w:line="232" w:lineRule="auto" w:before="69"/>
        <w:ind w:right="408" w:firstLine="396"/>
      </w:pPr>
      <w:r>
        <w:rPr/>
        <w:br w:type="column"/>
      </w:r>
      <w:r>
        <w:rPr>
          <w:color w:val="231F20"/>
          <w:w w:val="66"/>
        </w:rPr>
        <w:t> </w:t>
      </w:r>
      <w:r>
        <w:rPr>
          <w:color w:val="231F20"/>
        </w:rPr>
        <w:t>– сакрална здања у рушевинама, где за то постоје могућно- сти, треба у целости обновити;</w:t>
      </w:r>
    </w:p>
    <w:p>
      <w:pPr>
        <w:pStyle w:val="BodyText"/>
        <w:spacing w:line="228" w:lineRule="auto"/>
        <w:ind w:right="407" w:firstLine="396"/>
      </w:pPr>
      <w:r>
        <w:rPr>
          <w:color w:val="231F20"/>
          <w:w w:val="66"/>
        </w:rPr>
        <w:t> </w:t>
      </w:r>
      <w:r>
        <w:rPr>
          <w:color w:val="231F20"/>
        </w:rPr>
        <w:t>– по правилу се избегава презентација археолошких остата- ка на отвореном простору (in sity), док је евентуална презентација остатака</w:t>
      </w:r>
      <w:r>
        <w:rPr>
          <w:color w:val="231F20"/>
          <w:spacing w:val="-6"/>
        </w:rPr>
        <w:t> </w:t>
      </w:r>
      <w:r>
        <w:rPr>
          <w:color w:val="231F20"/>
        </w:rPr>
        <w:t>евидентираних</w:t>
      </w:r>
      <w:r>
        <w:rPr>
          <w:color w:val="231F20"/>
          <w:spacing w:val="-6"/>
        </w:rPr>
        <w:t> </w:t>
      </w:r>
      <w:r>
        <w:rPr>
          <w:color w:val="231F20"/>
        </w:rPr>
        <w:t>и</w:t>
      </w:r>
      <w:r>
        <w:rPr>
          <w:color w:val="231F20"/>
          <w:spacing w:val="-6"/>
        </w:rPr>
        <w:t> </w:t>
      </w:r>
      <w:r>
        <w:rPr>
          <w:color w:val="231F20"/>
        </w:rPr>
        <w:t>фортификација</w:t>
      </w:r>
      <w:r>
        <w:rPr>
          <w:color w:val="231F20"/>
          <w:spacing w:val="-6"/>
        </w:rPr>
        <w:t> </w:t>
      </w:r>
      <w:r>
        <w:rPr>
          <w:color w:val="231F20"/>
          <w:spacing w:val="-3"/>
        </w:rPr>
        <w:t>које</w:t>
      </w:r>
      <w:r>
        <w:rPr>
          <w:color w:val="231F20"/>
          <w:spacing w:val="-6"/>
        </w:rPr>
        <w:t> </w:t>
      </w:r>
      <w:r>
        <w:rPr>
          <w:color w:val="231F20"/>
        </w:rPr>
        <w:t>ће</w:t>
      </w:r>
      <w:r>
        <w:rPr>
          <w:color w:val="231F20"/>
          <w:spacing w:val="-6"/>
        </w:rPr>
        <w:t> </w:t>
      </w:r>
      <w:r>
        <w:rPr>
          <w:color w:val="231F20"/>
        </w:rPr>
        <w:t>се</w:t>
      </w:r>
      <w:r>
        <w:rPr>
          <w:color w:val="231F20"/>
          <w:spacing w:val="-6"/>
        </w:rPr>
        <w:t> </w:t>
      </w:r>
      <w:r>
        <w:rPr>
          <w:color w:val="231F20"/>
        </w:rPr>
        <w:t>открити</w:t>
      </w:r>
      <w:r>
        <w:rPr>
          <w:color w:val="231F20"/>
          <w:spacing w:val="-6"/>
        </w:rPr>
        <w:t> </w:t>
      </w:r>
      <w:r>
        <w:rPr>
          <w:color w:val="231F20"/>
          <w:spacing w:val="-4"/>
        </w:rPr>
        <w:t>током </w:t>
      </w:r>
      <w:r>
        <w:rPr>
          <w:color w:val="231F20"/>
          <w:spacing w:val="-3"/>
        </w:rPr>
        <w:t>будућих </w:t>
      </w:r>
      <w:r>
        <w:rPr>
          <w:color w:val="231F20"/>
        </w:rPr>
        <w:t>истраживања могућа уз обимнија заштитна</w:t>
      </w:r>
      <w:r>
        <w:rPr>
          <w:color w:val="231F20"/>
          <w:spacing w:val="-17"/>
        </w:rPr>
        <w:t> </w:t>
      </w:r>
      <w:r>
        <w:rPr>
          <w:color w:val="231F20"/>
        </w:rPr>
        <w:t>надзиђивања;</w:t>
      </w:r>
    </w:p>
    <w:p>
      <w:pPr>
        <w:pStyle w:val="BodyText"/>
        <w:spacing w:line="228" w:lineRule="auto" w:before="3"/>
        <w:ind w:left="171" w:right="407" w:firstLine="396"/>
      </w:pPr>
      <w:r>
        <w:rPr>
          <w:color w:val="231F20"/>
          <w:w w:val="66"/>
        </w:rPr>
        <w:t> </w:t>
      </w:r>
      <w:r>
        <w:rPr>
          <w:color w:val="231F20"/>
        </w:rPr>
        <w:t>– ширење постојећег гробља у зони археолошког локалитета подлеже сагласности надлежног завода;</w:t>
      </w:r>
    </w:p>
    <w:p>
      <w:pPr>
        <w:pStyle w:val="BodyText"/>
        <w:spacing w:line="228" w:lineRule="auto" w:before="1"/>
        <w:ind w:left="171" w:right="407" w:firstLine="396"/>
      </w:pPr>
      <w:r>
        <w:rPr>
          <w:color w:val="231F20"/>
          <w:w w:val="66"/>
        </w:rPr>
        <w:t> </w:t>
      </w:r>
      <w:r>
        <w:rPr>
          <w:color w:val="231F20"/>
        </w:rPr>
        <w:t>–</w:t>
      </w:r>
      <w:r>
        <w:rPr>
          <w:color w:val="231F20"/>
          <w:spacing w:val="-4"/>
        </w:rPr>
        <w:t> </w:t>
      </w:r>
      <w:r>
        <w:rPr>
          <w:color w:val="231F20"/>
        </w:rPr>
        <w:t>археолошки</w:t>
      </w:r>
      <w:r>
        <w:rPr>
          <w:color w:val="231F20"/>
          <w:spacing w:val="-4"/>
        </w:rPr>
        <w:t> </w:t>
      </w:r>
      <w:r>
        <w:rPr>
          <w:color w:val="231F20"/>
        </w:rPr>
        <w:t>локалитет</w:t>
      </w:r>
      <w:r>
        <w:rPr>
          <w:color w:val="231F20"/>
          <w:spacing w:val="-4"/>
        </w:rPr>
        <w:t> </w:t>
      </w:r>
      <w:r>
        <w:rPr>
          <w:color w:val="231F20"/>
        </w:rPr>
        <w:t>се</w:t>
      </w:r>
      <w:r>
        <w:rPr>
          <w:color w:val="231F20"/>
          <w:spacing w:val="-4"/>
        </w:rPr>
        <w:t> </w:t>
      </w:r>
      <w:r>
        <w:rPr>
          <w:color w:val="231F20"/>
        </w:rPr>
        <w:t>не</w:t>
      </w:r>
      <w:r>
        <w:rPr>
          <w:color w:val="231F20"/>
          <w:spacing w:val="-4"/>
        </w:rPr>
        <w:t> </w:t>
      </w:r>
      <w:r>
        <w:rPr>
          <w:color w:val="231F20"/>
        </w:rPr>
        <w:t>сме</w:t>
      </w:r>
      <w:r>
        <w:rPr>
          <w:color w:val="231F20"/>
          <w:spacing w:val="-4"/>
        </w:rPr>
        <w:t> </w:t>
      </w:r>
      <w:r>
        <w:rPr>
          <w:color w:val="231F20"/>
        </w:rPr>
        <w:t>уништавати</w:t>
      </w:r>
      <w:r>
        <w:rPr>
          <w:color w:val="231F20"/>
          <w:spacing w:val="-4"/>
        </w:rPr>
        <w:t> </w:t>
      </w:r>
      <w:r>
        <w:rPr>
          <w:color w:val="231F20"/>
        </w:rPr>
        <w:t>и</w:t>
      </w:r>
      <w:r>
        <w:rPr>
          <w:color w:val="231F20"/>
          <w:spacing w:val="-4"/>
        </w:rPr>
        <w:t> </w:t>
      </w:r>
      <w:r>
        <w:rPr>
          <w:color w:val="231F20"/>
        </w:rPr>
        <w:t>на</w:t>
      </w:r>
      <w:r>
        <w:rPr>
          <w:color w:val="231F20"/>
          <w:spacing w:val="-4"/>
        </w:rPr>
        <w:t> </w:t>
      </w:r>
      <w:r>
        <w:rPr>
          <w:color w:val="231F20"/>
        </w:rPr>
        <w:t>њему</w:t>
      </w:r>
      <w:r>
        <w:rPr>
          <w:color w:val="231F20"/>
          <w:spacing w:val="-4"/>
        </w:rPr>
        <w:t> </w:t>
      </w:r>
      <w:r>
        <w:rPr>
          <w:color w:val="231F20"/>
        </w:rPr>
        <w:t>вр- шити неовлашћена прекопавања, ископавања и дубока заоравања (преко 30</w:t>
      </w:r>
      <w:r>
        <w:rPr>
          <w:color w:val="231F20"/>
          <w:spacing w:val="-1"/>
        </w:rPr>
        <w:t> </w:t>
      </w:r>
      <w:r>
        <w:rPr>
          <w:color w:val="231F20"/>
        </w:rPr>
        <w:t>cm);</w:t>
      </w:r>
    </w:p>
    <w:p>
      <w:pPr>
        <w:pStyle w:val="BodyText"/>
        <w:spacing w:line="228" w:lineRule="auto" w:before="2"/>
        <w:ind w:left="171" w:right="406" w:firstLine="396"/>
      </w:pPr>
      <w:r>
        <w:rPr>
          <w:color w:val="231F20"/>
          <w:w w:val="66"/>
        </w:rPr>
        <w:t> </w:t>
      </w:r>
      <w:r>
        <w:rPr>
          <w:color w:val="231F20"/>
        </w:rPr>
        <w:t>– у случају трајног уништавања или нарушавања археоло- шког локалитета због капиталних инвестиционих радова, спрово- ди се заштитно ископавање о трошку инвеститора;</w:t>
      </w:r>
    </w:p>
    <w:p>
      <w:pPr>
        <w:pStyle w:val="BodyText"/>
        <w:spacing w:line="228" w:lineRule="auto" w:before="2"/>
        <w:ind w:left="171" w:right="406" w:firstLine="396"/>
      </w:pPr>
      <w:r>
        <w:rPr>
          <w:color w:val="231F20"/>
          <w:w w:val="66"/>
        </w:rPr>
        <w:t> </w:t>
      </w:r>
      <w:r>
        <w:rPr>
          <w:color w:val="231F20"/>
        </w:rPr>
        <w:t>– на простору заштићене околине археолошког локалитета забрањује се изградња објеката, изузев инфраструктурних обје- ката од регионалног и локалног значаја предвиђених просторним или урбанистичким планом;</w:t>
      </w:r>
    </w:p>
    <w:p>
      <w:pPr>
        <w:pStyle w:val="BodyText"/>
        <w:spacing w:line="228" w:lineRule="auto" w:before="2"/>
        <w:ind w:left="172" w:right="405" w:firstLine="396"/>
      </w:pPr>
      <w:r>
        <w:rPr>
          <w:color w:val="231F20"/>
          <w:w w:val="66"/>
        </w:rPr>
        <w:t> </w:t>
      </w:r>
      <w:r>
        <w:rPr>
          <w:color w:val="231F20"/>
        </w:rPr>
        <w:t>– забрањено је постављање надземних далековода, док се за положај</w:t>
      </w:r>
      <w:r>
        <w:rPr>
          <w:color w:val="231F20"/>
          <w:spacing w:val="-10"/>
        </w:rPr>
        <w:t> </w:t>
      </w:r>
      <w:r>
        <w:rPr>
          <w:color w:val="231F20"/>
        </w:rPr>
        <w:t>трасе</w:t>
      </w:r>
      <w:r>
        <w:rPr>
          <w:color w:val="231F20"/>
          <w:spacing w:val="-10"/>
        </w:rPr>
        <w:t> </w:t>
      </w:r>
      <w:r>
        <w:rPr>
          <w:color w:val="231F20"/>
        </w:rPr>
        <w:t>и</w:t>
      </w:r>
      <w:r>
        <w:rPr>
          <w:color w:val="231F20"/>
          <w:spacing w:val="-10"/>
        </w:rPr>
        <w:t> </w:t>
      </w:r>
      <w:r>
        <w:rPr>
          <w:color w:val="231F20"/>
        </w:rPr>
        <w:t>извођење</w:t>
      </w:r>
      <w:r>
        <w:rPr>
          <w:color w:val="231F20"/>
          <w:spacing w:val="-10"/>
        </w:rPr>
        <w:t> </w:t>
      </w:r>
      <w:r>
        <w:rPr>
          <w:color w:val="231F20"/>
        </w:rPr>
        <w:t>подземних</w:t>
      </w:r>
      <w:r>
        <w:rPr>
          <w:color w:val="231F20"/>
          <w:spacing w:val="-10"/>
        </w:rPr>
        <w:t> </w:t>
      </w:r>
      <w:r>
        <w:rPr>
          <w:color w:val="231F20"/>
        </w:rPr>
        <w:t>електричних</w:t>
      </w:r>
      <w:r>
        <w:rPr>
          <w:color w:val="231F20"/>
          <w:spacing w:val="-10"/>
        </w:rPr>
        <w:t> </w:t>
      </w:r>
      <w:r>
        <w:rPr>
          <w:color w:val="231F20"/>
        </w:rPr>
        <w:t>водова</w:t>
      </w:r>
      <w:r>
        <w:rPr>
          <w:color w:val="231F20"/>
          <w:spacing w:val="-10"/>
        </w:rPr>
        <w:t> </w:t>
      </w:r>
      <w:r>
        <w:rPr>
          <w:color w:val="231F20"/>
        </w:rPr>
        <w:t>и</w:t>
      </w:r>
      <w:r>
        <w:rPr>
          <w:color w:val="231F20"/>
          <w:spacing w:val="-10"/>
        </w:rPr>
        <w:t> </w:t>
      </w:r>
      <w:r>
        <w:rPr>
          <w:color w:val="231F20"/>
        </w:rPr>
        <w:t>других инсталација (водовода, канализације, оптичких каблова) приба- вљају услови и сагласност надлежног завода за заштиту спомени- ка </w:t>
      </w:r>
      <w:r>
        <w:rPr>
          <w:color w:val="231F20"/>
          <w:spacing w:val="-3"/>
        </w:rPr>
        <w:t>културе </w:t>
      </w:r>
      <w:r>
        <w:rPr>
          <w:color w:val="231F20"/>
        </w:rPr>
        <w:t>и обезбеђује стални археолошки надзор у току извође- ња</w:t>
      </w:r>
      <w:r>
        <w:rPr>
          <w:color w:val="231F20"/>
          <w:spacing w:val="-2"/>
        </w:rPr>
        <w:t> </w:t>
      </w:r>
      <w:r>
        <w:rPr>
          <w:color w:val="231F20"/>
        </w:rPr>
        <w:t>радова;</w:t>
      </w:r>
    </w:p>
    <w:p>
      <w:pPr>
        <w:pStyle w:val="BodyText"/>
        <w:spacing w:line="228" w:lineRule="auto" w:before="4"/>
        <w:ind w:left="172" w:right="405" w:firstLine="397"/>
      </w:pPr>
      <w:r>
        <w:rPr>
          <w:color w:val="231F20"/>
          <w:w w:val="66"/>
        </w:rPr>
        <w:t> </w:t>
      </w:r>
      <w:r>
        <w:rPr>
          <w:color w:val="231F20"/>
        </w:rPr>
        <w:t>– у непосредној околини заштићене околине археолошког локалитета инвестициони радови спроводе се уз повећане мере опреза и обезбеђење археолошког надзора;</w:t>
      </w:r>
    </w:p>
    <w:p>
      <w:pPr>
        <w:pStyle w:val="BodyText"/>
        <w:spacing w:line="228" w:lineRule="auto" w:before="2"/>
        <w:ind w:left="172" w:right="405" w:firstLine="396"/>
      </w:pPr>
      <w:r>
        <w:rPr>
          <w:color w:val="231F20"/>
          <w:w w:val="66"/>
        </w:rPr>
        <w:t> </w:t>
      </w:r>
      <w:r>
        <w:rPr>
          <w:color w:val="231F20"/>
        </w:rPr>
        <w:t>– </w:t>
      </w:r>
      <w:r>
        <w:rPr>
          <w:color w:val="231F20"/>
          <w:spacing w:val="-4"/>
        </w:rPr>
        <w:t>уколико </w:t>
      </w:r>
      <w:r>
        <w:rPr>
          <w:color w:val="231F20"/>
        </w:rPr>
        <w:t>се </w:t>
      </w:r>
      <w:r>
        <w:rPr>
          <w:color w:val="231F20"/>
          <w:spacing w:val="-4"/>
        </w:rPr>
        <w:t>током </w:t>
      </w:r>
      <w:r>
        <w:rPr>
          <w:color w:val="231F20"/>
        </w:rPr>
        <w:t>радова наиђе на археолошке предмете из- вођач радова је дужан да одмах, без одлагања, прекине радове и обавести надлежни завод за заштиту споменика </w:t>
      </w:r>
      <w:r>
        <w:rPr>
          <w:color w:val="231F20"/>
          <w:spacing w:val="-3"/>
        </w:rPr>
        <w:t>културе </w:t>
      </w:r>
      <w:r>
        <w:rPr>
          <w:color w:val="231F20"/>
        </w:rPr>
        <w:t>и да пре- дузме мере да се налаз не уништи и не оштети, те да се сачува на месту и у положају у </w:t>
      </w:r>
      <w:r>
        <w:rPr>
          <w:color w:val="231F20"/>
          <w:spacing w:val="-4"/>
        </w:rPr>
        <w:t>коме </w:t>
      </w:r>
      <w:r>
        <w:rPr>
          <w:color w:val="231F20"/>
        </w:rPr>
        <w:t>је откривен; и</w:t>
      </w:r>
    </w:p>
    <w:p>
      <w:pPr>
        <w:pStyle w:val="BodyText"/>
        <w:spacing w:line="228" w:lineRule="auto" w:before="3"/>
        <w:ind w:left="173" w:right="405" w:firstLine="396"/>
      </w:pPr>
      <w:r>
        <w:rPr>
          <w:color w:val="231F20"/>
          <w:w w:val="66"/>
        </w:rPr>
        <w:t> </w:t>
      </w:r>
      <w:r>
        <w:rPr>
          <w:color w:val="231F20"/>
        </w:rPr>
        <w:t>– забрањује се неовлашћено прикупљање покретних архео- лошких површинских налаза.</w:t>
      </w:r>
    </w:p>
    <w:p>
      <w:pPr>
        <w:pStyle w:val="BodyText"/>
        <w:spacing w:line="228" w:lineRule="auto" w:before="2"/>
        <w:ind w:left="173" w:right="405" w:firstLine="396"/>
      </w:pPr>
      <w:r>
        <w:rPr>
          <w:color w:val="231F20"/>
        </w:rPr>
        <w:t>Правила изградње и уређења простора археолошког локали- тета Рукумија:</w:t>
      </w:r>
    </w:p>
    <w:p>
      <w:pPr>
        <w:pStyle w:val="BodyText"/>
        <w:spacing w:line="228" w:lineRule="auto" w:before="1"/>
        <w:ind w:left="173" w:right="404" w:firstLine="396"/>
      </w:pPr>
      <w:r>
        <w:rPr>
          <w:color w:val="231F20"/>
        </w:rPr>
        <w:t>На </w:t>
      </w:r>
      <w:r>
        <w:rPr>
          <w:color w:val="231F20"/>
          <w:spacing w:val="-3"/>
        </w:rPr>
        <w:t>археолошком </w:t>
      </w:r>
      <w:r>
        <w:rPr>
          <w:color w:val="231F20"/>
        </w:rPr>
        <w:t>локалитету потребно је пре предузимања било каквих земљаних радова тражити посебне услове заштите </w:t>
      </w:r>
      <w:r>
        <w:rPr>
          <w:color w:val="231F20"/>
          <w:spacing w:val="-3"/>
        </w:rPr>
        <w:t>од </w:t>
      </w:r>
      <w:r>
        <w:rPr>
          <w:color w:val="231F20"/>
        </w:rPr>
        <w:t>надлежног завода за заштиту споменика културе. На локалитету извођење грађевинских радова и изградња инфраструктуре дозво- љена је само уз претходно прибављање појединачних мера зашти- те и обезбеђивање заштитних археолошких ископавања, праћења радова</w:t>
      </w:r>
      <w:r>
        <w:rPr>
          <w:color w:val="231F20"/>
          <w:spacing w:val="-7"/>
        </w:rPr>
        <w:t> </w:t>
      </w:r>
      <w:r>
        <w:rPr>
          <w:color w:val="231F20"/>
        </w:rPr>
        <w:t>и</w:t>
      </w:r>
      <w:r>
        <w:rPr>
          <w:color w:val="231F20"/>
          <w:spacing w:val="-7"/>
        </w:rPr>
        <w:t> </w:t>
      </w:r>
      <w:r>
        <w:rPr>
          <w:color w:val="231F20"/>
        </w:rPr>
        <w:t>одговарајуће</w:t>
      </w:r>
      <w:r>
        <w:rPr>
          <w:color w:val="231F20"/>
          <w:spacing w:val="-7"/>
        </w:rPr>
        <w:t> </w:t>
      </w:r>
      <w:r>
        <w:rPr>
          <w:color w:val="231F20"/>
        </w:rPr>
        <w:t>презентације</w:t>
      </w:r>
      <w:r>
        <w:rPr>
          <w:color w:val="231F20"/>
          <w:spacing w:val="-7"/>
        </w:rPr>
        <w:t> </w:t>
      </w:r>
      <w:r>
        <w:rPr>
          <w:color w:val="231F20"/>
        </w:rPr>
        <w:t>налаза.</w:t>
      </w:r>
      <w:r>
        <w:rPr>
          <w:color w:val="231F20"/>
          <w:spacing w:val="-7"/>
        </w:rPr>
        <w:t> </w:t>
      </w:r>
      <w:r>
        <w:rPr>
          <w:color w:val="231F20"/>
        </w:rPr>
        <w:t>Мере</w:t>
      </w:r>
      <w:r>
        <w:rPr>
          <w:color w:val="231F20"/>
          <w:spacing w:val="-7"/>
        </w:rPr>
        <w:t> </w:t>
      </w:r>
      <w:r>
        <w:rPr>
          <w:color w:val="231F20"/>
        </w:rPr>
        <w:t>заштите</w:t>
      </w:r>
      <w:r>
        <w:rPr>
          <w:color w:val="231F20"/>
          <w:spacing w:val="-7"/>
        </w:rPr>
        <w:t> </w:t>
      </w:r>
      <w:r>
        <w:rPr>
          <w:color w:val="231F20"/>
        </w:rPr>
        <w:t>укључу- ју</w:t>
      </w:r>
      <w:r>
        <w:rPr>
          <w:color w:val="231F20"/>
          <w:spacing w:val="-7"/>
        </w:rPr>
        <w:t> </w:t>
      </w:r>
      <w:r>
        <w:rPr>
          <w:color w:val="231F20"/>
        </w:rPr>
        <w:t>археолошку</w:t>
      </w:r>
      <w:r>
        <w:rPr>
          <w:color w:val="231F20"/>
          <w:spacing w:val="-7"/>
        </w:rPr>
        <w:t> </w:t>
      </w:r>
      <w:r>
        <w:rPr>
          <w:color w:val="231F20"/>
        </w:rPr>
        <w:t>контролу</w:t>
      </w:r>
      <w:r>
        <w:rPr>
          <w:color w:val="231F20"/>
          <w:spacing w:val="-7"/>
        </w:rPr>
        <w:t> </w:t>
      </w:r>
      <w:r>
        <w:rPr>
          <w:color w:val="231F20"/>
          <w:spacing w:val="-3"/>
        </w:rPr>
        <w:t>приликом</w:t>
      </w:r>
      <w:r>
        <w:rPr>
          <w:color w:val="231F20"/>
          <w:spacing w:val="-7"/>
        </w:rPr>
        <w:t> </w:t>
      </w:r>
      <w:r>
        <w:rPr>
          <w:color w:val="231F20"/>
        </w:rPr>
        <w:t>земљаних</w:t>
      </w:r>
      <w:r>
        <w:rPr>
          <w:color w:val="231F20"/>
          <w:spacing w:val="-7"/>
        </w:rPr>
        <w:t> </w:t>
      </w:r>
      <w:r>
        <w:rPr>
          <w:color w:val="231F20"/>
        </w:rPr>
        <w:t>радова,</w:t>
      </w:r>
      <w:r>
        <w:rPr>
          <w:color w:val="231F20"/>
          <w:spacing w:val="-7"/>
        </w:rPr>
        <w:t> </w:t>
      </w:r>
      <w:r>
        <w:rPr>
          <w:color w:val="231F20"/>
        </w:rPr>
        <w:t>што</w:t>
      </w:r>
      <w:r>
        <w:rPr>
          <w:color w:val="231F20"/>
          <w:spacing w:val="-7"/>
        </w:rPr>
        <w:t> </w:t>
      </w:r>
      <w:r>
        <w:rPr>
          <w:color w:val="231F20"/>
        </w:rPr>
        <w:t>подразу- мева благовремено обавештавање надлежног завода за заштиту о планираним</w:t>
      </w:r>
      <w:r>
        <w:rPr>
          <w:color w:val="231F20"/>
          <w:spacing w:val="-2"/>
        </w:rPr>
        <w:t> </w:t>
      </w:r>
      <w:r>
        <w:rPr>
          <w:color w:val="231F20"/>
        </w:rPr>
        <w:t>радовима.</w:t>
      </w:r>
    </w:p>
    <w:p>
      <w:pPr>
        <w:pStyle w:val="BodyText"/>
        <w:spacing w:line="228" w:lineRule="auto" w:before="7"/>
        <w:ind w:left="173" w:right="404" w:firstLine="396"/>
      </w:pPr>
      <w:r>
        <w:rPr>
          <w:color w:val="231F20"/>
        </w:rPr>
        <w:t>Приоритет у археолошким истраживањима има простор који је резервисан за проширење сеоског гробља.</w:t>
      </w:r>
    </w:p>
    <w:p>
      <w:pPr>
        <w:pStyle w:val="BodyText"/>
        <w:spacing w:line="195" w:lineRule="exact"/>
        <w:ind w:left="570"/>
        <w:jc w:val="left"/>
      </w:pPr>
      <w:r>
        <w:rPr>
          <w:color w:val="231F20"/>
        </w:rPr>
        <w:t>Уређење гробља реализовати на следећим принципима:</w:t>
      </w:r>
    </w:p>
    <w:p>
      <w:pPr>
        <w:pStyle w:val="BodyText"/>
        <w:spacing w:line="228" w:lineRule="auto" w:before="3"/>
        <w:ind w:left="173" w:right="404" w:firstLine="396"/>
      </w:pPr>
      <w:r>
        <w:rPr>
          <w:color w:val="231F20"/>
          <w:w w:val="66"/>
        </w:rPr>
        <w:t> </w:t>
      </w:r>
      <w:r>
        <w:rPr>
          <w:color w:val="231F20"/>
        </w:rPr>
        <w:t>– гробље уредити као ограђену површину за сахрањивање, уз формирање појаса заштитног зеленила изван ограђених повр- шина;</w:t>
      </w:r>
    </w:p>
    <w:p>
      <w:pPr>
        <w:pStyle w:val="BodyText"/>
        <w:spacing w:line="228" w:lineRule="auto" w:before="2"/>
        <w:ind w:left="173" w:right="404" w:firstLine="396"/>
      </w:pPr>
      <w:r>
        <w:rPr>
          <w:color w:val="231F20"/>
          <w:w w:val="66"/>
        </w:rPr>
        <w:t> </w:t>
      </w:r>
      <w:r>
        <w:rPr>
          <w:color w:val="231F20"/>
        </w:rPr>
        <w:t>– за потребе паркирања изван ограђеног дела </w:t>
      </w:r>
      <w:r>
        <w:rPr>
          <w:color w:val="231F20"/>
          <w:spacing w:val="-3"/>
        </w:rPr>
        <w:t>комплекса </w:t>
      </w:r>
      <w:r>
        <w:rPr>
          <w:color w:val="231F20"/>
        </w:rPr>
        <w:t>уре- дити паркинг – простор; у склопу уређеног паркинга предвиђа се постављање контејнера за чврсти отпад;</w:t>
      </w:r>
    </w:p>
    <w:p>
      <w:pPr>
        <w:pStyle w:val="BodyText"/>
        <w:spacing w:line="228" w:lineRule="auto" w:before="2"/>
        <w:ind w:left="174" w:right="404" w:firstLine="396"/>
      </w:pPr>
      <w:r>
        <w:rPr>
          <w:color w:val="231F20"/>
          <w:w w:val="66"/>
        </w:rPr>
        <w:t> </w:t>
      </w:r>
      <w:r>
        <w:rPr>
          <w:color w:val="231F20"/>
        </w:rPr>
        <w:t>– интерне саобраћајнице треба да омогуће кретање возила за сахрањивање, а стазе између парцела на гробљу не смеју да буду уже од 1,5 m; све стазе и саобраћајне површине морају бити изве- дене без просторних баријера за кретање особа са инвалидитетом;</w:t>
      </w:r>
    </w:p>
    <w:p>
      <w:pPr>
        <w:pStyle w:val="BodyText"/>
        <w:spacing w:line="228" w:lineRule="auto" w:before="3"/>
        <w:ind w:left="174" w:right="403" w:firstLine="396"/>
      </w:pPr>
      <w:r>
        <w:rPr>
          <w:color w:val="231F20"/>
          <w:w w:val="66"/>
        </w:rPr>
        <w:t> </w:t>
      </w:r>
      <w:r>
        <w:rPr>
          <w:color w:val="231F20"/>
        </w:rPr>
        <w:t>– у оквиру ограђеног простора гробља могућа је изградња наменског објекта;</w:t>
      </w:r>
    </w:p>
    <w:p>
      <w:pPr>
        <w:pStyle w:val="BodyText"/>
        <w:spacing w:line="228" w:lineRule="auto" w:before="1"/>
        <w:ind w:left="174" w:right="403" w:firstLine="397"/>
      </w:pPr>
      <w:r>
        <w:rPr>
          <w:color w:val="231F20"/>
          <w:w w:val="66"/>
        </w:rPr>
        <w:t> </w:t>
      </w:r>
      <w:r>
        <w:rPr>
          <w:color w:val="231F20"/>
        </w:rPr>
        <w:t>– ниво комуналне опремљености одређује се у складу са ло- калним условима и према опредељењу локалне заједнице, а мини- мално се обезбеђује јавна чесма;</w:t>
      </w:r>
    </w:p>
    <w:p>
      <w:pPr>
        <w:pStyle w:val="BodyText"/>
        <w:spacing w:line="228" w:lineRule="auto" w:before="2"/>
        <w:ind w:left="174" w:right="403" w:firstLine="396"/>
      </w:pPr>
      <w:r>
        <w:rPr>
          <w:color w:val="231F20"/>
          <w:w w:val="66"/>
        </w:rPr>
        <w:t> </w:t>
      </w:r>
      <w:r>
        <w:rPr>
          <w:color w:val="231F20"/>
        </w:rPr>
        <w:t>– </w:t>
      </w:r>
      <w:r>
        <w:rPr>
          <w:color w:val="231F20"/>
          <w:spacing w:val="-3"/>
        </w:rPr>
        <w:t>приликом </w:t>
      </w:r>
      <w:r>
        <w:rPr>
          <w:color w:val="231F20"/>
        </w:rPr>
        <w:t>озелењавања избор врста прилагодити микро- климатским</w:t>
      </w:r>
      <w:r>
        <w:rPr>
          <w:color w:val="231F20"/>
          <w:spacing w:val="-10"/>
        </w:rPr>
        <w:t> </w:t>
      </w:r>
      <w:r>
        <w:rPr>
          <w:color w:val="231F20"/>
        </w:rPr>
        <w:t>карактеристикама</w:t>
      </w:r>
      <w:r>
        <w:rPr>
          <w:color w:val="231F20"/>
          <w:spacing w:val="-10"/>
        </w:rPr>
        <w:t> </w:t>
      </w:r>
      <w:r>
        <w:rPr>
          <w:color w:val="231F20"/>
        </w:rPr>
        <w:t>локације,</w:t>
      </w:r>
      <w:r>
        <w:rPr>
          <w:color w:val="231F20"/>
          <w:spacing w:val="-10"/>
        </w:rPr>
        <w:t> </w:t>
      </w:r>
      <w:r>
        <w:rPr>
          <w:color w:val="231F20"/>
        </w:rPr>
        <w:t>а</w:t>
      </w:r>
      <w:r>
        <w:rPr>
          <w:color w:val="231F20"/>
          <w:spacing w:val="-10"/>
        </w:rPr>
        <w:t> </w:t>
      </w:r>
      <w:r>
        <w:rPr>
          <w:color w:val="231F20"/>
        </w:rPr>
        <w:t>што,</w:t>
      </w:r>
      <w:r>
        <w:rPr>
          <w:color w:val="231F20"/>
          <w:spacing w:val="-10"/>
        </w:rPr>
        <w:t> </w:t>
      </w:r>
      <w:r>
        <w:rPr>
          <w:color w:val="231F20"/>
        </w:rPr>
        <w:t>пре</w:t>
      </w:r>
      <w:r>
        <w:rPr>
          <w:color w:val="231F20"/>
          <w:spacing w:val="-10"/>
        </w:rPr>
        <w:t> </w:t>
      </w:r>
      <w:r>
        <w:rPr>
          <w:color w:val="231F20"/>
        </w:rPr>
        <w:t>свега,</w:t>
      </w:r>
      <w:r>
        <w:rPr>
          <w:color w:val="231F20"/>
          <w:spacing w:val="-10"/>
        </w:rPr>
        <w:t> </w:t>
      </w:r>
      <w:r>
        <w:rPr>
          <w:color w:val="231F20"/>
        </w:rPr>
        <w:t>подразу- мева коришћење </w:t>
      </w:r>
      <w:r>
        <w:rPr>
          <w:color w:val="231F20"/>
          <w:spacing w:val="-3"/>
        </w:rPr>
        <w:t>аутохтоних </w:t>
      </w:r>
      <w:r>
        <w:rPr>
          <w:color w:val="231F20"/>
        </w:rPr>
        <w:t>врста;</w:t>
      </w:r>
    </w:p>
    <w:p>
      <w:pPr>
        <w:pStyle w:val="BodyText"/>
        <w:spacing w:line="228" w:lineRule="auto" w:before="2"/>
        <w:ind w:left="175" w:right="403" w:firstLine="396"/>
      </w:pPr>
      <w:r>
        <w:rPr>
          <w:color w:val="231F20"/>
          <w:w w:val="66"/>
        </w:rPr>
        <w:t> </w:t>
      </w:r>
      <w:r>
        <w:rPr>
          <w:color w:val="231F20"/>
        </w:rPr>
        <w:t>– за озелењавaње предвидети врсте са дужим вегетационим периодом и слабо развијеним кореновим системом како би се ис- кључила могућност уништавања надгробних обележја; и</w:t>
      </w:r>
    </w:p>
    <w:p>
      <w:pPr>
        <w:pStyle w:val="BodyText"/>
        <w:spacing w:line="228" w:lineRule="auto" w:before="2"/>
        <w:ind w:left="175" w:right="403" w:firstLine="396"/>
      </w:pPr>
      <w:r>
        <w:rPr>
          <w:color w:val="231F20"/>
          <w:w w:val="66"/>
        </w:rPr>
        <w:t> </w:t>
      </w:r>
      <w:r>
        <w:rPr>
          <w:color w:val="231F20"/>
        </w:rPr>
        <w:t>– предвидети хумизирање свих површина предвиђених за озелењавање.</w:t>
      </w:r>
    </w:p>
    <w:p>
      <w:pPr>
        <w:pStyle w:val="ListParagraph"/>
        <w:numPr>
          <w:ilvl w:val="0"/>
          <w:numId w:val="81"/>
        </w:numPr>
        <w:tabs>
          <w:tab w:pos="767" w:val="left" w:leader="none"/>
        </w:tabs>
        <w:spacing w:line="197" w:lineRule="exact" w:before="0" w:after="0"/>
        <w:ind w:left="766" w:right="0" w:hanging="195"/>
        <w:jc w:val="left"/>
        <w:rPr>
          <w:sz w:val="18"/>
        </w:rPr>
      </w:pPr>
      <w:r>
        <w:rPr>
          <w:color w:val="231F20"/>
          <w:sz w:val="18"/>
        </w:rPr>
        <w:t>Етнопарк</w:t>
      </w:r>
    </w:p>
    <w:p>
      <w:pPr>
        <w:pStyle w:val="BodyText"/>
        <w:spacing w:line="232" w:lineRule="auto" w:before="2"/>
        <w:ind w:left="174" w:right="403" w:firstLine="397"/>
      </w:pPr>
      <w:r>
        <w:rPr>
          <w:color w:val="231F20"/>
        </w:rPr>
        <w:t>Формирање етнопарка је планирано на пропланку северно </w:t>
      </w:r>
      <w:r>
        <w:rPr>
          <w:color w:val="231F20"/>
          <w:spacing w:val="-3"/>
        </w:rPr>
        <w:t>од комплекса </w:t>
      </w:r>
      <w:r>
        <w:rPr>
          <w:color w:val="231F20"/>
        </w:rPr>
        <w:t>манастира. Етнопарк ће бити конципиран </w:t>
      </w:r>
      <w:r>
        <w:rPr>
          <w:color w:val="231F20"/>
          <w:spacing w:val="-3"/>
        </w:rPr>
        <w:t>тако </w:t>
      </w:r>
      <w:r>
        <w:rPr>
          <w:color w:val="231F20"/>
        </w:rPr>
        <w:t>да</w:t>
      </w:r>
      <w:r>
        <w:rPr>
          <w:color w:val="231F20"/>
          <w:spacing w:val="41"/>
        </w:rPr>
        <w:t> </w:t>
      </w:r>
      <w:r>
        <w:rPr>
          <w:color w:val="231F20"/>
        </w:rPr>
        <w:t>се</w:t>
      </w:r>
    </w:p>
    <w:p>
      <w:pPr>
        <w:spacing w:after="0" w:line="232" w:lineRule="auto"/>
        <w:sectPr>
          <w:pgSz w:w="12480" w:h="15690"/>
          <w:pgMar w:top="120" w:bottom="280" w:left="680" w:right="720"/>
          <w:cols w:num="2" w:equalWidth="0">
            <w:col w:w="5317" w:space="72"/>
            <w:col w:w="5691"/>
          </w:cols>
        </w:sectPr>
      </w:pPr>
    </w:p>
    <w:p>
      <w:pPr>
        <w:pStyle w:val="BodyText"/>
        <w:spacing w:line="232" w:lineRule="auto" w:before="73"/>
        <w:ind w:left="453" w:right="1"/>
      </w:pPr>
      <w:r>
        <w:rPr/>
        <w:pict>
          <v:line style="position:absolute;mso-position-horizontal-relative:page;mso-position-vertical-relative:page;z-index:5008" from="318.897614pt,11.942451pt" to="318.897614pt,748.950451pt" stroked="true" strokeweight=".6pt" strokecolor="#231f20">
            <v:stroke dashstyle="solid"/>
            <w10:wrap type="none"/>
          </v:line>
        </w:pict>
      </w:r>
      <w:r>
        <w:rPr>
          <w:color w:val="231F20"/>
        </w:rPr>
        <w:t>састоји из групације објеката народног градитељства, по могућ- ству аутентичних, односно пренесених са места на којима су се првобитно налазили, са циљем да се сачува и што верније при- каже народна архитектура овог подручја, угрожена брзим проме- нама као последице индустријализације и урбанизације. Уколико се граде нови објекти, треба их конципирати тако да максимално користе елементе локалног градитељског наслеђа као и еколошки прихватљиве грађевинске материјале, пре свега дрво. Пожељно је приказати традиционални начин уређења сеоских дворишта, воћ- њака и пољопривредних површина у непосредном окружењу.</w:t>
      </w:r>
    </w:p>
    <w:p>
      <w:pPr>
        <w:pStyle w:val="BodyText"/>
        <w:spacing w:line="232" w:lineRule="auto"/>
        <w:ind w:left="454" w:right="1" w:firstLine="396"/>
      </w:pPr>
      <w:r>
        <w:rPr>
          <w:color w:val="231F20"/>
        </w:rPr>
        <w:t>Формирање етнопарка – музеја народне културе на отворе- ном простору подразумева садржаје који промовишу локални, на- ционални и регионални идентитет подручја.</w:t>
      </w:r>
    </w:p>
    <w:p>
      <w:pPr>
        <w:pStyle w:val="BodyText"/>
        <w:spacing w:line="232" w:lineRule="auto"/>
        <w:ind w:left="454" w:right="1" w:firstLine="396"/>
      </w:pPr>
      <w:r>
        <w:rPr>
          <w:color w:val="231F20"/>
        </w:rPr>
        <w:t>Изградњу и уређење етнопарка реализовати на следећим принципима:</w:t>
      </w:r>
    </w:p>
    <w:p>
      <w:pPr>
        <w:pStyle w:val="BodyText"/>
        <w:spacing w:line="232" w:lineRule="auto"/>
        <w:ind w:left="453" w:right="1" w:firstLine="397"/>
      </w:pPr>
      <w:r>
        <w:rPr>
          <w:color w:val="231F20"/>
          <w:w w:val="66"/>
        </w:rPr>
        <w:t> </w:t>
      </w:r>
      <w:r>
        <w:rPr>
          <w:color w:val="231F20"/>
        </w:rPr>
        <w:t>– објекти у оквиру етнопарка треба да </w:t>
      </w:r>
      <w:r>
        <w:rPr>
          <w:color w:val="231F20"/>
          <w:spacing w:val="-5"/>
        </w:rPr>
        <w:t>буду </w:t>
      </w:r>
      <w:r>
        <w:rPr>
          <w:color w:val="231F20"/>
        </w:rPr>
        <w:t>привременог ка- рактера,</w:t>
      </w:r>
      <w:r>
        <w:rPr>
          <w:color w:val="231F20"/>
          <w:spacing w:val="-5"/>
        </w:rPr>
        <w:t> </w:t>
      </w:r>
      <w:r>
        <w:rPr>
          <w:color w:val="231F20"/>
        </w:rPr>
        <w:t>с</w:t>
      </w:r>
      <w:r>
        <w:rPr>
          <w:color w:val="231F20"/>
          <w:spacing w:val="-5"/>
        </w:rPr>
        <w:t> </w:t>
      </w:r>
      <w:r>
        <w:rPr>
          <w:color w:val="231F20"/>
        </w:rPr>
        <w:t>обзиром</w:t>
      </w:r>
      <w:r>
        <w:rPr>
          <w:color w:val="231F20"/>
          <w:spacing w:val="-5"/>
        </w:rPr>
        <w:t> </w:t>
      </w:r>
      <w:r>
        <w:rPr>
          <w:color w:val="231F20"/>
        </w:rPr>
        <w:t>да</w:t>
      </w:r>
      <w:r>
        <w:rPr>
          <w:color w:val="231F20"/>
          <w:spacing w:val="-5"/>
        </w:rPr>
        <w:t> </w:t>
      </w:r>
      <w:r>
        <w:rPr>
          <w:color w:val="231F20"/>
        </w:rPr>
        <w:t>је</w:t>
      </w:r>
      <w:r>
        <w:rPr>
          <w:color w:val="231F20"/>
          <w:spacing w:val="-5"/>
        </w:rPr>
        <w:t> </w:t>
      </w:r>
      <w:r>
        <w:rPr>
          <w:color w:val="231F20"/>
        </w:rPr>
        <w:t>овај</w:t>
      </w:r>
      <w:r>
        <w:rPr>
          <w:color w:val="231F20"/>
          <w:spacing w:val="-5"/>
        </w:rPr>
        <w:t> </w:t>
      </w:r>
      <w:r>
        <w:rPr>
          <w:color w:val="231F20"/>
        </w:rPr>
        <w:t>простор</w:t>
      </w:r>
      <w:r>
        <w:rPr>
          <w:color w:val="231F20"/>
          <w:spacing w:val="-5"/>
        </w:rPr>
        <w:t> </w:t>
      </w:r>
      <w:r>
        <w:rPr>
          <w:color w:val="231F20"/>
        </w:rPr>
        <w:t>резервисан</w:t>
      </w:r>
      <w:r>
        <w:rPr>
          <w:color w:val="231F20"/>
          <w:spacing w:val="-5"/>
        </w:rPr>
        <w:t> </w:t>
      </w:r>
      <w:r>
        <w:rPr>
          <w:color w:val="231F20"/>
        </w:rPr>
        <w:t>за</w:t>
      </w:r>
      <w:r>
        <w:rPr>
          <w:color w:val="231F20"/>
          <w:spacing w:val="-5"/>
        </w:rPr>
        <w:t> </w:t>
      </w:r>
      <w:r>
        <w:rPr>
          <w:color w:val="231F20"/>
          <w:spacing w:val="-4"/>
        </w:rPr>
        <w:t>будућу</w:t>
      </w:r>
      <w:r>
        <w:rPr>
          <w:color w:val="231F20"/>
          <w:spacing w:val="-5"/>
        </w:rPr>
        <w:t> </w:t>
      </w:r>
      <w:r>
        <w:rPr>
          <w:color w:val="231F20"/>
        </w:rPr>
        <w:t>експло- атацију</w:t>
      </w:r>
      <w:r>
        <w:rPr>
          <w:color w:val="231F20"/>
          <w:spacing w:val="-1"/>
        </w:rPr>
        <w:t> </w:t>
      </w:r>
      <w:r>
        <w:rPr>
          <w:color w:val="231F20"/>
        </w:rPr>
        <w:t>угља;</w:t>
      </w:r>
    </w:p>
    <w:p>
      <w:pPr>
        <w:pStyle w:val="BodyText"/>
        <w:spacing w:line="232" w:lineRule="auto"/>
        <w:ind w:left="454" w:right="1" w:firstLine="396"/>
      </w:pPr>
      <w:r>
        <w:rPr>
          <w:color w:val="231F20"/>
          <w:w w:val="66"/>
        </w:rPr>
        <w:t> </w:t>
      </w:r>
      <w:r>
        <w:rPr>
          <w:color w:val="231F20"/>
        </w:rPr>
        <w:t>– предвидети лаке, монтажне објекте који су усклађени са карактером амбијента и вредностима архитектонског наслеђа у погледу димензија, диспозиције, пропорција, типа градње и обли- ковања;</w:t>
      </w:r>
    </w:p>
    <w:p>
      <w:pPr>
        <w:pStyle w:val="BodyText"/>
        <w:spacing w:line="232" w:lineRule="auto"/>
        <w:ind w:left="454" w:right="1" w:firstLine="396"/>
      </w:pPr>
      <w:r>
        <w:rPr>
          <w:color w:val="231F20"/>
          <w:w w:val="66"/>
        </w:rPr>
        <w:t> </w:t>
      </w:r>
      <w:r>
        <w:rPr>
          <w:color w:val="231F20"/>
        </w:rPr>
        <w:t>–</w:t>
      </w:r>
      <w:r>
        <w:rPr>
          <w:color w:val="231F20"/>
          <w:spacing w:val="-7"/>
        </w:rPr>
        <w:t> </w:t>
      </w:r>
      <w:r>
        <w:rPr>
          <w:color w:val="231F20"/>
        </w:rPr>
        <w:t>максимална</w:t>
      </w:r>
      <w:r>
        <w:rPr>
          <w:color w:val="231F20"/>
          <w:spacing w:val="-7"/>
        </w:rPr>
        <w:t> </w:t>
      </w:r>
      <w:r>
        <w:rPr>
          <w:color w:val="231F20"/>
        </w:rPr>
        <w:t>спретност</w:t>
      </w:r>
      <w:r>
        <w:rPr>
          <w:color w:val="231F20"/>
          <w:spacing w:val="-7"/>
        </w:rPr>
        <w:t> </w:t>
      </w:r>
      <w:r>
        <w:rPr>
          <w:color w:val="231F20"/>
        </w:rPr>
        <w:t>објеката</w:t>
      </w:r>
      <w:r>
        <w:rPr>
          <w:color w:val="231F20"/>
          <w:spacing w:val="-7"/>
        </w:rPr>
        <w:t> </w:t>
      </w:r>
      <w:r>
        <w:rPr>
          <w:color w:val="231F20"/>
        </w:rPr>
        <w:t>је</w:t>
      </w:r>
      <w:r>
        <w:rPr>
          <w:color w:val="231F20"/>
          <w:spacing w:val="-7"/>
        </w:rPr>
        <w:t> </w:t>
      </w:r>
      <w:r>
        <w:rPr>
          <w:color w:val="231F20"/>
        </w:rPr>
        <w:t>приземље,</w:t>
      </w:r>
      <w:r>
        <w:rPr>
          <w:color w:val="231F20"/>
          <w:spacing w:val="-7"/>
        </w:rPr>
        <w:t> </w:t>
      </w:r>
      <w:r>
        <w:rPr>
          <w:color w:val="231F20"/>
        </w:rPr>
        <w:t>изузетно</w:t>
      </w:r>
      <w:r>
        <w:rPr>
          <w:color w:val="231F20"/>
          <w:spacing w:val="-7"/>
        </w:rPr>
        <w:t> </w:t>
      </w:r>
      <w:r>
        <w:rPr>
          <w:color w:val="231F20"/>
        </w:rPr>
        <w:t>П+1, или П+Пк </w:t>
      </w:r>
      <w:r>
        <w:rPr>
          <w:color w:val="231F20"/>
          <w:spacing w:val="-3"/>
        </w:rPr>
        <w:t>(уколико </w:t>
      </w:r>
      <w:r>
        <w:rPr>
          <w:color w:val="231F20"/>
        </w:rPr>
        <w:t>су у питању објекти у централном делу етно- парка);</w:t>
      </w:r>
    </w:p>
    <w:p>
      <w:pPr>
        <w:pStyle w:val="BodyText"/>
        <w:spacing w:line="232" w:lineRule="auto"/>
        <w:ind w:left="454" w:firstLine="396"/>
      </w:pPr>
      <w:r>
        <w:rPr>
          <w:color w:val="231F20"/>
          <w:w w:val="66"/>
        </w:rPr>
        <w:t> </w:t>
      </w:r>
      <w:r>
        <w:rPr>
          <w:color w:val="231F20"/>
        </w:rPr>
        <w:t>– кота приземља (у односу на коту тротоара) може да буде највише 1.20 m виша од нулте коте;</w:t>
      </w:r>
    </w:p>
    <w:p>
      <w:pPr>
        <w:pStyle w:val="BodyText"/>
        <w:spacing w:line="232" w:lineRule="auto"/>
        <w:ind w:left="454" w:right="1" w:firstLine="396"/>
      </w:pPr>
      <w:r>
        <w:rPr>
          <w:color w:val="231F20"/>
          <w:w w:val="66"/>
        </w:rPr>
        <w:t> </w:t>
      </w:r>
      <w:r>
        <w:rPr>
          <w:color w:val="231F20"/>
        </w:rPr>
        <w:t>– користити савремене и традиционалне материјале, како за објекте, тако и за спољно уређење комплекса;</w:t>
      </w:r>
    </w:p>
    <w:p>
      <w:pPr>
        <w:pStyle w:val="BodyText"/>
        <w:spacing w:line="232" w:lineRule="auto"/>
        <w:ind w:left="454" w:right="1" w:firstLine="397"/>
      </w:pPr>
      <w:r>
        <w:rPr>
          <w:color w:val="231F20"/>
          <w:w w:val="66"/>
        </w:rPr>
        <w:t> </w:t>
      </w:r>
      <w:r>
        <w:rPr>
          <w:color w:val="231F20"/>
        </w:rPr>
        <w:t>–</w:t>
      </w:r>
      <w:r>
        <w:rPr>
          <w:color w:val="231F20"/>
          <w:spacing w:val="-10"/>
        </w:rPr>
        <w:t> </w:t>
      </w:r>
      <w:r>
        <w:rPr>
          <w:color w:val="231F20"/>
          <w:spacing w:val="-4"/>
        </w:rPr>
        <w:t>уколико</w:t>
      </w:r>
      <w:r>
        <w:rPr>
          <w:color w:val="231F20"/>
          <w:spacing w:val="-10"/>
        </w:rPr>
        <w:t> </w:t>
      </w:r>
      <w:r>
        <w:rPr>
          <w:color w:val="231F20"/>
        </w:rPr>
        <w:t>је</w:t>
      </w:r>
      <w:r>
        <w:rPr>
          <w:color w:val="231F20"/>
          <w:spacing w:val="-10"/>
        </w:rPr>
        <w:t> </w:t>
      </w:r>
      <w:r>
        <w:rPr>
          <w:color w:val="231F20"/>
        </w:rPr>
        <w:t>потребно</w:t>
      </w:r>
      <w:r>
        <w:rPr>
          <w:color w:val="231F20"/>
          <w:spacing w:val="-10"/>
        </w:rPr>
        <w:t> </w:t>
      </w:r>
      <w:r>
        <w:rPr>
          <w:color w:val="231F20"/>
        </w:rPr>
        <w:t>ограђивање</w:t>
      </w:r>
      <w:r>
        <w:rPr>
          <w:color w:val="231F20"/>
          <w:spacing w:val="-10"/>
        </w:rPr>
        <w:t> </w:t>
      </w:r>
      <w:r>
        <w:rPr>
          <w:color w:val="231F20"/>
          <w:spacing w:val="-3"/>
        </w:rPr>
        <w:t>комплекса</w:t>
      </w:r>
      <w:r>
        <w:rPr>
          <w:color w:val="231F20"/>
          <w:spacing w:val="-10"/>
        </w:rPr>
        <w:t> </w:t>
      </w:r>
      <w:r>
        <w:rPr>
          <w:color w:val="231F20"/>
        </w:rPr>
        <w:t>користити</w:t>
      </w:r>
      <w:r>
        <w:rPr>
          <w:color w:val="231F20"/>
          <w:spacing w:val="-10"/>
        </w:rPr>
        <w:t> </w:t>
      </w:r>
      <w:r>
        <w:rPr>
          <w:color w:val="231F20"/>
        </w:rPr>
        <w:t>тран- спарентну ограду висине до 1.4</w:t>
      </w:r>
      <w:r>
        <w:rPr>
          <w:color w:val="231F20"/>
          <w:spacing w:val="-3"/>
        </w:rPr>
        <w:t> </w:t>
      </w:r>
      <w:r>
        <w:rPr>
          <w:color w:val="231F20"/>
        </w:rPr>
        <w:t>m;</w:t>
      </w:r>
    </w:p>
    <w:p>
      <w:pPr>
        <w:pStyle w:val="BodyText"/>
        <w:spacing w:line="199" w:lineRule="exact"/>
        <w:ind w:left="851"/>
        <w:jc w:val="left"/>
      </w:pPr>
      <w:r>
        <w:rPr>
          <w:color w:val="231F20"/>
          <w:w w:val="66"/>
        </w:rPr>
        <w:t> </w:t>
      </w:r>
      <w:r>
        <w:rPr>
          <w:color w:val="231F20"/>
        </w:rPr>
        <w:t>– предвидети јавни паркинг;</w:t>
      </w:r>
    </w:p>
    <w:p>
      <w:pPr>
        <w:pStyle w:val="BodyText"/>
        <w:spacing w:line="232" w:lineRule="auto"/>
        <w:ind w:left="454" w:right="1" w:firstLine="396"/>
      </w:pPr>
      <w:r>
        <w:rPr>
          <w:color w:val="231F20"/>
          <w:w w:val="66"/>
        </w:rPr>
        <w:t> </w:t>
      </w:r>
      <w:r>
        <w:rPr>
          <w:color w:val="231F20"/>
        </w:rPr>
        <w:t>– минималне интервенције у опремању стаза као и места за одмор, (клупе и друго);</w:t>
      </w:r>
    </w:p>
    <w:p>
      <w:pPr>
        <w:pStyle w:val="BodyText"/>
        <w:spacing w:line="232" w:lineRule="auto"/>
        <w:ind w:left="454" w:firstLine="396"/>
      </w:pPr>
      <w:r>
        <w:rPr>
          <w:color w:val="231F20"/>
          <w:w w:val="66"/>
        </w:rPr>
        <w:t> </w:t>
      </w:r>
      <w:r>
        <w:rPr>
          <w:color w:val="231F20"/>
        </w:rPr>
        <w:t>– за све просторе обавезно је урадити сигнализацију и спро- водити одговарајуће програме уређења и одржавања; бетонира- ње, асфалтирање и поплочавање свести на минимум коришћењем природних материјала и слично; и</w:t>
      </w:r>
    </w:p>
    <w:p>
      <w:pPr>
        <w:pStyle w:val="BodyText"/>
        <w:spacing w:line="232" w:lineRule="auto"/>
        <w:ind w:left="453" w:right="1" w:firstLine="397"/>
      </w:pPr>
      <w:r>
        <w:rPr>
          <w:color w:val="231F20"/>
          <w:w w:val="66"/>
        </w:rPr>
        <w:t> </w:t>
      </w:r>
      <w:r>
        <w:rPr>
          <w:color w:val="231F20"/>
        </w:rPr>
        <w:t>– површине за рекреацију услед разлика међу корисницима </w:t>
      </w:r>
      <w:r>
        <w:rPr>
          <w:color w:val="231F20"/>
          <w:spacing w:val="-3"/>
        </w:rPr>
        <w:t>конципирати</w:t>
      </w:r>
      <w:r>
        <w:rPr>
          <w:color w:val="231F20"/>
          <w:spacing w:val="-8"/>
        </w:rPr>
        <w:t> </w:t>
      </w:r>
      <w:r>
        <w:rPr>
          <w:color w:val="231F20"/>
          <w:spacing w:val="-3"/>
        </w:rPr>
        <w:t>тако</w:t>
      </w:r>
      <w:r>
        <w:rPr>
          <w:color w:val="231F20"/>
          <w:spacing w:val="-8"/>
        </w:rPr>
        <w:t> </w:t>
      </w:r>
      <w:r>
        <w:rPr>
          <w:color w:val="231F20"/>
        </w:rPr>
        <w:t>да</w:t>
      </w:r>
      <w:r>
        <w:rPr>
          <w:color w:val="231F20"/>
          <w:spacing w:val="-8"/>
        </w:rPr>
        <w:t> </w:t>
      </w:r>
      <w:r>
        <w:rPr>
          <w:color w:val="231F20"/>
        </w:rPr>
        <w:t>се</w:t>
      </w:r>
      <w:r>
        <w:rPr>
          <w:color w:val="231F20"/>
          <w:spacing w:val="-8"/>
        </w:rPr>
        <w:t> </w:t>
      </w:r>
      <w:r>
        <w:rPr>
          <w:color w:val="231F20"/>
        </w:rPr>
        <w:t>посебно</w:t>
      </w:r>
      <w:r>
        <w:rPr>
          <w:color w:val="231F20"/>
          <w:spacing w:val="-8"/>
        </w:rPr>
        <w:t> </w:t>
      </w:r>
      <w:r>
        <w:rPr>
          <w:color w:val="231F20"/>
        </w:rPr>
        <w:t>издвоје</w:t>
      </w:r>
      <w:r>
        <w:rPr>
          <w:color w:val="231F20"/>
          <w:spacing w:val="-8"/>
        </w:rPr>
        <w:t> </w:t>
      </w:r>
      <w:r>
        <w:rPr>
          <w:color w:val="231F20"/>
        </w:rPr>
        <w:t>простори</w:t>
      </w:r>
      <w:r>
        <w:rPr>
          <w:color w:val="231F20"/>
          <w:spacing w:val="-8"/>
        </w:rPr>
        <w:t> </w:t>
      </w:r>
      <w:r>
        <w:rPr>
          <w:color w:val="231F20"/>
        </w:rPr>
        <w:t>за</w:t>
      </w:r>
      <w:r>
        <w:rPr>
          <w:color w:val="231F20"/>
          <w:spacing w:val="-8"/>
        </w:rPr>
        <w:t> </w:t>
      </w:r>
      <w:r>
        <w:rPr>
          <w:color w:val="231F20"/>
        </w:rPr>
        <w:t>рекреацију</w:t>
      </w:r>
      <w:r>
        <w:rPr>
          <w:color w:val="231F20"/>
          <w:spacing w:val="-8"/>
        </w:rPr>
        <w:t> </w:t>
      </w:r>
      <w:r>
        <w:rPr>
          <w:color w:val="231F20"/>
        </w:rPr>
        <w:t>де- це</w:t>
      </w:r>
      <w:r>
        <w:rPr>
          <w:color w:val="231F20"/>
          <w:spacing w:val="-11"/>
        </w:rPr>
        <w:t> </w:t>
      </w:r>
      <w:r>
        <w:rPr>
          <w:color w:val="231F20"/>
        </w:rPr>
        <w:t>и</w:t>
      </w:r>
      <w:r>
        <w:rPr>
          <w:color w:val="231F20"/>
          <w:spacing w:val="-11"/>
        </w:rPr>
        <w:t> </w:t>
      </w:r>
      <w:r>
        <w:rPr>
          <w:color w:val="231F20"/>
        </w:rPr>
        <w:t>рекреацију</w:t>
      </w:r>
      <w:r>
        <w:rPr>
          <w:color w:val="231F20"/>
          <w:spacing w:val="-11"/>
        </w:rPr>
        <w:t> </w:t>
      </w:r>
      <w:r>
        <w:rPr>
          <w:color w:val="231F20"/>
        </w:rPr>
        <w:t>одраслих;</w:t>
      </w:r>
      <w:r>
        <w:rPr>
          <w:color w:val="231F20"/>
          <w:spacing w:val="-11"/>
        </w:rPr>
        <w:t> </w:t>
      </w:r>
      <w:r>
        <w:rPr>
          <w:color w:val="231F20"/>
        </w:rPr>
        <w:t>за</w:t>
      </w:r>
      <w:r>
        <w:rPr>
          <w:color w:val="231F20"/>
          <w:spacing w:val="-11"/>
        </w:rPr>
        <w:t> </w:t>
      </w:r>
      <w:r>
        <w:rPr>
          <w:color w:val="231F20"/>
        </w:rPr>
        <w:t>најмлађе</w:t>
      </w:r>
      <w:r>
        <w:rPr>
          <w:color w:val="231F20"/>
          <w:spacing w:val="-11"/>
        </w:rPr>
        <w:t> </w:t>
      </w:r>
      <w:r>
        <w:rPr>
          <w:color w:val="231F20"/>
        </w:rPr>
        <w:t>предвидети</w:t>
      </w:r>
      <w:r>
        <w:rPr>
          <w:color w:val="231F20"/>
          <w:spacing w:val="-11"/>
        </w:rPr>
        <w:t> </w:t>
      </w:r>
      <w:r>
        <w:rPr>
          <w:color w:val="231F20"/>
        </w:rPr>
        <w:t>летњу</w:t>
      </w:r>
      <w:r>
        <w:rPr>
          <w:color w:val="231F20"/>
          <w:spacing w:val="-11"/>
        </w:rPr>
        <w:t> </w:t>
      </w:r>
      <w:r>
        <w:rPr>
          <w:color w:val="231F20"/>
          <w:spacing w:val="-3"/>
        </w:rPr>
        <w:t>учионицу, </w:t>
      </w:r>
      <w:r>
        <w:rPr>
          <w:color w:val="231F20"/>
        </w:rPr>
        <w:t>справе</w:t>
      </w:r>
      <w:r>
        <w:rPr>
          <w:color w:val="231F20"/>
          <w:spacing w:val="-7"/>
        </w:rPr>
        <w:t> </w:t>
      </w:r>
      <w:r>
        <w:rPr>
          <w:color w:val="231F20"/>
        </w:rPr>
        <w:t>за</w:t>
      </w:r>
      <w:r>
        <w:rPr>
          <w:color w:val="231F20"/>
          <w:spacing w:val="-7"/>
        </w:rPr>
        <w:t> </w:t>
      </w:r>
      <w:r>
        <w:rPr>
          <w:color w:val="231F20"/>
        </w:rPr>
        <w:t>играње,</w:t>
      </w:r>
      <w:r>
        <w:rPr>
          <w:color w:val="231F20"/>
          <w:spacing w:val="-7"/>
        </w:rPr>
        <w:t> </w:t>
      </w:r>
      <w:r>
        <w:rPr>
          <w:color w:val="231F20"/>
        </w:rPr>
        <w:t>као</w:t>
      </w:r>
      <w:r>
        <w:rPr>
          <w:color w:val="231F20"/>
          <w:spacing w:val="-7"/>
        </w:rPr>
        <w:t> </w:t>
      </w:r>
      <w:r>
        <w:rPr>
          <w:color w:val="231F20"/>
        </w:rPr>
        <w:t>и</w:t>
      </w:r>
      <w:r>
        <w:rPr>
          <w:color w:val="231F20"/>
          <w:spacing w:val="-7"/>
        </w:rPr>
        <w:t> </w:t>
      </w:r>
      <w:r>
        <w:rPr>
          <w:color w:val="231F20"/>
        </w:rPr>
        <w:t>справе</w:t>
      </w:r>
      <w:r>
        <w:rPr>
          <w:color w:val="231F20"/>
          <w:spacing w:val="-7"/>
        </w:rPr>
        <w:t> </w:t>
      </w:r>
      <w:r>
        <w:rPr>
          <w:color w:val="231F20"/>
        </w:rPr>
        <w:t>за</w:t>
      </w:r>
      <w:r>
        <w:rPr>
          <w:color w:val="231F20"/>
          <w:spacing w:val="-7"/>
        </w:rPr>
        <w:t> </w:t>
      </w:r>
      <w:r>
        <w:rPr>
          <w:color w:val="231F20"/>
        </w:rPr>
        <w:t>вежбање</w:t>
      </w:r>
      <w:r>
        <w:rPr>
          <w:color w:val="231F20"/>
          <w:spacing w:val="-7"/>
        </w:rPr>
        <w:t> </w:t>
      </w:r>
      <w:r>
        <w:rPr>
          <w:color w:val="231F20"/>
        </w:rPr>
        <w:t>у</w:t>
      </w:r>
      <w:r>
        <w:rPr>
          <w:color w:val="231F20"/>
          <w:spacing w:val="-7"/>
        </w:rPr>
        <w:t> </w:t>
      </w:r>
      <w:r>
        <w:rPr>
          <w:color w:val="231F20"/>
        </w:rPr>
        <w:t>природи</w:t>
      </w:r>
      <w:r>
        <w:rPr>
          <w:color w:val="231F20"/>
          <w:spacing w:val="-7"/>
        </w:rPr>
        <w:t> </w:t>
      </w:r>
      <w:r>
        <w:rPr>
          <w:color w:val="231F20"/>
        </w:rPr>
        <w:t>за</w:t>
      </w:r>
      <w:r>
        <w:rPr>
          <w:color w:val="231F20"/>
          <w:spacing w:val="-7"/>
        </w:rPr>
        <w:t> </w:t>
      </w:r>
      <w:r>
        <w:rPr>
          <w:color w:val="231F20"/>
        </w:rPr>
        <w:t>одрасле.</w:t>
      </w:r>
    </w:p>
    <w:p>
      <w:pPr>
        <w:pStyle w:val="BodyText"/>
        <w:spacing w:line="232" w:lineRule="auto"/>
        <w:ind w:left="453" w:right="1" w:firstLine="396"/>
      </w:pPr>
      <w:r>
        <w:rPr>
          <w:color w:val="231F20"/>
        </w:rPr>
        <w:t>Предвиђа се саобраћајно уређење </w:t>
      </w:r>
      <w:r>
        <w:rPr>
          <w:color w:val="231F20"/>
          <w:spacing w:val="-3"/>
        </w:rPr>
        <w:t>комплекса </w:t>
      </w:r>
      <w:r>
        <w:rPr>
          <w:color w:val="231F20"/>
        </w:rPr>
        <w:t>(паркинг про- стори,</w:t>
      </w:r>
      <w:r>
        <w:rPr>
          <w:color w:val="231F20"/>
          <w:spacing w:val="-16"/>
        </w:rPr>
        <w:t> </w:t>
      </w:r>
      <w:r>
        <w:rPr>
          <w:color w:val="231F20"/>
        </w:rPr>
        <w:t>неопходни</w:t>
      </w:r>
      <w:r>
        <w:rPr>
          <w:color w:val="231F20"/>
          <w:spacing w:val="-16"/>
        </w:rPr>
        <w:t> </w:t>
      </w:r>
      <w:r>
        <w:rPr>
          <w:color w:val="231F20"/>
        </w:rPr>
        <w:t>приступи</w:t>
      </w:r>
      <w:r>
        <w:rPr>
          <w:color w:val="231F20"/>
          <w:spacing w:val="-16"/>
        </w:rPr>
        <w:t> </w:t>
      </w:r>
      <w:r>
        <w:rPr>
          <w:color w:val="231F20"/>
        </w:rPr>
        <w:t>појединим</w:t>
      </w:r>
      <w:r>
        <w:rPr>
          <w:color w:val="231F20"/>
          <w:spacing w:val="-16"/>
        </w:rPr>
        <w:t> </w:t>
      </w:r>
      <w:r>
        <w:rPr>
          <w:color w:val="231F20"/>
        </w:rPr>
        <w:t>објектима</w:t>
      </w:r>
      <w:r>
        <w:rPr>
          <w:color w:val="231F20"/>
          <w:spacing w:val="-16"/>
        </w:rPr>
        <w:t> </w:t>
      </w:r>
      <w:r>
        <w:rPr>
          <w:color w:val="231F20"/>
        </w:rPr>
        <w:t>и</w:t>
      </w:r>
      <w:r>
        <w:rPr>
          <w:color w:val="231F20"/>
          <w:spacing w:val="-16"/>
        </w:rPr>
        <w:t> </w:t>
      </w:r>
      <w:r>
        <w:rPr>
          <w:color w:val="231F20"/>
        </w:rPr>
        <w:t>манипулативни платои), </w:t>
      </w:r>
      <w:r>
        <w:rPr>
          <w:color w:val="231F20"/>
          <w:spacing w:val="-3"/>
        </w:rPr>
        <w:t>пешачке </w:t>
      </w:r>
      <w:r>
        <w:rPr>
          <w:color w:val="231F20"/>
        </w:rPr>
        <w:t>стазе са клупама, корпама, фонтанама и </w:t>
      </w:r>
      <w:r>
        <w:rPr>
          <w:color w:val="231F20"/>
          <w:spacing w:val="-3"/>
        </w:rPr>
        <w:t>другом </w:t>
      </w:r>
      <w:r>
        <w:rPr>
          <w:color w:val="231F20"/>
        </w:rPr>
        <w:t>пратећом</w:t>
      </w:r>
      <w:r>
        <w:rPr>
          <w:color w:val="231F20"/>
          <w:spacing w:val="-9"/>
        </w:rPr>
        <w:t> </w:t>
      </w:r>
      <w:r>
        <w:rPr>
          <w:color w:val="231F20"/>
        </w:rPr>
        <w:t>опремом,</w:t>
      </w:r>
      <w:r>
        <w:rPr>
          <w:color w:val="231F20"/>
          <w:spacing w:val="-9"/>
        </w:rPr>
        <w:t> </w:t>
      </w:r>
      <w:r>
        <w:rPr>
          <w:color w:val="231F20"/>
        </w:rPr>
        <w:t>пажљиво</w:t>
      </w:r>
      <w:r>
        <w:rPr>
          <w:color w:val="231F20"/>
          <w:spacing w:val="-9"/>
        </w:rPr>
        <w:t> </w:t>
      </w:r>
      <w:r>
        <w:rPr>
          <w:color w:val="231F20"/>
        </w:rPr>
        <w:t>изабраном</w:t>
      </w:r>
      <w:r>
        <w:rPr>
          <w:color w:val="231F20"/>
          <w:spacing w:val="-9"/>
        </w:rPr>
        <w:t> </w:t>
      </w:r>
      <w:r>
        <w:rPr>
          <w:color w:val="231F20"/>
        </w:rPr>
        <w:t>спољном</w:t>
      </w:r>
      <w:r>
        <w:rPr>
          <w:color w:val="231F20"/>
          <w:spacing w:val="-9"/>
        </w:rPr>
        <w:t> </w:t>
      </w:r>
      <w:r>
        <w:rPr>
          <w:color w:val="231F20"/>
        </w:rPr>
        <w:t>расветом</w:t>
      </w:r>
      <w:r>
        <w:rPr>
          <w:color w:val="231F20"/>
          <w:spacing w:val="-9"/>
        </w:rPr>
        <w:t> </w:t>
      </w:r>
      <w:r>
        <w:rPr>
          <w:color w:val="231F20"/>
        </w:rPr>
        <w:t>итд.</w:t>
      </w:r>
      <w:r>
        <w:rPr>
          <w:color w:val="231F20"/>
          <w:spacing w:val="-9"/>
        </w:rPr>
        <w:t> </w:t>
      </w:r>
      <w:r>
        <w:rPr>
          <w:color w:val="231F20"/>
        </w:rPr>
        <w:t>За све спољне површине треба користити природне материјале (гра- нитне </w:t>
      </w:r>
      <w:r>
        <w:rPr>
          <w:color w:val="231F20"/>
          <w:spacing w:val="-3"/>
        </w:rPr>
        <w:t>коцке, </w:t>
      </w:r>
      <w:r>
        <w:rPr>
          <w:color w:val="231F20"/>
        </w:rPr>
        <w:t>камене плоче и</w:t>
      </w:r>
      <w:r>
        <w:rPr>
          <w:color w:val="231F20"/>
          <w:spacing w:val="-2"/>
        </w:rPr>
        <w:t> </w:t>
      </w:r>
      <w:r>
        <w:rPr>
          <w:color w:val="231F20"/>
        </w:rPr>
        <w:t>слично).</w:t>
      </w:r>
    </w:p>
    <w:p>
      <w:pPr>
        <w:pStyle w:val="BodyText"/>
        <w:spacing w:line="232" w:lineRule="auto"/>
        <w:ind w:left="453" w:firstLine="397"/>
      </w:pPr>
      <w:r>
        <w:rPr>
          <w:color w:val="231F20"/>
        </w:rPr>
        <w:t>Све интервенције треба спроводити уз обезбеђивање закон- ски одређене планске, пројектне и техничке документације, као и одговарајућих услова надлежних институција.</w:t>
      </w:r>
    </w:p>
    <w:p>
      <w:pPr>
        <w:pStyle w:val="BodyText"/>
        <w:spacing w:before="163"/>
        <w:ind w:left="1521"/>
        <w:jc w:val="left"/>
      </w:pPr>
      <w:r>
        <w:rPr>
          <w:color w:val="231F20"/>
        </w:rPr>
        <w:t>Пејзажно уређење простора етнопарка</w:t>
      </w:r>
    </w:p>
    <w:p>
      <w:pPr>
        <w:pStyle w:val="BodyText"/>
        <w:spacing w:before="4"/>
        <w:ind w:left="0"/>
        <w:jc w:val="left"/>
        <w:rPr>
          <w:sz w:val="17"/>
        </w:rPr>
      </w:pPr>
    </w:p>
    <w:p>
      <w:pPr>
        <w:pStyle w:val="BodyText"/>
        <w:spacing w:line="232" w:lineRule="auto"/>
        <w:ind w:left="453" w:right="1" w:firstLine="396"/>
      </w:pPr>
      <w:r>
        <w:rPr>
          <w:color w:val="231F20"/>
          <w:spacing w:val="-3"/>
        </w:rPr>
        <w:t>Уређење </w:t>
      </w:r>
      <w:r>
        <w:rPr>
          <w:color w:val="231F20"/>
        </w:rPr>
        <w:t>простора планираног етнопарка са циљем унапре- ђења амбијенталних вредности и формирање садржаја </w:t>
      </w:r>
      <w:r>
        <w:rPr>
          <w:color w:val="231F20"/>
          <w:spacing w:val="-3"/>
        </w:rPr>
        <w:t>који</w:t>
      </w:r>
      <w:r>
        <w:rPr>
          <w:color w:val="231F20"/>
          <w:spacing w:val="-32"/>
        </w:rPr>
        <w:t> </w:t>
      </w:r>
      <w:r>
        <w:rPr>
          <w:color w:val="231F20"/>
        </w:rPr>
        <w:t>допри- носе очувању традиционалних вредности овог краја и стварања услова за одвијање културних и уметничких активности подразу- мева</w:t>
      </w:r>
      <w:r>
        <w:rPr>
          <w:color w:val="231F20"/>
          <w:spacing w:val="-1"/>
        </w:rPr>
        <w:t> </w:t>
      </w:r>
      <w:r>
        <w:rPr>
          <w:color w:val="231F20"/>
        </w:rPr>
        <w:t>следеће:</w:t>
      </w:r>
    </w:p>
    <w:p>
      <w:pPr>
        <w:pStyle w:val="BodyText"/>
        <w:spacing w:line="232" w:lineRule="auto"/>
        <w:ind w:left="454" w:right="1" w:firstLine="396"/>
      </w:pPr>
      <w:r>
        <w:rPr>
          <w:color w:val="231F20"/>
          <w:w w:val="66"/>
        </w:rPr>
        <w:t> </w:t>
      </w:r>
      <w:r>
        <w:rPr>
          <w:color w:val="231F20"/>
        </w:rPr>
        <w:t>– с обзиром да стање укупног зеленог фонда није подједна- ког квалитета неопходно је спровести валоризацију и издвајање потенцијалних или групних примерака за стављање под заштиту;</w:t>
      </w:r>
    </w:p>
    <w:p>
      <w:pPr>
        <w:pStyle w:val="BodyText"/>
        <w:spacing w:line="232" w:lineRule="auto"/>
        <w:ind w:left="454" w:firstLine="396"/>
      </w:pPr>
      <w:r>
        <w:rPr>
          <w:color w:val="231F20"/>
          <w:w w:val="66"/>
        </w:rPr>
        <w:t> </w:t>
      </w:r>
      <w:r>
        <w:rPr>
          <w:color w:val="231F20"/>
        </w:rPr>
        <w:t>– </w:t>
      </w:r>
      <w:r>
        <w:rPr>
          <w:color w:val="231F20"/>
          <w:spacing w:val="-3"/>
        </w:rPr>
        <w:t>унапређење </w:t>
      </w:r>
      <w:r>
        <w:rPr>
          <w:color w:val="231F20"/>
        </w:rPr>
        <w:t>постојећих зелених површина, </w:t>
      </w:r>
      <w:r>
        <w:rPr>
          <w:color w:val="231F20"/>
          <w:spacing w:val="-3"/>
        </w:rPr>
        <w:t>као </w:t>
      </w:r>
      <w:r>
        <w:rPr>
          <w:color w:val="231F20"/>
        </w:rPr>
        <w:t>и </w:t>
      </w:r>
      <w:r>
        <w:rPr>
          <w:color w:val="231F20"/>
          <w:spacing w:val="-3"/>
        </w:rPr>
        <w:t>редовно уређивање </w:t>
      </w:r>
      <w:r>
        <w:rPr>
          <w:color w:val="231F20"/>
        </w:rPr>
        <w:t>и </w:t>
      </w:r>
      <w:r>
        <w:rPr>
          <w:color w:val="231F20"/>
          <w:spacing w:val="-3"/>
        </w:rPr>
        <w:t>одржавање, што </w:t>
      </w:r>
      <w:r>
        <w:rPr>
          <w:color w:val="231F20"/>
          <w:spacing w:val="-4"/>
        </w:rPr>
        <w:t>обухвата </w:t>
      </w:r>
      <w:r>
        <w:rPr>
          <w:color w:val="231F20"/>
        </w:rPr>
        <w:t>мере </w:t>
      </w:r>
      <w:r>
        <w:rPr>
          <w:color w:val="231F20"/>
          <w:spacing w:val="-3"/>
        </w:rPr>
        <w:t>као што </w:t>
      </w:r>
      <w:r>
        <w:rPr>
          <w:color w:val="231F20"/>
          <w:spacing w:val="-4"/>
        </w:rPr>
        <w:t>су: </w:t>
      </w:r>
      <w:r>
        <w:rPr>
          <w:color w:val="231F20"/>
        </w:rPr>
        <w:t>замена ден- дро </w:t>
      </w:r>
      <w:r>
        <w:rPr>
          <w:color w:val="231F20"/>
          <w:spacing w:val="-3"/>
        </w:rPr>
        <w:t>материјала, </w:t>
      </w:r>
      <w:r>
        <w:rPr>
          <w:color w:val="231F20"/>
        </w:rPr>
        <w:t>уклањање болесних и </w:t>
      </w:r>
      <w:r>
        <w:rPr>
          <w:color w:val="231F20"/>
          <w:spacing w:val="-3"/>
        </w:rPr>
        <w:t>физиолошки </w:t>
      </w:r>
      <w:r>
        <w:rPr>
          <w:color w:val="231F20"/>
        </w:rPr>
        <w:t>зрелих и </w:t>
      </w:r>
      <w:r>
        <w:rPr>
          <w:color w:val="231F20"/>
          <w:spacing w:val="-3"/>
        </w:rPr>
        <w:t>друго;</w:t>
      </w:r>
    </w:p>
    <w:p>
      <w:pPr>
        <w:pStyle w:val="BodyText"/>
        <w:spacing w:line="232" w:lineRule="auto"/>
        <w:ind w:left="455" w:firstLine="396"/>
      </w:pPr>
      <w:r>
        <w:rPr>
          <w:color w:val="231F20"/>
          <w:w w:val="66"/>
        </w:rPr>
        <w:t> </w:t>
      </w:r>
      <w:r>
        <w:rPr>
          <w:color w:val="231F20"/>
        </w:rPr>
        <w:t>– код озелењавања простора и пејзажног уређења користити аутохтону вегетацију (храст сладун, цер, храст лужњак, граб, то- пола, врба, и друго);</w:t>
      </w:r>
    </w:p>
    <w:p>
      <w:pPr>
        <w:pStyle w:val="BodyText"/>
        <w:spacing w:line="232" w:lineRule="auto"/>
        <w:ind w:left="455" w:firstLine="397"/>
      </w:pPr>
      <w:r>
        <w:rPr>
          <w:color w:val="231F20"/>
          <w:w w:val="66"/>
        </w:rPr>
        <w:t> </w:t>
      </w:r>
      <w:r>
        <w:rPr>
          <w:color w:val="231F20"/>
        </w:rPr>
        <w:t>– уређење непосредне </w:t>
      </w:r>
      <w:r>
        <w:rPr>
          <w:color w:val="231F20"/>
          <w:spacing w:val="-3"/>
        </w:rPr>
        <w:t>околине </w:t>
      </w:r>
      <w:r>
        <w:rPr>
          <w:color w:val="231F20"/>
        </w:rPr>
        <w:t>етнопарка подразумева да ови простори, поред задовољења одређених функција пружају и ефекат визуелне пријатности; то значи да прилази објектима </w:t>
      </w:r>
      <w:r>
        <w:rPr>
          <w:color w:val="231F20"/>
          <w:spacing w:val="-5"/>
        </w:rPr>
        <w:t>буду </w:t>
      </w:r>
      <w:r>
        <w:rPr>
          <w:color w:val="231F20"/>
        </w:rPr>
        <w:t>јасно означени и издвојени, да су паркинг места обележена и да зелене површине </w:t>
      </w:r>
      <w:r>
        <w:rPr>
          <w:color w:val="231F20"/>
          <w:spacing w:val="-5"/>
        </w:rPr>
        <w:t>буду </w:t>
      </w:r>
      <w:r>
        <w:rPr>
          <w:color w:val="231F20"/>
        </w:rPr>
        <w:t>пејзажно осмишљене и уређене; и озелења- вање обавити </w:t>
      </w:r>
      <w:r>
        <w:rPr>
          <w:color w:val="231F20"/>
          <w:spacing w:val="-3"/>
        </w:rPr>
        <w:t>аутотхоним </w:t>
      </w:r>
      <w:r>
        <w:rPr>
          <w:color w:val="231F20"/>
        </w:rPr>
        <w:t>и декоративним врстама;</w:t>
      </w:r>
      <w:r>
        <w:rPr>
          <w:color w:val="231F20"/>
          <w:spacing w:val="-6"/>
        </w:rPr>
        <w:t> </w:t>
      </w:r>
      <w:r>
        <w:rPr>
          <w:color w:val="231F20"/>
        </w:rPr>
        <w:t>и</w:t>
      </w:r>
    </w:p>
    <w:p>
      <w:pPr>
        <w:pStyle w:val="BodyText"/>
        <w:spacing w:line="235" w:lineRule="auto" w:before="76"/>
        <w:ind w:left="243" w:right="126" w:firstLine="397"/>
      </w:pPr>
      <w:r>
        <w:rPr/>
        <w:br w:type="column"/>
      </w:r>
      <w:r>
        <w:rPr>
          <w:color w:val="231F20"/>
          <w:w w:val="66"/>
        </w:rPr>
        <w:t> </w:t>
      </w:r>
      <w:r>
        <w:rPr>
          <w:color w:val="231F20"/>
        </w:rPr>
        <w:t>– планском и пројектно техничком документацијом предви- дети инфраструктуру за одржавање зеленила (систем хидрантске мреже са механизмом заливања и орошавања);и одговарајућим програмима обезбедити сталну негу свих елемената ове амбијен- талне целине и пратеће опреме (клупа, корпи, фонтана), и других елемената намењених за одвијање различитих садржаја рекреаци- ја најмлађих, образовно-научне активности (настава у природи), уметничке колоније, као и изложбене и сличне манифестације.</w:t>
      </w:r>
    </w:p>
    <w:p>
      <w:pPr>
        <w:pStyle w:val="ListParagraph"/>
        <w:numPr>
          <w:ilvl w:val="2"/>
          <w:numId w:val="80"/>
        </w:numPr>
        <w:tabs>
          <w:tab w:pos="2165" w:val="left" w:leader="none"/>
        </w:tabs>
        <w:spacing w:line="240" w:lineRule="auto" w:before="167" w:after="0"/>
        <w:ind w:left="2164" w:right="0" w:hanging="540"/>
        <w:jc w:val="left"/>
        <w:rPr>
          <w:sz w:val="18"/>
        </w:rPr>
      </w:pPr>
      <w:r>
        <w:rPr>
          <w:color w:val="231F20"/>
          <w:spacing w:val="15"/>
          <w:sz w:val="18"/>
        </w:rPr>
        <w:t>Четврт </w:t>
      </w:r>
      <w:r>
        <w:rPr>
          <w:color w:val="231F20"/>
          <w:sz w:val="18"/>
        </w:rPr>
        <w:t>а</w:t>
      </w:r>
      <w:r>
        <w:rPr>
          <w:color w:val="231F20"/>
          <w:spacing w:val="5"/>
          <w:sz w:val="18"/>
        </w:rPr>
        <w:t> </w:t>
      </w:r>
      <w:r>
        <w:rPr>
          <w:color w:val="231F20"/>
          <w:spacing w:val="16"/>
          <w:sz w:val="18"/>
        </w:rPr>
        <w:t>потцелина</w:t>
      </w:r>
    </w:p>
    <w:p>
      <w:pPr>
        <w:pStyle w:val="BodyText"/>
        <w:spacing w:before="6"/>
        <w:ind w:left="0"/>
        <w:jc w:val="left"/>
        <w:rPr>
          <w:sz w:val="17"/>
        </w:rPr>
      </w:pPr>
    </w:p>
    <w:p>
      <w:pPr>
        <w:pStyle w:val="BodyText"/>
        <w:spacing w:line="235" w:lineRule="auto" w:before="1"/>
        <w:ind w:left="243" w:right="126" w:firstLine="396"/>
      </w:pPr>
      <w:r>
        <w:rPr>
          <w:color w:val="231F20"/>
        </w:rPr>
        <w:t>Положај и правила изградње и уређења коридора за тран- спорт угља од ПК „Дрмно” до ТЕ „Костолац А”, коридора за транспорт пепела и шљаке из термоелектране „Костолац Б” и тер- моелектране „Костолац А” до депоније у ПК „Ћириковац”, као и коридора за транспорт рударске механизације налазе се у погла- вљима „3”, „6” и „8”.</w:t>
      </w:r>
    </w:p>
    <w:p>
      <w:pPr>
        <w:pStyle w:val="ListParagraph"/>
        <w:numPr>
          <w:ilvl w:val="1"/>
          <w:numId w:val="80"/>
        </w:numPr>
        <w:tabs>
          <w:tab w:pos="1891" w:val="left" w:leader="none"/>
        </w:tabs>
        <w:spacing w:line="240" w:lineRule="auto" w:before="166" w:after="0"/>
        <w:ind w:left="1890" w:right="0" w:hanging="405"/>
        <w:jc w:val="left"/>
        <w:rPr>
          <w:i/>
          <w:sz w:val="18"/>
        </w:rPr>
      </w:pPr>
      <w:r>
        <w:rPr>
          <w:i/>
          <w:color w:val="231F20"/>
          <w:sz w:val="18"/>
        </w:rPr>
        <w:t>Инфраструктурни</w:t>
      </w:r>
      <w:r>
        <w:rPr>
          <w:i/>
          <w:color w:val="231F20"/>
          <w:spacing w:val="-2"/>
          <w:sz w:val="18"/>
        </w:rPr>
        <w:t> </w:t>
      </w:r>
      <w:r>
        <w:rPr>
          <w:i/>
          <w:color w:val="231F20"/>
          <w:sz w:val="18"/>
        </w:rPr>
        <w:t>коридори</w:t>
      </w:r>
    </w:p>
    <w:p>
      <w:pPr>
        <w:pStyle w:val="ListParagraph"/>
        <w:numPr>
          <w:ilvl w:val="2"/>
          <w:numId w:val="80"/>
        </w:numPr>
        <w:tabs>
          <w:tab w:pos="2091" w:val="left" w:leader="none"/>
        </w:tabs>
        <w:spacing w:line="432" w:lineRule="auto" w:before="166" w:after="0"/>
        <w:ind w:left="1783" w:right="1434" w:hanging="233"/>
        <w:jc w:val="left"/>
        <w:rPr>
          <w:sz w:val="18"/>
        </w:rPr>
      </w:pPr>
      <w:r>
        <w:rPr>
          <w:color w:val="231F20"/>
          <w:spacing w:val="15"/>
          <w:sz w:val="18"/>
        </w:rPr>
        <w:t>Јавне </w:t>
      </w:r>
      <w:r>
        <w:rPr>
          <w:color w:val="231F20"/>
          <w:sz w:val="18"/>
        </w:rPr>
        <w:t>с </w:t>
      </w:r>
      <w:r>
        <w:rPr>
          <w:color w:val="231F20"/>
          <w:spacing w:val="17"/>
          <w:sz w:val="18"/>
        </w:rPr>
        <w:t>аобраћајнице </w:t>
      </w:r>
      <w:r>
        <w:rPr>
          <w:color w:val="231F20"/>
          <w:sz w:val="18"/>
        </w:rPr>
        <w:t>План мреже јавних</w:t>
      </w:r>
      <w:r>
        <w:rPr>
          <w:color w:val="231F20"/>
          <w:spacing w:val="-7"/>
          <w:sz w:val="18"/>
        </w:rPr>
        <w:t> </w:t>
      </w:r>
      <w:r>
        <w:rPr>
          <w:color w:val="231F20"/>
          <w:sz w:val="18"/>
        </w:rPr>
        <w:t>путева</w:t>
      </w:r>
    </w:p>
    <w:p>
      <w:pPr>
        <w:pStyle w:val="BodyText"/>
        <w:spacing w:line="235" w:lineRule="auto" w:before="37"/>
        <w:ind w:left="243" w:right="126" w:firstLine="396"/>
      </w:pPr>
      <w:r>
        <w:rPr>
          <w:color w:val="231F20"/>
        </w:rPr>
        <w:t>У обухвату комплекса „Долина реке Млаве” предвиђена је изградња или реконструкција следећих јавних путева:</w:t>
      </w:r>
    </w:p>
    <w:p>
      <w:pPr>
        <w:pStyle w:val="BodyText"/>
        <w:spacing w:line="235" w:lineRule="auto"/>
        <w:ind w:left="243" w:right="127" w:firstLine="396"/>
      </w:pPr>
      <w:r>
        <w:rPr>
          <w:color w:val="231F20"/>
          <w:w w:val="66"/>
        </w:rPr>
        <w:t> </w:t>
      </w:r>
      <w:r>
        <w:rPr>
          <w:color w:val="231F20"/>
        </w:rPr>
        <w:t>– реконструкција постојеће саобраћајнице у насељу Кленов- ник која води према гробљу села Бродарац и у наставку, изградња новог општинског пута који ће повезивати насеље Кленовник са манастиром Рукумија;</w:t>
      </w:r>
    </w:p>
    <w:p>
      <w:pPr>
        <w:pStyle w:val="BodyText"/>
        <w:spacing w:line="235" w:lineRule="auto" w:before="1"/>
        <w:ind w:left="242" w:right="127" w:firstLine="396"/>
      </w:pPr>
      <w:r>
        <w:rPr>
          <w:color w:val="231F20"/>
          <w:w w:val="66"/>
        </w:rPr>
        <w:t> </w:t>
      </w:r>
      <w:r>
        <w:rPr>
          <w:color w:val="231F20"/>
        </w:rPr>
        <w:t>– изградња новог општинског пута као веза манастира Руку- мија и насеља Костолац село;</w:t>
      </w:r>
    </w:p>
    <w:p>
      <w:pPr>
        <w:pStyle w:val="BodyText"/>
        <w:spacing w:line="235" w:lineRule="auto"/>
        <w:ind w:left="243" w:right="127" w:firstLine="396"/>
      </w:pPr>
      <w:r>
        <w:rPr>
          <w:color w:val="231F20"/>
          <w:w w:val="66"/>
        </w:rPr>
        <w:t> </w:t>
      </w:r>
      <w:r>
        <w:rPr>
          <w:color w:val="231F20"/>
        </w:rPr>
        <w:t>–</w:t>
      </w:r>
      <w:r>
        <w:rPr>
          <w:color w:val="231F20"/>
          <w:spacing w:val="-14"/>
        </w:rPr>
        <w:t> </w:t>
      </w:r>
      <w:r>
        <w:rPr>
          <w:color w:val="231F20"/>
        </w:rPr>
        <w:t>реконструкција</w:t>
      </w:r>
      <w:r>
        <w:rPr>
          <w:color w:val="231F20"/>
          <w:spacing w:val="-14"/>
        </w:rPr>
        <w:t> </w:t>
      </w:r>
      <w:r>
        <w:rPr>
          <w:color w:val="231F20"/>
        </w:rPr>
        <w:t>постојећег</w:t>
      </w:r>
      <w:r>
        <w:rPr>
          <w:color w:val="231F20"/>
          <w:spacing w:val="-14"/>
        </w:rPr>
        <w:t> </w:t>
      </w:r>
      <w:r>
        <w:rPr>
          <w:color w:val="231F20"/>
        </w:rPr>
        <w:t>општинског</w:t>
      </w:r>
      <w:r>
        <w:rPr>
          <w:color w:val="231F20"/>
          <w:spacing w:val="-14"/>
        </w:rPr>
        <w:t> </w:t>
      </w:r>
      <w:r>
        <w:rPr>
          <w:color w:val="231F20"/>
        </w:rPr>
        <w:t>пута</w:t>
      </w:r>
      <w:r>
        <w:rPr>
          <w:color w:val="231F20"/>
          <w:spacing w:val="-14"/>
        </w:rPr>
        <w:t> </w:t>
      </w:r>
      <w:r>
        <w:rPr>
          <w:color w:val="231F20"/>
        </w:rPr>
        <w:t>Брадарац</w:t>
      </w:r>
      <w:r>
        <w:rPr>
          <w:color w:val="231F20"/>
          <w:spacing w:val="7"/>
        </w:rPr>
        <w:t> </w:t>
      </w:r>
      <w:r>
        <w:rPr>
          <w:color w:val="231F20"/>
        </w:rPr>
        <w:t>–</w:t>
      </w:r>
      <w:r>
        <w:rPr>
          <w:color w:val="231F20"/>
          <w:spacing w:val="-14"/>
        </w:rPr>
        <w:t> </w:t>
      </w:r>
      <w:r>
        <w:rPr>
          <w:color w:val="231F20"/>
        </w:rPr>
        <w:t>ма- настир Рукумија</w:t>
      </w:r>
      <w:r>
        <w:rPr>
          <w:color w:val="231F20"/>
          <w:spacing w:val="-1"/>
        </w:rPr>
        <w:t> </w:t>
      </w:r>
      <w:r>
        <w:rPr>
          <w:color w:val="231F20"/>
        </w:rPr>
        <w:t>и</w:t>
      </w:r>
    </w:p>
    <w:p>
      <w:pPr>
        <w:pStyle w:val="BodyText"/>
        <w:spacing w:line="235" w:lineRule="auto"/>
        <w:ind w:left="242" w:right="127" w:firstLine="396"/>
      </w:pPr>
      <w:r>
        <w:rPr>
          <w:color w:val="231F20"/>
          <w:w w:val="66"/>
        </w:rPr>
        <w:t> </w:t>
      </w:r>
      <w:r>
        <w:rPr>
          <w:color w:val="231F20"/>
        </w:rPr>
        <w:t>– реконструкција постојећих саобраћајница у насељу Косто- лац село до општинског пута бр. 5.</w:t>
      </w:r>
    </w:p>
    <w:p>
      <w:pPr>
        <w:pStyle w:val="BodyText"/>
        <w:spacing w:line="235" w:lineRule="auto"/>
        <w:ind w:left="241" w:right="127" w:firstLine="397"/>
      </w:pPr>
      <w:r>
        <w:rPr>
          <w:color w:val="231F20"/>
        </w:rPr>
        <w:t>Изградњом нових општинских путева остварује се </w:t>
      </w:r>
      <w:r>
        <w:rPr>
          <w:color w:val="231F20"/>
          <w:spacing w:val="-3"/>
        </w:rPr>
        <w:t>конти- </w:t>
      </w:r>
      <w:r>
        <w:rPr>
          <w:color w:val="231F20"/>
        </w:rPr>
        <w:t>нуитет у локалним кретањима на потезима Брадарац – манастир Рукумија – Кленовник и манастир Рукумија – Костолац село –</w:t>
      </w:r>
      <w:r>
        <w:rPr>
          <w:color w:val="231F20"/>
          <w:spacing w:val="-29"/>
        </w:rPr>
        <w:t> </w:t>
      </w:r>
      <w:r>
        <w:rPr>
          <w:color w:val="231F20"/>
          <w:spacing w:val="-3"/>
        </w:rPr>
        <w:t>Ко- </w:t>
      </w:r>
      <w:r>
        <w:rPr>
          <w:color w:val="231F20"/>
        </w:rPr>
        <w:t>столац,</w:t>
      </w:r>
      <w:r>
        <w:rPr>
          <w:color w:val="231F20"/>
          <w:spacing w:val="-8"/>
        </w:rPr>
        <w:t> </w:t>
      </w:r>
      <w:r>
        <w:rPr>
          <w:color w:val="231F20"/>
        </w:rPr>
        <w:t>и,</w:t>
      </w:r>
      <w:r>
        <w:rPr>
          <w:color w:val="231F20"/>
          <w:spacing w:val="-8"/>
        </w:rPr>
        <w:t> </w:t>
      </w:r>
      <w:r>
        <w:rPr>
          <w:color w:val="231F20"/>
        </w:rPr>
        <w:t>посебно,</w:t>
      </w:r>
      <w:r>
        <w:rPr>
          <w:color w:val="231F20"/>
          <w:spacing w:val="-8"/>
        </w:rPr>
        <w:t> </w:t>
      </w:r>
      <w:r>
        <w:rPr>
          <w:color w:val="231F20"/>
        </w:rPr>
        <w:t>активирање</w:t>
      </w:r>
      <w:r>
        <w:rPr>
          <w:color w:val="231F20"/>
          <w:spacing w:val="-8"/>
        </w:rPr>
        <w:t> </w:t>
      </w:r>
      <w:r>
        <w:rPr>
          <w:color w:val="231F20"/>
        </w:rPr>
        <w:t>туристичких</w:t>
      </w:r>
      <w:r>
        <w:rPr>
          <w:color w:val="231F20"/>
          <w:spacing w:val="-8"/>
        </w:rPr>
        <w:t> </w:t>
      </w:r>
      <w:r>
        <w:rPr>
          <w:color w:val="231F20"/>
        </w:rPr>
        <w:t>и</w:t>
      </w:r>
      <w:r>
        <w:rPr>
          <w:color w:val="231F20"/>
          <w:spacing w:val="-8"/>
        </w:rPr>
        <w:t> </w:t>
      </w:r>
      <w:r>
        <w:rPr>
          <w:color w:val="231F20"/>
        </w:rPr>
        <w:t>других</w:t>
      </w:r>
      <w:r>
        <w:rPr>
          <w:color w:val="231F20"/>
          <w:spacing w:val="-8"/>
        </w:rPr>
        <w:t> </w:t>
      </w:r>
      <w:r>
        <w:rPr>
          <w:color w:val="231F20"/>
        </w:rPr>
        <w:t>потенцијала овог</w:t>
      </w:r>
      <w:r>
        <w:rPr>
          <w:color w:val="231F20"/>
          <w:spacing w:val="-1"/>
        </w:rPr>
        <w:t> </w:t>
      </w:r>
      <w:r>
        <w:rPr>
          <w:color w:val="231F20"/>
        </w:rPr>
        <w:t>простора</w:t>
      </w:r>
    </w:p>
    <w:p>
      <w:pPr>
        <w:pStyle w:val="BodyText"/>
        <w:spacing w:line="235" w:lineRule="auto"/>
        <w:ind w:left="241" w:right="128" w:firstLine="397"/>
      </w:pPr>
      <w:r>
        <w:rPr>
          <w:color w:val="231F20"/>
        </w:rPr>
        <w:t>Регулационе ширине и елементи нивелационог плана, као    и попречни профили планираних јавних путева приказани су на рефералној карти бр. 10.1. – Намена простора, нивелација и ре- гулација. Аналитичко-геодетски елементи и сви остали елементи потребни за изградњу нових путева биће дефинисани кроз израду пројектно-техничке</w:t>
      </w:r>
      <w:r>
        <w:rPr>
          <w:color w:val="231F20"/>
          <w:spacing w:val="-1"/>
        </w:rPr>
        <w:t> </w:t>
      </w:r>
      <w:r>
        <w:rPr>
          <w:color w:val="231F20"/>
        </w:rPr>
        <w:t>документације.</w:t>
      </w:r>
    </w:p>
    <w:p>
      <w:pPr>
        <w:pStyle w:val="BodyText"/>
        <w:spacing w:line="235" w:lineRule="auto" w:before="170"/>
        <w:ind w:left="749" w:right="637"/>
        <w:jc w:val="center"/>
      </w:pPr>
      <w:r>
        <w:rPr>
          <w:color w:val="231F20"/>
        </w:rPr>
        <w:t>Нови општински пут на потезу од насеља Кленовник до манастира Рукумија</w:t>
      </w:r>
    </w:p>
    <w:p>
      <w:pPr>
        <w:pStyle w:val="BodyText"/>
        <w:spacing w:before="7"/>
        <w:ind w:left="0"/>
        <w:jc w:val="left"/>
        <w:rPr>
          <w:sz w:val="17"/>
        </w:rPr>
      </w:pPr>
    </w:p>
    <w:p>
      <w:pPr>
        <w:pStyle w:val="BodyText"/>
        <w:spacing w:line="235" w:lineRule="auto" w:before="1"/>
        <w:ind w:left="240" w:right="129" w:firstLine="396"/>
      </w:pPr>
      <w:r>
        <w:rPr>
          <w:color w:val="231F20"/>
        </w:rPr>
        <w:t>Траса</w:t>
      </w:r>
      <w:r>
        <w:rPr>
          <w:color w:val="231F20"/>
          <w:spacing w:val="-7"/>
        </w:rPr>
        <w:t> </w:t>
      </w:r>
      <w:r>
        <w:rPr>
          <w:color w:val="231F20"/>
        </w:rPr>
        <w:t>пута</w:t>
      </w:r>
      <w:r>
        <w:rPr>
          <w:color w:val="231F20"/>
          <w:spacing w:val="-7"/>
        </w:rPr>
        <w:t> </w:t>
      </w:r>
      <w:r>
        <w:rPr>
          <w:color w:val="231F20"/>
        </w:rPr>
        <w:t>почиње</w:t>
      </w:r>
      <w:r>
        <w:rPr>
          <w:color w:val="231F20"/>
          <w:spacing w:val="-8"/>
        </w:rPr>
        <w:t> </w:t>
      </w:r>
      <w:r>
        <w:rPr>
          <w:color w:val="231F20"/>
        </w:rPr>
        <w:t>на</w:t>
      </w:r>
      <w:r>
        <w:rPr>
          <w:color w:val="231F20"/>
          <w:spacing w:val="-8"/>
        </w:rPr>
        <w:t> </w:t>
      </w:r>
      <w:r>
        <w:rPr>
          <w:color w:val="231F20"/>
        </w:rPr>
        <w:t>укрштању</w:t>
      </w:r>
      <w:r>
        <w:rPr>
          <w:color w:val="231F20"/>
          <w:spacing w:val="-7"/>
        </w:rPr>
        <w:t> </w:t>
      </w:r>
      <w:r>
        <w:rPr>
          <w:color w:val="231F20"/>
        </w:rPr>
        <w:t>са</w:t>
      </w:r>
      <w:r>
        <w:rPr>
          <w:color w:val="231F20"/>
          <w:spacing w:val="-7"/>
        </w:rPr>
        <w:t> </w:t>
      </w:r>
      <w:r>
        <w:rPr>
          <w:color w:val="231F20"/>
        </w:rPr>
        <w:t>постојећим</w:t>
      </w:r>
      <w:r>
        <w:rPr>
          <w:color w:val="231F20"/>
          <w:spacing w:val="-7"/>
        </w:rPr>
        <w:t> </w:t>
      </w:r>
      <w:r>
        <w:rPr>
          <w:color w:val="231F20"/>
        </w:rPr>
        <w:t>државним</w:t>
      </w:r>
      <w:r>
        <w:rPr>
          <w:color w:val="231F20"/>
          <w:spacing w:val="-8"/>
        </w:rPr>
        <w:t> </w:t>
      </w:r>
      <w:r>
        <w:rPr>
          <w:color w:val="231F20"/>
        </w:rPr>
        <w:t>пу- тем II реда бр. 103 (Костолац – Пожаревац – Жабари –</w:t>
      </w:r>
      <w:r>
        <w:rPr>
          <w:color w:val="231F20"/>
          <w:spacing w:val="10"/>
        </w:rPr>
        <w:t> </w:t>
      </w:r>
      <w:r>
        <w:rPr>
          <w:color w:val="231F20"/>
        </w:rPr>
        <w:t>Свилајнац</w:t>
      </w:r>
    </w:p>
    <w:p>
      <w:pPr>
        <w:pStyle w:val="BodyText"/>
        <w:spacing w:line="235" w:lineRule="auto"/>
        <w:ind w:left="240" w:right="129"/>
      </w:pPr>
      <w:r>
        <w:rPr>
          <w:color w:val="231F20"/>
          <w:w w:val="66"/>
        </w:rPr>
        <w:t> </w:t>
      </w:r>
      <w:r>
        <w:rPr>
          <w:color w:val="231F20"/>
        </w:rPr>
        <w:t>– Ћуприја) – оријентациона стационажа km 1+975, а завршава се повезивањем са постојећим општинским путем ОП8 (Брадарац – Рукумија) у непосредној близини манастира. Укупна дужина но- вог пута који треба да има функционални ранг општинског пута износи 2965m.</w:t>
      </w:r>
    </w:p>
    <w:p>
      <w:pPr>
        <w:pStyle w:val="BodyText"/>
        <w:spacing w:line="235" w:lineRule="auto"/>
        <w:ind w:left="239" w:right="130" w:firstLine="397"/>
      </w:pPr>
      <w:r>
        <w:rPr>
          <w:color w:val="231F20"/>
        </w:rPr>
        <w:t>Према условима на терену, као и према потреби за рекон- струкцијом или изградњом разликују се две деонице новог оп- штинског пута:</w:t>
      </w:r>
    </w:p>
    <w:p>
      <w:pPr>
        <w:pStyle w:val="BodyText"/>
        <w:spacing w:line="235" w:lineRule="auto"/>
        <w:ind w:left="239" w:right="130" w:firstLine="396"/>
      </w:pPr>
      <w:r>
        <w:rPr>
          <w:color w:val="231F20"/>
          <w:w w:val="66"/>
        </w:rPr>
        <w:t> </w:t>
      </w:r>
      <w:r>
        <w:rPr>
          <w:color w:val="231F20"/>
        </w:rPr>
        <w:t>– деоница од насеља Кленовник до раскрснице са новим оп- штинским путем према насељу Костолац село и</w:t>
      </w:r>
    </w:p>
    <w:p>
      <w:pPr>
        <w:pStyle w:val="BodyText"/>
        <w:spacing w:line="235" w:lineRule="auto"/>
        <w:ind w:left="239" w:right="130" w:firstLine="396"/>
      </w:pPr>
      <w:r>
        <w:rPr>
          <w:color w:val="231F20"/>
          <w:w w:val="66"/>
        </w:rPr>
        <w:t> </w:t>
      </w:r>
      <w:r>
        <w:rPr>
          <w:color w:val="231F20"/>
        </w:rPr>
        <w:t>– деоница од раскрснице са новим општинским путем према насељу Костолац село до манастира Рукумија.</w:t>
      </w:r>
    </w:p>
    <w:p>
      <w:pPr>
        <w:pStyle w:val="BodyText"/>
        <w:spacing w:line="235" w:lineRule="auto" w:before="170"/>
        <w:ind w:left="530" w:right="421"/>
        <w:jc w:val="center"/>
      </w:pPr>
      <w:r>
        <w:rPr>
          <w:color w:val="231F20"/>
        </w:rPr>
        <w:t>Деоница oд раскрснице са планираним општинским путем који води ка насељу Костолац село до манастира Рукумија</w:t>
      </w:r>
    </w:p>
    <w:p>
      <w:pPr>
        <w:pStyle w:val="BodyText"/>
        <w:spacing w:before="7"/>
        <w:ind w:left="0"/>
        <w:jc w:val="left"/>
        <w:rPr>
          <w:sz w:val="17"/>
        </w:rPr>
      </w:pPr>
    </w:p>
    <w:p>
      <w:pPr>
        <w:pStyle w:val="BodyText"/>
        <w:spacing w:line="235" w:lineRule="auto"/>
        <w:ind w:left="239" w:right="130" w:firstLine="397"/>
      </w:pPr>
      <w:r>
        <w:rPr>
          <w:color w:val="231F20"/>
        </w:rPr>
        <w:t>Деоница пута Кленовник – Рукумија почиње </w:t>
      </w:r>
      <w:r>
        <w:rPr>
          <w:color w:val="231F20"/>
          <w:spacing w:val="-3"/>
        </w:rPr>
        <w:t>од </w:t>
      </w:r>
      <w:r>
        <w:rPr>
          <w:color w:val="231F20"/>
        </w:rPr>
        <w:t>површинске раскрснице са планираним општинским путем према селу Косто- лац (оријентациона стационажа km 1+513), простире се према ис- току</w:t>
      </w:r>
      <w:r>
        <w:rPr>
          <w:color w:val="231F20"/>
          <w:spacing w:val="-8"/>
        </w:rPr>
        <w:t> </w:t>
      </w:r>
      <w:r>
        <w:rPr>
          <w:color w:val="231F20"/>
        </w:rPr>
        <w:t>у</w:t>
      </w:r>
      <w:r>
        <w:rPr>
          <w:color w:val="231F20"/>
          <w:spacing w:val="-8"/>
        </w:rPr>
        <w:t> </w:t>
      </w:r>
      <w:r>
        <w:rPr>
          <w:color w:val="231F20"/>
        </w:rPr>
        <w:t>коридору</w:t>
      </w:r>
      <w:r>
        <w:rPr>
          <w:color w:val="231F20"/>
          <w:spacing w:val="-8"/>
        </w:rPr>
        <w:t> </w:t>
      </w:r>
      <w:r>
        <w:rPr>
          <w:color w:val="231F20"/>
        </w:rPr>
        <w:t>постојећег</w:t>
      </w:r>
      <w:r>
        <w:rPr>
          <w:color w:val="231F20"/>
          <w:spacing w:val="-8"/>
        </w:rPr>
        <w:t> </w:t>
      </w:r>
      <w:r>
        <w:rPr>
          <w:color w:val="231F20"/>
        </w:rPr>
        <w:t>некатегорисаног</w:t>
      </w:r>
      <w:r>
        <w:rPr>
          <w:color w:val="231F20"/>
          <w:spacing w:val="-8"/>
        </w:rPr>
        <w:t> </w:t>
      </w:r>
      <w:r>
        <w:rPr>
          <w:color w:val="231F20"/>
        </w:rPr>
        <w:t>пута,</w:t>
      </w:r>
      <w:r>
        <w:rPr>
          <w:color w:val="231F20"/>
          <w:spacing w:val="-8"/>
        </w:rPr>
        <w:t> </w:t>
      </w:r>
      <w:r>
        <w:rPr>
          <w:color w:val="231F20"/>
        </w:rPr>
        <w:t>у</w:t>
      </w:r>
      <w:r>
        <w:rPr>
          <w:color w:val="231F20"/>
          <w:spacing w:val="-8"/>
        </w:rPr>
        <w:t> </w:t>
      </w:r>
      <w:r>
        <w:rPr>
          <w:color w:val="231F20"/>
        </w:rPr>
        <w:t>дужини</w:t>
      </w:r>
      <w:r>
        <w:rPr>
          <w:color w:val="231F20"/>
          <w:spacing w:val="-8"/>
        </w:rPr>
        <w:t> </w:t>
      </w:r>
      <w:r>
        <w:rPr>
          <w:color w:val="231F20"/>
          <w:spacing w:val="-3"/>
        </w:rPr>
        <w:t>од</w:t>
      </w:r>
      <w:r>
        <w:rPr>
          <w:color w:val="231F20"/>
          <w:spacing w:val="-8"/>
        </w:rPr>
        <w:t> </w:t>
      </w:r>
      <w:r>
        <w:rPr>
          <w:color w:val="231F20"/>
          <w:spacing w:val="-4"/>
        </w:rPr>
        <w:t>око </w:t>
      </w:r>
      <w:r>
        <w:rPr>
          <w:color w:val="231F20"/>
        </w:rPr>
        <w:t>900m,</w:t>
      </w:r>
      <w:r>
        <w:rPr>
          <w:color w:val="231F20"/>
          <w:spacing w:val="7"/>
        </w:rPr>
        <w:t> </w:t>
      </w:r>
      <w:r>
        <w:rPr>
          <w:color w:val="231F20"/>
        </w:rPr>
        <w:t>а</w:t>
      </w:r>
      <w:r>
        <w:rPr>
          <w:color w:val="231F20"/>
          <w:spacing w:val="7"/>
        </w:rPr>
        <w:t> </w:t>
      </w:r>
      <w:r>
        <w:rPr>
          <w:color w:val="231F20"/>
        </w:rPr>
        <w:t>затим</w:t>
      </w:r>
      <w:r>
        <w:rPr>
          <w:color w:val="231F20"/>
          <w:spacing w:val="7"/>
        </w:rPr>
        <w:t> </w:t>
      </w:r>
      <w:r>
        <w:rPr>
          <w:color w:val="231F20"/>
        </w:rPr>
        <w:t>мења</w:t>
      </w:r>
      <w:r>
        <w:rPr>
          <w:color w:val="231F20"/>
          <w:spacing w:val="7"/>
        </w:rPr>
        <w:t> </w:t>
      </w:r>
      <w:r>
        <w:rPr>
          <w:color w:val="231F20"/>
        </w:rPr>
        <w:t>правац</w:t>
      </w:r>
      <w:r>
        <w:rPr>
          <w:color w:val="231F20"/>
          <w:spacing w:val="7"/>
        </w:rPr>
        <w:t> </w:t>
      </w:r>
      <w:r>
        <w:rPr>
          <w:color w:val="231F20"/>
        </w:rPr>
        <w:t>према</w:t>
      </w:r>
      <w:r>
        <w:rPr>
          <w:color w:val="231F20"/>
          <w:spacing w:val="7"/>
        </w:rPr>
        <w:t> </w:t>
      </w:r>
      <w:r>
        <w:rPr>
          <w:color w:val="231F20"/>
        </w:rPr>
        <w:t>југу</w:t>
      </w:r>
      <w:r>
        <w:rPr>
          <w:color w:val="231F20"/>
          <w:spacing w:val="7"/>
        </w:rPr>
        <w:t> </w:t>
      </w:r>
      <w:r>
        <w:rPr>
          <w:color w:val="231F20"/>
        </w:rPr>
        <w:t>простирући</w:t>
      </w:r>
      <w:r>
        <w:rPr>
          <w:color w:val="231F20"/>
          <w:spacing w:val="7"/>
        </w:rPr>
        <w:t> </w:t>
      </w:r>
      <w:r>
        <w:rPr>
          <w:color w:val="231F20"/>
        </w:rPr>
        <w:t>се</w:t>
      </w:r>
      <w:r>
        <w:rPr>
          <w:color w:val="231F20"/>
          <w:spacing w:val="7"/>
        </w:rPr>
        <w:t> </w:t>
      </w:r>
      <w:r>
        <w:rPr>
          <w:color w:val="231F20"/>
        </w:rPr>
        <w:t>у</w:t>
      </w:r>
      <w:r>
        <w:rPr>
          <w:color w:val="231F20"/>
          <w:spacing w:val="7"/>
        </w:rPr>
        <w:t> </w:t>
      </w:r>
      <w:r>
        <w:rPr>
          <w:color w:val="231F20"/>
        </w:rPr>
        <w:t>коридору</w:t>
      </w:r>
    </w:p>
    <w:p>
      <w:pPr>
        <w:spacing w:after="0" w:line="235" w:lineRule="auto"/>
        <w:sectPr>
          <w:pgSz w:w="12480" w:h="15690"/>
          <w:pgMar w:top="120" w:bottom="280" w:left="680" w:right="720"/>
          <w:cols w:num="2" w:equalWidth="0">
            <w:col w:w="5558" w:space="40"/>
            <w:col w:w="5482"/>
          </w:cols>
        </w:sectPr>
      </w:pPr>
    </w:p>
    <w:p>
      <w:pPr>
        <w:pStyle w:val="BodyText"/>
        <w:spacing w:line="232" w:lineRule="auto" w:before="73"/>
        <w:ind w:right="39"/>
      </w:pPr>
      <w:r>
        <w:rPr/>
        <w:pict>
          <v:line style="position:absolute;mso-position-horizontal-relative:page;mso-position-vertical-relative:page;z-index:5032" from="304.724396pt,11.942451pt" to="304.724396pt,748.950451pt" stroked="true" strokeweight=".6pt" strokecolor="#231f20">
            <v:stroke dashstyle="solid"/>
            <w10:wrap type="none"/>
          </v:line>
        </w:pict>
      </w:r>
      <w:r>
        <w:rPr>
          <w:color w:val="231F20"/>
        </w:rPr>
        <w:t>постојећег некатегорисаног пута до манастира Рукумија, одно- сно до постојећег општинског пута број 8 (Брадарац – Рукумија). Укупна дужина ове деонице новог општинског пута износи око 1452m, а завршава се на стационажи km 2+965.</w:t>
      </w:r>
    </w:p>
    <w:p>
      <w:pPr>
        <w:pStyle w:val="BodyText"/>
        <w:spacing w:line="230" w:lineRule="auto"/>
        <w:ind w:right="39" w:firstLine="396"/>
      </w:pPr>
      <w:r>
        <w:rPr>
          <w:color w:val="231F20"/>
        </w:rPr>
        <w:t>Попречни профил ове деонице пута у себи садржи две возне траке ширине 2,75 m, обостране ивичне траке минималне ширине 0,20 m и банкине у насипу, односно риголе у усеку оријентационе ширине 1 m. Укупна ширина појаса пута износи мин 9,9 m.</w:t>
      </w:r>
    </w:p>
    <w:p>
      <w:pPr>
        <w:pStyle w:val="BodyText"/>
        <w:spacing w:line="230" w:lineRule="auto"/>
        <w:ind w:right="38" w:firstLine="396"/>
      </w:pPr>
      <w:r>
        <w:rPr>
          <w:color w:val="231F20"/>
        </w:rPr>
        <w:t>Од раскрснице са планираним путем према селу Костолац </w:t>
      </w:r>
      <w:r>
        <w:rPr>
          <w:color w:val="231F20"/>
          <w:spacing w:val="-3"/>
        </w:rPr>
        <w:t>(кота </w:t>
      </w:r>
      <w:r>
        <w:rPr>
          <w:color w:val="231F20"/>
        </w:rPr>
        <w:t>157,96 mнв), у дужини </w:t>
      </w:r>
      <w:r>
        <w:rPr>
          <w:color w:val="231F20"/>
          <w:spacing w:val="-3"/>
        </w:rPr>
        <w:t>од </w:t>
      </w:r>
      <w:r>
        <w:rPr>
          <w:color w:val="231F20"/>
          <w:spacing w:val="-4"/>
        </w:rPr>
        <w:t>око </w:t>
      </w:r>
      <w:r>
        <w:rPr>
          <w:color w:val="231F20"/>
        </w:rPr>
        <w:t>1180m </w:t>
      </w:r>
      <w:r>
        <w:rPr>
          <w:color w:val="231F20"/>
          <w:spacing w:val="-3"/>
        </w:rPr>
        <w:t>(кота </w:t>
      </w:r>
      <w:r>
        <w:rPr>
          <w:color w:val="231F20"/>
        </w:rPr>
        <w:t>93,2 mнв) ниве- лета ове деонице пута је у паду са променљивим нагибима </w:t>
      </w:r>
      <w:r>
        <w:rPr>
          <w:color w:val="231F20"/>
          <w:spacing w:val="-3"/>
        </w:rPr>
        <w:t>који </w:t>
      </w:r>
      <w:r>
        <w:rPr>
          <w:color w:val="231F20"/>
        </w:rPr>
        <w:t>не прелазе вредност </w:t>
      </w:r>
      <w:r>
        <w:rPr>
          <w:color w:val="231F20"/>
          <w:spacing w:val="-3"/>
        </w:rPr>
        <w:t>од </w:t>
      </w:r>
      <w:r>
        <w:rPr>
          <w:color w:val="231F20"/>
        </w:rPr>
        <w:t>9%. Последњих 330m дужине, пут је у </w:t>
      </w:r>
      <w:r>
        <w:rPr>
          <w:color w:val="231F20"/>
          <w:spacing w:val="-3"/>
        </w:rPr>
        <w:t>благом </w:t>
      </w:r>
      <w:r>
        <w:rPr>
          <w:color w:val="231F20"/>
        </w:rPr>
        <w:t>успону а завршава се повезивањем са постојећим општинским пу- тем поред манастира Рукумија на </w:t>
      </w:r>
      <w:r>
        <w:rPr>
          <w:color w:val="231F20"/>
          <w:spacing w:val="-4"/>
        </w:rPr>
        <w:t>коти </w:t>
      </w:r>
      <w:r>
        <w:rPr>
          <w:color w:val="231F20"/>
        </w:rPr>
        <w:t>96,06 mнв.</w:t>
      </w:r>
    </w:p>
    <w:p>
      <w:pPr>
        <w:pStyle w:val="BodyText"/>
        <w:spacing w:line="230" w:lineRule="auto" w:before="162"/>
        <w:ind w:left="245" w:firstLine="120"/>
        <w:jc w:val="left"/>
      </w:pPr>
      <w:r>
        <w:rPr>
          <w:color w:val="231F20"/>
        </w:rPr>
        <w:t>Нови општински пут на потезу од раскрснице са планираним путем Кленовник – манастир Рукумија до насеља Костолац село</w:t>
      </w:r>
    </w:p>
    <w:p>
      <w:pPr>
        <w:pStyle w:val="BodyText"/>
        <w:spacing w:before="1"/>
        <w:ind w:left="0"/>
        <w:jc w:val="left"/>
        <w:rPr>
          <w:sz w:val="17"/>
        </w:rPr>
      </w:pPr>
    </w:p>
    <w:p>
      <w:pPr>
        <w:pStyle w:val="BodyText"/>
        <w:spacing w:line="230" w:lineRule="auto"/>
        <w:ind w:right="38" w:firstLine="397"/>
      </w:pPr>
      <w:r>
        <w:rPr>
          <w:color w:val="231F20"/>
        </w:rPr>
        <w:t>Планом је предвиђена изградња новог пута </w:t>
      </w:r>
      <w:r>
        <w:rPr>
          <w:color w:val="231F20"/>
          <w:spacing w:val="-3"/>
        </w:rPr>
        <w:t>који </w:t>
      </w:r>
      <w:r>
        <w:rPr>
          <w:color w:val="231F20"/>
        </w:rPr>
        <w:t>у категори- зацији путне мреже подручја треба да добије функционални ранг општинског пута а </w:t>
      </w:r>
      <w:r>
        <w:rPr>
          <w:color w:val="231F20"/>
          <w:spacing w:val="-3"/>
        </w:rPr>
        <w:t>којим </w:t>
      </w:r>
      <w:r>
        <w:rPr>
          <w:color w:val="231F20"/>
        </w:rPr>
        <w:t>ће се остварити веза манастира Рукумија са једне и насеља Кленовник са друге стране, са насељем Косто- лац село. Пут почиње на раскрсници са планираним путем Кле- новник – манастир Рукумија (стационажа кm 0+0), простире се источним и североисточним ободом </w:t>
      </w:r>
      <w:r>
        <w:rPr>
          <w:color w:val="231F20"/>
          <w:spacing w:val="-3"/>
        </w:rPr>
        <w:t>копа </w:t>
      </w:r>
      <w:r>
        <w:rPr>
          <w:color w:val="231F20"/>
        </w:rPr>
        <w:t>у затварању Кленовник до укрштања са постојећом транспортном </w:t>
      </w:r>
      <w:r>
        <w:rPr>
          <w:color w:val="231F20"/>
          <w:spacing w:val="-3"/>
        </w:rPr>
        <w:t>траком </w:t>
      </w:r>
      <w:r>
        <w:rPr>
          <w:color w:val="231F20"/>
        </w:rPr>
        <w:t>за угаљ (стацио- нажа кm 2+563), у наставку улази у западни део насеља Костолац село. </w:t>
      </w:r>
      <w:r>
        <w:rPr>
          <w:color w:val="231F20"/>
          <w:spacing w:val="-4"/>
        </w:rPr>
        <w:t>Укупна </w:t>
      </w:r>
      <w:r>
        <w:rPr>
          <w:color w:val="231F20"/>
        </w:rPr>
        <w:t>дужина новог пута до </w:t>
      </w:r>
      <w:r>
        <w:rPr>
          <w:color w:val="231F20"/>
          <w:spacing w:val="-3"/>
        </w:rPr>
        <w:t>уласка </w:t>
      </w:r>
      <w:r>
        <w:rPr>
          <w:color w:val="231F20"/>
        </w:rPr>
        <w:t>у подручје насеља </w:t>
      </w:r>
      <w:r>
        <w:rPr>
          <w:color w:val="231F20"/>
          <w:spacing w:val="-3"/>
        </w:rPr>
        <w:t>Ко- </w:t>
      </w:r>
      <w:r>
        <w:rPr>
          <w:color w:val="231F20"/>
        </w:rPr>
        <w:t>столац село износи </w:t>
      </w:r>
      <w:r>
        <w:rPr>
          <w:color w:val="231F20"/>
          <w:spacing w:val="-4"/>
        </w:rPr>
        <w:t>око </w:t>
      </w:r>
      <w:r>
        <w:rPr>
          <w:color w:val="231F20"/>
        </w:rPr>
        <w:t>2 700m.</w:t>
      </w:r>
    </w:p>
    <w:p>
      <w:pPr>
        <w:pStyle w:val="BodyText"/>
        <w:spacing w:line="230" w:lineRule="auto"/>
        <w:ind w:right="39" w:firstLine="396"/>
      </w:pPr>
      <w:r>
        <w:rPr>
          <w:color w:val="231F20"/>
        </w:rPr>
        <w:t>Ширина</w:t>
      </w:r>
      <w:r>
        <w:rPr>
          <w:color w:val="231F20"/>
          <w:spacing w:val="-7"/>
        </w:rPr>
        <w:t> </w:t>
      </w:r>
      <w:r>
        <w:rPr>
          <w:color w:val="231F20"/>
        </w:rPr>
        <w:t>појаса</w:t>
      </w:r>
      <w:r>
        <w:rPr>
          <w:color w:val="231F20"/>
          <w:spacing w:val="-7"/>
        </w:rPr>
        <w:t> </w:t>
      </w:r>
      <w:r>
        <w:rPr>
          <w:color w:val="231F20"/>
        </w:rPr>
        <w:t>новог</w:t>
      </w:r>
      <w:r>
        <w:rPr>
          <w:color w:val="231F20"/>
          <w:spacing w:val="-7"/>
        </w:rPr>
        <w:t> </w:t>
      </w:r>
      <w:r>
        <w:rPr>
          <w:color w:val="231F20"/>
        </w:rPr>
        <w:t>пута</w:t>
      </w:r>
      <w:r>
        <w:rPr>
          <w:color w:val="231F20"/>
          <w:spacing w:val="-7"/>
        </w:rPr>
        <w:t> </w:t>
      </w:r>
      <w:r>
        <w:rPr>
          <w:color w:val="231F20"/>
        </w:rPr>
        <w:t>износи</w:t>
      </w:r>
      <w:r>
        <w:rPr>
          <w:color w:val="231F20"/>
          <w:spacing w:val="-7"/>
        </w:rPr>
        <w:t> </w:t>
      </w:r>
      <w:r>
        <w:rPr>
          <w:color w:val="231F20"/>
        </w:rPr>
        <w:t>мин</w:t>
      </w:r>
      <w:r>
        <w:rPr>
          <w:color w:val="231F20"/>
          <w:spacing w:val="-7"/>
        </w:rPr>
        <w:t> </w:t>
      </w:r>
      <w:r>
        <w:rPr>
          <w:color w:val="231F20"/>
        </w:rPr>
        <w:t>9,9</w:t>
      </w:r>
      <w:r>
        <w:rPr>
          <w:color w:val="231F20"/>
          <w:spacing w:val="-7"/>
        </w:rPr>
        <w:t> </w:t>
      </w:r>
      <w:r>
        <w:rPr>
          <w:color w:val="231F20"/>
        </w:rPr>
        <w:t>m,</w:t>
      </w:r>
      <w:r>
        <w:rPr>
          <w:color w:val="231F20"/>
          <w:spacing w:val="-7"/>
        </w:rPr>
        <w:t> </w:t>
      </w:r>
      <w:r>
        <w:rPr>
          <w:color w:val="231F20"/>
        </w:rPr>
        <w:t>а</w:t>
      </w:r>
      <w:r>
        <w:rPr>
          <w:color w:val="231F20"/>
          <w:spacing w:val="-7"/>
        </w:rPr>
        <w:t> </w:t>
      </w:r>
      <w:r>
        <w:rPr>
          <w:color w:val="231F20"/>
        </w:rPr>
        <w:t>попречни</w:t>
      </w:r>
      <w:r>
        <w:rPr>
          <w:color w:val="231F20"/>
          <w:spacing w:val="-7"/>
        </w:rPr>
        <w:t> </w:t>
      </w:r>
      <w:r>
        <w:rPr>
          <w:color w:val="231F20"/>
        </w:rPr>
        <w:t>про- фил на целој дужини садржи </w:t>
      </w:r>
      <w:r>
        <w:rPr>
          <w:color w:val="231F20"/>
          <w:spacing w:val="-3"/>
        </w:rPr>
        <w:t>коловоз </w:t>
      </w:r>
      <w:r>
        <w:rPr>
          <w:color w:val="231F20"/>
        </w:rPr>
        <w:t>са две саобраћајне траке</w:t>
      </w:r>
      <w:r>
        <w:rPr>
          <w:color w:val="231F20"/>
          <w:spacing w:val="-24"/>
        </w:rPr>
        <w:t> </w:t>
      </w:r>
      <w:r>
        <w:rPr>
          <w:color w:val="231F20"/>
        </w:rPr>
        <w:t>ши- рине 2,75 m, ивичне траке минималне ширине 0,2 m и обостране банкине у </w:t>
      </w:r>
      <w:r>
        <w:rPr>
          <w:color w:val="231F20"/>
          <w:spacing w:val="-3"/>
        </w:rPr>
        <w:t>насипу, </w:t>
      </w:r>
      <w:r>
        <w:rPr>
          <w:color w:val="231F20"/>
        </w:rPr>
        <w:t>односно риголе у усеку ширине 1</w:t>
      </w:r>
      <w:r>
        <w:rPr>
          <w:color w:val="231F20"/>
          <w:spacing w:val="-7"/>
        </w:rPr>
        <w:t> </w:t>
      </w:r>
      <w:r>
        <w:rPr>
          <w:color w:val="231F20"/>
        </w:rPr>
        <w:t>m.</w:t>
      </w:r>
    </w:p>
    <w:p>
      <w:pPr>
        <w:pStyle w:val="BodyText"/>
        <w:spacing w:line="230" w:lineRule="auto"/>
        <w:ind w:right="38" w:firstLine="397"/>
      </w:pPr>
      <w:r>
        <w:rPr>
          <w:color w:val="231F20"/>
        </w:rPr>
        <w:t>У нивелационом </w:t>
      </w:r>
      <w:r>
        <w:rPr>
          <w:color w:val="231F20"/>
          <w:spacing w:val="-3"/>
        </w:rPr>
        <w:t>смислу, </w:t>
      </w:r>
      <w:r>
        <w:rPr>
          <w:color w:val="231F20"/>
        </w:rPr>
        <w:t>нови пут прати конфигурацију те- рена, па је </w:t>
      </w:r>
      <w:r>
        <w:rPr>
          <w:color w:val="231F20"/>
          <w:spacing w:val="-3"/>
        </w:rPr>
        <w:t>од </w:t>
      </w:r>
      <w:r>
        <w:rPr>
          <w:color w:val="231F20"/>
        </w:rPr>
        <w:t>кm 0+0 </w:t>
      </w:r>
      <w:r>
        <w:rPr>
          <w:color w:val="231F20"/>
          <w:spacing w:val="-3"/>
        </w:rPr>
        <w:t>(кота </w:t>
      </w:r>
      <w:r>
        <w:rPr>
          <w:color w:val="231F20"/>
        </w:rPr>
        <w:t>терена 157,96 mнв) до стационаже кm 1+077</w:t>
      </w:r>
      <w:r>
        <w:rPr>
          <w:color w:val="231F20"/>
          <w:spacing w:val="-6"/>
        </w:rPr>
        <w:t> </w:t>
      </w:r>
      <w:r>
        <w:rPr>
          <w:color w:val="231F20"/>
        </w:rPr>
        <w:t>у</w:t>
      </w:r>
      <w:r>
        <w:rPr>
          <w:color w:val="231F20"/>
          <w:spacing w:val="-6"/>
        </w:rPr>
        <w:t> </w:t>
      </w:r>
      <w:r>
        <w:rPr>
          <w:color w:val="231F20"/>
        </w:rPr>
        <w:t>сталном</w:t>
      </w:r>
      <w:r>
        <w:rPr>
          <w:color w:val="231F20"/>
          <w:spacing w:val="-6"/>
        </w:rPr>
        <w:t> </w:t>
      </w:r>
      <w:r>
        <w:rPr>
          <w:color w:val="231F20"/>
        </w:rPr>
        <w:t>успону</w:t>
      </w:r>
      <w:r>
        <w:rPr>
          <w:color w:val="231F20"/>
          <w:spacing w:val="-6"/>
        </w:rPr>
        <w:t> </w:t>
      </w:r>
      <w:r>
        <w:rPr>
          <w:color w:val="231F20"/>
        </w:rPr>
        <w:t>(до</w:t>
      </w:r>
      <w:r>
        <w:rPr>
          <w:color w:val="231F20"/>
          <w:spacing w:val="-6"/>
        </w:rPr>
        <w:t> </w:t>
      </w:r>
      <w:r>
        <w:rPr>
          <w:color w:val="231F20"/>
          <w:spacing w:val="-4"/>
        </w:rPr>
        <w:t>коте</w:t>
      </w:r>
      <w:r>
        <w:rPr>
          <w:color w:val="231F20"/>
          <w:spacing w:val="-6"/>
        </w:rPr>
        <w:t> </w:t>
      </w:r>
      <w:r>
        <w:rPr>
          <w:color w:val="231F20"/>
        </w:rPr>
        <w:t>терена</w:t>
      </w:r>
      <w:r>
        <w:rPr>
          <w:color w:val="231F20"/>
          <w:spacing w:val="-6"/>
        </w:rPr>
        <w:t> </w:t>
      </w:r>
      <w:r>
        <w:rPr>
          <w:color w:val="231F20"/>
        </w:rPr>
        <w:t>173</w:t>
      </w:r>
      <w:r>
        <w:rPr>
          <w:color w:val="231F20"/>
          <w:spacing w:val="-6"/>
        </w:rPr>
        <w:t> </w:t>
      </w:r>
      <w:r>
        <w:rPr>
          <w:color w:val="231F20"/>
        </w:rPr>
        <w:t>mнв),</w:t>
      </w:r>
      <w:r>
        <w:rPr>
          <w:color w:val="231F20"/>
          <w:spacing w:val="-6"/>
        </w:rPr>
        <w:t> </w:t>
      </w:r>
      <w:r>
        <w:rPr>
          <w:color w:val="231F20"/>
        </w:rPr>
        <w:t>у</w:t>
      </w:r>
      <w:r>
        <w:rPr>
          <w:color w:val="231F20"/>
          <w:spacing w:val="-6"/>
        </w:rPr>
        <w:t> </w:t>
      </w:r>
      <w:r>
        <w:rPr>
          <w:color w:val="231F20"/>
          <w:spacing w:val="-3"/>
        </w:rPr>
        <w:t>наставку,</w:t>
      </w:r>
      <w:r>
        <w:rPr>
          <w:color w:val="231F20"/>
          <w:spacing w:val="-6"/>
        </w:rPr>
        <w:t> </w:t>
      </w:r>
      <w:r>
        <w:rPr>
          <w:color w:val="231F20"/>
        </w:rPr>
        <w:t>у</w:t>
      </w:r>
      <w:r>
        <w:rPr>
          <w:color w:val="231F20"/>
          <w:spacing w:val="-6"/>
        </w:rPr>
        <w:t> </w:t>
      </w:r>
      <w:r>
        <w:rPr>
          <w:color w:val="231F20"/>
        </w:rPr>
        <w:t>ду- жини </w:t>
      </w:r>
      <w:r>
        <w:rPr>
          <w:color w:val="231F20"/>
          <w:spacing w:val="-3"/>
        </w:rPr>
        <w:t>од </w:t>
      </w:r>
      <w:r>
        <w:rPr>
          <w:color w:val="231F20"/>
          <w:spacing w:val="-4"/>
        </w:rPr>
        <w:t>око </w:t>
      </w:r>
      <w:r>
        <w:rPr>
          <w:color w:val="231F20"/>
        </w:rPr>
        <w:t>970 m нивелета је у паду до </w:t>
      </w:r>
      <w:r>
        <w:rPr>
          <w:color w:val="231F20"/>
          <w:spacing w:val="-4"/>
        </w:rPr>
        <w:t>коте </w:t>
      </w:r>
      <w:r>
        <w:rPr>
          <w:color w:val="231F20"/>
        </w:rPr>
        <w:t>123 mнв, а последња деоница пута до укрштања са постојећом транспортном </w:t>
      </w:r>
      <w:r>
        <w:rPr>
          <w:color w:val="231F20"/>
          <w:spacing w:val="-3"/>
        </w:rPr>
        <w:t>траком </w:t>
      </w:r>
      <w:r>
        <w:rPr>
          <w:color w:val="231F20"/>
        </w:rPr>
        <w:t>за угаљ, дужине </w:t>
      </w:r>
      <w:r>
        <w:rPr>
          <w:color w:val="231F20"/>
          <w:spacing w:val="-4"/>
        </w:rPr>
        <w:t>око </w:t>
      </w:r>
      <w:r>
        <w:rPr>
          <w:color w:val="231F20"/>
        </w:rPr>
        <w:t>500 m, у успону до </w:t>
      </w:r>
      <w:r>
        <w:rPr>
          <w:color w:val="231F20"/>
          <w:spacing w:val="-4"/>
        </w:rPr>
        <w:t>коте </w:t>
      </w:r>
      <w:r>
        <w:rPr>
          <w:color w:val="231F20"/>
        </w:rPr>
        <w:t>134 mнв. Максимални подужни нагиб пута износи 10%, али је он примењен на пар крат- ких деоница дужине </w:t>
      </w:r>
      <w:r>
        <w:rPr>
          <w:color w:val="231F20"/>
          <w:spacing w:val="-4"/>
        </w:rPr>
        <w:t>око </w:t>
      </w:r>
      <w:r>
        <w:rPr>
          <w:color w:val="231F20"/>
        </w:rPr>
        <w:t>100</w:t>
      </w:r>
      <w:r>
        <w:rPr>
          <w:color w:val="231F20"/>
          <w:spacing w:val="0"/>
        </w:rPr>
        <w:t> </w:t>
      </w:r>
      <w:r>
        <w:rPr>
          <w:color w:val="231F20"/>
        </w:rPr>
        <w:t>m.</w:t>
      </w:r>
    </w:p>
    <w:p>
      <w:pPr>
        <w:pStyle w:val="BodyText"/>
        <w:spacing w:line="230" w:lineRule="auto"/>
        <w:ind w:left="171" w:right="38" w:firstLine="396"/>
      </w:pPr>
      <w:r>
        <w:rPr>
          <w:color w:val="231F20"/>
          <w:spacing w:val="-3"/>
        </w:rPr>
        <w:t>Укрштање </w:t>
      </w:r>
      <w:r>
        <w:rPr>
          <w:color w:val="231F20"/>
        </w:rPr>
        <w:t>пута са постојећом транспортном </w:t>
      </w:r>
      <w:r>
        <w:rPr>
          <w:color w:val="231F20"/>
          <w:spacing w:val="-3"/>
        </w:rPr>
        <w:t>траком </w:t>
      </w:r>
      <w:r>
        <w:rPr>
          <w:color w:val="231F20"/>
        </w:rPr>
        <w:t>за угаљ и планираним пепеловодом остварује се на позицији постојећег моста старог </w:t>
      </w:r>
      <w:r>
        <w:rPr>
          <w:color w:val="231F20"/>
          <w:spacing w:val="-3"/>
        </w:rPr>
        <w:t>рударског </w:t>
      </w:r>
      <w:r>
        <w:rPr>
          <w:color w:val="231F20"/>
        </w:rPr>
        <w:t>пута (стационажа пута кm 2+563), на </w:t>
      </w:r>
      <w:r>
        <w:rPr>
          <w:color w:val="231F20"/>
          <w:spacing w:val="-4"/>
        </w:rPr>
        <w:t>ко- </w:t>
      </w:r>
      <w:r>
        <w:rPr>
          <w:color w:val="231F20"/>
        </w:rPr>
        <w:t>ти 134 mнв. Постојећи мост ширине 2,25 m треба реконструисати, односно проширити </w:t>
      </w:r>
      <w:r>
        <w:rPr>
          <w:color w:val="231F20"/>
          <w:spacing w:val="-3"/>
        </w:rPr>
        <w:t>тако </w:t>
      </w:r>
      <w:r>
        <w:rPr>
          <w:color w:val="231F20"/>
        </w:rPr>
        <w:t>да прати континуитет профила</w:t>
      </w:r>
      <w:r>
        <w:rPr>
          <w:color w:val="231F20"/>
          <w:spacing w:val="-14"/>
        </w:rPr>
        <w:t> </w:t>
      </w:r>
      <w:r>
        <w:rPr>
          <w:color w:val="231F20"/>
        </w:rPr>
        <w:t>пута.</w:t>
      </w:r>
    </w:p>
    <w:p>
      <w:pPr>
        <w:pStyle w:val="BodyText"/>
        <w:spacing w:line="230" w:lineRule="auto"/>
        <w:ind w:left="171" w:right="38" w:firstLine="397"/>
      </w:pPr>
      <w:r>
        <w:rPr>
          <w:color w:val="231F20"/>
        </w:rPr>
        <w:t>Од поменутог укрштања до </w:t>
      </w:r>
      <w:r>
        <w:rPr>
          <w:color w:val="231F20"/>
          <w:spacing w:val="-3"/>
        </w:rPr>
        <w:t>уласка </w:t>
      </w:r>
      <w:r>
        <w:rPr>
          <w:color w:val="231F20"/>
        </w:rPr>
        <w:t>у насеље Костолац село, дужина новог пута износи 145 m, а попречни профил садржи </w:t>
      </w:r>
      <w:r>
        <w:rPr>
          <w:color w:val="231F20"/>
          <w:spacing w:val="-4"/>
        </w:rPr>
        <w:t>ко- </w:t>
      </w:r>
      <w:r>
        <w:rPr>
          <w:color w:val="231F20"/>
        </w:rPr>
        <w:t>ловоз са две возне траке ширине 2,75 m, ивичне траке и</w:t>
      </w:r>
      <w:r>
        <w:rPr>
          <w:color w:val="231F20"/>
          <w:spacing w:val="-29"/>
        </w:rPr>
        <w:t> </w:t>
      </w:r>
      <w:r>
        <w:rPr>
          <w:color w:val="231F20"/>
        </w:rPr>
        <w:t>обостране банкине. Кроз само насеље нови општински пут пролази као </w:t>
      </w:r>
      <w:r>
        <w:rPr>
          <w:color w:val="231F20"/>
          <w:spacing w:val="-3"/>
        </w:rPr>
        <w:t>ули- </w:t>
      </w:r>
      <w:r>
        <w:rPr>
          <w:color w:val="231F20"/>
        </w:rPr>
        <w:t>ца Вељка Дугошевића, у дужини </w:t>
      </w:r>
      <w:r>
        <w:rPr>
          <w:color w:val="231F20"/>
          <w:spacing w:val="-3"/>
        </w:rPr>
        <w:t>од </w:t>
      </w:r>
      <w:r>
        <w:rPr>
          <w:color w:val="231F20"/>
        </w:rPr>
        <w:t>798 m, </w:t>
      </w:r>
      <w:r>
        <w:rPr>
          <w:color w:val="231F20"/>
          <w:spacing w:val="-3"/>
        </w:rPr>
        <w:t>која </w:t>
      </w:r>
      <w:r>
        <w:rPr>
          <w:color w:val="231F20"/>
        </w:rPr>
        <w:t>у постојећем ста- њу има просечну ширину </w:t>
      </w:r>
      <w:r>
        <w:rPr>
          <w:color w:val="231F20"/>
          <w:spacing w:val="-3"/>
        </w:rPr>
        <w:t>коловоза </w:t>
      </w:r>
      <w:r>
        <w:rPr>
          <w:color w:val="231F20"/>
        </w:rPr>
        <w:t>3,5 m. Предметну улицу треба реконструисати на целој дужини, а постојећа регулација омогућа- ва проширење </w:t>
      </w:r>
      <w:r>
        <w:rPr>
          <w:color w:val="231F20"/>
          <w:spacing w:val="-3"/>
        </w:rPr>
        <w:t>коловоза </w:t>
      </w:r>
      <w:r>
        <w:rPr>
          <w:color w:val="231F20"/>
        </w:rPr>
        <w:t>на ширину </w:t>
      </w:r>
      <w:r>
        <w:rPr>
          <w:color w:val="231F20"/>
          <w:spacing w:val="-3"/>
        </w:rPr>
        <w:t>од </w:t>
      </w:r>
      <w:r>
        <w:rPr>
          <w:color w:val="231F20"/>
        </w:rPr>
        <w:t>5,5 m на дужини </w:t>
      </w:r>
      <w:r>
        <w:rPr>
          <w:color w:val="231F20"/>
          <w:spacing w:val="-3"/>
        </w:rPr>
        <w:t>од </w:t>
      </w:r>
      <w:r>
        <w:rPr>
          <w:color w:val="231F20"/>
        </w:rPr>
        <w:t>320 m, односно на ширину 5 m у дужини </w:t>
      </w:r>
      <w:r>
        <w:rPr>
          <w:color w:val="231F20"/>
          <w:spacing w:val="-3"/>
        </w:rPr>
        <w:t>од </w:t>
      </w:r>
      <w:r>
        <w:rPr>
          <w:color w:val="231F20"/>
        </w:rPr>
        <w:t>480 m. Реконструкцијом по- стојећих саобраћајница у насељу Костолац село омогућава се </w:t>
      </w:r>
      <w:r>
        <w:rPr>
          <w:color w:val="231F20"/>
          <w:spacing w:val="-3"/>
        </w:rPr>
        <w:t>кон- </w:t>
      </w:r>
      <w:r>
        <w:rPr>
          <w:color w:val="231F20"/>
        </w:rPr>
        <w:t>тинуитет у локалним кретањима као и адекватно повезивање но- вог пута са постојећим општинским путем бр.5 (Костолац –</w:t>
      </w:r>
      <w:r>
        <w:rPr>
          <w:color w:val="231F20"/>
          <w:spacing w:val="-28"/>
        </w:rPr>
        <w:t> </w:t>
      </w:r>
      <w:r>
        <w:rPr>
          <w:color w:val="231F20"/>
        </w:rPr>
        <w:t>Стари Костолац –</w:t>
      </w:r>
      <w:r>
        <w:rPr>
          <w:color w:val="231F20"/>
          <w:spacing w:val="-17"/>
        </w:rPr>
        <w:t> </w:t>
      </w:r>
      <w:r>
        <w:rPr>
          <w:color w:val="231F20"/>
        </w:rPr>
        <w:t>Дрмно).</w:t>
      </w:r>
    </w:p>
    <w:p>
      <w:pPr>
        <w:pStyle w:val="BodyText"/>
        <w:spacing w:before="142"/>
        <w:ind w:left="567" w:hanging="366"/>
        <w:jc w:val="left"/>
      </w:pPr>
      <w:r>
        <w:rPr>
          <w:color w:val="231F20"/>
        </w:rPr>
        <w:t>Реконструкција постојећег општинског пута Брадарац – Рукумија</w:t>
      </w:r>
    </w:p>
    <w:p>
      <w:pPr>
        <w:pStyle w:val="BodyText"/>
        <w:spacing w:before="1"/>
        <w:ind w:left="0"/>
        <w:jc w:val="left"/>
        <w:rPr>
          <w:sz w:val="17"/>
        </w:rPr>
      </w:pPr>
    </w:p>
    <w:p>
      <w:pPr>
        <w:pStyle w:val="BodyText"/>
        <w:spacing w:line="230" w:lineRule="auto"/>
        <w:ind w:right="38" w:firstLine="397"/>
      </w:pPr>
      <w:r>
        <w:rPr>
          <w:color w:val="231F20"/>
        </w:rPr>
        <w:t>Предвиђа</w:t>
      </w:r>
      <w:r>
        <w:rPr>
          <w:color w:val="231F20"/>
          <w:spacing w:val="-18"/>
        </w:rPr>
        <w:t> </w:t>
      </w:r>
      <w:r>
        <w:rPr>
          <w:color w:val="231F20"/>
        </w:rPr>
        <w:t>се</w:t>
      </w:r>
      <w:r>
        <w:rPr>
          <w:color w:val="231F20"/>
          <w:spacing w:val="-18"/>
        </w:rPr>
        <w:t> </w:t>
      </w:r>
      <w:r>
        <w:rPr>
          <w:color w:val="231F20"/>
        </w:rPr>
        <w:t>реконструкција</w:t>
      </w:r>
      <w:r>
        <w:rPr>
          <w:color w:val="231F20"/>
          <w:spacing w:val="-18"/>
        </w:rPr>
        <w:t> </w:t>
      </w:r>
      <w:r>
        <w:rPr>
          <w:color w:val="231F20"/>
        </w:rPr>
        <w:t>постојећег</w:t>
      </w:r>
      <w:r>
        <w:rPr>
          <w:color w:val="231F20"/>
          <w:spacing w:val="-18"/>
        </w:rPr>
        <w:t> </w:t>
      </w:r>
      <w:r>
        <w:rPr>
          <w:color w:val="231F20"/>
        </w:rPr>
        <w:t>општинског</w:t>
      </w:r>
      <w:r>
        <w:rPr>
          <w:color w:val="231F20"/>
          <w:spacing w:val="-18"/>
        </w:rPr>
        <w:t> </w:t>
      </w:r>
      <w:r>
        <w:rPr>
          <w:color w:val="231F20"/>
        </w:rPr>
        <w:t>пута</w:t>
      </w:r>
      <w:r>
        <w:rPr>
          <w:color w:val="231F20"/>
          <w:spacing w:val="-18"/>
        </w:rPr>
        <w:t> </w:t>
      </w:r>
      <w:r>
        <w:rPr>
          <w:color w:val="231F20"/>
        </w:rPr>
        <w:t>бр.</w:t>
      </w:r>
      <w:r>
        <w:rPr>
          <w:color w:val="231F20"/>
          <w:spacing w:val="-17"/>
        </w:rPr>
        <w:t> </w:t>
      </w:r>
      <w:r>
        <w:rPr>
          <w:color w:val="231F20"/>
        </w:rPr>
        <w:t>8 Брадарац</w:t>
      </w:r>
      <w:r>
        <w:rPr>
          <w:color w:val="231F20"/>
          <w:spacing w:val="17"/>
        </w:rPr>
        <w:t> </w:t>
      </w:r>
      <w:r>
        <w:rPr>
          <w:color w:val="231F20"/>
        </w:rPr>
        <w:t>–</w:t>
      </w:r>
      <w:r>
        <w:rPr>
          <w:color w:val="231F20"/>
          <w:spacing w:val="-8"/>
        </w:rPr>
        <w:t> </w:t>
      </w:r>
      <w:r>
        <w:rPr>
          <w:color w:val="231F20"/>
        </w:rPr>
        <w:t>Рукумија,</w:t>
      </w:r>
      <w:r>
        <w:rPr>
          <w:color w:val="231F20"/>
          <w:spacing w:val="-8"/>
        </w:rPr>
        <w:t> </w:t>
      </w:r>
      <w:r>
        <w:rPr>
          <w:color w:val="231F20"/>
        </w:rPr>
        <w:t>на</w:t>
      </w:r>
      <w:r>
        <w:rPr>
          <w:color w:val="231F20"/>
          <w:spacing w:val="-8"/>
        </w:rPr>
        <w:t> </w:t>
      </w:r>
      <w:r>
        <w:rPr>
          <w:color w:val="231F20"/>
        </w:rPr>
        <w:t>потезу</w:t>
      </w:r>
      <w:r>
        <w:rPr>
          <w:color w:val="231F20"/>
          <w:spacing w:val="-8"/>
        </w:rPr>
        <w:t> </w:t>
      </w:r>
      <w:r>
        <w:rPr>
          <w:color w:val="231F20"/>
          <w:spacing w:val="-3"/>
        </w:rPr>
        <w:t>од</w:t>
      </w:r>
      <w:r>
        <w:rPr>
          <w:color w:val="231F20"/>
          <w:spacing w:val="-8"/>
        </w:rPr>
        <w:t> </w:t>
      </w:r>
      <w:r>
        <w:rPr>
          <w:color w:val="231F20"/>
        </w:rPr>
        <w:t>моста</w:t>
      </w:r>
      <w:r>
        <w:rPr>
          <w:color w:val="231F20"/>
          <w:spacing w:val="-8"/>
        </w:rPr>
        <w:t> </w:t>
      </w:r>
      <w:r>
        <w:rPr>
          <w:color w:val="231F20"/>
        </w:rPr>
        <w:t>на</w:t>
      </w:r>
      <w:r>
        <w:rPr>
          <w:color w:val="231F20"/>
          <w:spacing w:val="-8"/>
        </w:rPr>
        <w:t> </w:t>
      </w:r>
      <w:r>
        <w:rPr>
          <w:color w:val="231F20"/>
        </w:rPr>
        <w:t>Млави</w:t>
      </w:r>
      <w:r>
        <w:rPr>
          <w:color w:val="231F20"/>
          <w:spacing w:val="-8"/>
        </w:rPr>
        <w:t> </w:t>
      </w:r>
      <w:r>
        <w:rPr>
          <w:color w:val="231F20"/>
        </w:rPr>
        <w:t>(оријентациона стационажа кm 1+176) до манастира Рукумија, односно до пове- зивања са новим путем Рукумија – Кленовник (стационажа ОП8 кm 1+902). </w:t>
      </w:r>
      <w:r>
        <w:rPr>
          <w:color w:val="231F20"/>
          <w:spacing w:val="-4"/>
        </w:rPr>
        <w:t>Укупна </w:t>
      </w:r>
      <w:r>
        <w:rPr>
          <w:color w:val="231F20"/>
        </w:rPr>
        <w:t>дужина предвиђена за реконструкцију износи </w:t>
      </w:r>
      <w:r>
        <w:rPr>
          <w:color w:val="231F20"/>
          <w:spacing w:val="-4"/>
        </w:rPr>
        <w:t>око </w:t>
      </w:r>
      <w:r>
        <w:rPr>
          <w:color w:val="231F20"/>
        </w:rPr>
        <w:t>730 m. Предметна деоница постојећег пута има просечну ши- рину </w:t>
      </w:r>
      <w:r>
        <w:rPr>
          <w:color w:val="231F20"/>
          <w:spacing w:val="-3"/>
        </w:rPr>
        <w:t>коловоза </w:t>
      </w:r>
      <w:r>
        <w:rPr>
          <w:color w:val="231F20"/>
        </w:rPr>
        <w:t>4 m. Реконструкцијом у постојећем коридору пред- видети проширење </w:t>
      </w:r>
      <w:r>
        <w:rPr>
          <w:color w:val="231F20"/>
          <w:spacing w:val="-3"/>
        </w:rPr>
        <w:t>коловоза </w:t>
      </w:r>
      <w:r>
        <w:rPr>
          <w:color w:val="231F20"/>
        </w:rPr>
        <w:t>и побољшање техничких елемената пута тамо </w:t>
      </w:r>
      <w:r>
        <w:rPr>
          <w:color w:val="231F20"/>
          <w:spacing w:val="-4"/>
        </w:rPr>
        <w:t>где </w:t>
      </w:r>
      <w:r>
        <w:rPr>
          <w:color w:val="231F20"/>
        </w:rPr>
        <w:t>то услови терена </w:t>
      </w:r>
      <w:r>
        <w:rPr>
          <w:color w:val="231F20"/>
          <w:spacing w:val="-3"/>
        </w:rPr>
        <w:t>омогућавају. </w:t>
      </w:r>
      <w:r>
        <w:rPr>
          <w:color w:val="231F20"/>
        </w:rPr>
        <w:t>Попречни профил ре- конструисаног пута треба да садржи </w:t>
      </w:r>
      <w:r>
        <w:rPr>
          <w:color w:val="231F20"/>
          <w:spacing w:val="-3"/>
        </w:rPr>
        <w:t>коловоз </w:t>
      </w:r>
      <w:r>
        <w:rPr>
          <w:color w:val="231F20"/>
        </w:rPr>
        <w:t>ширине мин 5,5 m (2х2,75), обостране ивичне траке, односно ивичњаке у зони мана- стира, минималне ширине 0,20 m и обостране банкине (риголе у усеку) ширине 1</w:t>
      </w:r>
      <w:r>
        <w:rPr>
          <w:color w:val="231F20"/>
          <w:spacing w:val="-2"/>
        </w:rPr>
        <w:t> </w:t>
      </w:r>
      <w:r>
        <w:rPr>
          <w:color w:val="231F20"/>
        </w:rPr>
        <w:t>m.</w:t>
      </w:r>
    </w:p>
    <w:p>
      <w:pPr>
        <w:pStyle w:val="BodyText"/>
        <w:spacing w:before="67"/>
        <w:ind w:left="458"/>
        <w:jc w:val="left"/>
      </w:pPr>
      <w:r>
        <w:rPr/>
        <w:br w:type="column"/>
      </w:r>
      <w:r>
        <w:rPr>
          <w:color w:val="231F20"/>
        </w:rPr>
        <w:t>Услови за заштиту, пројектовање и изградњу јавних путева</w:t>
      </w:r>
    </w:p>
    <w:p>
      <w:pPr>
        <w:pStyle w:val="BodyText"/>
        <w:spacing w:before="4"/>
        <w:ind w:left="0"/>
        <w:jc w:val="left"/>
        <w:rPr>
          <w:sz w:val="17"/>
        </w:rPr>
      </w:pPr>
    </w:p>
    <w:p>
      <w:pPr>
        <w:pStyle w:val="BodyText"/>
        <w:spacing w:line="232" w:lineRule="auto"/>
        <w:ind w:right="409" w:firstLine="396"/>
      </w:pPr>
      <w:r>
        <w:rPr>
          <w:color w:val="231F20"/>
        </w:rPr>
        <w:t>Предвиђа се заштитни појас на јавним путевима ван насеља ширине 5 m обострано – мерено од ивице појаса пута на спољну страну. У складу са чланом 28. Закона о јавним путевима („Слу- жбени гласник РС”, број 101/05) у заштитном појасу поред јавног пута ван насеља, забрањена је изградња грађевинских или других објеката, као и постављање постројења, уређаја и инсталација, осим изградње саобраћајних површина пратећих садржаја јавног пута, као и постројења, уређаја и инсталација који служе потре- бама јавног пута и саобраћаја на јавном путу. У заштитном појасу пута може да се гради, односно поставља, водовод, канализација, топловод, железничка пруга и други сличан објекат, као и телеко- муникациони и електро водови, инсталације, постројења и слич- но, по претходно прибављеној сагласности управљача јавног пута која садржи саобраћајно-техничке услове.</w:t>
      </w:r>
    </w:p>
    <w:p>
      <w:pPr>
        <w:pStyle w:val="BodyText"/>
        <w:spacing w:line="232" w:lineRule="auto"/>
        <w:ind w:left="172" w:right="409" w:firstLine="397"/>
      </w:pPr>
      <w:r>
        <w:rPr>
          <w:color w:val="231F20"/>
        </w:rPr>
        <w:t>Утврђује се појас контролисане изградње (ширине 5 m од ивице заштитног појаса) општинских путева у коме је забрањено отварање рудника, каменолома и депонија отпада и смећа.</w:t>
      </w:r>
    </w:p>
    <w:p>
      <w:pPr>
        <w:pStyle w:val="BodyText"/>
        <w:spacing w:line="232" w:lineRule="auto"/>
        <w:ind w:left="172" w:right="409" w:firstLine="397"/>
      </w:pPr>
      <w:r>
        <w:rPr>
          <w:color w:val="231F20"/>
          <w:spacing w:val="-3"/>
        </w:rPr>
        <w:t>Приликом </w:t>
      </w:r>
      <w:r>
        <w:rPr>
          <w:color w:val="231F20"/>
        </w:rPr>
        <w:t>израде техничке документације, у складу са </w:t>
      </w:r>
      <w:r>
        <w:rPr>
          <w:color w:val="231F20"/>
          <w:spacing w:val="-2"/>
        </w:rPr>
        <w:t>закон- </w:t>
      </w:r>
      <w:r>
        <w:rPr>
          <w:color w:val="231F20"/>
          <w:spacing w:val="-4"/>
        </w:rPr>
        <w:t>ском </w:t>
      </w:r>
      <w:r>
        <w:rPr>
          <w:color w:val="231F20"/>
          <w:spacing w:val="-3"/>
        </w:rPr>
        <w:t>регулативом </w:t>
      </w:r>
      <w:r>
        <w:rPr>
          <w:color w:val="231F20"/>
        </w:rPr>
        <w:t>и прописима </w:t>
      </w:r>
      <w:r>
        <w:rPr>
          <w:color w:val="231F20"/>
          <w:spacing w:val="-3"/>
        </w:rPr>
        <w:t>који </w:t>
      </w:r>
      <w:r>
        <w:rPr>
          <w:color w:val="231F20"/>
        </w:rPr>
        <w:t>регулишу област пројектова- ња ванградских путева, све елементе пута треба пројектовати </w:t>
      </w:r>
      <w:r>
        <w:rPr>
          <w:color w:val="231F20"/>
          <w:spacing w:val="-3"/>
        </w:rPr>
        <w:t>тако </w:t>
      </w:r>
      <w:r>
        <w:rPr>
          <w:color w:val="231F20"/>
        </w:rPr>
        <w:t>да</w:t>
      </w:r>
      <w:r>
        <w:rPr>
          <w:color w:val="231F20"/>
          <w:spacing w:val="-6"/>
        </w:rPr>
        <w:t> </w:t>
      </w:r>
      <w:r>
        <w:rPr>
          <w:color w:val="231F20"/>
        </w:rPr>
        <w:t>омогућавају</w:t>
      </w:r>
      <w:r>
        <w:rPr>
          <w:color w:val="231F20"/>
          <w:spacing w:val="-6"/>
        </w:rPr>
        <w:t> </w:t>
      </w:r>
      <w:r>
        <w:rPr>
          <w:color w:val="231F20"/>
        </w:rPr>
        <w:t>безбедан</w:t>
      </w:r>
      <w:r>
        <w:rPr>
          <w:color w:val="231F20"/>
          <w:spacing w:val="-6"/>
        </w:rPr>
        <w:t> </w:t>
      </w:r>
      <w:r>
        <w:rPr>
          <w:color w:val="231F20"/>
        </w:rPr>
        <w:t>саобраћај</w:t>
      </w:r>
      <w:r>
        <w:rPr>
          <w:color w:val="231F20"/>
          <w:spacing w:val="-6"/>
        </w:rPr>
        <w:t> </w:t>
      </w:r>
      <w:r>
        <w:rPr>
          <w:color w:val="231F20"/>
        </w:rPr>
        <w:t>за</w:t>
      </w:r>
      <w:r>
        <w:rPr>
          <w:color w:val="231F20"/>
          <w:spacing w:val="-6"/>
        </w:rPr>
        <w:t> </w:t>
      </w:r>
      <w:r>
        <w:rPr>
          <w:color w:val="231F20"/>
        </w:rPr>
        <w:t>брзину</w:t>
      </w:r>
      <w:r>
        <w:rPr>
          <w:color w:val="231F20"/>
          <w:spacing w:val="-6"/>
        </w:rPr>
        <w:t> </w:t>
      </w:r>
      <w:r>
        <w:rPr>
          <w:color w:val="231F20"/>
          <w:spacing w:val="-3"/>
        </w:rPr>
        <w:t>од</w:t>
      </w:r>
      <w:r>
        <w:rPr>
          <w:color w:val="231F20"/>
          <w:spacing w:val="-6"/>
        </w:rPr>
        <w:t> </w:t>
      </w:r>
      <w:r>
        <w:rPr>
          <w:color w:val="231F20"/>
        </w:rPr>
        <w:t>најмање</w:t>
      </w:r>
      <w:r>
        <w:rPr>
          <w:color w:val="231F20"/>
          <w:spacing w:val="-6"/>
        </w:rPr>
        <w:t> </w:t>
      </w:r>
      <w:r>
        <w:rPr>
          <w:color w:val="231F20"/>
        </w:rPr>
        <w:t>40</w:t>
      </w:r>
      <w:r>
        <w:rPr>
          <w:color w:val="231F20"/>
          <w:spacing w:val="-6"/>
        </w:rPr>
        <w:t> </w:t>
      </w:r>
      <w:r>
        <w:rPr>
          <w:color w:val="231F20"/>
        </w:rPr>
        <w:t>km/h,</w:t>
      </w:r>
      <w:r>
        <w:rPr>
          <w:color w:val="231F20"/>
          <w:spacing w:val="-6"/>
        </w:rPr>
        <w:t> </w:t>
      </w:r>
      <w:r>
        <w:rPr>
          <w:color w:val="231F20"/>
        </w:rPr>
        <w:t>а изузетно,</w:t>
      </w:r>
      <w:r>
        <w:rPr>
          <w:color w:val="231F20"/>
          <w:spacing w:val="-5"/>
        </w:rPr>
        <w:t> </w:t>
      </w:r>
      <w:r>
        <w:rPr>
          <w:color w:val="231F20"/>
        </w:rPr>
        <w:t>на</w:t>
      </w:r>
      <w:r>
        <w:rPr>
          <w:color w:val="231F20"/>
          <w:spacing w:val="-5"/>
        </w:rPr>
        <w:t> </w:t>
      </w:r>
      <w:r>
        <w:rPr>
          <w:color w:val="231F20"/>
        </w:rPr>
        <w:t>краћим</w:t>
      </w:r>
      <w:r>
        <w:rPr>
          <w:color w:val="231F20"/>
          <w:spacing w:val="-5"/>
        </w:rPr>
        <w:t> </w:t>
      </w:r>
      <w:r>
        <w:rPr>
          <w:color w:val="231F20"/>
        </w:rPr>
        <w:t>деоницама</w:t>
      </w:r>
      <w:r>
        <w:rPr>
          <w:color w:val="231F20"/>
          <w:spacing w:val="-5"/>
        </w:rPr>
        <w:t> </w:t>
      </w:r>
      <w:r>
        <w:rPr>
          <w:color w:val="231F20"/>
        </w:rPr>
        <w:t>и</w:t>
      </w:r>
      <w:r>
        <w:rPr>
          <w:color w:val="231F20"/>
          <w:spacing w:val="-5"/>
        </w:rPr>
        <w:t> </w:t>
      </w:r>
      <w:r>
        <w:rPr>
          <w:color w:val="231F20"/>
        </w:rPr>
        <w:t>у</w:t>
      </w:r>
      <w:r>
        <w:rPr>
          <w:color w:val="231F20"/>
          <w:spacing w:val="-5"/>
        </w:rPr>
        <w:t> </w:t>
      </w:r>
      <w:r>
        <w:rPr>
          <w:color w:val="231F20"/>
        </w:rPr>
        <w:t>складу</w:t>
      </w:r>
      <w:r>
        <w:rPr>
          <w:color w:val="231F20"/>
          <w:spacing w:val="-5"/>
        </w:rPr>
        <w:t> </w:t>
      </w:r>
      <w:r>
        <w:rPr>
          <w:color w:val="231F20"/>
        </w:rPr>
        <w:t>са</w:t>
      </w:r>
      <w:r>
        <w:rPr>
          <w:color w:val="231F20"/>
          <w:spacing w:val="-5"/>
        </w:rPr>
        <w:t> </w:t>
      </w:r>
      <w:r>
        <w:rPr>
          <w:color w:val="231F20"/>
        </w:rPr>
        <w:t>теренским</w:t>
      </w:r>
      <w:r>
        <w:rPr>
          <w:color w:val="231F20"/>
          <w:spacing w:val="-5"/>
        </w:rPr>
        <w:t> </w:t>
      </w:r>
      <w:r>
        <w:rPr>
          <w:color w:val="231F20"/>
        </w:rPr>
        <w:t>условима, за рачунску брзину мању </w:t>
      </w:r>
      <w:r>
        <w:rPr>
          <w:color w:val="231F20"/>
          <w:spacing w:val="-3"/>
        </w:rPr>
        <w:t>од </w:t>
      </w:r>
      <w:r>
        <w:rPr>
          <w:color w:val="231F20"/>
        </w:rPr>
        <w:t>40</w:t>
      </w:r>
      <w:r>
        <w:rPr>
          <w:color w:val="231F20"/>
          <w:spacing w:val="-2"/>
        </w:rPr>
        <w:t> </w:t>
      </w:r>
      <w:r>
        <w:rPr>
          <w:color w:val="231F20"/>
        </w:rPr>
        <w:t>km/h.</w:t>
      </w:r>
    </w:p>
    <w:p>
      <w:pPr>
        <w:pStyle w:val="BodyText"/>
        <w:spacing w:line="232" w:lineRule="auto"/>
        <w:ind w:left="172" w:right="409" w:firstLine="396"/>
      </w:pPr>
      <w:r>
        <w:rPr>
          <w:color w:val="231F20"/>
        </w:rPr>
        <w:t>Трасе</w:t>
      </w:r>
      <w:r>
        <w:rPr>
          <w:color w:val="231F20"/>
          <w:spacing w:val="-12"/>
        </w:rPr>
        <w:t> </w:t>
      </w:r>
      <w:r>
        <w:rPr>
          <w:color w:val="231F20"/>
        </w:rPr>
        <w:t>новопројектованих</w:t>
      </w:r>
      <w:r>
        <w:rPr>
          <w:color w:val="231F20"/>
          <w:spacing w:val="-11"/>
        </w:rPr>
        <w:t> </w:t>
      </w:r>
      <w:r>
        <w:rPr>
          <w:color w:val="231F20"/>
        </w:rPr>
        <w:t>путева</w:t>
      </w:r>
      <w:r>
        <w:rPr>
          <w:color w:val="231F20"/>
          <w:spacing w:val="-12"/>
        </w:rPr>
        <w:t> </w:t>
      </w:r>
      <w:r>
        <w:rPr>
          <w:color w:val="231F20"/>
        </w:rPr>
        <w:t>у</w:t>
      </w:r>
      <w:r>
        <w:rPr>
          <w:color w:val="231F20"/>
          <w:spacing w:val="-12"/>
        </w:rPr>
        <w:t> </w:t>
      </w:r>
      <w:r>
        <w:rPr>
          <w:color w:val="231F20"/>
        </w:rPr>
        <w:t>ситуационом</w:t>
      </w:r>
      <w:r>
        <w:rPr>
          <w:color w:val="231F20"/>
          <w:spacing w:val="-12"/>
        </w:rPr>
        <w:t> </w:t>
      </w:r>
      <w:r>
        <w:rPr>
          <w:color w:val="231F20"/>
        </w:rPr>
        <w:t>и</w:t>
      </w:r>
      <w:r>
        <w:rPr>
          <w:color w:val="231F20"/>
          <w:spacing w:val="-12"/>
        </w:rPr>
        <w:t> </w:t>
      </w:r>
      <w:r>
        <w:rPr>
          <w:color w:val="231F20"/>
        </w:rPr>
        <w:t>нивелацио- ном плану прилагодити</w:t>
      </w:r>
      <w:r>
        <w:rPr>
          <w:color w:val="231F20"/>
          <w:spacing w:val="-3"/>
        </w:rPr>
        <w:t> терену.</w:t>
      </w:r>
    </w:p>
    <w:p>
      <w:pPr>
        <w:pStyle w:val="BodyText"/>
        <w:spacing w:line="232" w:lineRule="auto"/>
        <w:ind w:left="172" w:right="409" w:firstLine="396"/>
      </w:pPr>
      <w:r>
        <w:rPr>
          <w:color w:val="231F20"/>
        </w:rPr>
        <w:t>Нивелацију саобраћајних површина ускладити са потребом задовољавања ефикасног одводњавања атмосферских вода.</w:t>
      </w:r>
    </w:p>
    <w:p>
      <w:pPr>
        <w:pStyle w:val="BodyText"/>
        <w:spacing w:line="232" w:lineRule="auto"/>
        <w:ind w:left="171" w:right="409" w:firstLine="397"/>
      </w:pPr>
      <w:r>
        <w:rPr>
          <w:color w:val="231F20"/>
        </w:rPr>
        <w:t>У складу са </w:t>
      </w:r>
      <w:r>
        <w:rPr>
          <w:color w:val="231F20"/>
          <w:spacing w:val="-3"/>
        </w:rPr>
        <w:t>Законом </w:t>
      </w:r>
      <w:r>
        <w:rPr>
          <w:color w:val="231F20"/>
        </w:rPr>
        <w:t>о јавним путевима, коловозну конструк- цију планираних и реконструисаних путева пројектовати </w:t>
      </w:r>
      <w:r>
        <w:rPr>
          <w:color w:val="231F20"/>
          <w:spacing w:val="-3"/>
        </w:rPr>
        <w:t>тако </w:t>
      </w:r>
      <w:r>
        <w:rPr>
          <w:color w:val="231F20"/>
        </w:rPr>
        <w:t>да </w:t>
      </w:r>
      <w:r>
        <w:rPr>
          <w:color w:val="231F20"/>
          <w:spacing w:val="-5"/>
        </w:rPr>
        <w:t>буде </w:t>
      </w:r>
      <w:r>
        <w:rPr>
          <w:color w:val="231F20"/>
        </w:rPr>
        <w:t>оспособљена да поднесе оптерећење </w:t>
      </w:r>
      <w:r>
        <w:rPr>
          <w:color w:val="231F20"/>
          <w:spacing w:val="-3"/>
        </w:rPr>
        <w:t>од </w:t>
      </w:r>
      <w:r>
        <w:rPr>
          <w:color w:val="231F20"/>
        </w:rPr>
        <w:t>најмање 6t по осо- вини (пожељно 11,5t). </w:t>
      </w:r>
      <w:r>
        <w:rPr>
          <w:color w:val="231F20"/>
          <w:spacing w:val="-3"/>
        </w:rPr>
        <w:t>Приликом </w:t>
      </w:r>
      <w:r>
        <w:rPr>
          <w:color w:val="231F20"/>
        </w:rPr>
        <w:t>пројектовања, изградње и ре- конструкције потребно је обезбедити попречни нагиб </w:t>
      </w:r>
      <w:r>
        <w:rPr>
          <w:color w:val="231F20"/>
          <w:spacing w:val="-3"/>
        </w:rPr>
        <w:t>коловоза од </w:t>
      </w:r>
      <w:r>
        <w:rPr>
          <w:color w:val="231F20"/>
        </w:rPr>
        <w:t>2,50 % на деоницама у правцу и највише 7,0 % у на деоницама у кривини.</w:t>
      </w:r>
    </w:p>
    <w:p>
      <w:pPr>
        <w:pStyle w:val="BodyText"/>
        <w:spacing w:line="232" w:lineRule="auto"/>
        <w:ind w:left="172" w:right="409" w:firstLine="396"/>
      </w:pPr>
      <w:r>
        <w:rPr>
          <w:color w:val="231F20"/>
        </w:rPr>
        <w:t>Земљани пут </w:t>
      </w:r>
      <w:r>
        <w:rPr>
          <w:color w:val="231F20"/>
          <w:spacing w:val="-3"/>
        </w:rPr>
        <w:t>који </w:t>
      </w:r>
      <w:r>
        <w:rPr>
          <w:color w:val="231F20"/>
        </w:rPr>
        <w:t>се укршта или прикључује на планирани јавни </w:t>
      </w:r>
      <w:r>
        <w:rPr>
          <w:color w:val="231F20"/>
          <w:spacing w:val="-4"/>
        </w:rPr>
        <w:t>пут, </w:t>
      </w:r>
      <w:r>
        <w:rPr>
          <w:color w:val="231F20"/>
        </w:rPr>
        <w:t>мора се изградити са тврдом </w:t>
      </w:r>
      <w:r>
        <w:rPr>
          <w:color w:val="231F20"/>
          <w:spacing w:val="-3"/>
        </w:rPr>
        <w:t>подлогом </w:t>
      </w:r>
      <w:r>
        <w:rPr>
          <w:color w:val="231F20"/>
        </w:rPr>
        <w:t>или са истим </w:t>
      </w:r>
      <w:r>
        <w:rPr>
          <w:color w:val="231F20"/>
          <w:spacing w:val="-4"/>
        </w:rPr>
        <w:t>ко- </w:t>
      </w:r>
      <w:r>
        <w:rPr>
          <w:color w:val="231F20"/>
        </w:rPr>
        <w:t>ловозним застором као и јавни пут у ширини </w:t>
      </w:r>
      <w:r>
        <w:rPr>
          <w:color w:val="231F20"/>
          <w:spacing w:val="-3"/>
        </w:rPr>
        <w:t>од  </w:t>
      </w:r>
      <w:r>
        <w:rPr>
          <w:color w:val="231F20"/>
        </w:rPr>
        <w:t>најмање 5 m и    у дужини </w:t>
      </w:r>
      <w:r>
        <w:rPr>
          <w:color w:val="231F20"/>
          <w:spacing w:val="-3"/>
        </w:rPr>
        <w:t>од </w:t>
      </w:r>
      <w:r>
        <w:rPr>
          <w:color w:val="231F20"/>
        </w:rPr>
        <w:t>најмање 10 m, рачунајући </w:t>
      </w:r>
      <w:r>
        <w:rPr>
          <w:color w:val="231F20"/>
          <w:spacing w:val="-3"/>
        </w:rPr>
        <w:t>од </w:t>
      </w:r>
      <w:r>
        <w:rPr>
          <w:color w:val="231F20"/>
        </w:rPr>
        <w:t>ивице </w:t>
      </w:r>
      <w:r>
        <w:rPr>
          <w:color w:val="231F20"/>
          <w:spacing w:val="-3"/>
        </w:rPr>
        <w:t>коловоза </w:t>
      </w:r>
      <w:r>
        <w:rPr>
          <w:color w:val="231F20"/>
        </w:rPr>
        <w:t>јавног пута.</w:t>
      </w:r>
    </w:p>
    <w:p>
      <w:pPr>
        <w:pStyle w:val="BodyText"/>
        <w:spacing w:line="232" w:lineRule="auto"/>
        <w:ind w:left="172" w:right="409" w:firstLine="396"/>
      </w:pPr>
      <w:r>
        <w:rPr>
          <w:color w:val="231F20"/>
        </w:rPr>
        <w:t>На укрштању јавних путева као и на укрштањима јавног и приступног пута неопходно је обезбедити зону прегледности.</w:t>
      </w:r>
    </w:p>
    <w:p>
      <w:pPr>
        <w:pStyle w:val="BodyText"/>
        <w:spacing w:line="232" w:lineRule="auto"/>
        <w:ind w:left="172" w:right="409" w:firstLine="396"/>
      </w:pPr>
      <w:r>
        <w:rPr>
          <w:color w:val="231F20"/>
        </w:rPr>
        <w:t>Ограде и дрвеће поред јавних путева подижу се тако да не ометају прегледност пута и не угрожавају безбедност саобраћаја.</w:t>
      </w:r>
    </w:p>
    <w:p>
      <w:pPr>
        <w:pStyle w:val="BodyText"/>
        <w:spacing w:line="232" w:lineRule="auto"/>
        <w:ind w:left="172" w:right="408" w:firstLine="396"/>
      </w:pPr>
      <w:r>
        <w:rPr>
          <w:color w:val="231F20"/>
        </w:rPr>
        <w:t>Пешачке површине (тротоаре) предвидети на деоницама но- вих/реконструисаних путева у зони насеља Кленовник, Костолац село и у зони манастира Рукумија.</w:t>
      </w:r>
    </w:p>
    <w:p>
      <w:pPr>
        <w:pStyle w:val="BodyText"/>
        <w:spacing w:line="232" w:lineRule="auto"/>
        <w:ind w:left="172" w:right="408" w:firstLine="397"/>
      </w:pPr>
      <w:r>
        <w:rPr>
          <w:color w:val="231F20"/>
        </w:rPr>
        <w:t>Попречни нагиб тротоара ускладити са системом одводњава коловоза саобраћајнице.</w:t>
      </w:r>
    </w:p>
    <w:p>
      <w:pPr>
        <w:pStyle w:val="BodyText"/>
        <w:spacing w:line="232" w:lineRule="auto"/>
        <w:ind w:left="172" w:right="408" w:firstLine="396"/>
      </w:pPr>
      <w:r>
        <w:rPr>
          <w:color w:val="231F20"/>
        </w:rPr>
        <w:t>Површинску обраду тротоара извести са завршном обрадом од асфалтног бетона или поплочањем префабрикованим бетон- ским елементима.</w:t>
      </w:r>
    </w:p>
    <w:p>
      <w:pPr>
        <w:pStyle w:val="BodyText"/>
        <w:spacing w:line="232" w:lineRule="auto"/>
        <w:ind w:left="172" w:right="409" w:firstLine="397"/>
      </w:pPr>
      <w:r>
        <w:rPr>
          <w:color w:val="231F20"/>
        </w:rPr>
        <w:t>Оивичење</w:t>
      </w:r>
      <w:r>
        <w:rPr>
          <w:color w:val="231F20"/>
          <w:spacing w:val="-11"/>
        </w:rPr>
        <w:t> </w:t>
      </w:r>
      <w:r>
        <w:rPr>
          <w:color w:val="231F20"/>
        </w:rPr>
        <w:t>коловоза,</w:t>
      </w:r>
      <w:r>
        <w:rPr>
          <w:color w:val="231F20"/>
          <w:spacing w:val="-11"/>
        </w:rPr>
        <w:t> </w:t>
      </w:r>
      <w:r>
        <w:rPr>
          <w:color w:val="231F20"/>
        </w:rPr>
        <w:t>пешачких</w:t>
      </w:r>
      <w:r>
        <w:rPr>
          <w:color w:val="231F20"/>
          <w:spacing w:val="-11"/>
        </w:rPr>
        <w:t> </w:t>
      </w:r>
      <w:r>
        <w:rPr>
          <w:color w:val="231F20"/>
        </w:rPr>
        <w:t>површина</w:t>
      </w:r>
      <w:r>
        <w:rPr>
          <w:color w:val="231F20"/>
          <w:spacing w:val="-11"/>
        </w:rPr>
        <w:t> </w:t>
      </w:r>
      <w:r>
        <w:rPr>
          <w:color w:val="231F20"/>
        </w:rPr>
        <w:t>и</w:t>
      </w:r>
      <w:r>
        <w:rPr>
          <w:color w:val="231F20"/>
          <w:spacing w:val="-11"/>
        </w:rPr>
        <w:t> </w:t>
      </w:r>
      <w:r>
        <w:rPr>
          <w:color w:val="231F20"/>
        </w:rPr>
        <w:t>паркиралишта</w:t>
      </w:r>
      <w:r>
        <w:rPr>
          <w:color w:val="231F20"/>
          <w:spacing w:val="-11"/>
        </w:rPr>
        <w:t> </w:t>
      </w:r>
      <w:r>
        <w:rPr>
          <w:color w:val="231F20"/>
        </w:rPr>
        <w:t>из- вести уградњом бетонских префабрикованих</w:t>
      </w:r>
      <w:r>
        <w:rPr>
          <w:color w:val="231F20"/>
          <w:spacing w:val="-8"/>
        </w:rPr>
        <w:t> </w:t>
      </w:r>
      <w:r>
        <w:rPr>
          <w:color w:val="231F20"/>
        </w:rPr>
        <w:t>ивичњака.</w:t>
      </w:r>
    </w:p>
    <w:p>
      <w:pPr>
        <w:pStyle w:val="ListParagraph"/>
        <w:numPr>
          <w:ilvl w:val="2"/>
          <w:numId w:val="80"/>
        </w:numPr>
        <w:tabs>
          <w:tab w:pos="1974" w:val="left" w:leader="none"/>
        </w:tabs>
        <w:spacing w:line="240" w:lineRule="auto" w:before="161" w:after="0"/>
        <w:ind w:left="1973" w:right="0" w:hanging="540"/>
        <w:jc w:val="left"/>
        <w:rPr>
          <w:sz w:val="18"/>
        </w:rPr>
      </w:pPr>
      <w:r>
        <w:rPr>
          <w:color w:val="231F20"/>
          <w:spacing w:val="15"/>
          <w:sz w:val="18"/>
        </w:rPr>
        <w:t>Коридори </w:t>
      </w:r>
      <w:r>
        <w:rPr>
          <w:color w:val="231F20"/>
          <w:spacing w:val="10"/>
          <w:sz w:val="18"/>
        </w:rPr>
        <w:t>да</w:t>
      </w:r>
      <w:r>
        <w:rPr>
          <w:color w:val="231F20"/>
          <w:spacing w:val="5"/>
          <w:sz w:val="18"/>
        </w:rPr>
        <w:t> </w:t>
      </w:r>
      <w:r>
        <w:rPr>
          <w:color w:val="231F20"/>
          <w:spacing w:val="15"/>
          <w:sz w:val="18"/>
        </w:rPr>
        <w:t>лековода</w:t>
      </w:r>
    </w:p>
    <w:p>
      <w:pPr>
        <w:pStyle w:val="BodyText"/>
        <w:spacing w:before="4"/>
        <w:ind w:left="0"/>
        <w:jc w:val="left"/>
        <w:rPr>
          <w:sz w:val="17"/>
        </w:rPr>
      </w:pPr>
    </w:p>
    <w:p>
      <w:pPr>
        <w:pStyle w:val="BodyText"/>
        <w:spacing w:line="232" w:lineRule="auto"/>
        <w:ind w:left="172" w:right="408" w:firstLine="396"/>
      </w:pPr>
      <w:r>
        <w:rPr>
          <w:color w:val="231F20"/>
        </w:rPr>
        <w:t>Преко комплекса „Долина реке Млаве” прелазе далеководи реда 400 kV и 110 kV, односно:</w:t>
      </w:r>
    </w:p>
    <w:p>
      <w:pPr>
        <w:pStyle w:val="BodyText"/>
        <w:spacing w:line="199" w:lineRule="exact"/>
        <w:ind w:left="569"/>
        <w:jc w:val="left"/>
      </w:pPr>
      <w:r>
        <w:rPr>
          <w:color w:val="231F20"/>
          <w:w w:val="66"/>
        </w:rPr>
        <w:t> </w:t>
      </w:r>
      <w:r>
        <w:rPr>
          <w:color w:val="231F20"/>
        </w:rPr>
        <w:t>– DV 401/1 Београд 8 – Дрмно (ТЕ „Костолац Б”);</w:t>
      </w:r>
    </w:p>
    <w:p>
      <w:pPr>
        <w:pStyle w:val="BodyText"/>
        <w:spacing w:line="201" w:lineRule="exact"/>
        <w:ind w:left="569"/>
        <w:jc w:val="left"/>
      </w:pPr>
      <w:r>
        <w:rPr>
          <w:color w:val="231F20"/>
          <w:w w:val="66"/>
        </w:rPr>
        <w:t> </w:t>
      </w:r>
      <w:r>
        <w:rPr>
          <w:color w:val="231F20"/>
        </w:rPr>
        <w:t>– DV 401/2 Дрмно (ТЕ „Костолац Б”) – Ђердап 1;</w:t>
      </w:r>
    </w:p>
    <w:p>
      <w:pPr>
        <w:pStyle w:val="BodyText"/>
        <w:spacing w:line="232" w:lineRule="auto" w:before="2"/>
        <w:ind w:left="172" w:right="408" w:firstLine="397"/>
      </w:pPr>
      <w:r>
        <w:rPr>
          <w:color w:val="231F20"/>
          <w:w w:val="66"/>
        </w:rPr>
        <w:t> </w:t>
      </w:r>
      <w:r>
        <w:rPr>
          <w:color w:val="231F20"/>
        </w:rPr>
        <w:t>– DV 1128/1 ТЕ „Костолац А” – ТС Рудник 1 (интерни дале- ковод ТЕ-КО „Костолац”);</w:t>
      </w:r>
    </w:p>
    <w:p>
      <w:pPr>
        <w:pStyle w:val="BodyText"/>
        <w:spacing w:line="232" w:lineRule="auto"/>
        <w:ind w:left="172" w:right="409" w:firstLine="396"/>
      </w:pPr>
      <w:r>
        <w:rPr>
          <w:color w:val="231F20"/>
          <w:w w:val="66"/>
        </w:rPr>
        <w:t> </w:t>
      </w:r>
      <w:r>
        <w:rPr>
          <w:color w:val="231F20"/>
        </w:rPr>
        <w:t>– DV 1128/2 ТЕ Рудник 1 – ТС Рудник 2 (интерни далековод ТЕ-КО „Костолац”) и</w:t>
      </w:r>
    </w:p>
    <w:p>
      <w:pPr>
        <w:pStyle w:val="BodyText"/>
        <w:spacing w:line="199" w:lineRule="exact"/>
        <w:ind w:left="569"/>
        <w:jc w:val="left"/>
      </w:pPr>
      <w:r>
        <w:rPr>
          <w:color w:val="231F20"/>
          <w:w w:val="66"/>
        </w:rPr>
        <w:t> </w:t>
      </w:r>
      <w:r>
        <w:rPr>
          <w:color w:val="231F20"/>
        </w:rPr>
        <w:t>– DV 1159 Дрмно (СП) – ТЕ „Костолац”.</w:t>
      </w:r>
    </w:p>
    <w:p>
      <w:pPr>
        <w:pStyle w:val="BodyText"/>
        <w:spacing w:line="232" w:lineRule="auto" w:before="2"/>
        <w:ind w:left="172" w:right="409" w:firstLine="396"/>
      </w:pPr>
      <w:r>
        <w:rPr>
          <w:color w:val="231F20"/>
        </w:rPr>
        <w:t>Поред постојећих, не предвиђа се изградња нових страте- шких далековода преко комплекса „Долина реке Млаве”.</w:t>
      </w:r>
    </w:p>
    <w:p>
      <w:pPr>
        <w:pStyle w:val="BodyText"/>
        <w:spacing w:line="232" w:lineRule="auto"/>
        <w:ind w:left="172" w:right="408" w:firstLine="397"/>
      </w:pPr>
      <w:r>
        <w:rPr>
          <w:color w:val="231F20"/>
        </w:rPr>
        <w:t>Изградња далековода и уређење простора испод далековода регулисана је „Правилником о техничким нормативима за изград- њу надземних електроенергетских водова називног напона од 1</w:t>
      </w:r>
    </w:p>
    <w:p>
      <w:pPr>
        <w:pStyle w:val="BodyText"/>
        <w:spacing w:line="232" w:lineRule="auto"/>
        <w:ind w:left="172" w:right="342"/>
        <w:jc w:val="left"/>
      </w:pPr>
      <w:r>
        <w:rPr>
          <w:color w:val="231F20"/>
          <w:w w:val="66"/>
        </w:rPr>
        <w:t> </w:t>
      </w:r>
      <w:r>
        <w:rPr>
          <w:color w:val="231F20"/>
        </w:rPr>
        <w:t>– 400 kV („Службени лист СФРЈ”, број 65/88 и „Службени лист СРЈ”, број 18/92).</w:t>
      </w:r>
    </w:p>
    <w:p>
      <w:pPr>
        <w:spacing w:after="0" w:line="232" w:lineRule="auto"/>
        <w:jc w:val="left"/>
        <w:sectPr>
          <w:pgSz w:w="12480" w:h="15690"/>
          <w:pgMar w:top="120" w:bottom="280" w:left="680" w:right="720"/>
          <w:cols w:num="2" w:equalWidth="0">
            <w:col w:w="5315" w:space="72"/>
            <w:col w:w="5693"/>
          </w:cols>
        </w:sectPr>
      </w:pPr>
    </w:p>
    <w:p>
      <w:pPr>
        <w:pStyle w:val="BodyText"/>
        <w:spacing w:line="230" w:lineRule="auto" w:before="74"/>
        <w:ind w:left="453" w:right="1" w:firstLine="396"/>
      </w:pPr>
      <w:r>
        <w:rPr/>
        <w:pict>
          <v:line style="position:absolute;mso-position-horizontal-relative:page;mso-position-vertical-relative:page;z-index:5056" from="318.897614pt,11.942451pt" to="318.897614pt,748.950451pt" stroked="true" strokeweight=".6pt" strokecolor="#231f20">
            <v:stroke dashstyle="solid"/>
            <w10:wrap type="none"/>
          </v:line>
        </w:pict>
      </w:r>
      <w:r>
        <w:rPr>
          <w:color w:val="231F20"/>
        </w:rPr>
        <w:t>У коридору далековода није дозвољена изградња грађевин- ских објеката за становање и друге намене на удаљености до 40 m за DV 400 kV и 20 m за DV 110 kV. У овим границама није за пре- поруку формирање шума са високим састојинама. До стубних ме- ста далековода треба омогућити приступ теренским возилима.</w:t>
      </w:r>
    </w:p>
    <w:p>
      <w:pPr>
        <w:pStyle w:val="ListParagraph"/>
        <w:numPr>
          <w:ilvl w:val="1"/>
          <w:numId w:val="80"/>
        </w:numPr>
        <w:tabs>
          <w:tab w:pos="1721" w:val="left" w:leader="none"/>
        </w:tabs>
        <w:spacing w:line="240" w:lineRule="auto" w:before="163" w:after="0"/>
        <w:ind w:left="1720" w:right="0" w:hanging="405"/>
        <w:jc w:val="left"/>
        <w:rPr>
          <w:i/>
          <w:sz w:val="18"/>
        </w:rPr>
      </w:pPr>
      <w:r>
        <w:rPr>
          <w:i/>
          <w:color w:val="231F20"/>
          <w:sz w:val="18"/>
        </w:rPr>
        <w:t>Правила парцелације и</w:t>
      </w:r>
      <w:r>
        <w:rPr>
          <w:i/>
          <w:color w:val="231F20"/>
          <w:spacing w:val="-1"/>
          <w:sz w:val="18"/>
        </w:rPr>
        <w:t> </w:t>
      </w:r>
      <w:r>
        <w:rPr>
          <w:i/>
          <w:color w:val="231F20"/>
          <w:sz w:val="18"/>
        </w:rPr>
        <w:t>препарцелације</w:t>
      </w:r>
    </w:p>
    <w:p>
      <w:pPr>
        <w:pStyle w:val="ListParagraph"/>
        <w:numPr>
          <w:ilvl w:val="2"/>
          <w:numId w:val="82"/>
        </w:numPr>
        <w:tabs>
          <w:tab w:pos="1378" w:val="left" w:leader="none"/>
        </w:tabs>
        <w:spacing w:line="240" w:lineRule="auto" w:before="162" w:after="0"/>
        <w:ind w:left="1377" w:right="0" w:hanging="540"/>
        <w:jc w:val="left"/>
        <w:rPr>
          <w:sz w:val="18"/>
        </w:rPr>
      </w:pPr>
      <w:r>
        <w:rPr>
          <w:color w:val="231F20"/>
          <w:spacing w:val="16"/>
          <w:sz w:val="18"/>
        </w:rPr>
        <w:t>Манастир Рукумија, етнопарк</w:t>
      </w:r>
      <w:r>
        <w:rPr>
          <w:color w:val="231F20"/>
          <w:spacing w:val="-12"/>
          <w:sz w:val="18"/>
        </w:rPr>
        <w:t> </w:t>
      </w:r>
      <w:r>
        <w:rPr>
          <w:color w:val="231F20"/>
          <w:sz w:val="18"/>
        </w:rPr>
        <w:t>и </w:t>
      </w:r>
      <w:r>
        <w:rPr>
          <w:color w:val="231F20"/>
          <w:spacing w:val="15"/>
          <w:sz w:val="18"/>
        </w:rPr>
        <w:t>гробље</w:t>
      </w:r>
    </w:p>
    <w:p>
      <w:pPr>
        <w:pStyle w:val="BodyText"/>
        <w:spacing w:before="1"/>
        <w:ind w:left="0"/>
        <w:jc w:val="left"/>
        <w:rPr>
          <w:sz w:val="17"/>
        </w:rPr>
      </w:pPr>
    </w:p>
    <w:p>
      <w:pPr>
        <w:pStyle w:val="BodyText"/>
        <w:spacing w:line="230" w:lineRule="auto"/>
        <w:ind w:left="416" w:firstLine="397"/>
        <w:jc w:val="right"/>
      </w:pPr>
      <w:r>
        <w:rPr>
          <w:color w:val="231F20"/>
        </w:rPr>
        <w:t>На </w:t>
      </w:r>
      <w:r>
        <w:rPr>
          <w:color w:val="231F20"/>
          <w:spacing w:val="-5"/>
        </w:rPr>
        <w:t>подручју катастарске </w:t>
      </w:r>
      <w:r>
        <w:rPr>
          <w:color w:val="231F20"/>
          <w:spacing w:val="-4"/>
        </w:rPr>
        <w:t>општине </w:t>
      </w:r>
      <w:r>
        <w:rPr>
          <w:color w:val="231F20"/>
          <w:spacing w:val="-5"/>
        </w:rPr>
        <w:t>КО </w:t>
      </w:r>
      <w:r>
        <w:rPr>
          <w:color w:val="231F20"/>
          <w:spacing w:val="-4"/>
        </w:rPr>
        <w:t>Брадарац, </w:t>
      </w:r>
      <w:r>
        <w:rPr>
          <w:color w:val="231F20"/>
        </w:rPr>
        <w:t>на </w:t>
      </w:r>
      <w:r>
        <w:rPr>
          <w:color w:val="231F20"/>
          <w:spacing w:val="-4"/>
        </w:rPr>
        <w:t>површинама</w:t>
      </w:r>
      <w:r>
        <w:rPr>
          <w:color w:val="231F20"/>
        </w:rPr>
        <w:t> у </w:t>
      </w:r>
      <w:r>
        <w:rPr>
          <w:color w:val="231F20"/>
          <w:spacing w:val="-6"/>
        </w:rPr>
        <w:t>обухвату </w:t>
      </w:r>
      <w:r>
        <w:rPr>
          <w:color w:val="231F20"/>
          <w:spacing w:val="-4"/>
        </w:rPr>
        <w:t>границе </w:t>
      </w:r>
      <w:r>
        <w:rPr>
          <w:color w:val="231F20"/>
          <w:spacing w:val="-3"/>
        </w:rPr>
        <w:t>ове </w:t>
      </w:r>
      <w:r>
        <w:rPr>
          <w:color w:val="231F20"/>
          <w:spacing w:val="-4"/>
        </w:rPr>
        <w:t>просторне потцелине, </w:t>
      </w:r>
      <w:r>
        <w:rPr>
          <w:color w:val="231F20"/>
          <w:spacing w:val="-3"/>
        </w:rPr>
        <w:t>мења </w:t>
      </w:r>
      <w:r>
        <w:rPr>
          <w:color w:val="231F20"/>
        </w:rPr>
        <w:t>се </w:t>
      </w:r>
      <w:r>
        <w:rPr>
          <w:color w:val="231F20"/>
          <w:spacing w:val="-4"/>
        </w:rPr>
        <w:t>постојећа ка-</w:t>
      </w:r>
      <w:r>
        <w:rPr>
          <w:color w:val="231F20"/>
        </w:rPr>
        <w:t> </w:t>
      </w:r>
      <w:r>
        <w:rPr>
          <w:color w:val="231F20"/>
          <w:spacing w:val="-4"/>
        </w:rPr>
        <w:t>тастарска парцелација </w:t>
      </w:r>
      <w:r>
        <w:rPr>
          <w:color w:val="231F20"/>
        </w:rPr>
        <w:t>за </w:t>
      </w:r>
      <w:r>
        <w:rPr>
          <w:color w:val="231F20"/>
          <w:spacing w:val="-4"/>
        </w:rPr>
        <w:t>потребе формирања грађевинских парцела.</w:t>
      </w:r>
      <w:r>
        <w:rPr>
          <w:color w:val="231F20"/>
        </w:rPr>
        <w:t> Просторним планом предвиђена је израда урбанистичких пројеката за потребе урбанистичко-архитектонске разраде и урба- нистичко-архитектонског </w:t>
      </w:r>
      <w:r>
        <w:rPr>
          <w:color w:val="231F20"/>
          <w:spacing w:val="-3"/>
        </w:rPr>
        <w:t>обликовања </w:t>
      </w:r>
      <w:r>
        <w:rPr>
          <w:color w:val="231F20"/>
        </w:rPr>
        <w:t>површина у трећоj потцели-</w:t>
      </w:r>
    </w:p>
    <w:p>
      <w:pPr>
        <w:pStyle w:val="BodyText"/>
        <w:spacing w:line="195" w:lineRule="exact"/>
        <w:ind w:left="453"/>
        <w:jc w:val="left"/>
      </w:pPr>
      <w:r>
        <w:rPr>
          <w:color w:val="231F20"/>
        </w:rPr>
        <w:t>ни и то за локације:</w:t>
      </w:r>
    </w:p>
    <w:p>
      <w:pPr>
        <w:pStyle w:val="ListParagraph"/>
        <w:numPr>
          <w:ilvl w:val="0"/>
          <w:numId w:val="83"/>
        </w:numPr>
        <w:tabs>
          <w:tab w:pos="1045" w:val="left" w:leader="none"/>
        </w:tabs>
        <w:spacing w:line="230" w:lineRule="auto" w:before="3" w:after="0"/>
        <w:ind w:left="453" w:right="0" w:firstLine="397"/>
        <w:jc w:val="both"/>
        <w:rPr>
          <w:sz w:val="18"/>
        </w:rPr>
      </w:pPr>
      <w:r>
        <w:rPr>
          <w:color w:val="231F20"/>
          <w:sz w:val="18"/>
        </w:rPr>
        <w:t>део</w:t>
      </w:r>
      <w:r>
        <w:rPr>
          <w:color w:val="231F20"/>
          <w:spacing w:val="-5"/>
          <w:sz w:val="18"/>
        </w:rPr>
        <w:t> </w:t>
      </w:r>
      <w:r>
        <w:rPr>
          <w:color w:val="231F20"/>
          <w:sz w:val="18"/>
        </w:rPr>
        <w:t>зоне</w:t>
      </w:r>
      <w:r>
        <w:rPr>
          <w:color w:val="231F20"/>
          <w:spacing w:val="-5"/>
          <w:sz w:val="18"/>
        </w:rPr>
        <w:t> </w:t>
      </w:r>
      <w:r>
        <w:rPr>
          <w:color w:val="231F20"/>
          <w:sz w:val="18"/>
        </w:rPr>
        <w:t>Етнопарка,</w:t>
      </w:r>
      <w:r>
        <w:rPr>
          <w:color w:val="231F20"/>
          <w:spacing w:val="-5"/>
          <w:sz w:val="18"/>
        </w:rPr>
        <w:t> </w:t>
      </w:r>
      <w:r>
        <w:rPr>
          <w:color w:val="231F20"/>
          <w:sz w:val="18"/>
        </w:rPr>
        <w:t>површине</w:t>
      </w:r>
      <w:r>
        <w:rPr>
          <w:color w:val="231F20"/>
          <w:spacing w:val="-5"/>
          <w:sz w:val="18"/>
        </w:rPr>
        <w:t> </w:t>
      </w:r>
      <w:r>
        <w:rPr>
          <w:color w:val="231F20"/>
          <w:spacing w:val="-4"/>
          <w:sz w:val="18"/>
        </w:rPr>
        <w:t>око</w:t>
      </w:r>
      <w:r>
        <w:rPr>
          <w:color w:val="231F20"/>
          <w:spacing w:val="-5"/>
          <w:sz w:val="18"/>
        </w:rPr>
        <w:t> </w:t>
      </w:r>
      <w:r>
        <w:rPr>
          <w:color w:val="231F20"/>
          <w:sz w:val="18"/>
        </w:rPr>
        <w:t>1,8</w:t>
      </w:r>
      <w:r>
        <w:rPr>
          <w:color w:val="231F20"/>
          <w:spacing w:val="-5"/>
          <w:sz w:val="18"/>
        </w:rPr>
        <w:t> </w:t>
      </w:r>
      <w:r>
        <w:rPr>
          <w:color w:val="231F20"/>
          <w:sz w:val="18"/>
        </w:rPr>
        <w:t>ha</w:t>
      </w:r>
      <w:r>
        <w:rPr>
          <w:color w:val="231F20"/>
          <w:spacing w:val="-5"/>
          <w:sz w:val="18"/>
        </w:rPr>
        <w:t> </w:t>
      </w:r>
      <w:r>
        <w:rPr>
          <w:color w:val="231F20"/>
          <w:sz w:val="18"/>
        </w:rPr>
        <w:t>унутар</w:t>
      </w:r>
      <w:r>
        <w:rPr>
          <w:color w:val="231F20"/>
          <w:spacing w:val="-5"/>
          <w:sz w:val="18"/>
        </w:rPr>
        <w:t> </w:t>
      </w:r>
      <w:r>
        <w:rPr>
          <w:color w:val="231F20"/>
          <w:sz w:val="18"/>
        </w:rPr>
        <w:t>линије</w:t>
      </w:r>
      <w:r>
        <w:rPr>
          <w:color w:val="231F20"/>
          <w:spacing w:val="-5"/>
          <w:sz w:val="18"/>
        </w:rPr>
        <w:t> </w:t>
      </w:r>
      <w:r>
        <w:rPr>
          <w:color w:val="231F20"/>
          <w:sz w:val="18"/>
        </w:rPr>
        <w:t>де- финисане </w:t>
      </w:r>
      <w:r>
        <w:rPr>
          <w:color w:val="231F20"/>
          <w:spacing w:val="-3"/>
          <w:sz w:val="18"/>
        </w:rPr>
        <w:t>координатама </w:t>
      </w:r>
      <w:r>
        <w:rPr>
          <w:color w:val="231F20"/>
          <w:sz w:val="18"/>
        </w:rPr>
        <w:t>карактеристичних </w:t>
      </w:r>
      <w:r>
        <w:rPr>
          <w:color w:val="231F20"/>
          <w:spacing w:val="-3"/>
          <w:sz w:val="18"/>
        </w:rPr>
        <w:t>тачака </w:t>
      </w:r>
      <w:r>
        <w:rPr>
          <w:color w:val="231F20"/>
          <w:spacing w:val="-4"/>
          <w:sz w:val="18"/>
        </w:rPr>
        <w:t>од </w:t>
      </w:r>
      <w:r>
        <w:rPr>
          <w:color w:val="231F20"/>
          <w:sz w:val="18"/>
        </w:rPr>
        <w:t>I1 до I6, чиме је</w:t>
      </w:r>
      <w:r>
        <w:rPr>
          <w:color w:val="231F20"/>
          <w:spacing w:val="-10"/>
          <w:sz w:val="18"/>
        </w:rPr>
        <w:t> </w:t>
      </w:r>
      <w:r>
        <w:rPr>
          <w:color w:val="231F20"/>
          <w:sz w:val="18"/>
        </w:rPr>
        <w:t>обухваћена</w:t>
      </w:r>
      <w:r>
        <w:rPr>
          <w:color w:val="231F20"/>
          <w:spacing w:val="-10"/>
          <w:sz w:val="18"/>
        </w:rPr>
        <w:t> </w:t>
      </w:r>
      <w:r>
        <w:rPr>
          <w:color w:val="231F20"/>
          <w:sz w:val="18"/>
        </w:rPr>
        <w:t>к.</w:t>
      </w:r>
      <w:r>
        <w:rPr>
          <w:color w:val="231F20"/>
          <w:spacing w:val="-10"/>
          <w:sz w:val="18"/>
        </w:rPr>
        <w:t> </w:t>
      </w:r>
      <w:r>
        <w:rPr>
          <w:color w:val="231F20"/>
          <w:sz w:val="18"/>
        </w:rPr>
        <w:t>п.</w:t>
      </w:r>
      <w:r>
        <w:rPr>
          <w:color w:val="231F20"/>
          <w:spacing w:val="-10"/>
          <w:sz w:val="18"/>
        </w:rPr>
        <w:t> </w:t>
      </w:r>
      <w:r>
        <w:rPr>
          <w:color w:val="231F20"/>
          <w:sz w:val="18"/>
        </w:rPr>
        <w:t>бр.</w:t>
      </w:r>
      <w:r>
        <w:rPr>
          <w:color w:val="231F20"/>
          <w:spacing w:val="-10"/>
          <w:sz w:val="18"/>
        </w:rPr>
        <w:t> </w:t>
      </w:r>
      <w:r>
        <w:rPr>
          <w:color w:val="231F20"/>
          <w:sz w:val="18"/>
        </w:rPr>
        <w:t>2548</w:t>
      </w:r>
      <w:r>
        <w:rPr>
          <w:color w:val="231F20"/>
          <w:spacing w:val="-10"/>
          <w:sz w:val="18"/>
        </w:rPr>
        <w:t> </w:t>
      </w:r>
      <w:r>
        <w:rPr>
          <w:color w:val="231F20"/>
          <w:sz w:val="18"/>
        </w:rPr>
        <w:t>и</w:t>
      </w:r>
      <w:r>
        <w:rPr>
          <w:color w:val="231F20"/>
          <w:spacing w:val="-10"/>
          <w:sz w:val="18"/>
        </w:rPr>
        <w:t> </w:t>
      </w:r>
      <w:r>
        <w:rPr>
          <w:color w:val="231F20"/>
          <w:sz w:val="18"/>
        </w:rPr>
        <w:t>део</w:t>
      </w:r>
      <w:r>
        <w:rPr>
          <w:color w:val="231F20"/>
          <w:spacing w:val="-10"/>
          <w:sz w:val="18"/>
        </w:rPr>
        <w:t> </w:t>
      </w:r>
      <w:r>
        <w:rPr>
          <w:color w:val="231F20"/>
          <w:sz w:val="18"/>
        </w:rPr>
        <w:t>к.</w:t>
      </w:r>
      <w:r>
        <w:rPr>
          <w:color w:val="231F20"/>
          <w:spacing w:val="-10"/>
          <w:sz w:val="18"/>
        </w:rPr>
        <w:t> </w:t>
      </w:r>
      <w:r>
        <w:rPr>
          <w:color w:val="231F20"/>
          <w:sz w:val="18"/>
        </w:rPr>
        <w:t>п.</w:t>
      </w:r>
      <w:r>
        <w:rPr>
          <w:color w:val="231F20"/>
          <w:spacing w:val="-10"/>
          <w:sz w:val="18"/>
        </w:rPr>
        <w:t> </w:t>
      </w:r>
      <w:r>
        <w:rPr>
          <w:color w:val="231F20"/>
          <w:sz w:val="18"/>
        </w:rPr>
        <w:t>бр.</w:t>
      </w:r>
      <w:r>
        <w:rPr>
          <w:color w:val="231F20"/>
          <w:spacing w:val="-10"/>
          <w:sz w:val="18"/>
        </w:rPr>
        <w:t> </w:t>
      </w:r>
      <w:r>
        <w:rPr>
          <w:color w:val="231F20"/>
          <w:sz w:val="18"/>
        </w:rPr>
        <w:t>2519</w:t>
      </w:r>
      <w:r>
        <w:rPr>
          <w:color w:val="231F20"/>
          <w:spacing w:val="-10"/>
          <w:sz w:val="18"/>
        </w:rPr>
        <w:t> </w:t>
      </w:r>
      <w:r>
        <w:rPr>
          <w:color w:val="231F20"/>
          <w:sz w:val="18"/>
        </w:rPr>
        <w:t>(све</w:t>
      </w:r>
      <w:r>
        <w:rPr>
          <w:color w:val="231F20"/>
          <w:spacing w:val="-10"/>
          <w:sz w:val="18"/>
        </w:rPr>
        <w:t> </w:t>
      </w:r>
      <w:r>
        <w:rPr>
          <w:color w:val="231F20"/>
          <w:spacing w:val="-3"/>
          <w:sz w:val="18"/>
        </w:rPr>
        <w:t>КО</w:t>
      </w:r>
      <w:r>
        <w:rPr>
          <w:color w:val="231F20"/>
          <w:spacing w:val="-10"/>
          <w:sz w:val="18"/>
        </w:rPr>
        <w:t> </w:t>
      </w:r>
      <w:r>
        <w:rPr>
          <w:color w:val="231F20"/>
          <w:sz w:val="18"/>
        </w:rPr>
        <w:t>Брадарац);</w:t>
      </w:r>
      <w:r>
        <w:rPr>
          <w:color w:val="231F20"/>
          <w:spacing w:val="-10"/>
          <w:sz w:val="18"/>
        </w:rPr>
        <w:t> </w:t>
      </w:r>
      <w:r>
        <w:rPr>
          <w:color w:val="231F20"/>
          <w:sz w:val="18"/>
        </w:rPr>
        <w:t>и</w:t>
      </w:r>
    </w:p>
    <w:p>
      <w:pPr>
        <w:pStyle w:val="ListParagraph"/>
        <w:numPr>
          <w:ilvl w:val="0"/>
          <w:numId w:val="83"/>
        </w:numPr>
        <w:tabs>
          <w:tab w:pos="1059" w:val="left" w:leader="none"/>
        </w:tabs>
        <w:spacing w:line="230" w:lineRule="auto" w:before="0" w:after="0"/>
        <w:ind w:left="453" w:right="1" w:firstLine="397"/>
        <w:jc w:val="both"/>
        <w:rPr>
          <w:sz w:val="18"/>
        </w:rPr>
      </w:pPr>
      <w:r>
        <w:rPr>
          <w:color w:val="231F20"/>
          <w:sz w:val="18"/>
        </w:rPr>
        <w:t>део зоне Манастира Рукумија, површине </w:t>
      </w:r>
      <w:r>
        <w:rPr>
          <w:color w:val="231F20"/>
          <w:spacing w:val="-4"/>
          <w:sz w:val="18"/>
        </w:rPr>
        <w:t>око </w:t>
      </w:r>
      <w:r>
        <w:rPr>
          <w:color w:val="231F20"/>
          <w:sz w:val="18"/>
        </w:rPr>
        <w:t>1,45 ha уну- тар линије дефинисане координатама карактеристичних тачака </w:t>
      </w:r>
      <w:r>
        <w:rPr>
          <w:color w:val="231F20"/>
          <w:spacing w:val="-3"/>
          <w:sz w:val="18"/>
        </w:rPr>
        <w:t>од </w:t>
      </w:r>
      <w:r>
        <w:rPr>
          <w:color w:val="231F20"/>
          <w:sz w:val="18"/>
        </w:rPr>
        <w:t>II1</w:t>
      </w:r>
      <w:r>
        <w:rPr>
          <w:color w:val="231F20"/>
          <w:spacing w:val="-4"/>
          <w:sz w:val="18"/>
        </w:rPr>
        <w:t> </w:t>
      </w:r>
      <w:r>
        <w:rPr>
          <w:color w:val="231F20"/>
          <w:sz w:val="18"/>
        </w:rPr>
        <w:t>до</w:t>
      </w:r>
      <w:r>
        <w:rPr>
          <w:color w:val="231F20"/>
          <w:spacing w:val="-4"/>
          <w:sz w:val="18"/>
        </w:rPr>
        <w:t> </w:t>
      </w:r>
      <w:r>
        <w:rPr>
          <w:color w:val="231F20"/>
          <w:sz w:val="18"/>
        </w:rPr>
        <w:t>II6,</w:t>
      </w:r>
      <w:r>
        <w:rPr>
          <w:color w:val="231F20"/>
          <w:spacing w:val="-4"/>
          <w:sz w:val="18"/>
        </w:rPr>
        <w:t> </w:t>
      </w:r>
      <w:r>
        <w:rPr>
          <w:color w:val="231F20"/>
          <w:sz w:val="18"/>
        </w:rPr>
        <w:t>чиме</w:t>
      </w:r>
      <w:r>
        <w:rPr>
          <w:color w:val="231F20"/>
          <w:spacing w:val="-4"/>
          <w:sz w:val="18"/>
        </w:rPr>
        <w:t> </w:t>
      </w:r>
      <w:r>
        <w:rPr>
          <w:color w:val="231F20"/>
          <w:sz w:val="18"/>
        </w:rPr>
        <w:t>је</w:t>
      </w:r>
      <w:r>
        <w:rPr>
          <w:color w:val="231F20"/>
          <w:spacing w:val="-4"/>
          <w:sz w:val="18"/>
        </w:rPr>
        <w:t> </w:t>
      </w:r>
      <w:r>
        <w:rPr>
          <w:color w:val="231F20"/>
          <w:sz w:val="18"/>
        </w:rPr>
        <w:t>обухваћена</w:t>
      </w:r>
      <w:r>
        <w:rPr>
          <w:color w:val="231F20"/>
          <w:spacing w:val="-4"/>
          <w:sz w:val="18"/>
        </w:rPr>
        <w:t> </w:t>
      </w:r>
      <w:r>
        <w:rPr>
          <w:color w:val="231F20"/>
          <w:sz w:val="18"/>
        </w:rPr>
        <w:t>к.</w:t>
      </w:r>
      <w:r>
        <w:rPr>
          <w:color w:val="231F20"/>
          <w:spacing w:val="-4"/>
          <w:sz w:val="18"/>
        </w:rPr>
        <w:t> </w:t>
      </w:r>
      <w:r>
        <w:rPr>
          <w:color w:val="231F20"/>
          <w:sz w:val="18"/>
        </w:rPr>
        <w:t>п.</w:t>
      </w:r>
      <w:r>
        <w:rPr>
          <w:color w:val="231F20"/>
          <w:spacing w:val="-4"/>
          <w:sz w:val="18"/>
        </w:rPr>
        <w:t> </w:t>
      </w:r>
      <w:r>
        <w:rPr>
          <w:color w:val="231F20"/>
          <w:sz w:val="18"/>
        </w:rPr>
        <w:t>бр.</w:t>
      </w:r>
      <w:r>
        <w:rPr>
          <w:color w:val="231F20"/>
          <w:spacing w:val="-4"/>
          <w:sz w:val="18"/>
        </w:rPr>
        <w:t> </w:t>
      </w:r>
      <w:r>
        <w:rPr>
          <w:color w:val="231F20"/>
          <w:sz w:val="18"/>
        </w:rPr>
        <w:t>2674</w:t>
      </w:r>
      <w:r>
        <w:rPr>
          <w:color w:val="231F20"/>
          <w:spacing w:val="-4"/>
          <w:sz w:val="18"/>
        </w:rPr>
        <w:t> </w:t>
      </w:r>
      <w:r>
        <w:rPr>
          <w:color w:val="231F20"/>
          <w:sz w:val="18"/>
        </w:rPr>
        <w:t>и</w:t>
      </w:r>
      <w:r>
        <w:rPr>
          <w:color w:val="231F20"/>
          <w:spacing w:val="-4"/>
          <w:sz w:val="18"/>
        </w:rPr>
        <w:t> </w:t>
      </w:r>
      <w:r>
        <w:rPr>
          <w:color w:val="231F20"/>
          <w:sz w:val="18"/>
        </w:rPr>
        <w:t>део</w:t>
      </w:r>
      <w:r>
        <w:rPr>
          <w:color w:val="231F20"/>
          <w:spacing w:val="-4"/>
          <w:sz w:val="18"/>
        </w:rPr>
        <w:t> </w:t>
      </w:r>
      <w:r>
        <w:rPr>
          <w:color w:val="231F20"/>
          <w:sz w:val="18"/>
        </w:rPr>
        <w:t>к.</w:t>
      </w:r>
      <w:r>
        <w:rPr>
          <w:color w:val="231F20"/>
          <w:spacing w:val="-4"/>
          <w:sz w:val="18"/>
        </w:rPr>
        <w:t> </w:t>
      </w:r>
      <w:r>
        <w:rPr>
          <w:color w:val="231F20"/>
          <w:sz w:val="18"/>
        </w:rPr>
        <w:t>п.</w:t>
      </w:r>
      <w:r>
        <w:rPr>
          <w:color w:val="231F20"/>
          <w:spacing w:val="-4"/>
          <w:sz w:val="18"/>
        </w:rPr>
        <w:t> </w:t>
      </w:r>
      <w:r>
        <w:rPr>
          <w:color w:val="231F20"/>
          <w:sz w:val="18"/>
        </w:rPr>
        <w:t>бр.</w:t>
      </w:r>
      <w:r>
        <w:rPr>
          <w:color w:val="231F20"/>
          <w:spacing w:val="-4"/>
          <w:sz w:val="18"/>
        </w:rPr>
        <w:t> </w:t>
      </w:r>
      <w:r>
        <w:rPr>
          <w:color w:val="231F20"/>
          <w:sz w:val="18"/>
        </w:rPr>
        <w:t>2675</w:t>
      </w:r>
      <w:r>
        <w:rPr>
          <w:color w:val="231F20"/>
          <w:spacing w:val="-4"/>
          <w:sz w:val="18"/>
        </w:rPr>
        <w:t> </w:t>
      </w:r>
      <w:r>
        <w:rPr>
          <w:color w:val="231F20"/>
          <w:sz w:val="18"/>
        </w:rPr>
        <w:t>(све </w:t>
      </w:r>
      <w:r>
        <w:rPr>
          <w:color w:val="231F20"/>
          <w:spacing w:val="-3"/>
          <w:sz w:val="18"/>
        </w:rPr>
        <w:t>КО</w:t>
      </w:r>
      <w:r>
        <w:rPr>
          <w:color w:val="231F20"/>
          <w:spacing w:val="-2"/>
          <w:sz w:val="18"/>
        </w:rPr>
        <w:t> </w:t>
      </w:r>
      <w:r>
        <w:rPr>
          <w:color w:val="231F20"/>
          <w:sz w:val="18"/>
        </w:rPr>
        <w:t>Брадарац).</w:t>
      </w:r>
    </w:p>
    <w:p>
      <w:pPr>
        <w:pStyle w:val="BodyText"/>
        <w:spacing w:line="230" w:lineRule="auto"/>
        <w:ind w:left="453" w:right="1" w:firstLine="396"/>
      </w:pPr>
      <w:r>
        <w:rPr>
          <w:color w:val="231F20"/>
          <w:spacing w:val="-3"/>
        </w:rPr>
        <w:t>Урбанистички </w:t>
      </w:r>
      <w:r>
        <w:rPr>
          <w:color w:val="231F20"/>
        </w:rPr>
        <w:t>пројекти се израђују на овереном </w:t>
      </w:r>
      <w:r>
        <w:rPr>
          <w:color w:val="231F20"/>
          <w:spacing w:val="-3"/>
        </w:rPr>
        <w:t>катастарско- топографском </w:t>
      </w:r>
      <w:r>
        <w:rPr>
          <w:color w:val="231F20"/>
        </w:rPr>
        <w:t>плану и садрже: ситуационо решење, </w:t>
      </w:r>
      <w:r>
        <w:rPr>
          <w:color w:val="231F20"/>
          <w:spacing w:val="-3"/>
        </w:rPr>
        <w:t>композициони </w:t>
      </w:r>
      <w:r>
        <w:rPr>
          <w:color w:val="231F20"/>
        </w:rPr>
        <w:t>план</w:t>
      </w:r>
      <w:r>
        <w:rPr>
          <w:color w:val="231F20"/>
          <w:spacing w:val="-12"/>
        </w:rPr>
        <w:t> </w:t>
      </w:r>
      <w:r>
        <w:rPr>
          <w:color w:val="231F20"/>
        </w:rPr>
        <w:t>и</w:t>
      </w:r>
      <w:r>
        <w:rPr>
          <w:color w:val="231F20"/>
          <w:spacing w:val="-12"/>
        </w:rPr>
        <w:t> </w:t>
      </w:r>
      <w:r>
        <w:rPr>
          <w:color w:val="231F20"/>
        </w:rPr>
        <w:t>партерно,</w:t>
      </w:r>
      <w:r>
        <w:rPr>
          <w:color w:val="231F20"/>
          <w:spacing w:val="-12"/>
        </w:rPr>
        <w:t> </w:t>
      </w:r>
      <w:r>
        <w:rPr>
          <w:color w:val="231F20"/>
        </w:rPr>
        <w:t>односно</w:t>
      </w:r>
      <w:r>
        <w:rPr>
          <w:color w:val="231F20"/>
          <w:spacing w:val="-12"/>
        </w:rPr>
        <w:t> </w:t>
      </w:r>
      <w:r>
        <w:rPr>
          <w:color w:val="231F20"/>
        </w:rPr>
        <w:t>пејзажно</w:t>
      </w:r>
      <w:r>
        <w:rPr>
          <w:color w:val="231F20"/>
          <w:spacing w:val="-12"/>
        </w:rPr>
        <w:t> </w:t>
      </w:r>
      <w:r>
        <w:rPr>
          <w:color w:val="231F20"/>
        </w:rPr>
        <w:t>решење;</w:t>
      </w:r>
      <w:r>
        <w:rPr>
          <w:color w:val="231F20"/>
          <w:spacing w:val="-12"/>
        </w:rPr>
        <w:t> </w:t>
      </w:r>
      <w:r>
        <w:rPr>
          <w:color w:val="231F20"/>
        </w:rPr>
        <w:t>идејна</w:t>
      </w:r>
      <w:r>
        <w:rPr>
          <w:color w:val="231F20"/>
          <w:spacing w:val="-12"/>
        </w:rPr>
        <w:t> </w:t>
      </w:r>
      <w:r>
        <w:rPr>
          <w:color w:val="231F20"/>
        </w:rPr>
        <w:t>урбанистичка</w:t>
      </w:r>
      <w:r>
        <w:rPr>
          <w:color w:val="231F20"/>
          <w:spacing w:val="-12"/>
        </w:rPr>
        <w:t> </w:t>
      </w:r>
      <w:r>
        <w:rPr>
          <w:color w:val="231F20"/>
        </w:rPr>
        <w:t>и архитектонска</w:t>
      </w:r>
      <w:r>
        <w:rPr>
          <w:color w:val="231F20"/>
          <w:spacing w:val="-7"/>
        </w:rPr>
        <w:t> </w:t>
      </w:r>
      <w:r>
        <w:rPr>
          <w:color w:val="231F20"/>
        </w:rPr>
        <w:t>решења</w:t>
      </w:r>
      <w:r>
        <w:rPr>
          <w:color w:val="231F20"/>
          <w:spacing w:val="-7"/>
        </w:rPr>
        <w:t> </w:t>
      </w:r>
      <w:r>
        <w:rPr>
          <w:color w:val="231F20"/>
        </w:rPr>
        <w:t>објеката;</w:t>
      </w:r>
      <w:r>
        <w:rPr>
          <w:color w:val="231F20"/>
          <w:spacing w:val="-7"/>
        </w:rPr>
        <w:t> </w:t>
      </w:r>
      <w:r>
        <w:rPr>
          <w:color w:val="231F20"/>
        </w:rPr>
        <w:t>и</w:t>
      </w:r>
      <w:r>
        <w:rPr>
          <w:color w:val="231F20"/>
          <w:spacing w:val="-7"/>
        </w:rPr>
        <w:t> </w:t>
      </w:r>
      <w:r>
        <w:rPr>
          <w:color w:val="231F20"/>
        </w:rPr>
        <w:t>приказ</w:t>
      </w:r>
      <w:r>
        <w:rPr>
          <w:color w:val="231F20"/>
          <w:spacing w:val="-7"/>
        </w:rPr>
        <w:t> </w:t>
      </w:r>
      <w:r>
        <w:rPr>
          <w:color w:val="231F20"/>
        </w:rPr>
        <w:t>саобраћајне</w:t>
      </w:r>
      <w:r>
        <w:rPr>
          <w:color w:val="231F20"/>
          <w:spacing w:val="-7"/>
        </w:rPr>
        <w:t> </w:t>
      </w:r>
      <w:r>
        <w:rPr>
          <w:color w:val="231F20"/>
        </w:rPr>
        <w:t>и</w:t>
      </w:r>
      <w:r>
        <w:rPr>
          <w:color w:val="231F20"/>
          <w:spacing w:val="-7"/>
        </w:rPr>
        <w:t> </w:t>
      </w:r>
      <w:r>
        <w:rPr>
          <w:color w:val="231F20"/>
          <w:spacing w:val="-3"/>
        </w:rPr>
        <w:t>комуналне </w:t>
      </w:r>
      <w:r>
        <w:rPr>
          <w:color w:val="231F20"/>
        </w:rPr>
        <w:t>инфраструктуре са предлозима прикључака на спољну</w:t>
      </w:r>
      <w:r>
        <w:rPr>
          <w:color w:val="231F20"/>
          <w:spacing w:val="-33"/>
        </w:rPr>
        <w:t> </w:t>
      </w:r>
      <w:r>
        <w:rPr>
          <w:color w:val="231F20"/>
          <w:spacing w:val="-4"/>
        </w:rPr>
        <w:t>мрежу.</w:t>
      </w:r>
    </w:p>
    <w:p>
      <w:pPr>
        <w:pStyle w:val="BodyText"/>
        <w:spacing w:line="230" w:lineRule="auto"/>
        <w:ind w:left="454" w:right="1" w:firstLine="397"/>
      </w:pPr>
      <w:r>
        <w:rPr>
          <w:color w:val="231F20"/>
          <w:spacing w:val="-4"/>
        </w:rPr>
        <w:t>Урбанистичким </w:t>
      </w:r>
      <w:r>
        <w:rPr>
          <w:color w:val="231F20"/>
          <w:spacing w:val="-3"/>
        </w:rPr>
        <w:t>пројектом </w:t>
      </w:r>
      <w:r>
        <w:rPr>
          <w:color w:val="231F20"/>
        </w:rPr>
        <w:t>за </w:t>
      </w:r>
      <w:r>
        <w:rPr>
          <w:color w:val="231F20"/>
          <w:spacing w:val="-3"/>
        </w:rPr>
        <w:t>одређене локације, </w:t>
      </w:r>
      <w:r>
        <w:rPr>
          <w:color w:val="231F20"/>
          <w:spacing w:val="-4"/>
        </w:rPr>
        <w:t>којим </w:t>
      </w:r>
      <w:r>
        <w:rPr>
          <w:color w:val="231F20"/>
        </w:rPr>
        <w:t>се пре- цизније</w:t>
      </w:r>
      <w:r>
        <w:rPr>
          <w:color w:val="231F20"/>
          <w:spacing w:val="-12"/>
        </w:rPr>
        <w:t> </w:t>
      </w:r>
      <w:r>
        <w:rPr>
          <w:color w:val="231F20"/>
        </w:rPr>
        <w:t>дефинишу</w:t>
      </w:r>
      <w:r>
        <w:rPr>
          <w:color w:val="231F20"/>
          <w:spacing w:val="-12"/>
        </w:rPr>
        <w:t> </w:t>
      </w:r>
      <w:r>
        <w:rPr>
          <w:color w:val="231F20"/>
        </w:rPr>
        <w:t>планиране</w:t>
      </w:r>
      <w:r>
        <w:rPr>
          <w:color w:val="231F20"/>
          <w:spacing w:val="-12"/>
        </w:rPr>
        <w:t> </w:t>
      </w:r>
      <w:r>
        <w:rPr>
          <w:color w:val="231F20"/>
        </w:rPr>
        <w:t>намене</w:t>
      </w:r>
      <w:r>
        <w:rPr>
          <w:color w:val="231F20"/>
          <w:spacing w:val="-12"/>
        </w:rPr>
        <w:t> </w:t>
      </w:r>
      <w:r>
        <w:rPr>
          <w:color w:val="231F20"/>
        </w:rPr>
        <w:t>у</w:t>
      </w:r>
      <w:r>
        <w:rPr>
          <w:color w:val="231F20"/>
          <w:spacing w:val="-12"/>
        </w:rPr>
        <w:t> </w:t>
      </w:r>
      <w:r>
        <w:rPr>
          <w:color w:val="231F20"/>
          <w:spacing w:val="-3"/>
        </w:rPr>
        <w:t>оквиру</w:t>
      </w:r>
      <w:r>
        <w:rPr>
          <w:color w:val="231F20"/>
          <w:spacing w:val="-12"/>
        </w:rPr>
        <w:t> </w:t>
      </w:r>
      <w:r>
        <w:rPr>
          <w:color w:val="231F20"/>
        </w:rPr>
        <w:t>Просторним</w:t>
      </w:r>
      <w:r>
        <w:rPr>
          <w:color w:val="231F20"/>
          <w:spacing w:val="-12"/>
        </w:rPr>
        <w:t> </w:t>
      </w:r>
      <w:r>
        <w:rPr>
          <w:color w:val="231F20"/>
          <w:spacing w:val="-3"/>
        </w:rPr>
        <w:t>планом </w:t>
      </w:r>
      <w:r>
        <w:rPr>
          <w:color w:val="231F20"/>
        </w:rPr>
        <w:t>утврђених правила у </w:t>
      </w:r>
      <w:r>
        <w:rPr>
          <w:color w:val="231F20"/>
          <w:spacing w:val="-4"/>
        </w:rPr>
        <w:t>законом </w:t>
      </w:r>
      <w:r>
        <w:rPr>
          <w:color w:val="231F20"/>
        </w:rPr>
        <w:t>прописаној </w:t>
      </w:r>
      <w:r>
        <w:rPr>
          <w:color w:val="231F20"/>
          <w:spacing w:val="-3"/>
        </w:rPr>
        <w:t>процедури, </w:t>
      </w:r>
      <w:r>
        <w:rPr>
          <w:color w:val="231F20"/>
        </w:rPr>
        <w:t>могу се утвр- дити</w:t>
      </w:r>
      <w:r>
        <w:rPr>
          <w:color w:val="231F20"/>
          <w:spacing w:val="-8"/>
        </w:rPr>
        <w:t> </w:t>
      </w:r>
      <w:r>
        <w:rPr>
          <w:color w:val="231F20"/>
        </w:rPr>
        <w:t>и</w:t>
      </w:r>
      <w:r>
        <w:rPr>
          <w:color w:val="231F20"/>
          <w:spacing w:val="-8"/>
        </w:rPr>
        <w:t> </w:t>
      </w:r>
      <w:r>
        <w:rPr>
          <w:color w:val="231F20"/>
        </w:rPr>
        <w:t>мање</w:t>
      </w:r>
      <w:r>
        <w:rPr>
          <w:color w:val="231F20"/>
          <w:spacing w:val="-8"/>
        </w:rPr>
        <w:t> </w:t>
      </w:r>
      <w:r>
        <w:rPr>
          <w:color w:val="231F20"/>
          <w:spacing w:val="-3"/>
        </w:rPr>
        <w:t>промене</w:t>
      </w:r>
      <w:r>
        <w:rPr>
          <w:color w:val="231F20"/>
          <w:spacing w:val="-8"/>
        </w:rPr>
        <w:t> </w:t>
      </w:r>
      <w:r>
        <w:rPr>
          <w:color w:val="231F20"/>
        </w:rPr>
        <w:t>планиране</w:t>
      </w:r>
      <w:r>
        <w:rPr>
          <w:color w:val="231F20"/>
          <w:spacing w:val="-8"/>
        </w:rPr>
        <w:t> </w:t>
      </w:r>
      <w:r>
        <w:rPr>
          <w:color w:val="231F20"/>
        </w:rPr>
        <w:t>намене</w:t>
      </w:r>
      <w:r>
        <w:rPr>
          <w:color w:val="231F20"/>
          <w:spacing w:val="-8"/>
        </w:rPr>
        <w:t> </w:t>
      </w:r>
      <w:r>
        <w:rPr>
          <w:color w:val="231F20"/>
        </w:rPr>
        <w:t>и</w:t>
      </w:r>
      <w:r>
        <w:rPr>
          <w:color w:val="231F20"/>
          <w:spacing w:val="-8"/>
        </w:rPr>
        <w:t> </w:t>
      </w:r>
      <w:r>
        <w:rPr>
          <w:color w:val="231F20"/>
          <w:spacing w:val="-3"/>
        </w:rPr>
        <w:t>других</w:t>
      </w:r>
      <w:r>
        <w:rPr>
          <w:color w:val="231F20"/>
          <w:spacing w:val="-8"/>
        </w:rPr>
        <w:t> </w:t>
      </w:r>
      <w:r>
        <w:rPr>
          <w:color w:val="231F20"/>
        </w:rPr>
        <w:t>планских</w:t>
      </w:r>
      <w:r>
        <w:rPr>
          <w:color w:val="231F20"/>
          <w:spacing w:val="-8"/>
        </w:rPr>
        <w:t> </w:t>
      </w:r>
      <w:r>
        <w:rPr>
          <w:color w:val="231F20"/>
          <w:spacing w:val="-3"/>
        </w:rPr>
        <w:t>исказа.</w:t>
      </w:r>
    </w:p>
    <w:p>
      <w:pPr>
        <w:pStyle w:val="BodyText"/>
        <w:spacing w:line="230" w:lineRule="auto"/>
        <w:ind w:left="454" w:right="1" w:firstLine="396"/>
      </w:pPr>
      <w:r>
        <w:rPr>
          <w:color w:val="231F20"/>
        </w:rPr>
        <w:t>Грађевинске парцеле се формирају за потребе изградње</w:t>
      </w:r>
      <w:r>
        <w:rPr>
          <w:color w:val="231F20"/>
          <w:spacing w:val="-27"/>
        </w:rPr>
        <w:t> </w:t>
      </w:r>
      <w:r>
        <w:rPr>
          <w:color w:val="231F20"/>
        </w:rPr>
        <w:t>обје- ката и партерног и пејзажног уређења обухваћених површина на основу валидног и ажурираног катастарског плана и пројекта гео- детског</w:t>
      </w:r>
      <w:r>
        <w:rPr>
          <w:color w:val="231F20"/>
          <w:spacing w:val="-6"/>
        </w:rPr>
        <w:t> </w:t>
      </w:r>
      <w:r>
        <w:rPr>
          <w:color w:val="231F20"/>
        </w:rPr>
        <w:t>обележавања,</w:t>
      </w:r>
      <w:r>
        <w:rPr>
          <w:color w:val="231F20"/>
          <w:spacing w:val="-6"/>
        </w:rPr>
        <w:t> </w:t>
      </w:r>
      <w:r>
        <w:rPr>
          <w:color w:val="231F20"/>
        </w:rPr>
        <w:t>а</w:t>
      </w:r>
      <w:r>
        <w:rPr>
          <w:color w:val="231F20"/>
          <w:spacing w:val="-6"/>
        </w:rPr>
        <w:t> </w:t>
      </w:r>
      <w:r>
        <w:rPr>
          <w:color w:val="231F20"/>
        </w:rPr>
        <w:t>према</w:t>
      </w:r>
      <w:r>
        <w:rPr>
          <w:color w:val="231F20"/>
          <w:spacing w:val="-6"/>
        </w:rPr>
        <w:t> </w:t>
      </w:r>
      <w:r>
        <w:rPr>
          <w:color w:val="231F20"/>
        </w:rPr>
        <w:t>овереним</w:t>
      </w:r>
      <w:r>
        <w:rPr>
          <w:color w:val="231F20"/>
          <w:spacing w:val="-6"/>
        </w:rPr>
        <w:t> </w:t>
      </w:r>
      <w:r>
        <w:rPr>
          <w:color w:val="231F20"/>
        </w:rPr>
        <w:t>пројектима</w:t>
      </w:r>
      <w:r>
        <w:rPr>
          <w:color w:val="231F20"/>
          <w:spacing w:val="-6"/>
        </w:rPr>
        <w:t> </w:t>
      </w:r>
      <w:r>
        <w:rPr>
          <w:color w:val="231F20"/>
        </w:rPr>
        <w:t>парцелације</w:t>
      </w:r>
      <w:r>
        <w:rPr>
          <w:color w:val="231F20"/>
          <w:spacing w:val="-6"/>
        </w:rPr>
        <w:t> </w:t>
      </w:r>
      <w:r>
        <w:rPr>
          <w:color w:val="231F20"/>
        </w:rPr>
        <w:t>и препарцелације.</w:t>
      </w:r>
    </w:p>
    <w:p>
      <w:pPr>
        <w:pStyle w:val="BodyText"/>
        <w:spacing w:line="230" w:lineRule="auto"/>
        <w:ind w:left="454" w:right="1" w:firstLine="397"/>
      </w:pPr>
      <w:r>
        <w:rPr>
          <w:color w:val="231F20"/>
          <w:spacing w:val="-3"/>
        </w:rPr>
        <w:t>Након </w:t>
      </w:r>
      <w:r>
        <w:rPr>
          <w:color w:val="231F20"/>
        </w:rPr>
        <w:t>што надлежни орган управе за послове урбанизма по- тврди</w:t>
      </w:r>
      <w:r>
        <w:rPr>
          <w:color w:val="231F20"/>
          <w:spacing w:val="-6"/>
        </w:rPr>
        <w:t> </w:t>
      </w:r>
      <w:r>
        <w:rPr>
          <w:color w:val="231F20"/>
        </w:rPr>
        <w:t>усаглашеност</w:t>
      </w:r>
      <w:r>
        <w:rPr>
          <w:color w:val="231F20"/>
          <w:spacing w:val="-6"/>
        </w:rPr>
        <w:t> </w:t>
      </w:r>
      <w:r>
        <w:rPr>
          <w:color w:val="231F20"/>
        </w:rPr>
        <w:t>урбанистичког</w:t>
      </w:r>
      <w:r>
        <w:rPr>
          <w:color w:val="231F20"/>
          <w:spacing w:val="-6"/>
        </w:rPr>
        <w:t> </w:t>
      </w:r>
      <w:r>
        <w:rPr>
          <w:color w:val="231F20"/>
        </w:rPr>
        <w:t>пројекта</w:t>
      </w:r>
      <w:r>
        <w:rPr>
          <w:color w:val="231F20"/>
          <w:spacing w:val="-6"/>
        </w:rPr>
        <w:t> </w:t>
      </w:r>
      <w:r>
        <w:rPr>
          <w:color w:val="231F20"/>
        </w:rPr>
        <w:t>са</w:t>
      </w:r>
      <w:r>
        <w:rPr>
          <w:color w:val="231F20"/>
          <w:spacing w:val="-6"/>
        </w:rPr>
        <w:t> </w:t>
      </w:r>
      <w:r>
        <w:rPr>
          <w:color w:val="231F20"/>
        </w:rPr>
        <w:t>правилима</w:t>
      </w:r>
      <w:r>
        <w:rPr>
          <w:color w:val="231F20"/>
          <w:spacing w:val="-6"/>
        </w:rPr>
        <w:t> </w:t>
      </w:r>
      <w:r>
        <w:rPr>
          <w:color w:val="231F20"/>
        </w:rPr>
        <w:t>изград- ње и уређења утврђеним у Просторном </w:t>
      </w:r>
      <w:r>
        <w:rPr>
          <w:color w:val="231F20"/>
          <w:spacing w:val="-4"/>
        </w:rPr>
        <w:t>плану, </w:t>
      </w:r>
      <w:r>
        <w:rPr>
          <w:color w:val="231F20"/>
        </w:rPr>
        <w:t>и по обављеном јавном </w:t>
      </w:r>
      <w:r>
        <w:rPr>
          <w:color w:val="231F20"/>
          <w:spacing w:val="-3"/>
        </w:rPr>
        <w:t>увиду, </w:t>
      </w:r>
      <w:r>
        <w:rPr>
          <w:color w:val="231F20"/>
        </w:rPr>
        <w:t>потврђује се урбанистички пројект и пројект парце- лације и</w:t>
      </w:r>
      <w:r>
        <w:rPr>
          <w:color w:val="231F20"/>
          <w:spacing w:val="-2"/>
        </w:rPr>
        <w:t> </w:t>
      </w:r>
      <w:r>
        <w:rPr>
          <w:color w:val="231F20"/>
        </w:rPr>
        <w:t>препарцелације.</w:t>
      </w:r>
    </w:p>
    <w:p>
      <w:pPr>
        <w:pStyle w:val="BodyText"/>
        <w:spacing w:line="230" w:lineRule="auto"/>
        <w:ind w:left="454" w:firstLine="396"/>
        <w:jc w:val="right"/>
      </w:pPr>
      <w:r>
        <w:rPr>
          <w:color w:val="231F20"/>
        </w:rPr>
        <w:t>Потврђени</w:t>
      </w:r>
      <w:r>
        <w:rPr>
          <w:color w:val="231F20"/>
          <w:spacing w:val="-12"/>
        </w:rPr>
        <w:t> </w:t>
      </w:r>
      <w:r>
        <w:rPr>
          <w:color w:val="231F20"/>
        </w:rPr>
        <w:t>пројекат</w:t>
      </w:r>
      <w:r>
        <w:rPr>
          <w:color w:val="231F20"/>
          <w:spacing w:val="-12"/>
        </w:rPr>
        <w:t> </w:t>
      </w:r>
      <w:r>
        <w:rPr>
          <w:color w:val="231F20"/>
        </w:rPr>
        <w:t>препарцелације</w:t>
      </w:r>
      <w:r>
        <w:rPr>
          <w:color w:val="231F20"/>
          <w:spacing w:val="-12"/>
        </w:rPr>
        <w:t> </w:t>
      </w:r>
      <w:r>
        <w:rPr>
          <w:color w:val="231F20"/>
        </w:rPr>
        <w:t>представља</w:t>
      </w:r>
      <w:r>
        <w:rPr>
          <w:color w:val="231F20"/>
          <w:spacing w:val="-12"/>
        </w:rPr>
        <w:t> </w:t>
      </w:r>
      <w:r>
        <w:rPr>
          <w:color w:val="231F20"/>
        </w:rPr>
        <w:t>основ</w:t>
      </w:r>
      <w:r>
        <w:rPr>
          <w:color w:val="231F20"/>
          <w:spacing w:val="-12"/>
        </w:rPr>
        <w:t> </w:t>
      </w:r>
      <w:r>
        <w:rPr>
          <w:color w:val="231F20"/>
        </w:rPr>
        <w:t>за</w:t>
      </w:r>
      <w:r>
        <w:rPr>
          <w:color w:val="231F20"/>
          <w:spacing w:val="-12"/>
        </w:rPr>
        <w:t> </w:t>
      </w:r>
      <w:r>
        <w:rPr>
          <w:color w:val="231F20"/>
        </w:rPr>
        <w:t>пре- намену земљишта и отуђење или давање</w:t>
      </w:r>
      <w:r>
        <w:rPr>
          <w:color w:val="231F20"/>
          <w:spacing w:val="5"/>
        </w:rPr>
        <w:t> </w:t>
      </w:r>
      <w:r>
        <w:rPr>
          <w:color w:val="231F20"/>
        </w:rPr>
        <w:t>грађевинског</w:t>
      </w:r>
      <w:r>
        <w:rPr>
          <w:color w:val="231F20"/>
          <w:spacing w:val="7"/>
        </w:rPr>
        <w:t> </w:t>
      </w:r>
      <w:r>
        <w:rPr>
          <w:color w:val="231F20"/>
        </w:rPr>
        <w:t>земљишта у</w:t>
      </w:r>
      <w:r>
        <w:rPr>
          <w:color w:val="231F20"/>
          <w:spacing w:val="23"/>
        </w:rPr>
        <w:t> </w:t>
      </w:r>
      <w:r>
        <w:rPr>
          <w:color w:val="231F20"/>
        </w:rPr>
        <w:t>закуп</w:t>
      </w:r>
      <w:r>
        <w:rPr>
          <w:color w:val="231F20"/>
          <w:spacing w:val="23"/>
        </w:rPr>
        <w:t> </w:t>
      </w:r>
      <w:r>
        <w:rPr>
          <w:color w:val="231F20"/>
        </w:rPr>
        <w:t>непосредном</w:t>
      </w:r>
      <w:r>
        <w:rPr>
          <w:color w:val="231F20"/>
          <w:spacing w:val="23"/>
        </w:rPr>
        <w:t> </w:t>
      </w:r>
      <w:r>
        <w:rPr>
          <w:color w:val="231F20"/>
          <w:spacing w:val="-3"/>
        </w:rPr>
        <w:t>погодбом</w:t>
      </w:r>
      <w:r>
        <w:rPr>
          <w:color w:val="231F20"/>
          <w:spacing w:val="23"/>
        </w:rPr>
        <w:t> </w:t>
      </w:r>
      <w:r>
        <w:rPr>
          <w:color w:val="231F20"/>
        </w:rPr>
        <w:t>или</w:t>
      </w:r>
      <w:r>
        <w:rPr>
          <w:color w:val="231F20"/>
          <w:spacing w:val="23"/>
        </w:rPr>
        <w:t> </w:t>
      </w:r>
      <w:r>
        <w:rPr>
          <w:color w:val="231F20"/>
        </w:rPr>
        <w:t>закључење</w:t>
      </w:r>
      <w:r>
        <w:rPr>
          <w:color w:val="231F20"/>
          <w:spacing w:val="23"/>
        </w:rPr>
        <w:t> </w:t>
      </w:r>
      <w:r>
        <w:rPr>
          <w:color w:val="231F20"/>
        </w:rPr>
        <w:t>уговора</w:t>
      </w:r>
      <w:r>
        <w:rPr>
          <w:color w:val="231F20"/>
          <w:spacing w:val="23"/>
        </w:rPr>
        <w:t> </w:t>
      </w:r>
      <w:r>
        <w:rPr>
          <w:color w:val="231F20"/>
          <w:spacing w:val="-3"/>
        </w:rPr>
        <w:t>којим</w:t>
      </w:r>
      <w:r>
        <w:rPr>
          <w:color w:val="231F20"/>
          <w:spacing w:val="23"/>
        </w:rPr>
        <w:t> </w:t>
      </w:r>
      <w:r>
        <w:rPr>
          <w:color w:val="231F20"/>
        </w:rPr>
        <w:t>се регулише</w:t>
      </w:r>
      <w:r>
        <w:rPr>
          <w:color w:val="231F20"/>
          <w:spacing w:val="-12"/>
        </w:rPr>
        <w:t> </w:t>
      </w:r>
      <w:r>
        <w:rPr>
          <w:color w:val="231F20"/>
        </w:rPr>
        <w:t>правни</w:t>
      </w:r>
      <w:r>
        <w:rPr>
          <w:color w:val="231F20"/>
          <w:spacing w:val="-12"/>
        </w:rPr>
        <w:t> </w:t>
      </w:r>
      <w:r>
        <w:rPr>
          <w:color w:val="231F20"/>
        </w:rPr>
        <w:t>промет</w:t>
      </w:r>
      <w:r>
        <w:rPr>
          <w:color w:val="231F20"/>
          <w:spacing w:val="-12"/>
        </w:rPr>
        <w:t> </w:t>
      </w:r>
      <w:r>
        <w:rPr>
          <w:color w:val="231F20"/>
        </w:rPr>
        <w:t>грађевинског</w:t>
      </w:r>
      <w:r>
        <w:rPr>
          <w:color w:val="231F20"/>
          <w:spacing w:val="-12"/>
        </w:rPr>
        <w:t> </w:t>
      </w:r>
      <w:r>
        <w:rPr>
          <w:color w:val="231F20"/>
        </w:rPr>
        <w:t>земљишта</w:t>
      </w:r>
      <w:r>
        <w:rPr>
          <w:color w:val="231F20"/>
          <w:spacing w:val="-12"/>
        </w:rPr>
        <w:t> </w:t>
      </w:r>
      <w:r>
        <w:rPr>
          <w:color w:val="231F20"/>
        </w:rPr>
        <w:t>у</w:t>
      </w:r>
      <w:r>
        <w:rPr>
          <w:color w:val="231F20"/>
          <w:spacing w:val="-12"/>
        </w:rPr>
        <w:t> </w:t>
      </w:r>
      <w:r>
        <w:rPr>
          <w:color w:val="231F20"/>
        </w:rPr>
        <w:t>јавној</w:t>
      </w:r>
      <w:r>
        <w:rPr>
          <w:color w:val="231F20"/>
          <w:spacing w:val="-12"/>
        </w:rPr>
        <w:t> </w:t>
      </w:r>
      <w:r>
        <w:rPr>
          <w:color w:val="231F20"/>
        </w:rPr>
        <w:t>својини. Новоформиране</w:t>
      </w:r>
      <w:r>
        <w:rPr>
          <w:color w:val="231F20"/>
          <w:spacing w:val="27"/>
        </w:rPr>
        <w:t> </w:t>
      </w:r>
      <w:r>
        <w:rPr>
          <w:color w:val="231F20"/>
        </w:rPr>
        <w:t>грађевинске</w:t>
      </w:r>
      <w:r>
        <w:rPr>
          <w:color w:val="231F20"/>
          <w:spacing w:val="27"/>
        </w:rPr>
        <w:t> </w:t>
      </w:r>
      <w:r>
        <w:rPr>
          <w:color w:val="231F20"/>
        </w:rPr>
        <w:t>парцеле</w:t>
      </w:r>
      <w:r>
        <w:rPr>
          <w:color w:val="231F20"/>
          <w:spacing w:val="27"/>
        </w:rPr>
        <w:t> </w:t>
      </w:r>
      <w:r>
        <w:rPr>
          <w:color w:val="231F20"/>
        </w:rPr>
        <w:t>директно</w:t>
      </w:r>
      <w:r>
        <w:rPr>
          <w:color w:val="231F20"/>
          <w:spacing w:val="27"/>
        </w:rPr>
        <w:t> </w:t>
      </w:r>
      <w:r>
        <w:rPr>
          <w:color w:val="231F20"/>
        </w:rPr>
        <w:t>се</w:t>
      </w:r>
      <w:r>
        <w:rPr>
          <w:color w:val="231F20"/>
          <w:spacing w:val="27"/>
        </w:rPr>
        <w:t> </w:t>
      </w:r>
      <w:r>
        <w:rPr>
          <w:color w:val="231F20"/>
        </w:rPr>
        <w:t>прикљу-</w:t>
      </w:r>
    </w:p>
    <w:p>
      <w:pPr>
        <w:pStyle w:val="BodyText"/>
        <w:spacing w:line="230" w:lineRule="auto"/>
        <w:ind w:left="454" w:right="1"/>
      </w:pPr>
      <w:r>
        <w:rPr>
          <w:color w:val="231F20"/>
        </w:rPr>
        <w:t>чују на јавну саобраћајницу, односно на нови општински пут на потезу од насеља Кленовник до манастира Рукумија. Паркирање возила је предвиђено на парцели.</w:t>
      </w:r>
    </w:p>
    <w:p>
      <w:pPr>
        <w:pStyle w:val="BodyText"/>
        <w:spacing w:line="230" w:lineRule="auto"/>
        <w:ind w:left="454" w:firstLine="396"/>
      </w:pPr>
      <w:r>
        <w:rPr>
          <w:color w:val="231F20"/>
        </w:rPr>
        <w:t>Грађевинска парцела 3, </w:t>
      </w:r>
      <w:r>
        <w:rPr>
          <w:color w:val="231F20"/>
          <w:spacing w:val="-3"/>
        </w:rPr>
        <w:t>које </w:t>
      </w:r>
      <w:r>
        <w:rPr>
          <w:color w:val="231F20"/>
        </w:rPr>
        <w:t>ће се формирати на основу ва- лидног и ажурираног катастарског плана и пројекта геодетског обележавања, а према овереном пројекту парцелације и препарце- лације за потребе уређења и проширења месног гробља у потце- лини</w:t>
      </w:r>
      <w:r>
        <w:rPr>
          <w:color w:val="231F20"/>
          <w:spacing w:val="-3"/>
        </w:rPr>
        <w:t> </w:t>
      </w:r>
      <w:r>
        <w:rPr>
          <w:color w:val="231F20"/>
        </w:rPr>
        <w:t>3,</w:t>
      </w:r>
      <w:r>
        <w:rPr>
          <w:color w:val="231F20"/>
          <w:spacing w:val="-3"/>
        </w:rPr>
        <w:t> </w:t>
      </w:r>
      <w:r>
        <w:rPr>
          <w:color w:val="231F20"/>
        </w:rPr>
        <w:t>обухвата</w:t>
      </w:r>
      <w:r>
        <w:rPr>
          <w:color w:val="231F20"/>
          <w:spacing w:val="-3"/>
        </w:rPr>
        <w:t> </w:t>
      </w:r>
      <w:r>
        <w:rPr>
          <w:color w:val="231F20"/>
        </w:rPr>
        <w:t>целу</w:t>
      </w:r>
      <w:r>
        <w:rPr>
          <w:color w:val="231F20"/>
          <w:spacing w:val="-3"/>
        </w:rPr>
        <w:t> </w:t>
      </w:r>
      <w:r>
        <w:rPr>
          <w:color w:val="231F20"/>
        </w:rPr>
        <w:t>к.п.</w:t>
      </w:r>
      <w:r>
        <w:rPr>
          <w:color w:val="231F20"/>
          <w:spacing w:val="-3"/>
        </w:rPr>
        <w:t> </w:t>
      </w:r>
      <w:r>
        <w:rPr>
          <w:color w:val="231F20"/>
        </w:rPr>
        <w:t>бр.</w:t>
      </w:r>
      <w:r>
        <w:rPr>
          <w:color w:val="231F20"/>
          <w:spacing w:val="-3"/>
        </w:rPr>
        <w:t> </w:t>
      </w:r>
      <w:r>
        <w:rPr>
          <w:color w:val="231F20"/>
        </w:rPr>
        <w:t>2673</w:t>
      </w:r>
      <w:r>
        <w:rPr>
          <w:color w:val="231F20"/>
          <w:spacing w:val="-3"/>
        </w:rPr>
        <w:t> </w:t>
      </w:r>
      <w:r>
        <w:rPr>
          <w:color w:val="231F20"/>
        </w:rPr>
        <w:t>и</w:t>
      </w:r>
      <w:r>
        <w:rPr>
          <w:color w:val="231F20"/>
          <w:spacing w:val="-3"/>
        </w:rPr>
        <w:t> </w:t>
      </w:r>
      <w:r>
        <w:rPr>
          <w:color w:val="231F20"/>
        </w:rPr>
        <w:t>део</w:t>
      </w:r>
      <w:r>
        <w:rPr>
          <w:color w:val="231F20"/>
          <w:spacing w:val="-3"/>
        </w:rPr>
        <w:t> </w:t>
      </w:r>
      <w:r>
        <w:rPr>
          <w:color w:val="231F20"/>
        </w:rPr>
        <w:t>к.</w:t>
      </w:r>
      <w:r>
        <w:rPr>
          <w:color w:val="231F20"/>
          <w:spacing w:val="-3"/>
        </w:rPr>
        <w:t> </w:t>
      </w:r>
      <w:r>
        <w:rPr>
          <w:color w:val="231F20"/>
        </w:rPr>
        <w:t>п.</w:t>
      </w:r>
      <w:r>
        <w:rPr>
          <w:color w:val="231F20"/>
          <w:spacing w:val="-3"/>
        </w:rPr>
        <w:t> </w:t>
      </w:r>
      <w:r>
        <w:rPr>
          <w:color w:val="231F20"/>
        </w:rPr>
        <w:t>бр.</w:t>
      </w:r>
      <w:r>
        <w:rPr>
          <w:color w:val="231F20"/>
          <w:spacing w:val="-3"/>
        </w:rPr>
        <w:t> </w:t>
      </w:r>
      <w:r>
        <w:rPr>
          <w:color w:val="231F20"/>
        </w:rPr>
        <w:t>2671,</w:t>
      </w:r>
      <w:r>
        <w:rPr>
          <w:color w:val="231F20"/>
          <w:spacing w:val="-3"/>
        </w:rPr>
        <w:t> </w:t>
      </w:r>
      <w:r>
        <w:rPr>
          <w:color w:val="231F20"/>
        </w:rPr>
        <w:t>2672,</w:t>
      </w:r>
      <w:r>
        <w:rPr>
          <w:color w:val="231F20"/>
          <w:spacing w:val="-3"/>
        </w:rPr>
        <w:t> </w:t>
      </w:r>
      <w:r>
        <w:rPr>
          <w:color w:val="231F20"/>
        </w:rPr>
        <w:t>2917,</w:t>
      </w:r>
    </w:p>
    <w:p>
      <w:pPr>
        <w:pStyle w:val="BodyText"/>
        <w:spacing w:line="195" w:lineRule="exact"/>
        <w:ind w:left="455"/>
        <w:jc w:val="left"/>
      </w:pPr>
      <w:r>
        <w:rPr>
          <w:color w:val="231F20"/>
        </w:rPr>
        <w:t>2918, 2919, 2920, 2921, 2924, 3024, 3025 и 3026 (све </w:t>
      </w:r>
      <w:r>
        <w:rPr>
          <w:color w:val="231F20"/>
          <w:spacing w:val="-3"/>
        </w:rPr>
        <w:t>КО </w:t>
      </w:r>
      <w:r>
        <w:rPr>
          <w:color w:val="231F20"/>
        </w:rPr>
        <w:t>Брадарац).</w:t>
      </w:r>
    </w:p>
    <w:p>
      <w:pPr>
        <w:pStyle w:val="BodyText"/>
        <w:spacing w:line="230" w:lineRule="auto"/>
        <w:ind w:left="455"/>
      </w:pPr>
      <w:r>
        <w:rPr>
          <w:color w:val="231F20"/>
        </w:rPr>
        <w:t>Потврђени пројекат препарцелације представља основ за прена- мену земљишта, али се у складу са Законом, на новоформираној катастарској парцели не мења власник до прибављања земљишта у</w:t>
      </w:r>
      <w:r>
        <w:rPr>
          <w:color w:val="231F20"/>
          <w:spacing w:val="-5"/>
        </w:rPr>
        <w:t> </w:t>
      </w:r>
      <w:r>
        <w:rPr>
          <w:color w:val="231F20"/>
        </w:rPr>
        <w:t>јавну</w:t>
      </w:r>
      <w:r>
        <w:rPr>
          <w:color w:val="231F20"/>
          <w:spacing w:val="-5"/>
        </w:rPr>
        <w:t> </w:t>
      </w:r>
      <w:r>
        <w:rPr>
          <w:color w:val="231F20"/>
          <w:spacing w:val="-3"/>
        </w:rPr>
        <w:t>својину.</w:t>
      </w:r>
      <w:r>
        <w:rPr>
          <w:color w:val="231F20"/>
          <w:spacing w:val="-5"/>
        </w:rPr>
        <w:t> </w:t>
      </w:r>
      <w:r>
        <w:rPr>
          <w:color w:val="231F20"/>
        </w:rPr>
        <w:t>Парцела</w:t>
      </w:r>
      <w:r>
        <w:rPr>
          <w:color w:val="231F20"/>
          <w:spacing w:val="-5"/>
        </w:rPr>
        <w:t> </w:t>
      </w:r>
      <w:r>
        <w:rPr>
          <w:color w:val="231F20"/>
        </w:rPr>
        <w:t>на</w:t>
      </w:r>
      <w:r>
        <w:rPr>
          <w:color w:val="231F20"/>
          <w:spacing w:val="-5"/>
        </w:rPr>
        <w:t> </w:t>
      </w:r>
      <w:r>
        <w:rPr>
          <w:color w:val="231F20"/>
        </w:rPr>
        <w:t>којој</w:t>
      </w:r>
      <w:r>
        <w:rPr>
          <w:color w:val="231F20"/>
          <w:spacing w:val="-5"/>
        </w:rPr>
        <w:t> </w:t>
      </w:r>
      <w:r>
        <w:rPr>
          <w:color w:val="231F20"/>
        </w:rPr>
        <w:t>се</w:t>
      </w:r>
      <w:r>
        <w:rPr>
          <w:color w:val="231F20"/>
          <w:spacing w:val="-5"/>
        </w:rPr>
        <w:t> </w:t>
      </w:r>
      <w:r>
        <w:rPr>
          <w:color w:val="231F20"/>
        </w:rPr>
        <w:t>формира</w:t>
      </w:r>
      <w:r>
        <w:rPr>
          <w:color w:val="231F20"/>
          <w:spacing w:val="-5"/>
        </w:rPr>
        <w:t> </w:t>
      </w:r>
      <w:r>
        <w:rPr>
          <w:color w:val="231F20"/>
          <w:spacing w:val="-3"/>
        </w:rPr>
        <w:t>комплекс</w:t>
      </w:r>
      <w:r>
        <w:rPr>
          <w:color w:val="231F20"/>
          <w:spacing w:val="-5"/>
        </w:rPr>
        <w:t> </w:t>
      </w:r>
      <w:r>
        <w:rPr>
          <w:color w:val="231F20"/>
        </w:rPr>
        <w:t>месног</w:t>
      </w:r>
      <w:r>
        <w:rPr>
          <w:color w:val="231F20"/>
          <w:spacing w:val="-6"/>
        </w:rPr>
        <w:t> </w:t>
      </w:r>
      <w:r>
        <w:rPr>
          <w:color w:val="231F20"/>
        </w:rPr>
        <w:t>гро- бља прикључује се на јавни пут ОП 8 </w:t>
      </w:r>
      <w:r>
        <w:rPr>
          <w:color w:val="231F20"/>
          <w:spacing w:val="-3"/>
        </w:rPr>
        <w:t>преко </w:t>
      </w:r>
      <w:r>
        <w:rPr>
          <w:color w:val="231F20"/>
        </w:rPr>
        <w:t>приступног пута, </w:t>
      </w:r>
      <w:r>
        <w:rPr>
          <w:color w:val="231F20"/>
          <w:spacing w:val="-3"/>
        </w:rPr>
        <w:t>који </w:t>
      </w:r>
      <w:r>
        <w:rPr>
          <w:color w:val="231F20"/>
        </w:rPr>
        <w:t>има карактер јавне површине, по траси постојећег некатегориса- ног пута </w:t>
      </w:r>
      <w:r>
        <w:rPr>
          <w:color w:val="231F20"/>
          <w:spacing w:val="-3"/>
        </w:rPr>
        <w:t>који </w:t>
      </w:r>
      <w:r>
        <w:rPr>
          <w:color w:val="231F20"/>
        </w:rPr>
        <w:t>се реконструише у склопу реконструкције општин- </w:t>
      </w:r>
      <w:r>
        <w:rPr>
          <w:color w:val="231F20"/>
          <w:spacing w:val="-3"/>
        </w:rPr>
        <w:t>ског </w:t>
      </w:r>
      <w:r>
        <w:rPr>
          <w:color w:val="231F20"/>
        </w:rPr>
        <w:t>пута на месту</w:t>
      </w:r>
      <w:r>
        <w:rPr>
          <w:color w:val="231F20"/>
          <w:spacing w:val="0"/>
        </w:rPr>
        <w:t> </w:t>
      </w:r>
      <w:r>
        <w:rPr>
          <w:color w:val="231F20"/>
        </w:rPr>
        <w:t>прикључка.</w:t>
      </w:r>
    </w:p>
    <w:p>
      <w:pPr>
        <w:pStyle w:val="ListParagraph"/>
        <w:numPr>
          <w:ilvl w:val="2"/>
          <w:numId w:val="82"/>
        </w:numPr>
        <w:tabs>
          <w:tab w:pos="2578" w:val="left" w:leader="none"/>
        </w:tabs>
        <w:spacing w:line="240" w:lineRule="auto" w:before="159" w:after="0"/>
        <w:ind w:left="2577" w:right="0" w:hanging="540"/>
        <w:jc w:val="left"/>
        <w:rPr>
          <w:sz w:val="18"/>
        </w:rPr>
      </w:pPr>
      <w:r>
        <w:rPr>
          <w:color w:val="231F20"/>
          <w:spacing w:val="17"/>
          <w:sz w:val="18"/>
        </w:rPr>
        <w:t>Саобраћајнице</w:t>
      </w:r>
    </w:p>
    <w:p>
      <w:pPr>
        <w:pStyle w:val="BodyText"/>
        <w:spacing w:before="1"/>
        <w:ind w:left="0"/>
        <w:jc w:val="left"/>
        <w:rPr>
          <w:sz w:val="17"/>
        </w:rPr>
      </w:pPr>
    </w:p>
    <w:p>
      <w:pPr>
        <w:pStyle w:val="BodyText"/>
        <w:spacing w:line="230" w:lineRule="auto"/>
        <w:ind w:left="455" w:firstLine="397"/>
      </w:pPr>
      <w:r>
        <w:rPr>
          <w:color w:val="231F20"/>
        </w:rPr>
        <w:t>На површинама у </w:t>
      </w:r>
      <w:r>
        <w:rPr>
          <w:color w:val="231F20"/>
          <w:spacing w:val="-3"/>
        </w:rPr>
        <w:t>обухвату </w:t>
      </w:r>
      <w:r>
        <w:rPr>
          <w:color w:val="231F20"/>
        </w:rPr>
        <w:t>границе просторне целине, ме- ња се постојећа катастарска парцелација за потребе формирања грађевинских парцела за изградњу или реконструкцију јавних са- обраћајница у новој регулацији, у свему према правилима утврђе- ним у Просторном </w:t>
      </w:r>
      <w:r>
        <w:rPr>
          <w:color w:val="231F20"/>
          <w:spacing w:val="-4"/>
        </w:rPr>
        <w:t>плану. </w:t>
      </w:r>
      <w:r>
        <w:rPr>
          <w:color w:val="231F20"/>
        </w:rPr>
        <w:t>Предвиђа</w:t>
      </w:r>
      <w:r>
        <w:rPr>
          <w:color w:val="231F20"/>
          <w:spacing w:val="1"/>
        </w:rPr>
        <w:t> </w:t>
      </w:r>
      <w:r>
        <w:rPr>
          <w:color w:val="231F20"/>
        </w:rPr>
        <w:t>се:</w:t>
      </w:r>
    </w:p>
    <w:p>
      <w:pPr>
        <w:pStyle w:val="ListParagraph"/>
        <w:numPr>
          <w:ilvl w:val="0"/>
          <w:numId w:val="84"/>
        </w:numPr>
        <w:tabs>
          <w:tab w:pos="1052" w:val="left" w:leader="none"/>
        </w:tabs>
        <w:spacing w:line="232" w:lineRule="auto" w:before="0" w:after="0"/>
        <w:ind w:left="455" w:right="0" w:firstLine="397"/>
        <w:jc w:val="both"/>
        <w:rPr>
          <w:sz w:val="18"/>
        </w:rPr>
      </w:pPr>
      <w:r>
        <w:rPr>
          <w:color w:val="231F20"/>
          <w:sz w:val="18"/>
        </w:rPr>
        <w:t>реконструкција постојећег општинског пута бр. 8, Брада- рац – Рукумија, на потезу </w:t>
      </w:r>
      <w:r>
        <w:rPr>
          <w:color w:val="231F20"/>
          <w:spacing w:val="-3"/>
          <w:sz w:val="18"/>
        </w:rPr>
        <w:t>од </w:t>
      </w:r>
      <w:r>
        <w:rPr>
          <w:color w:val="231F20"/>
          <w:sz w:val="18"/>
        </w:rPr>
        <w:t>моста на Млави до</w:t>
      </w:r>
      <w:r>
        <w:rPr>
          <w:color w:val="231F20"/>
          <w:spacing w:val="6"/>
          <w:sz w:val="18"/>
        </w:rPr>
        <w:t> </w:t>
      </w:r>
      <w:r>
        <w:rPr>
          <w:color w:val="231F20"/>
          <w:sz w:val="18"/>
        </w:rPr>
        <w:t>манастира;</w:t>
      </w:r>
    </w:p>
    <w:p>
      <w:pPr>
        <w:pStyle w:val="ListParagraph"/>
        <w:numPr>
          <w:ilvl w:val="0"/>
          <w:numId w:val="84"/>
        </w:numPr>
        <w:tabs>
          <w:tab w:pos="837" w:val="left" w:leader="none"/>
        </w:tabs>
        <w:spacing w:line="232" w:lineRule="auto" w:before="68" w:after="0"/>
        <w:ind w:left="243" w:right="126" w:firstLine="396"/>
        <w:jc w:val="both"/>
        <w:rPr>
          <w:sz w:val="18"/>
        </w:rPr>
      </w:pPr>
      <w:r>
        <w:rPr>
          <w:color w:val="231F20"/>
          <w:spacing w:val="-1"/>
          <w:sz w:val="18"/>
        </w:rPr>
        <w:br w:type="column"/>
      </w:r>
      <w:r>
        <w:rPr>
          <w:color w:val="231F20"/>
          <w:sz w:val="18"/>
        </w:rPr>
        <w:t>изградња новог општинског пута према насељу Село </w:t>
      </w:r>
      <w:r>
        <w:rPr>
          <w:color w:val="231F20"/>
          <w:spacing w:val="-3"/>
          <w:sz w:val="18"/>
        </w:rPr>
        <w:t>Ко- </w:t>
      </w:r>
      <w:r>
        <w:rPr>
          <w:color w:val="231F20"/>
          <w:sz w:val="18"/>
        </w:rPr>
        <w:t>столац;</w:t>
      </w:r>
      <w:r>
        <w:rPr>
          <w:color w:val="231F20"/>
          <w:spacing w:val="-2"/>
          <w:sz w:val="18"/>
        </w:rPr>
        <w:t> </w:t>
      </w:r>
      <w:r>
        <w:rPr>
          <w:color w:val="231F20"/>
          <w:sz w:val="18"/>
        </w:rPr>
        <w:t>и</w:t>
      </w:r>
    </w:p>
    <w:p>
      <w:pPr>
        <w:pStyle w:val="ListParagraph"/>
        <w:numPr>
          <w:ilvl w:val="0"/>
          <w:numId w:val="84"/>
        </w:numPr>
        <w:tabs>
          <w:tab w:pos="823" w:val="left" w:leader="none"/>
        </w:tabs>
        <w:spacing w:line="230" w:lineRule="auto" w:before="0" w:after="0"/>
        <w:ind w:left="242" w:right="126" w:firstLine="397"/>
        <w:jc w:val="both"/>
        <w:rPr>
          <w:sz w:val="18"/>
        </w:rPr>
      </w:pPr>
      <w:r>
        <w:rPr>
          <w:color w:val="231F20"/>
          <w:sz w:val="18"/>
        </w:rPr>
        <w:t>изградња деоница новог општинског пута Кленовник - Ру- кумија</w:t>
      </w:r>
      <w:r>
        <w:rPr>
          <w:color w:val="231F20"/>
          <w:spacing w:val="-8"/>
          <w:sz w:val="18"/>
        </w:rPr>
        <w:t> </w:t>
      </w:r>
      <w:r>
        <w:rPr>
          <w:color w:val="231F20"/>
          <w:sz w:val="18"/>
        </w:rPr>
        <w:t>oд</w:t>
      </w:r>
      <w:r>
        <w:rPr>
          <w:color w:val="231F20"/>
          <w:spacing w:val="-8"/>
          <w:sz w:val="18"/>
        </w:rPr>
        <w:t> </w:t>
      </w:r>
      <w:r>
        <w:rPr>
          <w:color w:val="231F20"/>
          <w:sz w:val="18"/>
        </w:rPr>
        <w:t>раскрснице</w:t>
      </w:r>
      <w:r>
        <w:rPr>
          <w:color w:val="231F20"/>
          <w:spacing w:val="-8"/>
          <w:sz w:val="18"/>
        </w:rPr>
        <w:t> </w:t>
      </w:r>
      <w:r>
        <w:rPr>
          <w:color w:val="231F20"/>
          <w:sz w:val="18"/>
        </w:rPr>
        <w:t>са</w:t>
      </w:r>
      <w:r>
        <w:rPr>
          <w:color w:val="231F20"/>
          <w:spacing w:val="-8"/>
          <w:sz w:val="18"/>
        </w:rPr>
        <w:t> </w:t>
      </w:r>
      <w:r>
        <w:rPr>
          <w:color w:val="231F20"/>
          <w:sz w:val="18"/>
        </w:rPr>
        <w:t>планираним</w:t>
      </w:r>
      <w:r>
        <w:rPr>
          <w:color w:val="231F20"/>
          <w:spacing w:val="-8"/>
          <w:sz w:val="18"/>
        </w:rPr>
        <w:t> </w:t>
      </w:r>
      <w:r>
        <w:rPr>
          <w:color w:val="231F20"/>
          <w:sz w:val="18"/>
        </w:rPr>
        <w:t>општинским</w:t>
      </w:r>
      <w:r>
        <w:rPr>
          <w:color w:val="231F20"/>
          <w:spacing w:val="-8"/>
          <w:sz w:val="18"/>
        </w:rPr>
        <w:t> </w:t>
      </w:r>
      <w:r>
        <w:rPr>
          <w:color w:val="231F20"/>
          <w:sz w:val="18"/>
        </w:rPr>
        <w:t>путем</w:t>
      </w:r>
      <w:r>
        <w:rPr>
          <w:color w:val="231F20"/>
          <w:spacing w:val="-8"/>
          <w:sz w:val="18"/>
        </w:rPr>
        <w:t> </w:t>
      </w:r>
      <w:r>
        <w:rPr>
          <w:color w:val="231F20"/>
          <w:spacing w:val="-3"/>
          <w:sz w:val="18"/>
        </w:rPr>
        <w:t>који</w:t>
      </w:r>
      <w:r>
        <w:rPr>
          <w:color w:val="231F20"/>
          <w:spacing w:val="-8"/>
          <w:sz w:val="18"/>
        </w:rPr>
        <w:t> </w:t>
      </w:r>
      <w:r>
        <w:rPr>
          <w:color w:val="231F20"/>
          <w:sz w:val="18"/>
        </w:rPr>
        <w:t>води ка насељу Село</w:t>
      </w:r>
      <w:r>
        <w:rPr>
          <w:color w:val="231F20"/>
          <w:spacing w:val="-3"/>
          <w:sz w:val="18"/>
        </w:rPr>
        <w:t> </w:t>
      </w:r>
      <w:r>
        <w:rPr>
          <w:color w:val="231F20"/>
          <w:sz w:val="18"/>
        </w:rPr>
        <w:t>Костолац.</w:t>
      </w:r>
    </w:p>
    <w:p>
      <w:pPr>
        <w:pStyle w:val="BodyText"/>
        <w:spacing w:line="230" w:lineRule="auto" w:before="1"/>
        <w:ind w:left="242" w:right="127" w:firstLine="397"/>
      </w:pPr>
      <w:r>
        <w:rPr>
          <w:color w:val="231F20"/>
        </w:rPr>
        <w:t>Грађевинска</w:t>
      </w:r>
      <w:r>
        <w:rPr>
          <w:color w:val="231F20"/>
          <w:spacing w:val="-7"/>
        </w:rPr>
        <w:t> </w:t>
      </w:r>
      <w:r>
        <w:rPr>
          <w:color w:val="231F20"/>
        </w:rPr>
        <w:t>парцела</w:t>
      </w:r>
      <w:r>
        <w:rPr>
          <w:color w:val="231F20"/>
          <w:spacing w:val="-7"/>
        </w:rPr>
        <w:t> </w:t>
      </w:r>
      <w:r>
        <w:rPr>
          <w:color w:val="231F20"/>
        </w:rPr>
        <w:t>се</w:t>
      </w:r>
      <w:r>
        <w:rPr>
          <w:color w:val="231F20"/>
          <w:spacing w:val="-7"/>
        </w:rPr>
        <w:t> </w:t>
      </w:r>
      <w:r>
        <w:rPr>
          <w:color w:val="231F20"/>
        </w:rPr>
        <w:t>формира</w:t>
      </w:r>
      <w:r>
        <w:rPr>
          <w:color w:val="231F20"/>
          <w:spacing w:val="-7"/>
        </w:rPr>
        <w:t> </w:t>
      </w:r>
      <w:r>
        <w:rPr>
          <w:color w:val="231F20"/>
          <w:spacing w:val="-3"/>
        </w:rPr>
        <w:t>тако</w:t>
      </w:r>
      <w:r>
        <w:rPr>
          <w:color w:val="231F20"/>
          <w:spacing w:val="-7"/>
        </w:rPr>
        <w:t> </w:t>
      </w:r>
      <w:r>
        <w:rPr>
          <w:color w:val="231F20"/>
        </w:rPr>
        <w:t>да</w:t>
      </w:r>
      <w:r>
        <w:rPr>
          <w:color w:val="231F20"/>
          <w:spacing w:val="-7"/>
        </w:rPr>
        <w:t> </w:t>
      </w:r>
      <w:r>
        <w:rPr>
          <w:color w:val="231F20"/>
        </w:rPr>
        <w:t>обухвата</w:t>
      </w:r>
      <w:r>
        <w:rPr>
          <w:color w:val="231F20"/>
          <w:spacing w:val="-7"/>
        </w:rPr>
        <w:t> </w:t>
      </w:r>
      <w:r>
        <w:rPr>
          <w:color w:val="231F20"/>
        </w:rPr>
        <w:t>земљишни путни појас, </w:t>
      </w:r>
      <w:r>
        <w:rPr>
          <w:color w:val="231F20"/>
          <w:spacing w:val="-3"/>
        </w:rPr>
        <w:t>који </w:t>
      </w:r>
      <w:r>
        <w:rPr>
          <w:color w:val="231F20"/>
        </w:rPr>
        <w:t>се одређује у складу са </w:t>
      </w:r>
      <w:r>
        <w:rPr>
          <w:color w:val="231F20"/>
          <w:spacing w:val="-3"/>
        </w:rPr>
        <w:t>Законом </w:t>
      </w:r>
      <w:r>
        <w:rPr>
          <w:color w:val="231F20"/>
        </w:rPr>
        <w:t>и на основу пра- вила утврђених у Просторном </w:t>
      </w:r>
      <w:r>
        <w:rPr>
          <w:color w:val="231F20"/>
          <w:spacing w:val="-4"/>
        </w:rPr>
        <w:t>плану, </w:t>
      </w:r>
      <w:r>
        <w:rPr>
          <w:color w:val="231F20"/>
        </w:rPr>
        <w:t>а у свему према решењима из техничке документације за саобраћајницу. За потребе форми- рања грађевинских парцела, као и одређивања границе површи- не јавне намене, врши се исправка граница суседних парцела, на предлог и о трошку управљача пута и уз сагласност власника су- седних парцела. Орган надлежан за послове урбанизма јединице локалне самоуправе издаје услове за исправку граница суседних парцела и потврђује пројекат исправке граница суседних парцела. Извођење радова на изградњи или реконструкцији саобраћајница (извођачки појас) врши се у појасу непотпуне</w:t>
      </w:r>
      <w:r>
        <w:rPr>
          <w:color w:val="231F20"/>
          <w:spacing w:val="-22"/>
        </w:rPr>
        <w:t> </w:t>
      </w:r>
      <w:r>
        <w:rPr>
          <w:color w:val="231F20"/>
        </w:rPr>
        <w:t>експропријације.</w:t>
      </w:r>
    </w:p>
    <w:p>
      <w:pPr>
        <w:pStyle w:val="BodyText"/>
        <w:spacing w:line="230" w:lineRule="auto" w:before="2"/>
        <w:ind w:left="242" w:right="126" w:firstLine="396"/>
      </w:pPr>
      <w:r>
        <w:rPr>
          <w:color w:val="231F20"/>
        </w:rPr>
        <w:t>Грађевинска парцела за изградњу новог општинског пута према насељу Село Костолац се формира из делова, а за подручје сваке катастарске општине појединачно се именује и обележи но- ва катастарска парцела.</w:t>
      </w:r>
    </w:p>
    <w:p>
      <w:pPr>
        <w:pStyle w:val="ListParagraph"/>
        <w:numPr>
          <w:ilvl w:val="1"/>
          <w:numId w:val="80"/>
        </w:numPr>
        <w:tabs>
          <w:tab w:pos="903" w:val="left" w:leader="none"/>
        </w:tabs>
        <w:spacing w:line="240" w:lineRule="auto" w:before="165" w:after="0"/>
        <w:ind w:left="902" w:right="0" w:hanging="405"/>
        <w:jc w:val="left"/>
        <w:rPr>
          <w:i/>
          <w:sz w:val="18"/>
        </w:rPr>
      </w:pPr>
      <w:r>
        <w:rPr>
          <w:i/>
          <w:color w:val="231F20"/>
          <w:sz w:val="18"/>
        </w:rPr>
        <w:t>Заштита животне средине и енергетска</w:t>
      </w:r>
      <w:r>
        <w:rPr>
          <w:i/>
          <w:color w:val="231F20"/>
          <w:spacing w:val="-14"/>
          <w:sz w:val="18"/>
        </w:rPr>
        <w:t> </w:t>
      </w:r>
      <w:r>
        <w:rPr>
          <w:i/>
          <w:color w:val="231F20"/>
          <w:sz w:val="18"/>
        </w:rPr>
        <w:t>ефикасност</w:t>
      </w:r>
    </w:p>
    <w:p>
      <w:pPr>
        <w:pStyle w:val="ListParagraph"/>
        <w:numPr>
          <w:ilvl w:val="2"/>
          <w:numId w:val="80"/>
        </w:numPr>
        <w:tabs>
          <w:tab w:pos="1831" w:val="left" w:leader="none"/>
        </w:tabs>
        <w:spacing w:line="240" w:lineRule="auto" w:before="162" w:after="0"/>
        <w:ind w:left="1830" w:right="0" w:hanging="540"/>
        <w:jc w:val="left"/>
        <w:rPr>
          <w:sz w:val="18"/>
        </w:rPr>
      </w:pPr>
      <w:r>
        <w:rPr>
          <w:color w:val="231F20"/>
          <w:spacing w:val="15"/>
          <w:sz w:val="18"/>
        </w:rPr>
        <w:t>Заштит </w:t>
      </w:r>
      <w:r>
        <w:rPr>
          <w:color w:val="231F20"/>
          <w:sz w:val="18"/>
        </w:rPr>
        <w:t>а </w:t>
      </w:r>
      <w:r>
        <w:rPr>
          <w:color w:val="231F20"/>
          <w:spacing w:val="15"/>
          <w:sz w:val="18"/>
        </w:rPr>
        <w:t>животне</w:t>
      </w:r>
      <w:r>
        <w:rPr>
          <w:color w:val="231F20"/>
          <w:spacing w:val="6"/>
          <w:sz w:val="18"/>
        </w:rPr>
        <w:t> </w:t>
      </w:r>
      <w:r>
        <w:rPr>
          <w:color w:val="231F20"/>
          <w:spacing w:val="15"/>
          <w:sz w:val="18"/>
        </w:rPr>
        <w:t>средине</w:t>
      </w:r>
    </w:p>
    <w:p>
      <w:pPr>
        <w:pStyle w:val="BodyText"/>
        <w:spacing w:before="2"/>
        <w:ind w:left="0"/>
        <w:jc w:val="left"/>
        <w:rPr>
          <w:sz w:val="17"/>
        </w:rPr>
      </w:pPr>
    </w:p>
    <w:p>
      <w:pPr>
        <w:pStyle w:val="BodyText"/>
        <w:spacing w:line="230" w:lineRule="auto"/>
        <w:ind w:left="243" w:right="126" w:firstLine="396"/>
      </w:pPr>
      <w:r>
        <w:rPr>
          <w:color w:val="231F20"/>
        </w:rPr>
        <w:t>Заштита животне средине у комплексу „Долина реке Млаве” обухвата следеће мере:</w:t>
      </w:r>
    </w:p>
    <w:p>
      <w:pPr>
        <w:pStyle w:val="BodyText"/>
        <w:spacing w:line="230" w:lineRule="auto"/>
        <w:ind w:left="243" w:right="126" w:firstLine="396"/>
      </w:pPr>
      <w:r>
        <w:rPr>
          <w:color w:val="231F20"/>
          <w:w w:val="66"/>
        </w:rPr>
        <w:t> </w:t>
      </w:r>
      <w:r>
        <w:rPr>
          <w:color w:val="231F20"/>
        </w:rPr>
        <w:t>– заштиту манастира Рукумија и планираног етно парка од негативног утицаја депоније пепела у копу „Ћириковац” и пепе- ловода формирањем зеленог заштитног тампона и спровођењем других мера заштите околине у самој депонији и коридору пепе- ловода;</w:t>
      </w:r>
    </w:p>
    <w:p>
      <w:pPr>
        <w:pStyle w:val="BodyText"/>
        <w:spacing w:line="230" w:lineRule="auto" w:before="1"/>
        <w:ind w:left="243" w:right="126" w:firstLine="396"/>
      </w:pPr>
      <w:r>
        <w:rPr>
          <w:color w:val="231F20"/>
          <w:w w:val="66"/>
        </w:rPr>
        <w:t> </w:t>
      </w:r>
      <w:r>
        <w:rPr>
          <w:color w:val="231F20"/>
        </w:rPr>
        <w:t>– заштиту археолошког налазишта Рукумија од непланског коришћења и деградације локалитета;</w:t>
      </w:r>
    </w:p>
    <w:p>
      <w:pPr>
        <w:pStyle w:val="BodyText"/>
        <w:spacing w:line="230" w:lineRule="auto" w:before="1"/>
        <w:ind w:left="243" w:right="125" w:firstLine="396"/>
      </w:pPr>
      <w:r>
        <w:rPr>
          <w:color w:val="231F20"/>
          <w:w w:val="66"/>
        </w:rPr>
        <w:t> </w:t>
      </w:r>
      <w:r>
        <w:rPr>
          <w:color w:val="231F20"/>
        </w:rPr>
        <w:t>– обезбеђење санитарних услова у коришћењу постојећег гробља села Брадарац;</w:t>
      </w:r>
    </w:p>
    <w:p>
      <w:pPr>
        <w:pStyle w:val="BodyText"/>
        <w:spacing w:line="197" w:lineRule="exact"/>
        <w:ind w:left="640"/>
        <w:jc w:val="left"/>
      </w:pPr>
      <w:r>
        <w:rPr>
          <w:color w:val="231F20"/>
          <w:w w:val="66"/>
        </w:rPr>
        <w:t> </w:t>
      </w:r>
      <w:r>
        <w:rPr>
          <w:color w:val="231F20"/>
        </w:rPr>
        <w:t>– санацију дивљих сметлишта;</w:t>
      </w:r>
    </w:p>
    <w:p>
      <w:pPr>
        <w:pStyle w:val="BodyText"/>
        <w:spacing w:line="230" w:lineRule="auto" w:before="2"/>
        <w:ind w:left="243" w:right="125" w:firstLine="397"/>
      </w:pPr>
      <w:r>
        <w:rPr>
          <w:color w:val="231F20"/>
          <w:w w:val="66"/>
        </w:rPr>
        <w:t> </w:t>
      </w:r>
      <w:r>
        <w:rPr>
          <w:color w:val="231F20"/>
        </w:rPr>
        <w:t>– израду </w:t>
      </w:r>
      <w:r>
        <w:rPr>
          <w:color w:val="231F20"/>
          <w:spacing w:val="-3"/>
        </w:rPr>
        <w:t>студијске </w:t>
      </w:r>
      <w:r>
        <w:rPr>
          <w:color w:val="231F20"/>
        </w:rPr>
        <w:t>и пројектне документације за реализацију пошумљавања;</w:t>
      </w:r>
    </w:p>
    <w:p>
      <w:pPr>
        <w:pStyle w:val="BodyText"/>
        <w:spacing w:line="230" w:lineRule="auto" w:before="1"/>
        <w:ind w:left="243" w:right="125" w:firstLine="396"/>
      </w:pPr>
      <w:r>
        <w:rPr>
          <w:color w:val="231F20"/>
          <w:w w:val="66"/>
        </w:rPr>
        <w:t> </w:t>
      </w:r>
      <w:r>
        <w:rPr>
          <w:color w:val="231F20"/>
        </w:rPr>
        <w:t>– рекултивацију, односно пошумљавање комплекса аутохто- ним шумским врстама;</w:t>
      </w:r>
    </w:p>
    <w:p>
      <w:pPr>
        <w:pStyle w:val="BodyText"/>
        <w:spacing w:line="230" w:lineRule="auto"/>
        <w:ind w:left="243" w:right="126" w:firstLine="396"/>
      </w:pPr>
      <w:r>
        <w:rPr>
          <w:color w:val="231F20"/>
          <w:w w:val="66"/>
        </w:rPr>
        <w:t> </w:t>
      </w:r>
      <w:r>
        <w:rPr>
          <w:color w:val="231F20"/>
        </w:rPr>
        <w:t>– валоризацију и издвајање потенцијалних или групних при- мерака дендрофлоре за стављање под заштиту;</w:t>
      </w:r>
    </w:p>
    <w:p>
      <w:pPr>
        <w:pStyle w:val="BodyText"/>
        <w:spacing w:line="230" w:lineRule="auto"/>
        <w:ind w:left="243" w:right="125" w:firstLine="396"/>
      </w:pPr>
      <w:r>
        <w:rPr>
          <w:color w:val="231F20"/>
          <w:w w:val="66"/>
        </w:rPr>
        <w:t> </w:t>
      </w:r>
      <w:r>
        <w:rPr>
          <w:color w:val="231F20"/>
        </w:rPr>
        <w:t>– заштиту шума </w:t>
      </w:r>
      <w:r>
        <w:rPr>
          <w:color w:val="231F20"/>
          <w:spacing w:val="-3"/>
        </w:rPr>
        <w:t>од </w:t>
      </w:r>
      <w:r>
        <w:rPr>
          <w:color w:val="231F20"/>
        </w:rPr>
        <w:t>бесправног коришћења, забрана пашаре- ња </w:t>
      </w:r>
      <w:r>
        <w:rPr>
          <w:color w:val="231F20"/>
          <w:spacing w:val="-4"/>
        </w:rPr>
        <w:t>где </w:t>
      </w:r>
      <w:r>
        <w:rPr>
          <w:color w:val="231F20"/>
        </w:rPr>
        <w:t>је у току процес обнављања; заштиту шума </w:t>
      </w:r>
      <w:r>
        <w:rPr>
          <w:color w:val="231F20"/>
          <w:spacing w:val="-3"/>
        </w:rPr>
        <w:t>од </w:t>
      </w:r>
      <w:r>
        <w:rPr>
          <w:color w:val="231F20"/>
        </w:rPr>
        <w:t>пожара, као и</w:t>
      </w:r>
      <w:r>
        <w:rPr>
          <w:color w:val="231F20"/>
          <w:spacing w:val="-8"/>
        </w:rPr>
        <w:t> </w:t>
      </w:r>
      <w:r>
        <w:rPr>
          <w:color w:val="231F20"/>
        </w:rPr>
        <w:t>мере</w:t>
      </w:r>
      <w:r>
        <w:rPr>
          <w:color w:val="231F20"/>
          <w:spacing w:val="-8"/>
        </w:rPr>
        <w:t> </w:t>
      </w:r>
      <w:r>
        <w:rPr>
          <w:color w:val="231F20"/>
        </w:rPr>
        <w:t>неге</w:t>
      </w:r>
      <w:r>
        <w:rPr>
          <w:color w:val="231F20"/>
          <w:spacing w:val="-8"/>
        </w:rPr>
        <w:t> </w:t>
      </w:r>
      <w:r>
        <w:rPr>
          <w:color w:val="231F20"/>
        </w:rPr>
        <w:t>(чишћење,</w:t>
      </w:r>
      <w:r>
        <w:rPr>
          <w:color w:val="231F20"/>
          <w:spacing w:val="-7"/>
        </w:rPr>
        <w:t> </w:t>
      </w:r>
      <w:r>
        <w:rPr>
          <w:color w:val="231F20"/>
        </w:rPr>
        <w:t>сеча</w:t>
      </w:r>
      <w:r>
        <w:rPr>
          <w:color w:val="231F20"/>
          <w:spacing w:val="-8"/>
        </w:rPr>
        <w:t> </w:t>
      </w:r>
      <w:r>
        <w:rPr>
          <w:color w:val="231F20"/>
        </w:rPr>
        <w:t>избојака</w:t>
      </w:r>
      <w:r>
        <w:rPr>
          <w:color w:val="231F20"/>
          <w:spacing w:val="-8"/>
        </w:rPr>
        <w:t> </w:t>
      </w:r>
      <w:r>
        <w:rPr>
          <w:color w:val="231F20"/>
        </w:rPr>
        <w:t>и</w:t>
      </w:r>
      <w:r>
        <w:rPr>
          <w:color w:val="231F20"/>
          <w:spacing w:val="-8"/>
        </w:rPr>
        <w:t> </w:t>
      </w:r>
      <w:r>
        <w:rPr>
          <w:color w:val="231F20"/>
        </w:rPr>
        <w:t>уклањања</w:t>
      </w:r>
      <w:r>
        <w:rPr>
          <w:color w:val="231F20"/>
          <w:spacing w:val="-8"/>
        </w:rPr>
        <w:t> </w:t>
      </w:r>
      <w:r>
        <w:rPr>
          <w:color w:val="231F20"/>
        </w:rPr>
        <w:t>корова,</w:t>
      </w:r>
      <w:r>
        <w:rPr>
          <w:color w:val="231F20"/>
          <w:spacing w:val="-8"/>
        </w:rPr>
        <w:t> </w:t>
      </w:r>
      <w:r>
        <w:rPr>
          <w:color w:val="231F20"/>
        </w:rPr>
        <w:t>селектив- ни и санитарни прореди и слично);</w:t>
      </w:r>
      <w:r>
        <w:rPr>
          <w:color w:val="231F20"/>
          <w:spacing w:val="-6"/>
        </w:rPr>
        <w:t> </w:t>
      </w:r>
      <w:r>
        <w:rPr>
          <w:color w:val="231F20"/>
        </w:rPr>
        <w:t>и</w:t>
      </w:r>
    </w:p>
    <w:p>
      <w:pPr>
        <w:pStyle w:val="BodyText"/>
        <w:spacing w:line="201" w:lineRule="exact"/>
        <w:ind w:left="640"/>
        <w:jc w:val="left"/>
      </w:pPr>
      <w:r>
        <w:rPr>
          <w:color w:val="231F20"/>
          <w:w w:val="66"/>
        </w:rPr>
        <w:t> </w:t>
      </w:r>
      <w:r>
        <w:rPr>
          <w:color w:val="231F20"/>
        </w:rPr>
        <w:t>– спровођење других мера, по потреби.</w:t>
      </w:r>
    </w:p>
    <w:p>
      <w:pPr>
        <w:pStyle w:val="ListParagraph"/>
        <w:numPr>
          <w:ilvl w:val="2"/>
          <w:numId w:val="80"/>
        </w:numPr>
        <w:tabs>
          <w:tab w:pos="1956" w:val="left" w:leader="none"/>
        </w:tabs>
        <w:spacing w:line="240" w:lineRule="auto" w:before="162" w:after="0"/>
        <w:ind w:left="1955" w:right="0" w:hanging="540"/>
        <w:jc w:val="left"/>
        <w:rPr>
          <w:sz w:val="18"/>
        </w:rPr>
      </w:pPr>
      <w:r>
        <w:rPr>
          <w:color w:val="231F20"/>
          <w:spacing w:val="15"/>
          <w:sz w:val="18"/>
        </w:rPr>
        <w:t>Енергет</w:t>
      </w:r>
      <w:r>
        <w:rPr>
          <w:color w:val="231F20"/>
          <w:spacing w:val="-22"/>
          <w:sz w:val="18"/>
        </w:rPr>
        <w:t> </w:t>
      </w:r>
      <w:r>
        <w:rPr>
          <w:color w:val="231F20"/>
          <w:spacing w:val="11"/>
          <w:sz w:val="18"/>
        </w:rPr>
        <w:t>ска</w:t>
      </w:r>
      <w:r>
        <w:rPr>
          <w:color w:val="231F20"/>
          <w:spacing w:val="43"/>
          <w:sz w:val="18"/>
        </w:rPr>
        <w:t> </w:t>
      </w:r>
      <w:r>
        <w:rPr>
          <w:color w:val="231F20"/>
          <w:sz w:val="18"/>
        </w:rPr>
        <w:t>е</w:t>
      </w:r>
      <w:r>
        <w:rPr>
          <w:color w:val="231F20"/>
          <w:spacing w:val="-22"/>
          <w:sz w:val="18"/>
        </w:rPr>
        <w:t> </w:t>
      </w:r>
      <w:r>
        <w:rPr>
          <w:color w:val="231F20"/>
          <w:spacing w:val="15"/>
          <w:sz w:val="18"/>
        </w:rPr>
        <w:t>фикасно</w:t>
      </w:r>
      <w:r>
        <w:rPr>
          <w:color w:val="231F20"/>
          <w:spacing w:val="-19"/>
          <w:sz w:val="18"/>
        </w:rPr>
        <w:t> </w:t>
      </w:r>
      <w:r>
        <w:rPr>
          <w:color w:val="231F20"/>
          <w:spacing w:val="10"/>
          <w:sz w:val="18"/>
        </w:rPr>
        <w:t>ст</w:t>
      </w:r>
    </w:p>
    <w:p>
      <w:pPr>
        <w:pStyle w:val="BodyText"/>
        <w:spacing w:before="3"/>
        <w:ind w:left="0"/>
        <w:jc w:val="left"/>
        <w:rPr>
          <w:sz w:val="17"/>
        </w:rPr>
      </w:pPr>
    </w:p>
    <w:p>
      <w:pPr>
        <w:pStyle w:val="BodyText"/>
        <w:spacing w:line="230" w:lineRule="auto"/>
        <w:ind w:left="244" w:right="125" w:firstLine="396"/>
      </w:pPr>
      <w:r>
        <w:rPr>
          <w:color w:val="231F20"/>
        </w:rPr>
        <w:t>У изградњи свих нових и реконструкцији постојећих објека- та поштоваће се принципи енергетске ефикасности.</w:t>
      </w:r>
    </w:p>
    <w:p>
      <w:pPr>
        <w:pStyle w:val="BodyText"/>
        <w:spacing w:line="230" w:lineRule="auto"/>
        <w:ind w:left="244" w:right="125" w:firstLine="396"/>
      </w:pPr>
      <w:r>
        <w:rPr>
          <w:color w:val="231F20"/>
        </w:rPr>
        <w:t>Приликом енергетске реконструкције постојећих објеката у оквиру треће потцелине (подручје археолошког локалитета и ма- настира Рукумија) примењују се правила утврђена за реконструк- цију заштићених културних објеката. Према општим правилима енергетске ефикасности, у овој зони могу се изводити радови на:</w:t>
      </w:r>
    </w:p>
    <w:p>
      <w:pPr>
        <w:pStyle w:val="BodyText"/>
        <w:spacing w:line="230" w:lineRule="auto" w:before="1"/>
        <w:ind w:left="244" w:right="125" w:firstLine="397"/>
      </w:pPr>
      <w:r>
        <w:rPr>
          <w:color w:val="231F20"/>
          <w:w w:val="66"/>
        </w:rPr>
        <w:t> </w:t>
      </w:r>
      <w:r>
        <w:rPr>
          <w:color w:val="231F20"/>
        </w:rPr>
        <w:t>– реконструкцији и редизајну фасаде према условима надле- жног Завода за заштиту споменика културе;</w:t>
      </w:r>
    </w:p>
    <w:p>
      <w:pPr>
        <w:pStyle w:val="BodyText"/>
        <w:spacing w:line="197" w:lineRule="exact"/>
        <w:ind w:left="641"/>
        <w:jc w:val="left"/>
      </w:pPr>
      <w:r>
        <w:rPr>
          <w:color w:val="231F20"/>
          <w:w w:val="66"/>
        </w:rPr>
        <w:t> </w:t>
      </w:r>
      <w:r>
        <w:rPr>
          <w:color w:val="231F20"/>
        </w:rPr>
        <w:t>– реконструкцији и замени крова и кровног покривача;</w:t>
      </w:r>
    </w:p>
    <w:p>
      <w:pPr>
        <w:pStyle w:val="BodyText"/>
        <w:spacing w:line="230" w:lineRule="auto" w:before="3"/>
        <w:ind w:left="244" w:right="124" w:firstLine="396"/>
      </w:pPr>
      <w:r>
        <w:rPr>
          <w:color w:val="231F20"/>
          <w:w w:val="66"/>
        </w:rPr>
        <w:t> </w:t>
      </w:r>
      <w:r>
        <w:rPr>
          <w:color w:val="231F20"/>
        </w:rPr>
        <w:t>– побољшању термичке заштите и енергетске ефикасности зграде; и</w:t>
      </w:r>
    </w:p>
    <w:p>
      <w:pPr>
        <w:pStyle w:val="BodyText"/>
        <w:spacing w:line="201" w:lineRule="exact"/>
        <w:ind w:left="641"/>
        <w:jc w:val="left"/>
      </w:pPr>
      <w:r>
        <w:rPr>
          <w:color w:val="231F20"/>
          <w:w w:val="66"/>
        </w:rPr>
        <w:t> </w:t>
      </w:r>
      <w:r>
        <w:rPr>
          <w:color w:val="231F20"/>
        </w:rPr>
        <w:t>– други радови на побољшању општег квалитета објеката.</w:t>
      </w:r>
    </w:p>
    <w:p>
      <w:pPr>
        <w:spacing w:before="162"/>
        <w:ind w:left="1454" w:right="0" w:firstLine="0"/>
        <w:jc w:val="left"/>
        <w:rPr>
          <w:i/>
          <w:sz w:val="18"/>
        </w:rPr>
      </w:pPr>
      <w:r>
        <w:rPr>
          <w:i/>
          <w:color w:val="231F20"/>
          <w:sz w:val="18"/>
        </w:rPr>
        <w:t>10.8. Смернице за имплементацију</w:t>
      </w:r>
    </w:p>
    <w:p>
      <w:pPr>
        <w:pStyle w:val="BodyText"/>
        <w:spacing w:before="2"/>
        <w:ind w:left="0"/>
        <w:jc w:val="left"/>
        <w:rPr>
          <w:i/>
          <w:sz w:val="17"/>
        </w:rPr>
      </w:pPr>
    </w:p>
    <w:p>
      <w:pPr>
        <w:pStyle w:val="BodyText"/>
        <w:spacing w:line="230" w:lineRule="auto"/>
        <w:ind w:left="244" w:right="124" w:firstLine="396"/>
      </w:pPr>
      <w:r>
        <w:rPr>
          <w:color w:val="231F20"/>
        </w:rPr>
        <w:t>Ближа</w:t>
      </w:r>
      <w:r>
        <w:rPr>
          <w:color w:val="231F20"/>
          <w:spacing w:val="-8"/>
        </w:rPr>
        <w:t> </w:t>
      </w:r>
      <w:r>
        <w:rPr>
          <w:color w:val="231F20"/>
        </w:rPr>
        <w:t>правила</w:t>
      </w:r>
      <w:r>
        <w:rPr>
          <w:color w:val="231F20"/>
          <w:spacing w:val="-8"/>
        </w:rPr>
        <w:t> </w:t>
      </w:r>
      <w:r>
        <w:rPr>
          <w:color w:val="231F20"/>
        </w:rPr>
        <w:t>изградње</w:t>
      </w:r>
      <w:r>
        <w:rPr>
          <w:color w:val="231F20"/>
          <w:spacing w:val="-8"/>
        </w:rPr>
        <w:t> </w:t>
      </w:r>
      <w:r>
        <w:rPr>
          <w:color w:val="231F20"/>
        </w:rPr>
        <w:t>и</w:t>
      </w:r>
      <w:r>
        <w:rPr>
          <w:color w:val="231F20"/>
          <w:spacing w:val="-8"/>
        </w:rPr>
        <w:t> </w:t>
      </w:r>
      <w:r>
        <w:rPr>
          <w:color w:val="231F20"/>
        </w:rPr>
        <w:t>правила</w:t>
      </w:r>
      <w:r>
        <w:rPr>
          <w:color w:val="231F20"/>
          <w:spacing w:val="-8"/>
        </w:rPr>
        <w:t> </w:t>
      </w:r>
      <w:r>
        <w:rPr>
          <w:color w:val="231F20"/>
        </w:rPr>
        <w:t>уређења</w:t>
      </w:r>
      <w:r>
        <w:rPr>
          <w:color w:val="231F20"/>
          <w:spacing w:val="-8"/>
        </w:rPr>
        <w:t> </w:t>
      </w:r>
      <w:r>
        <w:rPr>
          <w:color w:val="231F20"/>
        </w:rPr>
        <w:t>за</w:t>
      </w:r>
      <w:r>
        <w:rPr>
          <w:color w:val="231F20"/>
          <w:spacing w:val="-8"/>
        </w:rPr>
        <w:t> </w:t>
      </w:r>
      <w:r>
        <w:rPr>
          <w:color w:val="231F20"/>
          <w:spacing w:val="-3"/>
        </w:rPr>
        <w:t>комплекс</w:t>
      </w:r>
      <w:r>
        <w:rPr>
          <w:color w:val="231F20"/>
          <w:spacing w:val="-8"/>
        </w:rPr>
        <w:t> </w:t>
      </w:r>
      <w:r>
        <w:rPr>
          <w:color w:val="231F20"/>
        </w:rPr>
        <w:t>„До- лина реке Млаве” биће утврђена кроз израду и доношење урбани- стичких пројеката за следеће зоне, потцелине и</w:t>
      </w:r>
      <w:r>
        <w:rPr>
          <w:color w:val="231F20"/>
          <w:spacing w:val="-14"/>
        </w:rPr>
        <w:t> </w:t>
      </w:r>
      <w:r>
        <w:rPr>
          <w:color w:val="231F20"/>
        </w:rPr>
        <w:t>локације:</w:t>
      </w:r>
    </w:p>
    <w:p>
      <w:pPr>
        <w:pStyle w:val="BodyText"/>
        <w:spacing w:line="230" w:lineRule="auto" w:before="1"/>
        <w:ind w:left="244" w:right="124" w:firstLine="397"/>
      </w:pPr>
      <w:r>
        <w:rPr>
          <w:color w:val="231F20"/>
          <w:w w:val="66"/>
        </w:rPr>
        <w:t> </w:t>
      </w:r>
      <w:r>
        <w:rPr>
          <w:color w:val="231F20"/>
        </w:rPr>
        <w:t>– део прве потцелине потенцијална локација за ветроелек- тране (уколико локација буде испунила све захтеване услове);</w:t>
      </w:r>
    </w:p>
    <w:p>
      <w:pPr>
        <w:pStyle w:val="BodyText"/>
        <w:spacing w:line="200" w:lineRule="exact"/>
        <w:ind w:left="641"/>
        <w:jc w:val="left"/>
      </w:pPr>
      <w:r>
        <w:rPr>
          <w:color w:val="231F20"/>
          <w:w w:val="66"/>
        </w:rPr>
        <w:t> </w:t>
      </w:r>
      <w:r>
        <w:rPr>
          <w:color w:val="231F20"/>
        </w:rPr>
        <w:t>– комплекс етнопарка (део треће потцелине) и</w:t>
      </w:r>
    </w:p>
    <w:p>
      <w:pPr>
        <w:pStyle w:val="BodyText"/>
        <w:spacing w:line="204" w:lineRule="exact"/>
        <w:ind w:left="641"/>
        <w:jc w:val="left"/>
      </w:pPr>
      <w:r>
        <w:rPr>
          <w:color w:val="231F20"/>
          <w:w w:val="66"/>
        </w:rPr>
        <w:t> </w:t>
      </w:r>
      <w:r>
        <w:rPr>
          <w:color w:val="231F20"/>
        </w:rPr>
        <w:t>– део комплекса манастира Рукумија.</w:t>
      </w:r>
    </w:p>
    <w:sectPr>
      <w:pgSz w:w="12480" w:h="15690"/>
      <w:pgMar w:top="120" w:bottom="280" w:left="680" w:right="720"/>
      <w:cols w:num="2" w:equalWidth="0">
        <w:col w:w="5559" w:space="40"/>
        <w:col w:w="548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avie">
    <w:altName w:val="Ravie"/>
    <w:charset w:val="0"/>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1"/>
      <w:numFmt w:val="decimal"/>
      <w:lvlText w:val="%1)"/>
      <w:lvlJc w:val="left"/>
      <w:pPr>
        <w:ind w:left="638" w:hanging="195"/>
        <w:jc w:val="left"/>
      </w:pPr>
      <w:rPr>
        <w:rFonts w:hint="default" w:ascii="Times New Roman" w:hAnsi="Times New Roman" w:eastAsia="Times New Roman" w:cs="Times New Roman"/>
        <w:color w:val="231F20"/>
        <w:spacing w:val="-20"/>
        <w:w w:val="100"/>
        <w:sz w:val="18"/>
        <w:szCs w:val="18"/>
      </w:rPr>
    </w:lvl>
    <w:lvl w:ilvl="1">
      <w:start w:val="0"/>
      <w:numFmt w:val="bullet"/>
      <w:lvlText w:val="•"/>
      <w:lvlJc w:val="left"/>
      <w:pPr>
        <w:ind w:left="1123" w:hanging="195"/>
      </w:pPr>
      <w:rPr>
        <w:rFonts w:hint="default"/>
      </w:rPr>
    </w:lvl>
    <w:lvl w:ilvl="2">
      <w:start w:val="0"/>
      <w:numFmt w:val="bullet"/>
      <w:lvlText w:val="•"/>
      <w:lvlJc w:val="left"/>
      <w:pPr>
        <w:ind w:left="1606" w:hanging="195"/>
      </w:pPr>
      <w:rPr>
        <w:rFonts w:hint="default"/>
      </w:rPr>
    </w:lvl>
    <w:lvl w:ilvl="3">
      <w:start w:val="0"/>
      <w:numFmt w:val="bullet"/>
      <w:lvlText w:val="•"/>
      <w:lvlJc w:val="left"/>
      <w:pPr>
        <w:ind w:left="2090" w:hanging="195"/>
      </w:pPr>
      <w:rPr>
        <w:rFonts w:hint="default"/>
      </w:rPr>
    </w:lvl>
    <w:lvl w:ilvl="4">
      <w:start w:val="0"/>
      <w:numFmt w:val="bullet"/>
      <w:lvlText w:val="•"/>
      <w:lvlJc w:val="left"/>
      <w:pPr>
        <w:ind w:left="2573" w:hanging="195"/>
      </w:pPr>
      <w:rPr>
        <w:rFonts w:hint="default"/>
      </w:rPr>
    </w:lvl>
    <w:lvl w:ilvl="5">
      <w:start w:val="0"/>
      <w:numFmt w:val="bullet"/>
      <w:lvlText w:val="•"/>
      <w:lvlJc w:val="left"/>
      <w:pPr>
        <w:ind w:left="3056" w:hanging="195"/>
      </w:pPr>
      <w:rPr>
        <w:rFonts w:hint="default"/>
      </w:rPr>
    </w:lvl>
    <w:lvl w:ilvl="6">
      <w:start w:val="0"/>
      <w:numFmt w:val="bullet"/>
      <w:lvlText w:val="•"/>
      <w:lvlJc w:val="left"/>
      <w:pPr>
        <w:ind w:left="3540" w:hanging="195"/>
      </w:pPr>
      <w:rPr>
        <w:rFonts w:hint="default"/>
      </w:rPr>
    </w:lvl>
    <w:lvl w:ilvl="7">
      <w:start w:val="0"/>
      <w:numFmt w:val="bullet"/>
      <w:lvlText w:val="•"/>
      <w:lvlJc w:val="left"/>
      <w:pPr>
        <w:ind w:left="4023" w:hanging="195"/>
      </w:pPr>
      <w:rPr>
        <w:rFonts w:hint="default"/>
      </w:rPr>
    </w:lvl>
    <w:lvl w:ilvl="8">
      <w:start w:val="0"/>
      <w:numFmt w:val="bullet"/>
      <w:lvlText w:val="•"/>
      <w:lvlJc w:val="left"/>
      <w:pPr>
        <w:ind w:left="4506" w:hanging="195"/>
      </w:pPr>
      <w:rPr>
        <w:rFonts w:hint="default"/>
      </w:rPr>
    </w:lvl>
  </w:abstractNum>
  <w:abstractNum w:abstractNumId="83">
    <w:multiLevelType w:val="hybridMultilevel"/>
    <w:lvl w:ilvl="0">
      <w:start w:val="1"/>
      <w:numFmt w:val="decimal"/>
      <w:lvlText w:val="%1."/>
      <w:lvlJc w:val="left"/>
      <w:pPr>
        <w:ind w:left="455" w:hanging="199"/>
        <w:jc w:val="right"/>
      </w:pPr>
      <w:rPr>
        <w:rFonts w:hint="default" w:ascii="Times New Roman" w:hAnsi="Times New Roman" w:eastAsia="Times New Roman" w:cs="Times New Roman"/>
        <w:color w:val="231F20"/>
        <w:w w:val="100"/>
        <w:sz w:val="18"/>
        <w:szCs w:val="18"/>
      </w:rPr>
    </w:lvl>
    <w:lvl w:ilvl="1">
      <w:start w:val="0"/>
      <w:numFmt w:val="bullet"/>
      <w:lvlText w:val="•"/>
      <w:lvlJc w:val="left"/>
      <w:pPr>
        <w:ind w:left="969" w:hanging="199"/>
      </w:pPr>
      <w:rPr>
        <w:rFonts w:hint="default"/>
      </w:rPr>
    </w:lvl>
    <w:lvl w:ilvl="2">
      <w:start w:val="0"/>
      <w:numFmt w:val="bullet"/>
      <w:lvlText w:val="•"/>
      <w:lvlJc w:val="left"/>
      <w:pPr>
        <w:ind w:left="1479" w:hanging="199"/>
      </w:pPr>
      <w:rPr>
        <w:rFonts w:hint="default"/>
      </w:rPr>
    </w:lvl>
    <w:lvl w:ilvl="3">
      <w:start w:val="0"/>
      <w:numFmt w:val="bullet"/>
      <w:lvlText w:val="•"/>
      <w:lvlJc w:val="left"/>
      <w:pPr>
        <w:ind w:left="1989" w:hanging="199"/>
      </w:pPr>
      <w:rPr>
        <w:rFonts w:hint="default"/>
      </w:rPr>
    </w:lvl>
    <w:lvl w:ilvl="4">
      <w:start w:val="0"/>
      <w:numFmt w:val="bullet"/>
      <w:lvlText w:val="•"/>
      <w:lvlJc w:val="left"/>
      <w:pPr>
        <w:ind w:left="2499" w:hanging="199"/>
      </w:pPr>
      <w:rPr>
        <w:rFonts w:hint="default"/>
      </w:rPr>
    </w:lvl>
    <w:lvl w:ilvl="5">
      <w:start w:val="0"/>
      <w:numFmt w:val="bullet"/>
      <w:lvlText w:val="•"/>
      <w:lvlJc w:val="left"/>
      <w:pPr>
        <w:ind w:left="3009" w:hanging="199"/>
      </w:pPr>
      <w:rPr>
        <w:rFonts w:hint="default"/>
      </w:rPr>
    </w:lvl>
    <w:lvl w:ilvl="6">
      <w:start w:val="0"/>
      <w:numFmt w:val="bullet"/>
      <w:lvlText w:val="•"/>
      <w:lvlJc w:val="left"/>
      <w:pPr>
        <w:ind w:left="3519" w:hanging="199"/>
      </w:pPr>
      <w:rPr>
        <w:rFonts w:hint="default"/>
      </w:rPr>
    </w:lvl>
    <w:lvl w:ilvl="7">
      <w:start w:val="0"/>
      <w:numFmt w:val="bullet"/>
      <w:lvlText w:val="•"/>
      <w:lvlJc w:val="left"/>
      <w:pPr>
        <w:ind w:left="4028" w:hanging="199"/>
      </w:pPr>
      <w:rPr>
        <w:rFonts w:hint="default"/>
      </w:rPr>
    </w:lvl>
    <w:lvl w:ilvl="8">
      <w:start w:val="0"/>
      <w:numFmt w:val="bullet"/>
      <w:lvlText w:val="•"/>
      <w:lvlJc w:val="left"/>
      <w:pPr>
        <w:ind w:left="4538" w:hanging="199"/>
      </w:pPr>
      <w:rPr>
        <w:rFonts w:hint="default"/>
      </w:rPr>
    </w:lvl>
  </w:abstractNum>
  <w:abstractNum w:abstractNumId="82">
    <w:multiLevelType w:val="hybridMultilevel"/>
    <w:lvl w:ilvl="0">
      <w:start w:val="1"/>
      <w:numFmt w:val="decimal"/>
      <w:lvlText w:val="%1)"/>
      <w:lvlJc w:val="left"/>
      <w:pPr>
        <w:ind w:left="453" w:hanging="195"/>
        <w:jc w:val="left"/>
      </w:pPr>
      <w:rPr>
        <w:rFonts w:hint="default" w:ascii="Times New Roman" w:hAnsi="Times New Roman" w:eastAsia="Times New Roman" w:cs="Times New Roman"/>
        <w:color w:val="231F20"/>
        <w:spacing w:val="-11"/>
        <w:w w:val="100"/>
        <w:sz w:val="18"/>
        <w:szCs w:val="18"/>
      </w:rPr>
    </w:lvl>
    <w:lvl w:ilvl="1">
      <w:start w:val="0"/>
      <w:numFmt w:val="bullet"/>
      <w:lvlText w:val="•"/>
      <w:lvlJc w:val="left"/>
      <w:pPr>
        <w:ind w:left="969" w:hanging="195"/>
      </w:pPr>
      <w:rPr>
        <w:rFonts w:hint="default"/>
      </w:rPr>
    </w:lvl>
    <w:lvl w:ilvl="2">
      <w:start w:val="0"/>
      <w:numFmt w:val="bullet"/>
      <w:lvlText w:val="•"/>
      <w:lvlJc w:val="left"/>
      <w:pPr>
        <w:ind w:left="1479" w:hanging="195"/>
      </w:pPr>
      <w:rPr>
        <w:rFonts w:hint="default"/>
      </w:rPr>
    </w:lvl>
    <w:lvl w:ilvl="3">
      <w:start w:val="0"/>
      <w:numFmt w:val="bullet"/>
      <w:lvlText w:val="•"/>
      <w:lvlJc w:val="left"/>
      <w:pPr>
        <w:ind w:left="1989" w:hanging="195"/>
      </w:pPr>
      <w:rPr>
        <w:rFonts w:hint="default"/>
      </w:rPr>
    </w:lvl>
    <w:lvl w:ilvl="4">
      <w:start w:val="0"/>
      <w:numFmt w:val="bullet"/>
      <w:lvlText w:val="•"/>
      <w:lvlJc w:val="left"/>
      <w:pPr>
        <w:ind w:left="2499" w:hanging="195"/>
      </w:pPr>
      <w:rPr>
        <w:rFonts w:hint="default"/>
      </w:rPr>
    </w:lvl>
    <w:lvl w:ilvl="5">
      <w:start w:val="0"/>
      <w:numFmt w:val="bullet"/>
      <w:lvlText w:val="•"/>
      <w:lvlJc w:val="left"/>
      <w:pPr>
        <w:ind w:left="3009" w:hanging="195"/>
      </w:pPr>
      <w:rPr>
        <w:rFonts w:hint="default"/>
      </w:rPr>
    </w:lvl>
    <w:lvl w:ilvl="6">
      <w:start w:val="0"/>
      <w:numFmt w:val="bullet"/>
      <w:lvlText w:val="•"/>
      <w:lvlJc w:val="left"/>
      <w:pPr>
        <w:ind w:left="3519" w:hanging="195"/>
      </w:pPr>
      <w:rPr>
        <w:rFonts w:hint="default"/>
      </w:rPr>
    </w:lvl>
    <w:lvl w:ilvl="7">
      <w:start w:val="0"/>
      <w:numFmt w:val="bullet"/>
      <w:lvlText w:val="•"/>
      <w:lvlJc w:val="left"/>
      <w:pPr>
        <w:ind w:left="4028" w:hanging="195"/>
      </w:pPr>
      <w:rPr>
        <w:rFonts w:hint="default"/>
      </w:rPr>
    </w:lvl>
    <w:lvl w:ilvl="8">
      <w:start w:val="0"/>
      <w:numFmt w:val="bullet"/>
      <w:lvlText w:val="•"/>
      <w:lvlJc w:val="left"/>
      <w:pPr>
        <w:ind w:left="4538" w:hanging="195"/>
      </w:pPr>
      <w:rPr>
        <w:rFonts w:hint="default"/>
      </w:rPr>
    </w:lvl>
  </w:abstractNum>
  <w:abstractNum w:abstractNumId="81">
    <w:multiLevelType w:val="hybridMultilevel"/>
    <w:lvl w:ilvl="0">
      <w:start w:val="10"/>
      <w:numFmt w:val="decimal"/>
      <w:lvlText w:val="%1"/>
      <w:lvlJc w:val="left"/>
      <w:pPr>
        <w:ind w:left="1377" w:hanging="540"/>
        <w:jc w:val="left"/>
      </w:pPr>
      <w:rPr>
        <w:rFonts w:hint="default"/>
      </w:rPr>
    </w:lvl>
    <w:lvl w:ilvl="1">
      <w:start w:val="6"/>
      <w:numFmt w:val="decimal"/>
      <w:lvlText w:val="%1.%2"/>
      <w:lvlJc w:val="left"/>
      <w:pPr>
        <w:ind w:left="1377" w:hanging="540"/>
        <w:jc w:val="left"/>
      </w:pPr>
      <w:rPr>
        <w:rFonts w:hint="default"/>
      </w:rPr>
    </w:lvl>
    <w:lvl w:ilvl="2">
      <w:start w:val="1"/>
      <w:numFmt w:val="decimal"/>
      <w:lvlText w:val="%1.%2.%3."/>
      <w:lvlJc w:val="left"/>
      <w:pPr>
        <w:ind w:left="1377" w:hanging="540"/>
        <w:jc w:val="right"/>
      </w:pPr>
      <w:rPr>
        <w:rFonts w:hint="default" w:ascii="Times New Roman" w:hAnsi="Times New Roman" w:eastAsia="Times New Roman" w:cs="Times New Roman"/>
        <w:color w:val="231F20"/>
        <w:spacing w:val="-2"/>
        <w:w w:val="100"/>
        <w:sz w:val="18"/>
        <w:szCs w:val="18"/>
      </w:rPr>
    </w:lvl>
    <w:lvl w:ilvl="3">
      <w:start w:val="0"/>
      <w:numFmt w:val="bullet"/>
      <w:lvlText w:val="•"/>
      <w:lvlJc w:val="left"/>
      <w:pPr>
        <w:ind w:left="2633" w:hanging="540"/>
      </w:pPr>
      <w:rPr>
        <w:rFonts w:hint="default"/>
      </w:rPr>
    </w:lvl>
    <w:lvl w:ilvl="4">
      <w:start w:val="0"/>
      <w:numFmt w:val="bullet"/>
      <w:lvlText w:val="•"/>
      <w:lvlJc w:val="left"/>
      <w:pPr>
        <w:ind w:left="3051" w:hanging="540"/>
      </w:pPr>
      <w:rPr>
        <w:rFonts w:hint="default"/>
      </w:rPr>
    </w:lvl>
    <w:lvl w:ilvl="5">
      <w:start w:val="0"/>
      <w:numFmt w:val="bullet"/>
      <w:lvlText w:val="•"/>
      <w:lvlJc w:val="left"/>
      <w:pPr>
        <w:ind w:left="3469" w:hanging="540"/>
      </w:pPr>
      <w:rPr>
        <w:rFonts w:hint="default"/>
      </w:rPr>
    </w:lvl>
    <w:lvl w:ilvl="6">
      <w:start w:val="0"/>
      <w:numFmt w:val="bullet"/>
      <w:lvlText w:val="•"/>
      <w:lvlJc w:val="left"/>
      <w:pPr>
        <w:ind w:left="3887" w:hanging="540"/>
      </w:pPr>
      <w:rPr>
        <w:rFonts w:hint="default"/>
      </w:rPr>
    </w:lvl>
    <w:lvl w:ilvl="7">
      <w:start w:val="0"/>
      <w:numFmt w:val="bullet"/>
      <w:lvlText w:val="•"/>
      <w:lvlJc w:val="left"/>
      <w:pPr>
        <w:ind w:left="4304" w:hanging="540"/>
      </w:pPr>
      <w:rPr>
        <w:rFonts w:hint="default"/>
      </w:rPr>
    </w:lvl>
    <w:lvl w:ilvl="8">
      <w:start w:val="0"/>
      <w:numFmt w:val="bullet"/>
      <w:lvlText w:val="•"/>
      <w:lvlJc w:val="left"/>
      <w:pPr>
        <w:ind w:left="4722" w:hanging="540"/>
      </w:pPr>
      <w:rPr>
        <w:rFonts w:hint="default"/>
      </w:rPr>
    </w:lvl>
  </w:abstractNum>
  <w:abstractNum w:abstractNumId="80">
    <w:multiLevelType w:val="hybridMultilevel"/>
    <w:lvl w:ilvl="0">
      <w:start w:val="1"/>
      <w:numFmt w:val="decimal"/>
      <w:lvlText w:val="%1)"/>
      <w:lvlJc w:val="left"/>
      <w:pPr>
        <w:ind w:left="834" w:hanging="195"/>
        <w:jc w:val="right"/>
      </w:pPr>
      <w:rPr>
        <w:rFonts w:hint="default" w:ascii="Times New Roman" w:hAnsi="Times New Roman" w:eastAsia="Times New Roman" w:cs="Times New Roman"/>
        <w:color w:val="231F20"/>
        <w:spacing w:val="-3"/>
        <w:w w:val="100"/>
        <w:sz w:val="18"/>
        <w:szCs w:val="18"/>
      </w:rPr>
    </w:lvl>
    <w:lvl w:ilvl="1">
      <w:start w:val="0"/>
      <w:numFmt w:val="bullet"/>
      <w:lvlText w:val="•"/>
      <w:lvlJc w:val="left"/>
      <w:pPr>
        <w:ind w:left="1303" w:hanging="195"/>
      </w:pPr>
      <w:rPr>
        <w:rFonts w:hint="default"/>
      </w:rPr>
    </w:lvl>
    <w:lvl w:ilvl="2">
      <w:start w:val="0"/>
      <w:numFmt w:val="bullet"/>
      <w:lvlText w:val="•"/>
      <w:lvlJc w:val="left"/>
      <w:pPr>
        <w:ind w:left="1767" w:hanging="195"/>
      </w:pPr>
      <w:rPr>
        <w:rFonts w:hint="default"/>
      </w:rPr>
    </w:lvl>
    <w:lvl w:ilvl="3">
      <w:start w:val="0"/>
      <w:numFmt w:val="bullet"/>
      <w:lvlText w:val="•"/>
      <w:lvlJc w:val="left"/>
      <w:pPr>
        <w:ind w:left="2230" w:hanging="195"/>
      </w:pPr>
      <w:rPr>
        <w:rFonts w:hint="default"/>
      </w:rPr>
    </w:lvl>
    <w:lvl w:ilvl="4">
      <w:start w:val="0"/>
      <w:numFmt w:val="bullet"/>
      <w:lvlText w:val="•"/>
      <w:lvlJc w:val="left"/>
      <w:pPr>
        <w:ind w:left="2694" w:hanging="195"/>
      </w:pPr>
      <w:rPr>
        <w:rFonts w:hint="default"/>
      </w:rPr>
    </w:lvl>
    <w:lvl w:ilvl="5">
      <w:start w:val="0"/>
      <w:numFmt w:val="bullet"/>
      <w:lvlText w:val="•"/>
      <w:lvlJc w:val="left"/>
      <w:pPr>
        <w:ind w:left="3157" w:hanging="195"/>
      </w:pPr>
      <w:rPr>
        <w:rFonts w:hint="default"/>
      </w:rPr>
    </w:lvl>
    <w:lvl w:ilvl="6">
      <w:start w:val="0"/>
      <w:numFmt w:val="bullet"/>
      <w:lvlText w:val="•"/>
      <w:lvlJc w:val="left"/>
      <w:pPr>
        <w:ind w:left="3621" w:hanging="195"/>
      </w:pPr>
      <w:rPr>
        <w:rFonts w:hint="default"/>
      </w:rPr>
    </w:lvl>
    <w:lvl w:ilvl="7">
      <w:start w:val="0"/>
      <w:numFmt w:val="bullet"/>
      <w:lvlText w:val="•"/>
      <w:lvlJc w:val="left"/>
      <w:pPr>
        <w:ind w:left="4085" w:hanging="195"/>
      </w:pPr>
      <w:rPr>
        <w:rFonts w:hint="default"/>
      </w:rPr>
    </w:lvl>
    <w:lvl w:ilvl="8">
      <w:start w:val="0"/>
      <w:numFmt w:val="bullet"/>
      <w:lvlText w:val="•"/>
      <w:lvlJc w:val="left"/>
      <w:pPr>
        <w:ind w:left="4548" w:hanging="195"/>
      </w:pPr>
      <w:rPr>
        <w:rFonts w:hint="default"/>
      </w:rPr>
    </w:lvl>
  </w:abstractNum>
  <w:abstractNum w:abstractNumId="79">
    <w:multiLevelType w:val="hybridMultilevel"/>
    <w:lvl w:ilvl="0">
      <w:start w:val="10"/>
      <w:numFmt w:val="decimal"/>
      <w:lvlText w:val="%1"/>
      <w:lvlJc w:val="left"/>
      <w:pPr>
        <w:ind w:left="2301" w:hanging="405"/>
        <w:jc w:val="left"/>
      </w:pPr>
      <w:rPr>
        <w:rFonts w:hint="default"/>
      </w:rPr>
    </w:lvl>
    <w:lvl w:ilvl="1">
      <w:start w:val="3"/>
      <w:numFmt w:val="decimal"/>
      <w:lvlText w:val="%1.%2."/>
      <w:lvlJc w:val="left"/>
      <w:pPr>
        <w:ind w:left="2301" w:hanging="405"/>
        <w:jc w:val="right"/>
      </w:pPr>
      <w:rPr>
        <w:rFonts w:hint="default" w:ascii="Times New Roman" w:hAnsi="Times New Roman" w:eastAsia="Times New Roman" w:cs="Times New Roman"/>
        <w:i/>
        <w:color w:val="231F20"/>
        <w:spacing w:val="-1"/>
        <w:w w:val="100"/>
        <w:sz w:val="18"/>
        <w:szCs w:val="18"/>
      </w:rPr>
    </w:lvl>
    <w:lvl w:ilvl="2">
      <w:start w:val="1"/>
      <w:numFmt w:val="decimal"/>
      <w:lvlText w:val="%1.%2.%3."/>
      <w:lvlJc w:val="left"/>
      <w:pPr>
        <w:ind w:left="2247" w:hanging="562"/>
        <w:jc w:val="right"/>
      </w:pPr>
      <w:rPr>
        <w:rFonts w:hint="default" w:ascii="Times New Roman" w:hAnsi="Times New Roman" w:eastAsia="Times New Roman" w:cs="Times New Roman"/>
        <w:color w:val="231F20"/>
        <w:w w:val="100"/>
        <w:sz w:val="18"/>
        <w:szCs w:val="18"/>
      </w:rPr>
    </w:lvl>
    <w:lvl w:ilvl="3">
      <w:start w:val="0"/>
      <w:numFmt w:val="bullet"/>
      <w:lvlText w:val="•"/>
      <w:lvlJc w:val="left"/>
      <w:pPr>
        <w:ind w:left="2300" w:hanging="562"/>
      </w:pPr>
      <w:rPr>
        <w:rFonts w:hint="default"/>
      </w:rPr>
    </w:lvl>
    <w:lvl w:ilvl="4">
      <w:start w:val="0"/>
      <w:numFmt w:val="bullet"/>
      <w:lvlText w:val="•"/>
      <w:lvlJc w:val="left"/>
      <w:pPr>
        <w:ind w:left="1930" w:hanging="562"/>
      </w:pPr>
      <w:rPr>
        <w:rFonts w:hint="default"/>
      </w:rPr>
    </w:lvl>
    <w:lvl w:ilvl="5">
      <w:start w:val="0"/>
      <w:numFmt w:val="bullet"/>
      <w:lvlText w:val="•"/>
      <w:lvlJc w:val="left"/>
      <w:pPr>
        <w:ind w:left="1561" w:hanging="562"/>
      </w:pPr>
      <w:rPr>
        <w:rFonts w:hint="default"/>
      </w:rPr>
    </w:lvl>
    <w:lvl w:ilvl="6">
      <w:start w:val="0"/>
      <w:numFmt w:val="bullet"/>
      <w:lvlText w:val="•"/>
      <w:lvlJc w:val="left"/>
      <w:pPr>
        <w:ind w:left="1192" w:hanging="562"/>
      </w:pPr>
      <w:rPr>
        <w:rFonts w:hint="default"/>
      </w:rPr>
    </w:lvl>
    <w:lvl w:ilvl="7">
      <w:start w:val="0"/>
      <w:numFmt w:val="bullet"/>
      <w:lvlText w:val="•"/>
      <w:lvlJc w:val="left"/>
      <w:pPr>
        <w:ind w:left="823" w:hanging="562"/>
      </w:pPr>
      <w:rPr>
        <w:rFonts w:hint="default"/>
      </w:rPr>
    </w:lvl>
    <w:lvl w:ilvl="8">
      <w:start w:val="0"/>
      <w:numFmt w:val="bullet"/>
      <w:lvlText w:val="•"/>
      <w:lvlJc w:val="left"/>
      <w:pPr>
        <w:ind w:left="454" w:hanging="562"/>
      </w:pPr>
      <w:rPr>
        <w:rFonts w:hint="default"/>
      </w:rPr>
    </w:lvl>
  </w:abstractNum>
  <w:abstractNum w:abstractNumId="78">
    <w:multiLevelType w:val="hybridMultilevel"/>
    <w:lvl w:ilvl="0">
      <w:start w:val="10"/>
      <w:numFmt w:val="decimal"/>
      <w:lvlText w:val="%1."/>
      <w:lvlJc w:val="left"/>
      <w:pPr>
        <w:ind w:left="1428" w:hanging="270"/>
        <w:jc w:val="left"/>
      </w:pPr>
      <w:rPr>
        <w:rFonts w:hint="default" w:ascii="Times New Roman" w:hAnsi="Times New Roman" w:eastAsia="Times New Roman" w:cs="Times New Roman"/>
        <w:b/>
        <w:bCs/>
        <w:color w:val="231F20"/>
        <w:spacing w:val="-10"/>
        <w:w w:val="100"/>
        <w:sz w:val="18"/>
        <w:szCs w:val="18"/>
      </w:rPr>
    </w:lvl>
    <w:lvl w:ilvl="1">
      <w:start w:val="1"/>
      <w:numFmt w:val="decimal"/>
      <w:lvlText w:val="%1.%2."/>
      <w:lvlJc w:val="left"/>
      <w:pPr>
        <w:ind w:left="2155" w:hanging="405"/>
        <w:jc w:val="left"/>
      </w:pPr>
      <w:rPr>
        <w:rFonts w:hint="default" w:ascii="Times New Roman" w:hAnsi="Times New Roman" w:eastAsia="Times New Roman" w:cs="Times New Roman"/>
        <w:i/>
        <w:color w:val="231F20"/>
        <w:spacing w:val="-9"/>
        <w:w w:val="100"/>
        <w:sz w:val="18"/>
        <w:szCs w:val="18"/>
      </w:rPr>
    </w:lvl>
    <w:lvl w:ilvl="2">
      <w:start w:val="0"/>
      <w:numFmt w:val="bullet"/>
      <w:lvlText w:val="•"/>
      <w:lvlJc w:val="left"/>
      <w:pPr>
        <w:ind w:left="2508" w:hanging="405"/>
      </w:pPr>
      <w:rPr>
        <w:rFonts w:hint="default"/>
      </w:rPr>
    </w:lvl>
    <w:lvl w:ilvl="3">
      <w:start w:val="0"/>
      <w:numFmt w:val="bullet"/>
      <w:lvlText w:val="•"/>
      <w:lvlJc w:val="left"/>
      <w:pPr>
        <w:ind w:left="2856" w:hanging="405"/>
      </w:pPr>
      <w:rPr>
        <w:rFonts w:hint="default"/>
      </w:rPr>
    </w:lvl>
    <w:lvl w:ilvl="4">
      <w:start w:val="0"/>
      <w:numFmt w:val="bullet"/>
      <w:lvlText w:val="•"/>
      <w:lvlJc w:val="left"/>
      <w:pPr>
        <w:ind w:left="3205" w:hanging="405"/>
      </w:pPr>
      <w:rPr>
        <w:rFonts w:hint="default"/>
      </w:rPr>
    </w:lvl>
    <w:lvl w:ilvl="5">
      <w:start w:val="0"/>
      <w:numFmt w:val="bullet"/>
      <w:lvlText w:val="•"/>
      <w:lvlJc w:val="left"/>
      <w:pPr>
        <w:ind w:left="3553" w:hanging="405"/>
      </w:pPr>
      <w:rPr>
        <w:rFonts w:hint="default"/>
      </w:rPr>
    </w:lvl>
    <w:lvl w:ilvl="6">
      <w:start w:val="0"/>
      <w:numFmt w:val="bullet"/>
      <w:lvlText w:val="•"/>
      <w:lvlJc w:val="left"/>
      <w:pPr>
        <w:ind w:left="3901" w:hanging="405"/>
      </w:pPr>
      <w:rPr>
        <w:rFonts w:hint="default"/>
      </w:rPr>
    </w:lvl>
    <w:lvl w:ilvl="7">
      <w:start w:val="0"/>
      <w:numFmt w:val="bullet"/>
      <w:lvlText w:val="•"/>
      <w:lvlJc w:val="left"/>
      <w:pPr>
        <w:ind w:left="4250" w:hanging="405"/>
      </w:pPr>
      <w:rPr>
        <w:rFonts w:hint="default"/>
      </w:rPr>
    </w:lvl>
    <w:lvl w:ilvl="8">
      <w:start w:val="0"/>
      <w:numFmt w:val="bullet"/>
      <w:lvlText w:val="•"/>
      <w:lvlJc w:val="left"/>
      <w:pPr>
        <w:ind w:left="4598" w:hanging="405"/>
      </w:pPr>
      <w:rPr>
        <w:rFonts w:hint="default"/>
      </w:rPr>
    </w:lvl>
  </w:abstractNum>
  <w:abstractNum w:abstractNumId="77">
    <w:multiLevelType w:val="hybridMultilevel"/>
    <w:lvl w:ilvl="0">
      <w:start w:val="9"/>
      <w:numFmt w:val="decimal"/>
      <w:lvlText w:val="%1"/>
      <w:lvlJc w:val="left"/>
      <w:pPr>
        <w:ind w:left="2163" w:hanging="450"/>
        <w:jc w:val="left"/>
      </w:pPr>
      <w:rPr>
        <w:rFonts w:hint="default"/>
      </w:rPr>
    </w:lvl>
    <w:lvl w:ilvl="1">
      <w:start w:val="5"/>
      <w:numFmt w:val="decimal"/>
      <w:lvlText w:val="%1.%2"/>
      <w:lvlJc w:val="left"/>
      <w:pPr>
        <w:ind w:left="2163" w:hanging="450"/>
        <w:jc w:val="left"/>
      </w:pPr>
      <w:rPr>
        <w:rFonts w:hint="default"/>
      </w:rPr>
    </w:lvl>
    <w:lvl w:ilvl="2">
      <w:start w:val="1"/>
      <w:numFmt w:val="decimal"/>
      <w:lvlText w:val="%1.%2.%3."/>
      <w:lvlJc w:val="left"/>
      <w:pPr>
        <w:ind w:left="2163"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3179" w:hanging="450"/>
      </w:pPr>
      <w:rPr>
        <w:rFonts w:hint="default"/>
      </w:rPr>
    </w:lvl>
    <w:lvl w:ilvl="4">
      <w:start w:val="0"/>
      <w:numFmt w:val="bullet"/>
      <w:lvlText w:val="•"/>
      <w:lvlJc w:val="left"/>
      <w:pPr>
        <w:ind w:left="3519" w:hanging="450"/>
      </w:pPr>
      <w:rPr>
        <w:rFonts w:hint="default"/>
      </w:rPr>
    </w:lvl>
    <w:lvl w:ilvl="5">
      <w:start w:val="0"/>
      <w:numFmt w:val="bullet"/>
      <w:lvlText w:val="•"/>
      <w:lvlJc w:val="left"/>
      <w:pPr>
        <w:ind w:left="3859" w:hanging="450"/>
      </w:pPr>
      <w:rPr>
        <w:rFonts w:hint="default"/>
      </w:rPr>
    </w:lvl>
    <w:lvl w:ilvl="6">
      <w:start w:val="0"/>
      <w:numFmt w:val="bullet"/>
      <w:lvlText w:val="•"/>
      <w:lvlJc w:val="left"/>
      <w:pPr>
        <w:ind w:left="4198" w:hanging="450"/>
      </w:pPr>
      <w:rPr>
        <w:rFonts w:hint="default"/>
      </w:rPr>
    </w:lvl>
    <w:lvl w:ilvl="7">
      <w:start w:val="0"/>
      <w:numFmt w:val="bullet"/>
      <w:lvlText w:val="•"/>
      <w:lvlJc w:val="left"/>
      <w:pPr>
        <w:ind w:left="4538" w:hanging="450"/>
      </w:pPr>
      <w:rPr>
        <w:rFonts w:hint="default"/>
      </w:rPr>
    </w:lvl>
    <w:lvl w:ilvl="8">
      <w:start w:val="0"/>
      <w:numFmt w:val="bullet"/>
      <w:lvlText w:val="•"/>
      <w:lvlJc w:val="left"/>
      <w:pPr>
        <w:ind w:left="4878" w:hanging="450"/>
      </w:pPr>
      <w:rPr>
        <w:rFonts w:hint="default"/>
      </w:rPr>
    </w:lvl>
  </w:abstractNum>
  <w:abstractNum w:abstractNumId="76">
    <w:multiLevelType w:val="hybridMultilevel"/>
    <w:lvl w:ilvl="0">
      <w:start w:val="9"/>
      <w:numFmt w:val="decimal"/>
      <w:lvlText w:val="%1"/>
      <w:lvlJc w:val="left"/>
      <w:pPr>
        <w:ind w:left="2461" w:hanging="315"/>
        <w:jc w:val="left"/>
      </w:pPr>
      <w:rPr>
        <w:rFonts w:hint="default"/>
      </w:rPr>
    </w:lvl>
    <w:lvl w:ilvl="1">
      <w:start w:val="5"/>
      <w:numFmt w:val="decimal"/>
      <w:lvlText w:val="%1.%2."/>
      <w:lvlJc w:val="left"/>
      <w:pPr>
        <w:ind w:left="2461" w:hanging="315"/>
        <w:jc w:val="right"/>
      </w:pPr>
      <w:rPr>
        <w:rFonts w:hint="default" w:ascii="Times New Roman" w:hAnsi="Times New Roman" w:eastAsia="Times New Roman" w:cs="Times New Roman"/>
        <w:i/>
        <w:color w:val="231F20"/>
        <w:spacing w:val="-1"/>
        <w:w w:val="100"/>
        <w:sz w:val="18"/>
        <w:szCs w:val="18"/>
      </w:rPr>
    </w:lvl>
    <w:lvl w:ilvl="2">
      <w:start w:val="1"/>
      <w:numFmt w:val="decimal"/>
      <w:lvlText w:val="%1.%2.%3."/>
      <w:lvlJc w:val="left"/>
      <w:pPr>
        <w:ind w:left="1674" w:hanging="450"/>
        <w:jc w:val="right"/>
      </w:pPr>
      <w:rPr>
        <w:rFonts w:hint="default" w:ascii="Times New Roman" w:hAnsi="Times New Roman" w:eastAsia="Times New Roman" w:cs="Times New Roman"/>
        <w:color w:val="231F20"/>
        <w:spacing w:val="-2"/>
        <w:w w:val="100"/>
        <w:sz w:val="18"/>
        <w:szCs w:val="18"/>
      </w:rPr>
    </w:lvl>
    <w:lvl w:ilvl="3">
      <w:start w:val="0"/>
      <w:numFmt w:val="bullet"/>
      <w:lvlText w:val="•"/>
      <w:lvlJc w:val="left"/>
      <w:pPr>
        <w:ind w:left="1904" w:hanging="450"/>
      </w:pPr>
      <w:rPr>
        <w:rFonts w:hint="default"/>
      </w:rPr>
    </w:lvl>
    <w:lvl w:ilvl="4">
      <w:start w:val="0"/>
      <w:numFmt w:val="bullet"/>
      <w:lvlText w:val="•"/>
      <w:lvlJc w:val="left"/>
      <w:pPr>
        <w:ind w:left="1626" w:hanging="450"/>
      </w:pPr>
      <w:rPr>
        <w:rFonts w:hint="default"/>
      </w:rPr>
    </w:lvl>
    <w:lvl w:ilvl="5">
      <w:start w:val="0"/>
      <w:numFmt w:val="bullet"/>
      <w:lvlText w:val="•"/>
      <w:lvlJc w:val="left"/>
      <w:pPr>
        <w:ind w:left="1348" w:hanging="450"/>
      </w:pPr>
      <w:rPr>
        <w:rFonts w:hint="default"/>
      </w:rPr>
    </w:lvl>
    <w:lvl w:ilvl="6">
      <w:start w:val="0"/>
      <w:numFmt w:val="bullet"/>
      <w:lvlText w:val="•"/>
      <w:lvlJc w:val="left"/>
      <w:pPr>
        <w:ind w:left="1070" w:hanging="450"/>
      </w:pPr>
      <w:rPr>
        <w:rFonts w:hint="default"/>
      </w:rPr>
    </w:lvl>
    <w:lvl w:ilvl="7">
      <w:start w:val="0"/>
      <w:numFmt w:val="bullet"/>
      <w:lvlText w:val="•"/>
      <w:lvlJc w:val="left"/>
      <w:pPr>
        <w:ind w:left="792" w:hanging="450"/>
      </w:pPr>
      <w:rPr>
        <w:rFonts w:hint="default"/>
      </w:rPr>
    </w:lvl>
    <w:lvl w:ilvl="8">
      <w:start w:val="0"/>
      <w:numFmt w:val="bullet"/>
      <w:lvlText w:val="•"/>
      <w:lvlJc w:val="left"/>
      <w:pPr>
        <w:ind w:left="514" w:hanging="450"/>
      </w:pPr>
      <w:rPr>
        <w:rFonts w:hint="default"/>
      </w:rPr>
    </w:lvl>
  </w:abstractNum>
  <w:abstractNum w:abstractNumId="75">
    <w:multiLevelType w:val="hybridMultilevel"/>
    <w:lvl w:ilvl="0">
      <w:start w:val="9"/>
      <w:numFmt w:val="decimal"/>
      <w:lvlText w:val="%1"/>
      <w:lvlJc w:val="left"/>
      <w:pPr>
        <w:ind w:left="698" w:hanging="450"/>
        <w:jc w:val="left"/>
      </w:pPr>
      <w:rPr>
        <w:rFonts w:hint="default"/>
      </w:rPr>
    </w:lvl>
    <w:lvl w:ilvl="1">
      <w:start w:val="4"/>
      <w:numFmt w:val="decimal"/>
      <w:lvlText w:val="%1.%2"/>
      <w:lvlJc w:val="left"/>
      <w:pPr>
        <w:ind w:left="698" w:hanging="450"/>
        <w:jc w:val="left"/>
      </w:pPr>
      <w:rPr>
        <w:rFonts w:hint="default"/>
      </w:rPr>
    </w:lvl>
    <w:lvl w:ilvl="2">
      <w:start w:val="1"/>
      <w:numFmt w:val="decimal"/>
      <w:lvlText w:val="%1.%2.%3."/>
      <w:lvlJc w:val="left"/>
      <w:pPr>
        <w:ind w:left="698" w:hanging="450"/>
        <w:jc w:val="right"/>
      </w:pPr>
      <w:rPr>
        <w:rFonts w:hint="default" w:ascii="Times New Roman" w:hAnsi="Times New Roman" w:eastAsia="Times New Roman" w:cs="Times New Roman"/>
        <w:color w:val="231F20"/>
        <w:spacing w:val="-2"/>
        <w:w w:val="100"/>
        <w:sz w:val="18"/>
        <w:szCs w:val="18"/>
      </w:rPr>
    </w:lvl>
    <w:lvl w:ilvl="3">
      <w:start w:val="0"/>
      <w:numFmt w:val="bullet"/>
      <w:lvlText w:val="•"/>
      <w:lvlJc w:val="left"/>
      <w:pPr>
        <w:ind w:left="2132" w:hanging="450"/>
      </w:pPr>
      <w:rPr>
        <w:rFonts w:hint="default"/>
      </w:rPr>
    </w:lvl>
    <w:lvl w:ilvl="4">
      <w:start w:val="0"/>
      <w:numFmt w:val="bullet"/>
      <w:lvlText w:val="•"/>
      <w:lvlJc w:val="left"/>
      <w:pPr>
        <w:ind w:left="2609" w:hanging="450"/>
      </w:pPr>
      <w:rPr>
        <w:rFonts w:hint="default"/>
      </w:rPr>
    </w:lvl>
    <w:lvl w:ilvl="5">
      <w:start w:val="0"/>
      <w:numFmt w:val="bullet"/>
      <w:lvlText w:val="•"/>
      <w:lvlJc w:val="left"/>
      <w:pPr>
        <w:ind w:left="3087" w:hanging="450"/>
      </w:pPr>
      <w:rPr>
        <w:rFonts w:hint="default"/>
      </w:rPr>
    </w:lvl>
    <w:lvl w:ilvl="6">
      <w:start w:val="0"/>
      <w:numFmt w:val="bullet"/>
      <w:lvlText w:val="•"/>
      <w:lvlJc w:val="left"/>
      <w:pPr>
        <w:ind w:left="3564" w:hanging="450"/>
      </w:pPr>
      <w:rPr>
        <w:rFonts w:hint="default"/>
      </w:rPr>
    </w:lvl>
    <w:lvl w:ilvl="7">
      <w:start w:val="0"/>
      <w:numFmt w:val="bullet"/>
      <w:lvlText w:val="•"/>
      <w:lvlJc w:val="left"/>
      <w:pPr>
        <w:ind w:left="4042" w:hanging="450"/>
      </w:pPr>
      <w:rPr>
        <w:rFonts w:hint="default"/>
      </w:rPr>
    </w:lvl>
    <w:lvl w:ilvl="8">
      <w:start w:val="0"/>
      <w:numFmt w:val="bullet"/>
      <w:lvlText w:val="•"/>
      <w:lvlJc w:val="left"/>
      <w:pPr>
        <w:ind w:left="4519" w:hanging="450"/>
      </w:pPr>
      <w:rPr>
        <w:rFonts w:hint="default"/>
      </w:rPr>
    </w:lvl>
  </w:abstractNum>
  <w:abstractNum w:abstractNumId="74">
    <w:multiLevelType w:val="hybridMultilevel"/>
    <w:lvl w:ilvl="0">
      <w:start w:val="9"/>
      <w:numFmt w:val="decimal"/>
      <w:lvlText w:val="%1"/>
      <w:lvlJc w:val="left"/>
      <w:pPr>
        <w:ind w:left="568" w:hanging="450"/>
        <w:jc w:val="left"/>
      </w:pPr>
      <w:rPr>
        <w:rFonts w:hint="default"/>
      </w:rPr>
    </w:lvl>
    <w:lvl w:ilvl="1">
      <w:start w:val="3"/>
      <w:numFmt w:val="decimal"/>
      <w:lvlText w:val="%1.%2"/>
      <w:lvlJc w:val="left"/>
      <w:pPr>
        <w:ind w:left="568" w:hanging="450"/>
        <w:jc w:val="left"/>
      </w:pPr>
      <w:rPr>
        <w:rFonts w:hint="default"/>
      </w:rPr>
    </w:lvl>
    <w:lvl w:ilvl="2">
      <w:start w:val="1"/>
      <w:numFmt w:val="decimal"/>
      <w:lvlText w:val="%1.%2.%3."/>
      <w:lvlJc w:val="left"/>
      <w:pPr>
        <w:ind w:left="568"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2034" w:hanging="450"/>
      </w:pPr>
      <w:rPr>
        <w:rFonts w:hint="default"/>
      </w:rPr>
    </w:lvl>
    <w:lvl w:ilvl="4">
      <w:start w:val="0"/>
      <w:numFmt w:val="bullet"/>
      <w:lvlText w:val="•"/>
      <w:lvlJc w:val="left"/>
      <w:pPr>
        <w:ind w:left="2525" w:hanging="450"/>
      </w:pPr>
      <w:rPr>
        <w:rFonts w:hint="default"/>
      </w:rPr>
    </w:lvl>
    <w:lvl w:ilvl="5">
      <w:start w:val="0"/>
      <w:numFmt w:val="bullet"/>
      <w:lvlText w:val="•"/>
      <w:lvlJc w:val="left"/>
      <w:pPr>
        <w:ind w:left="3017" w:hanging="450"/>
      </w:pPr>
      <w:rPr>
        <w:rFonts w:hint="default"/>
      </w:rPr>
    </w:lvl>
    <w:lvl w:ilvl="6">
      <w:start w:val="0"/>
      <w:numFmt w:val="bullet"/>
      <w:lvlText w:val="•"/>
      <w:lvlJc w:val="left"/>
      <w:pPr>
        <w:ind w:left="3508" w:hanging="450"/>
      </w:pPr>
      <w:rPr>
        <w:rFonts w:hint="default"/>
      </w:rPr>
    </w:lvl>
    <w:lvl w:ilvl="7">
      <w:start w:val="0"/>
      <w:numFmt w:val="bullet"/>
      <w:lvlText w:val="•"/>
      <w:lvlJc w:val="left"/>
      <w:pPr>
        <w:ind w:left="4000" w:hanging="450"/>
      </w:pPr>
      <w:rPr>
        <w:rFonts w:hint="default"/>
      </w:rPr>
    </w:lvl>
    <w:lvl w:ilvl="8">
      <w:start w:val="0"/>
      <w:numFmt w:val="bullet"/>
      <w:lvlText w:val="•"/>
      <w:lvlJc w:val="left"/>
      <w:pPr>
        <w:ind w:left="4491" w:hanging="450"/>
      </w:pPr>
      <w:rPr>
        <w:rFonts w:hint="default"/>
      </w:rPr>
    </w:lvl>
  </w:abstractNum>
  <w:abstractNum w:abstractNumId="73">
    <w:multiLevelType w:val="hybridMultilevel"/>
    <w:lvl w:ilvl="0">
      <w:start w:val="1"/>
      <w:numFmt w:val="decimal"/>
      <w:lvlText w:val="%1."/>
      <w:lvlJc w:val="left"/>
      <w:pPr>
        <w:ind w:left="241" w:hanging="206"/>
        <w:jc w:val="left"/>
      </w:pPr>
      <w:rPr>
        <w:rFonts w:hint="default" w:ascii="Times New Roman" w:hAnsi="Times New Roman" w:eastAsia="Times New Roman" w:cs="Times New Roman"/>
        <w:color w:val="231F20"/>
        <w:spacing w:val="-21"/>
        <w:w w:val="100"/>
        <w:sz w:val="18"/>
        <w:szCs w:val="18"/>
      </w:rPr>
    </w:lvl>
    <w:lvl w:ilvl="1">
      <w:start w:val="0"/>
      <w:numFmt w:val="bullet"/>
      <w:lvlText w:val="•"/>
      <w:lvlJc w:val="left"/>
      <w:pPr>
        <w:ind w:left="763" w:hanging="206"/>
      </w:pPr>
      <w:rPr>
        <w:rFonts w:hint="default"/>
      </w:rPr>
    </w:lvl>
    <w:lvl w:ilvl="2">
      <w:start w:val="0"/>
      <w:numFmt w:val="bullet"/>
      <w:lvlText w:val="•"/>
      <w:lvlJc w:val="left"/>
      <w:pPr>
        <w:ind w:left="1286" w:hanging="206"/>
      </w:pPr>
      <w:rPr>
        <w:rFonts w:hint="default"/>
      </w:rPr>
    </w:lvl>
    <w:lvl w:ilvl="3">
      <w:start w:val="0"/>
      <w:numFmt w:val="bullet"/>
      <w:lvlText w:val="•"/>
      <w:lvlJc w:val="left"/>
      <w:pPr>
        <w:ind w:left="1810" w:hanging="206"/>
      </w:pPr>
      <w:rPr>
        <w:rFonts w:hint="default"/>
      </w:rPr>
    </w:lvl>
    <w:lvl w:ilvl="4">
      <w:start w:val="0"/>
      <w:numFmt w:val="bullet"/>
      <w:lvlText w:val="•"/>
      <w:lvlJc w:val="left"/>
      <w:pPr>
        <w:ind w:left="2333" w:hanging="206"/>
      </w:pPr>
      <w:rPr>
        <w:rFonts w:hint="default"/>
      </w:rPr>
    </w:lvl>
    <w:lvl w:ilvl="5">
      <w:start w:val="0"/>
      <w:numFmt w:val="bullet"/>
      <w:lvlText w:val="•"/>
      <w:lvlJc w:val="left"/>
      <w:pPr>
        <w:ind w:left="2856" w:hanging="206"/>
      </w:pPr>
      <w:rPr>
        <w:rFonts w:hint="default"/>
      </w:rPr>
    </w:lvl>
    <w:lvl w:ilvl="6">
      <w:start w:val="0"/>
      <w:numFmt w:val="bullet"/>
      <w:lvlText w:val="•"/>
      <w:lvlJc w:val="left"/>
      <w:pPr>
        <w:ind w:left="3380" w:hanging="206"/>
      </w:pPr>
      <w:rPr>
        <w:rFonts w:hint="default"/>
      </w:rPr>
    </w:lvl>
    <w:lvl w:ilvl="7">
      <w:start w:val="0"/>
      <w:numFmt w:val="bullet"/>
      <w:lvlText w:val="•"/>
      <w:lvlJc w:val="left"/>
      <w:pPr>
        <w:ind w:left="3903" w:hanging="206"/>
      </w:pPr>
      <w:rPr>
        <w:rFonts w:hint="default"/>
      </w:rPr>
    </w:lvl>
    <w:lvl w:ilvl="8">
      <w:start w:val="0"/>
      <w:numFmt w:val="bullet"/>
      <w:lvlText w:val="•"/>
      <w:lvlJc w:val="left"/>
      <w:pPr>
        <w:ind w:left="4427" w:hanging="206"/>
      </w:pPr>
      <w:rPr>
        <w:rFonts w:hint="default"/>
      </w:rPr>
    </w:lvl>
  </w:abstractNum>
  <w:abstractNum w:abstractNumId="72">
    <w:multiLevelType w:val="hybridMultilevel"/>
    <w:lvl w:ilvl="0">
      <w:start w:val="8"/>
      <w:numFmt w:val="decimal"/>
      <w:lvlText w:val="%1"/>
      <w:lvlJc w:val="left"/>
      <w:pPr>
        <w:ind w:left="2025" w:hanging="450"/>
        <w:jc w:val="left"/>
      </w:pPr>
      <w:rPr>
        <w:rFonts w:hint="default"/>
      </w:rPr>
    </w:lvl>
    <w:lvl w:ilvl="1">
      <w:start w:val="4"/>
      <w:numFmt w:val="decimal"/>
      <w:lvlText w:val="%1.%2"/>
      <w:lvlJc w:val="left"/>
      <w:pPr>
        <w:ind w:left="2025" w:hanging="450"/>
        <w:jc w:val="left"/>
      </w:pPr>
      <w:rPr>
        <w:rFonts w:hint="default"/>
      </w:rPr>
    </w:lvl>
    <w:lvl w:ilvl="2">
      <w:start w:val="1"/>
      <w:numFmt w:val="decimal"/>
      <w:lvlText w:val="%1.%2.%3."/>
      <w:lvlJc w:val="left"/>
      <w:pPr>
        <w:ind w:left="851"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2787" w:hanging="450"/>
      </w:pPr>
      <w:rPr>
        <w:rFonts w:hint="default"/>
      </w:rPr>
    </w:lvl>
    <w:lvl w:ilvl="4">
      <w:start w:val="0"/>
      <w:numFmt w:val="bullet"/>
      <w:lvlText w:val="•"/>
      <w:lvlJc w:val="left"/>
      <w:pPr>
        <w:ind w:left="3171" w:hanging="450"/>
      </w:pPr>
      <w:rPr>
        <w:rFonts w:hint="default"/>
      </w:rPr>
    </w:lvl>
    <w:lvl w:ilvl="5">
      <w:start w:val="0"/>
      <w:numFmt w:val="bullet"/>
      <w:lvlText w:val="•"/>
      <w:lvlJc w:val="left"/>
      <w:pPr>
        <w:ind w:left="3555" w:hanging="450"/>
      </w:pPr>
      <w:rPr>
        <w:rFonts w:hint="default"/>
      </w:rPr>
    </w:lvl>
    <w:lvl w:ilvl="6">
      <w:start w:val="0"/>
      <w:numFmt w:val="bullet"/>
      <w:lvlText w:val="•"/>
      <w:lvlJc w:val="left"/>
      <w:pPr>
        <w:ind w:left="3939" w:hanging="450"/>
      </w:pPr>
      <w:rPr>
        <w:rFonts w:hint="default"/>
      </w:rPr>
    </w:lvl>
    <w:lvl w:ilvl="7">
      <w:start w:val="0"/>
      <w:numFmt w:val="bullet"/>
      <w:lvlText w:val="•"/>
      <w:lvlJc w:val="left"/>
      <w:pPr>
        <w:ind w:left="4322" w:hanging="450"/>
      </w:pPr>
      <w:rPr>
        <w:rFonts w:hint="default"/>
      </w:rPr>
    </w:lvl>
    <w:lvl w:ilvl="8">
      <w:start w:val="0"/>
      <w:numFmt w:val="bullet"/>
      <w:lvlText w:val="•"/>
      <w:lvlJc w:val="left"/>
      <w:pPr>
        <w:ind w:left="4706" w:hanging="450"/>
      </w:pPr>
      <w:rPr>
        <w:rFonts w:hint="default"/>
      </w:rPr>
    </w:lvl>
  </w:abstractNum>
  <w:abstractNum w:abstractNumId="71">
    <w:multiLevelType w:val="hybridMultilevel"/>
    <w:lvl w:ilvl="0">
      <w:start w:val="1"/>
      <w:numFmt w:val="decimal"/>
      <w:lvlText w:val="%1)"/>
      <w:lvlJc w:val="left"/>
      <w:pPr>
        <w:ind w:left="242" w:hanging="219"/>
        <w:jc w:val="left"/>
      </w:pPr>
      <w:rPr>
        <w:rFonts w:hint="default" w:ascii="Times New Roman" w:hAnsi="Times New Roman" w:eastAsia="Times New Roman" w:cs="Times New Roman"/>
        <w:color w:val="231F20"/>
        <w:spacing w:val="-22"/>
        <w:w w:val="100"/>
        <w:sz w:val="18"/>
        <w:szCs w:val="18"/>
      </w:rPr>
    </w:lvl>
    <w:lvl w:ilvl="1">
      <w:start w:val="2"/>
      <w:numFmt w:val="decimal"/>
      <w:lvlText w:val="%2)"/>
      <w:lvlJc w:val="left"/>
      <w:pPr>
        <w:ind w:left="850" w:hanging="195"/>
        <w:jc w:val="right"/>
      </w:pPr>
      <w:rPr>
        <w:rFonts w:hint="default" w:ascii="Times New Roman" w:hAnsi="Times New Roman" w:eastAsia="Times New Roman" w:cs="Times New Roman"/>
        <w:color w:val="231F20"/>
        <w:spacing w:val="-9"/>
        <w:w w:val="100"/>
        <w:sz w:val="18"/>
        <w:szCs w:val="18"/>
      </w:rPr>
    </w:lvl>
    <w:lvl w:ilvl="2">
      <w:start w:val="0"/>
      <w:numFmt w:val="bullet"/>
      <w:lvlText w:val="•"/>
      <w:lvlJc w:val="left"/>
      <w:pPr>
        <w:ind w:left="759" w:hanging="195"/>
      </w:pPr>
      <w:rPr>
        <w:rFonts w:hint="default"/>
      </w:rPr>
    </w:lvl>
    <w:lvl w:ilvl="3">
      <w:start w:val="0"/>
      <w:numFmt w:val="bullet"/>
      <w:lvlText w:val="•"/>
      <w:lvlJc w:val="left"/>
      <w:pPr>
        <w:ind w:left="659" w:hanging="195"/>
      </w:pPr>
      <w:rPr>
        <w:rFonts w:hint="default"/>
      </w:rPr>
    </w:lvl>
    <w:lvl w:ilvl="4">
      <w:start w:val="0"/>
      <w:numFmt w:val="bullet"/>
      <w:lvlText w:val="•"/>
      <w:lvlJc w:val="left"/>
      <w:pPr>
        <w:ind w:left="559" w:hanging="195"/>
      </w:pPr>
      <w:rPr>
        <w:rFonts w:hint="default"/>
      </w:rPr>
    </w:lvl>
    <w:lvl w:ilvl="5">
      <w:start w:val="0"/>
      <w:numFmt w:val="bullet"/>
      <w:lvlText w:val="•"/>
      <w:lvlJc w:val="left"/>
      <w:pPr>
        <w:ind w:left="459" w:hanging="195"/>
      </w:pPr>
      <w:rPr>
        <w:rFonts w:hint="default"/>
      </w:rPr>
    </w:lvl>
    <w:lvl w:ilvl="6">
      <w:start w:val="0"/>
      <w:numFmt w:val="bullet"/>
      <w:lvlText w:val="•"/>
      <w:lvlJc w:val="left"/>
      <w:pPr>
        <w:ind w:left="359" w:hanging="195"/>
      </w:pPr>
      <w:rPr>
        <w:rFonts w:hint="default"/>
      </w:rPr>
    </w:lvl>
    <w:lvl w:ilvl="7">
      <w:start w:val="0"/>
      <w:numFmt w:val="bullet"/>
      <w:lvlText w:val="•"/>
      <w:lvlJc w:val="left"/>
      <w:pPr>
        <w:ind w:left="259" w:hanging="195"/>
      </w:pPr>
      <w:rPr>
        <w:rFonts w:hint="default"/>
      </w:rPr>
    </w:lvl>
    <w:lvl w:ilvl="8">
      <w:start w:val="0"/>
      <w:numFmt w:val="bullet"/>
      <w:lvlText w:val="•"/>
      <w:lvlJc w:val="left"/>
      <w:pPr>
        <w:ind w:left="159" w:hanging="195"/>
      </w:pPr>
      <w:rPr>
        <w:rFonts w:hint="default"/>
      </w:rPr>
    </w:lvl>
  </w:abstractNum>
  <w:abstractNum w:abstractNumId="70">
    <w:multiLevelType w:val="hybridMultilevel"/>
    <w:lvl w:ilvl="0">
      <w:start w:val="30"/>
      <w:numFmt w:val="decimal"/>
      <w:lvlText w:val="%1"/>
      <w:lvlJc w:val="left"/>
      <w:pPr>
        <w:ind w:left="524" w:hanging="284"/>
        <w:jc w:val="right"/>
      </w:pPr>
      <w:rPr>
        <w:rFonts w:hint="default" w:ascii="Times New Roman" w:hAnsi="Times New Roman" w:eastAsia="Times New Roman" w:cs="Times New Roman"/>
        <w:color w:val="231F20"/>
        <w:spacing w:val="-14"/>
        <w:w w:val="100"/>
        <w:sz w:val="14"/>
        <w:szCs w:val="14"/>
      </w:rPr>
    </w:lvl>
    <w:lvl w:ilvl="1">
      <w:start w:val="1"/>
      <w:numFmt w:val="decimal"/>
      <w:lvlText w:val="%2)"/>
      <w:lvlJc w:val="left"/>
      <w:pPr>
        <w:ind w:left="169" w:hanging="197"/>
        <w:jc w:val="left"/>
      </w:pPr>
      <w:rPr>
        <w:rFonts w:hint="default" w:ascii="Times New Roman" w:hAnsi="Times New Roman" w:eastAsia="Times New Roman" w:cs="Times New Roman"/>
        <w:color w:val="231F20"/>
        <w:w w:val="100"/>
        <w:sz w:val="18"/>
        <w:szCs w:val="18"/>
      </w:rPr>
    </w:lvl>
    <w:lvl w:ilvl="2">
      <w:start w:val="0"/>
      <w:numFmt w:val="bullet"/>
      <w:lvlText w:val="•"/>
      <w:lvlJc w:val="left"/>
      <w:pPr>
        <w:ind w:left="520" w:hanging="197"/>
      </w:pPr>
      <w:rPr>
        <w:rFonts w:hint="default"/>
      </w:rPr>
    </w:lvl>
    <w:lvl w:ilvl="3">
      <w:start w:val="0"/>
      <w:numFmt w:val="bullet"/>
      <w:lvlText w:val="•"/>
      <w:lvlJc w:val="left"/>
      <w:pPr>
        <w:ind w:left="1139" w:hanging="197"/>
      </w:pPr>
      <w:rPr>
        <w:rFonts w:hint="default"/>
      </w:rPr>
    </w:lvl>
    <w:lvl w:ilvl="4">
      <w:start w:val="0"/>
      <w:numFmt w:val="bullet"/>
      <w:lvlText w:val="•"/>
      <w:lvlJc w:val="left"/>
      <w:pPr>
        <w:ind w:left="1758" w:hanging="197"/>
      </w:pPr>
      <w:rPr>
        <w:rFonts w:hint="default"/>
      </w:rPr>
    </w:lvl>
    <w:lvl w:ilvl="5">
      <w:start w:val="0"/>
      <w:numFmt w:val="bullet"/>
      <w:lvlText w:val="•"/>
      <w:lvlJc w:val="left"/>
      <w:pPr>
        <w:ind w:left="2377" w:hanging="197"/>
      </w:pPr>
      <w:rPr>
        <w:rFonts w:hint="default"/>
      </w:rPr>
    </w:lvl>
    <w:lvl w:ilvl="6">
      <w:start w:val="0"/>
      <w:numFmt w:val="bullet"/>
      <w:lvlText w:val="•"/>
      <w:lvlJc w:val="left"/>
      <w:pPr>
        <w:ind w:left="2996" w:hanging="197"/>
      </w:pPr>
      <w:rPr>
        <w:rFonts w:hint="default"/>
      </w:rPr>
    </w:lvl>
    <w:lvl w:ilvl="7">
      <w:start w:val="0"/>
      <w:numFmt w:val="bullet"/>
      <w:lvlText w:val="•"/>
      <w:lvlJc w:val="left"/>
      <w:pPr>
        <w:ind w:left="3616" w:hanging="197"/>
      </w:pPr>
      <w:rPr>
        <w:rFonts w:hint="default"/>
      </w:rPr>
    </w:lvl>
    <w:lvl w:ilvl="8">
      <w:start w:val="0"/>
      <w:numFmt w:val="bullet"/>
      <w:lvlText w:val="•"/>
      <w:lvlJc w:val="left"/>
      <w:pPr>
        <w:ind w:left="4235" w:hanging="197"/>
      </w:pPr>
      <w:rPr>
        <w:rFonts w:hint="default"/>
      </w:rPr>
    </w:lvl>
  </w:abstractNum>
  <w:abstractNum w:abstractNumId="68">
    <w:multiLevelType w:val="hybridMultilevel"/>
    <w:lvl w:ilvl="0">
      <w:start w:val="7"/>
      <w:numFmt w:val="decimal"/>
      <w:lvlText w:val="%1"/>
      <w:lvlJc w:val="left"/>
      <w:pPr>
        <w:ind w:left="2171" w:hanging="450"/>
        <w:jc w:val="left"/>
      </w:pPr>
      <w:rPr>
        <w:rFonts w:hint="default"/>
      </w:rPr>
    </w:lvl>
    <w:lvl w:ilvl="1">
      <w:start w:val="4"/>
      <w:numFmt w:val="decimal"/>
      <w:lvlText w:val="%1.%2"/>
      <w:lvlJc w:val="left"/>
      <w:pPr>
        <w:ind w:left="2171" w:hanging="450"/>
        <w:jc w:val="left"/>
      </w:pPr>
      <w:rPr>
        <w:rFonts w:hint="default"/>
      </w:rPr>
    </w:lvl>
    <w:lvl w:ilvl="2">
      <w:start w:val="1"/>
      <w:numFmt w:val="decimal"/>
      <w:lvlText w:val="%1.%2.%3."/>
      <w:lvlJc w:val="left"/>
      <w:pPr>
        <w:ind w:left="2171" w:hanging="450"/>
        <w:jc w:val="right"/>
      </w:pPr>
      <w:rPr>
        <w:rFonts w:hint="default" w:ascii="Times New Roman" w:hAnsi="Times New Roman" w:eastAsia="Times New Roman" w:cs="Times New Roman"/>
        <w:color w:val="231F20"/>
        <w:spacing w:val="-19"/>
        <w:w w:val="100"/>
        <w:sz w:val="18"/>
        <w:szCs w:val="18"/>
      </w:rPr>
    </w:lvl>
    <w:lvl w:ilvl="3">
      <w:start w:val="0"/>
      <w:numFmt w:val="bullet"/>
      <w:lvlText w:val="•"/>
      <w:lvlJc w:val="left"/>
      <w:pPr>
        <w:ind w:left="3193" w:hanging="450"/>
      </w:pPr>
      <w:rPr>
        <w:rFonts w:hint="default"/>
      </w:rPr>
    </w:lvl>
    <w:lvl w:ilvl="4">
      <w:start w:val="0"/>
      <w:numFmt w:val="bullet"/>
      <w:lvlText w:val="•"/>
      <w:lvlJc w:val="left"/>
      <w:pPr>
        <w:ind w:left="3531" w:hanging="450"/>
      </w:pPr>
      <w:rPr>
        <w:rFonts w:hint="default"/>
      </w:rPr>
    </w:lvl>
    <w:lvl w:ilvl="5">
      <w:start w:val="0"/>
      <w:numFmt w:val="bullet"/>
      <w:lvlText w:val="•"/>
      <w:lvlJc w:val="left"/>
      <w:pPr>
        <w:ind w:left="3869" w:hanging="450"/>
      </w:pPr>
      <w:rPr>
        <w:rFonts w:hint="default"/>
      </w:rPr>
    </w:lvl>
    <w:lvl w:ilvl="6">
      <w:start w:val="0"/>
      <w:numFmt w:val="bullet"/>
      <w:lvlText w:val="•"/>
      <w:lvlJc w:val="left"/>
      <w:pPr>
        <w:ind w:left="4207" w:hanging="450"/>
      </w:pPr>
      <w:rPr>
        <w:rFonts w:hint="default"/>
      </w:rPr>
    </w:lvl>
    <w:lvl w:ilvl="7">
      <w:start w:val="0"/>
      <w:numFmt w:val="bullet"/>
      <w:lvlText w:val="•"/>
      <w:lvlJc w:val="left"/>
      <w:pPr>
        <w:ind w:left="4545" w:hanging="450"/>
      </w:pPr>
      <w:rPr>
        <w:rFonts w:hint="default"/>
      </w:rPr>
    </w:lvl>
    <w:lvl w:ilvl="8">
      <w:start w:val="0"/>
      <w:numFmt w:val="bullet"/>
      <w:lvlText w:val="•"/>
      <w:lvlJc w:val="left"/>
      <w:pPr>
        <w:ind w:left="4883" w:hanging="450"/>
      </w:pPr>
      <w:rPr>
        <w:rFonts w:hint="default"/>
      </w:rPr>
    </w:lvl>
  </w:abstractNum>
  <w:abstractNum w:abstractNumId="67">
    <w:multiLevelType w:val="hybridMultilevel"/>
    <w:lvl w:ilvl="0">
      <w:start w:val="1"/>
      <w:numFmt w:val="decimal"/>
      <w:lvlText w:val="%1."/>
      <w:lvlJc w:val="left"/>
      <w:pPr>
        <w:ind w:left="170" w:hanging="206"/>
        <w:jc w:val="left"/>
      </w:pPr>
      <w:rPr>
        <w:rFonts w:hint="default" w:ascii="Times New Roman" w:hAnsi="Times New Roman" w:eastAsia="Times New Roman" w:cs="Times New Roman"/>
        <w:color w:val="231F20"/>
        <w:spacing w:val="-21"/>
        <w:w w:val="100"/>
        <w:sz w:val="18"/>
        <w:szCs w:val="18"/>
      </w:rPr>
    </w:lvl>
    <w:lvl w:ilvl="1">
      <w:start w:val="0"/>
      <w:numFmt w:val="bullet"/>
      <w:lvlText w:val="•"/>
      <w:lvlJc w:val="left"/>
      <w:pPr>
        <w:ind w:left="730" w:hanging="206"/>
      </w:pPr>
      <w:rPr>
        <w:rFonts w:hint="default"/>
      </w:rPr>
    </w:lvl>
    <w:lvl w:ilvl="2">
      <w:start w:val="0"/>
      <w:numFmt w:val="bullet"/>
      <w:lvlText w:val="•"/>
      <w:lvlJc w:val="left"/>
      <w:pPr>
        <w:ind w:left="1281" w:hanging="206"/>
      </w:pPr>
      <w:rPr>
        <w:rFonts w:hint="default"/>
      </w:rPr>
    </w:lvl>
    <w:lvl w:ilvl="3">
      <w:start w:val="0"/>
      <w:numFmt w:val="bullet"/>
      <w:lvlText w:val="•"/>
      <w:lvlJc w:val="left"/>
      <w:pPr>
        <w:ind w:left="1832" w:hanging="206"/>
      </w:pPr>
      <w:rPr>
        <w:rFonts w:hint="default"/>
      </w:rPr>
    </w:lvl>
    <w:lvl w:ilvl="4">
      <w:start w:val="0"/>
      <w:numFmt w:val="bullet"/>
      <w:lvlText w:val="•"/>
      <w:lvlJc w:val="left"/>
      <w:pPr>
        <w:ind w:left="2383" w:hanging="206"/>
      </w:pPr>
      <w:rPr>
        <w:rFonts w:hint="default"/>
      </w:rPr>
    </w:lvl>
    <w:lvl w:ilvl="5">
      <w:start w:val="0"/>
      <w:numFmt w:val="bullet"/>
      <w:lvlText w:val="•"/>
      <w:lvlJc w:val="left"/>
      <w:pPr>
        <w:ind w:left="2933" w:hanging="206"/>
      </w:pPr>
      <w:rPr>
        <w:rFonts w:hint="default"/>
      </w:rPr>
    </w:lvl>
    <w:lvl w:ilvl="6">
      <w:start w:val="0"/>
      <w:numFmt w:val="bullet"/>
      <w:lvlText w:val="•"/>
      <w:lvlJc w:val="left"/>
      <w:pPr>
        <w:ind w:left="3484" w:hanging="206"/>
      </w:pPr>
      <w:rPr>
        <w:rFonts w:hint="default"/>
      </w:rPr>
    </w:lvl>
    <w:lvl w:ilvl="7">
      <w:start w:val="0"/>
      <w:numFmt w:val="bullet"/>
      <w:lvlText w:val="•"/>
      <w:lvlJc w:val="left"/>
      <w:pPr>
        <w:ind w:left="4035" w:hanging="206"/>
      </w:pPr>
      <w:rPr>
        <w:rFonts w:hint="default"/>
      </w:rPr>
    </w:lvl>
    <w:lvl w:ilvl="8">
      <w:start w:val="0"/>
      <w:numFmt w:val="bullet"/>
      <w:lvlText w:val="•"/>
      <w:lvlJc w:val="left"/>
      <w:pPr>
        <w:ind w:left="4586" w:hanging="206"/>
      </w:pPr>
      <w:rPr>
        <w:rFonts w:hint="default"/>
      </w:rPr>
    </w:lvl>
  </w:abstractNum>
  <w:abstractNum w:abstractNumId="66">
    <w:multiLevelType w:val="hybridMultilevel"/>
    <w:lvl w:ilvl="0">
      <w:start w:val="1"/>
      <w:numFmt w:val="decimal"/>
      <w:lvlText w:val="%1)"/>
      <w:lvlJc w:val="left"/>
      <w:pPr>
        <w:ind w:left="170" w:hanging="197"/>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730" w:hanging="197"/>
      </w:pPr>
      <w:rPr>
        <w:rFonts w:hint="default"/>
      </w:rPr>
    </w:lvl>
    <w:lvl w:ilvl="2">
      <w:start w:val="0"/>
      <w:numFmt w:val="bullet"/>
      <w:lvlText w:val="•"/>
      <w:lvlJc w:val="left"/>
      <w:pPr>
        <w:ind w:left="1281" w:hanging="197"/>
      </w:pPr>
      <w:rPr>
        <w:rFonts w:hint="default"/>
      </w:rPr>
    </w:lvl>
    <w:lvl w:ilvl="3">
      <w:start w:val="0"/>
      <w:numFmt w:val="bullet"/>
      <w:lvlText w:val="•"/>
      <w:lvlJc w:val="left"/>
      <w:pPr>
        <w:ind w:left="1832" w:hanging="197"/>
      </w:pPr>
      <w:rPr>
        <w:rFonts w:hint="default"/>
      </w:rPr>
    </w:lvl>
    <w:lvl w:ilvl="4">
      <w:start w:val="0"/>
      <w:numFmt w:val="bullet"/>
      <w:lvlText w:val="•"/>
      <w:lvlJc w:val="left"/>
      <w:pPr>
        <w:ind w:left="2383" w:hanging="197"/>
      </w:pPr>
      <w:rPr>
        <w:rFonts w:hint="default"/>
      </w:rPr>
    </w:lvl>
    <w:lvl w:ilvl="5">
      <w:start w:val="0"/>
      <w:numFmt w:val="bullet"/>
      <w:lvlText w:val="•"/>
      <w:lvlJc w:val="left"/>
      <w:pPr>
        <w:ind w:left="2933" w:hanging="197"/>
      </w:pPr>
      <w:rPr>
        <w:rFonts w:hint="default"/>
      </w:rPr>
    </w:lvl>
    <w:lvl w:ilvl="6">
      <w:start w:val="0"/>
      <w:numFmt w:val="bullet"/>
      <w:lvlText w:val="•"/>
      <w:lvlJc w:val="left"/>
      <w:pPr>
        <w:ind w:left="3484" w:hanging="197"/>
      </w:pPr>
      <w:rPr>
        <w:rFonts w:hint="default"/>
      </w:rPr>
    </w:lvl>
    <w:lvl w:ilvl="7">
      <w:start w:val="0"/>
      <w:numFmt w:val="bullet"/>
      <w:lvlText w:val="•"/>
      <w:lvlJc w:val="left"/>
      <w:pPr>
        <w:ind w:left="4035" w:hanging="197"/>
      </w:pPr>
      <w:rPr>
        <w:rFonts w:hint="default"/>
      </w:rPr>
    </w:lvl>
    <w:lvl w:ilvl="8">
      <w:start w:val="0"/>
      <w:numFmt w:val="bullet"/>
      <w:lvlText w:val="•"/>
      <w:lvlJc w:val="left"/>
      <w:pPr>
        <w:ind w:left="4586" w:hanging="197"/>
      </w:pPr>
      <w:rPr>
        <w:rFonts w:hint="default"/>
      </w:rPr>
    </w:lvl>
  </w:abstractNum>
  <w:abstractNum w:abstractNumId="65">
    <w:multiLevelType w:val="hybridMultilevel"/>
    <w:lvl w:ilvl="0">
      <w:start w:val="6"/>
      <w:numFmt w:val="decimal"/>
      <w:lvlText w:val="%1"/>
      <w:lvlJc w:val="left"/>
      <w:pPr>
        <w:ind w:left="1238" w:hanging="450"/>
        <w:jc w:val="left"/>
      </w:pPr>
      <w:rPr>
        <w:rFonts w:hint="default"/>
      </w:rPr>
    </w:lvl>
    <w:lvl w:ilvl="1">
      <w:start w:val="3"/>
      <w:numFmt w:val="decimal"/>
      <w:lvlText w:val="%1.%2"/>
      <w:lvlJc w:val="left"/>
      <w:pPr>
        <w:ind w:left="1238" w:hanging="450"/>
        <w:jc w:val="left"/>
      </w:pPr>
      <w:rPr>
        <w:rFonts w:hint="default"/>
      </w:rPr>
    </w:lvl>
    <w:lvl w:ilvl="2">
      <w:start w:val="1"/>
      <w:numFmt w:val="decimal"/>
      <w:lvlText w:val="%1.%2.%3."/>
      <w:lvlJc w:val="left"/>
      <w:pPr>
        <w:ind w:left="1238" w:hanging="450"/>
        <w:jc w:val="right"/>
      </w:pPr>
      <w:rPr>
        <w:rFonts w:hint="default" w:ascii="Times New Roman" w:hAnsi="Times New Roman" w:eastAsia="Times New Roman" w:cs="Times New Roman"/>
        <w:color w:val="231F20"/>
        <w:spacing w:val="-24"/>
        <w:w w:val="100"/>
        <w:sz w:val="18"/>
        <w:szCs w:val="18"/>
      </w:rPr>
    </w:lvl>
    <w:lvl w:ilvl="3">
      <w:start w:val="0"/>
      <w:numFmt w:val="bullet"/>
      <w:lvlText w:val="•"/>
      <w:lvlJc w:val="left"/>
      <w:pPr>
        <w:ind w:left="2510" w:hanging="450"/>
      </w:pPr>
      <w:rPr>
        <w:rFonts w:hint="default"/>
      </w:rPr>
    </w:lvl>
    <w:lvl w:ilvl="4">
      <w:start w:val="0"/>
      <w:numFmt w:val="bullet"/>
      <w:lvlText w:val="•"/>
      <w:lvlJc w:val="left"/>
      <w:pPr>
        <w:ind w:left="2934" w:hanging="450"/>
      </w:pPr>
      <w:rPr>
        <w:rFonts w:hint="default"/>
      </w:rPr>
    </w:lvl>
    <w:lvl w:ilvl="5">
      <w:start w:val="0"/>
      <w:numFmt w:val="bullet"/>
      <w:lvlText w:val="•"/>
      <w:lvlJc w:val="left"/>
      <w:pPr>
        <w:ind w:left="3357" w:hanging="450"/>
      </w:pPr>
      <w:rPr>
        <w:rFonts w:hint="default"/>
      </w:rPr>
    </w:lvl>
    <w:lvl w:ilvl="6">
      <w:start w:val="0"/>
      <w:numFmt w:val="bullet"/>
      <w:lvlText w:val="•"/>
      <w:lvlJc w:val="left"/>
      <w:pPr>
        <w:ind w:left="3781" w:hanging="450"/>
      </w:pPr>
      <w:rPr>
        <w:rFonts w:hint="default"/>
      </w:rPr>
    </w:lvl>
    <w:lvl w:ilvl="7">
      <w:start w:val="0"/>
      <w:numFmt w:val="bullet"/>
      <w:lvlText w:val="•"/>
      <w:lvlJc w:val="left"/>
      <w:pPr>
        <w:ind w:left="4204" w:hanging="450"/>
      </w:pPr>
      <w:rPr>
        <w:rFonts w:hint="default"/>
      </w:rPr>
    </w:lvl>
    <w:lvl w:ilvl="8">
      <w:start w:val="0"/>
      <w:numFmt w:val="bullet"/>
      <w:lvlText w:val="•"/>
      <w:lvlJc w:val="left"/>
      <w:pPr>
        <w:ind w:left="4628" w:hanging="450"/>
      </w:pPr>
      <w:rPr>
        <w:rFonts w:hint="default"/>
      </w:rPr>
    </w:lvl>
  </w:abstractNum>
  <w:abstractNum w:abstractNumId="64">
    <w:multiLevelType w:val="hybridMultilevel"/>
    <w:lvl w:ilvl="0">
      <w:start w:val="1"/>
      <w:numFmt w:val="decimal"/>
      <w:lvlText w:val="%1."/>
      <w:lvlJc w:val="left"/>
      <w:pPr>
        <w:ind w:left="244" w:hanging="184"/>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763" w:hanging="184"/>
      </w:pPr>
      <w:rPr>
        <w:rFonts w:hint="default"/>
      </w:rPr>
    </w:lvl>
    <w:lvl w:ilvl="2">
      <w:start w:val="0"/>
      <w:numFmt w:val="bullet"/>
      <w:lvlText w:val="•"/>
      <w:lvlJc w:val="left"/>
      <w:pPr>
        <w:ind w:left="1287" w:hanging="184"/>
      </w:pPr>
      <w:rPr>
        <w:rFonts w:hint="default"/>
      </w:rPr>
    </w:lvl>
    <w:lvl w:ilvl="3">
      <w:start w:val="0"/>
      <w:numFmt w:val="bullet"/>
      <w:lvlText w:val="•"/>
      <w:lvlJc w:val="left"/>
      <w:pPr>
        <w:ind w:left="1810" w:hanging="184"/>
      </w:pPr>
      <w:rPr>
        <w:rFonts w:hint="default"/>
      </w:rPr>
    </w:lvl>
    <w:lvl w:ilvl="4">
      <w:start w:val="0"/>
      <w:numFmt w:val="bullet"/>
      <w:lvlText w:val="•"/>
      <w:lvlJc w:val="left"/>
      <w:pPr>
        <w:ind w:left="2334" w:hanging="184"/>
      </w:pPr>
      <w:rPr>
        <w:rFonts w:hint="default"/>
      </w:rPr>
    </w:lvl>
    <w:lvl w:ilvl="5">
      <w:start w:val="0"/>
      <w:numFmt w:val="bullet"/>
      <w:lvlText w:val="•"/>
      <w:lvlJc w:val="left"/>
      <w:pPr>
        <w:ind w:left="2857" w:hanging="184"/>
      </w:pPr>
      <w:rPr>
        <w:rFonts w:hint="default"/>
      </w:rPr>
    </w:lvl>
    <w:lvl w:ilvl="6">
      <w:start w:val="0"/>
      <w:numFmt w:val="bullet"/>
      <w:lvlText w:val="•"/>
      <w:lvlJc w:val="left"/>
      <w:pPr>
        <w:ind w:left="3381" w:hanging="184"/>
      </w:pPr>
      <w:rPr>
        <w:rFonts w:hint="default"/>
      </w:rPr>
    </w:lvl>
    <w:lvl w:ilvl="7">
      <w:start w:val="0"/>
      <w:numFmt w:val="bullet"/>
      <w:lvlText w:val="•"/>
      <w:lvlJc w:val="left"/>
      <w:pPr>
        <w:ind w:left="3904" w:hanging="184"/>
      </w:pPr>
      <w:rPr>
        <w:rFonts w:hint="default"/>
      </w:rPr>
    </w:lvl>
    <w:lvl w:ilvl="8">
      <w:start w:val="0"/>
      <w:numFmt w:val="bullet"/>
      <w:lvlText w:val="•"/>
      <w:lvlJc w:val="left"/>
      <w:pPr>
        <w:ind w:left="4428" w:hanging="184"/>
      </w:pPr>
      <w:rPr>
        <w:rFonts w:hint="default"/>
      </w:rPr>
    </w:lvl>
  </w:abstractNum>
  <w:abstractNum w:abstractNumId="63">
    <w:multiLevelType w:val="hybridMultilevel"/>
    <w:lvl w:ilvl="0">
      <w:start w:val="1"/>
      <w:numFmt w:val="decimal"/>
      <w:lvlText w:val="%1)"/>
      <w:lvlJc w:val="left"/>
      <w:pPr>
        <w:ind w:left="243" w:hanging="195"/>
        <w:jc w:val="right"/>
      </w:pPr>
      <w:rPr>
        <w:rFonts w:hint="default" w:ascii="Times New Roman" w:hAnsi="Times New Roman" w:eastAsia="Times New Roman" w:cs="Times New Roman"/>
        <w:color w:val="231F20"/>
        <w:spacing w:val="-10"/>
        <w:w w:val="100"/>
        <w:sz w:val="18"/>
        <w:szCs w:val="18"/>
      </w:rPr>
    </w:lvl>
    <w:lvl w:ilvl="1">
      <w:start w:val="0"/>
      <w:numFmt w:val="bullet"/>
      <w:lvlText w:val="•"/>
      <w:lvlJc w:val="left"/>
      <w:pPr>
        <w:ind w:left="771" w:hanging="195"/>
      </w:pPr>
      <w:rPr>
        <w:rFonts w:hint="default"/>
      </w:rPr>
    </w:lvl>
    <w:lvl w:ilvl="2">
      <w:start w:val="0"/>
      <w:numFmt w:val="bullet"/>
      <w:lvlText w:val="•"/>
      <w:lvlJc w:val="left"/>
      <w:pPr>
        <w:ind w:left="1303" w:hanging="195"/>
      </w:pPr>
      <w:rPr>
        <w:rFonts w:hint="default"/>
      </w:rPr>
    </w:lvl>
    <w:lvl w:ilvl="3">
      <w:start w:val="0"/>
      <w:numFmt w:val="bullet"/>
      <w:lvlText w:val="•"/>
      <w:lvlJc w:val="left"/>
      <w:pPr>
        <w:ind w:left="1835" w:hanging="195"/>
      </w:pPr>
      <w:rPr>
        <w:rFonts w:hint="default"/>
      </w:rPr>
    </w:lvl>
    <w:lvl w:ilvl="4">
      <w:start w:val="0"/>
      <w:numFmt w:val="bullet"/>
      <w:lvlText w:val="•"/>
      <w:lvlJc w:val="left"/>
      <w:pPr>
        <w:ind w:left="2367" w:hanging="195"/>
      </w:pPr>
      <w:rPr>
        <w:rFonts w:hint="default"/>
      </w:rPr>
    </w:lvl>
    <w:lvl w:ilvl="5">
      <w:start w:val="0"/>
      <w:numFmt w:val="bullet"/>
      <w:lvlText w:val="•"/>
      <w:lvlJc w:val="left"/>
      <w:pPr>
        <w:ind w:left="2898" w:hanging="195"/>
      </w:pPr>
      <w:rPr>
        <w:rFonts w:hint="default"/>
      </w:rPr>
    </w:lvl>
    <w:lvl w:ilvl="6">
      <w:start w:val="0"/>
      <w:numFmt w:val="bullet"/>
      <w:lvlText w:val="•"/>
      <w:lvlJc w:val="left"/>
      <w:pPr>
        <w:ind w:left="3430" w:hanging="195"/>
      </w:pPr>
      <w:rPr>
        <w:rFonts w:hint="default"/>
      </w:rPr>
    </w:lvl>
    <w:lvl w:ilvl="7">
      <w:start w:val="0"/>
      <w:numFmt w:val="bullet"/>
      <w:lvlText w:val="•"/>
      <w:lvlJc w:val="left"/>
      <w:pPr>
        <w:ind w:left="3962" w:hanging="195"/>
      </w:pPr>
      <w:rPr>
        <w:rFonts w:hint="default"/>
      </w:rPr>
    </w:lvl>
    <w:lvl w:ilvl="8">
      <w:start w:val="0"/>
      <w:numFmt w:val="bullet"/>
      <w:lvlText w:val="•"/>
      <w:lvlJc w:val="left"/>
      <w:pPr>
        <w:ind w:left="4494" w:hanging="195"/>
      </w:pPr>
      <w:rPr>
        <w:rFonts w:hint="default"/>
      </w:rPr>
    </w:lvl>
  </w:abstractNum>
  <w:abstractNum w:abstractNumId="62">
    <w:multiLevelType w:val="hybridMultilevel"/>
    <w:lvl w:ilvl="0">
      <w:start w:val="1"/>
      <w:numFmt w:val="decimal"/>
      <w:lvlText w:val="%1."/>
      <w:lvlJc w:val="left"/>
      <w:pPr>
        <w:ind w:left="453" w:hanging="192"/>
        <w:jc w:val="left"/>
      </w:pPr>
      <w:rPr>
        <w:rFonts w:hint="default" w:ascii="Times New Roman" w:hAnsi="Times New Roman" w:eastAsia="Times New Roman" w:cs="Times New Roman"/>
        <w:color w:val="231F20"/>
        <w:w w:val="100"/>
        <w:sz w:val="18"/>
        <w:szCs w:val="18"/>
      </w:rPr>
    </w:lvl>
    <w:lvl w:ilvl="1">
      <w:start w:val="5"/>
      <w:numFmt w:val="decimal"/>
      <w:lvlText w:val="%2."/>
      <w:lvlJc w:val="left"/>
      <w:pPr>
        <w:ind w:left="1646" w:hanging="180"/>
        <w:jc w:val="right"/>
      </w:pPr>
      <w:rPr>
        <w:rFonts w:hint="default" w:ascii="Times New Roman" w:hAnsi="Times New Roman" w:eastAsia="Times New Roman" w:cs="Times New Roman"/>
        <w:b/>
        <w:bCs/>
        <w:color w:val="231F20"/>
        <w:spacing w:val="-10"/>
        <w:w w:val="100"/>
        <w:sz w:val="18"/>
        <w:szCs w:val="18"/>
      </w:rPr>
    </w:lvl>
    <w:lvl w:ilvl="2">
      <w:start w:val="1"/>
      <w:numFmt w:val="decimal"/>
      <w:lvlText w:val="%2.%3."/>
      <w:lvlJc w:val="left"/>
      <w:pPr>
        <w:ind w:left="2456" w:hanging="315"/>
        <w:jc w:val="right"/>
      </w:pPr>
      <w:rPr>
        <w:rFonts w:hint="default" w:ascii="Times New Roman" w:hAnsi="Times New Roman" w:eastAsia="Times New Roman" w:cs="Times New Roman"/>
        <w:i/>
        <w:color w:val="231F20"/>
        <w:spacing w:val="-9"/>
        <w:w w:val="100"/>
        <w:sz w:val="18"/>
        <w:szCs w:val="18"/>
      </w:rPr>
    </w:lvl>
    <w:lvl w:ilvl="3">
      <w:start w:val="1"/>
      <w:numFmt w:val="decimal"/>
      <w:lvlText w:val="%2.%3.%4."/>
      <w:lvlJc w:val="left"/>
      <w:pPr>
        <w:ind w:left="2128" w:hanging="450"/>
        <w:jc w:val="left"/>
      </w:pPr>
      <w:rPr>
        <w:rFonts w:hint="default" w:ascii="Times New Roman" w:hAnsi="Times New Roman" w:eastAsia="Times New Roman" w:cs="Times New Roman"/>
        <w:color w:val="231F20"/>
        <w:spacing w:val="-2"/>
        <w:w w:val="100"/>
        <w:sz w:val="18"/>
        <w:szCs w:val="18"/>
      </w:rPr>
    </w:lvl>
    <w:lvl w:ilvl="4">
      <w:start w:val="0"/>
      <w:numFmt w:val="bullet"/>
      <w:lvlText w:val="•"/>
      <w:lvlJc w:val="left"/>
      <w:pPr>
        <w:ind w:left="2120" w:hanging="450"/>
      </w:pPr>
      <w:rPr>
        <w:rFonts w:hint="default"/>
      </w:rPr>
    </w:lvl>
    <w:lvl w:ilvl="5">
      <w:start w:val="0"/>
      <w:numFmt w:val="bullet"/>
      <w:lvlText w:val="•"/>
      <w:lvlJc w:val="left"/>
      <w:pPr>
        <w:ind w:left="2240" w:hanging="450"/>
      </w:pPr>
      <w:rPr>
        <w:rFonts w:hint="default"/>
      </w:rPr>
    </w:lvl>
    <w:lvl w:ilvl="6">
      <w:start w:val="0"/>
      <w:numFmt w:val="bullet"/>
      <w:lvlText w:val="•"/>
      <w:lvlJc w:val="left"/>
      <w:pPr>
        <w:ind w:left="2460" w:hanging="450"/>
      </w:pPr>
      <w:rPr>
        <w:rFonts w:hint="default"/>
      </w:rPr>
    </w:lvl>
    <w:lvl w:ilvl="7">
      <w:start w:val="0"/>
      <w:numFmt w:val="bullet"/>
      <w:lvlText w:val="•"/>
      <w:lvlJc w:val="left"/>
      <w:pPr>
        <w:ind w:left="2520" w:hanging="450"/>
      </w:pPr>
      <w:rPr>
        <w:rFonts w:hint="default"/>
      </w:rPr>
    </w:lvl>
    <w:lvl w:ilvl="8">
      <w:start w:val="0"/>
      <w:numFmt w:val="bullet"/>
      <w:lvlText w:val="•"/>
      <w:lvlJc w:val="left"/>
      <w:pPr>
        <w:ind w:left="1585" w:hanging="450"/>
      </w:pPr>
      <w:rPr>
        <w:rFonts w:hint="default"/>
      </w:rPr>
    </w:lvl>
  </w:abstractNum>
  <w:abstractNum w:abstractNumId="61">
    <w:multiLevelType w:val="hybridMultilevel"/>
    <w:lvl w:ilvl="0">
      <w:start w:val="4"/>
      <w:numFmt w:val="decimal"/>
      <w:lvlText w:val="%1"/>
      <w:lvlJc w:val="left"/>
      <w:pPr>
        <w:ind w:left="1391" w:hanging="315"/>
        <w:jc w:val="left"/>
      </w:pPr>
      <w:rPr>
        <w:rFonts w:hint="default"/>
      </w:rPr>
    </w:lvl>
    <w:lvl w:ilvl="1">
      <w:start w:val="6"/>
      <w:numFmt w:val="decimal"/>
      <w:lvlText w:val="%1.%2."/>
      <w:lvlJc w:val="left"/>
      <w:pPr>
        <w:ind w:left="1391" w:hanging="315"/>
        <w:jc w:val="right"/>
      </w:pPr>
      <w:rPr>
        <w:rFonts w:hint="default" w:ascii="Times New Roman" w:hAnsi="Times New Roman" w:eastAsia="Times New Roman" w:cs="Times New Roman"/>
        <w:i/>
        <w:color w:val="231F20"/>
        <w:spacing w:val="-5"/>
        <w:w w:val="100"/>
        <w:sz w:val="18"/>
        <w:szCs w:val="18"/>
      </w:rPr>
    </w:lvl>
    <w:lvl w:ilvl="2">
      <w:start w:val="1"/>
      <w:numFmt w:val="decimal"/>
      <w:lvlText w:val="%1.%2.%3."/>
      <w:lvlJc w:val="left"/>
      <w:pPr>
        <w:ind w:left="1837"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1415" w:hanging="450"/>
      </w:pPr>
      <w:rPr>
        <w:rFonts w:hint="default"/>
      </w:rPr>
    </w:lvl>
    <w:lvl w:ilvl="4">
      <w:start w:val="0"/>
      <w:numFmt w:val="bullet"/>
      <w:lvlText w:val="•"/>
      <w:lvlJc w:val="left"/>
      <w:pPr>
        <w:ind w:left="1202" w:hanging="450"/>
      </w:pPr>
      <w:rPr>
        <w:rFonts w:hint="default"/>
      </w:rPr>
    </w:lvl>
    <w:lvl w:ilvl="5">
      <w:start w:val="0"/>
      <w:numFmt w:val="bullet"/>
      <w:lvlText w:val="•"/>
      <w:lvlJc w:val="left"/>
      <w:pPr>
        <w:ind w:left="990" w:hanging="450"/>
      </w:pPr>
      <w:rPr>
        <w:rFonts w:hint="default"/>
      </w:rPr>
    </w:lvl>
    <w:lvl w:ilvl="6">
      <w:start w:val="0"/>
      <w:numFmt w:val="bullet"/>
      <w:lvlText w:val="•"/>
      <w:lvlJc w:val="left"/>
      <w:pPr>
        <w:ind w:left="778" w:hanging="450"/>
      </w:pPr>
      <w:rPr>
        <w:rFonts w:hint="default"/>
      </w:rPr>
    </w:lvl>
    <w:lvl w:ilvl="7">
      <w:start w:val="0"/>
      <w:numFmt w:val="bullet"/>
      <w:lvlText w:val="•"/>
      <w:lvlJc w:val="left"/>
      <w:pPr>
        <w:ind w:left="565" w:hanging="450"/>
      </w:pPr>
      <w:rPr>
        <w:rFonts w:hint="default"/>
      </w:rPr>
    </w:lvl>
    <w:lvl w:ilvl="8">
      <w:start w:val="0"/>
      <w:numFmt w:val="bullet"/>
      <w:lvlText w:val="•"/>
      <w:lvlJc w:val="left"/>
      <w:pPr>
        <w:ind w:left="353" w:hanging="450"/>
      </w:pPr>
      <w:rPr>
        <w:rFonts w:hint="default"/>
      </w:rPr>
    </w:lvl>
  </w:abstractNum>
  <w:abstractNum w:abstractNumId="60">
    <w:multiLevelType w:val="hybridMultilevel"/>
    <w:lvl w:ilvl="0">
      <w:start w:val="13"/>
      <w:numFmt w:val="decimal"/>
      <w:lvlText w:val="%1"/>
      <w:lvlJc w:val="left"/>
      <w:pPr>
        <w:ind w:left="523" w:hanging="284"/>
        <w:jc w:val="right"/>
      </w:pPr>
      <w:rPr>
        <w:rFonts w:hint="default" w:ascii="Times New Roman" w:hAnsi="Times New Roman" w:eastAsia="Times New Roman" w:cs="Times New Roman"/>
        <w:color w:val="231F20"/>
        <w:spacing w:val="-8"/>
        <w:w w:val="100"/>
        <w:sz w:val="14"/>
        <w:szCs w:val="14"/>
      </w:rPr>
    </w:lvl>
    <w:lvl w:ilvl="1">
      <w:start w:val="1"/>
      <w:numFmt w:val="decimal"/>
      <w:lvlText w:val="%2)"/>
      <w:lvlJc w:val="left"/>
      <w:pPr>
        <w:ind w:left="169" w:hanging="196"/>
        <w:jc w:val="left"/>
      </w:pPr>
      <w:rPr>
        <w:rFonts w:hint="default" w:ascii="Times New Roman" w:hAnsi="Times New Roman" w:eastAsia="Times New Roman" w:cs="Times New Roman"/>
        <w:color w:val="231F20"/>
        <w:spacing w:val="-8"/>
        <w:w w:val="100"/>
        <w:sz w:val="18"/>
        <w:szCs w:val="18"/>
      </w:rPr>
    </w:lvl>
    <w:lvl w:ilvl="2">
      <w:start w:val="0"/>
      <w:numFmt w:val="bullet"/>
      <w:lvlText w:val="•"/>
      <w:lvlJc w:val="left"/>
      <w:pPr>
        <w:ind w:left="660" w:hanging="196"/>
      </w:pPr>
      <w:rPr>
        <w:rFonts w:hint="default"/>
      </w:rPr>
    </w:lvl>
    <w:lvl w:ilvl="3">
      <w:start w:val="0"/>
      <w:numFmt w:val="bullet"/>
      <w:lvlText w:val="•"/>
      <w:lvlJc w:val="left"/>
      <w:pPr>
        <w:ind w:left="541" w:hanging="196"/>
      </w:pPr>
      <w:rPr>
        <w:rFonts w:hint="default"/>
      </w:rPr>
    </w:lvl>
    <w:lvl w:ilvl="4">
      <w:start w:val="0"/>
      <w:numFmt w:val="bullet"/>
      <w:lvlText w:val="•"/>
      <w:lvlJc w:val="left"/>
      <w:pPr>
        <w:ind w:left="423" w:hanging="196"/>
      </w:pPr>
      <w:rPr>
        <w:rFonts w:hint="default"/>
      </w:rPr>
    </w:lvl>
    <w:lvl w:ilvl="5">
      <w:start w:val="0"/>
      <w:numFmt w:val="bullet"/>
      <w:lvlText w:val="•"/>
      <w:lvlJc w:val="left"/>
      <w:pPr>
        <w:ind w:left="305" w:hanging="196"/>
      </w:pPr>
      <w:rPr>
        <w:rFonts w:hint="default"/>
      </w:rPr>
    </w:lvl>
    <w:lvl w:ilvl="6">
      <w:start w:val="0"/>
      <w:numFmt w:val="bullet"/>
      <w:lvlText w:val="•"/>
      <w:lvlJc w:val="left"/>
      <w:pPr>
        <w:ind w:left="187" w:hanging="196"/>
      </w:pPr>
      <w:rPr>
        <w:rFonts w:hint="default"/>
      </w:rPr>
    </w:lvl>
    <w:lvl w:ilvl="7">
      <w:start w:val="0"/>
      <w:numFmt w:val="bullet"/>
      <w:lvlText w:val="•"/>
      <w:lvlJc w:val="left"/>
      <w:pPr>
        <w:ind w:left="69" w:hanging="196"/>
      </w:pPr>
      <w:rPr>
        <w:rFonts w:hint="default"/>
      </w:rPr>
    </w:lvl>
    <w:lvl w:ilvl="8">
      <w:start w:val="0"/>
      <w:numFmt w:val="bullet"/>
      <w:lvlText w:val="•"/>
      <w:lvlJc w:val="left"/>
      <w:pPr>
        <w:ind w:left="-49" w:hanging="196"/>
      </w:pPr>
      <w:rPr>
        <w:rFonts w:hint="default"/>
      </w:rPr>
    </w:lvl>
  </w:abstractNum>
  <w:abstractNum w:abstractNumId="59">
    <w:multiLevelType w:val="hybridMultilevel"/>
    <w:lvl w:ilvl="0">
      <w:start w:val="3"/>
      <w:numFmt w:val="decimal"/>
      <w:lvlText w:val="%1"/>
      <w:lvlJc w:val="left"/>
      <w:pPr>
        <w:ind w:left="2080" w:hanging="315"/>
        <w:jc w:val="left"/>
      </w:pPr>
      <w:rPr>
        <w:rFonts w:hint="default"/>
      </w:rPr>
    </w:lvl>
    <w:lvl w:ilvl="1">
      <w:start w:val="4"/>
      <w:numFmt w:val="decimal"/>
      <w:lvlText w:val="%1.%2."/>
      <w:lvlJc w:val="left"/>
      <w:pPr>
        <w:ind w:left="2080" w:hanging="315"/>
        <w:jc w:val="left"/>
      </w:pPr>
      <w:rPr>
        <w:rFonts w:hint="default" w:ascii="Times New Roman" w:hAnsi="Times New Roman" w:eastAsia="Times New Roman" w:cs="Times New Roman"/>
        <w:i/>
        <w:color w:val="231F20"/>
        <w:spacing w:val="-5"/>
        <w:w w:val="100"/>
        <w:sz w:val="18"/>
        <w:szCs w:val="18"/>
      </w:rPr>
    </w:lvl>
    <w:lvl w:ilvl="2">
      <w:start w:val="1"/>
      <w:numFmt w:val="decimal"/>
      <w:lvlText w:val="%1.%2.%3."/>
      <w:lvlJc w:val="left"/>
      <w:pPr>
        <w:ind w:left="1886" w:hanging="450"/>
        <w:jc w:val="right"/>
      </w:pPr>
      <w:rPr>
        <w:rFonts w:hint="default" w:ascii="Times New Roman" w:hAnsi="Times New Roman" w:eastAsia="Times New Roman" w:cs="Times New Roman"/>
        <w:color w:val="231F20"/>
        <w:spacing w:val="-2"/>
        <w:w w:val="100"/>
        <w:sz w:val="18"/>
        <w:szCs w:val="18"/>
      </w:rPr>
    </w:lvl>
    <w:lvl w:ilvl="3">
      <w:start w:val="0"/>
      <w:numFmt w:val="bullet"/>
      <w:lvlText w:val="•"/>
      <w:lvlJc w:val="left"/>
      <w:pPr>
        <w:ind w:left="2853" w:hanging="450"/>
      </w:pPr>
      <w:rPr>
        <w:rFonts w:hint="default"/>
      </w:rPr>
    </w:lvl>
    <w:lvl w:ilvl="4">
      <w:start w:val="0"/>
      <w:numFmt w:val="bullet"/>
      <w:lvlText w:val="•"/>
      <w:lvlJc w:val="left"/>
      <w:pPr>
        <w:ind w:left="3239" w:hanging="450"/>
      </w:pPr>
      <w:rPr>
        <w:rFonts w:hint="default"/>
      </w:rPr>
    </w:lvl>
    <w:lvl w:ilvl="5">
      <w:start w:val="0"/>
      <w:numFmt w:val="bullet"/>
      <w:lvlText w:val="•"/>
      <w:lvlJc w:val="left"/>
      <w:pPr>
        <w:ind w:left="3626" w:hanging="450"/>
      </w:pPr>
      <w:rPr>
        <w:rFonts w:hint="default"/>
      </w:rPr>
    </w:lvl>
    <w:lvl w:ilvl="6">
      <w:start w:val="0"/>
      <w:numFmt w:val="bullet"/>
      <w:lvlText w:val="•"/>
      <w:lvlJc w:val="left"/>
      <w:pPr>
        <w:ind w:left="4013" w:hanging="450"/>
      </w:pPr>
      <w:rPr>
        <w:rFonts w:hint="default"/>
      </w:rPr>
    </w:lvl>
    <w:lvl w:ilvl="7">
      <w:start w:val="0"/>
      <w:numFmt w:val="bullet"/>
      <w:lvlText w:val="•"/>
      <w:lvlJc w:val="left"/>
      <w:pPr>
        <w:ind w:left="4399" w:hanging="450"/>
      </w:pPr>
      <w:rPr>
        <w:rFonts w:hint="default"/>
      </w:rPr>
    </w:lvl>
    <w:lvl w:ilvl="8">
      <w:start w:val="0"/>
      <w:numFmt w:val="bullet"/>
      <w:lvlText w:val="•"/>
      <w:lvlJc w:val="left"/>
      <w:pPr>
        <w:ind w:left="4786" w:hanging="450"/>
      </w:pPr>
      <w:rPr>
        <w:rFonts w:hint="default"/>
      </w:rPr>
    </w:lvl>
  </w:abstractNum>
  <w:abstractNum w:abstractNumId="58">
    <w:multiLevelType w:val="hybridMultilevel"/>
    <w:lvl w:ilvl="0">
      <w:start w:val="3"/>
      <w:numFmt w:val="decimal"/>
      <w:lvlText w:val="%1"/>
      <w:lvlJc w:val="left"/>
      <w:pPr>
        <w:ind w:left="567" w:hanging="450"/>
        <w:jc w:val="left"/>
      </w:pPr>
      <w:rPr>
        <w:rFonts w:hint="default"/>
      </w:rPr>
    </w:lvl>
    <w:lvl w:ilvl="1">
      <w:start w:val="3"/>
      <w:numFmt w:val="decimal"/>
      <w:lvlText w:val="%1.%2"/>
      <w:lvlJc w:val="left"/>
      <w:pPr>
        <w:ind w:left="567" w:hanging="450"/>
        <w:jc w:val="left"/>
      </w:pPr>
      <w:rPr>
        <w:rFonts w:hint="default"/>
      </w:rPr>
    </w:lvl>
    <w:lvl w:ilvl="2">
      <w:start w:val="1"/>
      <w:numFmt w:val="decimal"/>
      <w:lvlText w:val="%1.%2.%3."/>
      <w:lvlJc w:val="left"/>
      <w:pPr>
        <w:ind w:left="567" w:hanging="450"/>
        <w:jc w:val="right"/>
      </w:pPr>
      <w:rPr>
        <w:rFonts w:hint="default" w:ascii="Times New Roman" w:hAnsi="Times New Roman" w:eastAsia="Times New Roman" w:cs="Times New Roman"/>
        <w:color w:val="231F20"/>
        <w:spacing w:val="-11"/>
        <w:w w:val="100"/>
        <w:sz w:val="18"/>
        <w:szCs w:val="18"/>
      </w:rPr>
    </w:lvl>
    <w:lvl w:ilvl="3">
      <w:start w:val="0"/>
      <w:numFmt w:val="bullet"/>
      <w:lvlText w:val="•"/>
      <w:lvlJc w:val="left"/>
      <w:pPr>
        <w:ind w:left="1986" w:hanging="450"/>
      </w:pPr>
      <w:rPr>
        <w:rFonts w:hint="default"/>
      </w:rPr>
    </w:lvl>
    <w:lvl w:ilvl="4">
      <w:start w:val="0"/>
      <w:numFmt w:val="bullet"/>
      <w:lvlText w:val="•"/>
      <w:lvlJc w:val="left"/>
      <w:pPr>
        <w:ind w:left="2461" w:hanging="450"/>
      </w:pPr>
      <w:rPr>
        <w:rFonts w:hint="default"/>
      </w:rPr>
    </w:lvl>
    <w:lvl w:ilvl="5">
      <w:start w:val="0"/>
      <w:numFmt w:val="bullet"/>
      <w:lvlText w:val="•"/>
      <w:lvlJc w:val="left"/>
      <w:pPr>
        <w:ind w:left="2937" w:hanging="450"/>
      </w:pPr>
      <w:rPr>
        <w:rFonts w:hint="default"/>
      </w:rPr>
    </w:lvl>
    <w:lvl w:ilvl="6">
      <w:start w:val="0"/>
      <w:numFmt w:val="bullet"/>
      <w:lvlText w:val="•"/>
      <w:lvlJc w:val="left"/>
      <w:pPr>
        <w:ind w:left="3412" w:hanging="450"/>
      </w:pPr>
      <w:rPr>
        <w:rFonts w:hint="default"/>
      </w:rPr>
    </w:lvl>
    <w:lvl w:ilvl="7">
      <w:start w:val="0"/>
      <w:numFmt w:val="bullet"/>
      <w:lvlText w:val="•"/>
      <w:lvlJc w:val="left"/>
      <w:pPr>
        <w:ind w:left="3888" w:hanging="450"/>
      </w:pPr>
      <w:rPr>
        <w:rFonts w:hint="default"/>
      </w:rPr>
    </w:lvl>
    <w:lvl w:ilvl="8">
      <w:start w:val="0"/>
      <w:numFmt w:val="bullet"/>
      <w:lvlText w:val="•"/>
      <w:lvlJc w:val="left"/>
      <w:pPr>
        <w:ind w:left="4363" w:hanging="450"/>
      </w:pPr>
      <w:rPr>
        <w:rFonts w:hint="default"/>
      </w:rPr>
    </w:lvl>
  </w:abstractNum>
  <w:abstractNum w:abstractNumId="57">
    <w:multiLevelType w:val="hybridMultilevel"/>
    <w:lvl w:ilvl="0">
      <w:start w:val="3"/>
      <w:numFmt w:val="decimal"/>
      <w:lvlText w:val="%1"/>
      <w:lvlJc w:val="left"/>
      <w:pPr>
        <w:ind w:left="2754" w:hanging="450"/>
        <w:jc w:val="left"/>
      </w:pPr>
      <w:rPr>
        <w:rFonts w:hint="default"/>
      </w:rPr>
    </w:lvl>
    <w:lvl w:ilvl="1">
      <w:start w:val="2"/>
      <w:numFmt w:val="decimal"/>
      <w:lvlText w:val="%1.%2"/>
      <w:lvlJc w:val="left"/>
      <w:pPr>
        <w:ind w:left="2754" w:hanging="450"/>
        <w:jc w:val="left"/>
      </w:pPr>
      <w:rPr>
        <w:rFonts w:hint="default"/>
      </w:rPr>
    </w:lvl>
    <w:lvl w:ilvl="2">
      <w:start w:val="1"/>
      <w:numFmt w:val="decimal"/>
      <w:lvlText w:val="%1.%2.%3."/>
      <w:lvlJc w:val="left"/>
      <w:pPr>
        <w:ind w:left="2754"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3598" w:hanging="450"/>
      </w:pPr>
      <w:rPr>
        <w:rFonts w:hint="default"/>
      </w:rPr>
    </w:lvl>
    <w:lvl w:ilvl="4">
      <w:start w:val="0"/>
      <w:numFmt w:val="bullet"/>
      <w:lvlText w:val="•"/>
      <w:lvlJc w:val="left"/>
      <w:pPr>
        <w:ind w:left="3878" w:hanging="450"/>
      </w:pPr>
      <w:rPr>
        <w:rFonts w:hint="default"/>
      </w:rPr>
    </w:lvl>
    <w:lvl w:ilvl="5">
      <w:start w:val="0"/>
      <w:numFmt w:val="bullet"/>
      <w:lvlText w:val="•"/>
      <w:lvlJc w:val="left"/>
      <w:pPr>
        <w:ind w:left="4158" w:hanging="450"/>
      </w:pPr>
      <w:rPr>
        <w:rFonts w:hint="default"/>
      </w:rPr>
    </w:lvl>
    <w:lvl w:ilvl="6">
      <w:start w:val="0"/>
      <w:numFmt w:val="bullet"/>
      <w:lvlText w:val="•"/>
      <w:lvlJc w:val="left"/>
      <w:pPr>
        <w:ind w:left="4437" w:hanging="450"/>
      </w:pPr>
      <w:rPr>
        <w:rFonts w:hint="default"/>
      </w:rPr>
    </w:lvl>
    <w:lvl w:ilvl="7">
      <w:start w:val="0"/>
      <w:numFmt w:val="bullet"/>
      <w:lvlText w:val="•"/>
      <w:lvlJc w:val="left"/>
      <w:pPr>
        <w:ind w:left="4717" w:hanging="450"/>
      </w:pPr>
      <w:rPr>
        <w:rFonts w:hint="default"/>
      </w:rPr>
    </w:lvl>
    <w:lvl w:ilvl="8">
      <w:start w:val="0"/>
      <w:numFmt w:val="bullet"/>
      <w:lvlText w:val="•"/>
      <w:lvlJc w:val="left"/>
      <w:pPr>
        <w:ind w:left="4996" w:hanging="450"/>
      </w:pPr>
      <w:rPr>
        <w:rFonts w:hint="default"/>
      </w:rPr>
    </w:lvl>
  </w:abstractNum>
  <w:abstractNum w:abstractNumId="56">
    <w:multiLevelType w:val="hybridMultilevel"/>
    <w:lvl w:ilvl="0">
      <w:start w:val="2"/>
      <w:numFmt w:val="decimal"/>
      <w:lvlText w:val="%1"/>
      <w:lvlJc w:val="left"/>
      <w:pPr>
        <w:ind w:left="1797" w:hanging="315"/>
        <w:jc w:val="left"/>
      </w:pPr>
      <w:rPr>
        <w:rFonts w:hint="default"/>
      </w:rPr>
    </w:lvl>
    <w:lvl w:ilvl="1">
      <w:start w:val="6"/>
      <w:numFmt w:val="decimal"/>
      <w:lvlText w:val="%1.%2."/>
      <w:lvlJc w:val="left"/>
      <w:pPr>
        <w:ind w:left="1797" w:hanging="315"/>
        <w:jc w:val="left"/>
      </w:pPr>
      <w:rPr>
        <w:rFonts w:hint="default" w:ascii="Times New Roman" w:hAnsi="Times New Roman" w:eastAsia="Times New Roman" w:cs="Times New Roman"/>
        <w:i/>
        <w:color w:val="231F20"/>
        <w:spacing w:val="-5"/>
        <w:w w:val="100"/>
        <w:sz w:val="18"/>
        <w:szCs w:val="18"/>
      </w:rPr>
    </w:lvl>
    <w:lvl w:ilvl="2">
      <w:start w:val="1"/>
      <w:numFmt w:val="decimal"/>
      <w:lvlText w:val="%1.%2.%3."/>
      <w:lvlJc w:val="left"/>
      <w:pPr>
        <w:ind w:left="1603" w:hanging="450"/>
        <w:jc w:val="right"/>
      </w:pPr>
      <w:rPr>
        <w:rFonts w:hint="default" w:ascii="Times New Roman" w:hAnsi="Times New Roman" w:eastAsia="Times New Roman" w:cs="Times New Roman"/>
        <w:color w:val="231F20"/>
        <w:spacing w:val="-2"/>
        <w:w w:val="100"/>
        <w:sz w:val="18"/>
        <w:szCs w:val="18"/>
      </w:rPr>
    </w:lvl>
    <w:lvl w:ilvl="3">
      <w:start w:val="0"/>
      <w:numFmt w:val="bullet"/>
      <w:lvlText w:val="•"/>
      <w:lvlJc w:val="left"/>
      <w:pPr>
        <w:ind w:left="2580" w:hanging="450"/>
      </w:pPr>
      <w:rPr>
        <w:rFonts w:hint="default"/>
      </w:rPr>
    </w:lvl>
    <w:lvl w:ilvl="4">
      <w:start w:val="0"/>
      <w:numFmt w:val="bullet"/>
      <w:lvlText w:val="•"/>
      <w:lvlJc w:val="left"/>
      <w:pPr>
        <w:ind w:left="2971" w:hanging="450"/>
      </w:pPr>
      <w:rPr>
        <w:rFonts w:hint="default"/>
      </w:rPr>
    </w:lvl>
    <w:lvl w:ilvl="5">
      <w:start w:val="0"/>
      <w:numFmt w:val="bullet"/>
      <w:lvlText w:val="•"/>
      <w:lvlJc w:val="left"/>
      <w:pPr>
        <w:ind w:left="3361" w:hanging="450"/>
      </w:pPr>
      <w:rPr>
        <w:rFonts w:hint="default"/>
      </w:rPr>
    </w:lvl>
    <w:lvl w:ilvl="6">
      <w:start w:val="0"/>
      <w:numFmt w:val="bullet"/>
      <w:lvlText w:val="•"/>
      <w:lvlJc w:val="left"/>
      <w:pPr>
        <w:ind w:left="3752" w:hanging="450"/>
      </w:pPr>
      <w:rPr>
        <w:rFonts w:hint="default"/>
      </w:rPr>
    </w:lvl>
    <w:lvl w:ilvl="7">
      <w:start w:val="0"/>
      <w:numFmt w:val="bullet"/>
      <w:lvlText w:val="•"/>
      <w:lvlJc w:val="left"/>
      <w:pPr>
        <w:ind w:left="4142" w:hanging="450"/>
      </w:pPr>
      <w:rPr>
        <w:rFonts w:hint="default"/>
      </w:rPr>
    </w:lvl>
    <w:lvl w:ilvl="8">
      <w:start w:val="0"/>
      <w:numFmt w:val="bullet"/>
      <w:lvlText w:val="•"/>
      <w:lvlJc w:val="left"/>
      <w:pPr>
        <w:ind w:left="4533" w:hanging="450"/>
      </w:pPr>
      <w:rPr>
        <w:rFonts w:hint="default"/>
      </w:rPr>
    </w:lvl>
  </w:abstractNum>
  <w:abstractNum w:abstractNumId="55">
    <w:multiLevelType w:val="hybridMultilevel"/>
    <w:lvl w:ilvl="0">
      <w:start w:val="2"/>
      <w:numFmt w:val="decimal"/>
      <w:lvlText w:val="%1"/>
      <w:lvlJc w:val="left"/>
      <w:pPr>
        <w:ind w:left="2340" w:hanging="450"/>
        <w:jc w:val="left"/>
      </w:pPr>
      <w:rPr>
        <w:rFonts w:hint="default"/>
      </w:rPr>
    </w:lvl>
    <w:lvl w:ilvl="1">
      <w:start w:val="5"/>
      <w:numFmt w:val="decimal"/>
      <w:lvlText w:val="%1.%2"/>
      <w:lvlJc w:val="left"/>
      <w:pPr>
        <w:ind w:left="2340" w:hanging="450"/>
        <w:jc w:val="left"/>
      </w:pPr>
      <w:rPr>
        <w:rFonts w:hint="default"/>
      </w:rPr>
    </w:lvl>
    <w:lvl w:ilvl="2">
      <w:start w:val="1"/>
      <w:numFmt w:val="decimal"/>
      <w:lvlText w:val="%1.%2.%3."/>
      <w:lvlJc w:val="left"/>
      <w:pPr>
        <w:ind w:left="2340"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3279" w:hanging="450"/>
      </w:pPr>
      <w:rPr>
        <w:rFonts w:hint="default"/>
      </w:rPr>
    </w:lvl>
    <w:lvl w:ilvl="4">
      <w:start w:val="0"/>
      <w:numFmt w:val="bullet"/>
      <w:lvlText w:val="•"/>
      <w:lvlJc w:val="left"/>
      <w:pPr>
        <w:ind w:left="3592" w:hanging="450"/>
      </w:pPr>
      <w:rPr>
        <w:rFonts w:hint="default"/>
      </w:rPr>
    </w:lvl>
    <w:lvl w:ilvl="5">
      <w:start w:val="0"/>
      <w:numFmt w:val="bullet"/>
      <w:lvlText w:val="•"/>
      <w:lvlJc w:val="left"/>
      <w:pPr>
        <w:ind w:left="3906" w:hanging="450"/>
      </w:pPr>
      <w:rPr>
        <w:rFonts w:hint="default"/>
      </w:rPr>
    </w:lvl>
    <w:lvl w:ilvl="6">
      <w:start w:val="0"/>
      <w:numFmt w:val="bullet"/>
      <w:lvlText w:val="•"/>
      <w:lvlJc w:val="left"/>
      <w:pPr>
        <w:ind w:left="4219" w:hanging="450"/>
      </w:pPr>
      <w:rPr>
        <w:rFonts w:hint="default"/>
      </w:rPr>
    </w:lvl>
    <w:lvl w:ilvl="7">
      <w:start w:val="0"/>
      <w:numFmt w:val="bullet"/>
      <w:lvlText w:val="•"/>
      <w:lvlJc w:val="left"/>
      <w:pPr>
        <w:ind w:left="4532" w:hanging="450"/>
      </w:pPr>
      <w:rPr>
        <w:rFonts w:hint="default"/>
      </w:rPr>
    </w:lvl>
    <w:lvl w:ilvl="8">
      <w:start w:val="0"/>
      <w:numFmt w:val="bullet"/>
      <w:lvlText w:val="•"/>
      <w:lvlJc w:val="left"/>
      <w:pPr>
        <w:ind w:left="4845" w:hanging="450"/>
      </w:pPr>
      <w:rPr>
        <w:rFonts w:hint="default"/>
      </w:rPr>
    </w:lvl>
  </w:abstractNum>
  <w:abstractNum w:abstractNumId="54">
    <w:multiLevelType w:val="hybridMultilevel"/>
    <w:lvl w:ilvl="0">
      <w:start w:val="1"/>
      <w:numFmt w:val="decimal"/>
      <w:lvlText w:val="%1"/>
      <w:lvlJc w:val="left"/>
      <w:pPr>
        <w:ind w:left="2358" w:hanging="450"/>
        <w:jc w:val="left"/>
      </w:pPr>
      <w:rPr>
        <w:rFonts w:hint="default"/>
      </w:rPr>
    </w:lvl>
    <w:lvl w:ilvl="1">
      <w:start w:val="5"/>
      <w:numFmt w:val="decimal"/>
      <w:lvlText w:val="%1.%2"/>
      <w:lvlJc w:val="left"/>
      <w:pPr>
        <w:ind w:left="2358" w:hanging="450"/>
        <w:jc w:val="left"/>
      </w:pPr>
      <w:rPr>
        <w:rFonts w:hint="default"/>
      </w:rPr>
    </w:lvl>
    <w:lvl w:ilvl="2">
      <w:start w:val="1"/>
      <w:numFmt w:val="decimal"/>
      <w:lvlText w:val="%1.%2.%3."/>
      <w:lvlJc w:val="left"/>
      <w:pPr>
        <w:ind w:left="2358" w:hanging="450"/>
        <w:jc w:val="right"/>
      </w:pPr>
      <w:rPr>
        <w:rFonts w:hint="default" w:ascii="Times New Roman" w:hAnsi="Times New Roman" w:eastAsia="Times New Roman" w:cs="Times New Roman"/>
        <w:color w:val="231F20"/>
        <w:spacing w:val="-24"/>
        <w:w w:val="100"/>
        <w:sz w:val="18"/>
        <w:szCs w:val="18"/>
      </w:rPr>
    </w:lvl>
    <w:lvl w:ilvl="3">
      <w:start w:val="0"/>
      <w:numFmt w:val="bullet"/>
      <w:lvlText w:val="•"/>
      <w:lvlJc w:val="left"/>
      <w:pPr>
        <w:ind w:left="3246" w:hanging="450"/>
      </w:pPr>
      <w:rPr>
        <w:rFonts w:hint="default"/>
      </w:rPr>
    </w:lvl>
    <w:lvl w:ilvl="4">
      <w:start w:val="0"/>
      <w:numFmt w:val="bullet"/>
      <w:lvlText w:val="•"/>
      <w:lvlJc w:val="left"/>
      <w:pPr>
        <w:ind w:left="3541" w:hanging="450"/>
      </w:pPr>
      <w:rPr>
        <w:rFonts w:hint="default"/>
      </w:rPr>
    </w:lvl>
    <w:lvl w:ilvl="5">
      <w:start w:val="0"/>
      <w:numFmt w:val="bullet"/>
      <w:lvlText w:val="•"/>
      <w:lvlJc w:val="left"/>
      <w:pPr>
        <w:ind w:left="3837" w:hanging="450"/>
      </w:pPr>
      <w:rPr>
        <w:rFonts w:hint="default"/>
      </w:rPr>
    </w:lvl>
    <w:lvl w:ilvl="6">
      <w:start w:val="0"/>
      <w:numFmt w:val="bullet"/>
      <w:lvlText w:val="•"/>
      <w:lvlJc w:val="left"/>
      <w:pPr>
        <w:ind w:left="4132" w:hanging="450"/>
      </w:pPr>
      <w:rPr>
        <w:rFonts w:hint="default"/>
      </w:rPr>
    </w:lvl>
    <w:lvl w:ilvl="7">
      <w:start w:val="0"/>
      <w:numFmt w:val="bullet"/>
      <w:lvlText w:val="•"/>
      <w:lvlJc w:val="left"/>
      <w:pPr>
        <w:ind w:left="4428" w:hanging="450"/>
      </w:pPr>
      <w:rPr>
        <w:rFonts w:hint="default"/>
      </w:rPr>
    </w:lvl>
    <w:lvl w:ilvl="8">
      <w:start w:val="0"/>
      <w:numFmt w:val="bullet"/>
      <w:lvlText w:val="•"/>
      <w:lvlJc w:val="left"/>
      <w:pPr>
        <w:ind w:left="4723" w:hanging="450"/>
      </w:pPr>
      <w:rPr>
        <w:rFonts w:hint="default"/>
      </w:rPr>
    </w:lvl>
  </w:abstractNum>
  <w:abstractNum w:abstractNumId="53">
    <w:multiLevelType w:val="hybridMultilevel"/>
    <w:lvl w:ilvl="0">
      <w:start w:val="1"/>
      <w:numFmt w:val="decimal"/>
      <w:lvlText w:val="%1"/>
      <w:lvlJc w:val="left"/>
      <w:pPr>
        <w:ind w:left="2177" w:hanging="315"/>
        <w:jc w:val="left"/>
      </w:pPr>
      <w:rPr>
        <w:rFonts w:hint="default"/>
      </w:rPr>
    </w:lvl>
    <w:lvl w:ilvl="1">
      <w:start w:val="5"/>
      <w:numFmt w:val="decimal"/>
      <w:lvlText w:val="%1.%2."/>
      <w:lvlJc w:val="left"/>
      <w:pPr>
        <w:ind w:left="2177" w:hanging="315"/>
        <w:jc w:val="right"/>
      </w:pPr>
      <w:rPr>
        <w:rFonts w:hint="default" w:ascii="Times New Roman" w:hAnsi="Times New Roman" w:eastAsia="Times New Roman" w:cs="Times New Roman"/>
        <w:i/>
        <w:color w:val="231F20"/>
        <w:spacing w:val="-1"/>
        <w:w w:val="100"/>
        <w:sz w:val="18"/>
        <w:szCs w:val="18"/>
      </w:rPr>
    </w:lvl>
    <w:lvl w:ilvl="2">
      <w:start w:val="1"/>
      <w:numFmt w:val="decimal"/>
      <w:lvlText w:val="%1.%2.%3."/>
      <w:lvlJc w:val="left"/>
      <w:pPr>
        <w:ind w:left="1837" w:hanging="450"/>
        <w:jc w:val="lef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1679" w:hanging="450"/>
      </w:pPr>
      <w:rPr>
        <w:rFonts w:hint="default"/>
      </w:rPr>
    </w:lvl>
    <w:lvl w:ilvl="4">
      <w:start w:val="0"/>
      <w:numFmt w:val="bullet"/>
      <w:lvlText w:val="•"/>
      <w:lvlJc w:val="left"/>
      <w:pPr>
        <w:ind w:left="1429" w:hanging="450"/>
      </w:pPr>
      <w:rPr>
        <w:rFonts w:hint="default"/>
      </w:rPr>
    </w:lvl>
    <w:lvl w:ilvl="5">
      <w:start w:val="0"/>
      <w:numFmt w:val="bullet"/>
      <w:lvlText w:val="•"/>
      <w:lvlJc w:val="left"/>
      <w:pPr>
        <w:ind w:left="1179" w:hanging="450"/>
      </w:pPr>
      <w:rPr>
        <w:rFonts w:hint="default"/>
      </w:rPr>
    </w:lvl>
    <w:lvl w:ilvl="6">
      <w:start w:val="0"/>
      <w:numFmt w:val="bullet"/>
      <w:lvlText w:val="•"/>
      <w:lvlJc w:val="left"/>
      <w:pPr>
        <w:ind w:left="929" w:hanging="450"/>
      </w:pPr>
      <w:rPr>
        <w:rFonts w:hint="default"/>
      </w:rPr>
    </w:lvl>
    <w:lvl w:ilvl="7">
      <w:start w:val="0"/>
      <w:numFmt w:val="bullet"/>
      <w:lvlText w:val="•"/>
      <w:lvlJc w:val="left"/>
      <w:pPr>
        <w:ind w:left="679" w:hanging="450"/>
      </w:pPr>
      <w:rPr>
        <w:rFonts w:hint="default"/>
      </w:rPr>
    </w:lvl>
    <w:lvl w:ilvl="8">
      <w:start w:val="0"/>
      <w:numFmt w:val="bullet"/>
      <w:lvlText w:val="•"/>
      <w:lvlJc w:val="left"/>
      <w:pPr>
        <w:ind w:left="429" w:hanging="450"/>
      </w:pPr>
      <w:rPr>
        <w:rFonts w:hint="default"/>
      </w:rPr>
    </w:lvl>
  </w:abstractNum>
  <w:abstractNum w:abstractNumId="52">
    <w:multiLevelType w:val="hybridMultilevel"/>
    <w:lvl w:ilvl="0">
      <w:start w:val="1"/>
      <w:numFmt w:val="decimal"/>
      <w:lvlText w:val="%1"/>
      <w:lvlJc w:val="left"/>
      <w:pPr>
        <w:ind w:left="2474" w:hanging="450"/>
        <w:jc w:val="left"/>
      </w:pPr>
      <w:rPr>
        <w:rFonts w:hint="default"/>
      </w:rPr>
    </w:lvl>
    <w:lvl w:ilvl="1">
      <w:start w:val="4"/>
      <w:numFmt w:val="decimal"/>
      <w:lvlText w:val="%1.%2"/>
      <w:lvlJc w:val="left"/>
      <w:pPr>
        <w:ind w:left="2474" w:hanging="450"/>
        <w:jc w:val="left"/>
      </w:pPr>
      <w:rPr>
        <w:rFonts w:hint="default"/>
      </w:rPr>
    </w:lvl>
    <w:lvl w:ilvl="2">
      <w:start w:val="1"/>
      <w:numFmt w:val="decimal"/>
      <w:lvlText w:val="%1.%2.%3."/>
      <w:lvlJc w:val="left"/>
      <w:pPr>
        <w:ind w:left="2474" w:hanging="450"/>
        <w:jc w:val="right"/>
      </w:pPr>
      <w:rPr>
        <w:rFonts w:hint="default" w:ascii="Times New Roman" w:hAnsi="Times New Roman" w:eastAsia="Times New Roman" w:cs="Times New Roman"/>
        <w:color w:val="231F20"/>
        <w:spacing w:val="-22"/>
        <w:w w:val="100"/>
        <w:sz w:val="18"/>
        <w:szCs w:val="18"/>
      </w:rPr>
    </w:lvl>
    <w:lvl w:ilvl="3">
      <w:start w:val="1"/>
      <w:numFmt w:val="decimal"/>
      <w:lvlText w:val="%4)"/>
      <w:lvlJc w:val="left"/>
      <w:pPr>
        <w:ind w:left="240" w:hanging="219"/>
        <w:jc w:val="right"/>
      </w:pPr>
      <w:rPr>
        <w:rFonts w:hint="default" w:ascii="Times New Roman" w:hAnsi="Times New Roman" w:eastAsia="Times New Roman" w:cs="Times New Roman"/>
        <w:color w:val="231F20"/>
        <w:spacing w:val="-22"/>
        <w:w w:val="66"/>
        <w:sz w:val="18"/>
        <w:szCs w:val="18"/>
      </w:rPr>
    </w:lvl>
    <w:lvl w:ilvl="4">
      <w:start w:val="0"/>
      <w:numFmt w:val="bullet"/>
      <w:lvlText w:val="•"/>
      <w:lvlJc w:val="left"/>
      <w:pPr>
        <w:ind w:left="3478" w:hanging="219"/>
      </w:pPr>
      <w:rPr>
        <w:rFonts w:hint="default"/>
      </w:rPr>
    </w:lvl>
    <w:lvl w:ilvl="5">
      <w:start w:val="0"/>
      <w:numFmt w:val="bullet"/>
      <w:lvlText w:val="•"/>
      <w:lvlJc w:val="left"/>
      <w:pPr>
        <w:ind w:left="3810" w:hanging="219"/>
      </w:pPr>
      <w:rPr>
        <w:rFonts w:hint="default"/>
      </w:rPr>
    </w:lvl>
    <w:lvl w:ilvl="6">
      <w:start w:val="0"/>
      <w:numFmt w:val="bullet"/>
      <w:lvlText w:val="•"/>
      <w:lvlJc w:val="left"/>
      <w:pPr>
        <w:ind w:left="4143" w:hanging="219"/>
      </w:pPr>
      <w:rPr>
        <w:rFonts w:hint="default"/>
      </w:rPr>
    </w:lvl>
    <w:lvl w:ilvl="7">
      <w:start w:val="0"/>
      <w:numFmt w:val="bullet"/>
      <w:lvlText w:val="•"/>
      <w:lvlJc w:val="left"/>
      <w:pPr>
        <w:ind w:left="4476" w:hanging="219"/>
      </w:pPr>
      <w:rPr>
        <w:rFonts w:hint="default"/>
      </w:rPr>
    </w:lvl>
    <w:lvl w:ilvl="8">
      <w:start w:val="0"/>
      <w:numFmt w:val="bullet"/>
      <w:lvlText w:val="•"/>
      <w:lvlJc w:val="left"/>
      <w:pPr>
        <w:ind w:left="4808" w:hanging="219"/>
      </w:pPr>
      <w:rPr>
        <w:rFonts w:hint="default"/>
      </w:rPr>
    </w:lvl>
  </w:abstractNum>
  <w:abstractNum w:abstractNumId="51">
    <w:multiLevelType w:val="hybridMultilevel"/>
    <w:lvl w:ilvl="0">
      <w:start w:val="1"/>
      <w:numFmt w:val="upperRoman"/>
      <w:lvlText w:val="%1."/>
      <w:lvlJc w:val="left"/>
      <w:pPr>
        <w:ind w:left="841" w:hanging="160"/>
        <w:jc w:val="left"/>
      </w:pPr>
      <w:rPr>
        <w:rFonts w:hint="default" w:ascii="Times New Roman" w:hAnsi="Times New Roman" w:eastAsia="Times New Roman" w:cs="Times New Roman"/>
        <w:b/>
        <w:bCs/>
        <w:color w:val="231F20"/>
        <w:spacing w:val="-1"/>
        <w:w w:val="100"/>
        <w:sz w:val="18"/>
        <w:szCs w:val="18"/>
      </w:rPr>
    </w:lvl>
    <w:lvl w:ilvl="1">
      <w:start w:val="1"/>
      <w:numFmt w:val="decimal"/>
      <w:lvlText w:val="%2."/>
      <w:lvlJc w:val="left"/>
      <w:pPr>
        <w:ind w:left="1755" w:hanging="180"/>
        <w:jc w:val="right"/>
      </w:pPr>
      <w:rPr>
        <w:rFonts w:hint="default" w:ascii="Times New Roman" w:hAnsi="Times New Roman" w:eastAsia="Times New Roman" w:cs="Times New Roman"/>
        <w:b/>
        <w:bCs/>
        <w:color w:val="231F20"/>
        <w:spacing w:val="-10"/>
        <w:w w:val="100"/>
        <w:sz w:val="18"/>
        <w:szCs w:val="18"/>
      </w:rPr>
    </w:lvl>
    <w:lvl w:ilvl="2">
      <w:start w:val="1"/>
      <w:numFmt w:val="decimal"/>
      <w:lvlText w:val="%2.%3."/>
      <w:lvlJc w:val="left"/>
      <w:pPr>
        <w:ind w:left="1649" w:hanging="315"/>
        <w:jc w:val="right"/>
      </w:pPr>
      <w:rPr>
        <w:rFonts w:hint="default" w:ascii="Times New Roman" w:hAnsi="Times New Roman" w:eastAsia="Times New Roman" w:cs="Times New Roman"/>
        <w:i/>
        <w:color w:val="231F20"/>
        <w:spacing w:val="-9"/>
        <w:w w:val="100"/>
        <w:sz w:val="18"/>
        <w:szCs w:val="18"/>
      </w:rPr>
    </w:lvl>
    <w:lvl w:ilvl="3">
      <w:start w:val="1"/>
      <w:numFmt w:val="decimal"/>
      <w:lvlText w:val="%2.%3.%4."/>
      <w:lvlJc w:val="left"/>
      <w:pPr>
        <w:ind w:left="1577" w:hanging="450"/>
        <w:jc w:val="right"/>
      </w:pPr>
      <w:rPr>
        <w:rFonts w:hint="default" w:ascii="Times New Roman" w:hAnsi="Times New Roman" w:eastAsia="Times New Roman" w:cs="Times New Roman"/>
        <w:color w:val="231F20"/>
        <w:spacing w:val="-24"/>
        <w:w w:val="100"/>
        <w:sz w:val="18"/>
        <w:szCs w:val="18"/>
      </w:rPr>
    </w:lvl>
    <w:lvl w:ilvl="4">
      <w:start w:val="0"/>
      <w:numFmt w:val="bullet"/>
      <w:lvlText w:val="•"/>
      <w:lvlJc w:val="left"/>
      <w:pPr>
        <w:ind w:left="2520" w:hanging="450"/>
      </w:pPr>
      <w:rPr>
        <w:rFonts w:hint="default"/>
      </w:rPr>
    </w:lvl>
    <w:lvl w:ilvl="5">
      <w:start w:val="0"/>
      <w:numFmt w:val="bullet"/>
      <w:lvlText w:val="•"/>
      <w:lvlJc w:val="left"/>
      <w:pPr>
        <w:ind w:left="2092" w:hanging="450"/>
      </w:pPr>
      <w:rPr>
        <w:rFonts w:hint="default"/>
      </w:rPr>
    </w:lvl>
    <w:lvl w:ilvl="6">
      <w:start w:val="0"/>
      <w:numFmt w:val="bullet"/>
      <w:lvlText w:val="•"/>
      <w:lvlJc w:val="left"/>
      <w:pPr>
        <w:ind w:left="1665" w:hanging="450"/>
      </w:pPr>
      <w:rPr>
        <w:rFonts w:hint="default"/>
      </w:rPr>
    </w:lvl>
    <w:lvl w:ilvl="7">
      <w:start w:val="0"/>
      <w:numFmt w:val="bullet"/>
      <w:lvlText w:val="•"/>
      <w:lvlJc w:val="left"/>
      <w:pPr>
        <w:ind w:left="1237" w:hanging="450"/>
      </w:pPr>
      <w:rPr>
        <w:rFonts w:hint="default"/>
      </w:rPr>
    </w:lvl>
    <w:lvl w:ilvl="8">
      <w:start w:val="0"/>
      <w:numFmt w:val="bullet"/>
      <w:lvlText w:val="•"/>
      <w:lvlJc w:val="left"/>
      <w:pPr>
        <w:ind w:left="810" w:hanging="450"/>
      </w:pPr>
      <w:rPr>
        <w:rFonts w:hint="default"/>
      </w:rPr>
    </w:lvl>
  </w:abstractNum>
  <w:abstractNum w:abstractNumId="50">
    <w:multiLevelType w:val="hybridMultilevel"/>
    <w:lvl w:ilvl="0">
      <w:start w:val="1"/>
      <w:numFmt w:val="decimal"/>
      <w:lvlText w:val="%1)"/>
      <w:lvlJc w:val="left"/>
      <w:pPr>
        <w:ind w:left="168" w:hanging="212"/>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675" w:hanging="212"/>
      </w:pPr>
      <w:rPr>
        <w:rFonts w:hint="default"/>
      </w:rPr>
    </w:lvl>
    <w:lvl w:ilvl="2">
      <w:start w:val="0"/>
      <w:numFmt w:val="bullet"/>
      <w:lvlText w:val="•"/>
      <w:lvlJc w:val="left"/>
      <w:pPr>
        <w:ind w:left="1190" w:hanging="212"/>
      </w:pPr>
      <w:rPr>
        <w:rFonts w:hint="default"/>
      </w:rPr>
    </w:lvl>
    <w:lvl w:ilvl="3">
      <w:start w:val="0"/>
      <w:numFmt w:val="bullet"/>
      <w:lvlText w:val="•"/>
      <w:lvlJc w:val="left"/>
      <w:pPr>
        <w:ind w:left="1705" w:hanging="212"/>
      </w:pPr>
      <w:rPr>
        <w:rFonts w:hint="default"/>
      </w:rPr>
    </w:lvl>
    <w:lvl w:ilvl="4">
      <w:start w:val="0"/>
      <w:numFmt w:val="bullet"/>
      <w:lvlText w:val="•"/>
      <w:lvlJc w:val="left"/>
      <w:pPr>
        <w:ind w:left="2221" w:hanging="212"/>
      </w:pPr>
      <w:rPr>
        <w:rFonts w:hint="default"/>
      </w:rPr>
    </w:lvl>
    <w:lvl w:ilvl="5">
      <w:start w:val="0"/>
      <w:numFmt w:val="bullet"/>
      <w:lvlText w:val="•"/>
      <w:lvlJc w:val="left"/>
      <w:pPr>
        <w:ind w:left="2736" w:hanging="212"/>
      </w:pPr>
      <w:rPr>
        <w:rFonts w:hint="default"/>
      </w:rPr>
    </w:lvl>
    <w:lvl w:ilvl="6">
      <w:start w:val="0"/>
      <w:numFmt w:val="bullet"/>
      <w:lvlText w:val="•"/>
      <w:lvlJc w:val="left"/>
      <w:pPr>
        <w:ind w:left="3251" w:hanging="212"/>
      </w:pPr>
      <w:rPr>
        <w:rFonts w:hint="default"/>
      </w:rPr>
    </w:lvl>
    <w:lvl w:ilvl="7">
      <w:start w:val="0"/>
      <w:numFmt w:val="bullet"/>
      <w:lvlText w:val="•"/>
      <w:lvlJc w:val="left"/>
      <w:pPr>
        <w:ind w:left="3767" w:hanging="212"/>
      </w:pPr>
      <w:rPr>
        <w:rFonts w:hint="default"/>
      </w:rPr>
    </w:lvl>
    <w:lvl w:ilvl="8">
      <w:start w:val="0"/>
      <w:numFmt w:val="bullet"/>
      <w:lvlText w:val="•"/>
      <w:lvlJc w:val="left"/>
      <w:pPr>
        <w:ind w:left="4282" w:hanging="212"/>
      </w:pPr>
      <w:rPr>
        <w:rFonts w:hint="default"/>
      </w:rPr>
    </w:lvl>
  </w:abstractNum>
  <w:abstractNum w:abstractNumId="49">
    <w:multiLevelType w:val="hybridMultilevel"/>
    <w:lvl w:ilvl="0">
      <w:start w:val="1"/>
      <w:numFmt w:val="decimal"/>
      <w:lvlText w:val="%1"/>
      <w:lvlJc w:val="left"/>
      <w:pPr>
        <w:ind w:left="525" w:hanging="284"/>
        <w:jc w:val="right"/>
      </w:pPr>
      <w:rPr>
        <w:rFonts w:hint="default" w:ascii="Times New Roman" w:hAnsi="Times New Roman" w:eastAsia="Times New Roman" w:cs="Times New Roman"/>
        <w:color w:val="231F20"/>
        <w:spacing w:val="-15"/>
        <w:w w:val="100"/>
        <w:sz w:val="14"/>
        <w:szCs w:val="14"/>
      </w:rPr>
    </w:lvl>
    <w:lvl w:ilvl="1">
      <w:start w:val="1"/>
      <w:numFmt w:val="upperRoman"/>
      <w:lvlText w:val="%2."/>
      <w:lvlJc w:val="left"/>
      <w:pPr>
        <w:ind w:left="1918" w:hanging="160"/>
        <w:jc w:val="left"/>
      </w:pPr>
      <w:rPr>
        <w:rFonts w:hint="default" w:ascii="Times New Roman" w:hAnsi="Times New Roman" w:eastAsia="Times New Roman" w:cs="Times New Roman"/>
        <w:b/>
        <w:bCs/>
        <w:color w:val="231F20"/>
        <w:spacing w:val="-1"/>
        <w:w w:val="100"/>
        <w:sz w:val="18"/>
        <w:szCs w:val="18"/>
      </w:rPr>
    </w:lvl>
    <w:lvl w:ilvl="2">
      <w:start w:val="1"/>
      <w:numFmt w:val="decimal"/>
      <w:lvlText w:val="%3."/>
      <w:lvlJc w:val="left"/>
      <w:pPr>
        <w:ind w:left="1100" w:hanging="180"/>
        <w:jc w:val="right"/>
      </w:pPr>
      <w:rPr>
        <w:rFonts w:hint="default" w:ascii="Times New Roman" w:hAnsi="Times New Roman" w:eastAsia="Times New Roman" w:cs="Times New Roman"/>
        <w:b/>
        <w:bCs/>
        <w:color w:val="231F20"/>
        <w:spacing w:val="-12"/>
        <w:w w:val="100"/>
        <w:sz w:val="18"/>
        <w:szCs w:val="18"/>
      </w:rPr>
    </w:lvl>
    <w:lvl w:ilvl="3">
      <w:start w:val="1"/>
      <w:numFmt w:val="decimal"/>
      <w:lvlText w:val="%3.%4."/>
      <w:lvlJc w:val="left"/>
      <w:pPr>
        <w:ind w:left="1971" w:hanging="315"/>
        <w:jc w:val="right"/>
      </w:pPr>
      <w:rPr>
        <w:rFonts w:hint="default" w:ascii="Times New Roman" w:hAnsi="Times New Roman" w:eastAsia="Times New Roman" w:cs="Times New Roman"/>
        <w:i/>
        <w:color w:val="231F20"/>
        <w:spacing w:val="-5"/>
        <w:w w:val="100"/>
        <w:sz w:val="18"/>
        <w:szCs w:val="18"/>
      </w:rPr>
    </w:lvl>
    <w:lvl w:ilvl="4">
      <w:start w:val="0"/>
      <w:numFmt w:val="bullet"/>
      <w:lvlText w:val="•"/>
      <w:lvlJc w:val="left"/>
      <w:pPr>
        <w:ind w:left="1980" w:hanging="315"/>
      </w:pPr>
      <w:rPr>
        <w:rFonts w:hint="default"/>
      </w:rPr>
    </w:lvl>
    <w:lvl w:ilvl="5">
      <w:start w:val="0"/>
      <w:numFmt w:val="bullet"/>
      <w:lvlText w:val="•"/>
      <w:lvlJc w:val="left"/>
      <w:pPr>
        <w:ind w:left="1602" w:hanging="315"/>
      </w:pPr>
      <w:rPr>
        <w:rFonts w:hint="default"/>
      </w:rPr>
    </w:lvl>
    <w:lvl w:ilvl="6">
      <w:start w:val="0"/>
      <w:numFmt w:val="bullet"/>
      <w:lvlText w:val="•"/>
      <w:lvlJc w:val="left"/>
      <w:pPr>
        <w:ind w:left="1225" w:hanging="315"/>
      </w:pPr>
      <w:rPr>
        <w:rFonts w:hint="default"/>
      </w:rPr>
    </w:lvl>
    <w:lvl w:ilvl="7">
      <w:start w:val="0"/>
      <w:numFmt w:val="bullet"/>
      <w:lvlText w:val="•"/>
      <w:lvlJc w:val="left"/>
      <w:pPr>
        <w:ind w:left="848" w:hanging="315"/>
      </w:pPr>
      <w:rPr>
        <w:rFonts w:hint="default"/>
      </w:rPr>
    </w:lvl>
    <w:lvl w:ilvl="8">
      <w:start w:val="0"/>
      <w:numFmt w:val="bullet"/>
      <w:lvlText w:val="•"/>
      <w:lvlJc w:val="left"/>
      <w:pPr>
        <w:ind w:left="471" w:hanging="315"/>
      </w:pPr>
      <w:rPr>
        <w:rFonts w:hint="default"/>
      </w:rPr>
    </w:lvl>
  </w:abstractNum>
  <w:abstractNum w:abstractNumId="48">
    <w:multiLevelType w:val="hybridMultilevel"/>
    <w:lvl w:ilvl="0">
      <w:start w:val="7"/>
      <w:numFmt w:val="decimal"/>
      <w:lvlText w:val="%1."/>
      <w:lvlJc w:val="left"/>
      <w:pPr>
        <w:ind w:left="653" w:hanging="180"/>
        <w:jc w:val="left"/>
      </w:pPr>
      <w:rPr>
        <w:rFonts w:hint="default" w:ascii="Times New Roman" w:hAnsi="Times New Roman" w:eastAsia="Times New Roman" w:cs="Times New Roman"/>
        <w:b/>
        <w:bCs/>
        <w:color w:val="231F20"/>
        <w:spacing w:val="-3"/>
        <w:w w:val="100"/>
        <w:sz w:val="18"/>
        <w:szCs w:val="18"/>
      </w:rPr>
    </w:lvl>
    <w:lvl w:ilvl="1">
      <w:start w:val="1"/>
      <w:numFmt w:val="decimal"/>
      <w:lvlText w:val="%1.%2."/>
      <w:lvlJc w:val="left"/>
      <w:pPr>
        <w:ind w:left="2273" w:hanging="315"/>
        <w:jc w:val="right"/>
      </w:pPr>
      <w:rPr>
        <w:rFonts w:hint="default" w:ascii="Times New Roman" w:hAnsi="Times New Roman" w:eastAsia="Times New Roman" w:cs="Times New Roman"/>
        <w:i/>
        <w:color w:val="231F20"/>
        <w:spacing w:val="-1"/>
        <w:w w:val="100"/>
        <w:sz w:val="18"/>
        <w:szCs w:val="18"/>
      </w:rPr>
    </w:lvl>
    <w:lvl w:ilvl="2">
      <w:start w:val="0"/>
      <w:numFmt w:val="bullet"/>
      <w:lvlText w:val="•"/>
      <w:lvlJc w:val="left"/>
      <w:pPr>
        <w:ind w:left="2658" w:hanging="315"/>
      </w:pPr>
      <w:rPr>
        <w:rFonts w:hint="default"/>
      </w:rPr>
    </w:lvl>
    <w:lvl w:ilvl="3">
      <w:start w:val="0"/>
      <w:numFmt w:val="bullet"/>
      <w:lvlText w:val="•"/>
      <w:lvlJc w:val="left"/>
      <w:pPr>
        <w:ind w:left="3037" w:hanging="315"/>
      </w:pPr>
      <w:rPr>
        <w:rFonts w:hint="default"/>
      </w:rPr>
    </w:lvl>
    <w:lvl w:ilvl="4">
      <w:start w:val="0"/>
      <w:numFmt w:val="bullet"/>
      <w:lvlText w:val="•"/>
      <w:lvlJc w:val="left"/>
      <w:pPr>
        <w:ind w:left="3415" w:hanging="315"/>
      </w:pPr>
      <w:rPr>
        <w:rFonts w:hint="default"/>
      </w:rPr>
    </w:lvl>
    <w:lvl w:ilvl="5">
      <w:start w:val="0"/>
      <w:numFmt w:val="bullet"/>
      <w:lvlText w:val="•"/>
      <w:lvlJc w:val="left"/>
      <w:pPr>
        <w:ind w:left="3794" w:hanging="315"/>
      </w:pPr>
      <w:rPr>
        <w:rFonts w:hint="default"/>
      </w:rPr>
    </w:lvl>
    <w:lvl w:ilvl="6">
      <w:start w:val="0"/>
      <w:numFmt w:val="bullet"/>
      <w:lvlText w:val="•"/>
      <w:lvlJc w:val="left"/>
      <w:pPr>
        <w:ind w:left="4172" w:hanging="315"/>
      </w:pPr>
      <w:rPr>
        <w:rFonts w:hint="default"/>
      </w:rPr>
    </w:lvl>
    <w:lvl w:ilvl="7">
      <w:start w:val="0"/>
      <w:numFmt w:val="bullet"/>
      <w:lvlText w:val="•"/>
      <w:lvlJc w:val="left"/>
      <w:pPr>
        <w:ind w:left="4551" w:hanging="315"/>
      </w:pPr>
      <w:rPr>
        <w:rFonts w:hint="default"/>
      </w:rPr>
    </w:lvl>
    <w:lvl w:ilvl="8">
      <w:start w:val="0"/>
      <w:numFmt w:val="bullet"/>
      <w:lvlText w:val="•"/>
      <w:lvlJc w:val="left"/>
      <w:pPr>
        <w:ind w:left="4929" w:hanging="315"/>
      </w:pPr>
      <w:rPr>
        <w:rFonts w:hint="default"/>
      </w:rPr>
    </w:lvl>
  </w:abstractNum>
  <w:abstractNum w:abstractNumId="47">
    <w:multiLevelType w:val="hybridMultilevel"/>
    <w:lvl w:ilvl="0">
      <w:start w:val="1"/>
      <w:numFmt w:val="decimal"/>
      <w:lvlText w:val="%1."/>
      <w:lvlJc w:val="left"/>
      <w:pPr>
        <w:ind w:left="169" w:hanging="184"/>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675" w:hanging="184"/>
      </w:pPr>
      <w:rPr>
        <w:rFonts w:hint="default"/>
      </w:rPr>
    </w:lvl>
    <w:lvl w:ilvl="2">
      <w:start w:val="0"/>
      <w:numFmt w:val="bullet"/>
      <w:lvlText w:val="•"/>
      <w:lvlJc w:val="left"/>
      <w:pPr>
        <w:ind w:left="1190" w:hanging="184"/>
      </w:pPr>
      <w:rPr>
        <w:rFonts w:hint="default"/>
      </w:rPr>
    </w:lvl>
    <w:lvl w:ilvl="3">
      <w:start w:val="0"/>
      <w:numFmt w:val="bullet"/>
      <w:lvlText w:val="•"/>
      <w:lvlJc w:val="left"/>
      <w:pPr>
        <w:ind w:left="1705" w:hanging="184"/>
      </w:pPr>
      <w:rPr>
        <w:rFonts w:hint="default"/>
      </w:rPr>
    </w:lvl>
    <w:lvl w:ilvl="4">
      <w:start w:val="0"/>
      <w:numFmt w:val="bullet"/>
      <w:lvlText w:val="•"/>
      <w:lvlJc w:val="left"/>
      <w:pPr>
        <w:ind w:left="2221" w:hanging="184"/>
      </w:pPr>
      <w:rPr>
        <w:rFonts w:hint="default"/>
      </w:rPr>
    </w:lvl>
    <w:lvl w:ilvl="5">
      <w:start w:val="0"/>
      <w:numFmt w:val="bullet"/>
      <w:lvlText w:val="•"/>
      <w:lvlJc w:val="left"/>
      <w:pPr>
        <w:ind w:left="2736" w:hanging="184"/>
      </w:pPr>
      <w:rPr>
        <w:rFonts w:hint="default"/>
      </w:rPr>
    </w:lvl>
    <w:lvl w:ilvl="6">
      <w:start w:val="0"/>
      <w:numFmt w:val="bullet"/>
      <w:lvlText w:val="•"/>
      <w:lvlJc w:val="left"/>
      <w:pPr>
        <w:ind w:left="3251" w:hanging="184"/>
      </w:pPr>
      <w:rPr>
        <w:rFonts w:hint="default"/>
      </w:rPr>
    </w:lvl>
    <w:lvl w:ilvl="7">
      <w:start w:val="0"/>
      <w:numFmt w:val="bullet"/>
      <w:lvlText w:val="•"/>
      <w:lvlJc w:val="left"/>
      <w:pPr>
        <w:ind w:left="3767" w:hanging="184"/>
      </w:pPr>
      <w:rPr>
        <w:rFonts w:hint="default"/>
      </w:rPr>
    </w:lvl>
    <w:lvl w:ilvl="8">
      <w:start w:val="0"/>
      <w:numFmt w:val="bullet"/>
      <w:lvlText w:val="•"/>
      <w:lvlJc w:val="left"/>
      <w:pPr>
        <w:ind w:left="4282" w:hanging="184"/>
      </w:pPr>
      <w:rPr>
        <w:rFonts w:hint="default"/>
      </w:rPr>
    </w:lvl>
  </w:abstractNum>
  <w:abstractNum w:abstractNumId="46">
    <w:multiLevelType w:val="hybridMultilevel"/>
    <w:lvl w:ilvl="0">
      <w:start w:val="1"/>
      <w:numFmt w:val="decimal"/>
      <w:lvlText w:val="%1."/>
      <w:lvlJc w:val="left"/>
      <w:pPr>
        <w:ind w:left="243" w:hanging="191"/>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763" w:hanging="191"/>
      </w:pPr>
      <w:rPr>
        <w:rFonts w:hint="default"/>
      </w:rPr>
    </w:lvl>
    <w:lvl w:ilvl="2">
      <w:start w:val="0"/>
      <w:numFmt w:val="bullet"/>
      <w:lvlText w:val="•"/>
      <w:lvlJc w:val="left"/>
      <w:pPr>
        <w:ind w:left="1287" w:hanging="191"/>
      </w:pPr>
      <w:rPr>
        <w:rFonts w:hint="default"/>
      </w:rPr>
    </w:lvl>
    <w:lvl w:ilvl="3">
      <w:start w:val="0"/>
      <w:numFmt w:val="bullet"/>
      <w:lvlText w:val="•"/>
      <w:lvlJc w:val="left"/>
      <w:pPr>
        <w:ind w:left="1810" w:hanging="191"/>
      </w:pPr>
      <w:rPr>
        <w:rFonts w:hint="default"/>
      </w:rPr>
    </w:lvl>
    <w:lvl w:ilvl="4">
      <w:start w:val="0"/>
      <w:numFmt w:val="bullet"/>
      <w:lvlText w:val="•"/>
      <w:lvlJc w:val="left"/>
      <w:pPr>
        <w:ind w:left="2334" w:hanging="191"/>
      </w:pPr>
      <w:rPr>
        <w:rFonts w:hint="default"/>
      </w:rPr>
    </w:lvl>
    <w:lvl w:ilvl="5">
      <w:start w:val="0"/>
      <w:numFmt w:val="bullet"/>
      <w:lvlText w:val="•"/>
      <w:lvlJc w:val="left"/>
      <w:pPr>
        <w:ind w:left="2857" w:hanging="191"/>
      </w:pPr>
      <w:rPr>
        <w:rFonts w:hint="default"/>
      </w:rPr>
    </w:lvl>
    <w:lvl w:ilvl="6">
      <w:start w:val="0"/>
      <w:numFmt w:val="bullet"/>
      <w:lvlText w:val="•"/>
      <w:lvlJc w:val="left"/>
      <w:pPr>
        <w:ind w:left="3381" w:hanging="191"/>
      </w:pPr>
      <w:rPr>
        <w:rFonts w:hint="default"/>
      </w:rPr>
    </w:lvl>
    <w:lvl w:ilvl="7">
      <w:start w:val="0"/>
      <w:numFmt w:val="bullet"/>
      <w:lvlText w:val="•"/>
      <w:lvlJc w:val="left"/>
      <w:pPr>
        <w:ind w:left="3904" w:hanging="191"/>
      </w:pPr>
      <w:rPr>
        <w:rFonts w:hint="default"/>
      </w:rPr>
    </w:lvl>
    <w:lvl w:ilvl="8">
      <w:start w:val="0"/>
      <w:numFmt w:val="bullet"/>
      <w:lvlText w:val="•"/>
      <w:lvlJc w:val="left"/>
      <w:pPr>
        <w:ind w:left="4428" w:hanging="191"/>
      </w:pPr>
      <w:rPr>
        <w:rFonts w:hint="default"/>
      </w:rPr>
    </w:lvl>
  </w:abstractNum>
  <w:abstractNum w:abstractNumId="45">
    <w:multiLevelType w:val="hybridMultilevel"/>
    <w:lvl w:ilvl="0">
      <w:start w:val="5"/>
      <w:numFmt w:val="decimal"/>
      <w:lvlText w:val="%1."/>
      <w:lvlJc w:val="left"/>
      <w:pPr>
        <w:ind w:left="1295" w:hanging="180"/>
        <w:jc w:val="right"/>
      </w:pPr>
      <w:rPr>
        <w:rFonts w:hint="default" w:ascii="Times New Roman" w:hAnsi="Times New Roman" w:eastAsia="Times New Roman" w:cs="Times New Roman"/>
        <w:b/>
        <w:bCs/>
        <w:color w:val="231F20"/>
        <w:spacing w:val="-5"/>
        <w:w w:val="100"/>
        <w:sz w:val="18"/>
        <w:szCs w:val="18"/>
      </w:rPr>
    </w:lvl>
    <w:lvl w:ilvl="1">
      <w:start w:val="1"/>
      <w:numFmt w:val="decimal"/>
      <w:lvlText w:val="%1.%2."/>
      <w:lvlJc w:val="left"/>
      <w:pPr>
        <w:ind w:left="1490" w:hanging="315"/>
        <w:jc w:val="right"/>
      </w:pPr>
      <w:rPr>
        <w:rFonts w:hint="default" w:ascii="Times New Roman" w:hAnsi="Times New Roman" w:eastAsia="Times New Roman" w:cs="Times New Roman"/>
        <w:i/>
        <w:color w:val="231F20"/>
        <w:spacing w:val="-3"/>
        <w:w w:val="100"/>
        <w:sz w:val="18"/>
        <w:szCs w:val="18"/>
      </w:rPr>
    </w:lvl>
    <w:lvl w:ilvl="2">
      <w:start w:val="0"/>
      <w:numFmt w:val="bullet"/>
      <w:lvlText w:val="•"/>
      <w:lvlJc w:val="left"/>
      <w:pPr>
        <w:ind w:left="1965" w:hanging="315"/>
      </w:pPr>
      <w:rPr>
        <w:rFonts w:hint="default"/>
      </w:rPr>
    </w:lvl>
    <w:lvl w:ilvl="3">
      <w:start w:val="0"/>
      <w:numFmt w:val="bullet"/>
      <w:lvlText w:val="•"/>
      <w:lvlJc w:val="left"/>
      <w:pPr>
        <w:ind w:left="2430" w:hanging="315"/>
      </w:pPr>
      <w:rPr>
        <w:rFonts w:hint="default"/>
      </w:rPr>
    </w:lvl>
    <w:lvl w:ilvl="4">
      <w:start w:val="0"/>
      <w:numFmt w:val="bullet"/>
      <w:lvlText w:val="•"/>
      <w:lvlJc w:val="left"/>
      <w:pPr>
        <w:ind w:left="2895" w:hanging="315"/>
      </w:pPr>
      <w:rPr>
        <w:rFonts w:hint="default"/>
      </w:rPr>
    </w:lvl>
    <w:lvl w:ilvl="5">
      <w:start w:val="0"/>
      <w:numFmt w:val="bullet"/>
      <w:lvlText w:val="•"/>
      <w:lvlJc w:val="left"/>
      <w:pPr>
        <w:ind w:left="3360" w:hanging="315"/>
      </w:pPr>
      <w:rPr>
        <w:rFonts w:hint="default"/>
      </w:rPr>
    </w:lvl>
    <w:lvl w:ilvl="6">
      <w:start w:val="0"/>
      <w:numFmt w:val="bullet"/>
      <w:lvlText w:val="•"/>
      <w:lvlJc w:val="left"/>
      <w:pPr>
        <w:ind w:left="3825" w:hanging="315"/>
      </w:pPr>
      <w:rPr>
        <w:rFonts w:hint="default"/>
      </w:rPr>
    </w:lvl>
    <w:lvl w:ilvl="7">
      <w:start w:val="0"/>
      <w:numFmt w:val="bullet"/>
      <w:lvlText w:val="•"/>
      <w:lvlJc w:val="left"/>
      <w:pPr>
        <w:ind w:left="4290" w:hanging="315"/>
      </w:pPr>
      <w:rPr>
        <w:rFonts w:hint="default"/>
      </w:rPr>
    </w:lvl>
    <w:lvl w:ilvl="8">
      <w:start w:val="0"/>
      <w:numFmt w:val="bullet"/>
      <w:lvlText w:val="•"/>
      <w:lvlJc w:val="left"/>
      <w:pPr>
        <w:ind w:left="4755" w:hanging="315"/>
      </w:pPr>
      <w:rPr>
        <w:rFonts w:hint="default"/>
      </w:rPr>
    </w:lvl>
  </w:abstractNum>
  <w:abstractNum w:abstractNumId="44">
    <w:multiLevelType w:val="hybridMultilevel"/>
    <w:lvl w:ilvl="0">
      <w:start w:val="1"/>
      <w:numFmt w:val="decimal"/>
      <w:lvlText w:val="%1."/>
      <w:lvlJc w:val="left"/>
      <w:pPr>
        <w:ind w:left="169" w:hanging="188"/>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712" w:hanging="188"/>
      </w:pPr>
      <w:rPr>
        <w:rFonts w:hint="default"/>
      </w:rPr>
    </w:lvl>
    <w:lvl w:ilvl="2">
      <w:start w:val="0"/>
      <w:numFmt w:val="bullet"/>
      <w:lvlText w:val="•"/>
      <w:lvlJc w:val="left"/>
      <w:pPr>
        <w:ind w:left="1265" w:hanging="188"/>
      </w:pPr>
      <w:rPr>
        <w:rFonts w:hint="default"/>
      </w:rPr>
    </w:lvl>
    <w:lvl w:ilvl="3">
      <w:start w:val="0"/>
      <w:numFmt w:val="bullet"/>
      <w:lvlText w:val="•"/>
      <w:lvlJc w:val="left"/>
      <w:pPr>
        <w:ind w:left="1817" w:hanging="188"/>
      </w:pPr>
      <w:rPr>
        <w:rFonts w:hint="default"/>
      </w:rPr>
    </w:lvl>
    <w:lvl w:ilvl="4">
      <w:start w:val="0"/>
      <w:numFmt w:val="bullet"/>
      <w:lvlText w:val="•"/>
      <w:lvlJc w:val="left"/>
      <w:pPr>
        <w:ind w:left="2370" w:hanging="188"/>
      </w:pPr>
      <w:rPr>
        <w:rFonts w:hint="default"/>
      </w:rPr>
    </w:lvl>
    <w:lvl w:ilvl="5">
      <w:start w:val="0"/>
      <w:numFmt w:val="bullet"/>
      <w:lvlText w:val="•"/>
      <w:lvlJc w:val="left"/>
      <w:pPr>
        <w:ind w:left="2922" w:hanging="188"/>
      </w:pPr>
      <w:rPr>
        <w:rFonts w:hint="default"/>
      </w:rPr>
    </w:lvl>
    <w:lvl w:ilvl="6">
      <w:start w:val="0"/>
      <w:numFmt w:val="bullet"/>
      <w:lvlText w:val="•"/>
      <w:lvlJc w:val="left"/>
      <w:pPr>
        <w:ind w:left="3475" w:hanging="188"/>
      </w:pPr>
      <w:rPr>
        <w:rFonts w:hint="default"/>
      </w:rPr>
    </w:lvl>
    <w:lvl w:ilvl="7">
      <w:start w:val="0"/>
      <w:numFmt w:val="bullet"/>
      <w:lvlText w:val="•"/>
      <w:lvlJc w:val="left"/>
      <w:pPr>
        <w:ind w:left="4027" w:hanging="188"/>
      </w:pPr>
      <w:rPr>
        <w:rFonts w:hint="default"/>
      </w:rPr>
    </w:lvl>
    <w:lvl w:ilvl="8">
      <w:start w:val="0"/>
      <w:numFmt w:val="bullet"/>
      <w:lvlText w:val="•"/>
      <w:lvlJc w:val="left"/>
      <w:pPr>
        <w:ind w:left="4580" w:hanging="188"/>
      </w:pPr>
      <w:rPr>
        <w:rFonts w:hint="default"/>
      </w:rPr>
    </w:lvl>
  </w:abstractNum>
  <w:abstractNum w:abstractNumId="43">
    <w:multiLevelType w:val="hybridMultilevel"/>
    <w:lvl w:ilvl="0">
      <w:start w:val="1"/>
      <w:numFmt w:val="decimal"/>
      <w:lvlText w:val="%1)"/>
      <w:lvlJc w:val="left"/>
      <w:pPr>
        <w:ind w:left="762" w:hanging="195"/>
        <w:jc w:val="left"/>
      </w:pPr>
      <w:rPr>
        <w:rFonts w:hint="default" w:ascii="Times New Roman" w:hAnsi="Times New Roman" w:eastAsia="Times New Roman" w:cs="Times New Roman"/>
        <w:color w:val="231F20"/>
        <w:spacing w:val="-10"/>
        <w:w w:val="100"/>
        <w:sz w:val="18"/>
        <w:szCs w:val="18"/>
      </w:rPr>
    </w:lvl>
    <w:lvl w:ilvl="1">
      <w:start w:val="0"/>
      <w:numFmt w:val="bullet"/>
      <w:lvlText w:val="•"/>
      <w:lvlJc w:val="left"/>
      <w:pPr>
        <w:ind w:left="1252" w:hanging="195"/>
      </w:pPr>
      <w:rPr>
        <w:rFonts w:hint="default"/>
      </w:rPr>
    </w:lvl>
    <w:lvl w:ilvl="2">
      <w:start w:val="0"/>
      <w:numFmt w:val="bullet"/>
      <w:lvlText w:val="•"/>
      <w:lvlJc w:val="left"/>
      <w:pPr>
        <w:ind w:left="1745" w:hanging="195"/>
      </w:pPr>
      <w:rPr>
        <w:rFonts w:hint="default"/>
      </w:rPr>
    </w:lvl>
    <w:lvl w:ilvl="3">
      <w:start w:val="0"/>
      <w:numFmt w:val="bullet"/>
      <w:lvlText w:val="•"/>
      <w:lvlJc w:val="left"/>
      <w:pPr>
        <w:ind w:left="2237" w:hanging="195"/>
      </w:pPr>
      <w:rPr>
        <w:rFonts w:hint="default"/>
      </w:rPr>
    </w:lvl>
    <w:lvl w:ilvl="4">
      <w:start w:val="0"/>
      <w:numFmt w:val="bullet"/>
      <w:lvlText w:val="•"/>
      <w:lvlJc w:val="left"/>
      <w:pPr>
        <w:ind w:left="2730" w:hanging="195"/>
      </w:pPr>
      <w:rPr>
        <w:rFonts w:hint="default"/>
      </w:rPr>
    </w:lvl>
    <w:lvl w:ilvl="5">
      <w:start w:val="0"/>
      <w:numFmt w:val="bullet"/>
      <w:lvlText w:val="•"/>
      <w:lvlJc w:val="left"/>
      <w:pPr>
        <w:ind w:left="3223" w:hanging="195"/>
      </w:pPr>
      <w:rPr>
        <w:rFonts w:hint="default"/>
      </w:rPr>
    </w:lvl>
    <w:lvl w:ilvl="6">
      <w:start w:val="0"/>
      <w:numFmt w:val="bullet"/>
      <w:lvlText w:val="•"/>
      <w:lvlJc w:val="left"/>
      <w:pPr>
        <w:ind w:left="3715" w:hanging="195"/>
      </w:pPr>
      <w:rPr>
        <w:rFonts w:hint="default"/>
      </w:rPr>
    </w:lvl>
    <w:lvl w:ilvl="7">
      <w:start w:val="0"/>
      <w:numFmt w:val="bullet"/>
      <w:lvlText w:val="•"/>
      <w:lvlJc w:val="left"/>
      <w:pPr>
        <w:ind w:left="4208" w:hanging="195"/>
      </w:pPr>
      <w:rPr>
        <w:rFonts w:hint="default"/>
      </w:rPr>
    </w:lvl>
    <w:lvl w:ilvl="8">
      <w:start w:val="0"/>
      <w:numFmt w:val="bullet"/>
      <w:lvlText w:val="•"/>
      <w:lvlJc w:val="left"/>
      <w:pPr>
        <w:ind w:left="4700" w:hanging="195"/>
      </w:pPr>
      <w:rPr>
        <w:rFonts w:hint="default"/>
      </w:rPr>
    </w:lvl>
  </w:abstractNum>
  <w:abstractNum w:abstractNumId="42">
    <w:multiLevelType w:val="hybridMultilevel"/>
    <w:lvl w:ilvl="0">
      <w:start w:val="3"/>
      <w:numFmt w:val="decimal"/>
      <w:lvlText w:val="%1."/>
      <w:lvlJc w:val="left"/>
      <w:pPr>
        <w:ind w:left="734" w:hanging="180"/>
        <w:jc w:val="right"/>
      </w:pPr>
      <w:rPr>
        <w:rFonts w:hint="default" w:ascii="Times New Roman" w:hAnsi="Times New Roman" w:eastAsia="Times New Roman" w:cs="Times New Roman"/>
        <w:b/>
        <w:bCs/>
        <w:color w:val="231F20"/>
        <w:spacing w:val="-6"/>
        <w:w w:val="100"/>
        <w:sz w:val="18"/>
        <w:szCs w:val="18"/>
      </w:rPr>
    </w:lvl>
    <w:lvl w:ilvl="1">
      <w:start w:val="1"/>
      <w:numFmt w:val="decimal"/>
      <w:lvlText w:val="%1.%2."/>
      <w:lvlJc w:val="left"/>
      <w:pPr>
        <w:ind w:left="1641" w:hanging="315"/>
        <w:jc w:val="right"/>
      </w:pPr>
      <w:rPr>
        <w:rFonts w:hint="default" w:ascii="Times New Roman" w:hAnsi="Times New Roman" w:eastAsia="Times New Roman" w:cs="Times New Roman"/>
        <w:i/>
        <w:color w:val="231F20"/>
        <w:spacing w:val="-3"/>
        <w:w w:val="100"/>
        <w:sz w:val="18"/>
        <w:szCs w:val="18"/>
      </w:rPr>
    </w:lvl>
    <w:lvl w:ilvl="2">
      <w:start w:val="1"/>
      <w:numFmt w:val="decimal"/>
      <w:lvlText w:val="%1.%2.%3."/>
      <w:lvlJc w:val="left"/>
      <w:pPr>
        <w:ind w:left="2406" w:hanging="450"/>
        <w:jc w:val="right"/>
      </w:pPr>
      <w:rPr>
        <w:rFonts w:hint="default" w:ascii="Times New Roman" w:hAnsi="Times New Roman" w:eastAsia="Times New Roman" w:cs="Times New Roman"/>
        <w:color w:val="231F20"/>
        <w:spacing w:val="-12"/>
        <w:w w:val="100"/>
        <w:sz w:val="18"/>
        <w:szCs w:val="18"/>
      </w:rPr>
    </w:lvl>
    <w:lvl w:ilvl="3">
      <w:start w:val="0"/>
      <w:numFmt w:val="bullet"/>
      <w:lvlText w:val="•"/>
      <w:lvlJc w:val="left"/>
      <w:pPr>
        <w:ind w:left="2095" w:hanging="450"/>
      </w:pPr>
      <w:rPr>
        <w:rFonts w:hint="default"/>
      </w:rPr>
    </w:lvl>
    <w:lvl w:ilvl="4">
      <w:start w:val="0"/>
      <w:numFmt w:val="bullet"/>
      <w:lvlText w:val="•"/>
      <w:lvlJc w:val="left"/>
      <w:pPr>
        <w:ind w:left="1790" w:hanging="450"/>
      </w:pPr>
      <w:rPr>
        <w:rFonts w:hint="default"/>
      </w:rPr>
    </w:lvl>
    <w:lvl w:ilvl="5">
      <w:start w:val="0"/>
      <w:numFmt w:val="bullet"/>
      <w:lvlText w:val="•"/>
      <w:lvlJc w:val="left"/>
      <w:pPr>
        <w:ind w:left="1485" w:hanging="450"/>
      </w:pPr>
      <w:rPr>
        <w:rFonts w:hint="default"/>
      </w:rPr>
    </w:lvl>
    <w:lvl w:ilvl="6">
      <w:start w:val="0"/>
      <w:numFmt w:val="bullet"/>
      <w:lvlText w:val="•"/>
      <w:lvlJc w:val="left"/>
      <w:pPr>
        <w:ind w:left="1180" w:hanging="450"/>
      </w:pPr>
      <w:rPr>
        <w:rFonts w:hint="default"/>
      </w:rPr>
    </w:lvl>
    <w:lvl w:ilvl="7">
      <w:start w:val="0"/>
      <w:numFmt w:val="bullet"/>
      <w:lvlText w:val="•"/>
      <w:lvlJc w:val="left"/>
      <w:pPr>
        <w:ind w:left="875" w:hanging="450"/>
      </w:pPr>
      <w:rPr>
        <w:rFonts w:hint="default"/>
      </w:rPr>
    </w:lvl>
    <w:lvl w:ilvl="8">
      <w:start w:val="0"/>
      <w:numFmt w:val="bullet"/>
      <w:lvlText w:val="•"/>
      <w:lvlJc w:val="left"/>
      <w:pPr>
        <w:ind w:left="570" w:hanging="450"/>
      </w:pPr>
      <w:rPr>
        <w:rFonts w:hint="default"/>
      </w:rPr>
    </w:lvl>
  </w:abstractNum>
  <w:abstractNum w:abstractNumId="41">
    <w:multiLevelType w:val="hybridMultilevel"/>
    <w:lvl w:ilvl="0">
      <w:start w:val="1"/>
      <w:numFmt w:val="decimal"/>
      <w:lvlText w:val="%1."/>
      <w:lvlJc w:val="left"/>
      <w:pPr>
        <w:ind w:left="168" w:hanging="185"/>
        <w:jc w:val="left"/>
      </w:pPr>
      <w:rPr>
        <w:rFonts w:hint="default" w:ascii="Times New Roman" w:hAnsi="Times New Roman" w:eastAsia="Times New Roman" w:cs="Times New Roman"/>
        <w:color w:val="231F20"/>
        <w:w w:val="100"/>
        <w:sz w:val="18"/>
        <w:szCs w:val="18"/>
      </w:rPr>
    </w:lvl>
    <w:lvl w:ilvl="1">
      <w:start w:val="1"/>
      <w:numFmt w:val="decimal"/>
      <w:lvlText w:val="%2)"/>
      <w:lvlJc w:val="left"/>
      <w:pPr>
        <w:ind w:left="453" w:hanging="209"/>
        <w:jc w:val="left"/>
      </w:pPr>
      <w:rPr>
        <w:rFonts w:hint="default" w:ascii="Times New Roman" w:hAnsi="Times New Roman" w:eastAsia="Times New Roman" w:cs="Times New Roman"/>
        <w:color w:val="231F20"/>
        <w:w w:val="100"/>
        <w:sz w:val="18"/>
        <w:szCs w:val="18"/>
      </w:rPr>
    </w:lvl>
    <w:lvl w:ilvl="2">
      <w:start w:val="0"/>
      <w:numFmt w:val="bullet"/>
      <w:lvlText w:val="•"/>
      <w:lvlJc w:val="left"/>
      <w:pPr>
        <w:ind w:left="427" w:hanging="209"/>
      </w:pPr>
      <w:rPr>
        <w:rFonts w:hint="default"/>
      </w:rPr>
    </w:lvl>
    <w:lvl w:ilvl="3">
      <w:start w:val="0"/>
      <w:numFmt w:val="bullet"/>
      <w:lvlText w:val="•"/>
      <w:lvlJc w:val="left"/>
      <w:pPr>
        <w:ind w:left="395" w:hanging="209"/>
      </w:pPr>
      <w:rPr>
        <w:rFonts w:hint="default"/>
      </w:rPr>
    </w:lvl>
    <w:lvl w:ilvl="4">
      <w:start w:val="0"/>
      <w:numFmt w:val="bullet"/>
      <w:lvlText w:val="•"/>
      <w:lvlJc w:val="left"/>
      <w:pPr>
        <w:ind w:left="363" w:hanging="209"/>
      </w:pPr>
      <w:rPr>
        <w:rFonts w:hint="default"/>
      </w:rPr>
    </w:lvl>
    <w:lvl w:ilvl="5">
      <w:start w:val="0"/>
      <w:numFmt w:val="bullet"/>
      <w:lvlText w:val="•"/>
      <w:lvlJc w:val="left"/>
      <w:pPr>
        <w:ind w:left="331" w:hanging="209"/>
      </w:pPr>
      <w:rPr>
        <w:rFonts w:hint="default"/>
      </w:rPr>
    </w:lvl>
    <w:lvl w:ilvl="6">
      <w:start w:val="0"/>
      <w:numFmt w:val="bullet"/>
      <w:lvlText w:val="•"/>
      <w:lvlJc w:val="left"/>
      <w:pPr>
        <w:ind w:left="299" w:hanging="209"/>
      </w:pPr>
      <w:rPr>
        <w:rFonts w:hint="default"/>
      </w:rPr>
    </w:lvl>
    <w:lvl w:ilvl="7">
      <w:start w:val="0"/>
      <w:numFmt w:val="bullet"/>
      <w:lvlText w:val="•"/>
      <w:lvlJc w:val="left"/>
      <w:pPr>
        <w:ind w:left="266" w:hanging="209"/>
      </w:pPr>
      <w:rPr>
        <w:rFonts w:hint="default"/>
      </w:rPr>
    </w:lvl>
    <w:lvl w:ilvl="8">
      <w:start w:val="0"/>
      <w:numFmt w:val="bullet"/>
      <w:lvlText w:val="•"/>
      <w:lvlJc w:val="left"/>
      <w:pPr>
        <w:ind w:left="234" w:hanging="209"/>
      </w:pPr>
      <w:rPr>
        <w:rFonts w:hint="default"/>
      </w:rPr>
    </w:lvl>
  </w:abstractNum>
  <w:abstractNum w:abstractNumId="40">
    <w:multiLevelType w:val="hybridMultilevel"/>
    <w:lvl w:ilvl="0">
      <w:start w:val="2"/>
      <w:numFmt w:val="decimal"/>
      <w:lvlText w:val="%1"/>
      <w:lvlJc w:val="left"/>
      <w:pPr>
        <w:ind w:left="1580" w:hanging="315"/>
        <w:jc w:val="left"/>
      </w:pPr>
      <w:rPr>
        <w:rFonts w:hint="default"/>
      </w:rPr>
    </w:lvl>
    <w:lvl w:ilvl="1">
      <w:start w:val="1"/>
      <w:numFmt w:val="decimal"/>
      <w:lvlText w:val="%1.%2."/>
      <w:lvlJc w:val="left"/>
      <w:pPr>
        <w:ind w:left="1580" w:hanging="315"/>
        <w:jc w:val="right"/>
      </w:pPr>
      <w:rPr>
        <w:rFonts w:hint="default" w:ascii="Times New Roman" w:hAnsi="Times New Roman" w:eastAsia="Times New Roman" w:cs="Times New Roman"/>
        <w:i/>
        <w:color w:val="231F20"/>
        <w:spacing w:val="-5"/>
        <w:w w:val="100"/>
        <w:sz w:val="18"/>
        <w:szCs w:val="18"/>
      </w:rPr>
    </w:lvl>
    <w:lvl w:ilvl="2">
      <w:start w:val="1"/>
      <w:numFmt w:val="decimal"/>
      <w:lvlText w:val="%3)"/>
      <w:lvlJc w:val="left"/>
      <w:pPr>
        <w:ind w:left="452" w:hanging="222"/>
        <w:jc w:val="left"/>
      </w:pPr>
      <w:rPr>
        <w:rFonts w:hint="default" w:ascii="Times New Roman" w:hAnsi="Times New Roman" w:eastAsia="Times New Roman" w:cs="Times New Roman"/>
        <w:color w:val="231F20"/>
        <w:spacing w:val="-19"/>
        <w:w w:val="100"/>
        <w:sz w:val="18"/>
        <w:szCs w:val="18"/>
      </w:rPr>
    </w:lvl>
    <w:lvl w:ilvl="3">
      <w:start w:val="0"/>
      <w:numFmt w:val="bullet"/>
      <w:lvlText w:val="•"/>
      <w:lvlJc w:val="left"/>
      <w:pPr>
        <w:ind w:left="1266" w:hanging="222"/>
      </w:pPr>
      <w:rPr>
        <w:rFonts w:hint="default"/>
      </w:rPr>
    </w:lvl>
    <w:lvl w:ilvl="4">
      <w:start w:val="0"/>
      <w:numFmt w:val="bullet"/>
      <w:lvlText w:val="•"/>
      <w:lvlJc w:val="left"/>
      <w:pPr>
        <w:ind w:left="1110" w:hanging="222"/>
      </w:pPr>
      <w:rPr>
        <w:rFonts w:hint="default"/>
      </w:rPr>
    </w:lvl>
    <w:lvl w:ilvl="5">
      <w:start w:val="0"/>
      <w:numFmt w:val="bullet"/>
      <w:lvlText w:val="•"/>
      <w:lvlJc w:val="left"/>
      <w:pPr>
        <w:ind w:left="953" w:hanging="222"/>
      </w:pPr>
      <w:rPr>
        <w:rFonts w:hint="default"/>
      </w:rPr>
    </w:lvl>
    <w:lvl w:ilvl="6">
      <w:start w:val="0"/>
      <w:numFmt w:val="bullet"/>
      <w:lvlText w:val="•"/>
      <w:lvlJc w:val="left"/>
      <w:pPr>
        <w:ind w:left="796" w:hanging="222"/>
      </w:pPr>
      <w:rPr>
        <w:rFonts w:hint="default"/>
      </w:rPr>
    </w:lvl>
    <w:lvl w:ilvl="7">
      <w:start w:val="0"/>
      <w:numFmt w:val="bullet"/>
      <w:lvlText w:val="•"/>
      <w:lvlJc w:val="left"/>
      <w:pPr>
        <w:ind w:left="640" w:hanging="222"/>
      </w:pPr>
      <w:rPr>
        <w:rFonts w:hint="default"/>
      </w:rPr>
    </w:lvl>
    <w:lvl w:ilvl="8">
      <w:start w:val="0"/>
      <w:numFmt w:val="bullet"/>
      <w:lvlText w:val="•"/>
      <w:lvlJc w:val="left"/>
      <w:pPr>
        <w:ind w:left="483" w:hanging="222"/>
      </w:pPr>
      <w:rPr>
        <w:rFonts w:hint="default"/>
      </w:rPr>
    </w:lvl>
  </w:abstractNum>
  <w:abstractNum w:abstractNumId="39">
    <w:multiLevelType w:val="hybridMultilevel"/>
    <w:lvl w:ilvl="0">
      <w:start w:val="1"/>
      <w:numFmt w:val="decimal"/>
      <w:lvlText w:val="%1."/>
      <w:lvlJc w:val="left"/>
      <w:pPr>
        <w:ind w:left="565" w:hanging="180"/>
        <w:jc w:val="left"/>
      </w:pPr>
      <w:rPr>
        <w:rFonts w:hint="default" w:ascii="Times New Roman" w:hAnsi="Times New Roman" w:eastAsia="Times New Roman" w:cs="Times New Roman"/>
        <w:color w:val="231F20"/>
        <w:spacing w:val="-6"/>
        <w:w w:val="100"/>
        <w:sz w:val="18"/>
        <w:szCs w:val="18"/>
      </w:rPr>
    </w:lvl>
    <w:lvl w:ilvl="1">
      <w:start w:val="0"/>
      <w:numFmt w:val="bullet"/>
      <w:lvlText w:val="•"/>
      <w:lvlJc w:val="left"/>
      <w:pPr>
        <w:ind w:left="1072" w:hanging="180"/>
      </w:pPr>
      <w:rPr>
        <w:rFonts w:hint="default"/>
      </w:rPr>
    </w:lvl>
    <w:lvl w:ilvl="2">
      <w:start w:val="0"/>
      <w:numFmt w:val="bullet"/>
      <w:lvlText w:val="•"/>
      <w:lvlJc w:val="left"/>
      <w:pPr>
        <w:ind w:left="1585" w:hanging="180"/>
      </w:pPr>
      <w:rPr>
        <w:rFonts w:hint="default"/>
      </w:rPr>
    </w:lvl>
    <w:lvl w:ilvl="3">
      <w:start w:val="0"/>
      <w:numFmt w:val="bullet"/>
      <w:lvlText w:val="•"/>
      <w:lvlJc w:val="left"/>
      <w:pPr>
        <w:ind w:left="2097" w:hanging="180"/>
      </w:pPr>
      <w:rPr>
        <w:rFonts w:hint="default"/>
      </w:rPr>
    </w:lvl>
    <w:lvl w:ilvl="4">
      <w:start w:val="0"/>
      <w:numFmt w:val="bullet"/>
      <w:lvlText w:val="•"/>
      <w:lvlJc w:val="left"/>
      <w:pPr>
        <w:ind w:left="2610" w:hanging="180"/>
      </w:pPr>
      <w:rPr>
        <w:rFonts w:hint="default"/>
      </w:rPr>
    </w:lvl>
    <w:lvl w:ilvl="5">
      <w:start w:val="0"/>
      <w:numFmt w:val="bullet"/>
      <w:lvlText w:val="•"/>
      <w:lvlJc w:val="left"/>
      <w:pPr>
        <w:ind w:left="3123" w:hanging="180"/>
      </w:pPr>
      <w:rPr>
        <w:rFonts w:hint="default"/>
      </w:rPr>
    </w:lvl>
    <w:lvl w:ilvl="6">
      <w:start w:val="0"/>
      <w:numFmt w:val="bullet"/>
      <w:lvlText w:val="•"/>
      <w:lvlJc w:val="left"/>
      <w:pPr>
        <w:ind w:left="3635" w:hanging="180"/>
      </w:pPr>
      <w:rPr>
        <w:rFonts w:hint="default"/>
      </w:rPr>
    </w:lvl>
    <w:lvl w:ilvl="7">
      <w:start w:val="0"/>
      <w:numFmt w:val="bullet"/>
      <w:lvlText w:val="•"/>
      <w:lvlJc w:val="left"/>
      <w:pPr>
        <w:ind w:left="4148" w:hanging="180"/>
      </w:pPr>
      <w:rPr>
        <w:rFonts w:hint="default"/>
      </w:rPr>
    </w:lvl>
    <w:lvl w:ilvl="8">
      <w:start w:val="0"/>
      <w:numFmt w:val="bullet"/>
      <w:lvlText w:val="•"/>
      <w:lvlJc w:val="left"/>
      <w:pPr>
        <w:ind w:left="4661" w:hanging="180"/>
      </w:pPr>
      <w:rPr>
        <w:rFonts w:hint="default"/>
      </w:rPr>
    </w:lvl>
  </w:abstractNum>
  <w:abstractNum w:abstractNumId="38">
    <w:multiLevelType w:val="hybridMultilevel"/>
    <w:lvl w:ilvl="0">
      <w:start w:val="1"/>
      <w:numFmt w:val="decimal"/>
      <w:lvlText w:val="%1."/>
      <w:lvlJc w:val="left"/>
      <w:pPr>
        <w:ind w:left="170" w:hanging="180"/>
        <w:jc w:val="left"/>
      </w:pPr>
      <w:rPr>
        <w:rFonts w:hint="default" w:ascii="Times New Roman" w:hAnsi="Times New Roman" w:eastAsia="Times New Roman" w:cs="Times New Roman"/>
        <w:color w:val="231F20"/>
        <w:spacing w:val="-10"/>
        <w:w w:val="100"/>
        <w:sz w:val="18"/>
        <w:szCs w:val="18"/>
      </w:rPr>
    </w:lvl>
    <w:lvl w:ilvl="1">
      <w:start w:val="0"/>
      <w:numFmt w:val="bullet"/>
      <w:lvlText w:val="•"/>
      <w:lvlJc w:val="left"/>
      <w:pPr>
        <w:ind w:left="693" w:hanging="180"/>
      </w:pPr>
      <w:rPr>
        <w:rFonts w:hint="default"/>
      </w:rPr>
    </w:lvl>
    <w:lvl w:ilvl="2">
      <w:start w:val="0"/>
      <w:numFmt w:val="bullet"/>
      <w:lvlText w:val="•"/>
      <w:lvlJc w:val="left"/>
      <w:pPr>
        <w:ind w:left="1206" w:hanging="180"/>
      </w:pPr>
      <w:rPr>
        <w:rFonts w:hint="default"/>
      </w:rPr>
    </w:lvl>
    <w:lvl w:ilvl="3">
      <w:start w:val="0"/>
      <w:numFmt w:val="bullet"/>
      <w:lvlText w:val="•"/>
      <w:lvlJc w:val="left"/>
      <w:pPr>
        <w:ind w:left="1719" w:hanging="180"/>
      </w:pPr>
      <w:rPr>
        <w:rFonts w:hint="default"/>
      </w:rPr>
    </w:lvl>
    <w:lvl w:ilvl="4">
      <w:start w:val="0"/>
      <w:numFmt w:val="bullet"/>
      <w:lvlText w:val="•"/>
      <w:lvlJc w:val="left"/>
      <w:pPr>
        <w:ind w:left="2233" w:hanging="180"/>
      </w:pPr>
      <w:rPr>
        <w:rFonts w:hint="default"/>
      </w:rPr>
    </w:lvl>
    <w:lvl w:ilvl="5">
      <w:start w:val="0"/>
      <w:numFmt w:val="bullet"/>
      <w:lvlText w:val="•"/>
      <w:lvlJc w:val="left"/>
      <w:pPr>
        <w:ind w:left="2746" w:hanging="180"/>
      </w:pPr>
      <w:rPr>
        <w:rFonts w:hint="default"/>
      </w:rPr>
    </w:lvl>
    <w:lvl w:ilvl="6">
      <w:start w:val="0"/>
      <w:numFmt w:val="bullet"/>
      <w:lvlText w:val="•"/>
      <w:lvlJc w:val="left"/>
      <w:pPr>
        <w:ind w:left="3259" w:hanging="180"/>
      </w:pPr>
      <w:rPr>
        <w:rFonts w:hint="default"/>
      </w:rPr>
    </w:lvl>
    <w:lvl w:ilvl="7">
      <w:start w:val="0"/>
      <w:numFmt w:val="bullet"/>
      <w:lvlText w:val="•"/>
      <w:lvlJc w:val="left"/>
      <w:pPr>
        <w:ind w:left="3772" w:hanging="180"/>
      </w:pPr>
      <w:rPr>
        <w:rFonts w:hint="default"/>
      </w:rPr>
    </w:lvl>
    <w:lvl w:ilvl="8">
      <w:start w:val="0"/>
      <w:numFmt w:val="bullet"/>
      <w:lvlText w:val="•"/>
      <w:lvlJc w:val="left"/>
      <w:pPr>
        <w:ind w:left="4286" w:hanging="180"/>
      </w:pPr>
      <w:rPr>
        <w:rFonts w:hint="default"/>
      </w:rPr>
    </w:lvl>
  </w:abstractNum>
  <w:abstractNum w:abstractNumId="37">
    <w:multiLevelType w:val="hybridMultilevel"/>
    <w:lvl w:ilvl="0">
      <w:start w:val="4"/>
      <w:numFmt w:val="upperRoman"/>
      <w:lvlText w:val="%1."/>
      <w:lvlJc w:val="left"/>
      <w:pPr>
        <w:ind w:left="1162" w:hanging="267"/>
        <w:jc w:val="left"/>
      </w:pPr>
      <w:rPr>
        <w:rFonts w:hint="default" w:ascii="Times New Roman" w:hAnsi="Times New Roman" w:eastAsia="Times New Roman" w:cs="Times New Roman"/>
        <w:b/>
        <w:bCs/>
        <w:color w:val="231F20"/>
        <w:spacing w:val="-24"/>
        <w:w w:val="100"/>
        <w:sz w:val="18"/>
        <w:szCs w:val="18"/>
      </w:rPr>
    </w:lvl>
    <w:lvl w:ilvl="1">
      <w:start w:val="1"/>
      <w:numFmt w:val="decimal"/>
      <w:lvlText w:val="%2."/>
      <w:lvlJc w:val="left"/>
      <w:pPr>
        <w:ind w:left="2275" w:hanging="180"/>
        <w:jc w:val="left"/>
      </w:pPr>
      <w:rPr>
        <w:rFonts w:hint="default" w:ascii="Times New Roman" w:hAnsi="Times New Roman" w:eastAsia="Times New Roman" w:cs="Times New Roman"/>
        <w:b/>
        <w:bCs/>
        <w:color w:val="231F20"/>
        <w:spacing w:val="-6"/>
        <w:w w:val="100"/>
        <w:sz w:val="18"/>
        <w:szCs w:val="18"/>
      </w:rPr>
    </w:lvl>
    <w:lvl w:ilvl="2">
      <w:start w:val="0"/>
      <w:numFmt w:val="bullet"/>
      <w:lvlText w:val="•"/>
      <w:lvlJc w:val="left"/>
      <w:pPr>
        <w:ind w:left="2635" w:hanging="180"/>
      </w:pPr>
      <w:rPr>
        <w:rFonts w:hint="default"/>
      </w:rPr>
    </w:lvl>
    <w:lvl w:ilvl="3">
      <w:start w:val="0"/>
      <w:numFmt w:val="bullet"/>
      <w:lvlText w:val="•"/>
      <w:lvlJc w:val="left"/>
      <w:pPr>
        <w:ind w:left="2990" w:hanging="180"/>
      </w:pPr>
      <w:rPr>
        <w:rFonts w:hint="default"/>
      </w:rPr>
    </w:lvl>
    <w:lvl w:ilvl="4">
      <w:start w:val="0"/>
      <w:numFmt w:val="bullet"/>
      <w:lvlText w:val="•"/>
      <w:lvlJc w:val="left"/>
      <w:pPr>
        <w:ind w:left="3345" w:hanging="180"/>
      </w:pPr>
      <w:rPr>
        <w:rFonts w:hint="default"/>
      </w:rPr>
    </w:lvl>
    <w:lvl w:ilvl="5">
      <w:start w:val="0"/>
      <w:numFmt w:val="bullet"/>
      <w:lvlText w:val="•"/>
      <w:lvlJc w:val="left"/>
      <w:pPr>
        <w:ind w:left="3700" w:hanging="180"/>
      </w:pPr>
      <w:rPr>
        <w:rFonts w:hint="default"/>
      </w:rPr>
    </w:lvl>
    <w:lvl w:ilvl="6">
      <w:start w:val="0"/>
      <w:numFmt w:val="bullet"/>
      <w:lvlText w:val="•"/>
      <w:lvlJc w:val="left"/>
      <w:pPr>
        <w:ind w:left="4055" w:hanging="180"/>
      </w:pPr>
      <w:rPr>
        <w:rFonts w:hint="default"/>
      </w:rPr>
    </w:lvl>
    <w:lvl w:ilvl="7">
      <w:start w:val="0"/>
      <w:numFmt w:val="bullet"/>
      <w:lvlText w:val="•"/>
      <w:lvlJc w:val="left"/>
      <w:pPr>
        <w:ind w:left="4410" w:hanging="180"/>
      </w:pPr>
      <w:rPr>
        <w:rFonts w:hint="default"/>
      </w:rPr>
    </w:lvl>
    <w:lvl w:ilvl="8">
      <w:start w:val="0"/>
      <w:numFmt w:val="bullet"/>
      <w:lvlText w:val="•"/>
      <w:lvlJc w:val="left"/>
      <w:pPr>
        <w:ind w:left="4765" w:hanging="180"/>
      </w:pPr>
      <w:rPr>
        <w:rFonts w:hint="default"/>
      </w:rPr>
    </w:lvl>
  </w:abstractNum>
  <w:abstractNum w:abstractNumId="36">
    <w:multiLevelType w:val="hybridMultilevel"/>
    <w:lvl w:ilvl="0">
      <w:start w:val="18"/>
      <w:numFmt w:val="decimal"/>
      <w:lvlText w:val="%1."/>
      <w:lvlJc w:val="left"/>
      <w:pPr>
        <w:ind w:left="242" w:hanging="285"/>
        <w:jc w:val="left"/>
      </w:pPr>
      <w:rPr>
        <w:rFonts w:hint="default" w:ascii="Times New Roman" w:hAnsi="Times New Roman" w:eastAsia="Times New Roman" w:cs="Times New Roman"/>
        <w:color w:val="231F20"/>
        <w:w w:val="100"/>
        <w:sz w:val="18"/>
        <w:szCs w:val="18"/>
      </w:rPr>
    </w:lvl>
    <w:lvl w:ilvl="1">
      <w:start w:val="6"/>
      <w:numFmt w:val="decimal"/>
      <w:lvlText w:val="%2."/>
      <w:lvlJc w:val="left"/>
      <w:pPr>
        <w:ind w:left="2012" w:hanging="180"/>
        <w:jc w:val="right"/>
      </w:pPr>
      <w:rPr>
        <w:rFonts w:hint="default" w:ascii="Times New Roman" w:hAnsi="Times New Roman" w:eastAsia="Times New Roman" w:cs="Times New Roman"/>
        <w:b/>
        <w:bCs/>
        <w:color w:val="231F20"/>
        <w:spacing w:val="-5"/>
        <w:w w:val="100"/>
        <w:sz w:val="18"/>
        <w:szCs w:val="18"/>
      </w:rPr>
    </w:lvl>
    <w:lvl w:ilvl="2">
      <w:start w:val="0"/>
      <w:numFmt w:val="bullet"/>
      <w:lvlText w:val="•"/>
      <w:lvlJc w:val="left"/>
      <w:pPr>
        <w:ind w:left="2403" w:hanging="180"/>
      </w:pPr>
      <w:rPr>
        <w:rFonts w:hint="default"/>
      </w:rPr>
    </w:lvl>
    <w:lvl w:ilvl="3">
      <w:start w:val="0"/>
      <w:numFmt w:val="bullet"/>
      <w:lvlText w:val="•"/>
      <w:lvlJc w:val="left"/>
      <w:pPr>
        <w:ind w:left="2787" w:hanging="180"/>
      </w:pPr>
      <w:rPr>
        <w:rFonts w:hint="default"/>
      </w:rPr>
    </w:lvl>
    <w:lvl w:ilvl="4">
      <w:start w:val="0"/>
      <w:numFmt w:val="bullet"/>
      <w:lvlText w:val="•"/>
      <w:lvlJc w:val="left"/>
      <w:pPr>
        <w:ind w:left="3171" w:hanging="180"/>
      </w:pPr>
      <w:rPr>
        <w:rFonts w:hint="default"/>
      </w:rPr>
    </w:lvl>
    <w:lvl w:ilvl="5">
      <w:start w:val="0"/>
      <w:numFmt w:val="bullet"/>
      <w:lvlText w:val="•"/>
      <w:lvlJc w:val="left"/>
      <w:pPr>
        <w:ind w:left="3555" w:hanging="180"/>
      </w:pPr>
      <w:rPr>
        <w:rFonts w:hint="default"/>
      </w:rPr>
    </w:lvl>
    <w:lvl w:ilvl="6">
      <w:start w:val="0"/>
      <w:numFmt w:val="bullet"/>
      <w:lvlText w:val="•"/>
      <w:lvlJc w:val="left"/>
      <w:pPr>
        <w:ind w:left="3939" w:hanging="180"/>
      </w:pPr>
      <w:rPr>
        <w:rFonts w:hint="default"/>
      </w:rPr>
    </w:lvl>
    <w:lvl w:ilvl="7">
      <w:start w:val="0"/>
      <w:numFmt w:val="bullet"/>
      <w:lvlText w:val="•"/>
      <w:lvlJc w:val="left"/>
      <w:pPr>
        <w:ind w:left="4323" w:hanging="180"/>
      </w:pPr>
      <w:rPr>
        <w:rFonts w:hint="default"/>
      </w:rPr>
    </w:lvl>
    <w:lvl w:ilvl="8">
      <w:start w:val="0"/>
      <w:numFmt w:val="bullet"/>
      <w:lvlText w:val="•"/>
      <w:lvlJc w:val="left"/>
      <w:pPr>
        <w:ind w:left="4707" w:hanging="180"/>
      </w:pPr>
      <w:rPr>
        <w:rFonts w:hint="default"/>
      </w:rPr>
    </w:lvl>
  </w:abstractNum>
  <w:abstractNum w:abstractNumId="35">
    <w:multiLevelType w:val="hybridMultilevel"/>
    <w:lvl w:ilvl="0">
      <w:start w:val="1"/>
      <w:numFmt w:val="decimal"/>
      <w:lvlText w:val="%1)"/>
      <w:lvlJc w:val="left"/>
      <w:pPr>
        <w:ind w:left="1045" w:hanging="195"/>
        <w:jc w:val="right"/>
      </w:pPr>
      <w:rPr>
        <w:rFonts w:hint="default" w:ascii="Times New Roman" w:hAnsi="Times New Roman" w:eastAsia="Times New Roman" w:cs="Times New Roman"/>
        <w:color w:val="231F20"/>
        <w:spacing w:val="-5"/>
        <w:w w:val="100"/>
        <w:sz w:val="18"/>
        <w:szCs w:val="18"/>
      </w:rPr>
    </w:lvl>
    <w:lvl w:ilvl="1">
      <w:start w:val="0"/>
      <w:numFmt w:val="bullet"/>
      <w:lvlText w:val="•"/>
      <w:lvlJc w:val="left"/>
      <w:pPr>
        <w:ind w:left="1491" w:hanging="195"/>
      </w:pPr>
      <w:rPr>
        <w:rFonts w:hint="default"/>
      </w:rPr>
    </w:lvl>
    <w:lvl w:ilvl="2">
      <w:start w:val="0"/>
      <w:numFmt w:val="bullet"/>
      <w:lvlText w:val="•"/>
      <w:lvlJc w:val="left"/>
      <w:pPr>
        <w:ind w:left="1943" w:hanging="195"/>
      </w:pPr>
      <w:rPr>
        <w:rFonts w:hint="default"/>
      </w:rPr>
    </w:lvl>
    <w:lvl w:ilvl="3">
      <w:start w:val="0"/>
      <w:numFmt w:val="bullet"/>
      <w:lvlText w:val="•"/>
      <w:lvlJc w:val="left"/>
      <w:pPr>
        <w:ind w:left="2395" w:hanging="195"/>
      </w:pPr>
      <w:rPr>
        <w:rFonts w:hint="default"/>
      </w:rPr>
    </w:lvl>
    <w:lvl w:ilvl="4">
      <w:start w:val="0"/>
      <w:numFmt w:val="bullet"/>
      <w:lvlText w:val="•"/>
      <w:lvlJc w:val="left"/>
      <w:pPr>
        <w:ind w:left="2846" w:hanging="195"/>
      </w:pPr>
      <w:rPr>
        <w:rFonts w:hint="default"/>
      </w:rPr>
    </w:lvl>
    <w:lvl w:ilvl="5">
      <w:start w:val="0"/>
      <w:numFmt w:val="bullet"/>
      <w:lvlText w:val="•"/>
      <w:lvlJc w:val="left"/>
      <w:pPr>
        <w:ind w:left="3298" w:hanging="195"/>
      </w:pPr>
      <w:rPr>
        <w:rFonts w:hint="default"/>
      </w:rPr>
    </w:lvl>
    <w:lvl w:ilvl="6">
      <w:start w:val="0"/>
      <w:numFmt w:val="bullet"/>
      <w:lvlText w:val="•"/>
      <w:lvlJc w:val="left"/>
      <w:pPr>
        <w:ind w:left="3750" w:hanging="195"/>
      </w:pPr>
      <w:rPr>
        <w:rFonts w:hint="default"/>
      </w:rPr>
    </w:lvl>
    <w:lvl w:ilvl="7">
      <w:start w:val="0"/>
      <w:numFmt w:val="bullet"/>
      <w:lvlText w:val="•"/>
      <w:lvlJc w:val="left"/>
      <w:pPr>
        <w:ind w:left="4202" w:hanging="195"/>
      </w:pPr>
      <w:rPr>
        <w:rFonts w:hint="default"/>
      </w:rPr>
    </w:lvl>
    <w:lvl w:ilvl="8">
      <w:start w:val="0"/>
      <w:numFmt w:val="bullet"/>
      <w:lvlText w:val="•"/>
      <w:lvlJc w:val="left"/>
      <w:pPr>
        <w:ind w:left="4653" w:hanging="195"/>
      </w:pPr>
      <w:rPr>
        <w:rFonts w:hint="default"/>
      </w:rPr>
    </w:lvl>
  </w:abstractNum>
  <w:abstractNum w:abstractNumId="34">
    <w:multiLevelType w:val="hybridMultilevel"/>
    <w:lvl w:ilvl="0">
      <w:start w:val="5"/>
      <w:numFmt w:val="decimal"/>
      <w:lvlText w:val="%1"/>
      <w:lvlJc w:val="left"/>
      <w:pPr>
        <w:ind w:left="567" w:hanging="450"/>
        <w:jc w:val="left"/>
      </w:pPr>
      <w:rPr>
        <w:rFonts w:hint="default"/>
      </w:rPr>
    </w:lvl>
    <w:lvl w:ilvl="1">
      <w:start w:val="3"/>
      <w:numFmt w:val="decimal"/>
      <w:lvlText w:val="%1.%2"/>
      <w:lvlJc w:val="left"/>
      <w:pPr>
        <w:ind w:left="567" w:hanging="450"/>
        <w:jc w:val="left"/>
      </w:pPr>
      <w:rPr>
        <w:rFonts w:hint="default"/>
      </w:rPr>
    </w:lvl>
    <w:lvl w:ilvl="2">
      <w:start w:val="1"/>
      <w:numFmt w:val="decimal"/>
      <w:lvlText w:val="%1.%2.%3."/>
      <w:lvlJc w:val="left"/>
      <w:pPr>
        <w:ind w:left="567"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1986" w:hanging="450"/>
      </w:pPr>
      <w:rPr>
        <w:rFonts w:hint="default"/>
      </w:rPr>
    </w:lvl>
    <w:lvl w:ilvl="4">
      <w:start w:val="0"/>
      <w:numFmt w:val="bullet"/>
      <w:lvlText w:val="•"/>
      <w:lvlJc w:val="left"/>
      <w:pPr>
        <w:ind w:left="2461" w:hanging="450"/>
      </w:pPr>
      <w:rPr>
        <w:rFonts w:hint="default"/>
      </w:rPr>
    </w:lvl>
    <w:lvl w:ilvl="5">
      <w:start w:val="0"/>
      <w:numFmt w:val="bullet"/>
      <w:lvlText w:val="•"/>
      <w:lvlJc w:val="left"/>
      <w:pPr>
        <w:ind w:left="2936" w:hanging="450"/>
      </w:pPr>
      <w:rPr>
        <w:rFonts w:hint="default"/>
      </w:rPr>
    </w:lvl>
    <w:lvl w:ilvl="6">
      <w:start w:val="0"/>
      <w:numFmt w:val="bullet"/>
      <w:lvlText w:val="•"/>
      <w:lvlJc w:val="left"/>
      <w:pPr>
        <w:ind w:left="3412" w:hanging="450"/>
      </w:pPr>
      <w:rPr>
        <w:rFonts w:hint="default"/>
      </w:rPr>
    </w:lvl>
    <w:lvl w:ilvl="7">
      <w:start w:val="0"/>
      <w:numFmt w:val="bullet"/>
      <w:lvlText w:val="•"/>
      <w:lvlJc w:val="left"/>
      <w:pPr>
        <w:ind w:left="3887" w:hanging="450"/>
      </w:pPr>
      <w:rPr>
        <w:rFonts w:hint="default"/>
      </w:rPr>
    </w:lvl>
    <w:lvl w:ilvl="8">
      <w:start w:val="0"/>
      <w:numFmt w:val="bullet"/>
      <w:lvlText w:val="•"/>
      <w:lvlJc w:val="left"/>
      <w:pPr>
        <w:ind w:left="4362" w:hanging="450"/>
      </w:pPr>
      <w:rPr>
        <w:rFonts w:hint="default"/>
      </w:rPr>
    </w:lvl>
  </w:abstractNum>
  <w:abstractNum w:abstractNumId="33">
    <w:multiLevelType w:val="hybridMultilevel"/>
    <w:lvl w:ilvl="0">
      <w:start w:val="1"/>
      <w:numFmt w:val="decimal"/>
      <w:lvlText w:val="%1."/>
      <w:lvlJc w:val="left"/>
      <w:pPr>
        <w:ind w:left="170" w:hanging="223"/>
        <w:jc w:val="left"/>
      </w:pPr>
      <w:rPr>
        <w:rFonts w:hint="default" w:ascii="Times New Roman" w:hAnsi="Times New Roman" w:eastAsia="Times New Roman" w:cs="Times New Roman"/>
        <w:color w:val="231F20"/>
        <w:spacing w:val="-20"/>
        <w:w w:val="100"/>
        <w:sz w:val="18"/>
        <w:szCs w:val="18"/>
      </w:rPr>
    </w:lvl>
    <w:lvl w:ilvl="1">
      <w:start w:val="5"/>
      <w:numFmt w:val="decimal"/>
      <w:lvlText w:val="%2."/>
      <w:lvlJc w:val="left"/>
      <w:pPr>
        <w:ind w:left="1245" w:hanging="180"/>
        <w:jc w:val="left"/>
      </w:pPr>
      <w:rPr>
        <w:rFonts w:hint="default" w:ascii="Times New Roman" w:hAnsi="Times New Roman" w:eastAsia="Times New Roman" w:cs="Times New Roman"/>
        <w:b/>
        <w:bCs/>
        <w:color w:val="231F20"/>
        <w:spacing w:val="-6"/>
        <w:w w:val="100"/>
        <w:sz w:val="18"/>
        <w:szCs w:val="18"/>
      </w:rPr>
    </w:lvl>
    <w:lvl w:ilvl="2">
      <w:start w:val="1"/>
      <w:numFmt w:val="decimal"/>
      <w:lvlText w:val="%2.%3."/>
      <w:lvlJc w:val="left"/>
      <w:pPr>
        <w:ind w:left="2189" w:hanging="315"/>
        <w:jc w:val="right"/>
      </w:pPr>
      <w:rPr>
        <w:rFonts w:hint="default" w:ascii="Times New Roman" w:hAnsi="Times New Roman" w:eastAsia="Times New Roman" w:cs="Times New Roman"/>
        <w:i/>
        <w:color w:val="231F20"/>
        <w:spacing w:val="-5"/>
        <w:w w:val="100"/>
        <w:sz w:val="18"/>
        <w:szCs w:val="18"/>
      </w:rPr>
    </w:lvl>
    <w:lvl w:ilvl="3">
      <w:start w:val="0"/>
      <w:numFmt w:val="bullet"/>
      <w:lvlText w:val="•"/>
      <w:lvlJc w:val="left"/>
      <w:pPr>
        <w:ind w:left="1898" w:hanging="315"/>
      </w:pPr>
      <w:rPr>
        <w:rFonts w:hint="default"/>
      </w:rPr>
    </w:lvl>
    <w:lvl w:ilvl="4">
      <w:start w:val="0"/>
      <w:numFmt w:val="bullet"/>
      <w:lvlText w:val="•"/>
      <w:lvlJc w:val="left"/>
      <w:pPr>
        <w:ind w:left="1616" w:hanging="315"/>
      </w:pPr>
      <w:rPr>
        <w:rFonts w:hint="default"/>
      </w:rPr>
    </w:lvl>
    <w:lvl w:ilvl="5">
      <w:start w:val="0"/>
      <w:numFmt w:val="bullet"/>
      <w:lvlText w:val="•"/>
      <w:lvlJc w:val="left"/>
      <w:pPr>
        <w:ind w:left="1335" w:hanging="315"/>
      </w:pPr>
      <w:rPr>
        <w:rFonts w:hint="default"/>
      </w:rPr>
    </w:lvl>
    <w:lvl w:ilvl="6">
      <w:start w:val="0"/>
      <w:numFmt w:val="bullet"/>
      <w:lvlText w:val="•"/>
      <w:lvlJc w:val="left"/>
      <w:pPr>
        <w:ind w:left="1053" w:hanging="315"/>
      </w:pPr>
      <w:rPr>
        <w:rFonts w:hint="default"/>
      </w:rPr>
    </w:lvl>
    <w:lvl w:ilvl="7">
      <w:start w:val="0"/>
      <w:numFmt w:val="bullet"/>
      <w:lvlText w:val="•"/>
      <w:lvlJc w:val="left"/>
      <w:pPr>
        <w:ind w:left="772" w:hanging="315"/>
      </w:pPr>
      <w:rPr>
        <w:rFonts w:hint="default"/>
      </w:rPr>
    </w:lvl>
    <w:lvl w:ilvl="8">
      <w:start w:val="0"/>
      <w:numFmt w:val="bullet"/>
      <w:lvlText w:val="•"/>
      <w:lvlJc w:val="left"/>
      <w:pPr>
        <w:ind w:left="490" w:hanging="315"/>
      </w:pPr>
      <w:rPr>
        <w:rFonts w:hint="default"/>
      </w:rPr>
    </w:lvl>
  </w:abstractNum>
  <w:abstractNum w:abstractNumId="32">
    <w:multiLevelType w:val="hybridMultilevel"/>
    <w:lvl w:ilvl="0">
      <w:start w:val="1"/>
      <w:numFmt w:val="decimal"/>
      <w:lvlText w:val="%1."/>
      <w:lvlJc w:val="left"/>
      <w:pPr>
        <w:ind w:left="305" w:hanging="140"/>
        <w:jc w:val="left"/>
      </w:pPr>
      <w:rPr>
        <w:rFonts w:hint="default" w:ascii="Times New Roman" w:hAnsi="Times New Roman" w:eastAsia="Times New Roman" w:cs="Times New Roman"/>
        <w:color w:val="231F20"/>
        <w:spacing w:val="-1"/>
        <w:w w:val="100"/>
        <w:sz w:val="14"/>
        <w:szCs w:val="14"/>
      </w:rPr>
    </w:lvl>
    <w:lvl w:ilvl="1">
      <w:start w:val="1"/>
      <w:numFmt w:val="decimal"/>
      <w:lvlText w:val="%1.%2."/>
      <w:lvlJc w:val="left"/>
      <w:pPr>
        <w:ind w:left="645" w:hanging="245"/>
        <w:jc w:val="left"/>
      </w:pPr>
      <w:rPr>
        <w:rFonts w:hint="default" w:ascii="Times New Roman" w:hAnsi="Times New Roman" w:eastAsia="Times New Roman" w:cs="Times New Roman"/>
        <w:color w:val="231F20"/>
        <w:spacing w:val="-3"/>
        <w:w w:val="100"/>
        <w:sz w:val="14"/>
        <w:szCs w:val="14"/>
      </w:rPr>
    </w:lvl>
    <w:lvl w:ilvl="2">
      <w:start w:val="0"/>
      <w:numFmt w:val="bullet"/>
      <w:lvlText w:val="•"/>
      <w:lvlJc w:val="left"/>
      <w:pPr>
        <w:ind w:left="772" w:hanging="245"/>
      </w:pPr>
      <w:rPr>
        <w:rFonts w:hint="default"/>
      </w:rPr>
    </w:lvl>
    <w:lvl w:ilvl="3">
      <w:start w:val="0"/>
      <w:numFmt w:val="bullet"/>
      <w:lvlText w:val="•"/>
      <w:lvlJc w:val="left"/>
      <w:pPr>
        <w:ind w:left="905" w:hanging="245"/>
      </w:pPr>
      <w:rPr>
        <w:rFonts w:hint="default"/>
      </w:rPr>
    </w:lvl>
    <w:lvl w:ilvl="4">
      <w:start w:val="0"/>
      <w:numFmt w:val="bullet"/>
      <w:lvlText w:val="•"/>
      <w:lvlJc w:val="left"/>
      <w:pPr>
        <w:ind w:left="1038" w:hanging="245"/>
      </w:pPr>
      <w:rPr>
        <w:rFonts w:hint="default"/>
      </w:rPr>
    </w:lvl>
    <w:lvl w:ilvl="5">
      <w:start w:val="0"/>
      <w:numFmt w:val="bullet"/>
      <w:lvlText w:val="•"/>
      <w:lvlJc w:val="left"/>
      <w:pPr>
        <w:ind w:left="1170" w:hanging="245"/>
      </w:pPr>
      <w:rPr>
        <w:rFonts w:hint="default"/>
      </w:rPr>
    </w:lvl>
    <w:lvl w:ilvl="6">
      <w:start w:val="0"/>
      <w:numFmt w:val="bullet"/>
      <w:lvlText w:val="•"/>
      <w:lvlJc w:val="left"/>
      <w:pPr>
        <w:ind w:left="1303" w:hanging="245"/>
      </w:pPr>
      <w:rPr>
        <w:rFonts w:hint="default"/>
      </w:rPr>
    </w:lvl>
    <w:lvl w:ilvl="7">
      <w:start w:val="0"/>
      <w:numFmt w:val="bullet"/>
      <w:lvlText w:val="•"/>
      <w:lvlJc w:val="left"/>
      <w:pPr>
        <w:ind w:left="1436" w:hanging="245"/>
      </w:pPr>
      <w:rPr>
        <w:rFonts w:hint="default"/>
      </w:rPr>
    </w:lvl>
    <w:lvl w:ilvl="8">
      <w:start w:val="0"/>
      <w:numFmt w:val="bullet"/>
      <w:lvlText w:val="•"/>
      <w:lvlJc w:val="left"/>
      <w:pPr>
        <w:ind w:left="1568" w:hanging="245"/>
      </w:pPr>
      <w:rPr>
        <w:rFonts w:hint="default"/>
      </w:rPr>
    </w:lvl>
  </w:abstractNum>
  <w:abstractNum w:abstractNumId="31">
    <w:multiLevelType w:val="hybridMultilevel"/>
    <w:lvl w:ilvl="0">
      <w:start w:val="1"/>
      <w:numFmt w:val="decimal"/>
      <w:lvlText w:val="%1)"/>
      <w:lvlJc w:val="left"/>
      <w:pPr>
        <w:ind w:left="454" w:hanging="218"/>
        <w:jc w:val="right"/>
      </w:pPr>
      <w:rPr>
        <w:rFonts w:hint="default" w:ascii="Times New Roman" w:hAnsi="Times New Roman" w:eastAsia="Times New Roman" w:cs="Times New Roman"/>
        <w:color w:val="231F20"/>
        <w:w w:val="100"/>
        <w:sz w:val="18"/>
        <w:szCs w:val="18"/>
      </w:rPr>
    </w:lvl>
    <w:lvl w:ilvl="1">
      <w:start w:val="0"/>
      <w:numFmt w:val="bullet"/>
      <w:lvlText w:val="•"/>
      <w:lvlJc w:val="left"/>
      <w:pPr>
        <w:ind w:left="969" w:hanging="218"/>
      </w:pPr>
      <w:rPr>
        <w:rFonts w:hint="default"/>
      </w:rPr>
    </w:lvl>
    <w:lvl w:ilvl="2">
      <w:start w:val="0"/>
      <w:numFmt w:val="bullet"/>
      <w:lvlText w:val="•"/>
      <w:lvlJc w:val="left"/>
      <w:pPr>
        <w:ind w:left="1479" w:hanging="218"/>
      </w:pPr>
      <w:rPr>
        <w:rFonts w:hint="default"/>
      </w:rPr>
    </w:lvl>
    <w:lvl w:ilvl="3">
      <w:start w:val="0"/>
      <w:numFmt w:val="bullet"/>
      <w:lvlText w:val="•"/>
      <w:lvlJc w:val="left"/>
      <w:pPr>
        <w:ind w:left="1989" w:hanging="218"/>
      </w:pPr>
      <w:rPr>
        <w:rFonts w:hint="default"/>
      </w:rPr>
    </w:lvl>
    <w:lvl w:ilvl="4">
      <w:start w:val="0"/>
      <w:numFmt w:val="bullet"/>
      <w:lvlText w:val="•"/>
      <w:lvlJc w:val="left"/>
      <w:pPr>
        <w:ind w:left="2499" w:hanging="218"/>
      </w:pPr>
      <w:rPr>
        <w:rFonts w:hint="default"/>
      </w:rPr>
    </w:lvl>
    <w:lvl w:ilvl="5">
      <w:start w:val="0"/>
      <w:numFmt w:val="bullet"/>
      <w:lvlText w:val="•"/>
      <w:lvlJc w:val="left"/>
      <w:pPr>
        <w:ind w:left="3009" w:hanging="218"/>
      </w:pPr>
      <w:rPr>
        <w:rFonts w:hint="default"/>
      </w:rPr>
    </w:lvl>
    <w:lvl w:ilvl="6">
      <w:start w:val="0"/>
      <w:numFmt w:val="bullet"/>
      <w:lvlText w:val="•"/>
      <w:lvlJc w:val="left"/>
      <w:pPr>
        <w:ind w:left="3519" w:hanging="218"/>
      </w:pPr>
      <w:rPr>
        <w:rFonts w:hint="default"/>
      </w:rPr>
    </w:lvl>
    <w:lvl w:ilvl="7">
      <w:start w:val="0"/>
      <w:numFmt w:val="bullet"/>
      <w:lvlText w:val="•"/>
      <w:lvlJc w:val="left"/>
      <w:pPr>
        <w:ind w:left="4029" w:hanging="218"/>
      </w:pPr>
      <w:rPr>
        <w:rFonts w:hint="default"/>
      </w:rPr>
    </w:lvl>
    <w:lvl w:ilvl="8">
      <w:start w:val="0"/>
      <w:numFmt w:val="bullet"/>
      <w:lvlText w:val="•"/>
      <w:lvlJc w:val="left"/>
      <w:pPr>
        <w:ind w:left="4539" w:hanging="218"/>
      </w:pPr>
      <w:rPr>
        <w:rFonts w:hint="default"/>
      </w:rPr>
    </w:lvl>
  </w:abstractNum>
  <w:abstractNum w:abstractNumId="30">
    <w:multiLevelType w:val="hybridMultilevel"/>
    <w:lvl w:ilvl="0">
      <w:start w:val="3"/>
      <w:numFmt w:val="decimal"/>
      <w:lvlText w:val="%1"/>
      <w:lvlJc w:val="left"/>
      <w:pPr>
        <w:ind w:left="1520" w:hanging="315"/>
        <w:jc w:val="left"/>
      </w:pPr>
      <w:rPr>
        <w:rFonts w:hint="default"/>
      </w:rPr>
    </w:lvl>
    <w:lvl w:ilvl="1">
      <w:start w:val="1"/>
      <w:numFmt w:val="decimal"/>
      <w:lvlText w:val="%1.%2."/>
      <w:lvlJc w:val="left"/>
      <w:pPr>
        <w:ind w:left="1520" w:hanging="315"/>
        <w:jc w:val="right"/>
      </w:pPr>
      <w:rPr>
        <w:rFonts w:hint="default" w:ascii="Times New Roman" w:hAnsi="Times New Roman" w:eastAsia="Times New Roman" w:cs="Times New Roman"/>
        <w:i/>
        <w:color w:val="231F20"/>
        <w:spacing w:val="-5"/>
        <w:w w:val="100"/>
        <w:sz w:val="18"/>
        <w:szCs w:val="18"/>
      </w:rPr>
    </w:lvl>
    <w:lvl w:ilvl="2">
      <w:start w:val="0"/>
      <w:numFmt w:val="bullet"/>
      <w:lvlText w:val="•"/>
      <w:lvlJc w:val="left"/>
      <w:pPr>
        <w:ind w:left="2327" w:hanging="315"/>
      </w:pPr>
      <w:rPr>
        <w:rFonts w:hint="default"/>
      </w:rPr>
    </w:lvl>
    <w:lvl w:ilvl="3">
      <w:start w:val="0"/>
      <w:numFmt w:val="bullet"/>
      <w:lvlText w:val="•"/>
      <w:lvlJc w:val="left"/>
      <w:pPr>
        <w:ind w:left="2731" w:hanging="315"/>
      </w:pPr>
      <w:rPr>
        <w:rFonts w:hint="default"/>
      </w:rPr>
    </w:lvl>
    <w:lvl w:ilvl="4">
      <w:start w:val="0"/>
      <w:numFmt w:val="bullet"/>
      <w:lvlText w:val="•"/>
      <w:lvlJc w:val="left"/>
      <w:pPr>
        <w:ind w:left="3135" w:hanging="315"/>
      </w:pPr>
      <w:rPr>
        <w:rFonts w:hint="default"/>
      </w:rPr>
    </w:lvl>
    <w:lvl w:ilvl="5">
      <w:start w:val="0"/>
      <w:numFmt w:val="bullet"/>
      <w:lvlText w:val="•"/>
      <w:lvlJc w:val="left"/>
      <w:pPr>
        <w:ind w:left="3539" w:hanging="315"/>
      </w:pPr>
      <w:rPr>
        <w:rFonts w:hint="default"/>
      </w:rPr>
    </w:lvl>
    <w:lvl w:ilvl="6">
      <w:start w:val="0"/>
      <w:numFmt w:val="bullet"/>
      <w:lvlText w:val="•"/>
      <w:lvlJc w:val="left"/>
      <w:pPr>
        <w:ind w:left="3942" w:hanging="315"/>
      </w:pPr>
      <w:rPr>
        <w:rFonts w:hint="default"/>
      </w:rPr>
    </w:lvl>
    <w:lvl w:ilvl="7">
      <w:start w:val="0"/>
      <w:numFmt w:val="bullet"/>
      <w:lvlText w:val="•"/>
      <w:lvlJc w:val="left"/>
      <w:pPr>
        <w:ind w:left="4346" w:hanging="315"/>
      </w:pPr>
      <w:rPr>
        <w:rFonts w:hint="default"/>
      </w:rPr>
    </w:lvl>
    <w:lvl w:ilvl="8">
      <w:start w:val="0"/>
      <w:numFmt w:val="bullet"/>
      <w:lvlText w:val="•"/>
      <w:lvlJc w:val="left"/>
      <w:pPr>
        <w:ind w:left="4750" w:hanging="315"/>
      </w:pPr>
      <w:rPr>
        <w:rFonts w:hint="default"/>
      </w:rPr>
    </w:lvl>
  </w:abstractNum>
  <w:abstractNum w:abstractNumId="29">
    <w:multiLevelType w:val="hybridMultilevel"/>
    <w:lvl w:ilvl="0">
      <w:start w:val="1"/>
      <w:numFmt w:val="decimal"/>
      <w:lvlText w:val="%1)"/>
      <w:lvlJc w:val="left"/>
      <w:pPr>
        <w:ind w:left="1044" w:hanging="195"/>
        <w:jc w:val="right"/>
      </w:pPr>
      <w:rPr>
        <w:rFonts w:hint="default" w:ascii="Times New Roman" w:hAnsi="Times New Roman" w:eastAsia="Times New Roman" w:cs="Times New Roman"/>
        <w:color w:val="231F20"/>
        <w:spacing w:val="-10"/>
        <w:w w:val="100"/>
        <w:sz w:val="18"/>
        <w:szCs w:val="18"/>
      </w:rPr>
    </w:lvl>
    <w:lvl w:ilvl="1">
      <w:start w:val="0"/>
      <w:numFmt w:val="bullet"/>
      <w:lvlText w:val="•"/>
      <w:lvlJc w:val="left"/>
      <w:pPr>
        <w:ind w:left="1491" w:hanging="195"/>
      </w:pPr>
      <w:rPr>
        <w:rFonts w:hint="default"/>
      </w:rPr>
    </w:lvl>
    <w:lvl w:ilvl="2">
      <w:start w:val="0"/>
      <w:numFmt w:val="bullet"/>
      <w:lvlText w:val="•"/>
      <w:lvlJc w:val="left"/>
      <w:pPr>
        <w:ind w:left="1943" w:hanging="195"/>
      </w:pPr>
      <w:rPr>
        <w:rFonts w:hint="default"/>
      </w:rPr>
    </w:lvl>
    <w:lvl w:ilvl="3">
      <w:start w:val="0"/>
      <w:numFmt w:val="bullet"/>
      <w:lvlText w:val="•"/>
      <w:lvlJc w:val="left"/>
      <w:pPr>
        <w:ind w:left="2395" w:hanging="195"/>
      </w:pPr>
      <w:rPr>
        <w:rFonts w:hint="default"/>
      </w:rPr>
    </w:lvl>
    <w:lvl w:ilvl="4">
      <w:start w:val="0"/>
      <w:numFmt w:val="bullet"/>
      <w:lvlText w:val="•"/>
      <w:lvlJc w:val="left"/>
      <w:pPr>
        <w:ind w:left="2846" w:hanging="195"/>
      </w:pPr>
      <w:rPr>
        <w:rFonts w:hint="default"/>
      </w:rPr>
    </w:lvl>
    <w:lvl w:ilvl="5">
      <w:start w:val="0"/>
      <w:numFmt w:val="bullet"/>
      <w:lvlText w:val="•"/>
      <w:lvlJc w:val="left"/>
      <w:pPr>
        <w:ind w:left="3298" w:hanging="195"/>
      </w:pPr>
      <w:rPr>
        <w:rFonts w:hint="default"/>
      </w:rPr>
    </w:lvl>
    <w:lvl w:ilvl="6">
      <w:start w:val="0"/>
      <w:numFmt w:val="bullet"/>
      <w:lvlText w:val="•"/>
      <w:lvlJc w:val="left"/>
      <w:pPr>
        <w:ind w:left="3750" w:hanging="195"/>
      </w:pPr>
      <w:rPr>
        <w:rFonts w:hint="default"/>
      </w:rPr>
    </w:lvl>
    <w:lvl w:ilvl="7">
      <w:start w:val="0"/>
      <w:numFmt w:val="bullet"/>
      <w:lvlText w:val="•"/>
      <w:lvlJc w:val="left"/>
      <w:pPr>
        <w:ind w:left="4201" w:hanging="195"/>
      </w:pPr>
      <w:rPr>
        <w:rFonts w:hint="default"/>
      </w:rPr>
    </w:lvl>
    <w:lvl w:ilvl="8">
      <w:start w:val="0"/>
      <w:numFmt w:val="bullet"/>
      <w:lvlText w:val="•"/>
      <w:lvlJc w:val="left"/>
      <w:pPr>
        <w:ind w:left="4653" w:hanging="195"/>
      </w:pPr>
      <w:rPr>
        <w:rFonts w:hint="default"/>
      </w:rPr>
    </w:lvl>
  </w:abstractNum>
  <w:abstractNum w:abstractNumId="28">
    <w:multiLevelType w:val="hybridMultilevel"/>
    <w:lvl w:ilvl="0">
      <w:start w:val="2"/>
      <w:numFmt w:val="decimal"/>
      <w:lvlText w:val="%1"/>
      <w:lvlJc w:val="left"/>
      <w:pPr>
        <w:ind w:left="870" w:hanging="315"/>
        <w:jc w:val="left"/>
      </w:pPr>
      <w:rPr>
        <w:rFonts w:hint="default"/>
      </w:rPr>
    </w:lvl>
    <w:lvl w:ilvl="1">
      <w:start w:val="1"/>
      <w:numFmt w:val="decimal"/>
      <w:lvlText w:val="%1.%2."/>
      <w:lvlJc w:val="left"/>
      <w:pPr>
        <w:ind w:left="870" w:hanging="315"/>
        <w:jc w:val="right"/>
      </w:pPr>
      <w:rPr>
        <w:rFonts w:hint="default" w:ascii="Times New Roman" w:hAnsi="Times New Roman" w:eastAsia="Times New Roman" w:cs="Times New Roman"/>
        <w:i/>
        <w:color w:val="231F20"/>
        <w:spacing w:val="-5"/>
        <w:w w:val="100"/>
        <w:sz w:val="18"/>
        <w:szCs w:val="18"/>
      </w:rPr>
    </w:lvl>
    <w:lvl w:ilvl="2">
      <w:start w:val="0"/>
      <w:numFmt w:val="bullet"/>
      <w:lvlText w:val="•"/>
      <w:lvlJc w:val="left"/>
      <w:pPr>
        <w:ind w:left="1798" w:hanging="315"/>
      </w:pPr>
      <w:rPr>
        <w:rFonts w:hint="default"/>
      </w:rPr>
    </w:lvl>
    <w:lvl w:ilvl="3">
      <w:start w:val="0"/>
      <w:numFmt w:val="bullet"/>
      <w:lvlText w:val="•"/>
      <w:lvlJc w:val="left"/>
      <w:pPr>
        <w:ind w:left="2258" w:hanging="315"/>
      </w:pPr>
      <w:rPr>
        <w:rFonts w:hint="default"/>
      </w:rPr>
    </w:lvl>
    <w:lvl w:ilvl="4">
      <w:start w:val="0"/>
      <w:numFmt w:val="bullet"/>
      <w:lvlText w:val="•"/>
      <w:lvlJc w:val="left"/>
      <w:pPr>
        <w:ind w:left="2717" w:hanging="315"/>
      </w:pPr>
      <w:rPr>
        <w:rFonts w:hint="default"/>
      </w:rPr>
    </w:lvl>
    <w:lvl w:ilvl="5">
      <w:start w:val="0"/>
      <w:numFmt w:val="bullet"/>
      <w:lvlText w:val="•"/>
      <w:lvlJc w:val="left"/>
      <w:pPr>
        <w:ind w:left="3177" w:hanging="315"/>
      </w:pPr>
      <w:rPr>
        <w:rFonts w:hint="default"/>
      </w:rPr>
    </w:lvl>
    <w:lvl w:ilvl="6">
      <w:start w:val="0"/>
      <w:numFmt w:val="bullet"/>
      <w:lvlText w:val="•"/>
      <w:lvlJc w:val="left"/>
      <w:pPr>
        <w:ind w:left="3636" w:hanging="315"/>
      </w:pPr>
      <w:rPr>
        <w:rFonts w:hint="default"/>
      </w:rPr>
    </w:lvl>
    <w:lvl w:ilvl="7">
      <w:start w:val="0"/>
      <w:numFmt w:val="bullet"/>
      <w:lvlText w:val="•"/>
      <w:lvlJc w:val="left"/>
      <w:pPr>
        <w:ind w:left="4096" w:hanging="315"/>
      </w:pPr>
      <w:rPr>
        <w:rFonts w:hint="default"/>
      </w:rPr>
    </w:lvl>
    <w:lvl w:ilvl="8">
      <w:start w:val="0"/>
      <w:numFmt w:val="bullet"/>
      <w:lvlText w:val="•"/>
      <w:lvlJc w:val="left"/>
      <w:pPr>
        <w:ind w:left="4555" w:hanging="315"/>
      </w:pPr>
      <w:rPr>
        <w:rFonts w:hint="default"/>
      </w:rPr>
    </w:lvl>
  </w:abstractNum>
  <w:abstractNum w:abstractNumId="27">
    <w:multiLevelType w:val="hybridMultilevel"/>
    <w:lvl w:ilvl="0">
      <w:start w:val="3"/>
      <w:numFmt w:val="decimal"/>
      <w:lvlText w:val="%1"/>
      <w:lvlJc w:val="left"/>
      <w:pPr>
        <w:ind w:left="397" w:hanging="315"/>
        <w:jc w:val="left"/>
      </w:pPr>
      <w:rPr>
        <w:rFonts w:hint="default"/>
      </w:rPr>
    </w:lvl>
    <w:lvl w:ilvl="1">
      <w:start w:val="1"/>
      <w:numFmt w:val="decimal"/>
      <w:lvlText w:val="%1.%2."/>
      <w:lvlJc w:val="left"/>
      <w:pPr>
        <w:ind w:left="397" w:hanging="315"/>
        <w:jc w:val="right"/>
      </w:pPr>
      <w:rPr>
        <w:rFonts w:hint="default" w:ascii="Times New Roman" w:hAnsi="Times New Roman" w:eastAsia="Times New Roman" w:cs="Times New Roman"/>
        <w:i/>
        <w:color w:val="231F20"/>
        <w:spacing w:val="-7"/>
        <w:w w:val="100"/>
        <w:sz w:val="18"/>
        <w:szCs w:val="18"/>
      </w:rPr>
    </w:lvl>
    <w:lvl w:ilvl="2">
      <w:start w:val="1"/>
      <w:numFmt w:val="decimal"/>
      <w:lvlText w:val="%3."/>
      <w:lvlJc w:val="left"/>
      <w:pPr>
        <w:ind w:left="1922" w:hanging="180"/>
        <w:jc w:val="right"/>
      </w:pPr>
      <w:rPr>
        <w:rFonts w:hint="default" w:ascii="Times New Roman" w:hAnsi="Times New Roman" w:eastAsia="Times New Roman" w:cs="Times New Roman"/>
        <w:b/>
        <w:bCs/>
        <w:color w:val="231F20"/>
        <w:spacing w:val="-12"/>
        <w:w w:val="100"/>
        <w:sz w:val="18"/>
        <w:szCs w:val="18"/>
      </w:rPr>
    </w:lvl>
    <w:lvl w:ilvl="3">
      <w:start w:val="1"/>
      <w:numFmt w:val="decimal"/>
      <w:lvlText w:val="%3.%4."/>
      <w:lvlJc w:val="left"/>
      <w:pPr>
        <w:ind w:left="2534" w:hanging="315"/>
        <w:jc w:val="right"/>
      </w:pPr>
      <w:rPr>
        <w:rFonts w:hint="default" w:ascii="Times New Roman" w:hAnsi="Times New Roman" w:eastAsia="Times New Roman" w:cs="Times New Roman"/>
        <w:i/>
        <w:color w:val="231F20"/>
        <w:spacing w:val="-3"/>
        <w:w w:val="100"/>
        <w:sz w:val="18"/>
        <w:szCs w:val="18"/>
      </w:rPr>
    </w:lvl>
    <w:lvl w:ilvl="4">
      <w:start w:val="0"/>
      <w:numFmt w:val="bullet"/>
      <w:lvlText w:val="•"/>
      <w:lvlJc w:val="left"/>
      <w:pPr>
        <w:ind w:left="2959" w:hanging="315"/>
      </w:pPr>
      <w:rPr>
        <w:rFonts w:hint="default"/>
      </w:rPr>
    </w:lvl>
    <w:lvl w:ilvl="5">
      <w:start w:val="0"/>
      <w:numFmt w:val="bullet"/>
      <w:lvlText w:val="•"/>
      <w:lvlJc w:val="left"/>
      <w:pPr>
        <w:ind w:left="3378" w:hanging="315"/>
      </w:pPr>
      <w:rPr>
        <w:rFonts w:hint="default"/>
      </w:rPr>
    </w:lvl>
    <w:lvl w:ilvl="6">
      <w:start w:val="0"/>
      <w:numFmt w:val="bullet"/>
      <w:lvlText w:val="•"/>
      <w:lvlJc w:val="left"/>
      <w:pPr>
        <w:ind w:left="3797" w:hanging="315"/>
      </w:pPr>
      <w:rPr>
        <w:rFonts w:hint="default"/>
      </w:rPr>
    </w:lvl>
    <w:lvl w:ilvl="7">
      <w:start w:val="0"/>
      <w:numFmt w:val="bullet"/>
      <w:lvlText w:val="•"/>
      <w:lvlJc w:val="left"/>
      <w:pPr>
        <w:ind w:left="4216" w:hanging="315"/>
      </w:pPr>
      <w:rPr>
        <w:rFonts w:hint="default"/>
      </w:rPr>
    </w:lvl>
    <w:lvl w:ilvl="8">
      <w:start w:val="0"/>
      <w:numFmt w:val="bullet"/>
      <w:lvlText w:val="•"/>
      <w:lvlJc w:val="left"/>
      <w:pPr>
        <w:ind w:left="4635" w:hanging="315"/>
      </w:pPr>
      <w:rPr>
        <w:rFonts w:hint="default"/>
      </w:rPr>
    </w:lvl>
  </w:abstractNum>
  <w:abstractNum w:abstractNumId="26">
    <w:multiLevelType w:val="hybridMultilevel"/>
    <w:lvl w:ilvl="0">
      <w:start w:val="1"/>
      <w:numFmt w:val="decimal"/>
      <w:lvlText w:val="%1)"/>
      <w:lvlJc w:val="left"/>
      <w:pPr>
        <w:ind w:left="1046" w:hanging="195"/>
        <w:jc w:val="left"/>
      </w:pPr>
      <w:rPr>
        <w:rFonts w:hint="default" w:ascii="Times New Roman" w:hAnsi="Times New Roman" w:eastAsia="Times New Roman" w:cs="Times New Roman"/>
        <w:color w:val="231F20"/>
        <w:spacing w:val="-10"/>
        <w:w w:val="100"/>
        <w:sz w:val="18"/>
        <w:szCs w:val="18"/>
      </w:rPr>
    </w:lvl>
    <w:lvl w:ilvl="1">
      <w:start w:val="0"/>
      <w:numFmt w:val="bullet"/>
      <w:lvlText w:val="•"/>
      <w:lvlJc w:val="left"/>
      <w:pPr>
        <w:ind w:left="1491" w:hanging="195"/>
      </w:pPr>
      <w:rPr>
        <w:rFonts w:hint="default"/>
      </w:rPr>
    </w:lvl>
    <w:lvl w:ilvl="2">
      <w:start w:val="0"/>
      <w:numFmt w:val="bullet"/>
      <w:lvlText w:val="•"/>
      <w:lvlJc w:val="left"/>
      <w:pPr>
        <w:ind w:left="1943" w:hanging="195"/>
      </w:pPr>
      <w:rPr>
        <w:rFonts w:hint="default"/>
      </w:rPr>
    </w:lvl>
    <w:lvl w:ilvl="3">
      <w:start w:val="0"/>
      <w:numFmt w:val="bullet"/>
      <w:lvlText w:val="•"/>
      <w:lvlJc w:val="left"/>
      <w:pPr>
        <w:ind w:left="2395" w:hanging="195"/>
      </w:pPr>
      <w:rPr>
        <w:rFonts w:hint="default"/>
      </w:rPr>
    </w:lvl>
    <w:lvl w:ilvl="4">
      <w:start w:val="0"/>
      <w:numFmt w:val="bullet"/>
      <w:lvlText w:val="•"/>
      <w:lvlJc w:val="left"/>
      <w:pPr>
        <w:ind w:left="2847" w:hanging="195"/>
      </w:pPr>
      <w:rPr>
        <w:rFonts w:hint="default"/>
      </w:rPr>
    </w:lvl>
    <w:lvl w:ilvl="5">
      <w:start w:val="0"/>
      <w:numFmt w:val="bullet"/>
      <w:lvlText w:val="•"/>
      <w:lvlJc w:val="left"/>
      <w:pPr>
        <w:ind w:left="3298" w:hanging="195"/>
      </w:pPr>
      <w:rPr>
        <w:rFonts w:hint="default"/>
      </w:rPr>
    </w:lvl>
    <w:lvl w:ilvl="6">
      <w:start w:val="0"/>
      <w:numFmt w:val="bullet"/>
      <w:lvlText w:val="•"/>
      <w:lvlJc w:val="left"/>
      <w:pPr>
        <w:ind w:left="3750" w:hanging="195"/>
      </w:pPr>
      <w:rPr>
        <w:rFonts w:hint="default"/>
      </w:rPr>
    </w:lvl>
    <w:lvl w:ilvl="7">
      <w:start w:val="0"/>
      <w:numFmt w:val="bullet"/>
      <w:lvlText w:val="•"/>
      <w:lvlJc w:val="left"/>
      <w:pPr>
        <w:ind w:left="4202" w:hanging="195"/>
      </w:pPr>
      <w:rPr>
        <w:rFonts w:hint="default"/>
      </w:rPr>
    </w:lvl>
    <w:lvl w:ilvl="8">
      <w:start w:val="0"/>
      <w:numFmt w:val="bullet"/>
      <w:lvlText w:val="•"/>
      <w:lvlJc w:val="left"/>
      <w:pPr>
        <w:ind w:left="4654" w:hanging="195"/>
      </w:pPr>
      <w:rPr>
        <w:rFonts w:hint="default"/>
      </w:rPr>
    </w:lvl>
  </w:abstractNum>
  <w:abstractNum w:abstractNumId="25">
    <w:multiLevelType w:val="hybridMultilevel"/>
    <w:lvl w:ilvl="0">
      <w:start w:val="2"/>
      <w:numFmt w:val="decimal"/>
      <w:lvlText w:val="%1"/>
      <w:lvlJc w:val="left"/>
      <w:pPr>
        <w:ind w:left="2007" w:hanging="315"/>
        <w:jc w:val="left"/>
      </w:pPr>
      <w:rPr>
        <w:rFonts w:hint="default"/>
      </w:rPr>
    </w:lvl>
    <w:lvl w:ilvl="1">
      <w:start w:val="1"/>
      <w:numFmt w:val="decimal"/>
      <w:lvlText w:val="%1.%2."/>
      <w:lvlJc w:val="left"/>
      <w:pPr>
        <w:ind w:left="2007" w:hanging="315"/>
        <w:jc w:val="left"/>
      </w:pPr>
      <w:rPr>
        <w:rFonts w:hint="default" w:ascii="Times New Roman" w:hAnsi="Times New Roman" w:eastAsia="Times New Roman" w:cs="Times New Roman"/>
        <w:i/>
        <w:color w:val="231F20"/>
        <w:spacing w:val="-5"/>
        <w:w w:val="100"/>
        <w:sz w:val="18"/>
        <w:szCs w:val="18"/>
      </w:rPr>
    </w:lvl>
    <w:lvl w:ilvl="2">
      <w:start w:val="1"/>
      <w:numFmt w:val="decimal"/>
      <w:lvlText w:val="%1.%2.%3."/>
      <w:lvlJc w:val="left"/>
      <w:pPr>
        <w:ind w:left="2618" w:hanging="450"/>
        <w:jc w:val="right"/>
      </w:pPr>
      <w:rPr>
        <w:rFonts w:hint="default" w:ascii="Times New Roman" w:hAnsi="Times New Roman" w:eastAsia="Times New Roman" w:cs="Times New Roman"/>
        <w:color w:val="231F20"/>
        <w:spacing w:val="-12"/>
        <w:w w:val="100"/>
        <w:sz w:val="18"/>
        <w:szCs w:val="18"/>
      </w:rPr>
    </w:lvl>
    <w:lvl w:ilvl="3">
      <w:start w:val="0"/>
      <w:numFmt w:val="bullet"/>
      <w:lvlText w:val="•"/>
      <w:lvlJc w:val="left"/>
      <w:pPr>
        <w:ind w:left="3272" w:hanging="450"/>
      </w:pPr>
      <w:rPr>
        <w:rFonts w:hint="default"/>
      </w:rPr>
    </w:lvl>
    <w:lvl w:ilvl="4">
      <w:start w:val="0"/>
      <w:numFmt w:val="bullet"/>
      <w:lvlText w:val="•"/>
      <w:lvlJc w:val="left"/>
      <w:pPr>
        <w:ind w:left="3598" w:hanging="450"/>
      </w:pPr>
      <w:rPr>
        <w:rFonts w:hint="default"/>
      </w:rPr>
    </w:lvl>
    <w:lvl w:ilvl="5">
      <w:start w:val="0"/>
      <w:numFmt w:val="bullet"/>
      <w:lvlText w:val="•"/>
      <w:lvlJc w:val="left"/>
      <w:pPr>
        <w:ind w:left="3925" w:hanging="450"/>
      </w:pPr>
      <w:rPr>
        <w:rFonts w:hint="default"/>
      </w:rPr>
    </w:lvl>
    <w:lvl w:ilvl="6">
      <w:start w:val="0"/>
      <w:numFmt w:val="bullet"/>
      <w:lvlText w:val="•"/>
      <w:lvlJc w:val="left"/>
      <w:pPr>
        <w:ind w:left="4251" w:hanging="450"/>
      </w:pPr>
      <w:rPr>
        <w:rFonts w:hint="default"/>
      </w:rPr>
    </w:lvl>
    <w:lvl w:ilvl="7">
      <w:start w:val="0"/>
      <w:numFmt w:val="bullet"/>
      <w:lvlText w:val="•"/>
      <w:lvlJc w:val="left"/>
      <w:pPr>
        <w:ind w:left="4577" w:hanging="450"/>
      </w:pPr>
      <w:rPr>
        <w:rFonts w:hint="default"/>
      </w:rPr>
    </w:lvl>
    <w:lvl w:ilvl="8">
      <w:start w:val="0"/>
      <w:numFmt w:val="bullet"/>
      <w:lvlText w:val="•"/>
      <w:lvlJc w:val="left"/>
      <w:pPr>
        <w:ind w:left="4903" w:hanging="450"/>
      </w:pPr>
      <w:rPr>
        <w:rFonts w:hint="default"/>
      </w:rPr>
    </w:lvl>
  </w:abstractNum>
  <w:abstractNum w:abstractNumId="24">
    <w:multiLevelType w:val="hybridMultilevel"/>
    <w:lvl w:ilvl="0">
      <w:start w:val="3"/>
      <w:numFmt w:val="decimal"/>
      <w:lvlText w:val="%1)"/>
      <w:lvlJc w:val="left"/>
      <w:pPr>
        <w:ind w:left="170" w:hanging="215"/>
        <w:jc w:val="left"/>
      </w:pPr>
      <w:rPr>
        <w:rFonts w:hint="default" w:ascii="Times New Roman" w:hAnsi="Times New Roman" w:eastAsia="Times New Roman" w:cs="Times New Roman"/>
        <w:color w:val="231F20"/>
        <w:w w:val="100"/>
        <w:sz w:val="18"/>
        <w:szCs w:val="18"/>
      </w:rPr>
    </w:lvl>
    <w:lvl w:ilvl="1">
      <w:start w:val="1"/>
      <w:numFmt w:val="decimal"/>
      <w:lvlText w:val="%2)"/>
      <w:lvlJc w:val="left"/>
      <w:pPr>
        <w:ind w:left="1045" w:hanging="195"/>
        <w:jc w:val="left"/>
      </w:pPr>
      <w:rPr>
        <w:rFonts w:hint="default" w:ascii="Times New Roman" w:hAnsi="Times New Roman" w:eastAsia="Times New Roman" w:cs="Times New Roman"/>
        <w:color w:val="231F20"/>
        <w:spacing w:val="-10"/>
        <w:w w:val="100"/>
        <w:sz w:val="18"/>
        <w:szCs w:val="18"/>
      </w:rPr>
    </w:lvl>
    <w:lvl w:ilvl="2">
      <w:start w:val="0"/>
      <w:numFmt w:val="bullet"/>
      <w:lvlText w:val="•"/>
      <w:lvlJc w:val="left"/>
      <w:pPr>
        <w:ind w:left="943" w:hanging="195"/>
      </w:pPr>
      <w:rPr>
        <w:rFonts w:hint="default"/>
      </w:rPr>
    </w:lvl>
    <w:lvl w:ilvl="3">
      <w:start w:val="0"/>
      <w:numFmt w:val="bullet"/>
      <w:lvlText w:val="•"/>
      <w:lvlJc w:val="left"/>
      <w:pPr>
        <w:ind w:left="846" w:hanging="195"/>
      </w:pPr>
      <w:rPr>
        <w:rFonts w:hint="default"/>
      </w:rPr>
    </w:lvl>
    <w:lvl w:ilvl="4">
      <w:start w:val="0"/>
      <w:numFmt w:val="bullet"/>
      <w:lvlText w:val="•"/>
      <w:lvlJc w:val="left"/>
      <w:pPr>
        <w:ind w:left="750" w:hanging="195"/>
      </w:pPr>
      <w:rPr>
        <w:rFonts w:hint="default"/>
      </w:rPr>
    </w:lvl>
    <w:lvl w:ilvl="5">
      <w:start w:val="0"/>
      <w:numFmt w:val="bullet"/>
      <w:lvlText w:val="•"/>
      <w:lvlJc w:val="left"/>
      <w:pPr>
        <w:ind w:left="653" w:hanging="195"/>
      </w:pPr>
      <w:rPr>
        <w:rFonts w:hint="default"/>
      </w:rPr>
    </w:lvl>
    <w:lvl w:ilvl="6">
      <w:start w:val="0"/>
      <w:numFmt w:val="bullet"/>
      <w:lvlText w:val="•"/>
      <w:lvlJc w:val="left"/>
      <w:pPr>
        <w:ind w:left="556" w:hanging="195"/>
      </w:pPr>
      <w:rPr>
        <w:rFonts w:hint="default"/>
      </w:rPr>
    </w:lvl>
    <w:lvl w:ilvl="7">
      <w:start w:val="0"/>
      <w:numFmt w:val="bullet"/>
      <w:lvlText w:val="•"/>
      <w:lvlJc w:val="left"/>
      <w:pPr>
        <w:ind w:left="460" w:hanging="195"/>
      </w:pPr>
      <w:rPr>
        <w:rFonts w:hint="default"/>
      </w:rPr>
    </w:lvl>
    <w:lvl w:ilvl="8">
      <w:start w:val="0"/>
      <w:numFmt w:val="bullet"/>
      <w:lvlText w:val="•"/>
      <w:lvlJc w:val="left"/>
      <w:pPr>
        <w:ind w:left="363" w:hanging="195"/>
      </w:pPr>
      <w:rPr>
        <w:rFonts w:hint="default"/>
      </w:rPr>
    </w:lvl>
  </w:abstractNum>
  <w:abstractNum w:abstractNumId="23">
    <w:multiLevelType w:val="hybridMultilevel"/>
    <w:lvl w:ilvl="0">
      <w:start w:val="2"/>
      <w:numFmt w:val="upperRoman"/>
      <w:lvlText w:val="%1."/>
      <w:lvlJc w:val="left"/>
      <w:pPr>
        <w:ind w:left="1925" w:hanging="230"/>
        <w:jc w:val="left"/>
      </w:pPr>
      <w:rPr>
        <w:rFonts w:hint="default" w:ascii="Times New Roman" w:hAnsi="Times New Roman" w:eastAsia="Times New Roman" w:cs="Times New Roman"/>
        <w:b/>
        <w:bCs/>
        <w:color w:val="231F20"/>
        <w:spacing w:val="-1"/>
        <w:w w:val="100"/>
        <w:sz w:val="18"/>
        <w:szCs w:val="18"/>
      </w:rPr>
    </w:lvl>
    <w:lvl w:ilvl="1">
      <w:start w:val="1"/>
      <w:numFmt w:val="decimal"/>
      <w:lvlText w:val="%2."/>
      <w:lvlJc w:val="left"/>
      <w:pPr>
        <w:ind w:left="1806" w:hanging="180"/>
        <w:jc w:val="right"/>
      </w:pPr>
      <w:rPr>
        <w:rFonts w:hint="default" w:ascii="Times New Roman" w:hAnsi="Times New Roman" w:eastAsia="Times New Roman" w:cs="Times New Roman"/>
        <w:b/>
        <w:bCs/>
        <w:color w:val="231F20"/>
        <w:spacing w:val="-3"/>
        <w:w w:val="100"/>
        <w:sz w:val="18"/>
        <w:szCs w:val="18"/>
      </w:rPr>
    </w:lvl>
    <w:lvl w:ilvl="2">
      <w:start w:val="1"/>
      <w:numFmt w:val="decimal"/>
      <w:lvlText w:val="%2.%3."/>
      <w:lvlJc w:val="left"/>
      <w:pPr>
        <w:ind w:left="1796" w:hanging="315"/>
        <w:jc w:val="right"/>
      </w:pPr>
      <w:rPr>
        <w:rFonts w:hint="default" w:ascii="Times New Roman" w:hAnsi="Times New Roman" w:eastAsia="Times New Roman" w:cs="Times New Roman"/>
        <w:i/>
        <w:color w:val="231F20"/>
        <w:spacing w:val="-5"/>
        <w:w w:val="100"/>
        <w:sz w:val="18"/>
        <w:szCs w:val="18"/>
      </w:rPr>
    </w:lvl>
    <w:lvl w:ilvl="3">
      <w:start w:val="0"/>
      <w:numFmt w:val="bullet"/>
      <w:lvlText w:val="•"/>
      <w:lvlJc w:val="left"/>
      <w:pPr>
        <w:ind w:left="2728" w:hanging="315"/>
      </w:pPr>
      <w:rPr>
        <w:rFonts w:hint="default"/>
      </w:rPr>
    </w:lvl>
    <w:lvl w:ilvl="4">
      <w:start w:val="0"/>
      <w:numFmt w:val="bullet"/>
      <w:lvlText w:val="•"/>
      <w:lvlJc w:val="left"/>
      <w:pPr>
        <w:ind w:left="3132" w:hanging="315"/>
      </w:pPr>
      <w:rPr>
        <w:rFonts w:hint="default"/>
      </w:rPr>
    </w:lvl>
    <w:lvl w:ilvl="5">
      <w:start w:val="0"/>
      <w:numFmt w:val="bullet"/>
      <w:lvlText w:val="•"/>
      <w:lvlJc w:val="left"/>
      <w:pPr>
        <w:ind w:left="3537" w:hanging="315"/>
      </w:pPr>
      <w:rPr>
        <w:rFonts w:hint="default"/>
      </w:rPr>
    </w:lvl>
    <w:lvl w:ilvl="6">
      <w:start w:val="0"/>
      <w:numFmt w:val="bullet"/>
      <w:lvlText w:val="•"/>
      <w:lvlJc w:val="left"/>
      <w:pPr>
        <w:ind w:left="3941" w:hanging="315"/>
      </w:pPr>
      <w:rPr>
        <w:rFonts w:hint="default"/>
      </w:rPr>
    </w:lvl>
    <w:lvl w:ilvl="7">
      <w:start w:val="0"/>
      <w:numFmt w:val="bullet"/>
      <w:lvlText w:val="•"/>
      <w:lvlJc w:val="left"/>
      <w:pPr>
        <w:ind w:left="4345" w:hanging="315"/>
      </w:pPr>
      <w:rPr>
        <w:rFonts w:hint="default"/>
      </w:rPr>
    </w:lvl>
    <w:lvl w:ilvl="8">
      <w:start w:val="0"/>
      <w:numFmt w:val="bullet"/>
      <w:lvlText w:val="•"/>
      <w:lvlJc w:val="left"/>
      <w:pPr>
        <w:ind w:left="4750" w:hanging="315"/>
      </w:pPr>
      <w:rPr>
        <w:rFonts w:hint="default"/>
      </w:rPr>
    </w:lvl>
  </w:abstractNum>
  <w:abstractNum w:abstractNumId="22">
    <w:multiLevelType w:val="hybridMultilevel"/>
    <w:lvl w:ilvl="0">
      <w:start w:val="9"/>
      <w:numFmt w:val="decimal"/>
      <w:lvlText w:val="%1"/>
      <w:lvlJc w:val="left"/>
      <w:pPr>
        <w:ind w:left="524" w:hanging="284"/>
        <w:jc w:val="right"/>
      </w:pPr>
      <w:rPr>
        <w:rFonts w:hint="default" w:ascii="Times New Roman" w:hAnsi="Times New Roman" w:eastAsia="Times New Roman" w:cs="Times New Roman"/>
        <w:color w:val="231F20"/>
        <w:spacing w:val="-5"/>
        <w:w w:val="100"/>
        <w:sz w:val="14"/>
        <w:szCs w:val="14"/>
      </w:rPr>
    </w:lvl>
    <w:lvl w:ilvl="1">
      <w:start w:val="1"/>
      <w:numFmt w:val="decimal"/>
      <w:lvlText w:val="%2)"/>
      <w:lvlJc w:val="left"/>
      <w:pPr>
        <w:ind w:left="834" w:hanging="195"/>
        <w:jc w:val="left"/>
      </w:pPr>
      <w:rPr>
        <w:rFonts w:hint="default" w:ascii="Times New Roman" w:hAnsi="Times New Roman" w:eastAsia="Times New Roman" w:cs="Times New Roman"/>
        <w:color w:val="231F20"/>
        <w:spacing w:val="-10"/>
        <w:w w:val="100"/>
        <w:sz w:val="18"/>
        <w:szCs w:val="18"/>
      </w:rPr>
    </w:lvl>
    <w:lvl w:ilvl="2">
      <w:start w:val="0"/>
      <w:numFmt w:val="bullet"/>
      <w:lvlText w:val="•"/>
      <w:lvlJc w:val="left"/>
      <w:pPr>
        <w:ind w:left="840" w:hanging="195"/>
      </w:pPr>
      <w:rPr>
        <w:rFonts w:hint="default"/>
      </w:rPr>
    </w:lvl>
    <w:lvl w:ilvl="3">
      <w:start w:val="0"/>
      <w:numFmt w:val="bullet"/>
      <w:lvlText w:val="•"/>
      <w:lvlJc w:val="left"/>
      <w:pPr>
        <w:ind w:left="1419" w:hanging="195"/>
      </w:pPr>
      <w:rPr>
        <w:rFonts w:hint="default"/>
      </w:rPr>
    </w:lvl>
    <w:lvl w:ilvl="4">
      <w:start w:val="0"/>
      <w:numFmt w:val="bullet"/>
      <w:lvlText w:val="•"/>
      <w:lvlJc w:val="left"/>
      <w:pPr>
        <w:ind w:left="1998" w:hanging="195"/>
      </w:pPr>
      <w:rPr>
        <w:rFonts w:hint="default"/>
      </w:rPr>
    </w:lvl>
    <w:lvl w:ilvl="5">
      <w:start w:val="0"/>
      <w:numFmt w:val="bullet"/>
      <w:lvlText w:val="•"/>
      <w:lvlJc w:val="left"/>
      <w:pPr>
        <w:ind w:left="2577" w:hanging="195"/>
      </w:pPr>
      <w:rPr>
        <w:rFonts w:hint="default"/>
      </w:rPr>
    </w:lvl>
    <w:lvl w:ilvl="6">
      <w:start w:val="0"/>
      <w:numFmt w:val="bullet"/>
      <w:lvlText w:val="•"/>
      <w:lvlJc w:val="left"/>
      <w:pPr>
        <w:ind w:left="3156" w:hanging="195"/>
      </w:pPr>
      <w:rPr>
        <w:rFonts w:hint="default"/>
      </w:rPr>
    </w:lvl>
    <w:lvl w:ilvl="7">
      <w:start w:val="0"/>
      <w:numFmt w:val="bullet"/>
      <w:lvlText w:val="•"/>
      <w:lvlJc w:val="left"/>
      <w:pPr>
        <w:ind w:left="3735" w:hanging="195"/>
      </w:pPr>
      <w:rPr>
        <w:rFonts w:hint="default"/>
      </w:rPr>
    </w:lvl>
    <w:lvl w:ilvl="8">
      <w:start w:val="0"/>
      <w:numFmt w:val="bullet"/>
      <w:lvlText w:val="•"/>
      <w:lvlJc w:val="left"/>
      <w:pPr>
        <w:ind w:left="4315" w:hanging="195"/>
      </w:pPr>
      <w:rPr>
        <w:rFonts w:hint="default"/>
      </w:rPr>
    </w:lvl>
  </w:abstractNum>
  <w:abstractNum w:abstractNumId="21">
    <w:multiLevelType w:val="hybridMultilevel"/>
    <w:lvl w:ilvl="0">
      <w:start w:val="1"/>
      <w:numFmt w:val="decimal"/>
      <w:lvlText w:val="%1)"/>
      <w:lvlJc w:val="left"/>
      <w:pPr>
        <w:ind w:left="175" w:hanging="195"/>
        <w:jc w:val="left"/>
      </w:pPr>
      <w:rPr>
        <w:rFonts w:hint="default" w:ascii="Times New Roman" w:hAnsi="Times New Roman" w:eastAsia="Times New Roman" w:cs="Times New Roman"/>
        <w:color w:val="231F20"/>
        <w:spacing w:val="-1"/>
        <w:w w:val="66"/>
        <w:sz w:val="18"/>
        <w:szCs w:val="18"/>
      </w:rPr>
    </w:lvl>
    <w:lvl w:ilvl="1">
      <w:start w:val="0"/>
      <w:numFmt w:val="bullet"/>
      <w:lvlText w:val="•"/>
      <w:lvlJc w:val="left"/>
      <w:pPr>
        <w:ind w:left="730" w:hanging="195"/>
      </w:pPr>
      <w:rPr>
        <w:rFonts w:hint="default"/>
      </w:rPr>
    </w:lvl>
    <w:lvl w:ilvl="2">
      <w:start w:val="0"/>
      <w:numFmt w:val="bullet"/>
      <w:lvlText w:val="•"/>
      <w:lvlJc w:val="left"/>
      <w:pPr>
        <w:ind w:left="1281" w:hanging="195"/>
      </w:pPr>
      <w:rPr>
        <w:rFonts w:hint="default"/>
      </w:rPr>
    </w:lvl>
    <w:lvl w:ilvl="3">
      <w:start w:val="0"/>
      <w:numFmt w:val="bullet"/>
      <w:lvlText w:val="•"/>
      <w:lvlJc w:val="left"/>
      <w:pPr>
        <w:ind w:left="1832" w:hanging="195"/>
      </w:pPr>
      <w:rPr>
        <w:rFonts w:hint="default"/>
      </w:rPr>
    </w:lvl>
    <w:lvl w:ilvl="4">
      <w:start w:val="0"/>
      <w:numFmt w:val="bullet"/>
      <w:lvlText w:val="•"/>
      <w:lvlJc w:val="left"/>
      <w:pPr>
        <w:ind w:left="2382" w:hanging="195"/>
      </w:pPr>
      <w:rPr>
        <w:rFonts w:hint="default"/>
      </w:rPr>
    </w:lvl>
    <w:lvl w:ilvl="5">
      <w:start w:val="0"/>
      <w:numFmt w:val="bullet"/>
      <w:lvlText w:val="•"/>
      <w:lvlJc w:val="left"/>
      <w:pPr>
        <w:ind w:left="2933" w:hanging="195"/>
      </w:pPr>
      <w:rPr>
        <w:rFonts w:hint="default"/>
      </w:rPr>
    </w:lvl>
    <w:lvl w:ilvl="6">
      <w:start w:val="0"/>
      <w:numFmt w:val="bullet"/>
      <w:lvlText w:val="•"/>
      <w:lvlJc w:val="left"/>
      <w:pPr>
        <w:ind w:left="3483" w:hanging="195"/>
      </w:pPr>
      <w:rPr>
        <w:rFonts w:hint="default"/>
      </w:rPr>
    </w:lvl>
    <w:lvl w:ilvl="7">
      <w:start w:val="0"/>
      <w:numFmt w:val="bullet"/>
      <w:lvlText w:val="•"/>
      <w:lvlJc w:val="left"/>
      <w:pPr>
        <w:ind w:left="4034" w:hanging="195"/>
      </w:pPr>
      <w:rPr>
        <w:rFonts w:hint="default"/>
      </w:rPr>
    </w:lvl>
    <w:lvl w:ilvl="8">
      <w:start w:val="0"/>
      <w:numFmt w:val="bullet"/>
      <w:lvlText w:val="•"/>
      <w:lvlJc w:val="left"/>
      <w:pPr>
        <w:ind w:left="4585" w:hanging="195"/>
      </w:pPr>
      <w:rPr>
        <w:rFonts w:hint="default"/>
      </w:rPr>
    </w:lvl>
  </w:abstractNum>
  <w:abstractNum w:abstractNumId="20">
    <w:multiLevelType w:val="hybridMultilevel"/>
    <w:lvl w:ilvl="0">
      <w:start w:val="0"/>
      <w:numFmt w:val="bullet"/>
      <w:lvlText w:val="*"/>
      <w:lvlJc w:val="left"/>
      <w:pPr>
        <w:ind w:left="269" w:hanging="105"/>
      </w:pPr>
      <w:rPr>
        <w:rFonts w:hint="default" w:ascii="Times New Roman" w:hAnsi="Times New Roman" w:eastAsia="Times New Roman" w:cs="Times New Roman"/>
        <w:color w:val="231F20"/>
        <w:spacing w:val="-7"/>
        <w:w w:val="100"/>
        <w:sz w:val="14"/>
        <w:szCs w:val="14"/>
      </w:rPr>
    </w:lvl>
    <w:lvl w:ilvl="1">
      <w:start w:val="0"/>
      <w:numFmt w:val="bullet"/>
      <w:lvlText w:val="•"/>
      <w:lvlJc w:val="left"/>
      <w:pPr>
        <w:ind w:left="1341" w:hanging="105"/>
      </w:pPr>
      <w:rPr>
        <w:rFonts w:hint="default"/>
      </w:rPr>
    </w:lvl>
    <w:lvl w:ilvl="2">
      <w:start w:val="0"/>
      <w:numFmt w:val="bullet"/>
      <w:lvlText w:val="•"/>
      <w:lvlJc w:val="left"/>
      <w:pPr>
        <w:ind w:left="2422" w:hanging="105"/>
      </w:pPr>
      <w:rPr>
        <w:rFonts w:hint="default"/>
      </w:rPr>
    </w:lvl>
    <w:lvl w:ilvl="3">
      <w:start w:val="0"/>
      <w:numFmt w:val="bullet"/>
      <w:lvlText w:val="•"/>
      <w:lvlJc w:val="left"/>
      <w:pPr>
        <w:ind w:left="3503" w:hanging="105"/>
      </w:pPr>
      <w:rPr>
        <w:rFonts w:hint="default"/>
      </w:rPr>
    </w:lvl>
    <w:lvl w:ilvl="4">
      <w:start w:val="0"/>
      <w:numFmt w:val="bullet"/>
      <w:lvlText w:val="•"/>
      <w:lvlJc w:val="left"/>
      <w:pPr>
        <w:ind w:left="4584" w:hanging="105"/>
      </w:pPr>
      <w:rPr>
        <w:rFonts w:hint="default"/>
      </w:rPr>
    </w:lvl>
    <w:lvl w:ilvl="5">
      <w:start w:val="0"/>
      <w:numFmt w:val="bullet"/>
      <w:lvlText w:val="•"/>
      <w:lvlJc w:val="left"/>
      <w:pPr>
        <w:ind w:left="5666" w:hanging="105"/>
      </w:pPr>
      <w:rPr>
        <w:rFonts w:hint="default"/>
      </w:rPr>
    </w:lvl>
    <w:lvl w:ilvl="6">
      <w:start w:val="0"/>
      <w:numFmt w:val="bullet"/>
      <w:lvlText w:val="•"/>
      <w:lvlJc w:val="left"/>
      <w:pPr>
        <w:ind w:left="6747" w:hanging="105"/>
      </w:pPr>
      <w:rPr>
        <w:rFonts w:hint="default"/>
      </w:rPr>
    </w:lvl>
    <w:lvl w:ilvl="7">
      <w:start w:val="0"/>
      <w:numFmt w:val="bullet"/>
      <w:lvlText w:val="•"/>
      <w:lvlJc w:val="left"/>
      <w:pPr>
        <w:ind w:left="7828" w:hanging="105"/>
      </w:pPr>
      <w:rPr>
        <w:rFonts w:hint="default"/>
      </w:rPr>
    </w:lvl>
    <w:lvl w:ilvl="8">
      <w:start w:val="0"/>
      <w:numFmt w:val="bullet"/>
      <w:lvlText w:val="•"/>
      <w:lvlJc w:val="left"/>
      <w:pPr>
        <w:ind w:left="8909" w:hanging="105"/>
      </w:pPr>
      <w:rPr>
        <w:rFonts w:hint="default"/>
      </w:rPr>
    </w:lvl>
  </w:abstractNum>
  <w:abstractNum w:abstractNumId="19">
    <w:multiLevelType w:val="hybridMultilevel"/>
    <w:lvl w:ilvl="0">
      <w:start w:val="1"/>
      <w:numFmt w:val="decimal"/>
      <w:lvlText w:val="%1"/>
      <w:lvlJc w:val="left"/>
      <w:pPr>
        <w:ind w:left="170" w:hanging="492"/>
        <w:jc w:val="left"/>
      </w:pPr>
      <w:rPr>
        <w:rFonts w:hint="default"/>
      </w:rPr>
    </w:lvl>
    <w:lvl w:ilvl="1">
      <w:start w:val="0"/>
      <w:numFmt w:val="decimalZero"/>
      <w:lvlText w:val="%1.%2"/>
      <w:lvlJc w:val="left"/>
      <w:pPr>
        <w:ind w:left="170" w:hanging="492"/>
        <w:jc w:val="left"/>
      </w:pPr>
      <w:rPr>
        <w:rFonts w:hint="default" w:ascii="Times New Roman" w:hAnsi="Times New Roman" w:eastAsia="Times New Roman" w:cs="Times New Roman"/>
        <w:color w:val="231F20"/>
        <w:spacing w:val="-7"/>
        <w:w w:val="66"/>
        <w:sz w:val="18"/>
        <w:szCs w:val="18"/>
      </w:rPr>
    </w:lvl>
    <w:lvl w:ilvl="2">
      <w:start w:val="1"/>
      <w:numFmt w:val="decimal"/>
      <w:lvlText w:val="%3."/>
      <w:lvlJc w:val="left"/>
      <w:pPr>
        <w:ind w:left="175" w:hanging="185"/>
        <w:jc w:val="left"/>
      </w:pPr>
      <w:rPr>
        <w:rFonts w:hint="default" w:ascii="Times New Roman" w:hAnsi="Times New Roman" w:eastAsia="Times New Roman" w:cs="Times New Roman"/>
        <w:color w:val="231F20"/>
        <w:w w:val="100"/>
        <w:sz w:val="18"/>
        <w:szCs w:val="18"/>
      </w:rPr>
    </w:lvl>
    <w:lvl w:ilvl="3">
      <w:start w:val="0"/>
      <w:numFmt w:val="bullet"/>
      <w:lvlText w:val="•"/>
      <w:lvlJc w:val="left"/>
      <w:pPr>
        <w:ind w:left="529" w:hanging="185"/>
      </w:pPr>
      <w:rPr>
        <w:rFonts w:hint="default"/>
      </w:rPr>
    </w:lvl>
    <w:lvl w:ilvl="4">
      <w:start w:val="0"/>
      <w:numFmt w:val="bullet"/>
      <w:lvlText w:val="•"/>
      <w:lvlJc w:val="left"/>
      <w:pPr>
        <w:ind w:left="444" w:hanging="185"/>
      </w:pPr>
      <w:rPr>
        <w:rFonts w:hint="default"/>
      </w:rPr>
    </w:lvl>
    <w:lvl w:ilvl="5">
      <w:start w:val="0"/>
      <w:numFmt w:val="bullet"/>
      <w:lvlText w:val="•"/>
      <w:lvlJc w:val="left"/>
      <w:pPr>
        <w:ind w:left="359" w:hanging="185"/>
      </w:pPr>
      <w:rPr>
        <w:rFonts w:hint="default"/>
      </w:rPr>
    </w:lvl>
    <w:lvl w:ilvl="6">
      <w:start w:val="0"/>
      <w:numFmt w:val="bullet"/>
      <w:lvlText w:val="•"/>
      <w:lvlJc w:val="left"/>
      <w:pPr>
        <w:ind w:left="274" w:hanging="185"/>
      </w:pPr>
      <w:rPr>
        <w:rFonts w:hint="default"/>
      </w:rPr>
    </w:lvl>
    <w:lvl w:ilvl="7">
      <w:start w:val="0"/>
      <w:numFmt w:val="bullet"/>
      <w:lvlText w:val="•"/>
      <w:lvlJc w:val="left"/>
      <w:pPr>
        <w:ind w:left="188" w:hanging="185"/>
      </w:pPr>
      <w:rPr>
        <w:rFonts w:hint="default"/>
      </w:rPr>
    </w:lvl>
    <w:lvl w:ilvl="8">
      <w:start w:val="0"/>
      <w:numFmt w:val="bullet"/>
      <w:lvlText w:val="•"/>
      <w:lvlJc w:val="left"/>
      <w:pPr>
        <w:ind w:left="103" w:hanging="185"/>
      </w:pPr>
      <w:rPr>
        <w:rFonts w:hint="default"/>
      </w:rPr>
    </w:lvl>
  </w:abstractNum>
  <w:abstractNum w:abstractNumId="18">
    <w:multiLevelType w:val="hybridMultilevel"/>
    <w:lvl w:ilvl="0">
      <w:start w:val="5"/>
      <w:numFmt w:val="decimal"/>
      <w:lvlText w:val="%1"/>
      <w:lvlJc w:val="left"/>
      <w:pPr>
        <w:ind w:left="1076" w:hanging="315"/>
        <w:jc w:val="left"/>
      </w:pPr>
      <w:rPr>
        <w:rFonts w:hint="default"/>
      </w:rPr>
    </w:lvl>
    <w:lvl w:ilvl="1">
      <w:start w:val="4"/>
      <w:numFmt w:val="decimal"/>
      <w:lvlText w:val="%1.%2."/>
      <w:lvlJc w:val="left"/>
      <w:pPr>
        <w:ind w:left="1076" w:hanging="315"/>
        <w:jc w:val="right"/>
      </w:pPr>
      <w:rPr>
        <w:rFonts w:hint="default" w:ascii="Times New Roman" w:hAnsi="Times New Roman" w:eastAsia="Times New Roman" w:cs="Times New Roman"/>
        <w:i/>
        <w:color w:val="231F20"/>
        <w:spacing w:val="-5"/>
        <w:w w:val="100"/>
        <w:sz w:val="18"/>
        <w:szCs w:val="18"/>
      </w:rPr>
    </w:lvl>
    <w:lvl w:ilvl="2">
      <w:start w:val="1"/>
      <w:numFmt w:val="decimal"/>
      <w:lvlText w:val="%1.%2.%3."/>
      <w:lvlJc w:val="left"/>
      <w:pPr>
        <w:ind w:left="2264"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2244" w:hanging="450"/>
      </w:pPr>
      <w:rPr>
        <w:rFonts w:hint="default"/>
      </w:rPr>
    </w:lvl>
    <w:lvl w:ilvl="4">
      <w:start w:val="0"/>
      <w:numFmt w:val="bullet"/>
      <w:lvlText w:val="•"/>
      <w:lvlJc w:val="left"/>
      <w:pPr>
        <w:ind w:left="1948" w:hanging="450"/>
      </w:pPr>
      <w:rPr>
        <w:rFonts w:hint="default"/>
      </w:rPr>
    </w:lvl>
    <w:lvl w:ilvl="5">
      <w:start w:val="0"/>
      <w:numFmt w:val="bullet"/>
      <w:lvlText w:val="•"/>
      <w:lvlJc w:val="left"/>
      <w:pPr>
        <w:ind w:left="1652" w:hanging="450"/>
      </w:pPr>
      <w:rPr>
        <w:rFonts w:hint="default"/>
      </w:rPr>
    </w:lvl>
    <w:lvl w:ilvl="6">
      <w:start w:val="0"/>
      <w:numFmt w:val="bullet"/>
      <w:lvlText w:val="•"/>
      <w:lvlJc w:val="left"/>
      <w:pPr>
        <w:ind w:left="1356" w:hanging="450"/>
      </w:pPr>
      <w:rPr>
        <w:rFonts w:hint="default"/>
      </w:rPr>
    </w:lvl>
    <w:lvl w:ilvl="7">
      <w:start w:val="0"/>
      <w:numFmt w:val="bullet"/>
      <w:lvlText w:val="•"/>
      <w:lvlJc w:val="left"/>
      <w:pPr>
        <w:ind w:left="1060" w:hanging="450"/>
      </w:pPr>
      <w:rPr>
        <w:rFonts w:hint="default"/>
      </w:rPr>
    </w:lvl>
    <w:lvl w:ilvl="8">
      <w:start w:val="0"/>
      <w:numFmt w:val="bullet"/>
      <w:lvlText w:val="•"/>
      <w:lvlJc w:val="left"/>
      <w:pPr>
        <w:ind w:left="764" w:hanging="450"/>
      </w:pPr>
      <w:rPr>
        <w:rFonts w:hint="default"/>
      </w:rPr>
    </w:lvl>
  </w:abstractNum>
  <w:abstractNum w:abstractNumId="17">
    <w:multiLevelType w:val="hybridMultilevel"/>
    <w:lvl w:ilvl="0">
      <w:start w:val="1"/>
      <w:numFmt w:val="decimal"/>
      <w:lvlText w:val="%1."/>
      <w:lvlJc w:val="left"/>
      <w:pPr>
        <w:ind w:left="457" w:hanging="210"/>
        <w:jc w:val="right"/>
      </w:pPr>
      <w:rPr>
        <w:rFonts w:hint="default" w:ascii="Times New Roman" w:hAnsi="Times New Roman" w:eastAsia="Times New Roman" w:cs="Times New Roman"/>
        <w:color w:val="231F20"/>
        <w:spacing w:val="-16"/>
        <w:w w:val="100"/>
        <w:sz w:val="18"/>
        <w:szCs w:val="18"/>
      </w:rPr>
    </w:lvl>
    <w:lvl w:ilvl="1">
      <w:start w:val="0"/>
      <w:numFmt w:val="bullet"/>
      <w:lvlText w:val="•"/>
      <w:lvlJc w:val="left"/>
      <w:pPr>
        <w:ind w:left="970" w:hanging="210"/>
      </w:pPr>
      <w:rPr>
        <w:rFonts w:hint="default"/>
      </w:rPr>
    </w:lvl>
    <w:lvl w:ilvl="2">
      <w:start w:val="0"/>
      <w:numFmt w:val="bullet"/>
      <w:lvlText w:val="•"/>
      <w:lvlJc w:val="left"/>
      <w:pPr>
        <w:ind w:left="1480" w:hanging="210"/>
      </w:pPr>
      <w:rPr>
        <w:rFonts w:hint="default"/>
      </w:rPr>
    </w:lvl>
    <w:lvl w:ilvl="3">
      <w:start w:val="0"/>
      <w:numFmt w:val="bullet"/>
      <w:lvlText w:val="•"/>
      <w:lvlJc w:val="left"/>
      <w:pPr>
        <w:ind w:left="1990" w:hanging="210"/>
      </w:pPr>
      <w:rPr>
        <w:rFonts w:hint="default"/>
      </w:rPr>
    </w:lvl>
    <w:lvl w:ilvl="4">
      <w:start w:val="0"/>
      <w:numFmt w:val="bullet"/>
      <w:lvlText w:val="•"/>
      <w:lvlJc w:val="left"/>
      <w:pPr>
        <w:ind w:left="2500" w:hanging="210"/>
      </w:pPr>
      <w:rPr>
        <w:rFonts w:hint="default"/>
      </w:rPr>
    </w:lvl>
    <w:lvl w:ilvl="5">
      <w:start w:val="0"/>
      <w:numFmt w:val="bullet"/>
      <w:lvlText w:val="•"/>
      <w:lvlJc w:val="left"/>
      <w:pPr>
        <w:ind w:left="3010" w:hanging="210"/>
      </w:pPr>
      <w:rPr>
        <w:rFonts w:hint="default"/>
      </w:rPr>
    </w:lvl>
    <w:lvl w:ilvl="6">
      <w:start w:val="0"/>
      <w:numFmt w:val="bullet"/>
      <w:lvlText w:val="•"/>
      <w:lvlJc w:val="left"/>
      <w:pPr>
        <w:ind w:left="3520" w:hanging="210"/>
      </w:pPr>
      <w:rPr>
        <w:rFonts w:hint="default"/>
      </w:rPr>
    </w:lvl>
    <w:lvl w:ilvl="7">
      <w:start w:val="0"/>
      <w:numFmt w:val="bullet"/>
      <w:lvlText w:val="•"/>
      <w:lvlJc w:val="left"/>
      <w:pPr>
        <w:ind w:left="4030" w:hanging="210"/>
      </w:pPr>
      <w:rPr>
        <w:rFonts w:hint="default"/>
      </w:rPr>
    </w:lvl>
    <w:lvl w:ilvl="8">
      <w:start w:val="0"/>
      <w:numFmt w:val="bullet"/>
      <w:lvlText w:val="•"/>
      <w:lvlJc w:val="left"/>
      <w:pPr>
        <w:ind w:left="4540" w:hanging="210"/>
      </w:pPr>
      <w:rPr>
        <w:rFonts w:hint="default"/>
      </w:rPr>
    </w:lvl>
  </w:abstractNum>
  <w:abstractNum w:abstractNumId="16">
    <w:multiLevelType w:val="hybridMultilevel"/>
    <w:lvl w:ilvl="0">
      <w:start w:val="5"/>
      <w:numFmt w:val="decimal"/>
      <w:lvlText w:val="%1"/>
      <w:lvlJc w:val="left"/>
      <w:pPr>
        <w:ind w:left="568" w:hanging="450"/>
        <w:jc w:val="left"/>
      </w:pPr>
      <w:rPr>
        <w:rFonts w:hint="default"/>
      </w:rPr>
    </w:lvl>
    <w:lvl w:ilvl="1">
      <w:start w:val="3"/>
      <w:numFmt w:val="decimal"/>
      <w:lvlText w:val="%1.%2"/>
      <w:lvlJc w:val="left"/>
      <w:pPr>
        <w:ind w:left="568" w:hanging="450"/>
        <w:jc w:val="left"/>
      </w:pPr>
      <w:rPr>
        <w:rFonts w:hint="default"/>
      </w:rPr>
    </w:lvl>
    <w:lvl w:ilvl="2">
      <w:start w:val="1"/>
      <w:numFmt w:val="decimal"/>
      <w:lvlText w:val="%1.%2.%3."/>
      <w:lvlJc w:val="left"/>
      <w:pPr>
        <w:ind w:left="568" w:hanging="450"/>
        <w:jc w:val="right"/>
      </w:pPr>
      <w:rPr>
        <w:rFonts w:hint="default" w:ascii="Times New Roman" w:hAnsi="Times New Roman" w:eastAsia="Times New Roman" w:cs="Times New Roman"/>
        <w:color w:val="231F20"/>
        <w:spacing w:val="-22"/>
        <w:w w:val="100"/>
        <w:sz w:val="18"/>
        <w:szCs w:val="18"/>
      </w:rPr>
    </w:lvl>
    <w:lvl w:ilvl="3">
      <w:start w:val="0"/>
      <w:numFmt w:val="bullet"/>
      <w:lvlText w:val="•"/>
      <w:lvlJc w:val="left"/>
      <w:pPr>
        <w:ind w:left="2097" w:hanging="450"/>
      </w:pPr>
      <w:rPr>
        <w:rFonts w:hint="default"/>
      </w:rPr>
    </w:lvl>
    <w:lvl w:ilvl="4">
      <w:start w:val="0"/>
      <w:numFmt w:val="bullet"/>
      <w:lvlText w:val="•"/>
      <w:lvlJc w:val="left"/>
      <w:pPr>
        <w:ind w:left="2609" w:hanging="450"/>
      </w:pPr>
      <w:rPr>
        <w:rFonts w:hint="default"/>
      </w:rPr>
    </w:lvl>
    <w:lvl w:ilvl="5">
      <w:start w:val="0"/>
      <w:numFmt w:val="bullet"/>
      <w:lvlText w:val="•"/>
      <w:lvlJc w:val="left"/>
      <w:pPr>
        <w:ind w:left="3122" w:hanging="450"/>
      </w:pPr>
      <w:rPr>
        <w:rFonts w:hint="default"/>
      </w:rPr>
    </w:lvl>
    <w:lvl w:ilvl="6">
      <w:start w:val="0"/>
      <w:numFmt w:val="bullet"/>
      <w:lvlText w:val="•"/>
      <w:lvlJc w:val="left"/>
      <w:pPr>
        <w:ind w:left="3634" w:hanging="450"/>
      </w:pPr>
      <w:rPr>
        <w:rFonts w:hint="default"/>
      </w:rPr>
    </w:lvl>
    <w:lvl w:ilvl="7">
      <w:start w:val="0"/>
      <w:numFmt w:val="bullet"/>
      <w:lvlText w:val="•"/>
      <w:lvlJc w:val="left"/>
      <w:pPr>
        <w:ind w:left="4147" w:hanging="450"/>
      </w:pPr>
      <w:rPr>
        <w:rFonts w:hint="default"/>
      </w:rPr>
    </w:lvl>
    <w:lvl w:ilvl="8">
      <w:start w:val="0"/>
      <w:numFmt w:val="bullet"/>
      <w:lvlText w:val="•"/>
      <w:lvlJc w:val="left"/>
      <w:pPr>
        <w:ind w:left="4659" w:hanging="450"/>
      </w:pPr>
      <w:rPr>
        <w:rFonts w:hint="default"/>
      </w:rPr>
    </w:lvl>
  </w:abstractNum>
  <w:abstractNum w:abstractNumId="15">
    <w:multiLevelType w:val="hybridMultilevel"/>
    <w:lvl w:ilvl="0">
      <w:start w:val="1"/>
      <w:numFmt w:val="decimal"/>
      <w:lvlText w:val="%1."/>
      <w:lvlJc w:val="left"/>
      <w:pPr>
        <w:ind w:left="454" w:hanging="194"/>
        <w:jc w:val="right"/>
      </w:pPr>
      <w:rPr>
        <w:rFonts w:hint="default" w:ascii="Times New Roman" w:hAnsi="Times New Roman" w:eastAsia="Times New Roman" w:cs="Times New Roman"/>
        <w:color w:val="231F20"/>
        <w:w w:val="100"/>
        <w:sz w:val="18"/>
        <w:szCs w:val="18"/>
      </w:rPr>
    </w:lvl>
    <w:lvl w:ilvl="1">
      <w:start w:val="0"/>
      <w:numFmt w:val="bullet"/>
      <w:lvlText w:val="•"/>
      <w:lvlJc w:val="left"/>
      <w:pPr>
        <w:ind w:left="969" w:hanging="194"/>
      </w:pPr>
      <w:rPr>
        <w:rFonts w:hint="default"/>
      </w:rPr>
    </w:lvl>
    <w:lvl w:ilvl="2">
      <w:start w:val="0"/>
      <w:numFmt w:val="bullet"/>
      <w:lvlText w:val="•"/>
      <w:lvlJc w:val="left"/>
      <w:pPr>
        <w:ind w:left="1479" w:hanging="194"/>
      </w:pPr>
      <w:rPr>
        <w:rFonts w:hint="default"/>
      </w:rPr>
    </w:lvl>
    <w:lvl w:ilvl="3">
      <w:start w:val="0"/>
      <w:numFmt w:val="bullet"/>
      <w:lvlText w:val="•"/>
      <w:lvlJc w:val="left"/>
      <w:pPr>
        <w:ind w:left="1989" w:hanging="194"/>
      </w:pPr>
      <w:rPr>
        <w:rFonts w:hint="default"/>
      </w:rPr>
    </w:lvl>
    <w:lvl w:ilvl="4">
      <w:start w:val="0"/>
      <w:numFmt w:val="bullet"/>
      <w:lvlText w:val="•"/>
      <w:lvlJc w:val="left"/>
      <w:pPr>
        <w:ind w:left="2499" w:hanging="194"/>
      </w:pPr>
      <w:rPr>
        <w:rFonts w:hint="default"/>
      </w:rPr>
    </w:lvl>
    <w:lvl w:ilvl="5">
      <w:start w:val="0"/>
      <w:numFmt w:val="bullet"/>
      <w:lvlText w:val="•"/>
      <w:lvlJc w:val="left"/>
      <w:pPr>
        <w:ind w:left="3008" w:hanging="194"/>
      </w:pPr>
      <w:rPr>
        <w:rFonts w:hint="default"/>
      </w:rPr>
    </w:lvl>
    <w:lvl w:ilvl="6">
      <w:start w:val="0"/>
      <w:numFmt w:val="bullet"/>
      <w:lvlText w:val="•"/>
      <w:lvlJc w:val="left"/>
      <w:pPr>
        <w:ind w:left="3518" w:hanging="194"/>
      </w:pPr>
      <w:rPr>
        <w:rFonts w:hint="default"/>
      </w:rPr>
    </w:lvl>
    <w:lvl w:ilvl="7">
      <w:start w:val="0"/>
      <w:numFmt w:val="bullet"/>
      <w:lvlText w:val="•"/>
      <w:lvlJc w:val="left"/>
      <w:pPr>
        <w:ind w:left="4028" w:hanging="194"/>
      </w:pPr>
      <w:rPr>
        <w:rFonts w:hint="default"/>
      </w:rPr>
    </w:lvl>
    <w:lvl w:ilvl="8">
      <w:start w:val="0"/>
      <w:numFmt w:val="bullet"/>
      <w:lvlText w:val="•"/>
      <w:lvlJc w:val="left"/>
      <w:pPr>
        <w:ind w:left="4538" w:hanging="194"/>
      </w:pPr>
      <w:rPr>
        <w:rFonts w:hint="default"/>
      </w:rPr>
    </w:lvl>
  </w:abstractNum>
  <w:abstractNum w:abstractNumId="14">
    <w:multiLevelType w:val="hybridMultilevel"/>
    <w:lvl w:ilvl="0">
      <w:start w:val="1"/>
      <w:numFmt w:val="decimal"/>
      <w:lvlText w:val="%1."/>
      <w:lvlJc w:val="left"/>
      <w:pPr>
        <w:ind w:left="169" w:hanging="206"/>
        <w:jc w:val="left"/>
      </w:pPr>
      <w:rPr>
        <w:rFonts w:hint="default" w:ascii="Times New Roman" w:hAnsi="Times New Roman" w:eastAsia="Times New Roman" w:cs="Times New Roman"/>
        <w:color w:val="231F20"/>
        <w:spacing w:val="-20"/>
        <w:w w:val="66"/>
        <w:sz w:val="18"/>
        <w:szCs w:val="18"/>
      </w:rPr>
    </w:lvl>
    <w:lvl w:ilvl="1">
      <w:start w:val="0"/>
      <w:numFmt w:val="bullet"/>
      <w:lvlText w:val="•"/>
      <w:lvlJc w:val="left"/>
      <w:pPr>
        <w:ind w:left="675" w:hanging="206"/>
      </w:pPr>
      <w:rPr>
        <w:rFonts w:hint="default"/>
      </w:rPr>
    </w:lvl>
    <w:lvl w:ilvl="2">
      <w:start w:val="0"/>
      <w:numFmt w:val="bullet"/>
      <w:lvlText w:val="•"/>
      <w:lvlJc w:val="left"/>
      <w:pPr>
        <w:ind w:left="1190" w:hanging="206"/>
      </w:pPr>
      <w:rPr>
        <w:rFonts w:hint="default"/>
      </w:rPr>
    </w:lvl>
    <w:lvl w:ilvl="3">
      <w:start w:val="0"/>
      <w:numFmt w:val="bullet"/>
      <w:lvlText w:val="•"/>
      <w:lvlJc w:val="left"/>
      <w:pPr>
        <w:ind w:left="1706" w:hanging="206"/>
      </w:pPr>
      <w:rPr>
        <w:rFonts w:hint="default"/>
      </w:rPr>
    </w:lvl>
    <w:lvl w:ilvl="4">
      <w:start w:val="0"/>
      <w:numFmt w:val="bullet"/>
      <w:lvlText w:val="•"/>
      <w:lvlJc w:val="left"/>
      <w:pPr>
        <w:ind w:left="2221" w:hanging="206"/>
      </w:pPr>
      <w:rPr>
        <w:rFonts w:hint="default"/>
      </w:rPr>
    </w:lvl>
    <w:lvl w:ilvl="5">
      <w:start w:val="0"/>
      <w:numFmt w:val="bullet"/>
      <w:lvlText w:val="•"/>
      <w:lvlJc w:val="left"/>
      <w:pPr>
        <w:ind w:left="2736" w:hanging="206"/>
      </w:pPr>
      <w:rPr>
        <w:rFonts w:hint="default"/>
      </w:rPr>
    </w:lvl>
    <w:lvl w:ilvl="6">
      <w:start w:val="0"/>
      <w:numFmt w:val="bullet"/>
      <w:lvlText w:val="•"/>
      <w:lvlJc w:val="left"/>
      <w:pPr>
        <w:ind w:left="3252" w:hanging="206"/>
      </w:pPr>
      <w:rPr>
        <w:rFonts w:hint="default"/>
      </w:rPr>
    </w:lvl>
    <w:lvl w:ilvl="7">
      <w:start w:val="0"/>
      <w:numFmt w:val="bullet"/>
      <w:lvlText w:val="•"/>
      <w:lvlJc w:val="left"/>
      <w:pPr>
        <w:ind w:left="3767" w:hanging="206"/>
      </w:pPr>
      <w:rPr>
        <w:rFonts w:hint="default"/>
      </w:rPr>
    </w:lvl>
    <w:lvl w:ilvl="8">
      <w:start w:val="0"/>
      <w:numFmt w:val="bullet"/>
      <w:lvlText w:val="•"/>
      <w:lvlJc w:val="left"/>
      <w:pPr>
        <w:ind w:left="4282" w:hanging="206"/>
      </w:pPr>
      <w:rPr>
        <w:rFonts w:hint="default"/>
      </w:rPr>
    </w:lvl>
  </w:abstractNum>
  <w:abstractNum w:abstractNumId="13">
    <w:multiLevelType w:val="hybridMultilevel"/>
    <w:lvl w:ilvl="0">
      <w:start w:val="5"/>
      <w:numFmt w:val="decimal"/>
      <w:lvlText w:val="%1"/>
      <w:lvlJc w:val="left"/>
      <w:pPr>
        <w:ind w:left="919" w:hanging="450"/>
        <w:jc w:val="left"/>
      </w:pPr>
      <w:rPr>
        <w:rFonts w:hint="default"/>
      </w:rPr>
    </w:lvl>
    <w:lvl w:ilvl="1">
      <w:start w:val="2"/>
      <w:numFmt w:val="decimal"/>
      <w:lvlText w:val="%1.%2"/>
      <w:lvlJc w:val="left"/>
      <w:pPr>
        <w:ind w:left="919" w:hanging="450"/>
        <w:jc w:val="left"/>
      </w:pPr>
      <w:rPr>
        <w:rFonts w:hint="default"/>
      </w:rPr>
    </w:lvl>
    <w:lvl w:ilvl="2">
      <w:start w:val="1"/>
      <w:numFmt w:val="decimal"/>
      <w:lvlText w:val="%1.%2.%3."/>
      <w:lvlJc w:val="left"/>
      <w:pPr>
        <w:ind w:left="919" w:hanging="450"/>
        <w:jc w:val="right"/>
      </w:pPr>
      <w:rPr>
        <w:rFonts w:hint="default" w:ascii="Times New Roman" w:hAnsi="Times New Roman" w:eastAsia="Times New Roman" w:cs="Times New Roman"/>
        <w:color w:val="231F20"/>
        <w:spacing w:val="-24"/>
        <w:w w:val="100"/>
        <w:sz w:val="18"/>
        <w:szCs w:val="18"/>
      </w:rPr>
    </w:lvl>
    <w:lvl w:ilvl="3">
      <w:start w:val="0"/>
      <w:numFmt w:val="bullet"/>
      <w:lvlText w:val="•"/>
      <w:lvlJc w:val="left"/>
      <w:pPr>
        <w:ind w:left="2349" w:hanging="450"/>
      </w:pPr>
      <w:rPr>
        <w:rFonts w:hint="default"/>
      </w:rPr>
    </w:lvl>
    <w:lvl w:ilvl="4">
      <w:start w:val="0"/>
      <w:numFmt w:val="bullet"/>
      <w:lvlText w:val="•"/>
      <w:lvlJc w:val="left"/>
      <w:pPr>
        <w:ind w:left="2826" w:hanging="450"/>
      </w:pPr>
      <w:rPr>
        <w:rFonts w:hint="default"/>
      </w:rPr>
    </w:lvl>
    <w:lvl w:ilvl="5">
      <w:start w:val="0"/>
      <w:numFmt w:val="bullet"/>
      <w:lvlText w:val="•"/>
      <w:lvlJc w:val="left"/>
      <w:pPr>
        <w:ind w:left="3302" w:hanging="450"/>
      </w:pPr>
      <w:rPr>
        <w:rFonts w:hint="default"/>
      </w:rPr>
    </w:lvl>
    <w:lvl w:ilvl="6">
      <w:start w:val="0"/>
      <w:numFmt w:val="bullet"/>
      <w:lvlText w:val="•"/>
      <w:lvlJc w:val="left"/>
      <w:pPr>
        <w:ind w:left="3779" w:hanging="450"/>
      </w:pPr>
      <w:rPr>
        <w:rFonts w:hint="default"/>
      </w:rPr>
    </w:lvl>
    <w:lvl w:ilvl="7">
      <w:start w:val="0"/>
      <w:numFmt w:val="bullet"/>
      <w:lvlText w:val="•"/>
      <w:lvlJc w:val="left"/>
      <w:pPr>
        <w:ind w:left="4255" w:hanging="450"/>
      </w:pPr>
      <w:rPr>
        <w:rFonts w:hint="default"/>
      </w:rPr>
    </w:lvl>
    <w:lvl w:ilvl="8">
      <w:start w:val="0"/>
      <w:numFmt w:val="bullet"/>
      <w:lvlText w:val="•"/>
      <w:lvlJc w:val="left"/>
      <w:pPr>
        <w:ind w:left="4732" w:hanging="450"/>
      </w:pPr>
      <w:rPr>
        <w:rFonts w:hint="default"/>
      </w:rPr>
    </w:lvl>
  </w:abstractNum>
  <w:abstractNum w:abstractNumId="12">
    <w:multiLevelType w:val="hybridMultilevel"/>
    <w:lvl w:ilvl="0">
      <w:start w:val="5"/>
      <w:numFmt w:val="decimal"/>
      <w:lvlText w:val="%1"/>
      <w:lvlJc w:val="left"/>
      <w:pPr>
        <w:ind w:left="1836" w:hanging="450"/>
        <w:jc w:val="left"/>
      </w:pPr>
      <w:rPr>
        <w:rFonts w:hint="default"/>
      </w:rPr>
    </w:lvl>
    <w:lvl w:ilvl="1">
      <w:start w:val="1"/>
      <w:numFmt w:val="decimal"/>
      <w:lvlText w:val="%1.%2"/>
      <w:lvlJc w:val="left"/>
      <w:pPr>
        <w:ind w:left="1836" w:hanging="450"/>
        <w:jc w:val="left"/>
      </w:pPr>
      <w:rPr>
        <w:rFonts w:hint="default"/>
      </w:rPr>
    </w:lvl>
    <w:lvl w:ilvl="2">
      <w:start w:val="1"/>
      <w:numFmt w:val="decimal"/>
      <w:lvlText w:val="%1.%2.%3."/>
      <w:lvlJc w:val="left"/>
      <w:pPr>
        <w:ind w:left="1836" w:hanging="450"/>
        <w:jc w:val="right"/>
      </w:pPr>
      <w:rPr>
        <w:rFonts w:hint="default" w:ascii="Times New Roman" w:hAnsi="Times New Roman" w:eastAsia="Times New Roman" w:cs="Times New Roman"/>
        <w:color w:val="231F20"/>
        <w:spacing w:val="-22"/>
        <w:w w:val="66"/>
        <w:sz w:val="18"/>
        <w:szCs w:val="18"/>
      </w:rPr>
    </w:lvl>
    <w:lvl w:ilvl="3">
      <w:start w:val="0"/>
      <w:numFmt w:val="bullet"/>
      <w:lvlText w:val="•"/>
      <w:lvlJc w:val="left"/>
      <w:pPr>
        <w:ind w:left="2993" w:hanging="450"/>
      </w:pPr>
      <w:rPr>
        <w:rFonts w:hint="default"/>
      </w:rPr>
    </w:lvl>
    <w:lvl w:ilvl="4">
      <w:start w:val="0"/>
      <w:numFmt w:val="bullet"/>
      <w:lvlText w:val="•"/>
      <w:lvlJc w:val="left"/>
      <w:pPr>
        <w:ind w:left="3378" w:hanging="450"/>
      </w:pPr>
      <w:rPr>
        <w:rFonts w:hint="default"/>
      </w:rPr>
    </w:lvl>
    <w:lvl w:ilvl="5">
      <w:start w:val="0"/>
      <w:numFmt w:val="bullet"/>
      <w:lvlText w:val="•"/>
      <w:lvlJc w:val="left"/>
      <w:pPr>
        <w:ind w:left="3762" w:hanging="450"/>
      </w:pPr>
      <w:rPr>
        <w:rFonts w:hint="default"/>
      </w:rPr>
    </w:lvl>
    <w:lvl w:ilvl="6">
      <w:start w:val="0"/>
      <w:numFmt w:val="bullet"/>
      <w:lvlText w:val="•"/>
      <w:lvlJc w:val="left"/>
      <w:pPr>
        <w:ind w:left="4147" w:hanging="450"/>
      </w:pPr>
      <w:rPr>
        <w:rFonts w:hint="default"/>
      </w:rPr>
    </w:lvl>
    <w:lvl w:ilvl="7">
      <w:start w:val="0"/>
      <w:numFmt w:val="bullet"/>
      <w:lvlText w:val="•"/>
      <w:lvlJc w:val="left"/>
      <w:pPr>
        <w:ind w:left="4531" w:hanging="450"/>
      </w:pPr>
      <w:rPr>
        <w:rFonts w:hint="default"/>
      </w:rPr>
    </w:lvl>
    <w:lvl w:ilvl="8">
      <w:start w:val="0"/>
      <w:numFmt w:val="bullet"/>
      <w:lvlText w:val="•"/>
      <w:lvlJc w:val="left"/>
      <w:pPr>
        <w:ind w:left="4916" w:hanging="450"/>
      </w:pPr>
      <w:rPr>
        <w:rFonts w:hint="default"/>
      </w:rPr>
    </w:lvl>
  </w:abstractNum>
  <w:abstractNum w:abstractNumId="11">
    <w:multiLevelType w:val="hybridMultilevel"/>
    <w:lvl w:ilvl="0">
      <w:start w:val="4"/>
      <w:numFmt w:val="decimal"/>
      <w:lvlText w:val="%1."/>
      <w:lvlJc w:val="left"/>
      <w:pPr>
        <w:ind w:left="1983" w:hanging="180"/>
        <w:jc w:val="right"/>
      </w:pPr>
      <w:rPr>
        <w:rFonts w:hint="default" w:ascii="Times New Roman" w:hAnsi="Times New Roman" w:eastAsia="Times New Roman" w:cs="Times New Roman"/>
        <w:b/>
        <w:bCs/>
        <w:color w:val="231F20"/>
        <w:spacing w:val="-6"/>
        <w:w w:val="100"/>
        <w:sz w:val="18"/>
        <w:szCs w:val="18"/>
      </w:rPr>
    </w:lvl>
    <w:lvl w:ilvl="1">
      <w:start w:val="1"/>
      <w:numFmt w:val="decimal"/>
      <w:lvlText w:val="%1.%2."/>
      <w:lvlJc w:val="left"/>
      <w:pPr>
        <w:ind w:left="1933" w:hanging="315"/>
        <w:jc w:val="left"/>
      </w:pPr>
      <w:rPr>
        <w:rFonts w:hint="default" w:ascii="Times New Roman" w:hAnsi="Times New Roman" w:eastAsia="Times New Roman" w:cs="Times New Roman"/>
        <w:i/>
        <w:color w:val="231F20"/>
        <w:spacing w:val="-5"/>
        <w:w w:val="100"/>
        <w:sz w:val="18"/>
        <w:szCs w:val="18"/>
      </w:rPr>
    </w:lvl>
    <w:lvl w:ilvl="2">
      <w:start w:val="0"/>
      <w:numFmt w:val="bullet"/>
      <w:lvlText w:val="•"/>
      <w:lvlJc w:val="left"/>
      <w:pPr>
        <w:ind w:left="1778" w:hanging="315"/>
      </w:pPr>
      <w:rPr>
        <w:rFonts w:hint="default"/>
      </w:rPr>
    </w:lvl>
    <w:lvl w:ilvl="3">
      <w:start w:val="0"/>
      <w:numFmt w:val="bullet"/>
      <w:lvlText w:val="•"/>
      <w:lvlJc w:val="left"/>
      <w:pPr>
        <w:ind w:left="1577" w:hanging="315"/>
      </w:pPr>
      <w:rPr>
        <w:rFonts w:hint="default"/>
      </w:rPr>
    </w:lvl>
    <w:lvl w:ilvl="4">
      <w:start w:val="0"/>
      <w:numFmt w:val="bullet"/>
      <w:lvlText w:val="•"/>
      <w:lvlJc w:val="left"/>
      <w:pPr>
        <w:ind w:left="1376" w:hanging="315"/>
      </w:pPr>
      <w:rPr>
        <w:rFonts w:hint="default"/>
      </w:rPr>
    </w:lvl>
    <w:lvl w:ilvl="5">
      <w:start w:val="0"/>
      <w:numFmt w:val="bullet"/>
      <w:lvlText w:val="•"/>
      <w:lvlJc w:val="left"/>
      <w:pPr>
        <w:ind w:left="1175" w:hanging="315"/>
      </w:pPr>
      <w:rPr>
        <w:rFonts w:hint="default"/>
      </w:rPr>
    </w:lvl>
    <w:lvl w:ilvl="6">
      <w:start w:val="0"/>
      <w:numFmt w:val="bullet"/>
      <w:lvlText w:val="•"/>
      <w:lvlJc w:val="left"/>
      <w:pPr>
        <w:ind w:left="974" w:hanging="315"/>
      </w:pPr>
      <w:rPr>
        <w:rFonts w:hint="default"/>
      </w:rPr>
    </w:lvl>
    <w:lvl w:ilvl="7">
      <w:start w:val="0"/>
      <w:numFmt w:val="bullet"/>
      <w:lvlText w:val="•"/>
      <w:lvlJc w:val="left"/>
      <w:pPr>
        <w:ind w:left="773" w:hanging="315"/>
      </w:pPr>
      <w:rPr>
        <w:rFonts w:hint="default"/>
      </w:rPr>
    </w:lvl>
    <w:lvl w:ilvl="8">
      <w:start w:val="0"/>
      <w:numFmt w:val="bullet"/>
      <w:lvlText w:val="•"/>
      <w:lvlJc w:val="left"/>
      <w:pPr>
        <w:ind w:left="572" w:hanging="315"/>
      </w:pPr>
      <w:rPr>
        <w:rFonts w:hint="default"/>
      </w:rPr>
    </w:lvl>
  </w:abstractNum>
  <w:abstractNum w:abstractNumId="10">
    <w:multiLevelType w:val="hybridMultilevel"/>
    <w:lvl w:ilvl="0">
      <w:start w:val="1"/>
      <w:numFmt w:val="decimal"/>
      <w:lvlText w:val="%1."/>
      <w:lvlJc w:val="left"/>
      <w:pPr>
        <w:ind w:left="170" w:hanging="205"/>
        <w:jc w:val="left"/>
      </w:pPr>
      <w:rPr>
        <w:rFonts w:hint="default" w:ascii="Times New Roman" w:hAnsi="Times New Roman" w:eastAsia="Times New Roman" w:cs="Times New Roman"/>
        <w:color w:val="231F20"/>
        <w:spacing w:val="-21"/>
        <w:w w:val="100"/>
        <w:sz w:val="18"/>
        <w:szCs w:val="18"/>
      </w:rPr>
    </w:lvl>
    <w:lvl w:ilvl="1">
      <w:start w:val="1"/>
      <w:numFmt w:val="decimal"/>
      <w:lvlText w:val="%2)"/>
      <w:lvlJc w:val="left"/>
      <w:pPr>
        <w:ind w:left="454" w:hanging="195"/>
        <w:jc w:val="left"/>
      </w:pPr>
      <w:rPr>
        <w:rFonts w:hint="default" w:ascii="Times New Roman" w:hAnsi="Times New Roman" w:eastAsia="Times New Roman" w:cs="Times New Roman"/>
        <w:color w:val="231F20"/>
        <w:spacing w:val="-10"/>
        <w:w w:val="100"/>
        <w:sz w:val="18"/>
        <w:szCs w:val="18"/>
      </w:rPr>
    </w:lvl>
    <w:lvl w:ilvl="2">
      <w:start w:val="0"/>
      <w:numFmt w:val="bullet"/>
      <w:lvlText w:val="•"/>
      <w:lvlJc w:val="left"/>
      <w:pPr>
        <w:ind w:left="428" w:hanging="195"/>
      </w:pPr>
      <w:rPr>
        <w:rFonts w:hint="default"/>
      </w:rPr>
    </w:lvl>
    <w:lvl w:ilvl="3">
      <w:start w:val="0"/>
      <w:numFmt w:val="bullet"/>
      <w:lvlText w:val="•"/>
      <w:lvlJc w:val="left"/>
      <w:pPr>
        <w:ind w:left="396" w:hanging="195"/>
      </w:pPr>
      <w:rPr>
        <w:rFonts w:hint="default"/>
      </w:rPr>
    </w:lvl>
    <w:lvl w:ilvl="4">
      <w:start w:val="0"/>
      <w:numFmt w:val="bullet"/>
      <w:lvlText w:val="•"/>
      <w:lvlJc w:val="left"/>
      <w:pPr>
        <w:ind w:left="364" w:hanging="195"/>
      </w:pPr>
      <w:rPr>
        <w:rFonts w:hint="default"/>
      </w:rPr>
    </w:lvl>
    <w:lvl w:ilvl="5">
      <w:start w:val="0"/>
      <w:numFmt w:val="bullet"/>
      <w:lvlText w:val="•"/>
      <w:lvlJc w:val="left"/>
      <w:pPr>
        <w:ind w:left="332" w:hanging="195"/>
      </w:pPr>
      <w:rPr>
        <w:rFonts w:hint="default"/>
      </w:rPr>
    </w:lvl>
    <w:lvl w:ilvl="6">
      <w:start w:val="0"/>
      <w:numFmt w:val="bullet"/>
      <w:lvlText w:val="•"/>
      <w:lvlJc w:val="left"/>
      <w:pPr>
        <w:ind w:left="300" w:hanging="195"/>
      </w:pPr>
      <w:rPr>
        <w:rFonts w:hint="default"/>
      </w:rPr>
    </w:lvl>
    <w:lvl w:ilvl="7">
      <w:start w:val="0"/>
      <w:numFmt w:val="bullet"/>
      <w:lvlText w:val="•"/>
      <w:lvlJc w:val="left"/>
      <w:pPr>
        <w:ind w:left="268" w:hanging="195"/>
      </w:pPr>
      <w:rPr>
        <w:rFonts w:hint="default"/>
      </w:rPr>
    </w:lvl>
    <w:lvl w:ilvl="8">
      <w:start w:val="0"/>
      <w:numFmt w:val="bullet"/>
      <w:lvlText w:val="•"/>
      <w:lvlJc w:val="left"/>
      <w:pPr>
        <w:ind w:left="236" w:hanging="195"/>
      </w:pPr>
      <w:rPr>
        <w:rFonts w:hint="default"/>
      </w:rPr>
    </w:lvl>
  </w:abstractNum>
  <w:abstractNum w:abstractNumId="9">
    <w:multiLevelType w:val="hybridMultilevel"/>
    <w:lvl w:ilvl="0">
      <w:start w:val="1"/>
      <w:numFmt w:val="decimal"/>
      <w:lvlText w:val="%1"/>
      <w:lvlJc w:val="left"/>
      <w:pPr>
        <w:ind w:left="453" w:hanging="284"/>
        <w:jc w:val="right"/>
      </w:pPr>
      <w:rPr>
        <w:rFonts w:hint="default" w:ascii="Times New Roman" w:hAnsi="Times New Roman" w:eastAsia="Times New Roman" w:cs="Times New Roman"/>
        <w:color w:val="231F20"/>
        <w:spacing w:val="-8"/>
        <w:w w:val="100"/>
        <w:sz w:val="14"/>
        <w:szCs w:val="14"/>
      </w:rPr>
    </w:lvl>
    <w:lvl w:ilvl="1">
      <w:start w:val="1"/>
      <w:numFmt w:val="decimal"/>
      <w:lvlText w:val="%2."/>
      <w:lvlJc w:val="left"/>
      <w:pPr>
        <w:ind w:left="454" w:hanging="187"/>
        <w:jc w:val="left"/>
      </w:pPr>
      <w:rPr>
        <w:rFonts w:hint="default" w:ascii="Times New Roman" w:hAnsi="Times New Roman" w:eastAsia="Times New Roman" w:cs="Times New Roman"/>
        <w:color w:val="231F20"/>
        <w:w w:val="100"/>
        <w:sz w:val="18"/>
        <w:szCs w:val="18"/>
      </w:rPr>
    </w:lvl>
    <w:lvl w:ilvl="2">
      <w:start w:val="0"/>
      <w:numFmt w:val="bullet"/>
      <w:lvlText w:val="•"/>
      <w:lvlJc w:val="left"/>
      <w:pPr>
        <w:ind w:left="1431" w:hanging="187"/>
      </w:pPr>
      <w:rPr>
        <w:rFonts w:hint="default"/>
      </w:rPr>
    </w:lvl>
    <w:lvl w:ilvl="3">
      <w:start w:val="0"/>
      <w:numFmt w:val="bullet"/>
      <w:lvlText w:val="•"/>
      <w:lvlJc w:val="left"/>
      <w:pPr>
        <w:ind w:left="1916" w:hanging="187"/>
      </w:pPr>
      <w:rPr>
        <w:rFonts w:hint="default"/>
      </w:rPr>
    </w:lvl>
    <w:lvl w:ilvl="4">
      <w:start w:val="0"/>
      <w:numFmt w:val="bullet"/>
      <w:lvlText w:val="•"/>
      <w:lvlJc w:val="left"/>
      <w:pPr>
        <w:ind w:left="2402" w:hanging="187"/>
      </w:pPr>
      <w:rPr>
        <w:rFonts w:hint="default"/>
      </w:rPr>
    </w:lvl>
    <w:lvl w:ilvl="5">
      <w:start w:val="0"/>
      <w:numFmt w:val="bullet"/>
      <w:lvlText w:val="•"/>
      <w:lvlJc w:val="left"/>
      <w:pPr>
        <w:ind w:left="2888" w:hanging="187"/>
      </w:pPr>
      <w:rPr>
        <w:rFonts w:hint="default"/>
      </w:rPr>
    </w:lvl>
    <w:lvl w:ilvl="6">
      <w:start w:val="0"/>
      <w:numFmt w:val="bullet"/>
      <w:lvlText w:val="•"/>
      <w:lvlJc w:val="left"/>
      <w:pPr>
        <w:ind w:left="3373" w:hanging="187"/>
      </w:pPr>
      <w:rPr>
        <w:rFonts w:hint="default"/>
      </w:rPr>
    </w:lvl>
    <w:lvl w:ilvl="7">
      <w:start w:val="0"/>
      <w:numFmt w:val="bullet"/>
      <w:lvlText w:val="•"/>
      <w:lvlJc w:val="left"/>
      <w:pPr>
        <w:ind w:left="3859" w:hanging="187"/>
      </w:pPr>
      <w:rPr>
        <w:rFonts w:hint="default"/>
      </w:rPr>
    </w:lvl>
    <w:lvl w:ilvl="8">
      <w:start w:val="0"/>
      <w:numFmt w:val="bullet"/>
      <w:lvlText w:val="•"/>
      <w:lvlJc w:val="left"/>
      <w:pPr>
        <w:ind w:left="4345" w:hanging="187"/>
      </w:pPr>
      <w:rPr>
        <w:rFonts w:hint="default"/>
      </w:rPr>
    </w:lvl>
  </w:abstractNum>
  <w:abstractNum w:abstractNumId="8">
    <w:multiLevelType w:val="hybridMultilevel"/>
    <w:lvl w:ilvl="0">
      <w:start w:val="1"/>
      <w:numFmt w:val="decimal"/>
      <w:lvlText w:val="%1."/>
      <w:lvlJc w:val="left"/>
      <w:pPr>
        <w:ind w:left="171" w:hanging="243"/>
        <w:jc w:val="left"/>
      </w:pPr>
      <w:rPr>
        <w:rFonts w:hint="default" w:ascii="Times New Roman" w:hAnsi="Times New Roman" w:eastAsia="Times New Roman" w:cs="Times New Roman"/>
        <w:color w:val="231F20"/>
        <w:spacing w:val="-12"/>
        <w:w w:val="100"/>
        <w:sz w:val="18"/>
        <w:szCs w:val="18"/>
      </w:rPr>
    </w:lvl>
    <w:lvl w:ilvl="1">
      <w:start w:val="0"/>
      <w:numFmt w:val="bullet"/>
      <w:lvlText w:val="•"/>
      <w:lvlJc w:val="left"/>
      <w:pPr>
        <w:ind w:left="693" w:hanging="243"/>
      </w:pPr>
      <w:rPr>
        <w:rFonts w:hint="default"/>
      </w:rPr>
    </w:lvl>
    <w:lvl w:ilvl="2">
      <w:start w:val="0"/>
      <w:numFmt w:val="bullet"/>
      <w:lvlText w:val="•"/>
      <w:lvlJc w:val="left"/>
      <w:pPr>
        <w:ind w:left="1207" w:hanging="243"/>
      </w:pPr>
      <w:rPr>
        <w:rFonts w:hint="default"/>
      </w:rPr>
    </w:lvl>
    <w:lvl w:ilvl="3">
      <w:start w:val="0"/>
      <w:numFmt w:val="bullet"/>
      <w:lvlText w:val="•"/>
      <w:lvlJc w:val="left"/>
      <w:pPr>
        <w:ind w:left="1720" w:hanging="243"/>
      </w:pPr>
      <w:rPr>
        <w:rFonts w:hint="default"/>
      </w:rPr>
    </w:lvl>
    <w:lvl w:ilvl="4">
      <w:start w:val="0"/>
      <w:numFmt w:val="bullet"/>
      <w:lvlText w:val="•"/>
      <w:lvlJc w:val="left"/>
      <w:pPr>
        <w:ind w:left="2234" w:hanging="243"/>
      </w:pPr>
      <w:rPr>
        <w:rFonts w:hint="default"/>
      </w:rPr>
    </w:lvl>
    <w:lvl w:ilvl="5">
      <w:start w:val="0"/>
      <w:numFmt w:val="bullet"/>
      <w:lvlText w:val="•"/>
      <w:lvlJc w:val="left"/>
      <w:pPr>
        <w:ind w:left="2748" w:hanging="243"/>
      </w:pPr>
      <w:rPr>
        <w:rFonts w:hint="default"/>
      </w:rPr>
    </w:lvl>
    <w:lvl w:ilvl="6">
      <w:start w:val="0"/>
      <w:numFmt w:val="bullet"/>
      <w:lvlText w:val="•"/>
      <w:lvlJc w:val="left"/>
      <w:pPr>
        <w:ind w:left="3261" w:hanging="243"/>
      </w:pPr>
      <w:rPr>
        <w:rFonts w:hint="default"/>
      </w:rPr>
    </w:lvl>
    <w:lvl w:ilvl="7">
      <w:start w:val="0"/>
      <w:numFmt w:val="bullet"/>
      <w:lvlText w:val="•"/>
      <w:lvlJc w:val="left"/>
      <w:pPr>
        <w:ind w:left="3775" w:hanging="243"/>
      </w:pPr>
      <w:rPr>
        <w:rFonts w:hint="default"/>
      </w:rPr>
    </w:lvl>
    <w:lvl w:ilvl="8">
      <w:start w:val="0"/>
      <w:numFmt w:val="bullet"/>
      <w:lvlText w:val="•"/>
      <w:lvlJc w:val="left"/>
      <w:pPr>
        <w:ind w:left="4289" w:hanging="243"/>
      </w:pPr>
      <w:rPr>
        <w:rFonts w:hint="default"/>
      </w:rPr>
    </w:lvl>
  </w:abstractNum>
  <w:abstractNum w:abstractNumId="7">
    <w:multiLevelType w:val="hybridMultilevel"/>
    <w:lvl w:ilvl="0">
      <w:start w:val="1"/>
      <w:numFmt w:val="decimal"/>
      <w:lvlText w:val="%1)"/>
      <w:lvlJc w:val="left"/>
      <w:pPr>
        <w:ind w:left="172" w:hanging="221"/>
        <w:jc w:val="left"/>
      </w:pPr>
      <w:rPr>
        <w:rFonts w:hint="default" w:ascii="Times New Roman" w:hAnsi="Times New Roman" w:eastAsia="Times New Roman" w:cs="Times New Roman"/>
        <w:color w:val="231F20"/>
        <w:spacing w:val="-20"/>
        <w:w w:val="66"/>
        <w:sz w:val="18"/>
        <w:szCs w:val="18"/>
      </w:rPr>
    </w:lvl>
    <w:lvl w:ilvl="1">
      <w:start w:val="0"/>
      <w:numFmt w:val="bullet"/>
      <w:lvlText w:val="•"/>
      <w:lvlJc w:val="left"/>
      <w:pPr>
        <w:ind w:left="693" w:hanging="221"/>
      </w:pPr>
      <w:rPr>
        <w:rFonts w:hint="default"/>
      </w:rPr>
    </w:lvl>
    <w:lvl w:ilvl="2">
      <w:start w:val="0"/>
      <w:numFmt w:val="bullet"/>
      <w:lvlText w:val="•"/>
      <w:lvlJc w:val="left"/>
      <w:pPr>
        <w:ind w:left="1207" w:hanging="221"/>
      </w:pPr>
      <w:rPr>
        <w:rFonts w:hint="default"/>
      </w:rPr>
    </w:lvl>
    <w:lvl w:ilvl="3">
      <w:start w:val="0"/>
      <w:numFmt w:val="bullet"/>
      <w:lvlText w:val="•"/>
      <w:lvlJc w:val="left"/>
      <w:pPr>
        <w:ind w:left="1720" w:hanging="221"/>
      </w:pPr>
      <w:rPr>
        <w:rFonts w:hint="default"/>
      </w:rPr>
    </w:lvl>
    <w:lvl w:ilvl="4">
      <w:start w:val="0"/>
      <w:numFmt w:val="bullet"/>
      <w:lvlText w:val="•"/>
      <w:lvlJc w:val="left"/>
      <w:pPr>
        <w:ind w:left="2234" w:hanging="221"/>
      </w:pPr>
      <w:rPr>
        <w:rFonts w:hint="default"/>
      </w:rPr>
    </w:lvl>
    <w:lvl w:ilvl="5">
      <w:start w:val="0"/>
      <w:numFmt w:val="bullet"/>
      <w:lvlText w:val="•"/>
      <w:lvlJc w:val="left"/>
      <w:pPr>
        <w:ind w:left="2748" w:hanging="221"/>
      </w:pPr>
      <w:rPr>
        <w:rFonts w:hint="default"/>
      </w:rPr>
    </w:lvl>
    <w:lvl w:ilvl="6">
      <w:start w:val="0"/>
      <w:numFmt w:val="bullet"/>
      <w:lvlText w:val="•"/>
      <w:lvlJc w:val="left"/>
      <w:pPr>
        <w:ind w:left="3261" w:hanging="221"/>
      </w:pPr>
      <w:rPr>
        <w:rFonts w:hint="default"/>
      </w:rPr>
    </w:lvl>
    <w:lvl w:ilvl="7">
      <w:start w:val="0"/>
      <w:numFmt w:val="bullet"/>
      <w:lvlText w:val="•"/>
      <w:lvlJc w:val="left"/>
      <w:pPr>
        <w:ind w:left="3775" w:hanging="221"/>
      </w:pPr>
      <w:rPr>
        <w:rFonts w:hint="default"/>
      </w:rPr>
    </w:lvl>
    <w:lvl w:ilvl="8">
      <w:start w:val="0"/>
      <w:numFmt w:val="bullet"/>
      <w:lvlText w:val="•"/>
      <w:lvlJc w:val="left"/>
      <w:pPr>
        <w:ind w:left="4289" w:hanging="221"/>
      </w:pPr>
      <w:rPr>
        <w:rFonts w:hint="default"/>
      </w:rPr>
    </w:lvl>
  </w:abstractNum>
  <w:abstractNum w:abstractNumId="6">
    <w:multiLevelType w:val="hybridMultilevel"/>
    <w:lvl w:ilvl="0">
      <w:start w:val="1"/>
      <w:numFmt w:val="decimal"/>
      <w:lvlText w:val="%1."/>
      <w:lvlJc w:val="left"/>
      <w:pPr>
        <w:ind w:left="172" w:hanging="172"/>
        <w:jc w:val="left"/>
      </w:pPr>
      <w:rPr>
        <w:rFonts w:hint="default" w:ascii="Times New Roman" w:hAnsi="Times New Roman" w:eastAsia="Times New Roman" w:cs="Times New Roman"/>
        <w:color w:val="231F20"/>
        <w:spacing w:val="-4"/>
        <w:w w:val="100"/>
        <w:sz w:val="18"/>
        <w:szCs w:val="18"/>
      </w:rPr>
    </w:lvl>
    <w:lvl w:ilvl="1">
      <w:start w:val="0"/>
      <w:numFmt w:val="bullet"/>
      <w:lvlText w:val="•"/>
      <w:lvlJc w:val="left"/>
      <w:pPr>
        <w:ind w:left="693" w:hanging="172"/>
      </w:pPr>
      <w:rPr>
        <w:rFonts w:hint="default"/>
      </w:rPr>
    </w:lvl>
    <w:lvl w:ilvl="2">
      <w:start w:val="0"/>
      <w:numFmt w:val="bullet"/>
      <w:lvlText w:val="•"/>
      <w:lvlJc w:val="left"/>
      <w:pPr>
        <w:ind w:left="1207" w:hanging="172"/>
      </w:pPr>
      <w:rPr>
        <w:rFonts w:hint="default"/>
      </w:rPr>
    </w:lvl>
    <w:lvl w:ilvl="3">
      <w:start w:val="0"/>
      <w:numFmt w:val="bullet"/>
      <w:lvlText w:val="•"/>
      <w:lvlJc w:val="left"/>
      <w:pPr>
        <w:ind w:left="1720" w:hanging="172"/>
      </w:pPr>
      <w:rPr>
        <w:rFonts w:hint="default"/>
      </w:rPr>
    </w:lvl>
    <w:lvl w:ilvl="4">
      <w:start w:val="0"/>
      <w:numFmt w:val="bullet"/>
      <w:lvlText w:val="•"/>
      <w:lvlJc w:val="left"/>
      <w:pPr>
        <w:ind w:left="2234" w:hanging="172"/>
      </w:pPr>
      <w:rPr>
        <w:rFonts w:hint="default"/>
      </w:rPr>
    </w:lvl>
    <w:lvl w:ilvl="5">
      <w:start w:val="0"/>
      <w:numFmt w:val="bullet"/>
      <w:lvlText w:val="•"/>
      <w:lvlJc w:val="left"/>
      <w:pPr>
        <w:ind w:left="2748" w:hanging="172"/>
      </w:pPr>
      <w:rPr>
        <w:rFonts w:hint="default"/>
      </w:rPr>
    </w:lvl>
    <w:lvl w:ilvl="6">
      <w:start w:val="0"/>
      <w:numFmt w:val="bullet"/>
      <w:lvlText w:val="•"/>
      <w:lvlJc w:val="left"/>
      <w:pPr>
        <w:ind w:left="3261" w:hanging="172"/>
      </w:pPr>
      <w:rPr>
        <w:rFonts w:hint="default"/>
      </w:rPr>
    </w:lvl>
    <w:lvl w:ilvl="7">
      <w:start w:val="0"/>
      <w:numFmt w:val="bullet"/>
      <w:lvlText w:val="•"/>
      <w:lvlJc w:val="left"/>
      <w:pPr>
        <w:ind w:left="3775" w:hanging="172"/>
      </w:pPr>
      <w:rPr>
        <w:rFonts w:hint="default"/>
      </w:rPr>
    </w:lvl>
    <w:lvl w:ilvl="8">
      <w:start w:val="0"/>
      <w:numFmt w:val="bullet"/>
      <w:lvlText w:val="•"/>
      <w:lvlJc w:val="left"/>
      <w:pPr>
        <w:ind w:left="4289" w:hanging="172"/>
      </w:pPr>
      <w:rPr>
        <w:rFonts w:hint="default"/>
      </w:rPr>
    </w:lvl>
  </w:abstractNum>
  <w:abstractNum w:abstractNumId="5">
    <w:multiLevelType w:val="hybridMultilevel"/>
    <w:lvl w:ilvl="0">
      <w:start w:val="1"/>
      <w:numFmt w:val="decimal"/>
      <w:lvlText w:val="%1."/>
      <w:lvlJc w:val="left"/>
      <w:pPr>
        <w:ind w:left="245" w:hanging="198"/>
        <w:jc w:val="left"/>
      </w:pPr>
      <w:rPr>
        <w:rFonts w:hint="default" w:ascii="Times New Roman" w:hAnsi="Times New Roman" w:eastAsia="Times New Roman" w:cs="Times New Roman"/>
        <w:color w:val="231F20"/>
        <w:w w:val="100"/>
        <w:sz w:val="18"/>
        <w:szCs w:val="18"/>
      </w:rPr>
    </w:lvl>
    <w:lvl w:ilvl="1">
      <w:start w:val="3"/>
      <w:numFmt w:val="decimal"/>
      <w:lvlText w:val="%2."/>
      <w:lvlJc w:val="left"/>
      <w:pPr>
        <w:ind w:left="1377" w:hanging="180"/>
        <w:jc w:val="left"/>
      </w:pPr>
      <w:rPr>
        <w:rFonts w:hint="default" w:ascii="Times New Roman" w:hAnsi="Times New Roman" w:eastAsia="Times New Roman" w:cs="Times New Roman"/>
        <w:b/>
        <w:bCs/>
        <w:color w:val="231F20"/>
        <w:spacing w:val="-7"/>
        <w:w w:val="100"/>
        <w:sz w:val="18"/>
        <w:szCs w:val="18"/>
      </w:rPr>
    </w:lvl>
    <w:lvl w:ilvl="2">
      <w:start w:val="1"/>
      <w:numFmt w:val="decimal"/>
      <w:lvlText w:val="%2.%3."/>
      <w:lvlJc w:val="left"/>
      <w:pPr>
        <w:ind w:left="1881" w:hanging="315"/>
        <w:jc w:val="left"/>
      </w:pPr>
      <w:rPr>
        <w:rFonts w:hint="default" w:ascii="Times New Roman" w:hAnsi="Times New Roman" w:eastAsia="Times New Roman" w:cs="Times New Roman"/>
        <w:i/>
        <w:color w:val="231F20"/>
        <w:spacing w:val="-5"/>
        <w:w w:val="100"/>
        <w:sz w:val="18"/>
        <w:szCs w:val="18"/>
      </w:rPr>
    </w:lvl>
    <w:lvl w:ilvl="3">
      <w:start w:val="0"/>
      <w:numFmt w:val="bullet"/>
      <w:lvlText w:val="•"/>
      <w:lvlJc w:val="left"/>
      <w:pPr>
        <w:ind w:left="2329" w:hanging="315"/>
      </w:pPr>
      <w:rPr>
        <w:rFonts w:hint="default"/>
      </w:rPr>
    </w:lvl>
    <w:lvl w:ilvl="4">
      <w:start w:val="0"/>
      <w:numFmt w:val="bullet"/>
      <w:lvlText w:val="•"/>
      <w:lvlJc w:val="left"/>
      <w:pPr>
        <w:ind w:left="2778" w:hanging="315"/>
      </w:pPr>
      <w:rPr>
        <w:rFonts w:hint="default"/>
      </w:rPr>
    </w:lvl>
    <w:lvl w:ilvl="5">
      <w:start w:val="0"/>
      <w:numFmt w:val="bullet"/>
      <w:lvlText w:val="•"/>
      <w:lvlJc w:val="left"/>
      <w:pPr>
        <w:ind w:left="3227" w:hanging="315"/>
      </w:pPr>
      <w:rPr>
        <w:rFonts w:hint="default"/>
      </w:rPr>
    </w:lvl>
    <w:lvl w:ilvl="6">
      <w:start w:val="0"/>
      <w:numFmt w:val="bullet"/>
      <w:lvlText w:val="•"/>
      <w:lvlJc w:val="left"/>
      <w:pPr>
        <w:ind w:left="3677" w:hanging="315"/>
      </w:pPr>
      <w:rPr>
        <w:rFonts w:hint="default"/>
      </w:rPr>
    </w:lvl>
    <w:lvl w:ilvl="7">
      <w:start w:val="0"/>
      <w:numFmt w:val="bullet"/>
      <w:lvlText w:val="•"/>
      <w:lvlJc w:val="left"/>
      <w:pPr>
        <w:ind w:left="4126" w:hanging="315"/>
      </w:pPr>
      <w:rPr>
        <w:rFonts w:hint="default"/>
      </w:rPr>
    </w:lvl>
    <w:lvl w:ilvl="8">
      <w:start w:val="0"/>
      <w:numFmt w:val="bullet"/>
      <w:lvlText w:val="•"/>
      <w:lvlJc w:val="left"/>
      <w:pPr>
        <w:ind w:left="4575" w:hanging="315"/>
      </w:pPr>
      <w:rPr>
        <w:rFonts w:hint="default"/>
      </w:rPr>
    </w:lvl>
  </w:abstractNum>
  <w:abstractNum w:abstractNumId="4">
    <w:multiLevelType w:val="hybridMultilevel"/>
    <w:lvl w:ilvl="0">
      <w:start w:val="1"/>
      <w:numFmt w:val="decimal"/>
      <w:lvlText w:val="%1."/>
      <w:lvlJc w:val="left"/>
      <w:pPr>
        <w:ind w:left="243" w:hanging="189"/>
        <w:jc w:val="left"/>
      </w:pPr>
      <w:rPr>
        <w:rFonts w:hint="default" w:ascii="Times New Roman" w:hAnsi="Times New Roman" w:eastAsia="Times New Roman" w:cs="Times New Roman"/>
        <w:color w:val="231F20"/>
        <w:w w:val="100"/>
        <w:sz w:val="18"/>
        <w:szCs w:val="18"/>
      </w:rPr>
    </w:lvl>
    <w:lvl w:ilvl="1">
      <w:start w:val="0"/>
      <w:numFmt w:val="bullet"/>
      <w:lvlText w:val="•"/>
      <w:lvlJc w:val="left"/>
      <w:pPr>
        <w:ind w:left="763" w:hanging="189"/>
      </w:pPr>
      <w:rPr>
        <w:rFonts w:hint="default"/>
      </w:rPr>
    </w:lvl>
    <w:lvl w:ilvl="2">
      <w:start w:val="0"/>
      <w:numFmt w:val="bullet"/>
      <w:lvlText w:val="•"/>
      <w:lvlJc w:val="left"/>
      <w:pPr>
        <w:ind w:left="1286" w:hanging="189"/>
      </w:pPr>
      <w:rPr>
        <w:rFonts w:hint="default"/>
      </w:rPr>
    </w:lvl>
    <w:lvl w:ilvl="3">
      <w:start w:val="0"/>
      <w:numFmt w:val="bullet"/>
      <w:lvlText w:val="•"/>
      <w:lvlJc w:val="left"/>
      <w:pPr>
        <w:ind w:left="1810" w:hanging="189"/>
      </w:pPr>
      <w:rPr>
        <w:rFonts w:hint="default"/>
      </w:rPr>
    </w:lvl>
    <w:lvl w:ilvl="4">
      <w:start w:val="0"/>
      <w:numFmt w:val="bullet"/>
      <w:lvlText w:val="•"/>
      <w:lvlJc w:val="left"/>
      <w:pPr>
        <w:ind w:left="2333" w:hanging="189"/>
      </w:pPr>
      <w:rPr>
        <w:rFonts w:hint="default"/>
      </w:rPr>
    </w:lvl>
    <w:lvl w:ilvl="5">
      <w:start w:val="0"/>
      <w:numFmt w:val="bullet"/>
      <w:lvlText w:val="•"/>
      <w:lvlJc w:val="left"/>
      <w:pPr>
        <w:ind w:left="2857" w:hanging="189"/>
      </w:pPr>
      <w:rPr>
        <w:rFonts w:hint="default"/>
      </w:rPr>
    </w:lvl>
    <w:lvl w:ilvl="6">
      <w:start w:val="0"/>
      <w:numFmt w:val="bullet"/>
      <w:lvlText w:val="•"/>
      <w:lvlJc w:val="left"/>
      <w:pPr>
        <w:ind w:left="3380" w:hanging="189"/>
      </w:pPr>
      <w:rPr>
        <w:rFonts w:hint="default"/>
      </w:rPr>
    </w:lvl>
    <w:lvl w:ilvl="7">
      <w:start w:val="0"/>
      <w:numFmt w:val="bullet"/>
      <w:lvlText w:val="•"/>
      <w:lvlJc w:val="left"/>
      <w:pPr>
        <w:ind w:left="3903" w:hanging="189"/>
      </w:pPr>
      <w:rPr>
        <w:rFonts w:hint="default"/>
      </w:rPr>
    </w:lvl>
    <w:lvl w:ilvl="8">
      <w:start w:val="0"/>
      <w:numFmt w:val="bullet"/>
      <w:lvlText w:val="•"/>
      <w:lvlJc w:val="left"/>
      <w:pPr>
        <w:ind w:left="4427" w:hanging="189"/>
      </w:pPr>
      <w:rPr>
        <w:rFonts w:hint="default"/>
      </w:rPr>
    </w:lvl>
  </w:abstractNum>
  <w:abstractNum w:abstractNumId="3">
    <w:multiLevelType w:val="hybridMultilevel"/>
    <w:lvl w:ilvl="0">
      <w:start w:val="1"/>
      <w:numFmt w:val="decimal"/>
      <w:lvlText w:val="%1)"/>
      <w:lvlJc w:val="left"/>
      <w:pPr>
        <w:ind w:left="762" w:hanging="195"/>
        <w:jc w:val="left"/>
      </w:pPr>
      <w:rPr>
        <w:rFonts w:hint="default" w:ascii="Times New Roman" w:hAnsi="Times New Roman" w:eastAsia="Times New Roman" w:cs="Times New Roman"/>
        <w:color w:val="231F20"/>
        <w:spacing w:val="-9"/>
        <w:w w:val="100"/>
        <w:sz w:val="18"/>
        <w:szCs w:val="18"/>
      </w:rPr>
    </w:lvl>
    <w:lvl w:ilvl="1">
      <w:start w:val="0"/>
      <w:numFmt w:val="bullet"/>
      <w:lvlText w:val="•"/>
      <w:lvlJc w:val="left"/>
      <w:pPr>
        <w:ind w:left="1252" w:hanging="195"/>
      </w:pPr>
      <w:rPr>
        <w:rFonts w:hint="default"/>
      </w:rPr>
    </w:lvl>
    <w:lvl w:ilvl="2">
      <w:start w:val="0"/>
      <w:numFmt w:val="bullet"/>
      <w:lvlText w:val="•"/>
      <w:lvlJc w:val="left"/>
      <w:pPr>
        <w:ind w:left="1745" w:hanging="195"/>
      </w:pPr>
      <w:rPr>
        <w:rFonts w:hint="default"/>
      </w:rPr>
    </w:lvl>
    <w:lvl w:ilvl="3">
      <w:start w:val="0"/>
      <w:numFmt w:val="bullet"/>
      <w:lvlText w:val="•"/>
      <w:lvlJc w:val="left"/>
      <w:pPr>
        <w:ind w:left="2237" w:hanging="195"/>
      </w:pPr>
      <w:rPr>
        <w:rFonts w:hint="default"/>
      </w:rPr>
    </w:lvl>
    <w:lvl w:ilvl="4">
      <w:start w:val="0"/>
      <w:numFmt w:val="bullet"/>
      <w:lvlText w:val="•"/>
      <w:lvlJc w:val="left"/>
      <w:pPr>
        <w:ind w:left="2730" w:hanging="195"/>
      </w:pPr>
      <w:rPr>
        <w:rFonts w:hint="default"/>
      </w:rPr>
    </w:lvl>
    <w:lvl w:ilvl="5">
      <w:start w:val="0"/>
      <w:numFmt w:val="bullet"/>
      <w:lvlText w:val="•"/>
      <w:lvlJc w:val="left"/>
      <w:pPr>
        <w:ind w:left="3223" w:hanging="195"/>
      </w:pPr>
      <w:rPr>
        <w:rFonts w:hint="default"/>
      </w:rPr>
    </w:lvl>
    <w:lvl w:ilvl="6">
      <w:start w:val="0"/>
      <w:numFmt w:val="bullet"/>
      <w:lvlText w:val="•"/>
      <w:lvlJc w:val="left"/>
      <w:pPr>
        <w:ind w:left="3715" w:hanging="195"/>
      </w:pPr>
      <w:rPr>
        <w:rFonts w:hint="default"/>
      </w:rPr>
    </w:lvl>
    <w:lvl w:ilvl="7">
      <w:start w:val="0"/>
      <w:numFmt w:val="bullet"/>
      <w:lvlText w:val="•"/>
      <w:lvlJc w:val="left"/>
      <w:pPr>
        <w:ind w:left="4208" w:hanging="195"/>
      </w:pPr>
      <w:rPr>
        <w:rFonts w:hint="default"/>
      </w:rPr>
    </w:lvl>
    <w:lvl w:ilvl="8">
      <w:start w:val="0"/>
      <w:numFmt w:val="bullet"/>
      <w:lvlText w:val="•"/>
      <w:lvlJc w:val="left"/>
      <w:pPr>
        <w:ind w:left="4701" w:hanging="195"/>
      </w:pPr>
      <w:rPr>
        <w:rFonts w:hint="default"/>
      </w:rPr>
    </w:lvl>
  </w:abstractNum>
  <w:abstractNum w:abstractNumId="2">
    <w:multiLevelType w:val="hybridMultilevel"/>
    <w:lvl w:ilvl="0">
      <w:start w:val="1"/>
      <w:numFmt w:val="decimal"/>
      <w:lvlText w:val="%1)"/>
      <w:lvlJc w:val="left"/>
      <w:pPr>
        <w:ind w:left="762" w:hanging="195"/>
        <w:jc w:val="left"/>
      </w:pPr>
      <w:rPr>
        <w:rFonts w:hint="default" w:ascii="Times New Roman" w:hAnsi="Times New Roman" w:eastAsia="Times New Roman" w:cs="Times New Roman"/>
        <w:color w:val="231F20"/>
        <w:spacing w:val="-30"/>
        <w:w w:val="100"/>
        <w:sz w:val="18"/>
        <w:szCs w:val="18"/>
      </w:rPr>
    </w:lvl>
    <w:lvl w:ilvl="1">
      <w:start w:val="0"/>
      <w:numFmt w:val="bullet"/>
      <w:lvlText w:val="•"/>
      <w:lvlJc w:val="left"/>
      <w:pPr>
        <w:ind w:left="1252" w:hanging="195"/>
      </w:pPr>
      <w:rPr>
        <w:rFonts w:hint="default"/>
      </w:rPr>
    </w:lvl>
    <w:lvl w:ilvl="2">
      <w:start w:val="0"/>
      <w:numFmt w:val="bullet"/>
      <w:lvlText w:val="•"/>
      <w:lvlJc w:val="left"/>
      <w:pPr>
        <w:ind w:left="1745" w:hanging="195"/>
      </w:pPr>
      <w:rPr>
        <w:rFonts w:hint="default"/>
      </w:rPr>
    </w:lvl>
    <w:lvl w:ilvl="3">
      <w:start w:val="0"/>
      <w:numFmt w:val="bullet"/>
      <w:lvlText w:val="•"/>
      <w:lvlJc w:val="left"/>
      <w:pPr>
        <w:ind w:left="2237" w:hanging="195"/>
      </w:pPr>
      <w:rPr>
        <w:rFonts w:hint="default"/>
      </w:rPr>
    </w:lvl>
    <w:lvl w:ilvl="4">
      <w:start w:val="0"/>
      <w:numFmt w:val="bullet"/>
      <w:lvlText w:val="•"/>
      <w:lvlJc w:val="left"/>
      <w:pPr>
        <w:ind w:left="2730" w:hanging="195"/>
      </w:pPr>
      <w:rPr>
        <w:rFonts w:hint="default"/>
      </w:rPr>
    </w:lvl>
    <w:lvl w:ilvl="5">
      <w:start w:val="0"/>
      <w:numFmt w:val="bullet"/>
      <w:lvlText w:val="•"/>
      <w:lvlJc w:val="left"/>
      <w:pPr>
        <w:ind w:left="3223" w:hanging="195"/>
      </w:pPr>
      <w:rPr>
        <w:rFonts w:hint="default"/>
      </w:rPr>
    </w:lvl>
    <w:lvl w:ilvl="6">
      <w:start w:val="0"/>
      <w:numFmt w:val="bullet"/>
      <w:lvlText w:val="•"/>
      <w:lvlJc w:val="left"/>
      <w:pPr>
        <w:ind w:left="3715" w:hanging="195"/>
      </w:pPr>
      <w:rPr>
        <w:rFonts w:hint="default"/>
      </w:rPr>
    </w:lvl>
    <w:lvl w:ilvl="7">
      <w:start w:val="0"/>
      <w:numFmt w:val="bullet"/>
      <w:lvlText w:val="•"/>
      <w:lvlJc w:val="left"/>
      <w:pPr>
        <w:ind w:left="4208" w:hanging="195"/>
      </w:pPr>
      <w:rPr>
        <w:rFonts w:hint="default"/>
      </w:rPr>
    </w:lvl>
    <w:lvl w:ilvl="8">
      <w:start w:val="0"/>
      <w:numFmt w:val="bullet"/>
      <w:lvlText w:val="•"/>
      <w:lvlJc w:val="left"/>
      <w:pPr>
        <w:ind w:left="4701" w:hanging="195"/>
      </w:pPr>
      <w:rPr>
        <w:rFonts w:hint="default"/>
      </w:rPr>
    </w:lvl>
  </w:abstractNum>
  <w:abstractNum w:abstractNumId="1">
    <w:multiLevelType w:val="hybridMultilevel"/>
    <w:lvl w:ilvl="0">
      <w:start w:val="1"/>
      <w:numFmt w:val="decimal"/>
      <w:lvlText w:val="%1."/>
      <w:lvlJc w:val="left"/>
      <w:pPr>
        <w:ind w:left="170" w:hanging="243"/>
        <w:jc w:val="left"/>
      </w:pPr>
      <w:rPr>
        <w:rFonts w:hint="default" w:ascii="Times New Roman" w:hAnsi="Times New Roman" w:eastAsia="Times New Roman" w:cs="Times New Roman"/>
        <w:color w:val="231F20"/>
        <w:spacing w:val="-10"/>
        <w:w w:val="100"/>
        <w:sz w:val="18"/>
        <w:szCs w:val="18"/>
      </w:rPr>
    </w:lvl>
    <w:lvl w:ilvl="1">
      <w:start w:val="2"/>
      <w:numFmt w:val="decimal"/>
      <w:lvlText w:val="%2."/>
      <w:lvlJc w:val="left"/>
      <w:pPr>
        <w:ind w:left="2065" w:hanging="180"/>
        <w:jc w:val="left"/>
      </w:pPr>
      <w:rPr>
        <w:rFonts w:hint="default" w:ascii="Times New Roman" w:hAnsi="Times New Roman" w:eastAsia="Times New Roman" w:cs="Times New Roman"/>
        <w:b/>
        <w:bCs/>
        <w:color w:val="231F20"/>
        <w:spacing w:val="-5"/>
        <w:w w:val="100"/>
        <w:sz w:val="18"/>
        <w:szCs w:val="18"/>
      </w:rPr>
    </w:lvl>
    <w:lvl w:ilvl="2">
      <w:start w:val="1"/>
      <w:numFmt w:val="decimal"/>
      <w:lvlText w:val="%2.%3."/>
      <w:lvlJc w:val="left"/>
      <w:pPr>
        <w:ind w:left="2017" w:hanging="315"/>
        <w:jc w:val="right"/>
      </w:pPr>
      <w:rPr>
        <w:rFonts w:hint="default" w:ascii="Times New Roman" w:hAnsi="Times New Roman" w:eastAsia="Times New Roman" w:cs="Times New Roman"/>
        <w:i/>
        <w:color w:val="231F20"/>
        <w:spacing w:val="-7"/>
        <w:w w:val="100"/>
        <w:sz w:val="18"/>
        <w:szCs w:val="18"/>
      </w:rPr>
    </w:lvl>
    <w:lvl w:ilvl="3">
      <w:start w:val="0"/>
      <w:numFmt w:val="bullet"/>
      <w:lvlText w:val="•"/>
      <w:lvlJc w:val="left"/>
      <w:pPr>
        <w:ind w:left="2486" w:hanging="315"/>
      </w:pPr>
      <w:rPr>
        <w:rFonts w:hint="default"/>
      </w:rPr>
    </w:lvl>
    <w:lvl w:ilvl="4">
      <w:start w:val="0"/>
      <w:numFmt w:val="bullet"/>
      <w:lvlText w:val="•"/>
      <w:lvlJc w:val="left"/>
      <w:pPr>
        <w:ind w:left="2913" w:hanging="315"/>
      </w:pPr>
      <w:rPr>
        <w:rFonts w:hint="default"/>
      </w:rPr>
    </w:lvl>
    <w:lvl w:ilvl="5">
      <w:start w:val="0"/>
      <w:numFmt w:val="bullet"/>
      <w:lvlText w:val="•"/>
      <w:lvlJc w:val="left"/>
      <w:pPr>
        <w:ind w:left="3340" w:hanging="315"/>
      </w:pPr>
      <w:rPr>
        <w:rFonts w:hint="default"/>
      </w:rPr>
    </w:lvl>
    <w:lvl w:ilvl="6">
      <w:start w:val="0"/>
      <w:numFmt w:val="bullet"/>
      <w:lvlText w:val="•"/>
      <w:lvlJc w:val="left"/>
      <w:pPr>
        <w:ind w:left="3767" w:hanging="315"/>
      </w:pPr>
      <w:rPr>
        <w:rFonts w:hint="default"/>
      </w:rPr>
    </w:lvl>
    <w:lvl w:ilvl="7">
      <w:start w:val="0"/>
      <w:numFmt w:val="bullet"/>
      <w:lvlText w:val="•"/>
      <w:lvlJc w:val="left"/>
      <w:pPr>
        <w:ind w:left="4193" w:hanging="315"/>
      </w:pPr>
      <w:rPr>
        <w:rFonts w:hint="default"/>
      </w:rPr>
    </w:lvl>
    <w:lvl w:ilvl="8">
      <w:start w:val="0"/>
      <w:numFmt w:val="bullet"/>
      <w:lvlText w:val="•"/>
      <w:lvlJc w:val="left"/>
      <w:pPr>
        <w:ind w:left="4620" w:hanging="315"/>
      </w:pPr>
      <w:rPr>
        <w:rFonts w:hint="default"/>
      </w:rPr>
    </w:lvl>
  </w:abstractNum>
  <w:abstractNum w:abstractNumId="0">
    <w:multiLevelType w:val="hybridMultilevel"/>
    <w:lvl w:ilvl="0">
      <w:start w:val="6"/>
      <w:numFmt w:val="decimal"/>
      <w:lvlText w:val="%1"/>
      <w:lvlJc w:val="left"/>
      <w:pPr>
        <w:ind w:left="457" w:hanging="473"/>
        <w:jc w:val="left"/>
      </w:pPr>
      <w:rPr>
        <w:rFonts w:hint="default"/>
      </w:rPr>
    </w:lvl>
    <w:lvl w:ilvl="1">
      <w:start w:val="2"/>
      <w:numFmt w:val="decimal"/>
      <w:lvlText w:val="%1.%2"/>
      <w:lvlJc w:val="left"/>
      <w:pPr>
        <w:ind w:left="457" w:hanging="473"/>
        <w:jc w:val="left"/>
      </w:pPr>
      <w:rPr>
        <w:rFonts w:hint="default"/>
      </w:rPr>
    </w:lvl>
    <w:lvl w:ilvl="2">
      <w:start w:val="2"/>
      <w:numFmt w:val="decimal"/>
      <w:lvlText w:val="%1.%2.%3."/>
      <w:lvlJc w:val="left"/>
      <w:pPr>
        <w:ind w:left="457" w:hanging="473"/>
        <w:jc w:val="left"/>
      </w:pPr>
      <w:rPr>
        <w:rFonts w:hint="default" w:ascii="Times New Roman" w:hAnsi="Times New Roman" w:eastAsia="Times New Roman" w:cs="Times New Roman"/>
        <w:color w:val="231F20"/>
        <w:w w:val="100"/>
        <w:sz w:val="18"/>
        <w:szCs w:val="18"/>
      </w:rPr>
    </w:lvl>
    <w:lvl w:ilvl="3">
      <w:start w:val="1"/>
      <w:numFmt w:val="upperRoman"/>
      <w:lvlText w:val="%4."/>
      <w:lvlJc w:val="left"/>
      <w:pPr>
        <w:ind w:left="2173" w:hanging="160"/>
        <w:jc w:val="left"/>
      </w:pPr>
      <w:rPr>
        <w:rFonts w:hint="default" w:ascii="Times New Roman" w:hAnsi="Times New Roman" w:eastAsia="Times New Roman" w:cs="Times New Roman"/>
        <w:b/>
        <w:bCs/>
        <w:color w:val="231F20"/>
        <w:spacing w:val="-1"/>
        <w:w w:val="100"/>
        <w:sz w:val="18"/>
        <w:szCs w:val="18"/>
      </w:rPr>
    </w:lvl>
    <w:lvl w:ilvl="4">
      <w:start w:val="1"/>
      <w:numFmt w:val="decimal"/>
      <w:lvlText w:val="%5."/>
      <w:lvlJc w:val="left"/>
      <w:pPr>
        <w:ind w:left="2118" w:hanging="180"/>
        <w:jc w:val="left"/>
      </w:pPr>
      <w:rPr>
        <w:rFonts w:hint="default" w:ascii="Times New Roman" w:hAnsi="Times New Roman" w:eastAsia="Times New Roman" w:cs="Times New Roman"/>
        <w:b/>
        <w:bCs/>
        <w:color w:val="231F20"/>
        <w:spacing w:val="-15"/>
        <w:w w:val="100"/>
        <w:sz w:val="18"/>
        <w:szCs w:val="18"/>
      </w:rPr>
    </w:lvl>
    <w:lvl w:ilvl="5">
      <w:start w:val="0"/>
      <w:numFmt w:val="bullet"/>
      <w:lvlText w:val="•"/>
      <w:lvlJc w:val="left"/>
      <w:pPr>
        <w:ind w:left="3355" w:hanging="180"/>
      </w:pPr>
      <w:rPr>
        <w:rFonts w:hint="default"/>
      </w:rPr>
    </w:lvl>
    <w:lvl w:ilvl="6">
      <w:start w:val="0"/>
      <w:numFmt w:val="bullet"/>
      <w:lvlText w:val="•"/>
      <w:lvlJc w:val="left"/>
      <w:pPr>
        <w:ind w:left="3746" w:hanging="180"/>
      </w:pPr>
      <w:rPr>
        <w:rFonts w:hint="default"/>
      </w:rPr>
    </w:lvl>
    <w:lvl w:ilvl="7">
      <w:start w:val="0"/>
      <w:numFmt w:val="bullet"/>
      <w:lvlText w:val="•"/>
      <w:lvlJc w:val="left"/>
      <w:pPr>
        <w:ind w:left="4138" w:hanging="180"/>
      </w:pPr>
      <w:rPr>
        <w:rFonts w:hint="default"/>
      </w:rPr>
    </w:lvl>
    <w:lvl w:ilvl="8">
      <w:start w:val="0"/>
      <w:numFmt w:val="bullet"/>
      <w:lvlText w:val="•"/>
      <w:lvlJc w:val="left"/>
      <w:pPr>
        <w:ind w:left="4530" w:hanging="180"/>
      </w:pPr>
      <w:rPr>
        <w:rFonts w:hint="default"/>
      </w:rPr>
    </w:lvl>
  </w:abstractNum>
  <w:num w:numId="70">
    <w:abstractNumId w:val="69"/>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70"/>
      <w:jc w:val="both"/>
    </w:pPr>
    <w:rPr>
      <w:rFonts w:ascii="Times New Roman" w:hAnsi="Times New Roman" w:eastAsia="Times New Roman" w:cs="Times New Roman"/>
      <w:sz w:val="18"/>
      <w:szCs w:val="18"/>
    </w:rPr>
  </w:style>
  <w:style w:styleId="Heading1" w:type="paragraph">
    <w:name w:val="Heading 1"/>
    <w:basedOn w:val="Normal"/>
    <w:uiPriority w:val="1"/>
    <w:qFormat/>
    <w:pPr>
      <w:spacing w:before="168"/>
      <w:ind w:left="910" w:hanging="180"/>
      <w:outlineLvl w:val="1"/>
    </w:pPr>
    <w:rPr>
      <w:rFonts w:ascii="Times New Roman" w:hAnsi="Times New Roman" w:eastAsia="Times New Roman" w:cs="Times New Roman"/>
      <w:b/>
      <w:bCs/>
      <w:sz w:val="18"/>
      <w:szCs w:val="18"/>
    </w:rPr>
  </w:style>
  <w:style w:styleId="ListParagraph" w:type="paragraph">
    <w:name w:val="List Paragraph"/>
    <w:basedOn w:val="Normal"/>
    <w:uiPriority w:val="1"/>
    <w:qFormat/>
    <w:pPr>
      <w:ind w:left="170" w:firstLine="397"/>
    </w:pPr>
    <w:rPr>
      <w:rFonts w:ascii="Times New Roman" w:hAnsi="Times New Roman" w:eastAsia="Times New Roman" w:cs="Times New Roman"/>
    </w:rPr>
  </w:style>
  <w:style w:styleId="TableParagraph" w:type="paragraph">
    <w:name w:val="Table Paragraph"/>
    <w:basedOn w:val="Normal"/>
    <w:uiPriority w:val="1"/>
    <w:qFormat/>
    <w:pPr>
      <w:spacing w:before="18"/>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2024-01-13T11:51:31Z</dcterms:created>
  <dcterms:modified xsi:type="dcterms:W3CDTF">2024-01-13T11:51:31Z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2018-03-19T00:00:00Z</vt:filetime>
  </property>
  <property fmtid="{D5CDD505-2E9C-101B-9397-08002B2CF9AE}" pid="3" name="Creator">
    <vt:lpwstr>PDF-XChange Editor 5.5.308.2</vt:lpwstr>
  </property>
  <property fmtid="{D5CDD505-2E9C-101B-9397-08002B2CF9AE}" pid="4" name="LastSaved">
    <vt:filetime>2024-01-13T00:00:00Z</vt:filetime>
  </property>
</Properties>
</file>